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0FBC3" w14:textId="04FE7FAD" w:rsidR="00C408E3" w:rsidRDefault="000C061C" w:rsidP="000E70E0">
      <w:pPr>
        <w:pStyle w:val="FootnoteText"/>
      </w:pPr>
      <w:bookmarkStart w:id="0" w:name="_Hlk94700367"/>
      <w:r w:rsidRPr="003A6390">
        <w:rPr>
          <w:noProof/>
        </w:rPr>
        <w:drawing>
          <wp:anchor distT="0" distB="0" distL="114300" distR="114300" simplePos="0" relativeHeight="251658256" behindDoc="1" locked="0" layoutInCell="1" allowOverlap="1" wp14:anchorId="139EBA7D" wp14:editId="3D6C6105">
            <wp:simplePos x="0" y="0"/>
            <wp:positionH relativeFrom="column">
              <wp:posOffset>-567615</wp:posOffset>
            </wp:positionH>
            <wp:positionV relativeFrom="page">
              <wp:posOffset>10795</wp:posOffset>
            </wp:positionV>
            <wp:extent cx="7563485" cy="5349240"/>
            <wp:effectExtent l="0" t="0" r="5715" b="0"/>
            <wp:wrapNone/>
            <wp:docPr id="963" name="Picture 963"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Picture 471" descr="Shape, rectangl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563485" cy="5349240"/>
                    </a:xfrm>
                    <a:prstGeom prst="rect">
                      <a:avLst/>
                    </a:prstGeom>
                  </pic:spPr>
                </pic:pic>
              </a:graphicData>
            </a:graphic>
            <wp14:sizeRelH relativeFrom="margin">
              <wp14:pctWidth>0</wp14:pctWidth>
            </wp14:sizeRelH>
            <wp14:sizeRelV relativeFrom="margin">
              <wp14:pctHeight>0</wp14:pctHeight>
            </wp14:sizeRelV>
          </wp:anchor>
        </w:drawing>
      </w:r>
    </w:p>
    <w:p w14:paraId="55067C81" w14:textId="77777777" w:rsidR="000C061C" w:rsidRDefault="000C061C" w:rsidP="000C061C">
      <w:pPr>
        <w:pStyle w:val="Title"/>
        <w:ind w:left="-284" w:right="3639"/>
        <w:rPr>
          <w:b/>
          <w:bCs/>
        </w:rPr>
      </w:pPr>
    </w:p>
    <w:p w14:paraId="594045DB" w14:textId="43BD6CDF" w:rsidR="000C061C" w:rsidRPr="00116E55" w:rsidRDefault="000C061C" w:rsidP="00116E55">
      <w:pPr>
        <w:pStyle w:val="Title"/>
        <w:ind w:right="3639"/>
        <w:rPr>
          <w:b/>
          <w:bCs/>
        </w:rPr>
      </w:pPr>
      <w:r w:rsidRPr="00116E55">
        <w:rPr>
          <w:b/>
          <w:bCs/>
        </w:rPr>
        <w:t xml:space="preserve">Price </w:t>
      </w:r>
      <w:r w:rsidRPr="00116E55">
        <w:rPr>
          <w:b/>
          <w:bCs/>
          <w:color w:val="FFEA00"/>
        </w:rPr>
        <w:t>Submission</w:t>
      </w:r>
    </w:p>
    <w:p w14:paraId="2C1FD8CF" w14:textId="77777777" w:rsidR="000C061C" w:rsidRPr="000C061C" w:rsidRDefault="000C061C" w:rsidP="00116E55">
      <w:pPr>
        <w:pStyle w:val="Subtitle"/>
        <w:ind w:left="0"/>
      </w:pPr>
      <w:r w:rsidRPr="000C061C">
        <w:t>A submission for water and sewerage pricing for the 2023–28 regulatory period</w:t>
      </w:r>
    </w:p>
    <w:p w14:paraId="43D86297" w14:textId="3082FC8F" w:rsidR="000C061C" w:rsidRPr="00116E55" w:rsidRDefault="000C061C" w:rsidP="00116E55">
      <w:pPr>
        <w:pStyle w:val="Subtitle"/>
        <w:ind w:left="0"/>
        <w:rPr>
          <w:sz w:val="28"/>
          <w:szCs w:val="28"/>
        </w:rPr>
      </w:pPr>
      <w:r w:rsidRPr="00116E55">
        <w:rPr>
          <w:noProof/>
          <w:sz w:val="28"/>
          <w:szCs w:val="28"/>
          <w:shd w:val="clear" w:color="auto" w:fill="E6E6E6"/>
        </w:rPr>
        <w:drawing>
          <wp:anchor distT="0" distB="0" distL="114300" distR="114300" simplePos="0" relativeHeight="251658312" behindDoc="0" locked="1" layoutInCell="1" allowOverlap="1" wp14:anchorId="6D9A13C7" wp14:editId="17656D3B">
            <wp:simplePos x="0" y="0"/>
            <wp:positionH relativeFrom="margin">
              <wp:posOffset>4822190</wp:posOffset>
            </wp:positionH>
            <wp:positionV relativeFrom="page">
              <wp:posOffset>539750</wp:posOffset>
            </wp:positionV>
            <wp:extent cx="1743075" cy="514350"/>
            <wp:effectExtent l="0" t="0" r="0" b="6350"/>
            <wp:wrapNone/>
            <wp:docPr id="965" name="Graphic 6">
              <a:extLst xmlns:a="http://schemas.openxmlformats.org/drawingml/2006/main">
                <a:ext uri="{FF2B5EF4-FFF2-40B4-BE49-F238E27FC236}">
                  <a16:creationId xmlns:a16="http://schemas.microsoft.com/office/drawing/2014/main" id="{7628042D-5E0D-4233-8562-C55EAEC048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a:extLst>
                        <a:ext uri="{FF2B5EF4-FFF2-40B4-BE49-F238E27FC236}">
                          <a16:creationId xmlns:a16="http://schemas.microsoft.com/office/drawing/2014/main" id="{7628042D-5E0D-4233-8562-C55EAEC048C9}"/>
                        </a:ext>
                      </a:extLst>
                    </pic:cNvPr>
                    <pic:cNvPicPr>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743075" cy="514350"/>
                    </a:xfrm>
                    <a:prstGeom prst="rect">
                      <a:avLst/>
                    </a:prstGeom>
                  </pic:spPr>
                </pic:pic>
              </a:graphicData>
            </a:graphic>
            <wp14:sizeRelH relativeFrom="margin">
              <wp14:pctWidth>0</wp14:pctWidth>
            </wp14:sizeRelH>
            <wp14:sizeRelV relativeFrom="margin">
              <wp14:pctHeight>0</wp14:pctHeight>
            </wp14:sizeRelV>
          </wp:anchor>
        </w:drawing>
      </w:r>
      <w:r w:rsidRPr="00116E55">
        <w:rPr>
          <w:sz w:val="28"/>
          <w:szCs w:val="28"/>
        </w:rPr>
        <w:t>30 September 2022</w:t>
      </w:r>
    </w:p>
    <w:p w14:paraId="0E62C508" w14:textId="7414E1B4" w:rsidR="00E908D5" w:rsidRDefault="000C061C" w:rsidP="000E70E0">
      <w:pPr>
        <w:pStyle w:val="FootnoteText"/>
      </w:pPr>
      <w:r w:rsidRPr="003A6390">
        <w:rPr>
          <w:noProof/>
        </w:rPr>
        <w:drawing>
          <wp:anchor distT="0" distB="0" distL="114300" distR="114300" simplePos="0" relativeHeight="251658250" behindDoc="1" locked="0" layoutInCell="1" allowOverlap="1" wp14:anchorId="5F4B0376" wp14:editId="0ACC1DA6">
            <wp:simplePos x="0" y="0"/>
            <wp:positionH relativeFrom="column">
              <wp:posOffset>-563880</wp:posOffset>
            </wp:positionH>
            <wp:positionV relativeFrom="paragraph">
              <wp:posOffset>807122</wp:posOffset>
            </wp:positionV>
            <wp:extent cx="7563485" cy="5672455"/>
            <wp:effectExtent l="0" t="0" r="5715" b="4445"/>
            <wp:wrapNone/>
            <wp:docPr id="964"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Picture 465"/>
                    <pic:cNvPicPr/>
                  </pic:nvPicPr>
                  <pic:blipFill rotWithShape="1">
                    <a:blip r:embed="rId14" cstate="print">
                      <a:extLst>
                        <a:ext uri="{28A0092B-C50C-407E-A947-70E740481C1C}">
                          <a14:useLocalDpi xmlns:a14="http://schemas.microsoft.com/office/drawing/2010/main" val="0"/>
                        </a:ext>
                      </a:extLst>
                    </a:blip>
                    <a:srcRect l="11401" t="12028" r="8719" b="8093"/>
                    <a:stretch/>
                  </pic:blipFill>
                  <pic:spPr>
                    <a:xfrm>
                      <a:off x="0" y="0"/>
                      <a:ext cx="7563485" cy="5672455"/>
                    </a:xfrm>
                    <a:prstGeom prst="rect">
                      <a:avLst/>
                    </a:prstGeom>
                  </pic:spPr>
                </pic:pic>
              </a:graphicData>
            </a:graphic>
            <wp14:sizeRelH relativeFrom="margin">
              <wp14:pctWidth>0</wp14:pctWidth>
            </wp14:sizeRelH>
            <wp14:sizeRelV relativeFrom="margin">
              <wp14:pctHeight>0</wp14:pctHeight>
            </wp14:sizeRelV>
          </wp:anchor>
        </w:drawing>
      </w:r>
    </w:p>
    <w:p w14:paraId="598617C2" w14:textId="11F1B679" w:rsidR="003A2E40" w:rsidRDefault="00DE69A6" w:rsidP="003A2D17">
      <w:pPr>
        <w:pStyle w:val="Heading1"/>
      </w:pPr>
      <w:bookmarkStart w:id="1" w:name="_Toc114644601"/>
      <w:r w:rsidRPr="00E86BF9">
        <w:lastRenderedPageBreak/>
        <w:t xml:space="preserve">Table of </w:t>
      </w:r>
      <w:r w:rsidR="00D30287" w:rsidRPr="00E86BF9">
        <w:t>c</w:t>
      </w:r>
      <w:r w:rsidRPr="00E86BF9">
        <w:t>ontents</w:t>
      </w:r>
      <w:bookmarkEnd w:id="1"/>
    </w:p>
    <w:p w14:paraId="445EAC69" w14:textId="39F5DAA7" w:rsidR="00302186" w:rsidRPr="00612EFF" w:rsidRDefault="003A2E40" w:rsidP="003A2D17">
      <w:pPr>
        <w:pStyle w:val="TOC1"/>
        <w:tabs>
          <w:tab w:val="right" w:pos="10773"/>
        </w:tabs>
        <w:spacing w:before="300" w:after="120"/>
        <w:ind w:left="0" w:firstLine="0"/>
        <w:rPr>
          <w:rFonts w:asciiTheme="minorHAnsi" w:eastAsiaTheme="minorEastAsia" w:hAnsiTheme="minorHAnsi"/>
          <w:b w:val="0"/>
          <w:bCs/>
          <w:color w:val="auto"/>
          <w:sz w:val="22"/>
          <w:szCs w:val="22"/>
          <w:lang w:eastAsia="en-AU"/>
        </w:rPr>
      </w:pPr>
      <w:r w:rsidRPr="00116E55">
        <w:rPr>
          <w:color w:val="002279"/>
          <w:shd w:val="clear" w:color="auto" w:fill="E6E6E6"/>
        </w:rPr>
        <w:fldChar w:fldCharType="begin"/>
      </w:r>
      <w:r w:rsidRPr="00116E55">
        <w:rPr>
          <w:color w:val="002279"/>
        </w:rPr>
        <w:instrText xml:space="preserve"> TOC \o "1-1" \h \z \u </w:instrText>
      </w:r>
      <w:r w:rsidRPr="00116E55">
        <w:rPr>
          <w:color w:val="002279"/>
          <w:shd w:val="clear" w:color="auto" w:fill="E6E6E6"/>
        </w:rPr>
        <w:fldChar w:fldCharType="separate"/>
      </w:r>
      <w:hyperlink w:anchor="_Toc114644603" w:history="1">
        <w:r w:rsidR="00302186" w:rsidRPr="00612EFF">
          <w:rPr>
            <w:rStyle w:val="Hyperlink"/>
            <w:b w:val="0"/>
            <w:bCs/>
          </w:rPr>
          <w:t>Price submission: At-a-glance</w:t>
        </w:r>
        <w:r w:rsidR="00302186" w:rsidRPr="00612EFF">
          <w:rPr>
            <w:b w:val="0"/>
            <w:bCs/>
            <w:webHidden/>
          </w:rPr>
          <w:tab/>
        </w:r>
        <w:r w:rsidR="00661096" w:rsidRPr="00612EFF">
          <w:rPr>
            <w:b w:val="0"/>
            <w:bCs/>
            <w:webHidden/>
          </w:rPr>
          <w:tab/>
        </w:r>
        <w:r w:rsidR="00302186" w:rsidRPr="00612EFF">
          <w:rPr>
            <w:b w:val="0"/>
            <w:bCs/>
            <w:webHidden/>
          </w:rPr>
          <w:fldChar w:fldCharType="begin"/>
        </w:r>
        <w:r w:rsidR="00302186" w:rsidRPr="00612EFF">
          <w:rPr>
            <w:b w:val="0"/>
            <w:bCs/>
            <w:webHidden/>
          </w:rPr>
          <w:instrText xml:space="preserve"> PAGEREF _Toc114644603 \h </w:instrText>
        </w:r>
        <w:r w:rsidR="00302186" w:rsidRPr="00612EFF">
          <w:rPr>
            <w:b w:val="0"/>
            <w:bCs/>
            <w:webHidden/>
          </w:rPr>
        </w:r>
        <w:r w:rsidR="00302186" w:rsidRPr="00612EFF">
          <w:rPr>
            <w:b w:val="0"/>
            <w:bCs/>
            <w:webHidden/>
          </w:rPr>
          <w:fldChar w:fldCharType="separate"/>
        </w:r>
        <w:r w:rsidR="00D56AEE">
          <w:rPr>
            <w:b w:val="0"/>
            <w:bCs/>
            <w:webHidden/>
          </w:rPr>
          <w:t>4</w:t>
        </w:r>
        <w:r w:rsidR="00302186" w:rsidRPr="00612EFF">
          <w:rPr>
            <w:b w:val="0"/>
            <w:bCs/>
            <w:webHidden/>
          </w:rPr>
          <w:fldChar w:fldCharType="end"/>
        </w:r>
      </w:hyperlink>
    </w:p>
    <w:p w14:paraId="7F09199F" w14:textId="3DD72F54" w:rsidR="00302186" w:rsidRPr="00612EFF" w:rsidRDefault="00000000" w:rsidP="003A2D17">
      <w:pPr>
        <w:pStyle w:val="TOC1"/>
        <w:tabs>
          <w:tab w:val="right" w:pos="10773"/>
        </w:tabs>
        <w:spacing w:before="300" w:after="120"/>
        <w:ind w:left="0" w:firstLine="0"/>
        <w:rPr>
          <w:rFonts w:asciiTheme="minorHAnsi" w:eastAsiaTheme="minorEastAsia" w:hAnsiTheme="minorHAnsi"/>
          <w:b w:val="0"/>
          <w:bCs/>
          <w:color w:val="auto"/>
          <w:sz w:val="22"/>
          <w:szCs w:val="22"/>
          <w:lang w:eastAsia="en-AU"/>
        </w:rPr>
      </w:pPr>
      <w:hyperlink w:anchor="_Toc114644604" w:history="1">
        <w:r w:rsidR="00302186" w:rsidRPr="00612EFF">
          <w:rPr>
            <w:rStyle w:val="Hyperlink"/>
            <w:b w:val="0"/>
            <w:bCs/>
          </w:rPr>
          <w:t>Board attestation</w:t>
        </w:r>
        <w:r w:rsidR="00302186" w:rsidRPr="00612EFF">
          <w:rPr>
            <w:b w:val="0"/>
            <w:bCs/>
            <w:webHidden/>
          </w:rPr>
          <w:tab/>
        </w:r>
        <w:r w:rsidR="00661096" w:rsidRPr="00612EFF">
          <w:rPr>
            <w:b w:val="0"/>
            <w:bCs/>
            <w:webHidden/>
          </w:rPr>
          <w:tab/>
        </w:r>
        <w:r w:rsidR="00F12E51">
          <w:rPr>
            <w:b w:val="0"/>
            <w:bCs/>
            <w:webHidden/>
          </w:rPr>
          <w:t>5</w:t>
        </w:r>
      </w:hyperlink>
    </w:p>
    <w:p w14:paraId="1B28F508" w14:textId="033F8E00" w:rsidR="00302186" w:rsidRPr="00612EFF" w:rsidRDefault="00000000" w:rsidP="003A2D17">
      <w:pPr>
        <w:pStyle w:val="TOC1"/>
        <w:tabs>
          <w:tab w:val="right" w:pos="10773"/>
        </w:tabs>
        <w:spacing w:before="300" w:after="120"/>
        <w:ind w:left="0" w:firstLine="0"/>
        <w:rPr>
          <w:rFonts w:asciiTheme="minorHAnsi" w:eastAsiaTheme="minorEastAsia" w:hAnsiTheme="minorHAnsi"/>
          <w:b w:val="0"/>
          <w:bCs/>
          <w:color w:val="auto"/>
          <w:sz w:val="22"/>
          <w:szCs w:val="22"/>
          <w:lang w:eastAsia="en-AU"/>
        </w:rPr>
      </w:pPr>
      <w:hyperlink w:anchor="_Toc114644605" w:history="1">
        <w:r w:rsidR="00302186" w:rsidRPr="00612EFF">
          <w:rPr>
            <w:rStyle w:val="Hyperlink"/>
            <w:b w:val="0"/>
            <w:bCs/>
          </w:rPr>
          <w:t>Message from the Customer and Community Advisory Council</w:t>
        </w:r>
        <w:r w:rsidR="005F5D77" w:rsidRPr="00612EFF">
          <w:rPr>
            <w:b w:val="0"/>
            <w:bCs/>
            <w:webHidden/>
          </w:rPr>
          <w:t xml:space="preserve"> </w:t>
        </w:r>
        <w:r w:rsidR="00661096" w:rsidRPr="00612EFF">
          <w:rPr>
            <w:b w:val="0"/>
            <w:bCs/>
            <w:webHidden/>
          </w:rPr>
          <w:tab/>
        </w:r>
        <w:r w:rsidR="00F12E51">
          <w:rPr>
            <w:b w:val="0"/>
            <w:bCs/>
            <w:webHidden/>
          </w:rPr>
          <w:t>6</w:t>
        </w:r>
      </w:hyperlink>
    </w:p>
    <w:p w14:paraId="5A836A34" w14:textId="3837395E" w:rsidR="00302186" w:rsidRPr="00612EFF" w:rsidRDefault="00000000" w:rsidP="003A2D17">
      <w:pPr>
        <w:pStyle w:val="TOC1"/>
        <w:tabs>
          <w:tab w:val="right" w:pos="10773"/>
        </w:tabs>
        <w:spacing w:before="300" w:after="120"/>
        <w:ind w:left="0" w:firstLine="0"/>
        <w:rPr>
          <w:rFonts w:asciiTheme="minorHAnsi" w:eastAsiaTheme="minorEastAsia" w:hAnsiTheme="minorHAnsi"/>
          <w:b w:val="0"/>
          <w:bCs/>
          <w:color w:val="auto"/>
          <w:sz w:val="22"/>
          <w:szCs w:val="22"/>
          <w:lang w:eastAsia="en-AU"/>
        </w:rPr>
      </w:pPr>
      <w:hyperlink w:anchor="_Toc114644606" w:history="1">
        <w:r w:rsidR="00302186" w:rsidRPr="00612EFF">
          <w:rPr>
            <w:rStyle w:val="Hyperlink"/>
            <w:b w:val="0"/>
            <w:bCs/>
          </w:rPr>
          <w:t>Executive summary</w:t>
        </w:r>
        <w:r w:rsidR="00302186" w:rsidRPr="00612EFF">
          <w:rPr>
            <w:b w:val="0"/>
            <w:bCs/>
            <w:webHidden/>
          </w:rPr>
          <w:tab/>
        </w:r>
        <w:r w:rsidR="00661096" w:rsidRPr="00612EFF">
          <w:rPr>
            <w:b w:val="0"/>
            <w:bCs/>
            <w:webHidden/>
          </w:rPr>
          <w:tab/>
        </w:r>
        <w:r w:rsidR="00F12E51">
          <w:rPr>
            <w:b w:val="0"/>
            <w:bCs/>
            <w:webHidden/>
          </w:rPr>
          <w:t>8</w:t>
        </w:r>
      </w:hyperlink>
    </w:p>
    <w:p w14:paraId="7E8E3111" w14:textId="5DD8DE58" w:rsidR="00302186" w:rsidRPr="00612EFF" w:rsidRDefault="00000000" w:rsidP="003A2D17">
      <w:pPr>
        <w:pStyle w:val="TOC1"/>
        <w:tabs>
          <w:tab w:val="right" w:pos="10773"/>
        </w:tabs>
        <w:spacing w:before="300" w:after="120"/>
        <w:ind w:left="425"/>
        <w:rPr>
          <w:rFonts w:asciiTheme="minorHAnsi" w:eastAsiaTheme="minorEastAsia" w:hAnsiTheme="minorHAnsi"/>
          <w:b w:val="0"/>
          <w:bCs/>
          <w:color w:val="0075E3"/>
          <w:sz w:val="28"/>
          <w:szCs w:val="28"/>
          <w:lang w:eastAsia="en-AU"/>
        </w:rPr>
      </w:pPr>
      <w:hyperlink w:anchor="_Toc114644608" w:history="1">
        <w:r w:rsidR="00302186" w:rsidRPr="00612EFF">
          <w:rPr>
            <w:rStyle w:val="Hyperlink"/>
            <w:b w:val="0"/>
            <w:bCs/>
            <w:color w:val="0075E3"/>
            <w:sz w:val="28"/>
            <w:szCs w:val="28"/>
          </w:rPr>
          <w:t>Part 1: Our commitment to delivering outcomes for customers</w:t>
        </w:r>
        <w:r w:rsidR="00BE25F5" w:rsidRPr="00612EFF">
          <w:rPr>
            <w:b w:val="0"/>
            <w:bCs/>
            <w:webHidden/>
            <w:color w:val="0075E3"/>
            <w:sz w:val="28"/>
            <w:szCs w:val="28"/>
          </w:rPr>
          <w:t xml:space="preserve"> </w:t>
        </w:r>
        <w:r w:rsidR="00661096" w:rsidRPr="00612EFF">
          <w:rPr>
            <w:b w:val="0"/>
            <w:bCs/>
            <w:webHidden/>
            <w:color w:val="0075E3"/>
            <w:sz w:val="28"/>
            <w:szCs w:val="28"/>
          </w:rPr>
          <w:tab/>
        </w:r>
        <w:r w:rsidR="00302186" w:rsidRPr="00612EFF">
          <w:rPr>
            <w:webHidden/>
            <w:color w:val="0075E3"/>
            <w:sz w:val="28"/>
            <w:szCs w:val="28"/>
          </w:rPr>
          <w:fldChar w:fldCharType="begin"/>
        </w:r>
        <w:r w:rsidR="00302186" w:rsidRPr="00612EFF">
          <w:rPr>
            <w:webHidden/>
            <w:color w:val="0075E3"/>
            <w:sz w:val="28"/>
            <w:szCs w:val="28"/>
          </w:rPr>
          <w:instrText xml:space="preserve"> PAGEREF _Toc114644608 \h </w:instrText>
        </w:r>
        <w:r w:rsidR="00302186" w:rsidRPr="00612EFF">
          <w:rPr>
            <w:webHidden/>
            <w:color w:val="0075E3"/>
            <w:sz w:val="28"/>
            <w:szCs w:val="28"/>
          </w:rPr>
        </w:r>
        <w:r w:rsidR="00302186" w:rsidRPr="00612EFF">
          <w:rPr>
            <w:webHidden/>
            <w:color w:val="0075E3"/>
            <w:sz w:val="28"/>
            <w:szCs w:val="28"/>
          </w:rPr>
          <w:fldChar w:fldCharType="separate"/>
        </w:r>
        <w:r w:rsidR="00D56AEE">
          <w:rPr>
            <w:webHidden/>
            <w:color w:val="0075E3"/>
            <w:sz w:val="28"/>
            <w:szCs w:val="28"/>
          </w:rPr>
          <w:t>17</w:t>
        </w:r>
        <w:r w:rsidR="00302186" w:rsidRPr="00612EFF">
          <w:rPr>
            <w:webHidden/>
            <w:color w:val="0075E3"/>
            <w:sz w:val="28"/>
            <w:szCs w:val="28"/>
          </w:rPr>
          <w:fldChar w:fldCharType="end"/>
        </w:r>
      </w:hyperlink>
    </w:p>
    <w:p w14:paraId="2FFD53C3" w14:textId="4056D086" w:rsidR="00302186" w:rsidRPr="00612EFF" w:rsidRDefault="00000000" w:rsidP="003A2D17">
      <w:pPr>
        <w:pStyle w:val="TOC1"/>
        <w:tabs>
          <w:tab w:val="right" w:pos="10773"/>
        </w:tabs>
        <w:spacing w:before="300" w:after="120"/>
        <w:ind w:left="425"/>
        <w:rPr>
          <w:rFonts w:asciiTheme="minorHAnsi" w:eastAsiaTheme="minorEastAsia" w:hAnsiTheme="minorHAnsi"/>
          <w:b w:val="0"/>
          <w:bCs/>
          <w:color w:val="auto"/>
          <w:sz w:val="22"/>
          <w:szCs w:val="22"/>
          <w:lang w:eastAsia="en-AU"/>
        </w:rPr>
      </w:pPr>
      <w:hyperlink w:anchor="_Toc114644609" w:history="1">
        <w:r w:rsidR="00302186" w:rsidRPr="00612EFF">
          <w:rPr>
            <w:rStyle w:val="Hyperlink"/>
            <w:b w:val="0"/>
            <w:bCs/>
          </w:rPr>
          <w:t>Performance</w:t>
        </w:r>
        <w:r w:rsidR="00302186" w:rsidRPr="00612EFF">
          <w:rPr>
            <w:b w:val="0"/>
            <w:bCs/>
            <w:webHidden/>
          </w:rPr>
          <w:tab/>
        </w:r>
        <w:r w:rsidR="00661096" w:rsidRPr="00612EFF">
          <w:rPr>
            <w:b w:val="0"/>
            <w:bCs/>
            <w:webHidden/>
          </w:rPr>
          <w:tab/>
        </w:r>
        <w:r w:rsidR="00302186" w:rsidRPr="00612EFF">
          <w:rPr>
            <w:b w:val="0"/>
            <w:bCs/>
            <w:webHidden/>
          </w:rPr>
          <w:fldChar w:fldCharType="begin"/>
        </w:r>
        <w:r w:rsidR="00302186" w:rsidRPr="00612EFF">
          <w:rPr>
            <w:b w:val="0"/>
            <w:bCs/>
            <w:webHidden/>
          </w:rPr>
          <w:instrText xml:space="preserve"> PAGEREF _Toc114644609 \h </w:instrText>
        </w:r>
        <w:r w:rsidR="00302186" w:rsidRPr="00612EFF">
          <w:rPr>
            <w:b w:val="0"/>
            <w:bCs/>
            <w:webHidden/>
          </w:rPr>
        </w:r>
        <w:r w:rsidR="00302186" w:rsidRPr="00612EFF">
          <w:rPr>
            <w:b w:val="0"/>
            <w:bCs/>
            <w:webHidden/>
          </w:rPr>
          <w:fldChar w:fldCharType="separate"/>
        </w:r>
        <w:r w:rsidR="00D56AEE">
          <w:rPr>
            <w:b w:val="0"/>
            <w:bCs/>
            <w:webHidden/>
          </w:rPr>
          <w:t>18</w:t>
        </w:r>
        <w:r w:rsidR="00302186" w:rsidRPr="00612EFF">
          <w:rPr>
            <w:b w:val="0"/>
            <w:bCs/>
            <w:webHidden/>
          </w:rPr>
          <w:fldChar w:fldCharType="end"/>
        </w:r>
      </w:hyperlink>
    </w:p>
    <w:p w14:paraId="2483199D" w14:textId="24C2CA63" w:rsidR="00302186" w:rsidRPr="00612EFF" w:rsidRDefault="00000000" w:rsidP="003A2D17">
      <w:pPr>
        <w:pStyle w:val="TOC1"/>
        <w:tabs>
          <w:tab w:val="right" w:pos="10773"/>
        </w:tabs>
        <w:spacing w:before="300" w:after="120"/>
        <w:ind w:left="425"/>
        <w:rPr>
          <w:rFonts w:asciiTheme="minorHAnsi" w:eastAsiaTheme="minorEastAsia" w:hAnsiTheme="minorHAnsi"/>
          <w:b w:val="0"/>
          <w:bCs/>
          <w:color w:val="auto"/>
          <w:sz w:val="22"/>
          <w:szCs w:val="22"/>
          <w:lang w:eastAsia="en-AU"/>
        </w:rPr>
      </w:pPr>
      <w:hyperlink w:anchor="_Toc114644610" w:history="1">
        <w:r w:rsidR="00302186" w:rsidRPr="00612EFF">
          <w:rPr>
            <w:rStyle w:val="Hyperlink"/>
            <w:b w:val="0"/>
            <w:bCs/>
          </w:rPr>
          <w:t>Engagement</w:t>
        </w:r>
        <w:r w:rsidR="00661096" w:rsidRPr="00612EFF">
          <w:rPr>
            <w:rStyle w:val="Hyperlink"/>
            <w:b w:val="0"/>
            <w:bCs/>
          </w:rPr>
          <w:tab/>
        </w:r>
        <w:r w:rsidR="00302186" w:rsidRPr="00612EFF">
          <w:rPr>
            <w:b w:val="0"/>
            <w:bCs/>
            <w:webHidden/>
          </w:rPr>
          <w:tab/>
        </w:r>
        <w:r w:rsidR="00302186" w:rsidRPr="00612EFF">
          <w:rPr>
            <w:b w:val="0"/>
            <w:bCs/>
            <w:webHidden/>
          </w:rPr>
          <w:fldChar w:fldCharType="begin"/>
        </w:r>
        <w:r w:rsidR="00302186" w:rsidRPr="00612EFF">
          <w:rPr>
            <w:b w:val="0"/>
            <w:bCs/>
            <w:webHidden/>
          </w:rPr>
          <w:instrText xml:space="preserve"> PAGEREF _Toc114644610 \h </w:instrText>
        </w:r>
        <w:r w:rsidR="00302186" w:rsidRPr="00612EFF">
          <w:rPr>
            <w:b w:val="0"/>
            <w:bCs/>
            <w:webHidden/>
          </w:rPr>
        </w:r>
        <w:r w:rsidR="00302186" w:rsidRPr="00612EFF">
          <w:rPr>
            <w:b w:val="0"/>
            <w:bCs/>
            <w:webHidden/>
          </w:rPr>
          <w:fldChar w:fldCharType="separate"/>
        </w:r>
        <w:r w:rsidR="00D56AEE">
          <w:rPr>
            <w:b w:val="0"/>
            <w:bCs/>
            <w:webHidden/>
          </w:rPr>
          <w:t>24</w:t>
        </w:r>
        <w:r w:rsidR="00302186" w:rsidRPr="00612EFF">
          <w:rPr>
            <w:b w:val="0"/>
            <w:bCs/>
            <w:webHidden/>
          </w:rPr>
          <w:fldChar w:fldCharType="end"/>
        </w:r>
      </w:hyperlink>
    </w:p>
    <w:p w14:paraId="038355D4" w14:textId="7035F54D" w:rsidR="00302186" w:rsidRPr="00612EFF" w:rsidRDefault="00000000" w:rsidP="003A2D17">
      <w:pPr>
        <w:pStyle w:val="TOC1"/>
        <w:tabs>
          <w:tab w:val="right" w:pos="10773"/>
        </w:tabs>
        <w:spacing w:before="300" w:after="120"/>
        <w:ind w:left="425"/>
        <w:rPr>
          <w:rFonts w:asciiTheme="minorHAnsi" w:eastAsiaTheme="minorEastAsia" w:hAnsiTheme="minorHAnsi"/>
          <w:b w:val="0"/>
          <w:bCs/>
          <w:color w:val="auto"/>
          <w:sz w:val="22"/>
          <w:szCs w:val="22"/>
          <w:lang w:eastAsia="en-AU"/>
        </w:rPr>
      </w:pPr>
      <w:hyperlink w:anchor="_Toc114644611" w:history="1">
        <w:r w:rsidR="00302186" w:rsidRPr="00612EFF">
          <w:rPr>
            <w:rStyle w:val="Hyperlink"/>
            <w:b w:val="0"/>
            <w:bCs/>
          </w:rPr>
          <w:t>Outcomes</w:t>
        </w:r>
        <w:r w:rsidR="00302186" w:rsidRPr="00612EFF">
          <w:rPr>
            <w:b w:val="0"/>
            <w:bCs/>
            <w:webHidden/>
          </w:rPr>
          <w:tab/>
        </w:r>
        <w:r w:rsidR="00661096" w:rsidRPr="00612EFF">
          <w:rPr>
            <w:b w:val="0"/>
            <w:bCs/>
            <w:webHidden/>
          </w:rPr>
          <w:tab/>
        </w:r>
        <w:r w:rsidR="00302186" w:rsidRPr="00612EFF">
          <w:rPr>
            <w:b w:val="0"/>
            <w:bCs/>
            <w:webHidden/>
          </w:rPr>
          <w:fldChar w:fldCharType="begin"/>
        </w:r>
        <w:r w:rsidR="00302186" w:rsidRPr="00612EFF">
          <w:rPr>
            <w:b w:val="0"/>
            <w:bCs/>
            <w:webHidden/>
          </w:rPr>
          <w:instrText xml:space="preserve"> PAGEREF _Toc114644611 \h </w:instrText>
        </w:r>
        <w:r w:rsidR="00302186" w:rsidRPr="00612EFF">
          <w:rPr>
            <w:b w:val="0"/>
            <w:bCs/>
            <w:webHidden/>
          </w:rPr>
        </w:r>
        <w:r w:rsidR="00302186" w:rsidRPr="00612EFF">
          <w:rPr>
            <w:b w:val="0"/>
            <w:bCs/>
            <w:webHidden/>
          </w:rPr>
          <w:fldChar w:fldCharType="separate"/>
        </w:r>
        <w:r w:rsidR="00D56AEE">
          <w:rPr>
            <w:b w:val="0"/>
            <w:bCs/>
            <w:webHidden/>
          </w:rPr>
          <w:t>36</w:t>
        </w:r>
        <w:r w:rsidR="00302186" w:rsidRPr="00612EFF">
          <w:rPr>
            <w:b w:val="0"/>
            <w:bCs/>
            <w:webHidden/>
          </w:rPr>
          <w:fldChar w:fldCharType="end"/>
        </w:r>
      </w:hyperlink>
    </w:p>
    <w:p w14:paraId="7DAD4E93" w14:textId="514DDF64" w:rsidR="00302186" w:rsidRDefault="00000000" w:rsidP="003A2D17">
      <w:pPr>
        <w:pStyle w:val="TOC1"/>
        <w:tabs>
          <w:tab w:val="right" w:pos="10773"/>
        </w:tabs>
        <w:spacing w:before="300" w:after="120"/>
        <w:ind w:left="425"/>
        <w:rPr>
          <w:color w:val="0075E3"/>
          <w:sz w:val="28"/>
          <w:szCs w:val="28"/>
        </w:rPr>
      </w:pPr>
      <w:hyperlink w:anchor="_Toc114644615" w:history="1">
        <w:r w:rsidR="00302186" w:rsidRPr="00612EFF">
          <w:rPr>
            <w:rStyle w:val="Hyperlink"/>
            <w:b w:val="0"/>
            <w:bCs/>
            <w:color w:val="0075E3"/>
            <w:sz w:val="28"/>
            <w:szCs w:val="28"/>
          </w:rPr>
          <w:t>Part 2: How we will deliver these outcomes</w:t>
        </w:r>
        <w:r w:rsidR="00302186" w:rsidRPr="00612EFF">
          <w:rPr>
            <w:b w:val="0"/>
            <w:bCs/>
            <w:webHidden/>
            <w:color w:val="0075E3"/>
            <w:sz w:val="28"/>
            <w:szCs w:val="28"/>
          </w:rPr>
          <w:tab/>
        </w:r>
        <w:r w:rsidR="0021014E" w:rsidRPr="00612EFF">
          <w:rPr>
            <w:b w:val="0"/>
            <w:bCs/>
            <w:webHidden/>
            <w:color w:val="0075E3"/>
            <w:sz w:val="28"/>
            <w:szCs w:val="28"/>
          </w:rPr>
          <w:tab/>
        </w:r>
        <w:r w:rsidR="00302186" w:rsidRPr="00612EFF">
          <w:rPr>
            <w:webHidden/>
            <w:color w:val="0075E3"/>
            <w:sz w:val="28"/>
            <w:szCs w:val="28"/>
          </w:rPr>
          <w:fldChar w:fldCharType="begin"/>
        </w:r>
        <w:r w:rsidR="00302186" w:rsidRPr="00612EFF">
          <w:rPr>
            <w:webHidden/>
            <w:color w:val="0075E3"/>
            <w:sz w:val="28"/>
            <w:szCs w:val="28"/>
          </w:rPr>
          <w:instrText xml:space="preserve"> PAGEREF _Toc114644615 \h </w:instrText>
        </w:r>
        <w:r w:rsidR="00302186" w:rsidRPr="00612EFF">
          <w:rPr>
            <w:webHidden/>
            <w:color w:val="0075E3"/>
            <w:sz w:val="28"/>
            <w:szCs w:val="28"/>
          </w:rPr>
        </w:r>
        <w:r w:rsidR="00302186" w:rsidRPr="00612EFF">
          <w:rPr>
            <w:webHidden/>
            <w:color w:val="0075E3"/>
            <w:sz w:val="28"/>
            <w:szCs w:val="28"/>
          </w:rPr>
          <w:fldChar w:fldCharType="separate"/>
        </w:r>
        <w:r w:rsidR="00D56AEE">
          <w:rPr>
            <w:webHidden/>
            <w:color w:val="0075E3"/>
            <w:sz w:val="28"/>
            <w:szCs w:val="28"/>
          </w:rPr>
          <w:t>48</w:t>
        </w:r>
        <w:r w:rsidR="00302186" w:rsidRPr="00612EFF">
          <w:rPr>
            <w:webHidden/>
            <w:color w:val="0075E3"/>
            <w:sz w:val="28"/>
            <w:szCs w:val="28"/>
          </w:rPr>
          <w:fldChar w:fldCharType="end"/>
        </w:r>
      </w:hyperlink>
    </w:p>
    <w:p w14:paraId="3F5B7A10" w14:textId="1192FFC9" w:rsidR="003A2D17" w:rsidRPr="00612EFF" w:rsidRDefault="00000000" w:rsidP="003A2D17">
      <w:pPr>
        <w:pStyle w:val="TOC1"/>
        <w:tabs>
          <w:tab w:val="right" w:pos="10773"/>
        </w:tabs>
        <w:spacing w:before="300" w:after="120"/>
        <w:ind w:left="425"/>
        <w:rPr>
          <w:rFonts w:asciiTheme="minorHAnsi" w:eastAsiaTheme="minorEastAsia" w:hAnsiTheme="minorHAnsi"/>
          <w:b w:val="0"/>
          <w:bCs/>
          <w:color w:val="auto"/>
          <w:sz w:val="22"/>
          <w:szCs w:val="22"/>
          <w:lang w:eastAsia="en-AU"/>
        </w:rPr>
      </w:pPr>
      <w:hyperlink w:anchor="_4._Management" w:history="1">
        <w:r w:rsidR="003A2D17">
          <w:rPr>
            <w:rStyle w:val="Hyperlink"/>
            <w:b w:val="0"/>
            <w:bCs/>
          </w:rPr>
          <w:t>Management</w:t>
        </w:r>
        <w:r w:rsidR="003A2D17" w:rsidRPr="00612EFF">
          <w:rPr>
            <w:b w:val="0"/>
            <w:bCs/>
            <w:webHidden/>
          </w:rPr>
          <w:tab/>
        </w:r>
        <w:r w:rsidR="003A2D17" w:rsidRPr="00612EFF">
          <w:rPr>
            <w:b w:val="0"/>
            <w:bCs/>
            <w:webHidden/>
          </w:rPr>
          <w:tab/>
        </w:r>
        <w:r w:rsidR="003A2D17">
          <w:rPr>
            <w:b w:val="0"/>
            <w:bCs/>
            <w:webHidden/>
          </w:rPr>
          <w:t>49</w:t>
        </w:r>
      </w:hyperlink>
    </w:p>
    <w:p w14:paraId="33669F5D" w14:textId="64F3F9EC" w:rsidR="003A2D17" w:rsidRPr="00612EFF" w:rsidRDefault="00000000" w:rsidP="002E76C1">
      <w:pPr>
        <w:pStyle w:val="TOC1"/>
        <w:tabs>
          <w:tab w:val="right" w:pos="10773"/>
        </w:tabs>
        <w:spacing w:before="300" w:after="120"/>
        <w:ind w:left="425"/>
        <w:outlineLvl w:val="1"/>
        <w:rPr>
          <w:rFonts w:asciiTheme="minorHAnsi" w:eastAsiaTheme="minorEastAsia" w:hAnsiTheme="minorHAnsi"/>
          <w:b w:val="0"/>
          <w:bCs/>
          <w:color w:val="auto"/>
          <w:sz w:val="22"/>
          <w:szCs w:val="22"/>
          <w:lang w:eastAsia="en-AU"/>
        </w:rPr>
      </w:pPr>
      <w:hyperlink w:anchor="_5._Risk" w:history="1">
        <w:r w:rsidR="003A2D17">
          <w:rPr>
            <w:rStyle w:val="Hyperlink"/>
            <w:b w:val="0"/>
            <w:bCs/>
          </w:rPr>
          <w:t>Risk</w:t>
        </w:r>
        <w:r w:rsidR="003A2D17" w:rsidRPr="00612EFF">
          <w:rPr>
            <w:rStyle w:val="Hyperlink"/>
            <w:b w:val="0"/>
            <w:bCs/>
          </w:rPr>
          <w:tab/>
        </w:r>
        <w:r w:rsidR="003A2D17" w:rsidRPr="00612EFF">
          <w:rPr>
            <w:b w:val="0"/>
            <w:bCs/>
            <w:webHidden/>
          </w:rPr>
          <w:tab/>
        </w:r>
        <w:r w:rsidR="00D56AEE">
          <w:rPr>
            <w:b w:val="0"/>
            <w:bCs/>
            <w:webHidden/>
          </w:rPr>
          <w:t>60</w:t>
        </w:r>
      </w:hyperlink>
    </w:p>
    <w:p w14:paraId="08AF2DC4" w14:textId="2496D3C4" w:rsidR="003A2D17" w:rsidRDefault="00000000" w:rsidP="002E76C1">
      <w:pPr>
        <w:pStyle w:val="TOC1"/>
        <w:tabs>
          <w:tab w:val="right" w:pos="10773"/>
        </w:tabs>
        <w:spacing w:before="300" w:after="120"/>
        <w:ind w:left="425"/>
        <w:outlineLvl w:val="1"/>
        <w:rPr>
          <w:b w:val="0"/>
          <w:bCs/>
        </w:rPr>
      </w:pPr>
      <w:hyperlink w:anchor="_6._Forecast_capital" w:history="1">
        <w:r w:rsidR="003A2D17">
          <w:rPr>
            <w:rStyle w:val="Hyperlink"/>
            <w:b w:val="0"/>
            <w:bCs/>
          </w:rPr>
          <w:t>Forecast capital expenditure</w:t>
        </w:r>
        <w:r w:rsidR="003A2D17" w:rsidRPr="00612EFF">
          <w:rPr>
            <w:b w:val="0"/>
            <w:bCs/>
            <w:webHidden/>
          </w:rPr>
          <w:tab/>
        </w:r>
        <w:r w:rsidR="003A2D17" w:rsidRPr="00612EFF">
          <w:rPr>
            <w:b w:val="0"/>
            <w:bCs/>
            <w:webHidden/>
          </w:rPr>
          <w:tab/>
        </w:r>
        <w:r w:rsidR="003A2D17">
          <w:rPr>
            <w:b w:val="0"/>
            <w:bCs/>
            <w:webHidden/>
          </w:rPr>
          <w:t>6</w:t>
        </w:r>
        <w:r w:rsidR="00D56AEE">
          <w:rPr>
            <w:b w:val="0"/>
            <w:bCs/>
            <w:webHidden/>
          </w:rPr>
          <w:t>8</w:t>
        </w:r>
      </w:hyperlink>
    </w:p>
    <w:p w14:paraId="7C55F729" w14:textId="397C17D0" w:rsidR="003A2D17" w:rsidRPr="003A2D17" w:rsidRDefault="00000000" w:rsidP="003A2D17">
      <w:pPr>
        <w:pStyle w:val="TOC1"/>
        <w:tabs>
          <w:tab w:val="right" w:pos="10773"/>
        </w:tabs>
        <w:spacing w:before="300" w:after="120"/>
        <w:ind w:left="425"/>
        <w:rPr>
          <w:b w:val="0"/>
          <w:bCs/>
        </w:rPr>
      </w:pPr>
      <w:hyperlink w:anchor="_7._Forecast_operating" w:history="1">
        <w:r w:rsidR="003A2D17">
          <w:rPr>
            <w:rStyle w:val="Hyperlink"/>
            <w:b w:val="0"/>
            <w:bCs/>
          </w:rPr>
          <w:t>Forecast operating expenditure</w:t>
        </w:r>
        <w:r w:rsidR="003A2D17" w:rsidRPr="00612EFF">
          <w:rPr>
            <w:b w:val="0"/>
            <w:bCs/>
            <w:webHidden/>
          </w:rPr>
          <w:tab/>
        </w:r>
        <w:r w:rsidR="003A2D17" w:rsidRPr="00612EFF">
          <w:rPr>
            <w:b w:val="0"/>
            <w:bCs/>
            <w:webHidden/>
          </w:rPr>
          <w:tab/>
        </w:r>
        <w:r w:rsidR="003A2D17">
          <w:rPr>
            <w:b w:val="0"/>
            <w:bCs/>
            <w:webHidden/>
          </w:rPr>
          <w:t>9</w:t>
        </w:r>
        <w:r w:rsidR="00D56AEE">
          <w:rPr>
            <w:b w:val="0"/>
            <w:bCs/>
            <w:webHidden/>
          </w:rPr>
          <w:t>4</w:t>
        </w:r>
      </w:hyperlink>
    </w:p>
    <w:p w14:paraId="7CAC4B52" w14:textId="49090BD2" w:rsidR="00302186" w:rsidRPr="00612EFF" w:rsidRDefault="00000000" w:rsidP="003A2D17">
      <w:pPr>
        <w:pStyle w:val="TOC1"/>
        <w:tabs>
          <w:tab w:val="right" w:pos="10773"/>
        </w:tabs>
        <w:spacing w:before="300" w:after="120"/>
        <w:ind w:left="425"/>
        <w:rPr>
          <w:rFonts w:asciiTheme="minorHAnsi" w:eastAsiaTheme="minorEastAsia" w:hAnsiTheme="minorHAnsi"/>
          <w:b w:val="0"/>
          <w:bCs/>
          <w:color w:val="0075E3"/>
          <w:sz w:val="28"/>
          <w:szCs w:val="28"/>
          <w:lang w:eastAsia="en-AU"/>
        </w:rPr>
      </w:pPr>
      <w:hyperlink w:anchor="_Toc114644621" w:history="1">
        <w:r w:rsidR="00302186" w:rsidRPr="00612EFF">
          <w:rPr>
            <w:rStyle w:val="Hyperlink"/>
            <w:b w:val="0"/>
            <w:bCs/>
            <w:color w:val="0075E3"/>
            <w:sz w:val="28"/>
            <w:szCs w:val="28"/>
          </w:rPr>
          <w:t>Part 3: Prices to support delivery of outcomes</w:t>
        </w:r>
        <w:r w:rsidR="0021014E" w:rsidRPr="00612EFF">
          <w:rPr>
            <w:b w:val="0"/>
            <w:bCs/>
            <w:webHidden/>
            <w:color w:val="0075E3"/>
            <w:sz w:val="28"/>
            <w:szCs w:val="28"/>
          </w:rPr>
          <w:tab/>
        </w:r>
        <w:r w:rsidR="00302186" w:rsidRPr="00612EFF">
          <w:rPr>
            <w:webHidden/>
            <w:color w:val="0075E3"/>
            <w:sz w:val="28"/>
            <w:szCs w:val="28"/>
          </w:rPr>
          <w:fldChar w:fldCharType="begin"/>
        </w:r>
        <w:r w:rsidR="00302186" w:rsidRPr="00612EFF">
          <w:rPr>
            <w:webHidden/>
            <w:color w:val="0075E3"/>
            <w:sz w:val="28"/>
            <w:szCs w:val="28"/>
          </w:rPr>
          <w:instrText xml:space="preserve"> PAGEREF _Toc114644621 \h </w:instrText>
        </w:r>
        <w:r w:rsidR="00302186" w:rsidRPr="00612EFF">
          <w:rPr>
            <w:webHidden/>
            <w:color w:val="0075E3"/>
            <w:sz w:val="28"/>
            <w:szCs w:val="28"/>
          </w:rPr>
        </w:r>
        <w:r w:rsidR="00302186" w:rsidRPr="00612EFF">
          <w:rPr>
            <w:webHidden/>
            <w:color w:val="0075E3"/>
            <w:sz w:val="28"/>
            <w:szCs w:val="28"/>
          </w:rPr>
          <w:fldChar w:fldCharType="separate"/>
        </w:r>
        <w:r w:rsidR="00D56AEE">
          <w:rPr>
            <w:webHidden/>
            <w:color w:val="0075E3"/>
            <w:sz w:val="28"/>
            <w:szCs w:val="28"/>
          </w:rPr>
          <w:t>108</w:t>
        </w:r>
        <w:r w:rsidR="00302186" w:rsidRPr="00612EFF">
          <w:rPr>
            <w:webHidden/>
            <w:color w:val="0075E3"/>
            <w:sz w:val="28"/>
            <w:szCs w:val="28"/>
          </w:rPr>
          <w:fldChar w:fldCharType="end"/>
        </w:r>
      </w:hyperlink>
    </w:p>
    <w:p w14:paraId="78D2749C" w14:textId="49C3C2D2" w:rsidR="00302186" w:rsidRPr="00612EFF" w:rsidRDefault="00000000" w:rsidP="003A2D17">
      <w:pPr>
        <w:pStyle w:val="TOC1"/>
        <w:tabs>
          <w:tab w:val="right" w:pos="10773"/>
        </w:tabs>
        <w:spacing w:before="300" w:after="120"/>
        <w:ind w:left="425"/>
        <w:rPr>
          <w:rFonts w:asciiTheme="minorHAnsi" w:eastAsiaTheme="minorEastAsia" w:hAnsiTheme="minorHAnsi"/>
          <w:b w:val="0"/>
          <w:bCs/>
          <w:color w:val="auto"/>
          <w:sz w:val="22"/>
          <w:szCs w:val="22"/>
          <w:lang w:eastAsia="en-AU"/>
        </w:rPr>
      </w:pPr>
      <w:hyperlink w:anchor="_Toc114644622" w:history="1">
        <w:r w:rsidR="00302186" w:rsidRPr="00612EFF">
          <w:rPr>
            <w:rStyle w:val="Hyperlink"/>
            <w:b w:val="0"/>
            <w:bCs/>
          </w:rPr>
          <w:t>Overall revenue requirement</w:t>
        </w:r>
        <w:r w:rsidR="00302186" w:rsidRPr="00612EFF">
          <w:rPr>
            <w:b w:val="0"/>
            <w:bCs/>
            <w:webHidden/>
          </w:rPr>
          <w:tab/>
        </w:r>
        <w:r w:rsidR="0021014E" w:rsidRPr="00612EFF">
          <w:rPr>
            <w:b w:val="0"/>
            <w:bCs/>
            <w:webHidden/>
          </w:rPr>
          <w:tab/>
        </w:r>
        <w:r w:rsidR="00302186" w:rsidRPr="00612EFF">
          <w:rPr>
            <w:b w:val="0"/>
            <w:bCs/>
            <w:webHidden/>
          </w:rPr>
          <w:fldChar w:fldCharType="begin"/>
        </w:r>
        <w:r w:rsidR="00302186" w:rsidRPr="00612EFF">
          <w:rPr>
            <w:b w:val="0"/>
            <w:bCs/>
            <w:webHidden/>
          </w:rPr>
          <w:instrText xml:space="preserve"> PAGEREF _Toc114644622 \h </w:instrText>
        </w:r>
        <w:r w:rsidR="00302186" w:rsidRPr="00612EFF">
          <w:rPr>
            <w:b w:val="0"/>
            <w:bCs/>
            <w:webHidden/>
          </w:rPr>
        </w:r>
        <w:r w:rsidR="00302186" w:rsidRPr="00612EFF">
          <w:rPr>
            <w:b w:val="0"/>
            <w:bCs/>
            <w:webHidden/>
          </w:rPr>
          <w:fldChar w:fldCharType="separate"/>
        </w:r>
        <w:r w:rsidR="00D56AEE">
          <w:rPr>
            <w:b w:val="0"/>
            <w:bCs/>
            <w:webHidden/>
          </w:rPr>
          <w:t>109</w:t>
        </w:r>
        <w:r w:rsidR="00302186" w:rsidRPr="00612EFF">
          <w:rPr>
            <w:b w:val="0"/>
            <w:bCs/>
            <w:webHidden/>
          </w:rPr>
          <w:fldChar w:fldCharType="end"/>
        </w:r>
      </w:hyperlink>
    </w:p>
    <w:p w14:paraId="3CD06D33" w14:textId="401EFED0" w:rsidR="00302186" w:rsidRPr="00612EFF" w:rsidRDefault="00000000" w:rsidP="003A2D17">
      <w:pPr>
        <w:pStyle w:val="TOC1"/>
        <w:tabs>
          <w:tab w:val="right" w:pos="10773"/>
        </w:tabs>
        <w:spacing w:before="300" w:after="120"/>
        <w:ind w:left="425"/>
        <w:rPr>
          <w:rFonts w:asciiTheme="minorHAnsi" w:eastAsiaTheme="minorEastAsia" w:hAnsiTheme="minorHAnsi"/>
          <w:b w:val="0"/>
          <w:bCs/>
          <w:color w:val="auto"/>
          <w:sz w:val="22"/>
          <w:szCs w:val="22"/>
          <w:lang w:eastAsia="en-AU"/>
        </w:rPr>
      </w:pPr>
      <w:hyperlink w:anchor="_Toc114644623" w:history="1">
        <w:r w:rsidR="00302186" w:rsidRPr="00612EFF">
          <w:rPr>
            <w:rStyle w:val="Hyperlink"/>
            <w:b w:val="0"/>
            <w:bCs/>
          </w:rPr>
          <w:t>Demand forecasts</w:t>
        </w:r>
        <w:r w:rsidR="00302186" w:rsidRPr="00612EFF">
          <w:rPr>
            <w:b w:val="0"/>
            <w:bCs/>
            <w:webHidden/>
          </w:rPr>
          <w:tab/>
        </w:r>
        <w:r w:rsidR="0021014E" w:rsidRPr="00612EFF">
          <w:rPr>
            <w:b w:val="0"/>
            <w:bCs/>
            <w:webHidden/>
          </w:rPr>
          <w:tab/>
        </w:r>
        <w:r w:rsidR="00302186" w:rsidRPr="00612EFF">
          <w:rPr>
            <w:b w:val="0"/>
            <w:bCs/>
            <w:webHidden/>
          </w:rPr>
          <w:fldChar w:fldCharType="begin"/>
        </w:r>
        <w:r w:rsidR="00302186" w:rsidRPr="00612EFF">
          <w:rPr>
            <w:b w:val="0"/>
            <w:bCs/>
            <w:webHidden/>
          </w:rPr>
          <w:instrText xml:space="preserve"> PAGEREF _Toc114644623 \h </w:instrText>
        </w:r>
        <w:r w:rsidR="00302186" w:rsidRPr="00612EFF">
          <w:rPr>
            <w:b w:val="0"/>
            <w:bCs/>
            <w:webHidden/>
          </w:rPr>
        </w:r>
        <w:r w:rsidR="00302186" w:rsidRPr="00612EFF">
          <w:rPr>
            <w:b w:val="0"/>
            <w:bCs/>
            <w:webHidden/>
          </w:rPr>
          <w:fldChar w:fldCharType="separate"/>
        </w:r>
        <w:r w:rsidR="00D56AEE">
          <w:rPr>
            <w:b w:val="0"/>
            <w:bCs/>
            <w:webHidden/>
          </w:rPr>
          <w:t>114</w:t>
        </w:r>
        <w:r w:rsidR="00302186" w:rsidRPr="00612EFF">
          <w:rPr>
            <w:b w:val="0"/>
            <w:bCs/>
            <w:webHidden/>
          </w:rPr>
          <w:fldChar w:fldCharType="end"/>
        </w:r>
      </w:hyperlink>
    </w:p>
    <w:p w14:paraId="22F9FFFE" w14:textId="3CFE93BF" w:rsidR="00302186" w:rsidRPr="00612EFF" w:rsidRDefault="00000000" w:rsidP="003A2D17">
      <w:pPr>
        <w:pStyle w:val="TOC1"/>
        <w:tabs>
          <w:tab w:val="right" w:pos="10773"/>
        </w:tabs>
        <w:spacing w:before="300" w:after="120"/>
        <w:ind w:left="425"/>
        <w:rPr>
          <w:rFonts w:asciiTheme="minorHAnsi" w:eastAsiaTheme="minorEastAsia" w:hAnsiTheme="minorHAnsi"/>
          <w:b w:val="0"/>
          <w:bCs/>
          <w:color w:val="auto"/>
          <w:sz w:val="22"/>
          <w:szCs w:val="22"/>
          <w:lang w:eastAsia="en-AU"/>
        </w:rPr>
      </w:pPr>
      <w:hyperlink w:anchor="_Toc114644624" w:history="1">
        <w:r w:rsidR="00302186" w:rsidRPr="00612EFF">
          <w:rPr>
            <w:rStyle w:val="Hyperlink"/>
            <w:b w:val="0"/>
            <w:bCs/>
          </w:rPr>
          <w:t>Prices and tariff structures</w:t>
        </w:r>
        <w:r w:rsidR="00302186" w:rsidRPr="00612EFF">
          <w:rPr>
            <w:b w:val="0"/>
            <w:bCs/>
            <w:webHidden/>
          </w:rPr>
          <w:tab/>
        </w:r>
        <w:r w:rsidR="0021014E" w:rsidRPr="00612EFF">
          <w:rPr>
            <w:b w:val="0"/>
            <w:bCs/>
            <w:webHidden/>
          </w:rPr>
          <w:tab/>
        </w:r>
        <w:r w:rsidR="00302186" w:rsidRPr="00612EFF">
          <w:rPr>
            <w:b w:val="0"/>
            <w:bCs/>
            <w:webHidden/>
          </w:rPr>
          <w:fldChar w:fldCharType="begin"/>
        </w:r>
        <w:r w:rsidR="00302186" w:rsidRPr="00612EFF">
          <w:rPr>
            <w:b w:val="0"/>
            <w:bCs/>
            <w:webHidden/>
          </w:rPr>
          <w:instrText xml:space="preserve"> PAGEREF _Toc114644624 \h </w:instrText>
        </w:r>
        <w:r w:rsidR="00302186" w:rsidRPr="00612EFF">
          <w:rPr>
            <w:b w:val="0"/>
            <w:bCs/>
            <w:webHidden/>
          </w:rPr>
        </w:r>
        <w:r w:rsidR="00302186" w:rsidRPr="00612EFF">
          <w:rPr>
            <w:b w:val="0"/>
            <w:bCs/>
            <w:webHidden/>
          </w:rPr>
          <w:fldChar w:fldCharType="separate"/>
        </w:r>
        <w:r w:rsidR="00D56AEE">
          <w:rPr>
            <w:b w:val="0"/>
            <w:bCs/>
            <w:webHidden/>
          </w:rPr>
          <w:t>129</w:t>
        </w:r>
        <w:r w:rsidR="00302186" w:rsidRPr="00612EFF">
          <w:rPr>
            <w:b w:val="0"/>
            <w:bCs/>
            <w:webHidden/>
          </w:rPr>
          <w:fldChar w:fldCharType="end"/>
        </w:r>
      </w:hyperlink>
    </w:p>
    <w:p w14:paraId="0CC96140" w14:textId="26569C2E" w:rsidR="00302186" w:rsidRPr="00612EFF" w:rsidRDefault="00000000" w:rsidP="003A2D17">
      <w:pPr>
        <w:pStyle w:val="TOC1"/>
        <w:tabs>
          <w:tab w:val="right" w:pos="10773"/>
        </w:tabs>
        <w:spacing w:before="300" w:after="120"/>
        <w:ind w:left="425"/>
        <w:rPr>
          <w:rFonts w:asciiTheme="minorHAnsi" w:eastAsiaTheme="minorEastAsia" w:hAnsiTheme="minorHAnsi"/>
          <w:b w:val="0"/>
          <w:bCs/>
          <w:color w:val="auto"/>
          <w:sz w:val="22"/>
          <w:szCs w:val="22"/>
          <w:lang w:eastAsia="en-AU"/>
        </w:rPr>
      </w:pPr>
      <w:hyperlink w:anchor="_Toc114644625" w:history="1">
        <w:r w:rsidR="00302186" w:rsidRPr="00612EFF">
          <w:rPr>
            <w:rStyle w:val="Hyperlink"/>
            <w:b w:val="0"/>
            <w:bCs/>
          </w:rPr>
          <w:t>Regulatory settings</w:t>
        </w:r>
        <w:r w:rsidR="00302186" w:rsidRPr="00612EFF">
          <w:rPr>
            <w:b w:val="0"/>
            <w:bCs/>
            <w:webHidden/>
          </w:rPr>
          <w:tab/>
        </w:r>
        <w:r w:rsidR="0021014E" w:rsidRPr="00612EFF">
          <w:rPr>
            <w:b w:val="0"/>
            <w:bCs/>
            <w:webHidden/>
          </w:rPr>
          <w:tab/>
        </w:r>
        <w:r w:rsidR="00302186" w:rsidRPr="00612EFF">
          <w:rPr>
            <w:b w:val="0"/>
            <w:bCs/>
            <w:webHidden/>
          </w:rPr>
          <w:fldChar w:fldCharType="begin"/>
        </w:r>
        <w:r w:rsidR="00302186" w:rsidRPr="00612EFF">
          <w:rPr>
            <w:b w:val="0"/>
            <w:bCs/>
            <w:webHidden/>
          </w:rPr>
          <w:instrText xml:space="preserve"> PAGEREF _Toc114644625 \h </w:instrText>
        </w:r>
        <w:r w:rsidR="00302186" w:rsidRPr="00612EFF">
          <w:rPr>
            <w:b w:val="0"/>
            <w:bCs/>
            <w:webHidden/>
          </w:rPr>
        </w:r>
        <w:r w:rsidR="00302186" w:rsidRPr="00612EFF">
          <w:rPr>
            <w:b w:val="0"/>
            <w:bCs/>
            <w:webHidden/>
          </w:rPr>
          <w:fldChar w:fldCharType="separate"/>
        </w:r>
        <w:r w:rsidR="00D56AEE">
          <w:rPr>
            <w:b w:val="0"/>
            <w:bCs/>
            <w:webHidden/>
          </w:rPr>
          <w:t>143</w:t>
        </w:r>
        <w:r w:rsidR="00302186" w:rsidRPr="00612EFF">
          <w:rPr>
            <w:b w:val="0"/>
            <w:bCs/>
            <w:webHidden/>
          </w:rPr>
          <w:fldChar w:fldCharType="end"/>
        </w:r>
      </w:hyperlink>
    </w:p>
    <w:p w14:paraId="24A49930" w14:textId="4B951897" w:rsidR="00302186" w:rsidRPr="00612EFF" w:rsidRDefault="00000000" w:rsidP="003A2D17">
      <w:pPr>
        <w:pStyle w:val="TOC1"/>
        <w:tabs>
          <w:tab w:val="right" w:pos="10773"/>
        </w:tabs>
        <w:spacing w:before="300" w:after="120"/>
        <w:ind w:left="425"/>
        <w:rPr>
          <w:rFonts w:asciiTheme="minorHAnsi" w:eastAsiaTheme="minorEastAsia" w:hAnsiTheme="minorHAnsi"/>
          <w:b w:val="0"/>
          <w:bCs/>
          <w:color w:val="auto"/>
          <w:sz w:val="22"/>
          <w:szCs w:val="22"/>
          <w:lang w:eastAsia="en-AU"/>
        </w:rPr>
      </w:pPr>
      <w:hyperlink w:anchor="_Toc114644628" w:history="1">
        <w:r w:rsidR="00302186" w:rsidRPr="00612EFF">
          <w:rPr>
            <w:rStyle w:val="Hyperlink"/>
            <w:b w:val="0"/>
            <w:bCs/>
          </w:rPr>
          <w:t>Appendi</w:t>
        </w:r>
        <w:r w:rsidR="009C7F61" w:rsidRPr="00612EFF">
          <w:rPr>
            <w:rStyle w:val="Hyperlink"/>
            <w:b w:val="0"/>
            <w:bCs/>
          </w:rPr>
          <w:t>ces</w:t>
        </w:r>
        <w:r w:rsidR="009C7F61" w:rsidRPr="00612EFF">
          <w:rPr>
            <w:rStyle w:val="Hyperlink"/>
            <w:b w:val="0"/>
            <w:bCs/>
          </w:rPr>
          <w:tab/>
        </w:r>
        <w:r w:rsidR="0021014E" w:rsidRPr="00612EFF">
          <w:rPr>
            <w:rStyle w:val="Hyperlink"/>
            <w:b w:val="0"/>
            <w:bCs/>
          </w:rPr>
          <w:tab/>
        </w:r>
        <w:r w:rsidR="00302186" w:rsidRPr="00612EFF">
          <w:rPr>
            <w:b w:val="0"/>
            <w:bCs/>
            <w:webHidden/>
          </w:rPr>
          <w:fldChar w:fldCharType="begin"/>
        </w:r>
        <w:r w:rsidR="00302186" w:rsidRPr="00612EFF">
          <w:rPr>
            <w:b w:val="0"/>
            <w:bCs/>
            <w:webHidden/>
          </w:rPr>
          <w:instrText xml:space="preserve"> PAGEREF _Toc114644628 \h </w:instrText>
        </w:r>
        <w:r w:rsidR="00302186" w:rsidRPr="00612EFF">
          <w:rPr>
            <w:b w:val="0"/>
            <w:bCs/>
            <w:webHidden/>
          </w:rPr>
        </w:r>
        <w:r w:rsidR="00302186" w:rsidRPr="00612EFF">
          <w:rPr>
            <w:b w:val="0"/>
            <w:bCs/>
            <w:webHidden/>
          </w:rPr>
          <w:fldChar w:fldCharType="separate"/>
        </w:r>
        <w:r w:rsidR="00D56AEE">
          <w:rPr>
            <w:b w:val="0"/>
            <w:bCs/>
            <w:webHidden/>
          </w:rPr>
          <w:t>154</w:t>
        </w:r>
        <w:r w:rsidR="00302186" w:rsidRPr="00612EFF">
          <w:rPr>
            <w:b w:val="0"/>
            <w:bCs/>
            <w:webHidden/>
          </w:rPr>
          <w:fldChar w:fldCharType="end"/>
        </w:r>
      </w:hyperlink>
    </w:p>
    <w:p w14:paraId="31AFF0BB" w14:textId="4D1B3175" w:rsidR="009C0874" w:rsidRDefault="003A2E40" w:rsidP="003A2D17">
      <w:pPr>
        <w:tabs>
          <w:tab w:val="left" w:pos="7513"/>
        </w:tabs>
        <w:spacing w:before="300"/>
        <w:rPr>
          <w:color w:val="002279"/>
          <w:shd w:val="clear" w:color="auto" w:fill="E6E6E6"/>
        </w:rPr>
      </w:pPr>
      <w:r w:rsidRPr="00116E55">
        <w:rPr>
          <w:color w:val="002279"/>
          <w:shd w:val="clear" w:color="auto" w:fill="E6E6E6"/>
        </w:rPr>
        <w:fldChar w:fldCharType="end"/>
      </w:r>
      <w:bookmarkStart w:id="2" w:name="_Toc114644602"/>
      <w:bookmarkStart w:id="3" w:name="_Toc51925766"/>
      <w:bookmarkStart w:id="4" w:name="_Toc81405677"/>
      <w:bookmarkStart w:id="5" w:name="_Toc94700779"/>
      <w:bookmarkStart w:id="6" w:name="_Toc85532029"/>
      <w:r w:rsidR="00747445" w:rsidRPr="00F463E5">
        <w:rPr>
          <w:noProof/>
          <w:color w:val="0075E3" w:themeColor="accent1"/>
          <w:sz w:val="22"/>
          <w:szCs w:val="22"/>
          <w:shd w:val="clear" w:color="auto" w:fill="E6E6E6"/>
        </w:rPr>
        <w:drawing>
          <wp:anchor distT="0" distB="0" distL="114300" distR="114300" simplePos="0" relativeHeight="251658304" behindDoc="1" locked="0" layoutInCell="1" allowOverlap="1" wp14:anchorId="72F5E559" wp14:editId="34CA0CA3">
            <wp:simplePos x="0" y="0"/>
            <wp:positionH relativeFrom="column">
              <wp:posOffset>-1362075</wp:posOffset>
            </wp:positionH>
            <wp:positionV relativeFrom="page">
              <wp:posOffset>8815780</wp:posOffset>
            </wp:positionV>
            <wp:extent cx="8693150" cy="1927225"/>
            <wp:effectExtent l="0" t="0" r="6350" b="3175"/>
            <wp:wrapNone/>
            <wp:docPr id="10" name="Picture 10" descr="A picture containing weap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 name="Picture 987" descr="A picture containing weapo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8693150" cy="1927225"/>
                    </a:xfrm>
                    <a:prstGeom prst="rect">
                      <a:avLst/>
                    </a:prstGeom>
                  </pic:spPr>
                </pic:pic>
              </a:graphicData>
            </a:graphic>
            <wp14:sizeRelH relativeFrom="margin">
              <wp14:pctWidth>0</wp14:pctWidth>
            </wp14:sizeRelH>
            <wp14:sizeRelV relativeFrom="margin">
              <wp14:pctHeight>0</wp14:pctHeight>
            </wp14:sizeRelV>
          </wp:anchor>
        </w:drawing>
      </w:r>
    </w:p>
    <w:p w14:paraId="007C9B99" w14:textId="7F89E92A" w:rsidR="009C0874" w:rsidRDefault="00747445" w:rsidP="00580B10">
      <w:pPr>
        <w:tabs>
          <w:tab w:val="left" w:pos="7513"/>
        </w:tabs>
        <w:spacing w:after="240"/>
        <w:rPr>
          <w:color w:val="002279"/>
          <w:shd w:val="clear" w:color="auto" w:fill="E6E6E6"/>
        </w:rPr>
      </w:pPr>
      <w:r w:rsidRPr="00F463E5">
        <w:rPr>
          <w:noProof/>
          <w:color w:val="0075E3" w:themeColor="accent1"/>
          <w:sz w:val="22"/>
          <w:szCs w:val="22"/>
        </w:rPr>
        <mc:AlternateContent>
          <mc:Choice Requires="wps">
            <w:drawing>
              <wp:anchor distT="45720" distB="45720" distL="114300" distR="114300" simplePos="0" relativeHeight="251658305" behindDoc="0" locked="0" layoutInCell="1" allowOverlap="1" wp14:anchorId="4E120814" wp14:editId="5CF393E3">
                <wp:simplePos x="0" y="0"/>
                <wp:positionH relativeFrom="margin">
                  <wp:posOffset>19050</wp:posOffset>
                </wp:positionH>
                <wp:positionV relativeFrom="page">
                  <wp:posOffset>9268647</wp:posOffset>
                </wp:positionV>
                <wp:extent cx="5262283" cy="60960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283" cy="609600"/>
                        </a:xfrm>
                        <a:prstGeom prst="rect">
                          <a:avLst/>
                        </a:prstGeom>
                        <a:noFill/>
                        <a:ln w="9525">
                          <a:noFill/>
                          <a:miter lim="800000"/>
                          <a:headEnd/>
                          <a:tailEnd/>
                        </a:ln>
                      </wps:spPr>
                      <wps:txbx>
                        <w:txbxContent>
                          <w:p w14:paraId="304E302D" w14:textId="23173DEB" w:rsidR="00747445" w:rsidRPr="00747445" w:rsidRDefault="00747445" w:rsidP="00747445">
                            <w:pPr>
                              <w:rPr>
                                <w:color w:val="FFFFFF" w:themeColor="background1"/>
                                <w:sz w:val="21"/>
                                <w:szCs w:val="21"/>
                              </w:rPr>
                            </w:pPr>
                            <w:r w:rsidRPr="00747445">
                              <w:rPr>
                                <w:b/>
                                <w:bCs/>
                                <w:color w:val="FFFFFF" w:themeColor="background1"/>
                                <w:sz w:val="22"/>
                                <w:szCs w:val="22"/>
                              </w:rPr>
                              <w:t xml:space="preserve">Cover: </w:t>
                            </w:r>
                            <w:r w:rsidRPr="00747445">
                              <w:rPr>
                                <w:color w:val="FFFFFF" w:themeColor="background1"/>
                                <w:sz w:val="22"/>
                                <w:szCs w:val="22"/>
                              </w:rPr>
                              <w:t>Students from Officer Primary School (Bunurong Country) participating in the Schools Water Efficiency (SWEP) Program aimed at improving water literacy and efficiency.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120814" id="_x0000_t202" coordsize="21600,21600" o:spt="202" path="m,l,21600r21600,l21600,xe">
                <v:stroke joinstyle="miter"/>
                <v:path gradientshapeok="t" o:connecttype="rect"/>
              </v:shapetype>
              <v:shape id="Text Box 2" o:spid="_x0000_s1026" type="#_x0000_t202" style="position:absolute;margin-left:1.5pt;margin-top:729.8pt;width:414.35pt;height:48pt;z-index:251658305;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" filled="f" stroked="f">
                <v:textbox>
                  <w:txbxContent>
                    <w:p w14:paraId="304E302D" w14:textId="23173DEB" w:rsidR="00747445" w:rsidRPr="00747445" w:rsidRDefault="00747445" w:rsidP="00747445">
                      <w:pPr>
                        <w:rPr>
                          <w:color w:val="FFFFFF" w:themeColor="background1"/>
                          <w:sz w:val="21"/>
                          <w:szCs w:val="21"/>
                        </w:rPr>
                      </w:pPr>
                      <w:r w:rsidRPr="00747445">
                        <w:rPr>
                          <w:b/>
                          <w:bCs/>
                          <w:color w:val="FFFFFF" w:themeColor="background1"/>
                          <w:sz w:val="22"/>
                          <w:szCs w:val="22"/>
                        </w:rPr>
                        <w:t xml:space="preserve">Cover: </w:t>
                      </w:r>
                      <w:r w:rsidRPr="00747445">
                        <w:rPr>
                          <w:color w:val="FFFFFF" w:themeColor="background1"/>
                          <w:sz w:val="22"/>
                          <w:szCs w:val="22"/>
                        </w:rPr>
                        <w:t>Students from Officer Primary School (Bunurong Country) participating in the Schools Water Efficiency (SWEP) Program aimed at improving water literacy and efficiency.</w:t>
                      </w:r>
                    </w:p>
                  </w:txbxContent>
                </v:textbox>
                <w10:wrap anchorx="margin" anchory="page"/>
              </v:shape>
            </w:pict>
          </mc:Fallback>
        </mc:AlternateContent>
      </w:r>
    </w:p>
    <w:p w14:paraId="46DA993C" w14:textId="4A08F41A" w:rsidR="009C0874" w:rsidRDefault="009C0874" w:rsidP="00580B10">
      <w:pPr>
        <w:tabs>
          <w:tab w:val="left" w:pos="7513"/>
        </w:tabs>
        <w:spacing w:after="240"/>
        <w:rPr>
          <w:color w:val="002279"/>
          <w:shd w:val="clear" w:color="auto" w:fill="E6E6E6"/>
        </w:rPr>
      </w:pPr>
    </w:p>
    <w:p w14:paraId="5A0E8C79" w14:textId="77777777" w:rsidR="009C0874" w:rsidRDefault="009C0874" w:rsidP="00580B10">
      <w:pPr>
        <w:tabs>
          <w:tab w:val="left" w:pos="7513"/>
        </w:tabs>
        <w:spacing w:after="240"/>
        <w:rPr>
          <w:color w:val="002279"/>
          <w:shd w:val="clear" w:color="auto" w:fill="E6E6E6"/>
        </w:rPr>
      </w:pPr>
    </w:p>
    <w:p w14:paraId="78E61734" w14:textId="77777777" w:rsidR="009C0874" w:rsidRDefault="009C0874" w:rsidP="00580B10">
      <w:pPr>
        <w:tabs>
          <w:tab w:val="left" w:pos="7513"/>
        </w:tabs>
        <w:spacing w:after="240"/>
        <w:rPr>
          <w:color w:val="002279"/>
          <w:shd w:val="clear" w:color="auto" w:fill="E6E6E6"/>
        </w:rPr>
      </w:pPr>
    </w:p>
    <w:p w14:paraId="7D0FB0B4" w14:textId="77777777" w:rsidR="009C0874" w:rsidRDefault="009C0874" w:rsidP="00580B10">
      <w:pPr>
        <w:tabs>
          <w:tab w:val="left" w:pos="7513"/>
        </w:tabs>
        <w:spacing w:after="240"/>
        <w:rPr>
          <w:color w:val="002279"/>
          <w:shd w:val="clear" w:color="auto" w:fill="E6E6E6"/>
        </w:rPr>
      </w:pPr>
    </w:p>
    <w:p w14:paraId="7C4AF046" w14:textId="77777777" w:rsidR="009C0874" w:rsidRDefault="009C0874" w:rsidP="00580B10">
      <w:pPr>
        <w:tabs>
          <w:tab w:val="left" w:pos="7513"/>
        </w:tabs>
        <w:spacing w:after="240"/>
        <w:rPr>
          <w:color w:val="002279"/>
          <w:shd w:val="clear" w:color="auto" w:fill="E6E6E6"/>
        </w:rPr>
      </w:pPr>
    </w:p>
    <w:p w14:paraId="665F32E8" w14:textId="77777777" w:rsidR="009C0874" w:rsidRDefault="009C0874" w:rsidP="00580B10">
      <w:pPr>
        <w:tabs>
          <w:tab w:val="left" w:pos="7513"/>
        </w:tabs>
        <w:spacing w:after="240"/>
        <w:rPr>
          <w:color w:val="002279"/>
          <w:shd w:val="clear" w:color="auto" w:fill="E6E6E6"/>
        </w:rPr>
      </w:pPr>
    </w:p>
    <w:p w14:paraId="08FD7F70" w14:textId="77777777" w:rsidR="009C0874" w:rsidRDefault="009C0874" w:rsidP="00580B10">
      <w:pPr>
        <w:tabs>
          <w:tab w:val="left" w:pos="7513"/>
        </w:tabs>
        <w:spacing w:after="240"/>
        <w:rPr>
          <w:color w:val="002279"/>
          <w:shd w:val="clear" w:color="auto" w:fill="E6E6E6"/>
        </w:rPr>
      </w:pPr>
    </w:p>
    <w:p w14:paraId="4D670FA2" w14:textId="77777777" w:rsidR="009C0874" w:rsidRDefault="009C0874" w:rsidP="00580B10">
      <w:pPr>
        <w:tabs>
          <w:tab w:val="left" w:pos="7513"/>
        </w:tabs>
        <w:spacing w:after="240"/>
        <w:rPr>
          <w:color w:val="002279"/>
          <w:shd w:val="clear" w:color="auto" w:fill="E6E6E6"/>
        </w:rPr>
      </w:pPr>
    </w:p>
    <w:p w14:paraId="09FCAE9C" w14:textId="77777777" w:rsidR="009C0874" w:rsidRDefault="009C0874" w:rsidP="00580B10">
      <w:pPr>
        <w:tabs>
          <w:tab w:val="left" w:pos="7513"/>
        </w:tabs>
        <w:spacing w:after="240"/>
        <w:rPr>
          <w:color w:val="002279"/>
          <w:shd w:val="clear" w:color="auto" w:fill="E6E6E6"/>
        </w:rPr>
      </w:pPr>
    </w:p>
    <w:p w14:paraId="08B85D34" w14:textId="77777777" w:rsidR="009C0874" w:rsidRDefault="009C0874" w:rsidP="00580B10">
      <w:pPr>
        <w:tabs>
          <w:tab w:val="left" w:pos="7513"/>
        </w:tabs>
        <w:spacing w:after="240"/>
        <w:rPr>
          <w:color w:val="002279"/>
          <w:shd w:val="clear" w:color="auto" w:fill="E6E6E6"/>
        </w:rPr>
      </w:pPr>
    </w:p>
    <w:p w14:paraId="33A08763" w14:textId="4469040E" w:rsidR="00A314D3" w:rsidRPr="00F463E5" w:rsidRDefault="00747445" w:rsidP="00580B10">
      <w:pPr>
        <w:tabs>
          <w:tab w:val="left" w:pos="7513"/>
        </w:tabs>
        <w:spacing w:after="240"/>
        <w:rPr>
          <w:color w:val="0075E3" w:themeColor="accent1"/>
          <w:sz w:val="22"/>
          <w:szCs w:val="22"/>
        </w:rPr>
      </w:pPr>
      <w:r w:rsidRPr="00F463E5">
        <w:rPr>
          <w:noProof/>
          <w:color w:val="0075E3" w:themeColor="accent1"/>
          <w:sz w:val="22"/>
          <w:szCs w:val="22"/>
        </w:rPr>
        <mc:AlternateContent>
          <mc:Choice Requires="wps">
            <w:drawing>
              <wp:anchor distT="45720" distB="45720" distL="114300" distR="114300" simplePos="0" relativeHeight="251658303" behindDoc="0" locked="0" layoutInCell="1" allowOverlap="1" wp14:anchorId="7D559E7F" wp14:editId="34937411">
                <wp:simplePos x="0" y="0"/>
                <wp:positionH relativeFrom="margin">
                  <wp:posOffset>36830</wp:posOffset>
                </wp:positionH>
                <wp:positionV relativeFrom="page">
                  <wp:posOffset>8372513</wp:posOffset>
                </wp:positionV>
                <wp:extent cx="6373905" cy="1312545"/>
                <wp:effectExtent l="0" t="0" r="0" b="0"/>
                <wp:wrapNone/>
                <wp:docPr id="9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3905" cy="1312545"/>
                        </a:xfrm>
                        <a:prstGeom prst="rect">
                          <a:avLst/>
                        </a:prstGeom>
                        <a:noFill/>
                        <a:ln w="9525">
                          <a:noFill/>
                          <a:miter lim="800000"/>
                          <a:headEnd/>
                          <a:tailEnd/>
                        </a:ln>
                      </wps:spPr>
                      <wps:txbx>
                        <w:txbxContent>
                          <w:p w14:paraId="5619C918" w14:textId="77777777" w:rsidR="00A314D3" w:rsidRPr="00747445" w:rsidRDefault="00A314D3" w:rsidP="00A314D3">
                            <w:pPr>
                              <w:pStyle w:val="Heading3"/>
                              <w:spacing w:before="0"/>
                              <w:rPr>
                                <w:color w:val="0075E3"/>
                                <w:szCs w:val="22"/>
                              </w:rPr>
                            </w:pPr>
                            <w:r w:rsidRPr="00747445">
                              <w:rPr>
                                <w:color w:val="0075E3"/>
                                <w:szCs w:val="22"/>
                              </w:rPr>
                              <w:t>Aboriginal acknowledgment</w:t>
                            </w:r>
                          </w:p>
                          <w:p w14:paraId="6D9563B5" w14:textId="77777777" w:rsidR="00A314D3" w:rsidRPr="00747445" w:rsidRDefault="00A314D3" w:rsidP="00A314D3">
                            <w:pPr>
                              <w:rPr>
                                <w:color w:val="0075E3"/>
                                <w:sz w:val="21"/>
                                <w:szCs w:val="21"/>
                              </w:rPr>
                            </w:pPr>
                            <w:r w:rsidRPr="00747445">
                              <w:rPr>
                                <w:color w:val="0075E3"/>
                                <w:sz w:val="21"/>
                                <w:szCs w:val="21"/>
                              </w:rPr>
                              <w:t>South East Water proudly acknowledges the Bunurong and Wurundjeri Woi Wurrung as the Traditional Owners of the land on which we operate, and pay respect to their Elders past, present and emerging.</w:t>
                            </w:r>
                          </w:p>
                          <w:p w14:paraId="7DB982F3" w14:textId="24CF7A2D" w:rsidR="00A314D3" w:rsidRPr="00747445" w:rsidRDefault="00A314D3" w:rsidP="00A314D3">
                            <w:pPr>
                              <w:rPr>
                                <w:color w:val="0075E3"/>
                                <w:sz w:val="21"/>
                                <w:szCs w:val="21"/>
                              </w:rPr>
                            </w:pPr>
                            <w:r w:rsidRPr="00747445">
                              <w:rPr>
                                <w:color w:val="0075E3"/>
                                <w:sz w:val="21"/>
                                <w:szCs w:val="21"/>
                              </w:rPr>
                              <w:t>We acknowledge their songlines, cultural lore and continuing connection to the land and water.</w:t>
                            </w:r>
                            <w:r w:rsidR="00747445">
                              <w:rPr>
                                <w:color w:val="0075E3"/>
                                <w:sz w:val="21"/>
                                <w:szCs w:val="21"/>
                              </w:rPr>
                              <w:t xml:space="preserve"> </w:t>
                            </w:r>
                            <w:r w:rsidR="00747445">
                              <w:rPr>
                                <w:color w:val="0075E3"/>
                                <w:sz w:val="21"/>
                                <w:szCs w:val="21"/>
                              </w:rPr>
                              <w:br/>
                            </w:r>
                            <w:r w:rsidRPr="00747445">
                              <w:rPr>
                                <w:color w:val="0075E3"/>
                                <w:sz w:val="21"/>
                                <w:szCs w:val="21"/>
                              </w:rPr>
                              <w:t xml:space="preserve">We recognise and value their rich cultural heritage and continued contributions of Aboriginal people </w:t>
                            </w:r>
                            <w:r w:rsidR="00747445">
                              <w:rPr>
                                <w:color w:val="0075E3"/>
                                <w:sz w:val="21"/>
                                <w:szCs w:val="21"/>
                              </w:rPr>
                              <w:br/>
                            </w:r>
                            <w:r w:rsidRPr="00747445">
                              <w:rPr>
                                <w:color w:val="0075E3"/>
                                <w:sz w:val="21"/>
                                <w:szCs w:val="21"/>
                              </w:rPr>
                              <w:t>and communities to our society in Victoria.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559E7F" id="_x0000_s1027" type="#_x0000_t202" style="position:absolute;margin-left:2.9pt;margin-top:659.25pt;width:501.9pt;height:103.35pt;z-index:251658303;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" filled="f" stroked="f">
                <v:textbox style="mso-fit-shape-to-text:t">
                  <w:txbxContent>
                    <w:p w14:paraId="5619C918" w14:textId="77777777" w:rsidR="00A314D3" w:rsidRPr="00747445" w:rsidRDefault="00A314D3" w:rsidP="00A314D3">
                      <w:pPr>
                        <w:pStyle w:val="Heading3"/>
                        <w:spacing w:before="0"/>
                        <w:rPr>
                          <w:color w:val="0075E3"/>
                          <w:szCs w:val="22"/>
                        </w:rPr>
                      </w:pPr>
                      <w:r w:rsidRPr="00747445">
                        <w:rPr>
                          <w:color w:val="0075E3"/>
                          <w:szCs w:val="22"/>
                        </w:rPr>
                        <w:t>Aboriginal acknowledgment</w:t>
                      </w:r>
                    </w:p>
                    <w:p w14:paraId="6D9563B5" w14:textId="77777777" w:rsidR="00A314D3" w:rsidRPr="00747445" w:rsidRDefault="00A314D3" w:rsidP="00A314D3">
                      <w:pPr>
                        <w:rPr>
                          <w:color w:val="0075E3"/>
                          <w:sz w:val="21"/>
                          <w:szCs w:val="21"/>
                        </w:rPr>
                      </w:pPr>
                      <w:proofErr w:type="gramStart"/>
                      <w:r w:rsidRPr="00747445">
                        <w:rPr>
                          <w:color w:val="0075E3"/>
                          <w:sz w:val="21"/>
                          <w:szCs w:val="21"/>
                        </w:rPr>
                        <w:t>South East</w:t>
                      </w:r>
                      <w:proofErr w:type="gramEnd"/>
                      <w:r w:rsidRPr="00747445">
                        <w:rPr>
                          <w:color w:val="0075E3"/>
                          <w:sz w:val="21"/>
                          <w:szCs w:val="21"/>
                        </w:rPr>
                        <w:t xml:space="preserve"> Water proudly acknowledges the Bunurong and Wurundjeri </w:t>
                      </w:r>
                      <w:proofErr w:type="spellStart"/>
                      <w:r w:rsidRPr="00747445">
                        <w:rPr>
                          <w:color w:val="0075E3"/>
                          <w:sz w:val="21"/>
                          <w:szCs w:val="21"/>
                        </w:rPr>
                        <w:t>Woi</w:t>
                      </w:r>
                      <w:proofErr w:type="spellEnd"/>
                      <w:r w:rsidRPr="00747445">
                        <w:rPr>
                          <w:color w:val="0075E3"/>
                          <w:sz w:val="21"/>
                          <w:szCs w:val="21"/>
                        </w:rPr>
                        <w:t xml:space="preserve"> Wurrung as the Traditional Owners of the land on which we operate, and pay respect to their Elders past, present and emerging.</w:t>
                      </w:r>
                    </w:p>
                    <w:p w14:paraId="7DB982F3" w14:textId="24CF7A2D" w:rsidR="00A314D3" w:rsidRPr="00747445" w:rsidRDefault="00A314D3" w:rsidP="00A314D3">
                      <w:pPr>
                        <w:rPr>
                          <w:color w:val="0075E3"/>
                          <w:sz w:val="21"/>
                          <w:szCs w:val="21"/>
                        </w:rPr>
                      </w:pPr>
                      <w:r w:rsidRPr="00747445">
                        <w:rPr>
                          <w:color w:val="0075E3"/>
                          <w:sz w:val="21"/>
                          <w:szCs w:val="21"/>
                        </w:rPr>
                        <w:t>We acknowledge their songlines, cultural lore and continuing connection to the land and water.</w:t>
                      </w:r>
                      <w:r w:rsidR="00747445">
                        <w:rPr>
                          <w:color w:val="0075E3"/>
                          <w:sz w:val="21"/>
                          <w:szCs w:val="21"/>
                        </w:rPr>
                        <w:t xml:space="preserve"> </w:t>
                      </w:r>
                      <w:r w:rsidR="00747445">
                        <w:rPr>
                          <w:color w:val="0075E3"/>
                          <w:sz w:val="21"/>
                          <w:szCs w:val="21"/>
                        </w:rPr>
                        <w:br/>
                      </w:r>
                      <w:r w:rsidRPr="00747445">
                        <w:rPr>
                          <w:color w:val="0075E3"/>
                          <w:sz w:val="21"/>
                          <w:szCs w:val="21"/>
                        </w:rPr>
                        <w:t xml:space="preserve">We recognise and value their rich cultural heritage and continued contributions of Aboriginal people </w:t>
                      </w:r>
                      <w:r w:rsidR="00747445">
                        <w:rPr>
                          <w:color w:val="0075E3"/>
                          <w:sz w:val="21"/>
                          <w:szCs w:val="21"/>
                        </w:rPr>
                        <w:br/>
                      </w:r>
                      <w:r w:rsidRPr="00747445">
                        <w:rPr>
                          <w:color w:val="0075E3"/>
                          <w:sz w:val="21"/>
                          <w:szCs w:val="21"/>
                        </w:rPr>
                        <w:t>and communities to our society in Victoria.</w:t>
                      </w:r>
                    </w:p>
                  </w:txbxContent>
                </v:textbox>
                <w10:wrap anchorx="margin" anchory="page"/>
              </v:shape>
            </w:pict>
          </mc:Fallback>
        </mc:AlternateContent>
      </w:r>
      <w:r w:rsidR="00E55782">
        <w:rPr>
          <w:b/>
          <w:bCs/>
          <w:color w:val="0075E3" w:themeColor="accent1"/>
          <w:sz w:val="22"/>
          <w:szCs w:val="22"/>
        </w:rPr>
        <w:br/>
      </w:r>
      <w:r w:rsidR="00E55782">
        <w:rPr>
          <w:b/>
          <w:bCs/>
          <w:color w:val="0075E3" w:themeColor="accent1"/>
          <w:sz w:val="22"/>
          <w:szCs w:val="22"/>
        </w:rPr>
        <w:br/>
      </w:r>
      <w:r w:rsidR="00E55782">
        <w:rPr>
          <w:b/>
          <w:bCs/>
          <w:color w:val="0075E3" w:themeColor="accent1"/>
          <w:sz w:val="22"/>
          <w:szCs w:val="22"/>
        </w:rPr>
        <w:br/>
      </w:r>
      <w:r w:rsidR="00E55782">
        <w:rPr>
          <w:b/>
          <w:bCs/>
          <w:color w:val="0075E3" w:themeColor="accent1"/>
          <w:sz w:val="22"/>
          <w:szCs w:val="22"/>
        </w:rPr>
        <w:br/>
      </w:r>
      <w:r w:rsidR="00E55782">
        <w:rPr>
          <w:b/>
          <w:bCs/>
          <w:color w:val="0075E3" w:themeColor="accent1"/>
          <w:sz w:val="22"/>
          <w:szCs w:val="22"/>
        </w:rPr>
        <w:br/>
      </w:r>
      <w:r w:rsidR="00E55782">
        <w:rPr>
          <w:b/>
          <w:bCs/>
          <w:color w:val="0075E3" w:themeColor="accent1"/>
          <w:sz w:val="22"/>
          <w:szCs w:val="22"/>
        </w:rPr>
        <w:br/>
      </w:r>
      <w:r w:rsidR="00E55782">
        <w:rPr>
          <w:b/>
          <w:bCs/>
          <w:color w:val="0075E3" w:themeColor="accent1"/>
          <w:sz w:val="22"/>
          <w:szCs w:val="22"/>
        </w:rPr>
        <w:br/>
      </w:r>
      <w:r w:rsidR="00E55782">
        <w:rPr>
          <w:b/>
          <w:bCs/>
          <w:color w:val="0075E3" w:themeColor="accent1"/>
          <w:sz w:val="22"/>
          <w:szCs w:val="22"/>
        </w:rPr>
        <w:br/>
      </w:r>
      <w:r w:rsidR="00E55782">
        <w:rPr>
          <w:b/>
          <w:bCs/>
          <w:color w:val="0075E3" w:themeColor="accent1"/>
          <w:sz w:val="22"/>
          <w:szCs w:val="22"/>
        </w:rPr>
        <w:br/>
      </w:r>
      <w:r w:rsidR="00612EFF">
        <w:rPr>
          <w:b/>
          <w:bCs/>
          <w:color w:val="0075E3" w:themeColor="accent1"/>
          <w:sz w:val="22"/>
          <w:szCs w:val="22"/>
        </w:rPr>
        <w:br/>
      </w:r>
      <w:r w:rsidR="00612EFF">
        <w:rPr>
          <w:b/>
          <w:bCs/>
          <w:color w:val="0075E3" w:themeColor="accent1"/>
          <w:sz w:val="22"/>
          <w:szCs w:val="22"/>
        </w:rPr>
        <w:br/>
      </w:r>
      <w:r w:rsidR="00612EFF">
        <w:rPr>
          <w:b/>
          <w:bCs/>
          <w:color w:val="0075E3" w:themeColor="accent1"/>
          <w:sz w:val="22"/>
          <w:szCs w:val="22"/>
        </w:rPr>
        <w:br/>
      </w:r>
      <w:bookmarkEnd w:id="2"/>
    </w:p>
    <w:p w14:paraId="79B35BCA" w14:textId="22445C95" w:rsidR="00952E08" w:rsidRDefault="00AA39E5" w:rsidP="00116E55">
      <w:pPr>
        <w:pStyle w:val="Heading1"/>
        <w:spacing w:after="120"/>
      </w:pPr>
      <w:bookmarkStart w:id="7" w:name="_Toc114644603"/>
      <w:r>
        <w:lastRenderedPageBreak/>
        <w:t xml:space="preserve">Price submission: </w:t>
      </w:r>
      <w:r w:rsidR="004744BD">
        <w:t>A</w:t>
      </w:r>
      <w:r>
        <w:t>t-a-glance</w:t>
      </w:r>
      <w:bookmarkEnd w:id="3"/>
      <w:bookmarkEnd w:id="4"/>
      <w:bookmarkEnd w:id="5"/>
      <w:bookmarkEnd w:id="7"/>
    </w:p>
    <w:p w14:paraId="198EE3D3" w14:textId="77A316C3" w:rsidR="008E132A" w:rsidRPr="008E132A" w:rsidRDefault="00E73D07" w:rsidP="008E132A">
      <w:pPr>
        <w:pStyle w:val="Heading2"/>
      </w:pPr>
      <w:r>
        <w:rPr>
          <w:b w:val="0"/>
          <w:noProof/>
          <w:color w:val="0075E3" w:themeColor="accent1"/>
          <w:sz w:val="44"/>
          <w:szCs w:val="44"/>
        </w:rPr>
        <mc:AlternateContent>
          <mc:Choice Requires="wps">
            <w:drawing>
              <wp:anchor distT="0" distB="0" distL="114300" distR="114300" simplePos="0" relativeHeight="251658240" behindDoc="0" locked="0" layoutInCell="1" allowOverlap="1" wp14:anchorId="0B1E669E" wp14:editId="6AD8E023">
                <wp:simplePos x="0" y="0"/>
                <wp:positionH relativeFrom="column">
                  <wp:posOffset>12065</wp:posOffset>
                </wp:positionH>
                <wp:positionV relativeFrom="paragraph">
                  <wp:posOffset>8071821</wp:posOffset>
                </wp:positionV>
                <wp:extent cx="6463552" cy="421341"/>
                <wp:effectExtent l="0" t="0" r="0" b="0"/>
                <wp:wrapNone/>
                <wp:docPr id="510"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3552" cy="421341"/>
                        </a:xfrm>
                        <a:prstGeom prst="rect">
                          <a:avLst/>
                        </a:prstGeom>
                        <a:noFill/>
                        <a:ln w="6350">
                          <a:noFill/>
                        </a:ln>
                      </wps:spPr>
                      <wps:txbx>
                        <w:txbxContent>
                          <w:p w14:paraId="01A20DA0" w14:textId="77777777" w:rsidR="0069477C" w:rsidRPr="001A456B" w:rsidRDefault="0069477C" w:rsidP="00116E55">
                            <w:pPr>
                              <w:pStyle w:val="ListParagraph"/>
                              <w:spacing w:after="0"/>
                              <w:textAlignment w:val="baseline"/>
                              <w:rPr>
                                <w:rFonts w:eastAsia="Times New Roman" w:cs="Arial"/>
                                <w:position w:val="2"/>
                                <w:sz w:val="22"/>
                                <w:szCs w:val="22"/>
                                <w:lang w:eastAsia="en-AU"/>
                              </w:rPr>
                            </w:pPr>
                            <w:r w:rsidRPr="001A456B">
                              <w:rPr>
                                <w:rFonts w:eastAsia="Times New Roman" w:cs="Arial"/>
                                <w:position w:val="2"/>
                                <w:sz w:val="22"/>
                                <w:szCs w:val="22"/>
                                <w:lang w:eastAsia="en-AU"/>
                              </w:rPr>
                              <w:t xml:space="preserve">Once key assumptions and price submission activities are finalised, </w:t>
                            </w:r>
                            <w:r w:rsidRPr="001A456B">
                              <w:rPr>
                                <w:rFonts w:eastAsia="Times New Roman" w:cs="Arial"/>
                                <w:b/>
                                <w:bCs/>
                                <w:position w:val="2"/>
                                <w:sz w:val="22"/>
                                <w:szCs w:val="22"/>
                                <w:lang w:eastAsia="en-AU"/>
                              </w:rPr>
                              <w:t>our projected self-assessment is an </w:t>
                            </w:r>
                            <w:r w:rsidR="00B4458C">
                              <w:rPr>
                                <w:rFonts w:eastAsia="Times New Roman" w:cs="Arial"/>
                                <w:b/>
                                <w:bCs/>
                                <w:position w:val="2"/>
                                <w:sz w:val="22"/>
                                <w:szCs w:val="22"/>
                                <w:lang w:eastAsia="en-AU"/>
                              </w:rPr>
                              <w:t>‘</w:t>
                            </w:r>
                            <w:r w:rsidRPr="00B4458C">
                              <w:rPr>
                                <w:rFonts w:eastAsia="Times New Roman" w:cs="Arial"/>
                                <w:b/>
                                <w:bCs/>
                                <w:i/>
                                <w:iCs/>
                                <w:position w:val="2"/>
                                <w:sz w:val="22"/>
                                <w:szCs w:val="22"/>
                                <w:lang w:eastAsia="en-AU"/>
                              </w:rPr>
                              <w:t>Advanced</w:t>
                            </w:r>
                            <w:r>
                              <w:rPr>
                                <w:rFonts w:eastAsia="Times New Roman" w:cs="Arial"/>
                                <w:b/>
                                <w:bCs/>
                                <w:position w:val="2"/>
                                <w:sz w:val="22"/>
                                <w:szCs w:val="22"/>
                                <w:lang w:eastAsia="en-AU"/>
                              </w:rPr>
                              <w:t>’</w:t>
                            </w:r>
                            <w:r w:rsidRPr="001A456B">
                              <w:rPr>
                                <w:rFonts w:eastAsia="Times New Roman" w:cs="Arial"/>
                                <w:b/>
                                <w:bCs/>
                                <w:position w:val="2"/>
                                <w:sz w:val="22"/>
                                <w:szCs w:val="22"/>
                                <w:lang w:eastAsia="en-AU"/>
                              </w:rPr>
                              <w:t xml:space="preserve"> PREMO rating.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E669E" id="Text Box 510" o:spid="_x0000_s1028" type="#_x0000_t202" style="position:absolute;margin-left:.95pt;margin-top:635.6pt;width:508.95pt;height:33.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" filled="f" stroked="f" strokeweight=".5pt">
                <v:textbox>
                  <w:txbxContent>
                    <w:p w14:paraId="01A20DA0" w14:textId="77777777" w:rsidR="0069477C" w:rsidRPr="001A456B" w:rsidRDefault="0069477C" w:rsidP="00116E55">
                      <w:pPr>
                        <w:pStyle w:val="ListParagraph"/>
                        <w:spacing w:after="0"/>
                        <w:textAlignment w:val="baseline"/>
                        <w:rPr>
                          <w:rFonts w:eastAsia="Times New Roman" w:cs="Arial"/>
                          <w:position w:val="2"/>
                          <w:sz w:val="22"/>
                          <w:szCs w:val="22"/>
                          <w:lang w:eastAsia="en-AU"/>
                        </w:rPr>
                      </w:pPr>
                      <w:r w:rsidRPr="001A456B">
                        <w:rPr>
                          <w:rFonts w:eastAsia="Times New Roman" w:cs="Arial"/>
                          <w:position w:val="2"/>
                          <w:sz w:val="22"/>
                          <w:szCs w:val="22"/>
                          <w:lang w:eastAsia="en-AU"/>
                        </w:rPr>
                        <w:t xml:space="preserve">Once key assumptions and price submission activities are finalised, </w:t>
                      </w:r>
                      <w:r w:rsidRPr="001A456B">
                        <w:rPr>
                          <w:rFonts w:eastAsia="Times New Roman" w:cs="Arial"/>
                          <w:b/>
                          <w:bCs/>
                          <w:position w:val="2"/>
                          <w:sz w:val="22"/>
                          <w:szCs w:val="22"/>
                          <w:lang w:eastAsia="en-AU"/>
                        </w:rPr>
                        <w:t>our projected self-assessment is an </w:t>
                      </w:r>
                      <w:r w:rsidR="00B4458C">
                        <w:rPr>
                          <w:rFonts w:eastAsia="Times New Roman" w:cs="Arial"/>
                          <w:b/>
                          <w:bCs/>
                          <w:position w:val="2"/>
                          <w:sz w:val="22"/>
                          <w:szCs w:val="22"/>
                          <w:lang w:eastAsia="en-AU"/>
                        </w:rPr>
                        <w:t>‘</w:t>
                      </w:r>
                      <w:r w:rsidRPr="00B4458C">
                        <w:rPr>
                          <w:rFonts w:eastAsia="Times New Roman" w:cs="Arial"/>
                          <w:b/>
                          <w:bCs/>
                          <w:i/>
                          <w:iCs/>
                          <w:position w:val="2"/>
                          <w:sz w:val="22"/>
                          <w:szCs w:val="22"/>
                          <w:lang w:eastAsia="en-AU"/>
                        </w:rPr>
                        <w:t>Advanced</w:t>
                      </w:r>
                      <w:r>
                        <w:rPr>
                          <w:rFonts w:eastAsia="Times New Roman" w:cs="Arial"/>
                          <w:b/>
                          <w:bCs/>
                          <w:position w:val="2"/>
                          <w:sz w:val="22"/>
                          <w:szCs w:val="22"/>
                          <w:lang w:eastAsia="en-AU"/>
                        </w:rPr>
                        <w:t>’</w:t>
                      </w:r>
                      <w:r w:rsidRPr="001A456B">
                        <w:rPr>
                          <w:rFonts w:eastAsia="Times New Roman" w:cs="Arial"/>
                          <w:b/>
                          <w:bCs/>
                          <w:position w:val="2"/>
                          <w:sz w:val="22"/>
                          <w:szCs w:val="22"/>
                          <w:lang w:eastAsia="en-AU"/>
                        </w:rPr>
                        <w:t xml:space="preserve"> PREMO rating.</w:t>
                      </w:r>
                    </w:p>
                  </w:txbxContent>
                </v:textbox>
              </v:shape>
            </w:pict>
          </mc:Fallback>
        </mc:AlternateContent>
      </w:r>
      <w:r w:rsidR="008E132A" w:rsidRPr="008E132A">
        <w:t xml:space="preserve">Delivering on what our customers told us </w:t>
      </w:r>
    </w:p>
    <w:tbl>
      <w:tblPr>
        <w:tblStyle w:val="TableGrid"/>
        <w:tblpPr w:leftFromText="180" w:rightFromText="180" w:vertAnchor="page" w:horzAnchor="margin" w:tblpY="2683"/>
        <w:tblW w:w="10206" w:type="dxa"/>
        <w:tblLayout w:type="fixed"/>
        <w:tblCellMar>
          <w:top w:w="113" w:type="dxa"/>
          <w:left w:w="113" w:type="dxa"/>
          <w:bottom w:w="113" w:type="dxa"/>
          <w:right w:w="113" w:type="dxa"/>
        </w:tblCellMar>
        <w:tblLook w:val="0600" w:firstRow="0" w:lastRow="0" w:firstColumn="0" w:lastColumn="0" w:noHBand="1" w:noVBand="1"/>
      </w:tblPr>
      <w:tblGrid>
        <w:gridCol w:w="1418"/>
        <w:gridCol w:w="3544"/>
        <w:gridCol w:w="1417"/>
        <w:gridCol w:w="3827"/>
      </w:tblGrid>
      <w:tr w:rsidR="00DE393A" w:rsidRPr="00893AB6" w14:paraId="00358411" w14:textId="77777777" w:rsidTr="00743ADF">
        <w:trPr>
          <w:trHeight w:hRule="exact" w:val="1108"/>
        </w:trPr>
        <w:tc>
          <w:tcPr>
            <w:tcW w:w="1418" w:type="dxa"/>
            <w:shd w:val="clear" w:color="auto" w:fill="0075E3"/>
            <w:tcMar>
              <w:left w:w="0" w:type="dxa"/>
              <w:right w:w="85" w:type="dxa"/>
            </w:tcMar>
            <w:vAlign w:val="center"/>
          </w:tcPr>
          <w:p w14:paraId="5E1FB324" w14:textId="77777777" w:rsidR="008E132A" w:rsidRPr="00893AB6" w:rsidRDefault="008E132A" w:rsidP="00DE393A">
            <w:pPr>
              <w:pStyle w:val="Heading3"/>
              <w:spacing w:before="0" w:after="0"/>
              <w:jc w:val="center"/>
              <w:outlineLvl w:val="2"/>
              <w:rPr>
                <w:noProof/>
                <w:sz w:val="24"/>
              </w:rPr>
            </w:pPr>
            <w:r w:rsidRPr="00893AB6">
              <w:rPr>
                <w:noProof/>
                <w:sz w:val="24"/>
              </w:rPr>
              <mc:AlternateContent>
                <mc:Choice Requires="wps">
                  <w:drawing>
                    <wp:anchor distT="0" distB="0" distL="114300" distR="114300" simplePos="0" relativeHeight="251658241" behindDoc="0" locked="0" layoutInCell="1" allowOverlap="1" wp14:anchorId="3E5A9685" wp14:editId="52430A4F">
                      <wp:simplePos x="0" y="0"/>
                      <wp:positionH relativeFrom="column">
                        <wp:posOffset>247650</wp:posOffset>
                      </wp:positionH>
                      <wp:positionV relativeFrom="paragraph">
                        <wp:posOffset>53340</wp:posOffset>
                      </wp:positionV>
                      <wp:extent cx="515620" cy="518160"/>
                      <wp:effectExtent l="12700" t="12700" r="5080" b="2540"/>
                      <wp:wrapNone/>
                      <wp:docPr id="996" name="Freeform: Shape 53"/>
                      <wp:cNvGraphicFramePr/>
                      <a:graphic xmlns:a="http://schemas.openxmlformats.org/drawingml/2006/main">
                        <a:graphicData uri="http://schemas.microsoft.com/office/word/2010/wordprocessingShape">
                          <wps:wsp>
                            <wps:cNvSpPr/>
                            <wps:spPr>
                              <a:xfrm>
                                <a:off x="0" y="0"/>
                                <a:ext cx="515620" cy="518160"/>
                              </a:xfrm>
                              <a:custGeom>
                                <a:avLst/>
                                <a:gdLst>
                                  <a:gd name="connsiteX0" fmla="*/ 61122 w 530828"/>
                                  <a:gd name="connsiteY0" fmla="*/ 433742 h 532556"/>
                                  <a:gd name="connsiteX1" fmla="*/ 226095 w 530828"/>
                                  <a:gd name="connsiteY1" fmla="*/ 433742 h 532556"/>
                                  <a:gd name="connsiteX2" fmla="*/ 311249 w 530828"/>
                                  <a:gd name="connsiteY2" fmla="*/ 470985 h 532556"/>
                                  <a:gd name="connsiteX3" fmla="*/ 311249 w 530828"/>
                                  <a:gd name="connsiteY3" fmla="*/ 470985 h 532556"/>
                                  <a:gd name="connsiteX4" fmla="*/ 385448 w 530828"/>
                                  <a:gd name="connsiteY4" fmla="*/ 433838 h 532556"/>
                                  <a:gd name="connsiteX5" fmla="*/ 452123 w 530828"/>
                                  <a:gd name="connsiteY5" fmla="*/ 524516 h 532556"/>
                                  <a:gd name="connsiteX6" fmla="*/ 460125 w 530828"/>
                                  <a:gd name="connsiteY6" fmla="*/ 532517 h 532556"/>
                                  <a:gd name="connsiteX7" fmla="*/ 522799 w 530828"/>
                                  <a:gd name="connsiteY7" fmla="*/ 532517 h 532556"/>
                                  <a:gd name="connsiteX8" fmla="*/ 530800 w 530828"/>
                                  <a:gd name="connsiteY8" fmla="*/ 524516 h 532556"/>
                                  <a:gd name="connsiteX9" fmla="*/ 408309 w 530828"/>
                                  <a:gd name="connsiteY9" fmla="*/ 357257 h 532556"/>
                                  <a:gd name="connsiteX10" fmla="*/ 382210 w 530828"/>
                                  <a:gd name="connsiteY10" fmla="*/ 296773 h 532556"/>
                                  <a:gd name="connsiteX11" fmla="*/ 382210 w 530828"/>
                                  <a:gd name="connsiteY11" fmla="*/ 244957 h 532556"/>
                                  <a:gd name="connsiteX12" fmla="*/ 374209 w 530828"/>
                                  <a:gd name="connsiteY12" fmla="*/ 236956 h 532556"/>
                                  <a:gd name="connsiteX13" fmla="*/ 370399 w 530828"/>
                                  <a:gd name="connsiteY13" fmla="*/ 236956 h 532556"/>
                                  <a:gd name="connsiteX14" fmla="*/ 355540 w 530828"/>
                                  <a:gd name="connsiteY14" fmla="*/ 154279 h 532556"/>
                                  <a:gd name="connsiteX15" fmla="*/ 347634 w 530828"/>
                                  <a:gd name="connsiteY15" fmla="*/ 147707 h 532556"/>
                                  <a:gd name="connsiteX16" fmla="*/ 338776 w 530828"/>
                                  <a:gd name="connsiteY16" fmla="*/ 147707 h 532556"/>
                                  <a:gd name="connsiteX17" fmla="*/ 338776 w 530828"/>
                                  <a:gd name="connsiteY17" fmla="*/ 77031 h 532556"/>
                                  <a:gd name="connsiteX18" fmla="*/ 397831 w 530828"/>
                                  <a:gd name="connsiteY18" fmla="*/ 77031 h 532556"/>
                                  <a:gd name="connsiteX19" fmla="*/ 422396 w 530828"/>
                                  <a:gd name="connsiteY19" fmla="*/ 49304 h 532556"/>
                                  <a:gd name="connsiteX20" fmla="*/ 397831 w 530828"/>
                                  <a:gd name="connsiteY20" fmla="*/ 24739 h 532556"/>
                                  <a:gd name="connsiteX21" fmla="*/ 341824 w 530828"/>
                                  <a:gd name="connsiteY21" fmla="*/ 24739 h 532556"/>
                                  <a:gd name="connsiteX22" fmla="*/ 294580 w 530828"/>
                                  <a:gd name="connsiteY22" fmla="*/ 2069 h 532556"/>
                                  <a:gd name="connsiteX23" fmla="*/ 271911 w 530828"/>
                                  <a:gd name="connsiteY23" fmla="*/ 24739 h 532556"/>
                                  <a:gd name="connsiteX24" fmla="*/ 215999 w 530828"/>
                                  <a:gd name="connsiteY24" fmla="*/ 24739 h 532556"/>
                                  <a:gd name="connsiteX25" fmla="*/ 191434 w 530828"/>
                                  <a:gd name="connsiteY25" fmla="*/ 52466 h 532556"/>
                                  <a:gd name="connsiteX26" fmla="*/ 215999 w 530828"/>
                                  <a:gd name="connsiteY26" fmla="*/ 77031 h 532556"/>
                                  <a:gd name="connsiteX27" fmla="*/ 275149 w 530828"/>
                                  <a:gd name="connsiteY27" fmla="*/ 77031 h 532556"/>
                                  <a:gd name="connsiteX28" fmla="*/ 275149 w 530828"/>
                                  <a:gd name="connsiteY28" fmla="*/ 148088 h 532556"/>
                                  <a:gd name="connsiteX29" fmla="*/ 265624 w 530828"/>
                                  <a:gd name="connsiteY29" fmla="*/ 148088 h 532556"/>
                                  <a:gd name="connsiteX30" fmla="*/ 257813 w 530828"/>
                                  <a:gd name="connsiteY30" fmla="*/ 154660 h 532556"/>
                                  <a:gd name="connsiteX31" fmla="*/ 242859 w 530828"/>
                                  <a:gd name="connsiteY31" fmla="*/ 237337 h 532556"/>
                                  <a:gd name="connsiteX32" fmla="*/ 238097 w 530828"/>
                                  <a:gd name="connsiteY32" fmla="*/ 237337 h 532556"/>
                                  <a:gd name="connsiteX33" fmla="*/ 230096 w 530828"/>
                                  <a:gd name="connsiteY33" fmla="*/ 245433 h 532556"/>
                                  <a:gd name="connsiteX34" fmla="*/ 230572 w 530828"/>
                                  <a:gd name="connsiteY34" fmla="*/ 297249 h 532556"/>
                                  <a:gd name="connsiteX35" fmla="*/ 204759 w 530828"/>
                                  <a:gd name="connsiteY35" fmla="*/ 356590 h 532556"/>
                                  <a:gd name="connsiteX36" fmla="*/ 61313 w 530828"/>
                                  <a:gd name="connsiteY36" fmla="*/ 356590 h 532556"/>
                                  <a:gd name="connsiteX37" fmla="*/ 61313 w 530828"/>
                                  <a:gd name="connsiteY37" fmla="*/ 352589 h 532556"/>
                                  <a:gd name="connsiteX38" fmla="*/ 30642 w 530828"/>
                                  <a:gd name="connsiteY38" fmla="*/ 321919 h 532556"/>
                                  <a:gd name="connsiteX39" fmla="*/ -28 w 530828"/>
                                  <a:gd name="connsiteY39" fmla="*/ 352589 h 532556"/>
                                  <a:gd name="connsiteX40" fmla="*/ -28 w 530828"/>
                                  <a:gd name="connsiteY40" fmla="*/ 438314 h 532556"/>
                                  <a:gd name="connsiteX41" fmla="*/ 30547 w 530828"/>
                                  <a:gd name="connsiteY41" fmla="*/ 468890 h 532556"/>
                                  <a:gd name="connsiteX42" fmla="*/ 61122 w 530828"/>
                                  <a:gd name="connsiteY42" fmla="*/ 438314 h 532556"/>
                                  <a:gd name="connsiteX43" fmla="*/ 45311 w 530828"/>
                                  <a:gd name="connsiteY43" fmla="*/ 437838 h 532556"/>
                                  <a:gd name="connsiteX44" fmla="*/ 30642 w 530828"/>
                                  <a:gd name="connsiteY44" fmla="*/ 452507 h 532556"/>
                                  <a:gd name="connsiteX45" fmla="*/ 15974 w 530828"/>
                                  <a:gd name="connsiteY45" fmla="*/ 437838 h 532556"/>
                                  <a:gd name="connsiteX46" fmla="*/ 15974 w 530828"/>
                                  <a:gd name="connsiteY46" fmla="*/ 352113 h 532556"/>
                                  <a:gd name="connsiteX47" fmla="*/ 30642 w 530828"/>
                                  <a:gd name="connsiteY47" fmla="*/ 337445 h 532556"/>
                                  <a:gd name="connsiteX48" fmla="*/ 45311 w 530828"/>
                                  <a:gd name="connsiteY48" fmla="*/ 352113 h 532556"/>
                                  <a:gd name="connsiteX49" fmla="*/ 205617 w 530828"/>
                                  <a:gd name="connsiteY49" fmla="*/ 50456 h 532556"/>
                                  <a:gd name="connsiteX50" fmla="*/ 215713 w 530828"/>
                                  <a:gd name="connsiteY50" fmla="*/ 40360 h 532556"/>
                                  <a:gd name="connsiteX51" fmla="*/ 277816 w 530828"/>
                                  <a:gd name="connsiteY51" fmla="*/ 40360 h 532556"/>
                                  <a:gd name="connsiteX52" fmla="*/ 285722 w 530828"/>
                                  <a:gd name="connsiteY52" fmla="*/ 33597 h 532556"/>
                                  <a:gd name="connsiteX53" fmla="*/ 309410 w 530828"/>
                                  <a:gd name="connsiteY53" fmla="*/ 15566 h 532556"/>
                                  <a:gd name="connsiteX54" fmla="*/ 327441 w 530828"/>
                                  <a:gd name="connsiteY54" fmla="*/ 33597 h 532556"/>
                                  <a:gd name="connsiteX55" fmla="*/ 335347 w 530828"/>
                                  <a:gd name="connsiteY55" fmla="*/ 40360 h 532556"/>
                                  <a:gd name="connsiteX56" fmla="*/ 397355 w 530828"/>
                                  <a:gd name="connsiteY56" fmla="*/ 40360 h 532556"/>
                                  <a:gd name="connsiteX57" fmla="*/ 406518 w 530828"/>
                                  <a:gd name="connsiteY57" fmla="*/ 51485 h 532556"/>
                                  <a:gd name="connsiteX58" fmla="*/ 397355 w 530828"/>
                                  <a:gd name="connsiteY58" fmla="*/ 60648 h 532556"/>
                                  <a:gd name="connsiteX59" fmla="*/ 215713 w 530828"/>
                                  <a:gd name="connsiteY59" fmla="*/ 60648 h 532556"/>
                                  <a:gd name="connsiteX60" fmla="*/ 205617 w 530828"/>
                                  <a:gd name="connsiteY60" fmla="*/ 50456 h 532556"/>
                                  <a:gd name="connsiteX61" fmla="*/ 290770 w 530828"/>
                                  <a:gd name="connsiteY61" fmla="*/ 76650 h 532556"/>
                                  <a:gd name="connsiteX62" fmla="*/ 322774 w 530828"/>
                                  <a:gd name="connsiteY62" fmla="*/ 76650 h 532556"/>
                                  <a:gd name="connsiteX63" fmla="*/ 322774 w 530828"/>
                                  <a:gd name="connsiteY63" fmla="*/ 147707 h 532556"/>
                                  <a:gd name="connsiteX64" fmla="*/ 291246 w 530828"/>
                                  <a:gd name="connsiteY64" fmla="*/ 147707 h 532556"/>
                                  <a:gd name="connsiteX65" fmla="*/ 272577 w 530828"/>
                                  <a:gd name="connsiteY65" fmla="*/ 163709 h 532556"/>
                                  <a:gd name="connsiteX66" fmla="*/ 340490 w 530828"/>
                                  <a:gd name="connsiteY66" fmla="*/ 163709 h 532556"/>
                                  <a:gd name="connsiteX67" fmla="*/ 353635 w 530828"/>
                                  <a:gd name="connsiteY67" fmla="*/ 236956 h 532556"/>
                                  <a:gd name="connsiteX68" fmla="*/ 259433 w 530828"/>
                                  <a:gd name="connsiteY68" fmla="*/ 236956 h 532556"/>
                                  <a:gd name="connsiteX69" fmla="*/ 467840 w 530828"/>
                                  <a:gd name="connsiteY69" fmla="*/ 516134 h 532556"/>
                                  <a:gd name="connsiteX70" fmla="*/ 382115 w 530828"/>
                                  <a:gd name="connsiteY70" fmla="*/ 417359 h 532556"/>
                                  <a:gd name="connsiteX71" fmla="*/ 375638 w 530828"/>
                                  <a:gd name="connsiteY71" fmla="*/ 420598 h 532556"/>
                                  <a:gd name="connsiteX72" fmla="*/ 311535 w 530828"/>
                                  <a:gd name="connsiteY72" fmla="*/ 454602 h 532556"/>
                                  <a:gd name="connsiteX73" fmla="*/ 311535 w 530828"/>
                                  <a:gd name="connsiteY73" fmla="*/ 454602 h 532556"/>
                                  <a:gd name="connsiteX74" fmla="*/ 235906 w 530828"/>
                                  <a:gd name="connsiteY74" fmla="*/ 420026 h 532556"/>
                                  <a:gd name="connsiteX75" fmla="*/ 229905 w 530828"/>
                                  <a:gd name="connsiteY75" fmla="*/ 417359 h 532556"/>
                                  <a:gd name="connsiteX76" fmla="*/ 61408 w 530828"/>
                                  <a:gd name="connsiteY76" fmla="*/ 417359 h 532556"/>
                                  <a:gd name="connsiteX77" fmla="*/ 61408 w 530828"/>
                                  <a:gd name="connsiteY77" fmla="*/ 371830 h 532556"/>
                                  <a:gd name="connsiteX78" fmla="*/ 212094 w 530828"/>
                                  <a:gd name="connsiteY78" fmla="*/ 371830 h 532556"/>
                                  <a:gd name="connsiteX79" fmla="*/ 220095 w 530828"/>
                                  <a:gd name="connsiteY79" fmla="*/ 364400 h 532556"/>
                                  <a:gd name="connsiteX80" fmla="*/ 244955 w 530828"/>
                                  <a:gd name="connsiteY80" fmla="*/ 304583 h 532556"/>
                                  <a:gd name="connsiteX81" fmla="*/ 246860 w 530828"/>
                                  <a:gd name="connsiteY81" fmla="*/ 299345 h 532556"/>
                                  <a:gd name="connsiteX82" fmla="*/ 246860 w 530828"/>
                                  <a:gd name="connsiteY82" fmla="*/ 252577 h 532556"/>
                                  <a:gd name="connsiteX83" fmla="*/ 366875 w 530828"/>
                                  <a:gd name="connsiteY83" fmla="*/ 252577 h 532556"/>
                                  <a:gd name="connsiteX84" fmla="*/ 366875 w 530828"/>
                                  <a:gd name="connsiteY84" fmla="*/ 299440 h 532556"/>
                                  <a:gd name="connsiteX85" fmla="*/ 369161 w 530828"/>
                                  <a:gd name="connsiteY85" fmla="*/ 305060 h 532556"/>
                                  <a:gd name="connsiteX86" fmla="*/ 393259 w 530828"/>
                                  <a:gd name="connsiteY86" fmla="*/ 363829 h 532556"/>
                                  <a:gd name="connsiteX87" fmla="*/ 400784 w 530828"/>
                                  <a:gd name="connsiteY87" fmla="*/ 371830 h 532556"/>
                                  <a:gd name="connsiteX88" fmla="*/ 515084 w 530828"/>
                                  <a:gd name="connsiteY88" fmla="*/ 516134 h 532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Lst>
                                <a:rect l="l" t="t" r="r" b="b"/>
                                <a:pathLst>
                                  <a:path w="530828" h="532556">
                                    <a:moveTo>
                                      <a:pt x="61122" y="433742"/>
                                    </a:moveTo>
                                    <a:lnTo>
                                      <a:pt x="226095" y="433742"/>
                                    </a:lnTo>
                                    <a:cubicBezTo>
                                      <a:pt x="247603" y="458107"/>
                                      <a:pt x="278759" y="471728"/>
                                      <a:pt x="311249" y="470985"/>
                                    </a:cubicBezTo>
                                    <a:lnTo>
                                      <a:pt x="311249" y="470985"/>
                                    </a:lnTo>
                                    <a:cubicBezTo>
                                      <a:pt x="350111" y="470985"/>
                                      <a:pt x="377067" y="443553"/>
                                      <a:pt x="385448" y="433838"/>
                                    </a:cubicBezTo>
                                    <a:cubicBezTo>
                                      <a:pt x="450790" y="436886"/>
                                      <a:pt x="452123" y="520896"/>
                                      <a:pt x="452123" y="524516"/>
                                    </a:cubicBezTo>
                                    <a:cubicBezTo>
                                      <a:pt x="452171" y="528916"/>
                                      <a:pt x="455724" y="532469"/>
                                      <a:pt x="460125" y="532517"/>
                                    </a:cubicBezTo>
                                    <a:lnTo>
                                      <a:pt x="522799" y="532517"/>
                                    </a:lnTo>
                                    <a:cubicBezTo>
                                      <a:pt x="527200" y="532469"/>
                                      <a:pt x="530752" y="528916"/>
                                      <a:pt x="530800" y="524516"/>
                                    </a:cubicBezTo>
                                    <a:cubicBezTo>
                                      <a:pt x="530800" y="387927"/>
                                      <a:pt x="435550" y="361828"/>
                                      <a:pt x="408309" y="357257"/>
                                    </a:cubicBezTo>
                                    <a:cubicBezTo>
                                      <a:pt x="405994" y="334901"/>
                                      <a:pt x="396879" y="313794"/>
                                      <a:pt x="382210" y="296773"/>
                                    </a:cubicBezTo>
                                    <a:lnTo>
                                      <a:pt x="382210" y="244957"/>
                                    </a:lnTo>
                                    <a:cubicBezTo>
                                      <a:pt x="382210" y="240537"/>
                                      <a:pt x="378629" y="236956"/>
                                      <a:pt x="374209" y="236956"/>
                                    </a:cubicBezTo>
                                    <a:lnTo>
                                      <a:pt x="370399" y="236956"/>
                                    </a:lnTo>
                                    <a:lnTo>
                                      <a:pt x="355540" y="154279"/>
                                    </a:lnTo>
                                    <a:cubicBezTo>
                                      <a:pt x="354816" y="150478"/>
                                      <a:pt x="351501" y="147726"/>
                                      <a:pt x="347634" y="147707"/>
                                    </a:cubicBezTo>
                                    <a:lnTo>
                                      <a:pt x="338776" y="147707"/>
                                    </a:lnTo>
                                    <a:lnTo>
                                      <a:pt x="338776" y="77031"/>
                                    </a:lnTo>
                                    <a:lnTo>
                                      <a:pt x="397831" y="77031"/>
                                    </a:lnTo>
                                    <a:cubicBezTo>
                                      <a:pt x="412271" y="76155"/>
                                      <a:pt x="423272" y="63744"/>
                                      <a:pt x="422396" y="49304"/>
                                    </a:cubicBezTo>
                                    <a:cubicBezTo>
                                      <a:pt x="421596" y="36083"/>
                                      <a:pt x="411052" y="25539"/>
                                      <a:pt x="397831" y="24739"/>
                                    </a:cubicBezTo>
                                    <a:lnTo>
                                      <a:pt x="341824" y="24739"/>
                                    </a:lnTo>
                                    <a:cubicBezTo>
                                      <a:pt x="335042" y="5432"/>
                                      <a:pt x="313887" y="-4722"/>
                                      <a:pt x="294580" y="2069"/>
                                    </a:cubicBezTo>
                                    <a:cubicBezTo>
                                      <a:pt x="283979" y="5794"/>
                                      <a:pt x="275635" y="14137"/>
                                      <a:pt x="271911" y="24739"/>
                                    </a:cubicBezTo>
                                    <a:lnTo>
                                      <a:pt x="215999" y="24739"/>
                                    </a:lnTo>
                                    <a:cubicBezTo>
                                      <a:pt x="201559" y="25615"/>
                                      <a:pt x="190557" y="38026"/>
                                      <a:pt x="191434" y="52466"/>
                                    </a:cubicBezTo>
                                    <a:cubicBezTo>
                                      <a:pt x="192234" y="65687"/>
                                      <a:pt x="202778" y="76231"/>
                                      <a:pt x="215999" y="77031"/>
                                    </a:cubicBezTo>
                                    <a:lnTo>
                                      <a:pt x="275149" y="77031"/>
                                    </a:lnTo>
                                    <a:lnTo>
                                      <a:pt x="275149" y="148088"/>
                                    </a:lnTo>
                                    <a:lnTo>
                                      <a:pt x="265624" y="148088"/>
                                    </a:lnTo>
                                    <a:cubicBezTo>
                                      <a:pt x="261776" y="148116"/>
                                      <a:pt x="258499" y="150878"/>
                                      <a:pt x="257813" y="154660"/>
                                    </a:cubicBezTo>
                                    <a:lnTo>
                                      <a:pt x="242859" y="237337"/>
                                    </a:lnTo>
                                    <a:lnTo>
                                      <a:pt x="238097" y="237337"/>
                                    </a:lnTo>
                                    <a:cubicBezTo>
                                      <a:pt x="233658" y="237384"/>
                                      <a:pt x="230096" y="240994"/>
                                      <a:pt x="230096" y="245433"/>
                                    </a:cubicBezTo>
                                    <a:lnTo>
                                      <a:pt x="230572" y="297249"/>
                                    </a:lnTo>
                                    <a:cubicBezTo>
                                      <a:pt x="217104" y="314537"/>
                                      <a:pt x="208217" y="334949"/>
                                      <a:pt x="204759" y="356590"/>
                                    </a:cubicBezTo>
                                    <a:lnTo>
                                      <a:pt x="61313" y="356590"/>
                                    </a:lnTo>
                                    <a:lnTo>
                                      <a:pt x="61313" y="352589"/>
                                    </a:lnTo>
                                    <a:cubicBezTo>
                                      <a:pt x="61313" y="335654"/>
                                      <a:pt x="47578" y="321919"/>
                                      <a:pt x="30642" y="321919"/>
                                    </a:cubicBezTo>
                                    <a:cubicBezTo>
                                      <a:pt x="13707" y="321919"/>
                                      <a:pt x="-28" y="335654"/>
                                      <a:pt x="-28" y="352589"/>
                                    </a:cubicBezTo>
                                    <a:lnTo>
                                      <a:pt x="-28" y="438314"/>
                                    </a:lnTo>
                                    <a:cubicBezTo>
                                      <a:pt x="-28" y="455202"/>
                                      <a:pt x="13659" y="468890"/>
                                      <a:pt x="30547" y="468890"/>
                                    </a:cubicBezTo>
                                    <a:cubicBezTo>
                                      <a:pt x="47435" y="468890"/>
                                      <a:pt x="61122" y="455202"/>
                                      <a:pt x="61122" y="438314"/>
                                    </a:cubicBezTo>
                                    <a:close/>
                                    <a:moveTo>
                                      <a:pt x="45311" y="437838"/>
                                    </a:moveTo>
                                    <a:cubicBezTo>
                                      <a:pt x="45311" y="445944"/>
                                      <a:pt x="38748" y="452507"/>
                                      <a:pt x="30642" y="452507"/>
                                    </a:cubicBezTo>
                                    <a:cubicBezTo>
                                      <a:pt x="22537" y="452507"/>
                                      <a:pt x="15974" y="445944"/>
                                      <a:pt x="15974" y="437838"/>
                                    </a:cubicBezTo>
                                    <a:lnTo>
                                      <a:pt x="15974" y="352113"/>
                                    </a:lnTo>
                                    <a:cubicBezTo>
                                      <a:pt x="15974" y="344007"/>
                                      <a:pt x="22537" y="337445"/>
                                      <a:pt x="30642" y="337445"/>
                                    </a:cubicBezTo>
                                    <a:cubicBezTo>
                                      <a:pt x="38748" y="337445"/>
                                      <a:pt x="45311" y="344007"/>
                                      <a:pt x="45311" y="352113"/>
                                    </a:cubicBezTo>
                                    <a:close/>
                                    <a:moveTo>
                                      <a:pt x="205617" y="50456"/>
                                    </a:moveTo>
                                    <a:cubicBezTo>
                                      <a:pt x="205664" y="44903"/>
                                      <a:pt x="210160" y="40407"/>
                                      <a:pt x="215713" y="40360"/>
                                    </a:cubicBezTo>
                                    <a:lnTo>
                                      <a:pt x="277816" y="40360"/>
                                    </a:lnTo>
                                    <a:cubicBezTo>
                                      <a:pt x="281740" y="40322"/>
                                      <a:pt x="285074" y="37474"/>
                                      <a:pt x="285722" y="33597"/>
                                    </a:cubicBezTo>
                                    <a:cubicBezTo>
                                      <a:pt x="287284" y="22072"/>
                                      <a:pt x="297885" y="14004"/>
                                      <a:pt x="309410" y="15566"/>
                                    </a:cubicBezTo>
                                    <a:cubicBezTo>
                                      <a:pt x="318793" y="16833"/>
                                      <a:pt x="326174" y="24215"/>
                                      <a:pt x="327441" y="33597"/>
                                    </a:cubicBezTo>
                                    <a:cubicBezTo>
                                      <a:pt x="328013" y="37512"/>
                                      <a:pt x="331394" y="40398"/>
                                      <a:pt x="335347" y="40360"/>
                                    </a:cubicBezTo>
                                    <a:lnTo>
                                      <a:pt x="397355" y="40360"/>
                                    </a:lnTo>
                                    <a:cubicBezTo>
                                      <a:pt x="402955" y="40903"/>
                                      <a:pt x="407061" y="45884"/>
                                      <a:pt x="406518" y="51485"/>
                                    </a:cubicBezTo>
                                    <a:cubicBezTo>
                                      <a:pt x="406042" y="56343"/>
                                      <a:pt x="402203" y="60181"/>
                                      <a:pt x="397355" y="60648"/>
                                    </a:cubicBezTo>
                                    <a:lnTo>
                                      <a:pt x="215713" y="60648"/>
                                    </a:lnTo>
                                    <a:cubicBezTo>
                                      <a:pt x="210122" y="60600"/>
                                      <a:pt x="205617" y="56047"/>
                                      <a:pt x="205617" y="50456"/>
                                    </a:cubicBezTo>
                                    <a:moveTo>
                                      <a:pt x="290770" y="76650"/>
                                    </a:moveTo>
                                    <a:lnTo>
                                      <a:pt x="322774" y="76650"/>
                                    </a:lnTo>
                                    <a:lnTo>
                                      <a:pt x="322774" y="147707"/>
                                    </a:lnTo>
                                    <a:lnTo>
                                      <a:pt x="291246" y="147707"/>
                                    </a:lnTo>
                                    <a:close/>
                                    <a:moveTo>
                                      <a:pt x="272577" y="163709"/>
                                    </a:moveTo>
                                    <a:lnTo>
                                      <a:pt x="340490" y="163709"/>
                                    </a:lnTo>
                                    <a:lnTo>
                                      <a:pt x="353635" y="236956"/>
                                    </a:lnTo>
                                    <a:lnTo>
                                      <a:pt x="259433" y="236956"/>
                                    </a:lnTo>
                                    <a:close/>
                                    <a:moveTo>
                                      <a:pt x="467840" y="516134"/>
                                    </a:moveTo>
                                    <a:cubicBezTo>
                                      <a:pt x="465363" y="478034"/>
                                      <a:pt x="445456" y="417359"/>
                                      <a:pt x="382115" y="417359"/>
                                    </a:cubicBezTo>
                                    <a:cubicBezTo>
                                      <a:pt x="379572" y="417378"/>
                                      <a:pt x="377181" y="418569"/>
                                      <a:pt x="375638" y="420598"/>
                                    </a:cubicBezTo>
                                    <a:cubicBezTo>
                                      <a:pt x="375638" y="420598"/>
                                      <a:pt x="349635" y="454507"/>
                                      <a:pt x="311535" y="454602"/>
                                    </a:cubicBezTo>
                                    <a:lnTo>
                                      <a:pt x="311535" y="454602"/>
                                    </a:lnTo>
                                    <a:cubicBezTo>
                                      <a:pt x="282379" y="455202"/>
                                      <a:pt x="254527" y="442467"/>
                                      <a:pt x="235906" y="420026"/>
                                    </a:cubicBezTo>
                                    <a:cubicBezTo>
                                      <a:pt x="234392" y="418312"/>
                                      <a:pt x="232201" y="417340"/>
                                      <a:pt x="229905" y="417359"/>
                                    </a:cubicBezTo>
                                    <a:lnTo>
                                      <a:pt x="61408" y="417359"/>
                                    </a:lnTo>
                                    <a:cubicBezTo>
                                      <a:pt x="61408" y="407072"/>
                                      <a:pt x="61408" y="392594"/>
                                      <a:pt x="61408" y="371830"/>
                                    </a:cubicBezTo>
                                    <a:lnTo>
                                      <a:pt x="212094" y="371830"/>
                                    </a:lnTo>
                                    <a:cubicBezTo>
                                      <a:pt x="216285" y="371792"/>
                                      <a:pt x="219752" y="368572"/>
                                      <a:pt x="220095" y="364400"/>
                                    </a:cubicBezTo>
                                    <a:cubicBezTo>
                                      <a:pt x="222438" y="342483"/>
                                      <a:pt x="231077" y="321709"/>
                                      <a:pt x="244955" y="304583"/>
                                    </a:cubicBezTo>
                                    <a:cubicBezTo>
                                      <a:pt x="246193" y="303116"/>
                                      <a:pt x="246869" y="301259"/>
                                      <a:pt x="246860" y="299345"/>
                                    </a:cubicBezTo>
                                    <a:lnTo>
                                      <a:pt x="246860" y="252577"/>
                                    </a:lnTo>
                                    <a:lnTo>
                                      <a:pt x="366875" y="252577"/>
                                    </a:lnTo>
                                    <a:lnTo>
                                      <a:pt x="366875" y="299440"/>
                                    </a:lnTo>
                                    <a:cubicBezTo>
                                      <a:pt x="366903" y="301535"/>
                                      <a:pt x="367713" y="303545"/>
                                      <a:pt x="369161" y="305060"/>
                                    </a:cubicBezTo>
                                    <a:cubicBezTo>
                                      <a:pt x="383734" y="321281"/>
                                      <a:pt x="392249" y="342045"/>
                                      <a:pt x="393259" y="363829"/>
                                    </a:cubicBezTo>
                                    <a:cubicBezTo>
                                      <a:pt x="393249" y="368067"/>
                                      <a:pt x="396555" y="371582"/>
                                      <a:pt x="400784" y="371830"/>
                                    </a:cubicBezTo>
                                    <a:cubicBezTo>
                                      <a:pt x="405356" y="371830"/>
                                      <a:pt x="511274" y="380498"/>
                                      <a:pt x="515084" y="516134"/>
                                    </a:cubicBezTo>
                                    <a:close/>
                                  </a:path>
                                </a:pathLst>
                              </a:custGeom>
                              <a:solidFill>
                                <a:srgbClr val="FFE900"/>
                              </a:solidFill>
                              <a:ln w="9525" cap="flat">
                                <a:noFill/>
                                <a:prstDash val="solid"/>
                                <a:miter/>
                              </a:ln>
                            </wps:spPr>
                            <wps:bodyPr rtlCol="0" anchor="ctr"/>
                          </wps:wsp>
                        </a:graphicData>
                      </a:graphic>
                      <wp14:sizeRelH relativeFrom="page">
                        <wp14:pctWidth>0</wp14:pctWidth>
                      </wp14:sizeRelH>
                      <wp14:sizeRelV relativeFrom="page">
                        <wp14:pctHeight>0</wp14:pctHeight>
                      </wp14:sizeRelV>
                    </wp:anchor>
                  </w:drawing>
                </mc:Choice>
                <mc:Fallback>
                  <w:pict>
                    <v:shape w14:anchorId="3360F828" id="Freeform: Shape 53" o:spid="_x0000_s1026" style="position:absolute;margin-left:19.5pt;margin-top:4.2pt;width:40.6pt;height:40.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30828,532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" path="m61122,433742r164973,c247603,458107,278759,471728,311249,470985r,c350111,470985,377067,443553,385448,433838v65342,3048,66675,87058,66675,90678c452171,528916,455724,532469,460125,532517r62674,c527200,532469,530752,528916,530800,524516v,-136589,-95250,-162688,-122491,-167259c405994,334901,396879,313794,382210,296773r,-51816c382210,240537,378629,236956,374209,236956r-3810,l355540,154279v-724,-3801,-4039,-6553,-7906,-6572l338776,147707r,-70676l397831,77031v14440,-876,25441,-13287,24565,-27727c421596,36083,411052,25539,397831,24739r-56007,c335042,5432,313887,-4722,294580,2069,283979,5794,275635,14137,271911,24739r-55912,c201559,25615,190557,38026,191434,52466v800,13221,11344,23765,24565,24565l275149,77031r,71057l265624,148088v-3848,28,-7125,2790,-7811,6572l242859,237337r-4762,c233658,237384,230096,240994,230096,245433r476,51816c217104,314537,208217,334949,204759,356590r-143446,l61313,352589v,-16935,-13735,-30670,-30671,-30670c13707,321919,-28,335654,-28,352589r,85725c-28,455202,13659,468890,30547,468890v16888,,30575,-13688,30575,-30576l61122,433742xm45311,437838v,8106,-6563,14669,-14669,14669c22537,452507,15974,445944,15974,437838r,-85725c15974,344007,22537,337445,30642,337445v8106,,14669,6562,14669,14668l45311,437838xm205617,50456v47,-5553,4543,-10049,10096,-10096l277816,40360v3924,-38,7258,-2886,7906,-6763c287284,22072,297885,14004,309410,15566v9383,1267,16764,8649,18031,18031c328013,37512,331394,40398,335347,40360r62008,c402955,40903,407061,45884,406518,51485v-476,4858,-4315,8696,-9163,9163l215713,60648v-5591,-48,-10096,-4601,-10096,-10192m290770,76650r32004,l322774,147707r-31528,l290770,76650xm272577,163709r67913,l353635,236956r-94202,l272577,163709xm467840,516134v-2477,-38100,-22384,-98775,-85725,-98775c379572,417378,377181,418569,375638,420598v,,-26003,33909,-64103,34004l311535,454602v-29156,600,-57008,-12135,-75629,-34576c234392,418312,232201,417340,229905,417359r-168497,c61408,407072,61408,392594,61408,371830r150686,c216285,371792,219752,368572,220095,364400v2343,-21917,10982,-42691,24860,-59817c246193,303116,246869,301259,246860,299345r,-46768l366875,252577r,46863c366903,301535,367713,303545,369161,305060v14573,16221,23088,36985,24098,58769c393249,368067,396555,371582,400784,371830v4572,,110490,8668,114300,144304l467840,516134xe" fillcolor="#ffe900" stroked="f">
                      <v:stroke joinstyle="miter"/>
                      <v:path arrowok="t" o:connecttype="custom" o:connectlocs="59371,422017;219617,422017;302332,458253;302332,458253;374405,422111;439170,510337;446943,518122;507821,518122;515593,510337;396611,347600;371260,288751;371260,238335;363488,230551;359787,230551;345354,150109;337674,143714;329070,143714;329070,74949;386433,74949;410295,47971;386433,24070;332031,24070;286140,2013;264121,24070;209811,24070;185949,51048;209811,74949;267266,74949;267266,144085;258014,144085;250427,150479;235901,230921;231276,230921;223504,238798;223966,289214;198893,346951;59556,346951;59556,343058;29764,313217;-27,343058;-27,426466;29672,456215;59371,426466;44013,426002;29764,440275;15516,426002;15516,342595;29764,328323;44013,342595;199726,49092;209533,39269;269857,39269;277536,32689;300546,15145;318060,32689;325739,39269;385971,39269;394871,50093;385971,59009;209533,59009;199726,49092;282440,74578;313527,74578;313527,143714;282902,143714;264768,159284;330735,159284;343504,230551;252000,230551;454437,502182;371168,406077;364876,409228;302610,442313;302610,442313;229147,408672;223318,406077;59649,406077;59649,361779;206018,361779;213789,354550;237937,296350;239788,291253;239788,245749;356364,245749;356364,291346;358585,296814;381992,353994;389302,361779;500327,502182" o:connectangles="0,0,0,0,0,0,0,0,0,0,0,0,0,0,0,0,0,0,0,0,0,0,0,0,0,0,0,0,0,0,0,0,0,0,0,0,0,0,0,0,0,0,0,0,0,0,0,0,0,0,0,0,0,0,0,0,0,0,0,0,0,0,0,0,0,0,0,0,0,0,0,0,0,0,0,0,0,0,0,0,0,0,0,0,0,0,0,0,0"/>
                    </v:shape>
                  </w:pict>
                </mc:Fallback>
              </mc:AlternateContent>
            </w:r>
          </w:p>
        </w:tc>
        <w:tc>
          <w:tcPr>
            <w:tcW w:w="3544" w:type="dxa"/>
            <w:tcBorders>
              <w:right w:val="single" w:sz="48" w:space="0" w:color="FFFFFF" w:themeColor="background1"/>
            </w:tcBorders>
            <w:shd w:val="clear" w:color="auto" w:fill="0075E3"/>
            <w:vAlign w:val="center"/>
          </w:tcPr>
          <w:p w14:paraId="0128604C" w14:textId="5E7945AF" w:rsidR="008E132A" w:rsidRPr="00893AB6" w:rsidRDefault="008E132A" w:rsidP="00DE393A">
            <w:pPr>
              <w:pStyle w:val="Heading3"/>
              <w:outlineLvl w:val="2"/>
              <w:rPr>
                <w:noProof/>
                <w:sz w:val="24"/>
              </w:rPr>
            </w:pPr>
            <w:r w:rsidRPr="00893AB6">
              <w:rPr>
                <w:noProof/>
                <w:color w:val="FFFFFF" w:themeColor="background1"/>
                <w:sz w:val="24"/>
              </w:rPr>
              <w:t xml:space="preserve">Our </w:t>
            </w:r>
            <w:r>
              <w:rPr>
                <w:noProof/>
                <w:color w:val="FFFFFF" w:themeColor="background1"/>
                <w:sz w:val="24"/>
              </w:rPr>
              <w:t xml:space="preserve">performance against 2018–23 outcomes </w:t>
            </w:r>
          </w:p>
        </w:tc>
        <w:tc>
          <w:tcPr>
            <w:tcW w:w="1417" w:type="dxa"/>
            <w:tcBorders>
              <w:left w:val="single" w:sz="48" w:space="0" w:color="FFFFFF" w:themeColor="background1"/>
            </w:tcBorders>
            <w:shd w:val="clear" w:color="auto" w:fill="4FAEEE"/>
            <w:vAlign w:val="center"/>
          </w:tcPr>
          <w:p w14:paraId="0502EC86" w14:textId="77777777" w:rsidR="008E132A" w:rsidRPr="00F8298E" w:rsidRDefault="008E132A" w:rsidP="00DE393A">
            <w:pPr>
              <w:pStyle w:val="Heading3"/>
              <w:spacing w:before="0" w:after="0"/>
              <w:jc w:val="center"/>
              <w:outlineLvl w:val="2"/>
              <w:rPr>
                <w:color w:val="FFFFFF" w:themeColor="background1"/>
                <w:sz w:val="24"/>
              </w:rPr>
            </w:pPr>
            <w:r w:rsidRPr="00F8298E">
              <w:rPr>
                <w:noProof/>
                <w:color w:val="FFFFFF" w:themeColor="background1"/>
                <w:sz w:val="24"/>
              </w:rPr>
              <mc:AlternateContent>
                <mc:Choice Requires="wps">
                  <w:drawing>
                    <wp:anchor distT="0" distB="0" distL="114300" distR="114300" simplePos="0" relativeHeight="251658242" behindDoc="0" locked="0" layoutInCell="1" allowOverlap="1" wp14:anchorId="13A03D2C" wp14:editId="2D0E5FD2">
                      <wp:simplePos x="0" y="0"/>
                      <wp:positionH relativeFrom="column">
                        <wp:posOffset>209550</wp:posOffset>
                      </wp:positionH>
                      <wp:positionV relativeFrom="paragraph">
                        <wp:posOffset>69215</wp:posOffset>
                      </wp:positionV>
                      <wp:extent cx="462280" cy="513715"/>
                      <wp:effectExtent l="12700" t="12700" r="0" b="0"/>
                      <wp:wrapNone/>
                      <wp:docPr id="997" name="Freeform: Shape 68"/>
                      <wp:cNvGraphicFramePr/>
                      <a:graphic xmlns:a="http://schemas.openxmlformats.org/drawingml/2006/main">
                        <a:graphicData uri="http://schemas.microsoft.com/office/word/2010/wordprocessingShape">
                          <wps:wsp>
                            <wps:cNvSpPr/>
                            <wps:spPr>
                              <a:xfrm>
                                <a:off x="0" y="0"/>
                                <a:ext cx="462280" cy="513715"/>
                              </a:xfrm>
                              <a:custGeom>
                                <a:avLst/>
                                <a:gdLst>
                                  <a:gd name="connsiteX0" fmla="*/ 260310 w 397117"/>
                                  <a:gd name="connsiteY0" fmla="*/ 313333 h 442130"/>
                                  <a:gd name="connsiteX1" fmla="*/ 201837 w 397117"/>
                                  <a:gd name="connsiteY1" fmla="*/ 378684 h 442130"/>
                                  <a:gd name="connsiteX2" fmla="*/ 136485 w 397117"/>
                                  <a:gd name="connsiteY2" fmla="*/ 320200 h 442130"/>
                                  <a:gd name="connsiteX3" fmla="*/ 136485 w 397117"/>
                                  <a:gd name="connsiteY3" fmla="*/ 313333 h 442130"/>
                                  <a:gd name="connsiteX4" fmla="*/ 144486 w 397117"/>
                                  <a:gd name="connsiteY4" fmla="*/ 305332 h 442130"/>
                                  <a:gd name="connsiteX5" fmla="*/ 152487 w 397117"/>
                                  <a:gd name="connsiteY5" fmla="*/ 313333 h 442130"/>
                                  <a:gd name="connsiteX6" fmla="*/ 198493 w 397117"/>
                                  <a:gd name="connsiteY6" fmla="*/ 359339 h 442130"/>
                                  <a:gd name="connsiteX7" fmla="*/ 244499 w 397117"/>
                                  <a:gd name="connsiteY7" fmla="*/ 313333 h 442130"/>
                                  <a:gd name="connsiteX8" fmla="*/ 252500 w 397117"/>
                                  <a:gd name="connsiteY8" fmla="*/ 305332 h 442130"/>
                                  <a:gd name="connsiteX9" fmla="*/ 260501 w 397117"/>
                                  <a:gd name="connsiteY9" fmla="*/ 313333 h 442130"/>
                                  <a:gd name="connsiteX10" fmla="*/ 397089 w 397117"/>
                                  <a:gd name="connsiteY10" fmla="*/ 195414 h 442130"/>
                                  <a:gd name="connsiteX11" fmla="*/ 391184 w 397117"/>
                                  <a:gd name="connsiteY11" fmla="*/ 293140 h 442130"/>
                                  <a:gd name="connsiteX12" fmla="*/ 278884 w 397117"/>
                                  <a:gd name="connsiteY12" fmla="*/ 405440 h 442130"/>
                                  <a:gd name="connsiteX13" fmla="*/ 128656 w 397117"/>
                                  <a:gd name="connsiteY13" fmla="*/ 415993 h 442130"/>
                                  <a:gd name="connsiteX14" fmla="*/ 118102 w 397117"/>
                                  <a:gd name="connsiteY14" fmla="*/ 405440 h 442130"/>
                                  <a:gd name="connsiteX15" fmla="*/ 5802 w 397117"/>
                                  <a:gd name="connsiteY15" fmla="*/ 292854 h 442130"/>
                                  <a:gd name="connsiteX16" fmla="*/ -8 w 397117"/>
                                  <a:gd name="connsiteY16" fmla="*/ 195414 h 442130"/>
                                  <a:gd name="connsiteX17" fmla="*/ 47617 w 397117"/>
                                  <a:gd name="connsiteY17" fmla="*/ 50919 h 442130"/>
                                  <a:gd name="connsiteX18" fmla="*/ 198207 w 397117"/>
                                  <a:gd name="connsiteY18" fmla="*/ -40 h 442130"/>
                                  <a:gd name="connsiteX19" fmla="*/ 348797 w 397117"/>
                                  <a:gd name="connsiteY19" fmla="*/ 50919 h 442130"/>
                                  <a:gd name="connsiteX20" fmla="*/ 396422 w 397117"/>
                                  <a:gd name="connsiteY20" fmla="*/ 195414 h 442130"/>
                                  <a:gd name="connsiteX21" fmla="*/ 127437 w 397117"/>
                                  <a:gd name="connsiteY21" fmla="*/ 392962 h 442130"/>
                                  <a:gd name="connsiteX22" fmla="*/ 256043 w 397117"/>
                                  <a:gd name="connsiteY22" fmla="*/ 405135 h 442130"/>
                                  <a:gd name="connsiteX23" fmla="*/ 268216 w 397117"/>
                                  <a:gd name="connsiteY23" fmla="*/ 392962 h 442130"/>
                                  <a:gd name="connsiteX24" fmla="*/ 336510 w 397117"/>
                                  <a:gd name="connsiteY24" fmla="*/ 173030 h 442130"/>
                                  <a:gd name="connsiteX25" fmla="*/ 199541 w 397117"/>
                                  <a:gd name="connsiteY25" fmla="*/ 173030 h 442130"/>
                                  <a:gd name="connsiteX26" fmla="*/ 191540 w 397117"/>
                                  <a:gd name="connsiteY26" fmla="*/ 165029 h 442130"/>
                                  <a:gd name="connsiteX27" fmla="*/ 191540 w 397117"/>
                                  <a:gd name="connsiteY27" fmla="*/ 131691 h 442130"/>
                                  <a:gd name="connsiteX28" fmla="*/ 146201 w 397117"/>
                                  <a:gd name="connsiteY28" fmla="*/ 173316 h 442130"/>
                                  <a:gd name="connsiteX29" fmla="*/ 134895 w 397117"/>
                                  <a:gd name="connsiteY29" fmla="*/ 172868 h 442130"/>
                                  <a:gd name="connsiteX30" fmla="*/ 132771 w 397117"/>
                                  <a:gd name="connsiteY30" fmla="*/ 167410 h 442130"/>
                                  <a:gd name="connsiteX31" fmla="*/ 132771 w 397117"/>
                                  <a:gd name="connsiteY31" fmla="*/ 135311 h 442130"/>
                                  <a:gd name="connsiteX32" fmla="*/ 103243 w 397117"/>
                                  <a:gd name="connsiteY32" fmla="*/ 170172 h 442130"/>
                                  <a:gd name="connsiteX33" fmla="*/ 97147 w 397117"/>
                                  <a:gd name="connsiteY33" fmla="*/ 173030 h 442130"/>
                                  <a:gd name="connsiteX34" fmla="*/ 59809 w 397117"/>
                                  <a:gd name="connsiteY34" fmla="*/ 173030 h 442130"/>
                                  <a:gd name="connsiteX35" fmla="*/ 128103 w 397117"/>
                                  <a:gd name="connsiteY35" fmla="*/ 392962 h 442130"/>
                                  <a:gd name="connsiteX36" fmla="*/ 380516 w 397117"/>
                                  <a:gd name="connsiteY36" fmla="*/ 195223 h 442130"/>
                                  <a:gd name="connsiteX37" fmla="*/ 337082 w 397117"/>
                                  <a:gd name="connsiteY37" fmla="*/ 61873 h 442130"/>
                                  <a:gd name="connsiteX38" fmla="*/ 197922 w 397117"/>
                                  <a:gd name="connsiteY38" fmla="*/ 15582 h 442130"/>
                                  <a:gd name="connsiteX39" fmla="*/ 58761 w 397117"/>
                                  <a:gd name="connsiteY39" fmla="*/ 61873 h 442130"/>
                                  <a:gd name="connsiteX40" fmla="*/ 15422 w 397117"/>
                                  <a:gd name="connsiteY40" fmla="*/ 195223 h 442130"/>
                                  <a:gd name="connsiteX41" fmla="*/ 21138 w 397117"/>
                                  <a:gd name="connsiteY41" fmla="*/ 291140 h 442130"/>
                                  <a:gd name="connsiteX42" fmla="*/ 74097 w 397117"/>
                                  <a:gd name="connsiteY42" fmla="*/ 370769 h 442130"/>
                                  <a:gd name="connsiteX43" fmla="*/ 100291 w 397117"/>
                                  <a:gd name="connsiteY43" fmla="*/ 383437 h 442130"/>
                                  <a:gd name="connsiteX44" fmla="*/ 64476 w 397117"/>
                                  <a:gd name="connsiteY44" fmla="*/ 301808 h 442130"/>
                                  <a:gd name="connsiteX45" fmla="*/ 42759 w 397117"/>
                                  <a:gd name="connsiteY45" fmla="*/ 165219 h 442130"/>
                                  <a:gd name="connsiteX46" fmla="*/ 50570 w 397117"/>
                                  <a:gd name="connsiteY46" fmla="*/ 157028 h 442130"/>
                                  <a:gd name="connsiteX47" fmla="*/ 50760 w 397117"/>
                                  <a:gd name="connsiteY47" fmla="*/ 157028 h 442130"/>
                                  <a:gd name="connsiteX48" fmla="*/ 92861 w 397117"/>
                                  <a:gd name="connsiteY48" fmla="*/ 157028 h 442130"/>
                                  <a:gd name="connsiteX49" fmla="*/ 134104 w 397117"/>
                                  <a:gd name="connsiteY49" fmla="*/ 108260 h 442130"/>
                                  <a:gd name="connsiteX50" fmla="*/ 145382 w 397117"/>
                                  <a:gd name="connsiteY50" fmla="*/ 107345 h 442130"/>
                                  <a:gd name="connsiteX51" fmla="*/ 148201 w 397117"/>
                                  <a:gd name="connsiteY51" fmla="*/ 113499 h 442130"/>
                                  <a:gd name="connsiteX52" fmla="*/ 148201 w 397117"/>
                                  <a:gd name="connsiteY52" fmla="*/ 149217 h 442130"/>
                                  <a:gd name="connsiteX53" fmla="*/ 193540 w 397117"/>
                                  <a:gd name="connsiteY53" fmla="*/ 107593 h 442130"/>
                                  <a:gd name="connsiteX54" fmla="*/ 202208 w 397117"/>
                                  <a:gd name="connsiteY54" fmla="*/ 106164 h 442130"/>
                                  <a:gd name="connsiteX55" fmla="*/ 206971 w 397117"/>
                                  <a:gd name="connsiteY55" fmla="*/ 113499 h 442130"/>
                                  <a:gd name="connsiteX56" fmla="*/ 206971 w 397117"/>
                                  <a:gd name="connsiteY56" fmla="*/ 156647 h 442130"/>
                                  <a:gd name="connsiteX57" fmla="*/ 345083 w 397117"/>
                                  <a:gd name="connsiteY57" fmla="*/ 156647 h 442130"/>
                                  <a:gd name="connsiteX58" fmla="*/ 350798 w 397117"/>
                                  <a:gd name="connsiteY58" fmla="*/ 159028 h 442130"/>
                                  <a:gd name="connsiteX59" fmla="*/ 353084 w 397117"/>
                                  <a:gd name="connsiteY59" fmla="*/ 164838 h 442130"/>
                                  <a:gd name="connsiteX60" fmla="*/ 331367 w 397117"/>
                                  <a:gd name="connsiteY60" fmla="*/ 301427 h 442130"/>
                                  <a:gd name="connsiteX61" fmla="*/ 295553 w 397117"/>
                                  <a:gd name="connsiteY61" fmla="*/ 383056 h 442130"/>
                                  <a:gd name="connsiteX62" fmla="*/ 321747 w 397117"/>
                                  <a:gd name="connsiteY62" fmla="*/ 370388 h 442130"/>
                                  <a:gd name="connsiteX63" fmla="*/ 374706 w 397117"/>
                                  <a:gd name="connsiteY63" fmla="*/ 291044 h 442130"/>
                                  <a:gd name="connsiteX64" fmla="*/ 380516 w 397117"/>
                                  <a:gd name="connsiteY64" fmla="*/ 194842 h 4421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Lst>
                                <a:rect l="l" t="t" r="r" b="b"/>
                                <a:pathLst>
                                  <a:path w="397117" h="442130">
                                    <a:moveTo>
                                      <a:pt x="260310" y="313333"/>
                                    </a:moveTo>
                                    <a:cubicBezTo>
                                      <a:pt x="262206" y="347528"/>
                                      <a:pt x="236031" y="376789"/>
                                      <a:pt x="201837" y="378684"/>
                                    </a:cubicBezTo>
                                    <a:cubicBezTo>
                                      <a:pt x="167642" y="380580"/>
                                      <a:pt x="138381" y="354395"/>
                                      <a:pt x="136485" y="320200"/>
                                    </a:cubicBezTo>
                                    <a:cubicBezTo>
                                      <a:pt x="136362" y="317915"/>
                                      <a:pt x="136362" y="315619"/>
                                      <a:pt x="136485" y="313333"/>
                                    </a:cubicBezTo>
                                    <a:cubicBezTo>
                                      <a:pt x="136485" y="308913"/>
                                      <a:pt x="140067" y="305332"/>
                                      <a:pt x="144486" y="305332"/>
                                    </a:cubicBezTo>
                                    <a:cubicBezTo>
                                      <a:pt x="148906" y="305332"/>
                                      <a:pt x="152487" y="308913"/>
                                      <a:pt x="152487" y="313333"/>
                                    </a:cubicBezTo>
                                    <a:cubicBezTo>
                                      <a:pt x="152487" y="338746"/>
                                      <a:pt x="173090" y="359339"/>
                                      <a:pt x="198493" y="359339"/>
                                    </a:cubicBezTo>
                                    <a:cubicBezTo>
                                      <a:pt x="223906" y="359339"/>
                                      <a:pt x="244499" y="338746"/>
                                      <a:pt x="244499" y="313333"/>
                                    </a:cubicBezTo>
                                    <a:cubicBezTo>
                                      <a:pt x="244499" y="308913"/>
                                      <a:pt x="248080" y="305332"/>
                                      <a:pt x="252500" y="305332"/>
                                    </a:cubicBezTo>
                                    <a:cubicBezTo>
                                      <a:pt x="256919" y="305332"/>
                                      <a:pt x="260501" y="308913"/>
                                      <a:pt x="260501" y="313333"/>
                                    </a:cubicBezTo>
                                    <a:moveTo>
                                      <a:pt x="397089" y="195414"/>
                                    </a:moveTo>
                                    <a:cubicBezTo>
                                      <a:pt x="396518" y="249706"/>
                                      <a:pt x="391184" y="292664"/>
                                      <a:pt x="391184" y="293140"/>
                                    </a:cubicBezTo>
                                    <a:cubicBezTo>
                                      <a:pt x="383564" y="376865"/>
                                      <a:pt x="295458" y="401534"/>
                                      <a:pt x="278884" y="405440"/>
                                    </a:cubicBezTo>
                                    <a:cubicBezTo>
                                      <a:pt x="240317" y="449836"/>
                                      <a:pt x="173052" y="454560"/>
                                      <a:pt x="128656" y="415993"/>
                                    </a:cubicBezTo>
                                    <a:cubicBezTo>
                                      <a:pt x="124894" y="412726"/>
                                      <a:pt x="121369" y="409202"/>
                                      <a:pt x="118102" y="405440"/>
                                    </a:cubicBezTo>
                                    <a:cubicBezTo>
                                      <a:pt x="101529" y="401534"/>
                                      <a:pt x="13327" y="376865"/>
                                      <a:pt x="5802" y="292854"/>
                                    </a:cubicBezTo>
                                    <a:cubicBezTo>
                                      <a:pt x="2212" y="260498"/>
                                      <a:pt x="268" y="227970"/>
                                      <a:pt x="-8" y="195414"/>
                                    </a:cubicBezTo>
                                    <a:cubicBezTo>
                                      <a:pt x="-675" y="131406"/>
                                      <a:pt x="15042" y="84162"/>
                                      <a:pt x="47617" y="50919"/>
                                    </a:cubicBezTo>
                                    <a:cubicBezTo>
                                      <a:pt x="80192" y="17677"/>
                                      <a:pt x="131818" y="-40"/>
                                      <a:pt x="198207" y="-40"/>
                                    </a:cubicBezTo>
                                    <a:cubicBezTo>
                                      <a:pt x="264597" y="-40"/>
                                      <a:pt x="315270" y="17106"/>
                                      <a:pt x="348797" y="50919"/>
                                    </a:cubicBezTo>
                                    <a:cubicBezTo>
                                      <a:pt x="382326" y="84733"/>
                                      <a:pt x="397375" y="131406"/>
                                      <a:pt x="396422" y="195414"/>
                                    </a:cubicBezTo>
                                    <a:moveTo>
                                      <a:pt x="127437" y="392962"/>
                                    </a:moveTo>
                                    <a:cubicBezTo>
                                      <a:pt x="159593" y="431833"/>
                                      <a:pt x="217172" y="437291"/>
                                      <a:pt x="256043" y="405135"/>
                                    </a:cubicBezTo>
                                    <a:cubicBezTo>
                                      <a:pt x="260472" y="401468"/>
                                      <a:pt x="264549" y="397391"/>
                                      <a:pt x="268216" y="392962"/>
                                    </a:cubicBezTo>
                                    <a:cubicBezTo>
                                      <a:pt x="322508" y="331907"/>
                                      <a:pt x="334891" y="206177"/>
                                      <a:pt x="336510" y="173030"/>
                                    </a:cubicBezTo>
                                    <a:lnTo>
                                      <a:pt x="199541" y="173030"/>
                                    </a:lnTo>
                                    <a:cubicBezTo>
                                      <a:pt x="195141" y="172982"/>
                                      <a:pt x="191587" y="169429"/>
                                      <a:pt x="191540" y="165029"/>
                                    </a:cubicBezTo>
                                    <a:lnTo>
                                      <a:pt x="191540" y="131691"/>
                                    </a:lnTo>
                                    <a:lnTo>
                                      <a:pt x="146201" y="173316"/>
                                    </a:lnTo>
                                    <a:cubicBezTo>
                                      <a:pt x="142953" y="176316"/>
                                      <a:pt x="137895" y="176116"/>
                                      <a:pt x="134895" y="172868"/>
                                    </a:cubicBezTo>
                                    <a:cubicBezTo>
                                      <a:pt x="133523" y="171382"/>
                                      <a:pt x="132761" y="169429"/>
                                      <a:pt x="132771" y="167410"/>
                                    </a:cubicBezTo>
                                    <a:lnTo>
                                      <a:pt x="132771" y="135311"/>
                                    </a:lnTo>
                                    <a:lnTo>
                                      <a:pt x="103243" y="170172"/>
                                    </a:lnTo>
                                    <a:cubicBezTo>
                                      <a:pt x="101719" y="171963"/>
                                      <a:pt x="99500" y="173011"/>
                                      <a:pt x="97147" y="173030"/>
                                    </a:cubicBezTo>
                                    <a:lnTo>
                                      <a:pt x="59809" y="173030"/>
                                    </a:lnTo>
                                    <a:cubicBezTo>
                                      <a:pt x="61809" y="206177"/>
                                      <a:pt x="73811" y="331907"/>
                                      <a:pt x="128103" y="392962"/>
                                    </a:cubicBezTo>
                                    <a:moveTo>
                                      <a:pt x="380516" y="195223"/>
                                    </a:moveTo>
                                    <a:cubicBezTo>
                                      <a:pt x="380992" y="135787"/>
                                      <a:pt x="366895" y="92258"/>
                                      <a:pt x="337082" y="61873"/>
                                    </a:cubicBezTo>
                                    <a:cubicBezTo>
                                      <a:pt x="307269" y="31488"/>
                                      <a:pt x="259930" y="15582"/>
                                      <a:pt x="197922" y="15582"/>
                                    </a:cubicBezTo>
                                    <a:cubicBezTo>
                                      <a:pt x="135914" y="15582"/>
                                      <a:pt x="89146" y="31202"/>
                                      <a:pt x="58761" y="61873"/>
                                    </a:cubicBezTo>
                                    <a:cubicBezTo>
                                      <a:pt x="28377" y="92543"/>
                                      <a:pt x="14851" y="135406"/>
                                      <a:pt x="15422" y="195223"/>
                                    </a:cubicBezTo>
                                    <a:cubicBezTo>
                                      <a:pt x="15718" y="227275"/>
                                      <a:pt x="17623" y="259288"/>
                                      <a:pt x="21138" y="291140"/>
                                    </a:cubicBezTo>
                                    <a:cubicBezTo>
                                      <a:pt x="24291" y="324896"/>
                                      <a:pt x="44179" y="354814"/>
                                      <a:pt x="74097" y="370769"/>
                                    </a:cubicBezTo>
                                    <a:cubicBezTo>
                                      <a:pt x="82440" y="375750"/>
                                      <a:pt x="91203" y="379989"/>
                                      <a:pt x="100291" y="383437"/>
                                    </a:cubicBezTo>
                                    <a:cubicBezTo>
                                      <a:pt x="84279" y="358205"/>
                                      <a:pt x="72201" y="330678"/>
                                      <a:pt x="64476" y="301808"/>
                                    </a:cubicBezTo>
                                    <a:cubicBezTo>
                                      <a:pt x="52180" y="257231"/>
                                      <a:pt x="44903" y="211416"/>
                                      <a:pt x="42759" y="165219"/>
                                    </a:cubicBezTo>
                                    <a:cubicBezTo>
                                      <a:pt x="42655" y="160800"/>
                                      <a:pt x="46150" y="157132"/>
                                      <a:pt x="50570" y="157028"/>
                                    </a:cubicBezTo>
                                    <a:cubicBezTo>
                                      <a:pt x="50627" y="157028"/>
                                      <a:pt x="50694" y="157028"/>
                                      <a:pt x="50760" y="157028"/>
                                    </a:cubicBezTo>
                                    <a:lnTo>
                                      <a:pt x="92861" y="157028"/>
                                    </a:lnTo>
                                    <a:lnTo>
                                      <a:pt x="134104" y="108260"/>
                                    </a:lnTo>
                                    <a:cubicBezTo>
                                      <a:pt x="136962" y="104897"/>
                                      <a:pt x="142019" y="104488"/>
                                      <a:pt x="145382" y="107345"/>
                                    </a:cubicBezTo>
                                    <a:cubicBezTo>
                                      <a:pt x="147182" y="108879"/>
                                      <a:pt x="148220" y="111136"/>
                                      <a:pt x="148201" y="113499"/>
                                    </a:cubicBezTo>
                                    <a:lnTo>
                                      <a:pt x="148201" y="149217"/>
                                    </a:lnTo>
                                    <a:lnTo>
                                      <a:pt x="193540" y="107593"/>
                                    </a:lnTo>
                                    <a:cubicBezTo>
                                      <a:pt x="195874" y="105412"/>
                                      <a:pt x="199293" y="104840"/>
                                      <a:pt x="202208" y="106164"/>
                                    </a:cubicBezTo>
                                    <a:cubicBezTo>
                                      <a:pt x="205113" y="107450"/>
                                      <a:pt x="206980" y="110327"/>
                                      <a:pt x="206971" y="113499"/>
                                    </a:cubicBezTo>
                                    <a:lnTo>
                                      <a:pt x="206971" y="156647"/>
                                    </a:lnTo>
                                    <a:lnTo>
                                      <a:pt x="345083" y="156647"/>
                                    </a:lnTo>
                                    <a:cubicBezTo>
                                      <a:pt x="347226" y="156637"/>
                                      <a:pt x="349293" y="157504"/>
                                      <a:pt x="350798" y="159028"/>
                                    </a:cubicBezTo>
                                    <a:cubicBezTo>
                                      <a:pt x="352303" y="160581"/>
                                      <a:pt x="353132" y="162676"/>
                                      <a:pt x="353084" y="164838"/>
                                    </a:cubicBezTo>
                                    <a:cubicBezTo>
                                      <a:pt x="350941" y="211034"/>
                                      <a:pt x="343654" y="256850"/>
                                      <a:pt x="331367" y="301427"/>
                                    </a:cubicBezTo>
                                    <a:cubicBezTo>
                                      <a:pt x="323680" y="330307"/>
                                      <a:pt x="311603" y="357843"/>
                                      <a:pt x="295553" y="383056"/>
                                    </a:cubicBezTo>
                                    <a:cubicBezTo>
                                      <a:pt x="304640" y="379608"/>
                                      <a:pt x="313403" y="375369"/>
                                      <a:pt x="321747" y="370388"/>
                                    </a:cubicBezTo>
                                    <a:cubicBezTo>
                                      <a:pt x="351579" y="354490"/>
                                      <a:pt x="371467" y="324696"/>
                                      <a:pt x="374706" y="291044"/>
                                    </a:cubicBezTo>
                                    <a:cubicBezTo>
                                      <a:pt x="374706" y="290283"/>
                                      <a:pt x="379944" y="248277"/>
                                      <a:pt x="380516" y="194842"/>
                                    </a:cubicBezTo>
                                  </a:path>
                                </a:pathLst>
                              </a:custGeom>
                              <a:solidFill>
                                <a:srgbClr val="002379"/>
                              </a:solidFill>
                              <a:ln w="9525" cap="flat">
                                <a:noFill/>
                                <a:prstDash val="solid"/>
                                <a:miter/>
                              </a:ln>
                            </wps:spPr>
                            <wps:bodyPr rtlCol="0" anchor="ctr"/>
                          </wps:wsp>
                        </a:graphicData>
                      </a:graphic>
                      <wp14:sizeRelH relativeFrom="page">
                        <wp14:pctWidth>0</wp14:pctWidth>
                      </wp14:sizeRelH>
                      <wp14:sizeRelV relativeFrom="page">
                        <wp14:pctHeight>0</wp14:pctHeight>
                      </wp14:sizeRelV>
                    </wp:anchor>
                  </w:drawing>
                </mc:Choice>
                <mc:Fallback>
                  <w:pict>
                    <v:shape w14:anchorId="5F3C204D" id="Freeform: Shape 68" o:spid="_x0000_s1026" style="position:absolute;margin-left:16.5pt;margin-top:5.45pt;width:36.4pt;height:40.4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97117,44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" path="m260310,313333v1896,34195,-24279,63456,-58473,65351c167642,380580,138381,354395,136485,320200v-123,-2285,-123,-4581,,-6867c136485,308913,140067,305332,144486,305332v4420,,8001,3581,8001,8001c152487,338746,173090,359339,198493,359339v25413,,46006,-20593,46006,-46006c244499,308913,248080,305332,252500,305332v4419,,8001,3581,8001,8001m397089,195414v-571,54292,-5905,97250,-5905,97726c383564,376865,295458,401534,278884,405440v-38567,44396,-105832,49120,-150228,10553c124894,412726,121369,409202,118102,405440,101529,401534,13327,376865,5802,292854,2212,260498,268,227970,-8,195414,-675,131406,15042,84162,47617,50919,80192,17677,131818,-40,198207,-40v66390,,117063,17146,150590,50959c382326,84733,397375,131406,396422,195414m127437,392962v32156,38871,89735,44329,128606,12173c260472,401468,264549,397391,268216,392962v54292,-61055,66675,-186785,68294,-219932l199541,173030v-4400,-48,-7954,-3601,-8001,-8001l191540,131691r-45339,41625c142953,176316,137895,176116,134895,172868v-1372,-1486,-2134,-3439,-2124,-5458l132771,135311r-29528,34861c101719,171963,99500,173011,97147,173030r-37338,c61809,206177,73811,331907,128103,392962m380516,195223c380992,135787,366895,92258,337082,61873,307269,31488,259930,15582,197922,15582v-62008,,-108776,15620,-139161,46291c28377,92543,14851,135406,15422,195223v296,32052,2201,64065,5716,95917c24291,324896,44179,354814,74097,370769v8343,4981,17106,9220,26194,12668c84279,358205,72201,330678,64476,301808,52180,257231,44903,211416,42759,165219v-104,-4419,3391,-8087,7811,-8191c50627,157028,50694,157028,50760,157028r42101,l134104,108260v2858,-3363,7915,-3772,11278,-915c147182,108879,148220,111136,148201,113499r,35718l193540,107593v2334,-2181,5753,-2753,8668,-1429c205113,107450,206980,110327,206971,113499r,43148l345083,156647v2143,-10,4210,857,5715,2381c352303,160581,353132,162676,353084,164838v-2143,46196,-9430,92012,-21717,136589c323680,330307,311603,357843,295553,383056v9087,-3448,17850,-7687,26194,-12668c351579,354490,371467,324696,374706,291044v,-761,5238,-42767,5810,-96202e" fillcolor="#002379" stroked="f">
                      <v:stroke joinstyle="miter"/>
                      <v:path arrowok="t" o:connecttype="custom" o:connectlocs="303024,364065;234956,439996;158881,372043;158881,364065;168195,354768;177509,364065;231064,417519;284619,364065;293933,354768;303247,364065;462247,227053;455373,340602;324646,471085;149767,483346;137481,471085;6754,340270;-9,227053;55430,59163;230731,-46;406031,59163;461471,227053;148348,456586;298057,470730;312228,456586;391728,201045;232284,201045;222970,191749;222970,153013;170191,201377;157030,200857;154557,194515;154557,157219;120184,197724;113088,201045;69623,201045;149123,456586;442955,226831;392394,71891;230399,18105;68403,71891;17953,226831;24607,338278;86256,430800;116748,445519;75056,350674;49775,191970;58868,182452;59089,182452;108099,182452;156109,125788;169238,124725;172519,131876;172519,173377;225298,125013;235388,123353;240933,131876;240933,182010;401708,182010;408361,184776;411022,191527;385741,350231;344050,445076;374543,430357;436192,338167;442955,226389" o:connectangles="0,0,0,0,0,0,0,0,0,0,0,0,0,0,0,0,0,0,0,0,0,0,0,0,0,0,0,0,0,0,0,0,0,0,0,0,0,0,0,0,0,0,0,0,0,0,0,0,0,0,0,0,0,0,0,0,0,0,0,0,0,0,0,0,0"/>
                    </v:shape>
                  </w:pict>
                </mc:Fallback>
              </mc:AlternateContent>
            </w:r>
          </w:p>
        </w:tc>
        <w:tc>
          <w:tcPr>
            <w:tcW w:w="3827" w:type="dxa"/>
            <w:shd w:val="clear" w:color="auto" w:fill="4FAEEE"/>
            <w:vAlign w:val="center"/>
          </w:tcPr>
          <w:p w14:paraId="5C388AE6" w14:textId="3B676383" w:rsidR="008E132A" w:rsidRPr="00F8298E" w:rsidRDefault="008E132A" w:rsidP="00E55782">
            <w:pPr>
              <w:pStyle w:val="Heading3"/>
              <w:ind w:left="-115"/>
              <w:outlineLvl w:val="2"/>
              <w:rPr>
                <w:color w:val="FFFFFF" w:themeColor="background1"/>
                <w:sz w:val="24"/>
              </w:rPr>
            </w:pPr>
            <w:r w:rsidRPr="00F8298E">
              <w:rPr>
                <w:noProof/>
                <w:color w:val="FFFFFF" w:themeColor="background1"/>
                <w:sz w:val="24"/>
              </w:rPr>
              <w:t xml:space="preserve">Outcomes we will </w:t>
            </w:r>
            <w:r>
              <w:rPr>
                <w:noProof/>
                <w:color w:val="FFFFFF" w:themeColor="background1"/>
                <w:sz w:val="24"/>
              </w:rPr>
              <w:br/>
            </w:r>
            <w:r w:rsidRPr="00F8298E">
              <w:rPr>
                <w:noProof/>
                <w:color w:val="FFFFFF" w:themeColor="background1"/>
                <w:sz w:val="24"/>
              </w:rPr>
              <w:t>deliver in 2023–28</w:t>
            </w:r>
          </w:p>
        </w:tc>
      </w:tr>
      <w:tr w:rsidR="00DE393A" w:rsidRPr="00893AB6" w14:paraId="4AF2DEA6" w14:textId="77777777" w:rsidTr="00E73D07">
        <w:trPr>
          <w:trHeight w:hRule="exact" w:val="3990"/>
        </w:trPr>
        <w:tc>
          <w:tcPr>
            <w:tcW w:w="4962" w:type="dxa"/>
            <w:gridSpan w:val="2"/>
            <w:tcBorders>
              <w:bottom w:val="single" w:sz="48" w:space="0" w:color="FFFFFF" w:themeColor="background1"/>
              <w:right w:val="single" w:sz="48" w:space="0" w:color="FFFFFF" w:themeColor="background1"/>
            </w:tcBorders>
            <w:shd w:val="clear" w:color="auto" w:fill="0075E3"/>
            <w:tcMar>
              <w:left w:w="0" w:type="dxa"/>
              <w:right w:w="85" w:type="dxa"/>
            </w:tcMar>
          </w:tcPr>
          <w:p w14:paraId="2018209F" w14:textId="77777777" w:rsidR="008E132A" w:rsidRPr="00E55782" w:rsidRDefault="008E132A">
            <w:pPr>
              <w:pStyle w:val="paragraph"/>
              <w:numPr>
                <w:ilvl w:val="0"/>
                <w:numId w:val="129"/>
              </w:numPr>
              <w:spacing w:before="0" w:beforeAutospacing="0" w:after="60" w:afterAutospacing="0"/>
              <w:ind w:left="567" w:right="221" w:hanging="283"/>
              <w:textAlignment w:val="baseline"/>
              <w:rPr>
                <w:rStyle w:val="normaltextrun"/>
                <w:rFonts w:ascii="Arial" w:eastAsiaTheme="minorHAnsi" w:hAnsi="Arial" w:cs="Arial"/>
                <w:color w:val="FFFFFF" w:themeColor="background1"/>
                <w:sz w:val="19"/>
                <w:szCs w:val="19"/>
                <w:lang w:val="en-US" w:eastAsia="en-US"/>
              </w:rPr>
            </w:pPr>
            <w:r w:rsidRPr="00E55782">
              <w:rPr>
                <w:rStyle w:val="normaltextrun"/>
                <w:rFonts w:ascii="Arial" w:hAnsi="Arial" w:cs="Arial"/>
                <w:color w:val="FFFFFF" w:themeColor="background1"/>
                <w:position w:val="-1"/>
                <w:sz w:val="19"/>
                <w:szCs w:val="19"/>
              </w:rPr>
              <w:t xml:space="preserve">We are </w:t>
            </w:r>
            <w:r w:rsidRPr="00E55782">
              <w:rPr>
                <w:rStyle w:val="normaltextrun"/>
                <w:rFonts w:ascii="Arial" w:hAnsi="Arial" w:cs="Arial"/>
                <w:b/>
                <w:color w:val="FFFFFF" w:themeColor="background1"/>
                <w:position w:val="-1"/>
                <w:sz w:val="19"/>
                <w:szCs w:val="19"/>
              </w:rPr>
              <w:t>delivering our 5 customer outcomes to a high standard</w:t>
            </w:r>
            <w:r w:rsidRPr="00E55782">
              <w:rPr>
                <w:rStyle w:val="normaltextrun"/>
                <w:rFonts w:ascii="Arial" w:hAnsi="Arial" w:cs="Arial"/>
                <w:bCs/>
                <w:color w:val="FFFFFF" w:themeColor="background1"/>
                <w:position w:val="-1"/>
                <w:sz w:val="19"/>
                <w:szCs w:val="19"/>
              </w:rPr>
              <w:t>.</w:t>
            </w:r>
            <w:r w:rsidRPr="00E55782">
              <w:rPr>
                <w:rStyle w:val="normaltextrun"/>
                <w:rFonts w:ascii="Arial" w:hAnsi="Arial" w:cs="Arial"/>
                <w:color w:val="FFFFFF" w:themeColor="background1"/>
                <w:sz w:val="19"/>
                <w:szCs w:val="19"/>
                <w:lang w:val="en-US"/>
              </w:rPr>
              <w:t xml:space="preserve"> Over the 4 years of the regulatory period to date we have met our targets or been within the tolerance band 93% of the time, only missing a target on 5 occasions.</w:t>
            </w:r>
          </w:p>
          <w:p w14:paraId="58A84030" w14:textId="77777777" w:rsidR="008E132A" w:rsidRPr="00E55782" w:rsidRDefault="008E132A">
            <w:pPr>
              <w:pStyle w:val="paragraph"/>
              <w:numPr>
                <w:ilvl w:val="0"/>
                <w:numId w:val="129"/>
              </w:numPr>
              <w:spacing w:before="0" w:beforeAutospacing="0" w:after="60" w:afterAutospacing="0"/>
              <w:ind w:left="567" w:right="221" w:hanging="283"/>
              <w:textAlignment w:val="baseline"/>
              <w:rPr>
                <w:rStyle w:val="normaltextrun"/>
                <w:rFonts w:ascii="Arial" w:hAnsi="Arial" w:cs="Arial"/>
                <w:color w:val="FFFFFF" w:themeColor="background1"/>
                <w:sz w:val="19"/>
                <w:szCs w:val="19"/>
                <w:lang w:val="en-US"/>
              </w:rPr>
            </w:pPr>
            <w:r w:rsidRPr="00E55782">
              <w:rPr>
                <w:rStyle w:val="normaltextrun"/>
                <w:rFonts w:ascii="Arial" w:hAnsi="Arial" w:cs="Arial"/>
                <w:color w:val="FFFFFF" w:themeColor="background1"/>
                <w:sz w:val="19"/>
                <w:szCs w:val="19"/>
                <w:lang w:val="en-US"/>
              </w:rPr>
              <w:t>The few instances where the target or tolerance band was not met did not represent major departures and were generally due to external events.</w:t>
            </w:r>
          </w:p>
          <w:p w14:paraId="49B36427" w14:textId="10F928DA" w:rsidR="008E132A" w:rsidRPr="00E55782" w:rsidRDefault="008E132A">
            <w:pPr>
              <w:pStyle w:val="paragraph"/>
              <w:numPr>
                <w:ilvl w:val="0"/>
                <w:numId w:val="129"/>
              </w:numPr>
              <w:spacing w:before="0" w:beforeAutospacing="0" w:after="60" w:afterAutospacing="0"/>
              <w:ind w:left="567" w:right="221" w:hanging="283"/>
              <w:textAlignment w:val="baseline"/>
              <w:rPr>
                <w:rFonts w:ascii="Arial" w:hAnsi="Arial" w:cs="Arial"/>
                <w:color w:val="FFFFFF" w:themeColor="background1"/>
                <w:sz w:val="19"/>
                <w:szCs w:val="19"/>
                <w:lang w:val="en-US"/>
              </w:rPr>
            </w:pPr>
            <w:r w:rsidRPr="00E55782">
              <w:rPr>
                <w:rStyle w:val="normaltextrun"/>
                <w:rFonts w:ascii="Arial" w:hAnsi="Arial" w:cs="Arial"/>
                <w:color w:val="FFFFFF" w:themeColor="background1"/>
                <w:position w:val="-1"/>
                <w:sz w:val="19"/>
                <w:szCs w:val="19"/>
              </w:rPr>
              <w:t xml:space="preserve">In 2021–22 South East Water has the highest overall customer satisfaction rating among the Victorian businesses </w:t>
            </w:r>
            <w:r w:rsidR="009864D5" w:rsidRPr="00E55782">
              <w:rPr>
                <w:rStyle w:val="normaltextrun"/>
                <w:rFonts w:ascii="Arial" w:hAnsi="Arial" w:cs="Arial"/>
                <w:color w:val="FFFFFF" w:themeColor="background1"/>
                <w:position w:val="-1"/>
                <w:sz w:val="19"/>
                <w:szCs w:val="19"/>
              </w:rPr>
              <w:br/>
            </w:r>
            <w:r w:rsidRPr="00E55782">
              <w:rPr>
                <w:rStyle w:val="normaltextrun"/>
                <w:rFonts w:ascii="Arial" w:hAnsi="Arial" w:cs="Arial"/>
                <w:color w:val="FFFFFF" w:themeColor="background1"/>
                <w:position w:val="-1"/>
                <w:sz w:val="19"/>
                <w:szCs w:val="19"/>
              </w:rPr>
              <w:t>(as reported by the Essential Services Commission (ESC)) and receives high satisfaction ratings in our own customer sentiment surveys.</w:t>
            </w:r>
            <w:r w:rsidRPr="00E55782">
              <w:rPr>
                <w:rStyle w:val="eop"/>
                <w:rFonts w:ascii="Arial" w:eastAsiaTheme="majorEastAsia" w:hAnsi="Arial" w:cs="Arial"/>
                <w:color w:val="FFFFFF" w:themeColor="background1"/>
                <w:sz w:val="19"/>
                <w:szCs w:val="19"/>
                <w:lang w:val="en-US"/>
              </w:rPr>
              <w:t>​</w:t>
            </w:r>
          </w:p>
          <w:p w14:paraId="02160988" w14:textId="77777777" w:rsidR="008E132A" w:rsidRPr="00893AB6" w:rsidRDefault="008E132A" w:rsidP="00116E55">
            <w:pPr>
              <w:pStyle w:val="paragraph"/>
              <w:spacing w:before="0" w:beforeAutospacing="0" w:after="0" w:afterAutospacing="0"/>
              <w:ind w:left="360" w:right="221"/>
              <w:textAlignment w:val="baseline"/>
              <w:rPr>
                <w:b/>
              </w:rPr>
            </w:pPr>
          </w:p>
        </w:tc>
        <w:tc>
          <w:tcPr>
            <w:tcW w:w="5244" w:type="dxa"/>
            <w:gridSpan w:val="2"/>
            <w:tcBorders>
              <w:left w:val="single" w:sz="48" w:space="0" w:color="FFFFFF" w:themeColor="background1"/>
              <w:bottom w:val="single" w:sz="48" w:space="0" w:color="FFFFFF" w:themeColor="background1"/>
            </w:tcBorders>
            <w:shd w:val="clear" w:color="auto" w:fill="4FAEEE"/>
          </w:tcPr>
          <w:p w14:paraId="22786652" w14:textId="77777777" w:rsidR="008E132A" w:rsidRPr="00E55782" w:rsidRDefault="008E132A">
            <w:pPr>
              <w:pStyle w:val="paragraph"/>
              <w:numPr>
                <w:ilvl w:val="0"/>
                <w:numId w:val="130"/>
              </w:numPr>
              <w:spacing w:before="0" w:beforeAutospacing="0" w:after="60" w:afterAutospacing="0"/>
              <w:ind w:left="567" w:right="221" w:hanging="283"/>
              <w:textAlignment w:val="baseline"/>
              <w:rPr>
                <w:rFonts w:ascii="Arial" w:hAnsi="Arial" w:cs="Arial"/>
                <w:color w:val="FFFFFF" w:themeColor="background1"/>
                <w:sz w:val="19"/>
                <w:szCs w:val="19"/>
              </w:rPr>
            </w:pPr>
            <w:r w:rsidRPr="00E55782">
              <w:rPr>
                <w:rStyle w:val="normaltextrun"/>
                <w:rFonts w:ascii="Arial" w:hAnsi="Arial" w:cs="Arial"/>
                <w:color w:val="FFFFFF" w:themeColor="background1"/>
                <w:position w:val="-1"/>
                <w:sz w:val="19"/>
                <w:szCs w:val="19"/>
              </w:rPr>
              <w:t xml:space="preserve">We </w:t>
            </w:r>
            <w:r w:rsidRPr="00E55782">
              <w:rPr>
                <w:rStyle w:val="normaltextrun"/>
                <w:rFonts w:ascii="Arial" w:hAnsi="Arial" w:cs="Arial"/>
                <w:b/>
                <w:color w:val="FFFFFF" w:themeColor="background1"/>
                <w:position w:val="-1"/>
                <w:sz w:val="19"/>
                <w:szCs w:val="19"/>
              </w:rPr>
              <w:t xml:space="preserve">undertook extensive engagement with over 8,500 customers </w:t>
            </w:r>
            <w:r w:rsidRPr="00E55782">
              <w:rPr>
                <w:rStyle w:val="normaltextrun"/>
                <w:rFonts w:ascii="Arial" w:hAnsi="Arial" w:cs="Arial"/>
                <w:color w:val="FFFFFF" w:themeColor="background1"/>
                <w:position w:val="-1"/>
                <w:sz w:val="19"/>
                <w:szCs w:val="19"/>
              </w:rPr>
              <w:t>and stakeholders to test what they value and their willingness to pay. </w:t>
            </w:r>
            <w:r w:rsidRPr="00E55782">
              <w:rPr>
                <w:rStyle w:val="eop"/>
                <w:rFonts w:ascii="Arial" w:eastAsiaTheme="majorEastAsia" w:hAnsi="Arial" w:cs="Arial"/>
                <w:color w:val="FFFFFF" w:themeColor="background1"/>
                <w:sz w:val="19"/>
                <w:szCs w:val="19"/>
              </w:rPr>
              <w:t>​</w:t>
            </w:r>
          </w:p>
          <w:p w14:paraId="7FFA2F4E" w14:textId="38F38D02" w:rsidR="008E132A" w:rsidRPr="00E55782" w:rsidRDefault="008E132A">
            <w:pPr>
              <w:pStyle w:val="paragraph"/>
              <w:numPr>
                <w:ilvl w:val="0"/>
                <w:numId w:val="130"/>
              </w:numPr>
              <w:spacing w:before="0" w:beforeAutospacing="0" w:after="60" w:afterAutospacing="0"/>
              <w:ind w:left="567" w:right="221" w:hanging="283"/>
              <w:textAlignment w:val="baseline"/>
              <w:rPr>
                <w:rFonts w:ascii="Arial" w:hAnsi="Arial" w:cs="Arial"/>
                <w:color w:val="FFFFFF" w:themeColor="background1"/>
                <w:sz w:val="19"/>
                <w:szCs w:val="19"/>
              </w:rPr>
            </w:pPr>
            <w:r w:rsidRPr="00E55782">
              <w:rPr>
                <w:rStyle w:val="normaltextrun"/>
                <w:rFonts w:ascii="Arial" w:hAnsi="Arial" w:cs="Arial"/>
                <w:color w:val="FFFFFF" w:themeColor="background1"/>
                <w:position w:val="-1"/>
                <w:sz w:val="19"/>
                <w:szCs w:val="19"/>
              </w:rPr>
              <w:t xml:space="preserve">We held special discussion groups with Traditional Owners, vulnerable and </w:t>
            </w:r>
            <w:r w:rsidR="00CD7D59" w:rsidRPr="00E55782">
              <w:rPr>
                <w:rStyle w:val="normaltextrun"/>
                <w:rFonts w:ascii="Arial" w:hAnsi="Arial" w:cs="Arial"/>
                <w:color w:val="FFFFFF" w:themeColor="background1"/>
                <w:position w:val="-1"/>
                <w:sz w:val="19"/>
                <w:szCs w:val="19"/>
              </w:rPr>
              <w:t>culturally and linguistically diverse (</w:t>
            </w:r>
            <w:r w:rsidRPr="00E55782">
              <w:rPr>
                <w:rStyle w:val="normaltextrun"/>
                <w:rFonts w:ascii="Arial" w:hAnsi="Arial" w:cs="Arial"/>
                <w:color w:val="FFFFFF" w:themeColor="background1"/>
                <w:position w:val="-1"/>
                <w:sz w:val="19"/>
                <w:szCs w:val="19"/>
              </w:rPr>
              <w:t>CALD</w:t>
            </w:r>
            <w:r w:rsidR="00CD7D59" w:rsidRPr="00E55782">
              <w:rPr>
                <w:rStyle w:val="normaltextrun"/>
                <w:rFonts w:ascii="Arial" w:hAnsi="Arial" w:cs="Arial"/>
                <w:color w:val="FFFFFF" w:themeColor="background1"/>
                <w:position w:val="-1"/>
                <w:sz w:val="19"/>
                <w:szCs w:val="19"/>
              </w:rPr>
              <w:t>)</w:t>
            </w:r>
            <w:r w:rsidRPr="00E55782">
              <w:rPr>
                <w:rStyle w:val="normaltextrun"/>
                <w:rFonts w:ascii="Arial" w:hAnsi="Arial" w:cs="Arial"/>
                <w:color w:val="FFFFFF" w:themeColor="background1"/>
                <w:position w:val="-1"/>
                <w:sz w:val="19"/>
                <w:szCs w:val="19"/>
              </w:rPr>
              <w:t xml:space="preserve"> customers (amongst other groups) to understand their needs. </w:t>
            </w:r>
            <w:r w:rsidRPr="00E55782">
              <w:rPr>
                <w:rStyle w:val="eop"/>
                <w:rFonts w:ascii="Arial" w:eastAsiaTheme="majorEastAsia" w:hAnsi="Arial" w:cs="Arial"/>
                <w:color w:val="FFFFFF" w:themeColor="background1"/>
                <w:sz w:val="19"/>
                <w:szCs w:val="19"/>
              </w:rPr>
              <w:t>​</w:t>
            </w:r>
          </w:p>
          <w:p w14:paraId="3BF5BA2C" w14:textId="77777777" w:rsidR="008E132A" w:rsidRPr="00E55782" w:rsidRDefault="008E132A">
            <w:pPr>
              <w:pStyle w:val="paragraph"/>
              <w:numPr>
                <w:ilvl w:val="0"/>
                <w:numId w:val="130"/>
              </w:numPr>
              <w:spacing w:before="0" w:beforeAutospacing="0" w:after="60" w:afterAutospacing="0"/>
              <w:ind w:left="567" w:right="221" w:hanging="283"/>
              <w:textAlignment w:val="baseline"/>
              <w:rPr>
                <w:rFonts w:ascii="Arial" w:hAnsi="Arial" w:cs="Arial"/>
                <w:color w:val="FFFFFF" w:themeColor="background1"/>
                <w:sz w:val="19"/>
                <w:szCs w:val="19"/>
              </w:rPr>
            </w:pPr>
            <w:r w:rsidRPr="00E55782">
              <w:rPr>
                <w:rStyle w:val="normaltextrun"/>
                <w:rFonts w:ascii="Arial" w:hAnsi="Arial" w:cs="Arial"/>
                <w:color w:val="FFFFFF" w:themeColor="background1"/>
                <w:position w:val="-1"/>
                <w:sz w:val="19"/>
                <w:szCs w:val="19"/>
              </w:rPr>
              <w:t>Customers told us our existing outcomes should remain and </w:t>
            </w:r>
            <w:r w:rsidRPr="00E55782">
              <w:rPr>
                <w:rStyle w:val="normaltextrun"/>
                <w:rFonts w:ascii="Arial" w:hAnsi="Arial" w:cs="Arial"/>
                <w:b/>
                <w:color w:val="FFFFFF" w:themeColor="background1"/>
                <w:position w:val="-1"/>
                <w:sz w:val="19"/>
                <w:szCs w:val="19"/>
              </w:rPr>
              <w:t xml:space="preserve">endorsed our associated measures, targets and their preferred proposals. </w:t>
            </w:r>
          </w:p>
          <w:p w14:paraId="3C0FF33A" w14:textId="60F39675" w:rsidR="008E132A" w:rsidRPr="00F8298E" w:rsidRDefault="008E132A" w:rsidP="00360131">
            <w:pPr>
              <w:pStyle w:val="paragraph"/>
              <w:spacing w:before="0" w:beforeAutospacing="0" w:after="0" w:afterAutospacing="0"/>
              <w:ind w:left="360"/>
              <w:textAlignment w:val="baseline"/>
              <w:rPr>
                <w:b/>
                <w:color w:val="FFFFFF" w:themeColor="background1"/>
                <w:sz w:val="22"/>
                <w:szCs w:val="22"/>
              </w:rPr>
            </w:pPr>
            <w:r w:rsidRPr="00E55782">
              <w:rPr>
                <w:rStyle w:val="normaltextrun"/>
                <w:rFonts w:ascii="Arial" w:hAnsi="Arial" w:cs="Arial"/>
                <w:color w:val="FFFFFF" w:themeColor="background1"/>
                <w:position w:val="-1"/>
                <w:sz w:val="19"/>
                <w:szCs w:val="19"/>
              </w:rPr>
              <w:t xml:space="preserve">This includes our rollout of digital meters, increased investment in water security and improving bill clarity. </w:t>
            </w:r>
            <w:r w:rsidRPr="00E55782">
              <w:rPr>
                <w:rStyle w:val="eop"/>
                <w:rFonts w:ascii="Arial" w:eastAsiaTheme="majorEastAsia" w:hAnsi="Arial" w:cs="Arial"/>
                <w:color w:val="FFFFFF" w:themeColor="background1"/>
                <w:sz w:val="19"/>
                <w:szCs w:val="19"/>
              </w:rPr>
              <w:t>​</w:t>
            </w:r>
          </w:p>
        </w:tc>
      </w:tr>
      <w:tr w:rsidR="00DE393A" w:rsidRPr="00893AB6" w14:paraId="71B68B43" w14:textId="77777777" w:rsidTr="00743ADF">
        <w:trPr>
          <w:trHeight w:hRule="exact" w:val="1288"/>
        </w:trPr>
        <w:tc>
          <w:tcPr>
            <w:tcW w:w="1418" w:type="dxa"/>
            <w:tcBorders>
              <w:top w:val="single" w:sz="48" w:space="0" w:color="FFFFFF" w:themeColor="background1"/>
              <w:bottom w:val="single" w:sz="4" w:space="0" w:color="002279"/>
            </w:tcBorders>
            <w:shd w:val="clear" w:color="auto" w:fill="002279"/>
            <w:tcMar>
              <w:left w:w="0" w:type="dxa"/>
              <w:right w:w="85" w:type="dxa"/>
            </w:tcMar>
            <w:vAlign w:val="center"/>
          </w:tcPr>
          <w:p w14:paraId="62545ECB" w14:textId="77777777" w:rsidR="008E132A" w:rsidRPr="00F8298E" w:rsidRDefault="008E132A" w:rsidP="00DE393A">
            <w:pPr>
              <w:pStyle w:val="Heading3"/>
              <w:spacing w:before="0" w:after="0"/>
              <w:jc w:val="center"/>
              <w:outlineLvl w:val="2"/>
              <w:rPr>
                <w:noProof/>
                <w:color w:val="FFFFFF" w:themeColor="background1"/>
                <w:sz w:val="24"/>
              </w:rPr>
            </w:pPr>
            <w:r>
              <w:rPr>
                <w:noProof/>
              </w:rPr>
              <w:drawing>
                <wp:anchor distT="0" distB="0" distL="114300" distR="114300" simplePos="0" relativeHeight="251658243" behindDoc="0" locked="0" layoutInCell="1" allowOverlap="1" wp14:anchorId="07D95C02" wp14:editId="78719F19">
                  <wp:simplePos x="0" y="0"/>
                  <wp:positionH relativeFrom="column">
                    <wp:posOffset>247015</wp:posOffset>
                  </wp:positionH>
                  <wp:positionV relativeFrom="paragraph">
                    <wp:posOffset>35560</wp:posOffset>
                  </wp:positionV>
                  <wp:extent cx="596265" cy="596265"/>
                  <wp:effectExtent l="0" t="0" r="635" b="635"/>
                  <wp:wrapNone/>
                  <wp:docPr id="998" name="Picture 998" descr="A picture containing text, device, gau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 name="Picture 998" descr="A picture containing text, device, gauge&#10;&#10;Description automatically generated"/>
                          <pic:cNvPicPr/>
                        </pic:nvPicPr>
                        <pic:blipFill rotWithShape="1">
                          <a:blip r:embed="rId16">
                            <a:extLst>
                              <a:ext uri="{28A0092B-C50C-407E-A947-70E740481C1C}">
                                <a14:useLocalDpi xmlns:a14="http://schemas.microsoft.com/office/drawing/2010/main" val="0"/>
                              </a:ext>
                            </a:extLst>
                          </a:blip>
                          <a:srcRect l="24370" t="24370" r="24370" b="24370"/>
                          <a:stretch/>
                        </pic:blipFill>
                        <pic:spPr bwMode="auto">
                          <a:xfrm>
                            <a:off x="0" y="0"/>
                            <a:ext cx="596265" cy="596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544" w:type="dxa"/>
            <w:tcBorders>
              <w:top w:val="single" w:sz="48" w:space="0" w:color="FFFFFF" w:themeColor="background1"/>
              <w:bottom w:val="single" w:sz="4" w:space="0" w:color="002279"/>
              <w:right w:val="single" w:sz="48" w:space="0" w:color="FFFFFF" w:themeColor="background1"/>
            </w:tcBorders>
            <w:shd w:val="clear" w:color="auto" w:fill="002279"/>
            <w:vAlign w:val="center"/>
          </w:tcPr>
          <w:p w14:paraId="59C57F71" w14:textId="77777777" w:rsidR="008E132A" w:rsidRPr="00F8298E" w:rsidRDefault="008E132A" w:rsidP="00DE393A">
            <w:pPr>
              <w:pStyle w:val="Heading3"/>
              <w:spacing w:before="0" w:after="0"/>
              <w:outlineLvl w:val="2"/>
              <w:rPr>
                <w:noProof/>
                <w:color w:val="FFFFFF" w:themeColor="background1"/>
                <w:sz w:val="24"/>
              </w:rPr>
            </w:pPr>
            <w:r w:rsidRPr="00F8298E">
              <w:rPr>
                <w:noProof/>
                <w:color w:val="FFFFFF" w:themeColor="background1"/>
                <w:sz w:val="24"/>
              </w:rPr>
              <w:t xml:space="preserve">How we will deliver </w:t>
            </w:r>
            <w:r>
              <w:rPr>
                <w:noProof/>
                <w:color w:val="FFFFFF" w:themeColor="background1"/>
                <w:sz w:val="24"/>
              </w:rPr>
              <w:br/>
            </w:r>
            <w:r w:rsidRPr="00F8298E">
              <w:rPr>
                <w:noProof/>
                <w:color w:val="FFFFFF" w:themeColor="background1"/>
                <w:sz w:val="24"/>
              </w:rPr>
              <w:t xml:space="preserve">on these outcomes </w:t>
            </w:r>
          </w:p>
        </w:tc>
        <w:tc>
          <w:tcPr>
            <w:tcW w:w="1417" w:type="dxa"/>
            <w:tcBorders>
              <w:left w:val="single" w:sz="48" w:space="0" w:color="FFFFFF" w:themeColor="background1"/>
            </w:tcBorders>
            <w:shd w:val="clear" w:color="auto" w:fill="FFEA00"/>
            <w:vAlign w:val="center"/>
          </w:tcPr>
          <w:p w14:paraId="08B6E8E5" w14:textId="77777777" w:rsidR="008E132A" w:rsidRPr="00893AB6" w:rsidRDefault="008E132A" w:rsidP="00DE393A">
            <w:pPr>
              <w:pStyle w:val="Heading3"/>
              <w:spacing w:before="0" w:after="0"/>
              <w:jc w:val="center"/>
              <w:outlineLvl w:val="2"/>
              <w:rPr>
                <w:noProof/>
                <w:sz w:val="24"/>
              </w:rPr>
            </w:pPr>
            <w:r w:rsidRPr="00794180">
              <w:rPr>
                <w:noProof/>
                <w:color w:val="002379"/>
              </w:rPr>
              <w:drawing>
                <wp:anchor distT="0" distB="0" distL="114300" distR="114300" simplePos="0" relativeHeight="251658244" behindDoc="0" locked="0" layoutInCell="1" allowOverlap="1" wp14:anchorId="22CD5F4A" wp14:editId="2CAC34B9">
                  <wp:simplePos x="0" y="0"/>
                  <wp:positionH relativeFrom="column">
                    <wp:posOffset>137795</wp:posOffset>
                  </wp:positionH>
                  <wp:positionV relativeFrom="paragraph">
                    <wp:posOffset>76200</wp:posOffset>
                  </wp:positionV>
                  <wp:extent cx="636270" cy="636270"/>
                  <wp:effectExtent l="0" t="0" r="0" b="0"/>
                  <wp:wrapNone/>
                  <wp:docPr id="999" name="Picture 99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Picture 479" descr="Icon&#10;&#10;Description automatically generated"/>
                          <pic:cNvPicPr/>
                        </pic:nvPicPr>
                        <pic:blipFill rotWithShape="1">
                          <a:blip r:embed="rId17">
                            <a:extLst>
                              <a:ext uri="{28A0092B-C50C-407E-A947-70E740481C1C}">
                                <a14:useLocalDpi xmlns:a14="http://schemas.microsoft.com/office/drawing/2010/main" val="0"/>
                              </a:ext>
                            </a:extLst>
                          </a:blip>
                          <a:srcRect l="20168" t="20168" r="20168" b="20168"/>
                          <a:stretch/>
                        </pic:blipFill>
                        <pic:spPr bwMode="auto">
                          <a:xfrm>
                            <a:off x="0" y="0"/>
                            <a:ext cx="636270" cy="636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827" w:type="dxa"/>
            <w:shd w:val="clear" w:color="auto" w:fill="FFEA00"/>
            <w:vAlign w:val="center"/>
          </w:tcPr>
          <w:p w14:paraId="6C1160AC" w14:textId="435749B8" w:rsidR="008E132A" w:rsidRPr="00F8298E" w:rsidRDefault="008E132A" w:rsidP="00E55782">
            <w:pPr>
              <w:pStyle w:val="Heading3"/>
              <w:spacing w:before="0" w:after="0"/>
              <w:ind w:left="-115"/>
              <w:outlineLvl w:val="2"/>
              <w:rPr>
                <w:color w:val="002279"/>
                <w:sz w:val="24"/>
              </w:rPr>
            </w:pPr>
            <w:r w:rsidRPr="00F8298E">
              <w:rPr>
                <w:noProof/>
                <w:color w:val="002279"/>
                <w:sz w:val="24"/>
              </w:rPr>
              <w:t xml:space="preserve">What this means for </w:t>
            </w:r>
            <w:r w:rsidR="00E55782">
              <w:rPr>
                <w:noProof/>
                <w:color w:val="002279"/>
                <w:sz w:val="24"/>
              </w:rPr>
              <w:br/>
            </w:r>
            <w:r w:rsidRPr="00F8298E">
              <w:rPr>
                <w:noProof/>
                <w:color w:val="002279"/>
                <w:sz w:val="24"/>
              </w:rPr>
              <w:t xml:space="preserve">prices and bill impacts </w:t>
            </w:r>
          </w:p>
        </w:tc>
      </w:tr>
      <w:tr w:rsidR="00DE393A" w:rsidRPr="00893AB6" w14:paraId="700D03E0" w14:textId="77777777" w:rsidTr="00743ADF">
        <w:trPr>
          <w:trHeight w:hRule="exact" w:val="5026"/>
        </w:trPr>
        <w:tc>
          <w:tcPr>
            <w:tcW w:w="4962" w:type="dxa"/>
            <w:gridSpan w:val="2"/>
            <w:tcBorders>
              <w:top w:val="single" w:sz="4" w:space="0" w:color="002279"/>
              <w:right w:val="single" w:sz="48" w:space="0" w:color="FFFFFF" w:themeColor="background1"/>
            </w:tcBorders>
            <w:shd w:val="clear" w:color="auto" w:fill="002279"/>
            <w:tcMar>
              <w:left w:w="0" w:type="dxa"/>
              <w:right w:w="85" w:type="dxa"/>
            </w:tcMar>
          </w:tcPr>
          <w:p w14:paraId="03096F06" w14:textId="1685B616" w:rsidR="008E132A" w:rsidRPr="00E55782" w:rsidRDefault="008E132A">
            <w:pPr>
              <w:pStyle w:val="paragraph"/>
              <w:numPr>
                <w:ilvl w:val="0"/>
                <w:numId w:val="128"/>
              </w:numPr>
              <w:spacing w:before="0" w:beforeAutospacing="0" w:after="60" w:afterAutospacing="0"/>
              <w:ind w:left="567" w:right="335" w:hanging="283"/>
              <w:textAlignment w:val="baseline"/>
              <w:rPr>
                <w:rStyle w:val="normaltextrun"/>
                <w:rFonts w:asciiTheme="minorHAnsi" w:eastAsiaTheme="minorHAnsi" w:hAnsiTheme="minorHAnsi" w:cstheme="minorHAnsi"/>
                <w:color w:val="FFFFFF" w:themeColor="background1"/>
                <w:sz w:val="19"/>
                <w:szCs w:val="19"/>
                <w:lang w:eastAsia="en-US"/>
              </w:rPr>
            </w:pPr>
            <w:r w:rsidRPr="00E55782">
              <w:rPr>
                <w:rStyle w:val="normaltextrun"/>
                <w:rFonts w:asciiTheme="minorHAnsi" w:hAnsiTheme="minorHAnsi" w:cstheme="minorHAnsi"/>
                <w:b/>
                <w:color w:val="FFFFFF" w:themeColor="background1"/>
                <w:position w:val="-1"/>
                <w:sz w:val="19"/>
                <w:szCs w:val="19"/>
              </w:rPr>
              <w:t>Invest $1.92 billion in our 2023–28 capital program. </w:t>
            </w:r>
            <w:r w:rsidR="004E2BC1" w:rsidRPr="00E55782">
              <w:rPr>
                <w:rStyle w:val="normaltextrun"/>
                <w:rFonts w:asciiTheme="minorHAnsi" w:hAnsiTheme="minorHAnsi" w:cstheme="minorHAnsi"/>
                <w:i/>
                <w:color w:val="FFFFFF" w:themeColor="background1"/>
                <w:position w:val="-1"/>
                <w:sz w:val="19"/>
                <w:szCs w:val="19"/>
              </w:rPr>
              <w:t xml:space="preserve">Capital investments are based on </w:t>
            </w:r>
            <w:r w:rsidR="00E55782" w:rsidRPr="00E55782">
              <w:rPr>
                <w:rStyle w:val="normaltextrun"/>
                <w:rFonts w:asciiTheme="minorHAnsi" w:hAnsiTheme="minorHAnsi" w:cstheme="minorHAnsi"/>
                <w:i/>
                <w:color w:val="FFFFFF" w:themeColor="background1"/>
                <w:position w:val="-1"/>
                <w:sz w:val="19"/>
                <w:szCs w:val="19"/>
              </w:rPr>
              <w:br/>
            </w:r>
            <w:r w:rsidR="004E2BC1" w:rsidRPr="00E55782">
              <w:rPr>
                <w:rStyle w:val="normaltextrun"/>
                <w:rFonts w:asciiTheme="minorHAnsi" w:hAnsiTheme="minorHAnsi" w:cstheme="minorHAnsi"/>
                <w:i/>
                <w:color w:val="FFFFFF" w:themeColor="background1"/>
                <w:position w:val="-1"/>
                <w:sz w:val="19"/>
                <w:szCs w:val="19"/>
              </w:rPr>
              <w:t xml:space="preserve">a </w:t>
            </w:r>
            <w:r w:rsidR="008713C5" w:rsidRPr="00E55782">
              <w:rPr>
                <w:rStyle w:val="normaltextrun"/>
                <w:rFonts w:asciiTheme="minorHAnsi" w:hAnsiTheme="minorHAnsi" w:cstheme="minorHAnsi"/>
                <w:i/>
                <w:color w:val="FFFFFF" w:themeColor="background1"/>
                <w:position w:val="-1"/>
                <w:sz w:val="19"/>
                <w:szCs w:val="19"/>
              </w:rPr>
              <w:t>bottom-up</w:t>
            </w:r>
            <w:r w:rsidR="008B3094" w:rsidRPr="00E55782">
              <w:rPr>
                <w:rStyle w:val="normaltextrun"/>
                <w:rFonts w:asciiTheme="minorHAnsi" w:hAnsiTheme="minorHAnsi" w:cstheme="minorHAnsi"/>
                <w:i/>
                <w:color w:val="FFFFFF" w:themeColor="background1"/>
                <w:position w:val="-1"/>
                <w:sz w:val="19"/>
                <w:szCs w:val="19"/>
              </w:rPr>
              <w:t xml:space="preserve"> risk assessment to ensure we meet service needs but min</w:t>
            </w:r>
            <w:r w:rsidR="005B5008" w:rsidRPr="00E55782">
              <w:rPr>
                <w:rStyle w:val="normaltextrun"/>
                <w:rFonts w:asciiTheme="minorHAnsi" w:hAnsiTheme="minorHAnsi" w:cstheme="minorHAnsi"/>
                <w:i/>
                <w:color w:val="FFFFFF" w:themeColor="background1"/>
                <w:position w:val="-1"/>
                <w:sz w:val="19"/>
                <w:szCs w:val="19"/>
              </w:rPr>
              <w:t>i</w:t>
            </w:r>
            <w:r w:rsidR="008B3094" w:rsidRPr="00E55782">
              <w:rPr>
                <w:rStyle w:val="normaltextrun"/>
                <w:rFonts w:asciiTheme="minorHAnsi" w:hAnsiTheme="minorHAnsi" w:cstheme="minorHAnsi"/>
                <w:i/>
                <w:color w:val="FFFFFF" w:themeColor="background1"/>
                <w:position w:val="-1"/>
                <w:sz w:val="19"/>
                <w:szCs w:val="19"/>
              </w:rPr>
              <w:t>mise cost</w:t>
            </w:r>
            <w:r w:rsidR="005B5008" w:rsidRPr="00E55782">
              <w:rPr>
                <w:rStyle w:val="normaltextrun"/>
                <w:rFonts w:asciiTheme="minorHAnsi" w:hAnsiTheme="minorHAnsi" w:cstheme="minorHAnsi"/>
                <w:i/>
                <w:color w:val="FFFFFF" w:themeColor="background1"/>
                <w:position w:val="-1"/>
                <w:sz w:val="19"/>
                <w:szCs w:val="19"/>
              </w:rPr>
              <w:t>s</w:t>
            </w:r>
            <w:r w:rsidRPr="00E55782">
              <w:rPr>
                <w:rStyle w:val="normaltextrun"/>
                <w:rFonts w:asciiTheme="minorHAnsi" w:hAnsiTheme="minorHAnsi" w:cstheme="minorHAnsi"/>
                <w:i/>
                <w:color w:val="FFFFFF" w:themeColor="background1"/>
                <w:position w:val="-1"/>
                <w:sz w:val="19"/>
                <w:szCs w:val="19"/>
              </w:rPr>
              <w:t>.</w:t>
            </w:r>
            <w:r w:rsidR="005B5008" w:rsidRPr="00E55782">
              <w:rPr>
                <w:rStyle w:val="normaltextrun"/>
                <w:rFonts w:asciiTheme="minorHAnsi" w:hAnsiTheme="minorHAnsi" w:cstheme="minorHAnsi"/>
                <w:i/>
                <w:color w:val="FFFFFF" w:themeColor="background1"/>
                <w:position w:val="-1"/>
                <w:sz w:val="19"/>
                <w:szCs w:val="19"/>
              </w:rPr>
              <w:t xml:space="preserve"> </w:t>
            </w:r>
            <w:r w:rsidR="00E55782" w:rsidRPr="00E55782">
              <w:rPr>
                <w:rStyle w:val="normaltextrun"/>
                <w:rFonts w:asciiTheme="minorHAnsi" w:hAnsiTheme="minorHAnsi" w:cstheme="minorHAnsi"/>
                <w:i/>
                <w:color w:val="FFFFFF" w:themeColor="background1"/>
                <w:position w:val="-1"/>
                <w:sz w:val="19"/>
                <w:szCs w:val="19"/>
              </w:rPr>
              <w:br/>
            </w:r>
            <w:r w:rsidR="005B5008" w:rsidRPr="00E55782">
              <w:rPr>
                <w:rStyle w:val="normaltextrun"/>
                <w:rFonts w:asciiTheme="minorHAnsi" w:hAnsiTheme="minorHAnsi" w:cstheme="minorHAnsi"/>
                <w:i/>
                <w:color w:val="FFFFFF" w:themeColor="background1"/>
                <w:position w:val="-1"/>
                <w:sz w:val="19"/>
                <w:szCs w:val="19"/>
              </w:rPr>
              <w:t>The investment re</w:t>
            </w:r>
            <w:r w:rsidR="001E084B" w:rsidRPr="00E55782">
              <w:rPr>
                <w:rStyle w:val="normaltextrun"/>
                <w:rFonts w:asciiTheme="minorHAnsi" w:hAnsiTheme="minorHAnsi" w:cstheme="minorHAnsi"/>
                <w:i/>
                <w:color w:val="FFFFFF" w:themeColor="background1"/>
                <w:position w:val="-1"/>
                <w:sz w:val="19"/>
                <w:szCs w:val="19"/>
              </w:rPr>
              <w:t>presents a</w:t>
            </w:r>
            <w:r w:rsidR="00282AA5" w:rsidRPr="00E55782">
              <w:rPr>
                <w:rStyle w:val="normaltextrun"/>
                <w:rFonts w:asciiTheme="minorHAnsi" w:hAnsiTheme="minorHAnsi" w:cstheme="minorHAnsi"/>
                <w:i/>
                <w:color w:val="FFFFFF" w:themeColor="background1"/>
                <w:position w:val="-1"/>
                <w:sz w:val="19"/>
                <w:szCs w:val="19"/>
              </w:rPr>
              <w:t xml:space="preserve">n annual increase of 5% on </w:t>
            </w:r>
            <w:r w:rsidR="004E2806" w:rsidRPr="00E55782">
              <w:rPr>
                <w:rStyle w:val="normaltextrun"/>
                <w:rFonts w:asciiTheme="minorHAnsi" w:hAnsiTheme="minorHAnsi" w:cstheme="minorHAnsi"/>
                <w:i/>
                <w:color w:val="FFFFFF" w:themeColor="background1"/>
                <w:position w:val="-1"/>
                <w:sz w:val="19"/>
                <w:szCs w:val="19"/>
              </w:rPr>
              <w:t>our regulatory asset base (</w:t>
            </w:r>
            <w:r w:rsidR="00282AA5" w:rsidRPr="00E55782">
              <w:rPr>
                <w:rStyle w:val="normaltextrun"/>
                <w:rFonts w:asciiTheme="minorHAnsi" w:hAnsiTheme="minorHAnsi" w:cstheme="minorHAnsi"/>
                <w:i/>
                <w:color w:val="FFFFFF" w:themeColor="background1"/>
                <w:position w:val="-1"/>
                <w:sz w:val="19"/>
                <w:szCs w:val="19"/>
              </w:rPr>
              <w:t>RAB</w:t>
            </w:r>
            <w:r w:rsidR="004E2806" w:rsidRPr="00E55782">
              <w:rPr>
                <w:rStyle w:val="normaltextrun"/>
                <w:rFonts w:asciiTheme="minorHAnsi" w:hAnsiTheme="minorHAnsi" w:cstheme="minorHAnsi"/>
                <w:i/>
                <w:color w:val="FFFFFF" w:themeColor="background1"/>
                <w:position w:val="-1"/>
                <w:sz w:val="19"/>
                <w:szCs w:val="19"/>
              </w:rPr>
              <w:t>)</w:t>
            </w:r>
            <w:r w:rsidR="00282AA5" w:rsidRPr="00E55782">
              <w:rPr>
                <w:rStyle w:val="normaltextrun"/>
                <w:rFonts w:asciiTheme="minorHAnsi" w:hAnsiTheme="minorHAnsi" w:cstheme="minorHAnsi"/>
                <w:i/>
                <w:color w:val="FFFFFF" w:themeColor="background1"/>
                <w:position w:val="-1"/>
                <w:sz w:val="19"/>
                <w:szCs w:val="19"/>
              </w:rPr>
              <w:t>.</w:t>
            </w:r>
          </w:p>
          <w:p w14:paraId="7047AE3F" w14:textId="3C5CAF60" w:rsidR="002D1FFA" w:rsidRPr="00E55782" w:rsidRDefault="008E132A">
            <w:pPr>
              <w:pStyle w:val="paragraph"/>
              <w:numPr>
                <w:ilvl w:val="0"/>
                <w:numId w:val="128"/>
              </w:numPr>
              <w:spacing w:before="0" w:beforeAutospacing="0" w:after="0" w:afterAutospacing="0"/>
              <w:ind w:left="567" w:right="335" w:hanging="283"/>
              <w:textAlignment w:val="baseline"/>
              <w:rPr>
                <w:rStyle w:val="normaltextrun"/>
                <w:rFonts w:asciiTheme="minorHAnsi" w:hAnsiTheme="minorHAnsi" w:cstheme="minorHAnsi"/>
                <w:color w:val="FFFFFF" w:themeColor="background1"/>
                <w:position w:val="-1"/>
                <w:sz w:val="19"/>
                <w:szCs w:val="19"/>
              </w:rPr>
            </w:pPr>
            <w:r w:rsidRPr="00E55782">
              <w:rPr>
                <w:rStyle w:val="normaltextrun"/>
                <w:rFonts w:asciiTheme="minorHAnsi" w:hAnsiTheme="minorHAnsi" w:cstheme="minorHAnsi"/>
                <w:b/>
                <w:color w:val="FFFFFF" w:themeColor="background1"/>
                <w:position w:val="-1"/>
                <w:sz w:val="19"/>
                <w:szCs w:val="19"/>
              </w:rPr>
              <w:t xml:space="preserve">Achieve controllable operating expenditure of an average $160 million p/a. </w:t>
            </w:r>
            <w:r w:rsidR="00F86F5F" w:rsidRPr="00E55782">
              <w:rPr>
                <w:rStyle w:val="eop"/>
                <w:rFonts w:asciiTheme="minorHAnsi" w:hAnsiTheme="minorHAnsi" w:cstheme="minorHAnsi"/>
                <w:i/>
                <w:color w:val="FFFFFF" w:themeColor="background1"/>
                <w:sz w:val="19"/>
                <w:szCs w:val="19"/>
                <w:lang w:val="en-US"/>
              </w:rPr>
              <w:t>We continue</w:t>
            </w:r>
            <w:r w:rsidR="00E55782" w:rsidRPr="00E55782">
              <w:rPr>
                <w:rStyle w:val="eop"/>
                <w:rFonts w:asciiTheme="minorHAnsi" w:hAnsiTheme="minorHAnsi" w:cstheme="minorHAnsi"/>
                <w:i/>
                <w:color w:val="FFFFFF" w:themeColor="background1"/>
                <w:sz w:val="19"/>
                <w:szCs w:val="19"/>
                <w:lang w:val="en-US"/>
              </w:rPr>
              <w:br/>
            </w:r>
            <w:r w:rsidR="00F86F5F" w:rsidRPr="00E55782">
              <w:rPr>
                <w:rStyle w:val="eop"/>
                <w:rFonts w:asciiTheme="minorHAnsi" w:hAnsiTheme="minorHAnsi" w:cstheme="minorHAnsi"/>
                <w:i/>
                <w:color w:val="FFFFFF" w:themeColor="background1"/>
                <w:sz w:val="19"/>
                <w:szCs w:val="19"/>
                <w:lang w:val="en-US"/>
              </w:rPr>
              <w:t>to focus on operational cost control</w:t>
            </w:r>
            <w:r w:rsidR="0013791E" w:rsidRPr="00E55782">
              <w:rPr>
                <w:rStyle w:val="eop"/>
                <w:rFonts w:asciiTheme="minorHAnsi" w:hAnsiTheme="minorHAnsi" w:cstheme="minorHAnsi"/>
                <w:i/>
                <w:color w:val="FFFFFF" w:themeColor="background1"/>
                <w:sz w:val="19"/>
                <w:szCs w:val="19"/>
                <w:lang w:val="en-US"/>
              </w:rPr>
              <w:t>,</w:t>
            </w:r>
            <w:r w:rsidR="00F86F5F" w:rsidRPr="00E55782">
              <w:rPr>
                <w:rStyle w:val="eop"/>
                <w:rFonts w:asciiTheme="minorHAnsi" w:hAnsiTheme="minorHAnsi" w:cstheme="minorHAnsi"/>
                <w:i/>
                <w:color w:val="FFFFFF" w:themeColor="background1"/>
                <w:sz w:val="19"/>
                <w:szCs w:val="19"/>
                <w:lang w:val="en-US"/>
              </w:rPr>
              <w:t xml:space="preserve"> as demonstrated by results of industry benchmarking. The operating expenditure represents identified step changes needed to meet regulatory and customer requirements. This represents</w:t>
            </w:r>
            <w:r w:rsidRPr="00E55782">
              <w:rPr>
                <w:rStyle w:val="eop"/>
                <w:rFonts w:asciiTheme="minorHAnsi" w:hAnsiTheme="minorHAnsi" w:cstheme="minorHAnsi"/>
                <w:i/>
                <w:color w:val="FFFFFF" w:themeColor="background1"/>
                <w:sz w:val="19"/>
                <w:szCs w:val="19"/>
                <w:lang w:val="en-US"/>
              </w:rPr>
              <w:t xml:space="preserve"> a 10% increase </w:t>
            </w:r>
            <w:r w:rsidR="00F86F5F" w:rsidRPr="00E55782">
              <w:rPr>
                <w:rStyle w:val="eop"/>
                <w:rFonts w:asciiTheme="minorHAnsi" w:hAnsiTheme="minorHAnsi" w:cstheme="minorHAnsi"/>
                <w:i/>
                <w:color w:val="FFFFFF" w:themeColor="background1"/>
                <w:sz w:val="19"/>
                <w:szCs w:val="19"/>
                <w:lang w:val="en-US"/>
              </w:rPr>
              <w:t>but</w:t>
            </w:r>
            <w:r w:rsidRPr="00E55782">
              <w:rPr>
                <w:rStyle w:val="eop"/>
                <w:rFonts w:asciiTheme="minorHAnsi" w:hAnsiTheme="minorHAnsi" w:cstheme="minorHAnsi"/>
                <w:i/>
                <w:color w:val="FFFFFF" w:themeColor="background1"/>
                <w:sz w:val="19"/>
                <w:szCs w:val="19"/>
                <w:lang w:val="en-US"/>
              </w:rPr>
              <w:t xml:space="preserve"> includes efficiency savings of 2% each year in controllable costs</w:t>
            </w:r>
            <w:r w:rsidR="00F86F5F" w:rsidRPr="00E55782">
              <w:rPr>
                <w:rStyle w:val="eop"/>
                <w:rFonts w:asciiTheme="minorHAnsi" w:hAnsiTheme="minorHAnsi" w:cstheme="minorHAnsi"/>
                <w:i/>
                <w:color w:val="FFFFFF" w:themeColor="background1"/>
                <w:sz w:val="19"/>
                <w:szCs w:val="19"/>
                <w:lang w:val="en-US"/>
              </w:rPr>
              <w:t>.</w:t>
            </w:r>
          </w:p>
          <w:p w14:paraId="1D55AD9D" w14:textId="072A4DBD" w:rsidR="008E132A" w:rsidRPr="0092344E" w:rsidRDefault="008E132A">
            <w:pPr>
              <w:pStyle w:val="paragraph"/>
              <w:numPr>
                <w:ilvl w:val="0"/>
                <w:numId w:val="128"/>
              </w:numPr>
              <w:spacing w:before="0" w:beforeAutospacing="0" w:after="0" w:afterAutospacing="0"/>
              <w:ind w:left="567" w:right="335" w:hanging="283"/>
              <w:textAlignment w:val="baseline"/>
              <w:rPr>
                <w:rStyle w:val="normaltextrun"/>
                <w:rFonts w:asciiTheme="minorHAnsi" w:hAnsiTheme="minorHAnsi" w:cstheme="minorHAnsi"/>
                <w:color w:val="FFFFFF" w:themeColor="background1"/>
                <w:position w:val="-1"/>
                <w:sz w:val="20"/>
                <w:szCs w:val="20"/>
              </w:rPr>
            </w:pPr>
            <w:r w:rsidRPr="00E55782">
              <w:rPr>
                <w:rStyle w:val="normaltextrun"/>
                <w:rFonts w:asciiTheme="minorHAnsi" w:hAnsiTheme="minorHAnsi" w:cstheme="minorHAnsi"/>
                <w:color w:val="FFFFFF" w:themeColor="background1"/>
                <w:position w:val="-1"/>
                <w:sz w:val="19"/>
                <w:szCs w:val="19"/>
              </w:rPr>
              <w:t>By delivering </w:t>
            </w:r>
            <w:r w:rsidRPr="00E55782">
              <w:rPr>
                <w:rStyle w:val="normaltextrun"/>
                <w:rFonts w:asciiTheme="minorHAnsi" w:hAnsiTheme="minorHAnsi" w:cstheme="minorHAnsi"/>
                <w:b/>
                <w:color w:val="FFFFFF" w:themeColor="background1"/>
                <w:position w:val="-1"/>
                <w:sz w:val="19"/>
                <w:szCs w:val="19"/>
              </w:rPr>
              <w:t>significant operating </w:t>
            </w:r>
            <w:r w:rsidR="00E55782" w:rsidRPr="00E55782">
              <w:rPr>
                <w:rStyle w:val="normaltextrun"/>
                <w:rFonts w:asciiTheme="minorHAnsi" w:hAnsiTheme="minorHAnsi" w:cstheme="minorHAnsi"/>
                <w:b/>
                <w:color w:val="FFFFFF" w:themeColor="background1"/>
                <w:position w:val="-1"/>
                <w:sz w:val="19"/>
                <w:szCs w:val="19"/>
              </w:rPr>
              <w:br/>
            </w:r>
            <w:r w:rsidRPr="00E55782">
              <w:rPr>
                <w:rStyle w:val="normaltextrun"/>
                <w:rFonts w:asciiTheme="minorHAnsi" w:hAnsiTheme="minorHAnsi" w:cstheme="minorHAnsi"/>
                <w:b/>
                <w:color w:val="FFFFFF" w:themeColor="background1"/>
                <w:position w:val="-1"/>
                <w:sz w:val="19"/>
                <w:szCs w:val="19"/>
              </w:rPr>
              <w:t>efficiency savings and investing in digital transformation/innovation</w:t>
            </w:r>
            <w:r w:rsidRPr="00E55782">
              <w:rPr>
                <w:rStyle w:val="normaltextrun"/>
                <w:rFonts w:asciiTheme="minorHAnsi" w:hAnsiTheme="minorHAnsi" w:cstheme="minorHAnsi"/>
                <w:color w:val="FFFFFF" w:themeColor="background1"/>
                <w:position w:val="-1"/>
                <w:sz w:val="19"/>
                <w:szCs w:val="19"/>
              </w:rPr>
              <w:t xml:space="preserve"> we will support</w:t>
            </w:r>
            <w:r w:rsidRPr="0092344E">
              <w:rPr>
                <w:rStyle w:val="normaltextrun"/>
                <w:rFonts w:asciiTheme="minorHAnsi" w:hAnsiTheme="minorHAnsi" w:cstheme="minorHAnsi"/>
                <w:color w:val="FFFFFF" w:themeColor="background1"/>
                <w:position w:val="-1"/>
                <w:sz w:val="20"/>
                <w:szCs w:val="20"/>
              </w:rPr>
              <w:t xml:space="preserve"> improved, cost-effective services into the future.</w:t>
            </w:r>
          </w:p>
          <w:p w14:paraId="7AF2214B" w14:textId="4F782B7A" w:rsidR="008E132A" w:rsidRPr="00F8298E" w:rsidRDefault="008E132A" w:rsidP="00DE393A">
            <w:pPr>
              <w:rPr>
                <w:rStyle w:val="normaltextrun"/>
                <w:rFonts w:cs="Arial"/>
                <w:color w:val="FFFFFF" w:themeColor="background1"/>
                <w:position w:val="-1"/>
                <w:sz w:val="22"/>
                <w:szCs w:val="22"/>
              </w:rPr>
            </w:pPr>
          </w:p>
          <w:p w14:paraId="35F44277" w14:textId="127D9AAA" w:rsidR="008E132A" w:rsidRPr="00F8298E" w:rsidRDefault="008E132A" w:rsidP="00DE393A">
            <w:pPr>
              <w:rPr>
                <w:rStyle w:val="normaltextrun"/>
                <w:rFonts w:cs="Arial"/>
                <w:color w:val="FFFFFF" w:themeColor="background1"/>
                <w:position w:val="-1"/>
                <w:sz w:val="22"/>
                <w:szCs w:val="22"/>
              </w:rPr>
            </w:pPr>
          </w:p>
          <w:p w14:paraId="76A6B1C2" w14:textId="77777777" w:rsidR="008E132A" w:rsidRPr="00F8298E" w:rsidRDefault="008E132A" w:rsidP="00DE393A">
            <w:pPr>
              <w:rPr>
                <w:rStyle w:val="normaltextrun"/>
                <w:rFonts w:cs="Arial"/>
                <w:color w:val="FFFFFF" w:themeColor="background1"/>
                <w:position w:val="-1"/>
                <w:sz w:val="22"/>
                <w:szCs w:val="22"/>
              </w:rPr>
            </w:pPr>
          </w:p>
          <w:p w14:paraId="73FE5A35" w14:textId="77777777" w:rsidR="008E132A" w:rsidRPr="00F8298E" w:rsidRDefault="008E132A" w:rsidP="00DE393A">
            <w:pPr>
              <w:rPr>
                <w:rStyle w:val="normaltextrun"/>
                <w:rFonts w:cs="Arial"/>
                <w:color w:val="FFFFFF" w:themeColor="background1"/>
                <w:position w:val="-1"/>
                <w:sz w:val="22"/>
                <w:szCs w:val="22"/>
              </w:rPr>
            </w:pPr>
          </w:p>
          <w:p w14:paraId="7FD79178" w14:textId="77777777" w:rsidR="008E132A" w:rsidRPr="00F8298E" w:rsidRDefault="008E132A" w:rsidP="00DE393A">
            <w:pPr>
              <w:rPr>
                <w:rStyle w:val="normaltextrun"/>
                <w:rFonts w:cs="Arial"/>
                <w:color w:val="FFFFFF" w:themeColor="background1"/>
                <w:position w:val="-1"/>
                <w:sz w:val="22"/>
                <w:szCs w:val="22"/>
              </w:rPr>
            </w:pPr>
          </w:p>
          <w:p w14:paraId="0BF4B04B" w14:textId="77777777" w:rsidR="008E132A" w:rsidRPr="00F8298E" w:rsidRDefault="008E132A" w:rsidP="00DE393A">
            <w:pPr>
              <w:rPr>
                <w:noProof/>
                <w:color w:val="FFFFFF" w:themeColor="background1"/>
              </w:rPr>
            </w:pPr>
            <w:r w:rsidRPr="00F8298E">
              <w:rPr>
                <w:rStyle w:val="normaltextrun"/>
                <w:rFonts w:cs="Arial"/>
                <w:color w:val="FFFFFF" w:themeColor="background1"/>
                <w:position w:val="-1"/>
                <w:sz w:val="22"/>
                <w:szCs w:val="22"/>
              </w:rPr>
              <w:t xml:space="preserve"> </w:t>
            </w:r>
          </w:p>
        </w:tc>
        <w:tc>
          <w:tcPr>
            <w:tcW w:w="5244" w:type="dxa"/>
            <w:gridSpan w:val="2"/>
            <w:tcBorders>
              <w:left w:val="single" w:sz="48" w:space="0" w:color="FFFFFF" w:themeColor="background1"/>
            </w:tcBorders>
            <w:shd w:val="clear" w:color="auto" w:fill="FFEA00"/>
          </w:tcPr>
          <w:p w14:paraId="451BDEEC" w14:textId="11ADAFFA" w:rsidR="008E132A" w:rsidRPr="00E55782" w:rsidRDefault="008E132A">
            <w:pPr>
              <w:pStyle w:val="paragraph"/>
              <w:numPr>
                <w:ilvl w:val="0"/>
                <w:numId w:val="131"/>
              </w:numPr>
              <w:spacing w:before="0" w:beforeAutospacing="0" w:after="60" w:afterAutospacing="0"/>
              <w:ind w:left="567" w:right="221" w:hanging="283"/>
              <w:textAlignment w:val="baseline"/>
              <w:rPr>
                <w:rFonts w:ascii="Arial" w:hAnsi="Arial" w:cs="Arial"/>
                <w:color w:val="002279"/>
                <w:sz w:val="19"/>
                <w:szCs w:val="19"/>
                <w:lang w:val="en-US"/>
              </w:rPr>
            </w:pPr>
            <w:r w:rsidRPr="00E55782">
              <w:rPr>
                <w:rStyle w:val="normaltextrun"/>
                <w:rFonts w:ascii="Arial" w:hAnsi="Arial" w:cs="Arial"/>
                <w:color w:val="002279"/>
                <w:position w:val="2"/>
                <w:sz w:val="19"/>
                <w:szCs w:val="19"/>
              </w:rPr>
              <w:t>Prices are forecast to </w:t>
            </w:r>
            <w:r w:rsidRPr="00E55782">
              <w:rPr>
                <w:rStyle w:val="normaltextrun"/>
                <w:rFonts w:ascii="Arial" w:hAnsi="Arial" w:cs="Arial"/>
                <w:b/>
                <w:color w:val="002279"/>
                <w:position w:val="2"/>
                <w:sz w:val="19"/>
                <w:szCs w:val="19"/>
              </w:rPr>
              <w:t>decrease by around 6%</w:t>
            </w:r>
            <w:r w:rsidR="00743ADF">
              <w:rPr>
                <w:rStyle w:val="normaltextrun"/>
                <w:rFonts w:ascii="Arial" w:hAnsi="Arial" w:cs="Arial"/>
                <w:b/>
                <w:color w:val="002279"/>
                <w:position w:val="2"/>
                <w:sz w:val="19"/>
                <w:szCs w:val="19"/>
              </w:rPr>
              <w:br/>
            </w:r>
            <w:r w:rsidRPr="00E55782">
              <w:rPr>
                <w:rStyle w:val="normaltextrun"/>
                <w:rFonts w:ascii="Arial" w:hAnsi="Arial" w:cs="Arial"/>
                <w:color w:val="002279"/>
                <w:position w:val="2"/>
                <w:sz w:val="19"/>
                <w:szCs w:val="19"/>
              </w:rPr>
              <w:t>(on average) in real terms. </w:t>
            </w:r>
            <w:r w:rsidRPr="00E55782">
              <w:rPr>
                <w:rStyle w:val="eop"/>
                <w:rFonts w:ascii="Arial" w:eastAsiaTheme="majorEastAsia" w:hAnsi="Arial" w:cs="Arial"/>
                <w:color w:val="002279"/>
                <w:sz w:val="19"/>
                <w:szCs w:val="19"/>
                <w:lang w:val="en-US"/>
              </w:rPr>
              <w:t>​</w:t>
            </w:r>
          </w:p>
          <w:p w14:paraId="5943EDFB" w14:textId="6499301A" w:rsidR="008E132A" w:rsidRPr="00E55782" w:rsidRDefault="008E132A">
            <w:pPr>
              <w:pStyle w:val="paragraph"/>
              <w:numPr>
                <w:ilvl w:val="0"/>
                <w:numId w:val="131"/>
              </w:numPr>
              <w:spacing w:before="0" w:beforeAutospacing="0" w:after="60" w:afterAutospacing="0"/>
              <w:ind w:left="567" w:right="221" w:hanging="283"/>
              <w:textAlignment w:val="baseline"/>
              <w:rPr>
                <w:rFonts w:ascii="Arial" w:hAnsi="Arial" w:cs="Arial"/>
                <w:color w:val="002279"/>
                <w:sz w:val="19"/>
                <w:szCs w:val="19"/>
                <w:lang w:val="en-US"/>
              </w:rPr>
            </w:pPr>
            <w:r w:rsidRPr="00E55782">
              <w:rPr>
                <w:rStyle w:val="normaltextrun"/>
                <w:rFonts w:ascii="Arial" w:hAnsi="Arial" w:cs="Arial"/>
                <w:color w:val="002279"/>
                <w:position w:val="2"/>
                <w:sz w:val="19"/>
                <w:szCs w:val="19"/>
              </w:rPr>
              <w:t>As agreed with customers, we propose </w:t>
            </w:r>
            <w:r w:rsidRPr="00E55782">
              <w:rPr>
                <w:rStyle w:val="normaltextrun"/>
                <w:rFonts w:ascii="Arial" w:hAnsi="Arial" w:cs="Arial"/>
                <w:b/>
                <w:color w:val="002279"/>
                <w:position w:val="2"/>
                <w:sz w:val="19"/>
                <w:szCs w:val="19"/>
              </w:rPr>
              <w:t>removing the residential sewage disposal charge</w:t>
            </w:r>
            <w:r w:rsidR="00A2567F" w:rsidRPr="00E55782">
              <w:rPr>
                <w:rStyle w:val="normaltextrun"/>
                <w:rFonts w:ascii="Arial" w:hAnsi="Arial" w:cs="Arial"/>
                <w:color w:val="002279"/>
                <w:position w:val="2"/>
                <w:sz w:val="19"/>
                <w:szCs w:val="19"/>
              </w:rPr>
              <w:t>.</w:t>
            </w:r>
            <w:r w:rsidRPr="00E55782">
              <w:rPr>
                <w:rStyle w:val="normaltextrun"/>
                <w:rFonts w:ascii="Arial" w:hAnsi="Arial" w:cs="Arial"/>
                <w:color w:val="002279"/>
                <w:position w:val="2"/>
                <w:sz w:val="19"/>
                <w:szCs w:val="19"/>
              </w:rPr>
              <w:t xml:space="preserve"> </w:t>
            </w:r>
          </w:p>
          <w:p w14:paraId="1E0DA5C1" w14:textId="0EA0B85A" w:rsidR="008E132A" w:rsidRPr="00E55782" w:rsidRDefault="008E132A">
            <w:pPr>
              <w:pStyle w:val="paragraph"/>
              <w:numPr>
                <w:ilvl w:val="0"/>
                <w:numId w:val="131"/>
              </w:numPr>
              <w:spacing w:before="0" w:beforeAutospacing="0" w:after="60" w:afterAutospacing="0"/>
              <w:ind w:left="567" w:right="171" w:hanging="283"/>
              <w:textAlignment w:val="baseline"/>
              <w:rPr>
                <w:rStyle w:val="normaltextrun"/>
                <w:rFonts w:ascii="Arial" w:hAnsi="Arial" w:cs="Arial"/>
                <w:color w:val="002279"/>
                <w:position w:val="2"/>
                <w:sz w:val="19"/>
                <w:szCs w:val="19"/>
              </w:rPr>
            </w:pPr>
            <w:r w:rsidRPr="00E55782">
              <w:rPr>
                <w:rStyle w:val="normaltextrun"/>
                <w:rFonts w:ascii="Arial" w:hAnsi="Arial" w:cs="Arial"/>
                <w:color w:val="002279"/>
                <w:position w:val="2"/>
                <w:sz w:val="19"/>
                <w:szCs w:val="19"/>
              </w:rPr>
              <w:t xml:space="preserve">We will </w:t>
            </w:r>
            <w:r w:rsidRPr="00E55782">
              <w:rPr>
                <w:rStyle w:val="normaltextrun"/>
                <w:rFonts w:ascii="Arial" w:hAnsi="Arial" w:cs="Arial"/>
                <w:b/>
                <w:color w:val="002279"/>
                <w:position w:val="2"/>
                <w:sz w:val="19"/>
                <w:szCs w:val="19"/>
              </w:rPr>
              <w:t>allocate the shortfall in revenue to </w:t>
            </w:r>
            <w:r w:rsidR="00743ADF">
              <w:rPr>
                <w:rStyle w:val="normaltextrun"/>
                <w:rFonts w:ascii="Arial" w:hAnsi="Arial" w:cs="Arial"/>
                <w:b/>
                <w:color w:val="002279"/>
                <w:position w:val="2"/>
                <w:sz w:val="19"/>
                <w:szCs w:val="19"/>
              </w:rPr>
              <w:br/>
            </w:r>
            <w:r w:rsidRPr="00E55782">
              <w:rPr>
                <w:rStyle w:val="normaltextrun"/>
                <w:rFonts w:ascii="Arial" w:hAnsi="Arial" w:cs="Arial"/>
                <w:b/>
                <w:color w:val="002279"/>
                <w:position w:val="2"/>
                <w:sz w:val="19"/>
                <w:szCs w:val="19"/>
              </w:rPr>
              <w:t>variable water tariffs</w:t>
            </w:r>
            <w:r w:rsidRPr="00E55782">
              <w:rPr>
                <w:rStyle w:val="normaltextrun"/>
                <w:rFonts w:ascii="Arial" w:hAnsi="Arial" w:cs="Arial"/>
                <w:color w:val="002279"/>
                <w:position w:val="2"/>
                <w:sz w:val="19"/>
                <w:szCs w:val="19"/>
              </w:rPr>
              <w:t>, allowing residential </w:t>
            </w:r>
            <w:r w:rsidR="00E55782">
              <w:rPr>
                <w:rStyle w:val="normaltextrun"/>
                <w:rFonts w:ascii="Arial" w:hAnsi="Arial" w:cs="Arial"/>
                <w:color w:val="002279"/>
                <w:position w:val="2"/>
                <w:sz w:val="19"/>
                <w:szCs w:val="19"/>
              </w:rPr>
              <w:br/>
            </w:r>
            <w:r w:rsidRPr="00E55782">
              <w:rPr>
                <w:rStyle w:val="normaltextrun"/>
                <w:rFonts w:ascii="Arial" w:hAnsi="Arial" w:cs="Arial"/>
                <w:color w:val="002279"/>
                <w:position w:val="2"/>
                <w:sz w:val="19"/>
                <w:szCs w:val="19"/>
              </w:rPr>
              <w:t>customers to have more control over their bills </w:t>
            </w:r>
            <w:r w:rsidR="00743ADF">
              <w:rPr>
                <w:rStyle w:val="normaltextrun"/>
                <w:rFonts w:ascii="Arial" w:hAnsi="Arial" w:cs="Arial"/>
                <w:color w:val="002279"/>
                <w:position w:val="2"/>
                <w:sz w:val="19"/>
                <w:szCs w:val="19"/>
              </w:rPr>
              <w:br/>
            </w:r>
            <w:r w:rsidRPr="00E55782">
              <w:rPr>
                <w:rStyle w:val="normaltextrun"/>
                <w:rFonts w:ascii="Arial" w:hAnsi="Arial" w:cs="Arial"/>
                <w:color w:val="002279"/>
                <w:position w:val="2"/>
                <w:sz w:val="19"/>
                <w:szCs w:val="19"/>
              </w:rPr>
              <w:t>(supported by the rollout of digital meters). </w:t>
            </w:r>
          </w:p>
          <w:p w14:paraId="472ADC9B" w14:textId="16571ED2" w:rsidR="005A60FC" w:rsidRPr="00E55782" w:rsidRDefault="005A60FC">
            <w:pPr>
              <w:pStyle w:val="paragraph"/>
              <w:numPr>
                <w:ilvl w:val="0"/>
                <w:numId w:val="131"/>
              </w:numPr>
              <w:spacing w:before="0" w:beforeAutospacing="0" w:after="60" w:afterAutospacing="0"/>
              <w:ind w:left="567" w:right="221" w:hanging="283"/>
              <w:textAlignment w:val="baseline"/>
              <w:rPr>
                <w:rFonts w:ascii="Arial" w:hAnsi="Arial" w:cs="Arial"/>
                <w:color w:val="002279"/>
                <w:sz w:val="19"/>
                <w:szCs w:val="19"/>
                <w:lang w:val="en-US"/>
              </w:rPr>
            </w:pPr>
            <w:r w:rsidRPr="00E55782">
              <w:rPr>
                <w:rStyle w:val="normaltextrun"/>
                <w:rFonts w:ascii="Arial" w:hAnsi="Arial" w:cs="Arial"/>
                <w:color w:val="002279"/>
                <w:position w:val="2"/>
                <w:sz w:val="19"/>
                <w:szCs w:val="19"/>
              </w:rPr>
              <w:t>We are also making the bill easier to read and understand. </w:t>
            </w:r>
            <w:r w:rsidRPr="00E55782">
              <w:rPr>
                <w:rStyle w:val="eop"/>
                <w:rFonts w:ascii="Arial" w:eastAsiaTheme="majorEastAsia" w:hAnsi="Arial" w:cs="Arial"/>
                <w:color w:val="002279"/>
                <w:sz w:val="19"/>
                <w:szCs w:val="19"/>
                <w:lang w:val="en-US"/>
              </w:rPr>
              <w:t>​</w:t>
            </w:r>
          </w:p>
          <w:p w14:paraId="60E9143D" w14:textId="77777777" w:rsidR="005A60FC" w:rsidRPr="00F8298E" w:rsidRDefault="005A60FC" w:rsidP="005A60FC">
            <w:pPr>
              <w:pStyle w:val="paragraph"/>
              <w:spacing w:before="0" w:beforeAutospacing="0" w:after="60" w:afterAutospacing="0"/>
              <w:ind w:left="539" w:right="221"/>
              <w:textAlignment w:val="baseline"/>
              <w:rPr>
                <w:color w:val="002279"/>
                <w:sz w:val="22"/>
                <w:szCs w:val="22"/>
              </w:rPr>
            </w:pPr>
          </w:p>
          <w:p w14:paraId="0C9CA25A" w14:textId="77777777" w:rsidR="008E132A" w:rsidRPr="00F8298E" w:rsidRDefault="008E132A" w:rsidP="00DE393A">
            <w:pPr>
              <w:pStyle w:val="BodyText"/>
              <w:ind w:left="277" w:hanging="277"/>
              <w:rPr>
                <w:color w:val="002279"/>
              </w:rPr>
            </w:pPr>
          </w:p>
        </w:tc>
      </w:tr>
    </w:tbl>
    <w:p w14:paraId="6969C1C5" w14:textId="242257FA" w:rsidR="00704213" w:rsidRDefault="00F11FE1" w:rsidP="00D11C2D">
      <w:pPr>
        <w:pStyle w:val="Heading1"/>
      </w:pPr>
      <w:bookmarkStart w:id="8" w:name="_Toc114644604"/>
      <w:r>
        <w:lastRenderedPageBreak/>
        <w:t>Bo</w:t>
      </w:r>
      <w:r w:rsidR="00347BEE" w:rsidRPr="00347BEE">
        <w:t>ard attestation</w:t>
      </w:r>
      <w:bookmarkEnd w:id="8"/>
      <w:r w:rsidR="001A456B">
        <w:t xml:space="preserve"> </w:t>
      </w:r>
    </w:p>
    <w:p w14:paraId="1C30981E" w14:textId="38D3B756" w:rsidR="00347BEE" w:rsidRDefault="00347BEE" w:rsidP="00347BEE">
      <w:pPr>
        <w:spacing w:after="160" w:line="259" w:lineRule="auto"/>
      </w:pPr>
      <w:r>
        <w:t xml:space="preserve">The directors of South East Water having made such reasonable </w:t>
      </w:r>
      <w:r w:rsidR="00414B32">
        <w:t>e</w:t>
      </w:r>
      <w:r>
        <w:t>nquiries of management as we considered necessary (or having satisfied ourselves that we have no query), attest that, to the best of our knowledge, for the purpose of proposing prices for the Essential Services Commission</w:t>
      </w:r>
      <w:r w:rsidR="00612583">
        <w:t>’</w:t>
      </w:r>
      <w:r>
        <w:t xml:space="preserve">s </w:t>
      </w:r>
      <w:r w:rsidR="009808A6" w:rsidRPr="00116E55">
        <w:rPr>
          <w:i/>
          <w:iCs/>
        </w:rPr>
        <w:t>W</w:t>
      </w:r>
      <w:r w:rsidRPr="00116E55">
        <w:rPr>
          <w:i/>
          <w:iCs/>
        </w:rPr>
        <w:t xml:space="preserve">ater </w:t>
      </w:r>
      <w:r w:rsidR="009808A6" w:rsidRPr="00116E55">
        <w:rPr>
          <w:i/>
          <w:iCs/>
        </w:rPr>
        <w:t>P</w:t>
      </w:r>
      <w:r w:rsidRPr="00116E55">
        <w:rPr>
          <w:i/>
          <w:iCs/>
        </w:rPr>
        <w:t xml:space="preserve">rice </w:t>
      </w:r>
      <w:r w:rsidR="009808A6" w:rsidRPr="00116E55">
        <w:rPr>
          <w:i/>
          <w:iCs/>
        </w:rPr>
        <w:t>R</w:t>
      </w:r>
      <w:r w:rsidRPr="00116E55">
        <w:rPr>
          <w:i/>
          <w:iCs/>
        </w:rPr>
        <w:t>eview</w:t>
      </w:r>
      <w:r w:rsidR="009808A6">
        <w:rPr>
          <w:i/>
          <w:iCs/>
        </w:rPr>
        <w:t xml:space="preserve"> 2023</w:t>
      </w:r>
      <w:r>
        <w:t>:</w:t>
      </w:r>
    </w:p>
    <w:p w14:paraId="0F487012" w14:textId="0DBB1112" w:rsidR="00347BEE" w:rsidRDefault="00900FCD">
      <w:pPr>
        <w:pStyle w:val="ListBullet"/>
        <w:numPr>
          <w:ilvl w:val="0"/>
          <w:numId w:val="45"/>
        </w:numPr>
        <w:tabs>
          <w:tab w:val="clear" w:pos="397"/>
        </w:tabs>
      </w:pPr>
      <w:r>
        <w:t>i</w:t>
      </w:r>
      <w:r w:rsidR="00347BEE">
        <w:t>nformation and documentation provided in the price submission and relied upon to support South East Water</w:t>
      </w:r>
      <w:r w:rsidR="00612583">
        <w:t>’</w:t>
      </w:r>
      <w:r w:rsidR="00347BEE">
        <w:t xml:space="preserve">s </w:t>
      </w:r>
      <w:r w:rsidR="009808A6">
        <w:t>P</w:t>
      </w:r>
      <w:r w:rsidR="00347BEE">
        <w:t xml:space="preserve">rice </w:t>
      </w:r>
      <w:r w:rsidR="009808A6">
        <w:t>S</w:t>
      </w:r>
      <w:r w:rsidR="00347BEE">
        <w:t>ubmission is reasonably based, complete and accurate in all material respects</w:t>
      </w:r>
    </w:p>
    <w:p w14:paraId="69002CB7" w14:textId="5C8AA333" w:rsidR="00347BEE" w:rsidRDefault="00900FCD">
      <w:pPr>
        <w:pStyle w:val="ListBullet"/>
        <w:numPr>
          <w:ilvl w:val="0"/>
          <w:numId w:val="45"/>
        </w:numPr>
        <w:tabs>
          <w:tab w:val="clear" w:pos="397"/>
        </w:tabs>
      </w:pPr>
      <w:r>
        <w:t>f</w:t>
      </w:r>
      <w:r w:rsidR="00347BEE">
        <w:t xml:space="preserve">inancial and demand forecasts are the </w:t>
      </w:r>
      <w:r w:rsidR="006B0BBE">
        <w:t>organisation</w:t>
      </w:r>
      <w:r w:rsidR="00612583">
        <w:t>’</w:t>
      </w:r>
      <w:r w:rsidR="00347BEE">
        <w:t xml:space="preserve">s best estimates, and supporting information is available to justify the assumptions and methodologies used </w:t>
      </w:r>
    </w:p>
    <w:p w14:paraId="46C061F0" w14:textId="62679123" w:rsidR="00347BEE" w:rsidRDefault="00900FCD">
      <w:pPr>
        <w:pStyle w:val="ListBullet"/>
        <w:numPr>
          <w:ilvl w:val="0"/>
          <w:numId w:val="45"/>
        </w:numPr>
        <w:tabs>
          <w:tab w:val="clear" w:pos="397"/>
        </w:tabs>
      </w:pPr>
      <w:r>
        <w:t>t</w:t>
      </w:r>
      <w:r w:rsidR="00347BEE">
        <w:t xml:space="preserve">he price submission satisfies the requirements of the </w:t>
      </w:r>
      <w:r w:rsidR="009808A6" w:rsidRPr="00116E55">
        <w:rPr>
          <w:i/>
          <w:iCs/>
        </w:rPr>
        <w:t>W</w:t>
      </w:r>
      <w:r w:rsidR="00347BEE" w:rsidRPr="00116E55">
        <w:rPr>
          <w:i/>
          <w:iCs/>
        </w:rPr>
        <w:t xml:space="preserve">ater </w:t>
      </w:r>
      <w:r w:rsidR="009808A6" w:rsidRPr="00116E55">
        <w:rPr>
          <w:i/>
          <w:iCs/>
        </w:rPr>
        <w:t>P</w:t>
      </w:r>
      <w:r w:rsidR="00347BEE" w:rsidRPr="00116E55">
        <w:rPr>
          <w:i/>
          <w:iCs/>
        </w:rPr>
        <w:t xml:space="preserve">rice </w:t>
      </w:r>
      <w:r w:rsidR="009808A6" w:rsidRPr="00116E55">
        <w:rPr>
          <w:i/>
          <w:iCs/>
        </w:rPr>
        <w:t>R</w:t>
      </w:r>
      <w:r w:rsidR="00347BEE" w:rsidRPr="00116E55">
        <w:rPr>
          <w:i/>
          <w:iCs/>
        </w:rPr>
        <w:t xml:space="preserve">eview </w:t>
      </w:r>
      <w:r w:rsidR="009808A6">
        <w:rPr>
          <w:i/>
          <w:iCs/>
        </w:rPr>
        <w:t xml:space="preserve">2023 </w:t>
      </w:r>
      <w:r w:rsidR="00347BEE">
        <w:t>guidance paper issued by the Essential Services Commission in all material respects.</w:t>
      </w:r>
    </w:p>
    <w:p w14:paraId="48CD47E2" w14:textId="33248996" w:rsidR="009D0ADF" w:rsidRDefault="009D0ADF" w:rsidP="009D0ADF">
      <w:pPr>
        <w:pStyle w:val="ListBullet"/>
        <w:numPr>
          <w:ilvl w:val="0"/>
          <w:numId w:val="0"/>
        </w:numPr>
        <w:tabs>
          <w:tab w:val="clear" w:pos="397"/>
        </w:tabs>
        <w:ind w:left="360"/>
      </w:pPr>
    </w:p>
    <w:p w14:paraId="6BDD6514" w14:textId="77777777" w:rsidR="002F0DA2" w:rsidRDefault="002F0DA2" w:rsidP="00347BEE">
      <w:pPr>
        <w:spacing w:after="160" w:line="259" w:lineRule="auto"/>
        <w:rPr>
          <w:b/>
          <w:bCs/>
        </w:rPr>
      </w:pPr>
    </w:p>
    <w:p w14:paraId="2083E7D1" w14:textId="77777777" w:rsidR="00347BEE" w:rsidRDefault="00347BEE" w:rsidP="00347BEE">
      <w:pPr>
        <w:spacing w:after="160" w:line="259" w:lineRule="auto"/>
        <w:rPr>
          <w:b/>
        </w:rPr>
      </w:pPr>
    </w:p>
    <w:p w14:paraId="2B3648FD" w14:textId="1534AAAA" w:rsidR="00347BEE" w:rsidRPr="00116E55" w:rsidRDefault="00347BEE" w:rsidP="00347BEE">
      <w:pPr>
        <w:spacing w:after="160" w:line="259" w:lineRule="auto"/>
      </w:pPr>
      <w:r w:rsidRPr="00347BEE">
        <w:rPr>
          <w:b/>
          <w:bCs/>
        </w:rPr>
        <w:t>Lucia Cade</w:t>
      </w:r>
      <w:r w:rsidR="009864D5">
        <w:rPr>
          <w:b/>
          <w:bCs/>
        </w:rPr>
        <w:br/>
      </w:r>
      <w:r w:rsidRPr="00116E55">
        <w:t>Chair, South East Water</w:t>
      </w:r>
    </w:p>
    <w:p w14:paraId="1B684A73" w14:textId="4994DE43" w:rsidR="00704213" w:rsidRDefault="00704213" w:rsidP="00704213">
      <w:pPr>
        <w:spacing w:after="160" w:line="259" w:lineRule="auto"/>
      </w:pPr>
    </w:p>
    <w:p w14:paraId="6F1F927E" w14:textId="2943EA08" w:rsidR="00347BEE" w:rsidRDefault="00347BEE">
      <w:r>
        <w:br w:type="page"/>
      </w:r>
    </w:p>
    <w:p w14:paraId="2D75EAEE" w14:textId="08F6DFAB" w:rsidR="00347BEE" w:rsidRDefault="00347BEE" w:rsidP="00D11C2D">
      <w:pPr>
        <w:pStyle w:val="Heading1"/>
      </w:pPr>
      <w:bookmarkStart w:id="9" w:name="_Toc114644605"/>
      <w:r w:rsidRPr="00347BEE">
        <w:lastRenderedPageBreak/>
        <w:t xml:space="preserve">Message from the Customer </w:t>
      </w:r>
      <w:r w:rsidR="009864D5">
        <w:br/>
      </w:r>
      <w:r w:rsidRPr="00347BEE">
        <w:t>and Community Advisory Council</w:t>
      </w:r>
      <w:bookmarkEnd w:id="9"/>
    </w:p>
    <w:p w14:paraId="04706C1B" w14:textId="6F1A8199" w:rsidR="00347BEE" w:rsidRDefault="00347BEE" w:rsidP="00704213">
      <w:pPr>
        <w:spacing w:after="160" w:line="259" w:lineRule="auto"/>
      </w:pPr>
    </w:p>
    <w:p w14:paraId="0449D0BA" w14:textId="56A2F6ED" w:rsidR="00917DDC" w:rsidRPr="00116E55" w:rsidRDefault="00917DDC" w:rsidP="00917DDC">
      <w:pPr>
        <w:spacing w:after="160" w:line="259" w:lineRule="auto"/>
        <w:rPr>
          <w:b/>
          <w:bCs/>
        </w:rPr>
      </w:pPr>
      <w:r w:rsidRPr="00116E55">
        <w:rPr>
          <w:rFonts w:eastAsia="Arial" w:cs="Arial"/>
          <w:b/>
          <w:bCs/>
          <w:color w:val="000000"/>
          <w:sz w:val="22"/>
          <w:szCs w:val="22"/>
          <w:lang w:val="en-GB"/>
        </w:rPr>
        <w:t>Friday 10 June 2022</w:t>
      </w:r>
    </w:p>
    <w:p w14:paraId="17211552" w14:textId="77777777" w:rsidR="00917DDC" w:rsidRPr="00116E55" w:rsidRDefault="00917DDC" w:rsidP="00917DDC">
      <w:pPr>
        <w:spacing w:after="0" w:line="259" w:lineRule="auto"/>
        <w:rPr>
          <w:rFonts w:ascii="Calibri" w:eastAsia="Calibri" w:hAnsi="Calibri" w:cs="Times New Roman"/>
          <w:b/>
          <w:bCs/>
          <w:sz w:val="22"/>
          <w:szCs w:val="22"/>
          <w:lang w:val="en-GB"/>
        </w:rPr>
      </w:pPr>
    </w:p>
    <w:p w14:paraId="0075B6A7" w14:textId="4187F078" w:rsidR="00917DDC" w:rsidRPr="00116E55" w:rsidRDefault="00917DDC" w:rsidP="00917DDC">
      <w:pPr>
        <w:spacing w:after="0" w:line="259" w:lineRule="auto"/>
        <w:rPr>
          <w:rFonts w:ascii="Calibri" w:eastAsia="Calibri" w:hAnsi="Calibri" w:cs="Times New Roman"/>
          <w:b/>
          <w:bCs/>
          <w:sz w:val="22"/>
          <w:szCs w:val="22"/>
          <w:lang w:val="en-GB"/>
        </w:rPr>
      </w:pPr>
      <w:r w:rsidRPr="00116E55">
        <w:rPr>
          <w:rFonts w:eastAsia="Arial" w:cs="Arial"/>
          <w:b/>
          <w:bCs/>
          <w:color w:val="000000"/>
          <w:sz w:val="22"/>
          <w:szCs w:val="22"/>
          <w:lang w:val="en-GB"/>
        </w:rPr>
        <w:t>Mr Marcus Crudden</w:t>
      </w:r>
    </w:p>
    <w:p w14:paraId="56ECC50E" w14:textId="77777777" w:rsidR="00917DDC" w:rsidRDefault="00917DDC" w:rsidP="00917DDC">
      <w:pPr>
        <w:autoSpaceDE w:val="0"/>
        <w:autoSpaceDN w:val="0"/>
        <w:spacing w:after="0" w:line="259" w:lineRule="auto"/>
        <w:rPr>
          <w:rFonts w:eastAsia="Arial" w:cs="Arial"/>
          <w:color w:val="000000"/>
          <w:sz w:val="22"/>
          <w:szCs w:val="22"/>
          <w:lang w:val="en-GB"/>
        </w:rPr>
      </w:pPr>
      <w:r w:rsidRPr="00917DDC">
        <w:rPr>
          <w:rFonts w:eastAsia="Arial" w:cs="Arial"/>
          <w:color w:val="000000"/>
          <w:sz w:val="22"/>
          <w:szCs w:val="22"/>
          <w:lang w:val="en-GB"/>
        </w:rPr>
        <w:t>Executive Director, Price Monitoring and Regulation</w:t>
      </w:r>
    </w:p>
    <w:p w14:paraId="1EFED730" w14:textId="2E38DFC1" w:rsidR="00917DDC" w:rsidRPr="00917DDC" w:rsidRDefault="00917DDC" w:rsidP="00917DDC">
      <w:pPr>
        <w:autoSpaceDE w:val="0"/>
        <w:autoSpaceDN w:val="0"/>
        <w:spacing w:after="0" w:line="259" w:lineRule="auto"/>
        <w:rPr>
          <w:rFonts w:eastAsia="Arial" w:cs="Arial"/>
          <w:color w:val="000000"/>
          <w:sz w:val="22"/>
          <w:szCs w:val="22"/>
          <w:lang w:val="en-GB"/>
        </w:rPr>
      </w:pPr>
      <w:r w:rsidRPr="00917DDC">
        <w:rPr>
          <w:rFonts w:eastAsia="Arial" w:cs="Arial"/>
          <w:color w:val="000000"/>
          <w:sz w:val="22"/>
          <w:szCs w:val="22"/>
          <w:lang w:val="en-GB"/>
        </w:rPr>
        <w:t>Essential Services Commission</w:t>
      </w:r>
    </w:p>
    <w:p w14:paraId="31920024" w14:textId="77777777" w:rsidR="00917DDC" w:rsidRPr="00917DDC" w:rsidRDefault="00917DDC" w:rsidP="00917DDC">
      <w:pPr>
        <w:autoSpaceDE w:val="0"/>
        <w:autoSpaceDN w:val="0"/>
        <w:spacing w:after="0" w:line="259" w:lineRule="auto"/>
        <w:rPr>
          <w:rFonts w:eastAsia="Arial" w:cs="Arial"/>
          <w:color w:val="000000"/>
          <w:sz w:val="22"/>
          <w:szCs w:val="22"/>
          <w:lang w:val="en-GB"/>
        </w:rPr>
      </w:pPr>
      <w:r w:rsidRPr="00917DDC">
        <w:rPr>
          <w:rFonts w:eastAsia="Arial" w:cs="Arial"/>
          <w:color w:val="000000"/>
          <w:sz w:val="22"/>
          <w:szCs w:val="22"/>
          <w:lang w:val="en-GB"/>
        </w:rPr>
        <w:t>Level 8, 570 Bourke Street</w:t>
      </w:r>
    </w:p>
    <w:p w14:paraId="491C254B" w14:textId="77777777" w:rsidR="00917DDC" w:rsidRPr="00917DDC" w:rsidRDefault="00917DDC" w:rsidP="00917DDC">
      <w:pPr>
        <w:autoSpaceDE w:val="0"/>
        <w:autoSpaceDN w:val="0"/>
        <w:spacing w:after="0" w:line="259" w:lineRule="auto"/>
        <w:rPr>
          <w:rFonts w:eastAsia="Arial" w:cs="Arial"/>
          <w:color w:val="000000"/>
          <w:sz w:val="22"/>
          <w:szCs w:val="22"/>
          <w:lang w:val="en-GB"/>
        </w:rPr>
      </w:pPr>
      <w:r w:rsidRPr="00917DDC">
        <w:rPr>
          <w:rFonts w:eastAsia="Arial" w:cs="Arial"/>
          <w:color w:val="000000"/>
          <w:sz w:val="22"/>
          <w:szCs w:val="22"/>
          <w:lang w:val="en-GB"/>
        </w:rPr>
        <w:t>Melbourne VIC 3000</w:t>
      </w:r>
    </w:p>
    <w:p w14:paraId="57CF7B45" w14:textId="77777777" w:rsidR="00917DDC" w:rsidRPr="00917DDC" w:rsidRDefault="00917DDC" w:rsidP="00917DDC">
      <w:pPr>
        <w:spacing w:after="160" w:line="259" w:lineRule="auto"/>
        <w:rPr>
          <w:rFonts w:eastAsia="Arial" w:cs="Arial"/>
          <w:color w:val="000000"/>
          <w:sz w:val="22"/>
          <w:szCs w:val="22"/>
          <w:lang w:val="en-GB"/>
        </w:rPr>
      </w:pPr>
    </w:p>
    <w:p w14:paraId="4DB8FBC7" w14:textId="77777777" w:rsidR="00917DDC" w:rsidRPr="00917DDC" w:rsidRDefault="00917DDC" w:rsidP="00917DDC">
      <w:pPr>
        <w:spacing w:after="160" w:line="259" w:lineRule="auto"/>
        <w:rPr>
          <w:rFonts w:eastAsia="Arial" w:cs="Arial"/>
          <w:color w:val="000000"/>
          <w:sz w:val="22"/>
          <w:szCs w:val="22"/>
          <w:lang w:val="en-GB"/>
        </w:rPr>
      </w:pPr>
    </w:p>
    <w:p w14:paraId="4C9FE8D8" w14:textId="77777777" w:rsidR="00917DDC" w:rsidRPr="00917DDC" w:rsidRDefault="00917DDC" w:rsidP="00917DDC">
      <w:pPr>
        <w:spacing w:after="160" w:line="259" w:lineRule="auto"/>
        <w:rPr>
          <w:rFonts w:eastAsia="Arial" w:cs="Arial"/>
          <w:color w:val="000000"/>
          <w:sz w:val="22"/>
          <w:szCs w:val="22"/>
          <w:lang w:val="en-GB"/>
        </w:rPr>
      </w:pPr>
      <w:r w:rsidRPr="00917DDC">
        <w:rPr>
          <w:rFonts w:eastAsia="Arial" w:cs="Arial"/>
          <w:color w:val="000000"/>
          <w:sz w:val="22"/>
          <w:szCs w:val="22"/>
          <w:lang w:val="en-GB"/>
        </w:rPr>
        <w:t>Dear Mr Crudden,</w:t>
      </w:r>
    </w:p>
    <w:p w14:paraId="2DB4815C" w14:textId="093B96B3" w:rsidR="00917DDC" w:rsidRPr="00917DDC" w:rsidRDefault="00917DDC" w:rsidP="00917DDC">
      <w:pPr>
        <w:spacing w:after="160" w:line="259" w:lineRule="auto"/>
        <w:rPr>
          <w:rFonts w:eastAsia="Arial" w:cs="Arial"/>
          <w:color w:val="000000"/>
          <w:sz w:val="22"/>
          <w:szCs w:val="22"/>
          <w:lang w:val="en-GB"/>
        </w:rPr>
      </w:pPr>
      <w:r w:rsidRPr="00917DDC">
        <w:rPr>
          <w:rFonts w:eastAsia="Arial" w:cs="Arial"/>
          <w:color w:val="000000"/>
          <w:sz w:val="22"/>
          <w:szCs w:val="22"/>
          <w:lang w:val="en-GB"/>
        </w:rPr>
        <w:t>I am writing to you in my role of Chair of South East Water</w:t>
      </w:r>
      <w:r w:rsidR="00612583">
        <w:rPr>
          <w:rFonts w:eastAsia="Arial" w:cs="Arial"/>
          <w:color w:val="000000"/>
          <w:sz w:val="22"/>
          <w:szCs w:val="22"/>
          <w:lang w:val="en-GB"/>
        </w:rPr>
        <w:t>’</w:t>
      </w:r>
      <w:r w:rsidRPr="00917DDC">
        <w:rPr>
          <w:rFonts w:eastAsia="Arial" w:cs="Arial"/>
          <w:color w:val="000000"/>
          <w:sz w:val="22"/>
          <w:szCs w:val="22"/>
          <w:lang w:val="en-GB"/>
        </w:rPr>
        <w:t>s Customer and Community Advisory Council (CCAC) regarding South East Water</w:t>
      </w:r>
      <w:r w:rsidR="00612583">
        <w:rPr>
          <w:rFonts w:eastAsia="Arial" w:cs="Arial"/>
          <w:color w:val="000000"/>
          <w:sz w:val="22"/>
          <w:szCs w:val="22"/>
          <w:lang w:val="en-GB"/>
        </w:rPr>
        <w:t>’</w:t>
      </w:r>
      <w:r w:rsidRPr="00917DDC">
        <w:rPr>
          <w:rFonts w:eastAsia="Arial" w:cs="Arial"/>
          <w:color w:val="000000"/>
          <w:sz w:val="22"/>
          <w:szCs w:val="22"/>
          <w:lang w:val="en-GB"/>
        </w:rPr>
        <w:t>s price submission proposal for 2023</w:t>
      </w:r>
      <w:r w:rsidR="007D4EB3">
        <w:rPr>
          <w:rFonts w:eastAsia="Arial" w:cs="Arial"/>
          <w:color w:val="000000"/>
          <w:sz w:val="22"/>
          <w:szCs w:val="22"/>
          <w:lang w:val="en-GB"/>
        </w:rPr>
        <w:t>–</w:t>
      </w:r>
      <w:r w:rsidRPr="00917DDC">
        <w:rPr>
          <w:rFonts w:eastAsia="Arial" w:cs="Arial"/>
          <w:color w:val="000000"/>
          <w:sz w:val="22"/>
          <w:szCs w:val="22"/>
          <w:lang w:val="en-GB"/>
        </w:rPr>
        <w:t>28.</w:t>
      </w:r>
    </w:p>
    <w:p w14:paraId="00D36691" w14:textId="7E06391C" w:rsidR="00917DDC" w:rsidRPr="00917DDC" w:rsidRDefault="00917DDC" w:rsidP="00917DDC">
      <w:pPr>
        <w:spacing w:after="160" w:line="259" w:lineRule="auto"/>
        <w:rPr>
          <w:rFonts w:eastAsia="Arial" w:cs="Arial"/>
          <w:color w:val="000000"/>
          <w:sz w:val="22"/>
          <w:szCs w:val="22"/>
          <w:lang w:val="en-GB"/>
        </w:rPr>
      </w:pPr>
      <w:r w:rsidRPr="00917DDC">
        <w:rPr>
          <w:rFonts w:eastAsia="Arial" w:cs="Arial"/>
          <w:color w:val="000000"/>
          <w:sz w:val="22"/>
          <w:szCs w:val="22"/>
          <w:lang w:val="en-GB"/>
        </w:rPr>
        <w:t xml:space="preserve">South East Water re-established the CCAC in 2018, after its previous Customer Engagement Committee, and in doing so expanded the membership to </w:t>
      </w:r>
      <w:r w:rsidR="00414B32">
        <w:rPr>
          <w:rFonts w:eastAsia="Arial" w:cs="Arial"/>
          <w:color w:val="000000"/>
          <w:sz w:val="22"/>
          <w:szCs w:val="22"/>
          <w:lang w:val="en-GB"/>
        </w:rPr>
        <w:t>13</w:t>
      </w:r>
      <w:r w:rsidRPr="00917DDC">
        <w:rPr>
          <w:rFonts w:eastAsia="Arial" w:cs="Arial"/>
          <w:color w:val="000000"/>
          <w:sz w:val="22"/>
          <w:szCs w:val="22"/>
          <w:lang w:val="en-GB"/>
        </w:rPr>
        <w:t xml:space="preserve">, including the South East Water Managing Director and a </w:t>
      </w:r>
      <w:r w:rsidR="00E42753">
        <w:rPr>
          <w:rFonts w:eastAsia="Arial" w:cs="Arial"/>
          <w:color w:val="000000"/>
          <w:sz w:val="22"/>
          <w:szCs w:val="22"/>
          <w:lang w:val="en-GB"/>
        </w:rPr>
        <w:t>board</w:t>
      </w:r>
      <w:r w:rsidRPr="00917DDC">
        <w:rPr>
          <w:rFonts w:eastAsia="Arial" w:cs="Arial"/>
          <w:color w:val="000000"/>
          <w:sz w:val="22"/>
          <w:szCs w:val="22"/>
          <w:lang w:val="en-GB"/>
        </w:rPr>
        <w:t xml:space="preserve"> member.</w:t>
      </w:r>
    </w:p>
    <w:p w14:paraId="4912685F" w14:textId="59FF941E" w:rsidR="00917DDC" w:rsidRPr="00917DDC" w:rsidRDefault="00917DDC" w:rsidP="00917DDC">
      <w:pPr>
        <w:spacing w:after="160" w:line="259" w:lineRule="auto"/>
        <w:rPr>
          <w:rFonts w:eastAsia="Arial" w:cs="Arial"/>
          <w:color w:val="000000"/>
          <w:sz w:val="22"/>
          <w:szCs w:val="22"/>
          <w:lang w:val="en-GB"/>
        </w:rPr>
      </w:pPr>
      <w:r w:rsidRPr="00917DDC">
        <w:rPr>
          <w:rFonts w:eastAsia="Arial" w:cs="Arial"/>
          <w:color w:val="000000"/>
          <w:sz w:val="22"/>
          <w:szCs w:val="22"/>
          <w:lang w:val="en-GB"/>
        </w:rPr>
        <w:t xml:space="preserve">South East Water regards the CCAC as a </w:t>
      </w:r>
      <w:r w:rsidR="00612583">
        <w:rPr>
          <w:rFonts w:eastAsia="Arial" w:cs="Arial"/>
          <w:color w:val="000000"/>
          <w:sz w:val="22"/>
          <w:szCs w:val="22"/>
          <w:lang w:val="en-GB"/>
        </w:rPr>
        <w:t>‘</w:t>
      </w:r>
      <w:r w:rsidRPr="00917DDC">
        <w:rPr>
          <w:rFonts w:eastAsia="Arial" w:cs="Arial"/>
          <w:color w:val="000000"/>
          <w:sz w:val="22"/>
          <w:szCs w:val="22"/>
          <w:lang w:val="en-GB"/>
        </w:rPr>
        <w:t>critical friend</w:t>
      </w:r>
      <w:r w:rsidR="00612583">
        <w:rPr>
          <w:rFonts w:eastAsia="Arial" w:cs="Arial"/>
          <w:color w:val="000000"/>
          <w:sz w:val="22"/>
          <w:szCs w:val="22"/>
          <w:lang w:val="en-GB"/>
        </w:rPr>
        <w:t>’</w:t>
      </w:r>
      <w:r w:rsidRPr="00917DDC">
        <w:rPr>
          <w:rFonts w:eastAsia="Arial" w:cs="Arial"/>
          <w:color w:val="000000"/>
          <w:sz w:val="22"/>
          <w:szCs w:val="22"/>
          <w:lang w:val="en-GB"/>
        </w:rPr>
        <w:t xml:space="preserve"> to provide the organisation with feedback and challenge that it is meeting customer expectations. </w:t>
      </w:r>
    </w:p>
    <w:p w14:paraId="623AD7FB" w14:textId="1E08078D" w:rsidR="00917DDC" w:rsidRPr="00917DDC" w:rsidRDefault="00917DDC" w:rsidP="00917DDC">
      <w:pPr>
        <w:spacing w:after="160" w:line="259" w:lineRule="auto"/>
        <w:rPr>
          <w:rFonts w:eastAsia="Arial" w:cs="Arial"/>
          <w:color w:val="000000"/>
          <w:sz w:val="22"/>
          <w:szCs w:val="22"/>
          <w:lang w:val="en-GB"/>
        </w:rPr>
      </w:pPr>
      <w:r w:rsidRPr="00917DDC">
        <w:rPr>
          <w:rFonts w:eastAsia="Arial" w:cs="Arial"/>
          <w:color w:val="000000"/>
          <w:sz w:val="22"/>
          <w:szCs w:val="22"/>
          <w:lang w:val="en-GB"/>
        </w:rPr>
        <w:t xml:space="preserve">The CCAC meets </w:t>
      </w:r>
      <w:r w:rsidR="00584B94">
        <w:rPr>
          <w:rFonts w:eastAsia="Arial" w:cs="Arial"/>
          <w:color w:val="000000"/>
          <w:sz w:val="22"/>
          <w:szCs w:val="22"/>
          <w:lang w:val="en-GB"/>
        </w:rPr>
        <w:t>4</w:t>
      </w:r>
      <w:r w:rsidRPr="00917DDC">
        <w:rPr>
          <w:rFonts w:eastAsia="Arial" w:cs="Arial"/>
          <w:color w:val="000000"/>
          <w:sz w:val="22"/>
          <w:szCs w:val="22"/>
          <w:lang w:val="en-GB"/>
        </w:rPr>
        <w:t xml:space="preserve"> times a year and has industry and community members representing its customer base and community. Industries and fields include agriculture, behaviour change, customer advocacy, environment, local government, multicultural affairs, plumbing</w:t>
      </w:r>
      <w:r w:rsidR="00F04C30">
        <w:rPr>
          <w:rFonts w:eastAsia="Arial" w:cs="Arial"/>
          <w:color w:val="000000"/>
          <w:sz w:val="22"/>
          <w:szCs w:val="22"/>
          <w:lang w:val="en-GB"/>
        </w:rPr>
        <w:t>,</w:t>
      </w:r>
      <w:r w:rsidRPr="00917DDC">
        <w:rPr>
          <w:rFonts w:eastAsia="Arial" w:cs="Arial"/>
          <w:color w:val="000000"/>
          <w:sz w:val="22"/>
          <w:szCs w:val="22"/>
          <w:lang w:val="en-GB"/>
        </w:rPr>
        <w:t xml:space="preserve"> development and youth.</w:t>
      </w:r>
    </w:p>
    <w:p w14:paraId="067CAAD4" w14:textId="0EA18C5A" w:rsidR="00917DDC" w:rsidRPr="00917DDC" w:rsidRDefault="00917DDC" w:rsidP="00917DDC">
      <w:pPr>
        <w:spacing w:after="160" w:line="259" w:lineRule="auto"/>
        <w:rPr>
          <w:rFonts w:eastAsia="Arial" w:cs="Arial"/>
          <w:color w:val="000000"/>
          <w:sz w:val="22"/>
          <w:szCs w:val="22"/>
          <w:lang w:val="en-GB"/>
        </w:rPr>
      </w:pPr>
      <w:r w:rsidRPr="00917DDC">
        <w:rPr>
          <w:rFonts w:eastAsia="Arial" w:cs="Arial"/>
          <w:color w:val="000000"/>
          <w:sz w:val="22"/>
          <w:szCs w:val="22"/>
          <w:lang w:val="en-GB"/>
        </w:rPr>
        <w:t xml:space="preserve">In March 2021, South East Water, in partnership with the CCAC, established a sub-committee of CCAC members to oversee and provide feedback on the customer and community engagement program for the </w:t>
      </w:r>
      <w:r w:rsidRPr="00116E55">
        <w:rPr>
          <w:rFonts w:eastAsia="Arial" w:cs="Arial"/>
          <w:color w:val="000000"/>
          <w:sz w:val="22"/>
          <w:szCs w:val="22"/>
          <w:lang w:val="en-GB"/>
        </w:rPr>
        <w:t>2023</w:t>
      </w:r>
      <w:r w:rsidR="007D4EB3" w:rsidRPr="00116E55">
        <w:rPr>
          <w:rFonts w:eastAsia="Arial" w:cs="Arial"/>
          <w:color w:val="000000"/>
          <w:sz w:val="22"/>
          <w:szCs w:val="22"/>
          <w:lang w:val="en-GB"/>
        </w:rPr>
        <w:t>–</w:t>
      </w:r>
      <w:r w:rsidRPr="00116E55">
        <w:rPr>
          <w:rFonts w:eastAsia="Arial" w:cs="Arial"/>
          <w:color w:val="000000"/>
          <w:sz w:val="22"/>
          <w:szCs w:val="22"/>
          <w:lang w:val="en-GB"/>
        </w:rPr>
        <w:t>28 Price Submission</w:t>
      </w:r>
      <w:r w:rsidRPr="00917DDC">
        <w:rPr>
          <w:rFonts w:eastAsia="Arial" w:cs="Arial"/>
          <w:i/>
          <w:iCs/>
          <w:color w:val="000000"/>
          <w:sz w:val="22"/>
          <w:szCs w:val="22"/>
          <w:lang w:val="en-GB"/>
        </w:rPr>
        <w:t xml:space="preserve">. </w:t>
      </w:r>
    </w:p>
    <w:p w14:paraId="77B2370B" w14:textId="77777777" w:rsidR="00917DDC" w:rsidRPr="00917DDC" w:rsidRDefault="00917DDC" w:rsidP="00917DDC">
      <w:pPr>
        <w:spacing w:after="160" w:line="259" w:lineRule="auto"/>
        <w:rPr>
          <w:rFonts w:eastAsia="Arial" w:cs="Arial"/>
          <w:color w:val="000000"/>
          <w:sz w:val="22"/>
          <w:szCs w:val="22"/>
          <w:lang w:val="en-GB"/>
        </w:rPr>
      </w:pPr>
      <w:r w:rsidRPr="00917DDC">
        <w:rPr>
          <w:rFonts w:eastAsia="Arial" w:cs="Arial"/>
          <w:color w:val="000000"/>
          <w:sz w:val="22"/>
          <w:szCs w:val="22"/>
          <w:lang w:val="en-GB"/>
        </w:rPr>
        <w:t>South East Water met with the sub-committee regularly, providing members with oversight of the engagement program and the opportunity to provide feedback throughout the process. Full CCAC meetings were also held each quarter to provide all members the opportunity to provide feedback and remain updated across the customer engagement program.</w:t>
      </w:r>
    </w:p>
    <w:p w14:paraId="0AF68B66" w14:textId="77777777" w:rsidR="00917DDC" w:rsidRPr="00917DDC" w:rsidRDefault="00917DDC" w:rsidP="00917DDC">
      <w:pPr>
        <w:spacing w:after="160" w:line="259" w:lineRule="auto"/>
        <w:rPr>
          <w:rFonts w:eastAsia="Arial" w:cs="Arial"/>
          <w:color w:val="000000"/>
          <w:sz w:val="22"/>
          <w:szCs w:val="22"/>
          <w:lang w:val="en-GB"/>
        </w:rPr>
      </w:pPr>
      <w:r w:rsidRPr="00917DDC">
        <w:rPr>
          <w:rFonts w:eastAsia="Arial" w:cs="Arial"/>
          <w:color w:val="000000"/>
          <w:sz w:val="22"/>
          <w:szCs w:val="22"/>
          <w:lang w:val="en-GB"/>
        </w:rPr>
        <w:t>South East Water was open to observations and feedback, which informed further engagement and supported greater reliability of the customer engagement findings.</w:t>
      </w:r>
    </w:p>
    <w:p w14:paraId="2F4E78D6" w14:textId="57F1B2B0" w:rsidR="00917DDC" w:rsidRDefault="00917DDC" w:rsidP="00917DDC">
      <w:pPr>
        <w:spacing w:after="160" w:line="259" w:lineRule="auto"/>
        <w:rPr>
          <w:rFonts w:eastAsia="Arial" w:cs="Arial"/>
          <w:sz w:val="22"/>
          <w:szCs w:val="22"/>
          <w:lang w:val="en-GB"/>
        </w:rPr>
      </w:pPr>
      <w:r w:rsidRPr="00917DDC">
        <w:rPr>
          <w:rFonts w:eastAsia="Arial" w:cs="Arial"/>
          <w:color w:val="000000"/>
          <w:sz w:val="22"/>
          <w:szCs w:val="22"/>
          <w:lang w:val="en-GB"/>
        </w:rPr>
        <w:t xml:space="preserve">We found the methodology, objectivity, and inclusivity of the customer engagement program aligned with the </w:t>
      </w:r>
      <w:r w:rsidRPr="00917DDC">
        <w:rPr>
          <w:rFonts w:eastAsia="Arial" w:cs="Arial"/>
          <w:sz w:val="22"/>
          <w:szCs w:val="22"/>
          <w:lang w:val="en-GB"/>
        </w:rPr>
        <w:t>engagement principles outlined in the ESC</w:t>
      </w:r>
      <w:r w:rsidR="00612583">
        <w:rPr>
          <w:rFonts w:eastAsia="Arial" w:cs="Arial"/>
          <w:sz w:val="22"/>
          <w:szCs w:val="22"/>
          <w:lang w:val="en-GB"/>
        </w:rPr>
        <w:t>’</w:t>
      </w:r>
      <w:r w:rsidRPr="00917DDC">
        <w:rPr>
          <w:rFonts w:eastAsia="Arial" w:cs="Arial"/>
          <w:sz w:val="22"/>
          <w:szCs w:val="22"/>
          <w:lang w:val="en-GB"/>
        </w:rPr>
        <w:t xml:space="preserve">s </w:t>
      </w:r>
      <w:r w:rsidR="009808A6" w:rsidRPr="00116E55">
        <w:rPr>
          <w:rFonts w:eastAsia="Arial" w:cs="Arial"/>
          <w:i/>
          <w:iCs/>
          <w:sz w:val="22"/>
          <w:szCs w:val="22"/>
          <w:lang w:val="en-GB"/>
        </w:rPr>
        <w:t>W</w:t>
      </w:r>
      <w:r w:rsidRPr="00116E55">
        <w:rPr>
          <w:rFonts w:eastAsia="Arial" w:cs="Arial"/>
          <w:i/>
          <w:iCs/>
          <w:sz w:val="22"/>
          <w:szCs w:val="22"/>
          <w:lang w:val="en-GB"/>
        </w:rPr>
        <w:t xml:space="preserve">ater </w:t>
      </w:r>
      <w:r w:rsidR="009808A6" w:rsidRPr="00116E55">
        <w:rPr>
          <w:rFonts w:eastAsia="Arial" w:cs="Arial"/>
          <w:i/>
          <w:iCs/>
          <w:sz w:val="22"/>
          <w:szCs w:val="22"/>
          <w:lang w:val="en-GB"/>
        </w:rPr>
        <w:t>P</w:t>
      </w:r>
      <w:r w:rsidRPr="00116E55">
        <w:rPr>
          <w:rFonts w:eastAsia="Arial" w:cs="Arial"/>
          <w:i/>
          <w:iCs/>
          <w:sz w:val="22"/>
          <w:szCs w:val="22"/>
          <w:lang w:val="en-GB"/>
        </w:rPr>
        <w:t xml:space="preserve">rice </w:t>
      </w:r>
      <w:r w:rsidR="009808A6" w:rsidRPr="00116E55">
        <w:rPr>
          <w:rFonts w:eastAsia="Arial" w:cs="Arial"/>
          <w:i/>
          <w:iCs/>
          <w:sz w:val="22"/>
          <w:szCs w:val="22"/>
          <w:lang w:val="en-GB"/>
        </w:rPr>
        <w:t>R</w:t>
      </w:r>
      <w:r w:rsidRPr="00116E55">
        <w:rPr>
          <w:rFonts w:eastAsia="Arial" w:cs="Arial"/>
          <w:i/>
          <w:iCs/>
          <w:sz w:val="22"/>
          <w:szCs w:val="22"/>
          <w:lang w:val="en-GB"/>
        </w:rPr>
        <w:t>eview</w:t>
      </w:r>
      <w:r w:rsidR="009808A6">
        <w:rPr>
          <w:rFonts w:eastAsia="Arial" w:cs="Arial"/>
          <w:i/>
          <w:iCs/>
          <w:sz w:val="22"/>
          <w:szCs w:val="22"/>
          <w:lang w:val="en-GB"/>
        </w:rPr>
        <w:t xml:space="preserve"> 2023</w:t>
      </w:r>
      <w:r w:rsidRPr="00917DDC">
        <w:rPr>
          <w:rFonts w:eastAsia="Arial" w:cs="Arial"/>
          <w:sz w:val="22"/>
          <w:szCs w:val="22"/>
          <w:lang w:val="en-GB"/>
        </w:rPr>
        <w:t xml:space="preserve"> guidance paper including opportunities to participate, understanding what customers wanted to engage on</w:t>
      </w:r>
      <w:r w:rsidR="00537D94">
        <w:rPr>
          <w:rFonts w:eastAsia="Arial" w:cs="Arial"/>
          <w:sz w:val="22"/>
          <w:szCs w:val="22"/>
          <w:lang w:val="en-GB"/>
        </w:rPr>
        <w:t>,</w:t>
      </w:r>
      <w:r w:rsidRPr="00917DDC">
        <w:rPr>
          <w:rFonts w:eastAsia="Arial" w:cs="Arial"/>
          <w:sz w:val="22"/>
          <w:szCs w:val="22"/>
          <w:lang w:val="en-GB"/>
        </w:rPr>
        <w:t xml:space="preserve"> and providing information back to its customers.</w:t>
      </w:r>
    </w:p>
    <w:p w14:paraId="6E60E220" w14:textId="77777777" w:rsidR="00FF1015" w:rsidRPr="00917DDC" w:rsidRDefault="00FF1015" w:rsidP="00917DDC">
      <w:pPr>
        <w:spacing w:after="160" w:line="259" w:lineRule="auto"/>
        <w:rPr>
          <w:rFonts w:eastAsia="Arial" w:cs="Arial"/>
          <w:sz w:val="22"/>
          <w:szCs w:val="22"/>
          <w:lang w:val="en-GB"/>
        </w:rPr>
      </w:pPr>
    </w:p>
    <w:p w14:paraId="707E66BB" w14:textId="1BB169D1" w:rsidR="00917DDC" w:rsidRPr="00917DDC" w:rsidRDefault="001B1AD5" w:rsidP="00917DDC">
      <w:pPr>
        <w:spacing w:after="160" w:line="259" w:lineRule="auto"/>
        <w:rPr>
          <w:rFonts w:eastAsia="Arial" w:cs="Arial"/>
          <w:sz w:val="22"/>
          <w:szCs w:val="22"/>
          <w:lang w:val="en-GB"/>
        </w:rPr>
      </w:pPr>
      <w:r>
        <w:rPr>
          <w:rFonts w:eastAsia="Arial" w:cs="Arial"/>
          <w:color w:val="000000"/>
          <w:sz w:val="22"/>
          <w:szCs w:val="22"/>
          <w:lang w:val="en-GB"/>
        </w:rPr>
        <w:lastRenderedPageBreak/>
        <w:t>It is</w:t>
      </w:r>
      <w:r w:rsidRPr="00917DDC">
        <w:rPr>
          <w:rFonts w:eastAsia="Arial" w:cs="Arial"/>
          <w:color w:val="000000"/>
          <w:sz w:val="22"/>
          <w:szCs w:val="22"/>
          <w:lang w:val="en-GB"/>
        </w:rPr>
        <w:t xml:space="preserve"> </w:t>
      </w:r>
      <w:r w:rsidR="00917DDC" w:rsidRPr="00917DDC">
        <w:rPr>
          <w:rFonts w:eastAsia="Arial" w:cs="Arial"/>
          <w:color w:val="000000"/>
          <w:sz w:val="22"/>
          <w:szCs w:val="22"/>
          <w:lang w:val="en-GB"/>
        </w:rPr>
        <w:t xml:space="preserve">our view that South East Water </w:t>
      </w:r>
      <w:r w:rsidR="00917DDC" w:rsidRPr="00917DDC">
        <w:rPr>
          <w:rFonts w:eastAsia="Arial" w:cs="Arial"/>
          <w:sz w:val="22"/>
          <w:szCs w:val="22"/>
          <w:lang w:val="en-GB"/>
        </w:rPr>
        <w:t>has adopted a sound and robust customer engagement program, particularly:</w:t>
      </w:r>
    </w:p>
    <w:p w14:paraId="3C380E97" w14:textId="1C7031D2" w:rsidR="00917DDC" w:rsidRPr="00917DDC" w:rsidRDefault="00900FCD">
      <w:pPr>
        <w:numPr>
          <w:ilvl w:val="0"/>
          <w:numId w:val="44"/>
        </w:numPr>
        <w:spacing w:after="160" w:line="259" w:lineRule="auto"/>
        <w:ind w:left="567"/>
        <w:contextualSpacing/>
        <w:rPr>
          <w:rFonts w:eastAsia="Arial" w:cs="Arial"/>
          <w:sz w:val="22"/>
          <w:szCs w:val="22"/>
          <w:lang w:val="en-GB"/>
        </w:rPr>
      </w:pPr>
      <w:r>
        <w:rPr>
          <w:rFonts w:eastAsia="Arial" w:cs="Arial"/>
          <w:sz w:val="22"/>
          <w:szCs w:val="22"/>
          <w:lang w:val="en-GB"/>
        </w:rPr>
        <w:t>u</w:t>
      </w:r>
      <w:r w:rsidR="007113AB" w:rsidRPr="00917DDC">
        <w:rPr>
          <w:rFonts w:eastAsia="Arial" w:cs="Arial"/>
          <w:sz w:val="22"/>
          <w:szCs w:val="22"/>
          <w:lang w:val="en-GB"/>
        </w:rPr>
        <w:t>sing</w:t>
      </w:r>
      <w:r w:rsidR="00917DDC" w:rsidRPr="00917DDC">
        <w:rPr>
          <w:rFonts w:eastAsia="Arial" w:cs="Arial"/>
          <w:sz w:val="22"/>
          <w:szCs w:val="22"/>
          <w:lang w:val="en-GB"/>
        </w:rPr>
        <w:t xml:space="preserve"> a range of methods including online surveys, deliberative online discussions, </w:t>
      </w:r>
      <w:r w:rsidR="00142816">
        <w:rPr>
          <w:rFonts w:eastAsia="Arial" w:cs="Arial"/>
          <w:sz w:val="22"/>
          <w:szCs w:val="22"/>
          <w:lang w:val="en-GB"/>
        </w:rPr>
        <w:br/>
      </w:r>
      <w:r w:rsidR="00917DDC" w:rsidRPr="00917DDC">
        <w:rPr>
          <w:rFonts w:eastAsia="Arial" w:cs="Arial"/>
          <w:sz w:val="22"/>
          <w:szCs w:val="22"/>
          <w:lang w:val="en-GB"/>
        </w:rPr>
        <w:t>an online bill simulator, focus groups, and workshops</w:t>
      </w:r>
    </w:p>
    <w:p w14:paraId="4D949E08" w14:textId="669B67CE" w:rsidR="00917DDC" w:rsidRPr="00917DDC" w:rsidRDefault="0012214C">
      <w:pPr>
        <w:numPr>
          <w:ilvl w:val="0"/>
          <w:numId w:val="44"/>
        </w:numPr>
        <w:spacing w:after="160" w:line="259" w:lineRule="auto"/>
        <w:ind w:left="567"/>
        <w:contextualSpacing/>
        <w:rPr>
          <w:rFonts w:eastAsia="Arial" w:cs="Arial"/>
          <w:sz w:val="22"/>
          <w:szCs w:val="22"/>
          <w:lang w:val="en-GB"/>
        </w:rPr>
      </w:pPr>
      <w:r>
        <w:rPr>
          <w:rFonts w:eastAsia="Arial" w:cs="Arial"/>
          <w:sz w:val="22"/>
          <w:szCs w:val="22"/>
          <w:lang w:val="en-GB"/>
        </w:rPr>
        <w:t>en</w:t>
      </w:r>
      <w:r w:rsidRPr="00917DDC">
        <w:rPr>
          <w:rFonts w:eastAsia="Arial" w:cs="Arial"/>
          <w:sz w:val="22"/>
          <w:szCs w:val="22"/>
          <w:lang w:val="en-GB"/>
        </w:rPr>
        <w:t>gagement</w:t>
      </w:r>
      <w:r w:rsidR="00844056" w:rsidRPr="00917DDC">
        <w:rPr>
          <w:rFonts w:eastAsia="Arial" w:cs="Arial"/>
          <w:sz w:val="22"/>
          <w:szCs w:val="22"/>
          <w:lang w:val="en-GB"/>
        </w:rPr>
        <w:t xml:space="preserve"> </w:t>
      </w:r>
      <w:r w:rsidR="00917DDC" w:rsidRPr="00917DDC">
        <w:rPr>
          <w:rFonts w:eastAsia="Arial" w:cs="Arial"/>
          <w:sz w:val="22"/>
          <w:szCs w:val="22"/>
          <w:lang w:val="en-GB"/>
        </w:rPr>
        <w:t>with a cross</w:t>
      </w:r>
      <w:r w:rsidR="0026747C">
        <w:rPr>
          <w:rFonts w:eastAsia="Arial" w:cs="Arial"/>
          <w:sz w:val="22"/>
          <w:szCs w:val="22"/>
          <w:lang w:val="en-GB"/>
        </w:rPr>
        <w:t>-</w:t>
      </w:r>
      <w:r w:rsidR="00917DDC" w:rsidRPr="00917DDC">
        <w:rPr>
          <w:rFonts w:eastAsia="Arial" w:cs="Arial"/>
          <w:sz w:val="22"/>
          <w:szCs w:val="22"/>
          <w:lang w:val="en-GB"/>
        </w:rPr>
        <w:t>section of customers including customers experiencing vulnerability</w:t>
      </w:r>
    </w:p>
    <w:p w14:paraId="597F7751" w14:textId="2AA4D861" w:rsidR="00917DDC" w:rsidRPr="00917DDC" w:rsidRDefault="00900FCD">
      <w:pPr>
        <w:numPr>
          <w:ilvl w:val="0"/>
          <w:numId w:val="44"/>
        </w:numPr>
        <w:spacing w:after="160" w:line="259" w:lineRule="auto"/>
        <w:ind w:left="567"/>
        <w:contextualSpacing/>
        <w:rPr>
          <w:rFonts w:eastAsia="Arial" w:cs="Arial"/>
          <w:sz w:val="22"/>
          <w:szCs w:val="22"/>
          <w:lang w:val="en-GB"/>
        </w:rPr>
      </w:pPr>
      <w:r>
        <w:rPr>
          <w:rFonts w:eastAsia="Arial" w:cs="Arial"/>
          <w:sz w:val="22"/>
          <w:szCs w:val="22"/>
          <w:lang w:val="en-GB"/>
        </w:rPr>
        <w:t>c</w:t>
      </w:r>
      <w:r w:rsidR="00844056" w:rsidRPr="00917DDC">
        <w:rPr>
          <w:rFonts w:eastAsia="Arial" w:cs="Arial"/>
          <w:sz w:val="22"/>
          <w:szCs w:val="22"/>
          <w:lang w:val="en-GB"/>
        </w:rPr>
        <w:t xml:space="preserve">overing </w:t>
      </w:r>
      <w:r w:rsidR="00917DDC" w:rsidRPr="00917DDC">
        <w:rPr>
          <w:rFonts w:eastAsia="Arial" w:cs="Arial"/>
          <w:sz w:val="22"/>
          <w:szCs w:val="22"/>
          <w:lang w:val="en-GB"/>
        </w:rPr>
        <w:t xml:space="preserve">key matters including willingness to pay for certain services, projects, tariffs, </w:t>
      </w:r>
      <w:r w:rsidR="00142816">
        <w:rPr>
          <w:rFonts w:eastAsia="Arial" w:cs="Arial"/>
          <w:sz w:val="22"/>
          <w:szCs w:val="22"/>
          <w:lang w:val="en-GB"/>
        </w:rPr>
        <w:br/>
      </w:r>
      <w:r w:rsidR="00917DDC" w:rsidRPr="00917DDC">
        <w:rPr>
          <w:rFonts w:eastAsia="Arial" w:cs="Arial"/>
          <w:sz w:val="22"/>
          <w:szCs w:val="22"/>
          <w:lang w:val="en-GB"/>
        </w:rPr>
        <w:t>and GSLs</w:t>
      </w:r>
    </w:p>
    <w:p w14:paraId="0A11332C" w14:textId="5A94CBB4" w:rsidR="00917DDC" w:rsidRPr="00917DDC" w:rsidRDefault="00900FCD">
      <w:pPr>
        <w:numPr>
          <w:ilvl w:val="0"/>
          <w:numId w:val="44"/>
        </w:numPr>
        <w:spacing w:after="160" w:line="259" w:lineRule="auto"/>
        <w:ind w:left="567"/>
        <w:contextualSpacing/>
        <w:rPr>
          <w:rFonts w:eastAsia="Arial" w:cs="Arial"/>
          <w:sz w:val="22"/>
          <w:szCs w:val="22"/>
          <w:lang w:val="en-GB"/>
        </w:rPr>
      </w:pPr>
      <w:r>
        <w:rPr>
          <w:rFonts w:eastAsia="Arial" w:cs="Arial"/>
          <w:sz w:val="22"/>
          <w:szCs w:val="22"/>
          <w:lang w:val="en-GB"/>
        </w:rPr>
        <w:t>e</w:t>
      </w:r>
      <w:r w:rsidR="00844056" w:rsidRPr="00917DDC">
        <w:rPr>
          <w:rFonts w:eastAsia="Arial" w:cs="Arial"/>
          <w:sz w:val="22"/>
          <w:szCs w:val="22"/>
          <w:lang w:val="en-GB"/>
        </w:rPr>
        <w:t xml:space="preserve">mpowering </w:t>
      </w:r>
      <w:r w:rsidR="00917DDC" w:rsidRPr="00917DDC">
        <w:rPr>
          <w:rFonts w:eastAsia="Arial" w:cs="Arial"/>
          <w:sz w:val="22"/>
          <w:szCs w:val="22"/>
          <w:lang w:val="en-GB"/>
        </w:rPr>
        <w:t>customers to determine how much participation they wanted and the engagement agenda</w:t>
      </w:r>
    </w:p>
    <w:p w14:paraId="50E4E32B" w14:textId="111CA773" w:rsidR="00917DDC" w:rsidRPr="00917DDC" w:rsidRDefault="00900FCD">
      <w:pPr>
        <w:numPr>
          <w:ilvl w:val="0"/>
          <w:numId w:val="44"/>
        </w:numPr>
        <w:spacing w:after="160" w:line="259" w:lineRule="auto"/>
        <w:ind w:left="567"/>
        <w:rPr>
          <w:rFonts w:eastAsia="Arial" w:cs="Arial"/>
          <w:sz w:val="22"/>
          <w:szCs w:val="22"/>
          <w:lang w:val="en-GB"/>
        </w:rPr>
      </w:pPr>
      <w:r>
        <w:rPr>
          <w:rFonts w:eastAsia="Arial" w:cs="Arial"/>
          <w:sz w:val="22"/>
          <w:szCs w:val="22"/>
          <w:lang w:val="en-GB"/>
        </w:rPr>
        <w:t>v</w:t>
      </w:r>
      <w:r w:rsidR="00844056" w:rsidRPr="00917DDC">
        <w:rPr>
          <w:rFonts w:eastAsia="Arial" w:cs="Arial"/>
          <w:sz w:val="22"/>
          <w:szCs w:val="22"/>
          <w:lang w:val="en-GB"/>
        </w:rPr>
        <w:t xml:space="preserve">alidating </w:t>
      </w:r>
      <w:r w:rsidR="0026747C">
        <w:rPr>
          <w:rFonts w:eastAsia="Arial" w:cs="Arial"/>
          <w:sz w:val="22"/>
          <w:szCs w:val="22"/>
          <w:lang w:val="en-GB"/>
        </w:rPr>
        <w:t>c</w:t>
      </w:r>
      <w:r w:rsidR="00917DDC" w:rsidRPr="00917DDC">
        <w:rPr>
          <w:rFonts w:eastAsia="Arial" w:cs="Arial"/>
          <w:sz w:val="22"/>
          <w:szCs w:val="22"/>
          <w:lang w:val="en-GB"/>
        </w:rPr>
        <w:t xml:space="preserve">ustomer </w:t>
      </w:r>
      <w:r w:rsidR="0026747C">
        <w:rPr>
          <w:rFonts w:eastAsia="Arial" w:cs="Arial"/>
          <w:sz w:val="22"/>
          <w:szCs w:val="22"/>
          <w:lang w:val="en-GB"/>
        </w:rPr>
        <w:t>p</w:t>
      </w:r>
      <w:r w:rsidR="00917DDC" w:rsidRPr="00917DDC">
        <w:rPr>
          <w:rFonts w:eastAsia="Arial" w:cs="Arial"/>
          <w:sz w:val="22"/>
          <w:szCs w:val="22"/>
          <w:lang w:val="en-GB"/>
        </w:rPr>
        <w:t xml:space="preserve">anel recommendations during the </w:t>
      </w:r>
      <w:r w:rsidR="00612583">
        <w:rPr>
          <w:rFonts w:eastAsia="Arial" w:cs="Arial"/>
          <w:sz w:val="22"/>
          <w:szCs w:val="22"/>
          <w:lang w:val="en-GB"/>
        </w:rPr>
        <w:t>‘</w:t>
      </w:r>
      <w:r w:rsidR="00917DDC" w:rsidRPr="00917DDC">
        <w:rPr>
          <w:rFonts w:eastAsia="Arial" w:cs="Arial"/>
          <w:sz w:val="22"/>
          <w:szCs w:val="22"/>
          <w:lang w:val="en-GB"/>
        </w:rPr>
        <w:t>closing the loop</w:t>
      </w:r>
      <w:r w:rsidR="00612583">
        <w:rPr>
          <w:rFonts w:eastAsia="Arial" w:cs="Arial"/>
          <w:sz w:val="22"/>
          <w:szCs w:val="22"/>
          <w:lang w:val="en-GB"/>
        </w:rPr>
        <w:t>’</w:t>
      </w:r>
      <w:r w:rsidR="00917DDC" w:rsidRPr="00917DDC">
        <w:rPr>
          <w:rFonts w:eastAsia="Arial" w:cs="Arial"/>
          <w:sz w:val="22"/>
          <w:szCs w:val="22"/>
          <w:lang w:val="en-GB"/>
        </w:rPr>
        <w:t xml:space="preserve"> workstream to understand any movements in customer priorities given recent events such as inflationary pressures.</w:t>
      </w:r>
    </w:p>
    <w:p w14:paraId="77EBCDB2" w14:textId="52181433" w:rsidR="00917DDC" w:rsidRPr="00917DDC" w:rsidRDefault="00917DDC" w:rsidP="00917DDC">
      <w:pPr>
        <w:spacing w:after="160" w:line="259" w:lineRule="auto"/>
        <w:rPr>
          <w:rFonts w:eastAsia="Arial" w:cs="Arial"/>
          <w:sz w:val="22"/>
          <w:szCs w:val="22"/>
          <w:lang w:val="en-GB"/>
        </w:rPr>
      </w:pPr>
      <w:r w:rsidRPr="00917DDC">
        <w:rPr>
          <w:rFonts w:eastAsia="Arial" w:cs="Arial"/>
          <w:sz w:val="22"/>
          <w:szCs w:val="22"/>
          <w:lang w:val="en-GB"/>
        </w:rPr>
        <w:t>While South East Water</w:t>
      </w:r>
      <w:r w:rsidR="00612583">
        <w:rPr>
          <w:rFonts w:eastAsia="Arial" w:cs="Arial"/>
          <w:sz w:val="22"/>
          <w:szCs w:val="22"/>
          <w:lang w:val="en-GB"/>
        </w:rPr>
        <w:t>’</w:t>
      </w:r>
      <w:r w:rsidRPr="00917DDC">
        <w:rPr>
          <w:rFonts w:eastAsia="Arial" w:cs="Arial"/>
          <w:sz w:val="22"/>
          <w:szCs w:val="22"/>
          <w:lang w:val="en-GB"/>
        </w:rPr>
        <w:t xml:space="preserve">s </w:t>
      </w:r>
      <w:r w:rsidRPr="00A777AA">
        <w:rPr>
          <w:rFonts w:eastAsia="Arial" w:cs="Arial"/>
          <w:sz w:val="22"/>
          <w:szCs w:val="22"/>
          <w:lang w:val="en-GB"/>
        </w:rPr>
        <w:t>2023</w:t>
      </w:r>
      <w:r w:rsidR="007D4EB3" w:rsidRPr="00116E55">
        <w:rPr>
          <w:rFonts w:eastAsia="Arial" w:cs="Arial"/>
          <w:sz w:val="22"/>
          <w:szCs w:val="22"/>
          <w:lang w:val="en-GB"/>
        </w:rPr>
        <w:t>–</w:t>
      </w:r>
      <w:r w:rsidRPr="00116E55">
        <w:rPr>
          <w:rFonts w:eastAsia="Arial" w:cs="Arial"/>
          <w:sz w:val="22"/>
          <w:szCs w:val="22"/>
          <w:lang w:val="en-GB"/>
        </w:rPr>
        <w:t>28 Price Submission</w:t>
      </w:r>
      <w:r w:rsidRPr="00917DDC">
        <w:rPr>
          <w:rFonts w:eastAsia="Arial" w:cs="Arial"/>
          <w:sz w:val="22"/>
          <w:szCs w:val="22"/>
          <w:lang w:val="en-GB"/>
        </w:rPr>
        <w:t xml:space="preserve"> is being drafted and inputs were still to be approved by the South East Water Board, the CCAC </w:t>
      </w:r>
      <w:r w:rsidR="007113AB">
        <w:rPr>
          <w:rFonts w:eastAsia="Arial" w:cs="Arial"/>
          <w:sz w:val="22"/>
          <w:szCs w:val="22"/>
          <w:lang w:val="en-GB"/>
        </w:rPr>
        <w:t>was</w:t>
      </w:r>
      <w:r w:rsidRPr="00917DDC">
        <w:rPr>
          <w:rFonts w:eastAsia="Arial" w:cs="Arial"/>
          <w:sz w:val="22"/>
          <w:szCs w:val="22"/>
          <w:lang w:val="en-GB"/>
        </w:rPr>
        <w:t xml:space="preserve"> presented with high</w:t>
      </w:r>
      <w:r w:rsidR="0026747C">
        <w:rPr>
          <w:rFonts w:eastAsia="Arial" w:cs="Arial"/>
          <w:sz w:val="22"/>
          <w:szCs w:val="22"/>
          <w:lang w:val="en-GB"/>
        </w:rPr>
        <w:t>-</w:t>
      </w:r>
      <w:r w:rsidRPr="00917DDC">
        <w:rPr>
          <w:rFonts w:eastAsia="Arial" w:cs="Arial"/>
          <w:sz w:val="22"/>
          <w:szCs w:val="22"/>
          <w:lang w:val="en-GB"/>
        </w:rPr>
        <w:t>level plans for the price submission proposal for 2023</w:t>
      </w:r>
      <w:r w:rsidR="007D4EB3">
        <w:rPr>
          <w:rFonts w:eastAsia="Arial" w:cs="Arial"/>
          <w:sz w:val="22"/>
          <w:szCs w:val="22"/>
          <w:lang w:val="en-GB"/>
        </w:rPr>
        <w:t>–</w:t>
      </w:r>
      <w:r w:rsidRPr="00917DDC">
        <w:rPr>
          <w:rFonts w:eastAsia="Arial" w:cs="Arial"/>
          <w:sz w:val="22"/>
          <w:szCs w:val="22"/>
          <w:lang w:val="en-GB"/>
        </w:rPr>
        <w:t>28 and we are pleased with how South</w:t>
      </w:r>
      <w:r w:rsidR="00325C01">
        <w:rPr>
          <w:rFonts w:eastAsia="Arial" w:cs="Arial"/>
          <w:sz w:val="22"/>
          <w:szCs w:val="22"/>
          <w:lang w:val="en-GB"/>
        </w:rPr>
        <w:t> </w:t>
      </w:r>
      <w:r w:rsidRPr="00917DDC">
        <w:rPr>
          <w:rFonts w:eastAsia="Arial" w:cs="Arial"/>
          <w:sz w:val="22"/>
          <w:szCs w:val="22"/>
          <w:lang w:val="en-GB"/>
        </w:rPr>
        <w:t>East</w:t>
      </w:r>
      <w:r w:rsidR="00325C01">
        <w:rPr>
          <w:rFonts w:eastAsia="Arial" w:cs="Arial"/>
          <w:sz w:val="22"/>
          <w:szCs w:val="22"/>
          <w:lang w:val="en-GB"/>
        </w:rPr>
        <w:t> </w:t>
      </w:r>
      <w:r w:rsidRPr="00917DDC">
        <w:rPr>
          <w:rFonts w:eastAsia="Arial" w:cs="Arial"/>
          <w:sz w:val="22"/>
          <w:szCs w:val="22"/>
          <w:lang w:val="en-GB"/>
        </w:rPr>
        <w:t>Water has incorporated customer feedback into these.</w:t>
      </w:r>
    </w:p>
    <w:p w14:paraId="2C3F2724" w14:textId="48F65C52" w:rsidR="00917DDC" w:rsidRPr="00917DDC" w:rsidRDefault="00917DDC" w:rsidP="00917DDC">
      <w:pPr>
        <w:spacing w:after="160" w:line="259" w:lineRule="auto"/>
        <w:rPr>
          <w:rFonts w:eastAsia="Arial" w:cs="Arial"/>
          <w:color w:val="000000"/>
          <w:sz w:val="22"/>
          <w:szCs w:val="22"/>
          <w:lang w:val="en-GB"/>
        </w:rPr>
      </w:pPr>
      <w:r w:rsidRPr="00917DDC">
        <w:rPr>
          <w:rFonts w:eastAsia="Arial" w:cs="Arial"/>
          <w:color w:val="000000"/>
          <w:sz w:val="22"/>
          <w:szCs w:val="22"/>
          <w:lang w:val="en-GB"/>
        </w:rPr>
        <w:t xml:space="preserve">On behalf </w:t>
      </w:r>
      <w:r w:rsidR="0026747C">
        <w:rPr>
          <w:rFonts w:eastAsia="Arial" w:cs="Arial"/>
          <w:color w:val="000000"/>
          <w:sz w:val="22"/>
          <w:szCs w:val="22"/>
          <w:lang w:val="en-GB"/>
        </w:rPr>
        <w:t xml:space="preserve">of </w:t>
      </w:r>
      <w:r w:rsidRPr="00917DDC">
        <w:rPr>
          <w:rFonts w:eastAsia="Arial" w:cs="Arial"/>
          <w:color w:val="000000"/>
          <w:sz w:val="22"/>
          <w:szCs w:val="22"/>
          <w:lang w:val="en-GB"/>
        </w:rPr>
        <w:t>the Customer and Community Advisory Council, I</w:t>
      </w:r>
      <w:r w:rsidR="00612583">
        <w:rPr>
          <w:rFonts w:eastAsia="Arial" w:cs="Arial"/>
          <w:color w:val="000000"/>
          <w:sz w:val="22"/>
          <w:szCs w:val="22"/>
          <w:lang w:val="en-GB"/>
        </w:rPr>
        <w:t>’</w:t>
      </w:r>
      <w:r w:rsidRPr="00917DDC">
        <w:rPr>
          <w:rFonts w:eastAsia="Arial" w:cs="Arial"/>
          <w:color w:val="000000"/>
          <w:sz w:val="22"/>
          <w:szCs w:val="22"/>
          <w:lang w:val="en-GB"/>
        </w:rPr>
        <w:t xml:space="preserve">m pleased to offer this letter of support of South East Water and </w:t>
      </w:r>
      <w:r w:rsidR="00325C01">
        <w:rPr>
          <w:rFonts w:eastAsia="Arial" w:cs="Arial"/>
          <w:color w:val="000000"/>
          <w:sz w:val="22"/>
          <w:szCs w:val="22"/>
          <w:lang w:val="en-GB"/>
        </w:rPr>
        <w:t>its</w:t>
      </w:r>
      <w:r w:rsidR="00325C01" w:rsidRPr="00917DDC">
        <w:rPr>
          <w:rFonts w:eastAsia="Arial" w:cs="Arial"/>
          <w:color w:val="000000"/>
          <w:sz w:val="22"/>
          <w:szCs w:val="22"/>
          <w:lang w:val="en-GB"/>
        </w:rPr>
        <w:t xml:space="preserve"> </w:t>
      </w:r>
      <w:r w:rsidRPr="00917DDC">
        <w:rPr>
          <w:rFonts w:eastAsia="Arial" w:cs="Arial"/>
          <w:color w:val="000000"/>
          <w:sz w:val="22"/>
          <w:szCs w:val="22"/>
          <w:lang w:val="en-GB"/>
        </w:rPr>
        <w:t xml:space="preserve">customer engagement program as part of </w:t>
      </w:r>
      <w:r w:rsidR="00325C01">
        <w:rPr>
          <w:rFonts w:eastAsia="Arial" w:cs="Arial"/>
          <w:color w:val="000000"/>
          <w:sz w:val="22"/>
          <w:szCs w:val="22"/>
          <w:lang w:val="en-GB"/>
        </w:rPr>
        <w:t>its</w:t>
      </w:r>
      <w:r w:rsidR="00325C01" w:rsidRPr="00917DDC">
        <w:rPr>
          <w:rFonts w:eastAsia="Arial" w:cs="Arial"/>
          <w:color w:val="000000"/>
          <w:sz w:val="22"/>
          <w:szCs w:val="22"/>
          <w:lang w:val="en-GB"/>
        </w:rPr>
        <w:t xml:space="preserve"> </w:t>
      </w:r>
      <w:r w:rsidRPr="00A777AA">
        <w:rPr>
          <w:rFonts w:eastAsia="Arial" w:cs="Arial"/>
          <w:color w:val="000000"/>
          <w:sz w:val="22"/>
          <w:szCs w:val="22"/>
          <w:lang w:val="en-GB"/>
        </w:rPr>
        <w:t>2023</w:t>
      </w:r>
      <w:r w:rsidR="007D4EB3" w:rsidRPr="00A777AA">
        <w:rPr>
          <w:rFonts w:eastAsia="Arial" w:cs="Arial"/>
          <w:color w:val="000000"/>
          <w:sz w:val="22"/>
          <w:szCs w:val="22"/>
          <w:lang w:val="en-GB"/>
        </w:rPr>
        <w:t>–</w:t>
      </w:r>
      <w:r w:rsidRPr="00A777AA">
        <w:rPr>
          <w:rFonts w:eastAsia="Arial" w:cs="Arial"/>
          <w:color w:val="000000"/>
          <w:sz w:val="22"/>
          <w:szCs w:val="22"/>
          <w:lang w:val="en-GB"/>
        </w:rPr>
        <w:t>28 Price Submission</w:t>
      </w:r>
      <w:r w:rsidRPr="00917DDC">
        <w:rPr>
          <w:rFonts w:eastAsia="Arial" w:cs="Arial"/>
          <w:color w:val="000000"/>
          <w:sz w:val="22"/>
          <w:szCs w:val="22"/>
          <w:lang w:val="en-GB"/>
        </w:rPr>
        <w:t>.</w:t>
      </w:r>
    </w:p>
    <w:p w14:paraId="0DCD6520" w14:textId="1BBF0C5F" w:rsidR="00917DDC" w:rsidRDefault="00917DDC" w:rsidP="00917DDC">
      <w:pPr>
        <w:spacing w:after="160" w:line="259" w:lineRule="auto"/>
        <w:rPr>
          <w:rFonts w:eastAsia="Arial" w:cs="Arial"/>
          <w:color w:val="000000"/>
          <w:sz w:val="22"/>
          <w:szCs w:val="22"/>
          <w:lang w:val="en-GB"/>
        </w:rPr>
      </w:pPr>
      <w:r w:rsidRPr="00917DDC">
        <w:rPr>
          <w:rFonts w:eastAsia="Arial" w:cs="Arial"/>
          <w:color w:val="000000"/>
          <w:sz w:val="22"/>
          <w:szCs w:val="22"/>
          <w:lang w:val="en-GB"/>
        </w:rPr>
        <w:t>Kind regards</w:t>
      </w:r>
    </w:p>
    <w:p w14:paraId="7787BC29" w14:textId="77777777" w:rsidR="009864D5" w:rsidRPr="00917DDC" w:rsidRDefault="009864D5" w:rsidP="00917DDC">
      <w:pPr>
        <w:spacing w:after="160" w:line="259" w:lineRule="auto"/>
        <w:rPr>
          <w:rFonts w:eastAsia="Arial" w:cs="Arial"/>
          <w:color w:val="000000"/>
          <w:sz w:val="22"/>
          <w:szCs w:val="22"/>
          <w:lang w:val="en-GB"/>
        </w:rPr>
      </w:pPr>
    </w:p>
    <w:p w14:paraId="1BAD3653" w14:textId="19A7E3B7" w:rsidR="00917DDC" w:rsidRPr="00917DDC" w:rsidRDefault="00917DDC" w:rsidP="00917DDC">
      <w:pPr>
        <w:spacing w:after="160" w:line="259" w:lineRule="auto"/>
        <w:rPr>
          <w:rFonts w:eastAsia="Arial" w:cs="Arial"/>
          <w:color w:val="000000"/>
          <w:sz w:val="22"/>
          <w:szCs w:val="22"/>
          <w:lang w:val="en-GB"/>
        </w:rPr>
      </w:pPr>
      <w:r w:rsidRPr="00917DDC">
        <w:rPr>
          <w:rFonts w:eastAsia="Arial" w:cs="Arial"/>
          <w:color w:val="000000"/>
          <w:sz w:val="22"/>
          <w:szCs w:val="22"/>
          <w:lang w:val="en-GB"/>
        </w:rPr>
        <w:t xml:space="preserve"> </w:t>
      </w:r>
    </w:p>
    <w:p w14:paraId="5F09BC62" w14:textId="00E82E28" w:rsidR="00917DDC" w:rsidRPr="00917DDC" w:rsidRDefault="00917DDC" w:rsidP="00917DDC">
      <w:pPr>
        <w:spacing w:after="160" w:line="259" w:lineRule="auto"/>
        <w:rPr>
          <w:rFonts w:eastAsia="Arial" w:cs="Arial"/>
          <w:color w:val="000000"/>
          <w:sz w:val="22"/>
          <w:szCs w:val="22"/>
          <w:lang w:val="en-GB"/>
        </w:rPr>
      </w:pPr>
      <w:r w:rsidRPr="00917DDC">
        <w:rPr>
          <w:rFonts w:eastAsia="Arial" w:cs="Arial"/>
          <w:color w:val="000000"/>
          <w:sz w:val="22"/>
          <w:szCs w:val="22"/>
          <w:lang w:val="en-GB"/>
        </w:rPr>
        <w:t xml:space="preserve"> </w:t>
      </w:r>
    </w:p>
    <w:p w14:paraId="138CD837" w14:textId="77777777" w:rsidR="00917DDC" w:rsidRPr="00917DDC" w:rsidRDefault="00917DDC" w:rsidP="00917DDC">
      <w:pPr>
        <w:spacing w:after="0" w:line="259" w:lineRule="auto"/>
        <w:rPr>
          <w:rFonts w:eastAsia="Arial" w:cs="Arial"/>
          <w:b/>
          <w:bCs/>
          <w:color w:val="000000"/>
          <w:sz w:val="22"/>
          <w:szCs w:val="22"/>
          <w:lang w:val="en-GB"/>
        </w:rPr>
      </w:pPr>
      <w:r w:rsidRPr="00917DDC">
        <w:rPr>
          <w:rFonts w:eastAsia="Arial" w:cs="Arial"/>
          <w:b/>
          <w:bCs/>
          <w:color w:val="000000"/>
          <w:sz w:val="22"/>
          <w:szCs w:val="22"/>
          <w:lang w:val="en-GB"/>
        </w:rPr>
        <w:t>David Heeps</w:t>
      </w:r>
    </w:p>
    <w:p w14:paraId="1D4F7CF1" w14:textId="77777777" w:rsidR="00917DDC" w:rsidRPr="00917DDC" w:rsidRDefault="00917DDC" w:rsidP="00917DDC">
      <w:pPr>
        <w:spacing w:after="0" w:line="259" w:lineRule="auto"/>
        <w:rPr>
          <w:rFonts w:eastAsia="Arial" w:cs="Arial"/>
          <w:color w:val="000000"/>
          <w:sz w:val="22"/>
          <w:szCs w:val="22"/>
          <w:lang w:val="en-GB"/>
        </w:rPr>
      </w:pPr>
      <w:r w:rsidRPr="00917DDC">
        <w:rPr>
          <w:rFonts w:eastAsia="Arial" w:cs="Arial"/>
          <w:color w:val="000000"/>
          <w:sz w:val="22"/>
          <w:szCs w:val="22"/>
          <w:lang w:val="en-GB"/>
        </w:rPr>
        <w:t>Chair</w:t>
      </w:r>
    </w:p>
    <w:p w14:paraId="0D78DD8E" w14:textId="77777777" w:rsidR="00917DDC" w:rsidRPr="00917DDC" w:rsidRDefault="00917DDC" w:rsidP="00917DDC">
      <w:pPr>
        <w:spacing w:after="0" w:line="259" w:lineRule="auto"/>
        <w:rPr>
          <w:rFonts w:eastAsia="Arial" w:cs="Arial"/>
          <w:color w:val="000000"/>
          <w:sz w:val="22"/>
          <w:szCs w:val="22"/>
          <w:lang w:val="en-GB"/>
        </w:rPr>
      </w:pPr>
      <w:r w:rsidRPr="00917DDC">
        <w:rPr>
          <w:rFonts w:eastAsia="Arial" w:cs="Arial"/>
          <w:color w:val="000000"/>
          <w:sz w:val="22"/>
          <w:szCs w:val="22"/>
          <w:lang w:val="en-GB"/>
        </w:rPr>
        <w:t>South East Water Customer and Community Advisory Council</w:t>
      </w:r>
    </w:p>
    <w:p w14:paraId="6BF1398B" w14:textId="77777777" w:rsidR="00A47290" w:rsidRDefault="00A47290" w:rsidP="00A47290">
      <w:pPr>
        <w:spacing w:after="160" w:line="259" w:lineRule="auto"/>
      </w:pPr>
    </w:p>
    <w:p w14:paraId="1DA7CA85" w14:textId="77777777" w:rsidR="00917DDC" w:rsidRDefault="00917DDC" w:rsidP="00A47290">
      <w:pPr>
        <w:spacing w:after="160" w:line="259" w:lineRule="auto"/>
        <w:rPr>
          <w:b/>
          <w:bCs/>
        </w:rPr>
      </w:pPr>
    </w:p>
    <w:p w14:paraId="2C9A8D9F" w14:textId="77777777" w:rsidR="00917DDC" w:rsidRDefault="00917DDC" w:rsidP="00A47290">
      <w:pPr>
        <w:spacing w:after="160" w:line="259" w:lineRule="auto"/>
        <w:rPr>
          <w:b/>
          <w:bCs/>
        </w:rPr>
      </w:pPr>
    </w:p>
    <w:p w14:paraId="39298F8D" w14:textId="77777777" w:rsidR="00917DDC" w:rsidRDefault="00917DDC" w:rsidP="00A47290">
      <w:pPr>
        <w:spacing w:after="160" w:line="259" w:lineRule="auto"/>
        <w:rPr>
          <w:b/>
          <w:bCs/>
        </w:rPr>
      </w:pPr>
    </w:p>
    <w:p w14:paraId="66EAC2D7" w14:textId="5741A079" w:rsidR="00347BEE" w:rsidRDefault="00347BEE" w:rsidP="00704213">
      <w:pPr>
        <w:spacing w:after="160" w:line="259" w:lineRule="auto"/>
      </w:pPr>
    </w:p>
    <w:p w14:paraId="0BB63127" w14:textId="77777777" w:rsidR="00347BEE" w:rsidRDefault="00347BEE" w:rsidP="00704213">
      <w:pPr>
        <w:spacing w:after="160" w:line="259" w:lineRule="auto"/>
      </w:pPr>
    </w:p>
    <w:p w14:paraId="7CB30F40" w14:textId="72476028" w:rsidR="003B1811" w:rsidRDefault="003B1811">
      <w:r>
        <w:br w:type="page"/>
      </w:r>
    </w:p>
    <w:p w14:paraId="3740D452" w14:textId="72F73C98" w:rsidR="00347BEE" w:rsidRPr="00D11C2D" w:rsidRDefault="003B1811" w:rsidP="00D11C2D">
      <w:pPr>
        <w:pStyle w:val="Heading1"/>
      </w:pPr>
      <w:bookmarkStart w:id="10" w:name="_Toc114644606"/>
      <w:r w:rsidRPr="00D11C2D">
        <w:lastRenderedPageBreak/>
        <w:t>Executive summary</w:t>
      </w:r>
      <w:bookmarkEnd w:id="10"/>
    </w:p>
    <w:p w14:paraId="21EA46CE" w14:textId="694E6FF3" w:rsidR="00D11C2D" w:rsidRDefault="00D11C2D" w:rsidP="004A0CC2">
      <w:pPr>
        <w:spacing w:after="160" w:line="259" w:lineRule="auto"/>
        <w:sectPr w:rsidR="00D11C2D" w:rsidSect="0020365D">
          <w:headerReference w:type="even" r:id="rId18"/>
          <w:footerReference w:type="default" r:id="rId19"/>
          <w:headerReference w:type="first" r:id="rId20"/>
          <w:pgSz w:w="11906" w:h="16838"/>
          <w:pgMar w:top="1440" w:right="1440" w:bottom="1440" w:left="873" w:header="992" w:footer="28" w:gutter="0"/>
          <w:cols w:space="708"/>
          <w:docGrid w:linePitch="360"/>
        </w:sectPr>
      </w:pPr>
    </w:p>
    <w:p w14:paraId="0EF2BDA6" w14:textId="2C1136CA" w:rsidR="004A0CC2" w:rsidRDefault="004A0CC2" w:rsidP="004A0CC2">
      <w:pPr>
        <w:spacing w:after="160" w:line="259" w:lineRule="auto"/>
      </w:pPr>
      <w:r>
        <w:t>This submission for the 2023</w:t>
      </w:r>
      <w:r w:rsidR="007D4EB3">
        <w:t>–</w:t>
      </w:r>
      <w:r>
        <w:t>28 regulatory period</w:t>
      </w:r>
      <w:r w:rsidR="00E679D0">
        <w:t xml:space="preserve"> </w:t>
      </w:r>
      <w:r w:rsidR="00473CBF">
        <w:t>is based on</w:t>
      </w:r>
      <w:r>
        <w:t xml:space="preserve"> an extensive process of engag</w:t>
      </w:r>
      <w:r w:rsidR="00BE0488">
        <w:t>ement</w:t>
      </w:r>
      <w:r>
        <w:t xml:space="preserve"> and collaborat</w:t>
      </w:r>
      <w:r w:rsidR="00BE0488">
        <w:t>ion</w:t>
      </w:r>
      <w:r>
        <w:t xml:space="preserve"> with our customers and communit</w:t>
      </w:r>
      <w:r w:rsidR="009C3108">
        <w:t>ies</w:t>
      </w:r>
      <w:r>
        <w:t xml:space="preserve">. In this period of uncertainty and change (including due to the </w:t>
      </w:r>
      <w:r w:rsidRPr="00722ED0">
        <w:t>coronavirus (COVID-19)</w:t>
      </w:r>
      <w:r w:rsidR="005C6288">
        <w:t xml:space="preserve"> pandemic</w:t>
      </w:r>
      <w:r>
        <w:t xml:space="preserve">), it has been more important than ever to </w:t>
      </w:r>
      <w:r w:rsidR="00612583">
        <w:t>‘</w:t>
      </w:r>
      <w:r>
        <w:t>check</w:t>
      </w:r>
      <w:r w:rsidR="00994807">
        <w:t xml:space="preserve"> </w:t>
      </w:r>
      <w:r>
        <w:t>in</w:t>
      </w:r>
      <w:r w:rsidR="00612583">
        <w:t>’</w:t>
      </w:r>
      <w:r>
        <w:t>.</w:t>
      </w:r>
    </w:p>
    <w:p w14:paraId="116240FB" w14:textId="06CB3E42" w:rsidR="004A0CC2" w:rsidRDefault="004A0CC2" w:rsidP="004A0CC2">
      <w:pPr>
        <w:spacing w:after="160" w:line="259" w:lineRule="auto"/>
      </w:pPr>
      <w:r>
        <w:t>We have respond</w:t>
      </w:r>
      <w:r w:rsidR="00D9599A">
        <w:t>ed</w:t>
      </w:r>
      <w:r>
        <w:t xml:space="preserve"> to the increasing vulnerability of some sections of our customer base and will continue </w:t>
      </w:r>
      <w:r w:rsidR="00DA4C7B">
        <w:br/>
      </w:r>
      <w:r>
        <w:t xml:space="preserve">to do so. Looking to the future, our customers are seeking stable delivery of our </w:t>
      </w:r>
      <w:r w:rsidR="00CA7C6C">
        <w:t xml:space="preserve">5 </w:t>
      </w:r>
      <w:r>
        <w:t>agreed customer outcomes.</w:t>
      </w:r>
    </w:p>
    <w:p w14:paraId="01638F17" w14:textId="1B3A330C" w:rsidR="004A0CC2" w:rsidRDefault="00CA0740" w:rsidP="004A0CC2">
      <w:r>
        <w:t xml:space="preserve">To be more efficient and responsive to </w:t>
      </w:r>
      <w:r w:rsidR="004A0CC2">
        <w:t xml:space="preserve">our </w:t>
      </w:r>
      <w:r>
        <w:t>customers</w:t>
      </w:r>
      <w:r w:rsidR="004A0CC2">
        <w:t xml:space="preserve"> </w:t>
      </w:r>
      <w:r w:rsidR="00C93F6D">
        <w:t>we aim to</w:t>
      </w:r>
      <w:r w:rsidR="004A0CC2">
        <w:t xml:space="preserve"> maintain reliable services, cater for the expected growth in our network</w:t>
      </w:r>
      <w:r w:rsidR="0075003D">
        <w:t>, scal</w:t>
      </w:r>
      <w:r w:rsidR="00D01902">
        <w:t>e</w:t>
      </w:r>
      <w:r w:rsidR="0075003D">
        <w:t xml:space="preserve"> up </w:t>
      </w:r>
      <w:r w:rsidR="005612B8">
        <w:t xml:space="preserve">digital metering </w:t>
      </w:r>
      <w:r w:rsidR="004A0CC2">
        <w:t>and modernis</w:t>
      </w:r>
      <w:r w:rsidR="00385831">
        <w:t>e</w:t>
      </w:r>
      <w:r w:rsidR="004A0CC2">
        <w:t xml:space="preserve"> our business systems</w:t>
      </w:r>
      <w:r w:rsidR="00385831">
        <w:t xml:space="preserve">. </w:t>
      </w:r>
      <w:r w:rsidR="00D92332">
        <w:t xml:space="preserve">We will make it </w:t>
      </w:r>
      <w:r w:rsidR="0013094F">
        <w:t xml:space="preserve">easier for our </w:t>
      </w:r>
      <w:r w:rsidR="004A0CC2">
        <w:t xml:space="preserve">customers to pay </w:t>
      </w:r>
      <w:r w:rsidR="008D5271">
        <w:t xml:space="preserve">their </w:t>
      </w:r>
      <w:r w:rsidR="004A0CC2">
        <w:t>bills or move</w:t>
      </w:r>
      <w:r w:rsidR="00122D48">
        <w:t xml:space="preserve"> house</w:t>
      </w:r>
      <w:r w:rsidR="007701BC">
        <w:t>,</w:t>
      </w:r>
      <w:r w:rsidR="004A0CC2">
        <w:t xml:space="preserve"> and</w:t>
      </w:r>
      <w:r w:rsidR="007701BC">
        <w:t xml:space="preserve"> we will</w:t>
      </w:r>
      <w:r w:rsidR="00F6181E">
        <w:t xml:space="preserve"> give them</w:t>
      </w:r>
      <w:r w:rsidR="004A0CC2">
        <w:t xml:space="preserve"> access to information when they need it (</w:t>
      </w:r>
      <w:r w:rsidR="00960122">
        <w:t xml:space="preserve">for example, </w:t>
      </w:r>
      <w:r w:rsidR="004A0CC2">
        <w:t>when there is a</w:t>
      </w:r>
      <w:r w:rsidR="00744313">
        <w:t xml:space="preserve"> service</w:t>
      </w:r>
      <w:r w:rsidR="00122D48">
        <w:t xml:space="preserve"> </w:t>
      </w:r>
      <w:r w:rsidR="004A0CC2">
        <w:t>interruption).</w:t>
      </w:r>
    </w:p>
    <w:p w14:paraId="649CBAF3" w14:textId="5B21378E" w:rsidR="00E432D9" w:rsidRDefault="005F2645" w:rsidP="004A0CC2">
      <w:r>
        <w:t>Our customers want us to be more responsive</w:t>
      </w:r>
      <w:r w:rsidR="00337B6E">
        <w:t xml:space="preserve"> to </w:t>
      </w:r>
      <w:r w:rsidR="00E906E4">
        <w:t xml:space="preserve">the increasing impacts of climate change. </w:t>
      </w:r>
      <w:r w:rsidR="003F19D5">
        <w:t>We are e</w:t>
      </w:r>
      <w:r w:rsidR="00122551" w:rsidRPr="00122551">
        <w:t xml:space="preserve">mbedding climate resilience into the way we design and operate our assets, implementing our </w:t>
      </w:r>
      <w:r w:rsidR="00122551" w:rsidRPr="00116E55">
        <w:rPr>
          <w:i/>
          <w:iCs/>
        </w:rPr>
        <w:t xml:space="preserve">Climate Adaptation </w:t>
      </w:r>
      <w:r w:rsidR="00C45B53" w:rsidRPr="00116E55">
        <w:rPr>
          <w:i/>
          <w:iCs/>
        </w:rPr>
        <w:t>Action Plan</w:t>
      </w:r>
      <w:r w:rsidR="00122551" w:rsidRPr="00122551">
        <w:t>, and reducing our greenhouse gas emissions</w:t>
      </w:r>
      <w:r w:rsidR="009A0970">
        <w:t>.</w:t>
      </w:r>
    </w:p>
    <w:p w14:paraId="637517C8" w14:textId="5345DE66" w:rsidR="003B1811" w:rsidRDefault="00D449D6" w:rsidP="00D74C51">
      <w:pPr>
        <w:pStyle w:val="Heading4"/>
      </w:pPr>
      <w:r>
        <w:t>We have listened to customers and collaborated to reflect their views in our submission</w:t>
      </w:r>
    </w:p>
    <w:p w14:paraId="1E1E36DD" w14:textId="1C14FC45" w:rsidR="004A0CC2" w:rsidRDefault="004A0CC2" w:rsidP="004A0CC2">
      <w:r>
        <w:t xml:space="preserve">The comprehensive engagement </w:t>
      </w:r>
      <w:r w:rsidR="00142816">
        <w:br/>
      </w:r>
      <w:r>
        <w:t>process undertaken to develo</w:t>
      </w:r>
      <w:r w:rsidR="00B25C6D">
        <w:t>p</w:t>
      </w:r>
      <w:r>
        <w:t xml:space="preserve"> the price submission</w:t>
      </w:r>
      <w:r w:rsidR="00E277B6">
        <w:t xml:space="preserve"> covered </w:t>
      </w:r>
      <w:r w:rsidR="009308B9">
        <w:t xml:space="preserve">5 </w:t>
      </w:r>
      <w:r w:rsidR="00E277B6">
        <w:t>phase</w:t>
      </w:r>
      <w:r w:rsidR="009308B9">
        <w:t xml:space="preserve">s </w:t>
      </w:r>
      <w:r w:rsidR="00E277B6">
        <w:t xml:space="preserve">over an </w:t>
      </w:r>
      <w:r w:rsidR="00CC1470">
        <w:br/>
      </w:r>
      <w:r w:rsidR="00242E3C">
        <w:t>18-month</w:t>
      </w:r>
      <w:r>
        <w:t xml:space="preserve"> period. </w:t>
      </w:r>
    </w:p>
    <w:p w14:paraId="1C1F11E9" w14:textId="5085D450" w:rsidR="0068351C" w:rsidRDefault="004A0CC2" w:rsidP="00695690">
      <w:pPr>
        <w:spacing w:after="160" w:line="259" w:lineRule="auto"/>
      </w:pPr>
      <w:r>
        <w:t>In Phase 1</w:t>
      </w:r>
      <w:r w:rsidR="005D2847">
        <w:t>,</w:t>
      </w:r>
      <w:r>
        <w:t xml:space="preserve"> </w:t>
      </w:r>
      <w:r w:rsidR="00E679D0">
        <w:t xml:space="preserve">a </w:t>
      </w:r>
      <w:r>
        <w:t xml:space="preserve">strategic engagement </w:t>
      </w:r>
      <w:r w:rsidR="00142816">
        <w:br/>
      </w:r>
      <w:r>
        <w:t xml:space="preserve">plan was developed to understand the information we already had and how </w:t>
      </w:r>
      <w:r w:rsidR="00142816">
        <w:br/>
      </w:r>
      <w:r>
        <w:t>we needed to build on this</w:t>
      </w:r>
      <w:r w:rsidR="00022C33">
        <w:t>.</w:t>
      </w:r>
      <w:r>
        <w:t xml:space="preserve"> </w:t>
      </w:r>
    </w:p>
    <w:p w14:paraId="7854C9B2" w14:textId="19773B1B" w:rsidR="004A0CC2" w:rsidRDefault="004A0CC2" w:rsidP="004A0CC2">
      <w:r>
        <w:t>Phase</w:t>
      </w:r>
      <w:r w:rsidR="00C25FC9">
        <w:t>s</w:t>
      </w:r>
      <w:r>
        <w:t xml:space="preserve"> 2 and 3 involved new primary research and engagement involving over </w:t>
      </w:r>
      <w:r w:rsidR="00A303FE">
        <w:rPr>
          <w:rFonts w:eastAsia="Arial"/>
        </w:rPr>
        <w:t>8,500</w:t>
      </w:r>
      <w:r w:rsidRPr="00481F5E">
        <w:rPr>
          <w:rFonts w:eastAsia="Arial"/>
        </w:rPr>
        <w:t xml:space="preserve"> </w:t>
      </w:r>
      <w:r w:rsidR="00A43B72">
        <w:rPr>
          <w:rFonts w:eastAsia="Arial"/>
        </w:rPr>
        <w:t xml:space="preserve">residential, business, </w:t>
      </w:r>
      <w:r w:rsidR="00CB7204">
        <w:rPr>
          <w:rFonts w:eastAsia="Arial"/>
        </w:rPr>
        <w:t xml:space="preserve">vulnerable and First Nations customers. </w:t>
      </w:r>
      <w:r>
        <w:t xml:space="preserve">Key messages </w:t>
      </w:r>
      <w:r w:rsidR="00CB7204">
        <w:t xml:space="preserve">from </w:t>
      </w:r>
      <w:r w:rsidR="00894A56">
        <w:t>customers</w:t>
      </w:r>
      <w:r>
        <w:t xml:space="preserve"> were continued support for our </w:t>
      </w:r>
      <w:r w:rsidR="00773436">
        <w:t xml:space="preserve">5 </w:t>
      </w:r>
      <w:r>
        <w:t>existing customer outcomes</w:t>
      </w:r>
      <w:r w:rsidR="00814B08">
        <w:t xml:space="preserve"> (especially </w:t>
      </w:r>
      <w:r w:rsidR="001B43BC">
        <w:t xml:space="preserve">for </w:t>
      </w:r>
      <w:r w:rsidR="00C82057">
        <w:t>r</w:t>
      </w:r>
      <w:r>
        <w:t>eliable services and improvement</w:t>
      </w:r>
      <w:r w:rsidR="00894693">
        <w:t xml:space="preserve">s to their </w:t>
      </w:r>
      <w:r>
        <w:t>experience</w:t>
      </w:r>
      <w:r w:rsidR="00245D99">
        <w:t>,</w:t>
      </w:r>
      <w:r>
        <w:t xml:space="preserve"> </w:t>
      </w:r>
      <w:r w:rsidR="00420ABE">
        <w:t xml:space="preserve">such as </w:t>
      </w:r>
      <w:r w:rsidR="00717A1F">
        <w:t xml:space="preserve">access </w:t>
      </w:r>
      <w:r w:rsidR="00420ABE">
        <w:t xml:space="preserve">to online </w:t>
      </w:r>
      <w:r>
        <w:t>self-serve systems). There was also support for key modernisation programs</w:t>
      </w:r>
      <w:r w:rsidR="00C624A3">
        <w:t>,</w:t>
      </w:r>
      <w:r>
        <w:t xml:space="preserve"> including digital metering and environmental programs, </w:t>
      </w:r>
      <w:r w:rsidR="00142816">
        <w:br/>
      </w:r>
      <w:r>
        <w:t xml:space="preserve">as </w:t>
      </w:r>
      <w:r w:rsidR="00A2567F">
        <w:t xml:space="preserve">well as the desire to address </w:t>
      </w:r>
      <w:r>
        <w:t>affordability concerns, particularly for vulnerable customers.</w:t>
      </w:r>
    </w:p>
    <w:p w14:paraId="006B1E8B" w14:textId="2C7C800C" w:rsidR="00586DC7" w:rsidRDefault="006273EB" w:rsidP="004A0CC2">
      <w:r>
        <w:t xml:space="preserve">In </w:t>
      </w:r>
      <w:r w:rsidR="004A0CC2" w:rsidRPr="00651D3F">
        <w:t>Phase</w:t>
      </w:r>
      <w:r w:rsidR="004A0CC2">
        <w:t> </w:t>
      </w:r>
      <w:r w:rsidR="004A0CC2" w:rsidRPr="00651D3F">
        <w:t>4</w:t>
      </w:r>
      <w:r w:rsidR="00034B42">
        <w:t>,</w:t>
      </w:r>
      <w:r w:rsidR="004A0CC2" w:rsidRPr="00651D3F">
        <w:t xml:space="preserve"> South East Water and a community panel </w:t>
      </w:r>
      <w:r>
        <w:t>collaborated on</w:t>
      </w:r>
      <w:r w:rsidR="004A0CC2" w:rsidRPr="00651D3F">
        <w:t xml:space="preserve"> how best to reflect </w:t>
      </w:r>
      <w:r>
        <w:t xml:space="preserve">these </w:t>
      </w:r>
      <w:r w:rsidR="004A0CC2" w:rsidRPr="00651D3F">
        <w:t>customer v</w:t>
      </w:r>
      <w:r w:rsidR="004A0CC2">
        <w:t>iews</w:t>
      </w:r>
      <w:r w:rsidR="004A0CC2" w:rsidRPr="00651D3F">
        <w:t xml:space="preserve"> in </w:t>
      </w:r>
      <w:r w:rsidR="000536D1">
        <w:br/>
      </w:r>
      <w:r w:rsidR="00E679D0">
        <w:t>this submission</w:t>
      </w:r>
      <w:r w:rsidR="004A0CC2">
        <w:t xml:space="preserve">. </w:t>
      </w:r>
    </w:p>
    <w:p w14:paraId="67CAA487" w14:textId="263CFC2B" w:rsidR="004A0CC2" w:rsidRDefault="004A0CC2" w:rsidP="004A0CC2">
      <w:r>
        <w:t>In Phase 5</w:t>
      </w:r>
      <w:r w:rsidR="00034B42">
        <w:t>,</w:t>
      </w:r>
      <w:r>
        <w:t xml:space="preserve"> we </w:t>
      </w:r>
      <w:r w:rsidR="00612583">
        <w:t>‘</w:t>
      </w:r>
      <w:r>
        <w:t>closed the loop</w:t>
      </w:r>
      <w:r w:rsidR="00612583">
        <w:t>’</w:t>
      </w:r>
      <w:r>
        <w:t xml:space="preserve"> with the community panel by testing proposed key elements of the pric</w:t>
      </w:r>
      <w:r w:rsidR="00A6469E">
        <w:t>e</w:t>
      </w:r>
      <w:r>
        <w:t xml:space="preserve"> submission that had been aligned to their recommendations. </w:t>
      </w:r>
      <w:r w:rsidR="00C90F49">
        <w:t xml:space="preserve">We also </w:t>
      </w:r>
      <w:r w:rsidR="00DC1E69">
        <w:t xml:space="preserve">circled back with </w:t>
      </w:r>
      <w:r w:rsidR="00B04B04">
        <w:t>stakeholders</w:t>
      </w:r>
      <w:r w:rsidR="00C9007F">
        <w:t xml:space="preserve"> who had provided input</w:t>
      </w:r>
      <w:r w:rsidR="00B026B4">
        <w:t xml:space="preserve"> to let them know how their </w:t>
      </w:r>
      <w:r w:rsidR="00495B5C">
        <w:t xml:space="preserve">input had helped </w:t>
      </w:r>
      <w:r w:rsidR="0077124B">
        <w:t xml:space="preserve">shape our </w:t>
      </w:r>
      <w:r w:rsidR="0029520A">
        <w:t xml:space="preserve">submission. </w:t>
      </w:r>
    </w:p>
    <w:p w14:paraId="6416BA6A" w14:textId="794836A7" w:rsidR="004A0CC2" w:rsidRDefault="004A0CC2" w:rsidP="004A0CC2">
      <w:r w:rsidRPr="00DA72F9">
        <w:t>The engagement was comprehensive</w:t>
      </w:r>
      <w:r>
        <w:t xml:space="preserve"> </w:t>
      </w:r>
      <w:r w:rsidR="00CC1470">
        <w:br/>
      </w:r>
      <w:r>
        <w:t>and inclusive</w:t>
      </w:r>
      <w:r w:rsidRPr="00DA72F9">
        <w:t xml:space="preserve">, encompassing all elements of our customer base, our broader community and key stakeholders. </w:t>
      </w:r>
      <w:r w:rsidR="00CC1470">
        <w:br/>
      </w:r>
      <w:r w:rsidRPr="00DA72F9">
        <w:t>It specifically engaged customers and communities experiencing vulnerability and First Nations people, engaging these groups on their terms</w:t>
      </w:r>
      <w:r>
        <w:t>.</w:t>
      </w:r>
      <w:r w:rsidR="00744BBE">
        <w:t xml:space="preserve"> </w:t>
      </w:r>
      <w:r w:rsidR="00540002">
        <w:t>The work with the community panel</w:t>
      </w:r>
      <w:r w:rsidR="00744BBE" w:rsidRPr="00744BBE">
        <w:t xml:space="preserve"> positions the engagement process at the </w:t>
      </w:r>
      <w:r w:rsidR="00612583">
        <w:t>‘</w:t>
      </w:r>
      <w:r w:rsidR="00744BBE" w:rsidRPr="00744BBE">
        <w:t>Collaborate</w:t>
      </w:r>
      <w:r w:rsidR="00612583">
        <w:t>’</w:t>
      </w:r>
      <w:r w:rsidR="00744BBE" w:rsidRPr="00744BBE">
        <w:t xml:space="preserve"> and </w:t>
      </w:r>
      <w:r w:rsidR="00612583">
        <w:t>‘</w:t>
      </w:r>
      <w:r w:rsidR="00744BBE" w:rsidRPr="00744BBE">
        <w:t>Empower</w:t>
      </w:r>
      <w:r w:rsidR="00612583">
        <w:t>’</w:t>
      </w:r>
      <w:r w:rsidR="00744BBE" w:rsidRPr="00744BBE">
        <w:t xml:space="preserve"> end of the IAP2 engagement spectrum.</w:t>
      </w:r>
    </w:p>
    <w:p w14:paraId="2D9A0425" w14:textId="089DC607" w:rsidR="00844056" w:rsidRDefault="00844056" w:rsidP="004A0CC2"/>
    <w:p w14:paraId="56FA5983" w14:textId="2FD01152" w:rsidR="003B1811" w:rsidRDefault="003B280F" w:rsidP="002A3AB1">
      <w:pPr>
        <w:pStyle w:val="Heading4"/>
      </w:pPr>
      <w:r>
        <w:lastRenderedPageBreak/>
        <w:t>We have</w:t>
      </w:r>
      <w:r w:rsidR="002A3AB1">
        <w:t xml:space="preserve"> delivered</w:t>
      </w:r>
      <w:r w:rsidR="00783717">
        <w:t xml:space="preserve"> outcomes </w:t>
      </w:r>
      <w:r w:rsidR="001A6AF2">
        <w:br/>
      </w:r>
      <w:r w:rsidR="00783717">
        <w:t xml:space="preserve">to a high standard </w:t>
      </w:r>
    </w:p>
    <w:p w14:paraId="45B02D7C" w14:textId="43B93817" w:rsidR="00B555E8" w:rsidRDefault="004A0CC2" w:rsidP="00F31363">
      <w:r w:rsidRPr="00F27395">
        <w:t>We have delivered customer outcomes to a high standard</w:t>
      </w:r>
      <w:r w:rsidR="00333A59">
        <w:t xml:space="preserve"> in the current regulatory period</w:t>
      </w:r>
      <w:r w:rsidR="009B5738">
        <w:t xml:space="preserve">. </w:t>
      </w:r>
      <w:r w:rsidR="00B555E8">
        <w:t>Of the 18 targets delivered in each of the 4 years</w:t>
      </w:r>
      <w:r w:rsidR="004D3FA2">
        <w:t xml:space="preserve"> of the regulatory period to date</w:t>
      </w:r>
      <w:r w:rsidR="00B555E8">
        <w:t xml:space="preserve">, we have met the target or been within the </w:t>
      </w:r>
      <w:r w:rsidR="00B555E8" w:rsidRPr="00BF18BB">
        <w:t xml:space="preserve">tolerance band 93% of the time, only missing </w:t>
      </w:r>
      <w:r w:rsidR="00333A59" w:rsidRPr="00BF18BB">
        <w:t>a</w:t>
      </w:r>
      <w:r w:rsidR="00B555E8" w:rsidRPr="00BF18BB">
        <w:t xml:space="preserve"> target on </w:t>
      </w:r>
      <w:r w:rsidR="00E5129E" w:rsidRPr="00BF18BB">
        <w:t>5</w:t>
      </w:r>
      <w:r w:rsidR="00B555E8" w:rsidRPr="00BF18BB">
        <w:t xml:space="preserve"> occasions.</w:t>
      </w:r>
      <w:r w:rsidR="00FA7428" w:rsidRPr="00BF18BB">
        <w:t xml:space="preserve"> </w:t>
      </w:r>
      <w:r w:rsidR="00CC1470" w:rsidRPr="00BF18BB">
        <w:br/>
      </w:r>
      <w:r w:rsidR="00FA7428" w:rsidRPr="00BF18BB">
        <w:t xml:space="preserve">The few instances where the target or tolerance band was not met did not represent major </w:t>
      </w:r>
      <w:r w:rsidR="000B28B6" w:rsidRPr="00BF18BB">
        <w:t>departures and</w:t>
      </w:r>
      <w:r w:rsidR="00FA7428" w:rsidRPr="00BF18BB">
        <w:t xml:space="preserve"> were generally due to </w:t>
      </w:r>
      <w:r w:rsidR="00635A04" w:rsidRPr="00BF18BB">
        <w:t xml:space="preserve">either setting a </w:t>
      </w:r>
      <w:r w:rsidR="00FA7428" w:rsidRPr="00BF18BB">
        <w:t>stretch</w:t>
      </w:r>
      <w:r w:rsidR="00635A04" w:rsidRPr="00BF18BB">
        <w:t>ed</w:t>
      </w:r>
      <w:r w:rsidR="00FA7428" w:rsidRPr="00BF18BB">
        <w:t xml:space="preserve"> target or external events</w:t>
      </w:r>
      <w:r w:rsidR="007428BA" w:rsidRPr="00BF18BB">
        <w:t xml:space="preserve"> including</w:t>
      </w:r>
      <w:r w:rsidR="007428BA">
        <w:t xml:space="preserve"> the impact of </w:t>
      </w:r>
      <w:r w:rsidR="00D250D9">
        <w:t>coronavirus (</w:t>
      </w:r>
      <w:r w:rsidR="004C750A" w:rsidRPr="00722ED0">
        <w:t>COVID-19</w:t>
      </w:r>
      <w:r w:rsidR="00D250D9">
        <w:t>)</w:t>
      </w:r>
      <w:r w:rsidR="00FA7428" w:rsidRPr="00853786">
        <w:t>.</w:t>
      </w:r>
    </w:p>
    <w:p w14:paraId="4C966776" w14:textId="7EFD98E7" w:rsidR="004A0CC2" w:rsidRDefault="004A0CC2" w:rsidP="004A0CC2">
      <w:r>
        <w:t xml:space="preserve">This performance is reflected in high levels of customer satisfaction. </w:t>
      </w:r>
      <w:r w:rsidR="00C86408">
        <w:t>In 2021</w:t>
      </w:r>
      <w:r w:rsidR="007D4EB3">
        <w:t>–</w:t>
      </w:r>
      <w:r w:rsidR="00C86408">
        <w:t xml:space="preserve">22 </w:t>
      </w:r>
      <w:r w:rsidR="00C9437F">
        <w:t>South East Water ha</w:t>
      </w:r>
      <w:r w:rsidR="00664131">
        <w:t>d</w:t>
      </w:r>
      <w:r w:rsidR="00C9437F">
        <w:t xml:space="preserve"> the highest overall customer satisfaction rating among the Victoria</w:t>
      </w:r>
      <w:r w:rsidR="003155CD">
        <w:t>n</w:t>
      </w:r>
      <w:r w:rsidR="00C9437F">
        <w:t xml:space="preserve"> businesses (as reported by the ESC)</w:t>
      </w:r>
      <w:r>
        <w:t xml:space="preserve"> and receive</w:t>
      </w:r>
      <w:r w:rsidR="00635A04">
        <w:t>d</w:t>
      </w:r>
      <w:r>
        <w:t xml:space="preserve"> high satisfaction ratings in our own </w:t>
      </w:r>
      <w:r w:rsidR="003710B2">
        <w:t>customer sentiment</w:t>
      </w:r>
      <w:r>
        <w:t xml:space="preserve"> surveys.</w:t>
      </w:r>
    </w:p>
    <w:p w14:paraId="2C9BCE7A" w14:textId="77777777" w:rsidR="00D11C2D" w:rsidRDefault="00D11C2D" w:rsidP="004A0CC2"/>
    <w:p w14:paraId="5C2EBCEE" w14:textId="77777777" w:rsidR="00D11C2D" w:rsidRDefault="00D11C2D" w:rsidP="004A0CC2"/>
    <w:p w14:paraId="35451BE3" w14:textId="77777777" w:rsidR="00D11C2D" w:rsidRDefault="00D11C2D" w:rsidP="00D11C2D">
      <w:pPr>
        <w:pStyle w:val="Heading4"/>
      </w:pPr>
      <w:r>
        <w:t>We have agreed to keep delivering our 5 core outcomes but have refreshed our output measures and targets</w:t>
      </w:r>
    </w:p>
    <w:p w14:paraId="410BF98D" w14:textId="62B6231B" w:rsidR="004A0CC2" w:rsidRDefault="004C750A" w:rsidP="004A0CC2">
      <w:r>
        <w:t xml:space="preserve">The </w:t>
      </w:r>
      <w:r w:rsidR="004A0CC2" w:rsidRPr="00A777AA">
        <w:t>2023</w:t>
      </w:r>
      <w:r w:rsidR="007D4EB3" w:rsidRPr="00A777AA">
        <w:t>–</w:t>
      </w:r>
      <w:r w:rsidR="004A0CC2" w:rsidRPr="00A777AA">
        <w:t xml:space="preserve">28 </w:t>
      </w:r>
      <w:r w:rsidR="00487CE8" w:rsidRPr="00A777AA">
        <w:t>P</w:t>
      </w:r>
      <w:r w:rsidR="004A0CC2" w:rsidRPr="00A777AA">
        <w:t>ric</w:t>
      </w:r>
      <w:r w:rsidR="004F7AC2" w:rsidRPr="00A777AA">
        <w:t>e</w:t>
      </w:r>
      <w:r w:rsidR="004A0CC2" w:rsidRPr="00A777AA">
        <w:t xml:space="preserve"> </w:t>
      </w:r>
      <w:r w:rsidR="00487CE8" w:rsidRPr="00A777AA">
        <w:t>S</w:t>
      </w:r>
      <w:r w:rsidR="004A0CC2" w:rsidRPr="00A777AA">
        <w:t>ubmission</w:t>
      </w:r>
      <w:r w:rsidR="004A0CC2">
        <w:t xml:space="preserve"> is designed to deliver on </w:t>
      </w:r>
      <w:r w:rsidR="0052682A">
        <w:t>our</w:t>
      </w:r>
      <w:r w:rsidR="004A0CC2">
        <w:t xml:space="preserve"> </w:t>
      </w:r>
      <w:r w:rsidR="009D1374">
        <w:t xml:space="preserve">5 </w:t>
      </w:r>
      <w:r w:rsidR="004A0CC2">
        <w:t xml:space="preserve">customer outcomes that have </w:t>
      </w:r>
      <w:r w:rsidR="004A0CC2" w:rsidRPr="00592BD6">
        <w:t>been reaffirmed by customers</w:t>
      </w:r>
      <w:r w:rsidR="004A0CC2">
        <w:t xml:space="preserve"> as the outcomes they most value. The associated outputs and targets have been updated to align them to </w:t>
      </w:r>
      <w:r w:rsidR="004A0CC2" w:rsidRPr="007643B7">
        <w:t xml:space="preserve">service levels and priorities </w:t>
      </w:r>
      <w:r w:rsidR="004A0CC2">
        <w:t>(and supporting</w:t>
      </w:r>
      <w:r w:rsidR="004A0CC2" w:rsidRPr="007643B7">
        <w:t xml:space="preserve"> investments</w:t>
      </w:r>
      <w:r w:rsidR="004A0CC2">
        <w:t xml:space="preserve">) agreed </w:t>
      </w:r>
      <w:r w:rsidR="004A0CC2" w:rsidRPr="007643B7">
        <w:t>for the 2023</w:t>
      </w:r>
      <w:r w:rsidR="007D4EB3">
        <w:t>–</w:t>
      </w:r>
      <w:r w:rsidR="004A0CC2" w:rsidRPr="007643B7">
        <w:t>28 period</w:t>
      </w:r>
      <w:r w:rsidR="004A0CC2">
        <w:t xml:space="preserve">, particularly those arising from the community panel deliberation process. </w:t>
      </w:r>
      <w:r w:rsidR="004A0CC2" w:rsidRPr="00E515C3">
        <w:t xml:space="preserve">For example, our proposed digital utility investments (including digital metering) will improve our visibility of the network and identification of defects at </w:t>
      </w:r>
      <w:r w:rsidR="00562B16">
        <w:br/>
      </w:r>
      <w:r w:rsidR="004A0CC2" w:rsidRPr="00E515C3">
        <w:t>an earlier stage</w:t>
      </w:r>
      <w:r w:rsidR="00BC775A">
        <w:t>.</w:t>
      </w:r>
    </w:p>
    <w:p w14:paraId="51F05201" w14:textId="0389891A" w:rsidR="006416F2" w:rsidRDefault="006416F2" w:rsidP="00CB0971">
      <w:pPr>
        <w:spacing w:after="240"/>
      </w:pPr>
      <w:r>
        <w:t xml:space="preserve">In addition to </w:t>
      </w:r>
      <w:r w:rsidR="00906DC4">
        <w:t xml:space="preserve">delivering on the agreed outcomes, South East Water is committed to managing price impacts for our customers and maintaining </w:t>
      </w:r>
      <w:r w:rsidR="0032303A">
        <w:t>affordable services</w:t>
      </w:r>
      <w:r w:rsidR="0031749D">
        <w:t xml:space="preserve">. As a result, we are adopting a return on equity </w:t>
      </w:r>
      <w:r w:rsidR="003C2E9E">
        <w:t xml:space="preserve">level </w:t>
      </w:r>
      <w:r w:rsidR="00C5649A">
        <w:t>(of 4.1%)</w:t>
      </w:r>
      <w:r w:rsidR="003C2E9E">
        <w:t xml:space="preserve"> that </w:t>
      </w:r>
      <w:r w:rsidR="008D7095">
        <w:t>can support this</w:t>
      </w:r>
      <w:r w:rsidR="00795669">
        <w:t xml:space="preserve">. This will ensure that we can deliver the outcomes that customers value and </w:t>
      </w:r>
      <w:r w:rsidR="00F24387">
        <w:t xml:space="preserve">undertake the necessary investments for this to occur, while </w:t>
      </w:r>
      <w:r w:rsidR="00EA5DE5">
        <w:t>addressing the cost pressures that our customers are facing on many fronts.</w:t>
      </w:r>
      <w:r w:rsidR="0031749D">
        <w:t xml:space="preserve"> </w:t>
      </w:r>
    </w:p>
    <w:p w14:paraId="33AAFEAA" w14:textId="77777777" w:rsidR="00844056" w:rsidRDefault="00844056" w:rsidP="00CB0971">
      <w:pPr>
        <w:spacing w:after="240"/>
        <w:rPr>
          <w:b/>
          <w:bCs/>
          <w:i/>
          <w:iCs/>
          <w:sz w:val="22"/>
          <w:szCs w:val="22"/>
        </w:rPr>
        <w:sectPr w:rsidR="00844056" w:rsidSect="0020365D">
          <w:type w:val="continuous"/>
          <w:pgSz w:w="11906" w:h="16838"/>
          <w:pgMar w:top="1134" w:right="1440" w:bottom="1440" w:left="873" w:header="992" w:footer="204" w:gutter="0"/>
          <w:cols w:num="2" w:space="567"/>
          <w:docGrid w:linePitch="360"/>
        </w:sectPr>
      </w:pPr>
    </w:p>
    <w:p w14:paraId="745D1A9C" w14:textId="77777777" w:rsidR="0020365D" w:rsidRDefault="0020365D" w:rsidP="00360131">
      <w:pPr>
        <w:rPr>
          <w:b/>
          <w:bCs/>
          <w:i/>
          <w:iCs/>
          <w:sz w:val="22"/>
          <w:szCs w:val="22"/>
        </w:rPr>
      </w:pPr>
    </w:p>
    <w:p w14:paraId="5E38754E" w14:textId="77777777" w:rsidR="0020365D" w:rsidRDefault="0020365D" w:rsidP="00360131">
      <w:pPr>
        <w:rPr>
          <w:b/>
          <w:bCs/>
          <w:i/>
          <w:iCs/>
          <w:sz w:val="22"/>
          <w:szCs w:val="22"/>
        </w:rPr>
      </w:pPr>
    </w:p>
    <w:p w14:paraId="0E170D87" w14:textId="77777777" w:rsidR="0020365D" w:rsidRDefault="0020365D" w:rsidP="00360131">
      <w:pPr>
        <w:rPr>
          <w:b/>
          <w:bCs/>
          <w:i/>
          <w:iCs/>
          <w:sz w:val="22"/>
          <w:szCs w:val="22"/>
        </w:rPr>
      </w:pPr>
    </w:p>
    <w:p w14:paraId="2211BFFF" w14:textId="77777777" w:rsidR="0020365D" w:rsidRDefault="0020365D" w:rsidP="00360131">
      <w:pPr>
        <w:rPr>
          <w:b/>
          <w:bCs/>
          <w:i/>
          <w:iCs/>
          <w:sz w:val="22"/>
          <w:szCs w:val="22"/>
        </w:rPr>
      </w:pPr>
    </w:p>
    <w:p w14:paraId="6B2C0A6E" w14:textId="77777777" w:rsidR="0020365D" w:rsidRDefault="0020365D" w:rsidP="00360131">
      <w:pPr>
        <w:rPr>
          <w:b/>
          <w:bCs/>
          <w:i/>
          <w:iCs/>
          <w:sz w:val="22"/>
          <w:szCs w:val="22"/>
        </w:rPr>
      </w:pPr>
    </w:p>
    <w:p w14:paraId="732CEE2E" w14:textId="77777777" w:rsidR="0020365D" w:rsidRDefault="0020365D" w:rsidP="00360131">
      <w:pPr>
        <w:rPr>
          <w:b/>
          <w:bCs/>
          <w:i/>
          <w:iCs/>
          <w:sz w:val="22"/>
          <w:szCs w:val="22"/>
        </w:rPr>
      </w:pPr>
    </w:p>
    <w:p w14:paraId="0D6A60EF" w14:textId="77777777" w:rsidR="0020365D" w:rsidRDefault="0020365D" w:rsidP="00360131">
      <w:pPr>
        <w:rPr>
          <w:b/>
          <w:bCs/>
          <w:i/>
          <w:iCs/>
          <w:sz w:val="22"/>
          <w:szCs w:val="22"/>
        </w:rPr>
      </w:pPr>
    </w:p>
    <w:p w14:paraId="609BD0CF" w14:textId="77777777" w:rsidR="0020365D" w:rsidRDefault="0020365D" w:rsidP="00360131">
      <w:pPr>
        <w:rPr>
          <w:b/>
          <w:bCs/>
          <w:i/>
          <w:iCs/>
          <w:sz w:val="22"/>
          <w:szCs w:val="22"/>
        </w:rPr>
      </w:pPr>
    </w:p>
    <w:p w14:paraId="0FBC8748" w14:textId="77777777" w:rsidR="0020365D" w:rsidRDefault="0020365D" w:rsidP="00360131">
      <w:pPr>
        <w:rPr>
          <w:b/>
          <w:bCs/>
          <w:i/>
          <w:iCs/>
          <w:sz w:val="22"/>
          <w:szCs w:val="22"/>
        </w:rPr>
      </w:pPr>
    </w:p>
    <w:p w14:paraId="35900222" w14:textId="77777777" w:rsidR="0020365D" w:rsidRDefault="0020365D" w:rsidP="00360131">
      <w:pPr>
        <w:rPr>
          <w:b/>
          <w:bCs/>
          <w:i/>
          <w:iCs/>
          <w:sz w:val="22"/>
          <w:szCs w:val="22"/>
        </w:rPr>
      </w:pPr>
    </w:p>
    <w:p w14:paraId="76981669" w14:textId="77777777" w:rsidR="0020365D" w:rsidRDefault="0020365D" w:rsidP="00360131">
      <w:pPr>
        <w:rPr>
          <w:b/>
          <w:bCs/>
          <w:i/>
          <w:iCs/>
          <w:sz w:val="22"/>
          <w:szCs w:val="22"/>
        </w:rPr>
      </w:pPr>
    </w:p>
    <w:p w14:paraId="0875B5F2" w14:textId="77777777" w:rsidR="0020365D" w:rsidRDefault="0020365D" w:rsidP="00360131">
      <w:pPr>
        <w:rPr>
          <w:b/>
          <w:bCs/>
          <w:i/>
          <w:iCs/>
          <w:sz w:val="22"/>
          <w:szCs w:val="22"/>
        </w:rPr>
      </w:pPr>
    </w:p>
    <w:p w14:paraId="5511D7B7" w14:textId="77777777" w:rsidR="0020365D" w:rsidRDefault="0020365D" w:rsidP="00360131">
      <w:pPr>
        <w:rPr>
          <w:b/>
          <w:bCs/>
          <w:i/>
          <w:iCs/>
          <w:sz w:val="22"/>
          <w:szCs w:val="22"/>
        </w:rPr>
      </w:pPr>
    </w:p>
    <w:p w14:paraId="69BA0664" w14:textId="77777777" w:rsidR="00032853" w:rsidRDefault="00032853" w:rsidP="00360131">
      <w:pPr>
        <w:rPr>
          <w:b/>
          <w:bCs/>
          <w:i/>
          <w:iCs/>
          <w:sz w:val="22"/>
          <w:szCs w:val="22"/>
        </w:rPr>
      </w:pPr>
    </w:p>
    <w:p w14:paraId="56E909C6" w14:textId="77777777" w:rsidR="0020365D" w:rsidRDefault="0020365D" w:rsidP="00360131">
      <w:pPr>
        <w:rPr>
          <w:b/>
          <w:bCs/>
          <w:i/>
          <w:iCs/>
          <w:sz w:val="22"/>
          <w:szCs w:val="22"/>
        </w:rPr>
      </w:pPr>
    </w:p>
    <w:p w14:paraId="7DBE8E3C" w14:textId="5A5E035C" w:rsidR="00CE6C4E" w:rsidRDefault="00CE6C4E" w:rsidP="00CE6C4E">
      <w:pPr>
        <w:rPr>
          <w:b/>
          <w:bCs/>
          <w:i/>
          <w:iCs/>
          <w:sz w:val="22"/>
          <w:szCs w:val="22"/>
        </w:rPr>
      </w:pPr>
      <w:r w:rsidRPr="00CE6C4E">
        <w:rPr>
          <w:b/>
          <w:bCs/>
          <w:i/>
          <w:iCs/>
          <w:sz w:val="22"/>
          <w:szCs w:val="22"/>
        </w:rPr>
        <w:lastRenderedPageBreak/>
        <w:t xml:space="preserve">Table </w:t>
      </w:r>
      <w:r w:rsidRPr="00CE6C4E">
        <w:rPr>
          <w:b/>
          <w:bCs/>
          <w:i/>
          <w:iCs/>
          <w:sz w:val="22"/>
          <w:szCs w:val="22"/>
        </w:rPr>
        <w:fldChar w:fldCharType="begin"/>
      </w:r>
      <w:r w:rsidRPr="00CE6C4E">
        <w:rPr>
          <w:b/>
          <w:bCs/>
          <w:i/>
          <w:iCs/>
          <w:sz w:val="22"/>
          <w:szCs w:val="22"/>
        </w:rPr>
        <w:instrText>SEQ Table \* ARABIC</w:instrText>
      </w:r>
      <w:r w:rsidRPr="00CE6C4E">
        <w:rPr>
          <w:b/>
          <w:bCs/>
          <w:i/>
          <w:iCs/>
          <w:sz w:val="22"/>
          <w:szCs w:val="22"/>
        </w:rPr>
        <w:fldChar w:fldCharType="separate"/>
      </w:r>
      <w:r w:rsidRPr="00CE6C4E">
        <w:rPr>
          <w:b/>
          <w:bCs/>
          <w:i/>
          <w:iCs/>
          <w:sz w:val="22"/>
          <w:szCs w:val="22"/>
        </w:rPr>
        <w:t>1</w:t>
      </w:r>
      <w:r w:rsidRPr="00CE6C4E">
        <w:rPr>
          <w:b/>
          <w:bCs/>
          <w:i/>
          <w:iCs/>
          <w:sz w:val="22"/>
          <w:szCs w:val="22"/>
        </w:rPr>
        <w:fldChar w:fldCharType="end"/>
      </w:r>
      <w:r w:rsidRPr="00CE6C4E">
        <w:rPr>
          <w:b/>
          <w:bCs/>
          <w:i/>
          <w:iCs/>
          <w:sz w:val="22"/>
          <w:szCs w:val="22"/>
        </w:rPr>
        <w:t xml:space="preserve">: </w:t>
      </w:r>
      <w:r w:rsidRPr="00C6243A">
        <w:rPr>
          <w:b/>
          <w:bCs/>
          <w:i/>
          <w:iCs/>
          <w:sz w:val="22"/>
          <w:szCs w:val="22"/>
        </w:rPr>
        <w:t>Our refreshed output measures and targets</w:t>
      </w:r>
    </w:p>
    <w:tbl>
      <w:tblPr>
        <w:tblStyle w:val="MJTableStyle1default"/>
        <w:tblW w:w="9474" w:type="dxa"/>
        <w:tblInd w:w="-5" w:type="dxa"/>
        <w:tblBorders>
          <w:top w:val="single" w:sz="2" w:space="0" w:color="002279"/>
          <w:left w:val="single" w:sz="2" w:space="0" w:color="002279"/>
          <w:bottom w:val="single" w:sz="2" w:space="0" w:color="002279"/>
          <w:right w:val="single" w:sz="2" w:space="0" w:color="002279"/>
          <w:insideH w:val="single" w:sz="2" w:space="0" w:color="002279"/>
          <w:insideV w:val="single" w:sz="2" w:space="0" w:color="002279"/>
        </w:tblBorders>
        <w:tblLayout w:type="fixed"/>
        <w:tblCellMar>
          <w:top w:w="85" w:type="dxa"/>
          <w:left w:w="85" w:type="dxa"/>
          <w:bottom w:w="85" w:type="dxa"/>
          <w:right w:w="85" w:type="dxa"/>
        </w:tblCellMar>
        <w:tblLook w:val="04A0" w:firstRow="1" w:lastRow="0" w:firstColumn="1" w:lastColumn="0" w:noHBand="0" w:noVBand="1"/>
      </w:tblPr>
      <w:tblGrid>
        <w:gridCol w:w="3971"/>
        <w:gridCol w:w="2127"/>
        <w:gridCol w:w="1701"/>
        <w:gridCol w:w="1675"/>
      </w:tblGrid>
      <w:tr w:rsidR="003B74C9" w:rsidRPr="000B5526" w14:paraId="1A5591FF" w14:textId="77777777" w:rsidTr="00E73D07">
        <w:trPr>
          <w:cnfStyle w:val="100000000000" w:firstRow="1" w:lastRow="0" w:firstColumn="0" w:lastColumn="0" w:oddVBand="0" w:evenVBand="0" w:oddHBand="0" w:evenHBand="0" w:firstRowFirstColumn="0" w:firstRowLastColumn="0" w:lastRowFirstColumn="0" w:lastRowLastColumn="0"/>
          <w:trHeight w:val="318"/>
        </w:trPr>
        <w:tc>
          <w:tcPr>
            <w:tcW w:w="3971" w:type="dxa"/>
            <w:tcBorders>
              <w:right w:val="single" w:sz="4" w:space="0" w:color="FFFFFF" w:themeColor="background1"/>
            </w:tcBorders>
            <w:shd w:val="clear" w:color="auto" w:fill="002279"/>
            <w:vAlign w:val="center"/>
            <w:hideMark/>
          </w:tcPr>
          <w:p w14:paraId="55EB44F3" w14:textId="77777777" w:rsidR="00FD64D3" w:rsidRPr="00F77C1C" w:rsidRDefault="00FD64D3" w:rsidP="00116E55">
            <w:pPr>
              <w:pStyle w:val="Heading4"/>
              <w:spacing w:before="0" w:after="0"/>
              <w:outlineLvl w:val="3"/>
            </w:pPr>
            <w:r w:rsidRPr="00116E55">
              <w:rPr>
                <w:color w:val="FFFFFF" w:themeColor="background1"/>
              </w:rPr>
              <w:t>Output measures</w:t>
            </w:r>
          </w:p>
        </w:tc>
        <w:tc>
          <w:tcPr>
            <w:tcW w:w="2127" w:type="dxa"/>
            <w:tcBorders>
              <w:left w:val="single" w:sz="4" w:space="0" w:color="FFFFFF" w:themeColor="background1"/>
              <w:right w:val="single" w:sz="4" w:space="0" w:color="FFFFFF" w:themeColor="background1"/>
            </w:tcBorders>
            <w:shd w:val="clear" w:color="auto" w:fill="002279"/>
            <w:vAlign w:val="center"/>
            <w:hideMark/>
          </w:tcPr>
          <w:p w14:paraId="3DC10322" w14:textId="5E4F9D69" w:rsidR="00FD64D3" w:rsidRPr="00F77C1C" w:rsidRDefault="00FD64D3" w:rsidP="00360131">
            <w:pPr>
              <w:pStyle w:val="Heading4"/>
              <w:spacing w:before="0" w:after="0"/>
              <w:jc w:val="center"/>
              <w:outlineLvl w:val="3"/>
            </w:pPr>
            <w:r w:rsidRPr="00116E55">
              <w:rPr>
                <w:color w:val="FFFFFF" w:themeColor="background1"/>
              </w:rPr>
              <w:t>2021</w:t>
            </w:r>
            <w:r w:rsidR="007D4EB3" w:rsidRPr="00116E55">
              <w:rPr>
                <w:color w:val="FFFFFF" w:themeColor="background1"/>
              </w:rPr>
              <w:t>–</w:t>
            </w:r>
            <w:r w:rsidRPr="00116E55">
              <w:rPr>
                <w:color w:val="FFFFFF" w:themeColor="background1"/>
              </w:rPr>
              <w:t>22</w:t>
            </w:r>
            <w:r w:rsidRPr="00116E55">
              <w:rPr>
                <w:color w:val="FFFFFF" w:themeColor="background1"/>
              </w:rPr>
              <w:br/>
              <w:t>result</w:t>
            </w:r>
          </w:p>
        </w:tc>
        <w:tc>
          <w:tcPr>
            <w:tcW w:w="1701" w:type="dxa"/>
            <w:tcBorders>
              <w:left w:val="single" w:sz="4" w:space="0" w:color="FFFFFF" w:themeColor="background1"/>
              <w:right w:val="single" w:sz="4" w:space="0" w:color="FFFFFF" w:themeColor="background1"/>
            </w:tcBorders>
            <w:shd w:val="clear" w:color="auto" w:fill="002279"/>
            <w:vAlign w:val="center"/>
            <w:hideMark/>
          </w:tcPr>
          <w:p w14:paraId="30A1F590" w14:textId="77777777" w:rsidR="00FD64D3" w:rsidRPr="00F77C1C" w:rsidRDefault="00FD64D3" w:rsidP="00360131">
            <w:pPr>
              <w:pStyle w:val="Heading4"/>
              <w:spacing w:before="0" w:after="0"/>
              <w:jc w:val="center"/>
              <w:outlineLvl w:val="3"/>
            </w:pPr>
            <w:r w:rsidRPr="00116E55">
              <w:rPr>
                <w:color w:val="FFFFFF" w:themeColor="background1"/>
              </w:rPr>
              <w:t>5-year average</w:t>
            </w:r>
          </w:p>
        </w:tc>
        <w:tc>
          <w:tcPr>
            <w:tcW w:w="1675" w:type="dxa"/>
            <w:tcBorders>
              <w:left w:val="single" w:sz="4" w:space="0" w:color="FFFFFF" w:themeColor="background1"/>
            </w:tcBorders>
            <w:shd w:val="clear" w:color="auto" w:fill="002279"/>
            <w:vAlign w:val="center"/>
            <w:hideMark/>
          </w:tcPr>
          <w:p w14:paraId="5056505B" w14:textId="2F56A787" w:rsidR="00FD64D3" w:rsidRPr="00F77C1C" w:rsidRDefault="00FD64D3" w:rsidP="00360131">
            <w:pPr>
              <w:pStyle w:val="Heading4"/>
              <w:spacing w:before="0" w:after="0"/>
              <w:jc w:val="center"/>
              <w:outlineLvl w:val="3"/>
            </w:pPr>
            <w:r w:rsidRPr="00116E55">
              <w:rPr>
                <w:color w:val="FFFFFF" w:themeColor="background1"/>
              </w:rPr>
              <w:t>2027</w:t>
            </w:r>
            <w:r w:rsidR="007D4EB3" w:rsidRPr="00116E55">
              <w:rPr>
                <w:color w:val="FFFFFF" w:themeColor="background1"/>
              </w:rPr>
              <w:t>–</w:t>
            </w:r>
            <w:r w:rsidRPr="00116E55">
              <w:rPr>
                <w:color w:val="FFFFFF" w:themeColor="background1"/>
              </w:rPr>
              <w:t xml:space="preserve">28 </w:t>
            </w:r>
            <w:r w:rsidRPr="00116E55">
              <w:rPr>
                <w:color w:val="FFFFFF" w:themeColor="background1"/>
              </w:rPr>
              <w:br/>
              <w:t>target</w:t>
            </w:r>
          </w:p>
        </w:tc>
      </w:tr>
      <w:tr w:rsidR="00AF4CBF" w:rsidRPr="000B5526" w14:paraId="14541C07" w14:textId="77777777" w:rsidTr="001D2BC8">
        <w:trPr>
          <w:cnfStyle w:val="000000100000" w:firstRow="0" w:lastRow="0" w:firstColumn="0" w:lastColumn="0" w:oddVBand="0" w:evenVBand="0" w:oddHBand="1" w:evenHBand="0" w:firstRowFirstColumn="0" w:firstRowLastColumn="0" w:lastRowFirstColumn="0" w:lastRowLastColumn="0"/>
          <w:trHeight w:val="23"/>
        </w:trPr>
        <w:tc>
          <w:tcPr>
            <w:tcW w:w="9474" w:type="dxa"/>
            <w:gridSpan w:val="4"/>
            <w:shd w:val="clear" w:color="auto" w:fill="D4D6DF"/>
            <w:vAlign w:val="center"/>
          </w:tcPr>
          <w:p w14:paraId="5FCE9C6E" w14:textId="77777777" w:rsidR="00FD64D3" w:rsidRPr="00A62088" w:rsidRDefault="00FD64D3" w:rsidP="00767CCE">
            <w:pPr>
              <w:rPr>
                <w:b/>
                <w:bCs/>
              </w:rPr>
            </w:pPr>
            <w:r w:rsidRPr="00A62088">
              <w:rPr>
                <w:b/>
                <w:bCs/>
              </w:rPr>
              <w:t xml:space="preserve">1. </w:t>
            </w:r>
            <w:r w:rsidRPr="00A62088">
              <w:rPr>
                <w:b/>
                <w:bCs/>
                <w:bdr w:val="single" w:sz="2" w:space="0" w:color="D4D6DF"/>
              </w:rPr>
              <w:t>Get the basics right, always</w:t>
            </w:r>
          </w:p>
        </w:tc>
      </w:tr>
      <w:tr w:rsidR="003B74C9" w:rsidRPr="000B5526" w14:paraId="10E2EEE2" w14:textId="77777777" w:rsidTr="00BF30CC">
        <w:trPr>
          <w:cnfStyle w:val="000000010000" w:firstRow="0" w:lastRow="0" w:firstColumn="0" w:lastColumn="0" w:oddVBand="0" w:evenVBand="0" w:oddHBand="0" w:evenHBand="1" w:firstRowFirstColumn="0" w:firstRowLastColumn="0" w:lastRowFirstColumn="0" w:lastRowLastColumn="0"/>
          <w:trHeight w:val="497"/>
        </w:trPr>
        <w:tc>
          <w:tcPr>
            <w:tcW w:w="3971" w:type="dxa"/>
            <w:shd w:val="clear" w:color="auto" w:fill="FFFFFF" w:themeFill="background1"/>
            <w:hideMark/>
          </w:tcPr>
          <w:p w14:paraId="79C3F9E1" w14:textId="77777777" w:rsidR="00FD64D3" w:rsidRPr="00A62088" w:rsidRDefault="00FD64D3" w:rsidP="00BF18BB">
            <w:r w:rsidRPr="00A62088">
              <w:t>Percentage compliance with drinking and recycled water standards</w:t>
            </w:r>
          </w:p>
        </w:tc>
        <w:tc>
          <w:tcPr>
            <w:tcW w:w="2127" w:type="dxa"/>
            <w:shd w:val="clear" w:color="auto" w:fill="FFFFFF" w:themeFill="background1"/>
            <w:noWrap/>
            <w:vAlign w:val="center"/>
            <w:hideMark/>
          </w:tcPr>
          <w:p w14:paraId="6E56158F" w14:textId="77777777" w:rsidR="00FD64D3" w:rsidRPr="00551501" w:rsidRDefault="00FD64D3" w:rsidP="00360131">
            <w:pPr>
              <w:jc w:val="center"/>
            </w:pPr>
            <w:r w:rsidRPr="00551501">
              <w:t>100%</w:t>
            </w:r>
          </w:p>
        </w:tc>
        <w:tc>
          <w:tcPr>
            <w:tcW w:w="1701" w:type="dxa"/>
            <w:shd w:val="clear" w:color="auto" w:fill="FFFFFF" w:themeFill="background1"/>
            <w:noWrap/>
            <w:vAlign w:val="center"/>
            <w:hideMark/>
          </w:tcPr>
          <w:p w14:paraId="778613A5" w14:textId="77777777" w:rsidR="00FD64D3" w:rsidRPr="00551501" w:rsidRDefault="00FD64D3" w:rsidP="00360131">
            <w:pPr>
              <w:jc w:val="center"/>
            </w:pPr>
            <w:r w:rsidRPr="00551501">
              <w:t>100%</w:t>
            </w:r>
          </w:p>
        </w:tc>
        <w:tc>
          <w:tcPr>
            <w:tcW w:w="1675" w:type="dxa"/>
            <w:shd w:val="clear" w:color="auto" w:fill="FFFFFF" w:themeFill="background1"/>
            <w:noWrap/>
            <w:vAlign w:val="center"/>
            <w:hideMark/>
          </w:tcPr>
          <w:p w14:paraId="6DAC9527" w14:textId="77777777" w:rsidR="00FD64D3" w:rsidRPr="00551501" w:rsidRDefault="00FD64D3" w:rsidP="00360131">
            <w:pPr>
              <w:jc w:val="center"/>
            </w:pPr>
            <w:r w:rsidRPr="00551501">
              <w:t>100%</w:t>
            </w:r>
          </w:p>
        </w:tc>
      </w:tr>
      <w:tr w:rsidR="003B74C9" w:rsidRPr="000B5526" w14:paraId="1771AA35" w14:textId="77777777" w:rsidTr="001A2D61">
        <w:trPr>
          <w:cnfStyle w:val="000000100000" w:firstRow="0" w:lastRow="0" w:firstColumn="0" w:lastColumn="0" w:oddVBand="0" w:evenVBand="0" w:oddHBand="1" w:evenHBand="0" w:firstRowFirstColumn="0" w:firstRowLastColumn="0" w:lastRowFirstColumn="0" w:lastRowLastColumn="0"/>
          <w:trHeight w:val="18"/>
        </w:trPr>
        <w:tc>
          <w:tcPr>
            <w:tcW w:w="3971" w:type="dxa"/>
            <w:shd w:val="clear" w:color="auto" w:fill="FFFFFF" w:themeFill="background1"/>
            <w:hideMark/>
          </w:tcPr>
          <w:p w14:paraId="6CF3155D" w14:textId="0E2CA47A" w:rsidR="00FD64D3" w:rsidRPr="00A62088" w:rsidRDefault="00FD64D3" w:rsidP="00BF18BB">
            <w:r w:rsidRPr="00A62088">
              <w:t xml:space="preserve">Customers experiencing more than 5 unplanned disruptions in a 12-month period (water, sewer </w:t>
            </w:r>
            <w:r w:rsidR="008D298F" w:rsidRPr="00A62088">
              <w:t>and</w:t>
            </w:r>
            <w:r w:rsidRPr="00A62088">
              <w:t xml:space="preserve"> water quality) </w:t>
            </w:r>
            <w:r w:rsidRPr="00FC09BC">
              <w:rPr>
                <w:sz w:val="24"/>
                <w:szCs w:val="24"/>
                <w:vertAlign w:val="superscript"/>
              </w:rPr>
              <w:t>(a)</w:t>
            </w:r>
          </w:p>
        </w:tc>
        <w:tc>
          <w:tcPr>
            <w:tcW w:w="2127" w:type="dxa"/>
            <w:shd w:val="clear" w:color="auto" w:fill="FFFFFF" w:themeFill="background1"/>
            <w:noWrap/>
            <w:vAlign w:val="center"/>
            <w:hideMark/>
          </w:tcPr>
          <w:p w14:paraId="448772A4" w14:textId="77777777" w:rsidR="00FD64D3" w:rsidRPr="00551501" w:rsidRDefault="00FD64D3" w:rsidP="00360131">
            <w:pPr>
              <w:jc w:val="center"/>
            </w:pPr>
            <w:r w:rsidRPr="00551501">
              <w:t>Redefined</w:t>
            </w:r>
          </w:p>
        </w:tc>
        <w:tc>
          <w:tcPr>
            <w:tcW w:w="1701" w:type="dxa"/>
            <w:shd w:val="clear" w:color="auto" w:fill="FFFFFF" w:themeFill="background1"/>
            <w:vAlign w:val="center"/>
            <w:hideMark/>
          </w:tcPr>
          <w:p w14:paraId="1B45E01D" w14:textId="77777777" w:rsidR="00FD64D3" w:rsidRPr="00551501" w:rsidRDefault="00FD64D3" w:rsidP="00360131">
            <w:pPr>
              <w:jc w:val="center"/>
            </w:pPr>
            <w:r w:rsidRPr="00551501">
              <w:t>N/A</w:t>
            </w:r>
          </w:p>
        </w:tc>
        <w:tc>
          <w:tcPr>
            <w:tcW w:w="1675" w:type="dxa"/>
            <w:shd w:val="clear" w:color="auto" w:fill="FFFFFF" w:themeFill="background1"/>
            <w:noWrap/>
            <w:vAlign w:val="center"/>
            <w:hideMark/>
          </w:tcPr>
          <w:p w14:paraId="62B3668A" w14:textId="77777777" w:rsidR="00FD64D3" w:rsidRPr="00551501" w:rsidRDefault="00FD64D3" w:rsidP="00360131">
            <w:pPr>
              <w:jc w:val="center"/>
            </w:pPr>
            <w:r w:rsidRPr="00551501">
              <w:t>450</w:t>
            </w:r>
          </w:p>
        </w:tc>
      </w:tr>
      <w:tr w:rsidR="003B74C9" w:rsidRPr="000B5526" w14:paraId="6E05A327" w14:textId="77777777" w:rsidTr="001A2D61">
        <w:trPr>
          <w:cnfStyle w:val="000000010000" w:firstRow="0" w:lastRow="0" w:firstColumn="0" w:lastColumn="0" w:oddVBand="0" w:evenVBand="0" w:oddHBand="0" w:evenHBand="1" w:firstRowFirstColumn="0" w:firstRowLastColumn="0" w:lastRowFirstColumn="0" w:lastRowLastColumn="0"/>
          <w:trHeight w:val="18"/>
        </w:trPr>
        <w:tc>
          <w:tcPr>
            <w:tcW w:w="3971" w:type="dxa"/>
            <w:shd w:val="clear" w:color="auto" w:fill="FFFFFF" w:themeFill="background1"/>
            <w:hideMark/>
          </w:tcPr>
          <w:p w14:paraId="7E9B6035" w14:textId="285147EC" w:rsidR="00FD64D3" w:rsidRPr="00A62088" w:rsidRDefault="00FD64D3" w:rsidP="00BF18BB">
            <w:r w:rsidRPr="00A62088">
              <w:t>Total volume of water saved through digital detection of network leaks (ML)</w:t>
            </w:r>
          </w:p>
        </w:tc>
        <w:tc>
          <w:tcPr>
            <w:tcW w:w="2127" w:type="dxa"/>
            <w:shd w:val="clear" w:color="auto" w:fill="FFFFFF" w:themeFill="background1"/>
            <w:vAlign w:val="center"/>
            <w:hideMark/>
          </w:tcPr>
          <w:p w14:paraId="29C6D0DC" w14:textId="77777777" w:rsidR="00FD64D3" w:rsidRPr="00551501" w:rsidRDefault="00FD64D3" w:rsidP="00360131">
            <w:pPr>
              <w:jc w:val="center"/>
            </w:pPr>
            <w:r w:rsidRPr="00551501">
              <w:t>New</w:t>
            </w:r>
          </w:p>
        </w:tc>
        <w:tc>
          <w:tcPr>
            <w:tcW w:w="1701" w:type="dxa"/>
            <w:shd w:val="clear" w:color="auto" w:fill="FFFFFF" w:themeFill="background1"/>
            <w:vAlign w:val="center"/>
            <w:hideMark/>
          </w:tcPr>
          <w:p w14:paraId="4B474849" w14:textId="77777777" w:rsidR="00FD64D3" w:rsidRPr="00551501" w:rsidRDefault="00FD64D3" w:rsidP="00360131">
            <w:pPr>
              <w:jc w:val="center"/>
            </w:pPr>
            <w:r w:rsidRPr="00551501">
              <w:t>N/A</w:t>
            </w:r>
          </w:p>
        </w:tc>
        <w:tc>
          <w:tcPr>
            <w:tcW w:w="1675" w:type="dxa"/>
            <w:shd w:val="clear" w:color="auto" w:fill="FFFFFF" w:themeFill="background1"/>
            <w:vAlign w:val="center"/>
            <w:hideMark/>
          </w:tcPr>
          <w:p w14:paraId="08ACF37C" w14:textId="53847114" w:rsidR="00FD64D3" w:rsidRPr="00551501" w:rsidRDefault="00FD64D3" w:rsidP="00360131">
            <w:pPr>
              <w:jc w:val="center"/>
            </w:pPr>
            <w:r w:rsidRPr="00551501">
              <w:t>1,</w:t>
            </w:r>
            <w:r w:rsidR="00E460A3">
              <w:t>271</w:t>
            </w:r>
          </w:p>
        </w:tc>
      </w:tr>
      <w:tr w:rsidR="00AF4CBF" w:rsidRPr="000B5526" w14:paraId="62328A70" w14:textId="77777777" w:rsidTr="001D2BC8">
        <w:trPr>
          <w:cnfStyle w:val="000000100000" w:firstRow="0" w:lastRow="0" w:firstColumn="0" w:lastColumn="0" w:oddVBand="0" w:evenVBand="0" w:oddHBand="1" w:evenHBand="0" w:firstRowFirstColumn="0" w:firstRowLastColumn="0" w:lastRowFirstColumn="0" w:lastRowLastColumn="0"/>
          <w:trHeight w:val="20"/>
        </w:trPr>
        <w:tc>
          <w:tcPr>
            <w:tcW w:w="9474" w:type="dxa"/>
            <w:gridSpan w:val="4"/>
            <w:shd w:val="clear" w:color="auto" w:fill="D4D6DF"/>
            <w:vAlign w:val="center"/>
          </w:tcPr>
          <w:p w14:paraId="6950F777" w14:textId="77777777" w:rsidR="00FD64D3" w:rsidRPr="00116E55" w:rsidRDefault="00FD64D3" w:rsidP="00767CCE">
            <w:pPr>
              <w:rPr>
                <w:b/>
                <w:bCs/>
              </w:rPr>
            </w:pPr>
            <w:r w:rsidRPr="00116E55">
              <w:rPr>
                <w:b/>
                <w:bCs/>
              </w:rPr>
              <w:t>2. Warn me, inform me</w:t>
            </w:r>
          </w:p>
        </w:tc>
      </w:tr>
      <w:tr w:rsidR="003B74C9" w:rsidRPr="000B5526" w14:paraId="22BA4754" w14:textId="77777777" w:rsidTr="001A2D61">
        <w:trPr>
          <w:cnfStyle w:val="000000010000" w:firstRow="0" w:lastRow="0" w:firstColumn="0" w:lastColumn="0" w:oddVBand="0" w:evenVBand="0" w:oddHBand="0" w:evenHBand="1" w:firstRowFirstColumn="0" w:firstRowLastColumn="0" w:lastRowFirstColumn="0" w:lastRowLastColumn="0"/>
          <w:trHeight w:val="18"/>
        </w:trPr>
        <w:tc>
          <w:tcPr>
            <w:tcW w:w="3971" w:type="dxa"/>
            <w:shd w:val="clear" w:color="auto" w:fill="FFFFFF" w:themeFill="background1"/>
            <w:hideMark/>
          </w:tcPr>
          <w:p w14:paraId="47F5CE58" w14:textId="2A65AC7A" w:rsidR="00FD64D3" w:rsidRPr="00551501" w:rsidRDefault="00FD64D3" w:rsidP="00BF18BB">
            <w:r w:rsidRPr="00551501">
              <w:t>Customer savings realised through repair of digital meter</w:t>
            </w:r>
            <w:r w:rsidR="00192A70">
              <w:t>-</w:t>
            </w:r>
            <w:r w:rsidRPr="00551501">
              <w:t xml:space="preserve">detected property leaks </w:t>
            </w:r>
            <w:r w:rsidRPr="00FC09BC">
              <w:rPr>
                <w:rFonts w:cstheme="minorBidi"/>
                <w:sz w:val="24"/>
                <w:szCs w:val="24"/>
                <w:vertAlign w:val="superscript"/>
              </w:rPr>
              <w:t>(b)</w:t>
            </w:r>
          </w:p>
        </w:tc>
        <w:tc>
          <w:tcPr>
            <w:tcW w:w="2127" w:type="dxa"/>
            <w:shd w:val="clear" w:color="auto" w:fill="FFFFFF" w:themeFill="background1"/>
            <w:noWrap/>
            <w:vAlign w:val="center"/>
            <w:hideMark/>
          </w:tcPr>
          <w:p w14:paraId="3BF9CFC6" w14:textId="77777777" w:rsidR="00FD64D3" w:rsidRPr="00551501" w:rsidRDefault="00FD64D3" w:rsidP="00360131">
            <w:pPr>
              <w:jc w:val="center"/>
            </w:pPr>
            <w:r w:rsidRPr="00551501">
              <w:t>$585,700</w:t>
            </w:r>
          </w:p>
        </w:tc>
        <w:tc>
          <w:tcPr>
            <w:tcW w:w="1701" w:type="dxa"/>
            <w:shd w:val="clear" w:color="auto" w:fill="FFFFFF" w:themeFill="background1"/>
            <w:vAlign w:val="center"/>
            <w:hideMark/>
          </w:tcPr>
          <w:p w14:paraId="79A4B58B" w14:textId="77777777" w:rsidR="00FD64D3" w:rsidRPr="00551501" w:rsidRDefault="00FD64D3" w:rsidP="00360131">
            <w:pPr>
              <w:jc w:val="center"/>
            </w:pPr>
            <w:r w:rsidRPr="00551501">
              <w:t>N/A</w:t>
            </w:r>
          </w:p>
        </w:tc>
        <w:tc>
          <w:tcPr>
            <w:tcW w:w="1675" w:type="dxa"/>
            <w:shd w:val="clear" w:color="auto" w:fill="FFFFFF" w:themeFill="background1"/>
            <w:noWrap/>
            <w:vAlign w:val="center"/>
            <w:hideMark/>
          </w:tcPr>
          <w:p w14:paraId="3ED594CD" w14:textId="12E6A5F1" w:rsidR="00FD64D3" w:rsidRPr="00551501" w:rsidRDefault="00FD64D3" w:rsidP="00360131">
            <w:pPr>
              <w:jc w:val="center"/>
            </w:pPr>
            <w:r w:rsidRPr="00551501">
              <w:t>$</w:t>
            </w:r>
            <w:r w:rsidR="00445739">
              <w:t>7</w:t>
            </w:r>
            <w:r w:rsidRPr="00551501">
              <w:t>,</w:t>
            </w:r>
            <w:r w:rsidR="00AA6F9F">
              <w:t>793</w:t>
            </w:r>
            <w:r w:rsidRPr="00551501">
              <w:t>,</w:t>
            </w:r>
            <w:r w:rsidR="00AA6F9F">
              <w:t>723</w:t>
            </w:r>
          </w:p>
        </w:tc>
      </w:tr>
      <w:tr w:rsidR="003B74C9" w:rsidRPr="000B5526" w14:paraId="45BC57C7" w14:textId="77777777" w:rsidTr="001A2D61">
        <w:trPr>
          <w:cnfStyle w:val="000000100000" w:firstRow="0" w:lastRow="0" w:firstColumn="0" w:lastColumn="0" w:oddVBand="0" w:evenVBand="0" w:oddHBand="1" w:evenHBand="0" w:firstRowFirstColumn="0" w:firstRowLastColumn="0" w:lastRowFirstColumn="0" w:lastRowLastColumn="0"/>
          <w:trHeight w:val="18"/>
        </w:trPr>
        <w:tc>
          <w:tcPr>
            <w:tcW w:w="3971" w:type="dxa"/>
            <w:shd w:val="clear" w:color="auto" w:fill="FFFFFF" w:themeFill="background1"/>
            <w:hideMark/>
          </w:tcPr>
          <w:p w14:paraId="5F4F2699" w14:textId="509FC263" w:rsidR="00FD64D3" w:rsidRPr="00551501" w:rsidRDefault="00FD64D3" w:rsidP="00BF18BB">
            <w:r w:rsidRPr="00551501">
              <w:t>Customers notified per unplanned disruption as a percentage of total customers affected</w:t>
            </w:r>
          </w:p>
        </w:tc>
        <w:tc>
          <w:tcPr>
            <w:tcW w:w="2127" w:type="dxa"/>
            <w:shd w:val="clear" w:color="auto" w:fill="FFFFFF" w:themeFill="background1"/>
            <w:noWrap/>
            <w:vAlign w:val="center"/>
            <w:hideMark/>
          </w:tcPr>
          <w:p w14:paraId="7A88A78D" w14:textId="77777777" w:rsidR="00FD64D3" w:rsidRPr="00551501" w:rsidRDefault="00FD64D3" w:rsidP="00360131">
            <w:pPr>
              <w:jc w:val="center"/>
            </w:pPr>
            <w:r w:rsidRPr="00551501">
              <w:t>71%</w:t>
            </w:r>
          </w:p>
        </w:tc>
        <w:tc>
          <w:tcPr>
            <w:tcW w:w="1701" w:type="dxa"/>
            <w:shd w:val="clear" w:color="auto" w:fill="FFFFFF" w:themeFill="background1"/>
            <w:noWrap/>
            <w:vAlign w:val="center"/>
            <w:hideMark/>
          </w:tcPr>
          <w:p w14:paraId="6790C29B" w14:textId="77777777" w:rsidR="00FD64D3" w:rsidRPr="00551501" w:rsidRDefault="00FD64D3" w:rsidP="00360131">
            <w:pPr>
              <w:jc w:val="center"/>
            </w:pPr>
            <w:r w:rsidRPr="00551501">
              <w:t>63%</w:t>
            </w:r>
          </w:p>
        </w:tc>
        <w:tc>
          <w:tcPr>
            <w:tcW w:w="1675" w:type="dxa"/>
            <w:shd w:val="clear" w:color="auto" w:fill="FFFFFF" w:themeFill="background1"/>
            <w:noWrap/>
            <w:vAlign w:val="center"/>
            <w:hideMark/>
          </w:tcPr>
          <w:p w14:paraId="3786B436" w14:textId="77777777" w:rsidR="00FD64D3" w:rsidRPr="00551501" w:rsidRDefault="00FD64D3" w:rsidP="00360131">
            <w:pPr>
              <w:jc w:val="center"/>
            </w:pPr>
            <w:r w:rsidRPr="00551501">
              <w:t>75%</w:t>
            </w:r>
          </w:p>
        </w:tc>
      </w:tr>
      <w:tr w:rsidR="003B74C9" w:rsidRPr="000B5526" w14:paraId="4A61186C" w14:textId="77777777" w:rsidTr="001A2D61">
        <w:trPr>
          <w:cnfStyle w:val="000000010000" w:firstRow="0" w:lastRow="0" w:firstColumn="0" w:lastColumn="0" w:oddVBand="0" w:evenVBand="0" w:oddHBand="0" w:evenHBand="1" w:firstRowFirstColumn="0" w:firstRowLastColumn="0" w:lastRowFirstColumn="0" w:lastRowLastColumn="0"/>
          <w:trHeight w:val="18"/>
        </w:trPr>
        <w:tc>
          <w:tcPr>
            <w:tcW w:w="3971" w:type="dxa"/>
            <w:shd w:val="clear" w:color="auto" w:fill="FFFFFF" w:themeFill="background1"/>
            <w:hideMark/>
          </w:tcPr>
          <w:p w14:paraId="6580572A" w14:textId="77777777" w:rsidR="00FD64D3" w:rsidRPr="00551501" w:rsidRDefault="00FD64D3" w:rsidP="00BF18BB">
            <w:r w:rsidRPr="00551501">
              <w:t>Water literacy of South East Water customers</w:t>
            </w:r>
          </w:p>
        </w:tc>
        <w:tc>
          <w:tcPr>
            <w:tcW w:w="2127" w:type="dxa"/>
            <w:shd w:val="clear" w:color="auto" w:fill="FFFFFF" w:themeFill="background1"/>
            <w:noWrap/>
            <w:vAlign w:val="center"/>
            <w:hideMark/>
          </w:tcPr>
          <w:p w14:paraId="079CD95A" w14:textId="77777777" w:rsidR="00FD64D3" w:rsidRPr="00551501" w:rsidRDefault="00FD64D3" w:rsidP="00360131">
            <w:pPr>
              <w:jc w:val="center"/>
            </w:pPr>
            <w:r w:rsidRPr="00551501">
              <w:t>New</w:t>
            </w:r>
          </w:p>
        </w:tc>
        <w:tc>
          <w:tcPr>
            <w:tcW w:w="1701" w:type="dxa"/>
            <w:shd w:val="clear" w:color="auto" w:fill="FFFFFF" w:themeFill="background1"/>
            <w:vAlign w:val="center"/>
            <w:hideMark/>
          </w:tcPr>
          <w:p w14:paraId="274B052C" w14:textId="77777777" w:rsidR="00FD64D3" w:rsidRPr="00551501" w:rsidRDefault="00FD64D3" w:rsidP="00360131">
            <w:pPr>
              <w:jc w:val="center"/>
            </w:pPr>
            <w:r w:rsidRPr="00551501">
              <w:t>N/A</w:t>
            </w:r>
          </w:p>
        </w:tc>
        <w:tc>
          <w:tcPr>
            <w:tcW w:w="1675" w:type="dxa"/>
            <w:shd w:val="clear" w:color="auto" w:fill="FFFFFF" w:themeFill="background1"/>
            <w:noWrap/>
            <w:vAlign w:val="center"/>
            <w:hideMark/>
          </w:tcPr>
          <w:p w14:paraId="04123AA9" w14:textId="77777777" w:rsidR="00FD64D3" w:rsidRPr="00551501" w:rsidRDefault="00FD64D3" w:rsidP="00360131">
            <w:pPr>
              <w:jc w:val="center"/>
            </w:pPr>
            <w:r w:rsidRPr="00551501">
              <w:t>31%</w:t>
            </w:r>
          </w:p>
        </w:tc>
      </w:tr>
      <w:tr w:rsidR="00AF4CBF" w:rsidRPr="000B5526" w14:paraId="3F283B9F" w14:textId="77777777" w:rsidTr="001D2BC8">
        <w:trPr>
          <w:cnfStyle w:val="000000100000" w:firstRow="0" w:lastRow="0" w:firstColumn="0" w:lastColumn="0" w:oddVBand="0" w:evenVBand="0" w:oddHBand="1" w:evenHBand="0" w:firstRowFirstColumn="0" w:firstRowLastColumn="0" w:lastRowFirstColumn="0" w:lastRowLastColumn="0"/>
          <w:trHeight w:val="18"/>
        </w:trPr>
        <w:tc>
          <w:tcPr>
            <w:tcW w:w="9474" w:type="dxa"/>
            <w:gridSpan w:val="4"/>
            <w:shd w:val="clear" w:color="auto" w:fill="D4D6DF"/>
            <w:vAlign w:val="center"/>
          </w:tcPr>
          <w:p w14:paraId="09F2B577" w14:textId="77777777" w:rsidR="00FD64D3" w:rsidRPr="00116E55" w:rsidRDefault="00FD64D3" w:rsidP="00767CCE">
            <w:pPr>
              <w:rPr>
                <w:b/>
                <w:bCs/>
              </w:rPr>
            </w:pPr>
            <w:r w:rsidRPr="00116E55">
              <w:rPr>
                <w:b/>
                <w:bCs/>
              </w:rPr>
              <w:t>3. Fair and affordable for all</w:t>
            </w:r>
          </w:p>
        </w:tc>
      </w:tr>
      <w:tr w:rsidR="003B74C9" w:rsidRPr="000B5526" w14:paraId="4EB5FB29" w14:textId="77777777" w:rsidTr="001A2D61">
        <w:trPr>
          <w:cnfStyle w:val="000000010000" w:firstRow="0" w:lastRow="0" w:firstColumn="0" w:lastColumn="0" w:oddVBand="0" w:evenVBand="0" w:oddHBand="0" w:evenHBand="1" w:firstRowFirstColumn="0" w:firstRowLastColumn="0" w:lastRowFirstColumn="0" w:lastRowLastColumn="0"/>
          <w:trHeight w:val="18"/>
        </w:trPr>
        <w:tc>
          <w:tcPr>
            <w:tcW w:w="3971" w:type="dxa"/>
            <w:shd w:val="clear" w:color="auto" w:fill="FFFFFF" w:themeFill="background1"/>
            <w:hideMark/>
          </w:tcPr>
          <w:p w14:paraId="05840EBE" w14:textId="5954C31E" w:rsidR="00FD64D3" w:rsidRPr="00551501" w:rsidRDefault="00FD64D3" w:rsidP="00BF18BB">
            <w:r w:rsidRPr="00551501">
              <w:t>Percentage of existing properties upgraded to a digital meter</w:t>
            </w:r>
          </w:p>
        </w:tc>
        <w:tc>
          <w:tcPr>
            <w:tcW w:w="2127" w:type="dxa"/>
            <w:shd w:val="clear" w:color="auto" w:fill="FFFFFF" w:themeFill="background1"/>
            <w:noWrap/>
            <w:vAlign w:val="center"/>
            <w:hideMark/>
          </w:tcPr>
          <w:p w14:paraId="3636498B" w14:textId="77777777" w:rsidR="00FD64D3" w:rsidRPr="00551501" w:rsidRDefault="00FD64D3" w:rsidP="00360131">
            <w:pPr>
              <w:jc w:val="center"/>
            </w:pPr>
            <w:r w:rsidRPr="00551501">
              <w:t>9%</w:t>
            </w:r>
          </w:p>
        </w:tc>
        <w:tc>
          <w:tcPr>
            <w:tcW w:w="1701" w:type="dxa"/>
            <w:shd w:val="clear" w:color="auto" w:fill="FFFFFF" w:themeFill="background1"/>
            <w:vAlign w:val="center"/>
            <w:hideMark/>
          </w:tcPr>
          <w:p w14:paraId="5BB02E04" w14:textId="77777777" w:rsidR="00FD64D3" w:rsidRPr="00551501" w:rsidRDefault="00FD64D3" w:rsidP="00360131">
            <w:pPr>
              <w:jc w:val="center"/>
            </w:pPr>
            <w:r w:rsidRPr="00551501">
              <w:t>N/A</w:t>
            </w:r>
          </w:p>
        </w:tc>
        <w:tc>
          <w:tcPr>
            <w:tcW w:w="1675" w:type="dxa"/>
            <w:shd w:val="clear" w:color="auto" w:fill="FFFFFF" w:themeFill="background1"/>
            <w:noWrap/>
            <w:vAlign w:val="center"/>
            <w:hideMark/>
          </w:tcPr>
          <w:p w14:paraId="10E22519" w14:textId="77777777" w:rsidR="00FD64D3" w:rsidRPr="00551501" w:rsidRDefault="00FD64D3" w:rsidP="00360131">
            <w:pPr>
              <w:jc w:val="center"/>
            </w:pPr>
            <w:r w:rsidRPr="00551501">
              <w:t>85%</w:t>
            </w:r>
          </w:p>
        </w:tc>
      </w:tr>
      <w:tr w:rsidR="003B74C9" w:rsidRPr="000B5526" w14:paraId="5EE2F7EB" w14:textId="77777777" w:rsidTr="001A2D61">
        <w:trPr>
          <w:cnfStyle w:val="000000100000" w:firstRow="0" w:lastRow="0" w:firstColumn="0" w:lastColumn="0" w:oddVBand="0" w:evenVBand="0" w:oddHBand="1" w:evenHBand="0" w:firstRowFirstColumn="0" w:firstRowLastColumn="0" w:lastRowFirstColumn="0" w:lastRowLastColumn="0"/>
          <w:trHeight w:val="18"/>
        </w:trPr>
        <w:tc>
          <w:tcPr>
            <w:tcW w:w="3971" w:type="dxa"/>
            <w:shd w:val="clear" w:color="auto" w:fill="FFFFFF" w:themeFill="background1"/>
            <w:hideMark/>
          </w:tcPr>
          <w:p w14:paraId="36712DE2" w14:textId="77777777" w:rsidR="00FD64D3" w:rsidRPr="00551501" w:rsidRDefault="00FD64D3" w:rsidP="00BF18BB">
            <w:r w:rsidRPr="00551501">
              <w:t>Total customers supported (provided assistance)</w:t>
            </w:r>
          </w:p>
        </w:tc>
        <w:tc>
          <w:tcPr>
            <w:tcW w:w="2127" w:type="dxa"/>
            <w:shd w:val="clear" w:color="auto" w:fill="FFFFFF" w:themeFill="background1"/>
            <w:vAlign w:val="center"/>
            <w:hideMark/>
          </w:tcPr>
          <w:p w14:paraId="2EFA16B6" w14:textId="6D77B802" w:rsidR="00FD64D3" w:rsidRPr="00551501" w:rsidRDefault="00FD64D3" w:rsidP="00360131">
            <w:pPr>
              <w:jc w:val="center"/>
            </w:pPr>
            <w:r w:rsidRPr="00551501">
              <w:t>10,612</w:t>
            </w:r>
            <w:r w:rsidR="00A1315F">
              <w:t xml:space="preserve"> </w:t>
            </w:r>
            <w:r w:rsidR="00AA6F9F">
              <w:br/>
            </w:r>
            <w:r w:rsidR="00186FF2">
              <w:t>(</w:t>
            </w:r>
            <w:r w:rsidRPr="00551501">
              <w:t>COVID</w:t>
            </w:r>
            <w:r w:rsidR="005A2578">
              <w:t>-19</w:t>
            </w:r>
            <w:r w:rsidRPr="00551501">
              <w:t xml:space="preserve"> impacted)</w:t>
            </w:r>
          </w:p>
        </w:tc>
        <w:tc>
          <w:tcPr>
            <w:tcW w:w="1701" w:type="dxa"/>
            <w:shd w:val="clear" w:color="auto" w:fill="FFFFFF" w:themeFill="background1"/>
            <w:vAlign w:val="center"/>
            <w:hideMark/>
          </w:tcPr>
          <w:p w14:paraId="4B461544" w14:textId="77777777" w:rsidR="00FD64D3" w:rsidRPr="00551501" w:rsidRDefault="00FD64D3" w:rsidP="00360131">
            <w:pPr>
              <w:jc w:val="center"/>
            </w:pPr>
            <w:r w:rsidRPr="00551501">
              <w:t>7,134</w:t>
            </w:r>
          </w:p>
        </w:tc>
        <w:tc>
          <w:tcPr>
            <w:tcW w:w="1675" w:type="dxa"/>
            <w:shd w:val="clear" w:color="auto" w:fill="FFFFFF" w:themeFill="background1"/>
            <w:vAlign w:val="center"/>
            <w:hideMark/>
          </w:tcPr>
          <w:p w14:paraId="5AAAA0AD" w14:textId="77777777" w:rsidR="00FD64D3" w:rsidRPr="00551501" w:rsidRDefault="00FD64D3" w:rsidP="00360131">
            <w:pPr>
              <w:jc w:val="center"/>
            </w:pPr>
            <w:r w:rsidRPr="00551501">
              <w:t>10,000</w:t>
            </w:r>
          </w:p>
        </w:tc>
      </w:tr>
      <w:tr w:rsidR="003B74C9" w:rsidRPr="000B5526" w14:paraId="5E5AA22A" w14:textId="77777777" w:rsidTr="001A2D61">
        <w:trPr>
          <w:cnfStyle w:val="000000010000" w:firstRow="0" w:lastRow="0" w:firstColumn="0" w:lastColumn="0" w:oddVBand="0" w:evenVBand="0" w:oddHBand="0" w:evenHBand="1" w:firstRowFirstColumn="0" w:firstRowLastColumn="0" w:lastRowFirstColumn="0" w:lastRowLastColumn="0"/>
          <w:trHeight w:val="18"/>
        </w:trPr>
        <w:tc>
          <w:tcPr>
            <w:tcW w:w="3971" w:type="dxa"/>
            <w:shd w:val="clear" w:color="auto" w:fill="FFFFFF" w:themeFill="background1"/>
            <w:hideMark/>
          </w:tcPr>
          <w:p w14:paraId="444DE1DD" w14:textId="20A38851" w:rsidR="00FD64D3" w:rsidRPr="00551501" w:rsidRDefault="00FD64D3" w:rsidP="00BF18BB">
            <w:r w:rsidRPr="00551501">
              <w:t xml:space="preserve">Percentage of customers with arrears greater than 90 days who have </w:t>
            </w:r>
            <w:r w:rsidR="00E705EB">
              <w:t>use</w:t>
            </w:r>
            <w:r w:rsidRPr="00551501">
              <w:t>d South</w:t>
            </w:r>
            <w:r w:rsidR="00325C01">
              <w:t> </w:t>
            </w:r>
            <w:r w:rsidRPr="00551501">
              <w:t>East</w:t>
            </w:r>
            <w:r w:rsidR="00325C01">
              <w:t> </w:t>
            </w:r>
            <w:r w:rsidRPr="00551501">
              <w:t>Water support offerings</w:t>
            </w:r>
          </w:p>
        </w:tc>
        <w:tc>
          <w:tcPr>
            <w:tcW w:w="2127" w:type="dxa"/>
            <w:shd w:val="clear" w:color="auto" w:fill="FFFFFF" w:themeFill="background1"/>
            <w:noWrap/>
            <w:vAlign w:val="center"/>
            <w:hideMark/>
          </w:tcPr>
          <w:p w14:paraId="7ADEBFE9" w14:textId="77777777" w:rsidR="00FD64D3" w:rsidRPr="00551501" w:rsidRDefault="00FD64D3" w:rsidP="00360131">
            <w:pPr>
              <w:jc w:val="center"/>
            </w:pPr>
            <w:r w:rsidRPr="00551501">
              <w:t>41%</w:t>
            </w:r>
          </w:p>
        </w:tc>
        <w:tc>
          <w:tcPr>
            <w:tcW w:w="1701" w:type="dxa"/>
            <w:shd w:val="clear" w:color="auto" w:fill="FFFFFF" w:themeFill="background1"/>
            <w:noWrap/>
            <w:vAlign w:val="center"/>
            <w:hideMark/>
          </w:tcPr>
          <w:p w14:paraId="4E754BAC" w14:textId="77777777" w:rsidR="00FD64D3" w:rsidRPr="00551501" w:rsidRDefault="00FD64D3" w:rsidP="00360131">
            <w:pPr>
              <w:jc w:val="center"/>
            </w:pPr>
            <w:r w:rsidRPr="00551501">
              <w:t>37%</w:t>
            </w:r>
          </w:p>
        </w:tc>
        <w:tc>
          <w:tcPr>
            <w:tcW w:w="1675" w:type="dxa"/>
            <w:shd w:val="clear" w:color="auto" w:fill="FFFFFF" w:themeFill="background1"/>
            <w:noWrap/>
            <w:vAlign w:val="center"/>
            <w:hideMark/>
          </w:tcPr>
          <w:p w14:paraId="04E4F368" w14:textId="77777777" w:rsidR="00FD64D3" w:rsidRPr="00551501" w:rsidRDefault="00FD64D3" w:rsidP="00360131">
            <w:pPr>
              <w:jc w:val="center"/>
            </w:pPr>
            <w:r w:rsidRPr="00551501">
              <w:t>55%</w:t>
            </w:r>
          </w:p>
        </w:tc>
      </w:tr>
      <w:tr w:rsidR="00AF4CBF" w:rsidRPr="000B5526" w14:paraId="266B6691" w14:textId="77777777" w:rsidTr="001D2BC8">
        <w:trPr>
          <w:cnfStyle w:val="000000100000" w:firstRow="0" w:lastRow="0" w:firstColumn="0" w:lastColumn="0" w:oddVBand="0" w:evenVBand="0" w:oddHBand="1" w:evenHBand="0" w:firstRowFirstColumn="0" w:firstRowLastColumn="0" w:lastRowFirstColumn="0" w:lastRowLastColumn="0"/>
          <w:trHeight w:val="18"/>
        </w:trPr>
        <w:tc>
          <w:tcPr>
            <w:tcW w:w="9474" w:type="dxa"/>
            <w:gridSpan w:val="4"/>
            <w:shd w:val="clear" w:color="auto" w:fill="D4D6DF"/>
            <w:vAlign w:val="center"/>
          </w:tcPr>
          <w:p w14:paraId="560C06BD" w14:textId="77777777" w:rsidR="00FD64D3" w:rsidRPr="00116E55" w:rsidRDefault="00FD64D3" w:rsidP="00767CCE">
            <w:pPr>
              <w:rPr>
                <w:b/>
                <w:bCs/>
              </w:rPr>
            </w:pPr>
            <w:r w:rsidRPr="00116E55">
              <w:rPr>
                <w:b/>
                <w:bCs/>
              </w:rPr>
              <w:t>4. Make my experience better</w:t>
            </w:r>
          </w:p>
        </w:tc>
      </w:tr>
      <w:tr w:rsidR="003B74C9" w:rsidRPr="000B5526" w14:paraId="523E0D97" w14:textId="77777777" w:rsidTr="001A2D61">
        <w:trPr>
          <w:cnfStyle w:val="000000010000" w:firstRow="0" w:lastRow="0" w:firstColumn="0" w:lastColumn="0" w:oddVBand="0" w:evenVBand="0" w:oddHBand="0" w:evenHBand="1" w:firstRowFirstColumn="0" w:firstRowLastColumn="0" w:lastRowFirstColumn="0" w:lastRowLastColumn="0"/>
          <w:trHeight w:val="18"/>
        </w:trPr>
        <w:tc>
          <w:tcPr>
            <w:tcW w:w="3971" w:type="dxa"/>
            <w:shd w:val="clear" w:color="auto" w:fill="FFFFFF" w:themeFill="background1"/>
            <w:hideMark/>
          </w:tcPr>
          <w:p w14:paraId="014A7D5B" w14:textId="77777777" w:rsidR="00FD64D3" w:rsidRPr="00551501" w:rsidRDefault="00FD64D3" w:rsidP="00BF18BB">
            <w:r w:rsidRPr="00551501">
              <w:t>Total number of inbound contacts (per 100 customers)</w:t>
            </w:r>
          </w:p>
        </w:tc>
        <w:tc>
          <w:tcPr>
            <w:tcW w:w="2127" w:type="dxa"/>
            <w:shd w:val="clear" w:color="auto" w:fill="FFFFFF" w:themeFill="background1"/>
            <w:noWrap/>
            <w:vAlign w:val="center"/>
            <w:hideMark/>
          </w:tcPr>
          <w:p w14:paraId="21B7B3C6" w14:textId="77777777" w:rsidR="00FD64D3" w:rsidRPr="00551501" w:rsidRDefault="00FD64D3" w:rsidP="00360131">
            <w:pPr>
              <w:jc w:val="center"/>
            </w:pPr>
            <w:r w:rsidRPr="00551501">
              <w:t>62.6</w:t>
            </w:r>
          </w:p>
        </w:tc>
        <w:tc>
          <w:tcPr>
            <w:tcW w:w="1701" w:type="dxa"/>
            <w:shd w:val="clear" w:color="auto" w:fill="FFFFFF" w:themeFill="background1"/>
            <w:vAlign w:val="center"/>
            <w:hideMark/>
          </w:tcPr>
          <w:p w14:paraId="1F7870C0" w14:textId="77777777" w:rsidR="00FD64D3" w:rsidRPr="00551501" w:rsidRDefault="00FD64D3" w:rsidP="00360131">
            <w:pPr>
              <w:jc w:val="center"/>
            </w:pPr>
            <w:r w:rsidRPr="00551501">
              <w:t>67.9</w:t>
            </w:r>
          </w:p>
        </w:tc>
        <w:tc>
          <w:tcPr>
            <w:tcW w:w="1675" w:type="dxa"/>
            <w:shd w:val="clear" w:color="auto" w:fill="FFFFFF" w:themeFill="background1"/>
            <w:noWrap/>
            <w:vAlign w:val="center"/>
            <w:hideMark/>
          </w:tcPr>
          <w:p w14:paraId="6A8A2F1B" w14:textId="77777777" w:rsidR="00FD64D3" w:rsidRPr="00551501" w:rsidRDefault="00FD64D3" w:rsidP="00360131">
            <w:pPr>
              <w:jc w:val="center"/>
            </w:pPr>
            <w:r w:rsidRPr="00551501">
              <w:t>59.5</w:t>
            </w:r>
          </w:p>
        </w:tc>
      </w:tr>
      <w:tr w:rsidR="003B74C9" w:rsidRPr="000B5526" w14:paraId="391F86B8" w14:textId="77777777" w:rsidTr="001A2D61">
        <w:trPr>
          <w:cnfStyle w:val="000000100000" w:firstRow="0" w:lastRow="0" w:firstColumn="0" w:lastColumn="0" w:oddVBand="0" w:evenVBand="0" w:oddHBand="1" w:evenHBand="0" w:firstRowFirstColumn="0" w:firstRowLastColumn="0" w:lastRowFirstColumn="0" w:lastRowLastColumn="0"/>
          <w:trHeight w:val="18"/>
        </w:trPr>
        <w:tc>
          <w:tcPr>
            <w:tcW w:w="3971" w:type="dxa"/>
            <w:shd w:val="clear" w:color="auto" w:fill="FFFFFF" w:themeFill="background1"/>
            <w:hideMark/>
          </w:tcPr>
          <w:p w14:paraId="319C35DE" w14:textId="52388EAE" w:rsidR="00FD64D3" w:rsidRPr="00551501" w:rsidRDefault="00FD64D3" w:rsidP="00BF18BB">
            <w:r w:rsidRPr="00551501">
              <w:t>Overall customer satisfaction with South</w:t>
            </w:r>
            <w:r w:rsidR="00325C01">
              <w:t> </w:t>
            </w:r>
            <w:r w:rsidRPr="00551501">
              <w:t>East</w:t>
            </w:r>
            <w:r w:rsidR="00325C01">
              <w:t> </w:t>
            </w:r>
            <w:r w:rsidRPr="00551501">
              <w:t xml:space="preserve">Water </w:t>
            </w:r>
            <w:r w:rsidRPr="00FC09BC">
              <w:rPr>
                <w:rFonts w:cstheme="minorBidi"/>
                <w:sz w:val="24"/>
                <w:szCs w:val="24"/>
                <w:vertAlign w:val="superscript"/>
              </w:rPr>
              <w:t>(c)</w:t>
            </w:r>
          </w:p>
        </w:tc>
        <w:tc>
          <w:tcPr>
            <w:tcW w:w="2127" w:type="dxa"/>
            <w:shd w:val="clear" w:color="auto" w:fill="FFFFFF" w:themeFill="background1"/>
            <w:noWrap/>
            <w:vAlign w:val="center"/>
            <w:hideMark/>
          </w:tcPr>
          <w:p w14:paraId="50CB6196" w14:textId="77777777" w:rsidR="00FD64D3" w:rsidRPr="00551501" w:rsidRDefault="00FD64D3" w:rsidP="00360131">
            <w:pPr>
              <w:jc w:val="center"/>
            </w:pPr>
            <w:r w:rsidRPr="00551501">
              <w:t>Redefined</w:t>
            </w:r>
          </w:p>
        </w:tc>
        <w:tc>
          <w:tcPr>
            <w:tcW w:w="1701" w:type="dxa"/>
            <w:shd w:val="clear" w:color="auto" w:fill="FFFFFF" w:themeFill="background1"/>
            <w:vAlign w:val="center"/>
            <w:hideMark/>
          </w:tcPr>
          <w:p w14:paraId="256B8C76" w14:textId="77777777" w:rsidR="00FD64D3" w:rsidRPr="00551501" w:rsidRDefault="00FD64D3" w:rsidP="00360131">
            <w:pPr>
              <w:jc w:val="center"/>
            </w:pPr>
            <w:r w:rsidRPr="00551501">
              <w:t>N/A</w:t>
            </w:r>
          </w:p>
        </w:tc>
        <w:tc>
          <w:tcPr>
            <w:tcW w:w="1675" w:type="dxa"/>
            <w:shd w:val="clear" w:color="auto" w:fill="FFFFFF" w:themeFill="background1"/>
            <w:noWrap/>
            <w:vAlign w:val="center"/>
            <w:hideMark/>
          </w:tcPr>
          <w:p w14:paraId="29F863F5" w14:textId="77777777" w:rsidR="00FD64D3" w:rsidRPr="00551501" w:rsidRDefault="00FD64D3" w:rsidP="00360131">
            <w:pPr>
              <w:jc w:val="center"/>
            </w:pPr>
            <w:r w:rsidRPr="00551501">
              <w:t>70%</w:t>
            </w:r>
          </w:p>
        </w:tc>
      </w:tr>
      <w:tr w:rsidR="003B74C9" w:rsidRPr="000B5526" w14:paraId="56216C60" w14:textId="77777777" w:rsidTr="001A2D61">
        <w:trPr>
          <w:cnfStyle w:val="000000010000" w:firstRow="0" w:lastRow="0" w:firstColumn="0" w:lastColumn="0" w:oddVBand="0" w:evenVBand="0" w:oddHBand="0" w:evenHBand="1" w:firstRowFirstColumn="0" w:firstRowLastColumn="0" w:lastRowFirstColumn="0" w:lastRowLastColumn="0"/>
          <w:trHeight w:val="18"/>
        </w:trPr>
        <w:tc>
          <w:tcPr>
            <w:tcW w:w="3971" w:type="dxa"/>
            <w:shd w:val="clear" w:color="auto" w:fill="FFFFFF" w:themeFill="background1"/>
            <w:hideMark/>
          </w:tcPr>
          <w:p w14:paraId="09801D16" w14:textId="5EC68D17" w:rsidR="00FD64D3" w:rsidRPr="00551501" w:rsidRDefault="00FD64D3" w:rsidP="00BF18BB">
            <w:r w:rsidRPr="00551501">
              <w:t>Number of enquiries relating to the explanation of charges (per 100 customers)</w:t>
            </w:r>
          </w:p>
        </w:tc>
        <w:tc>
          <w:tcPr>
            <w:tcW w:w="2127" w:type="dxa"/>
            <w:shd w:val="clear" w:color="auto" w:fill="FFFFFF" w:themeFill="background1"/>
            <w:noWrap/>
            <w:vAlign w:val="center"/>
            <w:hideMark/>
          </w:tcPr>
          <w:p w14:paraId="12E8791C" w14:textId="77777777" w:rsidR="00FD64D3" w:rsidRPr="00551501" w:rsidRDefault="00FD64D3" w:rsidP="00360131">
            <w:pPr>
              <w:jc w:val="center"/>
            </w:pPr>
            <w:r w:rsidRPr="00551501">
              <w:t>7</w:t>
            </w:r>
          </w:p>
        </w:tc>
        <w:tc>
          <w:tcPr>
            <w:tcW w:w="1701" w:type="dxa"/>
            <w:shd w:val="clear" w:color="auto" w:fill="FFFFFF" w:themeFill="background1"/>
            <w:vAlign w:val="center"/>
            <w:hideMark/>
          </w:tcPr>
          <w:p w14:paraId="7B7AEFC6" w14:textId="77777777" w:rsidR="00FD64D3" w:rsidRPr="00551501" w:rsidRDefault="00FD64D3" w:rsidP="00360131">
            <w:pPr>
              <w:jc w:val="center"/>
            </w:pPr>
            <w:r w:rsidRPr="00551501">
              <w:t>5.4</w:t>
            </w:r>
          </w:p>
        </w:tc>
        <w:tc>
          <w:tcPr>
            <w:tcW w:w="1675" w:type="dxa"/>
            <w:shd w:val="clear" w:color="auto" w:fill="FFFFFF" w:themeFill="background1"/>
            <w:noWrap/>
            <w:vAlign w:val="center"/>
            <w:hideMark/>
          </w:tcPr>
          <w:p w14:paraId="364D7F82" w14:textId="77777777" w:rsidR="00FD64D3" w:rsidRPr="00551501" w:rsidRDefault="00FD64D3" w:rsidP="00360131">
            <w:pPr>
              <w:jc w:val="center"/>
            </w:pPr>
            <w:r w:rsidRPr="00551501">
              <w:t>5.4</w:t>
            </w:r>
          </w:p>
        </w:tc>
      </w:tr>
      <w:tr w:rsidR="00AF4CBF" w:rsidRPr="000B5526" w14:paraId="6286D847" w14:textId="77777777" w:rsidTr="001D2BC8">
        <w:trPr>
          <w:cnfStyle w:val="000000100000" w:firstRow="0" w:lastRow="0" w:firstColumn="0" w:lastColumn="0" w:oddVBand="0" w:evenVBand="0" w:oddHBand="1" w:evenHBand="0" w:firstRowFirstColumn="0" w:firstRowLastColumn="0" w:lastRowFirstColumn="0" w:lastRowLastColumn="0"/>
          <w:trHeight w:val="18"/>
        </w:trPr>
        <w:tc>
          <w:tcPr>
            <w:tcW w:w="9474" w:type="dxa"/>
            <w:gridSpan w:val="4"/>
            <w:shd w:val="clear" w:color="auto" w:fill="D4D6DF"/>
            <w:vAlign w:val="center"/>
          </w:tcPr>
          <w:p w14:paraId="5B478A05" w14:textId="77777777" w:rsidR="00FD64D3" w:rsidRPr="00116E55" w:rsidRDefault="00FD64D3" w:rsidP="00767CCE">
            <w:pPr>
              <w:rPr>
                <w:b/>
                <w:bCs/>
              </w:rPr>
            </w:pPr>
            <w:r w:rsidRPr="00116E55">
              <w:rPr>
                <w:b/>
                <w:bCs/>
              </w:rPr>
              <w:t>5. Support my community, protect my environment</w:t>
            </w:r>
          </w:p>
        </w:tc>
      </w:tr>
      <w:tr w:rsidR="003B74C9" w:rsidRPr="000B5526" w14:paraId="42AEF169" w14:textId="77777777" w:rsidTr="001A2D61">
        <w:trPr>
          <w:cnfStyle w:val="000000010000" w:firstRow="0" w:lastRow="0" w:firstColumn="0" w:lastColumn="0" w:oddVBand="0" w:evenVBand="0" w:oddHBand="0" w:evenHBand="1" w:firstRowFirstColumn="0" w:firstRowLastColumn="0" w:lastRowFirstColumn="0" w:lastRowLastColumn="0"/>
          <w:trHeight w:val="18"/>
        </w:trPr>
        <w:tc>
          <w:tcPr>
            <w:tcW w:w="3971" w:type="dxa"/>
            <w:shd w:val="clear" w:color="auto" w:fill="FFFFFF" w:themeFill="background1"/>
            <w:hideMark/>
          </w:tcPr>
          <w:p w14:paraId="6A23FC4C" w14:textId="77777777" w:rsidR="00FD64D3" w:rsidRPr="00551501" w:rsidRDefault="00FD64D3" w:rsidP="00BF18BB">
            <w:r w:rsidRPr="00551501">
              <w:lastRenderedPageBreak/>
              <w:t>Overall community trust in South East Water</w:t>
            </w:r>
          </w:p>
        </w:tc>
        <w:tc>
          <w:tcPr>
            <w:tcW w:w="2127" w:type="dxa"/>
            <w:shd w:val="clear" w:color="auto" w:fill="FFFFFF" w:themeFill="background1"/>
            <w:noWrap/>
            <w:vAlign w:val="center"/>
            <w:hideMark/>
          </w:tcPr>
          <w:p w14:paraId="0192EE04" w14:textId="77777777" w:rsidR="00FD64D3" w:rsidRPr="00551501" w:rsidRDefault="00FD64D3" w:rsidP="00360131">
            <w:pPr>
              <w:jc w:val="center"/>
            </w:pPr>
            <w:r w:rsidRPr="00551501">
              <w:t>68%</w:t>
            </w:r>
          </w:p>
        </w:tc>
        <w:tc>
          <w:tcPr>
            <w:tcW w:w="1701" w:type="dxa"/>
            <w:shd w:val="clear" w:color="auto" w:fill="FFFFFF" w:themeFill="background1"/>
            <w:noWrap/>
            <w:vAlign w:val="center"/>
            <w:hideMark/>
          </w:tcPr>
          <w:p w14:paraId="7CC1D356" w14:textId="77777777" w:rsidR="00FD64D3" w:rsidRPr="00551501" w:rsidRDefault="00FD64D3" w:rsidP="00360131">
            <w:pPr>
              <w:jc w:val="center"/>
            </w:pPr>
            <w:r w:rsidRPr="00551501">
              <w:t>63%</w:t>
            </w:r>
          </w:p>
        </w:tc>
        <w:tc>
          <w:tcPr>
            <w:tcW w:w="1675" w:type="dxa"/>
            <w:shd w:val="clear" w:color="auto" w:fill="FFFFFF" w:themeFill="background1"/>
            <w:noWrap/>
            <w:vAlign w:val="center"/>
            <w:hideMark/>
          </w:tcPr>
          <w:p w14:paraId="32D579D0" w14:textId="77777777" w:rsidR="00FD64D3" w:rsidRPr="00551501" w:rsidRDefault="00FD64D3" w:rsidP="00360131">
            <w:pPr>
              <w:jc w:val="center"/>
            </w:pPr>
            <w:r w:rsidRPr="00551501">
              <w:t>70%</w:t>
            </w:r>
          </w:p>
        </w:tc>
      </w:tr>
      <w:tr w:rsidR="003B74C9" w:rsidRPr="000B5526" w14:paraId="02500D98" w14:textId="77777777" w:rsidTr="001A2D61">
        <w:trPr>
          <w:cnfStyle w:val="000000100000" w:firstRow="0" w:lastRow="0" w:firstColumn="0" w:lastColumn="0" w:oddVBand="0" w:evenVBand="0" w:oddHBand="1" w:evenHBand="0" w:firstRowFirstColumn="0" w:firstRowLastColumn="0" w:lastRowFirstColumn="0" w:lastRowLastColumn="0"/>
          <w:trHeight w:val="18"/>
        </w:trPr>
        <w:tc>
          <w:tcPr>
            <w:tcW w:w="3971" w:type="dxa"/>
            <w:shd w:val="clear" w:color="auto" w:fill="FFFFFF" w:themeFill="background1"/>
            <w:hideMark/>
          </w:tcPr>
          <w:p w14:paraId="4C70229C" w14:textId="3E15FD50" w:rsidR="00FD64D3" w:rsidRPr="00551501" w:rsidRDefault="00FD64D3" w:rsidP="00BF18BB">
            <w:r w:rsidRPr="00551501">
              <w:t xml:space="preserve">Total </w:t>
            </w:r>
            <w:r w:rsidR="005A2578">
              <w:t>greenhouse gas emissions</w:t>
            </w:r>
            <w:r w:rsidRPr="00551501">
              <w:t xml:space="preserve"> (tCO</w:t>
            </w:r>
            <w:r w:rsidRPr="00116E55">
              <w:rPr>
                <w:rFonts w:cstheme="minorBidi"/>
                <w:sz w:val="24"/>
                <w:szCs w:val="24"/>
                <w:vertAlign w:val="subscript"/>
              </w:rPr>
              <w:t>2</w:t>
            </w:r>
            <w:r w:rsidRPr="00551501">
              <w:t>e)</w:t>
            </w:r>
          </w:p>
        </w:tc>
        <w:tc>
          <w:tcPr>
            <w:tcW w:w="2127" w:type="dxa"/>
            <w:shd w:val="clear" w:color="auto" w:fill="FFFFFF" w:themeFill="background1"/>
            <w:noWrap/>
            <w:vAlign w:val="center"/>
            <w:hideMark/>
          </w:tcPr>
          <w:p w14:paraId="04EC8FDF" w14:textId="77777777" w:rsidR="00FD64D3" w:rsidRPr="00551501" w:rsidRDefault="00FD64D3" w:rsidP="00360131">
            <w:pPr>
              <w:jc w:val="center"/>
            </w:pPr>
            <w:r w:rsidRPr="00551501">
              <w:t>28,577</w:t>
            </w:r>
          </w:p>
        </w:tc>
        <w:tc>
          <w:tcPr>
            <w:tcW w:w="1701" w:type="dxa"/>
            <w:shd w:val="clear" w:color="auto" w:fill="FFFFFF" w:themeFill="background1"/>
            <w:vAlign w:val="center"/>
            <w:hideMark/>
          </w:tcPr>
          <w:p w14:paraId="0257FF49" w14:textId="77777777" w:rsidR="00FD64D3" w:rsidRPr="00551501" w:rsidRDefault="00FD64D3" w:rsidP="00360131">
            <w:pPr>
              <w:jc w:val="center"/>
            </w:pPr>
            <w:r w:rsidRPr="00551501">
              <w:t>N/A</w:t>
            </w:r>
          </w:p>
        </w:tc>
        <w:tc>
          <w:tcPr>
            <w:tcW w:w="1675" w:type="dxa"/>
            <w:shd w:val="clear" w:color="auto" w:fill="FFFFFF" w:themeFill="background1"/>
            <w:noWrap/>
            <w:vAlign w:val="center"/>
            <w:hideMark/>
          </w:tcPr>
          <w:p w14:paraId="04E93983" w14:textId="77777777" w:rsidR="00FD64D3" w:rsidRPr="00551501" w:rsidRDefault="00FD64D3" w:rsidP="00360131">
            <w:pPr>
              <w:jc w:val="center"/>
            </w:pPr>
            <w:r w:rsidRPr="00551501">
              <w:t>12,033</w:t>
            </w:r>
          </w:p>
        </w:tc>
      </w:tr>
      <w:tr w:rsidR="003B74C9" w:rsidRPr="000B5526" w14:paraId="1A760061" w14:textId="77777777" w:rsidTr="001A2D61">
        <w:trPr>
          <w:cnfStyle w:val="000000010000" w:firstRow="0" w:lastRow="0" w:firstColumn="0" w:lastColumn="0" w:oddVBand="0" w:evenVBand="0" w:oddHBand="0" w:evenHBand="1" w:firstRowFirstColumn="0" w:firstRowLastColumn="0" w:lastRowFirstColumn="0" w:lastRowLastColumn="0"/>
          <w:trHeight w:val="18"/>
        </w:trPr>
        <w:tc>
          <w:tcPr>
            <w:tcW w:w="3971" w:type="dxa"/>
            <w:shd w:val="clear" w:color="auto" w:fill="FFFFFF" w:themeFill="background1"/>
            <w:hideMark/>
          </w:tcPr>
          <w:p w14:paraId="542630C3" w14:textId="77777777" w:rsidR="00FD64D3" w:rsidRPr="00551501" w:rsidRDefault="00FD64D3" w:rsidP="00BF18BB">
            <w:r w:rsidRPr="00551501">
              <w:t>Alternative water as a percentage of total water supplied to customers</w:t>
            </w:r>
          </w:p>
        </w:tc>
        <w:tc>
          <w:tcPr>
            <w:tcW w:w="2127" w:type="dxa"/>
            <w:shd w:val="clear" w:color="auto" w:fill="FFFFFF" w:themeFill="background1"/>
            <w:noWrap/>
            <w:vAlign w:val="center"/>
            <w:hideMark/>
          </w:tcPr>
          <w:p w14:paraId="58298E66" w14:textId="77777777" w:rsidR="00FD64D3" w:rsidRPr="00551501" w:rsidRDefault="00FD64D3" w:rsidP="00360131">
            <w:pPr>
              <w:jc w:val="center"/>
            </w:pPr>
            <w:r w:rsidRPr="00551501">
              <w:t>4.0%</w:t>
            </w:r>
          </w:p>
        </w:tc>
        <w:tc>
          <w:tcPr>
            <w:tcW w:w="1701" w:type="dxa"/>
            <w:shd w:val="clear" w:color="auto" w:fill="FFFFFF" w:themeFill="background1"/>
            <w:noWrap/>
            <w:vAlign w:val="center"/>
            <w:hideMark/>
          </w:tcPr>
          <w:p w14:paraId="4D48B5AC" w14:textId="77777777" w:rsidR="00FD64D3" w:rsidRPr="00551501" w:rsidRDefault="00FD64D3" w:rsidP="00360131">
            <w:pPr>
              <w:jc w:val="center"/>
            </w:pPr>
            <w:r w:rsidRPr="00551501">
              <w:t>3.8%</w:t>
            </w:r>
          </w:p>
        </w:tc>
        <w:tc>
          <w:tcPr>
            <w:tcW w:w="1675" w:type="dxa"/>
            <w:shd w:val="clear" w:color="auto" w:fill="FFFFFF" w:themeFill="background1"/>
            <w:noWrap/>
            <w:vAlign w:val="center"/>
            <w:hideMark/>
          </w:tcPr>
          <w:p w14:paraId="796E606C" w14:textId="77777777" w:rsidR="00FD64D3" w:rsidRPr="00551501" w:rsidRDefault="00FD64D3" w:rsidP="00360131">
            <w:pPr>
              <w:jc w:val="center"/>
            </w:pPr>
            <w:r w:rsidRPr="00551501">
              <w:t>7.0%</w:t>
            </w:r>
          </w:p>
        </w:tc>
      </w:tr>
      <w:tr w:rsidR="003B74C9" w:rsidRPr="000B5526" w14:paraId="3315A63D" w14:textId="77777777" w:rsidTr="001A2D61">
        <w:trPr>
          <w:cnfStyle w:val="000000100000" w:firstRow="0" w:lastRow="0" w:firstColumn="0" w:lastColumn="0" w:oddVBand="0" w:evenVBand="0" w:oddHBand="1" w:evenHBand="0" w:firstRowFirstColumn="0" w:firstRowLastColumn="0" w:lastRowFirstColumn="0" w:lastRowLastColumn="0"/>
          <w:trHeight w:val="97"/>
        </w:trPr>
        <w:tc>
          <w:tcPr>
            <w:tcW w:w="3971" w:type="dxa"/>
            <w:shd w:val="clear" w:color="auto" w:fill="FFFFFF" w:themeFill="background1"/>
            <w:hideMark/>
          </w:tcPr>
          <w:p w14:paraId="3BF94781" w14:textId="2E836C6F" w:rsidR="00FD64D3" w:rsidRPr="00551501" w:rsidRDefault="00FD64D3" w:rsidP="003834F2">
            <w:r w:rsidRPr="00551501">
              <w:t xml:space="preserve">Number of EPA reportable dry weather sewer spills </w:t>
            </w:r>
            <w:r w:rsidRPr="00116E55">
              <w:rPr>
                <w:rFonts w:cstheme="minorBidi"/>
                <w:sz w:val="16"/>
                <w:szCs w:val="16"/>
              </w:rPr>
              <w:t>(</w:t>
            </w:r>
            <w:r w:rsidR="00D177A6">
              <w:rPr>
                <w:rFonts w:cstheme="minorBidi"/>
                <w:sz w:val="16"/>
                <w:szCs w:val="16"/>
              </w:rPr>
              <w:t>d</w:t>
            </w:r>
            <w:r w:rsidRPr="00116E55">
              <w:rPr>
                <w:rFonts w:cstheme="minorBidi"/>
                <w:sz w:val="16"/>
                <w:szCs w:val="16"/>
              </w:rPr>
              <w:t>)</w:t>
            </w:r>
          </w:p>
        </w:tc>
        <w:tc>
          <w:tcPr>
            <w:tcW w:w="2127" w:type="dxa"/>
            <w:shd w:val="clear" w:color="auto" w:fill="FFFFFF" w:themeFill="background1"/>
            <w:noWrap/>
            <w:vAlign w:val="center"/>
            <w:hideMark/>
          </w:tcPr>
          <w:p w14:paraId="6538F787" w14:textId="77777777" w:rsidR="00FD64D3" w:rsidRPr="00551501" w:rsidRDefault="00FD64D3" w:rsidP="00360131">
            <w:pPr>
              <w:jc w:val="center"/>
            </w:pPr>
            <w:r w:rsidRPr="00551501">
              <w:t>11</w:t>
            </w:r>
          </w:p>
        </w:tc>
        <w:tc>
          <w:tcPr>
            <w:tcW w:w="1701" w:type="dxa"/>
            <w:shd w:val="clear" w:color="auto" w:fill="FFFFFF" w:themeFill="background1"/>
            <w:noWrap/>
            <w:vAlign w:val="center"/>
            <w:hideMark/>
          </w:tcPr>
          <w:p w14:paraId="557CE3D0" w14:textId="77777777" w:rsidR="00FD64D3" w:rsidRPr="00551501" w:rsidRDefault="00FD64D3" w:rsidP="00360131">
            <w:pPr>
              <w:jc w:val="center"/>
            </w:pPr>
            <w:r w:rsidRPr="00551501">
              <w:t>14</w:t>
            </w:r>
          </w:p>
        </w:tc>
        <w:tc>
          <w:tcPr>
            <w:tcW w:w="1675" w:type="dxa"/>
            <w:shd w:val="clear" w:color="auto" w:fill="FFFFFF" w:themeFill="background1"/>
            <w:noWrap/>
            <w:vAlign w:val="center"/>
            <w:hideMark/>
          </w:tcPr>
          <w:p w14:paraId="333C8060" w14:textId="6EBCED8A" w:rsidR="00FD64D3" w:rsidRPr="00551501" w:rsidRDefault="00FD64D3" w:rsidP="00360131">
            <w:pPr>
              <w:jc w:val="center"/>
            </w:pPr>
            <w:r w:rsidRPr="00551501">
              <w:t>15</w:t>
            </w:r>
          </w:p>
        </w:tc>
      </w:tr>
    </w:tbl>
    <w:p w14:paraId="3FC00AD2" w14:textId="4EFE4F10" w:rsidR="00395495" w:rsidRPr="009A28DC" w:rsidRDefault="000536D1" w:rsidP="00116E55">
      <w:pPr>
        <w:spacing w:after="40"/>
        <w:rPr>
          <w:sz w:val="16"/>
          <w:szCs w:val="16"/>
        </w:rPr>
      </w:pPr>
      <w:r>
        <w:rPr>
          <w:sz w:val="16"/>
          <w:szCs w:val="16"/>
        </w:rPr>
        <w:br/>
      </w:r>
      <w:r w:rsidR="00395495" w:rsidRPr="009A28DC">
        <w:rPr>
          <w:sz w:val="16"/>
          <w:szCs w:val="16"/>
        </w:rPr>
        <w:t>(N/A) Data not available due to new or redefined measure</w:t>
      </w:r>
    </w:p>
    <w:p w14:paraId="456BE046" w14:textId="6009D152" w:rsidR="00395495" w:rsidRPr="009A28DC" w:rsidRDefault="00395495" w:rsidP="00116E55">
      <w:pPr>
        <w:spacing w:after="40"/>
        <w:rPr>
          <w:sz w:val="16"/>
          <w:szCs w:val="16"/>
        </w:rPr>
      </w:pPr>
      <w:r w:rsidRPr="009A28DC">
        <w:rPr>
          <w:sz w:val="16"/>
          <w:szCs w:val="16"/>
        </w:rPr>
        <w:t xml:space="preserve">(a) </w:t>
      </w:r>
      <w:r w:rsidR="00E57765">
        <w:rPr>
          <w:sz w:val="16"/>
          <w:szCs w:val="16"/>
        </w:rPr>
        <w:t xml:space="preserve">Water quality </w:t>
      </w:r>
      <w:r w:rsidR="00A218B0">
        <w:rPr>
          <w:sz w:val="16"/>
          <w:szCs w:val="16"/>
        </w:rPr>
        <w:t xml:space="preserve">disruptions </w:t>
      </w:r>
      <w:r w:rsidR="00233A85">
        <w:rPr>
          <w:sz w:val="16"/>
          <w:szCs w:val="16"/>
        </w:rPr>
        <w:t>relate</w:t>
      </w:r>
      <w:r w:rsidR="00A218B0">
        <w:rPr>
          <w:sz w:val="16"/>
          <w:szCs w:val="16"/>
        </w:rPr>
        <w:t xml:space="preserve"> to the issue of a </w:t>
      </w:r>
      <w:r w:rsidR="00233A85">
        <w:rPr>
          <w:sz w:val="16"/>
          <w:szCs w:val="16"/>
        </w:rPr>
        <w:t>‘</w:t>
      </w:r>
      <w:r w:rsidR="00A218B0">
        <w:rPr>
          <w:sz w:val="16"/>
          <w:szCs w:val="16"/>
        </w:rPr>
        <w:t>Do not drink</w:t>
      </w:r>
      <w:r w:rsidR="00233A85">
        <w:rPr>
          <w:sz w:val="16"/>
          <w:szCs w:val="16"/>
        </w:rPr>
        <w:t>’</w:t>
      </w:r>
      <w:r w:rsidR="00A218B0">
        <w:rPr>
          <w:sz w:val="16"/>
          <w:szCs w:val="16"/>
        </w:rPr>
        <w:t xml:space="preserve"> or </w:t>
      </w:r>
      <w:r w:rsidR="00233A85">
        <w:rPr>
          <w:sz w:val="16"/>
          <w:szCs w:val="16"/>
        </w:rPr>
        <w:t>‘</w:t>
      </w:r>
      <w:r w:rsidR="00A218B0">
        <w:rPr>
          <w:sz w:val="16"/>
          <w:szCs w:val="16"/>
        </w:rPr>
        <w:t>Boil water</w:t>
      </w:r>
      <w:r w:rsidR="00233A85">
        <w:rPr>
          <w:sz w:val="16"/>
          <w:szCs w:val="16"/>
        </w:rPr>
        <w:t>’</w:t>
      </w:r>
      <w:r w:rsidR="00A218B0">
        <w:rPr>
          <w:sz w:val="16"/>
          <w:szCs w:val="16"/>
        </w:rPr>
        <w:t xml:space="preserve"> advisory</w:t>
      </w:r>
    </w:p>
    <w:p w14:paraId="5687A9EE" w14:textId="796F4F59" w:rsidR="00395495" w:rsidRPr="009A28DC" w:rsidRDefault="00395495" w:rsidP="00116E55">
      <w:pPr>
        <w:spacing w:after="40"/>
        <w:rPr>
          <w:sz w:val="16"/>
          <w:szCs w:val="16"/>
        </w:rPr>
      </w:pPr>
      <w:r w:rsidRPr="009A28DC">
        <w:rPr>
          <w:sz w:val="16"/>
          <w:szCs w:val="16"/>
        </w:rPr>
        <w:t>(b) Total water saved from date leak fixed to next bill date by the 2023</w:t>
      </w:r>
      <w:r w:rsidR="007D4EB3">
        <w:rPr>
          <w:sz w:val="16"/>
          <w:szCs w:val="16"/>
        </w:rPr>
        <w:t>–</w:t>
      </w:r>
      <w:r w:rsidRPr="009A28DC">
        <w:rPr>
          <w:sz w:val="16"/>
          <w:szCs w:val="16"/>
        </w:rPr>
        <w:t xml:space="preserve">24 tier </w:t>
      </w:r>
      <w:r w:rsidR="00445739">
        <w:rPr>
          <w:sz w:val="16"/>
          <w:szCs w:val="16"/>
        </w:rPr>
        <w:t>2</w:t>
      </w:r>
      <w:r w:rsidRPr="009A28DC">
        <w:rPr>
          <w:sz w:val="16"/>
          <w:szCs w:val="16"/>
        </w:rPr>
        <w:t xml:space="preserve"> water price ($</w:t>
      </w:r>
      <w:r w:rsidR="004D1594">
        <w:rPr>
          <w:sz w:val="16"/>
          <w:szCs w:val="16"/>
        </w:rPr>
        <w:t>4</w:t>
      </w:r>
      <w:r w:rsidRPr="009A28DC">
        <w:rPr>
          <w:sz w:val="16"/>
          <w:szCs w:val="16"/>
        </w:rPr>
        <w:t>.</w:t>
      </w:r>
      <w:r w:rsidR="004D1594">
        <w:rPr>
          <w:sz w:val="16"/>
          <w:szCs w:val="16"/>
        </w:rPr>
        <w:t>08</w:t>
      </w:r>
      <w:r w:rsidR="00E404BF">
        <w:rPr>
          <w:sz w:val="16"/>
          <w:szCs w:val="16"/>
        </w:rPr>
        <w:t>96</w:t>
      </w:r>
      <w:r w:rsidR="00263860">
        <w:rPr>
          <w:sz w:val="16"/>
          <w:szCs w:val="16"/>
        </w:rPr>
        <w:t xml:space="preserve"> per kL</w:t>
      </w:r>
      <w:r w:rsidRPr="009A28DC">
        <w:rPr>
          <w:sz w:val="16"/>
          <w:szCs w:val="16"/>
        </w:rPr>
        <w:t>)</w:t>
      </w:r>
    </w:p>
    <w:p w14:paraId="4E7023EF" w14:textId="11E05AC0" w:rsidR="00CE5D7E" w:rsidRPr="009A28DC" w:rsidRDefault="00395495" w:rsidP="00116E55">
      <w:pPr>
        <w:spacing w:after="40"/>
        <w:rPr>
          <w:sz w:val="16"/>
          <w:szCs w:val="16"/>
        </w:rPr>
      </w:pPr>
      <w:r w:rsidRPr="009A28DC">
        <w:rPr>
          <w:sz w:val="16"/>
          <w:szCs w:val="16"/>
        </w:rPr>
        <w:t xml:space="preserve">(c) </w:t>
      </w:r>
      <w:r w:rsidR="00263860">
        <w:rPr>
          <w:sz w:val="16"/>
          <w:szCs w:val="16"/>
        </w:rPr>
        <w:t>Re-</w:t>
      </w:r>
      <w:r w:rsidR="00FB5CBE">
        <w:rPr>
          <w:sz w:val="16"/>
          <w:szCs w:val="16"/>
        </w:rPr>
        <w:t>b</w:t>
      </w:r>
      <w:r w:rsidRPr="009A28DC">
        <w:rPr>
          <w:sz w:val="16"/>
          <w:szCs w:val="16"/>
        </w:rPr>
        <w:t>aselined due to expansion of channels including credit management and hardship. Responses of 7 and above out of 10 are considered positive</w:t>
      </w:r>
      <w:r w:rsidR="00D177A6">
        <w:rPr>
          <w:sz w:val="16"/>
          <w:szCs w:val="16"/>
        </w:rPr>
        <w:br/>
      </w:r>
      <w:r w:rsidR="00D177A6" w:rsidRPr="009A28DC">
        <w:rPr>
          <w:sz w:val="16"/>
          <w:szCs w:val="16"/>
        </w:rPr>
        <w:t>(</w:t>
      </w:r>
      <w:r w:rsidR="00D177A6">
        <w:rPr>
          <w:sz w:val="16"/>
          <w:szCs w:val="16"/>
        </w:rPr>
        <w:t>d</w:t>
      </w:r>
      <w:r w:rsidR="00D177A6" w:rsidRPr="009A28DC">
        <w:rPr>
          <w:sz w:val="16"/>
          <w:szCs w:val="16"/>
        </w:rPr>
        <w:t xml:space="preserve">) Target </w:t>
      </w:r>
      <w:r w:rsidR="00D177A6">
        <w:rPr>
          <w:sz w:val="16"/>
          <w:szCs w:val="16"/>
        </w:rPr>
        <w:t>is</w:t>
      </w:r>
      <w:r w:rsidR="00D177A6" w:rsidRPr="009A28DC">
        <w:rPr>
          <w:sz w:val="16"/>
          <w:szCs w:val="16"/>
        </w:rPr>
        <w:t xml:space="preserve"> based on longer-term modelling given weather dependency</w:t>
      </w:r>
    </w:p>
    <w:p w14:paraId="09C4719B" w14:textId="77777777" w:rsidR="006416F2" w:rsidRDefault="006416F2" w:rsidP="006416F2">
      <w:pPr>
        <w:pStyle w:val="Heading4"/>
      </w:pPr>
      <w:r>
        <w:t>Prices are forecast to fall in real terms</w:t>
      </w:r>
    </w:p>
    <w:p w14:paraId="5046F7F0" w14:textId="3D65890E" w:rsidR="006416F2" w:rsidRDefault="006416F2" w:rsidP="006416F2">
      <w:r>
        <w:t xml:space="preserve">Prices are forecast to fall by around </w:t>
      </w:r>
      <w:r w:rsidR="0064019F">
        <w:t>6</w:t>
      </w:r>
      <w:r>
        <w:t>%</w:t>
      </w:r>
      <w:r w:rsidR="000F6DE8" w:rsidRPr="00664B3A">
        <w:rPr>
          <w:rStyle w:val="FootnoteReference"/>
          <w:color w:val="auto"/>
        </w:rPr>
        <w:footnoteReference w:id="2"/>
      </w:r>
      <w:r>
        <w:t xml:space="preserve"> (on average) in real terms</w:t>
      </w:r>
      <w:r w:rsidR="00A532E7">
        <w:t xml:space="preserve"> in </w:t>
      </w:r>
      <w:r w:rsidR="00D36DCD">
        <w:t>2023</w:t>
      </w:r>
      <w:r w:rsidR="007D4EB3">
        <w:t>–</w:t>
      </w:r>
      <w:r w:rsidR="00D36DCD">
        <w:t>24</w:t>
      </w:r>
      <w:r>
        <w:t xml:space="preserve">. </w:t>
      </w:r>
    </w:p>
    <w:p w14:paraId="4DA2879B" w14:textId="7E9156E4" w:rsidR="006416F2" w:rsidRDefault="006416F2" w:rsidP="006416F2">
      <w:r>
        <w:t xml:space="preserve">As agreed with customers, we propose to change tariff structures by removing the residential sewage disposal charge. We will allocate the shortfall in revenue to variable water tariffs, allowing residential customers to have more control over their bills </w:t>
      </w:r>
      <w:r w:rsidR="00D11C2D">
        <w:br/>
      </w:r>
      <w:r>
        <w:t xml:space="preserve">(supported by the </w:t>
      </w:r>
      <w:r w:rsidR="004C0948">
        <w:t>rollout</w:t>
      </w:r>
      <w:r>
        <w:t xml:space="preserve"> of digital meters).</w:t>
      </w:r>
    </w:p>
    <w:p w14:paraId="6F3921D8" w14:textId="20CF51F5" w:rsidR="006416F2" w:rsidRDefault="00C17D73" w:rsidP="006416F2">
      <w:r>
        <w:t>Tables 2 and 3</w:t>
      </w:r>
      <w:r w:rsidR="006416F2" w:rsidRPr="00A779CE">
        <w:t xml:space="preserve"> show a sample of customer bill impacts resulting from the proposed 20</w:t>
      </w:r>
      <w:r w:rsidR="006416F2">
        <w:t>23</w:t>
      </w:r>
      <w:r w:rsidR="007D4EB3">
        <w:t>–</w:t>
      </w:r>
      <w:r w:rsidR="006416F2">
        <w:t>24</w:t>
      </w:r>
      <w:r w:rsidR="006416F2" w:rsidRPr="00A779CE">
        <w:t xml:space="preserve"> price change</w:t>
      </w:r>
      <w:r w:rsidR="006416F2">
        <w:t>.</w:t>
      </w:r>
    </w:p>
    <w:p w14:paraId="4292FC5D" w14:textId="2B2AE6FB" w:rsidR="00C92098" w:rsidRDefault="00C92098">
      <w:pPr>
        <w:rPr>
          <w:b/>
          <w:bCs/>
          <w:i/>
          <w:iCs/>
          <w:sz w:val="22"/>
          <w:szCs w:val="22"/>
        </w:rPr>
      </w:pPr>
      <w:r>
        <w:rPr>
          <w:b/>
          <w:bCs/>
          <w:i/>
          <w:iCs/>
          <w:sz w:val="22"/>
          <w:szCs w:val="22"/>
        </w:rPr>
        <w:br w:type="page"/>
      </w:r>
    </w:p>
    <w:p w14:paraId="27EBFC55" w14:textId="77777777" w:rsidR="00EE07A5" w:rsidRDefault="00EE07A5">
      <w:pPr>
        <w:rPr>
          <w:b/>
          <w:bCs/>
          <w:i/>
          <w:iCs/>
          <w:sz w:val="22"/>
          <w:szCs w:val="22"/>
        </w:rPr>
      </w:pPr>
    </w:p>
    <w:p w14:paraId="486CD5AD" w14:textId="0BEF40B8" w:rsidR="00B4723E" w:rsidRPr="000D5C3E" w:rsidRDefault="00B4723E" w:rsidP="006416F2">
      <w:pPr>
        <w:rPr>
          <w:b/>
          <w:bCs/>
          <w:i/>
          <w:iCs/>
          <w:sz w:val="22"/>
          <w:szCs w:val="22"/>
        </w:rPr>
      </w:pPr>
      <w:r w:rsidRPr="000D5C3E">
        <w:rPr>
          <w:b/>
          <w:bCs/>
          <w:i/>
          <w:iCs/>
          <w:sz w:val="22"/>
          <w:szCs w:val="22"/>
        </w:rPr>
        <w:t>Tab</w:t>
      </w:r>
      <w:r w:rsidR="00230926" w:rsidRPr="000D5C3E">
        <w:rPr>
          <w:b/>
          <w:bCs/>
          <w:i/>
          <w:iCs/>
          <w:sz w:val="22"/>
          <w:szCs w:val="22"/>
        </w:rPr>
        <w:t xml:space="preserve">le </w:t>
      </w:r>
      <w:r w:rsidR="00032853" w:rsidRPr="00CE6C4E">
        <w:rPr>
          <w:b/>
          <w:bCs/>
          <w:i/>
          <w:iCs/>
          <w:sz w:val="22"/>
          <w:szCs w:val="22"/>
        </w:rPr>
        <w:fldChar w:fldCharType="begin"/>
      </w:r>
      <w:r w:rsidR="00032853" w:rsidRPr="00CE6C4E">
        <w:rPr>
          <w:b/>
          <w:bCs/>
          <w:i/>
          <w:iCs/>
          <w:sz w:val="22"/>
          <w:szCs w:val="22"/>
        </w:rPr>
        <w:instrText>SEQ Table \* ARABIC</w:instrText>
      </w:r>
      <w:r w:rsidR="00032853" w:rsidRPr="00CE6C4E">
        <w:rPr>
          <w:b/>
          <w:bCs/>
          <w:i/>
          <w:iCs/>
          <w:sz w:val="22"/>
          <w:szCs w:val="22"/>
        </w:rPr>
        <w:fldChar w:fldCharType="separate"/>
      </w:r>
      <w:r w:rsidR="00032853">
        <w:rPr>
          <w:b/>
          <w:bCs/>
          <w:i/>
          <w:iCs/>
          <w:noProof/>
          <w:sz w:val="22"/>
          <w:szCs w:val="22"/>
        </w:rPr>
        <w:t>2</w:t>
      </w:r>
      <w:r w:rsidR="00032853" w:rsidRPr="00CE6C4E">
        <w:rPr>
          <w:b/>
          <w:bCs/>
          <w:i/>
          <w:iCs/>
          <w:sz w:val="22"/>
          <w:szCs w:val="22"/>
        </w:rPr>
        <w:fldChar w:fldCharType="end"/>
      </w:r>
      <w:r w:rsidR="004D1594">
        <w:rPr>
          <w:b/>
          <w:bCs/>
          <w:i/>
          <w:iCs/>
          <w:sz w:val="22"/>
          <w:szCs w:val="22"/>
        </w:rPr>
        <w:t>:</w:t>
      </w:r>
      <w:r w:rsidR="00230926" w:rsidRPr="000D5C3E">
        <w:rPr>
          <w:b/>
          <w:bCs/>
          <w:i/>
          <w:iCs/>
          <w:sz w:val="22"/>
          <w:szCs w:val="22"/>
        </w:rPr>
        <w:t xml:space="preserve"> </w:t>
      </w:r>
      <w:r w:rsidR="00465AB5" w:rsidRPr="000D5C3E">
        <w:rPr>
          <w:b/>
          <w:bCs/>
          <w:i/>
          <w:iCs/>
          <w:sz w:val="22"/>
          <w:szCs w:val="22"/>
        </w:rPr>
        <w:t xml:space="preserve">Residential </w:t>
      </w:r>
      <w:r w:rsidR="00EE6937" w:rsidRPr="000D5C3E">
        <w:rPr>
          <w:b/>
          <w:bCs/>
          <w:i/>
          <w:iCs/>
          <w:sz w:val="22"/>
          <w:szCs w:val="22"/>
        </w:rPr>
        <w:t xml:space="preserve">customer </w:t>
      </w:r>
      <w:r w:rsidR="006102AD" w:rsidRPr="000D5C3E">
        <w:rPr>
          <w:b/>
          <w:bCs/>
          <w:i/>
          <w:iCs/>
          <w:sz w:val="22"/>
          <w:szCs w:val="22"/>
        </w:rPr>
        <w:t xml:space="preserve">impacts </w:t>
      </w:r>
      <w:r w:rsidR="00DA1366" w:rsidRPr="000D5C3E">
        <w:rPr>
          <w:b/>
          <w:bCs/>
          <w:i/>
          <w:iCs/>
          <w:sz w:val="22"/>
          <w:szCs w:val="22"/>
        </w:rPr>
        <w:t xml:space="preserve">from </w:t>
      </w:r>
      <w:r w:rsidR="000225A0" w:rsidRPr="000D5C3E">
        <w:rPr>
          <w:b/>
          <w:bCs/>
          <w:i/>
          <w:iCs/>
          <w:sz w:val="22"/>
          <w:szCs w:val="22"/>
        </w:rPr>
        <w:t>proposed 2023</w:t>
      </w:r>
      <w:r w:rsidR="007D4EB3">
        <w:rPr>
          <w:b/>
          <w:bCs/>
          <w:i/>
          <w:iCs/>
          <w:sz w:val="22"/>
          <w:szCs w:val="22"/>
        </w:rPr>
        <w:t>–</w:t>
      </w:r>
      <w:r w:rsidR="000225A0" w:rsidRPr="000D5C3E">
        <w:rPr>
          <w:b/>
          <w:bCs/>
          <w:i/>
          <w:iCs/>
          <w:sz w:val="22"/>
          <w:szCs w:val="22"/>
        </w:rPr>
        <w:t>24 changes</w:t>
      </w:r>
    </w:p>
    <w:tbl>
      <w:tblPr>
        <w:tblStyle w:val="MJTableStyle1default"/>
        <w:tblW w:w="4949" w:type="pct"/>
        <w:tblInd w:w="5" w:type="dxa"/>
        <w:tblBorders>
          <w:top w:val="single" w:sz="2" w:space="0" w:color="002279"/>
          <w:left w:val="single" w:sz="2" w:space="0" w:color="002279"/>
          <w:bottom w:val="single" w:sz="2" w:space="0" w:color="002279"/>
          <w:right w:val="single" w:sz="2" w:space="0" w:color="002279"/>
          <w:insideH w:val="single" w:sz="2" w:space="0" w:color="002279"/>
          <w:insideV w:val="single" w:sz="2" w:space="0" w:color="002279"/>
        </w:tblBorders>
        <w:tblLayout w:type="fixed"/>
        <w:tblCellMar>
          <w:top w:w="113" w:type="dxa"/>
          <w:bottom w:w="113" w:type="dxa"/>
        </w:tblCellMar>
        <w:tblLook w:val="04A0" w:firstRow="1" w:lastRow="0" w:firstColumn="1" w:lastColumn="0" w:noHBand="0" w:noVBand="1"/>
      </w:tblPr>
      <w:tblGrid>
        <w:gridCol w:w="2559"/>
        <w:gridCol w:w="1386"/>
        <w:gridCol w:w="1386"/>
        <w:gridCol w:w="1386"/>
        <w:gridCol w:w="1385"/>
        <w:gridCol w:w="1387"/>
      </w:tblGrid>
      <w:tr w:rsidR="00F6749E" w:rsidRPr="00686621" w14:paraId="68DE23EF" w14:textId="77777777" w:rsidTr="00E73D07">
        <w:trPr>
          <w:cnfStyle w:val="100000000000" w:firstRow="1" w:lastRow="0" w:firstColumn="0" w:lastColumn="0" w:oddVBand="0" w:evenVBand="0" w:oddHBand="0" w:evenHBand="0" w:firstRowFirstColumn="0" w:firstRowLastColumn="0" w:lastRowFirstColumn="0" w:lastRowLastColumn="0"/>
          <w:trHeight w:val="419"/>
        </w:trPr>
        <w:tc>
          <w:tcPr>
            <w:tcW w:w="1348" w:type="pct"/>
            <w:tcBorders>
              <w:right w:val="single" w:sz="4" w:space="0" w:color="FFFFFF" w:themeColor="background1"/>
            </w:tcBorders>
            <w:shd w:val="clear" w:color="auto" w:fill="002379" w:themeFill="text2"/>
            <w:noWrap/>
            <w:vAlign w:val="center"/>
            <w:hideMark/>
          </w:tcPr>
          <w:p w14:paraId="7DD441D1" w14:textId="77777777" w:rsidR="006416F2" w:rsidRPr="00A62088" w:rsidRDefault="006416F2" w:rsidP="00116E55">
            <w:pPr>
              <w:pStyle w:val="Heading4"/>
              <w:outlineLvl w:val="3"/>
              <w:rPr>
                <w:szCs w:val="20"/>
              </w:rPr>
            </w:pPr>
            <w:r w:rsidRPr="0097263A">
              <w:rPr>
                <w:color w:val="FFFFFF" w:themeColor="background1"/>
                <w:szCs w:val="20"/>
              </w:rPr>
              <w:t>Residential customer</w:t>
            </w:r>
          </w:p>
        </w:tc>
        <w:tc>
          <w:tcPr>
            <w:tcW w:w="730" w:type="pct"/>
            <w:tcBorders>
              <w:left w:val="single" w:sz="4" w:space="0" w:color="FFFFFF" w:themeColor="background1"/>
              <w:right w:val="single" w:sz="4" w:space="0" w:color="FFFFFF" w:themeColor="background1"/>
            </w:tcBorders>
            <w:shd w:val="clear" w:color="auto" w:fill="002379" w:themeFill="text2"/>
            <w:noWrap/>
            <w:vAlign w:val="center"/>
            <w:hideMark/>
          </w:tcPr>
          <w:p w14:paraId="52EDF3EC" w14:textId="6262FC23" w:rsidR="006416F2" w:rsidRPr="00A62088" w:rsidRDefault="006416F2" w:rsidP="00360131">
            <w:pPr>
              <w:pStyle w:val="Heading4"/>
              <w:jc w:val="center"/>
              <w:outlineLvl w:val="3"/>
              <w:rPr>
                <w:szCs w:val="20"/>
              </w:rPr>
            </w:pPr>
            <w:r w:rsidRPr="0097263A">
              <w:rPr>
                <w:color w:val="FFFFFF" w:themeColor="background1"/>
                <w:szCs w:val="20"/>
              </w:rPr>
              <w:t>Usage per year (k</w:t>
            </w:r>
            <w:r w:rsidR="008B6EB8" w:rsidRPr="0097263A">
              <w:rPr>
                <w:color w:val="FFFFFF" w:themeColor="background1"/>
                <w:szCs w:val="20"/>
              </w:rPr>
              <w:t>L</w:t>
            </w:r>
            <w:r w:rsidRPr="0097263A">
              <w:rPr>
                <w:color w:val="FFFFFF" w:themeColor="background1"/>
                <w:szCs w:val="20"/>
              </w:rPr>
              <w:t>)</w:t>
            </w:r>
          </w:p>
        </w:tc>
        <w:tc>
          <w:tcPr>
            <w:tcW w:w="730" w:type="pct"/>
            <w:tcBorders>
              <w:left w:val="single" w:sz="4" w:space="0" w:color="FFFFFF" w:themeColor="background1"/>
              <w:right w:val="single" w:sz="4" w:space="0" w:color="FFFFFF" w:themeColor="background1"/>
            </w:tcBorders>
            <w:shd w:val="clear" w:color="auto" w:fill="002379" w:themeFill="text2"/>
            <w:noWrap/>
            <w:vAlign w:val="center"/>
            <w:hideMark/>
          </w:tcPr>
          <w:p w14:paraId="0DB38E76" w14:textId="0A6FB4E4" w:rsidR="006416F2" w:rsidRPr="00A62088" w:rsidRDefault="006416F2" w:rsidP="00360131">
            <w:pPr>
              <w:pStyle w:val="Heading4"/>
              <w:jc w:val="center"/>
              <w:outlineLvl w:val="3"/>
              <w:rPr>
                <w:szCs w:val="20"/>
              </w:rPr>
            </w:pPr>
            <w:r w:rsidRPr="0097263A">
              <w:rPr>
                <w:color w:val="FFFFFF" w:themeColor="background1"/>
                <w:szCs w:val="20"/>
              </w:rPr>
              <w:t>2022</w:t>
            </w:r>
            <w:r w:rsidR="007D4EB3" w:rsidRPr="0097263A">
              <w:rPr>
                <w:color w:val="FFFFFF" w:themeColor="background1"/>
                <w:szCs w:val="20"/>
              </w:rPr>
              <w:t>–</w:t>
            </w:r>
            <w:r w:rsidRPr="0097263A">
              <w:rPr>
                <w:color w:val="FFFFFF" w:themeColor="background1"/>
                <w:szCs w:val="20"/>
              </w:rPr>
              <w:t>23 annual bill</w:t>
            </w:r>
          </w:p>
        </w:tc>
        <w:tc>
          <w:tcPr>
            <w:tcW w:w="730" w:type="pct"/>
            <w:tcBorders>
              <w:left w:val="single" w:sz="4" w:space="0" w:color="FFFFFF" w:themeColor="background1"/>
              <w:right w:val="single" w:sz="4" w:space="0" w:color="FFFFFF" w:themeColor="background1"/>
            </w:tcBorders>
            <w:shd w:val="clear" w:color="auto" w:fill="002379" w:themeFill="text2"/>
            <w:vAlign w:val="center"/>
            <w:hideMark/>
          </w:tcPr>
          <w:p w14:paraId="3C6D03A8" w14:textId="75FF8D68" w:rsidR="006416F2" w:rsidRPr="00A62088" w:rsidRDefault="006416F2" w:rsidP="00360131">
            <w:pPr>
              <w:pStyle w:val="Heading4"/>
              <w:jc w:val="center"/>
              <w:outlineLvl w:val="3"/>
              <w:rPr>
                <w:szCs w:val="20"/>
              </w:rPr>
            </w:pPr>
            <w:r w:rsidRPr="0097263A">
              <w:rPr>
                <w:color w:val="FFFFFF" w:themeColor="background1"/>
                <w:szCs w:val="20"/>
              </w:rPr>
              <w:t>2023</w:t>
            </w:r>
            <w:r w:rsidR="007D4EB3" w:rsidRPr="0097263A">
              <w:rPr>
                <w:color w:val="FFFFFF" w:themeColor="background1"/>
                <w:szCs w:val="20"/>
              </w:rPr>
              <w:t>–</w:t>
            </w:r>
            <w:r w:rsidRPr="0097263A">
              <w:rPr>
                <w:color w:val="FFFFFF" w:themeColor="background1"/>
                <w:szCs w:val="20"/>
              </w:rPr>
              <w:t>24 annual bill</w:t>
            </w:r>
          </w:p>
        </w:tc>
        <w:tc>
          <w:tcPr>
            <w:tcW w:w="730" w:type="pct"/>
            <w:tcBorders>
              <w:left w:val="single" w:sz="4" w:space="0" w:color="FFFFFF" w:themeColor="background1"/>
              <w:right w:val="single" w:sz="4" w:space="0" w:color="FFFFFF" w:themeColor="background1"/>
            </w:tcBorders>
            <w:shd w:val="clear" w:color="auto" w:fill="002379" w:themeFill="text2"/>
            <w:vAlign w:val="center"/>
            <w:hideMark/>
          </w:tcPr>
          <w:p w14:paraId="3D32261D" w14:textId="67E0B774" w:rsidR="006416F2" w:rsidRPr="00A62088" w:rsidRDefault="006416F2" w:rsidP="00360131">
            <w:pPr>
              <w:pStyle w:val="Heading4"/>
              <w:jc w:val="center"/>
              <w:outlineLvl w:val="3"/>
              <w:rPr>
                <w:szCs w:val="20"/>
              </w:rPr>
            </w:pPr>
            <w:r w:rsidRPr="0097263A">
              <w:rPr>
                <w:color w:val="FFFFFF" w:themeColor="background1"/>
                <w:szCs w:val="20"/>
              </w:rPr>
              <w:t>$ change</w:t>
            </w:r>
          </w:p>
        </w:tc>
        <w:tc>
          <w:tcPr>
            <w:tcW w:w="731" w:type="pct"/>
            <w:tcBorders>
              <w:left w:val="single" w:sz="4" w:space="0" w:color="FFFFFF" w:themeColor="background1"/>
            </w:tcBorders>
            <w:shd w:val="clear" w:color="auto" w:fill="002379" w:themeFill="text2"/>
            <w:vAlign w:val="center"/>
            <w:hideMark/>
          </w:tcPr>
          <w:p w14:paraId="47ECF775" w14:textId="32EAD3E7" w:rsidR="006416F2" w:rsidRPr="00A62088" w:rsidRDefault="006416F2" w:rsidP="00360131">
            <w:pPr>
              <w:pStyle w:val="Heading4"/>
              <w:jc w:val="center"/>
              <w:outlineLvl w:val="3"/>
              <w:rPr>
                <w:szCs w:val="20"/>
              </w:rPr>
            </w:pPr>
            <w:r w:rsidRPr="0097263A">
              <w:rPr>
                <w:color w:val="FFFFFF" w:themeColor="background1"/>
                <w:szCs w:val="20"/>
              </w:rPr>
              <w:t>% change</w:t>
            </w:r>
          </w:p>
        </w:tc>
      </w:tr>
      <w:tr w:rsidR="008D2C5B" w:rsidRPr="00686621" w14:paraId="109FEE9A" w14:textId="77777777" w:rsidTr="00360131">
        <w:trPr>
          <w:cnfStyle w:val="000000100000" w:firstRow="0" w:lastRow="0" w:firstColumn="0" w:lastColumn="0" w:oddVBand="0" w:evenVBand="0" w:oddHBand="1" w:evenHBand="0" w:firstRowFirstColumn="0" w:firstRowLastColumn="0" w:lastRowFirstColumn="0" w:lastRowLastColumn="0"/>
          <w:trHeight w:val="300"/>
        </w:trPr>
        <w:tc>
          <w:tcPr>
            <w:tcW w:w="1348" w:type="pct"/>
            <w:shd w:val="clear" w:color="auto" w:fill="D4D6DF"/>
            <w:noWrap/>
            <w:hideMark/>
          </w:tcPr>
          <w:p w14:paraId="2D157F43" w14:textId="5C3533C8" w:rsidR="006416F2" w:rsidRPr="00A62088" w:rsidRDefault="006416F2" w:rsidP="00BF18BB">
            <w:r w:rsidRPr="00A62088">
              <w:t>Owner</w:t>
            </w:r>
            <w:r w:rsidR="00F16A7F" w:rsidRPr="003417CD">
              <w:t xml:space="preserve"> </w:t>
            </w:r>
            <w:r w:rsidRPr="00A62088">
              <w:t xml:space="preserve">occupier </w:t>
            </w:r>
            <w:r w:rsidR="001A6AF2">
              <w:br/>
            </w:r>
            <w:r w:rsidR="00F16A7F" w:rsidRPr="003417CD">
              <w:t>- Small</w:t>
            </w:r>
            <w:r w:rsidRPr="00A62088">
              <w:t xml:space="preserve"> user</w:t>
            </w:r>
          </w:p>
        </w:tc>
        <w:tc>
          <w:tcPr>
            <w:tcW w:w="730" w:type="pct"/>
            <w:shd w:val="clear" w:color="auto" w:fill="D4D6DF"/>
            <w:noWrap/>
            <w:vAlign w:val="center"/>
            <w:hideMark/>
          </w:tcPr>
          <w:p w14:paraId="2CBFF559" w14:textId="77777777" w:rsidR="006416F2" w:rsidRPr="00A62088" w:rsidRDefault="006416F2" w:rsidP="00360131">
            <w:pPr>
              <w:jc w:val="center"/>
            </w:pPr>
            <w:r w:rsidRPr="00A62088">
              <w:t>76</w:t>
            </w:r>
          </w:p>
        </w:tc>
        <w:tc>
          <w:tcPr>
            <w:tcW w:w="730" w:type="pct"/>
            <w:shd w:val="clear" w:color="auto" w:fill="D4D6DF"/>
            <w:noWrap/>
            <w:vAlign w:val="center"/>
            <w:hideMark/>
          </w:tcPr>
          <w:p w14:paraId="5B342029" w14:textId="29826BCB" w:rsidR="006416F2" w:rsidRPr="00A62088" w:rsidRDefault="006416F2" w:rsidP="00360131">
            <w:pPr>
              <w:jc w:val="center"/>
            </w:pPr>
            <w:r w:rsidRPr="0097263A">
              <w:rPr>
                <w:rFonts w:cstheme="minorHAnsi"/>
              </w:rPr>
              <w:t>$711.</w:t>
            </w:r>
            <w:r w:rsidR="00F16A7F" w:rsidRPr="003417CD">
              <w:t>76</w:t>
            </w:r>
          </w:p>
        </w:tc>
        <w:tc>
          <w:tcPr>
            <w:tcW w:w="730" w:type="pct"/>
            <w:shd w:val="clear" w:color="auto" w:fill="D4D6DF"/>
            <w:noWrap/>
            <w:vAlign w:val="center"/>
            <w:hideMark/>
          </w:tcPr>
          <w:p w14:paraId="79C2B403" w14:textId="16B01785" w:rsidR="006416F2" w:rsidRPr="00A62088" w:rsidRDefault="00DF11C8" w:rsidP="00360131">
            <w:pPr>
              <w:jc w:val="center"/>
            </w:pPr>
            <w:r w:rsidRPr="003637EB">
              <w:t>$669.00</w:t>
            </w:r>
          </w:p>
        </w:tc>
        <w:tc>
          <w:tcPr>
            <w:tcW w:w="730" w:type="pct"/>
            <w:shd w:val="clear" w:color="auto" w:fill="D4D6DF"/>
            <w:noWrap/>
            <w:vAlign w:val="center"/>
            <w:hideMark/>
          </w:tcPr>
          <w:p w14:paraId="3D80BF3E" w14:textId="47F50BBF" w:rsidR="006416F2" w:rsidRPr="00A62088" w:rsidRDefault="006416F2" w:rsidP="00360131">
            <w:pPr>
              <w:jc w:val="center"/>
            </w:pPr>
            <w:r w:rsidRPr="00A62088">
              <w:t>-$</w:t>
            </w:r>
            <w:r w:rsidR="00F16A7F" w:rsidRPr="003417CD">
              <w:t>42.</w:t>
            </w:r>
            <w:r w:rsidR="00DF11C8" w:rsidRPr="003637EB">
              <w:t>77</w:t>
            </w:r>
          </w:p>
        </w:tc>
        <w:tc>
          <w:tcPr>
            <w:tcW w:w="731" w:type="pct"/>
            <w:shd w:val="clear" w:color="auto" w:fill="D4D6DF"/>
            <w:noWrap/>
            <w:vAlign w:val="center"/>
            <w:hideMark/>
          </w:tcPr>
          <w:p w14:paraId="0F357396" w14:textId="3E2E1FEA" w:rsidR="006416F2" w:rsidRPr="00A62088" w:rsidRDefault="006416F2" w:rsidP="00360131">
            <w:pPr>
              <w:jc w:val="center"/>
            </w:pPr>
            <w:r w:rsidRPr="00A62088">
              <w:t>-</w:t>
            </w:r>
            <w:r w:rsidR="00F16A7F" w:rsidRPr="003417CD">
              <w:t>6.</w:t>
            </w:r>
            <w:r w:rsidR="00DF11C8" w:rsidRPr="003637EB">
              <w:t>01</w:t>
            </w:r>
            <w:r w:rsidRPr="00A62088">
              <w:t>%</w:t>
            </w:r>
          </w:p>
        </w:tc>
      </w:tr>
      <w:tr w:rsidR="008D2C5B" w:rsidRPr="00686621" w14:paraId="5EBFB37D" w14:textId="77777777" w:rsidTr="00360131">
        <w:trPr>
          <w:cnfStyle w:val="000000010000" w:firstRow="0" w:lastRow="0" w:firstColumn="0" w:lastColumn="0" w:oddVBand="0" w:evenVBand="0" w:oddHBand="0" w:evenHBand="1" w:firstRowFirstColumn="0" w:firstRowLastColumn="0" w:lastRowFirstColumn="0" w:lastRowLastColumn="0"/>
          <w:trHeight w:val="300"/>
        </w:trPr>
        <w:tc>
          <w:tcPr>
            <w:tcW w:w="1348" w:type="pct"/>
            <w:shd w:val="clear" w:color="auto" w:fill="FFFFFF" w:themeFill="background2"/>
            <w:noWrap/>
            <w:hideMark/>
          </w:tcPr>
          <w:p w14:paraId="62914AC2" w14:textId="001053F4" w:rsidR="006416F2" w:rsidRPr="00A62088" w:rsidRDefault="006416F2" w:rsidP="00BF18BB">
            <w:r w:rsidRPr="00A62088">
              <w:t>Owner</w:t>
            </w:r>
            <w:r w:rsidR="00F16A7F" w:rsidRPr="003417CD">
              <w:t xml:space="preserve"> </w:t>
            </w:r>
            <w:r w:rsidRPr="00A62088">
              <w:t xml:space="preserve">occupier </w:t>
            </w:r>
            <w:r w:rsidR="001A6AF2">
              <w:br/>
            </w:r>
            <w:r w:rsidR="00F16A7F" w:rsidRPr="003417CD">
              <w:t>- Average</w:t>
            </w:r>
            <w:r w:rsidRPr="00A62088">
              <w:t xml:space="preserve"> user</w:t>
            </w:r>
          </w:p>
        </w:tc>
        <w:tc>
          <w:tcPr>
            <w:tcW w:w="730" w:type="pct"/>
            <w:shd w:val="clear" w:color="auto" w:fill="FFFFFF" w:themeFill="background1"/>
            <w:noWrap/>
            <w:vAlign w:val="center"/>
            <w:hideMark/>
          </w:tcPr>
          <w:p w14:paraId="7AEDD2E2" w14:textId="77777777" w:rsidR="006416F2" w:rsidRPr="00A62088" w:rsidRDefault="006416F2" w:rsidP="00360131">
            <w:pPr>
              <w:jc w:val="center"/>
            </w:pPr>
            <w:r w:rsidRPr="00A62088">
              <w:t>150</w:t>
            </w:r>
          </w:p>
        </w:tc>
        <w:tc>
          <w:tcPr>
            <w:tcW w:w="730" w:type="pct"/>
            <w:shd w:val="clear" w:color="auto" w:fill="FFFFFF" w:themeFill="background1"/>
            <w:noWrap/>
            <w:vAlign w:val="center"/>
            <w:hideMark/>
          </w:tcPr>
          <w:p w14:paraId="10C02336" w14:textId="1A0E5CA0" w:rsidR="006416F2" w:rsidRPr="00A62088" w:rsidRDefault="006416F2" w:rsidP="00360131">
            <w:pPr>
              <w:jc w:val="center"/>
            </w:pPr>
            <w:r w:rsidRPr="0097263A">
              <w:rPr>
                <w:rFonts w:cstheme="minorHAnsi"/>
              </w:rPr>
              <w:t>$966.</w:t>
            </w:r>
            <w:r w:rsidR="00F16A7F" w:rsidRPr="003417CD">
              <w:t>95</w:t>
            </w:r>
          </w:p>
        </w:tc>
        <w:tc>
          <w:tcPr>
            <w:tcW w:w="730" w:type="pct"/>
            <w:shd w:val="clear" w:color="auto" w:fill="FFFFFF" w:themeFill="background1"/>
            <w:noWrap/>
            <w:vAlign w:val="center"/>
            <w:hideMark/>
          </w:tcPr>
          <w:p w14:paraId="361392E1" w14:textId="1E176672" w:rsidR="006416F2" w:rsidRPr="00A62088" w:rsidRDefault="00F16A7F" w:rsidP="00360131">
            <w:pPr>
              <w:jc w:val="center"/>
            </w:pPr>
            <w:r w:rsidRPr="003417CD">
              <w:t>$908.</w:t>
            </w:r>
            <w:r w:rsidR="00DF11C8" w:rsidRPr="003637EB">
              <w:t>28</w:t>
            </w:r>
          </w:p>
        </w:tc>
        <w:tc>
          <w:tcPr>
            <w:tcW w:w="730" w:type="pct"/>
            <w:shd w:val="clear" w:color="auto" w:fill="FFFFFF" w:themeFill="background1"/>
            <w:noWrap/>
            <w:vAlign w:val="center"/>
            <w:hideMark/>
          </w:tcPr>
          <w:p w14:paraId="27F6876C" w14:textId="62B0EB3D" w:rsidR="006416F2" w:rsidRPr="00A62088" w:rsidRDefault="006416F2" w:rsidP="00360131">
            <w:pPr>
              <w:jc w:val="center"/>
            </w:pPr>
            <w:r w:rsidRPr="00A62088">
              <w:t>-$</w:t>
            </w:r>
            <w:r w:rsidR="00F16A7F" w:rsidRPr="003417CD">
              <w:t>58.</w:t>
            </w:r>
            <w:r w:rsidR="00DF11C8" w:rsidRPr="003637EB">
              <w:t>66</w:t>
            </w:r>
          </w:p>
        </w:tc>
        <w:tc>
          <w:tcPr>
            <w:tcW w:w="731" w:type="pct"/>
            <w:shd w:val="clear" w:color="auto" w:fill="FFFFFF" w:themeFill="background1"/>
            <w:noWrap/>
            <w:vAlign w:val="center"/>
            <w:hideMark/>
          </w:tcPr>
          <w:p w14:paraId="37B6113A" w14:textId="26F19CFC" w:rsidR="006416F2" w:rsidRPr="00A62088" w:rsidRDefault="006416F2" w:rsidP="00360131">
            <w:pPr>
              <w:jc w:val="center"/>
            </w:pPr>
            <w:r w:rsidRPr="00A62088">
              <w:t>-</w:t>
            </w:r>
            <w:r w:rsidR="008D4CBD" w:rsidRPr="00A62088">
              <w:t>6.</w:t>
            </w:r>
            <w:r w:rsidR="00DF11C8" w:rsidRPr="003637EB">
              <w:t>07</w:t>
            </w:r>
            <w:r w:rsidRPr="00A62088">
              <w:t>%</w:t>
            </w:r>
          </w:p>
        </w:tc>
      </w:tr>
      <w:tr w:rsidR="00F6749E" w:rsidRPr="00686621" w14:paraId="4F8FFECB" w14:textId="77777777" w:rsidTr="00AF679B">
        <w:trPr>
          <w:cnfStyle w:val="000000100000" w:firstRow="0" w:lastRow="0" w:firstColumn="0" w:lastColumn="0" w:oddVBand="0" w:evenVBand="0" w:oddHBand="1" w:evenHBand="0" w:firstRowFirstColumn="0" w:firstRowLastColumn="0" w:lastRowFirstColumn="0" w:lastRowLastColumn="0"/>
          <w:trHeight w:val="502"/>
        </w:trPr>
        <w:tc>
          <w:tcPr>
            <w:tcW w:w="1348" w:type="pct"/>
            <w:shd w:val="clear" w:color="auto" w:fill="D4D6DF"/>
            <w:noWrap/>
            <w:hideMark/>
          </w:tcPr>
          <w:p w14:paraId="7B559EF1" w14:textId="0D717862" w:rsidR="006416F2" w:rsidRPr="00A62088" w:rsidRDefault="006416F2" w:rsidP="00BF18BB">
            <w:r w:rsidRPr="00A62088">
              <w:t>Owner</w:t>
            </w:r>
            <w:r w:rsidR="00F16A7F" w:rsidRPr="003417CD">
              <w:t xml:space="preserve"> </w:t>
            </w:r>
            <w:r w:rsidRPr="00A62088">
              <w:t xml:space="preserve">occupier </w:t>
            </w:r>
            <w:r w:rsidR="001A6AF2">
              <w:br/>
            </w:r>
            <w:r w:rsidR="00F16A7F" w:rsidRPr="003417CD">
              <w:t>- Large</w:t>
            </w:r>
            <w:r w:rsidRPr="00A62088">
              <w:t xml:space="preserve"> user</w:t>
            </w:r>
          </w:p>
        </w:tc>
        <w:tc>
          <w:tcPr>
            <w:tcW w:w="730" w:type="pct"/>
            <w:shd w:val="clear" w:color="auto" w:fill="D4D6DF"/>
            <w:noWrap/>
            <w:vAlign w:val="center"/>
            <w:hideMark/>
          </w:tcPr>
          <w:p w14:paraId="1EBF9045" w14:textId="77777777" w:rsidR="006416F2" w:rsidRPr="00A62088" w:rsidRDefault="006416F2" w:rsidP="00360131">
            <w:pPr>
              <w:jc w:val="center"/>
            </w:pPr>
            <w:r w:rsidRPr="00A62088">
              <w:t>300</w:t>
            </w:r>
          </w:p>
        </w:tc>
        <w:tc>
          <w:tcPr>
            <w:tcW w:w="730" w:type="pct"/>
            <w:shd w:val="clear" w:color="auto" w:fill="D4D6DF"/>
            <w:noWrap/>
            <w:vAlign w:val="center"/>
            <w:hideMark/>
          </w:tcPr>
          <w:p w14:paraId="360E5F57" w14:textId="552B297A" w:rsidR="006416F2" w:rsidRPr="00A62088" w:rsidRDefault="006416F2" w:rsidP="00360131">
            <w:pPr>
              <w:jc w:val="center"/>
            </w:pPr>
            <w:r w:rsidRPr="0097263A">
              <w:rPr>
                <w:rFonts w:cstheme="minorHAnsi"/>
              </w:rPr>
              <w:t>$1,</w:t>
            </w:r>
            <w:r w:rsidR="00F16A7F" w:rsidRPr="003417CD">
              <w:t>583.85</w:t>
            </w:r>
          </w:p>
        </w:tc>
        <w:tc>
          <w:tcPr>
            <w:tcW w:w="730" w:type="pct"/>
            <w:shd w:val="clear" w:color="auto" w:fill="D4D6DF"/>
            <w:noWrap/>
            <w:vAlign w:val="center"/>
            <w:hideMark/>
          </w:tcPr>
          <w:p w14:paraId="606C4FE4" w14:textId="67432551" w:rsidR="006416F2" w:rsidRPr="00A62088" w:rsidRDefault="006416F2" w:rsidP="00360131">
            <w:pPr>
              <w:jc w:val="center"/>
            </w:pPr>
            <w:r w:rsidRPr="00A62088">
              <w:t>$1,</w:t>
            </w:r>
            <w:r w:rsidR="00F16A7F" w:rsidRPr="003417CD">
              <w:t>510.</w:t>
            </w:r>
            <w:r w:rsidR="00DF11C8" w:rsidRPr="003637EB">
              <w:t>92</w:t>
            </w:r>
          </w:p>
        </w:tc>
        <w:tc>
          <w:tcPr>
            <w:tcW w:w="730" w:type="pct"/>
            <w:shd w:val="clear" w:color="auto" w:fill="D4D6DF"/>
            <w:noWrap/>
            <w:vAlign w:val="center"/>
            <w:hideMark/>
          </w:tcPr>
          <w:p w14:paraId="3641BC04" w14:textId="6A5D3164" w:rsidR="006416F2" w:rsidRPr="00A62088" w:rsidRDefault="006416F2" w:rsidP="00360131">
            <w:pPr>
              <w:jc w:val="center"/>
            </w:pPr>
            <w:r w:rsidRPr="00A62088">
              <w:t>-$</w:t>
            </w:r>
            <w:r w:rsidR="00DF11C8" w:rsidRPr="003637EB">
              <w:t>72.93</w:t>
            </w:r>
          </w:p>
        </w:tc>
        <w:tc>
          <w:tcPr>
            <w:tcW w:w="731" w:type="pct"/>
            <w:shd w:val="clear" w:color="auto" w:fill="D4D6DF"/>
            <w:noWrap/>
            <w:vAlign w:val="center"/>
            <w:hideMark/>
          </w:tcPr>
          <w:p w14:paraId="12D6A54C" w14:textId="76606DE0" w:rsidR="006416F2" w:rsidRPr="00A62088" w:rsidRDefault="006416F2" w:rsidP="00360131">
            <w:pPr>
              <w:jc w:val="center"/>
            </w:pPr>
            <w:r w:rsidRPr="00A62088">
              <w:t>-</w:t>
            </w:r>
            <w:r w:rsidR="008D4CBD" w:rsidRPr="00A62088">
              <w:t>4.</w:t>
            </w:r>
            <w:r w:rsidR="00DF11C8" w:rsidRPr="003637EB">
              <w:t>60</w:t>
            </w:r>
            <w:r w:rsidRPr="00A62088">
              <w:t>%</w:t>
            </w:r>
          </w:p>
        </w:tc>
      </w:tr>
      <w:tr w:rsidR="008D2C5B" w:rsidRPr="00686621" w14:paraId="08AD9E7E" w14:textId="77777777" w:rsidTr="00360131">
        <w:trPr>
          <w:cnfStyle w:val="000000010000" w:firstRow="0" w:lastRow="0" w:firstColumn="0" w:lastColumn="0" w:oddVBand="0" w:evenVBand="0" w:oddHBand="0" w:evenHBand="1" w:firstRowFirstColumn="0" w:firstRowLastColumn="0" w:lastRowFirstColumn="0" w:lastRowLastColumn="0"/>
          <w:trHeight w:val="300"/>
        </w:trPr>
        <w:tc>
          <w:tcPr>
            <w:tcW w:w="1348" w:type="pct"/>
            <w:shd w:val="clear" w:color="auto" w:fill="FFFFFF" w:themeFill="background2"/>
            <w:noWrap/>
            <w:hideMark/>
          </w:tcPr>
          <w:p w14:paraId="622E95B3" w14:textId="0B237720" w:rsidR="006416F2" w:rsidRPr="00A62088" w:rsidRDefault="006416F2" w:rsidP="00BF18BB">
            <w:r w:rsidRPr="00A62088">
              <w:t xml:space="preserve">Tenant </w:t>
            </w:r>
            <w:r w:rsidR="00F16A7F" w:rsidRPr="003417CD">
              <w:t>- Small</w:t>
            </w:r>
            <w:r w:rsidRPr="00A62088">
              <w:t xml:space="preserve"> user</w:t>
            </w:r>
          </w:p>
        </w:tc>
        <w:tc>
          <w:tcPr>
            <w:tcW w:w="730" w:type="pct"/>
            <w:shd w:val="clear" w:color="auto" w:fill="FFFFFF" w:themeFill="background1"/>
            <w:noWrap/>
            <w:vAlign w:val="center"/>
            <w:hideMark/>
          </w:tcPr>
          <w:p w14:paraId="3031D9B5" w14:textId="77777777" w:rsidR="006416F2" w:rsidRPr="00A62088" w:rsidRDefault="006416F2" w:rsidP="00360131">
            <w:pPr>
              <w:jc w:val="center"/>
            </w:pPr>
            <w:r w:rsidRPr="00A62088">
              <w:t>76</w:t>
            </w:r>
          </w:p>
        </w:tc>
        <w:tc>
          <w:tcPr>
            <w:tcW w:w="730" w:type="pct"/>
            <w:shd w:val="clear" w:color="auto" w:fill="FFFFFF" w:themeFill="background1"/>
            <w:noWrap/>
            <w:vAlign w:val="center"/>
            <w:hideMark/>
          </w:tcPr>
          <w:p w14:paraId="0379BAE4" w14:textId="57E516FB" w:rsidR="006416F2" w:rsidRPr="00A62088" w:rsidRDefault="006416F2" w:rsidP="00360131">
            <w:pPr>
              <w:jc w:val="center"/>
            </w:pPr>
            <w:r w:rsidRPr="0097263A">
              <w:rPr>
                <w:rFonts w:cstheme="minorHAnsi"/>
              </w:rPr>
              <w:t>$260.28</w:t>
            </w:r>
          </w:p>
        </w:tc>
        <w:tc>
          <w:tcPr>
            <w:tcW w:w="730" w:type="pct"/>
            <w:shd w:val="clear" w:color="auto" w:fill="FFFFFF" w:themeFill="background1"/>
            <w:noWrap/>
            <w:vAlign w:val="center"/>
            <w:hideMark/>
          </w:tcPr>
          <w:p w14:paraId="700370E7" w14:textId="082EF899" w:rsidR="006416F2" w:rsidRPr="00A62088" w:rsidRDefault="008D4CBD" w:rsidP="00360131">
            <w:pPr>
              <w:jc w:val="center"/>
            </w:pPr>
            <w:r w:rsidRPr="00A62088">
              <w:t>$243.</w:t>
            </w:r>
            <w:r w:rsidR="00DF11C8" w:rsidRPr="003637EB">
              <w:t>64</w:t>
            </w:r>
          </w:p>
        </w:tc>
        <w:tc>
          <w:tcPr>
            <w:tcW w:w="730" w:type="pct"/>
            <w:shd w:val="clear" w:color="auto" w:fill="FFFFFF" w:themeFill="background1"/>
            <w:noWrap/>
            <w:vAlign w:val="center"/>
            <w:hideMark/>
          </w:tcPr>
          <w:p w14:paraId="4F0F30F9" w14:textId="6191D51F" w:rsidR="006416F2" w:rsidRPr="00A62088" w:rsidRDefault="006416F2" w:rsidP="00360131">
            <w:pPr>
              <w:jc w:val="center"/>
            </w:pPr>
            <w:r w:rsidRPr="00A62088">
              <w:t>-$</w:t>
            </w:r>
            <w:r w:rsidR="008D4CBD" w:rsidRPr="00A62088">
              <w:t>16.</w:t>
            </w:r>
            <w:r w:rsidR="00DF11C8" w:rsidRPr="003637EB">
              <w:t>64</w:t>
            </w:r>
          </w:p>
        </w:tc>
        <w:tc>
          <w:tcPr>
            <w:tcW w:w="731" w:type="pct"/>
            <w:shd w:val="clear" w:color="auto" w:fill="FFFFFF" w:themeFill="background1"/>
            <w:noWrap/>
            <w:vAlign w:val="center"/>
            <w:hideMark/>
          </w:tcPr>
          <w:p w14:paraId="14D69F65" w14:textId="3C9C395F" w:rsidR="006416F2" w:rsidRPr="00A62088" w:rsidRDefault="006416F2" w:rsidP="00360131">
            <w:pPr>
              <w:jc w:val="center"/>
            </w:pPr>
            <w:r w:rsidRPr="00A62088">
              <w:t>-</w:t>
            </w:r>
            <w:r w:rsidR="008D4CBD" w:rsidRPr="00A62088">
              <w:t>6.</w:t>
            </w:r>
            <w:r w:rsidR="00DF11C8" w:rsidRPr="003637EB">
              <w:t>39</w:t>
            </w:r>
            <w:r w:rsidRPr="00A62088">
              <w:t>%</w:t>
            </w:r>
          </w:p>
        </w:tc>
      </w:tr>
      <w:tr w:rsidR="008D2C5B" w:rsidRPr="00686621" w14:paraId="6C4AF879" w14:textId="77777777" w:rsidTr="00360131">
        <w:trPr>
          <w:cnfStyle w:val="000000100000" w:firstRow="0" w:lastRow="0" w:firstColumn="0" w:lastColumn="0" w:oddVBand="0" w:evenVBand="0" w:oddHBand="1" w:evenHBand="0" w:firstRowFirstColumn="0" w:firstRowLastColumn="0" w:lastRowFirstColumn="0" w:lastRowLastColumn="0"/>
          <w:trHeight w:val="300"/>
        </w:trPr>
        <w:tc>
          <w:tcPr>
            <w:tcW w:w="1348" w:type="pct"/>
            <w:shd w:val="clear" w:color="auto" w:fill="D4D6DF"/>
            <w:noWrap/>
            <w:hideMark/>
          </w:tcPr>
          <w:p w14:paraId="07A5EF1D" w14:textId="29B60407" w:rsidR="006416F2" w:rsidRPr="00A62088" w:rsidRDefault="006416F2" w:rsidP="00BF18BB">
            <w:r w:rsidRPr="00A62088">
              <w:t xml:space="preserve">Tenant </w:t>
            </w:r>
            <w:r w:rsidR="00F16A7F" w:rsidRPr="003417CD">
              <w:t>- Average</w:t>
            </w:r>
            <w:r w:rsidRPr="00A62088">
              <w:t xml:space="preserve"> user</w:t>
            </w:r>
          </w:p>
        </w:tc>
        <w:tc>
          <w:tcPr>
            <w:tcW w:w="730" w:type="pct"/>
            <w:shd w:val="clear" w:color="auto" w:fill="D4D6DF"/>
            <w:noWrap/>
            <w:vAlign w:val="center"/>
            <w:hideMark/>
          </w:tcPr>
          <w:p w14:paraId="03D2ECE0" w14:textId="77777777" w:rsidR="006416F2" w:rsidRPr="00A62088" w:rsidRDefault="006416F2" w:rsidP="00360131">
            <w:pPr>
              <w:jc w:val="center"/>
            </w:pPr>
            <w:r w:rsidRPr="00A62088">
              <w:t>150</w:t>
            </w:r>
          </w:p>
        </w:tc>
        <w:tc>
          <w:tcPr>
            <w:tcW w:w="730" w:type="pct"/>
            <w:shd w:val="clear" w:color="auto" w:fill="D4D6DF"/>
            <w:noWrap/>
            <w:vAlign w:val="center"/>
            <w:hideMark/>
          </w:tcPr>
          <w:p w14:paraId="4DD60FD6" w14:textId="6E90FABE" w:rsidR="006416F2" w:rsidRPr="00A62088" w:rsidRDefault="006416F2" w:rsidP="00360131">
            <w:pPr>
              <w:jc w:val="center"/>
            </w:pPr>
            <w:r w:rsidRPr="0097263A">
              <w:rPr>
                <w:rFonts w:cstheme="minorHAnsi"/>
              </w:rPr>
              <w:t>$515.47</w:t>
            </w:r>
          </w:p>
        </w:tc>
        <w:tc>
          <w:tcPr>
            <w:tcW w:w="730" w:type="pct"/>
            <w:shd w:val="clear" w:color="auto" w:fill="D4D6DF"/>
            <w:noWrap/>
            <w:vAlign w:val="center"/>
            <w:hideMark/>
          </w:tcPr>
          <w:p w14:paraId="282A6301" w14:textId="7CBFA1A1" w:rsidR="006416F2" w:rsidRPr="00A62088" w:rsidRDefault="00F16A7F" w:rsidP="00360131">
            <w:pPr>
              <w:jc w:val="center"/>
            </w:pPr>
            <w:r w:rsidRPr="003417CD">
              <w:t>$482.</w:t>
            </w:r>
            <w:r w:rsidR="00DF11C8" w:rsidRPr="003637EB">
              <w:t>93</w:t>
            </w:r>
          </w:p>
        </w:tc>
        <w:tc>
          <w:tcPr>
            <w:tcW w:w="730" w:type="pct"/>
            <w:shd w:val="clear" w:color="auto" w:fill="D4D6DF"/>
            <w:noWrap/>
            <w:vAlign w:val="center"/>
            <w:hideMark/>
          </w:tcPr>
          <w:p w14:paraId="7D24E42B" w14:textId="03635BBF" w:rsidR="006416F2" w:rsidRPr="00A62088" w:rsidRDefault="006416F2" w:rsidP="00360131">
            <w:pPr>
              <w:jc w:val="center"/>
            </w:pPr>
            <w:r w:rsidRPr="00A62088">
              <w:t>-$</w:t>
            </w:r>
            <w:r w:rsidR="00F16A7F" w:rsidRPr="003417CD">
              <w:t>32.</w:t>
            </w:r>
            <w:r w:rsidR="00DF11C8" w:rsidRPr="003637EB">
              <w:t>54</w:t>
            </w:r>
          </w:p>
        </w:tc>
        <w:tc>
          <w:tcPr>
            <w:tcW w:w="731" w:type="pct"/>
            <w:shd w:val="clear" w:color="auto" w:fill="D4D6DF"/>
            <w:noWrap/>
            <w:vAlign w:val="center"/>
            <w:hideMark/>
          </w:tcPr>
          <w:p w14:paraId="0B52386A" w14:textId="04D8BE17" w:rsidR="006416F2" w:rsidRPr="00A62088" w:rsidRDefault="006416F2" w:rsidP="00360131">
            <w:pPr>
              <w:jc w:val="center"/>
            </w:pPr>
            <w:r w:rsidRPr="00A62088">
              <w:t>-</w:t>
            </w:r>
            <w:r w:rsidR="008D4CBD" w:rsidRPr="00A62088">
              <w:t>6.</w:t>
            </w:r>
            <w:r w:rsidR="00DF11C8" w:rsidRPr="003637EB">
              <w:t>31</w:t>
            </w:r>
            <w:r w:rsidRPr="00A62088">
              <w:t>%</w:t>
            </w:r>
          </w:p>
        </w:tc>
      </w:tr>
      <w:tr w:rsidR="008D2C5B" w:rsidRPr="00686621" w14:paraId="597E2E88" w14:textId="77777777" w:rsidTr="00360131">
        <w:trPr>
          <w:cnfStyle w:val="000000010000" w:firstRow="0" w:lastRow="0" w:firstColumn="0" w:lastColumn="0" w:oddVBand="0" w:evenVBand="0" w:oddHBand="0" w:evenHBand="1" w:firstRowFirstColumn="0" w:firstRowLastColumn="0" w:lastRowFirstColumn="0" w:lastRowLastColumn="0"/>
          <w:trHeight w:val="300"/>
        </w:trPr>
        <w:tc>
          <w:tcPr>
            <w:tcW w:w="1348" w:type="pct"/>
            <w:shd w:val="clear" w:color="auto" w:fill="FFFFFF" w:themeFill="background2"/>
            <w:noWrap/>
            <w:hideMark/>
          </w:tcPr>
          <w:p w14:paraId="132B1C1E" w14:textId="44D88B30" w:rsidR="006416F2" w:rsidRPr="00A62088" w:rsidRDefault="006416F2" w:rsidP="00BF18BB">
            <w:r w:rsidRPr="00A62088">
              <w:t xml:space="preserve">Tenant </w:t>
            </w:r>
            <w:r w:rsidR="00F16A7F" w:rsidRPr="003417CD">
              <w:t>- Large</w:t>
            </w:r>
            <w:r w:rsidRPr="00A62088">
              <w:t xml:space="preserve"> user</w:t>
            </w:r>
          </w:p>
        </w:tc>
        <w:tc>
          <w:tcPr>
            <w:tcW w:w="730" w:type="pct"/>
            <w:shd w:val="clear" w:color="auto" w:fill="FFFFFF" w:themeFill="background1"/>
            <w:noWrap/>
            <w:vAlign w:val="center"/>
            <w:hideMark/>
          </w:tcPr>
          <w:p w14:paraId="77E25C93" w14:textId="77777777" w:rsidR="006416F2" w:rsidRPr="00A62088" w:rsidRDefault="006416F2" w:rsidP="00360131">
            <w:pPr>
              <w:jc w:val="center"/>
            </w:pPr>
            <w:r w:rsidRPr="00A62088">
              <w:t>300</w:t>
            </w:r>
          </w:p>
        </w:tc>
        <w:tc>
          <w:tcPr>
            <w:tcW w:w="730" w:type="pct"/>
            <w:shd w:val="clear" w:color="auto" w:fill="FFFFFF" w:themeFill="background1"/>
            <w:noWrap/>
            <w:vAlign w:val="center"/>
            <w:hideMark/>
          </w:tcPr>
          <w:p w14:paraId="42065DA7" w14:textId="67E1D43C" w:rsidR="006416F2" w:rsidRPr="00A62088" w:rsidRDefault="006416F2" w:rsidP="00360131">
            <w:pPr>
              <w:jc w:val="center"/>
            </w:pPr>
            <w:r w:rsidRPr="0097263A">
              <w:rPr>
                <w:rFonts w:cstheme="minorHAnsi"/>
              </w:rPr>
              <w:t>$1,</w:t>
            </w:r>
            <w:r w:rsidR="00F16A7F" w:rsidRPr="003417CD">
              <w:t>132.37</w:t>
            </w:r>
          </w:p>
        </w:tc>
        <w:tc>
          <w:tcPr>
            <w:tcW w:w="730" w:type="pct"/>
            <w:shd w:val="clear" w:color="auto" w:fill="FFFFFF" w:themeFill="background1"/>
            <w:noWrap/>
            <w:vAlign w:val="center"/>
            <w:hideMark/>
          </w:tcPr>
          <w:p w14:paraId="09439907" w14:textId="2641E8D8" w:rsidR="006416F2" w:rsidRPr="00A62088" w:rsidRDefault="006416F2" w:rsidP="00360131">
            <w:pPr>
              <w:jc w:val="center"/>
            </w:pPr>
            <w:r w:rsidRPr="00A62088">
              <w:t>$1,</w:t>
            </w:r>
            <w:r w:rsidR="00F16A7F" w:rsidRPr="003417CD">
              <w:t>085.</w:t>
            </w:r>
            <w:r w:rsidR="00DF11C8" w:rsidRPr="003637EB">
              <w:t>57</w:t>
            </w:r>
          </w:p>
        </w:tc>
        <w:tc>
          <w:tcPr>
            <w:tcW w:w="730" w:type="pct"/>
            <w:shd w:val="clear" w:color="auto" w:fill="FFFFFF" w:themeFill="background1"/>
            <w:noWrap/>
            <w:vAlign w:val="center"/>
            <w:hideMark/>
          </w:tcPr>
          <w:p w14:paraId="01524E5B" w14:textId="79B515B0" w:rsidR="006416F2" w:rsidRPr="00A62088" w:rsidRDefault="006416F2" w:rsidP="00360131">
            <w:pPr>
              <w:jc w:val="center"/>
            </w:pPr>
            <w:r w:rsidRPr="00A62088">
              <w:t>-$</w:t>
            </w:r>
            <w:r w:rsidR="00DF11C8" w:rsidRPr="003637EB">
              <w:t>46.80</w:t>
            </w:r>
          </w:p>
        </w:tc>
        <w:tc>
          <w:tcPr>
            <w:tcW w:w="731" w:type="pct"/>
            <w:shd w:val="clear" w:color="auto" w:fill="FFFFFF" w:themeFill="background1"/>
            <w:noWrap/>
            <w:vAlign w:val="center"/>
            <w:hideMark/>
          </w:tcPr>
          <w:p w14:paraId="4D949DFF" w14:textId="3B9C3069" w:rsidR="006416F2" w:rsidRPr="00A62088" w:rsidRDefault="006416F2" w:rsidP="00360131">
            <w:pPr>
              <w:jc w:val="center"/>
            </w:pPr>
            <w:r w:rsidRPr="00A62088">
              <w:t>-</w:t>
            </w:r>
            <w:r w:rsidR="00F16A7F" w:rsidRPr="003417CD">
              <w:t>4.</w:t>
            </w:r>
            <w:r w:rsidR="00DF11C8" w:rsidRPr="003637EB">
              <w:t>13</w:t>
            </w:r>
            <w:r w:rsidRPr="00A62088">
              <w:t>%</w:t>
            </w:r>
          </w:p>
        </w:tc>
      </w:tr>
      <w:tr w:rsidR="00F6749E" w:rsidRPr="00686621" w14:paraId="55C09170" w14:textId="77777777" w:rsidTr="00AF679B">
        <w:trPr>
          <w:cnfStyle w:val="000000100000" w:firstRow="0" w:lastRow="0" w:firstColumn="0" w:lastColumn="0" w:oddVBand="0" w:evenVBand="0" w:oddHBand="1" w:evenHBand="0" w:firstRowFirstColumn="0" w:firstRowLastColumn="0" w:lastRowFirstColumn="0" w:lastRowLastColumn="0"/>
          <w:trHeight w:val="353"/>
        </w:trPr>
        <w:tc>
          <w:tcPr>
            <w:tcW w:w="1348" w:type="pct"/>
            <w:shd w:val="clear" w:color="auto" w:fill="D4D6DF"/>
            <w:noWrap/>
            <w:hideMark/>
          </w:tcPr>
          <w:p w14:paraId="58CBF61D" w14:textId="5523F8AE" w:rsidR="006416F2" w:rsidRPr="00A62088" w:rsidRDefault="002F4F4F" w:rsidP="00BF18BB">
            <w:r>
              <w:t xml:space="preserve">Owner occupier </w:t>
            </w:r>
            <w:r w:rsidR="001A6AF2">
              <w:br/>
            </w:r>
            <w:r>
              <w:t>-</w:t>
            </w:r>
            <w:r w:rsidR="006416F2" w:rsidRPr="00A62088">
              <w:t xml:space="preserve"> </w:t>
            </w:r>
            <w:r w:rsidR="00F16A7F" w:rsidRPr="003417CD">
              <w:t>Water</w:t>
            </w:r>
            <w:r w:rsidR="00DB158F">
              <w:t>-</w:t>
            </w:r>
            <w:r w:rsidR="006416F2" w:rsidRPr="00A62088">
              <w:t>only customer</w:t>
            </w:r>
          </w:p>
        </w:tc>
        <w:tc>
          <w:tcPr>
            <w:tcW w:w="730" w:type="pct"/>
            <w:shd w:val="clear" w:color="auto" w:fill="D4D6DF"/>
            <w:noWrap/>
            <w:vAlign w:val="center"/>
            <w:hideMark/>
          </w:tcPr>
          <w:p w14:paraId="23ADA728" w14:textId="77777777" w:rsidR="006416F2" w:rsidRPr="00A62088" w:rsidRDefault="006416F2" w:rsidP="00360131">
            <w:pPr>
              <w:jc w:val="center"/>
            </w:pPr>
            <w:r w:rsidRPr="00A62088">
              <w:t>150</w:t>
            </w:r>
          </w:p>
        </w:tc>
        <w:tc>
          <w:tcPr>
            <w:tcW w:w="730" w:type="pct"/>
            <w:shd w:val="clear" w:color="auto" w:fill="D4D6DF"/>
            <w:noWrap/>
            <w:vAlign w:val="center"/>
            <w:hideMark/>
          </w:tcPr>
          <w:p w14:paraId="57F25D3B" w14:textId="1C9CAA90" w:rsidR="006416F2" w:rsidRPr="00A62088" w:rsidRDefault="008D4CBD" w:rsidP="00360131">
            <w:pPr>
              <w:jc w:val="center"/>
            </w:pPr>
            <w:r w:rsidRPr="0097263A">
              <w:rPr>
                <w:rFonts w:cstheme="minorHAnsi"/>
              </w:rPr>
              <w:t>$492.94</w:t>
            </w:r>
          </w:p>
        </w:tc>
        <w:tc>
          <w:tcPr>
            <w:tcW w:w="730" w:type="pct"/>
            <w:shd w:val="clear" w:color="auto" w:fill="D4D6DF"/>
            <w:noWrap/>
            <w:vAlign w:val="center"/>
            <w:hideMark/>
          </w:tcPr>
          <w:p w14:paraId="07EF8704" w14:textId="04AF106B" w:rsidR="006416F2" w:rsidRPr="00A62088" w:rsidRDefault="008D4CBD" w:rsidP="00360131">
            <w:pPr>
              <w:jc w:val="center"/>
            </w:pPr>
            <w:r w:rsidRPr="00A62088">
              <w:t>$464.</w:t>
            </w:r>
            <w:r w:rsidR="00DF11C8" w:rsidRPr="003637EB">
              <w:t>42</w:t>
            </w:r>
          </w:p>
        </w:tc>
        <w:tc>
          <w:tcPr>
            <w:tcW w:w="730" w:type="pct"/>
            <w:shd w:val="clear" w:color="auto" w:fill="D4D6DF"/>
            <w:noWrap/>
            <w:vAlign w:val="center"/>
            <w:hideMark/>
          </w:tcPr>
          <w:p w14:paraId="0B1B4B1F" w14:textId="168D6ECC" w:rsidR="006416F2" w:rsidRPr="00A62088" w:rsidRDefault="006416F2" w:rsidP="00360131">
            <w:pPr>
              <w:jc w:val="center"/>
            </w:pPr>
            <w:r w:rsidRPr="00A62088">
              <w:t>-$</w:t>
            </w:r>
            <w:r w:rsidR="00F16A7F" w:rsidRPr="003417CD">
              <w:t>28.</w:t>
            </w:r>
            <w:r w:rsidR="00DF11C8" w:rsidRPr="003637EB">
              <w:t>52</w:t>
            </w:r>
          </w:p>
        </w:tc>
        <w:tc>
          <w:tcPr>
            <w:tcW w:w="731" w:type="pct"/>
            <w:shd w:val="clear" w:color="auto" w:fill="D4D6DF"/>
            <w:noWrap/>
            <w:vAlign w:val="center"/>
            <w:hideMark/>
          </w:tcPr>
          <w:p w14:paraId="311D8D40" w14:textId="197CE298" w:rsidR="006416F2" w:rsidRPr="00A62088" w:rsidRDefault="006416F2" w:rsidP="00360131">
            <w:pPr>
              <w:jc w:val="center"/>
            </w:pPr>
            <w:r w:rsidRPr="00A62088">
              <w:t>-</w:t>
            </w:r>
            <w:r w:rsidR="008D4CBD" w:rsidRPr="00A62088">
              <w:t>5.</w:t>
            </w:r>
            <w:r w:rsidR="00DF11C8" w:rsidRPr="003637EB">
              <w:t>79</w:t>
            </w:r>
            <w:r w:rsidRPr="00A62088">
              <w:t>%</w:t>
            </w:r>
          </w:p>
        </w:tc>
      </w:tr>
      <w:tr w:rsidR="00BF18BB" w:rsidRPr="00686621" w14:paraId="1A95FE98" w14:textId="77777777" w:rsidTr="00360131">
        <w:trPr>
          <w:cnfStyle w:val="000000010000" w:firstRow="0" w:lastRow="0" w:firstColumn="0" w:lastColumn="0" w:oddVBand="0" w:evenVBand="0" w:oddHBand="0" w:evenHBand="1" w:firstRowFirstColumn="0" w:firstRowLastColumn="0" w:lastRowFirstColumn="0" w:lastRowLastColumn="0"/>
          <w:trHeight w:val="300"/>
        </w:trPr>
        <w:tc>
          <w:tcPr>
            <w:tcW w:w="1348" w:type="pct"/>
            <w:shd w:val="clear" w:color="auto" w:fill="FFFFFF" w:themeFill="background2"/>
            <w:noWrap/>
            <w:hideMark/>
          </w:tcPr>
          <w:p w14:paraId="57985093" w14:textId="2E228195" w:rsidR="006416F2" w:rsidRPr="00A62088" w:rsidRDefault="00F16A7F" w:rsidP="00BF18BB">
            <w:r w:rsidRPr="003417CD">
              <w:t>Landlord</w:t>
            </w:r>
          </w:p>
        </w:tc>
        <w:tc>
          <w:tcPr>
            <w:tcW w:w="730" w:type="pct"/>
            <w:shd w:val="clear" w:color="auto" w:fill="FFFFFF" w:themeFill="background1"/>
            <w:noWrap/>
            <w:vAlign w:val="center"/>
            <w:hideMark/>
          </w:tcPr>
          <w:p w14:paraId="0957FDE8" w14:textId="77777777" w:rsidR="006416F2" w:rsidRPr="00A62088" w:rsidRDefault="006416F2" w:rsidP="00360131">
            <w:pPr>
              <w:jc w:val="center"/>
            </w:pPr>
            <w:r w:rsidRPr="00A62088">
              <w:t>N/A</w:t>
            </w:r>
          </w:p>
        </w:tc>
        <w:tc>
          <w:tcPr>
            <w:tcW w:w="730" w:type="pct"/>
            <w:shd w:val="clear" w:color="auto" w:fill="FFFFFF" w:themeFill="background1"/>
            <w:noWrap/>
            <w:vAlign w:val="center"/>
            <w:hideMark/>
          </w:tcPr>
          <w:p w14:paraId="0FB47358" w14:textId="12611C0F" w:rsidR="006416F2" w:rsidRPr="00A62088" w:rsidRDefault="006416F2" w:rsidP="00360131">
            <w:pPr>
              <w:jc w:val="center"/>
            </w:pPr>
            <w:r w:rsidRPr="0097263A">
              <w:rPr>
                <w:rFonts w:cstheme="minorHAnsi"/>
              </w:rPr>
              <w:t>$451.</w:t>
            </w:r>
            <w:r w:rsidR="00F16A7F" w:rsidRPr="003417CD">
              <w:t>48</w:t>
            </w:r>
          </w:p>
        </w:tc>
        <w:tc>
          <w:tcPr>
            <w:tcW w:w="730" w:type="pct"/>
            <w:shd w:val="clear" w:color="auto" w:fill="FFFFFF" w:themeFill="background1"/>
            <w:noWrap/>
            <w:vAlign w:val="center"/>
            <w:hideMark/>
          </w:tcPr>
          <w:p w14:paraId="18B9A414" w14:textId="2C8EEF19" w:rsidR="006416F2" w:rsidRPr="00A62088" w:rsidRDefault="008D4CBD" w:rsidP="00360131">
            <w:pPr>
              <w:jc w:val="center"/>
            </w:pPr>
            <w:r w:rsidRPr="00A62088">
              <w:t>$425.</w:t>
            </w:r>
            <w:r w:rsidR="00DF11C8" w:rsidRPr="003637EB">
              <w:t>36</w:t>
            </w:r>
          </w:p>
        </w:tc>
        <w:tc>
          <w:tcPr>
            <w:tcW w:w="730" w:type="pct"/>
            <w:shd w:val="clear" w:color="auto" w:fill="FFFFFF" w:themeFill="background1"/>
            <w:noWrap/>
            <w:vAlign w:val="center"/>
            <w:hideMark/>
          </w:tcPr>
          <w:p w14:paraId="24D85415" w14:textId="375AB21A" w:rsidR="006416F2" w:rsidRPr="00A62088" w:rsidRDefault="006416F2" w:rsidP="00360131">
            <w:pPr>
              <w:jc w:val="center"/>
            </w:pPr>
            <w:r w:rsidRPr="00A62088">
              <w:t>-$</w:t>
            </w:r>
            <w:r w:rsidR="00F16A7F" w:rsidRPr="003417CD">
              <w:t>26.</w:t>
            </w:r>
            <w:r w:rsidR="00DF11C8" w:rsidRPr="003637EB">
              <w:t>12</w:t>
            </w:r>
          </w:p>
        </w:tc>
        <w:tc>
          <w:tcPr>
            <w:tcW w:w="731" w:type="pct"/>
            <w:shd w:val="clear" w:color="auto" w:fill="FFFFFF" w:themeFill="background1"/>
            <w:noWrap/>
            <w:vAlign w:val="center"/>
            <w:hideMark/>
          </w:tcPr>
          <w:p w14:paraId="1A1E61AE" w14:textId="24105640" w:rsidR="006416F2" w:rsidRPr="00A62088" w:rsidRDefault="006416F2" w:rsidP="00360131">
            <w:pPr>
              <w:jc w:val="center"/>
            </w:pPr>
            <w:r w:rsidRPr="00A62088">
              <w:t>-</w:t>
            </w:r>
            <w:r w:rsidR="008D4CBD" w:rsidRPr="00A62088">
              <w:t>5.</w:t>
            </w:r>
            <w:r w:rsidR="00DF11C8" w:rsidRPr="003637EB">
              <w:t>79</w:t>
            </w:r>
            <w:r w:rsidRPr="00A62088">
              <w:t>%</w:t>
            </w:r>
          </w:p>
        </w:tc>
      </w:tr>
    </w:tbl>
    <w:p w14:paraId="0754D168" w14:textId="47E56F1E" w:rsidR="006416F2" w:rsidRDefault="006416F2" w:rsidP="00BF18BB"/>
    <w:p w14:paraId="3DA52EFF" w14:textId="14F8C1A8" w:rsidR="000D5C3E" w:rsidRPr="000D5C3E" w:rsidRDefault="000D5C3E" w:rsidP="000D5C3E">
      <w:pPr>
        <w:rPr>
          <w:b/>
          <w:bCs/>
          <w:i/>
          <w:iCs/>
          <w:sz w:val="22"/>
          <w:szCs w:val="22"/>
        </w:rPr>
      </w:pPr>
      <w:bookmarkStart w:id="11" w:name="_Hlk114229973"/>
      <w:r w:rsidRPr="000D5C3E">
        <w:rPr>
          <w:b/>
          <w:bCs/>
          <w:i/>
          <w:iCs/>
          <w:sz w:val="22"/>
          <w:szCs w:val="22"/>
        </w:rPr>
        <w:t xml:space="preserve">Table </w:t>
      </w:r>
      <w:r w:rsidR="00032853" w:rsidRPr="00CE6C4E">
        <w:rPr>
          <w:b/>
          <w:bCs/>
          <w:i/>
          <w:iCs/>
          <w:sz w:val="22"/>
          <w:szCs w:val="22"/>
        </w:rPr>
        <w:fldChar w:fldCharType="begin"/>
      </w:r>
      <w:r w:rsidR="00032853" w:rsidRPr="00CE6C4E">
        <w:rPr>
          <w:b/>
          <w:bCs/>
          <w:i/>
          <w:iCs/>
          <w:sz w:val="22"/>
          <w:szCs w:val="22"/>
        </w:rPr>
        <w:instrText>SEQ Table \* ARABIC</w:instrText>
      </w:r>
      <w:r w:rsidR="00032853" w:rsidRPr="00CE6C4E">
        <w:rPr>
          <w:b/>
          <w:bCs/>
          <w:i/>
          <w:iCs/>
          <w:sz w:val="22"/>
          <w:szCs w:val="22"/>
        </w:rPr>
        <w:fldChar w:fldCharType="separate"/>
      </w:r>
      <w:r w:rsidR="00032853">
        <w:rPr>
          <w:b/>
          <w:bCs/>
          <w:i/>
          <w:iCs/>
          <w:noProof/>
          <w:sz w:val="22"/>
          <w:szCs w:val="22"/>
        </w:rPr>
        <w:t>3</w:t>
      </w:r>
      <w:r w:rsidR="00032853" w:rsidRPr="00CE6C4E">
        <w:rPr>
          <w:b/>
          <w:bCs/>
          <w:i/>
          <w:iCs/>
          <w:sz w:val="22"/>
          <w:szCs w:val="22"/>
        </w:rPr>
        <w:fldChar w:fldCharType="end"/>
      </w:r>
      <w:r w:rsidR="004D1594">
        <w:rPr>
          <w:b/>
          <w:bCs/>
          <w:i/>
          <w:iCs/>
          <w:sz w:val="22"/>
          <w:szCs w:val="22"/>
        </w:rPr>
        <w:t>:</w:t>
      </w:r>
      <w:r w:rsidRPr="000D5C3E">
        <w:rPr>
          <w:b/>
          <w:bCs/>
          <w:i/>
          <w:iCs/>
          <w:sz w:val="22"/>
          <w:szCs w:val="22"/>
        </w:rPr>
        <w:t xml:space="preserve"> </w:t>
      </w:r>
      <w:r w:rsidR="00F16A7F">
        <w:rPr>
          <w:b/>
          <w:bCs/>
          <w:i/>
          <w:iCs/>
          <w:sz w:val="22"/>
          <w:szCs w:val="22"/>
        </w:rPr>
        <w:t>Non-residential</w:t>
      </w:r>
      <w:r w:rsidR="00B544CF">
        <w:rPr>
          <w:b/>
          <w:bCs/>
          <w:i/>
          <w:iCs/>
          <w:sz w:val="22"/>
          <w:szCs w:val="22"/>
        </w:rPr>
        <w:t xml:space="preserve"> </w:t>
      </w:r>
      <w:r w:rsidRPr="000D5C3E">
        <w:rPr>
          <w:b/>
          <w:bCs/>
          <w:i/>
          <w:iCs/>
          <w:sz w:val="22"/>
          <w:szCs w:val="22"/>
        </w:rPr>
        <w:t>customer impacts from proposed 2023</w:t>
      </w:r>
      <w:r w:rsidR="007D4EB3">
        <w:rPr>
          <w:b/>
          <w:bCs/>
          <w:i/>
          <w:iCs/>
          <w:sz w:val="22"/>
          <w:szCs w:val="22"/>
        </w:rPr>
        <w:t>–</w:t>
      </w:r>
      <w:r w:rsidRPr="000D5C3E">
        <w:rPr>
          <w:b/>
          <w:bCs/>
          <w:i/>
          <w:iCs/>
          <w:sz w:val="22"/>
          <w:szCs w:val="22"/>
        </w:rPr>
        <w:t>24 changes</w:t>
      </w:r>
    </w:p>
    <w:tbl>
      <w:tblPr>
        <w:tblStyle w:val="MJTableStyle1default"/>
        <w:tblW w:w="9493" w:type="dxa"/>
        <w:tblInd w:w="5"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CellMar>
          <w:top w:w="113" w:type="dxa"/>
          <w:bottom w:w="113" w:type="dxa"/>
        </w:tblCellMar>
        <w:tblLook w:val="04A0" w:firstRow="1" w:lastRow="0" w:firstColumn="1" w:lastColumn="0" w:noHBand="0" w:noVBand="1"/>
      </w:tblPr>
      <w:tblGrid>
        <w:gridCol w:w="2542"/>
        <w:gridCol w:w="1390"/>
        <w:gridCol w:w="1390"/>
        <w:gridCol w:w="1390"/>
        <w:gridCol w:w="1390"/>
        <w:gridCol w:w="1391"/>
      </w:tblGrid>
      <w:tr w:rsidR="005C0ADE" w:rsidRPr="00A90E72" w14:paraId="5C4EDC10" w14:textId="77777777" w:rsidTr="00E73D07">
        <w:trPr>
          <w:cnfStyle w:val="100000000000" w:firstRow="1" w:lastRow="0" w:firstColumn="0" w:lastColumn="0" w:oddVBand="0" w:evenVBand="0" w:oddHBand="0" w:evenHBand="0" w:firstRowFirstColumn="0" w:firstRowLastColumn="0" w:lastRowFirstColumn="0" w:lastRowLastColumn="0"/>
          <w:trHeight w:val="600"/>
        </w:trPr>
        <w:tc>
          <w:tcPr>
            <w:tcW w:w="2542" w:type="dxa"/>
            <w:tcBorders>
              <w:right w:val="single" w:sz="4" w:space="0" w:color="FFFFFF" w:themeColor="background1"/>
            </w:tcBorders>
            <w:shd w:val="clear" w:color="auto" w:fill="002279"/>
            <w:noWrap/>
            <w:vAlign w:val="center"/>
            <w:hideMark/>
          </w:tcPr>
          <w:bookmarkEnd w:id="11"/>
          <w:p w14:paraId="5BF2417F" w14:textId="5C0B8B59" w:rsidR="006416F2" w:rsidRPr="00F77C1C" w:rsidRDefault="00F16A7F" w:rsidP="00116E55">
            <w:pPr>
              <w:pStyle w:val="Heading4"/>
              <w:spacing w:before="0" w:after="0"/>
              <w:outlineLvl w:val="3"/>
            </w:pPr>
            <w:r>
              <w:rPr>
                <w:color w:val="FFFFFF" w:themeColor="background1"/>
              </w:rPr>
              <w:t>Non-residential</w:t>
            </w:r>
            <w:r w:rsidR="0029644E" w:rsidRPr="00116E55">
              <w:rPr>
                <w:color w:val="FFFFFF" w:themeColor="background1"/>
              </w:rPr>
              <w:t xml:space="preserve"> </w:t>
            </w:r>
            <w:r w:rsidR="00B544CF" w:rsidRPr="00116E55">
              <w:rPr>
                <w:color w:val="FFFFFF" w:themeColor="background1"/>
              </w:rPr>
              <w:t>customer</w:t>
            </w:r>
            <w:r w:rsidR="00A1315F" w:rsidRPr="00116E55">
              <w:rPr>
                <w:color w:val="FFFFFF" w:themeColor="background1"/>
              </w:rPr>
              <w:t xml:space="preserve"> </w:t>
            </w:r>
          </w:p>
        </w:tc>
        <w:tc>
          <w:tcPr>
            <w:tcW w:w="1390" w:type="dxa"/>
            <w:tcBorders>
              <w:left w:val="single" w:sz="4" w:space="0" w:color="FFFFFF" w:themeColor="background1"/>
              <w:right w:val="single" w:sz="4" w:space="0" w:color="FFFFFF" w:themeColor="background1"/>
            </w:tcBorders>
            <w:shd w:val="clear" w:color="auto" w:fill="002279"/>
            <w:noWrap/>
            <w:vAlign w:val="center"/>
            <w:hideMark/>
          </w:tcPr>
          <w:p w14:paraId="77C7803F" w14:textId="5229E1AD" w:rsidR="006416F2" w:rsidRPr="00F77C1C" w:rsidRDefault="006416F2" w:rsidP="00360131">
            <w:pPr>
              <w:pStyle w:val="Heading4"/>
              <w:spacing w:before="0" w:after="0"/>
              <w:jc w:val="center"/>
              <w:outlineLvl w:val="3"/>
            </w:pPr>
            <w:r w:rsidRPr="00116E55">
              <w:rPr>
                <w:color w:val="FFFFFF" w:themeColor="background1"/>
              </w:rPr>
              <w:t xml:space="preserve">Usage per </w:t>
            </w:r>
            <w:r w:rsidR="007A16C6">
              <w:rPr>
                <w:color w:val="FFFFFF" w:themeColor="background1"/>
              </w:rPr>
              <w:br/>
            </w:r>
            <w:r w:rsidRPr="00116E55">
              <w:rPr>
                <w:color w:val="FFFFFF" w:themeColor="background1"/>
              </w:rPr>
              <w:t>year (k</w:t>
            </w:r>
            <w:r w:rsidR="008B6EB8" w:rsidRPr="00116E55">
              <w:rPr>
                <w:color w:val="FFFFFF" w:themeColor="background1"/>
              </w:rPr>
              <w:t>L</w:t>
            </w:r>
            <w:r w:rsidRPr="00116E55">
              <w:rPr>
                <w:color w:val="FFFFFF" w:themeColor="background1"/>
              </w:rPr>
              <w:t>)</w:t>
            </w:r>
          </w:p>
        </w:tc>
        <w:tc>
          <w:tcPr>
            <w:tcW w:w="1390" w:type="dxa"/>
            <w:tcBorders>
              <w:left w:val="single" w:sz="4" w:space="0" w:color="FFFFFF" w:themeColor="background1"/>
              <w:right w:val="single" w:sz="4" w:space="0" w:color="FFFFFF" w:themeColor="background1"/>
            </w:tcBorders>
            <w:shd w:val="clear" w:color="auto" w:fill="002279"/>
            <w:noWrap/>
            <w:vAlign w:val="center"/>
            <w:hideMark/>
          </w:tcPr>
          <w:p w14:paraId="3B8FEC4B" w14:textId="34E09972" w:rsidR="006416F2" w:rsidRPr="00F77C1C" w:rsidRDefault="006416F2" w:rsidP="00360131">
            <w:pPr>
              <w:pStyle w:val="Heading4"/>
              <w:spacing w:before="0" w:after="0"/>
              <w:jc w:val="center"/>
              <w:outlineLvl w:val="3"/>
            </w:pPr>
            <w:r w:rsidRPr="00116E55">
              <w:rPr>
                <w:color w:val="FFFFFF" w:themeColor="background1"/>
              </w:rPr>
              <w:t>2022</w:t>
            </w:r>
            <w:r w:rsidR="007D4EB3" w:rsidRPr="00116E55">
              <w:rPr>
                <w:color w:val="FFFFFF" w:themeColor="background1"/>
              </w:rPr>
              <w:t>–</w:t>
            </w:r>
            <w:r w:rsidRPr="00116E55">
              <w:rPr>
                <w:color w:val="FFFFFF" w:themeColor="background1"/>
              </w:rPr>
              <w:t>23 annual bill</w:t>
            </w:r>
          </w:p>
        </w:tc>
        <w:tc>
          <w:tcPr>
            <w:tcW w:w="1390" w:type="dxa"/>
            <w:tcBorders>
              <w:left w:val="single" w:sz="4" w:space="0" w:color="FFFFFF" w:themeColor="background1"/>
              <w:right w:val="single" w:sz="4" w:space="0" w:color="FFFFFF" w:themeColor="background1"/>
            </w:tcBorders>
            <w:shd w:val="clear" w:color="auto" w:fill="002279"/>
            <w:vAlign w:val="center"/>
            <w:hideMark/>
          </w:tcPr>
          <w:p w14:paraId="1B68D962" w14:textId="276B817C" w:rsidR="006416F2" w:rsidRPr="00F77C1C" w:rsidRDefault="006416F2" w:rsidP="00360131">
            <w:pPr>
              <w:pStyle w:val="Heading4"/>
              <w:spacing w:before="0" w:after="0"/>
              <w:jc w:val="center"/>
              <w:outlineLvl w:val="3"/>
            </w:pPr>
            <w:r w:rsidRPr="00116E55">
              <w:rPr>
                <w:color w:val="FFFFFF" w:themeColor="background1"/>
              </w:rPr>
              <w:t>2023</w:t>
            </w:r>
            <w:r w:rsidR="007D4EB3" w:rsidRPr="00116E55">
              <w:rPr>
                <w:color w:val="FFFFFF" w:themeColor="background1"/>
              </w:rPr>
              <w:t>–</w:t>
            </w:r>
            <w:r w:rsidRPr="00116E55">
              <w:rPr>
                <w:color w:val="FFFFFF" w:themeColor="background1"/>
              </w:rPr>
              <w:t>24 annual bill</w:t>
            </w:r>
          </w:p>
        </w:tc>
        <w:tc>
          <w:tcPr>
            <w:tcW w:w="1390" w:type="dxa"/>
            <w:tcBorders>
              <w:left w:val="single" w:sz="4" w:space="0" w:color="FFFFFF" w:themeColor="background1"/>
              <w:right w:val="single" w:sz="4" w:space="0" w:color="FFFFFF" w:themeColor="background1"/>
            </w:tcBorders>
            <w:shd w:val="clear" w:color="auto" w:fill="002279"/>
            <w:vAlign w:val="center"/>
            <w:hideMark/>
          </w:tcPr>
          <w:p w14:paraId="206839CE" w14:textId="62532812" w:rsidR="006416F2" w:rsidRPr="00F77C1C" w:rsidRDefault="006416F2" w:rsidP="00360131">
            <w:pPr>
              <w:pStyle w:val="Heading4"/>
              <w:spacing w:before="0" w:after="0"/>
              <w:jc w:val="center"/>
              <w:outlineLvl w:val="3"/>
            </w:pPr>
            <w:r w:rsidRPr="00116E55">
              <w:rPr>
                <w:color w:val="FFFFFF" w:themeColor="background1"/>
              </w:rPr>
              <w:t>$ change</w:t>
            </w:r>
          </w:p>
        </w:tc>
        <w:tc>
          <w:tcPr>
            <w:tcW w:w="1391" w:type="dxa"/>
            <w:tcBorders>
              <w:left w:val="single" w:sz="4" w:space="0" w:color="FFFFFF" w:themeColor="background1"/>
            </w:tcBorders>
            <w:shd w:val="clear" w:color="auto" w:fill="002279"/>
            <w:vAlign w:val="center"/>
            <w:hideMark/>
          </w:tcPr>
          <w:p w14:paraId="597E45F6" w14:textId="77777777" w:rsidR="006416F2" w:rsidRPr="00F77C1C" w:rsidRDefault="006416F2" w:rsidP="00360131">
            <w:pPr>
              <w:pStyle w:val="Heading4"/>
              <w:spacing w:before="0" w:after="0"/>
              <w:jc w:val="center"/>
              <w:outlineLvl w:val="3"/>
            </w:pPr>
            <w:r w:rsidRPr="00116E55">
              <w:rPr>
                <w:color w:val="FFFFFF" w:themeColor="background1"/>
              </w:rPr>
              <w:t>% change</w:t>
            </w:r>
          </w:p>
        </w:tc>
      </w:tr>
      <w:tr w:rsidR="005C0ADE" w:rsidRPr="00A90E72" w14:paraId="06E8F561" w14:textId="77777777" w:rsidTr="00360131">
        <w:trPr>
          <w:cnfStyle w:val="000000100000" w:firstRow="0" w:lastRow="0" w:firstColumn="0" w:lastColumn="0" w:oddVBand="0" w:evenVBand="0" w:oddHBand="1" w:evenHBand="0" w:firstRowFirstColumn="0" w:firstRowLastColumn="0" w:lastRowFirstColumn="0" w:lastRowLastColumn="0"/>
          <w:trHeight w:val="300"/>
        </w:trPr>
        <w:tc>
          <w:tcPr>
            <w:tcW w:w="2542" w:type="dxa"/>
            <w:shd w:val="clear" w:color="auto" w:fill="D4D6DF"/>
            <w:noWrap/>
            <w:hideMark/>
          </w:tcPr>
          <w:p w14:paraId="585D28A7" w14:textId="77F76114" w:rsidR="006416F2" w:rsidRPr="00607A43" w:rsidRDefault="00F16A7F" w:rsidP="00AD47B8">
            <w:r w:rsidRPr="0054057C">
              <w:t>Non-residential customer - Small</w:t>
            </w:r>
          </w:p>
        </w:tc>
        <w:tc>
          <w:tcPr>
            <w:tcW w:w="1390" w:type="dxa"/>
            <w:shd w:val="clear" w:color="auto" w:fill="D4D6DF"/>
            <w:noWrap/>
            <w:vAlign w:val="center"/>
            <w:hideMark/>
          </w:tcPr>
          <w:p w14:paraId="08ED7C84" w14:textId="77777777" w:rsidR="006416F2" w:rsidRPr="00607A43" w:rsidRDefault="006416F2" w:rsidP="00360131">
            <w:pPr>
              <w:jc w:val="center"/>
            </w:pPr>
            <w:r w:rsidRPr="00607A43">
              <w:t>150</w:t>
            </w:r>
          </w:p>
        </w:tc>
        <w:tc>
          <w:tcPr>
            <w:tcW w:w="1390" w:type="dxa"/>
            <w:shd w:val="clear" w:color="auto" w:fill="D4D6DF"/>
            <w:noWrap/>
            <w:vAlign w:val="center"/>
            <w:hideMark/>
          </w:tcPr>
          <w:p w14:paraId="19CE925F" w14:textId="685AD078" w:rsidR="006416F2" w:rsidRPr="00607A43" w:rsidRDefault="006416F2" w:rsidP="00360131">
            <w:pPr>
              <w:jc w:val="center"/>
            </w:pPr>
            <w:r w:rsidRPr="00607A43">
              <w:t>$1,281.4</w:t>
            </w:r>
            <w:r w:rsidR="00851534" w:rsidRPr="00607A43">
              <w:t>5</w:t>
            </w:r>
          </w:p>
        </w:tc>
        <w:tc>
          <w:tcPr>
            <w:tcW w:w="1390" w:type="dxa"/>
            <w:shd w:val="clear" w:color="auto" w:fill="D4D6DF"/>
            <w:noWrap/>
            <w:vAlign w:val="center"/>
            <w:hideMark/>
          </w:tcPr>
          <w:p w14:paraId="24D205C1" w14:textId="39AE613B" w:rsidR="006416F2" w:rsidRPr="00607A43" w:rsidRDefault="00D51CA2" w:rsidP="00360131">
            <w:pPr>
              <w:jc w:val="center"/>
            </w:pPr>
            <w:r w:rsidRPr="00607A43">
              <w:t>$1,</w:t>
            </w:r>
            <w:r w:rsidR="00F16A7F" w:rsidRPr="0054057C">
              <w:t>207.</w:t>
            </w:r>
            <w:r w:rsidR="00DF11C8" w:rsidRPr="00D0680F">
              <w:t>30</w:t>
            </w:r>
          </w:p>
        </w:tc>
        <w:tc>
          <w:tcPr>
            <w:tcW w:w="1390" w:type="dxa"/>
            <w:shd w:val="clear" w:color="auto" w:fill="D4D6DF"/>
            <w:noWrap/>
            <w:vAlign w:val="center"/>
            <w:hideMark/>
          </w:tcPr>
          <w:p w14:paraId="28337C48" w14:textId="0F10D8C3" w:rsidR="006416F2" w:rsidRPr="00607A43" w:rsidRDefault="00D51CA2" w:rsidP="00360131">
            <w:pPr>
              <w:jc w:val="center"/>
            </w:pPr>
            <w:r w:rsidRPr="00607A43">
              <w:t>-$</w:t>
            </w:r>
            <w:r w:rsidR="00F16A7F" w:rsidRPr="0054057C">
              <w:t>74.</w:t>
            </w:r>
            <w:r w:rsidR="00DF11C8" w:rsidRPr="00D0680F">
              <w:t>15</w:t>
            </w:r>
          </w:p>
        </w:tc>
        <w:tc>
          <w:tcPr>
            <w:tcW w:w="1391" w:type="dxa"/>
            <w:shd w:val="clear" w:color="auto" w:fill="D4D6DF"/>
            <w:noWrap/>
            <w:vAlign w:val="center"/>
            <w:hideMark/>
          </w:tcPr>
          <w:p w14:paraId="5A338E5A" w14:textId="1FE4B3E4" w:rsidR="006416F2" w:rsidRPr="00607A43" w:rsidRDefault="006416F2" w:rsidP="00360131">
            <w:pPr>
              <w:jc w:val="center"/>
            </w:pPr>
            <w:r w:rsidRPr="00607A43">
              <w:t>-</w:t>
            </w:r>
            <w:r w:rsidR="00D51CA2" w:rsidRPr="00607A43">
              <w:t>5.</w:t>
            </w:r>
            <w:r w:rsidR="00DF11C8" w:rsidRPr="00D0680F">
              <w:t>79</w:t>
            </w:r>
            <w:r w:rsidRPr="00607A43">
              <w:t>%</w:t>
            </w:r>
          </w:p>
        </w:tc>
      </w:tr>
      <w:tr w:rsidR="005C0ADE" w:rsidRPr="00A90E72" w14:paraId="1AC39093" w14:textId="77777777" w:rsidTr="00360131">
        <w:trPr>
          <w:cnfStyle w:val="000000010000" w:firstRow="0" w:lastRow="0" w:firstColumn="0" w:lastColumn="0" w:oddVBand="0" w:evenVBand="0" w:oddHBand="0" w:evenHBand="1" w:firstRowFirstColumn="0" w:firstRowLastColumn="0" w:lastRowFirstColumn="0" w:lastRowLastColumn="0"/>
          <w:trHeight w:val="300"/>
        </w:trPr>
        <w:tc>
          <w:tcPr>
            <w:tcW w:w="2542" w:type="dxa"/>
            <w:shd w:val="clear" w:color="auto" w:fill="FFFFFF" w:themeFill="background1"/>
            <w:noWrap/>
            <w:hideMark/>
          </w:tcPr>
          <w:p w14:paraId="321A462F" w14:textId="249CD95B" w:rsidR="006416F2" w:rsidRPr="00607A43" w:rsidRDefault="00F16A7F" w:rsidP="00AD47B8">
            <w:r w:rsidRPr="0054057C">
              <w:t>Non-residential customer - Medium</w:t>
            </w:r>
          </w:p>
        </w:tc>
        <w:tc>
          <w:tcPr>
            <w:tcW w:w="1390" w:type="dxa"/>
            <w:shd w:val="clear" w:color="auto" w:fill="FFFFFF" w:themeFill="background1"/>
            <w:noWrap/>
            <w:vAlign w:val="center"/>
            <w:hideMark/>
          </w:tcPr>
          <w:p w14:paraId="3503388A" w14:textId="77777777" w:rsidR="006416F2" w:rsidRPr="00607A43" w:rsidRDefault="006416F2" w:rsidP="00360131">
            <w:pPr>
              <w:jc w:val="center"/>
            </w:pPr>
            <w:r w:rsidRPr="00607A43">
              <w:t>1,000</w:t>
            </w:r>
          </w:p>
        </w:tc>
        <w:tc>
          <w:tcPr>
            <w:tcW w:w="1390" w:type="dxa"/>
            <w:shd w:val="clear" w:color="auto" w:fill="FFFFFF" w:themeFill="background1"/>
            <w:noWrap/>
            <w:vAlign w:val="center"/>
            <w:hideMark/>
          </w:tcPr>
          <w:p w14:paraId="579CDA34" w14:textId="61ECDA6F" w:rsidR="006416F2" w:rsidRPr="00607A43" w:rsidRDefault="006416F2" w:rsidP="00360131">
            <w:pPr>
              <w:jc w:val="center"/>
            </w:pPr>
            <w:r w:rsidRPr="00607A43">
              <w:t>$5,593.8</w:t>
            </w:r>
            <w:r w:rsidR="007D1F89" w:rsidRPr="00607A43">
              <w:t>4</w:t>
            </w:r>
          </w:p>
        </w:tc>
        <w:tc>
          <w:tcPr>
            <w:tcW w:w="1390" w:type="dxa"/>
            <w:shd w:val="clear" w:color="auto" w:fill="FFFFFF" w:themeFill="background1"/>
            <w:noWrap/>
            <w:vAlign w:val="center"/>
            <w:hideMark/>
          </w:tcPr>
          <w:p w14:paraId="376BCF16" w14:textId="3E6D2CA6" w:rsidR="006416F2" w:rsidRPr="00607A43" w:rsidRDefault="00D51CA2" w:rsidP="00360131">
            <w:pPr>
              <w:jc w:val="center"/>
            </w:pPr>
            <w:r w:rsidRPr="00607A43">
              <w:t>$5,</w:t>
            </w:r>
            <w:r w:rsidR="00DF11C8" w:rsidRPr="00D0680F">
              <w:t>270.16</w:t>
            </w:r>
          </w:p>
        </w:tc>
        <w:tc>
          <w:tcPr>
            <w:tcW w:w="1390" w:type="dxa"/>
            <w:shd w:val="clear" w:color="auto" w:fill="FFFFFF" w:themeFill="background1"/>
            <w:noWrap/>
            <w:vAlign w:val="center"/>
            <w:hideMark/>
          </w:tcPr>
          <w:p w14:paraId="3DF462CC" w14:textId="03B02E71" w:rsidR="006416F2" w:rsidRPr="00607A43" w:rsidRDefault="00DF11C8" w:rsidP="00360131">
            <w:pPr>
              <w:jc w:val="center"/>
            </w:pPr>
            <w:r w:rsidRPr="00D0680F">
              <w:t>-$323.68</w:t>
            </w:r>
          </w:p>
        </w:tc>
        <w:tc>
          <w:tcPr>
            <w:tcW w:w="1391" w:type="dxa"/>
            <w:shd w:val="clear" w:color="auto" w:fill="FFFFFF" w:themeFill="background1"/>
            <w:noWrap/>
            <w:vAlign w:val="center"/>
            <w:hideMark/>
          </w:tcPr>
          <w:p w14:paraId="637F03D9" w14:textId="26E16632" w:rsidR="006416F2" w:rsidRPr="00607A43" w:rsidRDefault="006416F2" w:rsidP="00360131">
            <w:pPr>
              <w:jc w:val="center"/>
            </w:pPr>
            <w:r w:rsidRPr="00607A43">
              <w:t>-</w:t>
            </w:r>
            <w:r w:rsidR="00D51CA2" w:rsidRPr="00607A43">
              <w:t>5.</w:t>
            </w:r>
            <w:r w:rsidR="00DF11C8" w:rsidRPr="00D0680F">
              <w:t>79</w:t>
            </w:r>
            <w:r w:rsidRPr="00607A43">
              <w:t>%</w:t>
            </w:r>
          </w:p>
        </w:tc>
      </w:tr>
      <w:tr w:rsidR="005C0ADE" w:rsidRPr="00A90E72" w14:paraId="0590B81E" w14:textId="77777777" w:rsidTr="00360131">
        <w:trPr>
          <w:cnfStyle w:val="000000100000" w:firstRow="0" w:lastRow="0" w:firstColumn="0" w:lastColumn="0" w:oddVBand="0" w:evenVBand="0" w:oddHBand="1" w:evenHBand="0" w:firstRowFirstColumn="0" w:firstRowLastColumn="0" w:lastRowFirstColumn="0" w:lastRowLastColumn="0"/>
          <w:trHeight w:val="300"/>
        </w:trPr>
        <w:tc>
          <w:tcPr>
            <w:tcW w:w="2542" w:type="dxa"/>
            <w:shd w:val="clear" w:color="auto" w:fill="D4D6DF"/>
            <w:noWrap/>
            <w:hideMark/>
          </w:tcPr>
          <w:p w14:paraId="5B8E0ABA" w14:textId="7E15566B" w:rsidR="006416F2" w:rsidRPr="00607A43" w:rsidRDefault="00F16A7F" w:rsidP="00AD47B8">
            <w:r w:rsidRPr="0054057C">
              <w:t>Non-residential customer - Large</w:t>
            </w:r>
          </w:p>
        </w:tc>
        <w:tc>
          <w:tcPr>
            <w:tcW w:w="1390" w:type="dxa"/>
            <w:shd w:val="clear" w:color="auto" w:fill="D4D6DF"/>
            <w:noWrap/>
            <w:vAlign w:val="center"/>
            <w:hideMark/>
          </w:tcPr>
          <w:p w14:paraId="733E6BAA" w14:textId="77777777" w:rsidR="006416F2" w:rsidRPr="00607A43" w:rsidRDefault="006416F2" w:rsidP="00360131">
            <w:pPr>
              <w:jc w:val="center"/>
            </w:pPr>
            <w:r w:rsidRPr="00607A43">
              <w:t>10,000</w:t>
            </w:r>
          </w:p>
        </w:tc>
        <w:tc>
          <w:tcPr>
            <w:tcW w:w="1390" w:type="dxa"/>
            <w:shd w:val="clear" w:color="auto" w:fill="D4D6DF"/>
            <w:noWrap/>
            <w:vAlign w:val="center"/>
            <w:hideMark/>
          </w:tcPr>
          <w:p w14:paraId="3CB560C1" w14:textId="7DB15E16" w:rsidR="006416F2" w:rsidRPr="00607A43" w:rsidRDefault="006416F2" w:rsidP="00360131">
            <w:pPr>
              <w:jc w:val="center"/>
            </w:pPr>
            <w:r w:rsidRPr="00607A43">
              <w:t>$51,254.</w:t>
            </w:r>
            <w:r w:rsidR="00F16A7F" w:rsidRPr="0054057C">
              <w:t>44</w:t>
            </w:r>
          </w:p>
        </w:tc>
        <w:tc>
          <w:tcPr>
            <w:tcW w:w="1390" w:type="dxa"/>
            <w:shd w:val="clear" w:color="auto" w:fill="D4D6DF"/>
            <w:noWrap/>
            <w:vAlign w:val="center"/>
            <w:hideMark/>
          </w:tcPr>
          <w:p w14:paraId="154D99AB" w14:textId="1FC2BBFB" w:rsidR="006416F2" w:rsidRPr="00607A43" w:rsidRDefault="00D51CA2" w:rsidP="00360131">
            <w:pPr>
              <w:jc w:val="center"/>
            </w:pPr>
            <w:r w:rsidRPr="00607A43">
              <w:t>$48,</w:t>
            </w:r>
            <w:r w:rsidR="00DF11C8" w:rsidRPr="00D0680F">
              <w:t>288.68</w:t>
            </w:r>
          </w:p>
        </w:tc>
        <w:tc>
          <w:tcPr>
            <w:tcW w:w="1390" w:type="dxa"/>
            <w:shd w:val="clear" w:color="auto" w:fill="D4D6DF"/>
            <w:noWrap/>
            <w:vAlign w:val="center"/>
            <w:hideMark/>
          </w:tcPr>
          <w:p w14:paraId="5D0CE885" w14:textId="325CED39" w:rsidR="006416F2" w:rsidRPr="00607A43" w:rsidRDefault="00D51CA2" w:rsidP="00360131">
            <w:pPr>
              <w:jc w:val="center"/>
            </w:pPr>
            <w:r w:rsidRPr="00607A43">
              <w:t>-$2,</w:t>
            </w:r>
            <w:r w:rsidR="00DF11C8" w:rsidRPr="00D0680F">
              <w:t>965.76</w:t>
            </w:r>
          </w:p>
        </w:tc>
        <w:tc>
          <w:tcPr>
            <w:tcW w:w="1391" w:type="dxa"/>
            <w:shd w:val="clear" w:color="auto" w:fill="D4D6DF"/>
            <w:noWrap/>
            <w:vAlign w:val="center"/>
            <w:hideMark/>
          </w:tcPr>
          <w:p w14:paraId="53412762" w14:textId="18520E2A" w:rsidR="006416F2" w:rsidRPr="00607A43" w:rsidRDefault="006416F2" w:rsidP="00360131">
            <w:pPr>
              <w:jc w:val="center"/>
            </w:pPr>
            <w:r w:rsidRPr="00607A43">
              <w:t>-</w:t>
            </w:r>
            <w:r w:rsidR="00D51CA2" w:rsidRPr="00607A43">
              <w:t>5.</w:t>
            </w:r>
            <w:r w:rsidR="00DF11C8" w:rsidRPr="00D0680F">
              <w:t>79</w:t>
            </w:r>
            <w:r w:rsidRPr="00607A43">
              <w:t>%</w:t>
            </w:r>
          </w:p>
        </w:tc>
      </w:tr>
    </w:tbl>
    <w:p w14:paraId="1BF3FE63" w14:textId="77777777" w:rsidR="006416F2" w:rsidRDefault="006416F2" w:rsidP="006416F2">
      <w:pPr>
        <w:pStyle w:val="NormalIndent"/>
        <w:ind w:left="0"/>
      </w:pPr>
    </w:p>
    <w:p w14:paraId="70CCFC96" w14:textId="2BBC5C2B" w:rsidR="003B1811" w:rsidRDefault="00805BF2" w:rsidP="00C801AC">
      <w:pPr>
        <w:pStyle w:val="Heading4"/>
      </w:pPr>
      <w:r>
        <w:t xml:space="preserve">Our expenditure proposals are higher, but reflect </w:t>
      </w:r>
      <w:r w:rsidR="00AF54D8">
        <w:t>p</w:t>
      </w:r>
      <w:r w:rsidR="00C801AC">
        <w:t xml:space="preserve">rudent and efficient </w:t>
      </w:r>
      <w:r w:rsidR="00AF54D8">
        <w:t>forecast</w:t>
      </w:r>
      <w:r w:rsidR="00013CD9">
        <w:t>s</w:t>
      </w:r>
      <w:r w:rsidR="006340C9">
        <w:t xml:space="preserve"> that build in efficiency savings</w:t>
      </w:r>
    </w:p>
    <w:p w14:paraId="4DBF7F7D" w14:textId="01382172" w:rsidR="00C21EAD" w:rsidRDefault="00A9281A" w:rsidP="004A0CC2">
      <w:r>
        <w:t>An a</w:t>
      </w:r>
      <w:r w:rsidR="004A0CC2">
        <w:t xml:space="preserve">verage </w:t>
      </w:r>
      <w:r w:rsidR="00140428">
        <w:t>operating expenditure</w:t>
      </w:r>
      <w:r w:rsidR="004A0CC2" w:rsidRPr="00011634">
        <w:t xml:space="preserve"> of $160 million p</w:t>
      </w:r>
      <w:r w:rsidR="004A0CC2">
        <w:t>er annum</w:t>
      </w:r>
      <w:r w:rsidR="00C05156">
        <w:t xml:space="preserve"> is proposed</w:t>
      </w:r>
      <w:r w:rsidR="004A0CC2">
        <w:t xml:space="preserve">, </w:t>
      </w:r>
      <w:r w:rsidR="004A0CC2" w:rsidRPr="00011634">
        <w:t>represent</w:t>
      </w:r>
      <w:r w:rsidR="004A0CC2">
        <w:t>ing</w:t>
      </w:r>
      <w:r w:rsidR="004A0CC2" w:rsidRPr="00011634">
        <w:t xml:space="preserve"> a</w:t>
      </w:r>
      <w:r w:rsidR="004119CA">
        <w:t>round a 10</w:t>
      </w:r>
      <w:r w:rsidR="004A0CC2" w:rsidRPr="00011634">
        <w:t>% increase</w:t>
      </w:r>
      <w:r w:rsidR="00C05156">
        <w:t xml:space="preserve"> compared to the 2018</w:t>
      </w:r>
      <w:r w:rsidR="007D4EB3">
        <w:t>–</w:t>
      </w:r>
      <w:r w:rsidR="00C05156">
        <w:t xml:space="preserve">23 regulatory period. </w:t>
      </w:r>
      <w:r w:rsidR="0010102C">
        <w:t>Our forecast capital investment is</w:t>
      </w:r>
      <w:r w:rsidR="00C05156">
        <w:t xml:space="preserve"> $1.92 billion, </w:t>
      </w:r>
      <w:r w:rsidR="00263860">
        <w:t>which represents an average annual increase in our regulated asset base of 5% or a total</w:t>
      </w:r>
      <w:r w:rsidR="00C05156">
        <w:t xml:space="preserve"> </w:t>
      </w:r>
      <w:r w:rsidR="00A703EB">
        <w:t>54</w:t>
      </w:r>
      <w:r w:rsidR="00C05156" w:rsidRPr="00C34011">
        <w:t>%</w:t>
      </w:r>
      <w:r w:rsidR="00C34011">
        <w:t xml:space="preserve"> </w:t>
      </w:r>
      <w:r w:rsidR="00C05156" w:rsidRPr="00C34011">
        <w:t>increase</w:t>
      </w:r>
      <w:r w:rsidR="00263860" w:rsidRPr="00C34011">
        <w:t xml:space="preserve"> in capital expenditure</w:t>
      </w:r>
      <w:r w:rsidR="00C21EAD">
        <w:t>.</w:t>
      </w:r>
    </w:p>
    <w:p w14:paraId="01BFD7E2" w14:textId="604AEAA0" w:rsidR="004558CD" w:rsidRDefault="00C64FDD" w:rsidP="004558CD">
      <w:pPr>
        <w:pStyle w:val="BodyText"/>
      </w:pPr>
      <w:r>
        <w:t>While significant, this capital program will allow us</w:t>
      </w:r>
      <w:r w:rsidR="004558CD">
        <w:t xml:space="preserve"> to deliver on the standards of service </w:t>
      </w:r>
      <w:r w:rsidR="00294F4E">
        <w:t xml:space="preserve">that we have </w:t>
      </w:r>
      <w:r w:rsidR="004558CD">
        <w:t xml:space="preserve">agreed </w:t>
      </w:r>
      <w:r w:rsidR="00B4395B">
        <w:t xml:space="preserve">upon </w:t>
      </w:r>
      <w:r w:rsidR="004558CD">
        <w:t xml:space="preserve">with customers and to build a platform for improved services at </w:t>
      </w:r>
      <w:r w:rsidR="004558CD">
        <w:lastRenderedPageBreak/>
        <w:t xml:space="preserve">lower costs </w:t>
      </w:r>
      <w:r w:rsidR="00492C54">
        <w:t>in</w:t>
      </w:r>
      <w:r w:rsidR="004558CD">
        <w:t xml:space="preserve"> the future</w:t>
      </w:r>
      <w:r w:rsidR="00294F4E">
        <w:t xml:space="preserve">. Key projects and programs that contribute to these outcomes include the </w:t>
      </w:r>
      <w:r w:rsidR="006625F7" w:rsidRPr="006625F7">
        <w:t>Digital Utility program</w:t>
      </w:r>
      <w:r w:rsidR="004558CD">
        <w:t>, major sewerage treatment, water recycling and pipeline assets</w:t>
      </w:r>
      <w:r w:rsidR="00B4395B">
        <w:t>,</w:t>
      </w:r>
      <w:r w:rsidR="004558CD">
        <w:t xml:space="preserve"> and renewals and upgrade programs.</w:t>
      </w:r>
    </w:p>
    <w:p w14:paraId="1070481D" w14:textId="26A565A0" w:rsidR="00FD55CD" w:rsidRDefault="000443A4" w:rsidP="00FD55CD">
      <w:pPr>
        <w:pStyle w:val="BodyText"/>
      </w:pPr>
      <w:r>
        <w:t>To</w:t>
      </w:r>
      <w:r w:rsidR="004558CD">
        <w:t xml:space="preserve"> limit </w:t>
      </w:r>
      <w:r>
        <w:t>co</w:t>
      </w:r>
      <w:r w:rsidR="004558CD">
        <w:t>sts</w:t>
      </w:r>
      <w:r w:rsidR="00D45C4F">
        <w:t>,</w:t>
      </w:r>
      <w:r w:rsidR="004558CD">
        <w:t xml:space="preserve"> our forecasts build in a range of</w:t>
      </w:r>
      <w:r w:rsidR="009D16C1">
        <w:t xml:space="preserve"> </w:t>
      </w:r>
      <w:r w:rsidR="004558CD">
        <w:t>efficienc</w:t>
      </w:r>
      <w:r w:rsidR="009D16C1">
        <w:t>y saving</w:t>
      </w:r>
      <w:r>
        <w:t>s</w:t>
      </w:r>
      <w:r w:rsidR="004558CD">
        <w:t>.</w:t>
      </w:r>
      <w:r w:rsidR="00526990">
        <w:t xml:space="preserve"> </w:t>
      </w:r>
      <w:r w:rsidR="00FD55CD">
        <w:t>Significant operating cost savings will be delivered to customers in the following ways:</w:t>
      </w:r>
    </w:p>
    <w:p w14:paraId="3E8B4CE3" w14:textId="269C5388" w:rsidR="00FD55CD" w:rsidRDefault="00FD55CD">
      <w:pPr>
        <w:pStyle w:val="ListParagraph"/>
        <w:numPr>
          <w:ilvl w:val="0"/>
          <w:numId w:val="43"/>
        </w:numPr>
        <w:rPr>
          <w:rFonts w:eastAsia="Arial" w:cs="Arial"/>
        </w:rPr>
      </w:pPr>
      <w:r w:rsidRPr="00705008">
        <w:rPr>
          <w:rFonts w:eastAsia="Arial" w:cs="Arial"/>
          <w:b/>
          <w:bCs/>
        </w:rPr>
        <w:t>Efficiency improvement rate that is higher than the ESC</w:t>
      </w:r>
      <w:r w:rsidR="00612583">
        <w:rPr>
          <w:rFonts w:eastAsia="Arial" w:cs="Arial"/>
          <w:b/>
          <w:bCs/>
        </w:rPr>
        <w:t>’</w:t>
      </w:r>
      <w:r w:rsidRPr="00705008">
        <w:rPr>
          <w:rFonts w:eastAsia="Arial" w:cs="Arial"/>
          <w:b/>
          <w:bCs/>
        </w:rPr>
        <w:t>s hurdle rate:</w:t>
      </w:r>
      <w:r>
        <w:rPr>
          <w:rFonts w:eastAsia="Arial" w:cs="Arial"/>
        </w:rPr>
        <w:t xml:space="preserve"> South</w:t>
      </w:r>
      <w:r w:rsidR="00325C01">
        <w:rPr>
          <w:rFonts w:eastAsia="Arial" w:cs="Arial"/>
        </w:rPr>
        <w:t> </w:t>
      </w:r>
      <w:r>
        <w:rPr>
          <w:rFonts w:eastAsia="Arial" w:cs="Arial"/>
        </w:rPr>
        <w:t>East Water</w:t>
      </w:r>
      <w:r w:rsidR="00446A14">
        <w:rPr>
          <w:rFonts w:eastAsia="Arial" w:cs="Arial"/>
        </w:rPr>
        <w:t xml:space="preserve"> is</w:t>
      </w:r>
      <w:r>
        <w:rPr>
          <w:rFonts w:eastAsia="Arial" w:cs="Arial"/>
        </w:rPr>
        <w:t xml:space="preserve"> </w:t>
      </w:r>
      <w:r w:rsidR="00446A14">
        <w:rPr>
          <w:rFonts w:eastAsia="Arial" w:cs="Arial"/>
        </w:rPr>
        <w:t xml:space="preserve">committed </w:t>
      </w:r>
      <w:r>
        <w:rPr>
          <w:rFonts w:eastAsia="Arial" w:cs="Arial"/>
        </w:rPr>
        <w:t>to a 2%</w:t>
      </w:r>
      <w:r w:rsidRPr="00AA3DD0">
        <w:rPr>
          <w:rFonts w:eastAsia="Arial" w:cs="Arial"/>
        </w:rPr>
        <w:t xml:space="preserve"> efficiency improvement rate</w:t>
      </w:r>
      <w:r w:rsidR="00904F69">
        <w:rPr>
          <w:rFonts w:eastAsia="Arial" w:cs="Arial"/>
        </w:rPr>
        <w:t>,</w:t>
      </w:r>
      <w:r w:rsidRPr="00AA3DD0">
        <w:rPr>
          <w:rFonts w:eastAsia="Arial" w:cs="Arial"/>
        </w:rPr>
        <w:t xml:space="preserve"> </w:t>
      </w:r>
      <w:r>
        <w:rPr>
          <w:rFonts w:eastAsia="Arial" w:cs="Arial"/>
        </w:rPr>
        <w:t>which is ahead of the ESC</w:t>
      </w:r>
      <w:r w:rsidR="00612583">
        <w:rPr>
          <w:rFonts w:eastAsia="Arial" w:cs="Arial"/>
        </w:rPr>
        <w:t>’</w:t>
      </w:r>
      <w:r>
        <w:rPr>
          <w:rFonts w:eastAsia="Arial" w:cs="Arial"/>
        </w:rPr>
        <w:t xml:space="preserve">s efficiency hurdle rate. This efficiency rate delivers a reduction in controllable expenditure of </w:t>
      </w:r>
      <w:r w:rsidRPr="00CB0971">
        <w:rPr>
          <w:rFonts w:eastAsia="Arial" w:cs="Arial"/>
        </w:rPr>
        <w:t>$22.5 million</w:t>
      </w:r>
      <w:r>
        <w:rPr>
          <w:rFonts w:eastAsia="Arial" w:cs="Arial"/>
        </w:rPr>
        <w:t xml:space="preserve"> over the </w:t>
      </w:r>
      <w:r>
        <w:t>2023</w:t>
      </w:r>
      <w:r w:rsidR="007D4EB3">
        <w:t>–</w:t>
      </w:r>
      <w:r>
        <w:t xml:space="preserve">28 </w:t>
      </w:r>
      <w:r>
        <w:rPr>
          <w:rFonts w:eastAsia="Arial" w:cs="Arial"/>
        </w:rPr>
        <w:t>regulatory period</w:t>
      </w:r>
      <w:r w:rsidR="00D01CFC">
        <w:rPr>
          <w:rFonts w:eastAsia="Arial" w:cs="Arial"/>
        </w:rPr>
        <w:t>.</w:t>
      </w:r>
    </w:p>
    <w:p w14:paraId="01117DD4" w14:textId="122C53A2" w:rsidR="00FD55CD" w:rsidRDefault="00FD55CD">
      <w:pPr>
        <w:pStyle w:val="ListParagraph"/>
        <w:numPr>
          <w:ilvl w:val="0"/>
          <w:numId w:val="43"/>
        </w:numPr>
        <w:rPr>
          <w:rFonts w:eastAsia="Arial" w:cs="Arial"/>
        </w:rPr>
      </w:pPr>
      <w:r>
        <w:rPr>
          <w:rFonts w:eastAsia="Arial" w:cs="Arial"/>
          <w:b/>
          <w:bCs/>
        </w:rPr>
        <w:t>Expenditure g</w:t>
      </w:r>
      <w:r w:rsidRPr="00705008">
        <w:rPr>
          <w:rFonts w:eastAsia="Arial" w:cs="Arial"/>
          <w:b/>
          <w:bCs/>
        </w:rPr>
        <w:t>rowth rate below expected customer growth:</w:t>
      </w:r>
      <w:r w:rsidRPr="00FC39BB">
        <w:rPr>
          <w:rFonts w:eastAsia="Arial" w:cs="Arial"/>
        </w:rPr>
        <w:t xml:space="preserve"> South East Water has applied an expenditure growth rate</w:t>
      </w:r>
      <w:r w:rsidR="004A3788">
        <w:rPr>
          <w:rFonts w:eastAsia="Arial" w:cs="Arial"/>
        </w:rPr>
        <w:t xml:space="preserve"> which</w:t>
      </w:r>
      <w:r w:rsidRPr="00FC39BB">
        <w:rPr>
          <w:rFonts w:eastAsia="Arial" w:cs="Arial"/>
        </w:rPr>
        <w:t xml:space="preserve"> is below our expected customer growth rate. An annual average </w:t>
      </w:r>
      <w:r w:rsidR="00612583">
        <w:rPr>
          <w:rFonts w:eastAsia="Arial" w:cs="Arial"/>
        </w:rPr>
        <w:t>‘</w:t>
      </w:r>
      <w:r w:rsidRPr="00FC39BB">
        <w:rPr>
          <w:rFonts w:eastAsia="Arial" w:cs="Arial"/>
        </w:rPr>
        <w:t>uncertainty discount</w:t>
      </w:r>
      <w:r w:rsidR="00612583">
        <w:rPr>
          <w:rFonts w:eastAsia="Arial" w:cs="Arial"/>
        </w:rPr>
        <w:t>’</w:t>
      </w:r>
      <w:r w:rsidRPr="00FC39BB">
        <w:rPr>
          <w:rFonts w:eastAsia="Arial" w:cs="Arial"/>
        </w:rPr>
        <w:t xml:space="preserve"> of 0.22% has been applied.</w:t>
      </w:r>
    </w:p>
    <w:p w14:paraId="1714EDEF" w14:textId="44D9A0BD" w:rsidR="00FD55CD" w:rsidRDefault="00093FAE">
      <w:pPr>
        <w:pStyle w:val="ListParagraph"/>
        <w:numPr>
          <w:ilvl w:val="0"/>
          <w:numId w:val="43"/>
        </w:numPr>
      </w:pPr>
      <w:r>
        <w:rPr>
          <w:rFonts w:eastAsia="Arial" w:cs="Arial"/>
          <w:b/>
          <w:bCs/>
        </w:rPr>
        <w:t>Revised maintenance</w:t>
      </w:r>
      <w:r w:rsidR="00FD55CD" w:rsidRPr="00705008">
        <w:rPr>
          <w:rFonts w:eastAsia="Arial" w:cs="Arial"/>
          <w:b/>
          <w:bCs/>
        </w:rPr>
        <w:t xml:space="preserve"> model: </w:t>
      </w:r>
      <w:r w:rsidR="00FD55CD" w:rsidRPr="0041477C">
        <w:rPr>
          <w:rFonts w:eastAsia="Arial" w:cs="Arial"/>
        </w:rPr>
        <w:t>Providing further confidence in our ability to achieve the 2% efficiency rate, a</w:t>
      </w:r>
      <w:r w:rsidR="00FD55CD" w:rsidRPr="006E2B72">
        <w:t xml:space="preserve"> </w:t>
      </w:r>
      <w:r>
        <w:t>revised</w:t>
      </w:r>
      <w:r w:rsidR="00FD55CD" w:rsidRPr="006E2B72">
        <w:t xml:space="preserve"> </w:t>
      </w:r>
      <w:r>
        <w:t>maintenance</w:t>
      </w:r>
      <w:r w:rsidR="00FD55CD" w:rsidRPr="006E2B72">
        <w:t xml:space="preserve"> model </w:t>
      </w:r>
      <w:r w:rsidR="00FD55CD">
        <w:t>will apply in the 2023</w:t>
      </w:r>
      <w:r w:rsidR="007D4EB3">
        <w:t>–</w:t>
      </w:r>
      <w:r w:rsidR="00FD55CD">
        <w:t xml:space="preserve">28 </w:t>
      </w:r>
      <w:r w:rsidR="00FD55CD">
        <w:rPr>
          <w:rFonts w:eastAsia="Arial" w:cs="Arial"/>
        </w:rPr>
        <w:t>regulatory period</w:t>
      </w:r>
      <w:r w:rsidR="00FD55CD" w:rsidRPr="006E2B72">
        <w:t xml:space="preserve"> </w:t>
      </w:r>
      <w:r w:rsidR="00FD55CD">
        <w:t xml:space="preserve">that </w:t>
      </w:r>
      <w:r w:rsidR="00FD55CD" w:rsidRPr="006E2B72">
        <w:t>incorporates performance measurement penalties and rewards</w:t>
      </w:r>
      <w:r w:rsidR="00FD55CD">
        <w:t xml:space="preserve">, and is expected to reduce </w:t>
      </w:r>
      <w:r w:rsidR="002C567B">
        <w:t xml:space="preserve">operating </w:t>
      </w:r>
      <w:r w:rsidR="00FD55CD">
        <w:t xml:space="preserve">costs overall. </w:t>
      </w:r>
    </w:p>
    <w:p w14:paraId="145E5428" w14:textId="0D669195" w:rsidR="00FD55CD" w:rsidRDefault="00070CD9" w:rsidP="00FD55CD">
      <w:pPr>
        <w:pStyle w:val="BodyText"/>
      </w:pPr>
      <w:r>
        <w:t>C</w:t>
      </w:r>
      <w:r w:rsidR="00FD55CD">
        <w:t>apital expenditure efficiency savings will be delivered by:</w:t>
      </w:r>
    </w:p>
    <w:p w14:paraId="01CF50DF" w14:textId="4D72212C" w:rsidR="00FD55CD" w:rsidRDefault="00FD55CD">
      <w:pPr>
        <w:pStyle w:val="ListParagraph"/>
        <w:numPr>
          <w:ilvl w:val="0"/>
          <w:numId w:val="42"/>
        </w:numPr>
      </w:pPr>
      <w:r w:rsidRPr="00705008">
        <w:rPr>
          <w:b/>
          <w:bCs/>
        </w:rPr>
        <w:t>Implement</w:t>
      </w:r>
      <w:r>
        <w:rPr>
          <w:b/>
          <w:bCs/>
        </w:rPr>
        <w:t>ing</w:t>
      </w:r>
      <w:r w:rsidRPr="00705008">
        <w:rPr>
          <w:b/>
          <w:bCs/>
        </w:rPr>
        <w:t xml:space="preserve"> a new capital deliver</w:t>
      </w:r>
      <w:r w:rsidR="001A784C">
        <w:rPr>
          <w:b/>
          <w:bCs/>
        </w:rPr>
        <w:t>y</w:t>
      </w:r>
      <w:r w:rsidRPr="00705008">
        <w:rPr>
          <w:b/>
          <w:bCs/>
        </w:rPr>
        <w:t xml:space="preserve"> model with our contractors:</w:t>
      </w:r>
      <w:r>
        <w:t xml:space="preserve"> The </w:t>
      </w:r>
      <w:r w:rsidR="00004F88">
        <w:t>c</w:t>
      </w:r>
      <w:r w:rsidRPr="00F232D3">
        <w:t xml:space="preserve">apital </w:t>
      </w:r>
      <w:r w:rsidR="00C67FEB">
        <w:t>d</w:t>
      </w:r>
      <w:r w:rsidRPr="00F232D3">
        <w:t xml:space="preserve">elivery </w:t>
      </w:r>
      <w:r w:rsidR="00C67FEB">
        <w:t>m</w:t>
      </w:r>
      <w:r w:rsidRPr="00F232D3">
        <w:t xml:space="preserve">odel </w:t>
      </w:r>
      <w:r w:rsidR="003D1F6A">
        <w:t>being</w:t>
      </w:r>
      <w:r>
        <w:t xml:space="preserve"> introduced at the </w:t>
      </w:r>
      <w:r w:rsidR="003D1F6A">
        <w:t>start</w:t>
      </w:r>
      <w:r>
        <w:t xml:space="preserve"> of the regulatory period </w:t>
      </w:r>
      <w:r w:rsidR="003D1F6A">
        <w:t>better i</w:t>
      </w:r>
      <w:r w:rsidRPr="00B57414">
        <w:rPr>
          <w:rFonts w:asciiTheme="minorHAnsi" w:eastAsiaTheme="minorEastAsia" w:hAnsiTheme="minorHAnsi" w:cstheme="minorHAnsi"/>
        </w:rPr>
        <w:t>ntegrate</w:t>
      </w:r>
      <w:r w:rsidR="003D1F6A">
        <w:rPr>
          <w:rFonts w:asciiTheme="minorHAnsi" w:eastAsiaTheme="minorEastAsia" w:hAnsiTheme="minorHAnsi" w:cstheme="minorHAnsi"/>
        </w:rPr>
        <w:t>s</w:t>
      </w:r>
      <w:r w:rsidRPr="00B57414">
        <w:rPr>
          <w:rFonts w:asciiTheme="minorHAnsi" w:eastAsiaTheme="minorEastAsia" w:hAnsiTheme="minorHAnsi" w:cstheme="minorHAnsi"/>
        </w:rPr>
        <w:t xml:space="preserve"> planning and delivery </w:t>
      </w:r>
      <w:r w:rsidR="003D1F6A">
        <w:rPr>
          <w:rFonts w:asciiTheme="minorHAnsi" w:eastAsiaTheme="minorEastAsia" w:hAnsiTheme="minorHAnsi" w:cstheme="minorHAnsi"/>
        </w:rPr>
        <w:t>and</w:t>
      </w:r>
      <w:r>
        <w:rPr>
          <w:rFonts w:asciiTheme="minorHAnsi" w:eastAsiaTheme="minorEastAsia" w:hAnsiTheme="minorHAnsi" w:cstheme="minorHAnsi"/>
        </w:rPr>
        <w:t xml:space="preserve"> </w:t>
      </w:r>
      <w:r>
        <w:t xml:space="preserve">is forecast to deliver a 5% efficiency saving on program costs. Around </w:t>
      </w:r>
      <w:r w:rsidR="00761316">
        <w:t>40</w:t>
      </w:r>
      <w:r w:rsidRPr="00380693">
        <w:t>% of</w:t>
      </w:r>
      <w:r>
        <w:t xml:space="preserve"> the </w:t>
      </w:r>
      <w:r w:rsidRPr="00380693">
        <w:t>2023</w:t>
      </w:r>
      <w:r w:rsidR="007D4EB3">
        <w:t>–</w:t>
      </w:r>
      <w:r w:rsidRPr="00380693">
        <w:t>28 capital expenditure program</w:t>
      </w:r>
      <w:r>
        <w:t xml:space="preserve"> will be delivered under this model.</w:t>
      </w:r>
      <w:r w:rsidRPr="00380693">
        <w:t xml:space="preserve"> </w:t>
      </w:r>
    </w:p>
    <w:p w14:paraId="5FD6F7DB" w14:textId="77777777" w:rsidR="00263860" w:rsidRDefault="00263860">
      <w:pPr>
        <w:pStyle w:val="ListParagraph"/>
        <w:numPr>
          <w:ilvl w:val="0"/>
          <w:numId w:val="42"/>
        </w:numPr>
      </w:pPr>
      <w:bookmarkStart w:id="12" w:name="_Hlk114220484"/>
      <w:r>
        <w:rPr>
          <w:b/>
          <w:bCs/>
        </w:rPr>
        <w:t>Maintaining our programmatic risk bank approach:</w:t>
      </w:r>
      <w:r>
        <w:t xml:space="preserve"> </w:t>
      </w:r>
      <w:r w:rsidRPr="00263860">
        <w:t>South East Water uses a programmatic risk bank approach that enables savings from one project to fund increased costs in other projects. In the current pricing submission period, this has enabled us to remain 1% lower than our capital allowance whilst supporting unexpected increased costs in individual projects such as the Boneo Treatment plant. This same approach will be used in this pricing period.</w:t>
      </w:r>
    </w:p>
    <w:p w14:paraId="11660112" w14:textId="5B1EAACD" w:rsidR="00263860" w:rsidRDefault="00263860">
      <w:pPr>
        <w:pStyle w:val="ListParagraph"/>
        <w:numPr>
          <w:ilvl w:val="0"/>
          <w:numId w:val="42"/>
        </w:numPr>
      </w:pPr>
      <w:r w:rsidRPr="00263860">
        <w:rPr>
          <w:b/>
          <w:bCs/>
        </w:rPr>
        <w:t>Ensuring our capital works are delivered efficiently:</w:t>
      </w:r>
      <w:r w:rsidRPr="00263860">
        <w:t xml:space="preserve"> For the 60% of our capital spend not covered under the capital delivery model, we have also put in place actions to drive cost effectiveness. This includes the recent market tender of the maintenance works (12% of capital budget), absorption of any cost overruns in the Digital rollout (</w:t>
      </w:r>
      <w:r w:rsidR="00407366">
        <w:t>9</w:t>
      </w:r>
      <w:r w:rsidRPr="00263860">
        <w:t xml:space="preserve">% of capital budget) and market testing of other key projects as they arise. </w:t>
      </w:r>
    </w:p>
    <w:p w14:paraId="673C541F" w14:textId="2C3BD456" w:rsidR="00A12394" w:rsidRDefault="00A12394">
      <w:pPr>
        <w:pStyle w:val="ListParagraph"/>
        <w:numPr>
          <w:ilvl w:val="0"/>
          <w:numId w:val="42"/>
        </w:numPr>
      </w:pPr>
      <w:bookmarkStart w:id="13" w:name="_Hlk114673662"/>
      <w:bookmarkEnd w:id="12"/>
      <w:r w:rsidRPr="00242271">
        <w:rPr>
          <w:b/>
        </w:rPr>
        <w:t xml:space="preserve">Realising continued efficiencies through strategic procurement and </w:t>
      </w:r>
      <w:r w:rsidR="002A3BF9" w:rsidRPr="00242271">
        <w:rPr>
          <w:b/>
          <w:bCs/>
        </w:rPr>
        <w:t>collaboration</w:t>
      </w:r>
      <w:r w:rsidRPr="00242271">
        <w:rPr>
          <w:b/>
        </w:rPr>
        <w:t xml:space="preserve"> with other water corporations:</w:t>
      </w:r>
      <w:r w:rsidRPr="00A12394">
        <w:t xml:space="preserve"> South East Water works with other water corporations in strategic procurement and joint programs to minimise the cost for the community and increase the benefits. Examples in this pricing submission period include the Hobson Bay Sewer (our project added to Melbourne Water’s procurement) and the Poowong Loch Nyora Pressure Sewer Scheme (South East Water procurement, delivery for South Gippsland Water). With Yarra Valley Water and Greater Western Water, we form</w:t>
      </w:r>
      <w:r w:rsidR="00D53176">
        <w:t>ed</w:t>
      </w:r>
      <w:r w:rsidRPr="00A12394">
        <w:t xml:space="preserve"> the Digital Meter Joint Committee to work on shared digital meter projects to streamline knowledge and costs. This approach will continue throughout this pricing period. </w:t>
      </w:r>
    </w:p>
    <w:bookmarkEnd w:id="13"/>
    <w:p w14:paraId="095E3E0A" w14:textId="1DAF937B" w:rsidR="00FD55CD" w:rsidRDefault="00FD55CD">
      <w:pPr>
        <w:pStyle w:val="ListParagraph"/>
        <w:numPr>
          <w:ilvl w:val="0"/>
          <w:numId w:val="42"/>
        </w:numPr>
      </w:pPr>
      <w:r w:rsidRPr="00705008">
        <w:rPr>
          <w:b/>
          <w:bCs/>
        </w:rPr>
        <w:t>Investing in the Digital Utility/Digital Meter program:</w:t>
      </w:r>
      <w:r>
        <w:t xml:space="preserve"> Over the long term</w:t>
      </w:r>
      <w:r w:rsidR="00B66DF9">
        <w:t>,</w:t>
      </w:r>
      <w:r>
        <w:t xml:space="preserve"> this is expected to defer major network augmentations by reducing water demand and providing better information on network expansion needs. In addition, it will allow us </w:t>
      </w:r>
      <w:r w:rsidR="000536D1">
        <w:br/>
      </w:r>
      <w:r>
        <w:t>to reduce maintenance and renewal costs by identifying problems earlier.</w:t>
      </w:r>
    </w:p>
    <w:p w14:paraId="52EAFACE" w14:textId="77777777" w:rsidR="000122B1" w:rsidRDefault="000122B1" w:rsidP="00116E55"/>
    <w:p w14:paraId="46F06BAE" w14:textId="1D8997CC" w:rsidR="003B1811" w:rsidRDefault="00977745" w:rsidP="00977745">
      <w:pPr>
        <w:pStyle w:val="Heading4"/>
      </w:pPr>
      <w:r>
        <w:t xml:space="preserve">Our overall </w:t>
      </w:r>
      <w:r w:rsidR="003B1811" w:rsidRPr="001C5D69">
        <w:t>PREMO self-assessment</w:t>
      </w:r>
      <w:r w:rsidR="00913196">
        <w:t xml:space="preserve"> is </w:t>
      </w:r>
      <w:r w:rsidR="00612583">
        <w:t>‘</w:t>
      </w:r>
      <w:r w:rsidR="00913196" w:rsidRPr="00116E55">
        <w:rPr>
          <w:i/>
          <w:iCs w:val="0"/>
        </w:rPr>
        <w:t>Advanced</w:t>
      </w:r>
      <w:r w:rsidR="00612583">
        <w:t>’</w:t>
      </w:r>
    </w:p>
    <w:p w14:paraId="0B65DAC9" w14:textId="360C92C3" w:rsidR="00407366" w:rsidRPr="002A3BF9" w:rsidRDefault="004A0CC2" w:rsidP="004D1594">
      <w:r>
        <w:t>The self-assessment for this</w:t>
      </w:r>
      <w:r w:rsidR="00836686">
        <w:t xml:space="preserve"> pricing</w:t>
      </w:r>
      <w:r>
        <w:t xml:space="preserve"> submission is an </w:t>
      </w:r>
      <w:r w:rsidR="00612583" w:rsidRPr="00116E55">
        <w:rPr>
          <w:i/>
          <w:iCs/>
        </w:rPr>
        <w:t>‘</w:t>
      </w:r>
      <w:r w:rsidRPr="00116E55">
        <w:rPr>
          <w:i/>
          <w:iCs/>
        </w:rPr>
        <w:t>Advanced</w:t>
      </w:r>
      <w:r w:rsidR="00612583" w:rsidRPr="00116E55">
        <w:rPr>
          <w:i/>
          <w:iCs/>
        </w:rPr>
        <w:t>’</w:t>
      </w:r>
      <w:r>
        <w:t xml:space="preserve"> PREMO rating based on the following</w:t>
      </w:r>
      <w:r w:rsidR="001C1BA6">
        <w:t xml:space="preserve"> elements.</w:t>
      </w:r>
    </w:p>
    <w:p w14:paraId="1EB619F8" w14:textId="77777777" w:rsidR="00407366" w:rsidRDefault="00407366" w:rsidP="004D1594">
      <w:pPr>
        <w:rPr>
          <w:b/>
          <w:bCs/>
          <w:i/>
          <w:iCs/>
          <w:sz w:val="22"/>
          <w:szCs w:val="22"/>
        </w:rPr>
      </w:pPr>
    </w:p>
    <w:p w14:paraId="1A6E4C65" w14:textId="5410AD55" w:rsidR="004D1594" w:rsidRPr="004D1594" w:rsidRDefault="004D1594" w:rsidP="004A0CC2">
      <w:pPr>
        <w:rPr>
          <w:b/>
          <w:bCs/>
          <w:i/>
          <w:iCs/>
          <w:sz w:val="22"/>
          <w:szCs w:val="22"/>
        </w:rPr>
      </w:pPr>
      <w:r w:rsidRPr="000D5C3E">
        <w:rPr>
          <w:b/>
          <w:bCs/>
          <w:i/>
          <w:iCs/>
          <w:sz w:val="22"/>
          <w:szCs w:val="22"/>
        </w:rPr>
        <w:t xml:space="preserve">Table </w:t>
      </w:r>
      <w:r w:rsidR="00032853" w:rsidRPr="00CE6C4E">
        <w:rPr>
          <w:b/>
          <w:bCs/>
          <w:i/>
          <w:iCs/>
          <w:sz w:val="22"/>
          <w:szCs w:val="22"/>
        </w:rPr>
        <w:fldChar w:fldCharType="begin"/>
      </w:r>
      <w:r w:rsidR="00032853" w:rsidRPr="00CE6C4E">
        <w:rPr>
          <w:b/>
          <w:bCs/>
          <w:i/>
          <w:iCs/>
          <w:sz w:val="22"/>
          <w:szCs w:val="22"/>
        </w:rPr>
        <w:instrText>SEQ Table \* ARABIC</w:instrText>
      </w:r>
      <w:r w:rsidR="00032853" w:rsidRPr="00CE6C4E">
        <w:rPr>
          <w:b/>
          <w:bCs/>
          <w:i/>
          <w:iCs/>
          <w:sz w:val="22"/>
          <w:szCs w:val="22"/>
        </w:rPr>
        <w:fldChar w:fldCharType="separate"/>
      </w:r>
      <w:r w:rsidR="00032853">
        <w:rPr>
          <w:b/>
          <w:bCs/>
          <w:i/>
          <w:iCs/>
          <w:noProof/>
          <w:sz w:val="22"/>
          <w:szCs w:val="22"/>
        </w:rPr>
        <w:t>4</w:t>
      </w:r>
      <w:r w:rsidR="00032853" w:rsidRPr="00CE6C4E">
        <w:rPr>
          <w:b/>
          <w:bCs/>
          <w:i/>
          <w:iCs/>
          <w:sz w:val="22"/>
          <w:szCs w:val="22"/>
        </w:rPr>
        <w:fldChar w:fldCharType="end"/>
      </w:r>
      <w:r>
        <w:rPr>
          <w:b/>
          <w:bCs/>
          <w:i/>
          <w:iCs/>
          <w:sz w:val="22"/>
          <w:szCs w:val="22"/>
        </w:rPr>
        <w:t>:</w:t>
      </w:r>
      <w:r w:rsidRPr="000D5C3E">
        <w:rPr>
          <w:b/>
          <w:bCs/>
          <w:i/>
          <w:iCs/>
          <w:sz w:val="22"/>
          <w:szCs w:val="22"/>
        </w:rPr>
        <w:t xml:space="preserve"> </w:t>
      </w:r>
      <w:r>
        <w:rPr>
          <w:b/>
          <w:bCs/>
          <w:i/>
          <w:iCs/>
          <w:sz w:val="22"/>
          <w:szCs w:val="22"/>
        </w:rPr>
        <w:t>PREMO rating overview</w:t>
      </w:r>
    </w:p>
    <w:tbl>
      <w:tblPr>
        <w:tblStyle w:val="GridTable4-Accent2"/>
        <w:tblW w:w="5028" w:type="pct"/>
        <w:tblInd w:w="-5" w:type="dxa"/>
        <w:tblCellMar>
          <w:top w:w="113" w:type="dxa"/>
          <w:bottom w:w="113" w:type="dxa"/>
        </w:tblCellMar>
        <w:tblLook w:val="0620" w:firstRow="1" w:lastRow="0" w:firstColumn="0" w:lastColumn="0" w:noHBand="1" w:noVBand="1"/>
      </w:tblPr>
      <w:tblGrid>
        <w:gridCol w:w="1651"/>
        <w:gridCol w:w="1649"/>
        <w:gridCol w:w="6341"/>
      </w:tblGrid>
      <w:tr w:rsidR="003B74C9" w:rsidRPr="00820221" w14:paraId="03DAC5C1" w14:textId="77777777" w:rsidTr="00E73D07">
        <w:trPr>
          <w:cnfStyle w:val="100000000000" w:firstRow="1" w:lastRow="0" w:firstColumn="0" w:lastColumn="0" w:oddVBand="0" w:evenVBand="0" w:oddHBand="0" w:evenHBand="0" w:firstRowFirstColumn="0" w:firstRowLastColumn="0" w:lastRowFirstColumn="0" w:lastRowLastColumn="0"/>
          <w:trHeight w:val="107"/>
          <w:tblHeader/>
        </w:trPr>
        <w:tc>
          <w:tcPr>
            <w:tcW w:w="1651" w:type="dxa"/>
            <w:tcBorders>
              <w:top w:val="single" w:sz="2" w:space="0" w:color="002279"/>
              <w:left w:val="single" w:sz="2" w:space="0" w:color="002279"/>
              <w:bottom w:val="single" w:sz="2" w:space="0" w:color="002279"/>
              <w:right w:val="single" w:sz="4" w:space="0" w:color="FFFFFF" w:themeColor="background1"/>
            </w:tcBorders>
            <w:shd w:val="clear" w:color="auto" w:fill="002279"/>
          </w:tcPr>
          <w:p w14:paraId="559F3F2E" w14:textId="60806B20" w:rsidR="005C0498" w:rsidRPr="007349FD" w:rsidRDefault="005C0498" w:rsidP="00116E55">
            <w:pPr>
              <w:pStyle w:val="Heading4"/>
              <w:spacing w:before="0"/>
              <w:outlineLvl w:val="3"/>
              <w:rPr>
                <w:b/>
                <w:bCs w:val="0"/>
                <w:sz w:val="20"/>
                <w:szCs w:val="20"/>
              </w:rPr>
            </w:pPr>
            <w:r w:rsidRPr="007349FD">
              <w:rPr>
                <w:b/>
                <w:bCs w:val="0"/>
                <w:color w:val="FFFFFF" w:themeColor="background1"/>
                <w:sz w:val="20"/>
                <w:szCs w:val="20"/>
              </w:rPr>
              <w:t>PREMO element</w:t>
            </w:r>
          </w:p>
        </w:tc>
        <w:tc>
          <w:tcPr>
            <w:tcW w:w="1649" w:type="dxa"/>
            <w:tcBorders>
              <w:top w:val="single" w:sz="2" w:space="0" w:color="002279"/>
              <w:left w:val="single" w:sz="4" w:space="0" w:color="FFFFFF" w:themeColor="background1"/>
              <w:bottom w:val="single" w:sz="2" w:space="0" w:color="002279"/>
              <w:right w:val="single" w:sz="4" w:space="0" w:color="FFFFFF" w:themeColor="background1"/>
            </w:tcBorders>
            <w:shd w:val="clear" w:color="auto" w:fill="002279"/>
          </w:tcPr>
          <w:p w14:paraId="5947B721" w14:textId="7F543BA0" w:rsidR="005C0498" w:rsidRPr="007349FD" w:rsidRDefault="005C0498" w:rsidP="00116E55">
            <w:pPr>
              <w:pStyle w:val="Heading4"/>
              <w:spacing w:before="0"/>
              <w:outlineLvl w:val="3"/>
              <w:rPr>
                <w:b/>
                <w:bCs w:val="0"/>
                <w:sz w:val="20"/>
                <w:szCs w:val="20"/>
              </w:rPr>
            </w:pPr>
            <w:r w:rsidRPr="007349FD">
              <w:rPr>
                <w:b/>
                <w:bCs w:val="0"/>
                <w:color w:val="FFFFFF" w:themeColor="background1"/>
                <w:sz w:val="20"/>
                <w:szCs w:val="20"/>
              </w:rPr>
              <w:t>Rating</w:t>
            </w:r>
          </w:p>
        </w:tc>
        <w:tc>
          <w:tcPr>
            <w:tcW w:w="6342" w:type="dxa"/>
            <w:tcBorders>
              <w:top w:val="single" w:sz="2" w:space="0" w:color="002279"/>
              <w:left w:val="single" w:sz="4" w:space="0" w:color="FFFFFF" w:themeColor="background1"/>
              <w:bottom w:val="single" w:sz="2" w:space="0" w:color="002279"/>
              <w:right w:val="single" w:sz="2" w:space="0" w:color="002279"/>
            </w:tcBorders>
            <w:shd w:val="clear" w:color="auto" w:fill="002279"/>
          </w:tcPr>
          <w:p w14:paraId="2F494AA6" w14:textId="6EDFBB3F" w:rsidR="005C0498" w:rsidRPr="007349FD" w:rsidRDefault="005C0498" w:rsidP="00116E55">
            <w:pPr>
              <w:pStyle w:val="Heading4"/>
              <w:spacing w:before="0"/>
              <w:outlineLvl w:val="3"/>
              <w:rPr>
                <w:b/>
                <w:bCs w:val="0"/>
                <w:sz w:val="20"/>
                <w:szCs w:val="20"/>
              </w:rPr>
            </w:pPr>
            <w:r w:rsidRPr="007349FD">
              <w:rPr>
                <w:b/>
                <w:bCs w:val="0"/>
                <w:color w:val="FFFFFF" w:themeColor="background1"/>
                <w:sz w:val="20"/>
                <w:szCs w:val="20"/>
              </w:rPr>
              <w:t>Comment</w:t>
            </w:r>
          </w:p>
        </w:tc>
      </w:tr>
      <w:tr w:rsidR="00AF4CBF" w14:paraId="067AAFA9" w14:textId="77777777" w:rsidTr="00360131">
        <w:tc>
          <w:tcPr>
            <w:tcW w:w="1651" w:type="dxa"/>
            <w:tcBorders>
              <w:top w:val="single" w:sz="2" w:space="0" w:color="002279"/>
              <w:left w:val="single" w:sz="2" w:space="0" w:color="002279"/>
              <w:bottom w:val="single" w:sz="2" w:space="0" w:color="002279"/>
              <w:right w:val="single" w:sz="2" w:space="0" w:color="002279"/>
            </w:tcBorders>
            <w:shd w:val="clear" w:color="auto" w:fill="D4D6DF"/>
          </w:tcPr>
          <w:p w14:paraId="7AE13814" w14:textId="154E0FDD" w:rsidR="005C0498" w:rsidRPr="00360131" w:rsidRDefault="004D16D3" w:rsidP="00116E55">
            <w:pPr>
              <w:rPr>
                <w:b/>
                <w:bCs/>
                <w:sz w:val="20"/>
                <w:szCs w:val="20"/>
              </w:rPr>
            </w:pPr>
            <w:r w:rsidRPr="00360131">
              <w:rPr>
                <w:b/>
                <w:bCs/>
                <w:sz w:val="20"/>
                <w:szCs w:val="20"/>
              </w:rPr>
              <w:t>Performance</w:t>
            </w:r>
          </w:p>
        </w:tc>
        <w:tc>
          <w:tcPr>
            <w:tcW w:w="1649" w:type="dxa"/>
            <w:tcBorders>
              <w:top w:val="single" w:sz="2" w:space="0" w:color="002279"/>
              <w:left w:val="single" w:sz="2" w:space="0" w:color="002279"/>
              <w:bottom w:val="single" w:sz="2" w:space="0" w:color="002279"/>
              <w:right w:val="single" w:sz="2" w:space="0" w:color="002279"/>
            </w:tcBorders>
            <w:shd w:val="clear" w:color="auto" w:fill="D4D6DF"/>
          </w:tcPr>
          <w:p w14:paraId="2D315599" w14:textId="61C1C882" w:rsidR="005C0498" w:rsidRPr="00116E55" w:rsidRDefault="00807B09" w:rsidP="00116E55">
            <w:pPr>
              <w:rPr>
                <w:sz w:val="20"/>
                <w:szCs w:val="20"/>
              </w:rPr>
            </w:pPr>
            <w:r w:rsidRPr="00116E55">
              <w:rPr>
                <w:sz w:val="20"/>
                <w:szCs w:val="20"/>
              </w:rPr>
              <w:t>Advanced</w:t>
            </w:r>
          </w:p>
        </w:tc>
        <w:tc>
          <w:tcPr>
            <w:tcW w:w="6342" w:type="dxa"/>
            <w:tcBorders>
              <w:top w:val="single" w:sz="2" w:space="0" w:color="002279"/>
              <w:left w:val="single" w:sz="2" w:space="0" w:color="002279"/>
              <w:bottom w:val="single" w:sz="2" w:space="0" w:color="002279"/>
              <w:right w:val="single" w:sz="2" w:space="0" w:color="002279"/>
            </w:tcBorders>
            <w:shd w:val="clear" w:color="auto" w:fill="D4D6DF"/>
          </w:tcPr>
          <w:p w14:paraId="257AF928" w14:textId="75083CDD" w:rsidR="005C0498" w:rsidRDefault="008C51C0" w:rsidP="00116E55">
            <w:pPr>
              <w:rPr>
                <w:sz w:val="20"/>
                <w:szCs w:val="20"/>
              </w:rPr>
            </w:pPr>
            <w:r>
              <w:rPr>
                <w:sz w:val="20"/>
                <w:szCs w:val="20"/>
              </w:rPr>
              <w:t>South East Water has shown v</w:t>
            </w:r>
            <w:r w:rsidR="00E6064F" w:rsidRPr="00116E55">
              <w:rPr>
                <w:sz w:val="20"/>
                <w:szCs w:val="20"/>
              </w:rPr>
              <w:t xml:space="preserve">ery strong performance delivering </w:t>
            </w:r>
            <w:r w:rsidR="00407366">
              <w:rPr>
                <w:sz w:val="20"/>
                <w:szCs w:val="20"/>
              </w:rPr>
              <w:t>on the</w:t>
            </w:r>
            <w:r w:rsidR="00E6064F" w:rsidRPr="00116E55">
              <w:rPr>
                <w:sz w:val="20"/>
                <w:szCs w:val="20"/>
              </w:rPr>
              <w:t xml:space="preserve"> agreed outcomes. </w:t>
            </w:r>
            <w:r w:rsidR="00A07EFD" w:rsidRPr="00116E55">
              <w:rPr>
                <w:sz w:val="20"/>
                <w:szCs w:val="20"/>
              </w:rPr>
              <w:t>Operating and capital expenditure</w:t>
            </w:r>
            <w:r w:rsidR="00BC00C1" w:rsidRPr="00116E55">
              <w:rPr>
                <w:sz w:val="20"/>
                <w:szCs w:val="20"/>
              </w:rPr>
              <w:t xml:space="preserve"> outcomes</w:t>
            </w:r>
            <w:r w:rsidR="0044358A" w:rsidRPr="00116E55">
              <w:rPr>
                <w:sz w:val="20"/>
                <w:szCs w:val="20"/>
              </w:rPr>
              <w:t xml:space="preserve"> </w:t>
            </w:r>
            <w:r>
              <w:rPr>
                <w:sz w:val="20"/>
                <w:szCs w:val="20"/>
              </w:rPr>
              <w:t xml:space="preserve">are </w:t>
            </w:r>
            <w:r w:rsidR="0044358A" w:rsidRPr="00116E55">
              <w:rPr>
                <w:sz w:val="20"/>
                <w:szCs w:val="20"/>
              </w:rPr>
              <w:t>expected to be</w:t>
            </w:r>
            <w:r w:rsidR="00BC00C1" w:rsidRPr="00116E55">
              <w:rPr>
                <w:sz w:val="20"/>
                <w:szCs w:val="20"/>
              </w:rPr>
              <w:t xml:space="preserve"> just under the </w:t>
            </w:r>
            <w:r w:rsidR="00A07EFD" w:rsidRPr="00116E55">
              <w:rPr>
                <w:sz w:val="20"/>
                <w:szCs w:val="20"/>
              </w:rPr>
              <w:t xml:space="preserve">benchmark allowances. </w:t>
            </w:r>
            <w:r w:rsidR="005C41F3" w:rsidRPr="00116E55">
              <w:rPr>
                <w:sz w:val="20"/>
                <w:szCs w:val="20"/>
              </w:rPr>
              <w:t xml:space="preserve">Necessary deferrals and delays to the delivery of </w:t>
            </w:r>
            <w:r w:rsidR="00BC00C1" w:rsidRPr="00116E55">
              <w:rPr>
                <w:sz w:val="20"/>
                <w:szCs w:val="20"/>
              </w:rPr>
              <w:t>major capital project</w:t>
            </w:r>
            <w:r w:rsidR="00175DAF" w:rsidRPr="00116E55">
              <w:rPr>
                <w:sz w:val="20"/>
                <w:szCs w:val="20"/>
              </w:rPr>
              <w:t xml:space="preserve">s are largely due to external events that </w:t>
            </w:r>
            <w:r w:rsidR="00675072" w:rsidRPr="00116E55">
              <w:rPr>
                <w:sz w:val="20"/>
                <w:szCs w:val="20"/>
              </w:rPr>
              <w:t xml:space="preserve">are explained in </w:t>
            </w:r>
            <w:r w:rsidR="00407366">
              <w:rPr>
                <w:sz w:val="20"/>
                <w:szCs w:val="20"/>
              </w:rPr>
              <w:t>this</w:t>
            </w:r>
            <w:r w:rsidR="00675072" w:rsidRPr="00116E55">
              <w:rPr>
                <w:sz w:val="20"/>
                <w:szCs w:val="20"/>
              </w:rPr>
              <w:t xml:space="preserve"> submission</w:t>
            </w:r>
            <w:r w:rsidR="00175DAF" w:rsidRPr="00116E55">
              <w:rPr>
                <w:sz w:val="20"/>
                <w:szCs w:val="20"/>
              </w:rPr>
              <w:t>.</w:t>
            </w:r>
          </w:p>
          <w:p w14:paraId="58AD8BA6" w14:textId="116CF07F" w:rsidR="006E3F91" w:rsidRPr="00116E55" w:rsidRDefault="006E3F91" w:rsidP="00116E55">
            <w:pPr>
              <w:rPr>
                <w:sz w:val="20"/>
                <w:szCs w:val="20"/>
              </w:rPr>
            </w:pPr>
            <w:r>
              <w:rPr>
                <w:sz w:val="20"/>
                <w:szCs w:val="20"/>
              </w:rPr>
              <w:t xml:space="preserve">Further, we had </w:t>
            </w:r>
            <w:r w:rsidRPr="006E3F91">
              <w:rPr>
                <w:sz w:val="20"/>
                <w:szCs w:val="20"/>
              </w:rPr>
              <w:t xml:space="preserve">excluded 2 of the major projects from our capital allowance to </w:t>
            </w:r>
            <w:r>
              <w:rPr>
                <w:sz w:val="20"/>
                <w:szCs w:val="20"/>
              </w:rPr>
              <w:t xml:space="preserve">mitigate any uncertainties associated </w:t>
            </w:r>
            <w:r w:rsidR="00361480">
              <w:rPr>
                <w:sz w:val="20"/>
                <w:szCs w:val="20"/>
              </w:rPr>
              <w:t>with</w:t>
            </w:r>
            <w:r>
              <w:rPr>
                <w:sz w:val="20"/>
                <w:szCs w:val="20"/>
              </w:rPr>
              <w:t xml:space="preserve"> the</w:t>
            </w:r>
            <w:r w:rsidRPr="006E3F91">
              <w:rPr>
                <w:sz w:val="20"/>
                <w:szCs w:val="20"/>
              </w:rPr>
              <w:t xml:space="preserve"> delivery </w:t>
            </w:r>
            <w:r w:rsidR="00E44E89">
              <w:rPr>
                <w:sz w:val="20"/>
                <w:szCs w:val="20"/>
              </w:rPr>
              <w:t>or</w:t>
            </w:r>
            <w:r>
              <w:rPr>
                <w:sz w:val="20"/>
                <w:szCs w:val="20"/>
              </w:rPr>
              <w:t xml:space="preserve"> </w:t>
            </w:r>
            <w:r w:rsidRPr="006E3F91">
              <w:rPr>
                <w:sz w:val="20"/>
                <w:szCs w:val="20"/>
              </w:rPr>
              <w:t xml:space="preserve">timing of these projects </w:t>
            </w:r>
            <w:r w:rsidR="00E013DC">
              <w:rPr>
                <w:sz w:val="20"/>
                <w:szCs w:val="20"/>
              </w:rPr>
              <w:t xml:space="preserve">to ensure risks </w:t>
            </w:r>
            <w:r w:rsidRPr="006E3F91">
              <w:rPr>
                <w:sz w:val="20"/>
                <w:szCs w:val="20"/>
              </w:rPr>
              <w:t>remained with South East Water rather than with our customers.</w:t>
            </w:r>
          </w:p>
        </w:tc>
      </w:tr>
      <w:tr w:rsidR="0085617B" w14:paraId="21A4EFCC" w14:textId="77777777" w:rsidTr="00360131">
        <w:tc>
          <w:tcPr>
            <w:tcW w:w="1651" w:type="dxa"/>
            <w:tcBorders>
              <w:top w:val="single" w:sz="2" w:space="0" w:color="002279"/>
              <w:left w:val="single" w:sz="2" w:space="0" w:color="002279"/>
              <w:bottom w:val="single" w:sz="2" w:space="0" w:color="002279"/>
              <w:right w:val="single" w:sz="2" w:space="0" w:color="002279"/>
            </w:tcBorders>
            <w:shd w:val="clear" w:color="auto" w:fill="auto"/>
          </w:tcPr>
          <w:p w14:paraId="2BB197D9" w14:textId="2A34EC4A" w:rsidR="005C0498" w:rsidRPr="00360131" w:rsidRDefault="004D16D3" w:rsidP="00116E55">
            <w:pPr>
              <w:rPr>
                <w:b/>
                <w:bCs/>
                <w:sz w:val="20"/>
                <w:szCs w:val="20"/>
              </w:rPr>
            </w:pPr>
            <w:r w:rsidRPr="00360131">
              <w:rPr>
                <w:b/>
                <w:bCs/>
                <w:sz w:val="20"/>
                <w:szCs w:val="20"/>
              </w:rPr>
              <w:t>Outcomes</w:t>
            </w:r>
          </w:p>
        </w:tc>
        <w:tc>
          <w:tcPr>
            <w:tcW w:w="1649" w:type="dxa"/>
            <w:tcBorders>
              <w:top w:val="single" w:sz="2" w:space="0" w:color="002279"/>
              <w:left w:val="single" w:sz="2" w:space="0" w:color="002279"/>
              <w:bottom w:val="single" w:sz="2" w:space="0" w:color="002279"/>
              <w:right w:val="single" w:sz="2" w:space="0" w:color="002279"/>
            </w:tcBorders>
            <w:shd w:val="clear" w:color="auto" w:fill="auto"/>
          </w:tcPr>
          <w:p w14:paraId="571B352D" w14:textId="360FE950" w:rsidR="005C0498" w:rsidRPr="00116E55" w:rsidRDefault="00F47D3A" w:rsidP="00116E55">
            <w:pPr>
              <w:rPr>
                <w:sz w:val="20"/>
                <w:szCs w:val="20"/>
              </w:rPr>
            </w:pPr>
            <w:r w:rsidRPr="00116E55">
              <w:rPr>
                <w:sz w:val="20"/>
                <w:szCs w:val="20"/>
              </w:rPr>
              <w:t xml:space="preserve">Advanced </w:t>
            </w:r>
          </w:p>
        </w:tc>
        <w:tc>
          <w:tcPr>
            <w:tcW w:w="6342" w:type="dxa"/>
            <w:tcBorders>
              <w:top w:val="single" w:sz="2" w:space="0" w:color="002279"/>
              <w:left w:val="single" w:sz="2" w:space="0" w:color="002279"/>
              <w:bottom w:val="single" w:sz="2" w:space="0" w:color="002279"/>
              <w:right w:val="single" w:sz="2" w:space="0" w:color="002279"/>
            </w:tcBorders>
            <w:shd w:val="clear" w:color="auto" w:fill="auto"/>
          </w:tcPr>
          <w:p w14:paraId="49D3D4EA" w14:textId="1F443C13" w:rsidR="005C0498" w:rsidRPr="00116E55" w:rsidRDefault="009B76C6" w:rsidP="00116E55">
            <w:pPr>
              <w:rPr>
                <w:sz w:val="20"/>
                <w:szCs w:val="20"/>
              </w:rPr>
            </w:pPr>
            <w:r w:rsidRPr="00116E55">
              <w:rPr>
                <w:sz w:val="20"/>
                <w:szCs w:val="20"/>
              </w:rPr>
              <w:t>South East Water</w:t>
            </w:r>
            <w:r w:rsidR="00612583" w:rsidRPr="00116E55">
              <w:rPr>
                <w:sz w:val="20"/>
                <w:szCs w:val="20"/>
              </w:rPr>
              <w:t>’</w:t>
            </w:r>
            <w:r w:rsidRPr="00116E55">
              <w:rPr>
                <w:sz w:val="20"/>
                <w:szCs w:val="20"/>
              </w:rPr>
              <w:t>s proposed outcomes and associated outputs and targets reflect what matters most to our customers, and our 2023</w:t>
            </w:r>
            <w:r w:rsidR="007D4EB3" w:rsidRPr="00116E55">
              <w:rPr>
                <w:sz w:val="20"/>
                <w:szCs w:val="20"/>
              </w:rPr>
              <w:t>–</w:t>
            </w:r>
            <w:r w:rsidRPr="00116E55">
              <w:rPr>
                <w:sz w:val="20"/>
                <w:szCs w:val="20"/>
              </w:rPr>
              <w:t>28 expenditure proposals strongly align to delivering on these outcomes.</w:t>
            </w:r>
          </w:p>
        </w:tc>
      </w:tr>
      <w:tr w:rsidR="00AF4CBF" w14:paraId="59D94DBA" w14:textId="77777777" w:rsidTr="00360131">
        <w:tc>
          <w:tcPr>
            <w:tcW w:w="1651" w:type="dxa"/>
            <w:tcBorders>
              <w:top w:val="single" w:sz="2" w:space="0" w:color="002279"/>
              <w:left w:val="single" w:sz="2" w:space="0" w:color="002279"/>
              <w:bottom w:val="single" w:sz="2" w:space="0" w:color="002279"/>
              <w:right w:val="single" w:sz="2" w:space="0" w:color="002279"/>
            </w:tcBorders>
            <w:shd w:val="clear" w:color="auto" w:fill="D4D6DF"/>
          </w:tcPr>
          <w:p w14:paraId="4F901DFB" w14:textId="42D55A2D" w:rsidR="005C0498" w:rsidRPr="00360131" w:rsidRDefault="004D16D3" w:rsidP="00116E55">
            <w:pPr>
              <w:rPr>
                <w:b/>
                <w:bCs/>
                <w:sz w:val="20"/>
                <w:szCs w:val="20"/>
              </w:rPr>
            </w:pPr>
            <w:r w:rsidRPr="00360131">
              <w:rPr>
                <w:b/>
                <w:bCs/>
                <w:sz w:val="20"/>
                <w:szCs w:val="20"/>
              </w:rPr>
              <w:t>Management</w:t>
            </w:r>
          </w:p>
        </w:tc>
        <w:tc>
          <w:tcPr>
            <w:tcW w:w="1649" w:type="dxa"/>
            <w:tcBorders>
              <w:top w:val="single" w:sz="2" w:space="0" w:color="002279"/>
              <w:left w:val="single" w:sz="2" w:space="0" w:color="002279"/>
              <w:bottom w:val="single" w:sz="2" w:space="0" w:color="002279"/>
              <w:right w:val="single" w:sz="2" w:space="0" w:color="002279"/>
            </w:tcBorders>
            <w:shd w:val="clear" w:color="auto" w:fill="D4D6DF"/>
          </w:tcPr>
          <w:p w14:paraId="66DAFADA" w14:textId="7A406C7A" w:rsidR="005C0498" w:rsidRPr="00116E55" w:rsidRDefault="00F47D3A" w:rsidP="00116E55">
            <w:pPr>
              <w:rPr>
                <w:sz w:val="20"/>
                <w:szCs w:val="20"/>
              </w:rPr>
            </w:pPr>
            <w:r w:rsidRPr="00116E55">
              <w:rPr>
                <w:sz w:val="20"/>
                <w:szCs w:val="20"/>
              </w:rPr>
              <w:t>Standard</w:t>
            </w:r>
          </w:p>
        </w:tc>
        <w:tc>
          <w:tcPr>
            <w:tcW w:w="6342" w:type="dxa"/>
            <w:tcBorders>
              <w:top w:val="single" w:sz="2" w:space="0" w:color="002279"/>
              <w:left w:val="single" w:sz="2" w:space="0" w:color="002279"/>
              <w:bottom w:val="single" w:sz="2" w:space="0" w:color="002279"/>
              <w:right w:val="single" w:sz="2" w:space="0" w:color="002279"/>
            </w:tcBorders>
            <w:shd w:val="clear" w:color="auto" w:fill="D4D6DF"/>
          </w:tcPr>
          <w:p w14:paraId="0375F75D" w14:textId="77777777" w:rsidR="00D308B6" w:rsidRDefault="00650C0C" w:rsidP="00116E55">
            <w:pPr>
              <w:rPr>
                <w:sz w:val="20"/>
                <w:szCs w:val="20"/>
              </w:rPr>
            </w:pPr>
            <w:r w:rsidRPr="00116E55">
              <w:rPr>
                <w:sz w:val="20"/>
                <w:szCs w:val="20"/>
              </w:rPr>
              <w:t>It is acknowledged that expenditure increases are proposed for the 2023</w:t>
            </w:r>
            <w:r w:rsidR="007D4EB3" w:rsidRPr="00116E55">
              <w:rPr>
                <w:sz w:val="20"/>
                <w:szCs w:val="20"/>
              </w:rPr>
              <w:t>–</w:t>
            </w:r>
            <w:r w:rsidRPr="00116E55">
              <w:rPr>
                <w:sz w:val="20"/>
                <w:szCs w:val="20"/>
              </w:rPr>
              <w:t xml:space="preserve">28 period in order to deliver agreed outcomes to customers </w:t>
            </w:r>
            <w:r w:rsidR="00A9631D">
              <w:rPr>
                <w:sz w:val="20"/>
                <w:szCs w:val="20"/>
              </w:rPr>
              <w:br/>
            </w:r>
            <w:r w:rsidRPr="00116E55">
              <w:rPr>
                <w:sz w:val="20"/>
                <w:szCs w:val="20"/>
              </w:rPr>
              <w:t>and to make the investments now that will contribute to improve</w:t>
            </w:r>
            <w:r w:rsidR="001D67EC" w:rsidRPr="00116E55">
              <w:rPr>
                <w:sz w:val="20"/>
                <w:szCs w:val="20"/>
              </w:rPr>
              <w:t>d</w:t>
            </w:r>
            <w:r w:rsidRPr="00116E55">
              <w:rPr>
                <w:sz w:val="20"/>
                <w:szCs w:val="20"/>
              </w:rPr>
              <w:t xml:space="preserve"> service outcomes and more efficient cost levels in the future.</w:t>
            </w:r>
          </w:p>
          <w:p w14:paraId="4C7B9D1B" w14:textId="0ABF3896" w:rsidR="005C0498" w:rsidRPr="00116E55" w:rsidRDefault="00650C0C" w:rsidP="00116E55">
            <w:pPr>
              <w:rPr>
                <w:sz w:val="20"/>
                <w:szCs w:val="20"/>
              </w:rPr>
            </w:pPr>
            <w:r w:rsidRPr="00116E55">
              <w:rPr>
                <w:sz w:val="20"/>
                <w:szCs w:val="20"/>
              </w:rPr>
              <w:t>We have used sound metho</w:t>
            </w:r>
            <w:r w:rsidR="00612C95" w:rsidRPr="00116E55">
              <w:rPr>
                <w:sz w:val="20"/>
                <w:szCs w:val="20"/>
              </w:rPr>
              <w:t>do</w:t>
            </w:r>
            <w:r w:rsidRPr="00116E55">
              <w:rPr>
                <w:sz w:val="20"/>
                <w:szCs w:val="20"/>
              </w:rPr>
              <w:t>logies and assumptions to develop these prudent and efficient forecast</w:t>
            </w:r>
            <w:r w:rsidR="00E07A2E" w:rsidRPr="00116E55">
              <w:rPr>
                <w:sz w:val="20"/>
                <w:szCs w:val="20"/>
              </w:rPr>
              <w:t>s. This submission</w:t>
            </w:r>
            <w:r w:rsidRPr="00116E55">
              <w:rPr>
                <w:sz w:val="20"/>
                <w:szCs w:val="20"/>
              </w:rPr>
              <w:t xml:space="preserve"> and </w:t>
            </w:r>
            <w:r w:rsidR="00E07A2E" w:rsidRPr="00116E55">
              <w:rPr>
                <w:sz w:val="20"/>
                <w:szCs w:val="20"/>
              </w:rPr>
              <w:t>the comprehensive supporting documentation provide</w:t>
            </w:r>
            <w:r w:rsidRPr="00116E55">
              <w:rPr>
                <w:sz w:val="20"/>
                <w:szCs w:val="20"/>
              </w:rPr>
              <w:t xml:space="preserve"> an </w:t>
            </w:r>
            <w:r w:rsidR="00BC2911" w:rsidRPr="00116E55">
              <w:rPr>
                <w:sz w:val="20"/>
                <w:szCs w:val="20"/>
              </w:rPr>
              <w:t>‘</w:t>
            </w:r>
            <w:r w:rsidR="00E07A2E" w:rsidRPr="00116E55">
              <w:rPr>
                <w:sz w:val="20"/>
                <w:szCs w:val="20"/>
              </w:rPr>
              <w:t>open book</w:t>
            </w:r>
            <w:r w:rsidR="00BC2911" w:rsidRPr="00116E55">
              <w:rPr>
                <w:sz w:val="20"/>
                <w:szCs w:val="20"/>
              </w:rPr>
              <w:t>’</w:t>
            </w:r>
            <w:r w:rsidR="00E07A2E" w:rsidRPr="00116E55">
              <w:rPr>
                <w:sz w:val="20"/>
                <w:szCs w:val="20"/>
              </w:rPr>
              <w:t>.</w:t>
            </w:r>
            <w:r w:rsidR="00B82915" w:rsidRPr="00116E55">
              <w:rPr>
                <w:sz w:val="20"/>
                <w:szCs w:val="20"/>
              </w:rPr>
              <w:t xml:space="preserve"> </w:t>
            </w:r>
          </w:p>
          <w:p w14:paraId="168D7252" w14:textId="49652285" w:rsidR="00B82915" w:rsidRDefault="00B82915" w:rsidP="00116E55">
            <w:pPr>
              <w:rPr>
                <w:sz w:val="20"/>
                <w:szCs w:val="20"/>
              </w:rPr>
            </w:pPr>
            <w:r w:rsidRPr="00116E55">
              <w:rPr>
                <w:sz w:val="20"/>
                <w:szCs w:val="20"/>
              </w:rPr>
              <w:t>We have built in substantial efficiency and productivity improvements th</w:t>
            </w:r>
            <w:r w:rsidR="00B50064" w:rsidRPr="00116E55">
              <w:rPr>
                <w:sz w:val="20"/>
                <w:szCs w:val="20"/>
              </w:rPr>
              <w:t>at will deliver cost savings to customers including the 2% ope</w:t>
            </w:r>
            <w:r w:rsidR="007D0B3C" w:rsidRPr="00116E55">
              <w:rPr>
                <w:sz w:val="20"/>
                <w:szCs w:val="20"/>
              </w:rPr>
              <w:t xml:space="preserve">rating expenditure </w:t>
            </w:r>
            <w:r w:rsidR="00B50064" w:rsidRPr="00116E55">
              <w:rPr>
                <w:sz w:val="20"/>
                <w:szCs w:val="20"/>
              </w:rPr>
              <w:t xml:space="preserve">efficiency improvement rate, a discounted </w:t>
            </w:r>
            <w:r w:rsidR="00564B98" w:rsidRPr="00116E55">
              <w:rPr>
                <w:sz w:val="20"/>
                <w:szCs w:val="20"/>
              </w:rPr>
              <w:t xml:space="preserve">operating expenditure </w:t>
            </w:r>
            <w:r w:rsidR="00B50064" w:rsidRPr="00116E55">
              <w:rPr>
                <w:sz w:val="20"/>
                <w:szCs w:val="20"/>
              </w:rPr>
              <w:t xml:space="preserve">growth rate, </w:t>
            </w:r>
            <w:r w:rsidR="005312C7" w:rsidRPr="00116E55">
              <w:rPr>
                <w:sz w:val="20"/>
                <w:szCs w:val="20"/>
              </w:rPr>
              <w:t>and new operating and capital delivery programs that will drive efficiencies.</w:t>
            </w:r>
          </w:p>
          <w:p w14:paraId="7209242D" w14:textId="2024C59A" w:rsidR="00382E63" w:rsidRPr="00116E55" w:rsidRDefault="005312C7" w:rsidP="00116E55">
            <w:pPr>
              <w:rPr>
                <w:sz w:val="20"/>
                <w:szCs w:val="20"/>
              </w:rPr>
            </w:pPr>
            <w:r w:rsidRPr="00116E55">
              <w:rPr>
                <w:sz w:val="20"/>
                <w:szCs w:val="20"/>
              </w:rPr>
              <w:t>Finally, the executive and b</w:t>
            </w:r>
            <w:r w:rsidR="00B32374" w:rsidRPr="00116E55">
              <w:rPr>
                <w:sz w:val="20"/>
                <w:szCs w:val="20"/>
              </w:rPr>
              <w:t>oard</w:t>
            </w:r>
            <w:r w:rsidRPr="00116E55">
              <w:rPr>
                <w:sz w:val="20"/>
                <w:szCs w:val="20"/>
              </w:rPr>
              <w:t xml:space="preserve"> have had </w:t>
            </w:r>
            <w:r w:rsidR="00612C95" w:rsidRPr="00116E55">
              <w:rPr>
                <w:sz w:val="20"/>
                <w:szCs w:val="20"/>
              </w:rPr>
              <w:t>extensive</w:t>
            </w:r>
            <w:r w:rsidRPr="00116E55">
              <w:rPr>
                <w:sz w:val="20"/>
                <w:szCs w:val="20"/>
              </w:rPr>
              <w:t xml:space="preserve"> involvement in the development of this price submission including</w:t>
            </w:r>
            <w:r w:rsidR="00382E63" w:rsidRPr="00116E55">
              <w:rPr>
                <w:sz w:val="20"/>
                <w:szCs w:val="20"/>
              </w:rPr>
              <w:t xml:space="preserve"> </w:t>
            </w:r>
            <w:r w:rsidRPr="00116E55">
              <w:rPr>
                <w:sz w:val="20"/>
                <w:szCs w:val="20"/>
              </w:rPr>
              <w:t>involvement in setting the strategic parameters</w:t>
            </w:r>
            <w:r w:rsidR="005D4B97">
              <w:rPr>
                <w:sz w:val="20"/>
                <w:szCs w:val="20"/>
              </w:rPr>
              <w:t xml:space="preserve">, </w:t>
            </w:r>
            <w:r w:rsidRPr="00116E55">
              <w:rPr>
                <w:sz w:val="20"/>
                <w:szCs w:val="20"/>
              </w:rPr>
              <w:t>collaborati</w:t>
            </w:r>
            <w:r w:rsidR="00382E63" w:rsidRPr="00116E55">
              <w:rPr>
                <w:sz w:val="20"/>
                <w:szCs w:val="20"/>
              </w:rPr>
              <w:t xml:space="preserve">on </w:t>
            </w:r>
            <w:r w:rsidRPr="00116E55">
              <w:rPr>
                <w:sz w:val="20"/>
                <w:szCs w:val="20"/>
              </w:rPr>
              <w:t>with the community panel to determine the pr</w:t>
            </w:r>
            <w:r w:rsidR="00612C95" w:rsidRPr="00116E55">
              <w:rPr>
                <w:sz w:val="20"/>
                <w:szCs w:val="20"/>
              </w:rPr>
              <w:t>i</w:t>
            </w:r>
            <w:r w:rsidRPr="00116E55">
              <w:rPr>
                <w:sz w:val="20"/>
                <w:szCs w:val="20"/>
              </w:rPr>
              <w:t>o</w:t>
            </w:r>
            <w:r w:rsidR="00612C95" w:rsidRPr="00116E55">
              <w:rPr>
                <w:sz w:val="20"/>
                <w:szCs w:val="20"/>
              </w:rPr>
              <w:t>r</w:t>
            </w:r>
            <w:r w:rsidRPr="00116E55">
              <w:rPr>
                <w:sz w:val="20"/>
                <w:szCs w:val="20"/>
              </w:rPr>
              <w:t>ities for the price submission</w:t>
            </w:r>
            <w:r w:rsidR="00382E63" w:rsidRPr="00116E55">
              <w:rPr>
                <w:sz w:val="20"/>
                <w:szCs w:val="20"/>
              </w:rPr>
              <w:t>,</w:t>
            </w:r>
            <w:r w:rsidRPr="00116E55">
              <w:rPr>
                <w:sz w:val="20"/>
                <w:szCs w:val="20"/>
              </w:rPr>
              <w:t xml:space="preserve"> and full participation in the </w:t>
            </w:r>
            <w:r w:rsidR="00312B7D" w:rsidRPr="00116E55">
              <w:rPr>
                <w:sz w:val="20"/>
                <w:szCs w:val="20"/>
              </w:rPr>
              <w:t xml:space="preserve">submission assurance process. </w:t>
            </w:r>
          </w:p>
          <w:p w14:paraId="0BDE58BE" w14:textId="77777777" w:rsidR="009D5CFA" w:rsidRDefault="00312B7D" w:rsidP="00116E55">
            <w:pPr>
              <w:rPr>
                <w:sz w:val="20"/>
                <w:szCs w:val="20"/>
              </w:rPr>
            </w:pPr>
            <w:r w:rsidRPr="00116E55">
              <w:rPr>
                <w:sz w:val="20"/>
                <w:szCs w:val="20"/>
              </w:rPr>
              <w:t xml:space="preserve">As a result, </w:t>
            </w:r>
            <w:r w:rsidR="00A228D3" w:rsidRPr="00116E55">
              <w:rPr>
                <w:sz w:val="20"/>
                <w:szCs w:val="20"/>
              </w:rPr>
              <w:t>the board attest that</w:t>
            </w:r>
            <w:r w:rsidR="009D5CFA">
              <w:rPr>
                <w:sz w:val="20"/>
                <w:szCs w:val="20"/>
              </w:rPr>
              <w:t>:</w:t>
            </w:r>
            <w:r w:rsidR="00D2149B">
              <w:rPr>
                <w:sz w:val="20"/>
                <w:szCs w:val="20"/>
              </w:rPr>
              <w:t xml:space="preserve"> </w:t>
            </w:r>
          </w:p>
          <w:p w14:paraId="233566B1" w14:textId="43D0278A" w:rsidR="009D5CFA" w:rsidRDefault="00D2149B">
            <w:pPr>
              <w:pStyle w:val="ListParagraph"/>
              <w:numPr>
                <w:ilvl w:val="0"/>
                <w:numId w:val="40"/>
              </w:numPr>
              <w:ind w:left="284" w:hanging="284"/>
              <w:rPr>
                <w:sz w:val="20"/>
                <w:szCs w:val="20"/>
              </w:rPr>
            </w:pPr>
            <w:r w:rsidRPr="009D5CFA">
              <w:rPr>
                <w:sz w:val="20"/>
                <w:szCs w:val="20"/>
              </w:rPr>
              <w:t>the</w:t>
            </w:r>
            <w:r w:rsidR="005D4B97" w:rsidRPr="009D5CFA">
              <w:rPr>
                <w:sz w:val="20"/>
                <w:szCs w:val="20"/>
              </w:rPr>
              <w:t xml:space="preserve"> </w:t>
            </w:r>
            <w:r w:rsidR="00A228D3" w:rsidRPr="009D5CFA">
              <w:rPr>
                <w:sz w:val="20"/>
                <w:szCs w:val="20"/>
              </w:rPr>
              <w:t>information and documentation provided in the price submission and relied upon to support South East Water</w:t>
            </w:r>
            <w:r w:rsidR="00612583" w:rsidRPr="009D5CFA">
              <w:rPr>
                <w:sz w:val="20"/>
                <w:szCs w:val="20"/>
              </w:rPr>
              <w:t>’</w:t>
            </w:r>
            <w:r w:rsidR="00A228D3" w:rsidRPr="009D5CFA">
              <w:rPr>
                <w:sz w:val="20"/>
                <w:szCs w:val="20"/>
              </w:rPr>
              <w:t>s price submission is reasonably based, complete and accurate in all material respects</w:t>
            </w:r>
          </w:p>
          <w:p w14:paraId="07BA0BA5" w14:textId="500D5DA2" w:rsidR="009D73B8" w:rsidRDefault="009D5CFA">
            <w:pPr>
              <w:pStyle w:val="ListParagraph"/>
              <w:numPr>
                <w:ilvl w:val="0"/>
                <w:numId w:val="40"/>
              </w:numPr>
              <w:ind w:left="284" w:hanging="284"/>
              <w:rPr>
                <w:sz w:val="20"/>
                <w:szCs w:val="20"/>
              </w:rPr>
            </w:pPr>
            <w:r>
              <w:rPr>
                <w:sz w:val="20"/>
                <w:szCs w:val="20"/>
              </w:rPr>
              <w:t>f</w:t>
            </w:r>
            <w:r w:rsidR="00A228D3" w:rsidRPr="009D5CFA">
              <w:rPr>
                <w:sz w:val="20"/>
                <w:szCs w:val="20"/>
              </w:rPr>
              <w:t xml:space="preserve">inancial and demand forecasts are the </w:t>
            </w:r>
            <w:r w:rsidR="006B0BBE" w:rsidRPr="009D5CFA">
              <w:rPr>
                <w:sz w:val="20"/>
                <w:szCs w:val="20"/>
              </w:rPr>
              <w:t>organisation</w:t>
            </w:r>
            <w:r w:rsidR="00612583" w:rsidRPr="009D5CFA">
              <w:rPr>
                <w:sz w:val="20"/>
                <w:szCs w:val="20"/>
              </w:rPr>
              <w:t>’</w:t>
            </w:r>
            <w:r w:rsidR="00A228D3" w:rsidRPr="009D5CFA">
              <w:rPr>
                <w:sz w:val="20"/>
                <w:szCs w:val="20"/>
              </w:rPr>
              <w:t>s best estimates</w:t>
            </w:r>
          </w:p>
          <w:p w14:paraId="79D660C6" w14:textId="190FA1AC" w:rsidR="005C0498" w:rsidRPr="009D5CFA" w:rsidRDefault="00A228D3">
            <w:pPr>
              <w:pStyle w:val="ListParagraph"/>
              <w:numPr>
                <w:ilvl w:val="0"/>
                <w:numId w:val="40"/>
              </w:numPr>
              <w:ind w:left="284" w:hanging="284"/>
              <w:rPr>
                <w:sz w:val="20"/>
                <w:szCs w:val="20"/>
              </w:rPr>
            </w:pPr>
            <w:r w:rsidRPr="009D5CFA">
              <w:rPr>
                <w:sz w:val="20"/>
                <w:szCs w:val="20"/>
              </w:rPr>
              <w:t>supporting information is available to justify the assumptions and methodologies used</w:t>
            </w:r>
            <w:r w:rsidR="005D4B97" w:rsidRPr="009D5CFA">
              <w:rPr>
                <w:sz w:val="20"/>
                <w:szCs w:val="20"/>
              </w:rPr>
              <w:t xml:space="preserve"> in </w:t>
            </w:r>
            <w:r w:rsidRPr="009D5CFA">
              <w:rPr>
                <w:sz w:val="20"/>
                <w:szCs w:val="20"/>
              </w:rPr>
              <w:t xml:space="preserve">the price submission satisfies the requirements of the </w:t>
            </w:r>
            <w:r w:rsidR="00FE6399" w:rsidRPr="009D5CFA">
              <w:rPr>
                <w:i/>
                <w:iCs/>
                <w:sz w:val="20"/>
                <w:szCs w:val="20"/>
              </w:rPr>
              <w:t>W</w:t>
            </w:r>
            <w:r w:rsidRPr="009D5CFA">
              <w:rPr>
                <w:i/>
                <w:iCs/>
                <w:sz w:val="20"/>
                <w:szCs w:val="20"/>
              </w:rPr>
              <w:t xml:space="preserve">ater </w:t>
            </w:r>
            <w:r w:rsidR="00FE6399" w:rsidRPr="009D5CFA">
              <w:rPr>
                <w:i/>
                <w:iCs/>
                <w:sz w:val="20"/>
                <w:szCs w:val="20"/>
              </w:rPr>
              <w:t>P</w:t>
            </w:r>
            <w:r w:rsidRPr="009D5CFA">
              <w:rPr>
                <w:i/>
                <w:iCs/>
                <w:sz w:val="20"/>
                <w:szCs w:val="20"/>
              </w:rPr>
              <w:t xml:space="preserve">rice </w:t>
            </w:r>
            <w:r w:rsidR="00FE6399" w:rsidRPr="009D5CFA">
              <w:rPr>
                <w:i/>
                <w:iCs/>
                <w:sz w:val="20"/>
                <w:szCs w:val="20"/>
              </w:rPr>
              <w:t>R</w:t>
            </w:r>
            <w:r w:rsidRPr="009D5CFA">
              <w:rPr>
                <w:i/>
                <w:iCs/>
                <w:sz w:val="20"/>
                <w:szCs w:val="20"/>
              </w:rPr>
              <w:t xml:space="preserve">eview </w:t>
            </w:r>
            <w:r w:rsidR="001A5E2E" w:rsidRPr="009D5CFA">
              <w:rPr>
                <w:i/>
                <w:iCs/>
                <w:sz w:val="20"/>
                <w:szCs w:val="20"/>
              </w:rPr>
              <w:t xml:space="preserve">2023 </w:t>
            </w:r>
            <w:r w:rsidR="001A5E2E" w:rsidRPr="009D5CFA">
              <w:rPr>
                <w:sz w:val="20"/>
                <w:szCs w:val="20"/>
              </w:rPr>
              <w:t xml:space="preserve">guidance paper </w:t>
            </w:r>
            <w:r w:rsidRPr="009D5CFA">
              <w:rPr>
                <w:sz w:val="20"/>
                <w:szCs w:val="20"/>
              </w:rPr>
              <w:t xml:space="preserve">issued by the Essential Services Commission </w:t>
            </w:r>
            <w:r w:rsidR="00880120" w:rsidRPr="009D5CFA">
              <w:rPr>
                <w:sz w:val="20"/>
                <w:szCs w:val="20"/>
              </w:rPr>
              <w:t xml:space="preserve">(ESC) </w:t>
            </w:r>
            <w:r w:rsidRPr="009D5CFA">
              <w:rPr>
                <w:sz w:val="20"/>
                <w:szCs w:val="20"/>
              </w:rPr>
              <w:t>in all material respects.</w:t>
            </w:r>
          </w:p>
        </w:tc>
      </w:tr>
      <w:tr w:rsidR="0085617B" w14:paraId="1291943C" w14:textId="77777777" w:rsidTr="00360131">
        <w:tc>
          <w:tcPr>
            <w:tcW w:w="1651" w:type="dxa"/>
            <w:tcBorders>
              <w:top w:val="single" w:sz="2" w:space="0" w:color="002279"/>
              <w:left w:val="single" w:sz="2" w:space="0" w:color="002279"/>
              <w:bottom w:val="single" w:sz="2" w:space="0" w:color="002279"/>
              <w:right w:val="single" w:sz="2" w:space="0" w:color="002279"/>
            </w:tcBorders>
            <w:shd w:val="clear" w:color="auto" w:fill="auto"/>
          </w:tcPr>
          <w:p w14:paraId="0087B124" w14:textId="7D186593" w:rsidR="005C0498" w:rsidRPr="00360131" w:rsidRDefault="000F396C">
            <w:pPr>
              <w:pStyle w:val="TableText"/>
              <w:rPr>
                <w:b/>
                <w:bCs/>
                <w:sz w:val="20"/>
                <w:szCs w:val="20"/>
              </w:rPr>
            </w:pPr>
            <w:r w:rsidRPr="00360131">
              <w:rPr>
                <w:b/>
                <w:bCs/>
                <w:sz w:val="20"/>
                <w:szCs w:val="20"/>
              </w:rPr>
              <w:lastRenderedPageBreak/>
              <w:t>Engagement</w:t>
            </w:r>
          </w:p>
        </w:tc>
        <w:tc>
          <w:tcPr>
            <w:tcW w:w="1649" w:type="dxa"/>
            <w:tcBorders>
              <w:top w:val="single" w:sz="2" w:space="0" w:color="002279"/>
              <w:left w:val="single" w:sz="2" w:space="0" w:color="002279"/>
              <w:bottom w:val="single" w:sz="2" w:space="0" w:color="002279"/>
              <w:right w:val="single" w:sz="2" w:space="0" w:color="002279"/>
            </w:tcBorders>
            <w:shd w:val="clear" w:color="auto" w:fill="auto"/>
          </w:tcPr>
          <w:p w14:paraId="70A35A03" w14:textId="2305225E" w:rsidR="005C0498" w:rsidRPr="00116E55" w:rsidRDefault="00D0356A">
            <w:pPr>
              <w:pStyle w:val="TableText"/>
              <w:rPr>
                <w:sz w:val="20"/>
                <w:szCs w:val="20"/>
              </w:rPr>
            </w:pPr>
            <w:r w:rsidRPr="00116E55">
              <w:rPr>
                <w:sz w:val="20"/>
                <w:szCs w:val="20"/>
              </w:rPr>
              <w:t>Advanced</w:t>
            </w:r>
          </w:p>
        </w:tc>
        <w:tc>
          <w:tcPr>
            <w:tcW w:w="6342" w:type="dxa"/>
            <w:tcBorders>
              <w:top w:val="single" w:sz="2" w:space="0" w:color="002279"/>
              <w:left w:val="single" w:sz="2" w:space="0" w:color="002279"/>
              <w:bottom w:val="single" w:sz="2" w:space="0" w:color="002279"/>
              <w:right w:val="single" w:sz="2" w:space="0" w:color="002279"/>
            </w:tcBorders>
            <w:shd w:val="clear" w:color="auto" w:fill="auto"/>
          </w:tcPr>
          <w:p w14:paraId="184AE045" w14:textId="64BA2F58" w:rsidR="00915851" w:rsidRPr="00116E55" w:rsidRDefault="0090629F" w:rsidP="00D0356A">
            <w:pPr>
              <w:pStyle w:val="TableText"/>
              <w:rPr>
                <w:sz w:val="20"/>
                <w:szCs w:val="20"/>
              </w:rPr>
            </w:pPr>
            <w:r w:rsidRPr="00116E55">
              <w:rPr>
                <w:sz w:val="20"/>
                <w:szCs w:val="20"/>
              </w:rPr>
              <w:t xml:space="preserve">South East Water delivered an extensive </w:t>
            </w:r>
            <w:r w:rsidR="00B4219F" w:rsidRPr="00116E55">
              <w:rPr>
                <w:sz w:val="20"/>
                <w:szCs w:val="20"/>
              </w:rPr>
              <w:t>5</w:t>
            </w:r>
            <w:r w:rsidRPr="00116E55">
              <w:rPr>
                <w:sz w:val="20"/>
                <w:szCs w:val="20"/>
              </w:rPr>
              <w:t>-stage</w:t>
            </w:r>
            <w:r w:rsidR="00915851" w:rsidRPr="00116E55">
              <w:rPr>
                <w:sz w:val="20"/>
                <w:szCs w:val="20"/>
              </w:rPr>
              <w:t xml:space="preserve"> engagement process</w:t>
            </w:r>
            <w:r w:rsidR="00820B3E" w:rsidRPr="00116E55">
              <w:rPr>
                <w:sz w:val="20"/>
                <w:szCs w:val="20"/>
              </w:rPr>
              <w:t xml:space="preserve"> that include</w:t>
            </w:r>
            <w:r w:rsidR="00E013DC">
              <w:rPr>
                <w:sz w:val="20"/>
                <w:szCs w:val="20"/>
              </w:rPr>
              <w:t>d</w:t>
            </w:r>
            <w:r w:rsidR="00820B3E" w:rsidRPr="00116E55">
              <w:rPr>
                <w:sz w:val="20"/>
                <w:szCs w:val="20"/>
              </w:rPr>
              <w:t xml:space="preserve"> </w:t>
            </w:r>
            <w:r w:rsidR="002D76B3" w:rsidRPr="00116E55">
              <w:rPr>
                <w:sz w:val="20"/>
                <w:szCs w:val="20"/>
              </w:rPr>
              <w:t>all key customers and stakeho</w:t>
            </w:r>
            <w:r w:rsidR="00872697" w:rsidRPr="00116E55">
              <w:rPr>
                <w:sz w:val="20"/>
                <w:szCs w:val="20"/>
              </w:rPr>
              <w:t>lders</w:t>
            </w:r>
            <w:r w:rsidR="00211884" w:rsidRPr="00116E55">
              <w:rPr>
                <w:sz w:val="20"/>
                <w:szCs w:val="20"/>
              </w:rPr>
              <w:t>,</w:t>
            </w:r>
            <w:r w:rsidR="00872697" w:rsidRPr="00116E55">
              <w:rPr>
                <w:sz w:val="20"/>
                <w:szCs w:val="20"/>
              </w:rPr>
              <w:t xml:space="preserve"> and </w:t>
            </w:r>
            <w:r w:rsidR="00915851" w:rsidRPr="00116E55">
              <w:rPr>
                <w:sz w:val="20"/>
                <w:szCs w:val="20"/>
              </w:rPr>
              <w:t xml:space="preserve">has significantly shaped our plans and </w:t>
            </w:r>
            <w:r w:rsidR="00407366">
              <w:rPr>
                <w:sz w:val="20"/>
                <w:szCs w:val="20"/>
              </w:rPr>
              <w:t>this</w:t>
            </w:r>
            <w:r w:rsidR="00915851" w:rsidRPr="00116E55">
              <w:rPr>
                <w:sz w:val="20"/>
                <w:szCs w:val="20"/>
              </w:rPr>
              <w:t xml:space="preserve"> price submission</w:t>
            </w:r>
            <w:r w:rsidR="00872697" w:rsidRPr="00116E55">
              <w:rPr>
                <w:sz w:val="20"/>
                <w:szCs w:val="20"/>
              </w:rPr>
              <w:t>.</w:t>
            </w:r>
          </w:p>
          <w:p w14:paraId="45C11E2D" w14:textId="11B3227F" w:rsidR="005C0498" w:rsidRPr="00116E55" w:rsidRDefault="00872697" w:rsidP="00D0356A">
            <w:pPr>
              <w:pStyle w:val="TableText"/>
              <w:rPr>
                <w:sz w:val="20"/>
                <w:szCs w:val="20"/>
              </w:rPr>
            </w:pPr>
            <w:r w:rsidRPr="00116E55">
              <w:rPr>
                <w:sz w:val="20"/>
                <w:szCs w:val="20"/>
              </w:rPr>
              <w:t>A</w:t>
            </w:r>
            <w:r w:rsidR="00D0356A" w:rsidRPr="00116E55">
              <w:rPr>
                <w:sz w:val="20"/>
                <w:szCs w:val="20"/>
              </w:rPr>
              <w:t xml:space="preserve"> deliberative process with customers was used to decide how to reflect customers</w:t>
            </w:r>
            <w:r w:rsidR="00612583" w:rsidRPr="00116E55">
              <w:rPr>
                <w:sz w:val="20"/>
                <w:szCs w:val="20"/>
              </w:rPr>
              <w:t>’</w:t>
            </w:r>
            <w:r w:rsidR="00D0356A" w:rsidRPr="00116E55">
              <w:rPr>
                <w:sz w:val="20"/>
                <w:szCs w:val="20"/>
              </w:rPr>
              <w:t xml:space="preserve"> views in </w:t>
            </w:r>
            <w:r w:rsidR="00407366">
              <w:rPr>
                <w:sz w:val="20"/>
                <w:szCs w:val="20"/>
              </w:rPr>
              <w:t>this</w:t>
            </w:r>
            <w:r w:rsidR="00D0356A" w:rsidRPr="00116E55">
              <w:rPr>
                <w:sz w:val="20"/>
                <w:szCs w:val="20"/>
              </w:rPr>
              <w:t xml:space="preserve"> price submission. This positions the engagement process at the </w:t>
            </w:r>
            <w:r w:rsidR="00612583" w:rsidRPr="00116E55">
              <w:rPr>
                <w:sz w:val="20"/>
                <w:szCs w:val="20"/>
              </w:rPr>
              <w:t>‘</w:t>
            </w:r>
            <w:r w:rsidR="00D0356A" w:rsidRPr="00116E55">
              <w:rPr>
                <w:sz w:val="20"/>
                <w:szCs w:val="20"/>
              </w:rPr>
              <w:t>Collaborate</w:t>
            </w:r>
            <w:r w:rsidR="00612583" w:rsidRPr="00116E55">
              <w:rPr>
                <w:sz w:val="20"/>
                <w:szCs w:val="20"/>
              </w:rPr>
              <w:t>’</w:t>
            </w:r>
            <w:r w:rsidR="00D0356A" w:rsidRPr="00116E55">
              <w:rPr>
                <w:sz w:val="20"/>
                <w:szCs w:val="20"/>
              </w:rPr>
              <w:t xml:space="preserve"> and </w:t>
            </w:r>
            <w:r w:rsidR="00612583" w:rsidRPr="00116E55">
              <w:rPr>
                <w:sz w:val="20"/>
                <w:szCs w:val="20"/>
              </w:rPr>
              <w:t>‘</w:t>
            </w:r>
            <w:r w:rsidR="00D0356A" w:rsidRPr="00116E55">
              <w:rPr>
                <w:sz w:val="20"/>
                <w:szCs w:val="20"/>
              </w:rPr>
              <w:t>Empower</w:t>
            </w:r>
            <w:r w:rsidR="00612583" w:rsidRPr="00116E55">
              <w:rPr>
                <w:sz w:val="20"/>
                <w:szCs w:val="20"/>
              </w:rPr>
              <w:t>’</w:t>
            </w:r>
            <w:r w:rsidR="00D0356A" w:rsidRPr="00116E55">
              <w:rPr>
                <w:sz w:val="20"/>
                <w:szCs w:val="20"/>
              </w:rPr>
              <w:t xml:space="preserve"> end of the IAP2 engagement spectrum.</w:t>
            </w:r>
          </w:p>
        </w:tc>
      </w:tr>
      <w:tr w:rsidR="00AF4CBF" w14:paraId="58184867" w14:textId="77777777" w:rsidTr="00360131">
        <w:trPr>
          <w:trHeight w:val="15"/>
        </w:trPr>
        <w:tc>
          <w:tcPr>
            <w:tcW w:w="1651" w:type="dxa"/>
            <w:tcBorders>
              <w:top w:val="single" w:sz="2" w:space="0" w:color="002279"/>
              <w:left w:val="single" w:sz="2" w:space="0" w:color="002279"/>
              <w:bottom w:val="single" w:sz="2" w:space="0" w:color="002279"/>
              <w:right w:val="single" w:sz="2" w:space="0" w:color="002279"/>
            </w:tcBorders>
            <w:shd w:val="clear" w:color="auto" w:fill="D4D6DF"/>
          </w:tcPr>
          <w:p w14:paraId="203BCAD5" w14:textId="49138B37" w:rsidR="000F396C" w:rsidRPr="00360131" w:rsidRDefault="000F396C">
            <w:pPr>
              <w:pStyle w:val="TableText"/>
              <w:rPr>
                <w:b/>
                <w:bCs/>
                <w:sz w:val="20"/>
                <w:szCs w:val="20"/>
              </w:rPr>
            </w:pPr>
            <w:r w:rsidRPr="00360131">
              <w:rPr>
                <w:b/>
                <w:bCs/>
                <w:sz w:val="20"/>
                <w:szCs w:val="20"/>
              </w:rPr>
              <w:t>Risk</w:t>
            </w:r>
          </w:p>
        </w:tc>
        <w:tc>
          <w:tcPr>
            <w:tcW w:w="1649" w:type="dxa"/>
            <w:tcBorders>
              <w:top w:val="single" w:sz="2" w:space="0" w:color="002279"/>
              <w:left w:val="single" w:sz="2" w:space="0" w:color="002279"/>
              <w:bottom w:val="single" w:sz="2" w:space="0" w:color="002279"/>
              <w:right w:val="single" w:sz="2" w:space="0" w:color="002279"/>
            </w:tcBorders>
            <w:shd w:val="clear" w:color="auto" w:fill="D4D6DF"/>
          </w:tcPr>
          <w:p w14:paraId="30E101D4" w14:textId="0F911323" w:rsidR="000F396C" w:rsidRPr="00116E55" w:rsidRDefault="007D5B6B">
            <w:pPr>
              <w:pStyle w:val="TableText"/>
              <w:rPr>
                <w:sz w:val="20"/>
                <w:szCs w:val="20"/>
              </w:rPr>
            </w:pPr>
            <w:r w:rsidRPr="00116E55">
              <w:rPr>
                <w:sz w:val="20"/>
                <w:szCs w:val="20"/>
              </w:rPr>
              <w:t>Advanced</w:t>
            </w:r>
          </w:p>
        </w:tc>
        <w:tc>
          <w:tcPr>
            <w:tcW w:w="6342" w:type="dxa"/>
            <w:tcBorders>
              <w:top w:val="single" w:sz="2" w:space="0" w:color="002279"/>
              <w:left w:val="single" w:sz="2" w:space="0" w:color="002279"/>
              <w:bottom w:val="single" w:sz="2" w:space="0" w:color="002279"/>
              <w:right w:val="single" w:sz="2" w:space="0" w:color="002279"/>
            </w:tcBorders>
            <w:shd w:val="clear" w:color="auto" w:fill="D4D6DF"/>
          </w:tcPr>
          <w:p w14:paraId="4310018D" w14:textId="2D2C3404" w:rsidR="000F396C" w:rsidRPr="00116E55" w:rsidRDefault="00082BAC" w:rsidP="007A16C6">
            <w:pPr>
              <w:pStyle w:val="TableText"/>
              <w:rPr>
                <w:sz w:val="20"/>
                <w:szCs w:val="20"/>
              </w:rPr>
            </w:pPr>
            <w:r w:rsidRPr="00116E55">
              <w:rPr>
                <w:sz w:val="20"/>
                <w:szCs w:val="20"/>
              </w:rPr>
              <w:t xml:space="preserve">South East Water </w:t>
            </w:r>
            <w:r w:rsidR="001D67EC" w:rsidRPr="00116E55">
              <w:rPr>
                <w:sz w:val="20"/>
                <w:szCs w:val="20"/>
              </w:rPr>
              <w:t>has in place</w:t>
            </w:r>
            <w:r w:rsidRPr="00116E55">
              <w:rPr>
                <w:sz w:val="20"/>
                <w:szCs w:val="20"/>
              </w:rPr>
              <w:t xml:space="preserve"> sound risk management practices. Our enterprise risk management framework is embedded across all our processes and is aligned to AS/NZS 31000 and the requirements of the VGRMF.</w:t>
            </w:r>
            <w:r w:rsidR="007A16C6">
              <w:rPr>
                <w:sz w:val="20"/>
                <w:szCs w:val="20"/>
              </w:rPr>
              <w:t xml:space="preserve"> </w:t>
            </w:r>
            <w:r w:rsidR="001F2901" w:rsidRPr="00116E55">
              <w:rPr>
                <w:sz w:val="20"/>
                <w:szCs w:val="20"/>
              </w:rPr>
              <w:t>South East Water ha</w:t>
            </w:r>
            <w:r w:rsidR="00B209F3" w:rsidRPr="00116E55">
              <w:rPr>
                <w:sz w:val="20"/>
                <w:szCs w:val="20"/>
              </w:rPr>
              <w:t>s</w:t>
            </w:r>
            <w:r w:rsidR="001F2901" w:rsidRPr="00116E55">
              <w:rPr>
                <w:sz w:val="20"/>
                <w:szCs w:val="20"/>
              </w:rPr>
              <w:t xml:space="preserve"> committed to protecting customers from the risk of </w:t>
            </w:r>
            <w:r w:rsidR="00086FD8" w:rsidRPr="00116E55">
              <w:rPr>
                <w:sz w:val="20"/>
                <w:szCs w:val="20"/>
              </w:rPr>
              <w:t xml:space="preserve">cost overruns, particularly associated with the delivery of our capital program. </w:t>
            </w:r>
            <w:r w:rsidR="001C1694" w:rsidRPr="00116E55">
              <w:rPr>
                <w:sz w:val="20"/>
                <w:szCs w:val="20"/>
              </w:rPr>
              <w:t xml:space="preserve">For example, South East Water would absorb any cost </w:t>
            </w:r>
            <w:r w:rsidR="00FE6399" w:rsidRPr="00116E55">
              <w:rPr>
                <w:sz w:val="20"/>
                <w:szCs w:val="20"/>
              </w:rPr>
              <w:t>overruns</w:t>
            </w:r>
            <w:r w:rsidR="001C1694" w:rsidRPr="00116E55">
              <w:rPr>
                <w:sz w:val="20"/>
                <w:szCs w:val="20"/>
              </w:rPr>
              <w:t xml:space="preserve"> associated with the digital metering program</w:t>
            </w:r>
            <w:r w:rsidRPr="00116E55">
              <w:rPr>
                <w:sz w:val="20"/>
                <w:szCs w:val="20"/>
              </w:rPr>
              <w:t xml:space="preserve"> and will not pass on GSL costs</w:t>
            </w:r>
            <w:r w:rsidR="001C1694" w:rsidRPr="00116E55">
              <w:rPr>
                <w:sz w:val="20"/>
                <w:szCs w:val="20"/>
              </w:rPr>
              <w:t>.</w:t>
            </w:r>
            <w:r w:rsidR="007A16C6">
              <w:rPr>
                <w:sz w:val="20"/>
                <w:szCs w:val="20"/>
              </w:rPr>
              <w:t xml:space="preserve"> </w:t>
            </w:r>
            <w:r w:rsidR="00016EBB" w:rsidRPr="00116E55">
              <w:rPr>
                <w:sz w:val="20"/>
                <w:szCs w:val="20"/>
              </w:rPr>
              <w:t xml:space="preserve">In addition, </w:t>
            </w:r>
            <w:r w:rsidR="009B1D0A" w:rsidRPr="00116E55">
              <w:rPr>
                <w:sz w:val="20"/>
                <w:szCs w:val="20"/>
              </w:rPr>
              <w:t>t</w:t>
            </w:r>
            <w:r w:rsidR="00016EBB" w:rsidRPr="00116E55">
              <w:rPr>
                <w:sz w:val="20"/>
                <w:szCs w:val="20"/>
              </w:rPr>
              <w:t>he approach to setting demand and tariff proposals accompanied with a price cap regime allocates greater revenue risk to South East Water.</w:t>
            </w:r>
          </w:p>
        </w:tc>
      </w:tr>
    </w:tbl>
    <w:p w14:paraId="13D81248" w14:textId="7ABF7703" w:rsidR="00B9422B" w:rsidRDefault="00844056" w:rsidP="006A5D57">
      <w:pPr>
        <w:pageBreakBefore/>
        <w:spacing w:after="160" w:line="259" w:lineRule="auto"/>
      </w:pPr>
      <w:r w:rsidRPr="00984070">
        <w:rPr>
          <w:noProof/>
          <w:color w:val="2B579A"/>
          <w:shd w:val="clear" w:color="auto" w:fill="E6E6E6"/>
        </w:rPr>
        <w:lastRenderedPageBreak/>
        <mc:AlternateContent>
          <mc:Choice Requires="wps">
            <w:drawing>
              <wp:anchor distT="0" distB="0" distL="114300" distR="114300" simplePos="0" relativeHeight="251658258" behindDoc="0" locked="1" layoutInCell="1" allowOverlap="1" wp14:anchorId="42181341" wp14:editId="67B67176">
                <wp:simplePos x="0" y="0"/>
                <wp:positionH relativeFrom="page">
                  <wp:posOffset>-8890</wp:posOffset>
                </wp:positionH>
                <wp:positionV relativeFrom="page">
                  <wp:posOffset>5048885</wp:posOffset>
                </wp:positionV>
                <wp:extent cx="7563485" cy="5633720"/>
                <wp:effectExtent l="0" t="0" r="5715" b="5080"/>
                <wp:wrapNone/>
                <wp:docPr id="120" name="Freeform: Shape 13"/>
                <wp:cNvGraphicFramePr/>
                <a:graphic xmlns:a="http://schemas.openxmlformats.org/drawingml/2006/main">
                  <a:graphicData uri="http://schemas.microsoft.com/office/word/2010/wordprocessingShape">
                    <wps:wsp>
                      <wps:cNvSpPr/>
                      <wps:spPr>
                        <a:xfrm>
                          <a:off x="0" y="0"/>
                          <a:ext cx="7563485" cy="5633720"/>
                        </a:xfrm>
                        <a:custGeom>
                          <a:avLst/>
                          <a:gdLst>
                            <a:gd name="connsiteX0" fmla="*/ 630218 w 7564209"/>
                            <a:gd name="connsiteY0" fmla="*/ 0 h 5635379"/>
                            <a:gd name="connsiteX1" fmla="*/ 779510 w 7564209"/>
                            <a:gd name="connsiteY1" fmla="*/ 44612 h 5635379"/>
                            <a:gd name="connsiteX2" fmla="*/ 1111141 w 7564209"/>
                            <a:gd name="connsiteY2" fmla="*/ 44612 h 5635379"/>
                            <a:gd name="connsiteX3" fmla="*/ 1409726 w 7564209"/>
                            <a:gd name="connsiteY3" fmla="*/ 44612 h 5635379"/>
                            <a:gd name="connsiteX4" fmla="*/ 1741358 w 7564209"/>
                            <a:gd name="connsiteY4" fmla="*/ 44612 h 5635379"/>
                            <a:gd name="connsiteX5" fmla="*/ 2039943 w 7564209"/>
                            <a:gd name="connsiteY5" fmla="*/ 44612 h 5635379"/>
                            <a:gd name="connsiteX6" fmla="*/ 2371721 w 7564209"/>
                            <a:gd name="connsiteY6" fmla="*/ 44612 h 5635379"/>
                            <a:gd name="connsiteX7" fmla="*/ 2670160 w 7564209"/>
                            <a:gd name="connsiteY7" fmla="*/ 44612 h 5635379"/>
                            <a:gd name="connsiteX8" fmla="*/ 3001938 w 7564209"/>
                            <a:gd name="connsiteY8" fmla="*/ 44612 h 5635379"/>
                            <a:gd name="connsiteX9" fmla="*/ 3151084 w 7564209"/>
                            <a:gd name="connsiteY9" fmla="*/ 746 h 5635379"/>
                            <a:gd name="connsiteX10" fmla="*/ 3300377 w 7564209"/>
                            <a:gd name="connsiteY10" fmla="*/ 44612 h 5635379"/>
                            <a:gd name="connsiteX11" fmla="*/ 3632447 w 7564209"/>
                            <a:gd name="connsiteY11" fmla="*/ 44612 h 5635379"/>
                            <a:gd name="connsiteX12" fmla="*/ 3931178 w 7564209"/>
                            <a:gd name="connsiteY12" fmla="*/ 44612 h 5635379"/>
                            <a:gd name="connsiteX13" fmla="*/ 4262956 w 7564209"/>
                            <a:gd name="connsiteY13" fmla="*/ 44612 h 5635379"/>
                            <a:gd name="connsiteX14" fmla="*/ 4561687 w 7564209"/>
                            <a:gd name="connsiteY14" fmla="*/ 44612 h 5635379"/>
                            <a:gd name="connsiteX15" fmla="*/ 4893465 w 7564209"/>
                            <a:gd name="connsiteY15" fmla="*/ 44612 h 5635379"/>
                            <a:gd name="connsiteX16" fmla="*/ 5192050 w 7564209"/>
                            <a:gd name="connsiteY16" fmla="*/ 44612 h 5635379"/>
                            <a:gd name="connsiteX17" fmla="*/ 5523827 w 7564209"/>
                            <a:gd name="connsiteY17" fmla="*/ 44612 h 5635379"/>
                            <a:gd name="connsiteX18" fmla="*/ 5822413 w 7564209"/>
                            <a:gd name="connsiteY18" fmla="*/ 44612 h 5635379"/>
                            <a:gd name="connsiteX19" fmla="*/ 6154191 w 7564209"/>
                            <a:gd name="connsiteY19" fmla="*/ 44612 h 5635379"/>
                            <a:gd name="connsiteX20" fmla="*/ 6452776 w 7564209"/>
                            <a:gd name="connsiteY20" fmla="*/ 44612 h 5635379"/>
                            <a:gd name="connsiteX21" fmla="*/ 6784553 w 7564209"/>
                            <a:gd name="connsiteY21" fmla="*/ 44612 h 5635379"/>
                            <a:gd name="connsiteX22" fmla="*/ 7083138 w 7564209"/>
                            <a:gd name="connsiteY22" fmla="*/ 44612 h 5635379"/>
                            <a:gd name="connsiteX23" fmla="*/ 7414916 w 7564209"/>
                            <a:gd name="connsiteY23" fmla="*/ 44612 h 5635379"/>
                            <a:gd name="connsiteX24" fmla="*/ 7564209 w 7564209"/>
                            <a:gd name="connsiteY24" fmla="*/ 746 h 5635379"/>
                            <a:gd name="connsiteX25" fmla="*/ 7564209 w 7564209"/>
                            <a:gd name="connsiteY25" fmla="*/ 5635379 h 5635379"/>
                            <a:gd name="connsiteX26" fmla="*/ 0 w 7564209"/>
                            <a:gd name="connsiteY26" fmla="*/ 5635379 h 5635379"/>
                            <a:gd name="connsiteX27" fmla="*/ 0 w 7564209"/>
                            <a:gd name="connsiteY27" fmla="*/ 746 h 5635379"/>
                            <a:gd name="connsiteX28" fmla="*/ 149293 w 7564209"/>
                            <a:gd name="connsiteY28" fmla="*/ 44612 h 5635379"/>
                            <a:gd name="connsiteX29" fmla="*/ 480925 w 7564209"/>
                            <a:gd name="connsiteY29" fmla="*/ 44612 h 5635379"/>
                            <a:gd name="connsiteX30" fmla="*/ 630218 w 7564209"/>
                            <a:gd name="connsiteY30" fmla="*/ 0 h 56353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7564209" h="5635379">
                              <a:moveTo>
                                <a:pt x="630218" y="0"/>
                              </a:moveTo>
                              <a:cubicBezTo>
                                <a:pt x="682203" y="0"/>
                                <a:pt x="734189" y="14870"/>
                                <a:pt x="779510" y="44612"/>
                              </a:cubicBezTo>
                              <a:cubicBezTo>
                                <a:pt x="880462" y="109740"/>
                                <a:pt x="1010189" y="109740"/>
                                <a:pt x="1111141" y="44612"/>
                              </a:cubicBezTo>
                              <a:cubicBezTo>
                                <a:pt x="1201785" y="-14871"/>
                                <a:pt x="1319083" y="-14871"/>
                                <a:pt x="1409726" y="44612"/>
                              </a:cubicBezTo>
                              <a:cubicBezTo>
                                <a:pt x="1510678" y="109740"/>
                                <a:pt x="1640406" y="109740"/>
                                <a:pt x="1741358" y="44612"/>
                              </a:cubicBezTo>
                              <a:cubicBezTo>
                                <a:pt x="1832001" y="-14871"/>
                                <a:pt x="1949300" y="-14871"/>
                                <a:pt x="2039943" y="44612"/>
                              </a:cubicBezTo>
                              <a:cubicBezTo>
                                <a:pt x="2140953" y="109725"/>
                                <a:pt x="2270711" y="109725"/>
                                <a:pt x="2371721" y="44612"/>
                              </a:cubicBezTo>
                              <a:cubicBezTo>
                                <a:pt x="2462320" y="-14841"/>
                                <a:pt x="2579561" y="-14841"/>
                                <a:pt x="2670160" y="44612"/>
                              </a:cubicBezTo>
                              <a:cubicBezTo>
                                <a:pt x="2771170" y="109725"/>
                                <a:pt x="2900927" y="109725"/>
                                <a:pt x="3001938" y="44612"/>
                              </a:cubicBezTo>
                              <a:cubicBezTo>
                                <a:pt x="3045819" y="14695"/>
                                <a:pt x="3097991" y="-643"/>
                                <a:pt x="3151084" y="746"/>
                              </a:cubicBezTo>
                              <a:cubicBezTo>
                                <a:pt x="3204221" y="-658"/>
                                <a:pt x="3256452" y="14695"/>
                                <a:pt x="3300377" y="44612"/>
                              </a:cubicBezTo>
                              <a:cubicBezTo>
                                <a:pt x="3401518" y="109623"/>
                                <a:pt x="3531305" y="109623"/>
                                <a:pt x="3632447" y="44612"/>
                              </a:cubicBezTo>
                              <a:cubicBezTo>
                                <a:pt x="3723148" y="-14856"/>
                                <a:pt x="3840476" y="-14856"/>
                                <a:pt x="3931178" y="44612"/>
                              </a:cubicBezTo>
                              <a:cubicBezTo>
                                <a:pt x="4032188" y="109725"/>
                                <a:pt x="4161945" y="109725"/>
                                <a:pt x="4262956" y="44612"/>
                              </a:cubicBezTo>
                              <a:cubicBezTo>
                                <a:pt x="4353657" y="-14856"/>
                                <a:pt x="4470986" y="-14856"/>
                                <a:pt x="4561687" y="44612"/>
                              </a:cubicBezTo>
                              <a:cubicBezTo>
                                <a:pt x="4662697" y="109725"/>
                                <a:pt x="4792454" y="109725"/>
                                <a:pt x="4893465" y="44612"/>
                              </a:cubicBezTo>
                              <a:cubicBezTo>
                                <a:pt x="4984108" y="-14871"/>
                                <a:pt x="5101407" y="-14871"/>
                                <a:pt x="5192050" y="44612"/>
                              </a:cubicBezTo>
                              <a:cubicBezTo>
                                <a:pt x="5293060" y="109725"/>
                                <a:pt x="5422818" y="109725"/>
                                <a:pt x="5523827" y="44612"/>
                              </a:cubicBezTo>
                              <a:cubicBezTo>
                                <a:pt x="5614471" y="-14871"/>
                                <a:pt x="5731770" y="-14871"/>
                                <a:pt x="5822413" y="44612"/>
                              </a:cubicBezTo>
                              <a:cubicBezTo>
                                <a:pt x="5923423" y="109725"/>
                                <a:pt x="6053180" y="109725"/>
                                <a:pt x="6154191" y="44612"/>
                              </a:cubicBezTo>
                              <a:cubicBezTo>
                                <a:pt x="6244833" y="-14871"/>
                                <a:pt x="6362132" y="-14871"/>
                                <a:pt x="6452776" y="44612"/>
                              </a:cubicBezTo>
                              <a:cubicBezTo>
                                <a:pt x="6553786" y="109725"/>
                                <a:pt x="6683543" y="109725"/>
                                <a:pt x="6784553" y="44612"/>
                              </a:cubicBezTo>
                              <a:cubicBezTo>
                                <a:pt x="6875196" y="-14871"/>
                                <a:pt x="6992496" y="-14871"/>
                                <a:pt x="7083138" y="44612"/>
                              </a:cubicBezTo>
                              <a:cubicBezTo>
                                <a:pt x="7184149" y="109725"/>
                                <a:pt x="7313906" y="109725"/>
                                <a:pt x="7414916" y="44612"/>
                              </a:cubicBezTo>
                              <a:cubicBezTo>
                                <a:pt x="7458842" y="14681"/>
                                <a:pt x="7511071" y="-672"/>
                                <a:pt x="7564209" y="746"/>
                              </a:cubicBezTo>
                              <a:lnTo>
                                <a:pt x="7564209" y="5635379"/>
                              </a:lnTo>
                              <a:lnTo>
                                <a:pt x="0" y="5635379"/>
                              </a:lnTo>
                              <a:lnTo>
                                <a:pt x="0" y="746"/>
                              </a:lnTo>
                              <a:cubicBezTo>
                                <a:pt x="53123" y="-629"/>
                                <a:pt x="105354" y="14725"/>
                                <a:pt x="149293" y="44612"/>
                              </a:cubicBezTo>
                              <a:cubicBezTo>
                                <a:pt x="250245" y="109740"/>
                                <a:pt x="379973" y="109740"/>
                                <a:pt x="480925" y="44612"/>
                              </a:cubicBezTo>
                              <a:cubicBezTo>
                                <a:pt x="526247" y="14870"/>
                                <a:pt x="578232" y="0"/>
                                <a:pt x="630218" y="0"/>
                              </a:cubicBez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2692B5" w14:textId="0E4EF72E" w:rsidR="00844056" w:rsidRPr="002D3159" w:rsidRDefault="00844056" w:rsidP="002D3159">
                            <w:pPr>
                              <w:pStyle w:val="Divider"/>
                            </w:pPr>
                            <w:r w:rsidRPr="002D3159">
                              <w:t xml:space="preserve">Part 1: </w:t>
                            </w:r>
                            <w:r w:rsidR="00327319">
                              <w:br/>
                            </w:r>
                            <w:r w:rsidRPr="002D3159">
                              <w:t xml:space="preserve">Our commitment to delivering outcomes </w:t>
                            </w:r>
                            <w:r w:rsidR="00327319">
                              <w:br/>
                            </w:r>
                            <w:r w:rsidRPr="002D3159">
                              <w:t>for customers</w:t>
                            </w:r>
                          </w:p>
                        </w:txbxContent>
                      </wps:txbx>
                      <wps:bodyPr wrap="square" lIns="720000" tIns="0" bIns="2700000" rtlCol="0" anchor="ctr">
                        <a:noAutofit/>
                      </wps:bodyPr>
                    </wps:wsp>
                  </a:graphicData>
                </a:graphic>
                <wp14:sizeRelH relativeFrom="margin">
                  <wp14:pctWidth>0</wp14:pctWidth>
                </wp14:sizeRelH>
                <wp14:sizeRelV relativeFrom="margin">
                  <wp14:pctHeight>0</wp14:pctHeight>
                </wp14:sizeRelV>
              </wp:anchor>
            </w:drawing>
          </mc:Choice>
          <mc:Fallback>
            <w:pict>
              <v:shape w14:anchorId="42181341" id="Freeform: Shape 13" o:spid="_x0000_s1029" style="position:absolute;margin-left:-.7pt;margin-top:397.55pt;width:595.55pt;height:443.6pt;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4209,563537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" adj="-11796480,,5400" path="m630218,v51985,,103971,14870,149292,44612c880462,109740,1010189,109740,1111141,44612v90644,-59483,207942,-59483,298585,c1510678,109740,1640406,109740,1741358,44612v90643,-59483,207942,-59483,298585,c2140953,109725,2270711,109725,2371721,44612v90599,-59453,207840,-59453,298439,c2771170,109725,2900927,109725,3001938,44612,3045819,14695,3097991,-643,3151084,746v53137,-1404,105368,13949,149293,43866c3401518,109623,3531305,109623,3632447,44612v90701,-59468,208029,-59468,298731,c4032188,109725,4161945,109725,4262956,44612v90701,-59468,208030,-59468,298731,c4662697,109725,4792454,109725,4893465,44612v90643,-59483,207942,-59483,298585,c5293060,109725,5422818,109725,5523827,44612v90644,-59483,207943,-59483,298586,c5923423,109725,6053180,109725,6154191,44612v90642,-59483,207941,-59483,298585,c6553786,109725,6683543,109725,6784553,44612v90643,-59483,207943,-59483,298585,c7184149,109725,7313906,109725,7414916,44612,7458842,14681,7511071,-672,7564209,746r,5634633l,5635379,,746c53123,-629,105354,14725,149293,44612v100952,65128,230680,65128,331632,c526247,14870,578232,,630218,xe" fillcolor="#0075e3 [3204]" stroked="f" strokeweight="1pt">
                <v:stroke joinstyle="miter"/>
                <v:formulas/>
                <v:path arrowok="t" o:connecttype="custom" o:connectlocs="630158,0;779435,44599;1111035,44599;1409591,44599;1741191,44599;2039748,44599;2371494,44599;2669904,44599;3001651,44599;3150782,746;3300061,44599;3632099,44599;3930802,44599;4262548,44599;4561250,44599;4892997,44599;5191553,44599;5523298,44599;5821856,44599;6153602,44599;6452158,44599;6783904,44599;7082460,44599;7414206,44599;7563485,746;7563485,5633720;0,5633720;0,746;149279,44599;480879,44599;630158,0" o:connectangles="0,0,0,0,0,0,0,0,0,0,0,0,0,0,0,0,0,0,0,0,0,0,0,0,0,0,0,0,0,0,0" textboxrect="0,0,7564209,5635379"/>
                <v:textbox inset="20mm,0,,75mm">
                  <w:txbxContent>
                    <w:p w14:paraId="022692B5" w14:textId="0E4EF72E" w:rsidR="00844056" w:rsidRPr="002D3159" w:rsidRDefault="00844056" w:rsidP="002D3159">
                      <w:pPr>
                        <w:pStyle w:val="Divider"/>
                      </w:pPr>
                      <w:r w:rsidRPr="002D3159">
                        <w:t xml:space="preserve">Part 1: </w:t>
                      </w:r>
                      <w:r w:rsidR="00327319">
                        <w:br/>
                      </w:r>
                      <w:r w:rsidRPr="002D3159">
                        <w:t xml:space="preserve">Our commitment to delivering outcomes </w:t>
                      </w:r>
                      <w:r w:rsidR="00327319">
                        <w:br/>
                      </w:r>
                      <w:r w:rsidRPr="002D3159">
                        <w:t>for customers</w:t>
                      </w:r>
                    </w:p>
                  </w:txbxContent>
                </v:textbox>
                <w10:wrap anchorx="page" anchory="page"/>
                <w10:anchorlock/>
              </v:shape>
            </w:pict>
          </mc:Fallback>
        </mc:AlternateContent>
      </w:r>
      <w:r>
        <w:rPr>
          <w:noProof/>
        </w:rPr>
        <w:drawing>
          <wp:anchor distT="0" distB="0" distL="114300" distR="114300" simplePos="0" relativeHeight="251658259" behindDoc="1" locked="0" layoutInCell="1" allowOverlap="1" wp14:anchorId="268DE416" wp14:editId="669E53B4">
            <wp:simplePos x="0" y="0"/>
            <wp:positionH relativeFrom="column">
              <wp:posOffset>-573405</wp:posOffset>
            </wp:positionH>
            <wp:positionV relativeFrom="paragraph">
              <wp:posOffset>-964565</wp:posOffset>
            </wp:positionV>
            <wp:extent cx="7574915" cy="7613015"/>
            <wp:effectExtent l="0" t="0" r="0" b="0"/>
            <wp:wrapNone/>
            <wp:docPr id="960" name="Picture 960"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Picture 484" descr="A picture containing shap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7574915" cy="7613015"/>
                    </a:xfrm>
                    <a:prstGeom prst="rect">
                      <a:avLst/>
                    </a:prstGeom>
                  </pic:spPr>
                </pic:pic>
              </a:graphicData>
            </a:graphic>
            <wp14:sizeRelH relativeFrom="page">
              <wp14:pctWidth>0</wp14:pctWidth>
            </wp14:sizeRelH>
            <wp14:sizeRelV relativeFrom="page">
              <wp14:pctHeight>0</wp14:pctHeight>
            </wp14:sizeRelV>
          </wp:anchor>
        </w:drawing>
      </w:r>
    </w:p>
    <w:p w14:paraId="63422035" w14:textId="113D4997" w:rsidR="00B9422B" w:rsidRDefault="000122B1" w:rsidP="00B9422B">
      <w:r>
        <w:rPr>
          <w:noProof/>
        </w:rPr>
        <mc:AlternateContent>
          <mc:Choice Requires="wps">
            <w:drawing>
              <wp:anchor distT="0" distB="0" distL="114300" distR="114300" simplePos="0" relativeHeight="251658260" behindDoc="0" locked="0" layoutInCell="1" allowOverlap="1" wp14:anchorId="77EDF5ED" wp14:editId="517C5905">
                <wp:simplePos x="0" y="0"/>
                <wp:positionH relativeFrom="column">
                  <wp:posOffset>-53340</wp:posOffset>
                </wp:positionH>
                <wp:positionV relativeFrom="paragraph">
                  <wp:posOffset>1595419</wp:posOffset>
                </wp:positionV>
                <wp:extent cx="3209290" cy="2419985"/>
                <wp:effectExtent l="0" t="0" r="0" b="0"/>
                <wp:wrapNone/>
                <wp:docPr id="959" name="Text Box 959"/>
                <wp:cNvGraphicFramePr/>
                <a:graphic xmlns:a="http://schemas.openxmlformats.org/drawingml/2006/main">
                  <a:graphicData uri="http://schemas.microsoft.com/office/word/2010/wordprocessingShape">
                    <wps:wsp>
                      <wps:cNvSpPr txBox="1"/>
                      <wps:spPr>
                        <a:xfrm>
                          <a:off x="0" y="0"/>
                          <a:ext cx="3209290" cy="2419985"/>
                        </a:xfrm>
                        <a:prstGeom prst="rect">
                          <a:avLst/>
                        </a:prstGeom>
                        <a:noFill/>
                        <a:ln w="6350">
                          <a:noFill/>
                        </a:ln>
                      </wps:spPr>
                      <wps:txbx>
                        <w:txbxContent>
                          <w:p w14:paraId="798D56A2" w14:textId="77777777" w:rsidR="00844056" w:rsidRPr="00116E55" w:rsidRDefault="00844056" w:rsidP="00D11C2D">
                            <w:pPr>
                              <w:pStyle w:val="Heading1"/>
                              <w:rPr>
                                <w:rFonts w:cs="Times New Roman (Headings CS)"/>
                                <w:b w:val="0"/>
                                <w:bCs/>
                                <w:color w:val="FFFFFF" w:themeColor="background1"/>
                                <w:spacing w:val="-120"/>
                                <w:sz w:val="320"/>
                                <w:szCs w:val="320"/>
                              </w:rPr>
                            </w:pPr>
                            <w:bookmarkStart w:id="14" w:name="_Toc114644607"/>
                            <w:r w:rsidRPr="00116E55">
                              <w:rPr>
                                <w:rFonts w:cs="Times New Roman (Headings CS)"/>
                                <w:b w:val="0"/>
                                <w:bCs/>
                                <w:color w:val="FFFFFF" w:themeColor="background1"/>
                                <w:spacing w:val="-120"/>
                                <w:sz w:val="320"/>
                                <w:szCs w:val="320"/>
                              </w:rPr>
                              <w:t>01</w:t>
                            </w:r>
                            <w:bookmarkEnd w:id="1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EDF5ED" id="Text Box 959" o:spid="_x0000_s1030" type="#_x0000_t202" style="position:absolute;margin-left:-4.2pt;margin-top:125.6pt;width:252.7pt;height:190.55pt;z-index:2516582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" filled="f" stroked="f" strokeweight=".5pt">
                <v:textbox>
                  <w:txbxContent>
                    <w:p w14:paraId="798D56A2" w14:textId="77777777" w:rsidR="00844056" w:rsidRPr="00116E55" w:rsidRDefault="00844056" w:rsidP="00D11C2D">
                      <w:pPr>
                        <w:pStyle w:val="Heading1"/>
                        <w:rPr>
                          <w:rFonts w:cs="Times New Roman (Headings CS)"/>
                          <w:b w:val="0"/>
                          <w:bCs/>
                          <w:color w:val="FFFFFF" w:themeColor="background1"/>
                          <w:spacing w:val="-120"/>
                          <w:sz w:val="320"/>
                          <w:szCs w:val="320"/>
                        </w:rPr>
                      </w:pPr>
                      <w:bookmarkStart w:id="15" w:name="_Toc114644607"/>
                      <w:r w:rsidRPr="00116E55">
                        <w:rPr>
                          <w:rFonts w:cs="Times New Roman (Headings CS)"/>
                          <w:b w:val="0"/>
                          <w:bCs/>
                          <w:color w:val="FFFFFF" w:themeColor="background1"/>
                          <w:spacing w:val="-120"/>
                          <w:sz w:val="320"/>
                          <w:szCs w:val="320"/>
                        </w:rPr>
                        <w:t>01</w:t>
                      </w:r>
                      <w:bookmarkEnd w:id="15"/>
                    </w:p>
                  </w:txbxContent>
                </v:textbox>
              </v:shape>
            </w:pict>
          </mc:Fallback>
        </mc:AlternateContent>
      </w:r>
      <w:r w:rsidR="00B9422B">
        <w:br w:type="page"/>
      </w:r>
    </w:p>
    <w:p w14:paraId="7419A852" w14:textId="77777777" w:rsidR="00A27898" w:rsidRDefault="00A27898" w:rsidP="00D11C2D">
      <w:pPr>
        <w:pStyle w:val="Heading1"/>
      </w:pPr>
      <w:bookmarkStart w:id="15" w:name="_Toc103770903"/>
      <w:bookmarkStart w:id="16" w:name="_Toc114644608"/>
      <w:r>
        <w:lastRenderedPageBreak/>
        <w:t>Part 1: Our commitment to delivering outcomes for customers</w:t>
      </w:r>
      <w:bookmarkEnd w:id="15"/>
      <w:bookmarkEnd w:id="16"/>
    </w:p>
    <w:p w14:paraId="21D33826" w14:textId="1AE4B6C7" w:rsidR="00A27898" w:rsidRDefault="00A27898" w:rsidP="00A27898">
      <w:r>
        <w:t xml:space="preserve">Part 1 of the </w:t>
      </w:r>
      <w:r w:rsidRPr="00596F93">
        <w:t>2023</w:t>
      </w:r>
      <w:r w:rsidR="007D4EB3" w:rsidRPr="00596F93">
        <w:t>–</w:t>
      </w:r>
      <w:r w:rsidRPr="00596F93">
        <w:t xml:space="preserve">28 </w:t>
      </w:r>
      <w:r w:rsidR="00414B32" w:rsidRPr="00596F93">
        <w:t>P</w:t>
      </w:r>
      <w:r w:rsidRPr="00596F93">
        <w:t>ric</w:t>
      </w:r>
      <w:r w:rsidR="006D6F78" w:rsidRPr="00596F93">
        <w:t>e</w:t>
      </w:r>
      <w:r w:rsidRPr="00596F93">
        <w:t xml:space="preserve"> </w:t>
      </w:r>
      <w:r w:rsidR="00414B32" w:rsidRPr="00596F93">
        <w:t>S</w:t>
      </w:r>
      <w:r w:rsidRPr="00596F93">
        <w:t>ubmission</w:t>
      </w:r>
      <w:r>
        <w:t xml:space="preserve"> explains the outcomes agreed with customers that South East Water is focused on delivering. </w:t>
      </w:r>
    </w:p>
    <w:p w14:paraId="3F1DC9F2" w14:textId="77777777" w:rsidR="00A27898" w:rsidRDefault="00A27898" w:rsidP="00A27898">
      <w:r>
        <w:t>Part 1 explains:</w:t>
      </w:r>
    </w:p>
    <w:p w14:paraId="74D90EF8" w14:textId="63B41E96" w:rsidR="00A27898" w:rsidRPr="00A27898" w:rsidRDefault="00612E74">
      <w:pPr>
        <w:pStyle w:val="NormalIndent"/>
        <w:numPr>
          <w:ilvl w:val="0"/>
          <w:numId w:val="41"/>
        </w:numPr>
      </w:pPr>
      <w:r>
        <w:t>O</w:t>
      </w:r>
      <w:r w:rsidR="005316C2">
        <w:t>ur</w:t>
      </w:r>
      <w:r w:rsidR="00A27898" w:rsidRPr="00A27898">
        <w:t xml:space="preserve"> performance in the current </w:t>
      </w:r>
      <w:bookmarkStart w:id="17" w:name="_Hlk102581515"/>
      <w:r w:rsidR="00A27898" w:rsidRPr="00A27898">
        <w:t>2018</w:t>
      </w:r>
      <w:r w:rsidR="007D4EB3">
        <w:t>–</w:t>
      </w:r>
      <w:r w:rsidR="00A27898" w:rsidRPr="00A27898">
        <w:t>23 regulatory period</w:t>
      </w:r>
      <w:bookmarkEnd w:id="17"/>
      <w:r w:rsidR="00A27898" w:rsidRPr="00A27898">
        <w:t xml:space="preserve"> against the outcomes agreed with customers (</w:t>
      </w:r>
      <w:r w:rsidR="00A27898" w:rsidRPr="007D2B33">
        <w:rPr>
          <w:b/>
          <w:bCs/>
        </w:rPr>
        <w:t>Performance)</w:t>
      </w:r>
    </w:p>
    <w:p w14:paraId="462039ED" w14:textId="3BF4C925" w:rsidR="00A27898" w:rsidRPr="00A27898" w:rsidRDefault="00612E74">
      <w:pPr>
        <w:pStyle w:val="NormalIndent"/>
        <w:numPr>
          <w:ilvl w:val="0"/>
          <w:numId w:val="41"/>
        </w:numPr>
      </w:pPr>
      <w:r>
        <w:t>H</w:t>
      </w:r>
      <w:r w:rsidR="00A27898" w:rsidRPr="00A27898">
        <w:t>ow we have engaged with our customers and other stakeholders to establish the outcomes we will deliver in the 2023</w:t>
      </w:r>
      <w:r w:rsidR="007D4EB3">
        <w:t>–</w:t>
      </w:r>
      <w:r w:rsidR="00A27898" w:rsidRPr="00A27898">
        <w:t>28 period, and associated investment levels (</w:t>
      </w:r>
      <w:r w:rsidR="00A27898" w:rsidRPr="007D2B33">
        <w:rPr>
          <w:b/>
          <w:bCs/>
        </w:rPr>
        <w:t>Engagement</w:t>
      </w:r>
      <w:r w:rsidR="00A27898" w:rsidRPr="00A27898">
        <w:t>)</w:t>
      </w:r>
    </w:p>
    <w:p w14:paraId="5D5B206C" w14:textId="07023E13" w:rsidR="00A27898" w:rsidRPr="00A27898" w:rsidRDefault="00612E74">
      <w:pPr>
        <w:pStyle w:val="NormalIndent"/>
        <w:numPr>
          <w:ilvl w:val="0"/>
          <w:numId w:val="41"/>
        </w:numPr>
      </w:pPr>
      <w:r>
        <w:t>T</w:t>
      </w:r>
      <w:r w:rsidR="00A27898" w:rsidRPr="00A27898">
        <w:t>he outcomes</w:t>
      </w:r>
      <w:r w:rsidR="00B30943">
        <w:t xml:space="preserve">, </w:t>
      </w:r>
      <w:r w:rsidR="00AF2B99">
        <w:t xml:space="preserve">as determined by </w:t>
      </w:r>
      <w:r w:rsidR="00A27898" w:rsidRPr="00A27898">
        <w:t>customers</w:t>
      </w:r>
      <w:r w:rsidR="00AF2B99">
        <w:t>,</w:t>
      </w:r>
      <w:r w:rsidR="00A27898" w:rsidRPr="00A27898">
        <w:t xml:space="preserve"> that we will deliver over the 2023</w:t>
      </w:r>
      <w:r w:rsidR="007D4EB3">
        <w:t>–</w:t>
      </w:r>
      <w:r w:rsidR="00A27898" w:rsidRPr="00A27898">
        <w:t>28 period and the specific outputs and deliverables we will measure (</w:t>
      </w:r>
      <w:r w:rsidR="00A27898" w:rsidRPr="007D2B33">
        <w:rPr>
          <w:b/>
          <w:bCs/>
        </w:rPr>
        <w:t>Outcomes</w:t>
      </w:r>
      <w:r w:rsidR="00A27898" w:rsidRPr="00A27898">
        <w:t>)</w:t>
      </w:r>
    </w:p>
    <w:p w14:paraId="0BF7BB96" w14:textId="3B1BAFEB" w:rsidR="00A27898" w:rsidRDefault="00A27898" w:rsidP="00A27898"/>
    <w:p w14:paraId="3038AFAD" w14:textId="6A41D827" w:rsidR="007D2B33" w:rsidRDefault="007D2B33">
      <w:r>
        <w:br w:type="page"/>
      </w:r>
    </w:p>
    <w:bookmarkStart w:id="18" w:name="_Toc103770904"/>
    <w:bookmarkStart w:id="19" w:name="_Toc114644609"/>
    <w:p w14:paraId="0122A234" w14:textId="645C7AA9" w:rsidR="007D2B33" w:rsidRDefault="00946355">
      <w:pPr>
        <w:pStyle w:val="NbrHeading1"/>
        <w:numPr>
          <w:ilvl w:val="0"/>
          <w:numId w:val="25"/>
        </w:numPr>
      </w:pPr>
      <w:r>
        <w:lastRenderedPageBreak/>
        <mc:AlternateContent>
          <mc:Choice Requires="wps">
            <w:drawing>
              <wp:anchor distT="45720" distB="45720" distL="114300" distR="114300" simplePos="0" relativeHeight="251658252" behindDoc="0" locked="0" layoutInCell="1" allowOverlap="1" wp14:anchorId="49285B3E" wp14:editId="0ADBECC3">
                <wp:simplePos x="0" y="0"/>
                <wp:positionH relativeFrom="column">
                  <wp:posOffset>-25400</wp:posOffset>
                </wp:positionH>
                <wp:positionV relativeFrom="paragraph">
                  <wp:posOffset>641536</wp:posOffset>
                </wp:positionV>
                <wp:extent cx="6149340" cy="2536825"/>
                <wp:effectExtent l="0" t="0" r="0" b="3175"/>
                <wp:wrapSquare wrapText="bothSides"/>
                <wp:docPr id="492" name="Text 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2536825"/>
                        </a:xfrm>
                        <a:prstGeom prst="rect">
                          <a:avLst/>
                        </a:prstGeom>
                        <a:solidFill>
                          <a:srgbClr val="00B1F4"/>
                        </a:solidFill>
                        <a:ln w="9525">
                          <a:noFill/>
                          <a:miter lim="800000"/>
                          <a:headEnd/>
                          <a:tailEnd/>
                        </a:ln>
                      </wps:spPr>
                      <wps:txbx>
                        <w:txbxContent>
                          <w:p w14:paraId="6F9E11A9" w14:textId="77777777" w:rsidR="0069477C" w:rsidRPr="00116E55" w:rsidRDefault="0069477C" w:rsidP="00116E55">
                            <w:pPr>
                              <w:pStyle w:val="Heading3"/>
                              <w:spacing w:before="0" w:after="240"/>
                              <w:rPr>
                                <w:color w:val="FFFFFF" w:themeColor="background1"/>
                                <w:sz w:val="24"/>
                              </w:rPr>
                            </w:pPr>
                            <w:r w:rsidRPr="00116E55">
                              <w:rPr>
                                <w:color w:val="FFFFFF" w:themeColor="background1"/>
                                <w:sz w:val="24"/>
                              </w:rPr>
                              <w:t>Key points</w:t>
                            </w:r>
                          </w:p>
                          <w:p w14:paraId="1E18756F" w14:textId="1B0A2C2C" w:rsidR="0069477C" w:rsidRPr="000B673E" w:rsidRDefault="0069477C">
                            <w:pPr>
                              <w:pStyle w:val="Bulletlistmultilevel"/>
                              <w:numPr>
                                <w:ilvl w:val="0"/>
                                <w:numId w:val="46"/>
                              </w:numPr>
                              <w:spacing w:after="120" w:line="240" w:lineRule="auto"/>
                              <w:rPr>
                                <w:b/>
                                <w:color w:val="FFFFFF" w:themeColor="background1"/>
                              </w:rPr>
                            </w:pPr>
                            <w:r w:rsidRPr="000B673E">
                              <w:rPr>
                                <w:b/>
                                <w:color w:val="FFFFFF" w:themeColor="background1"/>
                              </w:rPr>
                              <w:t>South East Water has delivered agreed outcomes for the 2018–23 period to a high standard.</w:t>
                            </w:r>
                          </w:p>
                          <w:p w14:paraId="2B5DF2AD" w14:textId="71945AB0" w:rsidR="0069477C" w:rsidRPr="000B673E" w:rsidRDefault="0069477C">
                            <w:pPr>
                              <w:pStyle w:val="Bulletlistmultilevel"/>
                              <w:numPr>
                                <w:ilvl w:val="0"/>
                                <w:numId w:val="46"/>
                              </w:numPr>
                              <w:spacing w:after="120" w:line="240" w:lineRule="auto"/>
                              <w:rPr>
                                <w:b/>
                                <w:color w:val="FFFFFF" w:themeColor="background1"/>
                              </w:rPr>
                            </w:pPr>
                            <w:r w:rsidRPr="000B673E">
                              <w:rPr>
                                <w:b/>
                                <w:color w:val="FFFFFF" w:themeColor="background1"/>
                              </w:rPr>
                              <w:t>This is reflected in high levels of customer satisfaction expressed in the surveys conducted by the ESC and South East Water.</w:t>
                            </w:r>
                          </w:p>
                          <w:p w14:paraId="4E339809" w14:textId="31CB9EDE" w:rsidR="0069477C" w:rsidRPr="000B673E" w:rsidRDefault="0069477C">
                            <w:pPr>
                              <w:pStyle w:val="Bulletlistmultilevel"/>
                              <w:numPr>
                                <w:ilvl w:val="0"/>
                                <w:numId w:val="46"/>
                              </w:numPr>
                              <w:spacing w:after="120" w:line="240" w:lineRule="auto"/>
                              <w:rPr>
                                <w:b/>
                                <w:color w:val="FFFFFF" w:themeColor="background1"/>
                              </w:rPr>
                            </w:pPr>
                            <w:r w:rsidRPr="000B673E">
                              <w:rPr>
                                <w:b/>
                                <w:color w:val="FFFFFF" w:themeColor="background1"/>
                              </w:rPr>
                              <w:t xml:space="preserve">There has been some variation from benchmark expenditure allowances in the current regulatory period, which are largely </w:t>
                            </w:r>
                            <w:r w:rsidR="00C234D7">
                              <w:rPr>
                                <w:b/>
                                <w:color w:val="FFFFFF" w:themeColor="background1"/>
                              </w:rPr>
                              <w:t>associated</w:t>
                            </w:r>
                            <w:r w:rsidRPr="000B673E">
                              <w:rPr>
                                <w:b/>
                                <w:color w:val="FFFFFF" w:themeColor="background1"/>
                              </w:rPr>
                              <w:t xml:space="preserve"> with factors outside of our control. </w:t>
                            </w:r>
                          </w:p>
                          <w:p w14:paraId="2C5C6C29" w14:textId="5EB963A2" w:rsidR="0069477C" w:rsidRPr="000B673E" w:rsidRDefault="0069477C">
                            <w:pPr>
                              <w:pStyle w:val="Bulletlistmultilevel"/>
                              <w:numPr>
                                <w:ilvl w:val="0"/>
                                <w:numId w:val="46"/>
                              </w:numPr>
                              <w:spacing w:after="120" w:line="240" w:lineRule="auto"/>
                              <w:rPr>
                                <w:b/>
                                <w:color w:val="FFFFFF" w:themeColor="background1"/>
                              </w:rPr>
                            </w:pPr>
                            <w:r w:rsidRPr="000B673E">
                              <w:rPr>
                                <w:b/>
                                <w:color w:val="FFFFFF" w:themeColor="background1"/>
                              </w:rPr>
                              <w:t>Our</w:t>
                            </w:r>
                            <w:r w:rsidRPr="000B673E" w:rsidDel="00157B34">
                              <w:rPr>
                                <w:b/>
                                <w:color w:val="FFFFFF" w:themeColor="background1"/>
                              </w:rPr>
                              <w:t xml:space="preserve"> </w:t>
                            </w:r>
                            <w:r w:rsidRPr="000B673E">
                              <w:rPr>
                                <w:b/>
                                <w:color w:val="FFFFFF" w:themeColor="background1"/>
                              </w:rPr>
                              <w:t>PREMO self-assessed rating for Performance is Confident overall performance is</w:t>
                            </w:r>
                            <w:r w:rsidRPr="000B673E">
                              <w:rPr>
                                <w:b/>
                                <w:i/>
                                <w:color w:val="FFFFFF" w:themeColor="background1"/>
                              </w:rPr>
                              <w:t xml:space="preserve"> ‘Advanced’</w:t>
                            </w:r>
                            <w:r w:rsidRPr="000B673E">
                              <w:rPr>
                                <w:b/>
                                <w:color w:val="FFFFFF" w:themeColor="background1"/>
                              </w:rPr>
                              <w:t>.</w:t>
                            </w:r>
                          </w:p>
                        </w:txbxContent>
                      </wps:txbx>
                      <wps:bodyPr rot="0" vert="horz" wrap="square" lIns="180000" tIns="180000" rIns="180000" bIns="180000" anchor="t" anchorCtr="0">
                        <a:noAutofit/>
                      </wps:bodyPr>
                    </wps:wsp>
                  </a:graphicData>
                </a:graphic>
                <wp14:sizeRelH relativeFrom="margin">
                  <wp14:pctWidth>0</wp14:pctWidth>
                </wp14:sizeRelH>
                <wp14:sizeRelV relativeFrom="margin">
                  <wp14:pctHeight>0</wp14:pctHeight>
                </wp14:sizeRelV>
              </wp:anchor>
            </w:drawing>
          </mc:Choice>
          <mc:Fallback>
            <w:pict>
              <v:shape w14:anchorId="49285B3E" id="Text Box 492" o:spid="_x0000_s1031" type="#_x0000_t202" style="position:absolute;left:0;text-align:left;margin-left:-2pt;margin-top:50.5pt;width:484.2pt;height:199.75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" fillcolor="#00b1f4" stroked="f">
                <v:textbox inset="5mm,5mm,5mm,5mm">
                  <w:txbxContent>
                    <w:p w14:paraId="6F9E11A9" w14:textId="77777777" w:rsidR="0069477C" w:rsidRPr="00116E55" w:rsidRDefault="0069477C" w:rsidP="00116E55">
                      <w:pPr>
                        <w:pStyle w:val="Heading3"/>
                        <w:spacing w:before="0" w:after="240"/>
                        <w:rPr>
                          <w:color w:val="FFFFFF" w:themeColor="background1"/>
                          <w:sz w:val="24"/>
                        </w:rPr>
                      </w:pPr>
                      <w:r w:rsidRPr="00116E55">
                        <w:rPr>
                          <w:color w:val="FFFFFF" w:themeColor="background1"/>
                          <w:sz w:val="24"/>
                        </w:rPr>
                        <w:t>Key points</w:t>
                      </w:r>
                    </w:p>
                    <w:p w14:paraId="1E18756F" w14:textId="1B0A2C2C" w:rsidR="0069477C" w:rsidRPr="000B673E" w:rsidRDefault="0069477C">
                      <w:pPr>
                        <w:pStyle w:val="Bulletlistmultilevel"/>
                        <w:numPr>
                          <w:ilvl w:val="0"/>
                          <w:numId w:val="46"/>
                        </w:numPr>
                        <w:spacing w:after="120" w:line="240" w:lineRule="auto"/>
                        <w:rPr>
                          <w:b/>
                          <w:color w:val="FFFFFF" w:themeColor="background1"/>
                        </w:rPr>
                      </w:pPr>
                      <w:proofErr w:type="gramStart"/>
                      <w:r w:rsidRPr="000B673E">
                        <w:rPr>
                          <w:b/>
                          <w:color w:val="FFFFFF" w:themeColor="background1"/>
                        </w:rPr>
                        <w:t>South East</w:t>
                      </w:r>
                      <w:proofErr w:type="gramEnd"/>
                      <w:r w:rsidRPr="000B673E">
                        <w:rPr>
                          <w:b/>
                          <w:color w:val="FFFFFF" w:themeColor="background1"/>
                        </w:rPr>
                        <w:t xml:space="preserve"> Water has delivered agreed outcomes for the 2018–23 period to a high standard.</w:t>
                      </w:r>
                    </w:p>
                    <w:p w14:paraId="2B5DF2AD" w14:textId="71945AB0" w:rsidR="0069477C" w:rsidRPr="000B673E" w:rsidRDefault="0069477C">
                      <w:pPr>
                        <w:pStyle w:val="Bulletlistmultilevel"/>
                        <w:numPr>
                          <w:ilvl w:val="0"/>
                          <w:numId w:val="46"/>
                        </w:numPr>
                        <w:spacing w:after="120" w:line="240" w:lineRule="auto"/>
                        <w:rPr>
                          <w:b/>
                          <w:color w:val="FFFFFF" w:themeColor="background1"/>
                        </w:rPr>
                      </w:pPr>
                      <w:r w:rsidRPr="000B673E">
                        <w:rPr>
                          <w:b/>
                          <w:color w:val="FFFFFF" w:themeColor="background1"/>
                        </w:rPr>
                        <w:t xml:space="preserve">This is reflected in high levels of customer satisfaction expressed in the surveys conducted by the ESC and </w:t>
                      </w:r>
                      <w:proofErr w:type="gramStart"/>
                      <w:r w:rsidRPr="000B673E">
                        <w:rPr>
                          <w:b/>
                          <w:color w:val="FFFFFF" w:themeColor="background1"/>
                        </w:rPr>
                        <w:t>South East</w:t>
                      </w:r>
                      <w:proofErr w:type="gramEnd"/>
                      <w:r w:rsidRPr="000B673E">
                        <w:rPr>
                          <w:b/>
                          <w:color w:val="FFFFFF" w:themeColor="background1"/>
                        </w:rPr>
                        <w:t xml:space="preserve"> Water.</w:t>
                      </w:r>
                    </w:p>
                    <w:p w14:paraId="4E339809" w14:textId="31CB9EDE" w:rsidR="0069477C" w:rsidRPr="000B673E" w:rsidRDefault="0069477C">
                      <w:pPr>
                        <w:pStyle w:val="Bulletlistmultilevel"/>
                        <w:numPr>
                          <w:ilvl w:val="0"/>
                          <w:numId w:val="46"/>
                        </w:numPr>
                        <w:spacing w:after="120" w:line="240" w:lineRule="auto"/>
                        <w:rPr>
                          <w:b/>
                          <w:color w:val="FFFFFF" w:themeColor="background1"/>
                        </w:rPr>
                      </w:pPr>
                      <w:r w:rsidRPr="000B673E">
                        <w:rPr>
                          <w:b/>
                          <w:color w:val="FFFFFF" w:themeColor="background1"/>
                        </w:rPr>
                        <w:t xml:space="preserve">There has been some variation from benchmark expenditure allowances in the current regulatory period, which are largely </w:t>
                      </w:r>
                      <w:r w:rsidR="00C234D7">
                        <w:rPr>
                          <w:b/>
                          <w:color w:val="FFFFFF" w:themeColor="background1"/>
                        </w:rPr>
                        <w:t>associated</w:t>
                      </w:r>
                      <w:r w:rsidRPr="000B673E">
                        <w:rPr>
                          <w:b/>
                          <w:color w:val="FFFFFF" w:themeColor="background1"/>
                        </w:rPr>
                        <w:t xml:space="preserve"> with factors outside of our control. </w:t>
                      </w:r>
                    </w:p>
                    <w:p w14:paraId="2C5C6C29" w14:textId="5EB963A2" w:rsidR="0069477C" w:rsidRPr="000B673E" w:rsidRDefault="0069477C">
                      <w:pPr>
                        <w:pStyle w:val="Bulletlistmultilevel"/>
                        <w:numPr>
                          <w:ilvl w:val="0"/>
                          <w:numId w:val="46"/>
                        </w:numPr>
                        <w:spacing w:after="120" w:line="240" w:lineRule="auto"/>
                        <w:rPr>
                          <w:b/>
                          <w:color w:val="FFFFFF" w:themeColor="background1"/>
                        </w:rPr>
                      </w:pPr>
                      <w:r w:rsidRPr="000B673E">
                        <w:rPr>
                          <w:b/>
                          <w:color w:val="FFFFFF" w:themeColor="background1"/>
                        </w:rPr>
                        <w:t>Our</w:t>
                      </w:r>
                      <w:r w:rsidRPr="000B673E" w:rsidDel="00157B34">
                        <w:rPr>
                          <w:b/>
                          <w:color w:val="FFFFFF" w:themeColor="background1"/>
                        </w:rPr>
                        <w:t xml:space="preserve"> </w:t>
                      </w:r>
                      <w:r w:rsidRPr="000B673E">
                        <w:rPr>
                          <w:b/>
                          <w:color w:val="FFFFFF" w:themeColor="background1"/>
                        </w:rPr>
                        <w:t>PREMO self-assessed rating for Performance is Confident overall performance is</w:t>
                      </w:r>
                      <w:r w:rsidRPr="000B673E">
                        <w:rPr>
                          <w:b/>
                          <w:i/>
                          <w:color w:val="FFFFFF" w:themeColor="background1"/>
                        </w:rPr>
                        <w:t xml:space="preserve"> ‘Advanced’</w:t>
                      </w:r>
                      <w:r w:rsidRPr="000B673E">
                        <w:rPr>
                          <w:b/>
                          <w:color w:val="FFFFFF" w:themeColor="background1"/>
                        </w:rPr>
                        <w:t>.</w:t>
                      </w:r>
                    </w:p>
                  </w:txbxContent>
                </v:textbox>
                <w10:wrap type="square"/>
              </v:shape>
            </w:pict>
          </mc:Fallback>
        </mc:AlternateContent>
      </w:r>
      <w:r w:rsidR="007D2B33">
        <w:t>Performance</w:t>
      </w:r>
      <w:bookmarkEnd w:id="18"/>
      <w:bookmarkEnd w:id="19"/>
    </w:p>
    <w:p w14:paraId="5B562FD9" w14:textId="072C8A29" w:rsidR="00870684" w:rsidRDefault="00870684" w:rsidP="00870684"/>
    <w:p w14:paraId="69243587" w14:textId="77777777" w:rsidR="00946355" w:rsidRDefault="00946355" w:rsidP="00870684">
      <w:pPr>
        <w:sectPr w:rsidR="00946355" w:rsidSect="0020365D">
          <w:type w:val="continuous"/>
          <w:pgSz w:w="11906" w:h="16838"/>
          <w:pgMar w:top="1134" w:right="1440" w:bottom="1440" w:left="873" w:header="992" w:footer="204" w:gutter="0"/>
          <w:cols w:space="708"/>
          <w:docGrid w:linePitch="360"/>
        </w:sectPr>
      </w:pPr>
    </w:p>
    <w:p w14:paraId="23AD4164" w14:textId="0702F78A" w:rsidR="00870684" w:rsidDel="00203321" w:rsidRDefault="00870684" w:rsidP="00870684">
      <w:r w:rsidDel="00203321">
        <w:t xml:space="preserve">This </w:t>
      </w:r>
      <w:r w:rsidRPr="00CB0971" w:rsidDel="00203321">
        <w:rPr>
          <w:b/>
          <w:bCs/>
        </w:rPr>
        <w:t xml:space="preserve">Performance </w:t>
      </w:r>
      <w:r w:rsidDel="00203321">
        <w:t xml:space="preserve">element of the price submission reports on our performance delivering key services and outcomes during the current </w:t>
      </w:r>
      <w:r w:rsidRPr="00A6353C" w:rsidDel="00203321">
        <w:t>2018</w:t>
      </w:r>
      <w:r w:rsidR="007D4EB3">
        <w:t>–</w:t>
      </w:r>
      <w:r w:rsidRPr="00A6353C" w:rsidDel="00203321">
        <w:t>23</w:t>
      </w:r>
      <w:r w:rsidDel="00203321">
        <w:t xml:space="preserve"> regulatory period.</w:t>
      </w:r>
    </w:p>
    <w:p w14:paraId="149EF034" w14:textId="4D383179" w:rsidR="00B71E70" w:rsidRDefault="00870684" w:rsidP="00870684">
      <w:r>
        <w:t>South East Water has developed a comprehensive performance assessment framework that converts performance into a scoring system consistent with the ESC</w:t>
      </w:r>
      <w:r w:rsidR="00612583">
        <w:t>’</w:t>
      </w:r>
      <w:r>
        <w:t>s scoring methodology</w:t>
      </w:r>
      <w:r w:rsidRPr="00C34011">
        <w:t>.</w:t>
      </w:r>
      <w:r w:rsidRPr="00C34011">
        <w:rPr>
          <w:rStyle w:val="FootnoteReference"/>
          <w:color w:val="auto"/>
        </w:rPr>
        <w:footnoteReference w:id="3"/>
      </w:r>
      <w:r w:rsidRPr="00C34011">
        <w:t xml:space="preserve"> </w:t>
      </w:r>
      <w:r w:rsidR="00A62FFE">
        <w:t xml:space="preserve">The </w:t>
      </w:r>
      <w:r w:rsidR="002130E7">
        <w:t>assessment</w:t>
      </w:r>
      <w:r w:rsidR="00A62FFE">
        <w:t xml:space="preserve"> </w:t>
      </w:r>
      <w:r w:rsidR="003D752B">
        <w:t>framework</w:t>
      </w:r>
      <w:r w:rsidR="007D4334">
        <w:t xml:space="preserve"> has</w:t>
      </w:r>
      <w:r w:rsidR="003D752B">
        <w:t xml:space="preserve"> inform</w:t>
      </w:r>
      <w:r w:rsidR="005F4DC1">
        <w:t xml:space="preserve">ed our self-assessment of the </w:t>
      </w:r>
      <w:r w:rsidR="00B46757">
        <w:t xml:space="preserve">performance or </w:t>
      </w:r>
      <w:r w:rsidR="00612583">
        <w:t>‘</w:t>
      </w:r>
      <w:r w:rsidR="00967473">
        <w:t>P</w:t>
      </w:r>
      <w:r w:rsidR="00612583">
        <w:t>’</w:t>
      </w:r>
      <w:r w:rsidR="00967473">
        <w:t xml:space="preserve"> element of </w:t>
      </w:r>
      <w:r w:rsidR="003D752B">
        <w:t>PREMO</w:t>
      </w:r>
      <w:r w:rsidR="00967473">
        <w:t>.</w:t>
      </w:r>
    </w:p>
    <w:p w14:paraId="48B24C21" w14:textId="79A03561" w:rsidR="00870684" w:rsidRDefault="00560B8C" w:rsidP="00870684">
      <w:r>
        <w:t>We undertook</w:t>
      </w:r>
      <w:r w:rsidR="00F60E67">
        <w:t xml:space="preserve"> the</w:t>
      </w:r>
      <w:r>
        <w:t xml:space="preserve"> d</w:t>
      </w:r>
      <w:r w:rsidR="00870684">
        <w:t xml:space="preserve">esign of the performance assessment framework with </w:t>
      </w:r>
      <w:r w:rsidR="00CF281B">
        <w:t xml:space="preserve">our </w:t>
      </w:r>
      <w:r w:rsidR="00870684">
        <w:t>C</w:t>
      </w:r>
      <w:r w:rsidR="00870684" w:rsidRPr="005D4B2F">
        <w:t xml:space="preserve">ustomer </w:t>
      </w:r>
      <w:r w:rsidR="00870684">
        <w:t>and Community A</w:t>
      </w:r>
      <w:r w:rsidR="00870684" w:rsidRPr="005D4B2F">
        <w:t xml:space="preserve">dvisory </w:t>
      </w:r>
      <w:r w:rsidR="00870684">
        <w:t>C</w:t>
      </w:r>
      <w:r w:rsidR="00870684" w:rsidRPr="005D4B2F">
        <w:t>ouncil</w:t>
      </w:r>
      <w:r w:rsidR="00CF281B">
        <w:t xml:space="preserve"> (CCAC)</w:t>
      </w:r>
      <w:r w:rsidR="00870684" w:rsidRPr="005D4B2F">
        <w:t xml:space="preserve">, </w:t>
      </w:r>
      <w:r w:rsidR="00CA7188">
        <w:t>E</w:t>
      </w:r>
      <w:r w:rsidR="00870684" w:rsidRPr="005D4B2F">
        <w:t xml:space="preserve">xecutive </w:t>
      </w:r>
      <w:r w:rsidR="00B13C9B">
        <w:t xml:space="preserve">team </w:t>
      </w:r>
      <w:r w:rsidR="00870684" w:rsidRPr="005D4B2F">
        <w:t xml:space="preserve">and </w:t>
      </w:r>
      <w:r w:rsidR="00C249F9">
        <w:t>b</w:t>
      </w:r>
      <w:r w:rsidR="00870684" w:rsidRPr="005D4B2F">
        <w:t>oard</w:t>
      </w:r>
      <w:r w:rsidR="00870684">
        <w:t>.</w:t>
      </w:r>
      <w:r w:rsidR="00623B21">
        <w:t xml:space="preserve"> </w:t>
      </w:r>
    </w:p>
    <w:p w14:paraId="7B1F6DAB" w14:textId="1862DBC4" w:rsidR="00870684" w:rsidRDefault="00870684" w:rsidP="00870684">
      <w:r>
        <w:t>In line with the ESC</w:t>
      </w:r>
      <w:r w:rsidR="00612583">
        <w:t>’</w:t>
      </w:r>
      <w:r>
        <w:t xml:space="preserve">s guidance, </w:t>
      </w:r>
      <w:r w:rsidR="002D3A4A">
        <w:t>our</w:t>
      </w:r>
      <w:r>
        <w:t xml:space="preserve"> assessment framework measures performance in the current regulatory period </w:t>
      </w:r>
      <w:r w:rsidR="002A0494">
        <w:t xml:space="preserve">in </w:t>
      </w:r>
      <w:r>
        <w:t>terms of:</w:t>
      </w:r>
    </w:p>
    <w:p w14:paraId="7FBF3799" w14:textId="275EC6B0" w:rsidR="00870684" w:rsidRPr="009522CF" w:rsidRDefault="006F0607">
      <w:pPr>
        <w:pStyle w:val="Bulletlistmultilevel"/>
        <w:numPr>
          <w:ilvl w:val="0"/>
          <w:numId w:val="47"/>
        </w:numPr>
        <w:rPr>
          <w:sz w:val="24"/>
          <w:szCs w:val="24"/>
        </w:rPr>
      </w:pPr>
      <w:r>
        <w:rPr>
          <w:sz w:val="24"/>
          <w:szCs w:val="24"/>
        </w:rPr>
        <w:t>d</w:t>
      </w:r>
      <w:r w:rsidR="00870684" w:rsidRPr="009522CF">
        <w:rPr>
          <w:sz w:val="24"/>
          <w:szCs w:val="24"/>
        </w:rPr>
        <w:t xml:space="preserve">elivering the </w:t>
      </w:r>
      <w:r>
        <w:rPr>
          <w:sz w:val="24"/>
          <w:szCs w:val="24"/>
        </w:rPr>
        <w:t xml:space="preserve">5 </w:t>
      </w:r>
      <w:r w:rsidR="00870684" w:rsidRPr="009522CF">
        <w:rPr>
          <w:sz w:val="24"/>
          <w:szCs w:val="24"/>
        </w:rPr>
        <w:t>customer service outcomes agreed with customers</w:t>
      </w:r>
    </w:p>
    <w:p w14:paraId="65C4D9CC" w14:textId="0718AC80" w:rsidR="00870684" w:rsidRPr="009522CF" w:rsidRDefault="00601E4F">
      <w:pPr>
        <w:pStyle w:val="Bulletlistmultilevel"/>
        <w:numPr>
          <w:ilvl w:val="0"/>
          <w:numId w:val="47"/>
        </w:numPr>
        <w:rPr>
          <w:sz w:val="24"/>
          <w:szCs w:val="24"/>
        </w:rPr>
      </w:pPr>
      <w:r>
        <w:rPr>
          <w:sz w:val="24"/>
          <w:szCs w:val="24"/>
        </w:rPr>
        <w:t xml:space="preserve">delivering prudent and efficient expenditure outcomes </w:t>
      </w:r>
      <w:r w:rsidR="007D4334">
        <w:rPr>
          <w:sz w:val="24"/>
          <w:szCs w:val="24"/>
        </w:rPr>
        <w:t>and explaining</w:t>
      </w:r>
      <w:r>
        <w:rPr>
          <w:sz w:val="24"/>
          <w:szCs w:val="24"/>
        </w:rPr>
        <w:t xml:space="preserve"> departures from</w:t>
      </w:r>
      <w:r w:rsidR="00870684" w:rsidRPr="009522CF">
        <w:rPr>
          <w:sz w:val="24"/>
          <w:szCs w:val="24"/>
        </w:rPr>
        <w:t xml:space="preserve"> the </w:t>
      </w:r>
      <w:r w:rsidR="00F83F78">
        <w:rPr>
          <w:sz w:val="24"/>
          <w:szCs w:val="24"/>
        </w:rPr>
        <w:t>benchmark</w:t>
      </w:r>
      <w:r>
        <w:rPr>
          <w:sz w:val="24"/>
          <w:szCs w:val="24"/>
        </w:rPr>
        <w:t xml:space="preserve"> </w:t>
      </w:r>
      <w:r>
        <w:rPr>
          <w:sz w:val="24"/>
          <w:szCs w:val="24"/>
        </w:rPr>
        <w:t>expenditure</w:t>
      </w:r>
      <w:r w:rsidR="00F83F78">
        <w:rPr>
          <w:sz w:val="24"/>
          <w:szCs w:val="24"/>
        </w:rPr>
        <w:t xml:space="preserve"> </w:t>
      </w:r>
      <w:r w:rsidR="00870684" w:rsidRPr="009522CF">
        <w:rPr>
          <w:sz w:val="24"/>
          <w:szCs w:val="24"/>
        </w:rPr>
        <w:t>allowances set for the period</w:t>
      </w:r>
      <w:r>
        <w:rPr>
          <w:sz w:val="24"/>
          <w:szCs w:val="24"/>
        </w:rPr>
        <w:t xml:space="preserve"> (for </w:t>
      </w:r>
      <w:r w:rsidR="00870684">
        <w:rPr>
          <w:sz w:val="24"/>
          <w:szCs w:val="24"/>
        </w:rPr>
        <w:t xml:space="preserve">controllable </w:t>
      </w:r>
      <w:r w:rsidR="009A0667">
        <w:rPr>
          <w:sz w:val="24"/>
          <w:szCs w:val="24"/>
        </w:rPr>
        <w:t>operati</w:t>
      </w:r>
      <w:r w:rsidR="0074523F">
        <w:rPr>
          <w:sz w:val="24"/>
          <w:szCs w:val="24"/>
        </w:rPr>
        <w:t xml:space="preserve">ng expenditure, capital expenditure </w:t>
      </w:r>
      <w:r w:rsidR="00870684">
        <w:rPr>
          <w:sz w:val="24"/>
          <w:szCs w:val="24"/>
        </w:rPr>
        <w:t>and</w:t>
      </w:r>
      <w:r w:rsidR="00870684" w:rsidRPr="009522CF">
        <w:rPr>
          <w:sz w:val="24"/>
          <w:szCs w:val="24"/>
        </w:rPr>
        <w:t xml:space="preserve"> delivery of major</w:t>
      </w:r>
      <w:r w:rsidR="004E7BEE">
        <w:rPr>
          <w:sz w:val="24"/>
          <w:szCs w:val="24"/>
        </w:rPr>
        <w:t xml:space="preserve"> capital</w:t>
      </w:r>
      <w:r w:rsidR="00870684" w:rsidRPr="009522CF">
        <w:rPr>
          <w:sz w:val="24"/>
          <w:szCs w:val="24"/>
        </w:rPr>
        <w:t xml:space="preserve"> projects</w:t>
      </w:r>
      <w:r>
        <w:rPr>
          <w:sz w:val="24"/>
          <w:szCs w:val="24"/>
        </w:rPr>
        <w:t>)</w:t>
      </w:r>
    </w:p>
    <w:p w14:paraId="4BE452A2" w14:textId="5C45CF09" w:rsidR="00870684" w:rsidRPr="002024B1" w:rsidRDefault="00B13C9B">
      <w:pPr>
        <w:pStyle w:val="Bulletlistmultilevel"/>
        <w:numPr>
          <w:ilvl w:val="0"/>
          <w:numId w:val="47"/>
        </w:numPr>
        <w:rPr>
          <w:sz w:val="24"/>
          <w:szCs w:val="24"/>
        </w:rPr>
      </w:pPr>
      <w:r>
        <w:rPr>
          <w:sz w:val="24"/>
          <w:szCs w:val="24"/>
        </w:rPr>
        <w:t>c</w:t>
      </w:r>
      <w:r w:rsidR="00870684">
        <w:rPr>
          <w:sz w:val="24"/>
          <w:szCs w:val="24"/>
        </w:rPr>
        <w:t>ustomer satisfaction outcomes achieved.</w:t>
      </w:r>
    </w:p>
    <w:p w14:paraId="1142DD6E" w14:textId="01E7F76D" w:rsidR="00870684" w:rsidRPr="00C838B7" w:rsidRDefault="00870684" w:rsidP="00870684">
      <w:r>
        <w:t xml:space="preserve">Detail on the performance assessment framework and performance outcomes </w:t>
      </w:r>
      <w:r w:rsidR="002F49D6">
        <w:br/>
      </w:r>
      <w:r>
        <w:t xml:space="preserve">is provided in </w:t>
      </w:r>
      <w:r w:rsidR="0006702C">
        <w:t>our</w:t>
      </w:r>
      <w:r w:rsidR="00E8009E">
        <w:t xml:space="preserve"> </w:t>
      </w:r>
      <w:r w:rsidR="00E8009E" w:rsidRPr="00116E55">
        <w:t xml:space="preserve">Performance </w:t>
      </w:r>
      <w:r w:rsidR="008F5743" w:rsidRPr="00116E55">
        <w:t>Self-Assessment</w:t>
      </w:r>
      <w:r w:rsidR="00E8009E" w:rsidRPr="00116E55">
        <w:t xml:space="preserve"> Framework</w:t>
      </w:r>
      <w:r w:rsidR="00ED0873">
        <w:rPr>
          <w:i/>
          <w:iCs/>
        </w:rPr>
        <w:t xml:space="preserve"> </w:t>
      </w:r>
      <w:r w:rsidR="00ED0873" w:rsidRPr="003A0520">
        <w:t>(Appendix</w:t>
      </w:r>
      <w:r w:rsidR="004255DC" w:rsidRPr="003A0520">
        <w:t xml:space="preserve"> 3)</w:t>
      </w:r>
      <w:r w:rsidRPr="003A0520">
        <w:t>.</w:t>
      </w:r>
      <w:r>
        <w:t xml:space="preserve"> </w:t>
      </w:r>
    </w:p>
    <w:p w14:paraId="4D3590DD" w14:textId="2D32A370" w:rsidR="00870684" w:rsidRPr="00912077" w:rsidRDefault="00C52151" w:rsidP="008E132A">
      <w:pPr>
        <w:pStyle w:val="Heading2"/>
      </w:pPr>
      <w:bookmarkStart w:id="20" w:name="_Toc103770905"/>
      <w:r>
        <w:t xml:space="preserve">1.1 </w:t>
      </w:r>
      <w:r w:rsidR="00870684" w:rsidRPr="00912077">
        <w:t>Performance delivering outcomes</w:t>
      </w:r>
      <w:bookmarkEnd w:id="20"/>
    </w:p>
    <w:p w14:paraId="43400032" w14:textId="17DF0DC7" w:rsidR="00AF66CF" w:rsidRDefault="00870684" w:rsidP="00870684">
      <w:r>
        <w:t xml:space="preserve">For the current </w:t>
      </w:r>
      <w:r w:rsidRPr="000B38E3">
        <w:t>2018</w:t>
      </w:r>
      <w:r w:rsidR="007D4EB3">
        <w:t>–</w:t>
      </w:r>
      <w:r w:rsidRPr="000B38E3">
        <w:t>23</w:t>
      </w:r>
      <w:r>
        <w:t xml:space="preserve"> regulatory period, South East Water agreed with customers that </w:t>
      </w:r>
      <w:r w:rsidR="00B17FF8">
        <w:t xml:space="preserve">we </w:t>
      </w:r>
      <w:r>
        <w:t xml:space="preserve">would deliver </w:t>
      </w:r>
      <w:r w:rsidR="00AA3218">
        <w:t xml:space="preserve">on </w:t>
      </w:r>
      <w:r w:rsidR="00B17FF8">
        <w:t xml:space="preserve">5 </w:t>
      </w:r>
      <w:r>
        <w:t>outcomes</w:t>
      </w:r>
      <w:r w:rsidR="00CA4F11">
        <w:t xml:space="preserve">: </w:t>
      </w:r>
    </w:p>
    <w:p w14:paraId="7BD6B287" w14:textId="44CF610F" w:rsidR="00AF66CF" w:rsidRPr="000F300E" w:rsidRDefault="00ED2C08">
      <w:pPr>
        <w:pStyle w:val="ListParagraph"/>
        <w:numPr>
          <w:ilvl w:val="0"/>
          <w:numId w:val="23"/>
        </w:numPr>
        <w:ind w:left="426"/>
        <w:rPr>
          <w:b/>
          <w:bCs/>
        </w:rPr>
      </w:pPr>
      <w:r w:rsidRPr="00B0330A">
        <w:rPr>
          <w:b/>
          <w:i/>
        </w:rPr>
        <w:t>Get the basic</w:t>
      </w:r>
      <w:r w:rsidR="004C3678">
        <w:rPr>
          <w:b/>
          <w:i/>
        </w:rPr>
        <w:t>s</w:t>
      </w:r>
      <w:r w:rsidRPr="00B0330A">
        <w:rPr>
          <w:b/>
          <w:i/>
        </w:rPr>
        <w:t xml:space="preserve"> right, always:</w:t>
      </w:r>
      <w:r w:rsidR="00A07E6C" w:rsidRPr="000F300E">
        <w:rPr>
          <w:b/>
          <w:bCs/>
        </w:rPr>
        <w:t xml:space="preserve"> </w:t>
      </w:r>
      <w:r w:rsidR="00B50269" w:rsidRPr="000F300E">
        <w:t>delivering</w:t>
      </w:r>
      <w:r w:rsidR="0084289D" w:rsidRPr="000F300E">
        <w:t xml:space="preserve"> service quality outcomes </w:t>
      </w:r>
      <w:r w:rsidR="00F6749E">
        <w:br/>
      </w:r>
      <w:r w:rsidR="0084289D" w:rsidRPr="000F300E">
        <w:t>to customers</w:t>
      </w:r>
      <w:r w:rsidR="00FC631E" w:rsidRPr="000F300E">
        <w:t>.</w:t>
      </w:r>
    </w:p>
    <w:p w14:paraId="720672D0" w14:textId="6B40A188" w:rsidR="00FC631E" w:rsidRPr="000F300E" w:rsidRDefault="00FC631E">
      <w:pPr>
        <w:pStyle w:val="ListParagraph"/>
        <w:numPr>
          <w:ilvl w:val="0"/>
          <w:numId w:val="23"/>
        </w:numPr>
        <w:ind w:left="426"/>
        <w:rPr>
          <w:b/>
          <w:bCs/>
        </w:rPr>
      </w:pPr>
      <w:r w:rsidRPr="00B0330A">
        <w:rPr>
          <w:b/>
          <w:i/>
        </w:rPr>
        <w:t xml:space="preserve">Warn </w:t>
      </w:r>
      <w:r w:rsidR="001206B4" w:rsidRPr="00B0330A">
        <w:rPr>
          <w:b/>
          <w:i/>
        </w:rPr>
        <w:t>me, inform me:</w:t>
      </w:r>
      <w:r w:rsidR="001206B4" w:rsidRPr="000F300E">
        <w:rPr>
          <w:b/>
          <w:bCs/>
        </w:rPr>
        <w:t xml:space="preserve"> </w:t>
      </w:r>
      <w:r w:rsidR="00B50269" w:rsidRPr="000F300E">
        <w:t xml:space="preserve">delivering </w:t>
      </w:r>
      <w:r w:rsidR="00EE3F74" w:rsidRPr="000F300E">
        <w:t xml:space="preserve">outcomes that keep customers well informed during </w:t>
      </w:r>
      <w:r w:rsidR="009219C9" w:rsidRPr="000F300E">
        <w:t>service interruptions.</w:t>
      </w:r>
    </w:p>
    <w:p w14:paraId="38B3F88F" w14:textId="090DA76D" w:rsidR="009219C9" w:rsidRPr="000F300E" w:rsidRDefault="00C30D8C">
      <w:pPr>
        <w:pStyle w:val="ListParagraph"/>
        <w:numPr>
          <w:ilvl w:val="0"/>
          <w:numId w:val="23"/>
        </w:numPr>
        <w:ind w:left="426"/>
        <w:rPr>
          <w:b/>
          <w:bCs/>
        </w:rPr>
      </w:pPr>
      <w:r w:rsidRPr="00B0330A">
        <w:rPr>
          <w:b/>
          <w:i/>
        </w:rPr>
        <w:t>Fair and affordable for all:</w:t>
      </w:r>
      <w:r w:rsidRPr="000F300E">
        <w:rPr>
          <w:b/>
          <w:bCs/>
        </w:rPr>
        <w:t xml:space="preserve"> </w:t>
      </w:r>
      <w:r w:rsidR="00B50269" w:rsidRPr="000F300E">
        <w:t xml:space="preserve">delivering </w:t>
      </w:r>
      <w:r w:rsidR="00EA509D" w:rsidRPr="000F300E">
        <w:t>efficient operating cost outcomes and support for vulnerable customers.</w:t>
      </w:r>
    </w:p>
    <w:p w14:paraId="2A5ABB06" w14:textId="6B0A937E" w:rsidR="002042D3" w:rsidRPr="000F300E" w:rsidRDefault="002042D3">
      <w:pPr>
        <w:pStyle w:val="ListParagraph"/>
        <w:numPr>
          <w:ilvl w:val="0"/>
          <w:numId w:val="23"/>
        </w:numPr>
        <w:ind w:left="426"/>
        <w:rPr>
          <w:b/>
          <w:bCs/>
        </w:rPr>
      </w:pPr>
      <w:r w:rsidRPr="00B0330A">
        <w:rPr>
          <w:b/>
          <w:i/>
        </w:rPr>
        <w:lastRenderedPageBreak/>
        <w:t>Make my experience better</w:t>
      </w:r>
      <w:r w:rsidRPr="000F300E">
        <w:rPr>
          <w:b/>
          <w:bCs/>
        </w:rPr>
        <w:t xml:space="preserve">: </w:t>
      </w:r>
      <w:r w:rsidR="00B50269" w:rsidRPr="000F300E">
        <w:t xml:space="preserve">delivering </w:t>
      </w:r>
      <w:r w:rsidR="00D97B29" w:rsidRPr="000F300E">
        <w:t>outcomes to support</w:t>
      </w:r>
      <w:r w:rsidR="0060355F" w:rsidRPr="000F300E">
        <w:t xml:space="preserve"> customer </w:t>
      </w:r>
      <w:r w:rsidR="00D97B29" w:rsidRPr="000F300E">
        <w:t>satisfaction.</w:t>
      </w:r>
    </w:p>
    <w:p w14:paraId="0A1E609B" w14:textId="19F12044" w:rsidR="00D97B29" w:rsidRPr="000F300E" w:rsidRDefault="00D97B29">
      <w:pPr>
        <w:pStyle w:val="ListParagraph"/>
        <w:numPr>
          <w:ilvl w:val="0"/>
          <w:numId w:val="23"/>
        </w:numPr>
        <w:ind w:left="426"/>
        <w:rPr>
          <w:b/>
          <w:bCs/>
        </w:rPr>
      </w:pPr>
      <w:r w:rsidRPr="00B0330A">
        <w:rPr>
          <w:b/>
          <w:i/>
        </w:rPr>
        <w:t xml:space="preserve">Support my community, protect </w:t>
      </w:r>
      <w:r w:rsidR="00900FCD">
        <w:rPr>
          <w:b/>
          <w:i/>
        </w:rPr>
        <w:br/>
      </w:r>
      <w:r w:rsidRPr="00B0330A">
        <w:rPr>
          <w:b/>
          <w:i/>
        </w:rPr>
        <w:t>our environment:</w:t>
      </w:r>
      <w:r w:rsidRPr="000F300E">
        <w:rPr>
          <w:b/>
          <w:bCs/>
        </w:rPr>
        <w:t xml:space="preserve"> </w:t>
      </w:r>
      <w:r w:rsidR="00B50269" w:rsidRPr="000F300E">
        <w:t xml:space="preserve">delivering </w:t>
      </w:r>
      <w:r w:rsidR="00FA1B9D">
        <w:t>agreed</w:t>
      </w:r>
      <w:r w:rsidRPr="000F300E">
        <w:t xml:space="preserve"> enviro</w:t>
      </w:r>
      <w:r w:rsidR="0044371A" w:rsidRPr="000F300E">
        <w:t xml:space="preserve">nmental </w:t>
      </w:r>
      <w:r w:rsidR="00D94430" w:rsidRPr="000F300E">
        <w:t>outcomes.</w:t>
      </w:r>
    </w:p>
    <w:p w14:paraId="60D69769" w14:textId="238161A7" w:rsidR="00AF0226" w:rsidRDefault="00F76DDA" w:rsidP="00870684">
      <w:r>
        <w:t xml:space="preserve">We </w:t>
      </w:r>
      <w:r w:rsidR="000C6C95">
        <w:t xml:space="preserve">regularly </w:t>
      </w:r>
      <w:r w:rsidR="00870684">
        <w:t>report</w:t>
      </w:r>
      <w:r>
        <w:t xml:space="preserve"> our</w:t>
      </w:r>
      <w:r w:rsidR="00870684" w:rsidDel="00F76DDA">
        <w:t xml:space="preserve"> </w:t>
      </w:r>
      <w:r w:rsidR="00870684">
        <w:t>performance</w:t>
      </w:r>
      <w:r w:rsidR="006C430F">
        <w:t xml:space="preserve"> </w:t>
      </w:r>
      <w:r w:rsidR="00914D88">
        <w:t>on</w:t>
      </w:r>
      <w:r w:rsidR="006C430F">
        <w:t xml:space="preserve"> </w:t>
      </w:r>
      <w:r w:rsidR="00870684">
        <w:t>delivering these outcomes</w:t>
      </w:r>
      <w:r w:rsidR="005E6124">
        <w:t xml:space="preserve">, </w:t>
      </w:r>
      <w:r w:rsidR="000F300E">
        <w:t>including performance against each</w:t>
      </w:r>
      <w:r w:rsidR="00874732">
        <w:t xml:space="preserve"> of the 1</w:t>
      </w:r>
      <w:r w:rsidR="003875A6">
        <w:t>8</w:t>
      </w:r>
      <w:r w:rsidR="000F300E">
        <w:t xml:space="preserve"> output target</w:t>
      </w:r>
      <w:r w:rsidR="00874732">
        <w:t>s</w:t>
      </w:r>
      <w:r w:rsidR="005E6124">
        <w:t xml:space="preserve">. We have reported </w:t>
      </w:r>
      <w:r w:rsidR="00AF0226">
        <w:t>quarterly to our customers</w:t>
      </w:r>
      <w:r w:rsidR="00870684">
        <w:t xml:space="preserve"> and </w:t>
      </w:r>
      <w:r w:rsidR="00AF0226">
        <w:t>annual</w:t>
      </w:r>
      <w:r w:rsidR="006F20D0">
        <w:t>ly</w:t>
      </w:r>
      <w:r w:rsidR="00AF0226">
        <w:t xml:space="preserve"> to the ESC</w:t>
      </w:r>
      <w:r w:rsidR="00870684">
        <w:t>.</w:t>
      </w:r>
    </w:p>
    <w:p w14:paraId="48A90A50" w14:textId="7370A27F" w:rsidR="00870684" w:rsidRDefault="00870684" w:rsidP="00870684">
      <w:r>
        <w:t>Over the current regulatory period to date (</w:t>
      </w:r>
      <w:r w:rsidR="00960122">
        <w:t xml:space="preserve">that is, </w:t>
      </w:r>
      <w:r>
        <w:t xml:space="preserve">the </w:t>
      </w:r>
      <w:r w:rsidR="004D02CD">
        <w:t>4</w:t>
      </w:r>
      <w:r w:rsidR="00F1725E">
        <w:t>-</w:t>
      </w:r>
      <w:r>
        <w:t>year period from 2018</w:t>
      </w:r>
      <w:r w:rsidR="007D4EB3">
        <w:t>–</w:t>
      </w:r>
      <w:r>
        <w:t>19 to 2021</w:t>
      </w:r>
      <w:r w:rsidR="007D4EB3">
        <w:t>–</w:t>
      </w:r>
      <w:r>
        <w:t>22)</w:t>
      </w:r>
      <w:r w:rsidR="00E12DE3">
        <w:t xml:space="preserve">, we </w:t>
      </w:r>
      <w:r>
        <w:t>ha</w:t>
      </w:r>
      <w:r w:rsidR="00E12DE3">
        <w:t>ve</w:t>
      </w:r>
      <w:r>
        <w:t xml:space="preserve"> performed to a high standard. Key features of our performance against output targets </w:t>
      </w:r>
      <w:r w:rsidR="001653A6">
        <w:t>are</w:t>
      </w:r>
      <w:r>
        <w:t xml:space="preserve"> as follows: </w:t>
      </w:r>
    </w:p>
    <w:p w14:paraId="43092564" w14:textId="05DEF4A3" w:rsidR="001E736C" w:rsidRDefault="001E736C">
      <w:pPr>
        <w:pStyle w:val="Bulletlistmultilevel"/>
        <w:numPr>
          <w:ilvl w:val="0"/>
          <w:numId w:val="48"/>
        </w:numPr>
        <w:rPr>
          <w:sz w:val="24"/>
          <w:szCs w:val="24"/>
        </w:rPr>
      </w:pPr>
      <w:r>
        <w:rPr>
          <w:sz w:val="24"/>
          <w:szCs w:val="24"/>
        </w:rPr>
        <w:t>Of the 1</w:t>
      </w:r>
      <w:r w:rsidR="00262D50">
        <w:rPr>
          <w:sz w:val="24"/>
          <w:szCs w:val="24"/>
        </w:rPr>
        <w:t>8</w:t>
      </w:r>
      <w:r>
        <w:rPr>
          <w:sz w:val="24"/>
          <w:szCs w:val="24"/>
        </w:rPr>
        <w:t xml:space="preserve"> targets delivered </w:t>
      </w:r>
      <w:r w:rsidR="003F4880">
        <w:rPr>
          <w:sz w:val="24"/>
          <w:szCs w:val="24"/>
        </w:rPr>
        <w:t>in each of the</w:t>
      </w:r>
      <w:r>
        <w:rPr>
          <w:sz w:val="24"/>
          <w:szCs w:val="24"/>
        </w:rPr>
        <w:t xml:space="preserve"> 4 years</w:t>
      </w:r>
      <w:r w:rsidR="000D47FD" w:rsidRPr="00BA0E6F">
        <w:rPr>
          <w:sz w:val="24"/>
          <w:szCs w:val="24"/>
        </w:rPr>
        <w:t>,</w:t>
      </w:r>
      <w:r w:rsidR="000D47FD">
        <w:rPr>
          <w:sz w:val="24"/>
          <w:szCs w:val="24"/>
        </w:rPr>
        <w:t xml:space="preserve"> </w:t>
      </w:r>
      <w:r w:rsidR="001B613B">
        <w:rPr>
          <w:sz w:val="24"/>
          <w:szCs w:val="24"/>
        </w:rPr>
        <w:t xml:space="preserve">we have met the target </w:t>
      </w:r>
      <w:r w:rsidR="0072776E">
        <w:rPr>
          <w:sz w:val="24"/>
          <w:szCs w:val="24"/>
        </w:rPr>
        <w:t>or</w:t>
      </w:r>
      <w:r w:rsidR="00F13AAD">
        <w:rPr>
          <w:sz w:val="24"/>
          <w:szCs w:val="24"/>
        </w:rPr>
        <w:t xml:space="preserve"> have</w:t>
      </w:r>
      <w:r w:rsidR="0072776E">
        <w:rPr>
          <w:sz w:val="24"/>
          <w:szCs w:val="24"/>
        </w:rPr>
        <w:t xml:space="preserve"> been within the tolerance band 93% of the time, only </w:t>
      </w:r>
      <w:r w:rsidR="009E3BE4">
        <w:rPr>
          <w:sz w:val="24"/>
          <w:szCs w:val="24"/>
        </w:rPr>
        <w:t xml:space="preserve">missing </w:t>
      </w:r>
      <w:r w:rsidR="00333A59">
        <w:rPr>
          <w:sz w:val="24"/>
          <w:szCs w:val="24"/>
        </w:rPr>
        <w:t>a</w:t>
      </w:r>
      <w:r w:rsidR="009E3BE4">
        <w:rPr>
          <w:sz w:val="24"/>
          <w:szCs w:val="24"/>
        </w:rPr>
        <w:t xml:space="preserve"> target on </w:t>
      </w:r>
      <w:r w:rsidR="000C7549">
        <w:rPr>
          <w:sz w:val="24"/>
          <w:szCs w:val="24"/>
        </w:rPr>
        <w:t>5</w:t>
      </w:r>
      <w:r w:rsidR="009E3BE4">
        <w:rPr>
          <w:sz w:val="24"/>
          <w:szCs w:val="24"/>
        </w:rPr>
        <w:t xml:space="preserve"> </w:t>
      </w:r>
      <w:r w:rsidR="00816A63">
        <w:rPr>
          <w:sz w:val="24"/>
          <w:szCs w:val="24"/>
        </w:rPr>
        <w:t>occasions</w:t>
      </w:r>
      <w:r w:rsidR="00F80239">
        <w:rPr>
          <w:sz w:val="24"/>
          <w:szCs w:val="24"/>
        </w:rPr>
        <w:t>.</w:t>
      </w:r>
    </w:p>
    <w:p w14:paraId="22B811BC" w14:textId="4793A188" w:rsidR="00114370" w:rsidRPr="00CB0971" w:rsidRDefault="00816A63">
      <w:pPr>
        <w:pStyle w:val="Bulletlistmultilevel"/>
        <w:numPr>
          <w:ilvl w:val="0"/>
          <w:numId w:val="48"/>
        </w:numPr>
        <w:rPr>
          <w:sz w:val="24"/>
          <w:szCs w:val="24"/>
        </w:rPr>
      </w:pPr>
      <w:r>
        <w:rPr>
          <w:sz w:val="24"/>
          <w:szCs w:val="24"/>
        </w:rPr>
        <w:t xml:space="preserve">We have met all targets over the 4 years for </w:t>
      </w:r>
      <w:r w:rsidR="00BE63D8">
        <w:rPr>
          <w:sz w:val="24"/>
          <w:szCs w:val="24"/>
        </w:rPr>
        <w:t>Outcome 1</w:t>
      </w:r>
      <w:r w:rsidR="00F96588">
        <w:rPr>
          <w:sz w:val="24"/>
          <w:szCs w:val="24"/>
        </w:rPr>
        <w:t>:</w:t>
      </w:r>
      <w:r w:rsidR="00BE63D8">
        <w:rPr>
          <w:sz w:val="24"/>
          <w:szCs w:val="24"/>
        </w:rPr>
        <w:t xml:space="preserve"> </w:t>
      </w:r>
      <w:r w:rsidR="008F3590" w:rsidRPr="00B137C8">
        <w:rPr>
          <w:i/>
          <w:iCs/>
          <w:sz w:val="24"/>
          <w:szCs w:val="24"/>
        </w:rPr>
        <w:t xml:space="preserve">Get the basics right, </w:t>
      </w:r>
      <w:r w:rsidR="008F3590" w:rsidRPr="006D0100">
        <w:rPr>
          <w:i/>
          <w:sz w:val="24"/>
          <w:szCs w:val="24"/>
        </w:rPr>
        <w:t>always</w:t>
      </w:r>
      <w:r w:rsidR="0044235F" w:rsidRPr="00F96588">
        <w:rPr>
          <w:sz w:val="24"/>
          <w:szCs w:val="24"/>
        </w:rPr>
        <w:t xml:space="preserve"> </w:t>
      </w:r>
      <w:r w:rsidR="0044235F" w:rsidRPr="00CB0971">
        <w:rPr>
          <w:sz w:val="24"/>
          <w:szCs w:val="24"/>
        </w:rPr>
        <w:t xml:space="preserve">and for </w:t>
      </w:r>
      <w:r w:rsidR="008F3590" w:rsidRPr="00CB0971">
        <w:rPr>
          <w:sz w:val="24"/>
          <w:szCs w:val="24"/>
        </w:rPr>
        <w:t>Outcome 3</w:t>
      </w:r>
      <w:r w:rsidR="00F96588">
        <w:rPr>
          <w:sz w:val="24"/>
          <w:szCs w:val="24"/>
        </w:rPr>
        <w:t>:</w:t>
      </w:r>
      <w:r w:rsidR="00064331">
        <w:rPr>
          <w:sz w:val="24"/>
          <w:szCs w:val="24"/>
        </w:rPr>
        <w:t xml:space="preserve"> </w:t>
      </w:r>
      <w:r w:rsidR="00637092" w:rsidRPr="00637092">
        <w:rPr>
          <w:i/>
          <w:iCs/>
          <w:sz w:val="24"/>
          <w:szCs w:val="24"/>
        </w:rPr>
        <w:t>Fair and affordable for al</w:t>
      </w:r>
      <w:r w:rsidR="00D358CF">
        <w:rPr>
          <w:i/>
          <w:iCs/>
          <w:sz w:val="24"/>
          <w:szCs w:val="24"/>
        </w:rPr>
        <w:t>l</w:t>
      </w:r>
      <w:r w:rsidR="00114370">
        <w:rPr>
          <w:sz w:val="24"/>
          <w:szCs w:val="24"/>
        </w:rPr>
        <w:t xml:space="preserve">. This means that we have consistently </w:t>
      </w:r>
      <w:r w:rsidR="00E405E9">
        <w:rPr>
          <w:sz w:val="24"/>
          <w:szCs w:val="24"/>
        </w:rPr>
        <w:t xml:space="preserve">been compliant with the </w:t>
      </w:r>
      <w:r w:rsidR="00ED420E" w:rsidRPr="00CB0971">
        <w:rPr>
          <w:i/>
          <w:iCs/>
          <w:sz w:val="24"/>
          <w:szCs w:val="24"/>
        </w:rPr>
        <w:t>Safe Drinking Water Act</w:t>
      </w:r>
      <w:r w:rsidR="00D358CF">
        <w:rPr>
          <w:i/>
          <w:iCs/>
          <w:sz w:val="24"/>
          <w:szCs w:val="24"/>
        </w:rPr>
        <w:t xml:space="preserve"> </w:t>
      </w:r>
      <w:r w:rsidR="00D358CF" w:rsidRPr="00230DD7">
        <w:rPr>
          <w:i/>
          <w:iCs/>
          <w:sz w:val="24"/>
          <w:szCs w:val="24"/>
        </w:rPr>
        <w:t>2003</w:t>
      </w:r>
      <w:r w:rsidR="00114370" w:rsidRPr="00230DD7">
        <w:rPr>
          <w:sz w:val="24"/>
          <w:szCs w:val="24"/>
        </w:rPr>
        <w:t xml:space="preserve"> </w:t>
      </w:r>
      <w:r w:rsidR="001749B5">
        <w:rPr>
          <w:sz w:val="24"/>
          <w:szCs w:val="24"/>
        </w:rPr>
        <w:t>and have</w:t>
      </w:r>
      <w:r w:rsidR="008E7D53">
        <w:rPr>
          <w:sz w:val="24"/>
          <w:szCs w:val="24"/>
        </w:rPr>
        <w:t xml:space="preserve"> addressed network issues </w:t>
      </w:r>
      <w:r w:rsidR="002E025C">
        <w:rPr>
          <w:sz w:val="24"/>
          <w:szCs w:val="24"/>
        </w:rPr>
        <w:t xml:space="preserve">such as water main leaks and </w:t>
      </w:r>
      <w:r w:rsidR="00F80239">
        <w:rPr>
          <w:sz w:val="24"/>
          <w:szCs w:val="24"/>
        </w:rPr>
        <w:t>sewer blockages</w:t>
      </w:r>
      <w:r w:rsidR="00037D02">
        <w:rPr>
          <w:sz w:val="24"/>
          <w:szCs w:val="24"/>
        </w:rPr>
        <w:t>,</w:t>
      </w:r>
      <w:r w:rsidR="00F80239">
        <w:rPr>
          <w:sz w:val="24"/>
          <w:szCs w:val="24"/>
        </w:rPr>
        <w:t xml:space="preserve"> </w:t>
      </w:r>
      <w:r w:rsidR="005723B8">
        <w:rPr>
          <w:sz w:val="24"/>
          <w:szCs w:val="24"/>
        </w:rPr>
        <w:t>ensuring minimal</w:t>
      </w:r>
      <w:r w:rsidR="00F80239">
        <w:rPr>
          <w:sz w:val="24"/>
          <w:szCs w:val="24"/>
        </w:rPr>
        <w:t xml:space="preserve"> impacts for customers.</w:t>
      </w:r>
    </w:p>
    <w:p w14:paraId="7B851E7F" w14:textId="53385551" w:rsidR="00BF6265" w:rsidRDefault="00900FCD">
      <w:pPr>
        <w:pStyle w:val="Bulletlistmultilevel"/>
        <w:numPr>
          <w:ilvl w:val="0"/>
          <w:numId w:val="48"/>
        </w:numPr>
        <w:rPr>
          <w:sz w:val="24"/>
          <w:szCs w:val="24"/>
        </w:rPr>
      </w:pPr>
      <w:r>
        <w:rPr>
          <w:sz w:val="24"/>
          <w:szCs w:val="24"/>
        </w:rPr>
        <w:t>W</w:t>
      </w:r>
      <w:r w:rsidR="00735BF3">
        <w:rPr>
          <w:sz w:val="24"/>
          <w:szCs w:val="24"/>
        </w:rPr>
        <w:t xml:space="preserve">e have met targets over the </w:t>
      </w:r>
      <w:r>
        <w:rPr>
          <w:sz w:val="24"/>
          <w:szCs w:val="24"/>
        </w:rPr>
        <w:br/>
      </w:r>
      <w:r w:rsidR="00735BF3">
        <w:rPr>
          <w:sz w:val="24"/>
          <w:szCs w:val="24"/>
        </w:rPr>
        <w:t>4 years on:</w:t>
      </w:r>
    </w:p>
    <w:p w14:paraId="7646DE4D" w14:textId="09D58699" w:rsidR="00816A63" w:rsidRPr="00CB0971" w:rsidRDefault="00735BF3">
      <w:pPr>
        <w:pStyle w:val="TableNumber2"/>
        <w:numPr>
          <w:ilvl w:val="2"/>
          <w:numId w:val="32"/>
        </w:numPr>
        <w:spacing w:after="60"/>
        <w:ind w:left="709"/>
        <w:rPr>
          <w:sz w:val="24"/>
          <w:szCs w:val="24"/>
        </w:rPr>
      </w:pPr>
      <w:r>
        <w:rPr>
          <w:sz w:val="24"/>
          <w:szCs w:val="24"/>
        </w:rPr>
        <w:t>a</w:t>
      </w:r>
      <w:r w:rsidR="00854F20" w:rsidRPr="00CB0971">
        <w:rPr>
          <w:sz w:val="24"/>
          <w:szCs w:val="24"/>
        </w:rPr>
        <w:t xml:space="preserve">ll but one occasion for </w:t>
      </w:r>
      <w:r w:rsidR="008D01FE" w:rsidRPr="00CB0971">
        <w:rPr>
          <w:sz w:val="24"/>
          <w:szCs w:val="24"/>
        </w:rPr>
        <w:t>Outcome 2</w:t>
      </w:r>
      <w:r w:rsidR="00F96588">
        <w:rPr>
          <w:sz w:val="24"/>
          <w:szCs w:val="24"/>
        </w:rPr>
        <w:t xml:space="preserve">: </w:t>
      </w:r>
      <w:r w:rsidR="008D01FE" w:rsidRPr="00CB0971">
        <w:rPr>
          <w:i/>
          <w:iCs/>
          <w:sz w:val="24"/>
          <w:szCs w:val="24"/>
        </w:rPr>
        <w:t xml:space="preserve">Warn me, inform </w:t>
      </w:r>
      <w:r w:rsidR="008D01FE" w:rsidRPr="00394C62">
        <w:rPr>
          <w:i/>
          <w:sz w:val="24"/>
          <w:szCs w:val="24"/>
        </w:rPr>
        <w:t>me</w:t>
      </w:r>
    </w:p>
    <w:p w14:paraId="1F4E7DC2" w14:textId="5E87006B" w:rsidR="00BF6265" w:rsidRPr="00116E55" w:rsidRDefault="00BF6265">
      <w:pPr>
        <w:pStyle w:val="TableNumber2"/>
        <w:numPr>
          <w:ilvl w:val="2"/>
          <w:numId w:val="32"/>
        </w:numPr>
        <w:spacing w:after="60"/>
        <w:ind w:left="709"/>
        <w:rPr>
          <w:sz w:val="24"/>
          <w:szCs w:val="24"/>
        </w:rPr>
      </w:pPr>
      <w:r w:rsidRPr="00CB0971">
        <w:rPr>
          <w:sz w:val="24"/>
          <w:szCs w:val="24"/>
        </w:rPr>
        <w:t xml:space="preserve">all but </w:t>
      </w:r>
      <w:r w:rsidR="00584B94">
        <w:rPr>
          <w:sz w:val="24"/>
          <w:szCs w:val="24"/>
        </w:rPr>
        <w:t>2</w:t>
      </w:r>
      <w:r w:rsidRPr="00CB0971">
        <w:rPr>
          <w:sz w:val="24"/>
          <w:szCs w:val="24"/>
        </w:rPr>
        <w:t xml:space="preserve"> occasion</w:t>
      </w:r>
      <w:r w:rsidR="00DA33B5" w:rsidRPr="00CB0971">
        <w:rPr>
          <w:sz w:val="24"/>
          <w:szCs w:val="24"/>
        </w:rPr>
        <w:t>s</w:t>
      </w:r>
      <w:r w:rsidRPr="00CB0971">
        <w:rPr>
          <w:sz w:val="24"/>
          <w:szCs w:val="24"/>
        </w:rPr>
        <w:t xml:space="preserve"> for Outcome </w:t>
      </w:r>
      <w:r w:rsidR="00D61E10" w:rsidRPr="00CB0971">
        <w:rPr>
          <w:sz w:val="24"/>
          <w:szCs w:val="24"/>
        </w:rPr>
        <w:t>4</w:t>
      </w:r>
      <w:r w:rsidR="00F47F58">
        <w:rPr>
          <w:sz w:val="24"/>
          <w:szCs w:val="24"/>
        </w:rPr>
        <w:t xml:space="preserve">: </w:t>
      </w:r>
      <w:r w:rsidR="00D61E10" w:rsidRPr="00CB0971">
        <w:rPr>
          <w:i/>
          <w:iCs/>
          <w:sz w:val="24"/>
          <w:szCs w:val="24"/>
        </w:rPr>
        <w:t xml:space="preserve">Make my experience </w:t>
      </w:r>
      <w:r w:rsidR="00D61E10" w:rsidRPr="00394C62">
        <w:rPr>
          <w:i/>
          <w:sz w:val="24"/>
          <w:szCs w:val="24"/>
        </w:rPr>
        <w:t>better</w:t>
      </w:r>
      <w:r w:rsidR="00DA33B5" w:rsidRPr="00F47F58">
        <w:rPr>
          <w:i/>
          <w:sz w:val="24"/>
          <w:szCs w:val="24"/>
        </w:rPr>
        <w:t xml:space="preserve"> </w:t>
      </w:r>
      <w:r w:rsidR="00DA33B5" w:rsidRPr="00CB0971">
        <w:rPr>
          <w:sz w:val="24"/>
          <w:szCs w:val="24"/>
        </w:rPr>
        <w:t>and Outcome 5</w:t>
      </w:r>
      <w:r w:rsidR="00F47F58">
        <w:rPr>
          <w:sz w:val="24"/>
          <w:szCs w:val="24"/>
        </w:rPr>
        <w:t>:</w:t>
      </w:r>
      <w:r w:rsidR="00DA33B5" w:rsidRPr="00CB0971">
        <w:rPr>
          <w:sz w:val="24"/>
          <w:szCs w:val="24"/>
        </w:rPr>
        <w:t xml:space="preserve"> </w:t>
      </w:r>
      <w:r w:rsidR="00DA33B5" w:rsidRPr="00CB0971">
        <w:rPr>
          <w:i/>
          <w:iCs/>
          <w:sz w:val="24"/>
          <w:szCs w:val="24"/>
        </w:rPr>
        <w:t>Support my</w:t>
      </w:r>
      <w:r w:rsidR="00DB52CB">
        <w:rPr>
          <w:i/>
          <w:iCs/>
          <w:sz w:val="24"/>
          <w:szCs w:val="24"/>
        </w:rPr>
        <w:t xml:space="preserve"> </w:t>
      </w:r>
      <w:r w:rsidR="002F49D6">
        <w:rPr>
          <w:i/>
          <w:iCs/>
          <w:sz w:val="24"/>
          <w:szCs w:val="24"/>
        </w:rPr>
        <w:t>c</w:t>
      </w:r>
      <w:r w:rsidR="00DA33B5" w:rsidRPr="00CB0971">
        <w:rPr>
          <w:i/>
          <w:iCs/>
          <w:sz w:val="24"/>
          <w:szCs w:val="24"/>
        </w:rPr>
        <w:t xml:space="preserve">ommunity, protect our </w:t>
      </w:r>
      <w:r w:rsidR="0018207B">
        <w:rPr>
          <w:i/>
          <w:iCs/>
          <w:sz w:val="24"/>
          <w:szCs w:val="24"/>
        </w:rPr>
        <w:t>e</w:t>
      </w:r>
      <w:r w:rsidR="00DA33B5" w:rsidRPr="00394C62">
        <w:rPr>
          <w:i/>
          <w:sz w:val="24"/>
          <w:szCs w:val="24"/>
        </w:rPr>
        <w:t>nvironment</w:t>
      </w:r>
      <w:r w:rsidR="006A15DA">
        <w:rPr>
          <w:i/>
          <w:iCs/>
          <w:sz w:val="24"/>
          <w:szCs w:val="24"/>
        </w:rPr>
        <w:t>.</w:t>
      </w:r>
    </w:p>
    <w:p w14:paraId="0EA4A0B3" w14:textId="4B2558D5" w:rsidR="00B137C8" w:rsidRPr="00853786" w:rsidRDefault="00DE2EE4" w:rsidP="00EB3311">
      <w:pPr>
        <w:pStyle w:val="Bulletlistmultilevel"/>
        <w:numPr>
          <w:ilvl w:val="0"/>
          <w:numId w:val="4"/>
        </w:numPr>
        <w:rPr>
          <w:sz w:val="24"/>
          <w:szCs w:val="24"/>
        </w:rPr>
      </w:pPr>
      <w:r w:rsidRPr="00853786">
        <w:rPr>
          <w:sz w:val="24"/>
          <w:szCs w:val="24"/>
        </w:rPr>
        <w:t xml:space="preserve">The </w:t>
      </w:r>
      <w:r w:rsidR="001D5B48">
        <w:rPr>
          <w:sz w:val="24"/>
          <w:szCs w:val="24"/>
        </w:rPr>
        <w:t xml:space="preserve">few </w:t>
      </w:r>
      <w:r w:rsidRPr="00853786">
        <w:rPr>
          <w:sz w:val="24"/>
          <w:szCs w:val="24"/>
        </w:rPr>
        <w:t>instances where the target or tolerance band w</w:t>
      </w:r>
      <w:r w:rsidR="00D358CF">
        <w:rPr>
          <w:sz w:val="24"/>
          <w:szCs w:val="24"/>
        </w:rPr>
        <w:t>ere</w:t>
      </w:r>
      <w:r w:rsidRPr="00853786">
        <w:rPr>
          <w:sz w:val="24"/>
          <w:szCs w:val="24"/>
        </w:rPr>
        <w:t xml:space="preserve"> not met </w:t>
      </w:r>
      <w:r w:rsidR="00B52806">
        <w:rPr>
          <w:sz w:val="24"/>
          <w:szCs w:val="24"/>
        </w:rPr>
        <w:t>did</w:t>
      </w:r>
      <w:r w:rsidRPr="00853786">
        <w:rPr>
          <w:sz w:val="24"/>
          <w:szCs w:val="24"/>
        </w:rPr>
        <w:t xml:space="preserve"> not represent major </w:t>
      </w:r>
      <w:r w:rsidR="00BA2137">
        <w:rPr>
          <w:sz w:val="24"/>
          <w:szCs w:val="24"/>
        </w:rPr>
        <w:t>variations</w:t>
      </w:r>
      <w:r w:rsidRPr="00853786">
        <w:rPr>
          <w:sz w:val="24"/>
          <w:szCs w:val="24"/>
        </w:rPr>
        <w:t xml:space="preserve"> </w:t>
      </w:r>
      <w:r w:rsidR="00FD7718">
        <w:rPr>
          <w:sz w:val="24"/>
          <w:szCs w:val="24"/>
        </w:rPr>
        <w:t>from the target.</w:t>
      </w:r>
      <w:r w:rsidRPr="00853786">
        <w:rPr>
          <w:sz w:val="24"/>
          <w:szCs w:val="24"/>
        </w:rPr>
        <w:t xml:space="preserve"> </w:t>
      </w:r>
      <w:r w:rsidR="00BA2137">
        <w:rPr>
          <w:sz w:val="24"/>
          <w:szCs w:val="24"/>
        </w:rPr>
        <w:t>Any variations</w:t>
      </w:r>
      <w:r w:rsidRPr="00853786">
        <w:rPr>
          <w:sz w:val="24"/>
          <w:szCs w:val="24"/>
        </w:rPr>
        <w:t xml:space="preserve"> were </w:t>
      </w:r>
      <w:r w:rsidR="003875A6" w:rsidRPr="00853786">
        <w:rPr>
          <w:sz w:val="24"/>
          <w:szCs w:val="24"/>
        </w:rPr>
        <w:t>generally due to</w:t>
      </w:r>
      <w:r w:rsidR="00D66FE4" w:rsidRPr="00853786">
        <w:rPr>
          <w:sz w:val="24"/>
          <w:szCs w:val="24"/>
        </w:rPr>
        <w:t xml:space="preserve"> setting </w:t>
      </w:r>
      <w:r w:rsidR="006A15DA" w:rsidRPr="00853786">
        <w:rPr>
          <w:sz w:val="24"/>
          <w:szCs w:val="24"/>
        </w:rPr>
        <w:t>a higher</w:t>
      </w:r>
      <w:r w:rsidR="00D66FE4" w:rsidRPr="00853786">
        <w:rPr>
          <w:sz w:val="24"/>
          <w:szCs w:val="24"/>
        </w:rPr>
        <w:t xml:space="preserve"> stretch target or due to</w:t>
      </w:r>
      <w:r w:rsidR="003875A6" w:rsidRPr="00853786">
        <w:rPr>
          <w:sz w:val="24"/>
          <w:szCs w:val="24"/>
        </w:rPr>
        <w:t xml:space="preserve"> external events. For example</w:t>
      </w:r>
      <w:r w:rsidR="006A15DA" w:rsidRPr="00853786">
        <w:rPr>
          <w:sz w:val="24"/>
          <w:szCs w:val="24"/>
        </w:rPr>
        <w:t xml:space="preserve">, we have </w:t>
      </w:r>
      <w:r w:rsidR="00907808" w:rsidRPr="00853786">
        <w:rPr>
          <w:sz w:val="24"/>
          <w:szCs w:val="24"/>
        </w:rPr>
        <w:t>change</w:t>
      </w:r>
      <w:r w:rsidR="00ED640C">
        <w:rPr>
          <w:sz w:val="24"/>
          <w:szCs w:val="24"/>
        </w:rPr>
        <w:t>d</w:t>
      </w:r>
      <w:r w:rsidR="00907808" w:rsidRPr="00853786">
        <w:rPr>
          <w:sz w:val="24"/>
          <w:szCs w:val="24"/>
        </w:rPr>
        <w:t xml:space="preserve"> the definition of customer complaints in order to capture better information on customer pain points that can be acted on. </w:t>
      </w:r>
      <w:r w:rsidR="009F5C7D">
        <w:rPr>
          <w:sz w:val="24"/>
          <w:szCs w:val="24"/>
        </w:rPr>
        <w:t xml:space="preserve">The </w:t>
      </w:r>
      <w:r w:rsidR="00D86310">
        <w:rPr>
          <w:sz w:val="24"/>
          <w:szCs w:val="24"/>
        </w:rPr>
        <w:t>c</w:t>
      </w:r>
      <w:r w:rsidR="00B945C9">
        <w:rPr>
          <w:sz w:val="24"/>
          <w:szCs w:val="24"/>
        </w:rPr>
        <w:t>oro</w:t>
      </w:r>
      <w:r w:rsidR="00394C62">
        <w:rPr>
          <w:sz w:val="24"/>
          <w:szCs w:val="24"/>
        </w:rPr>
        <w:t>na</w:t>
      </w:r>
      <w:r w:rsidR="00AB3BFA">
        <w:rPr>
          <w:sz w:val="24"/>
          <w:szCs w:val="24"/>
        </w:rPr>
        <w:t>virus (</w:t>
      </w:r>
      <w:r w:rsidR="009C1BCD" w:rsidRPr="00CB0971">
        <w:rPr>
          <w:sz w:val="24"/>
          <w:szCs w:val="24"/>
        </w:rPr>
        <w:t>COVID-19</w:t>
      </w:r>
      <w:r w:rsidR="00AB3BFA">
        <w:rPr>
          <w:sz w:val="24"/>
          <w:szCs w:val="24"/>
        </w:rPr>
        <w:t>)</w:t>
      </w:r>
      <w:r w:rsidR="009C1BCD" w:rsidRPr="00CB0971">
        <w:rPr>
          <w:sz w:val="24"/>
          <w:szCs w:val="24"/>
        </w:rPr>
        <w:t xml:space="preserve"> impacted on </w:t>
      </w:r>
      <w:r w:rsidR="00853786" w:rsidRPr="00CB0971">
        <w:rPr>
          <w:sz w:val="24"/>
          <w:szCs w:val="24"/>
        </w:rPr>
        <w:t>the delivery of recycled water targets.</w:t>
      </w:r>
    </w:p>
    <w:p w14:paraId="4D8E67B5" w14:textId="1F2739E1" w:rsidR="00870684" w:rsidRDefault="00870684" w:rsidP="00870684">
      <w:r>
        <w:t>Applying</w:t>
      </w:r>
      <w:r w:rsidDel="00DF7E30">
        <w:t xml:space="preserve"> </w:t>
      </w:r>
      <w:r>
        <w:t>South East Water</w:t>
      </w:r>
      <w:r w:rsidR="00612583">
        <w:t>’</w:t>
      </w:r>
      <w:r>
        <w:t xml:space="preserve">s performance assessment framework, </w:t>
      </w:r>
      <w:r w:rsidR="00DF7E30">
        <w:t xml:space="preserve">our </w:t>
      </w:r>
      <w:r>
        <w:t xml:space="preserve">score for </w:t>
      </w:r>
      <w:r w:rsidRPr="009D03E7">
        <w:t>2021</w:t>
      </w:r>
      <w:r w:rsidR="007D4EB3">
        <w:t>–</w:t>
      </w:r>
      <w:r w:rsidRPr="009D03E7">
        <w:t>22</w:t>
      </w:r>
      <w:r>
        <w:t xml:space="preserve"> is 3.5 out of 4. This equates to </w:t>
      </w:r>
      <w:r w:rsidR="00DA4C7B">
        <w:br/>
      </w:r>
      <w:r>
        <w:t xml:space="preserve">a PREMO performance rating of </w:t>
      </w:r>
      <w:r w:rsidRPr="00116E55">
        <w:rPr>
          <w:b/>
          <w:bCs/>
        </w:rPr>
        <w:t>Very confident the element is</w:t>
      </w:r>
      <w:r w:rsidRPr="00CB0971">
        <w:rPr>
          <w:b/>
          <w:bCs/>
          <w:i/>
          <w:iCs/>
        </w:rPr>
        <w:t xml:space="preserve"> </w:t>
      </w:r>
      <w:r w:rsidR="00612583">
        <w:rPr>
          <w:b/>
          <w:bCs/>
          <w:i/>
          <w:iCs/>
        </w:rPr>
        <w:t>‘</w:t>
      </w:r>
      <w:r w:rsidRPr="00CB0971">
        <w:rPr>
          <w:b/>
          <w:bCs/>
          <w:i/>
          <w:iCs/>
        </w:rPr>
        <w:t>Advanced</w:t>
      </w:r>
      <w:r w:rsidR="00612583">
        <w:rPr>
          <w:b/>
          <w:bCs/>
          <w:i/>
          <w:iCs/>
        </w:rPr>
        <w:t>’</w:t>
      </w:r>
      <w:r>
        <w:t>.</w:t>
      </w:r>
    </w:p>
    <w:p w14:paraId="6B2D6B09" w14:textId="42734032" w:rsidR="00870684" w:rsidRDefault="00C52151" w:rsidP="008E132A">
      <w:pPr>
        <w:pStyle w:val="Heading2"/>
      </w:pPr>
      <w:bookmarkStart w:id="21" w:name="_Toc103770906"/>
      <w:r>
        <w:t xml:space="preserve">1.2 </w:t>
      </w:r>
      <w:r w:rsidR="00870684">
        <w:t>Expenditure performance</w:t>
      </w:r>
      <w:bookmarkEnd w:id="21"/>
    </w:p>
    <w:p w14:paraId="5D0E55EF" w14:textId="3EE4205D" w:rsidR="00D1593C" w:rsidRDefault="006F20D0" w:rsidP="00870684">
      <w:r>
        <w:t>E</w:t>
      </w:r>
      <w:r w:rsidR="00870684">
        <w:t>xpenditure performance</w:t>
      </w:r>
      <w:r>
        <w:t xml:space="preserve"> </w:t>
      </w:r>
      <w:r w:rsidR="00843CA5">
        <w:t xml:space="preserve">is assessed in terms of expenditure outcomes </w:t>
      </w:r>
      <w:r w:rsidR="002B60C2">
        <w:t xml:space="preserve">in the </w:t>
      </w:r>
      <w:r w:rsidR="002B60C2" w:rsidRPr="00C835CF">
        <w:t>2018</w:t>
      </w:r>
      <w:r w:rsidR="007D4EB3">
        <w:t>–</w:t>
      </w:r>
      <w:r w:rsidR="002B60C2" w:rsidRPr="00C835CF">
        <w:t>23 regulatory period</w:t>
      </w:r>
      <w:r w:rsidR="002B60C2">
        <w:t xml:space="preserve"> </w:t>
      </w:r>
      <w:r w:rsidR="00843CA5">
        <w:t>relative to</w:t>
      </w:r>
      <w:r w:rsidR="003B2F32">
        <w:t xml:space="preserve"> the benchmark expenditure allowance</w:t>
      </w:r>
      <w:r w:rsidR="00381DBD">
        <w:t xml:space="preserve"> for </w:t>
      </w:r>
      <w:r w:rsidR="00870684">
        <w:t xml:space="preserve">controllable </w:t>
      </w:r>
      <w:r w:rsidR="00BB16B0">
        <w:t>ope</w:t>
      </w:r>
      <w:r w:rsidR="00026676">
        <w:t>rating expenditure, capital exp</w:t>
      </w:r>
      <w:r w:rsidR="00F13165">
        <w:t xml:space="preserve">enditure </w:t>
      </w:r>
      <w:r w:rsidR="00870684">
        <w:t>and major</w:t>
      </w:r>
      <w:r w:rsidR="001A7938">
        <w:t xml:space="preserve"> </w:t>
      </w:r>
      <w:r w:rsidR="002D6F7F">
        <w:t>capital</w:t>
      </w:r>
      <w:r w:rsidR="00870684">
        <w:t xml:space="preserve"> project delivery.</w:t>
      </w:r>
      <w:r w:rsidR="002D6F7F">
        <w:t xml:space="preserve"> In summary:</w:t>
      </w:r>
    </w:p>
    <w:p w14:paraId="111A7345" w14:textId="0A401A36" w:rsidR="002D6F7F" w:rsidRPr="007C2915" w:rsidRDefault="002D6F7F" w:rsidP="00702250">
      <w:pPr>
        <w:pStyle w:val="Bulletlistmultilevel"/>
        <w:numPr>
          <w:ilvl w:val="0"/>
          <w:numId w:val="4"/>
        </w:numPr>
      </w:pPr>
      <w:r w:rsidRPr="002D6F7F">
        <w:rPr>
          <w:sz w:val="24"/>
          <w:szCs w:val="24"/>
        </w:rPr>
        <w:t xml:space="preserve">controllable </w:t>
      </w:r>
      <w:r w:rsidR="00F13165">
        <w:rPr>
          <w:sz w:val="24"/>
          <w:szCs w:val="24"/>
        </w:rPr>
        <w:t>operating expenditure</w:t>
      </w:r>
      <w:r w:rsidRPr="002D6F7F">
        <w:rPr>
          <w:sz w:val="24"/>
          <w:szCs w:val="24"/>
        </w:rPr>
        <w:t xml:space="preserve"> is </w:t>
      </w:r>
      <w:r>
        <w:rPr>
          <w:sz w:val="24"/>
          <w:szCs w:val="24"/>
        </w:rPr>
        <w:t xml:space="preserve">forecast </w:t>
      </w:r>
      <w:r w:rsidRPr="002D6F7F">
        <w:rPr>
          <w:sz w:val="24"/>
          <w:szCs w:val="24"/>
        </w:rPr>
        <w:t>to be in line with the 2018</w:t>
      </w:r>
      <w:r w:rsidR="007D4EB3">
        <w:rPr>
          <w:sz w:val="24"/>
          <w:szCs w:val="24"/>
        </w:rPr>
        <w:t>–</w:t>
      </w:r>
      <w:r w:rsidRPr="002D6F7F">
        <w:rPr>
          <w:sz w:val="24"/>
          <w:szCs w:val="24"/>
        </w:rPr>
        <w:t>23</w:t>
      </w:r>
      <w:r>
        <w:rPr>
          <w:sz w:val="24"/>
          <w:szCs w:val="24"/>
        </w:rPr>
        <w:t xml:space="preserve"> benchmark</w:t>
      </w:r>
      <w:r w:rsidRPr="002D6F7F">
        <w:rPr>
          <w:sz w:val="24"/>
          <w:szCs w:val="24"/>
        </w:rPr>
        <w:t xml:space="preserve"> allowance</w:t>
      </w:r>
      <w:r>
        <w:rPr>
          <w:sz w:val="24"/>
          <w:szCs w:val="24"/>
        </w:rPr>
        <w:t xml:space="preserve"> </w:t>
      </w:r>
      <w:r w:rsidRPr="007C2915">
        <w:rPr>
          <w:sz w:val="24"/>
          <w:szCs w:val="24"/>
        </w:rPr>
        <w:t>(see</w:t>
      </w:r>
      <w:r w:rsidR="007962A7" w:rsidRPr="007C2915">
        <w:rPr>
          <w:sz w:val="24"/>
          <w:szCs w:val="24"/>
        </w:rPr>
        <w:t xml:space="preserve"> Section </w:t>
      </w:r>
      <w:r w:rsidR="007C2915" w:rsidRPr="007C2915">
        <w:rPr>
          <w:sz w:val="24"/>
          <w:szCs w:val="24"/>
        </w:rPr>
        <w:t>7</w:t>
      </w:r>
      <w:r w:rsidRPr="007C2915">
        <w:rPr>
          <w:sz w:val="24"/>
          <w:szCs w:val="24"/>
        </w:rPr>
        <w:t>)</w:t>
      </w:r>
    </w:p>
    <w:p w14:paraId="7E38AD8D" w14:textId="70F68506" w:rsidR="002D6F7F" w:rsidRDefault="002D6F7F" w:rsidP="00702250">
      <w:pPr>
        <w:pStyle w:val="Bulletlistmultilevel"/>
        <w:numPr>
          <w:ilvl w:val="0"/>
          <w:numId w:val="4"/>
        </w:numPr>
        <w:rPr>
          <w:sz w:val="24"/>
          <w:szCs w:val="24"/>
        </w:rPr>
      </w:pPr>
      <w:r w:rsidRPr="002D6F7F">
        <w:rPr>
          <w:sz w:val="24"/>
          <w:szCs w:val="24"/>
        </w:rPr>
        <w:t xml:space="preserve">capital expenditure is expected to be </w:t>
      </w:r>
      <w:r w:rsidR="00862C7E">
        <w:rPr>
          <w:sz w:val="24"/>
          <w:szCs w:val="24"/>
        </w:rPr>
        <w:t>0.</w:t>
      </w:r>
      <w:r w:rsidR="004E32D1">
        <w:rPr>
          <w:sz w:val="24"/>
          <w:szCs w:val="24"/>
        </w:rPr>
        <w:t xml:space="preserve">1% </w:t>
      </w:r>
      <w:r w:rsidR="00862C7E">
        <w:rPr>
          <w:sz w:val="24"/>
          <w:szCs w:val="24"/>
        </w:rPr>
        <w:t>above</w:t>
      </w:r>
      <w:r w:rsidRPr="002D6F7F">
        <w:rPr>
          <w:sz w:val="24"/>
          <w:szCs w:val="24"/>
        </w:rPr>
        <w:t xml:space="preserve"> the 2018</w:t>
      </w:r>
      <w:r w:rsidR="007D4EB3">
        <w:rPr>
          <w:sz w:val="24"/>
          <w:szCs w:val="24"/>
        </w:rPr>
        <w:t>–</w:t>
      </w:r>
      <w:r w:rsidRPr="002D6F7F">
        <w:rPr>
          <w:sz w:val="24"/>
          <w:szCs w:val="24"/>
        </w:rPr>
        <w:t xml:space="preserve">23 </w:t>
      </w:r>
      <w:r>
        <w:rPr>
          <w:sz w:val="24"/>
          <w:szCs w:val="24"/>
        </w:rPr>
        <w:t xml:space="preserve">benchmark </w:t>
      </w:r>
      <w:r w:rsidRPr="002D6F7F">
        <w:rPr>
          <w:sz w:val="24"/>
          <w:szCs w:val="24"/>
        </w:rPr>
        <w:t>allowance</w:t>
      </w:r>
      <w:r w:rsidR="00A1444D">
        <w:rPr>
          <w:sz w:val="24"/>
          <w:szCs w:val="24"/>
        </w:rPr>
        <w:t xml:space="preserve"> (se</w:t>
      </w:r>
      <w:r w:rsidR="005723B8">
        <w:rPr>
          <w:sz w:val="24"/>
          <w:szCs w:val="24"/>
        </w:rPr>
        <w:t xml:space="preserve">e </w:t>
      </w:r>
      <w:r w:rsidR="00920ECF">
        <w:rPr>
          <w:sz w:val="24"/>
          <w:szCs w:val="24"/>
        </w:rPr>
        <w:t>Section 6)</w:t>
      </w:r>
    </w:p>
    <w:p w14:paraId="199B8F20" w14:textId="32124A44" w:rsidR="00EC0B23" w:rsidRPr="009522CF" w:rsidRDefault="00716DE9" w:rsidP="00702250">
      <w:pPr>
        <w:pStyle w:val="Bulletlistmultilevel"/>
        <w:numPr>
          <w:ilvl w:val="0"/>
          <w:numId w:val="4"/>
        </w:numPr>
        <w:rPr>
          <w:sz w:val="24"/>
          <w:szCs w:val="24"/>
        </w:rPr>
      </w:pPr>
      <w:r>
        <w:rPr>
          <w:sz w:val="24"/>
          <w:szCs w:val="24"/>
        </w:rPr>
        <w:t xml:space="preserve">the top 10 </w:t>
      </w:r>
      <w:r w:rsidR="009B4D2B" w:rsidRPr="009B4D2B">
        <w:rPr>
          <w:sz w:val="24"/>
          <w:szCs w:val="24"/>
        </w:rPr>
        <w:t>major projects have been implemented diligently and the unavoidable variances from our original plans are able to be explained</w:t>
      </w:r>
      <w:r w:rsidR="007A4A70">
        <w:rPr>
          <w:sz w:val="24"/>
          <w:szCs w:val="24"/>
        </w:rPr>
        <w:t>.</w:t>
      </w:r>
    </w:p>
    <w:p w14:paraId="36A8517F" w14:textId="1AEEBAD3" w:rsidR="00833BD7" w:rsidRPr="00265E9D" w:rsidRDefault="00265E9D" w:rsidP="00265E9D">
      <w:r>
        <w:t xml:space="preserve">Based on our performance assessment framework, performance is consistent with </w:t>
      </w:r>
      <w:r w:rsidRPr="00265E9D">
        <w:rPr>
          <w:b/>
          <w:bCs/>
        </w:rPr>
        <w:t>‘</w:t>
      </w:r>
      <w:r w:rsidRPr="00265E9D">
        <w:rPr>
          <w:b/>
          <w:bCs/>
          <w:i/>
          <w:iCs/>
        </w:rPr>
        <w:t>Leading</w:t>
      </w:r>
      <w:r w:rsidRPr="00265E9D">
        <w:rPr>
          <w:b/>
          <w:bCs/>
        </w:rPr>
        <w:t xml:space="preserve">’ and </w:t>
      </w:r>
      <w:r w:rsidRPr="00265E9D">
        <w:rPr>
          <w:b/>
          <w:bCs/>
          <w:i/>
          <w:iCs/>
        </w:rPr>
        <w:t>‘Advanced’</w:t>
      </w:r>
      <w:r w:rsidRPr="00265E9D">
        <w:rPr>
          <w:b/>
          <w:bCs/>
        </w:rPr>
        <w:t xml:space="preserve"> PREMO ratings</w:t>
      </w:r>
      <w:r>
        <w:t xml:space="preserve"> (see Table 5).</w:t>
      </w:r>
    </w:p>
    <w:p w14:paraId="2D2664B8" w14:textId="77777777" w:rsidR="00946355" w:rsidRDefault="00946355" w:rsidP="00870684">
      <w:pPr>
        <w:sectPr w:rsidR="00946355" w:rsidSect="0020365D">
          <w:type w:val="continuous"/>
          <w:pgSz w:w="11906" w:h="16838"/>
          <w:pgMar w:top="1134" w:right="1440" w:bottom="1440" w:left="873" w:header="992" w:footer="204" w:gutter="0"/>
          <w:cols w:num="2" w:space="567"/>
          <w:docGrid w:linePitch="360"/>
        </w:sectPr>
      </w:pPr>
    </w:p>
    <w:p w14:paraId="0F785DD2" w14:textId="7FF65403" w:rsidR="00946355" w:rsidRDefault="00946355" w:rsidP="00870684"/>
    <w:p w14:paraId="38B613EF" w14:textId="77777777" w:rsidR="005723B8" w:rsidRDefault="005723B8" w:rsidP="00870684"/>
    <w:p w14:paraId="4E899238" w14:textId="77777777" w:rsidR="006625A5" w:rsidRDefault="006625A5" w:rsidP="00870684">
      <w:pPr>
        <w:rPr>
          <w:b/>
          <w:bCs/>
          <w:i/>
          <w:iCs/>
          <w:sz w:val="22"/>
          <w:szCs w:val="22"/>
        </w:rPr>
      </w:pPr>
    </w:p>
    <w:p w14:paraId="5F5AB015" w14:textId="77777777" w:rsidR="00C579F4" w:rsidRDefault="00C579F4">
      <w:pPr>
        <w:rPr>
          <w:b/>
          <w:bCs/>
          <w:i/>
          <w:iCs/>
          <w:sz w:val="22"/>
          <w:szCs w:val="22"/>
        </w:rPr>
      </w:pPr>
      <w:r>
        <w:rPr>
          <w:b/>
          <w:bCs/>
          <w:i/>
          <w:iCs/>
          <w:sz w:val="22"/>
          <w:szCs w:val="22"/>
        </w:rPr>
        <w:br w:type="page"/>
      </w:r>
    </w:p>
    <w:p w14:paraId="10CC52D1" w14:textId="09E65FB1" w:rsidR="00870684" w:rsidRPr="006C0A3B" w:rsidRDefault="006C0A3B" w:rsidP="00870684">
      <w:pPr>
        <w:rPr>
          <w:b/>
          <w:bCs/>
          <w:i/>
          <w:iCs/>
          <w:sz w:val="22"/>
          <w:szCs w:val="22"/>
        </w:rPr>
      </w:pPr>
      <w:r w:rsidRPr="000D5C3E">
        <w:rPr>
          <w:b/>
          <w:bCs/>
          <w:i/>
          <w:iCs/>
          <w:sz w:val="22"/>
          <w:szCs w:val="22"/>
        </w:rPr>
        <w:lastRenderedPageBreak/>
        <w:t xml:space="preserve">Table </w:t>
      </w:r>
      <w:r w:rsidR="00032853" w:rsidRPr="00CE6C4E">
        <w:rPr>
          <w:b/>
          <w:bCs/>
          <w:i/>
          <w:iCs/>
          <w:sz w:val="22"/>
          <w:szCs w:val="22"/>
        </w:rPr>
        <w:fldChar w:fldCharType="begin"/>
      </w:r>
      <w:r w:rsidR="00032853" w:rsidRPr="00CE6C4E">
        <w:rPr>
          <w:b/>
          <w:bCs/>
          <w:i/>
          <w:iCs/>
          <w:sz w:val="22"/>
          <w:szCs w:val="22"/>
        </w:rPr>
        <w:instrText>SEQ Table \* ARABIC</w:instrText>
      </w:r>
      <w:r w:rsidR="00032853" w:rsidRPr="00CE6C4E">
        <w:rPr>
          <w:b/>
          <w:bCs/>
          <w:i/>
          <w:iCs/>
          <w:sz w:val="22"/>
          <w:szCs w:val="22"/>
        </w:rPr>
        <w:fldChar w:fldCharType="separate"/>
      </w:r>
      <w:r w:rsidR="00032853">
        <w:rPr>
          <w:b/>
          <w:bCs/>
          <w:i/>
          <w:iCs/>
          <w:noProof/>
          <w:sz w:val="22"/>
          <w:szCs w:val="22"/>
        </w:rPr>
        <w:t>5</w:t>
      </w:r>
      <w:r w:rsidR="00032853" w:rsidRPr="00CE6C4E">
        <w:rPr>
          <w:b/>
          <w:bCs/>
          <w:i/>
          <w:iCs/>
          <w:sz w:val="22"/>
          <w:szCs w:val="22"/>
        </w:rPr>
        <w:fldChar w:fldCharType="end"/>
      </w:r>
      <w:r>
        <w:rPr>
          <w:b/>
          <w:bCs/>
          <w:i/>
          <w:iCs/>
          <w:sz w:val="22"/>
          <w:szCs w:val="22"/>
        </w:rPr>
        <w:t>:</w:t>
      </w:r>
      <w:r w:rsidRPr="000D5C3E">
        <w:rPr>
          <w:b/>
          <w:bCs/>
          <w:i/>
          <w:iCs/>
          <w:sz w:val="22"/>
          <w:szCs w:val="22"/>
        </w:rPr>
        <w:t xml:space="preserve"> </w:t>
      </w:r>
      <w:r>
        <w:rPr>
          <w:b/>
          <w:bCs/>
          <w:i/>
          <w:iCs/>
          <w:sz w:val="22"/>
          <w:szCs w:val="22"/>
        </w:rPr>
        <w:t>Performance rating overview</w:t>
      </w:r>
    </w:p>
    <w:tbl>
      <w:tblPr>
        <w:tblStyle w:val="GridTable4-Accent2"/>
        <w:tblW w:w="4957" w:type="pct"/>
        <w:tblInd w:w="-10" w:type="dxa"/>
        <w:tblLook w:val="0620" w:firstRow="1" w:lastRow="0" w:firstColumn="0" w:lastColumn="0" w:noHBand="1" w:noVBand="1"/>
      </w:tblPr>
      <w:tblGrid>
        <w:gridCol w:w="3693"/>
        <w:gridCol w:w="1701"/>
        <w:gridCol w:w="4111"/>
      </w:tblGrid>
      <w:tr w:rsidR="003B74C9" w:rsidRPr="00AE0AEE" w14:paraId="32847AA2" w14:textId="77777777" w:rsidTr="001852AF">
        <w:trPr>
          <w:cnfStyle w:val="100000000000" w:firstRow="1" w:lastRow="0" w:firstColumn="0" w:lastColumn="0" w:oddVBand="0" w:evenVBand="0" w:oddHBand="0" w:evenHBand="0" w:firstRowFirstColumn="0" w:firstRowLastColumn="0" w:lastRowFirstColumn="0" w:lastRowLastColumn="0"/>
          <w:trHeight w:val="427"/>
        </w:trPr>
        <w:tc>
          <w:tcPr>
            <w:tcW w:w="3693" w:type="dxa"/>
            <w:tcBorders>
              <w:top w:val="single" w:sz="2" w:space="0" w:color="002279"/>
              <w:left w:val="single" w:sz="2" w:space="0" w:color="002279"/>
              <w:bottom w:val="single" w:sz="2" w:space="0" w:color="002279"/>
              <w:right w:val="single" w:sz="4" w:space="0" w:color="FFFFFF" w:themeColor="background1"/>
            </w:tcBorders>
            <w:shd w:val="clear" w:color="auto" w:fill="002279"/>
          </w:tcPr>
          <w:p w14:paraId="35EC2FAE" w14:textId="77777777" w:rsidR="00870684" w:rsidRPr="00A62088" w:rsidRDefault="00870684" w:rsidP="00116E55">
            <w:pPr>
              <w:rPr>
                <w:sz w:val="20"/>
                <w:szCs w:val="20"/>
              </w:rPr>
            </w:pPr>
            <w:r w:rsidRPr="00A62088">
              <w:rPr>
                <w:sz w:val="20"/>
                <w:szCs w:val="20"/>
              </w:rPr>
              <w:t>Expenditure performance</w:t>
            </w:r>
          </w:p>
        </w:tc>
        <w:tc>
          <w:tcPr>
            <w:tcW w:w="1701" w:type="dxa"/>
            <w:tcBorders>
              <w:top w:val="single" w:sz="2" w:space="0" w:color="002279"/>
              <w:left w:val="single" w:sz="4" w:space="0" w:color="FFFFFF" w:themeColor="background1"/>
              <w:bottom w:val="single" w:sz="2" w:space="0" w:color="002279"/>
              <w:right w:val="single" w:sz="4" w:space="0" w:color="FFFFFF" w:themeColor="background1"/>
            </w:tcBorders>
            <w:shd w:val="clear" w:color="auto" w:fill="002279"/>
          </w:tcPr>
          <w:p w14:paraId="40EDE85F" w14:textId="77777777" w:rsidR="00870684" w:rsidRPr="00A62088" w:rsidRDefault="00870684" w:rsidP="00C9117D">
            <w:pPr>
              <w:jc w:val="center"/>
              <w:rPr>
                <w:sz w:val="20"/>
                <w:szCs w:val="20"/>
              </w:rPr>
            </w:pPr>
            <w:r w:rsidRPr="00A62088">
              <w:rPr>
                <w:sz w:val="20"/>
                <w:szCs w:val="20"/>
              </w:rPr>
              <w:t>Score</w:t>
            </w:r>
          </w:p>
        </w:tc>
        <w:tc>
          <w:tcPr>
            <w:tcW w:w="4111" w:type="dxa"/>
            <w:tcBorders>
              <w:top w:val="single" w:sz="2" w:space="0" w:color="002279"/>
              <w:left w:val="single" w:sz="4" w:space="0" w:color="FFFFFF" w:themeColor="background1"/>
              <w:bottom w:val="single" w:sz="2" w:space="0" w:color="002279"/>
              <w:right w:val="single" w:sz="2" w:space="0" w:color="002279"/>
            </w:tcBorders>
            <w:shd w:val="clear" w:color="auto" w:fill="002279"/>
          </w:tcPr>
          <w:p w14:paraId="01F86D44" w14:textId="77777777" w:rsidR="00870684" w:rsidRPr="00A62088" w:rsidRDefault="00870684" w:rsidP="00116E55">
            <w:pPr>
              <w:rPr>
                <w:sz w:val="20"/>
                <w:szCs w:val="20"/>
              </w:rPr>
            </w:pPr>
            <w:r w:rsidRPr="00A62088">
              <w:rPr>
                <w:sz w:val="20"/>
                <w:szCs w:val="20"/>
              </w:rPr>
              <w:t xml:space="preserve">Comment </w:t>
            </w:r>
          </w:p>
        </w:tc>
      </w:tr>
      <w:tr w:rsidR="00AF4CBF" w14:paraId="16B06538" w14:textId="77777777" w:rsidTr="001852AF">
        <w:tc>
          <w:tcPr>
            <w:tcW w:w="3693" w:type="dxa"/>
            <w:tcBorders>
              <w:top w:val="single" w:sz="2" w:space="0" w:color="002279"/>
              <w:left w:val="single" w:sz="2" w:space="0" w:color="002279"/>
              <w:bottom w:val="single" w:sz="2" w:space="0" w:color="002279"/>
              <w:right w:val="single" w:sz="2" w:space="0" w:color="002279"/>
            </w:tcBorders>
            <w:shd w:val="clear" w:color="auto" w:fill="D4D6DF"/>
          </w:tcPr>
          <w:p w14:paraId="1F6163C9" w14:textId="563CD1AE" w:rsidR="00870684" w:rsidRPr="00360131" w:rsidRDefault="00870684" w:rsidP="00116E55">
            <w:pPr>
              <w:rPr>
                <w:b/>
                <w:bCs/>
                <w:sz w:val="20"/>
                <w:szCs w:val="20"/>
              </w:rPr>
            </w:pPr>
            <w:r w:rsidRPr="00360131">
              <w:rPr>
                <w:b/>
                <w:bCs/>
                <w:sz w:val="20"/>
                <w:szCs w:val="20"/>
              </w:rPr>
              <w:t>Controllable ope</w:t>
            </w:r>
            <w:r w:rsidR="00C372FC" w:rsidRPr="00360131">
              <w:rPr>
                <w:b/>
                <w:bCs/>
                <w:sz w:val="20"/>
                <w:szCs w:val="20"/>
              </w:rPr>
              <w:t>rating expenditure</w:t>
            </w:r>
            <w:r w:rsidRPr="00360131">
              <w:rPr>
                <w:b/>
                <w:bCs/>
                <w:sz w:val="20"/>
                <w:szCs w:val="20"/>
              </w:rPr>
              <w:t xml:space="preserve"> outcome relative to allowance</w:t>
            </w:r>
          </w:p>
        </w:tc>
        <w:tc>
          <w:tcPr>
            <w:tcW w:w="1701" w:type="dxa"/>
            <w:tcBorders>
              <w:top w:val="single" w:sz="2" w:space="0" w:color="002279"/>
              <w:left w:val="single" w:sz="2" w:space="0" w:color="002279"/>
              <w:bottom w:val="single" w:sz="2" w:space="0" w:color="002279"/>
              <w:right w:val="single" w:sz="2" w:space="0" w:color="002279"/>
            </w:tcBorders>
            <w:shd w:val="clear" w:color="auto" w:fill="D4D6DF"/>
          </w:tcPr>
          <w:p w14:paraId="763DD2B5" w14:textId="4EFCE796" w:rsidR="00870684" w:rsidRPr="00116E55" w:rsidRDefault="00F90119" w:rsidP="00C9117D">
            <w:pPr>
              <w:jc w:val="center"/>
              <w:rPr>
                <w:sz w:val="20"/>
                <w:szCs w:val="20"/>
              </w:rPr>
            </w:pPr>
            <w:r w:rsidRPr="00116E55">
              <w:rPr>
                <w:sz w:val="20"/>
                <w:szCs w:val="20"/>
              </w:rPr>
              <w:t>4</w:t>
            </w:r>
            <w:r w:rsidR="00870684" w:rsidRPr="00116E55">
              <w:rPr>
                <w:sz w:val="20"/>
                <w:szCs w:val="20"/>
              </w:rPr>
              <w:t xml:space="preserve"> out of 4</w:t>
            </w:r>
          </w:p>
        </w:tc>
        <w:tc>
          <w:tcPr>
            <w:tcW w:w="4111" w:type="dxa"/>
            <w:tcBorders>
              <w:top w:val="single" w:sz="2" w:space="0" w:color="002279"/>
              <w:left w:val="single" w:sz="2" w:space="0" w:color="002279"/>
              <w:bottom w:val="single" w:sz="2" w:space="0" w:color="002279"/>
              <w:right w:val="single" w:sz="2" w:space="0" w:color="002279"/>
            </w:tcBorders>
            <w:shd w:val="clear" w:color="auto" w:fill="D4D6DF"/>
          </w:tcPr>
          <w:p w14:paraId="3CC96EE7" w14:textId="7EC1863C" w:rsidR="00870684" w:rsidRPr="00116E55" w:rsidRDefault="00870684" w:rsidP="00116E55">
            <w:pPr>
              <w:rPr>
                <w:sz w:val="20"/>
                <w:szCs w:val="20"/>
              </w:rPr>
            </w:pPr>
            <w:r w:rsidRPr="00116E55">
              <w:rPr>
                <w:sz w:val="20"/>
                <w:szCs w:val="20"/>
              </w:rPr>
              <w:t xml:space="preserve">Equates to PREMO performance rating of </w:t>
            </w:r>
            <w:r w:rsidR="00295EA4">
              <w:rPr>
                <w:sz w:val="20"/>
                <w:szCs w:val="20"/>
              </w:rPr>
              <w:br/>
            </w:r>
            <w:r w:rsidR="00740BC8" w:rsidRPr="00116E55">
              <w:rPr>
                <w:bCs/>
                <w:sz w:val="20"/>
                <w:szCs w:val="20"/>
              </w:rPr>
              <w:t>Very confident the element is</w:t>
            </w:r>
            <w:r w:rsidR="00740BC8" w:rsidRPr="00116E55">
              <w:rPr>
                <w:bCs/>
                <w:i/>
                <w:iCs/>
                <w:sz w:val="20"/>
                <w:szCs w:val="20"/>
              </w:rPr>
              <w:t xml:space="preserve"> </w:t>
            </w:r>
            <w:r w:rsidR="00612583" w:rsidRPr="00116E55">
              <w:rPr>
                <w:bCs/>
                <w:i/>
                <w:iCs/>
                <w:sz w:val="20"/>
                <w:szCs w:val="20"/>
              </w:rPr>
              <w:t>‘</w:t>
            </w:r>
            <w:r w:rsidR="00740BC8" w:rsidRPr="00116E55">
              <w:rPr>
                <w:bCs/>
                <w:i/>
                <w:iCs/>
                <w:sz w:val="20"/>
                <w:szCs w:val="20"/>
              </w:rPr>
              <w:t>Leading</w:t>
            </w:r>
            <w:r w:rsidR="00612583" w:rsidRPr="00116E55">
              <w:rPr>
                <w:bCs/>
                <w:i/>
                <w:iCs/>
                <w:sz w:val="20"/>
                <w:szCs w:val="20"/>
              </w:rPr>
              <w:t>’</w:t>
            </w:r>
          </w:p>
        </w:tc>
      </w:tr>
      <w:tr w:rsidR="00D64DC8" w14:paraId="78271029" w14:textId="77777777" w:rsidTr="001852AF">
        <w:tc>
          <w:tcPr>
            <w:tcW w:w="3693" w:type="dxa"/>
            <w:tcBorders>
              <w:top w:val="single" w:sz="2" w:space="0" w:color="002279"/>
              <w:left w:val="single" w:sz="2" w:space="0" w:color="002279"/>
              <w:bottom w:val="single" w:sz="2" w:space="0" w:color="002279"/>
              <w:right w:val="single" w:sz="2" w:space="0" w:color="002279"/>
            </w:tcBorders>
          </w:tcPr>
          <w:p w14:paraId="0827CBE5" w14:textId="7D91E464" w:rsidR="00870684" w:rsidRPr="00360131" w:rsidRDefault="00870684" w:rsidP="00116E55">
            <w:pPr>
              <w:rPr>
                <w:b/>
                <w:bCs/>
                <w:sz w:val="20"/>
                <w:szCs w:val="20"/>
              </w:rPr>
            </w:pPr>
            <w:r w:rsidRPr="00360131">
              <w:rPr>
                <w:b/>
                <w:bCs/>
                <w:sz w:val="20"/>
                <w:szCs w:val="20"/>
              </w:rPr>
              <w:t>Cap</w:t>
            </w:r>
            <w:r w:rsidR="00FA2074" w:rsidRPr="00360131">
              <w:rPr>
                <w:b/>
                <w:bCs/>
                <w:sz w:val="20"/>
                <w:szCs w:val="20"/>
              </w:rPr>
              <w:t xml:space="preserve">ital </w:t>
            </w:r>
            <w:r w:rsidR="00906B25" w:rsidRPr="00360131">
              <w:rPr>
                <w:b/>
                <w:bCs/>
                <w:sz w:val="20"/>
                <w:szCs w:val="20"/>
              </w:rPr>
              <w:t>expenditure</w:t>
            </w:r>
            <w:r w:rsidRPr="00360131">
              <w:rPr>
                <w:b/>
                <w:bCs/>
                <w:sz w:val="20"/>
                <w:szCs w:val="20"/>
              </w:rPr>
              <w:t xml:space="preserve"> outcome relative to allowance</w:t>
            </w:r>
          </w:p>
        </w:tc>
        <w:tc>
          <w:tcPr>
            <w:tcW w:w="1701" w:type="dxa"/>
            <w:tcBorders>
              <w:top w:val="single" w:sz="2" w:space="0" w:color="002279"/>
              <w:left w:val="single" w:sz="2" w:space="0" w:color="002279"/>
              <w:bottom w:val="single" w:sz="2" w:space="0" w:color="002279"/>
              <w:right w:val="single" w:sz="2" w:space="0" w:color="002279"/>
            </w:tcBorders>
          </w:tcPr>
          <w:p w14:paraId="79C5CCA8" w14:textId="4099D287" w:rsidR="00870684" w:rsidRPr="00116E55" w:rsidRDefault="0070083D" w:rsidP="00C9117D">
            <w:pPr>
              <w:jc w:val="center"/>
              <w:rPr>
                <w:sz w:val="20"/>
                <w:szCs w:val="20"/>
              </w:rPr>
            </w:pPr>
            <w:r w:rsidRPr="00116E55">
              <w:rPr>
                <w:sz w:val="20"/>
                <w:szCs w:val="20"/>
              </w:rPr>
              <w:t>4 out of 4</w:t>
            </w:r>
          </w:p>
        </w:tc>
        <w:tc>
          <w:tcPr>
            <w:tcW w:w="4111" w:type="dxa"/>
            <w:tcBorders>
              <w:top w:val="single" w:sz="2" w:space="0" w:color="002279"/>
              <w:left w:val="single" w:sz="2" w:space="0" w:color="002279"/>
              <w:bottom w:val="single" w:sz="2" w:space="0" w:color="002279"/>
              <w:right w:val="single" w:sz="2" w:space="0" w:color="002279"/>
            </w:tcBorders>
          </w:tcPr>
          <w:p w14:paraId="34493946" w14:textId="23799F84" w:rsidR="00870684" w:rsidRPr="00116E55" w:rsidRDefault="0070083D" w:rsidP="00116E55">
            <w:pPr>
              <w:rPr>
                <w:sz w:val="20"/>
                <w:szCs w:val="20"/>
              </w:rPr>
            </w:pPr>
            <w:r w:rsidRPr="00116E55">
              <w:rPr>
                <w:sz w:val="20"/>
                <w:szCs w:val="20"/>
              </w:rPr>
              <w:t xml:space="preserve">Equates to PREMO performance rating of </w:t>
            </w:r>
            <w:r w:rsidR="00295EA4">
              <w:rPr>
                <w:sz w:val="20"/>
                <w:szCs w:val="20"/>
              </w:rPr>
              <w:br/>
            </w:r>
            <w:r w:rsidRPr="00116E55">
              <w:rPr>
                <w:bCs/>
                <w:sz w:val="20"/>
                <w:szCs w:val="20"/>
              </w:rPr>
              <w:t>Very confident the element is</w:t>
            </w:r>
            <w:r w:rsidRPr="00116E55">
              <w:rPr>
                <w:bCs/>
                <w:i/>
                <w:iCs/>
                <w:sz w:val="20"/>
                <w:szCs w:val="20"/>
              </w:rPr>
              <w:t xml:space="preserve"> </w:t>
            </w:r>
            <w:r w:rsidR="00612583" w:rsidRPr="00116E55">
              <w:rPr>
                <w:bCs/>
                <w:i/>
                <w:iCs/>
                <w:sz w:val="20"/>
                <w:szCs w:val="20"/>
              </w:rPr>
              <w:t>‘</w:t>
            </w:r>
            <w:r w:rsidRPr="00116E55">
              <w:rPr>
                <w:bCs/>
                <w:i/>
                <w:iCs/>
                <w:sz w:val="20"/>
                <w:szCs w:val="20"/>
              </w:rPr>
              <w:t>Leading</w:t>
            </w:r>
            <w:r w:rsidR="00612583" w:rsidRPr="00116E55">
              <w:rPr>
                <w:bCs/>
                <w:i/>
                <w:iCs/>
                <w:sz w:val="20"/>
                <w:szCs w:val="20"/>
              </w:rPr>
              <w:t>’</w:t>
            </w:r>
          </w:p>
        </w:tc>
      </w:tr>
      <w:tr w:rsidR="00AF4CBF" w14:paraId="467DA900" w14:textId="77777777" w:rsidTr="001852AF">
        <w:tc>
          <w:tcPr>
            <w:tcW w:w="3693" w:type="dxa"/>
            <w:tcBorders>
              <w:top w:val="single" w:sz="2" w:space="0" w:color="002279"/>
              <w:left w:val="single" w:sz="2" w:space="0" w:color="002279"/>
              <w:bottom w:val="single" w:sz="2" w:space="0" w:color="002279"/>
              <w:right w:val="single" w:sz="2" w:space="0" w:color="002279"/>
            </w:tcBorders>
            <w:shd w:val="clear" w:color="auto" w:fill="D4D6DF"/>
          </w:tcPr>
          <w:p w14:paraId="0DA3FE04" w14:textId="67F004B6" w:rsidR="00870684" w:rsidRPr="00360131" w:rsidRDefault="00B65523" w:rsidP="00116E55">
            <w:pPr>
              <w:rPr>
                <w:b/>
                <w:bCs/>
                <w:sz w:val="20"/>
                <w:szCs w:val="20"/>
              </w:rPr>
            </w:pPr>
            <w:r w:rsidRPr="00360131">
              <w:rPr>
                <w:b/>
                <w:bCs/>
                <w:sz w:val="20"/>
                <w:szCs w:val="20"/>
              </w:rPr>
              <w:t xml:space="preserve">Top 10 major </w:t>
            </w:r>
            <w:r w:rsidR="00870684" w:rsidRPr="00360131">
              <w:rPr>
                <w:b/>
                <w:bCs/>
                <w:sz w:val="20"/>
                <w:szCs w:val="20"/>
              </w:rPr>
              <w:t>project delivery against expectations</w:t>
            </w:r>
          </w:p>
        </w:tc>
        <w:tc>
          <w:tcPr>
            <w:tcW w:w="1701" w:type="dxa"/>
            <w:tcBorders>
              <w:top w:val="single" w:sz="2" w:space="0" w:color="002279"/>
              <w:left w:val="single" w:sz="2" w:space="0" w:color="002279"/>
              <w:bottom w:val="single" w:sz="2" w:space="0" w:color="002279"/>
              <w:right w:val="single" w:sz="2" w:space="0" w:color="002279"/>
            </w:tcBorders>
            <w:shd w:val="clear" w:color="auto" w:fill="D4D6DF"/>
          </w:tcPr>
          <w:p w14:paraId="6754A283" w14:textId="3BFDA1F7" w:rsidR="00870684" w:rsidRPr="00116E55" w:rsidRDefault="00F35C5D" w:rsidP="00C9117D">
            <w:pPr>
              <w:jc w:val="center"/>
              <w:rPr>
                <w:sz w:val="20"/>
                <w:szCs w:val="20"/>
              </w:rPr>
            </w:pPr>
            <w:r w:rsidRPr="00116E55">
              <w:rPr>
                <w:sz w:val="20"/>
                <w:szCs w:val="20"/>
              </w:rPr>
              <w:t>3</w:t>
            </w:r>
            <w:r w:rsidR="00870684" w:rsidRPr="00116E55">
              <w:rPr>
                <w:sz w:val="20"/>
                <w:szCs w:val="20"/>
              </w:rPr>
              <w:t xml:space="preserve"> out of 4</w:t>
            </w:r>
          </w:p>
        </w:tc>
        <w:tc>
          <w:tcPr>
            <w:tcW w:w="4111" w:type="dxa"/>
            <w:tcBorders>
              <w:top w:val="single" w:sz="2" w:space="0" w:color="002279"/>
              <w:left w:val="single" w:sz="2" w:space="0" w:color="002279"/>
              <w:bottom w:val="single" w:sz="2" w:space="0" w:color="002279"/>
              <w:right w:val="single" w:sz="2" w:space="0" w:color="002279"/>
            </w:tcBorders>
            <w:shd w:val="clear" w:color="auto" w:fill="D4D6DF"/>
          </w:tcPr>
          <w:p w14:paraId="34EB6B3C" w14:textId="609F3EE4" w:rsidR="00870684" w:rsidRPr="00116E55" w:rsidRDefault="00870684" w:rsidP="00116E55">
            <w:pPr>
              <w:rPr>
                <w:sz w:val="20"/>
                <w:szCs w:val="20"/>
              </w:rPr>
            </w:pPr>
            <w:r w:rsidRPr="00116E55">
              <w:rPr>
                <w:sz w:val="20"/>
                <w:szCs w:val="20"/>
              </w:rPr>
              <w:t xml:space="preserve">Equates to PREMO performance rating of </w:t>
            </w:r>
            <w:r w:rsidR="00F35C5D" w:rsidRPr="00116E55">
              <w:rPr>
                <w:bCs/>
                <w:sz w:val="20"/>
                <w:szCs w:val="20"/>
              </w:rPr>
              <w:t>Satisfied</w:t>
            </w:r>
            <w:r w:rsidR="0095795C" w:rsidRPr="00116E55">
              <w:rPr>
                <w:bCs/>
                <w:sz w:val="20"/>
                <w:szCs w:val="20"/>
              </w:rPr>
              <w:t xml:space="preserve"> the element is</w:t>
            </w:r>
            <w:r w:rsidR="0095795C" w:rsidRPr="00116E55">
              <w:rPr>
                <w:bCs/>
                <w:i/>
                <w:iCs/>
                <w:sz w:val="20"/>
                <w:szCs w:val="20"/>
              </w:rPr>
              <w:t xml:space="preserve"> </w:t>
            </w:r>
            <w:r w:rsidR="00612583" w:rsidRPr="00116E55">
              <w:rPr>
                <w:bCs/>
                <w:i/>
                <w:iCs/>
                <w:sz w:val="20"/>
                <w:szCs w:val="20"/>
              </w:rPr>
              <w:t>‘</w:t>
            </w:r>
            <w:r w:rsidR="0095795C" w:rsidRPr="00116E55">
              <w:rPr>
                <w:bCs/>
                <w:i/>
                <w:iCs/>
                <w:sz w:val="20"/>
                <w:szCs w:val="20"/>
              </w:rPr>
              <w:t>Advanced</w:t>
            </w:r>
            <w:r w:rsidR="00612583" w:rsidRPr="00116E55">
              <w:rPr>
                <w:bCs/>
                <w:i/>
                <w:iCs/>
                <w:sz w:val="20"/>
                <w:szCs w:val="20"/>
              </w:rPr>
              <w:t>’</w:t>
            </w:r>
          </w:p>
        </w:tc>
      </w:tr>
    </w:tbl>
    <w:p w14:paraId="400AF942" w14:textId="77777777" w:rsidR="004A5803" w:rsidRDefault="004A5803" w:rsidP="004A5803">
      <w:bookmarkStart w:id="22" w:name="_Toc103770907"/>
    </w:p>
    <w:p w14:paraId="62015D68" w14:textId="60B1BFB8" w:rsidR="002F1B12" w:rsidRDefault="002F1B12" w:rsidP="002F1B12">
      <w:r>
        <w:t xml:space="preserve">Further detail on the calculation of these scores is provided in the </w:t>
      </w:r>
      <w:r w:rsidRPr="00116E55">
        <w:t xml:space="preserve">Performance </w:t>
      </w:r>
      <w:r w:rsidR="00B9051A" w:rsidRPr="00116E55">
        <w:t>Self-Assessment</w:t>
      </w:r>
      <w:r w:rsidRPr="00116E55">
        <w:t xml:space="preserve"> Framework </w:t>
      </w:r>
      <w:r w:rsidR="00237893" w:rsidRPr="00EF1013">
        <w:t>(</w:t>
      </w:r>
      <w:r w:rsidR="00772462" w:rsidRPr="00EF1013">
        <w:t xml:space="preserve">Appendix </w:t>
      </w:r>
      <w:r w:rsidR="00FE16CB" w:rsidRPr="00EF1013">
        <w:t>3</w:t>
      </w:r>
      <w:r w:rsidR="00237893" w:rsidRPr="00EF1013">
        <w:t>)</w:t>
      </w:r>
      <w:r w:rsidR="00237893">
        <w:rPr>
          <w:i/>
          <w:iCs/>
        </w:rPr>
        <w:t xml:space="preserve"> </w:t>
      </w:r>
      <w:r>
        <w:t xml:space="preserve">and </w:t>
      </w:r>
      <w:r w:rsidRPr="002A39BE">
        <w:t xml:space="preserve">Major Projects </w:t>
      </w:r>
      <w:r w:rsidR="00FE16CB" w:rsidRPr="002A39BE">
        <w:t>(2018</w:t>
      </w:r>
      <w:r w:rsidR="007D4EB3" w:rsidRPr="002A39BE">
        <w:t>–</w:t>
      </w:r>
      <w:r w:rsidR="00FE16CB" w:rsidRPr="002A39BE">
        <w:t xml:space="preserve">23) </w:t>
      </w:r>
      <w:r w:rsidRPr="002A39BE">
        <w:t>Summary Report</w:t>
      </w:r>
      <w:r w:rsidR="00FE16CB" w:rsidRPr="002A39BE">
        <w:t xml:space="preserve"> </w:t>
      </w:r>
      <w:r w:rsidR="00FE16CB" w:rsidRPr="0003470A">
        <w:t>(Appendix 2)</w:t>
      </w:r>
      <w:r w:rsidRPr="00C824AC">
        <w:t>.</w:t>
      </w:r>
      <w:r>
        <w:t xml:space="preserve"> </w:t>
      </w:r>
    </w:p>
    <w:p w14:paraId="1E14D3F5" w14:textId="77777777" w:rsidR="00DB52CB" w:rsidRDefault="00DB52CB" w:rsidP="002F1B12"/>
    <w:p w14:paraId="0AED01C2" w14:textId="3F32B3F6" w:rsidR="00870684" w:rsidRPr="00A15E29" w:rsidRDefault="00C52151" w:rsidP="008E132A">
      <w:pPr>
        <w:pStyle w:val="Heading2"/>
      </w:pPr>
      <w:r>
        <w:t xml:space="preserve">1.3 </w:t>
      </w:r>
      <w:r w:rsidR="00B85C10">
        <w:t>Benchma</w:t>
      </w:r>
      <w:r w:rsidR="007B4F2A">
        <w:t>r</w:t>
      </w:r>
      <w:r w:rsidR="00B85C10">
        <w:t xml:space="preserve">king against industry </w:t>
      </w:r>
      <w:r w:rsidR="00870684" w:rsidRPr="00A15E29">
        <w:t>performance</w:t>
      </w:r>
      <w:bookmarkEnd w:id="22"/>
    </w:p>
    <w:p w14:paraId="1C628A3A" w14:textId="04C56472" w:rsidR="005B2FA6" w:rsidRPr="00A15E29" w:rsidRDefault="005B2FA6" w:rsidP="005B2FA6">
      <w:pPr>
        <w:pStyle w:val="Heading3"/>
      </w:pPr>
      <w:r>
        <w:t>Customer satisfaction</w:t>
      </w:r>
    </w:p>
    <w:p w14:paraId="41691FE1" w14:textId="668A2DB5" w:rsidR="00870684" w:rsidRDefault="00870684" w:rsidP="00870684">
      <w:r>
        <w:t>Customer satisfaction with South East Water is regularly tested in surveys conducted</w:t>
      </w:r>
      <w:r w:rsidR="00431724">
        <w:t xml:space="preserve"> </w:t>
      </w:r>
      <w:r>
        <w:t xml:space="preserve">by the ESC and by our </w:t>
      </w:r>
      <w:r w:rsidR="006B0BBE">
        <w:t>organisation</w:t>
      </w:r>
      <w:r>
        <w:t>. Both sources indicate a high level of customer</w:t>
      </w:r>
      <w:r w:rsidR="00431724">
        <w:t xml:space="preserve"> </w:t>
      </w:r>
      <w:r>
        <w:t xml:space="preserve">satisfaction since the commencement of the </w:t>
      </w:r>
      <w:r w:rsidRPr="00A6353C">
        <w:t>2018</w:t>
      </w:r>
      <w:r w:rsidR="007D4EB3">
        <w:t>–</w:t>
      </w:r>
      <w:r w:rsidRPr="00A6353C">
        <w:t>23</w:t>
      </w:r>
      <w:r>
        <w:t xml:space="preserve"> regulatory period.</w:t>
      </w:r>
    </w:p>
    <w:p w14:paraId="7EF42CEE" w14:textId="47E20317" w:rsidR="00870684" w:rsidRDefault="00870684" w:rsidP="00870684">
      <w:r>
        <w:t>The ESC</w:t>
      </w:r>
      <w:r w:rsidR="00612583">
        <w:t>’</w:t>
      </w:r>
      <w:r>
        <w:t xml:space="preserve">s quarterly </w:t>
      </w:r>
      <w:r w:rsidR="002B1970">
        <w:t>W</w:t>
      </w:r>
      <w:r>
        <w:t xml:space="preserve">ater </w:t>
      </w:r>
      <w:r w:rsidR="002B1970">
        <w:t>C</w:t>
      </w:r>
      <w:r>
        <w:t xml:space="preserve">ustomer </w:t>
      </w:r>
      <w:r w:rsidR="002B1970">
        <w:t>S</w:t>
      </w:r>
      <w:r>
        <w:t xml:space="preserve">atisfaction </w:t>
      </w:r>
      <w:r w:rsidR="002B1970">
        <w:t>S</w:t>
      </w:r>
      <w:r>
        <w:t xml:space="preserve">urvey (which asks customers about their view on </w:t>
      </w:r>
      <w:r w:rsidRPr="0016591F">
        <w:t>value for money, reputation in the community, level of trust and overall satisfaction</w:t>
      </w:r>
      <w:r>
        <w:t xml:space="preserve">) shows that </w:t>
      </w:r>
      <w:r w:rsidR="00B3781C">
        <w:t>we</w:t>
      </w:r>
      <w:r>
        <w:t xml:space="preserve"> consistently </w:t>
      </w:r>
      <w:r w:rsidR="00013252">
        <w:t>have</w:t>
      </w:r>
      <w:r>
        <w:t xml:space="preserve"> had one of the higher customer satisfaction ratings among the Victorian water businesses in the current regulatory period.</w:t>
      </w:r>
      <w:r w:rsidR="001F22B2">
        <w:t xml:space="preserve"> </w:t>
      </w:r>
    </w:p>
    <w:p w14:paraId="1783254E" w14:textId="78C0220F" w:rsidR="00E60E0D" w:rsidRPr="00CB0971" w:rsidRDefault="00746BB8">
      <w:pPr>
        <w:rPr>
          <w:lang w:val="en-US"/>
        </w:rPr>
      </w:pPr>
      <w:r>
        <w:t xml:space="preserve">Figure 1 </w:t>
      </w:r>
      <w:r w:rsidR="00870684">
        <w:t xml:space="preserve">provides the most recent survey </w:t>
      </w:r>
      <w:r w:rsidR="001B1380">
        <w:t>result</w:t>
      </w:r>
      <w:r w:rsidR="00E81960">
        <w:t>s (for 2021</w:t>
      </w:r>
      <w:r w:rsidR="007D4EB3">
        <w:t>–</w:t>
      </w:r>
      <w:r w:rsidR="00902D2B">
        <w:t>22) and shows that South</w:t>
      </w:r>
      <w:r w:rsidR="00325C01">
        <w:t> </w:t>
      </w:r>
      <w:r w:rsidR="00902D2B">
        <w:t>East Water has</w:t>
      </w:r>
      <w:r w:rsidR="00072532">
        <w:t xml:space="preserve"> the</w:t>
      </w:r>
      <w:r w:rsidR="00902D2B">
        <w:t xml:space="preserve"> </w:t>
      </w:r>
      <w:r w:rsidR="00E36000">
        <w:t>highest customer satisfaction rating among the Victorian water businesses.</w:t>
      </w:r>
      <w:bookmarkStart w:id="23" w:name="_Ref106122182"/>
    </w:p>
    <w:p w14:paraId="6FA63D9F" w14:textId="1D8DAC1F" w:rsidR="00C4704B" w:rsidRDefault="00C4704B">
      <w:r>
        <w:br w:type="page"/>
      </w:r>
    </w:p>
    <w:p w14:paraId="7CF785D8" w14:textId="7D1759C0" w:rsidR="00870684" w:rsidRPr="00746BB8" w:rsidRDefault="003522F3" w:rsidP="00870684">
      <w:pPr>
        <w:pStyle w:val="Figuretitle"/>
        <w:rPr>
          <w:i/>
          <w:sz w:val="22"/>
          <w:szCs w:val="22"/>
        </w:rPr>
      </w:pPr>
      <w:bookmarkStart w:id="24" w:name="_Ref107846388"/>
      <w:r w:rsidRPr="00746BB8">
        <w:rPr>
          <w:i/>
          <w:noProof/>
          <w:sz w:val="22"/>
          <w:szCs w:val="22"/>
        </w:rPr>
        <w:lastRenderedPageBreak/>
        <w:drawing>
          <wp:anchor distT="0" distB="0" distL="114300" distR="114300" simplePos="0" relativeHeight="251658289" behindDoc="0" locked="0" layoutInCell="1" allowOverlap="1" wp14:anchorId="16AFA6B5" wp14:editId="535226D4">
            <wp:simplePos x="0" y="0"/>
            <wp:positionH relativeFrom="column">
              <wp:posOffset>10160</wp:posOffset>
            </wp:positionH>
            <wp:positionV relativeFrom="paragraph">
              <wp:posOffset>274955</wp:posOffset>
            </wp:positionV>
            <wp:extent cx="4876800" cy="3899535"/>
            <wp:effectExtent l="0" t="0" r="2540" b="0"/>
            <wp:wrapTopAndBottom/>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76800" cy="3899535"/>
                    </a:xfrm>
                    <a:prstGeom prst="rect">
                      <a:avLst/>
                    </a:prstGeom>
                  </pic:spPr>
                </pic:pic>
              </a:graphicData>
            </a:graphic>
            <wp14:sizeRelH relativeFrom="page">
              <wp14:pctWidth>0</wp14:pctWidth>
            </wp14:sizeRelH>
            <wp14:sizeRelV relativeFrom="page">
              <wp14:pctHeight>0</wp14:pctHeight>
            </wp14:sizeRelV>
          </wp:anchor>
        </w:drawing>
      </w:r>
      <w:r w:rsidR="00870684" w:rsidRPr="00746BB8">
        <w:rPr>
          <w:i/>
          <w:sz w:val="22"/>
          <w:szCs w:val="22"/>
        </w:rPr>
        <w:t xml:space="preserve">Figure </w:t>
      </w:r>
      <w:r w:rsidR="00870684" w:rsidRPr="00746BB8">
        <w:rPr>
          <w:i/>
          <w:sz w:val="22"/>
          <w:szCs w:val="22"/>
        </w:rPr>
        <w:fldChar w:fldCharType="begin"/>
      </w:r>
      <w:r w:rsidR="00870684" w:rsidRPr="00116E55">
        <w:rPr>
          <w:i/>
          <w:sz w:val="20"/>
          <w:szCs w:val="20"/>
        </w:rPr>
        <w:instrText>SEQ Figure \* ARABIC</w:instrText>
      </w:r>
      <w:r w:rsidR="00870684" w:rsidRPr="00746BB8">
        <w:rPr>
          <w:i/>
          <w:sz w:val="22"/>
          <w:szCs w:val="22"/>
        </w:rPr>
        <w:fldChar w:fldCharType="separate"/>
      </w:r>
      <w:r w:rsidR="00877DE6">
        <w:rPr>
          <w:i/>
          <w:noProof/>
          <w:sz w:val="20"/>
          <w:szCs w:val="20"/>
        </w:rPr>
        <w:t>1</w:t>
      </w:r>
      <w:r w:rsidR="00870684" w:rsidRPr="00746BB8">
        <w:rPr>
          <w:i/>
          <w:sz w:val="22"/>
          <w:szCs w:val="22"/>
        </w:rPr>
        <w:fldChar w:fldCharType="end"/>
      </w:r>
      <w:bookmarkEnd w:id="23"/>
      <w:bookmarkEnd w:id="24"/>
      <w:r w:rsidR="00746BB8" w:rsidRPr="00746BB8">
        <w:rPr>
          <w:i/>
          <w:sz w:val="22"/>
          <w:szCs w:val="22"/>
        </w:rPr>
        <w:t>:</w:t>
      </w:r>
      <w:r w:rsidR="00A118EA" w:rsidRPr="00746BB8">
        <w:rPr>
          <w:i/>
          <w:sz w:val="22"/>
          <w:szCs w:val="22"/>
        </w:rPr>
        <w:t xml:space="preserve"> </w:t>
      </w:r>
      <w:r w:rsidR="00870684" w:rsidRPr="00746BB8">
        <w:rPr>
          <w:i/>
          <w:sz w:val="22"/>
          <w:szCs w:val="22"/>
        </w:rPr>
        <w:t>Overall customer satisfaction rating</w:t>
      </w:r>
      <w:r w:rsidR="007A6D60" w:rsidRPr="00746BB8">
        <w:rPr>
          <w:i/>
          <w:sz w:val="22"/>
          <w:szCs w:val="22"/>
        </w:rPr>
        <w:t xml:space="preserve"> (score out of 10)</w:t>
      </w:r>
    </w:p>
    <w:p w14:paraId="416F0CC1" w14:textId="77777777" w:rsidR="00D2162F" w:rsidRPr="00116E55" w:rsidRDefault="00D2162F" w:rsidP="00870684">
      <w:pPr>
        <w:pStyle w:val="Figuretitle"/>
        <w:rPr>
          <w:i/>
          <w:sz w:val="20"/>
          <w:szCs w:val="20"/>
        </w:rPr>
      </w:pPr>
    </w:p>
    <w:p w14:paraId="092D9BD5" w14:textId="77777777" w:rsidR="00BF625F" w:rsidRDefault="00BF625F" w:rsidP="00116E55">
      <w:pPr>
        <w:spacing w:after="60"/>
        <w:rPr>
          <w:sz w:val="16"/>
          <w:szCs w:val="16"/>
        </w:rPr>
      </w:pPr>
      <w:r>
        <w:rPr>
          <w:sz w:val="16"/>
          <w:szCs w:val="16"/>
        </w:rPr>
        <w:t xml:space="preserve">Note: </w:t>
      </w:r>
      <w:r w:rsidRPr="00BF625F">
        <w:rPr>
          <w:sz w:val="16"/>
          <w:szCs w:val="16"/>
        </w:rPr>
        <w:t>The yellow dots show April 2021 to January 2022 results. The bars show July 2021 to June 2022 results.</w:t>
      </w:r>
    </w:p>
    <w:p w14:paraId="4C383594" w14:textId="247FFAAD" w:rsidR="00870684" w:rsidRDefault="00870684" w:rsidP="00900FCD">
      <w:pPr>
        <w:spacing w:after="40"/>
        <w:rPr>
          <w:sz w:val="16"/>
          <w:szCs w:val="16"/>
        </w:rPr>
      </w:pPr>
      <w:r w:rsidRPr="00AA1D73">
        <w:rPr>
          <w:sz w:val="16"/>
          <w:szCs w:val="16"/>
        </w:rPr>
        <w:t>Source: Essential Services Commission 2022.</w:t>
      </w:r>
    </w:p>
    <w:p w14:paraId="5CC07206" w14:textId="77777777" w:rsidR="00900FCD" w:rsidRPr="00AA1D73" w:rsidRDefault="00900FCD" w:rsidP="00116E55">
      <w:pPr>
        <w:spacing w:after="40"/>
        <w:rPr>
          <w:sz w:val="16"/>
          <w:szCs w:val="16"/>
        </w:rPr>
      </w:pPr>
    </w:p>
    <w:p w14:paraId="2AD0F0CE" w14:textId="2074C11A" w:rsidR="00870684" w:rsidRDefault="00870684" w:rsidP="00870684">
      <w:r>
        <w:t xml:space="preserve">There is also consistency in customer satisfaction outcomes between the ESC and </w:t>
      </w:r>
      <w:r w:rsidR="005F3AB4">
        <w:t xml:space="preserve">our </w:t>
      </w:r>
      <w:r w:rsidR="005D046F">
        <w:t xml:space="preserve">own </w:t>
      </w:r>
      <w:r>
        <w:t xml:space="preserve">customer surveys. </w:t>
      </w:r>
      <w:r w:rsidR="005F3AB4">
        <w:t xml:space="preserve">We </w:t>
      </w:r>
      <w:r>
        <w:t>test customer satisfaction on an ongoing basis via:</w:t>
      </w:r>
    </w:p>
    <w:p w14:paraId="2CB2D618" w14:textId="5BE9960E" w:rsidR="00870684" w:rsidRDefault="00E11DC3">
      <w:pPr>
        <w:pStyle w:val="ListBullet"/>
        <w:numPr>
          <w:ilvl w:val="0"/>
          <w:numId w:val="49"/>
        </w:numPr>
        <w:tabs>
          <w:tab w:val="clear" w:pos="397"/>
        </w:tabs>
      </w:pPr>
      <w:r>
        <w:t>p</w:t>
      </w:r>
      <w:r w:rsidR="00870684">
        <w:t>ost</w:t>
      </w:r>
      <w:r>
        <w:t>-</w:t>
      </w:r>
      <w:r w:rsidR="00870684">
        <w:t xml:space="preserve">interaction surveys: </w:t>
      </w:r>
      <w:r w:rsidR="004146A6">
        <w:t>s</w:t>
      </w:r>
      <w:r w:rsidR="00870684" w:rsidRPr="000740D8">
        <w:t>ent out following an inbound call to the accounts and faults lines</w:t>
      </w:r>
      <w:r w:rsidR="00870684">
        <w:t xml:space="preserve">, </w:t>
      </w:r>
      <w:r w:rsidR="00870684" w:rsidRPr="000740D8">
        <w:t>completing a transaction or lodging an enquiry online</w:t>
      </w:r>
    </w:p>
    <w:p w14:paraId="63CC2697" w14:textId="20B2123C" w:rsidR="00870684" w:rsidRDefault="002D5A9B">
      <w:pPr>
        <w:pStyle w:val="ListBullet"/>
        <w:numPr>
          <w:ilvl w:val="0"/>
          <w:numId w:val="49"/>
        </w:numPr>
        <w:tabs>
          <w:tab w:val="clear" w:pos="397"/>
        </w:tabs>
      </w:pPr>
      <w:r>
        <w:t>a</w:t>
      </w:r>
      <w:r w:rsidR="00870684">
        <w:t xml:space="preserve">fter an unplanned interruption: </w:t>
      </w:r>
      <w:r w:rsidR="004146A6">
        <w:t>e</w:t>
      </w:r>
      <w:r w:rsidR="00870684" w:rsidRPr="000740D8">
        <w:t>mailed and letterbox drop surveys (</w:t>
      </w:r>
      <w:r w:rsidR="00870684">
        <w:t xml:space="preserve">containing the </w:t>
      </w:r>
      <w:r w:rsidR="00870684" w:rsidRPr="000740D8">
        <w:t>same questions) that go to any household affected by an unplanned water supply interruption</w:t>
      </w:r>
    </w:p>
    <w:p w14:paraId="29F160D3" w14:textId="176410E0" w:rsidR="00870684" w:rsidRDefault="007A4A70">
      <w:pPr>
        <w:pStyle w:val="ListBullet"/>
        <w:numPr>
          <w:ilvl w:val="0"/>
          <w:numId w:val="49"/>
        </w:numPr>
        <w:tabs>
          <w:tab w:val="clear" w:pos="397"/>
        </w:tabs>
      </w:pPr>
      <w:r>
        <w:t xml:space="preserve">a </w:t>
      </w:r>
      <w:r w:rsidR="00870684" w:rsidRPr="000740D8">
        <w:t>Brand</w:t>
      </w:r>
      <w:r w:rsidR="002C27B1">
        <w:t xml:space="preserve"> </w:t>
      </w:r>
      <w:r w:rsidR="00870684" w:rsidRPr="000740D8">
        <w:t>tracker</w:t>
      </w:r>
      <w:r w:rsidR="00870684">
        <w:t xml:space="preserve"> survey:</w:t>
      </w:r>
      <w:r>
        <w:t xml:space="preserve"> a</w:t>
      </w:r>
      <w:r w:rsidR="00870684">
        <w:t xml:space="preserve"> </w:t>
      </w:r>
      <w:r w:rsidR="004146A6">
        <w:t>m</w:t>
      </w:r>
      <w:r w:rsidR="00870684">
        <w:t>onthly survey conducted by a panel provider</w:t>
      </w:r>
      <w:r w:rsidR="005A2795">
        <w:t>,</w:t>
      </w:r>
      <w:r w:rsidR="00870684">
        <w:t xml:space="preserve"> targeting </w:t>
      </w:r>
      <w:r w:rsidR="005254D0">
        <w:t>consumers</w:t>
      </w:r>
      <w:r w:rsidR="00870684">
        <w:t xml:space="preserve"> in </w:t>
      </w:r>
      <w:r w:rsidR="002D5A9B">
        <w:t xml:space="preserve">our </w:t>
      </w:r>
      <w:r w:rsidR="00870684">
        <w:t>service area</w:t>
      </w:r>
      <w:r w:rsidR="00853612">
        <w:t xml:space="preserve"> </w:t>
      </w:r>
      <w:r w:rsidR="006321E6">
        <w:t>who</w:t>
      </w:r>
      <w:r w:rsidR="00853612">
        <w:t xml:space="preserve"> may not be </w:t>
      </w:r>
      <w:r w:rsidR="0098298D">
        <w:t>account holder</w:t>
      </w:r>
      <w:r w:rsidR="006321E6">
        <w:t>s</w:t>
      </w:r>
      <w:r w:rsidR="00870684">
        <w:t>.</w:t>
      </w:r>
    </w:p>
    <w:p w14:paraId="2C1C3CB2" w14:textId="47733476" w:rsidR="00870684" w:rsidRDefault="00870684" w:rsidP="00870684">
      <w:r>
        <w:t xml:space="preserve">Over the period 1 July 2018 to 31 March 2022, </w:t>
      </w:r>
      <w:r w:rsidRPr="00986846">
        <w:t>102,652</w:t>
      </w:r>
      <w:r>
        <w:t xml:space="preserve"> participants responded to these survey</w:t>
      </w:r>
      <w:r w:rsidR="00884D78">
        <w:t>s</w:t>
      </w:r>
      <w:r>
        <w:t xml:space="preserve"> providing the following satisfaction scores (with 100% representing the highest possible score):</w:t>
      </w:r>
    </w:p>
    <w:p w14:paraId="52513B6D" w14:textId="4D86745D" w:rsidR="00870684" w:rsidRPr="00E75969" w:rsidRDefault="00F6749E">
      <w:pPr>
        <w:pStyle w:val="Bulletlistmultilevel"/>
        <w:numPr>
          <w:ilvl w:val="0"/>
          <w:numId w:val="50"/>
        </w:numPr>
        <w:rPr>
          <w:rFonts w:ascii="Arial" w:hAnsi="Arial" w:cs="Arial"/>
          <w:sz w:val="24"/>
          <w:szCs w:val="24"/>
        </w:rPr>
      </w:pPr>
      <w:r>
        <w:rPr>
          <w:rFonts w:ascii="Arial" w:hAnsi="Arial" w:cs="Arial"/>
          <w:sz w:val="24"/>
          <w:szCs w:val="24"/>
        </w:rPr>
        <w:t>o</w:t>
      </w:r>
      <w:r w:rsidRPr="00E75969">
        <w:rPr>
          <w:rFonts w:ascii="Arial" w:hAnsi="Arial" w:cs="Arial"/>
          <w:sz w:val="24"/>
          <w:szCs w:val="24"/>
        </w:rPr>
        <w:t xml:space="preserve">verall </w:t>
      </w:r>
      <w:r w:rsidR="00870684" w:rsidRPr="00E75969">
        <w:rPr>
          <w:rFonts w:ascii="Arial" w:hAnsi="Arial" w:cs="Arial"/>
          <w:sz w:val="24"/>
          <w:szCs w:val="24"/>
        </w:rPr>
        <w:t>customer satisfaction: 84%</w:t>
      </w:r>
    </w:p>
    <w:p w14:paraId="1161985F" w14:textId="3A2AF9B0" w:rsidR="00870684" w:rsidRPr="00E75969" w:rsidRDefault="00F6749E">
      <w:pPr>
        <w:pStyle w:val="Bulletlistmultilevel"/>
        <w:numPr>
          <w:ilvl w:val="0"/>
          <w:numId w:val="50"/>
        </w:numPr>
        <w:rPr>
          <w:rFonts w:ascii="Arial" w:hAnsi="Arial" w:cs="Arial"/>
          <w:sz w:val="24"/>
          <w:szCs w:val="24"/>
        </w:rPr>
      </w:pPr>
      <w:r>
        <w:rPr>
          <w:rFonts w:ascii="Arial" w:hAnsi="Arial" w:cs="Arial"/>
          <w:sz w:val="24"/>
          <w:szCs w:val="24"/>
        </w:rPr>
        <w:t>r</w:t>
      </w:r>
      <w:r w:rsidRPr="00E75969">
        <w:rPr>
          <w:rFonts w:ascii="Arial" w:hAnsi="Arial" w:cs="Arial"/>
          <w:sz w:val="24"/>
          <w:szCs w:val="24"/>
        </w:rPr>
        <w:t>eputation</w:t>
      </w:r>
      <w:r w:rsidR="00870684" w:rsidRPr="00E75969">
        <w:rPr>
          <w:rFonts w:ascii="Arial" w:hAnsi="Arial" w:cs="Arial"/>
          <w:sz w:val="24"/>
          <w:szCs w:val="24"/>
        </w:rPr>
        <w:t>: 83%</w:t>
      </w:r>
    </w:p>
    <w:p w14:paraId="681F2AD5" w14:textId="1DB9AFFA" w:rsidR="00870684" w:rsidRPr="00E75969" w:rsidRDefault="00F6749E">
      <w:pPr>
        <w:pStyle w:val="Bulletlistmultilevel"/>
        <w:numPr>
          <w:ilvl w:val="0"/>
          <w:numId w:val="50"/>
        </w:numPr>
        <w:rPr>
          <w:rFonts w:ascii="Arial" w:hAnsi="Arial" w:cs="Arial"/>
          <w:sz w:val="24"/>
          <w:szCs w:val="24"/>
        </w:rPr>
      </w:pPr>
      <w:r>
        <w:rPr>
          <w:rFonts w:ascii="Arial" w:hAnsi="Arial" w:cs="Arial"/>
          <w:sz w:val="24"/>
          <w:szCs w:val="24"/>
        </w:rPr>
        <w:t>t</w:t>
      </w:r>
      <w:r w:rsidRPr="00E75969">
        <w:rPr>
          <w:rFonts w:ascii="Arial" w:hAnsi="Arial" w:cs="Arial"/>
          <w:sz w:val="24"/>
          <w:szCs w:val="24"/>
        </w:rPr>
        <w:t>rust</w:t>
      </w:r>
      <w:r w:rsidR="00870684" w:rsidRPr="00E75969">
        <w:rPr>
          <w:rFonts w:ascii="Arial" w:hAnsi="Arial" w:cs="Arial"/>
          <w:sz w:val="24"/>
          <w:szCs w:val="24"/>
        </w:rPr>
        <w:t>: 85%</w:t>
      </w:r>
    </w:p>
    <w:p w14:paraId="0EBB21AC" w14:textId="77A0D7E4" w:rsidR="00870684" w:rsidRPr="00E75969" w:rsidRDefault="00F6749E">
      <w:pPr>
        <w:pStyle w:val="Bulletlistmultilevel"/>
        <w:numPr>
          <w:ilvl w:val="0"/>
          <w:numId w:val="50"/>
        </w:numPr>
        <w:rPr>
          <w:rFonts w:ascii="Arial" w:hAnsi="Arial" w:cs="Arial"/>
          <w:sz w:val="24"/>
          <w:szCs w:val="24"/>
        </w:rPr>
      </w:pPr>
      <w:r>
        <w:rPr>
          <w:rFonts w:ascii="Arial" w:hAnsi="Arial" w:cs="Arial"/>
          <w:sz w:val="24"/>
          <w:szCs w:val="24"/>
        </w:rPr>
        <w:t>v</w:t>
      </w:r>
      <w:r w:rsidRPr="00E75969">
        <w:rPr>
          <w:rFonts w:ascii="Arial" w:hAnsi="Arial" w:cs="Arial"/>
          <w:sz w:val="24"/>
          <w:szCs w:val="24"/>
        </w:rPr>
        <w:t xml:space="preserve">alue </w:t>
      </w:r>
      <w:r w:rsidR="00870684" w:rsidRPr="00E75969">
        <w:rPr>
          <w:rFonts w:ascii="Arial" w:hAnsi="Arial" w:cs="Arial"/>
          <w:sz w:val="24"/>
          <w:szCs w:val="24"/>
        </w:rPr>
        <w:t>for money: 73%</w:t>
      </w:r>
    </w:p>
    <w:p w14:paraId="3C07735D" w14:textId="73D7B99E" w:rsidR="00870684" w:rsidRDefault="00FB526D" w:rsidP="00E93A41">
      <w:pPr>
        <w:pStyle w:val="Heading3"/>
      </w:pPr>
      <w:r>
        <w:lastRenderedPageBreak/>
        <w:t>Industry benchmark</w:t>
      </w:r>
      <w:r w:rsidR="00870684">
        <w:t xml:space="preserve"> score</w:t>
      </w:r>
    </w:p>
    <w:p w14:paraId="04E19340" w14:textId="76257E4D" w:rsidR="00870684" w:rsidRDefault="00870684" w:rsidP="00870684">
      <w:r>
        <w:t>South East Water</w:t>
      </w:r>
      <w:r w:rsidR="00612583">
        <w:t>’</w:t>
      </w:r>
      <w:r>
        <w:t xml:space="preserve">s performance assessment framework </w:t>
      </w:r>
      <w:r w:rsidR="0065732A">
        <w:t xml:space="preserve">scores </w:t>
      </w:r>
      <w:r>
        <w:t xml:space="preserve">our performance relative to </w:t>
      </w:r>
      <w:r w:rsidR="0065027F">
        <w:t xml:space="preserve">the </w:t>
      </w:r>
      <w:r w:rsidR="00622A8F">
        <w:t xml:space="preserve">average </w:t>
      </w:r>
      <w:r w:rsidR="0065027F">
        <w:t xml:space="preserve">for the </w:t>
      </w:r>
      <w:r>
        <w:t xml:space="preserve">Victorian </w:t>
      </w:r>
      <w:r w:rsidR="00915626">
        <w:t xml:space="preserve">water </w:t>
      </w:r>
      <w:r w:rsidR="0065732A">
        <w:t>industry</w:t>
      </w:r>
      <w:r w:rsidR="00BA5775">
        <w:t xml:space="preserve">, as </w:t>
      </w:r>
      <w:r>
        <w:t>reported in the ESC</w:t>
      </w:r>
      <w:r w:rsidR="00612583">
        <w:t>’</w:t>
      </w:r>
      <w:r>
        <w:t xml:space="preserve">s </w:t>
      </w:r>
      <w:r w:rsidRPr="00FC1F85">
        <w:rPr>
          <w:i/>
        </w:rPr>
        <w:t>Water Performance Report</w:t>
      </w:r>
      <w:r>
        <w:t>.</w:t>
      </w:r>
      <w:r w:rsidR="00851A0B">
        <w:t xml:space="preserve"> This</w:t>
      </w:r>
      <w:r w:rsidR="00FD7C20">
        <w:t xml:space="preserve"> report benchmarks</w:t>
      </w:r>
      <w:r w:rsidR="00851A0B">
        <w:t xml:space="preserve"> a number</w:t>
      </w:r>
      <w:r w:rsidR="00DD47E2">
        <w:t xml:space="preserve"> </w:t>
      </w:r>
      <w:r w:rsidR="00851A0B">
        <w:t xml:space="preserve">of aspects of industry performance including </w:t>
      </w:r>
      <w:r w:rsidR="00113CD2">
        <w:t xml:space="preserve">a range of customer perception measures </w:t>
      </w:r>
      <w:r w:rsidR="00FB526D">
        <w:t>and service quality outcomes.</w:t>
      </w:r>
      <w:r>
        <w:t xml:space="preserve"> The assessment framework accounts for performance over the </w:t>
      </w:r>
      <w:r w:rsidR="00654B0E">
        <w:t>5-</w:t>
      </w:r>
      <w:r>
        <w:t xml:space="preserve">year period from </w:t>
      </w:r>
      <w:r w:rsidRPr="002B1017">
        <w:t>201</w:t>
      </w:r>
      <w:r w:rsidR="00164EBA">
        <w:t>7</w:t>
      </w:r>
      <w:r w:rsidR="007D4EB3">
        <w:t>–</w:t>
      </w:r>
      <w:r w:rsidR="00164EBA" w:rsidRPr="002B1017">
        <w:t>1</w:t>
      </w:r>
      <w:r w:rsidR="00164EBA">
        <w:t>8</w:t>
      </w:r>
      <w:r w:rsidR="00164EBA" w:rsidRPr="002B1017">
        <w:t xml:space="preserve"> </w:t>
      </w:r>
      <w:r w:rsidRPr="002B1017">
        <w:t xml:space="preserve">to </w:t>
      </w:r>
      <w:r w:rsidR="00164EBA" w:rsidRPr="002B1017">
        <w:t>202</w:t>
      </w:r>
      <w:r w:rsidR="00164EBA">
        <w:t>1</w:t>
      </w:r>
      <w:r w:rsidR="007D4EB3">
        <w:t>–</w:t>
      </w:r>
      <w:r w:rsidR="00164EBA" w:rsidRPr="002B1017">
        <w:t>2</w:t>
      </w:r>
      <w:r w:rsidR="00164EBA">
        <w:t xml:space="preserve">2 </w:t>
      </w:r>
      <w:r>
        <w:t xml:space="preserve">and across the 20 reported </w:t>
      </w:r>
      <w:r w:rsidR="00CA7241">
        <w:t xml:space="preserve">industry </w:t>
      </w:r>
      <w:r>
        <w:t>performance metrics</w:t>
      </w:r>
      <w:r w:rsidR="002C27B1">
        <w:t>.</w:t>
      </w:r>
      <w:r w:rsidR="007D0636" w:rsidRPr="00C34011">
        <w:rPr>
          <w:rStyle w:val="FootnoteReference"/>
          <w:color w:val="auto"/>
        </w:rPr>
        <w:footnoteReference w:id="4"/>
      </w:r>
    </w:p>
    <w:p w14:paraId="5CDAB745" w14:textId="685B101C" w:rsidR="00870684" w:rsidRDefault="006628E9" w:rsidP="00870684">
      <w:r>
        <w:t>Our</w:t>
      </w:r>
      <w:r w:rsidR="00870684">
        <w:t xml:space="preserve"> total score of 3.5 out of 4 equates to a PREMO performance rating of </w:t>
      </w:r>
      <w:r w:rsidR="00870684" w:rsidRPr="00116E55">
        <w:rPr>
          <w:b/>
          <w:bCs/>
        </w:rPr>
        <w:t>Very confident the element is</w:t>
      </w:r>
      <w:r w:rsidR="00870684" w:rsidRPr="00CB0971">
        <w:rPr>
          <w:b/>
          <w:bCs/>
          <w:i/>
          <w:iCs/>
        </w:rPr>
        <w:t xml:space="preserve"> </w:t>
      </w:r>
      <w:r w:rsidR="00612583">
        <w:rPr>
          <w:b/>
          <w:bCs/>
          <w:i/>
          <w:iCs/>
        </w:rPr>
        <w:t>‘</w:t>
      </w:r>
      <w:r w:rsidR="00870684" w:rsidRPr="00CB0971">
        <w:rPr>
          <w:b/>
          <w:bCs/>
          <w:i/>
          <w:iCs/>
        </w:rPr>
        <w:t>Advanced</w:t>
      </w:r>
      <w:r w:rsidR="00612583">
        <w:rPr>
          <w:b/>
          <w:bCs/>
          <w:i/>
          <w:iCs/>
        </w:rPr>
        <w:t>’</w:t>
      </w:r>
      <w:r w:rsidR="00870684">
        <w:t>.</w:t>
      </w:r>
    </w:p>
    <w:p w14:paraId="0885FA10" w14:textId="77777777" w:rsidR="00A62088" w:rsidRDefault="00A62088" w:rsidP="00870684"/>
    <w:p w14:paraId="4DB5B4AC" w14:textId="50B0D919" w:rsidR="00870684" w:rsidRDefault="00C52151" w:rsidP="008E132A">
      <w:pPr>
        <w:pStyle w:val="Heading2"/>
      </w:pPr>
      <w:bookmarkStart w:id="25" w:name="_Toc103770908"/>
      <w:r>
        <w:t xml:space="preserve">1.4 </w:t>
      </w:r>
      <w:r w:rsidR="00870684">
        <w:t xml:space="preserve">PREMO summary </w:t>
      </w:r>
      <w:r w:rsidR="007D4EB3">
        <w:t>–</w:t>
      </w:r>
      <w:r w:rsidR="00870684">
        <w:t xml:space="preserve"> Performance</w:t>
      </w:r>
      <w:bookmarkEnd w:id="25"/>
    </w:p>
    <w:p w14:paraId="0F370ED8" w14:textId="19E8764F" w:rsidR="00870684" w:rsidRDefault="00870684" w:rsidP="00870684">
      <w:r w:rsidRPr="00B14AB7">
        <w:t>The performance scores are summarised in</w:t>
      </w:r>
      <w:r w:rsidR="00EE5F72">
        <w:t xml:space="preserve"> </w:t>
      </w:r>
      <w:r w:rsidR="0060611B">
        <w:t>Table 6</w:t>
      </w:r>
      <w:r w:rsidR="00EE5F72">
        <w:t xml:space="preserve">, </w:t>
      </w:r>
      <w:r w:rsidRPr="00B14AB7">
        <w:t>showing that South</w:t>
      </w:r>
      <w:r w:rsidR="00325C01">
        <w:t> </w:t>
      </w:r>
      <w:r w:rsidRPr="00B14AB7">
        <w:t>East Water</w:t>
      </w:r>
      <w:r w:rsidR="00612583">
        <w:t>’</w:t>
      </w:r>
      <w:r w:rsidRPr="00B14AB7">
        <w:t xml:space="preserve">s overall score is </w:t>
      </w:r>
      <w:r w:rsidR="002B59FD" w:rsidRPr="00CB0971">
        <w:t>18</w:t>
      </w:r>
      <w:r w:rsidRPr="00B14AB7">
        <w:t xml:space="preserve">, which equates to a rating of </w:t>
      </w:r>
      <w:r w:rsidR="00CA42F0" w:rsidRPr="00116E55">
        <w:rPr>
          <w:b/>
          <w:bCs/>
        </w:rPr>
        <w:t>C</w:t>
      </w:r>
      <w:r w:rsidRPr="00116E55">
        <w:rPr>
          <w:b/>
          <w:bCs/>
        </w:rPr>
        <w:t>onfident overall performance is</w:t>
      </w:r>
      <w:r w:rsidRPr="00CB0971">
        <w:rPr>
          <w:b/>
          <w:bCs/>
          <w:i/>
          <w:iCs/>
        </w:rPr>
        <w:t xml:space="preserve"> </w:t>
      </w:r>
      <w:r w:rsidR="00612583">
        <w:rPr>
          <w:b/>
          <w:bCs/>
          <w:i/>
          <w:iCs/>
        </w:rPr>
        <w:t>‘</w:t>
      </w:r>
      <w:r w:rsidRPr="00CB0971">
        <w:rPr>
          <w:b/>
          <w:bCs/>
          <w:i/>
          <w:iCs/>
        </w:rPr>
        <w:t>Advanced</w:t>
      </w:r>
      <w:r w:rsidR="00612583">
        <w:rPr>
          <w:b/>
          <w:bCs/>
          <w:i/>
          <w:iCs/>
        </w:rPr>
        <w:t>’</w:t>
      </w:r>
      <w:r w:rsidRPr="00B14AB7">
        <w:t>.</w:t>
      </w:r>
    </w:p>
    <w:p w14:paraId="27D5DF68" w14:textId="52E871A5" w:rsidR="006C0A3B" w:rsidRDefault="006C0A3B" w:rsidP="00870684"/>
    <w:p w14:paraId="3A5CB11E" w14:textId="6DDC104F" w:rsidR="006C0A3B" w:rsidRPr="006C0A3B" w:rsidRDefault="006C0A3B" w:rsidP="00870684">
      <w:pPr>
        <w:rPr>
          <w:b/>
          <w:bCs/>
          <w:i/>
          <w:iCs/>
          <w:sz w:val="22"/>
          <w:szCs w:val="22"/>
        </w:rPr>
      </w:pPr>
      <w:r w:rsidRPr="000D5C3E">
        <w:rPr>
          <w:b/>
          <w:bCs/>
          <w:i/>
          <w:iCs/>
          <w:sz w:val="22"/>
          <w:szCs w:val="22"/>
        </w:rPr>
        <w:t xml:space="preserve">Table </w:t>
      </w:r>
      <w:r w:rsidR="00032853" w:rsidRPr="00CE6C4E">
        <w:rPr>
          <w:b/>
          <w:bCs/>
          <w:i/>
          <w:iCs/>
          <w:sz w:val="22"/>
          <w:szCs w:val="22"/>
        </w:rPr>
        <w:fldChar w:fldCharType="begin"/>
      </w:r>
      <w:r w:rsidR="00032853" w:rsidRPr="00CE6C4E">
        <w:rPr>
          <w:b/>
          <w:bCs/>
          <w:i/>
          <w:iCs/>
          <w:sz w:val="22"/>
          <w:szCs w:val="22"/>
        </w:rPr>
        <w:instrText>SEQ Table \* ARABIC</w:instrText>
      </w:r>
      <w:r w:rsidR="00032853" w:rsidRPr="00CE6C4E">
        <w:rPr>
          <w:b/>
          <w:bCs/>
          <w:i/>
          <w:iCs/>
          <w:sz w:val="22"/>
          <w:szCs w:val="22"/>
        </w:rPr>
        <w:fldChar w:fldCharType="separate"/>
      </w:r>
      <w:r w:rsidR="00032853">
        <w:rPr>
          <w:b/>
          <w:bCs/>
          <w:i/>
          <w:iCs/>
          <w:noProof/>
          <w:sz w:val="22"/>
          <w:szCs w:val="22"/>
        </w:rPr>
        <w:t>6</w:t>
      </w:r>
      <w:r w:rsidR="00032853" w:rsidRPr="00CE6C4E">
        <w:rPr>
          <w:b/>
          <w:bCs/>
          <w:i/>
          <w:iCs/>
          <w:sz w:val="22"/>
          <w:szCs w:val="22"/>
        </w:rPr>
        <w:fldChar w:fldCharType="end"/>
      </w:r>
      <w:r>
        <w:rPr>
          <w:b/>
          <w:bCs/>
          <w:i/>
          <w:iCs/>
          <w:sz w:val="22"/>
          <w:szCs w:val="22"/>
        </w:rPr>
        <w:t>:</w:t>
      </w:r>
      <w:r w:rsidRPr="000D5C3E">
        <w:rPr>
          <w:b/>
          <w:bCs/>
          <w:i/>
          <w:iCs/>
          <w:sz w:val="22"/>
          <w:szCs w:val="22"/>
        </w:rPr>
        <w:t xml:space="preserve"> </w:t>
      </w:r>
      <w:r>
        <w:rPr>
          <w:b/>
          <w:bCs/>
          <w:i/>
          <w:iCs/>
          <w:sz w:val="22"/>
          <w:szCs w:val="22"/>
        </w:rPr>
        <w:t>Performance summary</w:t>
      </w:r>
    </w:p>
    <w:tbl>
      <w:tblPr>
        <w:tblStyle w:val="GridTable4-Accent2"/>
        <w:tblW w:w="5025" w:type="pct"/>
        <w:tblLook w:val="0620" w:firstRow="1" w:lastRow="0" w:firstColumn="0" w:lastColumn="0" w:noHBand="1" w:noVBand="1"/>
      </w:tblPr>
      <w:tblGrid>
        <w:gridCol w:w="3399"/>
        <w:gridCol w:w="1560"/>
        <w:gridCol w:w="4676"/>
      </w:tblGrid>
      <w:tr w:rsidR="008D2C5B" w:rsidRPr="00820221" w14:paraId="4453CE01" w14:textId="77777777" w:rsidTr="009C7109">
        <w:trPr>
          <w:cnfStyle w:val="100000000000" w:firstRow="1" w:lastRow="0" w:firstColumn="0" w:lastColumn="0" w:oddVBand="0" w:evenVBand="0" w:oddHBand="0" w:evenHBand="0" w:firstRowFirstColumn="0" w:firstRowLastColumn="0" w:lastRowFirstColumn="0" w:lastRowLastColumn="0"/>
          <w:trHeight w:val="493"/>
        </w:trPr>
        <w:tc>
          <w:tcPr>
            <w:tcW w:w="3399" w:type="dxa"/>
            <w:tcBorders>
              <w:top w:val="single" w:sz="2" w:space="0" w:color="002279"/>
              <w:left w:val="single" w:sz="2" w:space="0" w:color="002279"/>
              <w:bottom w:val="single" w:sz="2" w:space="0" w:color="002279"/>
              <w:right w:val="single" w:sz="4" w:space="0" w:color="FFFFFF" w:themeColor="background1"/>
            </w:tcBorders>
            <w:shd w:val="clear" w:color="auto" w:fill="002279"/>
          </w:tcPr>
          <w:p w14:paraId="1474A7AE" w14:textId="18C0A48F" w:rsidR="00870684" w:rsidRPr="00747445" w:rsidRDefault="00870684" w:rsidP="007349FD">
            <w:pPr>
              <w:pStyle w:val="TableHeading"/>
              <w:rPr>
                <w:rFonts w:ascii="Arial" w:hAnsi="Arial"/>
                <w:b/>
                <w:bCs/>
              </w:rPr>
            </w:pPr>
            <w:r w:rsidRPr="00747445">
              <w:rPr>
                <w:b/>
                <w:bCs/>
              </w:rPr>
              <w:t>Performance element</w:t>
            </w:r>
          </w:p>
        </w:tc>
        <w:tc>
          <w:tcPr>
            <w:tcW w:w="1560" w:type="dxa"/>
            <w:tcBorders>
              <w:top w:val="single" w:sz="2" w:space="0" w:color="002279"/>
              <w:left w:val="single" w:sz="4" w:space="0" w:color="FFFFFF" w:themeColor="background1"/>
              <w:bottom w:val="single" w:sz="2" w:space="0" w:color="002279"/>
              <w:right w:val="single" w:sz="4" w:space="0" w:color="FFFFFF" w:themeColor="background1"/>
            </w:tcBorders>
            <w:shd w:val="clear" w:color="auto" w:fill="002279"/>
          </w:tcPr>
          <w:p w14:paraId="5A517894" w14:textId="4FC20392" w:rsidR="00870684" w:rsidRPr="00747445" w:rsidRDefault="007D0D78" w:rsidP="007D0D78">
            <w:pPr>
              <w:pStyle w:val="TableHeading"/>
              <w:jc w:val="center"/>
              <w:rPr>
                <w:rFonts w:ascii="Arial" w:hAnsi="Arial"/>
                <w:b/>
                <w:bCs/>
              </w:rPr>
            </w:pPr>
            <w:r w:rsidRPr="00747445">
              <w:rPr>
                <w:b/>
                <w:bCs/>
              </w:rPr>
              <w:t>S</w:t>
            </w:r>
            <w:r w:rsidR="00870684" w:rsidRPr="00747445">
              <w:rPr>
                <w:b/>
                <w:bCs/>
              </w:rPr>
              <w:t>core</w:t>
            </w:r>
          </w:p>
        </w:tc>
        <w:tc>
          <w:tcPr>
            <w:tcW w:w="4676" w:type="dxa"/>
            <w:tcBorders>
              <w:top w:val="single" w:sz="2" w:space="0" w:color="002279"/>
              <w:left w:val="single" w:sz="4" w:space="0" w:color="FFFFFF" w:themeColor="background1"/>
              <w:bottom w:val="single" w:sz="2" w:space="0" w:color="002279"/>
              <w:right w:val="single" w:sz="2" w:space="0" w:color="002279"/>
            </w:tcBorders>
            <w:shd w:val="clear" w:color="auto" w:fill="002279"/>
          </w:tcPr>
          <w:p w14:paraId="028BB2B7" w14:textId="38032BA4" w:rsidR="00870684" w:rsidRPr="00747445" w:rsidRDefault="00147833" w:rsidP="007349FD">
            <w:pPr>
              <w:pStyle w:val="TableHeading"/>
              <w:rPr>
                <w:rFonts w:ascii="Arial" w:hAnsi="Arial"/>
                <w:b/>
                <w:bCs/>
              </w:rPr>
            </w:pPr>
            <w:r w:rsidRPr="00747445">
              <w:rPr>
                <w:b/>
                <w:bCs/>
              </w:rPr>
              <w:t>Rating</w:t>
            </w:r>
          </w:p>
        </w:tc>
      </w:tr>
      <w:tr w:rsidR="00854E7B" w14:paraId="747C2D13" w14:textId="77777777" w:rsidTr="007D0D78">
        <w:tc>
          <w:tcPr>
            <w:tcW w:w="3399" w:type="dxa"/>
            <w:tcBorders>
              <w:top w:val="single" w:sz="2" w:space="0" w:color="002279"/>
              <w:left w:val="single" w:sz="2" w:space="0" w:color="002279"/>
              <w:bottom w:val="single" w:sz="2" w:space="0" w:color="002279"/>
              <w:right w:val="single" w:sz="2" w:space="0" w:color="002279"/>
            </w:tcBorders>
            <w:shd w:val="clear" w:color="auto" w:fill="D4D6DF"/>
          </w:tcPr>
          <w:p w14:paraId="5E12C6B1" w14:textId="1D7329E2" w:rsidR="00870684" w:rsidRPr="00116E55" w:rsidRDefault="00870684" w:rsidP="007621C5">
            <w:pPr>
              <w:pStyle w:val="TableText"/>
              <w:rPr>
                <w:sz w:val="20"/>
                <w:szCs w:val="20"/>
              </w:rPr>
            </w:pPr>
            <w:r w:rsidRPr="00116E55">
              <w:rPr>
                <w:sz w:val="20"/>
                <w:szCs w:val="20"/>
              </w:rPr>
              <w:t>Delivery of customer outcomes</w:t>
            </w:r>
          </w:p>
        </w:tc>
        <w:tc>
          <w:tcPr>
            <w:tcW w:w="1560" w:type="dxa"/>
            <w:tcBorders>
              <w:top w:val="single" w:sz="2" w:space="0" w:color="002279"/>
              <w:left w:val="single" w:sz="2" w:space="0" w:color="002279"/>
              <w:bottom w:val="single" w:sz="2" w:space="0" w:color="002279"/>
              <w:right w:val="single" w:sz="2" w:space="0" w:color="002279"/>
            </w:tcBorders>
            <w:shd w:val="clear" w:color="auto" w:fill="D4D6DF"/>
          </w:tcPr>
          <w:p w14:paraId="115D6C57" w14:textId="47A93D5F" w:rsidR="00870684" w:rsidRPr="00116E55" w:rsidRDefault="00870684" w:rsidP="007D0D78">
            <w:pPr>
              <w:pStyle w:val="TableText"/>
              <w:jc w:val="center"/>
              <w:rPr>
                <w:sz w:val="20"/>
                <w:szCs w:val="20"/>
              </w:rPr>
            </w:pPr>
            <w:r w:rsidRPr="00116E55">
              <w:rPr>
                <w:sz w:val="20"/>
                <w:szCs w:val="20"/>
              </w:rPr>
              <w:t>3.5 out of 4</w:t>
            </w:r>
          </w:p>
        </w:tc>
        <w:tc>
          <w:tcPr>
            <w:tcW w:w="4676" w:type="dxa"/>
            <w:tcBorders>
              <w:top w:val="single" w:sz="2" w:space="0" w:color="002279"/>
              <w:left w:val="single" w:sz="2" w:space="0" w:color="002279"/>
              <w:bottom w:val="single" w:sz="2" w:space="0" w:color="002279"/>
              <w:right w:val="single" w:sz="2" w:space="0" w:color="002279"/>
            </w:tcBorders>
            <w:shd w:val="clear" w:color="auto" w:fill="D4D6DF"/>
          </w:tcPr>
          <w:p w14:paraId="4811F8A2" w14:textId="7BC70D13" w:rsidR="00870684" w:rsidRPr="00116E55" w:rsidRDefault="00870684" w:rsidP="0030631D">
            <w:pPr>
              <w:pStyle w:val="TableText"/>
              <w:rPr>
                <w:sz w:val="20"/>
                <w:szCs w:val="20"/>
              </w:rPr>
            </w:pPr>
            <w:r w:rsidRPr="00116E55">
              <w:rPr>
                <w:sz w:val="20"/>
                <w:szCs w:val="20"/>
              </w:rPr>
              <w:t xml:space="preserve">Very confident the element is </w:t>
            </w:r>
            <w:r w:rsidR="00612583" w:rsidRPr="00116E55">
              <w:rPr>
                <w:i/>
                <w:iCs/>
                <w:sz w:val="20"/>
                <w:szCs w:val="20"/>
              </w:rPr>
              <w:t>‘</w:t>
            </w:r>
            <w:r w:rsidRPr="00116E55">
              <w:rPr>
                <w:i/>
                <w:iCs/>
                <w:sz w:val="20"/>
                <w:szCs w:val="20"/>
              </w:rPr>
              <w:t>Advanced</w:t>
            </w:r>
            <w:r w:rsidR="00612583" w:rsidRPr="00116E55">
              <w:rPr>
                <w:i/>
                <w:iCs/>
                <w:sz w:val="20"/>
                <w:szCs w:val="20"/>
              </w:rPr>
              <w:t>’</w:t>
            </w:r>
          </w:p>
        </w:tc>
      </w:tr>
      <w:tr w:rsidR="00854E7B" w14:paraId="2611D20D" w14:textId="77777777" w:rsidTr="007D0D78">
        <w:trPr>
          <w:trHeight w:val="345"/>
        </w:trPr>
        <w:tc>
          <w:tcPr>
            <w:tcW w:w="3399" w:type="dxa"/>
            <w:tcBorders>
              <w:top w:val="single" w:sz="2" w:space="0" w:color="002279"/>
              <w:left w:val="single" w:sz="2" w:space="0" w:color="002279"/>
              <w:bottom w:val="single" w:sz="2" w:space="0" w:color="002279"/>
              <w:right w:val="single" w:sz="2" w:space="0" w:color="002279"/>
            </w:tcBorders>
          </w:tcPr>
          <w:p w14:paraId="5ADA2404" w14:textId="3D41A79D" w:rsidR="00870684" w:rsidRPr="00116E55" w:rsidRDefault="00870721" w:rsidP="0030631D">
            <w:pPr>
              <w:pStyle w:val="TableText"/>
              <w:rPr>
                <w:sz w:val="20"/>
                <w:szCs w:val="20"/>
              </w:rPr>
            </w:pPr>
            <w:r w:rsidRPr="00116E55">
              <w:rPr>
                <w:sz w:val="20"/>
                <w:szCs w:val="20"/>
              </w:rPr>
              <w:t xml:space="preserve">Controllable operating expenditure </w:t>
            </w:r>
          </w:p>
        </w:tc>
        <w:tc>
          <w:tcPr>
            <w:tcW w:w="1560" w:type="dxa"/>
            <w:tcBorders>
              <w:top w:val="single" w:sz="2" w:space="0" w:color="002279"/>
              <w:left w:val="single" w:sz="2" w:space="0" w:color="002279"/>
              <w:bottom w:val="single" w:sz="2" w:space="0" w:color="002279"/>
              <w:right w:val="single" w:sz="2" w:space="0" w:color="002279"/>
            </w:tcBorders>
          </w:tcPr>
          <w:p w14:paraId="7DA49FDD" w14:textId="1AC8177E" w:rsidR="00870684" w:rsidRPr="00116E55" w:rsidRDefault="00870721" w:rsidP="007D0D78">
            <w:pPr>
              <w:pStyle w:val="TableText"/>
              <w:jc w:val="center"/>
              <w:rPr>
                <w:sz w:val="20"/>
                <w:szCs w:val="20"/>
              </w:rPr>
            </w:pPr>
            <w:r w:rsidRPr="00116E55">
              <w:rPr>
                <w:sz w:val="20"/>
                <w:szCs w:val="20"/>
              </w:rPr>
              <w:t>4 out of 4</w:t>
            </w:r>
          </w:p>
        </w:tc>
        <w:tc>
          <w:tcPr>
            <w:tcW w:w="4676" w:type="dxa"/>
            <w:tcBorders>
              <w:top w:val="single" w:sz="2" w:space="0" w:color="002279"/>
              <w:left w:val="single" w:sz="2" w:space="0" w:color="002279"/>
              <w:bottom w:val="single" w:sz="2" w:space="0" w:color="002279"/>
              <w:right w:val="single" w:sz="2" w:space="0" w:color="002279"/>
            </w:tcBorders>
          </w:tcPr>
          <w:p w14:paraId="2F95EF80" w14:textId="0939EE01" w:rsidR="00870684" w:rsidRPr="00116E55" w:rsidRDefault="00870721" w:rsidP="0030631D">
            <w:pPr>
              <w:pStyle w:val="TableText"/>
              <w:rPr>
                <w:sz w:val="20"/>
                <w:szCs w:val="20"/>
              </w:rPr>
            </w:pPr>
            <w:r w:rsidRPr="00116E55">
              <w:rPr>
                <w:sz w:val="20"/>
                <w:szCs w:val="20"/>
              </w:rPr>
              <w:t xml:space="preserve">Very confident the element is </w:t>
            </w:r>
            <w:r w:rsidRPr="00116E55">
              <w:rPr>
                <w:i/>
                <w:iCs/>
                <w:sz w:val="20"/>
                <w:szCs w:val="20"/>
              </w:rPr>
              <w:t>‘Leading’</w:t>
            </w:r>
          </w:p>
        </w:tc>
      </w:tr>
      <w:tr w:rsidR="00A62088" w14:paraId="6CA00FF8" w14:textId="77777777" w:rsidTr="007D0D78">
        <w:tc>
          <w:tcPr>
            <w:tcW w:w="3399" w:type="dxa"/>
            <w:tcBorders>
              <w:top w:val="single" w:sz="2" w:space="0" w:color="002279"/>
              <w:left w:val="single" w:sz="2" w:space="0" w:color="002279"/>
              <w:bottom w:val="single" w:sz="2" w:space="0" w:color="002279"/>
              <w:right w:val="single" w:sz="2" w:space="0" w:color="002279"/>
            </w:tcBorders>
            <w:shd w:val="clear" w:color="auto" w:fill="D4D6DF"/>
          </w:tcPr>
          <w:p w14:paraId="14B3FA51" w14:textId="6E310667" w:rsidR="00A62088" w:rsidRPr="00116E55" w:rsidRDefault="00870721" w:rsidP="00840F5E">
            <w:pPr>
              <w:pStyle w:val="TableText"/>
              <w:rPr>
                <w:sz w:val="20"/>
                <w:szCs w:val="20"/>
              </w:rPr>
            </w:pPr>
            <w:r w:rsidRPr="00116E55">
              <w:rPr>
                <w:sz w:val="20"/>
                <w:szCs w:val="20"/>
              </w:rPr>
              <w:t xml:space="preserve">Capital expenditure </w:t>
            </w:r>
          </w:p>
        </w:tc>
        <w:tc>
          <w:tcPr>
            <w:tcW w:w="1560" w:type="dxa"/>
            <w:tcBorders>
              <w:top w:val="single" w:sz="2" w:space="0" w:color="002279"/>
              <w:left w:val="single" w:sz="2" w:space="0" w:color="002279"/>
              <w:bottom w:val="single" w:sz="2" w:space="0" w:color="002279"/>
              <w:right w:val="single" w:sz="2" w:space="0" w:color="002279"/>
            </w:tcBorders>
            <w:shd w:val="clear" w:color="auto" w:fill="D4D6DF"/>
          </w:tcPr>
          <w:p w14:paraId="5796B4BD" w14:textId="67D5F0E5" w:rsidR="00A62088" w:rsidRPr="00116E55" w:rsidRDefault="00A62088" w:rsidP="007D0D78">
            <w:pPr>
              <w:pStyle w:val="TableText"/>
              <w:jc w:val="center"/>
              <w:rPr>
                <w:sz w:val="20"/>
                <w:szCs w:val="20"/>
              </w:rPr>
            </w:pPr>
            <w:r w:rsidRPr="00116E55">
              <w:rPr>
                <w:sz w:val="20"/>
                <w:szCs w:val="20"/>
              </w:rPr>
              <w:t>4 out of 4</w:t>
            </w:r>
          </w:p>
        </w:tc>
        <w:tc>
          <w:tcPr>
            <w:tcW w:w="4676" w:type="dxa"/>
            <w:tcBorders>
              <w:top w:val="single" w:sz="2" w:space="0" w:color="002279"/>
              <w:left w:val="single" w:sz="2" w:space="0" w:color="002279"/>
              <w:bottom w:val="single" w:sz="2" w:space="0" w:color="002279"/>
              <w:right w:val="single" w:sz="2" w:space="0" w:color="002279"/>
            </w:tcBorders>
            <w:shd w:val="clear" w:color="auto" w:fill="D4D6DF"/>
          </w:tcPr>
          <w:p w14:paraId="4BA0A328" w14:textId="65FE351A" w:rsidR="00A62088" w:rsidRPr="00116E55" w:rsidRDefault="00A62088" w:rsidP="0030631D">
            <w:pPr>
              <w:pStyle w:val="TableText"/>
              <w:rPr>
                <w:sz w:val="20"/>
                <w:szCs w:val="20"/>
              </w:rPr>
            </w:pPr>
            <w:r w:rsidRPr="00116E55">
              <w:rPr>
                <w:sz w:val="20"/>
                <w:szCs w:val="20"/>
              </w:rPr>
              <w:t xml:space="preserve">Very confident the element is </w:t>
            </w:r>
            <w:r w:rsidRPr="00116E55">
              <w:rPr>
                <w:i/>
                <w:iCs/>
                <w:sz w:val="20"/>
                <w:szCs w:val="20"/>
              </w:rPr>
              <w:t>‘Leading’</w:t>
            </w:r>
          </w:p>
        </w:tc>
      </w:tr>
      <w:tr w:rsidR="00A62088" w14:paraId="4A23A2FD" w14:textId="77777777" w:rsidTr="007D0D78">
        <w:tc>
          <w:tcPr>
            <w:tcW w:w="3399" w:type="dxa"/>
            <w:tcBorders>
              <w:top w:val="single" w:sz="2" w:space="0" w:color="002279"/>
              <w:left w:val="single" w:sz="2" w:space="0" w:color="002279"/>
              <w:bottom w:val="single" w:sz="2" w:space="0" w:color="002279"/>
              <w:right w:val="single" w:sz="2" w:space="0" w:color="002279"/>
            </w:tcBorders>
          </w:tcPr>
          <w:p w14:paraId="53918026" w14:textId="16CF9D7B" w:rsidR="00A62088" w:rsidRPr="00116E55" w:rsidRDefault="00870721" w:rsidP="00BE218D">
            <w:pPr>
              <w:pStyle w:val="TableText"/>
              <w:rPr>
                <w:sz w:val="20"/>
                <w:szCs w:val="20"/>
              </w:rPr>
            </w:pPr>
            <w:r w:rsidRPr="00116E55">
              <w:rPr>
                <w:sz w:val="20"/>
                <w:szCs w:val="20"/>
              </w:rPr>
              <w:t>Major projects delivery</w:t>
            </w:r>
          </w:p>
        </w:tc>
        <w:tc>
          <w:tcPr>
            <w:tcW w:w="1560" w:type="dxa"/>
            <w:tcBorders>
              <w:top w:val="single" w:sz="2" w:space="0" w:color="002279"/>
              <w:left w:val="single" w:sz="2" w:space="0" w:color="002279"/>
              <w:bottom w:val="single" w:sz="2" w:space="0" w:color="002279"/>
              <w:right w:val="single" w:sz="2" w:space="0" w:color="002279"/>
            </w:tcBorders>
          </w:tcPr>
          <w:p w14:paraId="0FEE10BE" w14:textId="6898A736" w:rsidR="00A62088" w:rsidRPr="00116E55" w:rsidRDefault="00870721" w:rsidP="007D0D78">
            <w:pPr>
              <w:pStyle w:val="TableText"/>
              <w:jc w:val="center"/>
              <w:rPr>
                <w:sz w:val="20"/>
                <w:szCs w:val="20"/>
              </w:rPr>
            </w:pPr>
            <w:r w:rsidRPr="00116E55">
              <w:rPr>
                <w:sz w:val="20"/>
                <w:szCs w:val="20"/>
              </w:rPr>
              <w:t>3</w:t>
            </w:r>
            <w:r w:rsidR="00A62088" w:rsidRPr="00116E55">
              <w:rPr>
                <w:sz w:val="20"/>
                <w:szCs w:val="20"/>
              </w:rPr>
              <w:t xml:space="preserve"> out of 4</w:t>
            </w:r>
          </w:p>
        </w:tc>
        <w:tc>
          <w:tcPr>
            <w:tcW w:w="4676" w:type="dxa"/>
            <w:tcBorders>
              <w:top w:val="single" w:sz="2" w:space="0" w:color="002279"/>
              <w:left w:val="single" w:sz="2" w:space="0" w:color="002279"/>
              <w:bottom w:val="single" w:sz="2" w:space="0" w:color="002279"/>
              <w:right w:val="single" w:sz="2" w:space="0" w:color="002279"/>
            </w:tcBorders>
          </w:tcPr>
          <w:p w14:paraId="3B0501D2" w14:textId="7A04E1E8" w:rsidR="00A62088" w:rsidRPr="00116E55" w:rsidRDefault="00870721" w:rsidP="0030631D">
            <w:pPr>
              <w:pStyle w:val="TableText"/>
              <w:rPr>
                <w:sz w:val="20"/>
                <w:szCs w:val="20"/>
              </w:rPr>
            </w:pPr>
            <w:r w:rsidRPr="00116E55">
              <w:rPr>
                <w:sz w:val="20"/>
                <w:szCs w:val="20"/>
              </w:rPr>
              <w:t>Satisfied</w:t>
            </w:r>
            <w:r w:rsidR="00A62088" w:rsidRPr="00116E55">
              <w:rPr>
                <w:sz w:val="20"/>
                <w:szCs w:val="20"/>
              </w:rPr>
              <w:t xml:space="preserve"> the element is </w:t>
            </w:r>
            <w:r w:rsidR="00A62088" w:rsidRPr="00116E55">
              <w:rPr>
                <w:i/>
                <w:iCs/>
                <w:sz w:val="20"/>
                <w:szCs w:val="20"/>
              </w:rPr>
              <w:t>‘</w:t>
            </w:r>
            <w:r w:rsidRPr="00116E55">
              <w:rPr>
                <w:i/>
                <w:iCs/>
                <w:sz w:val="20"/>
                <w:szCs w:val="20"/>
              </w:rPr>
              <w:t>Advanced’</w:t>
            </w:r>
          </w:p>
        </w:tc>
      </w:tr>
      <w:tr w:rsidR="00A62088" w14:paraId="5DC445DC" w14:textId="77777777" w:rsidTr="007D0D78">
        <w:tc>
          <w:tcPr>
            <w:tcW w:w="3399" w:type="dxa"/>
            <w:tcBorders>
              <w:top w:val="single" w:sz="2" w:space="0" w:color="002279"/>
              <w:left w:val="single" w:sz="2" w:space="0" w:color="002279"/>
              <w:bottom w:val="single" w:sz="2" w:space="0" w:color="002279"/>
              <w:right w:val="single" w:sz="2" w:space="0" w:color="002279"/>
            </w:tcBorders>
            <w:shd w:val="clear" w:color="auto" w:fill="D4D6DF"/>
          </w:tcPr>
          <w:p w14:paraId="5430AB9C" w14:textId="565008BA" w:rsidR="00A62088" w:rsidRPr="00116E55" w:rsidRDefault="00870721" w:rsidP="00AA711F">
            <w:pPr>
              <w:pStyle w:val="TableText"/>
              <w:rPr>
                <w:sz w:val="20"/>
                <w:szCs w:val="20"/>
              </w:rPr>
            </w:pPr>
            <w:r w:rsidRPr="00116E55">
              <w:rPr>
                <w:sz w:val="20"/>
                <w:szCs w:val="20"/>
              </w:rPr>
              <w:t>Industry benchmark</w:t>
            </w:r>
          </w:p>
        </w:tc>
        <w:tc>
          <w:tcPr>
            <w:tcW w:w="1560" w:type="dxa"/>
            <w:tcBorders>
              <w:top w:val="single" w:sz="2" w:space="0" w:color="002279"/>
              <w:left w:val="single" w:sz="2" w:space="0" w:color="002279"/>
              <w:bottom w:val="single" w:sz="2" w:space="0" w:color="002279"/>
              <w:right w:val="single" w:sz="2" w:space="0" w:color="002279"/>
            </w:tcBorders>
            <w:shd w:val="clear" w:color="auto" w:fill="D4D6DF"/>
          </w:tcPr>
          <w:p w14:paraId="6A34687F" w14:textId="56EB2D04" w:rsidR="00A62088" w:rsidRPr="00116E55" w:rsidRDefault="00A62088" w:rsidP="007D0D78">
            <w:pPr>
              <w:pStyle w:val="TableText"/>
              <w:jc w:val="center"/>
              <w:rPr>
                <w:sz w:val="20"/>
                <w:szCs w:val="20"/>
              </w:rPr>
            </w:pPr>
            <w:r w:rsidRPr="00116E55">
              <w:rPr>
                <w:sz w:val="20"/>
                <w:szCs w:val="20"/>
              </w:rPr>
              <w:t>3</w:t>
            </w:r>
            <w:r w:rsidR="00870721" w:rsidRPr="00116E55">
              <w:rPr>
                <w:sz w:val="20"/>
                <w:szCs w:val="20"/>
              </w:rPr>
              <w:t>.5</w:t>
            </w:r>
            <w:r w:rsidRPr="00116E55">
              <w:rPr>
                <w:sz w:val="20"/>
                <w:szCs w:val="20"/>
              </w:rPr>
              <w:t xml:space="preserve"> out of 4</w:t>
            </w:r>
          </w:p>
        </w:tc>
        <w:tc>
          <w:tcPr>
            <w:tcW w:w="4676" w:type="dxa"/>
            <w:tcBorders>
              <w:top w:val="single" w:sz="2" w:space="0" w:color="002279"/>
              <w:left w:val="single" w:sz="2" w:space="0" w:color="002279"/>
              <w:bottom w:val="single" w:sz="2" w:space="0" w:color="002279"/>
              <w:right w:val="single" w:sz="2" w:space="0" w:color="002279"/>
            </w:tcBorders>
            <w:shd w:val="clear" w:color="auto" w:fill="D4D6DF"/>
          </w:tcPr>
          <w:p w14:paraId="7799AE65" w14:textId="5EDB1734" w:rsidR="00A62088" w:rsidRPr="00116E55" w:rsidRDefault="00870721" w:rsidP="0030631D">
            <w:pPr>
              <w:pStyle w:val="TableText"/>
              <w:rPr>
                <w:sz w:val="20"/>
                <w:szCs w:val="20"/>
              </w:rPr>
            </w:pPr>
            <w:r w:rsidRPr="00116E55">
              <w:rPr>
                <w:sz w:val="20"/>
                <w:szCs w:val="20"/>
              </w:rPr>
              <w:t>Very confident</w:t>
            </w:r>
            <w:r w:rsidR="00A62088" w:rsidRPr="00116E55">
              <w:rPr>
                <w:sz w:val="20"/>
                <w:szCs w:val="20"/>
              </w:rPr>
              <w:t xml:space="preserve"> the element is </w:t>
            </w:r>
            <w:r w:rsidR="00A62088" w:rsidRPr="00116E55">
              <w:rPr>
                <w:i/>
                <w:iCs/>
                <w:sz w:val="20"/>
                <w:szCs w:val="20"/>
              </w:rPr>
              <w:t>‘Advanced’</w:t>
            </w:r>
          </w:p>
        </w:tc>
      </w:tr>
      <w:tr w:rsidR="00854E7B" w14:paraId="243BA522" w14:textId="77777777" w:rsidTr="007D0D78">
        <w:tc>
          <w:tcPr>
            <w:tcW w:w="3399" w:type="dxa"/>
            <w:tcBorders>
              <w:top w:val="single" w:sz="2" w:space="0" w:color="002279"/>
              <w:left w:val="single" w:sz="2" w:space="0" w:color="002279"/>
              <w:bottom w:val="single" w:sz="2" w:space="0" w:color="002279"/>
              <w:right w:val="single" w:sz="2" w:space="0" w:color="002279"/>
            </w:tcBorders>
          </w:tcPr>
          <w:p w14:paraId="4DB8FBC9" w14:textId="661D0DCD" w:rsidR="00870684" w:rsidRPr="00116E55" w:rsidRDefault="00870721" w:rsidP="007621C5">
            <w:pPr>
              <w:pStyle w:val="TableText"/>
              <w:rPr>
                <w:sz w:val="20"/>
                <w:szCs w:val="20"/>
              </w:rPr>
            </w:pPr>
            <w:r w:rsidRPr="00116E55">
              <w:rPr>
                <w:b/>
                <w:bCs/>
                <w:sz w:val="20"/>
                <w:szCs w:val="20"/>
              </w:rPr>
              <w:t>Total combined scores</w:t>
            </w:r>
          </w:p>
        </w:tc>
        <w:tc>
          <w:tcPr>
            <w:tcW w:w="1560" w:type="dxa"/>
            <w:tcBorders>
              <w:top w:val="single" w:sz="2" w:space="0" w:color="002279"/>
              <w:left w:val="single" w:sz="2" w:space="0" w:color="002279"/>
              <w:bottom w:val="single" w:sz="2" w:space="0" w:color="002279"/>
              <w:right w:val="single" w:sz="2" w:space="0" w:color="002279"/>
            </w:tcBorders>
          </w:tcPr>
          <w:p w14:paraId="4CA03951" w14:textId="46095654" w:rsidR="00870684" w:rsidRPr="00116E55" w:rsidRDefault="00870721" w:rsidP="007D0D78">
            <w:pPr>
              <w:pStyle w:val="TableText"/>
              <w:jc w:val="center"/>
              <w:rPr>
                <w:sz w:val="20"/>
                <w:szCs w:val="20"/>
              </w:rPr>
            </w:pPr>
            <w:r w:rsidRPr="00116E55">
              <w:rPr>
                <w:b/>
                <w:bCs/>
                <w:sz w:val="20"/>
                <w:szCs w:val="20"/>
              </w:rPr>
              <w:t>18</w:t>
            </w:r>
            <w:r w:rsidR="00870684" w:rsidRPr="00116E55">
              <w:rPr>
                <w:b/>
                <w:sz w:val="20"/>
                <w:szCs w:val="20"/>
              </w:rPr>
              <w:t xml:space="preserve"> out of </w:t>
            </w:r>
            <w:r w:rsidRPr="00116E55">
              <w:rPr>
                <w:b/>
                <w:bCs/>
                <w:sz w:val="20"/>
                <w:szCs w:val="20"/>
              </w:rPr>
              <w:t>20</w:t>
            </w:r>
          </w:p>
        </w:tc>
        <w:tc>
          <w:tcPr>
            <w:tcW w:w="4676" w:type="dxa"/>
            <w:tcBorders>
              <w:top w:val="single" w:sz="2" w:space="0" w:color="002279"/>
              <w:left w:val="single" w:sz="2" w:space="0" w:color="002279"/>
              <w:bottom w:val="single" w:sz="2" w:space="0" w:color="002279"/>
              <w:right w:val="single" w:sz="2" w:space="0" w:color="002279"/>
            </w:tcBorders>
          </w:tcPr>
          <w:p w14:paraId="39C3B676" w14:textId="432CE8DD" w:rsidR="00870684" w:rsidRPr="00116E55" w:rsidRDefault="00870721" w:rsidP="0030631D">
            <w:pPr>
              <w:pStyle w:val="TableText"/>
              <w:rPr>
                <w:sz w:val="20"/>
                <w:szCs w:val="20"/>
              </w:rPr>
            </w:pPr>
            <w:r w:rsidRPr="00116E55">
              <w:rPr>
                <w:b/>
                <w:bCs/>
                <w:sz w:val="20"/>
                <w:szCs w:val="20"/>
              </w:rPr>
              <w:t>Confident overall performance is ‘</w:t>
            </w:r>
            <w:r w:rsidRPr="00116E55">
              <w:rPr>
                <w:b/>
                <w:i/>
                <w:sz w:val="20"/>
                <w:szCs w:val="20"/>
              </w:rPr>
              <w:t>Advanced</w:t>
            </w:r>
            <w:r w:rsidRPr="00116E55">
              <w:rPr>
                <w:b/>
                <w:bCs/>
                <w:sz w:val="20"/>
                <w:szCs w:val="20"/>
              </w:rPr>
              <w:t>’</w:t>
            </w:r>
          </w:p>
        </w:tc>
      </w:tr>
    </w:tbl>
    <w:p w14:paraId="0AA4B98A" w14:textId="3E46BD76" w:rsidR="00870684" w:rsidRDefault="00870684" w:rsidP="00870684"/>
    <w:p w14:paraId="3ADF3D06" w14:textId="2134E1E7" w:rsidR="00762418" w:rsidRDefault="00762418" w:rsidP="00870684"/>
    <w:p w14:paraId="04CB22C7" w14:textId="61DA8F97" w:rsidR="00762418" w:rsidRDefault="00762418" w:rsidP="00870684"/>
    <w:p w14:paraId="18C37005" w14:textId="1CAD3354" w:rsidR="00762418" w:rsidRDefault="00762418" w:rsidP="00870684"/>
    <w:p w14:paraId="3B96EA3E" w14:textId="27A5265D" w:rsidR="00762418" w:rsidRDefault="00762418" w:rsidP="00870684"/>
    <w:p w14:paraId="05BD8F76" w14:textId="204614A1" w:rsidR="00762418" w:rsidRDefault="00762418" w:rsidP="00870684"/>
    <w:p w14:paraId="3B9220E2" w14:textId="56127967" w:rsidR="00762418" w:rsidRDefault="00762418" w:rsidP="00870684"/>
    <w:p w14:paraId="1DC84468" w14:textId="620E0827" w:rsidR="00762418" w:rsidRDefault="00762418" w:rsidP="00870684"/>
    <w:p w14:paraId="4F5BBA4D" w14:textId="0D06F8AA" w:rsidR="00622F71" w:rsidRDefault="00622F71" w:rsidP="00870684"/>
    <w:p w14:paraId="5F7E3952" w14:textId="77777777" w:rsidR="00622F71" w:rsidRDefault="00622F71" w:rsidP="00870684"/>
    <w:p w14:paraId="30218E7A" w14:textId="77777777" w:rsidR="00E35F75" w:rsidRDefault="00E35F75">
      <w:r>
        <w:br w:type="page"/>
      </w:r>
    </w:p>
    <w:p w14:paraId="6C3C7DB1" w14:textId="7CAC8EAC" w:rsidR="00523A38" w:rsidRDefault="0060611B" w:rsidP="00870684">
      <w:r>
        <w:lastRenderedPageBreak/>
        <w:t>Table 7</w:t>
      </w:r>
      <w:r w:rsidR="00A53169">
        <w:t xml:space="preserve"> </w:t>
      </w:r>
      <w:r w:rsidR="006E1B42">
        <w:t xml:space="preserve">provides our </w:t>
      </w:r>
      <w:r w:rsidR="000B4C76">
        <w:t>responses to the ESC</w:t>
      </w:r>
      <w:r w:rsidR="00612583">
        <w:t>’</w:t>
      </w:r>
      <w:r w:rsidR="000B4C76">
        <w:t xml:space="preserve">s guiding questions for PREMO assessment </w:t>
      </w:r>
      <w:r w:rsidR="009C7109">
        <w:br/>
      </w:r>
      <w:r w:rsidR="000B4C76">
        <w:t xml:space="preserve">in relation </w:t>
      </w:r>
      <w:r w:rsidR="008A35E8">
        <w:t>to the Performance element</w:t>
      </w:r>
      <w:r w:rsidR="00DA0E31">
        <w:t>.</w:t>
      </w:r>
    </w:p>
    <w:p w14:paraId="6E874888" w14:textId="77777777" w:rsidR="006C0A3B" w:rsidRDefault="006C0A3B" w:rsidP="00870684"/>
    <w:p w14:paraId="2DCC188E" w14:textId="2E88F20A" w:rsidR="006C0A3B" w:rsidRPr="006C0A3B" w:rsidRDefault="006C0A3B" w:rsidP="00870684">
      <w:pPr>
        <w:rPr>
          <w:b/>
          <w:bCs/>
          <w:i/>
          <w:iCs/>
          <w:sz w:val="22"/>
          <w:szCs w:val="22"/>
        </w:rPr>
      </w:pPr>
      <w:bookmarkStart w:id="26" w:name="_Hlk114230244"/>
      <w:r w:rsidRPr="000D5C3E">
        <w:rPr>
          <w:b/>
          <w:bCs/>
          <w:i/>
          <w:iCs/>
          <w:sz w:val="22"/>
          <w:szCs w:val="22"/>
        </w:rPr>
        <w:t xml:space="preserve">Table </w:t>
      </w:r>
      <w:r w:rsidR="00032853" w:rsidRPr="00CE6C4E">
        <w:rPr>
          <w:b/>
          <w:bCs/>
          <w:i/>
          <w:iCs/>
          <w:sz w:val="22"/>
          <w:szCs w:val="22"/>
        </w:rPr>
        <w:fldChar w:fldCharType="begin"/>
      </w:r>
      <w:r w:rsidR="00032853" w:rsidRPr="00CE6C4E">
        <w:rPr>
          <w:b/>
          <w:bCs/>
          <w:i/>
          <w:iCs/>
          <w:sz w:val="22"/>
          <w:szCs w:val="22"/>
        </w:rPr>
        <w:instrText>SEQ Table \* ARABIC</w:instrText>
      </w:r>
      <w:r w:rsidR="00032853" w:rsidRPr="00CE6C4E">
        <w:rPr>
          <w:b/>
          <w:bCs/>
          <w:i/>
          <w:iCs/>
          <w:sz w:val="22"/>
          <w:szCs w:val="22"/>
        </w:rPr>
        <w:fldChar w:fldCharType="separate"/>
      </w:r>
      <w:r w:rsidR="00032853">
        <w:rPr>
          <w:b/>
          <w:bCs/>
          <w:i/>
          <w:iCs/>
          <w:noProof/>
          <w:sz w:val="22"/>
          <w:szCs w:val="22"/>
        </w:rPr>
        <w:t>7</w:t>
      </w:r>
      <w:r w:rsidR="00032853" w:rsidRPr="00CE6C4E">
        <w:rPr>
          <w:b/>
          <w:bCs/>
          <w:i/>
          <w:iCs/>
          <w:sz w:val="22"/>
          <w:szCs w:val="22"/>
        </w:rPr>
        <w:fldChar w:fldCharType="end"/>
      </w:r>
      <w:r>
        <w:rPr>
          <w:b/>
          <w:bCs/>
          <w:i/>
          <w:iCs/>
          <w:sz w:val="22"/>
          <w:szCs w:val="22"/>
        </w:rPr>
        <w:t>:</w:t>
      </w:r>
      <w:r w:rsidRPr="000D5C3E">
        <w:rPr>
          <w:b/>
          <w:bCs/>
          <w:i/>
          <w:iCs/>
          <w:sz w:val="22"/>
          <w:szCs w:val="22"/>
        </w:rPr>
        <w:t xml:space="preserve"> </w:t>
      </w:r>
      <w:r>
        <w:rPr>
          <w:b/>
          <w:bCs/>
          <w:i/>
          <w:iCs/>
          <w:sz w:val="22"/>
          <w:szCs w:val="22"/>
        </w:rPr>
        <w:t>Response to performance guiding questions</w:t>
      </w:r>
    </w:p>
    <w:tbl>
      <w:tblPr>
        <w:tblStyle w:val="GridTable4-Accent2"/>
        <w:tblW w:w="5033" w:type="pct"/>
        <w:tblInd w:w="-15" w:type="dxa"/>
        <w:tblBorders>
          <w:top w:val="single" w:sz="2" w:space="0" w:color="002279"/>
          <w:left w:val="single" w:sz="2" w:space="0" w:color="002279"/>
          <w:bottom w:val="single" w:sz="2" w:space="0" w:color="002279"/>
          <w:right w:val="single" w:sz="2" w:space="0" w:color="002279"/>
          <w:insideH w:val="single" w:sz="2" w:space="0" w:color="002279"/>
          <w:insideV w:val="single" w:sz="2" w:space="0" w:color="002279"/>
        </w:tblBorders>
        <w:tblLook w:val="0620" w:firstRow="1" w:lastRow="0" w:firstColumn="0" w:lastColumn="0" w:noHBand="1" w:noVBand="1"/>
      </w:tblPr>
      <w:tblGrid>
        <w:gridCol w:w="3549"/>
        <w:gridCol w:w="6087"/>
      </w:tblGrid>
      <w:tr w:rsidR="003B74C9" w:rsidRPr="00B052BE" w14:paraId="0B68F9BB" w14:textId="77777777" w:rsidTr="009C7109">
        <w:trPr>
          <w:cnfStyle w:val="100000000000" w:firstRow="1" w:lastRow="0" w:firstColumn="0" w:lastColumn="0" w:oddVBand="0" w:evenVBand="0" w:oddHBand="0" w:evenHBand="0" w:firstRowFirstColumn="0" w:firstRowLastColumn="0" w:lastRowFirstColumn="0" w:lastRowLastColumn="0"/>
          <w:trHeight w:val="393"/>
          <w:tblHeader/>
        </w:trPr>
        <w:tc>
          <w:tcPr>
            <w:tcW w:w="3549" w:type="dxa"/>
            <w:tcBorders>
              <w:top w:val="single" w:sz="8" w:space="0" w:color="002279"/>
              <w:left w:val="single" w:sz="8" w:space="0" w:color="002279"/>
              <w:bottom w:val="single" w:sz="8" w:space="0" w:color="002279"/>
              <w:right w:val="single" w:sz="4" w:space="0" w:color="FFFFFF" w:themeColor="background1"/>
            </w:tcBorders>
            <w:shd w:val="clear" w:color="auto" w:fill="002279"/>
          </w:tcPr>
          <w:bookmarkEnd w:id="26"/>
          <w:p w14:paraId="0D080631" w14:textId="77777777" w:rsidR="009E7C78" w:rsidRPr="009C7109" w:rsidRDefault="009E7C78" w:rsidP="007349FD">
            <w:pPr>
              <w:pStyle w:val="TableHeading"/>
              <w:rPr>
                <w:b/>
                <w:bCs/>
              </w:rPr>
            </w:pPr>
            <w:r w:rsidRPr="009C7109">
              <w:rPr>
                <w:b/>
                <w:bCs/>
              </w:rPr>
              <w:t>Guiding question</w:t>
            </w:r>
          </w:p>
        </w:tc>
        <w:tc>
          <w:tcPr>
            <w:tcW w:w="6087" w:type="dxa"/>
            <w:tcBorders>
              <w:top w:val="single" w:sz="8" w:space="0" w:color="002279"/>
              <w:left w:val="single" w:sz="4" w:space="0" w:color="FFFFFF" w:themeColor="background1"/>
              <w:bottom w:val="single" w:sz="8" w:space="0" w:color="002279"/>
              <w:right w:val="single" w:sz="8" w:space="0" w:color="002279"/>
            </w:tcBorders>
            <w:shd w:val="clear" w:color="auto" w:fill="002279"/>
          </w:tcPr>
          <w:p w14:paraId="07E23070" w14:textId="77777777" w:rsidR="009E7C78" w:rsidRPr="009C7109" w:rsidRDefault="009E7C78" w:rsidP="007349FD">
            <w:pPr>
              <w:pStyle w:val="TableHeading"/>
              <w:rPr>
                <w:b/>
                <w:bCs/>
              </w:rPr>
            </w:pPr>
            <w:r w:rsidRPr="009C7109">
              <w:rPr>
                <w:b/>
                <w:bCs/>
              </w:rPr>
              <w:t>Response</w:t>
            </w:r>
          </w:p>
        </w:tc>
      </w:tr>
      <w:tr w:rsidR="00A7554B" w:rsidRPr="00B052BE" w14:paraId="0C933440" w14:textId="77777777" w:rsidTr="004F1571">
        <w:tc>
          <w:tcPr>
            <w:tcW w:w="3549" w:type="dxa"/>
            <w:tcBorders>
              <w:top w:val="single" w:sz="8" w:space="0" w:color="002279"/>
            </w:tcBorders>
            <w:shd w:val="clear" w:color="auto" w:fill="D4D6DF"/>
            <w:vAlign w:val="top"/>
          </w:tcPr>
          <w:p w14:paraId="55412185" w14:textId="3A551735" w:rsidR="009E7C78" w:rsidRPr="00116E55" w:rsidRDefault="005F307F" w:rsidP="00444A44">
            <w:pPr>
              <w:pStyle w:val="Default"/>
              <w:rPr>
                <w:i/>
                <w:sz w:val="20"/>
                <w:szCs w:val="20"/>
              </w:rPr>
            </w:pPr>
            <w:r w:rsidRPr="00116E55">
              <w:rPr>
                <w:i/>
                <w:sz w:val="20"/>
                <w:szCs w:val="20"/>
              </w:rPr>
              <w:t xml:space="preserve">To what extent has the </w:t>
            </w:r>
            <w:r w:rsidR="006B0BBE" w:rsidRPr="00116E55">
              <w:rPr>
                <w:i/>
                <w:sz w:val="20"/>
                <w:szCs w:val="20"/>
              </w:rPr>
              <w:t>organisation</w:t>
            </w:r>
            <w:r w:rsidRPr="00116E55">
              <w:rPr>
                <w:i/>
                <w:sz w:val="20"/>
                <w:szCs w:val="20"/>
              </w:rPr>
              <w:t xml:space="preserve"> demonstrated delivery of its customer outcomes commitment over the current regulatory period? Did its customers get what they paid for?</w:t>
            </w:r>
          </w:p>
        </w:tc>
        <w:tc>
          <w:tcPr>
            <w:tcW w:w="6087" w:type="dxa"/>
            <w:tcBorders>
              <w:top w:val="single" w:sz="8" w:space="0" w:color="002279"/>
            </w:tcBorders>
            <w:shd w:val="clear" w:color="auto" w:fill="D4D6DF"/>
            <w:vAlign w:val="top"/>
          </w:tcPr>
          <w:p w14:paraId="6E2DD2BD" w14:textId="71379994" w:rsidR="00E31EB6" w:rsidRPr="00116E55" w:rsidRDefault="00BF65C0" w:rsidP="00E31EB6">
            <w:pPr>
              <w:pStyle w:val="Bulletlistmultilevel"/>
              <w:ind w:left="47" w:firstLine="0"/>
              <w:rPr>
                <w:sz w:val="20"/>
                <w:szCs w:val="20"/>
              </w:rPr>
            </w:pPr>
            <w:r w:rsidRPr="00116E55">
              <w:rPr>
                <w:sz w:val="20"/>
                <w:szCs w:val="20"/>
              </w:rPr>
              <w:t>We have</w:t>
            </w:r>
            <w:r w:rsidR="00157C7B" w:rsidRPr="00116E55">
              <w:rPr>
                <w:sz w:val="20"/>
                <w:szCs w:val="20"/>
              </w:rPr>
              <w:t xml:space="preserve"> </w:t>
            </w:r>
            <w:r w:rsidR="009A1670" w:rsidRPr="00116E55">
              <w:rPr>
                <w:sz w:val="20"/>
                <w:szCs w:val="20"/>
              </w:rPr>
              <w:t xml:space="preserve">delivered customer outcomes to a high standard </w:t>
            </w:r>
            <w:r w:rsidR="00E31EB6" w:rsidRPr="00116E55">
              <w:rPr>
                <w:sz w:val="20"/>
                <w:szCs w:val="20"/>
              </w:rPr>
              <w:t>to date</w:t>
            </w:r>
            <w:r w:rsidR="006E18D8" w:rsidRPr="00116E55">
              <w:rPr>
                <w:sz w:val="20"/>
                <w:szCs w:val="20"/>
              </w:rPr>
              <w:t>, ensuring that customers</w:t>
            </w:r>
            <w:r w:rsidR="00812FCA" w:rsidRPr="00116E55">
              <w:rPr>
                <w:sz w:val="20"/>
                <w:szCs w:val="20"/>
              </w:rPr>
              <w:t xml:space="preserve"> </w:t>
            </w:r>
            <w:r w:rsidR="00C40462" w:rsidRPr="00116E55">
              <w:rPr>
                <w:sz w:val="20"/>
                <w:szCs w:val="20"/>
              </w:rPr>
              <w:t xml:space="preserve">received the outcomes they paid for. </w:t>
            </w:r>
            <w:r w:rsidR="00A076AC" w:rsidRPr="00116E55">
              <w:rPr>
                <w:sz w:val="20"/>
                <w:szCs w:val="20"/>
              </w:rPr>
              <w:t>Of the 18 targets delivered in each of the 4 years (that is, 18</w:t>
            </w:r>
            <w:r w:rsidR="000B57F2">
              <w:rPr>
                <w:sz w:val="20"/>
                <w:szCs w:val="20"/>
              </w:rPr>
              <w:t>x</w:t>
            </w:r>
            <w:r w:rsidR="00A076AC" w:rsidRPr="00116E55">
              <w:rPr>
                <w:sz w:val="20"/>
                <w:szCs w:val="20"/>
              </w:rPr>
              <w:t xml:space="preserve">4 or 72 targets), we have met the target or been within the tolerance band 93% of the time, only missing the target on </w:t>
            </w:r>
            <w:r w:rsidR="00901FD2" w:rsidRPr="00116E55">
              <w:rPr>
                <w:sz w:val="20"/>
                <w:szCs w:val="20"/>
              </w:rPr>
              <w:t xml:space="preserve">5 </w:t>
            </w:r>
            <w:r w:rsidR="00A076AC" w:rsidRPr="00116E55">
              <w:rPr>
                <w:sz w:val="20"/>
                <w:szCs w:val="20"/>
              </w:rPr>
              <w:t>occasions.</w:t>
            </w:r>
          </w:p>
          <w:p w14:paraId="0B81C5F0" w14:textId="28D98185" w:rsidR="009E7C78" w:rsidRPr="00116E55" w:rsidRDefault="00E31EB6" w:rsidP="00E31EB6">
            <w:pPr>
              <w:pStyle w:val="Bulletlistmultilevel"/>
              <w:ind w:left="47" w:firstLine="0"/>
              <w:rPr>
                <w:sz w:val="20"/>
                <w:szCs w:val="20"/>
              </w:rPr>
            </w:pPr>
            <w:r w:rsidRPr="00116E55">
              <w:rPr>
                <w:sz w:val="20"/>
                <w:szCs w:val="20"/>
              </w:rPr>
              <w:t xml:space="preserve">The few instances where the target or tolerance band was not met did not represent major departures and were generally due to setting a higher stretch target or external events. </w:t>
            </w:r>
          </w:p>
        </w:tc>
      </w:tr>
      <w:tr w:rsidR="00AF4CBF" w:rsidRPr="00B052BE" w14:paraId="4B9620F5" w14:textId="77777777" w:rsidTr="00201D2F">
        <w:tc>
          <w:tcPr>
            <w:tcW w:w="3549" w:type="dxa"/>
            <w:shd w:val="clear" w:color="auto" w:fill="D4D6DF"/>
            <w:vAlign w:val="top"/>
          </w:tcPr>
          <w:p w14:paraId="0648273D" w14:textId="4DD26C2D" w:rsidR="009E7C78" w:rsidRPr="00116E55" w:rsidRDefault="00C75271" w:rsidP="00444A44">
            <w:pPr>
              <w:pStyle w:val="TableText"/>
              <w:rPr>
                <w:i/>
                <w:sz w:val="20"/>
                <w:szCs w:val="20"/>
              </w:rPr>
            </w:pPr>
            <w:r w:rsidRPr="00116E55">
              <w:rPr>
                <w:i/>
                <w:sz w:val="20"/>
                <w:szCs w:val="20"/>
              </w:rPr>
              <w:t xml:space="preserve">How does actual operating expenditure across the current period compare with the established benchmark allowance, and to what extent has the </w:t>
            </w:r>
            <w:r w:rsidR="006B0BBE" w:rsidRPr="00116E55">
              <w:rPr>
                <w:i/>
                <w:sz w:val="20"/>
                <w:szCs w:val="20"/>
              </w:rPr>
              <w:t>organisation</w:t>
            </w:r>
            <w:r w:rsidRPr="00116E55">
              <w:rPr>
                <w:i/>
                <w:sz w:val="20"/>
                <w:szCs w:val="20"/>
              </w:rPr>
              <w:t xml:space="preserve"> rationalised any discrepancies?</w:t>
            </w:r>
          </w:p>
        </w:tc>
        <w:tc>
          <w:tcPr>
            <w:tcW w:w="6087" w:type="dxa"/>
            <w:shd w:val="clear" w:color="auto" w:fill="D4D6DF"/>
            <w:vAlign w:val="top"/>
          </w:tcPr>
          <w:p w14:paraId="07FFC669" w14:textId="122320CF" w:rsidR="0030631D" w:rsidRDefault="003F54C8" w:rsidP="00360131">
            <w:pPr>
              <w:pStyle w:val="TableText"/>
              <w:spacing w:after="60"/>
              <w:rPr>
                <w:sz w:val="20"/>
                <w:szCs w:val="20"/>
              </w:rPr>
            </w:pPr>
            <w:r w:rsidRPr="00116E55">
              <w:rPr>
                <w:sz w:val="20"/>
                <w:szCs w:val="20"/>
              </w:rPr>
              <w:t>The total operating expenditure</w:t>
            </w:r>
            <w:r w:rsidR="00B13737" w:rsidRPr="00116E55">
              <w:rPr>
                <w:sz w:val="20"/>
                <w:szCs w:val="20"/>
              </w:rPr>
              <w:t xml:space="preserve">, including a forecast for year </w:t>
            </w:r>
            <w:r w:rsidR="00617F66" w:rsidRPr="00116E55">
              <w:rPr>
                <w:sz w:val="20"/>
                <w:szCs w:val="20"/>
              </w:rPr>
              <w:t>5</w:t>
            </w:r>
            <w:r w:rsidR="00B13737" w:rsidRPr="00116E55">
              <w:rPr>
                <w:sz w:val="20"/>
                <w:szCs w:val="20"/>
              </w:rPr>
              <w:t>,</w:t>
            </w:r>
            <w:r w:rsidRPr="00116E55">
              <w:rPr>
                <w:sz w:val="20"/>
                <w:szCs w:val="20"/>
              </w:rPr>
              <w:t xml:space="preserve"> </w:t>
            </w:r>
            <w:r w:rsidR="00682A97" w:rsidRPr="00116E55">
              <w:rPr>
                <w:sz w:val="20"/>
                <w:szCs w:val="20"/>
              </w:rPr>
              <w:t xml:space="preserve">is slightly lower than </w:t>
            </w:r>
            <w:r w:rsidR="00C45C49" w:rsidRPr="00116E55">
              <w:rPr>
                <w:sz w:val="20"/>
                <w:szCs w:val="20"/>
              </w:rPr>
              <w:t xml:space="preserve">the </w:t>
            </w:r>
            <w:r w:rsidR="00760F86" w:rsidRPr="00116E55">
              <w:rPr>
                <w:sz w:val="20"/>
                <w:szCs w:val="20"/>
              </w:rPr>
              <w:t>benchmark op</w:t>
            </w:r>
            <w:r w:rsidR="005D4B81" w:rsidRPr="00116E55">
              <w:rPr>
                <w:sz w:val="20"/>
                <w:szCs w:val="20"/>
              </w:rPr>
              <w:t xml:space="preserve">erating expenditure </w:t>
            </w:r>
            <w:r w:rsidR="00760F86" w:rsidRPr="00116E55">
              <w:rPr>
                <w:sz w:val="20"/>
                <w:szCs w:val="20"/>
              </w:rPr>
              <w:t xml:space="preserve">allowance for the </w:t>
            </w:r>
            <w:r w:rsidR="00C45C49" w:rsidRPr="00116E55">
              <w:rPr>
                <w:sz w:val="20"/>
                <w:szCs w:val="20"/>
              </w:rPr>
              <w:t>2018</w:t>
            </w:r>
            <w:r w:rsidR="007D4EB3" w:rsidRPr="00116E55">
              <w:rPr>
                <w:sz w:val="20"/>
                <w:szCs w:val="20"/>
              </w:rPr>
              <w:t>–</w:t>
            </w:r>
            <w:r w:rsidR="00C45C49" w:rsidRPr="00116E55">
              <w:rPr>
                <w:sz w:val="20"/>
                <w:szCs w:val="20"/>
              </w:rPr>
              <w:t>23 regulatory period</w:t>
            </w:r>
            <w:r w:rsidR="00F82A71" w:rsidRPr="00116E55">
              <w:rPr>
                <w:sz w:val="20"/>
                <w:szCs w:val="20"/>
              </w:rPr>
              <w:t>.</w:t>
            </w:r>
            <w:r w:rsidR="00F91C6D" w:rsidRPr="00116E55">
              <w:rPr>
                <w:sz w:val="20"/>
                <w:szCs w:val="20"/>
              </w:rPr>
              <w:t xml:space="preserve"> </w:t>
            </w:r>
          </w:p>
          <w:p w14:paraId="7A629098" w14:textId="201CB2B0" w:rsidR="00CA6ADE" w:rsidRPr="00116E55" w:rsidRDefault="00485919" w:rsidP="00000D9D">
            <w:pPr>
              <w:pStyle w:val="TableText"/>
              <w:rPr>
                <w:sz w:val="20"/>
                <w:szCs w:val="20"/>
              </w:rPr>
            </w:pPr>
            <w:r w:rsidRPr="00116E55">
              <w:rPr>
                <w:sz w:val="20"/>
                <w:szCs w:val="20"/>
              </w:rPr>
              <w:t>Further detail is provided in Section 7</w:t>
            </w:r>
            <w:r w:rsidR="00E32516" w:rsidRPr="00116E55">
              <w:rPr>
                <w:sz w:val="20"/>
                <w:szCs w:val="20"/>
              </w:rPr>
              <w:t>.</w:t>
            </w:r>
          </w:p>
          <w:p w14:paraId="7A4531D8" w14:textId="02D153A1" w:rsidR="009E7C78" w:rsidRPr="00116E55" w:rsidRDefault="009E7C78" w:rsidP="00273BF3">
            <w:pPr>
              <w:pStyle w:val="TableNumber"/>
              <w:rPr>
                <w:i/>
                <w:sz w:val="20"/>
                <w:szCs w:val="20"/>
              </w:rPr>
            </w:pPr>
          </w:p>
        </w:tc>
      </w:tr>
      <w:tr w:rsidR="00E2049D" w:rsidRPr="00B052BE" w14:paraId="01836867" w14:textId="77777777" w:rsidTr="00201D2F">
        <w:tc>
          <w:tcPr>
            <w:tcW w:w="3549" w:type="dxa"/>
            <w:vAlign w:val="top"/>
          </w:tcPr>
          <w:p w14:paraId="597B29A6" w14:textId="6427AAEA" w:rsidR="009E7C78" w:rsidRPr="00116E55" w:rsidRDefault="00C75271" w:rsidP="00444A44">
            <w:pPr>
              <w:pStyle w:val="TableText"/>
              <w:rPr>
                <w:i/>
                <w:sz w:val="20"/>
                <w:szCs w:val="20"/>
              </w:rPr>
            </w:pPr>
            <w:r w:rsidRPr="00116E55">
              <w:rPr>
                <w:i/>
                <w:sz w:val="20"/>
                <w:szCs w:val="20"/>
              </w:rPr>
              <w:t xml:space="preserve">How does actual capital expenditure across the current period compare with the established benchmark allowance, and to what extent has the </w:t>
            </w:r>
            <w:r w:rsidR="006B0BBE" w:rsidRPr="00116E55">
              <w:rPr>
                <w:i/>
                <w:sz w:val="20"/>
                <w:szCs w:val="20"/>
              </w:rPr>
              <w:t>organisation</w:t>
            </w:r>
            <w:r w:rsidRPr="00116E55">
              <w:rPr>
                <w:i/>
                <w:sz w:val="20"/>
                <w:szCs w:val="20"/>
              </w:rPr>
              <w:t xml:space="preserve"> rationalised any discrepancies?</w:t>
            </w:r>
          </w:p>
        </w:tc>
        <w:tc>
          <w:tcPr>
            <w:tcW w:w="6087" w:type="dxa"/>
            <w:vAlign w:val="top"/>
          </w:tcPr>
          <w:p w14:paraId="58CB6FCE" w14:textId="5B4D285E" w:rsidR="0030631D" w:rsidRDefault="00E32516" w:rsidP="0030631D">
            <w:pPr>
              <w:pStyle w:val="Bulletlistmultilevel"/>
              <w:ind w:left="0" w:firstLine="0"/>
              <w:rPr>
                <w:sz w:val="20"/>
                <w:szCs w:val="20"/>
              </w:rPr>
            </w:pPr>
            <w:r w:rsidRPr="00116E55">
              <w:rPr>
                <w:sz w:val="20"/>
                <w:szCs w:val="20"/>
              </w:rPr>
              <w:t xml:space="preserve">Capital expenditure is expected to be </w:t>
            </w:r>
            <w:r w:rsidR="00F446E7">
              <w:rPr>
                <w:sz w:val="20"/>
                <w:szCs w:val="20"/>
              </w:rPr>
              <w:t>0.</w:t>
            </w:r>
            <w:r w:rsidR="00E700B5" w:rsidRPr="00116E55">
              <w:rPr>
                <w:sz w:val="20"/>
                <w:szCs w:val="20"/>
              </w:rPr>
              <w:t xml:space="preserve">1% </w:t>
            </w:r>
            <w:r w:rsidR="00F446E7">
              <w:rPr>
                <w:sz w:val="20"/>
                <w:szCs w:val="20"/>
              </w:rPr>
              <w:t>above</w:t>
            </w:r>
            <w:r w:rsidRPr="00116E55">
              <w:rPr>
                <w:sz w:val="20"/>
                <w:szCs w:val="20"/>
              </w:rPr>
              <w:t xml:space="preserve"> the 2018</w:t>
            </w:r>
            <w:r w:rsidR="007D4EB3" w:rsidRPr="00116E55">
              <w:rPr>
                <w:sz w:val="20"/>
                <w:szCs w:val="20"/>
              </w:rPr>
              <w:t>–</w:t>
            </w:r>
            <w:r w:rsidRPr="00116E55">
              <w:rPr>
                <w:sz w:val="20"/>
                <w:szCs w:val="20"/>
              </w:rPr>
              <w:t xml:space="preserve">23 benchmark </w:t>
            </w:r>
            <w:r w:rsidR="00760F86" w:rsidRPr="00116E55">
              <w:rPr>
                <w:sz w:val="20"/>
                <w:szCs w:val="20"/>
              </w:rPr>
              <w:t>cap</w:t>
            </w:r>
            <w:r w:rsidR="00B36FAB" w:rsidRPr="00116E55">
              <w:rPr>
                <w:sz w:val="20"/>
                <w:szCs w:val="20"/>
              </w:rPr>
              <w:t>ital expenditure</w:t>
            </w:r>
            <w:r w:rsidR="00760F86" w:rsidRPr="00116E55">
              <w:rPr>
                <w:sz w:val="20"/>
                <w:szCs w:val="20"/>
              </w:rPr>
              <w:t xml:space="preserve"> </w:t>
            </w:r>
            <w:r w:rsidRPr="00116E55">
              <w:rPr>
                <w:sz w:val="20"/>
                <w:szCs w:val="20"/>
              </w:rPr>
              <w:t>allowance.</w:t>
            </w:r>
            <w:bookmarkStart w:id="27" w:name="_Hlk113712833"/>
          </w:p>
          <w:p w14:paraId="2A8D4A3A" w14:textId="1121CD3E" w:rsidR="00E32516" w:rsidRPr="00116E55" w:rsidRDefault="00E32516" w:rsidP="00360131">
            <w:pPr>
              <w:pStyle w:val="Bulletlistmultilevel"/>
              <w:ind w:left="0" w:firstLine="0"/>
              <w:rPr>
                <w:sz w:val="20"/>
                <w:szCs w:val="20"/>
              </w:rPr>
            </w:pPr>
            <w:r w:rsidRPr="00116E55">
              <w:rPr>
                <w:sz w:val="20"/>
                <w:szCs w:val="20"/>
              </w:rPr>
              <w:t xml:space="preserve">Further detail is provided in Section </w:t>
            </w:r>
            <w:r w:rsidR="00D94C69" w:rsidRPr="00116E55">
              <w:rPr>
                <w:sz w:val="20"/>
                <w:szCs w:val="20"/>
              </w:rPr>
              <w:t>6</w:t>
            </w:r>
            <w:r w:rsidRPr="00116E55">
              <w:rPr>
                <w:sz w:val="20"/>
                <w:szCs w:val="20"/>
              </w:rPr>
              <w:t>.</w:t>
            </w:r>
          </w:p>
          <w:bookmarkEnd w:id="27"/>
          <w:p w14:paraId="43A863F1" w14:textId="77777777" w:rsidR="00E32516" w:rsidRPr="00116E55" w:rsidRDefault="00E32516" w:rsidP="00273BF3">
            <w:pPr>
              <w:pStyle w:val="Bulletlistmultilevel"/>
              <w:ind w:left="0" w:firstLine="0"/>
              <w:rPr>
                <w:sz w:val="20"/>
                <w:szCs w:val="20"/>
              </w:rPr>
            </w:pPr>
          </w:p>
          <w:p w14:paraId="58FD1E62" w14:textId="6DA707C1" w:rsidR="009E7C78" w:rsidRPr="00116E55" w:rsidRDefault="009E7C78" w:rsidP="00273BF3">
            <w:pPr>
              <w:pStyle w:val="Bulletlistmultilevel"/>
              <w:ind w:left="0" w:firstLine="0"/>
              <w:rPr>
                <w:i/>
                <w:sz w:val="20"/>
                <w:szCs w:val="20"/>
              </w:rPr>
            </w:pPr>
          </w:p>
        </w:tc>
      </w:tr>
      <w:tr w:rsidR="00AF4CBF" w:rsidRPr="00B052BE" w14:paraId="4DB357B4" w14:textId="77777777" w:rsidTr="00201D2F">
        <w:tc>
          <w:tcPr>
            <w:tcW w:w="3549" w:type="dxa"/>
            <w:shd w:val="clear" w:color="auto" w:fill="D4D6DF"/>
            <w:vAlign w:val="top"/>
          </w:tcPr>
          <w:p w14:paraId="2948DFE2" w14:textId="5BA44053" w:rsidR="009E7C78" w:rsidRPr="00116E55" w:rsidRDefault="006E51B5" w:rsidP="00444A44">
            <w:pPr>
              <w:pStyle w:val="TableText"/>
              <w:rPr>
                <w:i/>
                <w:sz w:val="20"/>
                <w:szCs w:val="20"/>
              </w:rPr>
            </w:pPr>
            <w:r w:rsidRPr="00116E55">
              <w:rPr>
                <w:i/>
                <w:sz w:val="20"/>
                <w:szCs w:val="20"/>
              </w:rPr>
              <w:t xml:space="preserve">To what extent does customer sentiment demonstrate satisfaction in the </w:t>
            </w:r>
            <w:r w:rsidR="006B0BBE" w:rsidRPr="00116E55">
              <w:rPr>
                <w:i/>
                <w:sz w:val="20"/>
                <w:szCs w:val="20"/>
              </w:rPr>
              <w:t>organisation</w:t>
            </w:r>
            <w:r w:rsidR="00612583" w:rsidRPr="00116E55">
              <w:rPr>
                <w:i/>
                <w:sz w:val="20"/>
                <w:szCs w:val="20"/>
              </w:rPr>
              <w:t>’</w:t>
            </w:r>
            <w:r w:rsidRPr="00116E55">
              <w:rPr>
                <w:i/>
                <w:sz w:val="20"/>
                <w:szCs w:val="20"/>
              </w:rPr>
              <w:t xml:space="preserve">s performance over the current regulatory period? Are customers happy with the value they receive from their water </w:t>
            </w:r>
            <w:r w:rsidR="006B0BBE" w:rsidRPr="00116E55">
              <w:rPr>
                <w:i/>
                <w:sz w:val="20"/>
                <w:szCs w:val="20"/>
              </w:rPr>
              <w:t>organisation</w:t>
            </w:r>
            <w:r w:rsidRPr="00116E55">
              <w:rPr>
                <w:i/>
                <w:sz w:val="20"/>
                <w:szCs w:val="20"/>
              </w:rPr>
              <w:t>?</w:t>
            </w:r>
          </w:p>
        </w:tc>
        <w:tc>
          <w:tcPr>
            <w:tcW w:w="6087" w:type="dxa"/>
            <w:shd w:val="clear" w:color="auto" w:fill="D4D6DF"/>
            <w:vAlign w:val="top"/>
          </w:tcPr>
          <w:p w14:paraId="1D10BAC6" w14:textId="51C4CC8B" w:rsidR="00E0021F" w:rsidRPr="00116E55" w:rsidRDefault="00F10812" w:rsidP="00444A44">
            <w:pPr>
              <w:pStyle w:val="TableText"/>
              <w:rPr>
                <w:sz w:val="20"/>
                <w:szCs w:val="20"/>
              </w:rPr>
            </w:pPr>
            <w:r w:rsidRPr="00116E55">
              <w:rPr>
                <w:sz w:val="20"/>
                <w:szCs w:val="20"/>
              </w:rPr>
              <w:t xml:space="preserve">We </w:t>
            </w:r>
            <w:r w:rsidR="008B11D8" w:rsidRPr="00116E55">
              <w:rPr>
                <w:sz w:val="20"/>
                <w:szCs w:val="20"/>
              </w:rPr>
              <w:t>ha</w:t>
            </w:r>
            <w:r w:rsidRPr="00116E55">
              <w:rPr>
                <w:sz w:val="20"/>
                <w:szCs w:val="20"/>
              </w:rPr>
              <w:t>ve</w:t>
            </w:r>
            <w:r w:rsidR="008B11D8" w:rsidRPr="00116E55">
              <w:rPr>
                <w:sz w:val="20"/>
                <w:szCs w:val="20"/>
              </w:rPr>
              <w:t xml:space="preserve"> performed strongly </w:t>
            </w:r>
            <w:r w:rsidR="00976D12" w:rsidRPr="00116E55">
              <w:rPr>
                <w:sz w:val="20"/>
                <w:szCs w:val="20"/>
              </w:rPr>
              <w:t xml:space="preserve">in both our own </w:t>
            </w:r>
            <w:r w:rsidR="00F135E6" w:rsidRPr="00116E55">
              <w:rPr>
                <w:sz w:val="20"/>
                <w:szCs w:val="20"/>
              </w:rPr>
              <w:t xml:space="preserve">customer </w:t>
            </w:r>
            <w:r w:rsidR="003A3A1F" w:rsidRPr="00116E55">
              <w:rPr>
                <w:sz w:val="20"/>
                <w:szCs w:val="20"/>
              </w:rPr>
              <w:t>sentiment</w:t>
            </w:r>
            <w:r w:rsidR="00976D12" w:rsidRPr="00116E55">
              <w:rPr>
                <w:sz w:val="20"/>
                <w:szCs w:val="20"/>
              </w:rPr>
              <w:t xml:space="preserve"> surveys and those conducted by the ESC as part of the annual benchmarking program</w:t>
            </w:r>
            <w:r w:rsidR="00F735AB" w:rsidRPr="00116E55">
              <w:rPr>
                <w:sz w:val="20"/>
                <w:szCs w:val="20"/>
              </w:rPr>
              <w:t xml:space="preserve">. </w:t>
            </w:r>
            <w:r w:rsidR="009F0332">
              <w:rPr>
                <w:sz w:val="20"/>
                <w:szCs w:val="20"/>
              </w:rPr>
              <w:t xml:space="preserve"> </w:t>
            </w:r>
            <w:r w:rsidR="00591EE2" w:rsidRPr="00116E55">
              <w:rPr>
                <w:sz w:val="20"/>
                <w:szCs w:val="20"/>
              </w:rPr>
              <w:t>Over the 2021</w:t>
            </w:r>
            <w:r w:rsidR="007D4EB3" w:rsidRPr="00116E55">
              <w:rPr>
                <w:sz w:val="20"/>
                <w:szCs w:val="20"/>
              </w:rPr>
              <w:t>–</w:t>
            </w:r>
            <w:r w:rsidR="00591EE2" w:rsidRPr="00116E55">
              <w:rPr>
                <w:sz w:val="20"/>
                <w:szCs w:val="20"/>
              </w:rPr>
              <w:t>22 financial year, the ESC report</w:t>
            </w:r>
            <w:r w:rsidR="00C8051D">
              <w:rPr>
                <w:sz w:val="20"/>
                <w:szCs w:val="20"/>
              </w:rPr>
              <w:t>ed</w:t>
            </w:r>
            <w:r w:rsidR="00591EE2" w:rsidRPr="00116E55">
              <w:rPr>
                <w:sz w:val="20"/>
                <w:szCs w:val="20"/>
              </w:rPr>
              <w:t xml:space="preserve"> that South</w:t>
            </w:r>
            <w:r w:rsidR="00325C01" w:rsidRPr="00116E55">
              <w:rPr>
                <w:sz w:val="20"/>
                <w:szCs w:val="20"/>
              </w:rPr>
              <w:t> </w:t>
            </w:r>
            <w:r w:rsidR="00591EE2" w:rsidRPr="00116E55">
              <w:rPr>
                <w:sz w:val="20"/>
                <w:szCs w:val="20"/>
              </w:rPr>
              <w:t>East Water achieved the highest overall customer satisfaction score among the Victorian water businesses.</w:t>
            </w:r>
          </w:p>
          <w:p w14:paraId="435C79A4" w14:textId="410816A3" w:rsidR="009E7C78" w:rsidRPr="00116E55" w:rsidRDefault="00EE1AD6" w:rsidP="00B90D75">
            <w:pPr>
              <w:pStyle w:val="TableText"/>
              <w:rPr>
                <w:sz w:val="20"/>
                <w:szCs w:val="20"/>
              </w:rPr>
            </w:pPr>
            <w:r w:rsidRPr="00116E55">
              <w:rPr>
                <w:sz w:val="20"/>
                <w:szCs w:val="20"/>
              </w:rPr>
              <w:t>Total complaints per 100 customers</w:t>
            </w:r>
            <w:r w:rsidR="009545D0" w:rsidRPr="00116E55">
              <w:rPr>
                <w:sz w:val="20"/>
                <w:szCs w:val="20"/>
              </w:rPr>
              <w:t xml:space="preserve"> </w:t>
            </w:r>
            <w:r w:rsidR="00201D2F">
              <w:rPr>
                <w:sz w:val="20"/>
                <w:szCs w:val="20"/>
              </w:rPr>
              <w:t>are</w:t>
            </w:r>
            <w:r w:rsidR="009545D0" w:rsidRPr="00116E55">
              <w:rPr>
                <w:sz w:val="20"/>
                <w:szCs w:val="20"/>
              </w:rPr>
              <w:t xml:space="preserve"> currently higher than our target</w:t>
            </w:r>
            <w:r w:rsidR="0086279B" w:rsidRPr="00116E55">
              <w:rPr>
                <w:sz w:val="20"/>
                <w:szCs w:val="20"/>
              </w:rPr>
              <w:t xml:space="preserve">. </w:t>
            </w:r>
            <w:r w:rsidR="00E9638D" w:rsidRPr="00116E55">
              <w:rPr>
                <w:sz w:val="20"/>
                <w:szCs w:val="20"/>
              </w:rPr>
              <w:t>However, we are p</w:t>
            </w:r>
            <w:r w:rsidR="00B90D75" w:rsidRPr="00116E55">
              <w:rPr>
                <w:sz w:val="20"/>
                <w:szCs w:val="20"/>
              </w:rPr>
              <w:t xml:space="preserve">urposefully capturing feedback across a </w:t>
            </w:r>
            <w:r w:rsidR="0015147E" w:rsidRPr="00116E55">
              <w:rPr>
                <w:sz w:val="20"/>
                <w:szCs w:val="20"/>
              </w:rPr>
              <w:t xml:space="preserve">broader range of </w:t>
            </w:r>
            <w:r w:rsidR="0029479E" w:rsidRPr="00116E55">
              <w:rPr>
                <w:sz w:val="20"/>
                <w:szCs w:val="20"/>
              </w:rPr>
              <w:t>channels and</w:t>
            </w:r>
            <w:r w:rsidR="0015147E" w:rsidRPr="00116E55">
              <w:rPr>
                <w:sz w:val="20"/>
                <w:szCs w:val="20"/>
              </w:rPr>
              <w:t xml:space="preserve"> </w:t>
            </w:r>
            <w:r w:rsidR="00732300" w:rsidRPr="00116E55">
              <w:rPr>
                <w:sz w:val="20"/>
                <w:szCs w:val="20"/>
              </w:rPr>
              <w:t>are defining more feedback as complaints</w:t>
            </w:r>
            <w:r w:rsidR="00A323A6" w:rsidRPr="00116E55">
              <w:rPr>
                <w:sz w:val="20"/>
                <w:szCs w:val="20"/>
              </w:rPr>
              <w:t>.</w:t>
            </w:r>
            <w:r w:rsidR="00732300" w:rsidRPr="00116E55">
              <w:rPr>
                <w:sz w:val="20"/>
                <w:szCs w:val="20"/>
              </w:rPr>
              <w:t xml:space="preserve"> </w:t>
            </w:r>
            <w:r w:rsidR="007343A0">
              <w:rPr>
                <w:sz w:val="20"/>
                <w:szCs w:val="20"/>
              </w:rPr>
              <w:t xml:space="preserve">Figure 18    </w:t>
            </w:r>
            <w:r w:rsidR="00732300" w:rsidRPr="00116E55">
              <w:rPr>
                <w:sz w:val="20"/>
                <w:szCs w:val="20"/>
              </w:rPr>
              <w:t xml:space="preserve">This is being done to provide greater business focus on customer </w:t>
            </w:r>
            <w:r w:rsidR="0030631D">
              <w:rPr>
                <w:sz w:val="20"/>
                <w:szCs w:val="20"/>
              </w:rPr>
              <w:br/>
            </w:r>
            <w:r w:rsidR="00732300" w:rsidRPr="00116E55">
              <w:rPr>
                <w:sz w:val="20"/>
                <w:szCs w:val="20"/>
              </w:rPr>
              <w:t>pain points.</w:t>
            </w:r>
          </w:p>
        </w:tc>
      </w:tr>
    </w:tbl>
    <w:p w14:paraId="13AD88E7" w14:textId="5A51A694" w:rsidR="009E7C78" w:rsidRDefault="00562B16" w:rsidP="00870684">
      <w:r>
        <w:rPr>
          <w:noProof/>
        </w:rPr>
        <mc:AlternateContent>
          <mc:Choice Requires="wps">
            <w:drawing>
              <wp:anchor distT="45720" distB="45720" distL="114300" distR="114300" simplePos="0" relativeHeight="251658261" behindDoc="0" locked="0" layoutInCell="1" allowOverlap="1" wp14:anchorId="36F14C26" wp14:editId="57A31E2A">
                <wp:simplePos x="0" y="0"/>
                <wp:positionH relativeFrom="column">
                  <wp:posOffset>1905</wp:posOffset>
                </wp:positionH>
                <wp:positionV relativeFrom="paragraph">
                  <wp:posOffset>359410</wp:posOffset>
                </wp:positionV>
                <wp:extent cx="6122670" cy="1191895"/>
                <wp:effectExtent l="0" t="0" r="0" b="1905"/>
                <wp:wrapSquare wrapText="bothSides"/>
                <wp:docPr id="972" name="Text Box 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670" cy="1191895"/>
                        </a:xfrm>
                        <a:prstGeom prst="rect">
                          <a:avLst/>
                        </a:prstGeom>
                        <a:solidFill>
                          <a:srgbClr val="FF8D00"/>
                        </a:solidFill>
                        <a:ln w="9525">
                          <a:noFill/>
                          <a:miter lim="800000"/>
                          <a:headEnd/>
                          <a:tailEnd/>
                        </a:ln>
                      </wps:spPr>
                      <wps:txbx>
                        <w:txbxContent>
                          <w:p w14:paraId="1023C585" w14:textId="704D4EA7" w:rsidR="00562B16" w:rsidRPr="00116E55" w:rsidRDefault="00562B16" w:rsidP="00116E55">
                            <w:pPr>
                              <w:pStyle w:val="Heading3"/>
                              <w:spacing w:before="0" w:after="240"/>
                              <w:rPr>
                                <w:color w:val="FFFFFF" w:themeColor="background1"/>
                                <w:sz w:val="24"/>
                              </w:rPr>
                            </w:pPr>
                            <w:r>
                              <w:rPr>
                                <w:color w:val="FFFFFF" w:themeColor="background1"/>
                                <w:sz w:val="24"/>
                              </w:rPr>
                              <w:t>Supporting documents</w:t>
                            </w:r>
                          </w:p>
                          <w:p w14:paraId="2659F055" w14:textId="77777777" w:rsidR="00562B16" w:rsidRPr="00803F2C" w:rsidRDefault="00562B16" w:rsidP="00562B16">
                            <w:pPr>
                              <w:pStyle w:val="Bulletlistmultilevel"/>
                              <w:numPr>
                                <w:ilvl w:val="0"/>
                                <w:numId w:val="4"/>
                              </w:numPr>
                              <w:rPr>
                                <w:b/>
                                <w:color w:val="FFFFFF" w:themeColor="background1"/>
                              </w:rPr>
                            </w:pPr>
                            <w:r w:rsidRPr="00803F2C">
                              <w:rPr>
                                <w:b/>
                                <w:color w:val="FFFFFF" w:themeColor="background1"/>
                              </w:rPr>
                              <w:t xml:space="preserve">Performance Self-Assessment Framework – Appendix 3 </w:t>
                            </w:r>
                          </w:p>
                          <w:p w14:paraId="6365A406" w14:textId="77777777" w:rsidR="00562B16" w:rsidRPr="00803F2C" w:rsidRDefault="00562B16" w:rsidP="00562B16">
                            <w:pPr>
                              <w:pStyle w:val="Bulletlistmultilevel"/>
                              <w:numPr>
                                <w:ilvl w:val="0"/>
                                <w:numId w:val="4"/>
                              </w:numPr>
                              <w:rPr>
                                <w:b/>
                                <w:color w:val="FFFFFF" w:themeColor="background1"/>
                              </w:rPr>
                            </w:pPr>
                            <w:r w:rsidRPr="00803F2C">
                              <w:rPr>
                                <w:b/>
                                <w:color w:val="FFFFFF" w:themeColor="background1"/>
                              </w:rPr>
                              <w:t>Major Projects (2018–23) Summary Report – Appendix 2</w:t>
                            </w:r>
                          </w:p>
                          <w:p w14:paraId="5794B870" w14:textId="56239955" w:rsidR="00562B16" w:rsidRPr="00116E55" w:rsidRDefault="00562B16" w:rsidP="00116E55">
                            <w:pPr>
                              <w:pStyle w:val="Heading3"/>
                              <w:rPr>
                                <w:color w:val="FFFFFF" w:themeColor="background1"/>
                              </w:rPr>
                            </w:pPr>
                          </w:p>
                        </w:txbxContent>
                      </wps:txbx>
                      <wps:bodyPr rot="0" vert="horz" wrap="square" lIns="180000" tIns="180000" rIns="180000" bIns="180000" anchor="t" anchorCtr="0">
                        <a:noAutofit/>
                      </wps:bodyPr>
                    </wps:wsp>
                  </a:graphicData>
                </a:graphic>
                <wp14:sizeRelH relativeFrom="margin">
                  <wp14:pctWidth>0</wp14:pctWidth>
                </wp14:sizeRelH>
                <wp14:sizeRelV relativeFrom="margin">
                  <wp14:pctHeight>0</wp14:pctHeight>
                </wp14:sizeRelV>
              </wp:anchor>
            </w:drawing>
          </mc:Choice>
          <mc:Fallback>
            <w:pict>
              <v:shape w14:anchorId="36F14C26" id="Text Box 972" o:spid="_x0000_s1032" type="#_x0000_t202" style="position:absolute;margin-left:.15pt;margin-top:28.3pt;width:482.1pt;height:93.85pt;z-index:2516582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" fillcolor="#ff8d00" stroked="f">
                <v:textbox inset="5mm,5mm,5mm,5mm">
                  <w:txbxContent>
                    <w:p w14:paraId="1023C585" w14:textId="704D4EA7" w:rsidR="00562B16" w:rsidRPr="00116E55" w:rsidRDefault="00562B16" w:rsidP="00116E55">
                      <w:pPr>
                        <w:pStyle w:val="Heading3"/>
                        <w:spacing w:before="0" w:after="240"/>
                        <w:rPr>
                          <w:color w:val="FFFFFF" w:themeColor="background1"/>
                          <w:sz w:val="24"/>
                        </w:rPr>
                      </w:pPr>
                      <w:r>
                        <w:rPr>
                          <w:color w:val="FFFFFF" w:themeColor="background1"/>
                          <w:sz w:val="24"/>
                        </w:rPr>
                        <w:t>Supporting documents</w:t>
                      </w:r>
                    </w:p>
                    <w:p w14:paraId="2659F055" w14:textId="77777777" w:rsidR="00562B16" w:rsidRPr="00803F2C" w:rsidRDefault="00562B16" w:rsidP="00562B16">
                      <w:pPr>
                        <w:pStyle w:val="Bulletlistmultilevel"/>
                        <w:numPr>
                          <w:ilvl w:val="0"/>
                          <w:numId w:val="4"/>
                        </w:numPr>
                        <w:rPr>
                          <w:b/>
                          <w:color w:val="FFFFFF" w:themeColor="background1"/>
                        </w:rPr>
                      </w:pPr>
                      <w:r w:rsidRPr="00803F2C">
                        <w:rPr>
                          <w:b/>
                          <w:color w:val="FFFFFF" w:themeColor="background1"/>
                        </w:rPr>
                        <w:t xml:space="preserve">Performance Self-Assessment Framework – Appendix 3 </w:t>
                      </w:r>
                    </w:p>
                    <w:p w14:paraId="6365A406" w14:textId="77777777" w:rsidR="00562B16" w:rsidRPr="00803F2C" w:rsidRDefault="00562B16" w:rsidP="00562B16">
                      <w:pPr>
                        <w:pStyle w:val="Bulletlistmultilevel"/>
                        <w:numPr>
                          <w:ilvl w:val="0"/>
                          <w:numId w:val="4"/>
                        </w:numPr>
                        <w:rPr>
                          <w:b/>
                          <w:color w:val="FFFFFF" w:themeColor="background1"/>
                        </w:rPr>
                      </w:pPr>
                      <w:r w:rsidRPr="00803F2C">
                        <w:rPr>
                          <w:b/>
                          <w:color w:val="FFFFFF" w:themeColor="background1"/>
                        </w:rPr>
                        <w:t>Major Projects (2018–23) Summary Report – Appendix 2</w:t>
                      </w:r>
                    </w:p>
                    <w:p w14:paraId="5794B870" w14:textId="56239955" w:rsidR="00562B16" w:rsidRPr="00116E55" w:rsidRDefault="00562B16" w:rsidP="00116E55">
                      <w:pPr>
                        <w:pStyle w:val="Heading3"/>
                        <w:rPr>
                          <w:color w:val="FFFFFF" w:themeColor="background1"/>
                        </w:rPr>
                      </w:pPr>
                    </w:p>
                  </w:txbxContent>
                </v:textbox>
                <w10:wrap type="square"/>
              </v:shape>
            </w:pict>
          </mc:Fallback>
        </mc:AlternateContent>
      </w:r>
      <w:r w:rsidR="00062C38">
        <w:rPr>
          <w:noProof/>
        </w:rPr>
        <mc:AlternateContent>
          <mc:Choice Requires="wps">
            <w:drawing>
              <wp:anchor distT="45720" distB="45720" distL="114300" distR="114300" simplePos="0" relativeHeight="251658253" behindDoc="0" locked="0" layoutInCell="1" allowOverlap="1" wp14:anchorId="4F9EC962" wp14:editId="64BC8799">
                <wp:simplePos x="0" y="0"/>
                <wp:positionH relativeFrom="column">
                  <wp:posOffset>37465</wp:posOffset>
                </wp:positionH>
                <wp:positionV relativeFrom="paragraph">
                  <wp:posOffset>363220</wp:posOffset>
                </wp:positionV>
                <wp:extent cx="5967095" cy="1033780"/>
                <wp:effectExtent l="0" t="0" r="0" b="0"/>
                <wp:wrapSquare wrapText="bothSides"/>
                <wp:docPr id="491"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7095" cy="1033780"/>
                        </a:xfrm>
                        <a:prstGeom prst="rect">
                          <a:avLst/>
                        </a:prstGeom>
                        <a:noFill/>
                        <a:ln w="9525">
                          <a:noFill/>
                          <a:miter lim="800000"/>
                          <a:headEnd/>
                          <a:tailEnd/>
                        </a:ln>
                      </wps:spPr>
                      <wps:txbx>
                        <w:txbxContent>
                          <w:p w14:paraId="082E4AC3" w14:textId="77777777" w:rsidR="0069477C" w:rsidRPr="00116E55" w:rsidRDefault="0069477C" w:rsidP="00870684">
                            <w:pPr>
                              <w:pStyle w:val="Heading3"/>
                              <w:rPr>
                                <w:color w:val="FFFFFF" w:themeColor="background1"/>
                                <w:sz w:val="24"/>
                              </w:rPr>
                            </w:pPr>
                            <w:r w:rsidRPr="00116E55">
                              <w:rPr>
                                <w:color w:val="FFFFFF" w:themeColor="background1"/>
                                <w:sz w:val="24"/>
                              </w:rPr>
                              <w:t>Supporting documents</w:t>
                            </w:r>
                          </w:p>
                          <w:p w14:paraId="72F6CBD7" w14:textId="4224FAFB" w:rsidR="0069477C" w:rsidRPr="00116E55" w:rsidRDefault="0069477C" w:rsidP="00702250">
                            <w:pPr>
                              <w:pStyle w:val="Bulletlistmultilevel"/>
                              <w:numPr>
                                <w:ilvl w:val="0"/>
                                <w:numId w:val="4"/>
                              </w:numPr>
                              <w:rPr>
                                <w:color w:val="FFFFFF" w:themeColor="background1"/>
                              </w:rPr>
                            </w:pPr>
                            <w:r w:rsidRPr="00116E55">
                              <w:rPr>
                                <w:iCs/>
                                <w:color w:val="FFFFFF" w:themeColor="background1"/>
                              </w:rPr>
                              <w:t>Performance Self-Assessment Framework</w:t>
                            </w:r>
                            <w:r w:rsidRPr="00116E55">
                              <w:rPr>
                                <w:color w:val="FFFFFF" w:themeColor="background1"/>
                              </w:rPr>
                              <w:t xml:space="preserve"> – Appendix 3 </w:t>
                            </w:r>
                          </w:p>
                          <w:p w14:paraId="00F6EF5F" w14:textId="2EBE40A0" w:rsidR="0069477C" w:rsidRPr="00116E55" w:rsidRDefault="0069477C" w:rsidP="00702250">
                            <w:pPr>
                              <w:pStyle w:val="Bulletlistmultilevel"/>
                              <w:numPr>
                                <w:ilvl w:val="0"/>
                                <w:numId w:val="4"/>
                              </w:numPr>
                              <w:rPr>
                                <w:color w:val="FFFFFF" w:themeColor="background1"/>
                              </w:rPr>
                            </w:pPr>
                            <w:r w:rsidRPr="00116E55">
                              <w:rPr>
                                <w:i/>
                                <w:color w:val="FFFFFF" w:themeColor="background1"/>
                              </w:rPr>
                              <w:t>Major Projects (2018–23) Summary Report</w:t>
                            </w:r>
                            <w:r w:rsidRPr="00116E55">
                              <w:rPr>
                                <w:color w:val="FFFFFF" w:themeColor="background1"/>
                              </w:rPr>
                              <w:t xml:space="preserve"> – Appendix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9EC962" id="Text Box 491" o:spid="_x0000_s1033" type="#_x0000_t202" style="position:absolute;margin-left:2.95pt;margin-top:28.6pt;width:469.85pt;height:81.4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" filled="f" stroked="f">
                <v:textbox>
                  <w:txbxContent>
                    <w:p w14:paraId="082E4AC3" w14:textId="77777777" w:rsidR="0069477C" w:rsidRPr="00116E55" w:rsidRDefault="0069477C" w:rsidP="00870684">
                      <w:pPr>
                        <w:pStyle w:val="Heading3"/>
                        <w:rPr>
                          <w:color w:val="FFFFFF" w:themeColor="background1"/>
                          <w:sz w:val="24"/>
                        </w:rPr>
                      </w:pPr>
                      <w:r w:rsidRPr="00116E55">
                        <w:rPr>
                          <w:color w:val="FFFFFF" w:themeColor="background1"/>
                          <w:sz w:val="24"/>
                        </w:rPr>
                        <w:t>Supporting documents</w:t>
                      </w:r>
                    </w:p>
                    <w:p w14:paraId="72F6CBD7" w14:textId="4224FAFB" w:rsidR="0069477C" w:rsidRPr="00116E55" w:rsidRDefault="0069477C" w:rsidP="00702250">
                      <w:pPr>
                        <w:pStyle w:val="Bulletlistmultilevel"/>
                        <w:numPr>
                          <w:ilvl w:val="0"/>
                          <w:numId w:val="4"/>
                        </w:numPr>
                        <w:rPr>
                          <w:color w:val="FFFFFF" w:themeColor="background1"/>
                        </w:rPr>
                      </w:pPr>
                      <w:r w:rsidRPr="00116E55">
                        <w:rPr>
                          <w:iCs/>
                          <w:color w:val="FFFFFF" w:themeColor="background1"/>
                        </w:rPr>
                        <w:t>Performance Self-Assessment Framework</w:t>
                      </w:r>
                      <w:r w:rsidRPr="00116E55">
                        <w:rPr>
                          <w:color w:val="FFFFFF" w:themeColor="background1"/>
                        </w:rPr>
                        <w:t xml:space="preserve"> – Appendix 3 </w:t>
                      </w:r>
                    </w:p>
                    <w:p w14:paraId="00F6EF5F" w14:textId="2EBE40A0" w:rsidR="0069477C" w:rsidRPr="00116E55" w:rsidRDefault="0069477C" w:rsidP="00702250">
                      <w:pPr>
                        <w:pStyle w:val="Bulletlistmultilevel"/>
                        <w:numPr>
                          <w:ilvl w:val="0"/>
                          <w:numId w:val="4"/>
                        </w:numPr>
                        <w:rPr>
                          <w:color w:val="FFFFFF" w:themeColor="background1"/>
                        </w:rPr>
                      </w:pPr>
                      <w:r w:rsidRPr="00116E55">
                        <w:rPr>
                          <w:i/>
                          <w:color w:val="FFFFFF" w:themeColor="background1"/>
                        </w:rPr>
                        <w:t>Major Projects (2018–23) Summary Report</w:t>
                      </w:r>
                      <w:r w:rsidRPr="00116E55">
                        <w:rPr>
                          <w:color w:val="FFFFFF" w:themeColor="background1"/>
                        </w:rPr>
                        <w:t xml:space="preserve"> – Appendix 2</w:t>
                      </w:r>
                    </w:p>
                  </w:txbxContent>
                </v:textbox>
                <w10:wrap type="square"/>
              </v:shape>
            </w:pict>
          </mc:Fallback>
        </mc:AlternateContent>
      </w:r>
    </w:p>
    <w:p w14:paraId="6C6E9CAD" w14:textId="48E5740D" w:rsidR="00870684" w:rsidRDefault="00870684" w:rsidP="00870684"/>
    <w:p w14:paraId="3A897D0E" w14:textId="138CEAAB" w:rsidR="00E91EE4" w:rsidRDefault="00E91EE4">
      <w:r>
        <w:br w:type="page"/>
      </w:r>
    </w:p>
    <w:bookmarkStart w:id="28" w:name="_Toc114644610"/>
    <w:p w14:paraId="5AC683D9" w14:textId="0970668B" w:rsidR="006D2A5C" w:rsidRDefault="00A9631D" w:rsidP="00D11C2D">
      <w:pPr>
        <w:pStyle w:val="NbrHeading1"/>
      </w:pPr>
      <w:r>
        <w:lastRenderedPageBreak/>
        <mc:AlternateContent>
          <mc:Choice Requires="wps">
            <w:drawing>
              <wp:anchor distT="45720" distB="45720" distL="114300" distR="114300" simplePos="0" relativeHeight="251658262" behindDoc="0" locked="0" layoutInCell="1" allowOverlap="1" wp14:anchorId="181367AE" wp14:editId="08336C93">
                <wp:simplePos x="0" y="0"/>
                <wp:positionH relativeFrom="column">
                  <wp:posOffset>15875</wp:posOffset>
                </wp:positionH>
                <wp:positionV relativeFrom="paragraph">
                  <wp:posOffset>654685</wp:posOffset>
                </wp:positionV>
                <wp:extent cx="6391275" cy="3686810"/>
                <wp:effectExtent l="0" t="0" r="9525" b="8890"/>
                <wp:wrapSquare wrapText="bothSides"/>
                <wp:docPr id="974" name="Text Box 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5" cy="3686810"/>
                        </a:xfrm>
                        <a:prstGeom prst="rect">
                          <a:avLst/>
                        </a:prstGeom>
                        <a:solidFill>
                          <a:srgbClr val="00B1F4"/>
                        </a:solidFill>
                        <a:ln w="9525">
                          <a:noFill/>
                          <a:miter lim="800000"/>
                          <a:headEnd/>
                          <a:tailEnd/>
                        </a:ln>
                      </wps:spPr>
                      <wps:txbx>
                        <w:txbxContent>
                          <w:p w14:paraId="18991D61" w14:textId="77777777" w:rsidR="00045E7B" w:rsidRPr="00116E55" w:rsidRDefault="00045E7B" w:rsidP="00116E55">
                            <w:pPr>
                              <w:pStyle w:val="Heading3"/>
                              <w:spacing w:before="0" w:after="240"/>
                              <w:rPr>
                                <w:color w:val="FFFFFF" w:themeColor="background1"/>
                                <w:sz w:val="24"/>
                              </w:rPr>
                            </w:pPr>
                            <w:r w:rsidRPr="00116E55">
                              <w:rPr>
                                <w:color w:val="FFFFFF" w:themeColor="background1"/>
                                <w:sz w:val="24"/>
                              </w:rPr>
                              <w:t>Key points</w:t>
                            </w:r>
                          </w:p>
                          <w:p w14:paraId="5F57891D" w14:textId="4EB68469" w:rsidR="00045E7B" w:rsidRPr="00803F2C" w:rsidRDefault="00045E7B">
                            <w:pPr>
                              <w:pStyle w:val="Heading3"/>
                              <w:numPr>
                                <w:ilvl w:val="0"/>
                                <w:numId w:val="51"/>
                              </w:numPr>
                              <w:spacing w:before="0" w:after="120"/>
                              <w:ind w:left="426"/>
                              <w:rPr>
                                <w:rFonts w:eastAsiaTheme="minorHAnsi" w:cstheme="minorBidi"/>
                                <w:color w:val="FFFFFF" w:themeColor="background1"/>
                                <w:sz w:val="22"/>
                                <w:szCs w:val="22"/>
                              </w:rPr>
                            </w:pPr>
                            <w:r w:rsidRPr="00803F2C">
                              <w:rPr>
                                <w:rFonts w:eastAsiaTheme="minorHAnsi" w:cstheme="minorBidi"/>
                                <w:color w:val="FFFFFF" w:themeColor="background1"/>
                                <w:sz w:val="22"/>
                                <w:szCs w:val="22"/>
                              </w:rPr>
                              <w:t xml:space="preserve">In addition to the feedback we receive </w:t>
                            </w:r>
                            <w:r w:rsidR="00403856">
                              <w:rPr>
                                <w:rFonts w:eastAsiaTheme="minorHAnsi" w:cstheme="minorBidi"/>
                                <w:color w:val="FFFFFF" w:themeColor="background1"/>
                                <w:sz w:val="22"/>
                                <w:szCs w:val="22"/>
                              </w:rPr>
                              <w:t>through</w:t>
                            </w:r>
                            <w:r w:rsidRPr="00803F2C">
                              <w:rPr>
                                <w:rFonts w:eastAsiaTheme="minorHAnsi" w:cstheme="minorBidi"/>
                                <w:color w:val="FFFFFF" w:themeColor="background1"/>
                                <w:sz w:val="22"/>
                                <w:szCs w:val="22"/>
                              </w:rPr>
                              <w:t xml:space="preserve"> ongoing customer engagement, South East Water has extensively re-engaged with customers and stakeholders to prepare our 2023-28 Price Submission.</w:t>
                            </w:r>
                          </w:p>
                          <w:p w14:paraId="3C33F92C" w14:textId="2DD646A5" w:rsidR="00045E7B" w:rsidRPr="00803F2C" w:rsidRDefault="00045E7B">
                            <w:pPr>
                              <w:pStyle w:val="Heading3"/>
                              <w:numPr>
                                <w:ilvl w:val="0"/>
                                <w:numId w:val="51"/>
                              </w:numPr>
                              <w:spacing w:before="0" w:after="120"/>
                              <w:ind w:left="426"/>
                              <w:rPr>
                                <w:rFonts w:eastAsiaTheme="minorHAnsi" w:cstheme="minorBidi"/>
                                <w:color w:val="FFFFFF" w:themeColor="background1"/>
                                <w:sz w:val="22"/>
                                <w:szCs w:val="22"/>
                              </w:rPr>
                            </w:pPr>
                            <w:r w:rsidRPr="00803F2C">
                              <w:rPr>
                                <w:rFonts w:eastAsiaTheme="minorHAnsi" w:cstheme="minorBidi"/>
                                <w:color w:val="FFFFFF" w:themeColor="background1"/>
                                <w:sz w:val="22"/>
                                <w:szCs w:val="22"/>
                              </w:rPr>
                              <w:t>The engagement was comprehensive, encompassing all elements of our customer base, our broader community and key stakeholders. It specifically engaged customers and communities experiencing vulnerability and First Nations people, engaging these groups on their terms.</w:t>
                            </w:r>
                          </w:p>
                          <w:p w14:paraId="30EAEC72" w14:textId="59A731D8" w:rsidR="00045E7B" w:rsidRPr="00803F2C" w:rsidRDefault="00045E7B">
                            <w:pPr>
                              <w:pStyle w:val="Heading3"/>
                              <w:numPr>
                                <w:ilvl w:val="0"/>
                                <w:numId w:val="51"/>
                              </w:numPr>
                              <w:spacing w:before="0" w:after="120"/>
                              <w:ind w:left="426"/>
                              <w:rPr>
                                <w:rFonts w:eastAsiaTheme="minorHAnsi" w:cstheme="minorBidi"/>
                                <w:color w:val="FFFFFF" w:themeColor="background1"/>
                                <w:sz w:val="22"/>
                                <w:szCs w:val="22"/>
                              </w:rPr>
                            </w:pPr>
                            <w:r w:rsidRPr="00803F2C">
                              <w:rPr>
                                <w:rFonts w:eastAsiaTheme="minorHAnsi" w:cstheme="minorBidi"/>
                                <w:color w:val="FFFFFF" w:themeColor="background1"/>
                                <w:sz w:val="22"/>
                                <w:szCs w:val="22"/>
                              </w:rPr>
                              <w:t>The 5 customer outcomes we will deliver to customers have been reaffirmed and we have engaged on the issues that are important in driving customer value.</w:t>
                            </w:r>
                          </w:p>
                          <w:p w14:paraId="6283592E" w14:textId="38B93430" w:rsidR="00045E7B" w:rsidRPr="00803F2C" w:rsidRDefault="00045E7B">
                            <w:pPr>
                              <w:pStyle w:val="Heading3"/>
                              <w:numPr>
                                <w:ilvl w:val="0"/>
                                <w:numId w:val="51"/>
                              </w:numPr>
                              <w:spacing w:before="0" w:after="120"/>
                              <w:ind w:left="426"/>
                              <w:rPr>
                                <w:rFonts w:eastAsiaTheme="minorHAnsi" w:cstheme="minorBidi"/>
                                <w:color w:val="FFFFFF" w:themeColor="background1"/>
                                <w:sz w:val="22"/>
                                <w:szCs w:val="22"/>
                              </w:rPr>
                            </w:pPr>
                            <w:r w:rsidRPr="00803F2C">
                              <w:rPr>
                                <w:rFonts w:eastAsiaTheme="minorHAnsi" w:cstheme="minorBidi"/>
                                <w:color w:val="FFFFFF" w:themeColor="background1"/>
                                <w:sz w:val="22"/>
                                <w:szCs w:val="22"/>
                              </w:rPr>
                              <w:t xml:space="preserve">Using the engagement information, a deliberative process with customers was used to decide how to reflect customers' views in our price submission. This positions the engagement process at the 'Collaborate' to 'Empower' end of the IAP2 engagement spectrum. </w:t>
                            </w:r>
                          </w:p>
                          <w:p w14:paraId="3F7D94A0" w14:textId="5F6280D6" w:rsidR="00045E7B" w:rsidRPr="00803F2C" w:rsidRDefault="00045E7B">
                            <w:pPr>
                              <w:pStyle w:val="Heading3"/>
                              <w:numPr>
                                <w:ilvl w:val="0"/>
                                <w:numId w:val="51"/>
                              </w:numPr>
                              <w:spacing w:before="0" w:after="120"/>
                              <w:ind w:left="426"/>
                              <w:rPr>
                                <w:rFonts w:eastAsiaTheme="minorHAnsi" w:cstheme="minorBidi"/>
                                <w:color w:val="FFFFFF" w:themeColor="background1"/>
                                <w:sz w:val="22"/>
                                <w:szCs w:val="22"/>
                              </w:rPr>
                            </w:pPr>
                            <w:r w:rsidRPr="00803F2C">
                              <w:rPr>
                                <w:rFonts w:eastAsiaTheme="minorHAnsi" w:cstheme="minorBidi"/>
                                <w:color w:val="FFFFFF" w:themeColor="background1"/>
                                <w:sz w:val="22"/>
                                <w:szCs w:val="22"/>
                              </w:rPr>
                              <w:t xml:space="preserve">Our PREMO self-assessed rating for Engagement is </w:t>
                            </w:r>
                            <w:r w:rsidR="00A8592B" w:rsidRPr="00D94533">
                              <w:rPr>
                                <w:rFonts w:eastAsiaTheme="minorHAnsi" w:cstheme="minorBidi"/>
                                <w:i/>
                                <w:iCs/>
                                <w:color w:val="FFFFFF" w:themeColor="background1"/>
                                <w:sz w:val="22"/>
                                <w:szCs w:val="22"/>
                              </w:rPr>
                              <w:t>‘</w:t>
                            </w:r>
                            <w:r w:rsidR="00A8592B" w:rsidRPr="00A8592B">
                              <w:rPr>
                                <w:rFonts w:eastAsiaTheme="minorHAnsi" w:cstheme="minorBidi"/>
                                <w:i/>
                                <w:iCs/>
                                <w:color w:val="FFFFFF" w:themeColor="background1"/>
                                <w:sz w:val="22"/>
                                <w:szCs w:val="22"/>
                              </w:rPr>
                              <w:t>Advanced’</w:t>
                            </w:r>
                            <w:r w:rsidRPr="00803F2C">
                              <w:rPr>
                                <w:rFonts w:eastAsiaTheme="minorHAnsi" w:cstheme="minorBidi"/>
                                <w:color w:val="FFFFFF" w:themeColor="background1"/>
                                <w:sz w:val="22"/>
                                <w:szCs w:val="22"/>
                              </w:rPr>
                              <w:t>, given the extent and depth of the engagement process and that it has significantly shaped and influenced our plans and price submission.</w:t>
                            </w:r>
                          </w:p>
                          <w:p w14:paraId="16F16088" w14:textId="2ACBDD4D" w:rsidR="00045E7B" w:rsidRPr="00116E55" w:rsidRDefault="00045E7B" w:rsidP="00116E55">
                            <w:pPr>
                              <w:pStyle w:val="Heading3"/>
                              <w:rPr>
                                <w:color w:val="FFFFFF" w:themeColor="background1"/>
                              </w:rPr>
                            </w:pPr>
                          </w:p>
                        </w:txbxContent>
                      </wps:txbx>
                      <wps:bodyPr rot="0" vert="horz" wrap="square" lIns="180000" tIns="180000" rIns="180000" bIns="180000" anchor="t" anchorCtr="0">
                        <a:noAutofit/>
                      </wps:bodyPr>
                    </wps:wsp>
                  </a:graphicData>
                </a:graphic>
                <wp14:sizeRelH relativeFrom="margin">
                  <wp14:pctWidth>0</wp14:pctWidth>
                </wp14:sizeRelH>
                <wp14:sizeRelV relativeFrom="margin">
                  <wp14:pctHeight>0</wp14:pctHeight>
                </wp14:sizeRelV>
              </wp:anchor>
            </w:drawing>
          </mc:Choice>
          <mc:Fallback>
            <w:pict>
              <v:shape w14:anchorId="181367AE" id="Text Box 974" o:spid="_x0000_s1034" type="#_x0000_t202" style="position:absolute;left:0;text-align:left;margin-left:1.25pt;margin-top:51.55pt;width:503.25pt;height:290.3pt;z-index:25165826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" fillcolor="#00b1f4" stroked="f">
                <v:textbox inset="5mm,5mm,5mm,5mm">
                  <w:txbxContent>
                    <w:p w14:paraId="18991D61" w14:textId="77777777" w:rsidR="00045E7B" w:rsidRPr="00116E55" w:rsidRDefault="00045E7B" w:rsidP="00116E55">
                      <w:pPr>
                        <w:pStyle w:val="Heading3"/>
                        <w:spacing w:before="0" w:after="240"/>
                        <w:rPr>
                          <w:color w:val="FFFFFF" w:themeColor="background1"/>
                          <w:sz w:val="24"/>
                        </w:rPr>
                      </w:pPr>
                      <w:r w:rsidRPr="00116E55">
                        <w:rPr>
                          <w:color w:val="FFFFFF" w:themeColor="background1"/>
                          <w:sz w:val="24"/>
                        </w:rPr>
                        <w:t>Key points</w:t>
                      </w:r>
                    </w:p>
                    <w:p w14:paraId="5F57891D" w14:textId="4EB68469" w:rsidR="00045E7B" w:rsidRPr="00803F2C" w:rsidRDefault="00045E7B">
                      <w:pPr>
                        <w:pStyle w:val="Heading3"/>
                        <w:numPr>
                          <w:ilvl w:val="0"/>
                          <w:numId w:val="51"/>
                        </w:numPr>
                        <w:spacing w:before="0" w:after="120"/>
                        <w:ind w:left="426"/>
                        <w:rPr>
                          <w:rFonts w:eastAsiaTheme="minorHAnsi" w:cstheme="minorBidi"/>
                          <w:color w:val="FFFFFF" w:themeColor="background1"/>
                          <w:sz w:val="22"/>
                          <w:szCs w:val="22"/>
                        </w:rPr>
                      </w:pPr>
                      <w:r w:rsidRPr="00803F2C">
                        <w:rPr>
                          <w:rFonts w:eastAsiaTheme="minorHAnsi" w:cstheme="minorBidi"/>
                          <w:color w:val="FFFFFF" w:themeColor="background1"/>
                          <w:sz w:val="22"/>
                          <w:szCs w:val="22"/>
                        </w:rPr>
                        <w:t xml:space="preserve">In addition to the </w:t>
                      </w:r>
                      <w:proofErr w:type="gramStart"/>
                      <w:r w:rsidRPr="00803F2C">
                        <w:rPr>
                          <w:rFonts w:eastAsiaTheme="minorHAnsi" w:cstheme="minorBidi"/>
                          <w:color w:val="FFFFFF" w:themeColor="background1"/>
                          <w:sz w:val="22"/>
                          <w:szCs w:val="22"/>
                        </w:rPr>
                        <w:t>feedback</w:t>
                      </w:r>
                      <w:proofErr w:type="gramEnd"/>
                      <w:r w:rsidRPr="00803F2C">
                        <w:rPr>
                          <w:rFonts w:eastAsiaTheme="minorHAnsi" w:cstheme="minorBidi"/>
                          <w:color w:val="FFFFFF" w:themeColor="background1"/>
                          <w:sz w:val="22"/>
                          <w:szCs w:val="22"/>
                        </w:rPr>
                        <w:t xml:space="preserve"> we receive </w:t>
                      </w:r>
                      <w:r w:rsidR="00403856">
                        <w:rPr>
                          <w:rFonts w:eastAsiaTheme="minorHAnsi" w:cstheme="minorBidi"/>
                          <w:color w:val="FFFFFF" w:themeColor="background1"/>
                          <w:sz w:val="22"/>
                          <w:szCs w:val="22"/>
                        </w:rPr>
                        <w:t>through</w:t>
                      </w:r>
                      <w:r w:rsidRPr="00803F2C">
                        <w:rPr>
                          <w:rFonts w:eastAsiaTheme="minorHAnsi" w:cstheme="minorBidi"/>
                          <w:color w:val="FFFFFF" w:themeColor="background1"/>
                          <w:sz w:val="22"/>
                          <w:szCs w:val="22"/>
                        </w:rPr>
                        <w:t xml:space="preserve"> ongoing customer engagement, South East Water has extensively re-engaged with customers and stakeholders to prepare our 2023-28 Price Submission.</w:t>
                      </w:r>
                    </w:p>
                    <w:p w14:paraId="3C33F92C" w14:textId="2DD646A5" w:rsidR="00045E7B" w:rsidRPr="00803F2C" w:rsidRDefault="00045E7B">
                      <w:pPr>
                        <w:pStyle w:val="Heading3"/>
                        <w:numPr>
                          <w:ilvl w:val="0"/>
                          <w:numId w:val="51"/>
                        </w:numPr>
                        <w:spacing w:before="0" w:after="120"/>
                        <w:ind w:left="426"/>
                        <w:rPr>
                          <w:rFonts w:eastAsiaTheme="minorHAnsi" w:cstheme="minorBidi"/>
                          <w:color w:val="FFFFFF" w:themeColor="background1"/>
                          <w:sz w:val="22"/>
                          <w:szCs w:val="22"/>
                        </w:rPr>
                      </w:pPr>
                      <w:r w:rsidRPr="00803F2C">
                        <w:rPr>
                          <w:rFonts w:eastAsiaTheme="minorHAnsi" w:cstheme="minorBidi"/>
                          <w:color w:val="FFFFFF" w:themeColor="background1"/>
                          <w:sz w:val="22"/>
                          <w:szCs w:val="22"/>
                        </w:rPr>
                        <w:t xml:space="preserve">The engagement was comprehensive, encompassing all elements of our customer base, our broader </w:t>
                      </w:r>
                      <w:proofErr w:type="gramStart"/>
                      <w:r w:rsidRPr="00803F2C">
                        <w:rPr>
                          <w:rFonts w:eastAsiaTheme="minorHAnsi" w:cstheme="minorBidi"/>
                          <w:color w:val="FFFFFF" w:themeColor="background1"/>
                          <w:sz w:val="22"/>
                          <w:szCs w:val="22"/>
                        </w:rPr>
                        <w:t>community</w:t>
                      </w:r>
                      <w:proofErr w:type="gramEnd"/>
                      <w:r w:rsidRPr="00803F2C">
                        <w:rPr>
                          <w:rFonts w:eastAsiaTheme="minorHAnsi" w:cstheme="minorBidi"/>
                          <w:color w:val="FFFFFF" w:themeColor="background1"/>
                          <w:sz w:val="22"/>
                          <w:szCs w:val="22"/>
                        </w:rPr>
                        <w:t xml:space="preserve"> and key stakeholders. It specifically engaged customers and communities experiencing vulnerability and First Nations people, engaging these groups on their terms.</w:t>
                      </w:r>
                    </w:p>
                    <w:p w14:paraId="30EAEC72" w14:textId="59A731D8" w:rsidR="00045E7B" w:rsidRPr="00803F2C" w:rsidRDefault="00045E7B">
                      <w:pPr>
                        <w:pStyle w:val="Heading3"/>
                        <w:numPr>
                          <w:ilvl w:val="0"/>
                          <w:numId w:val="51"/>
                        </w:numPr>
                        <w:spacing w:before="0" w:after="120"/>
                        <w:ind w:left="426"/>
                        <w:rPr>
                          <w:rFonts w:eastAsiaTheme="minorHAnsi" w:cstheme="minorBidi"/>
                          <w:color w:val="FFFFFF" w:themeColor="background1"/>
                          <w:sz w:val="22"/>
                          <w:szCs w:val="22"/>
                        </w:rPr>
                      </w:pPr>
                      <w:r w:rsidRPr="00803F2C">
                        <w:rPr>
                          <w:rFonts w:eastAsiaTheme="minorHAnsi" w:cstheme="minorBidi"/>
                          <w:color w:val="FFFFFF" w:themeColor="background1"/>
                          <w:sz w:val="22"/>
                          <w:szCs w:val="22"/>
                        </w:rPr>
                        <w:t>The 5 customer outcomes we will deliver to customers have been reaffirmed and we have engaged on the issues that are important in driving customer value.</w:t>
                      </w:r>
                    </w:p>
                    <w:p w14:paraId="6283592E" w14:textId="38B93430" w:rsidR="00045E7B" w:rsidRPr="00803F2C" w:rsidRDefault="00045E7B">
                      <w:pPr>
                        <w:pStyle w:val="Heading3"/>
                        <w:numPr>
                          <w:ilvl w:val="0"/>
                          <w:numId w:val="51"/>
                        </w:numPr>
                        <w:spacing w:before="0" w:after="120"/>
                        <w:ind w:left="426"/>
                        <w:rPr>
                          <w:rFonts w:eastAsiaTheme="minorHAnsi" w:cstheme="minorBidi"/>
                          <w:color w:val="FFFFFF" w:themeColor="background1"/>
                          <w:sz w:val="22"/>
                          <w:szCs w:val="22"/>
                        </w:rPr>
                      </w:pPr>
                      <w:r w:rsidRPr="00803F2C">
                        <w:rPr>
                          <w:rFonts w:eastAsiaTheme="minorHAnsi" w:cstheme="minorBidi"/>
                          <w:color w:val="FFFFFF" w:themeColor="background1"/>
                          <w:sz w:val="22"/>
                          <w:szCs w:val="22"/>
                        </w:rPr>
                        <w:t xml:space="preserve">Using the engagement information, a deliberative process with customers was used to decide how to reflect customers' views in our price submission. This positions the engagement process at the 'Collaborate' to 'Empower' end of the IAP2 engagement spectrum. </w:t>
                      </w:r>
                    </w:p>
                    <w:p w14:paraId="3F7D94A0" w14:textId="5F6280D6" w:rsidR="00045E7B" w:rsidRPr="00803F2C" w:rsidRDefault="00045E7B">
                      <w:pPr>
                        <w:pStyle w:val="Heading3"/>
                        <w:numPr>
                          <w:ilvl w:val="0"/>
                          <w:numId w:val="51"/>
                        </w:numPr>
                        <w:spacing w:before="0" w:after="120"/>
                        <w:ind w:left="426"/>
                        <w:rPr>
                          <w:rFonts w:eastAsiaTheme="minorHAnsi" w:cstheme="minorBidi"/>
                          <w:color w:val="FFFFFF" w:themeColor="background1"/>
                          <w:sz w:val="22"/>
                          <w:szCs w:val="22"/>
                        </w:rPr>
                      </w:pPr>
                      <w:r w:rsidRPr="00803F2C">
                        <w:rPr>
                          <w:rFonts w:eastAsiaTheme="minorHAnsi" w:cstheme="minorBidi"/>
                          <w:color w:val="FFFFFF" w:themeColor="background1"/>
                          <w:sz w:val="22"/>
                          <w:szCs w:val="22"/>
                        </w:rPr>
                        <w:t xml:space="preserve">Our PREMO self-assessed rating for Engagement is </w:t>
                      </w:r>
                      <w:r w:rsidR="00A8592B" w:rsidRPr="00D94533">
                        <w:rPr>
                          <w:rFonts w:eastAsiaTheme="minorHAnsi" w:cstheme="minorBidi"/>
                          <w:i/>
                          <w:iCs/>
                          <w:color w:val="FFFFFF" w:themeColor="background1"/>
                          <w:sz w:val="22"/>
                          <w:szCs w:val="22"/>
                        </w:rPr>
                        <w:t>‘</w:t>
                      </w:r>
                      <w:r w:rsidR="00A8592B" w:rsidRPr="00A8592B">
                        <w:rPr>
                          <w:rFonts w:eastAsiaTheme="minorHAnsi" w:cstheme="minorBidi"/>
                          <w:i/>
                          <w:iCs/>
                          <w:color w:val="FFFFFF" w:themeColor="background1"/>
                          <w:sz w:val="22"/>
                          <w:szCs w:val="22"/>
                        </w:rPr>
                        <w:t>Advanced’</w:t>
                      </w:r>
                      <w:r w:rsidRPr="00803F2C">
                        <w:rPr>
                          <w:rFonts w:eastAsiaTheme="minorHAnsi" w:cstheme="minorBidi"/>
                          <w:color w:val="FFFFFF" w:themeColor="background1"/>
                          <w:sz w:val="22"/>
                          <w:szCs w:val="22"/>
                        </w:rPr>
                        <w:t>, given the extent and depth of the engagement process and that it has significantly shaped and influenced our plans and price submission.</w:t>
                      </w:r>
                    </w:p>
                    <w:p w14:paraId="16F16088" w14:textId="2ACBDD4D" w:rsidR="00045E7B" w:rsidRPr="00116E55" w:rsidRDefault="00045E7B" w:rsidP="00116E55">
                      <w:pPr>
                        <w:pStyle w:val="Heading3"/>
                        <w:rPr>
                          <w:color w:val="FFFFFF" w:themeColor="background1"/>
                        </w:rPr>
                      </w:pPr>
                    </w:p>
                  </w:txbxContent>
                </v:textbox>
                <w10:wrap type="square"/>
              </v:shape>
            </w:pict>
          </mc:Fallback>
        </mc:AlternateContent>
      </w:r>
      <w:r w:rsidR="00304291">
        <w:t xml:space="preserve">2. </w:t>
      </w:r>
      <w:r w:rsidR="006D2A5C">
        <w:t>Engagement</w:t>
      </w:r>
      <w:bookmarkEnd w:id="28"/>
    </w:p>
    <w:p w14:paraId="4AA56AE8" w14:textId="77777777" w:rsidR="00045E7B" w:rsidRDefault="00045E7B" w:rsidP="006D2A5C"/>
    <w:p w14:paraId="5F0AA9F9" w14:textId="34A09222" w:rsidR="006D2A5C" w:rsidRDefault="006D2A5C" w:rsidP="006D2A5C">
      <w:r>
        <w:t xml:space="preserve">This </w:t>
      </w:r>
      <w:r w:rsidR="0057177D" w:rsidRPr="00CB0971">
        <w:rPr>
          <w:b/>
          <w:bCs/>
        </w:rPr>
        <w:t xml:space="preserve">Engagement </w:t>
      </w:r>
      <w:r>
        <w:t xml:space="preserve">element of the price submission describes how </w:t>
      </w:r>
      <w:r w:rsidR="006F1D3B">
        <w:t>S</w:t>
      </w:r>
      <w:r w:rsidR="00302953">
        <w:t xml:space="preserve">outh </w:t>
      </w:r>
      <w:r w:rsidR="006F1D3B">
        <w:t>E</w:t>
      </w:r>
      <w:r w:rsidR="00302953">
        <w:t xml:space="preserve">ast </w:t>
      </w:r>
      <w:r w:rsidR="006F1D3B">
        <w:t>W</w:t>
      </w:r>
      <w:r w:rsidR="00302953">
        <w:t>ater</w:t>
      </w:r>
      <w:r>
        <w:t xml:space="preserve"> has engaged with customers and other key members of </w:t>
      </w:r>
      <w:r w:rsidR="008E2BE6">
        <w:t>our</w:t>
      </w:r>
      <w:r>
        <w:t xml:space="preserve"> community to develop </w:t>
      </w:r>
      <w:r w:rsidR="008E2BE6">
        <w:t>our</w:t>
      </w:r>
      <w:r>
        <w:t xml:space="preserve"> plans for the </w:t>
      </w:r>
      <w:r w:rsidRPr="00EB4751">
        <w:t>2023</w:t>
      </w:r>
      <w:r w:rsidR="007D4EB3">
        <w:t>–</w:t>
      </w:r>
      <w:r w:rsidRPr="00EB4751">
        <w:t>28 regulatory period</w:t>
      </w:r>
      <w:r>
        <w:t>. It also explains how the engagement feedback has been reflected in th</w:t>
      </w:r>
      <w:r w:rsidR="00CF7234">
        <w:t>is</w:t>
      </w:r>
      <w:r>
        <w:t xml:space="preserve"> price submission.</w:t>
      </w:r>
    </w:p>
    <w:p w14:paraId="599334C0" w14:textId="77777777" w:rsidR="0030631D" w:rsidRDefault="0030631D" w:rsidP="006D2A5C"/>
    <w:p w14:paraId="3727ADB8" w14:textId="77777777" w:rsidR="006D2A5C" w:rsidRDefault="006D2A5C" w:rsidP="008E132A">
      <w:pPr>
        <w:pStyle w:val="Heading2"/>
      </w:pPr>
      <w:bookmarkStart w:id="29" w:name="_Toc103770910"/>
      <w:r>
        <w:t>2.1 Our approach to engagement</w:t>
      </w:r>
      <w:bookmarkEnd w:id="29"/>
    </w:p>
    <w:p w14:paraId="1C8699D1" w14:textId="5AF52067" w:rsidR="00A34A05" w:rsidRDefault="00267B7A" w:rsidP="00A34A05">
      <w:pPr>
        <w:rPr>
          <w:rFonts w:eastAsia="Arial"/>
        </w:rPr>
      </w:pPr>
      <w:r w:rsidRPr="009B383D">
        <w:t>South East Water, with the support of professional engagement firms, has designed and delivered a comprehensive and customer-centric engagement program</w:t>
      </w:r>
      <w:r>
        <w:t xml:space="preserve"> to assist with the development of our </w:t>
      </w:r>
      <w:r w:rsidRPr="000D21B1">
        <w:t>2023</w:t>
      </w:r>
      <w:r w:rsidR="007D4EB3" w:rsidRPr="000D21B1">
        <w:t>–</w:t>
      </w:r>
      <w:r w:rsidRPr="000D21B1">
        <w:t xml:space="preserve">28 </w:t>
      </w:r>
      <w:r w:rsidR="00414B32" w:rsidRPr="000D21B1">
        <w:t>P</w:t>
      </w:r>
      <w:r w:rsidR="00004A73" w:rsidRPr="000D21B1">
        <w:t xml:space="preserve">rice </w:t>
      </w:r>
      <w:r w:rsidR="00414B32" w:rsidRPr="000D21B1">
        <w:t>S</w:t>
      </w:r>
      <w:r w:rsidR="00004A73" w:rsidRPr="000D21B1">
        <w:t>ubmission</w:t>
      </w:r>
      <w:r w:rsidRPr="009B383D">
        <w:t xml:space="preserve">. </w:t>
      </w:r>
      <w:r w:rsidR="00A34A05">
        <w:rPr>
          <w:rFonts w:eastAsia="Arial"/>
        </w:rPr>
        <w:t xml:space="preserve">The engagement program has followed a logical sequence to obtain agreed positions with customers on outcomes and investments for the </w:t>
      </w:r>
      <w:r w:rsidR="00A34A05" w:rsidRPr="00EB4751">
        <w:t>2023</w:t>
      </w:r>
      <w:r w:rsidR="007D4EB3">
        <w:t>–</w:t>
      </w:r>
      <w:r w:rsidR="00A34A05" w:rsidRPr="00EB4751">
        <w:t>28 regulatory period</w:t>
      </w:r>
      <w:r w:rsidR="00A34A05">
        <w:t xml:space="preserve"> reflect</w:t>
      </w:r>
      <w:r w:rsidR="00187868">
        <w:t>ing</w:t>
      </w:r>
      <w:r w:rsidR="00A34A05">
        <w:t xml:space="preserve"> </w:t>
      </w:r>
      <w:r w:rsidR="00EC7BE6">
        <w:t xml:space="preserve">what </w:t>
      </w:r>
      <w:r w:rsidR="00A34A05">
        <w:t>customer</w:t>
      </w:r>
      <w:r w:rsidR="00EC7BE6">
        <w:t>s</w:t>
      </w:r>
      <w:r w:rsidR="00A34A05">
        <w:t xml:space="preserve"> </w:t>
      </w:r>
      <w:r w:rsidR="00DE2BA4">
        <w:t xml:space="preserve">told us </w:t>
      </w:r>
      <w:r w:rsidR="00D94754">
        <w:t xml:space="preserve">is important to them. </w:t>
      </w:r>
    </w:p>
    <w:p w14:paraId="54AC0C84" w14:textId="77777777" w:rsidR="00097102" w:rsidRDefault="00097102" w:rsidP="00712AF9"/>
    <w:p w14:paraId="7AAEECA1" w14:textId="77777777" w:rsidR="00097102" w:rsidRDefault="00097102" w:rsidP="00712AF9"/>
    <w:p w14:paraId="05FA23D9" w14:textId="77777777" w:rsidR="00097102" w:rsidRDefault="00097102" w:rsidP="00712AF9"/>
    <w:p w14:paraId="2A632343" w14:textId="77777777" w:rsidR="00097102" w:rsidRDefault="00097102" w:rsidP="00712AF9"/>
    <w:p w14:paraId="11C73056" w14:textId="77777777" w:rsidR="00097102" w:rsidRDefault="00097102" w:rsidP="00712AF9"/>
    <w:p w14:paraId="15C5B8E9" w14:textId="4528D2C9" w:rsidR="00097102" w:rsidRDefault="00097102" w:rsidP="00712AF9"/>
    <w:p w14:paraId="4A2B4B66" w14:textId="77777777" w:rsidR="0020365D" w:rsidRDefault="0020365D" w:rsidP="00712AF9"/>
    <w:p w14:paraId="731EC8A9" w14:textId="77777777" w:rsidR="00097102" w:rsidRDefault="00097102" w:rsidP="00712AF9"/>
    <w:p w14:paraId="4838246B" w14:textId="77777777" w:rsidR="00097102" w:rsidRDefault="00097102" w:rsidP="00712AF9"/>
    <w:p w14:paraId="66B2827A" w14:textId="26CCDAED" w:rsidR="00712AF9" w:rsidRDefault="005541FC" w:rsidP="00712AF9">
      <w:r>
        <w:t xml:space="preserve">The engagement program consisted of </w:t>
      </w:r>
      <w:r w:rsidR="00584B94">
        <w:t>5</w:t>
      </w:r>
      <w:r w:rsidR="00C94DD2">
        <w:t xml:space="preserve"> key phases as shown in</w:t>
      </w:r>
      <w:r w:rsidR="00454272">
        <w:t xml:space="preserve"> </w:t>
      </w:r>
      <w:r w:rsidR="00746BB8">
        <w:t>Figure 2</w:t>
      </w:r>
      <w:r w:rsidR="00DC0A07">
        <w:t>.</w:t>
      </w:r>
      <w:r w:rsidR="00FC2B2B">
        <w:t xml:space="preserve"> </w:t>
      </w:r>
    </w:p>
    <w:p w14:paraId="5743E389" w14:textId="7DA147F7" w:rsidR="00E441A7" w:rsidRPr="00746BB8" w:rsidRDefault="00746BB8" w:rsidP="00E441A7">
      <w:pPr>
        <w:pStyle w:val="Figuretitle"/>
        <w:rPr>
          <w:i/>
          <w:iCs w:val="0"/>
          <w:sz w:val="22"/>
          <w:szCs w:val="22"/>
        </w:rPr>
      </w:pPr>
      <w:r w:rsidRPr="00746BB8">
        <w:rPr>
          <w:i/>
          <w:sz w:val="22"/>
          <w:szCs w:val="22"/>
        </w:rPr>
        <w:t xml:space="preserve">Figure </w:t>
      </w:r>
      <w:r w:rsidRPr="00746BB8">
        <w:rPr>
          <w:i/>
          <w:sz w:val="22"/>
          <w:szCs w:val="22"/>
        </w:rPr>
        <w:fldChar w:fldCharType="begin"/>
      </w:r>
      <w:r w:rsidRPr="00746BB8">
        <w:rPr>
          <w:i/>
          <w:sz w:val="22"/>
          <w:szCs w:val="22"/>
        </w:rPr>
        <w:instrText>SEQ Figure \* ARABIC</w:instrText>
      </w:r>
      <w:r w:rsidRPr="00746BB8">
        <w:rPr>
          <w:i/>
          <w:sz w:val="22"/>
          <w:szCs w:val="22"/>
        </w:rPr>
        <w:fldChar w:fldCharType="separate"/>
      </w:r>
      <w:r w:rsidR="00877DE6">
        <w:rPr>
          <w:i/>
          <w:noProof/>
          <w:sz w:val="22"/>
          <w:szCs w:val="22"/>
        </w:rPr>
        <w:t>2</w:t>
      </w:r>
      <w:r w:rsidRPr="00746BB8">
        <w:rPr>
          <w:i/>
          <w:sz w:val="22"/>
          <w:szCs w:val="22"/>
        </w:rPr>
        <w:fldChar w:fldCharType="end"/>
      </w:r>
      <w:r w:rsidRPr="00746BB8">
        <w:rPr>
          <w:i/>
          <w:sz w:val="22"/>
          <w:szCs w:val="22"/>
        </w:rPr>
        <w:t xml:space="preserve">: </w:t>
      </w:r>
      <w:r w:rsidR="00F905A5" w:rsidRPr="00746BB8">
        <w:rPr>
          <w:i/>
          <w:iCs w:val="0"/>
          <w:sz w:val="22"/>
          <w:szCs w:val="22"/>
        </w:rPr>
        <w:t>Engagement journey</w:t>
      </w:r>
    </w:p>
    <w:p w14:paraId="1FA1D5BC" w14:textId="5D7B2618" w:rsidR="006703C9" w:rsidRDefault="00A9631D" w:rsidP="006D2A5C">
      <w:r>
        <w:rPr>
          <w:noProof/>
        </w:rPr>
        <w:drawing>
          <wp:inline distT="0" distB="0" distL="0" distR="0" wp14:anchorId="587158AF" wp14:editId="444DF0D9">
            <wp:extent cx="6237389" cy="6830745"/>
            <wp:effectExtent l="0" t="0" r="0" b="0"/>
            <wp:docPr id="975"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 name="Picture 975"/>
                    <pic:cNvPicPr/>
                  </pic:nvPicPr>
                  <pic:blipFill>
                    <a:blip r:embed="rId23" cstate="print">
                      <a:extLst>
                        <a:ext uri="{28A0092B-C50C-407E-A947-70E740481C1C}">
                          <a14:useLocalDpi xmlns:a14="http://schemas.microsoft.com/office/drawing/2010/main" val="0"/>
                        </a:ext>
                      </a:extLst>
                    </a:blip>
                    <a:srcRect t="785" b="785"/>
                    <a:stretch>
                      <a:fillRect/>
                    </a:stretch>
                  </pic:blipFill>
                  <pic:spPr bwMode="auto">
                    <a:xfrm>
                      <a:off x="0" y="0"/>
                      <a:ext cx="6237389" cy="6830745"/>
                    </a:xfrm>
                    <a:prstGeom prst="rect">
                      <a:avLst/>
                    </a:prstGeom>
                    <a:ln>
                      <a:noFill/>
                    </a:ln>
                    <a:extLst>
                      <a:ext uri="{53640926-AAD7-44D8-BBD7-CCE9431645EC}">
                        <a14:shadowObscured xmlns:a14="http://schemas.microsoft.com/office/drawing/2010/main"/>
                      </a:ext>
                    </a:extLst>
                  </pic:spPr>
                </pic:pic>
              </a:graphicData>
            </a:graphic>
          </wp:inline>
        </w:drawing>
      </w:r>
    </w:p>
    <w:p w14:paraId="450FE1DF" w14:textId="3D12EFF4" w:rsidR="006703C9" w:rsidRDefault="006703C9" w:rsidP="006D2A5C"/>
    <w:p w14:paraId="7688532F" w14:textId="0737A74E" w:rsidR="00D94149" w:rsidRDefault="00D94149" w:rsidP="00D94149">
      <w:r>
        <w:t>In Phase 1</w:t>
      </w:r>
      <w:r w:rsidR="0092365F">
        <w:t>,</w:t>
      </w:r>
      <w:r>
        <w:t xml:space="preserve"> a </w:t>
      </w:r>
      <w:r w:rsidR="00D0606A">
        <w:t>s</w:t>
      </w:r>
      <w:r>
        <w:t xml:space="preserve">trategic </w:t>
      </w:r>
      <w:r w:rsidR="00D0606A">
        <w:t>e</w:t>
      </w:r>
      <w:r>
        <w:t xml:space="preserve">ngagement </w:t>
      </w:r>
      <w:r w:rsidR="00D0606A">
        <w:t>p</w:t>
      </w:r>
      <w:r>
        <w:t>lan was developed</w:t>
      </w:r>
      <w:r w:rsidR="00D95E34">
        <w:t xml:space="preserve"> with the </w:t>
      </w:r>
      <w:r w:rsidR="00730106">
        <w:t>E</w:t>
      </w:r>
      <w:r w:rsidR="00D95E34">
        <w:t>xecutive team</w:t>
      </w:r>
      <w:r>
        <w:t xml:space="preserve"> to understand the information we already had and how we needed to build on this to prepare the </w:t>
      </w:r>
      <w:r w:rsidRPr="00A777AA">
        <w:t>2023</w:t>
      </w:r>
      <w:r w:rsidR="007D4EB3" w:rsidRPr="00A777AA">
        <w:t>–</w:t>
      </w:r>
      <w:r w:rsidRPr="00A777AA">
        <w:t xml:space="preserve">28 </w:t>
      </w:r>
      <w:r w:rsidR="00414B32" w:rsidRPr="00A777AA">
        <w:t>Price S</w:t>
      </w:r>
      <w:r w:rsidRPr="00A777AA">
        <w:t>ubmission</w:t>
      </w:r>
      <w:r>
        <w:t xml:space="preserve">. </w:t>
      </w:r>
    </w:p>
    <w:p w14:paraId="6DF4286B" w14:textId="77777777" w:rsidR="00097102" w:rsidRDefault="00097102" w:rsidP="00BB5448"/>
    <w:p w14:paraId="71E4F4E8" w14:textId="69AD69C3" w:rsidR="00BB5448" w:rsidRPr="00D9765A" w:rsidRDefault="00D213AF" w:rsidP="00BB5448">
      <w:pPr>
        <w:rPr>
          <w:rFonts w:eastAsia="Arial"/>
          <w:lang w:val="en-US"/>
        </w:rPr>
      </w:pPr>
      <w:r>
        <w:lastRenderedPageBreak/>
        <w:t xml:space="preserve">In </w:t>
      </w:r>
      <w:r w:rsidR="00D94149">
        <w:t>Phase</w:t>
      </w:r>
      <w:r w:rsidR="004459DC">
        <w:t>s</w:t>
      </w:r>
      <w:r w:rsidR="00D94149">
        <w:t xml:space="preserve"> 2 and 3</w:t>
      </w:r>
      <w:r w:rsidR="00FA3F0C">
        <w:t>,</w:t>
      </w:r>
      <w:r w:rsidR="00D94149">
        <w:t xml:space="preserve"> </w:t>
      </w:r>
      <w:r>
        <w:t>extensive</w:t>
      </w:r>
      <w:r w:rsidR="00CF36CD">
        <w:t xml:space="preserve"> </w:t>
      </w:r>
      <w:r w:rsidR="00D94149">
        <w:t>primary research</w:t>
      </w:r>
      <w:r w:rsidR="00CF36CD">
        <w:t xml:space="preserve"> and engagement</w:t>
      </w:r>
      <w:r w:rsidR="00E25EE6">
        <w:t xml:space="preserve"> </w:t>
      </w:r>
      <w:r>
        <w:t>w</w:t>
      </w:r>
      <w:r w:rsidR="00F871C5">
        <w:t>ere</w:t>
      </w:r>
      <w:r>
        <w:t xml:space="preserve"> undertaken </w:t>
      </w:r>
      <w:r w:rsidR="00E25EE6">
        <w:t>involving ov</w:t>
      </w:r>
      <w:r w:rsidR="00294C9D">
        <w:t>er 8,</w:t>
      </w:r>
      <w:r w:rsidR="00316F2E">
        <w:t>6</w:t>
      </w:r>
      <w:r w:rsidR="00294C9D">
        <w:t xml:space="preserve">00 </w:t>
      </w:r>
      <w:r w:rsidR="00E25EE6" w:rsidRPr="00491EA7">
        <w:rPr>
          <w:rFonts w:eastAsia="Arial"/>
        </w:rPr>
        <w:t>customers</w:t>
      </w:r>
      <w:r w:rsidR="0081461C">
        <w:rPr>
          <w:rFonts w:eastAsia="Arial"/>
        </w:rPr>
        <w:t xml:space="preserve"> (</w:t>
      </w:r>
      <w:r w:rsidR="00863870" w:rsidRPr="000042EB">
        <w:t>see</w:t>
      </w:r>
      <w:r w:rsidR="00146DA9">
        <w:t xml:space="preserve"> </w:t>
      </w:r>
      <w:r w:rsidR="0060611B">
        <w:t>Table 8</w:t>
      </w:r>
      <w:r w:rsidR="00146DA9">
        <w:t xml:space="preserve"> </w:t>
      </w:r>
      <w:r w:rsidR="00863870" w:rsidRPr="000042EB">
        <w:t>for detail on</w:t>
      </w:r>
      <w:r w:rsidR="00863870">
        <w:t xml:space="preserve"> each element)</w:t>
      </w:r>
      <w:r w:rsidR="00C049DB">
        <w:t>.</w:t>
      </w:r>
      <w:r w:rsidR="00C27CA9">
        <w:t xml:space="preserve"> The broad engagement in</w:t>
      </w:r>
      <w:r w:rsidR="005A53B6">
        <w:t xml:space="preserve"> Phase 2</w:t>
      </w:r>
      <w:r w:rsidR="00C27CA9">
        <w:t xml:space="preserve"> ex</w:t>
      </w:r>
      <w:r w:rsidR="00E507C6">
        <w:t>plored</w:t>
      </w:r>
      <w:r w:rsidR="00BB5448">
        <w:rPr>
          <w:rFonts w:eastAsia="Arial"/>
        </w:rPr>
        <w:t xml:space="preserve"> the issues that are important to customers and the nature and level of service outcomes that they value.</w:t>
      </w:r>
      <w:r w:rsidR="008E3264">
        <w:rPr>
          <w:rFonts w:eastAsia="Arial"/>
        </w:rPr>
        <w:t xml:space="preserve"> </w:t>
      </w:r>
      <w:r w:rsidR="00F240E0">
        <w:rPr>
          <w:rFonts w:eastAsia="Arial"/>
        </w:rPr>
        <w:t>T</w:t>
      </w:r>
      <w:r w:rsidR="001D060A">
        <w:rPr>
          <w:rFonts w:eastAsia="Arial"/>
        </w:rPr>
        <w:t xml:space="preserve">he level of engagement that customers and stakeholders were seeking as part of developing the </w:t>
      </w:r>
      <w:r w:rsidR="00434246">
        <w:rPr>
          <w:rFonts w:eastAsia="Arial"/>
        </w:rPr>
        <w:t>price</w:t>
      </w:r>
      <w:r w:rsidR="001D060A">
        <w:rPr>
          <w:rFonts w:eastAsia="Arial"/>
        </w:rPr>
        <w:t xml:space="preserve"> submission</w:t>
      </w:r>
      <w:r w:rsidR="00F240E0">
        <w:rPr>
          <w:rFonts w:eastAsia="Arial"/>
        </w:rPr>
        <w:t xml:space="preserve"> was also tested</w:t>
      </w:r>
      <w:r w:rsidR="001D060A">
        <w:rPr>
          <w:rFonts w:eastAsia="Arial"/>
        </w:rPr>
        <w:t>.</w:t>
      </w:r>
    </w:p>
    <w:p w14:paraId="77945BD1" w14:textId="6802974B" w:rsidR="00BB5448" w:rsidRDefault="007E7555" w:rsidP="00BB5448">
      <w:r>
        <w:t>Phase 3</w:t>
      </w:r>
      <w:r w:rsidR="00BB5448">
        <w:t xml:space="preserve"> investigated willingness to pay (WTP) for different service level outcomes and tested </w:t>
      </w:r>
      <w:r w:rsidR="00BB5448">
        <w:rPr>
          <w:rFonts w:eastAsia="Arial"/>
        </w:rPr>
        <w:t>the relative importance of different service outcomes to overall customer value (by exploring preferences and ranking).</w:t>
      </w:r>
    </w:p>
    <w:p w14:paraId="119364BA" w14:textId="1ED064E8" w:rsidR="00BB5448" w:rsidRDefault="00BB5448" w:rsidP="00BB5448">
      <w:pPr>
        <w:ind w:left="60"/>
      </w:pPr>
      <w:r>
        <w:t>The comprehensive WTP analysis also investigated:</w:t>
      </w:r>
    </w:p>
    <w:p w14:paraId="5E8BFA87" w14:textId="73A4E2AD" w:rsidR="00BB5448" w:rsidRPr="004757AC" w:rsidRDefault="006F0FC1">
      <w:pPr>
        <w:pStyle w:val="Bulletlistmultilevel"/>
        <w:numPr>
          <w:ilvl w:val="0"/>
          <w:numId w:val="53"/>
        </w:numPr>
        <w:rPr>
          <w:sz w:val="24"/>
          <w:szCs w:val="24"/>
        </w:rPr>
      </w:pPr>
      <w:r>
        <w:rPr>
          <w:sz w:val="24"/>
          <w:szCs w:val="24"/>
        </w:rPr>
        <w:t>t</w:t>
      </w:r>
      <w:r w:rsidR="00BB5448" w:rsidRPr="004757AC">
        <w:rPr>
          <w:sz w:val="24"/>
          <w:szCs w:val="24"/>
        </w:rPr>
        <w:t xml:space="preserve">he </w:t>
      </w:r>
      <w:r w:rsidR="00132A99">
        <w:rPr>
          <w:sz w:val="24"/>
          <w:szCs w:val="24"/>
        </w:rPr>
        <w:t>WTP</w:t>
      </w:r>
      <w:r w:rsidR="00BB5448" w:rsidRPr="004757AC">
        <w:rPr>
          <w:sz w:val="24"/>
          <w:szCs w:val="24"/>
        </w:rPr>
        <w:t xml:space="preserve"> values of different customer groups including financially vulnerable customers and pensioners</w:t>
      </w:r>
    </w:p>
    <w:p w14:paraId="3B16E768" w14:textId="6123F856" w:rsidR="00BB5448" w:rsidRPr="004757AC" w:rsidRDefault="00132A99">
      <w:pPr>
        <w:pStyle w:val="Bulletlistmultilevel"/>
        <w:numPr>
          <w:ilvl w:val="0"/>
          <w:numId w:val="53"/>
        </w:numPr>
        <w:rPr>
          <w:sz w:val="24"/>
          <w:szCs w:val="24"/>
        </w:rPr>
      </w:pPr>
      <w:r>
        <w:rPr>
          <w:sz w:val="24"/>
          <w:szCs w:val="24"/>
        </w:rPr>
        <w:t>WTP</w:t>
      </w:r>
      <w:r w:rsidR="00BB5448" w:rsidRPr="004757AC">
        <w:rPr>
          <w:sz w:val="24"/>
          <w:szCs w:val="24"/>
        </w:rPr>
        <w:t xml:space="preserve"> for </w:t>
      </w:r>
      <w:r w:rsidR="0008562A">
        <w:rPr>
          <w:sz w:val="24"/>
          <w:szCs w:val="24"/>
        </w:rPr>
        <w:t>core service s</w:t>
      </w:r>
      <w:r w:rsidR="001C74A5">
        <w:rPr>
          <w:sz w:val="24"/>
          <w:szCs w:val="24"/>
        </w:rPr>
        <w:t>tandards</w:t>
      </w:r>
      <w:r w:rsidR="00BB5448" w:rsidRPr="004757AC">
        <w:rPr>
          <w:sz w:val="24"/>
          <w:szCs w:val="24"/>
        </w:rPr>
        <w:t xml:space="preserve"> (such as reduction in service interruptions) and </w:t>
      </w:r>
      <w:r w:rsidR="00BB5448">
        <w:rPr>
          <w:sz w:val="24"/>
          <w:szCs w:val="24"/>
        </w:rPr>
        <w:t>broader</w:t>
      </w:r>
      <w:r w:rsidR="005E0FD9">
        <w:rPr>
          <w:sz w:val="24"/>
          <w:szCs w:val="24"/>
        </w:rPr>
        <w:t xml:space="preserve"> outcomes</w:t>
      </w:r>
      <w:r w:rsidR="00BB5448" w:rsidRPr="004757AC">
        <w:rPr>
          <w:sz w:val="24"/>
          <w:szCs w:val="24"/>
        </w:rPr>
        <w:t xml:space="preserve"> (such as sustainability and emission reduction outcomes).</w:t>
      </w:r>
    </w:p>
    <w:p w14:paraId="7D7F1030" w14:textId="029DF099" w:rsidR="006455F7" w:rsidRDefault="00BB5448" w:rsidP="00BB5448">
      <w:r>
        <w:t xml:space="preserve">We also </w:t>
      </w:r>
      <w:r w:rsidR="005D370E">
        <w:t xml:space="preserve">investigated the </w:t>
      </w:r>
      <w:r>
        <w:t xml:space="preserve">customer and community views gained via the engagement processes </w:t>
      </w:r>
      <w:r w:rsidR="00DC7222">
        <w:t>embedded in</w:t>
      </w:r>
      <w:r>
        <w:t xml:space="preserve"> the operation of our </w:t>
      </w:r>
      <w:r w:rsidR="006B0BBE">
        <w:t>organisation</w:t>
      </w:r>
      <w:r>
        <w:t>. This include</w:t>
      </w:r>
      <w:r w:rsidR="00D21A93">
        <w:t>d</w:t>
      </w:r>
      <w:r w:rsidR="006455F7">
        <w:t xml:space="preserve">: </w:t>
      </w:r>
    </w:p>
    <w:p w14:paraId="47CA6ED2" w14:textId="577148F9" w:rsidR="004C72B5" w:rsidRDefault="00BB5448">
      <w:pPr>
        <w:pStyle w:val="ListParagraph"/>
        <w:numPr>
          <w:ilvl w:val="0"/>
          <w:numId w:val="52"/>
        </w:numPr>
      </w:pPr>
      <w:r>
        <w:t>regular discussion with our CCAC</w:t>
      </w:r>
    </w:p>
    <w:p w14:paraId="6A893193" w14:textId="30095AB0" w:rsidR="007640D4" w:rsidRDefault="00BB5448">
      <w:pPr>
        <w:pStyle w:val="ListParagraph"/>
        <w:numPr>
          <w:ilvl w:val="0"/>
          <w:numId w:val="52"/>
        </w:numPr>
      </w:pPr>
      <w:r>
        <w:t xml:space="preserve">information from our frontline </w:t>
      </w:r>
      <w:r w:rsidR="00E42753">
        <w:t>employees</w:t>
      </w:r>
      <w:r>
        <w:t xml:space="preserve"> (summarised in a report prepared by JWS Research) </w:t>
      </w:r>
    </w:p>
    <w:p w14:paraId="78B85CDD" w14:textId="76962C51" w:rsidR="00BB5448" w:rsidRDefault="00BB5448">
      <w:pPr>
        <w:pStyle w:val="ListParagraph"/>
        <w:numPr>
          <w:ilvl w:val="0"/>
          <w:numId w:val="52"/>
        </w:numPr>
      </w:pPr>
      <w:r>
        <w:t xml:space="preserve">ongoing customer surveys </w:t>
      </w:r>
      <w:r w:rsidR="00AE33BD">
        <w:t xml:space="preserve">we </w:t>
      </w:r>
      <w:r>
        <w:t>conduct (includ</w:t>
      </w:r>
      <w:r w:rsidR="002F6336">
        <w:t>ing</w:t>
      </w:r>
      <w:r>
        <w:t xml:space="preserve"> post</w:t>
      </w:r>
      <w:r w:rsidR="009415D8">
        <w:t>-</w:t>
      </w:r>
      <w:r>
        <w:t>interaction surveys, post</w:t>
      </w:r>
      <w:r w:rsidR="009415D8">
        <w:t>-</w:t>
      </w:r>
      <w:r>
        <w:t xml:space="preserve">supply interruption surveys, </w:t>
      </w:r>
      <w:r w:rsidR="002F6336">
        <w:t xml:space="preserve">and a </w:t>
      </w:r>
      <w:r>
        <w:t xml:space="preserve">monthly </w:t>
      </w:r>
      <w:r w:rsidR="00832EC2">
        <w:t>B</w:t>
      </w:r>
      <w:r>
        <w:t>rand</w:t>
      </w:r>
      <w:r w:rsidR="00F871C5">
        <w:t xml:space="preserve"> </w:t>
      </w:r>
      <w:r>
        <w:t>tra</w:t>
      </w:r>
      <w:r w:rsidR="00FB2B12">
        <w:t>c</w:t>
      </w:r>
      <w:r>
        <w:t>ker survey)</w:t>
      </w:r>
      <w:r w:rsidR="009505D2">
        <w:t>.</w:t>
      </w:r>
    </w:p>
    <w:p w14:paraId="295BC616" w14:textId="21C87554" w:rsidR="00B45887" w:rsidRPr="007D7A48" w:rsidRDefault="006C0A3B" w:rsidP="006C0A3B">
      <w:pPr>
        <w:pStyle w:val="Tabletitle"/>
        <w:spacing w:after="120"/>
        <w:rPr>
          <w:rFonts w:cs="Arial"/>
          <w:i/>
          <w:sz w:val="22"/>
          <w:szCs w:val="22"/>
        </w:rPr>
      </w:pPr>
      <w:r w:rsidRPr="006C0A3B">
        <w:rPr>
          <w:rFonts w:cs="Arial"/>
          <w:i/>
          <w:sz w:val="22"/>
          <w:szCs w:val="22"/>
        </w:rPr>
        <w:t xml:space="preserve">Table </w:t>
      </w:r>
      <w:r w:rsidR="00032853" w:rsidRPr="00CE6C4E">
        <w:rPr>
          <w:b w:val="0"/>
          <w:bCs/>
          <w:i/>
          <w:iCs w:val="0"/>
          <w:sz w:val="22"/>
          <w:szCs w:val="22"/>
        </w:rPr>
        <w:fldChar w:fldCharType="begin"/>
      </w:r>
      <w:r w:rsidR="00032853" w:rsidRPr="00CE6C4E">
        <w:rPr>
          <w:bCs/>
          <w:i/>
          <w:iCs w:val="0"/>
          <w:sz w:val="22"/>
          <w:szCs w:val="22"/>
        </w:rPr>
        <w:instrText>SEQ Table \* ARABIC</w:instrText>
      </w:r>
      <w:r w:rsidR="00032853" w:rsidRPr="00CE6C4E">
        <w:rPr>
          <w:b w:val="0"/>
          <w:bCs/>
          <w:i/>
          <w:iCs w:val="0"/>
          <w:sz w:val="22"/>
          <w:szCs w:val="22"/>
        </w:rPr>
        <w:fldChar w:fldCharType="separate"/>
      </w:r>
      <w:r w:rsidR="00032853">
        <w:rPr>
          <w:bCs/>
          <w:i/>
          <w:iCs w:val="0"/>
          <w:noProof/>
          <w:sz w:val="22"/>
          <w:szCs w:val="22"/>
        </w:rPr>
        <w:t>8</w:t>
      </w:r>
      <w:r w:rsidR="00032853" w:rsidRPr="00CE6C4E">
        <w:rPr>
          <w:b w:val="0"/>
          <w:bCs/>
          <w:i/>
          <w:iCs w:val="0"/>
          <w:sz w:val="22"/>
          <w:szCs w:val="22"/>
        </w:rPr>
        <w:fldChar w:fldCharType="end"/>
      </w:r>
      <w:r w:rsidRPr="006C0A3B">
        <w:rPr>
          <w:rFonts w:cs="Arial"/>
          <w:i/>
          <w:sz w:val="22"/>
          <w:szCs w:val="22"/>
        </w:rPr>
        <w:t xml:space="preserve">: </w:t>
      </w:r>
      <w:r w:rsidR="00E54FA3" w:rsidRPr="007D7A48">
        <w:rPr>
          <w:rFonts w:cs="Arial"/>
          <w:i/>
          <w:sz w:val="22"/>
          <w:szCs w:val="22"/>
        </w:rPr>
        <w:t>Stage</w:t>
      </w:r>
      <w:r w:rsidR="00281C39">
        <w:rPr>
          <w:rFonts w:cs="Arial"/>
          <w:i/>
          <w:sz w:val="22"/>
          <w:szCs w:val="22"/>
        </w:rPr>
        <w:t>s</w:t>
      </w:r>
      <w:r w:rsidR="00E54FA3" w:rsidRPr="007D7A48">
        <w:rPr>
          <w:rFonts w:cs="Arial"/>
          <w:i/>
          <w:sz w:val="22"/>
          <w:szCs w:val="22"/>
        </w:rPr>
        <w:t xml:space="preserve"> </w:t>
      </w:r>
      <w:r w:rsidR="00264701">
        <w:rPr>
          <w:rFonts w:cs="Arial"/>
          <w:i/>
          <w:sz w:val="22"/>
          <w:szCs w:val="22"/>
        </w:rPr>
        <w:t>of</w:t>
      </w:r>
      <w:r>
        <w:rPr>
          <w:rFonts w:cs="Arial"/>
          <w:i/>
          <w:sz w:val="22"/>
          <w:szCs w:val="22"/>
        </w:rPr>
        <w:t xml:space="preserve"> </w:t>
      </w:r>
      <w:r w:rsidR="001238A6" w:rsidRPr="007D7A48">
        <w:rPr>
          <w:rFonts w:cs="Arial"/>
          <w:i/>
          <w:sz w:val="22"/>
          <w:szCs w:val="22"/>
        </w:rPr>
        <w:t>c</w:t>
      </w:r>
      <w:r w:rsidR="00B45887" w:rsidRPr="007D7A48">
        <w:rPr>
          <w:rFonts w:cs="Arial"/>
          <w:i/>
          <w:sz w:val="22"/>
          <w:szCs w:val="22"/>
        </w:rPr>
        <w:t>ustomer research and engagement</w:t>
      </w:r>
      <w:r w:rsidR="00316F2E">
        <w:rPr>
          <w:rFonts w:cs="Arial"/>
          <w:i/>
          <w:sz w:val="22"/>
          <w:szCs w:val="22"/>
        </w:rPr>
        <w:t xml:space="preserve"> </w:t>
      </w:r>
      <w:r w:rsidR="00D11CC7">
        <w:rPr>
          <w:rFonts w:cs="Arial"/>
          <w:i/>
          <w:sz w:val="22"/>
          <w:szCs w:val="22"/>
        </w:rPr>
        <w:t>(</w:t>
      </w:r>
      <w:r w:rsidR="00316F2E">
        <w:rPr>
          <w:rFonts w:cs="Arial"/>
          <w:i/>
          <w:sz w:val="22"/>
          <w:szCs w:val="22"/>
        </w:rPr>
        <w:t>phases 2</w:t>
      </w:r>
      <w:r w:rsidR="00CF1432">
        <w:rPr>
          <w:rFonts w:cs="Arial"/>
          <w:i/>
          <w:sz w:val="22"/>
          <w:szCs w:val="22"/>
        </w:rPr>
        <w:t xml:space="preserve"> and 3</w:t>
      </w:r>
      <w:r w:rsidR="00D11CC7">
        <w:rPr>
          <w:rFonts w:cs="Arial"/>
          <w:i/>
          <w:sz w:val="22"/>
          <w:szCs w:val="22"/>
        </w:rPr>
        <w:t>)</w:t>
      </w:r>
    </w:p>
    <w:tbl>
      <w:tblPr>
        <w:tblStyle w:val="GridTable4-Accent2"/>
        <w:tblW w:w="5028" w:type="pct"/>
        <w:tblInd w:w="-5" w:type="dxa"/>
        <w:tblBorders>
          <w:top w:val="single" w:sz="2" w:space="0" w:color="002279"/>
          <w:left w:val="single" w:sz="2" w:space="0" w:color="002279"/>
          <w:bottom w:val="single" w:sz="2" w:space="0" w:color="002279"/>
          <w:right w:val="single" w:sz="2" w:space="0" w:color="002279"/>
          <w:insideH w:val="single" w:sz="2" w:space="0" w:color="002279"/>
          <w:insideV w:val="single" w:sz="2" w:space="0" w:color="002279"/>
        </w:tblBorders>
        <w:tblLook w:val="0620" w:firstRow="1" w:lastRow="0" w:firstColumn="0" w:lastColumn="0" w:noHBand="1" w:noVBand="1"/>
      </w:tblPr>
      <w:tblGrid>
        <w:gridCol w:w="1505"/>
        <w:gridCol w:w="3765"/>
        <w:gridCol w:w="4367"/>
      </w:tblGrid>
      <w:tr w:rsidR="003B74C9" w:rsidRPr="00820221" w14:paraId="780E35B0" w14:textId="77777777" w:rsidTr="002F135A">
        <w:trPr>
          <w:cnfStyle w:val="100000000000" w:firstRow="1" w:lastRow="0" w:firstColumn="0" w:lastColumn="0" w:oddVBand="0" w:evenVBand="0" w:oddHBand="0" w:evenHBand="0" w:firstRowFirstColumn="0" w:firstRowLastColumn="0" w:lastRowFirstColumn="0" w:lastRowLastColumn="0"/>
          <w:trHeight w:val="431"/>
          <w:tblHeader/>
        </w:trPr>
        <w:tc>
          <w:tcPr>
            <w:tcW w:w="1505" w:type="dxa"/>
            <w:tcBorders>
              <w:top w:val="single" w:sz="4" w:space="0" w:color="002279"/>
              <w:left w:val="single" w:sz="4" w:space="0" w:color="002279"/>
              <w:bottom w:val="single" w:sz="4" w:space="0" w:color="FFFFFF" w:themeColor="background1"/>
              <w:right w:val="single" w:sz="4" w:space="0" w:color="FFFFFF" w:themeColor="background1"/>
            </w:tcBorders>
            <w:shd w:val="clear" w:color="auto" w:fill="002279"/>
          </w:tcPr>
          <w:p w14:paraId="40CB01B3" w14:textId="77777777" w:rsidR="00B45887" w:rsidRPr="002F135A" w:rsidRDefault="00B45887" w:rsidP="007349FD">
            <w:pPr>
              <w:pStyle w:val="TableHeading"/>
              <w:rPr>
                <w:b/>
                <w:bCs/>
              </w:rPr>
            </w:pPr>
            <w:r w:rsidRPr="002F135A">
              <w:rPr>
                <w:b/>
                <w:bCs/>
              </w:rPr>
              <w:t>Timing</w:t>
            </w:r>
          </w:p>
        </w:tc>
        <w:tc>
          <w:tcPr>
            <w:tcW w:w="3767" w:type="dxa"/>
            <w:tcBorders>
              <w:top w:val="single" w:sz="4" w:space="0" w:color="002279"/>
              <w:left w:val="single" w:sz="4" w:space="0" w:color="FFFFFF" w:themeColor="background1"/>
              <w:bottom w:val="single" w:sz="4" w:space="0" w:color="FFFFFF" w:themeColor="background1"/>
              <w:right w:val="single" w:sz="4" w:space="0" w:color="FFFFFF" w:themeColor="background1"/>
            </w:tcBorders>
            <w:shd w:val="clear" w:color="auto" w:fill="002279"/>
          </w:tcPr>
          <w:p w14:paraId="470D0359" w14:textId="77777777" w:rsidR="00B45887" w:rsidRPr="002F135A" w:rsidRDefault="00B45887" w:rsidP="007349FD">
            <w:pPr>
              <w:pStyle w:val="TableHeading"/>
              <w:rPr>
                <w:b/>
                <w:bCs/>
              </w:rPr>
            </w:pPr>
            <w:r w:rsidRPr="002F135A">
              <w:rPr>
                <w:b/>
                <w:bCs/>
              </w:rPr>
              <w:t>Engagement activity</w:t>
            </w:r>
          </w:p>
        </w:tc>
        <w:tc>
          <w:tcPr>
            <w:tcW w:w="4369" w:type="dxa"/>
            <w:tcBorders>
              <w:top w:val="single" w:sz="4" w:space="0" w:color="002279"/>
              <w:left w:val="single" w:sz="4" w:space="0" w:color="FFFFFF" w:themeColor="background1"/>
              <w:bottom w:val="single" w:sz="4" w:space="0" w:color="FFFFFF" w:themeColor="background1"/>
              <w:right w:val="single" w:sz="4" w:space="0" w:color="002279"/>
            </w:tcBorders>
            <w:shd w:val="clear" w:color="auto" w:fill="002279"/>
          </w:tcPr>
          <w:p w14:paraId="59464692" w14:textId="77777777" w:rsidR="00B45887" w:rsidRPr="002F135A" w:rsidRDefault="00B45887" w:rsidP="007349FD">
            <w:pPr>
              <w:pStyle w:val="TableHeading"/>
              <w:rPr>
                <w:b/>
                <w:bCs/>
              </w:rPr>
            </w:pPr>
            <w:r w:rsidRPr="002F135A">
              <w:rPr>
                <w:b/>
                <w:bCs/>
              </w:rPr>
              <w:t>Objective/purpose</w:t>
            </w:r>
          </w:p>
        </w:tc>
      </w:tr>
      <w:tr w:rsidR="00AF4CBF" w14:paraId="1B087DEA" w14:textId="77777777" w:rsidTr="002F135A">
        <w:tc>
          <w:tcPr>
            <w:tcW w:w="9641" w:type="dxa"/>
            <w:gridSpan w:val="3"/>
            <w:tcBorders>
              <w:top w:val="single" w:sz="4" w:space="0" w:color="FFFFFF" w:themeColor="background1"/>
            </w:tcBorders>
            <w:shd w:val="clear" w:color="auto" w:fill="002279"/>
          </w:tcPr>
          <w:p w14:paraId="542E9B4B" w14:textId="77777777" w:rsidR="00B45887" w:rsidRPr="00116E55" w:rsidRDefault="00B45887" w:rsidP="007621C5">
            <w:pPr>
              <w:pStyle w:val="TableText"/>
              <w:jc w:val="center"/>
              <w:rPr>
                <w:rFonts w:asciiTheme="minorHAnsi" w:hAnsiTheme="minorHAnsi" w:cstheme="minorHAnsi"/>
                <w:b/>
                <w:color w:val="FFFFFF" w:themeColor="background1"/>
                <w:sz w:val="20"/>
                <w:szCs w:val="20"/>
              </w:rPr>
            </w:pPr>
            <w:r w:rsidRPr="00116E55">
              <w:rPr>
                <w:rFonts w:asciiTheme="minorHAnsi" w:hAnsiTheme="minorHAnsi" w:cstheme="minorHAnsi"/>
                <w:b/>
                <w:color w:val="FFFFFF" w:themeColor="background1"/>
                <w:sz w:val="20"/>
                <w:szCs w:val="20"/>
              </w:rPr>
              <w:t>What do customers value?</w:t>
            </w:r>
          </w:p>
        </w:tc>
      </w:tr>
      <w:tr w:rsidR="00A7554B" w14:paraId="2CCE0800" w14:textId="77777777" w:rsidTr="004C011C">
        <w:tc>
          <w:tcPr>
            <w:tcW w:w="1505" w:type="dxa"/>
            <w:shd w:val="clear" w:color="auto" w:fill="D4D6DF"/>
            <w:vAlign w:val="top"/>
          </w:tcPr>
          <w:p w14:paraId="2FD3428A" w14:textId="77777777" w:rsidR="00B45887" w:rsidRPr="001852AF" w:rsidRDefault="00B45887" w:rsidP="007621C5">
            <w:pPr>
              <w:pStyle w:val="TableText"/>
              <w:rPr>
                <w:rFonts w:asciiTheme="minorHAnsi" w:hAnsiTheme="minorHAnsi" w:cstheme="minorHAnsi"/>
                <w:b/>
                <w:bCs/>
                <w:sz w:val="20"/>
                <w:szCs w:val="20"/>
              </w:rPr>
            </w:pPr>
            <w:r w:rsidRPr="001852AF">
              <w:rPr>
                <w:rFonts w:asciiTheme="minorHAnsi" w:hAnsiTheme="minorHAnsi" w:cstheme="minorHAnsi"/>
                <w:b/>
                <w:bCs/>
                <w:sz w:val="20"/>
                <w:szCs w:val="20"/>
              </w:rPr>
              <w:t>March 2021</w:t>
            </w:r>
          </w:p>
        </w:tc>
        <w:tc>
          <w:tcPr>
            <w:tcW w:w="3767" w:type="dxa"/>
            <w:shd w:val="clear" w:color="auto" w:fill="D4D6DF"/>
            <w:vAlign w:val="top"/>
          </w:tcPr>
          <w:p w14:paraId="56AC7B61" w14:textId="77777777" w:rsidR="00B45887" w:rsidRPr="00116E55" w:rsidRDefault="00B45887" w:rsidP="007621C5">
            <w:pPr>
              <w:pStyle w:val="TableText"/>
              <w:rPr>
                <w:rFonts w:asciiTheme="minorHAnsi" w:hAnsiTheme="minorHAnsi" w:cstheme="minorHAnsi"/>
                <w:sz w:val="20"/>
                <w:szCs w:val="20"/>
              </w:rPr>
            </w:pPr>
            <w:r w:rsidRPr="00116E55">
              <w:rPr>
                <w:rFonts w:asciiTheme="minorHAnsi" w:hAnsiTheme="minorHAnsi" w:cstheme="minorHAnsi"/>
                <w:sz w:val="20"/>
                <w:szCs w:val="20"/>
              </w:rPr>
              <w:t>5 public workshops (n=86 including customers experiencing hardship)</w:t>
            </w:r>
          </w:p>
        </w:tc>
        <w:tc>
          <w:tcPr>
            <w:tcW w:w="4369" w:type="dxa"/>
            <w:shd w:val="clear" w:color="auto" w:fill="D4D6DF"/>
            <w:vAlign w:val="top"/>
          </w:tcPr>
          <w:p w14:paraId="32060A83" w14:textId="7E2AE3F8" w:rsidR="00B45887" w:rsidRPr="00116E55" w:rsidRDefault="00B45887" w:rsidP="007621C5">
            <w:pPr>
              <w:pStyle w:val="TableText"/>
              <w:rPr>
                <w:rFonts w:asciiTheme="minorHAnsi" w:hAnsiTheme="minorHAnsi" w:cstheme="minorHAnsi"/>
                <w:sz w:val="20"/>
                <w:szCs w:val="20"/>
              </w:rPr>
            </w:pPr>
            <w:r w:rsidRPr="00116E55">
              <w:rPr>
                <w:rFonts w:asciiTheme="minorHAnsi" w:hAnsiTheme="minorHAnsi" w:cstheme="minorHAnsi"/>
                <w:sz w:val="20"/>
                <w:szCs w:val="20"/>
              </w:rPr>
              <w:t xml:space="preserve">To understand the interests, concerns and priorities of </w:t>
            </w:r>
            <w:r w:rsidR="005352BE" w:rsidRPr="00116E55">
              <w:rPr>
                <w:rFonts w:asciiTheme="minorHAnsi" w:hAnsiTheme="minorHAnsi" w:cstheme="minorHAnsi"/>
                <w:sz w:val="20"/>
                <w:szCs w:val="20"/>
              </w:rPr>
              <w:t xml:space="preserve">our </w:t>
            </w:r>
            <w:r w:rsidRPr="00116E55">
              <w:rPr>
                <w:rFonts w:asciiTheme="minorHAnsi" w:hAnsiTheme="minorHAnsi" w:cstheme="minorHAnsi"/>
                <w:sz w:val="20"/>
                <w:szCs w:val="20"/>
              </w:rPr>
              <w:t>customers</w:t>
            </w:r>
          </w:p>
        </w:tc>
      </w:tr>
      <w:tr w:rsidR="00EF141C" w14:paraId="6F83DBD6" w14:textId="77777777" w:rsidTr="004C011C">
        <w:tc>
          <w:tcPr>
            <w:tcW w:w="1505" w:type="dxa"/>
            <w:vAlign w:val="top"/>
          </w:tcPr>
          <w:p w14:paraId="7715BB9E" w14:textId="77777777" w:rsidR="00B45887" w:rsidRPr="001852AF" w:rsidRDefault="00B45887" w:rsidP="007621C5">
            <w:pPr>
              <w:pStyle w:val="TableText"/>
              <w:rPr>
                <w:rFonts w:asciiTheme="minorHAnsi" w:hAnsiTheme="minorHAnsi" w:cstheme="minorHAnsi"/>
                <w:b/>
                <w:bCs/>
                <w:sz w:val="20"/>
                <w:szCs w:val="20"/>
              </w:rPr>
            </w:pPr>
            <w:r w:rsidRPr="001852AF">
              <w:rPr>
                <w:rFonts w:asciiTheme="minorHAnsi" w:hAnsiTheme="minorHAnsi" w:cstheme="minorHAnsi"/>
                <w:b/>
                <w:bCs/>
                <w:sz w:val="20"/>
                <w:szCs w:val="20"/>
              </w:rPr>
              <w:t>April 2021</w:t>
            </w:r>
          </w:p>
        </w:tc>
        <w:tc>
          <w:tcPr>
            <w:tcW w:w="3767" w:type="dxa"/>
            <w:vAlign w:val="top"/>
          </w:tcPr>
          <w:p w14:paraId="17CB9184" w14:textId="26AC1857" w:rsidR="00B45887" w:rsidRPr="00116E55" w:rsidRDefault="00B45887" w:rsidP="007621C5">
            <w:pPr>
              <w:pStyle w:val="TableText"/>
              <w:rPr>
                <w:rFonts w:asciiTheme="minorHAnsi" w:hAnsiTheme="minorHAnsi" w:cstheme="minorHAnsi"/>
                <w:sz w:val="20"/>
                <w:szCs w:val="20"/>
              </w:rPr>
            </w:pPr>
            <w:r w:rsidRPr="00116E55">
              <w:rPr>
                <w:rFonts w:asciiTheme="minorHAnsi" w:hAnsiTheme="minorHAnsi" w:cstheme="minorHAnsi"/>
                <w:sz w:val="20"/>
                <w:szCs w:val="20"/>
              </w:rPr>
              <w:t>10 focus groups (n=98 including customers experiencing hardship)</w:t>
            </w:r>
          </w:p>
        </w:tc>
        <w:tc>
          <w:tcPr>
            <w:tcW w:w="4369" w:type="dxa"/>
            <w:vAlign w:val="top"/>
          </w:tcPr>
          <w:p w14:paraId="779A24D4" w14:textId="445C12D7" w:rsidR="00B45887" w:rsidRPr="00116E55" w:rsidRDefault="00B45887" w:rsidP="007621C5">
            <w:pPr>
              <w:pStyle w:val="TableText"/>
              <w:rPr>
                <w:rFonts w:asciiTheme="minorHAnsi" w:hAnsiTheme="minorHAnsi" w:cstheme="minorHAnsi"/>
                <w:sz w:val="20"/>
                <w:szCs w:val="20"/>
              </w:rPr>
            </w:pPr>
            <w:r w:rsidRPr="00116E55">
              <w:rPr>
                <w:rFonts w:asciiTheme="minorHAnsi" w:hAnsiTheme="minorHAnsi" w:cstheme="minorHAnsi"/>
                <w:sz w:val="20"/>
                <w:szCs w:val="20"/>
              </w:rPr>
              <w:t xml:space="preserve">To understand the interests, concerns and priorities of </w:t>
            </w:r>
            <w:r w:rsidR="00821DCB" w:rsidRPr="00116E55">
              <w:rPr>
                <w:rFonts w:asciiTheme="minorHAnsi" w:hAnsiTheme="minorHAnsi" w:cstheme="minorHAnsi"/>
                <w:sz w:val="20"/>
                <w:szCs w:val="20"/>
              </w:rPr>
              <w:t xml:space="preserve">our </w:t>
            </w:r>
            <w:r w:rsidRPr="00116E55">
              <w:rPr>
                <w:rFonts w:asciiTheme="minorHAnsi" w:hAnsiTheme="minorHAnsi" w:cstheme="minorHAnsi"/>
                <w:sz w:val="20"/>
                <w:szCs w:val="20"/>
              </w:rPr>
              <w:t>customers</w:t>
            </w:r>
          </w:p>
        </w:tc>
      </w:tr>
      <w:tr w:rsidR="00A7554B" w14:paraId="173AA9C8" w14:textId="77777777" w:rsidTr="004C011C">
        <w:tc>
          <w:tcPr>
            <w:tcW w:w="1505" w:type="dxa"/>
            <w:shd w:val="clear" w:color="auto" w:fill="D4D6DF"/>
            <w:vAlign w:val="top"/>
          </w:tcPr>
          <w:p w14:paraId="3095A6A4" w14:textId="77777777" w:rsidR="00B45887" w:rsidRPr="001852AF" w:rsidRDefault="00B45887" w:rsidP="007621C5">
            <w:pPr>
              <w:pStyle w:val="TableText"/>
              <w:rPr>
                <w:rFonts w:asciiTheme="minorHAnsi" w:hAnsiTheme="minorHAnsi" w:cstheme="minorHAnsi"/>
                <w:b/>
                <w:bCs/>
                <w:sz w:val="20"/>
                <w:szCs w:val="20"/>
              </w:rPr>
            </w:pPr>
            <w:r w:rsidRPr="001852AF">
              <w:rPr>
                <w:rFonts w:asciiTheme="minorHAnsi" w:hAnsiTheme="minorHAnsi" w:cstheme="minorHAnsi"/>
                <w:b/>
                <w:bCs/>
                <w:sz w:val="20"/>
                <w:szCs w:val="20"/>
              </w:rPr>
              <w:t>May 2021</w:t>
            </w:r>
          </w:p>
        </w:tc>
        <w:tc>
          <w:tcPr>
            <w:tcW w:w="3767" w:type="dxa"/>
            <w:shd w:val="clear" w:color="auto" w:fill="D4D6DF"/>
            <w:vAlign w:val="top"/>
          </w:tcPr>
          <w:p w14:paraId="7826ABD4" w14:textId="77777777" w:rsidR="00B45887" w:rsidRPr="00116E55" w:rsidRDefault="00B45887" w:rsidP="007621C5">
            <w:pPr>
              <w:pStyle w:val="TableText"/>
              <w:rPr>
                <w:rFonts w:asciiTheme="minorHAnsi" w:hAnsiTheme="minorHAnsi" w:cstheme="minorHAnsi"/>
                <w:sz w:val="20"/>
                <w:szCs w:val="20"/>
              </w:rPr>
            </w:pPr>
            <w:r w:rsidRPr="00116E55">
              <w:rPr>
                <w:rFonts w:asciiTheme="minorHAnsi" w:hAnsiTheme="minorHAnsi" w:cstheme="minorHAnsi"/>
                <w:sz w:val="20"/>
                <w:szCs w:val="20"/>
              </w:rPr>
              <w:t>6 community focus groups (n=63)</w:t>
            </w:r>
          </w:p>
        </w:tc>
        <w:tc>
          <w:tcPr>
            <w:tcW w:w="4369" w:type="dxa"/>
            <w:shd w:val="clear" w:color="auto" w:fill="D4D6DF"/>
            <w:vAlign w:val="top"/>
          </w:tcPr>
          <w:p w14:paraId="7E9AE470" w14:textId="77777777" w:rsidR="00B45887" w:rsidRPr="00116E55" w:rsidRDefault="00B45887" w:rsidP="007621C5">
            <w:pPr>
              <w:pStyle w:val="TableText"/>
              <w:rPr>
                <w:rFonts w:asciiTheme="minorHAnsi" w:hAnsiTheme="minorHAnsi" w:cstheme="minorHAnsi"/>
                <w:sz w:val="20"/>
                <w:szCs w:val="20"/>
              </w:rPr>
            </w:pPr>
            <w:r w:rsidRPr="00116E55">
              <w:rPr>
                <w:rFonts w:asciiTheme="minorHAnsi" w:hAnsiTheme="minorHAnsi" w:cstheme="minorHAnsi"/>
                <w:sz w:val="20"/>
                <w:szCs w:val="20"/>
              </w:rPr>
              <w:t>Expectations about customer involvement in decision making for price submission</w:t>
            </w:r>
          </w:p>
        </w:tc>
      </w:tr>
      <w:tr w:rsidR="00EF141C" w14:paraId="122B2496" w14:textId="77777777" w:rsidTr="004C011C">
        <w:tc>
          <w:tcPr>
            <w:tcW w:w="1505" w:type="dxa"/>
            <w:vAlign w:val="top"/>
          </w:tcPr>
          <w:p w14:paraId="40901255" w14:textId="71E8F0CB" w:rsidR="00B45887" w:rsidRPr="001852AF" w:rsidRDefault="00B45887" w:rsidP="007621C5">
            <w:pPr>
              <w:pStyle w:val="TableText"/>
              <w:rPr>
                <w:rFonts w:asciiTheme="minorHAnsi" w:hAnsiTheme="minorHAnsi" w:cstheme="minorHAnsi"/>
                <w:b/>
                <w:bCs/>
                <w:sz w:val="20"/>
                <w:szCs w:val="20"/>
              </w:rPr>
            </w:pPr>
            <w:r w:rsidRPr="001852AF">
              <w:rPr>
                <w:rFonts w:asciiTheme="minorHAnsi" w:hAnsiTheme="minorHAnsi" w:cstheme="minorHAnsi"/>
                <w:b/>
                <w:bCs/>
                <w:sz w:val="20"/>
                <w:szCs w:val="20"/>
              </w:rPr>
              <w:t>May</w:t>
            </w:r>
            <w:r w:rsidR="007D4EB3" w:rsidRPr="001852AF">
              <w:rPr>
                <w:rFonts w:asciiTheme="minorHAnsi" w:hAnsiTheme="minorHAnsi" w:cstheme="minorHAnsi"/>
                <w:b/>
                <w:bCs/>
                <w:sz w:val="20"/>
                <w:szCs w:val="20"/>
              </w:rPr>
              <w:t>–</w:t>
            </w:r>
            <w:r w:rsidRPr="001852AF">
              <w:rPr>
                <w:rFonts w:asciiTheme="minorHAnsi" w:hAnsiTheme="minorHAnsi" w:cstheme="minorHAnsi"/>
                <w:b/>
                <w:bCs/>
                <w:sz w:val="20"/>
                <w:szCs w:val="20"/>
              </w:rPr>
              <w:t>June 2021</w:t>
            </w:r>
          </w:p>
        </w:tc>
        <w:tc>
          <w:tcPr>
            <w:tcW w:w="3767" w:type="dxa"/>
            <w:vAlign w:val="top"/>
          </w:tcPr>
          <w:p w14:paraId="721C14F4" w14:textId="4A25216C" w:rsidR="00B45887" w:rsidRPr="00116E55" w:rsidRDefault="00B45887" w:rsidP="007621C5">
            <w:pPr>
              <w:pStyle w:val="TableText"/>
              <w:rPr>
                <w:rFonts w:asciiTheme="minorHAnsi" w:hAnsiTheme="minorHAnsi" w:cstheme="minorHAnsi"/>
                <w:sz w:val="20"/>
                <w:szCs w:val="20"/>
              </w:rPr>
            </w:pPr>
            <w:r w:rsidRPr="00116E55">
              <w:rPr>
                <w:rFonts w:asciiTheme="minorHAnsi" w:hAnsiTheme="minorHAnsi" w:cstheme="minorHAnsi"/>
                <w:sz w:val="20"/>
                <w:szCs w:val="20"/>
              </w:rPr>
              <w:t>19 stakeholder interviews</w:t>
            </w:r>
            <w:r w:rsidR="00937087" w:rsidRPr="00116E55">
              <w:rPr>
                <w:rFonts w:asciiTheme="minorHAnsi" w:hAnsiTheme="minorHAnsi" w:cstheme="minorHAnsi"/>
                <w:sz w:val="20"/>
                <w:szCs w:val="20"/>
              </w:rPr>
              <w:t xml:space="preserve"> (n=</w:t>
            </w:r>
            <w:r w:rsidR="00F06572" w:rsidRPr="00116E55">
              <w:rPr>
                <w:rFonts w:asciiTheme="minorHAnsi" w:hAnsiTheme="minorHAnsi" w:cstheme="minorHAnsi"/>
                <w:sz w:val="20"/>
                <w:szCs w:val="20"/>
              </w:rPr>
              <w:t>25)</w:t>
            </w:r>
          </w:p>
        </w:tc>
        <w:tc>
          <w:tcPr>
            <w:tcW w:w="4369" w:type="dxa"/>
            <w:vAlign w:val="top"/>
          </w:tcPr>
          <w:p w14:paraId="3A5CB8D2" w14:textId="77777777" w:rsidR="00B45887" w:rsidRPr="00116E55" w:rsidRDefault="00B45887" w:rsidP="007621C5">
            <w:pPr>
              <w:pStyle w:val="TableText"/>
              <w:rPr>
                <w:rFonts w:asciiTheme="minorHAnsi" w:hAnsiTheme="minorHAnsi" w:cstheme="minorHAnsi"/>
                <w:sz w:val="20"/>
                <w:szCs w:val="20"/>
              </w:rPr>
            </w:pPr>
            <w:r w:rsidRPr="00116E55">
              <w:rPr>
                <w:rFonts w:asciiTheme="minorHAnsi" w:hAnsiTheme="minorHAnsi" w:cstheme="minorHAnsi"/>
                <w:sz w:val="20"/>
                <w:szCs w:val="20"/>
              </w:rPr>
              <w:t>To understand the interests, concerns and priorities of particular stakeholders including small and large businesses, environmental groups, not-for-profit groups, property developers and councils</w:t>
            </w:r>
          </w:p>
        </w:tc>
      </w:tr>
      <w:tr w:rsidR="00A7554B" w:rsidRPr="00AD7E6B" w14:paraId="7820DA7A" w14:textId="77777777" w:rsidTr="004C011C">
        <w:tc>
          <w:tcPr>
            <w:tcW w:w="1505" w:type="dxa"/>
            <w:shd w:val="clear" w:color="auto" w:fill="D4D6DF"/>
            <w:vAlign w:val="top"/>
          </w:tcPr>
          <w:p w14:paraId="1C274F3C" w14:textId="106A9A4E" w:rsidR="00B45887" w:rsidRPr="001852AF" w:rsidRDefault="00B45887" w:rsidP="007621C5">
            <w:pPr>
              <w:pStyle w:val="TableText"/>
              <w:rPr>
                <w:rFonts w:asciiTheme="minorHAnsi" w:hAnsiTheme="minorHAnsi" w:cstheme="minorHAnsi"/>
                <w:b/>
                <w:bCs/>
                <w:sz w:val="20"/>
                <w:szCs w:val="20"/>
              </w:rPr>
            </w:pPr>
            <w:r w:rsidRPr="001852AF">
              <w:rPr>
                <w:rFonts w:asciiTheme="minorHAnsi" w:hAnsiTheme="minorHAnsi" w:cstheme="minorHAnsi"/>
                <w:b/>
                <w:bCs/>
                <w:sz w:val="20"/>
                <w:szCs w:val="20"/>
              </w:rPr>
              <w:t>May</w:t>
            </w:r>
            <w:r w:rsidR="007D4EB3" w:rsidRPr="001852AF">
              <w:rPr>
                <w:rFonts w:asciiTheme="minorHAnsi" w:hAnsiTheme="minorHAnsi" w:cstheme="minorHAnsi"/>
                <w:b/>
                <w:bCs/>
                <w:sz w:val="20"/>
                <w:szCs w:val="20"/>
              </w:rPr>
              <w:t>–</w:t>
            </w:r>
            <w:r w:rsidRPr="001852AF">
              <w:rPr>
                <w:rFonts w:asciiTheme="minorHAnsi" w:hAnsiTheme="minorHAnsi" w:cstheme="minorHAnsi"/>
                <w:b/>
                <w:bCs/>
                <w:sz w:val="20"/>
                <w:szCs w:val="20"/>
              </w:rPr>
              <w:t>June 2021</w:t>
            </w:r>
          </w:p>
        </w:tc>
        <w:tc>
          <w:tcPr>
            <w:tcW w:w="3767" w:type="dxa"/>
            <w:shd w:val="clear" w:color="auto" w:fill="D4D6DF"/>
            <w:vAlign w:val="top"/>
          </w:tcPr>
          <w:p w14:paraId="2B1761E0" w14:textId="77777777" w:rsidR="00B45887" w:rsidRPr="00116E55" w:rsidRDefault="00B45887" w:rsidP="007621C5">
            <w:pPr>
              <w:pStyle w:val="TableText"/>
              <w:rPr>
                <w:rFonts w:asciiTheme="minorHAnsi" w:hAnsiTheme="minorHAnsi" w:cstheme="minorHAnsi"/>
                <w:sz w:val="20"/>
                <w:szCs w:val="20"/>
              </w:rPr>
            </w:pPr>
            <w:r w:rsidRPr="00116E55">
              <w:rPr>
                <w:rFonts w:asciiTheme="minorHAnsi" w:hAnsiTheme="minorHAnsi" w:cstheme="minorHAnsi"/>
                <w:sz w:val="20"/>
                <w:szCs w:val="20"/>
              </w:rPr>
              <w:t>Online survey (n=549)</w:t>
            </w:r>
          </w:p>
        </w:tc>
        <w:tc>
          <w:tcPr>
            <w:tcW w:w="4369" w:type="dxa"/>
            <w:shd w:val="clear" w:color="auto" w:fill="D4D6DF"/>
            <w:vAlign w:val="top"/>
          </w:tcPr>
          <w:p w14:paraId="3B12A73E" w14:textId="77777777" w:rsidR="00B45887" w:rsidRPr="00116E55" w:rsidRDefault="00B45887" w:rsidP="007621C5">
            <w:pPr>
              <w:pStyle w:val="TableText"/>
              <w:rPr>
                <w:rFonts w:asciiTheme="minorHAnsi" w:hAnsiTheme="minorHAnsi" w:cstheme="minorHAnsi"/>
                <w:i/>
                <w:sz w:val="20"/>
                <w:szCs w:val="20"/>
              </w:rPr>
            </w:pPr>
            <w:r w:rsidRPr="00116E55">
              <w:rPr>
                <w:rFonts w:asciiTheme="minorHAnsi" w:hAnsiTheme="minorHAnsi" w:cstheme="minorHAnsi"/>
                <w:i/>
                <w:sz w:val="20"/>
                <w:szCs w:val="20"/>
              </w:rPr>
              <w:t>What Matters to You?</w:t>
            </w:r>
          </w:p>
          <w:p w14:paraId="55A6B955" w14:textId="77777777" w:rsidR="00B45887" w:rsidRPr="00116E55" w:rsidRDefault="00B45887" w:rsidP="007621C5">
            <w:pPr>
              <w:pStyle w:val="TableText"/>
              <w:rPr>
                <w:rFonts w:asciiTheme="minorHAnsi" w:hAnsiTheme="minorHAnsi" w:cstheme="minorHAnsi"/>
                <w:sz w:val="20"/>
                <w:szCs w:val="20"/>
              </w:rPr>
            </w:pPr>
            <w:r w:rsidRPr="00116E55">
              <w:rPr>
                <w:rFonts w:asciiTheme="minorHAnsi" w:hAnsiTheme="minorHAnsi" w:cstheme="minorHAnsi"/>
                <w:sz w:val="20"/>
                <w:szCs w:val="20"/>
              </w:rPr>
              <w:t>All customers given an opportunity to take the survey.</w:t>
            </w:r>
          </w:p>
        </w:tc>
      </w:tr>
      <w:tr w:rsidR="00EF141C" w:rsidRPr="00AD7E6B" w14:paraId="001DCD81" w14:textId="77777777" w:rsidTr="004C011C">
        <w:tc>
          <w:tcPr>
            <w:tcW w:w="1505" w:type="dxa"/>
            <w:vAlign w:val="top"/>
          </w:tcPr>
          <w:p w14:paraId="1F6A6A0A" w14:textId="77777777" w:rsidR="00B45887" w:rsidRPr="001852AF" w:rsidRDefault="00B45887" w:rsidP="007621C5">
            <w:pPr>
              <w:pStyle w:val="TableText"/>
              <w:rPr>
                <w:rFonts w:asciiTheme="minorHAnsi" w:hAnsiTheme="minorHAnsi" w:cstheme="minorHAnsi"/>
                <w:b/>
                <w:bCs/>
                <w:sz w:val="20"/>
                <w:szCs w:val="20"/>
              </w:rPr>
            </w:pPr>
            <w:r w:rsidRPr="001852AF">
              <w:rPr>
                <w:rFonts w:asciiTheme="minorHAnsi" w:hAnsiTheme="minorHAnsi" w:cstheme="minorHAnsi"/>
                <w:b/>
                <w:bCs/>
                <w:sz w:val="20"/>
                <w:szCs w:val="20"/>
              </w:rPr>
              <w:t>Sept 2021</w:t>
            </w:r>
          </w:p>
        </w:tc>
        <w:tc>
          <w:tcPr>
            <w:tcW w:w="3767" w:type="dxa"/>
            <w:vAlign w:val="top"/>
          </w:tcPr>
          <w:p w14:paraId="5072D4E1" w14:textId="77777777" w:rsidR="00B45887" w:rsidRPr="00116E55" w:rsidRDefault="00B45887" w:rsidP="007621C5">
            <w:pPr>
              <w:pStyle w:val="TableText"/>
              <w:rPr>
                <w:rFonts w:asciiTheme="minorHAnsi" w:hAnsiTheme="minorHAnsi" w:cstheme="minorHAnsi"/>
                <w:sz w:val="20"/>
                <w:szCs w:val="20"/>
              </w:rPr>
            </w:pPr>
            <w:r w:rsidRPr="00116E55">
              <w:rPr>
                <w:rFonts w:asciiTheme="minorHAnsi" w:hAnsiTheme="minorHAnsi" w:cstheme="minorHAnsi"/>
                <w:sz w:val="20"/>
                <w:szCs w:val="20"/>
              </w:rPr>
              <w:t>First Nations focus group (n=5)</w:t>
            </w:r>
          </w:p>
        </w:tc>
        <w:tc>
          <w:tcPr>
            <w:tcW w:w="4369" w:type="dxa"/>
            <w:vAlign w:val="top"/>
          </w:tcPr>
          <w:p w14:paraId="605D8E02" w14:textId="64AE4DDE" w:rsidR="00B45887" w:rsidRPr="00116E55" w:rsidRDefault="00B45887" w:rsidP="007621C5">
            <w:pPr>
              <w:pStyle w:val="TableText"/>
              <w:rPr>
                <w:rFonts w:asciiTheme="minorHAnsi" w:hAnsiTheme="minorHAnsi" w:cstheme="minorHAnsi"/>
                <w:i/>
                <w:sz w:val="20"/>
                <w:szCs w:val="20"/>
              </w:rPr>
            </w:pPr>
            <w:r w:rsidRPr="00116E55">
              <w:rPr>
                <w:rFonts w:asciiTheme="minorHAnsi" w:hAnsiTheme="minorHAnsi" w:cstheme="minorHAnsi"/>
                <w:sz w:val="20"/>
                <w:szCs w:val="20"/>
              </w:rPr>
              <w:t xml:space="preserve">To understand the interests, concerns and priorities of </w:t>
            </w:r>
            <w:r w:rsidR="00BF6AFD" w:rsidRPr="00116E55">
              <w:rPr>
                <w:rFonts w:asciiTheme="minorHAnsi" w:hAnsiTheme="minorHAnsi" w:cstheme="minorHAnsi"/>
                <w:sz w:val="20"/>
                <w:szCs w:val="20"/>
              </w:rPr>
              <w:t xml:space="preserve">our </w:t>
            </w:r>
            <w:r w:rsidRPr="00116E55">
              <w:rPr>
                <w:rFonts w:asciiTheme="minorHAnsi" w:hAnsiTheme="minorHAnsi" w:cstheme="minorHAnsi"/>
                <w:sz w:val="20"/>
                <w:szCs w:val="20"/>
              </w:rPr>
              <w:t>First Nations customers.</w:t>
            </w:r>
          </w:p>
        </w:tc>
      </w:tr>
      <w:tr w:rsidR="009240F4" w14:paraId="40BD2303" w14:textId="77777777" w:rsidTr="004C011C">
        <w:tc>
          <w:tcPr>
            <w:tcW w:w="9641" w:type="dxa"/>
            <w:gridSpan w:val="3"/>
            <w:shd w:val="clear" w:color="auto" w:fill="002279"/>
          </w:tcPr>
          <w:p w14:paraId="12617B20" w14:textId="77777777" w:rsidR="00B45887" w:rsidRPr="0030631D" w:rsidRDefault="00B45887" w:rsidP="007621C5">
            <w:pPr>
              <w:pStyle w:val="TableText"/>
              <w:jc w:val="center"/>
              <w:rPr>
                <w:rFonts w:asciiTheme="minorHAnsi" w:hAnsiTheme="minorHAnsi" w:cstheme="minorHAnsi"/>
                <w:b/>
                <w:bCs/>
                <w:color w:val="FFFFFF" w:themeColor="background1"/>
                <w:sz w:val="20"/>
                <w:szCs w:val="20"/>
              </w:rPr>
            </w:pPr>
            <w:r w:rsidRPr="0030631D">
              <w:rPr>
                <w:rFonts w:asciiTheme="minorHAnsi" w:hAnsiTheme="minorHAnsi" w:cstheme="minorHAnsi"/>
                <w:b/>
                <w:bCs/>
                <w:color w:val="FFFFFF" w:themeColor="background1"/>
                <w:sz w:val="20"/>
                <w:szCs w:val="20"/>
              </w:rPr>
              <w:t>How much are customers willing to pay?</w:t>
            </w:r>
          </w:p>
        </w:tc>
      </w:tr>
      <w:tr w:rsidR="00A7554B" w:rsidRPr="00AD7E6B" w14:paraId="61CBCEF7" w14:textId="77777777" w:rsidTr="004C011C">
        <w:tc>
          <w:tcPr>
            <w:tcW w:w="1505" w:type="dxa"/>
            <w:shd w:val="clear" w:color="auto" w:fill="D4D6DF"/>
            <w:vAlign w:val="top"/>
          </w:tcPr>
          <w:p w14:paraId="32F50EA0" w14:textId="0DEE2BF2" w:rsidR="00B45887" w:rsidRPr="001852AF" w:rsidRDefault="00B45887" w:rsidP="007621C5">
            <w:pPr>
              <w:pStyle w:val="TableText"/>
              <w:rPr>
                <w:rFonts w:asciiTheme="minorHAnsi" w:hAnsiTheme="minorHAnsi" w:cstheme="minorHAnsi"/>
                <w:b/>
                <w:bCs/>
                <w:sz w:val="20"/>
                <w:szCs w:val="20"/>
              </w:rPr>
            </w:pPr>
            <w:r w:rsidRPr="001852AF">
              <w:rPr>
                <w:rFonts w:asciiTheme="minorHAnsi" w:hAnsiTheme="minorHAnsi" w:cstheme="minorHAnsi"/>
                <w:b/>
                <w:bCs/>
                <w:sz w:val="20"/>
                <w:szCs w:val="20"/>
              </w:rPr>
              <w:t>July</w:t>
            </w:r>
            <w:r w:rsidR="007D4EB3" w:rsidRPr="001852AF">
              <w:rPr>
                <w:rFonts w:asciiTheme="minorHAnsi" w:hAnsiTheme="minorHAnsi" w:cstheme="minorHAnsi"/>
                <w:b/>
                <w:bCs/>
                <w:sz w:val="20"/>
                <w:szCs w:val="20"/>
              </w:rPr>
              <w:t>–</w:t>
            </w:r>
            <w:r w:rsidRPr="001852AF">
              <w:rPr>
                <w:rFonts w:asciiTheme="minorHAnsi" w:hAnsiTheme="minorHAnsi" w:cstheme="minorHAnsi"/>
                <w:b/>
                <w:bCs/>
                <w:sz w:val="20"/>
                <w:szCs w:val="20"/>
              </w:rPr>
              <w:t>Sept 2021</w:t>
            </w:r>
          </w:p>
        </w:tc>
        <w:tc>
          <w:tcPr>
            <w:tcW w:w="3767" w:type="dxa"/>
            <w:shd w:val="clear" w:color="auto" w:fill="D4D6DF"/>
            <w:vAlign w:val="top"/>
          </w:tcPr>
          <w:p w14:paraId="7E3EE8B0" w14:textId="77777777" w:rsidR="00B45887" w:rsidRPr="00116E55" w:rsidRDefault="00B45887" w:rsidP="007621C5">
            <w:pPr>
              <w:pStyle w:val="TableText"/>
              <w:rPr>
                <w:rFonts w:asciiTheme="minorHAnsi" w:hAnsiTheme="minorHAnsi" w:cstheme="minorHAnsi"/>
                <w:sz w:val="20"/>
                <w:szCs w:val="20"/>
              </w:rPr>
            </w:pPr>
            <w:r w:rsidRPr="00116E55">
              <w:rPr>
                <w:rFonts w:asciiTheme="minorHAnsi" w:hAnsiTheme="minorHAnsi" w:cstheme="minorHAnsi"/>
                <w:sz w:val="20"/>
                <w:szCs w:val="20"/>
              </w:rPr>
              <w:t>WTP survey using bill simulator (self-selecting)</w:t>
            </w:r>
          </w:p>
          <w:p w14:paraId="4E719C9A" w14:textId="77777777" w:rsidR="00B45887" w:rsidRPr="00116E55" w:rsidRDefault="00B45887" w:rsidP="007621C5">
            <w:pPr>
              <w:pStyle w:val="TableText"/>
              <w:rPr>
                <w:rFonts w:asciiTheme="minorHAnsi" w:hAnsiTheme="minorHAnsi" w:cstheme="minorHAnsi"/>
                <w:sz w:val="20"/>
                <w:szCs w:val="20"/>
              </w:rPr>
            </w:pPr>
            <w:r w:rsidRPr="00116E55">
              <w:rPr>
                <w:rFonts w:asciiTheme="minorHAnsi" w:hAnsiTheme="minorHAnsi" w:cstheme="minorHAnsi"/>
                <w:sz w:val="20"/>
                <w:szCs w:val="20"/>
              </w:rPr>
              <w:lastRenderedPageBreak/>
              <w:t>(n=2,687)</w:t>
            </w:r>
          </w:p>
        </w:tc>
        <w:tc>
          <w:tcPr>
            <w:tcW w:w="4369" w:type="dxa"/>
            <w:shd w:val="clear" w:color="auto" w:fill="D4D6DF"/>
            <w:vAlign w:val="top"/>
          </w:tcPr>
          <w:p w14:paraId="779192BD" w14:textId="79F6B224" w:rsidR="00B45887" w:rsidRPr="00116E55" w:rsidRDefault="00B45887" w:rsidP="007621C5">
            <w:pPr>
              <w:pStyle w:val="TableText"/>
              <w:rPr>
                <w:rFonts w:asciiTheme="minorHAnsi" w:hAnsiTheme="minorHAnsi" w:cstheme="minorHAnsi"/>
                <w:i/>
                <w:sz w:val="20"/>
                <w:szCs w:val="20"/>
              </w:rPr>
            </w:pPr>
            <w:r w:rsidRPr="00116E55">
              <w:rPr>
                <w:rFonts w:asciiTheme="minorHAnsi" w:hAnsiTheme="minorHAnsi" w:cstheme="minorHAnsi"/>
                <w:i/>
                <w:sz w:val="20"/>
                <w:szCs w:val="20"/>
              </w:rPr>
              <w:lastRenderedPageBreak/>
              <w:t>Have your say on what you</w:t>
            </w:r>
            <w:r w:rsidR="00612583" w:rsidRPr="00116E55">
              <w:rPr>
                <w:rFonts w:asciiTheme="minorHAnsi" w:hAnsiTheme="minorHAnsi" w:cstheme="minorHAnsi"/>
                <w:i/>
                <w:sz w:val="20"/>
                <w:szCs w:val="20"/>
              </w:rPr>
              <w:t>’</w:t>
            </w:r>
            <w:r w:rsidRPr="00116E55">
              <w:rPr>
                <w:rFonts w:asciiTheme="minorHAnsi" w:hAnsiTheme="minorHAnsi" w:cstheme="minorHAnsi"/>
                <w:i/>
                <w:sz w:val="20"/>
                <w:szCs w:val="20"/>
              </w:rPr>
              <w:t>ll pay</w:t>
            </w:r>
          </w:p>
          <w:p w14:paraId="562D0433" w14:textId="0518A4C8" w:rsidR="00403484" w:rsidRPr="00116E55" w:rsidRDefault="00B45887" w:rsidP="007621C5">
            <w:pPr>
              <w:pStyle w:val="TableText"/>
              <w:rPr>
                <w:rFonts w:asciiTheme="minorHAnsi" w:hAnsiTheme="minorHAnsi" w:cstheme="minorHAnsi"/>
                <w:sz w:val="20"/>
                <w:szCs w:val="20"/>
              </w:rPr>
            </w:pPr>
            <w:r w:rsidRPr="00116E55">
              <w:rPr>
                <w:rFonts w:asciiTheme="minorHAnsi" w:hAnsiTheme="minorHAnsi" w:cstheme="minorHAnsi"/>
                <w:sz w:val="20"/>
                <w:szCs w:val="20"/>
              </w:rPr>
              <w:lastRenderedPageBreak/>
              <w:t xml:space="preserve">Testing of </w:t>
            </w:r>
            <w:r w:rsidR="00132A99" w:rsidRPr="00116E55">
              <w:rPr>
                <w:rFonts w:asciiTheme="minorHAnsi" w:hAnsiTheme="minorHAnsi" w:cstheme="minorHAnsi"/>
                <w:sz w:val="20"/>
                <w:szCs w:val="20"/>
              </w:rPr>
              <w:t>WTP</w:t>
            </w:r>
            <w:r w:rsidRPr="00116E55">
              <w:rPr>
                <w:rFonts w:asciiTheme="minorHAnsi" w:hAnsiTheme="minorHAnsi" w:cstheme="minorHAnsi"/>
                <w:sz w:val="20"/>
                <w:szCs w:val="20"/>
              </w:rPr>
              <w:t xml:space="preserve"> for different levels of service/outcomes associated with 7 topics: </w:t>
            </w:r>
          </w:p>
          <w:p w14:paraId="724DC636" w14:textId="1984D336" w:rsidR="00403484" w:rsidRPr="00116E55" w:rsidRDefault="00B45887">
            <w:pPr>
              <w:pStyle w:val="TableText"/>
              <w:numPr>
                <w:ilvl w:val="0"/>
                <w:numId w:val="14"/>
              </w:numPr>
              <w:ind w:left="291" w:hanging="283"/>
              <w:rPr>
                <w:rFonts w:asciiTheme="minorHAnsi" w:hAnsiTheme="minorHAnsi" w:cstheme="minorHAnsi"/>
                <w:sz w:val="20"/>
                <w:szCs w:val="20"/>
              </w:rPr>
            </w:pPr>
            <w:r w:rsidRPr="00116E55">
              <w:rPr>
                <w:rFonts w:asciiTheme="minorHAnsi" w:hAnsiTheme="minorHAnsi" w:cstheme="minorHAnsi"/>
                <w:sz w:val="20"/>
                <w:szCs w:val="20"/>
              </w:rPr>
              <w:t>Service disruptions and sewer spills</w:t>
            </w:r>
          </w:p>
          <w:p w14:paraId="52AC13EF" w14:textId="17A783EE" w:rsidR="00403484" w:rsidRPr="00116E55" w:rsidRDefault="00B45887">
            <w:pPr>
              <w:pStyle w:val="TableText"/>
              <w:numPr>
                <w:ilvl w:val="0"/>
                <w:numId w:val="14"/>
              </w:numPr>
              <w:ind w:left="291" w:hanging="283"/>
              <w:rPr>
                <w:rFonts w:asciiTheme="minorHAnsi" w:hAnsiTheme="minorHAnsi" w:cstheme="minorHAnsi"/>
                <w:sz w:val="20"/>
                <w:szCs w:val="20"/>
              </w:rPr>
            </w:pPr>
            <w:r w:rsidRPr="00116E55">
              <w:rPr>
                <w:rFonts w:asciiTheme="minorHAnsi" w:hAnsiTheme="minorHAnsi" w:cstheme="minorHAnsi"/>
                <w:sz w:val="20"/>
                <w:szCs w:val="20"/>
              </w:rPr>
              <w:t>Integrated water management</w:t>
            </w:r>
          </w:p>
          <w:p w14:paraId="5B5BC9CB" w14:textId="24E74BB3" w:rsidR="00D82F7E" w:rsidRPr="00116E55" w:rsidRDefault="00B45887">
            <w:pPr>
              <w:pStyle w:val="TableText"/>
              <w:numPr>
                <w:ilvl w:val="0"/>
                <w:numId w:val="14"/>
              </w:numPr>
              <w:ind w:left="291" w:hanging="283"/>
              <w:rPr>
                <w:rFonts w:asciiTheme="minorHAnsi" w:hAnsiTheme="minorHAnsi" w:cstheme="minorHAnsi"/>
                <w:sz w:val="20"/>
                <w:szCs w:val="20"/>
              </w:rPr>
            </w:pPr>
            <w:r w:rsidRPr="00116E55">
              <w:rPr>
                <w:rFonts w:asciiTheme="minorHAnsi" w:hAnsiTheme="minorHAnsi" w:cstheme="minorHAnsi"/>
                <w:sz w:val="20"/>
                <w:szCs w:val="20"/>
              </w:rPr>
              <w:t>Education and awareness</w:t>
            </w:r>
          </w:p>
          <w:p w14:paraId="1EB666B4" w14:textId="0778561E" w:rsidR="00D82F7E" w:rsidRPr="00116E55" w:rsidRDefault="00B45887">
            <w:pPr>
              <w:pStyle w:val="TableText"/>
              <w:numPr>
                <w:ilvl w:val="0"/>
                <w:numId w:val="14"/>
              </w:numPr>
              <w:ind w:left="291" w:hanging="283"/>
              <w:rPr>
                <w:rFonts w:asciiTheme="minorHAnsi" w:hAnsiTheme="minorHAnsi" w:cstheme="minorHAnsi"/>
                <w:sz w:val="20"/>
                <w:szCs w:val="20"/>
              </w:rPr>
            </w:pPr>
            <w:r w:rsidRPr="00116E55">
              <w:rPr>
                <w:rFonts w:asciiTheme="minorHAnsi" w:hAnsiTheme="minorHAnsi" w:cstheme="minorHAnsi"/>
                <w:sz w:val="20"/>
                <w:szCs w:val="20"/>
              </w:rPr>
              <w:t>Affordability</w:t>
            </w:r>
          </w:p>
          <w:p w14:paraId="1A27A73F" w14:textId="2E8C68F5" w:rsidR="00D82F7E" w:rsidRPr="00116E55" w:rsidRDefault="00B45887">
            <w:pPr>
              <w:pStyle w:val="TableText"/>
              <w:numPr>
                <w:ilvl w:val="0"/>
                <w:numId w:val="14"/>
              </w:numPr>
              <w:ind w:left="291" w:hanging="283"/>
              <w:rPr>
                <w:rFonts w:asciiTheme="minorHAnsi" w:hAnsiTheme="minorHAnsi" w:cstheme="minorHAnsi"/>
                <w:sz w:val="20"/>
                <w:szCs w:val="20"/>
              </w:rPr>
            </w:pPr>
            <w:r w:rsidRPr="00116E55">
              <w:rPr>
                <w:rFonts w:asciiTheme="minorHAnsi" w:hAnsiTheme="minorHAnsi" w:cstheme="minorHAnsi"/>
                <w:sz w:val="20"/>
                <w:szCs w:val="20"/>
              </w:rPr>
              <w:t>Digital meters</w:t>
            </w:r>
          </w:p>
          <w:p w14:paraId="25B4BD6A" w14:textId="4F536967" w:rsidR="00165846" w:rsidRPr="00116E55" w:rsidRDefault="00B45887">
            <w:pPr>
              <w:pStyle w:val="TableText"/>
              <w:numPr>
                <w:ilvl w:val="0"/>
                <w:numId w:val="14"/>
              </w:numPr>
              <w:ind w:left="291" w:hanging="283"/>
              <w:rPr>
                <w:rFonts w:asciiTheme="minorHAnsi" w:hAnsiTheme="minorHAnsi" w:cstheme="minorHAnsi"/>
                <w:sz w:val="20"/>
                <w:szCs w:val="20"/>
              </w:rPr>
            </w:pPr>
            <w:r w:rsidRPr="00116E55">
              <w:rPr>
                <w:rFonts w:asciiTheme="minorHAnsi" w:hAnsiTheme="minorHAnsi" w:cstheme="minorHAnsi"/>
                <w:sz w:val="20"/>
                <w:szCs w:val="20"/>
              </w:rPr>
              <w:t>Sustainability</w:t>
            </w:r>
          </w:p>
          <w:p w14:paraId="26B751DA" w14:textId="21D34C19" w:rsidR="00B45887" w:rsidRPr="00116E55" w:rsidRDefault="00165846">
            <w:pPr>
              <w:pStyle w:val="TableText"/>
              <w:numPr>
                <w:ilvl w:val="0"/>
                <w:numId w:val="14"/>
              </w:numPr>
              <w:ind w:left="291" w:hanging="283"/>
              <w:rPr>
                <w:rFonts w:asciiTheme="minorHAnsi" w:hAnsiTheme="minorHAnsi" w:cstheme="minorHAnsi"/>
                <w:sz w:val="20"/>
                <w:szCs w:val="20"/>
              </w:rPr>
            </w:pPr>
            <w:r w:rsidRPr="00116E55">
              <w:rPr>
                <w:rFonts w:asciiTheme="minorHAnsi" w:hAnsiTheme="minorHAnsi" w:cstheme="minorHAnsi"/>
                <w:sz w:val="20"/>
                <w:szCs w:val="20"/>
              </w:rPr>
              <w:t>C</w:t>
            </w:r>
            <w:r w:rsidR="00B45887" w:rsidRPr="00116E55">
              <w:rPr>
                <w:rFonts w:asciiTheme="minorHAnsi" w:hAnsiTheme="minorHAnsi" w:cstheme="minorHAnsi"/>
                <w:sz w:val="20"/>
                <w:szCs w:val="20"/>
              </w:rPr>
              <w:t>limate change</w:t>
            </w:r>
          </w:p>
        </w:tc>
      </w:tr>
      <w:tr w:rsidR="00EF141C" w14:paraId="1D155333" w14:textId="77777777" w:rsidTr="004C011C">
        <w:tc>
          <w:tcPr>
            <w:tcW w:w="1505" w:type="dxa"/>
            <w:vAlign w:val="top"/>
          </w:tcPr>
          <w:p w14:paraId="62CFD177" w14:textId="77777777" w:rsidR="00B45887" w:rsidRPr="001852AF" w:rsidRDefault="00B45887" w:rsidP="007621C5">
            <w:pPr>
              <w:pStyle w:val="TableText"/>
              <w:rPr>
                <w:rFonts w:asciiTheme="minorHAnsi" w:hAnsiTheme="minorHAnsi" w:cstheme="minorHAnsi"/>
                <w:b/>
                <w:bCs/>
                <w:sz w:val="20"/>
                <w:szCs w:val="20"/>
              </w:rPr>
            </w:pPr>
            <w:r w:rsidRPr="001852AF">
              <w:rPr>
                <w:rFonts w:asciiTheme="minorHAnsi" w:hAnsiTheme="minorHAnsi" w:cstheme="minorHAnsi"/>
                <w:b/>
                <w:bCs/>
                <w:sz w:val="20"/>
                <w:szCs w:val="20"/>
              </w:rPr>
              <w:lastRenderedPageBreak/>
              <w:t>Aug 2021</w:t>
            </w:r>
          </w:p>
        </w:tc>
        <w:tc>
          <w:tcPr>
            <w:tcW w:w="3767" w:type="dxa"/>
            <w:vAlign w:val="top"/>
          </w:tcPr>
          <w:p w14:paraId="59A3A61C" w14:textId="4E0E0E01" w:rsidR="00B45887" w:rsidRPr="00116E55" w:rsidRDefault="00B45887" w:rsidP="007621C5">
            <w:pPr>
              <w:pStyle w:val="TableText"/>
              <w:rPr>
                <w:rFonts w:asciiTheme="minorHAnsi" w:hAnsiTheme="minorHAnsi" w:cstheme="minorHAnsi"/>
                <w:sz w:val="20"/>
                <w:szCs w:val="20"/>
              </w:rPr>
            </w:pPr>
            <w:r w:rsidRPr="00116E55">
              <w:rPr>
                <w:rFonts w:asciiTheme="minorHAnsi" w:hAnsiTheme="minorHAnsi" w:cstheme="minorHAnsi"/>
                <w:sz w:val="20"/>
                <w:szCs w:val="20"/>
              </w:rPr>
              <w:t xml:space="preserve">WTP survey using bill simulator </w:t>
            </w:r>
            <w:r w:rsidR="0030631D">
              <w:rPr>
                <w:rFonts w:asciiTheme="minorHAnsi" w:hAnsiTheme="minorHAnsi" w:cstheme="minorHAnsi"/>
                <w:sz w:val="20"/>
                <w:szCs w:val="20"/>
              </w:rPr>
              <w:br/>
            </w:r>
            <w:r w:rsidRPr="00116E55">
              <w:rPr>
                <w:rFonts w:asciiTheme="minorHAnsi" w:hAnsiTheme="minorHAnsi" w:cstheme="minorHAnsi"/>
                <w:sz w:val="20"/>
                <w:szCs w:val="20"/>
              </w:rPr>
              <w:t>(paid panel)</w:t>
            </w:r>
            <w:r w:rsidRPr="00116E55">
              <w:rPr>
                <w:rFonts w:asciiTheme="minorHAnsi" w:hAnsiTheme="minorHAnsi" w:cstheme="minorHAnsi"/>
                <w:sz w:val="20"/>
                <w:szCs w:val="20"/>
              </w:rPr>
              <w:br/>
              <w:t>(n=401)</w:t>
            </w:r>
          </w:p>
        </w:tc>
        <w:tc>
          <w:tcPr>
            <w:tcW w:w="4369" w:type="dxa"/>
            <w:vAlign w:val="top"/>
          </w:tcPr>
          <w:p w14:paraId="76285EE1" w14:textId="5E58C978" w:rsidR="00B45887" w:rsidRPr="00116E55" w:rsidRDefault="00B45887" w:rsidP="007621C5">
            <w:pPr>
              <w:rPr>
                <w:rFonts w:asciiTheme="minorHAnsi" w:hAnsiTheme="minorHAnsi" w:cstheme="minorHAnsi"/>
                <w:i/>
                <w:sz w:val="20"/>
                <w:szCs w:val="20"/>
              </w:rPr>
            </w:pPr>
            <w:r w:rsidRPr="00116E55">
              <w:rPr>
                <w:rFonts w:asciiTheme="minorHAnsi" w:hAnsiTheme="minorHAnsi" w:cstheme="minorHAnsi"/>
                <w:i/>
                <w:sz w:val="20"/>
                <w:szCs w:val="20"/>
              </w:rPr>
              <w:t>Have your say on what you</w:t>
            </w:r>
            <w:r w:rsidR="00612583" w:rsidRPr="00116E55">
              <w:rPr>
                <w:rFonts w:asciiTheme="minorHAnsi" w:hAnsiTheme="minorHAnsi" w:cstheme="minorHAnsi"/>
                <w:i/>
                <w:sz w:val="20"/>
                <w:szCs w:val="20"/>
              </w:rPr>
              <w:t>’</w:t>
            </w:r>
            <w:r w:rsidRPr="00116E55">
              <w:rPr>
                <w:rFonts w:asciiTheme="minorHAnsi" w:hAnsiTheme="minorHAnsi" w:cstheme="minorHAnsi"/>
                <w:i/>
                <w:sz w:val="20"/>
                <w:szCs w:val="20"/>
              </w:rPr>
              <w:t>ll pay: Non-responder (Dynata survey)</w:t>
            </w:r>
          </w:p>
          <w:p w14:paraId="05CCCE5C" w14:textId="77777777" w:rsidR="00B45887" w:rsidRPr="00116E55" w:rsidRDefault="00B45887" w:rsidP="007621C5">
            <w:pPr>
              <w:pStyle w:val="TableText"/>
              <w:rPr>
                <w:rFonts w:asciiTheme="minorHAnsi" w:hAnsiTheme="minorHAnsi" w:cstheme="minorHAnsi"/>
                <w:sz w:val="20"/>
                <w:szCs w:val="20"/>
              </w:rPr>
            </w:pPr>
            <w:r w:rsidRPr="00116E55">
              <w:rPr>
                <w:rFonts w:asciiTheme="minorHAnsi" w:hAnsiTheme="minorHAnsi" w:cstheme="minorHAnsi"/>
                <w:sz w:val="20"/>
                <w:szCs w:val="20"/>
              </w:rPr>
              <w:t>Topics as above</w:t>
            </w:r>
          </w:p>
        </w:tc>
      </w:tr>
      <w:tr w:rsidR="00A7554B" w14:paraId="52E7A78F" w14:textId="77777777" w:rsidTr="004C011C">
        <w:tc>
          <w:tcPr>
            <w:tcW w:w="1505" w:type="dxa"/>
            <w:shd w:val="clear" w:color="auto" w:fill="D4D6DF"/>
            <w:vAlign w:val="top"/>
          </w:tcPr>
          <w:p w14:paraId="562592B5" w14:textId="5A95E065" w:rsidR="00B45887" w:rsidRPr="001852AF" w:rsidRDefault="00B45887" w:rsidP="007621C5">
            <w:pPr>
              <w:pStyle w:val="TableText"/>
              <w:rPr>
                <w:rFonts w:asciiTheme="minorHAnsi" w:hAnsiTheme="minorHAnsi" w:cstheme="minorHAnsi"/>
                <w:b/>
                <w:bCs/>
                <w:sz w:val="20"/>
                <w:szCs w:val="20"/>
              </w:rPr>
            </w:pPr>
            <w:r w:rsidRPr="001852AF">
              <w:rPr>
                <w:rFonts w:asciiTheme="minorHAnsi" w:hAnsiTheme="minorHAnsi" w:cstheme="minorHAnsi"/>
                <w:b/>
                <w:bCs/>
                <w:sz w:val="20"/>
                <w:szCs w:val="20"/>
              </w:rPr>
              <w:t>Aug</w:t>
            </w:r>
            <w:r w:rsidR="007D4EB3" w:rsidRPr="001852AF">
              <w:rPr>
                <w:rFonts w:asciiTheme="minorHAnsi" w:hAnsiTheme="minorHAnsi" w:cstheme="minorHAnsi"/>
                <w:b/>
                <w:bCs/>
                <w:sz w:val="20"/>
                <w:szCs w:val="20"/>
              </w:rPr>
              <w:t>–</w:t>
            </w:r>
            <w:r w:rsidRPr="001852AF">
              <w:rPr>
                <w:rFonts w:asciiTheme="minorHAnsi" w:hAnsiTheme="minorHAnsi" w:cstheme="minorHAnsi"/>
                <w:b/>
                <w:bCs/>
                <w:sz w:val="20"/>
                <w:szCs w:val="20"/>
              </w:rPr>
              <w:t>Sept 2021</w:t>
            </w:r>
          </w:p>
        </w:tc>
        <w:tc>
          <w:tcPr>
            <w:tcW w:w="3767" w:type="dxa"/>
            <w:shd w:val="clear" w:color="auto" w:fill="D4D6DF"/>
            <w:vAlign w:val="top"/>
          </w:tcPr>
          <w:p w14:paraId="7A7A1905" w14:textId="77777777" w:rsidR="00B45887" w:rsidRPr="00116E55" w:rsidRDefault="00B45887" w:rsidP="007621C5">
            <w:pPr>
              <w:pStyle w:val="TableText"/>
              <w:rPr>
                <w:rFonts w:asciiTheme="minorHAnsi" w:hAnsiTheme="minorHAnsi" w:cstheme="minorHAnsi"/>
                <w:sz w:val="20"/>
                <w:szCs w:val="20"/>
              </w:rPr>
            </w:pPr>
            <w:r w:rsidRPr="00116E55">
              <w:rPr>
                <w:rFonts w:asciiTheme="minorHAnsi" w:hAnsiTheme="minorHAnsi" w:cstheme="minorHAnsi"/>
                <w:sz w:val="20"/>
                <w:szCs w:val="20"/>
              </w:rPr>
              <w:t>WTP survey using bill simulator (customer had experienced disruption or leak) (Disruption n=630, Leak n=486, including 198 both disruption and leak)</w:t>
            </w:r>
          </w:p>
        </w:tc>
        <w:tc>
          <w:tcPr>
            <w:tcW w:w="4369" w:type="dxa"/>
            <w:shd w:val="clear" w:color="auto" w:fill="D4D6DF"/>
            <w:vAlign w:val="top"/>
          </w:tcPr>
          <w:p w14:paraId="391ECAE7" w14:textId="23D25A6A" w:rsidR="00B45887" w:rsidRPr="00116E55" w:rsidRDefault="00B45887" w:rsidP="007621C5">
            <w:pPr>
              <w:rPr>
                <w:rFonts w:asciiTheme="minorHAnsi" w:hAnsiTheme="minorHAnsi" w:cstheme="minorHAnsi"/>
                <w:i/>
                <w:sz w:val="20"/>
                <w:szCs w:val="20"/>
              </w:rPr>
            </w:pPr>
            <w:r w:rsidRPr="00116E55">
              <w:rPr>
                <w:rFonts w:asciiTheme="minorHAnsi" w:hAnsiTheme="minorHAnsi" w:cstheme="minorHAnsi"/>
                <w:i/>
                <w:sz w:val="20"/>
                <w:szCs w:val="20"/>
              </w:rPr>
              <w:t>Have your say on what you</w:t>
            </w:r>
            <w:r w:rsidR="00612583" w:rsidRPr="00116E55">
              <w:rPr>
                <w:rFonts w:asciiTheme="minorHAnsi" w:hAnsiTheme="minorHAnsi" w:cstheme="minorHAnsi"/>
                <w:i/>
                <w:sz w:val="20"/>
                <w:szCs w:val="20"/>
              </w:rPr>
              <w:t>’</w:t>
            </w:r>
            <w:r w:rsidRPr="00116E55">
              <w:rPr>
                <w:rFonts w:asciiTheme="minorHAnsi" w:hAnsiTheme="minorHAnsi" w:cstheme="minorHAnsi"/>
                <w:i/>
                <w:sz w:val="20"/>
                <w:szCs w:val="20"/>
              </w:rPr>
              <w:t>ll pay: Contextualised study</w:t>
            </w:r>
          </w:p>
          <w:p w14:paraId="6D5AE3F2" w14:textId="77777777" w:rsidR="00B45887" w:rsidRPr="00116E55" w:rsidRDefault="00B45887" w:rsidP="007621C5">
            <w:pPr>
              <w:pStyle w:val="TableText"/>
              <w:rPr>
                <w:rFonts w:asciiTheme="minorHAnsi" w:hAnsiTheme="minorHAnsi" w:cstheme="minorHAnsi"/>
                <w:sz w:val="20"/>
                <w:szCs w:val="20"/>
              </w:rPr>
            </w:pPr>
            <w:r w:rsidRPr="00116E55">
              <w:rPr>
                <w:rFonts w:asciiTheme="minorHAnsi" w:hAnsiTheme="minorHAnsi" w:cstheme="minorHAnsi"/>
                <w:sz w:val="20"/>
                <w:szCs w:val="20"/>
              </w:rPr>
              <w:t>Topics as above</w:t>
            </w:r>
          </w:p>
        </w:tc>
      </w:tr>
      <w:tr w:rsidR="00EF141C" w14:paraId="3FB74BAD" w14:textId="77777777" w:rsidTr="004C011C">
        <w:tc>
          <w:tcPr>
            <w:tcW w:w="1505" w:type="dxa"/>
            <w:vAlign w:val="top"/>
          </w:tcPr>
          <w:p w14:paraId="1C14017A" w14:textId="42CE727C" w:rsidR="00B45887" w:rsidRPr="001852AF" w:rsidRDefault="00B45887" w:rsidP="007621C5">
            <w:pPr>
              <w:pStyle w:val="TableText"/>
              <w:rPr>
                <w:rFonts w:asciiTheme="minorHAnsi" w:hAnsiTheme="minorHAnsi" w:cstheme="minorHAnsi"/>
                <w:b/>
                <w:bCs/>
                <w:sz w:val="20"/>
                <w:szCs w:val="20"/>
              </w:rPr>
            </w:pPr>
            <w:r w:rsidRPr="001852AF">
              <w:rPr>
                <w:rFonts w:asciiTheme="minorHAnsi" w:hAnsiTheme="minorHAnsi" w:cstheme="minorHAnsi"/>
                <w:b/>
                <w:bCs/>
                <w:sz w:val="20"/>
                <w:szCs w:val="20"/>
              </w:rPr>
              <w:t>July</w:t>
            </w:r>
            <w:r w:rsidR="007D4EB3" w:rsidRPr="001852AF">
              <w:rPr>
                <w:rFonts w:asciiTheme="minorHAnsi" w:hAnsiTheme="minorHAnsi" w:cstheme="minorHAnsi"/>
                <w:b/>
                <w:bCs/>
                <w:sz w:val="20"/>
                <w:szCs w:val="20"/>
              </w:rPr>
              <w:t>–</w:t>
            </w:r>
            <w:r w:rsidRPr="001852AF">
              <w:rPr>
                <w:rFonts w:asciiTheme="minorHAnsi" w:hAnsiTheme="minorHAnsi" w:cstheme="minorHAnsi"/>
                <w:b/>
                <w:bCs/>
                <w:sz w:val="20"/>
                <w:szCs w:val="20"/>
              </w:rPr>
              <w:t>Sept 2021</w:t>
            </w:r>
          </w:p>
        </w:tc>
        <w:tc>
          <w:tcPr>
            <w:tcW w:w="3767" w:type="dxa"/>
            <w:vAlign w:val="top"/>
          </w:tcPr>
          <w:p w14:paraId="468967B5" w14:textId="77777777" w:rsidR="00B45887" w:rsidRPr="00116E55" w:rsidRDefault="00B45887" w:rsidP="007621C5">
            <w:pPr>
              <w:pStyle w:val="TableText"/>
              <w:rPr>
                <w:rFonts w:asciiTheme="minorHAnsi" w:hAnsiTheme="minorHAnsi" w:cstheme="minorHAnsi"/>
                <w:sz w:val="20"/>
                <w:szCs w:val="20"/>
              </w:rPr>
            </w:pPr>
            <w:r w:rsidRPr="00116E55">
              <w:rPr>
                <w:rFonts w:asciiTheme="minorHAnsi" w:hAnsiTheme="minorHAnsi" w:cstheme="minorHAnsi"/>
                <w:sz w:val="20"/>
                <w:szCs w:val="20"/>
              </w:rPr>
              <w:t>Preferences survey using 7-point scale from strongly disagree to strongly agree (n=2,256)</w:t>
            </w:r>
          </w:p>
        </w:tc>
        <w:tc>
          <w:tcPr>
            <w:tcW w:w="4369" w:type="dxa"/>
            <w:vAlign w:val="top"/>
          </w:tcPr>
          <w:p w14:paraId="205C620C" w14:textId="77777777" w:rsidR="00B45887" w:rsidRPr="00116E55" w:rsidRDefault="00B45887" w:rsidP="007621C5">
            <w:pPr>
              <w:rPr>
                <w:rFonts w:asciiTheme="minorHAnsi" w:hAnsiTheme="minorHAnsi" w:cstheme="minorHAnsi"/>
                <w:i/>
                <w:sz w:val="20"/>
                <w:szCs w:val="20"/>
              </w:rPr>
            </w:pPr>
            <w:r w:rsidRPr="00116E55">
              <w:rPr>
                <w:rFonts w:asciiTheme="minorHAnsi" w:hAnsiTheme="minorHAnsi" w:cstheme="minorHAnsi"/>
                <w:i/>
                <w:sz w:val="20"/>
                <w:szCs w:val="20"/>
              </w:rPr>
              <w:t>Willingness to Pay: What Matters to You?</w:t>
            </w:r>
          </w:p>
          <w:p w14:paraId="132A314A" w14:textId="77777777" w:rsidR="00B45887" w:rsidRPr="00116E55" w:rsidRDefault="00B45887" w:rsidP="007621C5">
            <w:pPr>
              <w:pStyle w:val="TableText"/>
              <w:rPr>
                <w:rFonts w:asciiTheme="minorHAnsi" w:hAnsiTheme="minorHAnsi" w:cstheme="minorHAnsi"/>
                <w:sz w:val="20"/>
                <w:szCs w:val="20"/>
              </w:rPr>
            </w:pPr>
            <w:r w:rsidRPr="00116E55">
              <w:rPr>
                <w:rFonts w:asciiTheme="minorHAnsi" w:hAnsiTheme="minorHAnsi" w:cstheme="minorHAnsi"/>
                <w:sz w:val="20"/>
                <w:szCs w:val="20"/>
              </w:rPr>
              <w:t>Preference testing on 6 topics: innovation, environment, water security, education, community support and digital meters</w:t>
            </w:r>
          </w:p>
          <w:p w14:paraId="54B1AFEF" w14:textId="77777777" w:rsidR="00B45887" w:rsidRPr="00116E55" w:rsidRDefault="00B45887" w:rsidP="007621C5">
            <w:pPr>
              <w:pStyle w:val="TableText"/>
              <w:rPr>
                <w:rFonts w:asciiTheme="minorHAnsi" w:hAnsiTheme="minorHAnsi" w:cstheme="minorHAnsi"/>
                <w:sz w:val="20"/>
                <w:szCs w:val="20"/>
              </w:rPr>
            </w:pPr>
          </w:p>
        </w:tc>
      </w:tr>
      <w:tr w:rsidR="00A7554B" w14:paraId="6187C30A" w14:textId="77777777" w:rsidTr="004C011C">
        <w:tc>
          <w:tcPr>
            <w:tcW w:w="1505" w:type="dxa"/>
            <w:shd w:val="clear" w:color="auto" w:fill="D4D6DF"/>
            <w:vAlign w:val="top"/>
          </w:tcPr>
          <w:p w14:paraId="75DEFC3E" w14:textId="050AD931" w:rsidR="00B45887" w:rsidRPr="001852AF" w:rsidRDefault="00B45887" w:rsidP="007621C5">
            <w:pPr>
              <w:pStyle w:val="TableText"/>
              <w:rPr>
                <w:rFonts w:asciiTheme="minorHAnsi" w:hAnsiTheme="minorHAnsi" w:cstheme="minorHAnsi"/>
                <w:b/>
                <w:bCs/>
                <w:sz w:val="20"/>
                <w:szCs w:val="20"/>
              </w:rPr>
            </w:pPr>
            <w:r w:rsidRPr="001852AF">
              <w:rPr>
                <w:rFonts w:asciiTheme="minorHAnsi" w:hAnsiTheme="minorHAnsi" w:cstheme="minorHAnsi"/>
                <w:b/>
                <w:bCs/>
                <w:sz w:val="20"/>
                <w:szCs w:val="20"/>
              </w:rPr>
              <w:t>July</w:t>
            </w:r>
            <w:r w:rsidR="007D4EB3" w:rsidRPr="001852AF">
              <w:rPr>
                <w:rFonts w:asciiTheme="minorHAnsi" w:hAnsiTheme="minorHAnsi" w:cstheme="minorHAnsi"/>
                <w:b/>
                <w:bCs/>
                <w:sz w:val="20"/>
                <w:szCs w:val="20"/>
              </w:rPr>
              <w:t>–</w:t>
            </w:r>
            <w:r w:rsidRPr="001852AF">
              <w:rPr>
                <w:rFonts w:asciiTheme="minorHAnsi" w:hAnsiTheme="minorHAnsi" w:cstheme="minorHAnsi"/>
                <w:b/>
                <w:bCs/>
                <w:sz w:val="20"/>
                <w:szCs w:val="20"/>
              </w:rPr>
              <w:t>Sept 2021</w:t>
            </w:r>
          </w:p>
        </w:tc>
        <w:tc>
          <w:tcPr>
            <w:tcW w:w="3767" w:type="dxa"/>
            <w:shd w:val="clear" w:color="auto" w:fill="D4D6DF"/>
            <w:vAlign w:val="top"/>
          </w:tcPr>
          <w:p w14:paraId="067FD2E9" w14:textId="77777777" w:rsidR="00B45887" w:rsidRPr="00116E55" w:rsidRDefault="00B45887" w:rsidP="007621C5">
            <w:pPr>
              <w:pStyle w:val="TableText"/>
              <w:rPr>
                <w:rFonts w:asciiTheme="minorHAnsi" w:hAnsiTheme="minorHAnsi" w:cstheme="minorHAnsi"/>
                <w:sz w:val="20"/>
                <w:szCs w:val="20"/>
              </w:rPr>
            </w:pPr>
            <w:r w:rsidRPr="00116E55">
              <w:rPr>
                <w:rFonts w:asciiTheme="minorHAnsi" w:hAnsiTheme="minorHAnsi" w:cstheme="minorHAnsi"/>
                <w:sz w:val="20"/>
                <w:szCs w:val="20"/>
              </w:rPr>
              <w:t>Ranking survey using best worst scaling (n=1,532)</w:t>
            </w:r>
          </w:p>
        </w:tc>
        <w:tc>
          <w:tcPr>
            <w:tcW w:w="4369" w:type="dxa"/>
            <w:shd w:val="clear" w:color="auto" w:fill="D4D6DF"/>
            <w:vAlign w:val="top"/>
          </w:tcPr>
          <w:p w14:paraId="70CAD5D6" w14:textId="49D3CC1A" w:rsidR="00B45887" w:rsidRPr="00116E55" w:rsidRDefault="00B45887" w:rsidP="007621C5">
            <w:pPr>
              <w:rPr>
                <w:rFonts w:asciiTheme="minorHAnsi" w:hAnsiTheme="minorHAnsi" w:cstheme="minorHAnsi"/>
                <w:i/>
                <w:sz w:val="20"/>
                <w:szCs w:val="20"/>
              </w:rPr>
            </w:pPr>
            <w:r w:rsidRPr="00116E55">
              <w:rPr>
                <w:rFonts w:asciiTheme="minorHAnsi" w:hAnsiTheme="minorHAnsi" w:cstheme="minorHAnsi"/>
                <w:i/>
                <w:sz w:val="20"/>
                <w:szCs w:val="20"/>
              </w:rPr>
              <w:t>It</w:t>
            </w:r>
            <w:r w:rsidR="00612583" w:rsidRPr="00116E55">
              <w:rPr>
                <w:rFonts w:asciiTheme="minorHAnsi" w:hAnsiTheme="minorHAnsi" w:cstheme="minorHAnsi"/>
                <w:i/>
                <w:sz w:val="20"/>
                <w:szCs w:val="20"/>
              </w:rPr>
              <w:t>’</w:t>
            </w:r>
            <w:r w:rsidRPr="00116E55">
              <w:rPr>
                <w:rFonts w:asciiTheme="minorHAnsi" w:hAnsiTheme="minorHAnsi" w:cstheme="minorHAnsi"/>
                <w:i/>
                <w:sz w:val="20"/>
                <w:szCs w:val="20"/>
              </w:rPr>
              <w:t>s your choice</w:t>
            </w:r>
          </w:p>
          <w:p w14:paraId="307A5E7E" w14:textId="0C3ACD9F" w:rsidR="00B45887" w:rsidRPr="00116E55" w:rsidRDefault="00B45887" w:rsidP="007621C5">
            <w:pPr>
              <w:pStyle w:val="TableText"/>
              <w:rPr>
                <w:rFonts w:asciiTheme="minorHAnsi" w:hAnsiTheme="minorHAnsi" w:cstheme="minorHAnsi"/>
                <w:sz w:val="20"/>
                <w:szCs w:val="20"/>
              </w:rPr>
            </w:pPr>
            <w:r w:rsidRPr="00116E55">
              <w:rPr>
                <w:rFonts w:asciiTheme="minorHAnsi" w:hAnsiTheme="minorHAnsi" w:cstheme="minorHAnsi"/>
                <w:sz w:val="20"/>
                <w:szCs w:val="20"/>
              </w:rPr>
              <w:t xml:space="preserve">To explore how customers want services delivered relating to: Service disruptions and sewer spills; supporting the community; digital metering; education; </w:t>
            </w:r>
            <w:r w:rsidR="005A2578" w:rsidRPr="00116E55">
              <w:rPr>
                <w:rFonts w:asciiTheme="minorHAnsi" w:hAnsiTheme="minorHAnsi" w:cstheme="minorHAnsi"/>
                <w:sz w:val="20"/>
                <w:szCs w:val="20"/>
              </w:rPr>
              <w:t>greenhouse gas emissions</w:t>
            </w:r>
            <w:r w:rsidRPr="00116E55">
              <w:rPr>
                <w:rFonts w:asciiTheme="minorHAnsi" w:hAnsiTheme="minorHAnsi" w:cstheme="minorHAnsi"/>
                <w:sz w:val="20"/>
                <w:szCs w:val="20"/>
              </w:rPr>
              <w:t xml:space="preserve"> reduction; alternative water.</w:t>
            </w:r>
          </w:p>
        </w:tc>
      </w:tr>
      <w:tr w:rsidR="00EF141C" w14:paraId="15D26C54" w14:textId="77777777" w:rsidTr="004C011C">
        <w:tc>
          <w:tcPr>
            <w:tcW w:w="1505" w:type="dxa"/>
            <w:vAlign w:val="top"/>
          </w:tcPr>
          <w:p w14:paraId="30524A79" w14:textId="77777777" w:rsidR="00B45887" w:rsidRPr="001852AF" w:rsidRDefault="00B45887" w:rsidP="007621C5">
            <w:pPr>
              <w:pStyle w:val="TableText"/>
              <w:rPr>
                <w:rFonts w:asciiTheme="minorHAnsi" w:hAnsiTheme="minorHAnsi" w:cstheme="minorHAnsi"/>
                <w:b/>
                <w:bCs/>
                <w:sz w:val="20"/>
                <w:szCs w:val="20"/>
              </w:rPr>
            </w:pPr>
            <w:r w:rsidRPr="001852AF">
              <w:rPr>
                <w:rFonts w:asciiTheme="minorHAnsi" w:hAnsiTheme="minorHAnsi" w:cstheme="minorHAnsi"/>
                <w:b/>
                <w:bCs/>
                <w:sz w:val="20"/>
                <w:szCs w:val="20"/>
              </w:rPr>
              <w:t>Sept 2021</w:t>
            </w:r>
          </w:p>
        </w:tc>
        <w:tc>
          <w:tcPr>
            <w:tcW w:w="3767" w:type="dxa"/>
            <w:vAlign w:val="top"/>
          </w:tcPr>
          <w:p w14:paraId="5FFFD6C0" w14:textId="77777777" w:rsidR="00B45887" w:rsidRPr="00116E55" w:rsidRDefault="00B45887" w:rsidP="007621C5">
            <w:pPr>
              <w:pStyle w:val="TableText"/>
              <w:rPr>
                <w:rFonts w:asciiTheme="minorHAnsi" w:hAnsiTheme="minorHAnsi" w:cstheme="minorHAnsi"/>
                <w:sz w:val="20"/>
                <w:szCs w:val="20"/>
              </w:rPr>
            </w:pPr>
            <w:r w:rsidRPr="00116E55">
              <w:rPr>
                <w:rFonts w:asciiTheme="minorHAnsi" w:hAnsiTheme="minorHAnsi" w:cstheme="minorHAnsi"/>
                <w:sz w:val="20"/>
                <w:szCs w:val="20"/>
              </w:rPr>
              <w:t>6 WTP focus groups (n=42)</w:t>
            </w:r>
          </w:p>
        </w:tc>
        <w:tc>
          <w:tcPr>
            <w:tcW w:w="4369" w:type="dxa"/>
            <w:vAlign w:val="top"/>
          </w:tcPr>
          <w:p w14:paraId="74DE78EF" w14:textId="7CED5DA4" w:rsidR="00B45887" w:rsidRPr="00116E55" w:rsidRDefault="00B45887" w:rsidP="007621C5">
            <w:pPr>
              <w:pStyle w:val="TableText"/>
              <w:rPr>
                <w:rFonts w:asciiTheme="minorHAnsi" w:hAnsiTheme="minorHAnsi" w:cstheme="minorHAnsi"/>
                <w:sz w:val="20"/>
                <w:szCs w:val="20"/>
              </w:rPr>
            </w:pPr>
            <w:r w:rsidRPr="00116E55">
              <w:rPr>
                <w:rFonts w:asciiTheme="minorHAnsi" w:hAnsiTheme="minorHAnsi" w:cstheme="minorHAnsi"/>
                <w:sz w:val="20"/>
                <w:szCs w:val="20"/>
              </w:rPr>
              <w:t xml:space="preserve">Test WTP values of pensioners, </w:t>
            </w:r>
            <w:r w:rsidR="00E539BC">
              <w:rPr>
                <w:rFonts w:asciiTheme="minorHAnsi" w:hAnsiTheme="minorHAnsi" w:cstheme="minorHAnsi"/>
                <w:sz w:val="20"/>
                <w:szCs w:val="20"/>
              </w:rPr>
              <w:t>tenants</w:t>
            </w:r>
            <w:r w:rsidRPr="00116E55">
              <w:rPr>
                <w:rFonts w:asciiTheme="minorHAnsi" w:hAnsiTheme="minorHAnsi" w:cstheme="minorHAnsi"/>
                <w:sz w:val="20"/>
                <w:szCs w:val="20"/>
              </w:rPr>
              <w:t xml:space="preserve">, </w:t>
            </w:r>
            <w:r w:rsidR="000219CA" w:rsidRPr="00116E55">
              <w:rPr>
                <w:rFonts w:asciiTheme="minorHAnsi" w:hAnsiTheme="minorHAnsi" w:cstheme="minorHAnsi"/>
                <w:sz w:val="20"/>
                <w:szCs w:val="20"/>
              </w:rPr>
              <w:t>homeowners</w:t>
            </w:r>
            <w:r w:rsidRPr="00116E55">
              <w:rPr>
                <w:rFonts w:asciiTheme="minorHAnsi" w:hAnsiTheme="minorHAnsi" w:cstheme="minorHAnsi"/>
                <w:sz w:val="20"/>
                <w:szCs w:val="20"/>
              </w:rPr>
              <w:t>, long</w:t>
            </w:r>
            <w:r w:rsidR="009F0CB0" w:rsidRPr="00116E55">
              <w:rPr>
                <w:rFonts w:asciiTheme="minorHAnsi" w:hAnsiTheme="minorHAnsi" w:cstheme="minorHAnsi"/>
                <w:sz w:val="20"/>
                <w:szCs w:val="20"/>
              </w:rPr>
              <w:t>-</w:t>
            </w:r>
            <w:r w:rsidRPr="00116E55">
              <w:rPr>
                <w:rFonts w:asciiTheme="minorHAnsi" w:hAnsiTheme="minorHAnsi" w:cstheme="minorHAnsi"/>
                <w:sz w:val="20"/>
                <w:szCs w:val="20"/>
              </w:rPr>
              <w:t>term financially vulnerable customers, newly financially vulnerable customers and small business owners</w:t>
            </w:r>
          </w:p>
        </w:tc>
      </w:tr>
      <w:tr w:rsidR="009240F4" w14:paraId="42E9416E" w14:textId="77777777" w:rsidTr="00E73D07">
        <w:trPr>
          <w:trHeight w:val="331"/>
        </w:trPr>
        <w:tc>
          <w:tcPr>
            <w:tcW w:w="9641" w:type="dxa"/>
            <w:gridSpan w:val="3"/>
            <w:shd w:val="clear" w:color="auto" w:fill="002279"/>
          </w:tcPr>
          <w:p w14:paraId="44927D99" w14:textId="1E6E5E93" w:rsidR="00B45887" w:rsidRPr="00116E55" w:rsidRDefault="00820257" w:rsidP="007621C5">
            <w:pPr>
              <w:pStyle w:val="TableText"/>
              <w:jc w:val="center"/>
              <w:rPr>
                <w:rFonts w:asciiTheme="minorHAnsi" w:hAnsiTheme="minorHAnsi" w:cstheme="minorHAnsi"/>
                <w:b/>
                <w:color w:val="FFFFFF" w:themeColor="background1"/>
                <w:sz w:val="20"/>
                <w:szCs w:val="20"/>
              </w:rPr>
            </w:pPr>
            <w:r w:rsidRPr="00116E55">
              <w:rPr>
                <w:rFonts w:asciiTheme="minorHAnsi" w:hAnsiTheme="minorHAnsi" w:cstheme="minorHAnsi"/>
                <w:b/>
                <w:color w:val="FFFFFF" w:themeColor="background1"/>
                <w:sz w:val="20"/>
                <w:szCs w:val="20"/>
              </w:rPr>
              <w:t>8,662</w:t>
            </w:r>
            <w:r w:rsidR="00B45887" w:rsidRPr="00116E55">
              <w:rPr>
                <w:rFonts w:asciiTheme="minorHAnsi" w:hAnsiTheme="minorHAnsi" w:cstheme="minorHAnsi"/>
                <w:b/>
                <w:color w:val="FFFFFF" w:themeColor="background1"/>
                <w:sz w:val="20"/>
                <w:szCs w:val="20"/>
              </w:rPr>
              <w:t xml:space="preserve"> people engaged</w:t>
            </w:r>
          </w:p>
        </w:tc>
      </w:tr>
    </w:tbl>
    <w:p w14:paraId="097FF38E" w14:textId="77777777" w:rsidR="00B45887" w:rsidRDefault="00B45887" w:rsidP="00B45887"/>
    <w:p w14:paraId="02A84646" w14:textId="13C686BD" w:rsidR="003C0127" w:rsidRDefault="003C0127" w:rsidP="003C0127">
      <w:r>
        <w:t xml:space="preserve">In </w:t>
      </w:r>
      <w:r w:rsidR="00C442A9">
        <w:t>Phase</w:t>
      </w:r>
      <w:r>
        <w:t xml:space="preserve"> 4</w:t>
      </w:r>
      <w:r w:rsidR="00F4669F">
        <w:t>,</w:t>
      </w:r>
      <w:r>
        <w:t xml:space="preserve"> a deliberative engagement process between South East Water and a </w:t>
      </w:r>
      <w:r w:rsidR="00DE6231">
        <w:t>c</w:t>
      </w:r>
      <w:r>
        <w:t xml:space="preserve">ommunity </w:t>
      </w:r>
      <w:r w:rsidR="00DE6231">
        <w:t>p</w:t>
      </w:r>
      <w:r>
        <w:t>anel</w:t>
      </w:r>
      <w:r w:rsidR="00C442A9">
        <w:t xml:space="preserve"> agreed</w:t>
      </w:r>
      <w:r>
        <w:t xml:space="preserve"> on how best to reflect </w:t>
      </w:r>
      <w:r w:rsidR="00C442A9">
        <w:t>customer views and</w:t>
      </w:r>
      <w:r>
        <w:t xml:space="preserve"> value</w:t>
      </w:r>
      <w:r w:rsidR="00C442A9">
        <w:t>s</w:t>
      </w:r>
      <w:r>
        <w:t xml:space="preserve"> in the </w:t>
      </w:r>
      <w:r w:rsidR="00C442A9">
        <w:t>price submission</w:t>
      </w:r>
      <w:r>
        <w:t xml:space="preserve">. </w:t>
      </w:r>
    </w:p>
    <w:p w14:paraId="0C9CA19B" w14:textId="7573720D" w:rsidR="003C0127" w:rsidRDefault="003C0127" w:rsidP="003C0127">
      <w:r w:rsidRPr="00B72EA1">
        <w:t>A separate</w:t>
      </w:r>
      <w:r w:rsidR="00866B14">
        <w:t>, comprehensive</w:t>
      </w:r>
      <w:r w:rsidRPr="00B72EA1">
        <w:t xml:space="preserve"> engagement process </w:t>
      </w:r>
      <w:r>
        <w:t>has also been</w:t>
      </w:r>
      <w:r w:rsidRPr="00B72EA1">
        <w:t xml:space="preserve"> undertaken to explore potential tariff reforms</w:t>
      </w:r>
      <w:r>
        <w:t xml:space="preserve">. This is </w:t>
      </w:r>
      <w:r w:rsidRPr="00B72EA1">
        <w:t xml:space="preserve">discussed in </w:t>
      </w:r>
      <w:r w:rsidR="006E1127">
        <w:t>the tariff s</w:t>
      </w:r>
      <w:r w:rsidRPr="00B72EA1">
        <w:t>ection of the price submission.</w:t>
      </w:r>
      <w:r>
        <w:t xml:space="preserve"> </w:t>
      </w:r>
    </w:p>
    <w:p w14:paraId="68EB47F1" w14:textId="77777777" w:rsidR="00E45C77" w:rsidRDefault="00E45C77" w:rsidP="003C0127"/>
    <w:p w14:paraId="5C2A8D5F" w14:textId="77777777" w:rsidR="006D2A5C" w:rsidRDefault="006D2A5C" w:rsidP="008E132A">
      <w:pPr>
        <w:pStyle w:val="Heading2"/>
      </w:pPr>
      <w:bookmarkStart w:id="30" w:name="_Toc103770911"/>
      <w:r>
        <w:t>2.2 Key issues covered in engagement</w:t>
      </w:r>
      <w:bookmarkEnd w:id="30"/>
    </w:p>
    <w:p w14:paraId="16006393" w14:textId="73B0C53C" w:rsidR="00135BF0" w:rsidRDefault="00135BF0" w:rsidP="00135BF0">
      <w:r>
        <w:t>The issues covered in South East Water</w:t>
      </w:r>
      <w:r w:rsidR="00612583">
        <w:t>’</w:t>
      </w:r>
      <w:r>
        <w:t>s engagement w</w:t>
      </w:r>
      <w:r w:rsidR="008341A3">
        <w:t>ere</w:t>
      </w:r>
      <w:r>
        <w:t xml:space="preserve"> informed by:</w:t>
      </w:r>
    </w:p>
    <w:p w14:paraId="27F8C8CF" w14:textId="1E4F6F5A" w:rsidR="00135BF0" w:rsidRPr="004757AC" w:rsidRDefault="008341A3" w:rsidP="00702250">
      <w:pPr>
        <w:pStyle w:val="Bulletlistmultilevel"/>
        <w:numPr>
          <w:ilvl w:val="0"/>
          <w:numId w:val="4"/>
        </w:numPr>
        <w:rPr>
          <w:sz w:val="24"/>
          <w:szCs w:val="24"/>
        </w:rPr>
      </w:pPr>
      <w:r>
        <w:rPr>
          <w:sz w:val="24"/>
          <w:szCs w:val="24"/>
        </w:rPr>
        <w:t>e</w:t>
      </w:r>
      <w:r w:rsidR="00135BF0" w:rsidRPr="004757AC">
        <w:rPr>
          <w:sz w:val="24"/>
          <w:szCs w:val="24"/>
        </w:rPr>
        <w:t>arly, open engagement with our customers and community that allowed issues of concern and interest to be raised by them (rather than directed by us)</w:t>
      </w:r>
    </w:p>
    <w:p w14:paraId="0E3C6ED7" w14:textId="33E14069" w:rsidR="00135BF0" w:rsidRPr="004757AC" w:rsidRDefault="008341A3" w:rsidP="00702250">
      <w:pPr>
        <w:pStyle w:val="Bulletlistmultilevel"/>
        <w:numPr>
          <w:ilvl w:val="0"/>
          <w:numId w:val="4"/>
        </w:numPr>
        <w:rPr>
          <w:sz w:val="24"/>
          <w:szCs w:val="24"/>
        </w:rPr>
      </w:pPr>
      <w:r>
        <w:rPr>
          <w:sz w:val="24"/>
          <w:szCs w:val="24"/>
        </w:rPr>
        <w:t>t</w:t>
      </w:r>
      <w:r w:rsidR="00135BF0" w:rsidRPr="004757AC">
        <w:rPr>
          <w:sz w:val="24"/>
          <w:szCs w:val="24"/>
        </w:rPr>
        <w:t>est</w:t>
      </w:r>
      <w:r w:rsidR="001A57AF">
        <w:rPr>
          <w:sz w:val="24"/>
          <w:szCs w:val="24"/>
        </w:rPr>
        <w:t>ing</w:t>
      </w:r>
      <w:r w:rsidR="00135BF0" w:rsidRPr="00FB7E78">
        <w:rPr>
          <w:sz w:val="24"/>
          <w:szCs w:val="24"/>
        </w:rPr>
        <w:t xml:space="preserve"> </w:t>
      </w:r>
      <w:r w:rsidR="00B40368" w:rsidRPr="00AA3218">
        <w:rPr>
          <w:sz w:val="24"/>
          <w:szCs w:val="24"/>
        </w:rPr>
        <w:t>whether</w:t>
      </w:r>
      <w:r w:rsidR="00135BF0" w:rsidRPr="004757AC">
        <w:rPr>
          <w:sz w:val="24"/>
          <w:szCs w:val="24"/>
        </w:rPr>
        <w:t xml:space="preserve"> the outcomes we agreed with customers for the 2018</w:t>
      </w:r>
      <w:r w:rsidR="007D4EB3">
        <w:rPr>
          <w:sz w:val="24"/>
          <w:szCs w:val="24"/>
        </w:rPr>
        <w:t>–</w:t>
      </w:r>
      <w:r w:rsidR="00135BF0" w:rsidRPr="004757AC">
        <w:rPr>
          <w:sz w:val="24"/>
          <w:szCs w:val="24"/>
        </w:rPr>
        <w:t>23 regulatory period need to change for the forthcoming period</w:t>
      </w:r>
    </w:p>
    <w:p w14:paraId="3F74E614" w14:textId="67070C0E" w:rsidR="00135BF0" w:rsidRDefault="00AD7970" w:rsidP="00702250">
      <w:pPr>
        <w:pStyle w:val="Bulletlistmultilevel"/>
        <w:numPr>
          <w:ilvl w:val="0"/>
          <w:numId w:val="4"/>
        </w:numPr>
        <w:rPr>
          <w:sz w:val="24"/>
          <w:szCs w:val="24"/>
        </w:rPr>
      </w:pPr>
      <w:r>
        <w:rPr>
          <w:sz w:val="24"/>
          <w:szCs w:val="24"/>
        </w:rPr>
        <w:lastRenderedPageBreak/>
        <w:t>n</w:t>
      </w:r>
      <w:r w:rsidR="00135BF0" w:rsidRPr="004757AC">
        <w:rPr>
          <w:sz w:val="24"/>
          <w:szCs w:val="24"/>
        </w:rPr>
        <w:t>ew aspects of our business strategy</w:t>
      </w:r>
      <w:r w:rsidR="00C16188">
        <w:rPr>
          <w:sz w:val="24"/>
          <w:szCs w:val="24"/>
        </w:rPr>
        <w:t xml:space="preserve"> </w:t>
      </w:r>
      <w:r w:rsidR="00135BF0" w:rsidRPr="004757AC">
        <w:rPr>
          <w:sz w:val="24"/>
          <w:szCs w:val="24"/>
        </w:rPr>
        <w:t xml:space="preserve">and planned investments that are designed to ensure that we deliver agreed outcomes in the best way for customers. </w:t>
      </w:r>
    </w:p>
    <w:p w14:paraId="4FE99D43" w14:textId="77777777" w:rsidR="00E45C77" w:rsidRPr="004757AC" w:rsidRDefault="00E45C77" w:rsidP="00116E55">
      <w:pPr>
        <w:pStyle w:val="Bulletlistmultilevel"/>
        <w:rPr>
          <w:sz w:val="24"/>
          <w:szCs w:val="24"/>
        </w:rPr>
      </w:pPr>
    </w:p>
    <w:p w14:paraId="02AB5B0C" w14:textId="2D3AA188" w:rsidR="00135BF0" w:rsidRDefault="00135BF0" w:rsidP="00135BF0">
      <w:r>
        <w:t xml:space="preserve">The key issues tested in </w:t>
      </w:r>
      <w:r w:rsidR="009505D2">
        <w:t>the</w:t>
      </w:r>
      <w:r>
        <w:t xml:space="preserve"> engagement </w:t>
      </w:r>
      <w:r w:rsidR="009505D2">
        <w:t>program</w:t>
      </w:r>
      <w:r>
        <w:t xml:space="preserve"> encompass:</w:t>
      </w:r>
    </w:p>
    <w:p w14:paraId="02D07D4E" w14:textId="4552AAE8" w:rsidR="00135BF0" w:rsidRPr="004757AC" w:rsidRDefault="00AD7970" w:rsidP="00702250">
      <w:pPr>
        <w:pStyle w:val="Bulletlistmultilevel"/>
        <w:numPr>
          <w:ilvl w:val="0"/>
          <w:numId w:val="4"/>
        </w:numPr>
        <w:rPr>
          <w:sz w:val="24"/>
          <w:szCs w:val="24"/>
        </w:rPr>
      </w:pPr>
      <w:r>
        <w:rPr>
          <w:sz w:val="24"/>
          <w:szCs w:val="24"/>
        </w:rPr>
        <w:t>d</w:t>
      </w:r>
      <w:r w:rsidR="00135BF0" w:rsidRPr="004757AC">
        <w:rPr>
          <w:sz w:val="24"/>
          <w:szCs w:val="24"/>
        </w:rPr>
        <w:t>elivery of core service outcomes (service disruptions and sewer spills, digital meters)</w:t>
      </w:r>
    </w:p>
    <w:p w14:paraId="1363D7AF" w14:textId="3D8E0A8E" w:rsidR="00135BF0" w:rsidRPr="004757AC" w:rsidRDefault="00AD7970" w:rsidP="00702250">
      <w:pPr>
        <w:pStyle w:val="Bulletlistmultilevel"/>
        <w:numPr>
          <w:ilvl w:val="0"/>
          <w:numId w:val="4"/>
        </w:numPr>
        <w:rPr>
          <w:sz w:val="24"/>
          <w:szCs w:val="24"/>
        </w:rPr>
      </w:pPr>
      <w:r>
        <w:rPr>
          <w:sz w:val="24"/>
          <w:szCs w:val="24"/>
        </w:rPr>
        <w:t>s</w:t>
      </w:r>
      <w:r w:rsidR="00135BF0" w:rsidRPr="004757AC">
        <w:rPr>
          <w:sz w:val="24"/>
          <w:szCs w:val="24"/>
        </w:rPr>
        <w:t>ervices with broader environmental and community benefits including integrated water management</w:t>
      </w:r>
      <w:r w:rsidR="00227C10">
        <w:rPr>
          <w:sz w:val="24"/>
          <w:szCs w:val="24"/>
        </w:rPr>
        <w:t xml:space="preserve">, </w:t>
      </w:r>
      <w:r w:rsidR="00135BF0" w:rsidRPr="004757AC">
        <w:rPr>
          <w:sz w:val="24"/>
          <w:szCs w:val="24"/>
        </w:rPr>
        <w:t>education and awareness and sustainability and climate change</w:t>
      </w:r>
    </w:p>
    <w:p w14:paraId="7855FD7A" w14:textId="785CA707" w:rsidR="00135BF0" w:rsidRPr="004757AC" w:rsidRDefault="00AD7970" w:rsidP="00702250">
      <w:pPr>
        <w:pStyle w:val="Bulletlistmultilevel"/>
        <w:numPr>
          <w:ilvl w:val="0"/>
          <w:numId w:val="4"/>
        </w:numPr>
        <w:rPr>
          <w:sz w:val="24"/>
          <w:szCs w:val="24"/>
        </w:rPr>
      </w:pPr>
      <w:r>
        <w:rPr>
          <w:sz w:val="24"/>
          <w:szCs w:val="24"/>
        </w:rPr>
        <w:t>t</w:t>
      </w:r>
      <w:r w:rsidR="00135BF0" w:rsidRPr="004757AC">
        <w:rPr>
          <w:sz w:val="24"/>
          <w:szCs w:val="24"/>
        </w:rPr>
        <w:t>esting how best to deliver affordable services</w:t>
      </w:r>
    </w:p>
    <w:p w14:paraId="15EA30A5" w14:textId="30AC3FB0" w:rsidR="00135BF0" w:rsidRPr="004757AC" w:rsidRDefault="00995408" w:rsidP="00702250">
      <w:pPr>
        <w:pStyle w:val="Bulletlistmultilevel"/>
        <w:numPr>
          <w:ilvl w:val="0"/>
          <w:numId w:val="4"/>
        </w:numPr>
        <w:rPr>
          <w:sz w:val="24"/>
          <w:szCs w:val="24"/>
        </w:rPr>
      </w:pPr>
      <w:r w:rsidRPr="00AA3218">
        <w:rPr>
          <w:sz w:val="24"/>
          <w:szCs w:val="24"/>
        </w:rPr>
        <w:t xml:space="preserve">whether our </w:t>
      </w:r>
      <w:r w:rsidR="006D2A5C" w:rsidRPr="004757AC">
        <w:rPr>
          <w:sz w:val="24"/>
          <w:szCs w:val="24"/>
        </w:rPr>
        <w:t>customer outcome</w:t>
      </w:r>
      <w:r w:rsidR="006D2A5C" w:rsidRPr="00EA4844">
        <w:rPr>
          <w:sz w:val="24"/>
          <w:szCs w:val="24"/>
        </w:rPr>
        <w:t>s</w:t>
      </w:r>
      <w:r w:rsidR="00BD46A1" w:rsidRPr="00AA3218">
        <w:rPr>
          <w:sz w:val="24"/>
          <w:szCs w:val="24"/>
        </w:rPr>
        <w:t xml:space="preserve"> </w:t>
      </w:r>
      <w:r w:rsidR="007B57C9" w:rsidRPr="00AA3218">
        <w:rPr>
          <w:sz w:val="24"/>
          <w:szCs w:val="24"/>
        </w:rPr>
        <w:t>still resonated</w:t>
      </w:r>
      <w:r w:rsidR="006D2A5C" w:rsidRPr="004757AC">
        <w:rPr>
          <w:sz w:val="24"/>
          <w:szCs w:val="24"/>
        </w:rPr>
        <w:t>.</w:t>
      </w:r>
    </w:p>
    <w:p w14:paraId="626B8106" w14:textId="49EDEA4F" w:rsidR="006D2A5C" w:rsidRPr="004757AC" w:rsidRDefault="006D2A5C" w:rsidP="00122E90">
      <w:pPr>
        <w:pStyle w:val="Bulletlistmultilevel"/>
        <w:ind w:left="0" w:firstLine="0"/>
        <w:rPr>
          <w:sz w:val="24"/>
          <w:szCs w:val="24"/>
        </w:rPr>
      </w:pPr>
    </w:p>
    <w:p w14:paraId="5141A6C2" w14:textId="23D62D47" w:rsidR="006D2A5C" w:rsidRPr="00E45C77" w:rsidRDefault="006D2A5C" w:rsidP="00E45C77">
      <w:pPr>
        <w:pStyle w:val="Heading2"/>
      </w:pPr>
      <w:bookmarkStart w:id="31" w:name="_Toc103770912"/>
      <w:r w:rsidRPr="00E45C77">
        <w:t>2.3 How engagement has informed this submission</w:t>
      </w:r>
      <w:bookmarkEnd w:id="31"/>
    </w:p>
    <w:p w14:paraId="5EA749AD" w14:textId="6C64F0DC" w:rsidR="006D2A5C" w:rsidRDefault="006D2A5C" w:rsidP="00D12CC3">
      <w:pPr>
        <w:pStyle w:val="NbrHeading3"/>
      </w:pPr>
      <w:r>
        <w:t>What was learn</w:t>
      </w:r>
      <w:r w:rsidR="001C032F">
        <w:t>t</w:t>
      </w:r>
      <w:r>
        <w:t xml:space="preserve"> from our </w:t>
      </w:r>
      <w:r w:rsidR="005A36BE">
        <w:t>initial phase</w:t>
      </w:r>
      <w:r w:rsidR="00DC35DE">
        <w:t>s</w:t>
      </w:r>
      <w:r w:rsidR="005A36BE">
        <w:t xml:space="preserve"> 2 and 3 engagement</w:t>
      </w:r>
    </w:p>
    <w:p w14:paraId="6162D533" w14:textId="6BF07AA1" w:rsidR="00134EF7" w:rsidRPr="006E1127" w:rsidRDefault="006A5BC9" w:rsidP="00134EF7">
      <w:pPr>
        <w:pStyle w:val="BodyText"/>
      </w:pPr>
      <w:r w:rsidRPr="00B16A28">
        <w:t xml:space="preserve">The following summarises the key outcomes from the initial phases of customer research and engagement. This was </w:t>
      </w:r>
      <w:r w:rsidR="00390E93" w:rsidRPr="00B16A28">
        <w:t>an important input to the subsequent deliberation with the community panel and C</w:t>
      </w:r>
      <w:r w:rsidR="00A7334B">
        <w:t>CA</w:t>
      </w:r>
      <w:r w:rsidR="00390E93" w:rsidRPr="00B16A28">
        <w:t xml:space="preserve">C </w:t>
      </w:r>
      <w:r w:rsidR="00A34900" w:rsidRPr="00B16A28">
        <w:t>on how best to reflect customer views in the pric</w:t>
      </w:r>
      <w:r w:rsidR="000779A3">
        <w:t>e</w:t>
      </w:r>
      <w:r w:rsidR="00A34900" w:rsidRPr="00B16A28">
        <w:t xml:space="preserve"> submission</w:t>
      </w:r>
      <w:r w:rsidR="00A34900" w:rsidRPr="006E1127">
        <w:t>.</w:t>
      </w:r>
      <w:r w:rsidR="00134EF7" w:rsidRPr="006E1127">
        <w:t xml:space="preserve"> </w:t>
      </w:r>
    </w:p>
    <w:p w14:paraId="344472FA" w14:textId="77777777" w:rsidR="00E01F95" w:rsidRDefault="006D2A5C" w:rsidP="009C43A0">
      <w:pPr>
        <w:pStyle w:val="Heading4"/>
      </w:pPr>
      <w:r w:rsidRPr="006E1127">
        <w:t>Customer outcomes</w:t>
      </w:r>
    </w:p>
    <w:p w14:paraId="55DFE0C0" w14:textId="517DEC60" w:rsidR="006D2A5C" w:rsidRPr="006E1127" w:rsidRDefault="00C91AC9" w:rsidP="00CB0971">
      <w:pPr>
        <w:pStyle w:val="NormalIndent"/>
        <w:ind w:left="0"/>
        <w:rPr>
          <w:sz w:val="24"/>
          <w:szCs w:val="24"/>
        </w:rPr>
      </w:pPr>
      <w:r w:rsidRPr="006E1127">
        <w:rPr>
          <w:sz w:val="24"/>
          <w:szCs w:val="24"/>
        </w:rPr>
        <w:t xml:space="preserve">The </w:t>
      </w:r>
      <w:r w:rsidR="00A428D4">
        <w:rPr>
          <w:sz w:val="24"/>
          <w:szCs w:val="24"/>
        </w:rPr>
        <w:t>5</w:t>
      </w:r>
      <w:r w:rsidR="009F55DD" w:rsidRPr="006E1127">
        <w:rPr>
          <w:sz w:val="24"/>
          <w:szCs w:val="24"/>
        </w:rPr>
        <w:t xml:space="preserve"> </w:t>
      </w:r>
      <w:r w:rsidR="006D2A5C" w:rsidRPr="006E1127">
        <w:rPr>
          <w:sz w:val="24"/>
          <w:szCs w:val="24"/>
        </w:rPr>
        <w:t>outcomes agreed for the current 2018</w:t>
      </w:r>
      <w:r w:rsidR="007D4EB3">
        <w:rPr>
          <w:sz w:val="24"/>
          <w:szCs w:val="24"/>
        </w:rPr>
        <w:t>–</w:t>
      </w:r>
      <w:r w:rsidR="006D2A5C" w:rsidRPr="006E1127">
        <w:rPr>
          <w:sz w:val="24"/>
          <w:szCs w:val="24"/>
        </w:rPr>
        <w:t xml:space="preserve">23 regulatory period </w:t>
      </w:r>
      <w:r w:rsidRPr="006E1127">
        <w:rPr>
          <w:sz w:val="24"/>
          <w:szCs w:val="24"/>
        </w:rPr>
        <w:t>still resonate with customers</w:t>
      </w:r>
      <w:r w:rsidR="005A36BE" w:rsidRPr="006E1127">
        <w:rPr>
          <w:sz w:val="24"/>
          <w:szCs w:val="24"/>
        </w:rPr>
        <w:t xml:space="preserve"> and </w:t>
      </w:r>
      <w:r w:rsidR="005A36BE" w:rsidRPr="006E1127">
        <w:rPr>
          <w:rFonts w:ascii="Arial" w:hAnsi="Arial"/>
          <w:sz w:val="24"/>
          <w:szCs w:val="24"/>
        </w:rPr>
        <w:t>q</w:t>
      </w:r>
      <w:r w:rsidR="006D2A5C" w:rsidRPr="006E1127">
        <w:rPr>
          <w:rFonts w:ascii="Arial" w:hAnsi="Arial"/>
          <w:sz w:val="24"/>
          <w:szCs w:val="24"/>
        </w:rPr>
        <w:t xml:space="preserve">ualitative surveys and focus groups showed </w:t>
      </w:r>
      <w:r w:rsidR="00596E7A">
        <w:rPr>
          <w:rFonts w:ascii="Arial" w:hAnsi="Arial"/>
          <w:sz w:val="24"/>
          <w:szCs w:val="24"/>
        </w:rPr>
        <w:t xml:space="preserve">the </w:t>
      </w:r>
      <w:r w:rsidR="006D2A5C" w:rsidRPr="006E1127">
        <w:rPr>
          <w:rFonts w:ascii="Arial" w:hAnsi="Arial"/>
          <w:sz w:val="24"/>
          <w:szCs w:val="24"/>
        </w:rPr>
        <w:t xml:space="preserve">strongest support for </w:t>
      </w:r>
      <w:r w:rsidR="00EF217E" w:rsidRPr="006E1127">
        <w:rPr>
          <w:rFonts w:ascii="Arial" w:hAnsi="Arial"/>
          <w:sz w:val="24"/>
          <w:szCs w:val="24"/>
        </w:rPr>
        <w:t xml:space="preserve">the </w:t>
      </w:r>
      <w:r w:rsidR="00612583">
        <w:rPr>
          <w:rFonts w:ascii="Arial" w:hAnsi="Arial"/>
          <w:sz w:val="24"/>
          <w:szCs w:val="24"/>
        </w:rPr>
        <w:t>‘</w:t>
      </w:r>
      <w:r w:rsidR="006D2A5C" w:rsidRPr="00A43A8A">
        <w:rPr>
          <w:rFonts w:ascii="Arial" w:hAnsi="Arial"/>
          <w:i/>
          <w:sz w:val="24"/>
          <w:szCs w:val="24"/>
        </w:rPr>
        <w:t xml:space="preserve">Make my experience </w:t>
      </w:r>
      <w:r w:rsidR="006D2A5C" w:rsidRPr="00A43A8A">
        <w:rPr>
          <w:rFonts w:ascii="Arial" w:hAnsi="Arial"/>
          <w:i/>
          <w:iCs/>
          <w:sz w:val="24"/>
          <w:szCs w:val="24"/>
        </w:rPr>
        <w:t>better</w:t>
      </w:r>
      <w:r w:rsidR="00612583">
        <w:rPr>
          <w:rFonts w:ascii="Arial" w:hAnsi="Arial"/>
          <w:i/>
          <w:iCs/>
          <w:sz w:val="24"/>
          <w:szCs w:val="24"/>
        </w:rPr>
        <w:t>’</w:t>
      </w:r>
      <w:r w:rsidR="00E4045F" w:rsidRPr="006E1127">
        <w:rPr>
          <w:rFonts w:ascii="Arial" w:hAnsi="Arial"/>
          <w:sz w:val="24"/>
          <w:szCs w:val="24"/>
        </w:rPr>
        <w:t xml:space="preserve"> outcome.</w:t>
      </w:r>
    </w:p>
    <w:p w14:paraId="3D4EFE01" w14:textId="77777777" w:rsidR="00E01F95" w:rsidRDefault="006D2A5C" w:rsidP="009C43A0">
      <w:pPr>
        <w:pStyle w:val="Heading4"/>
      </w:pPr>
      <w:r w:rsidRPr="006E1127">
        <w:t>Disruptions and sewer spills</w:t>
      </w:r>
    </w:p>
    <w:p w14:paraId="34256ACC" w14:textId="67F11BCB" w:rsidR="006D2A5C" w:rsidRPr="006E1127" w:rsidRDefault="006D2A5C" w:rsidP="00CB0971">
      <w:pPr>
        <w:pStyle w:val="NormalIndent"/>
        <w:ind w:left="0"/>
        <w:rPr>
          <w:sz w:val="24"/>
          <w:szCs w:val="24"/>
        </w:rPr>
      </w:pPr>
      <w:r w:rsidRPr="006E1127">
        <w:rPr>
          <w:sz w:val="24"/>
          <w:szCs w:val="24"/>
        </w:rPr>
        <w:t>High</w:t>
      </w:r>
      <w:r w:rsidR="00056D48" w:rsidRPr="006E1127">
        <w:rPr>
          <w:sz w:val="24"/>
          <w:szCs w:val="24"/>
        </w:rPr>
        <w:t>-</w:t>
      </w:r>
      <w:r w:rsidRPr="006E1127">
        <w:rPr>
          <w:sz w:val="24"/>
          <w:szCs w:val="24"/>
        </w:rPr>
        <w:t xml:space="preserve">quality drinking water and reliable supply (water and wastewater) </w:t>
      </w:r>
      <w:r w:rsidR="002E74F2">
        <w:rPr>
          <w:sz w:val="24"/>
          <w:szCs w:val="24"/>
        </w:rPr>
        <w:t>were</w:t>
      </w:r>
      <w:r w:rsidRPr="006E1127">
        <w:rPr>
          <w:sz w:val="24"/>
          <w:szCs w:val="24"/>
        </w:rPr>
        <w:t xml:space="preserve"> most highly valued in qualitative surveys and focus groups.</w:t>
      </w:r>
      <w:r w:rsidR="009F5748" w:rsidRPr="006E1127">
        <w:rPr>
          <w:sz w:val="24"/>
          <w:szCs w:val="24"/>
        </w:rPr>
        <w:t xml:space="preserve"> </w:t>
      </w:r>
      <w:r w:rsidRPr="006E1127">
        <w:rPr>
          <w:sz w:val="24"/>
          <w:szCs w:val="24"/>
        </w:rPr>
        <w:t xml:space="preserve">WTP analysis </w:t>
      </w:r>
      <w:r w:rsidR="00B75C3B" w:rsidRPr="006E1127">
        <w:rPr>
          <w:sz w:val="24"/>
          <w:szCs w:val="24"/>
        </w:rPr>
        <w:t xml:space="preserve">showed </w:t>
      </w:r>
      <w:r w:rsidRPr="006E1127">
        <w:rPr>
          <w:sz w:val="24"/>
          <w:szCs w:val="24"/>
        </w:rPr>
        <w:t>support</w:t>
      </w:r>
      <w:r w:rsidR="00B75C3B" w:rsidRPr="006E1127">
        <w:rPr>
          <w:sz w:val="24"/>
          <w:szCs w:val="24"/>
        </w:rPr>
        <w:t xml:space="preserve"> for an</w:t>
      </w:r>
      <w:r w:rsidRPr="006E1127">
        <w:rPr>
          <w:sz w:val="24"/>
          <w:szCs w:val="24"/>
        </w:rPr>
        <w:t xml:space="preserve"> increase in expenditure to reduce water supply outages.</w:t>
      </w:r>
      <w:r w:rsidR="00B75C3B" w:rsidRPr="006E1127">
        <w:rPr>
          <w:sz w:val="24"/>
          <w:szCs w:val="24"/>
        </w:rPr>
        <w:t xml:space="preserve"> </w:t>
      </w:r>
      <w:r w:rsidRPr="006E1127">
        <w:rPr>
          <w:rFonts w:ascii="Arial" w:hAnsi="Arial"/>
          <w:sz w:val="24"/>
          <w:szCs w:val="24"/>
        </w:rPr>
        <w:t xml:space="preserve">Best worst scaling </w:t>
      </w:r>
      <w:r w:rsidR="004B6ABA">
        <w:rPr>
          <w:rFonts w:ascii="Arial" w:hAnsi="Arial"/>
          <w:sz w:val="24"/>
          <w:szCs w:val="24"/>
        </w:rPr>
        <w:t xml:space="preserve">analysis </w:t>
      </w:r>
      <w:r w:rsidRPr="006E1127">
        <w:rPr>
          <w:rFonts w:ascii="Arial" w:hAnsi="Arial"/>
          <w:sz w:val="24"/>
          <w:szCs w:val="24"/>
        </w:rPr>
        <w:t xml:space="preserve">showed </w:t>
      </w:r>
      <w:r w:rsidR="00320B84">
        <w:rPr>
          <w:rFonts w:ascii="Arial" w:hAnsi="Arial"/>
          <w:sz w:val="24"/>
          <w:szCs w:val="24"/>
        </w:rPr>
        <w:t xml:space="preserve">the </w:t>
      </w:r>
      <w:r w:rsidRPr="006E1127">
        <w:rPr>
          <w:rFonts w:ascii="Arial" w:hAnsi="Arial"/>
          <w:sz w:val="24"/>
          <w:szCs w:val="24"/>
        </w:rPr>
        <w:t>strongest support for increased expenditure to reduce the number of sewer spills.</w:t>
      </w:r>
    </w:p>
    <w:p w14:paraId="7837E588" w14:textId="77DA9597" w:rsidR="00E01F95" w:rsidRDefault="005D2891" w:rsidP="009C43A0">
      <w:pPr>
        <w:pStyle w:val="Heading4"/>
      </w:pPr>
      <w:r w:rsidRPr="006E1127">
        <w:t>Other customer experience issues</w:t>
      </w:r>
      <w:r w:rsidR="000A601F" w:rsidRPr="006E1127">
        <w:t xml:space="preserve"> </w:t>
      </w:r>
    </w:p>
    <w:p w14:paraId="69DF20A4" w14:textId="4DBEEE91" w:rsidR="00B16A28" w:rsidRPr="006E1127" w:rsidRDefault="005D2891" w:rsidP="00CB0971">
      <w:pPr>
        <w:pStyle w:val="NormalIndent"/>
        <w:ind w:left="0"/>
        <w:rPr>
          <w:sz w:val="24"/>
          <w:szCs w:val="24"/>
        </w:rPr>
      </w:pPr>
      <w:r w:rsidRPr="006E1127">
        <w:rPr>
          <w:sz w:val="24"/>
          <w:szCs w:val="24"/>
        </w:rPr>
        <w:t>Customers are seeking easier access to information on S</w:t>
      </w:r>
      <w:r w:rsidR="009E2BE6" w:rsidRPr="006E1127">
        <w:rPr>
          <w:sz w:val="24"/>
          <w:szCs w:val="24"/>
        </w:rPr>
        <w:t xml:space="preserve">outh </w:t>
      </w:r>
      <w:r w:rsidRPr="006E1127">
        <w:rPr>
          <w:sz w:val="24"/>
          <w:szCs w:val="24"/>
        </w:rPr>
        <w:t>E</w:t>
      </w:r>
      <w:r w:rsidR="009E2BE6" w:rsidRPr="006E1127">
        <w:rPr>
          <w:sz w:val="24"/>
          <w:szCs w:val="24"/>
        </w:rPr>
        <w:t xml:space="preserve">ast </w:t>
      </w:r>
      <w:r w:rsidRPr="006E1127">
        <w:rPr>
          <w:sz w:val="24"/>
          <w:szCs w:val="24"/>
        </w:rPr>
        <w:t>W</w:t>
      </w:r>
      <w:r w:rsidR="009E2BE6" w:rsidRPr="006E1127">
        <w:rPr>
          <w:sz w:val="24"/>
          <w:szCs w:val="24"/>
        </w:rPr>
        <w:t>ater</w:t>
      </w:r>
      <w:r w:rsidR="00612583">
        <w:rPr>
          <w:sz w:val="24"/>
          <w:szCs w:val="24"/>
        </w:rPr>
        <w:t>’</w:t>
      </w:r>
      <w:r w:rsidR="009E2BE6" w:rsidRPr="006E1127">
        <w:rPr>
          <w:sz w:val="24"/>
          <w:szCs w:val="24"/>
        </w:rPr>
        <w:t>s</w:t>
      </w:r>
      <w:r w:rsidRPr="006E1127">
        <w:rPr>
          <w:sz w:val="24"/>
          <w:szCs w:val="24"/>
        </w:rPr>
        <w:t xml:space="preserve"> website, including information addressing common questions such as bills and charges</w:t>
      </w:r>
      <w:r w:rsidR="00F21752" w:rsidRPr="006E1127">
        <w:rPr>
          <w:sz w:val="24"/>
          <w:szCs w:val="24"/>
        </w:rPr>
        <w:t xml:space="preserve"> and </w:t>
      </w:r>
      <w:r w:rsidRPr="006E1127">
        <w:rPr>
          <w:sz w:val="24"/>
          <w:szCs w:val="24"/>
        </w:rPr>
        <w:t>information needed when moving</w:t>
      </w:r>
      <w:r w:rsidR="00CF09AB" w:rsidRPr="006E1127">
        <w:rPr>
          <w:sz w:val="24"/>
          <w:szCs w:val="24"/>
        </w:rPr>
        <w:t xml:space="preserve">. </w:t>
      </w:r>
      <w:r w:rsidRPr="006E1127">
        <w:rPr>
          <w:sz w:val="24"/>
          <w:szCs w:val="24"/>
        </w:rPr>
        <w:t>Customers are</w:t>
      </w:r>
      <w:r w:rsidR="00F3100F">
        <w:rPr>
          <w:sz w:val="24"/>
          <w:szCs w:val="24"/>
        </w:rPr>
        <w:t xml:space="preserve"> also</w:t>
      </w:r>
      <w:r w:rsidRPr="006E1127">
        <w:rPr>
          <w:sz w:val="24"/>
          <w:szCs w:val="24"/>
        </w:rPr>
        <w:t xml:space="preserve"> seeking improved functionality to allow them to self-serve by completing key tasks themselves online. This includes self-reporting of faults, completing a variety of application forms</w:t>
      </w:r>
      <w:r w:rsidR="00BF4750">
        <w:rPr>
          <w:sz w:val="24"/>
          <w:szCs w:val="24"/>
        </w:rPr>
        <w:t xml:space="preserve"> and</w:t>
      </w:r>
      <w:r w:rsidRPr="006E1127">
        <w:rPr>
          <w:sz w:val="24"/>
          <w:szCs w:val="24"/>
        </w:rPr>
        <w:t xml:space="preserve"> paying bills and charges</w:t>
      </w:r>
      <w:r w:rsidR="00BF4750">
        <w:rPr>
          <w:sz w:val="24"/>
          <w:szCs w:val="24"/>
        </w:rPr>
        <w:t xml:space="preserve">. </w:t>
      </w:r>
    </w:p>
    <w:p w14:paraId="3033A68C" w14:textId="17A9BCE5" w:rsidR="00E01F95" w:rsidRDefault="006D2A5C" w:rsidP="009C43A0">
      <w:pPr>
        <w:pStyle w:val="Heading4"/>
      </w:pPr>
      <w:r w:rsidRPr="006E1127">
        <w:t>Affordability</w:t>
      </w:r>
    </w:p>
    <w:p w14:paraId="5919FEB5" w14:textId="77A996EA" w:rsidR="006D2A5C" w:rsidRPr="006E1127" w:rsidRDefault="006D2A5C" w:rsidP="00CB0971">
      <w:pPr>
        <w:pStyle w:val="NormalIndent"/>
        <w:ind w:left="0"/>
        <w:rPr>
          <w:sz w:val="24"/>
          <w:szCs w:val="24"/>
        </w:rPr>
      </w:pPr>
      <w:r w:rsidRPr="006E1127">
        <w:rPr>
          <w:sz w:val="24"/>
          <w:szCs w:val="24"/>
        </w:rPr>
        <w:t xml:space="preserve">Qualitative surveys and focus groups </w:t>
      </w:r>
      <w:r w:rsidR="00574C12" w:rsidRPr="006E1127">
        <w:rPr>
          <w:sz w:val="24"/>
          <w:szCs w:val="24"/>
        </w:rPr>
        <w:t xml:space="preserve">considered </w:t>
      </w:r>
      <w:r w:rsidR="00AA2FDD" w:rsidRPr="006E1127">
        <w:rPr>
          <w:sz w:val="24"/>
          <w:szCs w:val="24"/>
        </w:rPr>
        <w:t xml:space="preserve">that </w:t>
      </w:r>
      <w:r w:rsidRPr="006E1127">
        <w:rPr>
          <w:sz w:val="24"/>
          <w:szCs w:val="24"/>
        </w:rPr>
        <w:t>affordability</w:t>
      </w:r>
      <w:r w:rsidR="00AA2FDD" w:rsidRPr="006E1127">
        <w:rPr>
          <w:sz w:val="24"/>
          <w:szCs w:val="24"/>
        </w:rPr>
        <w:t xml:space="preserve"> should be considered</w:t>
      </w:r>
      <w:r w:rsidRPr="006E1127">
        <w:rPr>
          <w:sz w:val="24"/>
          <w:szCs w:val="24"/>
        </w:rPr>
        <w:t xml:space="preserve"> </w:t>
      </w:r>
      <w:r w:rsidR="00BF0036" w:rsidRPr="006E1127">
        <w:rPr>
          <w:sz w:val="24"/>
          <w:szCs w:val="24"/>
        </w:rPr>
        <w:t xml:space="preserve">and </w:t>
      </w:r>
      <w:r w:rsidR="00D71915" w:rsidRPr="006E1127">
        <w:rPr>
          <w:sz w:val="24"/>
          <w:szCs w:val="24"/>
        </w:rPr>
        <w:t xml:space="preserve">suggested </w:t>
      </w:r>
      <w:r w:rsidR="00BF0036" w:rsidRPr="006E1127">
        <w:rPr>
          <w:sz w:val="24"/>
          <w:szCs w:val="24"/>
        </w:rPr>
        <w:t>s</w:t>
      </w:r>
      <w:r w:rsidRPr="006E1127">
        <w:rPr>
          <w:sz w:val="24"/>
          <w:szCs w:val="24"/>
        </w:rPr>
        <w:t xml:space="preserve">upporting the charities that directly assist vulnerable customers </w:t>
      </w:r>
      <w:r w:rsidR="00D71915" w:rsidRPr="006E1127">
        <w:rPr>
          <w:sz w:val="24"/>
          <w:szCs w:val="24"/>
        </w:rPr>
        <w:t>as a</w:t>
      </w:r>
      <w:r w:rsidRPr="006E1127">
        <w:rPr>
          <w:sz w:val="24"/>
          <w:szCs w:val="24"/>
        </w:rPr>
        <w:t xml:space="preserve"> means of aiding customers most in need. </w:t>
      </w:r>
      <w:r w:rsidR="00697947" w:rsidRPr="006E1127">
        <w:rPr>
          <w:sz w:val="24"/>
          <w:szCs w:val="24"/>
        </w:rPr>
        <w:t xml:space="preserve">First </w:t>
      </w:r>
      <w:r w:rsidR="00AF32D7" w:rsidRPr="006E1127">
        <w:rPr>
          <w:sz w:val="24"/>
          <w:szCs w:val="24"/>
        </w:rPr>
        <w:t>N</w:t>
      </w:r>
      <w:r w:rsidR="00697947" w:rsidRPr="006E1127">
        <w:rPr>
          <w:sz w:val="24"/>
          <w:szCs w:val="24"/>
        </w:rPr>
        <w:t xml:space="preserve">ations customers sought support and compassion for vulnerable customers, including to help them understand payment </w:t>
      </w:r>
      <w:r w:rsidR="00292A67">
        <w:rPr>
          <w:sz w:val="24"/>
          <w:szCs w:val="24"/>
        </w:rPr>
        <w:br/>
      </w:r>
      <w:r w:rsidR="00697947" w:rsidRPr="006E1127">
        <w:rPr>
          <w:sz w:val="24"/>
          <w:szCs w:val="24"/>
        </w:rPr>
        <w:t>options and how to communicate with South East Water on their affordability issues.</w:t>
      </w:r>
      <w:r w:rsidR="00574C12" w:rsidRPr="006E1127">
        <w:rPr>
          <w:sz w:val="24"/>
          <w:szCs w:val="24"/>
        </w:rPr>
        <w:t xml:space="preserve"> </w:t>
      </w:r>
      <w:r w:rsidR="00292A67">
        <w:rPr>
          <w:sz w:val="24"/>
          <w:szCs w:val="24"/>
        </w:rPr>
        <w:br/>
      </w:r>
      <w:r w:rsidRPr="006E1127">
        <w:rPr>
          <w:rFonts w:ascii="Arial" w:hAnsi="Arial"/>
          <w:sz w:val="24"/>
          <w:szCs w:val="24"/>
        </w:rPr>
        <w:t>WTP analysis supported an increase in expenditure to assist customers in genuine financial need.</w:t>
      </w:r>
    </w:p>
    <w:p w14:paraId="06EA74A1" w14:textId="5EAB846C" w:rsidR="00931C78" w:rsidRDefault="006D2A5C" w:rsidP="00505190">
      <w:pPr>
        <w:pStyle w:val="Heading4"/>
      </w:pPr>
      <w:r w:rsidRPr="006E1127">
        <w:lastRenderedPageBreak/>
        <w:t>Digital meter</w:t>
      </w:r>
      <w:r w:rsidR="00CB3255">
        <w:t>s</w:t>
      </w:r>
    </w:p>
    <w:p w14:paraId="509CA443" w14:textId="1D0ECB5E" w:rsidR="00823B43" w:rsidRPr="006E1127" w:rsidRDefault="00823B43" w:rsidP="00CB0971">
      <w:pPr>
        <w:pStyle w:val="NormalIndent"/>
        <w:ind w:left="0"/>
        <w:rPr>
          <w:sz w:val="24"/>
          <w:szCs w:val="24"/>
        </w:rPr>
      </w:pPr>
      <w:r w:rsidRPr="006E1127">
        <w:rPr>
          <w:rFonts w:ascii="Arial" w:hAnsi="Arial"/>
          <w:sz w:val="24"/>
          <w:szCs w:val="24"/>
        </w:rPr>
        <w:t>WTP analysis survey participants supported an increase in expenditure to roll out digital meters.</w:t>
      </w:r>
    </w:p>
    <w:p w14:paraId="4C93253D" w14:textId="77777777" w:rsidR="00931C78" w:rsidRDefault="006D2A5C" w:rsidP="009C43A0">
      <w:pPr>
        <w:pStyle w:val="Heading4"/>
      </w:pPr>
      <w:r w:rsidRPr="006E1127">
        <w:t>Innovation</w:t>
      </w:r>
    </w:p>
    <w:p w14:paraId="56CCF49B" w14:textId="1ED637F0" w:rsidR="006D2A5C" w:rsidRPr="006E1127" w:rsidRDefault="006D2A5C" w:rsidP="00CB0971">
      <w:pPr>
        <w:pStyle w:val="NormalIndent"/>
        <w:ind w:left="0"/>
        <w:rPr>
          <w:sz w:val="24"/>
          <w:szCs w:val="24"/>
        </w:rPr>
      </w:pPr>
      <w:r w:rsidRPr="006E1127">
        <w:rPr>
          <w:rFonts w:ascii="Arial" w:hAnsi="Arial"/>
          <w:sz w:val="24"/>
          <w:szCs w:val="24"/>
        </w:rPr>
        <w:t>Qualitative surveys and focus groups showed support for South East Water taking a lead on innovation.</w:t>
      </w:r>
    </w:p>
    <w:p w14:paraId="28299A81" w14:textId="77777777" w:rsidR="00E01F95" w:rsidRDefault="006D2A5C" w:rsidP="009C43A0">
      <w:pPr>
        <w:pStyle w:val="Heading4"/>
      </w:pPr>
      <w:r w:rsidRPr="006E1127">
        <w:t>Education and awareness</w:t>
      </w:r>
    </w:p>
    <w:p w14:paraId="1E1D31BA" w14:textId="2424DEBB" w:rsidR="006D2A5C" w:rsidRPr="006E1127" w:rsidRDefault="006D2A5C" w:rsidP="00CB0971">
      <w:pPr>
        <w:pStyle w:val="NormalIndent"/>
        <w:ind w:left="0"/>
        <w:rPr>
          <w:sz w:val="24"/>
          <w:szCs w:val="24"/>
        </w:rPr>
      </w:pPr>
      <w:r w:rsidRPr="006E1127">
        <w:rPr>
          <w:sz w:val="24"/>
          <w:szCs w:val="24"/>
        </w:rPr>
        <w:t>Qualitative surveys and focus groups supported education and communication on water conservation.</w:t>
      </w:r>
      <w:r w:rsidR="00B24073" w:rsidRPr="006E1127">
        <w:rPr>
          <w:sz w:val="24"/>
          <w:szCs w:val="24"/>
        </w:rPr>
        <w:t xml:space="preserve"> </w:t>
      </w:r>
      <w:r w:rsidRPr="006E1127">
        <w:rPr>
          <w:sz w:val="24"/>
          <w:szCs w:val="24"/>
        </w:rPr>
        <w:t>This is also an issue that is important to First Nations customers.</w:t>
      </w:r>
      <w:r w:rsidR="00B24073" w:rsidRPr="006E1127">
        <w:rPr>
          <w:sz w:val="24"/>
          <w:szCs w:val="24"/>
        </w:rPr>
        <w:t xml:space="preserve"> </w:t>
      </w:r>
      <w:r w:rsidR="00697947" w:rsidRPr="006E1127">
        <w:rPr>
          <w:rFonts w:ascii="Arial" w:hAnsi="Arial"/>
          <w:sz w:val="24"/>
          <w:szCs w:val="24"/>
        </w:rPr>
        <w:t xml:space="preserve">WTP analysis </w:t>
      </w:r>
      <w:r w:rsidR="00B24073" w:rsidRPr="006E1127">
        <w:rPr>
          <w:rFonts w:ascii="Arial" w:hAnsi="Arial"/>
          <w:sz w:val="24"/>
          <w:szCs w:val="24"/>
        </w:rPr>
        <w:t xml:space="preserve">showed </w:t>
      </w:r>
      <w:r w:rsidR="727F1391" w:rsidRPr="006E1127">
        <w:rPr>
          <w:rFonts w:ascii="Arial" w:hAnsi="Arial"/>
          <w:sz w:val="24"/>
          <w:szCs w:val="24"/>
        </w:rPr>
        <w:t xml:space="preserve">support </w:t>
      </w:r>
      <w:r w:rsidR="00B24073" w:rsidRPr="006E1127">
        <w:rPr>
          <w:rFonts w:ascii="Arial" w:hAnsi="Arial"/>
          <w:sz w:val="24"/>
          <w:szCs w:val="24"/>
        </w:rPr>
        <w:t xml:space="preserve">for </w:t>
      </w:r>
      <w:r w:rsidR="727F1391" w:rsidRPr="006E1127">
        <w:rPr>
          <w:rFonts w:ascii="Arial" w:hAnsi="Arial"/>
          <w:sz w:val="24"/>
          <w:szCs w:val="24"/>
        </w:rPr>
        <w:t>an increase in expenditure to fund water</w:t>
      </w:r>
      <w:r w:rsidR="00945E33" w:rsidRPr="006E1127">
        <w:rPr>
          <w:rFonts w:ascii="Arial" w:hAnsi="Arial"/>
          <w:sz w:val="24"/>
          <w:szCs w:val="24"/>
        </w:rPr>
        <w:t>-</w:t>
      </w:r>
      <w:r w:rsidR="727F1391" w:rsidRPr="006E1127">
        <w:rPr>
          <w:rFonts w:ascii="Arial" w:hAnsi="Arial"/>
          <w:sz w:val="24"/>
          <w:szCs w:val="24"/>
        </w:rPr>
        <w:t>related education.</w:t>
      </w:r>
    </w:p>
    <w:p w14:paraId="4467304B" w14:textId="666C9600" w:rsidR="00021503" w:rsidRDefault="006D2A5C" w:rsidP="009C43A0">
      <w:pPr>
        <w:pStyle w:val="Heading4"/>
      </w:pPr>
      <w:r w:rsidRPr="006E1127">
        <w:t xml:space="preserve">Integrated </w:t>
      </w:r>
      <w:r w:rsidR="00A43CAA">
        <w:t>w</w:t>
      </w:r>
      <w:r w:rsidRPr="006E1127">
        <w:t xml:space="preserve">ater </w:t>
      </w:r>
      <w:r w:rsidR="00A43CAA">
        <w:t>m</w:t>
      </w:r>
      <w:r w:rsidRPr="006E1127">
        <w:t>anagement</w:t>
      </w:r>
    </w:p>
    <w:p w14:paraId="11ED9773" w14:textId="02AB603D" w:rsidR="006D2A5C" w:rsidRPr="006E1127" w:rsidRDefault="00696F35" w:rsidP="00CB0971">
      <w:pPr>
        <w:pStyle w:val="NormalIndent"/>
        <w:ind w:left="0"/>
        <w:rPr>
          <w:sz w:val="24"/>
          <w:szCs w:val="24"/>
        </w:rPr>
      </w:pPr>
      <w:r w:rsidRPr="006E1127">
        <w:rPr>
          <w:sz w:val="24"/>
          <w:szCs w:val="24"/>
        </w:rPr>
        <w:t>Q</w:t>
      </w:r>
      <w:r w:rsidR="006D2A5C" w:rsidRPr="006E1127">
        <w:rPr>
          <w:sz w:val="24"/>
          <w:szCs w:val="24"/>
        </w:rPr>
        <w:t xml:space="preserve">ualitative surveys and focus groups </w:t>
      </w:r>
      <w:r w:rsidRPr="006E1127">
        <w:rPr>
          <w:sz w:val="24"/>
          <w:szCs w:val="24"/>
        </w:rPr>
        <w:t xml:space="preserve">expressed </w:t>
      </w:r>
      <w:r w:rsidR="006D2A5C" w:rsidRPr="006E1127">
        <w:rPr>
          <w:sz w:val="24"/>
          <w:szCs w:val="24"/>
        </w:rPr>
        <w:t xml:space="preserve">ongoing community concern about securing future water supply and improving waterway health </w:t>
      </w:r>
      <w:r w:rsidR="00697947" w:rsidRPr="006E1127">
        <w:rPr>
          <w:sz w:val="24"/>
          <w:szCs w:val="24"/>
        </w:rPr>
        <w:t>via</w:t>
      </w:r>
      <w:r w:rsidR="006D2A5C" w:rsidRPr="006E1127">
        <w:rPr>
          <w:sz w:val="24"/>
          <w:szCs w:val="24"/>
        </w:rPr>
        <w:t xml:space="preserve"> Integrated Water Management investment.</w:t>
      </w:r>
      <w:r w:rsidRPr="006E1127">
        <w:rPr>
          <w:sz w:val="24"/>
          <w:szCs w:val="24"/>
        </w:rPr>
        <w:t xml:space="preserve"> </w:t>
      </w:r>
      <w:r w:rsidR="006D2A5C" w:rsidRPr="006E1127">
        <w:rPr>
          <w:sz w:val="24"/>
          <w:szCs w:val="24"/>
        </w:rPr>
        <w:t xml:space="preserve">Best worst </w:t>
      </w:r>
      <w:r w:rsidR="007E2BF3">
        <w:rPr>
          <w:sz w:val="24"/>
          <w:szCs w:val="24"/>
        </w:rPr>
        <w:t xml:space="preserve">scaling </w:t>
      </w:r>
      <w:r w:rsidR="006D2A5C" w:rsidRPr="006E1127">
        <w:rPr>
          <w:sz w:val="24"/>
          <w:szCs w:val="24"/>
        </w:rPr>
        <w:t xml:space="preserve">analysis showed </w:t>
      </w:r>
      <w:r w:rsidR="00604F54">
        <w:rPr>
          <w:sz w:val="24"/>
          <w:szCs w:val="24"/>
        </w:rPr>
        <w:t xml:space="preserve">the </w:t>
      </w:r>
      <w:r w:rsidR="006D2A5C" w:rsidRPr="006E1127">
        <w:rPr>
          <w:sz w:val="24"/>
          <w:szCs w:val="24"/>
        </w:rPr>
        <w:t xml:space="preserve">strongest support for recycled/stormwater projects for agricultural and business users to create further jobs </w:t>
      </w:r>
      <w:r w:rsidR="00B40C90">
        <w:rPr>
          <w:sz w:val="24"/>
          <w:szCs w:val="24"/>
        </w:rPr>
        <w:br/>
      </w:r>
      <w:r w:rsidR="006D2A5C" w:rsidRPr="006E1127">
        <w:rPr>
          <w:sz w:val="24"/>
          <w:szCs w:val="24"/>
        </w:rPr>
        <w:t>and employment.</w:t>
      </w:r>
      <w:r w:rsidR="00C76986" w:rsidRPr="006E1127">
        <w:rPr>
          <w:sz w:val="24"/>
          <w:szCs w:val="24"/>
        </w:rPr>
        <w:t xml:space="preserve"> </w:t>
      </w:r>
      <w:r w:rsidR="00697947" w:rsidRPr="006E1127">
        <w:rPr>
          <w:rFonts w:ascii="Arial" w:hAnsi="Arial"/>
          <w:sz w:val="24"/>
          <w:szCs w:val="24"/>
        </w:rPr>
        <w:t xml:space="preserve">WTP analysis </w:t>
      </w:r>
      <w:r w:rsidR="00C76986" w:rsidRPr="006E1127">
        <w:rPr>
          <w:rFonts w:ascii="Arial" w:hAnsi="Arial"/>
          <w:bCs/>
          <w:sz w:val="24"/>
          <w:szCs w:val="24"/>
        </w:rPr>
        <w:t>showed</w:t>
      </w:r>
      <w:r w:rsidR="727F1391" w:rsidRPr="006E1127">
        <w:rPr>
          <w:rFonts w:ascii="Arial" w:hAnsi="Arial"/>
          <w:sz w:val="24"/>
          <w:szCs w:val="24"/>
        </w:rPr>
        <w:t xml:space="preserve"> </w:t>
      </w:r>
      <w:r w:rsidR="00C76986" w:rsidRPr="006E1127">
        <w:rPr>
          <w:rFonts w:ascii="Arial" w:hAnsi="Arial"/>
          <w:bCs/>
          <w:sz w:val="24"/>
          <w:szCs w:val="24"/>
        </w:rPr>
        <w:t xml:space="preserve">support for </w:t>
      </w:r>
      <w:r w:rsidR="727F1391" w:rsidRPr="006E1127">
        <w:rPr>
          <w:rFonts w:ascii="Arial" w:hAnsi="Arial"/>
          <w:sz w:val="24"/>
          <w:szCs w:val="24"/>
        </w:rPr>
        <w:t>an increase in alternative water investment.</w:t>
      </w:r>
    </w:p>
    <w:p w14:paraId="2D097B12" w14:textId="77777777" w:rsidR="00021503" w:rsidRDefault="006D2A5C" w:rsidP="009C43A0">
      <w:pPr>
        <w:pStyle w:val="Heading4"/>
      </w:pPr>
      <w:r w:rsidRPr="006E1127">
        <w:t>Sustainability and climate change</w:t>
      </w:r>
    </w:p>
    <w:p w14:paraId="60F1FA30" w14:textId="0ABE8F27" w:rsidR="00697947" w:rsidRPr="006E1127" w:rsidRDefault="006D2A5C" w:rsidP="00CB0971">
      <w:pPr>
        <w:pStyle w:val="NormalIndent"/>
        <w:ind w:left="0"/>
        <w:rPr>
          <w:sz w:val="24"/>
          <w:szCs w:val="24"/>
        </w:rPr>
      </w:pPr>
      <w:r w:rsidRPr="006E1127">
        <w:rPr>
          <w:sz w:val="24"/>
          <w:szCs w:val="24"/>
        </w:rPr>
        <w:t xml:space="preserve">Qualitative surveys and focus groups indicated that customers prioritise local environmental benefits. This includes providing healthy waterways and </w:t>
      </w:r>
      <w:r w:rsidR="00697947" w:rsidRPr="006E1127">
        <w:rPr>
          <w:sz w:val="24"/>
          <w:szCs w:val="24"/>
        </w:rPr>
        <w:t>places</w:t>
      </w:r>
      <w:r w:rsidRPr="006E1127">
        <w:rPr>
          <w:sz w:val="24"/>
          <w:szCs w:val="24"/>
        </w:rPr>
        <w:t xml:space="preserve"> to walk/ride/relax in nature.</w:t>
      </w:r>
      <w:r w:rsidR="00134EF7" w:rsidRPr="006E1127">
        <w:rPr>
          <w:sz w:val="24"/>
          <w:szCs w:val="24"/>
        </w:rPr>
        <w:t xml:space="preserve"> </w:t>
      </w:r>
      <w:r w:rsidR="00697947" w:rsidRPr="006E1127">
        <w:rPr>
          <w:sz w:val="24"/>
          <w:szCs w:val="24"/>
        </w:rPr>
        <w:t>First Nations customers also supported riverbank and environment rehabilitation.</w:t>
      </w:r>
      <w:r w:rsidR="00134EF7" w:rsidRPr="006E1127">
        <w:rPr>
          <w:sz w:val="24"/>
          <w:szCs w:val="24"/>
        </w:rPr>
        <w:t xml:space="preserve"> </w:t>
      </w:r>
      <w:r w:rsidR="00697947" w:rsidRPr="006E1127">
        <w:rPr>
          <w:rFonts w:ascii="Arial" w:hAnsi="Arial"/>
          <w:sz w:val="24"/>
          <w:szCs w:val="24"/>
        </w:rPr>
        <w:t xml:space="preserve">WTP analysis </w:t>
      </w:r>
      <w:r w:rsidR="00134EF7" w:rsidRPr="006E1127">
        <w:rPr>
          <w:rFonts w:ascii="Arial" w:hAnsi="Arial"/>
          <w:sz w:val="24"/>
          <w:szCs w:val="24"/>
        </w:rPr>
        <w:t xml:space="preserve">showed </w:t>
      </w:r>
      <w:r w:rsidR="00697947" w:rsidRPr="006E1127">
        <w:rPr>
          <w:rFonts w:ascii="Arial" w:hAnsi="Arial"/>
          <w:sz w:val="24"/>
          <w:szCs w:val="24"/>
        </w:rPr>
        <w:t xml:space="preserve">support </w:t>
      </w:r>
      <w:r w:rsidR="00134EF7" w:rsidRPr="006E1127">
        <w:rPr>
          <w:rFonts w:ascii="Arial" w:hAnsi="Arial"/>
          <w:sz w:val="24"/>
          <w:szCs w:val="24"/>
        </w:rPr>
        <w:t xml:space="preserve">for </w:t>
      </w:r>
      <w:r w:rsidR="00697947" w:rsidRPr="006E1127">
        <w:rPr>
          <w:rFonts w:ascii="Arial" w:hAnsi="Arial"/>
          <w:sz w:val="24"/>
          <w:szCs w:val="24"/>
        </w:rPr>
        <w:t>an increase in expenditure to fund emissions reduction.</w:t>
      </w:r>
    </w:p>
    <w:p w14:paraId="5CF70971" w14:textId="29FB529D" w:rsidR="006D2A5C" w:rsidRDefault="006D2A5C" w:rsidP="00D12CC3">
      <w:pPr>
        <w:pStyle w:val="NbrHeading3"/>
      </w:pPr>
      <w:r>
        <w:t xml:space="preserve">Deliberative process with </w:t>
      </w:r>
      <w:r w:rsidR="003671B0">
        <w:t>c</w:t>
      </w:r>
      <w:r>
        <w:t xml:space="preserve">ommunity </w:t>
      </w:r>
      <w:r w:rsidR="003671B0">
        <w:t>p</w:t>
      </w:r>
      <w:r>
        <w:t>anel</w:t>
      </w:r>
    </w:p>
    <w:p w14:paraId="0C32099F" w14:textId="50D9BF80" w:rsidR="006D2A5C" w:rsidRDefault="006D2A5C" w:rsidP="006D2A5C">
      <w:pPr>
        <w:rPr>
          <w:rFonts w:eastAsia="Arial"/>
        </w:rPr>
      </w:pPr>
      <w:r>
        <w:t xml:space="preserve">A </w:t>
      </w:r>
      <w:r w:rsidR="00CB729C">
        <w:t>c</w:t>
      </w:r>
      <w:r w:rsidR="003F271C">
        <w:t xml:space="preserve">ommunity </w:t>
      </w:r>
      <w:r w:rsidR="00CB729C">
        <w:t>p</w:t>
      </w:r>
      <w:r w:rsidR="003F271C">
        <w:t>anel</w:t>
      </w:r>
      <w:r>
        <w:t xml:space="preserve"> was convened to work with South East Water in a deliberative process that would consider how to best reflect </w:t>
      </w:r>
      <w:r w:rsidR="004756BD">
        <w:t xml:space="preserve">customer </w:t>
      </w:r>
      <w:r w:rsidR="00272BE0">
        <w:t xml:space="preserve">and stakeholder </w:t>
      </w:r>
      <w:r w:rsidR="004756BD">
        <w:t>views</w:t>
      </w:r>
      <w:r>
        <w:t xml:space="preserve"> </w:t>
      </w:r>
      <w:r w:rsidR="003F271C">
        <w:t>within</w:t>
      </w:r>
      <w:r>
        <w:t xml:space="preserve"> the </w:t>
      </w:r>
      <w:r w:rsidRPr="00A13A17">
        <w:rPr>
          <w:rFonts w:eastAsia="Arial"/>
        </w:rPr>
        <w:t xml:space="preserve">2023–28 </w:t>
      </w:r>
      <w:r w:rsidR="00F04317">
        <w:rPr>
          <w:rFonts w:eastAsia="Arial"/>
        </w:rPr>
        <w:t>P</w:t>
      </w:r>
      <w:r w:rsidRPr="00A13A17">
        <w:rPr>
          <w:rFonts w:eastAsia="Arial"/>
        </w:rPr>
        <w:t xml:space="preserve">rice </w:t>
      </w:r>
      <w:r w:rsidR="00F04317">
        <w:rPr>
          <w:rFonts w:eastAsia="Arial"/>
        </w:rPr>
        <w:t>S</w:t>
      </w:r>
      <w:r w:rsidRPr="00A13A17">
        <w:rPr>
          <w:rFonts w:eastAsia="Arial"/>
        </w:rPr>
        <w:t>ubmission</w:t>
      </w:r>
      <w:r>
        <w:rPr>
          <w:rFonts w:eastAsia="Arial"/>
        </w:rPr>
        <w:t xml:space="preserve">. The </w:t>
      </w:r>
      <w:r w:rsidR="00ED5D3B">
        <w:rPr>
          <w:rFonts w:eastAsia="Arial"/>
        </w:rPr>
        <w:t>c</w:t>
      </w:r>
      <w:r w:rsidR="003F271C">
        <w:rPr>
          <w:rFonts w:eastAsia="Arial"/>
        </w:rPr>
        <w:t xml:space="preserve">ommunity </w:t>
      </w:r>
      <w:r w:rsidR="00ED5D3B">
        <w:rPr>
          <w:rFonts w:eastAsia="Arial"/>
        </w:rPr>
        <w:t>p</w:t>
      </w:r>
      <w:r w:rsidR="003F271C">
        <w:rPr>
          <w:rFonts w:eastAsia="Arial"/>
        </w:rPr>
        <w:t>anel</w:t>
      </w:r>
      <w:r>
        <w:rPr>
          <w:rFonts w:eastAsia="Arial"/>
        </w:rPr>
        <w:t xml:space="preserve"> </w:t>
      </w:r>
      <w:r w:rsidR="00F04317">
        <w:rPr>
          <w:rFonts w:eastAsia="Arial"/>
        </w:rPr>
        <w:t xml:space="preserve">was </w:t>
      </w:r>
      <w:r>
        <w:rPr>
          <w:rFonts w:eastAsia="Arial"/>
        </w:rPr>
        <w:t xml:space="preserve">specifically tasked with considering how </w:t>
      </w:r>
      <w:r w:rsidR="00411E95">
        <w:rPr>
          <w:rFonts w:eastAsia="Arial"/>
        </w:rPr>
        <w:t>we</w:t>
      </w:r>
      <w:r>
        <w:rPr>
          <w:rFonts w:eastAsia="Arial"/>
        </w:rPr>
        <w:t xml:space="preserve"> balance differing community needs and cost</w:t>
      </w:r>
      <w:r w:rsidR="00411E95">
        <w:rPr>
          <w:rFonts w:eastAsia="Arial"/>
        </w:rPr>
        <w:t xml:space="preserve"> our services effectively </w:t>
      </w:r>
      <w:r w:rsidR="003B191A">
        <w:rPr>
          <w:rFonts w:eastAsia="Arial"/>
        </w:rPr>
        <w:t>for current and future communities</w:t>
      </w:r>
      <w:r>
        <w:rPr>
          <w:rFonts w:eastAsia="Arial"/>
        </w:rPr>
        <w:t>.</w:t>
      </w:r>
    </w:p>
    <w:p w14:paraId="76A7DCDE" w14:textId="112EDA63" w:rsidR="006D2A5C" w:rsidRDefault="006D2A5C" w:rsidP="006D2A5C">
      <w:r>
        <w:rPr>
          <w:rFonts w:eastAsia="Arial"/>
        </w:rPr>
        <w:t xml:space="preserve">Six full days of facilitated education and deliberation sessions were undertaken over the period from October to December 2021. With the challenge of </w:t>
      </w:r>
      <w:r w:rsidR="00496EB7">
        <w:rPr>
          <w:rFonts w:eastAsia="Arial"/>
        </w:rPr>
        <w:t>coronavirus (</w:t>
      </w:r>
      <w:r>
        <w:rPr>
          <w:rFonts w:eastAsia="Arial"/>
        </w:rPr>
        <w:t>COVID</w:t>
      </w:r>
      <w:r w:rsidR="00496EB7">
        <w:rPr>
          <w:rFonts w:eastAsia="Arial"/>
        </w:rPr>
        <w:t>-19)</w:t>
      </w:r>
      <w:r>
        <w:rPr>
          <w:rFonts w:eastAsia="Arial"/>
        </w:rPr>
        <w:t xml:space="preserve"> impacts on the process, t</w:t>
      </w:r>
      <w:r w:rsidRPr="00392697">
        <w:rPr>
          <w:rFonts w:eastAsia="Arial"/>
        </w:rPr>
        <w:t>he</w:t>
      </w:r>
      <w:r>
        <w:rPr>
          <w:rFonts w:eastAsia="Arial"/>
        </w:rPr>
        <w:t xml:space="preserve"> </w:t>
      </w:r>
      <w:r w:rsidR="00DA7282">
        <w:rPr>
          <w:rFonts w:eastAsia="Arial"/>
        </w:rPr>
        <w:t>c</w:t>
      </w:r>
      <w:r w:rsidR="003F271C">
        <w:rPr>
          <w:rFonts w:eastAsia="Arial"/>
        </w:rPr>
        <w:t xml:space="preserve">ommunity </w:t>
      </w:r>
      <w:r w:rsidR="00DA7282">
        <w:rPr>
          <w:rFonts w:eastAsia="Arial"/>
        </w:rPr>
        <w:t>p</w:t>
      </w:r>
      <w:r w:rsidR="003F271C" w:rsidRPr="00392697">
        <w:rPr>
          <w:rFonts w:eastAsia="Arial"/>
        </w:rPr>
        <w:t>anel</w:t>
      </w:r>
      <w:r w:rsidRPr="00392697">
        <w:rPr>
          <w:rFonts w:eastAsia="Arial"/>
        </w:rPr>
        <w:t xml:space="preserve"> fluctuated between 29 and 35 participants</w:t>
      </w:r>
      <w:r>
        <w:rPr>
          <w:rFonts w:eastAsia="Arial"/>
        </w:rPr>
        <w:t xml:space="preserve">, with </w:t>
      </w:r>
      <w:r w:rsidRPr="00392697">
        <w:rPr>
          <w:rFonts w:eastAsia="Arial"/>
        </w:rPr>
        <w:t>33 participating on</w:t>
      </w:r>
      <w:r>
        <w:rPr>
          <w:rFonts w:eastAsia="Arial"/>
        </w:rPr>
        <w:t xml:space="preserve"> </w:t>
      </w:r>
      <w:r w:rsidRPr="00392697">
        <w:rPr>
          <w:rFonts w:eastAsia="Arial"/>
        </w:rPr>
        <w:t>the final day.</w:t>
      </w:r>
    </w:p>
    <w:p w14:paraId="20D13520" w14:textId="399860A9" w:rsidR="006D2A5C" w:rsidRDefault="006D2A5C" w:rsidP="006D2A5C">
      <w:pPr>
        <w:rPr>
          <w:rFonts w:eastAsia="Arial"/>
        </w:rPr>
      </w:pPr>
      <w:r>
        <w:rPr>
          <w:rFonts w:eastAsia="Arial"/>
        </w:rPr>
        <w:t xml:space="preserve">As described </w:t>
      </w:r>
      <w:r w:rsidR="00647D40">
        <w:rPr>
          <w:rFonts w:eastAsia="Arial"/>
        </w:rPr>
        <w:t xml:space="preserve">in </w:t>
      </w:r>
      <w:r w:rsidR="009A10B5">
        <w:rPr>
          <w:rFonts w:eastAsia="Arial"/>
        </w:rPr>
        <w:t>Table 9</w:t>
      </w:r>
      <w:r w:rsidR="00647D40">
        <w:rPr>
          <w:rFonts w:eastAsia="Arial"/>
        </w:rPr>
        <w:t>, th</w:t>
      </w:r>
      <w:r>
        <w:rPr>
          <w:rFonts w:eastAsia="Arial"/>
        </w:rPr>
        <w:t xml:space="preserve">e </w:t>
      </w:r>
      <w:r w:rsidR="00D66486">
        <w:rPr>
          <w:rFonts w:eastAsia="Arial"/>
        </w:rPr>
        <w:t>c</w:t>
      </w:r>
      <w:r w:rsidR="003F271C">
        <w:rPr>
          <w:rFonts w:eastAsia="Arial"/>
        </w:rPr>
        <w:t xml:space="preserve">ommunity </w:t>
      </w:r>
      <w:r w:rsidR="00D66486">
        <w:rPr>
          <w:rFonts w:eastAsia="Arial"/>
        </w:rPr>
        <w:t>p</w:t>
      </w:r>
      <w:r w:rsidR="003F271C">
        <w:rPr>
          <w:rFonts w:eastAsia="Arial"/>
        </w:rPr>
        <w:t>anel</w:t>
      </w:r>
      <w:r>
        <w:rPr>
          <w:rFonts w:eastAsia="Arial"/>
        </w:rPr>
        <w:t xml:space="preserve"> made </w:t>
      </w:r>
      <w:r w:rsidR="00D66486">
        <w:rPr>
          <w:rFonts w:eastAsia="Arial"/>
        </w:rPr>
        <w:t>8</w:t>
      </w:r>
      <w:r w:rsidRPr="00A13A17">
        <w:rPr>
          <w:rFonts w:eastAsia="Arial"/>
        </w:rPr>
        <w:t xml:space="preserve"> final recommendations</w:t>
      </w:r>
      <w:r>
        <w:rPr>
          <w:rFonts w:eastAsia="Arial"/>
        </w:rPr>
        <w:t>, which were subsequently presented to the South East Water</w:t>
      </w:r>
      <w:r w:rsidRPr="00A13A17">
        <w:rPr>
          <w:rFonts w:eastAsia="Arial"/>
        </w:rPr>
        <w:t xml:space="preserve"> Board</w:t>
      </w:r>
      <w:r>
        <w:rPr>
          <w:rFonts w:eastAsia="Arial"/>
        </w:rPr>
        <w:t>.</w:t>
      </w:r>
    </w:p>
    <w:p w14:paraId="11DD288F" w14:textId="3A5A7711" w:rsidR="00E45C77" w:rsidRDefault="00E45C77" w:rsidP="006D2A5C">
      <w:pPr>
        <w:rPr>
          <w:rFonts w:eastAsia="Arial"/>
        </w:rPr>
      </w:pPr>
    </w:p>
    <w:p w14:paraId="3B9698B3" w14:textId="15FC2E1C" w:rsidR="00E45C77" w:rsidRDefault="00E45C77" w:rsidP="006D2A5C">
      <w:pPr>
        <w:rPr>
          <w:rFonts w:eastAsia="Arial"/>
        </w:rPr>
      </w:pPr>
    </w:p>
    <w:p w14:paraId="0681AE62" w14:textId="7E30041B" w:rsidR="00E45C77" w:rsidRDefault="00E45C77" w:rsidP="006D2A5C">
      <w:pPr>
        <w:rPr>
          <w:rFonts w:eastAsia="Arial"/>
        </w:rPr>
      </w:pPr>
    </w:p>
    <w:p w14:paraId="131A7B71" w14:textId="79FE6CCC" w:rsidR="00FF2D7E" w:rsidRDefault="00FF2D7E" w:rsidP="006D2A5C">
      <w:pPr>
        <w:rPr>
          <w:rFonts w:eastAsia="Arial"/>
        </w:rPr>
      </w:pPr>
    </w:p>
    <w:p w14:paraId="30A0CAA4" w14:textId="238ACB39" w:rsidR="00FF2D7E" w:rsidRDefault="00FF2D7E" w:rsidP="006D2A5C">
      <w:pPr>
        <w:rPr>
          <w:rFonts w:eastAsia="Arial"/>
        </w:rPr>
      </w:pPr>
    </w:p>
    <w:p w14:paraId="1EA314CA" w14:textId="71613D01" w:rsidR="00FF2D7E" w:rsidRDefault="00FF2D7E" w:rsidP="006D2A5C">
      <w:pPr>
        <w:rPr>
          <w:rFonts w:eastAsia="Arial"/>
        </w:rPr>
      </w:pPr>
    </w:p>
    <w:p w14:paraId="14EFC580" w14:textId="778ED277" w:rsidR="006D2A5C" w:rsidRPr="00496EB7" w:rsidRDefault="006C0A3B" w:rsidP="00E73D07">
      <w:pPr>
        <w:pStyle w:val="Caption"/>
        <w:spacing w:after="240"/>
        <w:rPr>
          <w:rFonts w:eastAsia="Arial"/>
          <w:i/>
        </w:rPr>
      </w:pPr>
      <w:r w:rsidRPr="00CE6C4E">
        <w:rPr>
          <w:i/>
          <w:sz w:val="22"/>
          <w:szCs w:val="22"/>
        </w:rPr>
        <w:t xml:space="preserve">Table </w:t>
      </w:r>
      <w:r w:rsidR="006F6A12" w:rsidRPr="00CE6C4E">
        <w:rPr>
          <w:b w:val="0"/>
          <w:bCs/>
          <w:i/>
          <w:iCs w:val="0"/>
          <w:sz w:val="22"/>
          <w:szCs w:val="22"/>
        </w:rPr>
        <w:fldChar w:fldCharType="begin"/>
      </w:r>
      <w:r w:rsidR="006F6A12" w:rsidRPr="00CE6C4E">
        <w:rPr>
          <w:bCs/>
          <w:i/>
          <w:iCs w:val="0"/>
          <w:sz w:val="22"/>
          <w:szCs w:val="22"/>
        </w:rPr>
        <w:instrText>SEQ Table \* ARABIC</w:instrText>
      </w:r>
      <w:r w:rsidR="006F6A12" w:rsidRPr="00CE6C4E">
        <w:rPr>
          <w:b w:val="0"/>
          <w:bCs/>
          <w:i/>
          <w:iCs w:val="0"/>
          <w:sz w:val="22"/>
          <w:szCs w:val="22"/>
        </w:rPr>
        <w:fldChar w:fldCharType="separate"/>
      </w:r>
      <w:r w:rsidR="006F6A12">
        <w:rPr>
          <w:bCs/>
          <w:i/>
          <w:iCs w:val="0"/>
          <w:noProof/>
          <w:sz w:val="22"/>
          <w:szCs w:val="22"/>
        </w:rPr>
        <w:t>9</w:t>
      </w:r>
      <w:r w:rsidR="006F6A12" w:rsidRPr="00CE6C4E">
        <w:rPr>
          <w:b w:val="0"/>
          <w:bCs/>
          <w:i/>
          <w:iCs w:val="0"/>
          <w:sz w:val="22"/>
          <w:szCs w:val="22"/>
        </w:rPr>
        <w:fldChar w:fldCharType="end"/>
      </w:r>
      <w:r w:rsidRPr="006C0A3B">
        <w:rPr>
          <w:i/>
        </w:rPr>
        <w:t xml:space="preserve">: </w:t>
      </w:r>
      <w:r w:rsidR="006D2A5C" w:rsidRPr="00496EB7">
        <w:rPr>
          <w:i/>
        </w:rPr>
        <w:t xml:space="preserve">Community </w:t>
      </w:r>
      <w:r w:rsidR="00D66486" w:rsidRPr="00496EB7">
        <w:rPr>
          <w:i/>
        </w:rPr>
        <w:t>p</w:t>
      </w:r>
      <w:r w:rsidR="006D2A5C" w:rsidRPr="00496EB7">
        <w:rPr>
          <w:i/>
        </w:rPr>
        <w:t>anel recommendations</w:t>
      </w:r>
    </w:p>
    <w:tbl>
      <w:tblPr>
        <w:tblStyle w:val="GridTable4-Accent2"/>
        <w:tblW w:w="5000" w:type="pct"/>
        <w:tblInd w:w="-5" w:type="dxa"/>
        <w:tblBorders>
          <w:top w:val="single" w:sz="8" w:space="0" w:color="002279"/>
          <w:left w:val="single" w:sz="8" w:space="0" w:color="002279"/>
          <w:bottom w:val="single" w:sz="8" w:space="0" w:color="002279"/>
          <w:right w:val="single" w:sz="8" w:space="0" w:color="002279"/>
          <w:insideH w:val="single" w:sz="8" w:space="0" w:color="002279"/>
          <w:insideV w:val="single" w:sz="8" w:space="0" w:color="002279"/>
        </w:tblBorders>
        <w:tblLook w:val="0620" w:firstRow="1" w:lastRow="0" w:firstColumn="0" w:lastColumn="0" w:noHBand="1" w:noVBand="1"/>
      </w:tblPr>
      <w:tblGrid>
        <w:gridCol w:w="3795"/>
        <w:gridCol w:w="2158"/>
        <w:gridCol w:w="3630"/>
      </w:tblGrid>
      <w:tr w:rsidR="003B74C9" w:rsidRPr="00B052BE" w14:paraId="6E4D1ABD" w14:textId="77777777" w:rsidTr="00E73D07">
        <w:trPr>
          <w:cnfStyle w:val="100000000000" w:firstRow="1" w:lastRow="0" w:firstColumn="0" w:lastColumn="0" w:oddVBand="0" w:evenVBand="0" w:oddHBand="0" w:evenHBand="0" w:firstRowFirstColumn="0" w:firstRowLastColumn="0" w:lastRowFirstColumn="0" w:lastRowLastColumn="0"/>
          <w:trHeight w:val="608"/>
          <w:tblHeader/>
        </w:trPr>
        <w:tc>
          <w:tcPr>
            <w:tcW w:w="3797" w:type="dxa"/>
            <w:tcBorders>
              <w:top w:val="single" w:sz="4" w:space="0" w:color="002279"/>
              <w:left w:val="single" w:sz="4" w:space="0" w:color="002279"/>
              <w:bottom w:val="single" w:sz="4" w:space="0" w:color="002279"/>
              <w:right w:val="single" w:sz="4" w:space="0" w:color="FFFFFF" w:themeColor="background1"/>
            </w:tcBorders>
            <w:shd w:val="clear" w:color="auto" w:fill="002279"/>
          </w:tcPr>
          <w:p w14:paraId="52F27B8C" w14:textId="1E735ECE" w:rsidR="009949CA" w:rsidRPr="00292A67" w:rsidRDefault="009949CA" w:rsidP="004C71AE">
            <w:pPr>
              <w:pStyle w:val="ListAlpha"/>
              <w:rPr>
                <w:b/>
                <w:bCs/>
              </w:rPr>
            </w:pPr>
            <w:r w:rsidRPr="00292A67">
              <w:rPr>
                <w:b/>
                <w:bCs/>
              </w:rPr>
              <w:t>Recommendation</w:t>
            </w:r>
          </w:p>
        </w:tc>
        <w:tc>
          <w:tcPr>
            <w:tcW w:w="2159" w:type="dxa"/>
            <w:tcBorders>
              <w:top w:val="single" w:sz="4" w:space="0" w:color="002279"/>
              <w:left w:val="single" w:sz="4" w:space="0" w:color="FFFFFF" w:themeColor="background1"/>
              <w:bottom w:val="single" w:sz="4" w:space="0" w:color="002279"/>
              <w:right w:val="single" w:sz="4" w:space="0" w:color="FFFFFF" w:themeColor="background1"/>
            </w:tcBorders>
            <w:shd w:val="clear" w:color="auto" w:fill="002279"/>
          </w:tcPr>
          <w:p w14:paraId="3B7A7F81" w14:textId="5A6FFAFB" w:rsidR="009949CA" w:rsidRPr="00292A67" w:rsidRDefault="009949CA" w:rsidP="004C71AE">
            <w:pPr>
              <w:pStyle w:val="ListAlpha"/>
              <w:rPr>
                <w:b/>
                <w:bCs/>
              </w:rPr>
            </w:pPr>
            <w:r w:rsidRPr="00292A67">
              <w:rPr>
                <w:b/>
                <w:bCs/>
              </w:rPr>
              <w:t xml:space="preserve">Degree of </w:t>
            </w:r>
            <w:r w:rsidR="0029575C" w:rsidRPr="00292A67">
              <w:rPr>
                <w:b/>
                <w:bCs/>
              </w:rPr>
              <w:t>p</w:t>
            </w:r>
            <w:r w:rsidRPr="00292A67">
              <w:rPr>
                <w:b/>
                <w:bCs/>
              </w:rPr>
              <w:t>anel support</w:t>
            </w:r>
          </w:p>
        </w:tc>
        <w:tc>
          <w:tcPr>
            <w:tcW w:w="3632" w:type="dxa"/>
            <w:tcBorders>
              <w:top w:val="single" w:sz="4" w:space="0" w:color="002279"/>
              <w:left w:val="single" w:sz="4" w:space="0" w:color="FFFFFF" w:themeColor="background1"/>
              <w:bottom w:val="single" w:sz="4" w:space="0" w:color="002279"/>
              <w:right w:val="single" w:sz="4" w:space="0" w:color="002279"/>
            </w:tcBorders>
            <w:shd w:val="clear" w:color="auto" w:fill="002279"/>
          </w:tcPr>
          <w:p w14:paraId="1E66F18B" w14:textId="72C666FC" w:rsidR="009949CA" w:rsidRPr="00292A67" w:rsidRDefault="009949CA" w:rsidP="004C71AE">
            <w:pPr>
              <w:pStyle w:val="ListAlpha"/>
              <w:rPr>
                <w:b/>
                <w:bCs/>
              </w:rPr>
            </w:pPr>
            <w:r w:rsidRPr="00292A67">
              <w:rPr>
                <w:b/>
                <w:bCs/>
              </w:rPr>
              <w:t xml:space="preserve">What this means for </w:t>
            </w:r>
            <w:r w:rsidR="00467B91" w:rsidRPr="00292A67">
              <w:rPr>
                <w:b/>
                <w:bCs/>
              </w:rPr>
              <w:br/>
            </w:r>
            <w:r w:rsidRPr="00292A67">
              <w:rPr>
                <w:b/>
                <w:bCs/>
              </w:rPr>
              <w:t>South East Water</w:t>
            </w:r>
          </w:p>
        </w:tc>
      </w:tr>
      <w:tr w:rsidR="00A7554B" w:rsidRPr="00B052BE" w14:paraId="0AB72325" w14:textId="77777777" w:rsidTr="00292A67">
        <w:tc>
          <w:tcPr>
            <w:tcW w:w="3797" w:type="dxa"/>
            <w:tcBorders>
              <w:top w:val="single" w:sz="4" w:space="0" w:color="002279"/>
            </w:tcBorders>
            <w:shd w:val="clear" w:color="auto" w:fill="D4D6DF"/>
            <w:vAlign w:val="top"/>
          </w:tcPr>
          <w:p w14:paraId="3F005048" w14:textId="7C8518C9" w:rsidR="009949CA" w:rsidRPr="00360131" w:rsidRDefault="009949CA" w:rsidP="009949CA">
            <w:pPr>
              <w:pStyle w:val="TableText"/>
              <w:rPr>
                <w:b/>
                <w:bCs/>
                <w:sz w:val="20"/>
                <w:szCs w:val="20"/>
              </w:rPr>
            </w:pPr>
            <w:r w:rsidRPr="00360131">
              <w:rPr>
                <w:b/>
                <w:bCs/>
                <w:sz w:val="20"/>
                <w:szCs w:val="20"/>
              </w:rPr>
              <w:t xml:space="preserve">Water security (quality and quantity) achieved sustainably for now and </w:t>
            </w:r>
            <w:r w:rsidR="001852AF">
              <w:rPr>
                <w:b/>
                <w:bCs/>
                <w:sz w:val="20"/>
                <w:szCs w:val="20"/>
              </w:rPr>
              <w:br/>
            </w:r>
            <w:r w:rsidRPr="00360131">
              <w:rPr>
                <w:b/>
                <w:bCs/>
                <w:sz w:val="20"/>
                <w:szCs w:val="20"/>
              </w:rPr>
              <w:t xml:space="preserve">the future </w:t>
            </w:r>
          </w:p>
        </w:tc>
        <w:tc>
          <w:tcPr>
            <w:tcW w:w="2159" w:type="dxa"/>
            <w:tcBorders>
              <w:top w:val="single" w:sz="4" w:space="0" w:color="002279"/>
            </w:tcBorders>
            <w:shd w:val="clear" w:color="auto" w:fill="D4D6DF"/>
            <w:vAlign w:val="top"/>
          </w:tcPr>
          <w:p w14:paraId="0A14A384" w14:textId="16CA1C8C" w:rsidR="009949CA" w:rsidRPr="00116E55" w:rsidRDefault="009949CA" w:rsidP="009949CA">
            <w:pPr>
              <w:pStyle w:val="TableText"/>
              <w:rPr>
                <w:sz w:val="20"/>
                <w:szCs w:val="20"/>
              </w:rPr>
            </w:pPr>
            <w:r w:rsidRPr="00116E55">
              <w:rPr>
                <w:sz w:val="20"/>
                <w:szCs w:val="20"/>
              </w:rPr>
              <w:t xml:space="preserve">Super majority agreement </w:t>
            </w:r>
            <w:r w:rsidR="001529CB" w:rsidRPr="00116E55">
              <w:rPr>
                <w:sz w:val="20"/>
                <w:szCs w:val="20"/>
                <w:vertAlign w:val="superscript"/>
              </w:rPr>
              <w:t>1</w:t>
            </w:r>
          </w:p>
        </w:tc>
        <w:tc>
          <w:tcPr>
            <w:tcW w:w="3632" w:type="dxa"/>
            <w:tcBorders>
              <w:top w:val="single" w:sz="4" w:space="0" w:color="002279"/>
            </w:tcBorders>
            <w:shd w:val="clear" w:color="auto" w:fill="D4D6DF"/>
            <w:vAlign w:val="top"/>
          </w:tcPr>
          <w:p w14:paraId="54D1ABC2" w14:textId="200876C6" w:rsidR="009949CA" w:rsidRPr="00116E55" w:rsidRDefault="009949CA" w:rsidP="009949CA">
            <w:pPr>
              <w:pStyle w:val="TableText"/>
              <w:rPr>
                <w:sz w:val="20"/>
                <w:szCs w:val="20"/>
              </w:rPr>
            </w:pPr>
            <w:r w:rsidRPr="00116E55">
              <w:rPr>
                <w:sz w:val="20"/>
                <w:szCs w:val="20"/>
              </w:rPr>
              <w:t xml:space="preserve">Increase </w:t>
            </w:r>
            <w:r w:rsidR="00A603B3" w:rsidRPr="00116E55">
              <w:rPr>
                <w:sz w:val="20"/>
                <w:szCs w:val="20"/>
              </w:rPr>
              <w:t>South East Water</w:t>
            </w:r>
            <w:r w:rsidR="00612583" w:rsidRPr="00116E55">
              <w:rPr>
                <w:sz w:val="20"/>
                <w:szCs w:val="20"/>
              </w:rPr>
              <w:t>’</w:t>
            </w:r>
            <w:r w:rsidR="00A603B3" w:rsidRPr="00116E55">
              <w:rPr>
                <w:sz w:val="20"/>
                <w:szCs w:val="20"/>
              </w:rPr>
              <w:t>s</w:t>
            </w:r>
            <w:r w:rsidRPr="00116E55">
              <w:rPr>
                <w:sz w:val="20"/>
                <w:szCs w:val="20"/>
              </w:rPr>
              <w:t xml:space="preserve"> commitment to providing alternative water sources for current and future generations in a sustainable and cost</w:t>
            </w:r>
            <w:r w:rsidR="00E146AA" w:rsidRPr="00116E55">
              <w:rPr>
                <w:sz w:val="20"/>
                <w:szCs w:val="20"/>
              </w:rPr>
              <w:t>-</w:t>
            </w:r>
            <w:r w:rsidRPr="00116E55">
              <w:rPr>
                <w:sz w:val="20"/>
                <w:szCs w:val="20"/>
              </w:rPr>
              <w:t>effective manner.</w:t>
            </w:r>
          </w:p>
        </w:tc>
      </w:tr>
      <w:tr w:rsidR="00EF141C" w:rsidRPr="00B052BE" w14:paraId="6BBDAA2A" w14:textId="77777777" w:rsidTr="004C011C">
        <w:tc>
          <w:tcPr>
            <w:tcW w:w="3797" w:type="dxa"/>
            <w:vAlign w:val="top"/>
          </w:tcPr>
          <w:p w14:paraId="2ECC0AF9" w14:textId="2E0A951D" w:rsidR="009949CA" w:rsidRPr="00360131" w:rsidRDefault="009949CA" w:rsidP="009949CA">
            <w:pPr>
              <w:pStyle w:val="TableText"/>
              <w:rPr>
                <w:b/>
                <w:bCs/>
                <w:sz w:val="20"/>
                <w:szCs w:val="20"/>
              </w:rPr>
            </w:pPr>
            <w:r w:rsidRPr="00360131">
              <w:rPr>
                <w:b/>
                <w:bCs/>
                <w:sz w:val="20"/>
                <w:szCs w:val="20"/>
              </w:rPr>
              <w:t xml:space="preserve">Reliable service across the whole network </w:t>
            </w:r>
          </w:p>
        </w:tc>
        <w:tc>
          <w:tcPr>
            <w:tcW w:w="2159" w:type="dxa"/>
            <w:vAlign w:val="top"/>
          </w:tcPr>
          <w:p w14:paraId="64CDC5B3" w14:textId="1B7BA510" w:rsidR="009949CA" w:rsidRPr="00116E55" w:rsidRDefault="009949CA" w:rsidP="009949CA">
            <w:pPr>
              <w:pStyle w:val="TableText"/>
              <w:rPr>
                <w:sz w:val="20"/>
                <w:szCs w:val="20"/>
              </w:rPr>
            </w:pPr>
            <w:r w:rsidRPr="00116E55">
              <w:rPr>
                <w:sz w:val="20"/>
                <w:szCs w:val="20"/>
              </w:rPr>
              <w:t xml:space="preserve">Unanimous agreement </w:t>
            </w:r>
          </w:p>
        </w:tc>
        <w:tc>
          <w:tcPr>
            <w:tcW w:w="3632" w:type="dxa"/>
            <w:vAlign w:val="top"/>
          </w:tcPr>
          <w:p w14:paraId="45265CA9" w14:textId="47D1A2CE" w:rsidR="009949CA" w:rsidRPr="00116E55" w:rsidRDefault="009949CA" w:rsidP="009949CA">
            <w:pPr>
              <w:pStyle w:val="TableText"/>
              <w:rPr>
                <w:sz w:val="20"/>
                <w:szCs w:val="20"/>
              </w:rPr>
            </w:pPr>
            <w:r w:rsidRPr="00116E55">
              <w:rPr>
                <w:sz w:val="20"/>
                <w:szCs w:val="20"/>
              </w:rPr>
              <w:t xml:space="preserve">Increase spending on proactive planned maintenance and upgrades </w:t>
            </w:r>
            <w:r w:rsidR="0030631D">
              <w:rPr>
                <w:sz w:val="20"/>
                <w:szCs w:val="20"/>
              </w:rPr>
              <w:br/>
            </w:r>
            <w:r w:rsidRPr="00116E55">
              <w:rPr>
                <w:sz w:val="20"/>
                <w:szCs w:val="20"/>
              </w:rPr>
              <w:t>to systems and processes to reduce unplanned disruptions. Stricter targets on disruptions (fewer disruptions). Deliver in a cost</w:t>
            </w:r>
            <w:r w:rsidR="00E146AA" w:rsidRPr="00116E55">
              <w:rPr>
                <w:sz w:val="20"/>
                <w:szCs w:val="20"/>
              </w:rPr>
              <w:t>-</w:t>
            </w:r>
            <w:r w:rsidRPr="00116E55">
              <w:rPr>
                <w:sz w:val="20"/>
                <w:szCs w:val="20"/>
              </w:rPr>
              <w:t>effective manner.</w:t>
            </w:r>
          </w:p>
        </w:tc>
      </w:tr>
      <w:tr w:rsidR="00A7554B" w:rsidRPr="00B052BE" w14:paraId="1E43AE14" w14:textId="77777777" w:rsidTr="004C011C">
        <w:tc>
          <w:tcPr>
            <w:tcW w:w="3797" w:type="dxa"/>
            <w:shd w:val="clear" w:color="auto" w:fill="D4D6DF"/>
            <w:vAlign w:val="top"/>
          </w:tcPr>
          <w:p w14:paraId="6636073D" w14:textId="63679FC8" w:rsidR="009949CA" w:rsidRPr="00360131" w:rsidRDefault="009949CA" w:rsidP="009949CA">
            <w:pPr>
              <w:pStyle w:val="TableText"/>
              <w:rPr>
                <w:b/>
                <w:bCs/>
                <w:sz w:val="20"/>
                <w:szCs w:val="20"/>
              </w:rPr>
            </w:pPr>
            <w:r w:rsidRPr="00360131">
              <w:rPr>
                <w:b/>
                <w:bCs/>
                <w:sz w:val="20"/>
                <w:szCs w:val="20"/>
              </w:rPr>
              <w:t xml:space="preserve">Water security awareness </w:t>
            </w:r>
          </w:p>
        </w:tc>
        <w:tc>
          <w:tcPr>
            <w:tcW w:w="2159" w:type="dxa"/>
            <w:shd w:val="clear" w:color="auto" w:fill="D4D6DF"/>
            <w:vAlign w:val="top"/>
          </w:tcPr>
          <w:p w14:paraId="41C0A446" w14:textId="6A4D9A6E" w:rsidR="009949CA" w:rsidRPr="00116E55" w:rsidRDefault="009949CA" w:rsidP="009949CA">
            <w:pPr>
              <w:pStyle w:val="TableText"/>
              <w:rPr>
                <w:sz w:val="20"/>
                <w:szCs w:val="20"/>
              </w:rPr>
            </w:pPr>
            <w:r w:rsidRPr="00116E55">
              <w:rPr>
                <w:sz w:val="20"/>
                <w:szCs w:val="20"/>
              </w:rPr>
              <w:t xml:space="preserve">Super majority agreement </w:t>
            </w:r>
          </w:p>
        </w:tc>
        <w:tc>
          <w:tcPr>
            <w:tcW w:w="3632" w:type="dxa"/>
            <w:shd w:val="clear" w:color="auto" w:fill="D4D6DF"/>
            <w:vAlign w:val="top"/>
          </w:tcPr>
          <w:p w14:paraId="166AE79A" w14:textId="229F4618" w:rsidR="009949CA" w:rsidRPr="00116E55" w:rsidRDefault="009949CA" w:rsidP="009949CA">
            <w:pPr>
              <w:pStyle w:val="TableText"/>
              <w:rPr>
                <w:sz w:val="20"/>
                <w:szCs w:val="20"/>
              </w:rPr>
            </w:pPr>
            <w:r w:rsidRPr="00116E55">
              <w:rPr>
                <w:sz w:val="20"/>
                <w:szCs w:val="20"/>
              </w:rPr>
              <w:t xml:space="preserve">Support for educating all demographics. Survey customers </w:t>
            </w:r>
            <w:r w:rsidR="00E73D07">
              <w:rPr>
                <w:sz w:val="20"/>
                <w:szCs w:val="20"/>
              </w:rPr>
              <w:br/>
            </w:r>
            <w:r w:rsidRPr="00116E55">
              <w:rPr>
                <w:sz w:val="20"/>
                <w:szCs w:val="20"/>
              </w:rPr>
              <w:t xml:space="preserve">on level of awareness and report </w:t>
            </w:r>
            <w:r w:rsidR="00E73D07">
              <w:rPr>
                <w:sz w:val="20"/>
                <w:szCs w:val="20"/>
              </w:rPr>
              <w:br/>
            </w:r>
            <w:r w:rsidRPr="00116E55">
              <w:rPr>
                <w:sz w:val="20"/>
                <w:szCs w:val="20"/>
              </w:rPr>
              <w:t xml:space="preserve">this outcome. </w:t>
            </w:r>
          </w:p>
        </w:tc>
      </w:tr>
      <w:tr w:rsidR="00EF141C" w:rsidRPr="00B052BE" w14:paraId="3571A178" w14:textId="77777777" w:rsidTr="004C011C">
        <w:tc>
          <w:tcPr>
            <w:tcW w:w="3797" w:type="dxa"/>
            <w:vAlign w:val="top"/>
          </w:tcPr>
          <w:p w14:paraId="2579F269" w14:textId="535E8F6D" w:rsidR="009949CA" w:rsidRPr="00360131" w:rsidRDefault="009949CA" w:rsidP="009949CA">
            <w:pPr>
              <w:pStyle w:val="TableText"/>
              <w:rPr>
                <w:b/>
                <w:bCs/>
                <w:sz w:val="20"/>
                <w:szCs w:val="20"/>
              </w:rPr>
            </w:pPr>
            <w:r w:rsidRPr="00360131">
              <w:rPr>
                <w:b/>
                <w:bCs/>
                <w:sz w:val="20"/>
                <w:szCs w:val="20"/>
              </w:rPr>
              <w:t>Bill</w:t>
            </w:r>
            <w:r w:rsidR="00F04317" w:rsidRPr="00360131">
              <w:rPr>
                <w:b/>
                <w:bCs/>
                <w:sz w:val="20"/>
                <w:szCs w:val="20"/>
              </w:rPr>
              <w:t>s</w:t>
            </w:r>
            <w:r w:rsidRPr="00360131">
              <w:rPr>
                <w:b/>
                <w:bCs/>
                <w:sz w:val="20"/>
                <w:szCs w:val="20"/>
              </w:rPr>
              <w:t xml:space="preserve"> to be clear, simple </w:t>
            </w:r>
            <w:r w:rsidR="00622F71">
              <w:rPr>
                <w:b/>
                <w:bCs/>
                <w:sz w:val="20"/>
                <w:szCs w:val="20"/>
              </w:rPr>
              <w:br/>
            </w:r>
            <w:r w:rsidRPr="00360131">
              <w:rPr>
                <w:b/>
                <w:bCs/>
                <w:sz w:val="20"/>
                <w:szCs w:val="20"/>
              </w:rPr>
              <w:t xml:space="preserve">(easy to navigate) and transparent </w:t>
            </w:r>
          </w:p>
        </w:tc>
        <w:tc>
          <w:tcPr>
            <w:tcW w:w="2159" w:type="dxa"/>
            <w:vAlign w:val="top"/>
          </w:tcPr>
          <w:p w14:paraId="52556203" w14:textId="1391153C" w:rsidR="009949CA" w:rsidRPr="00116E55" w:rsidRDefault="009949CA" w:rsidP="009949CA">
            <w:pPr>
              <w:pStyle w:val="TableText"/>
              <w:rPr>
                <w:sz w:val="20"/>
                <w:szCs w:val="20"/>
              </w:rPr>
            </w:pPr>
            <w:r w:rsidRPr="00116E55">
              <w:rPr>
                <w:sz w:val="20"/>
                <w:szCs w:val="20"/>
              </w:rPr>
              <w:t xml:space="preserve">Super majority agreement </w:t>
            </w:r>
          </w:p>
        </w:tc>
        <w:tc>
          <w:tcPr>
            <w:tcW w:w="3632" w:type="dxa"/>
            <w:vAlign w:val="top"/>
          </w:tcPr>
          <w:p w14:paraId="309DEBF3" w14:textId="3CBADE93" w:rsidR="009949CA" w:rsidRPr="00116E55" w:rsidRDefault="009949CA" w:rsidP="009949CA">
            <w:pPr>
              <w:pStyle w:val="TableText"/>
              <w:rPr>
                <w:sz w:val="20"/>
                <w:szCs w:val="20"/>
              </w:rPr>
            </w:pPr>
            <w:r w:rsidRPr="00116E55">
              <w:rPr>
                <w:sz w:val="20"/>
                <w:szCs w:val="20"/>
              </w:rPr>
              <w:t>Provide facts and tips in bills that meet accessibility standards and encourage customers to move to electronic bills.</w:t>
            </w:r>
          </w:p>
        </w:tc>
      </w:tr>
      <w:tr w:rsidR="00A7554B" w:rsidRPr="00B052BE" w14:paraId="5A6BAB86" w14:textId="77777777" w:rsidTr="004C011C">
        <w:tc>
          <w:tcPr>
            <w:tcW w:w="3797" w:type="dxa"/>
            <w:shd w:val="clear" w:color="auto" w:fill="D4D6DF"/>
            <w:vAlign w:val="top"/>
          </w:tcPr>
          <w:p w14:paraId="1F07BC2C" w14:textId="14A358BE" w:rsidR="00B052BE" w:rsidRPr="00360131" w:rsidRDefault="00B052BE" w:rsidP="00B052BE">
            <w:pPr>
              <w:pStyle w:val="TableText"/>
              <w:rPr>
                <w:b/>
                <w:bCs/>
                <w:sz w:val="20"/>
                <w:szCs w:val="20"/>
              </w:rPr>
            </w:pPr>
            <w:r w:rsidRPr="00360131">
              <w:rPr>
                <w:b/>
                <w:bCs/>
                <w:sz w:val="20"/>
                <w:szCs w:val="20"/>
              </w:rPr>
              <w:t xml:space="preserve">Digital meter rollout </w:t>
            </w:r>
          </w:p>
        </w:tc>
        <w:tc>
          <w:tcPr>
            <w:tcW w:w="2159" w:type="dxa"/>
            <w:shd w:val="clear" w:color="auto" w:fill="D4D6DF"/>
            <w:vAlign w:val="top"/>
          </w:tcPr>
          <w:p w14:paraId="06CAB30A" w14:textId="0D8F693D" w:rsidR="00B052BE" w:rsidRPr="00116E55" w:rsidRDefault="00B052BE" w:rsidP="00B052BE">
            <w:pPr>
              <w:pStyle w:val="TableText"/>
              <w:rPr>
                <w:sz w:val="20"/>
                <w:szCs w:val="20"/>
              </w:rPr>
            </w:pPr>
            <w:r w:rsidRPr="00116E55">
              <w:rPr>
                <w:sz w:val="20"/>
                <w:szCs w:val="20"/>
              </w:rPr>
              <w:t xml:space="preserve">Super majority agreement </w:t>
            </w:r>
          </w:p>
        </w:tc>
        <w:tc>
          <w:tcPr>
            <w:tcW w:w="3632" w:type="dxa"/>
            <w:shd w:val="clear" w:color="auto" w:fill="D4D6DF"/>
            <w:vAlign w:val="top"/>
          </w:tcPr>
          <w:p w14:paraId="10F9CE4A" w14:textId="0901983A" w:rsidR="00B052BE" w:rsidRPr="00116E55" w:rsidRDefault="00B052BE" w:rsidP="00B052BE">
            <w:pPr>
              <w:pStyle w:val="TableText"/>
              <w:rPr>
                <w:sz w:val="20"/>
                <w:szCs w:val="20"/>
              </w:rPr>
            </w:pPr>
            <w:r w:rsidRPr="00116E55">
              <w:rPr>
                <w:sz w:val="20"/>
                <w:szCs w:val="20"/>
              </w:rPr>
              <w:t xml:space="preserve">Replace all meters with digital meters over </w:t>
            </w:r>
            <w:r w:rsidR="008D6759" w:rsidRPr="00116E55">
              <w:rPr>
                <w:sz w:val="20"/>
                <w:szCs w:val="20"/>
              </w:rPr>
              <w:t>6</w:t>
            </w:r>
            <w:r w:rsidRPr="00116E55">
              <w:rPr>
                <w:sz w:val="20"/>
                <w:szCs w:val="20"/>
              </w:rPr>
              <w:t xml:space="preserve"> years, offer flexible payment terms and provide timely communications and data to customers from the meter data. </w:t>
            </w:r>
          </w:p>
        </w:tc>
      </w:tr>
      <w:tr w:rsidR="00EF141C" w:rsidRPr="00B052BE" w14:paraId="775CBF04" w14:textId="77777777" w:rsidTr="004C011C">
        <w:tc>
          <w:tcPr>
            <w:tcW w:w="3797" w:type="dxa"/>
            <w:vAlign w:val="top"/>
          </w:tcPr>
          <w:p w14:paraId="6FA007D2" w14:textId="563A8471" w:rsidR="00B052BE" w:rsidRPr="00360131" w:rsidRDefault="00B052BE" w:rsidP="00B052BE">
            <w:pPr>
              <w:pStyle w:val="TableText"/>
              <w:rPr>
                <w:b/>
                <w:bCs/>
                <w:sz w:val="20"/>
                <w:szCs w:val="20"/>
              </w:rPr>
            </w:pPr>
            <w:r w:rsidRPr="00360131">
              <w:rPr>
                <w:b/>
                <w:bCs/>
                <w:sz w:val="20"/>
                <w:szCs w:val="20"/>
              </w:rPr>
              <w:t xml:space="preserve">Effective and efficient communication </w:t>
            </w:r>
          </w:p>
        </w:tc>
        <w:tc>
          <w:tcPr>
            <w:tcW w:w="2159" w:type="dxa"/>
            <w:vAlign w:val="top"/>
          </w:tcPr>
          <w:p w14:paraId="695902D1" w14:textId="465AEE60" w:rsidR="00B052BE" w:rsidRPr="00116E55" w:rsidRDefault="00B052BE" w:rsidP="00B052BE">
            <w:pPr>
              <w:pStyle w:val="TableText"/>
              <w:rPr>
                <w:sz w:val="20"/>
                <w:szCs w:val="20"/>
              </w:rPr>
            </w:pPr>
            <w:r w:rsidRPr="00116E55">
              <w:rPr>
                <w:sz w:val="20"/>
                <w:szCs w:val="20"/>
              </w:rPr>
              <w:t xml:space="preserve">Unanimous agreement </w:t>
            </w:r>
          </w:p>
        </w:tc>
        <w:tc>
          <w:tcPr>
            <w:tcW w:w="3632" w:type="dxa"/>
            <w:vAlign w:val="top"/>
          </w:tcPr>
          <w:p w14:paraId="74DA5787" w14:textId="71B95502" w:rsidR="00B052BE" w:rsidRPr="00116E55" w:rsidRDefault="00B052BE" w:rsidP="00B052BE">
            <w:pPr>
              <w:pStyle w:val="TableText"/>
              <w:rPr>
                <w:sz w:val="20"/>
                <w:szCs w:val="20"/>
              </w:rPr>
            </w:pPr>
            <w:r w:rsidRPr="00116E55">
              <w:rPr>
                <w:sz w:val="20"/>
                <w:szCs w:val="20"/>
              </w:rPr>
              <w:t xml:space="preserve">Ongoing communication with customers via bills and proactive communication for disruptions/ works (including via email and text). Offer discount to customers that did not receive communication of a significant disruption. </w:t>
            </w:r>
          </w:p>
        </w:tc>
      </w:tr>
      <w:tr w:rsidR="00A7554B" w:rsidRPr="00B052BE" w14:paraId="078EB3E8" w14:textId="77777777" w:rsidTr="004C011C">
        <w:tc>
          <w:tcPr>
            <w:tcW w:w="3797" w:type="dxa"/>
            <w:shd w:val="clear" w:color="auto" w:fill="D4D6DF"/>
            <w:vAlign w:val="top"/>
          </w:tcPr>
          <w:p w14:paraId="3C18E8BA" w14:textId="322130C7" w:rsidR="00B052BE" w:rsidRPr="00360131" w:rsidRDefault="00B052BE" w:rsidP="00B052BE">
            <w:pPr>
              <w:pStyle w:val="TableText"/>
              <w:rPr>
                <w:b/>
                <w:bCs/>
                <w:sz w:val="20"/>
                <w:szCs w:val="20"/>
              </w:rPr>
            </w:pPr>
            <w:r w:rsidRPr="00360131">
              <w:rPr>
                <w:b/>
                <w:bCs/>
                <w:sz w:val="20"/>
                <w:szCs w:val="20"/>
              </w:rPr>
              <w:t>Delivery of innovative and best service methodology by SEW</w:t>
            </w:r>
          </w:p>
        </w:tc>
        <w:tc>
          <w:tcPr>
            <w:tcW w:w="2159" w:type="dxa"/>
            <w:shd w:val="clear" w:color="auto" w:fill="D4D6DF"/>
            <w:vAlign w:val="top"/>
          </w:tcPr>
          <w:p w14:paraId="22A4ED2E" w14:textId="7BC15436" w:rsidR="00B052BE" w:rsidRPr="00116E55" w:rsidRDefault="00B052BE" w:rsidP="00B052BE">
            <w:pPr>
              <w:pStyle w:val="TableText"/>
              <w:rPr>
                <w:sz w:val="20"/>
                <w:szCs w:val="20"/>
              </w:rPr>
            </w:pPr>
            <w:r w:rsidRPr="00116E55">
              <w:rPr>
                <w:sz w:val="20"/>
                <w:szCs w:val="20"/>
              </w:rPr>
              <w:t>Super majority agreement</w:t>
            </w:r>
          </w:p>
        </w:tc>
        <w:tc>
          <w:tcPr>
            <w:tcW w:w="3632" w:type="dxa"/>
            <w:shd w:val="clear" w:color="auto" w:fill="D4D6DF"/>
            <w:vAlign w:val="top"/>
          </w:tcPr>
          <w:p w14:paraId="27807ED7" w14:textId="0DE31A6F" w:rsidR="00B052BE" w:rsidRPr="00116E55" w:rsidRDefault="00B052BE" w:rsidP="00B052BE">
            <w:pPr>
              <w:pStyle w:val="TableText"/>
              <w:rPr>
                <w:sz w:val="20"/>
                <w:szCs w:val="20"/>
              </w:rPr>
            </w:pPr>
            <w:r w:rsidRPr="00116E55">
              <w:rPr>
                <w:sz w:val="20"/>
                <w:szCs w:val="20"/>
              </w:rPr>
              <w:t>Focus innovation on security and sustainability outcomes including through potential innovation relating to recycling, innovative communications and benchmarking/ best practice.</w:t>
            </w:r>
          </w:p>
        </w:tc>
      </w:tr>
      <w:tr w:rsidR="00EF141C" w:rsidRPr="00B052BE" w14:paraId="7387E20B" w14:textId="77777777" w:rsidTr="004C011C">
        <w:tc>
          <w:tcPr>
            <w:tcW w:w="3797" w:type="dxa"/>
            <w:vAlign w:val="top"/>
          </w:tcPr>
          <w:p w14:paraId="08988ECC" w14:textId="2B7E0B10" w:rsidR="00B052BE" w:rsidRPr="00360131" w:rsidRDefault="00B052BE" w:rsidP="00B052BE">
            <w:pPr>
              <w:pStyle w:val="TableText"/>
              <w:rPr>
                <w:b/>
                <w:bCs/>
                <w:sz w:val="20"/>
                <w:szCs w:val="20"/>
              </w:rPr>
            </w:pPr>
            <w:r w:rsidRPr="00360131">
              <w:rPr>
                <w:b/>
                <w:bCs/>
                <w:sz w:val="20"/>
                <w:szCs w:val="20"/>
              </w:rPr>
              <w:t>Affordable and accessible service</w:t>
            </w:r>
          </w:p>
        </w:tc>
        <w:tc>
          <w:tcPr>
            <w:tcW w:w="2159" w:type="dxa"/>
            <w:vAlign w:val="top"/>
          </w:tcPr>
          <w:p w14:paraId="5FAACE79" w14:textId="1B6A467D" w:rsidR="00B052BE" w:rsidRPr="00116E55" w:rsidRDefault="00B052BE" w:rsidP="00B052BE">
            <w:pPr>
              <w:pStyle w:val="TableText"/>
              <w:rPr>
                <w:sz w:val="20"/>
                <w:szCs w:val="20"/>
              </w:rPr>
            </w:pPr>
            <w:r w:rsidRPr="00116E55">
              <w:rPr>
                <w:sz w:val="20"/>
                <w:szCs w:val="20"/>
              </w:rPr>
              <w:t>Unanimous agreement</w:t>
            </w:r>
          </w:p>
        </w:tc>
        <w:tc>
          <w:tcPr>
            <w:tcW w:w="3632" w:type="dxa"/>
            <w:vAlign w:val="top"/>
          </w:tcPr>
          <w:p w14:paraId="77E050C7" w14:textId="6C089351" w:rsidR="00B052BE" w:rsidRPr="00116E55" w:rsidRDefault="00B052BE" w:rsidP="00B052BE">
            <w:pPr>
              <w:pStyle w:val="TableText"/>
              <w:rPr>
                <w:sz w:val="20"/>
                <w:szCs w:val="20"/>
              </w:rPr>
            </w:pPr>
            <w:r w:rsidRPr="00116E55">
              <w:rPr>
                <w:sz w:val="20"/>
                <w:szCs w:val="20"/>
              </w:rPr>
              <w:t xml:space="preserve">Continue providing bill relief to customers on a needs basis. Review tiered pricing for commercial and high water usage customers only. Create </w:t>
            </w:r>
            <w:r w:rsidR="00E73D07">
              <w:rPr>
                <w:sz w:val="20"/>
                <w:szCs w:val="20"/>
              </w:rPr>
              <w:br/>
            </w:r>
            <w:r w:rsidRPr="00116E55">
              <w:rPr>
                <w:sz w:val="20"/>
                <w:szCs w:val="20"/>
              </w:rPr>
              <w:t xml:space="preserve">a fund to help support vulnerable customers when in need (optional participation). </w:t>
            </w:r>
          </w:p>
        </w:tc>
      </w:tr>
    </w:tbl>
    <w:p w14:paraId="660777BC" w14:textId="01D10500" w:rsidR="00903A42" w:rsidRPr="00C4392F" w:rsidRDefault="00596A63" w:rsidP="00C4392F">
      <w:pPr>
        <w:rPr>
          <w:rFonts w:eastAsia="Arial"/>
          <w:sz w:val="16"/>
          <w:szCs w:val="16"/>
        </w:rPr>
      </w:pPr>
      <w:r>
        <w:rPr>
          <w:rFonts w:eastAsia="Arial"/>
          <w:sz w:val="16"/>
          <w:szCs w:val="16"/>
        </w:rPr>
        <w:br/>
      </w:r>
      <w:r w:rsidR="00903A42" w:rsidRPr="00C4392F">
        <w:rPr>
          <w:rFonts w:eastAsia="Arial"/>
          <w:sz w:val="16"/>
          <w:szCs w:val="16"/>
        </w:rPr>
        <w:t xml:space="preserve">Source: </w:t>
      </w:r>
      <w:r w:rsidR="00C4392F" w:rsidRPr="00116E55">
        <w:rPr>
          <w:rFonts w:eastAsia="Arial"/>
          <w:i/>
          <w:iCs/>
          <w:sz w:val="16"/>
          <w:szCs w:val="16"/>
        </w:rPr>
        <w:t>MosaicLab and Insync, Community Panel, Process Report</w:t>
      </w:r>
      <w:r w:rsidR="00C4392F" w:rsidRPr="00C4392F">
        <w:rPr>
          <w:rFonts w:eastAsia="Arial"/>
          <w:sz w:val="16"/>
          <w:szCs w:val="16"/>
        </w:rPr>
        <w:t xml:space="preserve">, December 2021 and </w:t>
      </w:r>
      <w:r w:rsidR="00C4392F" w:rsidRPr="00116E55">
        <w:rPr>
          <w:rFonts w:eastAsia="Arial"/>
          <w:i/>
          <w:iCs/>
          <w:sz w:val="16"/>
          <w:szCs w:val="16"/>
        </w:rPr>
        <w:t>Community Panel, South East Water Price Submission Panel Report</w:t>
      </w:r>
      <w:r w:rsidR="00C4392F" w:rsidRPr="00C4392F">
        <w:rPr>
          <w:rFonts w:eastAsia="Arial"/>
          <w:sz w:val="16"/>
          <w:szCs w:val="16"/>
        </w:rPr>
        <w:t>, 4 December 2021</w:t>
      </w:r>
    </w:p>
    <w:p w14:paraId="0B8BCF72" w14:textId="7F117AB2" w:rsidR="009949CA" w:rsidRDefault="001529CB" w:rsidP="009949CA">
      <w:pPr>
        <w:rPr>
          <w:rFonts w:eastAsia="Arial"/>
          <w:sz w:val="16"/>
          <w:szCs w:val="16"/>
        </w:rPr>
      </w:pPr>
      <w:r w:rsidRPr="00C4392F">
        <w:rPr>
          <w:rFonts w:eastAsia="Arial"/>
          <w:sz w:val="16"/>
          <w:szCs w:val="16"/>
        </w:rPr>
        <w:t>1</w:t>
      </w:r>
      <w:r w:rsidR="00450887" w:rsidRPr="00C4392F">
        <w:rPr>
          <w:rFonts w:eastAsia="Arial"/>
          <w:sz w:val="16"/>
          <w:szCs w:val="16"/>
        </w:rPr>
        <w:t>.</w:t>
      </w:r>
      <w:r w:rsidR="00B237EE" w:rsidRPr="00C4392F">
        <w:rPr>
          <w:rFonts w:eastAsia="Arial"/>
          <w:sz w:val="16"/>
          <w:szCs w:val="16"/>
        </w:rPr>
        <w:t xml:space="preserve"> S</w:t>
      </w:r>
      <w:r w:rsidR="00E12BF8" w:rsidRPr="00C4392F">
        <w:rPr>
          <w:rFonts w:eastAsia="Arial"/>
          <w:sz w:val="16"/>
          <w:szCs w:val="16"/>
        </w:rPr>
        <w:t xml:space="preserve">uper majority agreement reflects 80% or more </w:t>
      </w:r>
      <w:r w:rsidR="002840E2" w:rsidRPr="00C4392F">
        <w:rPr>
          <w:rFonts w:eastAsia="Arial"/>
          <w:sz w:val="16"/>
          <w:szCs w:val="16"/>
        </w:rPr>
        <w:t>agreement.</w:t>
      </w:r>
    </w:p>
    <w:p w14:paraId="5C9D016A" w14:textId="77777777" w:rsidR="00596A63" w:rsidRPr="00450887" w:rsidRDefault="00596A63" w:rsidP="009949CA">
      <w:pPr>
        <w:rPr>
          <w:rFonts w:eastAsia="Arial"/>
          <w:sz w:val="16"/>
          <w:szCs w:val="16"/>
        </w:rPr>
      </w:pPr>
    </w:p>
    <w:p w14:paraId="14F90185" w14:textId="119F0C8B" w:rsidR="00AC73A2" w:rsidRDefault="00C52151" w:rsidP="008E132A">
      <w:pPr>
        <w:pStyle w:val="Heading2"/>
      </w:pPr>
      <w:r>
        <w:t xml:space="preserve">2.4 </w:t>
      </w:r>
      <w:r w:rsidR="00612583">
        <w:t>‘</w:t>
      </w:r>
      <w:r w:rsidR="00AC73A2">
        <w:t>Closing the loop</w:t>
      </w:r>
      <w:r w:rsidR="00612583">
        <w:t>’</w:t>
      </w:r>
      <w:r w:rsidR="00AC73A2">
        <w:t xml:space="preserve"> to reflect customer views in the price submission</w:t>
      </w:r>
    </w:p>
    <w:p w14:paraId="2FBC1679" w14:textId="4472294C" w:rsidR="00AC73A2" w:rsidRDefault="00AC73A2" w:rsidP="00AC73A2">
      <w:pPr>
        <w:rPr>
          <w:rFonts w:eastAsia="Arial"/>
        </w:rPr>
      </w:pPr>
      <w:r>
        <w:rPr>
          <w:rFonts w:eastAsia="Arial"/>
        </w:rPr>
        <w:t xml:space="preserve">South East Water has prepared detailed expenditure proposals based </w:t>
      </w:r>
      <w:r w:rsidR="0030399F">
        <w:rPr>
          <w:rFonts w:eastAsia="Arial"/>
        </w:rPr>
        <w:t xml:space="preserve">on what </w:t>
      </w:r>
      <w:r w:rsidR="00482C07">
        <w:rPr>
          <w:rFonts w:eastAsia="Arial"/>
        </w:rPr>
        <w:t>we</w:t>
      </w:r>
      <w:r w:rsidR="0030399F">
        <w:rPr>
          <w:rFonts w:eastAsia="Arial"/>
        </w:rPr>
        <w:t xml:space="preserve"> heard in the </w:t>
      </w:r>
      <w:r>
        <w:rPr>
          <w:rFonts w:eastAsia="Arial"/>
        </w:rPr>
        <w:t xml:space="preserve">engagement process and </w:t>
      </w:r>
      <w:r w:rsidR="0030399F">
        <w:rPr>
          <w:rFonts w:eastAsia="Arial"/>
        </w:rPr>
        <w:t xml:space="preserve">the </w:t>
      </w:r>
      <w:r>
        <w:rPr>
          <w:rFonts w:eastAsia="Arial"/>
        </w:rPr>
        <w:t xml:space="preserve">deliberation with the </w:t>
      </w:r>
      <w:r w:rsidR="001D4313">
        <w:rPr>
          <w:rFonts w:eastAsia="Arial"/>
        </w:rPr>
        <w:t>c</w:t>
      </w:r>
      <w:r>
        <w:rPr>
          <w:rFonts w:eastAsia="Arial"/>
        </w:rPr>
        <w:t xml:space="preserve">ommunity </w:t>
      </w:r>
      <w:r w:rsidR="001D4313">
        <w:rPr>
          <w:rFonts w:eastAsia="Arial"/>
        </w:rPr>
        <w:t>p</w:t>
      </w:r>
      <w:r>
        <w:rPr>
          <w:rFonts w:eastAsia="Arial"/>
        </w:rPr>
        <w:t>anel.</w:t>
      </w:r>
    </w:p>
    <w:p w14:paraId="1D4F325F" w14:textId="0B8F97D8" w:rsidR="00E7468C" w:rsidRDefault="001F4547" w:rsidP="00AC73A2">
      <w:pPr>
        <w:rPr>
          <w:rFonts w:eastAsia="Arial"/>
        </w:rPr>
      </w:pPr>
      <w:r>
        <w:rPr>
          <w:rFonts w:eastAsia="Arial"/>
        </w:rPr>
        <w:t xml:space="preserve">This was done </w:t>
      </w:r>
      <w:r w:rsidR="00D43EBC">
        <w:rPr>
          <w:rFonts w:eastAsia="Arial"/>
        </w:rPr>
        <w:t xml:space="preserve">in </w:t>
      </w:r>
      <w:r w:rsidR="00422E88">
        <w:rPr>
          <w:rFonts w:eastAsia="Arial"/>
        </w:rPr>
        <w:t xml:space="preserve">2 </w:t>
      </w:r>
      <w:r w:rsidR="00D43EBC">
        <w:rPr>
          <w:rFonts w:eastAsia="Arial"/>
        </w:rPr>
        <w:t>key steps</w:t>
      </w:r>
      <w:r w:rsidR="00FF23A9">
        <w:rPr>
          <w:rFonts w:eastAsia="Arial"/>
        </w:rPr>
        <w:t xml:space="preserve">. </w:t>
      </w:r>
    </w:p>
    <w:p w14:paraId="3D03AB48" w14:textId="188E31D9" w:rsidR="00E7468C" w:rsidRPr="00116E55" w:rsidRDefault="00E7468C" w:rsidP="00EC246F">
      <w:pPr>
        <w:pStyle w:val="Heading3"/>
      </w:pPr>
      <w:r w:rsidRPr="00EC246F">
        <w:t xml:space="preserve">Step 1: Reflecting customer outcomes in </w:t>
      </w:r>
      <w:r w:rsidRPr="00116E55">
        <w:t>pric</w:t>
      </w:r>
      <w:r w:rsidR="006304FB" w:rsidRPr="00116E55">
        <w:t>e</w:t>
      </w:r>
      <w:r w:rsidRPr="00116E55">
        <w:t xml:space="preserve"> submission proposals</w:t>
      </w:r>
    </w:p>
    <w:p w14:paraId="34E9A4AE" w14:textId="5C79BA9C" w:rsidR="001F4547" w:rsidRDefault="00FF23A9" w:rsidP="00AC73A2">
      <w:pPr>
        <w:rPr>
          <w:rFonts w:eastAsia="Arial"/>
        </w:rPr>
      </w:pPr>
      <w:r>
        <w:rPr>
          <w:rFonts w:eastAsia="Arial"/>
        </w:rPr>
        <w:t>First</w:t>
      </w:r>
      <w:r w:rsidR="0058182C">
        <w:rPr>
          <w:rFonts w:eastAsia="Arial"/>
        </w:rPr>
        <w:t>,</w:t>
      </w:r>
      <w:r w:rsidR="001D4313">
        <w:rPr>
          <w:rFonts w:eastAsia="Arial"/>
        </w:rPr>
        <w:t xml:space="preserve"> we</w:t>
      </w:r>
      <w:r>
        <w:rPr>
          <w:rFonts w:eastAsia="Arial"/>
        </w:rPr>
        <w:t xml:space="preserve"> went through a comprehensive process of incorporating the </w:t>
      </w:r>
      <w:r w:rsidR="0030399F">
        <w:rPr>
          <w:rFonts w:eastAsia="Arial"/>
        </w:rPr>
        <w:t xml:space="preserve">engagement </w:t>
      </w:r>
      <w:r w:rsidR="006518C2">
        <w:rPr>
          <w:rFonts w:eastAsia="Arial"/>
        </w:rPr>
        <w:t xml:space="preserve">outcomes within </w:t>
      </w:r>
      <w:r w:rsidR="001D4313">
        <w:rPr>
          <w:rFonts w:eastAsia="Arial"/>
        </w:rPr>
        <w:t>our</w:t>
      </w:r>
      <w:r w:rsidR="006518C2">
        <w:rPr>
          <w:rFonts w:eastAsia="Arial"/>
        </w:rPr>
        <w:t xml:space="preserve"> plans and expenditure proposals </w:t>
      </w:r>
      <w:r w:rsidR="00EE291E">
        <w:rPr>
          <w:rFonts w:eastAsia="Arial"/>
        </w:rPr>
        <w:t>for the 2023</w:t>
      </w:r>
      <w:r w:rsidR="007D4EB3">
        <w:rPr>
          <w:rFonts w:eastAsia="Arial"/>
        </w:rPr>
        <w:t>–</w:t>
      </w:r>
      <w:r w:rsidR="00EE291E">
        <w:rPr>
          <w:rFonts w:eastAsia="Arial"/>
        </w:rPr>
        <w:t>28 period.</w:t>
      </w:r>
    </w:p>
    <w:p w14:paraId="51266350" w14:textId="423039A9" w:rsidR="00313867" w:rsidRDefault="00AC73A2" w:rsidP="00AC73A2">
      <w:r>
        <w:rPr>
          <w:rFonts w:eastAsia="Arial"/>
        </w:rPr>
        <w:t>This was done by incorporating key</w:t>
      </w:r>
      <w:r w:rsidR="00AC6B83">
        <w:rPr>
          <w:rFonts w:eastAsia="Arial"/>
        </w:rPr>
        <w:t xml:space="preserve"> customer engagement</w:t>
      </w:r>
      <w:r>
        <w:rPr>
          <w:rFonts w:eastAsia="Arial"/>
        </w:rPr>
        <w:t xml:space="preserve"> recommendations, including those from the </w:t>
      </w:r>
      <w:r w:rsidR="00015E6B">
        <w:rPr>
          <w:rFonts w:eastAsia="Arial"/>
        </w:rPr>
        <w:t>c</w:t>
      </w:r>
      <w:r>
        <w:rPr>
          <w:rFonts w:eastAsia="Arial"/>
        </w:rPr>
        <w:t xml:space="preserve">ommunity </w:t>
      </w:r>
      <w:r w:rsidR="00015E6B">
        <w:rPr>
          <w:rFonts w:eastAsia="Arial"/>
        </w:rPr>
        <w:t>p</w:t>
      </w:r>
      <w:r>
        <w:rPr>
          <w:rFonts w:eastAsia="Arial"/>
        </w:rPr>
        <w:t xml:space="preserve">anel, into </w:t>
      </w:r>
      <w:r w:rsidR="00015E6B">
        <w:rPr>
          <w:rFonts w:eastAsia="Arial"/>
        </w:rPr>
        <w:t xml:space="preserve">the South East Water </w:t>
      </w:r>
      <w:r w:rsidR="00D378C1">
        <w:t>strategic</w:t>
      </w:r>
      <w:r w:rsidR="000C66A5">
        <w:t xml:space="preserve"> </w:t>
      </w:r>
      <w:r>
        <w:t xml:space="preserve">prioritisation framework. This is a tool </w:t>
      </w:r>
      <w:r w:rsidR="00845487">
        <w:t xml:space="preserve">we use to </w:t>
      </w:r>
      <w:r>
        <w:t xml:space="preserve">refine </w:t>
      </w:r>
      <w:r w:rsidR="00015E6B">
        <w:t>our</w:t>
      </w:r>
      <w:r>
        <w:t xml:space="preserve"> proposed future capital expenditure program. </w:t>
      </w:r>
      <w:r w:rsidR="003A38B3">
        <w:t xml:space="preserve">The main desired customer outcomes were mapped to </w:t>
      </w:r>
      <w:r w:rsidR="005C56F9">
        <w:t xml:space="preserve">supporting </w:t>
      </w:r>
      <w:r w:rsidR="002664D3" w:rsidRPr="00B009C8">
        <w:t>investment</w:t>
      </w:r>
      <w:r w:rsidR="005C56F9">
        <w:t>s</w:t>
      </w:r>
      <w:r w:rsidR="002664D3" w:rsidRPr="00B009C8">
        <w:t xml:space="preserve"> </w:t>
      </w:r>
      <w:r w:rsidR="00B46D97">
        <w:t>and</w:t>
      </w:r>
      <w:r w:rsidR="002664D3" w:rsidRPr="00B009C8">
        <w:t xml:space="preserve"> initiative</w:t>
      </w:r>
      <w:r w:rsidR="005C56F9">
        <w:t>s</w:t>
      </w:r>
      <w:r w:rsidR="002664D3" w:rsidRPr="00B009C8">
        <w:t>.</w:t>
      </w:r>
    </w:p>
    <w:p w14:paraId="5DB6DA8D" w14:textId="3634413E" w:rsidR="00AC73A2" w:rsidRDefault="00AC73A2" w:rsidP="00AC73A2">
      <w:r>
        <w:t xml:space="preserve">The </w:t>
      </w:r>
      <w:r w:rsidR="002158BF">
        <w:t xml:space="preserve">prioritisation </w:t>
      </w:r>
      <w:r>
        <w:t xml:space="preserve">framework was used by the Senior Leadership </w:t>
      </w:r>
      <w:r w:rsidR="00C87B2F">
        <w:t>t</w:t>
      </w:r>
      <w:r w:rsidR="00D22AB9">
        <w:t xml:space="preserve">eam </w:t>
      </w:r>
      <w:r>
        <w:t>to draft a future capital expenditure program</w:t>
      </w:r>
      <w:r w:rsidR="002158BF">
        <w:t>,</w:t>
      </w:r>
      <w:r>
        <w:t xml:space="preserve"> reflecting customer priorities</w:t>
      </w:r>
      <w:r w:rsidR="002158BF">
        <w:t>,</w:t>
      </w:r>
      <w:r>
        <w:t xml:space="preserve"> which was further refined by the </w:t>
      </w:r>
      <w:r w:rsidR="00D31580">
        <w:t>e</w:t>
      </w:r>
      <w:r>
        <w:t xml:space="preserve">xecutive </w:t>
      </w:r>
      <w:r w:rsidR="00F55604">
        <w:t>t</w:t>
      </w:r>
      <w:r>
        <w:t xml:space="preserve">eam and </w:t>
      </w:r>
      <w:r w:rsidR="008F1558">
        <w:t>b</w:t>
      </w:r>
      <w:r>
        <w:t xml:space="preserve">oard. </w:t>
      </w:r>
    </w:p>
    <w:p w14:paraId="1A88820E" w14:textId="008CFB68" w:rsidR="003A176F" w:rsidRDefault="003A176F" w:rsidP="003A176F">
      <w:r>
        <w:t>In summary</w:t>
      </w:r>
      <w:r w:rsidR="006D1040">
        <w:t xml:space="preserve">, </w:t>
      </w:r>
      <w:r w:rsidR="001E233E">
        <w:t xml:space="preserve">key customer views </w:t>
      </w:r>
      <w:r w:rsidR="00ED62DF">
        <w:t>are</w:t>
      </w:r>
      <w:r w:rsidR="001E233E">
        <w:t xml:space="preserve"> reflected in th</w:t>
      </w:r>
      <w:r w:rsidR="00ED62DF">
        <w:t>is</w:t>
      </w:r>
      <w:r w:rsidR="001E233E">
        <w:t xml:space="preserve"> price submission in the following ways:</w:t>
      </w:r>
    </w:p>
    <w:p w14:paraId="3622D160" w14:textId="3FA4FF6E" w:rsidR="00365C91" w:rsidRPr="00365C91" w:rsidRDefault="00B95551" w:rsidP="00702250">
      <w:pPr>
        <w:pStyle w:val="Bulletlistmultilevel"/>
        <w:numPr>
          <w:ilvl w:val="0"/>
          <w:numId w:val="4"/>
        </w:numPr>
        <w:rPr>
          <w:sz w:val="24"/>
          <w:szCs w:val="24"/>
        </w:rPr>
      </w:pPr>
      <w:r w:rsidRPr="00CB0971">
        <w:rPr>
          <w:sz w:val="24"/>
          <w:szCs w:val="24"/>
        </w:rPr>
        <w:t xml:space="preserve">Affordability: </w:t>
      </w:r>
      <w:r w:rsidR="00847B52" w:rsidRPr="00CB0971">
        <w:rPr>
          <w:sz w:val="24"/>
          <w:szCs w:val="24"/>
        </w:rPr>
        <w:t xml:space="preserve">Drawing on a range of customer feedback sources and </w:t>
      </w:r>
      <w:r w:rsidR="00B26C9D" w:rsidRPr="00CB0971">
        <w:rPr>
          <w:sz w:val="24"/>
          <w:szCs w:val="24"/>
        </w:rPr>
        <w:t xml:space="preserve">recognising </w:t>
      </w:r>
      <w:r w:rsidR="00E10CBF" w:rsidRPr="00CB0971">
        <w:rPr>
          <w:sz w:val="24"/>
          <w:szCs w:val="24"/>
        </w:rPr>
        <w:t xml:space="preserve">broader </w:t>
      </w:r>
      <w:r w:rsidR="00B26C9D" w:rsidRPr="00CB0971">
        <w:rPr>
          <w:sz w:val="24"/>
          <w:szCs w:val="24"/>
        </w:rPr>
        <w:t>cost</w:t>
      </w:r>
      <w:r w:rsidR="00957312" w:rsidRPr="00CB0971">
        <w:rPr>
          <w:sz w:val="24"/>
          <w:szCs w:val="24"/>
        </w:rPr>
        <w:t>-</w:t>
      </w:r>
      <w:r w:rsidR="00B26C9D" w:rsidRPr="00CB0971">
        <w:rPr>
          <w:sz w:val="24"/>
          <w:szCs w:val="24"/>
        </w:rPr>
        <w:t>of</w:t>
      </w:r>
      <w:r w:rsidR="00957312" w:rsidRPr="00CB0971">
        <w:rPr>
          <w:sz w:val="24"/>
          <w:szCs w:val="24"/>
        </w:rPr>
        <w:t>-</w:t>
      </w:r>
      <w:r w:rsidR="00B26C9D" w:rsidRPr="00CB0971">
        <w:rPr>
          <w:sz w:val="24"/>
          <w:szCs w:val="24"/>
        </w:rPr>
        <w:t>living pressure</w:t>
      </w:r>
      <w:r w:rsidR="00E10CBF" w:rsidRPr="00CB0971">
        <w:rPr>
          <w:sz w:val="24"/>
          <w:szCs w:val="24"/>
        </w:rPr>
        <w:t>s</w:t>
      </w:r>
      <w:r w:rsidR="00B26C9D" w:rsidRPr="00CB0971">
        <w:rPr>
          <w:sz w:val="24"/>
          <w:szCs w:val="24"/>
        </w:rPr>
        <w:t xml:space="preserve">, South East Water proposed to hold </w:t>
      </w:r>
      <w:r w:rsidR="00BF3BCC" w:rsidRPr="00CB0971">
        <w:rPr>
          <w:sz w:val="24"/>
          <w:szCs w:val="24"/>
        </w:rPr>
        <w:t xml:space="preserve">prices stable </w:t>
      </w:r>
      <w:r w:rsidR="007E6C69">
        <w:rPr>
          <w:sz w:val="24"/>
          <w:szCs w:val="24"/>
        </w:rPr>
        <w:br/>
      </w:r>
      <w:r w:rsidR="00BF3BCC" w:rsidRPr="00CB0971">
        <w:rPr>
          <w:sz w:val="24"/>
          <w:szCs w:val="24"/>
        </w:rPr>
        <w:t>in real terms (</w:t>
      </w:r>
      <w:r w:rsidR="00960122">
        <w:rPr>
          <w:sz w:val="24"/>
          <w:szCs w:val="24"/>
        </w:rPr>
        <w:t xml:space="preserve">that is, </w:t>
      </w:r>
      <w:r w:rsidR="001F7788" w:rsidRPr="00CB0971">
        <w:rPr>
          <w:sz w:val="24"/>
          <w:szCs w:val="24"/>
        </w:rPr>
        <w:t>prices will only rise in line with CPI</w:t>
      </w:r>
      <w:r w:rsidR="00B30402" w:rsidRPr="00CB0971">
        <w:rPr>
          <w:sz w:val="24"/>
          <w:szCs w:val="24"/>
        </w:rPr>
        <w:t>)</w:t>
      </w:r>
      <w:r w:rsidR="001F7788" w:rsidRPr="00CB0971">
        <w:rPr>
          <w:sz w:val="24"/>
          <w:szCs w:val="24"/>
        </w:rPr>
        <w:t>.</w:t>
      </w:r>
    </w:p>
    <w:p w14:paraId="59C20D10" w14:textId="3B314448" w:rsidR="00365C91" w:rsidRPr="00365C91" w:rsidRDefault="00025BEF" w:rsidP="00702250">
      <w:pPr>
        <w:pStyle w:val="Bulletlistmultilevel"/>
        <w:numPr>
          <w:ilvl w:val="0"/>
          <w:numId w:val="4"/>
        </w:numPr>
        <w:rPr>
          <w:sz w:val="24"/>
          <w:szCs w:val="24"/>
        </w:rPr>
      </w:pPr>
      <w:r w:rsidRPr="00CB0971">
        <w:rPr>
          <w:sz w:val="24"/>
          <w:szCs w:val="24"/>
        </w:rPr>
        <w:t xml:space="preserve">Customer outcomes: </w:t>
      </w:r>
      <w:r w:rsidR="00C81BDE" w:rsidRPr="00CB0971">
        <w:rPr>
          <w:sz w:val="24"/>
          <w:szCs w:val="24"/>
        </w:rPr>
        <w:t>The</w:t>
      </w:r>
      <w:r w:rsidR="00277D61" w:rsidRPr="00CB0971">
        <w:rPr>
          <w:sz w:val="24"/>
          <w:szCs w:val="24"/>
        </w:rPr>
        <w:t xml:space="preserve"> </w:t>
      </w:r>
      <w:r w:rsidR="00186FC7">
        <w:rPr>
          <w:sz w:val="24"/>
          <w:szCs w:val="24"/>
        </w:rPr>
        <w:t xml:space="preserve">5 </w:t>
      </w:r>
      <w:r w:rsidR="00277D61" w:rsidRPr="00CB0971">
        <w:rPr>
          <w:sz w:val="24"/>
          <w:szCs w:val="24"/>
        </w:rPr>
        <w:t>customer outcomes were validated in the engagement process</w:t>
      </w:r>
      <w:r w:rsidR="00186FC7">
        <w:rPr>
          <w:sz w:val="24"/>
          <w:szCs w:val="24"/>
        </w:rPr>
        <w:t>,</w:t>
      </w:r>
      <w:r w:rsidR="003101DA" w:rsidRPr="00CB0971">
        <w:rPr>
          <w:sz w:val="24"/>
          <w:szCs w:val="24"/>
        </w:rPr>
        <w:t xml:space="preserve"> including with the </w:t>
      </w:r>
      <w:r w:rsidR="00A443FB" w:rsidRPr="00CB0971">
        <w:rPr>
          <w:sz w:val="24"/>
          <w:szCs w:val="24"/>
        </w:rPr>
        <w:t>community p</w:t>
      </w:r>
      <w:r w:rsidR="003101DA" w:rsidRPr="00CB0971">
        <w:rPr>
          <w:sz w:val="24"/>
          <w:szCs w:val="24"/>
        </w:rPr>
        <w:t>anel</w:t>
      </w:r>
      <w:r w:rsidR="00277D61" w:rsidRPr="00CB0971">
        <w:rPr>
          <w:sz w:val="24"/>
          <w:szCs w:val="24"/>
        </w:rPr>
        <w:t>.</w:t>
      </w:r>
    </w:p>
    <w:p w14:paraId="5588065E" w14:textId="37E7E41F" w:rsidR="00365C91" w:rsidRPr="00365C91" w:rsidRDefault="00277D61" w:rsidP="00702250">
      <w:pPr>
        <w:pStyle w:val="Bulletlistmultilevel"/>
        <w:numPr>
          <w:ilvl w:val="0"/>
          <w:numId w:val="4"/>
        </w:numPr>
        <w:rPr>
          <w:sz w:val="24"/>
          <w:szCs w:val="24"/>
        </w:rPr>
      </w:pPr>
      <w:r w:rsidRPr="00CB0971">
        <w:rPr>
          <w:sz w:val="24"/>
          <w:szCs w:val="24"/>
        </w:rPr>
        <w:t>Major project</w:t>
      </w:r>
      <w:r w:rsidR="00FE42B4" w:rsidRPr="00CB0971">
        <w:rPr>
          <w:sz w:val="24"/>
          <w:szCs w:val="24"/>
        </w:rPr>
        <w:t xml:space="preserve">s and investments: </w:t>
      </w:r>
      <w:r w:rsidR="009D0348" w:rsidRPr="00CB0971">
        <w:rPr>
          <w:sz w:val="24"/>
          <w:szCs w:val="24"/>
        </w:rPr>
        <w:t>Proposed m</w:t>
      </w:r>
      <w:r w:rsidR="00DC0F8B" w:rsidRPr="00CB0971">
        <w:rPr>
          <w:sz w:val="24"/>
          <w:szCs w:val="24"/>
        </w:rPr>
        <w:t>ajor projects</w:t>
      </w:r>
      <w:r w:rsidR="004D03E1">
        <w:rPr>
          <w:sz w:val="24"/>
          <w:szCs w:val="24"/>
        </w:rPr>
        <w:t xml:space="preserve"> and</w:t>
      </w:r>
      <w:r w:rsidR="009D0348" w:rsidRPr="00CB0971">
        <w:rPr>
          <w:sz w:val="24"/>
          <w:szCs w:val="24"/>
        </w:rPr>
        <w:t xml:space="preserve"> investments </w:t>
      </w:r>
      <w:r w:rsidR="00ED62DF">
        <w:rPr>
          <w:sz w:val="24"/>
          <w:szCs w:val="24"/>
        </w:rPr>
        <w:t>are</w:t>
      </w:r>
      <w:r w:rsidR="009D0348" w:rsidRPr="00CB0971">
        <w:rPr>
          <w:sz w:val="24"/>
          <w:szCs w:val="24"/>
        </w:rPr>
        <w:t xml:space="preserve"> </w:t>
      </w:r>
      <w:r w:rsidR="007E6C69">
        <w:rPr>
          <w:sz w:val="24"/>
          <w:szCs w:val="24"/>
        </w:rPr>
        <w:br/>
      </w:r>
      <w:r w:rsidR="009D0348" w:rsidRPr="00CB0971">
        <w:rPr>
          <w:sz w:val="24"/>
          <w:szCs w:val="24"/>
        </w:rPr>
        <w:t xml:space="preserve">mapped against each of the </w:t>
      </w:r>
      <w:r w:rsidR="007270F1" w:rsidRPr="00CB0971">
        <w:rPr>
          <w:sz w:val="24"/>
          <w:szCs w:val="24"/>
        </w:rPr>
        <w:t>community p</w:t>
      </w:r>
      <w:r w:rsidR="009D0348" w:rsidRPr="00CB0971">
        <w:rPr>
          <w:sz w:val="24"/>
          <w:szCs w:val="24"/>
        </w:rPr>
        <w:t>anel</w:t>
      </w:r>
      <w:r w:rsidR="00612583">
        <w:rPr>
          <w:sz w:val="24"/>
          <w:szCs w:val="24"/>
        </w:rPr>
        <w:t>’</w:t>
      </w:r>
      <w:r w:rsidR="009D0348" w:rsidRPr="00CB0971">
        <w:rPr>
          <w:sz w:val="24"/>
          <w:szCs w:val="24"/>
        </w:rPr>
        <w:t xml:space="preserve">s </w:t>
      </w:r>
      <w:r w:rsidR="007270F1" w:rsidRPr="00CB0971">
        <w:rPr>
          <w:sz w:val="24"/>
          <w:szCs w:val="24"/>
        </w:rPr>
        <w:t>8</w:t>
      </w:r>
      <w:r w:rsidR="00F4305D" w:rsidRPr="00CB0971">
        <w:rPr>
          <w:sz w:val="24"/>
          <w:szCs w:val="24"/>
        </w:rPr>
        <w:t xml:space="preserve"> recommendations</w:t>
      </w:r>
      <w:r w:rsidR="003101DA" w:rsidRPr="00CB0971">
        <w:rPr>
          <w:sz w:val="24"/>
          <w:szCs w:val="24"/>
        </w:rPr>
        <w:t>.</w:t>
      </w:r>
    </w:p>
    <w:p w14:paraId="68065C40" w14:textId="3BAF1502" w:rsidR="00365C91" w:rsidRPr="00365C91" w:rsidRDefault="003101DA" w:rsidP="00702250">
      <w:pPr>
        <w:pStyle w:val="Bulletlistmultilevel"/>
        <w:numPr>
          <w:ilvl w:val="0"/>
          <w:numId w:val="4"/>
        </w:numPr>
        <w:rPr>
          <w:sz w:val="24"/>
          <w:szCs w:val="24"/>
        </w:rPr>
      </w:pPr>
      <w:r w:rsidRPr="00CB0971">
        <w:rPr>
          <w:sz w:val="24"/>
          <w:szCs w:val="24"/>
        </w:rPr>
        <w:t xml:space="preserve">GSL: </w:t>
      </w:r>
      <w:r w:rsidR="00A37A89" w:rsidRPr="00CB0971">
        <w:rPr>
          <w:sz w:val="24"/>
          <w:szCs w:val="24"/>
        </w:rPr>
        <w:t>GSL modifications</w:t>
      </w:r>
      <w:r w:rsidR="00CB21ED" w:rsidRPr="00CB0971">
        <w:rPr>
          <w:sz w:val="24"/>
          <w:szCs w:val="24"/>
        </w:rPr>
        <w:t xml:space="preserve"> were proposed in response to feedback including </w:t>
      </w:r>
      <w:r w:rsidR="00EB327C">
        <w:rPr>
          <w:sz w:val="24"/>
          <w:szCs w:val="24"/>
        </w:rPr>
        <w:t xml:space="preserve">the </w:t>
      </w:r>
      <w:r w:rsidR="007E6C69">
        <w:rPr>
          <w:sz w:val="24"/>
          <w:szCs w:val="24"/>
        </w:rPr>
        <w:br/>
      </w:r>
      <w:r w:rsidR="00CB21ED" w:rsidRPr="00CB0971">
        <w:rPr>
          <w:sz w:val="24"/>
          <w:szCs w:val="24"/>
        </w:rPr>
        <w:t>addition of a GSL</w:t>
      </w:r>
      <w:r w:rsidR="0015140F" w:rsidRPr="00CB0971">
        <w:rPr>
          <w:sz w:val="24"/>
          <w:szCs w:val="24"/>
        </w:rPr>
        <w:t xml:space="preserve"> relating to notification of planned water supply interruptions.</w:t>
      </w:r>
    </w:p>
    <w:p w14:paraId="2499BE2D" w14:textId="4E405B79" w:rsidR="006B229E" w:rsidRPr="00CB0971" w:rsidRDefault="00C849BE" w:rsidP="00CB0971">
      <w:pPr>
        <w:pStyle w:val="NormalIndent"/>
        <w:ind w:left="0"/>
        <w:rPr>
          <w:sz w:val="24"/>
          <w:szCs w:val="24"/>
        </w:rPr>
      </w:pPr>
      <w:r w:rsidRPr="00CB0971">
        <w:rPr>
          <w:sz w:val="24"/>
          <w:szCs w:val="24"/>
        </w:rPr>
        <w:t xml:space="preserve">More detail is provided in the </w:t>
      </w:r>
      <w:r w:rsidR="00ED62DF">
        <w:rPr>
          <w:sz w:val="24"/>
          <w:szCs w:val="24"/>
        </w:rPr>
        <w:t>supporting</w:t>
      </w:r>
      <w:r w:rsidRPr="00CB0971">
        <w:rPr>
          <w:sz w:val="24"/>
          <w:szCs w:val="24"/>
        </w:rPr>
        <w:t xml:space="preserve"> document </w:t>
      </w:r>
      <w:r w:rsidRPr="00CB0971">
        <w:rPr>
          <w:i/>
          <w:iCs/>
          <w:sz w:val="24"/>
          <w:szCs w:val="24"/>
        </w:rPr>
        <w:t>Closing the loop</w:t>
      </w:r>
      <w:r w:rsidRPr="00CB0971">
        <w:rPr>
          <w:sz w:val="24"/>
          <w:szCs w:val="24"/>
        </w:rPr>
        <w:t>.</w:t>
      </w:r>
    </w:p>
    <w:p w14:paraId="65B574DF" w14:textId="19C94176" w:rsidR="00072466" w:rsidRPr="00116E55" w:rsidRDefault="00072466" w:rsidP="00EC246F">
      <w:pPr>
        <w:pStyle w:val="Heading3"/>
      </w:pPr>
      <w:r w:rsidRPr="00EC246F">
        <w:t xml:space="preserve">Step </w:t>
      </w:r>
      <w:r w:rsidRPr="00116E55">
        <w:t xml:space="preserve">2: </w:t>
      </w:r>
      <w:r w:rsidR="00612583" w:rsidRPr="00116E55">
        <w:t>‘</w:t>
      </w:r>
      <w:r w:rsidR="007621C5" w:rsidRPr="00116E55">
        <w:t>Closing the loop</w:t>
      </w:r>
      <w:r w:rsidR="00612583" w:rsidRPr="00116E55">
        <w:t>’</w:t>
      </w:r>
      <w:r w:rsidR="007621C5" w:rsidRPr="00116E55">
        <w:t xml:space="preserve"> with the </w:t>
      </w:r>
      <w:r w:rsidR="009E4BE9" w:rsidRPr="00116E55">
        <w:t>c</w:t>
      </w:r>
      <w:r w:rsidR="007621C5" w:rsidRPr="00116E55">
        <w:t xml:space="preserve">ommunity </w:t>
      </w:r>
      <w:r w:rsidR="009E4BE9" w:rsidRPr="00116E55">
        <w:t>p</w:t>
      </w:r>
      <w:r w:rsidR="007621C5" w:rsidRPr="00116E55">
        <w:t>anel</w:t>
      </w:r>
    </w:p>
    <w:p w14:paraId="25480AE1" w14:textId="68603204" w:rsidR="00AC73A2" w:rsidRDefault="00157AE0" w:rsidP="00AC73A2">
      <w:r>
        <w:t>The second step</w:t>
      </w:r>
      <w:r w:rsidR="00AD7621">
        <w:t xml:space="preserve"> of incorporating </w:t>
      </w:r>
      <w:r w:rsidR="00BE6102">
        <w:t>customer views within th</w:t>
      </w:r>
      <w:r w:rsidR="00924153">
        <w:t>is price submission</w:t>
      </w:r>
      <w:r w:rsidR="00BE6102">
        <w:t xml:space="preserve"> was then </w:t>
      </w:r>
      <w:r w:rsidR="00F2124B">
        <w:br/>
      </w:r>
      <w:r w:rsidR="00BE6102">
        <w:t>to</w:t>
      </w:r>
      <w:r w:rsidR="0053433F">
        <w:t xml:space="preserve"> </w:t>
      </w:r>
      <w:r w:rsidR="00612583">
        <w:t>‘</w:t>
      </w:r>
      <w:r w:rsidR="009E4BE9">
        <w:t>c</w:t>
      </w:r>
      <w:r w:rsidR="00BE6102">
        <w:t xml:space="preserve">lose the </w:t>
      </w:r>
      <w:r w:rsidR="009E4BE9">
        <w:t>l</w:t>
      </w:r>
      <w:r w:rsidR="00BE6102">
        <w:t>oop</w:t>
      </w:r>
      <w:r w:rsidR="00612583">
        <w:t>’</w:t>
      </w:r>
      <w:r w:rsidR="00BE6102">
        <w:t xml:space="preserve"> by </w:t>
      </w:r>
      <w:r w:rsidR="00CB722A">
        <w:t>t</w:t>
      </w:r>
      <w:r w:rsidR="00540D9A">
        <w:t>est</w:t>
      </w:r>
      <w:r w:rsidR="00B40D31">
        <w:t>ing proposal</w:t>
      </w:r>
      <w:r w:rsidR="00924153">
        <w:t>s</w:t>
      </w:r>
      <w:r w:rsidR="00B40D31">
        <w:t xml:space="preserve"> </w:t>
      </w:r>
      <w:r w:rsidR="006B644D">
        <w:t xml:space="preserve">with the </w:t>
      </w:r>
      <w:r w:rsidR="009E4BE9">
        <w:t>c</w:t>
      </w:r>
      <w:r w:rsidR="007C504E">
        <w:t xml:space="preserve">ommunity </w:t>
      </w:r>
      <w:r w:rsidR="009E4BE9">
        <w:t>p</w:t>
      </w:r>
      <w:r w:rsidR="007C504E">
        <w:t>anel</w:t>
      </w:r>
      <w:r w:rsidR="006B644D">
        <w:t xml:space="preserve">. The </w:t>
      </w:r>
      <w:r w:rsidR="009E4BE9">
        <w:t>c</w:t>
      </w:r>
      <w:r w:rsidR="006B644D">
        <w:t xml:space="preserve">ommunity </w:t>
      </w:r>
      <w:r w:rsidR="009E4BE9">
        <w:t>p</w:t>
      </w:r>
      <w:r w:rsidR="006B644D">
        <w:t>anel was reconvened</w:t>
      </w:r>
      <w:r w:rsidR="007C504E">
        <w:t xml:space="preserve"> in May 2022</w:t>
      </w:r>
      <w:r w:rsidR="008F76BA">
        <w:t>.</w:t>
      </w:r>
      <w:r w:rsidR="00D47812">
        <w:t xml:space="preserve"> </w:t>
      </w:r>
      <w:r w:rsidR="00AC73A2">
        <w:t xml:space="preserve">Fifteen members of the </w:t>
      </w:r>
      <w:r w:rsidR="009E4BE9">
        <w:t>c</w:t>
      </w:r>
      <w:r w:rsidR="00AC73A2">
        <w:t xml:space="preserve">ommunity </w:t>
      </w:r>
      <w:r w:rsidR="009E4BE9">
        <w:t>p</w:t>
      </w:r>
      <w:r w:rsidR="00AC73A2">
        <w:t xml:space="preserve">anel attended the </w:t>
      </w:r>
      <w:r w:rsidR="009E4BE9">
        <w:t>r</w:t>
      </w:r>
      <w:r w:rsidR="00AC73A2">
        <w:t xml:space="preserve">ecall </w:t>
      </w:r>
      <w:r w:rsidR="009E4BE9">
        <w:t>d</w:t>
      </w:r>
      <w:r w:rsidR="00AC73A2">
        <w:t>ay.</w:t>
      </w:r>
    </w:p>
    <w:p w14:paraId="498C0F83" w14:textId="31FA58DD" w:rsidR="008F76BA" w:rsidRDefault="00AC73A2" w:rsidP="004E54AF">
      <w:pPr>
        <w:rPr>
          <w:rFonts w:eastAsia="Arial"/>
        </w:rPr>
      </w:pPr>
      <w:r>
        <w:t xml:space="preserve">The </w:t>
      </w:r>
      <w:r w:rsidR="00B753C5">
        <w:t>p</w:t>
      </w:r>
      <w:r>
        <w:t xml:space="preserve">anel deliberated and overwhelmingly endorsed the expenditure program as reflective of their recommendations. </w:t>
      </w:r>
      <w:r w:rsidR="00612583">
        <w:t>‘</w:t>
      </w:r>
      <w:r w:rsidR="00627002">
        <w:t>Comfort</w:t>
      </w:r>
      <w:r w:rsidR="00612583">
        <w:t>’</w:t>
      </w:r>
      <w:r w:rsidR="00627002">
        <w:t xml:space="preserve"> levels expressed </w:t>
      </w:r>
      <w:r w:rsidR="00F97CE8">
        <w:t xml:space="preserve">by the </w:t>
      </w:r>
      <w:r w:rsidR="000E6BD4">
        <w:t>community p</w:t>
      </w:r>
      <w:r w:rsidR="00F97CE8">
        <w:t>anel provided an a</w:t>
      </w:r>
      <w:r w:rsidR="004E54AF" w:rsidRPr="004E54AF">
        <w:rPr>
          <w:rFonts w:eastAsia="Arial"/>
        </w:rPr>
        <w:t>verage of 93% score for</w:t>
      </w:r>
      <w:r w:rsidR="004E54AF">
        <w:rPr>
          <w:rFonts w:eastAsia="Arial"/>
        </w:rPr>
        <w:t xml:space="preserve"> </w:t>
      </w:r>
      <w:r w:rsidR="00612583">
        <w:rPr>
          <w:rFonts w:eastAsia="Arial"/>
        </w:rPr>
        <w:t>‘</w:t>
      </w:r>
      <w:r w:rsidR="004E54AF" w:rsidRPr="004E54AF">
        <w:rPr>
          <w:rFonts w:eastAsia="Arial"/>
        </w:rPr>
        <w:t>Like it</w:t>
      </w:r>
      <w:r w:rsidR="00612583">
        <w:rPr>
          <w:rFonts w:eastAsia="Arial"/>
        </w:rPr>
        <w:t>’</w:t>
      </w:r>
      <w:r w:rsidR="004E54AF" w:rsidRPr="004E54AF">
        <w:rPr>
          <w:rFonts w:eastAsia="Arial"/>
        </w:rPr>
        <w:t xml:space="preserve"> and </w:t>
      </w:r>
      <w:r w:rsidR="00612583">
        <w:rPr>
          <w:rFonts w:eastAsia="Arial"/>
        </w:rPr>
        <w:t>‘</w:t>
      </w:r>
      <w:r w:rsidR="004E54AF" w:rsidRPr="004E54AF">
        <w:rPr>
          <w:rFonts w:eastAsia="Arial"/>
        </w:rPr>
        <w:t>Love it</w:t>
      </w:r>
      <w:r w:rsidR="00612583">
        <w:rPr>
          <w:rFonts w:eastAsia="Arial"/>
        </w:rPr>
        <w:t>’</w:t>
      </w:r>
      <w:r w:rsidR="004E54AF">
        <w:rPr>
          <w:rFonts w:eastAsia="Arial"/>
        </w:rPr>
        <w:t xml:space="preserve"> </w:t>
      </w:r>
      <w:r w:rsidR="004E54AF" w:rsidRPr="004E54AF">
        <w:rPr>
          <w:rFonts w:eastAsia="Arial"/>
        </w:rPr>
        <w:t>across all 8</w:t>
      </w:r>
      <w:r w:rsidR="004E54AF">
        <w:rPr>
          <w:rFonts w:eastAsia="Arial"/>
        </w:rPr>
        <w:t xml:space="preserve"> </w:t>
      </w:r>
      <w:r w:rsidR="004E54AF" w:rsidRPr="004E54AF">
        <w:rPr>
          <w:rFonts w:eastAsia="Arial"/>
        </w:rPr>
        <w:t>recommendations</w:t>
      </w:r>
      <w:r w:rsidR="00F50800">
        <w:rPr>
          <w:rFonts w:eastAsia="Arial"/>
        </w:rPr>
        <w:t>.</w:t>
      </w:r>
    </w:p>
    <w:p w14:paraId="6F3DD115" w14:textId="52100FFA" w:rsidR="00921697" w:rsidRDefault="00AC73A2" w:rsidP="00AC73A2">
      <w:r>
        <w:t>The strongest levels of comfort related to</w:t>
      </w:r>
      <w:r w:rsidR="00921697">
        <w:t xml:space="preserve">: </w:t>
      </w:r>
    </w:p>
    <w:p w14:paraId="6765FCD9" w14:textId="77777777" w:rsidR="00A264CA" w:rsidRDefault="00AC73A2">
      <w:pPr>
        <w:pStyle w:val="ListParagraph"/>
        <w:numPr>
          <w:ilvl w:val="0"/>
          <w:numId w:val="54"/>
        </w:numPr>
        <w:ind w:left="709"/>
      </w:pPr>
      <w:r w:rsidRPr="00DA37FF">
        <w:rPr>
          <w:i/>
          <w:iCs/>
        </w:rPr>
        <w:t>Recommendation 5: Digital meter rollout</w:t>
      </w:r>
    </w:p>
    <w:p w14:paraId="1F721B9A" w14:textId="28AFD71F" w:rsidR="00A264CA" w:rsidRDefault="00AC73A2">
      <w:pPr>
        <w:pStyle w:val="ListParagraph"/>
        <w:numPr>
          <w:ilvl w:val="0"/>
          <w:numId w:val="54"/>
        </w:numPr>
        <w:ind w:left="709"/>
      </w:pPr>
      <w:r w:rsidRPr="00E1725B">
        <w:rPr>
          <w:i/>
          <w:iCs/>
        </w:rPr>
        <w:t>Recommendation 6: Effective and efficient communication</w:t>
      </w:r>
      <w:r>
        <w:t xml:space="preserve"> </w:t>
      </w:r>
    </w:p>
    <w:p w14:paraId="0BD3A93C" w14:textId="5C78C032" w:rsidR="00A264CA" w:rsidRDefault="00AC73A2">
      <w:pPr>
        <w:pStyle w:val="ListParagraph"/>
        <w:numPr>
          <w:ilvl w:val="0"/>
          <w:numId w:val="54"/>
        </w:numPr>
        <w:ind w:left="709"/>
      </w:pPr>
      <w:r w:rsidRPr="00E1725B">
        <w:rPr>
          <w:i/>
          <w:iCs/>
        </w:rPr>
        <w:t>Recommendation 8: Affordable and accessible services</w:t>
      </w:r>
      <w:r>
        <w:t xml:space="preserve">. </w:t>
      </w:r>
    </w:p>
    <w:p w14:paraId="5BE799CD" w14:textId="64994226" w:rsidR="00AC73A2" w:rsidRDefault="00AC73A2" w:rsidP="00AC73A2">
      <w:r>
        <w:lastRenderedPageBreak/>
        <w:t xml:space="preserve">The lowest level of comfort was with </w:t>
      </w:r>
      <w:r w:rsidRPr="00E1725B">
        <w:rPr>
          <w:i/>
          <w:iCs/>
        </w:rPr>
        <w:t>Recommendation 3: Water security awareness</w:t>
      </w:r>
      <w:r w:rsidR="00A2717D">
        <w:rPr>
          <w:i/>
          <w:iCs/>
        </w:rPr>
        <w:t xml:space="preserve"> </w:t>
      </w:r>
      <w:r w:rsidR="00A2717D">
        <w:t xml:space="preserve">where panel members expressed </w:t>
      </w:r>
      <w:r w:rsidR="00D41752">
        <w:t>a</w:t>
      </w:r>
      <w:r w:rsidR="00B02EE8">
        <w:t xml:space="preserve"> preference for lower investment</w:t>
      </w:r>
      <w:r>
        <w:t>.</w:t>
      </w:r>
    </w:p>
    <w:p w14:paraId="426DFEE6" w14:textId="62D593DC" w:rsidR="006D2A5C" w:rsidRPr="00175866" w:rsidRDefault="006D2A5C" w:rsidP="008E132A">
      <w:pPr>
        <w:pStyle w:val="Heading2"/>
      </w:pPr>
      <w:bookmarkStart w:id="32" w:name="_Toc103770913"/>
      <w:r>
        <w:t>2.</w:t>
      </w:r>
      <w:r w:rsidR="00C52151">
        <w:t>5</w:t>
      </w:r>
      <w:r>
        <w:t xml:space="preserve"> Ongoing culture of embedded engagement</w:t>
      </w:r>
      <w:bookmarkEnd w:id="32"/>
    </w:p>
    <w:p w14:paraId="10D8A1D0" w14:textId="774E0DED" w:rsidR="006D2A5C" w:rsidRDefault="00DE0DFC" w:rsidP="006D2A5C">
      <w:r>
        <w:t xml:space="preserve">South East Water </w:t>
      </w:r>
      <w:r w:rsidR="001610E4">
        <w:t>does not limit</w:t>
      </w:r>
      <w:r w:rsidR="00795FF5">
        <w:t xml:space="preserve"> its engagement with customers and stakeholders to </w:t>
      </w:r>
      <w:r w:rsidR="004C535F">
        <w:t xml:space="preserve">the process of preparing </w:t>
      </w:r>
      <w:r w:rsidR="00595756">
        <w:t xml:space="preserve">our price submission. </w:t>
      </w:r>
      <w:r w:rsidR="00267232">
        <w:t>Involving and engaging with our customers and community is an important part of our day-to-day business culture</w:t>
      </w:r>
      <w:r w:rsidR="00364677">
        <w:t xml:space="preserve"> </w:t>
      </w:r>
      <w:r w:rsidR="00267232">
        <w:t>and operation.</w:t>
      </w:r>
    </w:p>
    <w:p w14:paraId="02E0BCEF" w14:textId="4A4B8DD0" w:rsidR="00013ED4" w:rsidRDefault="00747CD7" w:rsidP="00013ED4">
      <w:r>
        <w:t xml:space="preserve">We </w:t>
      </w:r>
      <w:r w:rsidR="00013ED4">
        <w:t>ha</w:t>
      </w:r>
      <w:r>
        <w:t>ve</w:t>
      </w:r>
      <w:r w:rsidR="00013ED4">
        <w:t xml:space="preserve"> an ongoing customer insights program to help provide an understanding of what is important to our customers and how they feel with respect to value-for-money, trust, reputation and overall satisfaction. The outcome of the program helps inform the organisation on investment priorities and customer improvement initiatives.</w:t>
      </w:r>
    </w:p>
    <w:p w14:paraId="2327EDC6" w14:textId="0E72B956" w:rsidR="00013ED4" w:rsidRDefault="00013ED4" w:rsidP="00013ED4">
      <w:r>
        <w:t>The program adopts a multi-pronged approach to ensure that we consider various sources of information f</w:t>
      </w:r>
      <w:r w:rsidR="00536119">
        <w:t>ro</w:t>
      </w:r>
      <w:r w:rsidR="001343D9">
        <w:t>m</w:t>
      </w:r>
      <w:r>
        <w:t xml:space="preserve"> a moment in time as well as from a longitudinal perspective.</w:t>
      </w:r>
    </w:p>
    <w:p w14:paraId="6F17BAA3" w14:textId="7E2AF6B6" w:rsidR="00013ED4" w:rsidRDefault="00013ED4" w:rsidP="00013ED4">
      <w:r>
        <w:t>Key elements of the customer insights program include:</w:t>
      </w:r>
    </w:p>
    <w:p w14:paraId="7C5FED0E" w14:textId="4547B47F" w:rsidR="00013ED4" w:rsidRPr="00116E55" w:rsidRDefault="00013ED4" w:rsidP="00EC246F">
      <w:pPr>
        <w:pStyle w:val="Heading3"/>
      </w:pPr>
      <w:r w:rsidRPr="00EC246F">
        <w:t>1.</w:t>
      </w:r>
      <w:r w:rsidR="000B06C5" w:rsidRPr="00116E55">
        <w:t xml:space="preserve"> </w:t>
      </w:r>
      <w:r w:rsidRPr="00116E55">
        <w:t>Daily post-transaction customer feedback (surveys)</w:t>
      </w:r>
    </w:p>
    <w:p w14:paraId="7B3D7F7C" w14:textId="4D6BC082" w:rsidR="00013ED4" w:rsidRDefault="00013ED4" w:rsidP="00013ED4">
      <w:r>
        <w:t>On average, we conduct and analyse (290,000 – issued</w:t>
      </w:r>
      <w:r w:rsidR="00E27178">
        <w:t>/</w:t>
      </w:r>
      <w:r>
        <w:t xml:space="preserve">23,000 – received) post-transaction surveys each year </w:t>
      </w:r>
      <w:r w:rsidR="004F0C55">
        <w:t>that</w:t>
      </w:r>
      <w:r>
        <w:t xml:space="preserve"> provide insight</w:t>
      </w:r>
      <w:r w:rsidR="004F0C55">
        <w:t>s</w:t>
      </w:r>
      <w:r>
        <w:t xml:space="preserve"> on a weekly, monthly, quarterly, and annual basis. Th</w:t>
      </w:r>
      <w:r w:rsidR="003A25A4">
        <w:t>ese</w:t>
      </w:r>
      <w:r>
        <w:t xml:space="preserve"> allow us to understand </w:t>
      </w:r>
      <w:r w:rsidR="00BE0E80">
        <w:t>customer sentiment</w:t>
      </w:r>
      <w:r>
        <w:t xml:space="preserve"> at a granular level with respect to a broad range of matters including customer service quality, customer billing experiences and water service delivery. At present, we gain customer feedback through</w:t>
      </w:r>
      <w:r w:rsidR="00CB693F">
        <w:t xml:space="preserve"> </w:t>
      </w:r>
      <w:r w:rsidR="00F2124B">
        <w:br/>
      </w:r>
      <w:r w:rsidR="00584B94">
        <w:t>5</w:t>
      </w:r>
      <w:r w:rsidR="001A759E">
        <w:t xml:space="preserve"> </w:t>
      </w:r>
      <w:r>
        <w:t>transactional channels (customer contact centre, payments and affordability, customer</w:t>
      </w:r>
      <w:r w:rsidR="000131DC">
        <w:t xml:space="preserve"> </w:t>
      </w:r>
      <w:r>
        <w:t>portal, faults and emergencies</w:t>
      </w:r>
      <w:r w:rsidR="005C07B0">
        <w:t>,</w:t>
      </w:r>
      <w:r>
        <w:t xml:space="preserve"> and unplanned water interruption events).</w:t>
      </w:r>
    </w:p>
    <w:p w14:paraId="0150C2AB" w14:textId="75C738C3" w:rsidR="00013ED4" w:rsidRPr="000A1D2B" w:rsidRDefault="00013ED4" w:rsidP="00EC246F">
      <w:pPr>
        <w:pStyle w:val="Heading3"/>
      </w:pPr>
      <w:r>
        <w:t>2</w:t>
      </w:r>
      <w:r w:rsidRPr="000A1D2B">
        <w:t>.</w:t>
      </w:r>
      <w:r w:rsidR="00724C00" w:rsidRPr="000A1D2B">
        <w:t xml:space="preserve"> </w:t>
      </w:r>
      <w:r w:rsidRPr="000A1D2B">
        <w:t>Monthly field</w:t>
      </w:r>
      <w:r w:rsidR="00C26BB8">
        <w:t xml:space="preserve"> </w:t>
      </w:r>
      <w:r w:rsidRPr="000A1D2B">
        <w:t>surveys</w:t>
      </w:r>
    </w:p>
    <w:p w14:paraId="0E3DB5AC" w14:textId="16171BAF" w:rsidR="00013ED4" w:rsidRDefault="00013ED4" w:rsidP="00013ED4">
      <w:r>
        <w:t xml:space="preserve">Each month, </w:t>
      </w:r>
      <w:r w:rsidR="005F4933">
        <w:t xml:space="preserve">we </w:t>
      </w:r>
      <w:r>
        <w:t>conduct over 200 field</w:t>
      </w:r>
      <w:r w:rsidR="0026589F">
        <w:t xml:space="preserve"> </w:t>
      </w:r>
      <w:r>
        <w:t>surveys (Brand</w:t>
      </w:r>
      <w:r w:rsidR="005C07B0">
        <w:t xml:space="preserve"> </w:t>
      </w:r>
      <w:r>
        <w:t>tracker) to understand the most important factors that influence our customers</w:t>
      </w:r>
      <w:r w:rsidR="00612583">
        <w:t>’</w:t>
      </w:r>
      <w:r>
        <w:t xml:space="preserve"> perception and how that translates to operational priorities and improvements.</w:t>
      </w:r>
    </w:p>
    <w:p w14:paraId="706F4051" w14:textId="137EF970" w:rsidR="00013ED4" w:rsidRPr="00940833" w:rsidRDefault="004F0C55" w:rsidP="00EC246F">
      <w:pPr>
        <w:pStyle w:val="Heading3"/>
      </w:pPr>
      <w:r>
        <w:t>3</w:t>
      </w:r>
      <w:r w:rsidR="00013ED4" w:rsidRPr="00940833">
        <w:t>.</w:t>
      </w:r>
      <w:r w:rsidR="00724C00" w:rsidRPr="00940833">
        <w:t xml:space="preserve"> </w:t>
      </w:r>
      <w:r w:rsidR="00013ED4" w:rsidRPr="00940833">
        <w:t>Weekly network services surveys</w:t>
      </w:r>
    </w:p>
    <w:p w14:paraId="53E6093E" w14:textId="12773AB2" w:rsidR="00013ED4" w:rsidRDefault="00013ED4" w:rsidP="00013ED4">
      <w:r>
        <w:t xml:space="preserve">Each week we send digital </w:t>
      </w:r>
      <w:r w:rsidR="0021149B">
        <w:t xml:space="preserve">feedback </w:t>
      </w:r>
      <w:r>
        <w:t xml:space="preserve">surveys to customers who had contacted us to report a water or sewer issue </w:t>
      </w:r>
      <w:r w:rsidR="0021149B">
        <w:t>or</w:t>
      </w:r>
      <w:r>
        <w:t xml:space="preserve"> recently had work completed at their property. This gives them the opportunity to provide feedback and score us from 1 (poor) to 10 (excellent) on service, attitude, time to repair and overall thoughts on their experience and the organisation. These surveys and scores are used to inform our customer satisfaction scores (CSAT), contractor performance reports and KPIs, </w:t>
      </w:r>
      <w:r w:rsidR="00924153">
        <w:t>and</w:t>
      </w:r>
      <w:r>
        <w:t xml:space="preserve"> identify opportunities for improvement and allow us to follow up directly with customers to resolve issues. </w:t>
      </w:r>
    </w:p>
    <w:p w14:paraId="3AFD68EA" w14:textId="28672D8D" w:rsidR="00013ED4" w:rsidRPr="000B26DD" w:rsidRDefault="004F0C55" w:rsidP="00EC246F">
      <w:pPr>
        <w:pStyle w:val="Heading3"/>
      </w:pPr>
      <w:r>
        <w:t>4</w:t>
      </w:r>
      <w:r w:rsidR="00013ED4" w:rsidRPr="000B26DD">
        <w:t>.</w:t>
      </w:r>
      <w:r w:rsidR="00724C00" w:rsidRPr="000B26DD">
        <w:t xml:space="preserve"> </w:t>
      </w:r>
      <w:r w:rsidR="00013ED4" w:rsidRPr="000B26DD">
        <w:t>Customer engagement data analysis</w:t>
      </w:r>
    </w:p>
    <w:p w14:paraId="1552748D" w14:textId="1B241BCA" w:rsidR="00013ED4" w:rsidRDefault="00013ED4" w:rsidP="00013ED4">
      <w:r>
        <w:t>To complement the insights gained from the customer feedback and field</w:t>
      </w:r>
      <w:r w:rsidR="00EA0D11">
        <w:t xml:space="preserve"> </w:t>
      </w:r>
      <w:r>
        <w:t>surveys, we conduct analysis on transaction data including customer verbatims and engagement trends to enrich our learnings and inform further customer research focus areas.</w:t>
      </w:r>
    </w:p>
    <w:p w14:paraId="174E1134" w14:textId="60A047CD" w:rsidR="00013ED4" w:rsidRPr="000B26DD" w:rsidRDefault="004F0C55" w:rsidP="00855404">
      <w:pPr>
        <w:pStyle w:val="Heading3"/>
        <w:rPr>
          <w:b w:val="0"/>
        </w:rPr>
      </w:pPr>
      <w:r w:rsidRPr="00EC246F">
        <w:t>5</w:t>
      </w:r>
      <w:r w:rsidR="00013ED4" w:rsidRPr="00116E55">
        <w:t>.</w:t>
      </w:r>
      <w:r w:rsidR="00724C00" w:rsidRPr="00116E55">
        <w:t xml:space="preserve"> </w:t>
      </w:r>
      <w:r w:rsidR="00013ED4" w:rsidRPr="00116E55">
        <w:t>Focused customer research</w:t>
      </w:r>
    </w:p>
    <w:p w14:paraId="1B273AAB" w14:textId="7FEF71FD" w:rsidR="00013ED4" w:rsidRDefault="00013ED4" w:rsidP="00013ED4">
      <w:r>
        <w:t xml:space="preserve">To support </w:t>
      </w:r>
      <w:r w:rsidR="00E170D3">
        <w:t>key</w:t>
      </w:r>
      <w:r>
        <w:t xml:space="preserve"> outputs from customer research </w:t>
      </w:r>
      <w:r w:rsidR="00E170D3">
        <w:t>that relate to</w:t>
      </w:r>
      <w:r>
        <w:t xml:space="preserve"> water literacy</w:t>
      </w:r>
      <w:r w:rsidR="00740648">
        <w:t xml:space="preserve"> and </w:t>
      </w:r>
      <w:r>
        <w:t>lower</w:t>
      </w:r>
      <w:r w:rsidR="009D545B">
        <w:t>ing</w:t>
      </w:r>
      <w:r>
        <w:t xml:space="preserve"> bills </w:t>
      </w:r>
      <w:r w:rsidR="009D545B">
        <w:t>through behaviour change</w:t>
      </w:r>
      <w:r>
        <w:t xml:space="preserve">, we have developed more focused research programs to </w:t>
      </w:r>
      <w:r w:rsidR="00461546">
        <w:lastRenderedPageBreak/>
        <w:t xml:space="preserve">enhance our </w:t>
      </w:r>
      <w:r>
        <w:t>understand</w:t>
      </w:r>
      <w:r w:rsidR="00461546">
        <w:t xml:space="preserve">ing </w:t>
      </w:r>
      <w:r w:rsidR="00BE3822">
        <w:t>in terms</w:t>
      </w:r>
      <w:r>
        <w:t xml:space="preserve"> </w:t>
      </w:r>
      <w:r w:rsidR="00652199">
        <w:t xml:space="preserve">of </w:t>
      </w:r>
      <w:r>
        <w:t xml:space="preserve">customer behaviour and what </w:t>
      </w:r>
      <w:r w:rsidR="00E751F9">
        <w:t xml:space="preserve">measures </w:t>
      </w:r>
      <w:r w:rsidR="00740648">
        <w:t>we can use to</w:t>
      </w:r>
      <w:r>
        <w:t xml:space="preserve"> encourage customer behaviour change.</w:t>
      </w:r>
    </w:p>
    <w:p w14:paraId="4B026167" w14:textId="30E9BF95" w:rsidR="00013ED4" w:rsidRPr="00652199" w:rsidRDefault="004F0C55" w:rsidP="00EC246F">
      <w:pPr>
        <w:pStyle w:val="Heading3"/>
      </w:pPr>
      <w:r>
        <w:t>6</w:t>
      </w:r>
      <w:r w:rsidR="00013ED4" w:rsidRPr="00652199">
        <w:t>.</w:t>
      </w:r>
      <w:r w:rsidR="00724C00" w:rsidRPr="00652199">
        <w:t xml:space="preserve"> </w:t>
      </w:r>
      <w:r w:rsidR="00013ED4" w:rsidRPr="00652199">
        <w:t>Expanding the customer insights program</w:t>
      </w:r>
    </w:p>
    <w:p w14:paraId="2A781D21" w14:textId="1566EB44" w:rsidR="00013ED4" w:rsidRDefault="000703A5" w:rsidP="00013ED4">
      <w:r>
        <w:t>W</w:t>
      </w:r>
      <w:r w:rsidR="0090526E">
        <w:t xml:space="preserve">e </w:t>
      </w:r>
      <w:r>
        <w:t>have</w:t>
      </w:r>
      <w:r w:rsidR="0090526E">
        <w:t xml:space="preserve"> recruited</w:t>
      </w:r>
      <w:r w:rsidR="00013ED4">
        <w:t xml:space="preserve"> customer research expert</w:t>
      </w:r>
      <w:r>
        <w:t>s</w:t>
      </w:r>
      <w:r w:rsidR="001E73B9">
        <w:t>,</w:t>
      </w:r>
      <w:r w:rsidR="00013ED4">
        <w:t xml:space="preserve"> </w:t>
      </w:r>
      <w:r w:rsidR="00574071">
        <w:t xml:space="preserve">who </w:t>
      </w:r>
      <w:r w:rsidR="00056513">
        <w:t>give us the capacity</w:t>
      </w:r>
      <w:r w:rsidR="00013ED4">
        <w:t xml:space="preserve"> to further embed customer insights in our core business and </w:t>
      </w:r>
      <w:r w:rsidR="00056513">
        <w:t xml:space="preserve">to </w:t>
      </w:r>
      <w:r w:rsidR="00013ED4">
        <w:t>incorporate ongoing customer focus groups</w:t>
      </w:r>
      <w:r w:rsidR="00306F3C">
        <w:t>,</w:t>
      </w:r>
      <w:r w:rsidR="00013ED4">
        <w:t xml:space="preserve"> with the aim of tailoring services to meet specific </w:t>
      </w:r>
      <w:r w:rsidR="009D220A">
        <w:t xml:space="preserve">customer segments. </w:t>
      </w:r>
    </w:p>
    <w:p w14:paraId="5D02343B" w14:textId="21BDFADF" w:rsidR="00013ED4" w:rsidRPr="00306F3C" w:rsidRDefault="004F0C55" w:rsidP="00EC246F">
      <w:pPr>
        <w:pStyle w:val="Heading3"/>
      </w:pPr>
      <w:r>
        <w:t>7</w:t>
      </w:r>
      <w:r w:rsidR="00013ED4" w:rsidRPr="00306F3C">
        <w:t>.</w:t>
      </w:r>
      <w:r w:rsidR="00724C00" w:rsidRPr="00306F3C">
        <w:t xml:space="preserve"> </w:t>
      </w:r>
      <w:r w:rsidR="00612583">
        <w:t>‘</w:t>
      </w:r>
      <w:r w:rsidR="00013ED4" w:rsidRPr="00306F3C">
        <w:t xml:space="preserve">Closing the </w:t>
      </w:r>
      <w:r w:rsidR="00080C50" w:rsidRPr="00306F3C">
        <w:t>l</w:t>
      </w:r>
      <w:r w:rsidR="00013ED4" w:rsidRPr="00306F3C">
        <w:t>oop</w:t>
      </w:r>
      <w:r w:rsidR="00612583">
        <w:t>’</w:t>
      </w:r>
      <w:r w:rsidR="00013ED4" w:rsidRPr="00306F3C">
        <w:t xml:space="preserve"> with continuous learning</w:t>
      </w:r>
    </w:p>
    <w:p w14:paraId="0E9ECC87" w14:textId="4A68BE98" w:rsidR="00013ED4" w:rsidRDefault="00013ED4" w:rsidP="00013ED4">
      <w:r>
        <w:t>When our customers rate us below 6 for satisfaction, we conduct an internal review of the transaction to understand where we can improve</w:t>
      </w:r>
      <w:r w:rsidR="00924153">
        <w:t>. This</w:t>
      </w:r>
      <w:r>
        <w:t xml:space="preserve"> can include coaching and development for our teams, system improvements and conversations with our customers.</w:t>
      </w:r>
      <w:r w:rsidR="00A1315F">
        <w:t xml:space="preserve"> </w:t>
      </w:r>
    </w:p>
    <w:p w14:paraId="33272079" w14:textId="23ECD9C2" w:rsidR="00621FD4" w:rsidRDefault="009D220A" w:rsidP="00252DE4">
      <w:r>
        <w:t xml:space="preserve">In addition to the above </w:t>
      </w:r>
      <w:r w:rsidR="00EA5776">
        <w:t>insights program</w:t>
      </w:r>
      <w:r w:rsidR="00FB0788">
        <w:t>,</w:t>
      </w:r>
      <w:r w:rsidR="001E52AA">
        <w:t xml:space="preserve"> </w:t>
      </w:r>
      <w:r w:rsidR="005B59DD">
        <w:t xml:space="preserve">we will enhance our capabilities </w:t>
      </w:r>
      <w:r w:rsidR="004D55DC">
        <w:t>through digital</w:t>
      </w:r>
      <w:r w:rsidR="006E17A2">
        <w:t xml:space="preserve"> metering</w:t>
      </w:r>
      <w:r w:rsidR="00661140">
        <w:t xml:space="preserve"> </w:t>
      </w:r>
      <w:r w:rsidR="006E17A2">
        <w:t xml:space="preserve">and </w:t>
      </w:r>
      <w:r w:rsidR="00291B12">
        <w:t xml:space="preserve">customer management systems </w:t>
      </w:r>
      <w:r w:rsidR="00915097">
        <w:t>that</w:t>
      </w:r>
      <w:r w:rsidR="00291B12">
        <w:t xml:space="preserve"> will </w:t>
      </w:r>
      <w:r w:rsidR="00A74FEC">
        <w:t xml:space="preserve">improve </w:t>
      </w:r>
      <w:r w:rsidR="00E307FC">
        <w:t xml:space="preserve">our understanding of customers and </w:t>
      </w:r>
      <w:r w:rsidR="00D10FA5">
        <w:t xml:space="preserve">allow us to </w:t>
      </w:r>
      <w:r w:rsidR="003B03D4">
        <w:t xml:space="preserve">respond to </w:t>
      </w:r>
      <w:r w:rsidR="00D10FA5">
        <w:t>their</w:t>
      </w:r>
      <w:r w:rsidR="003B03D4">
        <w:t xml:space="preserve"> </w:t>
      </w:r>
      <w:r w:rsidR="001100EC">
        <w:t>needs more effectively.</w:t>
      </w:r>
    </w:p>
    <w:p w14:paraId="0152B3A7" w14:textId="58EE2E8E" w:rsidR="00834567" w:rsidRDefault="003128E4" w:rsidP="00252DE4">
      <w:r>
        <w:t>Finally, our C</w:t>
      </w:r>
      <w:r w:rsidR="00A7334B">
        <w:t>CA</w:t>
      </w:r>
      <w:r>
        <w:t xml:space="preserve">C will continue to play a vital role in helping </w:t>
      </w:r>
      <w:r w:rsidR="00854AA2">
        <w:t>us</w:t>
      </w:r>
      <w:r>
        <w:t xml:space="preserve"> to connect with and understand our communities.</w:t>
      </w:r>
      <w:r w:rsidR="000C72F5">
        <w:t xml:space="preserve"> </w:t>
      </w:r>
    </w:p>
    <w:p w14:paraId="1904728C" w14:textId="77777777" w:rsidR="00EC246F" w:rsidRDefault="00EC246F" w:rsidP="00252DE4"/>
    <w:p w14:paraId="453F7AFA" w14:textId="1FF4F40B" w:rsidR="006D2A5C" w:rsidRDefault="006D2A5C" w:rsidP="008E132A">
      <w:pPr>
        <w:pStyle w:val="Heading2"/>
      </w:pPr>
      <w:bookmarkStart w:id="33" w:name="_Toc103770914"/>
      <w:r>
        <w:t>2.</w:t>
      </w:r>
      <w:r w:rsidR="00C52151">
        <w:t>6</w:t>
      </w:r>
      <w:r>
        <w:t xml:space="preserve"> PREMO summary </w:t>
      </w:r>
      <w:r w:rsidR="007D4EB3">
        <w:t>–</w:t>
      </w:r>
      <w:r>
        <w:t xml:space="preserve"> Engagement</w:t>
      </w:r>
      <w:bookmarkEnd w:id="33"/>
    </w:p>
    <w:p w14:paraId="7D8AB7CF" w14:textId="161ABF84" w:rsidR="00552951" w:rsidRDefault="00E0331E" w:rsidP="00552951">
      <w:r>
        <w:t>Table 10</w:t>
      </w:r>
      <w:r w:rsidR="00FF2D7E">
        <w:t xml:space="preserve"> </w:t>
      </w:r>
      <w:r w:rsidR="00552951">
        <w:t>provides our responses to the ESC</w:t>
      </w:r>
      <w:r w:rsidR="00612583">
        <w:t>’</w:t>
      </w:r>
      <w:r w:rsidR="00552951">
        <w:t>s guiding questions for PREMO assessment in relation to the Engagement element.</w:t>
      </w:r>
    </w:p>
    <w:p w14:paraId="76A7B21B" w14:textId="4C98B6DF" w:rsidR="006C0A3B" w:rsidRPr="00970B09" w:rsidRDefault="006C0A3B" w:rsidP="007E6C69">
      <w:pPr>
        <w:pStyle w:val="Caption"/>
        <w:spacing w:after="240"/>
        <w:rPr>
          <w:rFonts w:eastAsia="Arial"/>
          <w:i/>
          <w:sz w:val="22"/>
          <w:szCs w:val="22"/>
        </w:rPr>
      </w:pPr>
      <w:bookmarkStart w:id="34" w:name="_Hlk114230417"/>
      <w:r w:rsidRPr="00CE6C4E">
        <w:rPr>
          <w:i/>
          <w:sz w:val="22"/>
          <w:szCs w:val="22"/>
        </w:rPr>
        <w:t xml:space="preserve">Table </w:t>
      </w:r>
      <w:r w:rsidR="006F6A12" w:rsidRPr="00CE6C4E">
        <w:rPr>
          <w:b w:val="0"/>
          <w:bCs/>
          <w:i/>
          <w:iCs w:val="0"/>
          <w:sz w:val="22"/>
          <w:szCs w:val="22"/>
        </w:rPr>
        <w:fldChar w:fldCharType="begin"/>
      </w:r>
      <w:r w:rsidR="006F6A12" w:rsidRPr="00CE6C4E">
        <w:rPr>
          <w:bCs/>
          <w:i/>
          <w:iCs w:val="0"/>
          <w:sz w:val="22"/>
          <w:szCs w:val="22"/>
        </w:rPr>
        <w:instrText>SEQ Table \* ARABIC</w:instrText>
      </w:r>
      <w:r w:rsidR="006F6A12" w:rsidRPr="00CE6C4E">
        <w:rPr>
          <w:b w:val="0"/>
          <w:bCs/>
          <w:i/>
          <w:iCs w:val="0"/>
          <w:sz w:val="22"/>
          <w:szCs w:val="22"/>
        </w:rPr>
        <w:fldChar w:fldCharType="separate"/>
      </w:r>
      <w:r w:rsidR="006F6A12">
        <w:rPr>
          <w:bCs/>
          <w:i/>
          <w:iCs w:val="0"/>
          <w:noProof/>
          <w:sz w:val="22"/>
          <w:szCs w:val="22"/>
        </w:rPr>
        <w:t>10</w:t>
      </w:r>
      <w:r w:rsidR="006F6A12" w:rsidRPr="00CE6C4E">
        <w:rPr>
          <w:b w:val="0"/>
          <w:bCs/>
          <w:i/>
          <w:iCs w:val="0"/>
          <w:sz w:val="22"/>
          <w:szCs w:val="22"/>
        </w:rPr>
        <w:fldChar w:fldCharType="end"/>
      </w:r>
      <w:r w:rsidRPr="00970B09">
        <w:rPr>
          <w:i/>
          <w:sz w:val="22"/>
          <w:szCs w:val="22"/>
        </w:rPr>
        <w:t>: Response</w:t>
      </w:r>
      <w:r w:rsidR="00D75F40" w:rsidRPr="00970B09">
        <w:rPr>
          <w:i/>
          <w:sz w:val="22"/>
          <w:szCs w:val="22"/>
        </w:rPr>
        <w:t>s</w:t>
      </w:r>
      <w:r w:rsidRPr="00970B09">
        <w:rPr>
          <w:i/>
          <w:sz w:val="22"/>
          <w:szCs w:val="22"/>
        </w:rPr>
        <w:t xml:space="preserve"> to engagement </w:t>
      </w:r>
      <w:r w:rsidR="00D75F40" w:rsidRPr="00970B09">
        <w:rPr>
          <w:i/>
          <w:sz w:val="22"/>
          <w:szCs w:val="22"/>
        </w:rPr>
        <w:t>guiding questions</w:t>
      </w:r>
    </w:p>
    <w:tbl>
      <w:tblPr>
        <w:tblStyle w:val="GridTable4-Accent2"/>
        <w:tblW w:w="5000" w:type="pct"/>
        <w:tblInd w:w="-10" w:type="dxa"/>
        <w:tblBorders>
          <w:top w:val="single" w:sz="8" w:space="0" w:color="002279"/>
          <w:left w:val="single" w:sz="8" w:space="0" w:color="002279"/>
          <w:bottom w:val="single" w:sz="8" w:space="0" w:color="002279"/>
          <w:right w:val="single" w:sz="8" w:space="0" w:color="002279"/>
          <w:insideH w:val="single" w:sz="8" w:space="0" w:color="002279"/>
          <w:insideV w:val="single" w:sz="8" w:space="0" w:color="002279"/>
        </w:tblBorders>
        <w:tblLook w:val="0620" w:firstRow="1" w:lastRow="0" w:firstColumn="0" w:lastColumn="0" w:noHBand="1" w:noVBand="1"/>
      </w:tblPr>
      <w:tblGrid>
        <w:gridCol w:w="2864"/>
        <w:gridCol w:w="6719"/>
      </w:tblGrid>
      <w:tr w:rsidR="003B74C9" w:rsidRPr="00B052BE" w14:paraId="30F4C40C" w14:textId="77777777" w:rsidTr="00F2124B">
        <w:trPr>
          <w:cnfStyle w:val="100000000000" w:firstRow="1" w:lastRow="0" w:firstColumn="0" w:lastColumn="0" w:oddVBand="0" w:evenVBand="0" w:oddHBand="0" w:evenHBand="0" w:firstRowFirstColumn="0" w:firstRowLastColumn="0" w:lastRowFirstColumn="0" w:lastRowLastColumn="0"/>
          <w:trHeight w:val="370"/>
          <w:tblHeader/>
        </w:trPr>
        <w:tc>
          <w:tcPr>
            <w:tcW w:w="0" w:type="dxa"/>
            <w:tcBorders>
              <w:top w:val="single" w:sz="4" w:space="0" w:color="002279"/>
              <w:left w:val="single" w:sz="4" w:space="0" w:color="002279"/>
              <w:bottom w:val="single" w:sz="4" w:space="0" w:color="002279"/>
              <w:right w:val="single" w:sz="4" w:space="0" w:color="FFFFFF" w:themeColor="background1"/>
            </w:tcBorders>
            <w:shd w:val="clear" w:color="auto" w:fill="002279"/>
          </w:tcPr>
          <w:bookmarkEnd w:id="34"/>
          <w:p w14:paraId="52B37D89" w14:textId="26AA501A" w:rsidR="000C3AB5" w:rsidRPr="00F2124B" w:rsidRDefault="00793B7B" w:rsidP="004C71AE">
            <w:pPr>
              <w:pStyle w:val="ListAlpha"/>
              <w:rPr>
                <w:b/>
                <w:bCs/>
              </w:rPr>
            </w:pPr>
            <w:r w:rsidRPr="00F2124B">
              <w:rPr>
                <w:b/>
                <w:bCs/>
              </w:rPr>
              <w:t>Guiding question</w:t>
            </w:r>
          </w:p>
        </w:tc>
        <w:tc>
          <w:tcPr>
            <w:tcW w:w="0" w:type="dxa"/>
            <w:tcBorders>
              <w:top w:val="single" w:sz="4" w:space="0" w:color="002279"/>
              <w:left w:val="single" w:sz="4" w:space="0" w:color="FFFFFF" w:themeColor="background1"/>
              <w:bottom w:val="single" w:sz="4" w:space="0" w:color="002279"/>
              <w:right w:val="single" w:sz="4" w:space="0" w:color="002279"/>
            </w:tcBorders>
            <w:shd w:val="clear" w:color="auto" w:fill="002279"/>
          </w:tcPr>
          <w:p w14:paraId="200312CB" w14:textId="7858E850" w:rsidR="000C3AB5" w:rsidRPr="00F2124B" w:rsidRDefault="00793B7B" w:rsidP="004C71AE">
            <w:pPr>
              <w:pStyle w:val="ListAlpha"/>
              <w:rPr>
                <w:b/>
                <w:bCs/>
              </w:rPr>
            </w:pPr>
            <w:r w:rsidRPr="00F2124B">
              <w:rPr>
                <w:b/>
                <w:bCs/>
              </w:rPr>
              <w:t>Response</w:t>
            </w:r>
          </w:p>
        </w:tc>
      </w:tr>
      <w:tr w:rsidR="00A7554B" w:rsidRPr="00B052BE" w14:paraId="68B5937B" w14:textId="77777777" w:rsidTr="00F2124B">
        <w:tc>
          <w:tcPr>
            <w:tcW w:w="0" w:type="dxa"/>
            <w:tcBorders>
              <w:top w:val="single" w:sz="4" w:space="0" w:color="002279"/>
            </w:tcBorders>
            <w:shd w:val="clear" w:color="auto" w:fill="D4D6DF"/>
            <w:vAlign w:val="top"/>
          </w:tcPr>
          <w:p w14:paraId="3911D315" w14:textId="6DB1328B" w:rsidR="000C3AB5" w:rsidRPr="00116E55" w:rsidRDefault="00C54C3A" w:rsidP="00C54C3A">
            <w:pPr>
              <w:pStyle w:val="Default"/>
              <w:rPr>
                <w:i/>
                <w:sz w:val="20"/>
                <w:szCs w:val="20"/>
              </w:rPr>
            </w:pPr>
            <w:r w:rsidRPr="00116E55">
              <w:rPr>
                <w:i/>
                <w:sz w:val="20"/>
                <w:szCs w:val="20"/>
              </w:rPr>
              <w:t xml:space="preserve">To what extent has the </w:t>
            </w:r>
            <w:r w:rsidR="006B0BBE" w:rsidRPr="00116E55">
              <w:rPr>
                <w:i/>
                <w:sz w:val="20"/>
                <w:szCs w:val="20"/>
              </w:rPr>
              <w:t>organisation</w:t>
            </w:r>
            <w:r w:rsidRPr="00116E55">
              <w:rPr>
                <w:i/>
                <w:sz w:val="20"/>
                <w:szCs w:val="20"/>
              </w:rPr>
              <w:t xml:space="preserve"> justified how </w:t>
            </w:r>
            <w:r w:rsidR="00622F71">
              <w:rPr>
                <w:i/>
                <w:sz w:val="20"/>
                <w:szCs w:val="20"/>
              </w:rPr>
              <w:br/>
            </w:r>
            <w:r w:rsidRPr="00116E55">
              <w:rPr>
                <w:i/>
                <w:sz w:val="20"/>
                <w:szCs w:val="20"/>
              </w:rPr>
              <w:t xml:space="preserve">the form of engagement suits the content of consultation, the circumstances facing the water </w:t>
            </w:r>
            <w:r w:rsidR="006B0BBE" w:rsidRPr="00116E55">
              <w:rPr>
                <w:i/>
                <w:sz w:val="20"/>
                <w:szCs w:val="20"/>
              </w:rPr>
              <w:t>organisation</w:t>
            </w:r>
            <w:r w:rsidRPr="00116E55">
              <w:rPr>
                <w:i/>
                <w:sz w:val="20"/>
                <w:szCs w:val="20"/>
              </w:rPr>
              <w:t xml:space="preserve"> and its customers?</w:t>
            </w:r>
          </w:p>
        </w:tc>
        <w:tc>
          <w:tcPr>
            <w:tcW w:w="0" w:type="dxa"/>
            <w:tcBorders>
              <w:top w:val="single" w:sz="4" w:space="0" w:color="002279"/>
            </w:tcBorders>
            <w:shd w:val="clear" w:color="auto" w:fill="D4D6DF"/>
            <w:vAlign w:val="top"/>
          </w:tcPr>
          <w:p w14:paraId="2601F8F0" w14:textId="353FB2A3" w:rsidR="000C3AB5" w:rsidRPr="00116E55" w:rsidRDefault="00E80CEA" w:rsidP="007621C5">
            <w:pPr>
              <w:pStyle w:val="TableText"/>
              <w:rPr>
                <w:sz w:val="20"/>
                <w:szCs w:val="20"/>
              </w:rPr>
            </w:pPr>
            <w:r w:rsidRPr="00116E55">
              <w:rPr>
                <w:sz w:val="20"/>
                <w:szCs w:val="20"/>
              </w:rPr>
              <w:t xml:space="preserve">South East Water has undertaken different forms of engagement to suit </w:t>
            </w:r>
            <w:r w:rsidR="00E2203B" w:rsidRPr="00116E55">
              <w:rPr>
                <w:sz w:val="20"/>
                <w:szCs w:val="20"/>
              </w:rPr>
              <w:t>the different engagement needs</w:t>
            </w:r>
            <w:r w:rsidR="0027605E" w:rsidRPr="00116E55">
              <w:rPr>
                <w:sz w:val="20"/>
                <w:szCs w:val="20"/>
              </w:rPr>
              <w:t xml:space="preserve"> of our customers and our </w:t>
            </w:r>
            <w:r w:rsidR="006B0BBE" w:rsidRPr="00116E55">
              <w:rPr>
                <w:sz w:val="20"/>
                <w:szCs w:val="20"/>
              </w:rPr>
              <w:t>organisation</w:t>
            </w:r>
            <w:r w:rsidR="0027605E" w:rsidRPr="00116E55">
              <w:rPr>
                <w:sz w:val="20"/>
                <w:szCs w:val="20"/>
              </w:rPr>
              <w:t xml:space="preserve">. </w:t>
            </w:r>
          </w:p>
          <w:p w14:paraId="0982BC1F" w14:textId="6C51A1E2" w:rsidR="0027605E" w:rsidRPr="00116E55" w:rsidRDefault="0027605E" w:rsidP="007621C5">
            <w:pPr>
              <w:pStyle w:val="TableText"/>
              <w:rPr>
                <w:sz w:val="20"/>
                <w:szCs w:val="20"/>
              </w:rPr>
            </w:pPr>
            <w:r w:rsidRPr="00116E55">
              <w:rPr>
                <w:sz w:val="20"/>
                <w:szCs w:val="20"/>
              </w:rPr>
              <w:t>For example:</w:t>
            </w:r>
          </w:p>
          <w:p w14:paraId="456D6785" w14:textId="724A0759" w:rsidR="0027605E" w:rsidRPr="00116E55" w:rsidRDefault="002767C3">
            <w:pPr>
              <w:pStyle w:val="Bulletlistmultilevel"/>
              <w:numPr>
                <w:ilvl w:val="0"/>
                <w:numId w:val="55"/>
              </w:numPr>
              <w:ind w:left="296" w:hanging="296"/>
              <w:rPr>
                <w:sz w:val="20"/>
                <w:szCs w:val="20"/>
              </w:rPr>
            </w:pPr>
            <w:r w:rsidRPr="00116E55">
              <w:rPr>
                <w:sz w:val="20"/>
                <w:szCs w:val="20"/>
              </w:rPr>
              <w:t xml:space="preserve">More open conversations and engagement </w:t>
            </w:r>
            <w:r w:rsidR="00D10A15" w:rsidRPr="00116E55">
              <w:rPr>
                <w:sz w:val="20"/>
                <w:szCs w:val="20"/>
              </w:rPr>
              <w:t>at the start of the process allowed customers and the community to tell us about their concerns and how involved they would like to be in the submission development process</w:t>
            </w:r>
            <w:r w:rsidR="00675A54" w:rsidRPr="00116E55">
              <w:rPr>
                <w:sz w:val="20"/>
                <w:szCs w:val="20"/>
              </w:rPr>
              <w:t>.</w:t>
            </w:r>
          </w:p>
          <w:p w14:paraId="2FDADEAA" w14:textId="6A20CC53" w:rsidR="00166A73" w:rsidRPr="00116E55" w:rsidRDefault="00166A73">
            <w:pPr>
              <w:pStyle w:val="Bulletlistmultilevel"/>
              <w:numPr>
                <w:ilvl w:val="0"/>
                <w:numId w:val="55"/>
              </w:numPr>
              <w:ind w:left="296" w:hanging="296"/>
              <w:rPr>
                <w:sz w:val="20"/>
                <w:szCs w:val="20"/>
              </w:rPr>
            </w:pPr>
            <w:r w:rsidRPr="00116E55">
              <w:rPr>
                <w:sz w:val="20"/>
                <w:szCs w:val="20"/>
              </w:rPr>
              <w:t xml:space="preserve">Conversations with </w:t>
            </w:r>
            <w:r w:rsidR="006316BB" w:rsidRPr="00116E55">
              <w:rPr>
                <w:sz w:val="20"/>
                <w:szCs w:val="20"/>
              </w:rPr>
              <w:t xml:space="preserve">customers experiencing vulnerability and First Nations </w:t>
            </w:r>
            <w:r w:rsidR="0088688D" w:rsidRPr="00116E55">
              <w:rPr>
                <w:sz w:val="20"/>
                <w:szCs w:val="20"/>
              </w:rPr>
              <w:t xml:space="preserve">people </w:t>
            </w:r>
            <w:r w:rsidR="006316BB" w:rsidRPr="00116E55">
              <w:rPr>
                <w:sz w:val="20"/>
                <w:szCs w:val="20"/>
              </w:rPr>
              <w:t xml:space="preserve">were designed with sensitivity and to be on their terms. </w:t>
            </w:r>
          </w:p>
          <w:p w14:paraId="3777FB7D" w14:textId="2034FE6E" w:rsidR="00247EC6" w:rsidRPr="00116E55" w:rsidRDefault="0029378D">
            <w:pPr>
              <w:pStyle w:val="Bulletlistmultilevel"/>
              <w:numPr>
                <w:ilvl w:val="0"/>
                <w:numId w:val="55"/>
              </w:numPr>
              <w:ind w:left="296" w:hanging="296"/>
              <w:rPr>
                <w:sz w:val="20"/>
                <w:szCs w:val="20"/>
              </w:rPr>
            </w:pPr>
            <w:r w:rsidRPr="00116E55">
              <w:rPr>
                <w:sz w:val="20"/>
                <w:szCs w:val="20"/>
              </w:rPr>
              <w:t xml:space="preserve">More targeted and </w:t>
            </w:r>
            <w:r w:rsidR="00DD576F" w:rsidRPr="00116E55">
              <w:rPr>
                <w:sz w:val="20"/>
                <w:szCs w:val="20"/>
              </w:rPr>
              <w:t>professionally</w:t>
            </w:r>
            <w:r w:rsidR="0088688D" w:rsidRPr="00116E55">
              <w:rPr>
                <w:sz w:val="20"/>
                <w:szCs w:val="20"/>
              </w:rPr>
              <w:t xml:space="preserve"> </w:t>
            </w:r>
            <w:r w:rsidR="002767C3" w:rsidRPr="00116E55">
              <w:rPr>
                <w:sz w:val="20"/>
                <w:szCs w:val="20"/>
              </w:rPr>
              <w:t xml:space="preserve">designed surveys were undertaken to test </w:t>
            </w:r>
            <w:r w:rsidR="00132A99" w:rsidRPr="00116E55">
              <w:rPr>
                <w:sz w:val="20"/>
                <w:szCs w:val="20"/>
              </w:rPr>
              <w:t>WTP</w:t>
            </w:r>
            <w:r w:rsidR="00E01E0E" w:rsidRPr="00116E55">
              <w:rPr>
                <w:sz w:val="20"/>
                <w:szCs w:val="20"/>
              </w:rPr>
              <w:t>.</w:t>
            </w:r>
          </w:p>
          <w:p w14:paraId="31DC3A4E" w14:textId="41432995" w:rsidR="0027605E" w:rsidRPr="00116E55" w:rsidRDefault="00AA4E56">
            <w:pPr>
              <w:pStyle w:val="Bulletlistmultilevel"/>
              <w:numPr>
                <w:ilvl w:val="0"/>
                <w:numId w:val="55"/>
              </w:numPr>
              <w:ind w:left="296" w:hanging="296"/>
              <w:rPr>
                <w:sz w:val="20"/>
                <w:szCs w:val="20"/>
              </w:rPr>
            </w:pPr>
            <w:r w:rsidRPr="00116E55">
              <w:rPr>
                <w:sz w:val="20"/>
                <w:szCs w:val="20"/>
              </w:rPr>
              <w:t xml:space="preserve">Facilitated and deliberative processes </w:t>
            </w:r>
            <w:r w:rsidR="005E2BE9" w:rsidRPr="00116E55">
              <w:rPr>
                <w:sz w:val="20"/>
                <w:szCs w:val="20"/>
              </w:rPr>
              <w:t>designed for</w:t>
            </w:r>
            <w:r w:rsidR="00E01E0E" w:rsidRPr="00116E55">
              <w:rPr>
                <w:sz w:val="20"/>
                <w:szCs w:val="20"/>
              </w:rPr>
              <w:t xml:space="preserve"> collaborative</w:t>
            </w:r>
            <w:r w:rsidR="005E2BE9" w:rsidRPr="00116E55">
              <w:rPr>
                <w:sz w:val="20"/>
                <w:szCs w:val="20"/>
              </w:rPr>
              <w:t xml:space="preserve"> decision making </w:t>
            </w:r>
            <w:r w:rsidR="00C774BB" w:rsidRPr="00116E55">
              <w:rPr>
                <w:sz w:val="20"/>
                <w:szCs w:val="20"/>
              </w:rPr>
              <w:t xml:space="preserve">were used to directly involve the </w:t>
            </w:r>
            <w:r w:rsidR="002F30EC" w:rsidRPr="00116E55">
              <w:rPr>
                <w:sz w:val="20"/>
                <w:szCs w:val="20"/>
              </w:rPr>
              <w:t>community p</w:t>
            </w:r>
            <w:r w:rsidR="00C774BB" w:rsidRPr="00116E55">
              <w:rPr>
                <w:sz w:val="20"/>
                <w:szCs w:val="20"/>
              </w:rPr>
              <w:t xml:space="preserve">anel </w:t>
            </w:r>
            <w:r w:rsidR="007E6C69">
              <w:rPr>
                <w:sz w:val="20"/>
                <w:szCs w:val="20"/>
              </w:rPr>
              <w:br/>
            </w:r>
            <w:r w:rsidR="00C774BB" w:rsidRPr="00116E55">
              <w:rPr>
                <w:sz w:val="20"/>
                <w:szCs w:val="20"/>
              </w:rPr>
              <w:t>in the de</w:t>
            </w:r>
            <w:r w:rsidR="008046B3">
              <w:rPr>
                <w:sz w:val="20"/>
                <w:szCs w:val="20"/>
              </w:rPr>
              <w:t>velopment</w:t>
            </w:r>
            <w:r w:rsidR="00C774BB" w:rsidRPr="00116E55">
              <w:rPr>
                <w:sz w:val="20"/>
                <w:szCs w:val="20"/>
              </w:rPr>
              <w:t xml:space="preserve"> of th</w:t>
            </w:r>
            <w:r w:rsidR="00863A0E">
              <w:rPr>
                <w:sz w:val="20"/>
                <w:szCs w:val="20"/>
              </w:rPr>
              <w:t>is</w:t>
            </w:r>
            <w:r w:rsidR="00C774BB" w:rsidRPr="00116E55">
              <w:rPr>
                <w:sz w:val="20"/>
                <w:szCs w:val="20"/>
              </w:rPr>
              <w:t xml:space="preserve"> pric</w:t>
            </w:r>
            <w:r w:rsidR="002F30EC" w:rsidRPr="00116E55">
              <w:rPr>
                <w:sz w:val="20"/>
                <w:szCs w:val="20"/>
              </w:rPr>
              <w:t>e</w:t>
            </w:r>
            <w:r w:rsidR="00C774BB" w:rsidRPr="00116E55">
              <w:rPr>
                <w:sz w:val="20"/>
                <w:szCs w:val="20"/>
              </w:rPr>
              <w:t xml:space="preserve"> submission.</w:t>
            </w:r>
          </w:p>
        </w:tc>
      </w:tr>
      <w:tr w:rsidR="00E2049D" w:rsidRPr="00B052BE" w14:paraId="03849447" w14:textId="77777777" w:rsidTr="004C011C">
        <w:tc>
          <w:tcPr>
            <w:tcW w:w="0" w:type="dxa"/>
            <w:vAlign w:val="top"/>
          </w:tcPr>
          <w:p w14:paraId="20E149A0" w14:textId="2C11798F" w:rsidR="00793B7B" w:rsidRPr="00116E55" w:rsidRDefault="00760FCE" w:rsidP="007621C5">
            <w:pPr>
              <w:pStyle w:val="TableText"/>
              <w:rPr>
                <w:i/>
                <w:sz w:val="20"/>
                <w:szCs w:val="20"/>
              </w:rPr>
            </w:pPr>
            <w:r w:rsidRPr="00116E55">
              <w:rPr>
                <w:i/>
                <w:sz w:val="20"/>
                <w:szCs w:val="20"/>
              </w:rPr>
              <w:t xml:space="preserve">To what extent has the </w:t>
            </w:r>
            <w:r w:rsidR="006B0BBE" w:rsidRPr="00116E55">
              <w:rPr>
                <w:i/>
                <w:sz w:val="20"/>
                <w:szCs w:val="20"/>
              </w:rPr>
              <w:t>organisation</w:t>
            </w:r>
            <w:r w:rsidRPr="00116E55">
              <w:rPr>
                <w:i/>
                <w:sz w:val="20"/>
                <w:szCs w:val="20"/>
              </w:rPr>
              <w:t xml:space="preserve"> demonstrated that it provided appropriate instruction and information to customers about the purpose, form and content of the customer engagement?</w:t>
            </w:r>
          </w:p>
        </w:tc>
        <w:tc>
          <w:tcPr>
            <w:tcW w:w="0" w:type="dxa"/>
            <w:vAlign w:val="top"/>
          </w:tcPr>
          <w:p w14:paraId="40EE3490" w14:textId="70A47EB5" w:rsidR="00003544" w:rsidRPr="00116E55" w:rsidRDefault="006447E3" w:rsidP="007621C5">
            <w:pPr>
              <w:pStyle w:val="TableText"/>
              <w:rPr>
                <w:sz w:val="20"/>
                <w:szCs w:val="20"/>
              </w:rPr>
            </w:pPr>
            <w:r w:rsidRPr="00116E55">
              <w:rPr>
                <w:sz w:val="20"/>
                <w:szCs w:val="20"/>
              </w:rPr>
              <w:t xml:space="preserve">Our customer engagement processes were conducted by professional </w:t>
            </w:r>
            <w:r w:rsidR="006116C0" w:rsidRPr="00116E55">
              <w:rPr>
                <w:sz w:val="20"/>
                <w:szCs w:val="20"/>
              </w:rPr>
              <w:t>engagement delivery partners</w:t>
            </w:r>
            <w:r w:rsidR="00F74370" w:rsidRPr="00116E55">
              <w:rPr>
                <w:sz w:val="20"/>
                <w:szCs w:val="20"/>
              </w:rPr>
              <w:t>,</w:t>
            </w:r>
            <w:r w:rsidR="006116C0" w:rsidRPr="00116E55">
              <w:rPr>
                <w:sz w:val="20"/>
                <w:szCs w:val="20"/>
              </w:rPr>
              <w:t xml:space="preserve"> including Insync and Mos</w:t>
            </w:r>
            <w:r w:rsidR="00646F44" w:rsidRPr="00116E55">
              <w:rPr>
                <w:sz w:val="20"/>
                <w:szCs w:val="20"/>
              </w:rPr>
              <w:t>aic</w:t>
            </w:r>
            <w:r w:rsidR="006116C0" w:rsidRPr="00116E55">
              <w:rPr>
                <w:sz w:val="20"/>
                <w:szCs w:val="20"/>
              </w:rPr>
              <w:t xml:space="preserve">Lab. </w:t>
            </w:r>
            <w:r w:rsidR="005B41EF" w:rsidRPr="00116E55">
              <w:rPr>
                <w:sz w:val="20"/>
                <w:szCs w:val="20"/>
              </w:rPr>
              <w:t>For each</w:t>
            </w:r>
            <w:r w:rsidR="006116C0" w:rsidRPr="00116E55">
              <w:rPr>
                <w:sz w:val="20"/>
                <w:szCs w:val="20"/>
              </w:rPr>
              <w:t xml:space="preserve"> engagement process, </w:t>
            </w:r>
            <w:r w:rsidR="00646F44" w:rsidRPr="00116E55">
              <w:rPr>
                <w:sz w:val="20"/>
                <w:szCs w:val="20"/>
              </w:rPr>
              <w:t xml:space="preserve">together with </w:t>
            </w:r>
            <w:r w:rsidR="00DD22AC" w:rsidRPr="00116E55">
              <w:rPr>
                <w:sz w:val="20"/>
                <w:szCs w:val="20"/>
              </w:rPr>
              <w:t xml:space="preserve">our engagement delivery </w:t>
            </w:r>
            <w:r w:rsidR="006116C0" w:rsidRPr="00116E55">
              <w:rPr>
                <w:sz w:val="20"/>
                <w:szCs w:val="20"/>
              </w:rPr>
              <w:t>partners</w:t>
            </w:r>
            <w:r w:rsidR="0034787A" w:rsidRPr="00116E55">
              <w:rPr>
                <w:sz w:val="20"/>
                <w:szCs w:val="20"/>
              </w:rPr>
              <w:t>,</w:t>
            </w:r>
            <w:r w:rsidR="008F2E2F" w:rsidRPr="00116E55">
              <w:rPr>
                <w:sz w:val="20"/>
                <w:szCs w:val="20"/>
              </w:rPr>
              <w:t xml:space="preserve"> </w:t>
            </w:r>
            <w:r w:rsidR="00646F44" w:rsidRPr="00116E55">
              <w:rPr>
                <w:sz w:val="20"/>
                <w:szCs w:val="20"/>
              </w:rPr>
              <w:t>we</w:t>
            </w:r>
            <w:r w:rsidR="008F2E2F" w:rsidRPr="00116E55">
              <w:rPr>
                <w:sz w:val="20"/>
                <w:szCs w:val="20"/>
              </w:rPr>
              <w:t xml:space="preserve"> designed </w:t>
            </w:r>
            <w:r w:rsidR="00B63172" w:rsidRPr="00116E55">
              <w:rPr>
                <w:sz w:val="20"/>
                <w:szCs w:val="20"/>
              </w:rPr>
              <w:t>easy-to-understand</w:t>
            </w:r>
            <w:r w:rsidR="008F2E2F" w:rsidRPr="00116E55">
              <w:rPr>
                <w:sz w:val="20"/>
                <w:szCs w:val="20"/>
              </w:rPr>
              <w:t xml:space="preserve"> in</w:t>
            </w:r>
            <w:r w:rsidR="00C632D1" w:rsidRPr="00116E55">
              <w:rPr>
                <w:sz w:val="20"/>
                <w:szCs w:val="20"/>
              </w:rPr>
              <w:t>formation</w:t>
            </w:r>
            <w:r w:rsidR="00F46A60" w:rsidRPr="00116E55">
              <w:rPr>
                <w:sz w:val="20"/>
                <w:szCs w:val="20"/>
              </w:rPr>
              <w:t xml:space="preserve"> and guidance</w:t>
            </w:r>
            <w:r w:rsidR="00DA1AD5" w:rsidRPr="00116E55">
              <w:rPr>
                <w:sz w:val="20"/>
                <w:szCs w:val="20"/>
              </w:rPr>
              <w:t xml:space="preserve"> material</w:t>
            </w:r>
            <w:r w:rsidR="00F46A60" w:rsidRPr="00116E55">
              <w:rPr>
                <w:sz w:val="20"/>
                <w:szCs w:val="20"/>
              </w:rPr>
              <w:t xml:space="preserve">. </w:t>
            </w:r>
            <w:r w:rsidR="004E3ED4">
              <w:rPr>
                <w:sz w:val="20"/>
                <w:szCs w:val="20"/>
              </w:rPr>
              <w:br/>
            </w:r>
            <w:r w:rsidR="00960EF6" w:rsidRPr="00116E55">
              <w:rPr>
                <w:sz w:val="20"/>
                <w:szCs w:val="20"/>
              </w:rPr>
              <w:t>This un</w:t>
            </w:r>
            <w:r w:rsidR="00CA499B" w:rsidRPr="00116E55">
              <w:rPr>
                <w:sz w:val="20"/>
                <w:szCs w:val="20"/>
              </w:rPr>
              <w:t>der</w:t>
            </w:r>
            <w:r w:rsidR="00960EF6" w:rsidRPr="00116E55">
              <w:rPr>
                <w:sz w:val="20"/>
                <w:szCs w:val="20"/>
              </w:rPr>
              <w:t>pinned the validity of the more</w:t>
            </w:r>
            <w:r w:rsidR="0088688D" w:rsidRPr="00116E55">
              <w:rPr>
                <w:sz w:val="20"/>
                <w:szCs w:val="20"/>
              </w:rPr>
              <w:t xml:space="preserve"> </w:t>
            </w:r>
            <w:r w:rsidR="00960EF6" w:rsidRPr="00116E55">
              <w:rPr>
                <w:sz w:val="20"/>
                <w:szCs w:val="20"/>
              </w:rPr>
              <w:t xml:space="preserve">formal surveys and ensured that </w:t>
            </w:r>
            <w:r w:rsidR="00003544" w:rsidRPr="00116E55">
              <w:rPr>
                <w:sz w:val="20"/>
                <w:szCs w:val="20"/>
              </w:rPr>
              <w:t>customers were sufficiently informed to engage</w:t>
            </w:r>
            <w:r w:rsidR="005928DD" w:rsidRPr="00116E55">
              <w:rPr>
                <w:sz w:val="20"/>
                <w:szCs w:val="20"/>
              </w:rPr>
              <w:t xml:space="preserve"> in a meaningful way</w:t>
            </w:r>
            <w:r w:rsidR="00003544" w:rsidRPr="00116E55">
              <w:rPr>
                <w:sz w:val="20"/>
                <w:szCs w:val="20"/>
              </w:rPr>
              <w:t>.</w:t>
            </w:r>
          </w:p>
          <w:p w14:paraId="1328AE79" w14:textId="77777777" w:rsidR="00FA1025" w:rsidRPr="00116E55" w:rsidRDefault="00FA1025" w:rsidP="007621C5">
            <w:pPr>
              <w:pStyle w:val="TableText"/>
              <w:rPr>
                <w:sz w:val="20"/>
                <w:szCs w:val="20"/>
              </w:rPr>
            </w:pPr>
          </w:p>
          <w:p w14:paraId="7DD22FE6" w14:textId="07C1AE5C" w:rsidR="00793B7B" w:rsidRPr="00116E55" w:rsidRDefault="00003544" w:rsidP="007621C5">
            <w:pPr>
              <w:pStyle w:val="TableText"/>
              <w:rPr>
                <w:sz w:val="20"/>
                <w:szCs w:val="20"/>
              </w:rPr>
            </w:pPr>
            <w:r w:rsidRPr="00116E55">
              <w:rPr>
                <w:sz w:val="20"/>
                <w:szCs w:val="20"/>
              </w:rPr>
              <w:lastRenderedPageBreak/>
              <w:t xml:space="preserve">The </w:t>
            </w:r>
            <w:r w:rsidR="009A44B6" w:rsidRPr="00116E55">
              <w:rPr>
                <w:sz w:val="20"/>
                <w:szCs w:val="20"/>
              </w:rPr>
              <w:t>c</w:t>
            </w:r>
            <w:r w:rsidR="00D14BC6" w:rsidRPr="00116E55">
              <w:rPr>
                <w:sz w:val="20"/>
                <w:szCs w:val="20"/>
              </w:rPr>
              <w:t>ommunity</w:t>
            </w:r>
            <w:r w:rsidRPr="00116E55">
              <w:rPr>
                <w:sz w:val="20"/>
                <w:szCs w:val="20"/>
              </w:rPr>
              <w:t xml:space="preserve"> </w:t>
            </w:r>
            <w:r w:rsidR="009A44B6" w:rsidRPr="00116E55">
              <w:rPr>
                <w:sz w:val="20"/>
                <w:szCs w:val="20"/>
              </w:rPr>
              <w:t>p</w:t>
            </w:r>
            <w:r w:rsidRPr="00116E55">
              <w:rPr>
                <w:sz w:val="20"/>
                <w:szCs w:val="20"/>
              </w:rPr>
              <w:t>anel</w:t>
            </w:r>
            <w:r w:rsidR="00085C42" w:rsidRPr="00116E55">
              <w:rPr>
                <w:sz w:val="20"/>
                <w:szCs w:val="20"/>
              </w:rPr>
              <w:t>,</w:t>
            </w:r>
            <w:r w:rsidRPr="00116E55">
              <w:rPr>
                <w:sz w:val="20"/>
                <w:szCs w:val="20"/>
              </w:rPr>
              <w:t xml:space="preserve"> who </w:t>
            </w:r>
            <w:r w:rsidR="00920577" w:rsidRPr="00116E55">
              <w:rPr>
                <w:sz w:val="20"/>
                <w:szCs w:val="20"/>
              </w:rPr>
              <w:t xml:space="preserve">we </w:t>
            </w:r>
            <w:r w:rsidRPr="00116E55">
              <w:rPr>
                <w:sz w:val="20"/>
                <w:szCs w:val="20"/>
              </w:rPr>
              <w:t xml:space="preserve">worked with to </w:t>
            </w:r>
            <w:r w:rsidR="00BC4B31" w:rsidRPr="00116E55">
              <w:rPr>
                <w:sz w:val="20"/>
                <w:szCs w:val="20"/>
              </w:rPr>
              <w:t xml:space="preserve">determine key elements </w:t>
            </w:r>
            <w:r w:rsidR="00097B69">
              <w:rPr>
                <w:sz w:val="20"/>
                <w:szCs w:val="20"/>
              </w:rPr>
              <w:br/>
            </w:r>
            <w:r w:rsidR="00BC4B31" w:rsidRPr="00116E55">
              <w:rPr>
                <w:sz w:val="20"/>
                <w:szCs w:val="20"/>
              </w:rPr>
              <w:t>of expenditure and pric</w:t>
            </w:r>
            <w:r w:rsidR="00920577" w:rsidRPr="00116E55">
              <w:rPr>
                <w:sz w:val="20"/>
                <w:szCs w:val="20"/>
              </w:rPr>
              <w:t>e</w:t>
            </w:r>
            <w:r w:rsidR="00BC4B31" w:rsidRPr="00116E55">
              <w:rPr>
                <w:sz w:val="20"/>
                <w:szCs w:val="20"/>
              </w:rPr>
              <w:t xml:space="preserve"> submission priorities</w:t>
            </w:r>
            <w:r w:rsidR="00085C42" w:rsidRPr="00116E55">
              <w:rPr>
                <w:sz w:val="20"/>
                <w:szCs w:val="20"/>
              </w:rPr>
              <w:t>,</w:t>
            </w:r>
            <w:r w:rsidR="00BC4B31" w:rsidRPr="00116E55">
              <w:rPr>
                <w:sz w:val="20"/>
                <w:szCs w:val="20"/>
              </w:rPr>
              <w:t xml:space="preserve"> were given extensive information and training</w:t>
            </w:r>
            <w:r w:rsidR="005928DD" w:rsidRPr="00116E55">
              <w:rPr>
                <w:sz w:val="20"/>
                <w:szCs w:val="20"/>
              </w:rPr>
              <w:t xml:space="preserve"> in advance of the deliberative sessions that </w:t>
            </w:r>
            <w:r w:rsidR="00140A5F" w:rsidRPr="00116E55">
              <w:rPr>
                <w:sz w:val="20"/>
                <w:szCs w:val="20"/>
              </w:rPr>
              <w:t>resulted in their recommendations</w:t>
            </w:r>
            <w:r w:rsidR="004008BD" w:rsidRPr="00116E55">
              <w:rPr>
                <w:sz w:val="20"/>
                <w:szCs w:val="20"/>
              </w:rPr>
              <w:t xml:space="preserve"> to </w:t>
            </w:r>
            <w:r w:rsidR="00A2599E" w:rsidRPr="00116E55">
              <w:rPr>
                <w:sz w:val="20"/>
                <w:szCs w:val="20"/>
              </w:rPr>
              <w:t>us</w:t>
            </w:r>
            <w:r w:rsidR="005928DD" w:rsidRPr="00116E55">
              <w:rPr>
                <w:sz w:val="20"/>
                <w:szCs w:val="20"/>
              </w:rPr>
              <w:t>.</w:t>
            </w:r>
            <w:r w:rsidR="00C632D1" w:rsidRPr="00116E55">
              <w:rPr>
                <w:sz w:val="20"/>
                <w:szCs w:val="20"/>
              </w:rPr>
              <w:t xml:space="preserve"> </w:t>
            </w:r>
          </w:p>
        </w:tc>
      </w:tr>
      <w:tr w:rsidR="00AF4CBF" w:rsidRPr="00B052BE" w14:paraId="4FA5738B" w14:textId="77777777" w:rsidTr="004C011C">
        <w:tc>
          <w:tcPr>
            <w:tcW w:w="0" w:type="dxa"/>
            <w:shd w:val="clear" w:color="auto" w:fill="D4D6DF"/>
            <w:vAlign w:val="top"/>
          </w:tcPr>
          <w:p w14:paraId="4806F19B" w14:textId="52EE31CC" w:rsidR="00793B7B" w:rsidRPr="00116E55" w:rsidRDefault="00EC7856" w:rsidP="007621C5">
            <w:pPr>
              <w:pStyle w:val="TableText"/>
              <w:rPr>
                <w:i/>
                <w:sz w:val="20"/>
                <w:szCs w:val="20"/>
              </w:rPr>
            </w:pPr>
            <w:r w:rsidRPr="00116E55">
              <w:rPr>
                <w:i/>
                <w:sz w:val="20"/>
                <w:szCs w:val="20"/>
              </w:rPr>
              <w:lastRenderedPageBreak/>
              <w:t xml:space="preserve">To what extent has the </w:t>
            </w:r>
            <w:r w:rsidR="006B0BBE" w:rsidRPr="00116E55">
              <w:rPr>
                <w:i/>
                <w:sz w:val="20"/>
                <w:szCs w:val="20"/>
              </w:rPr>
              <w:t>organisation</w:t>
            </w:r>
            <w:r w:rsidRPr="00116E55">
              <w:rPr>
                <w:i/>
                <w:sz w:val="20"/>
                <w:szCs w:val="20"/>
              </w:rPr>
              <w:t xml:space="preserve"> demonstrated that the matters it has engaged on are those that have the most influence on the services provided to customers and prices charged?</w:t>
            </w:r>
          </w:p>
        </w:tc>
        <w:tc>
          <w:tcPr>
            <w:tcW w:w="0" w:type="dxa"/>
            <w:shd w:val="clear" w:color="auto" w:fill="D4D6DF"/>
            <w:vAlign w:val="top"/>
          </w:tcPr>
          <w:p w14:paraId="3E057F87" w14:textId="023CA58E" w:rsidR="00793B7B" w:rsidRPr="00116E55" w:rsidRDefault="00230B49" w:rsidP="007621C5">
            <w:pPr>
              <w:pStyle w:val="TableText"/>
              <w:rPr>
                <w:sz w:val="20"/>
                <w:szCs w:val="20"/>
              </w:rPr>
            </w:pPr>
            <w:r w:rsidRPr="00116E55">
              <w:rPr>
                <w:sz w:val="20"/>
                <w:szCs w:val="20"/>
              </w:rPr>
              <w:t>The breadth of the engagement undertaken means that i</w:t>
            </w:r>
            <w:r w:rsidR="00E94533" w:rsidRPr="00116E55">
              <w:rPr>
                <w:sz w:val="20"/>
                <w:szCs w:val="20"/>
              </w:rPr>
              <w:t>t</w:t>
            </w:r>
            <w:r w:rsidRPr="00116E55">
              <w:rPr>
                <w:sz w:val="20"/>
                <w:szCs w:val="20"/>
              </w:rPr>
              <w:t xml:space="preserve"> has encompassed the matters that will have</w:t>
            </w:r>
            <w:r w:rsidR="00925570">
              <w:rPr>
                <w:sz w:val="20"/>
                <w:szCs w:val="20"/>
              </w:rPr>
              <w:t xml:space="preserve"> the</w:t>
            </w:r>
            <w:r w:rsidRPr="00116E55">
              <w:rPr>
                <w:sz w:val="20"/>
                <w:szCs w:val="20"/>
              </w:rPr>
              <w:t xml:space="preserve"> most influence on services </w:t>
            </w:r>
            <w:r w:rsidR="00097B69">
              <w:rPr>
                <w:sz w:val="20"/>
                <w:szCs w:val="20"/>
              </w:rPr>
              <w:br/>
            </w:r>
            <w:r w:rsidRPr="00116E55">
              <w:rPr>
                <w:sz w:val="20"/>
                <w:szCs w:val="20"/>
              </w:rPr>
              <w:t xml:space="preserve">and prices. </w:t>
            </w:r>
            <w:r w:rsidR="00664493" w:rsidRPr="00116E55">
              <w:rPr>
                <w:sz w:val="20"/>
                <w:szCs w:val="20"/>
              </w:rPr>
              <w:t>This has included engagement on:</w:t>
            </w:r>
          </w:p>
          <w:p w14:paraId="5EAAED72" w14:textId="4BDC4D8C" w:rsidR="00664493" w:rsidRPr="00116E55" w:rsidRDefault="0088688D">
            <w:pPr>
              <w:pStyle w:val="Bulletlistmultilevel"/>
              <w:numPr>
                <w:ilvl w:val="0"/>
                <w:numId w:val="56"/>
              </w:numPr>
              <w:ind w:left="296" w:hanging="296"/>
              <w:rPr>
                <w:rFonts w:ascii="Arial" w:hAnsi="Arial" w:cs="Arial"/>
                <w:sz w:val="20"/>
                <w:szCs w:val="20"/>
              </w:rPr>
            </w:pPr>
            <w:r w:rsidRPr="00116E55">
              <w:rPr>
                <w:rFonts w:ascii="Arial" w:hAnsi="Arial" w:cs="Arial"/>
                <w:sz w:val="20"/>
                <w:szCs w:val="20"/>
              </w:rPr>
              <w:t>t</w:t>
            </w:r>
            <w:r w:rsidR="00664493" w:rsidRPr="00116E55">
              <w:rPr>
                <w:rFonts w:ascii="Arial" w:hAnsi="Arial" w:cs="Arial"/>
                <w:sz w:val="20"/>
                <w:szCs w:val="20"/>
              </w:rPr>
              <w:t>he outcomes that customers are seeking</w:t>
            </w:r>
          </w:p>
          <w:p w14:paraId="122AD533" w14:textId="22FD663D" w:rsidR="005D04F4" w:rsidRPr="00116E55" w:rsidRDefault="0088688D">
            <w:pPr>
              <w:pStyle w:val="Bulletlistmultilevel"/>
              <w:numPr>
                <w:ilvl w:val="0"/>
                <w:numId w:val="56"/>
              </w:numPr>
              <w:ind w:left="296" w:hanging="296"/>
              <w:rPr>
                <w:rFonts w:ascii="Arial" w:hAnsi="Arial" w:cs="Arial"/>
                <w:sz w:val="20"/>
                <w:szCs w:val="20"/>
              </w:rPr>
            </w:pPr>
            <w:r w:rsidRPr="00116E55">
              <w:rPr>
                <w:rFonts w:ascii="Arial" w:hAnsi="Arial" w:cs="Arial"/>
                <w:sz w:val="20"/>
                <w:szCs w:val="20"/>
              </w:rPr>
              <w:t>t</w:t>
            </w:r>
            <w:r w:rsidR="005D04F4" w:rsidRPr="00116E55">
              <w:rPr>
                <w:rFonts w:ascii="Arial" w:hAnsi="Arial" w:cs="Arial"/>
                <w:sz w:val="20"/>
                <w:szCs w:val="20"/>
              </w:rPr>
              <w:t>he major elements of our expenditure program including service quality and digital transformation including digital metering</w:t>
            </w:r>
          </w:p>
          <w:p w14:paraId="1FBDAD3C" w14:textId="57B46AB6" w:rsidR="00DD53AE" w:rsidRPr="00116E55" w:rsidRDefault="0088688D">
            <w:pPr>
              <w:pStyle w:val="Bulletlistmultilevel"/>
              <w:numPr>
                <w:ilvl w:val="0"/>
                <w:numId w:val="56"/>
              </w:numPr>
              <w:ind w:left="296" w:hanging="296"/>
              <w:rPr>
                <w:rFonts w:ascii="Arial" w:hAnsi="Arial" w:cs="Arial"/>
                <w:sz w:val="20"/>
                <w:szCs w:val="20"/>
              </w:rPr>
            </w:pPr>
            <w:r w:rsidRPr="00116E55">
              <w:rPr>
                <w:rFonts w:ascii="Arial" w:hAnsi="Arial" w:cs="Arial"/>
                <w:sz w:val="20"/>
                <w:szCs w:val="20"/>
              </w:rPr>
              <w:t>h</w:t>
            </w:r>
            <w:r w:rsidR="00DD53AE" w:rsidRPr="00116E55">
              <w:rPr>
                <w:rFonts w:ascii="Arial" w:hAnsi="Arial" w:cs="Arial"/>
                <w:sz w:val="20"/>
                <w:szCs w:val="20"/>
              </w:rPr>
              <w:t>ow best to address broader priorities including environmental</w:t>
            </w:r>
            <w:r w:rsidR="004F11F7" w:rsidRPr="00116E55">
              <w:rPr>
                <w:rFonts w:ascii="Arial" w:hAnsi="Arial" w:cs="Arial"/>
                <w:sz w:val="20"/>
                <w:szCs w:val="20"/>
              </w:rPr>
              <w:t xml:space="preserve"> (emission reduction and integrated water management) and social </w:t>
            </w:r>
            <w:r w:rsidR="00B31ECD" w:rsidRPr="00116E55">
              <w:rPr>
                <w:rFonts w:ascii="Arial" w:hAnsi="Arial" w:cs="Arial"/>
                <w:sz w:val="20"/>
                <w:szCs w:val="20"/>
              </w:rPr>
              <w:t>priorities</w:t>
            </w:r>
            <w:r w:rsidR="004F11F7" w:rsidRPr="00116E55">
              <w:rPr>
                <w:rFonts w:ascii="Arial" w:hAnsi="Arial" w:cs="Arial"/>
                <w:sz w:val="20"/>
                <w:szCs w:val="20"/>
              </w:rPr>
              <w:t xml:space="preserve"> </w:t>
            </w:r>
            <w:r w:rsidR="00E77939" w:rsidRPr="00116E55">
              <w:rPr>
                <w:rFonts w:ascii="Arial" w:hAnsi="Arial" w:cs="Arial"/>
                <w:sz w:val="20"/>
                <w:szCs w:val="20"/>
              </w:rPr>
              <w:t>(assistance to customers experiencing vulnerability)</w:t>
            </w:r>
          </w:p>
          <w:p w14:paraId="7D8C4065" w14:textId="164757A3" w:rsidR="00D665D2" w:rsidRPr="00116E55" w:rsidRDefault="0088688D">
            <w:pPr>
              <w:pStyle w:val="Bulletlistmultilevel"/>
              <w:numPr>
                <w:ilvl w:val="0"/>
                <w:numId w:val="56"/>
              </w:numPr>
              <w:ind w:left="296" w:hanging="296"/>
              <w:rPr>
                <w:rFonts w:ascii="Arial" w:hAnsi="Arial" w:cs="Arial"/>
                <w:sz w:val="20"/>
                <w:szCs w:val="20"/>
              </w:rPr>
            </w:pPr>
            <w:r w:rsidRPr="00116E55">
              <w:rPr>
                <w:rFonts w:ascii="Arial" w:hAnsi="Arial" w:cs="Arial"/>
                <w:sz w:val="20"/>
                <w:szCs w:val="20"/>
              </w:rPr>
              <w:t>t</w:t>
            </w:r>
            <w:r w:rsidR="00D665D2" w:rsidRPr="00116E55">
              <w:rPr>
                <w:rFonts w:ascii="Arial" w:hAnsi="Arial" w:cs="Arial"/>
                <w:sz w:val="20"/>
                <w:szCs w:val="20"/>
              </w:rPr>
              <w:t xml:space="preserve">he price impacts of different expenditure </w:t>
            </w:r>
            <w:r w:rsidR="004438E9" w:rsidRPr="00116E55">
              <w:rPr>
                <w:rFonts w:ascii="Arial" w:hAnsi="Arial" w:cs="Arial"/>
                <w:sz w:val="20"/>
                <w:szCs w:val="20"/>
              </w:rPr>
              <w:t>and service options</w:t>
            </w:r>
          </w:p>
          <w:p w14:paraId="4D6FA8A4" w14:textId="39470870" w:rsidR="005115E8" w:rsidRPr="00116E55" w:rsidRDefault="0088688D">
            <w:pPr>
              <w:pStyle w:val="Bulletlistmultilevel"/>
              <w:numPr>
                <w:ilvl w:val="0"/>
                <w:numId w:val="56"/>
              </w:numPr>
              <w:ind w:left="296" w:hanging="296"/>
              <w:rPr>
                <w:sz w:val="20"/>
                <w:szCs w:val="20"/>
              </w:rPr>
            </w:pPr>
            <w:r w:rsidRPr="00116E55">
              <w:rPr>
                <w:rFonts w:ascii="Arial" w:hAnsi="Arial" w:cs="Arial"/>
                <w:sz w:val="20"/>
                <w:szCs w:val="20"/>
              </w:rPr>
              <w:t>h</w:t>
            </w:r>
            <w:r w:rsidR="005115E8" w:rsidRPr="00116E55">
              <w:rPr>
                <w:rFonts w:ascii="Arial" w:hAnsi="Arial" w:cs="Arial"/>
                <w:sz w:val="20"/>
                <w:szCs w:val="20"/>
              </w:rPr>
              <w:t>ow costs are translated in tariff forms</w:t>
            </w:r>
            <w:r w:rsidR="00AB1B26" w:rsidRPr="00116E55">
              <w:rPr>
                <w:rFonts w:cs="Arial"/>
                <w:sz w:val="20"/>
                <w:szCs w:val="20"/>
              </w:rPr>
              <w:t>.</w:t>
            </w:r>
          </w:p>
        </w:tc>
      </w:tr>
      <w:tr w:rsidR="00EF141C" w:rsidRPr="00B052BE" w14:paraId="1AE7609E" w14:textId="77777777" w:rsidTr="004C011C">
        <w:trPr>
          <w:trHeight w:val="3202"/>
        </w:trPr>
        <w:tc>
          <w:tcPr>
            <w:tcW w:w="0" w:type="dxa"/>
            <w:vAlign w:val="top"/>
          </w:tcPr>
          <w:p w14:paraId="4CC8CA44" w14:textId="10EC5593" w:rsidR="00793B7B" w:rsidRPr="00116E55" w:rsidRDefault="00AE54FE" w:rsidP="007621C5">
            <w:pPr>
              <w:pStyle w:val="TableText"/>
              <w:rPr>
                <w:i/>
                <w:sz w:val="20"/>
                <w:szCs w:val="20"/>
              </w:rPr>
            </w:pPr>
            <w:r w:rsidRPr="00116E55">
              <w:rPr>
                <w:i/>
                <w:sz w:val="20"/>
                <w:szCs w:val="20"/>
              </w:rPr>
              <w:t xml:space="preserve">To what extent has the </w:t>
            </w:r>
            <w:r w:rsidR="0088688D" w:rsidRPr="00116E55">
              <w:rPr>
                <w:i/>
                <w:sz w:val="20"/>
                <w:szCs w:val="20"/>
              </w:rPr>
              <w:t xml:space="preserve">organisation </w:t>
            </w:r>
            <w:r w:rsidRPr="00116E55">
              <w:rPr>
                <w:i/>
                <w:sz w:val="20"/>
                <w:szCs w:val="20"/>
              </w:rPr>
              <w:t>explained how it decided when to carry out its engagement?</w:t>
            </w:r>
          </w:p>
        </w:tc>
        <w:tc>
          <w:tcPr>
            <w:tcW w:w="0" w:type="dxa"/>
            <w:vAlign w:val="top"/>
          </w:tcPr>
          <w:p w14:paraId="0E5E350E" w14:textId="03BD1A42" w:rsidR="00793B7B" w:rsidRPr="00116E55" w:rsidRDefault="0062218C" w:rsidP="007621C5">
            <w:pPr>
              <w:pStyle w:val="TableText"/>
              <w:rPr>
                <w:sz w:val="20"/>
                <w:szCs w:val="20"/>
              </w:rPr>
            </w:pPr>
            <w:r w:rsidRPr="00116E55">
              <w:rPr>
                <w:sz w:val="20"/>
                <w:szCs w:val="20"/>
              </w:rPr>
              <w:t xml:space="preserve">As explained above, </w:t>
            </w:r>
            <w:r w:rsidR="002A094D" w:rsidRPr="00116E55">
              <w:rPr>
                <w:sz w:val="20"/>
                <w:szCs w:val="20"/>
              </w:rPr>
              <w:t xml:space="preserve">South East Water </w:t>
            </w:r>
            <w:r w:rsidR="00BA49CB" w:rsidRPr="00116E55">
              <w:rPr>
                <w:sz w:val="20"/>
                <w:szCs w:val="20"/>
              </w:rPr>
              <w:t xml:space="preserve">has </w:t>
            </w:r>
            <w:r w:rsidR="006258D5" w:rsidRPr="00116E55">
              <w:rPr>
                <w:sz w:val="20"/>
                <w:szCs w:val="20"/>
              </w:rPr>
              <w:t>well</w:t>
            </w:r>
            <w:r w:rsidR="00B94E81" w:rsidRPr="00116E55">
              <w:rPr>
                <w:sz w:val="20"/>
                <w:szCs w:val="20"/>
              </w:rPr>
              <w:t>-</w:t>
            </w:r>
            <w:r w:rsidR="006258D5" w:rsidRPr="00116E55">
              <w:rPr>
                <w:sz w:val="20"/>
                <w:szCs w:val="20"/>
              </w:rPr>
              <w:t xml:space="preserve">established processes for ongoing engagement with customers that </w:t>
            </w:r>
            <w:r w:rsidR="0086751F" w:rsidRPr="00116E55">
              <w:rPr>
                <w:sz w:val="20"/>
                <w:szCs w:val="20"/>
              </w:rPr>
              <w:t xml:space="preserve">provide continual feedback to the </w:t>
            </w:r>
            <w:r w:rsidR="0088688D" w:rsidRPr="00116E55">
              <w:rPr>
                <w:sz w:val="20"/>
                <w:szCs w:val="20"/>
              </w:rPr>
              <w:t xml:space="preserve">organisation </w:t>
            </w:r>
            <w:r w:rsidR="0086751F" w:rsidRPr="00116E55">
              <w:rPr>
                <w:sz w:val="20"/>
                <w:szCs w:val="20"/>
              </w:rPr>
              <w:t>on customer concerns, friction points and degree of satisfaction. This means that additional engagement that is conducted specifically to assist with developing the detail of th</w:t>
            </w:r>
            <w:r w:rsidR="00863A0E">
              <w:rPr>
                <w:sz w:val="20"/>
                <w:szCs w:val="20"/>
              </w:rPr>
              <w:t>is</w:t>
            </w:r>
            <w:r w:rsidR="0086751F" w:rsidRPr="00116E55">
              <w:rPr>
                <w:sz w:val="20"/>
                <w:szCs w:val="20"/>
              </w:rPr>
              <w:t xml:space="preserve"> price submission is </w:t>
            </w:r>
            <w:r w:rsidR="001666B0" w:rsidRPr="00116E55">
              <w:rPr>
                <w:sz w:val="20"/>
                <w:szCs w:val="20"/>
              </w:rPr>
              <w:t xml:space="preserve">building on a rich information base. </w:t>
            </w:r>
          </w:p>
          <w:p w14:paraId="3B152077" w14:textId="77777777" w:rsidR="00A561DB" w:rsidRPr="00116E55" w:rsidRDefault="00A561DB" w:rsidP="007621C5">
            <w:pPr>
              <w:pStyle w:val="TableText"/>
              <w:rPr>
                <w:sz w:val="20"/>
                <w:szCs w:val="20"/>
              </w:rPr>
            </w:pPr>
          </w:p>
          <w:p w14:paraId="7533C496" w14:textId="0FCD45C9" w:rsidR="00CC212A" w:rsidRPr="00116E55" w:rsidRDefault="00F85673" w:rsidP="007621C5">
            <w:pPr>
              <w:pStyle w:val="TableText"/>
              <w:rPr>
                <w:sz w:val="20"/>
                <w:szCs w:val="20"/>
              </w:rPr>
            </w:pPr>
            <w:r w:rsidRPr="00116E55">
              <w:rPr>
                <w:sz w:val="20"/>
                <w:szCs w:val="20"/>
              </w:rPr>
              <w:t xml:space="preserve">We </w:t>
            </w:r>
            <w:r w:rsidR="00AB7C56" w:rsidRPr="00116E55">
              <w:rPr>
                <w:sz w:val="20"/>
                <w:szCs w:val="20"/>
              </w:rPr>
              <w:t>ha</w:t>
            </w:r>
            <w:r w:rsidRPr="00116E55">
              <w:rPr>
                <w:sz w:val="20"/>
                <w:szCs w:val="20"/>
              </w:rPr>
              <w:t>ve</w:t>
            </w:r>
            <w:r w:rsidR="00AB7C56" w:rsidRPr="00116E55">
              <w:rPr>
                <w:sz w:val="20"/>
                <w:szCs w:val="20"/>
              </w:rPr>
              <w:t xml:space="preserve"> </w:t>
            </w:r>
            <w:r w:rsidR="006E2FC4" w:rsidRPr="00116E55">
              <w:rPr>
                <w:sz w:val="20"/>
                <w:szCs w:val="20"/>
              </w:rPr>
              <w:t xml:space="preserve">widely communicated </w:t>
            </w:r>
            <w:r w:rsidR="009B671E" w:rsidRPr="00116E55">
              <w:rPr>
                <w:sz w:val="20"/>
                <w:szCs w:val="20"/>
              </w:rPr>
              <w:t>our</w:t>
            </w:r>
            <w:r w:rsidR="006E2FC4" w:rsidRPr="00116E55">
              <w:rPr>
                <w:sz w:val="20"/>
                <w:szCs w:val="20"/>
              </w:rPr>
              <w:t xml:space="preserve"> engagement timeline and processes </w:t>
            </w:r>
            <w:r w:rsidR="00953A25" w:rsidRPr="00116E55">
              <w:rPr>
                <w:sz w:val="20"/>
                <w:szCs w:val="20"/>
              </w:rPr>
              <w:t xml:space="preserve">during the development of the price submission. This has included providing information on </w:t>
            </w:r>
            <w:r w:rsidR="009B671E" w:rsidRPr="00116E55">
              <w:rPr>
                <w:sz w:val="20"/>
                <w:szCs w:val="20"/>
              </w:rPr>
              <w:t>our</w:t>
            </w:r>
            <w:r w:rsidR="00953A25" w:rsidRPr="00116E55">
              <w:rPr>
                <w:sz w:val="20"/>
                <w:szCs w:val="20"/>
              </w:rPr>
              <w:t xml:space="preserve"> website</w:t>
            </w:r>
            <w:r w:rsidR="001F33BA" w:rsidRPr="00116E55">
              <w:rPr>
                <w:sz w:val="20"/>
                <w:szCs w:val="20"/>
              </w:rPr>
              <w:t>:</w:t>
            </w:r>
          </w:p>
          <w:p w14:paraId="044EA0B3" w14:textId="77777777" w:rsidR="0020365D" w:rsidRDefault="00000000" w:rsidP="0020365D">
            <w:pPr>
              <w:pStyle w:val="TableText"/>
              <w:rPr>
                <w:rStyle w:val="CommentReference"/>
                <w:color w:val="auto"/>
              </w:rPr>
            </w:pPr>
            <w:hyperlink r:id="rId24" w:history="1">
              <w:r w:rsidR="00B53788" w:rsidRPr="00116E55">
                <w:rPr>
                  <w:rStyle w:val="Hyperlink"/>
                  <w:sz w:val="20"/>
                  <w:szCs w:val="20"/>
                </w:rPr>
                <w:t>https://southeastwater.com.au/about-us/our-role/plan-for-the-future/</w:t>
              </w:r>
            </w:hyperlink>
            <w:r w:rsidR="00B53788" w:rsidRPr="00116E55">
              <w:rPr>
                <w:sz w:val="20"/>
                <w:szCs w:val="20"/>
              </w:rPr>
              <w:t xml:space="preserve"> </w:t>
            </w:r>
          </w:p>
          <w:p w14:paraId="4E046D71" w14:textId="44DD994B" w:rsidR="00C80B6B" w:rsidRPr="00116E55" w:rsidRDefault="00C80B6B" w:rsidP="0020365D">
            <w:pPr>
              <w:pStyle w:val="TableText"/>
              <w:rPr>
                <w:sz w:val="20"/>
                <w:szCs w:val="20"/>
              </w:rPr>
            </w:pPr>
            <w:r w:rsidRPr="00116E55">
              <w:rPr>
                <w:sz w:val="20"/>
                <w:szCs w:val="20"/>
              </w:rPr>
              <w:t xml:space="preserve">We have explained </w:t>
            </w:r>
            <w:r w:rsidR="00CB62F4" w:rsidRPr="00116E55">
              <w:rPr>
                <w:sz w:val="20"/>
                <w:szCs w:val="20"/>
              </w:rPr>
              <w:t>each step of our planned engagement program and report</w:t>
            </w:r>
            <w:r w:rsidR="001D6D6E" w:rsidRPr="00116E55">
              <w:rPr>
                <w:sz w:val="20"/>
                <w:szCs w:val="20"/>
              </w:rPr>
              <w:t>ed</w:t>
            </w:r>
            <w:r w:rsidR="00CB62F4" w:rsidRPr="00116E55">
              <w:rPr>
                <w:sz w:val="20"/>
                <w:szCs w:val="20"/>
              </w:rPr>
              <w:t xml:space="preserve"> on outcomes a</w:t>
            </w:r>
            <w:r w:rsidR="001B5826" w:rsidRPr="00116E55">
              <w:rPr>
                <w:sz w:val="20"/>
                <w:szCs w:val="20"/>
              </w:rPr>
              <w:t>s they were completed.</w:t>
            </w:r>
          </w:p>
        </w:tc>
      </w:tr>
      <w:tr w:rsidR="00AF4CBF" w:rsidRPr="00B052BE" w14:paraId="46FF1702" w14:textId="77777777" w:rsidTr="004C011C">
        <w:trPr>
          <w:trHeight w:val="1731"/>
        </w:trPr>
        <w:tc>
          <w:tcPr>
            <w:tcW w:w="0" w:type="dxa"/>
            <w:shd w:val="clear" w:color="auto" w:fill="D4D6DF"/>
            <w:vAlign w:val="top"/>
          </w:tcPr>
          <w:p w14:paraId="5B5827CA" w14:textId="4A5C2028" w:rsidR="00793B7B" w:rsidRPr="00116E55" w:rsidRDefault="00784086" w:rsidP="007621C5">
            <w:pPr>
              <w:pStyle w:val="TableText"/>
              <w:rPr>
                <w:i/>
                <w:sz w:val="20"/>
                <w:szCs w:val="20"/>
              </w:rPr>
            </w:pPr>
            <w:r w:rsidRPr="00116E55">
              <w:rPr>
                <w:i/>
                <w:sz w:val="20"/>
                <w:szCs w:val="20"/>
              </w:rPr>
              <w:t xml:space="preserve">To what extent has the </w:t>
            </w:r>
            <w:r w:rsidR="0088688D" w:rsidRPr="00116E55">
              <w:rPr>
                <w:i/>
                <w:sz w:val="20"/>
                <w:szCs w:val="20"/>
              </w:rPr>
              <w:t>organisation</w:t>
            </w:r>
            <w:r w:rsidRPr="00116E55">
              <w:rPr>
                <w:i/>
                <w:sz w:val="20"/>
                <w:szCs w:val="20"/>
              </w:rPr>
              <w:t xml:space="preserve"> demonstrated how its engagement with customers has influenced its submission?</w:t>
            </w:r>
          </w:p>
        </w:tc>
        <w:tc>
          <w:tcPr>
            <w:tcW w:w="0" w:type="dxa"/>
            <w:shd w:val="clear" w:color="auto" w:fill="D4D6DF"/>
            <w:vAlign w:val="top"/>
          </w:tcPr>
          <w:p w14:paraId="5FFB4E7E" w14:textId="3A0499B4" w:rsidR="00793B7B" w:rsidRPr="00116E55" w:rsidRDefault="00AA2D57" w:rsidP="007621C5">
            <w:pPr>
              <w:pStyle w:val="TableText"/>
              <w:rPr>
                <w:sz w:val="20"/>
                <w:szCs w:val="20"/>
              </w:rPr>
            </w:pPr>
            <w:r w:rsidRPr="00116E55">
              <w:rPr>
                <w:sz w:val="20"/>
                <w:szCs w:val="20"/>
              </w:rPr>
              <w:t xml:space="preserve">South East Water has </w:t>
            </w:r>
            <w:r w:rsidR="00E80678" w:rsidRPr="00116E55">
              <w:rPr>
                <w:sz w:val="20"/>
                <w:szCs w:val="20"/>
              </w:rPr>
              <w:t>outlined a clear process by which it has taken the outcomes of the customer engagement and</w:t>
            </w:r>
            <w:r w:rsidR="00292ECD" w:rsidRPr="00116E55">
              <w:rPr>
                <w:sz w:val="20"/>
                <w:szCs w:val="20"/>
              </w:rPr>
              <w:t xml:space="preserve"> used a deliberative process with customers to agree</w:t>
            </w:r>
            <w:r w:rsidR="00875CB1">
              <w:rPr>
                <w:sz w:val="20"/>
                <w:szCs w:val="20"/>
              </w:rPr>
              <w:t xml:space="preserve"> on</w:t>
            </w:r>
            <w:r w:rsidR="00292ECD" w:rsidRPr="00116E55">
              <w:rPr>
                <w:sz w:val="20"/>
                <w:szCs w:val="20"/>
              </w:rPr>
              <w:t xml:space="preserve"> how this should be reflected in the </w:t>
            </w:r>
            <w:r w:rsidR="00B416CB" w:rsidRPr="00116E55">
              <w:rPr>
                <w:sz w:val="20"/>
                <w:szCs w:val="20"/>
              </w:rPr>
              <w:t>2023</w:t>
            </w:r>
            <w:r w:rsidR="007D4EB3" w:rsidRPr="00116E55">
              <w:rPr>
                <w:sz w:val="20"/>
                <w:szCs w:val="20"/>
              </w:rPr>
              <w:t>–</w:t>
            </w:r>
            <w:r w:rsidR="00A63201" w:rsidRPr="00116E55">
              <w:rPr>
                <w:sz w:val="20"/>
                <w:szCs w:val="20"/>
              </w:rPr>
              <w:t>2</w:t>
            </w:r>
            <w:r w:rsidR="00B416CB" w:rsidRPr="00116E55">
              <w:rPr>
                <w:sz w:val="20"/>
                <w:szCs w:val="20"/>
              </w:rPr>
              <w:t xml:space="preserve">8 </w:t>
            </w:r>
            <w:r w:rsidR="003F1A14" w:rsidRPr="00116E55">
              <w:rPr>
                <w:sz w:val="20"/>
                <w:szCs w:val="20"/>
              </w:rPr>
              <w:t>P</w:t>
            </w:r>
            <w:r w:rsidR="00B416CB" w:rsidRPr="00116E55">
              <w:rPr>
                <w:sz w:val="20"/>
                <w:szCs w:val="20"/>
              </w:rPr>
              <w:t>ric</w:t>
            </w:r>
            <w:r w:rsidR="00C82029" w:rsidRPr="00116E55">
              <w:rPr>
                <w:sz w:val="20"/>
                <w:szCs w:val="20"/>
              </w:rPr>
              <w:t>e</w:t>
            </w:r>
            <w:r w:rsidR="00B416CB" w:rsidRPr="00116E55">
              <w:rPr>
                <w:sz w:val="20"/>
                <w:szCs w:val="20"/>
              </w:rPr>
              <w:t xml:space="preserve"> </w:t>
            </w:r>
            <w:r w:rsidR="003F1A14" w:rsidRPr="00116E55">
              <w:rPr>
                <w:sz w:val="20"/>
                <w:szCs w:val="20"/>
              </w:rPr>
              <w:t>S</w:t>
            </w:r>
            <w:r w:rsidR="00B416CB" w:rsidRPr="00116E55">
              <w:rPr>
                <w:sz w:val="20"/>
                <w:szCs w:val="20"/>
              </w:rPr>
              <w:t>ubmission.</w:t>
            </w:r>
            <w:r w:rsidR="00F32119" w:rsidRPr="00116E55">
              <w:rPr>
                <w:sz w:val="20"/>
                <w:szCs w:val="20"/>
              </w:rPr>
              <w:t xml:space="preserve"> The deliberative panel</w:t>
            </w:r>
            <w:r w:rsidR="00B15960" w:rsidRPr="00116E55">
              <w:rPr>
                <w:sz w:val="20"/>
                <w:szCs w:val="20"/>
              </w:rPr>
              <w:t xml:space="preserve"> </w:t>
            </w:r>
            <w:r w:rsidR="00796277" w:rsidRPr="00116E55">
              <w:rPr>
                <w:sz w:val="20"/>
                <w:szCs w:val="20"/>
              </w:rPr>
              <w:t xml:space="preserve">were </w:t>
            </w:r>
            <w:r w:rsidR="00AA22DB" w:rsidRPr="00116E55">
              <w:rPr>
                <w:sz w:val="20"/>
                <w:szCs w:val="20"/>
              </w:rPr>
              <w:t>also</w:t>
            </w:r>
            <w:r w:rsidR="00796277" w:rsidRPr="00116E55">
              <w:rPr>
                <w:sz w:val="20"/>
                <w:szCs w:val="20"/>
              </w:rPr>
              <w:t xml:space="preserve"> given the opportunity to provide feedback on the draft submission</w:t>
            </w:r>
            <w:r w:rsidR="00494F2F" w:rsidRPr="00116E55">
              <w:rPr>
                <w:sz w:val="20"/>
                <w:szCs w:val="20"/>
              </w:rPr>
              <w:t xml:space="preserve"> in the </w:t>
            </w:r>
            <w:r w:rsidR="00612583" w:rsidRPr="00116E55">
              <w:rPr>
                <w:sz w:val="20"/>
                <w:szCs w:val="20"/>
              </w:rPr>
              <w:t>‘</w:t>
            </w:r>
            <w:r w:rsidR="003033C1" w:rsidRPr="00116E55">
              <w:rPr>
                <w:iCs/>
                <w:sz w:val="20"/>
                <w:szCs w:val="20"/>
              </w:rPr>
              <w:t>c</w:t>
            </w:r>
            <w:r w:rsidR="00951E6F" w:rsidRPr="00116E55">
              <w:rPr>
                <w:iCs/>
                <w:sz w:val="20"/>
                <w:szCs w:val="20"/>
              </w:rPr>
              <w:t xml:space="preserve">losing the </w:t>
            </w:r>
            <w:r w:rsidR="00442E78" w:rsidRPr="00116E55">
              <w:rPr>
                <w:iCs/>
                <w:sz w:val="20"/>
                <w:szCs w:val="20"/>
              </w:rPr>
              <w:t>l</w:t>
            </w:r>
            <w:r w:rsidR="00951E6F" w:rsidRPr="00116E55">
              <w:rPr>
                <w:iCs/>
                <w:sz w:val="20"/>
                <w:szCs w:val="20"/>
              </w:rPr>
              <w:t>oop</w:t>
            </w:r>
            <w:r w:rsidR="00612583" w:rsidRPr="00116E55">
              <w:rPr>
                <w:iCs/>
                <w:sz w:val="20"/>
                <w:szCs w:val="20"/>
              </w:rPr>
              <w:t>’</w:t>
            </w:r>
            <w:r w:rsidR="00951E6F" w:rsidRPr="00116E55">
              <w:rPr>
                <w:sz w:val="20"/>
                <w:szCs w:val="20"/>
              </w:rPr>
              <w:t xml:space="preserve"> </w:t>
            </w:r>
            <w:r w:rsidR="003037D6" w:rsidRPr="00116E55">
              <w:rPr>
                <w:sz w:val="20"/>
                <w:szCs w:val="20"/>
              </w:rPr>
              <w:t>stage</w:t>
            </w:r>
            <w:r w:rsidR="00C754A4" w:rsidRPr="00116E55">
              <w:rPr>
                <w:sz w:val="20"/>
                <w:szCs w:val="20"/>
              </w:rPr>
              <w:t xml:space="preserve">, </w:t>
            </w:r>
            <w:r w:rsidR="00D06968" w:rsidRPr="00116E55">
              <w:rPr>
                <w:sz w:val="20"/>
                <w:szCs w:val="20"/>
              </w:rPr>
              <w:t xml:space="preserve">specifically how their recommendations had been interpreted and </w:t>
            </w:r>
            <w:r w:rsidR="00485CC5" w:rsidRPr="00116E55">
              <w:rPr>
                <w:sz w:val="20"/>
                <w:szCs w:val="20"/>
              </w:rPr>
              <w:t>represented in th</w:t>
            </w:r>
            <w:r w:rsidR="00863A0E">
              <w:rPr>
                <w:sz w:val="20"/>
                <w:szCs w:val="20"/>
              </w:rPr>
              <w:t>is</w:t>
            </w:r>
            <w:r w:rsidR="00485CC5" w:rsidRPr="00116E55">
              <w:rPr>
                <w:sz w:val="20"/>
                <w:szCs w:val="20"/>
              </w:rPr>
              <w:t xml:space="preserve"> submission</w:t>
            </w:r>
            <w:r w:rsidR="006274B2" w:rsidRPr="00116E55">
              <w:rPr>
                <w:sz w:val="20"/>
                <w:szCs w:val="20"/>
              </w:rPr>
              <w:t>.</w:t>
            </w:r>
          </w:p>
        </w:tc>
      </w:tr>
      <w:tr w:rsidR="00E2049D" w:rsidRPr="00B052BE" w14:paraId="3D495B1C" w14:textId="77777777" w:rsidTr="004C011C">
        <w:tc>
          <w:tcPr>
            <w:tcW w:w="0" w:type="dxa"/>
            <w:vAlign w:val="top"/>
          </w:tcPr>
          <w:p w14:paraId="375E493C" w14:textId="37F119C8" w:rsidR="00793B7B" w:rsidRPr="00116E55" w:rsidRDefault="00784086" w:rsidP="007621C5">
            <w:pPr>
              <w:pStyle w:val="TableText"/>
              <w:rPr>
                <w:i/>
                <w:sz w:val="20"/>
                <w:szCs w:val="20"/>
              </w:rPr>
            </w:pPr>
            <w:r w:rsidRPr="00116E55">
              <w:rPr>
                <w:i/>
                <w:sz w:val="20"/>
                <w:szCs w:val="20"/>
              </w:rPr>
              <w:t xml:space="preserve">To what extent has the </w:t>
            </w:r>
            <w:r w:rsidR="0088688D" w:rsidRPr="00116E55">
              <w:rPr>
                <w:i/>
                <w:sz w:val="20"/>
                <w:szCs w:val="20"/>
              </w:rPr>
              <w:t>organisation</w:t>
            </w:r>
            <w:r w:rsidRPr="00116E55">
              <w:rPr>
                <w:i/>
                <w:sz w:val="20"/>
                <w:szCs w:val="20"/>
              </w:rPr>
              <w:t xml:space="preserve"> demonstrated that its engagement was inclusive of consumers experiencing vulnerability?</w:t>
            </w:r>
          </w:p>
        </w:tc>
        <w:tc>
          <w:tcPr>
            <w:tcW w:w="0" w:type="dxa"/>
            <w:vAlign w:val="top"/>
          </w:tcPr>
          <w:p w14:paraId="372C65C7" w14:textId="0D12439C" w:rsidR="00793B7B" w:rsidRPr="00116E55" w:rsidRDefault="00B416CB" w:rsidP="007621C5">
            <w:pPr>
              <w:pStyle w:val="TableText"/>
              <w:rPr>
                <w:sz w:val="20"/>
                <w:szCs w:val="20"/>
              </w:rPr>
            </w:pPr>
            <w:r w:rsidRPr="00116E55">
              <w:rPr>
                <w:sz w:val="20"/>
                <w:szCs w:val="20"/>
              </w:rPr>
              <w:t>South East Water engaged with customer</w:t>
            </w:r>
            <w:r w:rsidR="00B5616D" w:rsidRPr="00116E55">
              <w:rPr>
                <w:sz w:val="20"/>
                <w:szCs w:val="20"/>
              </w:rPr>
              <w:t>s</w:t>
            </w:r>
            <w:r w:rsidRPr="00116E55">
              <w:rPr>
                <w:sz w:val="20"/>
                <w:szCs w:val="20"/>
              </w:rPr>
              <w:t xml:space="preserve"> experiencing vulnerability </w:t>
            </w:r>
            <w:r w:rsidR="00097B69">
              <w:rPr>
                <w:sz w:val="20"/>
                <w:szCs w:val="20"/>
              </w:rPr>
              <w:br/>
            </w:r>
            <w:r w:rsidRPr="00116E55">
              <w:rPr>
                <w:sz w:val="20"/>
                <w:szCs w:val="20"/>
              </w:rPr>
              <w:t>as part of the</w:t>
            </w:r>
            <w:r w:rsidR="0047083F" w:rsidRPr="00116E55">
              <w:rPr>
                <w:sz w:val="20"/>
                <w:szCs w:val="20"/>
              </w:rPr>
              <w:t xml:space="preserve"> price</w:t>
            </w:r>
            <w:r w:rsidRPr="00116E55">
              <w:rPr>
                <w:sz w:val="20"/>
                <w:szCs w:val="20"/>
              </w:rPr>
              <w:t xml:space="preserve"> </w:t>
            </w:r>
            <w:r w:rsidR="00554A9D" w:rsidRPr="00116E55">
              <w:rPr>
                <w:sz w:val="20"/>
                <w:szCs w:val="20"/>
              </w:rPr>
              <w:t>submission specific engagement (Phase</w:t>
            </w:r>
            <w:r w:rsidR="00B9277C" w:rsidRPr="00116E55">
              <w:rPr>
                <w:sz w:val="20"/>
                <w:szCs w:val="20"/>
              </w:rPr>
              <w:t>s</w:t>
            </w:r>
            <w:r w:rsidR="00554A9D" w:rsidRPr="00116E55">
              <w:rPr>
                <w:sz w:val="20"/>
                <w:szCs w:val="20"/>
              </w:rPr>
              <w:t xml:space="preserve"> 2 and 3)</w:t>
            </w:r>
            <w:r w:rsidR="000E3BDA" w:rsidRPr="00116E55">
              <w:rPr>
                <w:sz w:val="20"/>
                <w:szCs w:val="20"/>
              </w:rPr>
              <w:t xml:space="preserve">. </w:t>
            </w:r>
            <w:r w:rsidR="00A14B4D" w:rsidRPr="00116E55">
              <w:rPr>
                <w:sz w:val="20"/>
                <w:szCs w:val="20"/>
              </w:rPr>
              <w:t>We</w:t>
            </w:r>
            <w:r w:rsidR="000E3BDA" w:rsidRPr="00116E55">
              <w:rPr>
                <w:sz w:val="20"/>
                <w:szCs w:val="20"/>
              </w:rPr>
              <w:t xml:space="preserve"> also ha</w:t>
            </w:r>
            <w:r w:rsidR="00660DAE" w:rsidRPr="00116E55">
              <w:rPr>
                <w:sz w:val="20"/>
                <w:szCs w:val="20"/>
              </w:rPr>
              <w:t>ve</w:t>
            </w:r>
            <w:r w:rsidR="000E3BDA" w:rsidRPr="00116E55">
              <w:rPr>
                <w:sz w:val="20"/>
                <w:szCs w:val="20"/>
              </w:rPr>
              <w:t xml:space="preserve"> a range of business-as-usual engagement </w:t>
            </w:r>
            <w:r w:rsidR="00863A0E">
              <w:rPr>
                <w:sz w:val="20"/>
                <w:szCs w:val="20"/>
              </w:rPr>
              <w:t xml:space="preserve">activities </w:t>
            </w:r>
            <w:r w:rsidR="006D781F" w:rsidRPr="00116E55">
              <w:rPr>
                <w:sz w:val="20"/>
                <w:szCs w:val="20"/>
              </w:rPr>
              <w:t xml:space="preserve">with customers experiencing vulnerability through the delivery of </w:t>
            </w:r>
            <w:r w:rsidR="00DD2E70">
              <w:rPr>
                <w:sz w:val="20"/>
                <w:szCs w:val="20"/>
              </w:rPr>
              <w:t>customer support</w:t>
            </w:r>
            <w:r w:rsidR="006D781F" w:rsidRPr="00116E55">
              <w:rPr>
                <w:sz w:val="20"/>
                <w:szCs w:val="20"/>
              </w:rPr>
              <w:t xml:space="preserve"> programs.</w:t>
            </w:r>
          </w:p>
        </w:tc>
      </w:tr>
      <w:tr w:rsidR="00AF4CBF" w:rsidRPr="00B052BE" w14:paraId="6C0BD3F2" w14:textId="77777777" w:rsidTr="004C011C">
        <w:trPr>
          <w:trHeight w:val="1270"/>
        </w:trPr>
        <w:tc>
          <w:tcPr>
            <w:tcW w:w="0" w:type="dxa"/>
            <w:shd w:val="clear" w:color="auto" w:fill="D4D6DF"/>
            <w:vAlign w:val="top"/>
          </w:tcPr>
          <w:p w14:paraId="48DADDF1" w14:textId="3776DE21" w:rsidR="00793B7B" w:rsidRPr="00116E55" w:rsidRDefault="00E67B17" w:rsidP="007621C5">
            <w:pPr>
              <w:pStyle w:val="TableText"/>
              <w:rPr>
                <w:i/>
                <w:sz w:val="20"/>
                <w:szCs w:val="20"/>
              </w:rPr>
            </w:pPr>
            <w:r w:rsidRPr="00116E55">
              <w:rPr>
                <w:i/>
                <w:sz w:val="20"/>
                <w:szCs w:val="20"/>
              </w:rPr>
              <w:t xml:space="preserve">To what extent has the </w:t>
            </w:r>
            <w:r w:rsidR="0088688D" w:rsidRPr="00116E55">
              <w:rPr>
                <w:i/>
                <w:sz w:val="20"/>
                <w:szCs w:val="20"/>
              </w:rPr>
              <w:t>organisation</w:t>
            </w:r>
            <w:r w:rsidRPr="00116E55">
              <w:rPr>
                <w:i/>
                <w:sz w:val="20"/>
                <w:szCs w:val="20"/>
              </w:rPr>
              <w:t xml:space="preserve"> demonstrated that its engagement was inclusive of First Nations people?</w:t>
            </w:r>
          </w:p>
        </w:tc>
        <w:tc>
          <w:tcPr>
            <w:tcW w:w="0" w:type="dxa"/>
            <w:shd w:val="clear" w:color="auto" w:fill="D4D6DF"/>
            <w:vAlign w:val="top"/>
          </w:tcPr>
          <w:p w14:paraId="3C52A29B" w14:textId="75165A0A" w:rsidR="00D96DD4" w:rsidRPr="00116E55" w:rsidRDefault="0047083F" w:rsidP="00D96DD4">
            <w:pPr>
              <w:pStyle w:val="TableText"/>
              <w:rPr>
                <w:sz w:val="20"/>
                <w:szCs w:val="20"/>
              </w:rPr>
            </w:pPr>
            <w:r w:rsidRPr="00116E55">
              <w:rPr>
                <w:sz w:val="20"/>
                <w:szCs w:val="20"/>
              </w:rPr>
              <w:t xml:space="preserve">South East Water engaged with </w:t>
            </w:r>
            <w:r w:rsidR="006F4626" w:rsidRPr="00116E55">
              <w:rPr>
                <w:sz w:val="20"/>
                <w:szCs w:val="20"/>
              </w:rPr>
              <w:t xml:space="preserve">First Nations </w:t>
            </w:r>
            <w:r w:rsidR="00AD6970" w:rsidRPr="00116E55">
              <w:rPr>
                <w:sz w:val="20"/>
                <w:szCs w:val="20"/>
              </w:rPr>
              <w:t>people</w:t>
            </w:r>
            <w:r w:rsidRPr="00116E55">
              <w:rPr>
                <w:sz w:val="20"/>
                <w:szCs w:val="20"/>
              </w:rPr>
              <w:t xml:space="preserve"> as part of the price submission</w:t>
            </w:r>
            <w:r w:rsidR="00B9277C" w:rsidRPr="00116E55">
              <w:rPr>
                <w:sz w:val="20"/>
                <w:szCs w:val="20"/>
              </w:rPr>
              <w:t>-</w:t>
            </w:r>
            <w:r w:rsidRPr="00116E55">
              <w:rPr>
                <w:sz w:val="20"/>
                <w:szCs w:val="20"/>
              </w:rPr>
              <w:t>specific engagement (Phase 2).</w:t>
            </w:r>
            <w:r w:rsidR="00260286" w:rsidRPr="00116E55">
              <w:rPr>
                <w:sz w:val="20"/>
                <w:szCs w:val="20"/>
              </w:rPr>
              <w:t xml:space="preserve"> We also </w:t>
            </w:r>
            <w:r w:rsidR="007E4FDD" w:rsidRPr="00116E55">
              <w:rPr>
                <w:sz w:val="20"/>
                <w:szCs w:val="20"/>
              </w:rPr>
              <w:t xml:space="preserve">regularly </w:t>
            </w:r>
            <w:r w:rsidR="00260286" w:rsidRPr="00116E55">
              <w:rPr>
                <w:sz w:val="20"/>
                <w:szCs w:val="20"/>
              </w:rPr>
              <w:t xml:space="preserve">engage with </w:t>
            </w:r>
            <w:r w:rsidR="0058624F" w:rsidRPr="00116E55">
              <w:rPr>
                <w:sz w:val="20"/>
                <w:szCs w:val="20"/>
              </w:rPr>
              <w:t xml:space="preserve">Traditional </w:t>
            </w:r>
            <w:r w:rsidR="004B7B9C" w:rsidRPr="00116E55">
              <w:rPr>
                <w:sz w:val="20"/>
                <w:szCs w:val="20"/>
              </w:rPr>
              <w:t>Owners in our service area</w:t>
            </w:r>
            <w:r w:rsidR="00D96DD4" w:rsidRPr="00116E55">
              <w:rPr>
                <w:sz w:val="20"/>
                <w:szCs w:val="20"/>
              </w:rPr>
              <w:t>, including Bunurong Land Council Aboriginal Corporation and Wurundjeri Woi</w:t>
            </w:r>
            <w:r w:rsidR="00D60119" w:rsidRPr="00116E55">
              <w:rPr>
                <w:sz w:val="20"/>
                <w:szCs w:val="20"/>
              </w:rPr>
              <w:t xml:space="preserve"> W</w:t>
            </w:r>
            <w:r w:rsidR="00D96DD4" w:rsidRPr="00116E55">
              <w:rPr>
                <w:sz w:val="20"/>
                <w:szCs w:val="20"/>
              </w:rPr>
              <w:t xml:space="preserve">urrung Cultural </w:t>
            </w:r>
          </w:p>
          <w:p w14:paraId="0F813CF2" w14:textId="2ED8F35B" w:rsidR="00793B7B" w:rsidRPr="00116E55" w:rsidRDefault="00D96DD4" w:rsidP="007621C5">
            <w:pPr>
              <w:pStyle w:val="TableText"/>
              <w:rPr>
                <w:sz w:val="20"/>
                <w:szCs w:val="20"/>
              </w:rPr>
            </w:pPr>
            <w:r w:rsidRPr="00116E55">
              <w:rPr>
                <w:sz w:val="20"/>
                <w:szCs w:val="20"/>
              </w:rPr>
              <w:t>Heritage Aboriginal Corporation</w:t>
            </w:r>
            <w:r w:rsidR="007E4FDD" w:rsidRPr="00116E55">
              <w:rPr>
                <w:sz w:val="20"/>
                <w:szCs w:val="20"/>
              </w:rPr>
              <w:t xml:space="preserve"> as part of </w:t>
            </w:r>
            <w:r w:rsidR="002D50E8" w:rsidRPr="00116E55">
              <w:rPr>
                <w:sz w:val="20"/>
                <w:szCs w:val="20"/>
              </w:rPr>
              <w:t xml:space="preserve">our </w:t>
            </w:r>
            <w:r w:rsidR="002D50E8" w:rsidRPr="00116E55">
              <w:rPr>
                <w:i/>
                <w:iCs/>
                <w:sz w:val="20"/>
                <w:szCs w:val="20"/>
              </w:rPr>
              <w:t>Reconciliation Action Plan</w:t>
            </w:r>
            <w:r w:rsidR="002D50E8" w:rsidRPr="00116E55">
              <w:rPr>
                <w:sz w:val="20"/>
                <w:szCs w:val="20"/>
              </w:rPr>
              <w:t>.</w:t>
            </w:r>
          </w:p>
        </w:tc>
      </w:tr>
    </w:tbl>
    <w:p w14:paraId="5AF9009D" w14:textId="77777777" w:rsidR="007E6C69" w:rsidRDefault="007E6C69" w:rsidP="000D0294">
      <w:r>
        <w:br/>
      </w:r>
    </w:p>
    <w:p w14:paraId="7B3ECCA8" w14:textId="043406E4" w:rsidR="000C3AB5" w:rsidRDefault="000D0294" w:rsidP="000D0294">
      <w:r>
        <w:lastRenderedPageBreak/>
        <w:t xml:space="preserve">South East Water </w:t>
      </w:r>
      <w:r w:rsidR="00E0101E">
        <w:t xml:space="preserve">has </w:t>
      </w:r>
      <w:r w:rsidR="00285BEF">
        <w:t xml:space="preserve">delivered </w:t>
      </w:r>
      <w:r w:rsidR="001656D5">
        <w:t>comprehensive customer and community</w:t>
      </w:r>
      <w:r>
        <w:t xml:space="preserve"> engagement</w:t>
      </w:r>
      <w:r w:rsidR="00C838A5">
        <w:t>,</w:t>
      </w:r>
      <w:r>
        <w:t xml:space="preserve"> and customer preferences have </w:t>
      </w:r>
      <w:r w:rsidR="00E0101E">
        <w:t>strongly influenced our 2023</w:t>
      </w:r>
      <w:r w:rsidR="007D4EB3">
        <w:t>–</w:t>
      </w:r>
      <w:r w:rsidR="00E0101E">
        <w:t xml:space="preserve">28 </w:t>
      </w:r>
      <w:r>
        <w:t>expenditure p</w:t>
      </w:r>
      <w:r w:rsidR="00E0101E">
        <w:t xml:space="preserve">riorities </w:t>
      </w:r>
      <w:r>
        <w:t>and price submission</w:t>
      </w:r>
      <w:r w:rsidR="00863A0E">
        <w:t xml:space="preserve"> proposals</w:t>
      </w:r>
      <w:r>
        <w:t>.</w:t>
      </w:r>
    </w:p>
    <w:p w14:paraId="6F59CD43" w14:textId="77777777" w:rsidR="00097B69" w:rsidRDefault="00097B69" w:rsidP="000D0294"/>
    <w:p w14:paraId="7952801B" w14:textId="3B80E1B4" w:rsidR="000C3AB5" w:rsidRDefault="00097B69" w:rsidP="006D2A5C">
      <w:r>
        <w:rPr>
          <w:noProof/>
        </w:rPr>
        <mc:AlternateContent>
          <mc:Choice Requires="wps">
            <w:drawing>
              <wp:anchor distT="45720" distB="45720" distL="114300" distR="114300" simplePos="0" relativeHeight="251658263" behindDoc="0" locked="0" layoutInCell="1" allowOverlap="1" wp14:anchorId="1F30A312" wp14:editId="361201B6">
                <wp:simplePos x="0" y="0"/>
                <wp:positionH relativeFrom="column">
                  <wp:posOffset>1905</wp:posOffset>
                </wp:positionH>
                <wp:positionV relativeFrom="paragraph">
                  <wp:posOffset>433705</wp:posOffset>
                </wp:positionV>
                <wp:extent cx="6104890" cy="3848100"/>
                <wp:effectExtent l="0" t="0" r="0" b="0"/>
                <wp:wrapSquare wrapText="bothSides"/>
                <wp:docPr id="976" name="Text Box 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4890" cy="3848100"/>
                        </a:xfrm>
                        <a:prstGeom prst="rect">
                          <a:avLst/>
                        </a:prstGeom>
                        <a:solidFill>
                          <a:srgbClr val="FF8D00"/>
                        </a:solidFill>
                        <a:ln w="9525">
                          <a:noFill/>
                          <a:miter lim="800000"/>
                          <a:headEnd/>
                          <a:tailEnd/>
                        </a:ln>
                      </wps:spPr>
                      <wps:txbx>
                        <w:txbxContent>
                          <w:p w14:paraId="4A1FC002" w14:textId="69F5A1DF" w:rsidR="00EC246F" w:rsidRPr="00116E55" w:rsidRDefault="00EC246F" w:rsidP="00116E55">
                            <w:pPr>
                              <w:pStyle w:val="Heading3"/>
                              <w:spacing w:before="0" w:after="240"/>
                              <w:rPr>
                                <w:color w:val="FFFFFF" w:themeColor="background1"/>
                                <w:sz w:val="24"/>
                              </w:rPr>
                            </w:pPr>
                            <w:r>
                              <w:rPr>
                                <w:color w:val="FFFFFF" w:themeColor="background1"/>
                                <w:sz w:val="24"/>
                              </w:rPr>
                              <w:t>Supporting documents</w:t>
                            </w:r>
                          </w:p>
                          <w:p w14:paraId="76C46860" w14:textId="77777777" w:rsidR="00EC246F" w:rsidRPr="00803F2C" w:rsidRDefault="00EC246F" w:rsidP="00EC246F">
                            <w:pPr>
                              <w:pStyle w:val="Bulletlistmultilevel"/>
                              <w:numPr>
                                <w:ilvl w:val="0"/>
                                <w:numId w:val="4"/>
                              </w:numPr>
                              <w:rPr>
                                <w:b/>
                                <w:color w:val="FFFFFF" w:themeColor="background1"/>
                              </w:rPr>
                            </w:pPr>
                            <w:r w:rsidRPr="00803F2C">
                              <w:rPr>
                                <w:b/>
                                <w:color w:val="FFFFFF" w:themeColor="background1"/>
                              </w:rPr>
                              <w:t>South East Water Strategic Engagement Plan, South East Water Price Submission 2023</w:t>
                            </w:r>
                          </w:p>
                          <w:p w14:paraId="67E513B3" w14:textId="77777777" w:rsidR="00EC246F" w:rsidRPr="00803F2C" w:rsidRDefault="00EC246F" w:rsidP="00EC246F">
                            <w:pPr>
                              <w:pStyle w:val="Bulletlistmultilevel"/>
                              <w:numPr>
                                <w:ilvl w:val="0"/>
                                <w:numId w:val="4"/>
                              </w:numPr>
                              <w:rPr>
                                <w:b/>
                                <w:color w:val="FFFFFF" w:themeColor="background1"/>
                              </w:rPr>
                            </w:pPr>
                            <w:r w:rsidRPr="00803F2C">
                              <w:rPr>
                                <w:b/>
                                <w:color w:val="FFFFFF" w:themeColor="background1"/>
                              </w:rPr>
                              <w:t>Insync and MosaicLab, Stage Two Engagement Findings Report, July 2021</w:t>
                            </w:r>
                          </w:p>
                          <w:p w14:paraId="5A31985C" w14:textId="77777777" w:rsidR="00EC246F" w:rsidRPr="00803F2C" w:rsidRDefault="00EC246F" w:rsidP="00EC246F">
                            <w:pPr>
                              <w:pStyle w:val="Bulletlistmultilevel"/>
                              <w:numPr>
                                <w:ilvl w:val="0"/>
                                <w:numId w:val="4"/>
                              </w:numPr>
                              <w:rPr>
                                <w:b/>
                                <w:color w:val="FFFFFF" w:themeColor="background1"/>
                              </w:rPr>
                            </w:pPr>
                            <w:r w:rsidRPr="00803F2C">
                              <w:rPr>
                                <w:b/>
                                <w:color w:val="FFFFFF" w:themeColor="background1"/>
                              </w:rPr>
                              <w:t>South East Water Customer Engagement Report, October 2021</w:t>
                            </w:r>
                          </w:p>
                          <w:p w14:paraId="3BAEF590" w14:textId="77777777" w:rsidR="00EC246F" w:rsidRPr="00803F2C" w:rsidRDefault="00EC246F" w:rsidP="00EC246F">
                            <w:pPr>
                              <w:pStyle w:val="Bulletlistmultilevel"/>
                              <w:numPr>
                                <w:ilvl w:val="0"/>
                                <w:numId w:val="4"/>
                              </w:numPr>
                              <w:rPr>
                                <w:b/>
                                <w:color w:val="FFFFFF" w:themeColor="background1"/>
                              </w:rPr>
                            </w:pPr>
                            <w:r w:rsidRPr="00803F2C">
                              <w:rPr>
                                <w:b/>
                                <w:color w:val="FFFFFF" w:themeColor="background1"/>
                              </w:rPr>
                              <w:t>MosaicLab and Insync, Community Panel, Process Report, December 2021</w:t>
                            </w:r>
                          </w:p>
                          <w:p w14:paraId="420F5D9E" w14:textId="77777777" w:rsidR="00EC246F" w:rsidRPr="00803F2C" w:rsidRDefault="00EC246F" w:rsidP="00EC246F">
                            <w:pPr>
                              <w:pStyle w:val="Bulletlistmultilevel"/>
                              <w:numPr>
                                <w:ilvl w:val="0"/>
                                <w:numId w:val="4"/>
                              </w:numPr>
                              <w:rPr>
                                <w:b/>
                                <w:color w:val="FFFFFF" w:themeColor="background1"/>
                              </w:rPr>
                            </w:pPr>
                            <w:r w:rsidRPr="00803F2C">
                              <w:rPr>
                                <w:b/>
                                <w:color w:val="FFFFFF" w:themeColor="background1"/>
                              </w:rPr>
                              <w:t>Community Panel, South East Water Price Submission Panel Report, 4 December 2021</w:t>
                            </w:r>
                          </w:p>
                          <w:p w14:paraId="62875B1A" w14:textId="4CCC27DD" w:rsidR="00EC246F" w:rsidRPr="00803F2C" w:rsidRDefault="00EC246F" w:rsidP="00EC246F">
                            <w:pPr>
                              <w:pStyle w:val="Bulletlistmultilevel"/>
                              <w:numPr>
                                <w:ilvl w:val="0"/>
                                <w:numId w:val="4"/>
                              </w:numPr>
                              <w:rPr>
                                <w:b/>
                                <w:color w:val="FFFFFF" w:themeColor="background1"/>
                              </w:rPr>
                            </w:pPr>
                            <w:r w:rsidRPr="00803F2C">
                              <w:rPr>
                                <w:b/>
                                <w:color w:val="FFFFFF" w:themeColor="background1"/>
                              </w:rPr>
                              <w:t>Insync, W</w:t>
                            </w:r>
                            <w:r w:rsidR="00DD4624">
                              <w:rPr>
                                <w:b/>
                                <w:color w:val="FFFFFF" w:themeColor="background1"/>
                              </w:rPr>
                              <w:t>illingness To Pay</w:t>
                            </w:r>
                            <w:r w:rsidRPr="00803F2C">
                              <w:rPr>
                                <w:b/>
                                <w:color w:val="FFFFFF" w:themeColor="background1"/>
                              </w:rPr>
                              <w:t xml:space="preserve"> Study Summary</w:t>
                            </w:r>
                          </w:p>
                          <w:p w14:paraId="7DBED314" w14:textId="77777777" w:rsidR="00EC246F" w:rsidRPr="00803F2C" w:rsidRDefault="00EC246F" w:rsidP="00EC246F">
                            <w:pPr>
                              <w:pStyle w:val="Bulletlistmultilevel"/>
                              <w:numPr>
                                <w:ilvl w:val="0"/>
                                <w:numId w:val="4"/>
                              </w:numPr>
                              <w:rPr>
                                <w:b/>
                                <w:color w:val="FFFFFF" w:themeColor="background1"/>
                              </w:rPr>
                            </w:pPr>
                            <w:r w:rsidRPr="00803F2C">
                              <w:rPr>
                                <w:b/>
                                <w:color w:val="FFFFFF" w:themeColor="background1"/>
                              </w:rPr>
                              <w:t>JWS Research, Pricing Submission Employee Research, February 2022</w:t>
                            </w:r>
                          </w:p>
                          <w:p w14:paraId="1CB48FEB" w14:textId="77777777" w:rsidR="00EC246F" w:rsidRPr="00803F2C" w:rsidRDefault="00EC246F" w:rsidP="00EC246F">
                            <w:pPr>
                              <w:pStyle w:val="Bulletlistmultilevel"/>
                              <w:numPr>
                                <w:ilvl w:val="0"/>
                                <w:numId w:val="4"/>
                              </w:numPr>
                              <w:rPr>
                                <w:b/>
                                <w:color w:val="FFFFFF" w:themeColor="background1"/>
                              </w:rPr>
                            </w:pPr>
                            <w:r w:rsidRPr="00803F2C">
                              <w:rPr>
                                <w:b/>
                                <w:color w:val="FFFFFF" w:themeColor="background1"/>
                              </w:rPr>
                              <w:t>Painted Dog Research, SEW Customer Research and Data Audit: Exploring our Internal Customer Data, April 2022</w:t>
                            </w:r>
                          </w:p>
                          <w:p w14:paraId="5601E257" w14:textId="77777777" w:rsidR="00EC246F" w:rsidRPr="00803F2C" w:rsidRDefault="00EC246F" w:rsidP="00EC246F">
                            <w:pPr>
                              <w:pStyle w:val="Bulletlistmultilevel"/>
                              <w:numPr>
                                <w:ilvl w:val="0"/>
                                <w:numId w:val="4"/>
                              </w:numPr>
                              <w:rPr>
                                <w:b/>
                                <w:color w:val="FFFFFF" w:themeColor="background1"/>
                              </w:rPr>
                            </w:pPr>
                            <w:r w:rsidRPr="00803F2C">
                              <w:rPr>
                                <w:b/>
                                <w:color w:val="FFFFFF" w:themeColor="background1"/>
                              </w:rPr>
                              <w:t>South East Water, ‘Closing the Loop’, Customer Deliberative Panel, 14 May 2022</w:t>
                            </w:r>
                          </w:p>
                          <w:p w14:paraId="587CC2B1" w14:textId="05E9C8B8" w:rsidR="00EC246F" w:rsidRPr="00803F2C" w:rsidRDefault="00EC246F" w:rsidP="00EC246F">
                            <w:pPr>
                              <w:pStyle w:val="Bulletlistmultilevel"/>
                              <w:numPr>
                                <w:ilvl w:val="0"/>
                                <w:numId w:val="4"/>
                              </w:numPr>
                              <w:rPr>
                                <w:b/>
                                <w:color w:val="FFFFFF" w:themeColor="background1"/>
                              </w:rPr>
                            </w:pPr>
                            <w:r w:rsidRPr="00803F2C">
                              <w:rPr>
                                <w:b/>
                                <w:color w:val="FFFFFF" w:themeColor="background1"/>
                              </w:rPr>
                              <w:t>MosaicLab and Insync, Community Panel Recall Day, ‘What Was Said’ Report, May 2022</w:t>
                            </w:r>
                          </w:p>
                          <w:p w14:paraId="69D2F92D" w14:textId="1727122F" w:rsidR="00EC246F" w:rsidRPr="00116E55" w:rsidRDefault="00EC246F" w:rsidP="00116E55">
                            <w:pPr>
                              <w:pStyle w:val="Heading3"/>
                              <w:rPr>
                                <w:color w:val="FFFFFF" w:themeColor="background1"/>
                              </w:rPr>
                            </w:pPr>
                          </w:p>
                        </w:txbxContent>
                      </wps:txbx>
                      <wps:bodyPr rot="0" vert="horz" wrap="square" lIns="180000" tIns="180000" rIns="180000" bIns="180000" anchor="t" anchorCtr="0">
                        <a:noAutofit/>
                      </wps:bodyPr>
                    </wps:wsp>
                  </a:graphicData>
                </a:graphic>
                <wp14:sizeRelH relativeFrom="margin">
                  <wp14:pctWidth>0</wp14:pctWidth>
                </wp14:sizeRelH>
                <wp14:sizeRelV relativeFrom="margin">
                  <wp14:pctHeight>0</wp14:pctHeight>
                </wp14:sizeRelV>
              </wp:anchor>
            </w:drawing>
          </mc:Choice>
          <mc:Fallback>
            <w:pict>
              <v:shape w14:anchorId="1F30A312" id="Text Box 976" o:spid="_x0000_s1035" type="#_x0000_t202" style="position:absolute;margin-left:.15pt;margin-top:34.15pt;width:480.7pt;height:303pt;z-index:25165826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" fillcolor="#ff8d00" stroked="f">
                <v:textbox inset="5mm,5mm,5mm,5mm">
                  <w:txbxContent>
                    <w:p w14:paraId="4A1FC002" w14:textId="69F5A1DF" w:rsidR="00EC246F" w:rsidRPr="00116E55" w:rsidRDefault="00EC246F" w:rsidP="00116E55">
                      <w:pPr>
                        <w:pStyle w:val="Heading3"/>
                        <w:spacing w:before="0" w:after="240"/>
                        <w:rPr>
                          <w:color w:val="FFFFFF" w:themeColor="background1"/>
                          <w:sz w:val="24"/>
                        </w:rPr>
                      </w:pPr>
                      <w:r>
                        <w:rPr>
                          <w:color w:val="FFFFFF" w:themeColor="background1"/>
                          <w:sz w:val="24"/>
                        </w:rPr>
                        <w:t>Supporting documents</w:t>
                      </w:r>
                    </w:p>
                    <w:p w14:paraId="76C46860" w14:textId="77777777" w:rsidR="00EC246F" w:rsidRPr="00803F2C" w:rsidRDefault="00EC246F" w:rsidP="00EC246F">
                      <w:pPr>
                        <w:pStyle w:val="Bulletlistmultilevel"/>
                        <w:numPr>
                          <w:ilvl w:val="0"/>
                          <w:numId w:val="4"/>
                        </w:numPr>
                        <w:rPr>
                          <w:b/>
                          <w:color w:val="FFFFFF" w:themeColor="background1"/>
                        </w:rPr>
                      </w:pPr>
                      <w:proofErr w:type="gramStart"/>
                      <w:r w:rsidRPr="00803F2C">
                        <w:rPr>
                          <w:b/>
                          <w:color w:val="FFFFFF" w:themeColor="background1"/>
                        </w:rPr>
                        <w:t>South East</w:t>
                      </w:r>
                      <w:proofErr w:type="gramEnd"/>
                      <w:r w:rsidRPr="00803F2C">
                        <w:rPr>
                          <w:b/>
                          <w:color w:val="FFFFFF" w:themeColor="background1"/>
                        </w:rPr>
                        <w:t xml:space="preserve"> Water Strategic Engagement Plan, South East Water Price Submission 2023</w:t>
                      </w:r>
                    </w:p>
                    <w:p w14:paraId="67E513B3" w14:textId="77777777" w:rsidR="00EC246F" w:rsidRPr="00803F2C" w:rsidRDefault="00EC246F" w:rsidP="00EC246F">
                      <w:pPr>
                        <w:pStyle w:val="Bulletlistmultilevel"/>
                        <w:numPr>
                          <w:ilvl w:val="0"/>
                          <w:numId w:val="4"/>
                        </w:numPr>
                        <w:rPr>
                          <w:b/>
                          <w:color w:val="FFFFFF" w:themeColor="background1"/>
                        </w:rPr>
                      </w:pPr>
                      <w:r w:rsidRPr="00803F2C">
                        <w:rPr>
                          <w:b/>
                          <w:color w:val="FFFFFF" w:themeColor="background1"/>
                        </w:rPr>
                        <w:t xml:space="preserve">Insync and </w:t>
                      </w:r>
                      <w:proofErr w:type="spellStart"/>
                      <w:r w:rsidRPr="00803F2C">
                        <w:rPr>
                          <w:b/>
                          <w:color w:val="FFFFFF" w:themeColor="background1"/>
                        </w:rPr>
                        <w:t>MosaicLab</w:t>
                      </w:r>
                      <w:proofErr w:type="spellEnd"/>
                      <w:r w:rsidRPr="00803F2C">
                        <w:rPr>
                          <w:b/>
                          <w:color w:val="FFFFFF" w:themeColor="background1"/>
                        </w:rPr>
                        <w:t>, Stage Two Engagement Findings Report, July 2021</w:t>
                      </w:r>
                    </w:p>
                    <w:p w14:paraId="5A31985C" w14:textId="77777777" w:rsidR="00EC246F" w:rsidRPr="00803F2C" w:rsidRDefault="00EC246F" w:rsidP="00EC246F">
                      <w:pPr>
                        <w:pStyle w:val="Bulletlistmultilevel"/>
                        <w:numPr>
                          <w:ilvl w:val="0"/>
                          <w:numId w:val="4"/>
                        </w:numPr>
                        <w:rPr>
                          <w:b/>
                          <w:color w:val="FFFFFF" w:themeColor="background1"/>
                        </w:rPr>
                      </w:pPr>
                      <w:proofErr w:type="gramStart"/>
                      <w:r w:rsidRPr="00803F2C">
                        <w:rPr>
                          <w:b/>
                          <w:color w:val="FFFFFF" w:themeColor="background1"/>
                        </w:rPr>
                        <w:t>South East</w:t>
                      </w:r>
                      <w:proofErr w:type="gramEnd"/>
                      <w:r w:rsidRPr="00803F2C">
                        <w:rPr>
                          <w:b/>
                          <w:color w:val="FFFFFF" w:themeColor="background1"/>
                        </w:rPr>
                        <w:t xml:space="preserve"> Water Customer Engagement Report, October 2021</w:t>
                      </w:r>
                    </w:p>
                    <w:p w14:paraId="3BAEF590" w14:textId="77777777" w:rsidR="00EC246F" w:rsidRPr="00803F2C" w:rsidRDefault="00EC246F" w:rsidP="00EC246F">
                      <w:pPr>
                        <w:pStyle w:val="Bulletlistmultilevel"/>
                        <w:numPr>
                          <w:ilvl w:val="0"/>
                          <w:numId w:val="4"/>
                        </w:numPr>
                        <w:rPr>
                          <w:b/>
                          <w:color w:val="FFFFFF" w:themeColor="background1"/>
                        </w:rPr>
                      </w:pPr>
                      <w:proofErr w:type="spellStart"/>
                      <w:r w:rsidRPr="00803F2C">
                        <w:rPr>
                          <w:b/>
                          <w:color w:val="FFFFFF" w:themeColor="background1"/>
                        </w:rPr>
                        <w:t>MosaicLab</w:t>
                      </w:r>
                      <w:proofErr w:type="spellEnd"/>
                      <w:r w:rsidRPr="00803F2C">
                        <w:rPr>
                          <w:b/>
                          <w:color w:val="FFFFFF" w:themeColor="background1"/>
                        </w:rPr>
                        <w:t xml:space="preserve"> and Insync, Community Panel, Process Report, December 2021</w:t>
                      </w:r>
                    </w:p>
                    <w:p w14:paraId="420F5D9E" w14:textId="77777777" w:rsidR="00EC246F" w:rsidRPr="00803F2C" w:rsidRDefault="00EC246F" w:rsidP="00EC246F">
                      <w:pPr>
                        <w:pStyle w:val="Bulletlistmultilevel"/>
                        <w:numPr>
                          <w:ilvl w:val="0"/>
                          <w:numId w:val="4"/>
                        </w:numPr>
                        <w:rPr>
                          <w:b/>
                          <w:color w:val="FFFFFF" w:themeColor="background1"/>
                        </w:rPr>
                      </w:pPr>
                      <w:r w:rsidRPr="00803F2C">
                        <w:rPr>
                          <w:b/>
                          <w:color w:val="FFFFFF" w:themeColor="background1"/>
                        </w:rPr>
                        <w:t xml:space="preserve">Community Panel, </w:t>
                      </w:r>
                      <w:proofErr w:type="gramStart"/>
                      <w:r w:rsidRPr="00803F2C">
                        <w:rPr>
                          <w:b/>
                          <w:color w:val="FFFFFF" w:themeColor="background1"/>
                        </w:rPr>
                        <w:t>South East</w:t>
                      </w:r>
                      <w:proofErr w:type="gramEnd"/>
                      <w:r w:rsidRPr="00803F2C">
                        <w:rPr>
                          <w:b/>
                          <w:color w:val="FFFFFF" w:themeColor="background1"/>
                        </w:rPr>
                        <w:t xml:space="preserve"> Water Price Submission Panel Report, 4 December 2021</w:t>
                      </w:r>
                    </w:p>
                    <w:p w14:paraId="62875B1A" w14:textId="4CCC27DD" w:rsidR="00EC246F" w:rsidRPr="00803F2C" w:rsidRDefault="00EC246F" w:rsidP="00EC246F">
                      <w:pPr>
                        <w:pStyle w:val="Bulletlistmultilevel"/>
                        <w:numPr>
                          <w:ilvl w:val="0"/>
                          <w:numId w:val="4"/>
                        </w:numPr>
                        <w:rPr>
                          <w:b/>
                          <w:color w:val="FFFFFF" w:themeColor="background1"/>
                        </w:rPr>
                      </w:pPr>
                      <w:r w:rsidRPr="00803F2C">
                        <w:rPr>
                          <w:b/>
                          <w:color w:val="FFFFFF" w:themeColor="background1"/>
                        </w:rPr>
                        <w:t>Insync, W</w:t>
                      </w:r>
                      <w:r w:rsidR="00DD4624">
                        <w:rPr>
                          <w:b/>
                          <w:color w:val="FFFFFF" w:themeColor="background1"/>
                        </w:rPr>
                        <w:t xml:space="preserve">illingness </w:t>
                      </w:r>
                      <w:proofErr w:type="gramStart"/>
                      <w:r w:rsidR="00DD4624">
                        <w:rPr>
                          <w:b/>
                          <w:color w:val="FFFFFF" w:themeColor="background1"/>
                        </w:rPr>
                        <w:t>To</w:t>
                      </w:r>
                      <w:proofErr w:type="gramEnd"/>
                      <w:r w:rsidR="00DD4624">
                        <w:rPr>
                          <w:b/>
                          <w:color w:val="FFFFFF" w:themeColor="background1"/>
                        </w:rPr>
                        <w:t xml:space="preserve"> Pay</w:t>
                      </w:r>
                      <w:r w:rsidRPr="00803F2C">
                        <w:rPr>
                          <w:b/>
                          <w:color w:val="FFFFFF" w:themeColor="background1"/>
                        </w:rPr>
                        <w:t xml:space="preserve"> Study Summary</w:t>
                      </w:r>
                    </w:p>
                    <w:p w14:paraId="7DBED314" w14:textId="77777777" w:rsidR="00EC246F" w:rsidRPr="00803F2C" w:rsidRDefault="00EC246F" w:rsidP="00EC246F">
                      <w:pPr>
                        <w:pStyle w:val="Bulletlistmultilevel"/>
                        <w:numPr>
                          <w:ilvl w:val="0"/>
                          <w:numId w:val="4"/>
                        </w:numPr>
                        <w:rPr>
                          <w:b/>
                          <w:color w:val="FFFFFF" w:themeColor="background1"/>
                        </w:rPr>
                      </w:pPr>
                      <w:r w:rsidRPr="00803F2C">
                        <w:rPr>
                          <w:b/>
                          <w:color w:val="FFFFFF" w:themeColor="background1"/>
                        </w:rPr>
                        <w:t>JWS Research, Pricing Submission Employee Research, February 2022</w:t>
                      </w:r>
                    </w:p>
                    <w:p w14:paraId="1CB48FEB" w14:textId="77777777" w:rsidR="00EC246F" w:rsidRPr="00803F2C" w:rsidRDefault="00EC246F" w:rsidP="00EC246F">
                      <w:pPr>
                        <w:pStyle w:val="Bulletlistmultilevel"/>
                        <w:numPr>
                          <w:ilvl w:val="0"/>
                          <w:numId w:val="4"/>
                        </w:numPr>
                        <w:rPr>
                          <w:b/>
                          <w:color w:val="FFFFFF" w:themeColor="background1"/>
                        </w:rPr>
                      </w:pPr>
                      <w:r w:rsidRPr="00803F2C">
                        <w:rPr>
                          <w:b/>
                          <w:color w:val="FFFFFF" w:themeColor="background1"/>
                        </w:rPr>
                        <w:t>Painted Dog Research, SEW Customer Research and Data Audit: Exploring our Internal Customer Data, April 2022</w:t>
                      </w:r>
                    </w:p>
                    <w:p w14:paraId="5601E257" w14:textId="77777777" w:rsidR="00EC246F" w:rsidRPr="00803F2C" w:rsidRDefault="00EC246F" w:rsidP="00EC246F">
                      <w:pPr>
                        <w:pStyle w:val="Bulletlistmultilevel"/>
                        <w:numPr>
                          <w:ilvl w:val="0"/>
                          <w:numId w:val="4"/>
                        </w:numPr>
                        <w:rPr>
                          <w:b/>
                          <w:color w:val="FFFFFF" w:themeColor="background1"/>
                        </w:rPr>
                      </w:pPr>
                      <w:proofErr w:type="gramStart"/>
                      <w:r w:rsidRPr="00803F2C">
                        <w:rPr>
                          <w:b/>
                          <w:color w:val="FFFFFF" w:themeColor="background1"/>
                        </w:rPr>
                        <w:t>South East</w:t>
                      </w:r>
                      <w:proofErr w:type="gramEnd"/>
                      <w:r w:rsidRPr="00803F2C">
                        <w:rPr>
                          <w:b/>
                          <w:color w:val="FFFFFF" w:themeColor="background1"/>
                        </w:rPr>
                        <w:t xml:space="preserve"> Water, ‘Closing the Loop’, Customer Deliberative Panel, 14 May 2022</w:t>
                      </w:r>
                    </w:p>
                    <w:p w14:paraId="587CC2B1" w14:textId="05E9C8B8" w:rsidR="00EC246F" w:rsidRPr="00803F2C" w:rsidRDefault="00EC246F" w:rsidP="00EC246F">
                      <w:pPr>
                        <w:pStyle w:val="Bulletlistmultilevel"/>
                        <w:numPr>
                          <w:ilvl w:val="0"/>
                          <w:numId w:val="4"/>
                        </w:numPr>
                        <w:rPr>
                          <w:b/>
                          <w:color w:val="FFFFFF" w:themeColor="background1"/>
                        </w:rPr>
                      </w:pPr>
                      <w:proofErr w:type="spellStart"/>
                      <w:r w:rsidRPr="00803F2C">
                        <w:rPr>
                          <w:b/>
                          <w:color w:val="FFFFFF" w:themeColor="background1"/>
                        </w:rPr>
                        <w:t>MosaicLab</w:t>
                      </w:r>
                      <w:proofErr w:type="spellEnd"/>
                      <w:r w:rsidRPr="00803F2C">
                        <w:rPr>
                          <w:b/>
                          <w:color w:val="FFFFFF" w:themeColor="background1"/>
                        </w:rPr>
                        <w:t xml:space="preserve"> and Insync, Community Panel Recall Day, ‘What Was Said’ Report, May 2022</w:t>
                      </w:r>
                    </w:p>
                    <w:p w14:paraId="69D2F92D" w14:textId="1727122F" w:rsidR="00EC246F" w:rsidRPr="00116E55" w:rsidRDefault="00EC246F" w:rsidP="00116E55">
                      <w:pPr>
                        <w:pStyle w:val="Heading3"/>
                        <w:rPr>
                          <w:color w:val="FFFFFF" w:themeColor="background1"/>
                        </w:rPr>
                      </w:pPr>
                    </w:p>
                  </w:txbxContent>
                </v:textbox>
                <w10:wrap type="square"/>
              </v:shape>
            </w:pict>
          </mc:Fallback>
        </mc:AlternateContent>
      </w:r>
      <w:r w:rsidR="001224D8">
        <w:t xml:space="preserve">As a result, </w:t>
      </w:r>
      <w:r w:rsidR="00847C18" w:rsidRPr="00CB0971">
        <w:rPr>
          <w:b/>
          <w:bCs/>
        </w:rPr>
        <w:t>our</w:t>
      </w:r>
      <w:r w:rsidR="00C171CD" w:rsidRPr="00CB0971">
        <w:rPr>
          <w:b/>
          <w:bCs/>
        </w:rPr>
        <w:t xml:space="preserve"> PREMO </w:t>
      </w:r>
      <w:r w:rsidR="00B175DF" w:rsidRPr="00B175DF">
        <w:rPr>
          <w:b/>
          <w:iCs/>
        </w:rPr>
        <w:t xml:space="preserve">self-assessed </w:t>
      </w:r>
      <w:r w:rsidR="00C171CD" w:rsidRPr="00CB0971">
        <w:rPr>
          <w:b/>
          <w:bCs/>
        </w:rPr>
        <w:t xml:space="preserve">rating for engagement is </w:t>
      </w:r>
      <w:r w:rsidR="00612583">
        <w:rPr>
          <w:b/>
          <w:i/>
        </w:rPr>
        <w:t>‘</w:t>
      </w:r>
      <w:r w:rsidR="00C171CD" w:rsidRPr="0056635E">
        <w:rPr>
          <w:b/>
          <w:i/>
        </w:rPr>
        <w:t>Advanced</w:t>
      </w:r>
      <w:r w:rsidR="00612583">
        <w:rPr>
          <w:b/>
          <w:i/>
        </w:rPr>
        <w:t>’</w:t>
      </w:r>
      <w:r w:rsidR="00655A77">
        <w:t>.</w:t>
      </w:r>
    </w:p>
    <w:p w14:paraId="5463E5CE" w14:textId="5C837DE0" w:rsidR="00D12CC3" w:rsidRDefault="00D12CC3" w:rsidP="006D2A5C"/>
    <w:p w14:paraId="6BCEF25F" w14:textId="15FE2E82" w:rsidR="00A27898" w:rsidRDefault="00A27898">
      <w:r>
        <w:br w:type="page"/>
      </w:r>
    </w:p>
    <w:bookmarkStart w:id="35" w:name="_Toc114644611"/>
    <w:p w14:paraId="7931B318" w14:textId="57298886" w:rsidR="00A27898" w:rsidRDefault="000B572B" w:rsidP="00D11C2D">
      <w:pPr>
        <w:pStyle w:val="NbrHeading1"/>
      </w:pPr>
      <w:r>
        <w:lastRenderedPageBreak/>
        <mc:AlternateContent>
          <mc:Choice Requires="wps">
            <w:drawing>
              <wp:anchor distT="45720" distB="45720" distL="114300" distR="114300" simplePos="0" relativeHeight="251658264" behindDoc="0" locked="0" layoutInCell="1" allowOverlap="1" wp14:anchorId="1E8D9BE4" wp14:editId="491B68F1">
                <wp:simplePos x="0" y="0"/>
                <wp:positionH relativeFrom="column">
                  <wp:posOffset>10795</wp:posOffset>
                </wp:positionH>
                <wp:positionV relativeFrom="paragraph">
                  <wp:posOffset>609551</wp:posOffset>
                </wp:positionV>
                <wp:extent cx="6068695" cy="1899920"/>
                <wp:effectExtent l="0" t="0" r="1905" b="5080"/>
                <wp:wrapSquare wrapText="bothSides"/>
                <wp:docPr id="977" name="Text Box 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8695" cy="1899920"/>
                        </a:xfrm>
                        <a:prstGeom prst="rect">
                          <a:avLst/>
                        </a:prstGeom>
                        <a:solidFill>
                          <a:srgbClr val="00B1F4"/>
                        </a:solidFill>
                        <a:ln w="9525">
                          <a:noFill/>
                          <a:miter lim="800000"/>
                          <a:headEnd/>
                          <a:tailEnd/>
                        </a:ln>
                      </wps:spPr>
                      <wps:txbx>
                        <w:txbxContent>
                          <w:p w14:paraId="7DDD5905" w14:textId="77777777" w:rsidR="003902CC" w:rsidRPr="00116E55" w:rsidRDefault="003902CC" w:rsidP="00116E55">
                            <w:pPr>
                              <w:pStyle w:val="Heading3"/>
                              <w:spacing w:before="0" w:after="240"/>
                              <w:rPr>
                                <w:color w:val="FFFFFF" w:themeColor="background1"/>
                                <w:sz w:val="24"/>
                              </w:rPr>
                            </w:pPr>
                            <w:r w:rsidRPr="00116E55">
                              <w:rPr>
                                <w:color w:val="FFFFFF" w:themeColor="background1"/>
                                <w:sz w:val="24"/>
                              </w:rPr>
                              <w:t>Key points</w:t>
                            </w:r>
                          </w:p>
                          <w:p w14:paraId="1EF049DD" w14:textId="56F831C3" w:rsidR="000B572B" w:rsidRPr="00803F2C" w:rsidRDefault="000B572B" w:rsidP="000B572B">
                            <w:pPr>
                              <w:pStyle w:val="Bulletlistmultilevel"/>
                              <w:numPr>
                                <w:ilvl w:val="0"/>
                                <w:numId w:val="4"/>
                              </w:numPr>
                              <w:rPr>
                                <w:b/>
                                <w:color w:val="FFFFFF" w:themeColor="background1"/>
                              </w:rPr>
                            </w:pPr>
                            <w:r w:rsidRPr="00803F2C">
                              <w:rPr>
                                <w:b/>
                                <w:color w:val="FFFFFF" w:themeColor="background1"/>
                              </w:rPr>
                              <w:t xml:space="preserve">As reaffirmed with customers, South East Water will retain its 5 outcomes for the </w:t>
                            </w:r>
                            <w:r w:rsidR="00097B69" w:rsidRPr="00803F2C">
                              <w:rPr>
                                <w:b/>
                                <w:color w:val="FFFFFF" w:themeColor="background1"/>
                              </w:rPr>
                              <w:br/>
                            </w:r>
                            <w:r w:rsidRPr="00803F2C">
                              <w:rPr>
                                <w:b/>
                                <w:color w:val="FFFFFF" w:themeColor="background1"/>
                              </w:rPr>
                              <w:t>2023–28 regulatory period.</w:t>
                            </w:r>
                          </w:p>
                          <w:p w14:paraId="3113CA6B" w14:textId="77777777" w:rsidR="00FF2D7E" w:rsidRPr="00803F2C" w:rsidRDefault="000B572B" w:rsidP="00FF2D7E">
                            <w:pPr>
                              <w:pStyle w:val="Bulletlistmultilevel"/>
                              <w:numPr>
                                <w:ilvl w:val="0"/>
                                <w:numId w:val="4"/>
                              </w:numPr>
                              <w:rPr>
                                <w:b/>
                                <w:color w:val="FFFFFF" w:themeColor="background1"/>
                              </w:rPr>
                            </w:pPr>
                            <w:r w:rsidRPr="00803F2C">
                              <w:rPr>
                                <w:b/>
                                <w:color w:val="FFFFFF" w:themeColor="background1"/>
                              </w:rPr>
                              <w:t>The output measures and targets have been refined to reflect the evolving outcome expectations of our customers and the service capabilities expected from our digital strategy investments.</w:t>
                            </w:r>
                          </w:p>
                          <w:p w14:paraId="70612025" w14:textId="61AC7BBC" w:rsidR="003902CC" w:rsidRPr="00803F2C" w:rsidRDefault="000B572B" w:rsidP="00FF2D7E">
                            <w:pPr>
                              <w:pStyle w:val="Bulletlistmultilevel"/>
                              <w:numPr>
                                <w:ilvl w:val="0"/>
                                <w:numId w:val="4"/>
                              </w:numPr>
                              <w:rPr>
                                <w:b/>
                                <w:color w:val="FFFFFF" w:themeColor="background1"/>
                              </w:rPr>
                            </w:pPr>
                            <w:r w:rsidRPr="00803F2C">
                              <w:rPr>
                                <w:b/>
                                <w:color w:val="FFFFFF" w:themeColor="background1"/>
                              </w:rPr>
                              <w:t xml:space="preserve">Our PREMO self-assessed rating for outcomes is </w:t>
                            </w:r>
                            <w:r w:rsidRPr="00803F2C">
                              <w:rPr>
                                <w:b/>
                                <w:i/>
                                <w:color w:val="FFFFFF" w:themeColor="background1"/>
                              </w:rPr>
                              <w:t>‘Advanced’</w:t>
                            </w:r>
                            <w:r w:rsidRPr="00803F2C">
                              <w:rPr>
                                <w:b/>
                                <w:color w:val="FFFFFF" w:themeColor="background1"/>
                              </w:rPr>
                              <w:t>.</w:t>
                            </w:r>
                          </w:p>
                        </w:txbxContent>
                      </wps:txbx>
                      <wps:bodyPr rot="0" vert="horz" wrap="square" lIns="180000" tIns="180000" rIns="180000" bIns="180000" anchor="t" anchorCtr="0">
                        <a:noAutofit/>
                      </wps:bodyPr>
                    </wps:wsp>
                  </a:graphicData>
                </a:graphic>
                <wp14:sizeRelH relativeFrom="margin">
                  <wp14:pctWidth>0</wp14:pctWidth>
                </wp14:sizeRelH>
                <wp14:sizeRelV relativeFrom="margin">
                  <wp14:pctHeight>0</wp14:pctHeight>
                </wp14:sizeRelV>
              </wp:anchor>
            </w:drawing>
          </mc:Choice>
          <mc:Fallback>
            <w:pict>
              <v:shape w14:anchorId="1E8D9BE4" id="Text Box 977" o:spid="_x0000_s1036" type="#_x0000_t202" style="position:absolute;left:0;text-align:left;margin-left:.85pt;margin-top:48pt;width:477.85pt;height:149.6pt;z-index:251658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" fillcolor="#00b1f4" stroked="f">
                <v:textbox inset="5mm,5mm,5mm,5mm">
                  <w:txbxContent>
                    <w:p w14:paraId="7DDD5905" w14:textId="77777777" w:rsidR="003902CC" w:rsidRPr="00116E55" w:rsidRDefault="003902CC" w:rsidP="00116E55">
                      <w:pPr>
                        <w:pStyle w:val="Heading3"/>
                        <w:spacing w:before="0" w:after="240"/>
                        <w:rPr>
                          <w:color w:val="FFFFFF" w:themeColor="background1"/>
                          <w:sz w:val="24"/>
                        </w:rPr>
                      </w:pPr>
                      <w:r w:rsidRPr="00116E55">
                        <w:rPr>
                          <w:color w:val="FFFFFF" w:themeColor="background1"/>
                          <w:sz w:val="24"/>
                        </w:rPr>
                        <w:t>Key points</w:t>
                      </w:r>
                    </w:p>
                    <w:p w14:paraId="1EF049DD" w14:textId="56F831C3" w:rsidR="000B572B" w:rsidRPr="00803F2C" w:rsidRDefault="000B572B" w:rsidP="000B572B">
                      <w:pPr>
                        <w:pStyle w:val="Bulletlistmultilevel"/>
                        <w:numPr>
                          <w:ilvl w:val="0"/>
                          <w:numId w:val="4"/>
                        </w:numPr>
                        <w:rPr>
                          <w:b/>
                          <w:color w:val="FFFFFF" w:themeColor="background1"/>
                        </w:rPr>
                      </w:pPr>
                      <w:r w:rsidRPr="00803F2C">
                        <w:rPr>
                          <w:b/>
                          <w:color w:val="FFFFFF" w:themeColor="background1"/>
                        </w:rPr>
                        <w:t xml:space="preserve">As reaffirmed with customers, </w:t>
                      </w:r>
                      <w:proofErr w:type="gramStart"/>
                      <w:r w:rsidRPr="00803F2C">
                        <w:rPr>
                          <w:b/>
                          <w:color w:val="FFFFFF" w:themeColor="background1"/>
                        </w:rPr>
                        <w:t>South East</w:t>
                      </w:r>
                      <w:proofErr w:type="gramEnd"/>
                      <w:r w:rsidRPr="00803F2C">
                        <w:rPr>
                          <w:b/>
                          <w:color w:val="FFFFFF" w:themeColor="background1"/>
                        </w:rPr>
                        <w:t xml:space="preserve"> Water will retain its 5 outcomes for the </w:t>
                      </w:r>
                      <w:r w:rsidR="00097B69" w:rsidRPr="00803F2C">
                        <w:rPr>
                          <w:b/>
                          <w:color w:val="FFFFFF" w:themeColor="background1"/>
                        </w:rPr>
                        <w:br/>
                      </w:r>
                      <w:r w:rsidRPr="00803F2C">
                        <w:rPr>
                          <w:b/>
                          <w:color w:val="FFFFFF" w:themeColor="background1"/>
                        </w:rPr>
                        <w:t>2023–28 regulatory period.</w:t>
                      </w:r>
                    </w:p>
                    <w:p w14:paraId="3113CA6B" w14:textId="77777777" w:rsidR="00FF2D7E" w:rsidRPr="00803F2C" w:rsidRDefault="000B572B" w:rsidP="00FF2D7E">
                      <w:pPr>
                        <w:pStyle w:val="Bulletlistmultilevel"/>
                        <w:numPr>
                          <w:ilvl w:val="0"/>
                          <w:numId w:val="4"/>
                        </w:numPr>
                        <w:rPr>
                          <w:b/>
                          <w:color w:val="FFFFFF" w:themeColor="background1"/>
                        </w:rPr>
                      </w:pPr>
                      <w:r w:rsidRPr="00803F2C">
                        <w:rPr>
                          <w:b/>
                          <w:color w:val="FFFFFF" w:themeColor="background1"/>
                        </w:rPr>
                        <w:t>The output measures and targets have been refined to reflect the evolving outcome expectations of our customers and the service capabilities expected from our digital strategy investments.</w:t>
                      </w:r>
                    </w:p>
                    <w:p w14:paraId="70612025" w14:textId="61AC7BBC" w:rsidR="003902CC" w:rsidRPr="00803F2C" w:rsidRDefault="000B572B" w:rsidP="00FF2D7E">
                      <w:pPr>
                        <w:pStyle w:val="Bulletlistmultilevel"/>
                        <w:numPr>
                          <w:ilvl w:val="0"/>
                          <w:numId w:val="4"/>
                        </w:numPr>
                        <w:rPr>
                          <w:b/>
                          <w:color w:val="FFFFFF" w:themeColor="background1"/>
                        </w:rPr>
                      </w:pPr>
                      <w:r w:rsidRPr="00803F2C">
                        <w:rPr>
                          <w:b/>
                          <w:color w:val="FFFFFF" w:themeColor="background1"/>
                        </w:rPr>
                        <w:t xml:space="preserve">Our PREMO self-assessed rating for outcomes is </w:t>
                      </w:r>
                      <w:r w:rsidRPr="00803F2C">
                        <w:rPr>
                          <w:b/>
                          <w:i/>
                          <w:color w:val="FFFFFF" w:themeColor="background1"/>
                        </w:rPr>
                        <w:t>‘Advanced’</w:t>
                      </w:r>
                      <w:r w:rsidRPr="00803F2C">
                        <w:rPr>
                          <w:b/>
                          <w:color w:val="FFFFFF" w:themeColor="background1"/>
                        </w:rPr>
                        <w:t>.</w:t>
                      </w:r>
                    </w:p>
                  </w:txbxContent>
                </v:textbox>
                <w10:wrap type="square"/>
              </v:shape>
            </w:pict>
          </mc:Fallback>
        </mc:AlternateContent>
      </w:r>
      <w:r w:rsidR="00013CD9">
        <w:t>3.</w:t>
      </w:r>
      <w:r w:rsidR="00715618">
        <w:t>Outcomes</w:t>
      </w:r>
      <w:bookmarkEnd w:id="35"/>
    </w:p>
    <w:p w14:paraId="10323A93" w14:textId="1265C016" w:rsidR="00052BA1" w:rsidRDefault="00052BA1" w:rsidP="003D2EDD"/>
    <w:p w14:paraId="0337FA2B" w14:textId="2088EEF9" w:rsidR="00AC3C2F" w:rsidRDefault="005F6A62" w:rsidP="005F6A62">
      <w:r>
        <w:t xml:space="preserve">This </w:t>
      </w:r>
      <w:r>
        <w:rPr>
          <w:b/>
          <w:bCs/>
        </w:rPr>
        <w:t>Outcomes</w:t>
      </w:r>
      <w:r w:rsidRPr="00CD3887">
        <w:rPr>
          <w:b/>
          <w:bCs/>
        </w:rPr>
        <w:t xml:space="preserve"> </w:t>
      </w:r>
      <w:r>
        <w:t xml:space="preserve">element of the price submission provides </w:t>
      </w:r>
      <w:r w:rsidR="00AC3C2F">
        <w:t>South East Water</w:t>
      </w:r>
      <w:r w:rsidR="00612583">
        <w:t>’</w:t>
      </w:r>
      <w:r w:rsidR="00AC3C2F">
        <w:t>s proposed outcomes for the 2023</w:t>
      </w:r>
      <w:r w:rsidR="007D4EB3">
        <w:t>–</w:t>
      </w:r>
      <w:r w:rsidR="00AC3C2F">
        <w:t>28 regulatory period</w:t>
      </w:r>
      <w:r w:rsidR="003B4269">
        <w:t>,</w:t>
      </w:r>
      <w:r>
        <w:t xml:space="preserve"> and the</w:t>
      </w:r>
      <w:r w:rsidR="003B4269">
        <w:t xml:space="preserve"> </w:t>
      </w:r>
      <w:r w:rsidR="00AC3C2F">
        <w:t>associated output measures and targets</w:t>
      </w:r>
      <w:r>
        <w:t>. It also provides our proposed</w:t>
      </w:r>
      <w:r w:rsidR="003B4269">
        <w:t xml:space="preserve"> </w:t>
      </w:r>
      <w:r w:rsidR="006D336E">
        <w:t>Guaranteed Service Levels</w:t>
      </w:r>
      <w:r w:rsidR="003B4269">
        <w:t xml:space="preserve"> </w:t>
      </w:r>
      <w:r w:rsidR="006D336E">
        <w:t>(</w:t>
      </w:r>
      <w:r w:rsidR="00AC3C2F">
        <w:t>GSLs</w:t>
      </w:r>
      <w:r w:rsidR="006D336E">
        <w:t>)</w:t>
      </w:r>
      <w:r w:rsidR="00AC3C2F">
        <w:t>.</w:t>
      </w:r>
    </w:p>
    <w:p w14:paraId="511BBC04" w14:textId="77777777" w:rsidR="000B572B" w:rsidRDefault="000B572B" w:rsidP="005F6A62"/>
    <w:p w14:paraId="6952C4E6" w14:textId="42FD08D5" w:rsidR="00093A79" w:rsidRDefault="005668E9" w:rsidP="00762418">
      <w:pPr>
        <w:pStyle w:val="NbrHeading2"/>
      </w:pPr>
      <w:r>
        <w:t xml:space="preserve">3.1 </w:t>
      </w:r>
      <w:r w:rsidR="00093A79">
        <w:t>Proposed outcomes and outputs</w:t>
      </w:r>
    </w:p>
    <w:p w14:paraId="275889AB" w14:textId="16BA0E55" w:rsidR="00093A79" w:rsidRDefault="00093A79" w:rsidP="00093A79">
      <w:r>
        <w:t xml:space="preserve">The proposed output measures and targets associated with each of the 5 outcomes </w:t>
      </w:r>
      <w:r w:rsidR="00851D63">
        <w:t>are</w:t>
      </w:r>
      <w:r>
        <w:t xml:space="preserve"> summarised below, along with information on key actions and programs that would support their achievement.</w:t>
      </w:r>
    </w:p>
    <w:p w14:paraId="1585069C" w14:textId="40449D00" w:rsidR="00AC3C2F" w:rsidRDefault="00AC3C2F" w:rsidP="00AC3C2F">
      <w:r>
        <w:t xml:space="preserve">The comprehensive engagement processes outlined in </w:t>
      </w:r>
      <w:r w:rsidR="006E1127">
        <w:t>the customer engagement section</w:t>
      </w:r>
      <w:r w:rsidR="00161DFB">
        <w:t xml:space="preserve"> </w:t>
      </w:r>
      <w:r>
        <w:t xml:space="preserve">allowed </w:t>
      </w:r>
      <w:r w:rsidR="000C1D04">
        <w:t xml:space="preserve">us </w:t>
      </w:r>
      <w:r>
        <w:t xml:space="preserve">to test whether our customers and community are seeking changes to the </w:t>
      </w:r>
      <w:r w:rsidR="000C1D04">
        <w:t xml:space="preserve">5 </w:t>
      </w:r>
      <w:r w:rsidR="00635892">
        <w:t>customer</w:t>
      </w:r>
      <w:r>
        <w:t xml:space="preserve"> outcomes delivered in the 2018</w:t>
      </w:r>
      <w:r w:rsidR="007D4EB3">
        <w:t>–</w:t>
      </w:r>
      <w:r>
        <w:t>23 regulatory period, namely:</w:t>
      </w:r>
    </w:p>
    <w:p w14:paraId="2B5B50FD" w14:textId="772A39EE" w:rsidR="00AC3C2F" w:rsidRPr="00157116" w:rsidRDefault="00AC3C2F" w:rsidP="005F1841">
      <w:pPr>
        <w:pStyle w:val="Bulletlistmultilevel"/>
        <w:numPr>
          <w:ilvl w:val="0"/>
          <w:numId w:val="4"/>
        </w:numPr>
        <w:ind w:left="284" w:hanging="284"/>
        <w:rPr>
          <w:sz w:val="24"/>
          <w:szCs w:val="24"/>
        </w:rPr>
      </w:pPr>
      <w:r w:rsidRPr="00157116">
        <w:rPr>
          <w:sz w:val="24"/>
          <w:szCs w:val="24"/>
        </w:rPr>
        <w:t xml:space="preserve">Outcome 1: </w:t>
      </w:r>
      <w:r w:rsidRPr="006C7FDC">
        <w:rPr>
          <w:i/>
          <w:sz w:val="24"/>
          <w:szCs w:val="24"/>
        </w:rPr>
        <w:t>Get the basics right, always</w:t>
      </w:r>
    </w:p>
    <w:p w14:paraId="693EBADF" w14:textId="29FD5301" w:rsidR="00AC3C2F" w:rsidRPr="00157116" w:rsidRDefault="00AC3C2F" w:rsidP="005F1841">
      <w:pPr>
        <w:pStyle w:val="Bulletlistmultilevel"/>
        <w:numPr>
          <w:ilvl w:val="0"/>
          <w:numId w:val="4"/>
        </w:numPr>
        <w:ind w:left="284" w:hanging="284"/>
        <w:rPr>
          <w:sz w:val="24"/>
          <w:szCs w:val="24"/>
        </w:rPr>
      </w:pPr>
      <w:r w:rsidRPr="00157116">
        <w:rPr>
          <w:sz w:val="24"/>
          <w:szCs w:val="24"/>
        </w:rPr>
        <w:t xml:space="preserve">Outcome 2: </w:t>
      </w:r>
      <w:r w:rsidRPr="006C7FDC">
        <w:rPr>
          <w:i/>
          <w:sz w:val="24"/>
          <w:szCs w:val="24"/>
        </w:rPr>
        <w:t>Warn me, inform me</w:t>
      </w:r>
    </w:p>
    <w:p w14:paraId="2693E95C" w14:textId="76661B5C" w:rsidR="00AC3C2F" w:rsidRPr="00157116" w:rsidRDefault="00AC3C2F" w:rsidP="005F1841">
      <w:pPr>
        <w:pStyle w:val="Bulletlistmultilevel"/>
        <w:numPr>
          <w:ilvl w:val="0"/>
          <w:numId w:val="4"/>
        </w:numPr>
        <w:ind w:left="284" w:hanging="284"/>
        <w:rPr>
          <w:sz w:val="24"/>
          <w:szCs w:val="24"/>
        </w:rPr>
      </w:pPr>
      <w:r w:rsidRPr="00157116">
        <w:rPr>
          <w:sz w:val="24"/>
          <w:szCs w:val="24"/>
        </w:rPr>
        <w:t xml:space="preserve">Outcome 3: </w:t>
      </w:r>
      <w:r w:rsidRPr="006C7FDC">
        <w:rPr>
          <w:i/>
          <w:sz w:val="24"/>
          <w:szCs w:val="24"/>
        </w:rPr>
        <w:t>Fair and affordable for all</w:t>
      </w:r>
    </w:p>
    <w:p w14:paraId="136C3AED" w14:textId="3756573A" w:rsidR="00AC3C2F" w:rsidRPr="00157116" w:rsidRDefault="00AC3C2F" w:rsidP="005F1841">
      <w:pPr>
        <w:pStyle w:val="Bulletlistmultilevel"/>
        <w:numPr>
          <w:ilvl w:val="0"/>
          <w:numId w:val="4"/>
        </w:numPr>
        <w:ind w:left="284" w:hanging="284"/>
        <w:rPr>
          <w:sz w:val="24"/>
          <w:szCs w:val="24"/>
        </w:rPr>
      </w:pPr>
      <w:r w:rsidRPr="00157116">
        <w:rPr>
          <w:sz w:val="24"/>
          <w:szCs w:val="24"/>
        </w:rPr>
        <w:t xml:space="preserve">Outcome 4: </w:t>
      </w:r>
      <w:r w:rsidRPr="006C7FDC">
        <w:rPr>
          <w:i/>
          <w:sz w:val="24"/>
          <w:szCs w:val="24"/>
        </w:rPr>
        <w:t>Make my experience better</w:t>
      </w:r>
    </w:p>
    <w:p w14:paraId="3A1D5B08" w14:textId="77777777" w:rsidR="00AC3C2F" w:rsidRDefault="00AC3C2F" w:rsidP="005F1841">
      <w:pPr>
        <w:pStyle w:val="Bulletlistmultilevel"/>
        <w:numPr>
          <w:ilvl w:val="0"/>
          <w:numId w:val="4"/>
        </w:numPr>
        <w:spacing w:after="240"/>
        <w:ind w:left="284" w:hanging="284"/>
        <w:rPr>
          <w:sz w:val="24"/>
          <w:szCs w:val="24"/>
        </w:rPr>
      </w:pPr>
      <w:r w:rsidRPr="00157116">
        <w:rPr>
          <w:sz w:val="24"/>
          <w:szCs w:val="24"/>
        </w:rPr>
        <w:t xml:space="preserve">Outcome 5: </w:t>
      </w:r>
      <w:r w:rsidRPr="006C7FDC">
        <w:rPr>
          <w:i/>
          <w:sz w:val="24"/>
          <w:szCs w:val="24"/>
        </w:rPr>
        <w:t>Support my community, protect our environment</w:t>
      </w:r>
      <w:r>
        <w:rPr>
          <w:sz w:val="24"/>
          <w:szCs w:val="24"/>
        </w:rPr>
        <w:t>.</w:t>
      </w:r>
    </w:p>
    <w:p w14:paraId="133A1FF2" w14:textId="3728B610" w:rsidR="00AC3C2F" w:rsidRDefault="00AC3C2F" w:rsidP="00AC3C2F">
      <w:r>
        <w:t xml:space="preserve">The engagement process found that while the </w:t>
      </w:r>
      <w:r w:rsidRPr="00E56CF9">
        <w:t>overall sentiment and expectations of our customers</w:t>
      </w:r>
      <w:r>
        <w:t xml:space="preserve"> </w:t>
      </w:r>
      <w:r w:rsidR="00554981">
        <w:t>have</w:t>
      </w:r>
      <w:r>
        <w:t xml:space="preserve"> been</w:t>
      </w:r>
      <w:r w:rsidRPr="00E56CF9">
        <w:t xml:space="preserve"> evolving, </w:t>
      </w:r>
      <w:r w:rsidR="00480B81">
        <w:t>they</w:t>
      </w:r>
      <w:r>
        <w:t xml:space="preserve"> </w:t>
      </w:r>
      <w:r w:rsidRPr="00E56CF9">
        <w:t xml:space="preserve">had not shifted at a thematic level and that our existing </w:t>
      </w:r>
      <w:r w:rsidR="00C94F1B">
        <w:t xml:space="preserve">5 </w:t>
      </w:r>
      <w:r w:rsidRPr="00E56CF9">
        <w:t>customer outcomes remain valid and fit</w:t>
      </w:r>
      <w:r w:rsidR="00C94F1B">
        <w:t>-</w:t>
      </w:r>
      <w:r w:rsidRPr="00E56CF9">
        <w:t>for</w:t>
      </w:r>
      <w:r w:rsidR="00C94F1B">
        <w:t>-</w:t>
      </w:r>
      <w:r w:rsidRPr="00E56CF9">
        <w:t>purpose</w:t>
      </w:r>
      <w:r>
        <w:t>.</w:t>
      </w:r>
    </w:p>
    <w:p w14:paraId="37E838D1" w14:textId="3B0A2DF3" w:rsidR="00AC3C2F" w:rsidRDefault="00AC3C2F" w:rsidP="00AC3C2F">
      <w:r>
        <w:t>However, the prioritisation process that South East Water used to incorporate customer views in the 2023</w:t>
      </w:r>
      <w:r w:rsidR="007D4EB3">
        <w:t>–</w:t>
      </w:r>
      <w:r>
        <w:t>28 expenditure priorities and plans was also used to update the output measures and targets for each of the</w:t>
      </w:r>
      <w:r w:rsidR="00A46904">
        <w:t xml:space="preserve"> 5 </w:t>
      </w:r>
      <w:r>
        <w:t>outcomes. This process has aligned the outputs and targets to updated service levels and priorities flowing from agreed investments and initiatives for the 2023</w:t>
      </w:r>
      <w:r w:rsidR="007D4EB3">
        <w:t>–</w:t>
      </w:r>
      <w:r>
        <w:t xml:space="preserve">28 </w:t>
      </w:r>
      <w:r w:rsidR="00440F72">
        <w:t>regulatory</w:t>
      </w:r>
      <w:r>
        <w:t xml:space="preserve"> period.</w:t>
      </w:r>
    </w:p>
    <w:p w14:paraId="62D882B7" w14:textId="1361909A" w:rsidR="00AC3C2F" w:rsidRDefault="00AC3C2F" w:rsidP="00AC3C2F">
      <w:r w:rsidRPr="00E515C3">
        <w:t>For example, our proposed digital utility investments (including digital metering) will improve our visibility of the network and identification of defects at an earlier stage</w:t>
      </w:r>
      <w:r>
        <w:t xml:space="preserve">, </w:t>
      </w:r>
      <w:r w:rsidRPr="00E515C3">
        <w:t>support</w:t>
      </w:r>
      <w:r>
        <w:t>ing</w:t>
      </w:r>
      <w:r w:rsidRPr="00E515C3">
        <w:t xml:space="preserve"> a reduction in unplanned, emergency interruptions to customer services. </w:t>
      </w:r>
      <w:r w:rsidR="000B572B">
        <w:br/>
      </w:r>
      <w:r w:rsidRPr="00E515C3">
        <w:t xml:space="preserve">This has allowed us to tighten our output </w:t>
      </w:r>
      <w:r w:rsidR="00661FC7">
        <w:t>measures</w:t>
      </w:r>
      <w:r w:rsidRPr="00E515C3">
        <w:t xml:space="preserve"> and targets relating to unplanned service disruptions, and to expand the targets to encompass water, sewerage and water quality disruptions.</w:t>
      </w:r>
    </w:p>
    <w:p w14:paraId="4399ED8D" w14:textId="5245F429" w:rsidR="009349D0" w:rsidRDefault="009349D0" w:rsidP="00AC3C2F">
      <w:r>
        <w:lastRenderedPageBreak/>
        <w:t>The proposed outc</w:t>
      </w:r>
      <w:r w:rsidR="00AD2BE4">
        <w:t xml:space="preserve">omes and output measures will be continuously monitored </w:t>
      </w:r>
      <w:r w:rsidR="009C263A">
        <w:t xml:space="preserve">through our ongoing customer engagement program (outlined in </w:t>
      </w:r>
      <w:r w:rsidR="00423E82">
        <w:t>S</w:t>
      </w:r>
      <w:r w:rsidR="009C263A">
        <w:t>ection 2.5) to ensure</w:t>
      </w:r>
      <w:r w:rsidR="004B2D58">
        <w:t xml:space="preserve"> </w:t>
      </w:r>
      <w:r w:rsidR="000873DB">
        <w:t>our levels of service</w:t>
      </w:r>
      <w:r w:rsidR="00C536F7">
        <w:t xml:space="preserve"> align to any changes in customer preferences. </w:t>
      </w:r>
    </w:p>
    <w:p w14:paraId="2BA93C52" w14:textId="1D1648D0" w:rsidR="00EF4DBC" w:rsidRDefault="00EF4DBC" w:rsidP="00EF4DBC">
      <w:pPr>
        <w:pStyle w:val="Heading3"/>
      </w:pPr>
      <w:r>
        <w:t xml:space="preserve">Outcome 1: </w:t>
      </w:r>
      <w:r w:rsidRPr="00116E55">
        <w:rPr>
          <w:i/>
          <w:iCs/>
        </w:rPr>
        <w:t>Get the basics right, always</w:t>
      </w:r>
    </w:p>
    <w:p w14:paraId="56A4E0BD" w14:textId="5FFE468B" w:rsidR="00D95AEB" w:rsidRDefault="00E83BA0" w:rsidP="000B572B">
      <w:pPr>
        <w:pStyle w:val="NormalIndent"/>
        <w:ind w:left="0" w:right="-471"/>
        <w:rPr>
          <w:sz w:val="24"/>
          <w:szCs w:val="24"/>
        </w:rPr>
      </w:pPr>
      <w:r>
        <w:rPr>
          <w:noProof/>
        </w:rPr>
        <mc:AlternateContent>
          <mc:Choice Requires="wps">
            <w:drawing>
              <wp:anchor distT="0" distB="0" distL="114300" distR="114300" simplePos="0" relativeHeight="251658249" behindDoc="1" locked="0" layoutInCell="1" allowOverlap="1" wp14:anchorId="567E2D4E" wp14:editId="78563825">
                <wp:simplePos x="0" y="0"/>
                <wp:positionH relativeFrom="margin">
                  <wp:posOffset>1457</wp:posOffset>
                </wp:positionH>
                <wp:positionV relativeFrom="paragraph">
                  <wp:posOffset>13148</wp:posOffset>
                </wp:positionV>
                <wp:extent cx="6266329" cy="1891553"/>
                <wp:effectExtent l="0" t="0" r="0" b="1270"/>
                <wp:wrapNone/>
                <wp:docPr id="483" name="Rectangle 4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6329" cy="1891553"/>
                        </a:xfrm>
                        <a:prstGeom prst="rect">
                          <a:avLst/>
                        </a:prstGeom>
                        <a:solidFill>
                          <a:schemeClr val="bg2">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710391" w14:textId="77777777" w:rsidR="00EB6502" w:rsidRDefault="000B572B" w:rsidP="00116E55">
                            <w:pPr>
                              <w:rPr>
                                <w:color w:val="000000"/>
                              </w:rPr>
                            </w:pPr>
                            <w:r w:rsidRPr="00116E55">
                              <w:rPr>
                                <w:color w:val="000000"/>
                              </w:rPr>
                              <w:t xml:space="preserve">Customers have told us that it is critical that </w:t>
                            </w:r>
                            <w:r w:rsidR="00C863B8">
                              <w:rPr>
                                <w:color w:val="000000"/>
                              </w:rPr>
                              <w:t xml:space="preserve">the </w:t>
                            </w:r>
                            <w:r w:rsidRPr="00116E55">
                              <w:rPr>
                                <w:color w:val="000000"/>
                              </w:rPr>
                              <w:t xml:space="preserve">services we provide are safe and reliable. </w:t>
                            </w:r>
                          </w:p>
                          <w:p w14:paraId="3EF5F314" w14:textId="5995447B" w:rsidR="000B572B" w:rsidRPr="00116E55" w:rsidRDefault="000B572B" w:rsidP="00116E55">
                            <w:pPr>
                              <w:rPr>
                                <w:color w:val="000000"/>
                              </w:rPr>
                            </w:pPr>
                            <w:r w:rsidRPr="00116E55">
                              <w:rPr>
                                <w:color w:val="000000"/>
                              </w:rPr>
                              <w:t xml:space="preserve">For them, it is important we maintain and improve upon current high levels of service and that, as experts in our field, they trust and expect us to continuously innovate and improve. </w:t>
                            </w:r>
                          </w:p>
                          <w:p w14:paraId="7C7B2100" w14:textId="4DA5E57F" w:rsidR="000B572B" w:rsidRPr="00116E55" w:rsidRDefault="000B572B" w:rsidP="00116E55">
                            <w:pPr>
                              <w:rPr>
                                <w:b/>
                                <w:color w:val="000000"/>
                              </w:rPr>
                            </w:pPr>
                            <w:r w:rsidRPr="00116E55">
                              <w:rPr>
                                <w:color w:val="000000"/>
                              </w:rPr>
                              <w:t xml:space="preserve">For us, that means full compliance with drinking water standards and fewer unplanned disruptions for customers across all our services. It means continually refreshing our knowledge, using ideas from across the sector, and drawing on predictive digital technologies to proactively find better, less disruptive ways to deliver the basics for </w:t>
                            </w:r>
                            <w:r>
                              <w:rPr>
                                <w:color w:val="000000"/>
                              </w:rPr>
                              <w:br/>
                            </w:r>
                            <w:r w:rsidRPr="00116E55">
                              <w:rPr>
                                <w:color w:val="000000"/>
                              </w:rPr>
                              <w:t>our customers.</w:t>
                            </w:r>
                          </w:p>
                          <w:p w14:paraId="313A86B6" w14:textId="77777777" w:rsidR="000B572B" w:rsidRPr="00116E55" w:rsidRDefault="000B572B" w:rsidP="00116E55">
                            <w:pP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7E2D4E" id="Rectangle 483" o:spid="_x0000_s1037" style="position:absolute;margin-left:.1pt;margin-top:1.05pt;width:493.4pt;height:148.95pt;z-index:-2516582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" fillcolor="#f2f2f2 [3054]" stroked="f" strokeweight="1pt">
                <v:textbox>
                  <w:txbxContent>
                    <w:p w14:paraId="4E710391" w14:textId="77777777" w:rsidR="00EB6502" w:rsidRDefault="000B572B" w:rsidP="00116E55">
                      <w:pPr>
                        <w:rPr>
                          <w:color w:val="000000"/>
                        </w:rPr>
                      </w:pPr>
                      <w:r w:rsidRPr="00116E55">
                        <w:rPr>
                          <w:color w:val="000000"/>
                        </w:rPr>
                        <w:t xml:space="preserve">Customers have told us that it is critical that </w:t>
                      </w:r>
                      <w:r w:rsidR="00C863B8">
                        <w:rPr>
                          <w:color w:val="000000"/>
                        </w:rPr>
                        <w:t xml:space="preserve">the </w:t>
                      </w:r>
                      <w:r w:rsidRPr="00116E55">
                        <w:rPr>
                          <w:color w:val="000000"/>
                        </w:rPr>
                        <w:t xml:space="preserve">services we provide are safe and reliable. </w:t>
                      </w:r>
                    </w:p>
                    <w:p w14:paraId="3EF5F314" w14:textId="5995447B" w:rsidR="000B572B" w:rsidRPr="00116E55" w:rsidRDefault="000B572B" w:rsidP="00116E55">
                      <w:pPr>
                        <w:rPr>
                          <w:color w:val="000000"/>
                        </w:rPr>
                      </w:pPr>
                      <w:r w:rsidRPr="00116E55">
                        <w:rPr>
                          <w:color w:val="000000"/>
                        </w:rPr>
                        <w:t xml:space="preserve">For them, it is important we maintain and improve upon current high levels of service and that, as experts in our field, they trust and expect us to continuously innovate and improve. </w:t>
                      </w:r>
                    </w:p>
                    <w:p w14:paraId="7C7B2100" w14:textId="4DA5E57F" w:rsidR="000B572B" w:rsidRPr="00116E55" w:rsidRDefault="000B572B" w:rsidP="00116E55">
                      <w:pPr>
                        <w:rPr>
                          <w:b/>
                          <w:color w:val="000000"/>
                        </w:rPr>
                      </w:pPr>
                      <w:r w:rsidRPr="00116E55">
                        <w:rPr>
                          <w:color w:val="000000"/>
                        </w:rPr>
                        <w:t xml:space="preserve">For us, that means full compliance with drinking water standards and fewer unplanned disruptions for customers across all our services. It means continually refreshing our knowledge, using ideas from across the sector, and drawing on predictive digital technologies to proactively find better, less disruptive ways to deliver the basics for </w:t>
                      </w:r>
                      <w:r>
                        <w:rPr>
                          <w:color w:val="000000"/>
                        </w:rPr>
                        <w:br/>
                      </w:r>
                      <w:r w:rsidRPr="00116E55">
                        <w:rPr>
                          <w:color w:val="000000"/>
                        </w:rPr>
                        <w:t>our customers.</w:t>
                      </w:r>
                    </w:p>
                    <w:p w14:paraId="313A86B6" w14:textId="77777777" w:rsidR="000B572B" w:rsidRPr="00116E55" w:rsidRDefault="000B572B" w:rsidP="00116E55">
                      <w:pPr>
                        <w:rPr>
                          <w:color w:val="000000"/>
                        </w:rPr>
                      </w:pPr>
                    </w:p>
                  </w:txbxContent>
                </v:textbox>
                <w10:wrap anchorx="margin"/>
              </v:rect>
            </w:pict>
          </mc:Fallback>
        </mc:AlternateContent>
      </w:r>
      <w:r w:rsidR="000B572B">
        <w:rPr>
          <w:sz w:val="24"/>
          <w:szCs w:val="24"/>
        </w:rPr>
        <w:t xml:space="preserve"> </w:t>
      </w:r>
    </w:p>
    <w:p w14:paraId="299B1A96" w14:textId="790AEF20" w:rsidR="000B572B" w:rsidRDefault="000B572B" w:rsidP="000B572B">
      <w:pPr>
        <w:pStyle w:val="NormalIndent"/>
        <w:ind w:left="0" w:right="-471"/>
        <w:rPr>
          <w:sz w:val="24"/>
          <w:szCs w:val="24"/>
        </w:rPr>
      </w:pPr>
    </w:p>
    <w:p w14:paraId="338499BC" w14:textId="010A8590" w:rsidR="000B572B" w:rsidRDefault="000B572B" w:rsidP="000B572B">
      <w:pPr>
        <w:pStyle w:val="NormalIndent"/>
        <w:ind w:left="0" w:right="-471"/>
        <w:rPr>
          <w:sz w:val="24"/>
          <w:szCs w:val="24"/>
        </w:rPr>
      </w:pPr>
    </w:p>
    <w:p w14:paraId="0BB284A3" w14:textId="5A9711D8" w:rsidR="000B572B" w:rsidRDefault="000B572B" w:rsidP="000B572B">
      <w:pPr>
        <w:pStyle w:val="NormalIndent"/>
        <w:ind w:left="0" w:right="-471"/>
        <w:rPr>
          <w:sz w:val="24"/>
          <w:szCs w:val="24"/>
        </w:rPr>
      </w:pPr>
    </w:p>
    <w:p w14:paraId="70946C63" w14:textId="77777777" w:rsidR="000B572B" w:rsidRPr="00CB0971" w:rsidRDefault="000B572B" w:rsidP="00116E55">
      <w:pPr>
        <w:pStyle w:val="NormalIndent"/>
        <w:ind w:left="0" w:right="-471"/>
        <w:rPr>
          <w:b/>
          <w:szCs w:val="24"/>
        </w:rPr>
      </w:pPr>
    </w:p>
    <w:p w14:paraId="5EBA974D" w14:textId="77777777" w:rsidR="000B572B" w:rsidRDefault="000B572B" w:rsidP="00EF4DBC">
      <w:pPr>
        <w:pStyle w:val="Tabletitle"/>
        <w:rPr>
          <w:rFonts w:cs="Arial"/>
          <w:i/>
          <w:sz w:val="22"/>
          <w:szCs w:val="22"/>
          <w:highlight w:val="yellow"/>
        </w:rPr>
      </w:pPr>
    </w:p>
    <w:p w14:paraId="0985CA59" w14:textId="77777777" w:rsidR="000B572B" w:rsidRDefault="000B572B" w:rsidP="00EF4DBC">
      <w:pPr>
        <w:pStyle w:val="Tabletitle"/>
        <w:rPr>
          <w:rFonts w:cs="Arial"/>
          <w:i/>
          <w:sz w:val="22"/>
          <w:szCs w:val="22"/>
          <w:highlight w:val="yellow"/>
        </w:rPr>
      </w:pPr>
    </w:p>
    <w:p w14:paraId="3FDF9899" w14:textId="3F83A322" w:rsidR="00EF4DBC" w:rsidRPr="00D75F40" w:rsidRDefault="00D75F40" w:rsidP="005F1841">
      <w:pPr>
        <w:pStyle w:val="Caption"/>
        <w:spacing w:after="240"/>
        <w:ind w:left="0" w:firstLine="0"/>
        <w:rPr>
          <w:rFonts w:eastAsia="Arial"/>
          <w:i/>
        </w:rPr>
      </w:pPr>
      <w:bookmarkStart w:id="36" w:name="_Hlk114230447"/>
      <w:r w:rsidRPr="00D75F40">
        <w:rPr>
          <w:i/>
          <w:sz w:val="22"/>
          <w:szCs w:val="22"/>
        </w:rPr>
        <w:t xml:space="preserve">Table </w:t>
      </w:r>
      <w:r w:rsidR="006F6A12" w:rsidRPr="00CE6C4E">
        <w:rPr>
          <w:b w:val="0"/>
          <w:bCs/>
          <w:i/>
          <w:iCs w:val="0"/>
          <w:sz w:val="22"/>
          <w:szCs w:val="22"/>
        </w:rPr>
        <w:fldChar w:fldCharType="begin"/>
      </w:r>
      <w:r w:rsidR="006F6A12" w:rsidRPr="00CE6C4E">
        <w:rPr>
          <w:bCs/>
          <w:i/>
          <w:iCs w:val="0"/>
          <w:sz w:val="22"/>
          <w:szCs w:val="22"/>
        </w:rPr>
        <w:instrText>SEQ Table \* ARABIC</w:instrText>
      </w:r>
      <w:r w:rsidR="006F6A12" w:rsidRPr="00CE6C4E">
        <w:rPr>
          <w:b w:val="0"/>
          <w:bCs/>
          <w:i/>
          <w:iCs w:val="0"/>
          <w:sz w:val="22"/>
          <w:szCs w:val="22"/>
        </w:rPr>
        <w:fldChar w:fldCharType="separate"/>
      </w:r>
      <w:r w:rsidR="006F6A12">
        <w:rPr>
          <w:bCs/>
          <w:i/>
          <w:iCs w:val="0"/>
          <w:noProof/>
          <w:sz w:val="22"/>
          <w:szCs w:val="22"/>
        </w:rPr>
        <w:t>11</w:t>
      </w:r>
      <w:r w:rsidR="006F6A12" w:rsidRPr="00CE6C4E">
        <w:rPr>
          <w:b w:val="0"/>
          <w:bCs/>
          <w:i/>
          <w:iCs w:val="0"/>
          <w:sz w:val="22"/>
          <w:szCs w:val="22"/>
        </w:rPr>
        <w:fldChar w:fldCharType="end"/>
      </w:r>
      <w:r w:rsidRPr="00D75F40">
        <w:rPr>
          <w:i/>
          <w:sz w:val="22"/>
          <w:szCs w:val="22"/>
        </w:rPr>
        <w:t>:</w:t>
      </w:r>
      <w:r>
        <w:rPr>
          <w:i/>
        </w:rPr>
        <w:t xml:space="preserve"> </w:t>
      </w:r>
      <w:r w:rsidR="00EF4DBC" w:rsidRPr="00FD4958">
        <w:rPr>
          <w:rFonts w:cs="Arial"/>
          <w:i/>
          <w:sz w:val="22"/>
          <w:szCs w:val="22"/>
        </w:rPr>
        <w:t>Outcome 1 output measures and targets</w:t>
      </w:r>
    </w:p>
    <w:tbl>
      <w:tblPr>
        <w:tblStyle w:val="MJTableStyle1default"/>
        <w:tblW w:w="5000" w:type="pct"/>
        <w:tblInd w:w="0" w:type="dxa"/>
        <w:tblLook w:val="0620" w:firstRow="1" w:lastRow="0" w:firstColumn="0" w:lastColumn="0" w:noHBand="1" w:noVBand="1"/>
      </w:tblPr>
      <w:tblGrid>
        <w:gridCol w:w="2046"/>
        <w:gridCol w:w="1885"/>
        <w:gridCol w:w="1885"/>
        <w:gridCol w:w="1885"/>
        <w:gridCol w:w="1886"/>
      </w:tblGrid>
      <w:tr w:rsidR="00EA40DF" w:rsidRPr="00FD4958" w14:paraId="7417D36C" w14:textId="77777777" w:rsidTr="00374799">
        <w:trPr>
          <w:cnfStyle w:val="100000000000" w:firstRow="1" w:lastRow="0" w:firstColumn="0" w:lastColumn="0" w:oddVBand="0" w:evenVBand="0" w:oddHBand="0" w:evenHBand="0" w:firstRowFirstColumn="0" w:firstRowLastColumn="0" w:lastRowFirstColumn="0" w:lastRowLastColumn="0"/>
          <w:trHeight w:val="722"/>
        </w:trPr>
        <w:tc>
          <w:tcPr>
            <w:tcW w:w="2046" w:type="dxa"/>
            <w:tcBorders>
              <w:top w:val="single" w:sz="2" w:space="0" w:color="002279"/>
              <w:left w:val="single" w:sz="2" w:space="0" w:color="002279"/>
              <w:bottom w:val="single" w:sz="2" w:space="0" w:color="002279"/>
              <w:right w:val="single" w:sz="4" w:space="0" w:color="FFFFFF" w:themeColor="background1"/>
            </w:tcBorders>
            <w:shd w:val="clear" w:color="auto" w:fill="002279"/>
            <w:vAlign w:val="center"/>
          </w:tcPr>
          <w:bookmarkEnd w:id="36"/>
          <w:p w14:paraId="7FEDEF4F" w14:textId="77777777" w:rsidR="00EF4DBC" w:rsidRPr="00643AC8" w:rsidRDefault="00EF4DBC" w:rsidP="000611F1">
            <w:pPr>
              <w:pStyle w:val="TableHeading"/>
              <w:rPr>
                <w:rFonts w:asciiTheme="minorHAnsi" w:hAnsiTheme="minorHAnsi"/>
              </w:rPr>
            </w:pPr>
            <w:r w:rsidRPr="00643AC8">
              <w:rPr>
                <w:rFonts w:asciiTheme="minorHAnsi" w:hAnsiTheme="minorHAnsi"/>
              </w:rPr>
              <w:t>Output measure</w:t>
            </w:r>
          </w:p>
        </w:tc>
        <w:tc>
          <w:tcPr>
            <w:tcW w:w="1885" w:type="dxa"/>
            <w:tcBorders>
              <w:top w:val="single" w:sz="2" w:space="0" w:color="002279"/>
              <w:left w:val="single" w:sz="4" w:space="0" w:color="FFFFFF" w:themeColor="background1"/>
              <w:bottom w:val="single" w:sz="2" w:space="0" w:color="002279"/>
              <w:right w:val="single" w:sz="4" w:space="0" w:color="FFFFFF" w:themeColor="background1"/>
            </w:tcBorders>
            <w:shd w:val="clear" w:color="auto" w:fill="002279"/>
            <w:vAlign w:val="center"/>
          </w:tcPr>
          <w:p w14:paraId="66029FB6" w14:textId="260E5C3A" w:rsidR="00EF4DBC" w:rsidRPr="00643AC8" w:rsidRDefault="00EF4DBC" w:rsidP="00BB7F0F">
            <w:pPr>
              <w:pStyle w:val="TableHeading"/>
              <w:jc w:val="center"/>
              <w:rPr>
                <w:rFonts w:asciiTheme="minorHAnsi" w:hAnsiTheme="minorHAnsi"/>
              </w:rPr>
            </w:pPr>
            <w:r w:rsidRPr="00643AC8">
              <w:rPr>
                <w:rFonts w:asciiTheme="minorHAnsi" w:hAnsiTheme="minorHAnsi"/>
              </w:rPr>
              <w:t xml:space="preserve">Existing, </w:t>
            </w:r>
            <w:r w:rsidR="0054105E" w:rsidRPr="00643AC8">
              <w:rPr>
                <w:rFonts w:asciiTheme="minorHAnsi" w:hAnsiTheme="minorHAnsi"/>
              </w:rPr>
              <w:t xml:space="preserve">improved </w:t>
            </w:r>
            <w:r w:rsidRPr="00643AC8">
              <w:rPr>
                <w:rFonts w:asciiTheme="minorHAnsi" w:hAnsiTheme="minorHAnsi"/>
              </w:rPr>
              <w:t>or new</w:t>
            </w:r>
          </w:p>
        </w:tc>
        <w:tc>
          <w:tcPr>
            <w:tcW w:w="1885" w:type="dxa"/>
            <w:tcBorders>
              <w:top w:val="single" w:sz="2" w:space="0" w:color="002279"/>
              <w:left w:val="single" w:sz="4" w:space="0" w:color="FFFFFF" w:themeColor="background1"/>
              <w:bottom w:val="single" w:sz="2" w:space="0" w:color="002279"/>
              <w:right w:val="single" w:sz="4" w:space="0" w:color="FFFFFF" w:themeColor="background1"/>
            </w:tcBorders>
            <w:shd w:val="clear" w:color="auto" w:fill="002279"/>
            <w:vAlign w:val="center"/>
          </w:tcPr>
          <w:p w14:paraId="0DB5E642" w14:textId="4A8D109E" w:rsidR="00EF4DBC" w:rsidRPr="00643AC8" w:rsidRDefault="001343A0" w:rsidP="00BB7F0F">
            <w:pPr>
              <w:pStyle w:val="TableHeading"/>
              <w:jc w:val="center"/>
              <w:rPr>
                <w:rFonts w:asciiTheme="minorHAnsi" w:hAnsiTheme="minorHAnsi"/>
              </w:rPr>
            </w:pPr>
            <w:r>
              <w:rPr>
                <w:rFonts w:asciiTheme="minorHAnsi" w:hAnsiTheme="minorHAnsi"/>
              </w:rPr>
              <w:t>2021—22</w:t>
            </w:r>
            <w:r w:rsidR="008704C9">
              <w:rPr>
                <w:rFonts w:asciiTheme="minorHAnsi" w:hAnsiTheme="minorHAnsi"/>
              </w:rPr>
              <w:t xml:space="preserve"> </w:t>
            </w:r>
            <w:r w:rsidR="008704C9">
              <w:rPr>
                <w:rFonts w:asciiTheme="minorHAnsi" w:hAnsiTheme="minorHAnsi"/>
              </w:rPr>
              <w:br/>
              <w:t>result</w:t>
            </w:r>
          </w:p>
        </w:tc>
        <w:tc>
          <w:tcPr>
            <w:tcW w:w="1885" w:type="dxa"/>
            <w:tcBorders>
              <w:top w:val="single" w:sz="2" w:space="0" w:color="002279"/>
              <w:left w:val="single" w:sz="4" w:space="0" w:color="FFFFFF" w:themeColor="background1"/>
              <w:bottom w:val="single" w:sz="2" w:space="0" w:color="002279"/>
              <w:right w:val="single" w:sz="4" w:space="0" w:color="FFFFFF" w:themeColor="background1"/>
            </w:tcBorders>
            <w:shd w:val="clear" w:color="auto" w:fill="002279"/>
            <w:vAlign w:val="center"/>
          </w:tcPr>
          <w:p w14:paraId="7CEFF024" w14:textId="5A66644C" w:rsidR="005E4588" w:rsidRPr="00643AC8" w:rsidRDefault="007E350A" w:rsidP="00BB7F0F">
            <w:pPr>
              <w:pStyle w:val="TableHeading"/>
              <w:jc w:val="center"/>
              <w:rPr>
                <w:rFonts w:asciiTheme="minorHAnsi" w:hAnsiTheme="minorHAnsi"/>
              </w:rPr>
            </w:pPr>
            <w:r w:rsidRPr="00643AC8">
              <w:rPr>
                <w:rFonts w:asciiTheme="minorHAnsi" w:hAnsiTheme="minorHAnsi"/>
              </w:rPr>
              <w:t>5-year</w:t>
            </w:r>
            <w:r w:rsidR="005E4588" w:rsidRPr="00643AC8">
              <w:rPr>
                <w:rFonts w:asciiTheme="minorHAnsi" w:hAnsiTheme="minorHAnsi"/>
              </w:rPr>
              <w:t xml:space="preserve"> average</w:t>
            </w:r>
          </w:p>
        </w:tc>
        <w:tc>
          <w:tcPr>
            <w:tcW w:w="1886" w:type="dxa"/>
            <w:tcBorders>
              <w:top w:val="single" w:sz="2" w:space="0" w:color="002279"/>
              <w:left w:val="single" w:sz="4" w:space="0" w:color="FFFFFF" w:themeColor="background1"/>
              <w:bottom w:val="single" w:sz="2" w:space="0" w:color="002279"/>
              <w:right w:val="single" w:sz="2" w:space="0" w:color="002279"/>
            </w:tcBorders>
            <w:shd w:val="clear" w:color="auto" w:fill="002279"/>
            <w:vAlign w:val="center"/>
          </w:tcPr>
          <w:p w14:paraId="164F1CFD" w14:textId="1B685FD2" w:rsidR="00EF4DBC" w:rsidRPr="00643AC8" w:rsidRDefault="00EF4DBC" w:rsidP="00BB7F0F">
            <w:pPr>
              <w:pStyle w:val="TableHeading"/>
              <w:jc w:val="center"/>
              <w:rPr>
                <w:rFonts w:asciiTheme="minorHAnsi" w:hAnsiTheme="minorHAnsi"/>
              </w:rPr>
            </w:pPr>
            <w:r w:rsidRPr="00643AC8">
              <w:rPr>
                <w:rFonts w:asciiTheme="minorHAnsi" w:hAnsiTheme="minorHAnsi"/>
              </w:rPr>
              <w:t>2027</w:t>
            </w:r>
            <w:r w:rsidR="007D4EB3" w:rsidRPr="00643AC8">
              <w:rPr>
                <w:rFonts w:asciiTheme="minorHAnsi" w:hAnsiTheme="minorHAnsi"/>
              </w:rPr>
              <w:t>–</w:t>
            </w:r>
            <w:r w:rsidRPr="00643AC8">
              <w:rPr>
                <w:rFonts w:asciiTheme="minorHAnsi" w:hAnsiTheme="minorHAnsi"/>
              </w:rPr>
              <w:t>28</w:t>
            </w:r>
            <w:r w:rsidR="00394EE4">
              <w:rPr>
                <w:rFonts w:asciiTheme="minorHAnsi" w:hAnsiTheme="minorHAnsi"/>
              </w:rPr>
              <w:t xml:space="preserve"> </w:t>
            </w:r>
            <w:r w:rsidR="0094655B">
              <w:rPr>
                <w:rFonts w:asciiTheme="minorHAnsi" w:hAnsiTheme="minorHAnsi"/>
              </w:rPr>
              <w:br/>
            </w:r>
            <w:r w:rsidR="00394EE4">
              <w:rPr>
                <w:rFonts w:asciiTheme="minorHAnsi" w:hAnsiTheme="minorHAnsi"/>
              </w:rPr>
              <w:t>target</w:t>
            </w:r>
          </w:p>
        </w:tc>
      </w:tr>
      <w:tr w:rsidR="00005DF3" w:rsidRPr="00FD4958" w14:paraId="391CDEDD" w14:textId="77777777" w:rsidTr="0068279A">
        <w:trPr>
          <w:trHeight w:val="703"/>
        </w:trPr>
        <w:tc>
          <w:tcPr>
            <w:tcW w:w="2046" w:type="dxa"/>
            <w:tcBorders>
              <w:top w:val="single" w:sz="2" w:space="0" w:color="002279"/>
              <w:left w:val="single" w:sz="2" w:space="0" w:color="002279"/>
              <w:bottom w:val="single" w:sz="2" w:space="0" w:color="002279"/>
              <w:right w:val="single" w:sz="2" w:space="0" w:color="002279"/>
            </w:tcBorders>
            <w:shd w:val="clear" w:color="auto" w:fill="D4D6DF"/>
          </w:tcPr>
          <w:p w14:paraId="5116DB4E" w14:textId="77777777" w:rsidR="00EF4DBC" w:rsidRPr="002020E8" w:rsidRDefault="00EF4DBC" w:rsidP="00116E55">
            <w:pPr>
              <w:rPr>
                <w:szCs w:val="20"/>
              </w:rPr>
            </w:pPr>
            <w:r w:rsidRPr="0097263A">
              <w:rPr>
                <w:szCs w:val="20"/>
              </w:rPr>
              <w:t>Percentage compliance with drinking water standards</w:t>
            </w:r>
          </w:p>
        </w:tc>
        <w:tc>
          <w:tcPr>
            <w:tcW w:w="1885" w:type="dxa"/>
            <w:tcBorders>
              <w:top w:val="single" w:sz="2" w:space="0" w:color="002279"/>
              <w:left w:val="single" w:sz="2" w:space="0" w:color="002279"/>
              <w:bottom w:val="single" w:sz="2" w:space="0" w:color="002279"/>
              <w:right w:val="single" w:sz="2" w:space="0" w:color="002279"/>
            </w:tcBorders>
            <w:shd w:val="clear" w:color="auto" w:fill="D4D6DF"/>
            <w:vAlign w:val="center"/>
          </w:tcPr>
          <w:p w14:paraId="74E82FF3" w14:textId="77777777" w:rsidR="00EF4DBC" w:rsidRPr="002020E8" w:rsidRDefault="00EF4DBC" w:rsidP="00360131">
            <w:pPr>
              <w:jc w:val="center"/>
              <w:rPr>
                <w:szCs w:val="20"/>
              </w:rPr>
            </w:pPr>
            <w:r w:rsidRPr="0097263A">
              <w:rPr>
                <w:szCs w:val="20"/>
              </w:rPr>
              <w:t>Existing</w:t>
            </w:r>
          </w:p>
        </w:tc>
        <w:tc>
          <w:tcPr>
            <w:tcW w:w="1885" w:type="dxa"/>
            <w:tcBorders>
              <w:top w:val="single" w:sz="2" w:space="0" w:color="002279"/>
              <w:left w:val="single" w:sz="2" w:space="0" w:color="002279"/>
              <w:bottom w:val="single" w:sz="2" w:space="0" w:color="002279"/>
              <w:right w:val="single" w:sz="2" w:space="0" w:color="002279"/>
            </w:tcBorders>
            <w:shd w:val="clear" w:color="auto" w:fill="D4D6DF"/>
            <w:vAlign w:val="center"/>
          </w:tcPr>
          <w:p w14:paraId="0A847DB5" w14:textId="77777777" w:rsidR="00EF4DBC" w:rsidRPr="002020E8" w:rsidRDefault="00EF4DBC" w:rsidP="00360131">
            <w:pPr>
              <w:jc w:val="center"/>
              <w:rPr>
                <w:szCs w:val="20"/>
              </w:rPr>
            </w:pPr>
            <w:r w:rsidRPr="0097263A">
              <w:rPr>
                <w:szCs w:val="20"/>
              </w:rPr>
              <w:t>100%</w:t>
            </w:r>
          </w:p>
        </w:tc>
        <w:tc>
          <w:tcPr>
            <w:tcW w:w="1885" w:type="dxa"/>
            <w:tcBorders>
              <w:top w:val="single" w:sz="2" w:space="0" w:color="002279"/>
              <w:left w:val="single" w:sz="2" w:space="0" w:color="002279"/>
              <w:bottom w:val="single" w:sz="2" w:space="0" w:color="002279"/>
              <w:right w:val="single" w:sz="2" w:space="0" w:color="002279"/>
            </w:tcBorders>
            <w:shd w:val="clear" w:color="auto" w:fill="D4D6DF"/>
            <w:vAlign w:val="center"/>
          </w:tcPr>
          <w:p w14:paraId="02AA3BE5" w14:textId="67AABE32" w:rsidR="00526729" w:rsidRPr="002020E8" w:rsidRDefault="00526729" w:rsidP="00360131">
            <w:pPr>
              <w:jc w:val="center"/>
              <w:rPr>
                <w:szCs w:val="20"/>
              </w:rPr>
            </w:pPr>
            <w:r w:rsidRPr="0097263A">
              <w:rPr>
                <w:szCs w:val="20"/>
              </w:rPr>
              <w:t>100%</w:t>
            </w:r>
          </w:p>
        </w:tc>
        <w:tc>
          <w:tcPr>
            <w:tcW w:w="1886" w:type="dxa"/>
            <w:tcBorders>
              <w:top w:val="single" w:sz="2" w:space="0" w:color="002279"/>
              <w:left w:val="single" w:sz="2" w:space="0" w:color="002279"/>
              <w:bottom w:val="single" w:sz="2" w:space="0" w:color="002279"/>
              <w:right w:val="single" w:sz="2" w:space="0" w:color="002279"/>
            </w:tcBorders>
            <w:shd w:val="clear" w:color="auto" w:fill="D4D6DF"/>
            <w:vAlign w:val="center"/>
          </w:tcPr>
          <w:p w14:paraId="17D7491F" w14:textId="7AF77757" w:rsidR="00EF4DBC" w:rsidRPr="002020E8" w:rsidRDefault="00EF4DBC" w:rsidP="00360131">
            <w:pPr>
              <w:jc w:val="center"/>
              <w:rPr>
                <w:szCs w:val="20"/>
              </w:rPr>
            </w:pPr>
            <w:r w:rsidRPr="0097263A">
              <w:rPr>
                <w:szCs w:val="20"/>
              </w:rPr>
              <w:t>100%</w:t>
            </w:r>
          </w:p>
        </w:tc>
      </w:tr>
      <w:tr w:rsidR="00005DF3" w:rsidRPr="00FD4958" w14:paraId="615FF492" w14:textId="77777777" w:rsidTr="00374799">
        <w:trPr>
          <w:trHeight w:val="1125"/>
        </w:trPr>
        <w:tc>
          <w:tcPr>
            <w:tcW w:w="2046" w:type="dxa"/>
            <w:tcBorders>
              <w:top w:val="single" w:sz="2" w:space="0" w:color="002279"/>
              <w:left w:val="single" w:sz="2" w:space="0" w:color="002279"/>
              <w:bottom w:val="single" w:sz="2" w:space="0" w:color="002279"/>
              <w:right w:val="single" w:sz="2" w:space="0" w:color="002279"/>
            </w:tcBorders>
          </w:tcPr>
          <w:p w14:paraId="239E8B65" w14:textId="0626673D" w:rsidR="00EF4DBC" w:rsidRPr="006F6468" w:rsidRDefault="00EF4DBC" w:rsidP="00116E55">
            <w:pPr>
              <w:rPr>
                <w:szCs w:val="20"/>
                <w:vertAlign w:val="superscript"/>
              </w:rPr>
            </w:pPr>
            <w:r w:rsidRPr="0097263A">
              <w:rPr>
                <w:szCs w:val="20"/>
              </w:rPr>
              <w:t>Customers experiencing more than 5 unplanned disruptions in a 12</w:t>
            </w:r>
            <w:r w:rsidR="005714E7" w:rsidRPr="0097263A">
              <w:rPr>
                <w:szCs w:val="20"/>
              </w:rPr>
              <w:t>-</w:t>
            </w:r>
            <w:r w:rsidRPr="0097263A">
              <w:rPr>
                <w:szCs w:val="20"/>
              </w:rPr>
              <w:t>month period (water, sewer and water quality)</w:t>
            </w:r>
            <w:r w:rsidR="006F6468" w:rsidRPr="00770784">
              <w:rPr>
                <w:b/>
                <w:szCs w:val="20"/>
                <w:vertAlign w:val="superscript"/>
              </w:rPr>
              <w:t>1</w:t>
            </w:r>
          </w:p>
        </w:tc>
        <w:tc>
          <w:tcPr>
            <w:tcW w:w="1885" w:type="dxa"/>
            <w:tcBorders>
              <w:top w:val="single" w:sz="2" w:space="0" w:color="002279"/>
              <w:left w:val="single" w:sz="2" w:space="0" w:color="002279"/>
              <w:bottom w:val="single" w:sz="2" w:space="0" w:color="002279"/>
              <w:right w:val="single" w:sz="2" w:space="0" w:color="002279"/>
            </w:tcBorders>
            <w:vAlign w:val="center"/>
          </w:tcPr>
          <w:p w14:paraId="145663A2" w14:textId="473BBCF2" w:rsidR="00EF4DBC" w:rsidRPr="002020E8" w:rsidRDefault="00EF4DBC" w:rsidP="00360131">
            <w:pPr>
              <w:jc w:val="center"/>
              <w:rPr>
                <w:szCs w:val="20"/>
              </w:rPr>
            </w:pPr>
            <w:r w:rsidRPr="0097263A">
              <w:rPr>
                <w:szCs w:val="20"/>
              </w:rPr>
              <w:t>Improved</w:t>
            </w:r>
          </w:p>
        </w:tc>
        <w:tc>
          <w:tcPr>
            <w:tcW w:w="1885" w:type="dxa"/>
            <w:tcBorders>
              <w:top w:val="single" w:sz="2" w:space="0" w:color="002279"/>
              <w:left w:val="single" w:sz="2" w:space="0" w:color="002279"/>
              <w:bottom w:val="single" w:sz="2" w:space="0" w:color="002279"/>
              <w:right w:val="single" w:sz="2" w:space="0" w:color="002279"/>
            </w:tcBorders>
            <w:vAlign w:val="center"/>
          </w:tcPr>
          <w:p w14:paraId="5138EB55" w14:textId="0CA160E1" w:rsidR="00EF4DBC" w:rsidRPr="002020E8" w:rsidRDefault="000F030B" w:rsidP="00360131">
            <w:pPr>
              <w:jc w:val="center"/>
              <w:rPr>
                <w:szCs w:val="20"/>
              </w:rPr>
            </w:pPr>
            <w:r w:rsidRPr="0097263A">
              <w:rPr>
                <w:szCs w:val="20"/>
              </w:rPr>
              <w:t>Redefined</w:t>
            </w:r>
          </w:p>
        </w:tc>
        <w:tc>
          <w:tcPr>
            <w:tcW w:w="1885" w:type="dxa"/>
            <w:tcBorders>
              <w:top w:val="single" w:sz="2" w:space="0" w:color="002279"/>
              <w:left w:val="single" w:sz="2" w:space="0" w:color="002279"/>
              <w:bottom w:val="single" w:sz="2" w:space="0" w:color="002279"/>
              <w:right w:val="single" w:sz="2" w:space="0" w:color="002279"/>
            </w:tcBorders>
            <w:vAlign w:val="center"/>
          </w:tcPr>
          <w:p w14:paraId="27142015" w14:textId="363B43A7" w:rsidR="00526729" w:rsidRPr="002020E8" w:rsidRDefault="00526729" w:rsidP="00360131">
            <w:pPr>
              <w:jc w:val="center"/>
              <w:rPr>
                <w:szCs w:val="20"/>
              </w:rPr>
            </w:pPr>
            <w:r w:rsidRPr="0097263A">
              <w:rPr>
                <w:szCs w:val="20"/>
              </w:rPr>
              <w:t>N/A</w:t>
            </w:r>
          </w:p>
        </w:tc>
        <w:tc>
          <w:tcPr>
            <w:tcW w:w="1886" w:type="dxa"/>
            <w:tcBorders>
              <w:top w:val="single" w:sz="2" w:space="0" w:color="002279"/>
              <w:left w:val="single" w:sz="2" w:space="0" w:color="002279"/>
              <w:bottom w:val="single" w:sz="2" w:space="0" w:color="002279"/>
              <w:right w:val="single" w:sz="2" w:space="0" w:color="002279"/>
            </w:tcBorders>
            <w:vAlign w:val="center"/>
          </w:tcPr>
          <w:p w14:paraId="0FA8FF89" w14:textId="4B661A84" w:rsidR="00EF4DBC" w:rsidRPr="002020E8" w:rsidRDefault="00EF4DBC" w:rsidP="00360131">
            <w:pPr>
              <w:jc w:val="center"/>
              <w:rPr>
                <w:szCs w:val="20"/>
              </w:rPr>
            </w:pPr>
            <w:r w:rsidRPr="0097263A">
              <w:rPr>
                <w:szCs w:val="20"/>
              </w:rPr>
              <w:t>450</w:t>
            </w:r>
          </w:p>
        </w:tc>
      </w:tr>
      <w:tr w:rsidR="00005DF3" w:rsidRPr="00FD4958" w14:paraId="3F349B31" w14:textId="77777777" w:rsidTr="00374799">
        <w:trPr>
          <w:trHeight w:val="1183"/>
        </w:trPr>
        <w:tc>
          <w:tcPr>
            <w:tcW w:w="2046" w:type="dxa"/>
            <w:tcBorders>
              <w:top w:val="single" w:sz="2" w:space="0" w:color="002279"/>
              <w:left w:val="single" w:sz="2" w:space="0" w:color="002279"/>
              <w:bottom w:val="single" w:sz="4" w:space="0" w:color="002279"/>
              <w:right w:val="single" w:sz="2" w:space="0" w:color="002279"/>
            </w:tcBorders>
            <w:shd w:val="clear" w:color="auto" w:fill="D4D6DF"/>
          </w:tcPr>
          <w:p w14:paraId="39368205" w14:textId="77777777" w:rsidR="00EF4DBC" w:rsidRPr="002020E8" w:rsidRDefault="00EF4DBC" w:rsidP="00116E55">
            <w:pPr>
              <w:rPr>
                <w:szCs w:val="20"/>
              </w:rPr>
            </w:pPr>
            <w:r w:rsidRPr="0097263A">
              <w:rPr>
                <w:szCs w:val="20"/>
              </w:rPr>
              <w:t>Total volume of water saved through digital detection of network leaks (ML)</w:t>
            </w:r>
          </w:p>
        </w:tc>
        <w:tc>
          <w:tcPr>
            <w:tcW w:w="1885" w:type="dxa"/>
            <w:tcBorders>
              <w:top w:val="single" w:sz="2" w:space="0" w:color="002279"/>
              <w:left w:val="single" w:sz="2" w:space="0" w:color="002279"/>
              <w:bottom w:val="single" w:sz="4" w:space="0" w:color="002279"/>
              <w:right w:val="single" w:sz="2" w:space="0" w:color="002279"/>
            </w:tcBorders>
            <w:shd w:val="clear" w:color="auto" w:fill="D4D6DF"/>
            <w:vAlign w:val="center"/>
          </w:tcPr>
          <w:p w14:paraId="7B26D2C1" w14:textId="77777777" w:rsidR="00EF4DBC" w:rsidRPr="002020E8" w:rsidRDefault="00EF4DBC" w:rsidP="00360131">
            <w:pPr>
              <w:jc w:val="center"/>
              <w:rPr>
                <w:szCs w:val="20"/>
              </w:rPr>
            </w:pPr>
            <w:r w:rsidRPr="0097263A">
              <w:rPr>
                <w:szCs w:val="20"/>
              </w:rPr>
              <w:t>New</w:t>
            </w:r>
          </w:p>
        </w:tc>
        <w:tc>
          <w:tcPr>
            <w:tcW w:w="1885" w:type="dxa"/>
            <w:tcBorders>
              <w:top w:val="single" w:sz="2" w:space="0" w:color="002279"/>
              <w:left w:val="single" w:sz="2" w:space="0" w:color="002279"/>
              <w:bottom w:val="single" w:sz="4" w:space="0" w:color="002279"/>
              <w:right w:val="single" w:sz="2" w:space="0" w:color="002279"/>
            </w:tcBorders>
            <w:shd w:val="clear" w:color="auto" w:fill="D4D6DF"/>
            <w:vAlign w:val="center"/>
          </w:tcPr>
          <w:p w14:paraId="1B702742" w14:textId="77777777" w:rsidR="00EF4DBC" w:rsidRPr="002020E8" w:rsidRDefault="00EF4DBC" w:rsidP="00360131">
            <w:pPr>
              <w:jc w:val="center"/>
              <w:rPr>
                <w:szCs w:val="20"/>
              </w:rPr>
            </w:pPr>
            <w:r w:rsidRPr="0097263A">
              <w:rPr>
                <w:szCs w:val="20"/>
              </w:rPr>
              <w:t>0</w:t>
            </w:r>
          </w:p>
        </w:tc>
        <w:tc>
          <w:tcPr>
            <w:tcW w:w="1885" w:type="dxa"/>
            <w:tcBorders>
              <w:top w:val="single" w:sz="2" w:space="0" w:color="002279"/>
              <w:left w:val="single" w:sz="2" w:space="0" w:color="002279"/>
              <w:bottom w:val="single" w:sz="4" w:space="0" w:color="002279"/>
              <w:right w:val="single" w:sz="2" w:space="0" w:color="002279"/>
            </w:tcBorders>
            <w:shd w:val="clear" w:color="auto" w:fill="D4D6DF"/>
            <w:vAlign w:val="center"/>
          </w:tcPr>
          <w:p w14:paraId="41991CF2" w14:textId="62374289" w:rsidR="00BD4F0D" w:rsidRPr="002020E8" w:rsidRDefault="00BD4F0D" w:rsidP="00360131">
            <w:pPr>
              <w:jc w:val="center"/>
              <w:rPr>
                <w:szCs w:val="20"/>
              </w:rPr>
            </w:pPr>
            <w:r w:rsidRPr="0097263A">
              <w:rPr>
                <w:szCs w:val="20"/>
              </w:rPr>
              <w:t>N/A</w:t>
            </w:r>
          </w:p>
        </w:tc>
        <w:tc>
          <w:tcPr>
            <w:tcW w:w="1886" w:type="dxa"/>
            <w:tcBorders>
              <w:top w:val="single" w:sz="2" w:space="0" w:color="002279"/>
              <w:left w:val="single" w:sz="2" w:space="0" w:color="002279"/>
              <w:bottom w:val="single" w:sz="4" w:space="0" w:color="002279"/>
              <w:right w:val="single" w:sz="2" w:space="0" w:color="002279"/>
            </w:tcBorders>
            <w:shd w:val="clear" w:color="auto" w:fill="D4D6DF"/>
            <w:vAlign w:val="center"/>
          </w:tcPr>
          <w:p w14:paraId="389ECD3E" w14:textId="65EF47DA" w:rsidR="00EF4DBC" w:rsidRPr="002020E8" w:rsidRDefault="00EF4DBC" w:rsidP="00360131">
            <w:pPr>
              <w:jc w:val="center"/>
              <w:rPr>
                <w:szCs w:val="20"/>
              </w:rPr>
            </w:pPr>
            <w:r w:rsidRPr="0097263A">
              <w:rPr>
                <w:szCs w:val="20"/>
              </w:rPr>
              <w:t>1,</w:t>
            </w:r>
            <w:r w:rsidR="00F06EE8">
              <w:rPr>
                <w:szCs w:val="20"/>
              </w:rPr>
              <w:t>271</w:t>
            </w:r>
          </w:p>
        </w:tc>
      </w:tr>
      <w:tr w:rsidR="000665E6" w14:paraId="09BAC511" w14:textId="77777777" w:rsidTr="00374799">
        <w:trPr>
          <w:trHeight w:val="512"/>
        </w:trPr>
        <w:tc>
          <w:tcPr>
            <w:tcW w:w="9587" w:type="dxa"/>
            <w:gridSpan w:val="5"/>
            <w:tcBorders>
              <w:top w:val="single" w:sz="4" w:space="0" w:color="002279"/>
              <w:left w:val="single" w:sz="4" w:space="0" w:color="002279"/>
              <w:bottom w:val="single" w:sz="4" w:space="0" w:color="002279"/>
              <w:right w:val="single" w:sz="4" w:space="0" w:color="002279"/>
            </w:tcBorders>
            <w:shd w:val="clear" w:color="auto" w:fill="002279"/>
            <w:vAlign w:val="center"/>
          </w:tcPr>
          <w:p w14:paraId="60326E35" w14:textId="3F3C3973" w:rsidR="00EF4DBC" w:rsidRPr="002020E8" w:rsidRDefault="00EF4DBC" w:rsidP="00116E55">
            <w:pPr>
              <w:jc w:val="center"/>
              <w:rPr>
                <w:rFonts w:ascii="Arial Bold" w:hAnsi="Arial Bold"/>
                <w:b/>
                <w:bCs/>
                <w:szCs w:val="20"/>
              </w:rPr>
            </w:pPr>
            <w:r w:rsidRPr="0097263A">
              <w:rPr>
                <w:rFonts w:ascii="Arial Bold" w:hAnsi="Arial Bold"/>
                <w:b/>
                <w:bCs/>
                <w:szCs w:val="20"/>
              </w:rPr>
              <w:t>Key supporting actions, activities and programs</w:t>
            </w:r>
          </w:p>
        </w:tc>
      </w:tr>
      <w:tr w:rsidR="000665E6" w14:paraId="588A3243" w14:textId="77777777" w:rsidTr="00374799">
        <w:trPr>
          <w:trHeight w:val="1429"/>
        </w:trPr>
        <w:tc>
          <w:tcPr>
            <w:tcW w:w="9587" w:type="dxa"/>
            <w:gridSpan w:val="5"/>
            <w:tcBorders>
              <w:top w:val="single" w:sz="4" w:space="0" w:color="002279"/>
              <w:left w:val="single" w:sz="2" w:space="0" w:color="002279"/>
              <w:bottom w:val="single" w:sz="2" w:space="0" w:color="002279"/>
              <w:right w:val="single" w:sz="2" w:space="0" w:color="002279"/>
            </w:tcBorders>
          </w:tcPr>
          <w:p w14:paraId="5D26E089" w14:textId="04B428BA" w:rsidR="00EF4DBC" w:rsidRPr="002020E8" w:rsidRDefault="00EF4DBC" w:rsidP="00116E55">
            <w:pPr>
              <w:pStyle w:val="TableText"/>
              <w:spacing w:before="120"/>
              <w:jc w:val="center"/>
              <w:rPr>
                <w:szCs w:val="20"/>
              </w:rPr>
            </w:pPr>
            <w:r w:rsidRPr="002020E8">
              <w:rPr>
                <w:szCs w:val="20"/>
              </w:rPr>
              <w:t>Digital utility</w:t>
            </w:r>
          </w:p>
          <w:p w14:paraId="3780CCEC" w14:textId="77777777" w:rsidR="00EF4DBC" w:rsidRPr="002020E8" w:rsidRDefault="00EF4DBC" w:rsidP="001633C9">
            <w:pPr>
              <w:pStyle w:val="TableText"/>
              <w:jc w:val="center"/>
              <w:rPr>
                <w:szCs w:val="20"/>
              </w:rPr>
            </w:pPr>
            <w:r w:rsidRPr="002020E8">
              <w:rPr>
                <w:szCs w:val="20"/>
              </w:rPr>
              <w:t>Digital metering</w:t>
            </w:r>
          </w:p>
          <w:p w14:paraId="63425BD0" w14:textId="495FF6B2" w:rsidR="00EF4DBC" w:rsidRPr="002020E8" w:rsidRDefault="00EF4DBC" w:rsidP="001633C9">
            <w:pPr>
              <w:pStyle w:val="TableText"/>
              <w:jc w:val="center"/>
              <w:rPr>
                <w:szCs w:val="20"/>
              </w:rPr>
            </w:pPr>
            <w:r w:rsidRPr="002020E8">
              <w:rPr>
                <w:szCs w:val="20"/>
              </w:rPr>
              <w:t xml:space="preserve">Potable </w:t>
            </w:r>
            <w:r w:rsidR="00423E82" w:rsidRPr="002020E8">
              <w:rPr>
                <w:szCs w:val="20"/>
              </w:rPr>
              <w:t>w</w:t>
            </w:r>
            <w:r w:rsidRPr="002020E8">
              <w:rPr>
                <w:szCs w:val="20"/>
              </w:rPr>
              <w:t xml:space="preserve">ater </w:t>
            </w:r>
            <w:r w:rsidR="00B065CF" w:rsidRPr="002020E8">
              <w:rPr>
                <w:szCs w:val="20"/>
              </w:rPr>
              <w:t>q</w:t>
            </w:r>
            <w:r w:rsidRPr="002020E8">
              <w:rPr>
                <w:szCs w:val="20"/>
              </w:rPr>
              <w:t xml:space="preserve">uality </w:t>
            </w:r>
          </w:p>
          <w:p w14:paraId="03C931DA" w14:textId="2F7BF968" w:rsidR="00EF4DBC" w:rsidRPr="00360131" w:rsidRDefault="00EF4DBC" w:rsidP="001633C9">
            <w:pPr>
              <w:pStyle w:val="TableText"/>
              <w:jc w:val="center"/>
              <w:rPr>
                <w:szCs w:val="20"/>
              </w:rPr>
            </w:pPr>
            <w:r w:rsidRPr="002020E8">
              <w:rPr>
                <w:szCs w:val="20"/>
              </w:rPr>
              <w:t xml:space="preserve">Potable </w:t>
            </w:r>
            <w:r w:rsidR="00980A26" w:rsidRPr="002020E8">
              <w:rPr>
                <w:szCs w:val="20"/>
              </w:rPr>
              <w:t>w</w:t>
            </w:r>
            <w:r w:rsidRPr="002020E8">
              <w:rPr>
                <w:szCs w:val="20"/>
              </w:rPr>
              <w:t xml:space="preserve">ater </w:t>
            </w:r>
            <w:r w:rsidR="00980A26" w:rsidRPr="002020E8">
              <w:rPr>
                <w:szCs w:val="20"/>
              </w:rPr>
              <w:t>r</w:t>
            </w:r>
            <w:r w:rsidRPr="002020E8">
              <w:rPr>
                <w:szCs w:val="20"/>
              </w:rPr>
              <w:t xml:space="preserve">eliability </w:t>
            </w:r>
            <w:r w:rsidR="00980A26" w:rsidRPr="002020E8">
              <w:rPr>
                <w:szCs w:val="20"/>
              </w:rPr>
              <w:t>r</w:t>
            </w:r>
            <w:r w:rsidRPr="002020E8">
              <w:rPr>
                <w:szCs w:val="20"/>
              </w:rPr>
              <w:t xml:space="preserve">enewals and </w:t>
            </w:r>
            <w:r w:rsidR="00980A26" w:rsidRPr="002020E8">
              <w:rPr>
                <w:szCs w:val="20"/>
              </w:rPr>
              <w:t>c</w:t>
            </w:r>
            <w:r w:rsidRPr="002020E8">
              <w:rPr>
                <w:szCs w:val="20"/>
              </w:rPr>
              <w:t>ompliance</w:t>
            </w:r>
            <w:r w:rsidRPr="00360131">
              <w:rPr>
                <w:sz w:val="24"/>
                <w:szCs w:val="20"/>
              </w:rPr>
              <w:t xml:space="preserve"> </w:t>
            </w:r>
          </w:p>
        </w:tc>
      </w:tr>
    </w:tbl>
    <w:p w14:paraId="48B72BC6" w14:textId="5253A8E2" w:rsidR="00EF4DBC" w:rsidRDefault="00374799" w:rsidP="00EF4DBC">
      <w:r>
        <w:br/>
      </w:r>
      <w:r w:rsidR="0068279A" w:rsidRPr="009C4F55">
        <w:rPr>
          <w:rStyle w:val="FootnoteReference"/>
          <w:color w:val="auto"/>
        </w:rPr>
        <w:footnoteRef/>
      </w:r>
      <w:r w:rsidR="0068279A" w:rsidRPr="009C4F55">
        <w:t xml:space="preserve"> </w:t>
      </w:r>
      <w:r w:rsidR="00202E5E" w:rsidRPr="00202E5E">
        <w:rPr>
          <w:sz w:val="18"/>
          <w:szCs w:val="18"/>
        </w:rPr>
        <w:t>Water quality disruptions relate to the issue of a ‘Do not drink’ or ‘Boil water’ advisory</w:t>
      </w:r>
    </w:p>
    <w:p w14:paraId="67088EEE" w14:textId="77777777" w:rsidR="005F1841" w:rsidRDefault="005F1841" w:rsidP="00EF4DBC"/>
    <w:p w14:paraId="5C52FA4D" w14:textId="77777777" w:rsidR="005F1841" w:rsidRDefault="005F1841" w:rsidP="00EF4DBC"/>
    <w:p w14:paraId="5969479A" w14:textId="77777777" w:rsidR="005F1841" w:rsidRDefault="005F1841" w:rsidP="00EF4DBC"/>
    <w:p w14:paraId="33937C05" w14:textId="77777777" w:rsidR="005F1841" w:rsidRDefault="005F1841" w:rsidP="00EF4DBC"/>
    <w:p w14:paraId="3617394D" w14:textId="36ECC021" w:rsidR="00EF4DBC" w:rsidRDefault="00EF4DBC" w:rsidP="00EF4DBC">
      <w:r>
        <w:lastRenderedPageBreak/>
        <w:t xml:space="preserve">Output measures for </w:t>
      </w:r>
      <w:r w:rsidR="009D3F72">
        <w:t xml:space="preserve">the </w:t>
      </w:r>
      <w:r>
        <w:t>2018</w:t>
      </w:r>
      <w:r w:rsidR="007D4EB3">
        <w:t>–</w:t>
      </w:r>
      <w:r>
        <w:t xml:space="preserve">23 </w:t>
      </w:r>
      <w:r w:rsidR="009D3F72">
        <w:t>period</w:t>
      </w:r>
      <w:r>
        <w:t xml:space="preserve"> (</w:t>
      </w:r>
      <w:r w:rsidRPr="00A00D90">
        <w:rPr>
          <w:i/>
          <w:iCs/>
        </w:rPr>
        <w:t>Get the basics right, always</w:t>
      </w:r>
      <w:r>
        <w:rPr>
          <w:i/>
          <w:iCs/>
        </w:rPr>
        <w:t xml:space="preserve">) </w:t>
      </w:r>
      <w:r>
        <w:t>included 3</w:t>
      </w:r>
      <w:r w:rsidR="009D3F72">
        <w:t> </w:t>
      </w:r>
      <w:r>
        <w:t xml:space="preserve">separate service standard outputs relating to different aspects of service: </w:t>
      </w:r>
    </w:p>
    <w:p w14:paraId="33FE07CE" w14:textId="5838B94C" w:rsidR="00EF4DBC" w:rsidRPr="00233D85" w:rsidRDefault="00903400">
      <w:pPr>
        <w:pStyle w:val="Bulletlistmultilevel"/>
        <w:numPr>
          <w:ilvl w:val="0"/>
          <w:numId w:val="18"/>
        </w:numPr>
        <w:rPr>
          <w:sz w:val="24"/>
          <w:szCs w:val="24"/>
        </w:rPr>
      </w:pPr>
      <w:r>
        <w:rPr>
          <w:sz w:val="24"/>
          <w:szCs w:val="24"/>
        </w:rPr>
        <w:t>n</w:t>
      </w:r>
      <w:r w:rsidR="00EF4DBC" w:rsidRPr="00233D85">
        <w:rPr>
          <w:sz w:val="24"/>
          <w:szCs w:val="24"/>
        </w:rPr>
        <w:t>umber of water quality complaints per 100 customers</w:t>
      </w:r>
    </w:p>
    <w:p w14:paraId="337E3298" w14:textId="13298110" w:rsidR="00EF4DBC" w:rsidRPr="00233D85" w:rsidRDefault="00903400">
      <w:pPr>
        <w:pStyle w:val="Bulletlistmultilevel"/>
        <w:numPr>
          <w:ilvl w:val="0"/>
          <w:numId w:val="18"/>
        </w:numPr>
        <w:rPr>
          <w:sz w:val="24"/>
          <w:szCs w:val="24"/>
        </w:rPr>
      </w:pPr>
      <w:r>
        <w:rPr>
          <w:sz w:val="24"/>
          <w:szCs w:val="24"/>
        </w:rPr>
        <w:t>n</w:t>
      </w:r>
      <w:r w:rsidR="00EF4DBC" w:rsidRPr="00233D85">
        <w:rPr>
          <w:sz w:val="24"/>
          <w:szCs w:val="24"/>
        </w:rPr>
        <w:t>umber of customers receiving greater than 5 unplanned water supply interruptions</w:t>
      </w:r>
    </w:p>
    <w:p w14:paraId="0B67B302" w14:textId="3A4909B2" w:rsidR="00EF4DBC" w:rsidRPr="00233D85" w:rsidRDefault="00903400">
      <w:pPr>
        <w:pStyle w:val="Bulletlistmultilevel"/>
        <w:numPr>
          <w:ilvl w:val="0"/>
          <w:numId w:val="18"/>
        </w:numPr>
        <w:rPr>
          <w:sz w:val="24"/>
          <w:szCs w:val="24"/>
        </w:rPr>
      </w:pPr>
      <w:r>
        <w:rPr>
          <w:sz w:val="24"/>
          <w:szCs w:val="24"/>
        </w:rPr>
        <w:t>n</w:t>
      </w:r>
      <w:r w:rsidR="00EF4DBC" w:rsidRPr="00233D85">
        <w:rPr>
          <w:sz w:val="24"/>
          <w:szCs w:val="24"/>
        </w:rPr>
        <w:t>umber of customers receiving 3 or more sewerage blockages.</w:t>
      </w:r>
    </w:p>
    <w:p w14:paraId="244B19A3" w14:textId="77777777" w:rsidR="00EF4DBC" w:rsidRDefault="00EF4DBC" w:rsidP="00EF4DBC"/>
    <w:p w14:paraId="702347BF" w14:textId="03905DA8" w:rsidR="00EF4DBC" w:rsidRPr="00233D85" w:rsidRDefault="00EF4DBC" w:rsidP="00EF4DBC">
      <w:r>
        <w:t xml:space="preserve">These have been combined into an </w:t>
      </w:r>
      <w:r w:rsidR="00612583">
        <w:t>‘</w:t>
      </w:r>
      <w:r>
        <w:t>all-of-service</w:t>
      </w:r>
      <w:r w:rsidR="00612583">
        <w:t>’</w:t>
      </w:r>
      <w:r>
        <w:t xml:space="preserve"> output measure for unplanned interruptions </w:t>
      </w:r>
      <w:r w:rsidRPr="006E1127">
        <w:t>based on customer sentiment that any disruption is an inconvenience, regardless of the specific service.</w:t>
      </w:r>
    </w:p>
    <w:p w14:paraId="148459CF" w14:textId="446DFE93" w:rsidR="00EF4DBC" w:rsidRDefault="00EF4DBC" w:rsidP="00EF4DBC">
      <w:r>
        <w:t xml:space="preserve">An additional output measure has been added under Outcome 1, relating to: </w:t>
      </w:r>
    </w:p>
    <w:p w14:paraId="308CF0CC" w14:textId="1F05C510" w:rsidR="00EF4DBC" w:rsidRDefault="00903400">
      <w:pPr>
        <w:pStyle w:val="ListParagraph"/>
        <w:numPr>
          <w:ilvl w:val="0"/>
          <w:numId w:val="19"/>
        </w:numPr>
      </w:pPr>
      <w:r>
        <w:t>v</w:t>
      </w:r>
      <w:r w:rsidR="00EF4DBC">
        <w:t>olume of water saved through digital detection of leaks.</w:t>
      </w:r>
    </w:p>
    <w:p w14:paraId="25145E5C" w14:textId="4736FF90" w:rsidR="00AC3C2F" w:rsidRDefault="00EA40DF" w:rsidP="00DB7160">
      <w:pPr>
        <w:pStyle w:val="Heading3"/>
        <w:rPr>
          <w:i/>
        </w:rPr>
      </w:pPr>
      <w:r>
        <w:rPr>
          <w:noProof/>
        </w:rPr>
        <mc:AlternateContent>
          <mc:Choice Requires="wps">
            <w:drawing>
              <wp:anchor distT="0" distB="0" distL="114300" distR="114300" simplePos="0" relativeHeight="251658265" behindDoc="1" locked="0" layoutInCell="1" allowOverlap="1" wp14:anchorId="6AA4D236" wp14:editId="4F519559">
                <wp:simplePos x="0" y="0"/>
                <wp:positionH relativeFrom="margin">
                  <wp:align>left</wp:align>
                </wp:positionH>
                <wp:positionV relativeFrom="paragraph">
                  <wp:posOffset>395529</wp:posOffset>
                </wp:positionV>
                <wp:extent cx="6068695" cy="1536192"/>
                <wp:effectExtent l="0" t="0" r="8255" b="6985"/>
                <wp:wrapNone/>
                <wp:docPr id="979" name="Rectangle 9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68695" cy="1536192"/>
                        </a:xfrm>
                        <a:prstGeom prst="rect">
                          <a:avLst/>
                        </a:prstGeom>
                        <a:solidFill>
                          <a:schemeClr val="bg2">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AF666A" w14:textId="0A3CD0C3" w:rsidR="00EA40DF" w:rsidRPr="00EA40DF" w:rsidRDefault="00EA40DF" w:rsidP="00EA40DF">
                            <w:pPr>
                              <w:rPr>
                                <w:color w:val="000000"/>
                              </w:rPr>
                            </w:pPr>
                            <w:r w:rsidRPr="00EA40DF">
                              <w:rPr>
                                <w:color w:val="000000"/>
                              </w:rPr>
                              <w:t>Our customers told us they’d like to be better informed of disruptions, including better visibility of leaks on their premises and timely warnings when there are wider network disruptions.</w:t>
                            </w:r>
                          </w:p>
                          <w:p w14:paraId="3F5EE63F" w14:textId="2276D16A" w:rsidR="00EA40DF" w:rsidRPr="00116E55" w:rsidRDefault="00EA40DF" w:rsidP="00116E55">
                            <w:pPr>
                              <w:rPr>
                                <w:color w:val="000000"/>
                              </w:rPr>
                            </w:pPr>
                            <w:r w:rsidRPr="00EA40DF">
                              <w:rPr>
                                <w:color w:val="000000"/>
                              </w:rPr>
                              <w:t>Advanced network monitoring and digital meters installed across our whole service region will provide more customers access to near real-time water usage information and notifications of any irregularities. This allows faults to be detected and fixed more quickly and provides customers more control over their water use and bills.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A4D236" id="Rectangle 979" o:spid="_x0000_s1038" style="position:absolute;margin-left:0;margin-top:31.15pt;width:477.85pt;height:120.95pt;z-index:-25165821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" fillcolor="#f2f2f2 [3054]" stroked="f" strokeweight="1pt">
                <v:textbox>
                  <w:txbxContent>
                    <w:p w14:paraId="45AF666A" w14:textId="0A3CD0C3" w:rsidR="00EA40DF" w:rsidRPr="00EA40DF" w:rsidRDefault="00EA40DF" w:rsidP="00EA40DF">
                      <w:pPr>
                        <w:rPr>
                          <w:color w:val="000000"/>
                        </w:rPr>
                      </w:pPr>
                      <w:r w:rsidRPr="00EA40DF">
                        <w:rPr>
                          <w:color w:val="000000"/>
                        </w:rPr>
                        <w:t>Our customers told us they’d like to be better informed of disruptions, including better visibility of leaks on their premises and timely warnings when there are wider network disruptions.</w:t>
                      </w:r>
                    </w:p>
                    <w:p w14:paraId="3F5EE63F" w14:textId="2276D16A" w:rsidR="00EA40DF" w:rsidRPr="00116E55" w:rsidRDefault="00EA40DF" w:rsidP="00116E55">
                      <w:pPr>
                        <w:rPr>
                          <w:color w:val="000000"/>
                        </w:rPr>
                      </w:pPr>
                      <w:r w:rsidRPr="00EA40DF">
                        <w:rPr>
                          <w:color w:val="000000"/>
                        </w:rPr>
                        <w:t>Advanced network monitoring and digital meters installed across our whole service region will provide more customers access to near real-time water usage information and notifications of any irregularities. This allows faults to be detected and fixed more quickly and provides customers more control over their water use and bills.</w:t>
                      </w:r>
                    </w:p>
                  </w:txbxContent>
                </v:textbox>
                <w10:wrap anchorx="margin"/>
              </v:rect>
            </w:pict>
          </mc:Fallback>
        </mc:AlternateContent>
      </w:r>
      <w:r w:rsidR="00AC3C2F">
        <w:t xml:space="preserve">Outcome 2: </w:t>
      </w:r>
      <w:bookmarkStart w:id="37" w:name="_Hlk107953025"/>
      <w:r w:rsidR="00AC3C2F" w:rsidRPr="009C21FD">
        <w:rPr>
          <w:i/>
        </w:rPr>
        <w:t>Warn me, inform me</w:t>
      </w:r>
      <w:bookmarkEnd w:id="37"/>
    </w:p>
    <w:p w14:paraId="6903E588" w14:textId="4D1E66EC" w:rsidR="00EA40DF" w:rsidRDefault="00EA40DF" w:rsidP="00EA40DF">
      <w:pPr>
        <w:pStyle w:val="BodyText"/>
      </w:pPr>
    </w:p>
    <w:p w14:paraId="2D8BDDD9" w14:textId="77777777" w:rsidR="00EA40DF" w:rsidRPr="00EA40DF" w:rsidRDefault="00EA40DF" w:rsidP="00116E55">
      <w:pPr>
        <w:pStyle w:val="BodyText"/>
      </w:pPr>
    </w:p>
    <w:p w14:paraId="3CB6F18E" w14:textId="783A6B45" w:rsidR="00EA40DF" w:rsidRDefault="00EA40DF" w:rsidP="00FA23DE">
      <w:pPr>
        <w:pStyle w:val="BodyText"/>
      </w:pPr>
    </w:p>
    <w:p w14:paraId="74323B70" w14:textId="461F1DD1" w:rsidR="00EA40DF" w:rsidRDefault="00EA40DF" w:rsidP="00FA23DE">
      <w:pPr>
        <w:pStyle w:val="BodyText"/>
      </w:pPr>
    </w:p>
    <w:p w14:paraId="32C7A495" w14:textId="05036C1C" w:rsidR="00EA40DF" w:rsidRDefault="00EA40DF" w:rsidP="00FA23DE">
      <w:pPr>
        <w:pStyle w:val="BodyText"/>
      </w:pPr>
    </w:p>
    <w:p w14:paraId="6F572564" w14:textId="68C48511" w:rsidR="00EA40DF" w:rsidRDefault="00EA40DF" w:rsidP="00FA23DE">
      <w:pPr>
        <w:pStyle w:val="BodyText"/>
      </w:pPr>
    </w:p>
    <w:p w14:paraId="5631C8B2" w14:textId="77777777" w:rsidR="005F1841" w:rsidRDefault="005F1841" w:rsidP="00FA23DE">
      <w:pPr>
        <w:pStyle w:val="BodyText"/>
      </w:pPr>
    </w:p>
    <w:p w14:paraId="3E58CF52" w14:textId="7267B939" w:rsidR="00AC3C2F" w:rsidRPr="00D75F40" w:rsidRDefault="00D75F40" w:rsidP="00D75F40">
      <w:pPr>
        <w:pStyle w:val="Caption"/>
        <w:spacing w:after="120"/>
        <w:rPr>
          <w:rFonts w:eastAsia="Arial"/>
          <w:i/>
        </w:rPr>
      </w:pPr>
      <w:r w:rsidRPr="00D75F40">
        <w:rPr>
          <w:i/>
          <w:sz w:val="22"/>
          <w:szCs w:val="22"/>
        </w:rPr>
        <w:t xml:space="preserve">Table </w:t>
      </w:r>
      <w:r w:rsidR="006F6A12" w:rsidRPr="00CE6C4E">
        <w:rPr>
          <w:b w:val="0"/>
          <w:bCs/>
          <w:i/>
          <w:iCs w:val="0"/>
          <w:sz w:val="22"/>
          <w:szCs w:val="22"/>
        </w:rPr>
        <w:fldChar w:fldCharType="begin"/>
      </w:r>
      <w:r w:rsidR="006F6A12" w:rsidRPr="00CE6C4E">
        <w:rPr>
          <w:bCs/>
          <w:i/>
          <w:iCs w:val="0"/>
          <w:sz w:val="22"/>
          <w:szCs w:val="22"/>
        </w:rPr>
        <w:instrText>SEQ Table \* ARABIC</w:instrText>
      </w:r>
      <w:r w:rsidR="006F6A12" w:rsidRPr="00CE6C4E">
        <w:rPr>
          <w:b w:val="0"/>
          <w:bCs/>
          <w:i/>
          <w:iCs w:val="0"/>
          <w:sz w:val="22"/>
          <w:szCs w:val="22"/>
        </w:rPr>
        <w:fldChar w:fldCharType="separate"/>
      </w:r>
      <w:r w:rsidR="006F6A12">
        <w:rPr>
          <w:bCs/>
          <w:i/>
          <w:iCs w:val="0"/>
          <w:noProof/>
          <w:sz w:val="22"/>
          <w:szCs w:val="22"/>
        </w:rPr>
        <w:t>12</w:t>
      </w:r>
      <w:r w:rsidR="006F6A12" w:rsidRPr="00CE6C4E">
        <w:rPr>
          <w:b w:val="0"/>
          <w:bCs/>
          <w:i/>
          <w:iCs w:val="0"/>
          <w:sz w:val="22"/>
          <w:szCs w:val="22"/>
        </w:rPr>
        <w:fldChar w:fldCharType="end"/>
      </w:r>
      <w:r w:rsidRPr="00D75F40">
        <w:rPr>
          <w:i/>
          <w:sz w:val="22"/>
          <w:szCs w:val="22"/>
        </w:rPr>
        <w:t>:</w:t>
      </w:r>
      <w:r>
        <w:rPr>
          <w:i/>
        </w:rPr>
        <w:t xml:space="preserve"> </w:t>
      </w:r>
      <w:r w:rsidR="00AC3C2F" w:rsidRPr="00073E9C">
        <w:rPr>
          <w:rFonts w:cs="Arial"/>
          <w:i/>
          <w:sz w:val="22"/>
          <w:szCs w:val="22"/>
        </w:rPr>
        <w:t>Outcome 2 output measures and targets</w:t>
      </w:r>
      <w:r w:rsidR="005F1841">
        <w:rPr>
          <w:rFonts w:cs="Arial"/>
          <w:i/>
          <w:sz w:val="22"/>
          <w:szCs w:val="22"/>
        </w:rPr>
        <w:br/>
      </w:r>
    </w:p>
    <w:tbl>
      <w:tblPr>
        <w:tblStyle w:val="MJTableStyle1default"/>
        <w:tblW w:w="5000" w:type="pct"/>
        <w:tblInd w:w="0" w:type="dxa"/>
        <w:tblLook w:val="0620" w:firstRow="1" w:lastRow="0" w:firstColumn="0" w:lastColumn="0" w:noHBand="1" w:noVBand="1"/>
      </w:tblPr>
      <w:tblGrid>
        <w:gridCol w:w="2123"/>
        <w:gridCol w:w="2127"/>
        <w:gridCol w:w="1505"/>
        <w:gridCol w:w="1916"/>
        <w:gridCol w:w="1916"/>
      </w:tblGrid>
      <w:tr w:rsidR="009374B6" w:rsidRPr="00073E9C" w14:paraId="61E3FBB6" w14:textId="77777777" w:rsidTr="006E2F9B">
        <w:trPr>
          <w:cnfStyle w:val="100000000000" w:firstRow="1" w:lastRow="0" w:firstColumn="0" w:lastColumn="0" w:oddVBand="0" w:evenVBand="0" w:oddHBand="0" w:evenHBand="0" w:firstRowFirstColumn="0" w:firstRowLastColumn="0" w:lastRowFirstColumn="0" w:lastRowLastColumn="0"/>
          <w:trHeight w:val="776"/>
        </w:trPr>
        <w:tc>
          <w:tcPr>
            <w:tcW w:w="2123" w:type="dxa"/>
            <w:tcBorders>
              <w:top w:val="single" w:sz="2" w:space="0" w:color="002279"/>
              <w:left w:val="single" w:sz="2" w:space="0" w:color="002279"/>
              <w:bottom w:val="single" w:sz="2" w:space="0" w:color="002279"/>
              <w:right w:val="single" w:sz="4" w:space="0" w:color="FFFFFF" w:themeColor="background1"/>
            </w:tcBorders>
            <w:shd w:val="clear" w:color="auto" w:fill="002279"/>
            <w:vAlign w:val="center"/>
          </w:tcPr>
          <w:p w14:paraId="70164FA8" w14:textId="77777777" w:rsidR="009374B6" w:rsidRPr="00643AC8" w:rsidRDefault="009374B6" w:rsidP="009374B6">
            <w:pPr>
              <w:pStyle w:val="TableHeading"/>
              <w:rPr>
                <w:rFonts w:asciiTheme="minorHAnsi" w:hAnsiTheme="minorHAnsi"/>
              </w:rPr>
            </w:pPr>
            <w:r w:rsidRPr="00643AC8">
              <w:rPr>
                <w:rFonts w:asciiTheme="minorHAnsi" w:hAnsiTheme="minorHAnsi"/>
              </w:rPr>
              <w:t>Output measure</w:t>
            </w:r>
          </w:p>
        </w:tc>
        <w:tc>
          <w:tcPr>
            <w:tcW w:w="2127" w:type="dxa"/>
            <w:tcBorders>
              <w:top w:val="single" w:sz="2" w:space="0" w:color="002279"/>
              <w:left w:val="single" w:sz="4" w:space="0" w:color="FFFFFF" w:themeColor="background1"/>
              <w:bottom w:val="single" w:sz="2" w:space="0" w:color="002279"/>
              <w:right w:val="single" w:sz="4" w:space="0" w:color="FFFFFF" w:themeColor="background1"/>
            </w:tcBorders>
            <w:shd w:val="clear" w:color="auto" w:fill="002279"/>
            <w:vAlign w:val="center"/>
          </w:tcPr>
          <w:p w14:paraId="22FADC31" w14:textId="1C6063F5" w:rsidR="009374B6" w:rsidRPr="00643AC8" w:rsidRDefault="009374B6" w:rsidP="009374B6">
            <w:pPr>
              <w:pStyle w:val="TableHeading"/>
              <w:jc w:val="center"/>
              <w:rPr>
                <w:rFonts w:asciiTheme="minorHAnsi" w:hAnsiTheme="minorHAnsi"/>
              </w:rPr>
            </w:pPr>
            <w:r w:rsidRPr="00643AC8">
              <w:rPr>
                <w:rFonts w:asciiTheme="minorHAnsi" w:hAnsiTheme="minorHAnsi"/>
              </w:rPr>
              <w:t xml:space="preserve">Existing, improved </w:t>
            </w:r>
            <w:r w:rsidRPr="00643AC8">
              <w:rPr>
                <w:rFonts w:asciiTheme="minorHAnsi" w:hAnsiTheme="minorHAnsi"/>
              </w:rPr>
              <w:br/>
              <w:t>or new</w:t>
            </w:r>
          </w:p>
        </w:tc>
        <w:tc>
          <w:tcPr>
            <w:tcW w:w="1505" w:type="dxa"/>
            <w:tcBorders>
              <w:top w:val="single" w:sz="2" w:space="0" w:color="002279"/>
              <w:left w:val="single" w:sz="4" w:space="0" w:color="FFFFFF" w:themeColor="background1"/>
              <w:bottom w:val="single" w:sz="2" w:space="0" w:color="002279"/>
              <w:right w:val="single" w:sz="4" w:space="0" w:color="FFFFFF" w:themeColor="background1"/>
            </w:tcBorders>
            <w:shd w:val="clear" w:color="auto" w:fill="002279"/>
            <w:vAlign w:val="center"/>
          </w:tcPr>
          <w:p w14:paraId="0CDDF688" w14:textId="351F5505" w:rsidR="009374B6" w:rsidRPr="00643AC8" w:rsidRDefault="009374B6" w:rsidP="009374B6">
            <w:pPr>
              <w:pStyle w:val="TableHeading"/>
              <w:jc w:val="center"/>
              <w:rPr>
                <w:rFonts w:asciiTheme="minorHAnsi" w:hAnsiTheme="minorHAnsi"/>
              </w:rPr>
            </w:pPr>
            <w:r>
              <w:rPr>
                <w:rFonts w:asciiTheme="minorHAnsi" w:hAnsiTheme="minorHAnsi"/>
              </w:rPr>
              <w:t xml:space="preserve">2021—22 </w:t>
            </w:r>
            <w:r>
              <w:rPr>
                <w:rFonts w:asciiTheme="minorHAnsi" w:hAnsiTheme="minorHAnsi"/>
              </w:rPr>
              <w:br/>
              <w:t>result</w:t>
            </w:r>
          </w:p>
        </w:tc>
        <w:tc>
          <w:tcPr>
            <w:tcW w:w="1916" w:type="dxa"/>
            <w:tcBorders>
              <w:top w:val="single" w:sz="2" w:space="0" w:color="002279"/>
              <w:left w:val="single" w:sz="4" w:space="0" w:color="FFFFFF" w:themeColor="background1"/>
              <w:bottom w:val="single" w:sz="2" w:space="0" w:color="002279"/>
              <w:right w:val="single" w:sz="4" w:space="0" w:color="FFFFFF" w:themeColor="background1"/>
            </w:tcBorders>
            <w:shd w:val="clear" w:color="auto" w:fill="002279"/>
            <w:vAlign w:val="center"/>
          </w:tcPr>
          <w:p w14:paraId="1D9E7E71" w14:textId="354CDA88" w:rsidR="009374B6" w:rsidRPr="00643AC8" w:rsidRDefault="009374B6" w:rsidP="009374B6">
            <w:pPr>
              <w:pStyle w:val="TableHeading"/>
              <w:jc w:val="center"/>
              <w:rPr>
                <w:rFonts w:asciiTheme="minorHAnsi" w:hAnsiTheme="minorHAnsi"/>
              </w:rPr>
            </w:pPr>
            <w:r w:rsidRPr="00643AC8">
              <w:rPr>
                <w:rFonts w:asciiTheme="minorHAnsi" w:hAnsiTheme="minorHAnsi"/>
              </w:rPr>
              <w:t>5-year average</w:t>
            </w:r>
          </w:p>
        </w:tc>
        <w:tc>
          <w:tcPr>
            <w:tcW w:w="1916" w:type="dxa"/>
            <w:tcBorders>
              <w:top w:val="single" w:sz="2" w:space="0" w:color="002279"/>
              <w:left w:val="single" w:sz="4" w:space="0" w:color="FFFFFF" w:themeColor="background1"/>
              <w:bottom w:val="single" w:sz="2" w:space="0" w:color="002279"/>
              <w:right w:val="single" w:sz="2" w:space="0" w:color="002279"/>
            </w:tcBorders>
            <w:shd w:val="clear" w:color="auto" w:fill="002279"/>
            <w:vAlign w:val="center"/>
          </w:tcPr>
          <w:p w14:paraId="3A4771C2" w14:textId="22141179" w:rsidR="009374B6" w:rsidRPr="00643AC8" w:rsidRDefault="009374B6" w:rsidP="009374B6">
            <w:pPr>
              <w:pStyle w:val="TableHeading"/>
              <w:jc w:val="center"/>
              <w:rPr>
                <w:rFonts w:asciiTheme="minorHAnsi" w:hAnsiTheme="minorHAnsi"/>
              </w:rPr>
            </w:pPr>
            <w:r w:rsidRPr="00643AC8">
              <w:rPr>
                <w:rFonts w:asciiTheme="minorHAnsi" w:hAnsiTheme="minorHAnsi"/>
              </w:rPr>
              <w:t>2027–28</w:t>
            </w:r>
            <w:r>
              <w:rPr>
                <w:rFonts w:asciiTheme="minorHAnsi" w:hAnsiTheme="minorHAnsi"/>
              </w:rPr>
              <w:t xml:space="preserve"> </w:t>
            </w:r>
            <w:r>
              <w:rPr>
                <w:rFonts w:asciiTheme="minorHAnsi" w:hAnsiTheme="minorHAnsi"/>
              </w:rPr>
              <w:br/>
              <w:t>target</w:t>
            </w:r>
          </w:p>
        </w:tc>
      </w:tr>
      <w:tr w:rsidR="007E2F8F" w:rsidRPr="00073E9C" w14:paraId="7ECA164B" w14:textId="77777777" w:rsidTr="006E2F9B">
        <w:trPr>
          <w:trHeight w:val="1269"/>
        </w:trPr>
        <w:tc>
          <w:tcPr>
            <w:tcW w:w="2123" w:type="dxa"/>
            <w:tcBorders>
              <w:top w:val="single" w:sz="2" w:space="0" w:color="002279"/>
              <w:left w:val="single" w:sz="2" w:space="0" w:color="002279"/>
              <w:bottom w:val="single" w:sz="2" w:space="0" w:color="002279"/>
              <w:right w:val="single" w:sz="2" w:space="0" w:color="002279"/>
            </w:tcBorders>
            <w:shd w:val="clear" w:color="auto" w:fill="D4D6DF"/>
            <w:vAlign w:val="center"/>
          </w:tcPr>
          <w:p w14:paraId="023C65F7" w14:textId="2CADFED8" w:rsidR="00AC3C2F" w:rsidRPr="002020E8" w:rsidRDefault="00AC3C2F" w:rsidP="00156644">
            <w:pPr>
              <w:pStyle w:val="TableText"/>
              <w:rPr>
                <w:rFonts w:ascii="Arial" w:hAnsi="Arial" w:cs="Arial"/>
                <w:szCs w:val="20"/>
              </w:rPr>
            </w:pPr>
            <w:r w:rsidRPr="002020E8">
              <w:rPr>
                <w:rFonts w:cs="Arial"/>
                <w:szCs w:val="20"/>
              </w:rPr>
              <w:t>Customer savings realised through repair of digital meter detected property leaks</w:t>
            </w:r>
          </w:p>
        </w:tc>
        <w:tc>
          <w:tcPr>
            <w:tcW w:w="2127" w:type="dxa"/>
            <w:tcBorders>
              <w:top w:val="single" w:sz="2" w:space="0" w:color="002279"/>
              <w:left w:val="single" w:sz="2" w:space="0" w:color="002279"/>
              <w:bottom w:val="single" w:sz="2" w:space="0" w:color="002279"/>
              <w:right w:val="single" w:sz="2" w:space="0" w:color="002279"/>
            </w:tcBorders>
            <w:shd w:val="clear" w:color="auto" w:fill="D4D6DF"/>
            <w:vAlign w:val="center"/>
          </w:tcPr>
          <w:p w14:paraId="622056F9" w14:textId="77777777" w:rsidR="00AC3C2F" w:rsidRPr="002020E8" w:rsidRDefault="00AC3C2F" w:rsidP="00360131">
            <w:pPr>
              <w:pStyle w:val="TableText"/>
              <w:jc w:val="center"/>
              <w:rPr>
                <w:rFonts w:ascii="Arial" w:hAnsi="Arial" w:cs="Arial"/>
                <w:szCs w:val="20"/>
              </w:rPr>
            </w:pPr>
            <w:r w:rsidRPr="002020E8">
              <w:rPr>
                <w:rFonts w:cs="Arial"/>
                <w:szCs w:val="20"/>
              </w:rPr>
              <w:t>New</w:t>
            </w:r>
          </w:p>
        </w:tc>
        <w:tc>
          <w:tcPr>
            <w:tcW w:w="1505" w:type="dxa"/>
            <w:tcBorders>
              <w:top w:val="single" w:sz="2" w:space="0" w:color="002279"/>
              <w:left w:val="single" w:sz="2" w:space="0" w:color="002279"/>
              <w:bottom w:val="single" w:sz="2" w:space="0" w:color="002279"/>
              <w:right w:val="single" w:sz="2" w:space="0" w:color="002279"/>
            </w:tcBorders>
            <w:shd w:val="clear" w:color="auto" w:fill="D4D6DF"/>
            <w:vAlign w:val="center"/>
          </w:tcPr>
          <w:p w14:paraId="0DB568AD" w14:textId="4BFA0023" w:rsidR="00AC3C2F" w:rsidRPr="002020E8" w:rsidRDefault="00254B62" w:rsidP="00360131">
            <w:pPr>
              <w:pStyle w:val="TableText"/>
              <w:jc w:val="center"/>
              <w:rPr>
                <w:rFonts w:ascii="Arial" w:hAnsi="Arial" w:cs="Arial"/>
                <w:szCs w:val="20"/>
              </w:rPr>
            </w:pPr>
            <w:r w:rsidRPr="002020E8">
              <w:rPr>
                <w:rFonts w:cs="Arial"/>
                <w:color w:val="auto"/>
                <w:szCs w:val="20"/>
              </w:rPr>
              <w:t>$585,700</w:t>
            </w:r>
          </w:p>
        </w:tc>
        <w:tc>
          <w:tcPr>
            <w:tcW w:w="1916" w:type="dxa"/>
            <w:tcBorders>
              <w:top w:val="single" w:sz="2" w:space="0" w:color="002279"/>
              <w:left w:val="single" w:sz="2" w:space="0" w:color="002279"/>
              <w:bottom w:val="single" w:sz="2" w:space="0" w:color="002279"/>
              <w:right w:val="single" w:sz="2" w:space="0" w:color="002279"/>
            </w:tcBorders>
            <w:shd w:val="clear" w:color="auto" w:fill="D4D6DF"/>
            <w:vAlign w:val="center"/>
          </w:tcPr>
          <w:p w14:paraId="5982FBCD" w14:textId="36B59BE8" w:rsidR="00AD5660" w:rsidRPr="002020E8" w:rsidRDefault="00AD5660" w:rsidP="00360131">
            <w:pPr>
              <w:pStyle w:val="TableText"/>
              <w:jc w:val="center"/>
              <w:rPr>
                <w:rFonts w:ascii="Arial" w:hAnsi="Arial" w:cs="Arial"/>
                <w:szCs w:val="20"/>
              </w:rPr>
            </w:pPr>
            <w:r w:rsidRPr="002020E8">
              <w:rPr>
                <w:rFonts w:cs="Arial"/>
                <w:szCs w:val="20"/>
              </w:rPr>
              <w:t>N/A</w:t>
            </w:r>
          </w:p>
        </w:tc>
        <w:tc>
          <w:tcPr>
            <w:tcW w:w="1916" w:type="dxa"/>
            <w:tcBorders>
              <w:top w:val="single" w:sz="2" w:space="0" w:color="002279"/>
              <w:left w:val="single" w:sz="2" w:space="0" w:color="002279"/>
              <w:bottom w:val="single" w:sz="2" w:space="0" w:color="002279"/>
              <w:right w:val="single" w:sz="2" w:space="0" w:color="002279"/>
            </w:tcBorders>
            <w:shd w:val="clear" w:color="auto" w:fill="D4D6DF"/>
            <w:vAlign w:val="center"/>
          </w:tcPr>
          <w:p w14:paraId="037D73A4" w14:textId="6A0CD6F6" w:rsidR="00AC3C2F" w:rsidRPr="002020E8" w:rsidRDefault="00AC3C2F" w:rsidP="00360131">
            <w:pPr>
              <w:pStyle w:val="TableText"/>
              <w:jc w:val="center"/>
              <w:rPr>
                <w:rFonts w:ascii="Arial" w:hAnsi="Arial" w:cs="Arial"/>
                <w:szCs w:val="20"/>
              </w:rPr>
            </w:pPr>
            <w:r w:rsidRPr="002020E8">
              <w:rPr>
                <w:rFonts w:cs="Arial"/>
                <w:szCs w:val="20"/>
              </w:rPr>
              <w:t>$</w:t>
            </w:r>
            <w:r w:rsidR="004D1594">
              <w:rPr>
                <w:rFonts w:cs="Arial"/>
                <w:szCs w:val="20"/>
              </w:rPr>
              <w:t>7</w:t>
            </w:r>
            <w:r w:rsidRPr="002020E8">
              <w:rPr>
                <w:rFonts w:cs="Arial"/>
                <w:szCs w:val="20"/>
              </w:rPr>
              <w:t>,</w:t>
            </w:r>
            <w:r w:rsidR="00756D4E">
              <w:rPr>
                <w:rFonts w:cs="Arial"/>
                <w:szCs w:val="20"/>
              </w:rPr>
              <w:t>793,723</w:t>
            </w:r>
          </w:p>
        </w:tc>
      </w:tr>
      <w:tr w:rsidR="002A3065" w:rsidRPr="00073E9C" w14:paraId="5831FFAC" w14:textId="77777777" w:rsidTr="006E2F9B">
        <w:trPr>
          <w:trHeight w:val="1117"/>
        </w:trPr>
        <w:tc>
          <w:tcPr>
            <w:tcW w:w="2123" w:type="dxa"/>
            <w:tcBorders>
              <w:top w:val="single" w:sz="2" w:space="0" w:color="002279"/>
              <w:left w:val="single" w:sz="2" w:space="0" w:color="002279"/>
              <w:bottom w:val="single" w:sz="2" w:space="0" w:color="002279"/>
              <w:right w:val="single" w:sz="2" w:space="0" w:color="002279"/>
            </w:tcBorders>
          </w:tcPr>
          <w:p w14:paraId="29C63289" w14:textId="77777777" w:rsidR="00AC3C2F" w:rsidRPr="002020E8" w:rsidRDefault="00AC3C2F" w:rsidP="006219D6">
            <w:pPr>
              <w:pStyle w:val="TableText"/>
              <w:rPr>
                <w:rFonts w:ascii="Arial" w:hAnsi="Arial" w:cs="Arial"/>
                <w:szCs w:val="20"/>
              </w:rPr>
            </w:pPr>
            <w:r w:rsidRPr="002020E8">
              <w:rPr>
                <w:rFonts w:cs="Arial"/>
                <w:szCs w:val="20"/>
              </w:rPr>
              <w:t>Customers notified per unplanned disruption as a percentage of total customers affected</w:t>
            </w:r>
          </w:p>
        </w:tc>
        <w:tc>
          <w:tcPr>
            <w:tcW w:w="2127" w:type="dxa"/>
            <w:tcBorders>
              <w:top w:val="single" w:sz="2" w:space="0" w:color="002279"/>
              <w:left w:val="single" w:sz="2" w:space="0" w:color="002279"/>
              <w:bottom w:val="single" w:sz="2" w:space="0" w:color="002279"/>
              <w:right w:val="single" w:sz="2" w:space="0" w:color="002279"/>
            </w:tcBorders>
            <w:vAlign w:val="center"/>
          </w:tcPr>
          <w:p w14:paraId="338D6BD7" w14:textId="614FA2FA" w:rsidR="00AC3C2F" w:rsidRPr="002020E8" w:rsidRDefault="00CB068B" w:rsidP="00A62088">
            <w:pPr>
              <w:pStyle w:val="TableText"/>
              <w:jc w:val="center"/>
              <w:rPr>
                <w:rFonts w:ascii="Arial" w:hAnsi="Arial" w:cs="Arial"/>
                <w:szCs w:val="20"/>
              </w:rPr>
            </w:pPr>
            <w:r w:rsidRPr="002020E8">
              <w:rPr>
                <w:rFonts w:cs="Arial"/>
                <w:szCs w:val="20"/>
              </w:rPr>
              <w:t>Existing</w:t>
            </w:r>
          </w:p>
        </w:tc>
        <w:tc>
          <w:tcPr>
            <w:tcW w:w="1505" w:type="dxa"/>
            <w:tcBorders>
              <w:top w:val="single" w:sz="2" w:space="0" w:color="002279"/>
              <w:left w:val="single" w:sz="2" w:space="0" w:color="002279"/>
              <w:bottom w:val="single" w:sz="2" w:space="0" w:color="002279"/>
              <w:right w:val="single" w:sz="2" w:space="0" w:color="002279"/>
            </w:tcBorders>
            <w:vAlign w:val="center"/>
          </w:tcPr>
          <w:p w14:paraId="536EE82D" w14:textId="2031A0B0" w:rsidR="00AC3C2F" w:rsidRPr="002020E8" w:rsidRDefault="0092104A" w:rsidP="00A62088">
            <w:pPr>
              <w:pStyle w:val="TableText"/>
              <w:jc w:val="center"/>
              <w:rPr>
                <w:rFonts w:ascii="Arial" w:hAnsi="Arial" w:cs="Arial"/>
                <w:szCs w:val="20"/>
              </w:rPr>
            </w:pPr>
            <w:r w:rsidRPr="002020E8">
              <w:rPr>
                <w:rFonts w:cs="Arial"/>
                <w:szCs w:val="20"/>
              </w:rPr>
              <w:t>7</w:t>
            </w:r>
            <w:r w:rsidR="00044A62" w:rsidRPr="002020E8">
              <w:rPr>
                <w:rFonts w:cs="Arial"/>
                <w:szCs w:val="20"/>
              </w:rPr>
              <w:t>1</w:t>
            </w:r>
            <w:r w:rsidR="00A7550F" w:rsidRPr="002020E8">
              <w:rPr>
                <w:rFonts w:cs="Arial"/>
                <w:szCs w:val="20"/>
              </w:rPr>
              <w:t>%</w:t>
            </w:r>
          </w:p>
        </w:tc>
        <w:tc>
          <w:tcPr>
            <w:tcW w:w="1916" w:type="dxa"/>
            <w:tcBorders>
              <w:top w:val="single" w:sz="2" w:space="0" w:color="002279"/>
              <w:left w:val="single" w:sz="2" w:space="0" w:color="002279"/>
              <w:bottom w:val="single" w:sz="2" w:space="0" w:color="002279"/>
              <w:right w:val="single" w:sz="2" w:space="0" w:color="002279"/>
            </w:tcBorders>
            <w:vAlign w:val="center"/>
          </w:tcPr>
          <w:p w14:paraId="3F474E67" w14:textId="4D805E37" w:rsidR="00B5167C" w:rsidRPr="002020E8" w:rsidRDefault="00B5167C" w:rsidP="00A62088">
            <w:pPr>
              <w:pStyle w:val="TableText"/>
              <w:jc w:val="center"/>
              <w:rPr>
                <w:rFonts w:ascii="Arial" w:hAnsi="Arial" w:cs="Arial"/>
                <w:szCs w:val="20"/>
              </w:rPr>
            </w:pPr>
            <w:r w:rsidRPr="002020E8">
              <w:rPr>
                <w:rFonts w:cs="Arial"/>
                <w:szCs w:val="20"/>
              </w:rPr>
              <w:t>63%</w:t>
            </w:r>
          </w:p>
        </w:tc>
        <w:tc>
          <w:tcPr>
            <w:tcW w:w="1916" w:type="dxa"/>
            <w:tcBorders>
              <w:top w:val="single" w:sz="2" w:space="0" w:color="002279"/>
              <w:left w:val="single" w:sz="2" w:space="0" w:color="002279"/>
              <w:bottom w:val="single" w:sz="2" w:space="0" w:color="002279"/>
              <w:right w:val="single" w:sz="2" w:space="0" w:color="002279"/>
            </w:tcBorders>
            <w:vAlign w:val="center"/>
          </w:tcPr>
          <w:p w14:paraId="60CDF4B7" w14:textId="7BD1EB93" w:rsidR="00AC3C2F" w:rsidRPr="002020E8" w:rsidRDefault="00AC3C2F" w:rsidP="00A62088">
            <w:pPr>
              <w:pStyle w:val="TableText"/>
              <w:jc w:val="center"/>
              <w:rPr>
                <w:rFonts w:ascii="Arial" w:hAnsi="Arial" w:cs="Arial"/>
                <w:szCs w:val="20"/>
              </w:rPr>
            </w:pPr>
            <w:r w:rsidRPr="002020E8">
              <w:rPr>
                <w:rFonts w:cs="Arial"/>
                <w:szCs w:val="20"/>
              </w:rPr>
              <w:t>75%</w:t>
            </w:r>
          </w:p>
        </w:tc>
      </w:tr>
      <w:tr w:rsidR="007E2F8F" w:rsidRPr="00073E9C" w14:paraId="5B3A9741" w14:textId="77777777" w:rsidTr="006E2F9B">
        <w:trPr>
          <w:trHeight w:val="863"/>
        </w:trPr>
        <w:tc>
          <w:tcPr>
            <w:tcW w:w="2123" w:type="dxa"/>
            <w:tcBorders>
              <w:top w:val="single" w:sz="2" w:space="0" w:color="002279"/>
              <w:left w:val="single" w:sz="2" w:space="0" w:color="002279"/>
              <w:bottom w:val="single" w:sz="2" w:space="0" w:color="002279"/>
              <w:right w:val="single" w:sz="2" w:space="0" w:color="002279"/>
            </w:tcBorders>
            <w:shd w:val="clear" w:color="auto" w:fill="D4D6DF"/>
          </w:tcPr>
          <w:p w14:paraId="112A589B" w14:textId="086A313B" w:rsidR="00AC3C2F" w:rsidRPr="002020E8" w:rsidRDefault="00AC3C2F" w:rsidP="00116E55">
            <w:pPr>
              <w:rPr>
                <w:rFonts w:ascii="Arial" w:hAnsi="Arial" w:cs="Arial"/>
                <w:szCs w:val="20"/>
              </w:rPr>
            </w:pPr>
            <w:r w:rsidRPr="002020E8">
              <w:rPr>
                <w:rFonts w:cs="Arial"/>
                <w:szCs w:val="20"/>
              </w:rPr>
              <w:t>Water literacy of South</w:t>
            </w:r>
            <w:r w:rsidR="00B16E3F" w:rsidRPr="002020E8">
              <w:rPr>
                <w:rFonts w:cs="Arial"/>
                <w:szCs w:val="20"/>
              </w:rPr>
              <w:t> </w:t>
            </w:r>
            <w:r w:rsidRPr="002020E8">
              <w:rPr>
                <w:rFonts w:cs="Arial"/>
                <w:szCs w:val="20"/>
              </w:rPr>
              <w:t>East Water customers</w:t>
            </w:r>
          </w:p>
        </w:tc>
        <w:tc>
          <w:tcPr>
            <w:tcW w:w="2127" w:type="dxa"/>
            <w:tcBorders>
              <w:top w:val="single" w:sz="2" w:space="0" w:color="002279"/>
              <w:left w:val="single" w:sz="2" w:space="0" w:color="002279"/>
              <w:bottom w:val="single" w:sz="2" w:space="0" w:color="002279"/>
              <w:right w:val="single" w:sz="2" w:space="0" w:color="002279"/>
            </w:tcBorders>
            <w:shd w:val="clear" w:color="auto" w:fill="D4D6DF"/>
            <w:vAlign w:val="center"/>
          </w:tcPr>
          <w:p w14:paraId="2095F419" w14:textId="77777777" w:rsidR="00AC3C2F" w:rsidRPr="002020E8" w:rsidRDefault="00AC3C2F" w:rsidP="00A62088">
            <w:pPr>
              <w:pStyle w:val="TableText"/>
              <w:jc w:val="center"/>
              <w:rPr>
                <w:rFonts w:ascii="Arial" w:hAnsi="Arial" w:cs="Arial"/>
                <w:szCs w:val="20"/>
              </w:rPr>
            </w:pPr>
            <w:r w:rsidRPr="002020E8">
              <w:rPr>
                <w:rFonts w:cs="Arial"/>
                <w:szCs w:val="20"/>
              </w:rPr>
              <w:t>New</w:t>
            </w:r>
          </w:p>
        </w:tc>
        <w:tc>
          <w:tcPr>
            <w:tcW w:w="1505" w:type="dxa"/>
            <w:tcBorders>
              <w:top w:val="single" w:sz="2" w:space="0" w:color="002279"/>
              <w:left w:val="single" w:sz="2" w:space="0" w:color="002279"/>
              <w:bottom w:val="single" w:sz="2" w:space="0" w:color="002279"/>
              <w:right w:val="single" w:sz="2" w:space="0" w:color="002279"/>
            </w:tcBorders>
            <w:shd w:val="clear" w:color="auto" w:fill="D4D6DF"/>
            <w:vAlign w:val="center"/>
          </w:tcPr>
          <w:p w14:paraId="33C228FE" w14:textId="5E124933" w:rsidR="00AC3C2F" w:rsidRPr="002020E8" w:rsidRDefault="000A5C78" w:rsidP="00A62088">
            <w:pPr>
              <w:pStyle w:val="TableText"/>
              <w:jc w:val="center"/>
              <w:rPr>
                <w:rFonts w:ascii="Arial" w:hAnsi="Arial" w:cs="Arial"/>
                <w:color w:val="auto"/>
                <w:szCs w:val="20"/>
              </w:rPr>
            </w:pPr>
            <w:r>
              <w:rPr>
                <w:rFonts w:cs="Arial"/>
                <w:color w:val="auto"/>
                <w:szCs w:val="20"/>
              </w:rPr>
              <w:t>N/A</w:t>
            </w:r>
          </w:p>
        </w:tc>
        <w:tc>
          <w:tcPr>
            <w:tcW w:w="1916" w:type="dxa"/>
            <w:tcBorders>
              <w:top w:val="single" w:sz="2" w:space="0" w:color="002279"/>
              <w:left w:val="single" w:sz="2" w:space="0" w:color="002279"/>
              <w:bottom w:val="single" w:sz="2" w:space="0" w:color="002279"/>
              <w:right w:val="single" w:sz="2" w:space="0" w:color="002279"/>
            </w:tcBorders>
            <w:shd w:val="clear" w:color="auto" w:fill="D4D6DF"/>
            <w:vAlign w:val="center"/>
          </w:tcPr>
          <w:p w14:paraId="4FD7B40E" w14:textId="1A1F062C" w:rsidR="00D87653" w:rsidRPr="002020E8" w:rsidRDefault="00D87653" w:rsidP="00A62088">
            <w:pPr>
              <w:pStyle w:val="TableText"/>
              <w:jc w:val="center"/>
              <w:rPr>
                <w:rFonts w:ascii="Arial" w:hAnsi="Arial" w:cs="Arial"/>
                <w:color w:val="auto"/>
                <w:szCs w:val="20"/>
              </w:rPr>
            </w:pPr>
            <w:r w:rsidRPr="002020E8">
              <w:rPr>
                <w:rFonts w:cs="Arial"/>
                <w:color w:val="auto"/>
                <w:szCs w:val="20"/>
              </w:rPr>
              <w:t>N/A</w:t>
            </w:r>
          </w:p>
        </w:tc>
        <w:tc>
          <w:tcPr>
            <w:tcW w:w="1916" w:type="dxa"/>
            <w:tcBorders>
              <w:top w:val="single" w:sz="2" w:space="0" w:color="002279"/>
              <w:left w:val="single" w:sz="2" w:space="0" w:color="002279"/>
              <w:bottom w:val="single" w:sz="2" w:space="0" w:color="002279"/>
              <w:right w:val="single" w:sz="2" w:space="0" w:color="002279"/>
            </w:tcBorders>
            <w:shd w:val="clear" w:color="auto" w:fill="D4D6DF"/>
            <w:vAlign w:val="center"/>
          </w:tcPr>
          <w:p w14:paraId="3AAB5DCF" w14:textId="24FAF6C5" w:rsidR="00AC3C2F" w:rsidRPr="002020E8" w:rsidRDefault="000A5C78" w:rsidP="00A62088">
            <w:pPr>
              <w:pStyle w:val="TableText"/>
              <w:jc w:val="center"/>
              <w:rPr>
                <w:rFonts w:ascii="Arial" w:hAnsi="Arial" w:cs="Arial"/>
                <w:color w:val="auto"/>
                <w:szCs w:val="20"/>
              </w:rPr>
            </w:pPr>
            <w:r>
              <w:rPr>
                <w:rFonts w:cs="Arial"/>
                <w:color w:val="auto"/>
                <w:szCs w:val="20"/>
              </w:rPr>
              <w:t>31</w:t>
            </w:r>
            <w:r w:rsidR="00855175" w:rsidRPr="002020E8">
              <w:rPr>
                <w:rFonts w:cs="Arial"/>
                <w:color w:val="auto"/>
                <w:szCs w:val="20"/>
              </w:rPr>
              <w:t>%</w:t>
            </w:r>
          </w:p>
        </w:tc>
      </w:tr>
      <w:tr w:rsidR="00C75CD3" w:rsidRPr="00073E9C" w14:paraId="58CB3737" w14:textId="77777777" w:rsidTr="006E2F9B">
        <w:trPr>
          <w:trHeight w:val="556"/>
        </w:trPr>
        <w:tc>
          <w:tcPr>
            <w:tcW w:w="9587" w:type="dxa"/>
            <w:gridSpan w:val="5"/>
            <w:tcBorders>
              <w:top w:val="single" w:sz="2" w:space="0" w:color="002279"/>
              <w:left w:val="single" w:sz="2" w:space="0" w:color="002279"/>
              <w:bottom w:val="single" w:sz="2" w:space="0" w:color="002279"/>
              <w:right w:val="single" w:sz="2" w:space="0" w:color="002279"/>
            </w:tcBorders>
            <w:shd w:val="clear" w:color="auto" w:fill="002279"/>
            <w:vAlign w:val="center"/>
          </w:tcPr>
          <w:p w14:paraId="71C97645" w14:textId="1A045340" w:rsidR="00AC3C2F" w:rsidRPr="002020E8" w:rsidRDefault="00AC3C2F" w:rsidP="00B74EB0">
            <w:pPr>
              <w:pStyle w:val="TableText"/>
              <w:jc w:val="center"/>
              <w:rPr>
                <w:rFonts w:ascii="Arial" w:hAnsi="Arial" w:cs="Arial"/>
                <w:b/>
                <w:color w:val="FFFFFF" w:themeColor="background1"/>
                <w:szCs w:val="20"/>
              </w:rPr>
            </w:pPr>
            <w:r w:rsidRPr="002020E8">
              <w:rPr>
                <w:rFonts w:cs="Arial"/>
                <w:b/>
                <w:color w:val="FFFFFF" w:themeColor="background1"/>
                <w:szCs w:val="20"/>
              </w:rPr>
              <w:t>Key</w:t>
            </w:r>
            <w:r w:rsidR="00156644" w:rsidRPr="002020E8">
              <w:rPr>
                <w:rFonts w:ascii="Arial" w:hAnsi="Arial" w:cs="Arial"/>
                <w:b/>
                <w:color w:val="FFFFFF" w:themeColor="background1"/>
                <w:szCs w:val="20"/>
              </w:rPr>
              <w:t xml:space="preserve"> supporting actions, activities and programs</w:t>
            </w:r>
            <w:r w:rsidRPr="002020E8">
              <w:rPr>
                <w:rFonts w:cs="Arial"/>
                <w:b/>
                <w:color w:val="FFFFFF" w:themeColor="background1"/>
                <w:szCs w:val="20"/>
              </w:rPr>
              <w:t xml:space="preserve"> </w:t>
            </w:r>
          </w:p>
        </w:tc>
      </w:tr>
      <w:tr w:rsidR="000665E6" w:rsidRPr="00073E9C" w14:paraId="678494D1" w14:textId="77777777" w:rsidTr="006E2F9B">
        <w:trPr>
          <w:trHeight w:val="1331"/>
        </w:trPr>
        <w:tc>
          <w:tcPr>
            <w:tcW w:w="9587" w:type="dxa"/>
            <w:gridSpan w:val="5"/>
            <w:tcBorders>
              <w:top w:val="single" w:sz="2" w:space="0" w:color="002279"/>
              <w:left w:val="single" w:sz="2" w:space="0" w:color="002279"/>
              <w:bottom w:val="single" w:sz="2" w:space="0" w:color="002279"/>
              <w:right w:val="single" w:sz="2" w:space="0" w:color="002279"/>
            </w:tcBorders>
          </w:tcPr>
          <w:p w14:paraId="07122674" w14:textId="69381F46" w:rsidR="00AC3C2F" w:rsidRPr="002020E8" w:rsidRDefault="00AC3C2F" w:rsidP="006219D6">
            <w:pPr>
              <w:pStyle w:val="TableText"/>
              <w:jc w:val="center"/>
              <w:rPr>
                <w:rFonts w:ascii="Arial" w:hAnsi="Arial" w:cs="Arial"/>
                <w:szCs w:val="20"/>
              </w:rPr>
            </w:pPr>
            <w:r w:rsidRPr="002020E8">
              <w:rPr>
                <w:rFonts w:cs="Arial"/>
                <w:szCs w:val="20"/>
              </w:rPr>
              <w:t>Digital utility</w:t>
            </w:r>
          </w:p>
          <w:p w14:paraId="5E59F213" w14:textId="77777777" w:rsidR="00AC3C2F" w:rsidRPr="002020E8" w:rsidRDefault="00AC3C2F" w:rsidP="006219D6">
            <w:pPr>
              <w:pStyle w:val="TableText"/>
              <w:jc w:val="center"/>
              <w:rPr>
                <w:rFonts w:ascii="Arial" w:hAnsi="Arial" w:cs="Arial"/>
                <w:szCs w:val="20"/>
              </w:rPr>
            </w:pPr>
            <w:r w:rsidRPr="002020E8">
              <w:rPr>
                <w:rFonts w:cs="Arial"/>
                <w:szCs w:val="20"/>
              </w:rPr>
              <w:t>Digital metering</w:t>
            </w:r>
          </w:p>
          <w:p w14:paraId="3BA8BD1C" w14:textId="77777777" w:rsidR="00AC3C2F" w:rsidRPr="002020E8" w:rsidRDefault="00AC3C2F" w:rsidP="006219D6">
            <w:pPr>
              <w:pStyle w:val="TableText"/>
              <w:jc w:val="center"/>
              <w:rPr>
                <w:rFonts w:ascii="Arial" w:hAnsi="Arial" w:cs="Arial"/>
                <w:szCs w:val="20"/>
              </w:rPr>
            </w:pPr>
            <w:r w:rsidRPr="002020E8">
              <w:rPr>
                <w:rFonts w:cs="Arial"/>
                <w:szCs w:val="20"/>
              </w:rPr>
              <w:t>Customer information systems</w:t>
            </w:r>
          </w:p>
          <w:p w14:paraId="536BBED3" w14:textId="354D0712" w:rsidR="00AC3C2F" w:rsidRPr="002020E8" w:rsidRDefault="00AC3C2F" w:rsidP="006219D6">
            <w:pPr>
              <w:pStyle w:val="TableText"/>
              <w:jc w:val="center"/>
              <w:rPr>
                <w:rFonts w:ascii="Arial" w:hAnsi="Arial" w:cs="Arial"/>
                <w:szCs w:val="20"/>
              </w:rPr>
            </w:pPr>
            <w:r w:rsidRPr="002020E8">
              <w:rPr>
                <w:rFonts w:cs="Arial"/>
                <w:szCs w:val="20"/>
              </w:rPr>
              <w:t>Customer education programs and monitoring of knowledge levels</w:t>
            </w:r>
          </w:p>
        </w:tc>
      </w:tr>
    </w:tbl>
    <w:p w14:paraId="644E12E7" w14:textId="77777777" w:rsidR="00AC3C2F" w:rsidRDefault="00AC3C2F" w:rsidP="00AC3C2F"/>
    <w:p w14:paraId="22382739" w14:textId="65A65B13" w:rsidR="00AC3C2F" w:rsidRDefault="00AC3C2F" w:rsidP="00AC3C2F">
      <w:r>
        <w:t xml:space="preserve">The </w:t>
      </w:r>
      <w:r w:rsidRPr="00083EB3">
        <w:rPr>
          <w:i/>
          <w:iCs/>
        </w:rPr>
        <w:t xml:space="preserve">Warn me, inform me </w:t>
      </w:r>
      <w:r w:rsidRPr="00083EB3">
        <w:t xml:space="preserve">output </w:t>
      </w:r>
      <w:r>
        <w:t>measures have been modified to ensure that customer</w:t>
      </w:r>
      <w:r w:rsidR="00A91237">
        <w:t>s</w:t>
      </w:r>
      <w:r>
        <w:t xml:space="preserve"> receive the intended outcomes from the investment in digital utility capability</w:t>
      </w:r>
      <w:r w:rsidR="002B2185">
        <w:t>,</w:t>
      </w:r>
      <w:r>
        <w:t xml:space="preserve"> and in response to customer feedback that valued improved water literacy.</w:t>
      </w:r>
    </w:p>
    <w:p w14:paraId="5F45807C" w14:textId="77777777" w:rsidR="00AC3C2F" w:rsidRDefault="00AC3C2F" w:rsidP="00AC3C2F">
      <w:r>
        <w:t>Discontinued outcome measures from the current period are:</w:t>
      </w:r>
    </w:p>
    <w:p w14:paraId="085EF988" w14:textId="32FA8116" w:rsidR="00AC3C2F" w:rsidRPr="00832D48" w:rsidRDefault="00903400" w:rsidP="00702250">
      <w:pPr>
        <w:pStyle w:val="Bulletlistmultilevel"/>
        <w:numPr>
          <w:ilvl w:val="0"/>
          <w:numId w:val="4"/>
        </w:numPr>
        <w:rPr>
          <w:sz w:val="24"/>
          <w:szCs w:val="24"/>
        </w:rPr>
      </w:pPr>
      <w:r>
        <w:rPr>
          <w:sz w:val="24"/>
          <w:szCs w:val="24"/>
        </w:rPr>
        <w:t>a</w:t>
      </w:r>
      <w:r w:rsidR="00AC3C2F" w:rsidRPr="00832D48">
        <w:rPr>
          <w:sz w:val="24"/>
          <w:szCs w:val="24"/>
        </w:rPr>
        <w:t>verage duration of unplanned water supply interruptions</w:t>
      </w:r>
      <w:r w:rsidR="00090AB3">
        <w:rPr>
          <w:sz w:val="24"/>
          <w:szCs w:val="24"/>
        </w:rPr>
        <w:t xml:space="preserve"> (</w:t>
      </w:r>
      <w:r w:rsidR="00AC3C2F" w:rsidRPr="00832D48">
        <w:rPr>
          <w:sz w:val="24"/>
          <w:szCs w:val="24"/>
        </w:rPr>
        <w:t>noting that Outcome 1 retains an output measure related to unplanned interruption frequency</w:t>
      </w:r>
      <w:r w:rsidR="00090AB3">
        <w:rPr>
          <w:sz w:val="24"/>
          <w:szCs w:val="24"/>
        </w:rPr>
        <w:t>)</w:t>
      </w:r>
    </w:p>
    <w:p w14:paraId="3E9779C6" w14:textId="2A5C0B8A" w:rsidR="00AC3C2F" w:rsidRPr="00832D48" w:rsidRDefault="00903400" w:rsidP="00702250">
      <w:pPr>
        <w:pStyle w:val="Bulletlistmultilevel"/>
        <w:numPr>
          <w:ilvl w:val="0"/>
          <w:numId w:val="4"/>
        </w:numPr>
        <w:rPr>
          <w:sz w:val="24"/>
          <w:szCs w:val="24"/>
        </w:rPr>
      </w:pPr>
      <w:r>
        <w:rPr>
          <w:sz w:val="24"/>
          <w:szCs w:val="24"/>
        </w:rPr>
        <w:t>p</w:t>
      </w:r>
      <w:r w:rsidR="00AC3C2F" w:rsidRPr="00832D48">
        <w:rPr>
          <w:sz w:val="24"/>
          <w:szCs w:val="24"/>
        </w:rPr>
        <w:t xml:space="preserve">ercentage of customers impacted by </w:t>
      </w:r>
      <w:r w:rsidR="00DA704A">
        <w:rPr>
          <w:sz w:val="24"/>
          <w:szCs w:val="24"/>
        </w:rPr>
        <w:t xml:space="preserve">an </w:t>
      </w:r>
      <w:r w:rsidR="00AC3C2F" w:rsidRPr="00832D48">
        <w:rPr>
          <w:sz w:val="24"/>
          <w:szCs w:val="24"/>
        </w:rPr>
        <w:t>unplanned water supply interruption in peak times</w:t>
      </w:r>
    </w:p>
    <w:p w14:paraId="54277094" w14:textId="0C96F581" w:rsidR="00AC3C2F" w:rsidRPr="00832D48" w:rsidRDefault="00903400" w:rsidP="00702250">
      <w:pPr>
        <w:pStyle w:val="Bulletlistmultilevel"/>
        <w:numPr>
          <w:ilvl w:val="0"/>
          <w:numId w:val="4"/>
        </w:numPr>
        <w:rPr>
          <w:sz w:val="24"/>
          <w:szCs w:val="24"/>
        </w:rPr>
      </w:pPr>
      <w:r>
        <w:rPr>
          <w:sz w:val="24"/>
          <w:szCs w:val="24"/>
        </w:rPr>
        <w:t>p</w:t>
      </w:r>
      <w:r w:rsidR="00AC3C2F" w:rsidRPr="00832D48">
        <w:rPr>
          <w:sz w:val="24"/>
          <w:szCs w:val="24"/>
        </w:rPr>
        <w:t>ercentage of planned water interruptions restored within notification period.</w:t>
      </w:r>
    </w:p>
    <w:p w14:paraId="11FF63F2" w14:textId="446F45C1" w:rsidR="000D10ED" w:rsidRPr="00832D48" w:rsidRDefault="000D10ED" w:rsidP="000D10ED">
      <w:pPr>
        <w:pStyle w:val="Bulletlistmultilevel"/>
        <w:ind w:left="0" w:firstLine="0"/>
        <w:rPr>
          <w:sz w:val="24"/>
          <w:szCs w:val="24"/>
        </w:rPr>
      </w:pPr>
      <w:r w:rsidRPr="006D17CF">
        <w:rPr>
          <w:rFonts w:cstheme="minorHAnsi"/>
          <w:sz w:val="24"/>
          <w:szCs w:val="24"/>
        </w:rPr>
        <w:t xml:space="preserve">Each of these </w:t>
      </w:r>
      <w:r w:rsidR="00527393" w:rsidRPr="006D17CF">
        <w:rPr>
          <w:rFonts w:cstheme="minorHAnsi"/>
          <w:sz w:val="24"/>
          <w:szCs w:val="24"/>
        </w:rPr>
        <w:t>discontinued measures remain</w:t>
      </w:r>
      <w:r w:rsidR="00E609B0">
        <w:rPr>
          <w:rFonts w:cstheme="minorHAnsi"/>
          <w:sz w:val="24"/>
          <w:szCs w:val="24"/>
        </w:rPr>
        <w:t>s</w:t>
      </w:r>
      <w:r w:rsidR="00527393" w:rsidRPr="006D17CF">
        <w:rPr>
          <w:rFonts w:cstheme="minorHAnsi"/>
          <w:sz w:val="24"/>
          <w:szCs w:val="24"/>
        </w:rPr>
        <w:t xml:space="preserve"> as operation</w:t>
      </w:r>
      <w:r w:rsidR="00BC6C06" w:rsidRPr="006D17CF">
        <w:rPr>
          <w:rFonts w:cstheme="minorHAnsi"/>
          <w:sz w:val="24"/>
          <w:szCs w:val="24"/>
        </w:rPr>
        <w:t>al</w:t>
      </w:r>
      <w:r w:rsidR="00527393" w:rsidRPr="006D17CF">
        <w:rPr>
          <w:rFonts w:cstheme="minorHAnsi"/>
          <w:sz w:val="24"/>
          <w:szCs w:val="24"/>
        </w:rPr>
        <w:t xml:space="preserve"> performance measures </w:t>
      </w:r>
      <w:r w:rsidR="00BC6C06" w:rsidRPr="006D17CF">
        <w:rPr>
          <w:rFonts w:cstheme="minorHAnsi"/>
          <w:sz w:val="24"/>
          <w:szCs w:val="24"/>
        </w:rPr>
        <w:t xml:space="preserve">that underpin </w:t>
      </w:r>
      <w:r w:rsidR="00F55789" w:rsidRPr="006D17CF">
        <w:rPr>
          <w:rFonts w:cstheme="minorHAnsi"/>
          <w:sz w:val="24"/>
          <w:szCs w:val="24"/>
        </w:rPr>
        <w:t>our service standards</w:t>
      </w:r>
      <w:r w:rsidR="00903400">
        <w:rPr>
          <w:rFonts w:cstheme="minorHAnsi"/>
          <w:sz w:val="24"/>
          <w:szCs w:val="24"/>
        </w:rPr>
        <w:t>;</w:t>
      </w:r>
      <w:r w:rsidR="00F55789" w:rsidRPr="006D17CF">
        <w:rPr>
          <w:rFonts w:cstheme="minorHAnsi"/>
          <w:sz w:val="24"/>
          <w:szCs w:val="24"/>
        </w:rPr>
        <w:t xml:space="preserve"> however</w:t>
      </w:r>
      <w:r w:rsidR="00903400">
        <w:rPr>
          <w:rFonts w:cstheme="minorHAnsi"/>
          <w:sz w:val="24"/>
          <w:szCs w:val="24"/>
        </w:rPr>
        <w:t>, they</w:t>
      </w:r>
      <w:r w:rsidR="00F55789" w:rsidRPr="006D17CF">
        <w:rPr>
          <w:rFonts w:cstheme="minorHAnsi"/>
          <w:sz w:val="24"/>
          <w:szCs w:val="24"/>
        </w:rPr>
        <w:t xml:space="preserve"> were </w:t>
      </w:r>
      <w:r w:rsidR="00141C90" w:rsidRPr="006D17CF">
        <w:rPr>
          <w:rFonts w:cstheme="minorHAnsi"/>
          <w:sz w:val="24"/>
          <w:szCs w:val="24"/>
        </w:rPr>
        <w:t xml:space="preserve">found to not </w:t>
      </w:r>
      <w:r w:rsidR="00620798" w:rsidRPr="006D17CF">
        <w:rPr>
          <w:rFonts w:cstheme="minorHAnsi"/>
          <w:sz w:val="24"/>
          <w:szCs w:val="24"/>
        </w:rPr>
        <w:t>directly measure our customer panel recommendations and areas of greatest</w:t>
      </w:r>
      <w:r w:rsidR="00E7505E" w:rsidRPr="006D17CF">
        <w:rPr>
          <w:rFonts w:cstheme="minorHAnsi"/>
          <w:sz w:val="24"/>
          <w:szCs w:val="24"/>
        </w:rPr>
        <w:t xml:space="preserve"> interest.</w:t>
      </w:r>
    </w:p>
    <w:p w14:paraId="2AA9970F" w14:textId="66375AF0" w:rsidR="00F23A7A" w:rsidRDefault="003E53A8" w:rsidP="000D10ED">
      <w:pPr>
        <w:pStyle w:val="Bulletlistmultilevel"/>
        <w:ind w:left="0" w:firstLine="0"/>
        <w:rPr>
          <w:sz w:val="24"/>
          <w:szCs w:val="24"/>
        </w:rPr>
      </w:pPr>
      <w:r>
        <w:rPr>
          <w:sz w:val="24"/>
          <w:szCs w:val="24"/>
        </w:rPr>
        <w:t xml:space="preserve">Two additional output measures </w:t>
      </w:r>
      <w:r w:rsidR="000C2EDE">
        <w:rPr>
          <w:sz w:val="24"/>
          <w:szCs w:val="24"/>
        </w:rPr>
        <w:t>have been added under Out</w:t>
      </w:r>
      <w:r w:rsidR="003263BE">
        <w:rPr>
          <w:sz w:val="24"/>
          <w:szCs w:val="24"/>
        </w:rPr>
        <w:t xml:space="preserve">come </w:t>
      </w:r>
      <w:r w:rsidR="00C16DC8">
        <w:rPr>
          <w:sz w:val="24"/>
          <w:szCs w:val="24"/>
        </w:rPr>
        <w:t>2</w:t>
      </w:r>
      <w:r w:rsidR="003263BE">
        <w:rPr>
          <w:sz w:val="24"/>
          <w:szCs w:val="24"/>
        </w:rPr>
        <w:t>, relating to</w:t>
      </w:r>
      <w:r w:rsidR="00FD50AF">
        <w:rPr>
          <w:sz w:val="24"/>
          <w:szCs w:val="24"/>
        </w:rPr>
        <w:t xml:space="preserve">: </w:t>
      </w:r>
    </w:p>
    <w:p w14:paraId="7787324A" w14:textId="1654FDCE" w:rsidR="003263BE" w:rsidRPr="006D17CF" w:rsidRDefault="00903400">
      <w:pPr>
        <w:pStyle w:val="TableNumber"/>
        <w:numPr>
          <w:ilvl w:val="0"/>
          <w:numId w:val="22"/>
        </w:numPr>
        <w:rPr>
          <w:rFonts w:asciiTheme="minorHAnsi" w:hAnsiTheme="minorHAnsi" w:cstheme="minorHAnsi"/>
          <w:sz w:val="24"/>
          <w:szCs w:val="24"/>
        </w:rPr>
      </w:pPr>
      <w:r>
        <w:rPr>
          <w:rFonts w:asciiTheme="minorHAnsi" w:hAnsiTheme="minorHAnsi" w:cstheme="minorHAnsi"/>
          <w:sz w:val="24"/>
          <w:szCs w:val="24"/>
        </w:rPr>
        <w:t>t</w:t>
      </w:r>
      <w:r w:rsidR="003263BE" w:rsidRPr="006D17CF">
        <w:rPr>
          <w:rFonts w:asciiTheme="minorHAnsi" w:hAnsiTheme="minorHAnsi" w:cstheme="minorHAnsi"/>
          <w:sz w:val="24"/>
          <w:szCs w:val="24"/>
        </w:rPr>
        <w:t xml:space="preserve">he </w:t>
      </w:r>
      <w:r w:rsidR="0013293C" w:rsidRPr="006D17CF">
        <w:rPr>
          <w:rFonts w:asciiTheme="minorHAnsi" w:hAnsiTheme="minorHAnsi" w:cstheme="minorHAnsi"/>
          <w:sz w:val="24"/>
          <w:szCs w:val="24"/>
        </w:rPr>
        <w:t>customer savings (benefits) realised through digital meter detected property leaks</w:t>
      </w:r>
    </w:p>
    <w:p w14:paraId="172E407F" w14:textId="55997431" w:rsidR="003263BE" w:rsidRPr="006D17CF" w:rsidRDefault="00903400">
      <w:pPr>
        <w:pStyle w:val="TableNumber"/>
        <w:numPr>
          <w:ilvl w:val="0"/>
          <w:numId w:val="22"/>
        </w:numPr>
        <w:rPr>
          <w:rFonts w:asciiTheme="minorHAnsi" w:hAnsiTheme="minorHAnsi" w:cstheme="minorHAnsi"/>
          <w:sz w:val="24"/>
          <w:szCs w:val="24"/>
        </w:rPr>
      </w:pPr>
      <w:r>
        <w:rPr>
          <w:rFonts w:asciiTheme="minorHAnsi" w:hAnsiTheme="minorHAnsi" w:cstheme="minorHAnsi"/>
          <w:sz w:val="24"/>
          <w:szCs w:val="24"/>
        </w:rPr>
        <w:t>l</w:t>
      </w:r>
      <w:r w:rsidR="007D4B51" w:rsidRPr="006D17CF">
        <w:rPr>
          <w:rFonts w:asciiTheme="minorHAnsi" w:hAnsiTheme="minorHAnsi" w:cstheme="minorHAnsi"/>
          <w:sz w:val="24"/>
          <w:szCs w:val="24"/>
        </w:rPr>
        <w:t>evel of water literacy across our service area.</w:t>
      </w:r>
    </w:p>
    <w:p w14:paraId="4427B417" w14:textId="77777777" w:rsidR="006D17CF" w:rsidRDefault="006D17CF" w:rsidP="006D17CF">
      <w:pPr>
        <w:pStyle w:val="TableNumber"/>
        <w:rPr>
          <w:rFonts w:asciiTheme="minorHAnsi" w:hAnsiTheme="minorHAnsi" w:cstheme="minorHAnsi"/>
          <w:sz w:val="24"/>
          <w:szCs w:val="24"/>
        </w:rPr>
      </w:pPr>
    </w:p>
    <w:p w14:paraId="0EB742E8" w14:textId="762298F5" w:rsidR="007D4B51" w:rsidRPr="006D17CF" w:rsidRDefault="007D4B51" w:rsidP="00AA3218">
      <w:pPr>
        <w:pStyle w:val="TableNumber"/>
        <w:rPr>
          <w:rFonts w:cstheme="minorHAnsi"/>
          <w:sz w:val="24"/>
          <w:szCs w:val="24"/>
        </w:rPr>
      </w:pPr>
      <w:r w:rsidRPr="006D17CF">
        <w:rPr>
          <w:rFonts w:asciiTheme="minorHAnsi" w:hAnsiTheme="minorHAnsi" w:cstheme="minorHAnsi"/>
          <w:sz w:val="24"/>
          <w:szCs w:val="24"/>
        </w:rPr>
        <w:t>The new output measures have been developed to directly report back to customers on key areas discussed and endorsed during our engagement program</w:t>
      </w:r>
      <w:r w:rsidR="00665585" w:rsidRPr="006D17CF">
        <w:rPr>
          <w:rFonts w:asciiTheme="minorHAnsi" w:hAnsiTheme="minorHAnsi" w:cstheme="minorHAnsi"/>
          <w:sz w:val="24"/>
          <w:szCs w:val="24"/>
        </w:rPr>
        <w:t xml:space="preserve"> and</w:t>
      </w:r>
      <w:r w:rsidR="00665585">
        <w:rPr>
          <w:rFonts w:asciiTheme="minorHAnsi" w:hAnsiTheme="minorHAnsi" w:cstheme="minorHAnsi"/>
          <w:sz w:val="24"/>
          <w:szCs w:val="24"/>
        </w:rPr>
        <w:t xml:space="preserve"> </w:t>
      </w:r>
      <w:r w:rsidR="0013293C" w:rsidRPr="006D17CF">
        <w:rPr>
          <w:rFonts w:asciiTheme="minorHAnsi" w:hAnsiTheme="minorHAnsi" w:cstheme="minorHAnsi"/>
          <w:sz w:val="24"/>
          <w:szCs w:val="24"/>
        </w:rPr>
        <w:t>align with the c</w:t>
      </w:r>
      <w:r w:rsidR="00FD50AF">
        <w:rPr>
          <w:rFonts w:asciiTheme="minorHAnsi" w:hAnsiTheme="minorHAnsi" w:cstheme="minorHAnsi"/>
          <w:sz w:val="24"/>
          <w:szCs w:val="24"/>
        </w:rPr>
        <w:t>ommunity</w:t>
      </w:r>
      <w:r w:rsidR="0013293C" w:rsidRPr="006D17CF">
        <w:rPr>
          <w:rFonts w:asciiTheme="minorHAnsi" w:hAnsiTheme="minorHAnsi" w:cstheme="minorHAnsi"/>
          <w:sz w:val="24"/>
          <w:szCs w:val="24"/>
        </w:rPr>
        <w:t xml:space="preserve"> panel recommendations.</w:t>
      </w:r>
    </w:p>
    <w:p w14:paraId="29938E05" w14:textId="401FFA9A" w:rsidR="00776517" w:rsidRDefault="00AC3C2F" w:rsidP="00827E57">
      <w:pPr>
        <w:pStyle w:val="Heading3"/>
        <w:rPr>
          <w:i/>
        </w:rPr>
      </w:pPr>
      <w:r>
        <w:t xml:space="preserve">Outcome 3: </w:t>
      </w:r>
      <w:r w:rsidRPr="009C43A0">
        <w:rPr>
          <w:i/>
        </w:rPr>
        <w:t>Fair and affordable for all</w:t>
      </w:r>
    </w:p>
    <w:p w14:paraId="323A2149" w14:textId="25DDAFD4" w:rsidR="00156644" w:rsidRDefault="007349FD" w:rsidP="00156644">
      <w:pPr>
        <w:pStyle w:val="BodyText"/>
      </w:pPr>
      <w:r>
        <w:rPr>
          <w:noProof/>
        </w:rPr>
        <mc:AlternateContent>
          <mc:Choice Requires="wps">
            <w:drawing>
              <wp:anchor distT="0" distB="0" distL="114300" distR="114300" simplePos="0" relativeHeight="251658266" behindDoc="1" locked="0" layoutInCell="1" allowOverlap="1" wp14:anchorId="2F8D895B" wp14:editId="676ED5FF">
                <wp:simplePos x="0" y="0"/>
                <wp:positionH relativeFrom="margin">
                  <wp:align>right</wp:align>
                </wp:positionH>
                <wp:positionV relativeFrom="paragraph">
                  <wp:posOffset>50788</wp:posOffset>
                </wp:positionV>
                <wp:extent cx="6098875" cy="2115671"/>
                <wp:effectExtent l="0" t="0" r="0" b="0"/>
                <wp:wrapNone/>
                <wp:docPr id="980" name="Rectangle 9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8875" cy="2115671"/>
                        </a:xfrm>
                        <a:prstGeom prst="rect">
                          <a:avLst/>
                        </a:prstGeom>
                        <a:solidFill>
                          <a:schemeClr val="bg2">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8EAAAE" w14:textId="14557CEB" w:rsidR="00156644" w:rsidRPr="00156644" w:rsidRDefault="00156644" w:rsidP="007349FD">
                            <w:pPr>
                              <w:shd w:val="clear" w:color="auto" w:fill="F2F2F2" w:themeFill="background2" w:themeFillShade="F2"/>
                              <w:rPr>
                                <w:color w:val="000000"/>
                              </w:rPr>
                            </w:pPr>
                            <w:r w:rsidRPr="00156644">
                              <w:rPr>
                                <w:color w:val="000000"/>
                              </w:rPr>
                              <w:t xml:space="preserve">Providing essential services to our community, our customers expect our services and charges to be fair and affordable for all. They’ve told us they expect us to continue to provide support to those who need it, and to keep learning, so we can tailor our </w:t>
                            </w:r>
                            <w:r w:rsidR="00F84AF6" w:rsidRPr="00156644">
                              <w:rPr>
                                <w:color w:val="000000"/>
                              </w:rPr>
                              <w:t>support</w:t>
                            </w:r>
                            <w:r w:rsidRPr="00156644">
                              <w:rPr>
                                <w:color w:val="000000"/>
                              </w:rPr>
                              <w:t xml:space="preserve"> for changing times. </w:t>
                            </w:r>
                          </w:p>
                          <w:p w14:paraId="0836C41C" w14:textId="3137E647" w:rsidR="00156644" w:rsidRPr="00156644" w:rsidRDefault="00156644" w:rsidP="007349FD">
                            <w:pPr>
                              <w:shd w:val="clear" w:color="auto" w:fill="F2F2F2" w:themeFill="background2" w:themeFillShade="F2"/>
                              <w:rPr>
                                <w:color w:val="000000"/>
                              </w:rPr>
                            </w:pPr>
                            <w:r w:rsidRPr="00156644">
                              <w:rPr>
                                <w:color w:val="000000"/>
                              </w:rPr>
                              <w:t xml:space="preserve">Fairness means providing an equal approach to how customers find out about and </w:t>
                            </w:r>
                            <w:r w:rsidR="00F84AF6" w:rsidRPr="00156644">
                              <w:rPr>
                                <w:color w:val="000000"/>
                              </w:rPr>
                              <w:t>access</w:t>
                            </w:r>
                            <w:r w:rsidRPr="00156644">
                              <w:rPr>
                                <w:color w:val="000000"/>
                              </w:rPr>
                              <w:t xml:space="preserve"> our support options, when they have the intention, but not the financial capacity, to make the required payments. </w:t>
                            </w:r>
                          </w:p>
                          <w:p w14:paraId="34E4592B" w14:textId="25700FE3" w:rsidR="00156644" w:rsidRPr="00116E55" w:rsidRDefault="00156644" w:rsidP="007349FD">
                            <w:pPr>
                              <w:shd w:val="clear" w:color="auto" w:fill="F2F2F2" w:themeFill="background2" w:themeFillShade="F2"/>
                              <w:rPr>
                                <w:color w:val="000000"/>
                              </w:rPr>
                            </w:pPr>
                            <w:r w:rsidRPr="00156644">
                              <w:rPr>
                                <w:color w:val="000000"/>
                              </w:rPr>
                              <w:t>Affordability means providing good value, prudent and efficient services by drawing on the benefits of digitisation, freeing up fixed charges where we can and identifying efficiencies in how we deliver all customer outcomes.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8D895B" id="Rectangle 980" o:spid="_x0000_s1039" style="position:absolute;margin-left:429.05pt;margin-top:4pt;width:480.25pt;height:166.6pt;z-index:-25165821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" fillcolor="#f2f2f2 [3054]" stroked="f" strokeweight="1pt">
                <v:textbox>
                  <w:txbxContent>
                    <w:p w14:paraId="7C8EAAAE" w14:textId="14557CEB" w:rsidR="00156644" w:rsidRPr="00156644" w:rsidRDefault="00156644" w:rsidP="007349FD">
                      <w:pPr>
                        <w:shd w:val="clear" w:color="auto" w:fill="F2F2F2" w:themeFill="background2" w:themeFillShade="F2"/>
                        <w:rPr>
                          <w:color w:val="000000"/>
                        </w:rPr>
                      </w:pPr>
                      <w:r w:rsidRPr="00156644">
                        <w:rPr>
                          <w:color w:val="000000"/>
                        </w:rPr>
                        <w:t xml:space="preserve">Providing essential services to our community, our customers expect our services and charges to be fair and affordable for all. They’ve told us they expect us to continue to provide support to those who need it, and to keep learning, so we can tailor our </w:t>
                      </w:r>
                      <w:r w:rsidR="00F84AF6" w:rsidRPr="00156644">
                        <w:rPr>
                          <w:color w:val="000000"/>
                        </w:rPr>
                        <w:t>support</w:t>
                      </w:r>
                      <w:r w:rsidRPr="00156644">
                        <w:rPr>
                          <w:color w:val="000000"/>
                        </w:rPr>
                        <w:t xml:space="preserve"> for changing times. </w:t>
                      </w:r>
                    </w:p>
                    <w:p w14:paraId="0836C41C" w14:textId="3137E647" w:rsidR="00156644" w:rsidRPr="00156644" w:rsidRDefault="00156644" w:rsidP="007349FD">
                      <w:pPr>
                        <w:shd w:val="clear" w:color="auto" w:fill="F2F2F2" w:themeFill="background2" w:themeFillShade="F2"/>
                        <w:rPr>
                          <w:color w:val="000000"/>
                        </w:rPr>
                      </w:pPr>
                      <w:r w:rsidRPr="00156644">
                        <w:rPr>
                          <w:color w:val="000000"/>
                        </w:rPr>
                        <w:t xml:space="preserve">Fairness means providing an equal approach to how customers find out about and </w:t>
                      </w:r>
                      <w:r w:rsidR="00F84AF6" w:rsidRPr="00156644">
                        <w:rPr>
                          <w:color w:val="000000"/>
                        </w:rPr>
                        <w:t>access</w:t>
                      </w:r>
                      <w:r w:rsidRPr="00156644">
                        <w:rPr>
                          <w:color w:val="000000"/>
                        </w:rPr>
                        <w:t xml:space="preserve"> our support options, when they have the intention, but not the financial capacity, to make the required payments. </w:t>
                      </w:r>
                    </w:p>
                    <w:p w14:paraId="34E4592B" w14:textId="25700FE3" w:rsidR="00156644" w:rsidRPr="00116E55" w:rsidRDefault="00156644" w:rsidP="007349FD">
                      <w:pPr>
                        <w:shd w:val="clear" w:color="auto" w:fill="F2F2F2" w:themeFill="background2" w:themeFillShade="F2"/>
                        <w:rPr>
                          <w:color w:val="000000"/>
                        </w:rPr>
                      </w:pPr>
                      <w:r w:rsidRPr="00156644">
                        <w:rPr>
                          <w:color w:val="000000"/>
                        </w:rPr>
                        <w:t>Affordability means providing good value, prudent and efficient services by drawing on the benefits of digitisation, freeing up fixed charges where we can and identifying efficiencies in how we deliver all customer outcomes.</w:t>
                      </w:r>
                    </w:p>
                  </w:txbxContent>
                </v:textbox>
                <w10:wrap anchorx="margin"/>
              </v:rect>
            </w:pict>
          </mc:Fallback>
        </mc:AlternateContent>
      </w:r>
    </w:p>
    <w:p w14:paraId="6F9FD56D" w14:textId="5099DDBD" w:rsidR="00156644" w:rsidRDefault="00156644" w:rsidP="00156644">
      <w:pPr>
        <w:pStyle w:val="BodyText"/>
      </w:pPr>
    </w:p>
    <w:p w14:paraId="3BA1D682" w14:textId="4AAF165D" w:rsidR="00156644" w:rsidRDefault="00156644" w:rsidP="00156644">
      <w:pPr>
        <w:pStyle w:val="BodyText"/>
      </w:pPr>
    </w:p>
    <w:p w14:paraId="39F9BF28" w14:textId="77777777" w:rsidR="00156644" w:rsidRPr="00156644" w:rsidRDefault="00156644" w:rsidP="00116E55">
      <w:pPr>
        <w:pStyle w:val="BodyText"/>
      </w:pPr>
    </w:p>
    <w:p w14:paraId="349F7F0D" w14:textId="65D9E704" w:rsidR="00156644" w:rsidRDefault="00156644" w:rsidP="00AC3C2F">
      <w:pPr>
        <w:pStyle w:val="BodyText"/>
        <w:rPr>
          <w:b/>
          <w:iCs/>
          <w:szCs w:val="18"/>
        </w:rPr>
      </w:pPr>
    </w:p>
    <w:p w14:paraId="738070B9" w14:textId="023BD28B" w:rsidR="00156644" w:rsidRDefault="00156644" w:rsidP="00AC3C2F">
      <w:pPr>
        <w:pStyle w:val="BodyText"/>
        <w:rPr>
          <w:b/>
          <w:iCs/>
          <w:szCs w:val="18"/>
        </w:rPr>
      </w:pPr>
    </w:p>
    <w:p w14:paraId="4C08D439" w14:textId="09C26240" w:rsidR="00156644" w:rsidRDefault="00156644" w:rsidP="00AC3C2F">
      <w:pPr>
        <w:pStyle w:val="BodyText"/>
        <w:rPr>
          <w:b/>
          <w:iCs/>
          <w:szCs w:val="18"/>
        </w:rPr>
      </w:pPr>
    </w:p>
    <w:p w14:paraId="013FF165" w14:textId="77777777" w:rsidR="00156644" w:rsidRDefault="00156644" w:rsidP="00AC3C2F">
      <w:pPr>
        <w:pStyle w:val="BodyText"/>
      </w:pPr>
    </w:p>
    <w:p w14:paraId="4C192F20" w14:textId="6D78FE1F" w:rsidR="00156644" w:rsidRDefault="00156644" w:rsidP="00AC3C2F">
      <w:pPr>
        <w:pStyle w:val="BodyText"/>
        <w:rPr>
          <w:b/>
          <w:iCs/>
          <w:szCs w:val="18"/>
        </w:rPr>
      </w:pPr>
    </w:p>
    <w:p w14:paraId="1FF96DD5" w14:textId="7AE5088A" w:rsidR="00AC3C2F" w:rsidRPr="00D75F40" w:rsidRDefault="00D75F40" w:rsidP="00D75F40">
      <w:pPr>
        <w:pStyle w:val="Caption"/>
        <w:spacing w:after="120"/>
        <w:rPr>
          <w:rFonts w:eastAsia="Arial"/>
          <w:i/>
        </w:rPr>
      </w:pPr>
      <w:r w:rsidRPr="00D75F40">
        <w:rPr>
          <w:i/>
          <w:sz w:val="22"/>
          <w:szCs w:val="22"/>
        </w:rPr>
        <w:t xml:space="preserve">Table </w:t>
      </w:r>
      <w:r w:rsidR="006F6A12" w:rsidRPr="00CE6C4E">
        <w:rPr>
          <w:b w:val="0"/>
          <w:bCs/>
          <w:i/>
          <w:iCs w:val="0"/>
          <w:sz w:val="22"/>
          <w:szCs w:val="22"/>
        </w:rPr>
        <w:fldChar w:fldCharType="begin"/>
      </w:r>
      <w:r w:rsidR="006F6A12" w:rsidRPr="00CE6C4E">
        <w:rPr>
          <w:bCs/>
          <w:i/>
          <w:iCs w:val="0"/>
          <w:sz w:val="22"/>
          <w:szCs w:val="22"/>
        </w:rPr>
        <w:instrText>SEQ Table \* ARABIC</w:instrText>
      </w:r>
      <w:r w:rsidR="006F6A12" w:rsidRPr="00CE6C4E">
        <w:rPr>
          <w:b w:val="0"/>
          <w:bCs/>
          <w:i/>
          <w:iCs w:val="0"/>
          <w:sz w:val="22"/>
          <w:szCs w:val="22"/>
        </w:rPr>
        <w:fldChar w:fldCharType="separate"/>
      </w:r>
      <w:r w:rsidR="006F6A12">
        <w:rPr>
          <w:bCs/>
          <w:i/>
          <w:iCs w:val="0"/>
          <w:noProof/>
          <w:sz w:val="22"/>
          <w:szCs w:val="22"/>
        </w:rPr>
        <w:t>13</w:t>
      </w:r>
      <w:r w:rsidR="006F6A12" w:rsidRPr="00CE6C4E">
        <w:rPr>
          <w:b w:val="0"/>
          <w:bCs/>
          <w:i/>
          <w:iCs w:val="0"/>
          <w:sz w:val="22"/>
          <w:szCs w:val="22"/>
        </w:rPr>
        <w:fldChar w:fldCharType="end"/>
      </w:r>
      <w:r w:rsidRPr="00D75F40">
        <w:rPr>
          <w:i/>
          <w:sz w:val="22"/>
          <w:szCs w:val="22"/>
        </w:rPr>
        <w:t>:</w:t>
      </w:r>
      <w:r>
        <w:rPr>
          <w:i/>
        </w:rPr>
        <w:t xml:space="preserve"> </w:t>
      </w:r>
      <w:r w:rsidR="00AC3C2F" w:rsidRPr="00073E9C">
        <w:rPr>
          <w:rFonts w:cs="Arial"/>
          <w:i/>
          <w:sz w:val="22"/>
          <w:szCs w:val="22"/>
        </w:rPr>
        <w:t>Outcome 3 output measures and targets</w:t>
      </w:r>
    </w:p>
    <w:tbl>
      <w:tblPr>
        <w:tblStyle w:val="MJTableStyle1default"/>
        <w:tblW w:w="5000" w:type="pct"/>
        <w:tblInd w:w="0" w:type="dxa"/>
        <w:tblLook w:val="0620" w:firstRow="1" w:lastRow="0" w:firstColumn="0" w:lastColumn="0" w:noHBand="1" w:noVBand="1"/>
      </w:tblPr>
      <w:tblGrid>
        <w:gridCol w:w="2123"/>
        <w:gridCol w:w="1866"/>
        <w:gridCol w:w="1866"/>
        <w:gridCol w:w="1866"/>
        <w:gridCol w:w="1866"/>
      </w:tblGrid>
      <w:tr w:rsidR="00F71A99" w:rsidRPr="00073E9C" w14:paraId="66A2BCF2" w14:textId="77777777" w:rsidTr="00F71A99">
        <w:trPr>
          <w:cnfStyle w:val="100000000000" w:firstRow="1" w:lastRow="0" w:firstColumn="0" w:lastColumn="0" w:oddVBand="0" w:evenVBand="0" w:oddHBand="0" w:evenHBand="0" w:firstRowFirstColumn="0" w:firstRowLastColumn="0" w:lastRowFirstColumn="0" w:lastRowLastColumn="0"/>
          <w:trHeight w:val="738"/>
        </w:trPr>
        <w:tc>
          <w:tcPr>
            <w:tcW w:w="2123" w:type="dxa"/>
            <w:tcBorders>
              <w:top w:val="single" w:sz="2" w:space="0" w:color="002279"/>
              <w:left w:val="single" w:sz="2" w:space="0" w:color="002279"/>
              <w:bottom w:val="single" w:sz="2" w:space="0" w:color="002279"/>
              <w:right w:val="single" w:sz="4" w:space="0" w:color="FFFFFF" w:themeColor="background1"/>
            </w:tcBorders>
            <w:shd w:val="clear" w:color="auto" w:fill="002279"/>
            <w:vAlign w:val="center"/>
          </w:tcPr>
          <w:p w14:paraId="3EF74352" w14:textId="77777777" w:rsidR="00F71A99" w:rsidRPr="00643AC8" w:rsidRDefault="00F71A99" w:rsidP="00F71A99">
            <w:pPr>
              <w:pStyle w:val="TableHeading"/>
              <w:rPr>
                <w:rFonts w:asciiTheme="minorHAnsi" w:hAnsiTheme="minorHAnsi"/>
              </w:rPr>
            </w:pPr>
            <w:r w:rsidRPr="00643AC8">
              <w:rPr>
                <w:rFonts w:asciiTheme="minorHAnsi" w:hAnsiTheme="minorHAnsi"/>
              </w:rPr>
              <w:t>Output measure</w:t>
            </w:r>
          </w:p>
        </w:tc>
        <w:tc>
          <w:tcPr>
            <w:tcW w:w="1866" w:type="dxa"/>
            <w:tcBorders>
              <w:top w:val="single" w:sz="2" w:space="0" w:color="002279"/>
              <w:left w:val="single" w:sz="4" w:space="0" w:color="FFFFFF" w:themeColor="background1"/>
              <w:bottom w:val="single" w:sz="2" w:space="0" w:color="002279"/>
              <w:right w:val="single" w:sz="4" w:space="0" w:color="FFFFFF" w:themeColor="background1"/>
            </w:tcBorders>
            <w:shd w:val="clear" w:color="auto" w:fill="002279"/>
            <w:vAlign w:val="center"/>
          </w:tcPr>
          <w:p w14:paraId="2EDE6A72" w14:textId="26CD4A6F" w:rsidR="00F71A99" w:rsidRPr="00643AC8" w:rsidRDefault="00F71A99" w:rsidP="00F71A99">
            <w:pPr>
              <w:pStyle w:val="TableHeading"/>
              <w:jc w:val="center"/>
              <w:rPr>
                <w:rFonts w:asciiTheme="minorHAnsi" w:hAnsiTheme="minorHAnsi"/>
              </w:rPr>
            </w:pPr>
            <w:r w:rsidRPr="00643AC8">
              <w:rPr>
                <w:rFonts w:asciiTheme="minorHAnsi" w:hAnsiTheme="minorHAnsi"/>
              </w:rPr>
              <w:t>Existing, improved or new</w:t>
            </w:r>
          </w:p>
        </w:tc>
        <w:tc>
          <w:tcPr>
            <w:tcW w:w="1866" w:type="dxa"/>
            <w:tcBorders>
              <w:top w:val="single" w:sz="2" w:space="0" w:color="002279"/>
              <w:left w:val="single" w:sz="4" w:space="0" w:color="FFFFFF" w:themeColor="background1"/>
              <w:bottom w:val="single" w:sz="2" w:space="0" w:color="002279"/>
              <w:right w:val="single" w:sz="4" w:space="0" w:color="FFFFFF" w:themeColor="background1"/>
            </w:tcBorders>
            <w:shd w:val="clear" w:color="auto" w:fill="002279"/>
            <w:vAlign w:val="center"/>
          </w:tcPr>
          <w:p w14:paraId="25A66019" w14:textId="1DD9D199" w:rsidR="00F71A99" w:rsidRPr="00643AC8" w:rsidRDefault="00F71A99" w:rsidP="00F71A99">
            <w:pPr>
              <w:pStyle w:val="TableHeading"/>
              <w:jc w:val="center"/>
              <w:rPr>
                <w:rFonts w:asciiTheme="minorHAnsi" w:hAnsiTheme="minorHAnsi"/>
              </w:rPr>
            </w:pPr>
            <w:r>
              <w:rPr>
                <w:rFonts w:asciiTheme="minorHAnsi" w:hAnsiTheme="minorHAnsi"/>
              </w:rPr>
              <w:t xml:space="preserve">2021—22 </w:t>
            </w:r>
            <w:r>
              <w:rPr>
                <w:rFonts w:asciiTheme="minorHAnsi" w:hAnsiTheme="minorHAnsi"/>
              </w:rPr>
              <w:br/>
              <w:t>result</w:t>
            </w:r>
          </w:p>
        </w:tc>
        <w:tc>
          <w:tcPr>
            <w:tcW w:w="1866" w:type="dxa"/>
            <w:tcBorders>
              <w:top w:val="single" w:sz="2" w:space="0" w:color="002279"/>
              <w:left w:val="single" w:sz="4" w:space="0" w:color="FFFFFF" w:themeColor="background1"/>
              <w:bottom w:val="single" w:sz="2" w:space="0" w:color="002279"/>
              <w:right w:val="single" w:sz="4" w:space="0" w:color="FFFFFF" w:themeColor="background1"/>
            </w:tcBorders>
            <w:shd w:val="clear" w:color="auto" w:fill="002279"/>
            <w:vAlign w:val="center"/>
          </w:tcPr>
          <w:p w14:paraId="0E8F24F1" w14:textId="739F746C" w:rsidR="00F71A99" w:rsidRPr="00643AC8" w:rsidRDefault="00F71A99" w:rsidP="00F71A99">
            <w:pPr>
              <w:pStyle w:val="TableHeading"/>
              <w:jc w:val="center"/>
              <w:rPr>
                <w:rFonts w:asciiTheme="minorHAnsi" w:hAnsiTheme="minorHAnsi"/>
              </w:rPr>
            </w:pPr>
            <w:r w:rsidRPr="00643AC8">
              <w:rPr>
                <w:rFonts w:asciiTheme="minorHAnsi" w:hAnsiTheme="minorHAnsi"/>
              </w:rPr>
              <w:t>5-year average</w:t>
            </w:r>
          </w:p>
        </w:tc>
        <w:tc>
          <w:tcPr>
            <w:tcW w:w="1866" w:type="dxa"/>
            <w:tcBorders>
              <w:top w:val="single" w:sz="2" w:space="0" w:color="002279"/>
              <w:left w:val="single" w:sz="4" w:space="0" w:color="FFFFFF" w:themeColor="background1"/>
              <w:bottom w:val="single" w:sz="2" w:space="0" w:color="002279"/>
              <w:right w:val="single" w:sz="2" w:space="0" w:color="002279"/>
            </w:tcBorders>
            <w:shd w:val="clear" w:color="auto" w:fill="002279"/>
            <w:vAlign w:val="center"/>
          </w:tcPr>
          <w:p w14:paraId="7AC159E6" w14:textId="55D58974" w:rsidR="00F71A99" w:rsidRPr="00643AC8" w:rsidRDefault="00F71A99" w:rsidP="00F71A99">
            <w:pPr>
              <w:pStyle w:val="TableHeading"/>
              <w:jc w:val="center"/>
              <w:rPr>
                <w:rFonts w:asciiTheme="minorHAnsi" w:hAnsiTheme="minorHAnsi"/>
              </w:rPr>
            </w:pPr>
            <w:r w:rsidRPr="00643AC8">
              <w:rPr>
                <w:rFonts w:asciiTheme="minorHAnsi" w:hAnsiTheme="minorHAnsi"/>
              </w:rPr>
              <w:t>2027–28</w:t>
            </w:r>
            <w:r>
              <w:rPr>
                <w:rFonts w:asciiTheme="minorHAnsi" w:hAnsiTheme="minorHAnsi"/>
              </w:rPr>
              <w:t xml:space="preserve"> </w:t>
            </w:r>
            <w:r>
              <w:rPr>
                <w:rFonts w:asciiTheme="minorHAnsi" w:hAnsiTheme="minorHAnsi"/>
              </w:rPr>
              <w:br/>
              <w:t>target</w:t>
            </w:r>
          </w:p>
        </w:tc>
      </w:tr>
      <w:tr w:rsidR="005F08D6" w:rsidRPr="00073E9C" w14:paraId="3204D759" w14:textId="77777777" w:rsidTr="00F71A99">
        <w:trPr>
          <w:trHeight w:val="960"/>
        </w:trPr>
        <w:tc>
          <w:tcPr>
            <w:tcW w:w="2123" w:type="dxa"/>
            <w:tcBorders>
              <w:top w:val="single" w:sz="2" w:space="0" w:color="002279"/>
              <w:left w:val="single" w:sz="2" w:space="0" w:color="002279"/>
              <w:bottom w:val="single" w:sz="2" w:space="0" w:color="002279"/>
              <w:right w:val="single" w:sz="2" w:space="0" w:color="002279"/>
            </w:tcBorders>
            <w:shd w:val="clear" w:color="auto" w:fill="D4D6DF"/>
          </w:tcPr>
          <w:p w14:paraId="0C377B71" w14:textId="77777777" w:rsidR="00AC3C2F" w:rsidRPr="002020E8" w:rsidRDefault="00AC3C2F" w:rsidP="006219D6">
            <w:pPr>
              <w:pStyle w:val="TableText"/>
              <w:rPr>
                <w:rFonts w:cs="Arial"/>
                <w:szCs w:val="20"/>
              </w:rPr>
            </w:pPr>
            <w:r w:rsidRPr="002020E8">
              <w:rPr>
                <w:rFonts w:cs="Arial"/>
                <w:szCs w:val="20"/>
              </w:rPr>
              <w:t>Percentage of existing properties upgraded to a digital meter</w:t>
            </w:r>
          </w:p>
        </w:tc>
        <w:tc>
          <w:tcPr>
            <w:tcW w:w="1866" w:type="dxa"/>
            <w:tcBorders>
              <w:top w:val="single" w:sz="2" w:space="0" w:color="002279"/>
              <w:left w:val="single" w:sz="2" w:space="0" w:color="002279"/>
              <w:bottom w:val="single" w:sz="2" w:space="0" w:color="002279"/>
              <w:right w:val="single" w:sz="2" w:space="0" w:color="002279"/>
            </w:tcBorders>
            <w:shd w:val="clear" w:color="auto" w:fill="D4D6DF"/>
            <w:vAlign w:val="center"/>
          </w:tcPr>
          <w:p w14:paraId="47874444" w14:textId="77777777" w:rsidR="00AC3C2F" w:rsidRPr="002020E8" w:rsidRDefault="00AC3C2F" w:rsidP="00A62088">
            <w:pPr>
              <w:pStyle w:val="TableText"/>
              <w:jc w:val="center"/>
              <w:rPr>
                <w:rFonts w:cs="Arial"/>
                <w:szCs w:val="20"/>
              </w:rPr>
            </w:pPr>
            <w:r w:rsidRPr="002020E8">
              <w:rPr>
                <w:rFonts w:cs="Arial"/>
                <w:szCs w:val="20"/>
              </w:rPr>
              <w:t>New</w:t>
            </w:r>
          </w:p>
        </w:tc>
        <w:tc>
          <w:tcPr>
            <w:tcW w:w="1866" w:type="dxa"/>
            <w:tcBorders>
              <w:top w:val="single" w:sz="2" w:space="0" w:color="002279"/>
              <w:left w:val="single" w:sz="2" w:space="0" w:color="002279"/>
              <w:bottom w:val="single" w:sz="2" w:space="0" w:color="002279"/>
              <w:right w:val="single" w:sz="2" w:space="0" w:color="002279"/>
            </w:tcBorders>
            <w:shd w:val="clear" w:color="auto" w:fill="D4D6DF"/>
            <w:vAlign w:val="center"/>
          </w:tcPr>
          <w:p w14:paraId="2B52B09B" w14:textId="08FA59E4" w:rsidR="00AC3C2F" w:rsidRPr="002020E8" w:rsidRDefault="007B6E88" w:rsidP="00A62088">
            <w:pPr>
              <w:pStyle w:val="TableText"/>
              <w:jc w:val="center"/>
              <w:rPr>
                <w:rFonts w:cs="Arial"/>
                <w:szCs w:val="20"/>
              </w:rPr>
            </w:pPr>
            <w:r w:rsidRPr="002020E8">
              <w:rPr>
                <w:rFonts w:cs="Arial"/>
                <w:szCs w:val="20"/>
              </w:rPr>
              <w:t>9%</w:t>
            </w:r>
          </w:p>
        </w:tc>
        <w:tc>
          <w:tcPr>
            <w:tcW w:w="1866" w:type="dxa"/>
            <w:tcBorders>
              <w:top w:val="single" w:sz="2" w:space="0" w:color="002279"/>
              <w:left w:val="single" w:sz="2" w:space="0" w:color="002279"/>
              <w:bottom w:val="single" w:sz="2" w:space="0" w:color="002279"/>
              <w:right w:val="single" w:sz="2" w:space="0" w:color="002279"/>
            </w:tcBorders>
            <w:shd w:val="clear" w:color="auto" w:fill="D4D6DF"/>
            <w:vAlign w:val="center"/>
          </w:tcPr>
          <w:p w14:paraId="2722C0B2" w14:textId="5E3AA1AD" w:rsidR="00E75303" w:rsidRPr="002020E8" w:rsidRDefault="00E75303" w:rsidP="00A62088">
            <w:pPr>
              <w:pStyle w:val="TableText"/>
              <w:jc w:val="center"/>
              <w:rPr>
                <w:rFonts w:cs="Arial"/>
                <w:szCs w:val="20"/>
              </w:rPr>
            </w:pPr>
            <w:r w:rsidRPr="002020E8">
              <w:rPr>
                <w:rFonts w:cs="Arial"/>
                <w:szCs w:val="20"/>
              </w:rPr>
              <w:t>N/A</w:t>
            </w:r>
          </w:p>
        </w:tc>
        <w:tc>
          <w:tcPr>
            <w:tcW w:w="1866" w:type="dxa"/>
            <w:tcBorders>
              <w:top w:val="single" w:sz="2" w:space="0" w:color="002279"/>
              <w:left w:val="single" w:sz="2" w:space="0" w:color="002279"/>
              <w:bottom w:val="single" w:sz="2" w:space="0" w:color="002279"/>
              <w:right w:val="single" w:sz="2" w:space="0" w:color="002279"/>
            </w:tcBorders>
            <w:shd w:val="clear" w:color="auto" w:fill="D4D6DF"/>
            <w:vAlign w:val="center"/>
          </w:tcPr>
          <w:p w14:paraId="1E4E043A" w14:textId="63E6C50F" w:rsidR="00AC3C2F" w:rsidRPr="002020E8" w:rsidRDefault="00AC3C2F" w:rsidP="00A62088">
            <w:pPr>
              <w:pStyle w:val="TableText"/>
              <w:jc w:val="center"/>
              <w:rPr>
                <w:rFonts w:cs="Arial"/>
                <w:szCs w:val="20"/>
              </w:rPr>
            </w:pPr>
            <w:r w:rsidRPr="002020E8">
              <w:rPr>
                <w:rFonts w:cs="Arial"/>
                <w:szCs w:val="20"/>
              </w:rPr>
              <w:t>85%</w:t>
            </w:r>
          </w:p>
        </w:tc>
      </w:tr>
      <w:tr w:rsidR="005F08D6" w:rsidRPr="00073E9C" w14:paraId="5DE97A00" w14:textId="77777777" w:rsidTr="00F71A99">
        <w:trPr>
          <w:trHeight w:val="845"/>
        </w:trPr>
        <w:tc>
          <w:tcPr>
            <w:tcW w:w="2123" w:type="dxa"/>
            <w:tcBorders>
              <w:top w:val="single" w:sz="2" w:space="0" w:color="002279"/>
              <w:left w:val="single" w:sz="2" w:space="0" w:color="002279"/>
              <w:bottom w:val="single" w:sz="2" w:space="0" w:color="002279"/>
              <w:right w:val="single" w:sz="2" w:space="0" w:color="002279"/>
            </w:tcBorders>
          </w:tcPr>
          <w:p w14:paraId="7EC64699" w14:textId="77777777" w:rsidR="00AC3C2F" w:rsidRPr="002020E8" w:rsidRDefault="00AC3C2F" w:rsidP="006219D6">
            <w:pPr>
              <w:pStyle w:val="TableText"/>
              <w:rPr>
                <w:rFonts w:cs="Arial"/>
                <w:szCs w:val="20"/>
              </w:rPr>
            </w:pPr>
            <w:r w:rsidRPr="002020E8">
              <w:rPr>
                <w:rFonts w:cs="Arial"/>
                <w:szCs w:val="20"/>
              </w:rPr>
              <w:t>Number of customers supported (provided assistance)</w:t>
            </w:r>
          </w:p>
        </w:tc>
        <w:tc>
          <w:tcPr>
            <w:tcW w:w="1866" w:type="dxa"/>
            <w:tcBorders>
              <w:top w:val="single" w:sz="2" w:space="0" w:color="002279"/>
              <w:left w:val="single" w:sz="2" w:space="0" w:color="002279"/>
              <w:bottom w:val="single" w:sz="2" w:space="0" w:color="002279"/>
              <w:right w:val="single" w:sz="2" w:space="0" w:color="002279"/>
            </w:tcBorders>
            <w:vAlign w:val="center"/>
          </w:tcPr>
          <w:p w14:paraId="178F508C" w14:textId="555ED9BF" w:rsidR="00AC3C2F" w:rsidRPr="002020E8" w:rsidRDefault="00761A27" w:rsidP="00A62088">
            <w:pPr>
              <w:pStyle w:val="TableText"/>
              <w:jc w:val="center"/>
              <w:rPr>
                <w:rFonts w:cs="Arial"/>
                <w:szCs w:val="20"/>
              </w:rPr>
            </w:pPr>
            <w:r w:rsidRPr="002020E8">
              <w:rPr>
                <w:rFonts w:cs="Arial"/>
                <w:szCs w:val="20"/>
              </w:rPr>
              <w:t>Existing</w:t>
            </w:r>
          </w:p>
        </w:tc>
        <w:tc>
          <w:tcPr>
            <w:tcW w:w="1866" w:type="dxa"/>
            <w:tcBorders>
              <w:top w:val="single" w:sz="2" w:space="0" w:color="002279"/>
              <w:left w:val="single" w:sz="2" w:space="0" w:color="002279"/>
              <w:bottom w:val="single" w:sz="2" w:space="0" w:color="002279"/>
              <w:right w:val="single" w:sz="2" w:space="0" w:color="002279"/>
            </w:tcBorders>
            <w:vAlign w:val="center"/>
          </w:tcPr>
          <w:p w14:paraId="7011D32A" w14:textId="6A1DAD5C" w:rsidR="00AC3C2F" w:rsidRPr="002020E8" w:rsidRDefault="001707CB" w:rsidP="00A62088">
            <w:pPr>
              <w:pStyle w:val="TableText"/>
              <w:jc w:val="center"/>
              <w:rPr>
                <w:rFonts w:cs="Arial"/>
                <w:szCs w:val="20"/>
              </w:rPr>
            </w:pPr>
            <w:r w:rsidRPr="002020E8">
              <w:rPr>
                <w:rFonts w:cs="Arial"/>
                <w:szCs w:val="20"/>
              </w:rPr>
              <w:t>10</w:t>
            </w:r>
            <w:r w:rsidR="00664BA2" w:rsidRPr="002020E8">
              <w:rPr>
                <w:rFonts w:cs="Arial"/>
                <w:szCs w:val="20"/>
              </w:rPr>
              <w:t>,</w:t>
            </w:r>
            <w:r w:rsidRPr="002020E8">
              <w:rPr>
                <w:rFonts w:cs="Arial"/>
                <w:szCs w:val="20"/>
              </w:rPr>
              <w:t>612</w:t>
            </w:r>
            <w:r w:rsidR="003B45CE">
              <w:rPr>
                <w:rFonts w:cs="Arial"/>
                <w:szCs w:val="20"/>
              </w:rPr>
              <w:br/>
            </w:r>
            <w:r w:rsidR="00E0712C" w:rsidRPr="00E0712C">
              <w:rPr>
                <w:rFonts w:cs="Arial"/>
                <w:szCs w:val="20"/>
              </w:rPr>
              <w:t>(COVID-19 impacted)</w:t>
            </w:r>
          </w:p>
        </w:tc>
        <w:tc>
          <w:tcPr>
            <w:tcW w:w="1866" w:type="dxa"/>
            <w:tcBorders>
              <w:top w:val="single" w:sz="2" w:space="0" w:color="002279"/>
              <w:left w:val="single" w:sz="2" w:space="0" w:color="002279"/>
              <w:bottom w:val="single" w:sz="2" w:space="0" w:color="002279"/>
              <w:right w:val="single" w:sz="2" w:space="0" w:color="002279"/>
            </w:tcBorders>
            <w:vAlign w:val="center"/>
          </w:tcPr>
          <w:p w14:paraId="2240A685" w14:textId="19504C9D" w:rsidR="00E55D45" w:rsidRPr="002020E8" w:rsidRDefault="00E55D45" w:rsidP="00A62088">
            <w:pPr>
              <w:pStyle w:val="TableText"/>
              <w:jc w:val="center"/>
              <w:rPr>
                <w:rFonts w:cs="Arial"/>
                <w:szCs w:val="20"/>
              </w:rPr>
            </w:pPr>
            <w:r w:rsidRPr="002020E8">
              <w:rPr>
                <w:rFonts w:cs="Arial"/>
                <w:szCs w:val="20"/>
              </w:rPr>
              <w:t>7,134</w:t>
            </w:r>
          </w:p>
        </w:tc>
        <w:tc>
          <w:tcPr>
            <w:tcW w:w="1866" w:type="dxa"/>
            <w:tcBorders>
              <w:top w:val="single" w:sz="2" w:space="0" w:color="002279"/>
              <w:left w:val="single" w:sz="2" w:space="0" w:color="002279"/>
              <w:bottom w:val="single" w:sz="2" w:space="0" w:color="002279"/>
              <w:right w:val="single" w:sz="2" w:space="0" w:color="002279"/>
            </w:tcBorders>
            <w:vAlign w:val="center"/>
          </w:tcPr>
          <w:p w14:paraId="76DED6F5" w14:textId="4B58C012" w:rsidR="00AC3C2F" w:rsidRPr="002020E8" w:rsidRDefault="00F570B9" w:rsidP="00A62088">
            <w:pPr>
              <w:pStyle w:val="TableText"/>
              <w:jc w:val="center"/>
              <w:rPr>
                <w:rFonts w:cs="Arial"/>
                <w:szCs w:val="20"/>
              </w:rPr>
            </w:pPr>
            <w:r w:rsidRPr="002020E8">
              <w:rPr>
                <w:rFonts w:cs="Arial"/>
                <w:szCs w:val="20"/>
              </w:rPr>
              <w:t>10</w:t>
            </w:r>
            <w:r w:rsidR="00AC3C2F" w:rsidRPr="002020E8">
              <w:rPr>
                <w:rFonts w:cs="Arial"/>
                <w:szCs w:val="20"/>
              </w:rPr>
              <w:t>,000</w:t>
            </w:r>
          </w:p>
        </w:tc>
      </w:tr>
      <w:tr w:rsidR="005F08D6" w:rsidRPr="00073E9C" w14:paraId="7FCAD452" w14:textId="77777777" w:rsidTr="00F71A99">
        <w:trPr>
          <w:trHeight w:val="1567"/>
        </w:trPr>
        <w:tc>
          <w:tcPr>
            <w:tcW w:w="2123" w:type="dxa"/>
            <w:tcBorders>
              <w:top w:val="single" w:sz="2" w:space="0" w:color="002279"/>
              <w:left w:val="single" w:sz="2" w:space="0" w:color="002279"/>
              <w:bottom w:val="single" w:sz="2" w:space="0" w:color="002279"/>
              <w:right w:val="single" w:sz="2" w:space="0" w:color="002279"/>
            </w:tcBorders>
            <w:shd w:val="clear" w:color="auto" w:fill="D4D6DF"/>
          </w:tcPr>
          <w:p w14:paraId="60FA3BB9" w14:textId="1B74AB10" w:rsidR="00AC3C2F" w:rsidRPr="002020E8" w:rsidRDefault="00AC3C2F" w:rsidP="006219D6">
            <w:pPr>
              <w:pStyle w:val="TableText"/>
              <w:rPr>
                <w:rFonts w:cs="Arial"/>
                <w:szCs w:val="20"/>
              </w:rPr>
            </w:pPr>
            <w:r w:rsidRPr="002020E8">
              <w:rPr>
                <w:rFonts w:cs="Arial"/>
                <w:szCs w:val="20"/>
              </w:rPr>
              <w:lastRenderedPageBreak/>
              <w:t xml:space="preserve">Percentage of customers with arrears older than 90 days who have </w:t>
            </w:r>
            <w:r w:rsidR="00E705EB" w:rsidRPr="002020E8">
              <w:rPr>
                <w:rFonts w:cs="Arial"/>
                <w:szCs w:val="20"/>
              </w:rPr>
              <w:t>use</w:t>
            </w:r>
            <w:r w:rsidRPr="002020E8">
              <w:rPr>
                <w:rFonts w:cs="Arial"/>
                <w:szCs w:val="20"/>
              </w:rPr>
              <w:t>d South East Water support offerings</w:t>
            </w:r>
          </w:p>
        </w:tc>
        <w:tc>
          <w:tcPr>
            <w:tcW w:w="1866" w:type="dxa"/>
            <w:tcBorders>
              <w:top w:val="single" w:sz="2" w:space="0" w:color="002279"/>
              <w:left w:val="single" w:sz="2" w:space="0" w:color="002279"/>
              <w:bottom w:val="single" w:sz="2" w:space="0" w:color="002279"/>
              <w:right w:val="single" w:sz="2" w:space="0" w:color="002279"/>
            </w:tcBorders>
            <w:shd w:val="clear" w:color="auto" w:fill="D4D6DF"/>
            <w:vAlign w:val="center"/>
          </w:tcPr>
          <w:p w14:paraId="7AD20D5B" w14:textId="24DDB581" w:rsidR="00AC3C2F" w:rsidRPr="002020E8" w:rsidRDefault="00761A27" w:rsidP="00A62088">
            <w:pPr>
              <w:pStyle w:val="TableText"/>
              <w:jc w:val="center"/>
              <w:rPr>
                <w:rFonts w:cs="Arial"/>
                <w:szCs w:val="20"/>
              </w:rPr>
            </w:pPr>
            <w:r w:rsidRPr="002020E8">
              <w:rPr>
                <w:rFonts w:cs="Arial"/>
                <w:szCs w:val="20"/>
              </w:rPr>
              <w:t>New</w:t>
            </w:r>
          </w:p>
        </w:tc>
        <w:tc>
          <w:tcPr>
            <w:tcW w:w="1866" w:type="dxa"/>
            <w:tcBorders>
              <w:top w:val="single" w:sz="2" w:space="0" w:color="002279"/>
              <w:left w:val="single" w:sz="2" w:space="0" w:color="002279"/>
              <w:bottom w:val="single" w:sz="2" w:space="0" w:color="002279"/>
              <w:right w:val="single" w:sz="2" w:space="0" w:color="002279"/>
            </w:tcBorders>
            <w:shd w:val="clear" w:color="auto" w:fill="D4D6DF"/>
            <w:vAlign w:val="center"/>
          </w:tcPr>
          <w:p w14:paraId="67576480" w14:textId="0EB11572" w:rsidR="00AC3C2F" w:rsidRPr="002020E8" w:rsidRDefault="00701019" w:rsidP="00A62088">
            <w:pPr>
              <w:pStyle w:val="TableText"/>
              <w:jc w:val="center"/>
              <w:rPr>
                <w:rFonts w:cs="Arial"/>
                <w:szCs w:val="20"/>
              </w:rPr>
            </w:pPr>
            <w:r w:rsidRPr="002020E8">
              <w:rPr>
                <w:rFonts w:cs="Arial"/>
                <w:szCs w:val="20"/>
              </w:rPr>
              <w:t>41%</w:t>
            </w:r>
          </w:p>
        </w:tc>
        <w:tc>
          <w:tcPr>
            <w:tcW w:w="1866" w:type="dxa"/>
            <w:tcBorders>
              <w:top w:val="single" w:sz="2" w:space="0" w:color="002279"/>
              <w:left w:val="single" w:sz="2" w:space="0" w:color="002279"/>
              <w:bottom w:val="single" w:sz="2" w:space="0" w:color="002279"/>
              <w:right w:val="single" w:sz="2" w:space="0" w:color="002279"/>
            </w:tcBorders>
            <w:shd w:val="clear" w:color="auto" w:fill="D4D6DF"/>
            <w:vAlign w:val="center"/>
          </w:tcPr>
          <w:p w14:paraId="6F6189E1" w14:textId="7377500C" w:rsidR="00EB6497" w:rsidRPr="002020E8" w:rsidRDefault="00EB6497" w:rsidP="00A62088">
            <w:pPr>
              <w:pStyle w:val="TableText"/>
              <w:jc w:val="center"/>
              <w:rPr>
                <w:rFonts w:cs="Arial"/>
                <w:szCs w:val="20"/>
              </w:rPr>
            </w:pPr>
            <w:r w:rsidRPr="002020E8">
              <w:rPr>
                <w:rFonts w:cs="Arial"/>
                <w:szCs w:val="20"/>
              </w:rPr>
              <w:t>37%</w:t>
            </w:r>
          </w:p>
        </w:tc>
        <w:tc>
          <w:tcPr>
            <w:tcW w:w="1866" w:type="dxa"/>
            <w:tcBorders>
              <w:top w:val="single" w:sz="2" w:space="0" w:color="002279"/>
              <w:left w:val="single" w:sz="2" w:space="0" w:color="002279"/>
              <w:bottom w:val="single" w:sz="2" w:space="0" w:color="002279"/>
              <w:right w:val="single" w:sz="2" w:space="0" w:color="002279"/>
            </w:tcBorders>
            <w:shd w:val="clear" w:color="auto" w:fill="D4D6DF"/>
            <w:vAlign w:val="center"/>
          </w:tcPr>
          <w:p w14:paraId="1EB779DD" w14:textId="6FF043AF" w:rsidR="00AC3C2F" w:rsidRPr="002020E8" w:rsidRDefault="00AC3C2F" w:rsidP="00A62088">
            <w:pPr>
              <w:pStyle w:val="TableText"/>
              <w:jc w:val="center"/>
              <w:rPr>
                <w:rFonts w:cs="Arial"/>
                <w:szCs w:val="20"/>
              </w:rPr>
            </w:pPr>
            <w:r w:rsidRPr="002020E8">
              <w:rPr>
                <w:rFonts w:cs="Arial"/>
                <w:szCs w:val="20"/>
              </w:rPr>
              <w:t>55%</w:t>
            </w:r>
          </w:p>
        </w:tc>
      </w:tr>
      <w:tr w:rsidR="00C228AD" w:rsidRPr="00073E9C" w14:paraId="730E7143" w14:textId="77777777" w:rsidTr="00F71A99">
        <w:trPr>
          <w:trHeight w:val="514"/>
        </w:trPr>
        <w:tc>
          <w:tcPr>
            <w:tcW w:w="9587" w:type="dxa"/>
            <w:gridSpan w:val="5"/>
            <w:tcBorders>
              <w:top w:val="single" w:sz="2" w:space="0" w:color="002279"/>
              <w:left w:val="single" w:sz="2" w:space="0" w:color="002279"/>
              <w:bottom w:val="single" w:sz="2" w:space="0" w:color="002279"/>
              <w:right w:val="single" w:sz="2" w:space="0" w:color="002279"/>
            </w:tcBorders>
            <w:shd w:val="clear" w:color="auto" w:fill="002279"/>
            <w:vAlign w:val="center"/>
          </w:tcPr>
          <w:p w14:paraId="2340411B" w14:textId="2311FE99" w:rsidR="00AC3C2F" w:rsidRPr="002020E8" w:rsidRDefault="00AC3C2F" w:rsidP="00821A96">
            <w:pPr>
              <w:pStyle w:val="TableText"/>
              <w:jc w:val="center"/>
              <w:rPr>
                <w:rFonts w:cs="Arial"/>
                <w:b/>
                <w:color w:val="FFFFFF" w:themeColor="background1"/>
                <w:szCs w:val="20"/>
              </w:rPr>
            </w:pPr>
            <w:r w:rsidRPr="002020E8">
              <w:rPr>
                <w:rFonts w:cs="Arial"/>
                <w:b/>
                <w:color w:val="FFFFFF" w:themeColor="background1"/>
                <w:szCs w:val="20"/>
              </w:rPr>
              <w:t>Key supporting actions, activities and programs</w:t>
            </w:r>
          </w:p>
        </w:tc>
      </w:tr>
      <w:tr w:rsidR="000665E6" w:rsidRPr="00073E9C" w14:paraId="78476864" w14:textId="77777777" w:rsidTr="00F71A99">
        <w:trPr>
          <w:trHeight w:val="1297"/>
        </w:trPr>
        <w:tc>
          <w:tcPr>
            <w:tcW w:w="9587" w:type="dxa"/>
            <w:gridSpan w:val="5"/>
            <w:tcBorders>
              <w:top w:val="single" w:sz="2" w:space="0" w:color="002279"/>
              <w:left w:val="single" w:sz="2" w:space="0" w:color="002279"/>
              <w:bottom w:val="single" w:sz="2" w:space="0" w:color="002279"/>
              <w:right w:val="single" w:sz="2" w:space="0" w:color="002279"/>
            </w:tcBorders>
          </w:tcPr>
          <w:p w14:paraId="1CAEA136" w14:textId="24F754DE" w:rsidR="009D59CC" w:rsidRPr="002020E8" w:rsidRDefault="009D59CC" w:rsidP="006219D6">
            <w:pPr>
              <w:pStyle w:val="TableText"/>
              <w:jc w:val="center"/>
              <w:rPr>
                <w:rFonts w:cs="Arial"/>
                <w:szCs w:val="20"/>
              </w:rPr>
            </w:pPr>
            <w:r w:rsidRPr="002020E8">
              <w:rPr>
                <w:rFonts w:cs="Arial"/>
                <w:szCs w:val="20"/>
              </w:rPr>
              <w:t>Customer support programs</w:t>
            </w:r>
          </w:p>
          <w:p w14:paraId="0C1C09FC" w14:textId="77777777" w:rsidR="00AC3C2F" w:rsidRPr="002020E8" w:rsidRDefault="00AC3C2F" w:rsidP="006219D6">
            <w:pPr>
              <w:pStyle w:val="TableText"/>
              <w:jc w:val="center"/>
              <w:rPr>
                <w:rFonts w:cs="Arial"/>
                <w:szCs w:val="20"/>
              </w:rPr>
            </w:pPr>
            <w:r w:rsidRPr="002020E8">
              <w:rPr>
                <w:rFonts w:cs="Arial"/>
                <w:szCs w:val="20"/>
              </w:rPr>
              <w:t>Digital utility</w:t>
            </w:r>
          </w:p>
          <w:p w14:paraId="2AB7B8BA" w14:textId="77777777" w:rsidR="00AC3C2F" w:rsidRPr="002020E8" w:rsidRDefault="00AC3C2F" w:rsidP="006219D6">
            <w:pPr>
              <w:pStyle w:val="TableText"/>
              <w:jc w:val="center"/>
              <w:rPr>
                <w:rFonts w:cs="Arial"/>
                <w:szCs w:val="20"/>
              </w:rPr>
            </w:pPr>
            <w:r w:rsidRPr="002020E8">
              <w:rPr>
                <w:rFonts w:cs="Arial"/>
                <w:szCs w:val="20"/>
              </w:rPr>
              <w:t>Digital metering</w:t>
            </w:r>
          </w:p>
          <w:p w14:paraId="6536898A" w14:textId="4E3B2CD2" w:rsidR="00AC3C2F" w:rsidRPr="002020E8" w:rsidRDefault="008A0EE0" w:rsidP="006219D6">
            <w:pPr>
              <w:pStyle w:val="TableText"/>
              <w:jc w:val="center"/>
              <w:rPr>
                <w:rFonts w:cs="Arial"/>
                <w:szCs w:val="20"/>
              </w:rPr>
            </w:pPr>
            <w:r w:rsidRPr="002020E8">
              <w:rPr>
                <w:rFonts w:cs="Arial"/>
                <w:szCs w:val="20"/>
              </w:rPr>
              <w:t>Efficiency rate of 2.</w:t>
            </w:r>
            <w:r w:rsidR="00E0712C">
              <w:rPr>
                <w:rFonts w:cs="Arial"/>
                <w:szCs w:val="20"/>
              </w:rPr>
              <w:t>0</w:t>
            </w:r>
            <w:r w:rsidRPr="002020E8">
              <w:rPr>
                <w:rFonts w:cs="Arial"/>
                <w:szCs w:val="20"/>
              </w:rPr>
              <w:t>%</w:t>
            </w:r>
          </w:p>
        </w:tc>
      </w:tr>
    </w:tbl>
    <w:p w14:paraId="6A2A0DAA" w14:textId="77777777" w:rsidR="007349FD" w:rsidRDefault="007349FD" w:rsidP="00AC3C2F"/>
    <w:p w14:paraId="5D16355C" w14:textId="5A723362" w:rsidR="00AC3C2F" w:rsidRDefault="00AC3C2F" w:rsidP="00AC3C2F">
      <w:r>
        <w:t xml:space="preserve">The </w:t>
      </w:r>
      <w:r w:rsidRPr="002E0FC0">
        <w:rPr>
          <w:i/>
          <w:iCs/>
        </w:rPr>
        <w:t xml:space="preserve">Fair and affordable for all </w:t>
      </w:r>
      <w:r w:rsidRPr="00083EB3">
        <w:t xml:space="preserve">output </w:t>
      </w:r>
      <w:r>
        <w:t>measures have also been modified to align outcomes to the implementation of our digital utility capability</w:t>
      </w:r>
      <w:r w:rsidR="009A2E5C">
        <w:t>,</w:t>
      </w:r>
      <w:r>
        <w:t xml:space="preserve"> and in response to customer feedback on ensuring affordable and accessible services.</w:t>
      </w:r>
    </w:p>
    <w:p w14:paraId="3809EEAD" w14:textId="77777777" w:rsidR="00AC3C2F" w:rsidRDefault="00AC3C2F" w:rsidP="00AC3C2F">
      <w:r>
        <w:t xml:space="preserve">The operating cost per property measure has been removed. Operating cost efficiency will still be tracked and scrutinised under the PREMO framework. </w:t>
      </w:r>
    </w:p>
    <w:p w14:paraId="70163E08" w14:textId="28BDE719" w:rsidR="00AC3C2F" w:rsidRDefault="00AC3C2F" w:rsidP="00AC3C2F">
      <w:r>
        <w:t xml:space="preserve">The </w:t>
      </w:r>
      <w:r w:rsidR="002642CA">
        <w:t xml:space="preserve">outputs are defined to better </w:t>
      </w:r>
      <w:r>
        <w:t>capture support outcomes for customers, including those most in need.</w:t>
      </w:r>
      <w:r w:rsidR="00D32977">
        <w:t xml:space="preserve"> They will also report against the progress of the digital meter exchange program</w:t>
      </w:r>
      <w:r w:rsidR="00515A33">
        <w:t>,</w:t>
      </w:r>
      <w:r w:rsidR="00D32977">
        <w:t xml:space="preserve"> that is expected to have a significant impact on </w:t>
      </w:r>
      <w:r w:rsidR="0064773F">
        <w:t>customers</w:t>
      </w:r>
      <w:r w:rsidR="00612583">
        <w:t>’</w:t>
      </w:r>
      <w:r w:rsidR="0064773F">
        <w:t xml:space="preserve"> ability to understand</w:t>
      </w:r>
      <w:r w:rsidR="00BB3B94">
        <w:t xml:space="preserve"> and adjust their usage</w:t>
      </w:r>
      <w:r w:rsidR="00295FE4">
        <w:t xml:space="preserve"> and provide greater control over their bill</w:t>
      </w:r>
      <w:r w:rsidR="00B3524C">
        <w:t>s</w:t>
      </w:r>
      <w:r w:rsidR="00295FE4">
        <w:t>.</w:t>
      </w:r>
    </w:p>
    <w:p w14:paraId="66738EAF" w14:textId="65D339C9" w:rsidR="00AC3C2F" w:rsidRDefault="00AC3C2F" w:rsidP="00DB7160">
      <w:pPr>
        <w:pStyle w:val="Heading3"/>
        <w:rPr>
          <w:i/>
        </w:rPr>
      </w:pPr>
      <w:r>
        <w:t xml:space="preserve">Outcome 4: </w:t>
      </w:r>
      <w:r w:rsidRPr="009C43A0">
        <w:rPr>
          <w:i/>
        </w:rPr>
        <w:t>Make my experience better</w:t>
      </w:r>
    </w:p>
    <w:p w14:paraId="42A9E1BE" w14:textId="32F08759" w:rsidR="00B74EB0" w:rsidRDefault="00B74EB0" w:rsidP="00B74EB0">
      <w:pPr>
        <w:pStyle w:val="BodyText"/>
      </w:pPr>
      <w:r>
        <w:rPr>
          <w:noProof/>
        </w:rPr>
        <mc:AlternateContent>
          <mc:Choice Requires="wps">
            <w:drawing>
              <wp:anchor distT="0" distB="0" distL="114300" distR="114300" simplePos="0" relativeHeight="251658267" behindDoc="1" locked="0" layoutInCell="1" allowOverlap="1" wp14:anchorId="50852883" wp14:editId="66F55FF8">
                <wp:simplePos x="0" y="0"/>
                <wp:positionH relativeFrom="margin">
                  <wp:posOffset>0</wp:posOffset>
                </wp:positionH>
                <wp:positionV relativeFrom="paragraph">
                  <wp:posOffset>80048</wp:posOffset>
                </wp:positionV>
                <wp:extent cx="6069106" cy="1810871"/>
                <wp:effectExtent l="0" t="0" r="8255" b="0"/>
                <wp:wrapNone/>
                <wp:docPr id="989" name="Rectangle 9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69106" cy="1810871"/>
                        </a:xfrm>
                        <a:prstGeom prst="rect">
                          <a:avLst/>
                        </a:prstGeom>
                        <a:solidFill>
                          <a:schemeClr val="bg2">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326C5C" w14:textId="5DAB6A95" w:rsidR="00B74EB0" w:rsidRPr="00B74EB0" w:rsidRDefault="00B74EB0" w:rsidP="00B74EB0">
                            <w:pPr>
                              <w:rPr>
                                <w:color w:val="000000"/>
                              </w:rPr>
                            </w:pPr>
                            <w:r w:rsidRPr="00B74EB0">
                              <w:rPr>
                                <w:color w:val="000000"/>
                              </w:rPr>
                              <w:t>Customers have told us they want an easier experience with us and, whether by digital or traditional means, one which gives them more control over how and when it happens.</w:t>
                            </w:r>
                          </w:p>
                          <w:p w14:paraId="1D73C8B6" w14:textId="77777777" w:rsidR="00B74EB0" w:rsidRPr="00B74EB0" w:rsidRDefault="00B74EB0" w:rsidP="00B74EB0">
                            <w:pPr>
                              <w:rPr>
                                <w:color w:val="000000"/>
                              </w:rPr>
                            </w:pPr>
                            <w:r w:rsidRPr="00B74EB0">
                              <w:rPr>
                                <w:color w:val="000000"/>
                              </w:rPr>
                              <w:t>This means listening to more of our customers across a wider range of the interactions we have with each of them, to remove pain points and empower frontline employees, leading to a more streamlined customer experience.</w:t>
                            </w:r>
                          </w:p>
                          <w:p w14:paraId="57DCFDC6" w14:textId="0366B999" w:rsidR="00B74EB0" w:rsidRPr="00116E55" w:rsidRDefault="00B74EB0" w:rsidP="00116E55">
                            <w:pPr>
                              <w:rPr>
                                <w:color w:val="000000"/>
                              </w:rPr>
                            </w:pPr>
                            <w:r w:rsidRPr="00B74EB0">
                              <w:rPr>
                                <w:color w:val="000000"/>
                              </w:rPr>
                              <w:t>It means empowering our customers through more self-service options, including visibility of their near real-time water usage through our digital meter portal.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852883" id="Rectangle 989" o:spid="_x0000_s1040" style="position:absolute;margin-left:0;margin-top:6.3pt;width:477.9pt;height:142.6pt;z-index:-2516582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" fillcolor="#f2f2f2 [3054]" stroked="f" strokeweight="1pt">
                <v:textbox>
                  <w:txbxContent>
                    <w:p w14:paraId="04326C5C" w14:textId="5DAB6A95" w:rsidR="00B74EB0" w:rsidRPr="00B74EB0" w:rsidRDefault="00B74EB0" w:rsidP="00B74EB0">
                      <w:pPr>
                        <w:rPr>
                          <w:color w:val="000000"/>
                        </w:rPr>
                      </w:pPr>
                      <w:r w:rsidRPr="00B74EB0">
                        <w:rPr>
                          <w:color w:val="000000"/>
                        </w:rPr>
                        <w:t>Customers have told us they want an easier experience with us and, whether by digital or traditional means, one which gives them more control over how and when it happens.</w:t>
                      </w:r>
                    </w:p>
                    <w:p w14:paraId="1D73C8B6" w14:textId="77777777" w:rsidR="00B74EB0" w:rsidRPr="00B74EB0" w:rsidRDefault="00B74EB0" w:rsidP="00B74EB0">
                      <w:pPr>
                        <w:rPr>
                          <w:color w:val="000000"/>
                        </w:rPr>
                      </w:pPr>
                      <w:r w:rsidRPr="00B74EB0">
                        <w:rPr>
                          <w:color w:val="000000"/>
                        </w:rPr>
                        <w:t>This means listening to more of our customers across a wider range of the interactions we have with each of them, to remove pain points and empower frontline employees, leading to a more streamlined customer experience.</w:t>
                      </w:r>
                    </w:p>
                    <w:p w14:paraId="57DCFDC6" w14:textId="0366B999" w:rsidR="00B74EB0" w:rsidRPr="00116E55" w:rsidRDefault="00B74EB0" w:rsidP="00116E55">
                      <w:pPr>
                        <w:rPr>
                          <w:color w:val="000000"/>
                        </w:rPr>
                      </w:pPr>
                      <w:r w:rsidRPr="00B74EB0">
                        <w:rPr>
                          <w:color w:val="000000"/>
                        </w:rPr>
                        <w:t>It means empowering our customers through more self-service options, including visibility of their near real-time water usage through our digital meter portal.</w:t>
                      </w:r>
                    </w:p>
                  </w:txbxContent>
                </v:textbox>
                <w10:wrap anchorx="margin"/>
              </v:rect>
            </w:pict>
          </mc:Fallback>
        </mc:AlternateContent>
      </w:r>
    </w:p>
    <w:p w14:paraId="2EA17C10" w14:textId="128E54C9" w:rsidR="00B74EB0" w:rsidRDefault="00A86212" w:rsidP="00A86212">
      <w:pPr>
        <w:pStyle w:val="BodyText"/>
        <w:tabs>
          <w:tab w:val="left" w:pos="2610"/>
        </w:tabs>
      </w:pPr>
      <w:r>
        <w:tab/>
      </w:r>
    </w:p>
    <w:p w14:paraId="08E21F90" w14:textId="2D7D3D1C" w:rsidR="00B74EB0" w:rsidRDefault="00B74EB0" w:rsidP="00B74EB0">
      <w:pPr>
        <w:pStyle w:val="BodyText"/>
      </w:pPr>
    </w:p>
    <w:p w14:paraId="389E1C6F" w14:textId="77777777" w:rsidR="00B74EB0" w:rsidRPr="00B74EB0" w:rsidRDefault="00B74EB0" w:rsidP="00116E55">
      <w:pPr>
        <w:pStyle w:val="BodyText"/>
      </w:pPr>
    </w:p>
    <w:p w14:paraId="7B32B0D3" w14:textId="77777777" w:rsidR="00B74EB0" w:rsidRDefault="00B74EB0" w:rsidP="00AC3C2F">
      <w:pPr>
        <w:rPr>
          <w:rFonts w:eastAsia="Arial" w:cs="Arial"/>
        </w:rPr>
      </w:pPr>
    </w:p>
    <w:p w14:paraId="11AFCC95" w14:textId="77777777" w:rsidR="00B74EB0" w:rsidRDefault="00B74EB0" w:rsidP="00AC3C2F">
      <w:pPr>
        <w:rPr>
          <w:rFonts w:eastAsia="Arial" w:cs="Arial"/>
        </w:rPr>
      </w:pPr>
    </w:p>
    <w:p w14:paraId="4B0BF1BC" w14:textId="77777777" w:rsidR="00B74EB0" w:rsidRDefault="00B74EB0" w:rsidP="00AC3C2F">
      <w:pPr>
        <w:rPr>
          <w:rFonts w:eastAsia="Arial" w:cs="Arial"/>
        </w:rPr>
      </w:pPr>
    </w:p>
    <w:p w14:paraId="1A810A88" w14:textId="7DF487A8" w:rsidR="00B74EB0" w:rsidRDefault="00B74EB0" w:rsidP="00AC3C2F">
      <w:pPr>
        <w:rPr>
          <w:rFonts w:eastAsia="Arial" w:cs="Arial"/>
        </w:rPr>
      </w:pPr>
    </w:p>
    <w:p w14:paraId="3797A089" w14:textId="7A74FC83" w:rsidR="00AC3C2F" w:rsidRPr="00D75F40" w:rsidRDefault="00D75F40" w:rsidP="00D75F40">
      <w:pPr>
        <w:pStyle w:val="Caption"/>
        <w:spacing w:after="120"/>
        <w:rPr>
          <w:rFonts w:eastAsia="Arial"/>
          <w:i/>
          <w:sz w:val="22"/>
          <w:szCs w:val="22"/>
        </w:rPr>
      </w:pPr>
      <w:bookmarkStart w:id="38" w:name="_Hlk114230515"/>
      <w:r w:rsidRPr="00D75F40">
        <w:rPr>
          <w:i/>
          <w:sz w:val="22"/>
          <w:szCs w:val="22"/>
        </w:rPr>
        <w:t xml:space="preserve">Table </w:t>
      </w:r>
      <w:r w:rsidR="00F51D3E" w:rsidRPr="00CE6C4E">
        <w:rPr>
          <w:b w:val="0"/>
          <w:bCs/>
          <w:i/>
          <w:iCs w:val="0"/>
          <w:sz w:val="22"/>
          <w:szCs w:val="22"/>
        </w:rPr>
        <w:fldChar w:fldCharType="begin"/>
      </w:r>
      <w:r w:rsidR="00F51D3E" w:rsidRPr="00CE6C4E">
        <w:rPr>
          <w:bCs/>
          <w:i/>
          <w:iCs w:val="0"/>
          <w:sz w:val="22"/>
          <w:szCs w:val="22"/>
        </w:rPr>
        <w:instrText>SEQ Table \* ARABIC</w:instrText>
      </w:r>
      <w:r w:rsidR="00F51D3E" w:rsidRPr="00CE6C4E">
        <w:rPr>
          <w:b w:val="0"/>
          <w:bCs/>
          <w:i/>
          <w:iCs w:val="0"/>
          <w:sz w:val="22"/>
          <w:szCs w:val="22"/>
        </w:rPr>
        <w:fldChar w:fldCharType="separate"/>
      </w:r>
      <w:r w:rsidR="00F51D3E">
        <w:rPr>
          <w:bCs/>
          <w:i/>
          <w:iCs w:val="0"/>
          <w:noProof/>
          <w:sz w:val="22"/>
          <w:szCs w:val="22"/>
        </w:rPr>
        <w:t>14</w:t>
      </w:r>
      <w:r w:rsidR="00F51D3E" w:rsidRPr="00CE6C4E">
        <w:rPr>
          <w:b w:val="0"/>
          <w:bCs/>
          <w:i/>
          <w:iCs w:val="0"/>
          <w:sz w:val="22"/>
          <w:szCs w:val="22"/>
        </w:rPr>
        <w:fldChar w:fldCharType="end"/>
      </w:r>
      <w:r w:rsidRPr="00D75F40">
        <w:rPr>
          <w:i/>
          <w:sz w:val="22"/>
          <w:szCs w:val="22"/>
        </w:rPr>
        <w:t xml:space="preserve">: </w:t>
      </w:r>
      <w:r w:rsidR="00AC3C2F" w:rsidRPr="00D75F40">
        <w:rPr>
          <w:i/>
          <w:sz w:val="22"/>
          <w:szCs w:val="22"/>
        </w:rPr>
        <w:t>Outcome 4 output measures and targets</w:t>
      </w:r>
    </w:p>
    <w:tbl>
      <w:tblPr>
        <w:tblStyle w:val="MJTableStyle1default"/>
        <w:tblW w:w="5000" w:type="pct"/>
        <w:tblInd w:w="0" w:type="dxa"/>
        <w:tblLook w:val="0620" w:firstRow="1" w:lastRow="0" w:firstColumn="0" w:lastColumn="0" w:noHBand="1" w:noVBand="1"/>
      </w:tblPr>
      <w:tblGrid>
        <w:gridCol w:w="1866"/>
        <w:gridCol w:w="2100"/>
        <w:gridCol w:w="1985"/>
        <w:gridCol w:w="2126"/>
        <w:gridCol w:w="1510"/>
      </w:tblGrid>
      <w:tr w:rsidR="00F71A99" w:rsidRPr="00820221" w14:paraId="5B26A181" w14:textId="77777777" w:rsidTr="000D7F02">
        <w:trPr>
          <w:cnfStyle w:val="100000000000" w:firstRow="1" w:lastRow="0" w:firstColumn="0" w:lastColumn="0" w:oddVBand="0" w:evenVBand="0" w:oddHBand="0" w:evenHBand="0" w:firstRowFirstColumn="0" w:firstRowLastColumn="0" w:lastRowFirstColumn="0" w:lastRowLastColumn="0"/>
          <w:trHeight w:val="755"/>
        </w:trPr>
        <w:tc>
          <w:tcPr>
            <w:tcW w:w="1866" w:type="dxa"/>
            <w:tcBorders>
              <w:top w:val="single" w:sz="2" w:space="0" w:color="002279"/>
              <w:left w:val="single" w:sz="2" w:space="0" w:color="002279"/>
              <w:bottom w:val="single" w:sz="2" w:space="0" w:color="002279"/>
              <w:right w:val="single" w:sz="4" w:space="0" w:color="FFFFFF" w:themeColor="background1"/>
            </w:tcBorders>
            <w:shd w:val="clear" w:color="auto" w:fill="002279"/>
            <w:vAlign w:val="center"/>
          </w:tcPr>
          <w:bookmarkEnd w:id="38"/>
          <w:p w14:paraId="4EF67758" w14:textId="77777777" w:rsidR="00F71A99" w:rsidRPr="003E1432" w:rsidRDefault="00F71A99" w:rsidP="00F71A99">
            <w:pPr>
              <w:pStyle w:val="TableHeading"/>
              <w:rPr>
                <w:rFonts w:asciiTheme="minorHAnsi" w:hAnsiTheme="minorHAnsi"/>
              </w:rPr>
            </w:pPr>
            <w:r w:rsidRPr="003E1432">
              <w:rPr>
                <w:rFonts w:asciiTheme="minorHAnsi" w:hAnsiTheme="minorHAnsi"/>
              </w:rPr>
              <w:t>Output measure</w:t>
            </w:r>
          </w:p>
        </w:tc>
        <w:tc>
          <w:tcPr>
            <w:tcW w:w="2100" w:type="dxa"/>
            <w:tcBorders>
              <w:top w:val="single" w:sz="2" w:space="0" w:color="002279"/>
              <w:left w:val="single" w:sz="4" w:space="0" w:color="FFFFFF" w:themeColor="background1"/>
              <w:bottom w:val="single" w:sz="2" w:space="0" w:color="002279"/>
              <w:right w:val="single" w:sz="4" w:space="0" w:color="FFFFFF" w:themeColor="background1"/>
            </w:tcBorders>
            <w:shd w:val="clear" w:color="auto" w:fill="002279"/>
            <w:vAlign w:val="center"/>
          </w:tcPr>
          <w:p w14:paraId="604D410F" w14:textId="105C7D98" w:rsidR="00F71A99" w:rsidRPr="003E1432" w:rsidRDefault="00F71A99" w:rsidP="00F71A99">
            <w:pPr>
              <w:pStyle w:val="TableHeading"/>
              <w:jc w:val="center"/>
              <w:rPr>
                <w:rFonts w:asciiTheme="minorHAnsi" w:hAnsiTheme="minorHAnsi"/>
              </w:rPr>
            </w:pPr>
            <w:r w:rsidRPr="003E1432">
              <w:rPr>
                <w:rFonts w:asciiTheme="minorHAnsi" w:hAnsiTheme="minorHAnsi"/>
              </w:rPr>
              <w:t>Existing, improved or new</w:t>
            </w:r>
          </w:p>
        </w:tc>
        <w:tc>
          <w:tcPr>
            <w:tcW w:w="1985" w:type="dxa"/>
            <w:tcBorders>
              <w:top w:val="single" w:sz="2" w:space="0" w:color="002279"/>
              <w:left w:val="single" w:sz="4" w:space="0" w:color="FFFFFF" w:themeColor="background1"/>
              <w:bottom w:val="single" w:sz="2" w:space="0" w:color="002279"/>
              <w:right w:val="single" w:sz="4" w:space="0" w:color="FFFFFF" w:themeColor="background1"/>
            </w:tcBorders>
            <w:shd w:val="clear" w:color="auto" w:fill="002279"/>
            <w:vAlign w:val="center"/>
          </w:tcPr>
          <w:p w14:paraId="0EC5D157" w14:textId="0C4CB044" w:rsidR="00F71A99" w:rsidRPr="003E1432" w:rsidRDefault="00F71A99" w:rsidP="00F71A99">
            <w:pPr>
              <w:pStyle w:val="TableHeading"/>
              <w:jc w:val="center"/>
              <w:rPr>
                <w:rFonts w:asciiTheme="minorHAnsi" w:hAnsiTheme="minorHAnsi"/>
              </w:rPr>
            </w:pPr>
            <w:r>
              <w:rPr>
                <w:rFonts w:asciiTheme="minorHAnsi" w:hAnsiTheme="minorHAnsi"/>
              </w:rPr>
              <w:t xml:space="preserve">2021—22 </w:t>
            </w:r>
            <w:r>
              <w:rPr>
                <w:rFonts w:asciiTheme="minorHAnsi" w:hAnsiTheme="minorHAnsi"/>
              </w:rPr>
              <w:br/>
              <w:t>result</w:t>
            </w:r>
          </w:p>
        </w:tc>
        <w:tc>
          <w:tcPr>
            <w:tcW w:w="2126" w:type="dxa"/>
            <w:tcBorders>
              <w:top w:val="single" w:sz="2" w:space="0" w:color="002279"/>
              <w:left w:val="single" w:sz="4" w:space="0" w:color="FFFFFF" w:themeColor="background1"/>
              <w:bottom w:val="single" w:sz="2" w:space="0" w:color="002279"/>
              <w:right w:val="single" w:sz="4" w:space="0" w:color="FFFFFF" w:themeColor="background1"/>
            </w:tcBorders>
            <w:shd w:val="clear" w:color="auto" w:fill="002279"/>
            <w:vAlign w:val="center"/>
          </w:tcPr>
          <w:p w14:paraId="14C31517" w14:textId="6F0F329F" w:rsidR="00F71A99" w:rsidRPr="003E1432" w:rsidRDefault="00F71A99" w:rsidP="00F71A99">
            <w:pPr>
              <w:pStyle w:val="TableHeading"/>
              <w:jc w:val="center"/>
              <w:rPr>
                <w:rFonts w:asciiTheme="minorHAnsi" w:hAnsiTheme="minorHAnsi"/>
              </w:rPr>
            </w:pPr>
            <w:r w:rsidRPr="00643AC8">
              <w:rPr>
                <w:rFonts w:asciiTheme="minorHAnsi" w:hAnsiTheme="minorHAnsi"/>
              </w:rPr>
              <w:t>5-year average</w:t>
            </w:r>
          </w:p>
        </w:tc>
        <w:tc>
          <w:tcPr>
            <w:tcW w:w="1510" w:type="dxa"/>
            <w:tcBorders>
              <w:top w:val="single" w:sz="2" w:space="0" w:color="002279"/>
              <w:left w:val="single" w:sz="4" w:space="0" w:color="FFFFFF" w:themeColor="background1"/>
              <w:bottom w:val="single" w:sz="2" w:space="0" w:color="002279"/>
              <w:right w:val="single" w:sz="2" w:space="0" w:color="002279"/>
            </w:tcBorders>
            <w:shd w:val="clear" w:color="auto" w:fill="002279"/>
            <w:vAlign w:val="center"/>
          </w:tcPr>
          <w:p w14:paraId="55FCB7DE" w14:textId="2521DC7C" w:rsidR="00F71A99" w:rsidRPr="003E1432" w:rsidRDefault="00F71A99" w:rsidP="00F71A99">
            <w:pPr>
              <w:pStyle w:val="TableHeading"/>
              <w:jc w:val="center"/>
              <w:rPr>
                <w:rFonts w:asciiTheme="minorHAnsi" w:hAnsiTheme="minorHAnsi"/>
              </w:rPr>
            </w:pPr>
            <w:r w:rsidRPr="00643AC8">
              <w:rPr>
                <w:rFonts w:asciiTheme="minorHAnsi" w:hAnsiTheme="minorHAnsi"/>
              </w:rPr>
              <w:t>2027–28</w:t>
            </w:r>
            <w:r>
              <w:rPr>
                <w:rFonts w:asciiTheme="minorHAnsi" w:hAnsiTheme="minorHAnsi"/>
              </w:rPr>
              <w:t xml:space="preserve"> </w:t>
            </w:r>
            <w:r>
              <w:rPr>
                <w:rFonts w:asciiTheme="minorHAnsi" w:hAnsiTheme="minorHAnsi"/>
              </w:rPr>
              <w:br/>
              <w:t>target</w:t>
            </w:r>
          </w:p>
        </w:tc>
      </w:tr>
      <w:tr w:rsidR="004C71AE" w14:paraId="6B86B096" w14:textId="77777777" w:rsidTr="000D7F02">
        <w:trPr>
          <w:trHeight w:val="658"/>
        </w:trPr>
        <w:tc>
          <w:tcPr>
            <w:tcW w:w="1866" w:type="dxa"/>
            <w:tcBorders>
              <w:top w:val="single" w:sz="2" w:space="0" w:color="002279"/>
              <w:left w:val="single" w:sz="2" w:space="0" w:color="002279"/>
              <w:bottom w:val="single" w:sz="2" w:space="0" w:color="002279"/>
              <w:right w:val="single" w:sz="2" w:space="0" w:color="002279"/>
            </w:tcBorders>
            <w:shd w:val="clear" w:color="auto" w:fill="D4D6DF"/>
          </w:tcPr>
          <w:p w14:paraId="740EB43E" w14:textId="6BC00E6A" w:rsidR="00AC3C2F" w:rsidRPr="002020E8" w:rsidRDefault="00AC3C2F" w:rsidP="006219D6">
            <w:pPr>
              <w:pStyle w:val="TableText"/>
              <w:rPr>
                <w:rFonts w:cstheme="minorHAnsi"/>
                <w:szCs w:val="20"/>
              </w:rPr>
            </w:pPr>
            <w:r w:rsidRPr="002020E8">
              <w:rPr>
                <w:rFonts w:cstheme="minorHAnsi"/>
                <w:szCs w:val="20"/>
              </w:rPr>
              <w:t xml:space="preserve">Total number of inbound contacts (per </w:t>
            </w:r>
            <w:r w:rsidR="00E911BD" w:rsidRPr="002020E8">
              <w:rPr>
                <w:rFonts w:cstheme="minorHAnsi"/>
                <w:szCs w:val="20"/>
              </w:rPr>
              <w:t>100</w:t>
            </w:r>
            <w:r w:rsidRPr="002020E8">
              <w:rPr>
                <w:rFonts w:cstheme="minorHAnsi"/>
                <w:szCs w:val="20"/>
              </w:rPr>
              <w:t xml:space="preserve"> customers)</w:t>
            </w:r>
          </w:p>
        </w:tc>
        <w:tc>
          <w:tcPr>
            <w:tcW w:w="2100" w:type="dxa"/>
            <w:tcBorders>
              <w:top w:val="single" w:sz="2" w:space="0" w:color="002279"/>
              <w:left w:val="single" w:sz="2" w:space="0" w:color="002279"/>
              <w:bottom w:val="single" w:sz="2" w:space="0" w:color="002279"/>
              <w:right w:val="single" w:sz="2" w:space="0" w:color="002279"/>
            </w:tcBorders>
            <w:shd w:val="clear" w:color="auto" w:fill="D4D6DF"/>
            <w:vAlign w:val="center"/>
          </w:tcPr>
          <w:p w14:paraId="73259B51" w14:textId="77777777" w:rsidR="00AC3C2F" w:rsidRPr="002020E8" w:rsidRDefault="00AC3C2F" w:rsidP="00A62088">
            <w:pPr>
              <w:pStyle w:val="TableText"/>
              <w:jc w:val="center"/>
              <w:rPr>
                <w:rFonts w:cstheme="minorHAnsi"/>
                <w:szCs w:val="20"/>
              </w:rPr>
            </w:pPr>
            <w:r w:rsidRPr="002020E8">
              <w:rPr>
                <w:rFonts w:cstheme="minorHAnsi"/>
                <w:szCs w:val="20"/>
              </w:rPr>
              <w:t>New</w:t>
            </w:r>
          </w:p>
        </w:tc>
        <w:tc>
          <w:tcPr>
            <w:tcW w:w="1985" w:type="dxa"/>
            <w:tcBorders>
              <w:top w:val="single" w:sz="2" w:space="0" w:color="002279"/>
              <w:left w:val="single" w:sz="2" w:space="0" w:color="002279"/>
              <w:bottom w:val="single" w:sz="2" w:space="0" w:color="002279"/>
              <w:right w:val="single" w:sz="2" w:space="0" w:color="002279"/>
            </w:tcBorders>
            <w:shd w:val="clear" w:color="auto" w:fill="D4D6DF"/>
            <w:vAlign w:val="center"/>
          </w:tcPr>
          <w:p w14:paraId="04C468BE" w14:textId="39DFDC55" w:rsidR="00AC3C2F" w:rsidRPr="002020E8" w:rsidRDefault="00295FE4" w:rsidP="00A62088">
            <w:pPr>
              <w:pStyle w:val="TableText"/>
              <w:jc w:val="center"/>
              <w:rPr>
                <w:rFonts w:cstheme="minorHAnsi"/>
                <w:szCs w:val="20"/>
              </w:rPr>
            </w:pPr>
            <w:r w:rsidRPr="002020E8">
              <w:rPr>
                <w:rFonts w:cstheme="minorHAnsi"/>
                <w:color w:val="auto"/>
                <w:szCs w:val="20"/>
              </w:rPr>
              <w:t>62</w:t>
            </w:r>
            <w:r w:rsidR="000B4D6E" w:rsidRPr="002020E8">
              <w:rPr>
                <w:rFonts w:cstheme="minorHAnsi"/>
                <w:color w:val="auto"/>
                <w:szCs w:val="20"/>
              </w:rPr>
              <w:t>.</w:t>
            </w:r>
            <w:r w:rsidRPr="002020E8">
              <w:rPr>
                <w:rFonts w:cstheme="minorHAnsi"/>
                <w:color w:val="auto"/>
                <w:szCs w:val="20"/>
              </w:rPr>
              <w:t>6</w:t>
            </w:r>
          </w:p>
        </w:tc>
        <w:tc>
          <w:tcPr>
            <w:tcW w:w="2126" w:type="dxa"/>
            <w:tcBorders>
              <w:top w:val="single" w:sz="2" w:space="0" w:color="002279"/>
              <w:left w:val="single" w:sz="2" w:space="0" w:color="002279"/>
              <w:bottom w:val="single" w:sz="2" w:space="0" w:color="002279"/>
              <w:right w:val="single" w:sz="2" w:space="0" w:color="002279"/>
            </w:tcBorders>
            <w:shd w:val="clear" w:color="auto" w:fill="D4D6DF"/>
            <w:vAlign w:val="center"/>
          </w:tcPr>
          <w:p w14:paraId="7A798D74" w14:textId="48EC5B32" w:rsidR="00975CBA" w:rsidRPr="002020E8" w:rsidRDefault="00975CBA" w:rsidP="00A62088">
            <w:pPr>
              <w:pStyle w:val="TableText"/>
              <w:jc w:val="center"/>
              <w:rPr>
                <w:rFonts w:cstheme="minorHAnsi"/>
                <w:szCs w:val="20"/>
              </w:rPr>
            </w:pPr>
            <w:r w:rsidRPr="002020E8">
              <w:rPr>
                <w:rFonts w:cstheme="minorHAnsi"/>
                <w:szCs w:val="20"/>
              </w:rPr>
              <w:t>67.9</w:t>
            </w:r>
          </w:p>
        </w:tc>
        <w:tc>
          <w:tcPr>
            <w:tcW w:w="1510" w:type="dxa"/>
            <w:tcBorders>
              <w:top w:val="single" w:sz="2" w:space="0" w:color="002279"/>
              <w:left w:val="single" w:sz="2" w:space="0" w:color="002279"/>
              <w:bottom w:val="single" w:sz="2" w:space="0" w:color="002279"/>
              <w:right w:val="single" w:sz="2" w:space="0" w:color="002279"/>
            </w:tcBorders>
            <w:shd w:val="clear" w:color="auto" w:fill="D4D6DF"/>
            <w:vAlign w:val="center"/>
          </w:tcPr>
          <w:p w14:paraId="7DF2ED4D" w14:textId="6D9EA700" w:rsidR="00AC3C2F" w:rsidRPr="002020E8" w:rsidRDefault="00AC3C2F" w:rsidP="00A62088">
            <w:pPr>
              <w:pStyle w:val="TableText"/>
              <w:jc w:val="center"/>
              <w:rPr>
                <w:rFonts w:cstheme="minorHAnsi"/>
                <w:szCs w:val="20"/>
              </w:rPr>
            </w:pPr>
            <w:r w:rsidRPr="002020E8">
              <w:rPr>
                <w:rFonts w:cstheme="minorHAnsi"/>
                <w:szCs w:val="20"/>
              </w:rPr>
              <w:t>59</w:t>
            </w:r>
            <w:r w:rsidR="000B4D6E" w:rsidRPr="002020E8">
              <w:rPr>
                <w:rFonts w:cstheme="minorHAnsi"/>
                <w:szCs w:val="20"/>
              </w:rPr>
              <w:t>.</w:t>
            </w:r>
            <w:r w:rsidRPr="002020E8">
              <w:rPr>
                <w:rFonts w:cstheme="minorHAnsi"/>
                <w:szCs w:val="20"/>
              </w:rPr>
              <w:t>5</w:t>
            </w:r>
          </w:p>
        </w:tc>
      </w:tr>
      <w:tr w:rsidR="002A3065" w14:paraId="4E7AD8DC" w14:textId="77777777" w:rsidTr="000D7F02">
        <w:trPr>
          <w:trHeight w:val="854"/>
        </w:trPr>
        <w:tc>
          <w:tcPr>
            <w:tcW w:w="1866" w:type="dxa"/>
            <w:tcBorders>
              <w:top w:val="single" w:sz="2" w:space="0" w:color="002279"/>
              <w:left w:val="single" w:sz="2" w:space="0" w:color="002279"/>
              <w:bottom w:val="single" w:sz="2" w:space="0" w:color="002279"/>
              <w:right w:val="single" w:sz="2" w:space="0" w:color="002279"/>
            </w:tcBorders>
          </w:tcPr>
          <w:p w14:paraId="29315006" w14:textId="4BB6403C" w:rsidR="00AC3C2F" w:rsidRPr="002020E8" w:rsidRDefault="00AC3C2F" w:rsidP="006219D6">
            <w:pPr>
              <w:pStyle w:val="TableText"/>
              <w:rPr>
                <w:rFonts w:cstheme="minorHAnsi"/>
                <w:szCs w:val="20"/>
              </w:rPr>
            </w:pPr>
            <w:r w:rsidRPr="002020E8">
              <w:rPr>
                <w:rFonts w:cstheme="minorHAnsi"/>
                <w:szCs w:val="20"/>
              </w:rPr>
              <w:t>Overall customer satisfaction with South</w:t>
            </w:r>
            <w:r w:rsidR="00B16E3F" w:rsidRPr="002020E8">
              <w:rPr>
                <w:rFonts w:cstheme="minorHAnsi"/>
                <w:szCs w:val="20"/>
              </w:rPr>
              <w:t> </w:t>
            </w:r>
            <w:r w:rsidRPr="002020E8">
              <w:rPr>
                <w:rFonts w:cstheme="minorHAnsi"/>
                <w:szCs w:val="20"/>
              </w:rPr>
              <w:t>East Water</w:t>
            </w:r>
          </w:p>
        </w:tc>
        <w:tc>
          <w:tcPr>
            <w:tcW w:w="2100" w:type="dxa"/>
            <w:tcBorders>
              <w:top w:val="single" w:sz="2" w:space="0" w:color="002279"/>
              <w:left w:val="single" w:sz="2" w:space="0" w:color="002279"/>
              <w:bottom w:val="single" w:sz="2" w:space="0" w:color="002279"/>
              <w:right w:val="single" w:sz="2" w:space="0" w:color="002279"/>
            </w:tcBorders>
            <w:vAlign w:val="center"/>
          </w:tcPr>
          <w:p w14:paraId="63D7AE73" w14:textId="1CEAE1C4" w:rsidR="00AC3C2F" w:rsidRPr="002020E8" w:rsidRDefault="00295FE4" w:rsidP="00A62088">
            <w:pPr>
              <w:pStyle w:val="TableText"/>
              <w:jc w:val="center"/>
              <w:rPr>
                <w:rFonts w:cstheme="minorHAnsi"/>
                <w:szCs w:val="20"/>
              </w:rPr>
            </w:pPr>
            <w:r w:rsidRPr="002020E8">
              <w:rPr>
                <w:rFonts w:cstheme="minorHAnsi"/>
                <w:szCs w:val="20"/>
              </w:rPr>
              <w:t>Improved</w:t>
            </w:r>
          </w:p>
        </w:tc>
        <w:tc>
          <w:tcPr>
            <w:tcW w:w="1985" w:type="dxa"/>
            <w:tcBorders>
              <w:top w:val="single" w:sz="2" w:space="0" w:color="002279"/>
              <w:left w:val="single" w:sz="2" w:space="0" w:color="002279"/>
              <w:bottom w:val="single" w:sz="2" w:space="0" w:color="002279"/>
              <w:right w:val="single" w:sz="2" w:space="0" w:color="002279"/>
            </w:tcBorders>
            <w:vAlign w:val="center"/>
          </w:tcPr>
          <w:p w14:paraId="644C5B6D" w14:textId="2A495953" w:rsidR="00AC3C2F" w:rsidRPr="002020E8" w:rsidRDefault="00681AF1" w:rsidP="00A62088">
            <w:pPr>
              <w:pStyle w:val="TableText"/>
              <w:jc w:val="center"/>
              <w:rPr>
                <w:rFonts w:cstheme="minorHAnsi"/>
                <w:szCs w:val="20"/>
              </w:rPr>
            </w:pPr>
            <w:r w:rsidRPr="002020E8">
              <w:rPr>
                <w:rFonts w:cstheme="minorHAnsi"/>
                <w:szCs w:val="20"/>
              </w:rPr>
              <w:t>Redefined</w:t>
            </w:r>
          </w:p>
        </w:tc>
        <w:tc>
          <w:tcPr>
            <w:tcW w:w="2126" w:type="dxa"/>
            <w:tcBorders>
              <w:top w:val="single" w:sz="2" w:space="0" w:color="002279"/>
              <w:left w:val="single" w:sz="2" w:space="0" w:color="002279"/>
              <w:bottom w:val="single" w:sz="2" w:space="0" w:color="002279"/>
              <w:right w:val="single" w:sz="2" w:space="0" w:color="002279"/>
            </w:tcBorders>
            <w:vAlign w:val="center"/>
          </w:tcPr>
          <w:p w14:paraId="1F7C0CF5" w14:textId="353B38D9" w:rsidR="00376FB0" w:rsidRPr="002020E8" w:rsidRDefault="00376FB0" w:rsidP="00A62088">
            <w:pPr>
              <w:pStyle w:val="TableText"/>
              <w:jc w:val="center"/>
              <w:rPr>
                <w:rFonts w:cstheme="minorHAnsi"/>
                <w:szCs w:val="20"/>
              </w:rPr>
            </w:pPr>
            <w:r w:rsidRPr="002020E8">
              <w:rPr>
                <w:rFonts w:cstheme="minorHAnsi"/>
                <w:szCs w:val="20"/>
              </w:rPr>
              <w:t>N/A</w:t>
            </w:r>
          </w:p>
        </w:tc>
        <w:tc>
          <w:tcPr>
            <w:tcW w:w="1510" w:type="dxa"/>
            <w:tcBorders>
              <w:top w:val="single" w:sz="2" w:space="0" w:color="002279"/>
              <w:left w:val="single" w:sz="2" w:space="0" w:color="002279"/>
              <w:bottom w:val="single" w:sz="2" w:space="0" w:color="002279"/>
              <w:right w:val="single" w:sz="2" w:space="0" w:color="002279"/>
            </w:tcBorders>
            <w:vAlign w:val="center"/>
          </w:tcPr>
          <w:p w14:paraId="605C42C8" w14:textId="136186C6" w:rsidR="00AC3C2F" w:rsidRPr="002020E8" w:rsidRDefault="00AC3C2F" w:rsidP="00A62088">
            <w:pPr>
              <w:pStyle w:val="TableText"/>
              <w:jc w:val="center"/>
              <w:rPr>
                <w:rFonts w:cstheme="minorHAnsi"/>
                <w:szCs w:val="20"/>
              </w:rPr>
            </w:pPr>
            <w:r w:rsidRPr="002020E8">
              <w:rPr>
                <w:rFonts w:cstheme="minorHAnsi"/>
                <w:szCs w:val="20"/>
              </w:rPr>
              <w:t>70%</w:t>
            </w:r>
          </w:p>
        </w:tc>
      </w:tr>
      <w:tr w:rsidR="004C71AE" w14:paraId="1A73AA25" w14:textId="77777777" w:rsidTr="006E2F9B">
        <w:trPr>
          <w:trHeight w:val="1425"/>
        </w:trPr>
        <w:tc>
          <w:tcPr>
            <w:tcW w:w="1866" w:type="dxa"/>
            <w:tcBorders>
              <w:top w:val="single" w:sz="2" w:space="0" w:color="002279"/>
              <w:left w:val="single" w:sz="2" w:space="0" w:color="002279"/>
              <w:bottom w:val="single" w:sz="2" w:space="0" w:color="002279"/>
              <w:right w:val="single" w:sz="2" w:space="0" w:color="002279"/>
            </w:tcBorders>
            <w:shd w:val="clear" w:color="auto" w:fill="D4D6DF"/>
          </w:tcPr>
          <w:p w14:paraId="59DE4078" w14:textId="41F5DE43" w:rsidR="00AC3C2F" w:rsidRPr="002020E8" w:rsidRDefault="00AC3C2F" w:rsidP="006219D6">
            <w:pPr>
              <w:pStyle w:val="TableText"/>
              <w:rPr>
                <w:rFonts w:cstheme="minorHAnsi"/>
                <w:szCs w:val="20"/>
              </w:rPr>
            </w:pPr>
            <w:r w:rsidRPr="002020E8">
              <w:rPr>
                <w:rFonts w:cstheme="minorHAnsi"/>
                <w:szCs w:val="20"/>
              </w:rPr>
              <w:lastRenderedPageBreak/>
              <w:t>Number of enquiries relating to the explanation of charges</w:t>
            </w:r>
            <w:r w:rsidR="00352A85" w:rsidRPr="002020E8">
              <w:rPr>
                <w:rFonts w:cstheme="minorHAnsi"/>
                <w:szCs w:val="20"/>
              </w:rPr>
              <w:t xml:space="preserve"> (per </w:t>
            </w:r>
            <w:r w:rsidR="00E911BD" w:rsidRPr="002020E8">
              <w:rPr>
                <w:rFonts w:cstheme="minorHAnsi"/>
                <w:szCs w:val="20"/>
              </w:rPr>
              <w:t>100</w:t>
            </w:r>
            <w:r w:rsidR="00352A85" w:rsidRPr="002020E8">
              <w:rPr>
                <w:rFonts w:cstheme="minorHAnsi"/>
                <w:szCs w:val="20"/>
              </w:rPr>
              <w:t xml:space="preserve"> customers)</w:t>
            </w:r>
          </w:p>
        </w:tc>
        <w:tc>
          <w:tcPr>
            <w:tcW w:w="2100" w:type="dxa"/>
            <w:tcBorders>
              <w:top w:val="single" w:sz="2" w:space="0" w:color="002279"/>
              <w:left w:val="single" w:sz="2" w:space="0" w:color="002279"/>
              <w:bottom w:val="single" w:sz="2" w:space="0" w:color="002279"/>
              <w:right w:val="single" w:sz="2" w:space="0" w:color="002279"/>
            </w:tcBorders>
            <w:shd w:val="clear" w:color="auto" w:fill="D4D6DF"/>
            <w:vAlign w:val="center"/>
          </w:tcPr>
          <w:p w14:paraId="3E5C1F8C" w14:textId="77777777" w:rsidR="00AC3C2F" w:rsidRPr="002020E8" w:rsidRDefault="00AC3C2F" w:rsidP="00A62088">
            <w:pPr>
              <w:pStyle w:val="TableText"/>
              <w:jc w:val="center"/>
              <w:rPr>
                <w:rFonts w:cstheme="minorHAnsi"/>
                <w:szCs w:val="20"/>
              </w:rPr>
            </w:pPr>
            <w:r w:rsidRPr="002020E8">
              <w:rPr>
                <w:rFonts w:cstheme="minorHAnsi"/>
                <w:szCs w:val="20"/>
              </w:rPr>
              <w:t>New</w:t>
            </w:r>
          </w:p>
        </w:tc>
        <w:tc>
          <w:tcPr>
            <w:tcW w:w="1985" w:type="dxa"/>
            <w:tcBorders>
              <w:top w:val="single" w:sz="2" w:space="0" w:color="002279"/>
              <w:left w:val="single" w:sz="2" w:space="0" w:color="002279"/>
              <w:bottom w:val="single" w:sz="2" w:space="0" w:color="002279"/>
              <w:right w:val="single" w:sz="2" w:space="0" w:color="002279"/>
            </w:tcBorders>
            <w:shd w:val="clear" w:color="auto" w:fill="D4D6DF"/>
            <w:vAlign w:val="center"/>
          </w:tcPr>
          <w:p w14:paraId="6F332389" w14:textId="210B847F" w:rsidR="00AC3C2F" w:rsidRPr="002020E8" w:rsidRDefault="00295FE4" w:rsidP="00A62088">
            <w:pPr>
              <w:pStyle w:val="TableText"/>
              <w:jc w:val="center"/>
              <w:rPr>
                <w:rFonts w:cstheme="minorHAnsi"/>
                <w:szCs w:val="20"/>
              </w:rPr>
            </w:pPr>
            <w:r w:rsidRPr="002020E8">
              <w:rPr>
                <w:rFonts w:cstheme="minorHAnsi"/>
                <w:color w:val="auto"/>
                <w:szCs w:val="20"/>
              </w:rPr>
              <w:t>7</w:t>
            </w:r>
          </w:p>
        </w:tc>
        <w:tc>
          <w:tcPr>
            <w:tcW w:w="2126" w:type="dxa"/>
            <w:tcBorders>
              <w:top w:val="single" w:sz="2" w:space="0" w:color="002279"/>
              <w:left w:val="single" w:sz="2" w:space="0" w:color="002279"/>
              <w:bottom w:val="single" w:sz="2" w:space="0" w:color="002279"/>
              <w:right w:val="single" w:sz="2" w:space="0" w:color="002279"/>
            </w:tcBorders>
            <w:shd w:val="clear" w:color="auto" w:fill="D4D6DF"/>
            <w:vAlign w:val="center"/>
          </w:tcPr>
          <w:p w14:paraId="373DEC43" w14:textId="18E7F699" w:rsidR="00E0525A" w:rsidRPr="002020E8" w:rsidRDefault="00E0525A" w:rsidP="00A62088">
            <w:pPr>
              <w:pStyle w:val="TableText"/>
              <w:jc w:val="center"/>
              <w:rPr>
                <w:rFonts w:cstheme="minorHAnsi"/>
                <w:szCs w:val="20"/>
              </w:rPr>
            </w:pPr>
            <w:r w:rsidRPr="002020E8">
              <w:rPr>
                <w:rFonts w:cstheme="minorHAnsi"/>
                <w:szCs w:val="20"/>
              </w:rPr>
              <w:t>5.4</w:t>
            </w:r>
          </w:p>
        </w:tc>
        <w:tc>
          <w:tcPr>
            <w:tcW w:w="1510" w:type="dxa"/>
            <w:tcBorders>
              <w:top w:val="single" w:sz="2" w:space="0" w:color="002279"/>
              <w:left w:val="single" w:sz="2" w:space="0" w:color="002279"/>
              <w:bottom w:val="single" w:sz="2" w:space="0" w:color="002279"/>
              <w:right w:val="single" w:sz="2" w:space="0" w:color="002279"/>
            </w:tcBorders>
            <w:shd w:val="clear" w:color="auto" w:fill="D4D6DF"/>
            <w:vAlign w:val="center"/>
          </w:tcPr>
          <w:p w14:paraId="17E72B45" w14:textId="1DFF71DE" w:rsidR="00AC3C2F" w:rsidRPr="002020E8" w:rsidRDefault="00E911BD" w:rsidP="00A62088">
            <w:pPr>
              <w:pStyle w:val="TableText"/>
              <w:jc w:val="center"/>
              <w:rPr>
                <w:rFonts w:cstheme="minorHAnsi"/>
                <w:szCs w:val="20"/>
              </w:rPr>
            </w:pPr>
            <w:r w:rsidRPr="002020E8">
              <w:rPr>
                <w:rFonts w:cstheme="minorHAnsi"/>
                <w:szCs w:val="20"/>
              </w:rPr>
              <w:t>5</w:t>
            </w:r>
            <w:r w:rsidR="00963993" w:rsidRPr="002020E8">
              <w:rPr>
                <w:rFonts w:cstheme="minorHAnsi"/>
                <w:szCs w:val="20"/>
              </w:rPr>
              <w:t>.4</w:t>
            </w:r>
          </w:p>
        </w:tc>
      </w:tr>
      <w:tr w:rsidR="000665E6" w14:paraId="26B89923" w14:textId="77777777" w:rsidTr="000D7F02">
        <w:trPr>
          <w:trHeight w:val="508"/>
        </w:trPr>
        <w:tc>
          <w:tcPr>
            <w:tcW w:w="9587" w:type="dxa"/>
            <w:gridSpan w:val="5"/>
            <w:tcBorders>
              <w:top w:val="single" w:sz="2" w:space="0" w:color="002279"/>
              <w:left w:val="single" w:sz="2" w:space="0" w:color="002279"/>
              <w:bottom w:val="single" w:sz="2" w:space="0" w:color="002279"/>
              <w:right w:val="single" w:sz="2" w:space="0" w:color="002279"/>
            </w:tcBorders>
            <w:shd w:val="clear" w:color="auto" w:fill="002279"/>
            <w:vAlign w:val="center"/>
          </w:tcPr>
          <w:p w14:paraId="62530A22" w14:textId="578328C4" w:rsidR="00AC3C2F" w:rsidRPr="002020E8" w:rsidRDefault="00AC3C2F" w:rsidP="0049491C">
            <w:pPr>
              <w:pStyle w:val="TableText"/>
              <w:jc w:val="center"/>
              <w:rPr>
                <w:rFonts w:cstheme="minorHAnsi"/>
                <w:b/>
                <w:bCs/>
                <w:color w:val="FFFFFF" w:themeColor="background1"/>
                <w:szCs w:val="20"/>
              </w:rPr>
            </w:pPr>
            <w:r w:rsidRPr="002020E8">
              <w:rPr>
                <w:rFonts w:cstheme="minorHAnsi"/>
                <w:b/>
                <w:bCs/>
                <w:color w:val="FFFFFF" w:themeColor="background1"/>
                <w:szCs w:val="20"/>
              </w:rPr>
              <w:t>Key supporting actions, activities and programs</w:t>
            </w:r>
          </w:p>
        </w:tc>
      </w:tr>
      <w:tr w:rsidR="000665E6" w14:paraId="6CBC8834" w14:textId="77777777" w:rsidTr="000D7F02">
        <w:trPr>
          <w:trHeight w:val="1018"/>
        </w:trPr>
        <w:tc>
          <w:tcPr>
            <w:tcW w:w="9587" w:type="dxa"/>
            <w:gridSpan w:val="5"/>
            <w:tcBorders>
              <w:top w:val="single" w:sz="2" w:space="0" w:color="002279"/>
              <w:left w:val="single" w:sz="2" w:space="0" w:color="002279"/>
              <w:bottom w:val="single" w:sz="2" w:space="0" w:color="002279"/>
              <w:right w:val="single" w:sz="2" w:space="0" w:color="002279"/>
            </w:tcBorders>
          </w:tcPr>
          <w:p w14:paraId="12D7A4F1" w14:textId="6C7D75B5" w:rsidR="00AC3C2F" w:rsidRPr="002020E8" w:rsidRDefault="00AC3C2F" w:rsidP="006219D6">
            <w:pPr>
              <w:pStyle w:val="TableText"/>
              <w:jc w:val="center"/>
              <w:rPr>
                <w:rFonts w:cstheme="minorHAnsi"/>
                <w:szCs w:val="20"/>
              </w:rPr>
            </w:pPr>
            <w:r w:rsidRPr="002020E8">
              <w:rPr>
                <w:rFonts w:cstheme="minorHAnsi"/>
                <w:szCs w:val="20"/>
              </w:rPr>
              <w:t>Digital utility</w:t>
            </w:r>
          </w:p>
          <w:p w14:paraId="75DF6121" w14:textId="77777777" w:rsidR="00AC3C2F" w:rsidRPr="002020E8" w:rsidRDefault="00AC3C2F" w:rsidP="006219D6">
            <w:pPr>
              <w:pStyle w:val="TableText"/>
              <w:jc w:val="center"/>
              <w:rPr>
                <w:rFonts w:cstheme="minorHAnsi"/>
                <w:szCs w:val="20"/>
              </w:rPr>
            </w:pPr>
            <w:r w:rsidRPr="002020E8">
              <w:rPr>
                <w:rFonts w:cstheme="minorHAnsi"/>
                <w:szCs w:val="20"/>
              </w:rPr>
              <w:t>Customer information and education programs</w:t>
            </w:r>
          </w:p>
          <w:p w14:paraId="159E15F1" w14:textId="4BFE84B2" w:rsidR="00AC3C2F" w:rsidRPr="002020E8" w:rsidRDefault="00AC3C2F" w:rsidP="006219D6">
            <w:pPr>
              <w:pStyle w:val="TableText"/>
              <w:jc w:val="center"/>
              <w:rPr>
                <w:rFonts w:cstheme="minorHAnsi"/>
                <w:szCs w:val="20"/>
              </w:rPr>
            </w:pPr>
            <w:r w:rsidRPr="002020E8">
              <w:rPr>
                <w:rFonts w:cstheme="minorHAnsi"/>
                <w:szCs w:val="20"/>
              </w:rPr>
              <w:t>Clearer bills</w:t>
            </w:r>
          </w:p>
        </w:tc>
      </w:tr>
    </w:tbl>
    <w:p w14:paraId="53AD55A5" w14:textId="77777777" w:rsidR="008D5D26" w:rsidRDefault="008D5D26" w:rsidP="00AC3C2F"/>
    <w:p w14:paraId="0D9CAF29" w14:textId="7C421FB7" w:rsidR="00AC3C2F" w:rsidRDefault="00AC3C2F" w:rsidP="00AC3C2F">
      <w:r>
        <w:t xml:space="preserve">The </w:t>
      </w:r>
      <w:r w:rsidRPr="00013193">
        <w:rPr>
          <w:i/>
          <w:iCs/>
        </w:rPr>
        <w:t>Make my experience better</w:t>
      </w:r>
      <w:r w:rsidRPr="00013193">
        <w:t xml:space="preserve"> </w:t>
      </w:r>
      <w:r w:rsidRPr="00083EB3">
        <w:t xml:space="preserve">output </w:t>
      </w:r>
      <w:r>
        <w:t xml:space="preserve">measures retain the customer satisfaction output measure, noting that this is re-based </w:t>
      </w:r>
      <w:r w:rsidR="001221A5" w:rsidRPr="00AA3218">
        <w:t xml:space="preserve">due to the planned extension of customer touchpoints </w:t>
      </w:r>
      <w:r w:rsidR="001221A5" w:rsidRPr="00E0712C">
        <w:t>being</w:t>
      </w:r>
      <w:r w:rsidR="001221A5" w:rsidRPr="00AA3218">
        <w:t xml:space="preserve"> surveyed, including </w:t>
      </w:r>
      <w:r w:rsidR="008D3398" w:rsidRPr="00AA3218">
        <w:t>complaints</w:t>
      </w:r>
      <w:r w:rsidR="00C333BD" w:rsidRPr="00AA3218">
        <w:t>, debt collection</w:t>
      </w:r>
      <w:r w:rsidR="008D3398" w:rsidRPr="00AA3218">
        <w:t xml:space="preserve"> and </w:t>
      </w:r>
      <w:r w:rsidR="00461E74" w:rsidRPr="00AA3218">
        <w:t>vulnerable support</w:t>
      </w:r>
      <w:r w:rsidRPr="00AA3218">
        <w:t xml:space="preserve"> customer </w:t>
      </w:r>
      <w:r w:rsidR="007D7356" w:rsidRPr="00AA3218">
        <w:t>interactions</w:t>
      </w:r>
      <w:r>
        <w:t>.</w:t>
      </w:r>
    </w:p>
    <w:p w14:paraId="4EF8697F" w14:textId="6B3E81CA" w:rsidR="00AC3C2F" w:rsidRDefault="00AC3C2F" w:rsidP="00AC3C2F">
      <w:r>
        <w:t>The new output measures are designed to demonstrate improving customer experience</w:t>
      </w:r>
      <w:r w:rsidR="00991395">
        <w:t>,</w:t>
      </w:r>
      <w:r>
        <w:t xml:space="preserve"> due to investment in the digital strategy and digital metering. As a result of these systems</w:t>
      </w:r>
      <w:r w:rsidR="00141986">
        <w:t>,</w:t>
      </w:r>
      <w:r>
        <w:t xml:space="preserve"> customers should have better and more real-time information and </w:t>
      </w:r>
      <w:r w:rsidR="007A5D2F">
        <w:t xml:space="preserve">an </w:t>
      </w:r>
      <w:r>
        <w:t>improved ability to</w:t>
      </w:r>
      <w:r w:rsidR="001E223F">
        <w:t xml:space="preserve"> </w:t>
      </w:r>
      <w:r>
        <w:t>self-serve using South East Water</w:t>
      </w:r>
      <w:r w:rsidR="00612583">
        <w:t>’</w:t>
      </w:r>
      <w:r>
        <w:t>s digital systems.</w:t>
      </w:r>
    </w:p>
    <w:p w14:paraId="2AF4106B" w14:textId="77777777" w:rsidR="00AC3C2F" w:rsidRDefault="00AC3C2F" w:rsidP="00AC3C2F">
      <w:r>
        <w:t>Discontinued outcome measures from the current period are those relating to value for money and total complaints per 100 customers.</w:t>
      </w:r>
    </w:p>
    <w:p w14:paraId="6A02281B" w14:textId="6979BAD6" w:rsidR="00AC3C2F" w:rsidRDefault="00AC3C2F" w:rsidP="00DB7160">
      <w:pPr>
        <w:pStyle w:val="Heading3"/>
        <w:rPr>
          <w:i/>
        </w:rPr>
      </w:pPr>
      <w:r>
        <w:t xml:space="preserve">Outcome 5: </w:t>
      </w:r>
      <w:r w:rsidRPr="009C43A0">
        <w:rPr>
          <w:i/>
        </w:rPr>
        <w:t>Support my community, protect our environment</w:t>
      </w:r>
    </w:p>
    <w:p w14:paraId="7E0183B9" w14:textId="0661494B" w:rsidR="0049491C" w:rsidRDefault="0049491C" w:rsidP="0049491C">
      <w:pPr>
        <w:pStyle w:val="BodyText"/>
      </w:pPr>
      <w:r>
        <w:rPr>
          <w:noProof/>
        </w:rPr>
        <mc:AlternateContent>
          <mc:Choice Requires="wps">
            <w:drawing>
              <wp:anchor distT="0" distB="0" distL="114300" distR="114300" simplePos="0" relativeHeight="251658268" behindDoc="1" locked="0" layoutInCell="1" allowOverlap="1" wp14:anchorId="33DEC044" wp14:editId="03FFAD92">
                <wp:simplePos x="0" y="0"/>
                <wp:positionH relativeFrom="margin">
                  <wp:posOffset>2092</wp:posOffset>
                </wp:positionH>
                <wp:positionV relativeFrom="paragraph">
                  <wp:posOffset>102422</wp:posOffset>
                </wp:positionV>
                <wp:extent cx="6069106" cy="2088776"/>
                <wp:effectExtent l="0" t="0" r="1905" b="0"/>
                <wp:wrapNone/>
                <wp:docPr id="990" name="Rectangle 9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69106" cy="2088776"/>
                        </a:xfrm>
                        <a:prstGeom prst="rect">
                          <a:avLst/>
                        </a:prstGeom>
                        <a:solidFill>
                          <a:schemeClr val="bg2">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DFF728" w14:textId="77777777" w:rsidR="0049491C" w:rsidRPr="0049491C" w:rsidRDefault="0049491C" w:rsidP="0049491C">
                            <w:pPr>
                              <w:rPr>
                                <w:color w:val="000000"/>
                              </w:rPr>
                            </w:pPr>
                            <w:r w:rsidRPr="0049491C">
                              <w:rPr>
                                <w:color w:val="000000"/>
                              </w:rPr>
                              <w:t>Customers place importance on us ensuring long-term water security, minimising our impact on the environment, and supporting our community. This means preserving our connection to the land and water and continuing to learn from Traditional Owners in our service region.</w:t>
                            </w:r>
                          </w:p>
                          <w:p w14:paraId="1C197D45" w14:textId="5A2E36EB" w:rsidR="0049491C" w:rsidRPr="0049491C" w:rsidRDefault="0049491C" w:rsidP="0049491C">
                            <w:pPr>
                              <w:rPr>
                                <w:color w:val="000000"/>
                              </w:rPr>
                            </w:pPr>
                            <w:r w:rsidRPr="0049491C">
                              <w:rPr>
                                <w:color w:val="000000"/>
                              </w:rPr>
                              <w:t xml:space="preserve">It means easing demand on </w:t>
                            </w:r>
                            <w:r w:rsidR="00522832">
                              <w:rPr>
                                <w:color w:val="000000"/>
                              </w:rPr>
                              <w:t>potable</w:t>
                            </w:r>
                            <w:r w:rsidRPr="0049491C">
                              <w:rPr>
                                <w:color w:val="000000"/>
                              </w:rPr>
                              <w:t xml:space="preserve"> water supplies, by continuing our push to deliver more alternative water and encouraging and enabling customers to be wise with their water use. </w:t>
                            </w:r>
                          </w:p>
                          <w:p w14:paraId="1BE54C06" w14:textId="18E77B56" w:rsidR="0049491C" w:rsidRPr="00116E55" w:rsidRDefault="0049491C" w:rsidP="00116E55">
                            <w:pPr>
                              <w:rPr>
                                <w:color w:val="000000"/>
                              </w:rPr>
                            </w:pPr>
                            <w:r w:rsidRPr="0049491C">
                              <w:rPr>
                                <w:color w:val="000000"/>
                              </w:rPr>
                              <w:t>It also means reducing sewer leaks and blockages through more advanced network monitoring devices and digital sensors, and driving our commitment to net zero emissions by 2030.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DEC044" id="Rectangle 990" o:spid="_x0000_s1041" style="position:absolute;margin-left:.15pt;margin-top:8.05pt;width:477.9pt;height:164.45pt;z-index:-2516582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" fillcolor="#f2f2f2 [3054]" stroked="f" strokeweight="1pt">
                <v:textbox>
                  <w:txbxContent>
                    <w:p w14:paraId="25DFF728" w14:textId="77777777" w:rsidR="0049491C" w:rsidRPr="0049491C" w:rsidRDefault="0049491C" w:rsidP="0049491C">
                      <w:pPr>
                        <w:rPr>
                          <w:color w:val="000000"/>
                        </w:rPr>
                      </w:pPr>
                      <w:r w:rsidRPr="0049491C">
                        <w:rPr>
                          <w:color w:val="000000"/>
                        </w:rPr>
                        <w:t>Customers place importance on us ensuring long-term water security, minimising our impact on the environment, and supporting our community. This means preserving our connection to the land and water and continuing to learn from Traditional Owners in our service region.</w:t>
                      </w:r>
                    </w:p>
                    <w:p w14:paraId="1C197D45" w14:textId="5A2E36EB" w:rsidR="0049491C" w:rsidRPr="0049491C" w:rsidRDefault="0049491C" w:rsidP="0049491C">
                      <w:pPr>
                        <w:rPr>
                          <w:color w:val="000000"/>
                        </w:rPr>
                      </w:pPr>
                      <w:r w:rsidRPr="0049491C">
                        <w:rPr>
                          <w:color w:val="000000"/>
                        </w:rPr>
                        <w:t xml:space="preserve">It means easing demand on </w:t>
                      </w:r>
                      <w:r w:rsidR="00522832">
                        <w:rPr>
                          <w:color w:val="000000"/>
                        </w:rPr>
                        <w:t>potable</w:t>
                      </w:r>
                      <w:r w:rsidRPr="0049491C">
                        <w:rPr>
                          <w:color w:val="000000"/>
                        </w:rPr>
                        <w:t xml:space="preserve"> water supplies, by continuing our push to deliver more alternative water and encouraging and enabling customers to be wise with their water use. </w:t>
                      </w:r>
                    </w:p>
                    <w:p w14:paraId="1BE54C06" w14:textId="18E77B56" w:rsidR="0049491C" w:rsidRPr="00116E55" w:rsidRDefault="0049491C" w:rsidP="00116E55">
                      <w:pPr>
                        <w:rPr>
                          <w:color w:val="000000"/>
                        </w:rPr>
                      </w:pPr>
                      <w:r w:rsidRPr="0049491C">
                        <w:rPr>
                          <w:color w:val="000000"/>
                        </w:rPr>
                        <w:t xml:space="preserve">It also means reducing sewer leaks and blockages through more advanced network monitoring devices and digital </w:t>
                      </w:r>
                      <w:proofErr w:type="gramStart"/>
                      <w:r w:rsidRPr="0049491C">
                        <w:rPr>
                          <w:color w:val="000000"/>
                        </w:rPr>
                        <w:t>sensors, and</w:t>
                      </w:r>
                      <w:proofErr w:type="gramEnd"/>
                      <w:r w:rsidRPr="0049491C">
                        <w:rPr>
                          <w:color w:val="000000"/>
                        </w:rPr>
                        <w:t xml:space="preserve"> driving our commitment to net zero emissions by 2030.</w:t>
                      </w:r>
                    </w:p>
                  </w:txbxContent>
                </v:textbox>
                <w10:wrap anchorx="margin"/>
              </v:rect>
            </w:pict>
          </mc:Fallback>
        </mc:AlternateContent>
      </w:r>
    </w:p>
    <w:p w14:paraId="4C7012E5" w14:textId="3748FEBC" w:rsidR="0049491C" w:rsidRDefault="0049491C" w:rsidP="00116E55">
      <w:pPr>
        <w:pStyle w:val="BodyText"/>
        <w:tabs>
          <w:tab w:val="left" w:pos="2965"/>
        </w:tabs>
      </w:pPr>
      <w:r>
        <w:tab/>
      </w:r>
    </w:p>
    <w:p w14:paraId="4808D88C" w14:textId="1CEA80A7" w:rsidR="0049491C" w:rsidRDefault="0049491C" w:rsidP="0049491C">
      <w:pPr>
        <w:pStyle w:val="BodyText"/>
      </w:pPr>
    </w:p>
    <w:p w14:paraId="39422CFC" w14:textId="3AC4A0CE" w:rsidR="0049491C" w:rsidRDefault="0049491C" w:rsidP="0049491C">
      <w:pPr>
        <w:pStyle w:val="BodyText"/>
      </w:pPr>
    </w:p>
    <w:p w14:paraId="6AF5969B" w14:textId="15FFEBDF" w:rsidR="0049491C" w:rsidRDefault="0049491C" w:rsidP="0049491C">
      <w:pPr>
        <w:pStyle w:val="BodyText"/>
      </w:pPr>
    </w:p>
    <w:p w14:paraId="160898EA" w14:textId="068723FC" w:rsidR="0049491C" w:rsidRDefault="0049491C" w:rsidP="0049491C">
      <w:pPr>
        <w:pStyle w:val="BodyText"/>
      </w:pPr>
    </w:p>
    <w:p w14:paraId="097C1EBE" w14:textId="79B4083B" w:rsidR="0049491C" w:rsidRDefault="0049491C" w:rsidP="0049491C">
      <w:pPr>
        <w:pStyle w:val="BodyText"/>
      </w:pPr>
    </w:p>
    <w:p w14:paraId="0AACBBE5" w14:textId="77777777" w:rsidR="0049491C" w:rsidRDefault="0049491C" w:rsidP="0049491C">
      <w:pPr>
        <w:pStyle w:val="BodyText"/>
      </w:pPr>
    </w:p>
    <w:p w14:paraId="09D8898C" w14:textId="77777777" w:rsidR="0049491C" w:rsidRPr="0049491C" w:rsidRDefault="0049491C" w:rsidP="00116E55">
      <w:pPr>
        <w:pStyle w:val="BodyText"/>
      </w:pPr>
    </w:p>
    <w:p w14:paraId="2D76B977" w14:textId="268156CC" w:rsidR="00AC3C2F" w:rsidRPr="00476C9E" w:rsidRDefault="00D75F40" w:rsidP="00116E55">
      <w:pPr>
        <w:pStyle w:val="Tabletitle"/>
        <w:spacing w:after="120"/>
        <w:rPr>
          <w:rFonts w:cs="Arial"/>
          <w:i/>
          <w:sz w:val="22"/>
          <w:szCs w:val="22"/>
        </w:rPr>
      </w:pPr>
      <w:r w:rsidRPr="00D75F40">
        <w:rPr>
          <w:rFonts w:cs="Arial"/>
          <w:i/>
          <w:sz w:val="22"/>
          <w:szCs w:val="22"/>
        </w:rPr>
        <w:t xml:space="preserve">Table </w:t>
      </w:r>
      <w:r w:rsidR="00E0331E" w:rsidRPr="00CE6C4E">
        <w:rPr>
          <w:b w:val="0"/>
          <w:bCs/>
          <w:i/>
          <w:iCs w:val="0"/>
          <w:sz w:val="22"/>
          <w:szCs w:val="22"/>
        </w:rPr>
        <w:fldChar w:fldCharType="begin"/>
      </w:r>
      <w:r w:rsidR="00E0331E" w:rsidRPr="00CE6C4E">
        <w:rPr>
          <w:bCs/>
          <w:i/>
          <w:iCs w:val="0"/>
          <w:sz w:val="22"/>
          <w:szCs w:val="22"/>
        </w:rPr>
        <w:instrText>SEQ Table \* ARABIC</w:instrText>
      </w:r>
      <w:r w:rsidR="00E0331E" w:rsidRPr="00CE6C4E">
        <w:rPr>
          <w:b w:val="0"/>
          <w:bCs/>
          <w:i/>
          <w:iCs w:val="0"/>
          <w:sz w:val="22"/>
          <w:szCs w:val="22"/>
        </w:rPr>
        <w:fldChar w:fldCharType="separate"/>
      </w:r>
      <w:r w:rsidR="00E0331E">
        <w:rPr>
          <w:bCs/>
          <w:i/>
          <w:iCs w:val="0"/>
          <w:noProof/>
          <w:sz w:val="22"/>
          <w:szCs w:val="22"/>
        </w:rPr>
        <w:t>15</w:t>
      </w:r>
      <w:r w:rsidR="00E0331E" w:rsidRPr="00CE6C4E">
        <w:rPr>
          <w:b w:val="0"/>
          <w:bCs/>
          <w:i/>
          <w:iCs w:val="0"/>
          <w:sz w:val="22"/>
          <w:szCs w:val="22"/>
        </w:rPr>
        <w:fldChar w:fldCharType="end"/>
      </w:r>
      <w:r w:rsidRPr="00D75F40">
        <w:rPr>
          <w:rFonts w:cs="Arial"/>
          <w:i/>
          <w:sz w:val="22"/>
          <w:szCs w:val="22"/>
        </w:rPr>
        <w:t>:</w:t>
      </w:r>
      <w:r w:rsidR="00391A1D" w:rsidRPr="00476C9E">
        <w:rPr>
          <w:rFonts w:cs="Arial"/>
          <w:i/>
          <w:sz w:val="22"/>
          <w:szCs w:val="22"/>
        </w:rPr>
        <w:t xml:space="preserve"> </w:t>
      </w:r>
      <w:r w:rsidR="00AC3C2F" w:rsidRPr="00476C9E">
        <w:rPr>
          <w:rFonts w:cs="Arial"/>
          <w:i/>
          <w:sz w:val="22"/>
          <w:szCs w:val="22"/>
        </w:rPr>
        <w:t>Outcome 5 output measures and targets</w:t>
      </w:r>
    </w:p>
    <w:tbl>
      <w:tblPr>
        <w:tblStyle w:val="MJTableStyle1default"/>
        <w:tblW w:w="5000" w:type="pct"/>
        <w:tblInd w:w="0" w:type="dxa"/>
        <w:tblLook w:val="0620" w:firstRow="1" w:lastRow="0" w:firstColumn="0" w:lastColumn="0" w:noHBand="1" w:noVBand="1"/>
      </w:tblPr>
      <w:tblGrid>
        <w:gridCol w:w="2172"/>
        <w:gridCol w:w="1906"/>
        <w:gridCol w:w="2156"/>
        <w:gridCol w:w="1843"/>
        <w:gridCol w:w="1510"/>
      </w:tblGrid>
      <w:tr w:rsidR="00F71A99" w:rsidRPr="00476C9E" w14:paraId="7A1D8A4C" w14:textId="77777777" w:rsidTr="00670D8C">
        <w:trPr>
          <w:cnfStyle w:val="100000000000" w:firstRow="1" w:lastRow="0" w:firstColumn="0" w:lastColumn="0" w:oddVBand="0" w:evenVBand="0" w:oddHBand="0" w:evenHBand="0" w:firstRowFirstColumn="0" w:firstRowLastColumn="0" w:lastRowFirstColumn="0" w:lastRowLastColumn="0"/>
          <w:trHeight w:val="668"/>
        </w:trPr>
        <w:tc>
          <w:tcPr>
            <w:tcW w:w="2172" w:type="dxa"/>
            <w:tcBorders>
              <w:top w:val="single" w:sz="2" w:space="0" w:color="002279"/>
              <w:left w:val="single" w:sz="2" w:space="0" w:color="002279"/>
              <w:bottom w:val="single" w:sz="2" w:space="0" w:color="002279"/>
              <w:right w:val="single" w:sz="4" w:space="0" w:color="FFFFFF" w:themeColor="background1"/>
            </w:tcBorders>
            <w:shd w:val="clear" w:color="auto" w:fill="002279"/>
            <w:vAlign w:val="center"/>
          </w:tcPr>
          <w:p w14:paraId="3EB5DEFA" w14:textId="77777777" w:rsidR="00F71A99" w:rsidRPr="003E1432" w:rsidRDefault="00F71A99" w:rsidP="00F71A99">
            <w:pPr>
              <w:pStyle w:val="TableHeading"/>
              <w:rPr>
                <w:rFonts w:asciiTheme="minorHAnsi" w:hAnsiTheme="minorHAnsi"/>
              </w:rPr>
            </w:pPr>
            <w:r w:rsidRPr="003E1432">
              <w:rPr>
                <w:rFonts w:asciiTheme="minorHAnsi" w:hAnsiTheme="minorHAnsi"/>
              </w:rPr>
              <w:t>Output measure</w:t>
            </w:r>
          </w:p>
        </w:tc>
        <w:tc>
          <w:tcPr>
            <w:tcW w:w="1906" w:type="dxa"/>
            <w:tcBorders>
              <w:top w:val="single" w:sz="2" w:space="0" w:color="002279"/>
              <w:left w:val="single" w:sz="4" w:space="0" w:color="FFFFFF" w:themeColor="background1"/>
              <w:bottom w:val="single" w:sz="2" w:space="0" w:color="002279"/>
              <w:right w:val="single" w:sz="4" w:space="0" w:color="FFFFFF" w:themeColor="background1"/>
            </w:tcBorders>
            <w:shd w:val="clear" w:color="auto" w:fill="002279"/>
            <w:vAlign w:val="center"/>
          </w:tcPr>
          <w:p w14:paraId="6237E101" w14:textId="4FDAF540" w:rsidR="00F71A99" w:rsidRPr="003E1432" w:rsidRDefault="00F71A99" w:rsidP="00F71A99">
            <w:pPr>
              <w:pStyle w:val="TableHeading"/>
              <w:jc w:val="center"/>
              <w:rPr>
                <w:rFonts w:asciiTheme="minorHAnsi" w:hAnsiTheme="minorHAnsi"/>
              </w:rPr>
            </w:pPr>
            <w:r w:rsidRPr="003E1432">
              <w:rPr>
                <w:rFonts w:asciiTheme="minorHAnsi" w:hAnsiTheme="minorHAnsi"/>
              </w:rPr>
              <w:t>Existing, improved or new</w:t>
            </w:r>
          </w:p>
        </w:tc>
        <w:tc>
          <w:tcPr>
            <w:tcW w:w="2156" w:type="dxa"/>
            <w:tcBorders>
              <w:top w:val="single" w:sz="2" w:space="0" w:color="002279"/>
              <w:left w:val="single" w:sz="4" w:space="0" w:color="FFFFFF" w:themeColor="background1"/>
              <w:bottom w:val="single" w:sz="2" w:space="0" w:color="002279"/>
              <w:right w:val="single" w:sz="4" w:space="0" w:color="FFFFFF" w:themeColor="background1"/>
            </w:tcBorders>
            <w:shd w:val="clear" w:color="auto" w:fill="002279"/>
            <w:vAlign w:val="center"/>
          </w:tcPr>
          <w:p w14:paraId="14BFC872" w14:textId="6B11B2A0" w:rsidR="00F71A99" w:rsidRPr="003E1432" w:rsidRDefault="00F71A99" w:rsidP="00F71A99">
            <w:pPr>
              <w:pStyle w:val="TableHeading"/>
              <w:jc w:val="center"/>
              <w:rPr>
                <w:rFonts w:asciiTheme="minorHAnsi" w:hAnsiTheme="minorHAnsi"/>
              </w:rPr>
            </w:pPr>
            <w:r>
              <w:rPr>
                <w:rFonts w:asciiTheme="minorHAnsi" w:hAnsiTheme="minorHAnsi"/>
              </w:rPr>
              <w:t xml:space="preserve">2021—22 </w:t>
            </w:r>
            <w:r>
              <w:rPr>
                <w:rFonts w:asciiTheme="minorHAnsi" w:hAnsiTheme="minorHAnsi"/>
              </w:rPr>
              <w:br/>
              <w:t>result</w:t>
            </w:r>
          </w:p>
        </w:tc>
        <w:tc>
          <w:tcPr>
            <w:tcW w:w="1843" w:type="dxa"/>
            <w:tcBorders>
              <w:top w:val="single" w:sz="2" w:space="0" w:color="002279"/>
              <w:left w:val="single" w:sz="4" w:space="0" w:color="FFFFFF" w:themeColor="background1"/>
              <w:bottom w:val="single" w:sz="2" w:space="0" w:color="002279"/>
              <w:right w:val="single" w:sz="4" w:space="0" w:color="FFFFFF" w:themeColor="background1"/>
            </w:tcBorders>
            <w:shd w:val="clear" w:color="auto" w:fill="002279"/>
            <w:vAlign w:val="center"/>
          </w:tcPr>
          <w:p w14:paraId="579B42AF" w14:textId="62916C18" w:rsidR="00F71A99" w:rsidRPr="003E1432" w:rsidRDefault="00F71A99" w:rsidP="00F71A99">
            <w:pPr>
              <w:pStyle w:val="TableHeading"/>
              <w:jc w:val="center"/>
              <w:rPr>
                <w:rFonts w:asciiTheme="minorHAnsi" w:hAnsiTheme="minorHAnsi"/>
              </w:rPr>
            </w:pPr>
            <w:r w:rsidRPr="00643AC8">
              <w:rPr>
                <w:rFonts w:asciiTheme="minorHAnsi" w:hAnsiTheme="minorHAnsi"/>
              </w:rPr>
              <w:t>5-year average</w:t>
            </w:r>
          </w:p>
        </w:tc>
        <w:tc>
          <w:tcPr>
            <w:tcW w:w="1510" w:type="dxa"/>
            <w:tcBorders>
              <w:top w:val="single" w:sz="2" w:space="0" w:color="002279"/>
              <w:left w:val="single" w:sz="4" w:space="0" w:color="FFFFFF" w:themeColor="background1"/>
              <w:bottom w:val="single" w:sz="2" w:space="0" w:color="002279"/>
              <w:right w:val="single" w:sz="2" w:space="0" w:color="002279"/>
            </w:tcBorders>
            <w:shd w:val="clear" w:color="auto" w:fill="002279"/>
            <w:vAlign w:val="center"/>
          </w:tcPr>
          <w:p w14:paraId="1C79722B" w14:textId="3719884D" w:rsidR="00F71A99" w:rsidRPr="003E1432" w:rsidRDefault="00F71A99" w:rsidP="00F71A99">
            <w:pPr>
              <w:pStyle w:val="TableHeading"/>
              <w:jc w:val="center"/>
              <w:rPr>
                <w:rFonts w:asciiTheme="minorHAnsi" w:hAnsiTheme="minorHAnsi"/>
              </w:rPr>
            </w:pPr>
            <w:r w:rsidRPr="00643AC8">
              <w:rPr>
                <w:rFonts w:asciiTheme="minorHAnsi" w:hAnsiTheme="minorHAnsi"/>
              </w:rPr>
              <w:t>2027–28</w:t>
            </w:r>
            <w:r>
              <w:rPr>
                <w:rFonts w:asciiTheme="minorHAnsi" w:hAnsiTheme="minorHAnsi"/>
              </w:rPr>
              <w:t xml:space="preserve"> </w:t>
            </w:r>
            <w:r>
              <w:rPr>
                <w:rFonts w:asciiTheme="minorHAnsi" w:hAnsiTheme="minorHAnsi"/>
              </w:rPr>
              <w:br/>
              <w:t>target</w:t>
            </w:r>
          </w:p>
        </w:tc>
      </w:tr>
      <w:tr w:rsidR="003E1432" w:rsidRPr="00476C9E" w14:paraId="28D5B18B" w14:textId="77777777" w:rsidTr="00670D8C">
        <w:trPr>
          <w:trHeight w:val="902"/>
        </w:trPr>
        <w:tc>
          <w:tcPr>
            <w:tcW w:w="2172" w:type="dxa"/>
            <w:tcBorders>
              <w:top w:val="single" w:sz="2" w:space="0" w:color="002279"/>
              <w:left w:val="single" w:sz="2" w:space="0" w:color="002279"/>
              <w:bottom w:val="single" w:sz="2" w:space="0" w:color="002279"/>
              <w:right w:val="single" w:sz="2" w:space="0" w:color="002279"/>
            </w:tcBorders>
            <w:shd w:val="clear" w:color="auto" w:fill="D4D6DF"/>
          </w:tcPr>
          <w:p w14:paraId="5A4F8C08" w14:textId="2948C499" w:rsidR="00AC3C2F" w:rsidRPr="002020E8" w:rsidRDefault="00AC3C2F" w:rsidP="006219D6">
            <w:pPr>
              <w:pStyle w:val="TableText"/>
              <w:rPr>
                <w:rFonts w:ascii="Arial" w:hAnsi="Arial" w:cs="Arial"/>
                <w:szCs w:val="20"/>
              </w:rPr>
            </w:pPr>
            <w:r w:rsidRPr="002020E8">
              <w:rPr>
                <w:rFonts w:cs="Arial"/>
                <w:szCs w:val="20"/>
              </w:rPr>
              <w:t xml:space="preserve">Overall </w:t>
            </w:r>
            <w:r w:rsidR="00201F90" w:rsidRPr="002020E8">
              <w:rPr>
                <w:rFonts w:cs="Arial"/>
                <w:szCs w:val="20"/>
              </w:rPr>
              <w:t>c</w:t>
            </w:r>
            <w:r w:rsidRPr="002020E8">
              <w:rPr>
                <w:rFonts w:cs="Arial"/>
                <w:szCs w:val="20"/>
              </w:rPr>
              <w:t xml:space="preserve">ommunity </w:t>
            </w:r>
            <w:r w:rsidR="00201F90" w:rsidRPr="002020E8">
              <w:rPr>
                <w:rFonts w:cs="Arial"/>
                <w:szCs w:val="20"/>
              </w:rPr>
              <w:t>t</w:t>
            </w:r>
            <w:r w:rsidRPr="002020E8">
              <w:rPr>
                <w:rFonts w:cs="Arial"/>
                <w:szCs w:val="20"/>
              </w:rPr>
              <w:t>rust in South East Water</w:t>
            </w:r>
          </w:p>
        </w:tc>
        <w:tc>
          <w:tcPr>
            <w:tcW w:w="1906" w:type="dxa"/>
            <w:tcBorders>
              <w:top w:val="single" w:sz="2" w:space="0" w:color="002279"/>
              <w:left w:val="single" w:sz="2" w:space="0" w:color="002279"/>
              <w:bottom w:val="single" w:sz="2" w:space="0" w:color="002279"/>
              <w:right w:val="single" w:sz="2" w:space="0" w:color="002279"/>
            </w:tcBorders>
            <w:shd w:val="clear" w:color="auto" w:fill="D4D6DF"/>
            <w:vAlign w:val="center"/>
          </w:tcPr>
          <w:p w14:paraId="38BBE3A7" w14:textId="77777777" w:rsidR="00AC3C2F" w:rsidRPr="002020E8" w:rsidRDefault="00AC3C2F" w:rsidP="007E2F8F">
            <w:pPr>
              <w:pStyle w:val="TableText"/>
              <w:jc w:val="center"/>
              <w:rPr>
                <w:rFonts w:ascii="Arial" w:hAnsi="Arial" w:cs="Arial"/>
                <w:szCs w:val="20"/>
              </w:rPr>
            </w:pPr>
            <w:r w:rsidRPr="002020E8">
              <w:rPr>
                <w:rFonts w:cs="Arial"/>
                <w:szCs w:val="20"/>
              </w:rPr>
              <w:t>New</w:t>
            </w:r>
          </w:p>
        </w:tc>
        <w:tc>
          <w:tcPr>
            <w:tcW w:w="2156" w:type="dxa"/>
            <w:tcBorders>
              <w:top w:val="single" w:sz="2" w:space="0" w:color="002279"/>
              <w:left w:val="single" w:sz="2" w:space="0" w:color="002279"/>
              <w:bottom w:val="single" w:sz="2" w:space="0" w:color="002279"/>
              <w:right w:val="single" w:sz="2" w:space="0" w:color="002279"/>
            </w:tcBorders>
            <w:shd w:val="clear" w:color="auto" w:fill="D4D6DF"/>
            <w:vAlign w:val="center"/>
          </w:tcPr>
          <w:p w14:paraId="1B1941DB" w14:textId="4A1BD394" w:rsidR="00AC3C2F" w:rsidRPr="002020E8" w:rsidRDefault="00D03ABB" w:rsidP="007E2F8F">
            <w:pPr>
              <w:pStyle w:val="TableText"/>
              <w:jc w:val="center"/>
              <w:rPr>
                <w:rFonts w:ascii="Arial" w:hAnsi="Arial" w:cs="Arial"/>
                <w:szCs w:val="20"/>
              </w:rPr>
            </w:pPr>
            <w:r w:rsidRPr="002020E8">
              <w:rPr>
                <w:rFonts w:cs="Arial"/>
                <w:color w:val="auto"/>
                <w:szCs w:val="20"/>
              </w:rPr>
              <w:t>68%</w:t>
            </w:r>
          </w:p>
        </w:tc>
        <w:tc>
          <w:tcPr>
            <w:tcW w:w="1843" w:type="dxa"/>
            <w:tcBorders>
              <w:top w:val="single" w:sz="2" w:space="0" w:color="002279"/>
              <w:left w:val="single" w:sz="2" w:space="0" w:color="002279"/>
              <w:bottom w:val="single" w:sz="2" w:space="0" w:color="002279"/>
              <w:right w:val="single" w:sz="2" w:space="0" w:color="002279"/>
            </w:tcBorders>
            <w:shd w:val="clear" w:color="auto" w:fill="D4D6DF"/>
            <w:vAlign w:val="center"/>
          </w:tcPr>
          <w:p w14:paraId="762D4B0E" w14:textId="4B755477" w:rsidR="0060680A" w:rsidRPr="002020E8" w:rsidRDefault="0060680A" w:rsidP="007E2F8F">
            <w:pPr>
              <w:pStyle w:val="TableText"/>
              <w:jc w:val="center"/>
              <w:rPr>
                <w:rFonts w:ascii="Arial" w:hAnsi="Arial" w:cs="Arial"/>
                <w:szCs w:val="20"/>
              </w:rPr>
            </w:pPr>
            <w:r w:rsidRPr="002020E8">
              <w:rPr>
                <w:rFonts w:cs="Arial"/>
                <w:szCs w:val="20"/>
              </w:rPr>
              <w:t>63%</w:t>
            </w:r>
          </w:p>
        </w:tc>
        <w:tc>
          <w:tcPr>
            <w:tcW w:w="1510" w:type="dxa"/>
            <w:tcBorders>
              <w:top w:val="single" w:sz="2" w:space="0" w:color="002279"/>
              <w:left w:val="single" w:sz="2" w:space="0" w:color="002279"/>
              <w:bottom w:val="single" w:sz="2" w:space="0" w:color="002279"/>
              <w:right w:val="single" w:sz="2" w:space="0" w:color="002279"/>
            </w:tcBorders>
            <w:shd w:val="clear" w:color="auto" w:fill="D4D6DF"/>
            <w:vAlign w:val="center"/>
          </w:tcPr>
          <w:p w14:paraId="33002D46" w14:textId="5C3847F4" w:rsidR="00AC3C2F" w:rsidRPr="002020E8" w:rsidRDefault="00AC3C2F" w:rsidP="007E2F8F">
            <w:pPr>
              <w:pStyle w:val="TableText"/>
              <w:jc w:val="center"/>
              <w:rPr>
                <w:rFonts w:ascii="Arial" w:hAnsi="Arial" w:cs="Arial"/>
                <w:szCs w:val="20"/>
              </w:rPr>
            </w:pPr>
            <w:r w:rsidRPr="002020E8">
              <w:rPr>
                <w:rFonts w:cs="Arial"/>
                <w:szCs w:val="20"/>
              </w:rPr>
              <w:t>70%</w:t>
            </w:r>
          </w:p>
        </w:tc>
      </w:tr>
      <w:tr w:rsidR="00D665B1" w:rsidRPr="00476C9E" w14:paraId="3B53424B" w14:textId="77777777" w:rsidTr="00670D8C">
        <w:trPr>
          <w:trHeight w:val="559"/>
        </w:trPr>
        <w:tc>
          <w:tcPr>
            <w:tcW w:w="2172" w:type="dxa"/>
            <w:tcBorders>
              <w:top w:val="single" w:sz="2" w:space="0" w:color="002279"/>
              <w:left w:val="single" w:sz="2" w:space="0" w:color="002279"/>
              <w:bottom w:val="single" w:sz="2" w:space="0" w:color="002279"/>
              <w:right w:val="single" w:sz="2" w:space="0" w:color="002279"/>
            </w:tcBorders>
          </w:tcPr>
          <w:p w14:paraId="2908F68B" w14:textId="2194C719" w:rsidR="00AC3C2F" w:rsidRPr="002020E8" w:rsidRDefault="00AC3C2F" w:rsidP="006219D6">
            <w:pPr>
              <w:pStyle w:val="TableText"/>
              <w:rPr>
                <w:rFonts w:ascii="Arial" w:hAnsi="Arial" w:cs="Arial"/>
                <w:szCs w:val="20"/>
              </w:rPr>
            </w:pPr>
            <w:r w:rsidRPr="002020E8">
              <w:rPr>
                <w:rFonts w:cs="Arial"/>
                <w:szCs w:val="20"/>
              </w:rPr>
              <w:t xml:space="preserve">Total </w:t>
            </w:r>
            <w:r w:rsidR="005A2578" w:rsidRPr="002020E8">
              <w:rPr>
                <w:rFonts w:cs="Arial"/>
                <w:szCs w:val="20"/>
              </w:rPr>
              <w:t>greenhouse gas emissions</w:t>
            </w:r>
            <w:r w:rsidRPr="002020E8">
              <w:rPr>
                <w:rFonts w:cs="Arial"/>
                <w:szCs w:val="20"/>
              </w:rPr>
              <w:t xml:space="preserve"> (</w:t>
            </w:r>
            <w:r w:rsidR="007F594B" w:rsidRPr="002020E8">
              <w:rPr>
                <w:rFonts w:cs="Arial"/>
                <w:szCs w:val="20"/>
              </w:rPr>
              <w:t>tCO</w:t>
            </w:r>
            <w:r w:rsidR="007F594B" w:rsidRPr="002020E8">
              <w:rPr>
                <w:rFonts w:cs="Arial"/>
                <w:szCs w:val="20"/>
                <w:vertAlign w:val="subscript"/>
              </w:rPr>
              <w:t>2</w:t>
            </w:r>
            <w:r w:rsidR="007F594B" w:rsidRPr="002020E8">
              <w:rPr>
                <w:rFonts w:cs="Arial"/>
                <w:szCs w:val="20"/>
              </w:rPr>
              <w:t>e</w:t>
            </w:r>
            <w:r w:rsidRPr="002020E8">
              <w:rPr>
                <w:rFonts w:cs="Arial"/>
                <w:szCs w:val="20"/>
              </w:rPr>
              <w:t>)</w:t>
            </w:r>
          </w:p>
        </w:tc>
        <w:tc>
          <w:tcPr>
            <w:tcW w:w="1906" w:type="dxa"/>
            <w:tcBorders>
              <w:top w:val="single" w:sz="2" w:space="0" w:color="002279"/>
              <w:left w:val="single" w:sz="2" w:space="0" w:color="002279"/>
              <w:bottom w:val="single" w:sz="2" w:space="0" w:color="002279"/>
              <w:right w:val="single" w:sz="2" w:space="0" w:color="002279"/>
            </w:tcBorders>
            <w:vAlign w:val="center"/>
          </w:tcPr>
          <w:p w14:paraId="57E6EC31" w14:textId="77777777" w:rsidR="00AC3C2F" w:rsidRPr="002020E8" w:rsidRDefault="00AC3C2F" w:rsidP="007E2F8F">
            <w:pPr>
              <w:pStyle w:val="TableText"/>
              <w:jc w:val="center"/>
              <w:rPr>
                <w:rFonts w:ascii="Arial" w:hAnsi="Arial" w:cs="Arial"/>
                <w:szCs w:val="20"/>
              </w:rPr>
            </w:pPr>
            <w:r w:rsidRPr="002020E8">
              <w:rPr>
                <w:rFonts w:cs="Arial"/>
                <w:szCs w:val="20"/>
              </w:rPr>
              <w:t>Existing</w:t>
            </w:r>
          </w:p>
        </w:tc>
        <w:tc>
          <w:tcPr>
            <w:tcW w:w="2156" w:type="dxa"/>
            <w:tcBorders>
              <w:top w:val="single" w:sz="2" w:space="0" w:color="002279"/>
              <w:left w:val="single" w:sz="2" w:space="0" w:color="002279"/>
              <w:bottom w:val="single" w:sz="2" w:space="0" w:color="002279"/>
              <w:right w:val="single" w:sz="2" w:space="0" w:color="002279"/>
            </w:tcBorders>
            <w:vAlign w:val="center"/>
          </w:tcPr>
          <w:p w14:paraId="50FFE865" w14:textId="48214EBA" w:rsidR="00AC3C2F" w:rsidRPr="002020E8" w:rsidRDefault="001B740B" w:rsidP="007E2F8F">
            <w:pPr>
              <w:pStyle w:val="TableText"/>
              <w:jc w:val="center"/>
              <w:rPr>
                <w:rFonts w:ascii="Arial" w:hAnsi="Arial" w:cs="Arial"/>
                <w:szCs w:val="20"/>
              </w:rPr>
            </w:pPr>
            <w:r w:rsidRPr="002020E8">
              <w:rPr>
                <w:rFonts w:cs="Arial"/>
                <w:color w:val="auto"/>
                <w:szCs w:val="20"/>
              </w:rPr>
              <w:t>28</w:t>
            </w:r>
            <w:r w:rsidR="008B33EF" w:rsidRPr="002020E8">
              <w:rPr>
                <w:rFonts w:cs="Arial"/>
                <w:color w:val="auto"/>
                <w:szCs w:val="20"/>
              </w:rPr>
              <w:t>,</w:t>
            </w:r>
            <w:r w:rsidRPr="002020E8">
              <w:rPr>
                <w:rFonts w:cs="Arial"/>
                <w:color w:val="auto"/>
                <w:szCs w:val="20"/>
              </w:rPr>
              <w:t>5</w:t>
            </w:r>
            <w:r w:rsidR="008B33EF" w:rsidRPr="002020E8">
              <w:rPr>
                <w:rFonts w:cs="Arial"/>
                <w:color w:val="auto"/>
                <w:szCs w:val="20"/>
              </w:rPr>
              <w:t>77</w:t>
            </w:r>
          </w:p>
        </w:tc>
        <w:tc>
          <w:tcPr>
            <w:tcW w:w="1843" w:type="dxa"/>
            <w:tcBorders>
              <w:top w:val="single" w:sz="2" w:space="0" w:color="002279"/>
              <w:left w:val="single" w:sz="2" w:space="0" w:color="002279"/>
              <w:bottom w:val="single" w:sz="2" w:space="0" w:color="002279"/>
              <w:right w:val="single" w:sz="2" w:space="0" w:color="002279"/>
            </w:tcBorders>
            <w:vAlign w:val="center"/>
          </w:tcPr>
          <w:p w14:paraId="1220932C" w14:textId="54EFEC9F" w:rsidR="0060680A" w:rsidRPr="002020E8" w:rsidRDefault="0060680A" w:rsidP="007E2F8F">
            <w:pPr>
              <w:pStyle w:val="TableText"/>
              <w:jc w:val="center"/>
              <w:rPr>
                <w:rFonts w:ascii="Arial" w:hAnsi="Arial" w:cs="Arial"/>
                <w:szCs w:val="20"/>
              </w:rPr>
            </w:pPr>
            <w:r w:rsidRPr="002020E8">
              <w:rPr>
                <w:rFonts w:cs="Arial"/>
                <w:szCs w:val="20"/>
              </w:rPr>
              <w:t>N/A</w:t>
            </w:r>
          </w:p>
        </w:tc>
        <w:tc>
          <w:tcPr>
            <w:tcW w:w="1510" w:type="dxa"/>
            <w:tcBorders>
              <w:top w:val="single" w:sz="2" w:space="0" w:color="002279"/>
              <w:left w:val="single" w:sz="2" w:space="0" w:color="002279"/>
              <w:bottom w:val="single" w:sz="2" w:space="0" w:color="002279"/>
              <w:right w:val="single" w:sz="2" w:space="0" w:color="002279"/>
            </w:tcBorders>
            <w:vAlign w:val="center"/>
          </w:tcPr>
          <w:p w14:paraId="0483474F" w14:textId="6ECD9EC9" w:rsidR="00AC3C2F" w:rsidRPr="002020E8" w:rsidRDefault="00AC3C2F" w:rsidP="007E2F8F">
            <w:pPr>
              <w:pStyle w:val="TableText"/>
              <w:jc w:val="center"/>
              <w:rPr>
                <w:rFonts w:ascii="Arial" w:hAnsi="Arial" w:cs="Arial"/>
                <w:szCs w:val="20"/>
              </w:rPr>
            </w:pPr>
            <w:r w:rsidRPr="002020E8">
              <w:rPr>
                <w:rFonts w:cs="Arial"/>
                <w:szCs w:val="20"/>
              </w:rPr>
              <w:t>12,033</w:t>
            </w:r>
          </w:p>
        </w:tc>
      </w:tr>
      <w:tr w:rsidR="003E1432" w:rsidRPr="00476C9E" w14:paraId="35DDB6EE" w14:textId="77777777" w:rsidTr="00670D8C">
        <w:trPr>
          <w:trHeight w:val="851"/>
        </w:trPr>
        <w:tc>
          <w:tcPr>
            <w:tcW w:w="2172" w:type="dxa"/>
            <w:tcBorders>
              <w:top w:val="single" w:sz="2" w:space="0" w:color="002279"/>
              <w:left w:val="single" w:sz="2" w:space="0" w:color="002279"/>
              <w:bottom w:val="single" w:sz="2" w:space="0" w:color="002279"/>
              <w:right w:val="single" w:sz="2" w:space="0" w:color="002279"/>
            </w:tcBorders>
            <w:shd w:val="clear" w:color="auto" w:fill="D4D6DF"/>
          </w:tcPr>
          <w:p w14:paraId="2EB6EA4C" w14:textId="23B4F222" w:rsidR="00591FED" w:rsidRPr="002020E8" w:rsidRDefault="006804E0" w:rsidP="006219D6">
            <w:pPr>
              <w:pStyle w:val="TableText"/>
              <w:rPr>
                <w:rFonts w:ascii="Arial" w:hAnsi="Arial" w:cs="Arial"/>
                <w:szCs w:val="20"/>
              </w:rPr>
            </w:pPr>
            <w:r w:rsidRPr="002020E8">
              <w:rPr>
                <w:rFonts w:cs="Arial"/>
                <w:szCs w:val="20"/>
              </w:rPr>
              <w:lastRenderedPageBreak/>
              <w:t>Number of EPA reportable sewer spills</w:t>
            </w:r>
          </w:p>
        </w:tc>
        <w:tc>
          <w:tcPr>
            <w:tcW w:w="1906" w:type="dxa"/>
            <w:tcBorders>
              <w:top w:val="single" w:sz="2" w:space="0" w:color="002279"/>
              <w:left w:val="single" w:sz="2" w:space="0" w:color="002279"/>
              <w:bottom w:val="single" w:sz="2" w:space="0" w:color="002279"/>
              <w:right w:val="single" w:sz="2" w:space="0" w:color="002279"/>
            </w:tcBorders>
            <w:shd w:val="clear" w:color="auto" w:fill="D4D6DF"/>
            <w:vAlign w:val="center"/>
          </w:tcPr>
          <w:p w14:paraId="3A4741B2" w14:textId="751310E7" w:rsidR="00591FED" w:rsidRPr="002020E8" w:rsidRDefault="006804E0" w:rsidP="007E2F8F">
            <w:pPr>
              <w:pStyle w:val="TableText"/>
              <w:jc w:val="center"/>
              <w:rPr>
                <w:rFonts w:ascii="Arial" w:hAnsi="Arial" w:cs="Arial"/>
                <w:szCs w:val="20"/>
              </w:rPr>
            </w:pPr>
            <w:r w:rsidRPr="002020E8">
              <w:rPr>
                <w:rFonts w:cs="Arial"/>
                <w:szCs w:val="20"/>
              </w:rPr>
              <w:t>Existing</w:t>
            </w:r>
          </w:p>
        </w:tc>
        <w:tc>
          <w:tcPr>
            <w:tcW w:w="2156" w:type="dxa"/>
            <w:tcBorders>
              <w:top w:val="single" w:sz="2" w:space="0" w:color="002279"/>
              <w:left w:val="single" w:sz="2" w:space="0" w:color="002279"/>
              <w:bottom w:val="single" w:sz="2" w:space="0" w:color="002279"/>
              <w:right w:val="single" w:sz="2" w:space="0" w:color="002279"/>
            </w:tcBorders>
            <w:shd w:val="clear" w:color="auto" w:fill="D4D6DF"/>
            <w:vAlign w:val="center"/>
          </w:tcPr>
          <w:p w14:paraId="5AB02C91" w14:textId="5C68FD10" w:rsidR="00591FED" w:rsidRPr="002020E8" w:rsidRDefault="006403AB" w:rsidP="007E2F8F">
            <w:pPr>
              <w:pStyle w:val="TableText"/>
              <w:jc w:val="center"/>
              <w:rPr>
                <w:rFonts w:ascii="Arial" w:hAnsi="Arial" w:cs="Arial"/>
                <w:color w:val="FF0000"/>
                <w:szCs w:val="20"/>
              </w:rPr>
            </w:pPr>
            <w:r w:rsidRPr="002020E8">
              <w:rPr>
                <w:rFonts w:cs="Arial"/>
                <w:color w:val="auto"/>
                <w:szCs w:val="20"/>
              </w:rPr>
              <w:t>11</w:t>
            </w:r>
          </w:p>
        </w:tc>
        <w:tc>
          <w:tcPr>
            <w:tcW w:w="1843" w:type="dxa"/>
            <w:tcBorders>
              <w:top w:val="single" w:sz="2" w:space="0" w:color="002279"/>
              <w:left w:val="single" w:sz="2" w:space="0" w:color="002279"/>
              <w:bottom w:val="single" w:sz="2" w:space="0" w:color="002279"/>
              <w:right w:val="single" w:sz="2" w:space="0" w:color="002279"/>
            </w:tcBorders>
            <w:shd w:val="clear" w:color="auto" w:fill="D4D6DF"/>
            <w:vAlign w:val="center"/>
          </w:tcPr>
          <w:p w14:paraId="410834DD" w14:textId="37BA0391" w:rsidR="0000632E" w:rsidRPr="002020E8" w:rsidRDefault="0000632E" w:rsidP="007E2F8F">
            <w:pPr>
              <w:pStyle w:val="TableText"/>
              <w:jc w:val="center"/>
              <w:rPr>
                <w:rFonts w:ascii="Arial" w:hAnsi="Arial" w:cs="Arial"/>
                <w:szCs w:val="20"/>
              </w:rPr>
            </w:pPr>
            <w:r w:rsidRPr="002020E8">
              <w:rPr>
                <w:rFonts w:cs="Arial"/>
                <w:szCs w:val="20"/>
              </w:rPr>
              <w:t>14</w:t>
            </w:r>
          </w:p>
        </w:tc>
        <w:tc>
          <w:tcPr>
            <w:tcW w:w="1510" w:type="dxa"/>
            <w:tcBorders>
              <w:top w:val="single" w:sz="2" w:space="0" w:color="002279"/>
              <w:left w:val="single" w:sz="2" w:space="0" w:color="002279"/>
              <w:bottom w:val="single" w:sz="2" w:space="0" w:color="002279"/>
              <w:right w:val="single" w:sz="2" w:space="0" w:color="002279"/>
            </w:tcBorders>
            <w:shd w:val="clear" w:color="auto" w:fill="D4D6DF"/>
            <w:vAlign w:val="center"/>
          </w:tcPr>
          <w:p w14:paraId="33AAADE3" w14:textId="21F8309A" w:rsidR="00591FED" w:rsidRPr="002020E8" w:rsidRDefault="00D03ABB" w:rsidP="007E2F8F">
            <w:pPr>
              <w:pStyle w:val="TableText"/>
              <w:jc w:val="center"/>
              <w:rPr>
                <w:rFonts w:ascii="Arial" w:hAnsi="Arial" w:cs="Arial"/>
                <w:szCs w:val="20"/>
              </w:rPr>
            </w:pPr>
            <w:r w:rsidRPr="002020E8">
              <w:rPr>
                <w:rFonts w:cs="Arial"/>
                <w:szCs w:val="20"/>
              </w:rPr>
              <w:t>15</w:t>
            </w:r>
            <w:r w:rsidR="00293001" w:rsidRPr="009C4F55">
              <w:rPr>
                <w:rStyle w:val="FootnoteReference"/>
                <w:rFonts w:ascii="Arial" w:hAnsi="Arial" w:cs="Arial"/>
                <w:color w:val="auto"/>
                <w:szCs w:val="20"/>
              </w:rPr>
              <w:footnoteReference w:id="5"/>
            </w:r>
          </w:p>
        </w:tc>
      </w:tr>
      <w:tr w:rsidR="00D665B1" w:rsidRPr="00476C9E" w14:paraId="08FAFF3F" w14:textId="77777777" w:rsidTr="00670D8C">
        <w:trPr>
          <w:trHeight w:val="1119"/>
        </w:trPr>
        <w:tc>
          <w:tcPr>
            <w:tcW w:w="2172" w:type="dxa"/>
            <w:tcBorders>
              <w:top w:val="single" w:sz="2" w:space="0" w:color="002279"/>
              <w:left w:val="single" w:sz="2" w:space="0" w:color="002279"/>
              <w:bottom w:val="single" w:sz="2" w:space="0" w:color="002279"/>
              <w:right w:val="single" w:sz="2" w:space="0" w:color="002279"/>
            </w:tcBorders>
          </w:tcPr>
          <w:p w14:paraId="0423119D" w14:textId="77777777" w:rsidR="00AC3C2F" w:rsidRPr="002020E8" w:rsidRDefault="00AC3C2F" w:rsidP="006219D6">
            <w:pPr>
              <w:pStyle w:val="TableText"/>
              <w:rPr>
                <w:rFonts w:ascii="Arial" w:hAnsi="Arial" w:cs="Arial"/>
                <w:szCs w:val="20"/>
              </w:rPr>
            </w:pPr>
            <w:r w:rsidRPr="002020E8">
              <w:rPr>
                <w:rFonts w:cs="Arial"/>
                <w:szCs w:val="20"/>
              </w:rPr>
              <w:t>Alternative water as a percentage of total water supplied to customers</w:t>
            </w:r>
          </w:p>
        </w:tc>
        <w:tc>
          <w:tcPr>
            <w:tcW w:w="1906" w:type="dxa"/>
            <w:tcBorders>
              <w:top w:val="single" w:sz="2" w:space="0" w:color="002279"/>
              <w:left w:val="single" w:sz="2" w:space="0" w:color="002279"/>
              <w:bottom w:val="single" w:sz="2" w:space="0" w:color="002279"/>
              <w:right w:val="single" w:sz="2" w:space="0" w:color="002279"/>
            </w:tcBorders>
            <w:vAlign w:val="center"/>
          </w:tcPr>
          <w:p w14:paraId="506769C2" w14:textId="27FD10D5" w:rsidR="00AC3C2F" w:rsidRPr="002020E8" w:rsidRDefault="00D342AB" w:rsidP="007E2F8F">
            <w:pPr>
              <w:pStyle w:val="TableText"/>
              <w:jc w:val="center"/>
              <w:rPr>
                <w:rFonts w:ascii="Arial" w:hAnsi="Arial" w:cs="Arial"/>
                <w:szCs w:val="20"/>
              </w:rPr>
            </w:pPr>
            <w:r w:rsidRPr="002020E8">
              <w:rPr>
                <w:rFonts w:cs="Arial"/>
                <w:szCs w:val="20"/>
              </w:rPr>
              <w:t>Improved</w:t>
            </w:r>
          </w:p>
        </w:tc>
        <w:tc>
          <w:tcPr>
            <w:tcW w:w="2156" w:type="dxa"/>
            <w:tcBorders>
              <w:top w:val="single" w:sz="2" w:space="0" w:color="002279"/>
              <w:left w:val="single" w:sz="2" w:space="0" w:color="002279"/>
              <w:bottom w:val="single" w:sz="2" w:space="0" w:color="002279"/>
              <w:right w:val="single" w:sz="2" w:space="0" w:color="002279"/>
            </w:tcBorders>
            <w:vAlign w:val="center"/>
          </w:tcPr>
          <w:p w14:paraId="2A511A62" w14:textId="6DCC729A" w:rsidR="00AC3C2F" w:rsidRPr="002020E8" w:rsidRDefault="00975311" w:rsidP="007E2F8F">
            <w:pPr>
              <w:pStyle w:val="TableText"/>
              <w:jc w:val="center"/>
              <w:rPr>
                <w:rFonts w:ascii="Arial" w:hAnsi="Arial" w:cs="Arial"/>
                <w:szCs w:val="20"/>
              </w:rPr>
            </w:pPr>
            <w:r>
              <w:rPr>
                <w:rFonts w:cs="Arial"/>
                <w:szCs w:val="20"/>
              </w:rPr>
              <w:t>4.0</w:t>
            </w:r>
            <w:r w:rsidR="00141813" w:rsidRPr="002020E8">
              <w:rPr>
                <w:rFonts w:cs="Arial"/>
                <w:szCs w:val="20"/>
              </w:rPr>
              <w:t>%</w:t>
            </w:r>
          </w:p>
        </w:tc>
        <w:tc>
          <w:tcPr>
            <w:tcW w:w="1843" w:type="dxa"/>
            <w:tcBorders>
              <w:top w:val="single" w:sz="2" w:space="0" w:color="002279"/>
              <w:left w:val="single" w:sz="2" w:space="0" w:color="002279"/>
              <w:bottom w:val="single" w:sz="2" w:space="0" w:color="002279"/>
              <w:right w:val="single" w:sz="2" w:space="0" w:color="002279"/>
            </w:tcBorders>
            <w:vAlign w:val="center"/>
          </w:tcPr>
          <w:p w14:paraId="42B46971" w14:textId="7726DFCB" w:rsidR="0000632E" w:rsidRPr="002020E8" w:rsidRDefault="0000632E" w:rsidP="007E2F8F">
            <w:pPr>
              <w:pStyle w:val="TableText"/>
              <w:jc w:val="center"/>
              <w:rPr>
                <w:rFonts w:ascii="Arial" w:hAnsi="Arial" w:cs="Arial"/>
                <w:szCs w:val="20"/>
              </w:rPr>
            </w:pPr>
            <w:r w:rsidRPr="002020E8">
              <w:rPr>
                <w:rFonts w:cs="Arial"/>
                <w:szCs w:val="20"/>
              </w:rPr>
              <w:t>3.8%</w:t>
            </w:r>
          </w:p>
        </w:tc>
        <w:tc>
          <w:tcPr>
            <w:tcW w:w="1510" w:type="dxa"/>
            <w:tcBorders>
              <w:top w:val="single" w:sz="2" w:space="0" w:color="002279"/>
              <w:left w:val="single" w:sz="2" w:space="0" w:color="002279"/>
              <w:bottom w:val="single" w:sz="2" w:space="0" w:color="002279"/>
              <w:right w:val="single" w:sz="2" w:space="0" w:color="002279"/>
            </w:tcBorders>
            <w:vAlign w:val="center"/>
          </w:tcPr>
          <w:p w14:paraId="046DF274" w14:textId="5E40F0B5" w:rsidR="00AC3C2F" w:rsidRPr="002020E8" w:rsidRDefault="002560E4" w:rsidP="007E2F8F">
            <w:pPr>
              <w:pStyle w:val="TableText"/>
              <w:jc w:val="center"/>
              <w:rPr>
                <w:rFonts w:ascii="Arial" w:hAnsi="Arial" w:cs="Arial"/>
                <w:szCs w:val="20"/>
              </w:rPr>
            </w:pPr>
            <w:r w:rsidRPr="002020E8">
              <w:rPr>
                <w:rFonts w:cs="Arial"/>
                <w:szCs w:val="20"/>
              </w:rPr>
              <w:t>7.</w:t>
            </w:r>
            <w:r w:rsidR="004E4A1D">
              <w:rPr>
                <w:rFonts w:cs="Arial"/>
                <w:szCs w:val="20"/>
              </w:rPr>
              <w:t>0</w:t>
            </w:r>
            <w:r w:rsidRPr="002020E8">
              <w:rPr>
                <w:rFonts w:cs="Arial"/>
                <w:szCs w:val="20"/>
              </w:rPr>
              <w:t>%</w:t>
            </w:r>
          </w:p>
        </w:tc>
      </w:tr>
      <w:tr w:rsidR="006C470B" w:rsidRPr="00476C9E" w14:paraId="5720D479" w14:textId="77777777" w:rsidTr="00F71A99">
        <w:trPr>
          <w:trHeight w:val="567"/>
        </w:trPr>
        <w:tc>
          <w:tcPr>
            <w:tcW w:w="9587" w:type="dxa"/>
            <w:gridSpan w:val="5"/>
            <w:tcBorders>
              <w:top w:val="single" w:sz="2" w:space="0" w:color="002279"/>
              <w:left w:val="single" w:sz="2" w:space="0" w:color="002279"/>
              <w:bottom w:val="single" w:sz="2" w:space="0" w:color="002279"/>
              <w:right w:val="single" w:sz="2" w:space="0" w:color="002279"/>
            </w:tcBorders>
            <w:shd w:val="clear" w:color="auto" w:fill="002279"/>
            <w:vAlign w:val="center"/>
          </w:tcPr>
          <w:p w14:paraId="201EC2B8" w14:textId="324BDC14" w:rsidR="00AC3C2F" w:rsidRPr="002020E8" w:rsidRDefault="00AC3C2F" w:rsidP="0049491C">
            <w:pPr>
              <w:pStyle w:val="TableText"/>
              <w:jc w:val="center"/>
              <w:rPr>
                <w:rFonts w:ascii="Arial" w:hAnsi="Arial" w:cs="Arial"/>
                <w:b/>
                <w:color w:val="FFFFFF" w:themeColor="background1"/>
                <w:szCs w:val="20"/>
              </w:rPr>
            </w:pPr>
            <w:r w:rsidRPr="002020E8">
              <w:rPr>
                <w:rFonts w:cs="Arial"/>
                <w:b/>
                <w:color w:val="FFFFFF" w:themeColor="background1"/>
                <w:szCs w:val="20"/>
              </w:rPr>
              <w:t>Key supporting actions, activities and programs</w:t>
            </w:r>
          </w:p>
        </w:tc>
      </w:tr>
      <w:tr w:rsidR="006C470B" w:rsidRPr="00476C9E" w14:paraId="63B35BD8" w14:textId="77777777" w:rsidTr="00F71A99">
        <w:trPr>
          <w:trHeight w:val="1837"/>
        </w:trPr>
        <w:tc>
          <w:tcPr>
            <w:tcW w:w="9587" w:type="dxa"/>
            <w:gridSpan w:val="5"/>
            <w:tcBorders>
              <w:top w:val="single" w:sz="2" w:space="0" w:color="002279"/>
              <w:left w:val="single" w:sz="2" w:space="0" w:color="002279"/>
              <w:bottom w:val="single" w:sz="2" w:space="0" w:color="002279"/>
              <w:right w:val="single" w:sz="2" w:space="0" w:color="002279"/>
            </w:tcBorders>
          </w:tcPr>
          <w:p w14:paraId="587A9D1A" w14:textId="602D8A75" w:rsidR="00AC3C2F" w:rsidRPr="002020E8" w:rsidRDefault="003902DD" w:rsidP="006219D6">
            <w:pPr>
              <w:pStyle w:val="TableText"/>
              <w:jc w:val="center"/>
              <w:rPr>
                <w:rFonts w:ascii="Arial" w:hAnsi="Arial" w:cs="Arial"/>
                <w:szCs w:val="20"/>
              </w:rPr>
            </w:pPr>
            <w:r w:rsidRPr="002020E8">
              <w:rPr>
                <w:rFonts w:cs="Arial"/>
                <w:szCs w:val="20"/>
              </w:rPr>
              <w:t>Community programs and communication</w:t>
            </w:r>
          </w:p>
          <w:p w14:paraId="29F31052" w14:textId="631BFD0E" w:rsidR="00631AFB" w:rsidRPr="002020E8" w:rsidRDefault="00631AFB" w:rsidP="006219D6">
            <w:pPr>
              <w:pStyle w:val="TableText"/>
              <w:jc w:val="center"/>
              <w:rPr>
                <w:rFonts w:ascii="Arial" w:hAnsi="Arial" w:cs="Arial"/>
                <w:szCs w:val="20"/>
              </w:rPr>
            </w:pPr>
            <w:r w:rsidRPr="002020E8">
              <w:rPr>
                <w:rFonts w:cs="Arial"/>
                <w:szCs w:val="20"/>
              </w:rPr>
              <w:t>Emission reduction investments</w:t>
            </w:r>
          </w:p>
          <w:p w14:paraId="56477961" w14:textId="63A6C7AC" w:rsidR="00D76839" w:rsidRPr="002020E8" w:rsidRDefault="00D76839" w:rsidP="00D76839">
            <w:pPr>
              <w:pStyle w:val="TableText"/>
              <w:jc w:val="center"/>
              <w:rPr>
                <w:rFonts w:ascii="Arial" w:hAnsi="Arial" w:cs="Arial"/>
                <w:szCs w:val="20"/>
              </w:rPr>
            </w:pPr>
            <w:r w:rsidRPr="002020E8">
              <w:rPr>
                <w:rFonts w:cs="Arial"/>
                <w:szCs w:val="20"/>
              </w:rPr>
              <w:t xml:space="preserve">Sewer </w:t>
            </w:r>
            <w:r w:rsidR="00A75D3B" w:rsidRPr="002020E8">
              <w:rPr>
                <w:rFonts w:cs="Arial"/>
                <w:szCs w:val="20"/>
              </w:rPr>
              <w:t>i</w:t>
            </w:r>
            <w:r w:rsidRPr="002020E8">
              <w:rPr>
                <w:rFonts w:cs="Arial"/>
                <w:szCs w:val="20"/>
              </w:rPr>
              <w:t>mprovements</w:t>
            </w:r>
            <w:r w:rsidR="00E27178" w:rsidRPr="002020E8">
              <w:rPr>
                <w:rFonts w:cs="Arial"/>
                <w:szCs w:val="20"/>
              </w:rPr>
              <w:t>/</w:t>
            </w:r>
            <w:r w:rsidR="00451405" w:rsidRPr="002020E8">
              <w:rPr>
                <w:rFonts w:cs="Arial"/>
                <w:szCs w:val="20"/>
              </w:rPr>
              <w:t>c</w:t>
            </w:r>
            <w:r w:rsidRPr="002020E8">
              <w:rPr>
                <w:rFonts w:cs="Arial"/>
                <w:szCs w:val="20"/>
              </w:rPr>
              <w:t>ompliance</w:t>
            </w:r>
          </w:p>
          <w:p w14:paraId="0F086558" w14:textId="7835D24A" w:rsidR="00D76839" w:rsidRPr="002020E8" w:rsidRDefault="00D76839" w:rsidP="00D76839">
            <w:pPr>
              <w:pStyle w:val="TableText"/>
              <w:jc w:val="center"/>
              <w:rPr>
                <w:rFonts w:ascii="Arial" w:hAnsi="Arial" w:cs="Arial"/>
                <w:szCs w:val="20"/>
              </w:rPr>
            </w:pPr>
            <w:r w:rsidRPr="002020E8">
              <w:rPr>
                <w:rFonts w:cs="Arial"/>
                <w:szCs w:val="20"/>
              </w:rPr>
              <w:t xml:space="preserve">Distributed </w:t>
            </w:r>
            <w:r w:rsidR="00A75D3B" w:rsidRPr="002020E8">
              <w:rPr>
                <w:rFonts w:cs="Arial"/>
                <w:szCs w:val="20"/>
              </w:rPr>
              <w:t>t</w:t>
            </w:r>
            <w:r w:rsidRPr="002020E8">
              <w:rPr>
                <w:rFonts w:cs="Arial"/>
                <w:szCs w:val="20"/>
              </w:rPr>
              <w:t>reatment</w:t>
            </w:r>
          </w:p>
          <w:p w14:paraId="42D76320" w14:textId="1046F72A" w:rsidR="00D76839" w:rsidRPr="002020E8" w:rsidRDefault="00D76839" w:rsidP="00D76839">
            <w:pPr>
              <w:pStyle w:val="TableText"/>
              <w:jc w:val="center"/>
              <w:rPr>
                <w:rFonts w:ascii="Arial" w:hAnsi="Arial" w:cs="Arial"/>
                <w:szCs w:val="20"/>
              </w:rPr>
            </w:pPr>
            <w:r w:rsidRPr="002020E8">
              <w:rPr>
                <w:rFonts w:cs="Arial"/>
                <w:szCs w:val="20"/>
              </w:rPr>
              <w:t xml:space="preserve">Treatment </w:t>
            </w:r>
            <w:r w:rsidR="00A75D3B" w:rsidRPr="002020E8">
              <w:rPr>
                <w:rFonts w:cs="Arial"/>
                <w:szCs w:val="20"/>
              </w:rPr>
              <w:t>i</w:t>
            </w:r>
            <w:r w:rsidRPr="002020E8">
              <w:rPr>
                <w:rFonts w:cs="Arial"/>
                <w:szCs w:val="20"/>
              </w:rPr>
              <w:t>mprovements</w:t>
            </w:r>
            <w:r w:rsidR="00E27178" w:rsidRPr="002020E8">
              <w:rPr>
                <w:rFonts w:cs="Arial"/>
                <w:szCs w:val="20"/>
              </w:rPr>
              <w:t>/</w:t>
            </w:r>
            <w:r w:rsidR="00451405" w:rsidRPr="002020E8">
              <w:rPr>
                <w:rFonts w:cs="Arial"/>
                <w:szCs w:val="20"/>
              </w:rPr>
              <w:t>c</w:t>
            </w:r>
            <w:r w:rsidRPr="002020E8">
              <w:rPr>
                <w:rFonts w:cs="Arial"/>
                <w:szCs w:val="20"/>
              </w:rPr>
              <w:t>ompliance</w:t>
            </w:r>
          </w:p>
          <w:p w14:paraId="218418AD" w14:textId="66C1EC50" w:rsidR="00535947" w:rsidRPr="002020E8" w:rsidRDefault="00535947" w:rsidP="006219D6">
            <w:pPr>
              <w:pStyle w:val="TableText"/>
              <w:jc w:val="center"/>
              <w:rPr>
                <w:rFonts w:ascii="Arial" w:hAnsi="Arial" w:cs="Arial"/>
                <w:szCs w:val="20"/>
              </w:rPr>
            </w:pPr>
            <w:r w:rsidRPr="002020E8">
              <w:rPr>
                <w:rFonts w:cs="Arial"/>
                <w:szCs w:val="20"/>
              </w:rPr>
              <w:t xml:space="preserve">Alternative water </w:t>
            </w:r>
            <w:r w:rsidR="00CF0153" w:rsidRPr="002020E8">
              <w:rPr>
                <w:rFonts w:cs="Arial"/>
                <w:szCs w:val="20"/>
              </w:rPr>
              <w:t>projects</w:t>
            </w:r>
            <w:r w:rsidR="00B62443" w:rsidRPr="002020E8">
              <w:rPr>
                <w:rFonts w:cs="Arial"/>
                <w:szCs w:val="20"/>
              </w:rPr>
              <w:t>,</w:t>
            </w:r>
            <w:r w:rsidR="00CF0153" w:rsidRPr="002020E8">
              <w:rPr>
                <w:rFonts w:cs="Arial"/>
                <w:szCs w:val="20"/>
              </w:rPr>
              <w:t xml:space="preserve"> including Dingley and Fishermans Bend</w:t>
            </w:r>
          </w:p>
        </w:tc>
      </w:tr>
    </w:tbl>
    <w:p w14:paraId="72D753BE" w14:textId="44DE5F3B" w:rsidR="00AC3C2F" w:rsidRPr="00642D85" w:rsidRDefault="00AC3C2F" w:rsidP="00312D53">
      <w:pPr>
        <w:rPr>
          <w:i/>
          <w:sz w:val="18"/>
          <w:szCs w:val="18"/>
        </w:rPr>
      </w:pPr>
    </w:p>
    <w:p w14:paraId="170C5393" w14:textId="77777777" w:rsidR="00A73436" w:rsidRDefault="00A73436" w:rsidP="00AC3C2F"/>
    <w:p w14:paraId="49B49DE7" w14:textId="544B8F94" w:rsidR="00AC3C2F" w:rsidRDefault="00AC3C2F" w:rsidP="00AC3C2F">
      <w:r>
        <w:t xml:space="preserve">The </w:t>
      </w:r>
      <w:r w:rsidRPr="00013193">
        <w:rPr>
          <w:i/>
          <w:iCs/>
        </w:rPr>
        <w:t>Support my community, protect our environment</w:t>
      </w:r>
      <w:r w:rsidRPr="00013193">
        <w:t xml:space="preserve"> </w:t>
      </w:r>
      <w:r w:rsidRPr="00083EB3">
        <w:t xml:space="preserve">output </w:t>
      </w:r>
      <w:r>
        <w:t xml:space="preserve">measures retain the measure and target relating to </w:t>
      </w:r>
      <w:r w:rsidR="005A2578">
        <w:t>greenhouse gas emissions</w:t>
      </w:r>
      <w:r>
        <w:t xml:space="preserve">. </w:t>
      </w:r>
    </w:p>
    <w:p w14:paraId="311A86C1" w14:textId="5E7C91FD" w:rsidR="00AC3C2F" w:rsidRDefault="00AC3C2F" w:rsidP="00AC3C2F">
      <w:r>
        <w:t xml:space="preserve">A new community trust output measure is introduced to separately identify trust </w:t>
      </w:r>
      <w:r w:rsidR="00CD7A10">
        <w:t>of those within our community</w:t>
      </w:r>
      <w:r w:rsidR="00027B14">
        <w:t>, not just bill payers captured via the existing</w:t>
      </w:r>
      <w:r>
        <w:t xml:space="preserve"> customer satisfaction measures. Trust is important to our customers. </w:t>
      </w:r>
    </w:p>
    <w:p w14:paraId="61B059CD" w14:textId="3AA1F2C4" w:rsidR="00AC3C2F" w:rsidRDefault="00AC3C2F" w:rsidP="00AC3C2F">
      <w:r>
        <w:t xml:space="preserve">The </w:t>
      </w:r>
      <w:r w:rsidR="00D342AB">
        <w:t xml:space="preserve">improved </w:t>
      </w:r>
      <w:r>
        <w:t>alternative water measure better captures the overall proportion of water being supplied from alternative water sources</w:t>
      </w:r>
      <w:r w:rsidR="001F3D3E">
        <w:t xml:space="preserve"> and replaces the </w:t>
      </w:r>
      <w:r w:rsidR="00584B94">
        <w:t>2</w:t>
      </w:r>
      <w:r w:rsidR="001F3D3E">
        <w:t xml:space="preserve"> previous</w:t>
      </w:r>
      <w:r w:rsidR="00A07CD9">
        <w:t xml:space="preserve"> measures which were</w:t>
      </w:r>
      <w:r w:rsidR="001F3D3E">
        <w:t xml:space="preserve"> limited to designated greenfield areas.</w:t>
      </w:r>
    </w:p>
    <w:p w14:paraId="4571F672" w14:textId="77777777" w:rsidR="00AC3C2F" w:rsidRDefault="00AC3C2F" w:rsidP="00E320B2">
      <w:pPr>
        <w:pStyle w:val="Heading3"/>
      </w:pPr>
      <w:r>
        <w:t xml:space="preserve">Accountability for outcomes </w:t>
      </w:r>
    </w:p>
    <w:p w14:paraId="40085F9C" w14:textId="4428AC4B" w:rsidR="00AC3C2F" w:rsidRDefault="00AC3C2F" w:rsidP="00AC3C2F">
      <w:r>
        <w:t>South East Water will continue its current, comprehensive reporting on how it has performe</w:t>
      </w:r>
      <w:r w:rsidR="00702F39">
        <w:t>d</w:t>
      </w:r>
      <w:r>
        <w:t xml:space="preserve"> </w:t>
      </w:r>
      <w:r w:rsidR="00231E10">
        <w:t xml:space="preserve">in </w:t>
      </w:r>
      <w:r>
        <w:t>delivering customer outcomes during the 2023</w:t>
      </w:r>
      <w:r w:rsidR="007D4EB3">
        <w:t>–</w:t>
      </w:r>
      <w:r>
        <w:t>28 regulatory period.</w:t>
      </w:r>
    </w:p>
    <w:p w14:paraId="1C48C89A" w14:textId="25574943" w:rsidR="00AC3C2F" w:rsidRDefault="00AC3C2F" w:rsidP="00AC3C2F">
      <w:r>
        <w:t xml:space="preserve">Our performance reporting </w:t>
      </w:r>
      <w:r w:rsidR="00D373EC">
        <w:t xml:space="preserve">will </w:t>
      </w:r>
      <w:r>
        <w:t>include:</w:t>
      </w:r>
    </w:p>
    <w:p w14:paraId="2F44891F" w14:textId="385C1023" w:rsidR="00AC3C2F" w:rsidRPr="00FD78BF" w:rsidRDefault="007C0358" w:rsidP="00702250">
      <w:pPr>
        <w:pStyle w:val="Bulletlistmultilevel"/>
        <w:numPr>
          <w:ilvl w:val="0"/>
          <w:numId w:val="4"/>
        </w:numPr>
        <w:rPr>
          <w:sz w:val="24"/>
          <w:szCs w:val="24"/>
        </w:rPr>
      </w:pPr>
      <w:r>
        <w:rPr>
          <w:sz w:val="24"/>
          <w:szCs w:val="24"/>
        </w:rPr>
        <w:t>r</w:t>
      </w:r>
      <w:r w:rsidR="00AC3C2F" w:rsidRPr="00FD78BF">
        <w:rPr>
          <w:sz w:val="24"/>
          <w:szCs w:val="24"/>
        </w:rPr>
        <w:t>eporting in an easy</w:t>
      </w:r>
      <w:r w:rsidR="009614B2" w:rsidRPr="00FD78BF">
        <w:rPr>
          <w:sz w:val="24"/>
          <w:szCs w:val="24"/>
        </w:rPr>
        <w:t>-</w:t>
      </w:r>
      <w:r w:rsidR="00AC3C2F" w:rsidRPr="00FD78BF">
        <w:rPr>
          <w:sz w:val="24"/>
          <w:szCs w:val="24"/>
        </w:rPr>
        <w:t>to</w:t>
      </w:r>
      <w:r w:rsidR="009614B2" w:rsidRPr="00FD78BF">
        <w:rPr>
          <w:sz w:val="24"/>
          <w:szCs w:val="24"/>
        </w:rPr>
        <w:t>-</w:t>
      </w:r>
      <w:r w:rsidR="00AC3C2F" w:rsidRPr="00FD78BF">
        <w:rPr>
          <w:sz w:val="24"/>
          <w:szCs w:val="24"/>
        </w:rPr>
        <w:t>understand format on our website</w:t>
      </w:r>
      <w:r w:rsidR="005F06C3">
        <w:rPr>
          <w:sz w:val="24"/>
          <w:szCs w:val="24"/>
        </w:rPr>
        <w:t xml:space="preserve"> every </w:t>
      </w:r>
      <w:r w:rsidR="006861B3">
        <w:rPr>
          <w:sz w:val="24"/>
          <w:szCs w:val="24"/>
        </w:rPr>
        <w:t>6</w:t>
      </w:r>
      <w:r w:rsidR="005F06C3">
        <w:rPr>
          <w:sz w:val="24"/>
          <w:szCs w:val="24"/>
        </w:rPr>
        <w:t xml:space="preserve"> months</w:t>
      </w:r>
      <w:r w:rsidR="00AC3C2F" w:rsidRPr="00FD78BF">
        <w:rPr>
          <w:sz w:val="24"/>
          <w:szCs w:val="24"/>
        </w:rPr>
        <w:t xml:space="preserve">: </w:t>
      </w:r>
      <w:hyperlink r:id="rId25" w:history="1">
        <w:r w:rsidR="00AC3C2F" w:rsidRPr="00FD78BF">
          <w:rPr>
            <w:rStyle w:val="Hyperlink"/>
            <w:sz w:val="24"/>
            <w:szCs w:val="24"/>
          </w:rPr>
          <w:t>https://southeastwater.com.au/about-us/our-role/our-performance/</w:t>
        </w:r>
      </w:hyperlink>
      <w:r w:rsidR="009614B2">
        <w:rPr>
          <w:rStyle w:val="Hyperlink"/>
          <w:sz w:val="24"/>
          <w:szCs w:val="24"/>
        </w:rPr>
        <w:t xml:space="preserve"> </w:t>
      </w:r>
    </w:p>
    <w:p w14:paraId="734D478B" w14:textId="48D33BF5" w:rsidR="00AC3C2F" w:rsidRPr="00FD78BF" w:rsidRDefault="007C0358" w:rsidP="00702250">
      <w:pPr>
        <w:pStyle w:val="Bulletlistmultilevel"/>
        <w:numPr>
          <w:ilvl w:val="0"/>
          <w:numId w:val="4"/>
        </w:numPr>
        <w:rPr>
          <w:sz w:val="24"/>
          <w:szCs w:val="24"/>
        </w:rPr>
      </w:pPr>
      <w:r>
        <w:rPr>
          <w:sz w:val="24"/>
          <w:szCs w:val="24"/>
        </w:rPr>
        <w:t>p</w:t>
      </w:r>
      <w:r w:rsidR="00AC3C2F" w:rsidRPr="00FD78BF">
        <w:rPr>
          <w:sz w:val="24"/>
          <w:szCs w:val="24"/>
        </w:rPr>
        <w:t>roviding an annual outcomes performance report to the ESC in the required template. This compares outcomes performance against our target commitments</w:t>
      </w:r>
      <w:r w:rsidR="009E5AB4">
        <w:rPr>
          <w:sz w:val="24"/>
          <w:szCs w:val="24"/>
        </w:rPr>
        <w:t>,</w:t>
      </w:r>
      <w:r w:rsidR="00AC3C2F" w:rsidRPr="00FD78BF">
        <w:rPr>
          <w:sz w:val="24"/>
          <w:szCs w:val="24"/>
        </w:rPr>
        <w:t xml:space="preserve"> using a traffic light rating system and provides additional commentary and information where required</w:t>
      </w:r>
    </w:p>
    <w:p w14:paraId="76BEA52A" w14:textId="7A928EAF" w:rsidR="00AC3C2F" w:rsidRPr="00FD78BF" w:rsidRDefault="007C0358" w:rsidP="00702250">
      <w:pPr>
        <w:pStyle w:val="Bulletlistmultilevel"/>
        <w:numPr>
          <w:ilvl w:val="0"/>
          <w:numId w:val="4"/>
        </w:numPr>
        <w:rPr>
          <w:sz w:val="24"/>
          <w:szCs w:val="24"/>
        </w:rPr>
      </w:pPr>
      <w:r>
        <w:rPr>
          <w:sz w:val="24"/>
          <w:szCs w:val="24"/>
        </w:rPr>
        <w:t>a</w:t>
      </w:r>
      <w:r w:rsidR="00AC3C2F">
        <w:rPr>
          <w:sz w:val="24"/>
          <w:szCs w:val="24"/>
        </w:rPr>
        <w:t>nnual r</w:t>
      </w:r>
      <w:r w:rsidR="00AC3C2F" w:rsidRPr="00FD78BF">
        <w:rPr>
          <w:sz w:val="24"/>
          <w:szCs w:val="24"/>
        </w:rPr>
        <w:t>eporting to the ESC on delivery of our proposed major capital projects</w:t>
      </w:r>
    </w:p>
    <w:p w14:paraId="6B09A0E1" w14:textId="503CA725" w:rsidR="005F06C3" w:rsidRPr="00FD78BF" w:rsidRDefault="007C0358" w:rsidP="00702250">
      <w:pPr>
        <w:pStyle w:val="Bulletlistmultilevel"/>
        <w:numPr>
          <w:ilvl w:val="0"/>
          <w:numId w:val="4"/>
        </w:numPr>
        <w:rPr>
          <w:sz w:val="24"/>
          <w:szCs w:val="24"/>
        </w:rPr>
      </w:pPr>
      <w:r>
        <w:rPr>
          <w:sz w:val="24"/>
          <w:szCs w:val="24"/>
        </w:rPr>
        <w:t>a</w:t>
      </w:r>
      <w:r w:rsidR="00BA400D">
        <w:rPr>
          <w:sz w:val="24"/>
          <w:szCs w:val="24"/>
        </w:rPr>
        <w:t xml:space="preserve"> </w:t>
      </w:r>
      <w:r w:rsidR="00137C10">
        <w:rPr>
          <w:sz w:val="24"/>
          <w:szCs w:val="24"/>
        </w:rPr>
        <w:t>6-</w:t>
      </w:r>
      <w:r w:rsidR="005515EF">
        <w:rPr>
          <w:sz w:val="24"/>
          <w:szCs w:val="24"/>
        </w:rPr>
        <w:t xml:space="preserve">monthly </w:t>
      </w:r>
      <w:r w:rsidR="00BA400D">
        <w:rPr>
          <w:sz w:val="24"/>
          <w:szCs w:val="24"/>
        </w:rPr>
        <w:t>update</w:t>
      </w:r>
      <w:r w:rsidR="005515EF">
        <w:rPr>
          <w:sz w:val="24"/>
          <w:szCs w:val="24"/>
        </w:rPr>
        <w:t xml:space="preserve"> to South East Water</w:t>
      </w:r>
      <w:r w:rsidR="00612583">
        <w:rPr>
          <w:sz w:val="24"/>
          <w:szCs w:val="24"/>
        </w:rPr>
        <w:t>’</w:t>
      </w:r>
      <w:r w:rsidR="005515EF">
        <w:rPr>
          <w:sz w:val="24"/>
          <w:szCs w:val="24"/>
        </w:rPr>
        <w:t>s C</w:t>
      </w:r>
      <w:r w:rsidR="00D45693">
        <w:rPr>
          <w:sz w:val="24"/>
          <w:szCs w:val="24"/>
        </w:rPr>
        <w:t>C</w:t>
      </w:r>
      <w:r w:rsidR="00A7334B">
        <w:rPr>
          <w:sz w:val="24"/>
          <w:szCs w:val="24"/>
        </w:rPr>
        <w:t>A</w:t>
      </w:r>
      <w:r w:rsidR="000B6608">
        <w:rPr>
          <w:sz w:val="24"/>
          <w:szCs w:val="24"/>
        </w:rPr>
        <w:t>C.</w:t>
      </w:r>
      <w:r w:rsidR="005515EF">
        <w:rPr>
          <w:sz w:val="24"/>
          <w:szCs w:val="24"/>
        </w:rPr>
        <w:t xml:space="preserve"> </w:t>
      </w:r>
    </w:p>
    <w:p w14:paraId="45C20225" w14:textId="2631A227" w:rsidR="00C40C74" w:rsidRPr="00FD78BF" w:rsidRDefault="00391534" w:rsidP="00C40C74">
      <w:pPr>
        <w:pStyle w:val="Bulletlistmultilevel"/>
        <w:ind w:left="0" w:firstLine="0"/>
        <w:rPr>
          <w:sz w:val="24"/>
          <w:szCs w:val="24"/>
        </w:rPr>
      </w:pPr>
      <w:r>
        <w:rPr>
          <w:sz w:val="24"/>
          <w:szCs w:val="24"/>
        </w:rPr>
        <w:t>In addition to our performance reporting</w:t>
      </w:r>
      <w:r w:rsidR="00A13952">
        <w:rPr>
          <w:sz w:val="24"/>
          <w:szCs w:val="24"/>
        </w:rPr>
        <w:t>, our proposed GSL scheme addresses underperformance by compensating customers</w:t>
      </w:r>
      <w:r w:rsidR="00943BE2">
        <w:rPr>
          <w:sz w:val="24"/>
          <w:szCs w:val="24"/>
        </w:rPr>
        <w:t xml:space="preserve"> where service levels </w:t>
      </w:r>
      <w:r w:rsidR="00C91F09">
        <w:rPr>
          <w:sz w:val="24"/>
          <w:szCs w:val="24"/>
        </w:rPr>
        <w:t>have not</w:t>
      </w:r>
      <w:r w:rsidR="00943BE2">
        <w:rPr>
          <w:sz w:val="24"/>
          <w:szCs w:val="24"/>
        </w:rPr>
        <w:t xml:space="preserve"> been met. T</w:t>
      </w:r>
      <w:r w:rsidR="007C07E2">
        <w:rPr>
          <w:sz w:val="24"/>
          <w:szCs w:val="24"/>
        </w:rPr>
        <w:t>o further strengthen accountability, t</w:t>
      </w:r>
      <w:r w:rsidR="00943BE2">
        <w:rPr>
          <w:sz w:val="24"/>
          <w:szCs w:val="24"/>
        </w:rPr>
        <w:t>he cost</w:t>
      </w:r>
      <w:r w:rsidR="006650ED">
        <w:rPr>
          <w:sz w:val="24"/>
          <w:szCs w:val="24"/>
        </w:rPr>
        <w:t>s of this compensation will be absorbed by South East Water and not passed on to customers through pricing.</w:t>
      </w:r>
    </w:p>
    <w:p w14:paraId="65084982" w14:textId="43B1FF87" w:rsidR="00AC3C2F" w:rsidRDefault="005668E9" w:rsidP="008E132A">
      <w:pPr>
        <w:pStyle w:val="Heading2"/>
      </w:pPr>
      <w:r>
        <w:lastRenderedPageBreak/>
        <w:t xml:space="preserve">3.2 </w:t>
      </w:r>
      <w:r w:rsidR="009C335E">
        <w:t xml:space="preserve">Proposed </w:t>
      </w:r>
      <w:r w:rsidR="00AC3C2F">
        <w:t xml:space="preserve">GSLs </w:t>
      </w:r>
    </w:p>
    <w:p w14:paraId="1D99A584" w14:textId="676C4F4A" w:rsidR="00447FD9" w:rsidRDefault="00550827" w:rsidP="00AC3C2F">
      <w:r>
        <w:t xml:space="preserve">Customers have been involved in the development of the GSL scheme </w:t>
      </w:r>
      <w:r w:rsidR="00C04C01">
        <w:t xml:space="preserve">throughout the engagement program, </w:t>
      </w:r>
      <w:r w:rsidR="002D0F2F">
        <w:t xml:space="preserve">particularly </w:t>
      </w:r>
      <w:r w:rsidR="004A6C94">
        <w:t xml:space="preserve">in discussions held by the </w:t>
      </w:r>
      <w:r w:rsidR="00DF74A1">
        <w:t xml:space="preserve">community </w:t>
      </w:r>
      <w:r w:rsidR="004A6C94">
        <w:t>panel.</w:t>
      </w:r>
      <w:r w:rsidR="00C04C01">
        <w:t xml:space="preserve"> </w:t>
      </w:r>
      <w:r w:rsidR="004A6C94">
        <w:t>At</w:t>
      </w:r>
      <w:r w:rsidR="00C04C01">
        <w:t xml:space="preserve"> </w:t>
      </w:r>
      <w:r w:rsidR="00695032">
        <w:t xml:space="preserve">the </w:t>
      </w:r>
      <w:r w:rsidR="00612583">
        <w:t>‘</w:t>
      </w:r>
      <w:r w:rsidR="003033C1">
        <w:t>c</w:t>
      </w:r>
      <w:r w:rsidR="00695032">
        <w:t xml:space="preserve">losing the </w:t>
      </w:r>
      <w:r w:rsidR="003033C1">
        <w:t>l</w:t>
      </w:r>
      <w:r w:rsidR="00695032">
        <w:t>oop</w:t>
      </w:r>
      <w:r w:rsidR="00612583">
        <w:t>’</w:t>
      </w:r>
      <w:r w:rsidR="00695032">
        <w:t xml:space="preserve"> stage, </w:t>
      </w:r>
      <w:r w:rsidR="00291ACD">
        <w:t>the GSL scheme</w:t>
      </w:r>
      <w:r w:rsidR="0025155B">
        <w:t xml:space="preserve"> (including payment amounts) </w:t>
      </w:r>
      <w:r w:rsidR="00DC0897">
        <w:t>was</w:t>
      </w:r>
      <w:r w:rsidR="0025155B">
        <w:t xml:space="preserve"> shared and discussed</w:t>
      </w:r>
      <w:r w:rsidR="00FC40C1">
        <w:t xml:space="preserve">, </w:t>
      </w:r>
      <w:r w:rsidR="0025155B">
        <w:t xml:space="preserve">with </w:t>
      </w:r>
      <w:r w:rsidR="00CF6CBD">
        <w:t>67</w:t>
      </w:r>
      <w:r w:rsidR="00FC40C1">
        <w:t xml:space="preserve">% </w:t>
      </w:r>
      <w:r w:rsidR="00564156">
        <w:t xml:space="preserve">of the </w:t>
      </w:r>
      <w:r w:rsidR="00FC40C1">
        <w:t xml:space="preserve">community </w:t>
      </w:r>
      <w:r w:rsidR="00564156">
        <w:t>panel sa</w:t>
      </w:r>
      <w:r w:rsidR="00FC40C1">
        <w:t xml:space="preserve">ying </w:t>
      </w:r>
      <w:r w:rsidR="00564156">
        <w:t xml:space="preserve">they </w:t>
      </w:r>
      <w:r w:rsidR="00612583">
        <w:t>‘</w:t>
      </w:r>
      <w:r w:rsidR="00564156">
        <w:t>Loved it</w:t>
      </w:r>
      <w:r w:rsidR="00612583">
        <w:t>’</w:t>
      </w:r>
      <w:r w:rsidR="00FC40C1">
        <w:t xml:space="preserve"> and </w:t>
      </w:r>
      <w:r w:rsidR="00564156">
        <w:t xml:space="preserve">the remainder saying they </w:t>
      </w:r>
      <w:r w:rsidR="00612583">
        <w:t>‘</w:t>
      </w:r>
      <w:r w:rsidR="00564156">
        <w:t>Liked it</w:t>
      </w:r>
      <w:r w:rsidR="00612583">
        <w:t>’</w:t>
      </w:r>
      <w:r w:rsidR="00564156">
        <w:t xml:space="preserve"> or could </w:t>
      </w:r>
      <w:r w:rsidR="00612583">
        <w:t>‘</w:t>
      </w:r>
      <w:r w:rsidR="00564156">
        <w:t>Live with it</w:t>
      </w:r>
      <w:r w:rsidR="00612583">
        <w:t>’</w:t>
      </w:r>
      <w:r w:rsidR="00037253">
        <w:t xml:space="preserve"> (Community </w:t>
      </w:r>
      <w:r w:rsidR="009D0B37">
        <w:t>p</w:t>
      </w:r>
      <w:r w:rsidR="00037253">
        <w:t xml:space="preserve">anel </w:t>
      </w:r>
      <w:r w:rsidR="009D0B37">
        <w:t>r</w:t>
      </w:r>
      <w:r w:rsidR="00037253">
        <w:t xml:space="preserve">ecall </w:t>
      </w:r>
      <w:r w:rsidR="009D0B37">
        <w:t>d</w:t>
      </w:r>
      <w:r w:rsidR="00037253">
        <w:t xml:space="preserve">ay </w:t>
      </w:r>
      <w:r w:rsidR="005B5596">
        <w:t>–</w:t>
      </w:r>
      <w:r w:rsidR="00037253">
        <w:t xml:space="preserve"> Report</w:t>
      </w:r>
      <w:r w:rsidR="005B5596">
        <w:t>).</w:t>
      </w:r>
      <w:r w:rsidR="007F5534">
        <w:t xml:space="preserve"> The proposed GSL scheme was also presented to C</w:t>
      </w:r>
      <w:r w:rsidR="00A7334B">
        <w:t>CA</w:t>
      </w:r>
      <w:r w:rsidR="007F5534">
        <w:t>C for their consideration</w:t>
      </w:r>
      <w:r w:rsidR="00201EEE">
        <w:t>.</w:t>
      </w:r>
    </w:p>
    <w:p w14:paraId="37044AF9" w14:textId="77777777" w:rsidR="008D5D26" w:rsidRDefault="008D5D26" w:rsidP="00AC3C2F"/>
    <w:p w14:paraId="174485D5" w14:textId="77777777" w:rsidR="00995850" w:rsidRPr="008B72EF" w:rsidRDefault="00481583" w:rsidP="00BF15F7">
      <w:pPr>
        <w:rPr>
          <w:b/>
        </w:rPr>
      </w:pPr>
      <w:r w:rsidRPr="008B72EF">
        <w:rPr>
          <w:b/>
        </w:rPr>
        <w:t xml:space="preserve">Water </w:t>
      </w:r>
      <w:r w:rsidR="009C7358" w:rsidRPr="008B72EF">
        <w:rPr>
          <w:b/>
        </w:rPr>
        <w:t>q</w:t>
      </w:r>
      <w:r w:rsidRPr="008B72EF">
        <w:rPr>
          <w:b/>
        </w:rPr>
        <w:t>uality</w:t>
      </w:r>
    </w:p>
    <w:p w14:paraId="72510A03" w14:textId="22A0AA82" w:rsidR="00100A26" w:rsidRDefault="0066373B" w:rsidP="00BF15F7">
      <w:pPr>
        <w:rPr>
          <w:rFonts w:eastAsia="Arial" w:cs="Arial"/>
          <w:color w:val="000000"/>
        </w:rPr>
      </w:pPr>
      <w:r w:rsidRPr="008B72EF">
        <w:rPr>
          <w:rFonts w:eastAsia="Arial" w:cs="Arial"/>
          <w:color w:val="000000"/>
        </w:rPr>
        <w:t>F</w:t>
      </w:r>
      <w:r w:rsidR="00100A26" w:rsidRPr="008B72EF">
        <w:rPr>
          <w:rFonts w:eastAsia="Arial" w:cs="Arial"/>
          <w:color w:val="000000"/>
        </w:rPr>
        <w:t xml:space="preserve">ollowing </w:t>
      </w:r>
      <w:r w:rsidR="00211603" w:rsidRPr="008B72EF">
        <w:rPr>
          <w:rFonts w:eastAsia="Arial" w:cs="Arial"/>
          <w:color w:val="000000"/>
        </w:rPr>
        <w:t>2</w:t>
      </w:r>
      <w:r w:rsidR="00100A26" w:rsidRPr="008B72EF">
        <w:rPr>
          <w:rFonts w:eastAsia="Arial" w:cs="Arial"/>
          <w:color w:val="000000"/>
        </w:rPr>
        <w:t xml:space="preserve"> water quality incidents </w:t>
      </w:r>
      <w:r w:rsidR="00103E09" w:rsidRPr="008B72EF">
        <w:rPr>
          <w:rFonts w:eastAsia="Arial" w:cs="Arial"/>
          <w:color w:val="000000"/>
        </w:rPr>
        <w:t>in the current regulatory period,</w:t>
      </w:r>
      <w:r w:rsidR="00100A26" w:rsidRPr="008B72EF">
        <w:rPr>
          <w:rFonts w:eastAsia="Arial" w:cs="Arial"/>
          <w:color w:val="000000"/>
        </w:rPr>
        <w:t xml:space="preserve"> we learn</w:t>
      </w:r>
      <w:r w:rsidR="00F91300" w:rsidRPr="008B72EF">
        <w:rPr>
          <w:rFonts w:eastAsia="Arial" w:cs="Arial"/>
          <w:color w:val="000000"/>
        </w:rPr>
        <w:t xml:space="preserve">t </w:t>
      </w:r>
      <w:r w:rsidR="00100A26" w:rsidRPr="008B72EF">
        <w:rPr>
          <w:rFonts w:eastAsia="Arial" w:cs="Arial"/>
          <w:color w:val="000000"/>
        </w:rPr>
        <w:t>from our customers that</w:t>
      </w:r>
      <w:r w:rsidR="004F4605" w:rsidRPr="008B72EF">
        <w:rPr>
          <w:rFonts w:eastAsia="Arial" w:cs="Arial"/>
          <w:color w:val="000000"/>
        </w:rPr>
        <w:t>,</w:t>
      </w:r>
      <w:r w:rsidR="00100A26" w:rsidRPr="008B72EF">
        <w:rPr>
          <w:rFonts w:eastAsia="Arial" w:cs="Arial"/>
          <w:color w:val="000000"/>
        </w:rPr>
        <w:t xml:space="preserve"> in cases where the water is deemed not </w:t>
      </w:r>
      <w:r w:rsidR="00A23447" w:rsidRPr="008B72EF">
        <w:rPr>
          <w:rFonts w:eastAsia="Arial" w:cs="Arial"/>
          <w:color w:val="000000"/>
        </w:rPr>
        <w:t>drink</w:t>
      </w:r>
      <w:r w:rsidR="00112D74" w:rsidRPr="008B72EF">
        <w:rPr>
          <w:rFonts w:eastAsia="Arial" w:cs="Arial"/>
          <w:color w:val="000000"/>
        </w:rPr>
        <w:t>able</w:t>
      </w:r>
      <w:r w:rsidR="00100A26" w:rsidRPr="008B72EF">
        <w:rPr>
          <w:rFonts w:eastAsia="Arial" w:cs="Arial"/>
          <w:color w:val="000000"/>
        </w:rPr>
        <w:t>, this is seen as a</w:t>
      </w:r>
      <w:r w:rsidR="00692D6F" w:rsidRPr="008B72EF">
        <w:rPr>
          <w:rFonts w:eastAsia="Arial" w:cs="Arial"/>
          <w:color w:val="000000"/>
        </w:rPr>
        <w:t>n interruption</w:t>
      </w:r>
      <w:r w:rsidR="0026218C" w:rsidRPr="008B72EF">
        <w:rPr>
          <w:rFonts w:eastAsia="Arial" w:cs="Arial"/>
          <w:color w:val="000000"/>
        </w:rPr>
        <w:t xml:space="preserve"> and</w:t>
      </w:r>
      <w:r w:rsidR="00100A26" w:rsidRPr="008B72EF">
        <w:rPr>
          <w:rFonts w:eastAsia="Arial" w:cs="Arial"/>
          <w:color w:val="000000"/>
        </w:rPr>
        <w:t xml:space="preserve"> service below the guaranteed level.</w:t>
      </w:r>
      <w:r w:rsidR="00216DF7" w:rsidRPr="008B72EF">
        <w:rPr>
          <w:rFonts w:eastAsia="Arial" w:cs="Arial"/>
          <w:color w:val="000000"/>
        </w:rPr>
        <w:t xml:space="preserve"> </w:t>
      </w:r>
      <w:r w:rsidR="00044C2D">
        <w:rPr>
          <w:rFonts w:eastAsia="Arial" w:cs="Arial"/>
          <w:color w:val="000000"/>
        </w:rPr>
        <w:t>A</w:t>
      </w:r>
      <w:r w:rsidR="004C6ACA" w:rsidRPr="00CA210F">
        <w:rPr>
          <w:rFonts w:eastAsia="Arial" w:cs="Arial"/>
          <w:color w:val="000000"/>
        </w:rPr>
        <w:t>s we play our role in protecting public health within a large, joined-up Melbourne water supply system we consider it imperative that any rebate we introduce for water quality events should be consistent with the other metropolitan water corporations. We commit to working together with YVW, GWW</w:t>
      </w:r>
      <w:r w:rsidR="0083288B" w:rsidRPr="00CA210F">
        <w:rPr>
          <w:rFonts w:eastAsia="Arial" w:cs="Arial"/>
          <w:color w:val="000000"/>
        </w:rPr>
        <w:t xml:space="preserve"> </w:t>
      </w:r>
      <w:r w:rsidR="00100A26" w:rsidRPr="00CA210F">
        <w:rPr>
          <w:rFonts w:eastAsia="Arial" w:cs="Arial"/>
          <w:color w:val="000000"/>
        </w:rPr>
        <w:t xml:space="preserve">and </w:t>
      </w:r>
      <w:r w:rsidR="004C6ACA" w:rsidRPr="00CA210F">
        <w:rPr>
          <w:rFonts w:eastAsia="Arial" w:cs="Arial"/>
          <w:color w:val="000000"/>
        </w:rPr>
        <w:t>MW to achieve</w:t>
      </w:r>
      <w:r w:rsidR="00100A26" w:rsidRPr="00CA210F">
        <w:rPr>
          <w:rFonts w:eastAsia="Arial" w:cs="Arial"/>
          <w:color w:val="000000"/>
        </w:rPr>
        <w:t xml:space="preserve"> a </w:t>
      </w:r>
      <w:r w:rsidR="004C6ACA" w:rsidRPr="00CA210F">
        <w:rPr>
          <w:rFonts w:eastAsia="Arial" w:cs="Arial"/>
          <w:color w:val="000000"/>
        </w:rPr>
        <w:t>consistent Melbourne-wide approach to a defined guaranteed service</w:t>
      </w:r>
      <w:r w:rsidR="00583ED3">
        <w:rPr>
          <w:rFonts w:eastAsia="Arial" w:cs="Arial"/>
          <w:color w:val="000000"/>
        </w:rPr>
        <w:t xml:space="preserve"> level</w:t>
      </w:r>
      <w:r w:rsidR="004C6ACA" w:rsidRPr="00CA210F">
        <w:rPr>
          <w:rFonts w:eastAsia="Arial" w:cs="Arial"/>
          <w:color w:val="000000"/>
        </w:rPr>
        <w:t xml:space="preserve"> rebate for water quality events by the end of November 2022.</w:t>
      </w:r>
    </w:p>
    <w:p w14:paraId="2C49B64F" w14:textId="77777777" w:rsidR="004F5C33" w:rsidRPr="00977826" w:rsidRDefault="004F5C33" w:rsidP="004F5C33">
      <w:pPr>
        <w:pStyle w:val="Heading3"/>
        <w:rPr>
          <w:b w:val="0"/>
        </w:rPr>
      </w:pPr>
      <w:r w:rsidRPr="00977826">
        <w:t>New GSLs</w:t>
      </w:r>
    </w:p>
    <w:p w14:paraId="11595CCC" w14:textId="7548EDB1" w:rsidR="004F5C33" w:rsidRPr="008504C5" w:rsidRDefault="004F5C33" w:rsidP="00BF15F7">
      <w:r>
        <w:t xml:space="preserve">The proposed GSLs for the 2023–28 period include </w:t>
      </w:r>
      <w:r w:rsidR="00CE3623">
        <w:t>2</w:t>
      </w:r>
      <w:r w:rsidRPr="00867A3A">
        <w:t xml:space="preserve"> new GSLs</w:t>
      </w:r>
      <w:r>
        <w:t>:</w:t>
      </w:r>
    </w:p>
    <w:p w14:paraId="38520889" w14:textId="4278EF49" w:rsidR="00FF0BAE" w:rsidRPr="00FF0BAE" w:rsidRDefault="00FF0BAE">
      <w:pPr>
        <w:pStyle w:val="ListParagraph"/>
        <w:numPr>
          <w:ilvl w:val="0"/>
          <w:numId w:val="37"/>
        </w:numPr>
        <w:rPr>
          <w:b/>
          <w:bCs/>
        </w:rPr>
      </w:pPr>
      <w:r w:rsidRPr="00FF0BAE">
        <w:rPr>
          <w:b/>
          <w:bCs/>
        </w:rPr>
        <w:t xml:space="preserve">Water </w:t>
      </w:r>
      <w:r w:rsidR="009C7358">
        <w:rPr>
          <w:b/>
          <w:bCs/>
        </w:rPr>
        <w:t>s</w:t>
      </w:r>
      <w:r w:rsidRPr="00FF0BAE">
        <w:rPr>
          <w:b/>
          <w:bCs/>
        </w:rPr>
        <w:t>pills</w:t>
      </w:r>
    </w:p>
    <w:p w14:paraId="087AA30B" w14:textId="29DF9872" w:rsidR="007C3F53" w:rsidRDefault="007C3F53" w:rsidP="00FF0BAE">
      <w:pPr>
        <w:rPr>
          <w:rFonts w:eastAsia="Arial" w:cs="Arial"/>
          <w:color w:val="000000"/>
        </w:rPr>
      </w:pPr>
      <w:r>
        <w:t xml:space="preserve">The </w:t>
      </w:r>
      <w:r w:rsidR="00075B52">
        <w:t>proposed</w:t>
      </w:r>
      <w:r>
        <w:t xml:space="preserve"> GSL related to a water spill entering a home is a result of engagement with customers who have been directly impacted by this type of event. We learnt </w:t>
      </w:r>
      <w:r w:rsidRPr="007C3F53">
        <w:rPr>
          <w:rFonts w:eastAsia="Arial" w:cs="Arial"/>
          <w:color w:val="000000"/>
        </w:rPr>
        <w:t>that a water spill that enters a customer</w:t>
      </w:r>
      <w:r w:rsidR="00612583">
        <w:rPr>
          <w:rFonts w:eastAsia="Arial" w:cs="Arial"/>
          <w:color w:val="000000"/>
        </w:rPr>
        <w:t>’</w:t>
      </w:r>
      <w:r w:rsidRPr="007C3F53">
        <w:rPr>
          <w:rFonts w:eastAsia="Arial" w:cs="Arial"/>
          <w:color w:val="000000"/>
        </w:rPr>
        <w:t>s home can cause significant damage and inconvenien</w:t>
      </w:r>
      <w:r w:rsidR="00075B52">
        <w:rPr>
          <w:rFonts w:eastAsia="Arial" w:cs="Arial"/>
          <w:color w:val="000000"/>
        </w:rPr>
        <w:t>ce</w:t>
      </w:r>
      <w:r w:rsidRPr="007C3F53">
        <w:rPr>
          <w:rFonts w:eastAsia="Arial" w:cs="Arial"/>
          <w:color w:val="000000"/>
        </w:rPr>
        <w:t>. A GSL to acknowledge that we have not met our commitment to service is warranted.</w:t>
      </w:r>
      <w:r w:rsidR="00A425A8">
        <w:rPr>
          <w:rFonts w:eastAsia="Arial" w:cs="Arial"/>
          <w:color w:val="000000"/>
        </w:rPr>
        <w:t xml:space="preserve"> The</w:t>
      </w:r>
      <w:r w:rsidR="00E566FC">
        <w:rPr>
          <w:rFonts w:eastAsia="Arial" w:cs="Arial"/>
          <w:color w:val="000000"/>
        </w:rPr>
        <w:t xml:space="preserve"> payment amount </w:t>
      </w:r>
      <w:r w:rsidR="001F33B1">
        <w:rPr>
          <w:rFonts w:eastAsia="Arial" w:cs="Arial"/>
          <w:color w:val="000000"/>
        </w:rPr>
        <w:t>($1,500)</w:t>
      </w:r>
      <w:r w:rsidR="00E566FC">
        <w:rPr>
          <w:rFonts w:eastAsia="Arial" w:cs="Arial"/>
          <w:color w:val="000000"/>
        </w:rPr>
        <w:t xml:space="preserve"> </w:t>
      </w:r>
      <w:r w:rsidR="00864BE0">
        <w:rPr>
          <w:rFonts w:eastAsia="Arial" w:cs="Arial"/>
          <w:color w:val="000000"/>
        </w:rPr>
        <w:t xml:space="preserve">has been selected </w:t>
      </w:r>
      <w:r w:rsidR="005E2D4D">
        <w:rPr>
          <w:rFonts w:eastAsia="Arial" w:cs="Arial"/>
          <w:color w:val="000000"/>
        </w:rPr>
        <w:t xml:space="preserve">as appropriate to </w:t>
      </w:r>
      <w:r w:rsidR="00EB39A6">
        <w:rPr>
          <w:rFonts w:eastAsia="Arial" w:cs="Arial"/>
          <w:color w:val="000000"/>
        </w:rPr>
        <w:t>ackn</w:t>
      </w:r>
      <w:r w:rsidR="003E63DB">
        <w:rPr>
          <w:rFonts w:eastAsia="Arial" w:cs="Arial"/>
          <w:color w:val="000000"/>
        </w:rPr>
        <w:t xml:space="preserve">owledge </w:t>
      </w:r>
      <w:r w:rsidR="008747A7">
        <w:rPr>
          <w:rFonts w:eastAsia="Arial" w:cs="Arial"/>
          <w:color w:val="000000"/>
        </w:rPr>
        <w:t xml:space="preserve">the inconvenience </w:t>
      </w:r>
      <w:r w:rsidR="00D3132F">
        <w:rPr>
          <w:rFonts w:eastAsia="Arial" w:cs="Arial"/>
          <w:color w:val="000000"/>
        </w:rPr>
        <w:t>caused</w:t>
      </w:r>
      <w:r w:rsidR="00BA4845">
        <w:rPr>
          <w:rFonts w:eastAsia="Arial" w:cs="Arial"/>
          <w:color w:val="000000"/>
        </w:rPr>
        <w:t>, and in most cases</w:t>
      </w:r>
      <w:r w:rsidR="00655B1E">
        <w:rPr>
          <w:rFonts w:eastAsia="Arial" w:cs="Arial"/>
          <w:color w:val="000000"/>
        </w:rPr>
        <w:t>,</w:t>
      </w:r>
      <w:r w:rsidR="00BA4845">
        <w:rPr>
          <w:rFonts w:eastAsia="Arial" w:cs="Arial"/>
          <w:color w:val="000000"/>
        </w:rPr>
        <w:t xml:space="preserve"> cover</w:t>
      </w:r>
      <w:r w:rsidR="00E27341">
        <w:rPr>
          <w:rFonts w:eastAsia="Arial" w:cs="Arial"/>
          <w:color w:val="000000"/>
        </w:rPr>
        <w:t>s</w:t>
      </w:r>
      <w:r w:rsidR="00BA4845">
        <w:rPr>
          <w:rFonts w:eastAsia="Arial" w:cs="Arial"/>
          <w:color w:val="000000"/>
        </w:rPr>
        <w:t xml:space="preserve"> a private insurance excess payment.</w:t>
      </w:r>
    </w:p>
    <w:p w14:paraId="33AC1569" w14:textId="2B5DC301" w:rsidR="00FF0BAE" w:rsidRPr="00306114" w:rsidRDefault="0071030D">
      <w:pPr>
        <w:pStyle w:val="ListParagraph"/>
        <w:numPr>
          <w:ilvl w:val="0"/>
          <w:numId w:val="37"/>
        </w:numPr>
        <w:ind w:left="284" w:hanging="284"/>
        <w:rPr>
          <w:b/>
        </w:rPr>
      </w:pPr>
      <w:r w:rsidRPr="00306114">
        <w:rPr>
          <w:b/>
          <w:bCs/>
        </w:rPr>
        <w:t xml:space="preserve">Advanced </w:t>
      </w:r>
      <w:r w:rsidR="00750887" w:rsidRPr="009C43A0">
        <w:rPr>
          <w:b/>
          <w:bCs/>
        </w:rPr>
        <w:t>n</w:t>
      </w:r>
      <w:r w:rsidR="00306114" w:rsidRPr="00306114">
        <w:rPr>
          <w:b/>
          <w:bCs/>
        </w:rPr>
        <w:t>otice</w:t>
      </w:r>
    </w:p>
    <w:p w14:paraId="6D0283D9" w14:textId="484CC112" w:rsidR="00EB0617" w:rsidRDefault="007E3F5C" w:rsidP="00FF0BAE">
      <w:r>
        <w:t xml:space="preserve">The </w:t>
      </w:r>
      <w:r w:rsidR="009001D1">
        <w:t>proposed</w:t>
      </w:r>
      <w:r>
        <w:t xml:space="preserve"> GSL related to advanced notice of planned works provides further support to our customer outcome, </w:t>
      </w:r>
      <w:r w:rsidR="00612583">
        <w:t>‘</w:t>
      </w:r>
      <w:r w:rsidRPr="009C43A0">
        <w:rPr>
          <w:i/>
        </w:rPr>
        <w:t>Warn me, inform me</w:t>
      </w:r>
      <w:r w:rsidR="00612583">
        <w:rPr>
          <w:i/>
        </w:rPr>
        <w:t>’</w:t>
      </w:r>
      <w:r>
        <w:t xml:space="preserve">, which customers have reaffirmed is important to them. This also came through in the engagement program, highlighted by the </w:t>
      </w:r>
      <w:r w:rsidR="00C376AE">
        <w:t xml:space="preserve">community </w:t>
      </w:r>
      <w:r>
        <w:t xml:space="preserve">panel in recommendation number </w:t>
      </w:r>
      <w:r w:rsidR="00C376AE">
        <w:t xml:space="preserve">6, </w:t>
      </w:r>
      <w:r>
        <w:t>which specifies that advanced notice of works is important to customers.</w:t>
      </w:r>
      <w:r w:rsidR="003B2D98">
        <w:t xml:space="preserve"> </w:t>
      </w:r>
      <w:r w:rsidR="005B1C93">
        <w:t xml:space="preserve">The payment amount </w:t>
      </w:r>
      <w:r w:rsidR="00362C44">
        <w:t>($60)</w:t>
      </w:r>
      <w:r w:rsidR="005B1C93">
        <w:t xml:space="preserve"> aligns</w:t>
      </w:r>
      <w:r w:rsidR="008E2F03">
        <w:t xml:space="preserve"> to existing GSLs</w:t>
      </w:r>
      <w:r w:rsidR="007822B9">
        <w:t xml:space="preserve"> of a similar nature</w:t>
      </w:r>
      <w:r w:rsidR="00D7172C">
        <w:t xml:space="preserve">. </w:t>
      </w:r>
      <w:r w:rsidR="00DF4E08">
        <w:t xml:space="preserve">The amount is sufficient to incentivise </w:t>
      </w:r>
      <w:r w:rsidR="00AB1DDE">
        <w:t xml:space="preserve">the </w:t>
      </w:r>
      <w:r w:rsidR="0088688D">
        <w:t>organisation</w:t>
      </w:r>
      <w:r w:rsidR="00250B27">
        <w:t xml:space="preserve">, </w:t>
      </w:r>
      <w:r w:rsidR="006C5DBC">
        <w:t xml:space="preserve">looking at historical </w:t>
      </w:r>
      <w:r w:rsidR="002C7E47">
        <w:t xml:space="preserve">annual amounts paid out, </w:t>
      </w:r>
      <w:r w:rsidR="000E3F89">
        <w:t>to drive better outcomes in this area</w:t>
      </w:r>
      <w:r w:rsidR="004234E9">
        <w:t xml:space="preserve"> of service</w:t>
      </w:r>
      <w:r w:rsidR="00E01550">
        <w:t>.</w:t>
      </w:r>
    </w:p>
    <w:p w14:paraId="5EC1A48D" w14:textId="36B0FEE9" w:rsidR="00477344" w:rsidRPr="000241B8" w:rsidRDefault="00D010B7" w:rsidP="00E320B2">
      <w:pPr>
        <w:pStyle w:val="Heading3"/>
        <w:rPr>
          <w:b w:val="0"/>
        </w:rPr>
      </w:pPr>
      <w:r>
        <w:t>Enhanced</w:t>
      </w:r>
      <w:r w:rsidR="000241B8" w:rsidRPr="000241B8">
        <w:t xml:space="preserve"> GSLs</w:t>
      </w:r>
      <w:r w:rsidR="00477344" w:rsidRPr="000241B8">
        <w:rPr>
          <w:b w:val="0"/>
        </w:rPr>
        <w:t xml:space="preserve"> </w:t>
      </w:r>
    </w:p>
    <w:p w14:paraId="098B7202" w14:textId="06CBD7B1" w:rsidR="000241B8" w:rsidRDefault="00274122" w:rsidP="00856FBA">
      <w:r>
        <w:t>T</w:t>
      </w:r>
      <w:r w:rsidR="00E108E5">
        <w:t>wo</w:t>
      </w:r>
      <w:r>
        <w:t xml:space="preserve"> existing GSLs have been amended to </w:t>
      </w:r>
      <w:r w:rsidR="00FC05B0">
        <w:t xml:space="preserve">make them </w:t>
      </w:r>
      <w:r w:rsidR="004135BF">
        <w:t>more customer</w:t>
      </w:r>
      <w:r w:rsidR="000241B8">
        <w:t>-</w:t>
      </w:r>
      <w:r w:rsidR="004135BF">
        <w:t>centric</w:t>
      </w:r>
      <w:r w:rsidR="0079482D">
        <w:t>:</w:t>
      </w:r>
      <w:r w:rsidR="00AD6E75">
        <w:t xml:space="preserve"> </w:t>
      </w:r>
    </w:p>
    <w:p w14:paraId="3C6DDD4F" w14:textId="6F488DA9" w:rsidR="00274B0C" w:rsidRPr="00C94FC6" w:rsidRDefault="00274B0C">
      <w:pPr>
        <w:pStyle w:val="ListParagraph"/>
        <w:numPr>
          <w:ilvl w:val="0"/>
          <w:numId w:val="27"/>
        </w:numPr>
        <w:ind w:left="284"/>
        <w:rPr>
          <w:b/>
        </w:rPr>
      </w:pPr>
      <w:r w:rsidRPr="00C94FC6">
        <w:rPr>
          <w:b/>
        </w:rPr>
        <w:t>Combining</w:t>
      </w:r>
      <w:r w:rsidR="00C94FC6" w:rsidRPr="00C94FC6">
        <w:rPr>
          <w:b/>
          <w:bCs/>
        </w:rPr>
        <w:t xml:space="preserve"> </w:t>
      </w:r>
      <w:r w:rsidR="009C7358">
        <w:rPr>
          <w:b/>
          <w:bCs/>
        </w:rPr>
        <w:t>i</w:t>
      </w:r>
      <w:r w:rsidR="00C94FC6" w:rsidRPr="00C94FC6">
        <w:rPr>
          <w:b/>
          <w:bCs/>
        </w:rPr>
        <w:t>nterruptions</w:t>
      </w:r>
    </w:p>
    <w:p w14:paraId="7A5A630C" w14:textId="5BB63A59" w:rsidR="004911BC" w:rsidRDefault="00AD6E75" w:rsidP="0079482D">
      <w:r>
        <w:t xml:space="preserve">The </w:t>
      </w:r>
      <w:r w:rsidR="00FE6E42">
        <w:t>proposed</w:t>
      </w:r>
      <w:r>
        <w:t xml:space="preserve"> </w:t>
      </w:r>
      <w:r w:rsidR="007C1DD9">
        <w:t xml:space="preserve">unplanned interruptions GSL </w:t>
      </w:r>
      <w:r w:rsidR="00FE6E42">
        <w:t xml:space="preserve">combines </w:t>
      </w:r>
      <w:r w:rsidR="00F77C7F">
        <w:t xml:space="preserve">interruptions across </w:t>
      </w:r>
      <w:r w:rsidR="004135BF">
        <w:t xml:space="preserve">water </w:t>
      </w:r>
      <w:r w:rsidR="007B3EE2">
        <w:t>and</w:t>
      </w:r>
      <w:r w:rsidR="004135BF">
        <w:t xml:space="preserve"> sewer</w:t>
      </w:r>
      <w:r w:rsidR="007B3EE2">
        <w:t xml:space="preserve"> assets</w:t>
      </w:r>
      <w:r w:rsidR="004E0335">
        <w:t xml:space="preserve"> in the count toward </w:t>
      </w:r>
      <w:r w:rsidR="00DF2C89">
        <w:t xml:space="preserve">the </w:t>
      </w:r>
      <w:r w:rsidR="004E0335">
        <w:t>number of interruptions</w:t>
      </w:r>
      <w:r w:rsidR="007B3EE2">
        <w:t>. I</w:t>
      </w:r>
      <w:r w:rsidR="00884158">
        <w:t>t accounts for all interruptions to the customer</w:t>
      </w:r>
      <w:r w:rsidR="00A56E68">
        <w:t>, including water quality</w:t>
      </w:r>
      <w:r w:rsidR="001317A4">
        <w:t xml:space="preserve"> (</w:t>
      </w:r>
      <w:r w:rsidR="00AD7AF0">
        <w:t>the issue of a ‘Do not drink’ or ‘Boil water’ advisory)</w:t>
      </w:r>
      <w:r w:rsidR="00A56E68">
        <w:t>.</w:t>
      </w:r>
      <w:r w:rsidR="008A2350">
        <w:t xml:space="preserve"> </w:t>
      </w:r>
      <w:r w:rsidR="00467E01">
        <w:t xml:space="preserve">This is based on customer </w:t>
      </w:r>
      <w:r w:rsidR="00BE6FB1">
        <w:t>feedback</w:t>
      </w:r>
      <w:r w:rsidR="00467E01">
        <w:t xml:space="preserve"> that any interruption is inconvenient, </w:t>
      </w:r>
      <w:r w:rsidR="00924F7D">
        <w:t>no matter what the cause.</w:t>
      </w:r>
      <w:r w:rsidR="000459BF">
        <w:t xml:space="preserve"> </w:t>
      </w:r>
      <w:r w:rsidR="00856102">
        <w:t>We have also maintained the existing GSL</w:t>
      </w:r>
      <w:r w:rsidR="00166B9B">
        <w:t xml:space="preserve"> related to sewerage </w:t>
      </w:r>
      <w:r w:rsidR="00166B9B">
        <w:lastRenderedPageBreak/>
        <w:t>service interruption</w:t>
      </w:r>
      <w:r w:rsidR="00BB38B7">
        <w:t>s</w:t>
      </w:r>
      <w:r w:rsidR="00166B9B">
        <w:t xml:space="preserve"> to ensure no customers are worse off </w:t>
      </w:r>
      <w:r w:rsidR="002174C3">
        <w:t>after combining the measures.</w:t>
      </w:r>
      <w:r w:rsidR="00B01894">
        <w:t xml:space="preserve"> The payment amount is aligned with othe</w:t>
      </w:r>
      <w:r w:rsidR="00260BB7">
        <w:t xml:space="preserve">r GSL </w:t>
      </w:r>
      <w:r w:rsidR="00900D7D">
        <w:t>payments of the same nature.</w:t>
      </w:r>
    </w:p>
    <w:p w14:paraId="232A458E" w14:textId="3878DA0A" w:rsidR="00217AD3" w:rsidRPr="00567615" w:rsidRDefault="00567615">
      <w:pPr>
        <w:pStyle w:val="ListParagraph"/>
        <w:numPr>
          <w:ilvl w:val="0"/>
          <w:numId w:val="27"/>
        </w:numPr>
        <w:ind w:left="284" w:hanging="284"/>
        <w:rPr>
          <w:b/>
        </w:rPr>
      </w:pPr>
      <w:r w:rsidRPr="00567615">
        <w:rPr>
          <w:b/>
          <w:bCs/>
        </w:rPr>
        <w:t xml:space="preserve">Sewer </w:t>
      </w:r>
      <w:r w:rsidR="009C7358">
        <w:rPr>
          <w:b/>
          <w:bCs/>
        </w:rPr>
        <w:t>s</w:t>
      </w:r>
      <w:r w:rsidRPr="00567615">
        <w:rPr>
          <w:b/>
          <w:bCs/>
        </w:rPr>
        <w:t>pill within the home payment increase</w:t>
      </w:r>
    </w:p>
    <w:p w14:paraId="771E2169" w14:textId="0779F36F" w:rsidR="00884158" w:rsidRDefault="000459BF" w:rsidP="00C94FC6">
      <w:r>
        <w:t xml:space="preserve">The GSL for a sewer spill within the home has also been enhanced by doubling the </w:t>
      </w:r>
      <w:r w:rsidR="00F2653C">
        <w:t>payment value</w:t>
      </w:r>
      <w:r w:rsidR="00F004B5">
        <w:t xml:space="preserve">. This </w:t>
      </w:r>
      <w:r w:rsidR="00DC0F43">
        <w:t>responds to</w:t>
      </w:r>
      <w:r w:rsidR="00F2653C">
        <w:t xml:space="preserve"> feedback from customers who have experienced this event</w:t>
      </w:r>
      <w:r w:rsidR="00B8090B">
        <w:t xml:space="preserve">. The </w:t>
      </w:r>
      <w:r w:rsidR="00FD5620">
        <w:t>previous</w:t>
      </w:r>
      <w:r w:rsidR="00BF77BA">
        <w:t xml:space="preserve"> time threshold of </w:t>
      </w:r>
      <w:r w:rsidR="0097025C">
        <w:t xml:space="preserve">1 </w:t>
      </w:r>
      <w:r w:rsidR="00BF77BA">
        <w:t xml:space="preserve">hour for </w:t>
      </w:r>
      <w:r w:rsidR="0097025C">
        <w:t>clean-up</w:t>
      </w:r>
      <w:r w:rsidR="00C179AE">
        <w:t xml:space="preserve"> has been removed</w:t>
      </w:r>
      <w:r w:rsidR="0097025C">
        <w:t>.</w:t>
      </w:r>
      <w:r w:rsidR="006E03EF">
        <w:t xml:space="preserve"> This</w:t>
      </w:r>
      <w:r w:rsidR="00BF77BA">
        <w:t xml:space="preserve"> acknowledge</w:t>
      </w:r>
      <w:r w:rsidR="006E03EF">
        <w:t xml:space="preserve">s </w:t>
      </w:r>
      <w:r w:rsidR="00BF77BA">
        <w:t xml:space="preserve">that once </w:t>
      </w:r>
      <w:r w:rsidR="00D06D1F">
        <w:t>a sewer spill</w:t>
      </w:r>
      <w:r w:rsidR="00BF77BA">
        <w:t xml:space="preserve"> has happened</w:t>
      </w:r>
      <w:r w:rsidR="002D358B">
        <w:t xml:space="preserve">, </w:t>
      </w:r>
      <w:r w:rsidR="004C64CE">
        <w:t>it is already inconvenient</w:t>
      </w:r>
      <w:r w:rsidR="00034AC3">
        <w:t xml:space="preserve"> no matter how long it takes to clean up</w:t>
      </w:r>
      <w:r w:rsidR="00503518">
        <w:t xml:space="preserve">. We will retain a </w:t>
      </w:r>
      <w:r w:rsidR="002129DB">
        <w:t>1</w:t>
      </w:r>
      <w:r w:rsidR="00BC2911">
        <w:t>-</w:t>
      </w:r>
      <w:r w:rsidR="002129DB">
        <w:t xml:space="preserve">hour clean-up time </w:t>
      </w:r>
      <w:r w:rsidR="00503518">
        <w:t>as our</w:t>
      </w:r>
      <w:r w:rsidR="00034AC3">
        <w:t xml:space="preserve"> operational KPI</w:t>
      </w:r>
      <w:r w:rsidR="002129DB">
        <w:t xml:space="preserve"> to ensure this remains a priority for contractors</w:t>
      </w:r>
      <w:r w:rsidR="003B53B6">
        <w:t>.</w:t>
      </w:r>
    </w:p>
    <w:p w14:paraId="6F398070" w14:textId="77777777" w:rsidR="00930A05" w:rsidRDefault="00930A05" w:rsidP="00C94FC6"/>
    <w:p w14:paraId="1F12E7C3" w14:textId="6E96432E" w:rsidR="000B4FB3" w:rsidRPr="00116E55" w:rsidRDefault="000B4FB3" w:rsidP="00E320B2">
      <w:pPr>
        <w:pStyle w:val="Heading3"/>
      </w:pPr>
      <w:r w:rsidRPr="00B9668A">
        <w:t>R</w:t>
      </w:r>
      <w:r w:rsidRPr="00116E55">
        <w:t>emov</w:t>
      </w:r>
      <w:r w:rsidR="00331276" w:rsidRPr="00116E55">
        <w:t xml:space="preserve">ed </w:t>
      </w:r>
      <w:r w:rsidR="00EB7F08" w:rsidRPr="00116E55">
        <w:t>GSL</w:t>
      </w:r>
      <w:r w:rsidR="00FA4056" w:rsidRPr="00116E55">
        <w:t>s</w:t>
      </w:r>
    </w:p>
    <w:p w14:paraId="2553810F" w14:textId="0EF34823" w:rsidR="009C7120" w:rsidRDefault="00FA4056" w:rsidP="00856FBA">
      <w:pPr>
        <w:rPr>
          <w:b/>
          <w:bCs/>
        </w:rPr>
      </w:pPr>
      <w:r>
        <w:t>It is proposed that o</w:t>
      </w:r>
      <w:r w:rsidR="009C7120" w:rsidRPr="00867A3A">
        <w:t>ne GSL</w:t>
      </w:r>
      <w:r w:rsidR="009C7120">
        <w:t xml:space="preserve"> </w:t>
      </w:r>
      <w:r>
        <w:t>be</w:t>
      </w:r>
      <w:r w:rsidR="009C7120">
        <w:t xml:space="preserve"> removed:</w:t>
      </w:r>
    </w:p>
    <w:p w14:paraId="4555FC41" w14:textId="775AEAC6" w:rsidR="00B848CD" w:rsidRPr="00B848CD" w:rsidRDefault="00B848CD" w:rsidP="00856FBA">
      <w:pPr>
        <w:rPr>
          <w:b/>
          <w:bCs/>
        </w:rPr>
      </w:pPr>
      <w:r w:rsidRPr="00B848CD">
        <w:rPr>
          <w:b/>
          <w:bCs/>
        </w:rPr>
        <w:t xml:space="preserve">Beach </w:t>
      </w:r>
      <w:r w:rsidR="005F0945">
        <w:rPr>
          <w:b/>
          <w:bCs/>
        </w:rPr>
        <w:t>c</w:t>
      </w:r>
      <w:r w:rsidRPr="00B848CD">
        <w:rPr>
          <w:b/>
          <w:bCs/>
        </w:rPr>
        <w:t>losure</w:t>
      </w:r>
    </w:p>
    <w:p w14:paraId="5F8CB3AF" w14:textId="774F3A2F" w:rsidR="00285238" w:rsidRPr="00D75F40" w:rsidRDefault="00856FBA" w:rsidP="00AC3C2F">
      <w:pPr>
        <w:rPr>
          <w:rFonts w:eastAsia="Arial" w:cs="Arial"/>
          <w:color w:val="000000"/>
        </w:rPr>
      </w:pPr>
      <w:r>
        <w:t>Th</w:t>
      </w:r>
      <w:r w:rsidR="009C7120">
        <w:t>e</w:t>
      </w:r>
      <w:r w:rsidR="00AC3C2F" w:rsidRPr="00867A3A">
        <w:t xml:space="preserve"> GSL</w:t>
      </w:r>
      <w:r w:rsidR="00AC3C2F">
        <w:t xml:space="preserve"> </w:t>
      </w:r>
      <w:r w:rsidR="0032498A">
        <w:t>for</w:t>
      </w:r>
      <w:r w:rsidR="00AC3C2F">
        <w:t xml:space="preserve"> beach closures</w:t>
      </w:r>
      <w:r>
        <w:t xml:space="preserve"> </w:t>
      </w:r>
      <w:r w:rsidR="005E7B93">
        <w:t xml:space="preserve">has </w:t>
      </w:r>
      <w:r>
        <w:t xml:space="preserve">evolved into a </w:t>
      </w:r>
      <w:r w:rsidR="00AC30A8">
        <w:t>broader-reaching and highly</w:t>
      </w:r>
      <w:r w:rsidR="00B53B2D">
        <w:t xml:space="preserve"> </w:t>
      </w:r>
      <w:r w:rsidR="00AC30A8">
        <w:t>regarded community</w:t>
      </w:r>
      <w:r>
        <w:t xml:space="preserve"> </w:t>
      </w:r>
      <w:r w:rsidR="00AD27D9">
        <w:t>grants program.</w:t>
      </w:r>
      <w:r>
        <w:t xml:space="preserve"> </w:t>
      </w:r>
      <w:r w:rsidR="00E12789">
        <w:t>This GSL has been</w:t>
      </w:r>
      <w:r w:rsidR="000E6168">
        <w:t xml:space="preserve"> part of the scheme over the </w:t>
      </w:r>
      <w:r w:rsidR="00622D57">
        <w:t>current regulatory period.</w:t>
      </w:r>
      <w:r w:rsidR="0070687F">
        <w:t xml:space="preserve"> </w:t>
      </w:r>
      <w:r w:rsidR="008F70CC">
        <w:t>We learn</w:t>
      </w:r>
      <w:r w:rsidR="007C0358">
        <w:t>t</w:t>
      </w:r>
      <w:r w:rsidR="008F70CC">
        <w:t xml:space="preserve"> from our customers over this period that </w:t>
      </w:r>
      <w:r w:rsidR="005E150C">
        <w:t xml:space="preserve">a </w:t>
      </w:r>
      <w:r w:rsidR="00612583">
        <w:t>‘</w:t>
      </w:r>
      <w:r w:rsidR="005E150C">
        <w:t>beach closure</w:t>
      </w:r>
      <w:r w:rsidR="00612583">
        <w:t>’</w:t>
      </w:r>
      <w:r w:rsidR="005E150C">
        <w:t xml:space="preserve"> was</w:t>
      </w:r>
      <w:r w:rsidR="001873FC">
        <w:t xml:space="preserve"> not</w:t>
      </w:r>
      <w:r w:rsidR="006F6F10">
        <w:t xml:space="preserve"> broad enough to cover our </w:t>
      </w:r>
      <w:r w:rsidR="00660472">
        <w:t>full</w:t>
      </w:r>
      <w:r w:rsidR="006F6F10">
        <w:t xml:space="preserve"> service area</w:t>
      </w:r>
      <w:r w:rsidR="003B38CD">
        <w:t xml:space="preserve"> that may be impacted by sewer spills</w:t>
      </w:r>
      <w:r w:rsidR="00FE4D3E">
        <w:t xml:space="preserve">. </w:t>
      </w:r>
      <w:r>
        <w:rPr>
          <w:rFonts w:eastAsia="Arial" w:cs="Arial"/>
          <w:color w:val="000000"/>
        </w:rPr>
        <w:t>The community grants program will continue to be offered by South</w:t>
      </w:r>
      <w:r w:rsidR="00B16E3F">
        <w:rPr>
          <w:rFonts w:eastAsia="Arial" w:cs="Arial"/>
          <w:color w:val="000000"/>
        </w:rPr>
        <w:t> </w:t>
      </w:r>
      <w:r>
        <w:rPr>
          <w:rFonts w:eastAsia="Arial" w:cs="Arial"/>
          <w:color w:val="000000"/>
        </w:rPr>
        <w:t>East Water, supporting a variety of community organisations across our service area, but will not be paid as a GSL payment.</w:t>
      </w:r>
    </w:p>
    <w:p w14:paraId="703CA617" w14:textId="285012A8" w:rsidR="00AC3C2F" w:rsidRPr="00FB154C" w:rsidRDefault="00D75F40" w:rsidP="00D75F40">
      <w:pPr>
        <w:pStyle w:val="Tabletitle"/>
        <w:spacing w:after="120"/>
        <w:rPr>
          <w:rFonts w:cs="Arial"/>
          <w:i/>
          <w:sz w:val="22"/>
          <w:szCs w:val="22"/>
        </w:rPr>
      </w:pPr>
      <w:r w:rsidRPr="00D75F40">
        <w:rPr>
          <w:rFonts w:cs="Arial"/>
          <w:i/>
          <w:sz w:val="22"/>
          <w:szCs w:val="22"/>
        </w:rPr>
        <w:t xml:space="preserve">Table </w:t>
      </w:r>
      <w:r w:rsidR="00E0331E" w:rsidRPr="00CE6C4E">
        <w:rPr>
          <w:b w:val="0"/>
          <w:bCs/>
          <w:i/>
          <w:iCs w:val="0"/>
          <w:sz w:val="22"/>
          <w:szCs w:val="22"/>
        </w:rPr>
        <w:fldChar w:fldCharType="begin"/>
      </w:r>
      <w:r w:rsidR="00E0331E" w:rsidRPr="00CE6C4E">
        <w:rPr>
          <w:bCs/>
          <w:i/>
          <w:iCs w:val="0"/>
          <w:sz w:val="22"/>
          <w:szCs w:val="22"/>
        </w:rPr>
        <w:instrText>SEQ Table \* ARABIC</w:instrText>
      </w:r>
      <w:r w:rsidR="00E0331E" w:rsidRPr="00CE6C4E">
        <w:rPr>
          <w:b w:val="0"/>
          <w:bCs/>
          <w:i/>
          <w:iCs w:val="0"/>
          <w:sz w:val="22"/>
          <w:szCs w:val="22"/>
        </w:rPr>
        <w:fldChar w:fldCharType="separate"/>
      </w:r>
      <w:r w:rsidR="00E0331E">
        <w:rPr>
          <w:bCs/>
          <w:i/>
          <w:iCs w:val="0"/>
          <w:noProof/>
          <w:sz w:val="22"/>
          <w:szCs w:val="22"/>
        </w:rPr>
        <w:t>16</w:t>
      </w:r>
      <w:r w:rsidR="00E0331E" w:rsidRPr="00CE6C4E">
        <w:rPr>
          <w:b w:val="0"/>
          <w:bCs/>
          <w:i/>
          <w:iCs w:val="0"/>
          <w:sz w:val="22"/>
          <w:szCs w:val="22"/>
        </w:rPr>
        <w:fldChar w:fldCharType="end"/>
      </w:r>
      <w:r w:rsidRPr="00D75F40">
        <w:rPr>
          <w:rFonts w:cs="Arial"/>
          <w:i/>
          <w:sz w:val="22"/>
          <w:szCs w:val="22"/>
        </w:rPr>
        <w:t>:</w:t>
      </w:r>
      <w:r w:rsidRPr="00476C9E">
        <w:rPr>
          <w:rFonts w:cs="Arial"/>
          <w:i/>
          <w:sz w:val="22"/>
          <w:szCs w:val="22"/>
        </w:rPr>
        <w:t xml:space="preserve"> </w:t>
      </w:r>
      <w:r w:rsidR="00AC3C2F" w:rsidRPr="00FB154C">
        <w:rPr>
          <w:rFonts w:cs="Arial"/>
          <w:i/>
          <w:sz w:val="22"/>
          <w:szCs w:val="22"/>
        </w:rPr>
        <w:t>Proposed 2023</w:t>
      </w:r>
      <w:r w:rsidR="007D4EB3">
        <w:rPr>
          <w:rFonts w:cs="Arial"/>
          <w:i/>
          <w:sz w:val="22"/>
          <w:szCs w:val="22"/>
        </w:rPr>
        <w:t>–</w:t>
      </w:r>
      <w:r w:rsidR="00AC3C2F" w:rsidRPr="00FB154C">
        <w:rPr>
          <w:rFonts w:cs="Arial"/>
          <w:i/>
          <w:sz w:val="22"/>
          <w:szCs w:val="22"/>
        </w:rPr>
        <w:t>28 GSLs</w:t>
      </w:r>
    </w:p>
    <w:tbl>
      <w:tblPr>
        <w:tblStyle w:val="GridTable4-Accent2"/>
        <w:tblW w:w="4998" w:type="pct"/>
        <w:tblInd w:w="5" w:type="dxa"/>
        <w:tblBorders>
          <w:top w:val="single" w:sz="8" w:space="0" w:color="002379"/>
          <w:left w:val="single" w:sz="8" w:space="0" w:color="002379"/>
          <w:bottom w:val="single" w:sz="8" w:space="0" w:color="002379"/>
          <w:right w:val="single" w:sz="8" w:space="0" w:color="002379"/>
          <w:insideH w:val="single" w:sz="8" w:space="0" w:color="002379"/>
          <w:insideV w:val="single" w:sz="8" w:space="0" w:color="002379"/>
        </w:tblBorders>
        <w:tblLook w:val="0620" w:firstRow="1" w:lastRow="0" w:firstColumn="0" w:lastColumn="0" w:noHBand="1" w:noVBand="1"/>
      </w:tblPr>
      <w:tblGrid>
        <w:gridCol w:w="2592"/>
        <w:gridCol w:w="3067"/>
        <w:gridCol w:w="2266"/>
        <w:gridCol w:w="1654"/>
      </w:tblGrid>
      <w:tr w:rsidR="002E68BA" w:rsidRPr="00BB00EA" w14:paraId="48F8FC99" w14:textId="72D089E7" w:rsidTr="00374799">
        <w:trPr>
          <w:cnfStyle w:val="100000000000" w:firstRow="1" w:lastRow="0" w:firstColumn="0" w:lastColumn="0" w:oddVBand="0" w:evenVBand="0" w:oddHBand="0" w:evenHBand="0" w:firstRowFirstColumn="0" w:firstRowLastColumn="0" w:lastRowFirstColumn="0" w:lastRowLastColumn="0"/>
          <w:trHeight w:val="417"/>
          <w:tblHeader/>
        </w:trPr>
        <w:tc>
          <w:tcPr>
            <w:tcW w:w="2589" w:type="dxa"/>
            <w:tcBorders>
              <w:top w:val="single" w:sz="4" w:space="0" w:color="002279"/>
              <w:left w:val="single" w:sz="4" w:space="0" w:color="002279"/>
              <w:bottom w:val="single" w:sz="4" w:space="0" w:color="002279"/>
              <w:right w:val="single" w:sz="4" w:space="0" w:color="FFFFFF" w:themeColor="background1"/>
            </w:tcBorders>
            <w:shd w:val="clear" w:color="auto" w:fill="002279"/>
          </w:tcPr>
          <w:p w14:paraId="15C228F1" w14:textId="3460C660" w:rsidR="00B070A1" w:rsidRPr="00DF0592" w:rsidRDefault="00B070A1" w:rsidP="00DF0592">
            <w:pPr>
              <w:pStyle w:val="TableHeading"/>
              <w:rPr>
                <w:b/>
                <w:bCs/>
              </w:rPr>
            </w:pPr>
            <w:r w:rsidRPr="00DF0592">
              <w:rPr>
                <w:b/>
                <w:bCs/>
              </w:rPr>
              <w:t>Outcome</w:t>
            </w:r>
          </w:p>
        </w:tc>
        <w:tc>
          <w:tcPr>
            <w:tcW w:w="3064" w:type="dxa"/>
            <w:tcBorders>
              <w:top w:val="single" w:sz="4" w:space="0" w:color="002279"/>
              <w:left w:val="single" w:sz="4" w:space="0" w:color="FFFFFF" w:themeColor="background1"/>
              <w:bottom w:val="single" w:sz="4" w:space="0" w:color="002279"/>
              <w:right w:val="single" w:sz="4" w:space="0" w:color="FFFFFF" w:themeColor="background1"/>
            </w:tcBorders>
            <w:shd w:val="clear" w:color="auto" w:fill="002279"/>
          </w:tcPr>
          <w:p w14:paraId="61BCB35E" w14:textId="4948940B" w:rsidR="00AC3C2F" w:rsidRPr="00DF0592" w:rsidRDefault="00AC3C2F" w:rsidP="00DF0592">
            <w:pPr>
              <w:pStyle w:val="TableHeading"/>
              <w:rPr>
                <w:b/>
                <w:bCs/>
              </w:rPr>
            </w:pPr>
            <w:r w:rsidRPr="00DF0592">
              <w:rPr>
                <w:b/>
                <w:bCs/>
              </w:rPr>
              <w:t>Proposed GSL</w:t>
            </w:r>
          </w:p>
        </w:tc>
        <w:tc>
          <w:tcPr>
            <w:tcW w:w="2264" w:type="dxa"/>
            <w:tcBorders>
              <w:top w:val="single" w:sz="4" w:space="0" w:color="002279"/>
              <w:left w:val="single" w:sz="4" w:space="0" w:color="FFFFFF" w:themeColor="background1"/>
              <w:bottom w:val="single" w:sz="4" w:space="0" w:color="002279"/>
              <w:right w:val="single" w:sz="4" w:space="0" w:color="FFFFFF" w:themeColor="background1"/>
            </w:tcBorders>
            <w:shd w:val="clear" w:color="auto" w:fill="002279"/>
          </w:tcPr>
          <w:p w14:paraId="1F3A1676" w14:textId="77777777" w:rsidR="00AC3C2F" w:rsidRPr="00DF0592" w:rsidRDefault="00AC3C2F" w:rsidP="00E036E2">
            <w:pPr>
              <w:pStyle w:val="TableHeading"/>
              <w:jc w:val="center"/>
              <w:rPr>
                <w:b/>
                <w:bCs/>
              </w:rPr>
            </w:pPr>
            <w:r w:rsidRPr="00DF0592">
              <w:rPr>
                <w:b/>
                <w:bCs/>
              </w:rPr>
              <w:t>Proposed payment</w:t>
            </w:r>
          </w:p>
        </w:tc>
        <w:tc>
          <w:tcPr>
            <w:tcW w:w="1652" w:type="dxa"/>
            <w:tcBorders>
              <w:top w:val="single" w:sz="4" w:space="0" w:color="002279"/>
              <w:left w:val="single" w:sz="4" w:space="0" w:color="FFFFFF" w:themeColor="background1"/>
              <w:bottom w:val="single" w:sz="4" w:space="0" w:color="002279"/>
              <w:right w:val="single" w:sz="4" w:space="0" w:color="002279"/>
            </w:tcBorders>
            <w:shd w:val="clear" w:color="auto" w:fill="002279"/>
          </w:tcPr>
          <w:p w14:paraId="127C6345" w14:textId="77777777" w:rsidR="00AC3C2F" w:rsidRPr="00DF0592" w:rsidRDefault="00AC3C2F" w:rsidP="00E036E2">
            <w:pPr>
              <w:pStyle w:val="TableHeading"/>
              <w:jc w:val="center"/>
              <w:rPr>
                <w:b/>
                <w:bCs/>
              </w:rPr>
            </w:pPr>
            <w:r w:rsidRPr="00DF0592">
              <w:rPr>
                <w:b/>
                <w:bCs/>
              </w:rPr>
              <w:t>Status</w:t>
            </w:r>
          </w:p>
        </w:tc>
      </w:tr>
      <w:tr w:rsidR="006A00C4" w:rsidRPr="00BB00EA" w14:paraId="6FCD128F" w14:textId="77777777" w:rsidTr="00374799">
        <w:trPr>
          <w:trHeight w:val="691"/>
        </w:trPr>
        <w:tc>
          <w:tcPr>
            <w:tcW w:w="2589" w:type="dxa"/>
            <w:tcBorders>
              <w:top w:val="single" w:sz="4" w:space="0" w:color="002279"/>
            </w:tcBorders>
          </w:tcPr>
          <w:p w14:paraId="0E8405EC" w14:textId="01629842" w:rsidR="00E1618E" w:rsidRPr="00360131" w:rsidRDefault="00E1618E" w:rsidP="002C503D">
            <w:pPr>
              <w:pStyle w:val="TableText"/>
              <w:rPr>
                <w:rFonts w:asciiTheme="minorHAnsi" w:hAnsiTheme="minorHAnsi" w:cstheme="minorHAnsi"/>
                <w:b/>
                <w:bCs/>
                <w:sz w:val="20"/>
                <w:szCs w:val="20"/>
              </w:rPr>
            </w:pPr>
            <w:r w:rsidRPr="00360131">
              <w:rPr>
                <w:rFonts w:asciiTheme="minorHAnsi" w:hAnsiTheme="minorHAnsi" w:cstheme="minorHAnsi"/>
                <w:b/>
                <w:bCs/>
                <w:sz w:val="20"/>
                <w:szCs w:val="20"/>
              </w:rPr>
              <w:t xml:space="preserve">Outcome 1: </w:t>
            </w:r>
            <w:r w:rsidRPr="004C71AE">
              <w:rPr>
                <w:rFonts w:asciiTheme="minorHAnsi" w:hAnsiTheme="minorHAnsi" w:cstheme="minorHAnsi"/>
                <w:i/>
                <w:sz w:val="20"/>
                <w:szCs w:val="20"/>
              </w:rPr>
              <w:t>Get the basics right</w:t>
            </w:r>
            <w:r w:rsidR="00DC4157" w:rsidRPr="004C71AE">
              <w:rPr>
                <w:rFonts w:asciiTheme="minorHAnsi" w:hAnsiTheme="minorHAnsi" w:cstheme="minorHAnsi"/>
                <w:i/>
                <w:sz w:val="20"/>
                <w:szCs w:val="20"/>
              </w:rPr>
              <w:t>,</w:t>
            </w:r>
            <w:r w:rsidRPr="004C71AE">
              <w:rPr>
                <w:rFonts w:asciiTheme="minorHAnsi" w:hAnsiTheme="minorHAnsi" w:cstheme="minorHAnsi"/>
                <w:i/>
                <w:sz w:val="20"/>
                <w:szCs w:val="20"/>
              </w:rPr>
              <w:t xml:space="preserve"> always</w:t>
            </w:r>
          </w:p>
        </w:tc>
        <w:tc>
          <w:tcPr>
            <w:tcW w:w="3064" w:type="dxa"/>
            <w:tcBorders>
              <w:top w:val="single" w:sz="4" w:space="0" w:color="002279"/>
            </w:tcBorders>
          </w:tcPr>
          <w:p w14:paraId="79E3D4DF" w14:textId="6D1A1756" w:rsidR="00E1618E" w:rsidRPr="00116E55" w:rsidRDefault="00E1618E" w:rsidP="002C503D">
            <w:pPr>
              <w:pStyle w:val="TableText"/>
              <w:rPr>
                <w:rFonts w:asciiTheme="minorHAnsi" w:hAnsiTheme="minorHAnsi" w:cstheme="minorHAnsi"/>
                <w:sz w:val="20"/>
                <w:szCs w:val="20"/>
              </w:rPr>
            </w:pPr>
            <w:r w:rsidRPr="00116E55">
              <w:rPr>
                <w:rFonts w:asciiTheme="minorHAnsi" w:hAnsiTheme="minorHAnsi" w:cstheme="minorHAnsi"/>
                <w:sz w:val="20"/>
                <w:szCs w:val="20"/>
              </w:rPr>
              <w:t>Water spill within the house caused by South</w:t>
            </w:r>
            <w:r w:rsidR="00B16E3F" w:rsidRPr="00116E55">
              <w:rPr>
                <w:rFonts w:asciiTheme="minorHAnsi" w:hAnsiTheme="minorHAnsi" w:cstheme="minorHAnsi"/>
                <w:sz w:val="20"/>
                <w:szCs w:val="20"/>
              </w:rPr>
              <w:t> </w:t>
            </w:r>
            <w:r w:rsidRPr="00116E55">
              <w:rPr>
                <w:rFonts w:asciiTheme="minorHAnsi" w:hAnsiTheme="minorHAnsi" w:cstheme="minorHAnsi"/>
                <w:sz w:val="20"/>
                <w:szCs w:val="20"/>
              </w:rPr>
              <w:t>East Water</w:t>
            </w:r>
          </w:p>
        </w:tc>
        <w:tc>
          <w:tcPr>
            <w:tcW w:w="2264" w:type="dxa"/>
            <w:tcBorders>
              <w:top w:val="single" w:sz="4" w:space="0" w:color="002279"/>
            </w:tcBorders>
          </w:tcPr>
          <w:p w14:paraId="346A5A4F" w14:textId="77777777" w:rsidR="00E1618E" w:rsidRPr="00116E55" w:rsidRDefault="00E1618E" w:rsidP="00E036E2">
            <w:pPr>
              <w:pStyle w:val="TableText"/>
              <w:jc w:val="center"/>
              <w:rPr>
                <w:rFonts w:asciiTheme="minorHAnsi" w:hAnsiTheme="minorHAnsi" w:cstheme="minorHAnsi"/>
                <w:sz w:val="20"/>
                <w:szCs w:val="20"/>
              </w:rPr>
            </w:pPr>
            <w:r w:rsidRPr="00116E55">
              <w:rPr>
                <w:rFonts w:asciiTheme="minorHAnsi" w:hAnsiTheme="minorHAnsi" w:cstheme="minorHAnsi"/>
                <w:sz w:val="20"/>
                <w:szCs w:val="20"/>
              </w:rPr>
              <w:t>$1,500</w:t>
            </w:r>
          </w:p>
        </w:tc>
        <w:tc>
          <w:tcPr>
            <w:tcW w:w="1652" w:type="dxa"/>
            <w:tcBorders>
              <w:top w:val="single" w:sz="4" w:space="0" w:color="002279"/>
            </w:tcBorders>
          </w:tcPr>
          <w:p w14:paraId="6F1766BB" w14:textId="77777777" w:rsidR="00E1618E" w:rsidRPr="00116E55" w:rsidRDefault="00E1618E" w:rsidP="00E036E2">
            <w:pPr>
              <w:pStyle w:val="TableText"/>
              <w:jc w:val="center"/>
              <w:rPr>
                <w:rFonts w:asciiTheme="minorHAnsi" w:hAnsiTheme="minorHAnsi" w:cstheme="minorHAnsi"/>
                <w:sz w:val="20"/>
                <w:szCs w:val="20"/>
              </w:rPr>
            </w:pPr>
            <w:r w:rsidRPr="00116E55">
              <w:rPr>
                <w:rFonts w:asciiTheme="minorHAnsi" w:hAnsiTheme="minorHAnsi" w:cstheme="minorHAnsi"/>
                <w:sz w:val="20"/>
                <w:szCs w:val="20"/>
              </w:rPr>
              <w:t>New</w:t>
            </w:r>
          </w:p>
        </w:tc>
      </w:tr>
      <w:tr w:rsidR="002E68BA" w:rsidRPr="00BB00EA" w14:paraId="29362472" w14:textId="77777777" w:rsidTr="00254055">
        <w:tc>
          <w:tcPr>
            <w:tcW w:w="2589" w:type="dxa"/>
            <w:shd w:val="clear" w:color="auto" w:fill="D4D6DF"/>
          </w:tcPr>
          <w:p w14:paraId="29A8EBAC" w14:textId="77777777" w:rsidR="00E66BD5" w:rsidRPr="00360131" w:rsidRDefault="00E66BD5" w:rsidP="002C503D">
            <w:pPr>
              <w:pStyle w:val="TableText"/>
              <w:rPr>
                <w:rFonts w:asciiTheme="minorHAnsi" w:hAnsiTheme="minorHAnsi" w:cstheme="minorHAnsi"/>
                <w:b/>
                <w:bCs/>
                <w:sz w:val="20"/>
                <w:szCs w:val="20"/>
              </w:rPr>
            </w:pPr>
            <w:r w:rsidRPr="00360131">
              <w:rPr>
                <w:rFonts w:asciiTheme="minorHAnsi" w:hAnsiTheme="minorHAnsi" w:cstheme="minorHAnsi"/>
                <w:b/>
                <w:bCs/>
                <w:sz w:val="20"/>
                <w:szCs w:val="20"/>
              </w:rPr>
              <w:t xml:space="preserve">Outcome 2: </w:t>
            </w:r>
            <w:r w:rsidRPr="004C71AE">
              <w:rPr>
                <w:rFonts w:asciiTheme="minorHAnsi" w:hAnsiTheme="minorHAnsi" w:cstheme="minorHAnsi"/>
                <w:i/>
                <w:sz w:val="20"/>
                <w:szCs w:val="20"/>
              </w:rPr>
              <w:t>Warn me, inform me</w:t>
            </w:r>
          </w:p>
        </w:tc>
        <w:tc>
          <w:tcPr>
            <w:tcW w:w="3064" w:type="dxa"/>
            <w:shd w:val="clear" w:color="auto" w:fill="D4D6DF"/>
          </w:tcPr>
          <w:p w14:paraId="5065F50F" w14:textId="6ADD2E68" w:rsidR="00E66BD5" w:rsidRPr="00116E55" w:rsidRDefault="00E66BD5" w:rsidP="002C503D">
            <w:pPr>
              <w:pStyle w:val="TableText"/>
              <w:rPr>
                <w:rFonts w:asciiTheme="minorHAnsi" w:hAnsiTheme="minorHAnsi" w:cstheme="minorHAnsi"/>
                <w:sz w:val="20"/>
                <w:szCs w:val="20"/>
              </w:rPr>
            </w:pPr>
            <w:r w:rsidRPr="00116E55">
              <w:rPr>
                <w:rFonts w:asciiTheme="minorHAnsi" w:hAnsiTheme="minorHAnsi" w:cstheme="minorHAnsi"/>
                <w:sz w:val="20"/>
                <w:szCs w:val="20"/>
              </w:rPr>
              <w:t>Failure to provide a minimum of 48 hours</w:t>
            </w:r>
            <w:r w:rsidR="00612583" w:rsidRPr="00116E55">
              <w:rPr>
                <w:rFonts w:asciiTheme="minorHAnsi" w:hAnsiTheme="minorHAnsi" w:cstheme="minorHAnsi"/>
                <w:sz w:val="20"/>
                <w:szCs w:val="20"/>
              </w:rPr>
              <w:t>’</w:t>
            </w:r>
            <w:r w:rsidRPr="00116E55">
              <w:rPr>
                <w:rFonts w:asciiTheme="minorHAnsi" w:hAnsiTheme="minorHAnsi" w:cstheme="minorHAnsi"/>
                <w:sz w:val="20"/>
                <w:szCs w:val="20"/>
              </w:rPr>
              <w:t xml:space="preserve"> notice to a customer of any planned water supply interruption impacting their property</w:t>
            </w:r>
          </w:p>
        </w:tc>
        <w:tc>
          <w:tcPr>
            <w:tcW w:w="2264" w:type="dxa"/>
            <w:shd w:val="clear" w:color="auto" w:fill="D4D6DF"/>
          </w:tcPr>
          <w:p w14:paraId="7277168A" w14:textId="77777777" w:rsidR="00E66BD5" w:rsidRPr="00116E55" w:rsidRDefault="00E66BD5" w:rsidP="00E036E2">
            <w:pPr>
              <w:pStyle w:val="TableText"/>
              <w:jc w:val="center"/>
              <w:rPr>
                <w:rFonts w:asciiTheme="minorHAnsi" w:hAnsiTheme="minorHAnsi" w:cstheme="minorHAnsi"/>
                <w:sz w:val="20"/>
                <w:szCs w:val="20"/>
              </w:rPr>
            </w:pPr>
            <w:r w:rsidRPr="00116E55">
              <w:rPr>
                <w:rFonts w:asciiTheme="minorHAnsi" w:hAnsiTheme="minorHAnsi" w:cstheme="minorHAnsi"/>
                <w:sz w:val="20"/>
                <w:szCs w:val="20"/>
              </w:rPr>
              <w:t>$60</w:t>
            </w:r>
          </w:p>
        </w:tc>
        <w:tc>
          <w:tcPr>
            <w:tcW w:w="1652" w:type="dxa"/>
            <w:shd w:val="clear" w:color="auto" w:fill="D4D6DF"/>
          </w:tcPr>
          <w:p w14:paraId="5DA8A105" w14:textId="77777777" w:rsidR="00E66BD5" w:rsidRPr="00116E55" w:rsidRDefault="00E66BD5" w:rsidP="00E036E2">
            <w:pPr>
              <w:pStyle w:val="TableText"/>
              <w:jc w:val="center"/>
              <w:rPr>
                <w:rFonts w:asciiTheme="minorHAnsi" w:hAnsiTheme="minorHAnsi" w:cstheme="minorHAnsi"/>
                <w:sz w:val="20"/>
                <w:szCs w:val="20"/>
              </w:rPr>
            </w:pPr>
            <w:r w:rsidRPr="00116E55">
              <w:rPr>
                <w:rFonts w:asciiTheme="minorHAnsi" w:hAnsiTheme="minorHAnsi" w:cstheme="minorHAnsi"/>
                <w:sz w:val="20"/>
                <w:szCs w:val="20"/>
              </w:rPr>
              <w:t>New</w:t>
            </w:r>
          </w:p>
        </w:tc>
      </w:tr>
      <w:tr w:rsidR="006A00C4" w:rsidRPr="00BB00EA" w14:paraId="2CA5F7D3" w14:textId="08200BB3" w:rsidTr="00254055">
        <w:trPr>
          <w:trHeight w:val="1176"/>
        </w:trPr>
        <w:tc>
          <w:tcPr>
            <w:tcW w:w="2589" w:type="dxa"/>
          </w:tcPr>
          <w:p w14:paraId="7B41B0DD" w14:textId="17E452D2" w:rsidR="00B070A1" w:rsidRPr="00360131" w:rsidRDefault="00B070A1" w:rsidP="003726B1">
            <w:pPr>
              <w:pStyle w:val="TableText"/>
              <w:rPr>
                <w:rFonts w:asciiTheme="minorHAnsi" w:hAnsiTheme="minorHAnsi" w:cstheme="minorHAnsi"/>
                <w:b/>
                <w:bCs/>
                <w:sz w:val="20"/>
                <w:szCs w:val="20"/>
              </w:rPr>
            </w:pPr>
            <w:r w:rsidRPr="00360131">
              <w:rPr>
                <w:rFonts w:asciiTheme="minorHAnsi" w:hAnsiTheme="minorHAnsi" w:cstheme="minorHAnsi"/>
                <w:b/>
                <w:bCs/>
                <w:sz w:val="20"/>
                <w:szCs w:val="20"/>
              </w:rPr>
              <w:t xml:space="preserve">Outcome 1: </w:t>
            </w:r>
            <w:r w:rsidRPr="004C71AE">
              <w:rPr>
                <w:rFonts w:asciiTheme="minorHAnsi" w:hAnsiTheme="minorHAnsi" w:cstheme="minorHAnsi"/>
                <w:i/>
                <w:sz w:val="20"/>
                <w:szCs w:val="20"/>
              </w:rPr>
              <w:t>Get the basics right</w:t>
            </w:r>
            <w:r w:rsidR="00045094" w:rsidRPr="004C71AE">
              <w:rPr>
                <w:rFonts w:asciiTheme="minorHAnsi" w:hAnsiTheme="minorHAnsi" w:cstheme="minorHAnsi"/>
                <w:i/>
                <w:sz w:val="20"/>
                <w:szCs w:val="20"/>
              </w:rPr>
              <w:t>,</w:t>
            </w:r>
            <w:r w:rsidRPr="004C71AE">
              <w:rPr>
                <w:rFonts w:asciiTheme="minorHAnsi" w:hAnsiTheme="minorHAnsi" w:cstheme="minorHAnsi"/>
                <w:i/>
                <w:sz w:val="20"/>
                <w:szCs w:val="20"/>
              </w:rPr>
              <w:t xml:space="preserve"> always</w:t>
            </w:r>
            <w:r w:rsidR="003726B1" w:rsidRPr="004C71AE">
              <w:rPr>
                <w:rFonts w:asciiTheme="minorHAnsi" w:hAnsiTheme="minorHAnsi" w:cstheme="minorHAnsi"/>
                <w:sz w:val="20"/>
                <w:szCs w:val="20"/>
              </w:rPr>
              <w:t xml:space="preserve"> </w:t>
            </w:r>
            <w:r w:rsidRPr="004C71AE">
              <w:rPr>
                <w:rFonts w:asciiTheme="minorHAnsi" w:hAnsiTheme="minorHAnsi" w:cstheme="minorHAnsi"/>
                <w:sz w:val="20"/>
                <w:szCs w:val="20"/>
              </w:rPr>
              <w:t xml:space="preserve">Outcome 4: </w:t>
            </w:r>
            <w:r w:rsidRPr="004C71AE">
              <w:rPr>
                <w:rFonts w:asciiTheme="minorHAnsi" w:hAnsiTheme="minorHAnsi" w:cstheme="minorHAnsi"/>
                <w:i/>
                <w:sz w:val="20"/>
                <w:szCs w:val="20"/>
              </w:rPr>
              <w:t>Make my experience better</w:t>
            </w:r>
          </w:p>
        </w:tc>
        <w:tc>
          <w:tcPr>
            <w:tcW w:w="3064" w:type="dxa"/>
          </w:tcPr>
          <w:p w14:paraId="12FF4BB5" w14:textId="53F37CB5" w:rsidR="00AC3C2F" w:rsidRPr="00116E55" w:rsidRDefault="00AC3C2F" w:rsidP="006219D6">
            <w:pPr>
              <w:pStyle w:val="TableText"/>
              <w:rPr>
                <w:rFonts w:asciiTheme="minorHAnsi" w:hAnsiTheme="minorHAnsi" w:cstheme="minorHAnsi"/>
                <w:sz w:val="20"/>
                <w:szCs w:val="20"/>
              </w:rPr>
            </w:pPr>
            <w:r w:rsidRPr="00116E55">
              <w:rPr>
                <w:rFonts w:asciiTheme="minorHAnsi" w:hAnsiTheme="minorHAnsi" w:cstheme="minorHAnsi"/>
                <w:sz w:val="20"/>
                <w:szCs w:val="20"/>
              </w:rPr>
              <w:t xml:space="preserve">More than 5 unplanned disruptions to services (water, sewer </w:t>
            </w:r>
            <w:r w:rsidR="00DC6EED" w:rsidRPr="00116E55">
              <w:rPr>
                <w:rFonts w:asciiTheme="minorHAnsi" w:hAnsiTheme="minorHAnsi" w:cstheme="minorHAnsi"/>
                <w:sz w:val="20"/>
                <w:szCs w:val="20"/>
              </w:rPr>
              <w:t>and</w:t>
            </w:r>
            <w:r w:rsidRPr="00116E55">
              <w:rPr>
                <w:rFonts w:asciiTheme="minorHAnsi" w:hAnsiTheme="minorHAnsi" w:cstheme="minorHAnsi"/>
                <w:sz w:val="20"/>
                <w:szCs w:val="20"/>
              </w:rPr>
              <w:t xml:space="preserve"> water quality</w:t>
            </w:r>
            <w:r w:rsidR="00AC5649" w:rsidRPr="00C666FA">
              <w:rPr>
                <w:rFonts w:asciiTheme="minorHAnsi" w:hAnsiTheme="minorHAnsi" w:cstheme="minorHAnsi"/>
                <w:b/>
                <w:bCs/>
                <w:sz w:val="20"/>
                <w:szCs w:val="20"/>
                <w:vertAlign w:val="superscript"/>
              </w:rPr>
              <w:t>1</w:t>
            </w:r>
            <w:r w:rsidRPr="00116E55">
              <w:rPr>
                <w:rFonts w:asciiTheme="minorHAnsi" w:hAnsiTheme="minorHAnsi" w:cstheme="minorHAnsi"/>
                <w:sz w:val="20"/>
                <w:szCs w:val="20"/>
              </w:rPr>
              <w:t xml:space="preserve">) in any </w:t>
            </w:r>
            <w:r w:rsidR="00203C02" w:rsidRPr="00116E55">
              <w:rPr>
                <w:rFonts w:asciiTheme="minorHAnsi" w:hAnsiTheme="minorHAnsi" w:cstheme="minorHAnsi"/>
                <w:sz w:val="20"/>
                <w:szCs w:val="20"/>
              </w:rPr>
              <w:t>12-month</w:t>
            </w:r>
            <w:r w:rsidRPr="00116E55">
              <w:rPr>
                <w:rFonts w:asciiTheme="minorHAnsi" w:hAnsiTheme="minorHAnsi" w:cstheme="minorHAnsi"/>
                <w:sz w:val="20"/>
                <w:szCs w:val="20"/>
              </w:rPr>
              <w:t xml:space="preserve"> period</w:t>
            </w:r>
          </w:p>
        </w:tc>
        <w:tc>
          <w:tcPr>
            <w:tcW w:w="2264" w:type="dxa"/>
          </w:tcPr>
          <w:p w14:paraId="6708153A" w14:textId="1CFE371B" w:rsidR="00AC3C2F" w:rsidRPr="00116E55" w:rsidRDefault="00AC3C2F" w:rsidP="00E036E2">
            <w:pPr>
              <w:pStyle w:val="TableText"/>
              <w:jc w:val="center"/>
              <w:rPr>
                <w:rFonts w:asciiTheme="minorHAnsi" w:hAnsiTheme="minorHAnsi" w:cstheme="minorHAnsi"/>
                <w:sz w:val="20"/>
                <w:szCs w:val="20"/>
              </w:rPr>
            </w:pPr>
            <w:r w:rsidRPr="00116E55">
              <w:rPr>
                <w:rFonts w:asciiTheme="minorHAnsi" w:hAnsiTheme="minorHAnsi" w:cstheme="minorHAnsi"/>
                <w:sz w:val="20"/>
                <w:szCs w:val="20"/>
              </w:rPr>
              <w:t>$60 per disruption &gt;5</w:t>
            </w:r>
          </w:p>
        </w:tc>
        <w:tc>
          <w:tcPr>
            <w:tcW w:w="1652" w:type="dxa"/>
          </w:tcPr>
          <w:p w14:paraId="3C232DEF" w14:textId="77777777" w:rsidR="00AC3C2F" w:rsidRPr="00116E55" w:rsidRDefault="00AC3C2F" w:rsidP="00E036E2">
            <w:pPr>
              <w:pStyle w:val="TableText"/>
              <w:jc w:val="center"/>
              <w:rPr>
                <w:rFonts w:asciiTheme="minorHAnsi" w:hAnsiTheme="minorHAnsi" w:cstheme="minorHAnsi"/>
                <w:sz w:val="20"/>
                <w:szCs w:val="20"/>
              </w:rPr>
            </w:pPr>
            <w:r w:rsidRPr="00116E55">
              <w:rPr>
                <w:rFonts w:asciiTheme="minorHAnsi" w:hAnsiTheme="minorHAnsi" w:cstheme="minorHAnsi"/>
                <w:sz w:val="20"/>
                <w:szCs w:val="20"/>
              </w:rPr>
              <w:t>Enhanced</w:t>
            </w:r>
          </w:p>
        </w:tc>
      </w:tr>
      <w:tr w:rsidR="002E68BA" w:rsidRPr="00BB00EA" w14:paraId="2774EDBC" w14:textId="77777777" w:rsidTr="00254055">
        <w:tc>
          <w:tcPr>
            <w:tcW w:w="2589" w:type="dxa"/>
            <w:shd w:val="clear" w:color="auto" w:fill="D4D6DF"/>
          </w:tcPr>
          <w:p w14:paraId="0FB56AE6" w14:textId="2B82B609" w:rsidR="002F0CD1" w:rsidRPr="00360131" w:rsidRDefault="002F0CD1" w:rsidP="002C503D">
            <w:pPr>
              <w:pStyle w:val="TableText"/>
              <w:rPr>
                <w:rFonts w:asciiTheme="minorHAnsi" w:hAnsiTheme="minorHAnsi" w:cstheme="minorHAnsi"/>
                <w:b/>
                <w:bCs/>
                <w:sz w:val="20"/>
                <w:szCs w:val="20"/>
              </w:rPr>
            </w:pPr>
            <w:r w:rsidRPr="00360131">
              <w:rPr>
                <w:rFonts w:asciiTheme="minorHAnsi" w:hAnsiTheme="minorHAnsi" w:cstheme="minorHAnsi"/>
                <w:b/>
                <w:bCs/>
                <w:sz w:val="20"/>
                <w:szCs w:val="20"/>
              </w:rPr>
              <w:t xml:space="preserve">Outcome 1: </w:t>
            </w:r>
            <w:r w:rsidRPr="004C71AE">
              <w:rPr>
                <w:rFonts w:asciiTheme="minorHAnsi" w:hAnsiTheme="minorHAnsi" w:cstheme="minorHAnsi"/>
                <w:i/>
                <w:sz w:val="20"/>
                <w:szCs w:val="20"/>
              </w:rPr>
              <w:t>Get the basics right</w:t>
            </w:r>
            <w:r w:rsidR="00DC4157" w:rsidRPr="004C71AE">
              <w:rPr>
                <w:rFonts w:asciiTheme="minorHAnsi" w:hAnsiTheme="minorHAnsi" w:cstheme="minorHAnsi"/>
                <w:i/>
                <w:sz w:val="20"/>
                <w:szCs w:val="20"/>
              </w:rPr>
              <w:t>,</w:t>
            </w:r>
            <w:r w:rsidRPr="004C71AE">
              <w:rPr>
                <w:rFonts w:asciiTheme="minorHAnsi" w:hAnsiTheme="minorHAnsi" w:cstheme="minorHAnsi"/>
                <w:i/>
                <w:sz w:val="20"/>
                <w:szCs w:val="20"/>
              </w:rPr>
              <w:t xml:space="preserve"> always</w:t>
            </w:r>
            <w:r w:rsidRPr="004C71AE">
              <w:rPr>
                <w:rFonts w:asciiTheme="minorHAnsi" w:hAnsiTheme="minorHAnsi" w:cstheme="minorHAnsi"/>
                <w:sz w:val="20"/>
                <w:szCs w:val="20"/>
              </w:rPr>
              <w:t xml:space="preserve"> Outcome 5: </w:t>
            </w:r>
            <w:r w:rsidRPr="004C71AE">
              <w:rPr>
                <w:rFonts w:asciiTheme="minorHAnsi" w:hAnsiTheme="minorHAnsi" w:cstheme="minorHAnsi"/>
                <w:i/>
                <w:sz w:val="20"/>
                <w:szCs w:val="20"/>
              </w:rPr>
              <w:t>Support my community and protect our environment</w:t>
            </w:r>
          </w:p>
        </w:tc>
        <w:tc>
          <w:tcPr>
            <w:tcW w:w="3064" w:type="dxa"/>
            <w:shd w:val="clear" w:color="auto" w:fill="D4D6DF"/>
          </w:tcPr>
          <w:p w14:paraId="3DD2A191" w14:textId="77777777" w:rsidR="002F0CD1" w:rsidRPr="00116E55" w:rsidRDefault="002F0CD1" w:rsidP="002C503D">
            <w:pPr>
              <w:pStyle w:val="TableText"/>
              <w:rPr>
                <w:rFonts w:asciiTheme="minorHAnsi" w:hAnsiTheme="minorHAnsi" w:cstheme="minorHAnsi"/>
                <w:sz w:val="20"/>
                <w:szCs w:val="20"/>
              </w:rPr>
            </w:pPr>
            <w:r w:rsidRPr="00116E55">
              <w:rPr>
                <w:rFonts w:asciiTheme="minorHAnsi" w:hAnsiTheme="minorHAnsi" w:cstheme="minorHAnsi"/>
                <w:sz w:val="20"/>
                <w:szCs w:val="20"/>
              </w:rPr>
              <w:t>Sewer spill within the house</w:t>
            </w:r>
          </w:p>
        </w:tc>
        <w:tc>
          <w:tcPr>
            <w:tcW w:w="2264" w:type="dxa"/>
            <w:shd w:val="clear" w:color="auto" w:fill="D4D6DF"/>
          </w:tcPr>
          <w:p w14:paraId="548D115D" w14:textId="77777777" w:rsidR="002F0CD1" w:rsidRPr="00116E55" w:rsidRDefault="002F0CD1" w:rsidP="00E036E2">
            <w:pPr>
              <w:pStyle w:val="TableText"/>
              <w:jc w:val="center"/>
              <w:rPr>
                <w:rFonts w:asciiTheme="minorHAnsi" w:hAnsiTheme="minorHAnsi" w:cstheme="minorHAnsi"/>
                <w:sz w:val="20"/>
                <w:szCs w:val="20"/>
              </w:rPr>
            </w:pPr>
            <w:r w:rsidRPr="00116E55">
              <w:rPr>
                <w:rFonts w:asciiTheme="minorHAnsi" w:hAnsiTheme="minorHAnsi" w:cstheme="minorHAnsi"/>
                <w:sz w:val="20"/>
                <w:szCs w:val="20"/>
              </w:rPr>
              <w:t>$3,000</w:t>
            </w:r>
          </w:p>
        </w:tc>
        <w:tc>
          <w:tcPr>
            <w:tcW w:w="1652" w:type="dxa"/>
            <w:shd w:val="clear" w:color="auto" w:fill="D4D6DF"/>
          </w:tcPr>
          <w:p w14:paraId="42E006E2" w14:textId="77777777" w:rsidR="002F0CD1" w:rsidRPr="00116E55" w:rsidRDefault="002F0CD1" w:rsidP="00E036E2">
            <w:pPr>
              <w:pStyle w:val="TableText"/>
              <w:jc w:val="center"/>
              <w:rPr>
                <w:rFonts w:asciiTheme="minorHAnsi" w:hAnsiTheme="minorHAnsi" w:cstheme="minorHAnsi"/>
                <w:sz w:val="20"/>
                <w:szCs w:val="20"/>
              </w:rPr>
            </w:pPr>
            <w:r w:rsidRPr="00116E55">
              <w:rPr>
                <w:rFonts w:asciiTheme="minorHAnsi" w:hAnsiTheme="minorHAnsi" w:cstheme="minorHAnsi"/>
                <w:sz w:val="20"/>
                <w:szCs w:val="20"/>
              </w:rPr>
              <w:t>Enhanced</w:t>
            </w:r>
          </w:p>
        </w:tc>
      </w:tr>
      <w:tr w:rsidR="006A00C4" w:rsidRPr="00BB00EA" w14:paraId="0254A623" w14:textId="21E5B900" w:rsidTr="00254055">
        <w:tc>
          <w:tcPr>
            <w:tcW w:w="2589" w:type="dxa"/>
          </w:tcPr>
          <w:p w14:paraId="70C5C992" w14:textId="42B4284B" w:rsidR="00B070A1" w:rsidRPr="00360131" w:rsidRDefault="00B070A1" w:rsidP="00B070A1">
            <w:pPr>
              <w:pStyle w:val="TableText"/>
              <w:rPr>
                <w:rFonts w:asciiTheme="minorHAnsi" w:hAnsiTheme="minorHAnsi" w:cstheme="minorHAnsi"/>
                <w:b/>
                <w:bCs/>
                <w:sz w:val="20"/>
                <w:szCs w:val="20"/>
              </w:rPr>
            </w:pPr>
            <w:r w:rsidRPr="00360131">
              <w:rPr>
                <w:rFonts w:asciiTheme="minorHAnsi" w:hAnsiTheme="minorHAnsi" w:cstheme="minorHAnsi"/>
                <w:b/>
                <w:bCs/>
                <w:sz w:val="20"/>
                <w:szCs w:val="20"/>
              </w:rPr>
              <w:t xml:space="preserve">Outcome 1: </w:t>
            </w:r>
            <w:r w:rsidRPr="004C71AE">
              <w:rPr>
                <w:rFonts w:asciiTheme="minorHAnsi" w:hAnsiTheme="minorHAnsi" w:cstheme="minorHAnsi"/>
                <w:i/>
                <w:sz w:val="20"/>
                <w:szCs w:val="20"/>
              </w:rPr>
              <w:t>Get the basics right</w:t>
            </w:r>
            <w:r w:rsidR="00DC4157" w:rsidRPr="004C71AE">
              <w:rPr>
                <w:rFonts w:asciiTheme="minorHAnsi" w:hAnsiTheme="minorHAnsi" w:cstheme="minorHAnsi"/>
                <w:i/>
                <w:sz w:val="20"/>
                <w:szCs w:val="20"/>
              </w:rPr>
              <w:t>,</w:t>
            </w:r>
            <w:r w:rsidRPr="004C71AE">
              <w:rPr>
                <w:rFonts w:asciiTheme="minorHAnsi" w:hAnsiTheme="minorHAnsi" w:cstheme="minorHAnsi"/>
                <w:i/>
                <w:sz w:val="20"/>
                <w:szCs w:val="20"/>
              </w:rPr>
              <w:t xml:space="preserve"> always</w:t>
            </w:r>
            <w:r w:rsidRPr="004C71AE">
              <w:rPr>
                <w:rFonts w:asciiTheme="minorHAnsi" w:hAnsiTheme="minorHAnsi" w:cstheme="minorHAnsi"/>
                <w:sz w:val="20"/>
                <w:szCs w:val="20"/>
              </w:rPr>
              <w:t xml:space="preserve"> Outcome 5: </w:t>
            </w:r>
            <w:r w:rsidRPr="004C71AE">
              <w:rPr>
                <w:rFonts w:asciiTheme="minorHAnsi" w:hAnsiTheme="minorHAnsi" w:cstheme="minorHAnsi"/>
                <w:i/>
                <w:sz w:val="20"/>
                <w:szCs w:val="20"/>
              </w:rPr>
              <w:t>Support my community and protect our environment</w:t>
            </w:r>
          </w:p>
        </w:tc>
        <w:tc>
          <w:tcPr>
            <w:tcW w:w="3064" w:type="dxa"/>
          </w:tcPr>
          <w:p w14:paraId="762136DC" w14:textId="109364A5" w:rsidR="00AC3C2F" w:rsidRPr="00116E55" w:rsidRDefault="00AC3C2F" w:rsidP="006219D6">
            <w:pPr>
              <w:pStyle w:val="TableText"/>
              <w:rPr>
                <w:rFonts w:asciiTheme="minorHAnsi" w:hAnsiTheme="minorHAnsi" w:cstheme="minorHAnsi"/>
                <w:sz w:val="20"/>
                <w:szCs w:val="20"/>
              </w:rPr>
            </w:pPr>
            <w:bookmarkStart w:id="39" w:name="_Hlk115089590"/>
            <w:r w:rsidRPr="00116E55">
              <w:rPr>
                <w:rFonts w:asciiTheme="minorHAnsi" w:hAnsiTheme="minorHAnsi" w:cstheme="minorHAnsi"/>
                <w:sz w:val="20"/>
                <w:szCs w:val="20"/>
              </w:rPr>
              <w:t xml:space="preserve">More than 2 unplanned sewerage service interruptions in any </w:t>
            </w:r>
            <w:r w:rsidR="00203C02" w:rsidRPr="00116E55">
              <w:rPr>
                <w:rFonts w:asciiTheme="minorHAnsi" w:hAnsiTheme="minorHAnsi" w:cstheme="minorHAnsi"/>
                <w:sz w:val="20"/>
                <w:szCs w:val="20"/>
              </w:rPr>
              <w:t>12-month</w:t>
            </w:r>
            <w:r w:rsidRPr="00116E55">
              <w:rPr>
                <w:rFonts w:asciiTheme="minorHAnsi" w:hAnsiTheme="minorHAnsi" w:cstheme="minorHAnsi"/>
                <w:sz w:val="20"/>
                <w:szCs w:val="20"/>
              </w:rPr>
              <w:t xml:space="preserve"> period</w:t>
            </w:r>
            <w:bookmarkEnd w:id="39"/>
          </w:p>
        </w:tc>
        <w:tc>
          <w:tcPr>
            <w:tcW w:w="2264" w:type="dxa"/>
          </w:tcPr>
          <w:p w14:paraId="7342949F" w14:textId="5F94B9D5" w:rsidR="00AC3C2F" w:rsidRPr="00116E55" w:rsidRDefault="00AC3C2F" w:rsidP="00E036E2">
            <w:pPr>
              <w:pStyle w:val="TableText"/>
              <w:jc w:val="center"/>
              <w:rPr>
                <w:rFonts w:asciiTheme="minorHAnsi" w:hAnsiTheme="minorHAnsi" w:cstheme="minorHAnsi"/>
                <w:sz w:val="20"/>
                <w:szCs w:val="20"/>
              </w:rPr>
            </w:pPr>
            <w:r w:rsidRPr="00116E55">
              <w:rPr>
                <w:rFonts w:asciiTheme="minorHAnsi" w:hAnsiTheme="minorHAnsi" w:cstheme="minorHAnsi"/>
                <w:sz w:val="20"/>
                <w:szCs w:val="20"/>
              </w:rPr>
              <w:t>$60 per disruption &gt;2</w:t>
            </w:r>
          </w:p>
        </w:tc>
        <w:tc>
          <w:tcPr>
            <w:tcW w:w="1652" w:type="dxa"/>
          </w:tcPr>
          <w:p w14:paraId="5C4C9DF5" w14:textId="1750240A" w:rsidR="00AC3C2F" w:rsidRPr="00116E55" w:rsidRDefault="00E108E5" w:rsidP="00E036E2">
            <w:pPr>
              <w:pStyle w:val="TableText"/>
              <w:jc w:val="center"/>
              <w:rPr>
                <w:rFonts w:asciiTheme="minorHAnsi" w:hAnsiTheme="minorHAnsi" w:cstheme="minorHAnsi"/>
                <w:sz w:val="20"/>
                <w:szCs w:val="20"/>
              </w:rPr>
            </w:pPr>
            <w:r>
              <w:rPr>
                <w:rFonts w:asciiTheme="minorHAnsi" w:hAnsiTheme="minorHAnsi" w:cstheme="minorHAnsi"/>
                <w:sz w:val="20"/>
                <w:szCs w:val="20"/>
              </w:rPr>
              <w:t>No change</w:t>
            </w:r>
          </w:p>
        </w:tc>
      </w:tr>
      <w:tr w:rsidR="002E68BA" w:rsidRPr="00BB00EA" w14:paraId="0DC21F44" w14:textId="6EDAEA59" w:rsidTr="00254055">
        <w:tc>
          <w:tcPr>
            <w:tcW w:w="2589" w:type="dxa"/>
            <w:shd w:val="clear" w:color="auto" w:fill="D4D6DF"/>
          </w:tcPr>
          <w:p w14:paraId="7A816EA0" w14:textId="3D7A4CE2" w:rsidR="00B070A1" w:rsidRPr="00360131" w:rsidRDefault="00B070A1" w:rsidP="00B070A1">
            <w:pPr>
              <w:pStyle w:val="TableText"/>
              <w:rPr>
                <w:rFonts w:asciiTheme="minorHAnsi" w:hAnsiTheme="minorHAnsi" w:cstheme="minorHAnsi"/>
                <w:b/>
                <w:bCs/>
                <w:sz w:val="20"/>
                <w:szCs w:val="20"/>
              </w:rPr>
            </w:pPr>
            <w:r w:rsidRPr="00360131">
              <w:rPr>
                <w:rFonts w:asciiTheme="minorHAnsi" w:hAnsiTheme="minorHAnsi" w:cstheme="minorHAnsi"/>
                <w:b/>
                <w:bCs/>
                <w:sz w:val="20"/>
                <w:szCs w:val="20"/>
              </w:rPr>
              <w:lastRenderedPageBreak/>
              <w:t xml:space="preserve">Outcome 1: </w:t>
            </w:r>
            <w:r w:rsidRPr="004C71AE">
              <w:rPr>
                <w:rFonts w:asciiTheme="minorHAnsi" w:hAnsiTheme="minorHAnsi" w:cstheme="minorHAnsi"/>
                <w:i/>
                <w:sz w:val="20"/>
                <w:szCs w:val="20"/>
              </w:rPr>
              <w:t>Get the basics right</w:t>
            </w:r>
            <w:r w:rsidR="00045094" w:rsidRPr="004C71AE">
              <w:rPr>
                <w:rFonts w:asciiTheme="minorHAnsi" w:hAnsiTheme="minorHAnsi" w:cstheme="minorHAnsi"/>
                <w:i/>
                <w:sz w:val="20"/>
                <w:szCs w:val="20"/>
              </w:rPr>
              <w:t>,</w:t>
            </w:r>
            <w:r w:rsidRPr="004C71AE">
              <w:rPr>
                <w:rFonts w:asciiTheme="minorHAnsi" w:hAnsiTheme="minorHAnsi" w:cstheme="minorHAnsi"/>
                <w:i/>
                <w:sz w:val="20"/>
                <w:szCs w:val="20"/>
              </w:rPr>
              <w:t xml:space="preserve"> always</w:t>
            </w:r>
          </w:p>
        </w:tc>
        <w:tc>
          <w:tcPr>
            <w:tcW w:w="3064" w:type="dxa"/>
            <w:shd w:val="clear" w:color="auto" w:fill="D4D6DF"/>
          </w:tcPr>
          <w:p w14:paraId="21A2F9E1" w14:textId="6A91EE65" w:rsidR="00AC3C2F" w:rsidRPr="00116E55" w:rsidRDefault="00AC3C2F" w:rsidP="006219D6">
            <w:pPr>
              <w:pStyle w:val="TableText"/>
              <w:rPr>
                <w:rFonts w:asciiTheme="minorHAnsi" w:hAnsiTheme="minorHAnsi" w:cstheme="minorHAnsi"/>
                <w:sz w:val="20"/>
                <w:szCs w:val="20"/>
              </w:rPr>
            </w:pPr>
            <w:r w:rsidRPr="00116E55">
              <w:rPr>
                <w:rFonts w:asciiTheme="minorHAnsi" w:hAnsiTheme="minorHAnsi" w:cstheme="minorHAnsi"/>
                <w:sz w:val="20"/>
                <w:szCs w:val="20"/>
              </w:rPr>
              <w:t xml:space="preserve">Unplanned water supply interruption longer than </w:t>
            </w:r>
            <w:r w:rsidR="00203C02" w:rsidRPr="00116E55">
              <w:rPr>
                <w:rFonts w:asciiTheme="minorHAnsi" w:hAnsiTheme="minorHAnsi" w:cstheme="minorHAnsi"/>
                <w:sz w:val="20"/>
                <w:szCs w:val="20"/>
              </w:rPr>
              <w:t>5</w:t>
            </w:r>
            <w:r w:rsidRPr="00116E55">
              <w:rPr>
                <w:rFonts w:asciiTheme="minorHAnsi" w:hAnsiTheme="minorHAnsi" w:cstheme="minorHAnsi"/>
                <w:sz w:val="20"/>
                <w:szCs w:val="20"/>
              </w:rPr>
              <w:t xml:space="preserve"> hours</w:t>
            </w:r>
          </w:p>
        </w:tc>
        <w:tc>
          <w:tcPr>
            <w:tcW w:w="2264" w:type="dxa"/>
            <w:shd w:val="clear" w:color="auto" w:fill="D4D6DF"/>
          </w:tcPr>
          <w:p w14:paraId="0458E430" w14:textId="77777777" w:rsidR="00AC3C2F" w:rsidRPr="00116E55" w:rsidRDefault="00AC3C2F" w:rsidP="00E036E2">
            <w:pPr>
              <w:pStyle w:val="TableText"/>
              <w:jc w:val="center"/>
              <w:rPr>
                <w:rFonts w:asciiTheme="minorHAnsi" w:hAnsiTheme="minorHAnsi" w:cstheme="minorHAnsi"/>
                <w:sz w:val="20"/>
                <w:szCs w:val="20"/>
              </w:rPr>
            </w:pPr>
            <w:r w:rsidRPr="00116E55">
              <w:rPr>
                <w:rFonts w:asciiTheme="minorHAnsi" w:hAnsiTheme="minorHAnsi" w:cstheme="minorHAnsi"/>
                <w:sz w:val="20"/>
                <w:szCs w:val="20"/>
              </w:rPr>
              <w:t>$60</w:t>
            </w:r>
          </w:p>
        </w:tc>
        <w:tc>
          <w:tcPr>
            <w:tcW w:w="1652" w:type="dxa"/>
            <w:shd w:val="clear" w:color="auto" w:fill="D4D6DF"/>
          </w:tcPr>
          <w:p w14:paraId="6136C8CC" w14:textId="2EC0C018" w:rsidR="00AC3C2F" w:rsidRPr="00116E55" w:rsidRDefault="00D010B7" w:rsidP="00E036E2">
            <w:pPr>
              <w:pStyle w:val="TableText"/>
              <w:jc w:val="center"/>
              <w:rPr>
                <w:rFonts w:asciiTheme="minorHAnsi" w:hAnsiTheme="minorHAnsi" w:cstheme="minorHAnsi"/>
                <w:sz w:val="20"/>
                <w:szCs w:val="20"/>
              </w:rPr>
            </w:pPr>
            <w:r w:rsidRPr="00116E55">
              <w:rPr>
                <w:rFonts w:asciiTheme="minorHAnsi" w:hAnsiTheme="minorHAnsi" w:cstheme="minorHAnsi"/>
                <w:sz w:val="20"/>
                <w:szCs w:val="20"/>
              </w:rPr>
              <w:t>No change</w:t>
            </w:r>
          </w:p>
        </w:tc>
      </w:tr>
      <w:tr w:rsidR="006A00C4" w:rsidRPr="00BB00EA" w14:paraId="4FA5E027" w14:textId="4F727BE2" w:rsidTr="00254055">
        <w:tc>
          <w:tcPr>
            <w:tcW w:w="2589" w:type="dxa"/>
          </w:tcPr>
          <w:p w14:paraId="1483909B" w14:textId="2F31B7DF" w:rsidR="00B070A1" w:rsidRPr="00360131" w:rsidRDefault="00B070A1" w:rsidP="00B070A1">
            <w:pPr>
              <w:pStyle w:val="TableText"/>
              <w:rPr>
                <w:rFonts w:asciiTheme="minorHAnsi" w:hAnsiTheme="minorHAnsi" w:cstheme="minorHAnsi"/>
                <w:b/>
                <w:bCs/>
                <w:sz w:val="20"/>
                <w:szCs w:val="20"/>
              </w:rPr>
            </w:pPr>
            <w:r w:rsidRPr="00360131">
              <w:rPr>
                <w:rFonts w:asciiTheme="minorHAnsi" w:hAnsiTheme="minorHAnsi" w:cstheme="minorHAnsi"/>
                <w:b/>
                <w:bCs/>
                <w:sz w:val="20"/>
                <w:szCs w:val="20"/>
              </w:rPr>
              <w:t xml:space="preserve">Outcome 1: </w:t>
            </w:r>
            <w:r w:rsidRPr="004C71AE">
              <w:rPr>
                <w:rFonts w:asciiTheme="minorHAnsi" w:hAnsiTheme="minorHAnsi" w:cstheme="minorHAnsi"/>
                <w:i/>
                <w:sz w:val="20"/>
                <w:szCs w:val="20"/>
              </w:rPr>
              <w:t>Get the basics right</w:t>
            </w:r>
            <w:r w:rsidR="00DC4157" w:rsidRPr="004C71AE">
              <w:rPr>
                <w:rFonts w:asciiTheme="minorHAnsi" w:hAnsiTheme="minorHAnsi" w:cstheme="minorHAnsi"/>
                <w:i/>
                <w:sz w:val="20"/>
                <w:szCs w:val="20"/>
              </w:rPr>
              <w:t>,</w:t>
            </w:r>
            <w:r w:rsidRPr="004C71AE">
              <w:rPr>
                <w:rFonts w:asciiTheme="minorHAnsi" w:hAnsiTheme="minorHAnsi" w:cstheme="minorHAnsi"/>
                <w:i/>
                <w:sz w:val="20"/>
                <w:szCs w:val="20"/>
              </w:rPr>
              <w:t xml:space="preserve"> always</w:t>
            </w:r>
            <w:r w:rsidRPr="004C71AE">
              <w:rPr>
                <w:rFonts w:asciiTheme="minorHAnsi" w:hAnsiTheme="minorHAnsi" w:cstheme="minorHAnsi"/>
                <w:sz w:val="20"/>
                <w:szCs w:val="20"/>
              </w:rPr>
              <w:t xml:space="preserve"> Outcome 5: </w:t>
            </w:r>
            <w:r w:rsidRPr="004C71AE">
              <w:rPr>
                <w:rFonts w:asciiTheme="minorHAnsi" w:hAnsiTheme="minorHAnsi" w:cstheme="minorHAnsi"/>
                <w:i/>
                <w:sz w:val="20"/>
                <w:szCs w:val="20"/>
              </w:rPr>
              <w:t>Support my community and protect our environment</w:t>
            </w:r>
          </w:p>
        </w:tc>
        <w:tc>
          <w:tcPr>
            <w:tcW w:w="3064" w:type="dxa"/>
          </w:tcPr>
          <w:p w14:paraId="172A57D9" w14:textId="14410F52" w:rsidR="00AC3C2F" w:rsidRPr="00116E55" w:rsidRDefault="00AC3C2F" w:rsidP="006219D6">
            <w:pPr>
              <w:pStyle w:val="TableText"/>
              <w:rPr>
                <w:rFonts w:asciiTheme="minorHAnsi" w:hAnsiTheme="minorHAnsi" w:cstheme="minorHAnsi"/>
                <w:sz w:val="20"/>
                <w:szCs w:val="20"/>
              </w:rPr>
            </w:pPr>
            <w:r w:rsidRPr="00116E55">
              <w:rPr>
                <w:rFonts w:asciiTheme="minorHAnsi" w:hAnsiTheme="minorHAnsi" w:cstheme="minorHAnsi"/>
                <w:sz w:val="20"/>
                <w:szCs w:val="20"/>
              </w:rPr>
              <w:t>Unplanned sewerage service interruption not restored within 4 hours</w:t>
            </w:r>
          </w:p>
        </w:tc>
        <w:tc>
          <w:tcPr>
            <w:tcW w:w="2264" w:type="dxa"/>
          </w:tcPr>
          <w:p w14:paraId="4E78D94D" w14:textId="77777777" w:rsidR="00AC3C2F" w:rsidRPr="00116E55" w:rsidRDefault="00AC3C2F" w:rsidP="00E036E2">
            <w:pPr>
              <w:pStyle w:val="TableText"/>
              <w:jc w:val="center"/>
              <w:rPr>
                <w:rFonts w:asciiTheme="minorHAnsi" w:hAnsiTheme="minorHAnsi" w:cstheme="minorHAnsi"/>
                <w:sz w:val="20"/>
                <w:szCs w:val="20"/>
              </w:rPr>
            </w:pPr>
            <w:r w:rsidRPr="00116E55">
              <w:rPr>
                <w:rFonts w:asciiTheme="minorHAnsi" w:hAnsiTheme="minorHAnsi" w:cstheme="minorHAnsi"/>
                <w:sz w:val="20"/>
                <w:szCs w:val="20"/>
              </w:rPr>
              <w:t>$60</w:t>
            </w:r>
          </w:p>
        </w:tc>
        <w:tc>
          <w:tcPr>
            <w:tcW w:w="1652" w:type="dxa"/>
          </w:tcPr>
          <w:p w14:paraId="0D354507" w14:textId="7693DB14" w:rsidR="00AC3C2F" w:rsidRPr="00116E55" w:rsidRDefault="00D010B7" w:rsidP="00E036E2">
            <w:pPr>
              <w:pStyle w:val="TableText"/>
              <w:jc w:val="center"/>
              <w:rPr>
                <w:rFonts w:asciiTheme="minorHAnsi" w:hAnsiTheme="minorHAnsi" w:cstheme="minorHAnsi"/>
                <w:sz w:val="20"/>
                <w:szCs w:val="20"/>
              </w:rPr>
            </w:pPr>
            <w:r w:rsidRPr="00116E55">
              <w:rPr>
                <w:rFonts w:asciiTheme="minorHAnsi" w:hAnsiTheme="minorHAnsi" w:cstheme="minorHAnsi"/>
                <w:sz w:val="20"/>
                <w:szCs w:val="20"/>
              </w:rPr>
              <w:t>No change</w:t>
            </w:r>
          </w:p>
        </w:tc>
      </w:tr>
      <w:tr w:rsidR="002E68BA" w:rsidRPr="00BB00EA" w14:paraId="33D6E751" w14:textId="42DD1938" w:rsidTr="00254055">
        <w:tc>
          <w:tcPr>
            <w:tcW w:w="2589" w:type="dxa"/>
            <w:shd w:val="clear" w:color="auto" w:fill="D4D6DF"/>
          </w:tcPr>
          <w:p w14:paraId="2C5C933D" w14:textId="64F5E0A2" w:rsidR="00B070A1" w:rsidRPr="00360131" w:rsidRDefault="00B070A1" w:rsidP="00B070A1">
            <w:pPr>
              <w:pStyle w:val="TableText"/>
              <w:rPr>
                <w:rFonts w:asciiTheme="minorHAnsi" w:hAnsiTheme="minorHAnsi" w:cstheme="minorHAnsi"/>
                <w:b/>
                <w:bCs/>
                <w:sz w:val="20"/>
                <w:szCs w:val="20"/>
              </w:rPr>
            </w:pPr>
            <w:r w:rsidRPr="00360131">
              <w:rPr>
                <w:rFonts w:asciiTheme="minorHAnsi" w:hAnsiTheme="minorHAnsi" w:cstheme="minorHAnsi"/>
                <w:b/>
                <w:bCs/>
                <w:sz w:val="20"/>
                <w:szCs w:val="20"/>
              </w:rPr>
              <w:t xml:space="preserve">Outcome 1: </w:t>
            </w:r>
            <w:r w:rsidRPr="004C71AE">
              <w:rPr>
                <w:rFonts w:asciiTheme="minorHAnsi" w:hAnsiTheme="minorHAnsi" w:cstheme="minorHAnsi"/>
                <w:i/>
                <w:sz w:val="20"/>
                <w:szCs w:val="20"/>
              </w:rPr>
              <w:t>Get the basics right</w:t>
            </w:r>
            <w:r w:rsidR="00DC4157" w:rsidRPr="004C71AE">
              <w:rPr>
                <w:rFonts w:asciiTheme="minorHAnsi" w:hAnsiTheme="minorHAnsi" w:cstheme="minorHAnsi"/>
                <w:i/>
                <w:sz w:val="20"/>
                <w:szCs w:val="20"/>
              </w:rPr>
              <w:t>,</w:t>
            </w:r>
            <w:r w:rsidRPr="004C71AE">
              <w:rPr>
                <w:rFonts w:asciiTheme="minorHAnsi" w:hAnsiTheme="minorHAnsi" w:cstheme="minorHAnsi"/>
                <w:i/>
                <w:sz w:val="20"/>
                <w:szCs w:val="20"/>
              </w:rPr>
              <w:t xml:space="preserve"> always</w:t>
            </w:r>
            <w:r w:rsidRPr="004C71AE">
              <w:rPr>
                <w:rFonts w:asciiTheme="minorHAnsi" w:hAnsiTheme="minorHAnsi" w:cstheme="minorHAnsi"/>
                <w:sz w:val="20"/>
                <w:szCs w:val="20"/>
              </w:rPr>
              <w:t xml:space="preserve"> Outcome 5: </w:t>
            </w:r>
            <w:r w:rsidRPr="004C71AE">
              <w:rPr>
                <w:rFonts w:asciiTheme="minorHAnsi" w:hAnsiTheme="minorHAnsi" w:cstheme="minorHAnsi"/>
                <w:i/>
                <w:sz w:val="20"/>
                <w:szCs w:val="20"/>
              </w:rPr>
              <w:t>Support my community and protect our environment</w:t>
            </w:r>
          </w:p>
        </w:tc>
        <w:tc>
          <w:tcPr>
            <w:tcW w:w="3064" w:type="dxa"/>
            <w:shd w:val="clear" w:color="auto" w:fill="D4D6DF"/>
          </w:tcPr>
          <w:p w14:paraId="2995245E" w14:textId="75EACDBD" w:rsidR="00AC3C2F" w:rsidRPr="00116E55" w:rsidRDefault="00AC3C2F" w:rsidP="006219D6">
            <w:pPr>
              <w:pStyle w:val="TableText"/>
              <w:rPr>
                <w:rFonts w:asciiTheme="minorHAnsi" w:hAnsiTheme="minorHAnsi" w:cstheme="minorHAnsi"/>
                <w:sz w:val="20"/>
                <w:szCs w:val="20"/>
              </w:rPr>
            </w:pPr>
            <w:r w:rsidRPr="00116E55">
              <w:rPr>
                <w:rFonts w:asciiTheme="minorHAnsi" w:hAnsiTheme="minorHAnsi" w:cstheme="minorHAnsi"/>
                <w:sz w:val="20"/>
                <w:szCs w:val="20"/>
              </w:rPr>
              <w:t>Sewage spill not contained within 5 hours of notification</w:t>
            </w:r>
          </w:p>
        </w:tc>
        <w:tc>
          <w:tcPr>
            <w:tcW w:w="2264" w:type="dxa"/>
            <w:shd w:val="clear" w:color="auto" w:fill="D4D6DF"/>
          </w:tcPr>
          <w:p w14:paraId="59A0E8B6" w14:textId="77777777" w:rsidR="00AC3C2F" w:rsidRPr="00116E55" w:rsidRDefault="00AC3C2F" w:rsidP="00E036E2">
            <w:pPr>
              <w:pStyle w:val="TableText"/>
              <w:jc w:val="center"/>
              <w:rPr>
                <w:rFonts w:asciiTheme="minorHAnsi" w:hAnsiTheme="minorHAnsi" w:cstheme="minorHAnsi"/>
                <w:sz w:val="20"/>
                <w:szCs w:val="20"/>
              </w:rPr>
            </w:pPr>
            <w:r w:rsidRPr="00116E55">
              <w:rPr>
                <w:rFonts w:asciiTheme="minorHAnsi" w:hAnsiTheme="minorHAnsi" w:cstheme="minorHAnsi"/>
                <w:sz w:val="20"/>
                <w:szCs w:val="20"/>
              </w:rPr>
              <w:t>$1,000</w:t>
            </w:r>
          </w:p>
        </w:tc>
        <w:tc>
          <w:tcPr>
            <w:tcW w:w="1652" w:type="dxa"/>
            <w:shd w:val="clear" w:color="auto" w:fill="D4D6DF"/>
          </w:tcPr>
          <w:p w14:paraId="0D0C81A9" w14:textId="0D673770" w:rsidR="00AC3C2F" w:rsidRPr="00116E55" w:rsidRDefault="00D010B7" w:rsidP="00E036E2">
            <w:pPr>
              <w:pStyle w:val="TableText"/>
              <w:jc w:val="center"/>
              <w:rPr>
                <w:rFonts w:asciiTheme="minorHAnsi" w:hAnsiTheme="minorHAnsi" w:cstheme="minorHAnsi"/>
                <w:sz w:val="20"/>
                <w:szCs w:val="20"/>
              </w:rPr>
            </w:pPr>
            <w:r w:rsidRPr="00116E55">
              <w:rPr>
                <w:rFonts w:asciiTheme="minorHAnsi" w:hAnsiTheme="minorHAnsi" w:cstheme="minorHAnsi"/>
                <w:sz w:val="20"/>
                <w:szCs w:val="20"/>
              </w:rPr>
              <w:t>No change</w:t>
            </w:r>
          </w:p>
        </w:tc>
      </w:tr>
      <w:tr w:rsidR="006A00C4" w:rsidRPr="00BB00EA" w14:paraId="6F8FA156" w14:textId="54931CFA" w:rsidTr="00254055">
        <w:tc>
          <w:tcPr>
            <w:tcW w:w="2589" w:type="dxa"/>
          </w:tcPr>
          <w:p w14:paraId="47A13DA4" w14:textId="077EF095" w:rsidR="00B070A1" w:rsidRPr="00360131" w:rsidRDefault="00B070A1" w:rsidP="00B070A1">
            <w:pPr>
              <w:pStyle w:val="TableText"/>
              <w:rPr>
                <w:rFonts w:asciiTheme="minorHAnsi" w:hAnsiTheme="minorHAnsi" w:cstheme="minorHAnsi"/>
                <w:b/>
                <w:bCs/>
                <w:sz w:val="20"/>
                <w:szCs w:val="20"/>
              </w:rPr>
            </w:pPr>
            <w:r w:rsidRPr="00360131">
              <w:rPr>
                <w:rFonts w:asciiTheme="minorHAnsi" w:hAnsiTheme="minorHAnsi" w:cstheme="minorHAnsi"/>
                <w:b/>
                <w:bCs/>
                <w:sz w:val="20"/>
                <w:szCs w:val="20"/>
              </w:rPr>
              <w:t xml:space="preserve">Outcome 3: </w:t>
            </w:r>
            <w:r w:rsidRPr="004C71AE">
              <w:rPr>
                <w:rFonts w:asciiTheme="minorHAnsi" w:hAnsiTheme="minorHAnsi" w:cstheme="minorHAnsi"/>
                <w:i/>
                <w:sz w:val="20"/>
                <w:szCs w:val="20"/>
              </w:rPr>
              <w:t>Fair and affordable for all</w:t>
            </w:r>
            <w:r w:rsidRPr="004C71AE">
              <w:rPr>
                <w:rFonts w:asciiTheme="minorHAnsi" w:hAnsiTheme="minorHAnsi" w:cstheme="minorHAnsi"/>
                <w:sz w:val="20"/>
                <w:szCs w:val="20"/>
              </w:rPr>
              <w:t xml:space="preserve"> </w:t>
            </w:r>
          </w:p>
        </w:tc>
        <w:tc>
          <w:tcPr>
            <w:tcW w:w="3064" w:type="dxa"/>
          </w:tcPr>
          <w:p w14:paraId="5FABBE6E" w14:textId="67AA14F7" w:rsidR="00AC3C2F" w:rsidRPr="00116E55" w:rsidRDefault="00AC3C2F" w:rsidP="006219D6">
            <w:pPr>
              <w:pStyle w:val="TableText"/>
              <w:rPr>
                <w:rFonts w:asciiTheme="minorHAnsi" w:hAnsiTheme="minorHAnsi" w:cstheme="minorHAnsi"/>
                <w:sz w:val="20"/>
                <w:szCs w:val="20"/>
              </w:rPr>
            </w:pPr>
            <w:r w:rsidRPr="00116E55">
              <w:rPr>
                <w:rFonts w:asciiTheme="minorHAnsi" w:hAnsiTheme="minorHAnsi" w:cstheme="minorHAnsi"/>
                <w:sz w:val="20"/>
                <w:szCs w:val="20"/>
              </w:rPr>
              <w:t>Restricting the water supply of, or taking legal action against, a residential customer prior to taking reasonable endeavours (as defined by the ESC) to contact the customer and provide information about help that is available if the customer is experiencing difficulties paying</w:t>
            </w:r>
          </w:p>
        </w:tc>
        <w:tc>
          <w:tcPr>
            <w:tcW w:w="2264" w:type="dxa"/>
          </w:tcPr>
          <w:p w14:paraId="5AB56C95" w14:textId="77777777" w:rsidR="00AC3C2F" w:rsidRPr="00116E55" w:rsidRDefault="00AC3C2F" w:rsidP="00E036E2">
            <w:pPr>
              <w:pStyle w:val="TableText"/>
              <w:jc w:val="center"/>
              <w:rPr>
                <w:rFonts w:asciiTheme="minorHAnsi" w:hAnsiTheme="minorHAnsi" w:cstheme="minorHAnsi"/>
                <w:sz w:val="20"/>
                <w:szCs w:val="20"/>
              </w:rPr>
            </w:pPr>
            <w:r w:rsidRPr="00116E55">
              <w:rPr>
                <w:rFonts w:asciiTheme="minorHAnsi" w:hAnsiTheme="minorHAnsi" w:cstheme="minorHAnsi"/>
                <w:sz w:val="20"/>
                <w:szCs w:val="20"/>
              </w:rPr>
              <w:t>$500</w:t>
            </w:r>
          </w:p>
        </w:tc>
        <w:tc>
          <w:tcPr>
            <w:tcW w:w="1652" w:type="dxa"/>
          </w:tcPr>
          <w:p w14:paraId="7D137C2C" w14:textId="06980391" w:rsidR="00AC3C2F" w:rsidRPr="00116E55" w:rsidRDefault="00CE665E" w:rsidP="00E036E2">
            <w:pPr>
              <w:pStyle w:val="TableText"/>
              <w:jc w:val="center"/>
              <w:rPr>
                <w:rFonts w:asciiTheme="minorHAnsi" w:hAnsiTheme="minorHAnsi" w:cstheme="minorHAnsi"/>
                <w:sz w:val="20"/>
                <w:szCs w:val="20"/>
              </w:rPr>
            </w:pPr>
            <w:r w:rsidRPr="00116E55">
              <w:rPr>
                <w:rFonts w:asciiTheme="minorHAnsi" w:hAnsiTheme="minorHAnsi" w:cstheme="minorHAnsi"/>
                <w:sz w:val="20"/>
                <w:szCs w:val="20"/>
              </w:rPr>
              <w:t>No change</w:t>
            </w:r>
          </w:p>
        </w:tc>
      </w:tr>
    </w:tbl>
    <w:p w14:paraId="238FD876" w14:textId="77777777" w:rsidR="00AC3C2F" w:rsidRPr="002D1CF8" w:rsidRDefault="00AC3C2F" w:rsidP="00AC3C2F">
      <w:pPr>
        <w:rPr>
          <w:rFonts w:asciiTheme="minorHAnsi" w:hAnsiTheme="minorHAnsi" w:cstheme="minorHAnsi"/>
          <w:sz w:val="22"/>
          <w:szCs w:val="22"/>
        </w:rPr>
      </w:pPr>
    </w:p>
    <w:p w14:paraId="60C4FD44" w14:textId="6459848C" w:rsidR="00201EEE" w:rsidRDefault="00201EEE" w:rsidP="00E4120E">
      <w:pPr>
        <w:pStyle w:val="Heading3"/>
      </w:pPr>
      <w:r>
        <w:t>Funding of GSLs</w:t>
      </w:r>
    </w:p>
    <w:p w14:paraId="36DC7016" w14:textId="0D7A197B" w:rsidR="00F77344" w:rsidRPr="00871A88" w:rsidRDefault="00F77344" w:rsidP="00CB0971">
      <w:pPr>
        <w:rPr>
          <w:rFonts w:eastAsia="Arial" w:cs="Arial"/>
        </w:rPr>
      </w:pPr>
      <w:r w:rsidRPr="00871A88">
        <w:rPr>
          <w:rFonts w:eastAsia="Arial" w:cs="Arial"/>
        </w:rPr>
        <w:t xml:space="preserve">To drive better incentives for the </w:t>
      </w:r>
      <w:r w:rsidR="0088688D">
        <w:rPr>
          <w:rFonts w:eastAsia="Arial" w:cs="Arial"/>
        </w:rPr>
        <w:t>organisation</w:t>
      </w:r>
      <w:r w:rsidRPr="00871A88">
        <w:rPr>
          <w:rFonts w:eastAsia="Arial" w:cs="Arial"/>
        </w:rPr>
        <w:t xml:space="preserve">, </w:t>
      </w:r>
      <w:r w:rsidR="00610A37">
        <w:rPr>
          <w:rFonts w:eastAsia="Arial" w:cs="Arial"/>
        </w:rPr>
        <w:t xml:space="preserve">we have chosen not to include costs associated with the proposed </w:t>
      </w:r>
      <w:r w:rsidRPr="00871A88">
        <w:rPr>
          <w:rFonts w:eastAsia="Arial" w:cs="Arial"/>
        </w:rPr>
        <w:t>GSL</w:t>
      </w:r>
      <w:r w:rsidR="00610A37">
        <w:rPr>
          <w:rFonts w:eastAsia="Arial" w:cs="Arial"/>
        </w:rPr>
        <w:t xml:space="preserve"> scheme </w:t>
      </w:r>
      <w:r w:rsidR="00CC2F84">
        <w:rPr>
          <w:rFonts w:eastAsia="Arial" w:cs="Arial"/>
        </w:rPr>
        <w:t>in the revenue requirement allowance</w:t>
      </w:r>
      <w:r w:rsidR="00B34C97">
        <w:rPr>
          <w:rFonts w:eastAsia="Arial" w:cs="Arial"/>
        </w:rPr>
        <w:t>.</w:t>
      </w:r>
      <w:r w:rsidRPr="00871A88">
        <w:rPr>
          <w:rFonts w:eastAsia="Arial" w:cs="Arial"/>
        </w:rPr>
        <w:t xml:space="preserve"> </w:t>
      </w:r>
      <w:r w:rsidR="00B34C97">
        <w:rPr>
          <w:rFonts w:eastAsia="Arial" w:cs="Arial"/>
        </w:rPr>
        <w:t>W</w:t>
      </w:r>
      <w:r w:rsidRPr="00871A88">
        <w:rPr>
          <w:rFonts w:eastAsia="Arial" w:cs="Arial"/>
        </w:rPr>
        <w:t xml:space="preserve">here South East Water has not met the </w:t>
      </w:r>
      <w:r w:rsidR="002A686E">
        <w:rPr>
          <w:rFonts w:eastAsia="Arial" w:cs="Arial"/>
        </w:rPr>
        <w:t xml:space="preserve">agreed </w:t>
      </w:r>
      <w:r w:rsidRPr="00871A88">
        <w:rPr>
          <w:rFonts w:eastAsia="Arial" w:cs="Arial"/>
        </w:rPr>
        <w:t>level of service</w:t>
      </w:r>
      <w:r w:rsidR="00B34C97">
        <w:rPr>
          <w:rFonts w:eastAsia="Arial" w:cs="Arial"/>
        </w:rPr>
        <w:t xml:space="preserve">, </w:t>
      </w:r>
      <w:r w:rsidR="007634B2">
        <w:rPr>
          <w:rFonts w:eastAsia="Arial" w:cs="Arial"/>
        </w:rPr>
        <w:t>resulting in a GSL</w:t>
      </w:r>
      <w:r w:rsidR="004F4E36">
        <w:rPr>
          <w:rFonts w:eastAsia="Arial" w:cs="Arial"/>
        </w:rPr>
        <w:t xml:space="preserve"> payment, we will absorb that cost</w:t>
      </w:r>
      <w:r w:rsidRPr="00871A88">
        <w:rPr>
          <w:rFonts w:eastAsia="Arial" w:cs="Arial"/>
        </w:rPr>
        <w:t xml:space="preserve">. This will lead to better outcomes for customers, as the </w:t>
      </w:r>
      <w:r w:rsidR="0088688D">
        <w:rPr>
          <w:rFonts w:eastAsia="Arial" w:cs="Arial"/>
        </w:rPr>
        <w:t>organisation</w:t>
      </w:r>
      <w:r w:rsidRPr="00871A88">
        <w:rPr>
          <w:rFonts w:eastAsia="Arial" w:cs="Arial"/>
        </w:rPr>
        <w:t xml:space="preserve"> is driven</w:t>
      </w:r>
      <w:r w:rsidR="00DF2071">
        <w:rPr>
          <w:rFonts w:eastAsia="Arial" w:cs="Arial"/>
        </w:rPr>
        <w:t xml:space="preserve"> </w:t>
      </w:r>
      <w:r w:rsidRPr="00871A88">
        <w:rPr>
          <w:rFonts w:eastAsia="Arial" w:cs="Arial"/>
        </w:rPr>
        <w:t xml:space="preserve">to meet </w:t>
      </w:r>
      <w:r w:rsidR="006047A4">
        <w:rPr>
          <w:rFonts w:eastAsia="Arial" w:cs="Arial"/>
        </w:rPr>
        <w:t xml:space="preserve">the </w:t>
      </w:r>
      <w:r w:rsidRPr="00871A88">
        <w:rPr>
          <w:rFonts w:eastAsia="Arial" w:cs="Arial"/>
        </w:rPr>
        <w:t xml:space="preserve">service levels </w:t>
      </w:r>
      <w:r w:rsidR="002809DF">
        <w:rPr>
          <w:rFonts w:eastAsia="Arial" w:cs="Arial"/>
        </w:rPr>
        <w:t>we have</w:t>
      </w:r>
      <w:r w:rsidR="00B95C08">
        <w:rPr>
          <w:rFonts w:eastAsia="Arial" w:cs="Arial"/>
        </w:rPr>
        <w:t xml:space="preserve"> committed</w:t>
      </w:r>
      <w:r w:rsidRPr="00871A88">
        <w:rPr>
          <w:rFonts w:eastAsia="Arial" w:cs="Arial"/>
        </w:rPr>
        <w:t xml:space="preserve"> to customers.</w:t>
      </w:r>
    </w:p>
    <w:p w14:paraId="1D18E6CA" w14:textId="77777777" w:rsidR="00F77344" w:rsidRPr="00F21F5B" w:rsidRDefault="00F77344" w:rsidP="00AC3C2F">
      <w:pPr>
        <w:rPr>
          <w:lang w:val="en-US"/>
        </w:rPr>
      </w:pPr>
    </w:p>
    <w:p w14:paraId="606FF58A" w14:textId="1D8EB716" w:rsidR="00AC3C2F" w:rsidRPr="00762418" w:rsidRDefault="005668E9" w:rsidP="00762418">
      <w:pPr>
        <w:pStyle w:val="NbrHeading2"/>
      </w:pPr>
      <w:r w:rsidRPr="00762418">
        <w:t xml:space="preserve">3.3 </w:t>
      </w:r>
      <w:r w:rsidR="00AC3C2F" w:rsidRPr="00762418">
        <w:t xml:space="preserve">PREMO summary </w:t>
      </w:r>
      <w:r w:rsidR="007D4EB3" w:rsidRPr="00762418">
        <w:t>–</w:t>
      </w:r>
      <w:r w:rsidR="00AC3C2F" w:rsidRPr="00762418">
        <w:t xml:space="preserve"> Outcomes</w:t>
      </w:r>
    </w:p>
    <w:p w14:paraId="74352145" w14:textId="08F99E7A" w:rsidR="00D75F40" w:rsidRDefault="00D75F40" w:rsidP="00552951">
      <w:r>
        <w:t xml:space="preserve">Table 17 </w:t>
      </w:r>
      <w:r w:rsidR="00552951">
        <w:t>provides our responses to the ESC</w:t>
      </w:r>
      <w:r w:rsidR="00612583">
        <w:t>’</w:t>
      </w:r>
      <w:r w:rsidR="00552951">
        <w:t xml:space="preserve">s guiding questions for </w:t>
      </w:r>
      <w:r>
        <w:t xml:space="preserve">the </w:t>
      </w:r>
      <w:r w:rsidR="00552951">
        <w:t xml:space="preserve">PREMO assessment </w:t>
      </w:r>
      <w:r>
        <w:t>i</w:t>
      </w:r>
      <w:r w:rsidR="00552951">
        <w:t>n relation to the Outcomes element.</w:t>
      </w:r>
    </w:p>
    <w:p w14:paraId="7FA3CBFB" w14:textId="5680DCF8" w:rsidR="00D75F40" w:rsidRPr="00D75F40" w:rsidRDefault="00D75F40" w:rsidP="00D75F40">
      <w:pPr>
        <w:pStyle w:val="Tabletitle"/>
        <w:spacing w:after="120"/>
        <w:rPr>
          <w:rFonts w:cs="Arial"/>
          <w:i/>
          <w:sz w:val="22"/>
          <w:szCs w:val="22"/>
        </w:rPr>
      </w:pPr>
      <w:bookmarkStart w:id="40" w:name="_Hlk114230703"/>
      <w:r w:rsidRPr="00D75F40">
        <w:rPr>
          <w:rFonts w:cs="Arial"/>
          <w:i/>
          <w:sz w:val="22"/>
          <w:szCs w:val="22"/>
        </w:rPr>
        <w:t xml:space="preserve">Table </w:t>
      </w:r>
      <w:r w:rsidR="00E0331E" w:rsidRPr="00CE6C4E">
        <w:rPr>
          <w:b w:val="0"/>
          <w:bCs/>
          <w:i/>
          <w:iCs w:val="0"/>
          <w:sz w:val="22"/>
          <w:szCs w:val="22"/>
        </w:rPr>
        <w:fldChar w:fldCharType="begin"/>
      </w:r>
      <w:r w:rsidR="00E0331E" w:rsidRPr="00CE6C4E">
        <w:rPr>
          <w:bCs/>
          <w:i/>
          <w:iCs w:val="0"/>
          <w:sz w:val="22"/>
          <w:szCs w:val="22"/>
        </w:rPr>
        <w:instrText>SEQ Table \* ARABIC</w:instrText>
      </w:r>
      <w:r w:rsidR="00E0331E" w:rsidRPr="00CE6C4E">
        <w:rPr>
          <w:b w:val="0"/>
          <w:bCs/>
          <w:i/>
          <w:iCs w:val="0"/>
          <w:sz w:val="22"/>
          <w:szCs w:val="22"/>
        </w:rPr>
        <w:fldChar w:fldCharType="separate"/>
      </w:r>
      <w:r w:rsidR="00E0331E">
        <w:rPr>
          <w:bCs/>
          <w:i/>
          <w:iCs w:val="0"/>
          <w:noProof/>
          <w:sz w:val="22"/>
          <w:szCs w:val="22"/>
        </w:rPr>
        <w:t>17</w:t>
      </w:r>
      <w:r w:rsidR="00E0331E" w:rsidRPr="00CE6C4E">
        <w:rPr>
          <w:b w:val="0"/>
          <w:bCs/>
          <w:i/>
          <w:iCs w:val="0"/>
          <w:sz w:val="22"/>
          <w:szCs w:val="22"/>
        </w:rPr>
        <w:fldChar w:fldCharType="end"/>
      </w:r>
      <w:r w:rsidRPr="00D75F40">
        <w:rPr>
          <w:rFonts w:cs="Arial"/>
          <w:i/>
          <w:sz w:val="22"/>
          <w:szCs w:val="22"/>
        </w:rPr>
        <w:t>:</w:t>
      </w:r>
      <w:r w:rsidRPr="00476C9E">
        <w:rPr>
          <w:rFonts w:cs="Arial"/>
          <w:i/>
          <w:sz w:val="22"/>
          <w:szCs w:val="22"/>
        </w:rPr>
        <w:t xml:space="preserve"> </w:t>
      </w:r>
      <w:r>
        <w:rPr>
          <w:rFonts w:cs="Arial"/>
          <w:i/>
          <w:sz w:val="22"/>
          <w:szCs w:val="22"/>
        </w:rPr>
        <w:t xml:space="preserve">Responses to Outcomes guiding questions </w:t>
      </w:r>
    </w:p>
    <w:tbl>
      <w:tblPr>
        <w:tblStyle w:val="GridTable4-Accent2"/>
        <w:tblW w:w="4961" w:type="pct"/>
        <w:tblInd w:w="-15" w:type="dxa"/>
        <w:tblBorders>
          <w:top w:val="single" w:sz="8" w:space="0" w:color="002279"/>
          <w:left w:val="single" w:sz="8" w:space="0" w:color="002279"/>
          <w:bottom w:val="single" w:sz="8" w:space="0" w:color="002279"/>
          <w:right w:val="single" w:sz="8" w:space="0" w:color="002279"/>
          <w:insideH w:val="single" w:sz="8" w:space="0" w:color="002279"/>
          <w:insideV w:val="single" w:sz="8" w:space="0" w:color="002279"/>
        </w:tblBorders>
        <w:tblLook w:val="0620" w:firstRow="1" w:lastRow="0" w:firstColumn="0" w:lastColumn="0" w:noHBand="1" w:noVBand="1"/>
      </w:tblPr>
      <w:tblGrid>
        <w:gridCol w:w="4700"/>
        <w:gridCol w:w="4808"/>
      </w:tblGrid>
      <w:tr w:rsidR="003B74C9" w:rsidRPr="00B052BE" w14:paraId="79905B7C" w14:textId="77777777" w:rsidTr="00374799">
        <w:trPr>
          <w:cnfStyle w:val="100000000000" w:firstRow="1" w:lastRow="0" w:firstColumn="0" w:lastColumn="0" w:oddVBand="0" w:evenVBand="0" w:oddHBand="0" w:evenHBand="0" w:firstRowFirstColumn="0" w:firstRowLastColumn="0" w:lastRowFirstColumn="0" w:lastRowLastColumn="0"/>
          <w:trHeight w:val="423"/>
          <w:tblHeader/>
        </w:trPr>
        <w:tc>
          <w:tcPr>
            <w:tcW w:w="0" w:type="dxa"/>
            <w:tcBorders>
              <w:top w:val="single" w:sz="4" w:space="0" w:color="002279"/>
              <w:left w:val="single" w:sz="4" w:space="0" w:color="002279"/>
              <w:bottom w:val="single" w:sz="4" w:space="0" w:color="002279"/>
              <w:right w:val="single" w:sz="4" w:space="0" w:color="FFFFFF" w:themeColor="background1"/>
            </w:tcBorders>
            <w:shd w:val="clear" w:color="auto" w:fill="002279"/>
          </w:tcPr>
          <w:bookmarkEnd w:id="40"/>
          <w:p w14:paraId="1F5A1A48" w14:textId="77777777" w:rsidR="00AC3C2F" w:rsidRPr="000611F1" w:rsidRDefault="00AC3C2F" w:rsidP="000611F1">
            <w:pPr>
              <w:pStyle w:val="TableHeading"/>
              <w:rPr>
                <w:b/>
                <w:bCs/>
              </w:rPr>
            </w:pPr>
            <w:r w:rsidRPr="000611F1">
              <w:rPr>
                <w:b/>
                <w:bCs/>
              </w:rPr>
              <w:t>Guiding question</w:t>
            </w:r>
          </w:p>
        </w:tc>
        <w:tc>
          <w:tcPr>
            <w:tcW w:w="0" w:type="dxa"/>
            <w:tcBorders>
              <w:top w:val="single" w:sz="4" w:space="0" w:color="002279"/>
              <w:left w:val="single" w:sz="4" w:space="0" w:color="FFFFFF" w:themeColor="background1"/>
              <w:bottom w:val="single" w:sz="4" w:space="0" w:color="002279"/>
              <w:right w:val="single" w:sz="4" w:space="0" w:color="002279"/>
            </w:tcBorders>
            <w:shd w:val="clear" w:color="auto" w:fill="002279"/>
          </w:tcPr>
          <w:p w14:paraId="5EAEF8EC" w14:textId="77777777" w:rsidR="00AC3C2F" w:rsidRPr="000611F1" w:rsidRDefault="00AC3C2F" w:rsidP="000611F1">
            <w:pPr>
              <w:pStyle w:val="TableHeading"/>
              <w:rPr>
                <w:b/>
                <w:bCs/>
              </w:rPr>
            </w:pPr>
            <w:r w:rsidRPr="000611F1">
              <w:rPr>
                <w:b/>
                <w:bCs/>
              </w:rPr>
              <w:t>Response</w:t>
            </w:r>
          </w:p>
        </w:tc>
      </w:tr>
      <w:tr w:rsidR="00A7554B" w:rsidRPr="00B052BE" w14:paraId="7ABB5194" w14:textId="77777777" w:rsidTr="00374799">
        <w:trPr>
          <w:trHeight w:val="1858"/>
        </w:trPr>
        <w:tc>
          <w:tcPr>
            <w:tcW w:w="0" w:type="dxa"/>
            <w:tcBorders>
              <w:top w:val="single" w:sz="4" w:space="0" w:color="002279"/>
            </w:tcBorders>
            <w:shd w:val="clear" w:color="auto" w:fill="D4D6DF"/>
            <w:vAlign w:val="top"/>
          </w:tcPr>
          <w:p w14:paraId="32129783" w14:textId="07128C28" w:rsidR="00AC3C2F" w:rsidRPr="00116E55" w:rsidRDefault="00AC3C2F" w:rsidP="006219D6">
            <w:pPr>
              <w:pStyle w:val="Default"/>
              <w:rPr>
                <w:i/>
                <w:sz w:val="20"/>
                <w:szCs w:val="20"/>
              </w:rPr>
            </w:pPr>
            <w:r w:rsidRPr="00116E55">
              <w:rPr>
                <w:i/>
                <w:sz w:val="20"/>
                <w:szCs w:val="20"/>
              </w:rPr>
              <w:t xml:space="preserve">Has the </w:t>
            </w:r>
            <w:r w:rsidR="0088688D" w:rsidRPr="00116E55">
              <w:rPr>
                <w:i/>
                <w:sz w:val="20"/>
                <w:szCs w:val="20"/>
              </w:rPr>
              <w:t>organisation</w:t>
            </w:r>
            <w:r w:rsidRPr="00116E55">
              <w:rPr>
                <w:i/>
                <w:sz w:val="20"/>
                <w:szCs w:val="20"/>
              </w:rPr>
              <w:t xml:space="preserve"> provided evidence that the outcomes proposed have taken into account the views, concerns and priorities of customers?</w:t>
            </w:r>
          </w:p>
        </w:tc>
        <w:tc>
          <w:tcPr>
            <w:tcW w:w="0" w:type="dxa"/>
            <w:tcBorders>
              <w:top w:val="single" w:sz="4" w:space="0" w:color="002279"/>
            </w:tcBorders>
            <w:shd w:val="clear" w:color="auto" w:fill="D4D6DF"/>
            <w:vAlign w:val="top"/>
          </w:tcPr>
          <w:p w14:paraId="398A073C" w14:textId="357F35B4" w:rsidR="0045355C" w:rsidRPr="00116E55" w:rsidRDefault="00D60626" w:rsidP="006219D6">
            <w:pPr>
              <w:pStyle w:val="Bulletlistmultilevel"/>
              <w:ind w:left="47" w:firstLine="0"/>
              <w:rPr>
                <w:sz w:val="20"/>
                <w:szCs w:val="20"/>
              </w:rPr>
            </w:pPr>
            <w:r w:rsidRPr="00116E55">
              <w:rPr>
                <w:sz w:val="20"/>
                <w:szCs w:val="20"/>
              </w:rPr>
              <w:t xml:space="preserve">The customer engagement program </w:t>
            </w:r>
            <w:r w:rsidR="002059A4" w:rsidRPr="00116E55">
              <w:rPr>
                <w:sz w:val="20"/>
                <w:szCs w:val="20"/>
              </w:rPr>
              <w:t>review</w:t>
            </w:r>
            <w:r w:rsidR="00777A4D" w:rsidRPr="00116E55">
              <w:rPr>
                <w:sz w:val="20"/>
                <w:szCs w:val="20"/>
              </w:rPr>
              <w:t>ed</w:t>
            </w:r>
            <w:r w:rsidR="002059A4" w:rsidRPr="00116E55">
              <w:rPr>
                <w:sz w:val="20"/>
                <w:szCs w:val="20"/>
              </w:rPr>
              <w:t xml:space="preserve"> and validat</w:t>
            </w:r>
            <w:r w:rsidR="00777A4D" w:rsidRPr="00116E55">
              <w:rPr>
                <w:sz w:val="20"/>
                <w:szCs w:val="20"/>
              </w:rPr>
              <w:t xml:space="preserve">ed </w:t>
            </w:r>
            <w:r w:rsidR="002059A4" w:rsidRPr="00116E55">
              <w:rPr>
                <w:sz w:val="20"/>
                <w:szCs w:val="20"/>
              </w:rPr>
              <w:t>the existing</w:t>
            </w:r>
            <w:r w:rsidR="008278E0" w:rsidRPr="00116E55">
              <w:rPr>
                <w:sz w:val="20"/>
                <w:szCs w:val="20"/>
              </w:rPr>
              <w:t xml:space="preserve"> 5</w:t>
            </w:r>
            <w:r w:rsidR="00805EC8" w:rsidRPr="00116E55">
              <w:rPr>
                <w:sz w:val="20"/>
                <w:szCs w:val="20"/>
              </w:rPr>
              <w:t xml:space="preserve"> </w:t>
            </w:r>
            <w:r w:rsidR="002059A4" w:rsidRPr="00116E55">
              <w:rPr>
                <w:sz w:val="20"/>
                <w:szCs w:val="20"/>
              </w:rPr>
              <w:t xml:space="preserve">customer outcomes </w:t>
            </w:r>
            <w:r w:rsidR="005E097B" w:rsidRPr="00116E55">
              <w:rPr>
                <w:sz w:val="20"/>
                <w:szCs w:val="20"/>
              </w:rPr>
              <w:t xml:space="preserve">to </w:t>
            </w:r>
            <w:r w:rsidR="006612BA" w:rsidRPr="00116E55">
              <w:rPr>
                <w:sz w:val="20"/>
                <w:szCs w:val="20"/>
              </w:rPr>
              <w:t>ensure they continue to align to customer values</w:t>
            </w:r>
            <w:r w:rsidR="005E097B" w:rsidRPr="00116E55">
              <w:rPr>
                <w:sz w:val="20"/>
                <w:szCs w:val="20"/>
              </w:rPr>
              <w:t xml:space="preserve">. </w:t>
            </w:r>
          </w:p>
          <w:p w14:paraId="0E4B52FC" w14:textId="7BAF3A35" w:rsidR="00AC3C2F" w:rsidRPr="00116E55" w:rsidRDefault="0045355C" w:rsidP="00360131">
            <w:pPr>
              <w:pStyle w:val="Bulletlistmultilevel"/>
              <w:ind w:left="47" w:firstLine="0"/>
              <w:rPr>
                <w:sz w:val="20"/>
                <w:szCs w:val="20"/>
              </w:rPr>
            </w:pPr>
            <w:r w:rsidRPr="00116E55">
              <w:rPr>
                <w:sz w:val="20"/>
                <w:szCs w:val="20"/>
              </w:rPr>
              <w:t xml:space="preserve">The development of key elements of the price submission with the community panel ensured that </w:t>
            </w:r>
            <w:r w:rsidR="00AA10AA" w:rsidRPr="00116E55">
              <w:rPr>
                <w:sz w:val="20"/>
                <w:szCs w:val="20"/>
              </w:rPr>
              <w:t>these were designed to deliver on agreed customer outcomes.</w:t>
            </w:r>
          </w:p>
        </w:tc>
      </w:tr>
      <w:tr w:rsidR="00E2049D" w:rsidRPr="00B052BE" w14:paraId="3F784D7A" w14:textId="77777777" w:rsidTr="004C011C">
        <w:tc>
          <w:tcPr>
            <w:tcW w:w="0" w:type="dxa"/>
            <w:vAlign w:val="top"/>
          </w:tcPr>
          <w:p w14:paraId="7F359844" w14:textId="6D9780BE" w:rsidR="00AC3C2F" w:rsidRPr="00116E55" w:rsidRDefault="00AC3C2F" w:rsidP="006219D6">
            <w:pPr>
              <w:pStyle w:val="TableText"/>
              <w:rPr>
                <w:i/>
                <w:sz w:val="20"/>
                <w:szCs w:val="20"/>
              </w:rPr>
            </w:pPr>
            <w:r w:rsidRPr="00116E55">
              <w:rPr>
                <w:i/>
                <w:sz w:val="20"/>
                <w:szCs w:val="20"/>
              </w:rPr>
              <w:lastRenderedPageBreak/>
              <w:t xml:space="preserve">Has the </w:t>
            </w:r>
            <w:r w:rsidR="0088688D" w:rsidRPr="00116E55">
              <w:rPr>
                <w:i/>
                <w:sz w:val="20"/>
                <w:szCs w:val="20"/>
              </w:rPr>
              <w:t>organisation</w:t>
            </w:r>
            <w:r w:rsidRPr="00116E55">
              <w:rPr>
                <w:i/>
                <w:sz w:val="20"/>
                <w:szCs w:val="20"/>
              </w:rPr>
              <w:t xml:space="preserve"> provided sufficient explanation of how the outcomes it has proposed align to the forecast expenditure requested?</w:t>
            </w:r>
          </w:p>
        </w:tc>
        <w:tc>
          <w:tcPr>
            <w:tcW w:w="0" w:type="dxa"/>
            <w:vAlign w:val="top"/>
          </w:tcPr>
          <w:p w14:paraId="3AE5D4FB" w14:textId="77777777" w:rsidR="005E33D3" w:rsidRPr="00116E55" w:rsidRDefault="00C427AE" w:rsidP="006219D6">
            <w:pPr>
              <w:pStyle w:val="TableNumber"/>
              <w:rPr>
                <w:iCs/>
                <w:sz w:val="20"/>
                <w:szCs w:val="20"/>
              </w:rPr>
            </w:pPr>
            <w:r w:rsidRPr="00116E55">
              <w:rPr>
                <w:iCs/>
                <w:sz w:val="20"/>
                <w:szCs w:val="20"/>
              </w:rPr>
              <w:t xml:space="preserve">Each program </w:t>
            </w:r>
            <w:r w:rsidR="00B37BB5" w:rsidRPr="00116E55">
              <w:rPr>
                <w:iCs/>
                <w:sz w:val="20"/>
                <w:szCs w:val="20"/>
              </w:rPr>
              <w:t xml:space="preserve">of work or project within the forecast expenditure </w:t>
            </w:r>
            <w:r w:rsidR="000837EB" w:rsidRPr="00116E55">
              <w:rPr>
                <w:iCs/>
                <w:sz w:val="20"/>
                <w:szCs w:val="20"/>
              </w:rPr>
              <w:t xml:space="preserve">has been developed to </w:t>
            </w:r>
            <w:r w:rsidR="009A3397" w:rsidRPr="00116E55">
              <w:rPr>
                <w:iCs/>
                <w:sz w:val="20"/>
                <w:szCs w:val="20"/>
              </w:rPr>
              <w:t xml:space="preserve">address customer </w:t>
            </w:r>
            <w:r w:rsidR="008F170D" w:rsidRPr="00116E55">
              <w:rPr>
                <w:iCs/>
                <w:sz w:val="20"/>
                <w:szCs w:val="20"/>
              </w:rPr>
              <w:t xml:space="preserve">priorities </w:t>
            </w:r>
            <w:r w:rsidR="00E66F86" w:rsidRPr="00116E55">
              <w:rPr>
                <w:iCs/>
                <w:sz w:val="20"/>
                <w:szCs w:val="20"/>
              </w:rPr>
              <w:t xml:space="preserve">and to improve the </w:t>
            </w:r>
            <w:r w:rsidR="00965533" w:rsidRPr="00116E55">
              <w:rPr>
                <w:iCs/>
                <w:sz w:val="20"/>
                <w:szCs w:val="20"/>
              </w:rPr>
              <w:t>reliability of the network.</w:t>
            </w:r>
          </w:p>
          <w:p w14:paraId="461F727F" w14:textId="2A788E01" w:rsidR="00AC3C2F" w:rsidRPr="00116E55" w:rsidRDefault="004D701D" w:rsidP="006219D6">
            <w:pPr>
              <w:pStyle w:val="TableNumber"/>
              <w:rPr>
                <w:sz w:val="20"/>
                <w:szCs w:val="20"/>
              </w:rPr>
            </w:pPr>
            <w:r w:rsidRPr="00116E55">
              <w:rPr>
                <w:iCs/>
                <w:sz w:val="20"/>
                <w:szCs w:val="20"/>
              </w:rPr>
              <w:t xml:space="preserve">Each of the top 10 </w:t>
            </w:r>
            <w:r w:rsidR="005E33D3" w:rsidRPr="00116E55">
              <w:rPr>
                <w:iCs/>
                <w:sz w:val="20"/>
                <w:szCs w:val="20"/>
              </w:rPr>
              <w:t>cap</w:t>
            </w:r>
            <w:r w:rsidR="00CE6640" w:rsidRPr="00116E55">
              <w:rPr>
                <w:iCs/>
                <w:sz w:val="20"/>
                <w:szCs w:val="20"/>
              </w:rPr>
              <w:t xml:space="preserve">ital expenditure </w:t>
            </w:r>
            <w:r w:rsidRPr="00116E55">
              <w:rPr>
                <w:iCs/>
                <w:sz w:val="20"/>
                <w:szCs w:val="20"/>
              </w:rPr>
              <w:t>projects ha</w:t>
            </w:r>
            <w:r w:rsidR="004D54B9">
              <w:rPr>
                <w:iCs/>
                <w:sz w:val="20"/>
                <w:szCs w:val="20"/>
              </w:rPr>
              <w:t>s</w:t>
            </w:r>
            <w:r w:rsidRPr="00116E55">
              <w:rPr>
                <w:iCs/>
                <w:sz w:val="20"/>
                <w:szCs w:val="20"/>
              </w:rPr>
              <w:t xml:space="preserve"> also been </w:t>
            </w:r>
            <w:r w:rsidR="0027136A" w:rsidRPr="00116E55">
              <w:rPr>
                <w:iCs/>
                <w:sz w:val="20"/>
                <w:szCs w:val="20"/>
              </w:rPr>
              <w:t>designed to support the delivery of</w:t>
            </w:r>
            <w:r w:rsidR="00DB3E68" w:rsidRPr="00116E55">
              <w:rPr>
                <w:iCs/>
                <w:sz w:val="20"/>
                <w:szCs w:val="20"/>
              </w:rPr>
              <w:t xml:space="preserve"> the </w:t>
            </w:r>
            <w:r w:rsidR="00CE6640" w:rsidRPr="00116E55">
              <w:rPr>
                <w:iCs/>
                <w:sz w:val="20"/>
                <w:szCs w:val="20"/>
              </w:rPr>
              <w:t xml:space="preserve">5 </w:t>
            </w:r>
            <w:r w:rsidR="00DB3E68" w:rsidRPr="00116E55">
              <w:rPr>
                <w:iCs/>
                <w:sz w:val="20"/>
                <w:szCs w:val="20"/>
              </w:rPr>
              <w:t>customer</w:t>
            </w:r>
            <w:r w:rsidR="00D8379F" w:rsidRPr="00116E55">
              <w:rPr>
                <w:iCs/>
                <w:sz w:val="20"/>
                <w:szCs w:val="20"/>
              </w:rPr>
              <w:t xml:space="preserve"> </w:t>
            </w:r>
            <w:r w:rsidR="00DB3E68" w:rsidRPr="00116E55">
              <w:rPr>
                <w:iCs/>
                <w:sz w:val="20"/>
                <w:szCs w:val="20"/>
              </w:rPr>
              <w:t>outcomes</w:t>
            </w:r>
            <w:r w:rsidR="00D8379F" w:rsidRPr="00116E55">
              <w:rPr>
                <w:iCs/>
                <w:sz w:val="20"/>
                <w:szCs w:val="20"/>
              </w:rPr>
              <w:t>.</w:t>
            </w:r>
          </w:p>
        </w:tc>
      </w:tr>
      <w:tr w:rsidR="00AF4CBF" w:rsidRPr="00B052BE" w14:paraId="27E64B8A" w14:textId="77777777" w:rsidTr="004C011C">
        <w:tc>
          <w:tcPr>
            <w:tcW w:w="0" w:type="dxa"/>
            <w:shd w:val="clear" w:color="auto" w:fill="D4D6DF"/>
            <w:vAlign w:val="top"/>
          </w:tcPr>
          <w:p w14:paraId="054104E9" w14:textId="6832EB49" w:rsidR="00AC3C2F" w:rsidRPr="00116E55" w:rsidRDefault="00AC3C2F" w:rsidP="006219D6">
            <w:pPr>
              <w:pStyle w:val="TableText"/>
              <w:rPr>
                <w:i/>
                <w:sz w:val="20"/>
                <w:szCs w:val="20"/>
              </w:rPr>
            </w:pPr>
            <w:r w:rsidRPr="00116E55">
              <w:rPr>
                <w:i/>
                <w:sz w:val="20"/>
                <w:szCs w:val="20"/>
              </w:rPr>
              <w:t xml:space="preserve">Has the </w:t>
            </w:r>
            <w:r w:rsidR="0088688D" w:rsidRPr="00116E55">
              <w:rPr>
                <w:i/>
                <w:sz w:val="20"/>
                <w:szCs w:val="20"/>
              </w:rPr>
              <w:t>organisation</w:t>
            </w:r>
            <w:r w:rsidRPr="00116E55">
              <w:rPr>
                <w:i/>
                <w:sz w:val="20"/>
                <w:szCs w:val="20"/>
              </w:rPr>
              <w:t xml:space="preserve"> proposed outputs to support each of its outcomes, which are measurable, robust and deliverable?</w:t>
            </w:r>
          </w:p>
        </w:tc>
        <w:tc>
          <w:tcPr>
            <w:tcW w:w="0" w:type="dxa"/>
            <w:shd w:val="clear" w:color="auto" w:fill="D4D6DF"/>
            <w:vAlign w:val="top"/>
          </w:tcPr>
          <w:p w14:paraId="799C157B" w14:textId="04794FE0" w:rsidR="00962F90" w:rsidRPr="00116E55" w:rsidRDefault="00060096" w:rsidP="006219D6">
            <w:pPr>
              <w:pStyle w:val="Bulletlistmultilevel"/>
              <w:ind w:left="0" w:firstLine="0"/>
              <w:rPr>
                <w:iCs/>
                <w:sz w:val="20"/>
                <w:szCs w:val="20"/>
              </w:rPr>
            </w:pPr>
            <w:r w:rsidRPr="00116E55">
              <w:rPr>
                <w:iCs/>
                <w:sz w:val="20"/>
                <w:szCs w:val="20"/>
              </w:rPr>
              <w:t xml:space="preserve">All output measures have </w:t>
            </w:r>
            <w:r w:rsidR="00B336E8" w:rsidRPr="00116E55">
              <w:rPr>
                <w:iCs/>
                <w:sz w:val="20"/>
                <w:szCs w:val="20"/>
              </w:rPr>
              <w:t xml:space="preserve">been </w:t>
            </w:r>
            <w:r w:rsidR="00462250" w:rsidRPr="00116E55">
              <w:rPr>
                <w:iCs/>
                <w:sz w:val="20"/>
                <w:szCs w:val="20"/>
              </w:rPr>
              <w:t xml:space="preserve">developed and </w:t>
            </w:r>
            <w:r w:rsidR="000120B4" w:rsidRPr="00116E55">
              <w:rPr>
                <w:iCs/>
                <w:sz w:val="20"/>
                <w:szCs w:val="20"/>
              </w:rPr>
              <w:t>tested</w:t>
            </w:r>
            <w:r w:rsidR="00416878" w:rsidRPr="00116E55">
              <w:rPr>
                <w:iCs/>
                <w:sz w:val="20"/>
                <w:szCs w:val="20"/>
              </w:rPr>
              <w:t xml:space="preserve"> with our c</w:t>
            </w:r>
            <w:r w:rsidR="007D3C1A" w:rsidRPr="00116E55">
              <w:rPr>
                <w:iCs/>
                <w:sz w:val="20"/>
                <w:szCs w:val="20"/>
              </w:rPr>
              <w:t>ommunity</w:t>
            </w:r>
            <w:r w:rsidR="00416878" w:rsidRPr="00116E55">
              <w:rPr>
                <w:iCs/>
                <w:sz w:val="20"/>
                <w:szCs w:val="20"/>
              </w:rPr>
              <w:t xml:space="preserve"> panel and </w:t>
            </w:r>
            <w:r w:rsidR="00880120" w:rsidRPr="00116E55">
              <w:rPr>
                <w:iCs/>
                <w:sz w:val="20"/>
                <w:szCs w:val="20"/>
              </w:rPr>
              <w:t xml:space="preserve">CCAC </w:t>
            </w:r>
            <w:r w:rsidR="00416878" w:rsidRPr="00116E55">
              <w:rPr>
                <w:iCs/>
                <w:sz w:val="20"/>
                <w:szCs w:val="20"/>
              </w:rPr>
              <w:t xml:space="preserve">to ensure they address </w:t>
            </w:r>
            <w:r w:rsidR="000120B4" w:rsidRPr="00116E55">
              <w:rPr>
                <w:iCs/>
                <w:sz w:val="20"/>
                <w:szCs w:val="20"/>
              </w:rPr>
              <w:t>relevant performance</w:t>
            </w:r>
            <w:r w:rsidR="00962F90" w:rsidRPr="00116E55">
              <w:rPr>
                <w:iCs/>
                <w:sz w:val="20"/>
                <w:szCs w:val="20"/>
              </w:rPr>
              <w:t xml:space="preserve"> for each outcome</w:t>
            </w:r>
            <w:r w:rsidR="00F4056C" w:rsidRPr="00116E55">
              <w:rPr>
                <w:iCs/>
                <w:sz w:val="20"/>
                <w:szCs w:val="20"/>
              </w:rPr>
              <w:t>.</w:t>
            </w:r>
          </w:p>
          <w:p w14:paraId="2A660BFA" w14:textId="1AE7F29F" w:rsidR="00AC3C2F" w:rsidRPr="00116E55" w:rsidRDefault="00F4056C" w:rsidP="006219D6">
            <w:pPr>
              <w:pStyle w:val="Bulletlistmultilevel"/>
              <w:ind w:left="0" w:firstLine="0"/>
              <w:rPr>
                <w:sz w:val="20"/>
                <w:szCs w:val="20"/>
              </w:rPr>
            </w:pPr>
            <w:r w:rsidRPr="00116E55">
              <w:rPr>
                <w:iCs/>
                <w:sz w:val="20"/>
                <w:szCs w:val="20"/>
              </w:rPr>
              <w:t xml:space="preserve">They have also been </w:t>
            </w:r>
            <w:r w:rsidR="001122FF" w:rsidRPr="00116E55">
              <w:rPr>
                <w:iCs/>
                <w:sz w:val="20"/>
                <w:szCs w:val="20"/>
              </w:rPr>
              <w:t>developed to</w:t>
            </w:r>
            <w:r w:rsidR="00DE1B4E" w:rsidRPr="00116E55">
              <w:rPr>
                <w:iCs/>
                <w:sz w:val="20"/>
                <w:szCs w:val="20"/>
              </w:rPr>
              <w:t xml:space="preserve"> provide</w:t>
            </w:r>
            <w:r w:rsidR="001122FF" w:rsidRPr="00116E55">
              <w:rPr>
                <w:iCs/>
                <w:sz w:val="20"/>
                <w:szCs w:val="20"/>
              </w:rPr>
              <w:t xml:space="preserve"> stretch </w:t>
            </w:r>
            <w:r w:rsidR="00DE1B4E" w:rsidRPr="00116E55">
              <w:rPr>
                <w:iCs/>
                <w:sz w:val="20"/>
                <w:szCs w:val="20"/>
              </w:rPr>
              <w:t xml:space="preserve">performance targets </w:t>
            </w:r>
            <w:r w:rsidR="00996558" w:rsidRPr="00116E55">
              <w:rPr>
                <w:iCs/>
                <w:sz w:val="20"/>
                <w:szCs w:val="20"/>
              </w:rPr>
              <w:t>and ensure the customer benefits of key programs</w:t>
            </w:r>
            <w:r w:rsidR="00087507" w:rsidRPr="00116E55">
              <w:rPr>
                <w:iCs/>
                <w:sz w:val="20"/>
                <w:szCs w:val="20"/>
              </w:rPr>
              <w:t>,</w:t>
            </w:r>
            <w:r w:rsidR="00996558" w:rsidRPr="00116E55">
              <w:rPr>
                <w:iCs/>
                <w:sz w:val="20"/>
                <w:szCs w:val="20"/>
              </w:rPr>
              <w:t xml:space="preserve"> like the digital metering </w:t>
            </w:r>
            <w:r w:rsidR="004C0948" w:rsidRPr="00116E55">
              <w:rPr>
                <w:iCs/>
                <w:sz w:val="20"/>
                <w:szCs w:val="20"/>
              </w:rPr>
              <w:t>rollout</w:t>
            </w:r>
            <w:r w:rsidR="00087507" w:rsidRPr="00116E55">
              <w:rPr>
                <w:iCs/>
                <w:sz w:val="20"/>
                <w:szCs w:val="20"/>
              </w:rPr>
              <w:t>,</w:t>
            </w:r>
            <w:r w:rsidR="008A2528" w:rsidRPr="00116E55">
              <w:rPr>
                <w:iCs/>
                <w:sz w:val="20"/>
                <w:szCs w:val="20"/>
              </w:rPr>
              <w:t xml:space="preserve"> are realised and continue to drive improvements across the </w:t>
            </w:r>
            <w:r w:rsidR="0088688D" w:rsidRPr="00116E55">
              <w:rPr>
                <w:iCs/>
                <w:sz w:val="20"/>
                <w:szCs w:val="20"/>
              </w:rPr>
              <w:t>organisation</w:t>
            </w:r>
            <w:r w:rsidR="008A2528" w:rsidRPr="00116E55">
              <w:rPr>
                <w:iCs/>
                <w:sz w:val="20"/>
                <w:szCs w:val="20"/>
              </w:rPr>
              <w:t>.</w:t>
            </w:r>
          </w:p>
        </w:tc>
      </w:tr>
      <w:tr w:rsidR="00E2049D" w:rsidRPr="00B052BE" w14:paraId="6ACE96BF" w14:textId="77777777" w:rsidTr="004C011C">
        <w:tc>
          <w:tcPr>
            <w:tcW w:w="0" w:type="dxa"/>
            <w:vAlign w:val="top"/>
          </w:tcPr>
          <w:p w14:paraId="48ECBF2E" w14:textId="4F538278" w:rsidR="00AC3C2F" w:rsidRPr="00116E55" w:rsidRDefault="00AC3C2F" w:rsidP="006219D6">
            <w:pPr>
              <w:pStyle w:val="TableText"/>
              <w:rPr>
                <w:i/>
                <w:sz w:val="20"/>
                <w:szCs w:val="20"/>
              </w:rPr>
            </w:pPr>
            <w:r w:rsidRPr="00116E55">
              <w:rPr>
                <w:i/>
                <w:sz w:val="20"/>
                <w:szCs w:val="20"/>
              </w:rPr>
              <w:t xml:space="preserve">Has the </w:t>
            </w:r>
            <w:r w:rsidR="0088688D" w:rsidRPr="00116E55">
              <w:rPr>
                <w:i/>
                <w:sz w:val="20"/>
                <w:szCs w:val="20"/>
              </w:rPr>
              <w:t>organisation</w:t>
            </w:r>
            <w:r w:rsidRPr="00116E55">
              <w:rPr>
                <w:i/>
                <w:sz w:val="20"/>
                <w:szCs w:val="20"/>
              </w:rPr>
              <w:t xml:space="preserve"> provided evidence that the outputs it has proposed are reasonable measures of performance against stated outcomes?</w:t>
            </w:r>
          </w:p>
        </w:tc>
        <w:tc>
          <w:tcPr>
            <w:tcW w:w="0" w:type="dxa"/>
            <w:vAlign w:val="top"/>
          </w:tcPr>
          <w:p w14:paraId="3D6F1D94" w14:textId="5118D484" w:rsidR="00AC3C2F" w:rsidRPr="00116E55" w:rsidRDefault="00354D56" w:rsidP="006219D6">
            <w:pPr>
              <w:pStyle w:val="Bulletlistmultilevel"/>
              <w:ind w:left="0" w:firstLine="0"/>
              <w:rPr>
                <w:sz w:val="20"/>
                <w:szCs w:val="20"/>
              </w:rPr>
            </w:pPr>
            <w:r w:rsidRPr="00116E55">
              <w:rPr>
                <w:iCs/>
                <w:sz w:val="20"/>
                <w:szCs w:val="20"/>
              </w:rPr>
              <w:t xml:space="preserve">Each output measure, new or existing, has been reviewed </w:t>
            </w:r>
            <w:r w:rsidR="002A5F83" w:rsidRPr="00116E55">
              <w:rPr>
                <w:iCs/>
                <w:sz w:val="20"/>
                <w:szCs w:val="20"/>
              </w:rPr>
              <w:t>using historical performance data to observe any emerging trends as well as incorporating forecast efficiencies or improvements from the proposed capital and operating expenditure</w:t>
            </w:r>
            <w:r w:rsidR="00BC2BF1" w:rsidRPr="00116E55">
              <w:rPr>
                <w:iCs/>
                <w:sz w:val="20"/>
                <w:szCs w:val="20"/>
              </w:rPr>
              <w:t xml:space="preserve"> programs</w:t>
            </w:r>
            <w:r w:rsidR="002A5F83" w:rsidRPr="00116E55">
              <w:rPr>
                <w:iCs/>
                <w:sz w:val="20"/>
                <w:szCs w:val="20"/>
              </w:rPr>
              <w:t>.</w:t>
            </w:r>
          </w:p>
        </w:tc>
      </w:tr>
      <w:tr w:rsidR="00AF4CBF" w:rsidRPr="00B052BE" w14:paraId="4F61D741" w14:textId="77777777" w:rsidTr="004C011C">
        <w:tc>
          <w:tcPr>
            <w:tcW w:w="0" w:type="dxa"/>
            <w:shd w:val="clear" w:color="auto" w:fill="D4D6DF"/>
            <w:vAlign w:val="top"/>
          </w:tcPr>
          <w:p w14:paraId="127A1161" w14:textId="51C12516" w:rsidR="00AC3C2F" w:rsidRPr="00116E55" w:rsidRDefault="00AC3C2F" w:rsidP="006219D6">
            <w:pPr>
              <w:pStyle w:val="TableText"/>
              <w:rPr>
                <w:i/>
                <w:sz w:val="20"/>
                <w:szCs w:val="20"/>
              </w:rPr>
            </w:pPr>
            <w:r w:rsidRPr="00116E55">
              <w:rPr>
                <w:i/>
                <w:sz w:val="20"/>
                <w:szCs w:val="20"/>
              </w:rPr>
              <w:t xml:space="preserve">Has the </w:t>
            </w:r>
            <w:r w:rsidR="0088688D" w:rsidRPr="00116E55">
              <w:rPr>
                <w:i/>
                <w:sz w:val="20"/>
                <w:szCs w:val="20"/>
              </w:rPr>
              <w:t>organisation</w:t>
            </w:r>
            <w:r w:rsidRPr="00116E55">
              <w:rPr>
                <w:i/>
                <w:sz w:val="20"/>
                <w:szCs w:val="20"/>
              </w:rPr>
              <w:t xml:space="preserve"> demonstrated a process to measure performance against each outcome and to inform customers?</w:t>
            </w:r>
          </w:p>
        </w:tc>
        <w:tc>
          <w:tcPr>
            <w:tcW w:w="0" w:type="dxa"/>
            <w:shd w:val="clear" w:color="auto" w:fill="D4D6DF"/>
            <w:vAlign w:val="top"/>
          </w:tcPr>
          <w:p w14:paraId="6FF9709B" w14:textId="79B8A19E" w:rsidR="00AC3C2F" w:rsidRPr="00116E55" w:rsidRDefault="00967555" w:rsidP="006219D6">
            <w:pPr>
              <w:pStyle w:val="TableText"/>
              <w:rPr>
                <w:sz w:val="20"/>
                <w:szCs w:val="20"/>
              </w:rPr>
            </w:pPr>
            <w:r w:rsidRPr="00116E55">
              <w:rPr>
                <w:sz w:val="20"/>
                <w:szCs w:val="20"/>
              </w:rPr>
              <w:t xml:space="preserve">South East Water will continue with the </w:t>
            </w:r>
            <w:r w:rsidR="00F61C4E" w:rsidRPr="00116E55">
              <w:rPr>
                <w:sz w:val="20"/>
                <w:szCs w:val="20"/>
              </w:rPr>
              <w:t xml:space="preserve">traffic </w:t>
            </w:r>
            <w:r w:rsidR="008F73AA" w:rsidRPr="00116E55">
              <w:rPr>
                <w:sz w:val="20"/>
                <w:szCs w:val="20"/>
              </w:rPr>
              <w:t>light</w:t>
            </w:r>
            <w:r w:rsidR="00F61C4E" w:rsidRPr="00116E55">
              <w:rPr>
                <w:sz w:val="20"/>
                <w:szCs w:val="20"/>
              </w:rPr>
              <w:t xml:space="preserve"> </w:t>
            </w:r>
            <w:r w:rsidRPr="00116E55">
              <w:rPr>
                <w:sz w:val="20"/>
                <w:szCs w:val="20"/>
              </w:rPr>
              <w:t xml:space="preserve">scoring methodology developed as part </w:t>
            </w:r>
            <w:r w:rsidR="00F61C4E" w:rsidRPr="00116E55">
              <w:rPr>
                <w:sz w:val="20"/>
                <w:szCs w:val="20"/>
              </w:rPr>
              <w:t>of</w:t>
            </w:r>
            <w:r w:rsidRPr="00116E55">
              <w:rPr>
                <w:sz w:val="20"/>
                <w:szCs w:val="20"/>
              </w:rPr>
              <w:t xml:space="preserve"> the 2018</w:t>
            </w:r>
            <w:r w:rsidR="007D4EB3" w:rsidRPr="00116E55">
              <w:rPr>
                <w:sz w:val="20"/>
                <w:szCs w:val="20"/>
              </w:rPr>
              <w:t>–</w:t>
            </w:r>
            <w:r w:rsidRPr="00116E55">
              <w:rPr>
                <w:sz w:val="20"/>
                <w:szCs w:val="20"/>
              </w:rPr>
              <w:t xml:space="preserve">23 </w:t>
            </w:r>
            <w:r w:rsidR="00F61C4E" w:rsidRPr="00116E55">
              <w:rPr>
                <w:sz w:val="20"/>
                <w:szCs w:val="20"/>
              </w:rPr>
              <w:t>regulatory period</w:t>
            </w:r>
            <w:r w:rsidR="00140838" w:rsidRPr="00116E55">
              <w:rPr>
                <w:sz w:val="20"/>
                <w:szCs w:val="20"/>
              </w:rPr>
              <w:t xml:space="preserve">. </w:t>
            </w:r>
            <w:r w:rsidR="00795164" w:rsidRPr="00116E55">
              <w:rPr>
                <w:sz w:val="20"/>
                <w:szCs w:val="20"/>
              </w:rPr>
              <w:t>T</w:t>
            </w:r>
            <w:r w:rsidR="0034771F" w:rsidRPr="00116E55">
              <w:rPr>
                <w:sz w:val="20"/>
                <w:szCs w:val="20"/>
              </w:rPr>
              <w:t xml:space="preserve">his </w:t>
            </w:r>
            <w:r w:rsidR="00EA597C" w:rsidRPr="00116E55">
              <w:rPr>
                <w:sz w:val="20"/>
                <w:szCs w:val="20"/>
              </w:rPr>
              <w:t>uses</w:t>
            </w:r>
            <w:r w:rsidR="00F61C4E" w:rsidRPr="00116E55">
              <w:rPr>
                <w:sz w:val="20"/>
                <w:szCs w:val="20"/>
              </w:rPr>
              <w:t xml:space="preserve"> tolerance bands to highlight </w:t>
            </w:r>
            <w:r w:rsidR="000162CF" w:rsidRPr="00116E55">
              <w:rPr>
                <w:sz w:val="20"/>
                <w:szCs w:val="20"/>
              </w:rPr>
              <w:t>sound</w:t>
            </w:r>
            <w:r w:rsidR="002B1E5A" w:rsidRPr="00116E55">
              <w:rPr>
                <w:sz w:val="20"/>
                <w:szCs w:val="20"/>
              </w:rPr>
              <w:t xml:space="preserve"> performance </w:t>
            </w:r>
            <w:r w:rsidR="00EA597C" w:rsidRPr="00116E55">
              <w:rPr>
                <w:sz w:val="20"/>
                <w:szCs w:val="20"/>
              </w:rPr>
              <w:t xml:space="preserve">that </w:t>
            </w:r>
            <w:r w:rsidR="00CC6232" w:rsidRPr="00116E55">
              <w:rPr>
                <w:sz w:val="20"/>
                <w:szCs w:val="20"/>
              </w:rPr>
              <w:t xml:space="preserve">may be </w:t>
            </w:r>
            <w:r w:rsidR="002B1E5A" w:rsidRPr="00116E55">
              <w:rPr>
                <w:sz w:val="20"/>
                <w:szCs w:val="20"/>
              </w:rPr>
              <w:t>just outside target. Given the variability and impact of weather on many of our services</w:t>
            </w:r>
            <w:r w:rsidR="00CC6232" w:rsidRPr="00116E55">
              <w:rPr>
                <w:sz w:val="20"/>
                <w:szCs w:val="20"/>
              </w:rPr>
              <w:t>,</w:t>
            </w:r>
            <w:r w:rsidR="002B1E5A" w:rsidRPr="00116E55">
              <w:rPr>
                <w:sz w:val="20"/>
                <w:szCs w:val="20"/>
              </w:rPr>
              <w:t xml:space="preserve"> we </w:t>
            </w:r>
            <w:r w:rsidR="00327F17" w:rsidRPr="00116E55">
              <w:rPr>
                <w:sz w:val="20"/>
                <w:szCs w:val="20"/>
              </w:rPr>
              <w:t>believe</w:t>
            </w:r>
            <w:r w:rsidR="002B1E5A" w:rsidRPr="00116E55">
              <w:rPr>
                <w:sz w:val="20"/>
                <w:szCs w:val="20"/>
              </w:rPr>
              <w:t xml:space="preserve"> that this </w:t>
            </w:r>
            <w:r w:rsidR="008F73AA" w:rsidRPr="00116E55">
              <w:rPr>
                <w:sz w:val="20"/>
                <w:szCs w:val="20"/>
              </w:rPr>
              <w:t>approach is fair</w:t>
            </w:r>
            <w:r w:rsidR="00BE4BA4" w:rsidRPr="00116E55">
              <w:rPr>
                <w:sz w:val="20"/>
                <w:szCs w:val="20"/>
              </w:rPr>
              <w:t>,</w:t>
            </w:r>
            <w:r w:rsidR="008F73AA" w:rsidRPr="00116E55">
              <w:rPr>
                <w:sz w:val="20"/>
                <w:szCs w:val="20"/>
              </w:rPr>
              <w:t xml:space="preserve"> and has been well received by our customers.</w:t>
            </w:r>
          </w:p>
        </w:tc>
      </w:tr>
    </w:tbl>
    <w:p w14:paraId="778BB6A5" w14:textId="77777777" w:rsidR="00AC3C2F" w:rsidRDefault="00AC3C2F" w:rsidP="00AC3C2F"/>
    <w:p w14:paraId="25A35BA4" w14:textId="1BC19EB8" w:rsidR="00891B58" w:rsidRDefault="00891B58" w:rsidP="00891B58">
      <w:r>
        <w:t>South East Water</w:t>
      </w:r>
      <w:r w:rsidR="00612583">
        <w:t>’</w:t>
      </w:r>
      <w:r w:rsidR="00C245E4">
        <w:t>s proposed o</w:t>
      </w:r>
      <w:r w:rsidR="00AE0FE1">
        <w:t>utcomes and associated output</w:t>
      </w:r>
      <w:r w:rsidR="00E01AC2">
        <w:t xml:space="preserve"> measure</w:t>
      </w:r>
      <w:r w:rsidR="00AE0FE1">
        <w:t xml:space="preserve">s and targets reflect </w:t>
      </w:r>
      <w:r w:rsidR="0052498F">
        <w:t>what matters most to our customers</w:t>
      </w:r>
      <w:r w:rsidR="002765B3">
        <w:t>,</w:t>
      </w:r>
      <w:r w:rsidR="0052498F">
        <w:t xml:space="preserve"> and </w:t>
      </w:r>
      <w:r>
        <w:t>our 2023</w:t>
      </w:r>
      <w:r w:rsidR="007D4EB3">
        <w:t>–</w:t>
      </w:r>
      <w:r>
        <w:t xml:space="preserve">28 expenditure </w:t>
      </w:r>
      <w:r w:rsidR="00644F36">
        <w:t>proposals strongly align to delivering on these outcomes</w:t>
      </w:r>
      <w:r>
        <w:t>.</w:t>
      </w:r>
    </w:p>
    <w:p w14:paraId="06FF6F4F" w14:textId="529DEE21" w:rsidR="00891B58" w:rsidRDefault="00BB00EA" w:rsidP="00891B58">
      <w:pPr>
        <w:rPr>
          <w:b/>
          <w:bCs/>
        </w:rPr>
      </w:pPr>
      <w:r>
        <w:rPr>
          <w:noProof/>
        </w:rPr>
        <mc:AlternateContent>
          <mc:Choice Requires="wps">
            <w:drawing>
              <wp:anchor distT="45720" distB="45720" distL="114300" distR="114300" simplePos="0" relativeHeight="251658269" behindDoc="0" locked="0" layoutInCell="1" allowOverlap="1" wp14:anchorId="0674108C" wp14:editId="72EE06B5">
                <wp:simplePos x="0" y="0"/>
                <wp:positionH relativeFrom="column">
                  <wp:posOffset>1270</wp:posOffset>
                </wp:positionH>
                <wp:positionV relativeFrom="paragraph">
                  <wp:posOffset>436880</wp:posOffset>
                </wp:positionV>
                <wp:extent cx="6059805" cy="914400"/>
                <wp:effectExtent l="0" t="0" r="0" b="0"/>
                <wp:wrapSquare wrapText="bothSides"/>
                <wp:docPr id="991" name="Text Box 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9805" cy="914400"/>
                        </a:xfrm>
                        <a:prstGeom prst="rect">
                          <a:avLst/>
                        </a:prstGeom>
                        <a:solidFill>
                          <a:srgbClr val="FF8D00"/>
                        </a:solidFill>
                        <a:ln w="9525">
                          <a:noFill/>
                          <a:miter lim="800000"/>
                          <a:headEnd/>
                          <a:tailEnd/>
                        </a:ln>
                      </wps:spPr>
                      <wps:txbx>
                        <w:txbxContent>
                          <w:p w14:paraId="01FC8953" w14:textId="0492DF65" w:rsidR="00BB00EA" w:rsidRPr="00116E55" w:rsidRDefault="00BB00EA" w:rsidP="00116E55">
                            <w:pPr>
                              <w:pStyle w:val="Heading3"/>
                              <w:spacing w:before="0" w:after="240"/>
                              <w:rPr>
                                <w:color w:val="FFFFFF" w:themeColor="background1"/>
                                <w:sz w:val="24"/>
                              </w:rPr>
                            </w:pPr>
                            <w:r>
                              <w:rPr>
                                <w:color w:val="FFFFFF" w:themeColor="background1"/>
                                <w:sz w:val="24"/>
                              </w:rPr>
                              <w:t>Supporting documents</w:t>
                            </w:r>
                          </w:p>
                          <w:p w14:paraId="1190AFB2" w14:textId="3BFF9211" w:rsidR="00BB00EA" w:rsidRPr="00803F2C" w:rsidRDefault="00B53247">
                            <w:pPr>
                              <w:pStyle w:val="ListParagraph"/>
                              <w:numPr>
                                <w:ilvl w:val="0"/>
                                <w:numId w:val="34"/>
                              </w:numPr>
                              <w:ind w:left="426"/>
                              <w:rPr>
                                <w:rFonts w:asciiTheme="minorHAnsi" w:hAnsiTheme="minorHAnsi"/>
                                <w:b/>
                                <w:color w:val="FFFFFF" w:themeColor="background1"/>
                                <w:sz w:val="22"/>
                                <w:szCs w:val="22"/>
                              </w:rPr>
                            </w:pPr>
                            <w:r>
                              <w:rPr>
                                <w:rFonts w:asciiTheme="minorHAnsi" w:hAnsiTheme="minorHAnsi"/>
                                <w:b/>
                                <w:color w:val="FFFFFF" w:themeColor="background1"/>
                                <w:sz w:val="22"/>
                                <w:szCs w:val="22"/>
                              </w:rPr>
                              <w:t>20</w:t>
                            </w:r>
                            <w:r w:rsidR="00BB00EA" w:rsidRPr="00803F2C">
                              <w:rPr>
                                <w:rFonts w:asciiTheme="minorHAnsi" w:hAnsiTheme="minorHAnsi"/>
                                <w:b/>
                                <w:color w:val="FFFFFF" w:themeColor="background1"/>
                                <w:sz w:val="22"/>
                                <w:szCs w:val="22"/>
                              </w:rPr>
                              <w:t>23</w:t>
                            </w:r>
                            <w:r>
                              <w:rPr>
                                <w:rFonts w:asciiTheme="minorHAnsi" w:hAnsiTheme="minorHAnsi"/>
                                <w:b/>
                                <w:color w:val="FFFFFF" w:themeColor="background1"/>
                                <w:sz w:val="22"/>
                                <w:szCs w:val="22"/>
                              </w:rPr>
                              <w:t>-28</w:t>
                            </w:r>
                            <w:r w:rsidR="00BB00EA" w:rsidRPr="00803F2C">
                              <w:rPr>
                                <w:rFonts w:asciiTheme="minorHAnsi" w:hAnsiTheme="minorHAnsi"/>
                                <w:b/>
                                <w:color w:val="FFFFFF" w:themeColor="background1"/>
                                <w:sz w:val="22"/>
                                <w:szCs w:val="22"/>
                              </w:rPr>
                              <w:t xml:space="preserve"> Output </w:t>
                            </w:r>
                            <w:r>
                              <w:rPr>
                                <w:rFonts w:asciiTheme="minorHAnsi" w:hAnsiTheme="minorHAnsi"/>
                                <w:b/>
                                <w:color w:val="FFFFFF" w:themeColor="background1"/>
                                <w:sz w:val="22"/>
                                <w:szCs w:val="22"/>
                              </w:rPr>
                              <w:t>m</w:t>
                            </w:r>
                            <w:r w:rsidR="00BB00EA" w:rsidRPr="00803F2C">
                              <w:rPr>
                                <w:rFonts w:asciiTheme="minorHAnsi" w:hAnsiTheme="minorHAnsi"/>
                                <w:b/>
                                <w:color w:val="FFFFFF" w:themeColor="background1"/>
                                <w:sz w:val="22"/>
                                <w:szCs w:val="22"/>
                              </w:rPr>
                              <w:t>easure</w:t>
                            </w:r>
                            <w:r>
                              <w:rPr>
                                <w:rFonts w:asciiTheme="minorHAnsi" w:hAnsiTheme="minorHAnsi"/>
                                <w:b/>
                                <w:color w:val="FFFFFF" w:themeColor="background1"/>
                                <w:sz w:val="22"/>
                                <w:szCs w:val="22"/>
                              </w:rPr>
                              <w:t>s and Guaranteed service levels (GSLs)</w:t>
                            </w:r>
                          </w:p>
                          <w:p w14:paraId="19A736BA" w14:textId="2B10BA8D" w:rsidR="00BB00EA" w:rsidRPr="00116E55" w:rsidRDefault="00BB00EA" w:rsidP="00116E55">
                            <w:pPr>
                              <w:pStyle w:val="Heading3"/>
                              <w:rPr>
                                <w:color w:val="FFFFFF" w:themeColor="background1"/>
                              </w:rPr>
                            </w:pPr>
                          </w:p>
                        </w:txbxContent>
                      </wps:txbx>
                      <wps:bodyPr rot="0" vert="horz" wrap="square" lIns="180000" tIns="180000" rIns="180000" bIns="180000" anchor="t" anchorCtr="0">
                        <a:noAutofit/>
                      </wps:bodyPr>
                    </wps:wsp>
                  </a:graphicData>
                </a:graphic>
                <wp14:sizeRelH relativeFrom="margin">
                  <wp14:pctWidth>0</wp14:pctWidth>
                </wp14:sizeRelH>
                <wp14:sizeRelV relativeFrom="margin">
                  <wp14:pctHeight>0</wp14:pctHeight>
                </wp14:sizeRelV>
              </wp:anchor>
            </w:drawing>
          </mc:Choice>
          <mc:Fallback>
            <w:pict>
              <v:shape w14:anchorId="0674108C" id="Text Box 991" o:spid="_x0000_s1042" type="#_x0000_t202" style="position:absolute;margin-left:.1pt;margin-top:34.4pt;width:477.15pt;height:1in;z-index:25165826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" fillcolor="#ff8d00" stroked="f">
                <v:textbox inset="5mm,5mm,5mm,5mm">
                  <w:txbxContent>
                    <w:p w14:paraId="01FC8953" w14:textId="0492DF65" w:rsidR="00BB00EA" w:rsidRPr="00116E55" w:rsidRDefault="00BB00EA" w:rsidP="00116E55">
                      <w:pPr>
                        <w:pStyle w:val="Heading3"/>
                        <w:spacing w:before="0" w:after="240"/>
                        <w:rPr>
                          <w:color w:val="FFFFFF" w:themeColor="background1"/>
                          <w:sz w:val="24"/>
                        </w:rPr>
                      </w:pPr>
                      <w:r>
                        <w:rPr>
                          <w:color w:val="FFFFFF" w:themeColor="background1"/>
                          <w:sz w:val="24"/>
                        </w:rPr>
                        <w:t>Supporting documents</w:t>
                      </w:r>
                    </w:p>
                    <w:p w14:paraId="1190AFB2" w14:textId="3BFF9211" w:rsidR="00BB00EA" w:rsidRPr="00803F2C" w:rsidRDefault="00B53247">
                      <w:pPr>
                        <w:pStyle w:val="ListParagraph"/>
                        <w:numPr>
                          <w:ilvl w:val="0"/>
                          <w:numId w:val="34"/>
                        </w:numPr>
                        <w:ind w:left="426"/>
                        <w:rPr>
                          <w:rFonts w:asciiTheme="minorHAnsi" w:hAnsiTheme="minorHAnsi"/>
                          <w:b/>
                          <w:color w:val="FFFFFF" w:themeColor="background1"/>
                          <w:sz w:val="22"/>
                          <w:szCs w:val="22"/>
                        </w:rPr>
                      </w:pPr>
                      <w:r>
                        <w:rPr>
                          <w:rFonts w:asciiTheme="minorHAnsi" w:hAnsiTheme="minorHAnsi"/>
                          <w:b/>
                          <w:color w:val="FFFFFF" w:themeColor="background1"/>
                          <w:sz w:val="22"/>
                          <w:szCs w:val="22"/>
                        </w:rPr>
                        <w:t>20</w:t>
                      </w:r>
                      <w:r w:rsidR="00BB00EA" w:rsidRPr="00803F2C">
                        <w:rPr>
                          <w:rFonts w:asciiTheme="minorHAnsi" w:hAnsiTheme="minorHAnsi"/>
                          <w:b/>
                          <w:color w:val="FFFFFF" w:themeColor="background1"/>
                          <w:sz w:val="22"/>
                          <w:szCs w:val="22"/>
                        </w:rPr>
                        <w:t>23</w:t>
                      </w:r>
                      <w:r>
                        <w:rPr>
                          <w:rFonts w:asciiTheme="minorHAnsi" w:hAnsiTheme="minorHAnsi"/>
                          <w:b/>
                          <w:color w:val="FFFFFF" w:themeColor="background1"/>
                          <w:sz w:val="22"/>
                          <w:szCs w:val="22"/>
                        </w:rPr>
                        <w:t>-28</w:t>
                      </w:r>
                      <w:r w:rsidR="00BB00EA" w:rsidRPr="00803F2C">
                        <w:rPr>
                          <w:rFonts w:asciiTheme="minorHAnsi" w:hAnsiTheme="minorHAnsi"/>
                          <w:b/>
                          <w:color w:val="FFFFFF" w:themeColor="background1"/>
                          <w:sz w:val="22"/>
                          <w:szCs w:val="22"/>
                        </w:rPr>
                        <w:t xml:space="preserve"> Output </w:t>
                      </w:r>
                      <w:r>
                        <w:rPr>
                          <w:rFonts w:asciiTheme="minorHAnsi" w:hAnsiTheme="minorHAnsi"/>
                          <w:b/>
                          <w:color w:val="FFFFFF" w:themeColor="background1"/>
                          <w:sz w:val="22"/>
                          <w:szCs w:val="22"/>
                        </w:rPr>
                        <w:t>m</w:t>
                      </w:r>
                      <w:r w:rsidR="00BB00EA" w:rsidRPr="00803F2C">
                        <w:rPr>
                          <w:rFonts w:asciiTheme="minorHAnsi" w:hAnsiTheme="minorHAnsi"/>
                          <w:b/>
                          <w:color w:val="FFFFFF" w:themeColor="background1"/>
                          <w:sz w:val="22"/>
                          <w:szCs w:val="22"/>
                        </w:rPr>
                        <w:t>easure</w:t>
                      </w:r>
                      <w:r>
                        <w:rPr>
                          <w:rFonts w:asciiTheme="minorHAnsi" w:hAnsiTheme="minorHAnsi"/>
                          <w:b/>
                          <w:color w:val="FFFFFF" w:themeColor="background1"/>
                          <w:sz w:val="22"/>
                          <w:szCs w:val="22"/>
                        </w:rPr>
                        <w:t>s and Guaranteed service levels (GSLs)</w:t>
                      </w:r>
                    </w:p>
                    <w:p w14:paraId="19A736BA" w14:textId="2B10BA8D" w:rsidR="00BB00EA" w:rsidRPr="00116E55" w:rsidRDefault="00BB00EA" w:rsidP="00116E55">
                      <w:pPr>
                        <w:pStyle w:val="Heading3"/>
                        <w:rPr>
                          <w:color w:val="FFFFFF" w:themeColor="background1"/>
                        </w:rPr>
                      </w:pPr>
                    </w:p>
                  </w:txbxContent>
                </v:textbox>
                <w10:wrap type="square"/>
              </v:shape>
            </w:pict>
          </mc:Fallback>
        </mc:AlternateContent>
      </w:r>
      <w:r w:rsidR="00891B58">
        <w:t xml:space="preserve">As a result, </w:t>
      </w:r>
      <w:r w:rsidR="006F4409">
        <w:rPr>
          <w:b/>
          <w:bCs/>
        </w:rPr>
        <w:t xml:space="preserve">our </w:t>
      </w:r>
      <w:r w:rsidR="00891B58" w:rsidRPr="00150E40">
        <w:rPr>
          <w:b/>
          <w:bCs/>
        </w:rPr>
        <w:t xml:space="preserve">PREMO </w:t>
      </w:r>
      <w:r w:rsidR="00A54D7D" w:rsidRPr="00B175DF">
        <w:rPr>
          <w:b/>
          <w:iCs/>
        </w:rPr>
        <w:t xml:space="preserve">self-assessed </w:t>
      </w:r>
      <w:r w:rsidR="00891B58" w:rsidRPr="00150E40">
        <w:rPr>
          <w:b/>
          <w:bCs/>
        </w:rPr>
        <w:t xml:space="preserve">rating for </w:t>
      </w:r>
      <w:r w:rsidR="00962E85" w:rsidRPr="00150E40">
        <w:rPr>
          <w:b/>
          <w:bCs/>
        </w:rPr>
        <w:t>Outcomes</w:t>
      </w:r>
      <w:r w:rsidR="00891B58" w:rsidRPr="00150E40">
        <w:rPr>
          <w:b/>
          <w:bCs/>
        </w:rPr>
        <w:t xml:space="preserve"> is </w:t>
      </w:r>
      <w:r w:rsidR="00612583">
        <w:rPr>
          <w:b/>
          <w:bCs/>
        </w:rPr>
        <w:t>‘</w:t>
      </w:r>
      <w:r w:rsidR="00891B58" w:rsidRPr="00E001B6">
        <w:rPr>
          <w:b/>
          <w:i/>
        </w:rPr>
        <w:t>Advanced</w:t>
      </w:r>
      <w:r w:rsidR="00612583">
        <w:rPr>
          <w:b/>
          <w:bCs/>
        </w:rPr>
        <w:t>’</w:t>
      </w:r>
      <w:r w:rsidR="00891B58" w:rsidRPr="00150E40">
        <w:rPr>
          <w:b/>
          <w:bCs/>
        </w:rPr>
        <w:t>.</w:t>
      </w:r>
    </w:p>
    <w:p w14:paraId="64060E4D" w14:textId="2FC278B8" w:rsidR="00BB00EA" w:rsidRDefault="00BB00EA" w:rsidP="00891B58">
      <w:pPr>
        <w:rPr>
          <w:b/>
          <w:bCs/>
        </w:rPr>
      </w:pPr>
    </w:p>
    <w:p w14:paraId="103998B5" w14:textId="5965257F" w:rsidR="001979B7" w:rsidRDefault="001979B7" w:rsidP="00360131"/>
    <w:p w14:paraId="0CA41C64" w14:textId="77777777" w:rsidR="001979B7" w:rsidRDefault="001979B7" w:rsidP="001979B7">
      <w:r>
        <w:br w:type="page"/>
      </w:r>
    </w:p>
    <w:bookmarkStart w:id="41" w:name="_Toc114644612"/>
    <w:p w14:paraId="214E2F56" w14:textId="1634D6D5" w:rsidR="002020E8" w:rsidRDefault="0082370E" w:rsidP="00D11C2D">
      <w:pPr>
        <w:pStyle w:val="Heading1"/>
      </w:pPr>
      <w:r>
        <w:lastRenderedPageBreak/>
        <mc:AlternateContent>
          <mc:Choice Requires="wps">
            <w:drawing>
              <wp:anchor distT="0" distB="0" distL="114300" distR="114300" simplePos="0" relativeHeight="251658296" behindDoc="0" locked="0" layoutInCell="1" allowOverlap="1" wp14:anchorId="0422683F" wp14:editId="3705FB93">
                <wp:simplePos x="0" y="0"/>
                <wp:positionH relativeFrom="column">
                  <wp:posOffset>-53340</wp:posOffset>
                </wp:positionH>
                <wp:positionV relativeFrom="paragraph">
                  <wp:posOffset>1885950</wp:posOffset>
                </wp:positionV>
                <wp:extent cx="3209290" cy="241998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209290" cy="2419985"/>
                        </a:xfrm>
                        <a:prstGeom prst="rect">
                          <a:avLst/>
                        </a:prstGeom>
                        <a:noFill/>
                        <a:ln w="6350">
                          <a:noFill/>
                        </a:ln>
                      </wps:spPr>
                      <wps:txbx>
                        <w:txbxContent>
                          <w:p w14:paraId="7AA139D7" w14:textId="18CF43C0" w:rsidR="0082370E" w:rsidRPr="00116E55" w:rsidRDefault="0082370E" w:rsidP="0082370E">
                            <w:pPr>
                              <w:pStyle w:val="Heading1"/>
                              <w:rPr>
                                <w:rFonts w:cs="Times New Roman (Headings CS)"/>
                                <w:b w:val="0"/>
                                <w:bCs/>
                                <w:color w:val="FFFFFF" w:themeColor="background1"/>
                                <w:spacing w:val="-120"/>
                                <w:sz w:val="320"/>
                                <w:szCs w:val="320"/>
                              </w:rPr>
                            </w:pPr>
                            <w:bookmarkStart w:id="42" w:name="_Toc114644613"/>
                            <w:r w:rsidRPr="00116E55">
                              <w:rPr>
                                <w:rFonts w:cs="Times New Roman (Headings CS)"/>
                                <w:b w:val="0"/>
                                <w:bCs/>
                                <w:color w:val="FFFFFF" w:themeColor="background1"/>
                                <w:spacing w:val="-120"/>
                                <w:sz w:val="320"/>
                                <w:szCs w:val="320"/>
                              </w:rPr>
                              <w:t>0</w:t>
                            </w:r>
                            <w:r>
                              <w:rPr>
                                <w:rFonts w:cs="Times New Roman (Headings CS)"/>
                                <w:b w:val="0"/>
                                <w:bCs/>
                                <w:color w:val="FFFFFF" w:themeColor="background1"/>
                                <w:spacing w:val="-120"/>
                                <w:sz w:val="320"/>
                                <w:szCs w:val="320"/>
                              </w:rPr>
                              <w:t>2</w:t>
                            </w:r>
                            <w:bookmarkEnd w:id="4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22683F" id="Text Box 17" o:spid="_x0000_s1043" type="#_x0000_t202" style="position:absolute;margin-left:-4.2pt;margin-top:148.5pt;width:252.7pt;height:190.55pt;z-index:251658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" filled="f" stroked="f" strokeweight=".5pt">
                <v:textbox>
                  <w:txbxContent>
                    <w:p w14:paraId="7AA139D7" w14:textId="18CF43C0" w:rsidR="0082370E" w:rsidRPr="00116E55" w:rsidRDefault="0082370E" w:rsidP="0082370E">
                      <w:pPr>
                        <w:pStyle w:val="Heading1"/>
                        <w:rPr>
                          <w:rFonts w:cs="Times New Roman (Headings CS)"/>
                          <w:b w:val="0"/>
                          <w:bCs/>
                          <w:color w:val="FFFFFF" w:themeColor="background1"/>
                          <w:spacing w:val="-120"/>
                          <w:sz w:val="320"/>
                          <w:szCs w:val="320"/>
                        </w:rPr>
                      </w:pPr>
                      <w:bookmarkStart w:id="44" w:name="_Toc114644613"/>
                      <w:r w:rsidRPr="00116E55">
                        <w:rPr>
                          <w:rFonts w:cs="Times New Roman (Headings CS)"/>
                          <w:b w:val="0"/>
                          <w:bCs/>
                          <w:color w:val="FFFFFF" w:themeColor="background1"/>
                          <w:spacing w:val="-120"/>
                          <w:sz w:val="320"/>
                          <w:szCs w:val="320"/>
                        </w:rPr>
                        <w:t>0</w:t>
                      </w:r>
                      <w:r>
                        <w:rPr>
                          <w:rFonts w:cs="Times New Roman (Headings CS)"/>
                          <w:b w:val="0"/>
                          <w:bCs/>
                          <w:color w:val="FFFFFF" w:themeColor="background1"/>
                          <w:spacing w:val="-120"/>
                          <w:sz w:val="320"/>
                          <w:szCs w:val="320"/>
                        </w:rPr>
                        <w:t>2</w:t>
                      </w:r>
                      <w:bookmarkEnd w:id="44"/>
                    </w:p>
                  </w:txbxContent>
                </v:textbox>
              </v:shape>
            </w:pict>
          </mc:Fallback>
        </mc:AlternateContent>
      </w:r>
      <w:r w:rsidR="002020E8">
        <w:drawing>
          <wp:anchor distT="0" distB="0" distL="114300" distR="114300" simplePos="0" relativeHeight="251658294" behindDoc="1" locked="0" layoutInCell="1" allowOverlap="1" wp14:anchorId="6C416C27" wp14:editId="2CA20752">
            <wp:simplePos x="0" y="0"/>
            <wp:positionH relativeFrom="column">
              <wp:posOffset>-564515</wp:posOffset>
            </wp:positionH>
            <wp:positionV relativeFrom="paragraph">
              <wp:posOffset>-885288</wp:posOffset>
            </wp:positionV>
            <wp:extent cx="7574915" cy="7613015"/>
            <wp:effectExtent l="0" t="0" r="0" b="0"/>
            <wp:wrapNone/>
            <wp:docPr id="15" name="Picture 1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Picture 484" descr="A picture containing shap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7574915" cy="7613015"/>
                    </a:xfrm>
                    <a:prstGeom prst="rect">
                      <a:avLst/>
                    </a:prstGeom>
                  </pic:spPr>
                </pic:pic>
              </a:graphicData>
            </a:graphic>
            <wp14:sizeRelH relativeFrom="page">
              <wp14:pctWidth>0</wp14:pctWidth>
            </wp14:sizeRelH>
            <wp14:sizeRelV relativeFrom="page">
              <wp14:pctHeight>0</wp14:pctHeight>
            </wp14:sizeRelV>
          </wp:anchor>
        </w:drawing>
      </w:r>
      <w:r w:rsidR="002020E8" w:rsidRPr="00984070">
        <w:rPr>
          <w:color w:val="2B579A"/>
          <w:shd w:val="clear" w:color="auto" w:fill="E6E6E6"/>
        </w:rPr>
        <mc:AlternateContent>
          <mc:Choice Requires="wps">
            <w:drawing>
              <wp:anchor distT="0" distB="0" distL="114300" distR="114300" simplePos="0" relativeHeight="251658245" behindDoc="0" locked="1" layoutInCell="1" allowOverlap="1" wp14:anchorId="4829CCC2" wp14:editId="61D68491">
                <wp:simplePos x="0" y="0"/>
                <wp:positionH relativeFrom="page">
                  <wp:posOffset>10795</wp:posOffset>
                </wp:positionH>
                <wp:positionV relativeFrom="page">
                  <wp:posOffset>5061585</wp:posOffset>
                </wp:positionV>
                <wp:extent cx="7563485" cy="5633720"/>
                <wp:effectExtent l="0" t="0" r="5715" b="5080"/>
                <wp:wrapNone/>
                <wp:docPr id="12" name="Freeform: Shape 13"/>
                <wp:cNvGraphicFramePr/>
                <a:graphic xmlns:a="http://schemas.openxmlformats.org/drawingml/2006/main">
                  <a:graphicData uri="http://schemas.microsoft.com/office/word/2010/wordprocessingShape">
                    <wps:wsp>
                      <wps:cNvSpPr/>
                      <wps:spPr>
                        <a:xfrm>
                          <a:off x="0" y="0"/>
                          <a:ext cx="7563485" cy="5633720"/>
                        </a:xfrm>
                        <a:custGeom>
                          <a:avLst/>
                          <a:gdLst>
                            <a:gd name="connsiteX0" fmla="*/ 630218 w 7564209"/>
                            <a:gd name="connsiteY0" fmla="*/ 0 h 5635379"/>
                            <a:gd name="connsiteX1" fmla="*/ 779510 w 7564209"/>
                            <a:gd name="connsiteY1" fmla="*/ 44612 h 5635379"/>
                            <a:gd name="connsiteX2" fmla="*/ 1111141 w 7564209"/>
                            <a:gd name="connsiteY2" fmla="*/ 44612 h 5635379"/>
                            <a:gd name="connsiteX3" fmla="*/ 1409726 w 7564209"/>
                            <a:gd name="connsiteY3" fmla="*/ 44612 h 5635379"/>
                            <a:gd name="connsiteX4" fmla="*/ 1741358 w 7564209"/>
                            <a:gd name="connsiteY4" fmla="*/ 44612 h 5635379"/>
                            <a:gd name="connsiteX5" fmla="*/ 2039943 w 7564209"/>
                            <a:gd name="connsiteY5" fmla="*/ 44612 h 5635379"/>
                            <a:gd name="connsiteX6" fmla="*/ 2371721 w 7564209"/>
                            <a:gd name="connsiteY6" fmla="*/ 44612 h 5635379"/>
                            <a:gd name="connsiteX7" fmla="*/ 2670160 w 7564209"/>
                            <a:gd name="connsiteY7" fmla="*/ 44612 h 5635379"/>
                            <a:gd name="connsiteX8" fmla="*/ 3001938 w 7564209"/>
                            <a:gd name="connsiteY8" fmla="*/ 44612 h 5635379"/>
                            <a:gd name="connsiteX9" fmla="*/ 3151084 w 7564209"/>
                            <a:gd name="connsiteY9" fmla="*/ 746 h 5635379"/>
                            <a:gd name="connsiteX10" fmla="*/ 3300377 w 7564209"/>
                            <a:gd name="connsiteY10" fmla="*/ 44612 h 5635379"/>
                            <a:gd name="connsiteX11" fmla="*/ 3632447 w 7564209"/>
                            <a:gd name="connsiteY11" fmla="*/ 44612 h 5635379"/>
                            <a:gd name="connsiteX12" fmla="*/ 3931178 w 7564209"/>
                            <a:gd name="connsiteY12" fmla="*/ 44612 h 5635379"/>
                            <a:gd name="connsiteX13" fmla="*/ 4262956 w 7564209"/>
                            <a:gd name="connsiteY13" fmla="*/ 44612 h 5635379"/>
                            <a:gd name="connsiteX14" fmla="*/ 4561687 w 7564209"/>
                            <a:gd name="connsiteY14" fmla="*/ 44612 h 5635379"/>
                            <a:gd name="connsiteX15" fmla="*/ 4893465 w 7564209"/>
                            <a:gd name="connsiteY15" fmla="*/ 44612 h 5635379"/>
                            <a:gd name="connsiteX16" fmla="*/ 5192050 w 7564209"/>
                            <a:gd name="connsiteY16" fmla="*/ 44612 h 5635379"/>
                            <a:gd name="connsiteX17" fmla="*/ 5523827 w 7564209"/>
                            <a:gd name="connsiteY17" fmla="*/ 44612 h 5635379"/>
                            <a:gd name="connsiteX18" fmla="*/ 5822413 w 7564209"/>
                            <a:gd name="connsiteY18" fmla="*/ 44612 h 5635379"/>
                            <a:gd name="connsiteX19" fmla="*/ 6154191 w 7564209"/>
                            <a:gd name="connsiteY19" fmla="*/ 44612 h 5635379"/>
                            <a:gd name="connsiteX20" fmla="*/ 6452776 w 7564209"/>
                            <a:gd name="connsiteY20" fmla="*/ 44612 h 5635379"/>
                            <a:gd name="connsiteX21" fmla="*/ 6784553 w 7564209"/>
                            <a:gd name="connsiteY21" fmla="*/ 44612 h 5635379"/>
                            <a:gd name="connsiteX22" fmla="*/ 7083138 w 7564209"/>
                            <a:gd name="connsiteY22" fmla="*/ 44612 h 5635379"/>
                            <a:gd name="connsiteX23" fmla="*/ 7414916 w 7564209"/>
                            <a:gd name="connsiteY23" fmla="*/ 44612 h 5635379"/>
                            <a:gd name="connsiteX24" fmla="*/ 7564209 w 7564209"/>
                            <a:gd name="connsiteY24" fmla="*/ 746 h 5635379"/>
                            <a:gd name="connsiteX25" fmla="*/ 7564209 w 7564209"/>
                            <a:gd name="connsiteY25" fmla="*/ 5635379 h 5635379"/>
                            <a:gd name="connsiteX26" fmla="*/ 0 w 7564209"/>
                            <a:gd name="connsiteY26" fmla="*/ 5635379 h 5635379"/>
                            <a:gd name="connsiteX27" fmla="*/ 0 w 7564209"/>
                            <a:gd name="connsiteY27" fmla="*/ 746 h 5635379"/>
                            <a:gd name="connsiteX28" fmla="*/ 149293 w 7564209"/>
                            <a:gd name="connsiteY28" fmla="*/ 44612 h 5635379"/>
                            <a:gd name="connsiteX29" fmla="*/ 480925 w 7564209"/>
                            <a:gd name="connsiteY29" fmla="*/ 44612 h 5635379"/>
                            <a:gd name="connsiteX30" fmla="*/ 630218 w 7564209"/>
                            <a:gd name="connsiteY30" fmla="*/ 0 h 56353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7564209" h="5635379">
                              <a:moveTo>
                                <a:pt x="630218" y="0"/>
                              </a:moveTo>
                              <a:cubicBezTo>
                                <a:pt x="682203" y="0"/>
                                <a:pt x="734189" y="14870"/>
                                <a:pt x="779510" y="44612"/>
                              </a:cubicBezTo>
                              <a:cubicBezTo>
                                <a:pt x="880462" y="109740"/>
                                <a:pt x="1010189" y="109740"/>
                                <a:pt x="1111141" y="44612"/>
                              </a:cubicBezTo>
                              <a:cubicBezTo>
                                <a:pt x="1201785" y="-14871"/>
                                <a:pt x="1319083" y="-14871"/>
                                <a:pt x="1409726" y="44612"/>
                              </a:cubicBezTo>
                              <a:cubicBezTo>
                                <a:pt x="1510678" y="109740"/>
                                <a:pt x="1640406" y="109740"/>
                                <a:pt x="1741358" y="44612"/>
                              </a:cubicBezTo>
                              <a:cubicBezTo>
                                <a:pt x="1832001" y="-14871"/>
                                <a:pt x="1949300" y="-14871"/>
                                <a:pt x="2039943" y="44612"/>
                              </a:cubicBezTo>
                              <a:cubicBezTo>
                                <a:pt x="2140953" y="109725"/>
                                <a:pt x="2270711" y="109725"/>
                                <a:pt x="2371721" y="44612"/>
                              </a:cubicBezTo>
                              <a:cubicBezTo>
                                <a:pt x="2462320" y="-14841"/>
                                <a:pt x="2579561" y="-14841"/>
                                <a:pt x="2670160" y="44612"/>
                              </a:cubicBezTo>
                              <a:cubicBezTo>
                                <a:pt x="2771170" y="109725"/>
                                <a:pt x="2900927" y="109725"/>
                                <a:pt x="3001938" y="44612"/>
                              </a:cubicBezTo>
                              <a:cubicBezTo>
                                <a:pt x="3045819" y="14695"/>
                                <a:pt x="3097991" y="-643"/>
                                <a:pt x="3151084" y="746"/>
                              </a:cubicBezTo>
                              <a:cubicBezTo>
                                <a:pt x="3204221" y="-658"/>
                                <a:pt x="3256452" y="14695"/>
                                <a:pt x="3300377" y="44612"/>
                              </a:cubicBezTo>
                              <a:cubicBezTo>
                                <a:pt x="3401518" y="109623"/>
                                <a:pt x="3531305" y="109623"/>
                                <a:pt x="3632447" y="44612"/>
                              </a:cubicBezTo>
                              <a:cubicBezTo>
                                <a:pt x="3723148" y="-14856"/>
                                <a:pt x="3840476" y="-14856"/>
                                <a:pt x="3931178" y="44612"/>
                              </a:cubicBezTo>
                              <a:cubicBezTo>
                                <a:pt x="4032188" y="109725"/>
                                <a:pt x="4161945" y="109725"/>
                                <a:pt x="4262956" y="44612"/>
                              </a:cubicBezTo>
                              <a:cubicBezTo>
                                <a:pt x="4353657" y="-14856"/>
                                <a:pt x="4470986" y="-14856"/>
                                <a:pt x="4561687" y="44612"/>
                              </a:cubicBezTo>
                              <a:cubicBezTo>
                                <a:pt x="4662697" y="109725"/>
                                <a:pt x="4792454" y="109725"/>
                                <a:pt x="4893465" y="44612"/>
                              </a:cubicBezTo>
                              <a:cubicBezTo>
                                <a:pt x="4984108" y="-14871"/>
                                <a:pt x="5101407" y="-14871"/>
                                <a:pt x="5192050" y="44612"/>
                              </a:cubicBezTo>
                              <a:cubicBezTo>
                                <a:pt x="5293060" y="109725"/>
                                <a:pt x="5422818" y="109725"/>
                                <a:pt x="5523827" y="44612"/>
                              </a:cubicBezTo>
                              <a:cubicBezTo>
                                <a:pt x="5614471" y="-14871"/>
                                <a:pt x="5731770" y="-14871"/>
                                <a:pt x="5822413" y="44612"/>
                              </a:cubicBezTo>
                              <a:cubicBezTo>
                                <a:pt x="5923423" y="109725"/>
                                <a:pt x="6053180" y="109725"/>
                                <a:pt x="6154191" y="44612"/>
                              </a:cubicBezTo>
                              <a:cubicBezTo>
                                <a:pt x="6244833" y="-14871"/>
                                <a:pt x="6362132" y="-14871"/>
                                <a:pt x="6452776" y="44612"/>
                              </a:cubicBezTo>
                              <a:cubicBezTo>
                                <a:pt x="6553786" y="109725"/>
                                <a:pt x="6683543" y="109725"/>
                                <a:pt x="6784553" y="44612"/>
                              </a:cubicBezTo>
                              <a:cubicBezTo>
                                <a:pt x="6875196" y="-14871"/>
                                <a:pt x="6992496" y="-14871"/>
                                <a:pt x="7083138" y="44612"/>
                              </a:cubicBezTo>
                              <a:cubicBezTo>
                                <a:pt x="7184149" y="109725"/>
                                <a:pt x="7313906" y="109725"/>
                                <a:pt x="7414916" y="44612"/>
                              </a:cubicBezTo>
                              <a:cubicBezTo>
                                <a:pt x="7458842" y="14681"/>
                                <a:pt x="7511071" y="-672"/>
                                <a:pt x="7564209" y="746"/>
                              </a:cubicBezTo>
                              <a:lnTo>
                                <a:pt x="7564209" y="5635379"/>
                              </a:lnTo>
                              <a:lnTo>
                                <a:pt x="0" y="5635379"/>
                              </a:lnTo>
                              <a:lnTo>
                                <a:pt x="0" y="746"/>
                              </a:lnTo>
                              <a:cubicBezTo>
                                <a:pt x="53123" y="-629"/>
                                <a:pt x="105354" y="14725"/>
                                <a:pt x="149293" y="44612"/>
                              </a:cubicBezTo>
                              <a:cubicBezTo>
                                <a:pt x="250245" y="109740"/>
                                <a:pt x="379973" y="109740"/>
                                <a:pt x="480925" y="44612"/>
                              </a:cubicBezTo>
                              <a:cubicBezTo>
                                <a:pt x="526247" y="14870"/>
                                <a:pt x="578232" y="0"/>
                                <a:pt x="630218" y="0"/>
                              </a:cubicBez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45D725" w14:textId="77777777" w:rsidR="002020E8" w:rsidRPr="002D3159" w:rsidRDefault="002020E8" w:rsidP="002020E8">
                            <w:pPr>
                              <w:pStyle w:val="Divider"/>
                            </w:pPr>
                            <w:r w:rsidRPr="002D3159">
                              <w:t xml:space="preserve">Part </w:t>
                            </w:r>
                            <w:r>
                              <w:t>2</w:t>
                            </w:r>
                            <w:r w:rsidRPr="002D3159">
                              <w:t xml:space="preserve">: </w:t>
                            </w:r>
                            <w:r>
                              <w:br/>
                              <w:t>How we will deliver these outcomes</w:t>
                            </w:r>
                          </w:p>
                        </w:txbxContent>
                      </wps:txbx>
                      <wps:bodyPr wrap="square" lIns="720000" tIns="0" bIns="3060000" rtlCol="0" anchor="ctr">
                        <a:noAutofit/>
                      </wps:bodyPr>
                    </wps:wsp>
                  </a:graphicData>
                </a:graphic>
                <wp14:sizeRelH relativeFrom="margin">
                  <wp14:pctWidth>0</wp14:pctWidth>
                </wp14:sizeRelH>
                <wp14:sizeRelV relativeFrom="margin">
                  <wp14:pctHeight>0</wp14:pctHeight>
                </wp14:sizeRelV>
              </wp:anchor>
            </w:drawing>
          </mc:Choice>
          <mc:Fallback>
            <w:pict>
              <v:shape w14:anchorId="4829CCC2" id="_x0000_s1044" style="position:absolute;margin-left:.85pt;margin-top:398.55pt;width:595.55pt;height:443.6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4209,563537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" adj="-11796480,,5400" path="m630218,v51985,,103971,14870,149292,44612c880462,109740,1010189,109740,1111141,44612v90644,-59483,207942,-59483,298585,c1510678,109740,1640406,109740,1741358,44612v90643,-59483,207942,-59483,298585,c2140953,109725,2270711,109725,2371721,44612v90599,-59453,207840,-59453,298439,c2771170,109725,2900927,109725,3001938,44612,3045819,14695,3097991,-643,3151084,746v53137,-1404,105368,13949,149293,43866c3401518,109623,3531305,109623,3632447,44612v90701,-59468,208029,-59468,298731,c4032188,109725,4161945,109725,4262956,44612v90701,-59468,208030,-59468,298731,c4662697,109725,4792454,109725,4893465,44612v90643,-59483,207942,-59483,298585,c5293060,109725,5422818,109725,5523827,44612v90644,-59483,207943,-59483,298586,c5923423,109725,6053180,109725,6154191,44612v90642,-59483,207941,-59483,298585,c6553786,109725,6683543,109725,6784553,44612v90643,-59483,207943,-59483,298585,c7184149,109725,7313906,109725,7414916,44612,7458842,14681,7511071,-672,7564209,746r,5634633l,5635379,,746c53123,-629,105354,14725,149293,44612v100952,65128,230680,65128,331632,c526247,14870,578232,,630218,xe" fillcolor="#0075e3 [3204]" stroked="f" strokeweight="1pt">
                <v:stroke joinstyle="miter"/>
                <v:formulas/>
                <v:path arrowok="t" o:connecttype="custom" o:connectlocs="630158,0;779435,44599;1111035,44599;1409591,44599;1741191,44599;2039748,44599;2371494,44599;2669904,44599;3001651,44599;3150782,746;3300061,44599;3632099,44599;3930802,44599;4262548,44599;4561250,44599;4892997,44599;5191553,44599;5523298,44599;5821856,44599;6153602,44599;6452158,44599;6783904,44599;7082460,44599;7414206,44599;7563485,746;7563485,5633720;0,5633720;0,746;149279,44599;480879,44599;630158,0" o:connectangles="0,0,0,0,0,0,0,0,0,0,0,0,0,0,0,0,0,0,0,0,0,0,0,0,0,0,0,0,0,0,0" textboxrect="0,0,7564209,5635379"/>
                <v:textbox inset="20mm,0,,85mm">
                  <w:txbxContent>
                    <w:p w14:paraId="4D45D725" w14:textId="77777777" w:rsidR="002020E8" w:rsidRPr="002D3159" w:rsidRDefault="002020E8" w:rsidP="002020E8">
                      <w:pPr>
                        <w:pStyle w:val="Divider"/>
                      </w:pPr>
                      <w:r w:rsidRPr="002D3159">
                        <w:t xml:space="preserve">Part </w:t>
                      </w:r>
                      <w:r>
                        <w:t>2</w:t>
                      </w:r>
                      <w:r w:rsidRPr="002D3159">
                        <w:t xml:space="preserve">: </w:t>
                      </w:r>
                      <w:r>
                        <w:br/>
                        <w:t>How we will deliver these outcomes</w:t>
                      </w:r>
                    </w:p>
                  </w:txbxContent>
                </v:textbox>
                <w10:wrap anchorx="page" anchory="page"/>
                <w10:anchorlock/>
              </v:shape>
            </w:pict>
          </mc:Fallback>
        </mc:AlternateContent>
      </w:r>
      <w:r w:rsidR="002020E8">
        <mc:AlternateContent>
          <mc:Choice Requires="wps">
            <w:drawing>
              <wp:anchor distT="0" distB="0" distL="114300" distR="114300" simplePos="0" relativeHeight="251658295" behindDoc="0" locked="0" layoutInCell="1" allowOverlap="1" wp14:anchorId="1CA1B7BF" wp14:editId="0312E52B">
                <wp:simplePos x="0" y="0"/>
                <wp:positionH relativeFrom="column">
                  <wp:posOffset>474345</wp:posOffset>
                </wp:positionH>
                <wp:positionV relativeFrom="paragraph">
                  <wp:posOffset>11558270</wp:posOffset>
                </wp:positionV>
                <wp:extent cx="3209290" cy="241998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209290" cy="2419985"/>
                        </a:xfrm>
                        <a:prstGeom prst="rect">
                          <a:avLst/>
                        </a:prstGeom>
                        <a:noFill/>
                        <a:ln w="6350">
                          <a:noFill/>
                        </a:ln>
                      </wps:spPr>
                      <wps:txbx>
                        <w:txbxContent>
                          <w:p w14:paraId="0B5B93EA" w14:textId="77777777" w:rsidR="002020E8" w:rsidRPr="00116E55" w:rsidRDefault="002020E8" w:rsidP="002020E8">
                            <w:pPr>
                              <w:pStyle w:val="Heading1"/>
                              <w:rPr>
                                <w:rFonts w:cs="Times New Roman (Headings CS)"/>
                                <w:b w:val="0"/>
                                <w:bCs/>
                                <w:color w:val="FFFFFF" w:themeColor="background1"/>
                                <w:spacing w:val="-120"/>
                                <w:sz w:val="320"/>
                                <w:szCs w:val="320"/>
                              </w:rPr>
                            </w:pPr>
                            <w:bookmarkStart w:id="43" w:name="_Toc114644614"/>
                            <w:r w:rsidRPr="00116E55">
                              <w:rPr>
                                <w:rFonts w:cs="Times New Roman (Headings CS)"/>
                                <w:b w:val="0"/>
                                <w:bCs/>
                                <w:color w:val="FFFFFF" w:themeColor="background1"/>
                                <w:spacing w:val="-120"/>
                                <w:sz w:val="320"/>
                                <w:szCs w:val="320"/>
                              </w:rPr>
                              <w:t>0</w:t>
                            </w:r>
                            <w:r>
                              <w:rPr>
                                <w:rFonts w:cs="Times New Roman (Headings CS)"/>
                                <w:b w:val="0"/>
                                <w:bCs/>
                                <w:color w:val="FFFFFF" w:themeColor="background1"/>
                                <w:spacing w:val="-120"/>
                                <w:sz w:val="320"/>
                                <w:szCs w:val="320"/>
                              </w:rPr>
                              <w:t>2</w:t>
                            </w:r>
                            <w:bookmarkEnd w:id="4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A1B7BF" id="Text Box 13" o:spid="_x0000_s1045" type="#_x0000_t202" style="position:absolute;margin-left:37.35pt;margin-top:910.1pt;width:252.7pt;height:190.55pt;z-index:2516582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" filled="f" stroked="f" strokeweight=".5pt">
                <v:textbox>
                  <w:txbxContent>
                    <w:p w14:paraId="0B5B93EA" w14:textId="77777777" w:rsidR="002020E8" w:rsidRPr="00116E55" w:rsidRDefault="002020E8" w:rsidP="002020E8">
                      <w:pPr>
                        <w:pStyle w:val="Heading1"/>
                        <w:rPr>
                          <w:rFonts w:cs="Times New Roman (Headings CS)"/>
                          <w:b w:val="0"/>
                          <w:bCs/>
                          <w:color w:val="FFFFFF" w:themeColor="background1"/>
                          <w:spacing w:val="-120"/>
                          <w:sz w:val="320"/>
                          <w:szCs w:val="320"/>
                        </w:rPr>
                      </w:pPr>
                      <w:bookmarkStart w:id="46" w:name="_Toc114644614"/>
                      <w:r w:rsidRPr="00116E55">
                        <w:rPr>
                          <w:rFonts w:cs="Times New Roman (Headings CS)"/>
                          <w:b w:val="0"/>
                          <w:bCs/>
                          <w:color w:val="FFFFFF" w:themeColor="background1"/>
                          <w:spacing w:val="-120"/>
                          <w:sz w:val="320"/>
                          <w:szCs w:val="320"/>
                        </w:rPr>
                        <w:t>0</w:t>
                      </w:r>
                      <w:r>
                        <w:rPr>
                          <w:rFonts w:cs="Times New Roman (Headings CS)"/>
                          <w:b w:val="0"/>
                          <w:bCs/>
                          <w:color w:val="FFFFFF" w:themeColor="background1"/>
                          <w:spacing w:val="-120"/>
                          <w:sz w:val="320"/>
                          <w:szCs w:val="320"/>
                        </w:rPr>
                        <w:t>2</w:t>
                      </w:r>
                      <w:bookmarkEnd w:id="46"/>
                    </w:p>
                  </w:txbxContent>
                </v:textbox>
              </v:shape>
            </w:pict>
          </mc:Fallback>
        </mc:AlternateContent>
      </w:r>
      <w:bookmarkEnd w:id="41"/>
    </w:p>
    <w:p w14:paraId="07E55B18" w14:textId="26C1D40D" w:rsidR="001A3DB9" w:rsidRDefault="001A3DB9" w:rsidP="00D11C2D">
      <w:pPr>
        <w:pStyle w:val="Heading1"/>
      </w:pPr>
      <w:bookmarkStart w:id="44" w:name="_Toc114644615"/>
      <w:r>
        <w:lastRenderedPageBreak/>
        <w:t>Part 2: How we will deliver these outcomes</w:t>
      </w:r>
      <w:bookmarkEnd w:id="44"/>
    </w:p>
    <w:p w14:paraId="533A0258" w14:textId="1FDFFB87" w:rsidR="001A3DB9" w:rsidRDefault="001A3DB9" w:rsidP="00116E55">
      <w:r>
        <w:t xml:space="preserve">This part outlines how </w:t>
      </w:r>
      <w:r w:rsidR="007657B9">
        <w:t>South East Water</w:t>
      </w:r>
      <w:r>
        <w:t xml:space="preserve"> proposes to deliver </w:t>
      </w:r>
      <w:r w:rsidR="003D5438">
        <w:t>the o</w:t>
      </w:r>
      <w:r w:rsidR="001C0D36">
        <w:t xml:space="preserve">utcomes </w:t>
      </w:r>
      <w:r w:rsidR="00714649">
        <w:t xml:space="preserve">we </w:t>
      </w:r>
      <w:r w:rsidR="001C0D36">
        <w:t>have committed to</w:t>
      </w:r>
      <w:r w:rsidR="00E54F44">
        <w:t xml:space="preserve">. </w:t>
      </w:r>
      <w:r>
        <w:t>It covers:</w:t>
      </w:r>
    </w:p>
    <w:p w14:paraId="7378CDEC" w14:textId="6EC11ABE" w:rsidR="001A3DB9" w:rsidRPr="001A3DB9" w:rsidRDefault="00A24B7E">
      <w:pPr>
        <w:pStyle w:val="ListParagraph"/>
        <w:numPr>
          <w:ilvl w:val="0"/>
          <w:numId w:val="57"/>
        </w:numPr>
      </w:pPr>
      <w:r>
        <w:t>o</w:t>
      </w:r>
      <w:r w:rsidR="001A3DB9" w:rsidRPr="000B4027">
        <w:t xml:space="preserve">ur </w:t>
      </w:r>
      <w:r w:rsidR="001A3DB9" w:rsidRPr="001A3DB9">
        <w:t xml:space="preserve">approach to management to deliver agreed customer outcomes </w:t>
      </w:r>
      <w:r w:rsidR="001F1441">
        <w:t xml:space="preserve">in an efficient manner </w:t>
      </w:r>
      <w:r w:rsidR="001A3DB9" w:rsidRPr="001A3DB9">
        <w:t>(</w:t>
      </w:r>
      <w:r w:rsidR="001A3DB9" w:rsidRPr="001A3DB9">
        <w:rPr>
          <w:b/>
          <w:bCs/>
        </w:rPr>
        <w:t>Management</w:t>
      </w:r>
      <w:r w:rsidR="001A3DB9" w:rsidRPr="001A3DB9">
        <w:t>)</w:t>
      </w:r>
    </w:p>
    <w:p w14:paraId="7C80BC69" w14:textId="0D4D9D6C" w:rsidR="001A3DB9" w:rsidRPr="001A3DB9" w:rsidRDefault="00A24B7E">
      <w:pPr>
        <w:pStyle w:val="ListParagraph"/>
        <w:numPr>
          <w:ilvl w:val="0"/>
          <w:numId w:val="57"/>
        </w:numPr>
      </w:pPr>
      <w:r>
        <w:t>h</w:t>
      </w:r>
      <w:r w:rsidR="001A3DB9" w:rsidRPr="000B4027">
        <w:t xml:space="preserve">ow </w:t>
      </w:r>
      <w:r w:rsidR="00D11E05">
        <w:t>we</w:t>
      </w:r>
      <w:r w:rsidR="001A3DB9" w:rsidRPr="000B4027">
        <w:t xml:space="preserve"> propose to manage and allocate risks, including how we have accepted risks on behalf of custom</w:t>
      </w:r>
      <w:r w:rsidR="001A3DB9" w:rsidRPr="001A3DB9">
        <w:t>ers (</w:t>
      </w:r>
      <w:r w:rsidR="001A3DB9" w:rsidRPr="001A3DB9">
        <w:rPr>
          <w:b/>
          <w:bCs/>
        </w:rPr>
        <w:t>Risk</w:t>
      </w:r>
      <w:r w:rsidR="001A3DB9" w:rsidRPr="001A3DB9">
        <w:t>)</w:t>
      </w:r>
    </w:p>
    <w:p w14:paraId="71C8F4B7" w14:textId="0FC7A57F" w:rsidR="001A3DB9" w:rsidRPr="001A3DB9" w:rsidRDefault="00A24B7E">
      <w:pPr>
        <w:pStyle w:val="ListParagraph"/>
        <w:numPr>
          <w:ilvl w:val="0"/>
          <w:numId w:val="57"/>
        </w:numPr>
      </w:pPr>
      <w:r>
        <w:t>d</w:t>
      </w:r>
      <w:r w:rsidR="001A3DB9" w:rsidRPr="000B4027">
        <w:t>etai</w:t>
      </w:r>
      <w:r w:rsidR="001A3DB9" w:rsidRPr="001A3DB9">
        <w:t xml:space="preserve">ls of our </w:t>
      </w:r>
      <w:r w:rsidR="005E229A">
        <w:t xml:space="preserve">proposed </w:t>
      </w:r>
      <w:r w:rsidR="001A3DB9" w:rsidRPr="001A3DB9">
        <w:t xml:space="preserve">capital expenditure program that </w:t>
      </w:r>
      <w:r w:rsidR="00CA1D20">
        <w:t>is designed to ensure that</w:t>
      </w:r>
      <w:r w:rsidR="001A3DB9" w:rsidRPr="001A3DB9">
        <w:t xml:space="preserve"> customer outcomes</w:t>
      </w:r>
      <w:r w:rsidR="00CA1D20">
        <w:t xml:space="preserve"> </w:t>
      </w:r>
      <w:r w:rsidR="000C62B4">
        <w:t xml:space="preserve">are </w:t>
      </w:r>
      <w:r w:rsidR="00CA1D20">
        <w:t xml:space="preserve">delivered, </w:t>
      </w:r>
      <w:r w:rsidR="0000403F">
        <w:t>while</w:t>
      </w:r>
      <w:r w:rsidR="00CA1D20">
        <w:t xml:space="preserve"> </w:t>
      </w:r>
      <w:r w:rsidR="001A3DB9" w:rsidRPr="001A3DB9">
        <w:t xml:space="preserve">managing uncertainty </w:t>
      </w:r>
      <w:r w:rsidR="0000403F">
        <w:t xml:space="preserve">and </w:t>
      </w:r>
      <w:r w:rsidR="001A3DB9" w:rsidRPr="001A3DB9">
        <w:t>ensur</w:t>
      </w:r>
      <w:r w:rsidR="0000403F">
        <w:t>ing</w:t>
      </w:r>
      <w:r w:rsidR="001A3DB9" w:rsidRPr="001A3DB9">
        <w:t xml:space="preserve"> that customer</w:t>
      </w:r>
      <w:r w:rsidR="00E0712C">
        <w:t>s</w:t>
      </w:r>
      <w:r w:rsidR="001A3DB9" w:rsidRPr="001A3DB9">
        <w:t xml:space="preserve"> are only paying for the services they receive (</w:t>
      </w:r>
      <w:r w:rsidR="001A3DB9" w:rsidRPr="001A3DB9">
        <w:rPr>
          <w:b/>
          <w:bCs/>
        </w:rPr>
        <w:t>Cap</w:t>
      </w:r>
      <w:r w:rsidR="00E10E5C">
        <w:rPr>
          <w:b/>
          <w:bCs/>
        </w:rPr>
        <w:t>ital expenditure</w:t>
      </w:r>
      <w:r w:rsidR="001A3DB9" w:rsidRPr="001A3DB9">
        <w:t>)</w:t>
      </w:r>
    </w:p>
    <w:p w14:paraId="4560F1F6" w14:textId="457C68F8" w:rsidR="001A3DB9" w:rsidRPr="001A3DB9" w:rsidRDefault="00A24B7E">
      <w:pPr>
        <w:pStyle w:val="ListParagraph"/>
        <w:numPr>
          <w:ilvl w:val="0"/>
          <w:numId w:val="57"/>
        </w:numPr>
      </w:pPr>
      <w:r>
        <w:t>d</w:t>
      </w:r>
      <w:r w:rsidR="001A3DB9" w:rsidRPr="000B4027">
        <w:t>etails of our proposed operating expenditure that i</w:t>
      </w:r>
      <w:r w:rsidR="001A3DB9" w:rsidRPr="001A3DB9">
        <w:t xml:space="preserve">ncludes an ongoing commitment </w:t>
      </w:r>
      <w:r w:rsidR="00747445">
        <w:br/>
      </w:r>
      <w:r w:rsidR="001A3DB9" w:rsidRPr="001A3DB9">
        <w:t>to deliver</w:t>
      </w:r>
      <w:r w:rsidR="00286A84">
        <w:t xml:space="preserve"> substantial</w:t>
      </w:r>
      <w:r w:rsidR="001A3DB9" w:rsidRPr="001A3DB9">
        <w:t xml:space="preserve"> efficiency savings to customers (</w:t>
      </w:r>
      <w:r w:rsidR="001A3DB9" w:rsidRPr="001A3DB9">
        <w:rPr>
          <w:b/>
          <w:bCs/>
        </w:rPr>
        <w:t>Ope</w:t>
      </w:r>
      <w:r w:rsidR="00E10E5C">
        <w:rPr>
          <w:b/>
          <w:bCs/>
        </w:rPr>
        <w:t>rating expenditure</w:t>
      </w:r>
      <w:r w:rsidR="001A3DB9" w:rsidRPr="001A3DB9">
        <w:t>).</w:t>
      </w:r>
    </w:p>
    <w:p w14:paraId="332F5058" w14:textId="77777777" w:rsidR="001A3DB9" w:rsidRPr="00840D00" w:rsidRDefault="001A3DB9" w:rsidP="001A3DB9"/>
    <w:p w14:paraId="2468477D" w14:textId="4F8B3EFB" w:rsidR="001A3DB9" w:rsidRDefault="001A3DB9" w:rsidP="003D2EDD"/>
    <w:p w14:paraId="2BFC0258" w14:textId="7DF2B7AA" w:rsidR="001A3DB9" w:rsidRDefault="001A3DB9" w:rsidP="003D2EDD"/>
    <w:p w14:paraId="637D02D2" w14:textId="4DE21B1D" w:rsidR="001A3DB9" w:rsidRDefault="001A3DB9" w:rsidP="003D2EDD"/>
    <w:p w14:paraId="763705CB" w14:textId="77777777" w:rsidR="001A3DB9" w:rsidRDefault="001A3DB9" w:rsidP="003D2EDD"/>
    <w:p w14:paraId="0E2142D8" w14:textId="695F8B0C" w:rsidR="00D12CC3" w:rsidRDefault="00D12CC3">
      <w:r>
        <w:br w:type="page"/>
      </w:r>
    </w:p>
    <w:bookmarkStart w:id="45" w:name="_4._Management"/>
    <w:bookmarkStart w:id="46" w:name="_Toc114644616"/>
    <w:bookmarkEnd w:id="45"/>
    <w:p w14:paraId="2F60AAFC" w14:textId="126BAD7C" w:rsidR="003D2EDD" w:rsidRDefault="00814FC1" w:rsidP="00A9682A">
      <w:pPr>
        <w:pStyle w:val="Heading1"/>
      </w:pPr>
      <w:r>
        <w:lastRenderedPageBreak/>
        <mc:AlternateContent>
          <mc:Choice Requires="wps">
            <w:drawing>
              <wp:anchor distT="45720" distB="45720" distL="114300" distR="114300" simplePos="0" relativeHeight="251658270" behindDoc="0" locked="0" layoutInCell="1" allowOverlap="1" wp14:anchorId="0216BEB5" wp14:editId="3400101E">
                <wp:simplePos x="0" y="0"/>
                <wp:positionH relativeFrom="column">
                  <wp:posOffset>8890</wp:posOffset>
                </wp:positionH>
                <wp:positionV relativeFrom="paragraph">
                  <wp:posOffset>455295</wp:posOffset>
                </wp:positionV>
                <wp:extent cx="6268720" cy="2052320"/>
                <wp:effectExtent l="0" t="0" r="0" b="5080"/>
                <wp:wrapSquare wrapText="bothSides"/>
                <wp:docPr id="1001" name="Text Box 1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8720" cy="2052320"/>
                        </a:xfrm>
                        <a:prstGeom prst="rect">
                          <a:avLst/>
                        </a:prstGeom>
                        <a:solidFill>
                          <a:srgbClr val="00B1F4"/>
                        </a:solidFill>
                        <a:ln w="9525">
                          <a:noFill/>
                          <a:miter lim="800000"/>
                          <a:headEnd/>
                          <a:tailEnd/>
                        </a:ln>
                      </wps:spPr>
                      <wps:txbx>
                        <w:txbxContent>
                          <w:p w14:paraId="19043B55" w14:textId="77777777" w:rsidR="00814FC1" w:rsidRPr="00116E55" w:rsidRDefault="00814FC1" w:rsidP="00116E55">
                            <w:pPr>
                              <w:pStyle w:val="Heading3"/>
                              <w:spacing w:before="0" w:after="240"/>
                              <w:rPr>
                                <w:color w:val="FFFFFF" w:themeColor="background1"/>
                                <w:sz w:val="24"/>
                              </w:rPr>
                            </w:pPr>
                            <w:r w:rsidRPr="00116E55">
                              <w:rPr>
                                <w:color w:val="FFFFFF" w:themeColor="background1"/>
                                <w:sz w:val="24"/>
                              </w:rPr>
                              <w:t>Key points</w:t>
                            </w:r>
                          </w:p>
                          <w:p w14:paraId="376D9302" w14:textId="47FC1EF7" w:rsidR="00814FC1" w:rsidRPr="008077ED" w:rsidRDefault="00814FC1">
                            <w:pPr>
                              <w:pStyle w:val="Heading3"/>
                              <w:numPr>
                                <w:ilvl w:val="0"/>
                                <w:numId w:val="58"/>
                              </w:numPr>
                              <w:spacing w:before="0" w:after="120"/>
                              <w:ind w:left="426"/>
                              <w:rPr>
                                <w:rFonts w:eastAsiaTheme="minorHAnsi" w:cstheme="minorBidi"/>
                                <w:color w:val="FFFFFF" w:themeColor="background1"/>
                                <w:sz w:val="22"/>
                                <w:szCs w:val="22"/>
                              </w:rPr>
                            </w:pPr>
                            <w:r w:rsidRPr="008077ED">
                              <w:rPr>
                                <w:rFonts w:eastAsiaTheme="minorHAnsi" w:cstheme="minorBidi"/>
                                <w:color w:val="FFFFFF" w:themeColor="background1"/>
                                <w:sz w:val="22"/>
                                <w:szCs w:val="22"/>
                              </w:rPr>
                              <w:t>To inform our expenditure and output proposals, we developed a strategic prioritisation framework.</w:t>
                            </w:r>
                          </w:p>
                          <w:p w14:paraId="01AD83FB" w14:textId="77777777" w:rsidR="00814FC1" w:rsidRPr="008077ED" w:rsidRDefault="00814FC1">
                            <w:pPr>
                              <w:pStyle w:val="Heading3"/>
                              <w:numPr>
                                <w:ilvl w:val="0"/>
                                <w:numId w:val="58"/>
                              </w:numPr>
                              <w:spacing w:before="0" w:after="120"/>
                              <w:ind w:left="426"/>
                              <w:rPr>
                                <w:rFonts w:eastAsiaTheme="minorHAnsi" w:cstheme="minorBidi"/>
                                <w:color w:val="FFFFFF" w:themeColor="background1"/>
                                <w:sz w:val="22"/>
                                <w:szCs w:val="22"/>
                              </w:rPr>
                            </w:pPr>
                            <w:r w:rsidRPr="008077ED">
                              <w:rPr>
                                <w:rFonts w:eastAsiaTheme="minorHAnsi" w:cstheme="minorBidi"/>
                                <w:color w:val="FFFFFF" w:themeColor="background1"/>
                                <w:sz w:val="22"/>
                                <w:szCs w:val="22"/>
                              </w:rPr>
                              <w:t>Our board was actively engaged with our community panel.</w:t>
                            </w:r>
                          </w:p>
                          <w:p w14:paraId="78ACD5E6" w14:textId="77777777" w:rsidR="00814FC1" w:rsidRPr="008077ED" w:rsidRDefault="00814FC1">
                            <w:pPr>
                              <w:pStyle w:val="Heading3"/>
                              <w:numPr>
                                <w:ilvl w:val="0"/>
                                <w:numId w:val="58"/>
                              </w:numPr>
                              <w:spacing w:before="0" w:after="120"/>
                              <w:ind w:left="426"/>
                              <w:rPr>
                                <w:rFonts w:eastAsiaTheme="minorHAnsi" w:cstheme="minorBidi"/>
                                <w:color w:val="FFFFFF" w:themeColor="background1"/>
                                <w:sz w:val="22"/>
                                <w:szCs w:val="22"/>
                              </w:rPr>
                            </w:pPr>
                            <w:r w:rsidRPr="008077ED">
                              <w:rPr>
                                <w:rFonts w:eastAsiaTheme="minorHAnsi" w:cstheme="minorBidi"/>
                                <w:color w:val="FFFFFF" w:themeColor="background1"/>
                                <w:sz w:val="22"/>
                                <w:szCs w:val="22"/>
                              </w:rPr>
                              <w:t>We embedded a board attestation and engagement program that allowed directors to provide guidance and support the price submission work program.</w:t>
                            </w:r>
                          </w:p>
                          <w:p w14:paraId="1996CEB9" w14:textId="01BAFE73" w:rsidR="00814FC1" w:rsidRPr="008077ED" w:rsidRDefault="00814FC1">
                            <w:pPr>
                              <w:pStyle w:val="Heading3"/>
                              <w:numPr>
                                <w:ilvl w:val="0"/>
                                <w:numId w:val="58"/>
                              </w:numPr>
                              <w:spacing w:before="0" w:after="120"/>
                              <w:ind w:left="426"/>
                              <w:rPr>
                                <w:rFonts w:eastAsiaTheme="minorHAnsi" w:cstheme="minorBidi"/>
                                <w:color w:val="FFFFFF" w:themeColor="background1"/>
                                <w:sz w:val="22"/>
                                <w:szCs w:val="22"/>
                              </w:rPr>
                            </w:pPr>
                            <w:r w:rsidRPr="008077ED">
                              <w:rPr>
                                <w:rFonts w:eastAsiaTheme="minorHAnsi" w:cstheme="minorBidi"/>
                                <w:color w:val="FFFFFF" w:themeColor="background1"/>
                                <w:sz w:val="22"/>
                                <w:szCs w:val="22"/>
                              </w:rPr>
                              <w:t xml:space="preserve">Our PREMO self-assessed rating for Management is </w:t>
                            </w:r>
                            <w:r w:rsidR="00D94533" w:rsidRPr="00D94533">
                              <w:rPr>
                                <w:rFonts w:eastAsiaTheme="minorHAnsi" w:cstheme="minorBidi"/>
                                <w:i/>
                                <w:iCs/>
                                <w:color w:val="FFFFFF" w:themeColor="background1"/>
                                <w:sz w:val="22"/>
                                <w:szCs w:val="22"/>
                              </w:rPr>
                              <w:t>‘</w:t>
                            </w:r>
                            <w:r w:rsidRPr="00A8592B">
                              <w:rPr>
                                <w:rFonts w:eastAsiaTheme="minorHAnsi" w:cstheme="minorBidi"/>
                                <w:i/>
                                <w:iCs/>
                                <w:color w:val="FFFFFF" w:themeColor="background1"/>
                                <w:sz w:val="22"/>
                                <w:szCs w:val="22"/>
                              </w:rPr>
                              <w:t>Standard</w:t>
                            </w:r>
                            <w:r w:rsidR="00D94533">
                              <w:rPr>
                                <w:rFonts w:eastAsiaTheme="minorHAnsi" w:cstheme="minorBidi"/>
                                <w:color w:val="FFFFFF" w:themeColor="background1"/>
                                <w:sz w:val="22"/>
                                <w:szCs w:val="22"/>
                              </w:rPr>
                              <w:t>’</w:t>
                            </w:r>
                            <w:r w:rsidRPr="008077ED">
                              <w:rPr>
                                <w:rFonts w:eastAsiaTheme="minorHAnsi" w:cstheme="minorBidi"/>
                                <w:color w:val="FFFFFF" w:themeColor="background1"/>
                                <w:sz w:val="22"/>
                                <w:szCs w:val="22"/>
                              </w:rPr>
                              <w:t>.</w:t>
                            </w:r>
                          </w:p>
                          <w:p w14:paraId="70D7D6EB" w14:textId="2DA15BDD" w:rsidR="00814FC1" w:rsidRPr="00116E55" w:rsidRDefault="00814FC1" w:rsidP="00116E55">
                            <w:pPr>
                              <w:pStyle w:val="Heading3"/>
                              <w:spacing w:before="0" w:after="120"/>
                              <w:rPr>
                                <w:color w:val="FFFFFF" w:themeColor="background1"/>
                              </w:rPr>
                            </w:pPr>
                          </w:p>
                        </w:txbxContent>
                      </wps:txbx>
                      <wps:bodyPr rot="0" vert="horz" wrap="square" lIns="180000" tIns="180000" rIns="180000" bIns="180000" anchor="t" anchorCtr="0">
                        <a:noAutofit/>
                      </wps:bodyPr>
                    </wps:wsp>
                  </a:graphicData>
                </a:graphic>
                <wp14:sizeRelH relativeFrom="margin">
                  <wp14:pctWidth>0</wp14:pctWidth>
                </wp14:sizeRelH>
                <wp14:sizeRelV relativeFrom="margin">
                  <wp14:pctHeight>0</wp14:pctHeight>
                </wp14:sizeRelV>
              </wp:anchor>
            </w:drawing>
          </mc:Choice>
          <mc:Fallback>
            <w:pict>
              <v:shape w14:anchorId="0216BEB5" id="Text Box 1001" o:spid="_x0000_s1046" type="#_x0000_t202" style="position:absolute;margin-left:.7pt;margin-top:35.85pt;width:493.6pt;height:161.6pt;z-index:25165827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" fillcolor="#00b1f4" stroked="f">
                <v:textbox inset="5mm,5mm,5mm,5mm">
                  <w:txbxContent>
                    <w:p w14:paraId="19043B55" w14:textId="77777777" w:rsidR="00814FC1" w:rsidRPr="00116E55" w:rsidRDefault="00814FC1" w:rsidP="00116E55">
                      <w:pPr>
                        <w:pStyle w:val="Heading3"/>
                        <w:spacing w:before="0" w:after="240"/>
                        <w:rPr>
                          <w:color w:val="FFFFFF" w:themeColor="background1"/>
                          <w:sz w:val="24"/>
                        </w:rPr>
                      </w:pPr>
                      <w:r w:rsidRPr="00116E55">
                        <w:rPr>
                          <w:color w:val="FFFFFF" w:themeColor="background1"/>
                          <w:sz w:val="24"/>
                        </w:rPr>
                        <w:t>Key points</w:t>
                      </w:r>
                    </w:p>
                    <w:p w14:paraId="376D9302" w14:textId="47FC1EF7" w:rsidR="00814FC1" w:rsidRPr="008077ED" w:rsidRDefault="00814FC1">
                      <w:pPr>
                        <w:pStyle w:val="Heading3"/>
                        <w:numPr>
                          <w:ilvl w:val="0"/>
                          <w:numId w:val="58"/>
                        </w:numPr>
                        <w:spacing w:before="0" w:after="120"/>
                        <w:ind w:left="426"/>
                        <w:rPr>
                          <w:rFonts w:eastAsiaTheme="minorHAnsi" w:cstheme="minorBidi"/>
                          <w:color w:val="FFFFFF" w:themeColor="background1"/>
                          <w:sz w:val="22"/>
                          <w:szCs w:val="22"/>
                        </w:rPr>
                      </w:pPr>
                      <w:r w:rsidRPr="008077ED">
                        <w:rPr>
                          <w:rFonts w:eastAsiaTheme="minorHAnsi" w:cstheme="minorBidi"/>
                          <w:color w:val="FFFFFF" w:themeColor="background1"/>
                          <w:sz w:val="22"/>
                          <w:szCs w:val="22"/>
                        </w:rPr>
                        <w:t>To inform our expenditure and output proposals, we developed a strategic prioritisation framework.</w:t>
                      </w:r>
                    </w:p>
                    <w:p w14:paraId="01AD83FB" w14:textId="77777777" w:rsidR="00814FC1" w:rsidRPr="008077ED" w:rsidRDefault="00814FC1">
                      <w:pPr>
                        <w:pStyle w:val="Heading3"/>
                        <w:numPr>
                          <w:ilvl w:val="0"/>
                          <w:numId w:val="58"/>
                        </w:numPr>
                        <w:spacing w:before="0" w:after="120"/>
                        <w:ind w:left="426"/>
                        <w:rPr>
                          <w:rFonts w:eastAsiaTheme="minorHAnsi" w:cstheme="minorBidi"/>
                          <w:color w:val="FFFFFF" w:themeColor="background1"/>
                          <w:sz w:val="22"/>
                          <w:szCs w:val="22"/>
                        </w:rPr>
                      </w:pPr>
                      <w:r w:rsidRPr="008077ED">
                        <w:rPr>
                          <w:rFonts w:eastAsiaTheme="minorHAnsi" w:cstheme="minorBidi"/>
                          <w:color w:val="FFFFFF" w:themeColor="background1"/>
                          <w:sz w:val="22"/>
                          <w:szCs w:val="22"/>
                        </w:rPr>
                        <w:t>Our board was actively engaged with our community panel.</w:t>
                      </w:r>
                    </w:p>
                    <w:p w14:paraId="78ACD5E6" w14:textId="77777777" w:rsidR="00814FC1" w:rsidRPr="008077ED" w:rsidRDefault="00814FC1">
                      <w:pPr>
                        <w:pStyle w:val="Heading3"/>
                        <w:numPr>
                          <w:ilvl w:val="0"/>
                          <w:numId w:val="58"/>
                        </w:numPr>
                        <w:spacing w:before="0" w:after="120"/>
                        <w:ind w:left="426"/>
                        <w:rPr>
                          <w:rFonts w:eastAsiaTheme="minorHAnsi" w:cstheme="minorBidi"/>
                          <w:color w:val="FFFFFF" w:themeColor="background1"/>
                          <w:sz w:val="22"/>
                          <w:szCs w:val="22"/>
                        </w:rPr>
                      </w:pPr>
                      <w:r w:rsidRPr="008077ED">
                        <w:rPr>
                          <w:rFonts w:eastAsiaTheme="minorHAnsi" w:cstheme="minorBidi"/>
                          <w:color w:val="FFFFFF" w:themeColor="background1"/>
                          <w:sz w:val="22"/>
                          <w:szCs w:val="22"/>
                        </w:rPr>
                        <w:t>We embedded a board attestation and engagement program that allowed directors to provide guidance and support the price submission work program.</w:t>
                      </w:r>
                    </w:p>
                    <w:p w14:paraId="1996CEB9" w14:textId="01BAFE73" w:rsidR="00814FC1" w:rsidRPr="008077ED" w:rsidRDefault="00814FC1">
                      <w:pPr>
                        <w:pStyle w:val="Heading3"/>
                        <w:numPr>
                          <w:ilvl w:val="0"/>
                          <w:numId w:val="58"/>
                        </w:numPr>
                        <w:spacing w:before="0" w:after="120"/>
                        <w:ind w:left="426"/>
                        <w:rPr>
                          <w:rFonts w:eastAsiaTheme="minorHAnsi" w:cstheme="minorBidi"/>
                          <w:color w:val="FFFFFF" w:themeColor="background1"/>
                          <w:sz w:val="22"/>
                          <w:szCs w:val="22"/>
                        </w:rPr>
                      </w:pPr>
                      <w:r w:rsidRPr="008077ED">
                        <w:rPr>
                          <w:rFonts w:eastAsiaTheme="minorHAnsi" w:cstheme="minorBidi"/>
                          <w:color w:val="FFFFFF" w:themeColor="background1"/>
                          <w:sz w:val="22"/>
                          <w:szCs w:val="22"/>
                        </w:rPr>
                        <w:t xml:space="preserve">Our PREMO self-assessed rating for Management is </w:t>
                      </w:r>
                      <w:r w:rsidR="00D94533" w:rsidRPr="00D94533">
                        <w:rPr>
                          <w:rFonts w:eastAsiaTheme="minorHAnsi" w:cstheme="minorBidi"/>
                          <w:i/>
                          <w:iCs/>
                          <w:color w:val="FFFFFF" w:themeColor="background1"/>
                          <w:sz w:val="22"/>
                          <w:szCs w:val="22"/>
                        </w:rPr>
                        <w:t>‘</w:t>
                      </w:r>
                      <w:r w:rsidRPr="00A8592B">
                        <w:rPr>
                          <w:rFonts w:eastAsiaTheme="minorHAnsi" w:cstheme="minorBidi"/>
                          <w:i/>
                          <w:iCs/>
                          <w:color w:val="FFFFFF" w:themeColor="background1"/>
                          <w:sz w:val="22"/>
                          <w:szCs w:val="22"/>
                        </w:rPr>
                        <w:t>Standard</w:t>
                      </w:r>
                      <w:r w:rsidR="00D94533">
                        <w:rPr>
                          <w:rFonts w:eastAsiaTheme="minorHAnsi" w:cstheme="minorBidi"/>
                          <w:color w:val="FFFFFF" w:themeColor="background1"/>
                          <w:sz w:val="22"/>
                          <w:szCs w:val="22"/>
                        </w:rPr>
                        <w:t>’</w:t>
                      </w:r>
                      <w:r w:rsidRPr="008077ED">
                        <w:rPr>
                          <w:rFonts w:eastAsiaTheme="minorHAnsi" w:cstheme="minorBidi"/>
                          <w:color w:val="FFFFFF" w:themeColor="background1"/>
                          <w:sz w:val="22"/>
                          <w:szCs w:val="22"/>
                        </w:rPr>
                        <w:t>.</w:t>
                      </w:r>
                    </w:p>
                    <w:p w14:paraId="70D7D6EB" w14:textId="2DA15BDD" w:rsidR="00814FC1" w:rsidRPr="00116E55" w:rsidRDefault="00814FC1" w:rsidP="00116E55">
                      <w:pPr>
                        <w:pStyle w:val="Heading3"/>
                        <w:spacing w:before="0" w:after="120"/>
                        <w:rPr>
                          <w:color w:val="FFFFFF" w:themeColor="background1"/>
                        </w:rPr>
                      </w:pPr>
                    </w:p>
                  </w:txbxContent>
                </v:textbox>
                <w10:wrap type="square"/>
              </v:shape>
            </w:pict>
          </mc:Fallback>
        </mc:AlternateContent>
      </w:r>
      <w:r w:rsidR="005668E9">
        <w:t xml:space="preserve">4. </w:t>
      </w:r>
      <w:r w:rsidR="00CD6E85">
        <w:t>Management</w:t>
      </w:r>
      <w:bookmarkEnd w:id="46"/>
    </w:p>
    <w:p w14:paraId="5AB08350" w14:textId="315E86F2" w:rsidR="00814FC1" w:rsidRDefault="00814FC1" w:rsidP="002E76C1">
      <w:pPr>
        <w:pStyle w:val="Heading2"/>
      </w:pPr>
    </w:p>
    <w:p w14:paraId="68EDC748" w14:textId="66319F07" w:rsidR="006F66C4" w:rsidRDefault="00CD6E85" w:rsidP="00CD6E85">
      <w:r>
        <w:t>This section provides information</w:t>
      </w:r>
      <w:r w:rsidR="006624BD">
        <w:t xml:space="preserve"> supporting our </w:t>
      </w:r>
      <w:r w:rsidR="006624BD" w:rsidRPr="00CB0971">
        <w:rPr>
          <w:b/>
          <w:bCs/>
        </w:rPr>
        <w:t>Management</w:t>
      </w:r>
      <w:r w:rsidR="006624BD">
        <w:t xml:space="preserve"> self-assessment.</w:t>
      </w:r>
      <w:r w:rsidR="002A0BDE">
        <w:t xml:space="preserve"> </w:t>
      </w:r>
      <w:r w:rsidR="00C579F0">
        <w:t>We are confident in demonstrating the</w:t>
      </w:r>
      <w:r>
        <w:t xml:space="preserve"> efficien</w:t>
      </w:r>
      <w:r w:rsidR="00DD1A7D">
        <w:t>cy</w:t>
      </w:r>
      <w:r>
        <w:t xml:space="preserve"> and </w:t>
      </w:r>
      <w:r w:rsidR="00DD1A7D">
        <w:t xml:space="preserve">prudency of </w:t>
      </w:r>
      <w:r w:rsidR="003D0F43">
        <w:t xml:space="preserve">our </w:t>
      </w:r>
      <w:r>
        <w:t>expenditure proposals for the 2023</w:t>
      </w:r>
      <w:r w:rsidR="007D4EB3">
        <w:t>–</w:t>
      </w:r>
      <w:r>
        <w:t xml:space="preserve">28 regulatory period, and how these have been developed based on sound information and methodologies. </w:t>
      </w:r>
    </w:p>
    <w:p w14:paraId="48A07958" w14:textId="5A514A07" w:rsidR="00CD6E85" w:rsidRDefault="008B5EAE" w:rsidP="00CD6E85">
      <w:r>
        <w:t xml:space="preserve">We also outline how </w:t>
      </w:r>
      <w:r w:rsidR="00CD6E85">
        <w:t>South East Water</w:t>
      </w:r>
      <w:r w:rsidR="00612583">
        <w:t>’</w:t>
      </w:r>
      <w:r w:rsidR="00CD6E85">
        <w:t xml:space="preserve">s senior management and </w:t>
      </w:r>
      <w:r w:rsidR="00957C1A">
        <w:t>b</w:t>
      </w:r>
      <w:r w:rsidR="00CD6E85">
        <w:t>oard have been integrally involved in the development of the proposed plans and required expenditure proposals, based on an understanding of customers</w:t>
      </w:r>
      <w:r w:rsidR="00612583">
        <w:t>’</w:t>
      </w:r>
      <w:r w:rsidR="00CD6E85">
        <w:t xml:space="preserve"> priorities</w:t>
      </w:r>
      <w:r w:rsidR="00793E6D">
        <w:t xml:space="preserve"> and </w:t>
      </w:r>
      <w:r w:rsidR="00F86752">
        <w:t>a considered approach to managing risk</w:t>
      </w:r>
      <w:r w:rsidR="00433771">
        <w:t xml:space="preserve"> and the long</w:t>
      </w:r>
      <w:r w:rsidR="00D54449">
        <w:t>-</w:t>
      </w:r>
      <w:r w:rsidR="00433771">
        <w:t>term challenges</w:t>
      </w:r>
      <w:r w:rsidR="00C42C4A">
        <w:t xml:space="preserve"> faced by the</w:t>
      </w:r>
      <w:r w:rsidR="003803BD">
        <w:t xml:space="preserve"> water industry</w:t>
      </w:r>
      <w:r w:rsidR="00CE37CF">
        <w:t xml:space="preserve">. </w:t>
      </w:r>
    </w:p>
    <w:p w14:paraId="0ABFFFE3" w14:textId="77777777" w:rsidR="00814FC1" w:rsidRDefault="00814FC1" w:rsidP="00CD6E85"/>
    <w:p w14:paraId="33D22E99" w14:textId="51322694" w:rsidR="00860235" w:rsidRDefault="00B231C5" w:rsidP="008E132A">
      <w:pPr>
        <w:pStyle w:val="Heading2"/>
      </w:pPr>
      <w:bookmarkStart w:id="47" w:name="_4.1_Prudent_and"/>
      <w:bookmarkEnd w:id="47"/>
      <w:r>
        <w:t>4.1</w:t>
      </w:r>
      <w:r w:rsidRPr="2C0DA845">
        <w:t xml:space="preserve"> </w:t>
      </w:r>
      <w:r w:rsidR="00BB1977">
        <w:t>P</w:t>
      </w:r>
      <w:r w:rsidR="00860235">
        <w:t>ruden</w:t>
      </w:r>
      <w:r w:rsidR="005B5E4B">
        <w:t xml:space="preserve">t and efficient </w:t>
      </w:r>
      <w:r w:rsidR="00BB1977">
        <w:t>expenditure</w:t>
      </w:r>
    </w:p>
    <w:p w14:paraId="24B0ED1F" w14:textId="22D54295" w:rsidR="007D0F82" w:rsidRDefault="00D5067C" w:rsidP="0021473E">
      <w:pPr>
        <w:pStyle w:val="BodyText"/>
      </w:pPr>
      <w:r>
        <w:t>South East Water acknowledge</w:t>
      </w:r>
      <w:r w:rsidR="00D54449">
        <w:t>s</w:t>
      </w:r>
      <w:r>
        <w:t xml:space="preserve"> that we are proposing increases in </w:t>
      </w:r>
      <w:r w:rsidR="00570DE0">
        <w:t>operating and capital costs for the 2023</w:t>
      </w:r>
      <w:r w:rsidR="007D4EB3">
        <w:t>–</w:t>
      </w:r>
      <w:r w:rsidR="00570DE0">
        <w:t xml:space="preserve">28 regulatory period. This submission provides the detailed </w:t>
      </w:r>
      <w:r w:rsidR="00F01A03">
        <w:t>analysis and justification for the forecasts</w:t>
      </w:r>
      <w:r w:rsidR="00A37DCF">
        <w:t>. We</w:t>
      </w:r>
      <w:r w:rsidR="00726DD8">
        <w:t xml:space="preserve"> have </w:t>
      </w:r>
      <w:r w:rsidR="00A37DCF">
        <w:t xml:space="preserve">included </w:t>
      </w:r>
      <w:r w:rsidR="00E6263E">
        <w:t>the</w:t>
      </w:r>
      <w:r w:rsidR="00726DD8">
        <w:t xml:space="preserve"> documentation </w:t>
      </w:r>
      <w:r w:rsidR="00E6263E">
        <w:t>forming the basis o</w:t>
      </w:r>
      <w:r w:rsidR="00592FD3">
        <w:t>f</w:t>
      </w:r>
      <w:r w:rsidR="00E6263E">
        <w:t xml:space="preserve"> our analysis </w:t>
      </w:r>
      <w:r w:rsidR="00592FD3">
        <w:t>in</w:t>
      </w:r>
      <w:r w:rsidR="00726DD8">
        <w:t xml:space="preserve"> our submission</w:t>
      </w:r>
      <w:r w:rsidR="00736202">
        <w:t>,</w:t>
      </w:r>
      <w:r w:rsidR="00726DD8">
        <w:t xml:space="preserve"> </w:t>
      </w:r>
      <w:r w:rsidR="00592FD3">
        <w:t>making it</w:t>
      </w:r>
      <w:r w:rsidR="00726DD8">
        <w:t xml:space="preserve"> an </w:t>
      </w:r>
      <w:r w:rsidR="00BC2911">
        <w:t>‘</w:t>
      </w:r>
      <w:r w:rsidR="00995282">
        <w:t>open book</w:t>
      </w:r>
      <w:r w:rsidR="00BC2911">
        <w:t>’</w:t>
      </w:r>
      <w:r w:rsidR="00995282">
        <w:t>.</w:t>
      </w:r>
      <w:r w:rsidR="006C61AC">
        <w:t xml:space="preserve"> </w:t>
      </w:r>
    </w:p>
    <w:p w14:paraId="33C2FDFA" w14:textId="733EC20B" w:rsidR="00D40837" w:rsidRDefault="006C61AC" w:rsidP="0021473E">
      <w:pPr>
        <w:pStyle w:val="BodyText"/>
      </w:pPr>
      <w:r>
        <w:t xml:space="preserve">The analysis, capital planning and governance processes </w:t>
      </w:r>
      <w:r w:rsidR="00E705EB">
        <w:t>use</w:t>
      </w:r>
      <w:r w:rsidR="00A12947">
        <w:t>d</w:t>
      </w:r>
      <w:r>
        <w:t xml:space="preserve"> to develop the </w:t>
      </w:r>
      <w:r w:rsidR="006E332D">
        <w:t>operating and c</w:t>
      </w:r>
      <w:r w:rsidR="007D0F82">
        <w:t xml:space="preserve">apital costs for this submission can be considered </w:t>
      </w:r>
      <w:r w:rsidR="0053117F">
        <w:t>‘</w:t>
      </w:r>
      <w:r w:rsidR="0053117F" w:rsidRPr="0053117F">
        <w:rPr>
          <w:i/>
          <w:iCs/>
        </w:rPr>
        <w:t>Advanced’</w:t>
      </w:r>
      <w:r w:rsidR="003375A9">
        <w:t xml:space="preserve">. </w:t>
      </w:r>
      <w:r w:rsidR="00B767A8">
        <w:t xml:space="preserve">Acknowledging the increase in cost, </w:t>
      </w:r>
      <w:r w:rsidR="00A12947" w:rsidRPr="00A12947">
        <w:t xml:space="preserve">South East Water is committed to managing price impacts for our customers and maintaining affordable services. As a result, we are adopting a </w:t>
      </w:r>
      <w:r w:rsidR="00C024A1">
        <w:t>‘</w:t>
      </w:r>
      <w:r w:rsidR="00C024A1" w:rsidRPr="00C024A1">
        <w:rPr>
          <w:i/>
          <w:iCs/>
        </w:rPr>
        <w:t>S</w:t>
      </w:r>
      <w:r w:rsidR="00B767A8" w:rsidRPr="00C024A1">
        <w:rPr>
          <w:i/>
          <w:iCs/>
        </w:rPr>
        <w:t>tandard</w:t>
      </w:r>
      <w:r w:rsidR="00C024A1" w:rsidRPr="00C024A1">
        <w:rPr>
          <w:i/>
          <w:iCs/>
        </w:rPr>
        <w:t>’</w:t>
      </w:r>
      <w:r w:rsidR="00B767A8">
        <w:t xml:space="preserve"> </w:t>
      </w:r>
      <w:r w:rsidR="00A12947" w:rsidRPr="00A12947">
        <w:t>return on equity that can support this. This will ensure that we can deliver the outcomes that customers value and undertake the necessary investments for this to occur, while addressing the cost pressures that our customers are facing on many fronts.</w:t>
      </w:r>
    </w:p>
    <w:p w14:paraId="4BAD5400" w14:textId="2FC20910" w:rsidR="00DB7833" w:rsidRDefault="00995282" w:rsidP="0076710F">
      <w:pPr>
        <w:pStyle w:val="BodyText"/>
      </w:pPr>
      <w:r>
        <w:t xml:space="preserve">Key </w:t>
      </w:r>
      <w:r w:rsidR="00DB7833">
        <w:t xml:space="preserve">investment </w:t>
      </w:r>
      <w:r w:rsidR="0076710F">
        <w:t>programs</w:t>
      </w:r>
      <w:r>
        <w:t xml:space="preserve"> for the 2023</w:t>
      </w:r>
      <w:r w:rsidR="007D4EB3">
        <w:t>–</w:t>
      </w:r>
      <w:r>
        <w:t xml:space="preserve">28 period </w:t>
      </w:r>
      <w:r w:rsidR="00DB7833">
        <w:t xml:space="preserve">that </w:t>
      </w:r>
      <w:r w:rsidR="00980493">
        <w:t>w</w:t>
      </w:r>
      <w:r w:rsidR="002A3CA6">
        <w:t xml:space="preserve">ill allow us to deliver on </w:t>
      </w:r>
      <w:r w:rsidR="008F7CC8">
        <w:t xml:space="preserve">the </w:t>
      </w:r>
      <w:r w:rsidR="002A3CA6">
        <w:t>standards of service</w:t>
      </w:r>
      <w:r w:rsidR="00DB7833">
        <w:t xml:space="preserve"> </w:t>
      </w:r>
      <w:r w:rsidR="00D40837">
        <w:t xml:space="preserve">agreed with customers and </w:t>
      </w:r>
      <w:r w:rsidR="00AF78D3">
        <w:t xml:space="preserve">to build a platform for </w:t>
      </w:r>
      <w:r w:rsidR="00CB335B">
        <w:t xml:space="preserve">improved services at lower costs into the future </w:t>
      </w:r>
      <w:r w:rsidR="00F63C1C">
        <w:t xml:space="preserve">include </w:t>
      </w:r>
      <w:r w:rsidR="00A20CDF">
        <w:t xml:space="preserve">the </w:t>
      </w:r>
      <w:r w:rsidR="00980493">
        <w:t>digital metering programs</w:t>
      </w:r>
      <w:r w:rsidR="00EC6274">
        <w:t xml:space="preserve">, </w:t>
      </w:r>
      <w:r w:rsidR="00980493">
        <w:t>major sewerage treatment</w:t>
      </w:r>
      <w:r w:rsidR="00DC6890">
        <w:t xml:space="preserve"> upgrades</w:t>
      </w:r>
      <w:r w:rsidR="00980493">
        <w:t xml:space="preserve">, </w:t>
      </w:r>
      <w:r w:rsidR="00035FA2">
        <w:t xml:space="preserve">new </w:t>
      </w:r>
      <w:r w:rsidR="00980493">
        <w:t>water recycling and pipeline assets</w:t>
      </w:r>
      <w:r w:rsidR="00C21D01">
        <w:t>,</w:t>
      </w:r>
      <w:r w:rsidR="00980493">
        <w:t xml:space="preserve"> and renewals and upgrade</w:t>
      </w:r>
      <w:r w:rsidR="00D81C12">
        <w:t xml:space="preserve"> programs.</w:t>
      </w:r>
    </w:p>
    <w:p w14:paraId="21F1DA4F" w14:textId="0BA0131D" w:rsidR="00995282" w:rsidRDefault="00F12D81" w:rsidP="00CB0971">
      <w:pPr>
        <w:pStyle w:val="BodyText"/>
      </w:pPr>
      <w:r>
        <w:t xml:space="preserve">However, to limit these costs, </w:t>
      </w:r>
      <w:r w:rsidR="00995282">
        <w:t xml:space="preserve">our forecasts also build in </w:t>
      </w:r>
      <w:r w:rsidR="00146BD8">
        <w:t xml:space="preserve">a range of efficiencies </w:t>
      </w:r>
      <w:r w:rsidR="009E5F6E">
        <w:t xml:space="preserve">that </w:t>
      </w:r>
      <w:r w:rsidR="00256A30">
        <w:t xml:space="preserve">we </w:t>
      </w:r>
      <w:r w:rsidR="00B737E3">
        <w:t>undertake to pass on</w:t>
      </w:r>
      <w:r w:rsidR="00A878EE">
        <w:t xml:space="preserve"> </w:t>
      </w:r>
      <w:r w:rsidR="00B737E3">
        <w:t>to customers in full</w:t>
      </w:r>
      <w:r w:rsidR="005B25DD">
        <w:t>.</w:t>
      </w:r>
    </w:p>
    <w:p w14:paraId="1709FE41" w14:textId="77777777" w:rsidR="000D7F02" w:rsidRPr="0021473E" w:rsidRDefault="000D7F02" w:rsidP="00CB0971">
      <w:pPr>
        <w:pStyle w:val="BodyText"/>
      </w:pPr>
    </w:p>
    <w:p w14:paraId="48BC07BA" w14:textId="65EEAAB0" w:rsidR="005A262A" w:rsidRDefault="00836242" w:rsidP="00CB0971">
      <w:pPr>
        <w:pStyle w:val="NbrHeading3"/>
      </w:pPr>
      <w:r>
        <w:lastRenderedPageBreak/>
        <w:t>Delivering</w:t>
      </w:r>
      <w:r w:rsidR="0022757B">
        <w:t xml:space="preserve"> strong</w:t>
      </w:r>
      <w:r>
        <w:t xml:space="preserve"> ope</w:t>
      </w:r>
      <w:r w:rsidR="008C0CE8">
        <w:t>rating expenditure</w:t>
      </w:r>
      <w:r>
        <w:t xml:space="preserve"> efficiency</w:t>
      </w:r>
    </w:p>
    <w:p w14:paraId="7F03DFFD" w14:textId="642A3004" w:rsidR="00D8345C" w:rsidRDefault="00EF612E" w:rsidP="007D14B6">
      <w:pPr>
        <w:pStyle w:val="BodyText"/>
      </w:pPr>
      <w:r>
        <w:t>Significant operating cost savings will be delivered to customers in the following ways:</w:t>
      </w:r>
    </w:p>
    <w:p w14:paraId="0AFF4A73" w14:textId="58CED1DB" w:rsidR="00AE021F" w:rsidRDefault="004F536B">
      <w:pPr>
        <w:pStyle w:val="ListParagraph"/>
        <w:numPr>
          <w:ilvl w:val="0"/>
          <w:numId w:val="60"/>
        </w:numPr>
        <w:rPr>
          <w:rFonts w:eastAsia="Arial" w:cs="Arial"/>
        </w:rPr>
      </w:pPr>
      <w:r w:rsidRPr="00CB0971">
        <w:rPr>
          <w:rFonts w:eastAsia="Arial" w:cs="Arial"/>
          <w:b/>
          <w:bCs/>
        </w:rPr>
        <w:t>Efficiency improvement rate that is higher than the ESC</w:t>
      </w:r>
      <w:r w:rsidR="00612583">
        <w:rPr>
          <w:rFonts w:eastAsia="Arial" w:cs="Arial"/>
          <w:b/>
          <w:bCs/>
        </w:rPr>
        <w:t>’</w:t>
      </w:r>
      <w:r w:rsidRPr="00CB0971">
        <w:rPr>
          <w:rFonts w:eastAsia="Arial" w:cs="Arial"/>
          <w:b/>
          <w:bCs/>
        </w:rPr>
        <w:t>s hurdle rate:</w:t>
      </w:r>
      <w:r>
        <w:rPr>
          <w:rFonts w:eastAsia="Arial" w:cs="Arial"/>
        </w:rPr>
        <w:t xml:space="preserve"> </w:t>
      </w:r>
      <w:r w:rsidR="00CE62C9">
        <w:rPr>
          <w:rFonts w:eastAsia="Arial" w:cs="Arial"/>
        </w:rPr>
        <w:t>South</w:t>
      </w:r>
      <w:r w:rsidR="00B16E3F">
        <w:rPr>
          <w:rFonts w:eastAsia="Arial" w:cs="Arial"/>
        </w:rPr>
        <w:t> </w:t>
      </w:r>
      <w:r w:rsidR="00CE62C9">
        <w:rPr>
          <w:rFonts w:eastAsia="Arial" w:cs="Arial"/>
        </w:rPr>
        <w:t>East Water commit</w:t>
      </w:r>
      <w:r w:rsidR="009C0AA4">
        <w:rPr>
          <w:rFonts w:eastAsia="Arial" w:cs="Arial"/>
        </w:rPr>
        <w:t>s</w:t>
      </w:r>
      <w:r w:rsidR="00CE62C9">
        <w:rPr>
          <w:rFonts w:eastAsia="Arial" w:cs="Arial"/>
        </w:rPr>
        <w:t xml:space="preserve"> to a 2%</w:t>
      </w:r>
      <w:r w:rsidR="0021473E" w:rsidRPr="00AA3DD0">
        <w:rPr>
          <w:rFonts w:eastAsia="Arial" w:cs="Arial"/>
        </w:rPr>
        <w:t xml:space="preserve"> efficiency improvement rate </w:t>
      </w:r>
      <w:r w:rsidR="00AE021F">
        <w:rPr>
          <w:rFonts w:eastAsia="Arial" w:cs="Arial"/>
        </w:rPr>
        <w:t>which is ahead of the ESC</w:t>
      </w:r>
      <w:r w:rsidR="00612583">
        <w:rPr>
          <w:rFonts w:eastAsia="Arial" w:cs="Arial"/>
        </w:rPr>
        <w:t>’</w:t>
      </w:r>
      <w:r w:rsidR="00AE021F">
        <w:rPr>
          <w:rFonts w:eastAsia="Arial" w:cs="Arial"/>
        </w:rPr>
        <w:t xml:space="preserve">s efficiency hurdle rate. This efficiency rate </w:t>
      </w:r>
      <w:r>
        <w:rPr>
          <w:rFonts w:eastAsia="Arial" w:cs="Arial"/>
        </w:rPr>
        <w:t>delivers a</w:t>
      </w:r>
      <w:r w:rsidR="00AE021F">
        <w:rPr>
          <w:rFonts w:eastAsia="Arial" w:cs="Arial"/>
        </w:rPr>
        <w:t xml:space="preserve"> reduction in controllable expenditure of </w:t>
      </w:r>
      <w:r w:rsidR="00AE021F" w:rsidRPr="00DA1290">
        <w:rPr>
          <w:rFonts w:eastAsia="Arial" w:cs="Arial"/>
        </w:rPr>
        <w:t>$22.5 million</w:t>
      </w:r>
      <w:r w:rsidR="00AE021F">
        <w:rPr>
          <w:rFonts w:eastAsia="Arial" w:cs="Arial"/>
        </w:rPr>
        <w:t xml:space="preserve"> over the </w:t>
      </w:r>
      <w:r w:rsidR="00F15560">
        <w:t>2023</w:t>
      </w:r>
      <w:r w:rsidR="007D4EB3">
        <w:t>–</w:t>
      </w:r>
      <w:r w:rsidR="00F15560">
        <w:t xml:space="preserve">28 </w:t>
      </w:r>
      <w:r w:rsidR="00AE021F">
        <w:rPr>
          <w:rFonts w:eastAsia="Arial" w:cs="Arial"/>
        </w:rPr>
        <w:t>regulatory period</w:t>
      </w:r>
      <w:r w:rsidR="00A515B4">
        <w:rPr>
          <w:rFonts w:eastAsia="Arial" w:cs="Arial"/>
        </w:rPr>
        <w:t>.</w:t>
      </w:r>
    </w:p>
    <w:p w14:paraId="3DA80012" w14:textId="5C1A7EF9" w:rsidR="0021473E" w:rsidRDefault="0076616F">
      <w:pPr>
        <w:pStyle w:val="ListParagraph"/>
        <w:numPr>
          <w:ilvl w:val="0"/>
          <w:numId w:val="60"/>
        </w:numPr>
        <w:rPr>
          <w:rFonts w:eastAsia="Arial" w:cs="Arial"/>
        </w:rPr>
      </w:pPr>
      <w:r>
        <w:rPr>
          <w:rFonts w:eastAsia="Arial" w:cs="Arial"/>
          <w:b/>
          <w:bCs/>
        </w:rPr>
        <w:t>Expenditure g</w:t>
      </w:r>
      <w:r w:rsidR="00A95157" w:rsidRPr="00CB0971">
        <w:rPr>
          <w:rFonts w:eastAsia="Arial" w:cs="Arial"/>
          <w:b/>
          <w:bCs/>
        </w:rPr>
        <w:t xml:space="preserve">rowth rate below </w:t>
      </w:r>
      <w:r w:rsidR="003D429B" w:rsidRPr="00CB0971">
        <w:rPr>
          <w:rFonts w:eastAsia="Arial" w:cs="Arial"/>
          <w:b/>
          <w:bCs/>
        </w:rPr>
        <w:t xml:space="preserve">expected </w:t>
      </w:r>
      <w:r w:rsidR="00A95157" w:rsidRPr="00CB0971">
        <w:rPr>
          <w:rFonts w:eastAsia="Arial" w:cs="Arial"/>
          <w:b/>
          <w:bCs/>
        </w:rPr>
        <w:t>customer growth:</w:t>
      </w:r>
      <w:r w:rsidR="00A95157" w:rsidRPr="00FC39BB">
        <w:rPr>
          <w:rFonts w:eastAsia="Arial" w:cs="Arial"/>
        </w:rPr>
        <w:t xml:space="preserve"> </w:t>
      </w:r>
      <w:r w:rsidR="00E720B6" w:rsidRPr="00FC39BB">
        <w:rPr>
          <w:rFonts w:eastAsia="Arial" w:cs="Arial"/>
        </w:rPr>
        <w:t xml:space="preserve">South East Water has applied </w:t>
      </w:r>
      <w:r w:rsidR="004970D1" w:rsidRPr="00FC39BB">
        <w:rPr>
          <w:rFonts w:eastAsia="Arial" w:cs="Arial"/>
        </w:rPr>
        <w:t>an expenditure gro</w:t>
      </w:r>
      <w:r w:rsidR="008C229F" w:rsidRPr="00FC39BB">
        <w:rPr>
          <w:rFonts w:eastAsia="Arial" w:cs="Arial"/>
        </w:rPr>
        <w:t>wth rate th</w:t>
      </w:r>
      <w:r w:rsidR="00792BAF">
        <w:rPr>
          <w:rFonts w:eastAsia="Arial" w:cs="Arial"/>
        </w:rPr>
        <w:t>at</w:t>
      </w:r>
      <w:r w:rsidR="008C229F" w:rsidRPr="00FC39BB">
        <w:rPr>
          <w:rFonts w:eastAsia="Arial" w:cs="Arial"/>
        </w:rPr>
        <w:t xml:space="preserve"> is below our expected customer growth rate. </w:t>
      </w:r>
      <w:r w:rsidR="00FE72C9" w:rsidRPr="00FC39BB">
        <w:rPr>
          <w:rFonts w:eastAsia="Arial" w:cs="Arial"/>
        </w:rPr>
        <w:t xml:space="preserve">An </w:t>
      </w:r>
      <w:r w:rsidR="00AC322B" w:rsidRPr="00FC39BB">
        <w:rPr>
          <w:rFonts w:eastAsia="Arial" w:cs="Arial"/>
        </w:rPr>
        <w:t xml:space="preserve">annual average </w:t>
      </w:r>
      <w:r w:rsidR="00612583">
        <w:rPr>
          <w:rFonts w:eastAsia="Arial" w:cs="Arial"/>
        </w:rPr>
        <w:t>‘</w:t>
      </w:r>
      <w:r w:rsidR="007D29C4" w:rsidRPr="00FC39BB">
        <w:rPr>
          <w:rFonts w:eastAsia="Arial" w:cs="Arial"/>
        </w:rPr>
        <w:t>uncertainty discount</w:t>
      </w:r>
      <w:r w:rsidR="00612583">
        <w:rPr>
          <w:rFonts w:eastAsia="Arial" w:cs="Arial"/>
        </w:rPr>
        <w:t>’</w:t>
      </w:r>
      <w:r w:rsidR="007D29C4" w:rsidRPr="00FC39BB">
        <w:rPr>
          <w:rFonts w:eastAsia="Arial" w:cs="Arial"/>
        </w:rPr>
        <w:t xml:space="preserve"> of 0.22% </w:t>
      </w:r>
      <w:r w:rsidR="00AC322B" w:rsidRPr="00FC39BB">
        <w:rPr>
          <w:rFonts w:eastAsia="Arial" w:cs="Arial"/>
        </w:rPr>
        <w:t>has been applied</w:t>
      </w:r>
      <w:r w:rsidR="007D29C4" w:rsidRPr="00FC39BB">
        <w:rPr>
          <w:rFonts w:eastAsia="Arial" w:cs="Arial"/>
        </w:rPr>
        <w:t>.</w:t>
      </w:r>
    </w:p>
    <w:p w14:paraId="2120C681" w14:textId="42AB1A88" w:rsidR="002D43B3" w:rsidRDefault="00AA5A78">
      <w:pPr>
        <w:pStyle w:val="ListParagraph"/>
        <w:numPr>
          <w:ilvl w:val="0"/>
          <w:numId w:val="60"/>
        </w:numPr>
      </w:pPr>
      <w:r>
        <w:rPr>
          <w:rFonts w:eastAsia="Arial" w:cs="Arial"/>
          <w:b/>
          <w:bCs/>
        </w:rPr>
        <w:t>Revised Maintenance</w:t>
      </w:r>
      <w:r w:rsidR="006E2B72" w:rsidRPr="00CB0971">
        <w:rPr>
          <w:rFonts w:eastAsia="Arial" w:cs="Arial"/>
          <w:b/>
          <w:bCs/>
        </w:rPr>
        <w:t xml:space="preserve"> model: </w:t>
      </w:r>
      <w:r w:rsidR="00220A28" w:rsidRPr="0041477C">
        <w:rPr>
          <w:rFonts w:eastAsia="Arial" w:cs="Arial"/>
        </w:rPr>
        <w:t xml:space="preserve">Providing further confidence </w:t>
      </w:r>
      <w:r w:rsidR="0041477C" w:rsidRPr="0041477C">
        <w:rPr>
          <w:rFonts w:eastAsia="Arial" w:cs="Arial"/>
        </w:rPr>
        <w:t>in</w:t>
      </w:r>
      <w:r w:rsidR="00220A28" w:rsidRPr="0041477C">
        <w:rPr>
          <w:rFonts w:eastAsia="Arial" w:cs="Arial"/>
        </w:rPr>
        <w:t xml:space="preserve"> our ability to achieve the </w:t>
      </w:r>
      <w:r w:rsidR="0041477C" w:rsidRPr="0041477C">
        <w:rPr>
          <w:rFonts w:eastAsia="Arial" w:cs="Arial"/>
        </w:rPr>
        <w:t>2% efficiency rate, a</w:t>
      </w:r>
      <w:r w:rsidR="0041477C" w:rsidRPr="006E2B72">
        <w:t xml:space="preserve"> </w:t>
      </w:r>
      <w:r>
        <w:t>revised maintenance</w:t>
      </w:r>
      <w:r w:rsidR="006E2B72" w:rsidRPr="006E2B72">
        <w:t xml:space="preserve"> model </w:t>
      </w:r>
      <w:r w:rsidR="0041477C">
        <w:t>will apply in the 2023</w:t>
      </w:r>
      <w:r w:rsidR="007D4EB3">
        <w:t>–</w:t>
      </w:r>
      <w:r w:rsidR="0041477C">
        <w:t xml:space="preserve">28 </w:t>
      </w:r>
      <w:r w:rsidR="0041477C">
        <w:rPr>
          <w:rFonts w:eastAsia="Arial" w:cs="Arial"/>
        </w:rPr>
        <w:t>regulatory period</w:t>
      </w:r>
      <w:r w:rsidR="0041477C" w:rsidRPr="006E2B72">
        <w:t xml:space="preserve"> </w:t>
      </w:r>
      <w:r w:rsidR="0041477C">
        <w:t xml:space="preserve">that </w:t>
      </w:r>
      <w:r w:rsidR="006E2B72" w:rsidRPr="006E2B72">
        <w:t>incorporates performance measurement penalties and rewards</w:t>
      </w:r>
      <w:r w:rsidR="0041477C">
        <w:t>.</w:t>
      </w:r>
    </w:p>
    <w:p w14:paraId="2D9C8276" w14:textId="71B6B664" w:rsidR="00836242" w:rsidRDefault="00836242" w:rsidP="00C917D5">
      <w:pPr>
        <w:pStyle w:val="Heading3"/>
      </w:pPr>
      <w:r>
        <w:t xml:space="preserve">Delivering </w:t>
      </w:r>
      <w:r w:rsidR="0022757B">
        <w:t>a prudent and efficient capital program</w:t>
      </w:r>
    </w:p>
    <w:p w14:paraId="47DCC4B0" w14:textId="5D6FEE04" w:rsidR="0041477C" w:rsidRDefault="006A5CC3" w:rsidP="0041477C">
      <w:pPr>
        <w:pStyle w:val="BodyText"/>
      </w:pPr>
      <w:r>
        <w:t>The capital expenditure forecasts contain commit</w:t>
      </w:r>
      <w:r w:rsidR="002463EE">
        <w:t>ment</w:t>
      </w:r>
      <w:r>
        <w:t>s that</w:t>
      </w:r>
      <w:r w:rsidR="00846B7F">
        <w:t xml:space="preserve"> will</w:t>
      </w:r>
      <w:r>
        <w:t xml:space="preserve"> deliver efficiency savings to customers. </w:t>
      </w:r>
      <w:r w:rsidR="00D62B57">
        <w:t>Efficiency savings will be delivered by:</w:t>
      </w:r>
    </w:p>
    <w:p w14:paraId="449561B8" w14:textId="45C769EF" w:rsidR="00D62B57" w:rsidRDefault="003C278B">
      <w:pPr>
        <w:pStyle w:val="ListParagraph"/>
        <w:numPr>
          <w:ilvl w:val="0"/>
          <w:numId w:val="59"/>
        </w:numPr>
      </w:pPr>
      <w:r w:rsidRPr="00CB0971">
        <w:rPr>
          <w:b/>
          <w:bCs/>
        </w:rPr>
        <w:t>Implement</w:t>
      </w:r>
      <w:r w:rsidR="00846B7F">
        <w:rPr>
          <w:b/>
          <w:bCs/>
        </w:rPr>
        <w:t>ing</w:t>
      </w:r>
      <w:r w:rsidRPr="00CB0971">
        <w:rPr>
          <w:b/>
          <w:bCs/>
        </w:rPr>
        <w:t xml:space="preserve"> a new capital deliver</w:t>
      </w:r>
      <w:r w:rsidR="00110018">
        <w:rPr>
          <w:b/>
          <w:bCs/>
        </w:rPr>
        <w:t>y</w:t>
      </w:r>
      <w:r w:rsidRPr="00CB0971">
        <w:rPr>
          <w:b/>
          <w:bCs/>
        </w:rPr>
        <w:t xml:space="preserve"> model with our contractors:</w:t>
      </w:r>
      <w:r>
        <w:t xml:space="preserve"> </w:t>
      </w:r>
      <w:r w:rsidR="00F232D3">
        <w:t xml:space="preserve">The </w:t>
      </w:r>
      <w:r w:rsidR="007343E3">
        <w:t>c</w:t>
      </w:r>
      <w:r w:rsidR="00F232D3" w:rsidRPr="00F232D3">
        <w:t xml:space="preserve">apital </w:t>
      </w:r>
      <w:r w:rsidR="007343E3">
        <w:t>d</w:t>
      </w:r>
      <w:r w:rsidR="00F232D3" w:rsidRPr="00F232D3">
        <w:t xml:space="preserve">elivery </w:t>
      </w:r>
      <w:r w:rsidR="007343E3">
        <w:t>m</w:t>
      </w:r>
      <w:r w:rsidR="00F232D3" w:rsidRPr="00F232D3">
        <w:t xml:space="preserve">odel </w:t>
      </w:r>
      <w:r w:rsidR="00F232D3">
        <w:t xml:space="preserve">will be introduced </w:t>
      </w:r>
      <w:r w:rsidR="00BF3300">
        <w:t>at the commencement of the regulatory period (</w:t>
      </w:r>
      <w:r w:rsidR="00F232D3" w:rsidRPr="00F232D3">
        <w:t>July 2023</w:t>
      </w:r>
      <w:r w:rsidR="00BF3300">
        <w:t>)</w:t>
      </w:r>
      <w:r w:rsidR="002463EE">
        <w:t xml:space="preserve">. </w:t>
      </w:r>
      <w:r w:rsidR="00375E4C">
        <w:t xml:space="preserve">This </w:t>
      </w:r>
      <w:r w:rsidR="00261402" w:rsidRPr="00B57414">
        <w:rPr>
          <w:rFonts w:asciiTheme="minorHAnsi" w:eastAsiaTheme="minorEastAsia" w:hAnsiTheme="minorHAnsi" w:cstheme="minorHAnsi"/>
        </w:rPr>
        <w:t xml:space="preserve">integrated planning and delivery </w:t>
      </w:r>
      <w:r w:rsidR="00052645">
        <w:rPr>
          <w:rFonts w:asciiTheme="minorHAnsi" w:eastAsiaTheme="minorEastAsia" w:hAnsiTheme="minorHAnsi" w:cstheme="minorHAnsi"/>
        </w:rPr>
        <w:t xml:space="preserve">model </w:t>
      </w:r>
      <w:r w:rsidR="009251BC">
        <w:t xml:space="preserve">is forecast to </w:t>
      </w:r>
      <w:r w:rsidR="00375E4C">
        <w:t xml:space="preserve">deliver a </w:t>
      </w:r>
      <w:r w:rsidR="00B7598E">
        <w:t>5% efficiency savin</w:t>
      </w:r>
      <w:r w:rsidR="00052645">
        <w:t>g</w:t>
      </w:r>
      <w:r w:rsidR="009251BC">
        <w:t xml:space="preserve"> on </w:t>
      </w:r>
      <w:r w:rsidR="00320B62">
        <w:t xml:space="preserve">capital expenditure </w:t>
      </w:r>
      <w:r w:rsidR="009251BC">
        <w:t>program costs</w:t>
      </w:r>
      <w:r w:rsidR="00052645">
        <w:t>.</w:t>
      </w:r>
      <w:r w:rsidR="00380693">
        <w:t xml:space="preserve"> Around </w:t>
      </w:r>
      <w:r w:rsidR="00430F3C">
        <w:t>40</w:t>
      </w:r>
      <w:r w:rsidR="00380693" w:rsidRPr="00380693">
        <w:t>% of</w:t>
      </w:r>
      <w:r w:rsidR="00380693">
        <w:t xml:space="preserve"> the </w:t>
      </w:r>
      <w:r w:rsidR="005921BE" w:rsidRPr="00380693">
        <w:t>2023</w:t>
      </w:r>
      <w:r w:rsidR="007D4EB3">
        <w:t>–</w:t>
      </w:r>
      <w:r w:rsidR="005921BE" w:rsidRPr="00380693">
        <w:t>28</w:t>
      </w:r>
      <w:r w:rsidR="00380693" w:rsidRPr="00380693">
        <w:t xml:space="preserve"> capital expenditure program</w:t>
      </w:r>
      <w:r w:rsidR="005921BE">
        <w:t xml:space="preserve"> will be delivered under this model.</w:t>
      </w:r>
      <w:r w:rsidR="00380693" w:rsidRPr="00380693">
        <w:t xml:space="preserve"> </w:t>
      </w:r>
    </w:p>
    <w:p w14:paraId="5B61333C" w14:textId="77777777" w:rsidR="00E726EE" w:rsidRDefault="00E726EE">
      <w:pPr>
        <w:pStyle w:val="ListParagraph"/>
        <w:numPr>
          <w:ilvl w:val="0"/>
          <w:numId w:val="59"/>
        </w:numPr>
      </w:pPr>
      <w:r>
        <w:rPr>
          <w:b/>
          <w:bCs/>
        </w:rPr>
        <w:t>Maintaining our programmatic risk bank approach:</w:t>
      </w:r>
      <w:r>
        <w:t xml:space="preserve"> </w:t>
      </w:r>
      <w:r w:rsidRPr="00263860">
        <w:t>South East Water uses a programmatic risk bank approach that enables savings from one project to fund increased costs in other projects. In the current pricing submission period, this has enabled us to remain 1% lower than our capital allowance whilst supporting unexpected increased costs in individual projects such as the Boneo Treatment plant. This same approach will be used in this pricing period.</w:t>
      </w:r>
    </w:p>
    <w:p w14:paraId="6A0FFF4D" w14:textId="79889871" w:rsidR="00E726EE" w:rsidRDefault="00E726EE">
      <w:pPr>
        <w:pStyle w:val="ListParagraph"/>
        <w:numPr>
          <w:ilvl w:val="0"/>
          <w:numId w:val="59"/>
        </w:numPr>
      </w:pPr>
      <w:r w:rsidRPr="00263860">
        <w:rPr>
          <w:b/>
          <w:bCs/>
        </w:rPr>
        <w:t>Ensuring our capital works are delivered efficiently:</w:t>
      </w:r>
      <w:r w:rsidRPr="00263860">
        <w:t xml:space="preserve"> For the 60% of our capital spend not covered under the capital delivery model, we have also put in place actions to drive cost effectiveness. This includes the recent market tender of the maintenance works (12% of capital budget), absorption of any cost overruns in the Digital rollout (11% of capital budget) and market testing of other key projects as they arise. </w:t>
      </w:r>
    </w:p>
    <w:p w14:paraId="17ADC6BA" w14:textId="1265CF76" w:rsidR="00D53176" w:rsidRDefault="00D53176">
      <w:pPr>
        <w:pStyle w:val="ListParagraph"/>
        <w:numPr>
          <w:ilvl w:val="0"/>
          <w:numId w:val="59"/>
        </w:numPr>
      </w:pPr>
      <w:r w:rsidRPr="00242271">
        <w:rPr>
          <w:b/>
          <w:bCs/>
        </w:rPr>
        <w:t>Realising continued efficiencies through strategic procurement and collaboration with other water corporations:</w:t>
      </w:r>
      <w:r w:rsidRPr="00A12394">
        <w:t xml:space="preserve"> South East Water works with other water corporations in strategic procurement and joint programs to minimise the cost for the community and increase the benefits. Examples in this pricing submission period include the Hobson Bay Sewer (our project added to Melbourne Water’s procurement) and the Poowong Loch Nyora Pressure Sewer Scheme (South East Water procurement, delivery for South Gippsland Water). With Yarra Valley Water and Greater Western Water, we form</w:t>
      </w:r>
      <w:r>
        <w:t>ed</w:t>
      </w:r>
      <w:r w:rsidRPr="00A12394">
        <w:t xml:space="preserve"> the Digital Meter Joint Committee to work on shared digital meter projects to streamline knowledge and costs. This approach will continue throughout this pricing period. </w:t>
      </w:r>
    </w:p>
    <w:p w14:paraId="23C7F3BC" w14:textId="035B0E12" w:rsidR="00151725" w:rsidRDefault="003C278B">
      <w:pPr>
        <w:pStyle w:val="ListParagraph"/>
        <w:numPr>
          <w:ilvl w:val="0"/>
          <w:numId w:val="59"/>
        </w:numPr>
      </w:pPr>
      <w:r w:rsidRPr="00CB0971">
        <w:rPr>
          <w:b/>
          <w:bCs/>
        </w:rPr>
        <w:t xml:space="preserve">Investing in the </w:t>
      </w:r>
      <w:r w:rsidR="009251BC" w:rsidRPr="00CB0971">
        <w:rPr>
          <w:b/>
          <w:bCs/>
        </w:rPr>
        <w:t>Digital</w:t>
      </w:r>
      <w:r w:rsidRPr="00CB0971">
        <w:rPr>
          <w:b/>
          <w:bCs/>
        </w:rPr>
        <w:t xml:space="preserve"> Utility/Digital Meter program:</w:t>
      </w:r>
      <w:r>
        <w:t xml:space="preserve"> Over the long term this is expected to</w:t>
      </w:r>
      <w:r w:rsidR="00A10AF4">
        <w:t xml:space="preserve"> defer major network augmentations by</w:t>
      </w:r>
      <w:r>
        <w:t xml:space="preserve"> </w:t>
      </w:r>
      <w:r w:rsidR="00575C1C">
        <w:t>reduc</w:t>
      </w:r>
      <w:r w:rsidR="00A10AF4">
        <w:t>ing</w:t>
      </w:r>
      <w:r w:rsidR="00575C1C">
        <w:t xml:space="preserve"> water demand</w:t>
      </w:r>
      <w:r w:rsidR="00AD1B6D">
        <w:t xml:space="preserve"> and</w:t>
      </w:r>
      <w:r w:rsidR="0034497C">
        <w:t xml:space="preserve"> </w:t>
      </w:r>
      <w:r w:rsidR="00575C1C">
        <w:t>provid</w:t>
      </w:r>
      <w:r w:rsidR="00B360C4">
        <w:t xml:space="preserve">ing better </w:t>
      </w:r>
      <w:r w:rsidR="00575C1C">
        <w:t xml:space="preserve">information </w:t>
      </w:r>
      <w:r w:rsidR="00151725">
        <w:t>on network expansion needs.</w:t>
      </w:r>
      <w:r w:rsidR="00A10AF4">
        <w:t xml:space="preserve"> </w:t>
      </w:r>
      <w:r w:rsidR="00AD1B6D">
        <w:t xml:space="preserve">In addition, it </w:t>
      </w:r>
      <w:r w:rsidR="001F0725">
        <w:t>will allow us</w:t>
      </w:r>
      <w:r w:rsidR="0034497C">
        <w:t xml:space="preserve"> </w:t>
      </w:r>
      <w:r w:rsidR="001F0725">
        <w:t xml:space="preserve">to </w:t>
      </w:r>
      <w:r w:rsidR="00AD1B6D">
        <w:t>reduce maintenance and renewal costs by identifying problems earlier</w:t>
      </w:r>
      <w:r w:rsidR="00734C31">
        <w:t>.</w:t>
      </w:r>
    </w:p>
    <w:p w14:paraId="2C555B09" w14:textId="2CE0133D" w:rsidR="0041477C" w:rsidRDefault="00B56C1F" w:rsidP="0041477C">
      <w:pPr>
        <w:pStyle w:val="BodyText"/>
      </w:pPr>
      <w:r>
        <w:lastRenderedPageBreak/>
        <w:t xml:space="preserve">Our forecasts are also based on </w:t>
      </w:r>
      <w:r w:rsidR="00822EA8">
        <w:t xml:space="preserve">an investment planning approach that </w:t>
      </w:r>
      <w:r w:rsidR="00101437">
        <w:t>optimises the</w:t>
      </w:r>
      <w:r w:rsidR="00E558D5">
        <w:t xml:space="preserve"> capital program </w:t>
      </w:r>
      <w:r w:rsidR="00722208">
        <w:t>using a risk</w:t>
      </w:r>
      <w:r w:rsidR="00235D3C">
        <w:t xml:space="preserve">-based </w:t>
      </w:r>
      <w:r w:rsidR="00101437">
        <w:t>investment framework</w:t>
      </w:r>
      <w:r w:rsidR="00722208">
        <w:t xml:space="preserve"> and which plans efficiently </w:t>
      </w:r>
      <w:r w:rsidR="00814FC1">
        <w:br/>
      </w:r>
      <w:r w:rsidR="00722208">
        <w:t xml:space="preserve">for </w:t>
      </w:r>
      <w:r w:rsidR="00734C31">
        <w:t>the future. This is explained further below.</w:t>
      </w:r>
    </w:p>
    <w:p w14:paraId="1DD97EE5" w14:textId="17702256" w:rsidR="00B231C5" w:rsidRPr="00674CE3" w:rsidRDefault="00B231C5" w:rsidP="00CB0971">
      <w:pPr>
        <w:pStyle w:val="Heading4"/>
        <w:rPr>
          <w:rFonts w:eastAsia="Arial" w:cs="Arial"/>
          <w:bCs/>
        </w:rPr>
      </w:pPr>
      <w:r>
        <w:t>Short</w:t>
      </w:r>
      <w:r w:rsidR="00E43323">
        <w:t>-</w:t>
      </w:r>
      <w:r>
        <w:t xml:space="preserve">term </w:t>
      </w:r>
      <w:r w:rsidR="004941DC">
        <w:t xml:space="preserve">capital </w:t>
      </w:r>
      <w:r w:rsidR="00B31EEE">
        <w:t>expenditure</w:t>
      </w:r>
      <w:r>
        <w:t xml:space="preserve"> planning</w:t>
      </w:r>
    </w:p>
    <w:p w14:paraId="3BE5CC64" w14:textId="0C93C7B0" w:rsidR="00B231C5" w:rsidRDefault="00B231C5" w:rsidP="00B231C5">
      <w:r>
        <w:t>To ensure the expenditure proposals outlined</w:t>
      </w:r>
      <w:r w:rsidR="00E726EE">
        <w:t xml:space="preserve"> in</w:t>
      </w:r>
      <w:r>
        <w:t xml:space="preserve"> this submission are prudent and efficient, South East Water applied a </w:t>
      </w:r>
      <w:r w:rsidR="00E726EE">
        <w:t xml:space="preserve">two </w:t>
      </w:r>
      <w:r w:rsidR="00F6362B">
        <w:t>stage</w:t>
      </w:r>
      <w:r w:rsidR="00E726EE">
        <w:t>d</w:t>
      </w:r>
      <w:r>
        <w:t xml:space="preserve"> approach to investment planning. </w:t>
      </w:r>
    </w:p>
    <w:p w14:paraId="79DEF0D1" w14:textId="232F41B8" w:rsidR="00B231C5" w:rsidRDefault="00B231C5" w:rsidP="00B231C5">
      <w:r>
        <w:t>The first stage involved determining the size of the capital program required to manage risk and achieve our asset management objectives without any financial or deliverability constraints. Capital projects and programs identified were categorised into a set of investment portfolios based on the service they provide and the main cost driver</w:t>
      </w:r>
      <w:r w:rsidR="002708D5">
        <w:t xml:space="preserve"> (as shown in </w:t>
      </w:r>
      <w:r w:rsidR="005455FF">
        <w:t xml:space="preserve">Table </w:t>
      </w:r>
      <w:r w:rsidR="00F91A52">
        <w:t>18</w:t>
      </w:r>
      <w:r w:rsidR="005455FF">
        <w:t>)</w:t>
      </w:r>
      <w:r>
        <w:t>.</w:t>
      </w:r>
      <w:r w:rsidR="00A1315F">
        <w:t xml:space="preserve"> </w:t>
      </w:r>
    </w:p>
    <w:p w14:paraId="78C96F9E" w14:textId="3AC28C92" w:rsidR="00B231C5" w:rsidRPr="00E97627" w:rsidRDefault="00B231C5" w:rsidP="00B231C5">
      <w:r w:rsidRPr="00E97627">
        <w:t>Under these portfolios</w:t>
      </w:r>
      <w:r w:rsidR="00ED7EB6">
        <w:t>,</w:t>
      </w:r>
      <w:r w:rsidRPr="00E97627">
        <w:t xml:space="preserve"> a range of investment scenarios </w:t>
      </w:r>
      <w:r w:rsidR="00ED7EB6">
        <w:t>was</w:t>
      </w:r>
      <w:r w:rsidRPr="00E97627">
        <w:t xml:space="preserve"> developed based on varying levels of </w:t>
      </w:r>
      <w:r>
        <w:t>risk and growth assumptions to understand the</w:t>
      </w:r>
      <w:r w:rsidRPr="00E97627">
        <w:t xml:space="preserve"> </w:t>
      </w:r>
      <w:r>
        <w:t>cost</w:t>
      </w:r>
      <w:r w:rsidRPr="00E97627">
        <w:t xml:space="preserve"> </w:t>
      </w:r>
      <w:r>
        <w:t xml:space="preserve">implications for each investment portfolio. The </w:t>
      </w:r>
      <w:r w:rsidR="00584B94">
        <w:t>3</w:t>
      </w:r>
      <w:r w:rsidR="000050D0">
        <w:t xml:space="preserve"> </w:t>
      </w:r>
      <w:r w:rsidRPr="00E97627">
        <w:t>scenarios</w:t>
      </w:r>
      <w:r>
        <w:t xml:space="preserve"> are described as</w:t>
      </w:r>
      <w:r w:rsidRPr="00E97627">
        <w:t xml:space="preserve">: </w:t>
      </w:r>
    </w:p>
    <w:p w14:paraId="62CBFD9A" w14:textId="53DA33F8" w:rsidR="00B231C5" w:rsidRDefault="00D54449">
      <w:pPr>
        <w:pStyle w:val="ListParagraph"/>
        <w:numPr>
          <w:ilvl w:val="0"/>
          <w:numId w:val="61"/>
        </w:numPr>
        <w:spacing w:line="240" w:lineRule="auto"/>
        <w:contextualSpacing/>
      </w:pPr>
      <w:r>
        <w:t>l</w:t>
      </w:r>
      <w:r w:rsidR="00B231C5">
        <w:t>ow</w:t>
      </w:r>
      <w:r w:rsidR="004D7F33">
        <w:t>-</w:t>
      </w:r>
      <w:r w:rsidR="00613610">
        <w:t>risk</w:t>
      </w:r>
      <w:r w:rsidR="00E27178">
        <w:t>/</w:t>
      </w:r>
      <w:r w:rsidR="004D7F33">
        <w:t>high-cost</w:t>
      </w:r>
      <w:r w:rsidR="001F53E8">
        <w:t xml:space="preserve"> (</w:t>
      </w:r>
      <w:r w:rsidR="006C02E6">
        <w:t xml:space="preserve">defined as </w:t>
      </w:r>
      <w:r w:rsidR="00A73C2D">
        <w:t>H</w:t>
      </w:r>
      <w:r w:rsidR="006C02E6">
        <w:t xml:space="preserve">igh </w:t>
      </w:r>
      <w:r w:rsidR="00101437">
        <w:t xml:space="preserve">in </w:t>
      </w:r>
      <w:r>
        <w:t>T</w:t>
      </w:r>
      <w:r w:rsidR="00101437">
        <w:t>able</w:t>
      </w:r>
      <w:r w:rsidR="00F91A52">
        <w:t xml:space="preserve"> 18</w:t>
      </w:r>
      <w:r w:rsidR="00101437">
        <w:t>)</w:t>
      </w:r>
    </w:p>
    <w:p w14:paraId="46CCEADD" w14:textId="4D4668D5" w:rsidR="00B231C5" w:rsidRDefault="00D54449">
      <w:pPr>
        <w:pStyle w:val="ListParagraph"/>
        <w:numPr>
          <w:ilvl w:val="0"/>
          <w:numId w:val="61"/>
        </w:numPr>
        <w:spacing w:line="240" w:lineRule="auto"/>
        <w:contextualSpacing/>
      </w:pPr>
      <w:r>
        <w:t>b</w:t>
      </w:r>
      <w:r w:rsidR="00B231C5">
        <w:t>alanced</w:t>
      </w:r>
      <w:r w:rsidR="004D7F33">
        <w:t>-risk</w:t>
      </w:r>
      <w:r w:rsidR="00E27178">
        <w:t>/</w:t>
      </w:r>
      <w:r w:rsidR="004D7F33">
        <w:t>medium-cost (defined</w:t>
      </w:r>
      <w:r w:rsidR="00101437">
        <w:t xml:space="preserve"> as </w:t>
      </w:r>
      <w:r w:rsidR="004D7F33">
        <w:t>M</w:t>
      </w:r>
      <w:r w:rsidR="006C02E6">
        <w:t xml:space="preserve">edium </w:t>
      </w:r>
      <w:r w:rsidR="00101437">
        <w:t xml:space="preserve">in </w:t>
      </w:r>
      <w:r>
        <w:t>T</w:t>
      </w:r>
      <w:r w:rsidR="00101437">
        <w:t>able</w:t>
      </w:r>
      <w:r w:rsidR="00F91A52">
        <w:t xml:space="preserve"> 18</w:t>
      </w:r>
      <w:r w:rsidR="00101437">
        <w:t>)</w:t>
      </w:r>
    </w:p>
    <w:p w14:paraId="3E5B0C08" w14:textId="6E2ED61C" w:rsidR="00B231C5" w:rsidRDefault="00D54449">
      <w:pPr>
        <w:pStyle w:val="ListParagraph"/>
        <w:numPr>
          <w:ilvl w:val="0"/>
          <w:numId w:val="61"/>
        </w:numPr>
        <w:spacing w:line="240" w:lineRule="auto"/>
        <w:contextualSpacing/>
      </w:pPr>
      <w:r>
        <w:t>h</w:t>
      </w:r>
      <w:r w:rsidR="004D7F33">
        <w:t>igh-risk</w:t>
      </w:r>
      <w:r w:rsidR="00E27178">
        <w:t>/</w:t>
      </w:r>
      <w:r w:rsidR="004D7F33">
        <w:t>l</w:t>
      </w:r>
      <w:r w:rsidR="00B231C5">
        <w:t>ow</w:t>
      </w:r>
      <w:r w:rsidR="004D7F33">
        <w:t>-cost</w:t>
      </w:r>
      <w:r w:rsidR="00101437">
        <w:t xml:space="preserve"> (</w:t>
      </w:r>
      <w:r w:rsidR="004D7F33">
        <w:t>defined</w:t>
      </w:r>
      <w:r w:rsidR="00101437">
        <w:t xml:space="preserve"> as </w:t>
      </w:r>
      <w:r w:rsidR="00A73C2D">
        <w:t>L</w:t>
      </w:r>
      <w:r w:rsidR="006C02E6">
        <w:t>ow</w:t>
      </w:r>
      <w:r w:rsidR="00101437">
        <w:t xml:space="preserve"> in </w:t>
      </w:r>
      <w:r>
        <w:t>T</w:t>
      </w:r>
      <w:r w:rsidR="00101437">
        <w:t xml:space="preserve">able </w:t>
      </w:r>
      <w:r w:rsidR="00F91A52">
        <w:t>18</w:t>
      </w:r>
      <w:r w:rsidR="00101437">
        <w:t>)</w:t>
      </w:r>
    </w:p>
    <w:p w14:paraId="45E97063" w14:textId="0A779B68" w:rsidR="00B231C5" w:rsidRDefault="005A5872" w:rsidP="00B231C5">
      <w:r>
        <w:t>In the second stage of the investment planning, t</w:t>
      </w:r>
      <w:r w:rsidR="00B231C5">
        <w:t xml:space="preserve">he final preferred </w:t>
      </w:r>
      <w:r>
        <w:t>investment</w:t>
      </w:r>
      <w:r w:rsidR="00B231C5">
        <w:t xml:space="preserve"> option was selected </w:t>
      </w:r>
      <w:r w:rsidR="004D7F33">
        <w:t>based on</w:t>
      </w:r>
      <w:r w:rsidR="00B231C5">
        <w:t xml:space="preserve"> South East Water</w:t>
      </w:r>
      <w:r w:rsidR="00612583">
        <w:t>’</w:t>
      </w:r>
      <w:r w:rsidR="00B231C5">
        <w:t xml:space="preserve">s risk appetite and risk mitigation processes. For some portfolios, the recommended level of investment ended up between </w:t>
      </w:r>
      <w:r w:rsidR="00584B94">
        <w:t>2</w:t>
      </w:r>
      <w:r w:rsidR="00B231C5">
        <w:t xml:space="preserve"> ranges due to the diversity of capital projects assigned to the portfolio</w:t>
      </w:r>
      <w:r w:rsidR="000A27BA">
        <w:t>,</w:t>
      </w:r>
      <w:r w:rsidR="00B231C5">
        <w:t xml:space="preserve"> making it difficult to define a specific level of risk.</w:t>
      </w:r>
    </w:p>
    <w:p w14:paraId="27896BDE" w14:textId="11356A04" w:rsidR="00B231C5" w:rsidRDefault="00B231C5" w:rsidP="00B231C5">
      <w:r>
        <w:t xml:space="preserve">The final scenarios profiled and presented to the executive and board as part of the strategic prioritisation framework </w:t>
      </w:r>
      <w:r w:rsidR="000C179F">
        <w:t>are shown</w:t>
      </w:r>
      <w:r>
        <w:t xml:space="preserve"> in </w:t>
      </w:r>
      <w:r w:rsidR="00D51748">
        <w:t>Table 18</w:t>
      </w:r>
      <w:r>
        <w:t>:</w:t>
      </w:r>
    </w:p>
    <w:p w14:paraId="39F610EE" w14:textId="793DACFF" w:rsidR="00393629" w:rsidRPr="00927B11" w:rsidRDefault="00D75F40" w:rsidP="00116E55">
      <w:pPr>
        <w:pStyle w:val="Tabletitle"/>
        <w:spacing w:after="120"/>
        <w:rPr>
          <w:i/>
          <w:sz w:val="22"/>
          <w:szCs w:val="22"/>
        </w:rPr>
      </w:pPr>
      <w:bookmarkStart w:id="48" w:name="_Ref111626885"/>
      <w:r w:rsidRPr="00D75F40">
        <w:rPr>
          <w:i/>
          <w:sz w:val="22"/>
          <w:szCs w:val="22"/>
        </w:rPr>
        <w:t xml:space="preserve">Table </w:t>
      </w:r>
      <w:r w:rsidR="00E0331E" w:rsidRPr="00CE6C4E">
        <w:rPr>
          <w:b w:val="0"/>
          <w:bCs/>
          <w:i/>
          <w:iCs w:val="0"/>
          <w:sz w:val="22"/>
          <w:szCs w:val="22"/>
        </w:rPr>
        <w:fldChar w:fldCharType="begin"/>
      </w:r>
      <w:r w:rsidR="00E0331E" w:rsidRPr="00CE6C4E">
        <w:rPr>
          <w:bCs/>
          <w:i/>
          <w:iCs w:val="0"/>
          <w:sz w:val="22"/>
          <w:szCs w:val="22"/>
        </w:rPr>
        <w:instrText>SEQ Table \* ARABIC</w:instrText>
      </w:r>
      <w:r w:rsidR="00E0331E" w:rsidRPr="00CE6C4E">
        <w:rPr>
          <w:b w:val="0"/>
          <w:bCs/>
          <w:i/>
          <w:iCs w:val="0"/>
          <w:sz w:val="22"/>
          <w:szCs w:val="22"/>
        </w:rPr>
        <w:fldChar w:fldCharType="separate"/>
      </w:r>
      <w:r w:rsidR="00E0331E">
        <w:rPr>
          <w:bCs/>
          <w:i/>
          <w:iCs w:val="0"/>
          <w:noProof/>
          <w:sz w:val="22"/>
          <w:szCs w:val="22"/>
        </w:rPr>
        <w:t>18</w:t>
      </w:r>
      <w:r w:rsidR="00E0331E" w:rsidRPr="00CE6C4E">
        <w:rPr>
          <w:b w:val="0"/>
          <w:bCs/>
          <w:i/>
          <w:iCs w:val="0"/>
          <w:sz w:val="22"/>
          <w:szCs w:val="22"/>
        </w:rPr>
        <w:fldChar w:fldCharType="end"/>
      </w:r>
      <w:r w:rsidRPr="00D75F40">
        <w:rPr>
          <w:i/>
          <w:sz w:val="22"/>
          <w:szCs w:val="22"/>
        </w:rPr>
        <w:t xml:space="preserve">: </w:t>
      </w:r>
      <w:bookmarkEnd w:id="48"/>
      <w:r w:rsidR="00393629" w:rsidRPr="00927B11">
        <w:rPr>
          <w:i/>
          <w:sz w:val="22"/>
          <w:szCs w:val="22"/>
        </w:rPr>
        <w:t xml:space="preserve">Optimising the investment portfolio </w:t>
      </w:r>
      <w:r w:rsidR="000F2C66" w:rsidRPr="000F2C66">
        <w:rPr>
          <w:i/>
          <w:sz w:val="22"/>
          <w:szCs w:val="22"/>
        </w:rPr>
        <w:t xml:space="preserve">($million </w:t>
      </w:r>
      <w:r w:rsidR="00393629" w:rsidRPr="00927B11">
        <w:rPr>
          <w:i/>
          <w:sz w:val="22"/>
          <w:szCs w:val="22"/>
        </w:rPr>
        <w:t>2022</w:t>
      </w:r>
      <w:r w:rsidR="007D4EB3">
        <w:rPr>
          <w:i/>
          <w:sz w:val="22"/>
          <w:szCs w:val="22"/>
        </w:rPr>
        <w:t>–</w:t>
      </w:r>
      <w:r w:rsidR="00393629" w:rsidRPr="00927B11">
        <w:rPr>
          <w:i/>
          <w:sz w:val="22"/>
          <w:szCs w:val="22"/>
        </w:rPr>
        <w:t>23)</w:t>
      </w:r>
    </w:p>
    <w:tbl>
      <w:tblPr>
        <w:tblStyle w:val="ListTable4-Accent2"/>
        <w:tblW w:w="9495" w:type="dxa"/>
        <w:tblBorders>
          <w:top w:val="single" w:sz="4" w:space="0" w:color="002379"/>
          <w:left w:val="single" w:sz="4" w:space="0" w:color="002379"/>
          <w:bottom w:val="single" w:sz="4" w:space="0" w:color="002379"/>
          <w:right w:val="single" w:sz="4" w:space="0" w:color="002379"/>
          <w:insideH w:val="single" w:sz="4" w:space="0" w:color="002379"/>
          <w:insideV w:val="single" w:sz="4" w:space="0" w:color="002379"/>
        </w:tblBorders>
        <w:tblLayout w:type="fixed"/>
        <w:tblLook w:val="0620" w:firstRow="1" w:lastRow="0" w:firstColumn="0" w:lastColumn="0" w:noHBand="1" w:noVBand="1"/>
      </w:tblPr>
      <w:tblGrid>
        <w:gridCol w:w="2108"/>
        <w:gridCol w:w="1201"/>
        <w:gridCol w:w="1491"/>
        <w:gridCol w:w="1713"/>
        <w:gridCol w:w="1491"/>
        <w:gridCol w:w="1491"/>
      </w:tblGrid>
      <w:tr w:rsidR="00C5055B" w:rsidRPr="002579C4" w14:paraId="44A51F5E" w14:textId="77777777" w:rsidTr="005F1841">
        <w:trPr>
          <w:cnfStyle w:val="100000000000" w:firstRow="1" w:lastRow="0" w:firstColumn="0" w:lastColumn="0" w:oddVBand="0" w:evenVBand="0" w:oddHBand="0" w:evenHBand="0" w:firstRowFirstColumn="0" w:firstRowLastColumn="0" w:lastRowFirstColumn="0" w:lastRowLastColumn="0"/>
          <w:trHeight w:val="225"/>
        </w:trPr>
        <w:tc>
          <w:tcPr>
            <w:tcW w:w="2108" w:type="dxa"/>
            <w:tcBorders>
              <w:top w:val="single" w:sz="4" w:space="0" w:color="002279"/>
              <w:left w:val="single" w:sz="4" w:space="0" w:color="002279"/>
              <w:bottom w:val="single" w:sz="4" w:space="0" w:color="002279"/>
              <w:right w:val="single" w:sz="4" w:space="0" w:color="FFFFFF" w:themeColor="background1"/>
            </w:tcBorders>
            <w:shd w:val="clear" w:color="auto" w:fill="002379" w:themeFill="text2"/>
            <w:vAlign w:val="center"/>
          </w:tcPr>
          <w:p w14:paraId="20785B94" w14:textId="7799703D" w:rsidR="00C5055B" w:rsidRPr="00C5055B" w:rsidRDefault="00C5055B" w:rsidP="00C5055B">
            <w:pPr>
              <w:spacing w:before="60" w:after="60"/>
              <w:rPr>
                <w:rFonts w:cstheme="minorHAnsi"/>
                <w:color w:val="000000"/>
                <w:sz w:val="20"/>
                <w:szCs w:val="20"/>
              </w:rPr>
            </w:pPr>
            <w:r w:rsidRPr="00C5055B">
              <w:rPr>
                <w:sz w:val="20"/>
                <w:szCs w:val="20"/>
                <w:lang w:eastAsia="en-AU"/>
              </w:rPr>
              <w:t>Investment portfolio</w:t>
            </w:r>
          </w:p>
        </w:tc>
        <w:tc>
          <w:tcPr>
            <w:tcW w:w="1201" w:type="dxa"/>
            <w:tcBorders>
              <w:top w:val="single" w:sz="4" w:space="0" w:color="002279"/>
              <w:left w:val="single" w:sz="4" w:space="0" w:color="FFFFFF" w:themeColor="background1"/>
              <w:bottom w:val="single" w:sz="4" w:space="0" w:color="002279"/>
              <w:right w:val="single" w:sz="4" w:space="0" w:color="FFFFFF" w:themeColor="background1"/>
            </w:tcBorders>
            <w:shd w:val="clear" w:color="auto" w:fill="002379" w:themeFill="text2"/>
            <w:noWrap/>
            <w:vAlign w:val="center"/>
          </w:tcPr>
          <w:p w14:paraId="445E12B5" w14:textId="5473D0FD" w:rsidR="00C5055B" w:rsidRPr="00C5055B" w:rsidRDefault="00C5055B" w:rsidP="005F1841">
            <w:pPr>
              <w:spacing w:before="60" w:after="60"/>
              <w:jc w:val="center"/>
              <w:rPr>
                <w:rFonts w:cstheme="minorHAnsi"/>
                <w:color w:val="000000"/>
                <w:sz w:val="20"/>
                <w:szCs w:val="20"/>
              </w:rPr>
            </w:pPr>
            <w:r w:rsidRPr="00C5055B">
              <w:rPr>
                <w:sz w:val="20"/>
                <w:szCs w:val="20"/>
                <w:lang w:eastAsia="en-AU"/>
              </w:rPr>
              <w:t>High-risk/low-cost</w:t>
            </w:r>
          </w:p>
        </w:tc>
        <w:tc>
          <w:tcPr>
            <w:tcW w:w="1491" w:type="dxa"/>
            <w:tcBorders>
              <w:top w:val="single" w:sz="4" w:space="0" w:color="002279"/>
              <w:left w:val="single" w:sz="4" w:space="0" w:color="FFFFFF" w:themeColor="background1"/>
              <w:bottom w:val="single" w:sz="4" w:space="0" w:color="002279"/>
              <w:right w:val="single" w:sz="4" w:space="0" w:color="FFFFFF" w:themeColor="background1"/>
            </w:tcBorders>
            <w:shd w:val="clear" w:color="auto" w:fill="002379" w:themeFill="text2"/>
            <w:noWrap/>
            <w:vAlign w:val="center"/>
          </w:tcPr>
          <w:p w14:paraId="680090B4" w14:textId="7A256B6C" w:rsidR="00C5055B" w:rsidRPr="00C5055B" w:rsidRDefault="00C5055B" w:rsidP="005F1841">
            <w:pPr>
              <w:spacing w:before="60" w:after="60"/>
              <w:jc w:val="center"/>
              <w:rPr>
                <w:rFonts w:cstheme="minorHAnsi"/>
                <w:color w:val="000000"/>
                <w:sz w:val="20"/>
                <w:szCs w:val="20"/>
              </w:rPr>
            </w:pPr>
            <w:r w:rsidRPr="00C5055B">
              <w:rPr>
                <w:sz w:val="20"/>
                <w:szCs w:val="20"/>
                <w:lang w:eastAsia="en-AU"/>
              </w:rPr>
              <w:t>Balanced risk/medium cost</w:t>
            </w:r>
          </w:p>
        </w:tc>
        <w:tc>
          <w:tcPr>
            <w:tcW w:w="1713" w:type="dxa"/>
            <w:tcBorders>
              <w:top w:val="single" w:sz="4" w:space="0" w:color="002279"/>
              <w:left w:val="single" w:sz="4" w:space="0" w:color="FFFFFF" w:themeColor="background1"/>
              <w:bottom w:val="single" w:sz="4" w:space="0" w:color="002279"/>
              <w:right w:val="single" w:sz="4" w:space="0" w:color="FFFFFF" w:themeColor="background1"/>
            </w:tcBorders>
            <w:shd w:val="clear" w:color="auto" w:fill="002379" w:themeFill="text2"/>
            <w:noWrap/>
            <w:vAlign w:val="center"/>
          </w:tcPr>
          <w:p w14:paraId="78BC3941" w14:textId="0897158F" w:rsidR="00C5055B" w:rsidRPr="00C5055B" w:rsidRDefault="00C5055B" w:rsidP="005F1841">
            <w:pPr>
              <w:spacing w:before="60" w:after="60"/>
              <w:jc w:val="center"/>
              <w:rPr>
                <w:rFonts w:cstheme="minorHAnsi"/>
                <w:color w:val="000000"/>
                <w:sz w:val="20"/>
                <w:szCs w:val="20"/>
              </w:rPr>
            </w:pPr>
            <w:r w:rsidRPr="00C5055B">
              <w:rPr>
                <w:sz w:val="20"/>
                <w:szCs w:val="20"/>
                <w:lang w:eastAsia="en-AU"/>
              </w:rPr>
              <w:t>Low-risk/high-cost</w:t>
            </w:r>
          </w:p>
        </w:tc>
        <w:tc>
          <w:tcPr>
            <w:tcW w:w="1491" w:type="dxa"/>
            <w:tcBorders>
              <w:top w:val="single" w:sz="4" w:space="0" w:color="002279"/>
              <w:left w:val="single" w:sz="4" w:space="0" w:color="FFFFFF" w:themeColor="background1"/>
              <w:bottom w:val="single" w:sz="4" w:space="0" w:color="002279"/>
              <w:right w:val="single" w:sz="4" w:space="0" w:color="FFFFFF" w:themeColor="background1"/>
            </w:tcBorders>
            <w:shd w:val="clear" w:color="auto" w:fill="002379" w:themeFill="text2"/>
            <w:noWrap/>
            <w:vAlign w:val="center"/>
          </w:tcPr>
          <w:p w14:paraId="67ED7A15" w14:textId="2722C43A" w:rsidR="00C5055B" w:rsidRPr="00C5055B" w:rsidRDefault="00C5055B" w:rsidP="005F1841">
            <w:pPr>
              <w:spacing w:before="60" w:after="60"/>
              <w:jc w:val="center"/>
              <w:rPr>
                <w:rFonts w:cstheme="minorHAnsi"/>
                <w:i/>
                <w:iCs/>
                <w:color w:val="000000"/>
                <w:sz w:val="20"/>
                <w:szCs w:val="20"/>
              </w:rPr>
            </w:pPr>
            <w:r w:rsidRPr="00C5055B">
              <w:rPr>
                <w:sz w:val="20"/>
                <w:szCs w:val="20"/>
                <w:lang w:eastAsia="en-AU"/>
              </w:rPr>
              <w:t>Selected cost scenario</w:t>
            </w:r>
          </w:p>
        </w:tc>
        <w:tc>
          <w:tcPr>
            <w:tcW w:w="1491" w:type="dxa"/>
            <w:tcBorders>
              <w:top w:val="single" w:sz="4" w:space="0" w:color="002279"/>
              <w:left w:val="single" w:sz="4" w:space="0" w:color="FFFFFF" w:themeColor="background1"/>
              <w:bottom w:val="single" w:sz="4" w:space="0" w:color="002279"/>
              <w:right w:val="single" w:sz="4" w:space="0" w:color="002279"/>
            </w:tcBorders>
            <w:shd w:val="clear" w:color="auto" w:fill="002379" w:themeFill="text2"/>
            <w:vAlign w:val="center"/>
          </w:tcPr>
          <w:p w14:paraId="1C71610E" w14:textId="22E7B70E" w:rsidR="00C5055B" w:rsidRPr="00C5055B" w:rsidRDefault="00156995" w:rsidP="005F1841">
            <w:pPr>
              <w:spacing w:before="60" w:after="60"/>
              <w:jc w:val="center"/>
              <w:rPr>
                <w:rFonts w:cstheme="minorHAnsi"/>
                <w:i/>
                <w:iCs/>
                <w:color w:val="000000"/>
                <w:sz w:val="20"/>
                <w:szCs w:val="20"/>
              </w:rPr>
            </w:pPr>
            <w:r>
              <w:rPr>
                <w:sz w:val="20"/>
                <w:szCs w:val="20"/>
                <w:lang w:eastAsia="en-AU"/>
              </w:rPr>
              <w:t>P</w:t>
            </w:r>
            <w:r w:rsidR="00C5055B" w:rsidRPr="00C5055B">
              <w:rPr>
                <w:sz w:val="20"/>
                <w:szCs w:val="20"/>
                <w:lang w:eastAsia="en-AU"/>
              </w:rPr>
              <w:t>ortfolio</w:t>
            </w:r>
            <w:r>
              <w:rPr>
                <w:sz w:val="20"/>
                <w:szCs w:val="20"/>
                <w:lang w:eastAsia="en-AU"/>
              </w:rPr>
              <w:t xml:space="preserve"> </w:t>
            </w:r>
            <w:r w:rsidR="005F1841">
              <w:rPr>
                <w:sz w:val="20"/>
                <w:szCs w:val="20"/>
                <w:lang w:eastAsia="en-AU"/>
              </w:rPr>
              <w:br/>
            </w:r>
            <w:r>
              <w:rPr>
                <w:sz w:val="20"/>
                <w:szCs w:val="20"/>
                <w:lang w:eastAsia="en-AU"/>
              </w:rPr>
              <w:t>risk profile</w:t>
            </w:r>
          </w:p>
        </w:tc>
      </w:tr>
      <w:tr w:rsidR="001D7CCF" w:rsidRPr="002579C4" w14:paraId="36EF923D" w14:textId="31FB75A5" w:rsidTr="005F1841">
        <w:trPr>
          <w:trHeight w:val="225"/>
        </w:trPr>
        <w:tc>
          <w:tcPr>
            <w:tcW w:w="2108" w:type="dxa"/>
            <w:tcBorders>
              <w:top w:val="single" w:sz="4" w:space="0" w:color="002279"/>
            </w:tcBorders>
            <w:shd w:val="clear" w:color="auto" w:fill="D4D6DF"/>
            <w:hideMark/>
          </w:tcPr>
          <w:p w14:paraId="4FD8A582" w14:textId="7BA45706" w:rsidR="001D7CCF" w:rsidRPr="005B63FB" w:rsidRDefault="001D7CCF" w:rsidP="001D7CCF">
            <w:pPr>
              <w:spacing w:before="60" w:after="60"/>
              <w:rPr>
                <w:rFonts w:eastAsia="Times New Roman" w:cstheme="minorHAnsi"/>
                <w:color w:val="000000"/>
                <w:sz w:val="20"/>
                <w:szCs w:val="20"/>
                <w:lang w:eastAsia="en-AU"/>
              </w:rPr>
            </w:pPr>
            <w:r w:rsidRPr="005B63FB">
              <w:rPr>
                <w:rFonts w:cstheme="minorHAnsi"/>
                <w:color w:val="000000"/>
                <w:sz w:val="20"/>
                <w:szCs w:val="20"/>
              </w:rPr>
              <w:t xml:space="preserve">Sewer </w:t>
            </w:r>
            <w:r w:rsidR="003F51CE">
              <w:rPr>
                <w:rFonts w:cstheme="minorHAnsi"/>
                <w:color w:val="000000"/>
                <w:sz w:val="20"/>
                <w:szCs w:val="20"/>
              </w:rPr>
              <w:t>g</w:t>
            </w:r>
            <w:r w:rsidRPr="005B63FB">
              <w:rPr>
                <w:rFonts w:cstheme="minorHAnsi"/>
                <w:color w:val="000000"/>
                <w:sz w:val="20"/>
                <w:szCs w:val="20"/>
              </w:rPr>
              <w:t>rowth</w:t>
            </w:r>
          </w:p>
        </w:tc>
        <w:tc>
          <w:tcPr>
            <w:tcW w:w="1201" w:type="dxa"/>
            <w:tcBorders>
              <w:top w:val="single" w:sz="4" w:space="0" w:color="002279"/>
            </w:tcBorders>
            <w:shd w:val="clear" w:color="auto" w:fill="D4D6DF"/>
            <w:noWrap/>
            <w:vAlign w:val="center"/>
            <w:hideMark/>
          </w:tcPr>
          <w:p w14:paraId="4552404C" w14:textId="606B6D10" w:rsidR="001D7CCF" w:rsidRPr="005B63FB" w:rsidRDefault="001D7CCF" w:rsidP="005F1841">
            <w:pPr>
              <w:spacing w:before="60" w:after="60"/>
              <w:jc w:val="center"/>
              <w:rPr>
                <w:rFonts w:eastAsia="Times New Roman" w:cstheme="minorHAnsi"/>
                <w:color w:val="000000"/>
                <w:sz w:val="20"/>
                <w:szCs w:val="20"/>
                <w:lang w:eastAsia="en-AU"/>
              </w:rPr>
            </w:pPr>
            <w:r>
              <w:rPr>
                <w:rFonts w:ascii="Arial" w:hAnsi="Arial" w:cs="Arial"/>
                <w:color w:val="000000"/>
                <w:sz w:val="20"/>
                <w:szCs w:val="20"/>
              </w:rPr>
              <w:t>260.30</w:t>
            </w:r>
          </w:p>
        </w:tc>
        <w:tc>
          <w:tcPr>
            <w:tcW w:w="1491" w:type="dxa"/>
            <w:tcBorders>
              <w:top w:val="single" w:sz="4" w:space="0" w:color="002279"/>
            </w:tcBorders>
            <w:shd w:val="clear" w:color="auto" w:fill="D4D6DF"/>
            <w:noWrap/>
            <w:vAlign w:val="center"/>
            <w:hideMark/>
          </w:tcPr>
          <w:p w14:paraId="7F7975CD" w14:textId="0C313572" w:rsidR="001D7CCF" w:rsidRPr="005B63FB" w:rsidRDefault="001D7CCF" w:rsidP="005F1841">
            <w:pPr>
              <w:spacing w:before="60" w:after="60"/>
              <w:jc w:val="center"/>
              <w:rPr>
                <w:rFonts w:eastAsia="Times New Roman" w:cstheme="minorHAnsi"/>
                <w:color w:val="000000"/>
                <w:sz w:val="20"/>
                <w:szCs w:val="20"/>
                <w:lang w:eastAsia="en-AU"/>
              </w:rPr>
            </w:pPr>
            <w:r>
              <w:rPr>
                <w:rFonts w:ascii="Arial" w:hAnsi="Arial" w:cs="Arial"/>
                <w:color w:val="000000"/>
                <w:sz w:val="20"/>
                <w:szCs w:val="20"/>
              </w:rPr>
              <w:t>272.66</w:t>
            </w:r>
          </w:p>
        </w:tc>
        <w:tc>
          <w:tcPr>
            <w:tcW w:w="1713" w:type="dxa"/>
            <w:tcBorders>
              <w:top w:val="single" w:sz="4" w:space="0" w:color="002279"/>
            </w:tcBorders>
            <w:shd w:val="clear" w:color="auto" w:fill="D4D6DF"/>
            <w:noWrap/>
            <w:vAlign w:val="center"/>
            <w:hideMark/>
          </w:tcPr>
          <w:p w14:paraId="71A943A3" w14:textId="50691909" w:rsidR="001D7CCF" w:rsidRPr="005B63FB" w:rsidRDefault="001D7CCF" w:rsidP="005F1841">
            <w:pPr>
              <w:spacing w:before="60" w:after="60"/>
              <w:jc w:val="center"/>
              <w:rPr>
                <w:rFonts w:eastAsia="Times New Roman" w:cstheme="minorHAnsi"/>
                <w:color w:val="000000"/>
                <w:sz w:val="20"/>
                <w:szCs w:val="20"/>
                <w:lang w:eastAsia="en-AU"/>
              </w:rPr>
            </w:pPr>
            <w:r>
              <w:rPr>
                <w:rFonts w:ascii="Arial" w:hAnsi="Arial" w:cs="Arial"/>
                <w:color w:val="000000"/>
                <w:sz w:val="20"/>
                <w:szCs w:val="20"/>
              </w:rPr>
              <w:t>304.05</w:t>
            </w:r>
          </w:p>
        </w:tc>
        <w:tc>
          <w:tcPr>
            <w:tcW w:w="1491" w:type="dxa"/>
            <w:tcBorders>
              <w:top w:val="single" w:sz="4" w:space="0" w:color="002279"/>
            </w:tcBorders>
            <w:shd w:val="clear" w:color="auto" w:fill="D4D6DF"/>
            <w:noWrap/>
            <w:vAlign w:val="center"/>
            <w:hideMark/>
          </w:tcPr>
          <w:p w14:paraId="0594C253" w14:textId="6EDE8826" w:rsidR="001D7CCF" w:rsidRPr="00E967EF" w:rsidRDefault="001D7CCF" w:rsidP="005F1841">
            <w:pPr>
              <w:spacing w:before="60" w:after="60"/>
              <w:jc w:val="center"/>
              <w:rPr>
                <w:rFonts w:eastAsia="Times New Roman" w:cstheme="minorHAnsi"/>
                <w:i/>
                <w:color w:val="000000"/>
                <w:sz w:val="20"/>
                <w:szCs w:val="20"/>
                <w:lang w:eastAsia="en-AU"/>
              </w:rPr>
            </w:pPr>
            <w:r>
              <w:rPr>
                <w:rFonts w:ascii="Arial" w:hAnsi="Arial" w:cs="Arial"/>
                <w:color w:val="000000"/>
                <w:sz w:val="20"/>
                <w:szCs w:val="20"/>
              </w:rPr>
              <w:t>260.30</w:t>
            </w:r>
          </w:p>
        </w:tc>
        <w:tc>
          <w:tcPr>
            <w:tcW w:w="1491" w:type="dxa"/>
            <w:tcBorders>
              <w:top w:val="single" w:sz="4" w:space="0" w:color="002279"/>
            </w:tcBorders>
            <w:shd w:val="clear" w:color="auto" w:fill="D4D6DF"/>
            <w:vAlign w:val="center"/>
          </w:tcPr>
          <w:p w14:paraId="44CC1E1C" w14:textId="45187576" w:rsidR="001D7CCF" w:rsidRPr="00782AD7" w:rsidRDefault="001D7CCF" w:rsidP="005F1841">
            <w:pPr>
              <w:spacing w:before="60" w:after="60"/>
              <w:jc w:val="center"/>
              <w:rPr>
                <w:rFonts w:cstheme="minorHAnsi"/>
                <w:color w:val="000000"/>
                <w:sz w:val="20"/>
                <w:szCs w:val="20"/>
              </w:rPr>
            </w:pPr>
            <w:r w:rsidRPr="00782AD7">
              <w:rPr>
                <w:rFonts w:ascii="Arial" w:hAnsi="Arial" w:cs="Arial"/>
                <w:color w:val="000000"/>
                <w:sz w:val="20"/>
                <w:szCs w:val="20"/>
              </w:rPr>
              <w:t>L</w:t>
            </w:r>
            <w:r w:rsidR="00460DB6" w:rsidRPr="00782AD7">
              <w:rPr>
                <w:rFonts w:ascii="Arial" w:hAnsi="Arial" w:cs="Arial"/>
                <w:color w:val="000000"/>
                <w:sz w:val="20"/>
                <w:szCs w:val="20"/>
              </w:rPr>
              <w:t>ow</w:t>
            </w:r>
          </w:p>
        </w:tc>
      </w:tr>
      <w:tr w:rsidR="001D7CCF" w:rsidRPr="002579C4" w14:paraId="559F257D" w14:textId="727DE29E" w:rsidTr="005F1841">
        <w:trPr>
          <w:trHeight w:val="225"/>
        </w:trPr>
        <w:tc>
          <w:tcPr>
            <w:tcW w:w="2108" w:type="dxa"/>
            <w:hideMark/>
          </w:tcPr>
          <w:p w14:paraId="1FCA0ED2" w14:textId="69A21CEF" w:rsidR="001D7CCF" w:rsidRPr="005B63FB" w:rsidRDefault="001D7CCF" w:rsidP="001D7CCF">
            <w:pPr>
              <w:spacing w:before="60" w:after="60"/>
              <w:rPr>
                <w:rFonts w:eastAsia="Times New Roman" w:cstheme="minorHAnsi"/>
                <w:color w:val="000000"/>
                <w:sz w:val="20"/>
                <w:szCs w:val="20"/>
                <w:lang w:eastAsia="en-AU"/>
              </w:rPr>
            </w:pPr>
            <w:r w:rsidRPr="005B63FB">
              <w:rPr>
                <w:rFonts w:cstheme="minorHAnsi"/>
                <w:color w:val="000000"/>
                <w:sz w:val="20"/>
                <w:szCs w:val="20"/>
              </w:rPr>
              <w:t xml:space="preserve">Sewer </w:t>
            </w:r>
            <w:r w:rsidR="003F51CE">
              <w:rPr>
                <w:rFonts w:cstheme="minorHAnsi"/>
                <w:color w:val="000000"/>
                <w:sz w:val="20"/>
                <w:szCs w:val="20"/>
              </w:rPr>
              <w:t>c</w:t>
            </w:r>
            <w:r w:rsidRPr="005B63FB">
              <w:rPr>
                <w:rFonts w:cstheme="minorHAnsi"/>
                <w:color w:val="000000"/>
                <w:sz w:val="20"/>
                <w:szCs w:val="20"/>
              </w:rPr>
              <w:t xml:space="preserve">ompliance, </w:t>
            </w:r>
            <w:r w:rsidR="003F51CE">
              <w:rPr>
                <w:rFonts w:cstheme="minorHAnsi"/>
                <w:color w:val="000000"/>
                <w:sz w:val="20"/>
                <w:szCs w:val="20"/>
              </w:rPr>
              <w:t>r</w:t>
            </w:r>
            <w:r w:rsidRPr="005B63FB">
              <w:rPr>
                <w:rFonts w:cstheme="minorHAnsi"/>
                <w:color w:val="000000"/>
                <w:sz w:val="20"/>
                <w:szCs w:val="20"/>
              </w:rPr>
              <w:t xml:space="preserve">eliability and </w:t>
            </w:r>
            <w:r w:rsidR="003F51CE">
              <w:rPr>
                <w:rFonts w:cstheme="minorHAnsi"/>
                <w:color w:val="000000"/>
                <w:sz w:val="20"/>
                <w:szCs w:val="20"/>
              </w:rPr>
              <w:t>r</w:t>
            </w:r>
            <w:r w:rsidRPr="005B63FB">
              <w:rPr>
                <w:rFonts w:cstheme="minorHAnsi"/>
                <w:color w:val="000000"/>
                <w:sz w:val="20"/>
                <w:szCs w:val="20"/>
              </w:rPr>
              <w:t>enewals</w:t>
            </w:r>
          </w:p>
        </w:tc>
        <w:tc>
          <w:tcPr>
            <w:tcW w:w="1201" w:type="dxa"/>
            <w:noWrap/>
            <w:vAlign w:val="center"/>
            <w:hideMark/>
          </w:tcPr>
          <w:p w14:paraId="25A74DE8" w14:textId="6EC47366" w:rsidR="001D7CCF" w:rsidRPr="005B63FB" w:rsidRDefault="001D7CCF" w:rsidP="005F1841">
            <w:pPr>
              <w:spacing w:before="60" w:after="60"/>
              <w:jc w:val="center"/>
              <w:rPr>
                <w:rFonts w:eastAsia="Times New Roman" w:cstheme="minorHAnsi"/>
                <w:color w:val="000000"/>
                <w:sz w:val="20"/>
                <w:szCs w:val="20"/>
                <w:lang w:eastAsia="en-AU"/>
              </w:rPr>
            </w:pPr>
            <w:r>
              <w:rPr>
                <w:rFonts w:ascii="Arial" w:hAnsi="Arial" w:cs="Arial"/>
                <w:color w:val="000000"/>
                <w:sz w:val="20"/>
                <w:szCs w:val="20"/>
              </w:rPr>
              <w:t>131.36</w:t>
            </w:r>
          </w:p>
        </w:tc>
        <w:tc>
          <w:tcPr>
            <w:tcW w:w="1491" w:type="dxa"/>
            <w:noWrap/>
            <w:vAlign w:val="center"/>
            <w:hideMark/>
          </w:tcPr>
          <w:p w14:paraId="1E6478ED" w14:textId="75D70008" w:rsidR="001D7CCF" w:rsidRPr="005B63FB" w:rsidRDefault="001D7CCF" w:rsidP="005F1841">
            <w:pPr>
              <w:spacing w:before="60" w:after="60"/>
              <w:jc w:val="center"/>
              <w:rPr>
                <w:rFonts w:eastAsia="Times New Roman" w:cstheme="minorHAnsi"/>
                <w:color w:val="000000"/>
                <w:sz w:val="20"/>
                <w:szCs w:val="20"/>
                <w:lang w:eastAsia="en-AU"/>
              </w:rPr>
            </w:pPr>
            <w:r>
              <w:rPr>
                <w:rFonts w:ascii="Arial" w:hAnsi="Arial" w:cs="Arial"/>
                <w:color w:val="000000"/>
                <w:sz w:val="20"/>
                <w:szCs w:val="20"/>
              </w:rPr>
              <w:t>219.29</w:t>
            </w:r>
          </w:p>
        </w:tc>
        <w:tc>
          <w:tcPr>
            <w:tcW w:w="1713" w:type="dxa"/>
            <w:noWrap/>
            <w:vAlign w:val="center"/>
            <w:hideMark/>
          </w:tcPr>
          <w:p w14:paraId="0F7FE60E" w14:textId="48675B3E" w:rsidR="001D7CCF" w:rsidRPr="005B63FB" w:rsidRDefault="001D7CCF" w:rsidP="005F1841">
            <w:pPr>
              <w:spacing w:before="60" w:after="60"/>
              <w:jc w:val="center"/>
              <w:rPr>
                <w:rFonts w:eastAsia="Times New Roman" w:cstheme="minorHAnsi"/>
                <w:color w:val="000000"/>
                <w:sz w:val="20"/>
                <w:szCs w:val="20"/>
                <w:lang w:eastAsia="en-AU"/>
              </w:rPr>
            </w:pPr>
            <w:r>
              <w:rPr>
                <w:rFonts w:ascii="Arial" w:hAnsi="Arial" w:cs="Arial"/>
                <w:color w:val="000000"/>
                <w:sz w:val="20"/>
                <w:szCs w:val="20"/>
              </w:rPr>
              <w:t>260.50</w:t>
            </w:r>
          </w:p>
        </w:tc>
        <w:tc>
          <w:tcPr>
            <w:tcW w:w="1491" w:type="dxa"/>
            <w:noWrap/>
            <w:vAlign w:val="center"/>
            <w:hideMark/>
          </w:tcPr>
          <w:p w14:paraId="38A96547" w14:textId="45638485" w:rsidR="001D7CCF" w:rsidRPr="00E967EF" w:rsidRDefault="001D7CCF" w:rsidP="005F1841">
            <w:pPr>
              <w:spacing w:before="60" w:after="60"/>
              <w:jc w:val="center"/>
              <w:rPr>
                <w:rFonts w:eastAsia="Times New Roman" w:cstheme="minorHAnsi"/>
                <w:i/>
                <w:color w:val="000000"/>
                <w:sz w:val="20"/>
                <w:szCs w:val="20"/>
                <w:lang w:eastAsia="en-AU"/>
              </w:rPr>
            </w:pPr>
            <w:r>
              <w:rPr>
                <w:rFonts w:ascii="Arial" w:hAnsi="Arial" w:cs="Arial"/>
                <w:color w:val="000000"/>
                <w:sz w:val="20"/>
                <w:szCs w:val="20"/>
              </w:rPr>
              <w:t>219.29</w:t>
            </w:r>
          </w:p>
        </w:tc>
        <w:tc>
          <w:tcPr>
            <w:tcW w:w="1491" w:type="dxa"/>
            <w:vAlign w:val="center"/>
          </w:tcPr>
          <w:p w14:paraId="37AE7D6B" w14:textId="52C701B4" w:rsidR="001D7CCF" w:rsidRPr="00782AD7" w:rsidRDefault="001D7CCF" w:rsidP="005F1841">
            <w:pPr>
              <w:spacing w:before="60" w:after="60"/>
              <w:jc w:val="center"/>
              <w:rPr>
                <w:rFonts w:cstheme="minorHAnsi"/>
                <w:color w:val="000000"/>
                <w:sz w:val="20"/>
                <w:szCs w:val="20"/>
              </w:rPr>
            </w:pPr>
            <w:r w:rsidRPr="00782AD7">
              <w:rPr>
                <w:rFonts w:ascii="Arial" w:hAnsi="Arial" w:cs="Arial"/>
                <w:color w:val="000000"/>
                <w:sz w:val="20"/>
                <w:szCs w:val="20"/>
              </w:rPr>
              <w:t>M</w:t>
            </w:r>
            <w:r w:rsidR="00460DB6" w:rsidRPr="00782AD7">
              <w:rPr>
                <w:rFonts w:ascii="Arial" w:hAnsi="Arial" w:cs="Arial"/>
                <w:color w:val="000000"/>
                <w:sz w:val="20"/>
                <w:szCs w:val="20"/>
              </w:rPr>
              <w:t>edium</w:t>
            </w:r>
          </w:p>
        </w:tc>
      </w:tr>
      <w:tr w:rsidR="001D7CCF" w:rsidRPr="002579C4" w14:paraId="65157700" w14:textId="24749AE4" w:rsidTr="005F1841">
        <w:trPr>
          <w:trHeight w:val="283"/>
        </w:trPr>
        <w:tc>
          <w:tcPr>
            <w:tcW w:w="2108" w:type="dxa"/>
            <w:shd w:val="clear" w:color="auto" w:fill="D4D6DF"/>
            <w:hideMark/>
          </w:tcPr>
          <w:p w14:paraId="556E1E4D" w14:textId="7BD47C94" w:rsidR="001D7CCF" w:rsidRPr="005B63FB" w:rsidRDefault="001D7CCF" w:rsidP="001D7CCF">
            <w:pPr>
              <w:spacing w:before="60" w:after="60"/>
              <w:rPr>
                <w:rFonts w:eastAsia="Times New Roman" w:cstheme="minorHAnsi"/>
                <w:color w:val="000000"/>
                <w:sz w:val="20"/>
                <w:szCs w:val="20"/>
                <w:lang w:eastAsia="en-AU"/>
              </w:rPr>
            </w:pPr>
            <w:r w:rsidRPr="005B63FB">
              <w:rPr>
                <w:rFonts w:cstheme="minorHAnsi"/>
                <w:color w:val="000000"/>
                <w:sz w:val="20"/>
                <w:szCs w:val="20"/>
              </w:rPr>
              <w:t xml:space="preserve">Treatment </w:t>
            </w:r>
            <w:r w:rsidR="003F51CE">
              <w:rPr>
                <w:rFonts w:cstheme="minorHAnsi"/>
                <w:color w:val="000000"/>
                <w:sz w:val="20"/>
                <w:szCs w:val="20"/>
              </w:rPr>
              <w:t>g</w:t>
            </w:r>
            <w:r w:rsidRPr="005B63FB">
              <w:rPr>
                <w:rFonts w:cstheme="minorHAnsi"/>
                <w:color w:val="000000"/>
                <w:sz w:val="20"/>
                <w:szCs w:val="20"/>
              </w:rPr>
              <w:t>rowth</w:t>
            </w:r>
          </w:p>
        </w:tc>
        <w:tc>
          <w:tcPr>
            <w:tcW w:w="1201" w:type="dxa"/>
            <w:shd w:val="clear" w:color="auto" w:fill="D4D6DF"/>
            <w:noWrap/>
            <w:vAlign w:val="center"/>
            <w:hideMark/>
          </w:tcPr>
          <w:p w14:paraId="7C8D4D68" w14:textId="7C1F1767" w:rsidR="001D7CCF" w:rsidRPr="005B63FB" w:rsidRDefault="001D7CCF" w:rsidP="005F1841">
            <w:pPr>
              <w:spacing w:before="60" w:after="60"/>
              <w:jc w:val="center"/>
              <w:rPr>
                <w:rFonts w:eastAsia="Times New Roman" w:cstheme="minorHAnsi"/>
                <w:color w:val="000000"/>
                <w:sz w:val="20"/>
                <w:szCs w:val="20"/>
                <w:lang w:eastAsia="en-AU"/>
              </w:rPr>
            </w:pPr>
            <w:r>
              <w:rPr>
                <w:rFonts w:ascii="Arial" w:hAnsi="Arial" w:cs="Arial"/>
                <w:color w:val="000000"/>
                <w:sz w:val="20"/>
                <w:szCs w:val="20"/>
              </w:rPr>
              <w:t>207.67</w:t>
            </w:r>
          </w:p>
        </w:tc>
        <w:tc>
          <w:tcPr>
            <w:tcW w:w="1491" w:type="dxa"/>
            <w:shd w:val="clear" w:color="auto" w:fill="D4D6DF"/>
            <w:noWrap/>
            <w:vAlign w:val="center"/>
            <w:hideMark/>
          </w:tcPr>
          <w:p w14:paraId="53DF7C07" w14:textId="3BF882B9" w:rsidR="001D7CCF" w:rsidRPr="005B63FB" w:rsidRDefault="001D7CCF" w:rsidP="005F1841">
            <w:pPr>
              <w:spacing w:before="60" w:after="60"/>
              <w:jc w:val="center"/>
              <w:rPr>
                <w:rFonts w:eastAsia="Times New Roman" w:cstheme="minorHAnsi"/>
                <w:color w:val="000000"/>
                <w:sz w:val="20"/>
                <w:szCs w:val="20"/>
                <w:lang w:eastAsia="en-AU"/>
              </w:rPr>
            </w:pPr>
            <w:r>
              <w:rPr>
                <w:rFonts w:ascii="Arial" w:hAnsi="Arial" w:cs="Arial"/>
                <w:color w:val="000000"/>
                <w:sz w:val="20"/>
                <w:szCs w:val="20"/>
              </w:rPr>
              <w:t>263.87</w:t>
            </w:r>
          </w:p>
        </w:tc>
        <w:tc>
          <w:tcPr>
            <w:tcW w:w="1713" w:type="dxa"/>
            <w:shd w:val="clear" w:color="auto" w:fill="D4D6DF"/>
            <w:noWrap/>
            <w:vAlign w:val="center"/>
            <w:hideMark/>
          </w:tcPr>
          <w:p w14:paraId="3FA5EC17" w14:textId="08B94DED" w:rsidR="001D7CCF" w:rsidRPr="005B63FB" w:rsidRDefault="001D7CCF" w:rsidP="005F1841">
            <w:pPr>
              <w:spacing w:before="60" w:after="60"/>
              <w:jc w:val="center"/>
              <w:rPr>
                <w:rFonts w:eastAsia="Times New Roman" w:cstheme="minorHAnsi"/>
                <w:color w:val="000000"/>
                <w:sz w:val="20"/>
                <w:szCs w:val="20"/>
                <w:lang w:eastAsia="en-AU"/>
              </w:rPr>
            </w:pPr>
            <w:r>
              <w:rPr>
                <w:rFonts w:ascii="Arial" w:hAnsi="Arial" w:cs="Arial"/>
                <w:color w:val="000000"/>
                <w:sz w:val="20"/>
                <w:szCs w:val="20"/>
              </w:rPr>
              <w:t>306.36</w:t>
            </w:r>
          </w:p>
        </w:tc>
        <w:tc>
          <w:tcPr>
            <w:tcW w:w="1491" w:type="dxa"/>
            <w:shd w:val="clear" w:color="auto" w:fill="D4D6DF"/>
            <w:noWrap/>
            <w:vAlign w:val="center"/>
            <w:hideMark/>
          </w:tcPr>
          <w:p w14:paraId="5B5EF623" w14:textId="3E2A28F2" w:rsidR="001D7CCF" w:rsidRPr="00E967EF" w:rsidRDefault="001D7CCF" w:rsidP="005F1841">
            <w:pPr>
              <w:spacing w:before="60" w:after="60"/>
              <w:jc w:val="center"/>
              <w:rPr>
                <w:rFonts w:eastAsia="Times New Roman" w:cstheme="minorHAnsi"/>
                <w:i/>
                <w:color w:val="000000"/>
                <w:sz w:val="20"/>
                <w:szCs w:val="20"/>
                <w:lang w:eastAsia="en-AU"/>
              </w:rPr>
            </w:pPr>
            <w:r>
              <w:rPr>
                <w:rFonts w:ascii="Arial" w:hAnsi="Arial" w:cs="Arial"/>
                <w:color w:val="000000"/>
                <w:sz w:val="20"/>
                <w:szCs w:val="20"/>
              </w:rPr>
              <w:t>218.69</w:t>
            </w:r>
          </w:p>
        </w:tc>
        <w:tc>
          <w:tcPr>
            <w:tcW w:w="1491" w:type="dxa"/>
            <w:shd w:val="clear" w:color="auto" w:fill="D4D6DF"/>
            <w:vAlign w:val="center"/>
          </w:tcPr>
          <w:p w14:paraId="1E7D8DE2" w14:textId="37992BF6" w:rsidR="001D7CCF" w:rsidRPr="00782AD7" w:rsidRDefault="001D7CCF" w:rsidP="005F1841">
            <w:pPr>
              <w:spacing w:before="60" w:after="60"/>
              <w:jc w:val="center"/>
              <w:rPr>
                <w:rFonts w:cstheme="minorHAnsi"/>
                <w:color w:val="000000"/>
                <w:sz w:val="20"/>
                <w:szCs w:val="20"/>
              </w:rPr>
            </w:pPr>
            <w:r w:rsidRPr="00782AD7">
              <w:rPr>
                <w:rFonts w:ascii="Arial" w:hAnsi="Arial" w:cs="Arial"/>
                <w:color w:val="000000"/>
                <w:sz w:val="20"/>
                <w:szCs w:val="20"/>
              </w:rPr>
              <w:t>L</w:t>
            </w:r>
            <w:r w:rsidR="00460DB6" w:rsidRPr="00782AD7">
              <w:rPr>
                <w:rFonts w:ascii="Arial" w:hAnsi="Arial" w:cs="Arial"/>
                <w:color w:val="000000"/>
                <w:sz w:val="20"/>
                <w:szCs w:val="20"/>
              </w:rPr>
              <w:t>ow</w:t>
            </w:r>
            <w:r w:rsidRPr="00782AD7">
              <w:rPr>
                <w:rFonts w:ascii="Arial" w:hAnsi="Arial" w:cs="Arial"/>
                <w:color w:val="000000"/>
                <w:sz w:val="20"/>
                <w:szCs w:val="20"/>
              </w:rPr>
              <w:t>–M</w:t>
            </w:r>
            <w:r w:rsidR="00460DB6" w:rsidRPr="00782AD7">
              <w:rPr>
                <w:rFonts w:ascii="Arial" w:hAnsi="Arial" w:cs="Arial"/>
                <w:color w:val="000000"/>
                <w:sz w:val="20"/>
                <w:szCs w:val="20"/>
              </w:rPr>
              <w:t>edium</w:t>
            </w:r>
          </w:p>
        </w:tc>
      </w:tr>
      <w:tr w:rsidR="001D7CCF" w:rsidRPr="002579C4" w14:paraId="1D817D0B" w14:textId="008E4388" w:rsidTr="005F1841">
        <w:trPr>
          <w:trHeight w:val="225"/>
        </w:trPr>
        <w:tc>
          <w:tcPr>
            <w:tcW w:w="2108" w:type="dxa"/>
            <w:hideMark/>
          </w:tcPr>
          <w:p w14:paraId="0383367C" w14:textId="49AD8F03" w:rsidR="001D7CCF" w:rsidRPr="005B63FB" w:rsidRDefault="001D7CCF" w:rsidP="001D7CCF">
            <w:pPr>
              <w:spacing w:before="60" w:after="60"/>
              <w:rPr>
                <w:rFonts w:eastAsia="Times New Roman" w:cstheme="minorHAnsi"/>
                <w:color w:val="000000"/>
                <w:sz w:val="20"/>
                <w:szCs w:val="20"/>
                <w:lang w:eastAsia="en-AU"/>
              </w:rPr>
            </w:pPr>
            <w:r w:rsidRPr="005B63FB">
              <w:rPr>
                <w:rFonts w:cstheme="minorHAnsi"/>
                <w:color w:val="000000"/>
                <w:sz w:val="20"/>
                <w:szCs w:val="20"/>
              </w:rPr>
              <w:t xml:space="preserve">Potable </w:t>
            </w:r>
            <w:r w:rsidR="003F51CE">
              <w:rPr>
                <w:rFonts w:cstheme="minorHAnsi"/>
                <w:color w:val="000000"/>
                <w:sz w:val="20"/>
                <w:szCs w:val="20"/>
              </w:rPr>
              <w:t>w</w:t>
            </w:r>
            <w:r w:rsidRPr="005B63FB">
              <w:rPr>
                <w:rFonts w:cstheme="minorHAnsi"/>
                <w:color w:val="000000"/>
                <w:sz w:val="20"/>
                <w:szCs w:val="20"/>
              </w:rPr>
              <w:t xml:space="preserve">ater </w:t>
            </w:r>
            <w:r w:rsidR="003F51CE">
              <w:rPr>
                <w:rFonts w:cstheme="minorHAnsi"/>
                <w:color w:val="000000"/>
                <w:sz w:val="20"/>
                <w:szCs w:val="20"/>
              </w:rPr>
              <w:t>c</w:t>
            </w:r>
            <w:r w:rsidRPr="005B63FB">
              <w:rPr>
                <w:rFonts w:cstheme="minorHAnsi"/>
                <w:color w:val="000000"/>
                <w:sz w:val="20"/>
                <w:szCs w:val="20"/>
              </w:rPr>
              <w:t xml:space="preserve">ompliance, </w:t>
            </w:r>
            <w:r w:rsidR="003F51CE">
              <w:rPr>
                <w:rFonts w:cstheme="minorHAnsi"/>
                <w:color w:val="000000"/>
                <w:sz w:val="20"/>
                <w:szCs w:val="20"/>
              </w:rPr>
              <w:t>r</w:t>
            </w:r>
            <w:r w:rsidRPr="005B63FB">
              <w:rPr>
                <w:rFonts w:cstheme="minorHAnsi"/>
                <w:color w:val="000000"/>
                <w:sz w:val="20"/>
                <w:szCs w:val="20"/>
              </w:rPr>
              <w:t xml:space="preserve">eliability and </w:t>
            </w:r>
            <w:r w:rsidR="003F51CE">
              <w:rPr>
                <w:rFonts w:cstheme="minorHAnsi"/>
                <w:color w:val="000000"/>
                <w:sz w:val="20"/>
                <w:szCs w:val="20"/>
              </w:rPr>
              <w:t>r</w:t>
            </w:r>
            <w:r w:rsidRPr="005B63FB">
              <w:rPr>
                <w:rFonts w:cstheme="minorHAnsi"/>
                <w:color w:val="000000"/>
                <w:sz w:val="20"/>
                <w:szCs w:val="20"/>
              </w:rPr>
              <w:t>enewals</w:t>
            </w:r>
          </w:p>
        </w:tc>
        <w:tc>
          <w:tcPr>
            <w:tcW w:w="1201" w:type="dxa"/>
            <w:noWrap/>
            <w:vAlign w:val="center"/>
            <w:hideMark/>
          </w:tcPr>
          <w:p w14:paraId="5BCDF3B5" w14:textId="3CCB03DF" w:rsidR="001D7CCF" w:rsidRPr="005B63FB" w:rsidRDefault="001D7CCF" w:rsidP="005F1841">
            <w:pPr>
              <w:spacing w:before="60" w:after="60"/>
              <w:jc w:val="center"/>
              <w:rPr>
                <w:rFonts w:eastAsia="Times New Roman" w:cstheme="minorHAnsi"/>
                <w:color w:val="000000"/>
                <w:sz w:val="20"/>
                <w:szCs w:val="20"/>
                <w:lang w:eastAsia="en-AU"/>
              </w:rPr>
            </w:pPr>
            <w:r>
              <w:rPr>
                <w:rFonts w:ascii="Arial" w:hAnsi="Arial" w:cs="Arial"/>
                <w:color w:val="000000"/>
                <w:sz w:val="20"/>
                <w:szCs w:val="20"/>
              </w:rPr>
              <w:t>180.45</w:t>
            </w:r>
          </w:p>
        </w:tc>
        <w:tc>
          <w:tcPr>
            <w:tcW w:w="1491" w:type="dxa"/>
            <w:noWrap/>
            <w:vAlign w:val="center"/>
            <w:hideMark/>
          </w:tcPr>
          <w:p w14:paraId="070B5D98" w14:textId="33688397" w:rsidR="001D7CCF" w:rsidRPr="005B63FB" w:rsidRDefault="001D7CCF" w:rsidP="005F1841">
            <w:pPr>
              <w:spacing w:before="60" w:after="60"/>
              <w:jc w:val="center"/>
              <w:rPr>
                <w:rFonts w:eastAsia="Times New Roman" w:cstheme="minorHAnsi"/>
                <w:color w:val="000000"/>
                <w:sz w:val="20"/>
                <w:szCs w:val="20"/>
                <w:lang w:eastAsia="en-AU"/>
              </w:rPr>
            </w:pPr>
            <w:r>
              <w:rPr>
                <w:rFonts w:ascii="Arial" w:hAnsi="Arial" w:cs="Arial"/>
                <w:color w:val="000000"/>
                <w:sz w:val="20"/>
                <w:szCs w:val="20"/>
              </w:rPr>
              <w:t>209.12</w:t>
            </w:r>
          </w:p>
        </w:tc>
        <w:tc>
          <w:tcPr>
            <w:tcW w:w="1713" w:type="dxa"/>
            <w:noWrap/>
            <w:vAlign w:val="center"/>
            <w:hideMark/>
          </w:tcPr>
          <w:p w14:paraId="5A1246D7" w14:textId="7E9363D5" w:rsidR="001D7CCF" w:rsidRPr="005B63FB" w:rsidRDefault="001D7CCF" w:rsidP="005F1841">
            <w:pPr>
              <w:spacing w:before="60" w:after="60"/>
              <w:jc w:val="center"/>
              <w:rPr>
                <w:rFonts w:eastAsia="Times New Roman" w:cstheme="minorHAnsi"/>
                <w:color w:val="000000"/>
                <w:sz w:val="20"/>
                <w:szCs w:val="20"/>
                <w:lang w:eastAsia="en-AU"/>
              </w:rPr>
            </w:pPr>
            <w:r>
              <w:rPr>
                <w:rFonts w:ascii="Arial" w:hAnsi="Arial" w:cs="Arial"/>
                <w:color w:val="000000"/>
                <w:sz w:val="20"/>
                <w:szCs w:val="20"/>
              </w:rPr>
              <w:t>220.37</w:t>
            </w:r>
          </w:p>
        </w:tc>
        <w:tc>
          <w:tcPr>
            <w:tcW w:w="1491" w:type="dxa"/>
            <w:noWrap/>
            <w:vAlign w:val="center"/>
            <w:hideMark/>
          </w:tcPr>
          <w:p w14:paraId="0A348FE8" w14:textId="32C1CFEA" w:rsidR="001D7CCF" w:rsidRPr="00E967EF" w:rsidRDefault="001D7CCF" w:rsidP="005F1841">
            <w:pPr>
              <w:spacing w:before="60" w:after="60"/>
              <w:jc w:val="center"/>
              <w:rPr>
                <w:rFonts w:eastAsia="Times New Roman" w:cstheme="minorHAnsi"/>
                <w:i/>
                <w:color w:val="000000"/>
                <w:sz w:val="20"/>
                <w:szCs w:val="20"/>
                <w:lang w:eastAsia="en-AU"/>
              </w:rPr>
            </w:pPr>
            <w:r>
              <w:rPr>
                <w:rFonts w:ascii="Arial" w:hAnsi="Arial" w:cs="Arial"/>
                <w:color w:val="000000"/>
                <w:sz w:val="20"/>
                <w:szCs w:val="20"/>
              </w:rPr>
              <w:t>209.12</w:t>
            </w:r>
          </w:p>
        </w:tc>
        <w:tc>
          <w:tcPr>
            <w:tcW w:w="1491" w:type="dxa"/>
            <w:vAlign w:val="center"/>
          </w:tcPr>
          <w:p w14:paraId="02EFE58C" w14:textId="0A38407B" w:rsidR="001D7CCF" w:rsidRPr="00782AD7" w:rsidRDefault="001D7CCF" w:rsidP="005F1841">
            <w:pPr>
              <w:spacing w:before="60" w:after="60"/>
              <w:jc w:val="center"/>
              <w:rPr>
                <w:rFonts w:cstheme="minorHAnsi"/>
                <w:color w:val="000000"/>
                <w:sz w:val="20"/>
                <w:szCs w:val="20"/>
              </w:rPr>
            </w:pPr>
            <w:r w:rsidRPr="00782AD7">
              <w:rPr>
                <w:rFonts w:ascii="Arial" w:hAnsi="Arial" w:cs="Arial"/>
                <w:color w:val="000000"/>
                <w:sz w:val="20"/>
                <w:szCs w:val="20"/>
              </w:rPr>
              <w:t>M</w:t>
            </w:r>
            <w:r w:rsidR="00156995" w:rsidRPr="00782AD7">
              <w:rPr>
                <w:rFonts w:ascii="Arial" w:hAnsi="Arial" w:cs="Arial"/>
                <w:color w:val="000000"/>
                <w:sz w:val="20"/>
                <w:szCs w:val="20"/>
              </w:rPr>
              <w:t>edium</w:t>
            </w:r>
          </w:p>
        </w:tc>
      </w:tr>
      <w:tr w:rsidR="001D7CCF" w:rsidRPr="002579C4" w14:paraId="12C53AE2" w14:textId="787C69FD" w:rsidTr="005F1841">
        <w:trPr>
          <w:trHeight w:val="225"/>
        </w:trPr>
        <w:tc>
          <w:tcPr>
            <w:tcW w:w="2108" w:type="dxa"/>
            <w:shd w:val="clear" w:color="auto" w:fill="D4D6DF"/>
            <w:hideMark/>
          </w:tcPr>
          <w:p w14:paraId="0BA6C699" w14:textId="19BD2FC1" w:rsidR="001D7CCF" w:rsidRPr="005B63FB" w:rsidRDefault="00E00B8A" w:rsidP="001D7CCF">
            <w:pPr>
              <w:spacing w:before="60" w:after="60"/>
              <w:rPr>
                <w:rFonts w:eastAsia="Times New Roman" w:cstheme="minorHAnsi"/>
                <w:color w:val="000000"/>
                <w:sz w:val="20"/>
                <w:szCs w:val="20"/>
                <w:lang w:eastAsia="en-AU"/>
              </w:rPr>
            </w:pPr>
            <w:r>
              <w:rPr>
                <w:rFonts w:cstheme="minorHAnsi"/>
                <w:color w:val="000000"/>
                <w:sz w:val="20"/>
                <w:szCs w:val="20"/>
              </w:rPr>
              <w:t>Digital</w:t>
            </w:r>
            <w:r w:rsidR="001D7CCF" w:rsidRPr="005B63FB">
              <w:rPr>
                <w:rFonts w:cstheme="minorHAnsi"/>
                <w:color w:val="000000"/>
                <w:sz w:val="20"/>
                <w:szCs w:val="20"/>
              </w:rPr>
              <w:t xml:space="preserve"> Metering</w:t>
            </w:r>
          </w:p>
        </w:tc>
        <w:tc>
          <w:tcPr>
            <w:tcW w:w="1201" w:type="dxa"/>
            <w:shd w:val="clear" w:color="auto" w:fill="D4D6DF"/>
            <w:noWrap/>
            <w:vAlign w:val="center"/>
            <w:hideMark/>
          </w:tcPr>
          <w:p w14:paraId="181D8685" w14:textId="7B72E431" w:rsidR="001D7CCF" w:rsidRPr="005B63FB" w:rsidRDefault="001D7CCF" w:rsidP="005F1841">
            <w:pPr>
              <w:spacing w:before="60" w:after="60"/>
              <w:jc w:val="center"/>
              <w:rPr>
                <w:rFonts w:eastAsia="Times New Roman" w:cstheme="minorHAnsi"/>
                <w:color w:val="000000"/>
                <w:sz w:val="20"/>
                <w:szCs w:val="20"/>
                <w:lang w:eastAsia="en-AU"/>
              </w:rPr>
            </w:pPr>
            <w:r>
              <w:rPr>
                <w:rFonts w:ascii="Arial" w:hAnsi="Arial" w:cs="Arial"/>
                <w:color w:val="000000"/>
                <w:sz w:val="20"/>
                <w:szCs w:val="20"/>
              </w:rPr>
              <w:t>152.51</w:t>
            </w:r>
          </w:p>
        </w:tc>
        <w:tc>
          <w:tcPr>
            <w:tcW w:w="1491" w:type="dxa"/>
            <w:shd w:val="clear" w:color="auto" w:fill="D4D6DF"/>
            <w:noWrap/>
            <w:vAlign w:val="center"/>
            <w:hideMark/>
          </w:tcPr>
          <w:p w14:paraId="3FBE52DD" w14:textId="5035691D" w:rsidR="001D7CCF" w:rsidRPr="005B63FB" w:rsidRDefault="001D7CCF" w:rsidP="005F1841">
            <w:pPr>
              <w:spacing w:before="60" w:after="60"/>
              <w:jc w:val="center"/>
              <w:rPr>
                <w:rFonts w:eastAsia="Times New Roman" w:cstheme="minorHAnsi"/>
                <w:color w:val="000000"/>
                <w:sz w:val="20"/>
                <w:szCs w:val="20"/>
                <w:lang w:eastAsia="en-AU"/>
              </w:rPr>
            </w:pPr>
            <w:r>
              <w:rPr>
                <w:rFonts w:ascii="Arial" w:hAnsi="Arial" w:cs="Arial"/>
                <w:color w:val="000000"/>
                <w:sz w:val="20"/>
                <w:szCs w:val="20"/>
              </w:rPr>
              <w:t>206.00</w:t>
            </w:r>
          </w:p>
        </w:tc>
        <w:tc>
          <w:tcPr>
            <w:tcW w:w="1713" w:type="dxa"/>
            <w:shd w:val="clear" w:color="auto" w:fill="D4D6DF"/>
            <w:noWrap/>
            <w:vAlign w:val="center"/>
            <w:hideMark/>
          </w:tcPr>
          <w:p w14:paraId="037DCB1F" w14:textId="4017DA08" w:rsidR="001D7CCF" w:rsidRPr="005B63FB" w:rsidRDefault="001D7CCF" w:rsidP="005F1841">
            <w:pPr>
              <w:spacing w:before="60" w:after="60"/>
              <w:jc w:val="center"/>
              <w:rPr>
                <w:rFonts w:eastAsia="Times New Roman" w:cstheme="minorHAnsi"/>
                <w:color w:val="000000"/>
                <w:sz w:val="20"/>
                <w:szCs w:val="20"/>
                <w:lang w:eastAsia="en-AU"/>
              </w:rPr>
            </w:pPr>
            <w:r>
              <w:rPr>
                <w:rFonts w:ascii="Arial" w:hAnsi="Arial" w:cs="Arial"/>
                <w:color w:val="000000"/>
                <w:sz w:val="20"/>
                <w:szCs w:val="20"/>
              </w:rPr>
              <w:t>245.11</w:t>
            </w:r>
          </w:p>
        </w:tc>
        <w:tc>
          <w:tcPr>
            <w:tcW w:w="1491" w:type="dxa"/>
            <w:shd w:val="clear" w:color="auto" w:fill="D4D6DF"/>
            <w:noWrap/>
            <w:vAlign w:val="center"/>
            <w:hideMark/>
          </w:tcPr>
          <w:p w14:paraId="0BE607C8" w14:textId="1BF11D74" w:rsidR="001D7CCF" w:rsidRPr="00E967EF" w:rsidRDefault="001D7CCF" w:rsidP="005F1841">
            <w:pPr>
              <w:spacing w:before="60" w:after="60"/>
              <w:jc w:val="center"/>
              <w:rPr>
                <w:rFonts w:eastAsia="Times New Roman" w:cstheme="minorHAnsi"/>
                <w:i/>
                <w:color w:val="000000"/>
                <w:sz w:val="20"/>
                <w:szCs w:val="20"/>
                <w:lang w:eastAsia="en-AU"/>
              </w:rPr>
            </w:pPr>
            <w:r>
              <w:rPr>
                <w:rFonts w:ascii="Arial" w:hAnsi="Arial" w:cs="Arial"/>
                <w:color w:val="000000"/>
                <w:sz w:val="20"/>
                <w:szCs w:val="20"/>
              </w:rPr>
              <w:t>206.00</w:t>
            </w:r>
          </w:p>
        </w:tc>
        <w:tc>
          <w:tcPr>
            <w:tcW w:w="1491" w:type="dxa"/>
            <w:shd w:val="clear" w:color="auto" w:fill="D4D6DF"/>
            <w:vAlign w:val="center"/>
          </w:tcPr>
          <w:p w14:paraId="40C075FF" w14:textId="2B0E666F" w:rsidR="001D7CCF" w:rsidRPr="00782AD7" w:rsidRDefault="001D7CCF" w:rsidP="005F1841">
            <w:pPr>
              <w:spacing w:before="60" w:after="60"/>
              <w:jc w:val="center"/>
              <w:rPr>
                <w:rFonts w:cstheme="minorHAnsi"/>
                <w:color w:val="000000"/>
                <w:sz w:val="20"/>
                <w:szCs w:val="20"/>
              </w:rPr>
            </w:pPr>
            <w:r w:rsidRPr="00782AD7">
              <w:rPr>
                <w:rFonts w:ascii="Arial" w:hAnsi="Arial" w:cs="Arial"/>
                <w:color w:val="000000"/>
                <w:sz w:val="20"/>
                <w:szCs w:val="20"/>
              </w:rPr>
              <w:t>M</w:t>
            </w:r>
            <w:r w:rsidR="00BA753D" w:rsidRPr="00782AD7">
              <w:rPr>
                <w:rFonts w:ascii="Arial" w:hAnsi="Arial" w:cs="Arial"/>
                <w:color w:val="000000"/>
                <w:sz w:val="20"/>
                <w:szCs w:val="20"/>
              </w:rPr>
              <w:t>edium</w:t>
            </w:r>
          </w:p>
        </w:tc>
      </w:tr>
      <w:tr w:rsidR="001D7CCF" w:rsidRPr="002579C4" w14:paraId="080B0A97" w14:textId="7914E1F0" w:rsidTr="005F1841">
        <w:trPr>
          <w:trHeight w:val="225"/>
        </w:trPr>
        <w:tc>
          <w:tcPr>
            <w:tcW w:w="2108" w:type="dxa"/>
            <w:hideMark/>
          </w:tcPr>
          <w:p w14:paraId="33709E8F" w14:textId="14566872" w:rsidR="001D7CCF" w:rsidRPr="005B63FB" w:rsidRDefault="001D7CCF" w:rsidP="001D7CCF">
            <w:pPr>
              <w:spacing w:before="60" w:after="60"/>
              <w:rPr>
                <w:rFonts w:eastAsia="Times New Roman" w:cstheme="minorHAnsi"/>
                <w:color w:val="000000"/>
                <w:sz w:val="20"/>
                <w:szCs w:val="20"/>
                <w:lang w:eastAsia="en-AU"/>
              </w:rPr>
            </w:pPr>
            <w:r w:rsidRPr="005B63FB">
              <w:rPr>
                <w:rFonts w:cstheme="minorHAnsi"/>
                <w:color w:val="000000"/>
                <w:sz w:val="20"/>
                <w:szCs w:val="20"/>
              </w:rPr>
              <w:t xml:space="preserve">Treatment </w:t>
            </w:r>
            <w:r w:rsidR="003F51CE">
              <w:rPr>
                <w:rFonts w:cstheme="minorHAnsi"/>
                <w:color w:val="000000"/>
                <w:sz w:val="20"/>
                <w:szCs w:val="20"/>
              </w:rPr>
              <w:t>c</w:t>
            </w:r>
            <w:r w:rsidRPr="005B63FB">
              <w:rPr>
                <w:rFonts w:cstheme="minorHAnsi"/>
                <w:color w:val="000000"/>
                <w:sz w:val="20"/>
                <w:szCs w:val="20"/>
              </w:rPr>
              <w:t>ompliance</w:t>
            </w:r>
          </w:p>
        </w:tc>
        <w:tc>
          <w:tcPr>
            <w:tcW w:w="1201" w:type="dxa"/>
            <w:noWrap/>
            <w:vAlign w:val="center"/>
            <w:hideMark/>
          </w:tcPr>
          <w:p w14:paraId="027F9F1B" w14:textId="48180F4E" w:rsidR="001D7CCF" w:rsidRPr="005B63FB" w:rsidRDefault="001D7CCF" w:rsidP="005F1841">
            <w:pPr>
              <w:spacing w:before="60" w:after="60"/>
              <w:jc w:val="center"/>
              <w:rPr>
                <w:rFonts w:eastAsia="Times New Roman" w:cstheme="minorHAnsi"/>
                <w:color w:val="000000"/>
                <w:sz w:val="20"/>
                <w:szCs w:val="20"/>
                <w:lang w:eastAsia="en-AU"/>
              </w:rPr>
            </w:pPr>
            <w:r>
              <w:rPr>
                <w:rFonts w:ascii="Arial" w:hAnsi="Arial" w:cs="Arial"/>
                <w:color w:val="000000"/>
                <w:sz w:val="20"/>
                <w:szCs w:val="20"/>
              </w:rPr>
              <w:t>128.99</w:t>
            </w:r>
          </w:p>
        </w:tc>
        <w:tc>
          <w:tcPr>
            <w:tcW w:w="1491" w:type="dxa"/>
            <w:noWrap/>
            <w:vAlign w:val="center"/>
            <w:hideMark/>
          </w:tcPr>
          <w:p w14:paraId="75078966" w14:textId="259602DA" w:rsidR="001D7CCF" w:rsidRPr="005B63FB" w:rsidRDefault="001D7CCF" w:rsidP="005F1841">
            <w:pPr>
              <w:spacing w:before="60" w:after="60"/>
              <w:jc w:val="center"/>
              <w:rPr>
                <w:rFonts w:eastAsia="Times New Roman" w:cstheme="minorHAnsi"/>
                <w:color w:val="000000"/>
                <w:sz w:val="20"/>
                <w:szCs w:val="20"/>
                <w:lang w:eastAsia="en-AU"/>
              </w:rPr>
            </w:pPr>
            <w:r>
              <w:rPr>
                <w:rFonts w:ascii="Arial" w:hAnsi="Arial" w:cs="Arial"/>
                <w:color w:val="000000"/>
                <w:sz w:val="20"/>
                <w:szCs w:val="20"/>
              </w:rPr>
              <w:t>153.24</w:t>
            </w:r>
          </w:p>
        </w:tc>
        <w:tc>
          <w:tcPr>
            <w:tcW w:w="1713" w:type="dxa"/>
            <w:noWrap/>
            <w:vAlign w:val="center"/>
            <w:hideMark/>
          </w:tcPr>
          <w:p w14:paraId="3D2F0FE9" w14:textId="77B78611" w:rsidR="001D7CCF" w:rsidRPr="005B63FB" w:rsidRDefault="001D7CCF" w:rsidP="005F1841">
            <w:pPr>
              <w:spacing w:before="60" w:after="60"/>
              <w:jc w:val="center"/>
              <w:rPr>
                <w:rFonts w:eastAsia="Times New Roman" w:cstheme="minorHAnsi"/>
                <w:color w:val="000000"/>
                <w:sz w:val="20"/>
                <w:szCs w:val="20"/>
                <w:lang w:eastAsia="en-AU"/>
              </w:rPr>
            </w:pPr>
            <w:r>
              <w:rPr>
                <w:rFonts w:ascii="Arial" w:hAnsi="Arial" w:cs="Arial"/>
                <w:color w:val="000000"/>
                <w:sz w:val="20"/>
                <w:szCs w:val="20"/>
              </w:rPr>
              <w:t>162.60</w:t>
            </w:r>
          </w:p>
        </w:tc>
        <w:tc>
          <w:tcPr>
            <w:tcW w:w="1491" w:type="dxa"/>
            <w:noWrap/>
            <w:vAlign w:val="center"/>
            <w:hideMark/>
          </w:tcPr>
          <w:p w14:paraId="51821FCE" w14:textId="335086DA" w:rsidR="001D7CCF" w:rsidRPr="00E967EF" w:rsidRDefault="001D7CCF" w:rsidP="005F1841">
            <w:pPr>
              <w:spacing w:before="60" w:after="60"/>
              <w:jc w:val="center"/>
              <w:rPr>
                <w:rFonts w:eastAsia="Times New Roman" w:cstheme="minorHAnsi"/>
                <w:i/>
                <w:color w:val="000000"/>
                <w:sz w:val="20"/>
                <w:szCs w:val="20"/>
                <w:lang w:eastAsia="en-AU"/>
              </w:rPr>
            </w:pPr>
            <w:r>
              <w:rPr>
                <w:rFonts w:ascii="Arial" w:hAnsi="Arial" w:cs="Arial"/>
                <w:color w:val="000000"/>
                <w:sz w:val="20"/>
                <w:szCs w:val="20"/>
              </w:rPr>
              <w:t>159.21</w:t>
            </w:r>
          </w:p>
        </w:tc>
        <w:tc>
          <w:tcPr>
            <w:tcW w:w="1491" w:type="dxa"/>
            <w:vAlign w:val="center"/>
          </w:tcPr>
          <w:p w14:paraId="085D6BE4" w14:textId="627C6931" w:rsidR="001D7CCF" w:rsidRPr="00782AD7" w:rsidRDefault="001D7CCF" w:rsidP="005F1841">
            <w:pPr>
              <w:spacing w:before="60" w:after="60"/>
              <w:jc w:val="center"/>
              <w:rPr>
                <w:rFonts w:cstheme="minorHAnsi"/>
                <w:color w:val="000000"/>
                <w:sz w:val="20"/>
                <w:szCs w:val="20"/>
              </w:rPr>
            </w:pPr>
            <w:r w:rsidRPr="00782AD7">
              <w:rPr>
                <w:rFonts w:ascii="Arial" w:hAnsi="Arial" w:cs="Arial"/>
                <w:color w:val="000000"/>
                <w:sz w:val="20"/>
                <w:szCs w:val="20"/>
              </w:rPr>
              <w:t>M</w:t>
            </w:r>
            <w:r w:rsidR="00BA753D" w:rsidRPr="00782AD7">
              <w:rPr>
                <w:rFonts w:ascii="Arial" w:hAnsi="Arial" w:cs="Arial"/>
                <w:color w:val="000000"/>
                <w:sz w:val="20"/>
                <w:szCs w:val="20"/>
              </w:rPr>
              <w:t>edium</w:t>
            </w:r>
          </w:p>
        </w:tc>
      </w:tr>
      <w:tr w:rsidR="001D7CCF" w:rsidRPr="002579C4" w14:paraId="2B648AE1" w14:textId="019B87B8" w:rsidTr="005F1841">
        <w:trPr>
          <w:trHeight w:val="225"/>
        </w:trPr>
        <w:tc>
          <w:tcPr>
            <w:tcW w:w="2108" w:type="dxa"/>
            <w:shd w:val="clear" w:color="auto" w:fill="D4D6DF"/>
            <w:hideMark/>
          </w:tcPr>
          <w:p w14:paraId="2AA1F3C9" w14:textId="77777777" w:rsidR="001D7CCF" w:rsidRPr="005B63FB" w:rsidRDefault="001D7CCF" w:rsidP="001D7CCF">
            <w:pPr>
              <w:spacing w:before="60" w:after="60"/>
              <w:rPr>
                <w:rFonts w:eastAsia="Times New Roman" w:cstheme="minorHAnsi"/>
                <w:color w:val="000000"/>
                <w:sz w:val="20"/>
                <w:szCs w:val="20"/>
                <w:lang w:eastAsia="en-AU"/>
              </w:rPr>
            </w:pPr>
            <w:r w:rsidRPr="005B63FB">
              <w:rPr>
                <w:rFonts w:cstheme="minorHAnsi"/>
                <w:color w:val="000000"/>
                <w:sz w:val="20"/>
                <w:szCs w:val="20"/>
              </w:rPr>
              <w:t>Information Technology</w:t>
            </w:r>
          </w:p>
        </w:tc>
        <w:tc>
          <w:tcPr>
            <w:tcW w:w="1201" w:type="dxa"/>
            <w:shd w:val="clear" w:color="auto" w:fill="D4D6DF"/>
            <w:noWrap/>
            <w:vAlign w:val="center"/>
            <w:hideMark/>
          </w:tcPr>
          <w:p w14:paraId="221230F3" w14:textId="434ECEE3" w:rsidR="001D7CCF" w:rsidRPr="005B63FB" w:rsidRDefault="001D7CCF" w:rsidP="005F1841">
            <w:pPr>
              <w:spacing w:before="60" w:after="60"/>
              <w:jc w:val="center"/>
              <w:rPr>
                <w:rFonts w:eastAsia="Times New Roman" w:cstheme="minorHAnsi"/>
                <w:color w:val="000000"/>
                <w:sz w:val="20"/>
                <w:szCs w:val="20"/>
                <w:lang w:eastAsia="en-AU"/>
              </w:rPr>
            </w:pPr>
            <w:r>
              <w:rPr>
                <w:rFonts w:ascii="Arial" w:hAnsi="Arial" w:cs="Arial"/>
                <w:color w:val="000000"/>
                <w:sz w:val="20"/>
                <w:szCs w:val="20"/>
              </w:rPr>
              <w:t>106.97</w:t>
            </w:r>
          </w:p>
        </w:tc>
        <w:tc>
          <w:tcPr>
            <w:tcW w:w="1491" w:type="dxa"/>
            <w:shd w:val="clear" w:color="auto" w:fill="D4D6DF"/>
            <w:noWrap/>
            <w:vAlign w:val="center"/>
            <w:hideMark/>
          </w:tcPr>
          <w:p w14:paraId="2EECA655" w14:textId="28598DE6" w:rsidR="001D7CCF" w:rsidRPr="005B63FB" w:rsidRDefault="001D7CCF" w:rsidP="005F1841">
            <w:pPr>
              <w:spacing w:before="60" w:after="60"/>
              <w:jc w:val="center"/>
              <w:rPr>
                <w:rFonts w:eastAsia="Times New Roman" w:cstheme="minorHAnsi"/>
                <w:color w:val="000000"/>
                <w:sz w:val="20"/>
                <w:szCs w:val="20"/>
                <w:lang w:eastAsia="en-AU"/>
              </w:rPr>
            </w:pPr>
            <w:r>
              <w:rPr>
                <w:rFonts w:ascii="Arial" w:hAnsi="Arial" w:cs="Arial"/>
                <w:color w:val="000000"/>
                <w:sz w:val="20"/>
                <w:szCs w:val="20"/>
              </w:rPr>
              <w:t>120.52</w:t>
            </w:r>
          </w:p>
        </w:tc>
        <w:tc>
          <w:tcPr>
            <w:tcW w:w="1713" w:type="dxa"/>
            <w:shd w:val="clear" w:color="auto" w:fill="D4D6DF"/>
            <w:noWrap/>
            <w:vAlign w:val="center"/>
            <w:hideMark/>
          </w:tcPr>
          <w:p w14:paraId="47B5CC5E" w14:textId="7D1794C0" w:rsidR="001D7CCF" w:rsidRPr="005B63FB" w:rsidRDefault="001D7CCF" w:rsidP="005F1841">
            <w:pPr>
              <w:spacing w:before="60" w:after="60"/>
              <w:jc w:val="center"/>
              <w:rPr>
                <w:rFonts w:eastAsia="Times New Roman" w:cstheme="minorHAnsi"/>
                <w:color w:val="000000"/>
                <w:sz w:val="20"/>
                <w:szCs w:val="20"/>
                <w:lang w:eastAsia="en-AU"/>
              </w:rPr>
            </w:pPr>
            <w:r>
              <w:rPr>
                <w:rFonts w:ascii="Arial" w:hAnsi="Arial" w:cs="Arial"/>
                <w:color w:val="000000"/>
                <w:sz w:val="20"/>
                <w:szCs w:val="20"/>
              </w:rPr>
              <w:t>142.52</w:t>
            </w:r>
          </w:p>
        </w:tc>
        <w:tc>
          <w:tcPr>
            <w:tcW w:w="1491" w:type="dxa"/>
            <w:shd w:val="clear" w:color="auto" w:fill="D4D6DF"/>
            <w:noWrap/>
            <w:vAlign w:val="center"/>
            <w:hideMark/>
          </w:tcPr>
          <w:p w14:paraId="246E028C" w14:textId="39B93813" w:rsidR="001D7CCF" w:rsidRPr="00E967EF" w:rsidRDefault="001D7CCF" w:rsidP="005F1841">
            <w:pPr>
              <w:spacing w:before="60" w:after="60"/>
              <w:jc w:val="center"/>
              <w:rPr>
                <w:rFonts w:eastAsia="Times New Roman" w:cstheme="minorHAnsi"/>
                <w:i/>
                <w:color w:val="000000"/>
                <w:sz w:val="20"/>
                <w:szCs w:val="20"/>
                <w:lang w:eastAsia="en-AU"/>
              </w:rPr>
            </w:pPr>
            <w:r>
              <w:rPr>
                <w:rFonts w:ascii="Arial" w:hAnsi="Arial" w:cs="Arial"/>
                <w:color w:val="000000"/>
                <w:sz w:val="20"/>
                <w:szCs w:val="20"/>
              </w:rPr>
              <w:t>142.52</w:t>
            </w:r>
          </w:p>
        </w:tc>
        <w:tc>
          <w:tcPr>
            <w:tcW w:w="1491" w:type="dxa"/>
            <w:shd w:val="clear" w:color="auto" w:fill="D4D6DF"/>
            <w:vAlign w:val="center"/>
          </w:tcPr>
          <w:p w14:paraId="23D3351C" w14:textId="59DC77D5" w:rsidR="001D7CCF" w:rsidRPr="00782AD7" w:rsidRDefault="001D7CCF" w:rsidP="005F1841">
            <w:pPr>
              <w:spacing w:before="60" w:after="60"/>
              <w:jc w:val="center"/>
              <w:rPr>
                <w:rFonts w:cstheme="minorHAnsi"/>
                <w:color w:val="000000"/>
                <w:sz w:val="20"/>
                <w:szCs w:val="20"/>
              </w:rPr>
            </w:pPr>
            <w:r w:rsidRPr="00782AD7">
              <w:rPr>
                <w:rFonts w:ascii="Arial" w:hAnsi="Arial" w:cs="Arial"/>
                <w:color w:val="000000"/>
                <w:sz w:val="20"/>
                <w:szCs w:val="20"/>
              </w:rPr>
              <w:t>H</w:t>
            </w:r>
            <w:r w:rsidR="00BA753D" w:rsidRPr="00782AD7">
              <w:rPr>
                <w:rFonts w:ascii="Arial" w:hAnsi="Arial" w:cs="Arial"/>
                <w:color w:val="000000"/>
                <w:sz w:val="20"/>
                <w:szCs w:val="20"/>
              </w:rPr>
              <w:t>igh</w:t>
            </w:r>
          </w:p>
        </w:tc>
      </w:tr>
      <w:tr w:rsidR="001D7CCF" w:rsidRPr="002579C4" w14:paraId="5E731FD9" w14:textId="55EBE63F" w:rsidTr="005F1841">
        <w:trPr>
          <w:trHeight w:val="225"/>
        </w:trPr>
        <w:tc>
          <w:tcPr>
            <w:tcW w:w="2108" w:type="dxa"/>
            <w:hideMark/>
          </w:tcPr>
          <w:p w14:paraId="4B30A14B" w14:textId="3F77DCA6" w:rsidR="001D7CCF" w:rsidRPr="005B63FB" w:rsidRDefault="001D7CCF" w:rsidP="001D7CCF">
            <w:pPr>
              <w:spacing w:before="60" w:after="60"/>
              <w:rPr>
                <w:rFonts w:eastAsia="Times New Roman" w:cstheme="minorHAnsi"/>
                <w:color w:val="000000"/>
                <w:sz w:val="20"/>
                <w:szCs w:val="20"/>
                <w:lang w:eastAsia="en-AU"/>
              </w:rPr>
            </w:pPr>
            <w:r w:rsidRPr="005B63FB">
              <w:rPr>
                <w:rFonts w:cstheme="minorHAnsi"/>
                <w:color w:val="000000"/>
                <w:sz w:val="20"/>
                <w:szCs w:val="20"/>
              </w:rPr>
              <w:t xml:space="preserve">Treatment </w:t>
            </w:r>
            <w:r w:rsidR="003F51CE">
              <w:rPr>
                <w:rFonts w:cstheme="minorHAnsi"/>
                <w:color w:val="000000"/>
                <w:sz w:val="20"/>
                <w:szCs w:val="20"/>
              </w:rPr>
              <w:t>r</w:t>
            </w:r>
            <w:r w:rsidRPr="005B63FB">
              <w:rPr>
                <w:rFonts w:cstheme="minorHAnsi"/>
                <w:color w:val="000000"/>
                <w:sz w:val="20"/>
                <w:szCs w:val="20"/>
              </w:rPr>
              <w:t>eliability</w:t>
            </w:r>
          </w:p>
        </w:tc>
        <w:tc>
          <w:tcPr>
            <w:tcW w:w="1201" w:type="dxa"/>
            <w:noWrap/>
            <w:vAlign w:val="center"/>
            <w:hideMark/>
          </w:tcPr>
          <w:p w14:paraId="23A8A5FF" w14:textId="2897A480" w:rsidR="001D7CCF" w:rsidRPr="005B63FB" w:rsidRDefault="001D7CCF" w:rsidP="005F1841">
            <w:pPr>
              <w:spacing w:before="60" w:after="60"/>
              <w:jc w:val="center"/>
              <w:rPr>
                <w:rFonts w:eastAsia="Times New Roman" w:cstheme="minorHAnsi"/>
                <w:color w:val="000000"/>
                <w:sz w:val="20"/>
                <w:szCs w:val="20"/>
                <w:lang w:eastAsia="en-AU"/>
              </w:rPr>
            </w:pPr>
            <w:r>
              <w:rPr>
                <w:rFonts w:ascii="Arial" w:hAnsi="Arial" w:cs="Arial"/>
                <w:color w:val="000000"/>
                <w:sz w:val="20"/>
                <w:szCs w:val="20"/>
              </w:rPr>
              <w:t>61.09</w:t>
            </w:r>
          </w:p>
        </w:tc>
        <w:tc>
          <w:tcPr>
            <w:tcW w:w="1491" w:type="dxa"/>
            <w:noWrap/>
            <w:vAlign w:val="center"/>
            <w:hideMark/>
          </w:tcPr>
          <w:p w14:paraId="17F4E2C2" w14:textId="659AAC94" w:rsidR="001D7CCF" w:rsidRPr="005B63FB" w:rsidRDefault="001D7CCF" w:rsidP="005F1841">
            <w:pPr>
              <w:spacing w:before="60" w:after="60"/>
              <w:jc w:val="center"/>
              <w:rPr>
                <w:rFonts w:eastAsia="Times New Roman" w:cstheme="minorHAnsi"/>
                <w:color w:val="000000"/>
                <w:sz w:val="20"/>
                <w:szCs w:val="20"/>
                <w:lang w:eastAsia="en-AU"/>
              </w:rPr>
            </w:pPr>
            <w:r>
              <w:rPr>
                <w:rFonts w:ascii="Arial" w:hAnsi="Arial" w:cs="Arial"/>
                <w:color w:val="000000"/>
                <w:sz w:val="20"/>
                <w:szCs w:val="20"/>
              </w:rPr>
              <w:t>76.28</w:t>
            </w:r>
          </w:p>
        </w:tc>
        <w:tc>
          <w:tcPr>
            <w:tcW w:w="1713" w:type="dxa"/>
            <w:noWrap/>
            <w:vAlign w:val="center"/>
            <w:hideMark/>
          </w:tcPr>
          <w:p w14:paraId="28ABEC04" w14:textId="779668FC" w:rsidR="001D7CCF" w:rsidRPr="005B63FB" w:rsidRDefault="001D7CCF" w:rsidP="005F1841">
            <w:pPr>
              <w:spacing w:before="60" w:after="60"/>
              <w:jc w:val="center"/>
              <w:rPr>
                <w:rFonts w:eastAsia="Times New Roman" w:cstheme="minorHAnsi"/>
                <w:color w:val="000000"/>
                <w:sz w:val="20"/>
                <w:szCs w:val="20"/>
                <w:lang w:eastAsia="en-AU"/>
              </w:rPr>
            </w:pPr>
            <w:r>
              <w:rPr>
                <w:rFonts w:ascii="Arial" w:hAnsi="Arial" w:cs="Arial"/>
                <w:color w:val="000000"/>
                <w:sz w:val="20"/>
                <w:szCs w:val="20"/>
              </w:rPr>
              <w:t>90.07</w:t>
            </w:r>
          </w:p>
        </w:tc>
        <w:tc>
          <w:tcPr>
            <w:tcW w:w="1491" w:type="dxa"/>
            <w:noWrap/>
            <w:vAlign w:val="center"/>
            <w:hideMark/>
          </w:tcPr>
          <w:p w14:paraId="668A307D" w14:textId="09F6BE55" w:rsidR="001D7CCF" w:rsidRPr="00E967EF" w:rsidRDefault="001D7CCF" w:rsidP="005F1841">
            <w:pPr>
              <w:spacing w:before="60" w:after="60"/>
              <w:jc w:val="center"/>
              <w:rPr>
                <w:rFonts w:eastAsia="Times New Roman" w:cstheme="minorHAnsi"/>
                <w:i/>
                <w:color w:val="000000"/>
                <w:sz w:val="20"/>
                <w:szCs w:val="20"/>
                <w:lang w:eastAsia="en-AU"/>
              </w:rPr>
            </w:pPr>
            <w:r>
              <w:rPr>
                <w:rFonts w:ascii="Arial" w:hAnsi="Arial" w:cs="Arial"/>
                <w:color w:val="000000"/>
                <w:sz w:val="20"/>
                <w:szCs w:val="20"/>
              </w:rPr>
              <w:t>79.13</w:t>
            </w:r>
          </w:p>
        </w:tc>
        <w:tc>
          <w:tcPr>
            <w:tcW w:w="1491" w:type="dxa"/>
            <w:vAlign w:val="center"/>
          </w:tcPr>
          <w:p w14:paraId="417C6FE7" w14:textId="79EE09F5" w:rsidR="001D7CCF" w:rsidRPr="00782AD7" w:rsidRDefault="001D7CCF" w:rsidP="005F1841">
            <w:pPr>
              <w:spacing w:before="60" w:after="60"/>
              <w:jc w:val="center"/>
              <w:rPr>
                <w:rFonts w:cstheme="minorHAnsi"/>
                <w:color w:val="000000"/>
                <w:sz w:val="20"/>
                <w:szCs w:val="20"/>
              </w:rPr>
            </w:pPr>
            <w:r w:rsidRPr="00782AD7">
              <w:rPr>
                <w:rFonts w:ascii="Arial" w:hAnsi="Arial" w:cs="Arial"/>
                <w:color w:val="000000"/>
                <w:sz w:val="20"/>
                <w:szCs w:val="20"/>
              </w:rPr>
              <w:t>M</w:t>
            </w:r>
            <w:r w:rsidR="00BA753D" w:rsidRPr="00782AD7">
              <w:rPr>
                <w:rFonts w:ascii="Arial" w:hAnsi="Arial" w:cs="Arial"/>
                <w:color w:val="000000"/>
                <w:sz w:val="20"/>
                <w:szCs w:val="20"/>
              </w:rPr>
              <w:t>edium</w:t>
            </w:r>
          </w:p>
        </w:tc>
      </w:tr>
      <w:tr w:rsidR="001D7CCF" w:rsidRPr="002579C4" w14:paraId="05FDFF55" w14:textId="05D10832" w:rsidTr="005F1841">
        <w:trPr>
          <w:trHeight w:val="225"/>
        </w:trPr>
        <w:tc>
          <w:tcPr>
            <w:tcW w:w="2108" w:type="dxa"/>
            <w:shd w:val="clear" w:color="auto" w:fill="D4D6DF"/>
            <w:hideMark/>
          </w:tcPr>
          <w:p w14:paraId="0199AC04" w14:textId="494E8F4E" w:rsidR="001D7CCF" w:rsidRPr="005B63FB" w:rsidRDefault="001D7CCF" w:rsidP="001D7CCF">
            <w:pPr>
              <w:spacing w:before="60" w:after="60"/>
              <w:rPr>
                <w:rFonts w:eastAsia="Times New Roman" w:cstheme="minorHAnsi"/>
                <w:color w:val="000000"/>
                <w:sz w:val="20"/>
                <w:szCs w:val="20"/>
                <w:lang w:eastAsia="en-AU"/>
              </w:rPr>
            </w:pPr>
            <w:r w:rsidRPr="005B63FB">
              <w:rPr>
                <w:rFonts w:eastAsia="Times New Roman" w:cstheme="minorHAnsi"/>
                <w:color w:val="000000"/>
                <w:sz w:val="20"/>
                <w:szCs w:val="20"/>
                <w:lang w:eastAsia="en-AU"/>
              </w:rPr>
              <w:t xml:space="preserve">Potable </w:t>
            </w:r>
            <w:r w:rsidR="003F51CE">
              <w:rPr>
                <w:rFonts w:eastAsia="Times New Roman" w:cstheme="minorHAnsi"/>
                <w:color w:val="000000"/>
                <w:sz w:val="20"/>
                <w:szCs w:val="20"/>
                <w:lang w:eastAsia="en-AU"/>
              </w:rPr>
              <w:t>w</w:t>
            </w:r>
            <w:r w:rsidRPr="005B63FB">
              <w:rPr>
                <w:rFonts w:eastAsia="Times New Roman" w:cstheme="minorHAnsi"/>
                <w:color w:val="000000"/>
                <w:sz w:val="20"/>
                <w:szCs w:val="20"/>
                <w:lang w:eastAsia="en-AU"/>
              </w:rPr>
              <w:t xml:space="preserve">ater </w:t>
            </w:r>
            <w:r w:rsidR="003F51CE">
              <w:rPr>
                <w:rFonts w:eastAsia="Times New Roman" w:cstheme="minorHAnsi"/>
                <w:color w:val="000000"/>
                <w:sz w:val="20"/>
                <w:szCs w:val="20"/>
                <w:lang w:eastAsia="en-AU"/>
              </w:rPr>
              <w:t>g</w:t>
            </w:r>
            <w:r w:rsidRPr="005B63FB">
              <w:rPr>
                <w:rFonts w:eastAsia="Times New Roman" w:cstheme="minorHAnsi"/>
                <w:color w:val="000000"/>
                <w:sz w:val="20"/>
                <w:szCs w:val="20"/>
                <w:lang w:eastAsia="en-AU"/>
              </w:rPr>
              <w:t>rowth</w:t>
            </w:r>
          </w:p>
        </w:tc>
        <w:tc>
          <w:tcPr>
            <w:tcW w:w="1201" w:type="dxa"/>
            <w:shd w:val="clear" w:color="auto" w:fill="D4D6DF"/>
            <w:noWrap/>
            <w:vAlign w:val="center"/>
            <w:hideMark/>
          </w:tcPr>
          <w:p w14:paraId="7F68C34E" w14:textId="7564ADF0" w:rsidR="001D7CCF" w:rsidRPr="005B63FB" w:rsidRDefault="001D7CCF" w:rsidP="005F1841">
            <w:pPr>
              <w:spacing w:before="60" w:after="60"/>
              <w:jc w:val="center"/>
              <w:rPr>
                <w:rFonts w:eastAsia="Times New Roman" w:cstheme="minorHAnsi"/>
                <w:color w:val="000000"/>
                <w:sz w:val="20"/>
                <w:szCs w:val="20"/>
                <w:lang w:eastAsia="en-AU"/>
              </w:rPr>
            </w:pPr>
            <w:r>
              <w:rPr>
                <w:rFonts w:ascii="Arial" w:hAnsi="Arial" w:cs="Arial"/>
                <w:color w:val="000000"/>
                <w:sz w:val="20"/>
                <w:szCs w:val="20"/>
              </w:rPr>
              <w:t>76.18</w:t>
            </w:r>
          </w:p>
        </w:tc>
        <w:tc>
          <w:tcPr>
            <w:tcW w:w="1491" w:type="dxa"/>
            <w:shd w:val="clear" w:color="auto" w:fill="D4D6DF"/>
            <w:noWrap/>
            <w:vAlign w:val="center"/>
            <w:hideMark/>
          </w:tcPr>
          <w:p w14:paraId="71198DD5" w14:textId="511577F0" w:rsidR="001D7CCF" w:rsidRPr="005B63FB" w:rsidRDefault="001D7CCF" w:rsidP="005F1841">
            <w:pPr>
              <w:spacing w:before="60" w:after="60"/>
              <w:jc w:val="center"/>
              <w:rPr>
                <w:rFonts w:eastAsia="Times New Roman" w:cstheme="minorHAnsi"/>
                <w:color w:val="000000"/>
                <w:sz w:val="20"/>
                <w:szCs w:val="20"/>
                <w:lang w:eastAsia="en-AU"/>
              </w:rPr>
            </w:pPr>
            <w:r>
              <w:rPr>
                <w:rFonts w:ascii="Arial" w:hAnsi="Arial" w:cs="Arial"/>
                <w:color w:val="000000"/>
                <w:sz w:val="20"/>
                <w:szCs w:val="20"/>
              </w:rPr>
              <w:t>112.72</w:t>
            </w:r>
          </w:p>
        </w:tc>
        <w:tc>
          <w:tcPr>
            <w:tcW w:w="1713" w:type="dxa"/>
            <w:shd w:val="clear" w:color="auto" w:fill="D4D6DF"/>
            <w:noWrap/>
            <w:vAlign w:val="center"/>
            <w:hideMark/>
          </w:tcPr>
          <w:p w14:paraId="7C630B8D" w14:textId="0A482EE5" w:rsidR="001D7CCF" w:rsidRPr="005B63FB" w:rsidRDefault="001D7CCF" w:rsidP="005F1841">
            <w:pPr>
              <w:spacing w:before="60" w:after="60"/>
              <w:jc w:val="center"/>
              <w:rPr>
                <w:rFonts w:eastAsia="Times New Roman" w:cstheme="minorHAnsi"/>
                <w:color w:val="000000"/>
                <w:sz w:val="20"/>
                <w:szCs w:val="20"/>
                <w:lang w:eastAsia="en-AU"/>
              </w:rPr>
            </w:pPr>
            <w:r>
              <w:rPr>
                <w:rFonts w:ascii="Arial" w:hAnsi="Arial" w:cs="Arial"/>
                <w:color w:val="000000"/>
                <w:sz w:val="20"/>
                <w:szCs w:val="20"/>
              </w:rPr>
              <w:t>129.67</w:t>
            </w:r>
          </w:p>
        </w:tc>
        <w:tc>
          <w:tcPr>
            <w:tcW w:w="1491" w:type="dxa"/>
            <w:shd w:val="clear" w:color="auto" w:fill="D4D6DF"/>
            <w:noWrap/>
            <w:vAlign w:val="center"/>
            <w:hideMark/>
          </w:tcPr>
          <w:p w14:paraId="7EBF2511" w14:textId="2477E3AA" w:rsidR="001D7CCF" w:rsidRPr="00E967EF" w:rsidRDefault="001D7CCF" w:rsidP="005F1841">
            <w:pPr>
              <w:spacing w:before="60" w:after="60"/>
              <w:jc w:val="center"/>
              <w:rPr>
                <w:rFonts w:eastAsia="Times New Roman" w:cstheme="minorHAnsi"/>
                <w:i/>
                <w:color w:val="000000"/>
                <w:sz w:val="20"/>
                <w:szCs w:val="20"/>
                <w:lang w:eastAsia="en-AU"/>
              </w:rPr>
            </w:pPr>
            <w:r>
              <w:rPr>
                <w:rFonts w:ascii="Arial" w:hAnsi="Arial" w:cs="Arial"/>
                <w:color w:val="000000"/>
                <w:sz w:val="20"/>
                <w:szCs w:val="20"/>
              </w:rPr>
              <w:t>76.18</w:t>
            </w:r>
          </w:p>
        </w:tc>
        <w:tc>
          <w:tcPr>
            <w:tcW w:w="1491" w:type="dxa"/>
            <w:shd w:val="clear" w:color="auto" w:fill="D4D6DF"/>
            <w:vAlign w:val="center"/>
          </w:tcPr>
          <w:p w14:paraId="44DE5B4E" w14:textId="3C00E534" w:rsidR="001D7CCF" w:rsidRPr="00782AD7" w:rsidRDefault="001D7CCF" w:rsidP="005F1841">
            <w:pPr>
              <w:spacing w:before="60" w:after="60"/>
              <w:jc w:val="center"/>
              <w:rPr>
                <w:rFonts w:cstheme="minorHAnsi"/>
                <w:color w:val="000000"/>
                <w:sz w:val="20"/>
                <w:szCs w:val="20"/>
              </w:rPr>
            </w:pPr>
            <w:r w:rsidRPr="00782AD7">
              <w:rPr>
                <w:rFonts w:ascii="Arial" w:hAnsi="Arial" w:cs="Arial"/>
                <w:color w:val="000000"/>
                <w:sz w:val="20"/>
                <w:szCs w:val="20"/>
              </w:rPr>
              <w:t>L</w:t>
            </w:r>
            <w:r w:rsidR="00D76FE0" w:rsidRPr="00782AD7">
              <w:rPr>
                <w:rFonts w:ascii="Arial" w:hAnsi="Arial" w:cs="Arial"/>
                <w:color w:val="000000"/>
                <w:sz w:val="20"/>
                <w:szCs w:val="20"/>
              </w:rPr>
              <w:t>ow</w:t>
            </w:r>
          </w:p>
        </w:tc>
      </w:tr>
      <w:tr w:rsidR="001D7CCF" w:rsidRPr="002579C4" w14:paraId="57665DA4" w14:textId="7E78596C" w:rsidTr="005F1841">
        <w:trPr>
          <w:trHeight w:val="225"/>
        </w:trPr>
        <w:tc>
          <w:tcPr>
            <w:tcW w:w="2108" w:type="dxa"/>
            <w:hideMark/>
          </w:tcPr>
          <w:p w14:paraId="7C39009F" w14:textId="1F113FFF" w:rsidR="001D7CCF" w:rsidRPr="005B63FB" w:rsidRDefault="001D7CCF" w:rsidP="001D7CCF">
            <w:pPr>
              <w:spacing w:before="60" w:after="60"/>
              <w:rPr>
                <w:rFonts w:eastAsia="Times New Roman" w:cstheme="minorHAnsi"/>
                <w:color w:val="000000"/>
                <w:sz w:val="20"/>
                <w:szCs w:val="20"/>
                <w:lang w:eastAsia="en-AU"/>
              </w:rPr>
            </w:pPr>
            <w:r w:rsidRPr="005B63FB">
              <w:rPr>
                <w:rFonts w:cstheme="minorHAnsi"/>
                <w:color w:val="000000"/>
                <w:sz w:val="20"/>
                <w:szCs w:val="20"/>
              </w:rPr>
              <w:lastRenderedPageBreak/>
              <w:t>I</w:t>
            </w:r>
            <w:r w:rsidR="003F51CE">
              <w:rPr>
                <w:rFonts w:cstheme="minorHAnsi"/>
                <w:color w:val="000000"/>
                <w:sz w:val="20"/>
                <w:szCs w:val="20"/>
              </w:rPr>
              <w:t>ntegrated Water Management (I</w:t>
            </w:r>
            <w:r w:rsidRPr="005B63FB">
              <w:rPr>
                <w:rFonts w:cstheme="minorHAnsi"/>
                <w:color w:val="000000"/>
                <w:sz w:val="20"/>
                <w:szCs w:val="20"/>
              </w:rPr>
              <w:t>WM</w:t>
            </w:r>
            <w:r w:rsidR="003F51CE">
              <w:rPr>
                <w:rFonts w:cstheme="minorHAnsi"/>
                <w:color w:val="000000"/>
                <w:sz w:val="20"/>
                <w:szCs w:val="20"/>
              </w:rPr>
              <w:t>)</w:t>
            </w:r>
            <w:r w:rsidRPr="005B63FB">
              <w:rPr>
                <w:rFonts w:cstheme="minorHAnsi"/>
                <w:color w:val="000000"/>
                <w:sz w:val="20"/>
                <w:szCs w:val="20"/>
              </w:rPr>
              <w:t xml:space="preserve"> Schemes</w:t>
            </w:r>
          </w:p>
        </w:tc>
        <w:tc>
          <w:tcPr>
            <w:tcW w:w="1201" w:type="dxa"/>
            <w:noWrap/>
            <w:vAlign w:val="center"/>
            <w:hideMark/>
          </w:tcPr>
          <w:p w14:paraId="31D9BC10" w14:textId="7B5D9C37" w:rsidR="001D7CCF" w:rsidRPr="005B63FB" w:rsidRDefault="001D7CCF" w:rsidP="005F1841">
            <w:pPr>
              <w:spacing w:before="60" w:after="60"/>
              <w:jc w:val="center"/>
              <w:rPr>
                <w:rFonts w:eastAsia="Times New Roman" w:cstheme="minorHAnsi"/>
                <w:color w:val="000000"/>
                <w:sz w:val="20"/>
                <w:szCs w:val="20"/>
                <w:lang w:eastAsia="en-AU"/>
              </w:rPr>
            </w:pPr>
            <w:r>
              <w:rPr>
                <w:rFonts w:ascii="Arial" w:hAnsi="Arial" w:cs="Arial"/>
                <w:color w:val="000000"/>
                <w:sz w:val="20"/>
                <w:szCs w:val="20"/>
              </w:rPr>
              <w:t>74.04</w:t>
            </w:r>
          </w:p>
        </w:tc>
        <w:tc>
          <w:tcPr>
            <w:tcW w:w="1491" w:type="dxa"/>
            <w:noWrap/>
            <w:vAlign w:val="center"/>
            <w:hideMark/>
          </w:tcPr>
          <w:p w14:paraId="091085A9" w14:textId="7700FAE4" w:rsidR="001D7CCF" w:rsidRPr="005B63FB" w:rsidRDefault="001D7CCF" w:rsidP="005F1841">
            <w:pPr>
              <w:spacing w:before="60" w:after="60"/>
              <w:jc w:val="center"/>
              <w:rPr>
                <w:rFonts w:eastAsia="Times New Roman" w:cstheme="minorHAnsi"/>
                <w:color w:val="000000"/>
                <w:sz w:val="20"/>
                <w:szCs w:val="20"/>
                <w:lang w:eastAsia="en-AU"/>
              </w:rPr>
            </w:pPr>
            <w:r>
              <w:rPr>
                <w:rFonts w:ascii="Arial" w:hAnsi="Arial" w:cs="Arial"/>
                <w:color w:val="000000"/>
                <w:sz w:val="20"/>
                <w:szCs w:val="20"/>
              </w:rPr>
              <w:t>105.24</w:t>
            </w:r>
          </w:p>
        </w:tc>
        <w:tc>
          <w:tcPr>
            <w:tcW w:w="1713" w:type="dxa"/>
            <w:noWrap/>
            <w:vAlign w:val="center"/>
            <w:hideMark/>
          </w:tcPr>
          <w:p w14:paraId="59E461AF" w14:textId="2AEE81F6" w:rsidR="001D7CCF" w:rsidRPr="005B63FB" w:rsidRDefault="001D7CCF" w:rsidP="005F1841">
            <w:pPr>
              <w:spacing w:before="60" w:after="60"/>
              <w:jc w:val="center"/>
              <w:rPr>
                <w:rFonts w:eastAsia="Times New Roman" w:cstheme="minorHAnsi"/>
                <w:color w:val="000000"/>
                <w:sz w:val="20"/>
                <w:szCs w:val="20"/>
                <w:lang w:eastAsia="en-AU"/>
              </w:rPr>
            </w:pPr>
            <w:r>
              <w:rPr>
                <w:rFonts w:ascii="Arial" w:hAnsi="Arial" w:cs="Arial"/>
                <w:color w:val="000000"/>
                <w:sz w:val="20"/>
                <w:szCs w:val="20"/>
              </w:rPr>
              <w:t>174.45</w:t>
            </w:r>
          </w:p>
        </w:tc>
        <w:tc>
          <w:tcPr>
            <w:tcW w:w="1491" w:type="dxa"/>
            <w:noWrap/>
            <w:vAlign w:val="center"/>
            <w:hideMark/>
          </w:tcPr>
          <w:p w14:paraId="298466BE" w14:textId="6461A2DC" w:rsidR="001D7CCF" w:rsidRPr="00E967EF" w:rsidRDefault="001D7CCF" w:rsidP="005F1841">
            <w:pPr>
              <w:spacing w:before="60" w:after="60"/>
              <w:jc w:val="center"/>
              <w:rPr>
                <w:rFonts w:eastAsia="Times New Roman" w:cstheme="minorHAnsi"/>
                <w:i/>
                <w:color w:val="000000"/>
                <w:sz w:val="20"/>
                <w:szCs w:val="20"/>
                <w:lang w:eastAsia="en-AU"/>
              </w:rPr>
            </w:pPr>
            <w:r>
              <w:rPr>
                <w:rFonts w:ascii="Arial" w:hAnsi="Arial" w:cs="Arial"/>
                <w:color w:val="000000"/>
                <w:sz w:val="20"/>
                <w:szCs w:val="20"/>
              </w:rPr>
              <w:t>74.04</w:t>
            </w:r>
          </w:p>
        </w:tc>
        <w:tc>
          <w:tcPr>
            <w:tcW w:w="1491" w:type="dxa"/>
            <w:vAlign w:val="center"/>
          </w:tcPr>
          <w:p w14:paraId="2C760A09" w14:textId="0965D6A2" w:rsidR="001D7CCF" w:rsidRPr="00782AD7" w:rsidRDefault="001D7CCF" w:rsidP="005F1841">
            <w:pPr>
              <w:spacing w:before="60" w:after="60"/>
              <w:jc w:val="center"/>
              <w:rPr>
                <w:rFonts w:cstheme="minorHAnsi"/>
                <w:color w:val="000000"/>
                <w:sz w:val="20"/>
                <w:szCs w:val="20"/>
              </w:rPr>
            </w:pPr>
            <w:r w:rsidRPr="00782AD7">
              <w:rPr>
                <w:rFonts w:ascii="Arial" w:hAnsi="Arial" w:cs="Arial"/>
                <w:color w:val="000000"/>
                <w:sz w:val="20"/>
                <w:szCs w:val="20"/>
              </w:rPr>
              <w:t>L</w:t>
            </w:r>
            <w:r w:rsidR="00D76FE0" w:rsidRPr="00782AD7">
              <w:rPr>
                <w:rFonts w:ascii="Arial" w:hAnsi="Arial" w:cs="Arial"/>
                <w:color w:val="000000"/>
                <w:sz w:val="20"/>
                <w:szCs w:val="20"/>
              </w:rPr>
              <w:t>ow</w:t>
            </w:r>
          </w:p>
        </w:tc>
      </w:tr>
      <w:tr w:rsidR="001D7CCF" w:rsidRPr="002579C4" w14:paraId="25DAC730" w14:textId="2BE6DF8F" w:rsidTr="005F1841">
        <w:trPr>
          <w:trHeight w:val="225"/>
        </w:trPr>
        <w:tc>
          <w:tcPr>
            <w:tcW w:w="2108" w:type="dxa"/>
            <w:shd w:val="clear" w:color="auto" w:fill="D4D6DF"/>
            <w:hideMark/>
          </w:tcPr>
          <w:p w14:paraId="0D233585" w14:textId="25ECB9F1" w:rsidR="001D7CCF" w:rsidRPr="005B63FB" w:rsidRDefault="001D7CCF" w:rsidP="001D7CCF">
            <w:pPr>
              <w:spacing w:before="60" w:after="60"/>
              <w:rPr>
                <w:rFonts w:eastAsia="Times New Roman" w:cstheme="minorHAnsi"/>
                <w:color w:val="000000"/>
                <w:sz w:val="20"/>
                <w:szCs w:val="20"/>
                <w:lang w:eastAsia="en-AU"/>
              </w:rPr>
            </w:pPr>
            <w:r w:rsidRPr="005B63FB">
              <w:rPr>
                <w:rFonts w:cstheme="minorHAnsi"/>
                <w:color w:val="000000"/>
                <w:sz w:val="20"/>
                <w:szCs w:val="20"/>
              </w:rPr>
              <w:t xml:space="preserve">Potable </w:t>
            </w:r>
            <w:r w:rsidR="003F51CE">
              <w:rPr>
                <w:rFonts w:cstheme="minorHAnsi"/>
                <w:color w:val="000000"/>
                <w:sz w:val="20"/>
                <w:szCs w:val="20"/>
              </w:rPr>
              <w:t>w</w:t>
            </w:r>
            <w:r w:rsidRPr="005B63FB">
              <w:rPr>
                <w:rFonts w:cstheme="minorHAnsi"/>
                <w:color w:val="000000"/>
                <w:sz w:val="20"/>
                <w:szCs w:val="20"/>
              </w:rPr>
              <w:t xml:space="preserve">ater </w:t>
            </w:r>
            <w:r w:rsidR="003F51CE">
              <w:rPr>
                <w:rFonts w:cstheme="minorHAnsi"/>
                <w:color w:val="000000"/>
                <w:sz w:val="20"/>
                <w:szCs w:val="20"/>
              </w:rPr>
              <w:t>q</w:t>
            </w:r>
            <w:r w:rsidRPr="005B63FB">
              <w:rPr>
                <w:rFonts w:cstheme="minorHAnsi"/>
                <w:color w:val="000000"/>
                <w:sz w:val="20"/>
                <w:szCs w:val="20"/>
              </w:rPr>
              <w:t>uality</w:t>
            </w:r>
          </w:p>
        </w:tc>
        <w:tc>
          <w:tcPr>
            <w:tcW w:w="1201" w:type="dxa"/>
            <w:shd w:val="clear" w:color="auto" w:fill="D4D6DF"/>
            <w:noWrap/>
            <w:vAlign w:val="center"/>
            <w:hideMark/>
          </w:tcPr>
          <w:p w14:paraId="1AC8FA19" w14:textId="70C5A247" w:rsidR="001D7CCF" w:rsidRPr="005B63FB" w:rsidRDefault="001D7CCF" w:rsidP="005F1841">
            <w:pPr>
              <w:spacing w:before="60" w:after="60"/>
              <w:jc w:val="center"/>
              <w:rPr>
                <w:rFonts w:eastAsia="Times New Roman" w:cstheme="minorHAnsi"/>
                <w:color w:val="000000"/>
                <w:sz w:val="20"/>
                <w:szCs w:val="20"/>
                <w:lang w:eastAsia="en-AU"/>
              </w:rPr>
            </w:pPr>
            <w:r>
              <w:rPr>
                <w:rFonts w:ascii="Arial" w:hAnsi="Arial" w:cs="Arial"/>
                <w:color w:val="000000"/>
                <w:sz w:val="20"/>
                <w:szCs w:val="20"/>
              </w:rPr>
              <w:t>40.54</w:t>
            </w:r>
          </w:p>
        </w:tc>
        <w:tc>
          <w:tcPr>
            <w:tcW w:w="1491" w:type="dxa"/>
            <w:shd w:val="clear" w:color="auto" w:fill="D4D6DF"/>
            <w:noWrap/>
            <w:vAlign w:val="center"/>
            <w:hideMark/>
          </w:tcPr>
          <w:p w14:paraId="2B2F4F33" w14:textId="44AAC970" w:rsidR="001D7CCF" w:rsidRPr="005B63FB" w:rsidRDefault="001D7CCF" w:rsidP="005F1841">
            <w:pPr>
              <w:spacing w:before="60" w:after="60"/>
              <w:jc w:val="center"/>
              <w:rPr>
                <w:rFonts w:eastAsia="Times New Roman" w:cstheme="minorHAnsi"/>
                <w:color w:val="000000"/>
                <w:sz w:val="20"/>
                <w:szCs w:val="20"/>
                <w:lang w:eastAsia="en-AU"/>
              </w:rPr>
            </w:pPr>
            <w:r>
              <w:rPr>
                <w:rFonts w:ascii="Arial" w:hAnsi="Arial" w:cs="Arial"/>
                <w:color w:val="000000"/>
                <w:sz w:val="20"/>
                <w:szCs w:val="20"/>
              </w:rPr>
              <w:t>63.14</w:t>
            </w:r>
          </w:p>
        </w:tc>
        <w:tc>
          <w:tcPr>
            <w:tcW w:w="1713" w:type="dxa"/>
            <w:shd w:val="clear" w:color="auto" w:fill="D4D6DF"/>
            <w:noWrap/>
            <w:vAlign w:val="center"/>
            <w:hideMark/>
          </w:tcPr>
          <w:p w14:paraId="50FE2142" w14:textId="534B0DC2" w:rsidR="001D7CCF" w:rsidRPr="005B63FB" w:rsidRDefault="001D7CCF" w:rsidP="005F1841">
            <w:pPr>
              <w:spacing w:before="60" w:after="60"/>
              <w:jc w:val="center"/>
              <w:rPr>
                <w:rFonts w:eastAsia="Times New Roman" w:cstheme="minorHAnsi"/>
                <w:color w:val="000000"/>
                <w:sz w:val="20"/>
                <w:szCs w:val="20"/>
                <w:lang w:eastAsia="en-AU"/>
              </w:rPr>
            </w:pPr>
            <w:r>
              <w:rPr>
                <w:rFonts w:ascii="Arial" w:hAnsi="Arial" w:cs="Arial"/>
                <w:color w:val="000000"/>
                <w:sz w:val="20"/>
                <w:szCs w:val="20"/>
              </w:rPr>
              <w:t>93.16</w:t>
            </w:r>
          </w:p>
        </w:tc>
        <w:tc>
          <w:tcPr>
            <w:tcW w:w="1491" w:type="dxa"/>
            <w:shd w:val="clear" w:color="auto" w:fill="D4D6DF"/>
            <w:noWrap/>
            <w:vAlign w:val="center"/>
            <w:hideMark/>
          </w:tcPr>
          <w:p w14:paraId="404EB0A0" w14:textId="324118DA" w:rsidR="001D7CCF" w:rsidRPr="00E967EF" w:rsidRDefault="001D7CCF" w:rsidP="005F1841">
            <w:pPr>
              <w:spacing w:before="60" w:after="60"/>
              <w:jc w:val="center"/>
              <w:rPr>
                <w:rFonts w:eastAsia="Times New Roman" w:cstheme="minorHAnsi"/>
                <w:i/>
                <w:color w:val="000000"/>
                <w:sz w:val="20"/>
                <w:szCs w:val="20"/>
                <w:lang w:eastAsia="en-AU"/>
              </w:rPr>
            </w:pPr>
            <w:r>
              <w:rPr>
                <w:rFonts w:ascii="Arial" w:hAnsi="Arial" w:cs="Arial"/>
                <w:color w:val="000000"/>
                <w:sz w:val="20"/>
                <w:szCs w:val="20"/>
              </w:rPr>
              <w:t>63.14</w:t>
            </w:r>
          </w:p>
        </w:tc>
        <w:tc>
          <w:tcPr>
            <w:tcW w:w="1491" w:type="dxa"/>
            <w:shd w:val="clear" w:color="auto" w:fill="D4D6DF"/>
            <w:vAlign w:val="center"/>
          </w:tcPr>
          <w:p w14:paraId="24F5B9B8" w14:textId="2E666263" w:rsidR="001D7CCF" w:rsidRPr="00782AD7" w:rsidRDefault="001D7CCF" w:rsidP="005F1841">
            <w:pPr>
              <w:spacing w:before="60" w:after="60"/>
              <w:jc w:val="center"/>
              <w:rPr>
                <w:rFonts w:cstheme="minorHAnsi"/>
                <w:color w:val="000000"/>
                <w:sz w:val="20"/>
                <w:szCs w:val="20"/>
              </w:rPr>
            </w:pPr>
            <w:r w:rsidRPr="00782AD7">
              <w:rPr>
                <w:rFonts w:ascii="Arial" w:hAnsi="Arial" w:cs="Arial"/>
                <w:color w:val="000000"/>
                <w:sz w:val="20"/>
                <w:szCs w:val="20"/>
              </w:rPr>
              <w:t>M</w:t>
            </w:r>
            <w:r w:rsidR="00D76FE0" w:rsidRPr="00782AD7">
              <w:rPr>
                <w:rFonts w:ascii="Arial" w:hAnsi="Arial" w:cs="Arial"/>
                <w:color w:val="000000"/>
                <w:sz w:val="20"/>
                <w:szCs w:val="20"/>
              </w:rPr>
              <w:t>edium</w:t>
            </w:r>
          </w:p>
        </w:tc>
      </w:tr>
      <w:tr w:rsidR="001D7CCF" w:rsidRPr="002579C4" w14:paraId="6D382202" w14:textId="09142C71" w:rsidTr="005F1841">
        <w:trPr>
          <w:trHeight w:val="225"/>
        </w:trPr>
        <w:tc>
          <w:tcPr>
            <w:tcW w:w="2108" w:type="dxa"/>
            <w:hideMark/>
          </w:tcPr>
          <w:p w14:paraId="551846D7" w14:textId="7E803167" w:rsidR="001D7CCF" w:rsidRPr="005B63FB" w:rsidRDefault="001D7CCF" w:rsidP="001D7CCF">
            <w:pPr>
              <w:spacing w:before="60" w:after="60"/>
              <w:rPr>
                <w:rFonts w:eastAsia="Times New Roman" w:cstheme="minorHAnsi"/>
                <w:color w:val="000000"/>
                <w:sz w:val="20"/>
                <w:szCs w:val="20"/>
                <w:lang w:eastAsia="en-AU"/>
              </w:rPr>
            </w:pPr>
            <w:r w:rsidRPr="005B63FB">
              <w:rPr>
                <w:rFonts w:cstheme="minorHAnsi"/>
                <w:color w:val="000000"/>
                <w:sz w:val="20"/>
                <w:szCs w:val="20"/>
              </w:rPr>
              <w:t xml:space="preserve">Recycled </w:t>
            </w:r>
            <w:r w:rsidR="003F51CE">
              <w:rPr>
                <w:rFonts w:cstheme="minorHAnsi"/>
                <w:color w:val="000000"/>
                <w:sz w:val="20"/>
                <w:szCs w:val="20"/>
              </w:rPr>
              <w:t>w</w:t>
            </w:r>
            <w:r w:rsidRPr="005B63FB">
              <w:rPr>
                <w:rFonts w:cstheme="minorHAnsi"/>
                <w:color w:val="000000"/>
                <w:sz w:val="20"/>
                <w:szCs w:val="20"/>
              </w:rPr>
              <w:t xml:space="preserve">ater </w:t>
            </w:r>
            <w:r w:rsidR="003F51CE">
              <w:rPr>
                <w:rFonts w:cstheme="minorHAnsi"/>
                <w:color w:val="000000"/>
                <w:sz w:val="20"/>
                <w:szCs w:val="20"/>
              </w:rPr>
              <w:t>g</w:t>
            </w:r>
            <w:r w:rsidRPr="005B63FB">
              <w:rPr>
                <w:rFonts w:cstheme="minorHAnsi"/>
                <w:color w:val="000000"/>
                <w:sz w:val="20"/>
                <w:szCs w:val="20"/>
              </w:rPr>
              <w:t>rowth</w:t>
            </w:r>
          </w:p>
        </w:tc>
        <w:tc>
          <w:tcPr>
            <w:tcW w:w="1201" w:type="dxa"/>
            <w:noWrap/>
            <w:vAlign w:val="center"/>
            <w:hideMark/>
          </w:tcPr>
          <w:p w14:paraId="1F628E1C" w14:textId="77F615C6" w:rsidR="001D7CCF" w:rsidRPr="005B63FB" w:rsidRDefault="001D7CCF" w:rsidP="005F1841">
            <w:pPr>
              <w:spacing w:before="60" w:after="60"/>
              <w:jc w:val="center"/>
              <w:rPr>
                <w:rFonts w:eastAsia="Times New Roman" w:cstheme="minorHAnsi"/>
                <w:color w:val="000000"/>
                <w:sz w:val="20"/>
                <w:szCs w:val="20"/>
                <w:lang w:eastAsia="en-AU"/>
              </w:rPr>
            </w:pPr>
            <w:r>
              <w:rPr>
                <w:rFonts w:ascii="Arial" w:hAnsi="Arial" w:cs="Arial"/>
                <w:color w:val="000000"/>
                <w:sz w:val="20"/>
                <w:szCs w:val="20"/>
              </w:rPr>
              <w:t>58.16</w:t>
            </w:r>
          </w:p>
        </w:tc>
        <w:tc>
          <w:tcPr>
            <w:tcW w:w="1491" w:type="dxa"/>
            <w:noWrap/>
            <w:vAlign w:val="center"/>
            <w:hideMark/>
          </w:tcPr>
          <w:p w14:paraId="22F28025" w14:textId="558A5D47" w:rsidR="001D7CCF" w:rsidRPr="005B63FB" w:rsidRDefault="001D7CCF" w:rsidP="005F1841">
            <w:pPr>
              <w:spacing w:before="60" w:after="60"/>
              <w:jc w:val="center"/>
              <w:rPr>
                <w:rFonts w:eastAsia="Times New Roman" w:cstheme="minorHAnsi"/>
                <w:color w:val="000000"/>
                <w:sz w:val="20"/>
                <w:szCs w:val="20"/>
                <w:lang w:eastAsia="en-AU"/>
              </w:rPr>
            </w:pPr>
            <w:r>
              <w:rPr>
                <w:rFonts w:ascii="Arial" w:hAnsi="Arial" w:cs="Arial"/>
                <w:color w:val="000000"/>
                <w:sz w:val="20"/>
                <w:szCs w:val="20"/>
              </w:rPr>
              <w:t>84.02</w:t>
            </w:r>
          </w:p>
        </w:tc>
        <w:tc>
          <w:tcPr>
            <w:tcW w:w="1713" w:type="dxa"/>
            <w:noWrap/>
            <w:vAlign w:val="center"/>
            <w:hideMark/>
          </w:tcPr>
          <w:p w14:paraId="4C2AD937" w14:textId="2159B41B" w:rsidR="001D7CCF" w:rsidRPr="005B63FB" w:rsidRDefault="001D7CCF" w:rsidP="005F1841">
            <w:pPr>
              <w:spacing w:before="60" w:after="60"/>
              <w:jc w:val="center"/>
              <w:rPr>
                <w:rFonts w:eastAsia="Times New Roman" w:cstheme="minorHAnsi"/>
                <w:color w:val="000000"/>
                <w:sz w:val="20"/>
                <w:szCs w:val="20"/>
                <w:lang w:eastAsia="en-AU"/>
              </w:rPr>
            </w:pPr>
            <w:r>
              <w:rPr>
                <w:rFonts w:ascii="Arial" w:hAnsi="Arial" w:cs="Arial"/>
                <w:color w:val="000000"/>
                <w:sz w:val="20"/>
                <w:szCs w:val="20"/>
              </w:rPr>
              <w:t>99.59</w:t>
            </w:r>
          </w:p>
        </w:tc>
        <w:tc>
          <w:tcPr>
            <w:tcW w:w="1491" w:type="dxa"/>
            <w:noWrap/>
            <w:vAlign w:val="center"/>
            <w:hideMark/>
          </w:tcPr>
          <w:p w14:paraId="22DC01A7" w14:textId="2363477A" w:rsidR="001D7CCF" w:rsidRPr="00E967EF" w:rsidRDefault="001D7CCF" w:rsidP="005F1841">
            <w:pPr>
              <w:spacing w:before="60" w:after="60"/>
              <w:jc w:val="center"/>
              <w:rPr>
                <w:rFonts w:eastAsia="Times New Roman" w:cstheme="minorHAnsi"/>
                <w:i/>
                <w:color w:val="000000"/>
                <w:sz w:val="20"/>
                <w:szCs w:val="20"/>
                <w:lang w:eastAsia="en-AU"/>
              </w:rPr>
            </w:pPr>
            <w:r>
              <w:rPr>
                <w:rFonts w:ascii="Arial" w:hAnsi="Arial" w:cs="Arial"/>
                <w:color w:val="000000"/>
                <w:sz w:val="20"/>
                <w:szCs w:val="20"/>
              </w:rPr>
              <w:t>58.16</w:t>
            </w:r>
          </w:p>
        </w:tc>
        <w:tc>
          <w:tcPr>
            <w:tcW w:w="1491" w:type="dxa"/>
            <w:vAlign w:val="center"/>
          </w:tcPr>
          <w:p w14:paraId="73C51C4F" w14:textId="3BB64F84" w:rsidR="001D7CCF" w:rsidRPr="00782AD7" w:rsidRDefault="001D7CCF" w:rsidP="005F1841">
            <w:pPr>
              <w:spacing w:before="60" w:after="60"/>
              <w:jc w:val="center"/>
              <w:rPr>
                <w:rFonts w:cstheme="minorHAnsi"/>
                <w:color w:val="000000"/>
                <w:sz w:val="20"/>
                <w:szCs w:val="20"/>
              </w:rPr>
            </w:pPr>
            <w:r w:rsidRPr="00782AD7">
              <w:rPr>
                <w:rFonts w:ascii="Arial" w:hAnsi="Arial" w:cs="Arial"/>
                <w:color w:val="000000"/>
                <w:sz w:val="20"/>
                <w:szCs w:val="20"/>
              </w:rPr>
              <w:t>L</w:t>
            </w:r>
            <w:r w:rsidR="00D76FE0" w:rsidRPr="00782AD7">
              <w:rPr>
                <w:rFonts w:ascii="Arial" w:hAnsi="Arial" w:cs="Arial"/>
                <w:color w:val="000000"/>
                <w:sz w:val="20"/>
                <w:szCs w:val="20"/>
              </w:rPr>
              <w:t>ow</w:t>
            </w:r>
          </w:p>
        </w:tc>
      </w:tr>
      <w:tr w:rsidR="001D7CCF" w:rsidRPr="002579C4" w14:paraId="0545BC5B" w14:textId="2E0D090D" w:rsidTr="005F1841">
        <w:trPr>
          <w:trHeight w:val="225"/>
        </w:trPr>
        <w:tc>
          <w:tcPr>
            <w:tcW w:w="2108" w:type="dxa"/>
            <w:shd w:val="clear" w:color="auto" w:fill="D4D6DF"/>
            <w:vAlign w:val="center"/>
            <w:hideMark/>
          </w:tcPr>
          <w:p w14:paraId="1D7D855D" w14:textId="31ACBE2F" w:rsidR="001D7CCF" w:rsidRPr="005B63FB" w:rsidRDefault="001D7CCF" w:rsidP="001D7CCF">
            <w:pPr>
              <w:spacing w:before="60" w:after="60"/>
              <w:rPr>
                <w:rFonts w:eastAsia="Times New Roman" w:cstheme="minorHAnsi"/>
                <w:color w:val="000000"/>
                <w:sz w:val="20"/>
                <w:szCs w:val="20"/>
                <w:lang w:eastAsia="en-AU"/>
              </w:rPr>
            </w:pPr>
            <w:r w:rsidRPr="005B63FB">
              <w:rPr>
                <w:rFonts w:eastAsia="Times New Roman" w:cstheme="minorHAnsi"/>
                <w:color w:val="000000"/>
                <w:sz w:val="20"/>
                <w:szCs w:val="20"/>
                <w:lang w:eastAsia="en-AU"/>
              </w:rPr>
              <w:t xml:space="preserve">Sewer </w:t>
            </w:r>
            <w:r w:rsidR="003F51CE">
              <w:rPr>
                <w:rFonts w:eastAsia="Times New Roman" w:cstheme="minorHAnsi"/>
                <w:color w:val="000000"/>
                <w:sz w:val="20"/>
                <w:szCs w:val="20"/>
                <w:lang w:eastAsia="en-AU"/>
              </w:rPr>
              <w:t>b</w:t>
            </w:r>
            <w:r w:rsidRPr="005B63FB">
              <w:rPr>
                <w:rFonts w:eastAsia="Times New Roman" w:cstheme="minorHAnsi"/>
                <w:color w:val="000000"/>
                <w:sz w:val="20"/>
                <w:szCs w:val="20"/>
                <w:lang w:eastAsia="en-AU"/>
              </w:rPr>
              <w:t>acklog</w:t>
            </w:r>
          </w:p>
        </w:tc>
        <w:tc>
          <w:tcPr>
            <w:tcW w:w="1201" w:type="dxa"/>
            <w:shd w:val="clear" w:color="auto" w:fill="D4D6DF"/>
            <w:noWrap/>
            <w:vAlign w:val="center"/>
            <w:hideMark/>
          </w:tcPr>
          <w:p w14:paraId="73720425" w14:textId="2BB109C5" w:rsidR="001D7CCF" w:rsidRPr="005B63FB" w:rsidRDefault="001D7CCF" w:rsidP="005F1841">
            <w:pPr>
              <w:spacing w:before="60" w:after="60"/>
              <w:jc w:val="center"/>
              <w:rPr>
                <w:rFonts w:eastAsia="Times New Roman" w:cstheme="minorHAnsi"/>
                <w:color w:val="000000"/>
                <w:sz w:val="20"/>
                <w:szCs w:val="20"/>
                <w:lang w:eastAsia="en-AU"/>
              </w:rPr>
            </w:pPr>
            <w:r>
              <w:rPr>
                <w:rFonts w:ascii="Arial" w:hAnsi="Arial" w:cs="Arial"/>
                <w:color w:val="000000"/>
                <w:sz w:val="20"/>
                <w:szCs w:val="20"/>
              </w:rPr>
              <w:t>43.09</w:t>
            </w:r>
          </w:p>
        </w:tc>
        <w:tc>
          <w:tcPr>
            <w:tcW w:w="1491" w:type="dxa"/>
            <w:shd w:val="clear" w:color="auto" w:fill="D4D6DF"/>
            <w:noWrap/>
            <w:vAlign w:val="center"/>
            <w:hideMark/>
          </w:tcPr>
          <w:p w14:paraId="7815E497" w14:textId="7B8803BA" w:rsidR="001D7CCF" w:rsidRPr="005B63FB" w:rsidRDefault="001D7CCF" w:rsidP="005F1841">
            <w:pPr>
              <w:spacing w:before="60" w:after="60"/>
              <w:jc w:val="center"/>
              <w:rPr>
                <w:rFonts w:eastAsia="Times New Roman" w:cstheme="minorHAnsi"/>
                <w:color w:val="000000"/>
                <w:sz w:val="20"/>
                <w:szCs w:val="20"/>
                <w:lang w:eastAsia="en-AU"/>
              </w:rPr>
            </w:pPr>
            <w:r>
              <w:rPr>
                <w:rFonts w:ascii="Arial" w:hAnsi="Arial" w:cs="Arial"/>
                <w:color w:val="000000"/>
                <w:sz w:val="20"/>
                <w:szCs w:val="20"/>
              </w:rPr>
              <w:t>54.02</w:t>
            </w:r>
          </w:p>
        </w:tc>
        <w:tc>
          <w:tcPr>
            <w:tcW w:w="1713" w:type="dxa"/>
            <w:shd w:val="clear" w:color="auto" w:fill="D4D6DF"/>
            <w:noWrap/>
            <w:vAlign w:val="center"/>
            <w:hideMark/>
          </w:tcPr>
          <w:p w14:paraId="7AEF7D72" w14:textId="2E55A4BB" w:rsidR="001D7CCF" w:rsidRPr="005B63FB" w:rsidRDefault="001D7CCF" w:rsidP="005F1841">
            <w:pPr>
              <w:spacing w:before="60" w:after="60"/>
              <w:jc w:val="center"/>
              <w:rPr>
                <w:rFonts w:eastAsia="Times New Roman" w:cstheme="minorHAnsi"/>
                <w:color w:val="000000"/>
                <w:sz w:val="20"/>
                <w:szCs w:val="20"/>
                <w:lang w:eastAsia="en-AU"/>
              </w:rPr>
            </w:pPr>
            <w:r>
              <w:rPr>
                <w:rFonts w:ascii="Arial" w:hAnsi="Arial" w:cs="Arial"/>
                <w:color w:val="000000"/>
                <w:sz w:val="20"/>
                <w:szCs w:val="20"/>
              </w:rPr>
              <w:t>64.10</w:t>
            </w:r>
          </w:p>
        </w:tc>
        <w:tc>
          <w:tcPr>
            <w:tcW w:w="1491" w:type="dxa"/>
            <w:shd w:val="clear" w:color="auto" w:fill="D4D6DF"/>
            <w:noWrap/>
            <w:vAlign w:val="center"/>
            <w:hideMark/>
          </w:tcPr>
          <w:p w14:paraId="50AC83B6" w14:textId="7FA63929" w:rsidR="001D7CCF" w:rsidRPr="00E967EF" w:rsidRDefault="001D7CCF" w:rsidP="005F1841">
            <w:pPr>
              <w:spacing w:before="60" w:after="60"/>
              <w:jc w:val="center"/>
              <w:rPr>
                <w:rFonts w:eastAsia="Times New Roman" w:cstheme="minorHAnsi"/>
                <w:i/>
                <w:color w:val="000000"/>
                <w:sz w:val="20"/>
                <w:szCs w:val="20"/>
                <w:lang w:eastAsia="en-AU"/>
              </w:rPr>
            </w:pPr>
            <w:r>
              <w:rPr>
                <w:rFonts w:ascii="Arial" w:hAnsi="Arial" w:cs="Arial"/>
                <w:color w:val="000000"/>
                <w:sz w:val="20"/>
                <w:szCs w:val="20"/>
              </w:rPr>
              <w:t>54.02</w:t>
            </w:r>
          </w:p>
        </w:tc>
        <w:tc>
          <w:tcPr>
            <w:tcW w:w="1491" w:type="dxa"/>
            <w:shd w:val="clear" w:color="auto" w:fill="D4D6DF"/>
            <w:vAlign w:val="center"/>
          </w:tcPr>
          <w:p w14:paraId="5D88AAB1" w14:textId="28D942B0" w:rsidR="001D7CCF" w:rsidRPr="00782AD7" w:rsidRDefault="001D7CCF" w:rsidP="005F1841">
            <w:pPr>
              <w:spacing w:before="60" w:after="60"/>
              <w:jc w:val="center"/>
              <w:rPr>
                <w:rFonts w:cstheme="minorHAnsi"/>
                <w:color w:val="000000"/>
                <w:sz w:val="20"/>
                <w:szCs w:val="20"/>
              </w:rPr>
            </w:pPr>
            <w:r w:rsidRPr="00782AD7">
              <w:rPr>
                <w:rFonts w:ascii="Arial" w:hAnsi="Arial" w:cs="Arial"/>
                <w:color w:val="000000"/>
                <w:sz w:val="20"/>
                <w:szCs w:val="20"/>
              </w:rPr>
              <w:t>M</w:t>
            </w:r>
            <w:r w:rsidR="00D76FE0" w:rsidRPr="00782AD7">
              <w:rPr>
                <w:rFonts w:ascii="Arial" w:hAnsi="Arial" w:cs="Arial"/>
                <w:color w:val="000000"/>
                <w:sz w:val="20"/>
                <w:szCs w:val="20"/>
              </w:rPr>
              <w:t>edium</w:t>
            </w:r>
          </w:p>
        </w:tc>
      </w:tr>
      <w:tr w:rsidR="001D7CCF" w:rsidRPr="002579C4" w14:paraId="3B68014B" w14:textId="6E5E1F7C" w:rsidTr="005F1841">
        <w:trPr>
          <w:trHeight w:val="225"/>
        </w:trPr>
        <w:tc>
          <w:tcPr>
            <w:tcW w:w="2108" w:type="dxa"/>
            <w:vAlign w:val="center"/>
            <w:hideMark/>
          </w:tcPr>
          <w:p w14:paraId="5F579D5D" w14:textId="2E6B58BA" w:rsidR="001D7CCF" w:rsidRPr="005B63FB" w:rsidRDefault="001D7CCF" w:rsidP="001D7CCF">
            <w:pPr>
              <w:spacing w:before="60" w:after="60"/>
              <w:rPr>
                <w:rFonts w:eastAsia="Times New Roman" w:cstheme="minorHAnsi"/>
                <w:color w:val="000000"/>
                <w:sz w:val="20"/>
                <w:szCs w:val="20"/>
                <w:lang w:eastAsia="en-AU"/>
              </w:rPr>
            </w:pPr>
            <w:r w:rsidRPr="005B63FB">
              <w:rPr>
                <w:rFonts w:cstheme="minorHAnsi"/>
                <w:color w:val="000000"/>
                <w:sz w:val="20"/>
                <w:szCs w:val="20"/>
              </w:rPr>
              <w:t xml:space="preserve">Distributed </w:t>
            </w:r>
            <w:r w:rsidR="003F51CE">
              <w:rPr>
                <w:rFonts w:cstheme="minorHAnsi"/>
                <w:color w:val="000000"/>
                <w:sz w:val="20"/>
                <w:szCs w:val="20"/>
              </w:rPr>
              <w:t>t</w:t>
            </w:r>
            <w:r w:rsidRPr="005B63FB">
              <w:rPr>
                <w:rFonts w:cstheme="minorHAnsi"/>
                <w:color w:val="000000"/>
                <w:sz w:val="20"/>
                <w:szCs w:val="20"/>
              </w:rPr>
              <w:t>reatment</w:t>
            </w:r>
          </w:p>
        </w:tc>
        <w:tc>
          <w:tcPr>
            <w:tcW w:w="1201" w:type="dxa"/>
            <w:noWrap/>
            <w:vAlign w:val="center"/>
            <w:hideMark/>
          </w:tcPr>
          <w:p w14:paraId="3F3CDC5D" w14:textId="19C2D0F8" w:rsidR="001D7CCF" w:rsidRPr="005B63FB" w:rsidRDefault="001D7CCF" w:rsidP="005F1841">
            <w:pPr>
              <w:spacing w:before="60" w:after="60"/>
              <w:jc w:val="center"/>
              <w:rPr>
                <w:rFonts w:eastAsia="Times New Roman" w:cstheme="minorHAnsi"/>
                <w:color w:val="000000"/>
                <w:sz w:val="20"/>
                <w:szCs w:val="20"/>
                <w:lang w:eastAsia="en-AU"/>
              </w:rPr>
            </w:pPr>
            <w:r>
              <w:rPr>
                <w:rFonts w:ascii="Arial" w:hAnsi="Arial" w:cs="Arial"/>
                <w:color w:val="000000"/>
                <w:sz w:val="20"/>
                <w:szCs w:val="20"/>
              </w:rPr>
              <w:t>32.37</w:t>
            </w:r>
          </w:p>
        </w:tc>
        <w:tc>
          <w:tcPr>
            <w:tcW w:w="1491" w:type="dxa"/>
            <w:noWrap/>
            <w:vAlign w:val="center"/>
            <w:hideMark/>
          </w:tcPr>
          <w:p w14:paraId="1CDEC4FD" w14:textId="231A0E9D" w:rsidR="001D7CCF" w:rsidRPr="005B63FB" w:rsidRDefault="001D7CCF" w:rsidP="005F1841">
            <w:pPr>
              <w:spacing w:before="60" w:after="60"/>
              <w:jc w:val="center"/>
              <w:rPr>
                <w:rFonts w:eastAsia="Times New Roman" w:cstheme="minorHAnsi"/>
                <w:color w:val="000000"/>
                <w:sz w:val="20"/>
                <w:szCs w:val="20"/>
                <w:lang w:eastAsia="en-AU"/>
              </w:rPr>
            </w:pPr>
            <w:r>
              <w:rPr>
                <w:rFonts w:ascii="Arial" w:hAnsi="Arial" w:cs="Arial"/>
                <w:color w:val="000000"/>
                <w:sz w:val="20"/>
                <w:szCs w:val="20"/>
              </w:rPr>
              <w:t>61.53</w:t>
            </w:r>
          </w:p>
        </w:tc>
        <w:tc>
          <w:tcPr>
            <w:tcW w:w="1713" w:type="dxa"/>
            <w:noWrap/>
            <w:vAlign w:val="center"/>
            <w:hideMark/>
          </w:tcPr>
          <w:p w14:paraId="2937D249" w14:textId="1A64ED14" w:rsidR="001D7CCF" w:rsidRPr="005B63FB" w:rsidRDefault="001D7CCF" w:rsidP="005F1841">
            <w:pPr>
              <w:spacing w:before="60" w:after="60"/>
              <w:jc w:val="center"/>
              <w:rPr>
                <w:rFonts w:eastAsia="Times New Roman" w:cstheme="minorHAnsi"/>
                <w:color w:val="000000"/>
                <w:sz w:val="20"/>
                <w:szCs w:val="20"/>
                <w:lang w:eastAsia="en-AU"/>
              </w:rPr>
            </w:pPr>
            <w:r>
              <w:rPr>
                <w:rFonts w:ascii="Arial" w:hAnsi="Arial" w:cs="Arial"/>
                <w:color w:val="000000"/>
                <w:sz w:val="20"/>
                <w:szCs w:val="20"/>
              </w:rPr>
              <w:t>153.22</w:t>
            </w:r>
          </w:p>
        </w:tc>
        <w:tc>
          <w:tcPr>
            <w:tcW w:w="1491" w:type="dxa"/>
            <w:noWrap/>
            <w:vAlign w:val="center"/>
            <w:hideMark/>
          </w:tcPr>
          <w:p w14:paraId="5D8B1315" w14:textId="53606B1E" w:rsidR="001D7CCF" w:rsidRPr="00E967EF" w:rsidRDefault="001D7CCF" w:rsidP="005F1841">
            <w:pPr>
              <w:spacing w:before="60" w:after="60"/>
              <w:jc w:val="center"/>
              <w:rPr>
                <w:rFonts w:eastAsia="Times New Roman" w:cstheme="minorHAnsi"/>
                <w:i/>
                <w:color w:val="000000"/>
                <w:sz w:val="20"/>
                <w:szCs w:val="20"/>
                <w:lang w:eastAsia="en-AU"/>
              </w:rPr>
            </w:pPr>
            <w:r>
              <w:rPr>
                <w:rFonts w:ascii="Arial" w:hAnsi="Arial" w:cs="Arial"/>
                <w:color w:val="000000"/>
                <w:sz w:val="20"/>
                <w:szCs w:val="20"/>
              </w:rPr>
              <w:t>51.02</w:t>
            </w:r>
          </w:p>
        </w:tc>
        <w:tc>
          <w:tcPr>
            <w:tcW w:w="1491" w:type="dxa"/>
            <w:vAlign w:val="center"/>
          </w:tcPr>
          <w:p w14:paraId="41BF169A" w14:textId="389A42DD" w:rsidR="001D7CCF" w:rsidRPr="00782AD7" w:rsidRDefault="001D7CCF" w:rsidP="005F1841">
            <w:pPr>
              <w:spacing w:before="60" w:after="60"/>
              <w:jc w:val="center"/>
              <w:rPr>
                <w:rFonts w:cstheme="minorHAnsi"/>
                <w:color w:val="000000"/>
                <w:sz w:val="20"/>
                <w:szCs w:val="20"/>
              </w:rPr>
            </w:pPr>
            <w:r w:rsidRPr="00782AD7">
              <w:rPr>
                <w:rFonts w:ascii="Arial" w:hAnsi="Arial" w:cs="Arial"/>
                <w:color w:val="000000"/>
                <w:sz w:val="20"/>
                <w:szCs w:val="20"/>
              </w:rPr>
              <w:t>L</w:t>
            </w:r>
            <w:r w:rsidR="00D76FE0" w:rsidRPr="00782AD7">
              <w:rPr>
                <w:rFonts w:ascii="Arial" w:hAnsi="Arial" w:cs="Arial"/>
                <w:color w:val="000000"/>
                <w:sz w:val="20"/>
                <w:szCs w:val="20"/>
              </w:rPr>
              <w:t>ow</w:t>
            </w:r>
            <w:r w:rsidRPr="00782AD7">
              <w:rPr>
                <w:rFonts w:ascii="Arial" w:hAnsi="Arial" w:cs="Arial"/>
                <w:color w:val="000000"/>
                <w:sz w:val="20"/>
                <w:szCs w:val="20"/>
              </w:rPr>
              <w:t>–M</w:t>
            </w:r>
            <w:r w:rsidR="00D76FE0" w:rsidRPr="00782AD7">
              <w:rPr>
                <w:rFonts w:ascii="Arial" w:hAnsi="Arial" w:cs="Arial"/>
                <w:color w:val="000000"/>
                <w:sz w:val="20"/>
                <w:szCs w:val="20"/>
              </w:rPr>
              <w:t>edium</w:t>
            </w:r>
          </w:p>
        </w:tc>
      </w:tr>
      <w:tr w:rsidR="001D7CCF" w:rsidRPr="002579C4" w14:paraId="5F96C142" w14:textId="588EC4FA" w:rsidTr="005F1841">
        <w:trPr>
          <w:trHeight w:val="225"/>
        </w:trPr>
        <w:tc>
          <w:tcPr>
            <w:tcW w:w="2108" w:type="dxa"/>
            <w:shd w:val="clear" w:color="auto" w:fill="D4D6DF"/>
            <w:vAlign w:val="center"/>
            <w:hideMark/>
          </w:tcPr>
          <w:p w14:paraId="20066CF8" w14:textId="2042C524" w:rsidR="001D7CCF" w:rsidRPr="005B63FB" w:rsidRDefault="001D7CCF" w:rsidP="001D7CCF">
            <w:pPr>
              <w:spacing w:before="60" w:after="60"/>
              <w:rPr>
                <w:rFonts w:eastAsia="Times New Roman" w:cstheme="minorHAnsi"/>
                <w:color w:val="000000"/>
                <w:sz w:val="20"/>
                <w:szCs w:val="20"/>
                <w:lang w:eastAsia="en-AU"/>
              </w:rPr>
            </w:pPr>
            <w:r w:rsidRPr="005B63FB">
              <w:rPr>
                <w:rFonts w:cstheme="minorHAnsi"/>
                <w:color w:val="000000"/>
                <w:sz w:val="20"/>
                <w:szCs w:val="20"/>
              </w:rPr>
              <w:t xml:space="preserve">Motor </w:t>
            </w:r>
            <w:r w:rsidR="003F51CE">
              <w:rPr>
                <w:rFonts w:cstheme="minorHAnsi"/>
                <w:color w:val="000000"/>
                <w:sz w:val="20"/>
                <w:szCs w:val="20"/>
              </w:rPr>
              <w:t>v</w:t>
            </w:r>
            <w:r w:rsidRPr="005B63FB">
              <w:rPr>
                <w:rFonts w:cstheme="minorHAnsi"/>
                <w:color w:val="000000"/>
                <w:sz w:val="20"/>
                <w:szCs w:val="20"/>
              </w:rPr>
              <w:t xml:space="preserve">ehicle </w:t>
            </w:r>
            <w:r w:rsidR="003F51CE">
              <w:rPr>
                <w:rFonts w:cstheme="minorHAnsi"/>
                <w:color w:val="000000"/>
                <w:sz w:val="20"/>
                <w:szCs w:val="20"/>
              </w:rPr>
              <w:t>f</w:t>
            </w:r>
            <w:r w:rsidRPr="005B63FB">
              <w:rPr>
                <w:rFonts w:cstheme="minorHAnsi"/>
                <w:color w:val="000000"/>
                <w:sz w:val="20"/>
                <w:szCs w:val="20"/>
              </w:rPr>
              <w:t>leet</w:t>
            </w:r>
          </w:p>
        </w:tc>
        <w:tc>
          <w:tcPr>
            <w:tcW w:w="1201" w:type="dxa"/>
            <w:shd w:val="clear" w:color="auto" w:fill="D4D6DF"/>
            <w:noWrap/>
            <w:vAlign w:val="center"/>
            <w:hideMark/>
          </w:tcPr>
          <w:p w14:paraId="318F2DF4" w14:textId="46523BEF" w:rsidR="001D7CCF" w:rsidRPr="005B63FB" w:rsidRDefault="001D7CCF" w:rsidP="005F1841">
            <w:pPr>
              <w:spacing w:before="60" w:after="60"/>
              <w:jc w:val="center"/>
              <w:rPr>
                <w:rFonts w:eastAsia="Times New Roman" w:cstheme="minorHAnsi"/>
                <w:color w:val="000000"/>
                <w:sz w:val="20"/>
                <w:szCs w:val="20"/>
                <w:highlight w:val="yellow"/>
                <w:lang w:eastAsia="en-AU"/>
              </w:rPr>
            </w:pPr>
            <w:r>
              <w:rPr>
                <w:rFonts w:ascii="Arial" w:hAnsi="Arial" w:cs="Arial"/>
                <w:color w:val="000000"/>
                <w:sz w:val="20"/>
                <w:szCs w:val="20"/>
              </w:rPr>
              <w:t>18.92</w:t>
            </w:r>
          </w:p>
        </w:tc>
        <w:tc>
          <w:tcPr>
            <w:tcW w:w="1491" w:type="dxa"/>
            <w:shd w:val="clear" w:color="auto" w:fill="D4D6DF"/>
            <w:noWrap/>
            <w:vAlign w:val="center"/>
            <w:hideMark/>
          </w:tcPr>
          <w:p w14:paraId="5CE2A488" w14:textId="242717D7" w:rsidR="001D7CCF" w:rsidRPr="005B63FB" w:rsidRDefault="001D7CCF" w:rsidP="005F1841">
            <w:pPr>
              <w:spacing w:before="60" w:after="60"/>
              <w:jc w:val="center"/>
              <w:rPr>
                <w:rFonts w:eastAsia="Times New Roman" w:cstheme="minorHAnsi"/>
                <w:color w:val="000000"/>
                <w:sz w:val="20"/>
                <w:szCs w:val="20"/>
                <w:lang w:eastAsia="en-AU"/>
              </w:rPr>
            </w:pPr>
            <w:r>
              <w:rPr>
                <w:rFonts w:ascii="Arial" w:hAnsi="Arial" w:cs="Arial"/>
                <w:color w:val="000000"/>
                <w:sz w:val="20"/>
                <w:szCs w:val="20"/>
              </w:rPr>
              <w:t>21.02</w:t>
            </w:r>
          </w:p>
        </w:tc>
        <w:tc>
          <w:tcPr>
            <w:tcW w:w="1713" w:type="dxa"/>
            <w:shd w:val="clear" w:color="auto" w:fill="D4D6DF"/>
            <w:noWrap/>
            <w:vAlign w:val="center"/>
            <w:hideMark/>
          </w:tcPr>
          <w:p w14:paraId="7DCEECC3" w14:textId="0F7DD739" w:rsidR="001D7CCF" w:rsidRPr="005B63FB" w:rsidRDefault="001D7CCF" w:rsidP="005F1841">
            <w:pPr>
              <w:spacing w:before="60" w:after="60"/>
              <w:jc w:val="center"/>
              <w:rPr>
                <w:rFonts w:eastAsia="Times New Roman" w:cstheme="minorHAnsi"/>
                <w:color w:val="000000"/>
                <w:sz w:val="20"/>
                <w:szCs w:val="20"/>
                <w:lang w:eastAsia="en-AU"/>
              </w:rPr>
            </w:pPr>
            <w:r>
              <w:rPr>
                <w:rFonts w:ascii="Arial" w:hAnsi="Arial" w:cs="Arial"/>
                <w:color w:val="000000"/>
                <w:sz w:val="20"/>
                <w:szCs w:val="20"/>
              </w:rPr>
              <w:t>23.12</w:t>
            </w:r>
          </w:p>
        </w:tc>
        <w:tc>
          <w:tcPr>
            <w:tcW w:w="1491" w:type="dxa"/>
            <w:shd w:val="clear" w:color="auto" w:fill="D4D6DF"/>
            <w:noWrap/>
            <w:vAlign w:val="center"/>
            <w:hideMark/>
          </w:tcPr>
          <w:p w14:paraId="065E029C" w14:textId="14F54153" w:rsidR="001D7CCF" w:rsidRPr="00E967EF" w:rsidRDefault="001D7CCF" w:rsidP="005F1841">
            <w:pPr>
              <w:spacing w:before="60" w:after="60"/>
              <w:jc w:val="center"/>
              <w:rPr>
                <w:rFonts w:eastAsia="Times New Roman" w:cstheme="minorHAnsi"/>
                <w:i/>
                <w:color w:val="000000"/>
                <w:sz w:val="20"/>
                <w:szCs w:val="20"/>
                <w:lang w:eastAsia="en-AU"/>
              </w:rPr>
            </w:pPr>
            <w:r>
              <w:rPr>
                <w:rFonts w:ascii="Arial" w:hAnsi="Arial" w:cs="Arial"/>
                <w:color w:val="000000"/>
                <w:sz w:val="20"/>
                <w:szCs w:val="20"/>
              </w:rPr>
              <w:t>21.02</w:t>
            </w:r>
          </w:p>
        </w:tc>
        <w:tc>
          <w:tcPr>
            <w:tcW w:w="1491" w:type="dxa"/>
            <w:shd w:val="clear" w:color="auto" w:fill="D4D6DF"/>
            <w:vAlign w:val="center"/>
          </w:tcPr>
          <w:p w14:paraId="6560D322" w14:textId="548FAD85" w:rsidR="001D7CCF" w:rsidRPr="00782AD7" w:rsidRDefault="001D7CCF" w:rsidP="005F1841">
            <w:pPr>
              <w:spacing w:before="60" w:after="60"/>
              <w:jc w:val="center"/>
              <w:rPr>
                <w:rFonts w:cstheme="minorHAnsi"/>
                <w:color w:val="000000"/>
                <w:sz w:val="20"/>
                <w:szCs w:val="20"/>
              </w:rPr>
            </w:pPr>
            <w:r w:rsidRPr="00782AD7">
              <w:rPr>
                <w:rFonts w:ascii="Arial" w:hAnsi="Arial" w:cs="Arial"/>
                <w:color w:val="000000"/>
                <w:sz w:val="20"/>
                <w:szCs w:val="20"/>
              </w:rPr>
              <w:t>M</w:t>
            </w:r>
            <w:r w:rsidR="00D76FE0" w:rsidRPr="00782AD7">
              <w:rPr>
                <w:rFonts w:ascii="Arial" w:hAnsi="Arial" w:cs="Arial"/>
                <w:color w:val="000000"/>
                <w:sz w:val="20"/>
                <w:szCs w:val="20"/>
              </w:rPr>
              <w:t>edium</w:t>
            </w:r>
          </w:p>
        </w:tc>
      </w:tr>
      <w:tr w:rsidR="001D7CCF" w:rsidRPr="002579C4" w14:paraId="38DBCF43" w14:textId="70A8C3BF" w:rsidTr="005F1841">
        <w:trPr>
          <w:trHeight w:val="225"/>
        </w:trPr>
        <w:tc>
          <w:tcPr>
            <w:tcW w:w="2108" w:type="dxa"/>
            <w:vAlign w:val="center"/>
            <w:hideMark/>
          </w:tcPr>
          <w:p w14:paraId="3580EFB9" w14:textId="1F20DEDD" w:rsidR="001D7CCF" w:rsidRPr="005B63FB" w:rsidRDefault="001D7CCF" w:rsidP="001D7CCF">
            <w:pPr>
              <w:spacing w:before="60" w:after="60"/>
              <w:rPr>
                <w:rFonts w:eastAsia="Times New Roman" w:cstheme="minorHAnsi"/>
                <w:color w:val="000000"/>
                <w:sz w:val="20"/>
                <w:szCs w:val="20"/>
                <w:lang w:eastAsia="en-AU"/>
              </w:rPr>
            </w:pPr>
            <w:r w:rsidRPr="005B63FB">
              <w:rPr>
                <w:rFonts w:cstheme="minorHAnsi"/>
                <w:color w:val="000000"/>
                <w:sz w:val="20"/>
                <w:szCs w:val="20"/>
              </w:rPr>
              <w:t xml:space="preserve">SCADA and </w:t>
            </w:r>
            <w:r w:rsidR="003F51CE">
              <w:rPr>
                <w:rFonts w:cstheme="minorHAnsi"/>
                <w:color w:val="000000"/>
                <w:sz w:val="20"/>
                <w:szCs w:val="20"/>
              </w:rPr>
              <w:t>r</w:t>
            </w:r>
            <w:r w:rsidRPr="005B63FB">
              <w:rPr>
                <w:rFonts w:cstheme="minorHAnsi"/>
                <w:color w:val="000000"/>
                <w:sz w:val="20"/>
                <w:szCs w:val="20"/>
              </w:rPr>
              <w:t>eal</w:t>
            </w:r>
            <w:r w:rsidR="003F51CE">
              <w:rPr>
                <w:rFonts w:cstheme="minorHAnsi"/>
                <w:color w:val="000000"/>
                <w:sz w:val="20"/>
                <w:szCs w:val="20"/>
              </w:rPr>
              <w:t>-</w:t>
            </w:r>
            <w:r w:rsidRPr="005B63FB">
              <w:rPr>
                <w:rFonts w:cstheme="minorHAnsi"/>
                <w:color w:val="000000"/>
                <w:sz w:val="20"/>
                <w:szCs w:val="20"/>
              </w:rPr>
              <w:t xml:space="preserve">time </w:t>
            </w:r>
            <w:r w:rsidR="003F51CE">
              <w:rPr>
                <w:rFonts w:cstheme="minorHAnsi"/>
                <w:color w:val="000000"/>
                <w:sz w:val="20"/>
                <w:szCs w:val="20"/>
              </w:rPr>
              <w:t>s</w:t>
            </w:r>
            <w:r w:rsidRPr="005B63FB">
              <w:rPr>
                <w:rFonts w:cstheme="minorHAnsi"/>
                <w:color w:val="000000"/>
                <w:sz w:val="20"/>
                <w:szCs w:val="20"/>
              </w:rPr>
              <w:t>ystems</w:t>
            </w:r>
          </w:p>
        </w:tc>
        <w:tc>
          <w:tcPr>
            <w:tcW w:w="1201" w:type="dxa"/>
            <w:noWrap/>
            <w:vAlign w:val="center"/>
            <w:hideMark/>
          </w:tcPr>
          <w:p w14:paraId="2E795184" w14:textId="1C583AA3" w:rsidR="001D7CCF" w:rsidRPr="005B63FB" w:rsidRDefault="001D7CCF" w:rsidP="005F1841">
            <w:pPr>
              <w:spacing w:before="60" w:after="60"/>
              <w:jc w:val="center"/>
              <w:rPr>
                <w:rFonts w:eastAsia="Times New Roman" w:cstheme="minorHAnsi"/>
                <w:color w:val="000000"/>
                <w:sz w:val="20"/>
                <w:szCs w:val="20"/>
                <w:lang w:eastAsia="en-AU"/>
              </w:rPr>
            </w:pPr>
            <w:r>
              <w:rPr>
                <w:rFonts w:ascii="Arial" w:hAnsi="Arial" w:cs="Arial"/>
                <w:color w:val="000000"/>
                <w:sz w:val="20"/>
                <w:szCs w:val="20"/>
              </w:rPr>
              <w:t>17.62</w:t>
            </w:r>
          </w:p>
        </w:tc>
        <w:tc>
          <w:tcPr>
            <w:tcW w:w="1491" w:type="dxa"/>
            <w:noWrap/>
            <w:vAlign w:val="center"/>
            <w:hideMark/>
          </w:tcPr>
          <w:p w14:paraId="7F390F77" w14:textId="26B1C87F" w:rsidR="001D7CCF" w:rsidRPr="005B63FB" w:rsidRDefault="001D7CCF" w:rsidP="005F1841">
            <w:pPr>
              <w:spacing w:before="60" w:after="60"/>
              <w:jc w:val="center"/>
              <w:rPr>
                <w:rFonts w:eastAsia="Times New Roman" w:cstheme="minorHAnsi"/>
                <w:color w:val="000000"/>
                <w:sz w:val="20"/>
                <w:szCs w:val="20"/>
                <w:lang w:eastAsia="en-AU"/>
              </w:rPr>
            </w:pPr>
            <w:r>
              <w:rPr>
                <w:rFonts w:ascii="Arial" w:hAnsi="Arial" w:cs="Arial"/>
                <w:color w:val="000000"/>
                <w:sz w:val="20"/>
                <w:szCs w:val="20"/>
              </w:rPr>
              <w:t>19.57</w:t>
            </w:r>
          </w:p>
        </w:tc>
        <w:tc>
          <w:tcPr>
            <w:tcW w:w="1713" w:type="dxa"/>
            <w:noWrap/>
            <w:vAlign w:val="center"/>
            <w:hideMark/>
          </w:tcPr>
          <w:p w14:paraId="4B133241" w14:textId="0A6E18E0" w:rsidR="001D7CCF" w:rsidRPr="005B63FB" w:rsidRDefault="001D7CCF" w:rsidP="005F1841">
            <w:pPr>
              <w:spacing w:before="60" w:after="60"/>
              <w:jc w:val="center"/>
              <w:rPr>
                <w:rFonts w:eastAsia="Times New Roman" w:cstheme="minorHAnsi"/>
                <w:color w:val="000000"/>
                <w:sz w:val="20"/>
                <w:szCs w:val="20"/>
                <w:lang w:eastAsia="en-AU"/>
              </w:rPr>
            </w:pPr>
            <w:r>
              <w:rPr>
                <w:rFonts w:ascii="Arial" w:hAnsi="Arial" w:cs="Arial"/>
                <w:color w:val="000000"/>
                <w:sz w:val="20"/>
                <w:szCs w:val="20"/>
              </w:rPr>
              <w:t>21.53</w:t>
            </w:r>
          </w:p>
        </w:tc>
        <w:tc>
          <w:tcPr>
            <w:tcW w:w="1491" w:type="dxa"/>
            <w:noWrap/>
            <w:vAlign w:val="center"/>
            <w:hideMark/>
          </w:tcPr>
          <w:p w14:paraId="3A7BC25A" w14:textId="3BC6ABA4" w:rsidR="001D7CCF" w:rsidRPr="00E967EF" w:rsidRDefault="001D7CCF" w:rsidP="005F1841">
            <w:pPr>
              <w:spacing w:before="60" w:after="60"/>
              <w:jc w:val="center"/>
              <w:rPr>
                <w:rFonts w:eastAsia="Times New Roman" w:cstheme="minorHAnsi"/>
                <w:i/>
                <w:color w:val="000000"/>
                <w:sz w:val="20"/>
                <w:szCs w:val="20"/>
                <w:lang w:eastAsia="en-AU"/>
              </w:rPr>
            </w:pPr>
            <w:r>
              <w:rPr>
                <w:rFonts w:ascii="Arial" w:hAnsi="Arial" w:cs="Arial"/>
                <w:color w:val="000000"/>
                <w:sz w:val="20"/>
                <w:szCs w:val="20"/>
              </w:rPr>
              <w:t>19.57</w:t>
            </w:r>
          </w:p>
        </w:tc>
        <w:tc>
          <w:tcPr>
            <w:tcW w:w="1491" w:type="dxa"/>
            <w:vAlign w:val="center"/>
          </w:tcPr>
          <w:p w14:paraId="3A65FE5A" w14:textId="503400CE" w:rsidR="001D7CCF" w:rsidRPr="00782AD7" w:rsidRDefault="001D7CCF" w:rsidP="005F1841">
            <w:pPr>
              <w:spacing w:before="60" w:after="60"/>
              <w:jc w:val="center"/>
              <w:rPr>
                <w:rFonts w:cstheme="minorHAnsi"/>
                <w:color w:val="000000"/>
                <w:sz w:val="20"/>
                <w:szCs w:val="20"/>
              </w:rPr>
            </w:pPr>
            <w:r w:rsidRPr="00782AD7">
              <w:rPr>
                <w:rFonts w:ascii="Arial" w:hAnsi="Arial" w:cs="Arial"/>
                <w:color w:val="000000"/>
                <w:sz w:val="20"/>
                <w:szCs w:val="20"/>
              </w:rPr>
              <w:t>M</w:t>
            </w:r>
            <w:r w:rsidR="00D76FE0" w:rsidRPr="00782AD7">
              <w:rPr>
                <w:rFonts w:ascii="Arial" w:hAnsi="Arial" w:cs="Arial"/>
                <w:color w:val="000000"/>
                <w:sz w:val="20"/>
                <w:szCs w:val="20"/>
              </w:rPr>
              <w:t>edium</w:t>
            </w:r>
          </w:p>
        </w:tc>
      </w:tr>
      <w:tr w:rsidR="001D7CCF" w:rsidRPr="002579C4" w14:paraId="2985F300" w14:textId="677FB275" w:rsidTr="005F1841">
        <w:trPr>
          <w:trHeight w:val="225"/>
        </w:trPr>
        <w:tc>
          <w:tcPr>
            <w:tcW w:w="2108" w:type="dxa"/>
            <w:shd w:val="clear" w:color="auto" w:fill="D4D6DF"/>
            <w:vAlign w:val="center"/>
            <w:hideMark/>
          </w:tcPr>
          <w:p w14:paraId="63AB0BA3" w14:textId="211E67C5" w:rsidR="001D7CCF" w:rsidRPr="005B63FB" w:rsidRDefault="001D7CCF" w:rsidP="001D7CCF">
            <w:pPr>
              <w:spacing w:before="60" w:after="60"/>
              <w:rPr>
                <w:rFonts w:eastAsia="Times New Roman" w:cstheme="minorHAnsi"/>
                <w:color w:val="000000"/>
                <w:sz w:val="20"/>
                <w:szCs w:val="20"/>
                <w:lang w:eastAsia="en-AU"/>
              </w:rPr>
            </w:pPr>
            <w:r w:rsidRPr="005B63FB">
              <w:rPr>
                <w:rFonts w:cstheme="minorHAnsi"/>
                <w:color w:val="000000"/>
                <w:sz w:val="20"/>
                <w:szCs w:val="20"/>
              </w:rPr>
              <w:t xml:space="preserve">New </w:t>
            </w:r>
            <w:r w:rsidR="003F51CE">
              <w:rPr>
                <w:rFonts w:cstheme="minorHAnsi"/>
                <w:color w:val="000000"/>
                <w:sz w:val="20"/>
                <w:szCs w:val="20"/>
              </w:rPr>
              <w:t>t</w:t>
            </w:r>
            <w:r w:rsidRPr="005B63FB">
              <w:rPr>
                <w:rFonts w:cstheme="minorHAnsi"/>
                <w:color w:val="000000"/>
                <w:sz w:val="20"/>
                <w:szCs w:val="20"/>
              </w:rPr>
              <w:t xml:space="preserve">echnology </w:t>
            </w:r>
          </w:p>
        </w:tc>
        <w:tc>
          <w:tcPr>
            <w:tcW w:w="1201" w:type="dxa"/>
            <w:shd w:val="clear" w:color="auto" w:fill="D4D6DF"/>
            <w:noWrap/>
            <w:vAlign w:val="center"/>
            <w:hideMark/>
          </w:tcPr>
          <w:p w14:paraId="33EA654D" w14:textId="027533AF" w:rsidR="001D7CCF" w:rsidRPr="005B63FB" w:rsidRDefault="001D7CCF" w:rsidP="005F1841">
            <w:pPr>
              <w:spacing w:before="60" w:after="60"/>
              <w:jc w:val="center"/>
              <w:rPr>
                <w:rFonts w:eastAsia="Times New Roman" w:cstheme="minorHAnsi"/>
                <w:color w:val="000000"/>
                <w:sz w:val="20"/>
                <w:szCs w:val="20"/>
                <w:lang w:eastAsia="en-AU"/>
              </w:rPr>
            </w:pPr>
            <w:r>
              <w:rPr>
                <w:rFonts w:ascii="Arial" w:hAnsi="Arial" w:cs="Arial"/>
                <w:color w:val="000000"/>
                <w:sz w:val="20"/>
                <w:szCs w:val="20"/>
              </w:rPr>
              <w:t>3.66</w:t>
            </w:r>
          </w:p>
        </w:tc>
        <w:tc>
          <w:tcPr>
            <w:tcW w:w="1491" w:type="dxa"/>
            <w:shd w:val="clear" w:color="auto" w:fill="D4D6DF"/>
            <w:noWrap/>
            <w:vAlign w:val="center"/>
            <w:hideMark/>
          </w:tcPr>
          <w:p w14:paraId="423D02D4" w14:textId="424ED9EA" w:rsidR="001D7CCF" w:rsidRPr="005B63FB" w:rsidRDefault="001D7CCF" w:rsidP="005F1841">
            <w:pPr>
              <w:spacing w:before="60" w:after="60"/>
              <w:jc w:val="center"/>
              <w:rPr>
                <w:rFonts w:eastAsia="Times New Roman" w:cstheme="minorHAnsi"/>
                <w:color w:val="000000"/>
                <w:sz w:val="20"/>
                <w:szCs w:val="20"/>
                <w:lang w:eastAsia="en-AU"/>
              </w:rPr>
            </w:pPr>
            <w:r>
              <w:rPr>
                <w:rFonts w:ascii="Arial" w:hAnsi="Arial" w:cs="Arial"/>
                <w:color w:val="000000"/>
                <w:sz w:val="20"/>
                <w:szCs w:val="20"/>
              </w:rPr>
              <w:t>8.49</w:t>
            </w:r>
          </w:p>
        </w:tc>
        <w:tc>
          <w:tcPr>
            <w:tcW w:w="1713" w:type="dxa"/>
            <w:shd w:val="clear" w:color="auto" w:fill="D4D6DF"/>
            <w:noWrap/>
            <w:vAlign w:val="center"/>
            <w:hideMark/>
          </w:tcPr>
          <w:p w14:paraId="39A26046" w14:textId="42E236DC" w:rsidR="001D7CCF" w:rsidRPr="005B63FB" w:rsidRDefault="001D7CCF" w:rsidP="005F1841">
            <w:pPr>
              <w:spacing w:before="60" w:after="60"/>
              <w:jc w:val="center"/>
              <w:rPr>
                <w:rFonts w:eastAsia="Times New Roman" w:cstheme="minorHAnsi"/>
                <w:color w:val="000000"/>
                <w:sz w:val="20"/>
                <w:szCs w:val="20"/>
                <w:lang w:eastAsia="en-AU"/>
              </w:rPr>
            </w:pPr>
            <w:r>
              <w:rPr>
                <w:rFonts w:ascii="Arial" w:hAnsi="Arial" w:cs="Arial"/>
                <w:color w:val="000000"/>
                <w:sz w:val="20"/>
                <w:szCs w:val="20"/>
              </w:rPr>
              <w:t>19.82</w:t>
            </w:r>
          </w:p>
        </w:tc>
        <w:tc>
          <w:tcPr>
            <w:tcW w:w="1491" w:type="dxa"/>
            <w:shd w:val="clear" w:color="auto" w:fill="D4D6DF"/>
            <w:noWrap/>
            <w:vAlign w:val="center"/>
            <w:hideMark/>
          </w:tcPr>
          <w:p w14:paraId="25542E6E" w14:textId="197464D0" w:rsidR="001D7CCF" w:rsidRPr="00E967EF" w:rsidRDefault="001D7CCF" w:rsidP="005F1841">
            <w:pPr>
              <w:spacing w:before="60" w:after="60"/>
              <w:jc w:val="center"/>
              <w:rPr>
                <w:rFonts w:eastAsia="Times New Roman" w:cstheme="minorHAnsi"/>
                <w:i/>
                <w:color w:val="000000"/>
                <w:sz w:val="20"/>
                <w:szCs w:val="20"/>
                <w:lang w:eastAsia="en-AU"/>
              </w:rPr>
            </w:pPr>
            <w:r>
              <w:rPr>
                <w:rFonts w:ascii="Arial" w:hAnsi="Arial" w:cs="Arial"/>
                <w:color w:val="000000"/>
                <w:sz w:val="20"/>
                <w:szCs w:val="20"/>
              </w:rPr>
              <w:t>6.76</w:t>
            </w:r>
          </w:p>
        </w:tc>
        <w:tc>
          <w:tcPr>
            <w:tcW w:w="1491" w:type="dxa"/>
            <w:shd w:val="clear" w:color="auto" w:fill="D4D6DF"/>
            <w:vAlign w:val="center"/>
          </w:tcPr>
          <w:p w14:paraId="7F44C881" w14:textId="31E021CB" w:rsidR="001D7CCF" w:rsidRPr="00782AD7" w:rsidRDefault="001D7CCF" w:rsidP="005F1841">
            <w:pPr>
              <w:spacing w:before="60" w:after="60"/>
              <w:jc w:val="center"/>
              <w:rPr>
                <w:rFonts w:cstheme="minorHAnsi"/>
                <w:color w:val="000000"/>
                <w:sz w:val="20"/>
                <w:szCs w:val="20"/>
              </w:rPr>
            </w:pPr>
            <w:r w:rsidRPr="00782AD7">
              <w:rPr>
                <w:rFonts w:ascii="Arial" w:hAnsi="Arial" w:cs="Arial"/>
                <w:color w:val="000000"/>
                <w:sz w:val="20"/>
                <w:szCs w:val="20"/>
              </w:rPr>
              <w:t>L</w:t>
            </w:r>
            <w:r w:rsidR="00782AD7" w:rsidRPr="00782AD7">
              <w:rPr>
                <w:rFonts w:ascii="Arial" w:hAnsi="Arial" w:cs="Arial"/>
                <w:color w:val="000000"/>
                <w:sz w:val="20"/>
                <w:szCs w:val="20"/>
              </w:rPr>
              <w:t>ow</w:t>
            </w:r>
            <w:r w:rsidRPr="00782AD7">
              <w:rPr>
                <w:rFonts w:ascii="Arial" w:hAnsi="Arial" w:cs="Arial"/>
                <w:color w:val="000000"/>
                <w:sz w:val="20"/>
                <w:szCs w:val="20"/>
              </w:rPr>
              <w:t>–M</w:t>
            </w:r>
            <w:r w:rsidR="00782AD7" w:rsidRPr="00782AD7">
              <w:rPr>
                <w:rFonts w:ascii="Arial" w:hAnsi="Arial" w:cs="Arial"/>
                <w:color w:val="000000"/>
                <w:sz w:val="20"/>
                <w:szCs w:val="20"/>
              </w:rPr>
              <w:t>edium</w:t>
            </w:r>
          </w:p>
        </w:tc>
      </w:tr>
      <w:tr w:rsidR="001D7CCF" w:rsidRPr="002579C4" w14:paraId="7D2D4C36" w14:textId="7566098E" w:rsidTr="005F1841">
        <w:trPr>
          <w:trHeight w:val="225"/>
        </w:trPr>
        <w:tc>
          <w:tcPr>
            <w:tcW w:w="2108" w:type="dxa"/>
            <w:tcBorders>
              <w:bottom w:val="single" w:sz="4" w:space="0" w:color="002379"/>
            </w:tcBorders>
            <w:vAlign w:val="center"/>
            <w:hideMark/>
          </w:tcPr>
          <w:p w14:paraId="12C813F4" w14:textId="77777777" w:rsidR="001D7CCF" w:rsidRPr="005B63FB" w:rsidRDefault="001D7CCF" w:rsidP="001D7CCF">
            <w:pPr>
              <w:spacing w:before="60" w:after="60"/>
              <w:rPr>
                <w:rFonts w:eastAsia="Times New Roman" w:cstheme="minorHAnsi"/>
                <w:color w:val="000000"/>
                <w:sz w:val="20"/>
                <w:szCs w:val="20"/>
                <w:lang w:eastAsia="en-AU"/>
              </w:rPr>
            </w:pPr>
            <w:r w:rsidRPr="005B63FB">
              <w:rPr>
                <w:rFonts w:cstheme="minorHAnsi"/>
                <w:color w:val="000000"/>
                <w:sz w:val="20"/>
                <w:szCs w:val="20"/>
              </w:rPr>
              <w:t>Facilities</w:t>
            </w:r>
          </w:p>
        </w:tc>
        <w:tc>
          <w:tcPr>
            <w:tcW w:w="1201" w:type="dxa"/>
            <w:tcBorders>
              <w:bottom w:val="single" w:sz="4" w:space="0" w:color="002379"/>
            </w:tcBorders>
            <w:noWrap/>
            <w:vAlign w:val="center"/>
            <w:hideMark/>
          </w:tcPr>
          <w:p w14:paraId="20B24006" w14:textId="2BEBDBDE" w:rsidR="001D7CCF" w:rsidRPr="005B63FB" w:rsidRDefault="001D7CCF" w:rsidP="005F1841">
            <w:pPr>
              <w:spacing w:before="60" w:after="60"/>
              <w:jc w:val="center"/>
              <w:rPr>
                <w:rFonts w:eastAsia="Times New Roman" w:cstheme="minorHAnsi"/>
                <w:color w:val="000000"/>
                <w:sz w:val="20"/>
                <w:szCs w:val="20"/>
                <w:lang w:eastAsia="en-AU"/>
              </w:rPr>
            </w:pPr>
            <w:r>
              <w:rPr>
                <w:rFonts w:ascii="Arial" w:hAnsi="Arial" w:cs="Arial"/>
                <w:color w:val="000000"/>
                <w:sz w:val="20"/>
                <w:szCs w:val="20"/>
              </w:rPr>
              <w:t>2.59</w:t>
            </w:r>
          </w:p>
        </w:tc>
        <w:tc>
          <w:tcPr>
            <w:tcW w:w="1491" w:type="dxa"/>
            <w:tcBorders>
              <w:bottom w:val="single" w:sz="4" w:space="0" w:color="002379"/>
            </w:tcBorders>
            <w:noWrap/>
            <w:vAlign w:val="center"/>
            <w:hideMark/>
          </w:tcPr>
          <w:p w14:paraId="714EEB7C" w14:textId="51D9CC9F" w:rsidR="001D7CCF" w:rsidRPr="005B63FB" w:rsidRDefault="001D7CCF" w:rsidP="005F1841">
            <w:pPr>
              <w:spacing w:before="60" w:after="60"/>
              <w:jc w:val="center"/>
              <w:rPr>
                <w:rFonts w:eastAsia="Times New Roman" w:cstheme="minorHAnsi"/>
                <w:color w:val="000000"/>
                <w:sz w:val="20"/>
                <w:szCs w:val="20"/>
                <w:lang w:eastAsia="en-AU"/>
              </w:rPr>
            </w:pPr>
            <w:r>
              <w:rPr>
                <w:rFonts w:ascii="Arial" w:hAnsi="Arial" w:cs="Arial"/>
                <w:color w:val="000000"/>
                <w:sz w:val="20"/>
                <w:szCs w:val="20"/>
              </w:rPr>
              <w:t>2.92</w:t>
            </w:r>
          </w:p>
        </w:tc>
        <w:tc>
          <w:tcPr>
            <w:tcW w:w="1713" w:type="dxa"/>
            <w:tcBorders>
              <w:bottom w:val="single" w:sz="4" w:space="0" w:color="002379"/>
            </w:tcBorders>
            <w:noWrap/>
            <w:vAlign w:val="center"/>
            <w:hideMark/>
          </w:tcPr>
          <w:p w14:paraId="7BACF4EC" w14:textId="2CC1EA9E" w:rsidR="001D7CCF" w:rsidRPr="005B63FB" w:rsidRDefault="001D7CCF" w:rsidP="005F1841">
            <w:pPr>
              <w:spacing w:before="60" w:after="60"/>
              <w:jc w:val="center"/>
              <w:rPr>
                <w:rFonts w:eastAsia="Times New Roman" w:cstheme="minorHAnsi"/>
                <w:color w:val="000000"/>
                <w:sz w:val="20"/>
                <w:szCs w:val="20"/>
                <w:lang w:eastAsia="en-AU"/>
              </w:rPr>
            </w:pPr>
            <w:r>
              <w:rPr>
                <w:rFonts w:ascii="Arial" w:hAnsi="Arial" w:cs="Arial"/>
                <w:color w:val="000000"/>
                <w:sz w:val="20"/>
                <w:szCs w:val="20"/>
              </w:rPr>
              <w:t>3.16</w:t>
            </w:r>
          </w:p>
        </w:tc>
        <w:tc>
          <w:tcPr>
            <w:tcW w:w="1491" w:type="dxa"/>
            <w:tcBorders>
              <w:bottom w:val="single" w:sz="4" w:space="0" w:color="002379"/>
            </w:tcBorders>
            <w:noWrap/>
            <w:vAlign w:val="center"/>
            <w:hideMark/>
          </w:tcPr>
          <w:p w14:paraId="353CEBC2" w14:textId="47567B9C" w:rsidR="001D7CCF" w:rsidRPr="00E967EF" w:rsidRDefault="001D7CCF" w:rsidP="005F1841">
            <w:pPr>
              <w:spacing w:before="60" w:after="60"/>
              <w:jc w:val="center"/>
              <w:rPr>
                <w:rFonts w:eastAsia="Times New Roman" w:cstheme="minorHAnsi"/>
                <w:i/>
                <w:color w:val="000000"/>
                <w:sz w:val="20"/>
                <w:szCs w:val="20"/>
                <w:lang w:eastAsia="en-AU"/>
              </w:rPr>
            </w:pPr>
            <w:r>
              <w:rPr>
                <w:rFonts w:ascii="Arial" w:hAnsi="Arial" w:cs="Arial"/>
                <w:color w:val="000000"/>
                <w:sz w:val="20"/>
                <w:szCs w:val="20"/>
              </w:rPr>
              <w:t>2.92</w:t>
            </w:r>
          </w:p>
        </w:tc>
        <w:tc>
          <w:tcPr>
            <w:tcW w:w="1491" w:type="dxa"/>
            <w:tcBorders>
              <w:bottom w:val="single" w:sz="4" w:space="0" w:color="002379"/>
            </w:tcBorders>
            <w:vAlign w:val="center"/>
          </w:tcPr>
          <w:p w14:paraId="0DA953BD" w14:textId="7E7D4A00" w:rsidR="001D7CCF" w:rsidRPr="00782AD7" w:rsidRDefault="001D7CCF" w:rsidP="005F1841">
            <w:pPr>
              <w:spacing w:before="60" w:after="60"/>
              <w:jc w:val="center"/>
              <w:rPr>
                <w:rFonts w:cstheme="minorHAnsi"/>
                <w:color w:val="000000"/>
                <w:sz w:val="20"/>
                <w:szCs w:val="20"/>
              </w:rPr>
            </w:pPr>
            <w:r w:rsidRPr="00782AD7">
              <w:rPr>
                <w:rFonts w:ascii="Arial" w:hAnsi="Arial" w:cs="Arial"/>
                <w:color w:val="000000"/>
                <w:sz w:val="20"/>
                <w:szCs w:val="20"/>
              </w:rPr>
              <w:t>M</w:t>
            </w:r>
            <w:r w:rsidR="00782AD7" w:rsidRPr="00782AD7">
              <w:rPr>
                <w:rFonts w:ascii="Arial" w:hAnsi="Arial" w:cs="Arial"/>
                <w:color w:val="000000"/>
                <w:sz w:val="20"/>
                <w:szCs w:val="20"/>
              </w:rPr>
              <w:t>edium</w:t>
            </w:r>
          </w:p>
        </w:tc>
      </w:tr>
      <w:tr w:rsidR="001D7CCF" w:rsidRPr="002579C4" w14:paraId="337A1FDC" w14:textId="6A8F932D" w:rsidTr="005F1841">
        <w:trPr>
          <w:trHeight w:val="475"/>
        </w:trPr>
        <w:tc>
          <w:tcPr>
            <w:tcW w:w="2108" w:type="dxa"/>
            <w:tcBorders>
              <w:right w:val="single" w:sz="4" w:space="0" w:color="002279"/>
            </w:tcBorders>
            <w:shd w:val="clear" w:color="auto" w:fill="D4D6DF"/>
            <w:vAlign w:val="center"/>
            <w:hideMark/>
          </w:tcPr>
          <w:p w14:paraId="4DD1B28C" w14:textId="77777777" w:rsidR="001D7CCF" w:rsidRPr="00747445" w:rsidRDefault="001D7CCF" w:rsidP="001D7CCF">
            <w:pPr>
              <w:spacing w:before="60" w:after="60"/>
              <w:rPr>
                <w:rFonts w:eastAsia="Times New Roman" w:cstheme="minorHAnsi"/>
                <w:b/>
                <w:bCs/>
                <w:color w:val="000000"/>
                <w:sz w:val="20"/>
                <w:szCs w:val="20"/>
                <w:lang w:eastAsia="en-AU"/>
              </w:rPr>
            </w:pPr>
            <w:r w:rsidRPr="00747445">
              <w:rPr>
                <w:rFonts w:eastAsia="Times New Roman" w:cstheme="minorHAnsi"/>
                <w:b/>
                <w:bCs/>
                <w:color w:val="000000"/>
                <w:sz w:val="20"/>
                <w:szCs w:val="20"/>
                <w:lang w:eastAsia="en-AU"/>
              </w:rPr>
              <w:t>Totals</w:t>
            </w:r>
          </w:p>
        </w:tc>
        <w:tc>
          <w:tcPr>
            <w:tcW w:w="1201" w:type="dxa"/>
            <w:tcBorders>
              <w:left w:val="single" w:sz="4" w:space="0" w:color="002279"/>
              <w:right w:val="single" w:sz="4" w:space="0" w:color="002279"/>
            </w:tcBorders>
            <w:shd w:val="clear" w:color="auto" w:fill="D4D6DF"/>
            <w:vAlign w:val="center"/>
            <w:hideMark/>
          </w:tcPr>
          <w:p w14:paraId="00BB7350" w14:textId="069E3D1E" w:rsidR="001D7CCF" w:rsidRPr="00747445" w:rsidRDefault="001D7CCF" w:rsidP="005F1841">
            <w:pPr>
              <w:spacing w:before="60" w:after="60"/>
              <w:jc w:val="center"/>
              <w:rPr>
                <w:rFonts w:eastAsia="Times New Roman" w:cstheme="minorHAnsi"/>
                <w:b/>
                <w:bCs/>
                <w:color w:val="000000"/>
                <w:sz w:val="20"/>
                <w:szCs w:val="20"/>
                <w:lang w:eastAsia="en-AU"/>
              </w:rPr>
            </w:pPr>
            <w:r w:rsidRPr="00747445">
              <w:rPr>
                <w:rFonts w:ascii="Arial" w:hAnsi="Arial" w:cs="Arial"/>
                <w:b/>
                <w:bCs/>
                <w:color w:val="000000"/>
                <w:sz w:val="20"/>
                <w:szCs w:val="20"/>
              </w:rPr>
              <w:t>1,596.50</w:t>
            </w:r>
          </w:p>
        </w:tc>
        <w:tc>
          <w:tcPr>
            <w:tcW w:w="1491" w:type="dxa"/>
            <w:tcBorders>
              <w:left w:val="single" w:sz="4" w:space="0" w:color="002279"/>
              <w:right w:val="single" w:sz="4" w:space="0" w:color="002279"/>
            </w:tcBorders>
            <w:shd w:val="clear" w:color="auto" w:fill="D4D6DF"/>
            <w:vAlign w:val="center"/>
            <w:hideMark/>
          </w:tcPr>
          <w:p w14:paraId="32437E5C" w14:textId="067A7EA3" w:rsidR="001D7CCF" w:rsidRPr="00747445" w:rsidRDefault="001D7CCF" w:rsidP="005F1841">
            <w:pPr>
              <w:spacing w:before="60" w:after="60"/>
              <w:jc w:val="center"/>
              <w:rPr>
                <w:rFonts w:eastAsia="Times New Roman" w:cstheme="minorHAnsi"/>
                <w:b/>
                <w:bCs/>
                <w:color w:val="000000"/>
                <w:sz w:val="20"/>
                <w:szCs w:val="20"/>
                <w:lang w:eastAsia="en-AU"/>
              </w:rPr>
            </w:pPr>
            <w:r w:rsidRPr="00747445">
              <w:rPr>
                <w:rFonts w:ascii="Arial" w:hAnsi="Arial" w:cs="Arial"/>
                <w:b/>
                <w:bCs/>
                <w:color w:val="000000"/>
                <w:sz w:val="20"/>
                <w:szCs w:val="20"/>
              </w:rPr>
              <w:t>2,053.65</w:t>
            </w:r>
          </w:p>
        </w:tc>
        <w:tc>
          <w:tcPr>
            <w:tcW w:w="1713" w:type="dxa"/>
            <w:tcBorders>
              <w:left w:val="single" w:sz="4" w:space="0" w:color="002279"/>
              <w:right w:val="single" w:sz="4" w:space="0" w:color="002279"/>
            </w:tcBorders>
            <w:shd w:val="clear" w:color="auto" w:fill="D4D6DF"/>
            <w:vAlign w:val="center"/>
            <w:hideMark/>
          </w:tcPr>
          <w:p w14:paraId="62534F09" w14:textId="010CEC2F" w:rsidR="001D7CCF" w:rsidRPr="00747445" w:rsidRDefault="001D7CCF" w:rsidP="005F1841">
            <w:pPr>
              <w:spacing w:before="60" w:after="60"/>
              <w:jc w:val="center"/>
              <w:rPr>
                <w:rFonts w:eastAsia="Times New Roman" w:cstheme="minorHAnsi"/>
                <w:b/>
                <w:bCs/>
                <w:color w:val="000000"/>
                <w:sz w:val="20"/>
                <w:szCs w:val="20"/>
                <w:lang w:eastAsia="en-AU"/>
              </w:rPr>
            </w:pPr>
            <w:r w:rsidRPr="00747445">
              <w:rPr>
                <w:rFonts w:ascii="Arial" w:hAnsi="Arial" w:cs="Arial"/>
                <w:b/>
                <w:bCs/>
                <w:color w:val="000000"/>
                <w:sz w:val="20"/>
                <w:szCs w:val="20"/>
              </w:rPr>
              <w:t>2,513.40</w:t>
            </w:r>
          </w:p>
        </w:tc>
        <w:tc>
          <w:tcPr>
            <w:tcW w:w="1491" w:type="dxa"/>
            <w:tcBorders>
              <w:left w:val="single" w:sz="4" w:space="0" w:color="002279"/>
              <w:right w:val="single" w:sz="4" w:space="0" w:color="002279"/>
            </w:tcBorders>
            <w:shd w:val="clear" w:color="auto" w:fill="D4D6DF"/>
            <w:vAlign w:val="center"/>
            <w:hideMark/>
          </w:tcPr>
          <w:p w14:paraId="310BF9C7" w14:textId="51B7FB53" w:rsidR="001D7CCF" w:rsidRPr="00747445" w:rsidRDefault="001D7CCF" w:rsidP="005F1841">
            <w:pPr>
              <w:spacing w:before="60" w:after="60"/>
              <w:jc w:val="center"/>
              <w:rPr>
                <w:rFonts w:eastAsia="Times New Roman" w:cstheme="minorHAnsi"/>
                <w:b/>
                <w:i/>
                <w:color w:val="000000"/>
                <w:sz w:val="20"/>
                <w:szCs w:val="20"/>
                <w:lang w:eastAsia="en-AU"/>
              </w:rPr>
            </w:pPr>
            <w:r w:rsidRPr="00747445">
              <w:rPr>
                <w:rFonts w:ascii="Arial" w:hAnsi="Arial" w:cs="Arial"/>
                <w:b/>
                <w:bCs/>
                <w:color w:val="000000"/>
                <w:sz w:val="20"/>
                <w:szCs w:val="20"/>
              </w:rPr>
              <w:t>1,921.07</w:t>
            </w:r>
          </w:p>
        </w:tc>
        <w:tc>
          <w:tcPr>
            <w:tcW w:w="1491" w:type="dxa"/>
            <w:tcBorders>
              <w:left w:val="single" w:sz="4" w:space="0" w:color="002279"/>
            </w:tcBorders>
            <w:shd w:val="clear" w:color="auto" w:fill="D4D6DF"/>
            <w:vAlign w:val="center"/>
          </w:tcPr>
          <w:p w14:paraId="51D17E30" w14:textId="77777777" w:rsidR="001D7CCF" w:rsidRPr="00747445" w:rsidRDefault="001D7CCF" w:rsidP="005F1841">
            <w:pPr>
              <w:spacing w:before="60" w:after="60"/>
              <w:jc w:val="center"/>
              <w:rPr>
                <w:rFonts w:cstheme="minorHAnsi"/>
                <w:b/>
                <w:i/>
                <w:color w:val="000000"/>
                <w:sz w:val="20"/>
                <w:szCs w:val="20"/>
              </w:rPr>
            </w:pPr>
          </w:p>
        </w:tc>
      </w:tr>
    </w:tbl>
    <w:p w14:paraId="061FBF07" w14:textId="77777777" w:rsidR="00B231C5" w:rsidRDefault="00B231C5" w:rsidP="00B231C5"/>
    <w:p w14:paraId="0830648C" w14:textId="2AF1FA1E" w:rsidR="00B231C5" w:rsidRPr="003B7499" w:rsidRDefault="00042D5A" w:rsidP="00B231C5">
      <w:pPr>
        <w:rPr>
          <w:rFonts w:eastAsia="MS Mincho"/>
          <w:lang w:eastAsia="ja-JP"/>
        </w:rPr>
      </w:pPr>
      <w:r w:rsidRPr="00A76378">
        <w:rPr>
          <w:rFonts w:eastAsia="MS Mincho"/>
          <w:lang w:eastAsia="ja-JP"/>
        </w:rPr>
        <w:t xml:space="preserve">A lower cost </w:t>
      </w:r>
      <w:r w:rsidR="001309D3" w:rsidRPr="00A76378">
        <w:rPr>
          <w:rFonts w:eastAsia="MS Mincho"/>
          <w:lang w:eastAsia="ja-JP"/>
        </w:rPr>
        <w:t>scenario forecast</w:t>
      </w:r>
      <w:r w:rsidR="004D7EBC">
        <w:rPr>
          <w:rFonts w:eastAsia="MS Mincho"/>
          <w:lang w:eastAsia="ja-JP"/>
        </w:rPr>
        <w:t>,</w:t>
      </w:r>
      <w:r w:rsidR="006F7F45" w:rsidRPr="00A76378">
        <w:rPr>
          <w:rFonts w:eastAsia="MS Mincho"/>
          <w:lang w:eastAsia="ja-JP"/>
        </w:rPr>
        <w:t xml:space="preserve"> which allocates </w:t>
      </w:r>
      <w:r w:rsidR="001309D3" w:rsidRPr="00A76378">
        <w:rPr>
          <w:rFonts w:eastAsia="MS Mincho"/>
          <w:lang w:eastAsia="ja-JP"/>
        </w:rPr>
        <w:t xml:space="preserve">higher </w:t>
      </w:r>
      <w:r w:rsidR="00D461DC" w:rsidRPr="00A76378">
        <w:rPr>
          <w:rFonts w:eastAsia="MS Mincho"/>
          <w:lang w:eastAsia="ja-JP"/>
        </w:rPr>
        <w:t>financial risk</w:t>
      </w:r>
      <w:r w:rsidR="006F7F45" w:rsidRPr="00A76378">
        <w:rPr>
          <w:rFonts w:eastAsia="MS Mincho"/>
          <w:lang w:eastAsia="ja-JP"/>
        </w:rPr>
        <w:t xml:space="preserve"> to </w:t>
      </w:r>
      <w:r w:rsidR="00FE27CE" w:rsidRPr="00A76378">
        <w:rPr>
          <w:rFonts w:eastAsia="MS Mincho"/>
          <w:lang w:eastAsia="ja-JP"/>
        </w:rPr>
        <w:t>South East</w:t>
      </w:r>
      <w:r w:rsidR="00B16E3F">
        <w:rPr>
          <w:rFonts w:eastAsia="MS Mincho"/>
          <w:lang w:eastAsia="ja-JP"/>
        </w:rPr>
        <w:t> </w:t>
      </w:r>
      <w:r w:rsidR="00FE27CE" w:rsidRPr="00A76378">
        <w:rPr>
          <w:rFonts w:eastAsia="MS Mincho"/>
          <w:lang w:eastAsia="ja-JP"/>
        </w:rPr>
        <w:t>Water</w:t>
      </w:r>
      <w:r w:rsidR="004D7EBC">
        <w:rPr>
          <w:rFonts w:eastAsia="MS Mincho"/>
          <w:lang w:eastAsia="ja-JP"/>
        </w:rPr>
        <w:t>,</w:t>
      </w:r>
      <w:r w:rsidR="00B231C5" w:rsidRPr="00A76378">
        <w:rPr>
          <w:rFonts w:eastAsia="MS Mincho"/>
          <w:lang w:eastAsia="ja-JP"/>
        </w:rPr>
        <w:t xml:space="preserve"> </w:t>
      </w:r>
      <w:r w:rsidR="00065324" w:rsidRPr="00A76378">
        <w:rPr>
          <w:rFonts w:eastAsia="MS Mincho"/>
          <w:lang w:eastAsia="ja-JP"/>
        </w:rPr>
        <w:t xml:space="preserve">has been adopted </w:t>
      </w:r>
      <w:r w:rsidR="00B231C5" w:rsidRPr="00A76378">
        <w:rPr>
          <w:rFonts w:eastAsia="MS Mincho"/>
          <w:lang w:eastAsia="ja-JP"/>
        </w:rPr>
        <w:t xml:space="preserve">for </w:t>
      </w:r>
      <w:r w:rsidR="009D7C12">
        <w:rPr>
          <w:rFonts w:eastAsia="MS Mincho"/>
          <w:lang w:eastAsia="ja-JP"/>
        </w:rPr>
        <w:t>substantial</w:t>
      </w:r>
      <w:r w:rsidR="00B231C5" w:rsidRPr="00A76378">
        <w:rPr>
          <w:rFonts w:eastAsia="MS Mincho"/>
          <w:lang w:eastAsia="ja-JP"/>
        </w:rPr>
        <w:t xml:space="preserve"> </w:t>
      </w:r>
      <w:r w:rsidR="007C51D7" w:rsidRPr="00A76378">
        <w:rPr>
          <w:rFonts w:eastAsia="MS Mincho"/>
          <w:lang w:eastAsia="ja-JP"/>
        </w:rPr>
        <w:t>cap</w:t>
      </w:r>
      <w:r w:rsidR="001277B6">
        <w:rPr>
          <w:rFonts w:eastAsia="MS Mincho"/>
          <w:lang w:eastAsia="ja-JP"/>
        </w:rPr>
        <w:t>ital expendi</w:t>
      </w:r>
      <w:r w:rsidR="000650D0">
        <w:rPr>
          <w:rFonts w:eastAsia="MS Mincho"/>
          <w:lang w:eastAsia="ja-JP"/>
        </w:rPr>
        <w:t xml:space="preserve">ture </w:t>
      </w:r>
      <w:r w:rsidR="00B231C5" w:rsidRPr="00A76378">
        <w:rPr>
          <w:rFonts w:eastAsia="MS Mincho"/>
          <w:lang w:eastAsia="ja-JP"/>
        </w:rPr>
        <w:t>portfolios</w:t>
      </w:r>
      <w:r w:rsidR="000B3E58">
        <w:rPr>
          <w:rFonts w:eastAsia="MS Mincho"/>
          <w:lang w:eastAsia="ja-JP"/>
        </w:rPr>
        <w:t xml:space="preserve"> that account for 24% of the </w:t>
      </w:r>
      <w:r w:rsidR="00176977">
        <w:rPr>
          <w:rFonts w:eastAsia="MS Mincho"/>
          <w:lang w:eastAsia="ja-JP"/>
        </w:rPr>
        <w:t xml:space="preserve">recommended </w:t>
      </w:r>
      <w:r w:rsidR="000B3E58">
        <w:rPr>
          <w:rFonts w:eastAsia="MS Mincho"/>
          <w:lang w:eastAsia="ja-JP"/>
        </w:rPr>
        <w:t xml:space="preserve">investment shown </w:t>
      </w:r>
      <w:r w:rsidR="004A4FB1">
        <w:rPr>
          <w:rFonts w:eastAsia="MS Mincho"/>
          <w:lang w:eastAsia="ja-JP"/>
        </w:rPr>
        <w:t>in Table 18</w:t>
      </w:r>
      <w:r w:rsidR="001E5B5B">
        <w:rPr>
          <w:rFonts w:eastAsia="MS Mincho"/>
          <w:lang w:eastAsia="ja-JP"/>
        </w:rPr>
        <w:t>.</w:t>
      </w:r>
    </w:p>
    <w:p w14:paraId="438E063B" w14:textId="201514B6" w:rsidR="00B231C5" w:rsidRPr="0093201A" w:rsidRDefault="00B231C5" w:rsidP="00B231C5">
      <w:pPr>
        <w:spacing w:after="0"/>
        <w:rPr>
          <w:color w:val="0075E3" w:themeColor="accent1"/>
          <w:lang w:eastAsia="en-AU"/>
        </w:rPr>
      </w:pPr>
      <w:r w:rsidRPr="003B7499">
        <w:rPr>
          <w:color w:val="0075E3" w:themeColor="accent1"/>
        </w:rPr>
        <w:t>Sewer Growth, Potable Water Growth, Recycled Water Growth</w:t>
      </w:r>
      <w:r>
        <w:rPr>
          <w:color w:val="0075E3" w:themeColor="accent1"/>
          <w:lang w:eastAsia="en-AU"/>
        </w:rPr>
        <w:t xml:space="preserve">: </w:t>
      </w:r>
      <w:r w:rsidRPr="003B7499">
        <w:rPr>
          <w:rFonts w:eastAsia="MS Mincho"/>
          <w:lang w:eastAsia="ja-JP"/>
        </w:rPr>
        <w:t xml:space="preserve">The growth portfolios assume a </w:t>
      </w:r>
      <w:r w:rsidRPr="003B7499">
        <w:t>slower development rate and deferral of projects where there is timing uncertainty. This includes deferral of $34</w:t>
      </w:r>
      <w:r w:rsidR="00F66227">
        <w:t> </w:t>
      </w:r>
      <w:r w:rsidRPr="003B7499">
        <w:t>m</w:t>
      </w:r>
      <w:r w:rsidR="00F66227">
        <w:t>illion</w:t>
      </w:r>
      <w:r w:rsidRPr="003B7499">
        <w:t xml:space="preserve"> of the $64</w:t>
      </w:r>
      <w:r w:rsidR="00F66227">
        <w:t> </w:t>
      </w:r>
      <w:r w:rsidRPr="003B7499">
        <w:t>m</w:t>
      </w:r>
      <w:r w:rsidR="00F66227">
        <w:t xml:space="preserve">illion </w:t>
      </w:r>
      <w:r w:rsidRPr="003B7499">
        <w:t>Ballarto</w:t>
      </w:r>
      <w:r w:rsidR="00F66227">
        <w:t xml:space="preserve"> </w:t>
      </w:r>
      <w:r w:rsidRPr="003B7499">
        <w:t>R</w:t>
      </w:r>
      <w:r w:rsidR="004C0948">
        <w:t>oa</w:t>
      </w:r>
      <w:r w:rsidRPr="003B7499">
        <w:t>d Transfer System</w:t>
      </w:r>
      <w:r w:rsidR="00F66227">
        <w:t xml:space="preserve"> </w:t>
      </w:r>
      <w:r w:rsidRPr="003B7499">
        <w:t xml:space="preserve">Upgrade to </w:t>
      </w:r>
      <w:r>
        <w:t xml:space="preserve">the </w:t>
      </w:r>
      <w:r w:rsidRPr="003B7499">
        <w:t>next regulatory period. This risk will continue to be monitored and will be absorbed as a financial risk should works be required sooner.</w:t>
      </w:r>
      <w:r w:rsidR="00A1315F">
        <w:t xml:space="preserve"> </w:t>
      </w:r>
    </w:p>
    <w:p w14:paraId="3A91E831" w14:textId="77777777" w:rsidR="00B231C5" w:rsidRDefault="00B231C5" w:rsidP="00B231C5">
      <w:pPr>
        <w:contextualSpacing/>
        <w:rPr>
          <w:color w:val="0075E3" w:themeColor="accent1"/>
        </w:rPr>
      </w:pPr>
    </w:p>
    <w:p w14:paraId="0A8562B7" w14:textId="5A6B9063" w:rsidR="00B231C5" w:rsidRDefault="00B231C5" w:rsidP="00B231C5">
      <w:pPr>
        <w:contextualSpacing/>
      </w:pPr>
      <w:r w:rsidRPr="000A3CD0">
        <w:rPr>
          <w:color w:val="0075E3" w:themeColor="accent1"/>
        </w:rPr>
        <w:t xml:space="preserve">IWM </w:t>
      </w:r>
      <w:r w:rsidR="00BD3D0B">
        <w:rPr>
          <w:color w:val="0075E3" w:themeColor="accent1"/>
        </w:rPr>
        <w:t>s</w:t>
      </w:r>
      <w:r w:rsidRPr="000A3CD0">
        <w:rPr>
          <w:color w:val="0075E3" w:themeColor="accent1"/>
        </w:rPr>
        <w:t>chemes</w:t>
      </w:r>
      <w:r>
        <w:rPr>
          <w:color w:val="0075E3" w:themeColor="text1"/>
        </w:rPr>
        <w:t xml:space="preserve">: </w:t>
      </w:r>
      <w:r w:rsidR="00470D3E">
        <w:t xml:space="preserve">The budget for IWM schemes </w:t>
      </w:r>
      <w:r w:rsidRPr="003B7499">
        <w:t xml:space="preserve">is focused on projects with business cases that demonstrate </w:t>
      </w:r>
      <w:r>
        <w:t xml:space="preserve">economic </w:t>
      </w:r>
      <w:r w:rsidRPr="003B7499">
        <w:t xml:space="preserve">value </w:t>
      </w:r>
      <w:r>
        <w:t>to</w:t>
      </w:r>
      <w:r w:rsidRPr="003B7499">
        <w:t xml:space="preserve"> customer</w:t>
      </w:r>
      <w:r>
        <w:t>s</w:t>
      </w:r>
      <w:r w:rsidRPr="003B7499">
        <w:t xml:space="preserve"> and</w:t>
      </w:r>
      <w:r w:rsidR="00E27178">
        <w:t>/</w:t>
      </w:r>
      <w:r>
        <w:t>or</w:t>
      </w:r>
      <w:r w:rsidRPr="003B7499">
        <w:t xml:space="preserve"> has secured external funding support and excludes projects </w:t>
      </w:r>
      <w:r>
        <w:t xml:space="preserve">that </w:t>
      </w:r>
      <w:r w:rsidR="00120C04">
        <w:t xml:space="preserve">are </w:t>
      </w:r>
      <w:r>
        <w:t xml:space="preserve">considered uncertain in terms of </w:t>
      </w:r>
      <w:r w:rsidRPr="003B7499">
        <w:t>scop</w:t>
      </w:r>
      <w:r>
        <w:t>e</w:t>
      </w:r>
      <w:r w:rsidRPr="003B7499">
        <w:t xml:space="preserve"> and funding</w:t>
      </w:r>
      <w:r>
        <w:t>.</w:t>
      </w:r>
    </w:p>
    <w:p w14:paraId="01926BF6" w14:textId="77777777" w:rsidR="00BC0884" w:rsidRPr="000A3CD0" w:rsidRDefault="00BC0884" w:rsidP="00B231C5">
      <w:pPr>
        <w:contextualSpacing/>
        <w:rPr>
          <w:color w:val="0075E3" w:themeColor="text1"/>
        </w:rPr>
      </w:pPr>
    </w:p>
    <w:p w14:paraId="3A28C1D3" w14:textId="1D89D22C" w:rsidR="00B231C5" w:rsidRDefault="00D3739F" w:rsidP="00B231C5">
      <w:r>
        <w:rPr>
          <w:rFonts w:eastAsia="MS Mincho"/>
          <w:lang w:eastAsia="ja-JP"/>
        </w:rPr>
        <w:t>A higher</w:t>
      </w:r>
      <w:r w:rsidR="004C0948">
        <w:rPr>
          <w:rFonts w:eastAsia="MS Mincho"/>
          <w:lang w:eastAsia="ja-JP"/>
        </w:rPr>
        <w:t>-</w:t>
      </w:r>
      <w:r>
        <w:rPr>
          <w:rFonts w:eastAsia="MS Mincho"/>
          <w:lang w:eastAsia="ja-JP"/>
        </w:rPr>
        <w:t xml:space="preserve">cost scenario forecasts, which </w:t>
      </w:r>
      <w:r w:rsidR="002667FC">
        <w:rPr>
          <w:rFonts w:eastAsia="MS Mincho"/>
          <w:lang w:eastAsia="ja-JP"/>
        </w:rPr>
        <w:t xml:space="preserve">allocates more risk </w:t>
      </w:r>
      <w:r w:rsidR="000C5BCC">
        <w:rPr>
          <w:rFonts w:eastAsia="MS Mincho"/>
          <w:lang w:eastAsia="ja-JP"/>
        </w:rPr>
        <w:t>to customers</w:t>
      </w:r>
      <w:r w:rsidR="004D7EBC">
        <w:rPr>
          <w:rFonts w:eastAsia="MS Mincho"/>
          <w:lang w:eastAsia="ja-JP"/>
        </w:rPr>
        <w:t>,</w:t>
      </w:r>
      <w:r w:rsidR="000C5BCC">
        <w:rPr>
          <w:rFonts w:eastAsia="MS Mincho"/>
          <w:lang w:eastAsia="ja-JP"/>
        </w:rPr>
        <w:t xml:space="preserve"> has only been </w:t>
      </w:r>
      <w:r w:rsidR="00B231C5" w:rsidRPr="003B7499">
        <w:rPr>
          <w:rFonts w:eastAsia="MS Mincho"/>
          <w:lang w:eastAsia="ja-JP"/>
        </w:rPr>
        <w:t xml:space="preserve">adopted for </w:t>
      </w:r>
      <w:r w:rsidR="00356B93">
        <w:rPr>
          <w:rFonts w:eastAsia="MS Mincho"/>
          <w:lang w:eastAsia="ja-JP"/>
        </w:rPr>
        <w:t>one</w:t>
      </w:r>
      <w:r w:rsidR="00B231C5" w:rsidRPr="003B7499">
        <w:rPr>
          <w:rFonts w:eastAsia="MS Mincho"/>
          <w:lang w:eastAsia="ja-JP"/>
        </w:rPr>
        <w:t xml:space="preserve"> portfolio</w:t>
      </w:r>
      <w:r w:rsidR="006062DB">
        <w:rPr>
          <w:rFonts w:eastAsia="MS Mincho"/>
          <w:lang w:eastAsia="ja-JP"/>
        </w:rPr>
        <w:t xml:space="preserve">, Information Technology, which accounts for 7% of </w:t>
      </w:r>
      <w:r w:rsidR="004B5DCB">
        <w:rPr>
          <w:rFonts w:eastAsia="MS Mincho"/>
          <w:lang w:eastAsia="ja-JP"/>
        </w:rPr>
        <w:t>the recommended investment</w:t>
      </w:r>
      <w:r w:rsidR="004C0948">
        <w:t>.</w:t>
      </w:r>
    </w:p>
    <w:p w14:paraId="48A09019" w14:textId="2A6696FB" w:rsidR="00B231C5" w:rsidRPr="003B7499" w:rsidRDefault="00B231C5" w:rsidP="00B231C5">
      <w:r w:rsidRPr="00535F86">
        <w:rPr>
          <w:color w:val="0075E3" w:themeColor="accent1"/>
        </w:rPr>
        <w:t>Information Technology</w:t>
      </w:r>
      <w:r>
        <w:t xml:space="preserve">: </w:t>
      </w:r>
      <w:r w:rsidR="00D268A5">
        <w:t>This i</w:t>
      </w:r>
      <w:r w:rsidRPr="003B7499">
        <w:rPr>
          <w:rFonts w:cs="Times New Roman"/>
        </w:rPr>
        <w:t>ncludes all essential</w:t>
      </w:r>
      <w:r w:rsidR="00F7593A">
        <w:rPr>
          <w:rFonts w:cs="Times New Roman"/>
        </w:rPr>
        <w:t xml:space="preserve"> </w:t>
      </w:r>
      <w:r w:rsidRPr="003B7499">
        <w:rPr>
          <w:rFonts w:cs="Times New Roman"/>
        </w:rPr>
        <w:t>and</w:t>
      </w:r>
      <w:r w:rsidR="00BC0884">
        <w:rPr>
          <w:rFonts w:cs="Times New Roman"/>
        </w:rPr>
        <w:t xml:space="preserve"> </w:t>
      </w:r>
      <w:r w:rsidRPr="003B7499">
        <w:rPr>
          <w:rFonts w:cs="Times New Roman"/>
        </w:rPr>
        <w:t>beneficial investments</w:t>
      </w:r>
      <w:r w:rsidRPr="003B7499">
        <w:t xml:space="preserve"> to support our </w:t>
      </w:r>
      <w:r w:rsidR="00E726EE">
        <w:t>path</w:t>
      </w:r>
      <w:r w:rsidRPr="003B7499">
        <w:t xml:space="preserve"> to become a digital utility including </w:t>
      </w:r>
      <w:r>
        <w:t xml:space="preserve">IT </w:t>
      </w:r>
      <w:r w:rsidRPr="003B7499">
        <w:t>system</w:t>
      </w:r>
      <w:r>
        <w:t>s that</w:t>
      </w:r>
      <w:r w:rsidRPr="003B7499">
        <w:t xml:space="preserve"> support the digital meter rollout</w:t>
      </w:r>
      <w:r>
        <w:t xml:space="preserve"> and</w:t>
      </w:r>
      <w:r w:rsidRPr="003B7499">
        <w:t xml:space="preserve"> improve</w:t>
      </w:r>
      <w:r>
        <w:t>ments in</w:t>
      </w:r>
      <w:r w:rsidRPr="003B7499">
        <w:t xml:space="preserve"> information</w:t>
      </w:r>
      <w:r>
        <w:t xml:space="preserve"> and asset</w:t>
      </w:r>
      <w:r w:rsidRPr="003B7499">
        <w:t xml:space="preserve"> managemen</w:t>
      </w:r>
      <w:r>
        <w:t>t.</w:t>
      </w:r>
    </w:p>
    <w:p w14:paraId="1C92ECEF" w14:textId="3CCD4387" w:rsidR="00A7209C" w:rsidRDefault="00DC29CF" w:rsidP="00B231C5">
      <w:r>
        <w:t xml:space="preserve">For the </w:t>
      </w:r>
      <w:r w:rsidR="00A7209C">
        <w:t xml:space="preserve">remaining </w:t>
      </w:r>
      <w:r>
        <w:t>68%</w:t>
      </w:r>
      <w:r w:rsidR="00CC3155">
        <w:t xml:space="preserve"> of the recommended </w:t>
      </w:r>
      <w:r w:rsidR="00392460">
        <w:t>investment,</w:t>
      </w:r>
      <w:r>
        <w:t xml:space="preserve"> a balanced </w:t>
      </w:r>
      <w:r w:rsidR="003759A2">
        <w:t xml:space="preserve">sharing of financial risk between South East Water and customers is proposed. </w:t>
      </w:r>
    </w:p>
    <w:p w14:paraId="52C4DDC2" w14:textId="3E4F4B92" w:rsidR="00B231C5" w:rsidRDefault="00347B8F" w:rsidP="00B231C5">
      <w:r>
        <w:t xml:space="preserve">The risk-related investment planning is not a static process. It will be </w:t>
      </w:r>
      <w:r w:rsidR="00410CCF">
        <w:t xml:space="preserve">re-examined at regular intervals during the </w:t>
      </w:r>
      <w:r w:rsidR="00394893">
        <w:t xml:space="preserve">forecast period as new and more granular information </w:t>
      </w:r>
      <w:r w:rsidR="00D2739F">
        <w:t>becomes available</w:t>
      </w:r>
      <w:r w:rsidR="00800526">
        <w:t>, including via the digital utility investments</w:t>
      </w:r>
      <w:r w:rsidR="00B231C5" w:rsidRPr="003B7499">
        <w:t xml:space="preserve">. </w:t>
      </w:r>
      <w:r w:rsidR="00800526">
        <w:t>This will allow South</w:t>
      </w:r>
      <w:r w:rsidR="00B16E3F">
        <w:t> </w:t>
      </w:r>
      <w:r w:rsidR="00800526">
        <w:t xml:space="preserve">East Water to </w:t>
      </w:r>
      <w:r w:rsidR="00401C8E">
        <w:t xml:space="preserve">continuously seek opportunities to optimise the expenditure program and </w:t>
      </w:r>
      <w:r w:rsidR="00EA7FFE">
        <w:t xml:space="preserve">to </w:t>
      </w:r>
      <w:r w:rsidR="00401C8E">
        <w:t xml:space="preserve">reduce </w:t>
      </w:r>
      <w:r w:rsidR="00951034">
        <w:t xml:space="preserve">risks for </w:t>
      </w:r>
      <w:r w:rsidR="002B57CB">
        <w:t>customers.</w:t>
      </w:r>
    </w:p>
    <w:p w14:paraId="677E0876" w14:textId="1E0AEE6C" w:rsidR="00B231C5" w:rsidRPr="00674CE3" w:rsidRDefault="00B231C5" w:rsidP="00CB0971">
      <w:pPr>
        <w:pStyle w:val="Heading4"/>
        <w:rPr>
          <w:rFonts w:eastAsia="Arial" w:cs="Arial"/>
          <w:bCs/>
        </w:rPr>
      </w:pPr>
      <w:r>
        <w:t>Long</w:t>
      </w:r>
      <w:r w:rsidR="00B229B6">
        <w:t>-</w:t>
      </w:r>
      <w:r>
        <w:t xml:space="preserve">term </w:t>
      </w:r>
      <w:r w:rsidR="00B31EEE">
        <w:t xml:space="preserve">capital expenditure </w:t>
      </w:r>
      <w:r>
        <w:t xml:space="preserve">planning </w:t>
      </w:r>
    </w:p>
    <w:p w14:paraId="691779FF" w14:textId="74BD46E1" w:rsidR="00B231C5" w:rsidRPr="00007991" w:rsidRDefault="00B231C5" w:rsidP="00B231C5">
      <w:pPr>
        <w:rPr>
          <w:rFonts w:eastAsia="Arial" w:cs="Arial"/>
        </w:rPr>
      </w:pPr>
      <w:r w:rsidRPr="00007991">
        <w:rPr>
          <w:rFonts w:eastAsia="Arial" w:cs="Arial"/>
        </w:rPr>
        <w:t xml:space="preserve">We continually review our operating environment </w:t>
      </w:r>
      <w:r>
        <w:rPr>
          <w:rFonts w:eastAsia="Arial" w:cs="Arial"/>
        </w:rPr>
        <w:t xml:space="preserve">to understand </w:t>
      </w:r>
      <w:r w:rsidRPr="00007991">
        <w:rPr>
          <w:rFonts w:eastAsia="Arial" w:cs="Arial"/>
        </w:rPr>
        <w:t xml:space="preserve">future challenges and opportunities </w:t>
      </w:r>
      <w:r>
        <w:rPr>
          <w:rFonts w:eastAsia="Arial" w:cs="Arial"/>
        </w:rPr>
        <w:t>that we account for in our long</w:t>
      </w:r>
      <w:r w:rsidR="00144FE4">
        <w:rPr>
          <w:rFonts w:eastAsia="Arial" w:cs="Arial"/>
        </w:rPr>
        <w:t>-</w:t>
      </w:r>
      <w:r>
        <w:rPr>
          <w:rFonts w:eastAsia="Arial" w:cs="Arial"/>
        </w:rPr>
        <w:t xml:space="preserve">term planning </w:t>
      </w:r>
      <w:r w:rsidRPr="00007991">
        <w:rPr>
          <w:rFonts w:eastAsia="Arial" w:cs="Arial"/>
        </w:rPr>
        <w:t xml:space="preserve">through state or joint strategies </w:t>
      </w:r>
      <w:r w:rsidRPr="00007991">
        <w:rPr>
          <w:rFonts w:eastAsia="Arial" w:cs="Arial"/>
        </w:rPr>
        <w:lastRenderedPageBreak/>
        <w:t xml:space="preserve">such as the </w:t>
      </w:r>
      <w:r w:rsidRPr="00CB0971">
        <w:rPr>
          <w:rFonts w:eastAsia="Arial" w:cs="Arial"/>
          <w:i/>
          <w:iCs/>
        </w:rPr>
        <w:t>Central and Gippsland Region Sustainable Water Strategy</w:t>
      </w:r>
      <w:r w:rsidRPr="00007991">
        <w:rPr>
          <w:rFonts w:eastAsia="Arial" w:cs="Arial"/>
        </w:rPr>
        <w:t xml:space="preserve">, </w:t>
      </w:r>
      <w:r w:rsidRPr="00CB0971">
        <w:rPr>
          <w:rFonts w:eastAsia="Arial" w:cs="Arial"/>
          <w:i/>
          <w:iCs/>
        </w:rPr>
        <w:t>Water for Life</w:t>
      </w:r>
      <w:r w:rsidRPr="00007991">
        <w:rPr>
          <w:rFonts w:eastAsia="Arial" w:cs="Arial"/>
        </w:rPr>
        <w:t xml:space="preserve"> </w:t>
      </w:r>
      <w:r w:rsidR="008A7916">
        <w:rPr>
          <w:rFonts w:eastAsia="Arial" w:cs="Arial"/>
        </w:rPr>
        <w:t>and</w:t>
      </w:r>
      <w:r w:rsidRPr="00007991">
        <w:rPr>
          <w:rFonts w:eastAsia="Arial" w:cs="Arial"/>
        </w:rPr>
        <w:t xml:space="preserve"> the </w:t>
      </w:r>
      <w:r w:rsidRPr="00CB0971">
        <w:rPr>
          <w:rFonts w:eastAsia="Arial" w:cs="Arial"/>
          <w:i/>
          <w:iCs/>
        </w:rPr>
        <w:t>Melbourne Sewerage Strategy</w:t>
      </w:r>
      <w:r w:rsidRPr="00007991">
        <w:rPr>
          <w:rFonts w:eastAsia="Arial" w:cs="Arial"/>
        </w:rPr>
        <w:t xml:space="preserve"> among others. We have drawn on this strategic planning to</w:t>
      </w:r>
      <w:r>
        <w:rPr>
          <w:rFonts w:eastAsia="Arial" w:cs="Arial"/>
        </w:rPr>
        <w:t xml:space="preserve"> inform </w:t>
      </w:r>
      <w:r w:rsidR="009C4967">
        <w:rPr>
          <w:rFonts w:eastAsia="Arial" w:cs="Arial"/>
        </w:rPr>
        <w:t>the</w:t>
      </w:r>
      <w:r>
        <w:rPr>
          <w:rFonts w:eastAsia="Arial" w:cs="Arial"/>
        </w:rPr>
        <w:t xml:space="preserve"> expenditure proposals </w:t>
      </w:r>
      <w:r w:rsidR="009C4967">
        <w:rPr>
          <w:rFonts w:eastAsia="Arial" w:cs="Arial"/>
        </w:rPr>
        <w:t>in</w:t>
      </w:r>
      <w:r>
        <w:rPr>
          <w:rFonts w:eastAsia="Arial" w:cs="Arial"/>
        </w:rPr>
        <w:t xml:space="preserve"> this</w:t>
      </w:r>
      <w:r w:rsidRPr="00007991">
        <w:rPr>
          <w:rFonts w:eastAsia="Arial" w:cs="Arial"/>
        </w:rPr>
        <w:t xml:space="preserve"> and subsequent </w:t>
      </w:r>
      <w:r>
        <w:rPr>
          <w:rFonts w:eastAsia="Arial" w:cs="Arial"/>
        </w:rPr>
        <w:t>p</w:t>
      </w:r>
      <w:r w:rsidRPr="00007991">
        <w:rPr>
          <w:rFonts w:eastAsia="Arial" w:cs="Arial"/>
        </w:rPr>
        <w:t xml:space="preserve">rice </w:t>
      </w:r>
      <w:r>
        <w:rPr>
          <w:rFonts w:eastAsia="Arial" w:cs="Arial"/>
        </w:rPr>
        <w:t>s</w:t>
      </w:r>
      <w:r w:rsidRPr="00007991">
        <w:rPr>
          <w:rFonts w:eastAsia="Arial" w:cs="Arial"/>
        </w:rPr>
        <w:t xml:space="preserve">ubmissions. The ongoing trends, summarised below and detailed through our </w:t>
      </w:r>
      <w:r w:rsidRPr="002D5FE1">
        <w:rPr>
          <w:rFonts w:eastAsia="Arial" w:cs="Arial"/>
        </w:rPr>
        <w:t>Corporate Asset Management Plan</w:t>
      </w:r>
      <w:r w:rsidRPr="00007991">
        <w:rPr>
          <w:rFonts w:eastAsia="Arial" w:cs="Arial"/>
        </w:rPr>
        <w:t>, will continue to influence our planning for the future.</w:t>
      </w:r>
    </w:p>
    <w:p w14:paraId="3197F66E" w14:textId="77777777" w:rsidR="00B231C5" w:rsidRPr="00C04668" w:rsidRDefault="00B231C5" w:rsidP="00B471C2">
      <w:pPr>
        <w:rPr>
          <w:rFonts w:eastAsia="Arial" w:cs="Arial"/>
          <w:b/>
          <w:bCs/>
        </w:rPr>
      </w:pPr>
      <w:r w:rsidRPr="00C04668">
        <w:rPr>
          <w:rFonts w:eastAsia="Arial" w:cs="Arial"/>
          <w:b/>
          <w:bCs/>
        </w:rPr>
        <w:t>A growing and expanding region</w:t>
      </w:r>
    </w:p>
    <w:p w14:paraId="2DD5B048" w14:textId="72D9FA7F" w:rsidR="00B231C5" w:rsidRPr="00007991" w:rsidRDefault="00B231C5" w:rsidP="00B231C5">
      <w:pPr>
        <w:rPr>
          <w:rFonts w:eastAsia="Arial" w:cs="Arial"/>
        </w:rPr>
      </w:pPr>
      <w:r w:rsidRPr="00007991">
        <w:rPr>
          <w:rFonts w:eastAsia="Arial" w:cs="Arial"/>
        </w:rPr>
        <w:t xml:space="preserve">The policy and community response to the </w:t>
      </w:r>
      <w:r w:rsidR="00846239">
        <w:rPr>
          <w:rFonts w:eastAsia="Arial" w:cs="Arial"/>
        </w:rPr>
        <w:t>coronavirus (</w:t>
      </w:r>
      <w:r w:rsidRPr="00007991">
        <w:rPr>
          <w:rFonts w:eastAsia="Arial" w:cs="Arial"/>
        </w:rPr>
        <w:t>COVID-19</w:t>
      </w:r>
      <w:r w:rsidR="00846239">
        <w:rPr>
          <w:rFonts w:eastAsia="Arial" w:cs="Arial"/>
        </w:rPr>
        <w:t>)</w:t>
      </w:r>
      <w:r w:rsidRPr="00007991">
        <w:rPr>
          <w:rFonts w:eastAsia="Arial" w:cs="Arial"/>
        </w:rPr>
        <w:t xml:space="preserve"> pandemic means there has been a reduction in immigration and people migrating from Melbourne to the regions, interstate and overseas. However</w:t>
      </w:r>
      <w:r>
        <w:rPr>
          <w:rFonts w:eastAsia="Arial" w:cs="Arial"/>
        </w:rPr>
        <w:t>,</w:t>
      </w:r>
      <w:r w:rsidRPr="00007991">
        <w:rPr>
          <w:rFonts w:eastAsia="Arial" w:cs="Arial"/>
        </w:rPr>
        <w:t xml:space="preserve"> significant greenfield development </w:t>
      </w:r>
      <w:r w:rsidR="00581B25">
        <w:rPr>
          <w:rFonts w:eastAsia="Arial" w:cs="Arial"/>
        </w:rPr>
        <w:t xml:space="preserve">has continued </w:t>
      </w:r>
      <w:r w:rsidRPr="00007991">
        <w:rPr>
          <w:rFonts w:eastAsia="Arial" w:cs="Arial"/>
        </w:rPr>
        <w:t>in the outer regions of Melbourne and peri-urban areas. Immigration is expected to recommence</w:t>
      </w:r>
      <w:r>
        <w:rPr>
          <w:rFonts w:eastAsia="Arial" w:cs="Arial"/>
        </w:rPr>
        <w:t xml:space="preserve"> over the regulatory period</w:t>
      </w:r>
      <w:r w:rsidRPr="00007991">
        <w:rPr>
          <w:rFonts w:eastAsia="Arial" w:cs="Arial"/>
        </w:rPr>
        <w:t xml:space="preserve"> and Melbourne </w:t>
      </w:r>
      <w:r w:rsidR="00806831">
        <w:rPr>
          <w:rFonts w:eastAsia="Arial" w:cs="Arial"/>
        </w:rPr>
        <w:t xml:space="preserve">is expected to </w:t>
      </w:r>
      <w:r w:rsidRPr="00007991">
        <w:rPr>
          <w:rFonts w:eastAsia="Arial" w:cs="Arial"/>
        </w:rPr>
        <w:t>continue to grow.</w:t>
      </w:r>
      <w:r w:rsidR="00A1315F">
        <w:rPr>
          <w:rFonts w:eastAsia="Arial" w:cs="Arial"/>
        </w:rPr>
        <w:t xml:space="preserve"> </w:t>
      </w:r>
    </w:p>
    <w:p w14:paraId="66A784FB" w14:textId="762FF21D" w:rsidR="0079066D" w:rsidRPr="00007991" w:rsidRDefault="00B231C5" w:rsidP="00B231C5">
      <w:pPr>
        <w:rPr>
          <w:rFonts w:eastAsia="Arial" w:cs="Arial"/>
        </w:rPr>
      </w:pPr>
      <w:r w:rsidRPr="00007991">
        <w:rPr>
          <w:rFonts w:eastAsia="Arial" w:cs="Arial"/>
        </w:rPr>
        <w:t xml:space="preserve">The ongoing growth and associated increase in water demand </w:t>
      </w:r>
      <w:r>
        <w:rPr>
          <w:rFonts w:eastAsia="Arial" w:cs="Arial"/>
        </w:rPr>
        <w:t>will drive the need for</w:t>
      </w:r>
      <w:r w:rsidRPr="00007991">
        <w:rPr>
          <w:rFonts w:eastAsia="Arial" w:cs="Arial"/>
        </w:rPr>
        <w:t xml:space="preserve"> augmentation to our bulk water supply. The regional growth patterns mean that our local treatment plan</w:t>
      </w:r>
      <w:r w:rsidR="00860A57">
        <w:rPr>
          <w:rFonts w:eastAsia="Arial" w:cs="Arial"/>
        </w:rPr>
        <w:t>t</w:t>
      </w:r>
      <w:r w:rsidRPr="00007991">
        <w:rPr>
          <w:rFonts w:eastAsia="Arial" w:cs="Arial"/>
        </w:rPr>
        <w:t>s are observing increasing flows and loads</w:t>
      </w:r>
      <w:r>
        <w:rPr>
          <w:rFonts w:eastAsia="Arial" w:cs="Arial"/>
        </w:rPr>
        <w:t xml:space="preserve"> and require capital investment as they are nearing full capacity</w:t>
      </w:r>
      <w:r w:rsidRPr="00007991">
        <w:rPr>
          <w:rFonts w:eastAsia="Arial" w:cs="Arial"/>
        </w:rPr>
        <w:t>.</w:t>
      </w:r>
    </w:p>
    <w:p w14:paraId="62C62D39" w14:textId="77777777" w:rsidR="00B231C5" w:rsidRPr="00FE61BD" w:rsidRDefault="00B231C5" w:rsidP="00B471C2">
      <w:pPr>
        <w:rPr>
          <w:rFonts w:eastAsia="Arial" w:cs="Arial"/>
          <w:b/>
          <w:bCs/>
        </w:rPr>
      </w:pPr>
      <w:r w:rsidRPr="00FE61BD">
        <w:rPr>
          <w:rFonts w:eastAsia="Arial" w:cs="Arial"/>
          <w:b/>
          <w:bCs/>
        </w:rPr>
        <w:t>A changed and changing climate</w:t>
      </w:r>
    </w:p>
    <w:p w14:paraId="67C1C976" w14:textId="339997C0" w:rsidR="00B231C5" w:rsidRPr="00007991" w:rsidRDefault="007E19FB" w:rsidP="00360131">
      <w:pPr>
        <w:spacing w:after="240"/>
        <w:rPr>
          <w:rFonts w:eastAsia="Arial" w:cs="Arial"/>
        </w:rPr>
      </w:pPr>
      <w:r>
        <w:rPr>
          <w:rFonts w:eastAsia="Arial" w:cs="Arial"/>
        </w:rPr>
        <w:t>The</w:t>
      </w:r>
      <w:r w:rsidR="00B231C5" w:rsidRPr="00007991">
        <w:rPr>
          <w:rFonts w:eastAsia="Arial" w:cs="Arial"/>
        </w:rPr>
        <w:t xml:space="preserve"> impact</w:t>
      </w:r>
      <w:r>
        <w:rPr>
          <w:rFonts w:eastAsia="Arial" w:cs="Arial"/>
        </w:rPr>
        <w:t>s</w:t>
      </w:r>
      <w:r w:rsidR="00B231C5" w:rsidRPr="00007991">
        <w:rPr>
          <w:rFonts w:eastAsia="Arial" w:cs="Arial"/>
        </w:rPr>
        <w:t xml:space="preserve"> of climate change for South East Water </w:t>
      </w:r>
      <w:r>
        <w:rPr>
          <w:rFonts w:eastAsia="Arial" w:cs="Arial"/>
        </w:rPr>
        <w:t>are increasing</w:t>
      </w:r>
      <w:r w:rsidR="00B231C5" w:rsidRPr="00007991">
        <w:rPr>
          <w:rFonts w:eastAsia="Arial" w:cs="Arial"/>
        </w:rPr>
        <w:t xml:space="preserve">. The most direct </w:t>
      </w:r>
      <w:r w:rsidR="007C79BB">
        <w:rPr>
          <w:rFonts w:eastAsia="Arial" w:cs="Arial"/>
        </w:rPr>
        <w:t xml:space="preserve">recent </w:t>
      </w:r>
      <w:r w:rsidR="00B231C5" w:rsidRPr="00007991">
        <w:rPr>
          <w:rFonts w:eastAsia="Arial" w:cs="Arial"/>
        </w:rPr>
        <w:t xml:space="preserve">impact has been </w:t>
      </w:r>
      <w:r w:rsidR="00936A00">
        <w:rPr>
          <w:rFonts w:eastAsia="Arial" w:cs="Arial"/>
        </w:rPr>
        <w:t xml:space="preserve">a </w:t>
      </w:r>
      <w:r w:rsidR="00B231C5" w:rsidRPr="00007991">
        <w:rPr>
          <w:rFonts w:eastAsia="Arial" w:cs="Arial"/>
        </w:rPr>
        <w:t>reduc</w:t>
      </w:r>
      <w:r w:rsidR="00936A00">
        <w:rPr>
          <w:rFonts w:eastAsia="Arial" w:cs="Arial"/>
        </w:rPr>
        <w:t xml:space="preserve">tion </w:t>
      </w:r>
      <w:r w:rsidR="00FC41A3">
        <w:rPr>
          <w:rFonts w:eastAsia="Arial" w:cs="Arial"/>
        </w:rPr>
        <w:t xml:space="preserve">in the </w:t>
      </w:r>
      <w:r w:rsidR="00B231C5" w:rsidRPr="00007991">
        <w:rPr>
          <w:rFonts w:eastAsia="Arial" w:cs="Arial"/>
        </w:rPr>
        <w:t>allocation against our surface water</w:t>
      </w:r>
      <w:r w:rsidR="008848FF">
        <w:rPr>
          <w:rFonts w:eastAsia="Arial" w:cs="Arial"/>
        </w:rPr>
        <w:t xml:space="preserve"> </w:t>
      </w:r>
      <w:r w:rsidR="00B231C5" w:rsidRPr="00007991">
        <w:rPr>
          <w:rFonts w:eastAsia="Arial" w:cs="Arial"/>
        </w:rPr>
        <w:t>entitlements</w:t>
      </w:r>
      <w:r w:rsidR="006205AC">
        <w:rPr>
          <w:rFonts w:eastAsia="Arial" w:cs="Arial"/>
        </w:rPr>
        <w:t xml:space="preserve"> relative</w:t>
      </w:r>
      <w:r w:rsidR="00B231C5" w:rsidRPr="00007991">
        <w:rPr>
          <w:rFonts w:eastAsia="Arial" w:cs="Arial"/>
        </w:rPr>
        <w:t xml:space="preserve"> to historical trends. As climate change impacts continue to</w:t>
      </w:r>
      <w:r w:rsidR="008848FF">
        <w:rPr>
          <w:rFonts w:eastAsia="Arial" w:cs="Arial"/>
        </w:rPr>
        <w:t xml:space="preserve"> </w:t>
      </w:r>
      <w:r w:rsidR="00B231C5" w:rsidRPr="00007991">
        <w:rPr>
          <w:rFonts w:eastAsia="Arial" w:cs="Arial"/>
        </w:rPr>
        <w:t>materialise</w:t>
      </w:r>
      <w:r w:rsidR="00B231C5">
        <w:rPr>
          <w:rFonts w:eastAsia="Arial" w:cs="Arial"/>
        </w:rPr>
        <w:t>,</w:t>
      </w:r>
      <w:r w:rsidR="00B231C5" w:rsidRPr="00007991">
        <w:rPr>
          <w:rFonts w:eastAsia="Arial" w:cs="Arial"/>
        </w:rPr>
        <w:t xml:space="preserve"> this may not only exacerbate the existing trend of reducing surface water availability but </w:t>
      </w:r>
      <w:r w:rsidR="00C646CF">
        <w:rPr>
          <w:rFonts w:eastAsia="Arial" w:cs="Arial"/>
        </w:rPr>
        <w:t>could</w:t>
      </w:r>
      <w:r w:rsidR="00B231C5" w:rsidRPr="00007991">
        <w:rPr>
          <w:rFonts w:eastAsia="Arial" w:cs="Arial"/>
        </w:rPr>
        <w:t xml:space="preserve"> start to materially impact our physical assets through rising sea levels and increasing frequency and intensity of extreme weather events. </w:t>
      </w:r>
    </w:p>
    <w:p w14:paraId="7D3A6794" w14:textId="77777777" w:rsidR="00B231C5" w:rsidRPr="008024CC" w:rsidRDefault="00B231C5" w:rsidP="00B471C2">
      <w:pPr>
        <w:rPr>
          <w:rFonts w:eastAsia="Arial" w:cs="Arial"/>
          <w:b/>
          <w:bCs/>
        </w:rPr>
      </w:pPr>
      <w:r w:rsidRPr="008024CC">
        <w:rPr>
          <w:rFonts w:eastAsia="Arial" w:cs="Arial"/>
          <w:b/>
          <w:bCs/>
        </w:rPr>
        <w:t xml:space="preserve">Increasing community </w:t>
      </w:r>
      <w:r>
        <w:rPr>
          <w:rFonts w:eastAsia="Arial" w:cs="Arial"/>
          <w:b/>
          <w:bCs/>
        </w:rPr>
        <w:t xml:space="preserve">and stakeholder </w:t>
      </w:r>
      <w:r w:rsidRPr="008024CC">
        <w:rPr>
          <w:rFonts w:eastAsia="Arial" w:cs="Arial"/>
          <w:b/>
          <w:bCs/>
        </w:rPr>
        <w:t>expectations</w:t>
      </w:r>
    </w:p>
    <w:p w14:paraId="3E78ED57" w14:textId="77777777" w:rsidR="007A39D8" w:rsidRDefault="007A39D8" w:rsidP="00360131">
      <w:pPr>
        <w:spacing w:after="240"/>
        <w:rPr>
          <w:rFonts w:eastAsia="Arial" w:cs="Arial"/>
        </w:rPr>
      </w:pPr>
      <w:r>
        <w:rPr>
          <w:rFonts w:eastAsia="Arial" w:cs="Arial"/>
        </w:rPr>
        <w:t>There is an increased c</w:t>
      </w:r>
      <w:r w:rsidR="00B231C5" w:rsidRPr="00007991">
        <w:rPr>
          <w:rFonts w:eastAsia="Arial" w:cs="Arial"/>
        </w:rPr>
        <w:t>ommunity</w:t>
      </w:r>
      <w:r w:rsidR="00B231C5">
        <w:rPr>
          <w:rFonts w:eastAsia="Arial" w:cs="Arial"/>
        </w:rPr>
        <w:t xml:space="preserve"> and stakeholder</w:t>
      </w:r>
      <w:r w:rsidR="00B231C5" w:rsidRPr="00007991">
        <w:rPr>
          <w:rFonts w:eastAsia="Arial" w:cs="Arial"/>
        </w:rPr>
        <w:t xml:space="preserve"> </w:t>
      </w:r>
      <w:r>
        <w:rPr>
          <w:rFonts w:eastAsia="Arial" w:cs="Arial"/>
        </w:rPr>
        <w:t>expectation that requires</w:t>
      </w:r>
      <w:r w:rsidR="00B231C5" w:rsidRPr="00007991">
        <w:rPr>
          <w:rFonts w:eastAsia="Arial" w:cs="Arial"/>
        </w:rPr>
        <w:t xml:space="preserve"> </w:t>
      </w:r>
      <w:r>
        <w:rPr>
          <w:rFonts w:eastAsia="Arial" w:cs="Arial"/>
        </w:rPr>
        <w:t xml:space="preserve">us to </w:t>
      </w:r>
      <w:r w:rsidR="00B231C5" w:rsidRPr="00007991">
        <w:rPr>
          <w:rFonts w:eastAsia="Arial" w:cs="Arial"/>
        </w:rPr>
        <w:t xml:space="preserve">minimise </w:t>
      </w:r>
      <w:r w:rsidR="008C4214">
        <w:rPr>
          <w:rFonts w:eastAsia="Arial" w:cs="Arial"/>
        </w:rPr>
        <w:t xml:space="preserve">any </w:t>
      </w:r>
      <w:r w:rsidR="00B231C5" w:rsidRPr="00007991">
        <w:rPr>
          <w:rFonts w:eastAsia="Arial" w:cs="Arial"/>
        </w:rPr>
        <w:t>adverse impact of our operations on customers, community and the environment</w:t>
      </w:r>
      <w:r w:rsidR="00ED4321">
        <w:rPr>
          <w:rFonts w:eastAsia="Arial" w:cs="Arial"/>
        </w:rPr>
        <w:t xml:space="preserve">, </w:t>
      </w:r>
      <w:r w:rsidR="00EC3881">
        <w:rPr>
          <w:rFonts w:eastAsia="Arial" w:cs="Arial"/>
        </w:rPr>
        <w:t>and that we will continue to</w:t>
      </w:r>
      <w:r w:rsidR="002D78AB">
        <w:rPr>
          <w:rFonts w:eastAsia="Arial" w:cs="Arial"/>
        </w:rPr>
        <w:t xml:space="preserve"> </w:t>
      </w:r>
      <w:r w:rsidR="00B231C5" w:rsidRPr="00007991">
        <w:rPr>
          <w:rFonts w:eastAsia="Arial" w:cs="Arial"/>
        </w:rPr>
        <w:t>maintain efficient and safe service</w:t>
      </w:r>
      <w:r w:rsidR="00B231C5">
        <w:rPr>
          <w:rFonts w:eastAsia="Arial" w:cs="Arial"/>
        </w:rPr>
        <w:t>s</w:t>
      </w:r>
      <w:r w:rsidR="00B231C5" w:rsidRPr="00007991">
        <w:rPr>
          <w:rFonts w:eastAsia="Arial" w:cs="Arial"/>
        </w:rPr>
        <w:t xml:space="preserve">. </w:t>
      </w:r>
      <w:r w:rsidR="00860A57" w:rsidRPr="00860A57">
        <w:rPr>
          <w:rFonts w:eastAsia="Arial" w:cs="Arial"/>
        </w:rPr>
        <w:t>S</w:t>
      </w:r>
      <w:r w:rsidR="00860A57">
        <w:rPr>
          <w:rFonts w:eastAsia="Arial" w:cs="Arial"/>
        </w:rPr>
        <w:t xml:space="preserve">outh </w:t>
      </w:r>
      <w:r w:rsidR="00860A57" w:rsidRPr="00860A57">
        <w:rPr>
          <w:rFonts w:eastAsia="Arial" w:cs="Arial"/>
        </w:rPr>
        <w:t>E</w:t>
      </w:r>
      <w:r w:rsidR="00860A57">
        <w:rPr>
          <w:rFonts w:eastAsia="Arial" w:cs="Arial"/>
        </w:rPr>
        <w:t xml:space="preserve">ast </w:t>
      </w:r>
      <w:r w:rsidR="00860A57" w:rsidRPr="00860A57">
        <w:rPr>
          <w:rFonts w:eastAsia="Arial" w:cs="Arial"/>
        </w:rPr>
        <w:t>W</w:t>
      </w:r>
      <w:r w:rsidR="00860A57">
        <w:rPr>
          <w:rFonts w:eastAsia="Arial" w:cs="Arial"/>
        </w:rPr>
        <w:t>ater</w:t>
      </w:r>
      <w:r w:rsidR="00860A57" w:rsidRPr="00860A57">
        <w:rPr>
          <w:rFonts w:eastAsia="Arial" w:cs="Arial"/>
        </w:rPr>
        <w:t xml:space="preserve"> is also committed to ensuring our services do not negatively impact our customers, the community or the environment</w:t>
      </w:r>
      <w:r>
        <w:rPr>
          <w:rFonts w:eastAsia="Arial" w:cs="Arial"/>
        </w:rPr>
        <w:t>.</w:t>
      </w:r>
      <w:r w:rsidR="00860A57" w:rsidRPr="00860A57">
        <w:rPr>
          <w:rFonts w:eastAsia="Arial" w:cs="Arial"/>
        </w:rPr>
        <w:t xml:space="preserve"> </w:t>
      </w:r>
    </w:p>
    <w:p w14:paraId="44A48A95" w14:textId="605881D0" w:rsidR="00B231C5" w:rsidRPr="00007991" w:rsidRDefault="00B231C5" w:rsidP="00360131">
      <w:pPr>
        <w:spacing w:after="240"/>
        <w:rPr>
          <w:rFonts w:eastAsia="Arial" w:cs="Arial"/>
        </w:rPr>
      </w:pPr>
      <w:r w:rsidRPr="00007991">
        <w:rPr>
          <w:rFonts w:eastAsia="Arial" w:cs="Arial"/>
        </w:rPr>
        <w:t>These expectations are</w:t>
      </w:r>
      <w:r w:rsidR="00860A57">
        <w:rPr>
          <w:rFonts w:eastAsia="Arial" w:cs="Arial"/>
        </w:rPr>
        <w:t xml:space="preserve"> </w:t>
      </w:r>
      <w:r w:rsidRPr="00007991">
        <w:rPr>
          <w:rFonts w:eastAsia="Arial" w:cs="Arial"/>
        </w:rPr>
        <w:t>reflected in changing water policy, environmental regulations and business commitments</w:t>
      </w:r>
      <w:r>
        <w:rPr>
          <w:rFonts w:eastAsia="Arial" w:cs="Arial"/>
        </w:rPr>
        <w:t xml:space="preserve"> </w:t>
      </w:r>
      <w:r w:rsidR="00C02AFA">
        <w:rPr>
          <w:rFonts w:eastAsia="Arial" w:cs="Arial"/>
        </w:rPr>
        <w:t xml:space="preserve">which are </w:t>
      </w:r>
      <w:r>
        <w:rPr>
          <w:rFonts w:eastAsia="Arial" w:cs="Arial"/>
        </w:rPr>
        <w:t>informed through our long</w:t>
      </w:r>
      <w:r w:rsidR="006B0BBE">
        <w:rPr>
          <w:rFonts w:eastAsia="Arial" w:cs="Arial"/>
        </w:rPr>
        <w:t>-</w:t>
      </w:r>
      <w:r>
        <w:rPr>
          <w:rFonts w:eastAsia="Arial" w:cs="Arial"/>
        </w:rPr>
        <w:t>term strategies.</w:t>
      </w:r>
      <w:r w:rsidR="00A1315F">
        <w:rPr>
          <w:rFonts w:eastAsia="Arial" w:cs="Arial"/>
        </w:rPr>
        <w:t xml:space="preserve"> </w:t>
      </w:r>
    </w:p>
    <w:p w14:paraId="043B3476" w14:textId="77777777" w:rsidR="00B231C5" w:rsidRPr="0073750C" w:rsidRDefault="00B231C5" w:rsidP="00B471C2">
      <w:pPr>
        <w:rPr>
          <w:rFonts w:eastAsia="Arial" w:cs="Arial"/>
          <w:b/>
          <w:bCs/>
        </w:rPr>
      </w:pPr>
      <w:r w:rsidRPr="0073750C">
        <w:rPr>
          <w:rFonts w:eastAsia="Arial" w:cs="Arial"/>
          <w:b/>
          <w:bCs/>
        </w:rPr>
        <w:t>Managing increasing asset risk</w:t>
      </w:r>
    </w:p>
    <w:p w14:paraId="6E583B8D" w14:textId="77777777" w:rsidR="00B231C5" w:rsidRDefault="00B231C5" w:rsidP="00B231C5">
      <w:pPr>
        <w:rPr>
          <w:rFonts w:eastAsia="Arial" w:cs="Arial"/>
        </w:rPr>
      </w:pPr>
      <w:r w:rsidRPr="00007991">
        <w:rPr>
          <w:rFonts w:eastAsia="Arial" w:cs="Arial"/>
        </w:rPr>
        <w:t xml:space="preserve">South East Water owns and operates a wide variety of assets including, but not limited to, pipes, pumping stations, water storage tanks and sewerage treatment plants. </w:t>
      </w:r>
    </w:p>
    <w:p w14:paraId="347BFDDD" w14:textId="673DE1E0" w:rsidR="00B231C5" w:rsidRPr="0073750C" w:rsidRDefault="00B231C5" w:rsidP="00B471C2">
      <w:pPr>
        <w:rPr>
          <w:rFonts w:eastAsia="Arial" w:cs="Arial"/>
          <w:b/>
          <w:bCs/>
        </w:rPr>
      </w:pPr>
      <w:r w:rsidRPr="00435920">
        <w:rPr>
          <w:rFonts w:eastAsia="Arial" w:cs="Arial"/>
        </w:rPr>
        <w:t>Current levels of investment in new assets and renewals mean that those assets which are reaching the end of their nominal functional life will continue to increase over time.</w:t>
      </w:r>
      <w:r>
        <w:rPr>
          <w:rFonts w:eastAsia="Arial" w:cs="Arial"/>
        </w:rPr>
        <w:t xml:space="preserve"> </w:t>
      </w:r>
      <w:r w:rsidR="00736AFD">
        <w:rPr>
          <w:rFonts w:eastAsia="Arial" w:cs="Arial"/>
        </w:rPr>
        <w:br/>
      </w:r>
      <w:r w:rsidRPr="00007991">
        <w:rPr>
          <w:rFonts w:eastAsia="Arial" w:cs="Arial"/>
        </w:rPr>
        <w:t>As these assets wear and age</w:t>
      </w:r>
      <w:r w:rsidR="00DD547E">
        <w:rPr>
          <w:rFonts w:eastAsia="Arial" w:cs="Arial"/>
        </w:rPr>
        <w:t>,</w:t>
      </w:r>
      <w:r w:rsidRPr="00007991">
        <w:rPr>
          <w:rFonts w:eastAsia="Arial" w:cs="Arial"/>
        </w:rPr>
        <w:t xml:space="preserve"> and as the population grows and climate changes</w:t>
      </w:r>
      <w:r>
        <w:rPr>
          <w:rFonts w:eastAsia="Arial" w:cs="Arial"/>
        </w:rPr>
        <w:t>,</w:t>
      </w:r>
      <w:r w:rsidRPr="00007991">
        <w:rPr>
          <w:rFonts w:eastAsia="Arial" w:cs="Arial"/>
        </w:rPr>
        <w:t xml:space="preserve"> the risk of a</w:t>
      </w:r>
      <w:r>
        <w:rPr>
          <w:rFonts w:eastAsia="Arial" w:cs="Arial"/>
        </w:rPr>
        <w:t>sset</w:t>
      </w:r>
      <w:r w:rsidRPr="00007991">
        <w:rPr>
          <w:rFonts w:eastAsia="Arial" w:cs="Arial"/>
        </w:rPr>
        <w:t xml:space="preserve"> failure occurring</w:t>
      </w:r>
      <w:r>
        <w:rPr>
          <w:rFonts w:eastAsia="Arial" w:cs="Arial"/>
        </w:rPr>
        <w:t xml:space="preserve"> will</w:t>
      </w:r>
      <w:r w:rsidRPr="00007991">
        <w:rPr>
          <w:rFonts w:eastAsia="Arial" w:cs="Arial"/>
        </w:rPr>
        <w:t xml:space="preserve"> increase</w:t>
      </w:r>
      <w:r w:rsidR="00A23F3F">
        <w:rPr>
          <w:rFonts w:eastAsia="Arial" w:cs="Arial"/>
        </w:rPr>
        <w:t>,</w:t>
      </w:r>
      <w:r>
        <w:rPr>
          <w:rFonts w:eastAsia="Arial" w:cs="Arial"/>
        </w:rPr>
        <w:t xml:space="preserve"> </w:t>
      </w:r>
      <w:r w:rsidR="00480919">
        <w:rPr>
          <w:rFonts w:eastAsia="Arial" w:cs="Arial"/>
        </w:rPr>
        <w:t>which could compromise</w:t>
      </w:r>
      <w:r>
        <w:rPr>
          <w:rFonts w:eastAsia="Arial" w:cs="Arial"/>
        </w:rPr>
        <w:t xml:space="preserve"> service levels.</w:t>
      </w:r>
      <w:r w:rsidRPr="00007991">
        <w:rPr>
          <w:rFonts w:eastAsia="Arial" w:cs="Arial"/>
        </w:rPr>
        <w:t xml:space="preserve"> </w:t>
      </w:r>
      <w:r w:rsidR="00B471C2">
        <w:rPr>
          <w:rFonts w:eastAsia="Arial" w:cs="Arial"/>
        </w:rPr>
        <w:br/>
      </w:r>
      <w:r w:rsidR="00B471C2">
        <w:rPr>
          <w:rFonts w:eastAsia="Arial" w:cs="Arial"/>
        </w:rPr>
        <w:br/>
      </w:r>
      <w:r w:rsidRPr="0073750C">
        <w:rPr>
          <w:rFonts w:eastAsia="Arial" w:cs="Arial"/>
          <w:b/>
          <w:bCs/>
        </w:rPr>
        <w:t>Our response</w:t>
      </w:r>
      <w:r>
        <w:rPr>
          <w:rFonts w:eastAsia="Arial" w:cs="Arial"/>
          <w:b/>
          <w:bCs/>
        </w:rPr>
        <w:t xml:space="preserve"> through long</w:t>
      </w:r>
      <w:r w:rsidR="007C2C05">
        <w:rPr>
          <w:rFonts w:eastAsia="Arial" w:cs="Arial"/>
          <w:b/>
          <w:bCs/>
        </w:rPr>
        <w:t>-</w:t>
      </w:r>
      <w:r>
        <w:rPr>
          <w:rFonts w:eastAsia="Arial" w:cs="Arial"/>
          <w:b/>
          <w:bCs/>
        </w:rPr>
        <w:t>term planning</w:t>
      </w:r>
    </w:p>
    <w:p w14:paraId="13C6D331" w14:textId="40C40AE9" w:rsidR="00B231C5" w:rsidRPr="00007991" w:rsidRDefault="00B231C5" w:rsidP="00B231C5">
      <w:pPr>
        <w:rPr>
          <w:rFonts w:eastAsia="Arial" w:cs="Arial"/>
        </w:rPr>
      </w:pPr>
      <w:r w:rsidRPr="00007991">
        <w:rPr>
          <w:rFonts w:eastAsia="Arial" w:cs="Arial"/>
        </w:rPr>
        <w:t>Each of the</w:t>
      </w:r>
      <w:r>
        <w:rPr>
          <w:rFonts w:eastAsia="Arial" w:cs="Arial"/>
        </w:rPr>
        <w:t xml:space="preserve"> above</w:t>
      </w:r>
      <w:r w:rsidRPr="00007991">
        <w:rPr>
          <w:rFonts w:eastAsia="Arial" w:cs="Arial"/>
        </w:rPr>
        <w:t xml:space="preserve"> trends has informed our investment planning to ensure we are able </w:t>
      </w:r>
      <w:r w:rsidR="00736AFD">
        <w:rPr>
          <w:rFonts w:eastAsia="Arial" w:cs="Arial"/>
        </w:rPr>
        <w:br/>
      </w:r>
      <w:r w:rsidRPr="00007991">
        <w:rPr>
          <w:rFonts w:eastAsia="Arial" w:cs="Arial"/>
        </w:rPr>
        <w:t>to deliver the outcomes our customers are seeking from our services, now and over the long</w:t>
      </w:r>
      <w:r>
        <w:rPr>
          <w:rFonts w:eastAsia="Arial" w:cs="Arial"/>
        </w:rPr>
        <w:t>er</w:t>
      </w:r>
      <w:r w:rsidRPr="00007991">
        <w:rPr>
          <w:rFonts w:eastAsia="Arial" w:cs="Arial"/>
        </w:rPr>
        <w:t xml:space="preserve"> term. </w:t>
      </w:r>
    </w:p>
    <w:p w14:paraId="4DA0B25A" w14:textId="3BE36BBB" w:rsidR="00B231C5" w:rsidRPr="00007991" w:rsidRDefault="00B231C5" w:rsidP="00B231C5">
      <w:pPr>
        <w:rPr>
          <w:rFonts w:eastAsia="Arial" w:cs="Arial"/>
        </w:rPr>
      </w:pPr>
      <w:r>
        <w:rPr>
          <w:rFonts w:eastAsia="Arial" w:cs="Arial"/>
        </w:rPr>
        <w:t>I</w:t>
      </w:r>
      <w:r w:rsidRPr="00007991">
        <w:rPr>
          <w:rFonts w:eastAsia="Arial" w:cs="Arial"/>
        </w:rPr>
        <w:t>nvestment proposed in</w:t>
      </w:r>
      <w:r>
        <w:rPr>
          <w:rFonts w:eastAsia="Arial" w:cs="Arial"/>
        </w:rPr>
        <w:t xml:space="preserve"> this price submission</w:t>
      </w:r>
      <w:r w:rsidRPr="00007991">
        <w:rPr>
          <w:rFonts w:eastAsia="Arial" w:cs="Arial"/>
        </w:rPr>
        <w:t xml:space="preserve"> will</w:t>
      </w:r>
      <w:r>
        <w:rPr>
          <w:rFonts w:eastAsia="Arial" w:cs="Arial"/>
        </w:rPr>
        <w:t xml:space="preserve"> </w:t>
      </w:r>
      <w:r w:rsidR="007C390A">
        <w:rPr>
          <w:rFonts w:eastAsia="Arial" w:cs="Arial"/>
        </w:rPr>
        <w:t xml:space="preserve">allow South East Water to </w:t>
      </w:r>
      <w:r>
        <w:rPr>
          <w:rFonts w:eastAsia="Arial" w:cs="Arial"/>
        </w:rPr>
        <w:t>manage</w:t>
      </w:r>
      <w:r w:rsidR="007175F8">
        <w:rPr>
          <w:rFonts w:eastAsia="Arial" w:cs="Arial"/>
        </w:rPr>
        <w:t xml:space="preserve"> </w:t>
      </w:r>
      <w:r w:rsidR="00736AFD">
        <w:rPr>
          <w:rFonts w:eastAsia="Arial" w:cs="Arial"/>
        </w:rPr>
        <w:br/>
      </w:r>
      <w:r>
        <w:rPr>
          <w:rFonts w:eastAsia="Arial" w:cs="Arial"/>
        </w:rPr>
        <w:t>(and avoid)</w:t>
      </w:r>
      <w:r w:rsidRPr="00007991">
        <w:rPr>
          <w:rFonts w:eastAsia="Arial" w:cs="Arial"/>
        </w:rPr>
        <w:t xml:space="preserve"> future costs, in particular:</w:t>
      </w:r>
    </w:p>
    <w:p w14:paraId="28E6FF56" w14:textId="63804495" w:rsidR="00B231C5" w:rsidRPr="00854851" w:rsidRDefault="00B231C5">
      <w:pPr>
        <w:pStyle w:val="ListParagraph"/>
        <w:numPr>
          <w:ilvl w:val="0"/>
          <w:numId w:val="62"/>
        </w:numPr>
        <w:rPr>
          <w:rFonts w:eastAsia="Arial" w:cs="Arial"/>
        </w:rPr>
      </w:pPr>
      <w:r w:rsidRPr="00854851">
        <w:rPr>
          <w:rFonts w:eastAsia="Arial" w:cs="Arial"/>
        </w:rPr>
        <w:lastRenderedPageBreak/>
        <w:t>The Digital Utility program responds to a number of challenges that South</w:t>
      </w:r>
      <w:r w:rsidR="009C0AA4">
        <w:rPr>
          <w:rFonts w:eastAsia="Arial" w:cs="Arial"/>
        </w:rPr>
        <w:t> </w:t>
      </w:r>
      <w:r w:rsidRPr="00854851">
        <w:rPr>
          <w:rFonts w:eastAsia="Arial" w:cs="Arial"/>
        </w:rPr>
        <w:t>East</w:t>
      </w:r>
      <w:r w:rsidR="00B16E3F">
        <w:rPr>
          <w:rFonts w:eastAsia="Arial" w:cs="Arial"/>
        </w:rPr>
        <w:t> </w:t>
      </w:r>
      <w:r w:rsidRPr="00854851">
        <w:rPr>
          <w:rFonts w:eastAsia="Arial" w:cs="Arial"/>
        </w:rPr>
        <w:t xml:space="preserve">Water faces. </w:t>
      </w:r>
      <w:r w:rsidR="00723C4B">
        <w:rPr>
          <w:rFonts w:eastAsia="Arial" w:cs="Arial"/>
        </w:rPr>
        <w:t xml:space="preserve">We can </w:t>
      </w:r>
      <w:r w:rsidR="004F62E2">
        <w:rPr>
          <w:rFonts w:eastAsia="Arial" w:cs="Arial"/>
        </w:rPr>
        <w:t>provide</w:t>
      </w:r>
      <w:r w:rsidRPr="00854851">
        <w:rPr>
          <w:rFonts w:eastAsia="Arial" w:cs="Arial"/>
        </w:rPr>
        <w:t xml:space="preserve"> customers with </w:t>
      </w:r>
      <w:r w:rsidR="003759E5">
        <w:rPr>
          <w:rFonts w:eastAsia="Arial" w:cs="Arial"/>
        </w:rPr>
        <w:t>real time</w:t>
      </w:r>
      <w:r w:rsidR="006A0D3C">
        <w:rPr>
          <w:rFonts w:eastAsia="Arial" w:cs="Arial"/>
        </w:rPr>
        <w:t xml:space="preserve"> awareness of water use (and leaks) which will help manage</w:t>
      </w:r>
      <w:r w:rsidRPr="00854851">
        <w:rPr>
          <w:rFonts w:eastAsia="Arial" w:cs="Arial"/>
        </w:rPr>
        <w:t xml:space="preserve"> customer demand and </w:t>
      </w:r>
      <w:r w:rsidR="00FC3C36">
        <w:rPr>
          <w:rFonts w:eastAsia="Arial" w:cs="Arial"/>
        </w:rPr>
        <w:t xml:space="preserve">allow </w:t>
      </w:r>
      <w:r w:rsidRPr="00854851">
        <w:rPr>
          <w:rFonts w:eastAsia="Arial" w:cs="Arial"/>
        </w:rPr>
        <w:t>ongoing monitoring on an increased range of assets</w:t>
      </w:r>
      <w:r w:rsidR="00A21C69">
        <w:rPr>
          <w:rFonts w:eastAsia="Arial" w:cs="Arial"/>
        </w:rPr>
        <w:t>.</w:t>
      </w:r>
      <w:r>
        <w:rPr>
          <w:rFonts w:eastAsia="Arial" w:cs="Arial"/>
        </w:rPr>
        <w:t xml:space="preserve"> </w:t>
      </w:r>
      <w:r w:rsidR="00A21C69">
        <w:rPr>
          <w:rFonts w:eastAsia="Arial" w:cs="Arial"/>
        </w:rPr>
        <w:t>D</w:t>
      </w:r>
      <w:r>
        <w:rPr>
          <w:rFonts w:eastAsia="Arial" w:cs="Arial"/>
        </w:rPr>
        <w:t>igital metering</w:t>
      </w:r>
      <w:r w:rsidRPr="00854851">
        <w:rPr>
          <w:rFonts w:eastAsia="Arial" w:cs="Arial"/>
        </w:rPr>
        <w:t xml:space="preserve"> will enable South East Water to </w:t>
      </w:r>
      <w:r w:rsidR="00547353">
        <w:rPr>
          <w:rFonts w:eastAsia="Arial" w:cs="Arial"/>
        </w:rPr>
        <w:t>actively monitor</w:t>
      </w:r>
      <w:r w:rsidRPr="00854851">
        <w:rPr>
          <w:rFonts w:eastAsia="Arial" w:cs="Arial"/>
        </w:rPr>
        <w:t xml:space="preserve"> the water supply and demand balance for Melbourne </w:t>
      </w:r>
      <w:r w:rsidR="00761ECC">
        <w:rPr>
          <w:rFonts w:eastAsia="Arial" w:cs="Arial"/>
        </w:rPr>
        <w:t>and</w:t>
      </w:r>
      <w:r w:rsidRPr="00854851">
        <w:rPr>
          <w:rFonts w:eastAsia="Arial" w:cs="Arial"/>
        </w:rPr>
        <w:t xml:space="preserve"> defer major augmentations</w:t>
      </w:r>
      <w:r w:rsidR="00DF28C2">
        <w:rPr>
          <w:rFonts w:eastAsia="Arial" w:cs="Arial"/>
        </w:rPr>
        <w:t>.</w:t>
      </w:r>
    </w:p>
    <w:p w14:paraId="40DE5B83" w14:textId="677C052C" w:rsidR="00B231C5" w:rsidRPr="00854851" w:rsidRDefault="00B231C5">
      <w:pPr>
        <w:pStyle w:val="ListParagraph"/>
        <w:numPr>
          <w:ilvl w:val="0"/>
          <w:numId w:val="62"/>
        </w:numPr>
        <w:rPr>
          <w:rFonts w:eastAsia="Arial" w:cs="Arial"/>
        </w:rPr>
      </w:pPr>
      <w:r w:rsidRPr="00854851">
        <w:rPr>
          <w:rFonts w:eastAsia="Arial" w:cs="Arial"/>
        </w:rPr>
        <w:t xml:space="preserve">Our Integrated Water Management </w:t>
      </w:r>
      <w:r w:rsidR="00C21D01">
        <w:rPr>
          <w:rFonts w:eastAsia="Arial" w:cs="Arial"/>
        </w:rPr>
        <w:t xml:space="preserve">(IWM) </w:t>
      </w:r>
      <w:r w:rsidRPr="00854851">
        <w:rPr>
          <w:rFonts w:eastAsia="Arial" w:cs="Arial"/>
        </w:rPr>
        <w:t xml:space="preserve">program seeks to increase uptake of alternative water to offset </w:t>
      </w:r>
      <w:r w:rsidR="00A23447">
        <w:rPr>
          <w:rFonts w:eastAsia="Arial" w:cs="Arial"/>
        </w:rPr>
        <w:t>drinking</w:t>
      </w:r>
      <w:r w:rsidRPr="00854851">
        <w:rPr>
          <w:rFonts w:eastAsia="Arial" w:cs="Arial"/>
        </w:rPr>
        <w:t xml:space="preserve"> demand, seek</w:t>
      </w:r>
      <w:r w:rsidR="003B2D30">
        <w:rPr>
          <w:rFonts w:eastAsia="Arial" w:cs="Arial"/>
        </w:rPr>
        <w:t>ing</w:t>
      </w:r>
      <w:r w:rsidRPr="00854851">
        <w:rPr>
          <w:rFonts w:eastAsia="Arial" w:cs="Arial"/>
        </w:rPr>
        <w:t xml:space="preserve"> to avoid and defer future costs, in addition to the broader benefits of </w:t>
      </w:r>
      <w:r w:rsidR="003509E5">
        <w:rPr>
          <w:rFonts w:eastAsia="Arial" w:cs="Arial"/>
        </w:rPr>
        <w:t>i</w:t>
      </w:r>
      <w:r w:rsidRPr="00854851">
        <w:rPr>
          <w:rFonts w:eastAsia="Arial" w:cs="Arial"/>
        </w:rPr>
        <w:t xml:space="preserve">ntegrated </w:t>
      </w:r>
      <w:r w:rsidR="003509E5">
        <w:rPr>
          <w:rFonts w:eastAsia="Arial" w:cs="Arial"/>
        </w:rPr>
        <w:t>w</w:t>
      </w:r>
      <w:r w:rsidRPr="00854851">
        <w:rPr>
          <w:rFonts w:eastAsia="Arial" w:cs="Arial"/>
        </w:rPr>
        <w:t>ater such as liveability and supporting environmental</w:t>
      </w:r>
      <w:r>
        <w:rPr>
          <w:rFonts w:eastAsia="Arial" w:cs="Arial"/>
        </w:rPr>
        <w:t xml:space="preserve"> and community</w:t>
      </w:r>
      <w:r w:rsidRPr="00854851">
        <w:rPr>
          <w:rFonts w:eastAsia="Arial" w:cs="Arial"/>
        </w:rPr>
        <w:t xml:space="preserve"> values</w:t>
      </w:r>
      <w:r w:rsidR="00DF28C2">
        <w:rPr>
          <w:rFonts w:eastAsia="Arial" w:cs="Arial"/>
        </w:rPr>
        <w:t>.</w:t>
      </w:r>
    </w:p>
    <w:p w14:paraId="2D697F31" w14:textId="2323ECC3" w:rsidR="00B231C5" w:rsidRPr="00854851" w:rsidRDefault="00B231C5">
      <w:pPr>
        <w:pStyle w:val="ListParagraph"/>
        <w:numPr>
          <w:ilvl w:val="0"/>
          <w:numId w:val="62"/>
        </w:numPr>
        <w:rPr>
          <w:rFonts w:eastAsia="Arial" w:cs="Arial"/>
        </w:rPr>
      </w:pPr>
      <w:r w:rsidRPr="00854851">
        <w:rPr>
          <w:rFonts w:eastAsia="Arial" w:cs="Arial"/>
        </w:rPr>
        <w:t xml:space="preserve">Our treatment growth and compliance programs </w:t>
      </w:r>
      <w:r w:rsidR="00BE3A43" w:rsidRPr="00854851">
        <w:rPr>
          <w:rFonts w:eastAsia="Arial" w:cs="Arial"/>
        </w:rPr>
        <w:t>seek</w:t>
      </w:r>
      <w:r w:rsidRPr="00854851">
        <w:rPr>
          <w:rFonts w:eastAsia="Arial" w:cs="Arial"/>
        </w:rPr>
        <w:t xml:space="preserve"> to manage our current and</w:t>
      </w:r>
      <w:r w:rsidR="00285639">
        <w:rPr>
          <w:rFonts w:eastAsia="Arial" w:cs="Arial"/>
        </w:rPr>
        <w:t xml:space="preserve"> </w:t>
      </w:r>
      <w:r w:rsidRPr="00854851">
        <w:rPr>
          <w:rFonts w:eastAsia="Arial" w:cs="Arial"/>
        </w:rPr>
        <w:t xml:space="preserve">future growth challenges while delivering </w:t>
      </w:r>
      <w:r>
        <w:rPr>
          <w:rFonts w:eastAsia="Arial" w:cs="Arial"/>
        </w:rPr>
        <w:t>reliable services</w:t>
      </w:r>
      <w:r w:rsidRPr="00854851">
        <w:rPr>
          <w:rFonts w:eastAsia="Arial" w:cs="Arial"/>
        </w:rPr>
        <w:t xml:space="preserve"> and mitigating impacts to the environment </w:t>
      </w:r>
      <w:r>
        <w:rPr>
          <w:rFonts w:eastAsia="Arial" w:cs="Arial"/>
        </w:rPr>
        <w:t>which includes</w:t>
      </w:r>
      <w:r w:rsidRPr="00854851">
        <w:rPr>
          <w:rFonts w:eastAsia="Arial" w:cs="Arial"/>
        </w:rPr>
        <w:t xml:space="preserve"> future emission constraints</w:t>
      </w:r>
      <w:r w:rsidR="00CB01AC">
        <w:rPr>
          <w:rFonts w:eastAsia="Arial" w:cs="Arial"/>
        </w:rPr>
        <w:t>.</w:t>
      </w:r>
    </w:p>
    <w:p w14:paraId="6836D744" w14:textId="3A2030B0" w:rsidR="00643AC8" w:rsidRPr="00830F9E" w:rsidRDefault="00B231C5">
      <w:pPr>
        <w:pStyle w:val="ListParagraph"/>
        <w:numPr>
          <w:ilvl w:val="0"/>
          <w:numId w:val="62"/>
        </w:numPr>
        <w:rPr>
          <w:rFonts w:eastAsia="Arial" w:cs="Arial"/>
        </w:rPr>
      </w:pPr>
      <w:r w:rsidRPr="00854851">
        <w:rPr>
          <w:rFonts w:eastAsia="Arial" w:cs="Arial"/>
        </w:rPr>
        <w:t xml:space="preserve">Proactive investment in ongoing adaption for climate change for our current and future </w:t>
      </w:r>
      <w:r>
        <w:rPr>
          <w:rFonts w:eastAsia="Arial" w:cs="Arial"/>
        </w:rPr>
        <w:t>assets to ensure we maintain c</w:t>
      </w:r>
      <w:r w:rsidRPr="00854851">
        <w:rPr>
          <w:rFonts w:eastAsia="Arial" w:cs="Arial"/>
        </w:rPr>
        <w:t xml:space="preserve">ritical asset service standards </w:t>
      </w:r>
      <w:r>
        <w:rPr>
          <w:rFonts w:eastAsia="Arial" w:cs="Arial"/>
        </w:rPr>
        <w:t>that support customer and stakeholder expectations</w:t>
      </w:r>
      <w:r w:rsidRPr="00854851">
        <w:rPr>
          <w:rFonts w:eastAsia="Arial" w:cs="Arial"/>
        </w:rPr>
        <w:t>.</w:t>
      </w:r>
    </w:p>
    <w:p w14:paraId="7FF9BAC1" w14:textId="7F96AFE9" w:rsidR="00F619E9" w:rsidRDefault="00CC5C82" w:rsidP="00360131">
      <w:pPr>
        <w:pStyle w:val="Heading3"/>
        <w:ind w:left="284"/>
      </w:pPr>
      <w:r w:rsidRPr="00670051">
        <w:t xml:space="preserve">Case </w:t>
      </w:r>
      <w:r w:rsidR="004A59A6">
        <w:t>s</w:t>
      </w:r>
      <w:r w:rsidRPr="00670051">
        <w:t xml:space="preserve">tudy: </w:t>
      </w:r>
      <w:r w:rsidR="00C73A0B" w:rsidRPr="00670051">
        <w:t xml:space="preserve">Digital </w:t>
      </w:r>
      <w:r w:rsidR="00675864" w:rsidRPr="00670051">
        <w:t xml:space="preserve">Utility </w:t>
      </w:r>
      <w:r w:rsidR="004A59A6">
        <w:t>p</w:t>
      </w:r>
      <w:r w:rsidR="00675864" w:rsidRPr="00670051">
        <w:t>rogram</w:t>
      </w:r>
    </w:p>
    <w:p w14:paraId="2BA794BE" w14:textId="52E76F4F" w:rsidR="00814FC1" w:rsidRPr="00814FC1" w:rsidRDefault="00B471C2" w:rsidP="00116E55">
      <w:pPr>
        <w:pStyle w:val="BodyText"/>
      </w:pPr>
      <w:r>
        <w:rPr>
          <w:noProof/>
        </w:rPr>
        <mc:AlternateContent>
          <mc:Choice Requires="wps">
            <w:drawing>
              <wp:anchor distT="0" distB="0" distL="114300" distR="114300" simplePos="0" relativeHeight="251658251" behindDoc="1" locked="0" layoutInCell="1" allowOverlap="1" wp14:anchorId="63780C9E" wp14:editId="51031F84">
                <wp:simplePos x="0" y="0"/>
                <wp:positionH relativeFrom="column">
                  <wp:posOffset>179070</wp:posOffset>
                </wp:positionH>
                <wp:positionV relativeFrom="paragraph">
                  <wp:posOffset>71755</wp:posOffset>
                </wp:positionV>
                <wp:extent cx="6203576" cy="5438775"/>
                <wp:effectExtent l="0" t="0" r="26035" b="28575"/>
                <wp:wrapNone/>
                <wp:docPr id="458" name="Rectangle 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03576" cy="5438775"/>
                        </a:xfrm>
                        <a:prstGeom prst="rect">
                          <a:avLst/>
                        </a:prstGeom>
                        <a:solidFill>
                          <a:schemeClr val="bg2">
                            <a:lumMod val="95000"/>
                          </a:schemeClr>
                        </a:solidFill>
                        <a:ln>
                          <a:solidFill>
                            <a:schemeClr val="bg2">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F3BAF7" w14:textId="6A6DA71A" w:rsidR="00736AFD" w:rsidRPr="00736AFD" w:rsidRDefault="00736AFD" w:rsidP="00B471C2">
                            <w:pPr>
                              <w:spacing w:afterLines="40" w:after="96"/>
                              <w:ind w:left="142"/>
                              <w:rPr>
                                <w:rFonts w:eastAsia="Arial" w:cs="Arial"/>
                                <w:i/>
                                <w:color w:val="000000"/>
                                <w:sz w:val="20"/>
                                <w:szCs w:val="20"/>
                              </w:rPr>
                            </w:pPr>
                            <w:r w:rsidRPr="00736AFD">
                              <w:rPr>
                                <w:rFonts w:eastAsia="Arial" w:cs="Arial"/>
                                <w:i/>
                                <w:color w:val="000000"/>
                                <w:sz w:val="20"/>
                                <w:szCs w:val="20"/>
                              </w:rPr>
                              <w:t>South East Water’s Digital Utility program is an example of transformational investment we are making now, that will deliver deep and lasting cost efficiencies, while improving control and service standards for customers. It will improve our ability to efficiently operate our network and to optimise the size and timing of future network expansions.</w:t>
                            </w:r>
                          </w:p>
                          <w:p w14:paraId="1158696E" w14:textId="77777777" w:rsidR="00736AFD" w:rsidRPr="00736AFD" w:rsidRDefault="00736AFD" w:rsidP="00B471C2">
                            <w:pPr>
                              <w:spacing w:afterLines="40" w:after="96"/>
                              <w:ind w:left="142"/>
                              <w:rPr>
                                <w:rFonts w:eastAsia="Arial" w:cs="Arial"/>
                                <w:i/>
                                <w:color w:val="000000"/>
                                <w:sz w:val="20"/>
                                <w:szCs w:val="20"/>
                              </w:rPr>
                            </w:pPr>
                            <w:r w:rsidRPr="00736AFD">
                              <w:rPr>
                                <w:rFonts w:eastAsia="Arial" w:cs="Arial"/>
                                <w:i/>
                                <w:color w:val="000000"/>
                                <w:sz w:val="20"/>
                                <w:szCs w:val="20"/>
                              </w:rPr>
                              <w:t>It is fundamental to our ability to respond to external risks and challenges, including climate change and changing customer expectations, and to evolve our business model to deliver on our core strategies of: Empower our people; Deliver for our customers; Protect our environment; Optimise our operations and Drive for innovation at scale.</w:t>
                            </w:r>
                          </w:p>
                          <w:p w14:paraId="07D15052" w14:textId="77777777" w:rsidR="00736AFD" w:rsidRPr="00374799" w:rsidRDefault="00736AFD" w:rsidP="00B471C2">
                            <w:pPr>
                              <w:pStyle w:val="Heading4"/>
                              <w:spacing w:before="0" w:afterLines="40" w:after="96"/>
                              <w:ind w:left="142"/>
                              <w:rPr>
                                <w:sz w:val="20"/>
                                <w:szCs w:val="20"/>
                              </w:rPr>
                            </w:pPr>
                            <w:r w:rsidRPr="00374799">
                              <w:rPr>
                                <w:sz w:val="20"/>
                                <w:szCs w:val="20"/>
                              </w:rPr>
                              <w:t>Long-term benefits for customers</w:t>
                            </w:r>
                          </w:p>
                          <w:p w14:paraId="0403057A" w14:textId="249B413C" w:rsidR="00736AFD" w:rsidRPr="00736AFD" w:rsidRDefault="00736AFD" w:rsidP="00B471C2">
                            <w:pPr>
                              <w:spacing w:afterLines="40" w:after="96"/>
                              <w:ind w:left="142"/>
                              <w:rPr>
                                <w:rFonts w:eastAsia="Arial" w:cs="Arial"/>
                                <w:i/>
                                <w:color w:val="000000"/>
                                <w:sz w:val="20"/>
                                <w:szCs w:val="20"/>
                              </w:rPr>
                            </w:pPr>
                            <w:r w:rsidRPr="00736AFD">
                              <w:rPr>
                                <w:rFonts w:eastAsia="Arial" w:cs="Arial"/>
                                <w:i/>
                                <w:color w:val="000000"/>
                                <w:sz w:val="20"/>
                                <w:szCs w:val="20"/>
                              </w:rPr>
                              <w:t>South East Water’s Digital Utility program aligns with our strategic focus to move towards a more digitally oriented organisation. The program has evolved from a metering strategy into a business model for improved operation and customer service provision, for now and into the future. It will leverage granular network, consumption and operational data to support better services and value</w:t>
                            </w:r>
                            <w:r>
                              <w:rPr>
                                <w:rFonts w:eastAsia="Arial" w:cs="Arial"/>
                                <w:i/>
                                <w:color w:val="000000"/>
                                <w:sz w:val="20"/>
                                <w:szCs w:val="20"/>
                              </w:rPr>
                              <w:br/>
                            </w:r>
                            <w:r w:rsidRPr="00736AFD">
                              <w:rPr>
                                <w:rFonts w:eastAsia="Arial" w:cs="Arial"/>
                                <w:i/>
                                <w:color w:val="000000"/>
                                <w:sz w:val="20"/>
                                <w:szCs w:val="20"/>
                              </w:rPr>
                              <w:t xml:space="preserve"> to our customers and stakeholders.</w:t>
                            </w:r>
                          </w:p>
                          <w:p w14:paraId="02F5C8D4" w14:textId="77777777" w:rsidR="00736AFD" w:rsidRPr="00736AFD" w:rsidRDefault="00736AFD" w:rsidP="00B471C2">
                            <w:pPr>
                              <w:spacing w:afterLines="40" w:after="96"/>
                              <w:ind w:left="142"/>
                              <w:rPr>
                                <w:rFonts w:eastAsia="Arial" w:cs="Arial"/>
                                <w:i/>
                                <w:color w:val="000000"/>
                                <w:sz w:val="20"/>
                                <w:szCs w:val="20"/>
                              </w:rPr>
                            </w:pPr>
                            <w:r w:rsidRPr="00736AFD">
                              <w:rPr>
                                <w:rFonts w:eastAsia="Arial" w:cs="Arial"/>
                                <w:i/>
                                <w:color w:val="000000"/>
                                <w:sz w:val="20"/>
                                <w:szCs w:val="20"/>
                              </w:rPr>
                              <w:t>The focus of this transformational program is delivering sustainable value to customers, through improved services and lower costs over the long term, which includes the deferral of future augmentations over a planning horizon expanding beyond 30 years. This strongly aligns to the objective of our organisation (and the ESC) to promote the long-term interests of Victorian consumers.</w:t>
                            </w:r>
                          </w:p>
                          <w:p w14:paraId="2A2626A3" w14:textId="77777777" w:rsidR="00736AFD" w:rsidRPr="00736AFD" w:rsidRDefault="00736AFD" w:rsidP="00B471C2">
                            <w:pPr>
                              <w:spacing w:afterLines="40" w:after="96"/>
                              <w:ind w:left="142"/>
                              <w:rPr>
                                <w:rFonts w:eastAsia="Arial" w:cs="Arial"/>
                                <w:i/>
                                <w:color w:val="000000"/>
                                <w:sz w:val="20"/>
                                <w:szCs w:val="20"/>
                              </w:rPr>
                            </w:pPr>
                            <w:r w:rsidRPr="00736AFD">
                              <w:rPr>
                                <w:rFonts w:eastAsia="Arial" w:cs="Arial"/>
                                <w:i/>
                                <w:color w:val="000000"/>
                                <w:sz w:val="20"/>
                                <w:szCs w:val="20"/>
                              </w:rPr>
                              <w:t xml:space="preserve">Our detailed business case provides the strong evidence that the program is net beneficial for customers. </w:t>
                            </w:r>
                          </w:p>
                          <w:p w14:paraId="14A508D9" w14:textId="2AE99375" w:rsidR="00736AFD" w:rsidRPr="00374799" w:rsidRDefault="00736AFD" w:rsidP="00B471C2">
                            <w:pPr>
                              <w:pStyle w:val="Heading4"/>
                              <w:spacing w:before="0" w:afterLines="40" w:after="96"/>
                              <w:ind w:left="142"/>
                              <w:rPr>
                                <w:sz w:val="20"/>
                                <w:szCs w:val="20"/>
                              </w:rPr>
                            </w:pPr>
                            <w:r w:rsidRPr="00374799">
                              <w:rPr>
                                <w:sz w:val="20"/>
                                <w:szCs w:val="20"/>
                              </w:rPr>
                              <w:t xml:space="preserve">These </w:t>
                            </w:r>
                            <w:r w:rsidRPr="00154067">
                              <w:rPr>
                                <w:sz w:val="20"/>
                                <w:szCs w:val="20"/>
                              </w:rPr>
                              <w:t xml:space="preserve">benefits align with the </w:t>
                            </w:r>
                            <w:r w:rsidRPr="00374799">
                              <w:rPr>
                                <w:sz w:val="20"/>
                                <w:szCs w:val="20"/>
                              </w:rPr>
                              <w:t xml:space="preserve">key Victorian Government strategies </w:t>
                            </w:r>
                          </w:p>
                          <w:p w14:paraId="1A5117D8" w14:textId="6E5FB35F" w:rsidR="00736AFD" w:rsidRPr="00736AFD" w:rsidRDefault="00736AFD" w:rsidP="00B471C2">
                            <w:pPr>
                              <w:pStyle w:val="BodyText"/>
                              <w:spacing w:afterLines="40" w:after="96" w:line="240" w:lineRule="auto"/>
                              <w:ind w:left="142"/>
                              <w:rPr>
                                <w:i/>
                                <w:color w:val="000000"/>
                                <w:sz w:val="20"/>
                                <w:szCs w:val="20"/>
                              </w:rPr>
                            </w:pPr>
                            <w:r w:rsidRPr="00736AFD">
                              <w:rPr>
                                <w:i/>
                                <w:color w:val="000000"/>
                                <w:sz w:val="20"/>
                                <w:szCs w:val="20"/>
                              </w:rPr>
                              <w:t xml:space="preserve">Improved real-time data and information for customers, and greater visibility of the South East Water network, are closely related to the Victorian Government’s shifts to more digital public services. </w:t>
                            </w:r>
                            <w:r w:rsidR="00154067">
                              <w:rPr>
                                <w:i/>
                                <w:color w:val="000000"/>
                                <w:sz w:val="20"/>
                                <w:szCs w:val="20"/>
                              </w:rPr>
                              <w:br/>
                            </w:r>
                            <w:r w:rsidRPr="00736AFD">
                              <w:rPr>
                                <w:i/>
                                <w:color w:val="000000"/>
                                <w:sz w:val="20"/>
                                <w:szCs w:val="20"/>
                              </w:rPr>
                              <w:t>Making better use of drinking water, through reductions in non-revenue water and customer demand, deliver on the Victorian Government’s water conservation objective. Ultimately, this means more water security within storages and water for the environment, Traditional Owners and other beneficial uses.</w:t>
                            </w:r>
                          </w:p>
                          <w:p w14:paraId="340C76FC" w14:textId="03DB36A5" w:rsidR="00736AFD" w:rsidRPr="00736AFD" w:rsidRDefault="00736AFD" w:rsidP="00B471C2">
                            <w:pPr>
                              <w:pStyle w:val="BodyText"/>
                              <w:spacing w:afterLines="40" w:after="96" w:line="240" w:lineRule="auto"/>
                              <w:ind w:left="142"/>
                              <w:rPr>
                                <w:i/>
                                <w:color w:val="000000"/>
                                <w:sz w:val="20"/>
                                <w:szCs w:val="20"/>
                              </w:rPr>
                            </w:pPr>
                            <w:r w:rsidRPr="00736AFD">
                              <w:rPr>
                                <w:i/>
                                <w:color w:val="000000"/>
                                <w:sz w:val="20"/>
                                <w:szCs w:val="20"/>
                              </w:rPr>
                              <w:t>In addition, the benefits of water demand reduction may provide carbon reduction benefits (including reduced energy consumption for pumping and treatment, customers using less hot water, etc.).</w:t>
                            </w:r>
                            <w:r w:rsidR="00217305">
                              <w:rPr>
                                <w:i/>
                                <w:color w:val="000000"/>
                                <w:sz w:val="20"/>
                                <w:szCs w:val="20"/>
                              </w:rPr>
                              <w:t xml:space="preserve"> </w:t>
                            </w:r>
                            <w:r w:rsidRPr="00736AFD">
                              <w:rPr>
                                <w:i/>
                                <w:color w:val="000000"/>
                                <w:sz w:val="20"/>
                                <w:szCs w:val="20"/>
                              </w:rPr>
                              <w:t xml:space="preserve">This aligns with a number of Victorian Government strategies, including Victoria’s Climate Change Strategy. </w:t>
                            </w:r>
                          </w:p>
                          <w:p w14:paraId="5D3D8041" w14:textId="77777777" w:rsidR="00736AFD" w:rsidRPr="00374799" w:rsidRDefault="00736AFD" w:rsidP="00B471C2">
                            <w:pPr>
                              <w:pStyle w:val="Heading4"/>
                              <w:spacing w:before="0" w:afterLines="40" w:after="96"/>
                              <w:ind w:left="142"/>
                              <w:rPr>
                                <w:sz w:val="20"/>
                                <w:szCs w:val="20"/>
                              </w:rPr>
                            </w:pPr>
                            <w:r w:rsidRPr="00374799">
                              <w:rPr>
                                <w:sz w:val="20"/>
                                <w:szCs w:val="20"/>
                              </w:rPr>
                              <w:t xml:space="preserve">Demonstrated customer support </w:t>
                            </w:r>
                          </w:p>
                          <w:p w14:paraId="1B6E2E3C" w14:textId="77777777" w:rsidR="00736AFD" w:rsidRPr="00736AFD" w:rsidRDefault="00736AFD" w:rsidP="00B471C2">
                            <w:pPr>
                              <w:spacing w:afterLines="40" w:after="96"/>
                              <w:ind w:left="142"/>
                              <w:rPr>
                                <w:rFonts w:eastAsia="Arial" w:cs="Arial"/>
                                <w:i/>
                                <w:iCs/>
                                <w:color w:val="000000"/>
                                <w:sz w:val="20"/>
                                <w:szCs w:val="20"/>
                              </w:rPr>
                            </w:pPr>
                            <w:r w:rsidRPr="00736AFD">
                              <w:rPr>
                                <w:rFonts w:eastAsia="Arial" w:cs="Arial"/>
                                <w:i/>
                                <w:iCs/>
                                <w:color w:val="000000"/>
                                <w:sz w:val="20"/>
                                <w:szCs w:val="20"/>
                              </w:rPr>
                              <w:t>Our customer engagement program and deliberation with our community panel have demonstrated that there is strong support for the program and agreement has been reached on the implementation timetable reflected in our plans.</w:t>
                            </w:r>
                          </w:p>
                        </w:txbxContent>
                      </wps:txbx>
                      <wps:bodyPr rot="0" spcFirstLastPara="0" vertOverflow="overflow" horzOverflow="overflow" vert="horz" wrap="square" lIns="0" tIns="72000" rIns="108000" bIns="7200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3780C9E" id="Rectangle 458" o:spid="_x0000_s1047" style="position:absolute;margin-left:14.1pt;margin-top:5.65pt;width:488.45pt;height:428.25pt;z-index:-251658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" fillcolor="#f2f2f2 [3054]" strokecolor="#f2f2f2 [3054]" strokeweight="1pt">
                <v:path arrowok="t"/>
                <v:textbox inset="0,2mm,3mm,2mm">
                  <w:txbxContent>
                    <w:p w14:paraId="30F3BAF7" w14:textId="6A6DA71A" w:rsidR="00736AFD" w:rsidRPr="00736AFD" w:rsidRDefault="00736AFD" w:rsidP="00B471C2">
                      <w:pPr>
                        <w:spacing w:afterLines="40" w:after="96"/>
                        <w:ind w:left="142"/>
                        <w:rPr>
                          <w:rFonts w:eastAsia="Arial" w:cs="Arial"/>
                          <w:i/>
                          <w:color w:val="000000"/>
                          <w:sz w:val="20"/>
                          <w:szCs w:val="20"/>
                        </w:rPr>
                      </w:pPr>
                      <w:proofErr w:type="gramStart"/>
                      <w:r w:rsidRPr="00736AFD">
                        <w:rPr>
                          <w:rFonts w:eastAsia="Arial" w:cs="Arial"/>
                          <w:i/>
                          <w:color w:val="000000"/>
                          <w:sz w:val="20"/>
                          <w:szCs w:val="20"/>
                        </w:rPr>
                        <w:t>South East</w:t>
                      </w:r>
                      <w:proofErr w:type="gramEnd"/>
                      <w:r w:rsidRPr="00736AFD">
                        <w:rPr>
                          <w:rFonts w:eastAsia="Arial" w:cs="Arial"/>
                          <w:i/>
                          <w:color w:val="000000"/>
                          <w:sz w:val="20"/>
                          <w:szCs w:val="20"/>
                        </w:rPr>
                        <w:t xml:space="preserve"> Water’s Digital Utility program is an example of transformational investment we are making now, that will deliver deep and lasting cost efficiencies, while improving control and service standards for customers. It will improve our ability to efficiently operate our network and to optimise the size and timing of future network expansions.</w:t>
                      </w:r>
                    </w:p>
                    <w:p w14:paraId="1158696E" w14:textId="77777777" w:rsidR="00736AFD" w:rsidRPr="00736AFD" w:rsidRDefault="00736AFD" w:rsidP="00B471C2">
                      <w:pPr>
                        <w:spacing w:afterLines="40" w:after="96"/>
                        <w:ind w:left="142"/>
                        <w:rPr>
                          <w:rFonts w:eastAsia="Arial" w:cs="Arial"/>
                          <w:i/>
                          <w:color w:val="000000"/>
                          <w:sz w:val="20"/>
                          <w:szCs w:val="20"/>
                        </w:rPr>
                      </w:pPr>
                      <w:r w:rsidRPr="00736AFD">
                        <w:rPr>
                          <w:rFonts w:eastAsia="Arial" w:cs="Arial"/>
                          <w:i/>
                          <w:color w:val="000000"/>
                          <w:sz w:val="20"/>
                          <w:szCs w:val="20"/>
                        </w:rPr>
                        <w:t>It is fundamental to our ability to respond to external risks and challenges, including climate change and changing customer expectations, and to evolve our business model to deliver on our core strategies of: Empower our people; Deliver for our customers; Protect our environment; Optimise our operations and Drive for innovation at scale.</w:t>
                      </w:r>
                    </w:p>
                    <w:p w14:paraId="07D15052" w14:textId="77777777" w:rsidR="00736AFD" w:rsidRPr="00374799" w:rsidRDefault="00736AFD" w:rsidP="00B471C2">
                      <w:pPr>
                        <w:pStyle w:val="Heading4"/>
                        <w:spacing w:before="0" w:afterLines="40" w:after="96"/>
                        <w:ind w:left="142"/>
                        <w:rPr>
                          <w:sz w:val="20"/>
                          <w:szCs w:val="20"/>
                        </w:rPr>
                      </w:pPr>
                      <w:r w:rsidRPr="00374799">
                        <w:rPr>
                          <w:sz w:val="20"/>
                          <w:szCs w:val="20"/>
                        </w:rPr>
                        <w:t>Long-term benefits for customers</w:t>
                      </w:r>
                    </w:p>
                    <w:p w14:paraId="0403057A" w14:textId="249B413C" w:rsidR="00736AFD" w:rsidRPr="00736AFD" w:rsidRDefault="00736AFD" w:rsidP="00B471C2">
                      <w:pPr>
                        <w:spacing w:afterLines="40" w:after="96"/>
                        <w:ind w:left="142"/>
                        <w:rPr>
                          <w:rFonts w:eastAsia="Arial" w:cs="Arial"/>
                          <w:i/>
                          <w:color w:val="000000"/>
                          <w:sz w:val="20"/>
                          <w:szCs w:val="20"/>
                        </w:rPr>
                      </w:pPr>
                      <w:proofErr w:type="gramStart"/>
                      <w:r w:rsidRPr="00736AFD">
                        <w:rPr>
                          <w:rFonts w:eastAsia="Arial" w:cs="Arial"/>
                          <w:i/>
                          <w:color w:val="000000"/>
                          <w:sz w:val="20"/>
                          <w:szCs w:val="20"/>
                        </w:rPr>
                        <w:t>South East</w:t>
                      </w:r>
                      <w:proofErr w:type="gramEnd"/>
                      <w:r w:rsidRPr="00736AFD">
                        <w:rPr>
                          <w:rFonts w:eastAsia="Arial" w:cs="Arial"/>
                          <w:i/>
                          <w:color w:val="000000"/>
                          <w:sz w:val="20"/>
                          <w:szCs w:val="20"/>
                        </w:rPr>
                        <w:t xml:space="preserve"> Water’s Digital Utility program aligns with our strategic focus to move towards a more digitally oriented organisation. The program has evolved from a metering strategy into a business model for improved operation and customer service provision, for now and into the future. It will leverage granular network, </w:t>
                      </w:r>
                      <w:proofErr w:type="gramStart"/>
                      <w:r w:rsidRPr="00736AFD">
                        <w:rPr>
                          <w:rFonts w:eastAsia="Arial" w:cs="Arial"/>
                          <w:i/>
                          <w:color w:val="000000"/>
                          <w:sz w:val="20"/>
                          <w:szCs w:val="20"/>
                        </w:rPr>
                        <w:t>consumption</w:t>
                      </w:r>
                      <w:proofErr w:type="gramEnd"/>
                      <w:r w:rsidRPr="00736AFD">
                        <w:rPr>
                          <w:rFonts w:eastAsia="Arial" w:cs="Arial"/>
                          <w:i/>
                          <w:color w:val="000000"/>
                          <w:sz w:val="20"/>
                          <w:szCs w:val="20"/>
                        </w:rPr>
                        <w:t xml:space="preserve"> and operational data to support better services and value</w:t>
                      </w:r>
                      <w:r>
                        <w:rPr>
                          <w:rFonts w:eastAsia="Arial" w:cs="Arial"/>
                          <w:i/>
                          <w:color w:val="000000"/>
                          <w:sz w:val="20"/>
                          <w:szCs w:val="20"/>
                        </w:rPr>
                        <w:br/>
                      </w:r>
                      <w:r w:rsidRPr="00736AFD">
                        <w:rPr>
                          <w:rFonts w:eastAsia="Arial" w:cs="Arial"/>
                          <w:i/>
                          <w:color w:val="000000"/>
                          <w:sz w:val="20"/>
                          <w:szCs w:val="20"/>
                        </w:rPr>
                        <w:t xml:space="preserve"> to our customers and stakeholders.</w:t>
                      </w:r>
                    </w:p>
                    <w:p w14:paraId="02F5C8D4" w14:textId="77777777" w:rsidR="00736AFD" w:rsidRPr="00736AFD" w:rsidRDefault="00736AFD" w:rsidP="00B471C2">
                      <w:pPr>
                        <w:spacing w:afterLines="40" w:after="96"/>
                        <w:ind w:left="142"/>
                        <w:rPr>
                          <w:rFonts w:eastAsia="Arial" w:cs="Arial"/>
                          <w:i/>
                          <w:color w:val="000000"/>
                          <w:sz w:val="20"/>
                          <w:szCs w:val="20"/>
                        </w:rPr>
                      </w:pPr>
                      <w:r w:rsidRPr="00736AFD">
                        <w:rPr>
                          <w:rFonts w:eastAsia="Arial" w:cs="Arial"/>
                          <w:i/>
                          <w:color w:val="000000"/>
                          <w:sz w:val="20"/>
                          <w:szCs w:val="20"/>
                        </w:rPr>
                        <w:t>The focus of this transformational program is delivering sustainable value to customers, through improved services and lower costs over the long term, which includes the deferral of future augmentations over a planning horizon expanding beyond 30 years. This strongly aligns to the objective of our organisation (and the ESC) to promote the long-term interests of Victorian consumers.</w:t>
                      </w:r>
                    </w:p>
                    <w:p w14:paraId="2A2626A3" w14:textId="77777777" w:rsidR="00736AFD" w:rsidRPr="00736AFD" w:rsidRDefault="00736AFD" w:rsidP="00B471C2">
                      <w:pPr>
                        <w:spacing w:afterLines="40" w:after="96"/>
                        <w:ind w:left="142"/>
                        <w:rPr>
                          <w:rFonts w:eastAsia="Arial" w:cs="Arial"/>
                          <w:i/>
                          <w:color w:val="000000"/>
                          <w:sz w:val="20"/>
                          <w:szCs w:val="20"/>
                        </w:rPr>
                      </w:pPr>
                      <w:r w:rsidRPr="00736AFD">
                        <w:rPr>
                          <w:rFonts w:eastAsia="Arial" w:cs="Arial"/>
                          <w:i/>
                          <w:color w:val="000000"/>
                          <w:sz w:val="20"/>
                          <w:szCs w:val="20"/>
                        </w:rPr>
                        <w:t xml:space="preserve">Our detailed business case provides the strong evidence that the program is net beneficial for customers. </w:t>
                      </w:r>
                    </w:p>
                    <w:p w14:paraId="14A508D9" w14:textId="2AE99375" w:rsidR="00736AFD" w:rsidRPr="00374799" w:rsidRDefault="00736AFD" w:rsidP="00B471C2">
                      <w:pPr>
                        <w:pStyle w:val="Heading4"/>
                        <w:spacing w:before="0" w:afterLines="40" w:after="96"/>
                        <w:ind w:left="142"/>
                        <w:rPr>
                          <w:sz w:val="20"/>
                          <w:szCs w:val="20"/>
                        </w:rPr>
                      </w:pPr>
                      <w:r w:rsidRPr="00374799">
                        <w:rPr>
                          <w:sz w:val="20"/>
                          <w:szCs w:val="20"/>
                        </w:rPr>
                        <w:t xml:space="preserve">These </w:t>
                      </w:r>
                      <w:r w:rsidRPr="00154067">
                        <w:rPr>
                          <w:sz w:val="20"/>
                          <w:szCs w:val="20"/>
                        </w:rPr>
                        <w:t xml:space="preserve">benefits align with the </w:t>
                      </w:r>
                      <w:r w:rsidRPr="00374799">
                        <w:rPr>
                          <w:sz w:val="20"/>
                          <w:szCs w:val="20"/>
                        </w:rPr>
                        <w:t xml:space="preserve">key Victorian Government strategies </w:t>
                      </w:r>
                    </w:p>
                    <w:p w14:paraId="1A5117D8" w14:textId="6E5FB35F" w:rsidR="00736AFD" w:rsidRPr="00736AFD" w:rsidRDefault="00736AFD" w:rsidP="00B471C2">
                      <w:pPr>
                        <w:pStyle w:val="BodyText"/>
                        <w:spacing w:afterLines="40" w:after="96" w:line="240" w:lineRule="auto"/>
                        <w:ind w:left="142"/>
                        <w:rPr>
                          <w:i/>
                          <w:color w:val="000000"/>
                          <w:sz w:val="20"/>
                          <w:szCs w:val="20"/>
                        </w:rPr>
                      </w:pPr>
                      <w:r w:rsidRPr="00736AFD">
                        <w:rPr>
                          <w:i/>
                          <w:color w:val="000000"/>
                          <w:sz w:val="20"/>
                          <w:szCs w:val="20"/>
                        </w:rPr>
                        <w:t xml:space="preserve">Improved real-time data and information for customers, and greater visibility of the </w:t>
                      </w:r>
                      <w:proofErr w:type="gramStart"/>
                      <w:r w:rsidRPr="00736AFD">
                        <w:rPr>
                          <w:i/>
                          <w:color w:val="000000"/>
                          <w:sz w:val="20"/>
                          <w:szCs w:val="20"/>
                        </w:rPr>
                        <w:t>South East</w:t>
                      </w:r>
                      <w:proofErr w:type="gramEnd"/>
                      <w:r w:rsidRPr="00736AFD">
                        <w:rPr>
                          <w:i/>
                          <w:color w:val="000000"/>
                          <w:sz w:val="20"/>
                          <w:szCs w:val="20"/>
                        </w:rPr>
                        <w:t xml:space="preserve"> Water network, are closely related to the Victorian Government’s shifts to more digital public services. </w:t>
                      </w:r>
                      <w:r w:rsidR="00154067">
                        <w:rPr>
                          <w:i/>
                          <w:color w:val="000000"/>
                          <w:sz w:val="20"/>
                          <w:szCs w:val="20"/>
                        </w:rPr>
                        <w:br/>
                      </w:r>
                      <w:r w:rsidRPr="00736AFD">
                        <w:rPr>
                          <w:i/>
                          <w:color w:val="000000"/>
                          <w:sz w:val="20"/>
                          <w:szCs w:val="20"/>
                        </w:rPr>
                        <w:t xml:space="preserve">Making better use of drinking water, through reductions in non-revenue water and customer demand, deliver on the Victorian Government’s water conservation objective. Ultimately, this means more water security within storages and water for the environment, Traditional </w:t>
                      </w:r>
                      <w:proofErr w:type="gramStart"/>
                      <w:r w:rsidRPr="00736AFD">
                        <w:rPr>
                          <w:i/>
                          <w:color w:val="000000"/>
                          <w:sz w:val="20"/>
                          <w:szCs w:val="20"/>
                        </w:rPr>
                        <w:t>Owners</w:t>
                      </w:r>
                      <w:proofErr w:type="gramEnd"/>
                      <w:r w:rsidRPr="00736AFD">
                        <w:rPr>
                          <w:i/>
                          <w:color w:val="000000"/>
                          <w:sz w:val="20"/>
                          <w:szCs w:val="20"/>
                        </w:rPr>
                        <w:t xml:space="preserve"> and other beneficial uses.</w:t>
                      </w:r>
                    </w:p>
                    <w:p w14:paraId="340C76FC" w14:textId="03DB36A5" w:rsidR="00736AFD" w:rsidRPr="00736AFD" w:rsidRDefault="00736AFD" w:rsidP="00B471C2">
                      <w:pPr>
                        <w:pStyle w:val="BodyText"/>
                        <w:spacing w:afterLines="40" w:after="96" w:line="240" w:lineRule="auto"/>
                        <w:ind w:left="142"/>
                        <w:rPr>
                          <w:i/>
                          <w:color w:val="000000"/>
                          <w:sz w:val="20"/>
                          <w:szCs w:val="20"/>
                        </w:rPr>
                      </w:pPr>
                      <w:r w:rsidRPr="00736AFD">
                        <w:rPr>
                          <w:i/>
                          <w:color w:val="000000"/>
                          <w:sz w:val="20"/>
                          <w:szCs w:val="20"/>
                        </w:rPr>
                        <w:t>In addition, the benefits of water demand reduction may provide carbon reduction benefits (including reduced energy consumption for pumping and treatment, customers using less hot water, etc.).</w:t>
                      </w:r>
                      <w:r w:rsidR="00217305">
                        <w:rPr>
                          <w:i/>
                          <w:color w:val="000000"/>
                          <w:sz w:val="20"/>
                          <w:szCs w:val="20"/>
                        </w:rPr>
                        <w:t xml:space="preserve"> </w:t>
                      </w:r>
                      <w:r w:rsidRPr="00736AFD">
                        <w:rPr>
                          <w:i/>
                          <w:color w:val="000000"/>
                          <w:sz w:val="20"/>
                          <w:szCs w:val="20"/>
                        </w:rPr>
                        <w:t xml:space="preserve">This aligns with </w:t>
                      </w:r>
                      <w:proofErr w:type="gramStart"/>
                      <w:r w:rsidRPr="00736AFD">
                        <w:rPr>
                          <w:i/>
                          <w:color w:val="000000"/>
                          <w:sz w:val="20"/>
                          <w:szCs w:val="20"/>
                        </w:rPr>
                        <w:t>a number of</w:t>
                      </w:r>
                      <w:proofErr w:type="gramEnd"/>
                      <w:r w:rsidRPr="00736AFD">
                        <w:rPr>
                          <w:i/>
                          <w:color w:val="000000"/>
                          <w:sz w:val="20"/>
                          <w:szCs w:val="20"/>
                        </w:rPr>
                        <w:t xml:space="preserve"> Victorian Government strategies, including Victoria’s Climate Change Strategy. </w:t>
                      </w:r>
                    </w:p>
                    <w:p w14:paraId="5D3D8041" w14:textId="77777777" w:rsidR="00736AFD" w:rsidRPr="00374799" w:rsidRDefault="00736AFD" w:rsidP="00B471C2">
                      <w:pPr>
                        <w:pStyle w:val="Heading4"/>
                        <w:spacing w:before="0" w:afterLines="40" w:after="96"/>
                        <w:ind w:left="142"/>
                        <w:rPr>
                          <w:sz w:val="20"/>
                          <w:szCs w:val="20"/>
                        </w:rPr>
                      </w:pPr>
                      <w:r w:rsidRPr="00374799">
                        <w:rPr>
                          <w:sz w:val="20"/>
                          <w:szCs w:val="20"/>
                        </w:rPr>
                        <w:t xml:space="preserve">Demonstrated customer support </w:t>
                      </w:r>
                    </w:p>
                    <w:p w14:paraId="1B6E2E3C" w14:textId="77777777" w:rsidR="00736AFD" w:rsidRPr="00736AFD" w:rsidRDefault="00736AFD" w:rsidP="00B471C2">
                      <w:pPr>
                        <w:spacing w:afterLines="40" w:after="96"/>
                        <w:ind w:left="142"/>
                        <w:rPr>
                          <w:rFonts w:eastAsia="Arial" w:cs="Arial"/>
                          <w:i/>
                          <w:iCs/>
                          <w:color w:val="000000"/>
                          <w:sz w:val="20"/>
                          <w:szCs w:val="20"/>
                        </w:rPr>
                      </w:pPr>
                      <w:r w:rsidRPr="00736AFD">
                        <w:rPr>
                          <w:rFonts w:eastAsia="Arial" w:cs="Arial"/>
                          <w:i/>
                          <w:iCs/>
                          <w:color w:val="000000"/>
                          <w:sz w:val="20"/>
                          <w:szCs w:val="20"/>
                        </w:rPr>
                        <w:t>Our customer engagement program and deliberation with our community panel have demonstrated that there is strong support for the program and agreement has been reached on the implementation timetable reflected in our plans.</w:t>
                      </w:r>
                    </w:p>
                  </w:txbxContent>
                </v:textbox>
              </v:rect>
            </w:pict>
          </mc:Fallback>
        </mc:AlternateContent>
      </w:r>
    </w:p>
    <w:p w14:paraId="54CFFEFF" w14:textId="5C414B79" w:rsidR="00736AFD" w:rsidRDefault="00736AFD" w:rsidP="00DE393A">
      <w:pPr>
        <w:pStyle w:val="Heading2"/>
      </w:pPr>
      <w:bookmarkStart w:id="49" w:name="_Toc103770922"/>
    </w:p>
    <w:p w14:paraId="4FF956E5" w14:textId="2B876549" w:rsidR="00736AFD" w:rsidRDefault="00736AFD" w:rsidP="00736AFD">
      <w:pPr>
        <w:pStyle w:val="BodyText"/>
      </w:pPr>
    </w:p>
    <w:p w14:paraId="0445700C" w14:textId="76E83D9E" w:rsidR="00736AFD" w:rsidRDefault="00736AFD" w:rsidP="00736AFD">
      <w:pPr>
        <w:pStyle w:val="BodyText"/>
      </w:pPr>
    </w:p>
    <w:p w14:paraId="4690DE9E" w14:textId="3EB935EE" w:rsidR="00736AFD" w:rsidRDefault="00736AFD" w:rsidP="00736AFD">
      <w:pPr>
        <w:pStyle w:val="BodyText"/>
      </w:pPr>
    </w:p>
    <w:p w14:paraId="6256BFD4" w14:textId="350A1616" w:rsidR="00736AFD" w:rsidRDefault="00736AFD" w:rsidP="00736AFD">
      <w:pPr>
        <w:pStyle w:val="BodyText"/>
      </w:pPr>
    </w:p>
    <w:p w14:paraId="5EFE1D50" w14:textId="55B75F4D" w:rsidR="00736AFD" w:rsidRDefault="00736AFD" w:rsidP="00736AFD">
      <w:pPr>
        <w:pStyle w:val="BodyText"/>
      </w:pPr>
    </w:p>
    <w:p w14:paraId="76CFF39F" w14:textId="22C2151F" w:rsidR="00736AFD" w:rsidRDefault="00736AFD" w:rsidP="00736AFD">
      <w:pPr>
        <w:pStyle w:val="BodyText"/>
      </w:pPr>
    </w:p>
    <w:p w14:paraId="0AB11191" w14:textId="45FBB035" w:rsidR="00736AFD" w:rsidRDefault="00736AFD" w:rsidP="00736AFD">
      <w:pPr>
        <w:pStyle w:val="BodyText"/>
      </w:pPr>
    </w:p>
    <w:p w14:paraId="63A3B47F" w14:textId="1A5064C6" w:rsidR="00736AFD" w:rsidRDefault="00736AFD" w:rsidP="00736AFD">
      <w:pPr>
        <w:pStyle w:val="BodyText"/>
      </w:pPr>
    </w:p>
    <w:p w14:paraId="1936C458" w14:textId="65171139" w:rsidR="00736AFD" w:rsidRDefault="00736AFD" w:rsidP="00736AFD">
      <w:pPr>
        <w:pStyle w:val="BodyText"/>
      </w:pPr>
    </w:p>
    <w:p w14:paraId="40FCACD2" w14:textId="387ECA75" w:rsidR="00736AFD" w:rsidRDefault="00736AFD" w:rsidP="00736AFD">
      <w:pPr>
        <w:pStyle w:val="BodyText"/>
      </w:pPr>
    </w:p>
    <w:p w14:paraId="7329BFFF" w14:textId="23B77D25" w:rsidR="00736AFD" w:rsidRDefault="00736AFD" w:rsidP="00736AFD">
      <w:pPr>
        <w:pStyle w:val="BodyText"/>
      </w:pPr>
    </w:p>
    <w:p w14:paraId="5148B04F" w14:textId="6CA0A58E" w:rsidR="00736AFD" w:rsidRDefault="00736AFD" w:rsidP="00736AFD">
      <w:pPr>
        <w:pStyle w:val="BodyText"/>
      </w:pPr>
    </w:p>
    <w:p w14:paraId="69FC3723" w14:textId="0BDC31FA" w:rsidR="00736AFD" w:rsidRDefault="00736AFD" w:rsidP="00736AFD">
      <w:pPr>
        <w:pStyle w:val="BodyText"/>
      </w:pPr>
    </w:p>
    <w:p w14:paraId="19760BC1" w14:textId="60ADACF9" w:rsidR="00736AFD" w:rsidRDefault="00736AFD" w:rsidP="00736AFD">
      <w:pPr>
        <w:pStyle w:val="BodyText"/>
      </w:pPr>
    </w:p>
    <w:p w14:paraId="01D1BFB3" w14:textId="66B3F770" w:rsidR="00736AFD" w:rsidRDefault="00736AFD" w:rsidP="00736AFD">
      <w:pPr>
        <w:pStyle w:val="BodyText"/>
      </w:pPr>
    </w:p>
    <w:p w14:paraId="2128737C" w14:textId="27E326D4" w:rsidR="00736AFD" w:rsidRDefault="00736AFD" w:rsidP="00736AFD">
      <w:pPr>
        <w:pStyle w:val="BodyText"/>
      </w:pPr>
    </w:p>
    <w:p w14:paraId="49D15D66" w14:textId="77777777" w:rsidR="00B471C2" w:rsidRDefault="00B471C2" w:rsidP="00DE393A">
      <w:pPr>
        <w:pStyle w:val="Heading2"/>
      </w:pPr>
    </w:p>
    <w:p w14:paraId="6C4FBE4D" w14:textId="50438851" w:rsidR="00CD6E85" w:rsidRPr="00E836FB" w:rsidRDefault="00CD6E85" w:rsidP="00DE393A">
      <w:pPr>
        <w:pStyle w:val="Heading2"/>
        <w:rPr>
          <w:rFonts w:eastAsia="Arial" w:cs="Arial"/>
        </w:rPr>
      </w:pPr>
      <w:r>
        <w:t>4.</w:t>
      </w:r>
      <w:r w:rsidR="00B231C5">
        <w:t>2</w:t>
      </w:r>
      <w:r w:rsidR="00B231C5" w:rsidRPr="2C0DA845">
        <w:t xml:space="preserve"> </w:t>
      </w:r>
      <w:r w:rsidR="000D4A61">
        <w:t>Executive and b</w:t>
      </w:r>
      <w:r w:rsidR="001D3A1A" w:rsidRPr="001D3A1A">
        <w:t>oard attestation program</w:t>
      </w:r>
      <w:bookmarkEnd w:id="49"/>
    </w:p>
    <w:p w14:paraId="0971904F" w14:textId="6CEE6A69" w:rsidR="00EE0630" w:rsidRDefault="00CD6E85" w:rsidP="00CD6E85">
      <w:pPr>
        <w:rPr>
          <w:rFonts w:eastAsia="Arial" w:cs="Arial"/>
        </w:rPr>
      </w:pPr>
      <w:r w:rsidRPr="2C0DA845">
        <w:rPr>
          <w:rFonts w:eastAsia="Arial" w:cs="Arial"/>
        </w:rPr>
        <w:t>To ensure sound governance and accountability</w:t>
      </w:r>
      <w:r w:rsidR="00634A03">
        <w:rPr>
          <w:rFonts w:eastAsia="Arial" w:cs="Arial"/>
        </w:rPr>
        <w:t>,</w:t>
      </w:r>
      <w:r w:rsidRPr="2C0DA845">
        <w:rPr>
          <w:rFonts w:eastAsia="Arial" w:cs="Arial"/>
        </w:rPr>
        <w:t xml:space="preserve"> </w:t>
      </w:r>
      <w:r w:rsidR="00E468E7">
        <w:rPr>
          <w:rFonts w:eastAsia="Arial" w:cs="Arial"/>
        </w:rPr>
        <w:t>we</w:t>
      </w:r>
      <w:r w:rsidRPr="2C0DA845">
        <w:rPr>
          <w:rFonts w:eastAsia="Arial" w:cs="Arial"/>
        </w:rPr>
        <w:t xml:space="preserve"> </w:t>
      </w:r>
      <w:r w:rsidR="001335DD">
        <w:rPr>
          <w:rFonts w:eastAsia="Arial" w:cs="Arial"/>
        </w:rPr>
        <w:t>implemented</w:t>
      </w:r>
      <w:r w:rsidRPr="2C0DA845">
        <w:rPr>
          <w:rFonts w:eastAsia="Arial" w:cs="Arial"/>
        </w:rPr>
        <w:t xml:space="preserve"> </w:t>
      </w:r>
      <w:r w:rsidR="00B4060A">
        <w:rPr>
          <w:rFonts w:eastAsia="Arial" w:cs="Arial"/>
        </w:rPr>
        <w:t>a</w:t>
      </w:r>
      <w:r w:rsidR="000D4A61">
        <w:rPr>
          <w:rFonts w:eastAsia="Arial" w:cs="Arial"/>
        </w:rPr>
        <w:t>n executive and</w:t>
      </w:r>
      <w:r w:rsidR="00B4060A">
        <w:rPr>
          <w:rFonts w:eastAsia="Arial" w:cs="Arial"/>
        </w:rPr>
        <w:t xml:space="preserve"> </w:t>
      </w:r>
      <w:r w:rsidR="00DB1B74">
        <w:rPr>
          <w:rFonts w:eastAsia="Arial" w:cs="Arial"/>
        </w:rPr>
        <w:br/>
      </w:r>
      <w:r w:rsidR="00B4060A">
        <w:rPr>
          <w:rFonts w:eastAsia="Arial" w:cs="Arial"/>
        </w:rPr>
        <w:t xml:space="preserve">board </w:t>
      </w:r>
      <w:r w:rsidR="00B71AC3">
        <w:rPr>
          <w:rFonts w:eastAsia="Arial" w:cs="Arial"/>
        </w:rPr>
        <w:t xml:space="preserve">attestation </w:t>
      </w:r>
      <w:r w:rsidR="00B4060A">
        <w:rPr>
          <w:rFonts w:eastAsia="Arial" w:cs="Arial"/>
        </w:rPr>
        <w:t>program to</w:t>
      </w:r>
      <w:r w:rsidRPr="2C0DA845">
        <w:rPr>
          <w:rFonts w:eastAsia="Arial" w:cs="Arial"/>
        </w:rPr>
        <w:t xml:space="preserve"> </w:t>
      </w:r>
      <w:r w:rsidR="001335DD">
        <w:rPr>
          <w:rFonts w:eastAsia="Arial" w:cs="Arial"/>
        </w:rPr>
        <w:t xml:space="preserve">support </w:t>
      </w:r>
      <w:r w:rsidRPr="2C0DA845">
        <w:rPr>
          <w:rFonts w:eastAsia="Arial" w:cs="Arial"/>
        </w:rPr>
        <w:t>the development of th</w:t>
      </w:r>
      <w:r w:rsidR="006521FF">
        <w:rPr>
          <w:rFonts w:eastAsia="Arial" w:cs="Arial"/>
        </w:rPr>
        <w:t xml:space="preserve">e </w:t>
      </w:r>
      <w:r w:rsidR="006521FF" w:rsidRPr="00A777AA">
        <w:rPr>
          <w:rFonts w:eastAsia="Arial" w:cs="Arial"/>
        </w:rPr>
        <w:t>2023</w:t>
      </w:r>
      <w:r w:rsidR="007D4EB3" w:rsidRPr="00A777AA">
        <w:rPr>
          <w:rFonts w:eastAsia="Arial" w:cs="Arial"/>
        </w:rPr>
        <w:t>–</w:t>
      </w:r>
      <w:r w:rsidR="006521FF" w:rsidRPr="00A777AA">
        <w:rPr>
          <w:rFonts w:eastAsia="Arial" w:cs="Arial"/>
        </w:rPr>
        <w:t>28</w:t>
      </w:r>
      <w:r w:rsidRPr="00A777AA">
        <w:rPr>
          <w:rFonts w:eastAsia="Arial" w:cs="Arial"/>
        </w:rPr>
        <w:t xml:space="preserve"> </w:t>
      </w:r>
      <w:r w:rsidR="00487CE8" w:rsidRPr="00A777AA">
        <w:rPr>
          <w:rFonts w:eastAsia="Arial" w:cs="Arial"/>
        </w:rPr>
        <w:t>P</w:t>
      </w:r>
      <w:r w:rsidRPr="00A777AA">
        <w:rPr>
          <w:rFonts w:eastAsia="Arial" w:cs="Arial"/>
        </w:rPr>
        <w:t xml:space="preserve">rice </w:t>
      </w:r>
      <w:r w:rsidR="00487CE8" w:rsidRPr="00A777AA">
        <w:rPr>
          <w:rFonts w:eastAsia="Arial" w:cs="Arial"/>
        </w:rPr>
        <w:t>S</w:t>
      </w:r>
      <w:r w:rsidRPr="00A777AA">
        <w:rPr>
          <w:rFonts w:eastAsia="Arial" w:cs="Arial"/>
        </w:rPr>
        <w:t>ubmission</w:t>
      </w:r>
      <w:r w:rsidR="004454D0">
        <w:rPr>
          <w:rFonts w:eastAsia="Arial" w:cs="Arial"/>
        </w:rPr>
        <w:t xml:space="preserve">. </w:t>
      </w:r>
      <w:r w:rsidR="00EE0630">
        <w:rPr>
          <w:rFonts w:eastAsia="Arial" w:cs="Arial"/>
        </w:rPr>
        <w:t xml:space="preserve">The attestation program </w:t>
      </w:r>
      <w:r w:rsidR="0049585D">
        <w:rPr>
          <w:rFonts w:eastAsia="Arial" w:cs="Arial"/>
        </w:rPr>
        <w:t>consists of</w:t>
      </w:r>
      <w:r w:rsidR="00AA1616">
        <w:rPr>
          <w:rFonts w:eastAsia="Arial" w:cs="Arial"/>
        </w:rPr>
        <w:t xml:space="preserve"> the following elements</w:t>
      </w:r>
      <w:r w:rsidR="0049585D">
        <w:rPr>
          <w:rFonts w:eastAsia="Arial" w:cs="Arial"/>
        </w:rPr>
        <w:t>:</w:t>
      </w:r>
    </w:p>
    <w:p w14:paraId="30ABE8E2" w14:textId="6F0E5E1A" w:rsidR="003F184B" w:rsidRDefault="001D3A1A">
      <w:pPr>
        <w:pStyle w:val="ListParagraph"/>
        <w:numPr>
          <w:ilvl w:val="0"/>
          <w:numId w:val="63"/>
        </w:numPr>
      </w:pPr>
      <w:r>
        <w:t>a</w:t>
      </w:r>
      <w:r w:rsidR="00C52874">
        <w:t xml:space="preserve"> price submission assurance process</w:t>
      </w:r>
      <w:r w:rsidR="005F1DBD">
        <w:t xml:space="preserve"> with </w:t>
      </w:r>
      <w:r w:rsidR="00584B94">
        <w:t>3</w:t>
      </w:r>
      <w:r w:rsidR="005F1DBD">
        <w:t xml:space="preserve"> lines of defence including </w:t>
      </w:r>
      <w:r w:rsidR="008D39AA">
        <w:t>independent</w:t>
      </w:r>
      <w:r w:rsidR="00501743">
        <w:t>, external</w:t>
      </w:r>
      <w:r w:rsidR="008D39AA">
        <w:t xml:space="preserve"> advice</w:t>
      </w:r>
    </w:p>
    <w:p w14:paraId="7A0628E4" w14:textId="77A91988" w:rsidR="00441D62" w:rsidRDefault="00F76953">
      <w:pPr>
        <w:pStyle w:val="ListParagraph"/>
        <w:numPr>
          <w:ilvl w:val="0"/>
          <w:numId w:val="63"/>
        </w:numPr>
      </w:pPr>
      <w:r>
        <w:t>a</w:t>
      </w:r>
      <w:r w:rsidR="00B57323">
        <w:t xml:space="preserve"> </w:t>
      </w:r>
      <w:r w:rsidR="00FE5ABD">
        <w:t>b</w:t>
      </w:r>
      <w:r w:rsidR="001D3A1A">
        <w:t>oard</w:t>
      </w:r>
      <w:r w:rsidR="00B57323">
        <w:t xml:space="preserve"> monitoring and reporting program</w:t>
      </w:r>
      <w:r w:rsidR="00F406A8">
        <w:t xml:space="preserve">. </w:t>
      </w:r>
    </w:p>
    <w:p w14:paraId="45B09A40" w14:textId="11753429" w:rsidR="00050F3B" w:rsidRDefault="00050F3B" w:rsidP="00050F3B">
      <w:r>
        <w:t xml:space="preserve">The assurance framework provides a governance structure, internal review program </w:t>
      </w:r>
      <w:r w:rsidR="00DB1B74">
        <w:br/>
      </w:r>
      <w:r>
        <w:t xml:space="preserve">and certification process. </w:t>
      </w:r>
    </w:p>
    <w:p w14:paraId="1BD9712A" w14:textId="2523A71A" w:rsidR="00EE0630" w:rsidRDefault="00AA1616" w:rsidP="00CB0971">
      <w:pPr>
        <w:pStyle w:val="Heading4"/>
        <w:rPr>
          <w:rFonts w:eastAsia="Arial" w:cs="Arial"/>
        </w:rPr>
      </w:pPr>
      <w:r>
        <w:rPr>
          <w:rFonts w:eastAsia="Arial" w:cs="Arial"/>
        </w:rPr>
        <w:t xml:space="preserve">Price submission assurance process </w:t>
      </w:r>
      <w:r w:rsidR="00B9710E">
        <w:t xml:space="preserve">delivers a </w:t>
      </w:r>
      <w:r w:rsidR="00B9710E" w:rsidRPr="00B9710E">
        <w:t>rigor</w:t>
      </w:r>
      <w:r w:rsidR="00B9710E">
        <w:t>ous</w:t>
      </w:r>
      <w:r w:rsidR="00B9710E" w:rsidRPr="00B9710E">
        <w:t xml:space="preserve"> and accura</w:t>
      </w:r>
      <w:r w:rsidR="00B9710E">
        <w:t>te</w:t>
      </w:r>
      <w:r w:rsidR="00B9710E" w:rsidRPr="00B9710E">
        <w:t xml:space="preserve"> price submission</w:t>
      </w:r>
    </w:p>
    <w:p w14:paraId="4C9F4BF5" w14:textId="6EDB49F9" w:rsidR="000010EA" w:rsidRDefault="000010EA" w:rsidP="00360131">
      <w:pPr>
        <w:spacing w:after="240"/>
      </w:pPr>
      <w:r>
        <w:t xml:space="preserve">The price submission assurance framework entailed </w:t>
      </w:r>
      <w:r w:rsidR="00612583">
        <w:t>‘</w:t>
      </w:r>
      <w:r w:rsidR="00554784">
        <w:t xml:space="preserve">3 </w:t>
      </w:r>
      <w:r>
        <w:t>lines of defence</w:t>
      </w:r>
      <w:r w:rsidR="00612583">
        <w:t>’</w:t>
      </w:r>
      <w:r>
        <w:t xml:space="preserve"> that aligns to </w:t>
      </w:r>
      <w:r w:rsidR="00B91438">
        <w:br/>
      </w:r>
      <w:r>
        <w:t xml:space="preserve">the price submission governance arrangements. </w:t>
      </w:r>
    </w:p>
    <w:p w14:paraId="5D9BFA8F" w14:textId="4C53D81F" w:rsidR="00F10714" w:rsidRPr="00CB0971" w:rsidRDefault="00F10714" w:rsidP="00F10714">
      <w:pPr>
        <w:rPr>
          <w:b/>
          <w:bCs/>
        </w:rPr>
      </w:pPr>
      <w:r w:rsidRPr="00CB0971">
        <w:rPr>
          <w:b/>
          <w:bCs/>
        </w:rPr>
        <w:t xml:space="preserve">First Control </w:t>
      </w:r>
    </w:p>
    <w:p w14:paraId="43E825A1" w14:textId="585EBFAA" w:rsidR="00F10714" w:rsidRDefault="00F10714" w:rsidP="00360131">
      <w:pPr>
        <w:spacing w:after="240"/>
      </w:pPr>
      <w:r>
        <w:t xml:space="preserve">Assurance is provided across the 12 key work streams that support the development </w:t>
      </w:r>
      <w:r w:rsidR="00DB1B74">
        <w:br/>
      </w:r>
      <w:r>
        <w:t xml:space="preserve">of the price submission. These work streams represent the </w:t>
      </w:r>
      <w:r w:rsidR="00612583">
        <w:t>‘</w:t>
      </w:r>
      <w:r>
        <w:t>front-line</w:t>
      </w:r>
      <w:r w:rsidR="00612583">
        <w:t>’</w:t>
      </w:r>
      <w:r>
        <w:t xml:space="preserve"> or operational functions of the </w:t>
      </w:r>
      <w:r w:rsidR="0088688D">
        <w:t>organisation</w:t>
      </w:r>
      <w:r>
        <w:t xml:space="preserve"> that have established processes, skills, and information </w:t>
      </w:r>
      <w:r w:rsidR="00B91438">
        <w:br/>
      </w:r>
      <w:r>
        <w:t xml:space="preserve">that support the price submission process. For example, the development of the </w:t>
      </w:r>
      <w:r w:rsidR="003F1107">
        <w:t>a</w:t>
      </w:r>
      <w:r>
        <w:t xml:space="preserve">sset </w:t>
      </w:r>
      <w:r w:rsidR="003F1107">
        <w:t>m</w:t>
      </w:r>
      <w:r>
        <w:t xml:space="preserve">anagement </w:t>
      </w:r>
      <w:r w:rsidR="003F1107">
        <w:t>p</w:t>
      </w:r>
      <w:r>
        <w:t xml:space="preserve">lans </w:t>
      </w:r>
      <w:r w:rsidR="009B31E0">
        <w:t>that underpin the</w:t>
      </w:r>
      <w:r>
        <w:t xml:space="preserve"> capital expenditure forecasts and demonstrate prudency and efficiency </w:t>
      </w:r>
      <w:r w:rsidR="00460ECD">
        <w:t>were delivered under</w:t>
      </w:r>
      <w:r>
        <w:t xml:space="preserve"> the </w:t>
      </w:r>
      <w:r w:rsidR="000C2545">
        <w:t xml:space="preserve">asset management and capital expenditure workstream. </w:t>
      </w:r>
    </w:p>
    <w:p w14:paraId="3BF8579F" w14:textId="4FE0ED9B" w:rsidR="00F10714" w:rsidRPr="00CB0971" w:rsidRDefault="00F10714" w:rsidP="00F10714">
      <w:pPr>
        <w:rPr>
          <w:b/>
          <w:bCs/>
        </w:rPr>
      </w:pPr>
      <w:r w:rsidRPr="00CB0971">
        <w:rPr>
          <w:b/>
          <w:bCs/>
        </w:rPr>
        <w:t xml:space="preserve">Second Control </w:t>
      </w:r>
    </w:p>
    <w:p w14:paraId="41464933" w14:textId="2C7E803D" w:rsidR="00F10714" w:rsidRDefault="00F10714" w:rsidP="00F10714">
      <w:r>
        <w:t xml:space="preserve">Assurance is provided by </w:t>
      </w:r>
      <w:r w:rsidR="00F97D8B">
        <w:t>a</w:t>
      </w:r>
      <w:r>
        <w:t xml:space="preserve"> price submission project</w:t>
      </w:r>
      <w:r w:rsidR="00460ECD">
        <w:t xml:space="preserve"> team</w:t>
      </w:r>
      <w:r>
        <w:t xml:space="preserve"> </w:t>
      </w:r>
      <w:r w:rsidR="00A66C95">
        <w:t xml:space="preserve">whose membership included </w:t>
      </w:r>
      <w:r>
        <w:t>each of the 12 work stream</w:t>
      </w:r>
      <w:r w:rsidR="00145C7B">
        <w:t xml:space="preserve"> leader</w:t>
      </w:r>
      <w:r>
        <w:t xml:space="preserve">s. The </w:t>
      </w:r>
      <w:r w:rsidR="00145C7B">
        <w:t>functions of the</w:t>
      </w:r>
      <w:r>
        <w:t xml:space="preserve"> </w:t>
      </w:r>
      <w:r w:rsidR="00145C7B">
        <w:t>price submission</w:t>
      </w:r>
      <w:r>
        <w:t xml:space="preserve"> project team</w:t>
      </w:r>
      <w:r w:rsidR="00145C7B">
        <w:t xml:space="preserve"> were</w:t>
      </w:r>
      <w:r w:rsidR="00F71C61">
        <w:t xml:space="preserve"> to</w:t>
      </w:r>
      <w:r>
        <w:t>:</w:t>
      </w:r>
    </w:p>
    <w:p w14:paraId="6FC1DFBA" w14:textId="04E82AE9" w:rsidR="00F71C61" w:rsidRDefault="00F10714">
      <w:pPr>
        <w:pStyle w:val="ListParagraph"/>
        <w:numPr>
          <w:ilvl w:val="0"/>
          <w:numId w:val="64"/>
        </w:numPr>
      </w:pPr>
      <w:r>
        <w:t xml:space="preserve">assure that the group leads understand (and support) the interdependencies across the 12 key work streams </w:t>
      </w:r>
    </w:p>
    <w:p w14:paraId="5F8FF7FF" w14:textId="59C2D4F4" w:rsidR="00F71C61" w:rsidRDefault="00F10714">
      <w:pPr>
        <w:pStyle w:val="ListParagraph"/>
        <w:numPr>
          <w:ilvl w:val="0"/>
          <w:numId w:val="64"/>
        </w:numPr>
      </w:pPr>
      <w:r>
        <w:t xml:space="preserve">understand the key timelines, milestones and required outputs from each work stream to support the development of the price submission </w:t>
      </w:r>
    </w:p>
    <w:p w14:paraId="4C0F2445" w14:textId="7A08FA42" w:rsidR="00F71C61" w:rsidRDefault="00F10714">
      <w:pPr>
        <w:pStyle w:val="ListParagraph"/>
        <w:numPr>
          <w:ilvl w:val="0"/>
          <w:numId w:val="64"/>
        </w:numPr>
      </w:pPr>
      <w:r>
        <w:t>assure that South East Water is meeting the requirements as outlined in the ESC</w:t>
      </w:r>
      <w:r w:rsidR="00612583">
        <w:t>’</w:t>
      </w:r>
      <w:r>
        <w:t>s guidance paper</w:t>
      </w:r>
      <w:r w:rsidR="00A1315F">
        <w:t xml:space="preserve"> </w:t>
      </w:r>
    </w:p>
    <w:p w14:paraId="0FAFD202" w14:textId="2EB4EDF8" w:rsidR="00F71C61" w:rsidRDefault="00F10714">
      <w:pPr>
        <w:pStyle w:val="ListParagraph"/>
        <w:numPr>
          <w:ilvl w:val="0"/>
          <w:numId w:val="64"/>
        </w:numPr>
      </w:pPr>
      <w:r>
        <w:t>assist with formulating the price submission proposals which includes demonstrating how the various elements of PREMO have been addressed both individually and collectively</w:t>
      </w:r>
      <w:r w:rsidR="001A6842">
        <w:t xml:space="preserve"> </w:t>
      </w:r>
    </w:p>
    <w:p w14:paraId="1BDEFC1F" w14:textId="0CA4F312" w:rsidR="00F71C61" w:rsidRDefault="00F10714">
      <w:pPr>
        <w:pStyle w:val="ListParagraph"/>
        <w:numPr>
          <w:ilvl w:val="0"/>
          <w:numId w:val="64"/>
        </w:numPr>
      </w:pPr>
      <w:r>
        <w:t xml:space="preserve">monitor the </w:t>
      </w:r>
      <w:r w:rsidR="00EB53FC">
        <w:t>progress</w:t>
      </w:r>
      <w:r>
        <w:t xml:space="preserve"> of the price submission and identify any resourcing issues that may require additional support. </w:t>
      </w:r>
    </w:p>
    <w:p w14:paraId="2F0DA107" w14:textId="5DC94E40" w:rsidR="00B91438" w:rsidRDefault="005B63FB" w:rsidP="00116E55">
      <w:r>
        <w:t xml:space="preserve"> </w:t>
      </w:r>
    </w:p>
    <w:p w14:paraId="6F554085" w14:textId="2D014EF1" w:rsidR="00F10714" w:rsidRPr="00CB0971" w:rsidRDefault="00F10714" w:rsidP="00F10714">
      <w:pPr>
        <w:rPr>
          <w:b/>
        </w:rPr>
      </w:pPr>
      <w:r w:rsidRPr="00CB0971">
        <w:rPr>
          <w:b/>
        </w:rPr>
        <w:t>Third Control</w:t>
      </w:r>
      <w:r w:rsidR="00A1315F">
        <w:rPr>
          <w:b/>
        </w:rPr>
        <w:t xml:space="preserve"> </w:t>
      </w:r>
    </w:p>
    <w:p w14:paraId="3387AF83" w14:textId="78871889" w:rsidR="007300CC" w:rsidRPr="00E146BE" w:rsidRDefault="00F10714" w:rsidP="007300CC">
      <w:pPr>
        <w:rPr>
          <w:rFonts w:eastAsia="Arial" w:cs="Arial"/>
        </w:rPr>
      </w:pPr>
      <w:r>
        <w:t xml:space="preserve">Assurance </w:t>
      </w:r>
      <w:r w:rsidR="007C0877">
        <w:t xml:space="preserve">is </w:t>
      </w:r>
      <w:r>
        <w:t xml:space="preserve">provided by an independent consultant who </w:t>
      </w:r>
      <w:r w:rsidR="00F71C61">
        <w:t xml:space="preserve">has </w:t>
      </w:r>
      <w:r>
        <w:t>review</w:t>
      </w:r>
      <w:r w:rsidR="00F71C61">
        <w:t>ed</w:t>
      </w:r>
      <w:r>
        <w:t xml:space="preserve"> South </w:t>
      </w:r>
      <w:r w:rsidR="007C0877">
        <w:t xml:space="preserve">East </w:t>
      </w:r>
      <w:r>
        <w:t>Water</w:t>
      </w:r>
      <w:r w:rsidR="00612583">
        <w:t>’</w:t>
      </w:r>
      <w:r>
        <w:t>s price submission</w:t>
      </w:r>
      <w:r w:rsidR="00E7221C">
        <w:t xml:space="preserve">, </w:t>
      </w:r>
      <w:r>
        <w:t xml:space="preserve">supporting models and information to give the </w:t>
      </w:r>
      <w:r w:rsidR="00D90FA6">
        <w:t>b</w:t>
      </w:r>
      <w:r>
        <w:t xml:space="preserve">oard and </w:t>
      </w:r>
      <w:r>
        <w:lastRenderedPageBreak/>
        <w:t>executive comfort that South East Water is meeting the ESC</w:t>
      </w:r>
      <w:r w:rsidR="00612583">
        <w:t>’</w:t>
      </w:r>
      <w:r w:rsidR="00465506">
        <w:t>s</w:t>
      </w:r>
      <w:r>
        <w:t xml:space="preserve"> requirements and that the proposed PREMO rating is a reasonable self-assessment.</w:t>
      </w:r>
      <w:r w:rsidR="007300CC" w:rsidRPr="49554076">
        <w:rPr>
          <w:rFonts w:eastAsia="Arial" w:cs="Arial"/>
        </w:rPr>
        <w:t xml:space="preserve"> </w:t>
      </w:r>
    </w:p>
    <w:p w14:paraId="22F4AC1D" w14:textId="717619C5" w:rsidR="00B9710E" w:rsidRDefault="00501743" w:rsidP="00CB0971">
      <w:pPr>
        <w:pStyle w:val="Heading4"/>
        <w:rPr>
          <w:rFonts w:eastAsia="Arial" w:cs="Arial"/>
        </w:rPr>
      </w:pPr>
      <w:r>
        <w:rPr>
          <w:rFonts w:eastAsia="Arial" w:cs="Arial"/>
        </w:rPr>
        <w:t>Monitoring and reporting program</w:t>
      </w:r>
    </w:p>
    <w:p w14:paraId="1B8341BD" w14:textId="7B78A71F" w:rsidR="003606B5" w:rsidRDefault="003606B5" w:rsidP="003606B5">
      <w:pPr>
        <w:rPr>
          <w:rFonts w:eastAsia="Arial" w:cs="Arial"/>
        </w:rPr>
      </w:pPr>
      <w:r>
        <w:rPr>
          <w:rFonts w:eastAsia="Arial" w:cs="Arial"/>
        </w:rPr>
        <w:t>This</w:t>
      </w:r>
      <w:r w:rsidRPr="2C0DA845">
        <w:rPr>
          <w:rFonts w:eastAsia="Arial" w:cs="Arial"/>
        </w:rPr>
        <w:t xml:space="preserve"> </w:t>
      </w:r>
      <w:r>
        <w:rPr>
          <w:rFonts w:eastAsia="Arial" w:cs="Arial"/>
        </w:rPr>
        <w:t>ensured</w:t>
      </w:r>
      <w:r w:rsidRPr="2C0DA845">
        <w:rPr>
          <w:rFonts w:eastAsia="Arial" w:cs="Arial"/>
        </w:rPr>
        <w:t xml:space="preserve"> </w:t>
      </w:r>
      <w:r>
        <w:rPr>
          <w:rFonts w:eastAsia="Arial" w:cs="Arial"/>
        </w:rPr>
        <w:t>the d</w:t>
      </w:r>
      <w:r w:rsidRPr="2C0DA845">
        <w:rPr>
          <w:rFonts w:eastAsia="Arial" w:cs="Arial"/>
        </w:rPr>
        <w:t xml:space="preserve">irectors had consistent and detailed engagement with the </w:t>
      </w:r>
      <w:r>
        <w:rPr>
          <w:rFonts w:eastAsia="Arial" w:cs="Arial"/>
        </w:rPr>
        <w:t>price submission</w:t>
      </w:r>
      <w:r w:rsidRPr="2C0DA845">
        <w:rPr>
          <w:rFonts w:eastAsia="Arial" w:cs="Arial"/>
        </w:rPr>
        <w:t xml:space="preserve"> project team</w:t>
      </w:r>
      <w:r>
        <w:rPr>
          <w:rFonts w:eastAsia="Arial" w:cs="Arial"/>
        </w:rPr>
        <w:t>. The program encompassed</w:t>
      </w:r>
      <w:r w:rsidRPr="2C0DA845">
        <w:rPr>
          <w:rFonts w:eastAsia="Arial" w:cs="Arial"/>
        </w:rPr>
        <w:t xml:space="preserve"> monthly board updates </w:t>
      </w:r>
      <w:r>
        <w:rPr>
          <w:rFonts w:eastAsia="Arial" w:cs="Arial"/>
        </w:rPr>
        <w:t>and</w:t>
      </w:r>
      <w:r w:rsidRPr="2C0DA845">
        <w:rPr>
          <w:rFonts w:eastAsia="Arial" w:cs="Arial"/>
        </w:rPr>
        <w:t xml:space="preserve"> a series of comprehensive</w:t>
      </w:r>
      <w:r>
        <w:rPr>
          <w:rFonts w:eastAsia="Arial" w:cs="Arial"/>
        </w:rPr>
        <w:t>,</w:t>
      </w:r>
      <w:r w:rsidRPr="2C0DA845">
        <w:rPr>
          <w:rFonts w:eastAsia="Arial" w:cs="Arial"/>
        </w:rPr>
        <w:t xml:space="preserve"> full</w:t>
      </w:r>
      <w:r w:rsidR="002E07F1">
        <w:rPr>
          <w:rFonts w:eastAsia="Arial" w:cs="Arial"/>
        </w:rPr>
        <w:t>-</w:t>
      </w:r>
      <w:r w:rsidRPr="2C0DA845">
        <w:rPr>
          <w:rFonts w:eastAsia="Arial" w:cs="Arial"/>
        </w:rPr>
        <w:t xml:space="preserve">day collaborative board workshops </w:t>
      </w:r>
      <w:r>
        <w:rPr>
          <w:rFonts w:eastAsia="Arial" w:cs="Arial"/>
        </w:rPr>
        <w:t>held</w:t>
      </w:r>
      <w:r w:rsidRPr="2C0DA845">
        <w:rPr>
          <w:rFonts w:eastAsia="Arial" w:cs="Arial"/>
        </w:rPr>
        <w:t xml:space="preserve"> over </w:t>
      </w:r>
      <w:r>
        <w:rPr>
          <w:rFonts w:eastAsia="Arial" w:cs="Arial"/>
        </w:rPr>
        <w:t xml:space="preserve">an </w:t>
      </w:r>
      <w:r w:rsidRPr="2C0DA845">
        <w:rPr>
          <w:rFonts w:eastAsia="Arial" w:cs="Arial"/>
        </w:rPr>
        <w:t>1</w:t>
      </w:r>
      <w:r>
        <w:rPr>
          <w:rFonts w:eastAsia="Arial" w:cs="Arial"/>
        </w:rPr>
        <w:t>8-</w:t>
      </w:r>
      <w:r w:rsidRPr="2C0DA845">
        <w:rPr>
          <w:rFonts w:eastAsia="Arial" w:cs="Arial"/>
        </w:rPr>
        <w:t>month</w:t>
      </w:r>
      <w:r>
        <w:rPr>
          <w:rFonts w:eastAsia="Arial" w:cs="Arial"/>
        </w:rPr>
        <w:t xml:space="preserve"> period</w:t>
      </w:r>
      <w:r w:rsidRPr="2C0DA845">
        <w:rPr>
          <w:rFonts w:eastAsia="Arial" w:cs="Arial"/>
        </w:rPr>
        <w:t xml:space="preserve">. </w:t>
      </w:r>
    </w:p>
    <w:p w14:paraId="08EEE081" w14:textId="665D3520" w:rsidR="003606B5" w:rsidRDefault="00050F3B" w:rsidP="003606B5">
      <w:r>
        <w:t>The</w:t>
      </w:r>
      <w:r w:rsidR="003606B5">
        <w:t xml:space="preserve"> board engagement program: </w:t>
      </w:r>
    </w:p>
    <w:p w14:paraId="4F276471" w14:textId="2BFC6FD3" w:rsidR="003606B5" w:rsidRPr="00865AB4" w:rsidRDefault="003606B5">
      <w:pPr>
        <w:pStyle w:val="NormalIndent"/>
        <w:numPr>
          <w:ilvl w:val="0"/>
          <w:numId w:val="65"/>
        </w:numPr>
        <w:rPr>
          <w:rFonts w:ascii="Arial" w:hAnsi="Arial" w:cs="Arial"/>
          <w:sz w:val="24"/>
          <w:szCs w:val="24"/>
        </w:rPr>
      </w:pPr>
      <w:r>
        <w:rPr>
          <w:rFonts w:ascii="Arial" w:hAnsi="Arial" w:cs="Arial"/>
          <w:sz w:val="24"/>
          <w:szCs w:val="24"/>
        </w:rPr>
        <w:t>p</w:t>
      </w:r>
      <w:r w:rsidRPr="00865AB4">
        <w:rPr>
          <w:rFonts w:ascii="Arial" w:hAnsi="Arial" w:cs="Arial"/>
          <w:sz w:val="24"/>
          <w:szCs w:val="24"/>
        </w:rPr>
        <w:t>rovided sufficient and timely information on key price submission topics</w:t>
      </w:r>
    </w:p>
    <w:p w14:paraId="35452A01" w14:textId="0E5ACE1E" w:rsidR="003606B5" w:rsidRPr="00865AB4" w:rsidRDefault="003606B5">
      <w:pPr>
        <w:pStyle w:val="NormalIndent"/>
        <w:numPr>
          <w:ilvl w:val="0"/>
          <w:numId w:val="65"/>
        </w:numPr>
        <w:rPr>
          <w:rFonts w:ascii="Arial" w:hAnsi="Arial" w:cs="Arial"/>
          <w:sz w:val="24"/>
          <w:szCs w:val="24"/>
        </w:rPr>
      </w:pPr>
      <w:r>
        <w:rPr>
          <w:rFonts w:ascii="Arial" w:hAnsi="Arial" w:cs="Arial"/>
          <w:sz w:val="24"/>
          <w:szCs w:val="24"/>
        </w:rPr>
        <w:t>f</w:t>
      </w:r>
      <w:r w:rsidRPr="00865AB4">
        <w:rPr>
          <w:rFonts w:ascii="Arial" w:hAnsi="Arial" w:cs="Arial"/>
          <w:sz w:val="24"/>
          <w:szCs w:val="24"/>
        </w:rPr>
        <w:t>ocused on key strategic matters to South East Water</w:t>
      </w:r>
    </w:p>
    <w:p w14:paraId="396931DE" w14:textId="4CA20DEB" w:rsidR="003606B5" w:rsidRPr="00865AB4" w:rsidRDefault="003606B5">
      <w:pPr>
        <w:pStyle w:val="NormalIndent"/>
        <w:numPr>
          <w:ilvl w:val="0"/>
          <w:numId w:val="65"/>
        </w:numPr>
        <w:rPr>
          <w:rFonts w:ascii="Arial" w:hAnsi="Arial" w:cs="Arial"/>
          <w:sz w:val="24"/>
          <w:szCs w:val="24"/>
        </w:rPr>
      </w:pPr>
      <w:r>
        <w:rPr>
          <w:rFonts w:ascii="Arial" w:hAnsi="Arial" w:cs="Arial"/>
          <w:sz w:val="24"/>
          <w:szCs w:val="24"/>
        </w:rPr>
        <w:t>d</w:t>
      </w:r>
      <w:r w:rsidRPr="00865AB4">
        <w:rPr>
          <w:rFonts w:ascii="Arial" w:hAnsi="Arial" w:cs="Arial"/>
          <w:sz w:val="24"/>
          <w:szCs w:val="24"/>
        </w:rPr>
        <w:t>emonstrated how the price submission proposals were informed by the customer engagement program</w:t>
      </w:r>
    </w:p>
    <w:p w14:paraId="13AAF2C2" w14:textId="7FFCD2F9" w:rsidR="003606B5" w:rsidRPr="00865AB4" w:rsidRDefault="003606B5">
      <w:pPr>
        <w:pStyle w:val="NormalIndent"/>
        <w:numPr>
          <w:ilvl w:val="0"/>
          <w:numId w:val="65"/>
        </w:numPr>
        <w:rPr>
          <w:rFonts w:ascii="Arial" w:hAnsi="Arial" w:cs="Arial"/>
          <w:sz w:val="24"/>
          <w:szCs w:val="24"/>
        </w:rPr>
      </w:pPr>
      <w:r>
        <w:rPr>
          <w:rFonts w:ascii="Arial" w:hAnsi="Arial" w:cs="Arial"/>
          <w:sz w:val="24"/>
          <w:szCs w:val="24"/>
        </w:rPr>
        <w:t>d</w:t>
      </w:r>
      <w:r w:rsidRPr="00865AB4">
        <w:rPr>
          <w:rFonts w:ascii="Arial" w:hAnsi="Arial" w:cs="Arial"/>
          <w:sz w:val="24"/>
          <w:szCs w:val="24"/>
        </w:rPr>
        <w:t>emonstrated how the various elements of PREMO had been addressed both individually and collectively</w:t>
      </w:r>
    </w:p>
    <w:p w14:paraId="202FBF8A" w14:textId="5EB04B5E" w:rsidR="003606B5" w:rsidRPr="00865AB4" w:rsidRDefault="003606B5">
      <w:pPr>
        <w:pStyle w:val="NormalIndent"/>
        <w:numPr>
          <w:ilvl w:val="0"/>
          <w:numId w:val="65"/>
        </w:numPr>
        <w:rPr>
          <w:rFonts w:ascii="Arial" w:hAnsi="Arial" w:cs="Arial"/>
          <w:sz w:val="24"/>
          <w:szCs w:val="24"/>
        </w:rPr>
      </w:pPr>
      <w:r>
        <w:rPr>
          <w:rFonts w:ascii="Arial" w:hAnsi="Arial" w:cs="Arial"/>
          <w:sz w:val="24"/>
          <w:szCs w:val="24"/>
        </w:rPr>
        <w:t>p</w:t>
      </w:r>
      <w:r w:rsidRPr="00865AB4">
        <w:rPr>
          <w:rFonts w:ascii="Arial" w:hAnsi="Arial" w:cs="Arial"/>
          <w:sz w:val="24"/>
          <w:szCs w:val="24"/>
        </w:rPr>
        <w:t>rovided the board confidence that the price submission capital and operating expenditure forecast</w:t>
      </w:r>
      <w:r w:rsidR="004A0A54">
        <w:rPr>
          <w:rFonts w:ascii="Arial" w:hAnsi="Arial" w:cs="Arial"/>
          <w:sz w:val="24"/>
          <w:szCs w:val="24"/>
        </w:rPr>
        <w:t>s are</w:t>
      </w:r>
      <w:r w:rsidRPr="00865AB4">
        <w:rPr>
          <w:rFonts w:ascii="Arial" w:hAnsi="Arial" w:cs="Arial"/>
          <w:sz w:val="24"/>
          <w:szCs w:val="24"/>
        </w:rPr>
        <w:t xml:space="preserve"> prudent and efficient</w:t>
      </w:r>
      <w:r w:rsidR="00A357D7">
        <w:rPr>
          <w:rFonts w:ascii="Arial" w:hAnsi="Arial" w:cs="Arial"/>
          <w:sz w:val="24"/>
          <w:szCs w:val="24"/>
        </w:rPr>
        <w:t xml:space="preserve"> </w:t>
      </w:r>
    </w:p>
    <w:p w14:paraId="62D3DA69" w14:textId="3D209E8A" w:rsidR="003606B5" w:rsidRPr="00865AB4" w:rsidRDefault="003606B5">
      <w:pPr>
        <w:pStyle w:val="NormalIndent"/>
        <w:numPr>
          <w:ilvl w:val="0"/>
          <w:numId w:val="65"/>
        </w:numPr>
        <w:rPr>
          <w:rFonts w:ascii="Arial" w:hAnsi="Arial" w:cs="Arial"/>
          <w:sz w:val="24"/>
          <w:szCs w:val="24"/>
        </w:rPr>
      </w:pPr>
      <w:r>
        <w:rPr>
          <w:rFonts w:ascii="Arial" w:hAnsi="Arial" w:cs="Arial"/>
          <w:sz w:val="24"/>
          <w:szCs w:val="24"/>
        </w:rPr>
        <w:t>a</w:t>
      </w:r>
      <w:r w:rsidRPr="00865AB4">
        <w:rPr>
          <w:rFonts w:ascii="Arial" w:hAnsi="Arial" w:cs="Arial"/>
          <w:sz w:val="24"/>
          <w:szCs w:val="24"/>
        </w:rPr>
        <w:t>llowed the board to consider strategic risks including the efficient allocation of risks between South East Water and customers.</w:t>
      </w:r>
      <w:r w:rsidR="00A1315F">
        <w:rPr>
          <w:rFonts w:ascii="Arial" w:hAnsi="Arial" w:cs="Arial"/>
          <w:sz w:val="24"/>
          <w:szCs w:val="24"/>
        </w:rPr>
        <w:t xml:space="preserve"> </w:t>
      </w:r>
    </w:p>
    <w:p w14:paraId="06C7F40B" w14:textId="77777777" w:rsidR="00824841" w:rsidRDefault="00824841" w:rsidP="00824841">
      <w:r w:rsidRPr="004D2F8B">
        <w:t xml:space="preserve">The </w:t>
      </w:r>
      <w:r>
        <w:t>b</w:t>
      </w:r>
      <w:r w:rsidRPr="004D2F8B">
        <w:t xml:space="preserve">oard </w:t>
      </w:r>
      <w:r>
        <w:t xml:space="preserve">was also </w:t>
      </w:r>
      <w:r w:rsidRPr="004D2F8B">
        <w:t xml:space="preserve">actively engaged </w:t>
      </w:r>
      <w:r>
        <w:t xml:space="preserve">in the deliberative process with the community panel to ensure customer views were reflected in the price submission. The board interacted </w:t>
      </w:r>
      <w:r w:rsidRPr="004D2F8B">
        <w:t>with customers at the c</w:t>
      </w:r>
      <w:r>
        <w:t xml:space="preserve">ommunity </w:t>
      </w:r>
      <w:r w:rsidRPr="004D2F8B">
        <w:t xml:space="preserve">panel workshops and </w:t>
      </w:r>
      <w:r>
        <w:t>observed key elements</w:t>
      </w:r>
      <w:r w:rsidRPr="004D2F8B">
        <w:t xml:space="preserve"> of the process. </w:t>
      </w:r>
    </w:p>
    <w:p w14:paraId="3FE9F5E8" w14:textId="0E1C47AF" w:rsidR="00824841" w:rsidRPr="00110D0B" w:rsidRDefault="00824841" w:rsidP="00824841">
      <w:r w:rsidRPr="004D2F8B">
        <w:t xml:space="preserve">The </w:t>
      </w:r>
      <w:r>
        <w:t>b</w:t>
      </w:r>
      <w:r w:rsidRPr="004D2F8B">
        <w:t xml:space="preserve">oard </w:t>
      </w:r>
      <w:r>
        <w:t>then</w:t>
      </w:r>
      <w:r w:rsidRPr="004D2F8B">
        <w:t xml:space="preserve"> invited members of the </w:t>
      </w:r>
      <w:r>
        <w:t>community</w:t>
      </w:r>
      <w:r w:rsidRPr="004D2F8B">
        <w:t xml:space="preserve"> panel to present their recommendations at </w:t>
      </w:r>
      <w:r w:rsidR="004A0A54">
        <w:t>a</w:t>
      </w:r>
      <w:r w:rsidRPr="004D2F8B">
        <w:t xml:space="preserve"> December 2021 </w:t>
      </w:r>
      <w:r>
        <w:t>board workshop, which provided directors with the opportunity to consider and discuss the panel</w:t>
      </w:r>
      <w:r w:rsidR="00612583">
        <w:t>’</w:t>
      </w:r>
      <w:r>
        <w:t xml:space="preserve">s recommendations. </w:t>
      </w:r>
    </w:p>
    <w:p w14:paraId="6FB19F3B" w14:textId="77777777" w:rsidR="00010699" w:rsidRPr="00674CE3" w:rsidRDefault="00010699" w:rsidP="00CB0971">
      <w:pPr>
        <w:pStyle w:val="Heading4"/>
        <w:rPr>
          <w:rFonts w:eastAsia="Arial" w:cs="Arial"/>
          <w:bCs/>
        </w:rPr>
      </w:pPr>
      <w:r w:rsidRPr="00674CE3">
        <w:t>Strategic prioritisation framework</w:t>
      </w:r>
    </w:p>
    <w:p w14:paraId="0C369E29" w14:textId="6305D9A6" w:rsidR="00010699" w:rsidRDefault="00010699" w:rsidP="00010699">
      <w:pPr>
        <w:rPr>
          <w:rFonts w:eastAsia="Arial" w:cs="Arial"/>
        </w:rPr>
      </w:pPr>
      <w:r>
        <w:rPr>
          <w:rFonts w:eastAsia="Arial" w:cs="Arial"/>
        </w:rPr>
        <w:t>To complement the board attestation program, we implemented a strategic prioritisation framework that assessed step change investment portfolios, and future prioritisation efforts to inform trade-off investment decisions.</w:t>
      </w:r>
      <w:r w:rsidR="00A1315F">
        <w:rPr>
          <w:rFonts w:eastAsia="Arial" w:cs="Arial"/>
        </w:rPr>
        <w:t xml:space="preserve"> </w:t>
      </w:r>
    </w:p>
    <w:p w14:paraId="265E4AF6" w14:textId="79E616DB" w:rsidR="00010699" w:rsidRDefault="00010699" w:rsidP="00010699">
      <w:pPr>
        <w:rPr>
          <w:rFonts w:eastAsia="Arial" w:cs="Arial"/>
        </w:rPr>
      </w:pPr>
      <w:r>
        <w:rPr>
          <w:rFonts w:eastAsia="Arial" w:cs="Arial"/>
        </w:rPr>
        <w:t xml:space="preserve">This was used to critically analyse and </w:t>
      </w:r>
      <w:r w:rsidRPr="1D61EC63">
        <w:rPr>
          <w:rFonts w:eastAsia="Arial" w:cs="Arial"/>
        </w:rPr>
        <w:t>prioritise our</w:t>
      </w:r>
      <w:r>
        <w:rPr>
          <w:rFonts w:eastAsia="Arial" w:cs="Arial"/>
        </w:rPr>
        <w:t xml:space="preserve"> initiatives and business programs to inform investment trade-off decisions. </w:t>
      </w:r>
    </w:p>
    <w:p w14:paraId="0A6E7E76" w14:textId="0B4623FD" w:rsidR="00010699" w:rsidRDefault="00010699" w:rsidP="00010699">
      <w:pPr>
        <w:rPr>
          <w:rFonts w:eastAsia="Arial" w:cs="Arial"/>
        </w:rPr>
      </w:pPr>
      <w:r>
        <w:rPr>
          <w:rFonts w:eastAsia="Arial" w:cs="Arial"/>
        </w:rPr>
        <w:t>A key feature of the framework was a prioritisation tool. We used this tool to assess the prudency and efficiency of different investment portfolios and business initiatives</w:t>
      </w:r>
      <w:r w:rsidR="00A87DA2">
        <w:rPr>
          <w:rFonts w:eastAsia="Arial" w:cs="Arial"/>
        </w:rPr>
        <w:t xml:space="preserve"> and to align them to agreed customer outcomes</w:t>
      </w:r>
      <w:r>
        <w:rPr>
          <w:rFonts w:eastAsia="Arial" w:cs="Arial"/>
        </w:rPr>
        <w:t xml:space="preserve">. The tool considered several prioritisation questions for each initiative including: </w:t>
      </w:r>
    </w:p>
    <w:p w14:paraId="4BF62618" w14:textId="77777777" w:rsidR="00010699" w:rsidRDefault="00010699">
      <w:pPr>
        <w:pStyle w:val="ListNumber"/>
        <w:numPr>
          <w:ilvl w:val="0"/>
          <w:numId w:val="66"/>
        </w:numPr>
        <w:tabs>
          <w:tab w:val="clear" w:pos="1134"/>
          <w:tab w:val="clear" w:pos="1920"/>
        </w:tabs>
      </w:pPr>
      <w:r>
        <w:t>Are we required to do it by legislation?</w:t>
      </w:r>
    </w:p>
    <w:p w14:paraId="3D204D85" w14:textId="77777777" w:rsidR="00010699" w:rsidRDefault="00010699">
      <w:pPr>
        <w:pStyle w:val="ListNumber"/>
        <w:numPr>
          <w:ilvl w:val="0"/>
          <w:numId w:val="66"/>
        </w:numPr>
        <w:tabs>
          <w:tab w:val="clear" w:pos="1134"/>
          <w:tab w:val="clear" w:pos="1920"/>
        </w:tabs>
      </w:pPr>
      <w:r>
        <w:t>What value does it create for our customers, employees and communities?</w:t>
      </w:r>
    </w:p>
    <w:p w14:paraId="1B4AC940" w14:textId="2C483FC6" w:rsidR="00010699" w:rsidRDefault="00010699">
      <w:pPr>
        <w:pStyle w:val="ListNumber"/>
        <w:numPr>
          <w:ilvl w:val="0"/>
          <w:numId w:val="66"/>
        </w:numPr>
        <w:tabs>
          <w:tab w:val="clear" w:pos="1134"/>
          <w:tab w:val="clear" w:pos="1920"/>
        </w:tabs>
      </w:pPr>
      <w:r>
        <w:t>Does i</w:t>
      </w:r>
      <w:r w:rsidR="00F02CFB">
        <w:t>t</w:t>
      </w:r>
      <w:r>
        <w:t xml:space="preserve"> support one of the </w:t>
      </w:r>
      <w:r w:rsidR="00584B94">
        <w:t>8</w:t>
      </w:r>
      <w:r>
        <w:t xml:space="preserve"> </w:t>
      </w:r>
      <w:r w:rsidR="00A40302">
        <w:t xml:space="preserve">community panel </w:t>
      </w:r>
      <w:r>
        <w:t>recommendations?</w:t>
      </w:r>
    </w:p>
    <w:p w14:paraId="1F175F3D" w14:textId="77777777" w:rsidR="00010699" w:rsidRDefault="00010699">
      <w:pPr>
        <w:pStyle w:val="ListNumber"/>
        <w:numPr>
          <w:ilvl w:val="0"/>
          <w:numId w:val="66"/>
        </w:numPr>
        <w:tabs>
          <w:tab w:val="clear" w:pos="1134"/>
          <w:tab w:val="clear" w:pos="1920"/>
        </w:tabs>
      </w:pPr>
      <w:r>
        <w:t>Is it a government or regulatory requirement?</w:t>
      </w:r>
    </w:p>
    <w:p w14:paraId="5EAD6978" w14:textId="77777777" w:rsidR="00010699" w:rsidRDefault="00010699">
      <w:pPr>
        <w:pStyle w:val="ListNumber"/>
        <w:numPr>
          <w:ilvl w:val="0"/>
          <w:numId w:val="66"/>
        </w:numPr>
        <w:tabs>
          <w:tab w:val="clear" w:pos="1134"/>
          <w:tab w:val="clear" w:pos="1920"/>
        </w:tabs>
      </w:pPr>
      <w:r>
        <w:t>What is the impact on customer bills?</w:t>
      </w:r>
    </w:p>
    <w:p w14:paraId="3DB41748" w14:textId="77777777" w:rsidR="00010699" w:rsidRDefault="00010699">
      <w:pPr>
        <w:pStyle w:val="ListNumber"/>
        <w:numPr>
          <w:ilvl w:val="0"/>
          <w:numId w:val="66"/>
        </w:numPr>
        <w:tabs>
          <w:tab w:val="clear" w:pos="1134"/>
          <w:tab w:val="clear" w:pos="1920"/>
        </w:tabs>
      </w:pPr>
      <w:r>
        <w:t>What is the main risk that this initiative is impacting?</w:t>
      </w:r>
    </w:p>
    <w:p w14:paraId="40EDF435" w14:textId="77777777" w:rsidR="00010699" w:rsidRPr="002D1CC3" w:rsidRDefault="00010699">
      <w:pPr>
        <w:pStyle w:val="ListNumber"/>
        <w:numPr>
          <w:ilvl w:val="0"/>
          <w:numId w:val="66"/>
        </w:numPr>
        <w:tabs>
          <w:tab w:val="clear" w:pos="1134"/>
          <w:tab w:val="clear" w:pos="1920"/>
        </w:tabs>
      </w:pPr>
      <w:r>
        <w:lastRenderedPageBreak/>
        <w:t>Which strategic focus areas does the initiative impact most?</w:t>
      </w:r>
    </w:p>
    <w:p w14:paraId="03BE60EF" w14:textId="2CA272F1" w:rsidR="00010699" w:rsidRDefault="00010699" w:rsidP="00010699">
      <w:pPr>
        <w:rPr>
          <w:rFonts w:eastAsia="Arial" w:cs="Arial"/>
        </w:rPr>
      </w:pPr>
      <w:r>
        <w:rPr>
          <w:rFonts w:eastAsia="Arial" w:cs="Arial"/>
        </w:rPr>
        <w:t xml:space="preserve">From this assessment, the board proposed </w:t>
      </w:r>
      <w:r w:rsidR="005D303F">
        <w:rPr>
          <w:rFonts w:eastAsia="Arial" w:cs="Arial"/>
        </w:rPr>
        <w:t>several</w:t>
      </w:r>
      <w:r>
        <w:rPr>
          <w:rFonts w:eastAsia="Arial" w:cs="Arial"/>
        </w:rPr>
        <w:t xml:space="preserve"> settings for this price submission, including:</w:t>
      </w:r>
    </w:p>
    <w:p w14:paraId="399975D5" w14:textId="3FB07B23" w:rsidR="00010699" w:rsidRPr="00775449" w:rsidRDefault="00A40302">
      <w:pPr>
        <w:pStyle w:val="ListNumber"/>
        <w:numPr>
          <w:ilvl w:val="0"/>
          <w:numId w:val="67"/>
        </w:numPr>
        <w:tabs>
          <w:tab w:val="clear" w:pos="1134"/>
          <w:tab w:val="clear" w:pos="1920"/>
        </w:tabs>
      </w:pPr>
      <w:r>
        <w:rPr>
          <w:rFonts w:eastAsia="Arial" w:cs="Arial"/>
        </w:rPr>
        <w:t xml:space="preserve">that </w:t>
      </w:r>
      <w:r w:rsidR="00010699">
        <w:rPr>
          <w:rFonts w:eastAsia="Arial" w:cs="Arial"/>
        </w:rPr>
        <w:t xml:space="preserve">price </w:t>
      </w:r>
      <w:r w:rsidR="00010699" w:rsidRPr="00CB0971">
        <w:rPr>
          <w:rFonts w:eastAsia="Arial" w:cs="Arial"/>
        </w:rPr>
        <w:t>increases</w:t>
      </w:r>
      <w:r>
        <w:rPr>
          <w:rFonts w:eastAsia="Arial" w:cs="Arial"/>
        </w:rPr>
        <w:t xml:space="preserve"> should</w:t>
      </w:r>
      <w:r w:rsidR="00010699">
        <w:rPr>
          <w:rFonts w:eastAsia="Arial" w:cs="Arial"/>
        </w:rPr>
        <w:t xml:space="preserve"> not exceed 0% in real terms</w:t>
      </w:r>
    </w:p>
    <w:p w14:paraId="4F4A5162" w14:textId="6AC3549C" w:rsidR="00010699" w:rsidRPr="00775449" w:rsidRDefault="00010699">
      <w:pPr>
        <w:pStyle w:val="ListNumber"/>
        <w:numPr>
          <w:ilvl w:val="0"/>
          <w:numId w:val="67"/>
        </w:numPr>
        <w:tabs>
          <w:tab w:val="clear" w:pos="1134"/>
          <w:tab w:val="clear" w:pos="1920"/>
        </w:tabs>
      </w:pPr>
      <w:r>
        <w:rPr>
          <w:rFonts w:eastAsia="Arial" w:cs="Arial"/>
        </w:rPr>
        <w:t>an operating expenditure efficiency target of 2% per annum</w:t>
      </w:r>
    </w:p>
    <w:p w14:paraId="7120F0BE" w14:textId="3506E8E8" w:rsidR="00010699" w:rsidRDefault="00010699">
      <w:pPr>
        <w:pStyle w:val="ListNumber"/>
        <w:numPr>
          <w:ilvl w:val="0"/>
          <w:numId w:val="67"/>
        </w:numPr>
        <w:tabs>
          <w:tab w:val="clear" w:pos="1134"/>
          <w:tab w:val="clear" w:pos="1920"/>
        </w:tabs>
      </w:pPr>
      <w:r>
        <w:rPr>
          <w:rFonts w:eastAsia="Arial" w:cs="Arial"/>
        </w:rPr>
        <w:t xml:space="preserve">directors agreed to a number of non-negotiable initiatives including investments that support South East Water becoming a digital utility, </w:t>
      </w:r>
      <w:r w:rsidR="00880120">
        <w:rPr>
          <w:rFonts w:eastAsia="Arial" w:cs="Arial"/>
        </w:rPr>
        <w:t xml:space="preserve">IWM </w:t>
      </w:r>
      <w:r>
        <w:rPr>
          <w:rFonts w:eastAsia="Arial" w:cs="Arial"/>
        </w:rPr>
        <w:t xml:space="preserve">projects and Climate Adapt Action plans that align to the requirements outlined in our </w:t>
      </w:r>
      <w:r w:rsidR="002E07F1">
        <w:rPr>
          <w:rFonts w:eastAsia="Arial" w:cs="Arial"/>
        </w:rPr>
        <w:t>S</w:t>
      </w:r>
      <w:r>
        <w:rPr>
          <w:rFonts w:eastAsia="Arial" w:cs="Arial"/>
        </w:rPr>
        <w:t xml:space="preserve">tatement of </w:t>
      </w:r>
      <w:r w:rsidR="002E07F1">
        <w:rPr>
          <w:rFonts w:eastAsia="Arial" w:cs="Arial"/>
        </w:rPr>
        <w:t>O</w:t>
      </w:r>
      <w:r>
        <w:rPr>
          <w:rFonts w:eastAsia="Arial" w:cs="Arial"/>
        </w:rPr>
        <w:t xml:space="preserve">bligations. </w:t>
      </w:r>
    </w:p>
    <w:p w14:paraId="00433624" w14:textId="58FBFB3C" w:rsidR="003606B5" w:rsidRDefault="003606B5" w:rsidP="00CB0971">
      <w:pPr>
        <w:pStyle w:val="Heading4"/>
      </w:pPr>
      <w:r>
        <w:t>Attestation</w:t>
      </w:r>
    </w:p>
    <w:p w14:paraId="6B7A7FFD" w14:textId="0B23799D" w:rsidR="00824841" w:rsidRDefault="00824841" w:rsidP="00824841">
      <w:r>
        <w:t>Implementing the assurance and engagement framework has provided the board a reasonable level of confidence that:</w:t>
      </w:r>
      <w:r w:rsidR="00A1315F">
        <w:t xml:space="preserve"> </w:t>
      </w:r>
    </w:p>
    <w:p w14:paraId="558D0C36" w14:textId="6521CC45" w:rsidR="00824841" w:rsidRDefault="002E07F1">
      <w:pPr>
        <w:pStyle w:val="ListParagraph"/>
        <w:numPr>
          <w:ilvl w:val="0"/>
          <w:numId w:val="68"/>
        </w:numPr>
      </w:pPr>
      <w:r>
        <w:t>t</w:t>
      </w:r>
      <w:r w:rsidR="00824841">
        <w:t>he information and documentation relied upon to support the price submission is reasonably based, complete and accurate in all material respects</w:t>
      </w:r>
    </w:p>
    <w:p w14:paraId="1F1A64D6" w14:textId="7953DC3F" w:rsidR="00824841" w:rsidRDefault="002E07F1">
      <w:pPr>
        <w:pStyle w:val="ListParagraph"/>
        <w:numPr>
          <w:ilvl w:val="0"/>
          <w:numId w:val="68"/>
        </w:numPr>
      </w:pPr>
      <w:r>
        <w:t>f</w:t>
      </w:r>
      <w:r w:rsidR="00824841">
        <w:t>inancial and demand forecasts are our best estimates, and supporting information is available to justify the assumptions and methodologies used</w:t>
      </w:r>
    </w:p>
    <w:p w14:paraId="529B2AD3" w14:textId="688905BF" w:rsidR="00824841" w:rsidRDefault="002E07F1">
      <w:pPr>
        <w:pStyle w:val="ListParagraph"/>
        <w:numPr>
          <w:ilvl w:val="0"/>
          <w:numId w:val="68"/>
        </w:numPr>
      </w:pPr>
      <w:r>
        <w:t>t</w:t>
      </w:r>
      <w:r w:rsidR="00824841">
        <w:t xml:space="preserve">his price submission satisfies the requirements of the </w:t>
      </w:r>
      <w:r w:rsidR="00824841" w:rsidRPr="001A5E2E">
        <w:t>ESC</w:t>
      </w:r>
      <w:r w:rsidR="001A5E2E" w:rsidRPr="00116E55">
        <w:t>’s</w:t>
      </w:r>
      <w:r w:rsidR="00824841" w:rsidRPr="00116E55">
        <w:rPr>
          <w:i/>
          <w:iCs/>
        </w:rPr>
        <w:t xml:space="preserve"> Water Price Review</w:t>
      </w:r>
      <w:r w:rsidR="001A5E2E">
        <w:rPr>
          <w:i/>
          <w:iCs/>
        </w:rPr>
        <w:t xml:space="preserve"> </w:t>
      </w:r>
      <w:r w:rsidR="001A5E2E" w:rsidRPr="00C30022">
        <w:rPr>
          <w:i/>
          <w:iCs/>
        </w:rPr>
        <w:t>2023</w:t>
      </w:r>
      <w:r w:rsidR="00824841" w:rsidRPr="00116E55">
        <w:rPr>
          <w:i/>
          <w:iCs/>
        </w:rPr>
        <w:t xml:space="preserve"> </w:t>
      </w:r>
      <w:r w:rsidR="001A5E2E">
        <w:t>g</w:t>
      </w:r>
      <w:r w:rsidR="00824841" w:rsidRPr="001A5E2E">
        <w:t>uidance</w:t>
      </w:r>
      <w:r w:rsidR="00824841">
        <w:t>.</w:t>
      </w:r>
    </w:p>
    <w:p w14:paraId="29D04AA4" w14:textId="77777777" w:rsidR="00824841" w:rsidRDefault="00824841" w:rsidP="005046DE">
      <w:pPr>
        <w:rPr>
          <w:rFonts w:eastAsia="Arial" w:cs="Arial"/>
        </w:rPr>
      </w:pPr>
    </w:p>
    <w:p w14:paraId="4839F174" w14:textId="6BAE4E92" w:rsidR="00CD6E85" w:rsidRDefault="00CD6E85" w:rsidP="00DE393A">
      <w:pPr>
        <w:pStyle w:val="Heading2"/>
      </w:pPr>
      <w:bookmarkStart w:id="50" w:name="_Toc103770924"/>
      <w:r>
        <w:t>4.</w:t>
      </w:r>
      <w:r w:rsidR="005668E9">
        <w:t>3</w:t>
      </w:r>
      <w:r>
        <w:t xml:space="preserve"> PREMO summary </w:t>
      </w:r>
      <w:r w:rsidR="007D4EB3">
        <w:t>–</w:t>
      </w:r>
      <w:r>
        <w:t xml:space="preserve"> Management</w:t>
      </w:r>
      <w:bookmarkEnd w:id="50"/>
    </w:p>
    <w:p w14:paraId="3402F4A1" w14:textId="2B61770C" w:rsidR="00F91A52" w:rsidRDefault="00E0331E" w:rsidP="00A25D64">
      <w:r>
        <w:t>Table 19</w:t>
      </w:r>
      <w:r w:rsidR="008F6ACE">
        <w:t xml:space="preserve"> </w:t>
      </w:r>
      <w:r w:rsidR="00A25D64">
        <w:t>provides our responses to the ESC</w:t>
      </w:r>
      <w:r w:rsidR="00612583">
        <w:t>’</w:t>
      </w:r>
      <w:r w:rsidR="00A25D64">
        <w:t>s guiding questions for PREMO assessment in relation to the Management element.</w:t>
      </w:r>
    </w:p>
    <w:p w14:paraId="00C1603E" w14:textId="60A27336" w:rsidR="00F91A52" w:rsidRPr="00F91A52" w:rsidRDefault="00F91A52" w:rsidP="00F91A52">
      <w:pPr>
        <w:pStyle w:val="Tabletitle"/>
        <w:spacing w:after="120"/>
        <w:rPr>
          <w:i/>
          <w:sz w:val="22"/>
          <w:szCs w:val="22"/>
        </w:rPr>
      </w:pPr>
      <w:r w:rsidRPr="00D75F40">
        <w:rPr>
          <w:i/>
          <w:sz w:val="22"/>
          <w:szCs w:val="22"/>
        </w:rPr>
        <w:t xml:space="preserve">Table </w:t>
      </w:r>
      <w:r w:rsidR="00E0331E" w:rsidRPr="00CE6C4E">
        <w:rPr>
          <w:b w:val="0"/>
          <w:bCs/>
          <w:i/>
          <w:iCs w:val="0"/>
          <w:sz w:val="22"/>
          <w:szCs w:val="22"/>
        </w:rPr>
        <w:fldChar w:fldCharType="begin"/>
      </w:r>
      <w:r w:rsidR="00E0331E" w:rsidRPr="00CE6C4E">
        <w:rPr>
          <w:bCs/>
          <w:i/>
          <w:iCs w:val="0"/>
          <w:sz w:val="22"/>
          <w:szCs w:val="22"/>
        </w:rPr>
        <w:instrText>SEQ Table \* ARABIC</w:instrText>
      </w:r>
      <w:r w:rsidR="00E0331E" w:rsidRPr="00CE6C4E">
        <w:rPr>
          <w:b w:val="0"/>
          <w:bCs/>
          <w:i/>
          <w:iCs w:val="0"/>
          <w:sz w:val="22"/>
          <w:szCs w:val="22"/>
        </w:rPr>
        <w:fldChar w:fldCharType="separate"/>
      </w:r>
      <w:r w:rsidR="00E0331E">
        <w:rPr>
          <w:bCs/>
          <w:i/>
          <w:iCs w:val="0"/>
          <w:noProof/>
          <w:sz w:val="22"/>
          <w:szCs w:val="22"/>
        </w:rPr>
        <w:t>19</w:t>
      </w:r>
      <w:r w:rsidR="00E0331E" w:rsidRPr="00CE6C4E">
        <w:rPr>
          <w:b w:val="0"/>
          <w:bCs/>
          <w:i/>
          <w:iCs w:val="0"/>
          <w:sz w:val="22"/>
          <w:szCs w:val="22"/>
        </w:rPr>
        <w:fldChar w:fldCharType="end"/>
      </w:r>
      <w:r w:rsidRPr="00D75F40">
        <w:rPr>
          <w:i/>
          <w:sz w:val="22"/>
          <w:szCs w:val="22"/>
        </w:rPr>
        <w:t xml:space="preserve">: </w:t>
      </w:r>
      <w:r>
        <w:rPr>
          <w:i/>
          <w:sz w:val="22"/>
          <w:szCs w:val="22"/>
        </w:rPr>
        <w:t>Responses to the Management guiding questions</w:t>
      </w:r>
    </w:p>
    <w:tbl>
      <w:tblPr>
        <w:tblStyle w:val="GridTable4-Accent2"/>
        <w:tblW w:w="5000" w:type="pct"/>
        <w:tblInd w:w="-10" w:type="dxa"/>
        <w:tblBorders>
          <w:top w:val="single" w:sz="8" w:space="0" w:color="002379"/>
          <w:left w:val="single" w:sz="8" w:space="0" w:color="002379"/>
          <w:bottom w:val="single" w:sz="8" w:space="0" w:color="002379"/>
          <w:right w:val="single" w:sz="8" w:space="0" w:color="002379"/>
          <w:insideH w:val="single" w:sz="8" w:space="0" w:color="002379"/>
          <w:insideV w:val="single" w:sz="8" w:space="0" w:color="002379"/>
        </w:tblBorders>
        <w:tblLook w:val="0620" w:firstRow="1" w:lastRow="0" w:firstColumn="0" w:lastColumn="0" w:noHBand="1" w:noVBand="1"/>
      </w:tblPr>
      <w:tblGrid>
        <w:gridCol w:w="4287"/>
        <w:gridCol w:w="5296"/>
      </w:tblGrid>
      <w:tr w:rsidR="002A4B0E" w:rsidRPr="00B052BE" w14:paraId="0159B610" w14:textId="77777777" w:rsidTr="00217305">
        <w:trPr>
          <w:cnfStyle w:val="100000000000" w:firstRow="1" w:lastRow="0" w:firstColumn="0" w:lastColumn="0" w:oddVBand="0" w:evenVBand="0" w:oddHBand="0" w:evenHBand="0" w:firstRowFirstColumn="0" w:firstRowLastColumn="0" w:lastRowFirstColumn="0" w:lastRowLastColumn="0"/>
          <w:trHeight w:val="417"/>
          <w:tblHeader/>
        </w:trPr>
        <w:tc>
          <w:tcPr>
            <w:tcW w:w="0" w:type="dxa"/>
            <w:tcBorders>
              <w:top w:val="single" w:sz="4" w:space="0" w:color="002279"/>
              <w:left w:val="single" w:sz="4" w:space="0" w:color="002279"/>
              <w:bottom w:val="single" w:sz="4" w:space="0" w:color="002279"/>
              <w:right w:val="single" w:sz="4" w:space="0" w:color="FFFFFF" w:themeColor="background1"/>
            </w:tcBorders>
            <w:shd w:val="clear" w:color="auto" w:fill="002279"/>
          </w:tcPr>
          <w:p w14:paraId="06F4641F" w14:textId="140F0104" w:rsidR="00AB244F" w:rsidRPr="004C71AE" w:rsidRDefault="00AB244F" w:rsidP="007349FD">
            <w:pPr>
              <w:pStyle w:val="TableHeading"/>
              <w:rPr>
                <w:rFonts w:ascii="Arial" w:hAnsi="Arial"/>
                <w:b/>
                <w:bCs/>
              </w:rPr>
            </w:pPr>
            <w:r w:rsidRPr="00643AC8">
              <w:rPr>
                <w:b/>
                <w:bCs/>
              </w:rPr>
              <w:t>Guiding question</w:t>
            </w:r>
          </w:p>
        </w:tc>
        <w:tc>
          <w:tcPr>
            <w:tcW w:w="0" w:type="dxa"/>
            <w:tcBorders>
              <w:top w:val="single" w:sz="4" w:space="0" w:color="002279"/>
              <w:left w:val="single" w:sz="4" w:space="0" w:color="FFFFFF" w:themeColor="background1"/>
              <w:bottom w:val="single" w:sz="4" w:space="0" w:color="002279"/>
              <w:right w:val="single" w:sz="4" w:space="0" w:color="002279"/>
            </w:tcBorders>
            <w:shd w:val="clear" w:color="auto" w:fill="002279"/>
          </w:tcPr>
          <w:p w14:paraId="68B1A026" w14:textId="77777777" w:rsidR="00AB244F" w:rsidRPr="004C71AE" w:rsidRDefault="00AB244F" w:rsidP="007349FD">
            <w:pPr>
              <w:pStyle w:val="TableHeading"/>
              <w:rPr>
                <w:rFonts w:ascii="Arial" w:hAnsi="Arial"/>
                <w:b/>
                <w:bCs/>
              </w:rPr>
            </w:pPr>
            <w:r w:rsidRPr="00643AC8">
              <w:rPr>
                <w:b/>
                <w:bCs/>
              </w:rPr>
              <w:t>Response</w:t>
            </w:r>
          </w:p>
        </w:tc>
      </w:tr>
      <w:tr w:rsidR="00A7554B" w:rsidRPr="00B052BE" w14:paraId="172EB1C8" w14:textId="77777777" w:rsidTr="00217305">
        <w:trPr>
          <w:trHeight w:val="531"/>
        </w:trPr>
        <w:tc>
          <w:tcPr>
            <w:tcW w:w="0" w:type="dxa"/>
            <w:tcBorders>
              <w:top w:val="single" w:sz="4" w:space="0" w:color="002279"/>
            </w:tcBorders>
            <w:shd w:val="clear" w:color="auto" w:fill="D4D6DF"/>
            <w:vAlign w:val="top"/>
          </w:tcPr>
          <w:p w14:paraId="69AA38A2" w14:textId="19091D3E" w:rsidR="00AB244F" w:rsidRPr="00116E55" w:rsidRDefault="00F1198B" w:rsidP="00F634A5">
            <w:pPr>
              <w:pStyle w:val="Default"/>
              <w:rPr>
                <w:i/>
                <w:sz w:val="20"/>
                <w:szCs w:val="20"/>
              </w:rPr>
            </w:pPr>
            <w:r w:rsidRPr="00116E55">
              <w:rPr>
                <w:i/>
                <w:sz w:val="20"/>
                <w:szCs w:val="20"/>
              </w:rPr>
              <w:t xml:space="preserve">To what extent has the </w:t>
            </w:r>
            <w:r w:rsidR="0088688D" w:rsidRPr="00116E55">
              <w:rPr>
                <w:i/>
                <w:sz w:val="20"/>
                <w:szCs w:val="20"/>
              </w:rPr>
              <w:t>organisation</w:t>
            </w:r>
            <w:r w:rsidRPr="00116E55">
              <w:rPr>
                <w:i/>
                <w:sz w:val="20"/>
                <w:szCs w:val="20"/>
              </w:rPr>
              <w:t xml:space="preserve"> demonstrated how its proposed prices reflect only prudent and efficient expenditure?</w:t>
            </w:r>
          </w:p>
        </w:tc>
        <w:tc>
          <w:tcPr>
            <w:tcW w:w="0" w:type="dxa"/>
            <w:tcBorders>
              <w:top w:val="single" w:sz="4" w:space="0" w:color="002279"/>
            </w:tcBorders>
            <w:shd w:val="clear" w:color="auto" w:fill="D4D6DF"/>
            <w:vAlign w:val="top"/>
          </w:tcPr>
          <w:p w14:paraId="3A252ED9" w14:textId="4FF405B7" w:rsidR="003857A4" w:rsidRPr="00116E55" w:rsidRDefault="003857A4" w:rsidP="00AA3218">
            <w:pPr>
              <w:pStyle w:val="Bulletlistmultilevel"/>
              <w:ind w:left="0" w:firstLine="0"/>
              <w:rPr>
                <w:sz w:val="20"/>
                <w:szCs w:val="20"/>
              </w:rPr>
            </w:pPr>
            <w:r w:rsidRPr="00116E55">
              <w:rPr>
                <w:sz w:val="20"/>
                <w:szCs w:val="20"/>
              </w:rPr>
              <w:t xml:space="preserve">It is acknowledged that expenditure increases are proposed </w:t>
            </w:r>
            <w:r w:rsidR="007F56FE" w:rsidRPr="00116E55">
              <w:rPr>
                <w:sz w:val="20"/>
                <w:szCs w:val="20"/>
              </w:rPr>
              <w:t>for the 2023</w:t>
            </w:r>
            <w:r w:rsidR="007D4EB3" w:rsidRPr="00116E55">
              <w:rPr>
                <w:sz w:val="20"/>
                <w:szCs w:val="20"/>
              </w:rPr>
              <w:t>–</w:t>
            </w:r>
            <w:r w:rsidR="007F56FE" w:rsidRPr="00116E55">
              <w:rPr>
                <w:sz w:val="20"/>
                <w:szCs w:val="20"/>
              </w:rPr>
              <w:t>28 period</w:t>
            </w:r>
            <w:r w:rsidRPr="00116E55">
              <w:rPr>
                <w:sz w:val="20"/>
                <w:szCs w:val="20"/>
              </w:rPr>
              <w:t xml:space="preserve"> </w:t>
            </w:r>
            <w:r w:rsidR="00E422C1" w:rsidRPr="00116E55">
              <w:rPr>
                <w:sz w:val="20"/>
                <w:szCs w:val="20"/>
              </w:rPr>
              <w:t xml:space="preserve">in order to deliver </w:t>
            </w:r>
            <w:r w:rsidR="00F26E4C" w:rsidRPr="00116E55">
              <w:rPr>
                <w:sz w:val="20"/>
                <w:szCs w:val="20"/>
              </w:rPr>
              <w:t>agreed outcomes to customers and to m</w:t>
            </w:r>
            <w:r w:rsidR="0044145F" w:rsidRPr="00116E55">
              <w:rPr>
                <w:sz w:val="20"/>
                <w:szCs w:val="20"/>
              </w:rPr>
              <w:t xml:space="preserve">ake </w:t>
            </w:r>
            <w:r w:rsidR="00851320" w:rsidRPr="00116E55">
              <w:rPr>
                <w:sz w:val="20"/>
                <w:szCs w:val="20"/>
              </w:rPr>
              <w:t xml:space="preserve">the </w:t>
            </w:r>
            <w:r w:rsidR="0044145F" w:rsidRPr="00116E55">
              <w:rPr>
                <w:sz w:val="20"/>
                <w:szCs w:val="20"/>
              </w:rPr>
              <w:t xml:space="preserve">investments now that will contribute </w:t>
            </w:r>
            <w:r w:rsidR="00851320" w:rsidRPr="00116E55">
              <w:rPr>
                <w:sz w:val="20"/>
                <w:szCs w:val="20"/>
              </w:rPr>
              <w:t xml:space="preserve">to </w:t>
            </w:r>
            <w:r w:rsidR="00040076" w:rsidRPr="00116E55">
              <w:rPr>
                <w:sz w:val="20"/>
                <w:szCs w:val="20"/>
              </w:rPr>
              <w:t>improve</w:t>
            </w:r>
            <w:r w:rsidR="00C72E06">
              <w:rPr>
                <w:sz w:val="20"/>
                <w:szCs w:val="20"/>
              </w:rPr>
              <w:t>d</w:t>
            </w:r>
            <w:r w:rsidR="00040076" w:rsidRPr="00116E55">
              <w:rPr>
                <w:sz w:val="20"/>
                <w:szCs w:val="20"/>
              </w:rPr>
              <w:t xml:space="preserve"> service outcomes and more efficient</w:t>
            </w:r>
            <w:r w:rsidR="002E7370" w:rsidRPr="00116E55">
              <w:rPr>
                <w:sz w:val="20"/>
                <w:szCs w:val="20"/>
              </w:rPr>
              <w:t xml:space="preserve"> costs levels into the future. This includes investment in our Digital Utility program. </w:t>
            </w:r>
          </w:p>
          <w:p w14:paraId="02E49EAF" w14:textId="3FAA2A7E" w:rsidR="00AB244F" w:rsidRPr="00116E55" w:rsidRDefault="005607B9" w:rsidP="00AA3218">
            <w:pPr>
              <w:pStyle w:val="Bulletlistmultilevel"/>
              <w:ind w:left="0" w:firstLine="0"/>
              <w:rPr>
                <w:sz w:val="20"/>
                <w:szCs w:val="20"/>
              </w:rPr>
            </w:pPr>
            <w:r w:rsidRPr="00116E55">
              <w:rPr>
                <w:sz w:val="20"/>
                <w:szCs w:val="20"/>
              </w:rPr>
              <w:t xml:space="preserve">The expenditure forecasts </w:t>
            </w:r>
            <w:r w:rsidR="009C34D7" w:rsidRPr="00116E55">
              <w:rPr>
                <w:sz w:val="20"/>
                <w:szCs w:val="20"/>
              </w:rPr>
              <w:t xml:space="preserve">for the </w:t>
            </w:r>
            <w:r w:rsidR="004049BE" w:rsidRPr="00116E55">
              <w:rPr>
                <w:sz w:val="20"/>
                <w:szCs w:val="20"/>
              </w:rPr>
              <w:t>2023</w:t>
            </w:r>
            <w:r w:rsidR="007D4EB3" w:rsidRPr="00116E55">
              <w:rPr>
                <w:sz w:val="20"/>
                <w:szCs w:val="20"/>
              </w:rPr>
              <w:t>–</w:t>
            </w:r>
            <w:r w:rsidR="004049BE" w:rsidRPr="00116E55">
              <w:rPr>
                <w:sz w:val="20"/>
                <w:szCs w:val="20"/>
              </w:rPr>
              <w:t xml:space="preserve">28 period </w:t>
            </w:r>
            <w:r w:rsidR="00655EB0" w:rsidRPr="00116E55">
              <w:rPr>
                <w:sz w:val="20"/>
                <w:szCs w:val="20"/>
              </w:rPr>
              <w:t xml:space="preserve">are demonstrated to be prudent and efficient as they: </w:t>
            </w:r>
          </w:p>
          <w:p w14:paraId="2CFF471B" w14:textId="5EA645F2" w:rsidR="00655EB0" w:rsidRPr="00116E55" w:rsidRDefault="00A130FE">
            <w:pPr>
              <w:pStyle w:val="Bulletlistmultilevel"/>
              <w:numPr>
                <w:ilvl w:val="0"/>
                <w:numId w:val="24"/>
              </w:numPr>
              <w:ind w:left="287" w:hanging="283"/>
              <w:rPr>
                <w:sz w:val="20"/>
                <w:szCs w:val="20"/>
              </w:rPr>
            </w:pPr>
            <w:r w:rsidRPr="00116E55">
              <w:rPr>
                <w:sz w:val="20"/>
                <w:szCs w:val="20"/>
              </w:rPr>
              <w:t>a</w:t>
            </w:r>
            <w:r w:rsidR="00BB2956" w:rsidRPr="00116E55">
              <w:rPr>
                <w:sz w:val="20"/>
                <w:szCs w:val="20"/>
              </w:rPr>
              <w:t xml:space="preserve">lign investment to achieving the outcomes that </w:t>
            </w:r>
            <w:r w:rsidR="007A6ECC">
              <w:rPr>
                <w:sz w:val="20"/>
                <w:szCs w:val="20"/>
              </w:rPr>
              <w:br/>
            </w:r>
            <w:r w:rsidR="00BB2956" w:rsidRPr="00116E55">
              <w:rPr>
                <w:sz w:val="20"/>
                <w:szCs w:val="20"/>
              </w:rPr>
              <w:t>we have agreed with customers</w:t>
            </w:r>
          </w:p>
          <w:p w14:paraId="1966C8B6" w14:textId="77C7D8ED" w:rsidR="005232B1" w:rsidRPr="00116E55" w:rsidRDefault="00A130FE">
            <w:pPr>
              <w:pStyle w:val="Bulletlistmultilevel"/>
              <w:numPr>
                <w:ilvl w:val="0"/>
                <w:numId w:val="24"/>
              </w:numPr>
              <w:ind w:left="287" w:hanging="283"/>
              <w:rPr>
                <w:rFonts w:cstheme="minorHAnsi"/>
                <w:sz w:val="20"/>
                <w:szCs w:val="20"/>
              </w:rPr>
            </w:pPr>
            <w:r w:rsidRPr="00116E55">
              <w:rPr>
                <w:sz w:val="20"/>
                <w:szCs w:val="20"/>
              </w:rPr>
              <w:t>h</w:t>
            </w:r>
            <w:r w:rsidR="00532ED3" w:rsidRPr="00116E55">
              <w:rPr>
                <w:sz w:val="20"/>
                <w:szCs w:val="20"/>
              </w:rPr>
              <w:t xml:space="preserve">ave been developed using sound assumptions </w:t>
            </w:r>
            <w:r w:rsidR="007A6ECC">
              <w:rPr>
                <w:sz w:val="20"/>
                <w:szCs w:val="20"/>
              </w:rPr>
              <w:br/>
            </w:r>
            <w:r w:rsidR="00532ED3" w:rsidRPr="00116E55">
              <w:rPr>
                <w:sz w:val="20"/>
                <w:szCs w:val="20"/>
              </w:rPr>
              <w:t xml:space="preserve">and methodologies </w:t>
            </w:r>
            <w:r w:rsidR="00CF65DA" w:rsidRPr="00116E55">
              <w:rPr>
                <w:sz w:val="20"/>
                <w:szCs w:val="20"/>
              </w:rPr>
              <w:t>to produce efficient expenditure forecasts across op</w:t>
            </w:r>
            <w:r w:rsidR="002624DD" w:rsidRPr="00116E55">
              <w:rPr>
                <w:sz w:val="20"/>
                <w:szCs w:val="20"/>
              </w:rPr>
              <w:t xml:space="preserve">erating and capital expenditure </w:t>
            </w:r>
            <w:r w:rsidR="00CF65DA" w:rsidRPr="00116E55">
              <w:rPr>
                <w:sz w:val="20"/>
                <w:szCs w:val="20"/>
              </w:rPr>
              <w:t>projects and programs</w:t>
            </w:r>
            <w:r w:rsidR="00113D47" w:rsidRPr="00116E55">
              <w:rPr>
                <w:sz w:val="20"/>
                <w:szCs w:val="20"/>
              </w:rPr>
              <w:t>. These are extensive</w:t>
            </w:r>
            <w:r w:rsidR="0050331A" w:rsidRPr="00116E55">
              <w:rPr>
                <w:sz w:val="20"/>
                <w:szCs w:val="20"/>
              </w:rPr>
              <w:t>ly</w:t>
            </w:r>
            <w:r w:rsidR="00113D47" w:rsidRPr="00116E55">
              <w:rPr>
                <w:sz w:val="20"/>
                <w:szCs w:val="20"/>
              </w:rPr>
              <w:t xml:space="preserve"> documented in this submission and our supporting documents.</w:t>
            </w:r>
          </w:p>
        </w:tc>
      </w:tr>
      <w:tr w:rsidR="00EF141C" w:rsidRPr="00B052BE" w14:paraId="2722FB5E" w14:textId="77777777" w:rsidTr="00AD4931">
        <w:trPr>
          <w:trHeight w:val="8309"/>
        </w:trPr>
        <w:tc>
          <w:tcPr>
            <w:tcW w:w="0" w:type="dxa"/>
            <w:vAlign w:val="top"/>
          </w:tcPr>
          <w:p w14:paraId="7566F9F4" w14:textId="76FCF0DD" w:rsidR="00AB244F" w:rsidRPr="00116E55" w:rsidRDefault="00F1198B" w:rsidP="00F634A5">
            <w:pPr>
              <w:pStyle w:val="TableText"/>
              <w:rPr>
                <w:i/>
                <w:sz w:val="20"/>
                <w:szCs w:val="20"/>
              </w:rPr>
            </w:pPr>
            <w:r w:rsidRPr="00116E55">
              <w:rPr>
                <w:i/>
                <w:sz w:val="20"/>
                <w:szCs w:val="20"/>
              </w:rPr>
              <w:lastRenderedPageBreak/>
              <w:t xml:space="preserve">To what extent has the </w:t>
            </w:r>
            <w:r w:rsidR="0088688D" w:rsidRPr="00116E55">
              <w:rPr>
                <w:i/>
                <w:sz w:val="20"/>
                <w:szCs w:val="20"/>
              </w:rPr>
              <w:t>organisation</w:t>
            </w:r>
            <w:r w:rsidRPr="00116E55">
              <w:rPr>
                <w:i/>
                <w:sz w:val="20"/>
                <w:szCs w:val="20"/>
              </w:rPr>
              <w:t xml:space="preserve"> justified its commitment to cost efficiency or productivity improvements?</w:t>
            </w:r>
          </w:p>
        </w:tc>
        <w:tc>
          <w:tcPr>
            <w:tcW w:w="0" w:type="dxa"/>
            <w:vAlign w:val="top"/>
          </w:tcPr>
          <w:p w14:paraId="64EBBE6B" w14:textId="60CBB54D" w:rsidR="006F10F2" w:rsidRPr="00116E55" w:rsidRDefault="00F82D1F" w:rsidP="00CB0971">
            <w:pPr>
              <w:pStyle w:val="Bulletlistmultilevel"/>
              <w:ind w:left="46" w:firstLine="0"/>
              <w:rPr>
                <w:rFonts w:cstheme="minorHAnsi"/>
                <w:sz w:val="20"/>
                <w:szCs w:val="20"/>
              </w:rPr>
            </w:pPr>
            <w:r w:rsidRPr="00116E55">
              <w:rPr>
                <w:rFonts w:cstheme="minorHAnsi"/>
                <w:sz w:val="20"/>
                <w:szCs w:val="20"/>
              </w:rPr>
              <w:t xml:space="preserve">South East Water has committed to </w:t>
            </w:r>
            <w:r w:rsidR="00762982" w:rsidRPr="00116E55">
              <w:rPr>
                <w:rFonts w:cstheme="minorHAnsi"/>
                <w:sz w:val="20"/>
                <w:szCs w:val="20"/>
              </w:rPr>
              <w:t>deliver significant cost efficiency and productivity improv</w:t>
            </w:r>
            <w:r w:rsidR="00974B2C" w:rsidRPr="00116E55">
              <w:rPr>
                <w:rFonts w:cstheme="minorHAnsi"/>
                <w:sz w:val="20"/>
                <w:szCs w:val="20"/>
              </w:rPr>
              <w:t>ements in the following ways</w:t>
            </w:r>
            <w:r w:rsidR="006F10F2" w:rsidRPr="00116E55">
              <w:rPr>
                <w:rFonts w:cstheme="minorHAnsi"/>
                <w:sz w:val="20"/>
                <w:szCs w:val="20"/>
              </w:rPr>
              <w:t>:</w:t>
            </w:r>
          </w:p>
          <w:p w14:paraId="4A666867" w14:textId="3C1326C1" w:rsidR="006F10F2" w:rsidRPr="00116E55" w:rsidRDefault="006F10F2">
            <w:pPr>
              <w:pStyle w:val="ListParagraph"/>
              <w:numPr>
                <w:ilvl w:val="0"/>
                <w:numId w:val="24"/>
              </w:numPr>
              <w:ind w:left="329"/>
              <w:rPr>
                <w:rFonts w:asciiTheme="minorHAnsi" w:eastAsia="Arial" w:hAnsiTheme="minorHAnsi" w:cstheme="minorHAnsi"/>
                <w:sz w:val="20"/>
                <w:szCs w:val="20"/>
              </w:rPr>
            </w:pPr>
            <w:r w:rsidRPr="00116E55">
              <w:rPr>
                <w:rFonts w:asciiTheme="minorHAnsi" w:eastAsia="Arial" w:hAnsiTheme="minorHAnsi" w:cstheme="minorHAnsi"/>
                <w:b/>
                <w:bCs/>
                <w:sz w:val="20"/>
                <w:szCs w:val="20"/>
              </w:rPr>
              <w:t>Efficiency improvement rate that is higher than the ESC</w:t>
            </w:r>
            <w:r w:rsidR="00612583" w:rsidRPr="00116E55">
              <w:rPr>
                <w:rFonts w:asciiTheme="minorHAnsi" w:eastAsia="Arial" w:hAnsiTheme="minorHAnsi" w:cstheme="minorHAnsi"/>
                <w:b/>
                <w:bCs/>
                <w:sz w:val="20"/>
                <w:szCs w:val="20"/>
              </w:rPr>
              <w:t>’</w:t>
            </w:r>
            <w:r w:rsidRPr="00116E55">
              <w:rPr>
                <w:rFonts w:asciiTheme="minorHAnsi" w:eastAsia="Arial" w:hAnsiTheme="minorHAnsi" w:cstheme="minorHAnsi"/>
                <w:b/>
                <w:bCs/>
                <w:sz w:val="20"/>
                <w:szCs w:val="20"/>
              </w:rPr>
              <w:t>s hurdle rate:</w:t>
            </w:r>
            <w:r w:rsidRPr="00116E55">
              <w:rPr>
                <w:rFonts w:asciiTheme="minorHAnsi" w:eastAsia="Arial" w:hAnsiTheme="minorHAnsi" w:cstheme="minorHAnsi"/>
                <w:sz w:val="20"/>
                <w:szCs w:val="20"/>
              </w:rPr>
              <w:t xml:space="preserve"> South East Water commit</w:t>
            </w:r>
            <w:r w:rsidR="002E07F1" w:rsidRPr="00116E55">
              <w:rPr>
                <w:rFonts w:asciiTheme="minorHAnsi" w:eastAsia="Arial" w:hAnsiTheme="minorHAnsi" w:cstheme="minorHAnsi"/>
                <w:sz w:val="20"/>
                <w:szCs w:val="20"/>
              </w:rPr>
              <w:t>s</w:t>
            </w:r>
            <w:r w:rsidRPr="00116E55">
              <w:rPr>
                <w:rFonts w:asciiTheme="minorHAnsi" w:eastAsia="Arial" w:hAnsiTheme="minorHAnsi" w:cstheme="minorHAnsi"/>
                <w:sz w:val="20"/>
                <w:szCs w:val="20"/>
              </w:rPr>
              <w:t xml:space="preserve"> to</w:t>
            </w:r>
            <w:r w:rsidR="00F875B7" w:rsidRPr="00116E55">
              <w:rPr>
                <w:rFonts w:asciiTheme="minorHAnsi" w:eastAsia="Arial" w:hAnsiTheme="minorHAnsi" w:cstheme="minorHAnsi"/>
                <w:sz w:val="20"/>
                <w:szCs w:val="20"/>
              </w:rPr>
              <w:t xml:space="preserve"> </w:t>
            </w:r>
            <w:r w:rsidRPr="00116E55">
              <w:rPr>
                <w:rFonts w:asciiTheme="minorHAnsi" w:eastAsia="Arial" w:hAnsiTheme="minorHAnsi" w:cstheme="minorHAnsi"/>
                <w:sz w:val="20"/>
                <w:szCs w:val="20"/>
              </w:rPr>
              <w:t>a 2% efficiency improvement rate which is ahead of the ESC</w:t>
            </w:r>
            <w:r w:rsidR="00612583" w:rsidRPr="00116E55">
              <w:rPr>
                <w:rFonts w:asciiTheme="minorHAnsi" w:eastAsia="Arial" w:hAnsiTheme="minorHAnsi" w:cstheme="minorHAnsi"/>
                <w:sz w:val="20"/>
                <w:szCs w:val="20"/>
              </w:rPr>
              <w:t>’</w:t>
            </w:r>
            <w:r w:rsidRPr="00116E55">
              <w:rPr>
                <w:rFonts w:asciiTheme="minorHAnsi" w:eastAsia="Arial" w:hAnsiTheme="minorHAnsi" w:cstheme="minorHAnsi"/>
                <w:sz w:val="20"/>
                <w:szCs w:val="20"/>
              </w:rPr>
              <w:t xml:space="preserve">s efficiency hurdle rate. </w:t>
            </w:r>
          </w:p>
          <w:p w14:paraId="55C0178D" w14:textId="57AD0523" w:rsidR="006F10F2" w:rsidRPr="00116E55" w:rsidRDefault="006F10F2">
            <w:pPr>
              <w:pStyle w:val="ListParagraph"/>
              <w:numPr>
                <w:ilvl w:val="0"/>
                <w:numId w:val="24"/>
              </w:numPr>
              <w:ind w:left="329"/>
              <w:rPr>
                <w:rFonts w:asciiTheme="minorHAnsi" w:eastAsia="Arial" w:hAnsiTheme="minorHAnsi" w:cstheme="minorHAnsi"/>
                <w:sz w:val="20"/>
                <w:szCs w:val="20"/>
              </w:rPr>
            </w:pPr>
            <w:r w:rsidRPr="00116E55">
              <w:rPr>
                <w:rFonts w:asciiTheme="minorHAnsi" w:eastAsia="Arial" w:hAnsiTheme="minorHAnsi" w:cstheme="minorHAnsi"/>
                <w:b/>
                <w:bCs/>
                <w:sz w:val="20"/>
                <w:szCs w:val="20"/>
              </w:rPr>
              <w:t>Expenditure growth rate below expected customer growth:</w:t>
            </w:r>
            <w:r w:rsidRPr="00116E55">
              <w:rPr>
                <w:rFonts w:asciiTheme="minorHAnsi" w:eastAsia="Arial" w:hAnsiTheme="minorHAnsi" w:cstheme="minorHAnsi"/>
                <w:sz w:val="20"/>
                <w:szCs w:val="20"/>
              </w:rPr>
              <w:t xml:space="preserve"> South East Water has applied an expenditure growth rate th</w:t>
            </w:r>
            <w:r w:rsidR="005B1FB8">
              <w:rPr>
                <w:rFonts w:asciiTheme="minorHAnsi" w:eastAsia="Arial" w:hAnsiTheme="minorHAnsi" w:cstheme="minorHAnsi"/>
                <w:sz w:val="20"/>
                <w:szCs w:val="20"/>
              </w:rPr>
              <w:t>at</w:t>
            </w:r>
            <w:r w:rsidRPr="00116E55">
              <w:rPr>
                <w:rFonts w:asciiTheme="minorHAnsi" w:eastAsia="Arial" w:hAnsiTheme="minorHAnsi" w:cstheme="minorHAnsi"/>
                <w:sz w:val="20"/>
                <w:szCs w:val="20"/>
              </w:rPr>
              <w:t xml:space="preserve"> is below our expected customer growth rate. An annual average </w:t>
            </w:r>
            <w:r w:rsidR="00612583" w:rsidRPr="00116E55">
              <w:rPr>
                <w:rFonts w:asciiTheme="minorHAnsi" w:eastAsia="Arial" w:hAnsiTheme="minorHAnsi" w:cstheme="minorHAnsi"/>
                <w:sz w:val="20"/>
                <w:szCs w:val="20"/>
              </w:rPr>
              <w:t>‘</w:t>
            </w:r>
            <w:r w:rsidRPr="00116E55">
              <w:rPr>
                <w:rFonts w:asciiTheme="minorHAnsi" w:eastAsia="Arial" w:hAnsiTheme="minorHAnsi" w:cstheme="minorHAnsi"/>
                <w:sz w:val="20"/>
                <w:szCs w:val="20"/>
              </w:rPr>
              <w:t>uncertainty discount</w:t>
            </w:r>
            <w:r w:rsidR="00612583" w:rsidRPr="00116E55">
              <w:rPr>
                <w:rFonts w:asciiTheme="minorHAnsi" w:eastAsia="Arial" w:hAnsiTheme="minorHAnsi" w:cstheme="minorHAnsi"/>
                <w:sz w:val="20"/>
                <w:szCs w:val="20"/>
              </w:rPr>
              <w:t>’</w:t>
            </w:r>
            <w:r w:rsidRPr="00116E55">
              <w:rPr>
                <w:rFonts w:asciiTheme="minorHAnsi" w:eastAsia="Arial" w:hAnsiTheme="minorHAnsi" w:cstheme="minorHAnsi"/>
                <w:sz w:val="20"/>
                <w:szCs w:val="20"/>
              </w:rPr>
              <w:t xml:space="preserve"> of 0.22% has been applied.</w:t>
            </w:r>
          </w:p>
          <w:p w14:paraId="455457C9" w14:textId="001B5219" w:rsidR="006F10F2" w:rsidRPr="00116E55" w:rsidRDefault="00366DDC">
            <w:pPr>
              <w:pStyle w:val="ListParagraph"/>
              <w:numPr>
                <w:ilvl w:val="0"/>
                <w:numId w:val="24"/>
              </w:numPr>
              <w:ind w:left="329"/>
              <w:rPr>
                <w:rFonts w:asciiTheme="minorHAnsi" w:hAnsiTheme="minorHAnsi" w:cstheme="minorHAnsi"/>
                <w:sz w:val="20"/>
                <w:szCs w:val="20"/>
              </w:rPr>
            </w:pPr>
            <w:r>
              <w:rPr>
                <w:rFonts w:asciiTheme="minorHAnsi" w:eastAsia="Arial" w:hAnsiTheme="minorHAnsi" w:cstheme="minorHAnsi"/>
                <w:b/>
                <w:bCs/>
                <w:sz w:val="20"/>
                <w:szCs w:val="20"/>
              </w:rPr>
              <w:t>Revised maintenance</w:t>
            </w:r>
            <w:r w:rsidR="006F10F2" w:rsidRPr="00116E55">
              <w:rPr>
                <w:rFonts w:asciiTheme="minorHAnsi" w:eastAsia="Arial" w:hAnsiTheme="minorHAnsi" w:cstheme="minorHAnsi"/>
                <w:b/>
                <w:bCs/>
                <w:sz w:val="20"/>
                <w:szCs w:val="20"/>
              </w:rPr>
              <w:t xml:space="preserve"> model: </w:t>
            </w:r>
            <w:r w:rsidR="006F10F2" w:rsidRPr="00116E55">
              <w:rPr>
                <w:rFonts w:asciiTheme="minorHAnsi" w:eastAsia="Arial" w:hAnsiTheme="minorHAnsi" w:cstheme="minorHAnsi"/>
                <w:sz w:val="20"/>
                <w:szCs w:val="20"/>
              </w:rPr>
              <w:t>Providing further confidence in our ability to achieve the 2% efficiency rate, a</w:t>
            </w:r>
            <w:r w:rsidR="006F10F2" w:rsidRPr="00116E55">
              <w:rPr>
                <w:rFonts w:asciiTheme="minorHAnsi" w:hAnsiTheme="minorHAnsi" w:cstheme="minorHAnsi"/>
                <w:sz w:val="20"/>
                <w:szCs w:val="20"/>
              </w:rPr>
              <w:t xml:space="preserve"> </w:t>
            </w:r>
            <w:r>
              <w:rPr>
                <w:rFonts w:asciiTheme="minorHAnsi" w:hAnsiTheme="minorHAnsi" w:cstheme="minorHAnsi"/>
                <w:sz w:val="20"/>
                <w:szCs w:val="20"/>
              </w:rPr>
              <w:t>revised</w:t>
            </w:r>
            <w:r w:rsidR="006F10F2" w:rsidRPr="00116E55">
              <w:rPr>
                <w:rFonts w:asciiTheme="minorHAnsi" w:hAnsiTheme="minorHAnsi" w:cstheme="minorHAnsi"/>
                <w:sz w:val="20"/>
                <w:szCs w:val="20"/>
              </w:rPr>
              <w:t xml:space="preserve"> </w:t>
            </w:r>
            <w:r>
              <w:rPr>
                <w:rFonts w:asciiTheme="minorHAnsi" w:hAnsiTheme="minorHAnsi" w:cstheme="minorHAnsi"/>
                <w:sz w:val="20"/>
                <w:szCs w:val="20"/>
              </w:rPr>
              <w:t>maintenance</w:t>
            </w:r>
            <w:r w:rsidR="006F10F2" w:rsidRPr="00116E55">
              <w:rPr>
                <w:rFonts w:asciiTheme="minorHAnsi" w:hAnsiTheme="minorHAnsi" w:cstheme="minorHAnsi"/>
                <w:sz w:val="20"/>
                <w:szCs w:val="20"/>
              </w:rPr>
              <w:t xml:space="preserve"> model will apply in the 2023</w:t>
            </w:r>
            <w:r w:rsidR="007D4EB3" w:rsidRPr="00116E55">
              <w:rPr>
                <w:rFonts w:asciiTheme="minorHAnsi" w:hAnsiTheme="minorHAnsi" w:cstheme="minorHAnsi"/>
                <w:sz w:val="20"/>
                <w:szCs w:val="20"/>
              </w:rPr>
              <w:t>–</w:t>
            </w:r>
            <w:r w:rsidR="006F10F2" w:rsidRPr="00116E55">
              <w:rPr>
                <w:rFonts w:asciiTheme="minorHAnsi" w:hAnsiTheme="minorHAnsi" w:cstheme="minorHAnsi"/>
                <w:sz w:val="20"/>
                <w:szCs w:val="20"/>
              </w:rPr>
              <w:t xml:space="preserve">28 </w:t>
            </w:r>
            <w:r w:rsidR="006F10F2" w:rsidRPr="00116E55">
              <w:rPr>
                <w:rFonts w:asciiTheme="minorHAnsi" w:eastAsia="Arial" w:hAnsiTheme="minorHAnsi" w:cstheme="minorHAnsi"/>
                <w:sz w:val="20"/>
                <w:szCs w:val="20"/>
              </w:rPr>
              <w:t>regulatory period</w:t>
            </w:r>
            <w:r w:rsidR="006F10F2" w:rsidRPr="00116E55">
              <w:rPr>
                <w:rFonts w:asciiTheme="minorHAnsi" w:hAnsiTheme="minorHAnsi" w:cstheme="minorHAnsi"/>
                <w:sz w:val="20"/>
                <w:szCs w:val="20"/>
              </w:rPr>
              <w:t xml:space="preserve"> that incorporates performance measurement penalties and rewards, and is expected to reduce operating costs overall. </w:t>
            </w:r>
          </w:p>
          <w:p w14:paraId="4839D13F" w14:textId="77777777" w:rsidR="00984E94" w:rsidRPr="00116E55" w:rsidRDefault="006F10F2">
            <w:pPr>
              <w:pStyle w:val="ListParagraph"/>
              <w:numPr>
                <w:ilvl w:val="0"/>
                <w:numId w:val="24"/>
              </w:numPr>
              <w:ind w:left="329"/>
              <w:rPr>
                <w:sz w:val="20"/>
                <w:szCs w:val="20"/>
              </w:rPr>
            </w:pPr>
            <w:r w:rsidRPr="00116E55">
              <w:rPr>
                <w:rFonts w:asciiTheme="minorHAnsi" w:hAnsiTheme="minorHAnsi" w:cstheme="minorHAnsi"/>
                <w:b/>
                <w:bCs/>
                <w:sz w:val="20"/>
                <w:szCs w:val="20"/>
              </w:rPr>
              <w:t>Implementing a new capital delivery model with our contractors:</w:t>
            </w:r>
            <w:r w:rsidRPr="00116E55">
              <w:rPr>
                <w:rFonts w:asciiTheme="minorHAnsi" w:hAnsiTheme="minorHAnsi" w:cstheme="minorHAnsi"/>
                <w:sz w:val="20"/>
                <w:szCs w:val="20"/>
              </w:rPr>
              <w:t xml:space="preserve"> The </w:t>
            </w:r>
            <w:r w:rsidR="0092511C" w:rsidRPr="00116E55">
              <w:rPr>
                <w:rFonts w:asciiTheme="minorHAnsi" w:hAnsiTheme="minorHAnsi" w:cstheme="minorHAnsi"/>
                <w:sz w:val="20"/>
                <w:szCs w:val="20"/>
              </w:rPr>
              <w:t>c</w:t>
            </w:r>
            <w:r w:rsidRPr="00116E55">
              <w:rPr>
                <w:rFonts w:asciiTheme="minorHAnsi" w:hAnsiTheme="minorHAnsi" w:cstheme="minorHAnsi"/>
                <w:sz w:val="20"/>
                <w:szCs w:val="20"/>
              </w:rPr>
              <w:t xml:space="preserve">apital </w:t>
            </w:r>
            <w:r w:rsidR="0092511C" w:rsidRPr="00116E55">
              <w:rPr>
                <w:rFonts w:asciiTheme="minorHAnsi" w:hAnsiTheme="minorHAnsi" w:cstheme="minorHAnsi"/>
                <w:sz w:val="20"/>
                <w:szCs w:val="20"/>
              </w:rPr>
              <w:t>d</w:t>
            </w:r>
            <w:r w:rsidRPr="00116E55">
              <w:rPr>
                <w:rFonts w:asciiTheme="minorHAnsi" w:hAnsiTheme="minorHAnsi" w:cstheme="minorHAnsi"/>
                <w:sz w:val="20"/>
                <w:szCs w:val="20"/>
              </w:rPr>
              <w:t xml:space="preserve">elivery </w:t>
            </w:r>
            <w:r w:rsidR="0092511C" w:rsidRPr="00116E55">
              <w:rPr>
                <w:rFonts w:asciiTheme="minorHAnsi" w:hAnsiTheme="minorHAnsi" w:cstheme="minorHAnsi"/>
                <w:sz w:val="20"/>
                <w:szCs w:val="20"/>
              </w:rPr>
              <w:t>m</w:t>
            </w:r>
            <w:r w:rsidRPr="00116E55">
              <w:rPr>
                <w:rFonts w:asciiTheme="minorHAnsi" w:hAnsiTheme="minorHAnsi" w:cstheme="minorHAnsi"/>
                <w:sz w:val="20"/>
                <w:szCs w:val="20"/>
              </w:rPr>
              <w:t>odel being introduced at the start of the regulatory period better i</w:t>
            </w:r>
            <w:r w:rsidRPr="00116E55">
              <w:rPr>
                <w:rFonts w:asciiTheme="minorHAnsi" w:eastAsiaTheme="minorEastAsia" w:hAnsiTheme="minorHAnsi" w:cstheme="minorHAnsi"/>
                <w:sz w:val="20"/>
                <w:szCs w:val="20"/>
              </w:rPr>
              <w:t xml:space="preserve">ntegrates planning and delivery and </w:t>
            </w:r>
            <w:r w:rsidRPr="00116E55">
              <w:rPr>
                <w:rFonts w:asciiTheme="minorHAnsi" w:hAnsiTheme="minorHAnsi" w:cstheme="minorHAnsi"/>
                <w:sz w:val="20"/>
                <w:szCs w:val="20"/>
              </w:rPr>
              <w:t xml:space="preserve">is forecast to deliver efficiency saving on </w:t>
            </w:r>
            <w:r w:rsidR="009F5F05" w:rsidRPr="00116E55">
              <w:rPr>
                <w:rFonts w:asciiTheme="minorHAnsi" w:hAnsiTheme="minorHAnsi" w:cstheme="minorHAnsi"/>
                <w:sz w:val="20"/>
                <w:szCs w:val="20"/>
              </w:rPr>
              <w:t>cap</w:t>
            </w:r>
            <w:r w:rsidR="007C6903" w:rsidRPr="00116E55">
              <w:rPr>
                <w:rFonts w:asciiTheme="minorHAnsi" w:hAnsiTheme="minorHAnsi" w:cstheme="minorHAnsi"/>
                <w:sz w:val="20"/>
                <w:szCs w:val="20"/>
              </w:rPr>
              <w:t xml:space="preserve">ital expenditure </w:t>
            </w:r>
            <w:r w:rsidRPr="00116E55">
              <w:rPr>
                <w:rFonts w:asciiTheme="minorHAnsi" w:hAnsiTheme="minorHAnsi" w:cstheme="minorHAnsi"/>
                <w:sz w:val="20"/>
                <w:szCs w:val="20"/>
              </w:rPr>
              <w:t xml:space="preserve">program costs. </w:t>
            </w:r>
          </w:p>
          <w:p w14:paraId="5100CF71" w14:textId="29666F15" w:rsidR="00AB244F" w:rsidRPr="00116E55" w:rsidRDefault="006F10F2">
            <w:pPr>
              <w:pStyle w:val="ListParagraph"/>
              <w:numPr>
                <w:ilvl w:val="0"/>
                <w:numId w:val="24"/>
              </w:numPr>
              <w:ind w:left="329"/>
              <w:rPr>
                <w:sz w:val="20"/>
                <w:szCs w:val="20"/>
              </w:rPr>
            </w:pPr>
            <w:r w:rsidRPr="00116E55">
              <w:rPr>
                <w:rFonts w:asciiTheme="minorHAnsi" w:hAnsiTheme="minorHAnsi" w:cstheme="minorHAnsi"/>
                <w:b/>
                <w:bCs/>
                <w:sz w:val="20"/>
                <w:szCs w:val="20"/>
              </w:rPr>
              <w:t>Investing in the Digital Utility/Digital Metering program:</w:t>
            </w:r>
            <w:r w:rsidRPr="00116E55">
              <w:rPr>
                <w:rFonts w:asciiTheme="minorHAnsi" w:hAnsiTheme="minorHAnsi" w:cstheme="minorHAnsi"/>
                <w:sz w:val="20"/>
                <w:szCs w:val="20"/>
              </w:rPr>
              <w:t xml:space="preserve"> Over the long term this is expected to defer major network augmentations by reducing water demand and providing better information on network expansion needs. In addition, it will allow </w:t>
            </w:r>
            <w:r w:rsidR="007A6ECC">
              <w:rPr>
                <w:rFonts w:asciiTheme="minorHAnsi" w:hAnsiTheme="minorHAnsi" w:cstheme="minorHAnsi"/>
                <w:sz w:val="20"/>
                <w:szCs w:val="20"/>
              </w:rPr>
              <w:br/>
            </w:r>
            <w:r w:rsidRPr="00116E55">
              <w:rPr>
                <w:rFonts w:asciiTheme="minorHAnsi" w:hAnsiTheme="minorHAnsi" w:cstheme="minorHAnsi"/>
                <w:sz w:val="20"/>
                <w:szCs w:val="20"/>
              </w:rPr>
              <w:t>us to reduce maintenance and renewal costs by identifying problems earlier</w:t>
            </w:r>
            <w:r w:rsidR="0071003C" w:rsidRPr="00116E55">
              <w:rPr>
                <w:rFonts w:asciiTheme="minorHAnsi" w:hAnsiTheme="minorHAnsi" w:cstheme="minorHAnsi"/>
                <w:sz w:val="20"/>
                <w:szCs w:val="20"/>
              </w:rPr>
              <w:t>.</w:t>
            </w:r>
          </w:p>
        </w:tc>
      </w:tr>
      <w:tr w:rsidR="00AF4CBF" w:rsidRPr="00B052BE" w14:paraId="0E3EA521" w14:textId="77777777" w:rsidTr="00AD4931">
        <w:tc>
          <w:tcPr>
            <w:tcW w:w="0" w:type="dxa"/>
            <w:shd w:val="clear" w:color="auto" w:fill="D4D6DF"/>
            <w:vAlign w:val="top"/>
          </w:tcPr>
          <w:p w14:paraId="61F16C42" w14:textId="13788DAC" w:rsidR="00F1198B" w:rsidRPr="00116E55" w:rsidRDefault="00F1198B" w:rsidP="006666D8">
            <w:pPr>
              <w:pStyle w:val="TableText"/>
              <w:rPr>
                <w:i/>
                <w:sz w:val="20"/>
                <w:szCs w:val="20"/>
              </w:rPr>
            </w:pPr>
            <w:r w:rsidRPr="00116E55">
              <w:rPr>
                <w:i/>
                <w:sz w:val="20"/>
                <w:szCs w:val="20"/>
              </w:rPr>
              <w:t xml:space="preserve">To what extent has the </w:t>
            </w:r>
            <w:r w:rsidR="0088688D" w:rsidRPr="00116E55">
              <w:rPr>
                <w:i/>
                <w:sz w:val="20"/>
                <w:szCs w:val="20"/>
              </w:rPr>
              <w:t>organisation</w:t>
            </w:r>
            <w:r w:rsidRPr="00116E55">
              <w:rPr>
                <w:i/>
                <w:sz w:val="20"/>
                <w:szCs w:val="20"/>
              </w:rPr>
              <w:t xml:space="preserve"> justified or provided assurance about the quality of </w:t>
            </w:r>
            <w:r w:rsidR="005C0ADE">
              <w:rPr>
                <w:i/>
                <w:sz w:val="20"/>
                <w:szCs w:val="20"/>
              </w:rPr>
              <w:br/>
            </w:r>
            <w:r w:rsidRPr="00116E55">
              <w:rPr>
                <w:i/>
                <w:sz w:val="20"/>
                <w:szCs w:val="20"/>
              </w:rPr>
              <w:t>the submission, including the quality of supporting information on forecast costs or projects?</w:t>
            </w:r>
          </w:p>
        </w:tc>
        <w:tc>
          <w:tcPr>
            <w:tcW w:w="0" w:type="dxa"/>
            <w:shd w:val="clear" w:color="auto" w:fill="D4D6DF"/>
            <w:vAlign w:val="top"/>
          </w:tcPr>
          <w:p w14:paraId="2C8A11DB" w14:textId="77777777" w:rsidR="00F1198B" w:rsidRPr="00116E55" w:rsidRDefault="001D2DEF" w:rsidP="006666D8">
            <w:pPr>
              <w:pStyle w:val="TableText"/>
              <w:rPr>
                <w:sz w:val="20"/>
                <w:szCs w:val="20"/>
              </w:rPr>
            </w:pPr>
            <w:r w:rsidRPr="00116E55">
              <w:rPr>
                <w:sz w:val="20"/>
                <w:szCs w:val="20"/>
              </w:rPr>
              <w:t>As described in the submission, South East Water has implemented a comprehensive price submission assurance process to ensure that</w:t>
            </w:r>
            <w:r w:rsidR="00D609CA" w:rsidRPr="00116E55">
              <w:rPr>
                <w:sz w:val="20"/>
                <w:szCs w:val="20"/>
              </w:rPr>
              <w:t>:</w:t>
            </w:r>
          </w:p>
          <w:p w14:paraId="3F6D3D09" w14:textId="3E33C8C3" w:rsidR="0071003C" w:rsidRPr="00116E55" w:rsidRDefault="00F81B34">
            <w:pPr>
              <w:pStyle w:val="ListParagraph"/>
              <w:numPr>
                <w:ilvl w:val="0"/>
                <w:numId w:val="24"/>
              </w:numPr>
              <w:ind w:left="329"/>
              <w:rPr>
                <w:rFonts w:asciiTheme="minorHAnsi" w:hAnsiTheme="minorHAnsi" w:cstheme="minorHAnsi"/>
                <w:sz w:val="20"/>
                <w:szCs w:val="20"/>
              </w:rPr>
            </w:pPr>
            <w:r w:rsidRPr="00116E55">
              <w:rPr>
                <w:sz w:val="20"/>
                <w:szCs w:val="20"/>
              </w:rPr>
              <w:t>t</w:t>
            </w:r>
            <w:r w:rsidR="00D609CA" w:rsidRPr="00116E55">
              <w:rPr>
                <w:sz w:val="20"/>
                <w:szCs w:val="20"/>
              </w:rPr>
              <w:t>he information and documentation relied upon to support the price submission is reasonably based, complete and accurate in all material respects</w:t>
            </w:r>
            <w:r w:rsidR="007432F0" w:rsidRPr="00116E55">
              <w:rPr>
                <w:sz w:val="20"/>
                <w:szCs w:val="20"/>
              </w:rPr>
              <w:t xml:space="preserve"> </w:t>
            </w:r>
          </w:p>
          <w:p w14:paraId="61189FF7" w14:textId="6A43647E" w:rsidR="0071003C" w:rsidRPr="00116E55" w:rsidRDefault="00F81B34">
            <w:pPr>
              <w:pStyle w:val="ListParagraph"/>
              <w:numPr>
                <w:ilvl w:val="0"/>
                <w:numId w:val="24"/>
              </w:numPr>
              <w:ind w:left="329"/>
              <w:rPr>
                <w:rFonts w:asciiTheme="minorHAnsi" w:hAnsiTheme="minorHAnsi" w:cstheme="minorHAnsi"/>
                <w:sz w:val="20"/>
                <w:szCs w:val="20"/>
              </w:rPr>
            </w:pPr>
            <w:r w:rsidRPr="00116E55">
              <w:rPr>
                <w:sz w:val="20"/>
                <w:szCs w:val="20"/>
              </w:rPr>
              <w:t>f</w:t>
            </w:r>
            <w:r w:rsidR="00D609CA" w:rsidRPr="00116E55">
              <w:rPr>
                <w:sz w:val="20"/>
                <w:szCs w:val="20"/>
              </w:rPr>
              <w:t>inancial and demand forecasts are our best estimates, and supporting information is available</w:t>
            </w:r>
            <w:r w:rsidR="00D33B25">
              <w:rPr>
                <w:sz w:val="20"/>
                <w:szCs w:val="20"/>
              </w:rPr>
              <w:t xml:space="preserve"> </w:t>
            </w:r>
            <w:r w:rsidR="00D609CA" w:rsidRPr="00116E55">
              <w:rPr>
                <w:sz w:val="20"/>
                <w:szCs w:val="20"/>
              </w:rPr>
              <w:t>to justify the assumptions and methodologies used</w:t>
            </w:r>
          </w:p>
          <w:p w14:paraId="5FFC6FF6" w14:textId="2C21F565" w:rsidR="0071003C" w:rsidRPr="00116E55" w:rsidRDefault="00F81B34">
            <w:pPr>
              <w:pStyle w:val="ListParagraph"/>
              <w:numPr>
                <w:ilvl w:val="0"/>
                <w:numId w:val="24"/>
              </w:numPr>
              <w:ind w:left="329"/>
              <w:rPr>
                <w:rFonts w:asciiTheme="minorHAnsi" w:hAnsiTheme="minorHAnsi" w:cstheme="minorHAnsi"/>
                <w:sz w:val="20"/>
                <w:szCs w:val="20"/>
              </w:rPr>
            </w:pPr>
            <w:r w:rsidRPr="00116E55">
              <w:rPr>
                <w:sz w:val="20"/>
                <w:szCs w:val="20"/>
              </w:rPr>
              <w:t>t</w:t>
            </w:r>
            <w:r w:rsidR="00D609CA" w:rsidRPr="00116E55">
              <w:rPr>
                <w:sz w:val="20"/>
                <w:szCs w:val="20"/>
              </w:rPr>
              <w:t>his price submission satisfies the requirements of</w:t>
            </w:r>
            <w:r w:rsidR="005D3B41">
              <w:rPr>
                <w:sz w:val="20"/>
                <w:szCs w:val="20"/>
              </w:rPr>
              <w:t xml:space="preserve"> </w:t>
            </w:r>
            <w:r w:rsidR="00D609CA" w:rsidRPr="00116E55">
              <w:rPr>
                <w:sz w:val="20"/>
                <w:szCs w:val="20"/>
              </w:rPr>
              <w:t>the ESC</w:t>
            </w:r>
            <w:r w:rsidR="001A5E2E" w:rsidRPr="00116E55">
              <w:rPr>
                <w:sz w:val="20"/>
                <w:szCs w:val="20"/>
              </w:rPr>
              <w:t>’s</w:t>
            </w:r>
            <w:r w:rsidR="00D609CA" w:rsidRPr="00116E55">
              <w:rPr>
                <w:i/>
                <w:iCs/>
                <w:sz w:val="20"/>
                <w:szCs w:val="20"/>
              </w:rPr>
              <w:t xml:space="preserve"> </w:t>
            </w:r>
            <w:r w:rsidRPr="00116E55">
              <w:rPr>
                <w:i/>
                <w:iCs/>
                <w:sz w:val="20"/>
                <w:szCs w:val="20"/>
              </w:rPr>
              <w:t>W</w:t>
            </w:r>
            <w:r w:rsidR="0083435F" w:rsidRPr="00116E55">
              <w:rPr>
                <w:i/>
                <w:iCs/>
                <w:sz w:val="20"/>
                <w:szCs w:val="20"/>
              </w:rPr>
              <w:t xml:space="preserve">ater </w:t>
            </w:r>
            <w:r w:rsidRPr="00116E55">
              <w:rPr>
                <w:i/>
                <w:iCs/>
                <w:sz w:val="20"/>
                <w:szCs w:val="20"/>
              </w:rPr>
              <w:t>P</w:t>
            </w:r>
            <w:r w:rsidR="0083435F" w:rsidRPr="00116E55">
              <w:rPr>
                <w:i/>
                <w:iCs/>
                <w:sz w:val="20"/>
                <w:szCs w:val="20"/>
              </w:rPr>
              <w:t xml:space="preserve">rice </w:t>
            </w:r>
            <w:r w:rsidRPr="00116E55">
              <w:rPr>
                <w:i/>
                <w:iCs/>
                <w:sz w:val="20"/>
                <w:szCs w:val="20"/>
              </w:rPr>
              <w:t>R</w:t>
            </w:r>
            <w:r w:rsidR="0083435F" w:rsidRPr="00116E55">
              <w:rPr>
                <w:i/>
                <w:iCs/>
                <w:sz w:val="20"/>
                <w:szCs w:val="20"/>
              </w:rPr>
              <w:t xml:space="preserve">eview </w:t>
            </w:r>
            <w:r w:rsidR="001A5E2E" w:rsidRPr="00116E55">
              <w:rPr>
                <w:i/>
                <w:iCs/>
                <w:sz w:val="20"/>
                <w:szCs w:val="20"/>
              </w:rPr>
              <w:t xml:space="preserve">2023 </w:t>
            </w:r>
            <w:r w:rsidR="001A5E2E" w:rsidRPr="00116E55">
              <w:rPr>
                <w:sz w:val="20"/>
                <w:szCs w:val="20"/>
              </w:rPr>
              <w:t>g</w:t>
            </w:r>
            <w:r w:rsidR="0083435F" w:rsidRPr="00116E55">
              <w:rPr>
                <w:sz w:val="20"/>
                <w:szCs w:val="20"/>
              </w:rPr>
              <w:t>uidance</w:t>
            </w:r>
          </w:p>
          <w:p w14:paraId="05D317A4" w14:textId="39793156" w:rsidR="00F1198B" w:rsidRPr="00116E55" w:rsidRDefault="00D609CA" w:rsidP="006666D8">
            <w:pPr>
              <w:pStyle w:val="TableText"/>
              <w:rPr>
                <w:sz w:val="20"/>
                <w:szCs w:val="20"/>
              </w:rPr>
            </w:pPr>
            <w:r w:rsidRPr="00116E55">
              <w:rPr>
                <w:sz w:val="20"/>
                <w:szCs w:val="20"/>
              </w:rPr>
              <w:t xml:space="preserve">This included a process involving </w:t>
            </w:r>
            <w:r w:rsidR="00660EBA" w:rsidRPr="00116E55">
              <w:rPr>
                <w:sz w:val="20"/>
                <w:szCs w:val="20"/>
              </w:rPr>
              <w:t xml:space="preserve">3 </w:t>
            </w:r>
            <w:r w:rsidRPr="00116E55">
              <w:rPr>
                <w:sz w:val="20"/>
                <w:szCs w:val="20"/>
              </w:rPr>
              <w:t xml:space="preserve">lines of defence, encompassing </w:t>
            </w:r>
            <w:r w:rsidR="002B1830" w:rsidRPr="00116E55">
              <w:rPr>
                <w:sz w:val="20"/>
                <w:szCs w:val="20"/>
              </w:rPr>
              <w:t xml:space="preserve">appropriately skilled front-line work streams, </w:t>
            </w:r>
            <w:r w:rsidR="005A3166" w:rsidRPr="00116E55">
              <w:rPr>
                <w:sz w:val="20"/>
                <w:szCs w:val="20"/>
              </w:rPr>
              <w:t xml:space="preserve">a </w:t>
            </w:r>
            <w:r w:rsidR="002E1C43" w:rsidRPr="00116E55">
              <w:rPr>
                <w:sz w:val="20"/>
                <w:szCs w:val="20"/>
              </w:rPr>
              <w:t>price submission</w:t>
            </w:r>
            <w:r w:rsidR="005A3166" w:rsidRPr="00116E55">
              <w:rPr>
                <w:sz w:val="20"/>
                <w:szCs w:val="20"/>
              </w:rPr>
              <w:t xml:space="preserve"> project team consisting of the work stream leads oversighting the price submission</w:t>
            </w:r>
            <w:r w:rsidR="00F81B34" w:rsidRPr="00116E55">
              <w:rPr>
                <w:sz w:val="20"/>
                <w:szCs w:val="20"/>
              </w:rPr>
              <w:t>,</w:t>
            </w:r>
            <w:r w:rsidR="005A3166" w:rsidRPr="00116E55">
              <w:rPr>
                <w:sz w:val="20"/>
                <w:szCs w:val="20"/>
              </w:rPr>
              <w:t xml:space="preserve"> and </w:t>
            </w:r>
            <w:r w:rsidR="0071003C" w:rsidRPr="00116E55">
              <w:rPr>
                <w:sz w:val="20"/>
                <w:szCs w:val="20"/>
              </w:rPr>
              <w:t>independent and expert consultant review.</w:t>
            </w:r>
          </w:p>
        </w:tc>
      </w:tr>
      <w:tr w:rsidR="00EF141C" w:rsidRPr="00B052BE" w14:paraId="53DD42DE" w14:textId="77777777" w:rsidTr="00AD4931">
        <w:trPr>
          <w:trHeight w:val="3224"/>
        </w:trPr>
        <w:tc>
          <w:tcPr>
            <w:tcW w:w="0" w:type="dxa"/>
            <w:vAlign w:val="top"/>
          </w:tcPr>
          <w:p w14:paraId="651C2657" w14:textId="214CDC32" w:rsidR="00F1198B" w:rsidRPr="00116E55" w:rsidRDefault="00F1198B" w:rsidP="006666D8">
            <w:pPr>
              <w:pStyle w:val="TableText"/>
              <w:rPr>
                <w:i/>
                <w:sz w:val="20"/>
                <w:szCs w:val="20"/>
              </w:rPr>
            </w:pPr>
            <w:r w:rsidRPr="00116E55">
              <w:rPr>
                <w:i/>
                <w:sz w:val="20"/>
                <w:szCs w:val="20"/>
              </w:rPr>
              <w:lastRenderedPageBreak/>
              <w:t xml:space="preserve">To what extent has the </w:t>
            </w:r>
            <w:r w:rsidR="0088688D" w:rsidRPr="00116E55">
              <w:rPr>
                <w:i/>
                <w:sz w:val="20"/>
                <w:szCs w:val="20"/>
              </w:rPr>
              <w:t>organisation</w:t>
            </w:r>
            <w:r w:rsidRPr="00116E55">
              <w:rPr>
                <w:i/>
                <w:sz w:val="20"/>
                <w:szCs w:val="20"/>
              </w:rPr>
              <w:t xml:space="preserve"> provided evidence that there is senior level, including </w:t>
            </w:r>
            <w:r w:rsidR="00E42753" w:rsidRPr="00116E55">
              <w:rPr>
                <w:i/>
                <w:sz w:val="20"/>
                <w:szCs w:val="20"/>
              </w:rPr>
              <w:t>board</w:t>
            </w:r>
            <w:r w:rsidRPr="00116E55">
              <w:rPr>
                <w:i/>
                <w:sz w:val="20"/>
                <w:szCs w:val="20"/>
              </w:rPr>
              <w:t xml:space="preserve"> level, ownership and commitment to its submission and its outcomes?</w:t>
            </w:r>
          </w:p>
        </w:tc>
        <w:tc>
          <w:tcPr>
            <w:tcW w:w="0" w:type="dxa"/>
            <w:vAlign w:val="top"/>
          </w:tcPr>
          <w:p w14:paraId="19204310" w14:textId="026DEF21" w:rsidR="00F1198B" w:rsidRPr="00116E55" w:rsidRDefault="0071003C" w:rsidP="006666D8">
            <w:pPr>
              <w:pStyle w:val="TableText"/>
              <w:rPr>
                <w:sz w:val="20"/>
                <w:szCs w:val="20"/>
              </w:rPr>
            </w:pPr>
            <w:r w:rsidRPr="00116E55">
              <w:rPr>
                <w:sz w:val="20"/>
                <w:szCs w:val="20"/>
              </w:rPr>
              <w:t xml:space="preserve">As described in the submission, the executive and board have had extensive involvement and ownership over the development of the price submission over an </w:t>
            </w:r>
            <w:r w:rsidR="00CB0780" w:rsidRPr="00116E55">
              <w:rPr>
                <w:sz w:val="20"/>
                <w:szCs w:val="20"/>
              </w:rPr>
              <w:t>18-month</w:t>
            </w:r>
            <w:r w:rsidRPr="00116E55">
              <w:rPr>
                <w:sz w:val="20"/>
                <w:szCs w:val="20"/>
              </w:rPr>
              <w:t xml:space="preserve"> period. </w:t>
            </w:r>
            <w:r w:rsidR="000C45BD" w:rsidRPr="00116E55">
              <w:rPr>
                <w:sz w:val="20"/>
                <w:szCs w:val="20"/>
              </w:rPr>
              <w:t>This has included</w:t>
            </w:r>
            <w:r w:rsidR="00962D40" w:rsidRPr="00116E55">
              <w:rPr>
                <w:sz w:val="20"/>
                <w:szCs w:val="20"/>
              </w:rPr>
              <w:t>:</w:t>
            </w:r>
          </w:p>
          <w:p w14:paraId="24D9EFC4" w14:textId="1CA834CC" w:rsidR="00962D40" w:rsidRPr="00116E55" w:rsidRDefault="00CB0780">
            <w:pPr>
              <w:pStyle w:val="ListParagraph"/>
              <w:numPr>
                <w:ilvl w:val="0"/>
                <w:numId w:val="24"/>
              </w:numPr>
              <w:ind w:left="329"/>
              <w:rPr>
                <w:rFonts w:asciiTheme="minorHAnsi" w:hAnsiTheme="minorHAnsi" w:cstheme="minorHAnsi"/>
                <w:sz w:val="20"/>
                <w:szCs w:val="20"/>
              </w:rPr>
            </w:pPr>
            <w:r w:rsidRPr="00116E55">
              <w:rPr>
                <w:sz w:val="20"/>
                <w:szCs w:val="20"/>
              </w:rPr>
              <w:t>m</w:t>
            </w:r>
            <w:r w:rsidR="00962D40" w:rsidRPr="00116E55">
              <w:rPr>
                <w:sz w:val="20"/>
                <w:szCs w:val="20"/>
              </w:rPr>
              <w:t>onthly board updates and a series of comprehensive, full</w:t>
            </w:r>
            <w:r w:rsidR="00F81B34" w:rsidRPr="00116E55">
              <w:rPr>
                <w:sz w:val="20"/>
                <w:szCs w:val="20"/>
              </w:rPr>
              <w:t>-</w:t>
            </w:r>
            <w:r w:rsidR="00962D40" w:rsidRPr="00116E55">
              <w:rPr>
                <w:sz w:val="20"/>
                <w:szCs w:val="20"/>
              </w:rPr>
              <w:t>day collaborative board workshops held over an 18-month perio</w:t>
            </w:r>
            <w:r w:rsidR="00EE625A" w:rsidRPr="00116E55">
              <w:rPr>
                <w:sz w:val="20"/>
                <w:szCs w:val="20"/>
              </w:rPr>
              <w:t xml:space="preserve">d </w:t>
            </w:r>
          </w:p>
          <w:p w14:paraId="420900A2" w14:textId="600FB6DA" w:rsidR="00962D40" w:rsidRPr="00116E55" w:rsidRDefault="00EE625A">
            <w:pPr>
              <w:pStyle w:val="ListParagraph"/>
              <w:numPr>
                <w:ilvl w:val="0"/>
                <w:numId w:val="24"/>
              </w:numPr>
              <w:ind w:left="329"/>
              <w:rPr>
                <w:rFonts w:asciiTheme="minorHAnsi" w:hAnsiTheme="minorHAnsi" w:cstheme="minorHAnsi"/>
                <w:sz w:val="20"/>
                <w:szCs w:val="20"/>
              </w:rPr>
            </w:pPr>
            <w:r w:rsidRPr="00116E55">
              <w:rPr>
                <w:sz w:val="20"/>
                <w:szCs w:val="20"/>
              </w:rPr>
              <w:t>d</w:t>
            </w:r>
            <w:r w:rsidR="00962D40" w:rsidRPr="00116E55">
              <w:rPr>
                <w:sz w:val="20"/>
                <w:szCs w:val="20"/>
              </w:rPr>
              <w:t>irect involvement in the engagement program including collaboration with the community panel</w:t>
            </w:r>
          </w:p>
          <w:p w14:paraId="03F7C8C1" w14:textId="2DCFDE96" w:rsidR="00F1198B" w:rsidRPr="00116E55" w:rsidRDefault="00EE625A">
            <w:pPr>
              <w:pStyle w:val="ListParagraph"/>
              <w:numPr>
                <w:ilvl w:val="0"/>
                <w:numId w:val="24"/>
              </w:numPr>
              <w:ind w:left="329"/>
              <w:rPr>
                <w:rFonts w:asciiTheme="minorHAnsi" w:hAnsiTheme="minorHAnsi" w:cstheme="minorHAnsi"/>
                <w:sz w:val="20"/>
                <w:szCs w:val="20"/>
              </w:rPr>
            </w:pPr>
            <w:r w:rsidRPr="00116E55">
              <w:rPr>
                <w:sz w:val="20"/>
                <w:szCs w:val="20"/>
              </w:rPr>
              <w:t>d</w:t>
            </w:r>
            <w:r w:rsidR="00962D40" w:rsidRPr="00116E55">
              <w:rPr>
                <w:sz w:val="20"/>
                <w:szCs w:val="20"/>
              </w:rPr>
              <w:t>irect involvement in the strategic prioritisation of expenditure programs to support the delivery of agreed customer outcomes</w:t>
            </w:r>
          </w:p>
        </w:tc>
      </w:tr>
      <w:tr w:rsidR="00AF4CBF" w:rsidRPr="00E73784" w14:paraId="60575DB5" w14:textId="77777777" w:rsidTr="00AD4931">
        <w:trPr>
          <w:trHeight w:val="1044"/>
        </w:trPr>
        <w:tc>
          <w:tcPr>
            <w:tcW w:w="0" w:type="dxa"/>
            <w:shd w:val="clear" w:color="auto" w:fill="D4D6DF"/>
            <w:vAlign w:val="top"/>
          </w:tcPr>
          <w:p w14:paraId="593DC806" w14:textId="64376BB4" w:rsidR="00F1198B" w:rsidRPr="00116E55" w:rsidRDefault="00F1198B" w:rsidP="006666D8">
            <w:pPr>
              <w:pStyle w:val="TableText"/>
              <w:rPr>
                <w:i/>
                <w:sz w:val="20"/>
                <w:szCs w:val="20"/>
              </w:rPr>
            </w:pPr>
            <w:r w:rsidRPr="00116E55">
              <w:rPr>
                <w:i/>
                <w:sz w:val="20"/>
                <w:szCs w:val="20"/>
              </w:rPr>
              <w:t xml:space="preserve">To what extent has the </w:t>
            </w:r>
            <w:r w:rsidR="0088688D" w:rsidRPr="00116E55">
              <w:rPr>
                <w:i/>
                <w:sz w:val="20"/>
                <w:szCs w:val="20"/>
              </w:rPr>
              <w:t>organisation</w:t>
            </w:r>
            <w:r w:rsidRPr="00116E55">
              <w:rPr>
                <w:i/>
                <w:sz w:val="20"/>
                <w:szCs w:val="20"/>
              </w:rPr>
              <w:t xml:space="preserve"> demonstrated its price submission is an </w:t>
            </w:r>
            <w:r w:rsidR="00BC2911" w:rsidRPr="00116E55">
              <w:rPr>
                <w:i/>
                <w:sz w:val="20"/>
                <w:szCs w:val="20"/>
              </w:rPr>
              <w:t>‘</w:t>
            </w:r>
            <w:r w:rsidRPr="00116E55">
              <w:rPr>
                <w:i/>
                <w:sz w:val="20"/>
                <w:szCs w:val="20"/>
              </w:rPr>
              <w:t>open book</w:t>
            </w:r>
            <w:r w:rsidR="00BC2911" w:rsidRPr="00116E55">
              <w:rPr>
                <w:i/>
                <w:sz w:val="20"/>
                <w:szCs w:val="20"/>
              </w:rPr>
              <w:t>’</w:t>
            </w:r>
            <w:r w:rsidRPr="00116E55">
              <w:rPr>
                <w:i/>
                <w:sz w:val="20"/>
                <w:szCs w:val="20"/>
              </w:rPr>
              <w:t>?</w:t>
            </w:r>
          </w:p>
        </w:tc>
        <w:tc>
          <w:tcPr>
            <w:tcW w:w="0" w:type="dxa"/>
            <w:shd w:val="clear" w:color="auto" w:fill="D4D6DF"/>
            <w:vAlign w:val="top"/>
          </w:tcPr>
          <w:p w14:paraId="322F6C38" w14:textId="520D9FD6" w:rsidR="00F1198B" w:rsidRPr="00116E55" w:rsidRDefault="009659AF" w:rsidP="006666D8">
            <w:pPr>
              <w:pStyle w:val="TableText"/>
              <w:rPr>
                <w:sz w:val="20"/>
                <w:szCs w:val="20"/>
              </w:rPr>
            </w:pPr>
            <w:r w:rsidRPr="00116E55">
              <w:rPr>
                <w:sz w:val="20"/>
                <w:szCs w:val="20"/>
              </w:rPr>
              <w:t xml:space="preserve">This submission and the comprehensive supporting documents provide an </w:t>
            </w:r>
            <w:r w:rsidR="00BC2911" w:rsidRPr="00116E55">
              <w:rPr>
                <w:sz w:val="20"/>
                <w:szCs w:val="20"/>
              </w:rPr>
              <w:t>‘</w:t>
            </w:r>
            <w:r w:rsidRPr="00116E55">
              <w:rPr>
                <w:sz w:val="20"/>
                <w:szCs w:val="20"/>
              </w:rPr>
              <w:t>open book</w:t>
            </w:r>
            <w:r w:rsidR="00BC2911" w:rsidRPr="00116E55">
              <w:rPr>
                <w:sz w:val="20"/>
                <w:szCs w:val="20"/>
              </w:rPr>
              <w:t>’</w:t>
            </w:r>
            <w:r w:rsidRPr="00116E55">
              <w:rPr>
                <w:sz w:val="20"/>
                <w:szCs w:val="20"/>
              </w:rPr>
              <w:t xml:space="preserve"> for the ESC and their advisors to understand in detail the basis of our expenditure and pricing forecasts.</w:t>
            </w:r>
          </w:p>
        </w:tc>
      </w:tr>
    </w:tbl>
    <w:p w14:paraId="1F03DEF3" w14:textId="1D3C99A1" w:rsidR="00AB244F" w:rsidRDefault="00AB244F" w:rsidP="00CD6E85"/>
    <w:p w14:paraId="2EE290CE" w14:textId="654D2E4E" w:rsidR="00AB244F" w:rsidRDefault="005B63FB" w:rsidP="00CD6E85">
      <w:r>
        <w:rPr>
          <w:noProof/>
        </w:rPr>
        <mc:AlternateContent>
          <mc:Choice Requires="wps">
            <w:drawing>
              <wp:anchor distT="45720" distB="45720" distL="114300" distR="114300" simplePos="0" relativeHeight="251658271" behindDoc="0" locked="0" layoutInCell="1" allowOverlap="1" wp14:anchorId="2DB2AF25" wp14:editId="6BFBC38A">
                <wp:simplePos x="0" y="0"/>
                <wp:positionH relativeFrom="column">
                  <wp:posOffset>1905</wp:posOffset>
                </wp:positionH>
                <wp:positionV relativeFrom="paragraph">
                  <wp:posOffset>643744</wp:posOffset>
                </wp:positionV>
                <wp:extent cx="6059805" cy="1470025"/>
                <wp:effectExtent l="0" t="0" r="0" b="3175"/>
                <wp:wrapSquare wrapText="bothSides"/>
                <wp:docPr id="1003" name="Text Box 1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9805" cy="1470025"/>
                        </a:xfrm>
                        <a:prstGeom prst="rect">
                          <a:avLst/>
                        </a:prstGeom>
                        <a:solidFill>
                          <a:srgbClr val="FF8D00"/>
                        </a:solidFill>
                        <a:ln w="9525">
                          <a:noFill/>
                          <a:miter lim="800000"/>
                          <a:headEnd/>
                          <a:tailEnd/>
                        </a:ln>
                      </wps:spPr>
                      <wps:txbx>
                        <w:txbxContent>
                          <w:p w14:paraId="77263A56" w14:textId="224DFCC9" w:rsidR="005B63FB" w:rsidRPr="00116E55" w:rsidRDefault="005B63FB" w:rsidP="00116E55">
                            <w:pPr>
                              <w:pStyle w:val="Heading3"/>
                              <w:spacing w:before="0" w:after="240"/>
                              <w:rPr>
                                <w:color w:val="FFFFFF" w:themeColor="background1"/>
                                <w:sz w:val="24"/>
                              </w:rPr>
                            </w:pPr>
                            <w:r>
                              <w:rPr>
                                <w:color w:val="FFFFFF" w:themeColor="background1"/>
                                <w:sz w:val="24"/>
                              </w:rPr>
                              <w:t>Supporting documents</w:t>
                            </w:r>
                          </w:p>
                          <w:p w14:paraId="131CCDA4" w14:textId="63CD3082" w:rsidR="005B63FB" w:rsidRPr="00D54179" w:rsidRDefault="005B63FB" w:rsidP="00360131">
                            <w:pPr>
                              <w:pStyle w:val="ListParagraph"/>
                              <w:ind w:left="426"/>
                              <w:rPr>
                                <w:rFonts w:asciiTheme="minorHAnsi" w:hAnsiTheme="minorHAnsi"/>
                                <w:b/>
                                <w:color w:val="FFFFFF" w:themeColor="background1"/>
                                <w:sz w:val="22"/>
                                <w:szCs w:val="22"/>
                              </w:rPr>
                            </w:pPr>
                            <w:r w:rsidRPr="00D54179">
                              <w:rPr>
                                <w:rFonts w:asciiTheme="minorHAnsi" w:hAnsiTheme="minorHAnsi"/>
                                <w:b/>
                                <w:color w:val="FFFFFF" w:themeColor="background1"/>
                                <w:sz w:val="22"/>
                                <w:szCs w:val="22"/>
                              </w:rPr>
                              <w:t>Board assurance and engagement program (Appendix 5)</w:t>
                            </w:r>
                          </w:p>
                          <w:p w14:paraId="5309D52F" w14:textId="0C3E03E7" w:rsidR="005B63FB" w:rsidRPr="00D54179" w:rsidRDefault="005B63FB" w:rsidP="00360131">
                            <w:pPr>
                              <w:pStyle w:val="ListParagraph"/>
                              <w:ind w:left="426"/>
                              <w:rPr>
                                <w:rFonts w:asciiTheme="minorHAnsi" w:hAnsiTheme="minorHAnsi"/>
                                <w:b/>
                                <w:color w:val="FFFFFF" w:themeColor="background1"/>
                                <w:sz w:val="22"/>
                                <w:szCs w:val="22"/>
                              </w:rPr>
                            </w:pPr>
                            <w:r w:rsidRPr="00D54179">
                              <w:rPr>
                                <w:rFonts w:asciiTheme="minorHAnsi" w:hAnsiTheme="minorHAnsi"/>
                                <w:b/>
                                <w:color w:val="FFFFFF" w:themeColor="background1"/>
                                <w:sz w:val="22"/>
                                <w:szCs w:val="22"/>
                              </w:rPr>
                              <w:t>South East Water's strategic prioritisation framework</w:t>
                            </w:r>
                          </w:p>
                          <w:p w14:paraId="3B44464A" w14:textId="77777777" w:rsidR="005B63FB" w:rsidRPr="00D54179" w:rsidRDefault="005B63FB" w:rsidP="00360131">
                            <w:pPr>
                              <w:pStyle w:val="ListParagraph"/>
                              <w:ind w:left="426"/>
                              <w:rPr>
                                <w:rFonts w:asciiTheme="minorHAnsi" w:hAnsiTheme="minorHAnsi"/>
                                <w:b/>
                                <w:color w:val="FFFFFF" w:themeColor="background1"/>
                                <w:sz w:val="22"/>
                                <w:szCs w:val="22"/>
                              </w:rPr>
                            </w:pPr>
                            <w:r w:rsidRPr="00D54179">
                              <w:rPr>
                                <w:rFonts w:asciiTheme="minorHAnsi" w:hAnsiTheme="minorHAnsi"/>
                                <w:b/>
                                <w:color w:val="FFFFFF" w:themeColor="background1"/>
                                <w:sz w:val="22"/>
                                <w:szCs w:val="22"/>
                              </w:rPr>
                              <w:t>Deloitte self-assessment reports</w:t>
                            </w:r>
                          </w:p>
                          <w:p w14:paraId="19CBE772" w14:textId="6951619D" w:rsidR="005B63FB" w:rsidRPr="00116E55" w:rsidRDefault="005B63FB" w:rsidP="00116E55">
                            <w:pPr>
                              <w:pStyle w:val="ListParagraph"/>
                              <w:rPr>
                                <w:color w:val="FFFFFF" w:themeColor="background1"/>
                              </w:rPr>
                            </w:pPr>
                          </w:p>
                        </w:txbxContent>
                      </wps:txbx>
                      <wps:bodyPr rot="0" vert="horz" wrap="square" lIns="180000" tIns="180000" rIns="180000" bIns="180000" anchor="t" anchorCtr="0">
                        <a:noAutofit/>
                      </wps:bodyPr>
                    </wps:wsp>
                  </a:graphicData>
                </a:graphic>
                <wp14:sizeRelH relativeFrom="margin">
                  <wp14:pctWidth>0</wp14:pctWidth>
                </wp14:sizeRelH>
                <wp14:sizeRelV relativeFrom="margin">
                  <wp14:pctHeight>0</wp14:pctHeight>
                </wp14:sizeRelV>
              </wp:anchor>
            </w:drawing>
          </mc:Choice>
          <mc:Fallback>
            <w:pict>
              <v:shape w14:anchorId="2DB2AF25" id="Text Box 1003" o:spid="_x0000_s1048" type="#_x0000_t202" style="position:absolute;margin-left:.15pt;margin-top:50.7pt;width:477.15pt;height:115.75pt;z-index:25165827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" fillcolor="#ff8d00" stroked="f">
                <v:textbox inset="5mm,5mm,5mm,5mm">
                  <w:txbxContent>
                    <w:p w14:paraId="77263A56" w14:textId="224DFCC9" w:rsidR="005B63FB" w:rsidRPr="00116E55" w:rsidRDefault="005B63FB" w:rsidP="00116E55">
                      <w:pPr>
                        <w:pStyle w:val="Heading3"/>
                        <w:spacing w:before="0" w:after="240"/>
                        <w:rPr>
                          <w:color w:val="FFFFFF" w:themeColor="background1"/>
                          <w:sz w:val="24"/>
                        </w:rPr>
                      </w:pPr>
                      <w:r>
                        <w:rPr>
                          <w:color w:val="FFFFFF" w:themeColor="background1"/>
                          <w:sz w:val="24"/>
                        </w:rPr>
                        <w:t>Supporting documents</w:t>
                      </w:r>
                    </w:p>
                    <w:p w14:paraId="131CCDA4" w14:textId="63CD3082" w:rsidR="005B63FB" w:rsidRPr="00D54179" w:rsidRDefault="005B63FB" w:rsidP="00360131">
                      <w:pPr>
                        <w:pStyle w:val="ListParagraph"/>
                        <w:ind w:left="426"/>
                        <w:rPr>
                          <w:rFonts w:asciiTheme="minorHAnsi" w:hAnsiTheme="minorHAnsi"/>
                          <w:b/>
                          <w:color w:val="FFFFFF" w:themeColor="background1"/>
                          <w:sz w:val="22"/>
                          <w:szCs w:val="22"/>
                        </w:rPr>
                      </w:pPr>
                      <w:r w:rsidRPr="00D54179">
                        <w:rPr>
                          <w:rFonts w:asciiTheme="minorHAnsi" w:hAnsiTheme="minorHAnsi"/>
                          <w:b/>
                          <w:color w:val="FFFFFF" w:themeColor="background1"/>
                          <w:sz w:val="22"/>
                          <w:szCs w:val="22"/>
                        </w:rPr>
                        <w:t>Board assurance and engagement program (Appendix 5)</w:t>
                      </w:r>
                    </w:p>
                    <w:p w14:paraId="5309D52F" w14:textId="0C3E03E7" w:rsidR="005B63FB" w:rsidRPr="00D54179" w:rsidRDefault="005B63FB" w:rsidP="00360131">
                      <w:pPr>
                        <w:pStyle w:val="ListParagraph"/>
                        <w:ind w:left="426"/>
                        <w:rPr>
                          <w:rFonts w:asciiTheme="minorHAnsi" w:hAnsiTheme="minorHAnsi"/>
                          <w:b/>
                          <w:color w:val="FFFFFF" w:themeColor="background1"/>
                          <w:sz w:val="22"/>
                          <w:szCs w:val="22"/>
                        </w:rPr>
                      </w:pPr>
                      <w:proofErr w:type="gramStart"/>
                      <w:r w:rsidRPr="00D54179">
                        <w:rPr>
                          <w:rFonts w:asciiTheme="minorHAnsi" w:hAnsiTheme="minorHAnsi"/>
                          <w:b/>
                          <w:color w:val="FFFFFF" w:themeColor="background1"/>
                          <w:sz w:val="22"/>
                          <w:szCs w:val="22"/>
                        </w:rPr>
                        <w:t>South East</w:t>
                      </w:r>
                      <w:proofErr w:type="gramEnd"/>
                      <w:r w:rsidRPr="00D54179">
                        <w:rPr>
                          <w:rFonts w:asciiTheme="minorHAnsi" w:hAnsiTheme="minorHAnsi"/>
                          <w:b/>
                          <w:color w:val="FFFFFF" w:themeColor="background1"/>
                          <w:sz w:val="22"/>
                          <w:szCs w:val="22"/>
                        </w:rPr>
                        <w:t xml:space="preserve"> Water's strategic prioritisation framework</w:t>
                      </w:r>
                    </w:p>
                    <w:p w14:paraId="3B44464A" w14:textId="77777777" w:rsidR="005B63FB" w:rsidRPr="00D54179" w:rsidRDefault="005B63FB" w:rsidP="00360131">
                      <w:pPr>
                        <w:pStyle w:val="ListParagraph"/>
                        <w:ind w:left="426"/>
                        <w:rPr>
                          <w:rFonts w:asciiTheme="minorHAnsi" w:hAnsiTheme="minorHAnsi"/>
                          <w:b/>
                          <w:color w:val="FFFFFF" w:themeColor="background1"/>
                          <w:sz w:val="22"/>
                          <w:szCs w:val="22"/>
                        </w:rPr>
                      </w:pPr>
                      <w:r w:rsidRPr="00D54179">
                        <w:rPr>
                          <w:rFonts w:asciiTheme="minorHAnsi" w:hAnsiTheme="minorHAnsi"/>
                          <w:b/>
                          <w:color w:val="FFFFFF" w:themeColor="background1"/>
                          <w:sz w:val="22"/>
                          <w:szCs w:val="22"/>
                        </w:rPr>
                        <w:t>Deloitte self-assessment reports</w:t>
                      </w:r>
                    </w:p>
                    <w:p w14:paraId="19CBE772" w14:textId="6951619D" w:rsidR="005B63FB" w:rsidRPr="00116E55" w:rsidRDefault="005B63FB" w:rsidP="00116E55">
                      <w:pPr>
                        <w:pStyle w:val="ListParagraph"/>
                        <w:rPr>
                          <w:color w:val="FFFFFF" w:themeColor="background1"/>
                        </w:rPr>
                      </w:pPr>
                    </w:p>
                  </w:txbxContent>
                </v:textbox>
                <w10:wrap type="square"/>
              </v:shape>
            </w:pict>
          </mc:Fallback>
        </mc:AlternateContent>
      </w:r>
      <w:r w:rsidR="00104BBF">
        <w:t xml:space="preserve">Based on this assessment, </w:t>
      </w:r>
      <w:r w:rsidR="00775449">
        <w:t>o</w:t>
      </w:r>
      <w:r w:rsidR="00775449" w:rsidRPr="00775449">
        <w:t xml:space="preserve">ur </w:t>
      </w:r>
      <w:r w:rsidR="00775449" w:rsidRPr="0073240D">
        <w:rPr>
          <w:b/>
          <w:iCs/>
        </w:rPr>
        <w:t xml:space="preserve">PREMO </w:t>
      </w:r>
      <w:r w:rsidR="00A54D7D" w:rsidRPr="00B175DF">
        <w:rPr>
          <w:b/>
          <w:iCs/>
        </w:rPr>
        <w:t xml:space="preserve">self-assessed </w:t>
      </w:r>
      <w:r w:rsidR="00775449" w:rsidRPr="0073240D">
        <w:rPr>
          <w:b/>
          <w:iCs/>
        </w:rPr>
        <w:t xml:space="preserve">rating for Management is </w:t>
      </w:r>
      <w:r w:rsidR="00612583">
        <w:rPr>
          <w:b/>
          <w:i/>
        </w:rPr>
        <w:t>‘</w:t>
      </w:r>
      <w:r w:rsidR="00775449" w:rsidRPr="00EE625A">
        <w:rPr>
          <w:b/>
          <w:i/>
        </w:rPr>
        <w:t>Standard</w:t>
      </w:r>
      <w:r w:rsidR="00612583">
        <w:rPr>
          <w:b/>
          <w:i/>
        </w:rPr>
        <w:t>’</w:t>
      </w:r>
      <w:r w:rsidR="00775449" w:rsidRPr="00EE625A">
        <w:rPr>
          <w:i/>
        </w:rPr>
        <w:t>.</w:t>
      </w:r>
    </w:p>
    <w:p w14:paraId="1E051A42" w14:textId="0CDF159F" w:rsidR="005B63FB" w:rsidRDefault="005B63FB" w:rsidP="00A27898"/>
    <w:p w14:paraId="4299BCC1" w14:textId="6438769C" w:rsidR="005B63FB" w:rsidRDefault="005B63FB" w:rsidP="00A27898"/>
    <w:p w14:paraId="3A56383D" w14:textId="723B3FA5" w:rsidR="005B63FB" w:rsidRDefault="005B63FB" w:rsidP="00A27898"/>
    <w:p w14:paraId="315600FA" w14:textId="6FB9ADE7" w:rsidR="00CD6E85" w:rsidRDefault="00CD6E85" w:rsidP="00A27898"/>
    <w:p w14:paraId="2B07A0C8" w14:textId="41517CF7" w:rsidR="00CD6E85" w:rsidRDefault="00CD6E85" w:rsidP="00A27898"/>
    <w:p w14:paraId="508A5089" w14:textId="1D1389A4" w:rsidR="00D12CC3" w:rsidRDefault="00D12CC3">
      <w:r>
        <w:br w:type="page"/>
      </w:r>
    </w:p>
    <w:bookmarkStart w:id="51" w:name="_5._Risk"/>
    <w:bookmarkStart w:id="52" w:name="_Toc114644617"/>
    <w:bookmarkEnd w:id="51"/>
    <w:p w14:paraId="41D83686" w14:textId="0D10F29E" w:rsidR="00D12CC3" w:rsidRPr="00A9682A" w:rsidRDefault="00B4577B" w:rsidP="00A9682A">
      <w:pPr>
        <w:pStyle w:val="Heading1"/>
      </w:pPr>
      <w:r w:rsidRPr="00A9682A">
        <w:lastRenderedPageBreak/>
        <mc:AlternateContent>
          <mc:Choice Requires="wps">
            <w:drawing>
              <wp:anchor distT="45720" distB="45720" distL="114300" distR="114300" simplePos="0" relativeHeight="251658272" behindDoc="0" locked="0" layoutInCell="1" allowOverlap="1" wp14:anchorId="593D3378" wp14:editId="6359E4EC">
                <wp:simplePos x="0" y="0"/>
                <wp:positionH relativeFrom="column">
                  <wp:posOffset>10160</wp:posOffset>
                </wp:positionH>
                <wp:positionV relativeFrom="paragraph">
                  <wp:posOffset>633095</wp:posOffset>
                </wp:positionV>
                <wp:extent cx="6391275" cy="2232025"/>
                <wp:effectExtent l="0" t="0" r="0" b="3175"/>
                <wp:wrapSquare wrapText="bothSides"/>
                <wp:docPr id="1004" name="Text Box 1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5" cy="2232025"/>
                        </a:xfrm>
                        <a:prstGeom prst="rect">
                          <a:avLst/>
                        </a:prstGeom>
                        <a:solidFill>
                          <a:srgbClr val="00B1F4"/>
                        </a:solidFill>
                        <a:ln w="9525">
                          <a:noFill/>
                          <a:miter lim="800000"/>
                          <a:headEnd/>
                          <a:tailEnd/>
                        </a:ln>
                      </wps:spPr>
                      <wps:txbx>
                        <w:txbxContent>
                          <w:p w14:paraId="7AE80035" w14:textId="77777777" w:rsidR="00B4577B" w:rsidRPr="00116E55" w:rsidRDefault="00B4577B" w:rsidP="00116E55">
                            <w:pPr>
                              <w:pStyle w:val="Heading3"/>
                              <w:spacing w:before="0" w:after="240"/>
                              <w:rPr>
                                <w:color w:val="FFFFFF" w:themeColor="background1"/>
                                <w:sz w:val="24"/>
                              </w:rPr>
                            </w:pPr>
                            <w:r w:rsidRPr="00116E55">
                              <w:rPr>
                                <w:color w:val="FFFFFF" w:themeColor="background1"/>
                                <w:sz w:val="24"/>
                              </w:rPr>
                              <w:t>Key points</w:t>
                            </w:r>
                          </w:p>
                          <w:p w14:paraId="5A434DAE" w14:textId="5CB73BD1" w:rsidR="00B4577B" w:rsidRPr="00D54179" w:rsidRDefault="00B4577B">
                            <w:pPr>
                              <w:pStyle w:val="Heading3"/>
                              <w:numPr>
                                <w:ilvl w:val="0"/>
                                <w:numId w:val="33"/>
                              </w:numPr>
                              <w:spacing w:before="0" w:after="120"/>
                              <w:ind w:left="425" w:hanging="357"/>
                              <w:rPr>
                                <w:rFonts w:eastAsiaTheme="minorHAnsi" w:cstheme="minorBidi"/>
                                <w:color w:val="FFFFFF" w:themeColor="background1"/>
                                <w:sz w:val="22"/>
                                <w:szCs w:val="22"/>
                              </w:rPr>
                            </w:pPr>
                            <w:r w:rsidRPr="00D54179">
                              <w:rPr>
                                <w:rFonts w:eastAsiaTheme="minorHAnsi" w:cstheme="minorBidi"/>
                                <w:color w:val="FFFFFF" w:themeColor="background1"/>
                                <w:sz w:val="22"/>
                                <w:szCs w:val="22"/>
                              </w:rPr>
                              <w:t>South East Water implements a robust risk management framework aligned to AS/NZS IS</w:t>
                            </w:r>
                            <w:r w:rsidR="00C83C2B" w:rsidRPr="00D54179">
                              <w:rPr>
                                <w:rFonts w:eastAsiaTheme="minorHAnsi" w:cstheme="minorBidi"/>
                                <w:color w:val="FFFFFF" w:themeColor="background1"/>
                                <w:sz w:val="22"/>
                                <w:szCs w:val="22"/>
                              </w:rPr>
                              <w:t>O</w:t>
                            </w:r>
                            <w:r w:rsidRPr="00D54179">
                              <w:rPr>
                                <w:rFonts w:eastAsiaTheme="minorHAnsi" w:cstheme="minorBidi"/>
                                <w:color w:val="FFFFFF" w:themeColor="background1"/>
                                <w:sz w:val="22"/>
                                <w:szCs w:val="22"/>
                              </w:rPr>
                              <w:t>31000: 2018 and the Victorian Government Risk Management Framework (VGRMF).</w:t>
                            </w:r>
                          </w:p>
                          <w:p w14:paraId="6307E85F" w14:textId="025CEF8A" w:rsidR="00B4577B" w:rsidRPr="00D54179" w:rsidRDefault="00B4577B">
                            <w:pPr>
                              <w:pStyle w:val="Heading3"/>
                              <w:numPr>
                                <w:ilvl w:val="0"/>
                                <w:numId w:val="33"/>
                              </w:numPr>
                              <w:spacing w:before="0" w:after="120"/>
                              <w:ind w:left="425" w:hanging="357"/>
                              <w:rPr>
                                <w:rFonts w:eastAsiaTheme="minorHAnsi" w:cstheme="minorBidi"/>
                                <w:color w:val="FFFFFF" w:themeColor="background1"/>
                                <w:sz w:val="22"/>
                                <w:szCs w:val="22"/>
                              </w:rPr>
                            </w:pPr>
                            <w:r w:rsidRPr="00D54179">
                              <w:rPr>
                                <w:rFonts w:eastAsiaTheme="minorHAnsi" w:cstheme="minorBidi"/>
                                <w:color w:val="FFFFFF" w:themeColor="background1"/>
                                <w:sz w:val="22"/>
                                <w:szCs w:val="22"/>
                              </w:rPr>
                              <w:t>South East Water will manage operational, cost and business risks to protect customers from potential bill increases. This will be achieved by absorbing potential cost overruns on key projects (which is significant at a time of inflation and construction cost pressure and uncertainty), by absorbing GSL costs and by basing our expenditure proposal on conservative demand forecasts.</w:t>
                            </w:r>
                          </w:p>
                          <w:p w14:paraId="16B407A7" w14:textId="01BA5975" w:rsidR="00B4577B" w:rsidRPr="00D54179" w:rsidRDefault="00B4577B">
                            <w:pPr>
                              <w:pStyle w:val="Heading3"/>
                              <w:numPr>
                                <w:ilvl w:val="0"/>
                                <w:numId w:val="33"/>
                              </w:numPr>
                              <w:spacing w:before="0" w:after="120"/>
                              <w:ind w:left="425" w:hanging="357"/>
                              <w:rPr>
                                <w:color w:val="FFFFFF" w:themeColor="background1"/>
                              </w:rPr>
                            </w:pPr>
                            <w:r w:rsidRPr="00D54179">
                              <w:rPr>
                                <w:color w:val="FFFFFF" w:themeColor="background1"/>
                                <w:sz w:val="22"/>
                                <w:szCs w:val="22"/>
                              </w:rPr>
                              <w:t xml:space="preserve">South East Water's PREMO self-assessed rating for Risk is </w:t>
                            </w:r>
                            <w:r w:rsidR="00A8592B" w:rsidRPr="00A8592B">
                              <w:rPr>
                                <w:i/>
                                <w:color w:val="FFFFFF" w:themeColor="background1"/>
                                <w:sz w:val="22"/>
                                <w:szCs w:val="22"/>
                              </w:rPr>
                              <w:t>‘Advanced’</w:t>
                            </w:r>
                            <w:r w:rsidRPr="00D54179">
                              <w:rPr>
                                <w:color w:val="FFFFFF" w:themeColor="background1"/>
                                <w:sz w:val="22"/>
                                <w:szCs w:val="22"/>
                              </w:rPr>
                              <w:t>.</w:t>
                            </w:r>
                          </w:p>
                        </w:txbxContent>
                      </wps:txbx>
                      <wps:bodyPr rot="0" vert="horz" wrap="square" lIns="180000" tIns="180000" rIns="180000" bIns="180000" anchor="t" anchorCtr="0">
                        <a:noAutofit/>
                      </wps:bodyPr>
                    </wps:wsp>
                  </a:graphicData>
                </a:graphic>
                <wp14:sizeRelH relativeFrom="margin">
                  <wp14:pctWidth>0</wp14:pctWidth>
                </wp14:sizeRelH>
                <wp14:sizeRelV relativeFrom="margin">
                  <wp14:pctHeight>0</wp14:pctHeight>
                </wp14:sizeRelV>
              </wp:anchor>
            </w:drawing>
          </mc:Choice>
          <mc:Fallback>
            <w:pict>
              <v:shape w14:anchorId="593D3378" id="Text Box 1004" o:spid="_x0000_s1049" type="#_x0000_t202" style="position:absolute;margin-left:.8pt;margin-top:49.85pt;width:503.25pt;height:175.75pt;z-index:25165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" fillcolor="#00b1f4" stroked="f">
                <v:textbox inset="5mm,5mm,5mm,5mm">
                  <w:txbxContent>
                    <w:p w14:paraId="7AE80035" w14:textId="77777777" w:rsidR="00B4577B" w:rsidRPr="00116E55" w:rsidRDefault="00B4577B" w:rsidP="00116E55">
                      <w:pPr>
                        <w:pStyle w:val="Heading3"/>
                        <w:spacing w:before="0" w:after="240"/>
                        <w:rPr>
                          <w:color w:val="FFFFFF" w:themeColor="background1"/>
                          <w:sz w:val="24"/>
                        </w:rPr>
                      </w:pPr>
                      <w:r w:rsidRPr="00116E55">
                        <w:rPr>
                          <w:color w:val="FFFFFF" w:themeColor="background1"/>
                          <w:sz w:val="24"/>
                        </w:rPr>
                        <w:t>Key points</w:t>
                      </w:r>
                    </w:p>
                    <w:p w14:paraId="5A434DAE" w14:textId="5CB73BD1" w:rsidR="00B4577B" w:rsidRPr="00D54179" w:rsidRDefault="00B4577B">
                      <w:pPr>
                        <w:pStyle w:val="Heading3"/>
                        <w:numPr>
                          <w:ilvl w:val="0"/>
                          <w:numId w:val="33"/>
                        </w:numPr>
                        <w:spacing w:before="0" w:after="120"/>
                        <w:ind w:left="425" w:hanging="357"/>
                        <w:rPr>
                          <w:rFonts w:eastAsiaTheme="minorHAnsi" w:cstheme="minorBidi"/>
                          <w:color w:val="FFFFFF" w:themeColor="background1"/>
                          <w:sz w:val="22"/>
                          <w:szCs w:val="22"/>
                        </w:rPr>
                      </w:pPr>
                      <w:proofErr w:type="gramStart"/>
                      <w:r w:rsidRPr="00D54179">
                        <w:rPr>
                          <w:rFonts w:eastAsiaTheme="minorHAnsi" w:cstheme="minorBidi"/>
                          <w:color w:val="FFFFFF" w:themeColor="background1"/>
                          <w:sz w:val="22"/>
                          <w:szCs w:val="22"/>
                        </w:rPr>
                        <w:t>South East</w:t>
                      </w:r>
                      <w:proofErr w:type="gramEnd"/>
                      <w:r w:rsidRPr="00D54179">
                        <w:rPr>
                          <w:rFonts w:eastAsiaTheme="minorHAnsi" w:cstheme="minorBidi"/>
                          <w:color w:val="FFFFFF" w:themeColor="background1"/>
                          <w:sz w:val="22"/>
                          <w:szCs w:val="22"/>
                        </w:rPr>
                        <w:t xml:space="preserve"> Water implements a robust risk management framework aligned to AS/NZS IS</w:t>
                      </w:r>
                      <w:r w:rsidR="00C83C2B" w:rsidRPr="00D54179">
                        <w:rPr>
                          <w:rFonts w:eastAsiaTheme="minorHAnsi" w:cstheme="minorBidi"/>
                          <w:color w:val="FFFFFF" w:themeColor="background1"/>
                          <w:sz w:val="22"/>
                          <w:szCs w:val="22"/>
                        </w:rPr>
                        <w:t>O</w:t>
                      </w:r>
                      <w:r w:rsidRPr="00D54179">
                        <w:rPr>
                          <w:rFonts w:eastAsiaTheme="minorHAnsi" w:cstheme="minorBidi"/>
                          <w:color w:val="FFFFFF" w:themeColor="background1"/>
                          <w:sz w:val="22"/>
                          <w:szCs w:val="22"/>
                        </w:rPr>
                        <w:t>31000: 2018 and the Victorian Government Risk Management Framework (VGRMF).</w:t>
                      </w:r>
                    </w:p>
                    <w:p w14:paraId="6307E85F" w14:textId="025CEF8A" w:rsidR="00B4577B" w:rsidRPr="00D54179" w:rsidRDefault="00B4577B">
                      <w:pPr>
                        <w:pStyle w:val="Heading3"/>
                        <w:numPr>
                          <w:ilvl w:val="0"/>
                          <w:numId w:val="33"/>
                        </w:numPr>
                        <w:spacing w:before="0" w:after="120"/>
                        <w:ind w:left="425" w:hanging="357"/>
                        <w:rPr>
                          <w:rFonts w:eastAsiaTheme="minorHAnsi" w:cstheme="minorBidi"/>
                          <w:color w:val="FFFFFF" w:themeColor="background1"/>
                          <w:sz w:val="22"/>
                          <w:szCs w:val="22"/>
                        </w:rPr>
                      </w:pPr>
                      <w:proofErr w:type="gramStart"/>
                      <w:r w:rsidRPr="00D54179">
                        <w:rPr>
                          <w:rFonts w:eastAsiaTheme="minorHAnsi" w:cstheme="minorBidi"/>
                          <w:color w:val="FFFFFF" w:themeColor="background1"/>
                          <w:sz w:val="22"/>
                          <w:szCs w:val="22"/>
                        </w:rPr>
                        <w:t>South East</w:t>
                      </w:r>
                      <w:proofErr w:type="gramEnd"/>
                      <w:r w:rsidRPr="00D54179">
                        <w:rPr>
                          <w:rFonts w:eastAsiaTheme="minorHAnsi" w:cstheme="minorBidi"/>
                          <w:color w:val="FFFFFF" w:themeColor="background1"/>
                          <w:sz w:val="22"/>
                          <w:szCs w:val="22"/>
                        </w:rPr>
                        <w:t xml:space="preserve"> Water will manage operational, cost and business risks to protect customers from potential bill increases. This will be achieved by absorbing potential cost overruns on key projects (which is significant at a time of inflation and construction cost pressure and uncertainty), by absorbing GSL costs and by basing our expenditure proposal on conservative demand forecasts.</w:t>
                      </w:r>
                    </w:p>
                    <w:p w14:paraId="16B407A7" w14:textId="01BA5975" w:rsidR="00B4577B" w:rsidRPr="00D54179" w:rsidRDefault="00B4577B">
                      <w:pPr>
                        <w:pStyle w:val="Heading3"/>
                        <w:numPr>
                          <w:ilvl w:val="0"/>
                          <w:numId w:val="33"/>
                        </w:numPr>
                        <w:spacing w:before="0" w:after="120"/>
                        <w:ind w:left="425" w:hanging="357"/>
                        <w:rPr>
                          <w:color w:val="FFFFFF" w:themeColor="background1"/>
                        </w:rPr>
                      </w:pPr>
                      <w:proofErr w:type="gramStart"/>
                      <w:r w:rsidRPr="00D54179">
                        <w:rPr>
                          <w:color w:val="FFFFFF" w:themeColor="background1"/>
                          <w:sz w:val="22"/>
                          <w:szCs w:val="22"/>
                        </w:rPr>
                        <w:t>South East</w:t>
                      </w:r>
                      <w:proofErr w:type="gramEnd"/>
                      <w:r w:rsidRPr="00D54179">
                        <w:rPr>
                          <w:color w:val="FFFFFF" w:themeColor="background1"/>
                          <w:sz w:val="22"/>
                          <w:szCs w:val="22"/>
                        </w:rPr>
                        <w:t xml:space="preserve"> Water's PREMO self-assessed rating for Risk is </w:t>
                      </w:r>
                      <w:r w:rsidR="00A8592B" w:rsidRPr="00A8592B">
                        <w:rPr>
                          <w:i/>
                          <w:color w:val="FFFFFF" w:themeColor="background1"/>
                          <w:sz w:val="22"/>
                          <w:szCs w:val="22"/>
                        </w:rPr>
                        <w:t>‘Advanced’</w:t>
                      </w:r>
                      <w:r w:rsidRPr="00D54179">
                        <w:rPr>
                          <w:color w:val="FFFFFF" w:themeColor="background1"/>
                          <w:sz w:val="22"/>
                          <w:szCs w:val="22"/>
                        </w:rPr>
                        <w:t>.</w:t>
                      </w:r>
                    </w:p>
                  </w:txbxContent>
                </v:textbox>
                <w10:wrap type="square"/>
              </v:shape>
            </w:pict>
          </mc:Fallback>
        </mc:AlternateContent>
      </w:r>
      <w:r w:rsidR="005668E9" w:rsidRPr="00A9682A">
        <w:t xml:space="preserve">5. </w:t>
      </w:r>
      <w:r w:rsidR="00841FDF" w:rsidRPr="00A9682A">
        <w:t>Risk</w:t>
      </w:r>
      <w:bookmarkEnd w:id="52"/>
      <w:r w:rsidR="002E76C1">
        <w:t xml:space="preserve"> </w:t>
      </w:r>
    </w:p>
    <w:p w14:paraId="6551D954" w14:textId="36F67313" w:rsidR="00841FDF" w:rsidRDefault="00841FDF" w:rsidP="002E76C1">
      <w:pPr>
        <w:pStyle w:val="Heading2"/>
      </w:pPr>
    </w:p>
    <w:p w14:paraId="08219FFF" w14:textId="77777777" w:rsidR="009B557B" w:rsidRDefault="00E209FF" w:rsidP="00841FDF">
      <w:r>
        <w:t xml:space="preserve">This </w:t>
      </w:r>
      <w:r>
        <w:rPr>
          <w:b/>
          <w:bCs/>
        </w:rPr>
        <w:t>Risk</w:t>
      </w:r>
      <w:r w:rsidRPr="00CD3887">
        <w:rPr>
          <w:b/>
          <w:bCs/>
        </w:rPr>
        <w:t xml:space="preserve"> </w:t>
      </w:r>
      <w:r>
        <w:t xml:space="preserve">element of the price submission </w:t>
      </w:r>
      <w:r w:rsidR="00011AA4">
        <w:t>identifies key risks</w:t>
      </w:r>
      <w:r w:rsidR="000C2E97">
        <w:t>,</w:t>
      </w:r>
      <w:r w:rsidR="00011AA4">
        <w:t xml:space="preserve"> how</w:t>
      </w:r>
      <w:r>
        <w:t xml:space="preserve"> </w:t>
      </w:r>
      <w:r w:rsidR="00AA1EAB">
        <w:t>we</w:t>
      </w:r>
      <w:r w:rsidR="00AA1EAB" w:rsidRPr="000B4027">
        <w:t xml:space="preserve"> propose to manage and allocate risks, </w:t>
      </w:r>
      <w:r w:rsidR="000C2E97">
        <w:t>and</w:t>
      </w:r>
      <w:r w:rsidR="00AA1EAB" w:rsidRPr="000B4027">
        <w:t xml:space="preserve"> how we have accepted risks on behalf of custom</w:t>
      </w:r>
      <w:r w:rsidR="00AA1EAB" w:rsidRPr="001A3DB9">
        <w:t>ers</w:t>
      </w:r>
      <w:r w:rsidR="000034C2">
        <w:t xml:space="preserve">. </w:t>
      </w:r>
    </w:p>
    <w:p w14:paraId="25BE6E22" w14:textId="2BC8B5F4" w:rsidR="005B2C2F" w:rsidRDefault="007F3E6A" w:rsidP="00841FDF">
      <w:r>
        <w:t>The submission</w:t>
      </w:r>
      <w:r w:rsidR="000034C2">
        <w:t xml:space="preserve"> has </w:t>
      </w:r>
      <w:r w:rsidR="00EC2850">
        <w:t>a number of features that will</w:t>
      </w:r>
      <w:r w:rsidR="0041191B">
        <w:t xml:space="preserve"> protect customers from </w:t>
      </w:r>
      <w:r w:rsidR="00731668">
        <w:t xml:space="preserve">the risk of rising </w:t>
      </w:r>
      <w:r w:rsidR="00205AD8">
        <w:t>cost</w:t>
      </w:r>
      <w:r w:rsidR="00731668">
        <w:t>s</w:t>
      </w:r>
      <w:r w:rsidR="00205AD8">
        <w:t xml:space="preserve"> in the 2023</w:t>
      </w:r>
      <w:r w:rsidR="007D4EB3">
        <w:t>–</w:t>
      </w:r>
      <w:r w:rsidR="00205AD8">
        <w:t>28 period</w:t>
      </w:r>
      <w:r w:rsidR="00731668">
        <w:t>. This inc</w:t>
      </w:r>
      <w:r w:rsidR="009E2832">
        <w:t xml:space="preserve">ludes a commitment to continuing efficiency improvements, </w:t>
      </w:r>
      <w:r w:rsidR="002D6E74">
        <w:t xml:space="preserve">a commitment </w:t>
      </w:r>
      <w:r w:rsidR="00DE448E">
        <w:t>to pro</w:t>
      </w:r>
      <w:r w:rsidR="004C41EB">
        <w:t>t</w:t>
      </w:r>
      <w:r w:rsidR="00DE448E">
        <w:t>ect customers from</w:t>
      </w:r>
      <w:r w:rsidR="002D6E74">
        <w:t xml:space="preserve"> potential cost </w:t>
      </w:r>
      <w:r w:rsidR="00FE6399">
        <w:t>overruns</w:t>
      </w:r>
      <w:r w:rsidR="002D6E74">
        <w:t xml:space="preserve"> on key projects (which is significant at </w:t>
      </w:r>
      <w:r w:rsidR="00263A56">
        <w:t xml:space="preserve">a </w:t>
      </w:r>
      <w:r w:rsidR="002D6E74">
        <w:t xml:space="preserve">time of </w:t>
      </w:r>
      <w:r w:rsidR="009B557B">
        <w:t>inflation and construction cost pressure and uncertainty)</w:t>
      </w:r>
      <w:r w:rsidR="005B2C2F">
        <w:t xml:space="preserve">, </w:t>
      </w:r>
      <w:r w:rsidR="009B557B">
        <w:t xml:space="preserve">a commitment to absorb </w:t>
      </w:r>
      <w:r w:rsidR="006B7336">
        <w:t xml:space="preserve">any </w:t>
      </w:r>
      <w:r w:rsidR="009B557B">
        <w:t>GSL costs</w:t>
      </w:r>
      <w:r w:rsidR="005B2C2F">
        <w:t xml:space="preserve"> </w:t>
      </w:r>
      <w:r w:rsidR="00107085">
        <w:t xml:space="preserve">and a </w:t>
      </w:r>
      <w:r w:rsidR="004C41EB">
        <w:t xml:space="preserve">proposal </w:t>
      </w:r>
      <w:r w:rsidR="00376D31">
        <w:t>based</w:t>
      </w:r>
      <w:r w:rsidR="004C41EB">
        <w:t xml:space="preserve"> on conservative</w:t>
      </w:r>
      <w:r w:rsidR="005B2C2F">
        <w:t xml:space="preserve"> </w:t>
      </w:r>
      <w:r w:rsidR="00AE77FB">
        <w:t>growth</w:t>
      </w:r>
      <w:r w:rsidR="005B2C2F">
        <w:t xml:space="preserve"> forecasts. </w:t>
      </w:r>
      <w:r w:rsidR="00D26BFD">
        <w:t>Our proposed tariff and digital metering investment will also support customers to have more control over their bills.</w:t>
      </w:r>
      <w:r w:rsidR="007A6ECC">
        <w:br/>
      </w:r>
    </w:p>
    <w:p w14:paraId="3FF5A99F" w14:textId="60AF0CE6" w:rsidR="00023FD5" w:rsidRDefault="00023FD5" w:rsidP="00DE393A">
      <w:pPr>
        <w:pStyle w:val="Heading2"/>
      </w:pPr>
      <w:bookmarkStart w:id="53" w:name="_5.1_Approach_to"/>
      <w:bookmarkEnd w:id="53"/>
      <w:r>
        <w:t xml:space="preserve">5.1 </w:t>
      </w:r>
      <w:r w:rsidRPr="007B2F98">
        <w:t>Approach</w:t>
      </w:r>
      <w:r>
        <w:t xml:space="preserve"> to risk management</w:t>
      </w:r>
    </w:p>
    <w:p w14:paraId="7CD64EAD" w14:textId="1D238CED" w:rsidR="0062100B" w:rsidRDefault="00023FD5" w:rsidP="00023FD5">
      <w:r>
        <w:t>Our enterprise risk management framework</w:t>
      </w:r>
      <w:r w:rsidR="0090490D">
        <w:t xml:space="preserve"> is </w:t>
      </w:r>
      <w:r>
        <w:t>consistent with the Australian/New Zealand Risk Management Standard (AS/NZS 31000) and the requirements of the Victorian Government Risk Management Framework</w:t>
      </w:r>
      <w:r w:rsidR="000D3A42">
        <w:t xml:space="preserve"> (</w:t>
      </w:r>
      <w:r w:rsidR="000D3A42" w:rsidRPr="00DE75A2">
        <w:rPr>
          <w:rFonts w:eastAsia="Times New Roman" w:cs="Arial"/>
          <w:sz w:val="22"/>
          <w:szCs w:val="22"/>
          <w:lang w:eastAsia="en-AU"/>
        </w:rPr>
        <w:t>VGRMF</w:t>
      </w:r>
      <w:r w:rsidR="000D3A42">
        <w:rPr>
          <w:rFonts w:eastAsia="Times New Roman" w:cs="Arial"/>
          <w:sz w:val="22"/>
          <w:szCs w:val="22"/>
          <w:lang w:eastAsia="en-AU"/>
        </w:rPr>
        <w:t>)</w:t>
      </w:r>
      <w:r w:rsidR="008421B8">
        <w:t>.</w:t>
      </w:r>
      <w:r w:rsidR="0090490D">
        <w:t xml:space="preserve"> It</w:t>
      </w:r>
      <w:r>
        <w:t xml:space="preserve"> provides a consistent, forward-looking approach to identify and assess</w:t>
      </w:r>
      <w:r w:rsidR="006238D3">
        <w:t xml:space="preserve"> risks </w:t>
      </w:r>
      <w:r>
        <w:t xml:space="preserve">that </w:t>
      </w:r>
      <w:r w:rsidR="00BF2A88">
        <w:t>could</w:t>
      </w:r>
      <w:r>
        <w:t xml:space="preserve"> impact </w:t>
      </w:r>
      <w:r w:rsidR="00BF2A88">
        <w:t xml:space="preserve">on </w:t>
      </w:r>
      <w:r>
        <w:t xml:space="preserve">our ability </w:t>
      </w:r>
      <w:r w:rsidR="00BF2A88">
        <w:t>to</w:t>
      </w:r>
      <w:r w:rsidR="00C2283F">
        <w:t xml:space="preserve"> provid</w:t>
      </w:r>
      <w:r w:rsidR="00BF2A88">
        <w:t>e</w:t>
      </w:r>
      <w:r w:rsidR="00FE4094">
        <w:t xml:space="preserve"> </w:t>
      </w:r>
      <w:r w:rsidR="00FA65AA">
        <w:t xml:space="preserve">core </w:t>
      </w:r>
      <w:r w:rsidR="00C2283F">
        <w:t>water</w:t>
      </w:r>
      <w:r>
        <w:t xml:space="preserve"> and </w:t>
      </w:r>
      <w:r w:rsidR="00C2283F">
        <w:t>sewerage services</w:t>
      </w:r>
      <w:r w:rsidR="00964E91">
        <w:t xml:space="preserve"> and </w:t>
      </w:r>
      <w:r w:rsidR="00FA65AA">
        <w:t>the</w:t>
      </w:r>
      <w:r w:rsidR="00964E91">
        <w:t xml:space="preserve"> outcomes agreed with customers</w:t>
      </w:r>
      <w:r>
        <w:t>.</w:t>
      </w:r>
      <w:r w:rsidR="0062100B">
        <w:t xml:space="preserve"> </w:t>
      </w:r>
      <w:r w:rsidR="00063CB8">
        <w:t>R</w:t>
      </w:r>
      <w:r>
        <w:t>isk management</w:t>
      </w:r>
      <w:r w:rsidR="00BA7F8A">
        <w:t xml:space="preserve"> </w:t>
      </w:r>
      <w:r>
        <w:t xml:space="preserve">is embedded across all </w:t>
      </w:r>
      <w:r w:rsidR="00B4061E">
        <w:t>of South</w:t>
      </w:r>
      <w:r w:rsidR="00B16E3F">
        <w:t> </w:t>
      </w:r>
      <w:r w:rsidR="00B4061E">
        <w:t>East Water</w:t>
      </w:r>
      <w:r w:rsidR="00612583">
        <w:t>’</w:t>
      </w:r>
      <w:r w:rsidR="00FA47CE">
        <w:t>s</w:t>
      </w:r>
      <w:r>
        <w:t xml:space="preserve"> management systems and processes</w:t>
      </w:r>
      <w:r w:rsidR="0048737E">
        <w:t>.</w:t>
      </w:r>
      <w:r w:rsidR="00847305">
        <w:t xml:space="preserve"> </w:t>
      </w:r>
    </w:p>
    <w:p w14:paraId="6CF69793" w14:textId="7ED46D35" w:rsidR="00023FD5" w:rsidRDefault="001A67CC" w:rsidP="00023FD5">
      <w:r>
        <w:t>A</w:t>
      </w:r>
      <w:r w:rsidR="00023FD5" w:rsidRPr="17BCD636">
        <w:rPr>
          <w:rFonts w:eastAsia="Arial"/>
        </w:rPr>
        <w:t xml:space="preserve"> </w:t>
      </w:r>
      <w:r w:rsidR="00521884">
        <w:rPr>
          <w:rFonts w:eastAsia="Arial"/>
        </w:rPr>
        <w:t>r</w:t>
      </w:r>
      <w:r w:rsidR="00023FD5" w:rsidRPr="17BCD636">
        <w:rPr>
          <w:rFonts w:eastAsia="Arial"/>
        </w:rPr>
        <w:t xml:space="preserve">isk </w:t>
      </w:r>
      <w:r>
        <w:rPr>
          <w:rFonts w:eastAsia="Arial"/>
        </w:rPr>
        <w:t xml:space="preserve">identification and allocation </w:t>
      </w:r>
      <w:r w:rsidR="00521884">
        <w:rPr>
          <w:rFonts w:eastAsia="Arial"/>
        </w:rPr>
        <w:t>f</w:t>
      </w:r>
      <w:r w:rsidR="00023FD5" w:rsidRPr="17BCD636">
        <w:rPr>
          <w:rFonts w:eastAsia="Arial"/>
        </w:rPr>
        <w:t xml:space="preserve">ramework </w:t>
      </w:r>
      <w:r>
        <w:rPr>
          <w:rFonts w:eastAsia="Arial"/>
        </w:rPr>
        <w:t xml:space="preserve">for the </w:t>
      </w:r>
      <w:r w:rsidR="00521884">
        <w:rPr>
          <w:rFonts w:eastAsia="Arial"/>
        </w:rPr>
        <w:t>p</w:t>
      </w:r>
      <w:r w:rsidR="00023FD5" w:rsidRPr="17BCD636">
        <w:rPr>
          <w:rFonts w:eastAsia="Arial"/>
        </w:rPr>
        <w:t xml:space="preserve">rice </w:t>
      </w:r>
      <w:r w:rsidR="00521884">
        <w:rPr>
          <w:rFonts w:eastAsia="Arial"/>
        </w:rPr>
        <w:t>s</w:t>
      </w:r>
      <w:r w:rsidR="00023FD5" w:rsidRPr="17BCD636">
        <w:rPr>
          <w:rFonts w:eastAsia="Arial"/>
        </w:rPr>
        <w:t xml:space="preserve">ubmission </w:t>
      </w:r>
      <w:r>
        <w:rPr>
          <w:rFonts w:eastAsia="Arial"/>
        </w:rPr>
        <w:t>was also</w:t>
      </w:r>
      <w:r w:rsidR="00847305">
        <w:rPr>
          <w:rFonts w:eastAsia="Arial"/>
        </w:rPr>
        <w:t xml:space="preserve"> developed </w:t>
      </w:r>
      <w:r w:rsidR="00023FD5" w:rsidRPr="17BCD636">
        <w:rPr>
          <w:rFonts w:eastAsia="Arial"/>
        </w:rPr>
        <w:t xml:space="preserve">that </w:t>
      </w:r>
      <w:r w:rsidR="00D8682A">
        <w:rPr>
          <w:rFonts w:eastAsia="Arial"/>
        </w:rPr>
        <w:t>builds on the</w:t>
      </w:r>
      <w:r w:rsidR="00BA7F8A">
        <w:rPr>
          <w:rFonts w:eastAsia="Arial"/>
        </w:rPr>
        <w:t xml:space="preserve"> enterprise</w:t>
      </w:r>
      <w:r w:rsidR="00023FD5" w:rsidRPr="17BCD636">
        <w:rPr>
          <w:rFonts w:eastAsia="Arial"/>
        </w:rPr>
        <w:t xml:space="preserve"> </w:t>
      </w:r>
      <w:r w:rsidR="00C3713C">
        <w:rPr>
          <w:rFonts w:eastAsia="Arial"/>
        </w:rPr>
        <w:t>r</w:t>
      </w:r>
      <w:r w:rsidR="00C3713C" w:rsidRPr="17BCD636">
        <w:rPr>
          <w:rFonts w:eastAsia="Arial"/>
        </w:rPr>
        <w:t>isk</w:t>
      </w:r>
      <w:r w:rsidR="00C3713C">
        <w:rPr>
          <w:rFonts w:eastAsia="Arial"/>
        </w:rPr>
        <w:t xml:space="preserve"> </w:t>
      </w:r>
      <w:r w:rsidR="003C1800">
        <w:rPr>
          <w:rFonts w:eastAsia="Arial"/>
        </w:rPr>
        <w:t>m</w:t>
      </w:r>
      <w:r w:rsidR="00023FD5" w:rsidRPr="17BCD636">
        <w:rPr>
          <w:rFonts w:eastAsia="Arial"/>
        </w:rPr>
        <w:t xml:space="preserve">anagement </w:t>
      </w:r>
      <w:r w:rsidR="003C1800">
        <w:rPr>
          <w:rFonts w:eastAsia="Arial"/>
        </w:rPr>
        <w:t>f</w:t>
      </w:r>
      <w:r w:rsidR="00023FD5" w:rsidRPr="17BCD636">
        <w:rPr>
          <w:rFonts w:eastAsia="Arial"/>
        </w:rPr>
        <w:t>ramework</w:t>
      </w:r>
      <w:r w:rsidR="00D8682A">
        <w:rPr>
          <w:rFonts w:eastAsia="Arial"/>
        </w:rPr>
        <w:t>. This</w:t>
      </w:r>
      <w:r w:rsidR="00023FD5" w:rsidRPr="17BCD636">
        <w:rPr>
          <w:rFonts w:eastAsia="Arial"/>
        </w:rPr>
        <w:t xml:space="preserve"> provides the principles </w:t>
      </w:r>
      <w:r w:rsidR="007B26ED">
        <w:rPr>
          <w:rFonts w:eastAsia="Arial"/>
        </w:rPr>
        <w:br/>
      </w:r>
      <w:r w:rsidR="00023FD5" w:rsidRPr="17BCD636">
        <w:rPr>
          <w:rFonts w:eastAsia="Arial"/>
        </w:rPr>
        <w:t xml:space="preserve">and approach to: </w:t>
      </w:r>
    </w:p>
    <w:p w14:paraId="7FD4CA05" w14:textId="5909EDD9" w:rsidR="00023FD5" w:rsidRDefault="00023FD5">
      <w:pPr>
        <w:pStyle w:val="ListNumber"/>
        <w:numPr>
          <w:ilvl w:val="0"/>
          <w:numId w:val="69"/>
        </w:numPr>
        <w:tabs>
          <w:tab w:val="clear" w:pos="1134"/>
          <w:tab w:val="clear" w:pos="1920"/>
        </w:tabs>
      </w:pPr>
      <w:r w:rsidRPr="17BCD636">
        <w:rPr>
          <w:rFonts w:eastAsia="Arial"/>
        </w:rPr>
        <w:t xml:space="preserve">ensure risks associated with the </w:t>
      </w:r>
      <w:r w:rsidR="003C1800">
        <w:rPr>
          <w:rFonts w:eastAsia="Arial"/>
        </w:rPr>
        <w:t>p</w:t>
      </w:r>
      <w:r w:rsidRPr="17BCD636">
        <w:rPr>
          <w:rFonts w:eastAsia="Arial"/>
        </w:rPr>
        <w:t>ric</w:t>
      </w:r>
      <w:r w:rsidR="003C1800">
        <w:rPr>
          <w:rFonts w:eastAsia="Arial"/>
        </w:rPr>
        <w:t>e s</w:t>
      </w:r>
      <w:r w:rsidRPr="17BCD636">
        <w:rPr>
          <w:rFonts w:eastAsia="Arial"/>
        </w:rPr>
        <w:t>ubmission are identified and quantified</w:t>
      </w:r>
    </w:p>
    <w:p w14:paraId="6AB6E8EC" w14:textId="39BCF41B" w:rsidR="00023FD5" w:rsidRDefault="00023FD5">
      <w:pPr>
        <w:pStyle w:val="ListNumber"/>
        <w:numPr>
          <w:ilvl w:val="0"/>
          <w:numId w:val="69"/>
        </w:numPr>
        <w:tabs>
          <w:tab w:val="clear" w:pos="1134"/>
          <w:tab w:val="clear" w:pos="1920"/>
        </w:tabs>
      </w:pPr>
      <w:r w:rsidRPr="17BCD636">
        <w:rPr>
          <w:rFonts w:eastAsia="Arial"/>
        </w:rPr>
        <w:t>identify the mechanisms to manage those risk</w:t>
      </w:r>
      <w:r w:rsidR="0023136C">
        <w:rPr>
          <w:rFonts w:eastAsia="Arial"/>
        </w:rPr>
        <w:t>s</w:t>
      </w:r>
    </w:p>
    <w:p w14:paraId="4037676D" w14:textId="77777777" w:rsidR="00023FD5" w:rsidRDefault="00023FD5">
      <w:pPr>
        <w:pStyle w:val="ListNumber"/>
        <w:numPr>
          <w:ilvl w:val="0"/>
          <w:numId w:val="69"/>
        </w:numPr>
        <w:tabs>
          <w:tab w:val="clear" w:pos="1134"/>
          <w:tab w:val="clear" w:pos="1920"/>
        </w:tabs>
      </w:pPr>
      <w:r w:rsidRPr="17BCD636">
        <w:rPr>
          <w:rFonts w:eastAsia="Arial"/>
        </w:rPr>
        <w:t>guide consideration of risk allocation between customers</w:t>
      </w:r>
      <w:r w:rsidR="000B6B7C">
        <w:rPr>
          <w:rFonts w:eastAsia="Arial"/>
        </w:rPr>
        <w:t xml:space="preserve"> and</w:t>
      </w:r>
      <w:r w:rsidRPr="17BCD636">
        <w:rPr>
          <w:rFonts w:eastAsia="Arial"/>
        </w:rPr>
        <w:t xml:space="preserve"> South East Water</w:t>
      </w:r>
      <w:r w:rsidR="000B6B7C">
        <w:rPr>
          <w:rFonts w:eastAsia="Arial"/>
        </w:rPr>
        <w:t>.</w:t>
      </w:r>
    </w:p>
    <w:p w14:paraId="123C5077" w14:textId="30B4CB9A" w:rsidR="00023FD5" w:rsidRDefault="00023FD5" w:rsidP="00023FD5">
      <w:pPr>
        <w:rPr>
          <w:rFonts w:eastAsia="Arial"/>
        </w:rPr>
      </w:pPr>
      <w:r w:rsidRPr="604B6CD7">
        <w:rPr>
          <w:rFonts w:eastAsia="Arial"/>
        </w:rPr>
        <w:t xml:space="preserve">The </w:t>
      </w:r>
      <w:r w:rsidR="00570820">
        <w:rPr>
          <w:rFonts w:eastAsia="Arial"/>
        </w:rPr>
        <w:t>framework</w:t>
      </w:r>
      <w:r w:rsidRPr="604B6CD7">
        <w:rPr>
          <w:rFonts w:eastAsia="Arial"/>
        </w:rPr>
        <w:t xml:space="preserve"> is also guided by </w:t>
      </w:r>
      <w:r w:rsidR="00C559B3">
        <w:rPr>
          <w:rFonts w:eastAsia="Arial"/>
        </w:rPr>
        <w:t>our</w:t>
      </w:r>
      <w:r w:rsidRPr="604B6CD7">
        <w:rPr>
          <w:rFonts w:eastAsia="Arial"/>
        </w:rPr>
        <w:t xml:space="preserve"> risk appetite</w:t>
      </w:r>
      <w:r w:rsidR="00C559B3">
        <w:rPr>
          <w:rFonts w:eastAsia="Arial"/>
        </w:rPr>
        <w:t>,</w:t>
      </w:r>
      <w:r w:rsidRPr="604B6CD7">
        <w:rPr>
          <w:rFonts w:eastAsia="Arial"/>
        </w:rPr>
        <w:t xml:space="preserve"> as set by</w:t>
      </w:r>
      <w:r w:rsidR="009111C7">
        <w:rPr>
          <w:rFonts w:eastAsia="Arial"/>
        </w:rPr>
        <w:t xml:space="preserve"> </w:t>
      </w:r>
      <w:r w:rsidRPr="604B6CD7">
        <w:rPr>
          <w:rFonts w:eastAsia="Arial"/>
        </w:rPr>
        <w:t>management and the board</w:t>
      </w:r>
      <w:r w:rsidR="00C559B3">
        <w:rPr>
          <w:rFonts w:eastAsia="Arial"/>
        </w:rPr>
        <w:t>,</w:t>
      </w:r>
      <w:r w:rsidRPr="604B6CD7">
        <w:rPr>
          <w:rFonts w:eastAsia="Arial"/>
        </w:rPr>
        <w:t xml:space="preserve"> to align with </w:t>
      </w:r>
      <w:r w:rsidR="00F94DB5">
        <w:rPr>
          <w:rFonts w:eastAsia="Arial"/>
        </w:rPr>
        <w:t>South East Water</w:t>
      </w:r>
      <w:r w:rsidR="00612583">
        <w:rPr>
          <w:rFonts w:eastAsia="Arial"/>
        </w:rPr>
        <w:t>’</w:t>
      </w:r>
      <w:r w:rsidR="00F94DB5">
        <w:rPr>
          <w:rFonts w:eastAsia="Arial"/>
        </w:rPr>
        <w:t>s</w:t>
      </w:r>
      <w:r w:rsidRPr="604B6CD7">
        <w:rPr>
          <w:rFonts w:eastAsia="Arial"/>
        </w:rPr>
        <w:t xml:space="preserve"> strategic vision. Risk appetite is embedded in the risk framework to assist in promoting informed business decision making within agreed boundaries</w:t>
      </w:r>
      <w:r w:rsidR="00023C5E">
        <w:rPr>
          <w:rFonts w:eastAsia="Arial"/>
        </w:rPr>
        <w:t xml:space="preserve"> </w:t>
      </w:r>
      <w:r w:rsidR="006C5C3D">
        <w:rPr>
          <w:rFonts w:eastAsia="Arial"/>
        </w:rPr>
        <w:t xml:space="preserve">and </w:t>
      </w:r>
      <w:r w:rsidR="00023C5E">
        <w:rPr>
          <w:rFonts w:eastAsia="Arial"/>
        </w:rPr>
        <w:t>ensure effective governance.</w:t>
      </w:r>
    </w:p>
    <w:p w14:paraId="309BBE47" w14:textId="66473879" w:rsidR="003F3F18" w:rsidRDefault="000A17C7" w:rsidP="00B4577B">
      <w:pPr>
        <w:pStyle w:val="Heading3"/>
      </w:pPr>
      <w:r>
        <w:lastRenderedPageBreak/>
        <w:t>Material risks are identified</w:t>
      </w:r>
    </w:p>
    <w:p w14:paraId="4EC5431E" w14:textId="2B2B20F2" w:rsidR="00D06AEE" w:rsidRDefault="00D06AEE" w:rsidP="00B4577B">
      <w:r>
        <w:t xml:space="preserve">South </w:t>
      </w:r>
      <w:r w:rsidR="00D74A68">
        <w:t>E</w:t>
      </w:r>
      <w:r>
        <w:t xml:space="preserve">ast Water undertook a robust process to identify and assess material </w:t>
      </w:r>
      <w:r w:rsidR="00B62F20">
        <w:t xml:space="preserve">risks that relate to the provision of our services and </w:t>
      </w:r>
      <w:r w:rsidR="00D928A0">
        <w:t xml:space="preserve">agreed customer outcomes, </w:t>
      </w:r>
      <w:r w:rsidR="00B62F20">
        <w:t>and how we charge for those services</w:t>
      </w:r>
      <w:r w:rsidR="00D74A68">
        <w:t xml:space="preserve">. </w:t>
      </w:r>
      <w:r w:rsidR="00526183">
        <w:t>T</w:t>
      </w:r>
      <w:r w:rsidR="00C03485">
        <w:t xml:space="preserve">his included the </w:t>
      </w:r>
      <w:r w:rsidR="00132A3C">
        <w:t>review of management and mitigation options an</w:t>
      </w:r>
      <w:r w:rsidR="00EB2835">
        <w:t xml:space="preserve">d consideration </w:t>
      </w:r>
      <w:r w:rsidR="00D33F82">
        <w:t xml:space="preserve">of how </w:t>
      </w:r>
      <w:r w:rsidR="00CE2823">
        <w:t>to allocate</w:t>
      </w:r>
      <w:r w:rsidR="00EB2835">
        <w:t xml:space="preserve"> </w:t>
      </w:r>
      <w:r w:rsidR="00132A3C">
        <w:t>residual risk</w:t>
      </w:r>
      <w:r w:rsidR="00B45E5A">
        <w:t xml:space="preserve">. </w:t>
      </w:r>
    </w:p>
    <w:p w14:paraId="2D24AA60" w14:textId="4D25C077" w:rsidR="007D4CF0" w:rsidRPr="007D4CF0" w:rsidRDefault="007D4CF0" w:rsidP="00B4577B">
      <w:pPr>
        <w:rPr>
          <w:rFonts w:eastAsia="Arial"/>
        </w:rPr>
      </w:pPr>
      <w:r w:rsidRPr="007D4CF0">
        <w:t xml:space="preserve">The risk management process informed the identification of material risks </w:t>
      </w:r>
      <w:r w:rsidR="00447B3C">
        <w:t xml:space="preserve">that may </w:t>
      </w:r>
      <w:r w:rsidR="00EC308C">
        <w:t>affect</w:t>
      </w:r>
      <w:r w:rsidR="00447B3C">
        <w:t xml:space="preserve"> the achievement of the service and performance outcomes we have </w:t>
      </w:r>
      <w:r w:rsidR="00144756">
        <w:t>described in the Outcomes section of this price submission. This led to</w:t>
      </w:r>
      <w:r w:rsidRPr="007D4CF0">
        <w:t xml:space="preserve"> the development of a </w:t>
      </w:r>
      <w:r w:rsidR="00BB6F2B">
        <w:t xml:space="preserve">risk </w:t>
      </w:r>
      <w:r w:rsidRPr="007D4CF0">
        <w:t>allocation matrix</w:t>
      </w:r>
      <w:r w:rsidR="008962AF">
        <w:t xml:space="preserve"> </w:t>
      </w:r>
      <w:r w:rsidRPr="007D4CF0">
        <w:t xml:space="preserve">that demonstrates </w:t>
      </w:r>
      <w:r w:rsidR="005D592D">
        <w:t xml:space="preserve">how </w:t>
      </w:r>
      <w:r w:rsidR="008962AF">
        <w:t>we</w:t>
      </w:r>
      <w:r w:rsidRPr="007D4CF0">
        <w:t xml:space="preserve">: </w:t>
      </w:r>
    </w:p>
    <w:p w14:paraId="315D8370" w14:textId="3C5579A3" w:rsidR="00B51AA8" w:rsidRDefault="00336B4F">
      <w:pPr>
        <w:pStyle w:val="ListNumber"/>
        <w:numPr>
          <w:ilvl w:val="0"/>
          <w:numId w:val="70"/>
        </w:numPr>
        <w:tabs>
          <w:tab w:val="clear" w:pos="1134"/>
          <w:tab w:val="clear" w:pos="1920"/>
        </w:tabs>
        <w:spacing w:after="0"/>
        <w:ind w:left="357" w:hanging="357"/>
      </w:pPr>
      <w:r w:rsidRPr="00B51AA8">
        <w:rPr>
          <w:rFonts w:eastAsia="Arial"/>
        </w:rPr>
        <w:t>i</w:t>
      </w:r>
      <w:r w:rsidR="007D4CF0" w:rsidRPr="00B51AA8">
        <w:rPr>
          <w:rFonts w:eastAsia="Arial"/>
        </w:rPr>
        <w:t>dentified significant risks that impact on customer prices or services</w:t>
      </w:r>
    </w:p>
    <w:p w14:paraId="60D8F8A5" w14:textId="362824FA" w:rsidR="00B51AA8" w:rsidRDefault="007845FB">
      <w:pPr>
        <w:pStyle w:val="ListNumber"/>
        <w:numPr>
          <w:ilvl w:val="0"/>
          <w:numId w:val="70"/>
        </w:numPr>
        <w:tabs>
          <w:tab w:val="clear" w:pos="1134"/>
          <w:tab w:val="clear" w:pos="1920"/>
        </w:tabs>
        <w:spacing w:after="0"/>
        <w:ind w:left="357" w:hanging="357"/>
      </w:pPr>
      <w:r w:rsidRPr="00B51AA8">
        <w:rPr>
          <w:rFonts w:eastAsia="Arial"/>
        </w:rPr>
        <w:t>i</w:t>
      </w:r>
      <w:r w:rsidR="007D4CF0" w:rsidRPr="00B51AA8">
        <w:rPr>
          <w:rFonts w:eastAsia="Arial"/>
        </w:rPr>
        <w:t xml:space="preserve">dentified the </w:t>
      </w:r>
      <w:r w:rsidR="00EE3217" w:rsidRPr="00B51AA8">
        <w:rPr>
          <w:rFonts w:eastAsia="Arial"/>
        </w:rPr>
        <w:t xml:space="preserve">cost and </w:t>
      </w:r>
      <w:r w:rsidR="00F14A95" w:rsidRPr="00B51AA8">
        <w:rPr>
          <w:rFonts w:eastAsia="Arial"/>
        </w:rPr>
        <w:t xml:space="preserve">management </w:t>
      </w:r>
      <w:r w:rsidR="007D4CF0" w:rsidRPr="00B51AA8">
        <w:rPr>
          <w:rFonts w:eastAsia="Arial"/>
        </w:rPr>
        <w:t>allocation of those significant risks</w:t>
      </w:r>
      <w:r w:rsidR="00B51AA8" w:rsidRPr="00B51AA8">
        <w:rPr>
          <w:rFonts w:eastAsia="Arial"/>
        </w:rPr>
        <w:t xml:space="preserve"> </w:t>
      </w:r>
    </w:p>
    <w:p w14:paraId="4B195359" w14:textId="3D1F5E97" w:rsidR="00B51AA8" w:rsidRDefault="007D4CF0">
      <w:pPr>
        <w:pStyle w:val="ListNumber"/>
        <w:numPr>
          <w:ilvl w:val="0"/>
          <w:numId w:val="70"/>
        </w:numPr>
        <w:tabs>
          <w:tab w:val="clear" w:pos="1134"/>
          <w:tab w:val="clear" w:pos="1920"/>
        </w:tabs>
        <w:spacing w:after="0"/>
        <w:ind w:left="357" w:hanging="357"/>
      </w:pPr>
      <w:r w:rsidRPr="00B51AA8">
        <w:rPr>
          <w:rFonts w:eastAsia="Arial"/>
        </w:rPr>
        <w:t>demonstrated how the proposals support efficiency</w:t>
      </w:r>
      <w:r w:rsidR="00B51AA8" w:rsidRPr="00B51AA8">
        <w:rPr>
          <w:rFonts w:eastAsia="Arial"/>
        </w:rPr>
        <w:t xml:space="preserve"> </w:t>
      </w:r>
    </w:p>
    <w:p w14:paraId="487338FE" w14:textId="77777777" w:rsidR="007D4CF0" w:rsidRDefault="007D4CF0">
      <w:pPr>
        <w:pStyle w:val="ListNumber"/>
        <w:numPr>
          <w:ilvl w:val="0"/>
          <w:numId w:val="70"/>
        </w:numPr>
        <w:tabs>
          <w:tab w:val="clear" w:pos="1134"/>
          <w:tab w:val="clear" w:pos="1920"/>
        </w:tabs>
      </w:pPr>
      <w:r w:rsidRPr="007D4CF0">
        <w:rPr>
          <w:rFonts w:eastAsia="Arial"/>
        </w:rPr>
        <w:t>provided evidence of strategic consideration to the allocation and management of risk in developing the price submission</w:t>
      </w:r>
      <w:r w:rsidR="007845FB">
        <w:rPr>
          <w:rFonts w:eastAsia="Arial"/>
        </w:rPr>
        <w:t xml:space="preserve">. </w:t>
      </w:r>
    </w:p>
    <w:p w14:paraId="3ACEA8DA" w14:textId="3E70AE96" w:rsidR="005B5DF0" w:rsidRDefault="005B5DF0" w:rsidP="00116E55">
      <w:pPr>
        <w:spacing w:after="160" w:line="259" w:lineRule="auto"/>
        <w:contextualSpacing/>
      </w:pPr>
      <w:r>
        <w:t xml:space="preserve">The South East Water </w:t>
      </w:r>
      <w:r w:rsidR="000D689E" w:rsidRPr="000D689E">
        <w:t>risk management process</w:t>
      </w:r>
      <w:r w:rsidR="00042C9A">
        <w:t xml:space="preserve"> </w:t>
      </w:r>
      <w:r w:rsidR="00C01B1C">
        <w:t xml:space="preserve">(refer to </w:t>
      </w:r>
      <w:r w:rsidR="003A3D66">
        <w:t xml:space="preserve">the </w:t>
      </w:r>
      <w:r w:rsidR="00C01B1C">
        <w:t xml:space="preserve">diagram in Appendix 4) </w:t>
      </w:r>
      <w:r w:rsidR="000D689E" w:rsidRPr="000D689E">
        <w:t>reflects the integration of primary risk information sources that have been considered in the preparation of th</w:t>
      </w:r>
      <w:r w:rsidR="00E60B66">
        <w:t>is</w:t>
      </w:r>
      <w:r w:rsidR="000D689E" w:rsidRPr="000D689E">
        <w:t xml:space="preserve"> </w:t>
      </w:r>
      <w:r w:rsidR="00E60B66">
        <w:t>p</w:t>
      </w:r>
      <w:r w:rsidR="000D689E" w:rsidRPr="000D689E">
        <w:t xml:space="preserve">rice </w:t>
      </w:r>
      <w:r w:rsidR="00E60B66">
        <w:t>s</w:t>
      </w:r>
      <w:r w:rsidR="000D689E" w:rsidRPr="000D689E">
        <w:t>ubmission</w:t>
      </w:r>
      <w:r w:rsidR="00C01B1C">
        <w:t>.</w:t>
      </w:r>
      <w:r w:rsidR="00A1315F">
        <w:t xml:space="preserve"> </w:t>
      </w:r>
    </w:p>
    <w:p w14:paraId="4F54E172" w14:textId="017019CB" w:rsidR="007A09C6" w:rsidRDefault="001D62FB" w:rsidP="00B4577B">
      <w:pPr>
        <w:pStyle w:val="Heading3"/>
      </w:pPr>
      <w:r>
        <w:t xml:space="preserve">Sound principles for risk </w:t>
      </w:r>
      <w:r w:rsidR="00446A51">
        <w:t>allocation</w:t>
      </w:r>
      <w:r>
        <w:t xml:space="preserve"> are applied</w:t>
      </w:r>
    </w:p>
    <w:p w14:paraId="5FF7DE92" w14:textId="2B73284A" w:rsidR="00FC3BC6" w:rsidRDefault="00FC3BC6" w:rsidP="00B4577B">
      <w:pPr>
        <w:rPr>
          <w:rFonts w:eastAsia="Arial"/>
        </w:rPr>
      </w:pPr>
      <w:r>
        <w:rPr>
          <w:rFonts w:eastAsia="Arial"/>
        </w:rPr>
        <w:t xml:space="preserve">In terms of </w:t>
      </w:r>
      <w:r w:rsidR="00F944DE">
        <w:rPr>
          <w:rFonts w:eastAsia="Arial"/>
        </w:rPr>
        <w:t xml:space="preserve">risk </w:t>
      </w:r>
      <w:r>
        <w:rPr>
          <w:rFonts w:eastAsia="Arial"/>
        </w:rPr>
        <w:t>allocation</w:t>
      </w:r>
      <w:r w:rsidR="00F944DE">
        <w:rPr>
          <w:rFonts w:eastAsia="Arial"/>
        </w:rPr>
        <w:t>,</w:t>
      </w:r>
      <w:r>
        <w:rPr>
          <w:rFonts w:eastAsia="Arial"/>
        </w:rPr>
        <w:t xml:space="preserve"> we were </w:t>
      </w:r>
      <w:r w:rsidR="00633BA3">
        <w:rPr>
          <w:rFonts w:eastAsia="Arial"/>
        </w:rPr>
        <w:t xml:space="preserve">guided by the following principles to </w:t>
      </w:r>
      <w:r w:rsidR="001B07AD">
        <w:rPr>
          <w:rFonts w:eastAsia="Arial"/>
        </w:rPr>
        <w:t>determine</w:t>
      </w:r>
      <w:r w:rsidR="00633BA3">
        <w:rPr>
          <w:rFonts w:eastAsia="Arial"/>
        </w:rPr>
        <w:t xml:space="preserve"> </w:t>
      </w:r>
      <w:r w:rsidR="00540B8B">
        <w:rPr>
          <w:rFonts w:eastAsia="Arial"/>
        </w:rPr>
        <w:t>when customers should pay for risks versus South East Water bearing residual risk post any management mitigation</w:t>
      </w:r>
      <w:r w:rsidR="00180C91">
        <w:rPr>
          <w:rFonts w:eastAsia="Arial"/>
        </w:rPr>
        <w:t>. These principles are</w:t>
      </w:r>
      <w:r w:rsidR="00D645D6">
        <w:rPr>
          <w:rFonts w:eastAsia="Arial"/>
        </w:rPr>
        <w:t xml:space="preserve">: </w:t>
      </w:r>
    </w:p>
    <w:p w14:paraId="5AD05EF8" w14:textId="53529C11" w:rsidR="00265579" w:rsidRDefault="00BF0E3C">
      <w:pPr>
        <w:pStyle w:val="ListParagraph"/>
        <w:numPr>
          <w:ilvl w:val="0"/>
          <w:numId w:val="71"/>
        </w:numPr>
        <w:spacing w:after="160" w:line="259" w:lineRule="auto"/>
        <w:contextualSpacing/>
      </w:pPr>
      <w:r>
        <w:t>W</w:t>
      </w:r>
      <w:r w:rsidR="00D8450E">
        <w:t xml:space="preserve">e take a balanced approach to </w:t>
      </w:r>
      <w:r w:rsidR="00AE0AEA">
        <w:t>ensure</w:t>
      </w:r>
      <w:r w:rsidR="00D8450E">
        <w:t xml:space="preserve"> </w:t>
      </w:r>
      <w:r w:rsidR="003B13EC">
        <w:t xml:space="preserve">there is a fair sharing of risk between </w:t>
      </w:r>
      <w:r w:rsidR="00EA1695">
        <w:t>us</w:t>
      </w:r>
      <w:r w:rsidR="005C652E">
        <w:t xml:space="preserve"> </w:t>
      </w:r>
      <w:r w:rsidR="00EA1695">
        <w:t>and our</w:t>
      </w:r>
      <w:r w:rsidR="003B13EC">
        <w:t xml:space="preserve"> </w:t>
      </w:r>
      <w:r w:rsidR="00D8450E">
        <w:t>customers</w:t>
      </w:r>
      <w:r>
        <w:t xml:space="preserve"> </w:t>
      </w:r>
    </w:p>
    <w:p w14:paraId="06D82A89" w14:textId="09E8460E" w:rsidR="00265579" w:rsidRDefault="00BF0E3C">
      <w:pPr>
        <w:pStyle w:val="ListParagraph"/>
        <w:numPr>
          <w:ilvl w:val="0"/>
          <w:numId w:val="71"/>
        </w:numPr>
        <w:spacing w:after="160" w:line="259" w:lineRule="auto"/>
        <w:contextualSpacing/>
      </w:pPr>
      <w:r>
        <w:t>R</w:t>
      </w:r>
      <w:r w:rsidR="00265579">
        <w:t>esponsibility for a risk should sit with the party best placed to manage it</w:t>
      </w:r>
    </w:p>
    <w:p w14:paraId="2DE48676" w14:textId="1E30BF7D" w:rsidR="00265579" w:rsidRDefault="00D645D6">
      <w:pPr>
        <w:pStyle w:val="ListParagraph"/>
        <w:numPr>
          <w:ilvl w:val="0"/>
          <w:numId w:val="71"/>
        </w:numPr>
        <w:spacing w:after="160" w:line="259" w:lineRule="auto"/>
        <w:contextualSpacing/>
      </w:pPr>
      <w:r>
        <w:t>B</w:t>
      </w:r>
      <w:r w:rsidR="00265579">
        <w:t>e equitable (</w:t>
      </w:r>
      <w:r w:rsidR="00792B52">
        <w:t xml:space="preserve">we will </w:t>
      </w:r>
      <w:r w:rsidR="00265579">
        <w:t>retain risk associated with high uncertainty)</w:t>
      </w:r>
    </w:p>
    <w:p w14:paraId="33073BA7" w14:textId="5378B4A7" w:rsidR="00265579" w:rsidRDefault="00D410C9">
      <w:pPr>
        <w:pStyle w:val="ListParagraph"/>
        <w:numPr>
          <w:ilvl w:val="0"/>
          <w:numId w:val="71"/>
        </w:numPr>
        <w:spacing w:after="160" w:line="259" w:lineRule="auto"/>
        <w:contextualSpacing/>
      </w:pPr>
      <w:r>
        <w:t>R</w:t>
      </w:r>
      <w:r w:rsidR="00753E5D">
        <w:t xml:space="preserve">isk management </w:t>
      </w:r>
      <w:r w:rsidR="00265579">
        <w:t xml:space="preserve">should not jeopardise public health </w:t>
      </w:r>
      <w:r w:rsidR="005C4268">
        <w:t>or</w:t>
      </w:r>
      <w:r w:rsidR="00265579">
        <w:t xml:space="preserve"> the environment</w:t>
      </w:r>
      <w:r w:rsidR="00D17F3A">
        <w:t xml:space="preserve">, with specific </w:t>
      </w:r>
      <w:r w:rsidR="00547120">
        <w:t xml:space="preserve">emphasis on </w:t>
      </w:r>
      <w:r w:rsidR="00BE2CEA">
        <w:t xml:space="preserve">ageing infrastructure </w:t>
      </w:r>
      <w:r w:rsidR="00BB0B0C">
        <w:t>investment</w:t>
      </w:r>
    </w:p>
    <w:p w14:paraId="0D823B5E" w14:textId="58B742DB" w:rsidR="00792B52" w:rsidRDefault="00D645D6">
      <w:pPr>
        <w:pStyle w:val="ListParagraph"/>
        <w:numPr>
          <w:ilvl w:val="0"/>
          <w:numId w:val="71"/>
        </w:numPr>
        <w:spacing w:after="160" w:line="259" w:lineRule="auto"/>
        <w:contextualSpacing/>
      </w:pPr>
      <w:r>
        <w:t>A</w:t>
      </w:r>
      <w:r w:rsidR="00265579">
        <w:t>im to promote customer and community value</w:t>
      </w:r>
    </w:p>
    <w:p w14:paraId="7D18E80B" w14:textId="538A19B1" w:rsidR="00A552D3" w:rsidRDefault="00C63795">
      <w:pPr>
        <w:pStyle w:val="ListParagraph"/>
        <w:numPr>
          <w:ilvl w:val="0"/>
          <w:numId w:val="71"/>
        </w:numPr>
        <w:spacing w:after="160" w:line="259" w:lineRule="auto"/>
        <w:contextualSpacing/>
      </w:pPr>
      <w:r>
        <w:t>B</w:t>
      </w:r>
      <w:r w:rsidR="00265579">
        <w:t>e long</w:t>
      </w:r>
      <w:r w:rsidR="000C7E4E">
        <w:t>-</w:t>
      </w:r>
      <w:r w:rsidR="00265579">
        <w:t xml:space="preserve">term focused and not </w:t>
      </w:r>
      <w:r w:rsidR="000C7E4E">
        <w:t xml:space="preserve">to </w:t>
      </w:r>
      <w:r w:rsidR="00265579">
        <w:t>the detriment of future generations</w:t>
      </w:r>
      <w:r w:rsidR="00753E5D">
        <w:t>.</w:t>
      </w:r>
    </w:p>
    <w:p w14:paraId="5C7698B9" w14:textId="36F1790C" w:rsidR="00467B91" w:rsidRDefault="00713D88" w:rsidP="000D7F02">
      <w:pPr>
        <w:spacing w:after="240"/>
      </w:pPr>
      <w:r>
        <w:t xml:space="preserve">These principles </w:t>
      </w:r>
      <w:r w:rsidR="00C42F70">
        <w:t>demonstrate</w:t>
      </w:r>
      <w:r w:rsidR="00243D7F">
        <w:t xml:space="preserve"> South East Water</w:t>
      </w:r>
      <w:r w:rsidR="00612583">
        <w:t>’</w:t>
      </w:r>
      <w:r w:rsidR="00C42F70">
        <w:t>s</w:t>
      </w:r>
      <w:r w:rsidR="00243D7F">
        <w:t xml:space="preserve"> </w:t>
      </w:r>
      <w:r w:rsidR="00E30BA1">
        <w:t>prepared</w:t>
      </w:r>
      <w:r w:rsidR="00C42F70">
        <w:t>ness</w:t>
      </w:r>
      <w:r w:rsidR="00E30BA1">
        <w:t xml:space="preserve"> to manage </w:t>
      </w:r>
      <w:r w:rsidR="00056726">
        <w:t xml:space="preserve">and absorb </w:t>
      </w:r>
      <w:r w:rsidR="00E30BA1">
        <w:t>risk on behalf of customers</w:t>
      </w:r>
      <w:r w:rsidR="00D83269">
        <w:t>.</w:t>
      </w:r>
    </w:p>
    <w:p w14:paraId="62A2DAB2" w14:textId="77777777" w:rsidR="005438F8" w:rsidRDefault="005438F8" w:rsidP="00B4577B">
      <w:pPr>
        <w:pStyle w:val="Heading2"/>
      </w:pPr>
      <w:r>
        <w:t>5.2 Identification and allocation of key risks</w:t>
      </w:r>
    </w:p>
    <w:p w14:paraId="7DF80E9E" w14:textId="0556BB0B" w:rsidR="005438F8" w:rsidRDefault="00E0331E" w:rsidP="00B4577B">
      <w:r>
        <w:t>Table 20</w:t>
      </w:r>
      <w:r w:rsidR="00D4005A">
        <w:t xml:space="preserve"> summarises key risks identified for the 2023</w:t>
      </w:r>
      <w:r w:rsidR="007D4EB3">
        <w:t>–</w:t>
      </w:r>
      <w:r w:rsidR="00CC07B4">
        <w:t>28 period, proposed mitigation</w:t>
      </w:r>
      <w:r w:rsidR="00277F1D">
        <w:t xml:space="preserve"> </w:t>
      </w:r>
      <w:r w:rsidR="00625F6F">
        <w:t>actions</w:t>
      </w:r>
      <w:r w:rsidR="00CC07B4">
        <w:t xml:space="preserve"> and the allocation of risk between South East </w:t>
      </w:r>
      <w:r w:rsidR="005C26C0">
        <w:t xml:space="preserve">Water and customers. </w:t>
      </w:r>
    </w:p>
    <w:p w14:paraId="7E3EF9A6" w14:textId="3E34F577" w:rsidR="007D4CF0" w:rsidRDefault="005C26C0" w:rsidP="00B4577B">
      <w:r>
        <w:t xml:space="preserve">This is done for key </w:t>
      </w:r>
      <w:r w:rsidR="00F27646">
        <w:t>element</w:t>
      </w:r>
      <w:r w:rsidR="00277F1D">
        <w:t>s</w:t>
      </w:r>
      <w:r w:rsidR="00F27646">
        <w:t xml:space="preserve"> of the price submission including</w:t>
      </w:r>
      <w:r w:rsidR="00D077A5">
        <w:t>:</w:t>
      </w:r>
    </w:p>
    <w:p w14:paraId="0F5F8990" w14:textId="04EA0797" w:rsidR="00023FD5" w:rsidRPr="007B0325" w:rsidRDefault="00C63795">
      <w:pPr>
        <w:pStyle w:val="ListParagraph"/>
        <w:numPr>
          <w:ilvl w:val="0"/>
          <w:numId w:val="72"/>
        </w:numPr>
        <w:rPr>
          <w:rFonts w:eastAsiaTheme="minorEastAsia"/>
        </w:rPr>
      </w:pPr>
      <w:r>
        <w:t>o</w:t>
      </w:r>
      <w:r w:rsidR="007B0325">
        <w:t>perating expenditure</w:t>
      </w:r>
      <w:r w:rsidR="00D645D6">
        <w:t>,</w:t>
      </w:r>
      <w:r w:rsidR="0016381E">
        <w:t xml:space="preserve"> which</w:t>
      </w:r>
      <w:r w:rsidR="00F944DE">
        <w:t xml:space="preserve"> </w:t>
      </w:r>
      <w:r w:rsidR="00246AA0">
        <w:t xml:space="preserve">incorporates a </w:t>
      </w:r>
      <w:r w:rsidR="00107099">
        <w:t>net</w:t>
      </w:r>
      <w:r w:rsidR="00246AA0">
        <w:t xml:space="preserve"> efficiency target</w:t>
      </w:r>
      <w:r w:rsidR="00250A7F">
        <w:t xml:space="preserve"> </w:t>
      </w:r>
    </w:p>
    <w:p w14:paraId="40ED0205" w14:textId="2131CE8D" w:rsidR="007B0325" w:rsidRDefault="00C63795">
      <w:pPr>
        <w:pStyle w:val="ListParagraph"/>
        <w:numPr>
          <w:ilvl w:val="0"/>
          <w:numId w:val="72"/>
        </w:numPr>
        <w:rPr>
          <w:rFonts w:eastAsiaTheme="minorEastAsia"/>
        </w:rPr>
      </w:pPr>
      <w:r>
        <w:rPr>
          <w:rFonts w:eastAsiaTheme="minorEastAsia"/>
        </w:rPr>
        <w:t>c</w:t>
      </w:r>
      <w:r w:rsidR="007B0325">
        <w:rPr>
          <w:rFonts w:eastAsiaTheme="minorEastAsia"/>
        </w:rPr>
        <w:t>apital expenditure</w:t>
      </w:r>
      <w:r w:rsidR="00D645D6">
        <w:rPr>
          <w:rFonts w:eastAsiaTheme="minorEastAsia"/>
        </w:rPr>
        <w:t>,</w:t>
      </w:r>
      <w:r w:rsidR="00D07C02">
        <w:rPr>
          <w:rFonts w:eastAsiaTheme="minorEastAsia"/>
        </w:rPr>
        <w:t xml:space="preserve"> which accounts for industry challenges associated </w:t>
      </w:r>
      <w:r w:rsidR="00B44ADB">
        <w:rPr>
          <w:rFonts w:eastAsiaTheme="minorEastAsia"/>
        </w:rPr>
        <w:t>with</w:t>
      </w:r>
      <w:r w:rsidR="00D07C02">
        <w:rPr>
          <w:rFonts w:eastAsiaTheme="minorEastAsia"/>
        </w:rPr>
        <w:t xml:space="preserve"> climate change</w:t>
      </w:r>
      <w:r w:rsidR="00847978">
        <w:rPr>
          <w:rFonts w:eastAsiaTheme="minorEastAsia"/>
        </w:rPr>
        <w:t>, environmental protection</w:t>
      </w:r>
      <w:r w:rsidR="00B800DE">
        <w:rPr>
          <w:rFonts w:eastAsiaTheme="minorEastAsia"/>
        </w:rPr>
        <w:t xml:space="preserve">, </w:t>
      </w:r>
      <w:r w:rsidR="00B44ADB">
        <w:rPr>
          <w:rFonts w:eastAsiaTheme="minorEastAsia"/>
        </w:rPr>
        <w:t>digital metering</w:t>
      </w:r>
      <w:r w:rsidR="00D07C02">
        <w:rPr>
          <w:rFonts w:eastAsiaTheme="minorEastAsia"/>
        </w:rPr>
        <w:t xml:space="preserve"> and growth</w:t>
      </w:r>
    </w:p>
    <w:p w14:paraId="77F7C1FB" w14:textId="4FA7EB47" w:rsidR="007B0325" w:rsidRDefault="007B0325">
      <w:pPr>
        <w:pStyle w:val="ListParagraph"/>
        <w:numPr>
          <w:ilvl w:val="0"/>
          <w:numId w:val="72"/>
        </w:numPr>
        <w:rPr>
          <w:rFonts w:eastAsiaTheme="minorEastAsia"/>
        </w:rPr>
      </w:pPr>
      <w:r>
        <w:rPr>
          <w:rFonts w:eastAsiaTheme="minorEastAsia"/>
        </w:rPr>
        <w:t>GSLs</w:t>
      </w:r>
      <w:r w:rsidR="00D645D6">
        <w:rPr>
          <w:rFonts w:eastAsiaTheme="minorEastAsia"/>
        </w:rPr>
        <w:t>,</w:t>
      </w:r>
      <w:r w:rsidR="00847978">
        <w:rPr>
          <w:rFonts w:eastAsiaTheme="minorEastAsia"/>
        </w:rPr>
        <w:t xml:space="preserve"> which are informed through customers insights</w:t>
      </w:r>
    </w:p>
    <w:p w14:paraId="66988C42" w14:textId="1EE9D2D8" w:rsidR="007B0325" w:rsidRDefault="00C63795">
      <w:pPr>
        <w:pStyle w:val="ListParagraph"/>
        <w:numPr>
          <w:ilvl w:val="0"/>
          <w:numId w:val="72"/>
        </w:numPr>
        <w:rPr>
          <w:rFonts w:eastAsiaTheme="minorEastAsia"/>
        </w:rPr>
      </w:pPr>
      <w:r>
        <w:rPr>
          <w:rFonts w:eastAsiaTheme="minorEastAsia"/>
        </w:rPr>
        <w:t>t</w:t>
      </w:r>
      <w:r w:rsidR="003E354B">
        <w:rPr>
          <w:rFonts w:eastAsiaTheme="minorEastAsia"/>
        </w:rPr>
        <w:t>ariffs</w:t>
      </w:r>
      <w:r w:rsidR="00223C86">
        <w:rPr>
          <w:rFonts w:eastAsiaTheme="minorEastAsia"/>
        </w:rPr>
        <w:t xml:space="preserve"> and cost pass</w:t>
      </w:r>
      <w:r w:rsidR="00341821">
        <w:rPr>
          <w:rFonts w:eastAsiaTheme="minorEastAsia"/>
        </w:rPr>
        <w:t>-</w:t>
      </w:r>
      <w:r w:rsidR="00223C86">
        <w:rPr>
          <w:rFonts w:eastAsiaTheme="minorEastAsia"/>
        </w:rPr>
        <w:t>through mechanisms</w:t>
      </w:r>
    </w:p>
    <w:p w14:paraId="020B3EDF" w14:textId="4BE3118C" w:rsidR="00F91A52" w:rsidRPr="000D7F02" w:rsidRDefault="00C63795">
      <w:pPr>
        <w:pStyle w:val="ListParagraph"/>
        <w:numPr>
          <w:ilvl w:val="0"/>
          <w:numId w:val="72"/>
        </w:numPr>
        <w:rPr>
          <w:rFonts w:eastAsiaTheme="minorEastAsia"/>
        </w:rPr>
      </w:pPr>
      <w:r>
        <w:rPr>
          <w:rFonts w:eastAsiaTheme="minorEastAsia"/>
        </w:rPr>
        <w:t>d</w:t>
      </w:r>
      <w:r w:rsidR="003E354B">
        <w:rPr>
          <w:rFonts w:eastAsiaTheme="minorEastAsia"/>
        </w:rPr>
        <w:t>emand forecasts</w:t>
      </w:r>
      <w:r w:rsidR="00D645D6">
        <w:rPr>
          <w:rFonts w:eastAsiaTheme="minorEastAsia"/>
        </w:rPr>
        <w:t>,</w:t>
      </w:r>
      <w:r w:rsidR="003355BB">
        <w:rPr>
          <w:rFonts w:eastAsiaTheme="minorEastAsia"/>
        </w:rPr>
        <w:t xml:space="preserve"> which </w:t>
      </w:r>
      <w:r w:rsidR="006378B9">
        <w:rPr>
          <w:rFonts w:eastAsiaTheme="minorEastAsia"/>
        </w:rPr>
        <w:t>consider</w:t>
      </w:r>
      <w:r w:rsidR="003355BB">
        <w:rPr>
          <w:rFonts w:eastAsiaTheme="minorEastAsia"/>
        </w:rPr>
        <w:t xml:space="preserve"> the implications associated to </w:t>
      </w:r>
      <w:r w:rsidR="00D645D6">
        <w:rPr>
          <w:rFonts w:eastAsiaTheme="minorEastAsia"/>
        </w:rPr>
        <w:t xml:space="preserve">coronavirus </w:t>
      </w:r>
      <w:r w:rsidR="00B15240">
        <w:rPr>
          <w:rFonts w:eastAsiaTheme="minorEastAsia"/>
        </w:rPr>
        <w:br/>
      </w:r>
      <w:r w:rsidR="00D645D6">
        <w:rPr>
          <w:rFonts w:eastAsiaTheme="minorEastAsia"/>
        </w:rPr>
        <w:t>(</w:t>
      </w:r>
      <w:r w:rsidR="003355BB">
        <w:rPr>
          <w:rFonts w:eastAsiaTheme="minorEastAsia"/>
        </w:rPr>
        <w:t>COVID</w:t>
      </w:r>
      <w:r w:rsidR="00D645D6">
        <w:rPr>
          <w:rFonts w:eastAsiaTheme="minorEastAsia"/>
        </w:rPr>
        <w:t>-</w:t>
      </w:r>
      <w:r w:rsidR="003355BB">
        <w:rPr>
          <w:rFonts w:eastAsiaTheme="minorEastAsia"/>
        </w:rPr>
        <w:t>19</w:t>
      </w:r>
      <w:r w:rsidR="00D645D6">
        <w:rPr>
          <w:rFonts w:eastAsiaTheme="minorEastAsia"/>
        </w:rPr>
        <w:t>)</w:t>
      </w:r>
      <w:r w:rsidR="00230D6A">
        <w:rPr>
          <w:rFonts w:eastAsiaTheme="minorEastAsia"/>
        </w:rPr>
        <w:t>, security of supply</w:t>
      </w:r>
      <w:r w:rsidR="003355BB">
        <w:rPr>
          <w:rFonts w:eastAsiaTheme="minorEastAsia"/>
        </w:rPr>
        <w:t xml:space="preserve"> and climate variability</w:t>
      </w:r>
      <w:r w:rsidR="006378B9">
        <w:rPr>
          <w:rFonts w:eastAsiaTheme="minorEastAsia"/>
        </w:rPr>
        <w:t>.</w:t>
      </w:r>
    </w:p>
    <w:p w14:paraId="52F39887" w14:textId="3D1B3F9B" w:rsidR="00F91A52" w:rsidRPr="00B22CB3" w:rsidRDefault="00F91A52" w:rsidP="00865E3B">
      <w:pPr>
        <w:rPr>
          <w:rFonts w:asciiTheme="majorHAnsi" w:eastAsiaTheme="minorEastAsia" w:hAnsiTheme="majorHAnsi" w:cs="Calibri"/>
          <w:szCs w:val="20"/>
        </w:rPr>
        <w:sectPr w:rsidR="00F91A52" w:rsidRPr="00B22CB3" w:rsidSect="0020365D">
          <w:type w:val="continuous"/>
          <w:pgSz w:w="11906" w:h="16838"/>
          <w:pgMar w:top="1134" w:right="1440" w:bottom="1440" w:left="873" w:header="992" w:footer="204" w:gutter="0"/>
          <w:cols w:space="708"/>
          <w:docGrid w:linePitch="360"/>
        </w:sectPr>
      </w:pPr>
    </w:p>
    <w:tbl>
      <w:tblPr>
        <w:tblStyle w:val="GridTable1Light-Accent1"/>
        <w:tblW w:w="14031" w:type="dxa"/>
        <w:tblBorders>
          <w:top w:val="single" w:sz="2" w:space="0" w:color="002279"/>
          <w:left w:val="single" w:sz="2" w:space="0" w:color="002279"/>
          <w:bottom w:val="single" w:sz="2" w:space="0" w:color="002279"/>
          <w:right w:val="single" w:sz="2" w:space="0" w:color="002279"/>
          <w:insideH w:val="single" w:sz="2" w:space="0" w:color="002279"/>
          <w:insideV w:val="single" w:sz="2" w:space="0" w:color="002279"/>
        </w:tblBorders>
        <w:tblCellMar>
          <w:top w:w="113" w:type="dxa"/>
          <w:bottom w:w="113" w:type="dxa"/>
        </w:tblCellMar>
        <w:tblLook w:val="04A0" w:firstRow="1" w:lastRow="0" w:firstColumn="1" w:lastColumn="0" w:noHBand="0" w:noVBand="1"/>
      </w:tblPr>
      <w:tblGrid>
        <w:gridCol w:w="1350"/>
        <w:gridCol w:w="3892"/>
        <w:gridCol w:w="4800"/>
        <w:gridCol w:w="3989"/>
      </w:tblGrid>
      <w:tr w:rsidR="00B5026E" w:rsidRPr="00C5545F" w14:paraId="44A2F79B" w14:textId="77777777" w:rsidTr="00217305">
        <w:trPr>
          <w:cnfStyle w:val="100000000000" w:firstRow="1" w:lastRow="0" w:firstColumn="0" w:lastColumn="0" w:oddVBand="0" w:evenVBand="0" w:oddHBand="0" w:evenHBand="0" w:firstRowFirstColumn="0" w:firstRowLastColumn="0" w:lastRowFirstColumn="0" w:lastRowLastColumn="0"/>
          <w:trHeight w:val="308"/>
          <w:tblHeader/>
        </w:trPr>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002279"/>
              <w:left w:val="single" w:sz="4" w:space="0" w:color="002279"/>
              <w:bottom w:val="single" w:sz="4" w:space="0" w:color="002279"/>
              <w:right w:val="single" w:sz="4" w:space="0" w:color="FFFFFF" w:themeColor="background1"/>
            </w:tcBorders>
            <w:shd w:val="clear" w:color="auto" w:fill="002279"/>
            <w:vAlign w:val="center"/>
          </w:tcPr>
          <w:p w14:paraId="23E6D6A8" w14:textId="31C46412" w:rsidR="00F91A52" w:rsidRPr="00116E55" w:rsidRDefault="00B15240" w:rsidP="00C5545F">
            <w:pPr>
              <w:rPr>
                <w:rFonts w:asciiTheme="minorHAnsi" w:eastAsiaTheme="minorEastAsia" w:hAnsiTheme="minorHAnsi" w:cstheme="minorHAnsi"/>
                <w:color w:val="FFFFFF" w:themeColor="background1"/>
                <w:sz w:val="20"/>
                <w:szCs w:val="20"/>
              </w:rPr>
            </w:pPr>
            <w:r>
              <w:rPr>
                <w:rFonts w:eastAsiaTheme="minorEastAsia"/>
                <w:noProof/>
              </w:rPr>
              <w:lastRenderedPageBreak/>
              <mc:AlternateContent>
                <mc:Choice Requires="wps">
                  <w:drawing>
                    <wp:anchor distT="0" distB="0" distL="114300" distR="114300" simplePos="0" relativeHeight="251658306" behindDoc="0" locked="0" layoutInCell="1" allowOverlap="1" wp14:anchorId="1472A2FD" wp14:editId="1BB61886">
                      <wp:simplePos x="0" y="0"/>
                      <wp:positionH relativeFrom="column">
                        <wp:posOffset>-73025</wp:posOffset>
                      </wp:positionH>
                      <wp:positionV relativeFrom="paragraph">
                        <wp:posOffset>-494030</wp:posOffset>
                      </wp:positionV>
                      <wp:extent cx="1810385" cy="375920"/>
                      <wp:effectExtent l="0" t="0" r="5715" b="5080"/>
                      <wp:wrapNone/>
                      <wp:docPr id="18" name="Text Box 18"/>
                      <wp:cNvGraphicFramePr/>
                      <a:graphic xmlns:a="http://schemas.openxmlformats.org/drawingml/2006/main">
                        <a:graphicData uri="http://schemas.microsoft.com/office/word/2010/wordprocessingShape">
                          <wps:wsp>
                            <wps:cNvSpPr txBox="1"/>
                            <wps:spPr>
                              <a:xfrm>
                                <a:off x="0" y="0"/>
                                <a:ext cx="1810385" cy="375920"/>
                              </a:xfrm>
                              <a:prstGeom prst="rect">
                                <a:avLst/>
                              </a:prstGeom>
                              <a:noFill/>
                              <a:ln w="6350">
                                <a:noFill/>
                              </a:ln>
                            </wps:spPr>
                            <wps:txbx>
                              <w:txbxContent>
                                <w:p w14:paraId="243B5506" w14:textId="27A9E2E2" w:rsidR="00B15240" w:rsidRPr="00F91A52" w:rsidRDefault="00B15240" w:rsidP="00B15240">
                                  <w:pPr>
                                    <w:pStyle w:val="Tabletitle"/>
                                    <w:spacing w:after="0"/>
                                    <w:rPr>
                                      <w:i/>
                                      <w:sz w:val="22"/>
                                      <w:szCs w:val="22"/>
                                    </w:rPr>
                                  </w:pPr>
                                  <w:r w:rsidRPr="00B15240">
                                    <w:rPr>
                                      <w:i/>
                                      <w:sz w:val="22"/>
                                      <w:szCs w:val="22"/>
                                    </w:rPr>
                                    <w:t xml:space="preserve">Table </w:t>
                                  </w:r>
                                  <w:r w:rsidRPr="00B15240">
                                    <w:rPr>
                                      <w:b w:val="0"/>
                                      <w:i/>
                                      <w:sz w:val="22"/>
                                      <w:szCs w:val="22"/>
                                    </w:rPr>
                                    <w:fldChar w:fldCharType="begin"/>
                                  </w:r>
                                  <w:r w:rsidRPr="00B15240">
                                    <w:rPr>
                                      <w:i/>
                                      <w:sz w:val="22"/>
                                      <w:szCs w:val="22"/>
                                    </w:rPr>
                                    <w:instrText>SEQ Table \* ARABIC</w:instrText>
                                  </w:r>
                                  <w:r w:rsidRPr="00B15240">
                                    <w:rPr>
                                      <w:b w:val="0"/>
                                      <w:i/>
                                      <w:sz w:val="22"/>
                                      <w:szCs w:val="22"/>
                                    </w:rPr>
                                    <w:fldChar w:fldCharType="separate"/>
                                  </w:r>
                                  <w:r w:rsidRPr="00B15240">
                                    <w:rPr>
                                      <w:i/>
                                      <w:sz w:val="22"/>
                                      <w:szCs w:val="22"/>
                                    </w:rPr>
                                    <w:t>20</w:t>
                                  </w:r>
                                  <w:r w:rsidRPr="00B15240">
                                    <w:rPr>
                                      <w:b w:val="0"/>
                                      <w:i/>
                                      <w:sz w:val="22"/>
                                      <w:szCs w:val="22"/>
                                    </w:rPr>
                                    <w:fldChar w:fldCharType="end"/>
                                  </w:r>
                                  <w:r w:rsidRPr="00B15240">
                                    <w:rPr>
                                      <w:i/>
                                      <w:sz w:val="22"/>
                                      <w:szCs w:val="22"/>
                                    </w:rPr>
                                    <w:t>: Risk summary</w:t>
                                  </w:r>
                                </w:p>
                                <w:p w14:paraId="3A408706" w14:textId="77777777" w:rsidR="00B15240" w:rsidRDefault="00B15240" w:rsidP="00B15240">
                                  <w:pPr>
                                    <w:spacing w:after="0"/>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2A2FD" id="Text Box 18" o:spid="_x0000_s1050" type="#_x0000_t202" style="position:absolute;margin-left:-5.75pt;margin-top:-38.9pt;width:142.55pt;height:29.6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" filled="f" stroked="f" strokeweight=".5pt">
                      <v:textbox inset="0,0,0,0">
                        <w:txbxContent>
                          <w:p w14:paraId="243B5506" w14:textId="27A9E2E2" w:rsidR="00B15240" w:rsidRPr="00F91A52" w:rsidRDefault="00B15240" w:rsidP="00B15240">
                            <w:pPr>
                              <w:pStyle w:val="Tabletitle"/>
                              <w:spacing w:after="0"/>
                              <w:rPr>
                                <w:i/>
                                <w:sz w:val="22"/>
                                <w:szCs w:val="22"/>
                              </w:rPr>
                            </w:pPr>
                            <w:r w:rsidRPr="00B15240">
                              <w:rPr>
                                <w:i/>
                                <w:sz w:val="22"/>
                                <w:szCs w:val="22"/>
                              </w:rPr>
                              <w:t xml:space="preserve">Table </w:t>
                            </w:r>
                            <w:r w:rsidRPr="00B15240">
                              <w:rPr>
                                <w:b w:val="0"/>
                                <w:i/>
                                <w:sz w:val="22"/>
                                <w:szCs w:val="22"/>
                              </w:rPr>
                              <w:fldChar w:fldCharType="begin"/>
                            </w:r>
                            <w:r w:rsidRPr="00B15240">
                              <w:rPr>
                                <w:i/>
                                <w:sz w:val="22"/>
                                <w:szCs w:val="22"/>
                              </w:rPr>
                              <w:instrText>SEQ Table \* ARABIC</w:instrText>
                            </w:r>
                            <w:r w:rsidRPr="00B15240">
                              <w:rPr>
                                <w:b w:val="0"/>
                                <w:i/>
                                <w:sz w:val="22"/>
                                <w:szCs w:val="22"/>
                              </w:rPr>
                              <w:fldChar w:fldCharType="separate"/>
                            </w:r>
                            <w:r w:rsidRPr="00B15240">
                              <w:rPr>
                                <w:i/>
                                <w:sz w:val="22"/>
                                <w:szCs w:val="22"/>
                              </w:rPr>
                              <w:t>20</w:t>
                            </w:r>
                            <w:r w:rsidRPr="00B15240">
                              <w:rPr>
                                <w:b w:val="0"/>
                                <w:i/>
                                <w:sz w:val="22"/>
                                <w:szCs w:val="22"/>
                              </w:rPr>
                              <w:fldChar w:fldCharType="end"/>
                            </w:r>
                            <w:r w:rsidRPr="00B15240">
                              <w:rPr>
                                <w:i/>
                                <w:sz w:val="22"/>
                                <w:szCs w:val="22"/>
                              </w:rPr>
                              <w:t>: Risk summary</w:t>
                            </w:r>
                          </w:p>
                          <w:p w14:paraId="3A408706" w14:textId="77777777" w:rsidR="00B15240" w:rsidRDefault="00B15240" w:rsidP="00B15240">
                            <w:pPr>
                              <w:spacing w:after="0"/>
                            </w:pPr>
                          </w:p>
                        </w:txbxContent>
                      </v:textbox>
                    </v:shape>
                  </w:pict>
                </mc:Fallback>
              </mc:AlternateContent>
            </w:r>
          </w:p>
        </w:tc>
        <w:tc>
          <w:tcPr>
            <w:tcW w:w="3892" w:type="dxa"/>
            <w:tcBorders>
              <w:top w:val="single" w:sz="4" w:space="0" w:color="002279"/>
              <w:left w:val="single" w:sz="4" w:space="0" w:color="FFFFFF" w:themeColor="background1"/>
              <w:bottom w:val="single" w:sz="4" w:space="0" w:color="002279"/>
              <w:right w:val="single" w:sz="4" w:space="0" w:color="FFFFFF" w:themeColor="background1"/>
            </w:tcBorders>
            <w:shd w:val="clear" w:color="auto" w:fill="002279"/>
            <w:vAlign w:val="center"/>
          </w:tcPr>
          <w:p w14:paraId="69C5A5B3" w14:textId="32A5919E" w:rsidR="007B7E93" w:rsidRPr="00116E55" w:rsidRDefault="00B4555D" w:rsidP="00C5545F">
            <w:pP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FFFFFF" w:themeColor="background1"/>
                <w:sz w:val="20"/>
                <w:szCs w:val="20"/>
              </w:rPr>
            </w:pPr>
            <w:r w:rsidRPr="00116E55">
              <w:rPr>
                <w:rFonts w:asciiTheme="minorHAnsi" w:eastAsiaTheme="minorEastAsia" w:hAnsiTheme="minorHAnsi" w:cstheme="minorHAnsi"/>
                <w:color w:val="FFFFFF" w:themeColor="background1"/>
                <w:sz w:val="20"/>
                <w:szCs w:val="20"/>
              </w:rPr>
              <w:t>Risks</w:t>
            </w:r>
          </w:p>
        </w:tc>
        <w:tc>
          <w:tcPr>
            <w:tcW w:w="4800" w:type="dxa"/>
            <w:tcBorders>
              <w:top w:val="single" w:sz="4" w:space="0" w:color="002279"/>
              <w:left w:val="single" w:sz="4" w:space="0" w:color="FFFFFF" w:themeColor="background1"/>
              <w:bottom w:val="single" w:sz="4" w:space="0" w:color="002279"/>
              <w:right w:val="single" w:sz="4" w:space="0" w:color="FFFFFF" w:themeColor="background1"/>
            </w:tcBorders>
            <w:shd w:val="clear" w:color="auto" w:fill="002279"/>
            <w:vAlign w:val="center"/>
          </w:tcPr>
          <w:p w14:paraId="5E72A67B" w14:textId="654B6357" w:rsidR="007B7E93" w:rsidRPr="00116E55" w:rsidRDefault="00261438" w:rsidP="00C5545F">
            <w:pP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FFFFFF" w:themeColor="background1"/>
                <w:sz w:val="20"/>
                <w:szCs w:val="20"/>
              </w:rPr>
            </w:pPr>
            <w:r w:rsidRPr="00116E55">
              <w:rPr>
                <w:rFonts w:asciiTheme="minorHAnsi" w:eastAsiaTheme="minorEastAsia" w:hAnsiTheme="minorHAnsi" w:cstheme="minorHAnsi"/>
                <w:color w:val="FFFFFF" w:themeColor="background1"/>
                <w:sz w:val="20"/>
                <w:szCs w:val="20"/>
              </w:rPr>
              <w:t>Mitigation</w:t>
            </w:r>
          </w:p>
        </w:tc>
        <w:tc>
          <w:tcPr>
            <w:tcW w:w="3989" w:type="dxa"/>
            <w:tcBorders>
              <w:top w:val="single" w:sz="4" w:space="0" w:color="002279"/>
              <w:left w:val="single" w:sz="4" w:space="0" w:color="FFFFFF" w:themeColor="background1"/>
              <w:bottom w:val="single" w:sz="4" w:space="0" w:color="002279"/>
              <w:right w:val="single" w:sz="4" w:space="0" w:color="002279"/>
            </w:tcBorders>
            <w:shd w:val="clear" w:color="auto" w:fill="002279"/>
            <w:vAlign w:val="center"/>
          </w:tcPr>
          <w:p w14:paraId="6F69B072" w14:textId="76B93BFD" w:rsidR="007B7E93" w:rsidRPr="00116E55" w:rsidRDefault="002A1D0C" w:rsidP="00C5545F">
            <w:pP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FFFFFF" w:themeColor="background1"/>
                <w:sz w:val="20"/>
                <w:szCs w:val="20"/>
              </w:rPr>
            </w:pPr>
            <w:r w:rsidRPr="00116E55">
              <w:rPr>
                <w:rFonts w:asciiTheme="minorHAnsi" w:eastAsiaTheme="minorEastAsia" w:hAnsiTheme="minorHAnsi" w:cstheme="minorHAnsi"/>
                <w:color w:val="FFFFFF" w:themeColor="background1"/>
                <w:sz w:val="20"/>
                <w:szCs w:val="20"/>
              </w:rPr>
              <w:t>Allocation of</w:t>
            </w:r>
            <w:r w:rsidR="007871B0" w:rsidRPr="00116E55">
              <w:rPr>
                <w:rFonts w:asciiTheme="minorHAnsi" w:eastAsiaTheme="minorEastAsia" w:hAnsiTheme="minorHAnsi" w:cstheme="minorHAnsi"/>
                <w:color w:val="FFFFFF" w:themeColor="background1"/>
                <w:sz w:val="20"/>
                <w:szCs w:val="20"/>
              </w:rPr>
              <w:t xml:space="preserve"> risk</w:t>
            </w:r>
          </w:p>
        </w:tc>
      </w:tr>
      <w:tr w:rsidR="007B7E93" w:rsidRPr="00C5545F" w14:paraId="2D1950C6" w14:textId="77777777" w:rsidTr="00217305">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002279"/>
            </w:tcBorders>
            <w:shd w:val="clear" w:color="auto" w:fill="D4D6DF"/>
          </w:tcPr>
          <w:p w14:paraId="3B01C841" w14:textId="7F909469" w:rsidR="007B7E93" w:rsidRPr="00116E55" w:rsidRDefault="007871B0" w:rsidP="00865E3B">
            <w:pPr>
              <w:rPr>
                <w:rFonts w:asciiTheme="minorHAnsi" w:eastAsiaTheme="minorEastAsia" w:hAnsiTheme="minorHAnsi" w:cstheme="minorHAnsi"/>
                <w:sz w:val="20"/>
                <w:szCs w:val="20"/>
              </w:rPr>
            </w:pPr>
            <w:r w:rsidRPr="00116E55">
              <w:rPr>
                <w:rFonts w:asciiTheme="minorHAnsi" w:eastAsiaTheme="minorEastAsia" w:hAnsiTheme="minorHAnsi" w:cstheme="minorHAnsi"/>
                <w:sz w:val="20"/>
                <w:szCs w:val="20"/>
              </w:rPr>
              <w:t>Operating expenditure</w:t>
            </w:r>
          </w:p>
        </w:tc>
        <w:tc>
          <w:tcPr>
            <w:tcW w:w="3892" w:type="dxa"/>
            <w:tcBorders>
              <w:top w:val="single" w:sz="4" w:space="0" w:color="002279"/>
            </w:tcBorders>
            <w:shd w:val="clear" w:color="auto" w:fill="D4D6DF"/>
          </w:tcPr>
          <w:p w14:paraId="22038683" w14:textId="6608EDA2" w:rsidR="00DF4E40" w:rsidRPr="00116E55" w:rsidRDefault="00190A82" w:rsidP="00541E07">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i/>
                <w:iCs/>
                <w:sz w:val="20"/>
                <w:szCs w:val="20"/>
              </w:rPr>
            </w:pPr>
            <w:r w:rsidRPr="00116E55">
              <w:rPr>
                <w:rFonts w:asciiTheme="minorHAnsi" w:eastAsiaTheme="minorEastAsia" w:hAnsiTheme="minorHAnsi" w:cstheme="minorHAnsi"/>
                <w:i/>
                <w:iCs/>
                <w:sz w:val="20"/>
                <w:szCs w:val="20"/>
              </w:rPr>
              <w:t xml:space="preserve">Operational risks: </w:t>
            </w:r>
          </w:p>
          <w:p w14:paraId="06ABCFEF" w14:textId="0919AD77" w:rsidR="00190A82" w:rsidRPr="00116E55" w:rsidRDefault="00190A82" w:rsidP="00541E07">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0"/>
                <w:szCs w:val="20"/>
              </w:rPr>
            </w:pPr>
            <w:r w:rsidRPr="00116E55">
              <w:rPr>
                <w:rFonts w:asciiTheme="minorHAnsi" w:eastAsiaTheme="minorEastAsia" w:hAnsiTheme="minorHAnsi" w:cstheme="minorHAnsi"/>
                <w:sz w:val="20"/>
                <w:szCs w:val="20"/>
              </w:rPr>
              <w:t xml:space="preserve">Key </w:t>
            </w:r>
            <w:r w:rsidR="00E37708" w:rsidRPr="00116E55">
              <w:rPr>
                <w:rFonts w:asciiTheme="minorHAnsi" w:eastAsiaTheme="minorEastAsia" w:hAnsiTheme="minorHAnsi" w:cstheme="minorHAnsi"/>
                <w:sz w:val="20"/>
                <w:szCs w:val="20"/>
              </w:rPr>
              <w:t xml:space="preserve">operational </w:t>
            </w:r>
            <w:r w:rsidRPr="00116E55">
              <w:rPr>
                <w:rFonts w:asciiTheme="minorHAnsi" w:eastAsiaTheme="minorEastAsia" w:hAnsiTheme="minorHAnsi" w:cstheme="minorHAnsi"/>
                <w:sz w:val="20"/>
                <w:szCs w:val="20"/>
              </w:rPr>
              <w:t xml:space="preserve">risks relate to </w:t>
            </w:r>
            <w:r w:rsidR="00146536" w:rsidRPr="00116E55">
              <w:rPr>
                <w:rFonts w:asciiTheme="minorHAnsi" w:eastAsiaTheme="minorEastAsia" w:hAnsiTheme="minorHAnsi" w:cstheme="minorHAnsi"/>
                <w:sz w:val="20"/>
                <w:szCs w:val="20"/>
              </w:rPr>
              <w:t>asset</w:t>
            </w:r>
            <w:r w:rsidR="00F816F5" w:rsidRPr="00116E55">
              <w:rPr>
                <w:rFonts w:asciiTheme="minorHAnsi" w:eastAsiaTheme="minorEastAsia" w:hAnsiTheme="minorHAnsi" w:cstheme="minorHAnsi"/>
                <w:sz w:val="20"/>
                <w:szCs w:val="20"/>
              </w:rPr>
              <w:t xml:space="preserve"> maintenance</w:t>
            </w:r>
            <w:r w:rsidR="00584500" w:rsidRPr="00116E55">
              <w:rPr>
                <w:rFonts w:asciiTheme="minorHAnsi" w:eastAsiaTheme="minorEastAsia" w:hAnsiTheme="minorHAnsi" w:cstheme="minorHAnsi"/>
                <w:sz w:val="20"/>
                <w:szCs w:val="20"/>
              </w:rPr>
              <w:t>,</w:t>
            </w:r>
            <w:r w:rsidR="00146536" w:rsidRPr="00116E55">
              <w:rPr>
                <w:rFonts w:asciiTheme="minorHAnsi" w:eastAsiaTheme="minorEastAsia" w:hAnsiTheme="minorHAnsi" w:cstheme="minorHAnsi"/>
                <w:sz w:val="20"/>
                <w:szCs w:val="20"/>
              </w:rPr>
              <w:t xml:space="preserve"> </w:t>
            </w:r>
            <w:r w:rsidR="00C04F45" w:rsidRPr="00116E55">
              <w:rPr>
                <w:rFonts w:asciiTheme="minorHAnsi" w:eastAsiaTheme="minorEastAsia" w:hAnsiTheme="minorHAnsi" w:cstheme="minorHAnsi"/>
                <w:sz w:val="20"/>
                <w:szCs w:val="20"/>
              </w:rPr>
              <w:t>drinking water quality</w:t>
            </w:r>
            <w:r w:rsidR="00584500" w:rsidRPr="00116E55">
              <w:rPr>
                <w:rFonts w:asciiTheme="minorHAnsi" w:eastAsiaTheme="minorEastAsia" w:hAnsiTheme="minorHAnsi" w:cstheme="minorHAnsi"/>
                <w:sz w:val="20"/>
                <w:szCs w:val="20"/>
              </w:rPr>
              <w:t xml:space="preserve">, supply chain </w:t>
            </w:r>
            <w:r w:rsidR="0045351E" w:rsidRPr="00116E55">
              <w:rPr>
                <w:rFonts w:asciiTheme="minorHAnsi" w:eastAsiaTheme="minorEastAsia" w:hAnsiTheme="minorHAnsi" w:cstheme="minorHAnsi"/>
                <w:sz w:val="20"/>
                <w:szCs w:val="20"/>
              </w:rPr>
              <w:t>disruption</w:t>
            </w:r>
            <w:r w:rsidR="00DE5D7F" w:rsidRPr="00116E55">
              <w:rPr>
                <w:rFonts w:asciiTheme="minorHAnsi" w:eastAsiaTheme="minorEastAsia" w:hAnsiTheme="minorHAnsi" w:cstheme="minorHAnsi"/>
                <w:sz w:val="20"/>
                <w:szCs w:val="20"/>
              </w:rPr>
              <w:t xml:space="preserve"> and operational performance</w:t>
            </w:r>
            <w:r w:rsidR="00C04F45" w:rsidRPr="00116E55">
              <w:rPr>
                <w:rFonts w:asciiTheme="minorHAnsi" w:eastAsiaTheme="minorEastAsia" w:hAnsiTheme="minorHAnsi" w:cstheme="minorHAnsi"/>
                <w:sz w:val="20"/>
                <w:szCs w:val="20"/>
              </w:rPr>
              <w:t>.</w:t>
            </w:r>
          </w:p>
          <w:p w14:paraId="281A2D38" w14:textId="77777777" w:rsidR="00190A82" w:rsidRPr="00116E55" w:rsidRDefault="00190A82" w:rsidP="00541E07">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0"/>
                <w:szCs w:val="20"/>
              </w:rPr>
            </w:pPr>
          </w:p>
          <w:p w14:paraId="5D718B96" w14:textId="349AD657" w:rsidR="006D1546" w:rsidRPr="00116E55" w:rsidRDefault="00CA65B5" w:rsidP="00541E07">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0"/>
                <w:szCs w:val="20"/>
              </w:rPr>
            </w:pPr>
            <w:r w:rsidRPr="00116E55">
              <w:rPr>
                <w:rFonts w:asciiTheme="minorHAnsi" w:eastAsiaTheme="minorEastAsia" w:hAnsiTheme="minorHAnsi" w:cstheme="minorHAnsi"/>
                <w:i/>
                <w:iCs/>
                <w:sz w:val="20"/>
                <w:szCs w:val="20"/>
              </w:rPr>
              <w:t>Financial</w:t>
            </w:r>
            <w:r w:rsidR="006E1DB4" w:rsidRPr="00116E55">
              <w:rPr>
                <w:rFonts w:asciiTheme="minorHAnsi" w:eastAsiaTheme="minorEastAsia" w:hAnsiTheme="minorHAnsi" w:cstheme="minorHAnsi"/>
                <w:i/>
                <w:iCs/>
                <w:sz w:val="20"/>
                <w:szCs w:val="20"/>
              </w:rPr>
              <w:t xml:space="preserve"> </w:t>
            </w:r>
            <w:r w:rsidRPr="00116E55">
              <w:rPr>
                <w:rFonts w:asciiTheme="minorHAnsi" w:eastAsiaTheme="minorEastAsia" w:hAnsiTheme="minorHAnsi" w:cstheme="minorHAnsi"/>
                <w:i/>
                <w:iCs/>
                <w:sz w:val="20"/>
                <w:szCs w:val="20"/>
              </w:rPr>
              <w:t>risk</w:t>
            </w:r>
            <w:r w:rsidR="006A6B9D" w:rsidRPr="00116E55">
              <w:rPr>
                <w:rFonts w:asciiTheme="minorHAnsi" w:eastAsiaTheme="minorEastAsia" w:hAnsiTheme="minorHAnsi" w:cstheme="minorHAnsi"/>
                <w:i/>
                <w:iCs/>
                <w:sz w:val="20"/>
                <w:szCs w:val="20"/>
              </w:rPr>
              <w:t>s</w:t>
            </w:r>
            <w:r w:rsidRPr="00116E55">
              <w:rPr>
                <w:rFonts w:asciiTheme="minorHAnsi" w:eastAsiaTheme="minorEastAsia" w:hAnsiTheme="minorHAnsi" w:cstheme="minorHAnsi"/>
                <w:i/>
                <w:iCs/>
                <w:sz w:val="20"/>
                <w:szCs w:val="20"/>
              </w:rPr>
              <w:t>:</w:t>
            </w:r>
            <w:r w:rsidRPr="00116E55">
              <w:rPr>
                <w:rFonts w:asciiTheme="minorHAnsi" w:eastAsiaTheme="minorEastAsia" w:hAnsiTheme="minorHAnsi" w:cstheme="minorHAnsi"/>
                <w:sz w:val="20"/>
                <w:szCs w:val="20"/>
              </w:rPr>
              <w:t xml:space="preserve"> </w:t>
            </w:r>
          </w:p>
          <w:p w14:paraId="316EED72" w14:textId="66E685F2" w:rsidR="00534927" w:rsidRPr="00116E55" w:rsidRDefault="004838BC" w:rsidP="00541E07">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0"/>
                <w:szCs w:val="20"/>
              </w:rPr>
            </w:pPr>
            <w:r w:rsidRPr="00116E55">
              <w:rPr>
                <w:rFonts w:asciiTheme="minorHAnsi" w:eastAsiaTheme="minorEastAsia" w:hAnsiTheme="minorHAnsi" w:cstheme="minorHAnsi"/>
                <w:sz w:val="20"/>
                <w:szCs w:val="20"/>
              </w:rPr>
              <w:t xml:space="preserve">All businesses are </w:t>
            </w:r>
            <w:r w:rsidR="00035D75" w:rsidRPr="00116E55">
              <w:rPr>
                <w:rFonts w:asciiTheme="minorHAnsi" w:eastAsiaTheme="minorEastAsia" w:hAnsiTheme="minorHAnsi" w:cstheme="minorHAnsi"/>
                <w:sz w:val="20"/>
                <w:szCs w:val="20"/>
              </w:rPr>
              <w:t xml:space="preserve">likely to face continuing financial risk associated with </w:t>
            </w:r>
            <w:r w:rsidR="00534927" w:rsidRPr="00116E55">
              <w:rPr>
                <w:rFonts w:asciiTheme="minorHAnsi" w:eastAsiaTheme="minorEastAsia" w:hAnsiTheme="minorHAnsi" w:cstheme="minorHAnsi"/>
                <w:sz w:val="20"/>
                <w:szCs w:val="20"/>
              </w:rPr>
              <w:t xml:space="preserve">significant inflationary pressures </w:t>
            </w:r>
            <w:r w:rsidR="009A7B41" w:rsidRPr="00116E55">
              <w:rPr>
                <w:rFonts w:asciiTheme="minorHAnsi" w:eastAsiaTheme="minorEastAsia" w:hAnsiTheme="minorHAnsi" w:cstheme="minorHAnsi"/>
                <w:sz w:val="20"/>
                <w:szCs w:val="20"/>
              </w:rPr>
              <w:t xml:space="preserve">on key input costs </w:t>
            </w:r>
            <w:r w:rsidR="00534927" w:rsidRPr="00116E55">
              <w:rPr>
                <w:rFonts w:asciiTheme="minorHAnsi" w:eastAsiaTheme="minorEastAsia" w:hAnsiTheme="minorHAnsi" w:cstheme="minorHAnsi"/>
                <w:sz w:val="20"/>
                <w:szCs w:val="20"/>
              </w:rPr>
              <w:t xml:space="preserve">which have arisen </w:t>
            </w:r>
            <w:r w:rsidR="006E6701" w:rsidRPr="00116E55">
              <w:rPr>
                <w:rFonts w:asciiTheme="minorHAnsi" w:eastAsiaTheme="minorEastAsia" w:hAnsiTheme="minorHAnsi" w:cstheme="minorHAnsi"/>
                <w:sz w:val="20"/>
                <w:szCs w:val="20"/>
              </w:rPr>
              <w:t xml:space="preserve">in a short period, and were not </w:t>
            </w:r>
            <w:r w:rsidR="004013EE" w:rsidRPr="00116E55">
              <w:rPr>
                <w:rFonts w:asciiTheme="minorHAnsi" w:eastAsiaTheme="minorEastAsia" w:hAnsiTheme="minorHAnsi" w:cstheme="minorHAnsi"/>
                <w:sz w:val="20"/>
                <w:szCs w:val="20"/>
              </w:rPr>
              <w:t xml:space="preserve">anticipated. This has included the inflationary impacts of </w:t>
            </w:r>
            <w:r w:rsidR="009650CC" w:rsidRPr="00116E55">
              <w:rPr>
                <w:rFonts w:asciiTheme="minorHAnsi" w:eastAsiaTheme="minorEastAsia" w:hAnsiTheme="minorHAnsi" w:cstheme="minorHAnsi"/>
                <w:sz w:val="20"/>
                <w:szCs w:val="20"/>
              </w:rPr>
              <w:t xml:space="preserve">supply side shocks (including </w:t>
            </w:r>
            <w:r w:rsidR="00B86D0E" w:rsidRPr="00116E55">
              <w:rPr>
                <w:rFonts w:asciiTheme="minorHAnsi" w:eastAsiaTheme="minorEastAsia" w:hAnsiTheme="minorHAnsi" w:cstheme="minorHAnsi"/>
                <w:sz w:val="20"/>
                <w:szCs w:val="20"/>
              </w:rPr>
              <w:t>supply chain disruptions</w:t>
            </w:r>
            <w:r w:rsidR="004170D3">
              <w:rPr>
                <w:rFonts w:asciiTheme="minorHAnsi" w:eastAsiaTheme="minorEastAsia" w:hAnsiTheme="minorHAnsi" w:cstheme="minorHAnsi"/>
                <w:sz w:val="20"/>
                <w:szCs w:val="20"/>
              </w:rPr>
              <w:t xml:space="preserve"> and</w:t>
            </w:r>
            <w:r w:rsidR="00B86D0E" w:rsidRPr="00116E55">
              <w:rPr>
                <w:rFonts w:asciiTheme="minorHAnsi" w:eastAsiaTheme="minorEastAsia" w:hAnsiTheme="minorHAnsi" w:cstheme="minorHAnsi"/>
                <w:sz w:val="20"/>
                <w:szCs w:val="20"/>
              </w:rPr>
              <w:t xml:space="preserve"> </w:t>
            </w:r>
            <w:r w:rsidR="00791238" w:rsidRPr="00116E55">
              <w:rPr>
                <w:rFonts w:asciiTheme="minorHAnsi" w:eastAsiaTheme="minorEastAsia" w:hAnsiTheme="minorHAnsi" w:cstheme="minorHAnsi"/>
                <w:sz w:val="20"/>
                <w:szCs w:val="20"/>
              </w:rPr>
              <w:t xml:space="preserve">rising </w:t>
            </w:r>
            <w:r w:rsidR="00B86D0E" w:rsidRPr="00116E55">
              <w:rPr>
                <w:rFonts w:asciiTheme="minorHAnsi" w:eastAsiaTheme="minorEastAsia" w:hAnsiTheme="minorHAnsi" w:cstheme="minorHAnsi"/>
                <w:sz w:val="20"/>
                <w:szCs w:val="20"/>
              </w:rPr>
              <w:t>fuel costs</w:t>
            </w:r>
            <w:r w:rsidR="00820093" w:rsidRPr="00116E55">
              <w:rPr>
                <w:rFonts w:asciiTheme="minorHAnsi" w:eastAsiaTheme="minorEastAsia" w:hAnsiTheme="minorHAnsi" w:cstheme="minorHAnsi"/>
                <w:sz w:val="20"/>
                <w:szCs w:val="20"/>
              </w:rPr>
              <w:t>) combined with strong demand.</w:t>
            </w:r>
          </w:p>
          <w:p w14:paraId="598F5FBB" w14:textId="1872BFFA" w:rsidR="009C308D" w:rsidRPr="00116E55" w:rsidRDefault="009C308D" w:rsidP="00541E07">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0"/>
                <w:szCs w:val="20"/>
              </w:rPr>
            </w:pPr>
            <w:r w:rsidRPr="00116E55">
              <w:rPr>
                <w:rFonts w:asciiTheme="minorHAnsi" w:eastAsiaTheme="minorEastAsia" w:hAnsiTheme="minorHAnsi" w:cstheme="minorHAnsi"/>
                <w:sz w:val="20"/>
                <w:szCs w:val="20"/>
              </w:rPr>
              <w:t>Wage growth is forecast to be stable</w:t>
            </w:r>
            <w:r w:rsidR="0064244F" w:rsidRPr="00116E55">
              <w:rPr>
                <w:rFonts w:asciiTheme="minorHAnsi" w:eastAsiaTheme="minorEastAsia" w:hAnsiTheme="minorHAnsi" w:cstheme="minorHAnsi"/>
                <w:sz w:val="20"/>
                <w:szCs w:val="20"/>
              </w:rPr>
              <w:t>.</w:t>
            </w:r>
            <w:r w:rsidR="00525924" w:rsidRPr="00116E55">
              <w:rPr>
                <w:rFonts w:asciiTheme="minorHAnsi" w:eastAsiaTheme="minorEastAsia" w:hAnsiTheme="minorHAnsi" w:cstheme="minorHAnsi"/>
                <w:sz w:val="20"/>
                <w:szCs w:val="20"/>
              </w:rPr>
              <w:t xml:space="preserve"> However, South East Water </w:t>
            </w:r>
            <w:r w:rsidR="0000778F" w:rsidRPr="00116E55">
              <w:rPr>
                <w:rFonts w:asciiTheme="minorHAnsi" w:eastAsiaTheme="minorEastAsia" w:hAnsiTheme="minorHAnsi" w:cstheme="minorHAnsi"/>
                <w:sz w:val="20"/>
                <w:szCs w:val="20"/>
              </w:rPr>
              <w:t>will</w:t>
            </w:r>
            <w:r w:rsidRPr="00116E55">
              <w:rPr>
                <w:rFonts w:asciiTheme="minorHAnsi" w:eastAsiaTheme="minorEastAsia" w:hAnsiTheme="minorHAnsi" w:cstheme="minorHAnsi"/>
                <w:sz w:val="20"/>
                <w:szCs w:val="20"/>
              </w:rPr>
              <w:t xml:space="preserve"> absorb </w:t>
            </w:r>
            <w:r w:rsidR="00525924" w:rsidRPr="00116E55">
              <w:rPr>
                <w:rFonts w:asciiTheme="minorHAnsi" w:eastAsiaTheme="minorEastAsia" w:hAnsiTheme="minorHAnsi" w:cstheme="minorHAnsi"/>
                <w:sz w:val="20"/>
                <w:szCs w:val="20"/>
              </w:rPr>
              <w:t xml:space="preserve">the </w:t>
            </w:r>
            <w:r w:rsidRPr="00116E55">
              <w:rPr>
                <w:rFonts w:asciiTheme="minorHAnsi" w:eastAsiaTheme="minorEastAsia" w:hAnsiTheme="minorHAnsi" w:cstheme="minorHAnsi"/>
                <w:sz w:val="20"/>
                <w:szCs w:val="20"/>
              </w:rPr>
              <w:t xml:space="preserve">2.5% </w:t>
            </w:r>
            <w:r w:rsidR="00525924" w:rsidRPr="00116E55">
              <w:rPr>
                <w:rFonts w:asciiTheme="minorHAnsi" w:eastAsiaTheme="minorEastAsia" w:hAnsiTheme="minorHAnsi" w:cstheme="minorHAnsi"/>
                <w:sz w:val="20"/>
                <w:szCs w:val="20"/>
              </w:rPr>
              <w:t xml:space="preserve">increase in </w:t>
            </w:r>
            <w:r w:rsidRPr="00116E55">
              <w:rPr>
                <w:rFonts w:asciiTheme="minorHAnsi" w:eastAsiaTheme="minorEastAsia" w:hAnsiTheme="minorHAnsi" w:cstheme="minorHAnsi"/>
                <w:sz w:val="20"/>
                <w:szCs w:val="20"/>
              </w:rPr>
              <w:t>labour costs.</w:t>
            </w:r>
          </w:p>
          <w:p w14:paraId="30BFF270" w14:textId="77777777" w:rsidR="006D1546" w:rsidRPr="00116E55" w:rsidRDefault="006D1546" w:rsidP="00541E07">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0"/>
                <w:szCs w:val="20"/>
              </w:rPr>
            </w:pPr>
          </w:p>
          <w:p w14:paraId="1B1D4B93" w14:textId="151C0974" w:rsidR="009D5EA3" w:rsidRPr="00116E55" w:rsidRDefault="009D5EA3" w:rsidP="00541E07">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0"/>
                <w:szCs w:val="20"/>
              </w:rPr>
            </w:pPr>
            <w:r w:rsidRPr="00116E55">
              <w:rPr>
                <w:rFonts w:asciiTheme="minorHAnsi" w:eastAsiaTheme="minorEastAsia" w:hAnsiTheme="minorHAnsi" w:cstheme="minorHAnsi"/>
                <w:i/>
                <w:iCs/>
                <w:sz w:val="20"/>
                <w:szCs w:val="20"/>
              </w:rPr>
              <w:t xml:space="preserve">Business risks: </w:t>
            </w:r>
          </w:p>
          <w:p w14:paraId="69240BD7" w14:textId="011BDE2C" w:rsidR="00C200CF" w:rsidRPr="00116E55" w:rsidRDefault="00C200CF" w:rsidP="00C200CF">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0"/>
                <w:szCs w:val="20"/>
              </w:rPr>
            </w:pPr>
            <w:r w:rsidRPr="00116E55">
              <w:rPr>
                <w:rFonts w:asciiTheme="minorHAnsi" w:eastAsiaTheme="minorEastAsia" w:hAnsiTheme="minorHAnsi" w:cstheme="minorHAnsi"/>
                <w:sz w:val="20"/>
                <w:szCs w:val="20"/>
              </w:rPr>
              <w:t>Direct COVID-19</w:t>
            </w:r>
            <w:r w:rsidR="00C63795" w:rsidRPr="00116E55">
              <w:rPr>
                <w:rFonts w:asciiTheme="minorHAnsi" w:eastAsiaTheme="minorEastAsia" w:hAnsiTheme="minorHAnsi" w:cstheme="minorHAnsi"/>
                <w:sz w:val="20"/>
                <w:szCs w:val="20"/>
              </w:rPr>
              <w:t>-</w:t>
            </w:r>
            <w:r w:rsidRPr="00116E55">
              <w:rPr>
                <w:rFonts w:asciiTheme="minorHAnsi" w:eastAsiaTheme="minorEastAsia" w:hAnsiTheme="minorHAnsi" w:cstheme="minorHAnsi"/>
                <w:sz w:val="20"/>
                <w:szCs w:val="20"/>
              </w:rPr>
              <w:t>related expenses were largely incurred in 2020</w:t>
            </w:r>
            <w:r w:rsidR="007D4EB3" w:rsidRPr="00116E55">
              <w:rPr>
                <w:rFonts w:asciiTheme="minorHAnsi" w:eastAsiaTheme="minorEastAsia" w:hAnsiTheme="minorHAnsi" w:cstheme="minorHAnsi"/>
                <w:sz w:val="20"/>
                <w:szCs w:val="20"/>
              </w:rPr>
              <w:t>–</w:t>
            </w:r>
            <w:r w:rsidRPr="00116E55">
              <w:rPr>
                <w:rFonts w:asciiTheme="minorHAnsi" w:eastAsiaTheme="minorEastAsia" w:hAnsiTheme="minorHAnsi" w:cstheme="minorHAnsi"/>
                <w:sz w:val="20"/>
                <w:szCs w:val="20"/>
              </w:rPr>
              <w:t xml:space="preserve">21. </w:t>
            </w:r>
            <w:r w:rsidR="00AA15B8" w:rsidRPr="00116E55">
              <w:rPr>
                <w:rFonts w:asciiTheme="minorHAnsi" w:eastAsiaTheme="minorEastAsia" w:hAnsiTheme="minorHAnsi" w:cstheme="minorHAnsi"/>
                <w:sz w:val="20"/>
                <w:szCs w:val="20"/>
              </w:rPr>
              <w:t>M</w:t>
            </w:r>
            <w:r w:rsidRPr="00116E55">
              <w:rPr>
                <w:rFonts w:asciiTheme="minorHAnsi" w:eastAsiaTheme="minorEastAsia" w:hAnsiTheme="minorHAnsi" w:cstheme="minorHAnsi"/>
                <w:sz w:val="20"/>
                <w:szCs w:val="20"/>
              </w:rPr>
              <w:t>aterial COVID-19</w:t>
            </w:r>
            <w:r w:rsidR="00C63795" w:rsidRPr="00116E55">
              <w:rPr>
                <w:rFonts w:asciiTheme="minorHAnsi" w:eastAsiaTheme="minorEastAsia" w:hAnsiTheme="minorHAnsi" w:cstheme="minorHAnsi"/>
                <w:sz w:val="20"/>
                <w:szCs w:val="20"/>
              </w:rPr>
              <w:t>-</w:t>
            </w:r>
            <w:r w:rsidRPr="00116E55">
              <w:rPr>
                <w:rFonts w:asciiTheme="minorHAnsi" w:eastAsiaTheme="minorEastAsia" w:hAnsiTheme="minorHAnsi" w:cstheme="minorHAnsi"/>
                <w:sz w:val="20"/>
                <w:szCs w:val="20"/>
              </w:rPr>
              <w:t xml:space="preserve">related costs are not expected </w:t>
            </w:r>
            <w:r w:rsidR="00C04F45" w:rsidRPr="00116E55">
              <w:rPr>
                <w:rFonts w:asciiTheme="minorHAnsi" w:eastAsiaTheme="minorEastAsia" w:hAnsiTheme="minorHAnsi" w:cstheme="minorHAnsi"/>
                <w:sz w:val="20"/>
                <w:szCs w:val="20"/>
              </w:rPr>
              <w:t>in the 2023</w:t>
            </w:r>
            <w:r w:rsidR="007D4EB3" w:rsidRPr="00116E55">
              <w:rPr>
                <w:rFonts w:asciiTheme="minorHAnsi" w:eastAsiaTheme="minorEastAsia" w:hAnsiTheme="minorHAnsi" w:cstheme="minorHAnsi"/>
                <w:sz w:val="20"/>
                <w:szCs w:val="20"/>
              </w:rPr>
              <w:t>–</w:t>
            </w:r>
            <w:r w:rsidR="00C04F45" w:rsidRPr="00116E55">
              <w:rPr>
                <w:rFonts w:asciiTheme="minorHAnsi" w:eastAsiaTheme="minorEastAsia" w:hAnsiTheme="minorHAnsi" w:cstheme="minorHAnsi"/>
                <w:sz w:val="20"/>
                <w:szCs w:val="20"/>
              </w:rPr>
              <w:t>28</w:t>
            </w:r>
            <w:r w:rsidR="007A2B11" w:rsidRPr="00116E55">
              <w:rPr>
                <w:rFonts w:asciiTheme="minorHAnsi" w:eastAsiaTheme="minorEastAsia" w:hAnsiTheme="minorHAnsi" w:cstheme="minorHAnsi"/>
                <w:sz w:val="20"/>
                <w:szCs w:val="20"/>
              </w:rPr>
              <w:t xml:space="preserve"> </w:t>
            </w:r>
            <w:r w:rsidRPr="00116E55">
              <w:rPr>
                <w:rFonts w:asciiTheme="minorHAnsi" w:eastAsiaTheme="minorEastAsia" w:hAnsiTheme="minorHAnsi" w:cstheme="minorHAnsi"/>
                <w:sz w:val="20"/>
                <w:szCs w:val="20"/>
              </w:rPr>
              <w:t>period.</w:t>
            </w:r>
          </w:p>
          <w:p w14:paraId="747BA04C" w14:textId="399DD4F7" w:rsidR="00541E07" w:rsidRPr="00116E55" w:rsidRDefault="006002AB" w:rsidP="00541E07">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0"/>
                <w:szCs w:val="20"/>
              </w:rPr>
            </w:pPr>
            <w:r w:rsidRPr="00116E55">
              <w:rPr>
                <w:rFonts w:asciiTheme="minorHAnsi" w:eastAsiaTheme="minorEastAsia" w:hAnsiTheme="minorHAnsi" w:cstheme="minorHAnsi"/>
                <w:sz w:val="20"/>
                <w:szCs w:val="20"/>
              </w:rPr>
              <w:t>There is an increasing</w:t>
            </w:r>
            <w:r w:rsidR="00092B2F" w:rsidRPr="00116E55">
              <w:rPr>
                <w:rFonts w:asciiTheme="minorHAnsi" w:eastAsiaTheme="minorEastAsia" w:hAnsiTheme="minorHAnsi" w:cstheme="minorHAnsi"/>
                <w:sz w:val="20"/>
                <w:szCs w:val="20"/>
              </w:rPr>
              <w:t xml:space="preserve"> need for</w:t>
            </w:r>
            <w:r w:rsidR="00541E07" w:rsidRPr="00116E55">
              <w:rPr>
                <w:rFonts w:asciiTheme="minorHAnsi" w:eastAsiaTheme="minorEastAsia" w:hAnsiTheme="minorHAnsi" w:cstheme="minorHAnsi"/>
                <w:sz w:val="20"/>
                <w:szCs w:val="20"/>
              </w:rPr>
              <w:t xml:space="preserve"> climate</w:t>
            </w:r>
            <w:r w:rsidR="00092B2F" w:rsidRPr="00116E55">
              <w:rPr>
                <w:rFonts w:asciiTheme="minorHAnsi" w:eastAsiaTheme="minorEastAsia" w:hAnsiTheme="minorHAnsi" w:cstheme="minorHAnsi"/>
                <w:sz w:val="20"/>
                <w:szCs w:val="20"/>
              </w:rPr>
              <w:t xml:space="preserve"> change impact</w:t>
            </w:r>
            <w:r w:rsidR="00541E07" w:rsidRPr="00116E55">
              <w:rPr>
                <w:rFonts w:asciiTheme="minorHAnsi" w:eastAsiaTheme="minorEastAsia" w:hAnsiTheme="minorHAnsi" w:cstheme="minorHAnsi"/>
                <w:sz w:val="20"/>
                <w:szCs w:val="20"/>
              </w:rPr>
              <w:t xml:space="preserve"> mitigation</w:t>
            </w:r>
            <w:r w:rsidR="00092B2F" w:rsidRPr="00116E55">
              <w:rPr>
                <w:rFonts w:asciiTheme="minorHAnsi" w:eastAsiaTheme="minorEastAsia" w:hAnsiTheme="minorHAnsi" w:cstheme="minorHAnsi"/>
                <w:sz w:val="20"/>
                <w:szCs w:val="20"/>
              </w:rPr>
              <w:t xml:space="preserve"> and </w:t>
            </w:r>
            <w:r w:rsidR="00541E07" w:rsidRPr="00116E55">
              <w:rPr>
                <w:rFonts w:asciiTheme="minorHAnsi" w:eastAsiaTheme="minorEastAsia" w:hAnsiTheme="minorHAnsi" w:cstheme="minorHAnsi"/>
                <w:sz w:val="20"/>
                <w:szCs w:val="20"/>
              </w:rPr>
              <w:t>adaptation</w:t>
            </w:r>
            <w:r w:rsidR="00CA08E4" w:rsidRPr="00116E55">
              <w:rPr>
                <w:rFonts w:asciiTheme="minorHAnsi" w:eastAsiaTheme="minorEastAsia" w:hAnsiTheme="minorHAnsi" w:cstheme="minorHAnsi"/>
                <w:sz w:val="20"/>
                <w:szCs w:val="20"/>
              </w:rPr>
              <w:t xml:space="preserve"> activities</w:t>
            </w:r>
            <w:r w:rsidR="00346FA5" w:rsidRPr="00116E55">
              <w:rPr>
                <w:rFonts w:asciiTheme="minorHAnsi" w:eastAsiaTheme="minorEastAsia" w:hAnsiTheme="minorHAnsi" w:cstheme="minorHAnsi"/>
                <w:sz w:val="20"/>
                <w:szCs w:val="20"/>
              </w:rPr>
              <w:t>.</w:t>
            </w:r>
          </w:p>
          <w:p w14:paraId="719A7140" w14:textId="77777777" w:rsidR="00A91726" w:rsidRPr="00116E55" w:rsidRDefault="00A91726" w:rsidP="00541E07">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0"/>
                <w:szCs w:val="20"/>
              </w:rPr>
            </w:pPr>
          </w:p>
          <w:p w14:paraId="2595B280" w14:textId="307385EC" w:rsidR="00E1579F" w:rsidRPr="00116E55" w:rsidRDefault="00A91726" w:rsidP="00541E07">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0"/>
                <w:szCs w:val="20"/>
              </w:rPr>
            </w:pPr>
            <w:r w:rsidRPr="00116E55">
              <w:rPr>
                <w:rFonts w:asciiTheme="minorHAnsi" w:eastAsiaTheme="minorEastAsia" w:hAnsiTheme="minorHAnsi" w:cstheme="minorHAnsi"/>
                <w:i/>
                <w:iCs/>
                <w:sz w:val="20"/>
                <w:szCs w:val="20"/>
              </w:rPr>
              <w:t>R</w:t>
            </w:r>
            <w:r w:rsidR="009D5EA3" w:rsidRPr="00116E55">
              <w:rPr>
                <w:rFonts w:asciiTheme="minorHAnsi" w:eastAsiaTheme="minorEastAsia" w:hAnsiTheme="minorHAnsi" w:cstheme="minorHAnsi"/>
                <w:i/>
                <w:iCs/>
                <w:sz w:val="20"/>
                <w:szCs w:val="20"/>
              </w:rPr>
              <w:t>egulatory</w:t>
            </w:r>
            <w:r w:rsidRPr="00116E55">
              <w:rPr>
                <w:rFonts w:asciiTheme="minorHAnsi" w:eastAsiaTheme="minorEastAsia" w:hAnsiTheme="minorHAnsi" w:cstheme="minorHAnsi"/>
                <w:i/>
                <w:iCs/>
                <w:sz w:val="20"/>
                <w:szCs w:val="20"/>
              </w:rPr>
              <w:t xml:space="preserve"> risks</w:t>
            </w:r>
            <w:r w:rsidR="00D50F11" w:rsidRPr="00116E55">
              <w:rPr>
                <w:rFonts w:asciiTheme="minorHAnsi" w:eastAsiaTheme="minorEastAsia" w:hAnsiTheme="minorHAnsi" w:cstheme="minorHAnsi"/>
                <w:i/>
                <w:iCs/>
                <w:sz w:val="20"/>
                <w:szCs w:val="20"/>
              </w:rPr>
              <w:t>:</w:t>
            </w:r>
          </w:p>
          <w:p w14:paraId="4E6C4260" w14:textId="07407A4C" w:rsidR="00E1579F" w:rsidRPr="00116E55" w:rsidRDefault="00A91726" w:rsidP="00541E07">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0"/>
                <w:szCs w:val="20"/>
              </w:rPr>
            </w:pPr>
            <w:r w:rsidRPr="00116E55">
              <w:rPr>
                <w:rFonts w:asciiTheme="minorHAnsi" w:eastAsiaTheme="minorEastAsia" w:hAnsiTheme="minorHAnsi" w:cstheme="minorHAnsi"/>
                <w:sz w:val="20"/>
                <w:szCs w:val="20"/>
              </w:rPr>
              <w:t>E</w:t>
            </w:r>
            <w:r w:rsidR="00C200CF" w:rsidRPr="00116E55">
              <w:rPr>
                <w:rFonts w:asciiTheme="minorHAnsi" w:eastAsiaTheme="minorEastAsia" w:hAnsiTheme="minorHAnsi" w:cstheme="minorHAnsi"/>
                <w:sz w:val="20"/>
                <w:szCs w:val="20"/>
              </w:rPr>
              <w:t>volving regulatory requirements</w:t>
            </w:r>
            <w:r w:rsidRPr="00116E55">
              <w:rPr>
                <w:rFonts w:asciiTheme="minorHAnsi" w:eastAsiaTheme="minorEastAsia" w:hAnsiTheme="minorHAnsi" w:cstheme="minorHAnsi"/>
                <w:sz w:val="20"/>
                <w:szCs w:val="20"/>
              </w:rPr>
              <w:t xml:space="preserve"> are </w:t>
            </w:r>
            <w:r w:rsidR="00C200CF" w:rsidRPr="00116E55">
              <w:rPr>
                <w:rFonts w:asciiTheme="minorHAnsi" w:eastAsiaTheme="minorEastAsia" w:hAnsiTheme="minorHAnsi" w:cstheme="minorHAnsi"/>
                <w:sz w:val="20"/>
                <w:szCs w:val="20"/>
              </w:rPr>
              <w:t>adding to compliance and operating challenges</w:t>
            </w:r>
            <w:r w:rsidRPr="00116E55">
              <w:rPr>
                <w:rFonts w:asciiTheme="minorHAnsi" w:eastAsiaTheme="minorEastAsia" w:hAnsiTheme="minorHAnsi" w:cstheme="minorHAnsi"/>
                <w:sz w:val="20"/>
                <w:szCs w:val="20"/>
              </w:rPr>
              <w:t xml:space="preserve"> (e.g. in relation to water quality).</w:t>
            </w:r>
          </w:p>
        </w:tc>
        <w:tc>
          <w:tcPr>
            <w:tcW w:w="4800" w:type="dxa"/>
            <w:tcBorders>
              <w:top w:val="single" w:sz="4" w:space="0" w:color="002279"/>
            </w:tcBorders>
            <w:shd w:val="clear" w:color="auto" w:fill="D4D6DF"/>
          </w:tcPr>
          <w:p w14:paraId="5B9F5D57" w14:textId="4F41AB10" w:rsidR="00190A82" w:rsidRPr="00116E55" w:rsidRDefault="00AE3D45" w:rsidP="00190A82">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i/>
                <w:iCs/>
                <w:sz w:val="20"/>
                <w:szCs w:val="20"/>
              </w:rPr>
            </w:pPr>
            <w:r w:rsidRPr="00116E55">
              <w:rPr>
                <w:rFonts w:asciiTheme="minorHAnsi" w:eastAsiaTheme="minorEastAsia" w:hAnsiTheme="minorHAnsi" w:cstheme="minorHAnsi"/>
                <w:i/>
                <w:iCs/>
                <w:sz w:val="20"/>
                <w:szCs w:val="20"/>
              </w:rPr>
              <w:t>Mitigation of o</w:t>
            </w:r>
            <w:r w:rsidR="00190A82" w:rsidRPr="00116E55">
              <w:rPr>
                <w:rFonts w:asciiTheme="minorHAnsi" w:eastAsiaTheme="minorEastAsia" w:hAnsiTheme="minorHAnsi" w:cstheme="minorHAnsi"/>
                <w:i/>
                <w:iCs/>
                <w:sz w:val="20"/>
                <w:szCs w:val="20"/>
              </w:rPr>
              <w:t>perational</w:t>
            </w:r>
            <w:r w:rsidR="005E68CB" w:rsidRPr="00116E55">
              <w:rPr>
                <w:rFonts w:asciiTheme="minorHAnsi" w:eastAsiaTheme="minorEastAsia" w:hAnsiTheme="minorHAnsi" w:cstheme="minorHAnsi"/>
                <w:i/>
                <w:iCs/>
                <w:sz w:val="20"/>
                <w:szCs w:val="20"/>
              </w:rPr>
              <w:t xml:space="preserve">, </w:t>
            </w:r>
            <w:r w:rsidR="00496E68" w:rsidRPr="00116E55">
              <w:rPr>
                <w:rFonts w:asciiTheme="minorHAnsi" w:eastAsiaTheme="minorEastAsia" w:hAnsiTheme="minorHAnsi" w:cstheme="minorHAnsi"/>
                <w:i/>
                <w:iCs/>
                <w:sz w:val="20"/>
                <w:szCs w:val="20"/>
              </w:rPr>
              <w:t>financial</w:t>
            </w:r>
            <w:r w:rsidR="005E68CB" w:rsidRPr="00116E55">
              <w:rPr>
                <w:rFonts w:asciiTheme="minorHAnsi" w:eastAsiaTheme="minorEastAsia" w:hAnsiTheme="minorHAnsi" w:cstheme="minorHAnsi"/>
                <w:i/>
                <w:iCs/>
                <w:sz w:val="20"/>
                <w:szCs w:val="20"/>
              </w:rPr>
              <w:t xml:space="preserve"> and regulatory</w:t>
            </w:r>
            <w:r w:rsidR="00190A82" w:rsidRPr="00116E55">
              <w:rPr>
                <w:rFonts w:asciiTheme="minorHAnsi" w:eastAsiaTheme="minorEastAsia" w:hAnsiTheme="minorHAnsi" w:cstheme="minorHAnsi"/>
                <w:i/>
                <w:iCs/>
                <w:sz w:val="20"/>
                <w:szCs w:val="20"/>
              </w:rPr>
              <w:t xml:space="preserve"> risks: </w:t>
            </w:r>
          </w:p>
          <w:p w14:paraId="0BCCCCD1" w14:textId="77777777" w:rsidR="00190A82" w:rsidRPr="00577B2C" w:rsidRDefault="00190A82" w:rsidP="00577B2C">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0"/>
                <w:szCs w:val="20"/>
              </w:rPr>
            </w:pPr>
            <w:r w:rsidRPr="00577B2C">
              <w:rPr>
                <w:rFonts w:asciiTheme="minorHAnsi" w:eastAsiaTheme="minorEastAsia" w:hAnsiTheme="minorHAnsi" w:cstheme="minorHAnsi"/>
                <w:sz w:val="20"/>
                <w:szCs w:val="20"/>
              </w:rPr>
              <w:t xml:space="preserve">Operational assets will continue to be maintained to provide services to customers. </w:t>
            </w:r>
          </w:p>
          <w:p w14:paraId="4ADA2B37" w14:textId="1AA54FE3" w:rsidR="00190A82" w:rsidRPr="00577B2C" w:rsidRDefault="00190A82" w:rsidP="00577B2C">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0"/>
                <w:szCs w:val="20"/>
              </w:rPr>
            </w:pPr>
            <w:r w:rsidRPr="00577B2C">
              <w:rPr>
                <w:rFonts w:asciiTheme="minorHAnsi" w:eastAsiaTheme="minorEastAsia" w:hAnsiTheme="minorHAnsi" w:cstheme="minorHAnsi"/>
                <w:sz w:val="20"/>
                <w:szCs w:val="20"/>
              </w:rPr>
              <w:t xml:space="preserve">Drinking water improvements and the </w:t>
            </w:r>
            <w:r w:rsidR="00CE7321">
              <w:rPr>
                <w:rFonts w:asciiTheme="minorHAnsi" w:eastAsiaTheme="minorEastAsia" w:hAnsiTheme="minorHAnsi" w:cstheme="minorHAnsi"/>
                <w:sz w:val="20"/>
                <w:szCs w:val="20"/>
              </w:rPr>
              <w:t>revised</w:t>
            </w:r>
            <w:r w:rsidRPr="00577B2C">
              <w:rPr>
                <w:rFonts w:asciiTheme="minorHAnsi" w:eastAsiaTheme="minorEastAsia" w:hAnsiTheme="minorHAnsi" w:cstheme="minorHAnsi"/>
                <w:sz w:val="20"/>
                <w:szCs w:val="20"/>
              </w:rPr>
              <w:t xml:space="preserve"> maintenance model will provide greater value, reliability and safety for our customers.</w:t>
            </w:r>
          </w:p>
          <w:p w14:paraId="174E92D6" w14:textId="5EF12C06" w:rsidR="00EB1591" w:rsidRPr="00577B2C" w:rsidRDefault="00EB1591" w:rsidP="00577B2C">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0"/>
                <w:szCs w:val="20"/>
              </w:rPr>
            </w:pPr>
            <w:r w:rsidRPr="00577B2C">
              <w:rPr>
                <w:rFonts w:asciiTheme="minorHAnsi" w:eastAsiaTheme="minorEastAsia" w:hAnsiTheme="minorHAnsi" w:cstheme="minorHAnsi"/>
                <w:sz w:val="20"/>
                <w:szCs w:val="20"/>
              </w:rPr>
              <w:t xml:space="preserve">Supply chain risk </w:t>
            </w:r>
            <w:r w:rsidR="00BC2868" w:rsidRPr="00577B2C">
              <w:rPr>
                <w:rFonts w:asciiTheme="minorHAnsi" w:eastAsiaTheme="minorEastAsia" w:hAnsiTheme="minorHAnsi" w:cstheme="minorHAnsi"/>
                <w:sz w:val="20"/>
                <w:szCs w:val="20"/>
              </w:rPr>
              <w:t>will be</w:t>
            </w:r>
            <w:r w:rsidRPr="00577B2C">
              <w:rPr>
                <w:rFonts w:asciiTheme="minorHAnsi" w:eastAsiaTheme="minorEastAsia" w:hAnsiTheme="minorHAnsi" w:cstheme="minorHAnsi"/>
                <w:sz w:val="20"/>
                <w:szCs w:val="20"/>
              </w:rPr>
              <w:t xml:space="preserve"> mitigated through established contractual relationships and South East Water</w:t>
            </w:r>
            <w:r w:rsidR="00612583" w:rsidRPr="00577B2C">
              <w:rPr>
                <w:rFonts w:asciiTheme="minorHAnsi" w:eastAsiaTheme="minorEastAsia" w:hAnsiTheme="minorHAnsi" w:cstheme="minorHAnsi"/>
                <w:sz w:val="20"/>
                <w:szCs w:val="20"/>
              </w:rPr>
              <w:t>’</w:t>
            </w:r>
            <w:r w:rsidRPr="00577B2C">
              <w:rPr>
                <w:rFonts w:asciiTheme="minorHAnsi" w:eastAsiaTheme="minorEastAsia" w:hAnsiTheme="minorHAnsi" w:cstheme="minorHAnsi"/>
                <w:sz w:val="20"/>
                <w:szCs w:val="20"/>
              </w:rPr>
              <w:t xml:space="preserve">s participation in the water sector national mutual aid program to mitigate risks associated with resourcing, equipment and chemical supplies. </w:t>
            </w:r>
          </w:p>
          <w:p w14:paraId="3C63E865" w14:textId="121383F0" w:rsidR="00EB1591" w:rsidRPr="00577B2C" w:rsidRDefault="00EB1591" w:rsidP="00577B2C">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0"/>
                <w:szCs w:val="20"/>
              </w:rPr>
            </w:pPr>
            <w:r w:rsidRPr="00577B2C">
              <w:rPr>
                <w:rFonts w:asciiTheme="minorHAnsi" w:eastAsiaTheme="minorEastAsia" w:hAnsiTheme="minorHAnsi" w:cstheme="minorHAnsi"/>
                <w:sz w:val="20"/>
                <w:szCs w:val="20"/>
              </w:rPr>
              <w:t xml:space="preserve">South East Water has renewed its </w:t>
            </w:r>
            <w:r w:rsidR="00CE7321">
              <w:rPr>
                <w:rFonts w:asciiTheme="minorHAnsi" w:eastAsiaTheme="minorEastAsia" w:hAnsiTheme="minorHAnsi" w:cstheme="minorHAnsi"/>
                <w:sz w:val="20"/>
                <w:szCs w:val="20"/>
              </w:rPr>
              <w:t>maintenance</w:t>
            </w:r>
            <w:r w:rsidRPr="00577B2C">
              <w:rPr>
                <w:rFonts w:asciiTheme="minorHAnsi" w:eastAsiaTheme="minorEastAsia" w:hAnsiTheme="minorHAnsi" w:cstheme="minorHAnsi"/>
                <w:sz w:val="20"/>
                <w:szCs w:val="20"/>
              </w:rPr>
              <w:t xml:space="preserve"> model </w:t>
            </w:r>
            <w:r w:rsidRPr="00577B2C">
              <w:rPr>
                <w:rFonts w:asciiTheme="minorHAnsi" w:hAnsiTheme="minorHAnsi" w:cstheme="minorHAnsi"/>
                <w:sz w:val="20"/>
                <w:szCs w:val="20"/>
              </w:rPr>
              <w:t>that creates (and maintains) competition by comparison between competing contractors, to promote value-for-money outcomes with more emphasis on performance.</w:t>
            </w:r>
            <w:r w:rsidRPr="00577B2C">
              <w:rPr>
                <w:rFonts w:asciiTheme="minorHAnsi" w:eastAsiaTheme="minorEastAsia" w:hAnsiTheme="minorHAnsi" w:cstheme="minorHAnsi"/>
                <w:sz w:val="20"/>
                <w:szCs w:val="20"/>
              </w:rPr>
              <w:t xml:space="preserve"> </w:t>
            </w:r>
          </w:p>
          <w:p w14:paraId="6E5A3FCD" w14:textId="77777777" w:rsidR="00EB1591" w:rsidRPr="00116E55" w:rsidRDefault="00EB1591" w:rsidP="00865E3B">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0"/>
                <w:szCs w:val="20"/>
              </w:rPr>
            </w:pPr>
          </w:p>
          <w:p w14:paraId="69019170" w14:textId="74DAF942" w:rsidR="005F24A8" w:rsidRPr="00116E55" w:rsidRDefault="005F24A8" w:rsidP="00865E3B">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i/>
                <w:iCs/>
                <w:sz w:val="20"/>
                <w:szCs w:val="20"/>
              </w:rPr>
            </w:pPr>
            <w:r w:rsidRPr="00116E55">
              <w:rPr>
                <w:rFonts w:asciiTheme="minorHAnsi" w:eastAsiaTheme="minorEastAsia" w:hAnsiTheme="minorHAnsi" w:cstheme="minorHAnsi"/>
                <w:i/>
                <w:iCs/>
                <w:sz w:val="20"/>
                <w:szCs w:val="20"/>
              </w:rPr>
              <w:t>Mitigation of risk</w:t>
            </w:r>
            <w:r w:rsidR="008A2296" w:rsidRPr="00116E55">
              <w:rPr>
                <w:rFonts w:asciiTheme="minorHAnsi" w:eastAsiaTheme="minorEastAsia" w:hAnsiTheme="minorHAnsi" w:cstheme="minorHAnsi"/>
                <w:i/>
                <w:iCs/>
                <w:sz w:val="20"/>
                <w:szCs w:val="20"/>
              </w:rPr>
              <w:t xml:space="preserve"> of inefficient cost increases</w:t>
            </w:r>
            <w:r w:rsidRPr="00116E55">
              <w:rPr>
                <w:rFonts w:asciiTheme="minorHAnsi" w:eastAsiaTheme="minorEastAsia" w:hAnsiTheme="minorHAnsi" w:cstheme="minorHAnsi"/>
                <w:i/>
                <w:iCs/>
                <w:sz w:val="20"/>
                <w:szCs w:val="20"/>
              </w:rPr>
              <w:t>:</w:t>
            </w:r>
          </w:p>
          <w:p w14:paraId="610970F5" w14:textId="0B0F6D5B" w:rsidR="007B7E93" w:rsidRPr="00116E55" w:rsidRDefault="00443A47" w:rsidP="00865E3B">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0"/>
                <w:szCs w:val="20"/>
              </w:rPr>
            </w:pPr>
            <w:r w:rsidRPr="00116E55">
              <w:rPr>
                <w:rFonts w:asciiTheme="minorHAnsi" w:eastAsiaTheme="minorEastAsia" w:hAnsiTheme="minorHAnsi" w:cstheme="minorHAnsi"/>
                <w:sz w:val="20"/>
                <w:szCs w:val="20"/>
              </w:rPr>
              <w:t xml:space="preserve">Prudent and efficient expenditure programs </w:t>
            </w:r>
            <w:r w:rsidR="00240386" w:rsidRPr="00116E55">
              <w:rPr>
                <w:rFonts w:asciiTheme="minorHAnsi" w:eastAsiaTheme="minorEastAsia" w:hAnsiTheme="minorHAnsi" w:cstheme="minorHAnsi"/>
                <w:sz w:val="20"/>
                <w:szCs w:val="20"/>
              </w:rPr>
              <w:t>are</w:t>
            </w:r>
            <w:r w:rsidRPr="00116E55">
              <w:rPr>
                <w:rFonts w:asciiTheme="minorHAnsi" w:eastAsiaTheme="minorEastAsia" w:hAnsiTheme="minorHAnsi" w:cstheme="minorHAnsi"/>
                <w:sz w:val="20"/>
                <w:szCs w:val="20"/>
              </w:rPr>
              <w:t xml:space="preserve"> built into </w:t>
            </w:r>
            <w:r w:rsidR="000D4C52" w:rsidRPr="00116E55">
              <w:rPr>
                <w:rFonts w:asciiTheme="minorHAnsi" w:eastAsiaTheme="minorEastAsia" w:hAnsiTheme="minorHAnsi" w:cstheme="minorHAnsi"/>
                <w:sz w:val="20"/>
                <w:szCs w:val="20"/>
              </w:rPr>
              <w:t xml:space="preserve">the </w:t>
            </w:r>
            <w:r w:rsidRPr="00116E55">
              <w:rPr>
                <w:rFonts w:asciiTheme="minorHAnsi" w:eastAsiaTheme="minorEastAsia" w:hAnsiTheme="minorHAnsi" w:cstheme="minorHAnsi"/>
                <w:sz w:val="20"/>
                <w:szCs w:val="20"/>
              </w:rPr>
              <w:t>operating and capital expenditure forecasts</w:t>
            </w:r>
            <w:r w:rsidR="00B06CCC" w:rsidRPr="00116E55">
              <w:rPr>
                <w:rFonts w:asciiTheme="minorHAnsi" w:eastAsiaTheme="minorEastAsia" w:hAnsiTheme="minorHAnsi" w:cstheme="minorHAnsi"/>
                <w:sz w:val="20"/>
                <w:szCs w:val="20"/>
              </w:rPr>
              <w:t>.</w:t>
            </w:r>
          </w:p>
          <w:p w14:paraId="55FB2999" w14:textId="673B73C9" w:rsidR="00541E07" w:rsidRPr="00116E55" w:rsidRDefault="0043268E" w:rsidP="00544D26">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0"/>
                <w:szCs w:val="20"/>
              </w:rPr>
            </w:pPr>
            <w:r w:rsidRPr="00116E55">
              <w:rPr>
                <w:rFonts w:asciiTheme="minorHAnsi" w:eastAsiaTheme="minorEastAsia" w:hAnsiTheme="minorHAnsi" w:cstheme="minorHAnsi"/>
                <w:sz w:val="20"/>
                <w:szCs w:val="20"/>
              </w:rPr>
              <w:t>South East Water</w:t>
            </w:r>
            <w:r w:rsidR="00612583" w:rsidRPr="00116E55">
              <w:rPr>
                <w:rFonts w:asciiTheme="minorHAnsi" w:eastAsiaTheme="minorEastAsia" w:hAnsiTheme="minorHAnsi" w:cstheme="minorHAnsi"/>
                <w:sz w:val="20"/>
                <w:szCs w:val="20"/>
              </w:rPr>
              <w:t>’</w:t>
            </w:r>
            <w:r w:rsidRPr="00116E55">
              <w:rPr>
                <w:rFonts w:asciiTheme="minorHAnsi" w:eastAsiaTheme="minorEastAsia" w:hAnsiTheme="minorHAnsi" w:cstheme="minorHAnsi"/>
                <w:sz w:val="20"/>
                <w:szCs w:val="20"/>
              </w:rPr>
              <w:t>s d</w:t>
            </w:r>
            <w:r w:rsidR="00A0668C" w:rsidRPr="00116E55">
              <w:rPr>
                <w:rFonts w:asciiTheme="minorHAnsi" w:eastAsiaTheme="minorEastAsia" w:hAnsiTheme="minorHAnsi" w:cstheme="minorHAnsi"/>
                <w:sz w:val="20"/>
                <w:szCs w:val="20"/>
              </w:rPr>
              <w:t xml:space="preserve">igital investments </w:t>
            </w:r>
            <w:r w:rsidR="00C212C3" w:rsidRPr="00116E55">
              <w:rPr>
                <w:rFonts w:asciiTheme="minorHAnsi" w:eastAsiaTheme="minorEastAsia" w:hAnsiTheme="minorHAnsi" w:cstheme="minorHAnsi"/>
                <w:sz w:val="20"/>
                <w:szCs w:val="20"/>
              </w:rPr>
              <w:t>and contracting arrangements</w:t>
            </w:r>
            <w:r w:rsidR="00A0668C" w:rsidRPr="00116E55">
              <w:rPr>
                <w:rFonts w:asciiTheme="minorHAnsi" w:eastAsiaTheme="minorEastAsia" w:hAnsiTheme="minorHAnsi" w:cstheme="minorHAnsi"/>
                <w:sz w:val="20"/>
                <w:szCs w:val="20"/>
              </w:rPr>
              <w:t xml:space="preserve"> will drive </w:t>
            </w:r>
            <w:r w:rsidR="00541E07" w:rsidRPr="00116E55">
              <w:rPr>
                <w:rFonts w:asciiTheme="minorHAnsi" w:eastAsiaTheme="minorEastAsia" w:hAnsiTheme="minorHAnsi" w:cstheme="minorHAnsi"/>
                <w:sz w:val="20"/>
                <w:szCs w:val="20"/>
              </w:rPr>
              <w:t>productivity</w:t>
            </w:r>
            <w:r w:rsidR="00A0668C" w:rsidRPr="00116E55">
              <w:rPr>
                <w:rFonts w:asciiTheme="minorHAnsi" w:eastAsiaTheme="minorEastAsia" w:hAnsiTheme="minorHAnsi" w:cstheme="minorHAnsi"/>
                <w:sz w:val="20"/>
                <w:szCs w:val="20"/>
              </w:rPr>
              <w:t xml:space="preserve"> and efficiency</w:t>
            </w:r>
            <w:r w:rsidR="00F8062D" w:rsidRPr="00116E55">
              <w:rPr>
                <w:rFonts w:asciiTheme="minorHAnsi" w:eastAsiaTheme="minorEastAsia" w:hAnsiTheme="minorHAnsi" w:cstheme="minorHAnsi"/>
                <w:sz w:val="20"/>
                <w:szCs w:val="20"/>
              </w:rPr>
              <w:t xml:space="preserve"> to manage financial risks</w:t>
            </w:r>
            <w:r w:rsidR="00744A64" w:rsidRPr="00116E55">
              <w:rPr>
                <w:rFonts w:asciiTheme="minorHAnsi" w:eastAsiaTheme="minorEastAsia" w:hAnsiTheme="minorHAnsi" w:cstheme="minorHAnsi"/>
                <w:sz w:val="20"/>
                <w:szCs w:val="20"/>
              </w:rPr>
              <w:t>.</w:t>
            </w:r>
          </w:p>
          <w:p w14:paraId="4CFEDE54" w14:textId="77777777" w:rsidR="008D72A2" w:rsidRPr="00116E55" w:rsidRDefault="008D72A2" w:rsidP="00544D26">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0"/>
                <w:szCs w:val="20"/>
              </w:rPr>
            </w:pPr>
          </w:p>
          <w:p w14:paraId="2FD4CFDC" w14:textId="2475DFD5" w:rsidR="008D72A2" w:rsidRPr="00116E55" w:rsidRDefault="008D72A2" w:rsidP="008D72A2">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i/>
                <w:iCs/>
                <w:sz w:val="20"/>
                <w:szCs w:val="20"/>
              </w:rPr>
            </w:pPr>
            <w:r w:rsidRPr="00116E55">
              <w:rPr>
                <w:rFonts w:asciiTheme="minorHAnsi" w:eastAsiaTheme="minorEastAsia" w:hAnsiTheme="minorHAnsi" w:cstheme="minorHAnsi"/>
                <w:i/>
                <w:iCs/>
                <w:sz w:val="20"/>
                <w:szCs w:val="20"/>
              </w:rPr>
              <w:t xml:space="preserve">Mitigation of business risks: </w:t>
            </w:r>
          </w:p>
          <w:p w14:paraId="24D77443" w14:textId="28B6ED7F" w:rsidR="008D72A2" w:rsidRPr="00116E55" w:rsidRDefault="008D72A2" w:rsidP="008D72A2">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0"/>
                <w:szCs w:val="20"/>
              </w:rPr>
            </w:pPr>
            <w:r w:rsidRPr="00116E55">
              <w:rPr>
                <w:rFonts w:asciiTheme="minorHAnsi" w:eastAsiaTheme="minorEastAsia" w:hAnsiTheme="minorHAnsi" w:cstheme="minorHAnsi"/>
                <w:sz w:val="20"/>
                <w:szCs w:val="20"/>
              </w:rPr>
              <w:t xml:space="preserve">South East Water is proposing a modest step change </w:t>
            </w:r>
            <w:r w:rsidR="00037442" w:rsidRPr="00116E55">
              <w:rPr>
                <w:rFonts w:asciiTheme="minorHAnsi" w:eastAsiaTheme="minorEastAsia" w:hAnsiTheme="minorHAnsi" w:cstheme="minorHAnsi"/>
                <w:sz w:val="20"/>
                <w:szCs w:val="20"/>
              </w:rPr>
              <w:t>of $1.8 million</w:t>
            </w:r>
            <w:r w:rsidRPr="00116E55">
              <w:rPr>
                <w:rFonts w:asciiTheme="minorHAnsi" w:eastAsiaTheme="minorEastAsia" w:hAnsiTheme="minorHAnsi" w:cstheme="minorHAnsi"/>
                <w:sz w:val="20"/>
                <w:szCs w:val="20"/>
              </w:rPr>
              <w:t xml:space="preserve"> </w:t>
            </w:r>
            <w:r w:rsidR="00037442" w:rsidRPr="00116E55">
              <w:rPr>
                <w:rFonts w:asciiTheme="minorHAnsi" w:eastAsiaTheme="minorEastAsia" w:hAnsiTheme="minorHAnsi" w:cstheme="minorHAnsi"/>
                <w:sz w:val="20"/>
                <w:szCs w:val="20"/>
              </w:rPr>
              <w:t>to enhance our</w:t>
            </w:r>
            <w:r w:rsidRPr="00116E55">
              <w:rPr>
                <w:rFonts w:asciiTheme="minorHAnsi" w:eastAsiaTheme="minorEastAsia" w:hAnsiTheme="minorHAnsi" w:cstheme="minorHAnsi"/>
                <w:sz w:val="20"/>
                <w:szCs w:val="20"/>
              </w:rPr>
              <w:t xml:space="preserve"> climate </w:t>
            </w:r>
            <w:r w:rsidR="00037442" w:rsidRPr="00116E55">
              <w:rPr>
                <w:rFonts w:asciiTheme="minorHAnsi" w:eastAsiaTheme="minorEastAsia" w:hAnsiTheme="minorHAnsi" w:cstheme="minorHAnsi"/>
                <w:sz w:val="20"/>
                <w:szCs w:val="20"/>
              </w:rPr>
              <w:t>adaption management.</w:t>
            </w:r>
          </w:p>
          <w:p w14:paraId="2A3B31C5" w14:textId="1F77AB99" w:rsidR="00541E07" w:rsidRPr="00116E55" w:rsidRDefault="00541E07" w:rsidP="00544D26">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0"/>
                <w:szCs w:val="20"/>
              </w:rPr>
            </w:pPr>
          </w:p>
        </w:tc>
        <w:tc>
          <w:tcPr>
            <w:tcW w:w="3989" w:type="dxa"/>
            <w:tcBorders>
              <w:top w:val="single" w:sz="4" w:space="0" w:color="002279"/>
            </w:tcBorders>
            <w:shd w:val="clear" w:color="auto" w:fill="D4D6DF"/>
          </w:tcPr>
          <w:p w14:paraId="220E5BCA" w14:textId="63C6E186" w:rsidR="00B36F10" w:rsidRPr="00116E55" w:rsidRDefault="00B36F10" w:rsidP="00865E3B">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0"/>
                <w:szCs w:val="20"/>
              </w:rPr>
            </w:pPr>
            <w:r w:rsidRPr="00116E55">
              <w:rPr>
                <w:rFonts w:asciiTheme="minorHAnsi" w:eastAsiaTheme="minorEastAsia" w:hAnsiTheme="minorHAnsi" w:cstheme="minorHAnsi"/>
                <w:sz w:val="20"/>
                <w:szCs w:val="20"/>
              </w:rPr>
              <w:t xml:space="preserve">Risk is shared between </w:t>
            </w:r>
            <w:r w:rsidR="003F2CF0" w:rsidRPr="00116E55">
              <w:rPr>
                <w:rFonts w:asciiTheme="minorHAnsi" w:eastAsiaTheme="minorEastAsia" w:hAnsiTheme="minorHAnsi" w:cstheme="minorHAnsi"/>
                <w:sz w:val="20"/>
                <w:szCs w:val="20"/>
              </w:rPr>
              <w:t>South</w:t>
            </w:r>
            <w:r w:rsidR="00B16E3F" w:rsidRPr="00116E55">
              <w:rPr>
                <w:rFonts w:asciiTheme="minorHAnsi" w:eastAsiaTheme="minorEastAsia" w:hAnsiTheme="minorHAnsi" w:cstheme="minorHAnsi"/>
                <w:sz w:val="20"/>
                <w:szCs w:val="20"/>
              </w:rPr>
              <w:t> </w:t>
            </w:r>
            <w:r w:rsidR="003F2CF0" w:rsidRPr="00116E55">
              <w:rPr>
                <w:rFonts w:asciiTheme="minorHAnsi" w:eastAsiaTheme="minorEastAsia" w:hAnsiTheme="minorHAnsi" w:cstheme="minorHAnsi"/>
                <w:sz w:val="20"/>
                <w:szCs w:val="20"/>
              </w:rPr>
              <w:t>East</w:t>
            </w:r>
            <w:r w:rsidR="00B16E3F" w:rsidRPr="00116E55">
              <w:rPr>
                <w:rFonts w:asciiTheme="minorHAnsi" w:eastAsiaTheme="minorEastAsia" w:hAnsiTheme="minorHAnsi" w:cstheme="minorHAnsi"/>
                <w:sz w:val="20"/>
                <w:szCs w:val="20"/>
              </w:rPr>
              <w:t> </w:t>
            </w:r>
            <w:r w:rsidR="003F2CF0" w:rsidRPr="00116E55">
              <w:rPr>
                <w:rFonts w:asciiTheme="minorHAnsi" w:eastAsiaTheme="minorEastAsia" w:hAnsiTheme="minorHAnsi" w:cstheme="minorHAnsi"/>
                <w:sz w:val="20"/>
                <w:szCs w:val="20"/>
              </w:rPr>
              <w:t>Water</w:t>
            </w:r>
            <w:r w:rsidRPr="00116E55">
              <w:rPr>
                <w:rFonts w:asciiTheme="minorHAnsi" w:eastAsiaTheme="minorEastAsia" w:hAnsiTheme="minorHAnsi" w:cstheme="minorHAnsi"/>
                <w:sz w:val="20"/>
                <w:szCs w:val="20"/>
              </w:rPr>
              <w:t xml:space="preserve"> and customers. </w:t>
            </w:r>
          </w:p>
          <w:p w14:paraId="18F3F33B" w14:textId="77777777" w:rsidR="00B36F10" w:rsidRPr="00116E55" w:rsidRDefault="00B36F10" w:rsidP="00865E3B">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0"/>
                <w:szCs w:val="20"/>
              </w:rPr>
            </w:pPr>
          </w:p>
          <w:p w14:paraId="359D7C71" w14:textId="2A286B9D" w:rsidR="00E13DC3" w:rsidRPr="00116E55" w:rsidRDefault="00DF6415" w:rsidP="00865E3B">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0"/>
                <w:szCs w:val="20"/>
              </w:rPr>
            </w:pPr>
            <w:r w:rsidRPr="00116E55">
              <w:rPr>
                <w:rFonts w:asciiTheme="minorHAnsi" w:eastAsiaTheme="minorEastAsia" w:hAnsiTheme="minorHAnsi" w:cstheme="minorHAnsi"/>
                <w:sz w:val="20"/>
                <w:szCs w:val="20"/>
              </w:rPr>
              <w:t>South East Water propose</w:t>
            </w:r>
            <w:r w:rsidR="00C63795" w:rsidRPr="00116E55">
              <w:rPr>
                <w:rFonts w:asciiTheme="minorHAnsi" w:eastAsiaTheme="minorEastAsia" w:hAnsiTheme="minorHAnsi" w:cstheme="minorHAnsi"/>
                <w:sz w:val="20"/>
                <w:szCs w:val="20"/>
              </w:rPr>
              <w:t>s</w:t>
            </w:r>
            <w:r w:rsidRPr="00116E55">
              <w:rPr>
                <w:rFonts w:asciiTheme="minorHAnsi" w:eastAsiaTheme="minorEastAsia" w:hAnsiTheme="minorHAnsi" w:cstheme="minorHAnsi"/>
                <w:sz w:val="20"/>
                <w:szCs w:val="20"/>
              </w:rPr>
              <w:t xml:space="preserve"> to </w:t>
            </w:r>
            <w:r w:rsidR="00527939">
              <w:rPr>
                <w:rFonts w:asciiTheme="minorHAnsi" w:eastAsiaTheme="minorEastAsia" w:hAnsiTheme="minorHAnsi" w:cstheme="minorHAnsi"/>
                <w:sz w:val="20"/>
                <w:szCs w:val="20"/>
              </w:rPr>
              <w:t>bear</w:t>
            </w:r>
            <w:r w:rsidRPr="00116E55">
              <w:rPr>
                <w:rFonts w:asciiTheme="minorHAnsi" w:eastAsiaTheme="minorEastAsia" w:hAnsiTheme="minorHAnsi" w:cstheme="minorHAnsi"/>
                <w:sz w:val="20"/>
                <w:szCs w:val="20"/>
              </w:rPr>
              <w:t xml:space="preserve"> key risks</w:t>
            </w:r>
            <w:r w:rsidR="00097412" w:rsidRPr="00116E55">
              <w:rPr>
                <w:rFonts w:asciiTheme="minorHAnsi" w:eastAsiaTheme="minorEastAsia" w:hAnsiTheme="minorHAnsi" w:cstheme="minorHAnsi"/>
                <w:sz w:val="20"/>
                <w:szCs w:val="20"/>
              </w:rPr>
              <w:t xml:space="preserve"> </w:t>
            </w:r>
            <w:r w:rsidR="00E13DC3" w:rsidRPr="00116E55">
              <w:rPr>
                <w:rFonts w:asciiTheme="minorHAnsi" w:eastAsiaTheme="minorEastAsia" w:hAnsiTheme="minorHAnsi" w:cstheme="minorHAnsi"/>
                <w:sz w:val="20"/>
                <w:szCs w:val="20"/>
              </w:rPr>
              <w:t>to ensure that our op</w:t>
            </w:r>
            <w:r w:rsidR="002D050A" w:rsidRPr="00116E55">
              <w:rPr>
                <w:rFonts w:asciiTheme="minorHAnsi" w:eastAsiaTheme="minorEastAsia" w:hAnsiTheme="minorHAnsi" w:cstheme="minorHAnsi"/>
                <w:sz w:val="20"/>
                <w:szCs w:val="20"/>
              </w:rPr>
              <w:t xml:space="preserve">erating </w:t>
            </w:r>
            <w:r w:rsidR="00E13DC3" w:rsidRPr="00116E55">
              <w:rPr>
                <w:rFonts w:asciiTheme="minorHAnsi" w:eastAsiaTheme="minorEastAsia" w:hAnsiTheme="minorHAnsi" w:cstheme="minorHAnsi"/>
                <w:sz w:val="20"/>
                <w:szCs w:val="20"/>
              </w:rPr>
              <w:t>ex</w:t>
            </w:r>
            <w:r w:rsidR="002D050A" w:rsidRPr="00116E55">
              <w:rPr>
                <w:rFonts w:asciiTheme="minorHAnsi" w:eastAsiaTheme="minorEastAsia" w:hAnsiTheme="minorHAnsi" w:cstheme="minorHAnsi"/>
                <w:sz w:val="20"/>
                <w:szCs w:val="20"/>
              </w:rPr>
              <w:t>penditure</w:t>
            </w:r>
            <w:r w:rsidR="00E13DC3" w:rsidRPr="00116E55">
              <w:rPr>
                <w:rFonts w:asciiTheme="minorHAnsi" w:eastAsiaTheme="minorEastAsia" w:hAnsiTheme="minorHAnsi" w:cstheme="minorHAnsi"/>
                <w:sz w:val="20"/>
                <w:szCs w:val="20"/>
              </w:rPr>
              <w:t xml:space="preserve"> proposal is efficient and to ensure that we have strong incentive</w:t>
            </w:r>
            <w:r w:rsidR="005F4E17" w:rsidRPr="00116E55">
              <w:rPr>
                <w:rFonts w:asciiTheme="minorHAnsi" w:eastAsiaTheme="minorEastAsia" w:hAnsiTheme="minorHAnsi" w:cstheme="minorHAnsi"/>
                <w:sz w:val="20"/>
                <w:szCs w:val="20"/>
              </w:rPr>
              <w:t>s</w:t>
            </w:r>
            <w:r w:rsidR="00E13DC3" w:rsidRPr="00116E55">
              <w:rPr>
                <w:rFonts w:asciiTheme="minorHAnsi" w:eastAsiaTheme="minorEastAsia" w:hAnsiTheme="minorHAnsi" w:cstheme="minorHAnsi"/>
                <w:sz w:val="20"/>
                <w:szCs w:val="20"/>
              </w:rPr>
              <w:t xml:space="preserve"> to reduce the risks of poor performance</w:t>
            </w:r>
            <w:r w:rsidR="009C4F64" w:rsidRPr="00116E55">
              <w:rPr>
                <w:rFonts w:asciiTheme="minorHAnsi" w:eastAsiaTheme="minorEastAsia" w:hAnsiTheme="minorHAnsi" w:cstheme="minorHAnsi"/>
                <w:sz w:val="20"/>
                <w:szCs w:val="20"/>
              </w:rPr>
              <w:t>.</w:t>
            </w:r>
          </w:p>
          <w:p w14:paraId="3E7647F2" w14:textId="77777777" w:rsidR="00E13DC3" w:rsidRPr="00116E55" w:rsidRDefault="00E13DC3" w:rsidP="00865E3B">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0"/>
                <w:szCs w:val="20"/>
              </w:rPr>
            </w:pPr>
          </w:p>
          <w:p w14:paraId="56278F6E" w14:textId="14FA6AD6" w:rsidR="000E73CA" w:rsidRDefault="00520C19" w:rsidP="00865E3B">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0"/>
                <w:szCs w:val="20"/>
              </w:rPr>
            </w:pPr>
            <w:r w:rsidRPr="00116E55">
              <w:rPr>
                <w:rFonts w:asciiTheme="minorHAnsi" w:eastAsiaTheme="minorEastAsia" w:hAnsiTheme="minorHAnsi" w:cstheme="minorHAnsi"/>
                <w:sz w:val="20"/>
                <w:szCs w:val="20"/>
              </w:rPr>
              <w:t>To achieve this,</w:t>
            </w:r>
            <w:r w:rsidR="00DA4365" w:rsidRPr="00116E55">
              <w:rPr>
                <w:rFonts w:asciiTheme="minorHAnsi" w:eastAsiaTheme="minorEastAsia" w:hAnsiTheme="minorHAnsi" w:cstheme="minorHAnsi"/>
                <w:sz w:val="20"/>
                <w:szCs w:val="20"/>
              </w:rPr>
              <w:t xml:space="preserve"> South East Water will:</w:t>
            </w:r>
          </w:p>
          <w:p w14:paraId="46768926" w14:textId="68F02276" w:rsidR="007B7E93" w:rsidRDefault="00C63795">
            <w:pPr>
              <w:pStyle w:val="ListParagraph"/>
              <w:numPr>
                <w:ilvl w:val="0"/>
                <w:numId w:val="73"/>
              </w:numPr>
              <w:ind w:left="197" w:hanging="197"/>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0"/>
                <w:szCs w:val="20"/>
              </w:rPr>
            </w:pPr>
            <w:r w:rsidRPr="00116E55">
              <w:rPr>
                <w:rFonts w:asciiTheme="minorHAnsi" w:eastAsiaTheme="minorEastAsia" w:hAnsiTheme="minorHAnsi" w:cstheme="minorHAnsi"/>
                <w:sz w:val="20"/>
                <w:szCs w:val="20"/>
              </w:rPr>
              <w:t>o</w:t>
            </w:r>
            <w:r w:rsidR="00E1579F" w:rsidRPr="00116E55">
              <w:rPr>
                <w:rFonts w:asciiTheme="minorHAnsi" w:eastAsiaTheme="minorEastAsia" w:hAnsiTheme="minorHAnsi" w:cstheme="minorHAnsi"/>
                <w:sz w:val="20"/>
                <w:szCs w:val="20"/>
              </w:rPr>
              <w:t>ffset step change</w:t>
            </w:r>
            <w:r w:rsidR="00AA76F7" w:rsidRPr="00116E55">
              <w:rPr>
                <w:rFonts w:asciiTheme="minorHAnsi" w:eastAsiaTheme="minorEastAsia" w:hAnsiTheme="minorHAnsi" w:cstheme="minorHAnsi"/>
                <w:sz w:val="20"/>
                <w:szCs w:val="20"/>
              </w:rPr>
              <w:t xml:space="preserve">s in operating </w:t>
            </w:r>
            <w:r w:rsidR="003D0A18" w:rsidRPr="00116E55">
              <w:rPr>
                <w:rFonts w:asciiTheme="minorHAnsi" w:eastAsiaTheme="minorEastAsia" w:hAnsiTheme="minorHAnsi" w:cstheme="minorHAnsi"/>
                <w:sz w:val="20"/>
                <w:szCs w:val="20"/>
              </w:rPr>
              <w:t>expenditure</w:t>
            </w:r>
            <w:r w:rsidR="00DA4365" w:rsidRPr="00116E55">
              <w:rPr>
                <w:rFonts w:asciiTheme="minorHAnsi" w:eastAsiaTheme="minorEastAsia" w:hAnsiTheme="minorHAnsi" w:cstheme="minorHAnsi"/>
                <w:sz w:val="20"/>
                <w:szCs w:val="20"/>
              </w:rPr>
              <w:t xml:space="preserve"> by</w:t>
            </w:r>
            <w:r w:rsidR="00E1579F" w:rsidRPr="00116E55">
              <w:rPr>
                <w:rFonts w:asciiTheme="minorHAnsi" w:eastAsiaTheme="minorEastAsia" w:hAnsiTheme="minorHAnsi" w:cstheme="minorHAnsi"/>
                <w:sz w:val="20"/>
                <w:szCs w:val="20"/>
              </w:rPr>
              <w:t xml:space="preserve"> adopting a 2% efficiency target</w:t>
            </w:r>
            <w:r w:rsidR="003F6BBB" w:rsidRPr="00116E55">
              <w:rPr>
                <w:rFonts w:asciiTheme="minorHAnsi" w:eastAsiaTheme="minorEastAsia" w:hAnsiTheme="minorHAnsi" w:cstheme="minorHAnsi"/>
                <w:sz w:val="20"/>
                <w:szCs w:val="20"/>
              </w:rPr>
              <w:t>,</w:t>
            </w:r>
            <w:r w:rsidR="00E1579F" w:rsidRPr="00116E55">
              <w:rPr>
                <w:rFonts w:asciiTheme="minorHAnsi" w:eastAsiaTheme="minorEastAsia" w:hAnsiTheme="minorHAnsi" w:cstheme="minorHAnsi"/>
                <w:sz w:val="20"/>
                <w:szCs w:val="20"/>
              </w:rPr>
              <w:t xml:space="preserve"> which </w:t>
            </w:r>
            <w:r w:rsidR="00BF716E" w:rsidRPr="00116E55">
              <w:rPr>
                <w:rFonts w:asciiTheme="minorHAnsi" w:eastAsiaTheme="minorEastAsia" w:hAnsiTheme="minorHAnsi" w:cstheme="minorHAnsi"/>
                <w:sz w:val="20"/>
                <w:szCs w:val="20"/>
              </w:rPr>
              <w:t xml:space="preserve">equates to </w:t>
            </w:r>
            <w:r w:rsidR="00544D26" w:rsidRPr="00116E55">
              <w:rPr>
                <w:rFonts w:asciiTheme="minorHAnsi" w:eastAsiaTheme="minorEastAsia" w:hAnsiTheme="minorHAnsi" w:cstheme="minorHAnsi"/>
                <w:sz w:val="20"/>
                <w:szCs w:val="20"/>
              </w:rPr>
              <w:t xml:space="preserve">a net </w:t>
            </w:r>
            <w:r w:rsidR="00BF716E" w:rsidRPr="00116E55">
              <w:rPr>
                <w:rFonts w:asciiTheme="minorHAnsi" w:eastAsiaTheme="minorEastAsia" w:hAnsiTheme="minorHAnsi" w:cstheme="minorHAnsi"/>
                <w:sz w:val="20"/>
                <w:szCs w:val="20"/>
              </w:rPr>
              <w:t>$</w:t>
            </w:r>
            <w:r w:rsidR="005E0637" w:rsidRPr="00116E55">
              <w:rPr>
                <w:rFonts w:asciiTheme="minorHAnsi" w:eastAsiaTheme="minorEastAsia" w:hAnsiTheme="minorHAnsi" w:cstheme="minorHAnsi"/>
                <w:sz w:val="20"/>
                <w:szCs w:val="20"/>
              </w:rPr>
              <w:t>22.5m</w:t>
            </w:r>
            <w:r w:rsidR="00BF716E" w:rsidRPr="00116E55">
              <w:rPr>
                <w:rFonts w:asciiTheme="minorHAnsi" w:eastAsiaTheme="minorEastAsia" w:hAnsiTheme="minorHAnsi" w:cstheme="minorHAnsi"/>
                <w:sz w:val="20"/>
                <w:szCs w:val="20"/>
              </w:rPr>
              <w:t xml:space="preserve"> in ope</w:t>
            </w:r>
            <w:r w:rsidR="003F6BBB" w:rsidRPr="00116E55">
              <w:rPr>
                <w:rFonts w:asciiTheme="minorHAnsi" w:eastAsiaTheme="minorEastAsia" w:hAnsiTheme="minorHAnsi" w:cstheme="minorHAnsi"/>
                <w:sz w:val="20"/>
                <w:szCs w:val="20"/>
              </w:rPr>
              <w:t xml:space="preserve">rating </w:t>
            </w:r>
            <w:r w:rsidR="000361F6" w:rsidRPr="00116E55">
              <w:rPr>
                <w:rFonts w:asciiTheme="minorHAnsi" w:eastAsiaTheme="minorEastAsia" w:hAnsiTheme="minorHAnsi" w:cstheme="minorHAnsi"/>
                <w:sz w:val="20"/>
                <w:szCs w:val="20"/>
              </w:rPr>
              <w:t>e</w:t>
            </w:r>
            <w:r w:rsidR="005B08C4" w:rsidRPr="00116E55">
              <w:rPr>
                <w:rFonts w:asciiTheme="minorHAnsi" w:eastAsiaTheme="minorEastAsia" w:hAnsiTheme="minorHAnsi" w:cstheme="minorHAnsi"/>
                <w:sz w:val="20"/>
                <w:szCs w:val="20"/>
              </w:rPr>
              <w:t xml:space="preserve">xpenditure </w:t>
            </w:r>
            <w:r w:rsidR="00BF716E" w:rsidRPr="00116E55">
              <w:rPr>
                <w:rFonts w:asciiTheme="minorHAnsi" w:eastAsiaTheme="minorEastAsia" w:hAnsiTheme="minorHAnsi" w:cstheme="minorHAnsi"/>
                <w:sz w:val="20"/>
                <w:szCs w:val="20"/>
              </w:rPr>
              <w:t>savings</w:t>
            </w:r>
          </w:p>
          <w:p w14:paraId="601054E4" w14:textId="259C5B9D" w:rsidR="004361F9" w:rsidRPr="00116E55" w:rsidRDefault="004361F9">
            <w:pPr>
              <w:pStyle w:val="ListParagraph"/>
              <w:numPr>
                <w:ilvl w:val="0"/>
                <w:numId w:val="73"/>
              </w:numPr>
              <w:ind w:left="197" w:hanging="197"/>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0"/>
                <w:szCs w:val="20"/>
              </w:rPr>
            </w:pPr>
            <w:r w:rsidRPr="004361F9">
              <w:rPr>
                <w:rFonts w:asciiTheme="minorHAnsi" w:eastAsiaTheme="minorEastAsia" w:hAnsiTheme="minorHAnsi" w:cstheme="minorHAnsi"/>
                <w:sz w:val="20"/>
                <w:szCs w:val="20"/>
              </w:rPr>
              <w:t xml:space="preserve">delivering the efficiency savings will be underpinned by the new </w:t>
            </w:r>
            <w:r w:rsidR="00527939">
              <w:rPr>
                <w:rFonts w:asciiTheme="minorHAnsi" w:eastAsiaTheme="minorEastAsia" w:hAnsiTheme="minorHAnsi" w:cstheme="minorHAnsi"/>
                <w:sz w:val="20"/>
                <w:szCs w:val="20"/>
              </w:rPr>
              <w:t>maintenance</w:t>
            </w:r>
            <w:r w:rsidRPr="004361F9">
              <w:rPr>
                <w:rFonts w:asciiTheme="minorHAnsi" w:hAnsiTheme="minorHAnsi" w:cstheme="minorHAnsi"/>
                <w:sz w:val="20"/>
                <w:szCs w:val="20"/>
              </w:rPr>
              <w:t xml:space="preserve"> model which incorporates performance measurement penalties and rewards and profit-sharing arrangements associated to cost over or under runs attached to poor performance</w:t>
            </w:r>
          </w:p>
          <w:p w14:paraId="3BF124B0" w14:textId="09B291F9" w:rsidR="00F96FFC" w:rsidRPr="00116E55" w:rsidRDefault="00C63795">
            <w:pPr>
              <w:pStyle w:val="ListParagraph"/>
              <w:numPr>
                <w:ilvl w:val="0"/>
                <w:numId w:val="73"/>
              </w:numPr>
              <w:ind w:left="197" w:hanging="197"/>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0"/>
                <w:szCs w:val="20"/>
              </w:rPr>
            </w:pPr>
            <w:r w:rsidRPr="00116E55">
              <w:rPr>
                <w:rFonts w:asciiTheme="minorHAnsi" w:hAnsiTheme="minorHAnsi" w:cstheme="minorHAnsi"/>
                <w:sz w:val="20"/>
                <w:szCs w:val="20"/>
              </w:rPr>
              <w:t>a</w:t>
            </w:r>
            <w:r w:rsidR="00BC51A0" w:rsidRPr="00116E55">
              <w:rPr>
                <w:rFonts w:asciiTheme="minorHAnsi" w:hAnsiTheme="minorHAnsi" w:cstheme="minorHAnsi"/>
                <w:sz w:val="20"/>
                <w:szCs w:val="20"/>
              </w:rPr>
              <w:t xml:space="preserve">bsorb </w:t>
            </w:r>
            <w:r w:rsidR="002D050A" w:rsidRPr="00116E55">
              <w:rPr>
                <w:rFonts w:asciiTheme="minorHAnsi" w:hAnsiTheme="minorHAnsi" w:cstheme="minorHAnsi"/>
                <w:sz w:val="20"/>
                <w:szCs w:val="20"/>
              </w:rPr>
              <w:t>any</w:t>
            </w:r>
            <w:r w:rsidR="00BC51A0" w:rsidRPr="00116E55">
              <w:rPr>
                <w:rFonts w:asciiTheme="minorHAnsi" w:hAnsiTheme="minorHAnsi" w:cstheme="minorHAnsi"/>
                <w:sz w:val="20"/>
                <w:szCs w:val="20"/>
              </w:rPr>
              <w:t xml:space="preserve"> GSL </w:t>
            </w:r>
            <w:r w:rsidR="000B4F5C" w:rsidRPr="00116E55">
              <w:rPr>
                <w:rFonts w:asciiTheme="minorHAnsi" w:hAnsiTheme="minorHAnsi" w:cstheme="minorHAnsi"/>
                <w:sz w:val="20"/>
                <w:szCs w:val="20"/>
              </w:rPr>
              <w:t>costs.</w:t>
            </w:r>
          </w:p>
        </w:tc>
      </w:tr>
      <w:tr w:rsidR="007B7E93" w:rsidRPr="00C5545F" w14:paraId="67238E91" w14:textId="77777777" w:rsidTr="00217305">
        <w:tc>
          <w:tcPr>
            <w:cnfStyle w:val="001000000000" w:firstRow="0" w:lastRow="0" w:firstColumn="1" w:lastColumn="0" w:oddVBand="0" w:evenVBand="0" w:oddHBand="0" w:evenHBand="0" w:firstRowFirstColumn="0" w:firstRowLastColumn="0" w:lastRowFirstColumn="0" w:lastRowLastColumn="0"/>
            <w:tcW w:w="1350" w:type="dxa"/>
          </w:tcPr>
          <w:p w14:paraId="3F3C97CB" w14:textId="4C7199AE" w:rsidR="007B7E93" w:rsidRPr="00116E55" w:rsidRDefault="007871B0" w:rsidP="00865E3B">
            <w:pPr>
              <w:rPr>
                <w:rFonts w:asciiTheme="minorHAnsi" w:eastAsiaTheme="minorEastAsia" w:hAnsiTheme="minorHAnsi" w:cstheme="minorHAnsi"/>
                <w:sz w:val="20"/>
                <w:szCs w:val="20"/>
              </w:rPr>
            </w:pPr>
            <w:r w:rsidRPr="00116E55">
              <w:rPr>
                <w:rFonts w:asciiTheme="minorHAnsi" w:eastAsiaTheme="minorEastAsia" w:hAnsiTheme="minorHAnsi" w:cstheme="minorHAnsi"/>
                <w:sz w:val="20"/>
                <w:szCs w:val="20"/>
              </w:rPr>
              <w:lastRenderedPageBreak/>
              <w:t>Capital expenditure</w:t>
            </w:r>
          </w:p>
        </w:tc>
        <w:tc>
          <w:tcPr>
            <w:tcW w:w="3892" w:type="dxa"/>
          </w:tcPr>
          <w:p w14:paraId="0512EA1C" w14:textId="00E0DC3F" w:rsidR="00EC37A6" w:rsidRPr="00116E55" w:rsidRDefault="00EC37A6" w:rsidP="00EC37A6">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0"/>
                <w:szCs w:val="20"/>
              </w:rPr>
            </w:pPr>
            <w:r w:rsidRPr="00116E55">
              <w:rPr>
                <w:rFonts w:asciiTheme="minorHAnsi" w:eastAsiaTheme="minorEastAsia" w:hAnsiTheme="minorHAnsi" w:cstheme="minorHAnsi"/>
                <w:i/>
                <w:iCs/>
                <w:sz w:val="20"/>
                <w:szCs w:val="20"/>
              </w:rPr>
              <w:t xml:space="preserve">Financial </w:t>
            </w:r>
            <w:r w:rsidR="00401F27" w:rsidRPr="00116E55">
              <w:rPr>
                <w:rFonts w:asciiTheme="minorHAnsi" w:eastAsiaTheme="minorEastAsia" w:hAnsiTheme="minorHAnsi" w:cstheme="minorHAnsi"/>
                <w:i/>
                <w:iCs/>
                <w:sz w:val="20"/>
                <w:szCs w:val="20"/>
              </w:rPr>
              <w:t xml:space="preserve">and construction </w:t>
            </w:r>
            <w:r w:rsidRPr="00116E55">
              <w:rPr>
                <w:rFonts w:asciiTheme="minorHAnsi" w:eastAsiaTheme="minorEastAsia" w:hAnsiTheme="minorHAnsi" w:cstheme="minorHAnsi"/>
                <w:i/>
                <w:iCs/>
                <w:sz w:val="20"/>
                <w:szCs w:val="20"/>
              </w:rPr>
              <w:t>risks:</w:t>
            </w:r>
            <w:r w:rsidRPr="00116E55">
              <w:rPr>
                <w:rFonts w:asciiTheme="minorHAnsi" w:eastAsiaTheme="minorEastAsia" w:hAnsiTheme="minorHAnsi" w:cstheme="minorHAnsi"/>
                <w:sz w:val="20"/>
                <w:szCs w:val="20"/>
              </w:rPr>
              <w:t xml:space="preserve"> </w:t>
            </w:r>
          </w:p>
          <w:p w14:paraId="1922808C" w14:textId="59C2A4C9" w:rsidR="00B92009" w:rsidRPr="00116E55" w:rsidRDefault="004C7537" w:rsidP="00B92009">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0"/>
                <w:szCs w:val="20"/>
              </w:rPr>
            </w:pPr>
            <w:r w:rsidRPr="00116E55">
              <w:rPr>
                <w:rFonts w:asciiTheme="minorHAnsi" w:eastAsiaTheme="minorEastAsia" w:hAnsiTheme="minorHAnsi" w:cstheme="minorHAnsi"/>
                <w:sz w:val="20"/>
                <w:szCs w:val="20"/>
              </w:rPr>
              <w:t xml:space="preserve">South East Water is proposing to </w:t>
            </w:r>
            <w:r w:rsidR="00DB1B74">
              <w:rPr>
                <w:rFonts w:asciiTheme="minorHAnsi" w:eastAsiaTheme="minorEastAsia" w:hAnsiTheme="minorHAnsi" w:cstheme="minorHAnsi"/>
                <w:sz w:val="20"/>
                <w:szCs w:val="20"/>
              </w:rPr>
              <w:br/>
            </w:r>
            <w:r w:rsidR="002D0A16" w:rsidRPr="00116E55">
              <w:rPr>
                <w:rFonts w:asciiTheme="minorHAnsi" w:eastAsiaTheme="minorEastAsia" w:hAnsiTheme="minorHAnsi" w:cstheme="minorHAnsi"/>
                <w:sz w:val="20"/>
                <w:szCs w:val="20"/>
              </w:rPr>
              <w:t xml:space="preserve">deliver a </w:t>
            </w:r>
            <w:r w:rsidR="00C545DA" w:rsidRPr="00116E55">
              <w:rPr>
                <w:rFonts w:asciiTheme="minorHAnsi" w:eastAsiaTheme="minorEastAsia" w:hAnsiTheme="minorHAnsi" w:cstheme="minorHAnsi"/>
                <w:sz w:val="20"/>
                <w:szCs w:val="20"/>
              </w:rPr>
              <w:t>significant</w:t>
            </w:r>
            <w:r w:rsidR="002D0A16" w:rsidRPr="00116E55">
              <w:rPr>
                <w:rFonts w:asciiTheme="minorHAnsi" w:eastAsiaTheme="minorEastAsia" w:hAnsiTheme="minorHAnsi" w:cstheme="minorHAnsi"/>
                <w:sz w:val="20"/>
                <w:szCs w:val="20"/>
              </w:rPr>
              <w:t xml:space="preserve"> capital program</w:t>
            </w:r>
            <w:r w:rsidR="00AF761A" w:rsidRPr="00116E55">
              <w:rPr>
                <w:rFonts w:asciiTheme="minorHAnsi" w:eastAsiaTheme="minorEastAsia" w:hAnsiTheme="minorHAnsi" w:cstheme="minorHAnsi"/>
                <w:sz w:val="20"/>
                <w:szCs w:val="20"/>
              </w:rPr>
              <w:t>.</w:t>
            </w:r>
            <w:r w:rsidR="00D43BBA" w:rsidRPr="00116E55">
              <w:rPr>
                <w:rFonts w:asciiTheme="minorHAnsi" w:eastAsiaTheme="minorEastAsia" w:hAnsiTheme="minorHAnsi" w:cstheme="minorHAnsi"/>
                <w:sz w:val="20"/>
                <w:szCs w:val="20"/>
              </w:rPr>
              <w:t xml:space="preserve"> </w:t>
            </w:r>
            <w:r w:rsidR="00DB1B74">
              <w:rPr>
                <w:rFonts w:asciiTheme="minorHAnsi" w:eastAsiaTheme="minorEastAsia" w:hAnsiTheme="minorHAnsi" w:cstheme="minorHAnsi"/>
                <w:sz w:val="20"/>
                <w:szCs w:val="20"/>
              </w:rPr>
              <w:br/>
            </w:r>
            <w:r w:rsidR="00EB09C8" w:rsidRPr="00116E55">
              <w:rPr>
                <w:rFonts w:asciiTheme="minorHAnsi" w:eastAsiaTheme="minorEastAsia" w:hAnsiTheme="minorHAnsi" w:cstheme="minorHAnsi"/>
                <w:sz w:val="20"/>
                <w:szCs w:val="20"/>
              </w:rPr>
              <w:t>The investment</w:t>
            </w:r>
            <w:r w:rsidR="00BE2750" w:rsidRPr="00116E55">
              <w:rPr>
                <w:rFonts w:asciiTheme="minorHAnsi" w:eastAsiaTheme="minorEastAsia" w:hAnsiTheme="minorHAnsi" w:cstheme="minorHAnsi"/>
                <w:sz w:val="20"/>
                <w:szCs w:val="20"/>
              </w:rPr>
              <w:t xml:space="preserve"> program is exposed </w:t>
            </w:r>
            <w:r w:rsidR="00DB1B74">
              <w:rPr>
                <w:rFonts w:asciiTheme="minorHAnsi" w:eastAsiaTheme="minorEastAsia" w:hAnsiTheme="minorHAnsi" w:cstheme="minorHAnsi"/>
                <w:sz w:val="20"/>
                <w:szCs w:val="20"/>
              </w:rPr>
              <w:br/>
            </w:r>
            <w:r w:rsidR="00BE2750" w:rsidRPr="00116E55">
              <w:rPr>
                <w:rFonts w:asciiTheme="minorHAnsi" w:eastAsiaTheme="minorEastAsia" w:hAnsiTheme="minorHAnsi" w:cstheme="minorHAnsi"/>
                <w:sz w:val="20"/>
                <w:szCs w:val="20"/>
              </w:rPr>
              <w:t xml:space="preserve">to </w:t>
            </w:r>
            <w:r w:rsidR="000B7D8B" w:rsidRPr="00116E55">
              <w:rPr>
                <w:rFonts w:asciiTheme="minorHAnsi" w:eastAsiaTheme="minorEastAsia" w:hAnsiTheme="minorHAnsi" w:cstheme="minorHAnsi"/>
                <w:sz w:val="20"/>
                <w:szCs w:val="20"/>
              </w:rPr>
              <w:t xml:space="preserve">financial </w:t>
            </w:r>
            <w:r w:rsidR="00401F27" w:rsidRPr="00116E55">
              <w:rPr>
                <w:rFonts w:asciiTheme="minorHAnsi" w:eastAsiaTheme="minorEastAsia" w:hAnsiTheme="minorHAnsi" w:cstheme="minorHAnsi"/>
                <w:sz w:val="20"/>
                <w:szCs w:val="20"/>
              </w:rPr>
              <w:t>and construction</w:t>
            </w:r>
            <w:r w:rsidR="000B7D8B" w:rsidRPr="00116E55">
              <w:rPr>
                <w:rFonts w:asciiTheme="minorHAnsi" w:eastAsiaTheme="minorEastAsia" w:hAnsiTheme="minorHAnsi" w:cstheme="minorHAnsi"/>
                <w:sz w:val="20"/>
                <w:szCs w:val="20"/>
              </w:rPr>
              <w:t xml:space="preserve"> risk</w:t>
            </w:r>
            <w:r w:rsidR="00F8062D" w:rsidRPr="00116E55">
              <w:rPr>
                <w:rFonts w:asciiTheme="minorHAnsi" w:eastAsiaTheme="minorEastAsia" w:hAnsiTheme="minorHAnsi" w:cstheme="minorHAnsi"/>
                <w:sz w:val="20"/>
                <w:szCs w:val="20"/>
              </w:rPr>
              <w:t xml:space="preserve">. </w:t>
            </w:r>
            <w:r w:rsidR="00DB1B74">
              <w:rPr>
                <w:rFonts w:asciiTheme="minorHAnsi" w:eastAsiaTheme="minorEastAsia" w:hAnsiTheme="minorHAnsi" w:cstheme="minorHAnsi"/>
                <w:sz w:val="20"/>
                <w:szCs w:val="20"/>
              </w:rPr>
              <w:br/>
            </w:r>
            <w:r w:rsidR="00F8062D" w:rsidRPr="00116E55">
              <w:rPr>
                <w:rFonts w:asciiTheme="minorHAnsi" w:eastAsiaTheme="minorEastAsia" w:hAnsiTheme="minorHAnsi" w:cstheme="minorHAnsi"/>
                <w:sz w:val="20"/>
                <w:szCs w:val="20"/>
              </w:rPr>
              <w:t>Cost</w:t>
            </w:r>
            <w:r w:rsidR="00C04B43" w:rsidRPr="00116E55">
              <w:rPr>
                <w:rFonts w:asciiTheme="minorHAnsi" w:eastAsiaTheme="minorEastAsia" w:hAnsiTheme="minorHAnsi" w:cstheme="minorHAnsi"/>
                <w:sz w:val="20"/>
                <w:szCs w:val="20"/>
              </w:rPr>
              <w:t xml:space="preserve"> pressures and resource constraints </w:t>
            </w:r>
            <w:r w:rsidR="00DB1B74">
              <w:rPr>
                <w:rFonts w:asciiTheme="minorHAnsi" w:eastAsiaTheme="minorEastAsia" w:hAnsiTheme="minorHAnsi" w:cstheme="minorHAnsi"/>
                <w:sz w:val="20"/>
                <w:szCs w:val="20"/>
              </w:rPr>
              <w:br/>
            </w:r>
            <w:r w:rsidR="00C04B43" w:rsidRPr="00116E55">
              <w:rPr>
                <w:rFonts w:asciiTheme="minorHAnsi" w:eastAsiaTheme="minorEastAsia" w:hAnsiTheme="minorHAnsi" w:cstheme="minorHAnsi"/>
                <w:sz w:val="20"/>
                <w:szCs w:val="20"/>
              </w:rPr>
              <w:t>are driven by</w:t>
            </w:r>
            <w:r w:rsidR="000B7D8B" w:rsidRPr="00116E55">
              <w:rPr>
                <w:rFonts w:asciiTheme="minorHAnsi" w:eastAsiaTheme="minorEastAsia" w:hAnsiTheme="minorHAnsi" w:cstheme="minorHAnsi"/>
                <w:sz w:val="20"/>
                <w:szCs w:val="20"/>
              </w:rPr>
              <w:t xml:space="preserve"> </w:t>
            </w:r>
            <w:r w:rsidR="00B92009" w:rsidRPr="00116E55">
              <w:rPr>
                <w:rFonts w:asciiTheme="minorHAnsi" w:eastAsiaTheme="minorEastAsia" w:hAnsiTheme="minorHAnsi" w:cstheme="minorHAnsi"/>
                <w:sz w:val="20"/>
                <w:szCs w:val="20"/>
              </w:rPr>
              <w:t>supply chain disruptions</w:t>
            </w:r>
            <w:r w:rsidR="003751D0" w:rsidRPr="00116E55">
              <w:rPr>
                <w:rFonts w:asciiTheme="minorHAnsi" w:eastAsiaTheme="minorEastAsia" w:hAnsiTheme="minorHAnsi" w:cstheme="minorHAnsi"/>
                <w:sz w:val="20"/>
                <w:szCs w:val="20"/>
              </w:rPr>
              <w:t>, competition with other infrastructure projects</w:t>
            </w:r>
            <w:r w:rsidR="00A63FA7" w:rsidRPr="00116E55">
              <w:rPr>
                <w:rFonts w:asciiTheme="minorHAnsi" w:eastAsiaTheme="minorEastAsia" w:hAnsiTheme="minorHAnsi" w:cstheme="minorHAnsi"/>
                <w:sz w:val="20"/>
                <w:szCs w:val="20"/>
              </w:rPr>
              <w:t xml:space="preserve"> and </w:t>
            </w:r>
            <w:r w:rsidR="000B7D8B" w:rsidRPr="00116E55">
              <w:rPr>
                <w:rFonts w:asciiTheme="minorHAnsi" w:eastAsiaTheme="minorEastAsia" w:hAnsiTheme="minorHAnsi" w:cstheme="minorHAnsi"/>
                <w:sz w:val="20"/>
                <w:szCs w:val="20"/>
              </w:rPr>
              <w:t xml:space="preserve">input </w:t>
            </w:r>
            <w:r w:rsidR="00D42EB7" w:rsidRPr="00116E55">
              <w:rPr>
                <w:rFonts w:asciiTheme="minorHAnsi" w:eastAsiaTheme="minorEastAsia" w:hAnsiTheme="minorHAnsi" w:cstheme="minorHAnsi"/>
                <w:sz w:val="20"/>
                <w:szCs w:val="20"/>
              </w:rPr>
              <w:t>cost</w:t>
            </w:r>
            <w:r w:rsidR="00A63FA7" w:rsidRPr="00116E55">
              <w:rPr>
                <w:rFonts w:asciiTheme="minorHAnsi" w:eastAsiaTheme="minorEastAsia" w:hAnsiTheme="minorHAnsi" w:cstheme="minorHAnsi"/>
                <w:sz w:val="20"/>
                <w:szCs w:val="20"/>
              </w:rPr>
              <w:t xml:space="preserve"> escalation rates beyond CPI.</w:t>
            </w:r>
            <w:r w:rsidR="0093480F" w:rsidRPr="00116E55">
              <w:rPr>
                <w:rFonts w:asciiTheme="minorHAnsi" w:eastAsiaTheme="minorEastAsia" w:hAnsiTheme="minorHAnsi" w:cstheme="minorHAnsi"/>
                <w:sz w:val="20"/>
                <w:szCs w:val="20"/>
              </w:rPr>
              <w:t xml:space="preserve"> </w:t>
            </w:r>
          </w:p>
          <w:p w14:paraId="714E6F51" w14:textId="77777777" w:rsidR="003751D0" w:rsidRPr="00116E55" w:rsidRDefault="003751D0" w:rsidP="00B92009">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0"/>
                <w:szCs w:val="20"/>
              </w:rPr>
            </w:pPr>
          </w:p>
          <w:p w14:paraId="3908908A" w14:textId="483E500A" w:rsidR="001E17F3" w:rsidRPr="00116E55" w:rsidRDefault="001E17F3" w:rsidP="00B92009">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i/>
                <w:sz w:val="20"/>
                <w:szCs w:val="20"/>
              </w:rPr>
            </w:pPr>
            <w:r w:rsidRPr="00116E55">
              <w:rPr>
                <w:rFonts w:asciiTheme="minorHAnsi" w:eastAsiaTheme="minorEastAsia" w:hAnsiTheme="minorHAnsi" w:cstheme="minorHAnsi"/>
                <w:i/>
                <w:sz w:val="20"/>
                <w:szCs w:val="20"/>
              </w:rPr>
              <w:t>Operational risks:</w:t>
            </w:r>
          </w:p>
          <w:p w14:paraId="1910E39F" w14:textId="03D78FE6" w:rsidR="007563F6" w:rsidRPr="00116E55" w:rsidRDefault="007563F6" w:rsidP="00B92009">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0"/>
                <w:szCs w:val="20"/>
              </w:rPr>
            </w:pPr>
            <w:r w:rsidRPr="00116E55">
              <w:rPr>
                <w:rFonts w:asciiTheme="minorHAnsi" w:eastAsiaTheme="minorEastAsia" w:hAnsiTheme="minorHAnsi" w:cstheme="minorHAnsi"/>
                <w:sz w:val="20"/>
                <w:szCs w:val="20"/>
              </w:rPr>
              <w:t>The average age of our assets is increasing.</w:t>
            </w:r>
            <w:r w:rsidR="000E657C" w:rsidRPr="00116E55">
              <w:rPr>
                <w:rFonts w:asciiTheme="minorHAnsi" w:hAnsiTheme="minorHAnsi" w:cstheme="minorHAnsi"/>
                <w:sz w:val="20"/>
                <w:szCs w:val="20"/>
              </w:rPr>
              <w:t xml:space="preserve"> </w:t>
            </w:r>
            <w:r w:rsidR="000E657C" w:rsidRPr="00116E55">
              <w:rPr>
                <w:rFonts w:asciiTheme="minorHAnsi" w:eastAsiaTheme="minorEastAsia" w:hAnsiTheme="minorHAnsi" w:cstheme="minorHAnsi"/>
                <w:sz w:val="20"/>
                <w:szCs w:val="20"/>
              </w:rPr>
              <w:t xml:space="preserve">Current levels of investment in new assets and renewals mean that those assets which are reaching the end of their nominal functional life will continue to increase over time. </w:t>
            </w:r>
            <w:r w:rsidR="00DB1B74">
              <w:rPr>
                <w:rFonts w:asciiTheme="minorHAnsi" w:eastAsiaTheme="minorEastAsia" w:hAnsiTheme="minorHAnsi" w:cstheme="minorHAnsi"/>
                <w:sz w:val="20"/>
                <w:szCs w:val="20"/>
              </w:rPr>
              <w:br/>
            </w:r>
            <w:r w:rsidR="009E09FC" w:rsidRPr="00116E55">
              <w:rPr>
                <w:rFonts w:asciiTheme="minorHAnsi" w:eastAsiaTheme="minorEastAsia" w:hAnsiTheme="minorHAnsi" w:cstheme="minorHAnsi"/>
                <w:sz w:val="20"/>
                <w:szCs w:val="20"/>
              </w:rPr>
              <w:t>This aging asset profile combine</w:t>
            </w:r>
            <w:r w:rsidR="007A084F" w:rsidRPr="00116E55">
              <w:rPr>
                <w:rFonts w:asciiTheme="minorHAnsi" w:eastAsiaTheme="minorEastAsia" w:hAnsiTheme="minorHAnsi" w:cstheme="minorHAnsi"/>
                <w:sz w:val="20"/>
                <w:szCs w:val="20"/>
              </w:rPr>
              <w:t>d</w:t>
            </w:r>
            <w:r w:rsidR="009E09FC" w:rsidRPr="00116E55">
              <w:rPr>
                <w:rFonts w:asciiTheme="minorHAnsi" w:eastAsiaTheme="minorEastAsia" w:hAnsiTheme="minorHAnsi" w:cstheme="minorHAnsi"/>
                <w:sz w:val="20"/>
                <w:szCs w:val="20"/>
              </w:rPr>
              <w:t xml:space="preserve"> </w:t>
            </w:r>
            <w:r w:rsidR="00DB1B74">
              <w:rPr>
                <w:rFonts w:asciiTheme="minorHAnsi" w:eastAsiaTheme="minorEastAsia" w:hAnsiTheme="minorHAnsi" w:cstheme="minorHAnsi"/>
                <w:sz w:val="20"/>
                <w:szCs w:val="20"/>
              </w:rPr>
              <w:br/>
            </w:r>
            <w:r w:rsidR="009E09FC" w:rsidRPr="00116E55">
              <w:rPr>
                <w:rFonts w:asciiTheme="minorHAnsi" w:eastAsiaTheme="minorEastAsia" w:hAnsiTheme="minorHAnsi" w:cstheme="minorHAnsi"/>
                <w:sz w:val="20"/>
                <w:szCs w:val="20"/>
              </w:rPr>
              <w:t>with</w:t>
            </w:r>
            <w:r w:rsidR="000E657C" w:rsidRPr="00116E55">
              <w:rPr>
                <w:rFonts w:asciiTheme="minorHAnsi" w:eastAsiaTheme="minorEastAsia" w:hAnsiTheme="minorHAnsi" w:cstheme="minorHAnsi"/>
                <w:sz w:val="20"/>
                <w:szCs w:val="20"/>
              </w:rPr>
              <w:t xml:space="preserve"> </w:t>
            </w:r>
            <w:r w:rsidR="007A084F" w:rsidRPr="00116E55">
              <w:rPr>
                <w:rFonts w:asciiTheme="minorHAnsi" w:eastAsiaTheme="minorEastAsia" w:hAnsiTheme="minorHAnsi" w:cstheme="minorHAnsi"/>
                <w:sz w:val="20"/>
                <w:szCs w:val="20"/>
              </w:rPr>
              <w:t>expected</w:t>
            </w:r>
            <w:r w:rsidR="000E657C" w:rsidRPr="00116E55">
              <w:rPr>
                <w:rFonts w:asciiTheme="minorHAnsi" w:eastAsiaTheme="minorEastAsia" w:hAnsiTheme="minorHAnsi" w:cstheme="minorHAnsi"/>
                <w:sz w:val="20"/>
                <w:szCs w:val="20"/>
              </w:rPr>
              <w:t xml:space="preserve"> population grow</w:t>
            </w:r>
            <w:r w:rsidR="007A084F" w:rsidRPr="00116E55">
              <w:rPr>
                <w:rFonts w:asciiTheme="minorHAnsi" w:eastAsiaTheme="minorEastAsia" w:hAnsiTheme="minorHAnsi" w:cstheme="minorHAnsi"/>
                <w:sz w:val="20"/>
                <w:szCs w:val="20"/>
              </w:rPr>
              <w:t>th</w:t>
            </w:r>
            <w:r w:rsidR="000E657C" w:rsidRPr="00116E55">
              <w:rPr>
                <w:rFonts w:asciiTheme="minorHAnsi" w:eastAsiaTheme="minorEastAsia" w:hAnsiTheme="minorHAnsi" w:cstheme="minorHAnsi"/>
                <w:sz w:val="20"/>
                <w:szCs w:val="20"/>
              </w:rPr>
              <w:t xml:space="preserve"> and </w:t>
            </w:r>
            <w:r w:rsidR="007A084F" w:rsidRPr="00116E55">
              <w:rPr>
                <w:rFonts w:asciiTheme="minorHAnsi" w:eastAsiaTheme="minorEastAsia" w:hAnsiTheme="minorHAnsi" w:cstheme="minorHAnsi"/>
                <w:sz w:val="20"/>
                <w:szCs w:val="20"/>
              </w:rPr>
              <w:t>increasing</w:t>
            </w:r>
            <w:r w:rsidR="000E657C" w:rsidRPr="00116E55">
              <w:rPr>
                <w:rFonts w:asciiTheme="minorHAnsi" w:eastAsiaTheme="minorEastAsia" w:hAnsiTheme="minorHAnsi" w:cstheme="minorHAnsi"/>
                <w:sz w:val="20"/>
                <w:szCs w:val="20"/>
              </w:rPr>
              <w:t xml:space="preserve"> climate change</w:t>
            </w:r>
            <w:r w:rsidR="00867F5D" w:rsidRPr="00116E55">
              <w:rPr>
                <w:rFonts w:asciiTheme="minorHAnsi" w:eastAsiaTheme="minorEastAsia" w:hAnsiTheme="minorHAnsi" w:cstheme="minorHAnsi"/>
                <w:sz w:val="20"/>
                <w:szCs w:val="20"/>
              </w:rPr>
              <w:t xml:space="preserve"> impacts</w:t>
            </w:r>
            <w:r w:rsidR="000E657C" w:rsidRPr="00116E55">
              <w:rPr>
                <w:rFonts w:asciiTheme="minorHAnsi" w:eastAsiaTheme="minorEastAsia" w:hAnsiTheme="minorHAnsi" w:cstheme="minorHAnsi"/>
                <w:sz w:val="20"/>
                <w:szCs w:val="20"/>
              </w:rPr>
              <w:t xml:space="preserve">, </w:t>
            </w:r>
            <w:r w:rsidR="00DB1B74">
              <w:rPr>
                <w:rFonts w:asciiTheme="minorHAnsi" w:eastAsiaTheme="minorEastAsia" w:hAnsiTheme="minorHAnsi" w:cstheme="minorHAnsi"/>
                <w:sz w:val="20"/>
                <w:szCs w:val="20"/>
              </w:rPr>
              <w:br/>
            </w:r>
            <w:r w:rsidR="007A084F" w:rsidRPr="00116E55">
              <w:rPr>
                <w:rFonts w:asciiTheme="minorHAnsi" w:eastAsiaTheme="minorEastAsia" w:hAnsiTheme="minorHAnsi" w:cstheme="minorHAnsi"/>
                <w:sz w:val="20"/>
                <w:szCs w:val="20"/>
              </w:rPr>
              <w:t>is increasing</w:t>
            </w:r>
            <w:r w:rsidR="000E657C" w:rsidRPr="00116E55">
              <w:rPr>
                <w:rFonts w:asciiTheme="minorHAnsi" w:eastAsiaTheme="minorEastAsia" w:hAnsiTheme="minorHAnsi" w:cstheme="minorHAnsi"/>
                <w:sz w:val="20"/>
                <w:szCs w:val="20"/>
              </w:rPr>
              <w:t xml:space="preserve"> the risk of asset failure </w:t>
            </w:r>
            <w:r w:rsidR="00DB1B74">
              <w:rPr>
                <w:rFonts w:asciiTheme="minorHAnsi" w:eastAsiaTheme="minorEastAsia" w:hAnsiTheme="minorHAnsi" w:cstheme="minorHAnsi"/>
                <w:sz w:val="20"/>
                <w:szCs w:val="20"/>
              </w:rPr>
              <w:br/>
            </w:r>
            <w:r w:rsidR="002E1AC5" w:rsidRPr="00116E55">
              <w:rPr>
                <w:rFonts w:asciiTheme="minorHAnsi" w:eastAsiaTheme="minorEastAsia" w:hAnsiTheme="minorHAnsi" w:cstheme="minorHAnsi"/>
                <w:sz w:val="20"/>
                <w:szCs w:val="20"/>
              </w:rPr>
              <w:t xml:space="preserve">and </w:t>
            </w:r>
            <w:r w:rsidR="003E1B64" w:rsidRPr="00116E55">
              <w:rPr>
                <w:rFonts w:asciiTheme="minorHAnsi" w:eastAsiaTheme="minorEastAsia" w:hAnsiTheme="minorHAnsi" w:cstheme="minorHAnsi"/>
                <w:sz w:val="20"/>
                <w:szCs w:val="20"/>
              </w:rPr>
              <w:t xml:space="preserve">resulting </w:t>
            </w:r>
            <w:r w:rsidR="002E1AC5" w:rsidRPr="00116E55">
              <w:rPr>
                <w:rFonts w:asciiTheme="minorHAnsi" w:eastAsiaTheme="minorEastAsia" w:hAnsiTheme="minorHAnsi" w:cstheme="minorHAnsi"/>
                <w:sz w:val="20"/>
                <w:szCs w:val="20"/>
              </w:rPr>
              <w:t xml:space="preserve">service </w:t>
            </w:r>
            <w:r w:rsidR="00867F5D" w:rsidRPr="00116E55">
              <w:rPr>
                <w:rFonts w:asciiTheme="minorHAnsi" w:eastAsiaTheme="minorEastAsia" w:hAnsiTheme="minorHAnsi" w:cstheme="minorHAnsi"/>
                <w:sz w:val="20"/>
                <w:szCs w:val="20"/>
              </w:rPr>
              <w:t>disruptions</w:t>
            </w:r>
            <w:r w:rsidR="000E657C" w:rsidRPr="00116E55">
              <w:rPr>
                <w:rFonts w:asciiTheme="minorHAnsi" w:eastAsiaTheme="minorEastAsia" w:hAnsiTheme="minorHAnsi" w:cstheme="minorHAnsi"/>
                <w:sz w:val="20"/>
                <w:szCs w:val="20"/>
              </w:rPr>
              <w:t>.</w:t>
            </w:r>
          </w:p>
          <w:p w14:paraId="64B92B80" w14:textId="77777777" w:rsidR="007563F6" w:rsidRPr="00116E55" w:rsidRDefault="007563F6" w:rsidP="00D43BBA">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0"/>
                <w:szCs w:val="20"/>
              </w:rPr>
            </w:pPr>
          </w:p>
          <w:p w14:paraId="129814C0" w14:textId="4BE0B26F" w:rsidR="007B7E93" w:rsidRPr="00116E55" w:rsidRDefault="007B7E93" w:rsidP="00D43BBA">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0"/>
                <w:szCs w:val="20"/>
              </w:rPr>
            </w:pPr>
          </w:p>
        </w:tc>
        <w:tc>
          <w:tcPr>
            <w:tcW w:w="4800" w:type="dxa"/>
          </w:tcPr>
          <w:p w14:paraId="60FB11B0" w14:textId="5965F24E" w:rsidR="00196F93" w:rsidRPr="00116E55" w:rsidRDefault="00196F93" w:rsidP="00196F93">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i/>
                <w:iCs/>
                <w:sz w:val="20"/>
                <w:szCs w:val="20"/>
              </w:rPr>
            </w:pPr>
            <w:r w:rsidRPr="00116E55">
              <w:rPr>
                <w:rFonts w:asciiTheme="minorHAnsi" w:eastAsiaTheme="minorEastAsia" w:hAnsiTheme="minorHAnsi" w:cstheme="minorHAnsi"/>
                <w:i/>
                <w:iCs/>
                <w:sz w:val="20"/>
                <w:szCs w:val="20"/>
              </w:rPr>
              <w:t xml:space="preserve">Mitigation of financial </w:t>
            </w:r>
            <w:r w:rsidR="006B1266" w:rsidRPr="00116E55">
              <w:rPr>
                <w:rFonts w:asciiTheme="minorHAnsi" w:eastAsiaTheme="minorEastAsia" w:hAnsiTheme="minorHAnsi" w:cstheme="minorHAnsi"/>
                <w:i/>
                <w:iCs/>
                <w:sz w:val="20"/>
                <w:szCs w:val="20"/>
              </w:rPr>
              <w:t>and cost escalation</w:t>
            </w:r>
            <w:r w:rsidRPr="00116E55">
              <w:rPr>
                <w:rFonts w:asciiTheme="minorHAnsi" w:eastAsiaTheme="minorEastAsia" w:hAnsiTheme="minorHAnsi" w:cstheme="minorHAnsi"/>
                <w:i/>
                <w:iCs/>
                <w:sz w:val="20"/>
                <w:szCs w:val="20"/>
              </w:rPr>
              <w:t xml:space="preserve"> risks:</w:t>
            </w:r>
          </w:p>
          <w:p w14:paraId="54D8ED99" w14:textId="72A67675" w:rsidR="006A1988" w:rsidRPr="00116E55" w:rsidRDefault="00AF1D9F" w:rsidP="00AF1D9F">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0"/>
                <w:szCs w:val="20"/>
              </w:rPr>
            </w:pPr>
            <w:r w:rsidRPr="00116E55">
              <w:rPr>
                <w:rFonts w:asciiTheme="minorHAnsi" w:eastAsiaTheme="minorEastAsia" w:hAnsiTheme="minorHAnsi" w:cstheme="minorHAnsi"/>
                <w:sz w:val="20"/>
                <w:szCs w:val="20"/>
              </w:rPr>
              <w:t xml:space="preserve">P50 cost estimates were used when preparing </w:t>
            </w:r>
            <w:r w:rsidR="00DB1B74">
              <w:rPr>
                <w:rFonts w:asciiTheme="minorHAnsi" w:eastAsiaTheme="minorEastAsia" w:hAnsiTheme="minorHAnsi" w:cstheme="minorHAnsi"/>
                <w:sz w:val="20"/>
                <w:szCs w:val="20"/>
              </w:rPr>
              <w:br/>
            </w:r>
            <w:r w:rsidRPr="00116E55">
              <w:rPr>
                <w:rFonts w:asciiTheme="minorHAnsi" w:eastAsiaTheme="minorEastAsia" w:hAnsiTheme="minorHAnsi" w:cstheme="minorHAnsi"/>
                <w:sz w:val="20"/>
                <w:szCs w:val="20"/>
              </w:rPr>
              <w:t>the capital expenditure program</w:t>
            </w:r>
            <w:r w:rsidR="00D151AA" w:rsidRPr="00116E55">
              <w:rPr>
                <w:rFonts w:asciiTheme="minorHAnsi" w:eastAsiaTheme="minorEastAsia" w:hAnsiTheme="minorHAnsi" w:cstheme="minorHAnsi"/>
                <w:sz w:val="20"/>
                <w:szCs w:val="20"/>
              </w:rPr>
              <w:t xml:space="preserve">, which strikes the efficient balance in </w:t>
            </w:r>
            <w:r w:rsidR="0032385F" w:rsidRPr="00116E55">
              <w:rPr>
                <w:rFonts w:asciiTheme="minorHAnsi" w:eastAsiaTheme="minorEastAsia" w:hAnsiTheme="minorHAnsi" w:cstheme="minorHAnsi"/>
                <w:sz w:val="20"/>
                <w:szCs w:val="20"/>
              </w:rPr>
              <w:t>making provision for</w:t>
            </w:r>
            <w:r w:rsidR="00D151AA" w:rsidRPr="00116E55">
              <w:rPr>
                <w:rFonts w:asciiTheme="minorHAnsi" w:eastAsiaTheme="minorEastAsia" w:hAnsiTheme="minorHAnsi" w:cstheme="minorHAnsi"/>
                <w:sz w:val="20"/>
                <w:szCs w:val="20"/>
              </w:rPr>
              <w:t xml:space="preserve"> the risk </w:t>
            </w:r>
            <w:r w:rsidR="00DB1B74">
              <w:rPr>
                <w:rFonts w:asciiTheme="minorHAnsi" w:eastAsiaTheme="minorEastAsia" w:hAnsiTheme="minorHAnsi" w:cstheme="minorHAnsi"/>
                <w:sz w:val="20"/>
                <w:szCs w:val="20"/>
              </w:rPr>
              <w:br/>
            </w:r>
            <w:r w:rsidR="00D151AA" w:rsidRPr="00116E55">
              <w:rPr>
                <w:rFonts w:asciiTheme="minorHAnsi" w:eastAsiaTheme="minorEastAsia" w:hAnsiTheme="minorHAnsi" w:cstheme="minorHAnsi"/>
                <w:sz w:val="20"/>
                <w:szCs w:val="20"/>
              </w:rPr>
              <w:t>of cost over runs</w:t>
            </w:r>
            <w:r w:rsidRPr="00116E55">
              <w:rPr>
                <w:rFonts w:asciiTheme="minorHAnsi" w:eastAsiaTheme="minorEastAsia" w:hAnsiTheme="minorHAnsi" w:cstheme="minorHAnsi"/>
                <w:sz w:val="20"/>
                <w:szCs w:val="20"/>
              </w:rPr>
              <w:t>. To mitigate</w:t>
            </w:r>
            <w:r w:rsidR="00336073" w:rsidRPr="00116E55">
              <w:rPr>
                <w:rFonts w:asciiTheme="minorHAnsi" w:eastAsiaTheme="minorEastAsia" w:hAnsiTheme="minorHAnsi" w:cstheme="minorHAnsi"/>
                <w:sz w:val="20"/>
                <w:szCs w:val="20"/>
              </w:rPr>
              <w:t xml:space="preserve"> the financial risks </w:t>
            </w:r>
            <w:r w:rsidR="00F90518" w:rsidRPr="00116E55">
              <w:rPr>
                <w:rFonts w:asciiTheme="minorHAnsi" w:eastAsiaTheme="minorEastAsia" w:hAnsiTheme="minorHAnsi" w:cstheme="minorHAnsi"/>
                <w:sz w:val="20"/>
                <w:szCs w:val="20"/>
              </w:rPr>
              <w:t>of rising</w:t>
            </w:r>
            <w:r w:rsidR="00336073" w:rsidRPr="00116E55">
              <w:rPr>
                <w:rFonts w:asciiTheme="minorHAnsi" w:eastAsiaTheme="minorEastAsia" w:hAnsiTheme="minorHAnsi" w:cstheme="minorHAnsi"/>
                <w:sz w:val="20"/>
                <w:szCs w:val="20"/>
              </w:rPr>
              <w:t xml:space="preserve"> </w:t>
            </w:r>
            <w:r w:rsidR="00F76D04" w:rsidRPr="00116E55">
              <w:rPr>
                <w:rFonts w:asciiTheme="minorHAnsi" w:eastAsiaTheme="minorEastAsia" w:hAnsiTheme="minorHAnsi" w:cstheme="minorHAnsi"/>
                <w:sz w:val="20"/>
                <w:szCs w:val="20"/>
              </w:rPr>
              <w:t xml:space="preserve">construction and </w:t>
            </w:r>
            <w:r w:rsidR="001668E6">
              <w:rPr>
                <w:rFonts w:asciiTheme="minorHAnsi" w:eastAsiaTheme="minorEastAsia" w:hAnsiTheme="minorHAnsi" w:cstheme="minorHAnsi"/>
                <w:sz w:val="20"/>
                <w:szCs w:val="20"/>
              </w:rPr>
              <w:t>capital expenditure</w:t>
            </w:r>
            <w:r w:rsidR="00F76D04" w:rsidRPr="00116E55">
              <w:rPr>
                <w:rFonts w:asciiTheme="minorHAnsi" w:eastAsiaTheme="minorEastAsia" w:hAnsiTheme="minorHAnsi" w:cstheme="minorHAnsi"/>
                <w:sz w:val="20"/>
                <w:szCs w:val="20"/>
              </w:rPr>
              <w:t xml:space="preserve"> delivery cost</w:t>
            </w:r>
            <w:r w:rsidR="00B5542B" w:rsidRPr="00116E55">
              <w:rPr>
                <w:rFonts w:asciiTheme="minorHAnsi" w:eastAsiaTheme="minorEastAsia" w:hAnsiTheme="minorHAnsi" w:cstheme="minorHAnsi"/>
                <w:sz w:val="20"/>
                <w:szCs w:val="20"/>
              </w:rPr>
              <w:t>s</w:t>
            </w:r>
            <w:r w:rsidR="00F76D04" w:rsidRPr="00116E55">
              <w:rPr>
                <w:rFonts w:asciiTheme="minorHAnsi" w:eastAsiaTheme="minorEastAsia" w:hAnsiTheme="minorHAnsi" w:cstheme="minorHAnsi"/>
                <w:sz w:val="20"/>
                <w:szCs w:val="20"/>
              </w:rPr>
              <w:t xml:space="preserve"> (</w:t>
            </w:r>
            <w:r w:rsidR="00B5542B" w:rsidRPr="00116E55">
              <w:rPr>
                <w:rFonts w:asciiTheme="minorHAnsi" w:eastAsiaTheme="minorEastAsia" w:hAnsiTheme="minorHAnsi" w:cstheme="minorHAnsi"/>
                <w:sz w:val="20"/>
                <w:szCs w:val="20"/>
              </w:rPr>
              <w:t>including from</w:t>
            </w:r>
            <w:r w:rsidRPr="00116E55">
              <w:rPr>
                <w:rFonts w:asciiTheme="minorHAnsi" w:eastAsiaTheme="minorEastAsia" w:hAnsiTheme="minorHAnsi" w:cstheme="minorHAnsi"/>
                <w:sz w:val="20"/>
                <w:szCs w:val="20"/>
              </w:rPr>
              <w:t xml:space="preserve"> supply chain risks and competition with other major infrastructure projects</w:t>
            </w:r>
            <w:r w:rsidR="00B5542B" w:rsidRPr="00116E55">
              <w:rPr>
                <w:rFonts w:asciiTheme="minorHAnsi" w:eastAsiaTheme="minorEastAsia" w:hAnsiTheme="minorHAnsi" w:cstheme="minorHAnsi"/>
                <w:sz w:val="20"/>
                <w:szCs w:val="20"/>
              </w:rPr>
              <w:t>)</w:t>
            </w:r>
            <w:r w:rsidR="00675FEA">
              <w:rPr>
                <w:rFonts w:asciiTheme="minorHAnsi" w:eastAsiaTheme="minorEastAsia" w:hAnsiTheme="minorHAnsi" w:cstheme="minorHAnsi"/>
                <w:sz w:val="20"/>
                <w:szCs w:val="20"/>
              </w:rPr>
              <w:t>,</w:t>
            </w:r>
            <w:r w:rsidRPr="00116E55">
              <w:rPr>
                <w:rFonts w:asciiTheme="minorHAnsi" w:eastAsiaTheme="minorEastAsia" w:hAnsiTheme="minorHAnsi" w:cstheme="minorHAnsi"/>
                <w:sz w:val="20"/>
                <w:szCs w:val="20"/>
              </w:rPr>
              <w:t xml:space="preserve"> we have implemented a new capital delivery model </w:t>
            </w:r>
            <w:r w:rsidR="00291188" w:rsidRPr="00116E55">
              <w:rPr>
                <w:rFonts w:asciiTheme="minorHAnsi" w:eastAsiaTheme="minorEastAsia" w:hAnsiTheme="minorHAnsi" w:cstheme="minorHAnsi"/>
                <w:sz w:val="20"/>
                <w:szCs w:val="20"/>
              </w:rPr>
              <w:t>to</w:t>
            </w:r>
            <w:r w:rsidRPr="00116E55">
              <w:rPr>
                <w:rFonts w:asciiTheme="minorHAnsi" w:eastAsiaTheme="minorEastAsia" w:hAnsiTheme="minorHAnsi" w:cstheme="minorHAnsi"/>
                <w:sz w:val="20"/>
                <w:szCs w:val="20"/>
              </w:rPr>
              <w:t xml:space="preserve"> </w:t>
            </w:r>
            <w:r w:rsidR="00333D9B" w:rsidRPr="00116E55">
              <w:rPr>
                <w:rFonts w:asciiTheme="minorHAnsi" w:eastAsiaTheme="minorEastAsia" w:hAnsiTheme="minorHAnsi" w:cstheme="minorHAnsi"/>
                <w:sz w:val="20"/>
                <w:szCs w:val="20"/>
              </w:rPr>
              <w:t>better</w:t>
            </w:r>
            <w:r w:rsidRPr="00116E55">
              <w:rPr>
                <w:rFonts w:asciiTheme="minorHAnsi" w:eastAsiaTheme="minorEastAsia" w:hAnsiTheme="minorHAnsi" w:cstheme="minorHAnsi"/>
                <w:sz w:val="20"/>
                <w:szCs w:val="20"/>
              </w:rPr>
              <w:t xml:space="preserve"> </w:t>
            </w:r>
            <w:r w:rsidR="00291188" w:rsidRPr="00116E55">
              <w:rPr>
                <w:rFonts w:asciiTheme="minorHAnsi" w:eastAsiaTheme="minorEastAsia" w:hAnsiTheme="minorHAnsi" w:cstheme="minorHAnsi"/>
                <w:sz w:val="20"/>
                <w:szCs w:val="20"/>
              </w:rPr>
              <w:t>manage</w:t>
            </w:r>
            <w:r w:rsidRPr="00116E55">
              <w:rPr>
                <w:rFonts w:asciiTheme="minorHAnsi" w:eastAsiaTheme="minorEastAsia" w:hAnsiTheme="minorHAnsi" w:cstheme="minorHAnsi"/>
                <w:sz w:val="20"/>
                <w:szCs w:val="20"/>
              </w:rPr>
              <w:t xml:space="preserve"> and </w:t>
            </w:r>
            <w:r w:rsidR="00291188" w:rsidRPr="00116E55">
              <w:rPr>
                <w:rFonts w:asciiTheme="minorHAnsi" w:eastAsiaTheme="minorEastAsia" w:hAnsiTheme="minorHAnsi" w:cstheme="minorHAnsi"/>
                <w:sz w:val="20"/>
                <w:szCs w:val="20"/>
              </w:rPr>
              <w:t>control costs</w:t>
            </w:r>
            <w:r w:rsidR="00253685" w:rsidRPr="00116E55">
              <w:rPr>
                <w:rFonts w:asciiTheme="minorHAnsi" w:eastAsiaTheme="minorEastAsia" w:hAnsiTheme="minorHAnsi" w:cstheme="minorHAnsi"/>
                <w:sz w:val="20"/>
                <w:szCs w:val="20"/>
              </w:rPr>
              <w:t xml:space="preserve"> (including by deliver</w:t>
            </w:r>
            <w:r w:rsidR="0040742A" w:rsidRPr="00116E55">
              <w:rPr>
                <w:rFonts w:asciiTheme="minorHAnsi" w:eastAsiaTheme="minorEastAsia" w:hAnsiTheme="minorHAnsi" w:cstheme="minorHAnsi"/>
                <w:sz w:val="20"/>
                <w:szCs w:val="20"/>
              </w:rPr>
              <w:t>ing</w:t>
            </w:r>
            <w:r w:rsidR="00253685" w:rsidRPr="00116E55">
              <w:rPr>
                <w:rFonts w:asciiTheme="minorHAnsi" w:eastAsiaTheme="minorEastAsia" w:hAnsiTheme="minorHAnsi" w:cstheme="minorHAnsi"/>
                <w:sz w:val="20"/>
                <w:szCs w:val="20"/>
              </w:rPr>
              <w:t xml:space="preserve"> a 5% </w:t>
            </w:r>
            <w:r w:rsidR="00C83C2B">
              <w:rPr>
                <w:rFonts w:asciiTheme="minorHAnsi" w:eastAsiaTheme="minorEastAsia" w:hAnsiTheme="minorHAnsi" w:cstheme="minorHAnsi"/>
                <w:sz w:val="20"/>
                <w:szCs w:val="20"/>
              </w:rPr>
              <w:t>capital expenditure</w:t>
            </w:r>
            <w:r w:rsidR="00253685" w:rsidRPr="00116E55">
              <w:rPr>
                <w:rFonts w:asciiTheme="minorHAnsi" w:eastAsiaTheme="minorEastAsia" w:hAnsiTheme="minorHAnsi" w:cstheme="minorHAnsi"/>
                <w:sz w:val="20"/>
                <w:szCs w:val="20"/>
              </w:rPr>
              <w:t xml:space="preserve"> efficiency saving)</w:t>
            </w:r>
            <w:r w:rsidR="00333D9B" w:rsidRPr="00116E55">
              <w:rPr>
                <w:rFonts w:asciiTheme="minorHAnsi" w:eastAsiaTheme="minorEastAsia" w:hAnsiTheme="minorHAnsi" w:cstheme="minorHAnsi"/>
                <w:sz w:val="20"/>
                <w:szCs w:val="20"/>
              </w:rPr>
              <w:t>.</w:t>
            </w:r>
            <w:r w:rsidR="006A1988" w:rsidRPr="00116E55">
              <w:rPr>
                <w:rFonts w:asciiTheme="minorHAnsi" w:eastAsiaTheme="minorEastAsia" w:hAnsiTheme="minorHAnsi" w:cstheme="minorHAnsi"/>
                <w:sz w:val="20"/>
                <w:szCs w:val="20"/>
              </w:rPr>
              <w:t xml:space="preserve">The investment profile is more weighted to the end of the regulatory period when the current </w:t>
            </w:r>
            <w:r w:rsidR="002377A5" w:rsidRPr="00116E55">
              <w:rPr>
                <w:rFonts w:asciiTheme="minorHAnsi" w:eastAsiaTheme="minorEastAsia" w:hAnsiTheme="minorHAnsi" w:cstheme="minorHAnsi"/>
                <w:sz w:val="20"/>
                <w:szCs w:val="20"/>
              </w:rPr>
              <w:t xml:space="preserve">inflationary pressures </w:t>
            </w:r>
            <w:r w:rsidR="00527939">
              <w:rPr>
                <w:rFonts w:asciiTheme="minorHAnsi" w:eastAsiaTheme="minorEastAsia" w:hAnsiTheme="minorHAnsi" w:cstheme="minorHAnsi"/>
                <w:sz w:val="20"/>
                <w:szCs w:val="20"/>
              </w:rPr>
              <w:t xml:space="preserve">are anticipated </w:t>
            </w:r>
            <w:r w:rsidR="00DB1B74">
              <w:rPr>
                <w:rFonts w:asciiTheme="minorHAnsi" w:eastAsiaTheme="minorEastAsia" w:hAnsiTheme="minorHAnsi" w:cstheme="minorHAnsi"/>
                <w:sz w:val="20"/>
                <w:szCs w:val="20"/>
              </w:rPr>
              <w:br/>
            </w:r>
            <w:r w:rsidR="00527939">
              <w:rPr>
                <w:rFonts w:asciiTheme="minorHAnsi" w:eastAsiaTheme="minorEastAsia" w:hAnsiTheme="minorHAnsi" w:cstheme="minorHAnsi"/>
                <w:sz w:val="20"/>
                <w:szCs w:val="20"/>
              </w:rPr>
              <w:t>to</w:t>
            </w:r>
            <w:r w:rsidR="002377A5" w:rsidRPr="00116E55">
              <w:rPr>
                <w:rFonts w:asciiTheme="minorHAnsi" w:eastAsiaTheme="minorEastAsia" w:hAnsiTheme="minorHAnsi" w:cstheme="minorHAnsi"/>
                <w:sz w:val="20"/>
                <w:szCs w:val="20"/>
              </w:rPr>
              <w:t xml:space="preserve"> ease.</w:t>
            </w:r>
          </w:p>
          <w:p w14:paraId="0C6EA9EB" w14:textId="77777777" w:rsidR="00973147" w:rsidRPr="00116E55" w:rsidRDefault="00973147" w:rsidP="00AF1D9F">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0"/>
                <w:szCs w:val="20"/>
              </w:rPr>
            </w:pPr>
          </w:p>
          <w:p w14:paraId="01D7FE40" w14:textId="5107C1A0" w:rsidR="00333D9B" w:rsidRPr="00116E55" w:rsidRDefault="00333D9B" w:rsidP="00333D9B">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i/>
                <w:iCs/>
                <w:sz w:val="20"/>
                <w:szCs w:val="20"/>
              </w:rPr>
            </w:pPr>
            <w:r w:rsidRPr="00116E55">
              <w:rPr>
                <w:rFonts w:asciiTheme="minorHAnsi" w:eastAsiaTheme="minorEastAsia" w:hAnsiTheme="minorHAnsi" w:cstheme="minorHAnsi"/>
                <w:i/>
                <w:iCs/>
                <w:sz w:val="20"/>
                <w:szCs w:val="20"/>
              </w:rPr>
              <w:t xml:space="preserve">Mitigation of </w:t>
            </w:r>
            <w:r w:rsidR="0093480F" w:rsidRPr="00116E55">
              <w:rPr>
                <w:rFonts w:asciiTheme="minorHAnsi" w:eastAsiaTheme="minorEastAsia" w:hAnsiTheme="minorHAnsi" w:cstheme="minorHAnsi"/>
                <w:i/>
                <w:iCs/>
                <w:sz w:val="20"/>
                <w:szCs w:val="20"/>
              </w:rPr>
              <w:t>construction</w:t>
            </w:r>
            <w:r w:rsidRPr="00116E55">
              <w:rPr>
                <w:rFonts w:asciiTheme="minorHAnsi" w:eastAsiaTheme="minorEastAsia" w:hAnsiTheme="minorHAnsi" w:cstheme="minorHAnsi"/>
                <w:i/>
                <w:iCs/>
                <w:sz w:val="20"/>
                <w:szCs w:val="20"/>
              </w:rPr>
              <w:t xml:space="preserve"> risks:</w:t>
            </w:r>
          </w:p>
          <w:p w14:paraId="6363DD81" w14:textId="10C5F475" w:rsidR="00AF1D9F" w:rsidRPr="00116E55" w:rsidRDefault="0032385F" w:rsidP="00AF1D9F">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0"/>
                <w:szCs w:val="20"/>
              </w:rPr>
            </w:pPr>
            <w:r w:rsidRPr="00116E55">
              <w:rPr>
                <w:rFonts w:asciiTheme="minorHAnsi" w:eastAsiaTheme="minorEastAsia" w:hAnsiTheme="minorHAnsi" w:cstheme="minorHAnsi"/>
                <w:sz w:val="20"/>
                <w:szCs w:val="20"/>
              </w:rPr>
              <w:t>The</w:t>
            </w:r>
            <w:r w:rsidR="0093480F" w:rsidRPr="00116E55">
              <w:rPr>
                <w:rFonts w:asciiTheme="minorHAnsi" w:eastAsiaTheme="minorEastAsia" w:hAnsiTheme="minorHAnsi" w:cstheme="minorHAnsi"/>
                <w:sz w:val="20"/>
                <w:szCs w:val="20"/>
              </w:rPr>
              <w:t xml:space="preserve"> capital delivery model</w:t>
            </w:r>
            <w:r w:rsidRPr="00116E55">
              <w:rPr>
                <w:rFonts w:asciiTheme="minorHAnsi" w:eastAsiaTheme="minorEastAsia" w:hAnsiTheme="minorHAnsi" w:cstheme="minorHAnsi"/>
                <w:sz w:val="20"/>
                <w:szCs w:val="20"/>
              </w:rPr>
              <w:t>, which includes</w:t>
            </w:r>
            <w:r w:rsidR="0093480F" w:rsidRPr="00116E55">
              <w:rPr>
                <w:rFonts w:asciiTheme="minorHAnsi" w:eastAsiaTheme="minorEastAsia" w:hAnsiTheme="minorHAnsi" w:cstheme="minorHAnsi"/>
                <w:sz w:val="20"/>
                <w:szCs w:val="20"/>
              </w:rPr>
              <w:t xml:space="preserve"> better integrated project planning</w:t>
            </w:r>
            <w:r w:rsidR="00E27246" w:rsidRPr="00116E55">
              <w:rPr>
                <w:rFonts w:asciiTheme="minorHAnsi" w:eastAsiaTheme="minorEastAsia" w:hAnsiTheme="minorHAnsi" w:cstheme="minorHAnsi"/>
                <w:sz w:val="20"/>
                <w:szCs w:val="20"/>
              </w:rPr>
              <w:t xml:space="preserve">, will also improve project management and delivery and hence manage construction risks. </w:t>
            </w:r>
            <w:r w:rsidR="00353C86" w:rsidRPr="00116E55">
              <w:rPr>
                <w:rFonts w:asciiTheme="minorHAnsi" w:eastAsiaTheme="minorEastAsia" w:hAnsiTheme="minorHAnsi" w:cstheme="minorHAnsi"/>
                <w:sz w:val="20"/>
                <w:szCs w:val="20"/>
              </w:rPr>
              <w:t>It will also provide</w:t>
            </w:r>
            <w:r w:rsidR="00AF1D9F" w:rsidRPr="00116E55">
              <w:rPr>
                <w:rFonts w:asciiTheme="minorHAnsi" w:eastAsiaTheme="minorEastAsia" w:hAnsiTheme="minorHAnsi" w:cstheme="minorHAnsi"/>
                <w:sz w:val="20"/>
                <w:szCs w:val="20"/>
              </w:rPr>
              <w:t xml:space="preserve"> the capacity and capability to deliver the scope and scale of projects and programs planned for the 2023</w:t>
            </w:r>
            <w:r w:rsidR="007D4EB3" w:rsidRPr="00116E55">
              <w:rPr>
                <w:rFonts w:asciiTheme="minorHAnsi" w:eastAsiaTheme="minorEastAsia" w:hAnsiTheme="minorHAnsi" w:cstheme="minorHAnsi"/>
                <w:sz w:val="20"/>
                <w:szCs w:val="20"/>
              </w:rPr>
              <w:t>–</w:t>
            </w:r>
            <w:r w:rsidR="00AF1D9F" w:rsidRPr="00116E55">
              <w:rPr>
                <w:rFonts w:asciiTheme="minorHAnsi" w:eastAsiaTheme="minorEastAsia" w:hAnsiTheme="minorHAnsi" w:cstheme="minorHAnsi"/>
                <w:sz w:val="20"/>
                <w:szCs w:val="20"/>
              </w:rPr>
              <w:t xml:space="preserve">28 regulatory period. </w:t>
            </w:r>
          </w:p>
          <w:p w14:paraId="5535BEC7" w14:textId="77777777" w:rsidR="00AF1D9F" w:rsidRPr="00116E55" w:rsidRDefault="00AF1D9F" w:rsidP="00921C47">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0"/>
                <w:szCs w:val="20"/>
              </w:rPr>
            </w:pPr>
          </w:p>
          <w:p w14:paraId="6A65CFA3" w14:textId="206CF5C7" w:rsidR="000C45E1" w:rsidRPr="00116E55" w:rsidRDefault="000C45E1" w:rsidP="00921C47">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i/>
                <w:iCs/>
                <w:sz w:val="20"/>
                <w:szCs w:val="20"/>
              </w:rPr>
            </w:pPr>
            <w:r w:rsidRPr="00116E55">
              <w:rPr>
                <w:rFonts w:asciiTheme="minorHAnsi" w:eastAsiaTheme="minorEastAsia" w:hAnsiTheme="minorHAnsi" w:cstheme="minorHAnsi"/>
                <w:i/>
                <w:iCs/>
                <w:sz w:val="20"/>
                <w:szCs w:val="20"/>
              </w:rPr>
              <w:t>Mitigation of operational risk</w:t>
            </w:r>
            <w:r w:rsidR="00C3432C" w:rsidRPr="00116E55">
              <w:rPr>
                <w:rFonts w:asciiTheme="minorHAnsi" w:eastAsiaTheme="minorEastAsia" w:hAnsiTheme="minorHAnsi" w:cstheme="minorHAnsi"/>
                <w:i/>
                <w:iCs/>
                <w:sz w:val="20"/>
                <w:szCs w:val="20"/>
              </w:rPr>
              <w:t>:</w:t>
            </w:r>
          </w:p>
          <w:p w14:paraId="26086EB9" w14:textId="23F77DAE" w:rsidR="00AF1D9F" w:rsidRPr="00116E55" w:rsidRDefault="00401F27" w:rsidP="00921C47">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0"/>
                <w:szCs w:val="20"/>
              </w:rPr>
            </w:pPr>
            <w:r w:rsidRPr="00116E55">
              <w:rPr>
                <w:rFonts w:asciiTheme="minorHAnsi" w:eastAsiaTheme="minorEastAsia" w:hAnsiTheme="minorHAnsi" w:cstheme="minorHAnsi"/>
                <w:sz w:val="20"/>
                <w:szCs w:val="20"/>
              </w:rPr>
              <w:t>To ensure service standards are maintained and customer outcomes are met, the capital program has been prioritised based on customer requirements, asset condition and performance data.</w:t>
            </w:r>
            <w:r w:rsidR="00E23F22" w:rsidRPr="00116E55">
              <w:rPr>
                <w:rFonts w:asciiTheme="minorHAnsi" w:eastAsiaTheme="minorEastAsia" w:hAnsiTheme="minorHAnsi" w:cstheme="minorHAnsi"/>
                <w:sz w:val="20"/>
                <w:szCs w:val="20"/>
              </w:rPr>
              <w:t xml:space="preserve"> </w:t>
            </w:r>
            <w:r w:rsidR="001964C7" w:rsidRPr="00116E55">
              <w:rPr>
                <w:rFonts w:asciiTheme="minorHAnsi" w:eastAsiaTheme="minorEastAsia" w:hAnsiTheme="minorHAnsi" w:cstheme="minorHAnsi"/>
                <w:sz w:val="20"/>
                <w:szCs w:val="20"/>
              </w:rPr>
              <w:t>This is implemented using South East Water</w:t>
            </w:r>
            <w:r w:rsidR="00612583" w:rsidRPr="00116E55">
              <w:rPr>
                <w:rFonts w:asciiTheme="minorHAnsi" w:eastAsiaTheme="minorEastAsia" w:hAnsiTheme="minorHAnsi" w:cstheme="minorHAnsi"/>
                <w:sz w:val="20"/>
                <w:szCs w:val="20"/>
              </w:rPr>
              <w:t>’</w:t>
            </w:r>
            <w:r w:rsidR="001964C7" w:rsidRPr="00116E55">
              <w:rPr>
                <w:rFonts w:asciiTheme="minorHAnsi" w:eastAsiaTheme="minorEastAsia" w:hAnsiTheme="minorHAnsi" w:cstheme="minorHAnsi"/>
                <w:sz w:val="20"/>
                <w:szCs w:val="20"/>
              </w:rPr>
              <w:t xml:space="preserve">s Asset Criticality Framework (described in the capital expenditure </w:t>
            </w:r>
            <w:r w:rsidR="00341008" w:rsidRPr="00116E55">
              <w:rPr>
                <w:rFonts w:asciiTheme="minorHAnsi" w:eastAsiaTheme="minorEastAsia" w:hAnsiTheme="minorHAnsi" w:cstheme="minorHAnsi"/>
                <w:sz w:val="20"/>
                <w:szCs w:val="20"/>
              </w:rPr>
              <w:t xml:space="preserve">section </w:t>
            </w:r>
            <w:r w:rsidR="001964C7" w:rsidRPr="00116E55">
              <w:rPr>
                <w:rFonts w:asciiTheme="minorHAnsi" w:eastAsiaTheme="minorEastAsia" w:hAnsiTheme="minorHAnsi" w:cstheme="minorHAnsi"/>
                <w:sz w:val="20"/>
                <w:szCs w:val="20"/>
              </w:rPr>
              <w:t>of this submission).</w:t>
            </w:r>
            <w:r w:rsidR="00DC344E">
              <w:rPr>
                <w:rFonts w:asciiTheme="minorHAnsi" w:eastAsiaTheme="minorEastAsia" w:hAnsiTheme="minorHAnsi" w:cstheme="minorHAnsi"/>
                <w:sz w:val="20"/>
                <w:szCs w:val="20"/>
              </w:rPr>
              <w:t xml:space="preserve"> </w:t>
            </w:r>
            <w:r w:rsidR="00DB1B74">
              <w:rPr>
                <w:rFonts w:asciiTheme="minorHAnsi" w:eastAsiaTheme="minorEastAsia" w:hAnsiTheme="minorHAnsi" w:cstheme="minorHAnsi"/>
                <w:sz w:val="20"/>
                <w:szCs w:val="20"/>
              </w:rPr>
              <w:br/>
            </w:r>
            <w:r w:rsidR="000C45E1" w:rsidRPr="00116E55">
              <w:rPr>
                <w:rFonts w:asciiTheme="minorHAnsi" w:eastAsiaTheme="minorEastAsia" w:hAnsiTheme="minorHAnsi" w:cstheme="minorHAnsi"/>
                <w:sz w:val="20"/>
                <w:szCs w:val="20"/>
              </w:rPr>
              <w:t xml:space="preserve">The </w:t>
            </w:r>
            <w:r w:rsidR="00291B93" w:rsidRPr="00116E55">
              <w:rPr>
                <w:rFonts w:asciiTheme="minorHAnsi" w:eastAsiaTheme="minorEastAsia" w:hAnsiTheme="minorHAnsi" w:cstheme="minorHAnsi"/>
                <w:sz w:val="20"/>
                <w:szCs w:val="20"/>
              </w:rPr>
              <w:t xml:space="preserve">capital </w:t>
            </w:r>
            <w:r w:rsidR="000C45E1" w:rsidRPr="00116E55">
              <w:rPr>
                <w:rFonts w:asciiTheme="minorHAnsi" w:eastAsiaTheme="minorEastAsia" w:hAnsiTheme="minorHAnsi" w:cstheme="minorHAnsi"/>
                <w:sz w:val="20"/>
                <w:szCs w:val="20"/>
              </w:rPr>
              <w:t>program</w:t>
            </w:r>
            <w:r w:rsidR="0006661E" w:rsidRPr="00116E55">
              <w:rPr>
                <w:rFonts w:asciiTheme="minorHAnsi" w:eastAsiaTheme="minorEastAsia" w:hAnsiTheme="minorHAnsi" w:cstheme="minorHAnsi"/>
                <w:sz w:val="20"/>
                <w:szCs w:val="20"/>
              </w:rPr>
              <w:t xml:space="preserve"> targets investments that </w:t>
            </w:r>
            <w:r w:rsidR="0006661E" w:rsidRPr="00116E55">
              <w:rPr>
                <w:rFonts w:asciiTheme="minorHAnsi" w:eastAsiaTheme="minorEastAsia" w:hAnsiTheme="minorHAnsi" w:cstheme="minorHAnsi"/>
                <w:sz w:val="20"/>
                <w:szCs w:val="20"/>
              </w:rPr>
              <w:lastRenderedPageBreak/>
              <w:t>support</w:t>
            </w:r>
            <w:r w:rsidR="000C45E1" w:rsidRPr="00116E55">
              <w:rPr>
                <w:rFonts w:asciiTheme="minorHAnsi" w:eastAsiaTheme="minorEastAsia" w:hAnsiTheme="minorHAnsi" w:cstheme="minorHAnsi"/>
                <w:sz w:val="20"/>
                <w:szCs w:val="20"/>
              </w:rPr>
              <w:t xml:space="preserve"> compliance with regulatory obligations, maintaining service standards, environmental protection and safety.</w:t>
            </w:r>
          </w:p>
          <w:p w14:paraId="0D1D674B" w14:textId="77777777" w:rsidR="00AE6FE5" w:rsidRPr="00116E55" w:rsidRDefault="00AE6FE5" w:rsidP="00921C47">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0"/>
                <w:szCs w:val="20"/>
              </w:rPr>
            </w:pPr>
          </w:p>
          <w:p w14:paraId="05E585DD" w14:textId="7A5BF212" w:rsidR="00921C47" w:rsidRPr="00116E55" w:rsidRDefault="00E637EA" w:rsidP="00921C47">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0"/>
                <w:szCs w:val="20"/>
              </w:rPr>
            </w:pPr>
            <w:r w:rsidRPr="00116E55">
              <w:rPr>
                <w:rFonts w:asciiTheme="minorHAnsi" w:eastAsiaTheme="minorEastAsia" w:hAnsiTheme="minorHAnsi" w:cstheme="minorHAnsi"/>
                <w:sz w:val="20"/>
                <w:szCs w:val="20"/>
              </w:rPr>
              <w:t>However, t</w:t>
            </w:r>
            <w:r w:rsidR="00810871" w:rsidRPr="00116E55">
              <w:rPr>
                <w:rFonts w:asciiTheme="minorHAnsi" w:eastAsiaTheme="minorEastAsia" w:hAnsiTheme="minorHAnsi" w:cstheme="minorHAnsi"/>
                <w:sz w:val="20"/>
                <w:szCs w:val="20"/>
              </w:rPr>
              <w:t>o ensure the capital e</w:t>
            </w:r>
            <w:r w:rsidR="00443A47" w:rsidRPr="00116E55">
              <w:rPr>
                <w:rFonts w:asciiTheme="minorHAnsi" w:eastAsiaTheme="minorEastAsia" w:hAnsiTheme="minorHAnsi" w:cstheme="minorHAnsi"/>
                <w:sz w:val="20"/>
                <w:szCs w:val="20"/>
              </w:rPr>
              <w:t xml:space="preserve">xpenditure program </w:t>
            </w:r>
            <w:r w:rsidR="00675147" w:rsidRPr="00116E55">
              <w:rPr>
                <w:rFonts w:asciiTheme="minorHAnsi" w:eastAsiaTheme="minorEastAsia" w:hAnsiTheme="minorHAnsi" w:cstheme="minorHAnsi"/>
                <w:sz w:val="20"/>
                <w:szCs w:val="20"/>
              </w:rPr>
              <w:t>is based on</w:t>
            </w:r>
            <w:r w:rsidR="00CE00DA" w:rsidRPr="00116E55">
              <w:rPr>
                <w:rFonts w:asciiTheme="minorHAnsi" w:eastAsiaTheme="minorEastAsia" w:hAnsiTheme="minorHAnsi" w:cstheme="minorHAnsi"/>
                <w:sz w:val="20"/>
                <w:szCs w:val="20"/>
              </w:rPr>
              <w:t xml:space="preserve"> an efficient </w:t>
            </w:r>
            <w:r w:rsidR="00704E0E" w:rsidRPr="00116E55">
              <w:rPr>
                <w:rFonts w:asciiTheme="minorHAnsi" w:eastAsiaTheme="minorEastAsia" w:hAnsiTheme="minorHAnsi" w:cstheme="minorHAnsi"/>
                <w:sz w:val="20"/>
                <w:szCs w:val="20"/>
              </w:rPr>
              <w:t>balancing of operational risk and cost</w:t>
            </w:r>
            <w:r w:rsidR="00675147" w:rsidRPr="00116E55">
              <w:rPr>
                <w:rFonts w:asciiTheme="minorHAnsi" w:eastAsiaTheme="minorEastAsia" w:hAnsiTheme="minorHAnsi" w:cstheme="minorHAnsi"/>
                <w:sz w:val="20"/>
                <w:szCs w:val="20"/>
              </w:rPr>
              <w:t xml:space="preserve">, </w:t>
            </w:r>
            <w:r w:rsidR="00CE00DA" w:rsidRPr="00116E55">
              <w:rPr>
                <w:rFonts w:asciiTheme="minorHAnsi" w:eastAsiaTheme="minorEastAsia" w:hAnsiTheme="minorHAnsi" w:cstheme="minorHAnsi"/>
                <w:sz w:val="20"/>
                <w:szCs w:val="20"/>
              </w:rPr>
              <w:t xml:space="preserve">we </w:t>
            </w:r>
            <w:r w:rsidR="009A406A" w:rsidRPr="00116E55">
              <w:rPr>
                <w:rFonts w:asciiTheme="minorHAnsi" w:eastAsiaTheme="minorEastAsia" w:hAnsiTheme="minorHAnsi" w:cstheme="minorHAnsi"/>
                <w:sz w:val="20"/>
                <w:szCs w:val="20"/>
              </w:rPr>
              <w:t xml:space="preserve">derived </w:t>
            </w:r>
            <w:r w:rsidR="004E0E2E" w:rsidRPr="00116E55">
              <w:rPr>
                <w:rFonts w:asciiTheme="minorHAnsi" w:eastAsiaTheme="minorEastAsia" w:hAnsiTheme="minorHAnsi" w:cstheme="minorHAnsi"/>
                <w:sz w:val="20"/>
                <w:szCs w:val="20"/>
              </w:rPr>
              <w:t>3</w:t>
            </w:r>
            <w:r w:rsidR="009A406A" w:rsidRPr="00116E55">
              <w:rPr>
                <w:rFonts w:asciiTheme="minorHAnsi" w:eastAsiaTheme="minorEastAsia" w:hAnsiTheme="minorHAnsi" w:cstheme="minorHAnsi"/>
                <w:sz w:val="20"/>
                <w:szCs w:val="20"/>
              </w:rPr>
              <w:t xml:space="preserve"> investment</w:t>
            </w:r>
            <w:r w:rsidR="00921C47" w:rsidRPr="00116E55">
              <w:rPr>
                <w:rFonts w:asciiTheme="minorHAnsi" w:eastAsiaTheme="minorEastAsia" w:hAnsiTheme="minorHAnsi" w:cstheme="minorHAnsi"/>
                <w:sz w:val="20"/>
                <w:szCs w:val="20"/>
              </w:rPr>
              <w:t xml:space="preserve"> scenarios</w:t>
            </w:r>
            <w:r w:rsidR="009A406A" w:rsidRPr="00116E55">
              <w:rPr>
                <w:rFonts w:asciiTheme="minorHAnsi" w:eastAsiaTheme="minorEastAsia" w:hAnsiTheme="minorHAnsi" w:cstheme="minorHAnsi"/>
                <w:sz w:val="20"/>
                <w:szCs w:val="20"/>
              </w:rPr>
              <w:t xml:space="preserve"> based on</w:t>
            </w:r>
            <w:r w:rsidR="00921C47" w:rsidRPr="00116E55">
              <w:rPr>
                <w:rFonts w:asciiTheme="minorHAnsi" w:eastAsiaTheme="minorEastAsia" w:hAnsiTheme="minorHAnsi" w:cstheme="minorHAnsi"/>
                <w:sz w:val="20"/>
                <w:szCs w:val="20"/>
              </w:rPr>
              <w:t xml:space="preserve">: </w:t>
            </w:r>
          </w:p>
          <w:p w14:paraId="514D1FD7" w14:textId="079DA776" w:rsidR="00921C47" w:rsidRPr="00116E55" w:rsidRDefault="00F31F9F">
            <w:pPr>
              <w:pStyle w:val="ListParagraph"/>
              <w:numPr>
                <w:ilvl w:val="0"/>
                <w:numId w:val="29"/>
              </w:numPr>
              <w:spacing w:after="40"/>
              <w:ind w:left="197" w:hanging="197"/>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0"/>
                <w:szCs w:val="20"/>
              </w:rPr>
            </w:pPr>
            <w:r w:rsidRPr="00116E55">
              <w:rPr>
                <w:rFonts w:asciiTheme="minorHAnsi" w:eastAsiaTheme="minorEastAsia" w:hAnsiTheme="minorHAnsi" w:cstheme="minorHAnsi"/>
                <w:sz w:val="20"/>
                <w:szCs w:val="20"/>
              </w:rPr>
              <w:t>l</w:t>
            </w:r>
            <w:r w:rsidR="00921C47" w:rsidRPr="00116E55">
              <w:rPr>
                <w:rFonts w:asciiTheme="minorHAnsi" w:eastAsiaTheme="minorEastAsia" w:hAnsiTheme="minorHAnsi" w:cstheme="minorHAnsi"/>
                <w:sz w:val="20"/>
                <w:szCs w:val="20"/>
              </w:rPr>
              <w:t xml:space="preserve">ower </w:t>
            </w:r>
            <w:r w:rsidRPr="00116E55">
              <w:rPr>
                <w:rFonts w:asciiTheme="minorHAnsi" w:eastAsiaTheme="minorEastAsia" w:hAnsiTheme="minorHAnsi" w:cstheme="minorHAnsi"/>
                <w:sz w:val="20"/>
                <w:szCs w:val="20"/>
              </w:rPr>
              <w:t>c</w:t>
            </w:r>
            <w:r w:rsidR="00921C47" w:rsidRPr="00116E55">
              <w:rPr>
                <w:rFonts w:asciiTheme="minorHAnsi" w:eastAsiaTheme="minorEastAsia" w:hAnsiTheme="minorHAnsi" w:cstheme="minorHAnsi"/>
                <w:sz w:val="20"/>
                <w:szCs w:val="20"/>
              </w:rPr>
              <w:t xml:space="preserve">ost and </w:t>
            </w:r>
            <w:r w:rsidRPr="00116E55">
              <w:rPr>
                <w:rFonts w:asciiTheme="minorHAnsi" w:eastAsiaTheme="minorEastAsia" w:hAnsiTheme="minorHAnsi" w:cstheme="minorHAnsi"/>
                <w:sz w:val="20"/>
                <w:szCs w:val="20"/>
              </w:rPr>
              <w:t>h</w:t>
            </w:r>
            <w:r w:rsidR="00921C47" w:rsidRPr="00116E55">
              <w:rPr>
                <w:rFonts w:asciiTheme="minorHAnsi" w:eastAsiaTheme="minorEastAsia" w:hAnsiTheme="minorHAnsi" w:cstheme="minorHAnsi"/>
                <w:sz w:val="20"/>
                <w:szCs w:val="20"/>
              </w:rPr>
              <w:t>igher risk</w:t>
            </w:r>
          </w:p>
          <w:p w14:paraId="16CB498F" w14:textId="102CEAA8" w:rsidR="00921C47" w:rsidRPr="00116E55" w:rsidRDefault="00F31F9F">
            <w:pPr>
              <w:pStyle w:val="ListParagraph"/>
              <w:numPr>
                <w:ilvl w:val="0"/>
                <w:numId w:val="29"/>
              </w:numPr>
              <w:spacing w:after="40"/>
              <w:ind w:left="197" w:hanging="197"/>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0"/>
                <w:szCs w:val="20"/>
              </w:rPr>
            </w:pPr>
            <w:r w:rsidRPr="00116E55">
              <w:rPr>
                <w:rFonts w:asciiTheme="minorHAnsi" w:eastAsiaTheme="minorEastAsia" w:hAnsiTheme="minorHAnsi" w:cstheme="minorHAnsi"/>
                <w:sz w:val="20"/>
                <w:szCs w:val="20"/>
              </w:rPr>
              <w:t>b</w:t>
            </w:r>
            <w:r w:rsidR="00921C47" w:rsidRPr="00116E55">
              <w:rPr>
                <w:rFonts w:asciiTheme="minorHAnsi" w:eastAsiaTheme="minorEastAsia" w:hAnsiTheme="minorHAnsi" w:cstheme="minorHAnsi"/>
                <w:sz w:val="20"/>
                <w:szCs w:val="20"/>
              </w:rPr>
              <w:t xml:space="preserve">alanced </w:t>
            </w:r>
            <w:r w:rsidRPr="00116E55">
              <w:rPr>
                <w:rFonts w:asciiTheme="minorHAnsi" w:eastAsiaTheme="minorEastAsia" w:hAnsiTheme="minorHAnsi" w:cstheme="minorHAnsi"/>
                <w:sz w:val="20"/>
                <w:szCs w:val="20"/>
              </w:rPr>
              <w:t>c</w:t>
            </w:r>
            <w:r w:rsidR="00921C47" w:rsidRPr="00116E55">
              <w:rPr>
                <w:rFonts w:asciiTheme="minorHAnsi" w:eastAsiaTheme="minorEastAsia" w:hAnsiTheme="minorHAnsi" w:cstheme="minorHAnsi"/>
                <w:sz w:val="20"/>
                <w:szCs w:val="20"/>
              </w:rPr>
              <w:t xml:space="preserve">ost and </w:t>
            </w:r>
            <w:r w:rsidRPr="00116E55">
              <w:rPr>
                <w:rFonts w:asciiTheme="minorHAnsi" w:eastAsiaTheme="minorEastAsia" w:hAnsiTheme="minorHAnsi" w:cstheme="minorHAnsi"/>
                <w:sz w:val="20"/>
                <w:szCs w:val="20"/>
              </w:rPr>
              <w:t>b</w:t>
            </w:r>
            <w:r w:rsidR="00921C47" w:rsidRPr="00116E55">
              <w:rPr>
                <w:rFonts w:asciiTheme="minorHAnsi" w:eastAsiaTheme="minorEastAsia" w:hAnsiTheme="minorHAnsi" w:cstheme="minorHAnsi"/>
                <w:sz w:val="20"/>
                <w:szCs w:val="20"/>
              </w:rPr>
              <w:t xml:space="preserve">alanced </w:t>
            </w:r>
            <w:r w:rsidRPr="00116E55">
              <w:rPr>
                <w:rFonts w:asciiTheme="minorHAnsi" w:eastAsiaTheme="minorEastAsia" w:hAnsiTheme="minorHAnsi" w:cstheme="minorHAnsi"/>
                <w:sz w:val="20"/>
                <w:szCs w:val="20"/>
              </w:rPr>
              <w:t>r</w:t>
            </w:r>
            <w:r w:rsidR="00921C47" w:rsidRPr="00116E55">
              <w:rPr>
                <w:rFonts w:asciiTheme="minorHAnsi" w:eastAsiaTheme="minorEastAsia" w:hAnsiTheme="minorHAnsi" w:cstheme="minorHAnsi"/>
                <w:sz w:val="20"/>
                <w:szCs w:val="20"/>
              </w:rPr>
              <w:t>isk</w:t>
            </w:r>
          </w:p>
          <w:p w14:paraId="0FD1AD3F" w14:textId="631E23EB" w:rsidR="00921C47" w:rsidRPr="00116E55" w:rsidRDefault="00F31F9F">
            <w:pPr>
              <w:pStyle w:val="ListParagraph"/>
              <w:numPr>
                <w:ilvl w:val="0"/>
                <w:numId w:val="29"/>
              </w:numPr>
              <w:spacing w:after="40"/>
              <w:ind w:left="197" w:hanging="197"/>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0"/>
                <w:szCs w:val="20"/>
              </w:rPr>
            </w:pPr>
            <w:r w:rsidRPr="00116E55">
              <w:rPr>
                <w:rFonts w:asciiTheme="minorHAnsi" w:eastAsiaTheme="minorEastAsia" w:hAnsiTheme="minorHAnsi" w:cstheme="minorHAnsi"/>
                <w:sz w:val="20"/>
                <w:szCs w:val="20"/>
              </w:rPr>
              <w:t>h</w:t>
            </w:r>
            <w:r w:rsidR="00921C47" w:rsidRPr="00116E55">
              <w:rPr>
                <w:rFonts w:asciiTheme="minorHAnsi" w:eastAsiaTheme="minorEastAsia" w:hAnsiTheme="minorHAnsi" w:cstheme="minorHAnsi"/>
                <w:sz w:val="20"/>
                <w:szCs w:val="20"/>
              </w:rPr>
              <w:t xml:space="preserve">igher </w:t>
            </w:r>
            <w:r w:rsidRPr="00116E55">
              <w:rPr>
                <w:rFonts w:asciiTheme="minorHAnsi" w:eastAsiaTheme="minorEastAsia" w:hAnsiTheme="minorHAnsi" w:cstheme="minorHAnsi"/>
                <w:sz w:val="20"/>
                <w:szCs w:val="20"/>
              </w:rPr>
              <w:t>c</w:t>
            </w:r>
            <w:r w:rsidR="00921C47" w:rsidRPr="00116E55">
              <w:rPr>
                <w:rFonts w:asciiTheme="minorHAnsi" w:eastAsiaTheme="minorEastAsia" w:hAnsiTheme="minorHAnsi" w:cstheme="minorHAnsi"/>
                <w:sz w:val="20"/>
                <w:szCs w:val="20"/>
              </w:rPr>
              <w:t xml:space="preserve">ost and </w:t>
            </w:r>
            <w:r w:rsidRPr="00116E55">
              <w:rPr>
                <w:rFonts w:asciiTheme="minorHAnsi" w:eastAsiaTheme="minorEastAsia" w:hAnsiTheme="minorHAnsi" w:cstheme="minorHAnsi"/>
                <w:sz w:val="20"/>
                <w:szCs w:val="20"/>
              </w:rPr>
              <w:t>l</w:t>
            </w:r>
            <w:r w:rsidR="00921C47" w:rsidRPr="00116E55">
              <w:rPr>
                <w:rFonts w:asciiTheme="minorHAnsi" w:eastAsiaTheme="minorEastAsia" w:hAnsiTheme="minorHAnsi" w:cstheme="minorHAnsi"/>
                <w:sz w:val="20"/>
                <w:szCs w:val="20"/>
              </w:rPr>
              <w:t xml:space="preserve">ower </w:t>
            </w:r>
            <w:r w:rsidRPr="00116E55">
              <w:rPr>
                <w:rFonts w:asciiTheme="minorHAnsi" w:eastAsiaTheme="minorEastAsia" w:hAnsiTheme="minorHAnsi" w:cstheme="minorHAnsi"/>
                <w:sz w:val="20"/>
                <w:szCs w:val="20"/>
              </w:rPr>
              <w:t>r</w:t>
            </w:r>
            <w:r w:rsidR="00921C47" w:rsidRPr="00116E55">
              <w:rPr>
                <w:rFonts w:asciiTheme="minorHAnsi" w:eastAsiaTheme="minorEastAsia" w:hAnsiTheme="minorHAnsi" w:cstheme="minorHAnsi"/>
                <w:sz w:val="20"/>
                <w:szCs w:val="20"/>
              </w:rPr>
              <w:t>isk.</w:t>
            </w:r>
          </w:p>
          <w:p w14:paraId="005991D9" w14:textId="5166DB3C" w:rsidR="00CE00DA" w:rsidRPr="00116E55" w:rsidRDefault="00921C47" w:rsidP="00921C47">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0"/>
                <w:szCs w:val="20"/>
              </w:rPr>
            </w:pPr>
            <w:r w:rsidRPr="00116E55">
              <w:rPr>
                <w:rFonts w:asciiTheme="minorHAnsi" w:eastAsiaTheme="minorEastAsia" w:hAnsiTheme="minorHAnsi" w:cstheme="minorHAnsi"/>
                <w:sz w:val="20"/>
                <w:szCs w:val="20"/>
              </w:rPr>
              <w:t xml:space="preserve">The </w:t>
            </w:r>
            <w:r w:rsidR="00EA79EE" w:rsidRPr="00116E55">
              <w:rPr>
                <w:rFonts w:asciiTheme="minorHAnsi" w:eastAsiaTheme="minorEastAsia" w:hAnsiTheme="minorHAnsi" w:cstheme="minorHAnsi"/>
                <w:sz w:val="20"/>
                <w:szCs w:val="20"/>
              </w:rPr>
              <w:t xml:space="preserve">proposed </w:t>
            </w:r>
            <w:r w:rsidR="002D050A" w:rsidRPr="00116E55">
              <w:rPr>
                <w:rFonts w:asciiTheme="minorHAnsi" w:eastAsiaTheme="minorEastAsia" w:hAnsiTheme="minorHAnsi" w:cstheme="minorHAnsi"/>
                <w:sz w:val="20"/>
                <w:szCs w:val="20"/>
              </w:rPr>
              <w:t xml:space="preserve">capital </w:t>
            </w:r>
            <w:r w:rsidR="00EA79EE" w:rsidRPr="00116E55">
              <w:rPr>
                <w:rFonts w:asciiTheme="minorHAnsi" w:eastAsiaTheme="minorEastAsia" w:hAnsiTheme="minorHAnsi" w:cstheme="minorHAnsi"/>
                <w:sz w:val="20"/>
                <w:szCs w:val="20"/>
              </w:rPr>
              <w:t>expenditure</w:t>
            </w:r>
            <w:r w:rsidR="002D050A" w:rsidRPr="00116E55">
              <w:rPr>
                <w:rFonts w:asciiTheme="minorHAnsi" w:eastAsiaTheme="minorEastAsia" w:hAnsiTheme="minorHAnsi" w:cstheme="minorHAnsi"/>
                <w:sz w:val="20"/>
                <w:szCs w:val="20"/>
              </w:rPr>
              <w:t xml:space="preserve"> program</w:t>
            </w:r>
            <w:r w:rsidR="00C679AA" w:rsidRPr="00116E55">
              <w:rPr>
                <w:rFonts w:asciiTheme="minorHAnsi" w:eastAsiaTheme="minorEastAsia" w:hAnsiTheme="minorHAnsi" w:cstheme="minorHAnsi"/>
                <w:sz w:val="20"/>
                <w:szCs w:val="20"/>
              </w:rPr>
              <w:t xml:space="preserve"> is</w:t>
            </w:r>
            <w:r w:rsidRPr="00116E55">
              <w:rPr>
                <w:rFonts w:asciiTheme="minorHAnsi" w:eastAsiaTheme="minorEastAsia" w:hAnsiTheme="minorHAnsi" w:cstheme="minorHAnsi"/>
                <w:sz w:val="20"/>
                <w:szCs w:val="20"/>
              </w:rPr>
              <w:t xml:space="preserve"> </w:t>
            </w:r>
            <w:r w:rsidR="002D050A" w:rsidRPr="00116E55">
              <w:rPr>
                <w:rFonts w:asciiTheme="minorHAnsi" w:eastAsiaTheme="minorEastAsia" w:hAnsiTheme="minorHAnsi" w:cstheme="minorHAnsi"/>
                <w:sz w:val="20"/>
                <w:szCs w:val="20"/>
              </w:rPr>
              <w:t>optimised to provide this balance</w:t>
            </w:r>
            <w:r w:rsidR="001E6334" w:rsidRPr="00116E55">
              <w:rPr>
                <w:rFonts w:asciiTheme="minorHAnsi" w:eastAsiaTheme="minorEastAsia" w:hAnsiTheme="minorHAnsi" w:cstheme="minorHAnsi"/>
                <w:sz w:val="20"/>
                <w:szCs w:val="20"/>
              </w:rPr>
              <w:t>.</w:t>
            </w:r>
          </w:p>
          <w:p w14:paraId="45E27D1F" w14:textId="77777777" w:rsidR="00CE00DA" w:rsidRPr="00116E55" w:rsidRDefault="00CE00DA" w:rsidP="00865E3B">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0"/>
                <w:szCs w:val="20"/>
              </w:rPr>
            </w:pPr>
          </w:p>
          <w:p w14:paraId="68250032" w14:textId="5CCBF8FC" w:rsidR="00830916" w:rsidRPr="00116E55" w:rsidRDefault="001A526D" w:rsidP="00830916">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0"/>
                <w:szCs w:val="20"/>
              </w:rPr>
            </w:pPr>
            <w:r w:rsidRPr="00116E55">
              <w:rPr>
                <w:rFonts w:asciiTheme="minorHAnsi" w:eastAsiaTheme="minorEastAsia" w:hAnsiTheme="minorHAnsi" w:cstheme="minorHAnsi"/>
                <w:sz w:val="20"/>
                <w:szCs w:val="20"/>
              </w:rPr>
              <w:t xml:space="preserve">We will continue to monitor </w:t>
            </w:r>
            <w:r w:rsidR="00C7377A" w:rsidRPr="00116E55">
              <w:rPr>
                <w:rFonts w:asciiTheme="minorHAnsi" w:eastAsiaTheme="minorEastAsia" w:hAnsiTheme="minorHAnsi" w:cstheme="minorHAnsi"/>
                <w:sz w:val="20"/>
                <w:szCs w:val="20"/>
              </w:rPr>
              <w:t xml:space="preserve">operational </w:t>
            </w:r>
            <w:r w:rsidR="00830916" w:rsidRPr="00116E55">
              <w:rPr>
                <w:rFonts w:asciiTheme="minorHAnsi" w:eastAsiaTheme="minorEastAsia" w:hAnsiTheme="minorHAnsi" w:cstheme="minorHAnsi"/>
                <w:sz w:val="20"/>
                <w:szCs w:val="20"/>
              </w:rPr>
              <w:t>risk</w:t>
            </w:r>
            <w:r w:rsidRPr="00116E55">
              <w:rPr>
                <w:rFonts w:asciiTheme="minorHAnsi" w:eastAsiaTheme="minorEastAsia" w:hAnsiTheme="minorHAnsi" w:cstheme="minorHAnsi"/>
                <w:sz w:val="20"/>
                <w:szCs w:val="20"/>
              </w:rPr>
              <w:t xml:space="preserve"> </w:t>
            </w:r>
            <w:r w:rsidR="00830916" w:rsidRPr="00116E55">
              <w:rPr>
                <w:rFonts w:asciiTheme="minorHAnsi" w:eastAsiaTheme="minorEastAsia" w:hAnsiTheme="minorHAnsi" w:cstheme="minorHAnsi"/>
                <w:sz w:val="20"/>
                <w:szCs w:val="20"/>
              </w:rPr>
              <w:t>throughout the regulatory period to</w:t>
            </w:r>
            <w:r w:rsidR="006A378F" w:rsidRPr="00116E55">
              <w:rPr>
                <w:rFonts w:asciiTheme="minorHAnsi" w:eastAsiaTheme="minorEastAsia" w:hAnsiTheme="minorHAnsi" w:cstheme="minorHAnsi"/>
                <w:sz w:val="20"/>
                <w:szCs w:val="20"/>
              </w:rPr>
              <w:t xml:space="preserve"> ensure</w:t>
            </w:r>
            <w:r w:rsidR="00830916" w:rsidRPr="00116E55">
              <w:rPr>
                <w:rFonts w:asciiTheme="minorHAnsi" w:eastAsiaTheme="minorEastAsia" w:hAnsiTheme="minorHAnsi" w:cstheme="minorHAnsi"/>
                <w:sz w:val="20"/>
                <w:szCs w:val="20"/>
              </w:rPr>
              <w:t xml:space="preserve"> investment priorities</w:t>
            </w:r>
            <w:r w:rsidR="006A378F" w:rsidRPr="00116E55">
              <w:rPr>
                <w:rFonts w:asciiTheme="minorHAnsi" w:eastAsiaTheme="minorEastAsia" w:hAnsiTheme="minorHAnsi" w:cstheme="minorHAnsi"/>
                <w:sz w:val="20"/>
                <w:szCs w:val="20"/>
              </w:rPr>
              <w:t xml:space="preserve"> are prudent and efficient</w:t>
            </w:r>
            <w:r w:rsidR="00871DB2" w:rsidRPr="00116E55">
              <w:rPr>
                <w:rFonts w:asciiTheme="minorHAnsi" w:eastAsiaTheme="minorEastAsia" w:hAnsiTheme="minorHAnsi" w:cstheme="minorHAnsi"/>
                <w:sz w:val="20"/>
                <w:szCs w:val="20"/>
              </w:rPr>
              <w:t>.</w:t>
            </w:r>
            <w:r w:rsidR="00797577" w:rsidRPr="00116E55">
              <w:rPr>
                <w:rFonts w:asciiTheme="minorHAnsi" w:eastAsiaTheme="minorEastAsia" w:hAnsiTheme="minorHAnsi" w:cstheme="minorHAnsi"/>
                <w:sz w:val="20"/>
                <w:szCs w:val="20"/>
              </w:rPr>
              <w:t xml:space="preserve"> </w:t>
            </w:r>
            <w:r w:rsidR="007B26ED">
              <w:rPr>
                <w:rFonts w:asciiTheme="minorHAnsi" w:eastAsiaTheme="minorEastAsia" w:hAnsiTheme="minorHAnsi" w:cstheme="minorHAnsi"/>
                <w:sz w:val="20"/>
                <w:szCs w:val="20"/>
              </w:rPr>
              <w:br/>
            </w:r>
            <w:r w:rsidR="00797577" w:rsidRPr="00116E55">
              <w:rPr>
                <w:rFonts w:asciiTheme="minorHAnsi" w:eastAsiaTheme="minorEastAsia" w:hAnsiTheme="minorHAnsi" w:cstheme="minorHAnsi"/>
                <w:sz w:val="20"/>
                <w:szCs w:val="20"/>
              </w:rPr>
              <w:t xml:space="preserve">This involves </w:t>
            </w:r>
            <w:r w:rsidR="00C7377A" w:rsidRPr="00116E55">
              <w:rPr>
                <w:rFonts w:asciiTheme="minorHAnsi" w:eastAsiaTheme="minorEastAsia" w:hAnsiTheme="minorHAnsi" w:cstheme="minorHAnsi"/>
                <w:sz w:val="20"/>
                <w:szCs w:val="20"/>
              </w:rPr>
              <w:t>continued</w:t>
            </w:r>
            <w:r w:rsidR="00D65D4F" w:rsidRPr="00116E55">
              <w:rPr>
                <w:rFonts w:asciiTheme="minorHAnsi" w:eastAsiaTheme="minorEastAsia" w:hAnsiTheme="minorHAnsi" w:cstheme="minorHAnsi"/>
                <w:sz w:val="20"/>
                <w:szCs w:val="20"/>
              </w:rPr>
              <w:t xml:space="preserve"> challenging </w:t>
            </w:r>
            <w:r w:rsidR="00C7377A" w:rsidRPr="00116E55">
              <w:rPr>
                <w:rFonts w:asciiTheme="minorHAnsi" w:eastAsiaTheme="minorEastAsia" w:hAnsiTheme="minorHAnsi" w:cstheme="minorHAnsi"/>
                <w:sz w:val="20"/>
                <w:szCs w:val="20"/>
              </w:rPr>
              <w:t>of</w:t>
            </w:r>
            <w:r w:rsidR="00D65D4F" w:rsidRPr="00116E55">
              <w:rPr>
                <w:rFonts w:asciiTheme="minorHAnsi" w:eastAsiaTheme="minorEastAsia" w:hAnsiTheme="minorHAnsi" w:cstheme="minorHAnsi"/>
                <w:sz w:val="20"/>
                <w:szCs w:val="20"/>
              </w:rPr>
              <w:t xml:space="preserve"> </w:t>
            </w:r>
            <w:r w:rsidR="00797577" w:rsidRPr="00116E55">
              <w:rPr>
                <w:rFonts w:asciiTheme="minorHAnsi" w:eastAsiaTheme="minorEastAsia" w:hAnsiTheme="minorHAnsi" w:cstheme="minorHAnsi"/>
                <w:sz w:val="20"/>
                <w:szCs w:val="20"/>
              </w:rPr>
              <w:t>project</w:t>
            </w:r>
            <w:r w:rsidR="00DC344E">
              <w:rPr>
                <w:rFonts w:asciiTheme="minorHAnsi" w:eastAsiaTheme="minorEastAsia" w:hAnsiTheme="minorHAnsi" w:cstheme="minorHAnsi"/>
                <w:sz w:val="20"/>
                <w:szCs w:val="20"/>
              </w:rPr>
              <w:t xml:space="preserve"> </w:t>
            </w:r>
            <w:r w:rsidR="00797577" w:rsidRPr="00116E55">
              <w:rPr>
                <w:rFonts w:asciiTheme="minorHAnsi" w:eastAsiaTheme="minorEastAsia" w:hAnsiTheme="minorHAnsi" w:cstheme="minorHAnsi"/>
                <w:sz w:val="20"/>
                <w:szCs w:val="20"/>
              </w:rPr>
              <w:t>scope</w:t>
            </w:r>
            <w:r w:rsidR="00E94414" w:rsidRPr="00116E55">
              <w:rPr>
                <w:rFonts w:asciiTheme="minorHAnsi" w:eastAsiaTheme="minorEastAsia" w:hAnsiTheme="minorHAnsi" w:cstheme="minorHAnsi"/>
                <w:sz w:val="20"/>
                <w:szCs w:val="20"/>
              </w:rPr>
              <w:t>s</w:t>
            </w:r>
            <w:r w:rsidR="00797577" w:rsidRPr="00116E55">
              <w:rPr>
                <w:rFonts w:asciiTheme="minorHAnsi" w:eastAsiaTheme="minorEastAsia" w:hAnsiTheme="minorHAnsi" w:cstheme="minorHAnsi"/>
                <w:sz w:val="20"/>
                <w:szCs w:val="20"/>
              </w:rPr>
              <w:t xml:space="preserve"> </w:t>
            </w:r>
            <w:r w:rsidR="00135839" w:rsidRPr="00116E55">
              <w:rPr>
                <w:rFonts w:asciiTheme="minorHAnsi" w:eastAsiaTheme="minorEastAsia" w:hAnsiTheme="minorHAnsi" w:cstheme="minorHAnsi"/>
                <w:sz w:val="20"/>
                <w:szCs w:val="20"/>
              </w:rPr>
              <w:t xml:space="preserve">and </w:t>
            </w:r>
            <w:r w:rsidR="00797577" w:rsidRPr="00116E55">
              <w:rPr>
                <w:rFonts w:asciiTheme="minorHAnsi" w:eastAsiaTheme="minorEastAsia" w:hAnsiTheme="minorHAnsi" w:cstheme="minorHAnsi"/>
                <w:sz w:val="20"/>
                <w:szCs w:val="20"/>
              </w:rPr>
              <w:t xml:space="preserve">specifications </w:t>
            </w:r>
            <w:r w:rsidR="00D65D4F" w:rsidRPr="00116E55">
              <w:rPr>
                <w:rFonts w:asciiTheme="minorHAnsi" w:eastAsiaTheme="minorEastAsia" w:hAnsiTheme="minorHAnsi" w:cstheme="minorHAnsi"/>
                <w:sz w:val="20"/>
                <w:szCs w:val="20"/>
              </w:rPr>
              <w:t>without com</w:t>
            </w:r>
            <w:r w:rsidR="00597EED" w:rsidRPr="00116E55">
              <w:rPr>
                <w:rFonts w:asciiTheme="minorHAnsi" w:eastAsiaTheme="minorEastAsia" w:hAnsiTheme="minorHAnsi" w:cstheme="minorHAnsi"/>
                <w:sz w:val="20"/>
                <w:szCs w:val="20"/>
              </w:rPr>
              <w:t xml:space="preserve">promising </w:t>
            </w:r>
            <w:r w:rsidR="00A55946" w:rsidRPr="00116E55">
              <w:rPr>
                <w:rFonts w:asciiTheme="minorHAnsi" w:eastAsiaTheme="minorEastAsia" w:hAnsiTheme="minorHAnsi" w:cstheme="minorHAnsi"/>
                <w:sz w:val="20"/>
                <w:szCs w:val="20"/>
              </w:rPr>
              <w:t>on agreed service outcomes</w:t>
            </w:r>
            <w:r w:rsidR="00597EED" w:rsidRPr="00116E55">
              <w:rPr>
                <w:rFonts w:asciiTheme="minorHAnsi" w:eastAsiaTheme="minorEastAsia" w:hAnsiTheme="minorHAnsi" w:cstheme="minorHAnsi"/>
                <w:sz w:val="20"/>
                <w:szCs w:val="20"/>
              </w:rPr>
              <w:t>.</w:t>
            </w:r>
          </w:p>
          <w:p w14:paraId="4C712F7B" w14:textId="77777777" w:rsidR="00CD3B0E" w:rsidRPr="00116E55" w:rsidRDefault="00CD3B0E" w:rsidP="00830916">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0"/>
                <w:szCs w:val="20"/>
              </w:rPr>
            </w:pPr>
          </w:p>
          <w:p w14:paraId="6F60C098" w14:textId="1B69E375" w:rsidR="00830916" w:rsidRPr="00116E55" w:rsidRDefault="00E94414" w:rsidP="00865E3B">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0"/>
                <w:szCs w:val="20"/>
              </w:rPr>
            </w:pPr>
            <w:r w:rsidRPr="00116E55">
              <w:rPr>
                <w:rFonts w:asciiTheme="minorHAnsi" w:eastAsiaTheme="minorEastAsia" w:hAnsiTheme="minorHAnsi" w:cstheme="minorHAnsi"/>
                <w:sz w:val="20"/>
                <w:szCs w:val="20"/>
              </w:rPr>
              <w:t>South East Water</w:t>
            </w:r>
            <w:r w:rsidR="00E04B37" w:rsidRPr="00116E55">
              <w:rPr>
                <w:rFonts w:asciiTheme="minorHAnsi" w:eastAsiaTheme="minorEastAsia" w:hAnsiTheme="minorHAnsi" w:cstheme="minorHAnsi"/>
                <w:sz w:val="20"/>
                <w:szCs w:val="20"/>
              </w:rPr>
              <w:t xml:space="preserve"> ha</w:t>
            </w:r>
            <w:r w:rsidR="00F06FB4" w:rsidRPr="00116E55">
              <w:rPr>
                <w:rFonts w:asciiTheme="minorHAnsi" w:eastAsiaTheme="minorEastAsia" w:hAnsiTheme="minorHAnsi" w:cstheme="minorHAnsi"/>
                <w:sz w:val="20"/>
                <w:szCs w:val="20"/>
              </w:rPr>
              <w:t>s</w:t>
            </w:r>
            <w:r w:rsidR="00E04B37" w:rsidRPr="00116E55">
              <w:rPr>
                <w:rFonts w:asciiTheme="minorHAnsi" w:eastAsiaTheme="minorEastAsia" w:hAnsiTheme="minorHAnsi" w:cstheme="minorHAnsi"/>
                <w:sz w:val="20"/>
                <w:szCs w:val="20"/>
              </w:rPr>
              <w:t xml:space="preserve"> o</w:t>
            </w:r>
            <w:r w:rsidR="00830916" w:rsidRPr="00116E55">
              <w:rPr>
                <w:rFonts w:asciiTheme="minorHAnsi" w:eastAsiaTheme="minorEastAsia" w:hAnsiTheme="minorHAnsi" w:cstheme="minorHAnsi"/>
                <w:sz w:val="20"/>
                <w:szCs w:val="20"/>
              </w:rPr>
              <w:t>ptimise</w:t>
            </w:r>
            <w:r w:rsidR="00E04B37" w:rsidRPr="00116E55">
              <w:rPr>
                <w:rFonts w:asciiTheme="minorHAnsi" w:eastAsiaTheme="minorEastAsia" w:hAnsiTheme="minorHAnsi" w:cstheme="minorHAnsi"/>
                <w:sz w:val="20"/>
                <w:szCs w:val="20"/>
              </w:rPr>
              <w:t>d</w:t>
            </w:r>
            <w:r w:rsidR="00830916" w:rsidRPr="00116E55">
              <w:rPr>
                <w:rFonts w:asciiTheme="minorHAnsi" w:eastAsiaTheme="minorEastAsia" w:hAnsiTheme="minorHAnsi" w:cstheme="minorHAnsi"/>
                <w:sz w:val="20"/>
                <w:szCs w:val="20"/>
              </w:rPr>
              <w:t xml:space="preserve"> the management of assets utilising ISO 55000</w:t>
            </w:r>
            <w:r w:rsidR="00E04B37" w:rsidRPr="00116E55">
              <w:rPr>
                <w:rFonts w:asciiTheme="minorHAnsi" w:eastAsiaTheme="minorEastAsia" w:hAnsiTheme="minorHAnsi" w:cstheme="minorHAnsi"/>
                <w:sz w:val="20"/>
                <w:szCs w:val="20"/>
              </w:rPr>
              <w:t xml:space="preserve"> and </w:t>
            </w:r>
            <w:r w:rsidR="00CA3E31" w:rsidRPr="00116E55">
              <w:rPr>
                <w:rFonts w:asciiTheme="minorHAnsi" w:eastAsiaTheme="minorEastAsia" w:hAnsiTheme="minorHAnsi" w:cstheme="minorHAnsi"/>
                <w:sz w:val="20"/>
                <w:szCs w:val="20"/>
              </w:rPr>
              <w:t>is</w:t>
            </w:r>
            <w:r w:rsidR="001F2955" w:rsidRPr="00116E55">
              <w:rPr>
                <w:rFonts w:asciiTheme="minorHAnsi" w:eastAsiaTheme="minorEastAsia" w:hAnsiTheme="minorHAnsi" w:cstheme="minorHAnsi"/>
                <w:sz w:val="20"/>
                <w:szCs w:val="20"/>
              </w:rPr>
              <w:t xml:space="preserve"> </w:t>
            </w:r>
            <w:r w:rsidR="00E04B37" w:rsidRPr="00116E55">
              <w:rPr>
                <w:rFonts w:asciiTheme="minorHAnsi" w:eastAsiaTheme="minorEastAsia" w:hAnsiTheme="minorHAnsi" w:cstheme="minorHAnsi"/>
                <w:sz w:val="20"/>
                <w:szCs w:val="20"/>
              </w:rPr>
              <w:t>seeking accreditation prior to the end of the current regulatory period.</w:t>
            </w:r>
          </w:p>
        </w:tc>
        <w:tc>
          <w:tcPr>
            <w:tcW w:w="3989" w:type="dxa"/>
          </w:tcPr>
          <w:p w14:paraId="30E99DE3" w14:textId="75A7D1A7" w:rsidR="007B7E93" w:rsidRPr="00116E55" w:rsidRDefault="002A1372" w:rsidP="00FF5EE8">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0"/>
                <w:szCs w:val="20"/>
              </w:rPr>
            </w:pPr>
            <w:r w:rsidRPr="00116E55">
              <w:rPr>
                <w:rFonts w:asciiTheme="minorHAnsi" w:eastAsiaTheme="minorEastAsia" w:hAnsiTheme="minorHAnsi" w:cstheme="minorHAnsi"/>
                <w:sz w:val="20"/>
                <w:szCs w:val="20"/>
              </w:rPr>
              <w:lastRenderedPageBreak/>
              <w:t>A b</w:t>
            </w:r>
            <w:r w:rsidR="00FF5EE8" w:rsidRPr="00116E55">
              <w:rPr>
                <w:rFonts w:asciiTheme="minorHAnsi" w:eastAsiaTheme="minorEastAsia" w:hAnsiTheme="minorHAnsi" w:cstheme="minorHAnsi"/>
                <w:sz w:val="20"/>
                <w:szCs w:val="20"/>
              </w:rPr>
              <w:t>alance</w:t>
            </w:r>
            <w:r w:rsidR="006A264B" w:rsidRPr="00116E55">
              <w:rPr>
                <w:rFonts w:asciiTheme="minorHAnsi" w:eastAsiaTheme="minorEastAsia" w:hAnsiTheme="minorHAnsi" w:cstheme="minorHAnsi"/>
                <w:sz w:val="20"/>
                <w:szCs w:val="20"/>
              </w:rPr>
              <w:t>d</w:t>
            </w:r>
            <w:r w:rsidR="00FF5EE8" w:rsidRPr="00116E55">
              <w:rPr>
                <w:rFonts w:asciiTheme="minorHAnsi" w:eastAsiaTheme="minorEastAsia" w:hAnsiTheme="minorHAnsi" w:cstheme="minorHAnsi"/>
                <w:sz w:val="20"/>
                <w:szCs w:val="20"/>
              </w:rPr>
              <w:t xml:space="preserve"> cost</w:t>
            </w:r>
            <w:r w:rsidR="008A072E" w:rsidRPr="00116E55">
              <w:rPr>
                <w:rFonts w:asciiTheme="minorHAnsi" w:eastAsiaTheme="minorEastAsia" w:hAnsiTheme="minorHAnsi" w:cstheme="minorHAnsi"/>
                <w:sz w:val="20"/>
                <w:szCs w:val="20"/>
              </w:rPr>
              <w:t>-</w:t>
            </w:r>
            <w:r w:rsidR="00FF5EE8" w:rsidRPr="00116E55">
              <w:rPr>
                <w:rFonts w:asciiTheme="minorHAnsi" w:eastAsiaTheme="minorEastAsia" w:hAnsiTheme="minorHAnsi" w:cstheme="minorHAnsi"/>
                <w:sz w:val="20"/>
                <w:szCs w:val="20"/>
              </w:rPr>
              <w:t>risk</w:t>
            </w:r>
            <w:r w:rsidRPr="00116E55">
              <w:rPr>
                <w:rFonts w:asciiTheme="minorHAnsi" w:eastAsiaTheme="minorEastAsia" w:hAnsiTheme="minorHAnsi" w:cstheme="minorHAnsi"/>
                <w:sz w:val="20"/>
                <w:szCs w:val="20"/>
              </w:rPr>
              <w:t xml:space="preserve"> a</w:t>
            </w:r>
            <w:r w:rsidR="002C5C51" w:rsidRPr="00116E55">
              <w:rPr>
                <w:rFonts w:asciiTheme="minorHAnsi" w:eastAsiaTheme="minorEastAsia" w:hAnsiTheme="minorHAnsi" w:cstheme="minorHAnsi"/>
                <w:sz w:val="20"/>
                <w:szCs w:val="20"/>
              </w:rPr>
              <w:t>p</w:t>
            </w:r>
            <w:r w:rsidRPr="00116E55">
              <w:rPr>
                <w:rFonts w:asciiTheme="minorHAnsi" w:eastAsiaTheme="minorEastAsia" w:hAnsiTheme="minorHAnsi" w:cstheme="minorHAnsi"/>
                <w:sz w:val="20"/>
                <w:szCs w:val="20"/>
              </w:rPr>
              <w:t>proach has been adopted</w:t>
            </w:r>
            <w:r w:rsidR="00FF5EE8" w:rsidRPr="00116E55">
              <w:rPr>
                <w:rFonts w:asciiTheme="minorHAnsi" w:eastAsiaTheme="minorEastAsia" w:hAnsiTheme="minorHAnsi" w:cstheme="minorHAnsi"/>
                <w:sz w:val="20"/>
                <w:szCs w:val="20"/>
              </w:rPr>
              <w:t xml:space="preserve"> between </w:t>
            </w:r>
            <w:r w:rsidR="006A264B" w:rsidRPr="00116E55">
              <w:rPr>
                <w:rFonts w:asciiTheme="minorHAnsi" w:eastAsiaTheme="minorEastAsia" w:hAnsiTheme="minorHAnsi" w:cstheme="minorHAnsi"/>
                <w:sz w:val="20"/>
                <w:szCs w:val="20"/>
              </w:rPr>
              <w:t>S</w:t>
            </w:r>
            <w:r w:rsidR="000D7216" w:rsidRPr="00116E55">
              <w:rPr>
                <w:rFonts w:asciiTheme="minorHAnsi" w:eastAsiaTheme="minorEastAsia" w:hAnsiTheme="minorHAnsi" w:cstheme="minorHAnsi"/>
                <w:sz w:val="20"/>
                <w:szCs w:val="20"/>
              </w:rPr>
              <w:t>outh</w:t>
            </w:r>
            <w:r w:rsidR="00B16E3F" w:rsidRPr="00116E55">
              <w:rPr>
                <w:rFonts w:asciiTheme="minorHAnsi" w:eastAsiaTheme="minorEastAsia" w:hAnsiTheme="minorHAnsi" w:cstheme="minorHAnsi"/>
                <w:sz w:val="20"/>
                <w:szCs w:val="20"/>
              </w:rPr>
              <w:t> </w:t>
            </w:r>
            <w:r w:rsidR="000D7216" w:rsidRPr="00116E55">
              <w:rPr>
                <w:rFonts w:asciiTheme="minorHAnsi" w:eastAsiaTheme="minorEastAsia" w:hAnsiTheme="minorHAnsi" w:cstheme="minorHAnsi"/>
                <w:sz w:val="20"/>
                <w:szCs w:val="20"/>
              </w:rPr>
              <w:t>East</w:t>
            </w:r>
            <w:r w:rsidR="00B16E3F" w:rsidRPr="00116E55">
              <w:rPr>
                <w:rFonts w:asciiTheme="minorHAnsi" w:eastAsiaTheme="minorEastAsia" w:hAnsiTheme="minorHAnsi" w:cstheme="minorHAnsi"/>
                <w:sz w:val="20"/>
                <w:szCs w:val="20"/>
              </w:rPr>
              <w:t> </w:t>
            </w:r>
            <w:r w:rsidR="000D7216" w:rsidRPr="00116E55">
              <w:rPr>
                <w:rFonts w:asciiTheme="minorHAnsi" w:eastAsiaTheme="minorEastAsia" w:hAnsiTheme="minorHAnsi" w:cstheme="minorHAnsi"/>
                <w:sz w:val="20"/>
                <w:szCs w:val="20"/>
              </w:rPr>
              <w:t>Water</w:t>
            </w:r>
            <w:r w:rsidR="00FF5EE8" w:rsidRPr="00116E55">
              <w:rPr>
                <w:rFonts w:asciiTheme="minorHAnsi" w:eastAsiaTheme="minorEastAsia" w:hAnsiTheme="minorHAnsi" w:cstheme="minorHAnsi"/>
                <w:sz w:val="20"/>
                <w:szCs w:val="20"/>
              </w:rPr>
              <w:t xml:space="preserve"> and customer</w:t>
            </w:r>
            <w:r w:rsidR="006A264B" w:rsidRPr="00116E55">
              <w:rPr>
                <w:rFonts w:asciiTheme="minorHAnsi" w:eastAsiaTheme="minorEastAsia" w:hAnsiTheme="minorHAnsi" w:cstheme="minorHAnsi"/>
                <w:sz w:val="20"/>
                <w:szCs w:val="20"/>
              </w:rPr>
              <w:t>s</w:t>
            </w:r>
            <w:r w:rsidR="00FF5EE8" w:rsidRPr="00116E55">
              <w:rPr>
                <w:rFonts w:asciiTheme="minorHAnsi" w:eastAsiaTheme="minorEastAsia" w:hAnsiTheme="minorHAnsi" w:cstheme="minorHAnsi"/>
                <w:sz w:val="20"/>
                <w:szCs w:val="20"/>
              </w:rPr>
              <w:t>.</w:t>
            </w:r>
            <w:r w:rsidR="006A264B" w:rsidRPr="00116E55">
              <w:rPr>
                <w:rFonts w:asciiTheme="minorHAnsi" w:eastAsiaTheme="minorEastAsia" w:hAnsiTheme="minorHAnsi" w:cstheme="minorHAnsi"/>
                <w:sz w:val="20"/>
                <w:szCs w:val="20"/>
              </w:rPr>
              <w:t xml:space="preserve"> </w:t>
            </w:r>
            <w:r w:rsidR="00E278E7" w:rsidRPr="00116E55">
              <w:rPr>
                <w:rFonts w:asciiTheme="minorHAnsi" w:eastAsiaTheme="minorEastAsia" w:hAnsiTheme="minorHAnsi" w:cstheme="minorHAnsi"/>
                <w:sz w:val="20"/>
                <w:szCs w:val="20"/>
              </w:rPr>
              <w:t>This approach</w:t>
            </w:r>
            <w:r w:rsidR="005F7C96" w:rsidRPr="00116E55">
              <w:rPr>
                <w:rFonts w:asciiTheme="minorHAnsi" w:eastAsiaTheme="minorEastAsia" w:hAnsiTheme="minorHAnsi" w:cstheme="minorHAnsi"/>
                <w:sz w:val="20"/>
                <w:szCs w:val="20"/>
              </w:rPr>
              <w:t xml:space="preserve"> </w:t>
            </w:r>
            <w:r w:rsidR="00E278E7" w:rsidRPr="00116E55">
              <w:rPr>
                <w:rFonts w:asciiTheme="minorHAnsi" w:eastAsiaTheme="minorEastAsia" w:hAnsiTheme="minorHAnsi" w:cstheme="minorHAnsi"/>
                <w:sz w:val="20"/>
                <w:szCs w:val="20"/>
              </w:rPr>
              <w:t xml:space="preserve">has meant </w:t>
            </w:r>
            <w:r w:rsidR="00DB1B74">
              <w:rPr>
                <w:rFonts w:asciiTheme="minorHAnsi" w:eastAsiaTheme="minorEastAsia" w:hAnsiTheme="minorHAnsi" w:cstheme="minorHAnsi"/>
                <w:sz w:val="20"/>
                <w:szCs w:val="20"/>
              </w:rPr>
              <w:br/>
            </w:r>
            <w:r w:rsidR="00E278E7" w:rsidRPr="00116E55">
              <w:rPr>
                <w:rFonts w:asciiTheme="minorHAnsi" w:eastAsiaTheme="minorEastAsia" w:hAnsiTheme="minorHAnsi" w:cstheme="minorHAnsi"/>
                <w:sz w:val="20"/>
                <w:szCs w:val="20"/>
              </w:rPr>
              <w:t xml:space="preserve">that the cost of the optimised investment program is approximately </w:t>
            </w:r>
            <w:r w:rsidR="00890F30" w:rsidRPr="00116E55">
              <w:rPr>
                <w:rFonts w:asciiTheme="minorHAnsi" w:eastAsiaTheme="minorEastAsia" w:hAnsiTheme="minorHAnsi" w:cstheme="minorHAnsi"/>
                <w:sz w:val="20"/>
                <w:szCs w:val="20"/>
              </w:rPr>
              <w:t>$59</w:t>
            </w:r>
            <w:r w:rsidR="00A076FD" w:rsidRPr="00116E55">
              <w:rPr>
                <w:rFonts w:asciiTheme="minorHAnsi" w:eastAsiaTheme="minorEastAsia" w:hAnsiTheme="minorHAnsi" w:cstheme="minorHAnsi"/>
                <w:sz w:val="20"/>
                <w:szCs w:val="20"/>
              </w:rPr>
              <w:t>0</w:t>
            </w:r>
            <w:r w:rsidR="00C63795" w:rsidRPr="00116E55">
              <w:rPr>
                <w:rFonts w:asciiTheme="minorHAnsi" w:eastAsiaTheme="minorEastAsia" w:hAnsiTheme="minorHAnsi" w:cstheme="minorHAnsi"/>
                <w:sz w:val="20"/>
                <w:szCs w:val="20"/>
              </w:rPr>
              <w:t>m</w:t>
            </w:r>
            <w:r w:rsidR="00A076FD" w:rsidRPr="00116E55">
              <w:rPr>
                <w:rFonts w:asciiTheme="minorHAnsi" w:eastAsiaTheme="minorEastAsia" w:hAnsiTheme="minorHAnsi" w:cstheme="minorHAnsi"/>
                <w:sz w:val="20"/>
                <w:szCs w:val="20"/>
              </w:rPr>
              <w:t xml:space="preserve"> less </w:t>
            </w:r>
            <w:r w:rsidR="00DB1B74">
              <w:rPr>
                <w:rFonts w:asciiTheme="minorHAnsi" w:eastAsiaTheme="minorEastAsia" w:hAnsiTheme="minorHAnsi" w:cstheme="minorHAnsi"/>
                <w:sz w:val="20"/>
                <w:szCs w:val="20"/>
              </w:rPr>
              <w:br/>
            </w:r>
            <w:r w:rsidR="00A076FD" w:rsidRPr="00116E55">
              <w:rPr>
                <w:rFonts w:asciiTheme="minorHAnsi" w:eastAsiaTheme="minorEastAsia" w:hAnsiTheme="minorHAnsi" w:cstheme="minorHAnsi"/>
                <w:sz w:val="20"/>
                <w:szCs w:val="20"/>
              </w:rPr>
              <w:t>than if a more risk</w:t>
            </w:r>
            <w:r w:rsidR="00C63795" w:rsidRPr="00116E55">
              <w:rPr>
                <w:rFonts w:asciiTheme="minorHAnsi" w:eastAsiaTheme="minorEastAsia" w:hAnsiTheme="minorHAnsi" w:cstheme="minorHAnsi"/>
                <w:sz w:val="20"/>
                <w:szCs w:val="20"/>
              </w:rPr>
              <w:t>-</w:t>
            </w:r>
            <w:r w:rsidR="00A076FD" w:rsidRPr="00116E55">
              <w:rPr>
                <w:rFonts w:asciiTheme="minorHAnsi" w:eastAsiaTheme="minorEastAsia" w:hAnsiTheme="minorHAnsi" w:cstheme="minorHAnsi"/>
                <w:sz w:val="20"/>
                <w:szCs w:val="20"/>
              </w:rPr>
              <w:t>averse approach had been applied</w:t>
            </w:r>
            <w:r w:rsidR="00890F30" w:rsidRPr="00116E55">
              <w:rPr>
                <w:rFonts w:asciiTheme="minorHAnsi" w:eastAsiaTheme="minorEastAsia" w:hAnsiTheme="minorHAnsi" w:cstheme="minorHAnsi"/>
                <w:sz w:val="20"/>
                <w:szCs w:val="20"/>
              </w:rPr>
              <w:t>.</w:t>
            </w:r>
            <w:r w:rsidR="00A1315F" w:rsidRPr="00116E55">
              <w:rPr>
                <w:rFonts w:asciiTheme="minorHAnsi" w:eastAsiaTheme="minorEastAsia" w:hAnsiTheme="minorHAnsi" w:cstheme="minorHAnsi"/>
                <w:sz w:val="20"/>
                <w:szCs w:val="20"/>
              </w:rPr>
              <w:t xml:space="preserve"> </w:t>
            </w:r>
          </w:p>
          <w:p w14:paraId="214E9496" w14:textId="77777777" w:rsidR="00830916" w:rsidRPr="00116E55" w:rsidRDefault="00830916" w:rsidP="00FF5EE8">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0"/>
                <w:szCs w:val="20"/>
              </w:rPr>
            </w:pPr>
          </w:p>
          <w:p w14:paraId="79603B39" w14:textId="0F41A713" w:rsidR="0068433E" w:rsidRPr="00116E55" w:rsidRDefault="0068433E" w:rsidP="0068433E">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0"/>
                <w:szCs w:val="20"/>
              </w:rPr>
            </w:pPr>
            <w:r w:rsidRPr="00116E55">
              <w:rPr>
                <w:rFonts w:asciiTheme="minorHAnsi" w:eastAsiaTheme="minorEastAsia" w:hAnsiTheme="minorHAnsi" w:cstheme="minorHAnsi"/>
                <w:sz w:val="20"/>
                <w:szCs w:val="20"/>
              </w:rPr>
              <w:t>Through the portfolio assessment</w:t>
            </w:r>
            <w:r w:rsidR="00A01ADE" w:rsidRPr="00116E55">
              <w:rPr>
                <w:rFonts w:asciiTheme="minorHAnsi" w:eastAsiaTheme="minorEastAsia" w:hAnsiTheme="minorHAnsi" w:cstheme="minorHAnsi"/>
                <w:sz w:val="20"/>
                <w:szCs w:val="20"/>
              </w:rPr>
              <w:t>,</w:t>
            </w:r>
            <w:r w:rsidRPr="00116E55">
              <w:rPr>
                <w:rFonts w:asciiTheme="minorHAnsi" w:eastAsiaTheme="minorEastAsia" w:hAnsiTheme="minorHAnsi" w:cstheme="minorHAnsi"/>
                <w:sz w:val="20"/>
                <w:szCs w:val="20"/>
              </w:rPr>
              <w:t xml:space="preserve"> the </w:t>
            </w:r>
            <w:r w:rsidR="00542FA5" w:rsidRPr="00116E55">
              <w:rPr>
                <w:rFonts w:asciiTheme="minorHAnsi" w:eastAsiaTheme="minorEastAsia" w:hAnsiTheme="minorHAnsi" w:cstheme="minorHAnsi"/>
                <w:sz w:val="20"/>
                <w:szCs w:val="20"/>
              </w:rPr>
              <w:t>risk-based</w:t>
            </w:r>
            <w:r w:rsidRPr="00116E55">
              <w:rPr>
                <w:rFonts w:asciiTheme="minorHAnsi" w:eastAsiaTheme="minorEastAsia" w:hAnsiTheme="minorHAnsi" w:cstheme="minorHAnsi"/>
                <w:sz w:val="20"/>
                <w:szCs w:val="20"/>
              </w:rPr>
              <w:t xml:space="preserve"> prioritisation approach has delayed uncertain projects </w:t>
            </w:r>
            <w:r w:rsidR="001365E2" w:rsidRPr="00116E55">
              <w:rPr>
                <w:rFonts w:asciiTheme="minorHAnsi" w:eastAsiaTheme="minorEastAsia" w:hAnsiTheme="minorHAnsi" w:cstheme="minorHAnsi"/>
                <w:sz w:val="20"/>
                <w:szCs w:val="20"/>
              </w:rPr>
              <w:t>to</w:t>
            </w:r>
            <w:r w:rsidRPr="00116E55">
              <w:rPr>
                <w:rFonts w:asciiTheme="minorHAnsi" w:eastAsiaTheme="minorEastAsia" w:hAnsiTheme="minorHAnsi" w:cstheme="minorHAnsi"/>
                <w:sz w:val="20"/>
                <w:szCs w:val="20"/>
              </w:rPr>
              <w:t xml:space="preserve"> the following regulatory period. We will reprioritise or absorb </w:t>
            </w:r>
            <w:r w:rsidR="00A94026" w:rsidRPr="00116E55">
              <w:rPr>
                <w:rFonts w:asciiTheme="minorHAnsi" w:eastAsiaTheme="minorEastAsia" w:hAnsiTheme="minorHAnsi" w:cstheme="minorHAnsi"/>
                <w:sz w:val="20"/>
                <w:szCs w:val="20"/>
              </w:rPr>
              <w:t>the higher costs</w:t>
            </w:r>
            <w:r w:rsidRPr="00116E55">
              <w:rPr>
                <w:rFonts w:asciiTheme="minorHAnsi" w:eastAsiaTheme="minorEastAsia" w:hAnsiTheme="minorHAnsi" w:cstheme="minorHAnsi"/>
                <w:sz w:val="20"/>
                <w:szCs w:val="20"/>
              </w:rPr>
              <w:t xml:space="preserve"> if delayed projects are required sooner</w:t>
            </w:r>
            <w:r w:rsidR="00A01ADE" w:rsidRPr="00116E55">
              <w:rPr>
                <w:rFonts w:asciiTheme="minorHAnsi" w:eastAsiaTheme="minorEastAsia" w:hAnsiTheme="minorHAnsi" w:cstheme="minorHAnsi"/>
                <w:sz w:val="20"/>
                <w:szCs w:val="20"/>
              </w:rPr>
              <w:t>,</w:t>
            </w:r>
            <w:r w:rsidRPr="00116E55">
              <w:rPr>
                <w:rFonts w:asciiTheme="minorHAnsi" w:eastAsiaTheme="minorEastAsia" w:hAnsiTheme="minorHAnsi" w:cstheme="minorHAnsi"/>
                <w:sz w:val="20"/>
                <w:szCs w:val="20"/>
              </w:rPr>
              <w:t xml:space="preserve"> to mitigate risk or maintain value to our customers.</w:t>
            </w:r>
            <w:r w:rsidR="00A1315F" w:rsidRPr="00116E55">
              <w:rPr>
                <w:rFonts w:asciiTheme="minorHAnsi" w:eastAsiaTheme="minorEastAsia" w:hAnsiTheme="minorHAnsi" w:cstheme="minorHAnsi"/>
                <w:sz w:val="20"/>
                <w:szCs w:val="20"/>
              </w:rPr>
              <w:t xml:space="preserve"> </w:t>
            </w:r>
          </w:p>
          <w:p w14:paraId="121F7524" w14:textId="77777777" w:rsidR="0068433E" w:rsidRPr="00116E55" w:rsidRDefault="0068433E" w:rsidP="00FF5EE8">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0"/>
                <w:szCs w:val="20"/>
              </w:rPr>
            </w:pPr>
          </w:p>
          <w:p w14:paraId="1AB6430B" w14:textId="70C47BEC" w:rsidR="00892AEF" w:rsidRPr="00116E55" w:rsidRDefault="00892AEF" w:rsidP="00FF5EE8">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0"/>
                <w:szCs w:val="20"/>
              </w:rPr>
            </w:pPr>
            <w:r w:rsidRPr="00116E55">
              <w:rPr>
                <w:rFonts w:asciiTheme="minorHAnsi" w:eastAsiaTheme="minorEastAsia" w:hAnsiTheme="minorHAnsi" w:cstheme="minorHAnsi"/>
                <w:sz w:val="20"/>
                <w:szCs w:val="20"/>
              </w:rPr>
              <w:t xml:space="preserve">South East Water will also </w:t>
            </w:r>
            <w:r w:rsidR="00081A8E" w:rsidRPr="00116E55">
              <w:rPr>
                <w:rFonts w:asciiTheme="minorHAnsi" w:eastAsiaTheme="minorEastAsia" w:hAnsiTheme="minorHAnsi" w:cstheme="minorHAnsi"/>
                <w:sz w:val="20"/>
                <w:szCs w:val="20"/>
              </w:rPr>
              <w:t xml:space="preserve">manage </w:t>
            </w:r>
            <w:r w:rsidRPr="00116E55">
              <w:rPr>
                <w:rFonts w:asciiTheme="minorHAnsi" w:eastAsiaTheme="minorEastAsia" w:hAnsiTheme="minorHAnsi" w:cstheme="minorHAnsi"/>
                <w:sz w:val="20"/>
                <w:szCs w:val="20"/>
              </w:rPr>
              <w:t xml:space="preserve">the risk </w:t>
            </w:r>
            <w:r w:rsidR="00081A8E" w:rsidRPr="00116E55">
              <w:rPr>
                <w:rFonts w:asciiTheme="minorHAnsi" w:eastAsiaTheme="minorEastAsia" w:hAnsiTheme="minorHAnsi" w:cstheme="minorHAnsi"/>
                <w:sz w:val="20"/>
                <w:szCs w:val="20"/>
              </w:rPr>
              <w:t>of potential cost increases in the following ways:</w:t>
            </w:r>
          </w:p>
          <w:p w14:paraId="189DE6CB" w14:textId="77777777" w:rsidR="00892AEF" w:rsidRPr="00116E55" w:rsidRDefault="00892AEF" w:rsidP="00FF5EE8">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0"/>
                <w:szCs w:val="20"/>
              </w:rPr>
            </w:pPr>
          </w:p>
          <w:p w14:paraId="3A26CBA1" w14:textId="10933719" w:rsidR="00830916" w:rsidRPr="00116E55" w:rsidRDefault="00830916">
            <w:pPr>
              <w:pStyle w:val="ListParagraph"/>
              <w:numPr>
                <w:ilvl w:val="0"/>
                <w:numId w:val="74"/>
              </w:numPr>
              <w:ind w:left="197" w:hanging="21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0"/>
                <w:szCs w:val="20"/>
              </w:rPr>
            </w:pPr>
            <w:r w:rsidRPr="00116E55">
              <w:rPr>
                <w:rFonts w:asciiTheme="minorHAnsi" w:eastAsiaTheme="minorEastAsia" w:hAnsiTheme="minorHAnsi" w:cstheme="minorHAnsi"/>
                <w:sz w:val="20"/>
                <w:szCs w:val="20"/>
              </w:rPr>
              <w:t xml:space="preserve">We will absorb any expenditure overruns </w:t>
            </w:r>
            <w:r w:rsidR="00D85F84" w:rsidRPr="00116E55">
              <w:rPr>
                <w:rFonts w:asciiTheme="minorHAnsi" w:eastAsiaTheme="minorEastAsia" w:hAnsiTheme="minorHAnsi" w:cstheme="minorHAnsi"/>
                <w:sz w:val="20"/>
                <w:szCs w:val="20"/>
              </w:rPr>
              <w:t xml:space="preserve">associated </w:t>
            </w:r>
            <w:r w:rsidR="00CE70ED" w:rsidRPr="00116E55">
              <w:rPr>
                <w:rFonts w:asciiTheme="minorHAnsi" w:eastAsiaTheme="minorEastAsia" w:hAnsiTheme="minorHAnsi" w:cstheme="minorHAnsi"/>
                <w:sz w:val="20"/>
                <w:szCs w:val="20"/>
              </w:rPr>
              <w:t>with</w:t>
            </w:r>
            <w:r w:rsidR="00D85F84" w:rsidRPr="00116E55">
              <w:rPr>
                <w:rFonts w:asciiTheme="minorHAnsi" w:eastAsiaTheme="minorEastAsia" w:hAnsiTheme="minorHAnsi" w:cstheme="minorHAnsi"/>
                <w:sz w:val="20"/>
                <w:szCs w:val="20"/>
              </w:rPr>
              <w:t xml:space="preserve"> our</w:t>
            </w:r>
            <w:r w:rsidRPr="00116E55">
              <w:rPr>
                <w:rFonts w:asciiTheme="minorHAnsi" w:eastAsiaTheme="minorEastAsia" w:hAnsiTheme="minorHAnsi" w:cstheme="minorHAnsi"/>
                <w:sz w:val="20"/>
                <w:szCs w:val="20"/>
              </w:rPr>
              <w:t xml:space="preserve"> digital metering program</w:t>
            </w:r>
            <w:r w:rsidR="00E91BD3" w:rsidRPr="00116E55">
              <w:rPr>
                <w:rFonts w:asciiTheme="minorHAnsi" w:eastAsiaTheme="minorEastAsia" w:hAnsiTheme="minorHAnsi" w:cstheme="minorHAnsi"/>
                <w:sz w:val="20"/>
                <w:szCs w:val="20"/>
              </w:rPr>
              <w:t>.</w:t>
            </w:r>
          </w:p>
          <w:p w14:paraId="1F0AA2F0" w14:textId="1DAF6D59" w:rsidR="00E91BD3" w:rsidRPr="00116E55" w:rsidRDefault="00E91BD3">
            <w:pPr>
              <w:pStyle w:val="ListParagraph"/>
              <w:numPr>
                <w:ilvl w:val="0"/>
                <w:numId w:val="74"/>
              </w:numPr>
              <w:ind w:left="197" w:hanging="21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0"/>
                <w:szCs w:val="20"/>
              </w:rPr>
            </w:pPr>
            <w:r w:rsidRPr="00116E55">
              <w:rPr>
                <w:rFonts w:asciiTheme="minorHAnsi" w:eastAsiaTheme="minorEastAsia" w:hAnsiTheme="minorHAnsi" w:cstheme="minorHAnsi"/>
                <w:sz w:val="20"/>
                <w:szCs w:val="20"/>
              </w:rPr>
              <w:t>T</w:t>
            </w:r>
            <w:r w:rsidR="000745D3" w:rsidRPr="00116E55">
              <w:rPr>
                <w:rFonts w:asciiTheme="minorHAnsi" w:eastAsiaTheme="minorEastAsia" w:hAnsiTheme="minorHAnsi" w:cstheme="minorHAnsi"/>
                <w:sz w:val="20"/>
                <w:szCs w:val="20"/>
              </w:rPr>
              <w:t xml:space="preserve">he </w:t>
            </w:r>
            <w:r w:rsidR="00D95E1C" w:rsidRPr="00116E55">
              <w:rPr>
                <w:rFonts w:asciiTheme="minorHAnsi" w:eastAsiaTheme="minorEastAsia" w:hAnsiTheme="minorHAnsi" w:cstheme="minorHAnsi"/>
                <w:sz w:val="20"/>
                <w:szCs w:val="20"/>
              </w:rPr>
              <w:t>c</w:t>
            </w:r>
            <w:r w:rsidR="000745D3" w:rsidRPr="00116E55">
              <w:rPr>
                <w:rFonts w:asciiTheme="minorHAnsi" w:eastAsiaTheme="minorEastAsia" w:hAnsiTheme="minorHAnsi" w:cstheme="minorHAnsi"/>
                <w:sz w:val="20"/>
                <w:szCs w:val="20"/>
              </w:rPr>
              <w:t xml:space="preserve">apital </w:t>
            </w:r>
            <w:r w:rsidR="00D95E1C" w:rsidRPr="00116E55">
              <w:rPr>
                <w:rFonts w:asciiTheme="minorHAnsi" w:eastAsiaTheme="minorEastAsia" w:hAnsiTheme="minorHAnsi" w:cstheme="minorHAnsi"/>
                <w:sz w:val="20"/>
                <w:szCs w:val="20"/>
              </w:rPr>
              <w:t>d</w:t>
            </w:r>
            <w:r w:rsidR="000745D3" w:rsidRPr="00116E55">
              <w:rPr>
                <w:rFonts w:asciiTheme="minorHAnsi" w:eastAsiaTheme="minorEastAsia" w:hAnsiTheme="minorHAnsi" w:cstheme="minorHAnsi"/>
                <w:sz w:val="20"/>
                <w:szCs w:val="20"/>
              </w:rPr>
              <w:t xml:space="preserve">elivery </w:t>
            </w:r>
            <w:r w:rsidR="00A955CD" w:rsidRPr="00116E55">
              <w:rPr>
                <w:rFonts w:asciiTheme="minorHAnsi" w:eastAsiaTheme="minorEastAsia" w:hAnsiTheme="minorHAnsi" w:cstheme="minorHAnsi"/>
                <w:sz w:val="20"/>
                <w:szCs w:val="20"/>
              </w:rPr>
              <w:t>m</w:t>
            </w:r>
            <w:r w:rsidR="000745D3" w:rsidRPr="00116E55">
              <w:rPr>
                <w:rFonts w:asciiTheme="minorHAnsi" w:eastAsiaTheme="minorEastAsia" w:hAnsiTheme="minorHAnsi" w:cstheme="minorHAnsi"/>
                <w:sz w:val="20"/>
                <w:szCs w:val="20"/>
              </w:rPr>
              <w:t>odel</w:t>
            </w:r>
            <w:r w:rsidRPr="00116E55">
              <w:rPr>
                <w:rFonts w:asciiTheme="minorHAnsi" w:eastAsiaTheme="minorEastAsia" w:hAnsiTheme="minorHAnsi" w:cstheme="minorHAnsi"/>
                <w:sz w:val="20"/>
                <w:szCs w:val="20"/>
              </w:rPr>
              <w:t xml:space="preserve"> will deliver a 5% delivery efficiency</w:t>
            </w:r>
            <w:r w:rsidR="000745D3" w:rsidRPr="00116E55">
              <w:rPr>
                <w:rFonts w:asciiTheme="minorHAnsi" w:eastAsiaTheme="minorEastAsia" w:hAnsiTheme="minorHAnsi" w:cstheme="minorHAnsi"/>
                <w:sz w:val="20"/>
                <w:szCs w:val="20"/>
              </w:rPr>
              <w:t xml:space="preserve"> saving</w:t>
            </w:r>
            <w:r w:rsidRPr="00116E55">
              <w:rPr>
                <w:rFonts w:asciiTheme="minorHAnsi" w:eastAsiaTheme="minorEastAsia" w:hAnsiTheme="minorHAnsi" w:cstheme="minorHAnsi"/>
                <w:sz w:val="20"/>
                <w:szCs w:val="20"/>
              </w:rPr>
              <w:t>.</w:t>
            </w:r>
          </w:p>
          <w:p w14:paraId="7063B7E7" w14:textId="078C9A20" w:rsidR="008251EE" w:rsidRPr="00116E55" w:rsidRDefault="008A24AB">
            <w:pPr>
              <w:pStyle w:val="ListParagraph"/>
              <w:numPr>
                <w:ilvl w:val="0"/>
                <w:numId w:val="74"/>
              </w:numPr>
              <w:ind w:left="197" w:hanging="21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0"/>
                <w:szCs w:val="20"/>
              </w:rPr>
            </w:pPr>
            <w:r w:rsidRPr="00116E55">
              <w:rPr>
                <w:rFonts w:asciiTheme="minorHAnsi" w:eastAsiaTheme="minorEastAsia" w:hAnsiTheme="minorHAnsi" w:cstheme="minorHAnsi"/>
                <w:sz w:val="20"/>
                <w:szCs w:val="20"/>
              </w:rPr>
              <w:t>If the</w:t>
            </w:r>
            <w:r w:rsidR="008251EE" w:rsidRPr="00116E55">
              <w:rPr>
                <w:rFonts w:asciiTheme="minorHAnsi" w:eastAsiaTheme="minorEastAsia" w:hAnsiTheme="minorHAnsi" w:cstheme="minorHAnsi"/>
                <w:sz w:val="20"/>
                <w:szCs w:val="20"/>
              </w:rPr>
              <w:t xml:space="preserve"> escalation rate assumptions</w:t>
            </w:r>
            <w:r w:rsidR="00202419" w:rsidRPr="00116E55">
              <w:rPr>
                <w:rFonts w:asciiTheme="minorHAnsi" w:eastAsiaTheme="minorEastAsia" w:hAnsiTheme="minorHAnsi" w:cstheme="minorHAnsi"/>
                <w:sz w:val="20"/>
                <w:szCs w:val="20"/>
              </w:rPr>
              <w:t xml:space="preserve"> </w:t>
            </w:r>
            <w:r w:rsidRPr="00116E55">
              <w:rPr>
                <w:rFonts w:asciiTheme="minorHAnsi" w:eastAsiaTheme="minorEastAsia" w:hAnsiTheme="minorHAnsi" w:cstheme="minorHAnsi"/>
                <w:sz w:val="20"/>
                <w:szCs w:val="20"/>
              </w:rPr>
              <w:t xml:space="preserve">in the capital program are exceeded, we will </w:t>
            </w:r>
            <w:r w:rsidR="008251EE" w:rsidRPr="00116E55">
              <w:rPr>
                <w:rFonts w:asciiTheme="minorHAnsi" w:eastAsiaTheme="minorEastAsia" w:hAnsiTheme="minorHAnsi" w:cstheme="minorHAnsi"/>
                <w:sz w:val="20"/>
                <w:szCs w:val="20"/>
              </w:rPr>
              <w:t xml:space="preserve">absorb </w:t>
            </w:r>
            <w:r w:rsidRPr="00116E55">
              <w:rPr>
                <w:rFonts w:asciiTheme="minorHAnsi" w:eastAsiaTheme="minorEastAsia" w:hAnsiTheme="minorHAnsi" w:cstheme="minorHAnsi"/>
                <w:sz w:val="20"/>
                <w:szCs w:val="20"/>
              </w:rPr>
              <w:t>this cost increase</w:t>
            </w:r>
            <w:r w:rsidR="008251EE" w:rsidRPr="00116E55">
              <w:rPr>
                <w:rFonts w:asciiTheme="minorHAnsi" w:eastAsiaTheme="minorEastAsia" w:hAnsiTheme="minorHAnsi" w:cstheme="minorHAnsi"/>
                <w:sz w:val="20"/>
                <w:szCs w:val="20"/>
              </w:rPr>
              <w:t xml:space="preserve"> </w:t>
            </w:r>
            <w:r w:rsidRPr="00116E55">
              <w:rPr>
                <w:rFonts w:asciiTheme="minorHAnsi" w:eastAsiaTheme="minorEastAsia" w:hAnsiTheme="minorHAnsi" w:cstheme="minorHAnsi"/>
                <w:sz w:val="20"/>
                <w:szCs w:val="20"/>
              </w:rPr>
              <w:t>without passing</w:t>
            </w:r>
            <w:r w:rsidR="008251EE" w:rsidRPr="00116E55">
              <w:rPr>
                <w:rFonts w:asciiTheme="minorHAnsi" w:eastAsiaTheme="minorEastAsia" w:hAnsiTheme="minorHAnsi" w:cstheme="minorHAnsi"/>
                <w:sz w:val="20"/>
                <w:szCs w:val="20"/>
              </w:rPr>
              <w:t xml:space="preserve"> </w:t>
            </w:r>
            <w:r w:rsidR="004D154E" w:rsidRPr="00116E55">
              <w:rPr>
                <w:rFonts w:asciiTheme="minorHAnsi" w:eastAsiaTheme="minorEastAsia" w:hAnsiTheme="minorHAnsi" w:cstheme="minorHAnsi"/>
                <w:sz w:val="20"/>
                <w:szCs w:val="20"/>
              </w:rPr>
              <w:t>it</w:t>
            </w:r>
            <w:r w:rsidR="008251EE" w:rsidRPr="00116E55">
              <w:rPr>
                <w:rFonts w:asciiTheme="minorHAnsi" w:eastAsiaTheme="minorEastAsia" w:hAnsiTheme="minorHAnsi" w:cstheme="minorHAnsi"/>
                <w:sz w:val="20"/>
                <w:szCs w:val="20"/>
              </w:rPr>
              <w:t xml:space="preserve"> through to prices</w:t>
            </w:r>
            <w:r w:rsidR="00202419" w:rsidRPr="00116E55">
              <w:rPr>
                <w:rFonts w:asciiTheme="minorHAnsi" w:eastAsiaTheme="minorEastAsia" w:hAnsiTheme="minorHAnsi" w:cstheme="minorHAnsi"/>
                <w:sz w:val="20"/>
                <w:szCs w:val="20"/>
              </w:rPr>
              <w:t>.</w:t>
            </w:r>
          </w:p>
          <w:p w14:paraId="4D81041F" w14:textId="77777777" w:rsidR="00CD3B0E" w:rsidRPr="00116E55" w:rsidRDefault="00CD3B0E" w:rsidP="00FF5EE8">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0"/>
                <w:szCs w:val="20"/>
              </w:rPr>
            </w:pPr>
          </w:p>
          <w:p w14:paraId="6DC985EC" w14:textId="49386B39" w:rsidR="00CD3B0E" w:rsidRPr="00116E55" w:rsidRDefault="00CD3B0E" w:rsidP="00CD3B0E">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0"/>
                <w:szCs w:val="20"/>
              </w:rPr>
            </w:pPr>
          </w:p>
        </w:tc>
      </w:tr>
      <w:tr w:rsidR="007B7E93" w:rsidRPr="00C5545F" w14:paraId="3F0D18FB" w14:textId="77777777" w:rsidTr="00217305">
        <w:tc>
          <w:tcPr>
            <w:cnfStyle w:val="001000000000" w:firstRow="0" w:lastRow="0" w:firstColumn="1" w:lastColumn="0" w:oddVBand="0" w:evenVBand="0" w:oddHBand="0" w:evenHBand="0" w:firstRowFirstColumn="0" w:firstRowLastColumn="0" w:lastRowFirstColumn="0" w:lastRowLastColumn="0"/>
            <w:tcW w:w="1350" w:type="dxa"/>
            <w:shd w:val="clear" w:color="auto" w:fill="D4D6DF"/>
          </w:tcPr>
          <w:p w14:paraId="5A2136CD" w14:textId="1BCD8E6A" w:rsidR="007871B0" w:rsidRPr="00116E55" w:rsidRDefault="007871B0" w:rsidP="00865E3B">
            <w:pPr>
              <w:rPr>
                <w:rFonts w:asciiTheme="minorHAnsi" w:eastAsiaTheme="minorEastAsia" w:hAnsiTheme="minorHAnsi" w:cstheme="minorHAnsi"/>
                <w:sz w:val="20"/>
                <w:szCs w:val="20"/>
              </w:rPr>
            </w:pPr>
            <w:r w:rsidRPr="00116E55">
              <w:rPr>
                <w:rFonts w:asciiTheme="minorHAnsi" w:eastAsiaTheme="minorEastAsia" w:hAnsiTheme="minorHAnsi" w:cstheme="minorHAnsi"/>
                <w:sz w:val="20"/>
                <w:szCs w:val="20"/>
              </w:rPr>
              <w:t>GSLs</w:t>
            </w:r>
          </w:p>
        </w:tc>
        <w:tc>
          <w:tcPr>
            <w:tcW w:w="3892" w:type="dxa"/>
            <w:shd w:val="clear" w:color="auto" w:fill="D4D6DF"/>
          </w:tcPr>
          <w:p w14:paraId="40D8D7B6" w14:textId="2DC45313" w:rsidR="00B2044E" w:rsidRPr="00116E55" w:rsidRDefault="00B2044E" w:rsidP="00CC0E3B">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i/>
                <w:iCs/>
                <w:sz w:val="20"/>
                <w:szCs w:val="20"/>
              </w:rPr>
            </w:pPr>
            <w:r w:rsidRPr="00116E55">
              <w:rPr>
                <w:rFonts w:asciiTheme="minorHAnsi" w:eastAsiaTheme="minorEastAsia" w:hAnsiTheme="minorHAnsi" w:cstheme="minorHAnsi"/>
                <w:i/>
                <w:iCs/>
                <w:sz w:val="20"/>
                <w:szCs w:val="20"/>
              </w:rPr>
              <w:t>Revenue risk:</w:t>
            </w:r>
          </w:p>
          <w:p w14:paraId="5643C738" w14:textId="6E68CCEA" w:rsidR="00B2044E" w:rsidRPr="00116E55" w:rsidRDefault="00231C89" w:rsidP="00CC0E3B">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0"/>
                <w:szCs w:val="20"/>
              </w:rPr>
            </w:pPr>
            <w:r w:rsidRPr="00116E55">
              <w:rPr>
                <w:rFonts w:asciiTheme="minorHAnsi" w:eastAsiaTheme="minorEastAsia" w:hAnsiTheme="minorHAnsi" w:cstheme="minorHAnsi"/>
                <w:sz w:val="20"/>
                <w:szCs w:val="20"/>
              </w:rPr>
              <w:t xml:space="preserve">Under the GSL scheme, </w:t>
            </w:r>
            <w:r w:rsidR="00B329F4">
              <w:rPr>
                <w:rFonts w:asciiTheme="minorHAnsi" w:eastAsiaTheme="minorEastAsia" w:hAnsiTheme="minorHAnsi" w:cstheme="minorHAnsi"/>
                <w:sz w:val="20"/>
                <w:szCs w:val="20"/>
              </w:rPr>
              <w:t xml:space="preserve">South East </w:t>
            </w:r>
            <w:r w:rsidRPr="00116E55">
              <w:rPr>
                <w:rFonts w:asciiTheme="minorHAnsi" w:eastAsiaTheme="minorEastAsia" w:hAnsiTheme="minorHAnsi" w:cstheme="minorHAnsi"/>
                <w:sz w:val="20"/>
                <w:szCs w:val="20"/>
              </w:rPr>
              <w:t xml:space="preserve">Water will place revenue at risk </w:t>
            </w:r>
            <w:r w:rsidR="00D27741" w:rsidRPr="00116E55">
              <w:rPr>
                <w:rFonts w:asciiTheme="minorHAnsi" w:eastAsiaTheme="minorEastAsia" w:hAnsiTheme="minorHAnsi" w:cstheme="minorHAnsi"/>
                <w:sz w:val="20"/>
                <w:szCs w:val="20"/>
              </w:rPr>
              <w:t>where we fail to deliver the levels of service defined under the scheme.</w:t>
            </w:r>
          </w:p>
          <w:p w14:paraId="0836D2A4" w14:textId="77777777" w:rsidR="00E45E3A" w:rsidRPr="00116E55" w:rsidRDefault="00E45E3A" w:rsidP="00156EB6">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0"/>
                <w:szCs w:val="20"/>
              </w:rPr>
            </w:pPr>
          </w:p>
          <w:p w14:paraId="01582AB2" w14:textId="1893F3A0" w:rsidR="007B7E93" w:rsidRPr="00116E55" w:rsidRDefault="000C3A8A" w:rsidP="00CC0E3B">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0"/>
                <w:szCs w:val="20"/>
              </w:rPr>
            </w:pPr>
            <w:r w:rsidRPr="00116E55">
              <w:rPr>
                <w:rFonts w:asciiTheme="minorHAnsi" w:eastAsiaTheme="minorEastAsia" w:hAnsiTheme="minorHAnsi" w:cstheme="minorHAnsi"/>
                <w:sz w:val="20"/>
                <w:szCs w:val="20"/>
              </w:rPr>
              <w:lastRenderedPageBreak/>
              <w:t>The</w:t>
            </w:r>
            <w:r w:rsidR="002375EE" w:rsidRPr="00116E55">
              <w:rPr>
                <w:rFonts w:asciiTheme="minorHAnsi" w:eastAsiaTheme="minorEastAsia" w:hAnsiTheme="minorHAnsi" w:cstheme="minorHAnsi"/>
                <w:sz w:val="20"/>
                <w:szCs w:val="20"/>
              </w:rPr>
              <w:t xml:space="preserve"> GSL</w:t>
            </w:r>
            <w:r w:rsidR="005314F7" w:rsidRPr="00116E55">
              <w:rPr>
                <w:rFonts w:asciiTheme="minorHAnsi" w:eastAsiaTheme="minorEastAsia" w:hAnsiTheme="minorHAnsi" w:cstheme="minorHAnsi"/>
                <w:sz w:val="20"/>
                <w:szCs w:val="20"/>
              </w:rPr>
              <w:t>s</w:t>
            </w:r>
            <w:r w:rsidR="002375EE" w:rsidRPr="00116E55">
              <w:rPr>
                <w:rFonts w:asciiTheme="minorHAnsi" w:eastAsiaTheme="minorEastAsia" w:hAnsiTheme="minorHAnsi" w:cstheme="minorHAnsi"/>
                <w:sz w:val="20"/>
                <w:szCs w:val="20"/>
              </w:rPr>
              <w:t xml:space="preserve"> underpin </w:t>
            </w:r>
            <w:r w:rsidR="005314F7" w:rsidRPr="00116E55">
              <w:rPr>
                <w:rFonts w:asciiTheme="minorHAnsi" w:eastAsiaTheme="minorEastAsia" w:hAnsiTheme="minorHAnsi" w:cstheme="minorHAnsi"/>
                <w:sz w:val="20"/>
                <w:szCs w:val="20"/>
              </w:rPr>
              <w:t>our commitment</w:t>
            </w:r>
            <w:r w:rsidR="002526ED" w:rsidRPr="00116E55">
              <w:rPr>
                <w:rFonts w:asciiTheme="minorHAnsi" w:eastAsiaTheme="minorEastAsia" w:hAnsiTheme="minorHAnsi" w:cstheme="minorHAnsi"/>
                <w:sz w:val="20"/>
                <w:szCs w:val="20"/>
              </w:rPr>
              <w:t xml:space="preserve"> </w:t>
            </w:r>
            <w:r w:rsidR="005314F7" w:rsidRPr="00116E55">
              <w:rPr>
                <w:rFonts w:asciiTheme="minorHAnsi" w:eastAsiaTheme="minorEastAsia" w:hAnsiTheme="minorHAnsi" w:cstheme="minorHAnsi"/>
                <w:sz w:val="20"/>
                <w:szCs w:val="20"/>
              </w:rPr>
              <w:t xml:space="preserve">to </w:t>
            </w:r>
            <w:r w:rsidR="002526ED" w:rsidRPr="00116E55">
              <w:rPr>
                <w:rFonts w:asciiTheme="minorHAnsi" w:eastAsiaTheme="minorEastAsia" w:hAnsiTheme="minorHAnsi" w:cstheme="minorHAnsi"/>
                <w:sz w:val="20"/>
                <w:szCs w:val="20"/>
              </w:rPr>
              <w:t>improv</w:t>
            </w:r>
            <w:r w:rsidR="005314F7" w:rsidRPr="00116E55">
              <w:rPr>
                <w:rFonts w:asciiTheme="minorHAnsi" w:eastAsiaTheme="minorEastAsia" w:hAnsiTheme="minorHAnsi" w:cstheme="minorHAnsi"/>
                <w:sz w:val="20"/>
                <w:szCs w:val="20"/>
              </w:rPr>
              <w:t>e</w:t>
            </w:r>
            <w:r w:rsidRPr="00116E55">
              <w:rPr>
                <w:rFonts w:asciiTheme="minorHAnsi" w:eastAsiaTheme="minorEastAsia" w:hAnsiTheme="minorHAnsi" w:cstheme="minorHAnsi"/>
                <w:sz w:val="20"/>
                <w:szCs w:val="20"/>
              </w:rPr>
              <w:t xml:space="preserve"> customer</w:t>
            </w:r>
            <w:r w:rsidR="002526ED" w:rsidRPr="00116E55">
              <w:rPr>
                <w:rFonts w:asciiTheme="minorHAnsi" w:eastAsiaTheme="minorEastAsia" w:hAnsiTheme="minorHAnsi" w:cstheme="minorHAnsi"/>
                <w:sz w:val="20"/>
                <w:szCs w:val="20"/>
              </w:rPr>
              <w:t xml:space="preserve"> trust and </w:t>
            </w:r>
            <w:r w:rsidR="00156EB6" w:rsidRPr="00116E55">
              <w:rPr>
                <w:rFonts w:asciiTheme="minorHAnsi" w:eastAsiaTheme="minorEastAsia" w:hAnsiTheme="minorHAnsi" w:cstheme="minorHAnsi"/>
                <w:sz w:val="20"/>
                <w:szCs w:val="20"/>
              </w:rPr>
              <w:t xml:space="preserve">to deliver agreed levels of </w:t>
            </w:r>
            <w:r w:rsidR="002526ED" w:rsidRPr="00116E55">
              <w:rPr>
                <w:rFonts w:asciiTheme="minorHAnsi" w:eastAsiaTheme="minorEastAsia" w:hAnsiTheme="minorHAnsi" w:cstheme="minorHAnsi"/>
                <w:sz w:val="20"/>
                <w:szCs w:val="20"/>
              </w:rPr>
              <w:t>service</w:t>
            </w:r>
            <w:r w:rsidR="00156EB6" w:rsidRPr="00116E55">
              <w:rPr>
                <w:rFonts w:asciiTheme="minorHAnsi" w:eastAsiaTheme="minorEastAsia" w:hAnsiTheme="minorHAnsi" w:cstheme="minorHAnsi"/>
                <w:sz w:val="20"/>
                <w:szCs w:val="20"/>
              </w:rPr>
              <w:t>.</w:t>
            </w:r>
          </w:p>
          <w:p w14:paraId="49A01E34" w14:textId="77777777" w:rsidR="002526ED" w:rsidRPr="00116E55" w:rsidRDefault="002526ED" w:rsidP="00CC0E3B">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0"/>
                <w:szCs w:val="20"/>
              </w:rPr>
            </w:pPr>
          </w:p>
          <w:p w14:paraId="4740466A" w14:textId="48DA060A" w:rsidR="002526ED" w:rsidRPr="00116E55" w:rsidRDefault="001B7669" w:rsidP="007B26ED">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0"/>
                <w:szCs w:val="20"/>
              </w:rPr>
            </w:pPr>
            <w:r w:rsidRPr="00116E55">
              <w:rPr>
                <w:rFonts w:asciiTheme="minorHAnsi" w:eastAsiaTheme="minorEastAsia" w:hAnsiTheme="minorHAnsi" w:cstheme="minorHAnsi"/>
                <w:sz w:val="20"/>
                <w:szCs w:val="20"/>
              </w:rPr>
              <w:t>The proposed GSLs are aligned to insights regarding customer service quality expectations gained from our extensive customer engagement program and from customers that have previously experienced service interruptions.</w:t>
            </w:r>
          </w:p>
        </w:tc>
        <w:tc>
          <w:tcPr>
            <w:tcW w:w="4800" w:type="dxa"/>
            <w:shd w:val="clear" w:color="auto" w:fill="D4D6DF"/>
          </w:tcPr>
          <w:p w14:paraId="749462E5" w14:textId="515484A9" w:rsidR="00676DF9" w:rsidRPr="00116E55" w:rsidRDefault="00676DF9" w:rsidP="00676DF9">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i/>
                <w:iCs/>
                <w:sz w:val="20"/>
                <w:szCs w:val="20"/>
              </w:rPr>
            </w:pPr>
            <w:r w:rsidRPr="00116E55">
              <w:rPr>
                <w:rFonts w:asciiTheme="minorHAnsi" w:eastAsiaTheme="minorEastAsia" w:hAnsiTheme="minorHAnsi" w:cstheme="minorHAnsi"/>
                <w:i/>
                <w:iCs/>
                <w:sz w:val="20"/>
                <w:szCs w:val="20"/>
              </w:rPr>
              <w:lastRenderedPageBreak/>
              <w:t>Mitigation of GSL-related revenue risk:</w:t>
            </w:r>
          </w:p>
          <w:p w14:paraId="07DA3896" w14:textId="084B40FB" w:rsidR="007B7E93" w:rsidRPr="00116E55" w:rsidRDefault="0096763E" w:rsidP="0068271E">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0"/>
                <w:szCs w:val="20"/>
              </w:rPr>
            </w:pPr>
            <w:r w:rsidRPr="00116E55">
              <w:rPr>
                <w:rFonts w:asciiTheme="minorHAnsi" w:eastAsiaTheme="minorEastAsia" w:hAnsiTheme="minorHAnsi" w:cstheme="minorHAnsi"/>
                <w:sz w:val="20"/>
                <w:szCs w:val="20"/>
              </w:rPr>
              <w:t>Providing agreed levels of service, and a</w:t>
            </w:r>
            <w:r w:rsidR="00A87C94" w:rsidRPr="00116E55">
              <w:rPr>
                <w:rFonts w:asciiTheme="minorHAnsi" w:eastAsiaTheme="minorEastAsia" w:hAnsiTheme="minorHAnsi" w:cstheme="minorHAnsi"/>
                <w:sz w:val="20"/>
                <w:szCs w:val="20"/>
              </w:rPr>
              <w:t>voidi</w:t>
            </w:r>
            <w:r w:rsidRPr="00116E55">
              <w:rPr>
                <w:rFonts w:asciiTheme="minorHAnsi" w:eastAsiaTheme="minorEastAsia" w:hAnsiTheme="minorHAnsi" w:cstheme="minorHAnsi"/>
                <w:sz w:val="20"/>
                <w:szCs w:val="20"/>
              </w:rPr>
              <w:t xml:space="preserve">ng </w:t>
            </w:r>
            <w:r w:rsidR="0068271E" w:rsidRPr="00116E55">
              <w:rPr>
                <w:rFonts w:asciiTheme="minorHAnsi" w:eastAsiaTheme="minorEastAsia" w:hAnsiTheme="minorHAnsi" w:cstheme="minorHAnsi"/>
                <w:sz w:val="20"/>
                <w:szCs w:val="20"/>
              </w:rPr>
              <w:t xml:space="preserve">GSL </w:t>
            </w:r>
            <w:r w:rsidRPr="00116E55">
              <w:rPr>
                <w:rFonts w:asciiTheme="minorHAnsi" w:eastAsiaTheme="minorEastAsia" w:hAnsiTheme="minorHAnsi" w:cstheme="minorHAnsi"/>
                <w:sz w:val="20"/>
                <w:szCs w:val="20"/>
              </w:rPr>
              <w:t xml:space="preserve">payments, </w:t>
            </w:r>
            <w:r w:rsidR="0068271E" w:rsidRPr="00116E55">
              <w:rPr>
                <w:rFonts w:asciiTheme="minorHAnsi" w:eastAsiaTheme="minorEastAsia" w:hAnsiTheme="minorHAnsi" w:cstheme="minorHAnsi"/>
                <w:sz w:val="20"/>
                <w:szCs w:val="20"/>
              </w:rPr>
              <w:t>is supported by our capital program.</w:t>
            </w:r>
          </w:p>
        </w:tc>
        <w:tc>
          <w:tcPr>
            <w:tcW w:w="3989" w:type="dxa"/>
            <w:shd w:val="clear" w:color="auto" w:fill="D4D6DF"/>
          </w:tcPr>
          <w:p w14:paraId="78AD72F2" w14:textId="7385E669" w:rsidR="00095B31" w:rsidRPr="00116E55" w:rsidRDefault="00CD302C" w:rsidP="00095B31">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0"/>
                <w:szCs w:val="20"/>
              </w:rPr>
            </w:pPr>
            <w:r w:rsidRPr="00116E55">
              <w:rPr>
                <w:rFonts w:asciiTheme="minorHAnsi" w:eastAsiaTheme="minorEastAsia" w:hAnsiTheme="minorHAnsi" w:cstheme="minorHAnsi"/>
                <w:sz w:val="20"/>
                <w:szCs w:val="20"/>
              </w:rPr>
              <w:t>GSL c</w:t>
            </w:r>
            <w:r w:rsidR="006A0144" w:rsidRPr="00116E55">
              <w:rPr>
                <w:rFonts w:asciiTheme="minorHAnsi" w:eastAsiaTheme="minorEastAsia" w:hAnsiTheme="minorHAnsi" w:cstheme="minorHAnsi"/>
                <w:sz w:val="20"/>
                <w:szCs w:val="20"/>
              </w:rPr>
              <w:t xml:space="preserve">osts </w:t>
            </w:r>
            <w:r w:rsidR="00C41329" w:rsidRPr="00116E55">
              <w:rPr>
                <w:rFonts w:asciiTheme="minorHAnsi" w:eastAsiaTheme="minorEastAsia" w:hAnsiTheme="minorHAnsi" w:cstheme="minorHAnsi"/>
                <w:sz w:val="20"/>
                <w:szCs w:val="20"/>
              </w:rPr>
              <w:t xml:space="preserve">will not be </w:t>
            </w:r>
            <w:r w:rsidR="00095B31" w:rsidRPr="00116E55">
              <w:rPr>
                <w:rFonts w:asciiTheme="minorHAnsi" w:eastAsiaTheme="minorEastAsia" w:hAnsiTheme="minorHAnsi" w:cstheme="minorHAnsi"/>
                <w:sz w:val="20"/>
                <w:szCs w:val="20"/>
              </w:rPr>
              <w:t>recover</w:t>
            </w:r>
            <w:r w:rsidR="00C41329" w:rsidRPr="00116E55">
              <w:rPr>
                <w:rFonts w:asciiTheme="minorHAnsi" w:eastAsiaTheme="minorEastAsia" w:hAnsiTheme="minorHAnsi" w:cstheme="minorHAnsi"/>
                <w:sz w:val="20"/>
                <w:szCs w:val="20"/>
              </w:rPr>
              <w:t>ed from customers</w:t>
            </w:r>
            <w:r w:rsidR="00095B31" w:rsidRPr="00116E55">
              <w:rPr>
                <w:rFonts w:asciiTheme="minorHAnsi" w:eastAsiaTheme="minorEastAsia" w:hAnsiTheme="minorHAnsi" w:cstheme="minorHAnsi"/>
                <w:sz w:val="20"/>
                <w:szCs w:val="20"/>
              </w:rPr>
              <w:t>.</w:t>
            </w:r>
          </w:p>
          <w:p w14:paraId="5A122ED6" w14:textId="77777777" w:rsidR="00234387" w:rsidRPr="00116E55" w:rsidRDefault="00234387" w:rsidP="00095B31">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0"/>
                <w:szCs w:val="20"/>
              </w:rPr>
            </w:pPr>
          </w:p>
          <w:p w14:paraId="59B9916E" w14:textId="3ABCAC17" w:rsidR="00095B31" w:rsidRPr="00116E55" w:rsidRDefault="00095B31" w:rsidP="00095B31">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0"/>
                <w:szCs w:val="20"/>
              </w:rPr>
            </w:pPr>
            <w:r w:rsidRPr="00116E55">
              <w:rPr>
                <w:rFonts w:asciiTheme="minorHAnsi" w:eastAsiaTheme="minorEastAsia" w:hAnsiTheme="minorHAnsi" w:cstheme="minorHAnsi"/>
                <w:sz w:val="20"/>
                <w:szCs w:val="20"/>
              </w:rPr>
              <w:t>We retain this risk</w:t>
            </w:r>
            <w:r w:rsidR="003734C0" w:rsidRPr="00116E55">
              <w:rPr>
                <w:rFonts w:asciiTheme="minorHAnsi" w:eastAsiaTheme="minorEastAsia" w:hAnsiTheme="minorHAnsi" w:cstheme="minorHAnsi"/>
                <w:sz w:val="20"/>
                <w:szCs w:val="20"/>
              </w:rPr>
              <w:t>.</w:t>
            </w:r>
            <w:r w:rsidRPr="00116E55">
              <w:rPr>
                <w:rFonts w:asciiTheme="minorHAnsi" w:eastAsiaTheme="minorEastAsia" w:hAnsiTheme="minorHAnsi" w:cstheme="minorHAnsi"/>
                <w:sz w:val="20"/>
                <w:szCs w:val="20"/>
              </w:rPr>
              <w:t xml:space="preserve"> </w:t>
            </w:r>
            <w:r w:rsidR="003734C0" w:rsidRPr="00116E55">
              <w:rPr>
                <w:rFonts w:asciiTheme="minorHAnsi" w:eastAsiaTheme="minorEastAsia" w:hAnsiTheme="minorHAnsi" w:cstheme="minorHAnsi"/>
                <w:sz w:val="20"/>
                <w:szCs w:val="20"/>
              </w:rPr>
              <w:t>O</w:t>
            </w:r>
            <w:r w:rsidRPr="00116E55">
              <w:rPr>
                <w:rFonts w:asciiTheme="minorHAnsi" w:eastAsiaTheme="minorEastAsia" w:hAnsiTheme="minorHAnsi" w:cstheme="minorHAnsi"/>
                <w:sz w:val="20"/>
                <w:szCs w:val="20"/>
              </w:rPr>
              <w:t xml:space="preserve">ur amended GSL program </w:t>
            </w:r>
            <w:r w:rsidR="008043EE" w:rsidRPr="00116E55">
              <w:rPr>
                <w:rFonts w:asciiTheme="minorHAnsi" w:eastAsiaTheme="minorEastAsia" w:hAnsiTheme="minorHAnsi" w:cstheme="minorHAnsi"/>
                <w:sz w:val="20"/>
                <w:szCs w:val="20"/>
              </w:rPr>
              <w:t xml:space="preserve">holds South East Water </w:t>
            </w:r>
            <w:r w:rsidRPr="00116E55">
              <w:rPr>
                <w:rFonts w:asciiTheme="minorHAnsi" w:eastAsiaTheme="minorEastAsia" w:hAnsiTheme="minorHAnsi" w:cstheme="minorHAnsi"/>
                <w:sz w:val="20"/>
                <w:szCs w:val="20"/>
              </w:rPr>
              <w:t>accountabl</w:t>
            </w:r>
            <w:r w:rsidR="00997E4D" w:rsidRPr="00116E55">
              <w:rPr>
                <w:rFonts w:asciiTheme="minorHAnsi" w:eastAsiaTheme="minorEastAsia" w:hAnsiTheme="minorHAnsi" w:cstheme="minorHAnsi"/>
                <w:sz w:val="20"/>
                <w:szCs w:val="20"/>
              </w:rPr>
              <w:t>e</w:t>
            </w:r>
            <w:r w:rsidRPr="00116E55">
              <w:rPr>
                <w:rFonts w:asciiTheme="minorHAnsi" w:eastAsiaTheme="minorEastAsia" w:hAnsiTheme="minorHAnsi" w:cstheme="minorHAnsi"/>
                <w:sz w:val="20"/>
                <w:szCs w:val="20"/>
              </w:rPr>
              <w:t xml:space="preserve"> to </w:t>
            </w:r>
            <w:r w:rsidR="003D2FA2" w:rsidRPr="00116E55">
              <w:rPr>
                <w:rFonts w:asciiTheme="minorHAnsi" w:eastAsiaTheme="minorEastAsia" w:hAnsiTheme="minorHAnsi" w:cstheme="minorHAnsi"/>
                <w:sz w:val="20"/>
                <w:szCs w:val="20"/>
              </w:rPr>
              <w:t>address issues</w:t>
            </w:r>
            <w:r w:rsidRPr="00116E55">
              <w:rPr>
                <w:rFonts w:asciiTheme="minorHAnsi" w:eastAsiaTheme="minorEastAsia" w:hAnsiTheme="minorHAnsi" w:cstheme="minorHAnsi"/>
                <w:sz w:val="20"/>
                <w:szCs w:val="20"/>
              </w:rPr>
              <w:t xml:space="preserve"> that </w:t>
            </w:r>
            <w:r w:rsidR="003734C0" w:rsidRPr="00116E55">
              <w:rPr>
                <w:rFonts w:asciiTheme="minorHAnsi" w:eastAsiaTheme="minorEastAsia" w:hAnsiTheme="minorHAnsi" w:cstheme="minorHAnsi"/>
                <w:sz w:val="20"/>
                <w:szCs w:val="20"/>
              </w:rPr>
              <w:t xml:space="preserve">may </w:t>
            </w:r>
            <w:r w:rsidR="00F71944" w:rsidRPr="00116E55">
              <w:rPr>
                <w:rFonts w:asciiTheme="minorHAnsi" w:eastAsiaTheme="minorEastAsia" w:hAnsiTheme="minorHAnsi" w:cstheme="minorHAnsi"/>
                <w:sz w:val="20"/>
                <w:szCs w:val="20"/>
              </w:rPr>
              <w:t>result in poor performance</w:t>
            </w:r>
            <w:r w:rsidRPr="00116E55">
              <w:rPr>
                <w:rFonts w:asciiTheme="minorHAnsi" w:eastAsiaTheme="minorEastAsia" w:hAnsiTheme="minorHAnsi" w:cstheme="minorHAnsi"/>
                <w:sz w:val="20"/>
                <w:szCs w:val="20"/>
              </w:rPr>
              <w:t>.</w:t>
            </w:r>
          </w:p>
        </w:tc>
      </w:tr>
      <w:tr w:rsidR="00053849" w:rsidRPr="00C5545F" w14:paraId="10047955" w14:textId="77777777" w:rsidTr="00217305">
        <w:tc>
          <w:tcPr>
            <w:cnfStyle w:val="001000000000" w:firstRow="0" w:lastRow="0" w:firstColumn="1" w:lastColumn="0" w:oddVBand="0" w:evenVBand="0" w:oddHBand="0" w:evenHBand="0" w:firstRowFirstColumn="0" w:firstRowLastColumn="0" w:lastRowFirstColumn="0" w:lastRowLastColumn="0"/>
            <w:tcW w:w="1350" w:type="dxa"/>
          </w:tcPr>
          <w:p w14:paraId="4C3044AB" w14:textId="48B1EAE2" w:rsidR="00053849" w:rsidRPr="00116E55" w:rsidRDefault="00053849" w:rsidP="00865E3B">
            <w:pPr>
              <w:rPr>
                <w:rFonts w:asciiTheme="minorHAnsi" w:eastAsiaTheme="minorEastAsia" w:hAnsiTheme="minorHAnsi" w:cstheme="minorHAnsi"/>
                <w:sz w:val="20"/>
                <w:szCs w:val="20"/>
              </w:rPr>
            </w:pPr>
            <w:r w:rsidRPr="00116E55">
              <w:rPr>
                <w:rFonts w:asciiTheme="minorHAnsi" w:eastAsiaTheme="minorEastAsia" w:hAnsiTheme="minorHAnsi" w:cstheme="minorHAnsi"/>
                <w:sz w:val="20"/>
                <w:szCs w:val="20"/>
              </w:rPr>
              <w:t>Demand</w:t>
            </w:r>
          </w:p>
        </w:tc>
        <w:tc>
          <w:tcPr>
            <w:tcW w:w="3892" w:type="dxa"/>
          </w:tcPr>
          <w:p w14:paraId="5996C402" w14:textId="77777777" w:rsidR="007916D5" w:rsidRPr="00116E55" w:rsidRDefault="007916D5" w:rsidP="00053849">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i/>
                <w:iCs/>
                <w:sz w:val="20"/>
                <w:szCs w:val="20"/>
              </w:rPr>
            </w:pPr>
            <w:r w:rsidRPr="00116E55">
              <w:rPr>
                <w:rFonts w:asciiTheme="minorHAnsi" w:eastAsiaTheme="minorEastAsia" w:hAnsiTheme="minorHAnsi" w:cstheme="minorHAnsi"/>
                <w:i/>
                <w:iCs/>
                <w:sz w:val="20"/>
                <w:szCs w:val="20"/>
              </w:rPr>
              <w:t>Demand risk:</w:t>
            </w:r>
          </w:p>
          <w:p w14:paraId="3B636EBD" w14:textId="581FDE0F" w:rsidR="00053849" w:rsidRPr="00116E55" w:rsidRDefault="00053849" w:rsidP="00053849">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0"/>
                <w:szCs w:val="20"/>
              </w:rPr>
            </w:pPr>
            <w:r w:rsidRPr="00116E55">
              <w:rPr>
                <w:rFonts w:asciiTheme="minorHAnsi" w:eastAsiaTheme="minorEastAsia" w:hAnsiTheme="minorHAnsi" w:cstheme="minorHAnsi"/>
                <w:sz w:val="20"/>
                <w:szCs w:val="20"/>
              </w:rPr>
              <w:t xml:space="preserve">Lower growth demand forecast </w:t>
            </w:r>
            <w:r w:rsidR="00EC3B2D" w:rsidRPr="00116E55">
              <w:rPr>
                <w:rFonts w:asciiTheme="minorHAnsi" w:eastAsiaTheme="minorEastAsia" w:hAnsiTheme="minorHAnsi" w:cstheme="minorHAnsi"/>
                <w:sz w:val="20"/>
                <w:szCs w:val="20"/>
              </w:rPr>
              <w:t xml:space="preserve">assumptions have been assumed for </w:t>
            </w:r>
            <w:r w:rsidRPr="00116E55">
              <w:rPr>
                <w:rFonts w:asciiTheme="minorHAnsi" w:eastAsiaTheme="minorEastAsia" w:hAnsiTheme="minorHAnsi" w:cstheme="minorHAnsi"/>
                <w:sz w:val="20"/>
                <w:szCs w:val="20"/>
              </w:rPr>
              <w:t>planning purposes</w:t>
            </w:r>
            <w:r w:rsidR="006A0144" w:rsidRPr="00116E55">
              <w:rPr>
                <w:rFonts w:asciiTheme="minorHAnsi" w:eastAsiaTheme="minorEastAsia" w:hAnsiTheme="minorHAnsi" w:cstheme="minorHAnsi"/>
                <w:sz w:val="20"/>
                <w:szCs w:val="20"/>
              </w:rPr>
              <w:t>.</w:t>
            </w:r>
          </w:p>
          <w:p w14:paraId="51D85DB3" w14:textId="77777777" w:rsidR="002F7726" w:rsidRPr="00116E55" w:rsidRDefault="002F7726" w:rsidP="00053849">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0"/>
                <w:szCs w:val="20"/>
              </w:rPr>
            </w:pPr>
          </w:p>
          <w:p w14:paraId="72C71F32" w14:textId="34DFC677" w:rsidR="00053849" w:rsidRPr="00116E55" w:rsidRDefault="00B745EC" w:rsidP="00053849">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0"/>
                <w:szCs w:val="20"/>
              </w:rPr>
            </w:pPr>
            <w:r w:rsidRPr="00116E55">
              <w:rPr>
                <w:rFonts w:asciiTheme="minorHAnsi" w:eastAsiaTheme="minorEastAsia" w:hAnsiTheme="minorHAnsi" w:cstheme="minorHAnsi"/>
                <w:sz w:val="20"/>
                <w:szCs w:val="20"/>
              </w:rPr>
              <w:t xml:space="preserve">Uncertainty associated to </w:t>
            </w:r>
            <w:r w:rsidR="007916D5" w:rsidRPr="00116E55">
              <w:rPr>
                <w:rFonts w:asciiTheme="minorHAnsi" w:eastAsiaTheme="minorEastAsia" w:hAnsiTheme="minorHAnsi" w:cstheme="minorHAnsi"/>
                <w:sz w:val="20"/>
                <w:szCs w:val="20"/>
              </w:rPr>
              <w:t>c</w:t>
            </w:r>
            <w:r w:rsidRPr="00116E55">
              <w:rPr>
                <w:rFonts w:asciiTheme="minorHAnsi" w:eastAsiaTheme="minorEastAsia" w:hAnsiTheme="minorHAnsi" w:cstheme="minorHAnsi"/>
                <w:sz w:val="20"/>
                <w:szCs w:val="20"/>
              </w:rPr>
              <w:t xml:space="preserve">limate and </w:t>
            </w:r>
            <w:r w:rsidR="002F7726" w:rsidRPr="00116E55">
              <w:rPr>
                <w:rFonts w:asciiTheme="minorHAnsi" w:eastAsiaTheme="minorEastAsia" w:hAnsiTheme="minorHAnsi" w:cstheme="minorHAnsi"/>
                <w:sz w:val="20"/>
                <w:szCs w:val="20"/>
              </w:rPr>
              <w:t>COVID</w:t>
            </w:r>
            <w:r w:rsidR="00064331" w:rsidRPr="00116E55">
              <w:rPr>
                <w:rFonts w:asciiTheme="minorHAnsi" w:eastAsiaTheme="minorEastAsia" w:hAnsiTheme="minorHAnsi" w:cstheme="minorHAnsi"/>
                <w:sz w:val="20"/>
                <w:szCs w:val="20"/>
              </w:rPr>
              <w:t>-</w:t>
            </w:r>
            <w:r w:rsidRPr="00116E55">
              <w:rPr>
                <w:rFonts w:asciiTheme="minorHAnsi" w:eastAsiaTheme="minorEastAsia" w:hAnsiTheme="minorHAnsi" w:cstheme="minorHAnsi"/>
                <w:sz w:val="20"/>
                <w:szCs w:val="20"/>
              </w:rPr>
              <w:t>19 and the implications for volumetric forecast.</w:t>
            </w:r>
          </w:p>
        </w:tc>
        <w:tc>
          <w:tcPr>
            <w:tcW w:w="4800" w:type="dxa"/>
          </w:tcPr>
          <w:p w14:paraId="0247B5D7" w14:textId="61AA575A" w:rsidR="003B6FBA" w:rsidRPr="00116E55" w:rsidRDefault="003B6FBA" w:rsidP="003B6FBA">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i/>
                <w:iCs/>
                <w:sz w:val="20"/>
                <w:szCs w:val="20"/>
              </w:rPr>
            </w:pPr>
            <w:r w:rsidRPr="00116E55">
              <w:rPr>
                <w:rFonts w:asciiTheme="minorHAnsi" w:eastAsiaTheme="minorEastAsia" w:hAnsiTheme="minorHAnsi" w:cstheme="minorHAnsi"/>
                <w:i/>
                <w:iCs/>
                <w:sz w:val="20"/>
                <w:szCs w:val="20"/>
              </w:rPr>
              <w:t>Mitigation of demand risk:</w:t>
            </w:r>
          </w:p>
          <w:p w14:paraId="0BCAC9CF" w14:textId="0794FC4F" w:rsidR="002B379A" w:rsidRPr="00116E55" w:rsidRDefault="002B379A" w:rsidP="002B379A">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0"/>
                <w:szCs w:val="20"/>
              </w:rPr>
            </w:pPr>
            <w:r w:rsidRPr="00116E55">
              <w:rPr>
                <w:rFonts w:asciiTheme="minorHAnsi" w:eastAsiaTheme="minorEastAsia" w:hAnsiTheme="minorHAnsi" w:cstheme="minorHAnsi"/>
                <w:sz w:val="20"/>
                <w:szCs w:val="20"/>
              </w:rPr>
              <w:t>Demand based on robust and sound assumptions and methodolog</w:t>
            </w:r>
            <w:r w:rsidR="00716F18">
              <w:rPr>
                <w:rFonts w:asciiTheme="minorHAnsi" w:eastAsiaTheme="minorEastAsia" w:hAnsiTheme="minorHAnsi" w:cstheme="minorHAnsi"/>
                <w:sz w:val="20"/>
                <w:szCs w:val="20"/>
              </w:rPr>
              <w:t>ies</w:t>
            </w:r>
            <w:r w:rsidR="00B745EC" w:rsidRPr="00116E55">
              <w:rPr>
                <w:rFonts w:asciiTheme="minorHAnsi" w:eastAsiaTheme="minorEastAsia" w:hAnsiTheme="minorHAnsi" w:cstheme="minorHAnsi"/>
                <w:sz w:val="20"/>
                <w:szCs w:val="20"/>
              </w:rPr>
              <w:t>.</w:t>
            </w:r>
          </w:p>
          <w:p w14:paraId="2C8F6E75" w14:textId="77777777" w:rsidR="007E02D7" w:rsidRPr="00116E55" w:rsidRDefault="007E02D7" w:rsidP="002B379A">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0"/>
                <w:szCs w:val="20"/>
              </w:rPr>
            </w:pPr>
          </w:p>
          <w:p w14:paraId="3916B857" w14:textId="6EF6515B" w:rsidR="007E02D7" w:rsidRPr="00116E55" w:rsidRDefault="002B379A" w:rsidP="002B379A">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0"/>
                <w:szCs w:val="20"/>
              </w:rPr>
            </w:pPr>
            <w:r w:rsidRPr="00116E55">
              <w:rPr>
                <w:rFonts w:asciiTheme="minorHAnsi" w:eastAsiaTheme="minorEastAsia" w:hAnsiTheme="minorHAnsi" w:cstheme="minorHAnsi"/>
                <w:sz w:val="20"/>
                <w:szCs w:val="20"/>
              </w:rPr>
              <w:t>We have applied models and economic research that best represents our customers</w:t>
            </w:r>
            <w:r w:rsidR="00480613" w:rsidRPr="00116E55">
              <w:rPr>
                <w:rFonts w:asciiTheme="minorHAnsi" w:eastAsiaTheme="minorEastAsia" w:hAnsiTheme="minorHAnsi" w:cstheme="minorHAnsi"/>
                <w:sz w:val="20"/>
                <w:szCs w:val="20"/>
              </w:rPr>
              <w:t>.</w:t>
            </w:r>
          </w:p>
          <w:p w14:paraId="688070CA" w14:textId="77777777" w:rsidR="007E02D7" w:rsidRPr="00116E55" w:rsidRDefault="007E02D7" w:rsidP="002B379A">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0"/>
                <w:szCs w:val="20"/>
              </w:rPr>
            </w:pPr>
          </w:p>
          <w:p w14:paraId="5C04C184" w14:textId="5FFC27D3" w:rsidR="00053849" w:rsidRPr="00116E55" w:rsidRDefault="002B379A" w:rsidP="002B379A">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0"/>
                <w:szCs w:val="20"/>
              </w:rPr>
            </w:pPr>
            <w:r w:rsidRPr="00116E55">
              <w:rPr>
                <w:rFonts w:asciiTheme="minorHAnsi" w:eastAsiaTheme="minorEastAsia" w:hAnsiTheme="minorHAnsi" w:cstheme="minorHAnsi"/>
                <w:sz w:val="20"/>
                <w:szCs w:val="20"/>
              </w:rPr>
              <w:t>Digital</w:t>
            </w:r>
            <w:r w:rsidR="00257AA8" w:rsidRPr="00116E55">
              <w:rPr>
                <w:rFonts w:asciiTheme="minorHAnsi" w:eastAsiaTheme="minorEastAsia" w:hAnsiTheme="minorHAnsi" w:cstheme="minorHAnsi"/>
                <w:sz w:val="20"/>
                <w:szCs w:val="20"/>
              </w:rPr>
              <w:t xml:space="preserve"> metering</w:t>
            </w:r>
            <w:r w:rsidRPr="00116E55">
              <w:rPr>
                <w:rFonts w:asciiTheme="minorHAnsi" w:eastAsiaTheme="minorEastAsia" w:hAnsiTheme="minorHAnsi" w:cstheme="minorHAnsi"/>
                <w:sz w:val="20"/>
                <w:szCs w:val="20"/>
              </w:rPr>
              <w:t xml:space="preserve"> investment</w:t>
            </w:r>
            <w:r w:rsidR="00257AA8" w:rsidRPr="00116E55">
              <w:rPr>
                <w:rFonts w:asciiTheme="minorHAnsi" w:eastAsiaTheme="minorEastAsia" w:hAnsiTheme="minorHAnsi" w:cstheme="minorHAnsi"/>
                <w:sz w:val="20"/>
                <w:szCs w:val="20"/>
              </w:rPr>
              <w:t>s</w:t>
            </w:r>
            <w:r w:rsidRPr="00116E55">
              <w:rPr>
                <w:rFonts w:asciiTheme="minorHAnsi" w:eastAsiaTheme="minorEastAsia" w:hAnsiTheme="minorHAnsi" w:cstheme="minorHAnsi"/>
                <w:sz w:val="20"/>
                <w:szCs w:val="20"/>
              </w:rPr>
              <w:t xml:space="preserve"> will enable a better understanding of real-time water use </w:t>
            </w:r>
            <w:r w:rsidR="00480613" w:rsidRPr="00116E55">
              <w:rPr>
                <w:rFonts w:asciiTheme="minorHAnsi" w:eastAsiaTheme="minorEastAsia" w:hAnsiTheme="minorHAnsi" w:cstheme="minorHAnsi"/>
                <w:sz w:val="20"/>
                <w:szCs w:val="20"/>
              </w:rPr>
              <w:t>into the</w:t>
            </w:r>
            <w:r w:rsidRPr="00116E55">
              <w:rPr>
                <w:rFonts w:asciiTheme="minorHAnsi" w:eastAsiaTheme="minorEastAsia" w:hAnsiTheme="minorHAnsi" w:cstheme="minorHAnsi"/>
                <w:sz w:val="20"/>
                <w:szCs w:val="20"/>
              </w:rPr>
              <w:t xml:space="preserve"> future and will enhance future demand capability.</w:t>
            </w:r>
          </w:p>
        </w:tc>
        <w:tc>
          <w:tcPr>
            <w:tcW w:w="3989" w:type="dxa"/>
          </w:tcPr>
          <w:p w14:paraId="5AD30054" w14:textId="72E544E0" w:rsidR="00053849" w:rsidRPr="00116E55" w:rsidRDefault="001442C1" w:rsidP="00865E3B">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0"/>
                <w:szCs w:val="20"/>
              </w:rPr>
            </w:pPr>
            <w:r w:rsidRPr="00116E55">
              <w:rPr>
                <w:rFonts w:asciiTheme="minorHAnsi" w:eastAsiaTheme="minorEastAsia" w:hAnsiTheme="minorHAnsi" w:cstheme="minorHAnsi"/>
                <w:sz w:val="20"/>
                <w:szCs w:val="20"/>
              </w:rPr>
              <w:t>South East Water</w:t>
            </w:r>
            <w:r w:rsidR="00E7754D" w:rsidRPr="00116E55">
              <w:rPr>
                <w:rFonts w:asciiTheme="minorHAnsi" w:eastAsiaTheme="minorEastAsia" w:hAnsiTheme="minorHAnsi" w:cstheme="minorHAnsi"/>
                <w:sz w:val="20"/>
                <w:szCs w:val="20"/>
              </w:rPr>
              <w:t xml:space="preserve"> has adopted a lower growth assumption which has </w:t>
            </w:r>
            <w:r w:rsidR="00EB76B3" w:rsidRPr="00116E55">
              <w:rPr>
                <w:rFonts w:asciiTheme="minorHAnsi" w:eastAsiaTheme="minorEastAsia" w:hAnsiTheme="minorHAnsi" w:cstheme="minorHAnsi"/>
                <w:sz w:val="20"/>
                <w:szCs w:val="20"/>
              </w:rPr>
              <w:t>been applied to growth expenditure</w:t>
            </w:r>
            <w:r w:rsidR="007979E6" w:rsidRPr="00116E55">
              <w:rPr>
                <w:rFonts w:asciiTheme="minorHAnsi" w:eastAsiaTheme="minorEastAsia" w:hAnsiTheme="minorHAnsi" w:cstheme="minorHAnsi"/>
                <w:sz w:val="20"/>
                <w:szCs w:val="20"/>
              </w:rPr>
              <w:t>. South</w:t>
            </w:r>
            <w:r w:rsidR="00B16E3F" w:rsidRPr="00116E55">
              <w:rPr>
                <w:rFonts w:asciiTheme="minorHAnsi" w:eastAsiaTheme="minorEastAsia" w:hAnsiTheme="minorHAnsi" w:cstheme="minorHAnsi"/>
                <w:sz w:val="20"/>
                <w:szCs w:val="20"/>
              </w:rPr>
              <w:t> </w:t>
            </w:r>
            <w:r w:rsidR="007979E6" w:rsidRPr="00116E55">
              <w:rPr>
                <w:rFonts w:asciiTheme="minorHAnsi" w:eastAsiaTheme="minorEastAsia" w:hAnsiTheme="minorHAnsi" w:cstheme="minorHAnsi"/>
                <w:sz w:val="20"/>
                <w:szCs w:val="20"/>
              </w:rPr>
              <w:t>East Water bears the risk if growth accelerates beyond forecast assumptions.</w:t>
            </w:r>
            <w:r w:rsidR="00A1315F" w:rsidRPr="00116E55">
              <w:rPr>
                <w:rFonts w:asciiTheme="minorHAnsi" w:eastAsiaTheme="minorEastAsia" w:hAnsiTheme="minorHAnsi" w:cstheme="minorHAnsi"/>
                <w:sz w:val="20"/>
                <w:szCs w:val="20"/>
              </w:rPr>
              <w:t xml:space="preserve"> </w:t>
            </w:r>
          </w:p>
          <w:p w14:paraId="4FC8AE8F" w14:textId="77777777" w:rsidR="00C55B33" w:rsidRPr="00116E55" w:rsidRDefault="00C55B33" w:rsidP="00865E3B">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0"/>
                <w:szCs w:val="20"/>
              </w:rPr>
            </w:pPr>
          </w:p>
          <w:p w14:paraId="74BFBDE9" w14:textId="41CBA41E" w:rsidR="00C55B33" w:rsidRPr="00116E55" w:rsidRDefault="00E70704" w:rsidP="00C55B33">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0"/>
                <w:szCs w:val="20"/>
              </w:rPr>
            </w:pPr>
            <w:r w:rsidRPr="00116E55">
              <w:rPr>
                <w:rFonts w:asciiTheme="minorHAnsi" w:eastAsiaTheme="minorEastAsia" w:hAnsiTheme="minorHAnsi" w:cstheme="minorHAnsi"/>
                <w:sz w:val="20"/>
                <w:szCs w:val="20"/>
              </w:rPr>
              <w:t xml:space="preserve">Any </w:t>
            </w:r>
            <w:r w:rsidR="00B637C4" w:rsidRPr="00116E55">
              <w:rPr>
                <w:rFonts w:asciiTheme="minorHAnsi" w:eastAsiaTheme="minorEastAsia" w:hAnsiTheme="minorHAnsi" w:cstheme="minorHAnsi"/>
                <w:sz w:val="20"/>
                <w:szCs w:val="20"/>
              </w:rPr>
              <w:t>additional</w:t>
            </w:r>
            <w:r w:rsidRPr="00116E55">
              <w:rPr>
                <w:rFonts w:asciiTheme="minorHAnsi" w:eastAsiaTheme="minorEastAsia" w:hAnsiTheme="minorHAnsi" w:cstheme="minorHAnsi"/>
                <w:sz w:val="20"/>
                <w:szCs w:val="20"/>
              </w:rPr>
              <w:t xml:space="preserve"> water savings promoted </w:t>
            </w:r>
            <w:r w:rsidR="00756A66" w:rsidRPr="00116E55">
              <w:rPr>
                <w:rFonts w:asciiTheme="minorHAnsi" w:eastAsiaTheme="minorEastAsia" w:hAnsiTheme="minorHAnsi" w:cstheme="minorHAnsi"/>
                <w:sz w:val="20"/>
                <w:szCs w:val="20"/>
              </w:rPr>
              <w:t>by</w:t>
            </w:r>
            <w:r w:rsidRPr="00116E55">
              <w:rPr>
                <w:rFonts w:asciiTheme="minorHAnsi" w:eastAsiaTheme="minorEastAsia" w:hAnsiTheme="minorHAnsi" w:cstheme="minorHAnsi"/>
                <w:sz w:val="20"/>
                <w:szCs w:val="20"/>
              </w:rPr>
              <w:t xml:space="preserve"> water efficiency </w:t>
            </w:r>
            <w:r w:rsidR="00E9612C" w:rsidRPr="00116E55">
              <w:rPr>
                <w:rFonts w:asciiTheme="minorHAnsi" w:eastAsiaTheme="minorEastAsia" w:hAnsiTheme="minorHAnsi" w:cstheme="minorHAnsi"/>
                <w:sz w:val="20"/>
                <w:szCs w:val="20"/>
              </w:rPr>
              <w:t>programs</w:t>
            </w:r>
            <w:r w:rsidRPr="00116E55">
              <w:rPr>
                <w:rFonts w:asciiTheme="minorHAnsi" w:eastAsiaTheme="minorEastAsia" w:hAnsiTheme="minorHAnsi" w:cstheme="minorHAnsi"/>
                <w:sz w:val="20"/>
                <w:szCs w:val="20"/>
              </w:rPr>
              <w:t xml:space="preserve"> (including digital metering) </w:t>
            </w:r>
            <w:r w:rsidR="00B637C4" w:rsidRPr="00116E55">
              <w:rPr>
                <w:rFonts w:asciiTheme="minorHAnsi" w:eastAsiaTheme="minorEastAsia" w:hAnsiTheme="minorHAnsi" w:cstheme="minorHAnsi"/>
                <w:sz w:val="20"/>
                <w:szCs w:val="20"/>
              </w:rPr>
              <w:t xml:space="preserve">that </w:t>
            </w:r>
            <w:r w:rsidR="00FF3572">
              <w:rPr>
                <w:rFonts w:asciiTheme="minorHAnsi" w:eastAsiaTheme="minorEastAsia" w:hAnsiTheme="minorHAnsi" w:cstheme="minorHAnsi"/>
                <w:sz w:val="20"/>
                <w:szCs w:val="20"/>
              </w:rPr>
              <w:t>are</w:t>
            </w:r>
            <w:r w:rsidR="00B637C4" w:rsidRPr="00116E55">
              <w:rPr>
                <w:rFonts w:asciiTheme="minorHAnsi" w:eastAsiaTheme="minorEastAsia" w:hAnsiTheme="minorHAnsi" w:cstheme="minorHAnsi"/>
                <w:sz w:val="20"/>
                <w:szCs w:val="20"/>
              </w:rPr>
              <w:t xml:space="preserve"> not included in the demand forecast</w:t>
            </w:r>
            <w:r w:rsidRPr="00116E55">
              <w:rPr>
                <w:rFonts w:asciiTheme="minorHAnsi" w:eastAsiaTheme="minorEastAsia" w:hAnsiTheme="minorHAnsi" w:cstheme="minorHAnsi"/>
                <w:sz w:val="20"/>
                <w:szCs w:val="20"/>
              </w:rPr>
              <w:t xml:space="preserve"> will be </w:t>
            </w:r>
            <w:r w:rsidR="008857EF" w:rsidRPr="00116E55">
              <w:rPr>
                <w:rFonts w:asciiTheme="minorHAnsi" w:eastAsiaTheme="minorEastAsia" w:hAnsiTheme="minorHAnsi" w:cstheme="minorHAnsi"/>
                <w:sz w:val="20"/>
                <w:szCs w:val="20"/>
              </w:rPr>
              <w:t xml:space="preserve">borne by </w:t>
            </w:r>
            <w:r w:rsidR="005F011E" w:rsidRPr="00116E55">
              <w:rPr>
                <w:rFonts w:asciiTheme="minorHAnsi" w:eastAsiaTheme="minorEastAsia" w:hAnsiTheme="minorHAnsi" w:cstheme="minorHAnsi"/>
                <w:sz w:val="20"/>
                <w:szCs w:val="20"/>
              </w:rPr>
              <w:t>South East Water</w:t>
            </w:r>
            <w:r w:rsidR="008857EF" w:rsidRPr="00116E55">
              <w:rPr>
                <w:rFonts w:asciiTheme="minorHAnsi" w:eastAsiaTheme="minorEastAsia" w:hAnsiTheme="minorHAnsi" w:cstheme="minorHAnsi"/>
                <w:sz w:val="20"/>
                <w:szCs w:val="20"/>
              </w:rPr>
              <w:t>.</w:t>
            </w:r>
          </w:p>
          <w:p w14:paraId="735714D8" w14:textId="77777777" w:rsidR="008857EF" w:rsidRPr="00116E55" w:rsidRDefault="008857EF" w:rsidP="00C55B33">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0"/>
                <w:szCs w:val="20"/>
              </w:rPr>
            </w:pPr>
          </w:p>
          <w:p w14:paraId="3D80C4A3" w14:textId="42E482B7" w:rsidR="00C55B33" w:rsidRPr="00116E55" w:rsidRDefault="00A126BF" w:rsidP="00C55B33">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0"/>
                <w:szCs w:val="20"/>
              </w:rPr>
            </w:pPr>
            <w:r w:rsidRPr="00116E55">
              <w:rPr>
                <w:rFonts w:asciiTheme="minorHAnsi" w:eastAsiaTheme="minorEastAsia" w:hAnsiTheme="minorHAnsi" w:cstheme="minorHAnsi"/>
                <w:sz w:val="20"/>
                <w:szCs w:val="20"/>
              </w:rPr>
              <w:t>Any</w:t>
            </w:r>
            <w:r w:rsidR="00C55B33" w:rsidRPr="00116E55">
              <w:rPr>
                <w:rFonts w:asciiTheme="minorHAnsi" w:eastAsiaTheme="minorEastAsia" w:hAnsiTheme="minorHAnsi" w:cstheme="minorHAnsi"/>
                <w:sz w:val="20"/>
                <w:szCs w:val="20"/>
              </w:rPr>
              <w:t xml:space="preserve"> uncertainty on demand </w:t>
            </w:r>
            <w:r w:rsidR="00E70704" w:rsidRPr="00116E55">
              <w:rPr>
                <w:rFonts w:asciiTheme="minorHAnsi" w:eastAsiaTheme="minorEastAsia" w:hAnsiTheme="minorHAnsi" w:cstheme="minorHAnsi"/>
                <w:sz w:val="20"/>
                <w:szCs w:val="20"/>
              </w:rPr>
              <w:t xml:space="preserve">caused </w:t>
            </w:r>
            <w:r w:rsidR="00C55B33" w:rsidRPr="00116E55">
              <w:rPr>
                <w:rFonts w:asciiTheme="minorHAnsi" w:eastAsiaTheme="minorEastAsia" w:hAnsiTheme="minorHAnsi" w:cstheme="minorHAnsi"/>
                <w:sz w:val="20"/>
                <w:szCs w:val="20"/>
              </w:rPr>
              <w:t xml:space="preserve">by external impacts </w:t>
            </w:r>
            <w:r w:rsidR="00FF3572" w:rsidRPr="00116E55">
              <w:rPr>
                <w:rFonts w:asciiTheme="minorHAnsi" w:eastAsiaTheme="minorEastAsia" w:hAnsiTheme="minorHAnsi" w:cstheme="minorHAnsi"/>
                <w:sz w:val="20"/>
                <w:szCs w:val="20"/>
              </w:rPr>
              <w:t>i.e.,</w:t>
            </w:r>
            <w:r w:rsidR="00C55B33" w:rsidRPr="00116E55">
              <w:rPr>
                <w:rFonts w:asciiTheme="minorHAnsi" w:eastAsiaTheme="minorEastAsia" w:hAnsiTheme="minorHAnsi" w:cstheme="minorHAnsi"/>
                <w:sz w:val="20"/>
                <w:szCs w:val="20"/>
              </w:rPr>
              <w:t xml:space="preserve"> inflationary pressure, endemic pandemic, etc.</w:t>
            </w:r>
            <w:r w:rsidR="00E61A83">
              <w:rPr>
                <w:rFonts w:asciiTheme="minorHAnsi" w:eastAsiaTheme="minorEastAsia" w:hAnsiTheme="minorHAnsi" w:cstheme="minorHAnsi"/>
                <w:sz w:val="20"/>
                <w:szCs w:val="20"/>
              </w:rPr>
              <w:t>,</w:t>
            </w:r>
            <w:r w:rsidR="00E70704" w:rsidRPr="00116E55">
              <w:rPr>
                <w:rFonts w:asciiTheme="minorHAnsi" w:eastAsiaTheme="minorEastAsia" w:hAnsiTheme="minorHAnsi" w:cstheme="minorHAnsi"/>
                <w:sz w:val="20"/>
                <w:szCs w:val="20"/>
              </w:rPr>
              <w:t xml:space="preserve"> will be worn by S</w:t>
            </w:r>
            <w:r w:rsidR="00EE43F3" w:rsidRPr="00116E55">
              <w:rPr>
                <w:rFonts w:asciiTheme="minorHAnsi" w:eastAsiaTheme="minorEastAsia" w:hAnsiTheme="minorHAnsi" w:cstheme="minorHAnsi"/>
                <w:sz w:val="20"/>
                <w:szCs w:val="20"/>
              </w:rPr>
              <w:t xml:space="preserve">outh East Water </w:t>
            </w:r>
            <w:r w:rsidR="008857EF" w:rsidRPr="00116E55">
              <w:rPr>
                <w:rFonts w:asciiTheme="minorHAnsi" w:eastAsiaTheme="minorEastAsia" w:hAnsiTheme="minorHAnsi" w:cstheme="minorHAnsi"/>
                <w:sz w:val="20"/>
                <w:szCs w:val="20"/>
              </w:rPr>
              <w:t>via</w:t>
            </w:r>
            <w:r w:rsidR="00E70704" w:rsidRPr="00116E55">
              <w:rPr>
                <w:rFonts w:asciiTheme="minorHAnsi" w:eastAsiaTheme="minorEastAsia" w:hAnsiTheme="minorHAnsi" w:cstheme="minorHAnsi"/>
                <w:sz w:val="20"/>
                <w:szCs w:val="20"/>
              </w:rPr>
              <w:t xml:space="preserve"> </w:t>
            </w:r>
            <w:r w:rsidR="00213D8B" w:rsidRPr="00116E55">
              <w:rPr>
                <w:rFonts w:asciiTheme="minorHAnsi" w:eastAsiaTheme="minorEastAsia" w:hAnsiTheme="minorHAnsi" w:cstheme="minorHAnsi"/>
                <w:sz w:val="20"/>
                <w:szCs w:val="20"/>
              </w:rPr>
              <w:t xml:space="preserve">the proposed </w:t>
            </w:r>
            <w:r w:rsidR="00E70704" w:rsidRPr="00116E55">
              <w:rPr>
                <w:rFonts w:asciiTheme="minorHAnsi" w:eastAsiaTheme="minorEastAsia" w:hAnsiTheme="minorHAnsi" w:cstheme="minorHAnsi"/>
                <w:sz w:val="20"/>
                <w:szCs w:val="20"/>
              </w:rPr>
              <w:t xml:space="preserve">price cap regime. </w:t>
            </w:r>
          </w:p>
        </w:tc>
      </w:tr>
      <w:tr w:rsidR="007871B0" w:rsidRPr="00C5545F" w14:paraId="18AC4D7D" w14:textId="77777777" w:rsidTr="00217305">
        <w:tc>
          <w:tcPr>
            <w:cnfStyle w:val="001000000000" w:firstRow="0" w:lastRow="0" w:firstColumn="1" w:lastColumn="0" w:oddVBand="0" w:evenVBand="0" w:oddHBand="0" w:evenHBand="0" w:firstRowFirstColumn="0" w:firstRowLastColumn="0" w:lastRowFirstColumn="0" w:lastRowLastColumn="0"/>
            <w:tcW w:w="1350" w:type="dxa"/>
            <w:shd w:val="clear" w:color="auto" w:fill="D4D6DF"/>
          </w:tcPr>
          <w:p w14:paraId="7D19DDAD" w14:textId="76D61A7F" w:rsidR="007871B0" w:rsidRPr="00116E55" w:rsidRDefault="007871B0" w:rsidP="00865E3B">
            <w:pPr>
              <w:rPr>
                <w:rFonts w:asciiTheme="minorHAnsi" w:eastAsiaTheme="minorEastAsia" w:hAnsiTheme="minorHAnsi" w:cstheme="minorHAnsi"/>
                <w:sz w:val="20"/>
                <w:szCs w:val="20"/>
              </w:rPr>
            </w:pPr>
            <w:r w:rsidRPr="00116E55">
              <w:rPr>
                <w:rFonts w:asciiTheme="minorHAnsi" w:eastAsiaTheme="minorEastAsia" w:hAnsiTheme="minorHAnsi" w:cstheme="minorHAnsi"/>
                <w:sz w:val="20"/>
                <w:szCs w:val="20"/>
              </w:rPr>
              <w:t>Tariffs</w:t>
            </w:r>
          </w:p>
        </w:tc>
        <w:tc>
          <w:tcPr>
            <w:tcW w:w="3892" w:type="dxa"/>
            <w:shd w:val="clear" w:color="auto" w:fill="D4D6DF"/>
          </w:tcPr>
          <w:p w14:paraId="22916410" w14:textId="77777777" w:rsidR="000E5A73" w:rsidRPr="00116E55" w:rsidRDefault="000E5A73" w:rsidP="000E5A73">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i/>
                <w:iCs/>
                <w:sz w:val="20"/>
                <w:szCs w:val="20"/>
              </w:rPr>
            </w:pPr>
            <w:r w:rsidRPr="00116E55">
              <w:rPr>
                <w:rFonts w:asciiTheme="minorHAnsi" w:eastAsiaTheme="minorEastAsia" w:hAnsiTheme="minorHAnsi" w:cstheme="minorHAnsi"/>
                <w:i/>
                <w:iCs/>
                <w:sz w:val="20"/>
                <w:szCs w:val="20"/>
              </w:rPr>
              <w:t>Revenue risk:</w:t>
            </w:r>
          </w:p>
          <w:p w14:paraId="69428EA0" w14:textId="179FB802" w:rsidR="00733C7E" w:rsidRPr="00116E55" w:rsidRDefault="00733C7E" w:rsidP="00733C7E">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0"/>
                <w:szCs w:val="20"/>
              </w:rPr>
            </w:pPr>
            <w:r w:rsidRPr="00116E55">
              <w:rPr>
                <w:rFonts w:asciiTheme="minorHAnsi" w:eastAsiaTheme="minorEastAsia" w:hAnsiTheme="minorHAnsi" w:cstheme="minorHAnsi"/>
                <w:sz w:val="20"/>
                <w:szCs w:val="20"/>
              </w:rPr>
              <w:t>Customers requested control over their bill</w:t>
            </w:r>
            <w:r w:rsidR="00F31F9F" w:rsidRPr="00116E55">
              <w:rPr>
                <w:rFonts w:asciiTheme="minorHAnsi" w:eastAsiaTheme="minorEastAsia" w:hAnsiTheme="minorHAnsi" w:cstheme="minorHAnsi"/>
                <w:sz w:val="20"/>
                <w:szCs w:val="20"/>
              </w:rPr>
              <w:t>s</w:t>
            </w:r>
            <w:r w:rsidRPr="00116E55">
              <w:rPr>
                <w:rFonts w:asciiTheme="minorHAnsi" w:eastAsiaTheme="minorEastAsia" w:hAnsiTheme="minorHAnsi" w:cstheme="minorHAnsi"/>
                <w:sz w:val="20"/>
                <w:szCs w:val="20"/>
              </w:rPr>
              <w:t xml:space="preserve"> and more stability</w:t>
            </w:r>
            <w:r w:rsidR="008857EF" w:rsidRPr="00116E55">
              <w:rPr>
                <w:rFonts w:asciiTheme="minorHAnsi" w:eastAsiaTheme="minorEastAsia" w:hAnsiTheme="minorHAnsi" w:cstheme="minorHAnsi"/>
                <w:sz w:val="20"/>
                <w:szCs w:val="20"/>
              </w:rPr>
              <w:t>.</w:t>
            </w:r>
          </w:p>
          <w:p w14:paraId="7036E3A7" w14:textId="26647D45" w:rsidR="00733C7E" w:rsidRPr="00116E55" w:rsidRDefault="00733C7E" w:rsidP="00733C7E">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0"/>
                <w:szCs w:val="20"/>
              </w:rPr>
            </w:pPr>
          </w:p>
          <w:p w14:paraId="1C6E7CAC" w14:textId="77777777" w:rsidR="007871B0" w:rsidRPr="00116E55" w:rsidRDefault="00733C7E" w:rsidP="00733C7E">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0"/>
                <w:szCs w:val="20"/>
              </w:rPr>
            </w:pPr>
            <w:r w:rsidRPr="00116E55">
              <w:rPr>
                <w:rFonts w:asciiTheme="minorHAnsi" w:eastAsiaTheme="minorEastAsia" w:hAnsiTheme="minorHAnsi" w:cstheme="minorHAnsi"/>
                <w:sz w:val="20"/>
                <w:szCs w:val="20"/>
              </w:rPr>
              <w:lastRenderedPageBreak/>
              <w:t>We have removed the residential sewage disposal charge and allocated</w:t>
            </w:r>
            <w:r w:rsidR="008857EF" w:rsidRPr="00116E55">
              <w:rPr>
                <w:rFonts w:asciiTheme="minorHAnsi" w:eastAsiaTheme="minorEastAsia" w:hAnsiTheme="minorHAnsi" w:cstheme="minorHAnsi"/>
                <w:sz w:val="20"/>
                <w:szCs w:val="20"/>
              </w:rPr>
              <w:t xml:space="preserve"> the revenue shortfall</w:t>
            </w:r>
            <w:r w:rsidRPr="00116E55">
              <w:rPr>
                <w:rFonts w:asciiTheme="minorHAnsi" w:eastAsiaTheme="minorEastAsia" w:hAnsiTheme="minorHAnsi" w:cstheme="minorHAnsi"/>
                <w:sz w:val="20"/>
                <w:szCs w:val="20"/>
              </w:rPr>
              <w:t xml:space="preserve"> to the water usage charge</w:t>
            </w:r>
            <w:r w:rsidR="008857EF" w:rsidRPr="00116E55">
              <w:rPr>
                <w:rFonts w:asciiTheme="minorHAnsi" w:eastAsiaTheme="minorEastAsia" w:hAnsiTheme="minorHAnsi" w:cstheme="minorHAnsi"/>
                <w:sz w:val="20"/>
                <w:szCs w:val="20"/>
              </w:rPr>
              <w:t>.</w:t>
            </w:r>
            <w:r w:rsidR="00594C65" w:rsidRPr="00116E55">
              <w:rPr>
                <w:rFonts w:asciiTheme="minorHAnsi" w:eastAsiaTheme="minorEastAsia" w:hAnsiTheme="minorHAnsi" w:cstheme="minorHAnsi"/>
                <w:sz w:val="20"/>
                <w:szCs w:val="20"/>
              </w:rPr>
              <w:t xml:space="preserve"> </w:t>
            </w:r>
          </w:p>
          <w:p w14:paraId="17A651F2" w14:textId="77777777" w:rsidR="001C5A43" w:rsidRPr="00116E55" w:rsidRDefault="001C5A43" w:rsidP="00733C7E">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0"/>
                <w:szCs w:val="20"/>
              </w:rPr>
            </w:pPr>
          </w:p>
          <w:p w14:paraId="645A22A4" w14:textId="2FA7802D" w:rsidR="001C5A43" w:rsidRPr="00116E55" w:rsidRDefault="001C5A43" w:rsidP="00733C7E">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0"/>
                <w:szCs w:val="20"/>
              </w:rPr>
            </w:pPr>
            <w:r w:rsidRPr="00116E55">
              <w:rPr>
                <w:rFonts w:asciiTheme="minorHAnsi" w:eastAsiaTheme="minorEastAsia" w:hAnsiTheme="minorHAnsi" w:cstheme="minorHAnsi"/>
                <w:sz w:val="20"/>
                <w:szCs w:val="20"/>
              </w:rPr>
              <w:t>This provides a more direct price signal to customers</w:t>
            </w:r>
            <w:r w:rsidR="00512473" w:rsidRPr="00116E55">
              <w:rPr>
                <w:rFonts w:asciiTheme="minorHAnsi" w:eastAsiaTheme="minorEastAsia" w:hAnsiTheme="minorHAnsi" w:cstheme="minorHAnsi"/>
                <w:sz w:val="20"/>
                <w:szCs w:val="20"/>
              </w:rPr>
              <w:t>,</w:t>
            </w:r>
            <w:r w:rsidRPr="00116E55">
              <w:rPr>
                <w:rFonts w:asciiTheme="minorHAnsi" w:eastAsiaTheme="minorEastAsia" w:hAnsiTheme="minorHAnsi" w:cstheme="minorHAnsi"/>
                <w:sz w:val="20"/>
                <w:szCs w:val="20"/>
              </w:rPr>
              <w:t xml:space="preserve"> which will be complemented by notifications supported through digital metering</w:t>
            </w:r>
            <w:r w:rsidR="00512473" w:rsidRPr="00116E55">
              <w:rPr>
                <w:rFonts w:asciiTheme="minorHAnsi" w:eastAsiaTheme="minorEastAsia" w:hAnsiTheme="minorHAnsi" w:cstheme="minorHAnsi"/>
                <w:sz w:val="20"/>
                <w:szCs w:val="20"/>
              </w:rPr>
              <w:t>,</w:t>
            </w:r>
            <w:r w:rsidRPr="00116E55">
              <w:rPr>
                <w:rFonts w:asciiTheme="minorHAnsi" w:eastAsiaTheme="minorEastAsia" w:hAnsiTheme="minorHAnsi" w:cstheme="minorHAnsi"/>
                <w:sz w:val="20"/>
                <w:szCs w:val="20"/>
              </w:rPr>
              <w:t xml:space="preserve"> which increases the ability for customers to make decisions on how much water they ch</w:t>
            </w:r>
            <w:r w:rsidR="005E39B3">
              <w:rPr>
                <w:rFonts w:asciiTheme="minorHAnsi" w:eastAsiaTheme="minorEastAsia" w:hAnsiTheme="minorHAnsi" w:cstheme="minorHAnsi"/>
                <w:sz w:val="20"/>
                <w:szCs w:val="20"/>
              </w:rPr>
              <w:t>o</w:t>
            </w:r>
            <w:r w:rsidRPr="00116E55">
              <w:rPr>
                <w:rFonts w:asciiTheme="minorHAnsi" w:eastAsiaTheme="minorEastAsia" w:hAnsiTheme="minorHAnsi" w:cstheme="minorHAnsi"/>
                <w:sz w:val="20"/>
                <w:szCs w:val="20"/>
              </w:rPr>
              <w:t xml:space="preserve">ose to consume and promote water conservation. </w:t>
            </w:r>
          </w:p>
        </w:tc>
        <w:tc>
          <w:tcPr>
            <w:tcW w:w="4800" w:type="dxa"/>
            <w:shd w:val="clear" w:color="auto" w:fill="D4D6DF"/>
          </w:tcPr>
          <w:p w14:paraId="4650AA04" w14:textId="4BC9491A" w:rsidR="000E5A73" w:rsidRPr="00116E55" w:rsidRDefault="000E5A73" w:rsidP="000E5A73">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i/>
                <w:iCs/>
                <w:sz w:val="20"/>
                <w:szCs w:val="20"/>
              </w:rPr>
            </w:pPr>
            <w:r w:rsidRPr="00116E55">
              <w:rPr>
                <w:rFonts w:asciiTheme="minorHAnsi" w:eastAsiaTheme="minorEastAsia" w:hAnsiTheme="minorHAnsi" w:cstheme="minorHAnsi"/>
                <w:i/>
                <w:iCs/>
                <w:sz w:val="20"/>
                <w:szCs w:val="20"/>
              </w:rPr>
              <w:lastRenderedPageBreak/>
              <w:t>Mitigation of revenue risk:</w:t>
            </w:r>
          </w:p>
          <w:p w14:paraId="71F33FD6" w14:textId="662C1322" w:rsidR="00443A47" w:rsidRPr="00116E55" w:rsidRDefault="00716F18" w:rsidP="00443A47">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0"/>
                <w:szCs w:val="20"/>
              </w:rPr>
            </w:pPr>
            <w:r>
              <w:rPr>
                <w:rFonts w:asciiTheme="minorHAnsi" w:eastAsiaTheme="minorEastAsia" w:hAnsiTheme="minorHAnsi" w:cstheme="minorHAnsi"/>
                <w:sz w:val="20"/>
                <w:szCs w:val="20"/>
              </w:rPr>
              <w:t xml:space="preserve">Continuation of the </w:t>
            </w:r>
            <w:r w:rsidR="00443A47" w:rsidRPr="00116E55">
              <w:rPr>
                <w:rFonts w:asciiTheme="minorHAnsi" w:eastAsiaTheme="minorEastAsia" w:hAnsiTheme="minorHAnsi" w:cstheme="minorHAnsi"/>
                <w:sz w:val="20"/>
                <w:szCs w:val="20"/>
              </w:rPr>
              <w:t>Tariff basket as a form of price control a</w:t>
            </w:r>
            <w:r w:rsidR="00C456EE" w:rsidRPr="00116E55">
              <w:rPr>
                <w:rFonts w:asciiTheme="minorHAnsi" w:eastAsiaTheme="minorEastAsia" w:hAnsiTheme="minorHAnsi" w:cstheme="minorHAnsi"/>
                <w:sz w:val="20"/>
                <w:szCs w:val="20"/>
              </w:rPr>
              <w:t>ccompanied</w:t>
            </w:r>
            <w:r w:rsidR="00443A47" w:rsidRPr="00116E55">
              <w:rPr>
                <w:rFonts w:asciiTheme="minorHAnsi" w:eastAsiaTheme="minorEastAsia" w:hAnsiTheme="minorHAnsi" w:cstheme="minorHAnsi"/>
                <w:sz w:val="20"/>
                <w:szCs w:val="20"/>
              </w:rPr>
              <w:t xml:space="preserve"> with </w:t>
            </w:r>
            <w:r>
              <w:rPr>
                <w:rFonts w:asciiTheme="minorHAnsi" w:eastAsiaTheme="minorEastAsia" w:hAnsiTheme="minorHAnsi" w:cstheme="minorHAnsi"/>
                <w:sz w:val="20"/>
                <w:szCs w:val="20"/>
              </w:rPr>
              <w:t xml:space="preserve">a </w:t>
            </w:r>
            <w:r w:rsidR="00443A47" w:rsidRPr="00116E55">
              <w:rPr>
                <w:rFonts w:asciiTheme="minorHAnsi" w:eastAsiaTheme="minorEastAsia" w:hAnsiTheme="minorHAnsi" w:cstheme="minorHAnsi"/>
                <w:sz w:val="20"/>
                <w:szCs w:val="20"/>
              </w:rPr>
              <w:t>price cap regime</w:t>
            </w:r>
            <w:r w:rsidR="00594C65" w:rsidRPr="00116E55">
              <w:rPr>
                <w:rFonts w:asciiTheme="minorHAnsi" w:eastAsiaTheme="minorEastAsia" w:hAnsiTheme="minorHAnsi" w:cstheme="minorHAnsi"/>
                <w:sz w:val="20"/>
                <w:szCs w:val="20"/>
              </w:rPr>
              <w:t>.</w:t>
            </w:r>
          </w:p>
          <w:p w14:paraId="1BE4F459" w14:textId="5EE5F73A" w:rsidR="00443A47" w:rsidRPr="00116E55" w:rsidRDefault="00443A47" w:rsidP="00C456EE">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0"/>
                <w:szCs w:val="20"/>
              </w:rPr>
            </w:pPr>
          </w:p>
          <w:p w14:paraId="397EBAB2" w14:textId="6A91F7DE" w:rsidR="00443A47" w:rsidRPr="00116E55" w:rsidRDefault="00443A47" w:rsidP="00443A47">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0"/>
                <w:szCs w:val="20"/>
              </w:rPr>
            </w:pPr>
            <w:r w:rsidRPr="00116E55">
              <w:rPr>
                <w:rFonts w:asciiTheme="minorHAnsi" w:eastAsiaTheme="minorEastAsia" w:hAnsiTheme="minorHAnsi" w:cstheme="minorHAnsi"/>
                <w:sz w:val="20"/>
                <w:szCs w:val="20"/>
              </w:rPr>
              <w:lastRenderedPageBreak/>
              <w:t>Digital meter implementation will better inform customers and circumvent bill shock</w:t>
            </w:r>
            <w:r w:rsidR="00594C65" w:rsidRPr="00116E55">
              <w:rPr>
                <w:rFonts w:asciiTheme="minorHAnsi" w:eastAsiaTheme="minorEastAsia" w:hAnsiTheme="minorHAnsi" w:cstheme="minorHAnsi"/>
                <w:sz w:val="20"/>
                <w:szCs w:val="20"/>
              </w:rPr>
              <w:t>.</w:t>
            </w:r>
          </w:p>
          <w:p w14:paraId="109470AF" w14:textId="77777777" w:rsidR="00594C65" w:rsidRPr="00116E55" w:rsidRDefault="00594C65" w:rsidP="00443A47">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0"/>
                <w:szCs w:val="20"/>
              </w:rPr>
            </w:pPr>
          </w:p>
          <w:p w14:paraId="4DCD19A0" w14:textId="0F11DB9E" w:rsidR="00443A47" w:rsidRPr="00116E55" w:rsidRDefault="00443A47" w:rsidP="00443A47">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0"/>
                <w:szCs w:val="20"/>
              </w:rPr>
            </w:pPr>
            <w:r w:rsidRPr="00116E55">
              <w:rPr>
                <w:rFonts w:asciiTheme="minorHAnsi" w:eastAsiaTheme="minorEastAsia" w:hAnsiTheme="minorHAnsi" w:cstheme="minorHAnsi"/>
                <w:sz w:val="20"/>
                <w:szCs w:val="20"/>
              </w:rPr>
              <w:t>Continuation of desalination order cost recovery mechanism.</w:t>
            </w:r>
            <w:r w:rsidR="00A1315F" w:rsidRPr="00116E55">
              <w:rPr>
                <w:rFonts w:asciiTheme="minorHAnsi" w:eastAsiaTheme="minorEastAsia" w:hAnsiTheme="minorHAnsi" w:cstheme="minorHAnsi"/>
                <w:sz w:val="20"/>
                <w:szCs w:val="20"/>
              </w:rPr>
              <w:t xml:space="preserve"> </w:t>
            </w:r>
          </w:p>
          <w:p w14:paraId="78B97862" w14:textId="77777777" w:rsidR="00C456EE" w:rsidRPr="00116E55" w:rsidRDefault="00C456EE" w:rsidP="00443A47">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0"/>
                <w:szCs w:val="20"/>
              </w:rPr>
            </w:pPr>
          </w:p>
          <w:p w14:paraId="70EFE3E3" w14:textId="064A0732" w:rsidR="007871B0" w:rsidRPr="00116E55" w:rsidRDefault="007871B0" w:rsidP="00443A47">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0"/>
                <w:szCs w:val="20"/>
              </w:rPr>
            </w:pPr>
          </w:p>
        </w:tc>
        <w:tc>
          <w:tcPr>
            <w:tcW w:w="3989" w:type="dxa"/>
            <w:shd w:val="clear" w:color="auto" w:fill="D4D6DF"/>
          </w:tcPr>
          <w:p w14:paraId="3E067466" w14:textId="6C50D278" w:rsidR="007871B0" w:rsidRPr="00116E55" w:rsidRDefault="00512473" w:rsidP="00865E3B">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0"/>
                <w:szCs w:val="20"/>
              </w:rPr>
            </w:pPr>
            <w:r w:rsidRPr="00116E55">
              <w:rPr>
                <w:rFonts w:asciiTheme="minorHAnsi" w:eastAsiaTheme="minorEastAsia" w:hAnsiTheme="minorHAnsi" w:cstheme="minorHAnsi"/>
                <w:sz w:val="20"/>
                <w:szCs w:val="20"/>
              </w:rPr>
              <w:lastRenderedPageBreak/>
              <w:t>South East Water</w:t>
            </w:r>
            <w:r w:rsidR="00E168E5" w:rsidRPr="00116E55">
              <w:rPr>
                <w:rFonts w:asciiTheme="minorHAnsi" w:eastAsiaTheme="minorEastAsia" w:hAnsiTheme="minorHAnsi" w:cstheme="minorHAnsi"/>
                <w:sz w:val="20"/>
                <w:szCs w:val="20"/>
              </w:rPr>
              <w:t xml:space="preserve"> to absorb revenue implications if customer consumption behaviour change</w:t>
            </w:r>
            <w:r w:rsidR="00F80A65" w:rsidRPr="00116E55">
              <w:rPr>
                <w:rFonts w:asciiTheme="minorHAnsi" w:eastAsiaTheme="minorEastAsia" w:hAnsiTheme="minorHAnsi" w:cstheme="minorHAnsi"/>
                <w:sz w:val="20"/>
                <w:szCs w:val="20"/>
              </w:rPr>
              <w:t xml:space="preserve">s supported through digital metering are greater than forecast. </w:t>
            </w:r>
          </w:p>
        </w:tc>
      </w:tr>
    </w:tbl>
    <w:p w14:paraId="662F52A6" w14:textId="5E7DF6E9" w:rsidR="007871B0" w:rsidRDefault="007871B0" w:rsidP="00865E3B">
      <w:pPr>
        <w:rPr>
          <w:rFonts w:eastAsiaTheme="minorEastAsia"/>
        </w:rPr>
        <w:sectPr w:rsidR="007871B0" w:rsidSect="007871B0">
          <w:pgSz w:w="16838" w:h="11906" w:orient="landscape"/>
          <w:pgMar w:top="1440" w:right="1440" w:bottom="1440" w:left="1440" w:header="709" w:footer="709" w:gutter="0"/>
          <w:cols w:space="708"/>
          <w:docGrid w:linePitch="360"/>
        </w:sectPr>
      </w:pPr>
    </w:p>
    <w:p w14:paraId="2ECDADAC" w14:textId="60903398" w:rsidR="00841FDF" w:rsidRDefault="00841FDF" w:rsidP="0009471D">
      <w:pPr>
        <w:pStyle w:val="Heading2"/>
      </w:pPr>
      <w:bookmarkStart w:id="54" w:name="_Toc103770929"/>
      <w:r>
        <w:lastRenderedPageBreak/>
        <w:t>5.</w:t>
      </w:r>
      <w:r w:rsidR="00304498">
        <w:t>3</w:t>
      </w:r>
      <w:r>
        <w:t xml:space="preserve"> PREMO summary </w:t>
      </w:r>
      <w:r w:rsidR="007D4EB3">
        <w:t>–</w:t>
      </w:r>
      <w:r>
        <w:t xml:space="preserve"> Risk</w:t>
      </w:r>
      <w:bookmarkEnd w:id="54"/>
    </w:p>
    <w:p w14:paraId="1506E3BC" w14:textId="51334A7E" w:rsidR="004278C4" w:rsidRDefault="00E0331E" w:rsidP="004278C4">
      <w:r>
        <w:rPr>
          <w:rFonts w:eastAsia="Arial" w:cs="Arial"/>
        </w:rPr>
        <w:t>Table 21</w:t>
      </w:r>
      <w:r w:rsidR="00116D90">
        <w:rPr>
          <w:rFonts w:eastAsia="Arial" w:cs="Arial"/>
        </w:rPr>
        <w:t xml:space="preserve"> </w:t>
      </w:r>
      <w:r w:rsidR="00CB36CE">
        <w:t>provides o</w:t>
      </w:r>
      <w:r w:rsidR="004278C4">
        <w:t>ur responses to the ESC</w:t>
      </w:r>
      <w:r w:rsidR="00612583">
        <w:t>’</w:t>
      </w:r>
      <w:r w:rsidR="004278C4">
        <w:t>s guiding questions for PREMO assessment in relation to the Risk element.</w:t>
      </w:r>
    </w:p>
    <w:p w14:paraId="0FBB80A0" w14:textId="2742297B" w:rsidR="00B22CB3" w:rsidRDefault="00B22CB3" w:rsidP="004278C4"/>
    <w:p w14:paraId="303E25BB" w14:textId="50A84D47" w:rsidR="00B22CB3" w:rsidRPr="00B22CB3" w:rsidRDefault="00B22CB3" w:rsidP="00B22CB3">
      <w:pPr>
        <w:pStyle w:val="Tabletitle"/>
        <w:spacing w:after="120"/>
        <w:rPr>
          <w:i/>
          <w:sz w:val="22"/>
          <w:szCs w:val="22"/>
        </w:rPr>
      </w:pPr>
      <w:r w:rsidRPr="00D75F40">
        <w:rPr>
          <w:i/>
          <w:sz w:val="22"/>
          <w:szCs w:val="22"/>
        </w:rPr>
        <w:t xml:space="preserve">Table </w:t>
      </w:r>
      <w:r w:rsidR="00E0331E" w:rsidRPr="00CE6C4E">
        <w:rPr>
          <w:b w:val="0"/>
          <w:bCs/>
          <w:i/>
          <w:iCs w:val="0"/>
          <w:sz w:val="22"/>
          <w:szCs w:val="22"/>
        </w:rPr>
        <w:fldChar w:fldCharType="begin"/>
      </w:r>
      <w:r w:rsidR="00E0331E" w:rsidRPr="00CE6C4E">
        <w:rPr>
          <w:bCs/>
          <w:i/>
          <w:iCs w:val="0"/>
          <w:sz w:val="22"/>
          <w:szCs w:val="22"/>
        </w:rPr>
        <w:instrText>SEQ Table \* ARABIC</w:instrText>
      </w:r>
      <w:r w:rsidR="00E0331E" w:rsidRPr="00CE6C4E">
        <w:rPr>
          <w:b w:val="0"/>
          <w:bCs/>
          <w:i/>
          <w:iCs w:val="0"/>
          <w:sz w:val="22"/>
          <w:szCs w:val="22"/>
        </w:rPr>
        <w:fldChar w:fldCharType="separate"/>
      </w:r>
      <w:r w:rsidR="00E0331E">
        <w:rPr>
          <w:bCs/>
          <w:i/>
          <w:iCs w:val="0"/>
          <w:noProof/>
          <w:sz w:val="22"/>
          <w:szCs w:val="22"/>
        </w:rPr>
        <w:t>21</w:t>
      </w:r>
      <w:r w:rsidR="00E0331E" w:rsidRPr="00CE6C4E">
        <w:rPr>
          <w:b w:val="0"/>
          <w:bCs/>
          <w:i/>
          <w:iCs w:val="0"/>
          <w:sz w:val="22"/>
          <w:szCs w:val="22"/>
        </w:rPr>
        <w:fldChar w:fldCharType="end"/>
      </w:r>
      <w:r w:rsidRPr="00D75F40">
        <w:rPr>
          <w:i/>
          <w:sz w:val="22"/>
          <w:szCs w:val="22"/>
        </w:rPr>
        <w:t xml:space="preserve">: </w:t>
      </w:r>
      <w:r>
        <w:rPr>
          <w:i/>
          <w:sz w:val="22"/>
          <w:szCs w:val="22"/>
        </w:rPr>
        <w:t>Responses to Risk guiding questions</w:t>
      </w:r>
    </w:p>
    <w:tbl>
      <w:tblPr>
        <w:tblStyle w:val="GridTable4-Accent2"/>
        <w:tblW w:w="4957" w:type="pct"/>
        <w:tblInd w:w="-10" w:type="dxa"/>
        <w:tblBorders>
          <w:top w:val="single" w:sz="4" w:space="0" w:color="002279"/>
          <w:left w:val="single" w:sz="4" w:space="0" w:color="002279"/>
          <w:bottom w:val="single" w:sz="4" w:space="0" w:color="002279"/>
          <w:right w:val="single" w:sz="4" w:space="0" w:color="002279"/>
          <w:insideH w:val="single" w:sz="4" w:space="0" w:color="002279"/>
          <w:insideV w:val="single" w:sz="4" w:space="0" w:color="002279"/>
        </w:tblBorders>
        <w:tblLook w:val="0620" w:firstRow="1" w:lastRow="0" w:firstColumn="0" w:lastColumn="0" w:noHBand="1" w:noVBand="1"/>
      </w:tblPr>
      <w:tblGrid>
        <w:gridCol w:w="3620"/>
        <w:gridCol w:w="5881"/>
      </w:tblGrid>
      <w:tr w:rsidR="002A4B0E" w:rsidRPr="00B15240" w14:paraId="0D679447" w14:textId="77777777" w:rsidTr="00B15240">
        <w:trPr>
          <w:cnfStyle w:val="100000000000" w:firstRow="1" w:lastRow="0" w:firstColumn="0" w:lastColumn="0" w:oddVBand="0" w:evenVBand="0" w:oddHBand="0" w:evenHBand="0" w:firstRowFirstColumn="0" w:firstRowLastColumn="0" w:lastRowFirstColumn="0" w:lastRowLastColumn="0"/>
          <w:trHeight w:val="380"/>
          <w:tblHeader/>
        </w:trPr>
        <w:tc>
          <w:tcPr>
            <w:tcW w:w="3621" w:type="dxa"/>
            <w:tcBorders>
              <w:top w:val="single" w:sz="4" w:space="0" w:color="002279"/>
              <w:left w:val="single" w:sz="4" w:space="0" w:color="002279"/>
              <w:bottom w:val="single" w:sz="4" w:space="0" w:color="002279"/>
              <w:right w:val="single" w:sz="4" w:space="0" w:color="FFFFFF" w:themeColor="background1"/>
            </w:tcBorders>
            <w:shd w:val="clear" w:color="auto" w:fill="002279"/>
          </w:tcPr>
          <w:p w14:paraId="1864C135" w14:textId="77777777" w:rsidR="00B03BDA" w:rsidRPr="00B15240" w:rsidRDefault="00B03BDA" w:rsidP="007349FD">
            <w:pPr>
              <w:pStyle w:val="TableHeading"/>
              <w:rPr>
                <w:rFonts w:ascii="Arial" w:hAnsi="Arial"/>
                <w:b/>
                <w:bCs/>
              </w:rPr>
            </w:pPr>
            <w:r w:rsidRPr="00B15240">
              <w:rPr>
                <w:b/>
                <w:bCs/>
              </w:rPr>
              <w:t>Guiding question</w:t>
            </w:r>
          </w:p>
        </w:tc>
        <w:tc>
          <w:tcPr>
            <w:tcW w:w="5884" w:type="dxa"/>
            <w:tcBorders>
              <w:top w:val="single" w:sz="4" w:space="0" w:color="002279"/>
              <w:left w:val="single" w:sz="4" w:space="0" w:color="FFFFFF" w:themeColor="background1"/>
              <w:bottom w:val="single" w:sz="4" w:space="0" w:color="002279"/>
              <w:right w:val="single" w:sz="4" w:space="0" w:color="002279"/>
            </w:tcBorders>
            <w:shd w:val="clear" w:color="auto" w:fill="002279"/>
          </w:tcPr>
          <w:p w14:paraId="6C54D476" w14:textId="77777777" w:rsidR="00B03BDA" w:rsidRPr="00B15240" w:rsidRDefault="00B03BDA" w:rsidP="007349FD">
            <w:pPr>
              <w:pStyle w:val="TableHeading"/>
              <w:rPr>
                <w:rFonts w:ascii="Arial" w:hAnsi="Arial"/>
                <w:b/>
                <w:bCs/>
              </w:rPr>
            </w:pPr>
            <w:r w:rsidRPr="00B15240">
              <w:rPr>
                <w:b/>
                <w:bCs/>
              </w:rPr>
              <w:t>Response</w:t>
            </w:r>
          </w:p>
        </w:tc>
      </w:tr>
      <w:tr w:rsidR="00A7554B" w:rsidRPr="00B052BE" w14:paraId="416B079D" w14:textId="77777777" w:rsidTr="005F1841">
        <w:trPr>
          <w:trHeight w:val="1897"/>
        </w:trPr>
        <w:tc>
          <w:tcPr>
            <w:tcW w:w="3621" w:type="dxa"/>
            <w:tcBorders>
              <w:top w:val="single" w:sz="4" w:space="0" w:color="002279"/>
            </w:tcBorders>
            <w:shd w:val="clear" w:color="auto" w:fill="D4D6DF"/>
            <w:vAlign w:val="top"/>
          </w:tcPr>
          <w:p w14:paraId="59B0205D" w14:textId="2B1E102C" w:rsidR="00B03BDA" w:rsidRPr="00116E55" w:rsidRDefault="001121D8" w:rsidP="00833AC8">
            <w:pPr>
              <w:pStyle w:val="Default"/>
              <w:rPr>
                <w:sz w:val="20"/>
                <w:szCs w:val="20"/>
              </w:rPr>
            </w:pPr>
            <w:r w:rsidRPr="00116E55">
              <w:rPr>
                <w:i/>
                <w:sz w:val="20"/>
                <w:szCs w:val="20"/>
              </w:rPr>
              <w:t xml:space="preserve">To what extent has the </w:t>
            </w:r>
            <w:r w:rsidR="0088688D" w:rsidRPr="00116E55">
              <w:rPr>
                <w:i/>
                <w:sz w:val="20"/>
                <w:szCs w:val="20"/>
              </w:rPr>
              <w:t>organisation</w:t>
            </w:r>
            <w:r w:rsidRPr="00116E55">
              <w:rPr>
                <w:i/>
                <w:sz w:val="20"/>
                <w:szCs w:val="20"/>
              </w:rPr>
              <w:t xml:space="preserve"> demonstrated a robust process for identifying risk, and how it has decided who should bear these risks? </w:t>
            </w:r>
            <w:r w:rsidR="00F31F9F" w:rsidRPr="00116E55">
              <w:rPr>
                <w:i/>
                <w:sz w:val="20"/>
                <w:szCs w:val="20"/>
              </w:rPr>
              <w:t>T</w:t>
            </w:r>
            <w:r w:rsidR="00960122" w:rsidRPr="00116E55">
              <w:rPr>
                <w:i/>
                <w:sz w:val="20"/>
                <w:szCs w:val="20"/>
              </w:rPr>
              <w:t xml:space="preserve">hat is, </w:t>
            </w:r>
            <w:r w:rsidRPr="00116E55">
              <w:rPr>
                <w:i/>
                <w:sz w:val="20"/>
                <w:szCs w:val="20"/>
              </w:rPr>
              <w:t>such that customers are not paying more than they need to</w:t>
            </w:r>
            <w:r w:rsidRPr="00116E55">
              <w:rPr>
                <w:sz w:val="20"/>
                <w:szCs w:val="20"/>
              </w:rPr>
              <w:t>.</w:t>
            </w:r>
          </w:p>
        </w:tc>
        <w:tc>
          <w:tcPr>
            <w:tcW w:w="5884" w:type="dxa"/>
            <w:tcBorders>
              <w:top w:val="single" w:sz="4" w:space="0" w:color="002279"/>
            </w:tcBorders>
            <w:shd w:val="clear" w:color="auto" w:fill="D4D6DF"/>
            <w:vAlign w:val="top"/>
          </w:tcPr>
          <w:p w14:paraId="115F9C4C" w14:textId="47E8C412" w:rsidR="00F45C4D" w:rsidRPr="00116E55" w:rsidRDefault="00F45C4D" w:rsidP="00F45C4D">
            <w:pPr>
              <w:textAlignment w:val="baseline"/>
              <w:rPr>
                <w:rFonts w:eastAsia="Times New Roman" w:cs="Arial"/>
                <w:sz w:val="20"/>
                <w:szCs w:val="20"/>
                <w:lang w:eastAsia="en-AU"/>
              </w:rPr>
            </w:pPr>
            <w:r w:rsidRPr="00116E55">
              <w:rPr>
                <w:rFonts w:eastAsia="Times New Roman" w:cs="Arial"/>
                <w:sz w:val="20"/>
                <w:szCs w:val="20"/>
                <w:lang w:eastAsia="en-AU"/>
              </w:rPr>
              <w:t>Our enterprise risk management framework is embedded across all our processes and is aligned to AS/NZS 31000 and the requirements of the VGRMF.</w:t>
            </w:r>
            <w:r w:rsidR="00A1315F" w:rsidRPr="00116E55">
              <w:rPr>
                <w:rFonts w:eastAsia="Times New Roman" w:cs="Arial"/>
                <w:sz w:val="20"/>
                <w:szCs w:val="20"/>
                <w:lang w:eastAsia="en-AU"/>
              </w:rPr>
              <w:t xml:space="preserve"> </w:t>
            </w:r>
          </w:p>
          <w:p w14:paraId="54D66EF1" w14:textId="36D0AC36" w:rsidR="00B03BDA" w:rsidRPr="00116E55" w:rsidRDefault="00F45C4D" w:rsidP="00DE75A2">
            <w:pPr>
              <w:textAlignment w:val="baseline"/>
              <w:rPr>
                <w:rFonts w:ascii="Segoe UI" w:eastAsia="Times New Roman" w:hAnsi="Segoe UI" w:cs="Segoe UI"/>
                <w:sz w:val="20"/>
                <w:szCs w:val="20"/>
                <w:lang w:eastAsia="en-AU"/>
              </w:rPr>
            </w:pPr>
            <w:r w:rsidRPr="00116E55">
              <w:rPr>
                <w:rFonts w:eastAsia="Times New Roman" w:cs="Arial"/>
                <w:sz w:val="20"/>
                <w:szCs w:val="20"/>
                <w:lang w:eastAsia="en-AU"/>
              </w:rPr>
              <w:t xml:space="preserve">We also developed a specific risk framework for this price submission that builds on our risk management framework and </w:t>
            </w:r>
            <w:r w:rsidR="00740772" w:rsidRPr="00116E55">
              <w:rPr>
                <w:rFonts w:eastAsia="Times New Roman" w:cs="Arial"/>
                <w:sz w:val="20"/>
                <w:szCs w:val="20"/>
                <w:lang w:eastAsia="en-AU"/>
              </w:rPr>
              <w:t>is</w:t>
            </w:r>
            <w:r w:rsidRPr="00116E55">
              <w:rPr>
                <w:rFonts w:eastAsia="Times New Roman" w:cs="Arial"/>
                <w:sz w:val="20"/>
                <w:szCs w:val="20"/>
                <w:lang w:eastAsia="en-AU"/>
              </w:rPr>
              <w:t xml:space="preserve"> guided by our risk appetite</w:t>
            </w:r>
            <w:r w:rsidR="00236C80" w:rsidRPr="00116E55">
              <w:rPr>
                <w:rFonts w:eastAsia="Times New Roman" w:cs="Arial"/>
                <w:sz w:val="20"/>
                <w:szCs w:val="20"/>
                <w:lang w:eastAsia="en-AU"/>
              </w:rPr>
              <w:t xml:space="preserve">. This provides the </w:t>
            </w:r>
            <w:r w:rsidRPr="00116E55">
              <w:rPr>
                <w:rFonts w:eastAsia="Times New Roman" w:cs="Arial"/>
                <w:sz w:val="20"/>
                <w:szCs w:val="20"/>
                <w:lang w:eastAsia="en-AU"/>
              </w:rPr>
              <w:t xml:space="preserve">principles and approach </w:t>
            </w:r>
            <w:r w:rsidR="00236C80" w:rsidRPr="00116E55">
              <w:rPr>
                <w:rFonts w:eastAsia="Times New Roman" w:cs="Arial"/>
                <w:sz w:val="20"/>
                <w:szCs w:val="20"/>
                <w:lang w:eastAsia="en-AU"/>
              </w:rPr>
              <w:t>underpinning</w:t>
            </w:r>
            <w:r w:rsidRPr="00116E55">
              <w:rPr>
                <w:rFonts w:eastAsia="Times New Roman" w:cs="Arial"/>
                <w:sz w:val="20"/>
                <w:szCs w:val="20"/>
                <w:lang w:eastAsia="en-AU"/>
              </w:rPr>
              <w:t xml:space="preserve"> the Risk component of PREMO. </w:t>
            </w:r>
          </w:p>
        </w:tc>
      </w:tr>
      <w:tr w:rsidR="00EF141C" w:rsidRPr="00B052BE" w14:paraId="027BA587" w14:textId="77777777" w:rsidTr="00D16407">
        <w:tc>
          <w:tcPr>
            <w:tcW w:w="3621" w:type="dxa"/>
            <w:vAlign w:val="top"/>
          </w:tcPr>
          <w:p w14:paraId="420FF9BC" w14:textId="73E7A3F2" w:rsidR="00B03BDA" w:rsidRPr="00116E55" w:rsidRDefault="001121D8" w:rsidP="00833AC8">
            <w:pPr>
              <w:pStyle w:val="TableText"/>
              <w:rPr>
                <w:i/>
                <w:sz w:val="20"/>
                <w:szCs w:val="20"/>
              </w:rPr>
            </w:pPr>
            <w:r w:rsidRPr="00116E55">
              <w:rPr>
                <w:i/>
                <w:sz w:val="20"/>
                <w:szCs w:val="20"/>
              </w:rPr>
              <w:t xml:space="preserve">To what extent does the proposed </w:t>
            </w:r>
            <w:r w:rsidR="00C85A24" w:rsidRPr="00116E55">
              <w:rPr>
                <w:i/>
                <w:sz w:val="20"/>
                <w:szCs w:val="20"/>
              </w:rPr>
              <w:t>G</w:t>
            </w:r>
            <w:r w:rsidRPr="00116E55">
              <w:rPr>
                <w:i/>
                <w:sz w:val="20"/>
                <w:szCs w:val="20"/>
              </w:rPr>
              <w:t xml:space="preserve">uaranteed </w:t>
            </w:r>
            <w:r w:rsidR="00C85A24" w:rsidRPr="00116E55">
              <w:rPr>
                <w:i/>
                <w:sz w:val="20"/>
                <w:szCs w:val="20"/>
              </w:rPr>
              <w:t>S</w:t>
            </w:r>
            <w:r w:rsidRPr="00116E55">
              <w:rPr>
                <w:i/>
                <w:sz w:val="20"/>
                <w:szCs w:val="20"/>
              </w:rPr>
              <w:t xml:space="preserve">ervice </w:t>
            </w:r>
            <w:r w:rsidR="00C85A24" w:rsidRPr="00116E55">
              <w:rPr>
                <w:i/>
                <w:sz w:val="20"/>
                <w:szCs w:val="20"/>
              </w:rPr>
              <w:t>L</w:t>
            </w:r>
            <w:r w:rsidRPr="00116E55">
              <w:rPr>
                <w:i/>
                <w:sz w:val="20"/>
                <w:szCs w:val="20"/>
              </w:rPr>
              <w:t>evel</w:t>
            </w:r>
            <w:r w:rsidR="00C85A24" w:rsidRPr="00116E55">
              <w:rPr>
                <w:i/>
                <w:sz w:val="20"/>
                <w:szCs w:val="20"/>
              </w:rPr>
              <w:t>s</w:t>
            </w:r>
            <w:r w:rsidRPr="00116E55">
              <w:rPr>
                <w:i/>
                <w:sz w:val="20"/>
                <w:szCs w:val="20"/>
              </w:rPr>
              <w:t xml:space="preserve"> (GSL) scheme provide incentives for the </w:t>
            </w:r>
            <w:r w:rsidR="0088688D" w:rsidRPr="00116E55">
              <w:rPr>
                <w:i/>
                <w:sz w:val="20"/>
                <w:szCs w:val="20"/>
              </w:rPr>
              <w:t>organisation</w:t>
            </w:r>
            <w:r w:rsidRPr="00116E55">
              <w:rPr>
                <w:i/>
                <w:sz w:val="20"/>
                <w:szCs w:val="20"/>
              </w:rPr>
              <w:t xml:space="preserve"> to be accountable for the quality of services delivered, and provide incentives to deliver valued services efficiently?</w:t>
            </w:r>
          </w:p>
        </w:tc>
        <w:tc>
          <w:tcPr>
            <w:tcW w:w="5884" w:type="dxa"/>
            <w:vAlign w:val="top"/>
          </w:tcPr>
          <w:p w14:paraId="117A1B58" w14:textId="77777777" w:rsidR="008913D6" w:rsidRPr="00116E55" w:rsidRDefault="0092233F" w:rsidP="00833AC8">
            <w:pPr>
              <w:pStyle w:val="TableText"/>
              <w:rPr>
                <w:rStyle w:val="normaltextrun"/>
                <w:rFonts w:cs="Arial"/>
                <w:sz w:val="20"/>
                <w:szCs w:val="20"/>
                <w:shd w:val="clear" w:color="auto" w:fill="FFFFFF"/>
              </w:rPr>
            </w:pPr>
            <w:r w:rsidRPr="00116E55">
              <w:rPr>
                <w:rStyle w:val="normaltextrun"/>
                <w:rFonts w:cs="Arial"/>
                <w:sz w:val="20"/>
                <w:szCs w:val="20"/>
                <w:shd w:val="clear" w:color="auto" w:fill="FFFFFF"/>
              </w:rPr>
              <w:t>Our proposed GSL scheme places financial accountability onto South East Water</w:t>
            </w:r>
            <w:r w:rsidR="00DA2D29" w:rsidRPr="00116E55">
              <w:rPr>
                <w:rStyle w:val="normaltextrun"/>
                <w:rFonts w:cs="Arial"/>
                <w:sz w:val="20"/>
                <w:szCs w:val="20"/>
                <w:shd w:val="clear" w:color="auto" w:fill="FFFFFF"/>
              </w:rPr>
              <w:t>.</w:t>
            </w:r>
          </w:p>
          <w:p w14:paraId="3C1BE19C" w14:textId="77777777" w:rsidR="00FD30AF" w:rsidRPr="00116E55" w:rsidRDefault="00FD30AF" w:rsidP="00833AC8">
            <w:pPr>
              <w:pStyle w:val="TableText"/>
              <w:rPr>
                <w:rStyle w:val="normaltextrun"/>
                <w:rFonts w:cs="Arial"/>
                <w:sz w:val="20"/>
                <w:szCs w:val="20"/>
                <w:shd w:val="clear" w:color="auto" w:fill="FFFFFF"/>
              </w:rPr>
            </w:pPr>
          </w:p>
          <w:p w14:paraId="79EC8A1E" w14:textId="754FAB6A" w:rsidR="00B03BDA" w:rsidRPr="00116E55" w:rsidRDefault="008913D6" w:rsidP="00833AC8">
            <w:pPr>
              <w:pStyle w:val="TableText"/>
              <w:rPr>
                <w:sz w:val="20"/>
                <w:szCs w:val="20"/>
              </w:rPr>
            </w:pPr>
            <w:r w:rsidRPr="00116E55">
              <w:rPr>
                <w:rStyle w:val="normaltextrun"/>
                <w:rFonts w:cs="Arial"/>
                <w:sz w:val="20"/>
                <w:szCs w:val="20"/>
                <w:shd w:val="clear" w:color="auto" w:fill="FFFFFF"/>
              </w:rPr>
              <w:t>South East Water</w:t>
            </w:r>
            <w:r w:rsidR="0092233F" w:rsidRPr="00116E55">
              <w:rPr>
                <w:rStyle w:val="normaltextrun"/>
                <w:rFonts w:cs="Arial"/>
                <w:sz w:val="20"/>
                <w:szCs w:val="20"/>
                <w:shd w:val="clear" w:color="auto" w:fill="FFFFFF"/>
              </w:rPr>
              <w:t xml:space="preserve"> will not recover </w:t>
            </w:r>
            <w:r w:rsidR="00FD30AF" w:rsidRPr="00116E55">
              <w:rPr>
                <w:rStyle w:val="normaltextrun"/>
                <w:rFonts w:cs="Arial"/>
                <w:sz w:val="20"/>
                <w:szCs w:val="20"/>
                <w:shd w:val="clear" w:color="auto" w:fill="FFFFFF"/>
              </w:rPr>
              <w:t>GSL</w:t>
            </w:r>
            <w:r w:rsidR="0092233F" w:rsidRPr="00116E55">
              <w:rPr>
                <w:rStyle w:val="normaltextrun"/>
                <w:rFonts w:cs="Arial"/>
                <w:sz w:val="20"/>
                <w:szCs w:val="20"/>
                <w:shd w:val="clear" w:color="auto" w:fill="FFFFFF"/>
              </w:rPr>
              <w:t xml:space="preserve"> costs from customers.</w:t>
            </w:r>
          </w:p>
        </w:tc>
      </w:tr>
    </w:tbl>
    <w:p w14:paraId="10234E21" w14:textId="77777777" w:rsidR="00B03BDA" w:rsidRDefault="00B03BDA" w:rsidP="00841FDF"/>
    <w:p w14:paraId="7BF245CE" w14:textId="188961A5" w:rsidR="00B03BDA" w:rsidRPr="00B175DF" w:rsidRDefault="00B03BDA" w:rsidP="00841FDF">
      <w:pPr>
        <w:rPr>
          <w:iCs/>
        </w:rPr>
      </w:pPr>
      <w:r>
        <w:t xml:space="preserve">Based on this assessment, </w:t>
      </w:r>
      <w:r w:rsidR="0073240D">
        <w:t>our</w:t>
      </w:r>
      <w:r w:rsidRPr="00B03BDA">
        <w:t xml:space="preserve"> PREMO </w:t>
      </w:r>
      <w:r w:rsidRPr="00B175DF">
        <w:rPr>
          <w:b/>
          <w:iCs/>
        </w:rPr>
        <w:t xml:space="preserve">self-assessed rating for Risk is </w:t>
      </w:r>
      <w:r w:rsidR="00612583">
        <w:rPr>
          <w:b/>
          <w:bCs/>
          <w:iCs/>
        </w:rPr>
        <w:t>‘</w:t>
      </w:r>
      <w:r w:rsidRPr="009C43A0">
        <w:rPr>
          <w:b/>
          <w:i/>
        </w:rPr>
        <w:t>Advanced</w:t>
      </w:r>
      <w:r w:rsidR="00F31F9F">
        <w:rPr>
          <w:b/>
          <w:bCs/>
          <w:iCs/>
        </w:rPr>
        <w:t>’</w:t>
      </w:r>
      <w:r w:rsidR="009D14F5" w:rsidRPr="00B175DF">
        <w:rPr>
          <w:iCs/>
        </w:rPr>
        <w:t xml:space="preserve">. </w:t>
      </w:r>
    </w:p>
    <w:p w14:paraId="234492E8" w14:textId="1167A2C8" w:rsidR="0009471D" w:rsidRDefault="0009471D" w:rsidP="00841FDF">
      <w:r>
        <w:rPr>
          <w:noProof/>
        </w:rPr>
        <mc:AlternateContent>
          <mc:Choice Requires="wps">
            <w:drawing>
              <wp:anchor distT="45720" distB="45720" distL="114300" distR="114300" simplePos="0" relativeHeight="251658273" behindDoc="0" locked="0" layoutInCell="1" allowOverlap="1" wp14:anchorId="11DC817E" wp14:editId="41225307">
                <wp:simplePos x="0" y="0"/>
                <wp:positionH relativeFrom="column">
                  <wp:posOffset>1270</wp:posOffset>
                </wp:positionH>
                <wp:positionV relativeFrom="paragraph">
                  <wp:posOffset>229870</wp:posOffset>
                </wp:positionV>
                <wp:extent cx="6059805" cy="1657985"/>
                <wp:effectExtent l="0" t="0" r="0" b="5715"/>
                <wp:wrapSquare wrapText="bothSides"/>
                <wp:docPr id="1005" name="Text Box 1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9805" cy="1657985"/>
                        </a:xfrm>
                        <a:prstGeom prst="rect">
                          <a:avLst/>
                        </a:prstGeom>
                        <a:solidFill>
                          <a:srgbClr val="FF8D00"/>
                        </a:solidFill>
                        <a:ln w="9525">
                          <a:noFill/>
                          <a:miter lim="800000"/>
                          <a:headEnd/>
                          <a:tailEnd/>
                        </a:ln>
                      </wps:spPr>
                      <wps:txbx>
                        <w:txbxContent>
                          <w:p w14:paraId="664E972C" w14:textId="1B7D70A1" w:rsidR="0009471D" w:rsidRPr="00116E55" w:rsidRDefault="0009471D" w:rsidP="00116E55">
                            <w:pPr>
                              <w:pStyle w:val="Heading3"/>
                              <w:spacing w:before="0" w:after="240"/>
                              <w:rPr>
                                <w:color w:val="FFFFFF" w:themeColor="background1"/>
                                <w:sz w:val="24"/>
                              </w:rPr>
                            </w:pPr>
                            <w:r>
                              <w:rPr>
                                <w:color w:val="FFFFFF" w:themeColor="background1"/>
                                <w:sz w:val="24"/>
                              </w:rPr>
                              <w:t>Supporting documents</w:t>
                            </w:r>
                          </w:p>
                          <w:p w14:paraId="3F84FD0C" w14:textId="55337429" w:rsidR="0009471D" w:rsidRPr="00D54179" w:rsidRDefault="0009471D" w:rsidP="00116E55">
                            <w:pPr>
                              <w:pStyle w:val="ListParagraph"/>
                              <w:ind w:left="426"/>
                              <w:rPr>
                                <w:rFonts w:asciiTheme="minorHAnsi" w:hAnsiTheme="minorHAnsi"/>
                                <w:b/>
                                <w:color w:val="FFFFFF" w:themeColor="background1"/>
                                <w:sz w:val="22"/>
                                <w:szCs w:val="22"/>
                              </w:rPr>
                            </w:pPr>
                            <w:r w:rsidRPr="00D54179">
                              <w:rPr>
                                <w:rFonts w:asciiTheme="minorHAnsi" w:hAnsiTheme="minorHAnsi"/>
                                <w:b/>
                                <w:color w:val="FFFFFF" w:themeColor="background1"/>
                                <w:sz w:val="22"/>
                                <w:szCs w:val="22"/>
                              </w:rPr>
                              <w:t>Risk management process (Appendix 4)</w:t>
                            </w:r>
                          </w:p>
                          <w:p w14:paraId="6BEC9604" w14:textId="77777777" w:rsidR="0009471D" w:rsidRPr="00D54179" w:rsidRDefault="0009471D" w:rsidP="00116E55">
                            <w:pPr>
                              <w:pStyle w:val="ListParagraph"/>
                              <w:ind w:left="426"/>
                              <w:rPr>
                                <w:rFonts w:asciiTheme="minorHAnsi" w:hAnsiTheme="minorHAnsi"/>
                                <w:b/>
                                <w:color w:val="FFFFFF" w:themeColor="background1"/>
                                <w:sz w:val="22"/>
                                <w:szCs w:val="22"/>
                              </w:rPr>
                            </w:pPr>
                            <w:r w:rsidRPr="00D54179">
                              <w:rPr>
                                <w:rFonts w:asciiTheme="minorHAnsi" w:hAnsiTheme="minorHAnsi"/>
                                <w:b/>
                                <w:color w:val="FFFFFF" w:themeColor="background1"/>
                                <w:sz w:val="22"/>
                                <w:szCs w:val="22"/>
                              </w:rPr>
                              <w:t>BS1026 Risk Management Framework</w:t>
                            </w:r>
                          </w:p>
                          <w:p w14:paraId="6E43FD6E" w14:textId="77777777" w:rsidR="0009471D" w:rsidRPr="00D54179" w:rsidRDefault="0009471D" w:rsidP="00116E55">
                            <w:pPr>
                              <w:pStyle w:val="ListParagraph"/>
                              <w:ind w:left="426"/>
                              <w:rPr>
                                <w:rFonts w:asciiTheme="minorHAnsi" w:hAnsiTheme="minorHAnsi"/>
                                <w:b/>
                                <w:color w:val="FFFFFF" w:themeColor="background1"/>
                                <w:sz w:val="22"/>
                                <w:szCs w:val="22"/>
                              </w:rPr>
                            </w:pPr>
                            <w:r w:rsidRPr="00D54179">
                              <w:rPr>
                                <w:rFonts w:asciiTheme="minorHAnsi" w:hAnsiTheme="minorHAnsi"/>
                                <w:b/>
                                <w:color w:val="FFFFFF" w:themeColor="background1"/>
                                <w:sz w:val="22"/>
                                <w:szCs w:val="22"/>
                              </w:rPr>
                              <w:t>BS2808 Risk Appetite Framework</w:t>
                            </w:r>
                          </w:p>
                          <w:p w14:paraId="415E470B" w14:textId="77777777" w:rsidR="0009471D" w:rsidRPr="00D54179" w:rsidRDefault="0009471D" w:rsidP="00116E55">
                            <w:pPr>
                              <w:pStyle w:val="ListParagraph"/>
                              <w:ind w:left="426"/>
                              <w:rPr>
                                <w:rFonts w:asciiTheme="minorHAnsi" w:hAnsiTheme="minorHAnsi"/>
                                <w:b/>
                                <w:color w:val="FFFFFF" w:themeColor="background1"/>
                                <w:sz w:val="22"/>
                                <w:szCs w:val="22"/>
                              </w:rPr>
                            </w:pPr>
                            <w:r w:rsidRPr="00D54179">
                              <w:rPr>
                                <w:rFonts w:asciiTheme="minorHAnsi" w:hAnsiTheme="minorHAnsi"/>
                                <w:b/>
                                <w:color w:val="FFFFFF" w:themeColor="background1"/>
                                <w:sz w:val="22"/>
                                <w:szCs w:val="22"/>
                              </w:rPr>
                              <w:t>Price submission risk framework</w:t>
                            </w:r>
                          </w:p>
                          <w:p w14:paraId="58D841FE" w14:textId="22694FA1" w:rsidR="0009471D" w:rsidRPr="00D54179" w:rsidRDefault="0009471D" w:rsidP="00D54179">
                            <w:pPr>
                              <w:rPr>
                                <w:rFonts w:asciiTheme="minorHAnsi" w:hAnsiTheme="minorHAnsi"/>
                                <w:b/>
                                <w:color w:val="FFFFFF" w:themeColor="background1"/>
                                <w:sz w:val="22"/>
                                <w:szCs w:val="22"/>
                              </w:rPr>
                            </w:pPr>
                          </w:p>
                          <w:p w14:paraId="7C1893E0" w14:textId="49EB9838" w:rsidR="0009471D" w:rsidRPr="00116E55" w:rsidRDefault="0009471D" w:rsidP="00116E55"/>
                        </w:txbxContent>
                      </wps:txbx>
                      <wps:bodyPr rot="0" vert="horz" wrap="square" lIns="180000" tIns="180000" rIns="180000" bIns="180000" anchor="t" anchorCtr="0">
                        <a:noAutofit/>
                      </wps:bodyPr>
                    </wps:wsp>
                  </a:graphicData>
                </a:graphic>
                <wp14:sizeRelH relativeFrom="margin">
                  <wp14:pctWidth>0</wp14:pctWidth>
                </wp14:sizeRelH>
                <wp14:sizeRelV relativeFrom="margin">
                  <wp14:pctHeight>0</wp14:pctHeight>
                </wp14:sizeRelV>
              </wp:anchor>
            </w:drawing>
          </mc:Choice>
          <mc:Fallback>
            <w:pict>
              <v:shape w14:anchorId="11DC817E" id="Text Box 1005" o:spid="_x0000_s1051" type="#_x0000_t202" style="position:absolute;margin-left:.1pt;margin-top:18.1pt;width:477.15pt;height:130.55pt;z-index:25165827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" fillcolor="#ff8d00" stroked="f">
                <v:textbox inset="5mm,5mm,5mm,5mm">
                  <w:txbxContent>
                    <w:p w14:paraId="664E972C" w14:textId="1B7D70A1" w:rsidR="0009471D" w:rsidRPr="00116E55" w:rsidRDefault="0009471D" w:rsidP="00116E55">
                      <w:pPr>
                        <w:pStyle w:val="Heading3"/>
                        <w:spacing w:before="0" w:after="240"/>
                        <w:rPr>
                          <w:color w:val="FFFFFF" w:themeColor="background1"/>
                          <w:sz w:val="24"/>
                        </w:rPr>
                      </w:pPr>
                      <w:r>
                        <w:rPr>
                          <w:color w:val="FFFFFF" w:themeColor="background1"/>
                          <w:sz w:val="24"/>
                        </w:rPr>
                        <w:t>Supporting documents</w:t>
                      </w:r>
                    </w:p>
                    <w:p w14:paraId="3F84FD0C" w14:textId="55337429" w:rsidR="0009471D" w:rsidRPr="00D54179" w:rsidRDefault="0009471D" w:rsidP="00116E55">
                      <w:pPr>
                        <w:pStyle w:val="ListParagraph"/>
                        <w:ind w:left="426"/>
                        <w:rPr>
                          <w:rFonts w:asciiTheme="minorHAnsi" w:hAnsiTheme="minorHAnsi"/>
                          <w:b/>
                          <w:color w:val="FFFFFF" w:themeColor="background1"/>
                          <w:sz w:val="22"/>
                          <w:szCs w:val="22"/>
                        </w:rPr>
                      </w:pPr>
                      <w:r w:rsidRPr="00D54179">
                        <w:rPr>
                          <w:rFonts w:asciiTheme="minorHAnsi" w:hAnsiTheme="minorHAnsi"/>
                          <w:b/>
                          <w:color w:val="FFFFFF" w:themeColor="background1"/>
                          <w:sz w:val="22"/>
                          <w:szCs w:val="22"/>
                        </w:rPr>
                        <w:t>Risk management process (Appendix 4)</w:t>
                      </w:r>
                    </w:p>
                    <w:p w14:paraId="6BEC9604" w14:textId="77777777" w:rsidR="0009471D" w:rsidRPr="00D54179" w:rsidRDefault="0009471D" w:rsidP="00116E55">
                      <w:pPr>
                        <w:pStyle w:val="ListParagraph"/>
                        <w:ind w:left="426"/>
                        <w:rPr>
                          <w:rFonts w:asciiTheme="minorHAnsi" w:hAnsiTheme="minorHAnsi"/>
                          <w:b/>
                          <w:color w:val="FFFFFF" w:themeColor="background1"/>
                          <w:sz w:val="22"/>
                          <w:szCs w:val="22"/>
                        </w:rPr>
                      </w:pPr>
                      <w:r w:rsidRPr="00D54179">
                        <w:rPr>
                          <w:rFonts w:asciiTheme="minorHAnsi" w:hAnsiTheme="minorHAnsi"/>
                          <w:b/>
                          <w:color w:val="FFFFFF" w:themeColor="background1"/>
                          <w:sz w:val="22"/>
                          <w:szCs w:val="22"/>
                        </w:rPr>
                        <w:t>BS1026 Risk Management Framework</w:t>
                      </w:r>
                    </w:p>
                    <w:p w14:paraId="6E43FD6E" w14:textId="77777777" w:rsidR="0009471D" w:rsidRPr="00D54179" w:rsidRDefault="0009471D" w:rsidP="00116E55">
                      <w:pPr>
                        <w:pStyle w:val="ListParagraph"/>
                        <w:ind w:left="426"/>
                        <w:rPr>
                          <w:rFonts w:asciiTheme="minorHAnsi" w:hAnsiTheme="minorHAnsi"/>
                          <w:b/>
                          <w:color w:val="FFFFFF" w:themeColor="background1"/>
                          <w:sz w:val="22"/>
                          <w:szCs w:val="22"/>
                        </w:rPr>
                      </w:pPr>
                      <w:r w:rsidRPr="00D54179">
                        <w:rPr>
                          <w:rFonts w:asciiTheme="minorHAnsi" w:hAnsiTheme="minorHAnsi"/>
                          <w:b/>
                          <w:color w:val="FFFFFF" w:themeColor="background1"/>
                          <w:sz w:val="22"/>
                          <w:szCs w:val="22"/>
                        </w:rPr>
                        <w:t>BS2808 Risk Appetite Framework</w:t>
                      </w:r>
                    </w:p>
                    <w:p w14:paraId="415E470B" w14:textId="77777777" w:rsidR="0009471D" w:rsidRPr="00D54179" w:rsidRDefault="0009471D" w:rsidP="00116E55">
                      <w:pPr>
                        <w:pStyle w:val="ListParagraph"/>
                        <w:ind w:left="426"/>
                        <w:rPr>
                          <w:rFonts w:asciiTheme="minorHAnsi" w:hAnsiTheme="minorHAnsi"/>
                          <w:b/>
                          <w:color w:val="FFFFFF" w:themeColor="background1"/>
                          <w:sz w:val="22"/>
                          <w:szCs w:val="22"/>
                        </w:rPr>
                      </w:pPr>
                      <w:r w:rsidRPr="00D54179">
                        <w:rPr>
                          <w:rFonts w:asciiTheme="minorHAnsi" w:hAnsiTheme="minorHAnsi"/>
                          <w:b/>
                          <w:color w:val="FFFFFF" w:themeColor="background1"/>
                          <w:sz w:val="22"/>
                          <w:szCs w:val="22"/>
                        </w:rPr>
                        <w:t>Price submission risk framework</w:t>
                      </w:r>
                    </w:p>
                    <w:p w14:paraId="58D841FE" w14:textId="22694FA1" w:rsidR="0009471D" w:rsidRPr="00D54179" w:rsidRDefault="0009471D" w:rsidP="00D54179">
                      <w:pPr>
                        <w:rPr>
                          <w:rFonts w:asciiTheme="minorHAnsi" w:hAnsiTheme="minorHAnsi"/>
                          <w:b/>
                          <w:color w:val="FFFFFF" w:themeColor="background1"/>
                          <w:sz w:val="22"/>
                          <w:szCs w:val="22"/>
                        </w:rPr>
                      </w:pPr>
                    </w:p>
                    <w:p w14:paraId="7C1893E0" w14:textId="49EB9838" w:rsidR="0009471D" w:rsidRPr="00116E55" w:rsidRDefault="0009471D" w:rsidP="00116E55"/>
                  </w:txbxContent>
                </v:textbox>
                <w10:wrap type="square"/>
              </v:shape>
            </w:pict>
          </mc:Fallback>
        </mc:AlternateContent>
      </w:r>
    </w:p>
    <w:p w14:paraId="2D1221A5" w14:textId="4A52C135" w:rsidR="0009471D" w:rsidRDefault="0009471D" w:rsidP="00841FDF"/>
    <w:p w14:paraId="238C75F4" w14:textId="158B9A7A" w:rsidR="00841FDF" w:rsidRDefault="00841FDF" w:rsidP="00841FDF"/>
    <w:p w14:paraId="5E95DCA4" w14:textId="6F910281" w:rsidR="00841FDF" w:rsidRDefault="00841FDF" w:rsidP="00841FDF"/>
    <w:p w14:paraId="40898504" w14:textId="28E37C2F" w:rsidR="00841FDF" w:rsidRDefault="00841FDF">
      <w:r>
        <w:br w:type="page"/>
      </w:r>
    </w:p>
    <w:bookmarkStart w:id="55" w:name="_6._Forecast_capital"/>
    <w:bookmarkStart w:id="56" w:name="_Toc114644618"/>
    <w:bookmarkEnd w:id="55"/>
    <w:p w14:paraId="3A1FD5F1" w14:textId="0F6EDFDC" w:rsidR="00841FDF" w:rsidRDefault="00C5463E" w:rsidP="00D11C2D">
      <w:pPr>
        <w:pStyle w:val="Heading1"/>
      </w:pPr>
      <w:r>
        <w:lastRenderedPageBreak/>
        <mc:AlternateContent>
          <mc:Choice Requires="wps">
            <w:drawing>
              <wp:anchor distT="45720" distB="45720" distL="114300" distR="114300" simplePos="0" relativeHeight="251658274" behindDoc="0" locked="0" layoutInCell="1" allowOverlap="1" wp14:anchorId="7EC57E1C" wp14:editId="1DED37E6">
                <wp:simplePos x="0" y="0"/>
                <wp:positionH relativeFrom="column">
                  <wp:posOffset>8890</wp:posOffset>
                </wp:positionH>
                <wp:positionV relativeFrom="paragraph">
                  <wp:posOffset>657860</wp:posOffset>
                </wp:positionV>
                <wp:extent cx="6330315" cy="2969895"/>
                <wp:effectExtent l="0" t="0" r="0" b="1905"/>
                <wp:wrapSquare wrapText="bothSides"/>
                <wp:docPr id="1006" name="Text Box 10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315" cy="2969895"/>
                        </a:xfrm>
                        <a:prstGeom prst="rect">
                          <a:avLst/>
                        </a:prstGeom>
                        <a:solidFill>
                          <a:srgbClr val="00B1F4"/>
                        </a:solidFill>
                        <a:ln w="9525">
                          <a:noFill/>
                          <a:miter lim="800000"/>
                          <a:headEnd/>
                          <a:tailEnd/>
                        </a:ln>
                      </wps:spPr>
                      <wps:txbx>
                        <w:txbxContent>
                          <w:p w14:paraId="396C33BB" w14:textId="77777777" w:rsidR="00C5463E" w:rsidRPr="00116E55" w:rsidRDefault="00C5463E" w:rsidP="00116E55">
                            <w:pPr>
                              <w:pStyle w:val="Heading3"/>
                              <w:spacing w:before="0" w:after="240"/>
                              <w:rPr>
                                <w:color w:val="FFFFFF" w:themeColor="background1"/>
                                <w:sz w:val="24"/>
                              </w:rPr>
                            </w:pPr>
                            <w:r w:rsidRPr="00116E55">
                              <w:rPr>
                                <w:color w:val="FFFFFF" w:themeColor="background1"/>
                                <w:sz w:val="24"/>
                              </w:rPr>
                              <w:t>Key points</w:t>
                            </w:r>
                          </w:p>
                          <w:p w14:paraId="2ECB6E54" w14:textId="3209916F" w:rsidR="00C5463E" w:rsidRPr="00D54179" w:rsidRDefault="00C5463E">
                            <w:pPr>
                              <w:pStyle w:val="Heading3"/>
                              <w:numPr>
                                <w:ilvl w:val="0"/>
                                <w:numId w:val="75"/>
                              </w:numPr>
                              <w:spacing w:before="0" w:after="120"/>
                              <w:ind w:left="426"/>
                              <w:rPr>
                                <w:rFonts w:eastAsiaTheme="minorHAnsi" w:cstheme="minorBidi"/>
                                <w:color w:val="FFFFFF" w:themeColor="background1"/>
                                <w:sz w:val="22"/>
                                <w:szCs w:val="22"/>
                              </w:rPr>
                            </w:pPr>
                            <w:r w:rsidRPr="00D54179">
                              <w:rPr>
                                <w:rFonts w:eastAsiaTheme="minorHAnsi" w:cstheme="minorBidi"/>
                                <w:color w:val="FFFFFF" w:themeColor="background1"/>
                                <w:sz w:val="22"/>
                                <w:szCs w:val="22"/>
                              </w:rPr>
                              <w:t xml:space="preserve">South East Water has delivered a capital program that was very close to the benchmark allowance for the </w:t>
                            </w:r>
                            <w:r w:rsidRPr="009C09A6">
                              <w:rPr>
                                <w:rFonts w:eastAsiaTheme="minorHAnsi" w:cstheme="minorBidi"/>
                                <w:color w:val="FFFFFF" w:themeColor="background1"/>
                                <w:sz w:val="22"/>
                                <w:szCs w:val="22"/>
                              </w:rPr>
                              <w:t>2018</w:t>
                            </w:r>
                            <w:r w:rsidR="009C09A6" w:rsidRPr="009C09A6">
                              <w:rPr>
                                <w:color w:val="FFFFFF" w:themeColor="background1"/>
                                <w:sz w:val="24"/>
                              </w:rPr>
                              <w:t>–</w:t>
                            </w:r>
                            <w:r w:rsidRPr="009C09A6">
                              <w:rPr>
                                <w:rFonts w:eastAsiaTheme="minorHAnsi" w:cstheme="minorBidi"/>
                                <w:color w:val="FFFFFF" w:themeColor="background1"/>
                                <w:sz w:val="22"/>
                                <w:szCs w:val="22"/>
                              </w:rPr>
                              <w:t xml:space="preserve">23 </w:t>
                            </w:r>
                            <w:r w:rsidRPr="00D54179">
                              <w:rPr>
                                <w:rFonts w:eastAsiaTheme="minorHAnsi" w:cstheme="minorBidi"/>
                                <w:color w:val="FFFFFF" w:themeColor="background1"/>
                                <w:sz w:val="22"/>
                                <w:szCs w:val="22"/>
                              </w:rPr>
                              <w:t>regulatory period ($</w:t>
                            </w:r>
                            <w:r w:rsidR="00C020E7">
                              <w:rPr>
                                <w:rFonts w:eastAsiaTheme="minorHAnsi" w:cstheme="minorBidi"/>
                                <w:color w:val="FFFFFF" w:themeColor="background1"/>
                                <w:sz w:val="22"/>
                                <w:szCs w:val="22"/>
                              </w:rPr>
                              <w:t>1.5</w:t>
                            </w:r>
                            <w:r w:rsidRPr="00D54179">
                              <w:rPr>
                                <w:rFonts w:eastAsiaTheme="minorHAnsi" w:cstheme="minorBidi"/>
                                <w:color w:val="FFFFFF" w:themeColor="background1"/>
                                <w:sz w:val="22"/>
                                <w:szCs w:val="22"/>
                              </w:rPr>
                              <w:t xml:space="preserve"> million </w:t>
                            </w:r>
                            <w:r w:rsidR="00C020E7">
                              <w:rPr>
                                <w:rFonts w:eastAsiaTheme="minorHAnsi" w:cstheme="minorBidi"/>
                                <w:color w:val="FFFFFF" w:themeColor="background1"/>
                                <w:sz w:val="22"/>
                                <w:szCs w:val="22"/>
                              </w:rPr>
                              <w:t>more</w:t>
                            </w:r>
                            <w:r w:rsidRPr="00D54179">
                              <w:rPr>
                                <w:rFonts w:eastAsiaTheme="minorHAnsi" w:cstheme="minorBidi"/>
                                <w:color w:val="FFFFFF" w:themeColor="background1"/>
                                <w:sz w:val="22"/>
                                <w:szCs w:val="22"/>
                              </w:rPr>
                              <w:t xml:space="preserve"> than the $1.2</w:t>
                            </w:r>
                            <w:r w:rsidR="00A703EB">
                              <w:rPr>
                                <w:rFonts w:eastAsiaTheme="minorHAnsi" w:cstheme="minorBidi"/>
                                <w:color w:val="FFFFFF" w:themeColor="background1"/>
                                <w:sz w:val="22"/>
                                <w:szCs w:val="22"/>
                              </w:rPr>
                              <w:t>5</w:t>
                            </w:r>
                            <w:r w:rsidRPr="00D54179">
                              <w:rPr>
                                <w:rFonts w:eastAsiaTheme="minorHAnsi" w:cstheme="minorBidi"/>
                                <w:color w:val="FFFFFF" w:themeColor="background1"/>
                                <w:sz w:val="22"/>
                                <w:szCs w:val="22"/>
                              </w:rPr>
                              <w:t xml:space="preserve"> billion allowance).</w:t>
                            </w:r>
                          </w:p>
                          <w:p w14:paraId="4D544B9B" w14:textId="14655AA7" w:rsidR="00C5463E" w:rsidRPr="00D54179" w:rsidRDefault="00C5463E">
                            <w:pPr>
                              <w:pStyle w:val="Heading3"/>
                              <w:numPr>
                                <w:ilvl w:val="0"/>
                                <w:numId w:val="75"/>
                              </w:numPr>
                              <w:spacing w:before="0" w:after="120"/>
                              <w:ind w:left="426"/>
                              <w:rPr>
                                <w:rFonts w:eastAsiaTheme="minorHAnsi" w:cstheme="minorBidi"/>
                                <w:color w:val="FFFFFF" w:themeColor="background1"/>
                                <w:sz w:val="22"/>
                                <w:szCs w:val="22"/>
                              </w:rPr>
                            </w:pPr>
                            <w:r w:rsidRPr="00D54179">
                              <w:rPr>
                                <w:rFonts w:eastAsiaTheme="minorHAnsi" w:cstheme="minorBidi"/>
                                <w:color w:val="FFFFFF" w:themeColor="background1"/>
                                <w:sz w:val="22"/>
                                <w:szCs w:val="22"/>
                              </w:rPr>
                              <w:t xml:space="preserve">Capital expenditure investment of $1.92 billion is proposed for the </w:t>
                            </w:r>
                            <w:r w:rsidRPr="009C09A6">
                              <w:rPr>
                                <w:rFonts w:eastAsiaTheme="minorHAnsi" w:cstheme="minorBidi"/>
                                <w:color w:val="FFFFFF" w:themeColor="background1"/>
                                <w:sz w:val="22"/>
                                <w:szCs w:val="22"/>
                              </w:rPr>
                              <w:t>2023</w:t>
                            </w:r>
                            <w:r w:rsidR="009C09A6" w:rsidRPr="009C09A6">
                              <w:rPr>
                                <w:rFonts w:eastAsiaTheme="minorHAnsi" w:cstheme="minorBidi"/>
                                <w:color w:val="FFFFFF" w:themeColor="background1"/>
                                <w:sz w:val="22"/>
                                <w:szCs w:val="22"/>
                              </w:rPr>
                              <w:softHyphen/>
                            </w:r>
                            <w:r w:rsidR="009C09A6" w:rsidRPr="009C09A6">
                              <w:rPr>
                                <w:color w:val="FFFFFF" w:themeColor="background1"/>
                                <w:sz w:val="24"/>
                              </w:rPr>
                              <w:t>–</w:t>
                            </w:r>
                            <w:r w:rsidRPr="009C09A6">
                              <w:rPr>
                                <w:rFonts w:eastAsiaTheme="minorHAnsi" w:cstheme="minorBidi"/>
                                <w:color w:val="FFFFFF" w:themeColor="background1"/>
                                <w:sz w:val="22"/>
                                <w:szCs w:val="22"/>
                              </w:rPr>
                              <w:t xml:space="preserve">28 </w:t>
                            </w:r>
                            <w:r w:rsidRPr="00D54179">
                              <w:rPr>
                                <w:rFonts w:eastAsiaTheme="minorHAnsi" w:cstheme="minorBidi"/>
                                <w:color w:val="FFFFFF" w:themeColor="background1"/>
                                <w:sz w:val="22"/>
                                <w:szCs w:val="22"/>
                              </w:rPr>
                              <w:t>regulatory period, which represents</w:t>
                            </w:r>
                            <w:r w:rsidR="00816F15" w:rsidRPr="00D54179">
                              <w:rPr>
                                <w:rFonts w:eastAsiaTheme="minorHAnsi" w:cstheme="minorBidi"/>
                                <w:color w:val="FFFFFF" w:themeColor="background1"/>
                                <w:sz w:val="22"/>
                                <w:szCs w:val="22"/>
                              </w:rPr>
                              <w:t xml:space="preserve"> an average of 5% per annum increase in our regulatory asset base and</w:t>
                            </w:r>
                            <w:r w:rsidRPr="00D54179">
                              <w:rPr>
                                <w:rFonts w:eastAsiaTheme="minorHAnsi" w:cstheme="minorBidi"/>
                                <w:color w:val="FFFFFF" w:themeColor="background1"/>
                                <w:sz w:val="22"/>
                                <w:szCs w:val="22"/>
                              </w:rPr>
                              <w:t xml:space="preserve"> a </w:t>
                            </w:r>
                            <w:r w:rsidR="007D2184">
                              <w:rPr>
                                <w:rFonts w:eastAsiaTheme="minorHAnsi" w:cstheme="minorBidi"/>
                                <w:color w:val="FFFFFF" w:themeColor="background1"/>
                                <w:sz w:val="22"/>
                                <w:szCs w:val="22"/>
                              </w:rPr>
                              <w:t>54</w:t>
                            </w:r>
                            <w:r w:rsidRPr="00D54179">
                              <w:rPr>
                                <w:rFonts w:eastAsiaTheme="minorHAnsi" w:cstheme="minorBidi"/>
                                <w:color w:val="FFFFFF" w:themeColor="background1"/>
                                <w:sz w:val="22"/>
                                <w:szCs w:val="22"/>
                              </w:rPr>
                              <w:t>% increase on the 2018</w:t>
                            </w:r>
                            <w:r w:rsidR="009B740D" w:rsidRPr="009C09A6">
                              <w:rPr>
                                <w:rFonts w:eastAsiaTheme="minorHAnsi" w:cstheme="minorBidi"/>
                                <w:color w:val="FFFFFF" w:themeColor="background1"/>
                                <w:sz w:val="22"/>
                                <w:szCs w:val="22"/>
                              </w:rPr>
                              <w:softHyphen/>
                            </w:r>
                            <w:r w:rsidR="009B740D" w:rsidRPr="009C09A6">
                              <w:rPr>
                                <w:color w:val="FFFFFF" w:themeColor="background1"/>
                                <w:sz w:val="24"/>
                              </w:rPr>
                              <w:t>–</w:t>
                            </w:r>
                            <w:r w:rsidRPr="00D54179">
                              <w:rPr>
                                <w:rFonts w:eastAsiaTheme="minorHAnsi" w:cstheme="minorBidi"/>
                                <w:color w:val="FFFFFF" w:themeColor="background1"/>
                                <w:sz w:val="22"/>
                                <w:szCs w:val="22"/>
                              </w:rPr>
                              <w:t>23 allowance.</w:t>
                            </w:r>
                          </w:p>
                          <w:p w14:paraId="35E550E7" w14:textId="77777777" w:rsidR="00C5463E" w:rsidRPr="00D54179" w:rsidRDefault="00C5463E">
                            <w:pPr>
                              <w:pStyle w:val="Heading3"/>
                              <w:numPr>
                                <w:ilvl w:val="0"/>
                                <w:numId w:val="75"/>
                              </w:numPr>
                              <w:spacing w:before="0" w:after="120"/>
                              <w:ind w:left="426"/>
                              <w:rPr>
                                <w:rFonts w:eastAsiaTheme="minorHAnsi" w:cstheme="minorBidi"/>
                                <w:color w:val="FFFFFF" w:themeColor="background1"/>
                                <w:sz w:val="22"/>
                                <w:szCs w:val="22"/>
                              </w:rPr>
                            </w:pPr>
                            <w:r w:rsidRPr="00D54179">
                              <w:rPr>
                                <w:rFonts w:eastAsiaTheme="minorHAnsi" w:cstheme="minorBidi"/>
                                <w:color w:val="FFFFFF" w:themeColor="background1"/>
                                <w:sz w:val="22"/>
                                <w:szCs w:val="22"/>
                              </w:rPr>
                              <w:t>This will deliver significant benefits for customers in terms of providing safe and reliable services, being better informed through digital metering and ensuring long-term water security.</w:t>
                            </w:r>
                          </w:p>
                          <w:p w14:paraId="5C81833E" w14:textId="6AA13E60" w:rsidR="00C5463E" w:rsidRPr="00D54179" w:rsidRDefault="00C5463E">
                            <w:pPr>
                              <w:pStyle w:val="Heading3"/>
                              <w:numPr>
                                <w:ilvl w:val="0"/>
                                <w:numId w:val="75"/>
                              </w:numPr>
                              <w:spacing w:before="0" w:after="120"/>
                              <w:ind w:left="426"/>
                              <w:rPr>
                                <w:rFonts w:eastAsiaTheme="minorHAnsi" w:cstheme="minorBidi"/>
                                <w:color w:val="FFFFFF" w:themeColor="background1"/>
                                <w:sz w:val="22"/>
                                <w:szCs w:val="22"/>
                              </w:rPr>
                            </w:pPr>
                            <w:r w:rsidRPr="00D54179">
                              <w:rPr>
                                <w:rFonts w:eastAsiaTheme="minorHAnsi" w:cstheme="minorBidi"/>
                                <w:color w:val="FFFFFF" w:themeColor="background1"/>
                                <w:sz w:val="22"/>
                                <w:szCs w:val="22"/>
                              </w:rPr>
                              <w:t>Our forecasts, which include efficiency savings and deliverability, are supported by a new integrated capital planning and delivery model</w:t>
                            </w:r>
                            <w:r w:rsidR="00703A71" w:rsidRPr="00D54179">
                              <w:rPr>
                                <w:rFonts w:eastAsiaTheme="minorHAnsi" w:cstheme="minorBidi"/>
                                <w:color w:val="FFFFFF" w:themeColor="background1"/>
                                <w:sz w:val="22"/>
                                <w:szCs w:val="22"/>
                              </w:rPr>
                              <w:t xml:space="preserve"> and our programmatic risk bank approach</w:t>
                            </w:r>
                            <w:r w:rsidRPr="00D54179">
                              <w:rPr>
                                <w:rFonts w:eastAsiaTheme="minorHAnsi" w:cstheme="minorBidi"/>
                                <w:color w:val="FFFFFF" w:themeColor="background1"/>
                                <w:sz w:val="22"/>
                                <w:szCs w:val="22"/>
                              </w:rPr>
                              <w:t>.</w:t>
                            </w:r>
                          </w:p>
                        </w:txbxContent>
                      </wps:txbx>
                      <wps:bodyPr rot="0" vert="horz" wrap="square" lIns="180000" tIns="180000" rIns="180000" bIns="180000" anchor="t" anchorCtr="0">
                        <a:noAutofit/>
                      </wps:bodyPr>
                    </wps:wsp>
                  </a:graphicData>
                </a:graphic>
                <wp14:sizeRelH relativeFrom="margin">
                  <wp14:pctWidth>0</wp14:pctWidth>
                </wp14:sizeRelH>
                <wp14:sizeRelV relativeFrom="margin">
                  <wp14:pctHeight>0</wp14:pctHeight>
                </wp14:sizeRelV>
              </wp:anchor>
            </w:drawing>
          </mc:Choice>
          <mc:Fallback>
            <w:pict>
              <v:shape w14:anchorId="7EC57E1C" id="Text Box 1006" o:spid="_x0000_s1052" type="#_x0000_t202" style="position:absolute;margin-left:.7pt;margin-top:51.8pt;width:498.45pt;height:233.85pt;z-index:25165827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" fillcolor="#00b1f4" stroked="f">
                <v:textbox inset="5mm,5mm,5mm,5mm">
                  <w:txbxContent>
                    <w:p w14:paraId="396C33BB" w14:textId="77777777" w:rsidR="00C5463E" w:rsidRPr="00116E55" w:rsidRDefault="00C5463E" w:rsidP="00116E55">
                      <w:pPr>
                        <w:pStyle w:val="Heading3"/>
                        <w:spacing w:before="0" w:after="240"/>
                        <w:rPr>
                          <w:color w:val="FFFFFF" w:themeColor="background1"/>
                          <w:sz w:val="24"/>
                        </w:rPr>
                      </w:pPr>
                      <w:r w:rsidRPr="00116E55">
                        <w:rPr>
                          <w:color w:val="FFFFFF" w:themeColor="background1"/>
                          <w:sz w:val="24"/>
                        </w:rPr>
                        <w:t>Key points</w:t>
                      </w:r>
                    </w:p>
                    <w:p w14:paraId="2ECB6E54" w14:textId="3209916F" w:rsidR="00C5463E" w:rsidRPr="00D54179" w:rsidRDefault="00C5463E">
                      <w:pPr>
                        <w:pStyle w:val="Heading3"/>
                        <w:numPr>
                          <w:ilvl w:val="0"/>
                          <w:numId w:val="75"/>
                        </w:numPr>
                        <w:spacing w:before="0" w:after="120"/>
                        <w:ind w:left="426"/>
                        <w:rPr>
                          <w:rFonts w:eastAsiaTheme="minorHAnsi" w:cstheme="minorBidi"/>
                          <w:color w:val="FFFFFF" w:themeColor="background1"/>
                          <w:sz w:val="22"/>
                          <w:szCs w:val="22"/>
                        </w:rPr>
                      </w:pPr>
                      <w:proofErr w:type="gramStart"/>
                      <w:r w:rsidRPr="00D54179">
                        <w:rPr>
                          <w:rFonts w:eastAsiaTheme="minorHAnsi" w:cstheme="minorBidi"/>
                          <w:color w:val="FFFFFF" w:themeColor="background1"/>
                          <w:sz w:val="22"/>
                          <w:szCs w:val="22"/>
                        </w:rPr>
                        <w:t>South East</w:t>
                      </w:r>
                      <w:proofErr w:type="gramEnd"/>
                      <w:r w:rsidRPr="00D54179">
                        <w:rPr>
                          <w:rFonts w:eastAsiaTheme="minorHAnsi" w:cstheme="minorBidi"/>
                          <w:color w:val="FFFFFF" w:themeColor="background1"/>
                          <w:sz w:val="22"/>
                          <w:szCs w:val="22"/>
                        </w:rPr>
                        <w:t xml:space="preserve"> Water has delivered a capital program that was very close to the benchmark allowance for the </w:t>
                      </w:r>
                      <w:r w:rsidRPr="009C09A6">
                        <w:rPr>
                          <w:rFonts w:eastAsiaTheme="minorHAnsi" w:cstheme="minorBidi"/>
                          <w:color w:val="FFFFFF" w:themeColor="background1"/>
                          <w:sz w:val="22"/>
                          <w:szCs w:val="22"/>
                        </w:rPr>
                        <w:t>2018</w:t>
                      </w:r>
                      <w:r w:rsidR="009C09A6" w:rsidRPr="009C09A6">
                        <w:rPr>
                          <w:color w:val="FFFFFF" w:themeColor="background1"/>
                          <w:sz w:val="24"/>
                        </w:rPr>
                        <w:t>–</w:t>
                      </w:r>
                      <w:r w:rsidRPr="009C09A6">
                        <w:rPr>
                          <w:rFonts w:eastAsiaTheme="minorHAnsi" w:cstheme="minorBidi"/>
                          <w:color w:val="FFFFFF" w:themeColor="background1"/>
                          <w:sz w:val="22"/>
                          <w:szCs w:val="22"/>
                        </w:rPr>
                        <w:t xml:space="preserve">23 </w:t>
                      </w:r>
                      <w:r w:rsidRPr="00D54179">
                        <w:rPr>
                          <w:rFonts w:eastAsiaTheme="minorHAnsi" w:cstheme="minorBidi"/>
                          <w:color w:val="FFFFFF" w:themeColor="background1"/>
                          <w:sz w:val="22"/>
                          <w:szCs w:val="22"/>
                        </w:rPr>
                        <w:t>regulatory period ($</w:t>
                      </w:r>
                      <w:r w:rsidR="00C020E7">
                        <w:rPr>
                          <w:rFonts w:eastAsiaTheme="minorHAnsi" w:cstheme="minorBidi"/>
                          <w:color w:val="FFFFFF" w:themeColor="background1"/>
                          <w:sz w:val="22"/>
                          <w:szCs w:val="22"/>
                        </w:rPr>
                        <w:t>1.5</w:t>
                      </w:r>
                      <w:r w:rsidRPr="00D54179">
                        <w:rPr>
                          <w:rFonts w:eastAsiaTheme="minorHAnsi" w:cstheme="minorBidi"/>
                          <w:color w:val="FFFFFF" w:themeColor="background1"/>
                          <w:sz w:val="22"/>
                          <w:szCs w:val="22"/>
                        </w:rPr>
                        <w:t xml:space="preserve"> million </w:t>
                      </w:r>
                      <w:r w:rsidR="00C020E7">
                        <w:rPr>
                          <w:rFonts w:eastAsiaTheme="minorHAnsi" w:cstheme="minorBidi"/>
                          <w:color w:val="FFFFFF" w:themeColor="background1"/>
                          <w:sz w:val="22"/>
                          <w:szCs w:val="22"/>
                        </w:rPr>
                        <w:t>more</w:t>
                      </w:r>
                      <w:r w:rsidRPr="00D54179">
                        <w:rPr>
                          <w:rFonts w:eastAsiaTheme="minorHAnsi" w:cstheme="minorBidi"/>
                          <w:color w:val="FFFFFF" w:themeColor="background1"/>
                          <w:sz w:val="22"/>
                          <w:szCs w:val="22"/>
                        </w:rPr>
                        <w:t xml:space="preserve"> than the $1.2</w:t>
                      </w:r>
                      <w:r w:rsidR="00A703EB">
                        <w:rPr>
                          <w:rFonts w:eastAsiaTheme="minorHAnsi" w:cstheme="minorBidi"/>
                          <w:color w:val="FFFFFF" w:themeColor="background1"/>
                          <w:sz w:val="22"/>
                          <w:szCs w:val="22"/>
                        </w:rPr>
                        <w:t>5</w:t>
                      </w:r>
                      <w:r w:rsidRPr="00D54179">
                        <w:rPr>
                          <w:rFonts w:eastAsiaTheme="minorHAnsi" w:cstheme="minorBidi"/>
                          <w:color w:val="FFFFFF" w:themeColor="background1"/>
                          <w:sz w:val="22"/>
                          <w:szCs w:val="22"/>
                        </w:rPr>
                        <w:t xml:space="preserve"> billion allowance).</w:t>
                      </w:r>
                    </w:p>
                    <w:p w14:paraId="4D544B9B" w14:textId="14655AA7" w:rsidR="00C5463E" w:rsidRPr="00D54179" w:rsidRDefault="00C5463E">
                      <w:pPr>
                        <w:pStyle w:val="Heading3"/>
                        <w:numPr>
                          <w:ilvl w:val="0"/>
                          <w:numId w:val="75"/>
                        </w:numPr>
                        <w:spacing w:before="0" w:after="120"/>
                        <w:ind w:left="426"/>
                        <w:rPr>
                          <w:rFonts w:eastAsiaTheme="minorHAnsi" w:cstheme="minorBidi"/>
                          <w:color w:val="FFFFFF" w:themeColor="background1"/>
                          <w:sz w:val="22"/>
                          <w:szCs w:val="22"/>
                        </w:rPr>
                      </w:pPr>
                      <w:r w:rsidRPr="00D54179">
                        <w:rPr>
                          <w:rFonts w:eastAsiaTheme="minorHAnsi" w:cstheme="minorBidi"/>
                          <w:color w:val="FFFFFF" w:themeColor="background1"/>
                          <w:sz w:val="22"/>
                          <w:szCs w:val="22"/>
                        </w:rPr>
                        <w:t xml:space="preserve">Capital expenditure investment of $1.92 billion is proposed for the </w:t>
                      </w:r>
                      <w:r w:rsidRPr="009C09A6">
                        <w:rPr>
                          <w:rFonts w:eastAsiaTheme="minorHAnsi" w:cstheme="minorBidi"/>
                          <w:color w:val="FFFFFF" w:themeColor="background1"/>
                          <w:sz w:val="22"/>
                          <w:szCs w:val="22"/>
                        </w:rPr>
                        <w:t>2023</w:t>
                      </w:r>
                      <w:r w:rsidR="009C09A6" w:rsidRPr="009C09A6">
                        <w:rPr>
                          <w:rFonts w:eastAsiaTheme="minorHAnsi" w:cstheme="minorBidi"/>
                          <w:color w:val="FFFFFF" w:themeColor="background1"/>
                          <w:sz w:val="22"/>
                          <w:szCs w:val="22"/>
                        </w:rPr>
                        <w:softHyphen/>
                      </w:r>
                      <w:r w:rsidR="009C09A6" w:rsidRPr="009C09A6">
                        <w:rPr>
                          <w:color w:val="FFFFFF" w:themeColor="background1"/>
                          <w:sz w:val="24"/>
                        </w:rPr>
                        <w:t>–</w:t>
                      </w:r>
                      <w:r w:rsidRPr="009C09A6">
                        <w:rPr>
                          <w:rFonts w:eastAsiaTheme="minorHAnsi" w:cstheme="minorBidi"/>
                          <w:color w:val="FFFFFF" w:themeColor="background1"/>
                          <w:sz w:val="22"/>
                          <w:szCs w:val="22"/>
                        </w:rPr>
                        <w:t xml:space="preserve">28 </w:t>
                      </w:r>
                      <w:r w:rsidRPr="00D54179">
                        <w:rPr>
                          <w:rFonts w:eastAsiaTheme="minorHAnsi" w:cstheme="minorBidi"/>
                          <w:color w:val="FFFFFF" w:themeColor="background1"/>
                          <w:sz w:val="22"/>
                          <w:szCs w:val="22"/>
                        </w:rPr>
                        <w:t>regulatory period, which represents</w:t>
                      </w:r>
                      <w:r w:rsidR="00816F15" w:rsidRPr="00D54179">
                        <w:rPr>
                          <w:rFonts w:eastAsiaTheme="minorHAnsi" w:cstheme="minorBidi"/>
                          <w:color w:val="FFFFFF" w:themeColor="background1"/>
                          <w:sz w:val="22"/>
                          <w:szCs w:val="22"/>
                        </w:rPr>
                        <w:t xml:space="preserve"> an average of 5% per annum increase in our regulatory asset base and</w:t>
                      </w:r>
                      <w:r w:rsidRPr="00D54179">
                        <w:rPr>
                          <w:rFonts w:eastAsiaTheme="minorHAnsi" w:cstheme="minorBidi"/>
                          <w:color w:val="FFFFFF" w:themeColor="background1"/>
                          <w:sz w:val="22"/>
                          <w:szCs w:val="22"/>
                        </w:rPr>
                        <w:t xml:space="preserve"> a </w:t>
                      </w:r>
                      <w:r w:rsidR="007D2184">
                        <w:rPr>
                          <w:rFonts w:eastAsiaTheme="minorHAnsi" w:cstheme="minorBidi"/>
                          <w:color w:val="FFFFFF" w:themeColor="background1"/>
                          <w:sz w:val="22"/>
                          <w:szCs w:val="22"/>
                        </w:rPr>
                        <w:t>54</w:t>
                      </w:r>
                      <w:r w:rsidRPr="00D54179">
                        <w:rPr>
                          <w:rFonts w:eastAsiaTheme="minorHAnsi" w:cstheme="minorBidi"/>
                          <w:color w:val="FFFFFF" w:themeColor="background1"/>
                          <w:sz w:val="22"/>
                          <w:szCs w:val="22"/>
                        </w:rPr>
                        <w:t>% increase on the 2018</w:t>
                      </w:r>
                      <w:r w:rsidR="009B740D" w:rsidRPr="009C09A6">
                        <w:rPr>
                          <w:rFonts w:eastAsiaTheme="minorHAnsi" w:cstheme="minorBidi"/>
                          <w:color w:val="FFFFFF" w:themeColor="background1"/>
                          <w:sz w:val="22"/>
                          <w:szCs w:val="22"/>
                        </w:rPr>
                        <w:softHyphen/>
                      </w:r>
                      <w:r w:rsidR="009B740D" w:rsidRPr="009C09A6">
                        <w:rPr>
                          <w:color w:val="FFFFFF" w:themeColor="background1"/>
                          <w:sz w:val="24"/>
                        </w:rPr>
                        <w:t>–</w:t>
                      </w:r>
                      <w:r w:rsidRPr="00D54179">
                        <w:rPr>
                          <w:rFonts w:eastAsiaTheme="minorHAnsi" w:cstheme="minorBidi"/>
                          <w:color w:val="FFFFFF" w:themeColor="background1"/>
                          <w:sz w:val="22"/>
                          <w:szCs w:val="22"/>
                        </w:rPr>
                        <w:t>23 allowance.</w:t>
                      </w:r>
                    </w:p>
                    <w:p w14:paraId="35E550E7" w14:textId="77777777" w:rsidR="00C5463E" w:rsidRPr="00D54179" w:rsidRDefault="00C5463E">
                      <w:pPr>
                        <w:pStyle w:val="Heading3"/>
                        <w:numPr>
                          <w:ilvl w:val="0"/>
                          <w:numId w:val="75"/>
                        </w:numPr>
                        <w:spacing w:before="0" w:after="120"/>
                        <w:ind w:left="426"/>
                        <w:rPr>
                          <w:rFonts w:eastAsiaTheme="minorHAnsi" w:cstheme="minorBidi"/>
                          <w:color w:val="FFFFFF" w:themeColor="background1"/>
                          <w:sz w:val="22"/>
                          <w:szCs w:val="22"/>
                        </w:rPr>
                      </w:pPr>
                      <w:r w:rsidRPr="00D54179">
                        <w:rPr>
                          <w:rFonts w:eastAsiaTheme="minorHAnsi" w:cstheme="minorBidi"/>
                          <w:color w:val="FFFFFF" w:themeColor="background1"/>
                          <w:sz w:val="22"/>
                          <w:szCs w:val="22"/>
                        </w:rPr>
                        <w:t xml:space="preserve">This will deliver significant benefits for customers in terms of providing safe and reliable services, being better informed through digital </w:t>
                      </w:r>
                      <w:proofErr w:type="gramStart"/>
                      <w:r w:rsidRPr="00D54179">
                        <w:rPr>
                          <w:rFonts w:eastAsiaTheme="minorHAnsi" w:cstheme="minorBidi"/>
                          <w:color w:val="FFFFFF" w:themeColor="background1"/>
                          <w:sz w:val="22"/>
                          <w:szCs w:val="22"/>
                        </w:rPr>
                        <w:t>metering</w:t>
                      </w:r>
                      <w:proofErr w:type="gramEnd"/>
                      <w:r w:rsidRPr="00D54179">
                        <w:rPr>
                          <w:rFonts w:eastAsiaTheme="minorHAnsi" w:cstheme="minorBidi"/>
                          <w:color w:val="FFFFFF" w:themeColor="background1"/>
                          <w:sz w:val="22"/>
                          <w:szCs w:val="22"/>
                        </w:rPr>
                        <w:t xml:space="preserve"> and ensuring long-term water security.</w:t>
                      </w:r>
                    </w:p>
                    <w:p w14:paraId="5C81833E" w14:textId="6AA13E60" w:rsidR="00C5463E" w:rsidRPr="00D54179" w:rsidRDefault="00C5463E">
                      <w:pPr>
                        <w:pStyle w:val="Heading3"/>
                        <w:numPr>
                          <w:ilvl w:val="0"/>
                          <w:numId w:val="75"/>
                        </w:numPr>
                        <w:spacing w:before="0" w:after="120"/>
                        <w:ind w:left="426"/>
                        <w:rPr>
                          <w:rFonts w:eastAsiaTheme="minorHAnsi" w:cstheme="minorBidi"/>
                          <w:color w:val="FFFFFF" w:themeColor="background1"/>
                          <w:sz w:val="22"/>
                          <w:szCs w:val="22"/>
                        </w:rPr>
                      </w:pPr>
                      <w:r w:rsidRPr="00D54179">
                        <w:rPr>
                          <w:rFonts w:eastAsiaTheme="minorHAnsi" w:cstheme="minorBidi"/>
                          <w:color w:val="FFFFFF" w:themeColor="background1"/>
                          <w:sz w:val="22"/>
                          <w:szCs w:val="22"/>
                        </w:rPr>
                        <w:t>Our forecasts, which include efficiency savings and deliverability, are supported by a new integrated capital planning and delivery model</w:t>
                      </w:r>
                      <w:r w:rsidR="00703A71" w:rsidRPr="00D54179">
                        <w:rPr>
                          <w:rFonts w:eastAsiaTheme="minorHAnsi" w:cstheme="minorBidi"/>
                          <w:color w:val="FFFFFF" w:themeColor="background1"/>
                          <w:sz w:val="22"/>
                          <w:szCs w:val="22"/>
                        </w:rPr>
                        <w:t xml:space="preserve"> and our programmatic risk bank approach</w:t>
                      </w:r>
                      <w:r w:rsidRPr="00D54179">
                        <w:rPr>
                          <w:rFonts w:eastAsiaTheme="minorHAnsi" w:cstheme="minorBidi"/>
                          <w:color w:val="FFFFFF" w:themeColor="background1"/>
                          <w:sz w:val="22"/>
                          <w:szCs w:val="22"/>
                        </w:rPr>
                        <w:t>.</w:t>
                      </w:r>
                    </w:p>
                  </w:txbxContent>
                </v:textbox>
                <w10:wrap type="square"/>
              </v:shape>
            </w:pict>
          </mc:Fallback>
        </mc:AlternateContent>
      </w:r>
      <w:r w:rsidR="005668E9">
        <w:t xml:space="preserve">6. </w:t>
      </w:r>
      <w:r w:rsidR="00841FDF">
        <w:t>Forecast capital expenditure</w:t>
      </w:r>
      <w:bookmarkEnd w:id="56"/>
    </w:p>
    <w:p w14:paraId="24854CC1" w14:textId="0D030DDE" w:rsidR="009E2669" w:rsidRDefault="009E2669" w:rsidP="002E76C1">
      <w:pPr>
        <w:pStyle w:val="Heading2"/>
      </w:pPr>
    </w:p>
    <w:p w14:paraId="36AECF14" w14:textId="1B4D21FE" w:rsidR="00320357" w:rsidRDefault="00330BFE" w:rsidP="00762418">
      <w:pPr>
        <w:pStyle w:val="NbrHeading2"/>
      </w:pPr>
      <w:r>
        <w:t xml:space="preserve">6.1 </w:t>
      </w:r>
      <w:r w:rsidR="00810447">
        <w:t>Current period outcomes</w:t>
      </w:r>
    </w:p>
    <w:p w14:paraId="0D55B278" w14:textId="36E89BC9" w:rsidR="00136695" w:rsidRPr="004D5C83" w:rsidRDefault="00B97EE1" w:rsidP="00652E49">
      <w:pPr>
        <w:pStyle w:val="NormalIndent"/>
        <w:ind w:left="0"/>
        <w:rPr>
          <w:sz w:val="24"/>
          <w:szCs w:val="24"/>
        </w:rPr>
      </w:pPr>
      <w:r w:rsidRPr="004D5C83">
        <w:rPr>
          <w:sz w:val="24"/>
          <w:szCs w:val="24"/>
        </w:rPr>
        <w:t xml:space="preserve">Throughout the </w:t>
      </w:r>
      <w:r w:rsidR="00B360F8" w:rsidRPr="004D5C83">
        <w:rPr>
          <w:sz w:val="24"/>
          <w:szCs w:val="24"/>
        </w:rPr>
        <w:t>2018</w:t>
      </w:r>
      <w:r w:rsidR="007D4EB3">
        <w:rPr>
          <w:sz w:val="24"/>
          <w:szCs w:val="24"/>
        </w:rPr>
        <w:t>–</w:t>
      </w:r>
      <w:r w:rsidR="00B360F8" w:rsidRPr="004D5C83">
        <w:rPr>
          <w:sz w:val="24"/>
          <w:szCs w:val="24"/>
        </w:rPr>
        <w:t xml:space="preserve">23 </w:t>
      </w:r>
      <w:r w:rsidRPr="004D5C83">
        <w:rPr>
          <w:sz w:val="24"/>
          <w:szCs w:val="24"/>
        </w:rPr>
        <w:t xml:space="preserve">regulatory period, our capital expenditure has focused on delivering </w:t>
      </w:r>
      <w:r w:rsidR="00227BBC" w:rsidRPr="004D5C83">
        <w:rPr>
          <w:sz w:val="24"/>
          <w:szCs w:val="24"/>
        </w:rPr>
        <w:t>water</w:t>
      </w:r>
      <w:r w:rsidR="00AE1029" w:rsidRPr="004D5C83">
        <w:rPr>
          <w:sz w:val="24"/>
          <w:szCs w:val="24"/>
        </w:rPr>
        <w:t xml:space="preserve">, </w:t>
      </w:r>
      <w:r w:rsidR="00227BBC" w:rsidRPr="004D5C83">
        <w:rPr>
          <w:sz w:val="24"/>
          <w:szCs w:val="24"/>
        </w:rPr>
        <w:t xml:space="preserve">sewerage </w:t>
      </w:r>
      <w:r w:rsidR="00AE1029" w:rsidRPr="004D5C83">
        <w:rPr>
          <w:sz w:val="24"/>
          <w:szCs w:val="24"/>
        </w:rPr>
        <w:t xml:space="preserve">and recycled water </w:t>
      </w:r>
      <w:r w:rsidR="00227BBC" w:rsidRPr="004D5C83">
        <w:rPr>
          <w:sz w:val="24"/>
          <w:szCs w:val="24"/>
        </w:rPr>
        <w:t xml:space="preserve">systems that </w:t>
      </w:r>
      <w:r w:rsidR="007D72FA">
        <w:rPr>
          <w:sz w:val="24"/>
          <w:szCs w:val="24"/>
        </w:rPr>
        <w:t>support</w:t>
      </w:r>
      <w:r w:rsidR="008854DC" w:rsidRPr="004D5C83">
        <w:rPr>
          <w:sz w:val="24"/>
          <w:szCs w:val="24"/>
        </w:rPr>
        <w:t xml:space="preserve"> growth </w:t>
      </w:r>
      <w:r w:rsidR="00502FE6" w:rsidRPr="004D5C83">
        <w:rPr>
          <w:sz w:val="24"/>
          <w:szCs w:val="24"/>
        </w:rPr>
        <w:t xml:space="preserve">in new </w:t>
      </w:r>
      <w:r w:rsidR="0040565B" w:rsidRPr="004D5C83">
        <w:rPr>
          <w:sz w:val="24"/>
          <w:szCs w:val="24"/>
        </w:rPr>
        <w:t xml:space="preserve">areas, </w:t>
      </w:r>
      <w:r w:rsidR="00DD7561" w:rsidRPr="004D5C83">
        <w:rPr>
          <w:sz w:val="24"/>
          <w:szCs w:val="24"/>
        </w:rPr>
        <w:t xml:space="preserve">contribute to </w:t>
      </w:r>
      <w:r w:rsidR="00C24C05">
        <w:rPr>
          <w:sz w:val="24"/>
          <w:szCs w:val="24"/>
        </w:rPr>
        <w:t>asset</w:t>
      </w:r>
      <w:r w:rsidR="00DD7561" w:rsidRPr="004D5C83">
        <w:rPr>
          <w:sz w:val="24"/>
          <w:szCs w:val="24"/>
        </w:rPr>
        <w:t xml:space="preserve"> reliability, </w:t>
      </w:r>
      <w:r w:rsidR="00763619" w:rsidRPr="004D5C83">
        <w:rPr>
          <w:sz w:val="24"/>
          <w:szCs w:val="24"/>
        </w:rPr>
        <w:t xml:space="preserve">deliver a more </w:t>
      </w:r>
      <w:r w:rsidR="00E30268">
        <w:rPr>
          <w:sz w:val="24"/>
          <w:szCs w:val="24"/>
        </w:rPr>
        <w:t xml:space="preserve">sustainable and </w:t>
      </w:r>
      <w:r w:rsidR="00763619" w:rsidRPr="004D5C83">
        <w:rPr>
          <w:sz w:val="24"/>
          <w:szCs w:val="24"/>
        </w:rPr>
        <w:t xml:space="preserve">resilient water </w:t>
      </w:r>
      <w:r w:rsidR="00E37B7D">
        <w:rPr>
          <w:sz w:val="24"/>
          <w:szCs w:val="24"/>
        </w:rPr>
        <w:t>service</w:t>
      </w:r>
      <w:r w:rsidR="00763619" w:rsidRPr="004D5C83">
        <w:rPr>
          <w:sz w:val="24"/>
          <w:szCs w:val="24"/>
        </w:rPr>
        <w:t xml:space="preserve"> to our customers</w:t>
      </w:r>
      <w:r w:rsidR="00F0214C">
        <w:rPr>
          <w:sz w:val="24"/>
          <w:szCs w:val="24"/>
        </w:rPr>
        <w:t>,</w:t>
      </w:r>
      <w:r w:rsidR="00B360F8" w:rsidRPr="004D5C83">
        <w:rPr>
          <w:sz w:val="24"/>
          <w:szCs w:val="24"/>
        </w:rPr>
        <w:t xml:space="preserve"> and </w:t>
      </w:r>
      <w:r w:rsidR="00BE7063">
        <w:rPr>
          <w:sz w:val="24"/>
          <w:szCs w:val="24"/>
        </w:rPr>
        <w:t>allow us</w:t>
      </w:r>
      <w:r w:rsidR="00E43AD8">
        <w:rPr>
          <w:sz w:val="24"/>
          <w:szCs w:val="24"/>
        </w:rPr>
        <w:t xml:space="preserve"> </w:t>
      </w:r>
      <w:r w:rsidR="00F0214C">
        <w:rPr>
          <w:sz w:val="24"/>
          <w:szCs w:val="24"/>
        </w:rPr>
        <w:t>to improve on and maintain</w:t>
      </w:r>
      <w:r w:rsidR="00B360F8" w:rsidRPr="004D5C83">
        <w:rPr>
          <w:sz w:val="24"/>
          <w:szCs w:val="24"/>
        </w:rPr>
        <w:t xml:space="preserve"> environmental compliance.</w:t>
      </w:r>
      <w:r w:rsidR="00A1315F">
        <w:rPr>
          <w:sz w:val="24"/>
          <w:szCs w:val="24"/>
        </w:rPr>
        <w:t xml:space="preserve"> </w:t>
      </w:r>
    </w:p>
    <w:p w14:paraId="79275AD4" w14:textId="314AF130" w:rsidR="003B233A" w:rsidRDefault="00746BB8" w:rsidP="00652E49">
      <w:pPr>
        <w:pStyle w:val="NormalIndent"/>
        <w:ind w:left="0"/>
        <w:rPr>
          <w:sz w:val="24"/>
          <w:szCs w:val="24"/>
        </w:rPr>
      </w:pPr>
      <w:r>
        <w:rPr>
          <w:sz w:val="24"/>
          <w:szCs w:val="24"/>
        </w:rPr>
        <w:t>Figure 3</w:t>
      </w:r>
      <w:r w:rsidR="00EF488D" w:rsidRPr="00EF488D">
        <w:rPr>
          <w:sz w:val="24"/>
          <w:szCs w:val="24"/>
        </w:rPr>
        <w:t xml:space="preserve"> </w:t>
      </w:r>
      <w:r w:rsidR="00554355">
        <w:rPr>
          <w:sz w:val="24"/>
          <w:szCs w:val="24"/>
        </w:rPr>
        <w:t xml:space="preserve">shows that </w:t>
      </w:r>
      <w:r w:rsidR="00C024E9">
        <w:rPr>
          <w:sz w:val="24"/>
          <w:szCs w:val="24"/>
        </w:rPr>
        <w:t xml:space="preserve">capital expenditure </w:t>
      </w:r>
      <w:r w:rsidR="00442289">
        <w:rPr>
          <w:sz w:val="24"/>
          <w:szCs w:val="24"/>
        </w:rPr>
        <w:t>delivered in the 2018</w:t>
      </w:r>
      <w:r w:rsidR="007D4EB3">
        <w:rPr>
          <w:sz w:val="24"/>
          <w:szCs w:val="24"/>
        </w:rPr>
        <w:t>–</w:t>
      </w:r>
      <w:r w:rsidR="00442289">
        <w:rPr>
          <w:sz w:val="24"/>
          <w:szCs w:val="24"/>
        </w:rPr>
        <w:t xml:space="preserve">23 period is expected to closely match our </w:t>
      </w:r>
      <w:r w:rsidR="00CD330C">
        <w:rPr>
          <w:sz w:val="24"/>
          <w:szCs w:val="24"/>
        </w:rPr>
        <w:t xml:space="preserve">benchmark allowance, with </w:t>
      </w:r>
      <w:r w:rsidR="00170FDF">
        <w:rPr>
          <w:sz w:val="24"/>
          <w:szCs w:val="24"/>
        </w:rPr>
        <w:t>expected cap</w:t>
      </w:r>
      <w:r w:rsidR="00C024E9">
        <w:rPr>
          <w:sz w:val="24"/>
          <w:szCs w:val="24"/>
        </w:rPr>
        <w:t xml:space="preserve">ital expenditure </w:t>
      </w:r>
      <w:r w:rsidR="00170FDF">
        <w:rPr>
          <w:sz w:val="24"/>
          <w:szCs w:val="24"/>
        </w:rPr>
        <w:t xml:space="preserve">approximately </w:t>
      </w:r>
      <w:r w:rsidR="00936751">
        <w:rPr>
          <w:sz w:val="24"/>
          <w:szCs w:val="24"/>
        </w:rPr>
        <w:t>$</w:t>
      </w:r>
      <w:r w:rsidR="00834043">
        <w:rPr>
          <w:sz w:val="24"/>
          <w:szCs w:val="24"/>
        </w:rPr>
        <w:t>1.5</w:t>
      </w:r>
      <w:r w:rsidR="005F7E3C">
        <w:rPr>
          <w:sz w:val="24"/>
          <w:szCs w:val="24"/>
        </w:rPr>
        <w:t> </w:t>
      </w:r>
      <w:r w:rsidR="00AC2EC9">
        <w:rPr>
          <w:sz w:val="24"/>
          <w:szCs w:val="24"/>
        </w:rPr>
        <w:t xml:space="preserve">million </w:t>
      </w:r>
      <w:r w:rsidR="00834043">
        <w:rPr>
          <w:sz w:val="24"/>
          <w:szCs w:val="24"/>
        </w:rPr>
        <w:t>more</w:t>
      </w:r>
      <w:r w:rsidR="00AC2EC9">
        <w:rPr>
          <w:sz w:val="24"/>
          <w:szCs w:val="24"/>
        </w:rPr>
        <w:t xml:space="preserve"> than </w:t>
      </w:r>
      <w:r w:rsidR="005F7E3C">
        <w:rPr>
          <w:sz w:val="24"/>
          <w:szCs w:val="24"/>
        </w:rPr>
        <w:t>the</w:t>
      </w:r>
      <w:r w:rsidR="00E409F7">
        <w:rPr>
          <w:sz w:val="24"/>
          <w:szCs w:val="24"/>
        </w:rPr>
        <w:t xml:space="preserve"> </w:t>
      </w:r>
      <w:r w:rsidR="00E409F7" w:rsidRPr="00955561">
        <w:rPr>
          <w:sz w:val="24"/>
          <w:szCs w:val="24"/>
        </w:rPr>
        <w:t>$</w:t>
      </w:r>
      <w:r w:rsidR="00955561" w:rsidRPr="00955561">
        <w:rPr>
          <w:sz w:val="24"/>
          <w:szCs w:val="24"/>
        </w:rPr>
        <w:t>1.2</w:t>
      </w:r>
      <w:r w:rsidR="00A703EB">
        <w:rPr>
          <w:sz w:val="24"/>
          <w:szCs w:val="24"/>
        </w:rPr>
        <w:t>5</w:t>
      </w:r>
      <w:r w:rsidR="00955561" w:rsidRPr="00955561">
        <w:rPr>
          <w:sz w:val="24"/>
          <w:szCs w:val="24"/>
        </w:rPr>
        <w:t> billion</w:t>
      </w:r>
      <w:r w:rsidR="005F7E3C">
        <w:rPr>
          <w:sz w:val="24"/>
          <w:szCs w:val="24"/>
        </w:rPr>
        <w:t xml:space="preserve"> benchmark allowance</w:t>
      </w:r>
      <w:r w:rsidR="00AC2EC9">
        <w:rPr>
          <w:sz w:val="24"/>
          <w:szCs w:val="24"/>
        </w:rPr>
        <w:t>.</w:t>
      </w:r>
    </w:p>
    <w:p w14:paraId="2ADDD7D5" w14:textId="1BADC22D" w:rsidR="001E1592" w:rsidRDefault="001E1592" w:rsidP="00652E49">
      <w:pPr>
        <w:pStyle w:val="NormalIndent"/>
        <w:ind w:left="0"/>
        <w:rPr>
          <w:sz w:val="24"/>
          <w:szCs w:val="24"/>
        </w:rPr>
      </w:pPr>
    </w:p>
    <w:p w14:paraId="73FEE9DF" w14:textId="63DEDB83" w:rsidR="001E1592" w:rsidRDefault="001E1592" w:rsidP="00652E49">
      <w:pPr>
        <w:pStyle w:val="NormalIndent"/>
        <w:ind w:left="0"/>
        <w:rPr>
          <w:sz w:val="24"/>
          <w:szCs w:val="24"/>
        </w:rPr>
      </w:pPr>
    </w:p>
    <w:p w14:paraId="77982F84" w14:textId="158753FE" w:rsidR="001E1592" w:rsidRDefault="001E1592" w:rsidP="00652E49">
      <w:pPr>
        <w:pStyle w:val="NormalIndent"/>
        <w:ind w:left="0"/>
        <w:rPr>
          <w:sz w:val="24"/>
          <w:szCs w:val="24"/>
        </w:rPr>
      </w:pPr>
    </w:p>
    <w:p w14:paraId="03ADEE0D" w14:textId="55569A45" w:rsidR="001E1592" w:rsidRDefault="001E1592" w:rsidP="00652E49">
      <w:pPr>
        <w:pStyle w:val="NormalIndent"/>
        <w:ind w:left="0"/>
        <w:rPr>
          <w:sz w:val="24"/>
          <w:szCs w:val="24"/>
        </w:rPr>
      </w:pPr>
    </w:p>
    <w:p w14:paraId="766939AE" w14:textId="595D2783" w:rsidR="001E1592" w:rsidRDefault="001E1592" w:rsidP="00652E49">
      <w:pPr>
        <w:pStyle w:val="NormalIndent"/>
        <w:ind w:left="0"/>
        <w:rPr>
          <w:sz w:val="24"/>
          <w:szCs w:val="24"/>
        </w:rPr>
      </w:pPr>
    </w:p>
    <w:p w14:paraId="65C1BA35" w14:textId="58582147" w:rsidR="001E1592" w:rsidRDefault="001E1592" w:rsidP="00652E49">
      <w:pPr>
        <w:pStyle w:val="NormalIndent"/>
        <w:ind w:left="0"/>
        <w:rPr>
          <w:sz w:val="24"/>
          <w:szCs w:val="24"/>
        </w:rPr>
      </w:pPr>
    </w:p>
    <w:p w14:paraId="480189EB" w14:textId="32591A34" w:rsidR="001E1592" w:rsidRDefault="001E1592" w:rsidP="00652E49">
      <w:pPr>
        <w:pStyle w:val="NormalIndent"/>
        <w:ind w:left="0"/>
        <w:rPr>
          <w:sz w:val="24"/>
          <w:szCs w:val="24"/>
        </w:rPr>
      </w:pPr>
    </w:p>
    <w:p w14:paraId="1F4F1A2E" w14:textId="54522E94" w:rsidR="001E1592" w:rsidRDefault="001E1592" w:rsidP="00652E49">
      <w:pPr>
        <w:pStyle w:val="NormalIndent"/>
        <w:ind w:left="0"/>
        <w:rPr>
          <w:sz w:val="24"/>
          <w:szCs w:val="24"/>
        </w:rPr>
      </w:pPr>
    </w:p>
    <w:p w14:paraId="6FD1CD56" w14:textId="20C1D236" w:rsidR="001E1592" w:rsidRDefault="001E1592" w:rsidP="00652E49">
      <w:pPr>
        <w:pStyle w:val="NormalIndent"/>
        <w:ind w:left="0"/>
        <w:rPr>
          <w:sz w:val="24"/>
          <w:szCs w:val="24"/>
        </w:rPr>
      </w:pPr>
    </w:p>
    <w:p w14:paraId="46AA22E1" w14:textId="77777777" w:rsidR="001E1592" w:rsidRDefault="001E1592" w:rsidP="00652E49">
      <w:pPr>
        <w:pStyle w:val="NormalIndent"/>
        <w:ind w:left="0"/>
        <w:rPr>
          <w:sz w:val="24"/>
          <w:szCs w:val="24"/>
        </w:rPr>
      </w:pPr>
    </w:p>
    <w:p w14:paraId="49001C2A" w14:textId="71AE6362" w:rsidR="00DA4D73" w:rsidRDefault="001E1592" w:rsidP="001E1592">
      <w:pPr>
        <w:pStyle w:val="Figuretitle"/>
        <w:ind w:right="-46"/>
        <w:rPr>
          <w:i/>
          <w:sz w:val="22"/>
          <w:szCs w:val="22"/>
        </w:rPr>
      </w:pPr>
      <w:bookmarkStart w:id="57" w:name="_Ref110937436"/>
      <w:r w:rsidRPr="000B4F52">
        <w:rPr>
          <w:i/>
          <w:noProof/>
          <w:sz w:val="22"/>
          <w:szCs w:val="22"/>
        </w:rPr>
        <w:lastRenderedPageBreak/>
        <w:drawing>
          <wp:anchor distT="0" distB="0" distL="114300" distR="114300" simplePos="0" relativeHeight="251658298" behindDoc="0" locked="0" layoutInCell="1" allowOverlap="1" wp14:anchorId="7D310ADD" wp14:editId="18DDA786">
            <wp:simplePos x="0" y="0"/>
            <wp:positionH relativeFrom="column">
              <wp:posOffset>10160</wp:posOffset>
            </wp:positionH>
            <wp:positionV relativeFrom="paragraph">
              <wp:posOffset>429895</wp:posOffset>
            </wp:positionV>
            <wp:extent cx="5764530" cy="4984115"/>
            <wp:effectExtent l="0" t="0" r="1270" b="0"/>
            <wp:wrapTopAndBottom/>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4530" cy="4984115"/>
                    </a:xfrm>
                    <a:prstGeom prst="rect">
                      <a:avLst/>
                    </a:prstGeom>
                  </pic:spPr>
                </pic:pic>
              </a:graphicData>
            </a:graphic>
            <wp14:sizeRelH relativeFrom="page">
              <wp14:pctWidth>0</wp14:pctWidth>
            </wp14:sizeRelH>
            <wp14:sizeRelV relativeFrom="page">
              <wp14:pctHeight>0</wp14:pctHeight>
            </wp14:sizeRelV>
          </wp:anchor>
        </w:drawing>
      </w:r>
      <w:r w:rsidR="008407B8" w:rsidRPr="000B4F52">
        <w:rPr>
          <w:i/>
          <w:sz w:val="22"/>
          <w:szCs w:val="22"/>
        </w:rPr>
        <w:t xml:space="preserve"> Figure </w:t>
      </w:r>
      <w:r w:rsidR="008407B8" w:rsidRPr="000B4F52">
        <w:rPr>
          <w:i/>
          <w:sz w:val="22"/>
          <w:szCs w:val="22"/>
        </w:rPr>
        <w:fldChar w:fldCharType="begin"/>
      </w:r>
      <w:r w:rsidR="008407B8" w:rsidRPr="000B4F52">
        <w:rPr>
          <w:i/>
          <w:sz w:val="22"/>
          <w:szCs w:val="22"/>
        </w:rPr>
        <w:instrText>SEQ Figure \* ARABIC</w:instrText>
      </w:r>
      <w:r w:rsidR="008407B8" w:rsidRPr="000B4F52">
        <w:rPr>
          <w:i/>
          <w:sz w:val="22"/>
          <w:szCs w:val="22"/>
        </w:rPr>
        <w:fldChar w:fldCharType="separate"/>
      </w:r>
      <w:r w:rsidR="00877DE6">
        <w:rPr>
          <w:i/>
          <w:noProof/>
          <w:sz w:val="22"/>
          <w:szCs w:val="22"/>
        </w:rPr>
        <w:t>3</w:t>
      </w:r>
      <w:r w:rsidR="008407B8" w:rsidRPr="000B4F52">
        <w:rPr>
          <w:i/>
          <w:sz w:val="22"/>
          <w:szCs w:val="22"/>
        </w:rPr>
        <w:fldChar w:fldCharType="end"/>
      </w:r>
      <w:r w:rsidR="009543C0" w:rsidRPr="000B4F52">
        <w:rPr>
          <w:i/>
          <w:sz w:val="22"/>
          <w:szCs w:val="22"/>
        </w:rPr>
        <w:t>:</w:t>
      </w:r>
      <w:r w:rsidR="00851B6C" w:rsidRPr="000B4F52">
        <w:rPr>
          <w:i/>
          <w:sz w:val="22"/>
          <w:szCs w:val="22"/>
        </w:rPr>
        <w:t xml:space="preserve"> </w:t>
      </w:r>
      <w:r>
        <w:rPr>
          <w:i/>
          <w:sz w:val="22"/>
          <w:szCs w:val="22"/>
        </w:rPr>
        <w:tab/>
      </w:r>
      <w:r w:rsidR="00DA4D73" w:rsidRPr="000B4F52">
        <w:rPr>
          <w:i/>
          <w:sz w:val="22"/>
          <w:szCs w:val="22"/>
        </w:rPr>
        <w:t>2018</w:t>
      </w:r>
      <w:r w:rsidR="007D4EB3" w:rsidRPr="000B4F52">
        <w:rPr>
          <w:i/>
          <w:sz w:val="22"/>
          <w:szCs w:val="22"/>
        </w:rPr>
        <w:t>–</w:t>
      </w:r>
      <w:r w:rsidR="00DA4D73" w:rsidRPr="000B4F52">
        <w:rPr>
          <w:i/>
          <w:sz w:val="22"/>
          <w:szCs w:val="22"/>
        </w:rPr>
        <w:t xml:space="preserve">23 </w:t>
      </w:r>
      <w:r w:rsidR="00DA4D73" w:rsidRPr="000B4F52">
        <w:rPr>
          <w:i/>
          <w:iCs w:val="0"/>
          <w:sz w:val="22"/>
          <w:szCs w:val="22"/>
        </w:rPr>
        <w:t>cap</w:t>
      </w:r>
      <w:r w:rsidR="003376A4" w:rsidRPr="000B4F52">
        <w:rPr>
          <w:i/>
          <w:iCs w:val="0"/>
          <w:sz w:val="22"/>
          <w:szCs w:val="22"/>
        </w:rPr>
        <w:t>ital expenditure</w:t>
      </w:r>
      <w:r w:rsidR="003376A4" w:rsidRPr="000B4F52">
        <w:rPr>
          <w:i/>
          <w:sz w:val="22"/>
          <w:szCs w:val="22"/>
        </w:rPr>
        <w:t xml:space="preserve"> </w:t>
      </w:r>
      <w:r w:rsidR="000838C5" w:rsidRPr="000B4F52">
        <w:rPr>
          <w:i/>
          <w:sz w:val="22"/>
          <w:szCs w:val="22"/>
        </w:rPr>
        <w:t>compared to the benchmark allowance</w:t>
      </w:r>
      <w:r w:rsidR="00D6576F" w:rsidRPr="000B4F52">
        <w:rPr>
          <w:bCs/>
          <w:i/>
          <w:sz w:val="22"/>
          <w:szCs w:val="22"/>
        </w:rPr>
        <w:t xml:space="preserve"> </w:t>
      </w:r>
      <w:r>
        <w:rPr>
          <w:bCs/>
          <w:i/>
          <w:sz w:val="22"/>
          <w:szCs w:val="22"/>
        </w:rPr>
        <w:br/>
      </w:r>
      <w:r w:rsidR="000B4F52" w:rsidRPr="000B4F52">
        <w:rPr>
          <w:rFonts w:cs="Arial"/>
          <w:bCs/>
          <w:i/>
          <w:sz w:val="22"/>
          <w:szCs w:val="22"/>
        </w:rPr>
        <w:t xml:space="preserve">($million </w:t>
      </w:r>
      <w:r w:rsidR="000B4F52" w:rsidRPr="008407B8">
        <w:rPr>
          <w:i/>
          <w:sz w:val="22"/>
          <w:szCs w:val="22"/>
        </w:rPr>
        <w:t>2022–23)</w:t>
      </w:r>
    </w:p>
    <w:p w14:paraId="13C313F6" w14:textId="372ABCE4" w:rsidR="001E1592" w:rsidRPr="000B4F52" w:rsidRDefault="001E1592" w:rsidP="001E1592">
      <w:pPr>
        <w:pStyle w:val="Figuretitle"/>
        <w:ind w:right="-46"/>
        <w:rPr>
          <w:i/>
          <w:sz w:val="22"/>
          <w:szCs w:val="22"/>
        </w:rPr>
      </w:pPr>
    </w:p>
    <w:bookmarkEnd w:id="57"/>
    <w:p w14:paraId="5FBBAF86" w14:textId="321250B7" w:rsidR="00B75844" w:rsidRPr="004B3EB0" w:rsidRDefault="00CE336F" w:rsidP="00B75844">
      <w:pPr>
        <w:pStyle w:val="NormalIndent"/>
        <w:ind w:left="0"/>
        <w:rPr>
          <w:sz w:val="24"/>
          <w:szCs w:val="24"/>
        </w:rPr>
      </w:pPr>
      <w:r>
        <w:rPr>
          <w:sz w:val="24"/>
          <w:szCs w:val="24"/>
        </w:rPr>
        <w:t>Capital expenditure variations in the 2018</w:t>
      </w:r>
      <w:r w:rsidR="007D4EB3">
        <w:rPr>
          <w:sz w:val="24"/>
          <w:szCs w:val="24"/>
        </w:rPr>
        <w:t>–</w:t>
      </w:r>
      <w:r>
        <w:rPr>
          <w:sz w:val="24"/>
          <w:szCs w:val="24"/>
        </w:rPr>
        <w:t>23 period reflect</w:t>
      </w:r>
      <w:r w:rsidR="00B75844" w:rsidRPr="004B3EB0">
        <w:rPr>
          <w:sz w:val="24"/>
          <w:szCs w:val="24"/>
        </w:rPr>
        <w:t>:</w:t>
      </w:r>
    </w:p>
    <w:p w14:paraId="497A2637" w14:textId="4F6B19B4" w:rsidR="005F7E3C" w:rsidRPr="00CB0971" w:rsidRDefault="00DD6056">
      <w:pPr>
        <w:pStyle w:val="NormalIndent"/>
        <w:numPr>
          <w:ilvl w:val="0"/>
          <w:numId w:val="76"/>
        </w:numPr>
        <w:ind w:left="426"/>
        <w:rPr>
          <w:sz w:val="24"/>
          <w:szCs w:val="24"/>
        </w:rPr>
      </w:pPr>
      <w:r>
        <w:rPr>
          <w:sz w:val="24"/>
          <w:szCs w:val="24"/>
          <w:lang w:val="en-US"/>
        </w:rPr>
        <w:t>c</w:t>
      </w:r>
      <w:r w:rsidR="004C3EE9">
        <w:rPr>
          <w:sz w:val="24"/>
          <w:szCs w:val="24"/>
          <w:lang w:val="en-US"/>
        </w:rPr>
        <w:t>oronavirus (</w:t>
      </w:r>
      <w:r w:rsidR="0074198C" w:rsidRPr="00AC262E">
        <w:rPr>
          <w:sz w:val="24"/>
          <w:szCs w:val="24"/>
          <w:lang w:val="en-US"/>
        </w:rPr>
        <w:t>COVID-19</w:t>
      </w:r>
      <w:r w:rsidR="004C3EE9">
        <w:rPr>
          <w:sz w:val="24"/>
          <w:szCs w:val="24"/>
          <w:lang w:val="en-US"/>
        </w:rPr>
        <w:t>)</w:t>
      </w:r>
      <w:r w:rsidR="00DD7755">
        <w:rPr>
          <w:sz w:val="24"/>
          <w:szCs w:val="24"/>
          <w:lang w:val="en-US"/>
        </w:rPr>
        <w:t xml:space="preserve">-related impacts, including </w:t>
      </w:r>
      <w:r w:rsidR="0052746E" w:rsidRPr="00AC262E">
        <w:rPr>
          <w:sz w:val="24"/>
          <w:szCs w:val="24"/>
          <w:lang w:val="en-US"/>
        </w:rPr>
        <w:t>slower</w:t>
      </w:r>
      <w:r w:rsidR="004F3779">
        <w:rPr>
          <w:sz w:val="24"/>
          <w:szCs w:val="24"/>
          <w:lang w:val="en-US"/>
        </w:rPr>
        <w:t xml:space="preserve"> </w:t>
      </w:r>
      <w:r w:rsidR="0052746E" w:rsidRPr="00AC262E">
        <w:rPr>
          <w:sz w:val="24"/>
          <w:szCs w:val="24"/>
          <w:lang w:val="en-US"/>
        </w:rPr>
        <w:t>than</w:t>
      </w:r>
      <w:r w:rsidR="004F3779">
        <w:rPr>
          <w:sz w:val="24"/>
          <w:szCs w:val="24"/>
          <w:lang w:val="en-US"/>
        </w:rPr>
        <w:t xml:space="preserve"> </w:t>
      </w:r>
      <w:r w:rsidR="0052746E" w:rsidRPr="00AC262E">
        <w:rPr>
          <w:sz w:val="24"/>
          <w:szCs w:val="24"/>
          <w:lang w:val="en-US"/>
        </w:rPr>
        <w:t xml:space="preserve">anticipated </w:t>
      </w:r>
      <w:r w:rsidR="00E13E87">
        <w:rPr>
          <w:sz w:val="24"/>
          <w:szCs w:val="24"/>
          <w:lang w:val="en-US"/>
        </w:rPr>
        <w:t>growth</w:t>
      </w:r>
    </w:p>
    <w:p w14:paraId="63157BE7" w14:textId="7FC62A2F" w:rsidR="006B1977" w:rsidRPr="00A130B6" w:rsidRDefault="008224B8">
      <w:pPr>
        <w:pStyle w:val="NormalIndent"/>
        <w:numPr>
          <w:ilvl w:val="0"/>
          <w:numId w:val="76"/>
        </w:numPr>
        <w:ind w:left="426"/>
        <w:rPr>
          <w:sz w:val="24"/>
          <w:szCs w:val="24"/>
        </w:rPr>
      </w:pPr>
      <w:r>
        <w:rPr>
          <w:sz w:val="24"/>
          <w:szCs w:val="24"/>
        </w:rPr>
        <w:t>i</w:t>
      </w:r>
      <w:r w:rsidR="00137119" w:rsidRPr="005F7E3C">
        <w:rPr>
          <w:sz w:val="24"/>
          <w:szCs w:val="24"/>
        </w:rPr>
        <w:t xml:space="preserve">ncreased </w:t>
      </w:r>
      <w:r w:rsidR="00DC6C8D">
        <w:rPr>
          <w:sz w:val="24"/>
          <w:szCs w:val="24"/>
          <w:lang w:val="en-US"/>
        </w:rPr>
        <w:t>i</w:t>
      </w:r>
      <w:r w:rsidR="00137119" w:rsidRPr="005F7E3C">
        <w:rPr>
          <w:sz w:val="24"/>
          <w:szCs w:val="24"/>
          <w:lang w:val="en-US"/>
        </w:rPr>
        <w:t xml:space="preserve">nvestment in sewer compliance to reactively manage sewer spills caused by asset failures to </w:t>
      </w:r>
      <w:r w:rsidR="00360A76">
        <w:rPr>
          <w:sz w:val="24"/>
          <w:szCs w:val="24"/>
          <w:lang w:val="en-US"/>
        </w:rPr>
        <w:t xml:space="preserve">protect the environment and </w:t>
      </w:r>
      <w:r w:rsidR="00137119" w:rsidRPr="005F7E3C">
        <w:rPr>
          <w:sz w:val="24"/>
          <w:szCs w:val="24"/>
          <w:lang w:val="en-US"/>
        </w:rPr>
        <w:t>ensure compliance</w:t>
      </w:r>
      <w:r w:rsidR="00137119">
        <w:rPr>
          <w:sz w:val="24"/>
          <w:szCs w:val="24"/>
          <w:lang w:val="en-US"/>
        </w:rPr>
        <w:t xml:space="preserve"> </w:t>
      </w:r>
    </w:p>
    <w:p w14:paraId="05AB9D90" w14:textId="77777777" w:rsidR="001E4941" w:rsidRPr="001E4941" w:rsidRDefault="008224B8">
      <w:pPr>
        <w:pStyle w:val="NormalIndent"/>
        <w:numPr>
          <w:ilvl w:val="0"/>
          <w:numId w:val="76"/>
        </w:numPr>
        <w:ind w:left="426"/>
        <w:rPr>
          <w:sz w:val="24"/>
          <w:szCs w:val="24"/>
        </w:rPr>
      </w:pPr>
      <w:r>
        <w:rPr>
          <w:sz w:val="24"/>
          <w:szCs w:val="24"/>
          <w:lang w:val="en-US"/>
        </w:rPr>
        <w:t>r</w:t>
      </w:r>
      <w:r w:rsidR="00E14CF3">
        <w:rPr>
          <w:sz w:val="24"/>
          <w:szCs w:val="24"/>
          <w:lang w:val="en-US"/>
        </w:rPr>
        <w:t>educed</w:t>
      </w:r>
      <w:r w:rsidR="00A130B6" w:rsidRPr="00A418EF">
        <w:rPr>
          <w:sz w:val="24"/>
          <w:szCs w:val="24"/>
          <w:lang w:val="en-US"/>
        </w:rPr>
        <w:t xml:space="preserve"> investment </w:t>
      </w:r>
      <w:r w:rsidR="006C7E24">
        <w:rPr>
          <w:sz w:val="24"/>
          <w:szCs w:val="24"/>
          <w:lang w:val="en-US"/>
        </w:rPr>
        <w:t xml:space="preserve">in </w:t>
      </w:r>
      <w:r w:rsidR="00A00E02">
        <w:rPr>
          <w:sz w:val="24"/>
          <w:szCs w:val="24"/>
          <w:lang w:val="en-US"/>
        </w:rPr>
        <w:t xml:space="preserve">water </w:t>
      </w:r>
      <w:r w:rsidR="00A130B6" w:rsidRPr="00DF598E">
        <w:rPr>
          <w:sz w:val="24"/>
          <w:szCs w:val="24"/>
          <w:lang w:val="en-US"/>
        </w:rPr>
        <w:t xml:space="preserve">renewals </w:t>
      </w:r>
      <w:r w:rsidR="00A00E02">
        <w:rPr>
          <w:sz w:val="24"/>
          <w:szCs w:val="24"/>
          <w:lang w:val="en-US"/>
        </w:rPr>
        <w:t>as burst and leaks were lower than forecast</w:t>
      </w:r>
    </w:p>
    <w:p w14:paraId="542E18C7" w14:textId="7981DA96" w:rsidR="00A130B6" w:rsidRPr="00CB0971" w:rsidRDefault="006C7E24">
      <w:pPr>
        <w:pStyle w:val="NormalIndent"/>
        <w:numPr>
          <w:ilvl w:val="0"/>
          <w:numId w:val="76"/>
        </w:numPr>
        <w:ind w:left="426"/>
        <w:rPr>
          <w:sz w:val="24"/>
          <w:szCs w:val="24"/>
        </w:rPr>
      </w:pPr>
      <w:r>
        <w:rPr>
          <w:sz w:val="24"/>
          <w:szCs w:val="24"/>
          <w:lang w:val="en-US"/>
        </w:rPr>
        <w:t>increased investment in sewer rene</w:t>
      </w:r>
      <w:r w:rsidR="008D2446">
        <w:rPr>
          <w:sz w:val="24"/>
          <w:szCs w:val="24"/>
          <w:lang w:val="en-US"/>
        </w:rPr>
        <w:t>w</w:t>
      </w:r>
      <w:r>
        <w:rPr>
          <w:sz w:val="24"/>
          <w:szCs w:val="24"/>
          <w:lang w:val="en-US"/>
        </w:rPr>
        <w:t>als to reactively manage c</w:t>
      </w:r>
      <w:r w:rsidR="005D438E">
        <w:rPr>
          <w:sz w:val="24"/>
          <w:szCs w:val="24"/>
          <w:lang w:val="en-US"/>
        </w:rPr>
        <w:t>limate variations</w:t>
      </w:r>
      <w:r w:rsidR="008D2446">
        <w:rPr>
          <w:sz w:val="24"/>
          <w:szCs w:val="24"/>
          <w:lang w:val="en-US"/>
        </w:rPr>
        <w:t xml:space="preserve"> causing high than expected sewer asset failures</w:t>
      </w:r>
      <w:r w:rsidR="005D438E">
        <w:rPr>
          <w:sz w:val="24"/>
          <w:szCs w:val="24"/>
          <w:lang w:val="en-US"/>
        </w:rPr>
        <w:t xml:space="preserve"> </w:t>
      </w:r>
    </w:p>
    <w:p w14:paraId="5D52FC7F" w14:textId="361ADDAC" w:rsidR="00C32406" w:rsidRPr="004232FD" w:rsidRDefault="00F11666">
      <w:pPr>
        <w:pStyle w:val="NormalIndent"/>
        <w:numPr>
          <w:ilvl w:val="0"/>
          <w:numId w:val="76"/>
        </w:numPr>
        <w:ind w:left="426"/>
        <w:rPr>
          <w:sz w:val="24"/>
          <w:szCs w:val="24"/>
          <w:lang w:val="en-US"/>
        </w:rPr>
      </w:pPr>
      <w:r>
        <w:rPr>
          <w:sz w:val="24"/>
          <w:szCs w:val="24"/>
        </w:rPr>
        <w:t>r</w:t>
      </w:r>
      <w:r w:rsidR="007B47C2">
        <w:rPr>
          <w:sz w:val="24"/>
          <w:szCs w:val="24"/>
        </w:rPr>
        <w:t>educed</w:t>
      </w:r>
      <w:r w:rsidR="005F7E3C" w:rsidRPr="005F7E3C">
        <w:rPr>
          <w:sz w:val="24"/>
          <w:szCs w:val="24"/>
        </w:rPr>
        <w:t xml:space="preserve"> </w:t>
      </w:r>
      <w:r w:rsidR="003C7C42">
        <w:rPr>
          <w:sz w:val="24"/>
          <w:szCs w:val="24"/>
        </w:rPr>
        <w:t>c</w:t>
      </w:r>
      <w:r w:rsidR="005F7E3C" w:rsidRPr="005F7E3C">
        <w:rPr>
          <w:sz w:val="24"/>
          <w:szCs w:val="24"/>
        </w:rPr>
        <w:t>orporate investment due to t</w:t>
      </w:r>
      <w:r w:rsidR="005F7E3C" w:rsidRPr="00225B80">
        <w:rPr>
          <w:sz w:val="24"/>
          <w:szCs w:val="24"/>
        </w:rPr>
        <w:t xml:space="preserve">he deferral of </w:t>
      </w:r>
      <w:r w:rsidR="005F7E3C" w:rsidRPr="005F7E3C">
        <w:rPr>
          <w:sz w:val="24"/>
          <w:szCs w:val="24"/>
        </w:rPr>
        <w:t>planned</w:t>
      </w:r>
      <w:r w:rsidR="005F7E3C" w:rsidRPr="00225B80">
        <w:rPr>
          <w:sz w:val="24"/>
          <w:szCs w:val="24"/>
        </w:rPr>
        <w:t xml:space="preserve"> </w:t>
      </w:r>
      <w:r w:rsidR="005F7E3C" w:rsidRPr="005F7E3C">
        <w:rPr>
          <w:sz w:val="24"/>
          <w:szCs w:val="24"/>
        </w:rPr>
        <w:t xml:space="preserve">information </w:t>
      </w:r>
      <w:r w:rsidR="005F7E3C" w:rsidRPr="00225B80">
        <w:rPr>
          <w:sz w:val="24"/>
          <w:szCs w:val="24"/>
        </w:rPr>
        <w:t>system replacements to reprioritise</w:t>
      </w:r>
      <w:r w:rsidR="005F7E3C" w:rsidRPr="005F7E3C">
        <w:rPr>
          <w:sz w:val="24"/>
          <w:szCs w:val="24"/>
        </w:rPr>
        <w:t xml:space="preserve"> </w:t>
      </w:r>
      <w:r w:rsidR="005F7E3C" w:rsidRPr="00225B80">
        <w:rPr>
          <w:sz w:val="24"/>
          <w:szCs w:val="24"/>
        </w:rPr>
        <w:t>security</w:t>
      </w:r>
      <w:r w:rsidR="005F7E3C" w:rsidRPr="005F7E3C">
        <w:rPr>
          <w:sz w:val="24"/>
          <w:szCs w:val="24"/>
        </w:rPr>
        <w:t>-related projects</w:t>
      </w:r>
      <w:r w:rsidR="00410FC6">
        <w:rPr>
          <w:sz w:val="24"/>
          <w:szCs w:val="24"/>
        </w:rPr>
        <w:t>,</w:t>
      </w:r>
      <w:r w:rsidR="005F7E3C" w:rsidRPr="005F7E3C">
        <w:rPr>
          <w:sz w:val="24"/>
          <w:szCs w:val="24"/>
        </w:rPr>
        <w:t xml:space="preserve"> a</w:t>
      </w:r>
      <w:r w:rsidR="005F7E3C" w:rsidRPr="00225B80">
        <w:rPr>
          <w:sz w:val="24"/>
          <w:szCs w:val="24"/>
        </w:rPr>
        <w:t>nd</w:t>
      </w:r>
      <w:r w:rsidR="005F7E3C" w:rsidRPr="005F7E3C">
        <w:rPr>
          <w:sz w:val="24"/>
          <w:szCs w:val="24"/>
        </w:rPr>
        <w:t xml:space="preserve"> </w:t>
      </w:r>
      <w:r w:rsidR="005F7E3C" w:rsidRPr="00225B80">
        <w:rPr>
          <w:sz w:val="24"/>
          <w:szCs w:val="24"/>
        </w:rPr>
        <w:t>remote working</w:t>
      </w:r>
      <w:r w:rsidR="00100363">
        <w:rPr>
          <w:sz w:val="24"/>
          <w:szCs w:val="24"/>
        </w:rPr>
        <w:t xml:space="preserve"> capabilities</w:t>
      </w:r>
      <w:r w:rsidR="005F7E3C" w:rsidRPr="005F7E3C">
        <w:rPr>
          <w:sz w:val="24"/>
          <w:szCs w:val="24"/>
        </w:rPr>
        <w:t xml:space="preserve"> during the </w:t>
      </w:r>
      <w:r w:rsidR="00410FC6">
        <w:rPr>
          <w:sz w:val="24"/>
          <w:szCs w:val="24"/>
        </w:rPr>
        <w:t>coronavirus (</w:t>
      </w:r>
      <w:r w:rsidR="005F7E3C" w:rsidRPr="005F7E3C">
        <w:rPr>
          <w:sz w:val="24"/>
          <w:szCs w:val="24"/>
        </w:rPr>
        <w:t>COVID-19</w:t>
      </w:r>
      <w:r w:rsidR="00410FC6">
        <w:rPr>
          <w:sz w:val="24"/>
          <w:szCs w:val="24"/>
        </w:rPr>
        <w:t>)</w:t>
      </w:r>
      <w:r w:rsidR="005F7E3C" w:rsidRPr="005F7E3C">
        <w:rPr>
          <w:sz w:val="24"/>
          <w:szCs w:val="24"/>
        </w:rPr>
        <w:t xml:space="preserve"> pandemic</w:t>
      </w:r>
      <w:r w:rsidR="005F7E3C" w:rsidRPr="00225B80">
        <w:rPr>
          <w:sz w:val="24"/>
          <w:szCs w:val="24"/>
        </w:rPr>
        <w:t>.</w:t>
      </w:r>
    </w:p>
    <w:p w14:paraId="74EADED9" w14:textId="7CDB0CA5" w:rsidR="00703A71" w:rsidRPr="00703A71" w:rsidRDefault="00703A71" w:rsidP="00703A71">
      <w:pPr>
        <w:pStyle w:val="NormalIndent"/>
        <w:ind w:left="66"/>
        <w:rPr>
          <w:sz w:val="24"/>
          <w:szCs w:val="24"/>
        </w:rPr>
      </w:pPr>
      <w:r w:rsidRPr="00703A71">
        <w:rPr>
          <w:sz w:val="24"/>
          <w:szCs w:val="24"/>
        </w:rPr>
        <w:t xml:space="preserve">To minimise the risk to customers in the 2018-2023 regulatory period, we kept Elster Creek Catchment and Clayton East and West Catchment Capacity Improvement projects in our Top 10 project list but removed them from our capital allowance. This enabled </w:t>
      </w:r>
      <w:r w:rsidRPr="00703A71">
        <w:rPr>
          <w:sz w:val="24"/>
          <w:szCs w:val="24"/>
        </w:rPr>
        <w:lastRenderedPageBreak/>
        <w:t>South East Water, rather than our customers, to take the risk of the unknown timing of these projects. The subsequent deferral of these projects has resulted in the development</w:t>
      </w:r>
      <w:r>
        <w:rPr>
          <w:sz w:val="24"/>
          <w:szCs w:val="24"/>
        </w:rPr>
        <w:t xml:space="preserve"> </w:t>
      </w:r>
      <w:r w:rsidRPr="00703A71">
        <w:rPr>
          <w:sz w:val="24"/>
          <w:szCs w:val="24"/>
        </w:rPr>
        <w:t xml:space="preserve">of lower-cost solutions, the safe deferral of significant upgrade works, and an overall reduction in spend. </w:t>
      </w:r>
    </w:p>
    <w:p w14:paraId="1F516599" w14:textId="59BDDD30" w:rsidR="00703A71" w:rsidRDefault="00703A71" w:rsidP="00B75844">
      <w:pPr>
        <w:pStyle w:val="NormalIndent"/>
        <w:ind w:left="0"/>
        <w:rPr>
          <w:sz w:val="24"/>
          <w:szCs w:val="24"/>
        </w:rPr>
      </w:pPr>
      <w:r w:rsidRPr="00703A71">
        <w:rPr>
          <w:sz w:val="24"/>
          <w:szCs w:val="24"/>
        </w:rPr>
        <w:t xml:space="preserve">We also used our programmatic risk bank approach (see page </w:t>
      </w:r>
      <w:r>
        <w:rPr>
          <w:sz w:val="24"/>
          <w:szCs w:val="24"/>
        </w:rPr>
        <w:t>9</w:t>
      </w:r>
      <w:r w:rsidR="007B2AEE">
        <w:rPr>
          <w:sz w:val="24"/>
          <w:szCs w:val="24"/>
        </w:rPr>
        <w:t>2</w:t>
      </w:r>
      <w:r w:rsidRPr="00703A71">
        <w:rPr>
          <w:sz w:val="24"/>
          <w:szCs w:val="24"/>
        </w:rPr>
        <w:t xml:space="preserve">) to internally fund the increased costs associated with the Boneo </w:t>
      </w:r>
      <w:r w:rsidR="00CD7D59">
        <w:rPr>
          <w:sz w:val="24"/>
          <w:szCs w:val="24"/>
        </w:rPr>
        <w:t xml:space="preserve">Water Recycling Plant </w:t>
      </w:r>
      <w:r w:rsidRPr="00703A71">
        <w:rPr>
          <w:sz w:val="24"/>
          <w:szCs w:val="24"/>
        </w:rPr>
        <w:t>and Pakenham East Sewer so that these could be funded at no additional costs to customers.</w:t>
      </w:r>
    </w:p>
    <w:p w14:paraId="556FF950" w14:textId="37B37BA8" w:rsidR="000B6524" w:rsidRPr="004B3EB0" w:rsidRDefault="00CC720D" w:rsidP="00B75844">
      <w:pPr>
        <w:pStyle w:val="NormalIndent"/>
        <w:ind w:left="0"/>
        <w:rPr>
          <w:sz w:val="24"/>
          <w:szCs w:val="24"/>
        </w:rPr>
      </w:pPr>
      <w:r>
        <w:rPr>
          <w:sz w:val="24"/>
          <w:szCs w:val="24"/>
        </w:rPr>
        <w:t>Of</w:t>
      </w:r>
      <w:r w:rsidR="000B6524">
        <w:rPr>
          <w:sz w:val="24"/>
          <w:szCs w:val="24"/>
        </w:rPr>
        <w:t xml:space="preserve"> the </w:t>
      </w:r>
      <w:r w:rsidR="00E90028">
        <w:rPr>
          <w:sz w:val="24"/>
          <w:szCs w:val="24"/>
        </w:rPr>
        <w:t>8</w:t>
      </w:r>
      <w:r>
        <w:rPr>
          <w:sz w:val="24"/>
          <w:szCs w:val="24"/>
        </w:rPr>
        <w:t xml:space="preserve"> </w:t>
      </w:r>
      <w:r w:rsidR="003139DD">
        <w:rPr>
          <w:sz w:val="24"/>
          <w:szCs w:val="24"/>
        </w:rPr>
        <w:t xml:space="preserve">top </w:t>
      </w:r>
      <w:r w:rsidR="00DB0076" w:rsidRPr="004B3EB0">
        <w:rPr>
          <w:sz w:val="24"/>
          <w:szCs w:val="24"/>
        </w:rPr>
        <w:t xml:space="preserve">10 projects </w:t>
      </w:r>
      <w:r w:rsidR="00E90028">
        <w:rPr>
          <w:sz w:val="24"/>
          <w:szCs w:val="24"/>
        </w:rPr>
        <w:t xml:space="preserve">that were </w:t>
      </w:r>
      <w:r w:rsidR="005D3E50">
        <w:rPr>
          <w:sz w:val="24"/>
          <w:szCs w:val="24"/>
        </w:rPr>
        <w:t>in our capital allowance, 4</w:t>
      </w:r>
      <w:r w:rsidR="00E90028">
        <w:rPr>
          <w:sz w:val="24"/>
          <w:szCs w:val="24"/>
        </w:rPr>
        <w:t xml:space="preserve"> </w:t>
      </w:r>
      <w:r w:rsidR="00A743AA">
        <w:rPr>
          <w:sz w:val="24"/>
          <w:szCs w:val="24"/>
        </w:rPr>
        <w:t xml:space="preserve">projects were delivered </w:t>
      </w:r>
      <w:r w:rsidR="00AA40B2">
        <w:rPr>
          <w:sz w:val="24"/>
          <w:szCs w:val="24"/>
        </w:rPr>
        <w:t>either on</w:t>
      </w:r>
      <w:r w:rsidR="00BB7E6A">
        <w:rPr>
          <w:sz w:val="24"/>
          <w:szCs w:val="24"/>
        </w:rPr>
        <w:t xml:space="preserve"> </w:t>
      </w:r>
      <w:r w:rsidR="00AA40B2">
        <w:rPr>
          <w:sz w:val="24"/>
          <w:szCs w:val="24"/>
        </w:rPr>
        <w:t xml:space="preserve">time or </w:t>
      </w:r>
      <w:r w:rsidR="00A90394">
        <w:rPr>
          <w:sz w:val="24"/>
          <w:szCs w:val="24"/>
        </w:rPr>
        <w:t>later than planned (</w:t>
      </w:r>
      <w:r w:rsidR="000B6524">
        <w:rPr>
          <w:sz w:val="24"/>
          <w:szCs w:val="24"/>
        </w:rPr>
        <w:t xml:space="preserve">but </w:t>
      </w:r>
      <w:r w:rsidR="00A90394">
        <w:rPr>
          <w:sz w:val="24"/>
          <w:szCs w:val="24"/>
        </w:rPr>
        <w:t xml:space="preserve">within the </w:t>
      </w:r>
      <w:r w:rsidR="00A84040">
        <w:rPr>
          <w:sz w:val="24"/>
          <w:szCs w:val="24"/>
        </w:rPr>
        <w:t>2018</w:t>
      </w:r>
      <w:r w:rsidR="007D4EB3">
        <w:rPr>
          <w:sz w:val="24"/>
          <w:szCs w:val="24"/>
        </w:rPr>
        <w:t>–</w:t>
      </w:r>
      <w:r w:rsidR="00A84040">
        <w:rPr>
          <w:sz w:val="24"/>
          <w:szCs w:val="24"/>
        </w:rPr>
        <w:t>23 regulatory period)</w:t>
      </w:r>
      <w:r w:rsidR="00AA40B2">
        <w:rPr>
          <w:sz w:val="24"/>
          <w:szCs w:val="24"/>
        </w:rPr>
        <w:t>.</w:t>
      </w:r>
      <w:r w:rsidR="00DB7A1A">
        <w:rPr>
          <w:sz w:val="24"/>
          <w:szCs w:val="24"/>
        </w:rPr>
        <w:t xml:space="preserve"> The remaining projects </w:t>
      </w:r>
      <w:r w:rsidR="00D04628">
        <w:rPr>
          <w:sz w:val="24"/>
          <w:szCs w:val="24"/>
        </w:rPr>
        <w:t xml:space="preserve">have </w:t>
      </w:r>
      <w:r w:rsidR="00DB7A1A">
        <w:rPr>
          <w:sz w:val="24"/>
          <w:szCs w:val="24"/>
        </w:rPr>
        <w:t xml:space="preserve">either </w:t>
      </w:r>
      <w:r w:rsidR="000B6524">
        <w:rPr>
          <w:sz w:val="24"/>
          <w:szCs w:val="24"/>
        </w:rPr>
        <w:t xml:space="preserve">been </w:t>
      </w:r>
      <w:r w:rsidR="00D04628">
        <w:rPr>
          <w:sz w:val="24"/>
          <w:szCs w:val="24"/>
        </w:rPr>
        <w:t xml:space="preserve">delayed </w:t>
      </w:r>
      <w:r w:rsidR="007B3E9A">
        <w:rPr>
          <w:sz w:val="24"/>
          <w:szCs w:val="24"/>
        </w:rPr>
        <w:t>or deferred</w:t>
      </w:r>
      <w:r w:rsidR="008512EA" w:rsidRPr="008512EA">
        <w:rPr>
          <w:sz w:val="24"/>
          <w:szCs w:val="24"/>
        </w:rPr>
        <w:t>.</w:t>
      </w:r>
      <w:r w:rsidR="008512EA">
        <w:rPr>
          <w:sz w:val="24"/>
          <w:szCs w:val="24"/>
        </w:rPr>
        <w:t xml:space="preserve"> </w:t>
      </w:r>
    </w:p>
    <w:p w14:paraId="4A350647" w14:textId="5717C50B" w:rsidR="00137E79" w:rsidRDefault="00B22CB3" w:rsidP="00B75844">
      <w:pPr>
        <w:pStyle w:val="NormalIndent"/>
        <w:ind w:left="0"/>
        <w:rPr>
          <w:sz w:val="24"/>
          <w:szCs w:val="24"/>
        </w:rPr>
      </w:pPr>
      <w:r>
        <w:rPr>
          <w:sz w:val="24"/>
          <w:szCs w:val="24"/>
        </w:rPr>
        <w:t xml:space="preserve">Table 22 </w:t>
      </w:r>
      <w:r w:rsidR="009F1AEE">
        <w:rPr>
          <w:sz w:val="24"/>
          <w:szCs w:val="24"/>
        </w:rPr>
        <w:t>provides</w:t>
      </w:r>
      <w:r w:rsidR="000B7C1C">
        <w:rPr>
          <w:sz w:val="24"/>
          <w:szCs w:val="24"/>
        </w:rPr>
        <w:t xml:space="preserve"> a list of</w:t>
      </w:r>
      <w:r w:rsidR="003139DD">
        <w:rPr>
          <w:sz w:val="24"/>
          <w:szCs w:val="24"/>
        </w:rPr>
        <w:t xml:space="preserve"> our </w:t>
      </w:r>
      <w:r w:rsidR="00977752">
        <w:rPr>
          <w:sz w:val="24"/>
          <w:szCs w:val="24"/>
        </w:rPr>
        <w:t>top 10 major capital projects for</w:t>
      </w:r>
      <w:r w:rsidR="00FB4C0D">
        <w:rPr>
          <w:sz w:val="24"/>
          <w:szCs w:val="24"/>
        </w:rPr>
        <w:t xml:space="preserve"> </w:t>
      </w:r>
      <w:r w:rsidR="00603ADD">
        <w:rPr>
          <w:sz w:val="24"/>
          <w:szCs w:val="24"/>
        </w:rPr>
        <w:t>2018</w:t>
      </w:r>
      <w:r w:rsidR="007D4EB3">
        <w:rPr>
          <w:sz w:val="24"/>
          <w:szCs w:val="24"/>
        </w:rPr>
        <w:t>–</w:t>
      </w:r>
      <w:r w:rsidR="00603ADD">
        <w:rPr>
          <w:sz w:val="24"/>
          <w:szCs w:val="24"/>
        </w:rPr>
        <w:t>23</w:t>
      </w:r>
      <w:r w:rsidR="000B7C1C">
        <w:rPr>
          <w:sz w:val="24"/>
          <w:szCs w:val="24"/>
        </w:rPr>
        <w:t xml:space="preserve">, their current status and performance score (against their </w:t>
      </w:r>
      <w:r w:rsidR="00FE56D9">
        <w:rPr>
          <w:sz w:val="24"/>
          <w:szCs w:val="24"/>
        </w:rPr>
        <w:t>2018</w:t>
      </w:r>
      <w:r w:rsidR="007D4EB3">
        <w:rPr>
          <w:sz w:val="24"/>
          <w:szCs w:val="24"/>
        </w:rPr>
        <w:t>–</w:t>
      </w:r>
      <w:r w:rsidR="00FE56D9">
        <w:rPr>
          <w:sz w:val="24"/>
          <w:szCs w:val="24"/>
        </w:rPr>
        <w:t>23</w:t>
      </w:r>
      <w:r w:rsidR="000B7C1C">
        <w:rPr>
          <w:sz w:val="24"/>
          <w:szCs w:val="24"/>
        </w:rPr>
        <w:t xml:space="preserve"> commitment)</w:t>
      </w:r>
      <w:r w:rsidR="00BB7E6A">
        <w:rPr>
          <w:sz w:val="24"/>
          <w:szCs w:val="24"/>
        </w:rPr>
        <w:t>.</w:t>
      </w:r>
      <w:r w:rsidR="00DB0076" w:rsidRPr="004B3EB0">
        <w:rPr>
          <w:sz w:val="24"/>
          <w:szCs w:val="24"/>
        </w:rPr>
        <w:t xml:space="preserve"> </w:t>
      </w:r>
    </w:p>
    <w:p w14:paraId="269AA450" w14:textId="3760A9D4" w:rsidR="00B22CB3" w:rsidRPr="00B22CB3" w:rsidRDefault="00B22CB3" w:rsidP="00B22CB3">
      <w:pPr>
        <w:pStyle w:val="Tabletitle"/>
        <w:spacing w:after="120"/>
        <w:rPr>
          <w:i/>
          <w:sz w:val="22"/>
          <w:szCs w:val="22"/>
        </w:rPr>
      </w:pPr>
      <w:r w:rsidRPr="00D75F40">
        <w:rPr>
          <w:i/>
          <w:sz w:val="22"/>
          <w:szCs w:val="22"/>
        </w:rPr>
        <w:t xml:space="preserve">Table </w:t>
      </w:r>
      <w:r w:rsidR="00E0331E" w:rsidRPr="00CE6C4E">
        <w:rPr>
          <w:b w:val="0"/>
          <w:bCs/>
          <w:i/>
          <w:iCs w:val="0"/>
          <w:sz w:val="22"/>
          <w:szCs w:val="22"/>
        </w:rPr>
        <w:fldChar w:fldCharType="begin"/>
      </w:r>
      <w:r w:rsidR="00E0331E" w:rsidRPr="00CE6C4E">
        <w:rPr>
          <w:bCs/>
          <w:i/>
          <w:iCs w:val="0"/>
          <w:sz w:val="22"/>
          <w:szCs w:val="22"/>
        </w:rPr>
        <w:instrText>SEQ Table \* ARABIC</w:instrText>
      </w:r>
      <w:r w:rsidR="00E0331E" w:rsidRPr="00CE6C4E">
        <w:rPr>
          <w:b w:val="0"/>
          <w:bCs/>
          <w:i/>
          <w:iCs w:val="0"/>
          <w:sz w:val="22"/>
          <w:szCs w:val="22"/>
        </w:rPr>
        <w:fldChar w:fldCharType="separate"/>
      </w:r>
      <w:r w:rsidR="00E0331E">
        <w:rPr>
          <w:bCs/>
          <w:i/>
          <w:iCs w:val="0"/>
          <w:noProof/>
          <w:sz w:val="22"/>
          <w:szCs w:val="22"/>
        </w:rPr>
        <w:t>22</w:t>
      </w:r>
      <w:r w:rsidR="00E0331E" w:rsidRPr="00CE6C4E">
        <w:rPr>
          <w:b w:val="0"/>
          <w:bCs/>
          <w:i/>
          <w:iCs w:val="0"/>
          <w:sz w:val="22"/>
          <w:szCs w:val="22"/>
        </w:rPr>
        <w:fldChar w:fldCharType="end"/>
      </w:r>
      <w:r w:rsidRPr="00D75F40">
        <w:rPr>
          <w:i/>
          <w:sz w:val="22"/>
          <w:szCs w:val="22"/>
        </w:rPr>
        <w:t xml:space="preserve">: </w:t>
      </w:r>
      <w:r>
        <w:rPr>
          <w:i/>
          <w:sz w:val="22"/>
          <w:szCs w:val="22"/>
        </w:rPr>
        <w:t>2018 top 10 capital projects</w:t>
      </w:r>
    </w:p>
    <w:tbl>
      <w:tblPr>
        <w:tblStyle w:val="TableGrid"/>
        <w:tblW w:w="9642" w:type="dxa"/>
        <w:tblBorders>
          <w:top w:val="single" w:sz="2" w:space="0" w:color="002279"/>
          <w:left w:val="single" w:sz="2" w:space="0" w:color="002279"/>
          <w:bottom w:val="single" w:sz="2" w:space="0" w:color="002279"/>
          <w:right w:val="single" w:sz="2" w:space="0" w:color="002279"/>
          <w:insideH w:val="single" w:sz="2" w:space="0" w:color="002279"/>
          <w:insideV w:val="single" w:sz="2" w:space="0" w:color="002279"/>
        </w:tblBorders>
        <w:tblCellMar>
          <w:left w:w="108" w:type="dxa"/>
          <w:right w:w="108" w:type="dxa"/>
        </w:tblCellMar>
        <w:tblLook w:val="04A0" w:firstRow="1" w:lastRow="0" w:firstColumn="1" w:lastColumn="0" w:noHBand="0" w:noVBand="1"/>
      </w:tblPr>
      <w:tblGrid>
        <w:gridCol w:w="5829"/>
        <w:gridCol w:w="2251"/>
        <w:gridCol w:w="1562"/>
      </w:tblGrid>
      <w:tr w:rsidR="0006734B" w:rsidRPr="00B6000A" w14:paraId="520EBA10" w14:textId="77777777" w:rsidTr="001E1592">
        <w:tc>
          <w:tcPr>
            <w:tcW w:w="5829" w:type="dxa"/>
            <w:tcBorders>
              <w:right w:val="single" w:sz="4" w:space="0" w:color="FFFFFF" w:themeColor="background1"/>
            </w:tcBorders>
            <w:shd w:val="clear" w:color="auto" w:fill="002279"/>
            <w:vAlign w:val="center"/>
          </w:tcPr>
          <w:p w14:paraId="75509A03" w14:textId="61F77FCB" w:rsidR="00B6000A" w:rsidRPr="00116E55" w:rsidRDefault="00B6000A" w:rsidP="00B6000A">
            <w:pPr>
              <w:pStyle w:val="NormalIndent"/>
              <w:spacing w:before="60" w:after="60"/>
              <w:ind w:left="0"/>
              <w:rPr>
                <w:rFonts w:ascii="Arial" w:hAnsi="Arial"/>
                <w:b/>
                <w:bCs/>
                <w:iCs/>
                <w:color w:val="FFFFFF" w:themeColor="background1"/>
                <w:sz w:val="20"/>
                <w:szCs w:val="20"/>
              </w:rPr>
            </w:pPr>
            <w:r w:rsidRPr="00116E55">
              <w:rPr>
                <w:rFonts w:ascii="Arial" w:hAnsi="Arial" w:cs="Arial"/>
                <w:b/>
                <w:bCs/>
                <w:color w:val="FFFFFF" w:themeColor="background1"/>
                <w:sz w:val="20"/>
                <w:szCs w:val="20"/>
              </w:rPr>
              <w:t>Project</w:t>
            </w:r>
          </w:p>
        </w:tc>
        <w:tc>
          <w:tcPr>
            <w:tcW w:w="2251" w:type="dxa"/>
            <w:tcBorders>
              <w:left w:val="single" w:sz="4" w:space="0" w:color="FFFFFF" w:themeColor="background1"/>
              <w:right w:val="single" w:sz="4" w:space="0" w:color="FFFFFF" w:themeColor="background1"/>
            </w:tcBorders>
            <w:shd w:val="clear" w:color="auto" w:fill="002279"/>
            <w:vAlign w:val="center"/>
          </w:tcPr>
          <w:p w14:paraId="30315B67" w14:textId="6EEE69A2" w:rsidR="00B6000A" w:rsidRPr="00116E55" w:rsidRDefault="00B6000A" w:rsidP="00D145ED">
            <w:pPr>
              <w:pStyle w:val="NormalIndent"/>
              <w:spacing w:before="60" w:after="60"/>
              <w:ind w:left="0"/>
              <w:rPr>
                <w:rFonts w:ascii="Arial" w:hAnsi="Arial"/>
                <w:b/>
                <w:bCs/>
                <w:iCs/>
                <w:color w:val="FFFFFF" w:themeColor="background1"/>
                <w:sz w:val="20"/>
                <w:szCs w:val="20"/>
              </w:rPr>
            </w:pPr>
            <w:r w:rsidRPr="00116E55">
              <w:rPr>
                <w:rFonts w:ascii="Arial" w:hAnsi="Arial" w:cs="Arial"/>
                <w:b/>
                <w:bCs/>
                <w:color w:val="FFFFFF" w:themeColor="background1"/>
                <w:sz w:val="20"/>
                <w:szCs w:val="20"/>
                <w:lang w:eastAsia="en-AU"/>
              </w:rPr>
              <w:t>Status</w:t>
            </w:r>
          </w:p>
        </w:tc>
        <w:tc>
          <w:tcPr>
            <w:tcW w:w="1562" w:type="dxa"/>
            <w:tcBorders>
              <w:left w:val="single" w:sz="4" w:space="0" w:color="FFFFFF" w:themeColor="background1"/>
            </w:tcBorders>
            <w:shd w:val="clear" w:color="auto" w:fill="002279"/>
            <w:vAlign w:val="center"/>
          </w:tcPr>
          <w:p w14:paraId="708C5110" w14:textId="4D52C5A6" w:rsidR="00B6000A" w:rsidRPr="00116E55" w:rsidRDefault="00B6000A" w:rsidP="00B6000A">
            <w:pPr>
              <w:pStyle w:val="NormalIndent"/>
              <w:spacing w:before="60" w:after="60"/>
              <w:ind w:left="0"/>
              <w:jc w:val="center"/>
              <w:rPr>
                <w:rFonts w:ascii="Arial" w:hAnsi="Arial"/>
                <w:b/>
                <w:bCs/>
                <w:iCs/>
                <w:color w:val="FFFFFF" w:themeColor="background1"/>
                <w:sz w:val="20"/>
                <w:szCs w:val="20"/>
              </w:rPr>
            </w:pPr>
            <w:r w:rsidRPr="00116E55">
              <w:rPr>
                <w:rFonts w:ascii="Arial" w:hAnsi="Arial" w:cs="Arial"/>
                <w:b/>
                <w:bCs/>
                <w:color w:val="FFFFFF" w:themeColor="background1"/>
                <w:sz w:val="20"/>
                <w:szCs w:val="20"/>
                <w:lang w:eastAsia="en-AU"/>
              </w:rPr>
              <w:t xml:space="preserve">Performance </w:t>
            </w:r>
            <w:r w:rsidR="0039719C" w:rsidRPr="00116E55">
              <w:rPr>
                <w:rFonts w:ascii="Arial" w:hAnsi="Arial" w:cs="Arial"/>
                <w:b/>
                <w:bCs/>
                <w:color w:val="FFFFFF" w:themeColor="background1"/>
                <w:sz w:val="20"/>
                <w:szCs w:val="20"/>
                <w:lang w:eastAsia="en-AU"/>
              </w:rPr>
              <w:t>s</w:t>
            </w:r>
            <w:r w:rsidRPr="00116E55">
              <w:rPr>
                <w:rFonts w:ascii="Arial" w:hAnsi="Arial" w:cs="Arial"/>
                <w:b/>
                <w:bCs/>
                <w:color w:val="FFFFFF" w:themeColor="background1"/>
                <w:sz w:val="20"/>
                <w:szCs w:val="20"/>
                <w:lang w:eastAsia="en-AU"/>
              </w:rPr>
              <w:t>core</w:t>
            </w:r>
          </w:p>
        </w:tc>
      </w:tr>
      <w:tr w:rsidR="0006734B" w14:paraId="3F35AB7E" w14:textId="77777777" w:rsidTr="00360131">
        <w:trPr>
          <w:cantSplit/>
          <w:trHeight w:val="454"/>
        </w:trPr>
        <w:tc>
          <w:tcPr>
            <w:tcW w:w="5829" w:type="dxa"/>
            <w:shd w:val="clear" w:color="auto" w:fill="D4D6DF"/>
            <w:vAlign w:val="center"/>
          </w:tcPr>
          <w:p w14:paraId="1A04DD58" w14:textId="17F6C80F" w:rsidR="00B6000A" w:rsidRPr="006C700E" w:rsidRDefault="00B6000A" w:rsidP="00DA3F08">
            <w:pPr>
              <w:rPr>
                <w:sz w:val="20"/>
                <w:szCs w:val="20"/>
              </w:rPr>
            </w:pPr>
            <w:r w:rsidRPr="006C700E">
              <w:rPr>
                <w:sz w:val="20"/>
                <w:szCs w:val="20"/>
              </w:rPr>
              <w:t>Boneo Water Recycling Plant Upgrade (</w:t>
            </w:r>
            <w:r w:rsidR="009A4E42" w:rsidRPr="006C700E">
              <w:rPr>
                <w:sz w:val="20"/>
                <w:szCs w:val="20"/>
              </w:rPr>
              <w:t>s</w:t>
            </w:r>
            <w:r w:rsidRPr="006C700E">
              <w:rPr>
                <w:sz w:val="20"/>
                <w:szCs w:val="20"/>
              </w:rPr>
              <w:t>tage 4)</w:t>
            </w:r>
          </w:p>
        </w:tc>
        <w:tc>
          <w:tcPr>
            <w:tcW w:w="2251" w:type="dxa"/>
            <w:shd w:val="clear" w:color="auto" w:fill="D4D6DF"/>
            <w:vAlign w:val="center"/>
          </w:tcPr>
          <w:p w14:paraId="47AC312A" w14:textId="54094CB1" w:rsidR="00B6000A" w:rsidRPr="00116E55" w:rsidRDefault="00B6000A" w:rsidP="00D145ED">
            <w:pPr>
              <w:pStyle w:val="NormalIndent"/>
              <w:spacing w:before="60" w:after="60"/>
              <w:ind w:left="0"/>
              <w:rPr>
                <w:rFonts w:ascii="Arial" w:hAnsi="Arial"/>
                <w:b/>
                <w:iCs/>
                <w:sz w:val="20"/>
                <w:szCs w:val="20"/>
              </w:rPr>
            </w:pPr>
            <w:r w:rsidRPr="00116E55">
              <w:rPr>
                <w:rFonts w:ascii="Arial" w:hAnsi="Arial" w:cs="Arial"/>
                <w:sz w:val="20"/>
                <w:szCs w:val="20"/>
                <w:lang w:eastAsia="en-AU"/>
              </w:rPr>
              <w:t>Completed Late</w:t>
            </w:r>
          </w:p>
        </w:tc>
        <w:tc>
          <w:tcPr>
            <w:tcW w:w="1562" w:type="dxa"/>
            <w:shd w:val="clear" w:color="auto" w:fill="D4D6DF"/>
            <w:vAlign w:val="center"/>
          </w:tcPr>
          <w:p w14:paraId="33E6FAF0" w14:textId="03D00DFA" w:rsidR="00B6000A" w:rsidRPr="00116E55" w:rsidRDefault="00B6000A" w:rsidP="00B6000A">
            <w:pPr>
              <w:pStyle w:val="NormalIndent"/>
              <w:spacing w:before="60" w:after="60"/>
              <w:ind w:left="0"/>
              <w:jc w:val="center"/>
              <w:rPr>
                <w:rFonts w:ascii="Arial" w:hAnsi="Arial"/>
                <w:b/>
                <w:iCs/>
                <w:sz w:val="20"/>
                <w:szCs w:val="20"/>
              </w:rPr>
            </w:pPr>
            <w:r w:rsidRPr="00116E55">
              <w:rPr>
                <w:rFonts w:ascii="Arial" w:hAnsi="Arial" w:cs="Arial"/>
                <w:color w:val="000000"/>
                <w:sz w:val="20"/>
                <w:szCs w:val="20"/>
                <w:lang w:eastAsia="en-AU"/>
              </w:rPr>
              <w:t>2</w:t>
            </w:r>
          </w:p>
        </w:tc>
      </w:tr>
      <w:tr w:rsidR="0006734B" w14:paraId="4915491C" w14:textId="77777777" w:rsidTr="00360131">
        <w:trPr>
          <w:trHeight w:val="454"/>
        </w:trPr>
        <w:tc>
          <w:tcPr>
            <w:tcW w:w="5829" w:type="dxa"/>
            <w:vAlign w:val="center"/>
          </w:tcPr>
          <w:p w14:paraId="0900E69B" w14:textId="5BDC729D" w:rsidR="00B6000A" w:rsidRPr="006C700E" w:rsidRDefault="00B6000A" w:rsidP="00DA3F08">
            <w:pPr>
              <w:rPr>
                <w:sz w:val="20"/>
                <w:szCs w:val="20"/>
              </w:rPr>
            </w:pPr>
            <w:r w:rsidRPr="006C700E">
              <w:rPr>
                <w:sz w:val="20"/>
                <w:szCs w:val="20"/>
              </w:rPr>
              <w:t>Elster Creek Catchment Capacity Improvement (</w:t>
            </w:r>
            <w:r w:rsidR="009A4E42" w:rsidRPr="006C700E">
              <w:rPr>
                <w:sz w:val="20"/>
                <w:szCs w:val="20"/>
              </w:rPr>
              <w:t>s</w:t>
            </w:r>
            <w:r w:rsidRPr="006C700E">
              <w:rPr>
                <w:sz w:val="20"/>
                <w:szCs w:val="20"/>
              </w:rPr>
              <w:t>tage 1)</w:t>
            </w:r>
          </w:p>
        </w:tc>
        <w:tc>
          <w:tcPr>
            <w:tcW w:w="2251" w:type="dxa"/>
            <w:vAlign w:val="center"/>
          </w:tcPr>
          <w:p w14:paraId="029B7605" w14:textId="56ADF3AD" w:rsidR="00B6000A" w:rsidRPr="00116E55" w:rsidRDefault="007A43E8" w:rsidP="00D145ED">
            <w:pPr>
              <w:pStyle w:val="NormalIndent"/>
              <w:spacing w:before="60" w:after="60"/>
              <w:ind w:left="0"/>
              <w:rPr>
                <w:rFonts w:ascii="Arial" w:hAnsi="Arial"/>
                <w:b/>
                <w:iCs/>
                <w:sz w:val="20"/>
                <w:szCs w:val="20"/>
              </w:rPr>
            </w:pPr>
            <w:r>
              <w:rPr>
                <w:rFonts w:ascii="Arial" w:hAnsi="Arial" w:cs="Arial"/>
                <w:sz w:val="20"/>
                <w:szCs w:val="20"/>
                <w:lang w:eastAsia="en-AU"/>
              </w:rPr>
              <w:t>Excluded from capital allowance</w:t>
            </w:r>
          </w:p>
        </w:tc>
        <w:tc>
          <w:tcPr>
            <w:tcW w:w="1562" w:type="dxa"/>
            <w:vAlign w:val="center"/>
          </w:tcPr>
          <w:p w14:paraId="210B49A7" w14:textId="78D7D88F" w:rsidR="00B6000A" w:rsidRPr="00116E55" w:rsidRDefault="00B6000A" w:rsidP="00B6000A">
            <w:pPr>
              <w:pStyle w:val="NormalIndent"/>
              <w:spacing w:before="60" w:after="60"/>
              <w:ind w:left="0"/>
              <w:jc w:val="center"/>
              <w:rPr>
                <w:rFonts w:ascii="Arial" w:hAnsi="Arial"/>
                <w:b/>
                <w:iCs/>
                <w:sz w:val="20"/>
                <w:szCs w:val="20"/>
              </w:rPr>
            </w:pPr>
            <w:r w:rsidRPr="00116E55">
              <w:rPr>
                <w:rFonts w:ascii="Arial" w:hAnsi="Arial" w:cs="Arial"/>
                <w:color w:val="000000"/>
                <w:sz w:val="20"/>
                <w:szCs w:val="20"/>
                <w:lang w:eastAsia="en-AU"/>
              </w:rPr>
              <w:t>2</w:t>
            </w:r>
          </w:p>
        </w:tc>
      </w:tr>
      <w:tr w:rsidR="0006734B" w14:paraId="2C48D13B" w14:textId="77777777" w:rsidTr="00360131">
        <w:trPr>
          <w:trHeight w:val="454"/>
        </w:trPr>
        <w:tc>
          <w:tcPr>
            <w:tcW w:w="5829" w:type="dxa"/>
            <w:shd w:val="clear" w:color="auto" w:fill="D4D6DF"/>
            <w:vAlign w:val="center"/>
          </w:tcPr>
          <w:p w14:paraId="50A2A5EA" w14:textId="0B9BDDEA" w:rsidR="00B6000A" w:rsidRPr="006C700E" w:rsidRDefault="00B6000A" w:rsidP="00DA3F08">
            <w:pPr>
              <w:rPr>
                <w:sz w:val="20"/>
                <w:szCs w:val="20"/>
              </w:rPr>
            </w:pPr>
            <w:r w:rsidRPr="006C700E">
              <w:rPr>
                <w:sz w:val="20"/>
                <w:szCs w:val="20"/>
              </w:rPr>
              <w:t>Land Purchase 1 (Fishermans Bend)</w:t>
            </w:r>
          </w:p>
        </w:tc>
        <w:tc>
          <w:tcPr>
            <w:tcW w:w="2251" w:type="dxa"/>
            <w:shd w:val="clear" w:color="auto" w:fill="D4D6DF"/>
            <w:vAlign w:val="center"/>
          </w:tcPr>
          <w:p w14:paraId="0AC3EDAF" w14:textId="759D0623" w:rsidR="00B6000A" w:rsidRPr="00116E55" w:rsidRDefault="00B6000A" w:rsidP="00D145ED">
            <w:pPr>
              <w:pStyle w:val="NormalIndent"/>
              <w:spacing w:before="60" w:after="60"/>
              <w:ind w:left="0"/>
              <w:rPr>
                <w:rFonts w:ascii="Arial" w:hAnsi="Arial"/>
                <w:b/>
                <w:iCs/>
                <w:sz w:val="20"/>
                <w:szCs w:val="20"/>
              </w:rPr>
            </w:pPr>
            <w:r w:rsidRPr="00116E55">
              <w:rPr>
                <w:rFonts w:ascii="Arial" w:hAnsi="Arial" w:cs="Arial"/>
                <w:sz w:val="20"/>
                <w:szCs w:val="20"/>
                <w:lang w:eastAsia="en-AU"/>
              </w:rPr>
              <w:t>Delayed</w:t>
            </w:r>
          </w:p>
        </w:tc>
        <w:tc>
          <w:tcPr>
            <w:tcW w:w="1562" w:type="dxa"/>
            <w:shd w:val="clear" w:color="auto" w:fill="D4D6DF"/>
            <w:vAlign w:val="center"/>
          </w:tcPr>
          <w:p w14:paraId="198206BA" w14:textId="24016C65" w:rsidR="00B6000A" w:rsidRPr="00116E55" w:rsidRDefault="00B6000A" w:rsidP="00B6000A">
            <w:pPr>
              <w:pStyle w:val="NormalIndent"/>
              <w:spacing w:before="60" w:after="60"/>
              <w:ind w:left="0"/>
              <w:jc w:val="center"/>
              <w:rPr>
                <w:rFonts w:ascii="Arial" w:hAnsi="Arial"/>
                <w:b/>
                <w:iCs/>
                <w:sz w:val="20"/>
                <w:szCs w:val="20"/>
              </w:rPr>
            </w:pPr>
            <w:r w:rsidRPr="00116E55">
              <w:rPr>
                <w:rFonts w:ascii="Arial" w:hAnsi="Arial" w:cs="Arial"/>
                <w:color w:val="000000"/>
                <w:sz w:val="20"/>
                <w:szCs w:val="20"/>
                <w:lang w:eastAsia="en-AU"/>
              </w:rPr>
              <w:t>2</w:t>
            </w:r>
          </w:p>
        </w:tc>
      </w:tr>
      <w:tr w:rsidR="0006734B" w14:paraId="6C9B80B2" w14:textId="77777777" w:rsidTr="00360131">
        <w:trPr>
          <w:trHeight w:val="454"/>
        </w:trPr>
        <w:tc>
          <w:tcPr>
            <w:tcW w:w="5829" w:type="dxa"/>
            <w:vAlign w:val="center"/>
          </w:tcPr>
          <w:p w14:paraId="008F9F1A" w14:textId="5BA24429" w:rsidR="00B6000A" w:rsidRPr="006C700E" w:rsidRDefault="00DA3F08" w:rsidP="00DA3F08">
            <w:pPr>
              <w:rPr>
                <w:sz w:val="20"/>
                <w:szCs w:val="20"/>
              </w:rPr>
            </w:pPr>
            <w:r w:rsidRPr="006C700E">
              <w:rPr>
                <w:sz w:val="20"/>
                <w:szCs w:val="20"/>
              </w:rPr>
              <w:t xml:space="preserve">Clayton East </w:t>
            </w:r>
            <w:r w:rsidR="00884DBB" w:rsidRPr="006C700E">
              <w:rPr>
                <w:sz w:val="20"/>
                <w:szCs w:val="20"/>
              </w:rPr>
              <w:t>and West Catchment Capacity Improvement Works</w:t>
            </w:r>
          </w:p>
        </w:tc>
        <w:tc>
          <w:tcPr>
            <w:tcW w:w="2251" w:type="dxa"/>
            <w:vAlign w:val="center"/>
          </w:tcPr>
          <w:p w14:paraId="20D753AE" w14:textId="590EFB90" w:rsidR="00B6000A" w:rsidRPr="001C44ED" w:rsidRDefault="001C44ED" w:rsidP="00D145ED">
            <w:pPr>
              <w:pStyle w:val="NormalIndent"/>
              <w:spacing w:before="60" w:after="60"/>
              <w:ind w:left="0" w:right="62"/>
              <w:rPr>
                <w:rFonts w:ascii="Arial" w:hAnsi="Arial"/>
                <w:bCs/>
                <w:iCs/>
                <w:sz w:val="18"/>
                <w:szCs w:val="18"/>
              </w:rPr>
            </w:pPr>
            <w:r w:rsidRPr="00A1113D">
              <w:rPr>
                <w:rFonts w:ascii="Arial" w:hAnsi="Arial"/>
                <w:sz w:val="20"/>
                <w:szCs w:val="20"/>
              </w:rPr>
              <w:t>Excluded from capital allowance</w:t>
            </w:r>
          </w:p>
        </w:tc>
        <w:tc>
          <w:tcPr>
            <w:tcW w:w="1562" w:type="dxa"/>
            <w:vAlign w:val="center"/>
          </w:tcPr>
          <w:p w14:paraId="7FB20CA1" w14:textId="59E6C2C5" w:rsidR="00B6000A" w:rsidRPr="00116E55" w:rsidRDefault="00B6000A" w:rsidP="00B6000A">
            <w:pPr>
              <w:pStyle w:val="NormalIndent"/>
              <w:spacing w:before="60" w:after="60"/>
              <w:ind w:left="0"/>
              <w:jc w:val="center"/>
              <w:rPr>
                <w:rFonts w:ascii="Arial" w:hAnsi="Arial"/>
                <w:b/>
                <w:iCs/>
                <w:sz w:val="20"/>
                <w:szCs w:val="20"/>
              </w:rPr>
            </w:pPr>
            <w:r w:rsidRPr="00116E55">
              <w:rPr>
                <w:rFonts w:ascii="Arial" w:hAnsi="Arial" w:cs="Arial"/>
                <w:color w:val="000000"/>
                <w:sz w:val="20"/>
                <w:szCs w:val="20"/>
                <w:lang w:eastAsia="en-AU"/>
              </w:rPr>
              <w:t>3</w:t>
            </w:r>
          </w:p>
        </w:tc>
      </w:tr>
      <w:tr w:rsidR="0006734B" w14:paraId="76E636C9" w14:textId="77777777" w:rsidTr="00360131">
        <w:trPr>
          <w:trHeight w:val="454"/>
        </w:trPr>
        <w:tc>
          <w:tcPr>
            <w:tcW w:w="5829" w:type="dxa"/>
            <w:shd w:val="clear" w:color="auto" w:fill="D4D6DF"/>
            <w:vAlign w:val="center"/>
          </w:tcPr>
          <w:p w14:paraId="24A52D2B" w14:textId="5D7C137C" w:rsidR="00B6000A" w:rsidRPr="006C700E" w:rsidRDefault="00B6000A" w:rsidP="00DA3F08">
            <w:pPr>
              <w:rPr>
                <w:sz w:val="20"/>
                <w:szCs w:val="20"/>
              </w:rPr>
            </w:pPr>
            <w:r w:rsidRPr="006C700E">
              <w:rPr>
                <w:sz w:val="20"/>
                <w:szCs w:val="20"/>
              </w:rPr>
              <w:t>Pakenham East Branch Sewer </w:t>
            </w:r>
          </w:p>
        </w:tc>
        <w:tc>
          <w:tcPr>
            <w:tcW w:w="2251" w:type="dxa"/>
            <w:shd w:val="clear" w:color="auto" w:fill="D4D6DF"/>
            <w:vAlign w:val="center"/>
          </w:tcPr>
          <w:p w14:paraId="6FC291E0" w14:textId="7B568C55" w:rsidR="00B6000A" w:rsidRPr="00116E55" w:rsidRDefault="00B6000A" w:rsidP="00D145ED">
            <w:pPr>
              <w:pStyle w:val="NormalIndent"/>
              <w:spacing w:before="60" w:after="60"/>
              <w:ind w:left="0"/>
              <w:rPr>
                <w:rFonts w:ascii="Arial" w:hAnsi="Arial"/>
                <w:b/>
                <w:iCs/>
                <w:sz w:val="20"/>
                <w:szCs w:val="20"/>
              </w:rPr>
            </w:pPr>
            <w:r w:rsidRPr="00116E55">
              <w:rPr>
                <w:rFonts w:ascii="Arial" w:hAnsi="Arial" w:cs="Arial"/>
                <w:sz w:val="20"/>
                <w:szCs w:val="20"/>
                <w:lang w:eastAsia="en-AU"/>
              </w:rPr>
              <w:t>Delayed</w:t>
            </w:r>
          </w:p>
        </w:tc>
        <w:tc>
          <w:tcPr>
            <w:tcW w:w="1562" w:type="dxa"/>
            <w:shd w:val="clear" w:color="auto" w:fill="D4D6DF"/>
            <w:vAlign w:val="center"/>
          </w:tcPr>
          <w:p w14:paraId="1663349D" w14:textId="4252A080" w:rsidR="00B6000A" w:rsidRPr="00116E55" w:rsidRDefault="00B6000A" w:rsidP="00B6000A">
            <w:pPr>
              <w:pStyle w:val="NormalIndent"/>
              <w:spacing w:before="60" w:after="60"/>
              <w:ind w:left="0"/>
              <w:jc w:val="center"/>
              <w:rPr>
                <w:rFonts w:ascii="Arial" w:hAnsi="Arial"/>
                <w:b/>
                <w:iCs/>
                <w:sz w:val="20"/>
                <w:szCs w:val="20"/>
              </w:rPr>
            </w:pPr>
            <w:r w:rsidRPr="00116E55">
              <w:rPr>
                <w:rFonts w:ascii="Arial" w:hAnsi="Arial" w:cs="Arial"/>
                <w:color w:val="000000"/>
                <w:sz w:val="20"/>
                <w:szCs w:val="20"/>
                <w:lang w:eastAsia="en-AU"/>
              </w:rPr>
              <w:t>2</w:t>
            </w:r>
          </w:p>
        </w:tc>
      </w:tr>
      <w:tr w:rsidR="0006734B" w14:paraId="627A33ED" w14:textId="77777777" w:rsidTr="00360131">
        <w:trPr>
          <w:trHeight w:val="454"/>
        </w:trPr>
        <w:tc>
          <w:tcPr>
            <w:tcW w:w="5829" w:type="dxa"/>
            <w:vAlign w:val="center"/>
          </w:tcPr>
          <w:p w14:paraId="78D0AF5B" w14:textId="76E41FA5" w:rsidR="00B6000A" w:rsidRPr="006C700E" w:rsidRDefault="00B6000A" w:rsidP="00DA3F08">
            <w:pPr>
              <w:rPr>
                <w:sz w:val="20"/>
                <w:szCs w:val="20"/>
              </w:rPr>
            </w:pPr>
            <w:r w:rsidRPr="006C700E">
              <w:rPr>
                <w:sz w:val="20"/>
                <w:szCs w:val="20"/>
              </w:rPr>
              <w:t>Land Purchase 2 (Pakenham)</w:t>
            </w:r>
          </w:p>
        </w:tc>
        <w:tc>
          <w:tcPr>
            <w:tcW w:w="2251" w:type="dxa"/>
            <w:vAlign w:val="center"/>
          </w:tcPr>
          <w:p w14:paraId="78E43D73" w14:textId="289EF248" w:rsidR="00B6000A" w:rsidRPr="00116E55" w:rsidRDefault="00B6000A" w:rsidP="00D145ED">
            <w:pPr>
              <w:pStyle w:val="NormalIndent"/>
              <w:spacing w:before="60" w:after="60"/>
              <w:ind w:left="0"/>
              <w:rPr>
                <w:rFonts w:ascii="Arial" w:hAnsi="Arial"/>
                <w:b/>
                <w:iCs/>
                <w:sz w:val="20"/>
                <w:szCs w:val="20"/>
              </w:rPr>
            </w:pPr>
            <w:r w:rsidRPr="00116E55">
              <w:rPr>
                <w:rFonts w:ascii="Arial" w:hAnsi="Arial" w:cs="Arial"/>
                <w:sz w:val="20"/>
                <w:szCs w:val="20"/>
                <w:lang w:eastAsia="en-AU"/>
              </w:rPr>
              <w:t>Delayed</w:t>
            </w:r>
          </w:p>
        </w:tc>
        <w:tc>
          <w:tcPr>
            <w:tcW w:w="1562" w:type="dxa"/>
            <w:vAlign w:val="center"/>
          </w:tcPr>
          <w:p w14:paraId="67166DAB" w14:textId="74C17903" w:rsidR="00B6000A" w:rsidRPr="00116E55" w:rsidRDefault="00B6000A" w:rsidP="00B6000A">
            <w:pPr>
              <w:pStyle w:val="NormalIndent"/>
              <w:spacing w:before="60" w:after="60"/>
              <w:ind w:left="0"/>
              <w:jc w:val="center"/>
              <w:rPr>
                <w:rFonts w:ascii="Arial" w:hAnsi="Arial"/>
                <w:b/>
                <w:iCs/>
                <w:sz w:val="20"/>
                <w:szCs w:val="20"/>
              </w:rPr>
            </w:pPr>
            <w:r w:rsidRPr="00116E55">
              <w:rPr>
                <w:rFonts w:ascii="Arial" w:hAnsi="Arial" w:cs="Arial"/>
                <w:color w:val="000000"/>
                <w:sz w:val="20"/>
                <w:szCs w:val="20"/>
                <w:lang w:eastAsia="en-AU"/>
              </w:rPr>
              <w:t>1</w:t>
            </w:r>
          </w:p>
        </w:tc>
      </w:tr>
      <w:tr w:rsidR="0006734B" w14:paraId="71D0EDE4" w14:textId="77777777" w:rsidTr="00360131">
        <w:trPr>
          <w:trHeight w:val="454"/>
        </w:trPr>
        <w:tc>
          <w:tcPr>
            <w:tcW w:w="5829" w:type="dxa"/>
            <w:shd w:val="clear" w:color="auto" w:fill="D4D6DF"/>
            <w:vAlign w:val="center"/>
          </w:tcPr>
          <w:p w14:paraId="05270024" w14:textId="53A82DBE" w:rsidR="00B6000A" w:rsidRPr="006C700E" w:rsidRDefault="00B6000A" w:rsidP="00DA3F08">
            <w:pPr>
              <w:rPr>
                <w:sz w:val="20"/>
                <w:szCs w:val="20"/>
              </w:rPr>
            </w:pPr>
            <w:r w:rsidRPr="006C700E">
              <w:rPr>
                <w:sz w:val="20"/>
                <w:szCs w:val="20"/>
              </w:rPr>
              <w:t>Ballarto Road East Sewer Pump Station </w:t>
            </w:r>
          </w:p>
        </w:tc>
        <w:tc>
          <w:tcPr>
            <w:tcW w:w="2251" w:type="dxa"/>
            <w:shd w:val="clear" w:color="auto" w:fill="D4D6DF"/>
            <w:vAlign w:val="center"/>
          </w:tcPr>
          <w:p w14:paraId="443D0DEA" w14:textId="36DF7BDB" w:rsidR="00B6000A" w:rsidRPr="00116E55" w:rsidRDefault="00B6000A" w:rsidP="00D145ED">
            <w:pPr>
              <w:pStyle w:val="NormalIndent"/>
              <w:spacing w:before="60" w:after="60"/>
              <w:ind w:left="0"/>
              <w:rPr>
                <w:rFonts w:ascii="Arial" w:hAnsi="Arial"/>
                <w:b/>
                <w:iCs/>
                <w:sz w:val="20"/>
                <w:szCs w:val="20"/>
              </w:rPr>
            </w:pPr>
            <w:r w:rsidRPr="00116E55">
              <w:rPr>
                <w:rFonts w:ascii="Arial" w:hAnsi="Arial" w:cs="Arial"/>
                <w:sz w:val="20"/>
                <w:szCs w:val="20"/>
                <w:lang w:eastAsia="en-AU"/>
              </w:rPr>
              <w:t>Completed Late</w:t>
            </w:r>
          </w:p>
        </w:tc>
        <w:tc>
          <w:tcPr>
            <w:tcW w:w="1562" w:type="dxa"/>
            <w:shd w:val="clear" w:color="auto" w:fill="D4D6DF"/>
            <w:vAlign w:val="center"/>
          </w:tcPr>
          <w:p w14:paraId="754BA39E" w14:textId="369F408C" w:rsidR="00B6000A" w:rsidRPr="00116E55" w:rsidRDefault="00B6000A" w:rsidP="00B6000A">
            <w:pPr>
              <w:pStyle w:val="NormalIndent"/>
              <w:spacing w:before="60" w:after="60"/>
              <w:ind w:left="0"/>
              <w:jc w:val="center"/>
              <w:rPr>
                <w:rFonts w:ascii="Arial" w:hAnsi="Arial"/>
                <w:b/>
                <w:iCs/>
                <w:sz w:val="20"/>
                <w:szCs w:val="20"/>
              </w:rPr>
            </w:pPr>
            <w:r w:rsidRPr="00116E55">
              <w:rPr>
                <w:rFonts w:ascii="Arial" w:hAnsi="Arial" w:cs="Arial"/>
                <w:color w:val="000000"/>
                <w:sz w:val="20"/>
                <w:szCs w:val="20"/>
                <w:lang w:eastAsia="en-AU"/>
              </w:rPr>
              <w:t>3</w:t>
            </w:r>
          </w:p>
        </w:tc>
      </w:tr>
      <w:tr w:rsidR="0006734B" w14:paraId="62CAE72C" w14:textId="77777777" w:rsidTr="00360131">
        <w:trPr>
          <w:trHeight w:val="454"/>
        </w:trPr>
        <w:tc>
          <w:tcPr>
            <w:tcW w:w="5829" w:type="dxa"/>
            <w:vAlign w:val="center"/>
          </w:tcPr>
          <w:p w14:paraId="76C9E7AA" w14:textId="28870475" w:rsidR="00B6000A" w:rsidRPr="006C700E" w:rsidRDefault="00B6000A" w:rsidP="00DA3F08">
            <w:pPr>
              <w:rPr>
                <w:sz w:val="20"/>
                <w:szCs w:val="20"/>
              </w:rPr>
            </w:pPr>
            <w:r w:rsidRPr="006C700E">
              <w:rPr>
                <w:sz w:val="20"/>
                <w:szCs w:val="20"/>
              </w:rPr>
              <w:t>Hanna Street Capacity Improvements</w:t>
            </w:r>
          </w:p>
        </w:tc>
        <w:tc>
          <w:tcPr>
            <w:tcW w:w="2251" w:type="dxa"/>
            <w:vAlign w:val="center"/>
          </w:tcPr>
          <w:p w14:paraId="3AC962B7" w14:textId="0C91C8AC" w:rsidR="00B6000A" w:rsidRPr="00116E55" w:rsidRDefault="00B6000A" w:rsidP="00D145ED">
            <w:pPr>
              <w:pStyle w:val="NormalIndent"/>
              <w:spacing w:before="60" w:after="60"/>
              <w:ind w:left="0"/>
              <w:rPr>
                <w:rFonts w:ascii="Arial" w:hAnsi="Arial" w:cs="Arial"/>
                <w:sz w:val="20"/>
                <w:szCs w:val="20"/>
                <w:lang w:eastAsia="en-AU"/>
              </w:rPr>
            </w:pPr>
            <w:r w:rsidRPr="00116E55">
              <w:rPr>
                <w:rFonts w:ascii="Arial" w:hAnsi="Arial" w:cs="Arial"/>
                <w:sz w:val="20"/>
                <w:szCs w:val="20"/>
                <w:lang w:eastAsia="en-AU"/>
              </w:rPr>
              <w:t>Delayed</w:t>
            </w:r>
          </w:p>
        </w:tc>
        <w:tc>
          <w:tcPr>
            <w:tcW w:w="1562" w:type="dxa"/>
            <w:vAlign w:val="center"/>
          </w:tcPr>
          <w:p w14:paraId="5ADCC6FE" w14:textId="4FCC14EC" w:rsidR="00B6000A" w:rsidRPr="00116E55" w:rsidRDefault="00B6000A" w:rsidP="00B6000A">
            <w:pPr>
              <w:pStyle w:val="NormalIndent"/>
              <w:spacing w:before="60" w:after="60"/>
              <w:ind w:left="0"/>
              <w:jc w:val="center"/>
              <w:rPr>
                <w:rFonts w:ascii="Arial" w:hAnsi="Arial" w:cs="Arial"/>
                <w:color w:val="000000"/>
                <w:sz w:val="20"/>
                <w:szCs w:val="20"/>
                <w:lang w:eastAsia="en-AU"/>
              </w:rPr>
            </w:pPr>
            <w:r w:rsidRPr="00116E55">
              <w:rPr>
                <w:rFonts w:ascii="Arial" w:hAnsi="Arial" w:cs="Arial"/>
                <w:color w:val="000000"/>
                <w:sz w:val="20"/>
                <w:szCs w:val="20"/>
                <w:lang w:eastAsia="en-AU"/>
              </w:rPr>
              <w:t>2</w:t>
            </w:r>
          </w:p>
        </w:tc>
      </w:tr>
      <w:tr w:rsidR="0006734B" w14:paraId="4082580A" w14:textId="77777777" w:rsidTr="00360131">
        <w:trPr>
          <w:trHeight w:val="454"/>
        </w:trPr>
        <w:tc>
          <w:tcPr>
            <w:tcW w:w="5829" w:type="dxa"/>
            <w:shd w:val="clear" w:color="auto" w:fill="D4D6DF"/>
            <w:vAlign w:val="center"/>
          </w:tcPr>
          <w:p w14:paraId="3013A054" w14:textId="50ACC02E" w:rsidR="00B6000A" w:rsidRPr="006C700E" w:rsidRDefault="00B6000A" w:rsidP="00DA3F08">
            <w:pPr>
              <w:rPr>
                <w:sz w:val="20"/>
                <w:szCs w:val="20"/>
              </w:rPr>
            </w:pPr>
            <w:r w:rsidRPr="006C700E">
              <w:rPr>
                <w:sz w:val="20"/>
                <w:szCs w:val="20"/>
              </w:rPr>
              <w:t>W</w:t>
            </w:r>
            <w:r w:rsidR="00CD7D59">
              <w:rPr>
                <w:sz w:val="20"/>
                <w:szCs w:val="20"/>
              </w:rPr>
              <w:t xml:space="preserve">ater </w:t>
            </w:r>
            <w:r w:rsidRPr="006C700E">
              <w:rPr>
                <w:sz w:val="20"/>
                <w:szCs w:val="20"/>
              </w:rPr>
              <w:t>R</w:t>
            </w:r>
            <w:r w:rsidR="00CD7D59">
              <w:rPr>
                <w:sz w:val="20"/>
                <w:szCs w:val="20"/>
              </w:rPr>
              <w:t xml:space="preserve">ecycling Plan </w:t>
            </w:r>
            <w:r w:rsidR="00A23B4A">
              <w:rPr>
                <w:sz w:val="20"/>
                <w:szCs w:val="20"/>
              </w:rPr>
              <w:t>S</w:t>
            </w:r>
            <w:r w:rsidRPr="006C700E">
              <w:rPr>
                <w:sz w:val="20"/>
                <w:szCs w:val="20"/>
              </w:rPr>
              <w:t>ludge Drying Pans and Stockpile Areas Upgrades </w:t>
            </w:r>
          </w:p>
        </w:tc>
        <w:tc>
          <w:tcPr>
            <w:tcW w:w="2251" w:type="dxa"/>
            <w:shd w:val="clear" w:color="auto" w:fill="D4D6DF"/>
            <w:vAlign w:val="center"/>
          </w:tcPr>
          <w:p w14:paraId="7BFA9406" w14:textId="4D0C97F6" w:rsidR="00B6000A" w:rsidRPr="00116E55" w:rsidRDefault="00B6000A" w:rsidP="00D145ED">
            <w:pPr>
              <w:pStyle w:val="NormalIndent"/>
              <w:spacing w:before="60" w:after="60"/>
              <w:ind w:left="0"/>
              <w:rPr>
                <w:rFonts w:ascii="Arial" w:hAnsi="Arial" w:cs="Arial"/>
                <w:sz w:val="20"/>
                <w:szCs w:val="20"/>
                <w:lang w:eastAsia="en-AU"/>
              </w:rPr>
            </w:pPr>
            <w:r w:rsidRPr="00116E55">
              <w:rPr>
                <w:rFonts w:ascii="Arial" w:hAnsi="Arial" w:cs="Arial"/>
                <w:sz w:val="20"/>
                <w:szCs w:val="20"/>
                <w:lang w:eastAsia="en-AU"/>
              </w:rPr>
              <w:t>Completed On</w:t>
            </w:r>
            <w:r w:rsidR="00BB7E6A" w:rsidRPr="00116E55">
              <w:rPr>
                <w:rFonts w:ascii="Arial" w:hAnsi="Arial" w:cs="Arial"/>
                <w:sz w:val="20"/>
                <w:szCs w:val="20"/>
                <w:lang w:eastAsia="en-AU"/>
              </w:rPr>
              <w:t xml:space="preserve"> </w:t>
            </w:r>
            <w:r w:rsidR="00743F34" w:rsidRPr="00116E55">
              <w:rPr>
                <w:rFonts w:ascii="Arial" w:hAnsi="Arial" w:cs="Arial"/>
                <w:sz w:val="20"/>
                <w:szCs w:val="20"/>
                <w:lang w:eastAsia="en-AU"/>
              </w:rPr>
              <w:t>T</w:t>
            </w:r>
            <w:r w:rsidRPr="00116E55">
              <w:rPr>
                <w:rFonts w:ascii="Arial" w:hAnsi="Arial" w:cs="Arial"/>
                <w:sz w:val="20"/>
                <w:szCs w:val="20"/>
                <w:lang w:eastAsia="en-AU"/>
              </w:rPr>
              <w:t>ime</w:t>
            </w:r>
          </w:p>
        </w:tc>
        <w:tc>
          <w:tcPr>
            <w:tcW w:w="1562" w:type="dxa"/>
            <w:shd w:val="clear" w:color="auto" w:fill="D4D6DF"/>
            <w:vAlign w:val="center"/>
          </w:tcPr>
          <w:p w14:paraId="570D9E64" w14:textId="3E0F8BDF" w:rsidR="00B6000A" w:rsidRPr="00116E55" w:rsidRDefault="00B6000A" w:rsidP="00B6000A">
            <w:pPr>
              <w:pStyle w:val="NormalIndent"/>
              <w:spacing w:before="60" w:after="60"/>
              <w:ind w:left="0"/>
              <w:jc w:val="center"/>
              <w:rPr>
                <w:rFonts w:ascii="Arial" w:hAnsi="Arial" w:cs="Arial"/>
                <w:color w:val="000000"/>
                <w:sz w:val="20"/>
                <w:szCs w:val="20"/>
                <w:lang w:eastAsia="en-AU"/>
              </w:rPr>
            </w:pPr>
            <w:r w:rsidRPr="00116E55">
              <w:rPr>
                <w:rFonts w:ascii="Arial" w:hAnsi="Arial" w:cs="Arial"/>
                <w:color w:val="000000"/>
                <w:sz w:val="20"/>
                <w:szCs w:val="20"/>
                <w:lang w:eastAsia="en-AU"/>
              </w:rPr>
              <w:t>3</w:t>
            </w:r>
          </w:p>
        </w:tc>
      </w:tr>
      <w:tr w:rsidR="0006734B" w14:paraId="6B91CE7E" w14:textId="77777777" w:rsidTr="00360131">
        <w:trPr>
          <w:trHeight w:val="454"/>
        </w:trPr>
        <w:tc>
          <w:tcPr>
            <w:tcW w:w="5829" w:type="dxa"/>
            <w:vAlign w:val="center"/>
          </w:tcPr>
          <w:p w14:paraId="607D6911" w14:textId="07313E3C" w:rsidR="00B6000A" w:rsidRPr="006C700E" w:rsidRDefault="00B6000A" w:rsidP="00DA3F08">
            <w:pPr>
              <w:rPr>
                <w:sz w:val="20"/>
                <w:szCs w:val="20"/>
              </w:rPr>
            </w:pPr>
            <w:r w:rsidRPr="006C700E">
              <w:rPr>
                <w:sz w:val="20"/>
                <w:szCs w:val="20"/>
              </w:rPr>
              <w:t>Digital Utility</w:t>
            </w:r>
            <w:r w:rsidR="00A1315F" w:rsidRPr="006C700E">
              <w:rPr>
                <w:sz w:val="20"/>
                <w:szCs w:val="20"/>
              </w:rPr>
              <w:t xml:space="preserve"> </w:t>
            </w:r>
            <w:r w:rsidR="00213854" w:rsidRPr="006C700E">
              <w:rPr>
                <w:sz w:val="20"/>
                <w:szCs w:val="20"/>
              </w:rPr>
              <w:t>p</w:t>
            </w:r>
            <w:r w:rsidRPr="006C700E">
              <w:rPr>
                <w:sz w:val="20"/>
                <w:szCs w:val="20"/>
              </w:rPr>
              <w:t>rogram</w:t>
            </w:r>
          </w:p>
        </w:tc>
        <w:tc>
          <w:tcPr>
            <w:tcW w:w="2251" w:type="dxa"/>
            <w:vAlign w:val="center"/>
          </w:tcPr>
          <w:p w14:paraId="4634A40A" w14:textId="51442612" w:rsidR="00B6000A" w:rsidRPr="00116E55" w:rsidRDefault="00B6000A" w:rsidP="00D145ED">
            <w:pPr>
              <w:pStyle w:val="NormalIndent"/>
              <w:spacing w:before="60" w:after="60"/>
              <w:ind w:left="0"/>
              <w:rPr>
                <w:rFonts w:ascii="Arial" w:hAnsi="Arial" w:cs="Arial"/>
                <w:sz w:val="20"/>
                <w:szCs w:val="20"/>
                <w:lang w:eastAsia="en-AU"/>
              </w:rPr>
            </w:pPr>
            <w:r w:rsidRPr="00116E55">
              <w:rPr>
                <w:rFonts w:ascii="Arial" w:hAnsi="Arial" w:cs="Arial"/>
                <w:sz w:val="20"/>
                <w:szCs w:val="20"/>
                <w:lang w:eastAsia="en-AU"/>
              </w:rPr>
              <w:t>Completed On</w:t>
            </w:r>
            <w:r w:rsidR="00BB7E6A" w:rsidRPr="00116E55">
              <w:rPr>
                <w:rFonts w:ascii="Arial" w:hAnsi="Arial" w:cs="Arial"/>
                <w:sz w:val="20"/>
                <w:szCs w:val="20"/>
                <w:lang w:eastAsia="en-AU"/>
              </w:rPr>
              <w:t xml:space="preserve"> </w:t>
            </w:r>
            <w:r w:rsidR="00743F34" w:rsidRPr="00116E55">
              <w:rPr>
                <w:rFonts w:ascii="Arial" w:hAnsi="Arial" w:cs="Arial"/>
                <w:sz w:val="20"/>
                <w:szCs w:val="20"/>
                <w:lang w:eastAsia="en-AU"/>
              </w:rPr>
              <w:t>T</w:t>
            </w:r>
            <w:r w:rsidRPr="00116E55">
              <w:rPr>
                <w:rFonts w:ascii="Arial" w:hAnsi="Arial" w:cs="Arial"/>
                <w:sz w:val="20"/>
                <w:szCs w:val="20"/>
                <w:lang w:eastAsia="en-AU"/>
              </w:rPr>
              <w:t>ime</w:t>
            </w:r>
          </w:p>
        </w:tc>
        <w:tc>
          <w:tcPr>
            <w:tcW w:w="1562" w:type="dxa"/>
            <w:vAlign w:val="center"/>
          </w:tcPr>
          <w:p w14:paraId="6C85FEED" w14:textId="56842C38" w:rsidR="00B6000A" w:rsidRPr="00116E55" w:rsidRDefault="00B6000A" w:rsidP="00B6000A">
            <w:pPr>
              <w:pStyle w:val="NormalIndent"/>
              <w:spacing w:before="60" w:after="60"/>
              <w:ind w:left="0"/>
              <w:jc w:val="center"/>
              <w:rPr>
                <w:rFonts w:ascii="Arial" w:hAnsi="Arial" w:cs="Arial"/>
                <w:color w:val="000000"/>
                <w:sz w:val="20"/>
                <w:szCs w:val="20"/>
                <w:lang w:eastAsia="en-AU"/>
              </w:rPr>
            </w:pPr>
            <w:r w:rsidRPr="00116E55">
              <w:rPr>
                <w:rFonts w:ascii="Arial" w:hAnsi="Arial" w:cs="Arial"/>
                <w:color w:val="000000"/>
                <w:sz w:val="20"/>
                <w:szCs w:val="20"/>
                <w:lang w:eastAsia="en-AU"/>
              </w:rPr>
              <w:t>3</w:t>
            </w:r>
          </w:p>
        </w:tc>
      </w:tr>
    </w:tbl>
    <w:p w14:paraId="7F0DBD9C" w14:textId="2D3832E2" w:rsidR="00210DF7" w:rsidRDefault="00137119" w:rsidP="00210DF7">
      <w:pPr>
        <w:pStyle w:val="NormalIndent"/>
        <w:spacing w:before="120" w:after="40"/>
        <w:ind w:left="0"/>
        <w:contextualSpacing/>
        <w:rPr>
          <w:sz w:val="18"/>
          <w:szCs w:val="18"/>
        </w:rPr>
      </w:pPr>
      <w:r>
        <w:rPr>
          <w:sz w:val="18"/>
          <w:szCs w:val="18"/>
        </w:rPr>
        <w:t>Note: The performance scores are:</w:t>
      </w:r>
    </w:p>
    <w:p w14:paraId="014F8C62" w14:textId="6004C77D" w:rsidR="00210DF7" w:rsidRDefault="00CB0FCC" w:rsidP="00210DF7">
      <w:pPr>
        <w:pStyle w:val="NormalIndent"/>
        <w:spacing w:before="120" w:after="40"/>
        <w:ind w:left="0"/>
        <w:contextualSpacing/>
        <w:rPr>
          <w:sz w:val="18"/>
          <w:szCs w:val="18"/>
        </w:rPr>
      </w:pPr>
      <w:r w:rsidRPr="00CB0FCC">
        <w:rPr>
          <w:sz w:val="18"/>
          <w:szCs w:val="18"/>
        </w:rPr>
        <w:t xml:space="preserve">3 </w:t>
      </w:r>
      <w:r w:rsidR="007D4EB3">
        <w:rPr>
          <w:sz w:val="18"/>
          <w:szCs w:val="18"/>
        </w:rPr>
        <w:t>–</w:t>
      </w:r>
      <w:r w:rsidRPr="00CB0FCC">
        <w:rPr>
          <w:sz w:val="18"/>
          <w:szCs w:val="18"/>
        </w:rPr>
        <w:t xml:space="preserve"> Largely consistent with or exceeded the </w:t>
      </w:r>
      <w:r w:rsidR="002A65BA">
        <w:rPr>
          <w:sz w:val="18"/>
          <w:szCs w:val="18"/>
        </w:rPr>
        <w:t>2018</w:t>
      </w:r>
      <w:r w:rsidR="007D4EB3">
        <w:rPr>
          <w:sz w:val="18"/>
          <w:szCs w:val="18"/>
        </w:rPr>
        <w:t>–</w:t>
      </w:r>
      <w:r w:rsidR="002A65BA">
        <w:rPr>
          <w:sz w:val="18"/>
          <w:szCs w:val="18"/>
        </w:rPr>
        <w:t>23</w:t>
      </w:r>
      <w:r w:rsidRPr="00CB0FCC">
        <w:rPr>
          <w:sz w:val="18"/>
          <w:szCs w:val="18"/>
        </w:rPr>
        <w:t xml:space="preserve"> commitment</w:t>
      </w:r>
    </w:p>
    <w:p w14:paraId="158C8427" w14:textId="3265F9E0" w:rsidR="00210DF7" w:rsidRDefault="00E371FD" w:rsidP="00210DF7">
      <w:pPr>
        <w:pStyle w:val="NormalIndent"/>
        <w:spacing w:before="120" w:after="40"/>
        <w:ind w:left="0"/>
        <w:contextualSpacing/>
        <w:rPr>
          <w:sz w:val="18"/>
          <w:szCs w:val="18"/>
        </w:rPr>
      </w:pPr>
      <w:r w:rsidRPr="00CB0FCC">
        <w:rPr>
          <w:sz w:val="18"/>
          <w:szCs w:val="18"/>
        </w:rPr>
        <w:t xml:space="preserve">2 </w:t>
      </w:r>
      <w:r w:rsidR="007D4EB3">
        <w:rPr>
          <w:sz w:val="18"/>
          <w:szCs w:val="18"/>
        </w:rPr>
        <w:t>–</w:t>
      </w:r>
      <w:r w:rsidRPr="00CB0FCC">
        <w:rPr>
          <w:sz w:val="18"/>
          <w:szCs w:val="18"/>
        </w:rPr>
        <w:t xml:space="preserve"> Generally consistent with the </w:t>
      </w:r>
      <w:r w:rsidR="002A65BA">
        <w:rPr>
          <w:sz w:val="18"/>
          <w:szCs w:val="18"/>
        </w:rPr>
        <w:t>20</w:t>
      </w:r>
      <w:r w:rsidR="00FB53D3">
        <w:rPr>
          <w:sz w:val="18"/>
          <w:szCs w:val="18"/>
        </w:rPr>
        <w:t>18</w:t>
      </w:r>
      <w:r w:rsidR="007D4EB3">
        <w:rPr>
          <w:sz w:val="18"/>
          <w:szCs w:val="18"/>
        </w:rPr>
        <w:t>–</w:t>
      </w:r>
      <w:r w:rsidR="00FB53D3">
        <w:rPr>
          <w:sz w:val="18"/>
          <w:szCs w:val="18"/>
        </w:rPr>
        <w:t>23</w:t>
      </w:r>
      <w:r w:rsidRPr="00CB0FCC">
        <w:rPr>
          <w:sz w:val="18"/>
          <w:szCs w:val="18"/>
        </w:rPr>
        <w:t xml:space="preserve"> commitment </w:t>
      </w:r>
    </w:p>
    <w:p w14:paraId="3B746DBC" w14:textId="519328AE" w:rsidR="00DB46DD" w:rsidRPr="006F261F" w:rsidRDefault="00CB0FCC" w:rsidP="00360131">
      <w:pPr>
        <w:pStyle w:val="NormalIndent"/>
        <w:spacing w:before="120" w:after="40"/>
        <w:ind w:left="0"/>
        <w:contextualSpacing/>
        <w:rPr>
          <w:sz w:val="18"/>
          <w:szCs w:val="18"/>
        </w:rPr>
      </w:pPr>
      <w:r w:rsidRPr="00CB0FCC">
        <w:rPr>
          <w:sz w:val="18"/>
          <w:szCs w:val="18"/>
        </w:rPr>
        <w:t xml:space="preserve">1 </w:t>
      </w:r>
      <w:r w:rsidR="007D4EB3">
        <w:rPr>
          <w:sz w:val="18"/>
          <w:szCs w:val="18"/>
        </w:rPr>
        <w:t>–</w:t>
      </w:r>
      <w:r w:rsidRPr="00CB0FCC">
        <w:rPr>
          <w:sz w:val="18"/>
          <w:szCs w:val="18"/>
        </w:rPr>
        <w:t xml:space="preserve"> Not consistent with the </w:t>
      </w:r>
      <w:r w:rsidR="00FB53D3">
        <w:rPr>
          <w:sz w:val="18"/>
          <w:szCs w:val="18"/>
        </w:rPr>
        <w:t>2018</w:t>
      </w:r>
      <w:r w:rsidR="007D4EB3">
        <w:rPr>
          <w:sz w:val="18"/>
          <w:szCs w:val="18"/>
        </w:rPr>
        <w:t>–</w:t>
      </w:r>
      <w:r w:rsidR="00FB53D3">
        <w:rPr>
          <w:sz w:val="18"/>
          <w:szCs w:val="18"/>
        </w:rPr>
        <w:t>23</w:t>
      </w:r>
      <w:r w:rsidR="00377588">
        <w:rPr>
          <w:sz w:val="18"/>
          <w:szCs w:val="18"/>
        </w:rPr>
        <w:t xml:space="preserve"> </w:t>
      </w:r>
      <w:r w:rsidRPr="00CB0FCC">
        <w:rPr>
          <w:sz w:val="18"/>
          <w:szCs w:val="18"/>
        </w:rPr>
        <w:t>commitment</w:t>
      </w:r>
    </w:p>
    <w:p w14:paraId="2F821569" w14:textId="77777777" w:rsidR="00137E79" w:rsidRPr="004B3EB0" w:rsidRDefault="00137E79" w:rsidP="006F261F">
      <w:pPr>
        <w:pStyle w:val="NormalIndent"/>
        <w:spacing w:after="0"/>
        <w:ind w:left="0"/>
        <w:rPr>
          <w:sz w:val="24"/>
          <w:szCs w:val="24"/>
        </w:rPr>
      </w:pPr>
    </w:p>
    <w:p w14:paraId="34AC2BCD" w14:textId="063341E2" w:rsidR="00590FE8" w:rsidRDefault="00247EDE" w:rsidP="00B75844">
      <w:pPr>
        <w:pStyle w:val="NormalIndent"/>
        <w:ind w:left="0"/>
        <w:rPr>
          <w:sz w:val="24"/>
          <w:szCs w:val="24"/>
        </w:rPr>
      </w:pPr>
      <w:r>
        <w:rPr>
          <w:sz w:val="24"/>
          <w:szCs w:val="24"/>
        </w:rPr>
        <w:t>D</w:t>
      </w:r>
      <w:r w:rsidR="004E7AA1">
        <w:rPr>
          <w:sz w:val="24"/>
          <w:szCs w:val="24"/>
        </w:rPr>
        <w:t xml:space="preserve">elays to the </w:t>
      </w:r>
      <w:r w:rsidR="00BB5EC1">
        <w:rPr>
          <w:sz w:val="24"/>
          <w:szCs w:val="24"/>
        </w:rPr>
        <w:t>l</w:t>
      </w:r>
      <w:r w:rsidR="004E7AA1">
        <w:rPr>
          <w:sz w:val="24"/>
          <w:szCs w:val="24"/>
        </w:rPr>
        <w:t xml:space="preserve">and </w:t>
      </w:r>
      <w:r w:rsidR="00BB5EC1">
        <w:rPr>
          <w:sz w:val="24"/>
          <w:szCs w:val="24"/>
        </w:rPr>
        <w:t>p</w:t>
      </w:r>
      <w:r w:rsidR="004E7AA1">
        <w:rPr>
          <w:sz w:val="24"/>
          <w:szCs w:val="24"/>
        </w:rPr>
        <w:t xml:space="preserve">urchase projects (Fishermans Bend and Pakenham) </w:t>
      </w:r>
      <w:r w:rsidR="00A06355">
        <w:rPr>
          <w:sz w:val="24"/>
          <w:szCs w:val="24"/>
        </w:rPr>
        <w:t>are</w:t>
      </w:r>
      <w:r w:rsidR="00531BBD">
        <w:rPr>
          <w:sz w:val="24"/>
          <w:szCs w:val="24"/>
        </w:rPr>
        <w:t xml:space="preserve"> </w:t>
      </w:r>
      <w:r w:rsidR="00A107B4">
        <w:rPr>
          <w:sz w:val="24"/>
          <w:szCs w:val="24"/>
        </w:rPr>
        <w:t xml:space="preserve">due to an inability to </w:t>
      </w:r>
      <w:r w:rsidR="00241CA5">
        <w:rPr>
          <w:sz w:val="24"/>
          <w:szCs w:val="24"/>
        </w:rPr>
        <w:t xml:space="preserve">conclude </w:t>
      </w:r>
      <w:r w:rsidR="00C82F6B">
        <w:rPr>
          <w:sz w:val="24"/>
          <w:szCs w:val="24"/>
        </w:rPr>
        <w:t xml:space="preserve">negotiations </w:t>
      </w:r>
      <w:r w:rsidR="00241CA5">
        <w:rPr>
          <w:sz w:val="24"/>
          <w:szCs w:val="24"/>
        </w:rPr>
        <w:t xml:space="preserve">with owners of suitable </w:t>
      </w:r>
      <w:r w:rsidR="00C82F6B">
        <w:rPr>
          <w:sz w:val="24"/>
          <w:szCs w:val="24"/>
        </w:rPr>
        <w:t>land</w:t>
      </w:r>
      <w:r w:rsidR="00241CA5">
        <w:rPr>
          <w:sz w:val="24"/>
          <w:szCs w:val="24"/>
        </w:rPr>
        <w:t xml:space="preserve">. </w:t>
      </w:r>
      <w:r w:rsidR="001C44ED">
        <w:rPr>
          <w:sz w:val="24"/>
          <w:szCs w:val="24"/>
        </w:rPr>
        <w:t>A</w:t>
      </w:r>
      <w:r w:rsidR="004D6CC2">
        <w:rPr>
          <w:sz w:val="24"/>
          <w:szCs w:val="24"/>
        </w:rPr>
        <w:t xml:space="preserve">n </w:t>
      </w:r>
      <w:r w:rsidR="006E31B8">
        <w:rPr>
          <w:sz w:val="24"/>
          <w:szCs w:val="24"/>
        </w:rPr>
        <w:t>altern</w:t>
      </w:r>
      <w:r w:rsidR="004D6CC2">
        <w:rPr>
          <w:sz w:val="24"/>
          <w:szCs w:val="24"/>
        </w:rPr>
        <w:t>ative site</w:t>
      </w:r>
      <w:r w:rsidR="00C473D2">
        <w:rPr>
          <w:sz w:val="24"/>
          <w:szCs w:val="24"/>
        </w:rPr>
        <w:t xml:space="preserve"> in Fishermans Bend </w:t>
      </w:r>
      <w:r w:rsidR="001C44ED">
        <w:rPr>
          <w:sz w:val="24"/>
          <w:szCs w:val="24"/>
        </w:rPr>
        <w:t>that enables us to complete Phase 1 of the</w:t>
      </w:r>
      <w:r w:rsidR="00D463F1">
        <w:rPr>
          <w:sz w:val="24"/>
          <w:szCs w:val="24"/>
        </w:rPr>
        <w:t xml:space="preserve"> water recycling </w:t>
      </w:r>
      <w:r w:rsidR="00FE0909">
        <w:rPr>
          <w:sz w:val="24"/>
          <w:szCs w:val="24"/>
        </w:rPr>
        <w:t xml:space="preserve">plant </w:t>
      </w:r>
      <w:r w:rsidR="001C44ED">
        <w:rPr>
          <w:sz w:val="24"/>
          <w:szCs w:val="24"/>
        </w:rPr>
        <w:t xml:space="preserve">is in the settlement period at the time of writing this submission. </w:t>
      </w:r>
      <w:r w:rsidR="009F674C">
        <w:rPr>
          <w:sz w:val="24"/>
          <w:szCs w:val="24"/>
        </w:rPr>
        <w:t xml:space="preserve">Negotiations with </w:t>
      </w:r>
      <w:r w:rsidR="0027373F">
        <w:rPr>
          <w:sz w:val="24"/>
          <w:szCs w:val="24"/>
        </w:rPr>
        <w:t>a</w:t>
      </w:r>
      <w:r w:rsidR="009F674C">
        <w:rPr>
          <w:sz w:val="24"/>
          <w:szCs w:val="24"/>
        </w:rPr>
        <w:t xml:space="preserve"> </w:t>
      </w:r>
      <w:r w:rsidR="00212EB3">
        <w:rPr>
          <w:sz w:val="24"/>
          <w:szCs w:val="24"/>
        </w:rPr>
        <w:t xml:space="preserve">site </w:t>
      </w:r>
      <w:r w:rsidR="009F674C">
        <w:rPr>
          <w:sz w:val="24"/>
          <w:szCs w:val="24"/>
        </w:rPr>
        <w:t>owner in Pakenham have stalled</w:t>
      </w:r>
      <w:r w:rsidR="007842E2">
        <w:rPr>
          <w:sz w:val="24"/>
          <w:szCs w:val="24"/>
        </w:rPr>
        <w:t>,</w:t>
      </w:r>
      <w:r w:rsidR="009F674C">
        <w:rPr>
          <w:sz w:val="24"/>
          <w:szCs w:val="24"/>
        </w:rPr>
        <w:t xml:space="preserve"> </w:t>
      </w:r>
      <w:r w:rsidR="00080F5E">
        <w:rPr>
          <w:sz w:val="24"/>
          <w:szCs w:val="24"/>
        </w:rPr>
        <w:t xml:space="preserve">with </w:t>
      </w:r>
      <w:r w:rsidR="00D95384">
        <w:rPr>
          <w:sz w:val="24"/>
          <w:szCs w:val="24"/>
        </w:rPr>
        <w:t xml:space="preserve">land </w:t>
      </w:r>
      <w:r w:rsidR="00080F5E">
        <w:rPr>
          <w:sz w:val="24"/>
          <w:szCs w:val="24"/>
        </w:rPr>
        <w:t>acquisition</w:t>
      </w:r>
      <w:r w:rsidR="00D95384">
        <w:rPr>
          <w:sz w:val="24"/>
          <w:szCs w:val="24"/>
        </w:rPr>
        <w:t xml:space="preserve"> </w:t>
      </w:r>
      <w:r w:rsidR="00BE0F47">
        <w:rPr>
          <w:sz w:val="24"/>
          <w:szCs w:val="24"/>
        </w:rPr>
        <w:t>now expected to</w:t>
      </w:r>
      <w:r w:rsidR="001D733B">
        <w:rPr>
          <w:sz w:val="24"/>
          <w:szCs w:val="24"/>
        </w:rPr>
        <w:t xml:space="preserve"> </w:t>
      </w:r>
      <w:r w:rsidR="00D95384">
        <w:rPr>
          <w:sz w:val="24"/>
          <w:szCs w:val="24"/>
        </w:rPr>
        <w:t>occur</w:t>
      </w:r>
      <w:r w:rsidR="001D733B">
        <w:rPr>
          <w:sz w:val="24"/>
          <w:szCs w:val="24"/>
        </w:rPr>
        <w:t xml:space="preserve"> in the 2023</w:t>
      </w:r>
      <w:r w:rsidR="007D4EB3">
        <w:rPr>
          <w:sz w:val="24"/>
          <w:szCs w:val="24"/>
        </w:rPr>
        <w:t>–</w:t>
      </w:r>
      <w:r w:rsidR="001D733B">
        <w:rPr>
          <w:sz w:val="24"/>
          <w:szCs w:val="24"/>
        </w:rPr>
        <w:t>28 regulatory period.</w:t>
      </w:r>
    </w:p>
    <w:p w14:paraId="61A05860" w14:textId="72E4E42A" w:rsidR="004E7AA1" w:rsidRDefault="00CC4319" w:rsidP="00B75844">
      <w:pPr>
        <w:pStyle w:val="NormalIndent"/>
        <w:ind w:left="0"/>
        <w:rPr>
          <w:sz w:val="24"/>
          <w:szCs w:val="24"/>
        </w:rPr>
      </w:pPr>
      <w:r>
        <w:rPr>
          <w:sz w:val="24"/>
          <w:szCs w:val="24"/>
        </w:rPr>
        <w:lastRenderedPageBreak/>
        <w:t>Coronavirus (</w:t>
      </w:r>
      <w:r w:rsidR="00A328EB">
        <w:rPr>
          <w:sz w:val="24"/>
          <w:szCs w:val="24"/>
        </w:rPr>
        <w:t>COVID-19</w:t>
      </w:r>
      <w:r>
        <w:rPr>
          <w:sz w:val="24"/>
          <w:szCs w:val="24"/>
        </w:rPr>
        <w:t>)</w:t>
      </w:r>
      <w:r w:rsidR="00A328EB">
        <w:rPr>
          <w:sz w:val="24"/>
          <w:szCs w:val="24"/>
        </w:rPr>
        <w:t xml:space="preserve"> impacts</w:t>
      </w:r>
      <w:r w:rsidR="0004291E">
        <w:rPr>
          <w:sz w:val="24"/>
          <w:szCs w:val="24"/>
        </w:rPr>
        <w:t xml:space="preserve">, </w:t>
      </w:r>
      <w:r w:rsidR="00D355AC">
        <w:rPr>
          <w:sz w:val="24"/>
          <w:szCs w:val="24"/>
        </w:rPr>
        <w:t xml:space="preserve">unfavourable </w:t>
      </w:r>
      <w:r w:rsidR="0004291E">
        <w:rPr>
          <w:sz w:val="24"/>
          <w:szCs w:val="24"/>
        </w:rPr>
        <w:t>site conditions</w:t>
      </w:r>
      <w:r w:rsidR="00D355AC">
        <w:rPr>
          <w:sz w:val="24"/>
          <w:szCs w:val="24"/>
        </w:rPr>
        <w:t>,</w:t>
      </w:r>
      <w:r w:rsidR="0004291E">
        <w:rPr>
          <w:sz w:val="24"/>
          <w:szCs w:val="24"/>
        </w:rPr>
        <w:t xml:space="preserve"> </w:t>
      </w:r>
      <w:r w:rsidR="007C251E">
        <w:rPr>
          <w:sz w:val="24"/>
          <w:szCs w:val="24"/>
        </w:rPr>
        <w:t>and delays in obtaining approvals ha</w:t>
      </w:r>
      <w:r w:rsidR="00CC4B25">
        <w:rPr>
          <w:sz w:val="24"/>
          <w:szCs w:val="24"/>
        </w:rPr>
        <w:t>ve also contributed to delay</w:t>
      </w:r>
      <w:r w:rsidR="00B027CF">
        <w:rPr>
          <w:sz w:val="24"/>
          <w:szCs w:val="24"/>
        </w:rPr>
        <w:t>s</w:t>
      </w:r>
      <w:r w:rsidR="00297893">
        <w:rPr>
          <w:sz w:val="24"/>
          <w:szCs w:val="24"/>
        </w:rPr>
        <w:t xml:space="preserve"> in delivering </w:t>
      </w:r>
      <w:r w:rsidR="00CC4B25">
        <w:rPr>
          <w:sz w:val="24"/>
          <w:szCs w:val="24"/>
        </w:rPr>
        <w:t>projects.</w:t>
      </w:r>
    </w:p>
    <w:p w14:paraId="750C4313" w14:textId="77777777" w:rsidR="00210DF7" w:rsidRPr="004B3EB0" w:rsidRDefault="00210DF7" w:rsidP="00CD5694">
      <w:pPr>
        <w:pStyle w:val="NormalIndent"/>
        <w:ind w:left="0"/>
        <w:rPr>
          <w:sz w:val="24"/>
          <w:szCs w:val="24"/>
        </w:rPr>
      </w:pPr>
    </w:p>
    <w:p w14:paraId="7FF5907E" w14:textId="5307E1E7" w:rsidR="001C13B2" w:rsidRPr="00CB0971" w:rsidRDefault="00330BFE" w:rsidP="00762418">
      <w:pPr>
        <w:pStyle w:val="NbrHeading2"/>
      </w:pPr>
      <w:r>
        <w:t xml:space="preserve">6.2 </w:t>
      </w:r>
      <w:r w:rsidR="001C13B2" w:rsidRPr="00373314">
        <w:t xml:space="preserve">Summary of capital expenditure </w:t>
      </w:r>
      <w:r w:rsidR="001C13B2" w:rsidRPr="00CB0971">
        <w:t>program</w:t>
      </w:r>
    </w:p>
    <w:p w14:paraId="0CA1578F" w14:textId="26A7286E" w:rsidR="007B559C" w:rsidRDefault="007B559C" w:rsidP="007B559C">
      <w:pPr>
        <w:spacing w:before="120"/>
        <w:rPr>
          <w:rFonts w:cs="Arial"/>
        </w:rPr>
      </w:pPr>
      <w:r w:rsidRPr="00C7338C">
        <w:rPr>
          <w:rFonts w:cs="Arial"/>
        </w:rPr>
        <w:t>When developing our capital expenditure program for 2023</w:t>
      </w:r>
      <w:r w:rsidR="007D4EB3">
        <w:rPr>
          <w:rFonts w:cs="Arial"/>
        </w:rPr>
        <w:t>–</w:t>
      </w:r>
      <w:r>
        <w:rPr>
          <w:rFonts w:cs="Arial"/>
        </w:rPr>
        <w:t>28</w:t>
      </w:r>
      <w:r w:rsidRPr="00C7338C">
        <w:rPr>
          <w:rFonts w:cs="Arial"/>
        </w:rPr>
        <w:t>, we considered</w:t>
      </w:r>
      <w:r>
        <w:rPr>
          <w:rFonts w:cs="Arial"/>
        </w:rPr>
        <w:t xml:space="preserve"> our </w:t>
      </w:r>
      <w:r w:rsidR="0028370B">
        <w:rPr>
          <w:rFonts w:cs="Arial"/>
        </w:rPr>
        <w:t xml:space="preserve">customer feedback and </w:t>
      </w:r>
      <w:r>
        <w:rPr>
          <w:rFonts w:cs="Arial"/>
        </w:rPr>
        <w:t xml:space="preserve">strategic focus areas. As well as </w:t>
      </w:r>
      <w:r w:rsidRPr="00862E88">
        <w:rPr>
          <w:rFonts w:cs="Arial"/>
        </w:rPr>
        <w:t>reaffirming the</w:t>
      </w:r>
      <w:r>
        <w:rPr>
          <w:rFonts w:cs="Arial"/>
        </w:rPr>
        <w:t xml:space="preserve"> </w:t>
      </w:r>
      <w:r w:rsidR="00584B94">
        <w:rPr>
          <w:rFonts w:cs="Arial"/>
        </w:rPr>
        <w:t>5</w:t>
      </w:r>
      <w:r w:rsidR="007D6FF0" w:rsidRPr="00D005E9">
        <w:rPr>
          <w:rFonts w:cs="Arial"/>
        </w:rPr>
        <w:t xml:space="preserve"> </w:t>
      </w:r>
      <w:r w:rsidRPr="00D005E9">
        <w:rPr>
          <w:rFonts w:cs="Arial"/>
        </w:rPr>
        <w:t>outcomes agreed for the current 2018</w:t>
      </w:r>
      <w:r w:rsidR="007D4EB3">
        <w:rPr>
          <w:rFonts w:cs="Arial"/>
        </w:rPr>
        <w:t>–</w:t>
      </w:r>
      <w:r w:rsidRPr="00D005E9">
        <w:rPr>
          <w:rFonts w:cs="Arial"/>
        </w:rPr>
        <w:t>23 regulatory period</w:t>
      </w:r>
      <w:r>
        <w:rPr>
          <w:rFonts w:cs="Arial"/>
        </w:rPr>
        <w:t xml:space="preserve">, </w:t>
      </w:r>
      <w:r w:rsidR="006055E2">
        <w:rPr>
          <w:rFonts w:cs="Arial"/>
        </w:rPr>
        <w:t>ou</w:t>
      </w:r>
      <w:r w:rsidR="00C30A94">
        <w:rPr>
          <w:rFonts w:cs="Arial"/>
        </w:rPr>
        <w:t>r</w:t>
      </w:r>
      <w:r w:rsidR="006055E2">
        <w:rPr>
          <w:rFonts w:cs="Arial"/>
        </w:rPr>
        <w:t xml:space="preserve"> customers</w:t>
      </w:r>
      <w:r>
        <w:rPr>
          <w:rFonts w:cs="Arial"/>
        </w:rPr>
        <w:t xml:space="preserve"> told us they want us to:</w:t>
      </w:r>
    </w:p>
    <w:p w14:paraId="24A8C053" w14:textId="10774E2F" w:rsidR="007B559C" w:rsidRDefault="00904507">
      <w:pPr>
        <w:pStyle w:val="ListParagraph"/>
        <w:numPr>
          <w:ilvl w:val="0"/>
          <w:numId w:val="77"/>
        </w:numPr>
        <w:spacing w:after="160" w:line="259" w:lineRule="auto"/>
        <w:ind w:left="426"/>
        <w:rPr>
          <w:rFonts w:cs="Arial"/>
        </w:rPr>
      </w:pPr>
      <w:r>
        <w:rPr>
          <w:rFonts w:cs="Arial"/>
        </w:rPr>
        <w:t>r</w:t>
      </w:r>
      <w:r w:rsidR="007B559C" w:rsidRPr="00813CF4">
        <w:rPr>
          <w:rFonts w:cs="Arial"/>
        </w:rPr>
        <w:t>educ</w:t>
      </w:r>
      <w:r w:rsidR="007B559C">
        <w:rPr>
          <w:rFonts w:cs="Arial"/>
        </w:rPr>
        <w:t xml:space="preserve">e the </w:t>
      </w:r>
      <w:r w:rsidR="007B559C" w:rsidRPr="00813CF4">
        <w:rPr>
          <w:rFonts w:cs="Arial"/>
        </w:rPr>
        <w:t xml:space="preserve">number of </w:t>
      </w:r>
      <w:r w:rsidR="00174C52">
        <w:rPr>
          <w:rFonts w:cs="Arial"/>
        </w:rPr>
        <w:t xml:space="preserve">service </w:t>
      </w:r>
      <w:r w:rsidR="007B559C" w:rsidRPr="00813CF4">
        <w:rPr>
          <w:rFonts w:cs="Arial"/>
        </w:rPr>
        <w:t>disruptions and sewer spills</w:t>
      </w:r>
      <w:r w:rsidR="00174074">
        <w:rPr>
          <w:rFonts w:cs="Arial"/>
        </w:rPr>
        <w:t xml:space="preserve"> and </w:t>
      </w:r>
      <w:r w:rsidR="00F42F20">
        <w:rPr>
          <w:rFonts w:cs="Arial"/>
        </w:rPr>
        <w:t>provide</w:t>
      </w:r>
      <w:r w:rsidR="00174074">
        <w:rPr>
          <w:rFonts w:cs="Arial"/>
        </w:rPr>
        <w:t xml:space="preserve"> </w:t>
      </w:r>
      <w:r w:rsidR="00F42F20">
        <w:rPr>
          <w:rFonts w:cs="Arial"/>
        </w:rPr>
        <w:t xml:space="preserve">a </w:t>
      </w:r>
      <w:r w:rsidR="00174074">
        <w:rPr>
          <w:rFonts w:cs="Arial"/>
        </w:rPr>
        <w:t>reliable service</w:t>
      </w:r>
      <w:r w:rsidR="008B3A81">
        <w:rPr>
          <w:rFonts w:cs="Arial"/>
        </w:rPr>
        <w:t xml:space="preserve"> across our network</w:t>
      </w:r>
    </w:p>
    <w:p w14:paraId="78E6EC8B" w14:textId="4BFF1F6A" w:rsidR="007B559C" w:rsidRPr="00DA2D4A" w:rsidRDefault="00904507">
      <w:pPr>
        <w:pStyle w:val="ListParagraph"/>
        <w:numPr>
          <w:ilvl w:val="0"/>
          <w:numId w:val="77"/>
        </w:numPr>
        <w:spacing w:after="160" w:line="259" w:lineRule="auto"/>
        <w:ind w:left="426"/>
        <w:rPr>
          <w:rFonts w:cs="Arial"/>
        </w:rPr>
      </w:pPr>
      <w:r>
        <w:rPr>
          <w:rFonts w:cs="Arial"/>
        </w:rPr>
        <w:t>k</w:t>
      </w:r>
      <w:r w:rsidR="007B559C" w:rsidRPr="00C565C6">
        <w:rPr>
          <w:rFonts w:cs="Arial"/>
        </w:rPr>
        <w:t xml:space="preserve">eep water affordable and </w:t>
      </w:r>
      <w:r w:rsidR="00FB2552">
        <w:rPr>
          <w:rFonts w:cs="Arial"/>
        </w:rPr>
        <w:t>accessible to all</w:t>
      </w:r>
    </w:p>
    <w:p w14:paraId="4E0D79C5" w14:textId="2C54B857" w:rsidR="007B559C" w:rsidRDefault="00223B44">
      <w:pPr>
        <w:pStyle w:val="ListParagraph"/>
        <w:numPr>
          <w:ilvl w:val="0"/>
          <w:numId w:val="77"/>
        </w:numPr>
        <w:spacing w:after="160" w:line="259" w:lineRule="auto"/>
        <w:ind w:left="426"/>
        <w:rPr>
          <w:rFonts w:cs="Arial"/>
        </w:rPr>
      </w:pPr>
      <w:r>
        <w:rPr>
          <w:rFonts w:cs="Arial"/>
        </w:rPr>
        <w:t>r</w:t>
      </w:r>
      <w:r w:rsidR="007B559C">
        <w:rPr>
          <w:rFonts w:cs="Arial"/>
        </w:rPr>
        <w:t xml:space="preserve">oll out </w:t>
      </w:r>
      <w:r w:rsidR="00925CC2">
        <w:rPr>
          <w:rFonts w:cs="Arial"/>
        </w:rPr>
        <w:t xml:space="preserve">digital </w:t>
      </w:r>
      <w:r w:rsidR="007B559C">
        <w:rPr>
          <w:rFonts w:cs="Arial"/>
        </w:rPr>
        <w:t>customer meters to obtain the benefits</w:t>
      </w:r>
      <w:r w:rsidR="00F16A49" w:rsidRPr="00282CBC">
        <w:rPr>
          <w:rStyle w:val="FootnoteReference"/>
          <w:rFonts w:cs="Arial"/>
          <w:color w:val="auto"/>
        </w:rPr>
        <w:footnoteReference w:id="6"/>
      </w:r>
      <w:r w:rsidR="007B559C" w:rsidRPr="00282CBC">
        <w:rPr>
          <w:rFonts w:cs="Arial"/>
        </w:rPr>
        <w:t xml:space="preserve"> </w:t>
      </w:r>
      <w:r w:rsidR="007B559C">
        <w:rPr>
          <w:rFonts w:cs="Arial"/>
        </w:rPr>
        <w:t>they offer</w:t>
      </w:r>
    </w:p>
    <w:p w14:paraId="76055C58" w14:textId="5F5CC2BA" w:rsidR="007B559C" w:rsidRDefault="00672672">
      <w:pPr>
        <w:pStyle w:val="ListParagraph"/>
        <w:numPr>
          <w:ilvl w:val="0"/>
          <w:numId w:val="77"/>
        </w:numPr>
        <w:spacing w:after="160" w:line="259" w:lineRule="auto"/>
        <w:ind w:left="426"/>
        <w:rPr>
          <w:rFonts w:cs="Arial"/>
        </w:rPr>
      </w:pPr>
      <w:r>
        <w:rPr>
          <w:rFonts w:cs="Arial"/>
        </w:rPr>
        <w:t>s</w:t>
      </w:r>
      <w:r w:rsidR="007B559C" w:rsidRPr="000134F5">
        <w:rPr>
          <w:rFonts w:cs="Arial"/>
        </w:rPr>
        <w:t>ecur</w:t>
      </w:r>
      <w:r w:rsidR="007B559C">
        <w:rPr>
          <w:rFonts w:cs="Arial"/>
        </w:rPr>
        <w:t xml:space="preserve">e </w:t>
      </w:r>
      <w:r w:rsidR="007B559C" w:rsidRPr="000134F5">
        <w:rPr>
          <w:rFonts w:cs="Arial"/>
        </w:rPr>
        <w:t>future water supplies</w:t>
      </w:r>
      <w:r w:rsidR="00C70FAD">
        <w:rPr>
          <w:rFonts w:cs="Arial"/>
        </w:rPr>
        <w:t xml:space="preserve">, </w:t>
      </w:r>
      <w:r w:rsidR="007B559C" w:rsidRPr="000134F5">
        <w:rPr>
          <w:rFonts w:cs="Arial"/>
        </w:rPr>
        <w:t>improv</w:t>
      </w:r>
      <w:r w:rsidR="007B559C">
        <w:rPr>
          <w:rFonts w:cs="Arial"/>
        </w:rPr>
        <w:t>e</w:t>
      </w:r>
      <w:r w:rsidR="007B559C" w:rsidRPr="000134F5">
        <w:rPr>
          <w:rFonts w:cs="Arial"/>
        </w:rPr>
        <w:t xml:space="preserve"> the health of our waterways</w:t>
      </w:r>
      <w:r w:rsidR="00C70FAD">
        <w:rPr>
          <w:rFonts w:cs="Arial"/>
        </w:rPr>
        <w:t xml:space="preserve"> and protect our environment</w:t>
      </w:r>
    </w:p>
    <w:p w14:paraId="46B49DBF" w14:textId="4296ED17" w:rsidR="007B559C" w:rsidRDefault="00672672">
      <w:pPr>
        <w:pStyle w:val="ListParagraph"/>
        <w:numPr>
          <w:ilvl w:val="0"/>
          <w:numId w:val="77"/>
        </w:numPr>
        <w:spacing w:after="160" w:line="259" w:lineRule="auto"/>
        <w:ind w:left="426"/>
        <w:contextualSpacing/>
        <w:rPr>
          <w:rFonts w:cs="Arial"/>
        </w:rPr>
      </w:pPr>
      <w:r>
        <w:rPr>
          <w:rFonts w:cs="Arial"/>
        </w:rPr>
        <w:t>i</w:t>
      </w:r>
      <w:r w:rsidR="007B559C">
        <w:rPr>
          <w:rFonts w:cs="Arial"/>
        </w:rPr>
        <w:t>nnovate and deliver new energy-efficient technologies that help to reduce costs.</w:t>
      </w:r>
    </w:p>
    <w:p w14:paraId="1A1472F1" w14:textId="1E93DEA4" w:rsidR="007B559C" w:rsidRPr="00CB0971" w:rsidRDefault="007B559C" w:rsidP="007B559C">
      <w:pPr>
        <w:rPr>
          <w:rFonts w:cs="Arial"/>
        </w:rPr>
      </w:pPr>
      <w:r>
        <w:rPr>
          <w:rFonts w:cs="Arial"/>
        </w:rPr>
        <w:t>Other factors we considered include</w:t>
      </w:r>
      <w:r w:rsidR="00C46A77">
        <w:rPr>
          <w:rFonts w:cs="Arial"/>
        </w:rPr>
        <w:t>d</w:t>
      </w:r>
      <w:r>
        <w:rPr>
          <w:rFonts w:cs="Arial"/>
        </w:rPr>
        <w:t>:</w:t>
      </w:r>
    </w:p>
    <w:p w14:paraId="1D8A5721" w14:textId="04A737C2" w:rsidR="007B559C" w:rsidRPr="00C7338C" w:rsidRDefault="009B08C9">
      <w:pPr>
        <w:pStyle w:val="ListParagraph"/>
        <w:numPr>
          <w:ilvl w:val="0"/>
          <w:numId w:val="78"/>
        </w:numPr>
        <w:spacing w:after="160" w:line="259" w:lineRule="auto"/>
        <w:ind w:left="426"/>
        <w:rPr>
          <w:rFonts w:cs="Arial"/>
        </w:rPr>
      </w:pPr>
      <w:r>
        <w:rPr>
          <w:rFonts w:cs="Arial"/>
        </w:rPr>
        <w:t>c</w:t>
      </w:r>
      <w:r w:rsidR="007B559C" w:rsidRPr="00C7338C">
        <w:rPr>
          <w:rFonts w:cs="Arial"/>
        </w:rPr>
        <w:t>ompliance requirements</w:t>
      </w:r>
      <w:r>
        <w:rPr>
          <w:rFonts w:cs="Arial"/>
        </w:rPr>
        <w:t>,</w:t>
      </w:r>
      <w:r w:rsidR="007B559C">
        <w:rPr>
          <w:rFonts w:cs="Arial"/>
        </w:rPr>
        <w:t xml:space="preserve"> and ensuring we continue to meet the intent of</w:t>
      </w:r>
      <w:r w:rsidR="007B559C" w:rsidRPr="00C7338C">
        <w:rPr>
          <w:rFonts w:cs="Arial"/>
        </w:rPr>
        <w:t xml:space="preserve"> existing </w:t>
      </w:r>
      <w:r w:rsidR="007B559C">
        <w:rPr>
          <w:rFonts w:cs="Arial"/>
        </w:rPr>
        <w:t xml:space="preserve">and </w:t>
      </w:r>
      <w:r w:rsidR="002E0D48">
        <w:rPr>
          <w:rFonts w:cs="Arial"/>
        </w:rPr>
        <w:t>proposed new</w:t>
      </w:r>
      <w:r w:rsidR="000044BB">
        <w:rPr>
          <w:rFonts w:cs="Arial"/>
        </w:rPr>
        <w:t xml:space="preserve"> </w:t>
      </w:r>
      <w:r w:rsidR="007B559C" w:rsidRPr="00C7338C">
        <w:rPr>
          <w:rFonts w:cs="Arial"/>
        </w:rPr>
        <w:t xml:space="preserve">government </w:t>
      </w:r>
      <w:r w:rsidR="007B559C">
        <w:rPr>
          <w:rFonts w:cs="Arial"/>
        </w:rPr>
        <w:t>and</w:t>
      </w:r>
      <w:r w:rsidR="007B559C" w:rsidRPr="00C7338C">
        <w:rPr>
          <w:rFonts w:cs="Arial"/>
        </w:rPr>
        <w:t xml:space="preserve"> regulator</w:t>
      </w:r>
      <w:r w:rsidR="004E1DC7">
        <w:rPr>
          <w:rFonts w:cs="Arial"/>
        </w:rPr>
        <w:t>y</w:t>
      </w:r>
      <w:r w:rsidR="007B559C" w:rsidRPr="00C7338C">
        <w:rPr>
          <w:rFonts w:cs="Arial"/>
        </w:rPr>
        <w:t xml:space="preserve"> obligations</w:t>
      </w:r>
    </w:p>
    <w:p w14:paraId="5F3D3CB7" w14:textId="4DDCE68C" w:rsidR="007B559C" w:rsidRPr="00C7338C" w:rsidRDefault="009B08C9">
      <w:pPr>
        <w:pStyle w:val="ListParagraph"/>
        <w:numPr>
          <w:ilvl w:val="0"/>
          <w:numId w:val="78"/>
        </w:numPr>
        <w:spacing w:after="160" w:line="259" w:lineRule="auto"/>
        <w:ind w:left="426"/>
        <w:rPr>
          <w:rFonts w:cs="Arial"/>
        </w:rPr>
      </w:pPr>
      <w:r>
        <w:rPr>
          <w:rFonts w:cs="Arial"/>
        </w:rPr>
        <w:t>t</w:t>
      </w:r>
      <w:r w:rsidR="007B559C">
        <w:rPr>
          <w:rFonts w:cs="Arial"/>
        </w:rPr>
        <w:t>rends in customer behaviours, needs and expectations, with a focus on continuing to</w:t>
      </w:r>
      <w:r w:rsidR="007B559C" w:rsidRPr="00C7338C">
        <w:rPr>
          <w:rFonts w:cs="Arial"/>
        </w:rPr>
        <w:t xml:space="preserve"> deliver</w:t>
      </w:r>
      <w:r w:rsidR="007B559C">
        <w:rPr>
          <w:rFonts w:cs="Arial"/>
        </w:rPr>
        <w:t xml:space="preserve"> </w:t>
      </w:r>
      <w:r w:rsidR="007B559C" w:rsidRPr="00C7338C">
        <w:rPr>
          <w:rFonts w:cs="Arial"/>
        </w:rPr>
        <w:t>liveability benefits to our customers</w:t>
      </w:r>
    </w:p>
    <w:p w14:paraId="4B4F2D5E" w14:textId="66C427E1" w:rsidR="007B559C" w:rsidRDefault="009B08C9">
      <w:pPr>
        <w:pStyle w:val="ListParagraph"/>
        <w:numPr>
          <w:ilvl w:val="0"/>
          <w:numId w:val="78"/>
        </w:numPr>
        <w:spacing w:after="160" w:line="259" w:lineRule="auto"/>
        <w:ind w:left="426"/>
        <w:rPr>
          <w:rFonts w:cs="Arial"/>
        </w:rPr>
      </w:pPr>
      <w:r>
        <w:rPr>
          <w:rFonts w:cs="Arial"/>
        </w:rPr>
        <w:t>i</w:t>
      </w:r>
      <w:r w:rsidR="007B559C">
        <w:rPr>
          <w:rFonts w:cs="Arial"/>
        </w:rPr>
        <w:t xml:space="preserve">nsights from </w:t>
      </w:r>
      <w:r w:rsidR="00E37017">
        <w:rPr>
          <w:rFonts w:cs="Arial"/>
        </w:rPr>
        <w:t xml:space="preserve">digitised </w:t>
      </w:r>
      <w:r w:rsidR="007B559C">
        <w:rPr>
          <w:rFonts w:cs="Arial"/>
        </w:rPr>
        <w:t xml:space="preserve">network capacity modelling and critical asset reviews, which </w:t>
      </w:r>
      <w:r w:rsidR="005A5165">
        <w:rPr>
          <w:rFonts w:cs="Arial"/>
        </w:rPr>
        <w:t>give</w:t>
      </w:r>
      <w:r w:rsidR="007B559C">
        <w:rPr>
          <w:rFonts w:cs="Arial"/>
        </w:rPr>
        <w:t xml:space="preserve"> us a deep </w:t>
      </w:r>
      <w:r w:rsidR="007B559C" w:rsidRPr="00C950DF">
        <w:rPr>
          <w:rFonts w:cs="Arial"/>
        </w:rPr>
        <w:t xml:space="preserve">understanding of </w:t>
      </w:r>
      <w:r w:rsidR="007B559C">
        <w:rPr>
          <w:rFonts w:cs="Arial"/>
        </w:rPr>
        <w:t>where</w:t>
      </w:r>
      <w:r w:rsidR="007B559C" w:rsidRPr="00C950DF">
        <w:rPr>
          <w:rFonts w:cs="Arial"/>
        </w:rPr>
        <w:t xml:space="preserve"> </w:t>
      </w:r>
      <w:r w:rsidR="007B559C">
        <w:rPr>
          <w:rFonts w:cs="Arial"/>
        </w:rPr>
        <w:t xml:space="preserve">there are existing and potential </w:t>
      </w:r>
      <w:r w:rsidR="007B559C" w:rsidRPr="00C950DF">
        <w:rPr>
          <w:rFonts w:cs="Arial"/>
        </w:rPr>
        <w:t xml:space="preserve">capacity and performance </w:t>
      </w:r>
      <w:r w:rsidR="007B559C">
        <w:rPr>
          <w:rFonts w:cs="Arial"/>
        </w:rPr>
        <w:t>issues in</w:t>
      </w:r>
      <w:r w:rsidR="007B559C" w:rsidRPr="00C950DF">
        <w:rPr>
          <w:rFonts w:cs="Arial"/>
        </w:rPr>
        <w:t xml:space="preserve"> our networks</w:t>
      </w:r>
      <w:r w:rsidR="007B559C">
        <w:rPr>
          <w:rFonts w:cs="Arial"/>
        </w:rPr>
        <w:t xml:space="preserve"> and assets</w:t>
      </w:r>
    </w:p>
    <w:p w14:paraId="378C56C6" w14:textId="3DD3E808" w:rsidR="007B559C" w:rsidRPr="00C7338C" w:rsidRDefault="008B3C82">
      <w:pPr>
        <w:pStyle w:val="ListParagraph"/>
        <w:numPr>
          <w:ilvl w:val="0"/>
          <w:numId w:val="78"/>
        </w:numPr>
        <w:spacing w:after="160" w:line="259" w:lineRule="auto"/>
        <w:ind w:left="426"/>
        <w:rPr>
          <w:rFonts w:cs="Arial"/>
        </w:rPr>
      </w:pPr>
      <w:bookmarkStart w:id="58" w:name="_Hlk108766139"/>
      <w:r>
        <w:rPr>
          <w:rFonts w:cs="Arial"/>
        </w:rPr>
        <w:t>p</w:t>
      </w:r>
      <w:r w:rsidR="007B559C" w:rsidRPr="00C7338C">
        <w:rPr>
          <w:rFonts w:cs="Arial"/>
        </w:rPr>
        <w:t xml:space="preserve">rojections for </w:t>
      </w:r>
      <w:r w:rsidR="00B5656B">
        <w:rPr>
          <w:rFonts w:cs="Arial"/>
        </w:rPr>
        <w:t>future growth</w:t>
      </w:r>
      <w:r w:rsidR="00D03316">
        <w:rPr>
          <w:rFonts w:cs="Arial"/>
        </w:rPr>
        <w:t>,</w:t>
      </w:r>
      <w:r w:rsidR="00DE62E5">
        <w:rPr>
          <w:rFonts w:cs="Arial"/>
        </w:rPr>
        <w:t xml:space="preserve"> </w:t>
      </w:r>
      <w:r w:rsidR="00DB061F">
        <w:rPr>
          <w:rFonts w:cs="Arial"/>
        </w:rPr>
        <w:t xml:space="preserve">and </w:t>
      </w:r>
      <w:r w:rsidR="001D0ED4">
        <w:rPr>
          <w:rFonts w:cs="Arial"/>
        </w:rPr>
        <w:t>the</w:t>
      </w:r>
      <w:r w:rsidR="009840DA">
        <w:rPr>
          <w:rFonts w:cs="Arial"/>
        </w:rPr>
        <w:t xml:space="preserve"> impact </w:t>
      </w:r>
      <w:r w:rsidR="00B5656B">
        <w:rPr>
          <w:rFonts w:cs="Arial"/>
        </w:rPr>
        <w:t>it</w:t>
      </w:r>
      <w:r w:rsidR="001D0ED4">
        <w:rPr>
          <w:rFonts w:cs="Arial"/>
        </w:rPr>
        <w:t xml:space="preserve"> will have </w:t>
      </w:r>
      <w:r w:rsidR="009840DA">
        <w:rPr>
          <w:rFonts w:cs="Arial"/>
        </w:rPr>
        <w:t xml:space="preserve">on </w:t>
      </w:r>
      <w:r w:rsidR="00F26BF5">
        <w:rPr>
          <w:rFonts w:cs="Arial"/>
        </w:rPr>
        <w:t xml:space="preserve">demand </w:t>
      </w:r>
      <w:r w:rsidR="00F74BEB">
        <w:rPr>
          <w:rFonts w:cs="Arial"/>
        </w:rPr>
        <w:t xml:space="preserve">for </w:t>
      </w:r>
      <w:r w:rsidR="004A64A7">
        <w:rPr>
          <w:rFonts w:cs="Arial"/>
        </w:rPr>
        <w:t>water and sewerage</w:t>
      </w:r>
      <w:r w:rsidR="006E08EB">
        <w:rPr>
          <w:rFonts w:cs="Arial"/>
        </w:rPr>
        <w:t xml:space="preserve"> </w:t>
      </w:r>
      <w:r w:rsidR="00F74BEB">
        <w:rPr>
          <w:rFonts w:cs="Arial"/>
        </w:rPr>
        <w:t>services</w:t>
      </w:r>
      <w:r w:rsidR="00B5656B">
        <w:rPr>
          <w:rFonts w:cs="Arial"/>
        </w:rPr>
        <w:t xml:space="preserve"> in growth areas</w:t>
      </w:r>
    </w:p>
    <w:bookmarkEnd w:id="58"/>
    <w:p w14:paraId="1DE9CBCA" w14:textId="0579495C" w:rsidR="007B559C" w:rsidRPr="00C7338C" w:rsidRDefault="008B3C82">
      <w:pPr>
        <w:pStyle w:val="ListParagraph"/>
        <w:numPr>
          <w:ilvl w:val="0"/>
          <w:numId w:val="78"/>
        </w:numPr>
        <w:spacing w:after="160" w:line="259" w:lineRule="auto"/>
        <w:ind w:left="426"/>
        <w:rPr>
          <w:rFonts w:cs="Arial"/>
        </w:rPr>
      </w:pPr>
      <w:r>
        <w:rPr>
          <w:rFonts w:cs="Arial"/>
        </w:rPr>
        <w:t>c</w:t>
      </w:r>
      <w:r w:rsidR="007B559C" w:rsidRPr="00C7338C">
        <w:rPr>
          <w:rFonts w:cs="Arial"/>
        </w:rPr>
        <w:t>limate change</w:t>
      </w:r>
      <w:r w:rsidR="0055304D">
        <w:rPr>
          <w:rFonts w:cs="Arial"/>
        </w:rPr>
        <w:t>,</w:t>
      </w:r>
      <w:r w:rsidR="007B559C">
        <w:rPr>
          <w:rFonts w:cs="Arial"/>
        </w:rPr>
        <w:t xml:space="preserve"> and ensuring our </w:t>
      </w:r>
      <w:r w:rsidR="0049373E">
        <w:rPr>
          <w:rFonts w:cs="Arial"/>
        </w:rPr>
        <w:t>assets</w:t>
      </w:r>
      <w:r w:rsidR="007B559C" w:rsidRPr="00C7338C">
        <w:rPr>
          <w:rFonts w:cs="Arial"/>
        </w:rPr>
        <w:t xml:space="preserve"> deliver climate resilient water supplies, minimise flooding and reduce urban heat impacts</w:t>
      </w:r>
    </w:p>
    <w:p w14:paraId="2D3BC067" w14:textId="41EB9FD5" w:rsidR="007B559C" w:rsidRPr="00463537" w:rsidRDefault="008B3C82">
      <w:pPr>
        <w:pStyle w:val="ListParagraph"/>
        <w:numPr>
          <w:ilvl w:val="0"/>
          <w:numId w:val="78"/>
        </w:numPr>
        <w:spacing w:after="240" w:line="259" w:lineRule="auto"/>
        <w:ind w:left="426"/>
        <w:rPr>
          <w:rFonts w:cs="Arial"/>
        </w:rPr>
      </w:pPr>
      <w:r>
        <w:rPr>
          <w:rFonts w:cs="Arial"/>
        </w:rPr>
        <w:t>o</w:t>
      </w:r>
      <w:r w:rsidR="007B559C">
        <w:rPr>
          <w:rFonts w:cs="Arial"/>
        </w:rPr>
        <w:t>ur capability and capacity to deliver based on past performance, and in the future</w:t>
      </w:r>
      <w:r>
        <w:rPr>
          <w:rFonts w:cs="Arial"/>
        </w:rPr>
        <w:t>,</w:t>
      </w:r>
      <w:r w:rsidR="007B559C">
        <w:rPr>
          <w:rFonts w:cs="Arial"/>
        </w:rPr>
        <w:t xml:space="preserve"> through our capital delivery models.</w:t>
      </w:r>
    </w:p>
    <w:p w14:paraId="3CBB3C39" w14:textId="16B4B43A" w:rsidR="002B3E06" w:rsidRPr="00EB6529" w:rsidDel="00865EA5" w:rsidRDefault="00C4587B" w:rsidP="00C34B5A">
      <w:pPr>
        <w:spacing w:line="259" w:lineRule="auto"/>
        <w:rPr>
          <w:rFonts w:cs="Arial"/>
        </w:rPr>
      </w:pPr>
      <w:r>
        <w:rPr>
          <w:rFonts w:cs="Arial"/>
        </w:rPr>
        <w:t>Cap</w:t>
      </w:r>
      <w:r w:rsidR="006141B0">
        <w:rPr>
          <w:rFonts w:cs="Arial"/>
        </w:rPr>
        <w:t xml:space="preserve">ital expenditure </w:t>
      </w:r>
      <w:r>
        <w:rPr>
          <w:rFonts w:cs="Arial"/>
        </w:rPr>
        <w:t>investment of</w:t>
      </w:r>
      <w:r w:rsidR="007B559C" w:rsidRPr="00A172A9">
        <w:rPr>
          <w:rFonts w:cs="Arial"/>
        </w:rPr>
        <w:t xml:space="preserve"> $1.</w:t>
      </w:r>
      <w:r w:rsidR="008F19DC" w:rsidRPr="00A172A9">
        <w:rPr>
          <w:rFonts w:cs="Arial"/>
        </w:rPr>
        <w:t>9</w:t>
      </w:r>
      <w:r w:rsidR="008F19DC">
        <w:rPr>
          <w:rFonts w:cs="Arial"/>
        </w:rPr>
        <w:t>2</w:t>
      </w:r>
      <w:r w:rsidR="008F19DC" w:rsidRPr="00A172A9">
        <w:rPr>
          <w:rFonts w:cs="Arial"/>
        </w:rPr>
        <w:t xml:space="preserve"> </w:t>
      </w:r>
      <w:r w:rsidR="007B559C" w:rsidRPr="00A172A9">
        <w:rPr>
          <w:rFonts w:cs="Arial"/>
        </w:rPr>
        <w:t xml:space="preserve">billion </w:t>
      </w:r>
      <w:r>
        <w:rPr>
          <w:rFonts w:cs="Arial"/>
        </w:rPr>
        <w:t xml:space="preserve">is proposed </w:t>
      </w:r>
      <w:r w:rsidR="007B559C" w:rsidRPr="00A172A9">
        <w:rPr>
          <w:rFonts w:cs="Arial"/>
        </w:rPr>
        <w:t xml:space="preserve">for the </w:t>
      </w:r>
      <w:r w:rsidR="00C61542" w:rsidRPr="00C7338C">
        <w:rPr>
          <w:rFonts w:cs="Arial"/>
        </w:rPr>
        <w:t>2023</w:t>
      </w:r>
      <w:r w:rsidR="007D4EB3">
        <w:rPr>
          <w:rFonts w:cs="Arial"/>
        </w:rPr>
        <w:t>–</w:t>
      </w:r>
      <w:r w:rsidR="00C61542">
        <w:rPr>
          <w:rFonts w:cs="Arial"/>
        </w:rPr>
        <w:t>28</w:t>
      </w:r>
      <w:r w:rsidR="007B559C" w:rsidRPr="00A172A9">
        <w:rPr>
          <w:rFonts w:cs="Arial"/>
        </w:rPr>
        <w:t xml:space="preserve"> period (excluding third-party funded works). This represents a </w:t>
      </w:r>
      <w:r w:rsidR="00112A71">
        <w:rPr>
          <w:rFonts w:cs="Arial"/>
        </w:rPr>
        <w:t xml:space="preserve">5% </w:t>
      </w:r>
      <w:r w:rsidR="00E65DC4">
        <w:rPr>
          <w:rFonts w:cs="Arial"/>
        </w:rPr>
        <w:t>per annum increase in our regulatory asset base and a</w:t>
      </w:r>
      <w:r w:rsidR="007B559C" w:rsidRPr="00A172A9">
        <w:rPr>
          <w:rFonts w:cs="Arial"/>
        </w:rPr>
        <w:t xml:space="preserve"> </w:t>
      </w:r>
      <w:r w:rsidR="007D2184">
        <w:rPr>
          <w:rFonts w:cs="Arial"/>
        </w:rPr>
        <w:t>54</w:t>
      </w:r>
      <w:r w:rsidR="007B559C" w:rsidRPr="00A172A9">
        <w:rPr>
          <w:rFonts w:cs="Arial"/>
        </w:rPr>
        <w:t>% increase on the projected capital expenditure of $1.2</w:t>
      </w:r>
      <w:r w:rsidR="00A703EB">
        <w:rPr>
          <w:rFonts w:cs="Arial"/>
        </w:rPr>
        <w:t>5</w:t>
      </w:r>
      <w:r w:rsidR="007B559C" w:rsidRPr="00A172A9">
        <w:rPr>
          <w:rFonts w:cs="Arial"/>
        </w:rPr>
        <w:t xml:space="preserve"> billion during 2018</w:t>
      </w:r>
      <w:r w:rsidR="007D4EB3">
        <w:rPr>
          <w:rFonts w:cs="Arial"/>
        </w:rPr>
        <w:t>–</w:t>
      </w:r>
      <w:r w:rsidR="007B559C" w:rsidRPr="00A172A9">
        <w:rPr>
          <w:rFonts w:cs="Arial"/>
        </w:rPr>
        <w:t>23.</w:t>
      </w:r>
      <w:r w:rsidR="007B559C" w:rsidRPr="00A172A9" w:rsidDel="00EB6529">
        <w:rPr>
          <w:rFonts w:cs="Arial"/>
        </w:rPr>
        <w:t xml:space="preserve"> </w:t>
      </w:r>
    </w:p>
    <w:p w14:paraId="04F47C26" w14:textId="11882BE0" w:rsidR="007B559C" w:rsidRPr="00A172A9" w:rsidRDefault="000B4F52" w:rsidP="00C34B5A">
      <w:pPr>
        <w:spacing w:line="259" w:lineRule="auto"/>
        <w:rPr>
          <w:rFonts w:cs="Arial"/>
        </w:rPr>
      </w:pPr>
      <w:r>
        <w:rPr>
          <w:rFonts w:cs="Arial"/>
        </w:rPr>
        <w:t>Figure 4</w:t>
      </w:r>
      <w:r w:rsidR="007B559C" w:rsidRPr="00A172A9">
        <w:rPr>
          <w:rFonts w:cs="Arial"/>
        </w:rPr>
        <w:t xml:space="preserve"> shows the </w:t>
      </w:r>
      <w:r w:rsidR="00DE391F">
        <w:rPr>
          <w:rFonts w:cs="Arial"/>
        </w:rPr>
        <w:t>2018</w:t>
      </w:r>
      <w:r w:rsidR="007B559C" w:rsidRPr="00A172A9">
        <w:rPr>
          <w:rFonts w:cs="Arial"/>
        </w:rPr>
        <w:t xml:space="preserve"> </w:t>
      </w:r>
      <w:r w:rsidR="00DE391F">
        <w:rPr>
          <w:rFonts w:cs="Arial"/>
        </w:rPr>
        <w:t>Determination forecast</w:t>
      </w:r>
      <w:r w:rsidR="007B559C" w:rsidRPr="001467EE">
        <w:rPr>
          <w:rFonts w:cs="Arial"/>
        </w:rPr>
        <w:t xml:space="preserve"> </w:t>
      </w:r>
      <w:r w:rsidR="007B559C" w:rsidRPr="00A172A9">
        <w:rPr>
          <w:rFonts w:cs="Arial"/>
        </w:rPr>
        <w:t>and projected capital expenditure for the 10-year period from 2018</w:t>
      </w:r>
      <w:r w:rsidR="007D4EB3">
        <w:rPr>
          <w:rFonts w:cs="Arial"/>
        </w:rPr>
        <w:t>–</w:t>
      </w:r>
      <w:r w:rsidR="007B559C" w:rsidRPr="00A172A9">
        <w:rPr>
          <w:rFonts w:cs="Arial"/>
        </w:rPr>
        <w:t>19 to 2027</w:t>
      </w:r>
      <w:r w:rsidR="007D4EB3">
        <w:rPr>
          <w:rFonts w:cs="Arial"/>
        </w:rPr>
        <w:t>–</w:t>
      </w:r>
      <w:r w:rsidR="007B559C" w:rsidRPr="00A172A9">
        <w:rPr>
          <w:rFonts w:cs="Arial"/>
        </w:rPr>
        <w:t>28 by service</w:t>
      </w:r>
      <w:r w:rsidR="005B4486">
        <w:rPr>
          <w:rFonts w:cs="Arial"/>
        </w:rPr>
        <w:t>.</w:t>
      </w:r>
    </w:p>
    <w:p w14:paraId="7ADABC4F" w14:textId="06367CC3" w:rsidR="005B4486" w:rsidRPr="008407B8" w:rsidRDefault="00210DF7" w:rsidP="00116E55">
      <w:pPr>
        <w:pStyle w:val="Figuretitle"/>
        <w:tabs>
          <w:tab w:val="clear" w:pos="1134"/>
        </w:tabs>
        <w:ind w:left="993" w:hanging="993"/>
        <w:rPr>
          <w:i/>
          <w:sz w:val="22"/>
          <w:szCs w:val="22"/>
        </w:rPr>
      </w:pPr>
      <w:r w:rsidRPr="008407B8">
        <w:rPr>
          <w:i/>
          <w:noProof/>
          <w:sz w:val="22"/>
          <w:szCs w:val="22"/>
        </w:rPr>
        <w:lastRenderedPageBreak/>
        <w:drawing>
          <wp:anchor distT="0" distB="0" distL="114300" distR="114300" simplePos="0" relativeHeight="251658286" behindDoc="0" locked="0" layoutInCell="1" allowOverlap="1" wp14:anchorId="74D9ED7A" wp14:editId="3FAB30E2">
            <wp:simplePos x="0" y="0"/>
            <wp:positionH relativeFrom="column">
              <wp:posOffset>19050</wp:posOffset>
            </wp:positionH>
            <wp:positionV relativeFrom="paragraph">
              <wp:posOffset>403225</wp:posOffset>
            </wp:positionV>
            <wp:extent cx="5941060" cy="5136515"/>
            <wp:effectExtent l="0" t="0" r="2540" b="0"/>
            <wp:wrapTopAndBottom/>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1060" cy="5136515"/>
                    </a:xfrm>
                    <a:prstGeom prst="rect">
                      <a:avLst/>
                    </a:prstGeom>
                  </pic:spPr>
                </pic:pic>
              </a:graphicData>
            </a:graphic>
            <wp14:sizeRelH relativeFrom="page">
              <wp14:pctWidth>0</wp14:pctWidth>
            </wp14:sizeRelH>
            <wp14:sizeRelV relativeFrom="page">
              <wp14:pctHeight>0</wp14:pctHeight>
            </wp14:sizeRelV>
          </wp:anchor>
        </w:drawing>
      </w:r>
      <w:r w:rsidR="008407B8" w:rsidRPr="008407B8">
        <w:rPr>
          <w:i/>
          <w:sz w:val="22"/>
          <w:szCs w:val="22"/>
        </w:rPr>
        <w:t xml:space="preserve"> </w:t>
      </w:r>
      <w:bookmarkStart w:id="59" w:name="_Hlk114497417"/>
      <w:r w:rsidR="008407B8" w:rsidRPr="008407B8">
        <w:rPr>
          <w:i/>
          <w:sz w:val="22"/>
          <w:szCs w:val="22"/>
        </w:rPr>
        <w:t xml:space="preserve">Figure </w:t>
      </w:r>
      <w:r w:rsidR="008407B8" w:rsidRPr="008407B8">
        <w:rPr>
          <w:i/>
          <w:sz w:val="22"/>
          <w:szCs w:val="22"/>
        </w:rPr>
        <w:fldChar w:fldCharType="begin"/>
      </w:r>
      <w:r w:rsidR="008407B8" w:rsidRPr="008407B8">
        <w:rPr>
          <w:i/>
          <w:sz w:val="22"/>
          <w:szCs w:val="22"/>
        </w:rPr>
        <w:instrText>SEQ Figure \* ARABIC</w:instrText>
      </w:r>
      <w:r w:rsidR="008407B8" w:rsidRPr="008407B8">
        <w:rPr>
          <w:i/>
          <w:sz w:val="22"/>
          <w:szCs w:val="22"/>
        </w:rPr>
        <w:fldChar w:fldCharType="separate"/>
      </w:r>
      <w:r w:rsidR="00877DE6">
        <w:rPr>
          <w:i/>
          <w:noProof/>
          <w:sz w:val="22"/>
          <w:szCs w:val="22"/>
        </w:rPr>
        <w:t>4</w:t>
      </w:r>
      <w:r w:rsidR="008407B8" w:rsidRPr="008407B8">
        <w:rPr>
          <w:i/>
          <w:sz w:val="22"/>
          <w:szCs w:val="22"/>
        </w:rPr>
        <w:fldChar w:fldCharType="end"/>
      </w:r>
      <w:bookmarkEnd w:id="59"/>
      <w:r w:rsidR="005B4486" w:rsidRPr="008407B8">
        <w:rPr>
          <w:i/>
          <w:sz w:val="22"/>
          <w:szCs w:val="22"/>
        </w:rPr>
        <w:t>: Ten-</w:t>
      </w:r>
      <w:r w:rsidR="00373314" w:rsidRPr="008407B8">
        <w:rPr>
          <w:i/>
          <w:sz w:val="22"/>
          <w:szCs w:val="22"/>
        </w:rPr>
        <w:t>y</w:t>
      </w:r>
      <w:r w:rsidR="005B4486" w:rsidRPr="008407B8">
        <w:rPr>
          <w:i/>
          <w:sz w:val="22"/>
          <w:szCs w:val="22"/>
        </w:rPr>
        <w:t xml:space="preserve">ear </w:t>
      </w:r>
      <w:r w:rsidR="00A86394" w:rsidRPr="008407B8">
        <w:rPr>
          <w:i/>
          <w:sz w:val="22"/>
          <w:szCs w:val="22"/>
        </w:rPr>
        <w:t>c</w:t>
      </w:r>
      <w:r w:rsidR="005B4486" w:rsidRPr="008407B8">
        <w:rPr>
          <w:i/>
          <w:sz w:val="22"/>
          <w:szCs w:val="22"/>
        </w:rPr>
        <w:t xml:space="preserve">apital </w:t>
      </w:r>
      <w:r w:rsidR="00A86394" w:rsidRPr="008407B8">
        <w:rPr>
          <w:i/>
          <w:sz w:val="22"/>
          <w:szCs w:val="22"/>
        </w:rPr>
        <w:t>i</w:t>
      </w:r>
      <w:r w:rsidR="005B4486" w:rsidRPr="008407B8">
        <w:rPr>
          <w:i/>
          <w:sz w:val="22"/>
          <w:szCs w:val="22"/>
        </w:rPr>
        <w:t xml:space="preserve">nvestment </w:t>
      </w:r>
      <w:r w:rsidR="00A86394" w:rsidRPr="008407B8">
        <w:rPr>
          <w:i/>
          <w:sz w:val="22"/>
          <w:szCs w:val="22"/>
        </w:rPr>
        <w:t>p</w:t>
      </w:r>
      <w:r w:rsidR="005B4486" w:rsidRPr="008407B8">
        <w:rPr>
          <w:i/>
          <w:sz w:val="22"/>
          <w:szCs w:val="22"/>
        </w:rPr>
        <w:t xml:space="preserve">rogram </w:t>
      </w:r>
      <w:r w:rsidR="002A5384" w:rsidRPr="008407B8">
        <w:rPr>
          <w:i/>
          <w:sz w:val="22"/>
          <w:szCs w:val="22"/>
        </w:rPr>
        <w:t xml:space="preserve">– </w:t>
      </w:r>
      <w:r w:rsidR="005B4486" w:rsidRPr="008407B8">
        <w:rPr>
          <w:i/>
          <w:sz w:val="22"/>
          <w:szCs w:val="22"/>
        </w:rPr>
        <w:t>2018</w:t>
      </w:r>
      <w:r w:rsidR="007D4EB3" w:rsidRPr="008407B8">
        <w:rPr>
          <w:i/>
          <w:sz w:val="22"/>
          <w:szCs w:val="22"/>
        </w:rPr>
        <w:t>–</w:t>
      </w:r>
      <w:r w:rsidR="005F399F" w:rsidRPr="008407B8">
        <w:rPr>
          <w:i/>
          <w:sz w:val="22"/>
          <w:szCs w:val="22"/>
        </w:rPr>
        <w:t>23</w:t>
      </w:r>
      <w:r w:rsidR="005B4486" w:rsidRPr="008407B8">
        <w:rPr>
          <w:i/>
          <w:sz w:val="22"/>
          <w:szCs w:val="22"/>
        </w:rPr>
        <w:t xml:space="preserve"> </w:t>
      </w:r>
      <w:r w:rsidR="005633EC">
        <w:rPr>
          <w:i/>
          <w:sz w:val="22"/>
          <w:szCs w:val="22"/>
        </w:rPr>
        <w:t xml:space="preserve">determination forecast </w:t>
      </w:r>
      <w:r w:rsidR="00CB097A" w:rsidRPr="008407B8">
        <w:rPr>
          <w:i/>
          <w:sz w:val="22"/>
          <w:szCs w:val="22"/>
        </w:rPr>
        <w:t xml:space="preserve">and </w:t>
      </w:r>
      <w:r w:rsidR="005B4486" w:rsidRPr="008407B8">
        <w:rPr>
          <w:i/>
          <w:sz w:val="22"/>
          <w:szCs w:val="22"/>
        </w:rPr>
        <w:t>202</w:t>
      </w:r>
      <w:r w:rsidR="009A38DC" w:rsidRPr="008407B8">
        <w:rPr>
          <w:i/>
          <w:sz w:val="22"/>
          <w:szCs w:val="22"/>
        </w:rPr>
        <w:t>3</w:t>
      </w:r>
      <w:r w:rsidR="007D4EB3" w:rsidRPr="008407B8">
        <w:rPr>
          <w:i/>
          <w:sz w:val="22"/>
          <w:szCs w:val="22"/>
        </w:rPr>
        <w:t>–</w:t>
      </w:r>
      <w:r w:rsidR="005B4486" w:rsidRPr="008407B8">
        <w:rPr>
          <w:i/>
          <w:sz w:val="22"/>
          <w:szCs w:val="22"/>
        </w:rPr>
        <w:t xml:space="preserve">28 </w:t>
      </w:r>
      <w:r w:rsidR="00CB097A" w:rsidRPr="008407B8">
        <w:rPr>
          <w:i/>
          <w:sz w:val="22"/>
          <w:szCs w:val="22"/>
        </w:rPr>
        <w:t xml:space="preserve">forecast </w:t>
      </w:r>
      <w:r w:rsidR="005B4486" w:rsidRPr="008407B8">
        <w:rPr>
          <w:i/>
          <w:sz w:val="22"/>
          <w:szCs w:val="22"/>
        </w:rPr>
        <w:t xml:space="preserve">by </w:t>
      </w:r>
      <w:r w:rsidR="00BC0505" w:rsidRPr="008407B8">
        <w:rPr>
          <w:i/>
          <w:sz w:val="22"/>
          <w:szCs w:val="22"/>
        </w:rPr>
        <w:t xml:space="preserve">service </w:t>
      </w:r>
      <w:r w:rsidR="000B4F52" w:rsidRPr="000B4F52">
        <w:rPr>
          <w:rFonts w:cs="Arial"/>
          <w:bCs/>
          <w:i/>
          <w:sz w:val="22"/>
          <w:szCs w:val="22"/>
        </w:rPr>
        <w:t xml:space="preserve">($million </w:t>
      </w:r>
      <w:r w:rsidR="000B4F52" w:rsidRPr="008407B8">
        <w:rPr>
          <w:i/>
          <w:sz w:val="22"/>
          <w:szCs w:val="22"/>
        </w:rPr>
        <w:t>2022–23)</w:t>
      </w:r>
    </w:p>
    <w:p w14:paraId="5B9710B9" w14:textId="2EFEDD69" w:rsidR="005B3813" w:rsidRDefault="005B3813" w:rsidP="00863769">
      <w:pPr>
        <w:keepNext/>
        <w:spacing w:after="0"/>
        <w:rPr>
          <w:rFonts w:cs="Arial"/>
          <w:noProof/>
        </w:rPr>
      </w:pPr>
    </w:p>
    <w:p w14:paraId="558855B8" w14:textId="77777777" w:rsidR="00863769" w:rsidRDefault="00863769" w:rsidP="00116E55">
      <w:pPr>
        <w:keepNext/>
        <w:spacing w:after="0"/>
        <w:jc w:val="center"/>
        <w:rPr>
          <w:rFonts w:cs="Arial"/>
        </w:rPr>
      </w:pPr>
    </w:p>
    <w:p w14:paraId="0D45E3C3" w14:textId="6BF366EF" w:rsidR="0027156F" w:rsidRPr="00F126CB" w:rsidRDefault="0027156F" w:rsidP="0027156F">
      <w:pPr>
        <w:rPr>
          <w:rFonts w:cs="Arial"/>
        </w:rPr>
      </w:pPr>
      <w:r w:rsidRPr="00A05A24">
        <w:rPr>
          <w:rFonts w:cs="Arial"/>
        </w:rPr>
        <w:t xml:space="preserve">Analysis of population data provided by Victoria in Futures and </w:t>
      </w:r>
      <w:r w:rsidR="00584B94">
        <w:rPr>
          <w:rFonts w:cs="Arial"/>
        </w:rPr>
        <w:t>2</w:t>
      </w:r>
      <w:r w:rsidRPr="00A05A24">
        <w:rPr>
          <w:rFonts w:cs="Arial"/>
        </w:rPr>
        <w:t xml:space="preserve"> expert demographers</w:t>
      </w:r>
      <w:r w:rsidR="00EA0EFF">
        <w:rPr>
          <w:rFonts w:cs="Arial"/>
        </w:rPr>
        <w:t>,</w:t>
      </w:r>
      <w:r w:rsidRPr="00A05A24">
        <w:rPr>
          <w:rFonts w:cs="Arial"/>
        </w:rPr>
        <w:t xml:space="preserve"> has allowed us to form a</w:t>
      </w:r>
      <w:r>
        <w:rPr>
          <w:rFonts w:cs="Arial"/>
        </w:rPr>
        <w:t xml:space="preserve">n </w:t>
      </w:r>
      <w:r w:rsidRPr="00A05A24">
        <w:rPr>
          <w:rFonts w:cs="Arial"/>
        </w:rPr>
        <w:t xml:space="preserve">opinion on the potential growth in the next regulatory period. Our assumptions allow for steady growth on the back of the </w:t>
      </w:r>
      <w:r w:rsidR="00291E5C">
        <w:rPr>
          <w:rFonts w:cs="Arial"/>
        </w:rPr>
        <w:t>c</w:t>
      </w:r>
      <w:r w:rsidRPr="00A05A24">
        <w:rPr>
          <w:rFonts w:cs="Arial"/>
        </w:rPr>
        <w:t>oronavirus</w:t>
      </w:r>
      <w:r w:rsidR="00291E5C">
        <w:rPr>
          <w:rFonts w:cs="Arial"/>
        </w:rPr>
        <w:t xml:space="preserve"> (COVID-19)</w:t>
      </w:r>
      <w:r w:rsidRPr="00A05A24">
        <w:rPr>
          <w:rFonts w:cs="Arial"/>
        </w:rPr>
        <w:t xml:space="preserve"> pandemic</w:t>
      </w:r>
      <w:r>
        <w:rPr>
          <w:rFonts w:cs="Arial"/>
        </w:rPr>
        <w:t>,</w:t>
      </w:r>
      <w:r w:rsidRPr="00A05A24">
        <w:rPr>
          <w:rFonts w:cs="Arial"/>
        </w:rPr>
        <w:t xml:space="preserve"> however at a lesser rate than that assumed by economic forecasts. Based on our assumptions, we have adjusted our capital expenditure on larger projects to push costs out, thereby reducing the total revenue requirement and shifting the risk </w:t>
      </w:r>
      <w:r>
        <w:rPr>
          <w:rFonts w:cs="Arial"/>
        </w:rPr>
        <w:t>internally</w:t>
      </w:r>
      <w:r w:rsidRPr="00A05A24">
        <w:rPr>
          <w:rFonts w:cs="Arial"/>
        </w:rPr>
        <w:t>. </w:t>
      </w:r>
      <w:r>
        <w:rPr>
          <w:rFonts w:eastAsiaTheme="minorEastAsia"/>
        </w:rPr>
        <w:t xml:space="preserve">Refer to the </w:t>
      </w:r>
      <w:r w:rsidRPr="0073338E">
        <w:rPr>
          <w:rFonts w:eastAsiaTheme="minorEastAsia"/>
          <w:i/>
        </w:rPr>
        <w:t xml:space="preserve">Demand Manual </w:t>
      </w:r>
      <w:r w:rsidR="003F2A9F">
        <w:rPr>
          <w:rFonts w:eastAsiaTheme="minorEastAsia"/>
          <w:i/>
        </w:rPr>
        <w:t>– Dwelling and population forecast</w:t>
      </w:r>
      <w:r>
        <w:rPr>
          <w:rFonts w:eastAsiaTheme="minorEastAsia"/>
        </w:rPr>
        <w:t xml:space="preserve"> </w:t>
      </w:r>
      <w:r w:rsidR="0024337E">
        <w:rPr>
          <w:rFonts w:eastAsiaTheme="minorEastAsia"/>
        </w:rPr>
        <w:t>document</w:t>
      </w:r>
      <w:r>
        <w:rPr>
          <w:rFonts w:eastAsiaTheme="minorEastAsia"/>
        </w:rPr>
        <w:t xml:space="preserve"> in </w:t>
      </w:r>
      <w:r w:rsidR="00612583">
        <w:rPr>
          <w:rFonts w:eastAsiaTheme="minorEastAsia"/>
        </w:rPr>
        <w:t>‘</w:t>
      </w:r>
      <w:r w:rsidR="00C54AE8">
        <w:rPr>
          <w:rFonts w:eastAsiaTheme="minorEastAsia"/>
        </w:rPr>
        <w:t>S</w:t>
      </w:r>
      <w:r>
        <w:rPr>
          <w:rFonts w:eastAsiaTheme="minorEastAsia"/>
        </w:rPr>
        <w:t>upporting documents</w:t>
      </w:r>
      <w:r w:rsidR="00612583">
        <w:rPr>
          <w:rFonts w:eastAsiaTheme="minorEastAsia"/>
        </w:rPr>
        <w:t>’</w:t>
      </w:r>
      <w:r>
        <w:rPr>
          <w:rFonts w:eastAsiaTheme="minorEastAsia"/>
        </w:rPr>
        <w:t xml:space="preserve"> for further information</w:t>
      </w:r>
      <w:r w:rsidR="00AA64FC">
        <w:rPr>
          <w:rFonts w:eastAsiaTheme="minorEastAsia"/>
        </w:rPr>
        <w:t xml:space="preserve"> on our growth assumptions</w:t>
      </w:r>
      <w:r>
        <w:rPr>
          <w:rFonts w:eastAsiaTheme="minorEastAsia"/>
        </w:rPr>
        <w:t>.</w:t>
      </w:r>
    </w:p>
    <w:p w14:paraId="78C737FD" w14:textId="5856853D" w:rsidR="00A81ADC" w:rsidRDefault="00A81ADC" w:rsidP="00CB0971">
      <w:pPr>
        <w:rPr>
          <w:rFonts w:eastAsiaTheme="minorEastAsia"/>
        </w:rPr>
      </w:pPr>
      <w:r w:rsidRPr="00A81ADC">
        <w:rPr>
          <w:rFonts w:cs="Arial"/>
        </w:rPr>
        <w:t>The increase in our projected capital expenditure</w:t>
      </w:r>
      <w:r>
        <w:rPr>
          <w:rFonts w:cs="Arial"/>
        </w:rPr>
        <w:t xml:space="preserve"> </w:t>
      </w:r>
      <w:r w:rsidR="00E01027">
        <w:rPr>
          <w:rFonts w:cs="Arial"/>
        </w:rPr>
        <w:t>for 2023</w:t>
      </w:r>
      <w:r w:rsidR="007D4EB3">
        <w:rPr>
          <w:rFonts w:cs="Arial"/>
        </w:rPr>
        <w:t>–</w:t>
      </w:r>
      <w:r w:rsidR="00E01027">
        <w:rPr>
          <w:rFonts w:cs="Arial"/>
        </w:rPr>
        <w:t>28</w:t>
      </w:r>
      <w:r w:rsidRPr="00CB0971">
        <w:rPr>
          <w:rFonts w:eastAsia="Times New Roman" w:cs="Arial"/>
          <w:color w:val="000000"/>
          <w:lang w:eastAsia="en-AU"/>
        </w:rPr>
        <w:t xml:space="preserve"> </w:t>
      </w:r>
      <w:r w:rsidR="00E01027">
        <w:rPr>
          <w:rFonts w:eastAsia="Times New Roman" w:cs="Arial"/>
          <w:color w:val="000000"/>
          <w:lang w:eastAsia="en-AU"/>
        </w:rPr>
        <w:t>has</w:t>
      </w:r>
      <w:r w:rsidRPr="00CB0971">
        <w:rPr>
          <w:rFonts w:eastAsia="Times New Roman" w:cs="Arial"/>
          <w:color w:val="000000"/>
          <w:lang w:eastAsia="en-AU"/>
        </w:rPr>
        <w:t xml:space="preserve"> </w:t>
      </w:r>
      <w:r w:rsidR="00E01027">
        <w:rPr>
          <w:rFonts w:eastAsia="Times New Roman" w:cs="Arial"/>
          <w:color w:val="000000"/>
          <w:lang w:eastAsia="en-AU"/>
        </w:rPr>
        <w:t>partly</w:t>
      </w:r>
      <w:r w:rsidRPr="00CB0971">
        <w:rPr>
          <w:rFonts w:eastAsia="Times New Roman" w:cs="Arial"/>
          <w:color w:val="000000"/>
          <w:lang w:eastAsia="en-AU"/>
        </w:rPr>
        <w:t xml:space="preserve"> </w:t>
      </w:r>
      <w:r w:rsidR="00E01027">
        <w:rPr>
          <w:rFonts w:eastAsia="Times New Roman" w:cs="Arial"/>
          <w:color w:val="000000"/>
          <w:lang w:eastAsia="en-AU"/>
        </w:rPr>
        <w:t xml:space="preserve">been </w:t>
      </w:r>
      <w:r w:rsidRPr="00CB0971">
        <w:rPr>
          <w:rFonts w:eastAsia="Times New Roman" w:cs="Arial"/>
          <w:color w:val="000000"/>
          <w:lang w:eastAsia="en-AU"/>
        </w:rPr>
        <w:t>driven by</w:t>
      </w:r>
      <w:r>
        <w:rPr>
          <w:rFonts w:eastAsia="Times New Roman" w:cs="Arial"/>
          <w:color w:val="000000"/>
          <w:lang w:eastAsia="en-AU"/>
        </w:rPr>
        <w:t xml:space="preserve"> </w:t>
      </w:r>
      <w:r w:rsidR="00CA06D2">
        <w:rPr>
          <w:rFonts w:eastAsia="Times New Roman" w:cs="Arial"/>
          <w:color w:val="000000"/>
          <w:lang w:eastAsia="en-AU"/>
        </w:rPr>
        <w:t>general</w:t>
      </w:r>
      <w:r w:rsidRPr="00CB0971">
        <w:rPr>
          <w:rFonts w:eastAsia="Times New Roman" w:cs="Arial"/>
          <w:color w:val="000000"/>
          <w:lang w:eastAsia="en-AU"/>
        </w:rPr>
        <w:t xml:space="preserve"> economic pressures. Construction prices have risen dramatically since mid-2021</w:t>
      </w:r>
      <w:r w:rsidR="00941488">
        <w:rPr>
          <w:rFonts w:eastAsia="Times New Roman" w:cs="Arial"/>
          <w:color w:val="000000"/>
          <w:lang w:eastAsia="en-AU"/>
        </w:rPr>
        <w:t>,</w:t>
      </w:r>
      <w:r w:rsidRPr="00CB0971">
        <w:rPr>
          <w:rFonts w:eastAsia="Times New Roman" w:cs="Arial"/>
          <w:color w:val="000000"/>
          <w:lang w:eastAsia="en-AU"/>
        </w:rPr>
        <w:t xml:space="preserve"> due to supply chain constraints, labour shortages and fuel prices</w:t>
      </w:r>
      <w:r w:rsidR="00CA06D2">
        <w:rPr>
          <w:rFonts w:eastAsia="Times New Roman" w:cs="Arial"/>
          <w:color w:val="000000"/>
          <w:lang w:eastAsia="en-AU"/>
        </w:rPr>
        <w:t>. These</w:t>
      </w:r>
      <w:r>
        <w:rPr>
          <w:rFonts w:eastAsia="Times New Roman" w:cs="Arial"/>
          <w:color w:val="000000"/>
          <w:lang w:eastAsia="en-AU"/>
        </w:rPr>
        <w:t xml:space="preserve"> </w:t>
      </w:r>
      <w:r w:rsidRPr="00CB0971">
        <w:rPr>
          <w:rFonts w:eastAsia="Times New Roman" w:cs="Arial"/>
          <w:color w:val="000000"/>
          <w:lang w:eastAsia="en-AU"/>
        </w:rPr>
        <w:t xml:space="preserve">have been further exacerbated by the impacts of the </w:t>
      </w:r>
      <w:r w:rsidR="006026AC">
        <w:rPr>
          <w:rFonts w:eastAsia="Times New Roman" w:cs="Arial"/>
          <w:color w:val="000000"/>
          <w:lang w:eastAsia="en-AU"/>
        </w:rPr>
        <w:t>coronavirus (</w:t>
      </w:r>
      <w:r w:rsidRPr="00CB0971">
        <w:rPr>
          <w:rFonts w:eastAsia="Times New Roman" w:cs="Arial"/>
          <w:color w:val="000000"/>
          <w:lang w:eastAsia="en-AU"/>
        </w:rPr>
        <w:t>COVID-19</w:t>
      </w:r>
      <w:r w:rsidR="006026AC">
        <w:rPr>
          <w:rFonts w:eastAsia="Times New Roman" w:cs="Arial"/>
          <w:color w:val="000000"/>
          <w:lang w:eastAsia="en-AU"/>
        </w:rPr>
        <w:t>)</w:t>
      </w:r>
      <w:r w:rsidRPr="00CB0971">
        <w:rPr>
          <w:rFonts w:eastAsia="Times New Roman" w:cs="Arial"/>
          <w:color w:val="000000"/>
          <w:lang w:eastAsia="en-AU"/>
        </w:rPr>
        <w:t xml:space="preserve"> pandemic.</w:t>
      </w:r>
      <w:r w:rsidR="00A1315F">
        <w:rPr>
          <w:rFonts w:eastAsia="Times New Roman" w:cs="Arial"/>
          <w:color w:val="000000"/>
          <w:lang w:eastAsia="en-AU"/>
        </w:rPr>
        <w:t xml:space="preserve"> </w:t>
      </w:r>
      <w:r w:rsidR="00794395">
        <w:rPr>
          <w:rFonts w:eastAsiaTheme="minorEastAsia"/>
        </w:rPr>
        <w:t>Refer to the</w:t>
      </w:r>
      <w:r w:rsidR="00435ACD">
        <w:rPr>
          <w:rFonts w:eastAsiaTheme="minorEastAsia"/>
        </w:rPr>
        <w:t xml:space="preserve"> </w:t>
      </w:r>
      <w:r w:rsidR="00085570" w:rsidRPr="00116E55">
        <w:rPr>
          <w:rFonts w:eastAsiaTheme="minorEastAsia"/>
          <w:i/>
          <w:iCs/>
        </w:rPr>
        <w:t>2023</w:t>
      </w:r>
      <w:r w:rsidR="007D4EB3" w:rsidRPr="00116E55">
        <w:rPr>
          <w:rFonts w:eastAsiaTheme="minorEastAsia"/>
          <w:i/>
          <w:iCs/>
        </w:rPr>
        <w:t>–</w:t>
      </w:r>
      <w:r w:rsidR="00085570" w:rsidRPr="00116E55">
        <w:rPr>
          <w:rFonts w:eastAsiaTheme="minorEastAsia"/>
          <w:i/>
          <w:iCs/>
        </w:rPr>
        <w:t>28</w:t>
      </w:r>
      <w:r w:rsidR="00794395" w:rsidRPr="00116E55">
        <w:rPr>
          <w:rFonts w:eastAsiaTheme="minorEastAsia"/>
          <w:i/>
          <w:iCs/>
        </w:rPr>
        <w:t xml:space="preserve"> Capital</w:t>
      </w:r>
      <w:r w:rsidR="00435ACD" w:rsidRPr="00116E55">
        <w:rPr>
          <w:rFonts w:eastAsiaTheme="minorEastAsia"/>
          <w:i/>
          <w:iCs/>
        </w:rPr>
        <w:t xml:space="preserve"> </w:t>
      </w:r>
      <w:r w:rsidR="005B6391" w:rsidRPr="00116E55">
        <w:rPr>
          <w:rFonts w:eastAsiaTheme="minorEastAsia"/>
          <w:i/>
          <w:iCs/>
        </w:rPr>
        <w:t>Delivery Report</w:t>
      </w:r>
      <w:r w:rsidR="005B6391">
        <w:rPr>
          <w:rFonts w:eastAsiaTheme="minorEastAsia"/>
        </w:rPr>
        <w:t xml:space="preserve"> in</w:t>
      </w:r>
      <w:r w:rsidR="00794395">
        <w:rPr>
          <w:rFonts w:eastAsiaTheme="minorEastAsia"/>
        </w:rPr>
        <w:t xml:space="preserve"> supporting documents for further information</w:t>
      </w:r>
      <w:r w:rsidR="005B6391">
        <w:rPr>
          <w:rFonts w:eastAsiaTheme="minorEastAsia"/>
        </w:rPr>
        <w:t>.</w:t>
      </w:r>
    </w:p>
    <w:p w14:paraId="0A424E41" w14:textId="73B7B587" w:rsidR="00210DF7" w:rsidRDefault="00210DF7" w:rsidP="00CB0971">
      <w:pPr>
        <w:rPr>
          <w:rFonts w:eastAsia="Times New Roman" w:cs="Arial"/>
          <w:color w:val="000000"/>
          <w:lang w:eastAsia="en-AU"/>
        </w:rPr>
      </w:pPr>
    </w:p>
    <w:p w14:paraId="69BBEE9B" w14:textId="77777777" w:rsidR="000D7F02" w:rsidRDefault="000D7F02" w:rsidP="00CB0971">
      <w:pPr>
        <w:rPr>
          <w:rFonts w:eastAsia="Times New Roman" w:cs="Arial"/>
          <w:color w:val="000000"/>
          <w:lang w:eastAsia="en-AU"/>
        </w:rPr>
      </w:pPr>
    </w:p>
    <w:p w14:paraId="27059F28" w14:textId="667720A0" w:rsidR="00E01027" w:rsidRPr="00CB0971" w:rsidRDefault="00E01027" w:rsidP="00CB0971">
      <w:pPr>
        <w:spacing w:after="0"/>
        <w:rPr>
          <w:rFonts w:eastAsia="Times New Roman" w:cs="Arial"/>
          <w:color w:val="000000"/>
          <w:lang w:eastAsia="en-AU"/>
        </w:rPr>
      </w:pPr>
      <w:r>
        <w:rPr>
          <w:rFonts w:cs="Arial"/>
        </w:rPr>
        <w:lastRenderedPageBreak/>
        <w:t>Other contributing factors to the</w:t>
      </w:r>
      <w:r w:rsidRPr="00463537">
        <w:rPr>
          <w:rFonts w:cs="Arial"/>
        </w:rPr>
        <w:t xml:space="preserve"> increase </w:t>
      </w:r>
      <w:r>
        <w:rPr>
          <w:rFonts w:cs="Arial"/>
        </w:rPr>
        <w:t xml:space="preserve">in our </w:t>
      </w:r>
      <w:r w:rsidRPr="00463537">
        <w:rPr>
          <w:rFonts w:cs="Arial"/>
        </w:rPr>
        <w:t xml:space="preserve">capital expenditure program </w:t>
      </w:r>
      <w:r>
        <w:rPr>
          <w:rFonts w:cs="Arial"/>
        </w:rPr>
        <w:t>are:</w:t>
      </w:r>
    </w:p>
    <w:p w14:paraId="11EF01E0" w14:textId="529B473A" w:rsidR="009C0080" w:rsidRDefault="00417B30">
      <w:pPr>
        <w:pStyle w:val="ListParagraph"/>
        <w:numPr>
          <w:ilvl w:val="0"/>
          <w:numId w:val="11"/>
        </w:numPr>
        <w:spacing w:before="120" w:line="259" w:lineRule="auto"/>
        <w:ind w:left="426" w:hanging="357"/>
        <w:rPr>
          <w:rFonts w:cs="Arial"/>
        </w:rPr>
      </w:pPr>
      <w:r>
        <w:rPr>
          <w:rFonts w:cs="Arial"/>
        </w:rPr>
        <w:t>i</w:t>
      </w:r>
      <w:r w:rsidR="007B559C" w:rsidRPr="00CC2B3E">
        <w:rPr>
          <w:rFonts w:cs="Arial"/>
        </w:rPr>
        <w:t xml:space="preserve">ncreased compliance-related </w:t>
      </w:r>
      <w:r w:rsidR="007B559C">
        <w:rPr>
          <w:rFonts w:cs="Arial"/>
        </w:rPr>
        <w:t>investment</w:t>
      </w:r>
      <w:r w:rsidR="007B559C" w:rsidRPr="00CC2B3E">
        <w:rPr>
          <w:rFonts w:cs="Arial"/>
        </w:rPr>
        <w:t xml:space="preserve"> driven by</w:t>
      </w:r>
      <w:r w:rsidR="00AE3478">
        <w:rPr>
          <w:rFonts w:cs="Arial"/>
        </w:rPr>
        <w:t>:</w:t>
      </w:r>
    </w:p>
    <w:p w14:paraId="5C0E239E" w14:textId="38C88D8F" w:rsidR="00106329" w:rsidRPr="00C635BB" w:rsidRDefault="009C0080">
      <w:pPr>
        <w:pStyle w:val="ListParagraph"/>
        <w:numPr>
          <w:ilvl w:val="1"/>
          <w:numId w:val="79"/>
        </w:numPr>
        <w:spacing w:before="120" w:line="259" w:lineRule="auto"/>
        <w:ind w:left="851"/>
        <w:rPr>
          <w:rFonts w:cs="Arial"/>
        </w:rPr>
      </w:pPr>
      <w:r w:rsidRPr="00CC2B3E">
        <w:rPr>
          <w:rFonts w:cs="Arial"/>
        </w:rPr>
        <w:t xml:space="preserve">new </w:t>
      </w:r>
      <w:r w:rsidRPr="00CC2B3E">
        <w:rPr>
          <w:rFonts w:eastAsia="Times New Roman" w:cs="Arial"/>
          <w:lang w:eastAsia="en-AU"/>
        </w:rPr>
        <w:t>environmental protection regulations</w:t>
      </w:r>
      <w:r>
        <w:rPr>
          <w:rFonts w:eastAsia="Times New Roman" w:cs="Arial"/>
          <w:lang w:eastAsia="en-AU"/>
        </w:rPr>
        <w:t xml:space="preserve"> associated with the </w:t>
      </w:r>
      <w:r w:rsidRPr="00CB0971">
        <w:rPr>
          <w:rFonts w:eastAsia="Times New Roman" w:cs="Arial"/>
          <w:i/>
          <w:lang w:eastAsia="en-AU"/>
        </w:rPr>
        <w:t>Environmental Protection Act 2017</w:t>
      </w:r>
      <w:r>
        <w:rPr>
          <w:rFonts w:eastAsia="Times New Roman" w:cs="Arial"/>
          <w:lang w:eastAsia="en-AU"/>
        </w:rPr>
        <w:t xml:space="preserve"> </w:t>
      </w:r>
      <w:r w:rsidR="00C5592D">
        <w:rPr>
          <w:rFonts w:eastAsia="Times New Roman" w:cs="Arial"/>
          <w:lang w:eastAsia="en-AU"/>
        </w:rPr>
        <w:t xml:space="preserve">that </w:t>
      </w:r>
      <w:r>
        <w:rPr>
          <w:rFonts w:eastAsia="Times New Roman" w:cs="Arial"/>
          <w:lang w:eastAsia="en-AU"/>
        </w:rPr>
        <w:t>came into effect 1 July 2021</w:t>
      </w:r>
      <w:r w:rsidR="00EB57F2">
        <w:rPr>
          <w:rFonts w:eastAsia="Times New Roman" w:cs="Arial"/>
          <w:lang w:eastAsia="en-AU"/>
        </w:rPr>
        <w:t xml:space="preserve">. </w:t>
      </w:r>
      <w:r w:rsidR="001F4725">
        <w:rPr>
          <w:rFonts w:eastAsia="Times New Roman" w:cs="Arial"/>
          <w:lang w:eastAsia="en-AU"/>
        </w:rPr>
        <w:t xml:space="preserve">These regulations are founded on </w:t>
      </w:r>
      <w:r w:rsidR="00D55EDE">
        <w:rPr>
          <w:rFonts w:eastAsia="Times New Roman" w:cs="Arial"/>
          <w:lang w:eastAsia="en-AU"/>
        </w:rPr>
        <w:t>the General Environmental Duty (GED)</w:t>
      </w:r>
      <w:r w:rsidR="00692E38">
        <w:rPr>
          <w:rFonts w:eastAsia="Times New Roman" w:cs="Arial"/>
          <w:lang w:eastAsia="en-AU"/>
        </w:rPr>
        <w:t xml:space="preserve">, which is modelled on the </w:t>
      </w:r>
      <w:r w:rsidR="007354EE">
        <w:rPr>
          <w:rFonts w:eastAsia="Times New Roman" w:cs="Arial"/>
          <w:lang w:eastAsia="en-AU"/>
        </w:rPr>
        <w:t>general duty that underpins Victoria</w:t>
      </w:r>
      <w:r w:rsidR="00612583">
        <w:rPr>
          <w:rFonts w:eastAsia="Times New Roman" w:cs="Arial"/>
          <w:lang w:eastAsia="en-AU"/>
        </w:rPr>
        <w:t>’</w:t>
      </w:r>
      <w:r w:rsidR="007354EE">
        <w:rPr>
          <w:rFonts w:eastAsia="Times New Roman" w:cs="Arial"/>
          <w:lang w:eastAsia="en-AU"/>
        </w:rPr>
        <w:t xml:space="preserve">s </w:t>
      </w:r>
      <w:r w:rsidR="00417B30">
        <w:rPr>
          <w:rFonts w:eastAsia="Times New Roman" w:cs="Arial"/>
          <w:lang w:eastAsia="en-AU"/>
        </w:rPr>
        <w:t>o</w:t>
      </w:r>
      <w:r w:rsidR="007354EE">
        <w:rPr>
          <w:rFonts w:eastAsia="Times New Roman" w:cs="Arial"/>
          <w:lang w:eastAsia="en-AU"/>
        </w:rPr>
        <w:t xml:space="preserve">ccupational </w:t>
      </w:r>
      <w:r w:rsidR="00417B30">
        <w:rPr>
          <w:rFonts w:eastAsia="Times New Roman" w:cs="Arial"/>
          <w:lang w:eastAsia="en-AU"/>
        </w:rPr>
        <w:t>h</w:t>
      </w:r>
      <w:r w:rsidR="007354EE">
        <w:rPr>
          <w:rFonts w:eastAsia="Times New Roman" w:cs="Arial"/>
          <w:lang w:eastAsia="en-AU"/>
        </w:rPr>
        <w:t xml:space="preserve">ealth and </w:t>
      </w:r>
      <w:r w:rsidR="00417B30">
        <w:rPr>
          <w:rFonts w:eastAsia="Times New Roman" w:cs="Arial"/>
          <w:lang w:eastAsia="en-AU"/>
        </w:rPr>
        <w:t>s</w:t>
      </w:r>
      <w:r w:rsidR="007354EE">
        <w:rPr>
          <w:rFonts w:eastAsia="Times New Roman" w:cs="Arial"/>
          <w:lang w:eastAsia="en-AU"/>
        </w:rPr>
        <w:t>af</w:t>
      </w:r>
      <w:r w:rsidR="002E2676">
        <w:rPr>
          <w:rFonts w:eastAsia="Times New Roman" w:cs="Arial"/>
          <w:lang w:eastAsia="en-AU"/>
        </w:rPr>
        <w:t>ety</w:t>
      </w:r>
      <w:r w:rsidR="007354EE">
        <w:rPr>
          <w:rFonts w:eastAsia="Times New Roman" w:cs="Arial"/>
          <w:lang w:eastAsia="en-AU"/>
        </w:rPr>
        <w:t xml:space="preserve"> legislation.</w:t>
      </w:r>
      <w:r w:rsidR="00937696">
        <w:rPr>
          <w:rFonts w:eastAsia="Times New Roman" w:cs="Arial"/>
          <w:lang w:eastAsia="en-AU"/>
        </w:rPr>
        <w:t xml:space="preserve"> </w:t>
      </w:r>
      <w:r w:rsidR="00937696" w:rsidRPr="00937696">
        <w:rPr>
          <w:rFonts w:eastAsia="Times New Roman" w:cs="Arial"/>
          <w:lang w:eastAsia="en-AU"/>
        </w:rPr>
        <w:t>The GED requires a bespoke approach to managing environmental risks as far as reasonably practicable (SFARP) at a site and activity level. Increased investment to maintain compliance with regulations is necessary</w:t>
      </w:r>
      <w:r w:rsidR="00FE09C8">
        <w:rPr>
          <w:rFonts w:eastAsia="Times New Roman" w:cs="Arial"/>
          <w:lang w:eastAsia="en-AU"/>
        </w:rPr>
        <w:t>,</w:t>
      </w:r>
      <w:r w:rsidR="00937696" w:rsidRPr="00937696">
        <w:rPr>
          <w:rFonts w:eastAsia="Times New Roman" w:cs="Arial"/>
          <w:lang w:eastAsia="en-AU"/>
        </w:rPr>
        <w:t xml:space="preserve"> as breaches can have both civil and criminal penalty implications</w:t>
      </w:r>
      <w:r w:rsidR="00A1315F">
        <w:rPr>
          <w:rFonts w:eastAsia="Times New Roman" w:cs="Arial"/>
          <w:lang w:eastAsia="en-AU"/>
        </w:rPr>
        <w:t xml:space="preserve"> </w:t>
      </w:r>
    </w:p>
    <w:p w14:paraId="20BB9BE6" w14:textId="00EB6ECF" w:rsidR="00241B9F" w:rsidRDefault="00B65254">
      <w:pPr>
        <w:pStyle w:val="ListParagraph"/>
        <w:numPr>
          <w:ilvl w:val="1"/>
          <w:numId w:val="79"/>
        </w:numPr>
        <w:spacing w:before="120" w:line="259" w:lineRule="auto"/>
        <w:ind w:left="851"/>
        <w:rPr>
          <w:rFonts w:cs="Arial"/>
        </w:rPr>
      </w:pPr>
      <w:r>
        <w:rPr>
          <w:rFonts w:cs="Arial"/>
        </w:rPr>
        <w:t>industry</w:t>
      </w:r>
      <w:r w:rsidR="00106329">
        <w:rPr>
          <w:rFonts w:cs="Arial"/>
        </w:rPr>
        <w:t xml:space="preserve">-wide improvements in </w:t>
      </w:r>
      <w:r w:rsidR="00106329" w:rsidRPr="00CC2B3E">
        <w:rPr>
          <w:rFonts w:cs="Arial"/>
        </w:rPr>
        <w:t xml:space="preserve">water quality </w:t>
      </w:r>
      <w:r w:rsidR="00106329">
        <w:rPr>
          <w:rFonts w:cs="Arial"/>
        </w:rPr>
        <w:t xml:space="preserve">management to ensure </w:t>
      </w:r>
      <w:r w:rsidR="00C5592D">
        <w:rPr>
          <w:rFonts w:cs="Arial"/>
        </w:rPr>
        <w:t xml:space="preserve">the </w:t>
      </w:r>
      <w:r w:rsidR="00106329">
        <w:rPr>
          <w:rFonts w:cs="Arial"/>
        </w:rPr>
        <w:t xml:space="preserve">provision of safe drinking water </w:t>
      </w:r>
      <w:r w:rsidR="00C5592D">
        <w:rPr>
          <w:rFonts w:cs="Arial"/>
        </w:rPr>
        <w:t>(</w:t>
      </w:r>
      <w:r w:rsidR="00106329">
        <w:rPr>
          <w:rFonts w:cs="Arial"/>
        </w:rPr>
        <w:t xml:space="preserve">triggered by the Silvan </w:t>
      </w:r>
      <w:r w:rsidR="0019609D">
        <w:rPr>
          <w:rFonts w:cs="Arial"/>
        </w:rPr>
        <w:t xml:space="preserve">Dam </w:t>
      </w:r>
      <w:r w:rsidR="0013403A">
        <w:rPr>
          <w:rFonts w:cs="Arial"/>
        </w:rPr>
        <w:t>w</w:t>
      </w:r>
      <w:r w:rsidR="00106329">
        <w:rPr>
          <w:rFonts w:cs="Arial"/>
        </w:rPr>
        <w:t xml:space="preserve">ater </w:t>
      </w:r>
      <w:r w:rsidR="0013403A">
        <w:rPr>
          <w:rFonts w:cs="Arial"/>
        </w:rPr>
        <w:t>q</w:t>
      </w:r>
      <w:r w:rsidR="00106329">
        <w:rPr>
          <w:rFonts w:cs="Arial"/>
        </w:rPr>
        <w:t xml:space="preserve">uality </w:t>
      </w:r>
      <w:r w:rsidR="0013403A">
        <w:rPr>
          <w:rFonts w:cs="Arial"/>
        </w:rPr>
        <w:t>i</w:t>
      </w:r>
      <w:r w:rsidR="00106329">
        <w:rPr>
          <w:rFonts w:cs="Arial"/>
        </w:rPr>
        <w:t>ncident in 20</w:t>
      </w:r>
      <w:r w:rsidR="00F46A4D">
        <w:rPr>
          <w:rFonts w:cs="Arial"/>
        </w:rPr>
        <w:t>20</w:t>
      </w:r>
      <w:r w:rsidR="00C5592D">
        <w:rPr>
          <w:rFonts w:cs="Arial"/>
        </w:rPr>
        <w:t>)</w:t>
      </w:r>
    </w:p>
    <w:p w14:paraId="2A889E6E" w14:textId="6306B617" w:rsidR="00FA29AF" w:rsidRDefault="00B65254">
      <w:pPr>
        <w:pStyle w:val="ListParagraph"/>
        <w:numPr>
          <w:ilvl w:val="1"/>
          <w:numId w:val="79"/>
        </w:numPr>
        <w:spacing w:before="120" w:line="259" w:lineRule="auto"/>
        <w:ind w:left="851"/>
        <w:rPr>
          <w:rFonts w:cs="Arial"/>
        </w:rPr>
      </w:pPr>
      <w:r w:rsidRPr="00241B9F">
        <w:rPr>
          <w:rFonts w:cs="Arial"/>
        </w:rPr>
        <w:t>safety</w:t>
      </w:r>
      <w:r w:rsidR="004F2A2A" w:rsidRPr="00241B9F">
        <w:rPr>
          <w:rFonts w:cs="Arial"/>
        </w:rPr>
        <w:t xml:space="preserve"> improvements to maintain compliance to safety regulations for critical assets that are identified to be at risk based on their failure history, asset condition and location</w:t>
      </w:r>
      <w:r w:rsidR="00885AF3" w:rsidRPr="00241B9F">
        <w:rPr>
          <w:rFonts w:cs="Arial"/>
        </w:rPr>
        <w:t>,</w:t>
      </w:r>
      <w:r w:rsidR="004F2A2A" w:rsidRPr="00241B9F">
        <w:rPr>
          <w:rFonts w:cs="Arial"/>
        </w:rPr>
        <w:t xml:space="preserve"> </w:t>
      </w:r>
      <w:r w:rsidR="00885AF3" w:rsidRPr="00241B9F">
        <w:rPr>
          <w:rFonts w:cs="Arial"/>
        </w:rPr>
        <w:t xml:space="preserve">and </w:t>
      </w:r>
      <w:r w:rsidR="004F2A2A" w:rsidRPr="00241B9F">
        <w:rPr>
          <w:rFonts w:cs="Arial"/>
        </w:rPr>
        <w:t xml:space="preserve">which can </w:t>
      </w:r>
      <w:r w:rsidR="00C635BB" w:rsidRPr="00241B9F">
        <w:rPr>
          <w:rFonts w:cs="Arial"/>
        </w:rPr>
        <w:t>have</w:t>
      </w:r>
      <w:r w:rsidR="004F2A2A" w:rsidRPr="00241B9F">
        <w:rPr>
          <w:rFonts w:cs="Arial"/>
        </w:rPr>
        <w:t xml:space="preserve"> high to catastrophic consequence</w:t>
      </w:r>
      <w:r w:rsidR="00C635BB" w:rsidRPr="00241B9F">
        <w:rPr>
          <w:rFonts w:cs="Arial"/>
        </w:rPr>
        <w:t>s</w:t>
      </w:r>
      <w:r w:rsidR="004F2A2A" w:rsidRPr="00241B9F">
        <w:rPr>
          <w:rFonts w:cs="Arial"/>
        </w:rPr>
        <w:t xml:space="preserve"> if they fail</w:t>
      </w:r>
      <w:bookmarkStart w:id="60" w:name="_Hlk111643088"/>
    </w:p>
    <w:bookmarkEnd w:id="60"/>
    <w:p w14:paraId="2C3D84BD" w14:textId="59DEDFBE" w:rsidR="00E460D6" w:rsidRDefault="00417B30">
      <w:pPr>
        <w:pStyle w:val="ListParagraph"/>
        <w:numPr>
          <w:ilvl w:val="0"/>
          <w:numId w:val="8"/>
        </w:numPr>
        <w:spacing w:after="240"/>
        <w:rPr>
          <w:rFonts w:cs="Arial"/>
        </w:rPr>
      </w:pPr>
      <w:r>
        <w:rPr>
          <w:rFonts w:cs="Arial"/>
        </w:rPr>
        <w:t>i</w:t>
      </w:r>
      <w:r w:rsidR="00A84CCD">
        <w:rPr>
          <w:rFonts w:cs="Arial"/>
        </w:rPr>
        <w:t>n</w:t>
      </w:r>
      <w:r w:rsidR="006678D4">
        <w:rPr>
          <w:rFonts w:cs="Arial"/>
        </w:rPr>
        <w:t>vestment</w:t>
      </w:r>
      <w:r w:rsidR="007B559C" w:rsidRPr="004A625F">
        <w:rPr>
          <w:rFonts w:cs="Arial"/>
        </w:rPr>
        <w:t xml:space="preserve"> in treatment and resource recovery</w:t>
      </w:r>
      <w:r w:rsidR="00A84CCD">
        <w:rPr>
          <w:rFonts w:cs="Arial"/>
        </w:rPr>
        <w:t xml:space="preserve"> </w:t>
      </w:r>
      <w:r w:rsidR="000764AA">
        <w:rPr>
          <w:rFonts w:cs="Arial"/>
        </w:rPr>
        <w:t>assets</w:t>
      </w:r>
      <w:r w:rsidR="00B418EE">
        <w:rPr>
          <w:rFonts w:cs="Arial"/>
        </w:rPr>
        <w:t>,</w:t>
      </w:r>
      <w:r w:rsidR="007B559C" w:rsidRPr="004A625F">
        <w:rPr>
          <w:rFonts w:cs="Arial"/>
        </w:rPr>
        <w:t xml:space="preserve"> driven by increasing demand</w:t>
      </w:r>
      <w:r w:rsidR="005F5363">
        <w:rPr>
          <w:rFonts w:cs="Arial"/>
        </w:rPr>
        <w:t>s</w:t>
      </w:r>
      <w:r w:rsidR="007B559C" w:rsidRPr="004A625F">
        <w:rPr>
          <w:rFonts w:cs="Arial"/>
        </w:rPr>
        <w:t xml:space="preserve"> from customers in </w:t>
      </w:r>
      <w:r w:rsidR="00100105">
        <w:rPr>
          <w:rFonts w:cs="Arial"/>
        </w:rPr>
        <w:t>high</w:t>
      </w:r>
      <w:r w:rsidR="005B309B">
        <w:rPr>
          <w:rFonts w:cs="Arial"/>
        </w:rPr>
        <w:t>-</w:t>
      </w:r>
      <w:r w:rsidR="007B559C" w:rsidRPr="004A625F">
        <w:rPr>
          <w:rFonts w:cs="Arial"/>
        </w:rPr>
        <w:t>growth service areas</w:t>
      </w:r>
      <w:r w:rsidR="000C50ED">
        <w:rPr>
          <w:rFonts w:cs="Arial"/>
        </w:rPr>
        <w:t xml:space="preserve">. </w:t>
      </w:r>
      <w:r w:rsidR="008C1464">
        <w:rPr>
          <w:rFonts w:cs="Arial"/>
        </w:rPr>
        <w:t>T</w:t>
      </w:r>
      <w:r w:rsidR="00E460D6" w:rsidRPr="00D85532">
        <w:rPr>
          <w:rFonts w:cs="Arial"/>
        </w:rPr>
        <w:t xml:space="preserve">hree </w:t>
      </w:r>
      <w:r w:rsidR="008C1464">
        <w:rPr>
          <w:rFonts w:cs="Arial"/>
        </w:rPr>
        <w:t>of our</w:t>
      </w:r>
      <w:r w:rsidR="00E460D6" w:rsidRPr="00E460D6">
        <w:rPr>
          <w:rFonts w:cs="Arial"/>
        </w:rPr>
        <w:t xml:space="preserve"> </w:t>
      </w:r>
      <w:r w:rsidR="005230A0">
        <w:rPr>
          <w:rFonts w:cs="Arial"/>
        </w:rPr>
        <w:t>water recycling</w:t>
      </w:r>
      <w:r w:rsidR="00E460D6" w:rsidRPr="00E460D6">
        <w:rPr>
          <w:rFonts w:cs="Arial"/>
        </w:rPr>
        <w:t xml:space="preserve"> plants </w:t>
      </w:r>
      <w:r w:rsidR="00DD4C0D">
        <w:rPr>
          <w:rFonts w:cs="Arial"/>
        </w:rPr>
        <w:t>are nearing</w:t>
      </w:r>
      <w:r w:rsidR="00E460D6" w:rsidRPr="00E460D6">
        <w:rPr>
          <w:rFonts w:cs="Arial"/>
        </w:rPr>
        <w:t xml:space="preserve"> capacity </w:t>
      </w:r>
      <w:r w:rsidR="00D63D5E">
        <w:rPr>
          <w:rFonts w:cs="Arial"/>
        </w:rPr>
        <w:t xml:space="preserve">(as outlined in </w:t>
      </w:r>
      <w:r w:rsidR="00D54449">
        <w:rPr>
          <w:rFonts w:cs="Arial"/>
        </w:rPr>
        <w:t>T</w:t>
      </w:r>
      <w:r w:rsidR="00D63D5E">
        <w:rPr>
          <w:rFonts w:cs="Arial"/>
        </w:rPr>
        <w:t>able</w:t>
      </w:r>
      <w:r w:rsidR="009B7FD2">
        <w:rPr>
          <w:rFonts w:cs="Arial"/>
        </w:rPr>
        <w:t xml:space="preserve"> </w:t>
      </w:r>
      <w:r w:rsidR="00B22CB3">
        <w:rPr>
          <w:rFonts w:cs="Arial"/>
        </w:rPr>
        <w:t>23</w:t>
      </w:r>
      <w:r w:rsidR="00D63D5E">
        <w:rPr>
          <w:rFonts w:cs="Arial"/>
        </w:rPr>
        <w:t xml:space="preserve"> below)</w:t>
      </w:r>
      <w:r w:rsidR="00E460D6" w:rsidRPr="00E460D6">
        <w:rPr>
          <w:rFonts w:cs="Arial"/>
        </w:rPr>
        <w:t xml:space="preserve"> and</w:t>
      </w:r>
      <w:r w:rsidR="00DD4C0D">
        <w:rPr>
          <w:rFonts w:cs="Arial"/>
        </w:rPr>
        <w:t xml:space="preserve"> require</w:t>
      </w:r>
      <w:r w:rsidR="00E460D6" w:rsidRPr="00E460D6">
        <w:rPr>
          <w:rFonts w:cs="Arial"/>
        </w:rPr>
        <w:t xml:space="preserve"> augmentation</w:t>
      </w:r>
      <w:r w:rsidR="00DD4C0D">
        <w:rPr>
          <w:rFonts w:cs="Arial"/>
        </w:rPr>
        <w:t xml:space="preserve"> to accommodate future demands.</w:t>
      </w:r>
      <w:r w:rsidR="00E460D6" w:rsidRPr="00E460D6">
        <w:rPr>
          <w:rFonts w:cs="Arial"/>
        </w:rPr>
        <w:t xml:space="preserve"> </w:t>
      </w:r>
    </w:p>
    <w:p w14:paraId="52DA85DF" w14:textId="7E4A8A02" w:rsidR="003324D0" w:rsidRPr="00517333" w:rsidRDefault="00B22CB3" w:rsidP="001852AF">
      <w:pPr>
        <w:pStyle w:val="ListParagraph"/>
        <w:ind w:left="425"/>
        <w:rPr>
          <w:rFonts w:cs="Arial"/>
          <w:b/>
          <w:bCs/>
          <w:i/>
          <w:iCs/>
          <w:sz w:val="22"/>
          <w:szCs w:val="22"/>
        </w:rPr>
      </w:pPr>
      <w:r w:rsidRPr="00B22CB3">
        <w:rPr>
          <w:rFonts w:cs="Arial"/>
          <w:b/>
          <w:bCs/>
          <w:i/>
          <w:iCs/>
          <w:sz w:val="22"/>
          <w:szCs w:val="22"/>
        </w:rPr>
        <w:t xml:space="preserve">Table </w:t>
      </w:r>
      <w:r w:rsidR="00E0331E" w:rsidRPr="00CE6C4E">
        <w:rPr>
          <w:b/>
          <w:bCs/>
          <w:i/>
          <w:iCs/>
          <w:sz w:val="22"/>
          <w:szCs w:val="22"/>
        </w:rPr>
        <w:fldChar w:fldCharType="begin"/>
      </w:r>
      <w:r w:rsidR="00E0331E" w:rsidRPr="00CE6C4E">
        <w:rPr>
          <w:b/>
          <w:bCs/>
          <w:i/>
          <w:iCs/>
          <w:sz w:val="22"/>
          <w:szCs w:val="22"/>
        </w:rPr>
        <w:instrText>SEQ Table \* ARABIC</w:instrText>
      </w:r>
      <w:r w:rsidR="00E0331E" w:rsidRPr="00CE6C4E">
        <w:rPr>
          <w:b/>
          <w:bCs/>
          <w:i/>
          <w:iCs/>
          <w:sz w:val="22"/>
          <w:szCs w:val="22"/>
        </w:rPr>
        <w:fldChar w:fldCharType="separate"/>
      </w:r>
      <w:r w:rsidR="00E0331E">
        <w:rPr>
          <w:b/>
          <w:bCs/>
          <w:i/>
          <w:iCs/>
          <w:noProof/>
          <w:sz w:val="22"/>
          <w:szCs w:val="22"/>
        </w:rPr>
        <w:t>23</w:t>
      </w:r>
      <w:r w:rsidR="00E0331E" w:rsidRPr="00CE6C4E">
        <w:rPr>
          <w:b/>
          <w:bCs/>
          <w:i/>
          <w:iCs/>
          <w:sz w:val="22"/>
          <w:szCs w:val="22"/>
        </w:rPr>
        <w:fldChar w:fldCharType="end"/>
      </w:r>
      <w:r w:rsidRPr="00B22CB3">
        <w:rPr>
          <w:rFonts w:cs="Arial"/>
          <w:b/>
          <w:bCs/>
          <w:i/>
          <w:iCs/>
          <w:sz w:val="22"/>
          <w:szCs w:val="22"/>
        </w:rPr>
        <w:t xml:space="preserve">: </w:t>
      </w:r>
      <w:r w:rsidR="00135537" w:rsidRPr="00517333">
        <w:rPr>
          <w:rFonts w:cs="Arial"/>
          <w:b/>
          <w:bCs/>
          <w:i/>
          <w:iCs/>
          <w:sz w:val="22"/>
          <w:szCs w:val="22"/>
        </w:rPr>
        <w:t>Longwarry, Lang Lang and M</w:t>
      </w:r>
      <w:r w:rsidR="00417B30">
        <w:rPr>
          <w:rFonts w:cs="Arial"/>
          <w:b/>
          <w:bCs/>
          <w:i/>
          <w:iCs/>
          <w:sz w:val="22"/>
          <w:szCs w:val="22"/>
        </w:rPr>
        <w:t>oun</w:t>
      </w:r>
      <w:r w:rsidR="00135537" w:rsidRPr="00517333">
        <w:rPr>
          <w:rFonts w:cs="Arial"/>
          <w:b/>
          <w:bCs/>
          <w:i/>
          <w:iCs/>
          <w:sz w:val="22"/>
          <w:szCs w:val="22"/>
        </w:rPr>
        <w:t>t Martha w</w:t>
      </w:r>
      <w:r w:rsidR="00DE0940" w:rsidRPr="00517333">
        <w:rPr>
          <w:rFonts w:cs="Arial"/>
          <w:b/>
          <w:bCs/>
          <w:i/>
          <w:iCs/>
          <w:sz w:val="22"/>
          <w:szCs w:val="22"/>
        </w:rPr>
        <w:t xml:space="preserve">ater recycling </w:t>
      </w:r>
      <w:r w:rsidR="00135537" w:rsidRPr="00517333">
        <w:rPr>
          <w:rFonts w:cs="Arial"/>
          <w:b/>
          <w:bCs/>
          <w:i/>
          <w:iCs/>
          <w:sz w:val="22"/>
          <w:szCs w:val="22"/>
        </w:rPr>
        <w:t xml:space="preserve">plant capacity </w:t>
      </w:r>
    </w:p>
    <w:tbl>
      <w:tblPr>
        <w:tblStyle w:val="PlainTable2"/>
        <w:tblW w:w="8930" w:type="dxa"/>
        <w:tblInd w:w="423" w:type="dxa"/>
        <w:tblBorders>
          <w:top w:val="single" w:sz="2" w:space="0" w:color="002279"/>
          <w:left w:val="single" w:sz="2" w:space="0" w:color="002279"/>
          <w:bottom w:val="single" w:sz="2" w:space="0" w:color="002279"/>
          <w:right w:val="single" w:sz="2" w:space="0" w:color="002279"/>
          <w:insideH w:val="single" w:sz="2" w:space="0" w:color="002279"/>
          <w:insideV w:val="single" w:sz="2" w:space="0" w:color="002279"/>
        </w:tblBorders>
        <w:tblLook w:val="04A0" w:firstRow="1" w:lastRow="0" w:firstColumn="1" w:lastColumn="0" w:noHBand="0" w:noVBand="1"/>
      </w:tblPr>
      <w:tblGrid>
        <w:gridCol w:w="2975"/>
        <w:gridCol w:w="1985"/>
        <w:gridCol w:w="1985"/>
        <w:gridCol w:w="1985"/>
      </w:tblGrid>
      <w:tr w:rsidR="008C17DE" w:rsidRPr="009C57B0" w14:paraId="015FDEC2" w14:textId="77777777" w:rsidTr="001E15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5" w:type="dxa"/>
            <w:tcBorders>
              <w:bottom w:val="single" w:sz="4" w:space="0" w:color="002279"/>
              <w:right w:val="single" w:sz="4" w:space="0" w:color="FFFFFF" w:themeColor="background1"/>
            </w:tcBorders>
            <w:shd w:val="clear" w:color="auto" w:fill="002279"/>
            <w:vAlign w:val="center"/>
          </w:tcPr>
          <w:p w14:paraId="4F1A0154" w14:textId="3599893D" w:rsidR="00E460D6" w:rsidRPr="008C17DE" w:rsidRDefault="0038674C" w:rsidP="00E257BB">
            <w:pPr>
              <w:spacing w:before="60" w:after="60"/>
              <w:rPr>
                <w:rFonts w:cs="Arial"/>
                <w:color w:val="FFFFFF" w:themeColor="background1"/>
                <w:sz w:val="20"/>
                <w:szCs w:val="20"/>
              </w:rPr>
            </w:pPr>
            <w:r w:rsidRPr="008C17DE">
              <w:rPr>
                <w:rFonts w:cs="Arial"/>
                <w:color w:val="FFFFFF" w:themeColor="background1"/>
                <w:sz w:val="20"/>
                <w:szCs w:val="20"/>
              </w:rPr>
              <w:t xml:space="preserve">Water </w:t>
            </w:r>
            <w:r w:rsidR="005B309B" w:rsidRPr="008C17DE">
              <w:rPr>
                <w:rFonts w:cs="Arial"/>
                <w:color w:val="FFFFFF" w:themeColor="background1"/>
                <w:sz w:val="20"/>
                <w:szCs w:val="20"/>
              </w:rPr>
              <w:t>r</w:t>
            </w:r>
            <w:r w:rsidRPr="008C17DE">
              <w:rPr>
                <w:rFonts w:cs="Arial"/>
                <w:color w:val="FFFFFF" w:themeColor="background1"/>
                <w:sz w:val="20"/>
                <w:szCs w:val="20"/>
              </w:rPr>
              <w:t xml:space="preserve">ecycling </w:t>
            </w:r>
            <w:r w:rsidR="005B309B" w:rsidRPr="008C17DE">
              <w:rPr>
                <w:rFonts w:cs="Arial"/>
                <w:color w:val="FFFFFF" w:themeColor="background1"/>
                <w:sz w:val="20"/>
                <w:szCs w:val="20"/>
              </w:rPr>
              <w:t>p</w:t>
            </w:r>
            <w:r w:rsidR="00E460D6" w:rsidRPr="008C17DE">
              <w:rPr>
                <w:rFonts w:cs="Arial"/>
                <w:color w:val="FFFFFF" w:themeColor="background1"/>
                <w:sz w:val="20"/>
                <w:szCs w:val="20"/>
              </w:rPr>
              <w:t>lant</w:t>
            </w:r>
          </w:p>
        </w:tc>
        <w:tc>
          <w:tcPr>
            <w:tcW w:w="1985" w:type="dxa"/>
            <w:tcBorders>
              <w:left w:val="single" w:sz="4" w:space="0" w:color="FFFFFF" w:themeColor="background1"/>
              <w:bottom w:val="single" w:sz="4" w:space="0" w:color="002279"/>
              <w:right w:val="single" w:sz="4" w:space="0" w:color="FFFFFF" w:themeColor="background1"/>
            </w:tcBorders>
            <w:shd w:val="clear" w:color="auto" w:fill="002279"/>
            <w:vAlign w:val="center"/>
          </w:tcPr>
          <w:p w14:paraId="33B1D5F9" w14:textId="33A53AF6" w:rsidR="00E460D6" w:rsidRPr="008C17DE" w:rsidRDefault="00E460D6" w:rsidP="0038674C">
            <w:pPr>
              <w:spacing w:before="60" w:after="6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szCs w:val="20"/>
              </w:rPr>
            </w:pPr>
            <w:r w:rsidRPr="008C17DE">
              <w:rPr>
                <w:rFonts w:cs="Arial"/>
                <w:color w:val="FFFFFF" w:themeColor="background1"/>
                <w:sz w:val="20"/>
                <w:szCs w:val="20"/>
              </w:rPr>
              <w:t xml:space="preserve">Existing </w:t>
            </w:r>
            <w:r w:rsidR="000566C7" w:rsidRPr="008C17DE">
              <w:rPr>
                <w:rFonts w:cs="Arial"/>
                <w:color w:val="FFFFFF" w:themeColor="background1"/>
                <w:sz w:val="20"/>
                <w:szCs w:val="20"/>
              </w:rPr>
              <w:t>c</w:t>
            </w:r>
            <w:r w:rsidRPr="008C17DE">
              <w:rPr>
                <w:rFonts w:cs="Arial"/>
                <w:color w:val="FFFFFF" w:themeColor="background1"/>
                <w:sz w:val="20"/>
                <w:szCs w:val="20"/>
              </w:rPr>
              <w:t>apacity</w:t>
            </w:r>
            <w:r w:rsidR="0038674C" w:rsidRPr="008C17DE">
              <w:rPr>
                <w:rFonts w:cs="Arial"/>
                <w:color w:val="FFFFFF" w:themeColor="background1"/>
                <w:sz w:val="20"/>
                <w:szCs w:val="20"/>
              </w:rPr>
              <w:br/>
            </w:r>
            <w:r w:rsidR="00885D1A" w:rsidRPr="008C17DE">
              <w:rPr>
                <w:rFonts w:cs="Arial"/>
                <w:color w:val="FFFFFF" w:themeColor="background1"/>
                <w:sz w:val="20"/>
                <w:szCs w:val="20"/>
              </w:rPr>
              <w:t>ML/ day</w:t>
            </w:r>
          </w:p>
        </w:tc>
        <w:tc>
          <w:tcPr>
            <w:tcW w:w="1985" w:type="dxa"/>
            <w:tcBorders>
              <w:left w:val="single" w:sz="4" w:space="0" w:color="FFFFFF" w:themeColor="background1"/>
              <w:bottom w:val="single" w:sz="4" w:space="0" w:color="002279"/>
              <w:right w:val="single" w:sz="4" w:space="0" w:color="FFFFFF" w:themeColor="background1"/>
            </w:tcBorders>
            <w:shd w:val="clear" w:color="auto" w:fill="002279"/>
            <w:vAlign w:val="center"/>
          </w:tcPr>
          <w:p w14:paraId="486A7EDC" w14:textId="29928D33" w:rsidR="00E460D6" w:rsidRPr="008C17DE" w:rsidRDefault="00E460D6" w:rsidP="0038674C">
            <w:pPr>
              <w:spacing w:before="60" w:after="6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szCs w:val="20"/>
              </w:rPr>
            </w:pPr>
            <w:r w:rsidRPr="008C17DE">
              <w:rPr>
                <w:rFonts w:cs="Arial"/>
                <w:color w:val="FFFFFF" w:themeColor="background1"/>
                <w:sz w:val="20"/>
                <w:szCs w:val="20"/>
              </w:rPr>
              <w:t xml:space="preserve">Current </w:t>
            </w:r>
            <w:r w:rsidR="0038674C" w:rsidRPr="008C17DE">
              <w:rPr>
                <w:rFonts w:cs="Arial"/>
                <w:color w:val="FFFFFF" w:themeColor="background1"/>
                <w:sz w:val="20"/>
                <w:szCs w:val="20"/>
              </w:rPr>
              <w:br/>
            </w:r>
            <w:r w:rsidR="00972C8F" w:rsidRPr="008C17DE">
              <w:rPr>
                <w:rFonts w:cs="Arial"/>
                <w:color w:val="FFFFFF" w:themeColor="background1"/>
                <w:sz w:val="20"/>
                <w:szCs w:val="20"/>
              </w:rPr>
              <w:t>f</w:t>
            </w:r>
            <w:r w:rsidRPr="008C17DE">
              <w:rPr>
                <w:rFonts w:cs="Arial"/>
                <w:color w:val="FFFFFF" w:themeColor="background1"/>
                <w:sz w:val="20"/>
                <w:szCs w:val="20"/>
              </w:rPr>
              <w:t>lows</w:t>
            </w:r>
            <w:r w:rsidR="00885D1A" w:rsidRPr="008C17DE">
              <w:rPr>
                <w:rFonts w:cs="Arial"/>
                <w:color w:val="FFFFFF" w:themeColor="background1"/>
                <w:sz w:val="20"/>
                <w:szCs w:val="20"/>
              </w:rPr>
              <w:t xml:space="preserve"> </w:t>
            </w:r>
            <w:r w:rsidR="0038674C" w:rsidRPr="008C17DE">
              <w:rPr>
                <w:rFonts w:cs="Arial"/>
                <w:color w:val="FFFFFF" w:themeColor="background1"/>
                <w:sz w:val="20"/>
                <w:szCs w:val="20"/>
              </w:rPr>
              <w:br/>
            </w:r>
            <w:r w:rsidR="00885D1A" w:rsidRPr="008C17DE">
              <w:rPr>
                <w:rFonts w:cs="Arial"/>
                <w:color w:val="FFFFFF" w:themeColor="background1"/>
                <w:sz w:val="20"/>
                <w:szCs w:val="20"/>
              </w:rPr>
              <w:t>ML/ day</w:t>
            </w:r>
          </w:p>
        </w:tc>
        <w:tc>
          <w:tcPr>
            <w:tcW w:w="1985" w:type="dxa"/>
            <w:tcBorders>
              <w:left w:val="single" w:sz="4" w:space="0" w:color="FFFFFF" w:themeColor="background1"/>
              <w:bottom w:val="single" w:sz="4" w:space="0" w:color="002279"/>
            </w:tcBorders>
            <w:shd w:val="clear" w:color="auto" w:fill="002279"/>
            <w:vAlign w:val="center"/>
          </w:tcPr>
          <w:p w14:paraId="389189C0" w14:textId="1D70930C" w:rsidR="00E460D6" w:rsidRPr="008C17DE" w:rsidRDefault="00E257BB" w:rsidP="0038674C">
            <w:pPr>
              <w:spacing w:before="60" w:after="6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szCs w:val="20"/>
              </w:rPr>
            </w:pPr>
            <w:r w:rsidRPr="008C17DE">
              <w:rPr>
                <w:rFonts w:cs="Arial"/>
                <w:color w:val="FFFFFF" w:themeColor="background1"/>
                <w:sz w:val="20"/>
                <w:szCs w:val="20"/>
              </w:rPr>
              <w:t xml:space="preserve">Proposed </w:t>
            </w:r>
            <w:r w:rsidR="00972C8F" w:rsidRPr="008C17DE">
              <w:rPr>
                <w:rFonts w:cs="Arial"/>
                <w:color w:val="FFFFFF" w:themeColor="background1"/>
                <w:sz w:val="20"/>
                <w:szCs w:val="20"/>
              </w:rPr>
              <w:t>c</w:t>
            </w:r>
            <w:r w:rsidRPr="008C17DE">
              <w:rPr>
                <w:rFonts w:cs="Arial"/>
                <w:color w:val="FFFFFF" w:themeColor="background1"/>
                <w:sz w:val="20"/>
                <w:szCs w:val="20"/>
              </w:rPr>
              <w:t>apacity</w:t>
            </w:r>
            <w:r w:rsidR="00E460D6" w:rsidRPr="008C17DE">
              <w:rPr>
                <w:rFonts w:cs="Arial"/>
                <w:color w:val="FFFFFF" w:themeColor="background1"/>
                <w:sz w:val="20"/>
                <w:szCs w:val="20"/>
              </w:rPr>
              <w:t xml:space="preserve"> </w:t>
            </w:r>
            <w:r w:rsidR="0038674C" w:rsidRPr="008C17DE">
              <w:rPr>
                <w:rFonts w:cs="Arial"/>
                <w:color w:val="FFFFFF" w:themeColor="background1"/>
                <w:sz w:val="20"/>
                <w:szCs w:val="20"/>
              </w:rPr>
              <w:br/>
            </w:r>
            <w:r w:rsidR="00885D1A" w:rsidRPr="008C17DE">
              <w:rPr>
                <w:rFonts w:cs="Arial"/>
                <w:color w:val="FFFFFF" w:themeColor="background1"/>
                <w:sz w:val="20"/>
                <w:szCs w:val="20"/>
              </w:rPr>
              <w:t>ML/ day</w:t>
            </w:r>
          </w:p>
        </w:tc>
      </w:tr>
      <w:tr w:rsidR="00885D1A" w:rsidRPr="009C57B0" w14:paraId="4FE87D39" w14:textId="77777777" w:rsidTr="001E159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002279"/>
              <w:left w:val="single" w:sz="4" w:space="0" w:color="002279"/>
              <w:bottom w:val="single" w:sz="4" w:space="0" w:color="002279"/>
              <w:right w:val="single" w:sz="4" w:space="0" w:color="002279"/>
            </w:tcBorders>
            <w:shd w:val="clear" w:color="auto" w:fill="D4D6DF"/>
            <w:vAlign w:val="center"/>
          </w:tcPr>
          <w:p w14:paraId="393D526D" w14:textId="03B8262B" w:rsidR="00E460D6" w:rsidRPr="006C700E" w:rsidRDefault="00E460D6" w:rsidP="005A0A25">
            <w:pPr>
              <w:spacing w:before="60" w:after="60"/>
              <w:rPr>
                <w:rFonts w:cs="Arial"/>
                <w:b w:val="0"/>
                <w:bCs w:val="0"/>
                <w:sz w:val="20"/>
                <w:szCs w:val="20"/>
              </w:rPr>
            </w:pPr>
            <w:r w:rsidRPr="006C700E">
              <w:rPr>
                <w:rFonts w:cs="Arial"/>
                <w:b w:val="0"/>
                <w:bCs w:val="0"/>
                <w:sz w:val="20"/>
                <w:szCs w:val="20"/>
              </w:rPr>
              <w:t xml:space="preserve">Longwarry </w:t>
            </w:r>
          </w:p>
        </w:tc>
        <w:tc>
          <w:tcPr>
            <w:tcW w:w="1985" w:type="dxa"/>
            <w:tcBorders>
              <w:top w:val="single" w:sz="4" w:space="0" w:color="002279"/>
              <w:left w:val="single" w:sz="4" w:space="0" w:color="002279"/>
              <w:bottom w:val="single" w:sz="4" w:space="0" w:color="002279"/>
              <w:right w:val="single" w:sz="4" w:space="0" w:color="002279"/>
            </w:tcBorders>
            <w:shd w:val="clear" w:color="auto" w:fill="D4D6DF"/>
            <w:vAlign w:val="center"/>
          </w:tcPr>
          <w:p w14:paraId="008FF47F" w14:textId="3BB6F528" w:rsidR="00E460D6" w:rsidRPr="00A14509" w:rsidRDefault="00E460D6" w:rsidP="00885D1A">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A14509">
              <w:rPr>
                <w:rFonts w:cs="Arial"/>
                <w:sz w:val="20"/>
                <w:szCs w:val="20"/>
              </w:rPr>
              <w:t>1.1</w:t>
            </w:r>
          </w:p>
        </w:tc>
        <w:tc>
          <w:tcPr>
            <w:tcW w:w="1985" w:type="dxa"/>
            <w:tcBorders>
              <w:top w:val="single" w:sz="4" w:space="0" w:color="002279"/>
              <w:left w:val="single" w:sz="4" w:space="0" w:color="002279"/>
              <w:bottom w:val="single" w:sz="4" w:space="0" w:color="002279"/>
              <w:right w:val="single" w:sz="4" w:space="0" w:color="002279"/>
            </w:tcBorders>
            <w:shd w:val="clear" w:color="auto" w:fill="D4D6DF"/>
            <w:vAlign w:val="center"/>
          </w:tcPr>
          <w:p w14:paraId="2DA357E5" w14:textId="24C9E33E" w:rsidR="00E460D6" w:rsidRPr="00A14509" w:rsidRDefault="00E460D6" w:rsidP="00885D1A">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A14509">
              <w:rPr>
                <w:rFonts w:cs="Arial"/>
                <w:sz w:val="20"/>
                <w:szCs w:val="20"/>
              </w:rPr>
              <w:t>1.0</w:t>
            </w:r>
          </w:p>
        </w:tc>
        <w:tc>
          <w:tcPr>
            <w:tcW w:w="1985" w:type="dxa"/>
            <w:tcBorders>
              <w:top w:val="single" w:sz="4" w:space="0" w:color="002279"/>
              <w:left w:val="single" w:sz="4" w:space="0" w:color="002279"/>
              <w:bottom w:val="single" w:sz="4" w:space="0" w:color="002279"/>
              <w:right w:val="single" w:sz="4" w:space="0" w:color="002279"/>
            </w:tcBorders>
            <w:shd w:val="clear" w:color="auto" w:fill="D4D6DF"/>
            <w:vAlign w:val="center"/>
          </w:tcPr>
          <w:p w14:paraId="6E6FC907" w14:textId="180AE983" w:rsidR="00E460D6" w:rsidRPr="00A14509" w:rsidRDefault="00E460D6" w:rsidP="00885D1A">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A14509">
              <w:rPr>
                <w:rFonts w:cs="Arial"/>
                <w:sz w:val="20"/>
                <w:szCs w:val="20"/>
              </w:rPr>
              <w:t>2</w:t>
            </w:r>
            <w:r w:rsidR="00885D1A" w:rsidRPr="00A14509">
              <w:rPr>
                <w:rFonts w:cs="Arial"/>
                <w:sz w:val="20"/>
                <w:szCs w:val="20"/>
              </w:rPr>
              <w:t>.0</w:t>
            </w:r>
          </w:p>
        </w:tc>
      </w:tr>
      <w:tr w:rsidR="00885D1A" w:rsidRPr="009C57B0" w14:paraId="5AA33D26" w14:textId="77777777" w:rsidTr="001E1592">
        <w:trPr>
          <w:trHeight w:val="454"/>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002279"/>
              <w:left w:val="single" w:sz="4" w:space="0" w:color="002279"/>
              <w:bottom w:val="single" w:sz="4" w:space="0" w:color="002279"/>
              <w:right w:val="single" w:sz="4" w:space="0" w:color="002279"/>
            </w:tcBorders>
            <w:vAlign w:val="center"/>
          </w:tcPr>
          <w:p w14:paraId="357CB8F8" w14:textId="73905CE2" w:rsidR="00E460D6" w:rsidRPr="006C700E" w:rsidRDefault="00E460D6" w:rsidP="005A0A25">
            <w:pPr>
              <w:spacing w:before="60" w:after="60"/>
              <w:rPr>
                <w:rFonts w:cs="Arial"/>
                <w:b w:val="0"/>
                <w:bCs w:val="0"/>
                <w:sz w:val="20"/>
                <w:szCs w:val="20"/>
              </w:rPr>
            </w:pPr>
            <w:r w:rsidRPr="006C700E">
              <w:rPr>
                <w:rFonts w:cs="Arial"/>
                <w:b w:val="0"/>
                <w:bCs w:val="0"/>
                <w:sz w:val="20"/>
                <w:szCs w:val="20"/>
              </w:rPr>
              <w:t xml:space="preserve">Lang Lang </w:t>
            </w:r>
          </w:p>
        </w:tc>
        <w:tc>
          <w:tcPr>
            <w:tcW w:w="1985" w:type="dxa"/>
            <w:tcBorders>
              <w:top w:val="single" w:sz="4" w:space="0" w:color="002279"/>
              <w:left w:val="single" w:sz="4" w:space="0" w:color="002279"/>
              <w:bottom w:val="single" w:sz="4" w:space="0" w:color="002279"/>
              <w:right w:val="single" w:sz="4" w:space="0" w:color="002279"/>
            </w:tcBorders>
            <w:vAlign w:val="center"/>
          </w:tcPr>
          <w:p w14:paraId="0CD0D006" w14:textId="5D763FC5" w:rsidR="00E460D6" w:rsidRPr="00A14509" w:rsidRDefault="00E460D6" w:rsidP="00885D1A">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A14509">
              <w:rPr>
                <w:rFonts w:cs="Arial"/>
                <w:sz w:val="20"/>
                <w:szCs w:val="20"/>
              </w:rPr>
              <w:t>1.1</w:t>
            </w:r>
          </w:p>
        </w:tc>
        <w:tc>
          <w:tcPr>
            <w:tcW w:w="1985" w:type="dxa"/>
            <w:tcBorders>
              <w:top w:val="single" w:sz="4" w:space="0" w:color="002279"/>
              <w:left w:val="single" w:sz="4" w:space="0" w:color="002279"/>
              <w:bottom w:val="single" w:sz="4" w:space="0" w:color="002279"/>
              <w:right w:val="single" w:sz="4" w:space="0" w:color="002279"/>
            </w:tcBorders>
            <w:vAlign w:val="center"/>
          </w:tcPr>
          <w:p w14:paraId="41C9260F" w14:textId="3EF4AF66" w:rsidR="00E460D6" w:rsidRPr="00A14509" w:rsidRDefault="00E460D6" w:rsidP="00885D1A">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A14509">
              <w:rPr>
                <w:rFonts w:cs="Arial"/>
                <w:sz w:val="20"/>
                <w:szCs w:val="20"/>
              </w:rPr>
              <w:t>0.8</w:t>
            </w:r>
          </w:p>
        </w:tc>
        <w:tc>
          <w:tcPr>
            <w:tcW w:w="1985" w:type="dxa"/>
            <w:tcBorders>
              <w:top w:val="single" w:sz="4" w:space="0" w:color="002279"/>
              <w:left w:val="single" w:sz="4" w:space="0" w:color="002279"/>
              <w:bottom w:val="single" w:sz="4" w:space="0" w:color="002279"/>
              <w:right w:val="single" w:sz="4" w:space="0" w:color="002279"/>
            </w:tcBorders>
            <w:vAlign w:val="center"/>
          </w:tcPr>
          <w:p w14:paraId="5CC5E9E9" w14:textId="09D682EF" w:rsidR="00E460D6" w:rsidRPr="00A14509" w:rsidRDefault="00E460D6" w:rsidP="00885D1A">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A14509">
              <w:rPr>
                <w:rFonts w:cs="Arial"/>
                <w:sz w:val="20"/>
                <w:szCs w:val="20"/>
              </w:rPr>
              <w:t>2</w:t>
            </w:r>
            <w:r w:rsidR="00885D1A" w:rsidRPr="00A14509">
              <w:rPr>
                <w:rFonts w:cs="Arial"/>
                <w:sz w:val="20"/>
                <w:szCs w:val="20"/>
              </w:rPr>
              <w:t>.0</w:t>
            </w:r>
          </w:p>
        </w:tc>
      </w:tr>
      <w:tr w:rsidR="005A0A25" w:rsidRPr="009C57B0" w14:paraId="7508710F" w14:textId="77777777" w:rsidTr="001E159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002279"/>
              <w:left w:val="single" w:sz="4" w:space="0" w:color="002279"/>
              <w:bottom w:val="single" w:sz="4" w:space="0" w:color="002279"/>
              <w:right w:val="single" w:sz="4" w:space="0" w:color="002279"/>
            </w:tcBorders>
            <w:shd w:val="clear" w:color="auto" w:fill="D4D6DF"/>
            <w:vAlign w:val="center"/>
          </w:tcPr>
          <w:p w14:paraId="44E8649B" w14:textId="5A979D44" w:rsidR="005A0A25" w:rsidRPr="006C700E" w:rsidRDefault="00FA522F" w:rsidP="005A0A25">
            <w:pPr>
              <w:spacing w:before="60" w:after="60"/>
              <w:rPr>
                <w:rFonts w:cs="Arial"/>
                <w:b w:val="0"/>
                <w:bCs w:val="0"/>
                <w:sz w:val="20"/>
                <w:szCs w:val="20"/>
              </w:rPr>
            </w:pPr>
            <w:r w:rsidRPr="006C700E">
              <w:rPr>
                <w:rFonts w:cs="Arial"/>
                <w:b w:val="0"/>
                <w:bCs w:val="0"/>
                <w:sz w:val="20"/>
                <w:szCs w:val="20"/>
              </w:rPr>
              <w:t>Mount</w:t>
            </w:r>
            <w:r w:rsidR="005A0A25" w:rsidRPr="006C700E">
              <w:rPr>
                <w:rFonts w:cs="Arial"/>
                <w:b w:val="0"/>
                <w:bCs w:val="0"/>
                <w:sz w:val="20"/>
                <w:szCs w:val="20"/>
              </w:rPr>
              <w:t xml:space="preserve"> Martha </w:t>
            </w:r>
          </w:p>
        </w:tc>
        <w:tc>
          <w:tcPr>
            <w:tcW w:w="1985" w:type="dxa"/>
            <w:tcBorders>
              <w:top w:val="single" w:sz="4" w:space="0" w:color="002279"/>
              <w:left w:val="single" w:sz="4" w:space="0" w:color="002279"/>
              <w:bottom w:val="single" w:sz="4" w:space="0" w:color="002279"/>
              <w:right w:val="single" w:sz="4" w:space="0" w:color="002279"/>
            </w:tcBorders>
            <w:shd w:val="clear" w:color="auto" w:fill="D4D6DF"/>
            <w:vAlign w:val="center"/>
          </w:tcPr>
          <w:p w14:paraId="22685B1D" w14:textId="5CC7E061" w:rsidR="005A0A25" w:rsidRPr="00A14509" w:rsidRDefault="005A0A25" w:rsidP="005A0A25">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A14509">
              <w:rPr>
                <w:rFonts w:cs="Arial"/>
                <w:sz w:val="20"/>
                <w:szCs w:val="20"/>
              </w:rPr>
              <w:t>13.5</w:t>
            </w:r>
          </w:p>
        </w:tc>
        <w:tc>
          <w:tcPr>
            <w:tcW w:w="1985" w:type="dxa"/>
            <w:tcBorders>
              <w:top w:val="single" w:sz="4" w:space="0" w:color="002279"/>
              <w:left w:val="single" w:sz="4" w:space="0" w:color="002279"/>
              <w:bottom w:val="single" w:sz="4" w:space="0" w:color="002279"/>
              <w:right w:val="single" w:sz="4" w:space="0" w:color="002279"/>
            </w:tcBorders>
            <w:shd w:val="clear" w:color="auto" w:fill="D4D6DF"/>
            <w:vAlign w:val="center"/>
          </w:tcPr>
          <w:p w14:paraId="187C21FB" w14:textId="7AF7DE33" w:rsidR="005A0A25" w:rsidRPr="00A14509" w:rsidRDefault="005A0A25" w:rsidP="005A0A25">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A14509">
              <w:rPr>
                <w:rFonts w:cs="Arial"/>
                <w:sz w:val="20"/>
                <w:szCs w:val="20"/>
              </w:rPr>
              <w:t>14.0</w:t>
            </w:r>
          </w:p>
        </w:tc>
        <w:tc>
          <w:tcPr>
            <w:tcW w:w="1985" w:type="dxa"/>
            <w:tcBorders>
              <w:top w:val="single" w:sz="4" w:space="0" w:color="002279"/>
              <w:left w:val="single" w:sz="4" w:space="0" w:color="002279"/>
              <w:bottom w:val="single" w:sz="4" w:space="0" w:color="002279"/>
              <w:right w:val="single" w:sz="4" w:space="0" w:color="002279"/>
            </w:tcBorders>
            <w:shd w:val="clear" w:color="auto" w:fill="D4D6DF"/>
            <w:vAlign w:val="center"/>
          </w:tcPr>
          <w:p w14:paraId="6D3067BB" w14:textId="119085EE" w:rsidR="005A0A25" w:rsidRPr="00A14509" w:rsidRDefault="005A0A25" w:rsidP="005A0A25">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A14509">
              <w:rPr>
                <w:rFonts w:cs="Arial"/>
                <w:sz w:val="20"/>
                <w:szCs w:val="20"/>
              </w:rPr>
              <w:t>15–18</w:t>
            </w:r>
          </w:p>
        </w:tc>
      </w:tr>
    </w:tbl>
    <w:p w14:paraId="4AB0A0C9" w14:textId="77777777" w:rsidR="00E460D6" w:rsidRDefault="00E460D6" w:rsidP="00CB0971">
      <w:pPr>
        <w:spacing w:after="0"/>
        <w:ind w:left="426"/>
        <w:rPr>
          <w:rFonts w:cs="Arial"/>
        </w:rPr>
      </w:pPr>
    </w:p>
    <w:p w14:paraId="2C955ABD" w14:textId="77C018F0" w:rsidR="007B559C" w:rsidRDefault="00C75901" w:rsidP="001D0F15">
      <w:pPr>
        <w:spacing w:line="259" w:lineRule="auto"/>
        <w:ind w:left="426"/>
        <w:rPr>
          <w:rFonts w:cs="Arial"/>
        </w:rPr>
      </w:pPr>
      <w:r>
        <w:rPr>
          <w:rFonts w:cs="Arial"/>
        </w:rPr>
        <w:t>In addition</w:t>
      </w:r>
      <w:r w:rsidR="00681979">
        <w:rPr>
          <w:rFonts w:cs="Arial"/>
        </w:rPr>
        <w:t>, w</w:t>
      </w:r>
      <w:r w:rsidR="005A0A25">
        <w:rPr>
          <w:rFonts w:cs="Arial"/>
        </w:rPr>
        <w:t xml:space="preserve">e </w:t>
      </w:r>
      <w:r w:rsidR="00B3334F">
        <w:rPr>
          <w:rFonts w:cs="Arial"/>
        </w:rPr>
        <w:t>plan to build</w:t>
      </w:r>
      <w:r w:rsidR="00E460D6">
        <w:rPr>
          <w:rFonts w:cs="Arial"/>
        </w:rPr>
        <w:t xml:space="preserve"> </w:t>
      </w:r>
      <w:r w:rsidR="005A0A25">
        <w:rPr>
          <w:rFonts w:cs="Arial"/>
        </w:rPr>
        <w:t>a b</w:t>
      </w:r>
      <w:r w:rsidR="00E460D6">
        <w:rPr>
          <w:rFonts w:cs="Arial"/>
        </w:rPr>
        <w:t xml:space="preserve">iofactory to </w:t>
      </w:r>
      <w:r>
        <w:rPr>
          <w:rFonts w:cs="Arial"/>
        </w:rPr>
        <w:t>address capacity flow limitations and</w:t>
      </w:r>
      <w:r w:rsidR="00E460D6">
        <w:rPr>
          <w:rFonts w:cs="Arial"/>
        </w:rPr>
        <w:t xml:space="preserve"> service growth in the </w:t>
      </w:r>
      <w:r w:rsidR="00056431">
        <w:rPr>
          <w:rFonts w:cs="Arial"/>
        </w:rPr>
        <w:t>south-east</w:t>
      </w:r>
      <w:r w:rsidR="00E460D6">
        <w:rPr>
          <w:rFonts w:cs="Arial"/>
        </w:rPr>
        <w:t xml:space="preserve"> </w:t>
      </w:r>
      <w:r w:rsidR="00EC6137">
        <w:rPr>
          <w:rFonts w:cs="Arial"/>
        </w:rPr>
        <w:t>r</w:t>
      </w:r>
      <w:r w:rsidR="00E460D6">
        <w:rPr>
          <w:rFonts w:cs="Arial"/>
        </w:rPr>
        <w:t xml:space="preserve">egion </w:t>
      </w:r>
      <w:r w:rsidR="00E57DBD">
        <w:rPr>
          <w:rFonts w:cs="Arial"/>
        </w:rPr>
        <w:t>which will</w:t>
      </w:r>
      <w:r w:rsidR="00E460D6">
        <w:rPr>
          <w:rFonts w:cs="Arial"/>
        </w:rPr>
        <w:t xml:space="preserve"> reduce reliance on the Eastern Treatment Plant. </w:t>
      </w:r>
      <w:r w:rsidR="00E57DBD">
        <w:rPr>
          <w:rFonts w:cs="Arial"/>
        </w:rPr>
        <w:t>P</w:t>
      </w:r>
      <w:r w:rsidR="00E460D6">
        <w:rPr>
          <w:rFonts w:cs="Arial"/>
        </w:rPr>
        <w:t xml:space="preserve">lanning and early works </w:t>
      </w:r>
      <w:r w:rsidR="00C4597D">
        <w:rPr>
          <w:rFonts w:cs="Arial"/>
        </w:rPr>
        <w:t>to build a</w:t>
      </w:r>
      <w:r w:rsidR="00E460D6">
        <w:rPr>
          <w:rFonts w:cs="Arial"/>
        </w:rPr>
        <w:t xml:space="preserve"> </w:t>
      </w:r>
      <w:r w:rsidR="00056431">
        <w:rPr>
          <w:rFonts w:cs="Arial"/>
        </w:rPr>
        <w:t xml:space="preserve">south-east </w:t>
      </w:r>
      <w:r w:rsidR="00C4597D">
        <w:rPr>
          <w:rFonts w:cs="Arial"/>
        </w:rPr>
        <w:t>r</w:t>
      </w:r>
      <w:r w:rsidR="00E460D6">
        <w:rPr>
          <w:rFonts w:cs="Arial"/>
        </w:rPr>
        <w:t xml:space="preserve">egional </w:t>
      </w:r>
      <w:r w:rsidR="005353E0">
        <w:rPr>
          <w:rFonts w:cs="Arial"/>
        </w:rPr>
        <w:t>b</w:t>
      </w:r>
      <w:r w:rsidR="00E460D6">
        <w:rPr>
          <w:rFonts w:cs="Arial"/>
        </w:rPr>
        <w:t xml:space="preserve">iofactory will occur in </w:t>
      </w:r>
      <w:r w:rsidR="00C54E0A">
        <w:rPr>
          <w:rFonts w:cs="Arial"/>
        </w:rPr>
        <w:t>2023</w:t>
      </w:r>
      <w:r w:rsidR="007D4EB3">
        <w:rPr>
          <w:rFonts w:cs="Arial"/>
        </w:rPr>
        <w:t>–</w:t>
      </w:r>
      <w:r w:rsidR="00C54E0A">
        <w:rPr>
          <w:rFonts w:cs="Arial"/>
        </w:rPr>
        <w:t>28</w:t>
      </w:r>
      <w:r w:rsidR="00333652">
        <w:rPr>
          <w:rFonts w:cs="Arial"/>
        </w:rPr>
        <w:t>,</w:t>
      </w:r>
      <w:r w:rsidR="00C54E0A">
        <w:rPr>
          <w:rFonts w:cs="Arial"/>
        </w:rPr>
        <w:t xml:space="preserve"> </w:t>
      </w:r>
      <w:r w:rsidR="00E460D6">
        <w:rPr>
          <w:rFonts w:cs="Arial"/>
        </w:rPr>
        <w:t xml:space="preserve">to lay the </w:t>
      </w:r>
      <w:r w:rsidR="00805F4C">
        <w:rPr>
          <w:rFonts w:cs="Arial"/>
        </w:rPr>
        <w:t>path</w:t>
      </w:r>
      <w:r w:rsidR="00E460D6">
        <w:rPr>
          <w:rFonts w:cs="Arial"/>
        </w:rPr>
        <w:t xml:space="preserve"> for delivery </w:t>
      </w:r>
      <w:r w:rsidR="00934C23">
        <w:rPr>
          <w:rFonts w:cs="Arial"/>
        </w:rPr>
        <w:t xml:space="preserve">and </w:t>
      </w:r>
      <w:r w:rsidR="00681979">
        <w:rPr>
          <w:rFonts w:cs="Arial"/>
        </w:rPr>
        <w:t xml:space="preserve">commissioning in </w:t>
      </w:r>
      <w:r w:rsidR="00934C23">
        <w:rPr>
          <w:rFonts w:cs="Arial"/>
        </w:rPr>
        <w:t xml:space="preserve">the </w:t>
      </w:r>
      <w:r w:rsidR="00681979">
        <w:rPr>
          <w:rFonts w:cs="Arial"/>
        </w:rPr>
        <w:t>20</w:t>
      </w:r>
      <w:r w:rsidR="00934C23">
        <w:rPr>
          <w:rFonts w:cs="Arial"/>
        </w:rPr>
        <w:t>28</w:t>
      </w:r>
      <w:r w:rsidR="007D4EB3">
        <w:rPr>
          <w:rFonts w:cs="Arial"/>
        </w:rPr>
        <w:t>–</w:t>
      </w:r>
      <w:r w:rsidR="00681979">
        <w:rPr>
          <w:rFonts w:cs="Arial"/>
        </w:rPr>
        <w:t>32</w:t>
      </w:r>
      <w:r w:rsidR="00934C23">
        <w:rPr>
          <w:rFonts w:cs="Arial"/>
        </w:rPr>
        <w:t xml:space="preserve"> </w:t>
      </w:r>
      <w:r w:rsidR="00D13D14">
        <w:rPr>
          <w:rFonts w:cs="Arial"/>
        </w:rPr>
        <w:t xml:space="preserve">regulatory </w:t>
      </w:r>
      <w:r w:rsidR="00934C23">
        <w:rPr>
          <w:rFonts w:cs="Arial"/>
        </w:rPr>
        <w:t>period.</w:t>
      </w:r>
      <w:r w:rsidR="007B559C" w:rsidRPr="001D0F15">
        <w:rPr>
          <w:rFonts w:cs="Arial"/>
        </w:rPr>
        <w:t xml:space="preserve"> </w:t>
      </w:r>
    </w:p>
    <w:p w14:paraId="78C6C94B" w14:textId="0BFD455A" w:rsidR="007B559C" w:rsidRDefault="00417B30">
      <w:pPr>
        <w:pStyle w:val="ListParagraph"/>
        <w:numPr>
          <w:ilvl w:val="0"/>
          <w:numId w:val="12"/>
        </w:numPr>
        <w:spacing w:after="160" w:line="259" w:lineRule="auto"/>
        <w:ind w:left="426" w:hanging="357"/>
        <w:rPr>
          <w:rFonts w:cs="Arial"/>
        </w:rPr>
      </w:pPr>
      <w:r>
        <w:rPr>
          <w:rFonts w:cs="Arial"/>
        </w:rPr>
        <w:t>t</w:t>
      </w:r>
      <w:r w:rsidR="003A6BB3">
        <w:rPr>
          <w:rFonts w:cs="Arial"/>
        </w:rPr>
        <w:t xml:space="preserve">he </w:t>
      </w:r>
      <w:r w:rsidR="004C1DB4">
        <w:rPr>
          <w:rFonts w:cs="Arial"/>
        </w:rPr>
        <w:t>c</w:t>
      </w:r>
      <w:r w:rsidR="007B559C">
        <w:rPr>
          <w:rFonts w:cs="Arial"/>
        </w:rPr>
        <w:t xml:space="preserve">ontinued </w:t>
      </w:r>
      <w:r w:rsidR="004C0948">
        <w:rPr>
          <w:rFonts w:cs="Arial"/>
        </w:rPr>
        <w:t>rollout</w:t>
      </w:r>
      <w:r w:rsidR="007B559C">
        <w:rPr>
          <w:rFonts w:cs="Arial"/>
        </w:rPr>
        <w:t xml:space="preserve"> of d</w:t>
      </w:r>
      <w:r w:rsidR="007B559C" w:rsidRPr="00012564">
        <w:rPr>
          <w:rFonts w:cs="Arial"/>
        </w:rPr>
        <w:t xml:space="preserve">igital </w:t>
      </w:r>
      <w:r w:rsidR="007B559C">
        <w:rPr>
          <w:rFonts w:cs="Arial"/>
        </w:rPr>
        <w:t>m</w:t>
      </w:r>
      <w:r w:rsidR="007B559C" w:rsidRPr="00012564">
        <w:rPr>
          <w:rFonts w:cs="Arial"/>
        </w:rPr>
        <w:t xml:space="preserve">eters, which is a </w:t>
      </w:r>
      <w:r w:rsidR="007B559C">
        <w:rPr>
          <w:rFonts w:cs="Arial"/>
        </w:rPr>
        <w:t>t</w:t>
      </w:r>
      <w:r w:rsidR="007B559C" w:rsidRPr="00012564">
        <w:rPr>
          <w:rFonts w:cs="Arial"/>
        </w:rPr>
        <w:t xml:space="preserve">op 10 project comprising </w:t>
      </w:r>
      <w:r w:rsidR="007B559C">
        <w:rPr>
          <w:rFonts w:cs="Arial"/>
        </w:rPr>
        <w:t>35</w:t>
      </w:r>
      <w:r w:rsidR="007B559C" w:rsidRPr="00012564">
        <w:rPr>
          <w:rFonts w:cs="Arial"/>
        </w:rPr>
        <w:t xml:space="preserve">% of </w:t>
      </w:r>
      <w:r w:rsidR="001E1592">
        <w:rPr>
          <w:rFonts w:cs="Arial"/>
        </w:rPr>
        <w:br/>
      </w:r>
      <w:r w:rsidR="007B559C" w:rsidRPr="00012564">
        <w:rPr>
          <w:rFonts w:cs="Arial"/>
        </w:rPr>
        <w:t xml:space="preserve">our total </w:t>
      </w:r>
      <w:r w:rsidR="007B559C">
        <w:rPr>
          <w:rFonts w:cs="Arial"/>
        </w:rPr>
        <w:t>t</w:t>
      </w:r>
      <w:r w:rsidR="007B559C" w:rsidRPr="00012564">
        <w:rPr>
          <w:rFonts w:cs="Arial"/>
        </w:rPr>
        <w:t>op 10 project forecast</w:t>
      </w:r>
      <w:r w:rsidR="00CB5603">
        <w:rPr>
          <w:rFonts w:cs="Arial"/>
        </w:rPr>
        <w:t xml:space="preserve"> and 11% of our total capital investment program</w:t>
      </w:r>
      <w:r w:rsidR="007B559C" w:rsidRPr="00012564">
        <w:rPr>
          <w:rFonts w:cs="Arial"/>
        </w:rPr>
        <w:t>.</w:t>
      </w:r>
    </w:p>
    <w:p w14:paraId="1F8D7917" w14:textId="0E5A4838" w:rsidR="004C1DB4" w:rsidRDefault="00E74472" w:rsidP="00313CB2">
      <w:pPr>
        <w:spacing w:line="259" w:lineRule="auto"/>
      </w:pPr>
      <w:r>
        <w:t xml:space="preserve">We are </w:t>
      </w:r>
      <w:r w:rsidR="0064633A">
        <w:t>planning</w:t>
      </w:r>
      <w:r>
        <w:t xml:space="preserve"> to maintain </w:t>
      </w:r>
      <w:r w:rsidR="005216F9">
        <w:t>current</w:t>
      </w:r>
      <w:r>
        <w:t xml:space="preserve"> capital expenditure </w:t>
      </w:r>
      <w:r w:rsidR="005216F9">
        <w:t>levels</w:t>
      </w:r>
      <w:r>
        <w:t xml:space="preserve"> for water and sewer network reliability and renewals despite </w:t>
      </w:r>
      <w:r w:rsidR="00875224">
        <w:t xml:space="preserve">an </w:t>
      </w:r>
      <w:r>
        <w:t>increasing need to address ag</w:t>
      </w:r>
      <w:r w:rsidR="009174F2">
        <w:t>e</w:t>
      </w:r>
      <w:r>
        <w:t xml:space="preserve">ing assets and climate change, by leveraging continuous innovation in technology and digital engineering to drive cost efficiency. </w:t>
      </w:r>
    </w:p>
    <w:p w14:paraId="38913A80" w14:textId="77777777" w:rsidR="001E1592" w:rsidRDefault="001E1592" w:rsidP="00313CB2">
      <w:pPr>
        <w:spacing w:line="259" w:lineRule="auto"/>
      </w:pPr>
    </w:p>
    <w:p w14:paraId="104D0BB5" w14:textId="6DA2D322" w:rsidR="004C1DB4" w:rsidRPr="00642E15" w:rsidRDefault="009443C5" w:rsidP="00313CB2">
      <w:pPr>
        <w:spacing w:line="259" w:lineRule="auto"/>
        <w:rPr>
          <w:rFonts w:cs="Arial"/>
        </w:rPr>
      </w:pPr>
      <w:r>
        <w:rPr>
          <w:rFonts w:cs="Arial"/>
        </w:rPr>
        <w:t>Figure 5</w:t>
      </w:r>
      <w:r w:rsidR="007B559C" w:rsidRPr="0042467A">
        <w:rPr>
          <w:rFonts w:cs="Arial"/>
        </w:rPr>
        <w:t xml:space="preserve"> shows the increase in our 2023</w:t>
      </w:r>
      <w:r w:rsidR="007D4EB3">
        <w:rPr>
          <w:rFonts w:cs="Arial"/>
        </w:rPr>
        <w:t>–</w:t>
      </w:r>
      <w:r w:rsidR="007B559C" w:rsidRPr="0042467A">
        <w:rPr>
          <w:rFonts w:cs="Arial"/>
        </w:rPr>
        <w:t>28 capital investment program by cost driver when compared to the 2018</w:t>
      </w:r>
      <w:r w:rsidR="007D4EB3">
        <w:rPr>
          <w:rFonts w:cs="Arial"/>
        </w:rPr>
        <w:t>–</w:t>
      </w:r>
      <w:r w:rsidR="007B559C" w:rsidRPr="0042467A">
        <w:rPr>
          <w:rFonts w:cs="Arial"/>
        </w:rPr>
        <w:t>23 regulatory period</w:t>
      </w:r>
      <w:r w:rsidR="00340F59" w:rsidRPr="0042467A">
        <w:rPr>
          <w:rFonts w:cs="Arial"/>
        </w:rPr>
        <w:t>.</w:t>
      </w:r>
    </w:p>
    <w:p w14:paraId="1504A011" w14:textId="49AE921E" w:rsidR="001D2E8D" w:rsidRPr="009443C5" w:rsidRDefault="001852AF" w:rsidP="00116E55">
      <w:pPr>
        <w:pStyle w:val="Figuretitle"/>
        <w:tabs>
          <w:tab w:val="clear" w:pos="1134"/>
        </w:tabs>
        <w:spacing w:line="259" w:lineRule="auto"/>
        <w:ind w:left="993" w:hanging="993"/>
        <w:rPr>
          <w:i/>
          <w:sz w:val="22"/>
          <w:szCs w:val="22"/>
        </w:rPr>
      </w:pPr>
      <w:bookmarkStart w:id="61" w:name="_Ref111660326"/>
      <w:r w:rsidRPr="009443C5">
        <w:rPr>
          <w:i/>
          <w:noProof/>
          <w:sz w:val="22"/>
          <w:szCs w:val="22"/>
        </w:rPr>
        <w:lastRenderedPageBreak/>
        <w:drawing>
          <wp:anchor distT="0" distB="0" distL="114300" distR="114300" simplePos="0" relativeHeight="251658285" behindDoc="0" locked="0" layoutInCell="1" allowOverlap="1" wp14:anchorId="48C79D51" wp14:editId="1C70591C">
            <wp:simplePos x="0" y="0"/>
            <wp:positionH relativeFrom="column">
              <wp:posOffset>45720</wp:posOffset>
            </wp:positionH>
            <wp:positionV relativeFrom="paragraph">
              <wp:posOffset>457162</wp:posOffset>
            </wp:positionV>
            <wp:extent cx="5414645" cy="4680585"/>
            <wp:effectExtent l="0" t="0" r="0" b="0"/>
            <wp:wrapTopAndBottom/>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14645" cy="4680585"/>
                    </a:xfrm>
                    <a:prstGeom prst="rect">
                      <a:avLst/>
                    </a:prstGeom>
                  </pic:spPr>
                </pic:pic>
              </a:graphicData>
            </a:graphic>
            <wp14:sizeRelH relativeFrom="page">
              <wp14:pctWidth>0</wp14:pctWidth>
            </wp14:sizeRelH>
            <wp14:sizeRelV relativeFrom="page">
              <wp14:pctHeight>0</wp14:pctHeight>
            </wp14:sizeRelV>
          </wp:anchor>
        </w:drawing>
      </w:r>
      <w:bookmarkEnd w:id="61"/>
      <w:r w:rsidR="009443C5" w:rsidRPr="009443C5">
        <w:rPr>
          <w:i/>
          <w:sz w:val="22"/>
          <w:szCs w:val="22"/>
        </w:rPr>
        <w:t xml:space="preserve"> </w:t>
      </w:r>
      <w:r w:rsidR="00877DE6" w:rsidRPr="00877DE6">
        <w:rPr>
          <w:i/>
          <w:sz w:val="22"/>
          <w:szCs w:val="22"/>
        </w:rPr>
        <w:t xml:space="preserve">Figure </w:t>
      </w:r>
      <w:r w:rsidR="00EF41F8">
        <w:rPr>
          <w:i/>
          <w:sz w:val="22"/>
          <w:szCs w:val="22"/>
        </w:rPr>
        <w:t>5</w:t>
      </w:r>
      <w:r w:rsidR="001D2E8D" w:rsidRPr="00877DE6">
        <w:rPr>
          <w:i/>
          <w:sz w:val="22"/>
          <w:szCs w:val="22"/>
        </w:rPr>
        <w:t>: 20</w:t>
      </w:r>
      <w:r w:rsidR="001D2E8D" w:rsidRPr="009443C5">
        <w:rPr>
          <w:i/>
          <w:sz w:val="22"/>
          <w:szCs w:val="22"/>
        </w:rPr>
        <w:t>23</w:t>
      </w:r>
      <w:r w:rsidR="007D4EB3" w:rsidRPr="009443C5">
        <w:rPr>
          <w:i/>
          <w:sz w:val="22"/>
          <w:szCs w:val="22"/>
        </w:rPr>
        <w:t>–</w:t>
      </w:r>
      <w:r w:rsidR="001D2E8D" w:rsidRPr="009443C5">
        <w:rPr>
          <w:i/>
          <w:sz w:val="22"/>
          <w:szCs w:val="22"/>
        </w:rPr>
        <w:t xml:space="preserve">28 </w:t>
      </w:r>
      <w:r w:rsidR="005B04C6" w:rsidRPr="009443C5">
        <w:rPr>
          <w:i/>
          <w:sz w:val="22"/>
          <w:szCs w:val="22"/>
        </w:rPr>
        <w:t>c</w:t>
      </w:r>
      <w:r w:rsidR="001D2E8D" w:rsidRPr="009443C5">
        <w:rPr>
          <w:i/>
          <w:sz w:val="22"/>
          <w:szCs w:val="22"/>
        </w:rPr>
        <w:t xml:space="preserve">apital </w:t>
      </w:r>
      <w:r w:rsidR="005B04C6" w:rsidRPr="009443C5">
        <w:rPr>
          <w:i/>
          <w:sz w:val="22"/>
          <w:szCs w:val="22"/>
        </w:rPr>
        <w:t>i</w:t>
      </w:r>
      <w:r w:rsidR="001D2E8D" w:rsidRPr="009443C5">
        <w:rPr>
          <w:i/>
          <w:sz w:val="22"/>
          <w:szCs w:val="22"/>
        </w:rPr>
        <w:t xml:space="preserve">nvestment </w:t>
      </w:r>
      <w:r w:rsidR="005B04C6" w:rsidRPr="009443C5">
        <w:rPr>
          <w:i/>
          <w:sz w:val="22"/>
          <w:szCs w:val="22"/>
        </w:rPr>
        <w:t>p</w:t>
      </w:r>
      <w:r w:rsidR="001D2E8D" w:rsidRPr="009443C5">
        <w:rPr>
          <w:i/>
          <w:sz w:val="22"/>
          <w:szCs w:val="22"/>
        </w:rPr>
        <w:t>rogram comparison to 2018</w:t>
      </w:r>
      <w:r w:rsidR="007D4EB3" w:rsidRPr="009443C5">
        <w:rPr>
          <w:i/>
          <w:sz w:val="22"/>
          <w:szCs w:val="22"/>
        </w:rPr>
        <w:t>–</w:t>
      </w:r>
      <w:r w:rsidR="001D2E8D" w:rsidRPr="009443C5">
        <w:rPr>
          <w:i/>
          <w:sz w:val="22"/>
          <w:szCs w:val="22"/>
        </w:rPr>
        <w:t xml:space="preserve">23 </w:t>
      </w:r>
      <w:r w:rsidR="00D13660">
        <w:rPr>
          <w:i/>
          <w:sz w:val="22"/>
          <w:szCs w:val="22"/>
        </w:rPr>
        <w:t xml:space="preserve">determination </w:t>
      </w:r>
      <w:r w:rsidR="00536415" w:rsidRPr="009443C5">
        <w:rPr>
          <w:i/>
          <w:sz w:val="22"/>
          <w:szCs w:val="22"/>
        </w:rPr>
        <w:t>f</w:t>
      </w:r>
      <w:r w:rsidR="001D2E8D" w:rsidRPr="009443C5">
        <w:rPr>
          <w:i/>
          <w:sz w:val="22"/>
          <w:szCs w:val="22"/>
        </w:rPr>
        <w:t xml:space="preserve">orecast </w:t>
      </w:r>
      <w:r w:rsidR="00536415" w:rsidRPr="009443C5">
        <w:rPr>
          <w:i/>
          <w:sz w:val="22"/>
          <w:szCs w:val="22"/>
        </w:rPr>
        <w:t>and</w:t>
      </w:r>
      <w:r w:rsidR="001D2E8D" w:rsidRPr="009443C5">
        <w:rPr>
          <w:i/>
          <w:sz w:val="22"/>
          <w:szCs w:val="22"/>
        </w:rPr>
        <w:t xml:space="preserve"> </w:t>
      </w:r>
      <w:r w:rsidR="00536415" w:rsidRPr="009443C5">
        <w:rPr>
          <w:i/>
          <w:sz w:val="22"/>
          <w:szCs w:val="22"/>
        </w:rPr>
        <w:t>a</w:t>
      </w:r>
      <w:r w:rsidR="001D2E8D" w:rsidRPr="009443C5">
        <w:rPr>
          <w:i/>
          <w:sz w:val="22"/>
          <w:szCs w:val="22"/>
        </w:rPr>
        <w:t xml:space="preserve">ctuals by </w:t>
      </w:r>
      <w:r w:rsidR="00536415" w:rsidRPr="009443C5">
        <w:rPr>
          <w:i/>
          <w:sz w:val="22"/>
          <w:szCs w:val="22"/>
        </w:rPr>
        <w:t>c</w:t>
      </w:r>
      <w:r w:rsidR="001D2E8D" w:rsidRPr="009443C5">
        <w:rPr>
          <w:i/>
          <w:sz w:val="22"/>
          <w:szCs w:val="22"/>
        </w:rPr>
        <w:t xml:space="preserve">ost </w:t>
      </w:r>
      <w:r w:rsidR="00536415" w:rsidRPr="009443C5">
        <w:rPr>
          <w:i/>
          <w:sz w:val="22"/>
          <w:szCs w:val="22"/>
        </w:rPr>
        <w:t>d</w:t>
      </w:r>
      <w:r w:rsidR="001D2E8D" w:rsidRPr="009443C5">
        <w:rPr>
          <w:i/>
          <w:sz w:val="22"/>
          <w:szCs w:val="22"/>
        </w:rPr>
        <w:t>river</w:t>
      </w:r>
      <w:r w:rsidR="00176338" w:rsidRPr="009443C5">
        <w:rPr>
          <w:i/>
          <w:sz w:val="22"/>
          <w:szCs w:val="22"/>
        </w:rPr>
        <w:t xml:space="preserve"> </w:t>
      </w:r>
      <w:r w:rsidR="000B4F52" w:rsidRPr="000B4F52">
        <w:rPr>
          <w:rFonts w:cs="Arial"/>
          <w:bCs/>
          <w:i/>
          <w:sz w:val="22"/>
          <w:szCs w:val="22"/>
        </w:rPr>
        <w:t xml:space="preserve">($million </w:t>
      </w:r>
      <w:r w:rsidR="000B4F52" w:rsidRPr="009443C5">
        <w:rPr>
          <w:i/>
          <w:sz w:val="22"/>
          <w:szCs w:val="22"/>
        </w:rPr>
        <w:t>2022–23)</w:t>
      </w:r>
    </w:p>
    <w:p w14:paraId="38F153C4" w14:textId="690DCD1B" w:rsidR="00E111D0" w:rsidRDefault="00E111D0" w:rsidP="00E111D0">
      <w:pPr>
        <w:keepNext/>
        <w:spacing w:after="0"/>
        <w:rPr>
          <w:rFonts w:cs="Arial"/>
          <w:noProof/>
          <w:sz w:val="18"/>
          <w:szCs w:val="18"/>
        </w:rPr>
      </w:pPr>
    </w:p>
    <w:p w14:paraId="7A422194" w14:textId="0CD4DB96" w:rsidR="00865EA5" w:rsidRPr="00605747" w:rsidRDefault="00330BFE" w:rsidP="00762418">
      <w:pPr>
        <w:pStyle w:val="NbrHeading2"/>
        <w:rPr>
          <w:rFonts w:ascii="Arial" w:hAnsi="Arial" w:cs="Arial"/>
          <w:szCs w:val="32"/>
        </w:rPr>
      </w:pPr>
      <w:r>
        <w:t xml:space="preserve">6.3 </w:t>
      </w:r>
      <w:r w:rsidR="000E3A55" w:rsidRPr="00B72B8D">
        <w:t>Method for developing the capital expenditure</w:t>
      </w:r>
      <w:r w:rsidR="00BE2AD2">
        <w:t xml:space="preserve"> </w:t>
      </w:r>
      <w:r w:rsidR="000E3A55" w:rsidRPr="00B72B8D">
        <w:t>program</w:t>
      </w:r>
    </w:p>
    <w:p w14:paraId="2F7A9ADF" w14:textId="62F6C5FF" w:rsidR="000818DD" w:rsidRDefault="003E0C12" w:rsidP="00BF44BA">
      <w:pPr>
        <w:pStyle w:val="CommentText"/>
        <w:spacing w:line="259" w:lineRule="auto"/>
      </w:pPr>
      <w:r w:rsidRPr="003E0C12">
        <w:t xml:space="preserve">Our capital investment plan was developed through a </w:t>
      </w:r>
      <w:r>
        <w:t>robust</w:t>
      </w:r>
      <w:r w:rsidRPr="003E0C12">
        <w:t xml:space="preserve"> process that identified the investment required to meet our </w:t>
      </w:r>
      <w:r w:rsidR="00584B94">
        <w:t>5</w:t>
      </w:r>
      <w:r w:rsidRPr="003E0C12">
        <w:t xml:space="preserve"> customer outcomes</w:t>
      </w:r>
      <w:r w:rsidR="00A12614">
        <w:t xml:space="preserve"> and </w:t>
      </w:r>
      <w:r w:rsidR="00857D62">
        <w:t xml:space="preserve">the associated </w:t>
      </w:r>
      <w:r w:rsidR="00A12614">
        <w:t>output measures</w:t>
      </w:r>
      <w:r w:rsidRPr="003E0C12">
        <w:t>. The process included the development of reference strategies and master plans that inform the lifecycle management of assets</w:t>
      </w:r>
      <w:r w:rsidR="001332CD">
        <w:t>,</w:t>
      </w:r>
      <w:r w:rsidRPr="003E0C12">
        <w:t xml:space="preserve"> servic</w:t>
      </w:r>
      <w:r w:rsidR="0088554D">
        <w:t>ing of</w:t>
      </w:r>
      <w:r w:rsidRPr="003E0C12">
        <w:t xml:space="preserve"> growth, maintain</w:t>
      </w:r>
      <w:r w:rsidR="000748E0">
        <w:t>ing</w:t>
      </w:r>
      <w:r w:rsidRPr="003E0C12">
        <w:t xml:space="preserve"> service levels, and meeting regulatory compliance requirements.</w:t>
      </w:r>
    </w:p>
    <w:p w14:paraId="24078006" w14:textId="2AE593CE" w:rsidR="00605747" w:rsidRDefault="0037308E" w:rsidP="00BF44BA">
      <w:pPr>
        <w:pStyle w:val="CommentText"/>
        <w:spacing w:line="259" w:lineRule="auto"/>
      </w:pPr>
      <w:r w:rsidRPr="0037308E">
        <w:t xml:space="preserve">A common risk management and asset management framework has been applied </w:t>
      </w:r>
      <w:r w:rsidR="002D6FA5">
        <w:t>for</w:t>
      </w:r>
      <w:r w:rsidR="00CF4EE7">
        <w:t xml:space="preserve"> each</w:t>
      </w:r>
      <w:r w:rsidRPr="0037308E">
        <w:t xml:space="preserve"> service (</w:t>
      </w:r>
      <w:r w:rsidR="00960122">
        <w:t xml:space="preserve">for example, </w:t>
      </w:r>
      <w:r w:rsidRPr="0037308E">
        <w:t>water, sewer,</w:t>
      </w:r>
      <w:r w:rsidR="00417B30">
        <w:t xml:space="preserve"> </w:t>
      </w:r>
      <w:r w:rsidRPr="0037308E">
        <w:t>alternative water, business technology and services) and cost driver (</w:t>
      </w:r>
      <w:r w:rsidR="00960122">
        <w:t xml:space="preserve">for example, </w:t>
      </w:r>
      <w:r w:rsidRPr="0037308E">
        <w:t xml:space="preserve">maintain service levels, growth, improvements/ compliance) in the process outlined below. Refer to the </w:t>
      </w:r>
      <w:r w:rsidRPr="00F207F4">
        <w:rPr>
          <w:iCs/>
        </w:rPr>
        <w:t>Corporate Asset Management Plan</w:t>
      </w:r>
      <w:r w:rsidRPr="0037308E">
        <w:t xml:space="preserve"> for </w:t>
      </w:r>
      <w:r w:rsidR="00C943DC">
        <w:t xml:space="preserve">further </w:t>
      </w:r>
      <w:r w:rsidRPr="0037308E">
        <w:t>detail.</w:t>
      </w:r>
    </w:p>
    <w:p w14:paraId="67BE330E" w14:textId="4B600EB9" w:rsidR="00BB2771" w:rsidRPr="00DE3C03" w:rsidRDefault="00BB2771" w:rsidP="00BB2771">
      <w:pPr>
        <w:pStyle w:val="Heading3"/>
        <w:rPr>
          <w:rFonts w:eastAsiaTheme="minorEastAsia"/>
          <w:b w:val="0"/>
          <w:bCs/>
        </w:rPr>
      </w:pPr>
      <w:r w:rsidRPr="1E9DDBFB">
        <w:t xml:space="preserve">Risk-based </w:t>
      </w:r>
      <w:r w:rsidR="00EA53C9">
        <w:t>capital investment planning</w:t>
      </w:r>
    </w:p>
    <w:p w14:paraId="3BDB9462" w14:textId="7248F044" w:rsidR="00C85D4D" w:rsidRDefault="00C85D4D" w:rsidP="00C85D4D">
      <w:pPr>
        <w:pStyle w:val="BodyText"/>
      </w:pPr>
      <w:r>
        <w:t>A key objective when developing our capital investment plan was to deliver on customer outcomes</w:t>
      </w:r>
      <w:r w:rsidR="001A1D4B">
        <w:t>,</w:t>
      </w:r>
      <w:r>
        <w:t xml:space="preserve"> while managing risk and uncertainty</w:t>
      </w:r>
      <w:r w:rsidR="005860FD">
        <w:t>,</w:t>
      </w:r>
      <w:r>
        <w:t xml:space="preserve"> to ensure that our customers receive </w:t>
      </w:r>
      <w:r w:rsidR="00B111E5">
        <w:t>an affordable</w:t>
      </w:r>
      <w:r>
        <w:t xml:space="preserve"> service. To achieve this, our projects and programs of work were developed based on a risk-based capital investment planning process that is underpinned by value, risk appetite and our customer outcomes. </w:t>
      </w:r>
    </w:p>
    <w:p w14:paraId="4B257DED" w14:textId="392308D8" w:rsidR="00A212E6" w:rsidRDefault="00A212E6" w:rsidP="00A212E6">
      <w:pPr>
        <w:pStyle w:val="Heading4"/>
      </w:pPr>
      <w:r>
        <w:lastRenderedPageBreak/>
        <w:t>Risk assessment and modelling</w:t>
      </w:r>
    </w:p>
    <w:p w14:paraId="4B7842F6" w14:textId="44641170" w:rsidR="008069CD" w:rsidRDefault="00C85D4D" w:rsidP="00C85D4D">
      <w:pPr>
        <w:pStyle w:val="BodyText"/>
      </w:pPr>
      <w:r>
        <w:t>We conducted risk assessments on existing and proposed future assets</w:t>
      </w:r>
      <w:r w:rsidR="001A1D4B">
        <w:t>,</w:t>
      </w:r>
      <w:r>
        <w:t xml:space="preserve"> applying a common risk management framework at both a catchment level, and an individual asset level. We </w:t>
      </w:r>
      <w:r w:rsidR="00C121DE">
        <w:t xml:space="preserve">also </w:t>
      </w:r>
      <w:r>
        <w:t>use</w:t>
      </w:r>
      <w:r w:rsidR="008B1C44">
        <w:t xml:space="preserve">d comprehensive </w:t>
      </w:r>
      <w:r>
        <w:t xml:space="preserve">data sources </w:t>
      </w:r>
      <w:r w:rsidR="007B32E3">
        <w:t xml:space="preserve">and </w:t>
      </w:r>
      <w:r w:rsidR="00716411">
        <w:t xml:space="preserve">various </w:t>
      </w:r>
      <w:r>
        <w:t>techniques</w:t>
      </w:r>
      <w:r w:rsidR="00333652">
        <w:t>,</w:t>
      </w:r>
      <w:r>
        <w:t xml:space="preserve"> such as hydraulic modelling, risk profiling, geospatial analysis and data science </w:t>
      </w:r>
      <w:r w:rsidR="00F3080E">
        <w:t>methods,</w:t>
      </w:r>
      <w:r w:rsidR="002C1C53">
        <w:t xml:space="preserve"> </w:t>
      </w:r>
      <w:r w:rsidR="007B32E3">
        <w:t xml:space="preserve">to support our analysis. </w:t>
      </w:r>
      <w:r w:rsidR="009835AB">
        <w:t>Through our analysis, we were able to inform our capital investment priorities for the 2023</w:t>
      </w:r>
      <w:r w:rsidR="007D4EB3">
        <w:t>–</w:t>
      </w:r>
      <w:r w:rsidR="009835AB">
        <w:t>28 regulatory period and beyond.</w:t>
      </w:r>
    </w:p>
    <w:p w14:paraId="59BC38E7" w14:textId="7B8D651E" w:rsidR="006431F6" w:rsidRDefault="006431F6" w:rsidP="006431F6">
      <w:pPr>
        <w:pStyle w:val="Heading4"/>
      </w:pPr>
      <w:r>
        <w:t>Critical asset reviews</w:t>
      </w:r>
    </w:p>
    <w:p w14:paraId="1953ADD4" w14:textId="4DFDDA17" w:rsidR="00D34A60" w:rsidRDefault="009835AB" w:rsidP="00C85D4D">
      <w:pPr>
        <w:pStyle w:val="BodyText"/>
      </w:pPr>
      <w:r>
        <w:t>F</w:t>
      </w:r>
      <w:r w:rsidR="00C85D4D">
        <w:t>ollowing a number of critical asset failure incidents in 2017</w:t>
      </w:r>
      <w:r w:rsidR="007D4EB3">
        <w:t>–</w:t>
      </w:r>
      <w:r w:rsidR="00C85D4D">
        <w:t xml:space="preserve">2018, we conducted a critical asset review using the criticality matrix </w:t>
      </w:r>
      <w:r w:rsidR="008A7931">
        <w:t xml:space="preserve">outlined </w:t>
      </w:r>
      <w:r w:rsidR="00C85D4D">
        <w:t xml:space="preserve">in our corporate risk framework, to identify and locate our critical assets. These assets are regarded as critical assets because if </w:t>
      </w:r>
      <w:r w:rsidR="008A7931">
        <w:t>(</w:t>
      </w:r>
      <w:r w:rsidR="00C85D4D">
        <w:t>and when</w:t>
      </w:r>
      <w:r w:rsidR="008A7931">
        <w:t>)</w:t>
      </w:r>
      <w:r w:rsidR="00C85D4D">
        <w:t xml:space="preserve"> they fail, the adverse consequence to customers, community, and environment would be regarded as </w:t>
      </w:r>
      <w:r w:rsidR="00612583">
        <w:t>‘</w:t>
      </w:r>
      <w:r w:rsidR="00C85D4D">
        <w:t>hig</w:t>
      </w:r>
      <w:r w:rsidR="006B5F37">
        <w:t>h</w:t>
      </w:r>
      <w:r w:rsidR="00612583">
        <w:t>’</w:t>
      </w:r>
      <w:r w:rsidR="00C85D4D">
        <w:t xml:space="preserve"> to </w:t>
      </w:r>
      <w:r w:rsidR="00612583">
        <w:t>‘</w:t>
      </w:r>
      <w:r w:rsidR="00C85D4D">
        <w:t>catastrophic</w:t>
      </w:r>
      <w:r w:rsidR="00612583">
        <w:t>’</w:t>
      </w:r>
      <w:r w:rsidR="00C85D4D">
        <w:t xml:space="preserve">. </w:t>
      </w:r>
    </w:p>
    <w:p w14:paraId="7A887661" w14:textId="0844BE11" w:rsidR="00521EE8" w:rsidRDefault="000906EA" w:rsidP="00C85D4D">
      <w:pPr>
        <w:pStyle w:val="BodyText"/>
      </w:pPr>
      <w:r>
        <w:t>By j</w:t>
      </w:r>
      <w:r w:rsidR="00D34A60">
        <w:t>oining</w:t>
      </w:r>
      <w:r w:rsidR="00C85D4D">
        <w:t xml:space="preserve"> the critical </w:t>
      </w:r>
      <w:r w:rsidR="006D1C2F">
        <w:t xml:space="preserve">asset </w:t>
      </w:r>
      <w:r w:rsidR="00C85D4D">
        <w:t xml:space="preserve">data </w:t>
      </w:r>
      <w:r w:rsidR="0011152F">
        <w:t>obtained</w:t>
      </w:r>
      <w:r w:rsidR="00D405AD">
        <w:t xml:space="preserve"> from the review</w:t>
      </w:r>
      <w:r w:rsidR="00C85D4D">
        <w:t xml:space="preserve"> with asset condition and failure history</w:t>
      </w:r>
      <w:r w:rsidR="00882760">
        <w:t xml:space="preserve"> data</w:t>
      </w:r>
      <w:r>
        <w:t>,</w:t>
      </w:r>
      <w:r w:rsidR="00C85D4D">
        <w:t xml:space="preserve"> </w:t>
      </w:r>
      <w:r w:rsidR="00D34A60">
        <w:t xml:space="preserve">we </w:t>
      </w:r>
      <w:r w:rsidR="00521EE8">
        <w:t>can</w:t>
      </w:r>
      <w:r w:rsidR="00C85D4D">
        <w:t xml:space="preserve"> form a full </w:t>
      </w:r>
      <w:r w:rsidR="00C838E3">
        <w:t>understanding</w:t>
      </w:r>
      <w:r w:rsidR="00C85D4D">
        <w:t xml:space="preserve"> of </w:t>
      </w:r>
      <w:r w:rsidR="00C838E3">
        <w:t xml:space="preserve">an </w:t>
      </w:r>
      <w:r w:rsidR="00C85D4D">
        <w:t>asset</w:t>
      </w:r>
      <w:r w:rsidR="00612583">
        <w:t>’</w:t>
      </w:r>
      <w:r w:rsidR="00C838E3">
        <w:t>s</w:t>
      </w:r>
      <w:r w:rsidR="00C85D4D">
        <w:t xml:space="preserve"> risk profile</w:t>
      </w:r>
      <w:r w:rsidR="00EF6DE5">
        <w:t>,</w:t>
      </w:r>
      <w:r w:rsidR="00C85D4D">
        <w:t xml:space="preserve"> which in turn enables us to prioritise our investments on critical assets that have a high likelihood </w:t>
      </w:r>
      <w:r w:rsidR="00C838E3">
        <w:t>(</w:t>
      </w:r>
      <w:r w:rsidR="00C85D4D">
        <w:t>or are at imminent risk</w:t>
      </w:r>
      <w:r w:rsidR="00521EE8">
        <w:t>)</w:t>
      </w:r>
      <w:r w:rsidR="00C85D4D">
        <w:t xml:space="preserve"> of failure. </w:t>
      </w:r>
    </w:p>
    <w:p w14:paraId="13226E16" w14:textId="35D5A7A6" w:rsidR="00C85D4D" w:rsidRDefault="00C85D4D" w:rsidP="00C85D4D">
      <w:pPr>
        <w:pStyle w:val="BodyText"/>
      </w:pPr>
      <w:r>
        <w:t xml:space="preserve">As critical asset risk profiling </w:t>
      </w:r>
      <w:r w:rsidR="001E73B3">
        <w:t>evolves</w:t>
      </w:r>
      <w:r>
        <w:t xml:space="preserve"> over the regulatory period</w:t>
      </w:r>
      <w:r w:rsidR="005D7361">
        <w:t>, a</w:t>
      </w:r>
      <w:r w:rsidR="00E5614C">
        <w:t>nd</w:t>
      </w:r>
      <w:r>
        <w:t xml:space="preserve"> as asset conditions change and become known from </w:t>
      </w:r>
      <w:r w:rsidR="001E73B3">
        <w:t xml:space="preserve">ongoing </w:t>
      </w:r>
      <w:r>
        <w:t xml:space="preserve">asset condition assessments, we will continually update </w:t>
      </w:r>
      <w:r w:rsidR="00F13946">
        <w:t xml:space="preserve">asset </w:t>
      </w:r>
      <w:r>
        <w:t xml:space="preserve">risk </w:t>
      </w:r>
      <w:r w:rsidR="00F13946">
        <w:t>profiles</w:t>
      </w:r>
      <w:r>
        <w:t xml:space="preserve"> and reprioritise investment in individual projects</w:t>
      </w:r>
      <w:r w:rsidR="00230B8E">
        <w:t>,</w:t>
      </w:r>
      <w:r w:rsidR="006E7CB7">
        <w:t xml:space="preserve"> </w:t>
      </w:r>
      <w:r w:rsidR="00F13946">
        <w:t>when considered prudent to do so</w:t>
      </w:r>
      <w:r>
        <w:t xml:space="preserve">. This </w:t>
      </w:r>
      <w:r w:rsidR="00A045B9">
        <w:t>approach to</w:t>
      </w:r>
      <w:r>
        <w:t xml:space="preserve"> critical asset management</w:t>
      </w:r>
      <w:r w:rsidR="00230B8E">
        <w:t>,</w:t>
      </w:r>
      <w:r>
        <w:t xml:space="preserve"> ensures we continue to comply with regulatory requirements </w:t>
      </w:r>
      <w:r w:rsidR="00397618">
        <w:t xml:space="preserve">and deliver reliable services </w:t>
      </w:r>
      <w:r w:rsidR="009E7D60">
        <w:t>to customers.</w:t>
      </w:r>
      <w:r w:rsidR="00A1315F">
        <w:t xml:space="preserve"> </w:t>
      </w:r>
    </w:p>
    <w:p w14:paraId="74C3E894" w14:textId="1F99EF93" w:rsidR="007B3D48" w:rsidRDefault="007B3D48" w:rsidP="007B3D48">
      <w:pPr>
        <w:pStyle w:val="Heading4"/>
      </w:pPr>
      <w:r>
        <w:t>Non-critical assets</w:t>
      </w:r>
    </w:p>
    <w:p w14:paraId="6FA910E2" w14:textId="29D47B75" w:rsidR="002603F1" w:rsidRDefault="00C85D4D" w:rsidP="00CF2AFB">
      <w:pPr>
        <w:pStyle w:val="BodyText"/>
      </w:pPr>
      <w:r>
        <w:t xml:space="preserve">In </w:t>
      </w:r>
      <w:r w:rsidR="00E075C0">
        <w:t xml:space="preserve">terms of </w:t>
      </w:r>
      <w:r w:rsidR="00511E49">
        <w:t>our non-critical assets</w:t>
      </w:r>
      <w:r>
        <w:t xml:space="preserve">, we will continue to operate and maintain assets to deliver customer outcomes and keep failure rates and impacts within </w:t>
      </w:r>
      <w:r w:rsidR="0043332B">
        <w:t>agreed</w:t>
      </w:r>
      <w:r>
        <w:t xml:space="preserve"> customer service levels. This will be monitored and measured by the customer disruption performance target</w:t>
      </w:r>
      <w:r w:rsidR="00720E54">
        <w:t>:</w:t>
      </w:r>
      <w:r>
        <w:t xml:space="preserve"> </w:t>
      </w:r>
      <w:r w:rsidR="00BC2911">
        <w:t>‘</w:t>
      </w:r>
      <w:r w:rsidRPr="00364AE2">
        <w:rPr>
          <w:i/>
        </w:rPr>
        <w:t xml:space="preserve">Customers experiencing more than 5 unplanned disruptions in a </w:t>
      </w:r>
      <w:r w:rsidR="008C17DE">
        <w:rPr>
          <w:i/>
        </w:rPr>
        <w:br/>
      </w:r>
      <w:r w:rsidR="00A84D86" w:rsidRPr="00364AE2">
        <w:rPr>
          <w:i/>
        </w:rPr>
        <w:t>12-month</w:t>
      </w:r>
      <w:r w:rsidRPr="00364AE2">
        <w:rPr>
          <w:i/>
        </w:rPr>
        <w:t xml:space="preserve"> period (water, sewer and water quality)</w:t>
      </w:r>
      <w:r w:rsidR="00BC2911">
        <w:t>’</w:t>
      </w:r>
      <w:r w:rsidR="002603F1">
        <w:t xml:space="preserve"> as outlined in the Outcomes section</w:t>
      </w:r>
      <w:r>
        <w:t xml:space="preserve">. </w:t>
      </w:r>
    </w:p>
    <w:p w14:paraId="3BB8AC0A" w14:textId="2B992C2D" w:rsidR="00CF2AFB" w:rsidRPr="00CF2AFB" w:rsidRDefault="00C85D4D" w:rsidP="00CF2AFB">
      <w:pPr>
        <w:pStyle w:val="BodyText"/>
      </w:pPr>
      <w:r>
        <w:t>With an ag</w:t>
      </w:r>
      <w:r w:rsidR="00C33AC5">
        <w:t>e</w:t>
      </w:r>
      <w:r>
        <w:t xml:space="preserve">ing asset base, climate change, and improved technology in detecting and discovering asset failures </w:t>
      </w:r>
      <w:r w:rsidR="00F05272">
        <w:t>that</w:t>
      </w:r>
      <w:r>
        <w:t xml:space="preserve"> historically would be </w:t>
      </w:r>
      <w:r w:rsidR="00F05272">
        <w:t>undetect</w:t>
      </w:r>
      <w:r w:rsidR="00F9042A">
        <w:t>e</w:t>
      </w:r>
      <w:r w:rsidR="00F05272">
        <w:t>d</w:t>
      </w:r>
      <w:r>
        <w:t xml:space="preserve">, we are forecasting there will be an increasing </w:t>
      </w:r>
      <w:r w:rsidRPr="00656B0C">
        <w:t xml:space="preserve">need to </w:t>
      </w:r>
      <w:r w:rsidR="00B36EA4" w:rsidRPr="00656B0C">
        <w:t xml:space="preserve">invest </w:t>
      </w:r>
      <w:r w:rsidR="00656B0C" w:rsidRPr="00656B0C">
        <w:t>so</w:t>
      </w:r>
      <w:r w:rsidR="00656B0C">
        <w:t xml:space="preserve"> we can</w:t>
      </w:r>
      <w:r w:rsidR="00B36EA4">
        <w:t xml:space="preserve"> </w:t>
      </w:r>
      <w:r>
        <w:t xml:space="preserve">maintain customer service levels. </w:t>
      </w:r>
      <w:r w:rsidR="00527DA9">
        <w:t>Through our investments</w:t>
      </w:r>
      <w:r w:rsidR="001872BC">
        <w:t>,</w:t>
      </w:r>
      <w:r w:rsidR="00781C86">
        <w:t xml:space="preserve"> we</w:t>
      </w:r>
      <w:r>
        <w:t xml:space="preserve"> are proposing to leverage advancements in technology, information and digital engineering to manage th</w:t>
      </w:r>
      <w:r w:rsidR="00565ECE">
        <w:t>ese</w:t>
      </w:r>
      <w:r>
        <w:t xml:space="preserve"> risk</w:t>
      </w:r>
      <w:r w:rsidR="00622DA7">
        <w:t>s</w:t>
      </w:r>
      <w:r>
        <w:t xml:space="preserve"> through early detection and rectification</w:t>
      </w:r>
      <w:r w:rsidR="00344031">
        <w:t>,</w:t>
      </w:r>
      <w:r>
        <w:t xml:space="preserve"> to minimise customer impacts</w:t>
      </w:r>
      <w:r w:rsidR="00955349">
        <w:t>. This proactive approach to asset management will</w:t>
      </w:r>
      <w:r>
        <w:t xml:space="preserve"> keep our investments </w:t>
      </w:r>
      <w:r w:rsidR="00983989">
        <w:t>i</w:t>
      </w:r>
      <w:r>
        <w:t>n non</w:t>
      </w:r>
      <w:r w:rsidR="00983989">
        <w:t>-</w:t>
      </w:r>
      <w:r>
        <w:t>critical asset management at relatively stable level</w:t>
      </w:r>
      <w:r w:rsidR="00983989">
        <w:t>s</w:t>
      </w:r>
      <w:r>
        <w:t>.</w:t>
      </w:r>
      <w:r w:rsidR="00A1315F">
        <w:t xml:space="preserve"> </w:t>
      </w:r>
    </w:p>
    <w:p w14:paraId="500A56CB" w14:textId="41F1694D" w:rsidR="000E3A55" w:rsidRPr="00360131" w:rsidRDefault="000E3A55" w:rsidP="00A62088">
      <w:pPr>
        <w:pStyle w:val="Heading3"/>
      </w:pPr>
      <w:r w:rsidRPr="00A62088">
        <w:t xml:space="preserve">Investment </w:t>
      </w:r>
      <w:r w:rsidRPr="00360131">
        <w:t>portfolio development</w:t>
      </w:r>
      <w:r w:rsidR="008F58EC" w:rsidRPr="00360131">
        <w:t xml:space="preserve"> and prioritisation</w:t>
      </w:r>
    </w:p>
    <w:p w14:paraId="5502425B" w14:textId="31A0A5CF" w:rsidR="00D94EE5" w:rsidRDefault="00D94EE5" w:rsidP="00D94EE5">
      <w:pPr>
        <w:rPr>
          <w:rFonts w:cs="Arial"/>
        </w:rPr>
      </w:pPr>
      <w:r w:rsidRPr="1E9DDBFB">
        <w:rPr>
          <w:rFonts w:cs="Arial"/>
        </w:rPr>
        <w:t>Our</w:t>
      </w:r>
      <w:r>
        <w:rPr>
          <w:rFonts w:cs="Arial"/>
        </w:rPr>
        <w:t xml:space="preserve"> investment portfolios were developed </w:t>
      </w:r>
      <w:r w:rsidRPr="1E9DDBFB">
        <w:rPr>
          <w:rFonts w:cs="Arial"/>
        </w:rPr>
        <w:t xml:space="preserve">based on a set of common objectives and cost drivers within each service area. Each </w:t>
      </w:r>
      <w:r>
        <w:rPr>
          <w:rFonts w:cs="Arial"/>
        </w:rPr>
        <w:t xml:space="preserve">investment </w:t>
      </w:r>
      <w:r w:rsidRPr="1E9DDBFB">
        <w:rPr>
          <w:rFonts w:cs="Arial"/>
        </w:rPr>
        <w:t>portfolio is made up of a set of projects and programs</w:t>
      </w:r>
      <w:r>
        <w:rPr>
          <w:rFonts w:cs="Arial"/>
        </w:rPr>
        <w:t xml:space="preserve"> of work</w:t>
      </w:r>
      <w:r w:rsidRPr="1E9DDBFB">
        <w:rPr>
          <w:rFonts w:cs="Arial"/>
        </w:rPr>
        <w:t xml:space="preserve"> that were identified and prioritised </w:t>
      </w:r>
      <w:r>
        <w:rPr>
          <w:rFonts w:cs="Arial"/>
        </w:rPr>
        <w:t>using an iterative process of review and challenge to ensure capital expenditure was prudent and efficient</w:t>
      </w:r>
      <w:r w:rsidR="000E783B">
        <w:rPr>
          <w:rFonts w:cs="Arial"/>
        </w:rPr>
        <w:t>.</w:t>
      </w:r>
      <w:r>
        <w:rPr>
          <w:rFonts w:cs="Arial"/>
        </w:rPr>
        <w:t xml:space="preserve"> </w:t>
      </w:r>
    </w:p>
    <w:p w14:paraId="61909FD5" w14:textId="1ABF73C5" w:rsidR="00645433" w:rsidRDefault="00645433" w:rsidP="00935963">
      <w:pPr>
        <w:pStyle w:val="Heading4"/>
      </w:pPr>
      <w:r>
        <w:lastRenderedPageBreak/>
        <w:t>Investment scenarios</w:t>
      </w:r>
    </w:p>
    <w:p w14:paraId="65E0AEC2" w14:textId="5790EDD3" w:rsidR="000E783B" w:rsidRDefault="000E783B" w:rsidP="000E783B">
      <w:pPr>
        <w:pStyle w:val="BodyText"/>
      </w:pPr>
      <w:r>
        <w:t xml:space="preserve">Once our investment needs were identified through our risk-based capital investment planning process, we grouped our </w:t>
      </w:r>
      <w:r w:rsidRPr="0042467A">
        <w:rPr>
          <w:rFonts w:cs="Arial"/>
        </w:rPr>
        <w:t>2023</w:t>
      </w:r>
      <w:r w:rsidR="007D4EB3">
        <w:rPr>
          <w:rFonts w:cs="Arial"/>
        </w:rPr>
        <w:t>–</w:t>
      </w:r>
      <w:r w:rsidRPr="0042467A">
        <w:rPr>
          <w:rFonts w:cs="Arial"/>
        </w:rPr>
        <w:t xml:space="preserve">28 </w:t>
      </w:r>
      <w:r>
        <w:t xml:space="preserve">capital investment program into investment portfolios by service type and cost drivers. We also </w:t>
      </w:r>
      <w:r w:rsidRPr="009727D0">
        <w:t>establis</w:t>
      </w:r>
      <w:r>
        <w:t xml:space="preserve">hed </w:t>
      </w:r>
      <w:r w:rsidRPr="0091147A">
        <w:t>ownership and accountability for each portfolio for planning and delivery purposes.</w:t>
      </w:r>
      <w:r w:rsidR="00A1315F">
        <w:t xml:space="preserve"> </w:t>
      </w:r>
    </w:p>
    <w:p w14:paraId="05FAC17B" w14:textId="2AD112CB" w:rsidR="0022525C" w:rsidRDefault="000D4DF5" w:rsidP="0022525C">
      <w:pPr>
        <w:pStyle w:val="BodyText"/>
      </w:pPr>
      <w:r>
        <w:t>We then</w:t>
      </w:r>
      <w:r w:rsidR="0070034A" w:rsidRPr="0091147A">
        <w:t xml:space="preserve"> developed</w:t>
      </w:r>
      <w:r w:rsidR="0022525C" w:rsidRPr="0091147A">
        <w:t xml:space="preserve"> a range</w:t>
      </w:r>
      <w:r w:rsidR="0022525C">
        <w:t xml:space="preserve"> of investment scenarios </w:t>
      </w:r>
      <w:r w:rsidR="0009724E">
        <w:t xml:space="preserve">(as outlined in the Management section) </w:t>
      </w:r>
      <w:r w:rsidR="007D610A">
        <w:t>based on</w:t>
      </w:r>
      <w:r w:rsidR="0009724E">
        <w:t xml:space="preserve"> </w:t>
      </w:r>
      <w:r w:rsidR="00FB7DE5">
        <w:t>different</w:t>
      </w:r>
      <w:r w:rsidR="0022525C">
        <w:t xml:space="preserve"> financial and resourcing constraints</w:t>
      </w:r>
      <w:r w:rsidR="0009724E">
        <w:t xml:space="preserve">. This allowed us </w:t>
      </w:r>
      <w:r w:rsidR="0022525C">
        <w:t>to better understand the risk impact associated with a reduction in investment in the 2023</w:t>
      </w:r>
      <w:r w:rsidR="007D4EB3">
        <w:t>–</w:t>
      </w:r>
      <w:r w:rsidR="0022525C">
        <w:t>28</w:t>
      </w:r>
      <w:r w:rsidR="005C5D8A">
        <w:t xml:space="preserve"> </w:t>
      </w:r>
      <w:r w:rsidR="0022525C">
        <w:t xml:space="preserve">regulatory period, broadly broken into </w:t>
      </w:r>
      <w:r w:rsidR="00584B94">
        <w:t>3</w:t>
      </w:r>
      <w:r w:rsidR="0022525C">
        <w:t xml:space="preserve"> scenarios: </w:t>
      </w:r>
    </w:p>
    <w:p w14:paraId="7FDD4321" w14:textId="4CF1FA82" w:rsidR="0022525C" w:rsidRDefault="0022525C" w:rsidP="000D7F02">
      <w:pPr>
        <w:pStyle w:val="BodyText"/>
        <w:ind w:left="426" w:hanging="426"/>
      </w:pPr>
      <w:r>
        <w:t>1.</w:t>
      </w:r>
      <w:r>
        <w:tab/>
      </w:r>
      <w:r w:rsidR="004522F5">
        <w:t>l</w:t>
      </w:r>
      <w:r>
        <w:t>ow</w:t>
      </w:r>
      <w:r w:rsidR="00E16562">
        <w:t>-</w:t>
      </w:r>
      <w:r>
        <w:t>risk</w:t>
      </w:r>
      <w:r w:rsidR="00E27178">
        <w:t>/</w:t>
      </w:r>
      <w:r w:rsidR="0033204A">
        <w:t>h</w:t>
      </w:r>
      <w:r>
        <w:t>igh</w:t>
      </w:r>
      <w:r w:rsidR="00E16562">
        <w:t>-</w:t>
      </w:r>
      <w:r>
        <w:t>cost</w:t>
      </w:r>
    </w:p>
    <w:p w14:paraId="666532B6" w14:textId="58ADC0D4" w:rsidR="0022525C" w:rsidRDefault="0022525C" w:rsidP="000D7F02">
      <w:pPr>
        <w:pStyle w:val="BodyText"/>
        <w:ind w:left="426" w:hanging="426"/>
      </w:pPr>
      <w:r>
        <w:t>2.</w:t>
      </w:r>
      <w:r>
        <w:tab/>
      </w:r>
      <w:r w:rsidR="004522F5">
        <w:t>b</w:t>
      </w:r>
      <w:r>
        <w:t>alanced</w:t>
      </w:r>
      <w:r w:rsidR="00E16562">
        <w:t>-</w:t>
      </w:r>
      <w:r>
        <w:t>risk</w:t>
      </w:r>
      <w:r w:rsidR="00E27178">
        <w:t>/</w:t>
      </w:r>
      <w:r w:rsidR="0033204A">
        <w:t>m</w:t>
      </w:r>
      <w:r>
        <w:t>edium</w:t>
      </w:r>
      <w:r w:rsidR="00E16562">
        <w:t>-</w:t>
      </w:r>
      <w:r>
        <w:t xml:space="preserve">cost </w:t>
      </w:r>
    </w:p>
    <w:p w14:paraId="53575558" w14:textId="64D6CFF1" w:rsidR="000E3A55" w:rsidRDefault="0022525C" w:rsidP="000D7F02">
      <w:pPr>
        <w:pStyle w:val="BodyText"/>
        <w:ind w:left="426" w:hanging="426"/>
      </w:pPr>
      <w:r>
        <w:t>3.</w:t>
      </w:r>
      <w:r>
        <w:tab/>
      </w:r>
      <w:r w:rsidR="004522F5">
        <w:t>h</w:t>
      </w:r>
      <w:r w:rsidR="000E3A55">
        <w:t>igh</w:t>
      </w:r>
      <w:r w:rsidR="008A781C">
        <w:t>-</w:t>
      </w:r>
      <w:r w:rsidR="000E3A55">
        <w:t>risk</w:t>
      </w:r>
      <w:r w:rsidR="00E27178">
        <w:t>/</w:t>
      </w:r>
      <w:r w:rsidR="0033204A">
        <w:t>l</w:t>
      </w:r>
      <w:r w:rsidR="000E3A55">
        <w:t>ow</w:t>
      </w:r>
      <w:r w:rsidR="008A781C">
        <w:t>-</w:t>
      </w:r>
      <w:r w:rsidR="000E3A55">
        <w:t>cost</w:t>
      </w:r>
      <w:r w:rsidR="0023395C">
        <w:t>.</w:t>
      </w:r>
    </w:p>
    <w:p w14:paraId="5871FA04" w14:textId="5664B2AC" w:rsidR="000E3A55" w:rsidRDefault="007D610A" w:rsidP="0022525C">
      <w:pPr>
        <w:pStyle w:val="BodyText"/>
      </w:pPr>
      <w:r>
        <w:t>E</w:t>
      </w:r>
      <w:r w:rsidR="000E3A55">
        <w:t>ach scenario outlin</w:t>
      </w:r>
      <w:r>
        <w:t>ed</w:t>
      </w:r>
      <w:r w:rsidR="000E3A55">
        <w:t xml:space="preserve"> the extent of risk mitigation and asset performance given the level of investment, as well as the trade-offs and consequences of selecting the investment scenario.</w:t>
      </w:r>
    </w:p>
    <w:p w14:paraId="0EC7960C" w14:textId="1FF4327C" w:rsidR="0091147A" w:rsidRDefault="0022525C" w:rsidP="0022525C">
      <w:pPr>
        <w:pStyle w:val="BodyText"/>
      </w:pPr>
      <w:r>
        <w:t xml:space="preserve">All </w:t>
      </w:r>
      <w:r w:rsidR="00874F50">
        <w:t xml:space="preserve">our </w:t>
      </w:r>
      <w:r>
        <w:t xml:space="preserve">investment portfolios and their associated investment scenarios </w:t>
      </w:r>
      <w:r w:rsidR="007D610A">
        <w:t>were</w:t>
      </w:r>
      <w:r>
        <w:t xml:space="preserve"> then reviewed by </w:t>
      </w:r>
      <w:r w:rsidR="007E14F9">
        <w:t>our</w:t>
      </w:r>
      <w:r w:rsidR="00E14B66">
        <w:t xml:space="preserve"> </w:t>
      </w:r>
      <w:r>
        <w:t>Strateg</w:t>
      </w:r>
      <w:r w:rsidR="007D610A">
        <w:t>ic</w:t>
      </w:r>
      <w:r>
        <w:t xml:space="preserve"> Asset Management Committee and </w:t>
      </w:r>
      <w:r w:rsidR="004522F5">
        <w:t>e</w:t>
      </w:r>
      <w:r>
        <w:t xml:space="preserve">xecutive, to provide a balanced and optimised view across competing needs and drivers. </w:t>
      </w:r>
    </w:p>
    <w:p w14:paraId="27915E9F" w14:textId="43FA1882" w:rsidR="0022525C" w:rsidRDefault="0022525C" w:rsidP="0022525C">
      <w:pPr>
        <w:pStyle w:val="BodyText"/>
      </w:pPr>
      <w:r>
        <w:t xml:space="preserve">The final capital investment scenario for each investment portfolio </w:t>
      </w:r>
      <w:r w:rsidRPr="009727D0">
        <w:t>was</w:t>
      </w:r>
      <w:r>
        <w:t xml:space="preserve"> selected based on our risk mitigation processes, risk appetite, regulatory obligations and strategic objectives. For example, we have no</w:t>
      </w:r>
      <w:r w:rsidR="00E14B66">
        <w:t xml:space="preserve"> (or very little)</w:t>
      </w:r>
      <w:r>
        <w:t xml:space="preserve"> risk appetite for safety or regulatory compliance and obligations. Benefits and customer outcomes to be delivered through each investment portfolio </w:t>
      </w:r>
      <w:r w:rsidRPr="00A6439A">
        <w:t>were</w:t>
      </w:r>
      <w:r>
        <w:t xml:space="preserve"> also carefully considered </w:t>
      </w:r>
      <w:r w:rsidR="00715AAE">
        <w:t>when informing</w:t>
      </w:r>
      <w:r>
        <w:t xml:space="preserve"> the decision-making process.</w:t>
      </w:r>
    </w:p>
    <w:p w14:paraId="37E0DC58" w14:textId="6C7596F6" w:rsidR="00740ACE" w:rsidRDefault="0022525C" w:rsidP="00740ACE">
      <w:pPr>
        <w:pStyle w:val="BodyText"/>
      </w:pPr>
      <w:r>
        <w:t xml:space="preserve">Once the final capital investment scenario </w:t>
      </w:r>
      <w:r w:rsidR="004F5AD0">
        <w:t>was</w:t>
      </w:r>
      <w:r>
        <w:t xml:space="preserve"> selected </w:t>
      </w:r>
      <w:r w:rsidR="0091147A">
        <w:t>for each</w:t>
      </w:r>
      <w:r>
        <w:t xml:space="preserve"> investment portfolio, project and program </w:t>
      </w:r>
      <w:r w:rsidR="001F129D">
        <w:t>schedules</w:t>
      </w:r>
      <w:r>
        <w:t xml:space="preserve"> </w:t>
      </w:r>
      <w:r w:rsidR="00400C68">
        <w:t>were</w:t>
      </w:r>
      <w:r>
        <w:t xml:space="preserve"> finalised, </w:t>
      </w:r>
      <w:r w:rsidR="00C51EC0">
        <w:t>and</w:t>
      </w:r>
      <w:r>
        <w:t xml:space="preserve"> </w:t>
      </w:r>
      <w:r w:rsidR="00400C68">
        <w:t xml:space="preserve">the </w:t>
      </w:r>
      <w:r>
        <w:t>associated risks to meeting performance target</w:t>
      </w:r>
      <w:r w:rsidR="00C51EC0">
        <w:t>s were</w:t>
      </w:r>
      <w:r>
        <w:t xml:space="preserve"> captured for ongoing monitoring and management.</w:t>
      </w:r>
    </w:p>
    <w:p w14:paraId="4C1E8970" w14:textId="77777777" w:rsidR="00BB2771" w:rsidRPr="001A6657" w:rsidRDefault="00BB2771" w:rsidP="006C700E">
      <w:pPr>
        <w:pStyle w:val="Heading3"/>
        <w:rPr>
          <w:rFonts w:cs="Arial"/>
          <w:b w:val="0"/>
          <w:bCs/>
        </w:rPr>
      </w:pPr>
      <w:r w:rsidRPr="001A6657">
        <w:t xml:space="preserve">Business </w:t>
      </w:r>
      <w:r w:rsidRPr="006C700E">
        <w:t>cases</w:t>
      </w:r>
      <w:r w:rsidRPr="001A6657">
        <w:rPr>
          <w:rFonts w:cs="Arial"/>
          <w:b w:val="0"/>
          <w:bCs/>
        </w:rPr>
        <w:t xml:space="preserve"> </w:t>
      </w:r>
    </w:p>
    <w:p w14:paraId="30074297" w14:textId="4FFB455D" w:rsidR="00E16562" w:rsidRDefault="00BB2771" w:rsidP="00BB2771">
      <w:pPr>
        <w:pStyle w:val="FootnoteText"/>
        <w:spacing w:after="160"/>
        <w:rPr>
          <w:rFonts w:eastAsiaTheme="minorHAnsi" w:cs="Arial"/>
          <w:color w:val="auto"/>
          <w:sz w:val="24"/>
          <w:szCs w:val="24"/>
          <w:lang w:eastAsia="en-US"/>
        </w:rPr>
      </w:pPr>
      <w:r w:rsidRPr="009147D5">
        <w:rPr>
          <w:rFonts w:eastAsiaTheme="minorHAnsi" w:cs="Arial"/>
          <w:color w:val="auto"/>
          <w:sz w:val="24"/>
          <w:szCs w:val="24"/>
          <w:lang w:eastAsia="en-US"/>
        </w:rPr>
        <w:t xml:space="preserve">Concept briefs and business cases were prepared for </w:t>
      </w:r>
      <w:r>
        <w:rPr>
          <w:rFonts w:eastAsiaTheme="minorHAnsi" w:cs="Arial"/>
          <w:color w:val="auto"/>
          <w:sz w:val="24"/>
          <w:szCs w:val="24"/>
          <w:lang w:eastAsia="en-US"/>
        </w:rPr>
        <w:t xml:space="preserve">the top 10 </w:t>
      </w:r>
      <w:r w:rsidRPr="009147D5">
        <w:rPr>
          <w:rFonts w:eastAsiaTheme="minorHAnsi" w:cs="Arial"/>
          <w:color w:val="auto"/>
          <w:sz w:val="24"/>
          <w:szCs w:val="24"/>
          <w:lang w:eastAsia="en-US"/>
        </w:rPr>
        <w:t xml:space="preserve">capital expenditure projects identified within </w:t>
      </w:r>
      <w:r w:rsidR="009029F4">
        <w:rPr>
          <w:rFonts w:eastAsiaTheme="minorHAnsi" w:cs="Arial"/>
          <w:color w:val="auto"/>
          <w:sz w:val="24"/>
          <w:szCs w:val="24"/>
          <w:lang w:eastAsia="en-US"/>
        </w:rPr>
        <w:t>our investment</w:t>
      </w:r>
      <w:r w:rsidRPr="009147D5">
        <w:rPr>
          <w:rFonts w:eastAsiaTheme="minorHAnsi" w:cs="Arial"/>
          <w:color w:val="auto"/>
          <w:sz w:val="24"/>
          <w:szCs w:val="24"/>
          <w:lang w:eastAsia="en-US"/>
        </w:rPr>
        <w:t xml:space="preserve"> reference strategies and master plans. </w:t>
      </w:r>
      <w:r w:rsidR="007D2DB7">
        <w:rPr>
          <w:rFonts w:eastAsiaTheme="minorHAnsi" w:cs="Arial"/>
          <w:color w:val="auto"/>
          <w:sz w:val="24"/>
          <w:szCs w:val="24"/>
          <w:lang w:eastAsia="en-US"/>
        </w:rPr>
        <w:br/>
      </w:r>
      <w:r w:rsidR="00D300C9">
        <w:rPr>
          <w:rFonts w:eastAsiaTheme="minorHAnsi" w:cs="Arial"/>
          <w:color w:val="auto"/>
          <w:sz w:val="24"/>
          <w:szCs w:val="24"/>
          <w:lang w:eastAsia="en-US"/>
        </w:rPr>
        <w:t>Briefs</w:t>
      </w:r>
      <w:r w:rsidRPr="009147D5">
        <w:rPr>
          <w:rFonts w:eastAsiaTheme="minorHAnsi" w:cs="Arial"/>
          <w:color w:val="auto"/>
          <w:sz w:val="24"/>
          <w:szCs w:val="24"/>
          <w:lang w:eastAsia="en-US"/>
        </w:rPr>
        <w:t xml:space="preserve"> include</w:t>
      </w:r>
      <w:r>
        <w:rPr>
          <w:rFonts w:eastAsiaTheme="minorHAnsi" w:cs="Arial"/>
          <w:color w:val="auto"/>
          <w:sz w:val="24"/>
          <w:szCs w:val="24"/>
          <w:lang w:eastAsia="en-US"/>
        </w:rPr>
        <w:t>d</w:t>
      </w:r>
      <w:r w:rsidR="00E16562">
        <w:rPr>
          <w:rFonts w:eastAsiaTheme="minorHAnsi" w:cs="Arial"/>
          <w:color w:val="auto"/>
          <w:sz w:val="24"/>
          <w:szCs w:val="24"/>
          <w:lang w:eastAsia="en-US"/>
        </w:rPr>
        <w:t xml:space="preserve">: </w:t>
      </w:r>
    </w:p>
    <w:p w14:paraId="6EABD387" w14:textId="5BB7BBDD" w:rsidR="00E16562" w:rsidRDefault="00BB2771">
      <w:pPr>
        <w:pStyle w:val="FootnoteText"/>
        <w:numPr>
          <w:ilvl w:val="0"/>
          <w:numId w:val="12"/>
        </w:numPr>
        <w:spacing w:after="120"/>
        <w:ind w:left="284" w:hanging="284"/>
        <w:rPr>
          <w:rFonts w:eastAsiaTheme="minorHAnsi" w:cs="Arial"/>
          <w:color w:val="auto"/>
          <w:sz w:val="24"/>
          <w:szCs w:val="24"/>
          <w:lang w:eastAsia="en-US"/>
        </w:rPr>
      </w:pPr>
      <w:r w:rsidRPr="009147D5">
        <w:rPr>
          <w:rFonts w:eastAsiaTheme="minorHAnsi" w:cs="Arial"/>
          <w:color w:val="auto"/>
          <w:sz w:val="24"/>
          <w:szCs w:val="24"/>
          <w:lang w:eastAsia="en-US"/>
        </w:rPr>
        <w:t>an outline of the problem to be addressed</w:t>
      </w:r>
    </w:p>
    <w:p w14:paraId="35368F10" w14:textId="3D65388D" w:rsidR="00E16562" w:rsidRDefault="00BB2771">
      <w:pPr>
        <w:pStyle w:val="FootnoteText"/>
        <w:numPr>
          <w:ilvl w:val="0"/>
          <w:numId w:val="12"/>
        </w:numPr>
        <w:spacing w:after="120"/>
        <w:ind w:left="284" w:hanging="284"/>
        <w:rPr>
          <w:rFonts w:eastAsiaTheme="minorHAnsi" w:cs="Arial"/>
          <w:color w:val="auto"/>
          <w:sz w:val="24"/>
          <w:szCs w:val="24"/>
          <w:lang w:eastAsia="en-US"/>
        </w:rPr>
      </w:pPr>
      <w:r w:rsidRPr="009147D5">
        <w:rPr>
          <w:rFonts w:eastAsiaTheme="minorHAnsi" w:cs="Arial"/>
          <w:color w:val="auto"/>
          <w:sz w:val="24"/>
          <w:szCs w:val="24"/>
          <w:lang w:eastAsia="en-US"/>
        </w:rPr>
        <w:t>the expected benefits and how these align with our customer outcomes</w:t>
      </w:r>
    </w:p>
    <w:p w14:paraId="798008FD" w14:textId="443B0732" w:rsidR="00E16562" w:rsidRDefault="00BB2771">
      <w:pPr>
        <w:pStyle w:val="FootnoteText"/>
        <w:numPr>
          <w:ilvl w:val="0"/>
          <w:numId w:val="12"/>
        </w:numPr>
        <w:spacing w:after="120"/>
        <w:ind w:left="284" w:hanging="284"/>
        <w:rPr>
          <w:rFonts w:eastAsiaTheme="minorHAnsi" w:cs="Arial"/>
          <w:color w:val="auto"/>
          <w:sz w:val="24"/>
          <w:szCs w:val="24"/>
          <w:lang w:eastAsia="en-US"/>
        </w:rPr>
      </w:pPr>
      <w:r w:rsidRPr="009147D5">
        <w:rPr>
          <w:rFonts w:eastAsiaTheme="minorHAnsi" w:cs="Arial"/>
          <w:color w:val="auto"/>
          <w:sz w:val="24"/>
          <w:szCs w:val="24"/>
          <w:lang w:eastAsia="en-US"/>
        </w:rPr>
        <w:t xml:space="preserve">the options that were considered </w:t>
      </w:r>
      <w:r w:rsidR="00752B62">
        <w:rPr>
          <w:rFonts w:eastAsiaTheme="minorHAnsi" w:cs="Arial"/>
          <w:color w:val="auto"/>
          <w:sz w:val="24"/>
          <w:szCs w:val="24"/>
          <w:lang w:eastAsia="en-US"/>
        </w:rPr>
        <w:t>and</w:t>
      </w:r>
      <w:r w:rsidRPr="009147D5">
        <w:rPr>
          <w:rFonts w:eastAsiaTheme="minorHAnsi" w:cs="Arial"/>
          <w:color w:val="auto"/>
          <w:sz w:val="24"/>
          <w:szCs w:val="24"/>
          <w:lang w:eastAsia="en-US"/>
        </w:rPr>
        <w:t xml:space="preserve"> justification for the selected option</w:t>
      </w:r>
    </w:p>
    <w:p w14:paraId="4A8B7649" w14:textId="426D4ABB" w:rsidR="00BB2771" w:rsidRPr="009147D5" w:rsidRDefault="00BB2771">
      <w:pPr>
        <w:pStyle w:val="FootnoteText"/>
        <w:numPr>
          <w:ilvl w:val="0"/>
          <w:numId w:val="12"/>
        </w:numPr>
        <w:spacing w:after="160"/>
        <w:ind w:left="284" w:hanging="284"/>
        <w:rPr>
          <w:rFonts w:eastAsiaTheme="minorHAnsi" w:cs="Arial"/>
          <w:color w:val="auto"/>
          <w:sz w:val="24"/>
          <w:szCs w:val="24"/>
          <w:lang w:eastAsia="en-US"/>
        </w:rPr>
      </w:pPr>
      <w:r w:rsidRPr="009147D5">
        <w:rPr>
          <w:rFonts w:eastAsiaTheme="minorHAnsi" w:cs="Arial"/>
          <w:color w:val="auto"/>
          <w:sz w:val="24"/>
          <w:szCs w:val="24"/>
          <w:lang w:eastAsia="en-US"/>
        </w:rPr>
        <w:t xml:space="preserve">details of the risk </w:t>
      </w:r>
      <w:r w:rsidR="00016036">
        <w:rPr>
          <w:rFonts w:eastAsiaTheme="minorHAnsi" w:cs="Arial"/>
          <w:color w:val="auto"/>
          <w:sz w:val="24"/>
          <w:szCs w:val="24"/>
          <w:lang w:eastAsia="en-US"/>
        </w:rPr>
        <w:t>assessment</w:t>
      </w:r>
      <w:r w:rsidRPr="009147D5">
        <w:rPr>
          <w:rFonts w:eastAsiaTheme="minorHAnsi" w:cs="Arial"/>
          <w:color w:val="auto"/>
          <w:sz w:val="24"/>
          <w:szCs w:val="24"/>
          <w:lang w:eastAsia="en-US"/>
        </w:rPr>
        <w:t xml:space="preserve"> conducted.</w:t>
      </w:r>
    </w:p>
    <w:p w14:paraId="1AF2793B" w14:textId="76418D7E" w:rsidR="000E3A55" w:rsidRPr="003D24A0" w:rsidRDefault="000E3A55" w:rsidP="006C700E">
      <w:pPr>
        <w:pStyle w:val="Heading3"/>
        <w:rPr>
          <w:b w:val="0"/>
        </w:rPr>
      </w:pPr>
      <w:r w:rsidRPr="003D24A0">
        <w:t>Cost</w:t>
      </w:r>
      <w:r w:rsidR="00125C32">
        <w:t>-</w:t>
      </w:r>
      <w:r w:rsidRPr="003D24A0">
        <w:t>estimating</w:t>
      </w:r>
      <w:r>
        <w:rPr>
          <w:rFonts w:cs="Arial"/>
          <w:b w:val="0"/>
          <w:bCs/>
        </w:rPr>
        <w:t xml:space="preserve"> </w:t>
      </w:r>
      <w:r w:rsidRPr="006C700E">
        <w:t>methods</w:t>
      </w:r>
    </w:p>
    <w:p w14:paraId="74690B97" w14:textId="741BD498" w:rsidR="00414DF3" w:rsidRDefault="000E3A55" w:rsidP="000E3A55">
      <w:pPr>
        <w:pStyle w:val="ListParagraph"/>
        <w:rPr>
          <w:rStyle w:val="normaltextrun"/>
          <w:rFonts w:cs="Arial"/>
          <w:color w:val="000000"/>
          <w:shd w:val="clear" w:color="auto" w:fill="FFFFFF"/>
        </w:rPr>
      </w:pPr>
      <w:r>
        <w:rPr>
          <w:rStyle w:val="normaltextrun"/>
          <w:rFonts w:cs="Arial"/>
          <w:color w:val="000000"/>
          <w:shd w:val="clear" w:color="auto" w:fill="FFFFFF"/>
        </w:rPr>
        <w:t>When estimating our projects and programs, we applied cost</w:t>
      </w:r>
      <w:r w:rsidR="00125C32">
        <w:rPr>
          <w:rStyle w:val="normaltextrun"/>
          <w:rFonts w:cs="Arial"/>
          <w:color w:val="000000"/>
          <w:shd w:val="clear" w:color="auto" w:fill="FFFFFF"/>
        </w:rPr>
        <w:t>-</w:t>
      </w:r>
      <w:r>
        <w:rPr>
          <w:rStyle w:val="normaltextrun"/>
          <w:rFonts w:cs="Arial"/>
          <w:color w:val="000000"/>
          <w:shd w:val="clear" w:color="auto" w:fill="FFFFFF"/>
        </w:rPr>
        <w:t xml:space="preserve">estimating methods suitable for project forecasting for concept design and </w:t>
      </w:r>
      <w:r w:rsidR="00947C75">
        <w:rPr>
          <w:rStyle w:val="normaltextrun"/>
          <w:rFonts w:cs="Arial"/>
          <w:color w:val="000000"/>
          <w:shd w:val="clear" w:color="auto" w:fill="FFFFFF"/>
        </w:rPr>
        <w:t xml:space="preserve">this </w:t>
      </w:r>
      <w:r>
        <w:rPr>
          <w:rStyle w:val="normaltextrun"/>
          <w:rFonts w:cs="Arial"/>
          <w:color w:val="000000"/>
          <w:shd w:val="clear" w:color="auto" w:fill="FFFFFF"/>
        </w:rPr>
        <w:t>pric</w:t>
      </w:r>
      <w:r w:rsidR="00947C75">
        <w:rPr>
          <w:rStyle w:val="normaltextrun"/>
          <w:rFonts w:cs="Arial"/>
          <w:color w:val="000000"/>
          <w:shd w:val="clear" w:color="auto" w:fill="FFFFFF"/>
        </w:rPr>
        <w:t>e</w:t>
      </w:r>
      <w:r>
        <w:rPr>
          <w:rStyle w:val="normaltextrun"/>
          <w:rFonts w:cs="Arial"/>
          <w:color w:val="000000"/>
          <w:shd w:val="clear" w:color="auto" w:fill="FFFFFF"/>
        </w:rPr>
        <w:t xml:space="preserve"> submission</w:t>
      </w:r>
      <w:r w:rsidR="00A338DC">
        <w:rPr>
          <w:rStyle w:val="normaltextrun"/>
          <w:rFonts w:cs="Arial"/>
          <w:color w:val="000000"/>
          <w:shd w:val="clear" w:color="auto" w:fill="FFFFFF"/>
        </w:rPr>
        <w:t>,</w:t>
      </w:r>
      <w:r w:rsidR="00374756" w:rsidRPr="00374756">
        <w:rPr>
          <w:rFonts w:cs="Arial"/>
        </w:rPr>
        <w:t xml:space="preserve"> </w:t>
      </w:r>
      <w:r w:rsidR="00374756" w:rsidRPr="00111B39">
        <w:rPr>
          <w:rFonts w:cs="Arial"/>
        </w:rPr>
        <w:t>to ensure forecasts were robust and capital expenditure was prudent and efficient</w:t>
      </w:r>
      <w:r w:rsidRPr="00533207">
        <w:rPr>
          <w:rStyle w:val="normaltextrun"/>
          <w:rFonts w:cs="Arial"/>
          <w:color w:val="000000"/>
          <w:shd w:val="clear" w:color="auto" w:fill="FFFFFF"/>
        </w:rPr>
        <w:t>. </w:t>
      </w:r>
    </w:p>
    <w:p w14:paraId="6AB7C0B4" w14:textId="77777777" w:rsidR="000D7F02" w:rsidRDefault="000D7F02" w:rsidP="000E3A55">
      <w:pPr>
        <w:pStyle w:val="ListParagraph"/>
        <w:rPr>
          <w:rStyle w:val="normaltextrun"/>
          <w:rFonts w:cs="Arial"/>
          <w:color w:val="000000"/>
          <w:shd w:val="clear" w:color="auto" w:fill="FFFFFF"/>
        </w:rPr>
      </w:pPr>
    </w:p>
    <w:p w14:paraId="6595F036" w14:textId="77777777" w:rsidR="005112BF" w:rsidRDefault="00A254FA" w:rsidP="000141AF">
      <w:pPr>
        <w:pStyle w:val="ListParagraph"/>
        <w:rPr>
          <w:rFonts w:cs="Arial"/>
        </w:rPr>
      </w:pPr>
      <w:r>
        <w:rPr>
          <w:rFonts w:cs="Arial"/>
        </w:rPr>
        <w:lastRenderedPageBreak/>
        <w:t xml:space="preserve">A minimum of </w:t>
      </w:r>
      <w:r w:rsidR="000141AF" w:rsidRPr="00111B39">
        <w:rPr>
          <w:rFonts w:cs="Arial"/>
        </w:rPr>
        <w:t>P50 estimates were</w:t>
      </w:r>
      <w:r w:rsidR="00235596">
        <w:rPr>
          <w:rFonts w:cs="Arial"/>
        </w:rPr>
        <w:t xml:space="preserve"> </w:t>
      </w:r>
      <w:r w:rsidR="00291914">
        <w:rPr>
          <w:rFonts w:cs="Arial"/>
        </w:rPr>
        <w:t>prepared for</w:t>
      </w:r>
      <w:r w:rsidR="00627FBA">
        <w:rPr>
          <w:rFonts w:cs="Arial"/>
        </w:rPr>
        <w:t xml:space="preserve"> </w:t>
      </w:r>
      <w:r w:rsidR="00235596">
        <w:rPr>
          <w:rFonts w:cs="Arial"/>
        </w:rPr>
        <w:t>our capital projects and programs</w:t>
      </w:r>
      <w:r w:rsidR="000141AF" w:rsidRPr="00111B39">
        <w:rPr>
          <w:rFonts w:cs="Arial"/>
        </w:rPr>
        <w:t xml:space="preserve"> </w:t>
      </w:r>
      <w:r w:rsidR="000141AF">
        <w:rPr>
          <w:rFonts w:cs="Arial"/>
        </w:rPr>
        <w:t>using</w:t>
      </w:r>
      <w:r w:rsidR="005112BF">
        <w:rPr>
          <w:rFonts w:cs="Arial"/>
        </w:rPr>
        <w:t>:</w:t>
      </w:r>
    </w:p>
    <w:p w14:paraId="12DE879B" w14:textId="23C34EE0" w:rsidR="005112BF" w:rsidRDefault="000141AF">
      <w:pPr>
        <w:pStyle w:val="ListParagraph"/>
        <w:numPr>
          <w:ilvl w:val="0"/>
          <w:numId w:val="80"/>
        </w:numPr>
        <w:autoSpaceDE w:val="0"/>
        <w:autoSpaceDN w:val="0"/>
        <w:adjustRightInd w:val="0"/>
        <w:spacing w:line="259" w:lineRule="auto"/>
        <w:ind w:left="284" w:hanging="284"/>
        <w:rPr>
          <w:rStyle w:val="normaltextrun"/>
          <w:rFonts w:cs="Arial"/>
          <w:color w:val="000000"/>
          <w:shd w:val="clear" w:color="auto" w:fill="FFFFFF"/>
        </w:rPr>
      </w:pPr>
      <w:r w:rsidRPr="00A85463">
        <w:rPr>
          <w:rStyle w:val="normaltextrun"/>
          <w:rFonts w:cs="Arial"/>
          <w:color w:val="000000"/>
          <w:shd w:val="clear" w:color="auto" w:fill="FFFFFF"/>
        </w:rPr>
        <w:t xml:space="preserve">unit rate tables </w:t>
      </w:r>
    </w:p>
    <w:p w14:paraId="544CE334" w14:textId="16B5B0F5" w:rsidR="006F546E" w:rsidRDefault="000141AF">
      <w:pPr>
        <w:pStyle w:val="ListParagraph"/>
        <w:numPr>
          <w:ilvl w:val="0"/>
          <w:numId w:val="80"/>
        </w:numPr>
        <w:autoSpaceDE w:val="0"/>
        <w:autoSpaceDN w:val="0"/>
        <w:adjustRightInd w:val="0"/>
        <w:spacing w:line="259" w:lineRule="auto"/>
        <w:ind w:left="284" w:hanging="284"/>
        <w:rPr>
          <w:rStyle w:val="normaltextrun"/>
          <w:rFonts w:cs="Arial"/>
          <w:color w:val="000000"/>
          <w:shd w:val="clear" w:color="auto" w:fill="FFFFFF"/>
        </w:rPr>
      </w:pPr>
      <w:r w:rsidRPr="00A85463">
        <w:rPr>
          <w:rStyle w:val="normaltextrun"/>
          <w:rFonts w:cs="Arial"/>
          <w:color w:val="000000"/>
          <w:shd w:val="clear" w:color="auto" w:fill="FFFFFF"/>
        </w:rPr>
        <w:t xml:space="preserve">past projects, first principles and supplier prices </w:t>
      </w:r>
    </w:p>
    <w:p w14:paraId="3873E0F0" w14:textId="5674A78E" w:rsidR="000141AF" w:rsidRPr="00533207" w:rsidRDefault="000141AF">
      <w:pPr>
        <w:pStyle w:val="ListParagraph"/>
        <w:numPr>
          <w:ilvl w:val="0"/>
          <w:numId w:val="80"/>
        </w:numPr>
        <w:autoSpaceDE w:val="0"/>
        <w:autoSpaceDN w:val="0"/>
        <w:adjustRightInd w:val="0"/>
        <w:spacing w:line="259" w:lineRule="auto"/>
        <w:ind w:left="284" w:hanging="284"/>
        <w:rPr>
          <w:rStyle w:val="normaltextrun"/>
          <w:rFonts w:cs="Arial"/>
          <w:color w:val="000000"/>
          <w:shd w:val="clear" w:color="auto" w:fill="FFFFFF"/>
        </w:rPr>
      </w:pPr>
      <w:r w:rsidRPr="00A85463">
        <w:rPr>
          <w:rStyle w:val="normaltextrun"/>
          <w:rFonts w:cs="Arial"/>
          <w:color w:val="000000"/>
          <w:shd w:val="clear" w:color="auto" w:fill="FFFFFF"/>
        </w:rPr>
        <w:t>engineering consultants and contractors.</w:t>
      </w:r>
    </w:p>
    <w:p w14:paraId="63219D48" w14:textId="2668B267" w:rsidR="000E3A55" w:rsidRDefault="000E3A55" w:rsidP="000E3A55">
      <w:pPr>
        <w:pStyle w:val="ListParagraph"/>
        <w:rPr>
          <w:rFonts w:cs="Arial"/>
        </w:rPr>
      </w:pPr>
      <w:r>
        <w:rPr>
          <w:rFonts w:cs="Arial"/>
        </w:rPr>
        <w:t>Unit rate</w:t>
      </w:r>
      <w:r w:rsidR="00533207">
        <w:rPr>
          <w:rFonts w:cs="Arial"/>
        </w:rPr>
        <w:t xml:space="preserve"> table</w:t>
      </w:r>
      <w:r>
        <w:rPr>
          <w:rFonts w:cs="Arial"/>
        </w:rPr>
        <w:t xml:space="preserve">s used for cost estimating were </w:t>
      </w:r>
      <w:r w:rsidR="00533207">
        <w:rPr>
          <w:rFonts w:cs="Arial"/>
        </w:rPr>
        <w:t xml:space="preserve">recently </w:t>
      </w:r>
      <w:r>
        <w:rPr>
          <w:rFonts w:cs="Arial"/>
        </w:rPr>
        <w:t>reviewed to ensure they were appropriate for forecasting purposes</w:t>
      </w:r>
      <w:r w:rsidRPr="007E0CD4">
        <w:rPr>
          <w:rFonts w:cs="Arial"/>
        </w:rPr>
        <w:t xml:space="preserve"> </w:t>
      </w:r>
      <w:r>
        <w:rPr>
          <w:rFonts w:cs="Arial"/>
        </w:rPr>
        <w:t>at concept stage. This involved b</w:t>
      </w:r>
      <w:r w:rsidRPr="00780C99">
        <w:rPr>
          <w:rFonts w:cs="Arial"/>
        </w:rPr>
        <w:t xml:space="preserve">enchmarking the unit rates against </w:t>
      </w:r>
      <w:r>
        <w:rPr>
          <w:rFonts w:cs="Arial"/>
        </w:rPr>
        <w:t xml:space="preserve">historic </w:t>
      </w:r>
      <w:r w:rsidRPr="00780C99">
        <w:rPr>
          <w:rFonts w:cs="Arial"/>
        </w:rPr>
        <w:t>projects of a similar cost and nature</w:t>
      </w:r>
      <w:r>
        <w:rPr>
          <w:rFonts w:cs="Arial"/>
        </w:rPr>
        <w:t>.</w:t>
      </w:r>
    </w:p>
    <w:p w14:paraId="1990DA4F" w14:textId="77777777" w:rsidR="000D7F02" w:rsidRDefault="000D7F02" w:rsidP="000E3A55">
      <w:pPr>
        <w:pStyle w:val="ListParagraph"/>
        <w:rPr>
          <w:rFonts w:cs="Arial"/>
        </w:rPr>
      </w:pPr>
    </w:p>
    <w:p w14:paraId="68B0A988" w14:textId="521F6523" w:rsidR="007B559C" w:rsidRPr="00116E55" w:rsidRDefault="00330BFE" w:rsidP="00762418">
      <w:pPr>
        <w:pStyle w:val="NbrHeading2"/>
      </w:pPr>
      <w:r w:rsidRPr="008C17DE">
        <w:t xml:space="preserve">6.4 </w:t>
      </w:r>
      <w:r w:rsidR="007B559C" w:rsidRPr="008C17DE">
        <w:t>Investment portfolios</w:t>
      </w:r>
    </w:p>
    <w:p w14:paraId="5C64B513" w14:textId="6024A850" w:rsidR="007B559C" w:rsidRDefault="007B559C" w:rsidP="002F6350">
      <w:pPr>
        <w:spacing w:after="240"/>
        <w:rPr>
          <w:rFonts w:cs="Arial"/>
        </w:rPr>
      </w:pPr>
      <w:r>
        <w:rPr>
          <w:rFonts w:cs="Arial"/>
        </w:rPr>
        <w:t>O</w:t>
      </w:r>
      <w:r w:rsidRPr="00C7338C">
        <w:rPr>
          <w:rFonts w:cs="Arial"/>
        </w:rPr>
        <w:t>ur capital expenditure program for 2023</w:t>
      </w:r>
      <w:r w:rsidR="007D4EB3">
        <w:rPr>
          <w:rFonts w:cs="Arial"/>
        </w:rPr>
        <w:t>–</w:t>
      </w:r>
      <w:r>
        <w:rPr>
          <w:rFonts w:cs="Arial"/>
        </w:rPr>
        <w:t xml:space="preserve">28 </w:t>
      </w:r>
      <w:r w:rsidRPr="00C7338C">
        <w:rPr>
          <w:rFonts w:cs="Arial"/>
        </w:rPr>
        <w:t>is grouped into</w:t>
      </w:r>
      <w:r>
        <w:rPr>
          <w:rFonts w:cs="Arial"/>
        </w:rPr>
        <w:t xml:space="preserve"> investment portfolios that consist of </w:t>
      </w:r>
      <w:r w:rsidR="002B2174">
        <w:rPr>
          <w:rFonts w:cs="Arial"/>
        </w:rPr>
        <w:t>the</w:t>
      </w:r>
      <w:r>
        <w:rPr>
          <w:rFonts w:cs="Arial"/>
        </w:rPr>
        <w:t xml:space="preserve"> top 10 projects, capital </w:t>
      </w:r>
      <w:r w:rsidR="009317B2">
        <w:rPr>
          <w:rFonts w:cs="Arial"/>
        </w:rPr>
        <w:t xml:space="preserve">work </w:t>
      </w:r>
      <w:r>
        <w:rPr>
          <w:rFonts w:cs="Arial"/>
        </w:rPr>
        <w:t xml:space="preserve">programs </w:t>
      </w:r>
      <w:r w:rsidRPr="00C7338C">
        <w:rPr>
          <w:rFonts w:cs="Arial"/>
        </w:rPr>
        <w:t xml:space="preserve">and </w:t>
      </w:r>
      <w:r>
        <w:rPr>
          <w:rFonts w:cs="Arial"/>
        </w:rPr>
        <w:t>o</w:t>
      </w:r>
      <w:r w:rsidRPr="00C7338C">
        <w:rPr>
          <w:rFonts w:cs="Arial"/>
        </w:rPr>
        <w:t>ther projects</w:t>
      </w:r>
      <w:r w:rsidR="00251AAE">
        <w:rPr>
          <w:rFonts w:cs="Arial"/>
        </w:rPr>
        <w:t xml:space="preserve">. </w:t>
      </w:r>
      <w:r w:rsidR="007B339F">
        <w:rPr>
          <w:rFonts w:cs="Arial"/>
        </w:rPr>
        <w:t>Table 24</w:t>
      </w:r>
      <w:r w:rsidR="00913AD7" w:rsidRPr="00913AD7">
        <w:rPr>
          <w:rFonts w:cs="Arial"/>
        </w:rPr>
        <w:t xml:space="preserve"> provides</w:t>
      </w:r>
      <w:r w:rsidR="00251AAE">
        <w:rPr>
          <w:rFonts w:cs="Arial"/>
        </w:rPr>
        <w:t xml:space="preserve"> a summary of our investment portfolios and proposed capital expenditure for the 2023</w:t>
      </w:r>
      <w:r w:rsidR="007D4EB3">
        <w:rPr>
          <w:rFonts w:cs="Arial"/>
        </w:rPr>
        <w:t>–</w:t>
      </w:r>
      <w:r w:rsidR="00251AAE">
        <w:rPr>
          <w:rFonts w:cs="Arial"/>
        </w:rPr>
        <w:t>28 regulatory period</w:t>
      </w:r>
      <w:r w:rsidR="00EC592E">
        <w:rPr>
          <w:rFonts w:cs="Arial"/>
        </w:rPr>
        <w:t>.</w:t>
      </w:r>
    </w:p>
    <w:p w14:paraId="5BD6C7B6" w14:textId="7A0BB667" w:rsidR="00051AA1" w:rsidRPr="005F08D6" w:rsidRDefault="007B339F" w:rsidP="001852AF">
      <w:pPr>
        <w:pStyle w:val="NormalIndent"/>
        <w:spacing w:after="120"/>
        <w:ind w:left="0"/>
        <w:rPr>
          <w:rFonts w:ascii="Arial" w:hAnsi="Arial" w:cs="Arial"/>
          <w:b/>
          <w:i/>
        </w:rPr>
      </w:pPr>
      <w:bookmarkStart w:id="62" w:name="_Ref111661442"/>
      <w:r w:rsidRPr="00CE6C4E">
        <w:rPr>
          <w:b/>
          <w:i/>
        </w:rPr>
        <w:t xml:space="preserve">Table </w:t>
      </w:r>
      <w:bookmarkEnd w:id="62"/>
      <w:r w:rsidR="00E0331E" w:rsidRPr="00CE6C4E">
        <w:rPr>
          <w:b/>
          <w:bCs/>
          <w:i/>
          <w:iCs/>
        </w:rPr>
        <w:fldChar w:fldCharType="begin"/>
      </w:r>
      <w:r w:rsidR="00E0331E" w:rsidRPr="00CE6C4E">
        <w:rPr>
          <w:b/>
          <w:bCs/>
          <w:i/>
          <w:iCs/>
        </w:rPr>
        <w:instrText>SEQ Table \* ARABIC</w:instrText>
      </w:r>
      <w:r w:rsidR="00E0331E" w:rsidRPr="00CE6C4E">
        <w:rPr>
          <w:b/>
          <w:bCs/>
          <w:i/>
          <w:iCs/>
        </w:rPr>
        <w:fldChar w:fldCharType="separate"/>
      </w:r>
      <w:r w:rsidR="00E0331E">
        <w:rPr>
          <w:b/>
          <w:bCs/>
          <w:i/>
          <w:iCs/>
          <w:noProof/>
        </w:rPr>
        <w:t>24</w:t>
      </w:r>
      <w:r w:rsidR="00E0331E" w:rsidRPr="00CE6C4E">
        <w:rPr>
          <w:b/>
          <w:bCs/>
          <w:i/>
          <w:iCs/>
        </w:rPr>
        <w:fldChar w:fldCharType="end"/>
      </w:r>
      <w:r w:rsidRPr="007B339F">
        <w:rPr>
          <w:rFonts w:ascii="Arial" w:hAnsi="Arial" w:cs="Arial"/>
          <w:b/>
          <w:i/>
        </w:rPr>
        <w:t>:</w:t>
      </w:r>
      <w:r>
        <w:rPr>
          <w:rFonts w:ascii="Arial" w:hAnsi="Arial" w:cs="Arial"/>
          <w:b/>
          <w:i/>
        </w:rPr>
        <w:t xml:space="preserve"> </w:t>
      </w:r>
      <w:r w:rsidR="00F03C3D" w:rsidRPr="005F08D6">
        <w:rPr>
          <w:rFonts w:ascii="Arial" w:hAnsi="Arial" w:cs="Arial"/>
          <w:b/>
          <w:i/>
        </w:rPr>
        <w:t>Proposed 2023</w:t>
      </w:r>
      <w:r w:rsidR="007D4EB3">
        <w:rPr>
          <w:rFonts w:ascii="Arial" w:hAnsi="Arial" w:cs="Arial"/>
          <w:b/>
          <w:i/>
        </w:rPr>
        <w:t>–</w:t>
      </w:r>
      <w:r w:rsidR="00F03C3D" w:rsidRPr="005F08D6">
        <w:rPr>
          <w:rFonts w:ascii="Arial" w:hAnsi="Arial" w:cs="Arial"/>
          <w:b/>
          <w:i/>
        </w:rPr>
        <w:t xml:space="preserve">28 investment portfolios </w:t>
      </w:r>
      <w:r w:rsidR="000F2C66" w:rsidRPr="006D1620">
        <w:rPr>
          <w:rFonts w:cs="Arial"/>
          <w:b/>
          <w:i/>
        </w:rPr>
        <w:t>(</w:t>
      </w:r>
      <w:r w:rsidR="000F2C66">
        <w:rPr>
          <w:rFonts w:cs="Arial"/>
          <w:b/>
          <w:i/>
        </w:rPr>
        <w:t xml:space="preserve">$million </w:t>
      </w:r>
      <w:r w:rsidR="00F03C3D" w:rsidRPr="006D1620">
        <w:rPr>
          <w:rFonts w:cs="Arial"/>
          <w:b/>
          <w:i/>
        </w:rPr>
        <w:t>2022</w:t>
      </w:r>
      <w:r w:rsidR="007D4EB3">
        <w:rPr>
          <w:rFonts w:cs="Arial"/>
          <w:b/>
          <w:i/>
        </w:rPr>
        <w:t>–</w:t>
      </w:r>
      <w:r w:rsidR="00F03C3D" w:rsidRPr="006D1620">
        <w:rPr>
          <w:rFonts w:cs="Arial"/>
          <w:b/>
          <w:i/>
        </w:rPr>
        <w:t>23</w:t>
      </w:r>
      <w:r w:rsidR="00F03C3D">
        <w:rPr>
          <w:rFonts w:cs="Arial"/>
          <w:b/>
          <w:i/>
        </w:rPr>
        <w:t>)</w:t>
      </w:r>
    </w:p>
    <w:tbl>
      <w:tblPr>
        <w:tblStyle w:val="MJTableStyle1default"/>
        <w:tblW w:w="9495" w:type="dxa"/>
        <w:tblInd w:w="0" w:type="dxa"/>
        <w:tblBorders>
          <w:top w:val="single" w:sz="2" w:space="0" w:color="002279"/>
          <w:left w:val="single" w:sz="2" w:space="0" w:color="002279"/>
          <w:bottom w:val="single" w:sz="2" w:space="0" w:color="002279"/>
          <w:right w:val="single" w:sz="2" w:space="0" w:color="002279"/>
          <w:insideH w:val="single" w:sz="2" w:space="0" w:color="002279"/>
          <w:insideV w:val="single" w:sz="2" w:space="0" w:color="002279"/>
        </w:tblBorders>
        <w:tblLayout w:type="fixed"/>
        <w:tblLook w:val="06A0" w:firstRow="1" w:lastRow="0" w:firstColumn="1" w:lastColumn="0" w:noHBand="1" w:noVBand="1"/>
      </w:tblPr>
      <w:tblGrid>
        <w:gridCol w:w="2832"/>
        <w:gridCol w:w="2221"/>
        <w:gridCol w:w="2221"/>
        <w:gridCol w:w="2221"/>
      </w:tblGrid>
      <w:tr w:rsidR="00E061F9" w:rsidRPr="005F08D6" w14:paraId="3C513FD8" w14:textId="3557197E" w:rsidTr="001E1592">
        <w:trPr>
          <w:cnfStyle w:val="100000000000" w:firstRow="1" w:lastRow="0" w:firstColumn="0" w:lastColumn="0" w:oddVBand="0" w:evenVBand="0" w:oddHBand="0" w:evenHBand="0" w:firstRowFirstColumn="0" w:firstRowLastColumn="0" w:lastRowFirstColumn="0" w:lastRowLastColumn="0"/>
          <w:trHeight w:val="838"/>
          <w:tblHeader/>
        </w:trPr>
        <w:tc>
          <w:tcPr>
            <w:tcW w:w="2832" w:type="dxa"/>
            <w:tcBorders>
              <w:right w:val="single" w:sz="4" w:space="0" w:color="FFFFFF" w:themeColor="background1"/>
            </w:tcBorders>
            <w:shd w:val="clear" w:color="auto" w:fill="002279"/>
            <w:noWrap/>
            <w:vAlign w:val="center"/>
            <w:hideMark/>
          </w:tcPr>
          <w:p w14:paraId="1E837E9C" w14:textId="2898D238" w:rsidR="00E061F9" w:rsidRPr="00A62088" w:rsidRDefault="00E061F9" w:rsidP="00157580">
            <w:pPr>
              <w:spacing w:before="60" w:after="60"/>
              <w:rPr>
                <w:rFonts w:asciiTheme="minorHAnsi" w:hAnsiTheme="minorHAnsi" w:cstheme="minorHAnsi"/>
                <w:b/>
              </w:rPr>
            </w:pPr>
            <w:r w:rsidRPr="00A62088">
              <w:rPr>
                <w:rFonts w:asciiTheme="minorHAnsi" w:hAnsiTheme="minorHAnsi" w:cstheme="minorHAnsi"/>
                <w:b/>
              </w:rPr>
              <w:t>Investment portfolios</w:t>
            </w:r>
          </w:p>
        </w:tc>
        <w:tc>
          <w:tcPr>
            <w:tcW w:w="2221" w:type="dxa"/>
            <w:tcBorders>
              <w:left w:val="single" w:sz="4" w:space="0" w:color="FFFFFF" w:themeColor="background1"/>
              <w:right w:val="single" w:sz="4" w:space="0" w:color="FFFFFF" w:themeColor="background1"/>
            </w:tcBorders>
            <w:shd w:val="clear" w:color="auto" w:fill="002279"/>
            <w:noWrap/>
            <w:vAlign w:val="center"/>
            <w:hideMark/>
          </w:tcPr>
          <w:p w14:paraId="55113B52" w14:textId="77777777" w:rsidR="00E061F9" w:rsidRPr="00A62088" w:rsidRDefault="00E061F9" w:rsidP="00360131">
            <w:pPr>
              <w:spacing w:before="60" w:after="60"/>
              <w:jc w:val="center"/>
              <w:rPr>
                <w:rFonts w:asciiTheme="minorHAnsi" w:hAnsiTheme="minorHAnsi" w:cstheme="minorHAnsi"/>
                <w:b/>
              </w:rPr>
            </w:pPr>
            <w:r w:rsidRPr="00A62088">
              <w:rPr>
                <w:rFonts w:asciiTheme="minorHAnsi" w:hAnsiTheme="minorHAnsi" w:cstheme="minorHAnsi"/>
                <w:b/>
              </w:rPr>
              <w:t xml:space="preserve">Top 10 projects </w:t>
            </w:r>
            <w:r w:rsidRPr="00A62088">
              <w:rPr>
                <w:rFonts w:asciiTheme="minorHAnsi" w:hAnsiTheme="minorHAnsi" w:cstheme="minorHAnsi"/>
                <w:b/>
              </w:rPr>
              <w:br/>
              <w:t>($m)</w:t>
            </w:r>
          </w:p>
        </w:tc>
        <w:tc>
          <w:tcPr>
            <w:tcW w:w="2221" w:type="dxa"/>
            <w:tcBorders>
              <w:left w:val="single" w:sz="4" w:space="0" w:color="FFFFFF" w:themeColor="background1"/>
              <w:right w:val="single" w:sz="4" w:space="0" w:color="FFFFFF" w:themeColor="background1"/>
            </w:tcBorders>
            <w:shd w:val="clear" w:color="auto" w:fill="002279"/>
            <w:noWrap/>
            <w:vAlign w:val="center"/>
            <w:hideMark/>
          </w:tcPr>
          <w:p w14:paraId="352A8C33" w14:textId="17AF6B9B" w:rsidR="00E061F9" w:rsidRPr="00A62088" w:rsidRDefault="00E061F9" w:rsidP="00360131">
            <w:pPr>
              <w:spacing w:before="60" w:after="60"/>
              <w:jc w:val="center"/>
              <w:rPr>
                <w:rFonts w:asciiTheme="minorHAnsi" w:hAnsiTheme="minorHAnsi" w:cstheme="minorHAnsi"/>
                <w:b/>
              </w:rPr>
            </w:pPr>
            <w:r w:rsidRPr="00A62088">
              <w:rPr>
                <w:rFonts w:asciiTheme="minorHAnsi" w:hAnsiTheme="minorHAnsi" w:cstheme="minorHAnsi"/>
                <w:b/>
              </w:rPr>
              <w:t>Capital programs</w:t>
            </w:r>
            <w:r w:rsidR="00E27178" w:rsidRPr="00A62088">
              <w:rPr>
                <w:rFonts w:asciiTheme="minorHAnsi" w:hAnsiTheme="minorHAnsi" w:cstheme="minorHAnsi"/>
                <w:b/>
              </w:rPr>
              <w:t>/</w:t>
            </w:r>
            <w:r w:rsidRPr="00A62088">
              <w:rPr>
                <w:rFonts w:asciiTheme="minorHAnsi" w:hAnsiTheme="minorHAnsi" w:cstheme="minorHAnsi"/>
                <w:b/>
              </w:rPr>
              <w:t>other ($m)</w:t>
            </w:r>
          </w:p>
        </w:tc>
        <w:tc>
          <w:tcPr>
            <w:tcW w:w="2221" w:type="dxa"/>
            <w:tcBorders>
              <w:left w:val="single" w:sz="4" w:space="0" w:color="FFFFFF" w:themeColor="background1"/>
            </w:tcBorders>
            <w:shd w:val="clear" w:color="auto" w:fill="002279"/>
            <w:vAlign w:val="center"/>
          </w:tcPr>
          <w:p w14:paraId="29422B84" w14:textId="4441E76D" w:rsidR="00E061F9" w:rsidRPr="00A62088" w:rsidRDefault="00E061F9" w:rsidP="00360131">
            <w:pPr>
              <w:spacing w:before="60" w:after="60"/>
              <w:jc w:val="center"/>
              <w:rPr>
                <w:rFonts w:asciiTheme="minorHAnsi" w:hAnsiTheme="minorHAnsi" w:cstheme="minorHAnsi"/>
                <w:b/>
              </w:rPr>
            </w:pPr>
            <w:r w:rsidRPr="00A62088">
              <w:rPr>
                <w:rFonts w:asciiTheme="minorHAnsi" w:hAnsiTheme="minorHAnsi" w:cstheme="minorHAnsi"/>
                <w:b/>
              </w:rPr>
              <w:t xml:space="preserve">Total </w:t>
            </w:r>
            <w:r w:rsidRPr="00A62088">
              <w:rPr>
                <w:rFonts w:asciiTheme="minorHAnsi" w:hAnsiTheme="minorHAnsi" w:cstheme="minorHAnsi"/>
                <w:b/>
              </w:rPr>
              <w:br/>
              <w:t>($m)</w:t>
            </w:r>
          </w:p>
        </w:tc>
      </w:tr>
      <w:tr w:rsidR="00E061F9" w:rsidRPr="005F08D6" w14:paraId="1F852126" w14:textId="2151E334" w:rsidTr="00360131">
        <w:trPr>
          <w:trHeight w:val="20"/>
        </w:trPr>
        <w:tc>
          <w:tcPr>
            <w:tcW w:w="2832" w:type="dxa"/>
            <w:shd w:val="clear" w:color="auto" w:fill="D4D6DF"/>
            <w:noWrap/>
          </w:tcPr>
          <w:p w14:paraId="140B079B" w14:textId="630DF194" w:rsidR="00E061F9" w:rsidRPr="00A62088" w:rsidRDefault="00E061F9" w:rsidP="00E061F9">
            <w:pPr>
              <w:spacing w:line="259" w:lineRule="auto"/>
              <w:rPr>
                <w:rFonts w:cstheme="minorHAnsi"/>
                <w:szCs w:val="20"/>
              </w:rPr>
            </w:pPr>
            <w:r w:rsidRPr="00A62088">
              <w:rPr>
                <w:rFonts w:cstheme="minorHAnsi"/>
                <w:szCs w:val="20"/>
              </w:rPr>
              <w:t>Sewer growth</w:t>
            </w:r>
          </w:p>
        </w:tc>
        <w:tc>
          <w:tcPr>
            <w:tcW w:w="2221" w:type="dxa"/>
            <w:shd w:val="clear" w:color="auto" w:fill="D4D6DF"/>
            <w:vAlign w:val="center"/>
          </w:tcPr>
          <w:p w14:paraId="665087A8" w14:textId="0B122E76" w:rsidR="00E061F9" w:rsidRPr="00A62088" w:rsidRDefault="00E061F9" w:rsidP="00360131">
            <w:pPr>
              <w:spacing w:line="259" w:lineRule="auto"/>
              <w:jc w:val="center"/>
              <w:rPr>
                <w:rFonts w:cstheme="minorHAnsi"/>
                <w:szCs w:val="20"/>
              </w:rPr>
            </w:pPr>
            <w:r w:rsidRPr="00A62088">
              <w:rPr>
                <w:rFonts w:cstheme="minorHAnsi"/>
                <w:szCs w:val="20"/>
              </w:rPr>
              <w:t>101.</w:t>
            </w:r>
            <w:r w:rsidR="00E417E7" w:rsidRPr="00E417E7">
              <w:rPr>
                <w:rFonts w:cstheme="minorHAnsi"/>
                <w:szCs w:val="20"/>
              </w:rPr>
              <w:t>81</w:t>
            </w:r>
          </w:p>
        </w:tc>
        <w:tc>
          <w:tcPr>
            <w:tcW w:w="2221" w:type="dxa"/>
            <w:shd w:val="clear" w:color="auto" w:fill="D4D6DF"/>
            <w:vAlign w:val="center"/>
          </w:tcPr>
          <w:p w14:paraId="3A7116D1" w14:textId="6747B580" w:rsidR="00E061F9" w:rsidRPr="00A62088" w:rsidRDefault="00E061F9" w:rsidP="00360131">
            <w:pPr>
              <w:spacing w:line="259" w:lineRule="auto"/>
              <w:jc w:val="center"/>
              <w:rPr>
                <w:rFonts w:cstheme="minorHAnsi"/>
                <w:szCs w:val="20"/>
              </w:rPr>
            </w:pPr>
            <w:r w:rsidRPr="00A62088">
              <w:rPr>
                <w:rFonts w:cstheme="minorHAnsi"/>
                <w:szCs w:val="20"/>
              </w:rPr>
              <w:t>158.</w:t>
            </w:r>
            <w:r w:rsidR="00E417E7" w:rsidRPr="00E417E7">
              <w:rPr>
                <w:rFonts w:cstheme="minorHAnsi"/>
                <w:szCs w:val="20"/>
              </w:rPr>
              <w:t>49</w:t>
            </w:r>
          </w:p>
        </w:tc>
        <w:tc>
          <w:tcPr>
            <w:tcW w:w="2221" w:type="dxa"/>
            <w:shd w:val="clear" w:color="auto" w:fill="D4D6DF"/>
            <w:vAlign w:val="center"/>
          </w:tcPr>
          <w:p w14:paraId="1E95C40C" w14:textId="4D057BCF" w:rsidR="00E061F9" w:rsidRPr="00A62088" w:rsidRDefault="00E061F9" w:rsidP="00360131">
            <w:pPr>
              <w:spacing w:line="259" w:lineRule="auto"/>
              <w:jc w:val="center"/>
              <w:rPr>
                <w:rFonts w:cstheme="minorHAnsi"/>
                <w:szCs w:val="20"/>
              </w:rPr>
            </w:pPr>
            <w:r w:rsidRPr="00A62088">
              <w:rPr>
                <w:rFonts w:cstheme="minorHAnsi"/>
                <w:szCs w:val="20"/>
              </w:rPr>
              <w:t>260.</w:t>
            </w:r>
            <w:r w:rsidR="00E417E7" w:rsidRPr="00E417E7">
              <w:rPr>
                <w:rFonts w:cstheme="minorHAnsi"/>
                <w:szCs w:val="20"/>
              </w:rPr>
              <w:t>30</w:t>
            </w:r>
          </w:p>
        </w:tc>
      </w:tr>
      <w:tr w:rsidR="00E061F9" w:rsidRPr="005F08D6" w14:paraId="77978137" w14:textId="5F2A0BAC" w:rsidTr="00360131">
        <w:trPr>
          <w:trHeight w:val="20"/>
        </w:trPr>
        <w:tc>
          <w:tcPr>
            <w:tcW w:w="2832" w:type="dxa"/>
            <w:noWrap/>
          </w:tcPr>
          <w:p w14:paraId="515584BF" w14:textId="28F9B07B" w:rsidR="00E061F9" w:rsidRPr="00A62088" w:rsidRDefault="00E061F9" w:rsidP="00E061F9">
            <w:pPr>
              <w:spacing w:line="259" w:lineRule="auto"/>
              <w:rPr>
                <w:rFonts w:cstheme="minorHAnsi"/>
                <w:szCs w:val="20"/>
              </w:rPr>
            </w:pPr>
            <w:r w:rsidRPr="00A62088">
              <w:rPr>
                <w:rFonts w:cstheme="minorHAnsi"/>
                <w:szCs w:val="20"/>
              </w:rPr>
              <w:t>Treatment growth</w:t>
            </w:r>
          </w:p>
        </w:tc>
        <w:tc>
          <w:tcPr>
            <w:tcW w:w="2221" w:type="dxa"/>
            <w:vAlign w:val="center"/>
          </w:tcPr>
          <w:p w14:paraId="1DAC251D" w14:textId="45747B7B" w:rsidR="00E061F9" w:rsidRPr="00A62088" w:rsidRDefault="00E061F9" w:rsidP="00360131">
            <w:pPr>
              <w:spacing w:line="259" w:lineRule="auto"/>
              <w:jc w:val="center"/>
              <w:rPr>
                <w:rFonts w:cstheme="minorHAnsi"/>
                <w:szCs w:val="20"/>
              </w:rPr>
            </w:pPr>
            <w:r w:rsidRPr="00A62088">
              <w:rPr>
                <w:rFonts w:cstheme="minorHAnsi"/>
                <w:szCs w:val="20"/>
              </w:rPr>
              <w:t>159.</w:t>
            </w:r>
            <w:r w:rsidR="00E417E7" w:rsidRPr="00E417E7">
              <w:rPr>
                <w:rFonts w:cstheme="minorHAnsi"/>
                <w:szCs w:val="20"/>
              </w:rPr>
              <w:t>34</w:t>
            </w:r>
          </w:p>
        </w:tc>
        <w:tc>
          <w:tcPr>
            <w:tcW w:w="2221" w:type="dxa"/>
            <w:vAlign w:val="center"/>
          </w:tcPr>
          <w:p w14:paraId="70188447" w14:textId="64FBF229" w:rsidR="00E061F9" w:rsidRPr="00A62088" w:rsidRDefault="00E061F9" w:rsidP="00360131">
            <w:pPr>
              <w:spacing w:line="259" w:lineRule="auto"/>
              <w:jc w:val="center"/>
              <w:rPr>
                <w:rFonts w:cstheme="minorHAnsi"/>
                <w:szCs w:val="20"/>
              </w:rPr>
            </w:pPr>
            <w:r w:rsidRPr="00A62088">
              <w:rPr>
                <w:rFonts w:cstheme="minorHAnsi"/>
                <w:szCs w:val="20"/>
              </w:rPr>
              <w:t>59.</w:t>
            </w:r>
            <w:r w:rsidR="00E417E7" w:rsidRPr="00E417E7">
              <w:rPr>
                <w:rFonts w:cstheme="minorHAnsi"/>
                <w:szCs w:val="20"/>
              </w:rPr>
              <w:t>35</w:t>
            </w:r>
          </w:p>
        </w:tc>
        <w:tc>
          <w:tcPr>
            <w:tcW w:w="2221" w:type="dxa"/>
            <w:vAlign w:val="center"/>
          </w:tcPr>
          <w:p w14:paraId="248F138A" w14:textId="21B906DC" w:rsidR="00E061F9" w:rsidRPr="00A62088" w:rsidRDefault="00E061F9" w:rsidP="00360131">
            <w:pPr>
              <w:spacing w:line="259" w:lineRule="auto"/>
              <w:jc w:val="center"/>
              <w:rPr>
                <w:rFonts w:cstheme="minorHAnsi"/>
                <w:szCs w:val="20"/>
              </w:rPr>
            </w:pPr>
            <w:r w:rsidRPr="00A62088">
              <w:rPr>
                <w:rFonts w:cstheme="minorHAnsi"/>
                <w:szCs w:val="20"/>
              </w:rPr>
              <w:t>218.</w:t>
            </w:r>
            <w:r w:rsidR="00E417E7" w:rsidRPr="00E417E7">
              <w:rPr>
                <w:rFonts w:cstheme="minorHAnsi"/>
                <w:szCs w:val="20"/>
              </w:rPr>
              <w:t>69</w:t>
            </w:r>
          </w:p>
        </w:tc>
      </w:tr>
      <w:tr w:rsidR="00E061F9" w:rsidRPr="005F08D6" w14:paraId="0722A419" w14:textId="494A2B64" w:rsidTr="00360131">
        <w:trPr>
          <w:trHeight w:val="20"/>
        </w:trPr>
        <w:tc>
          <w:tcPr>
            <w:tcW w:w="2832" w:type="dxa"/>
            <w:shd w:val="clear" w:color="auto" w:fill="D4D6DF"/>
            <w:noWrap/>
          </w:tcPr>
          <w:p w14:paraId="0A450AB4" w14:textId="0979F383" w:rsidR="00E061F9" w:rsidRPr="00A62088" w:rsidRDefault="00E061F9" w:rsidP="00E061F9">
            <w:pPr>
              <w:spacing w:line="259" w:lineRule="auto"/>
              <w:rPr>
                <w:rFonts w:cstheme="minorHAnsi"/>
                <w:szCs w:val="20"/>
              </w:rPr>
            </w:pPr>
            <w:r w:rsidRPr="00A62088">
              <w:rPr>
                <w:rFonts w:cstheme="minorHAnsi"/>
                <w:szCs w:val="20"/>
              </w:rPr>
              <w:t>Customer metering</w:t>
            </w:r>
          </w:p>
        </w:tc>
        <w:tc>
          <w:tcPr>
            <w:tcW w:w="2221" w:type="dxa"/>
            <w:shd w:val="clear" w:color="auto" w:fill="D4D6DF"/>
            <w:vAlign w:val="center"/>
          </w:tcPr>
          <w:p w14:paraId="59B977B3" w14:textId="530A8A39" w:rsidR="00E061F9" w:rsidRPr="00A62088" w:rsidRDefault="00E061F9" w:rsidP="00360131">
            <w:pPr>
              <w:spacing w:line="259" w:lineRule="auto"/>
              <w:jc w:val="center"/>
              <w:rPr>
                <w:rFonts w:cstheme="minorHAnsi"/>
                <w:szCs w:val="20"/>
              </w:rPr>
            </w:pPr>
            <w:r w:rsidRPr="00A62088">
              <w:rPr>
                <w:rFonts w:cstheme="minorHAnsi"/>
                <w:szCs w:val="20"/>
              </w:rPr>
              <w:t>206.</w:t>
            </w:r>
            <w:r w:rsidR="00E417E7" w:rsidRPr="00E417E7">
              <w:rPr>
                <w:rFonts w:cstheme="minorHAnsi"/>
                <w:szCs w:val="20"/>
              </w:rPr>
              <w:t>00</w:t>
            </w:r>
          </w:p>
        </w:tc>
        <w:tc>
          <w:tcPr>
            <w:tcW w:w="2221" w:type="dxa"/>
            <w:shd w:val="clear" w:color="auto" w:fill="D4D6DF"/>
            <w:vAlign w:val="center"/>
          </w:tcPr>
          <w:p w14:paraId="3B31F8CD" w14:textId="0EF60566" w:rsidR="00E061F9" w:rsidRPr="00A62088" w:rsidRDefault="00E417E7" w:rsidP="00360131">
            <w:pPr>
              <w:spacing w:line="259" w:lineRule="auto"/>
              <w:jc w:val="center"/>
              <w:rPr>
                <w:rFonts w:cstheme="minorHAnsi"/>
                <w:szCs w:val="20"/>
              </w:rPr>
            </w:pPr>
            <w:r w:rsidRPr="00E417E7">
              <w:rPr>
                <w:rFonts w:cstheme="minorHAnsi"/>
                <w:szCs w:val="20"/>
              </w:rPr>
              <w:t>-</w:t>
            </w:r>
          </w:p>
        </w:tc>
        <w:tc>
          <w:tcPr>
            <w:tcW w:w="2221" w:type="dxa"/>
            <w:shd w:val="clear" w:color="auto" w:fill="D4D6DF"/>
            <w:vAlign w:val="center"/>
          </w:tcPr>
          <w:p w14:paraId="75D8CE05" w14:textId="379FEB4E" w:rsidR="00E061F9" w:rsidRPr="00A62088" w:rsidRDefault="00E061F9" w:rsidP="00360131">
            <w:pPr>
              <w:spacing w:line="259" w:lineRule="auto"/>
              <w:jc w:val="center"/>
              <w:rPr>
                <w:rFonts w:cstheme="minorHAnsi"/>
                <w:szCs w:val="20"/>
              </w:rPr>
            </w:pPr>
            <w:r w:rsidRPr="00A62088">
              <w:rPr>
                <w:rFonts w:cstheme="minorHAnsi"/>
                <w:szCs w:val="20"/>
              </w:rPr>
              <w:t>206.</w:t>
            </w:r>
            <w:r w:rsidR="00E417E7" w:rsidRPr="00E417E7">
              <w:rPr>
                <w:rFonts w:cstheme="minorHAnsi"/>
                <w:szCs w:val="20"/>
              </w:rPr>
              <w:t>00</w:t>
            </w:r>
          </w:p>
        </w:tc>
      </w:tr>
      <w:tr w:rsidR="00E061F9" w:rsidRPr="005F08D6" w14:paraId="06BEAFD6" w14:textId="64025FFC" w:rsidTr="00360131">
        <w:trPr>
          <w:trHeight w:val="20"/>
        </w:trPr>
        <w:tc>
          <w:tcPr>
            <w:tcW w:w="2832" w:type="dxa"/>
            <w:noWrap/>
          </w:tcPr>
          <w:p w14:paraId="56FDFB78" w14:textId="5A04B65A" w:rsidR="00E061F9" w:rsidRPr="00A62088" w:rsidRDefault="00E061F9" w:rsidP="00E061F9">
            <w:pPr>
              <w:spacing w:line="259" w:lineRule="auto"/>
              <w:rPr>
                <w:rFonts w:cstheme="minorHAnsi"/>
                <w:szCs w:val="20"/>
              </w:rPr>
            </w:pPr>
            <w:r w:rsidRPr="00A62088">
              <w:rPr>
                <w:rFonts w:cstheme="minorHAnsi"/>
                <w:szCs w:val="20"/>
              </w:rPr>
              <w:t>Treatment improvements/compliance</w:t>
            </w:r>
          </w:p>
        </w:tc>
        <w:tc>
          <w:tcPr>
            <w:tcW w:w="2221" w:type="dxa"/>
            <w:vAlign w:val="center"/>
          </w:tcPr>
          <w:p w14:paraId="1D1B0E56" w14:textId="25C2607A" w:rsidR="00E061F9" w:rsidRPr="00A62088" w:rsidRDefault="00E061F9" w:rsidP="00360131">
            <w:pPr>
              <w:spacing w:line="259" w:lineRule="auto"/>
              <w:jc w:val="center"/>
              <w:rPr>
                <w:rFonts w:cstheme="minorHAnsi"/>
                <w:szCs w:val="20"/>
              </w:rPr>
            </w:pPr>
            <w:r w:rsidRPr="00A62088">
              <w:rPr>
                <w:rFonts w:cstheme="minorHAnsi"/>
                <w:szCs w:val="20"/>
              </w:rPr>
              <w:t>52.</w:t>
            </w:r>
            <w:r w:rsidR="00E417E7" w:rsidRPr="00E417E7">
              <w:rPr>
                <w:rFonts w:cstheme="minorHAnsi"/>
                <w:szCs w:val="20"/>
              </w:rPr>
              <w:t>46</w:t>
            </w:r>
          </w:p>
        </w:tc>
        <w:tc>
          <w:tcPr>
            <w:tcW w:w="2221" w:type="dxa"/>
            <w:vAlign w:val="center"/>
          </w:tcPr>
          <w:p w14:paraId="3201B663" w14:textId="55A4AD59" w:rsidR="00E061F9" w:rsidRPr="00A62088" w:rsidRDefault="00E061F9" w:rsidP="00360131">
            <w:pPr>
              <w:spacing w:line="259" w:lineRule="auto"/>
              <w:jc w:val="center"/>
              <w:rPr>
                <w:rFonts w:cstheme="minorHAnsi"/>
                <w:szCs w:val="20"/>
              </w:rPr>
            </w:pPr>
            <w:r w:rsidRPr="00A62088">
              <w:rPr>
                <w:rFonts w:cstheme="minorHAnsi"/>
                <w:szCs w:val="20"/>
              </w:rPr>
              <w:t>106.</w:t>
            </w:r>
            <w:r w:rsidR="00E417E7" w:rsidRPr="00E417E7">
              <w:rPr>
                <w:rFonts w:cstheme="minorHAnsi"/>
                <w:szCs w:val="20"/>
              </w:rPr>
              <w:t>75</w:t>
            </w:r>
          </w:p>
        </w:tc>
        <w:tc>
          <w:tcPr>
            <w:tcW w:w="2221" w:type="dxa"/>
            <w:vAlign w:val="center"/>
          </w:tcPr>
          <w:p w14:paraId="10A46ECF" w14:textId="3E790F1A" w:rsidR="00E061F9" w:rsidRPr="00A62088" w:rsidRDefault="00E061F9" w:rsidP="00360131">
            <w:pPr>
              <w:spacing w:line="259" w:lineRule="auto"/>
              <w:jc w:val="center"/>
              <w:rPr>
                <w:rFonts w:cstheme="minorHAnsi"/>
                <w:szCs w:val="20"/>
              </w:rPr>
            </w:pPr>
            <w:r w:rsidRPr="00A62088">
              <w:rPr>
                <w:rFonts w:cstheme="minorHAnsi"/>
                <w:szCs w:val="20"/>
              </w:rPr>
              <w:t>159.</w:t>
            </w:r>
            <w:r w:rsidR="00E417E7" w:rsidRPr="00E417E7">
              <w:rPr>
                <w:rFonts w:cstheme="minorHAnsi"/>
                <w:szCs w:val="20"/>
              </w:rPr>
              <w:t>21</w:t>
            </w:r>
          </w:p>
        </w:tc>
      </w:tr>
      <w:tr w:rsidR="00E061F9" w:rsidRPr="005F08D6" w14:paraId="4B5F3A24" w14:textId="20C6BB3B" w:rsidTr="00360131">
        <w:trPr>
          <w:trHeight w:val="20"/>
        </w:trPr>
        <w:tc>
          <w:tcPr>
            <w:tcW w:w="2832" w:type="dxa"/>
            <w:shd w:val="clear" w:color="auto" w:fill="D4D6DF"/>
            <w:noWrap/>
          </w:tcPr>
          <w:p w14:paraId="5C6C5D3D" w14:textId="32FE64A2" w:rsidR="00E061F9" w:rsidRPr="00A62088" w:rsidRDefault="00E061F9" w:rsidP="00E061F9">
            <w:pPr>
              <w:spacing w:line="259" w:lineRule="auto"/>
              <w:rPr>
                <w:rFonts w:cstheme="minorHAnsi"/>
                <w:szCs w:val="20"/>
              </w:rPr>
            </w:pPr>
            <w:r w:rsidRPr="00A62088">
              <w:rPr>
                <w:rFonts w:cstheme="minorHAnsi"/>
                <w:szCs w:val="20"/>
              </w:rPr>
              <w:t>Information technology</w:t>
            </w:r>
          </w:p>
        </w:tc>
        <w:tc>
          <w:tcPr>
            <w:tcW w:w="2221" w:type="dxa"/>
            <w:shd w:val="clear" w:color="auto" w:fill="D4D6DF"/>
            <w:vAlign w:val="center"/>
          </w:tcPr>
          <w:p w14:paraId="2A3CDF85" w14:textId="095F3AF0" w:rsidR="00E061F9" w:rsidRPr="00A62088" w:rsidRDefault="00E417E7" w:rsidP="00360131">
            <w:pPr>
              <w:spacing w:line="259" w:lineRule="auto"/>
              <w:jc w:val="center"/>
              <w:rPr>
                <w:rFonts w:cstheme="minorHAnsi"/>
                <w:szCs w:val="20"/>
              </w:rPr>
            </w:pPr>
            <w:r w:rsidRPr="00E417E7">
              <w:rPr>
                <w:rFonts w:cstheme="minorHAnsi"/>
                <w:szCs w:val="20"/>
              </w:rPr>
              <w:t>-</w:t>
            </w:r>
          </w:p>
        </w:tc>
        <w:tc>
          <w:tcPr>
            <w:tcW w:w="2221" w:type="dxa"/>
            <w:shd w:val="clear" w:color="auto" w:fill="D4D6DF"/>
            <w:vAlign w:val="center"/>
          </w:tcPr>
          <w:p w14:paraId="7C57B247" w14:textId="25FF87EA" w:rsidR="00E061F9" w:rsidRPr="00A62088" w:rsidRDefault="00E061F9" w:rsidP="00360131">
            <w:pPr>
              <w:spacing w:line="259" w:lineRule="auto"/>
              <w:jc w:val="center"/>
              <w:rPr>
                <w:rFonts w:cstheme="minorHAnsi"/>
                <w:szCs w:val="20"/>
              </w:rPr>
            </w:pPr>
            <w:r w:rsidRPr="00A62088">
              <w:rPr>
                <w:rFonts w:cstheme="minorHAnsi"/>
                <w:szCs w:val="20"/>
              </w:rPr>
              <w:t>142.</w:t>
            </w:r>
            <w:r w:rsidR="00E417E7" w:rsidRPr="00E417E7">
              <w:rPr>
                <w:rFonts w:cstheme="minorHAnsi"/>
                <w:szCs w:val="20"/>
              </w:rPr>
              <w:t>52</w:t>
            </w:r>
          </w:p>
        </w:tc>
        <w:tc>
          <w:tcPr>
            <w:tcW w:w="2221" w:type="dxa"/>
            <w:shd w:val="clear" w:color="auto" w:fill="D4D6DF"/>
            <w:vAlign w:val="center"/>
          </w:tcPr>
          <w:p w14:paraId="33E9CB65" w14:textId="486D5341" w:rsidR="00E061F9" w:rsidRPr="00A62088" w:rsidRDefault="00E061F9" w:rsidP="00360131">
            <w:pPr>
              <w:spacing w:line="259" w:lineRule="auto"/>
              <w:jc w:val="center"/>
              <w:rPr>
                <w:rFonts w:cstheme="minorHAnsi"/>
                <w:szCs w:val="20"/>
              </w:rPr>
            </w:pPr>
            <w:r w:rsidRPr="00A62088">
              <w:rPr>
                <w:rFonts w:cstheme="minorHAnsi"/>
                <w:szCs w:val="20"/>
              </w:rPr>
              <w:t>142.</w:t>
            </w:r>
            <w:r w:rsidR="00E417E7" w:rsidRPr="00E417E7">
              <w:rPr>
                <w:rFonts w:cstheme="minorHAnsi"/>
                <w:szCs w:val="20"/>
              </w:rPr>
              <w:t>52</w:t>
            </w:r>
          </w:p>
        </w:tc>
      </w:tr>
      <w:tr w:rsidR="00E061F9" w:rsidRPr="005F08D6" w14:paraId="10546C29" w14:textId="0C5BC04E" w:rsidTr="00360131">
        <w:trPr>
          <w:trHeight w:val="20"/>
        </w:trPr>
        <w:tc>
          <w:tcPr>
            <w:tcW w:w="2832" w:type="dxa"/>
            <w:noWrap/>
          </w:tcPr>
          <w:p w14:paraId="594D7307" w14:textId="722754B2" w:rsidR="00E061F9" w:rsidRPr="00A62088" w:rsidRDefault="00E061F9" w:rsidP="00E061F9">
            <w:pPr>
              <w:spacing w:line="259" w:lineRule="auto"/>
              <w:rPr>
                <w:rFonts w:cstheme="minorHAnsi"/>
                <w:szCs w:val="20"/>
              </w:rPr>
            </w:pPr>
            <w:r w:rsidRPr="00A62088">
              <w:rPr>
                <w:rFonts w:cstheme="minorHAnsi"/>
                <w:szCs w:val="20"/>
              </w:rPr>
              <w:t>Sewer improvements/compliance</w:t>
            </w:r>
          </w:p>
        </w:tc>
        <w:tc>
          <w:tcPr>
            <w:tcW w:w="2221" w:type="dxa"/>
            <w:vAlign w:val="center"/>
          </w:tcPr>
          <w:p w14:paraId="1B6C32F6" w14:textId="4BA6D329" w:rsidR="00E061F9" w:rsidRPr="00A62088" w:rsidRDefault="00E417E7" w:rsidP="00360131">
            <w:pPr>
              <w:spacing w:line="259" w:lineRule="auto"/>
              <w:jc w:val="center"/>
              <w:rPr>
                <w:rFonts w:cstheme="minorHAnsi"/>
                <w:szCs w:val="20"/>
              </w:rPr>
            </w:pPr>
            <w:r w:rsidRPr="00E417E7">
              <w:rPr>
                <w:rFonts w:cstheme="minorHAnsi"/>
                <w:szCs w:val="20"/>
              </w:rPr>
              <w:t>-</w:t>
            </w:r>
          </w:p>
        </w:tc>
        <w:tc>
          <w:tcPr>
            <w:tcW w:w="2221" w:type="dxa"/>
            <w:vAlign w:val="center"/>
          </w:tcPr>
          <w:p w14:paraId="20EBC795" w14:textId="3FC52C20" w:rsidR="00E061F9" w:rsidRPr="00A62088" w:rsidRDefault="00E061F9" w:rsidP="00360131">
            <w:pPr>
              <w:spacing w:line="259" w:lineRule="auto"/>
              <w:jc w:val="center"/>
              <w:rPr>
                <w:rFonts w:cstheme="minorHAnsi"/>
                <w:szCs w:val="20"/>
              </w:rPr>
            </w:pPr>
            <w:r w:rsidRPr="00A62088">
              <w:rPr>
                <w:rFonts w:cstheme="minorHAnsi"/>
                <w:szCs w:val="20"/>
              </w:rPr>
              <w:t>98.</w:t>
            </w:r>
            <w:r w:rsidR="00E417E7" w:rsidRPr="00E417E7">
              <w:rPr>
                <w:rFonts w:cstheme="minorHAnsi"/>
                <w:szCs w:val="20"/>
              </w:rPr>
              <w:t>93</w:t>
            </w:r>
          </w:p>
        </w:tc>
        <w:tc>
          <w:tcPr>
            <w:tcW w:w="2221" w:type="dxa"/>
            <w:vAlign w:val="center"/>
          </w:tcPr>
          <w:p w14:paraId="6AB39ABB" w14:textId="04293CBD" w:rsidR="00E061F9" w:rsidRPr="00A62088" w:rsidRDefault="00E061F9" w:rsidP="00360131">
            <w:pPr>
              <w:spacing w:line="259" w:lineRule="auto"/>
              <w:jc w:val="center"/>
              <w:rPr>
                <w:rFonts w:cstheme="minorHAnsi"/>
                <w:szCs w:val="20"/>
              </w:rPr>
            </w:pPr>
            <w:r w:rsidRPr="00A62088">
              <w:rPr>
                <w:rFonts w:cstheme="minorHAnsi"/>
                <w:szCs w:val="20"/>
              </w:rPr>
              <w:t>98.</w:t>
            </w:r>
            <w:r w:rsidR="00E417E7" w:rsidRPr="00E417E7">
              <w:rPr>
                <w:rFonts w:cstheme="minorHAnsi"/>
                <w:szCs w:val="20"/>
              </w:rPr>
              <w:t>93</w:t>
            </w:r>
          </w:p>
        </w:tc>
      </w:tr>
      <w:tr w:rsidR="00E061F9" w:rsidRPr="005F08D6" w14:paraId="58AA4177" w14:textId="73BA4E4B" w:rsidTr="00360131">
        <w:trPr>
          <w:trHeight w:val="20"/>
        </w:trPr>
        <w:tc>
          <w:tcPr>
            <w:tcW w:w="2832" w:type="dxa"/>
            <w:shd w:val="clear" w:color="auto" w:fill="D4D6DF"/>
            <w:noWrap/>
          </w:tcPr>
          <w:p w14:paraId="11C609E2" w14:textId="4252B238" w:rsidR="00E061F9" w:rsidRPr="00A62088" w:rsidRDefault="00E061F9" w:rsidP="00E061F9">
            <w:pPr>
              <w:spacing w:line="259" w:lineRule="auto"/>
              <w:rPr>
                <w:rFonts w:cstheme="minorHAnsi"/>
                <w:szCs w:val="20"/>
              </w:rPr>
            </w:pPr>
            <w:r w:rsidRPr="00A62088">
              <w:rPr>
                <w:rFonts w:cstheme="minorHAnsi"/>
                <w:szCs w:val="20"/>
              </w:rPr>
              <w:t>Sewer reliability</w:t>
            </w:r>
          </w:p>
        </w:tc>
        <w:tc>
          <w:tcPr>
            <w:tcW w:w="2221" w:type="dxa"/>
            <w:shd w:val="clear" w:color="auto" w:fill="D4D6DF"/>
            <w:vAlign w:val="center"/>
          </w:tcPr>
          <w:p w14:paraId="46C3C5C5" w14:textId="075033FF" w:rsidR="00E061F9" w:rsidRPr="00A62088" w:rsidRDefault="00E417E7" w:rsidP="00360131">
            <w:pPr>
              <w:spacing w:line="259" w:lineRule="auto"/>
              <w:jc w:val="center"/>
              <w:rPr>
                <w:rFonts w:cstheme="minorHAnsi"/>
                <w:szCs w:val="20"/>
              </w:rPr>
            </w:pPr>
            <w:r w:rsidRPr="00E417E7">
              <w:rPr>
                <w:rFonts w:cstheme="minorHAnsi"/>
                <w:szCs w:val="20"/>
              </w:rPr>
              <w:t>-</w:t>
            </w:r>
          </w:p>
        </w:tc>
        <w:tc>
          <w:tcPr>
            <w:tcW w:w="2221" w:type="dxa"/>
            <w:shd w:val="clear" w:color="auto" w:fill="D4D6DF"/>
            <w:vAlign w:val="center"/>
          </w:tcPr>
          <w:p w14:paraId="5F86FD24" w14:textId="0D66A624" w:rsidR="00E061F9" w:rsidRPr="00A62088" w:rsidRDefault="00E061F9" w:rsidP="00360131">
            <w:pPr>
              <w:spacing w:line="259" w:lineRule="auto"/>
              <w:jc w:val="center"/>
              <w:rPr>
                <w:rFonts w:cstheme="minorHAnsi"/>
                <w:szCs w:val="20"/>
              </w:rPr>
            </w:pPr>
            <w:r w:rsidRPr="00A62088">
              <w:rPr>
                <w:rFonts w:cstheme="minorHAnsi"/>
                <w:szCs w:val="20"/>
              </w:rPr>
              <w:t>91.</w:t>
            </w:r>
            <w:r w:rsidR="00E417E7" w:rsidRPr="00E417E7">
              <w:rPr>
                <w:rFonts w:cstheme="minorHAnsi"/>
                <w:szCs w:val="20"/>
              </w:rPr>
              <w:t>67</w:t>
            </w:r>
          </w:p>
        </w:tc>
        <w:tc>
          <w:tcPr>
            <w:tcW w:w="2221" w:type="dxa"/>
            <w:shd w:val="clear" w:color="auto" w:fill="D4D6DF"/>
            <w:vAlign w:val="center"/>
          </w:tcPr>
          <w:p w14:paraId="2C6E14B1" w14:textId="475173EE" w:rsidR="00E061F9" w:rsidRPr="00A62088" w:rsidRDefault="00E061F9" w:rsidP="00360131">
            <w:pPr>
              <w:spacing w:line="259" w:lineRule="auto"/>
              <w:jc w:val="center"/>
              <w:rPr>
                <w:rFonts w:cstheme="minorHAnsi"/>
                <w:szCs w:val="20"/>
              </w:rPr>
            </w:pPr>
            <w:r w:rsidRPr="00A62088">
              <w:rPr>
                <w:rFonts w:cstheme="minorHAnsi"/>
                <w:szCs w:val="20"/>
              </w:rPr>
              <w:t>91.</w:t>
            </w:r>
            <w:r w:rsidR="00E417E7" w:rsidRPr="00E417E7">
              <w:rPr>
                <w:rFonts w:cstheme="minorHAnsi"/>
                <w:szCs w:val="20"/>
              </w:rPr>
              <w:t>67</w:t>
            </w:r>
          </w:p>
        </w:tc>
      </w:tr>
      <w:tr w:rsidR="00E061F9" w:rsidRPr="005F08D6" w14:paraId="25249CA9" w14:textId="6D45175C" w:rsidTr="00360131">
        <w:trPr>
          <w:trHeight w:val="20"/>
        </w:trPr>
        <w:tc>
          <w:tcPr>
            <w:tcW w:w="2832" w:type="dxa"/>
            <w:noWrap/>
          </w:tcPr>
          <w:p w14:paraId="169E67F2" w14:textId="5DC50BFC" w:rsidR="00E061F9" w:rsidRPr="00A62088" w:rsidRDefault="00E061F9" w:rsidP="00E061F9">
            <w:pPr>
              <w:spacing w:line="259" w:lineRule="auto"/>
              <w:rPr>
                <w:rFonts w:cstheme="minorHAnsi"/>
                <w:szCs w:val="20"/>
              </w:rPr>
            </w:pPr>
            <w:r w:rsidRPr="00A62088">
              <w:rPr>
                <w:rFonts w:cstheme="minorHAnsi"/>
                <w:szCs w:val="20"/>
              </w:rPr>
              <w:t>Potable water renewals</w:t>
            </w:r>
          </w:p>
        </w:tc>
        <w:tc>
          <w:tcPr>
            <w:tcW w:w="2221" w:type="dxa"/>
            <w:vAlign w:val="center"/>
          </w:tcPr>
          <w:p w14:paraId="50077055" w14:textId="20217881" w:rsidR="00E061F9" w:rsidRPr="00A62088" w:rsidRDefault="00E417E7" w:rsidP="00360131">
            <w:pPr>
              <w:spacing w:line="259" w:lineRule="auto"/>
              <w:jc w:val="center"/>
              <w:rPr>
                <w:rFonts w:cstheme="minorHAnsi"/>
                <w:szCs w:val="20"/>
              </w:rPr>
            </w:pPr>
            <w:r w:rsidRPr="00E417E7">
              <w:rPr>
                <w:rFonts w:cstheme="minorHAnsi"/>
                <w:szCs w:val="20"/>
              </w:rPr>
              <w:t>-</w:t>
            </w:r>
          </w:p>
        </w:tc>
        <w:tc>
          <w:tcPr>
            <w:tcW w:w="2221" w:type="dxa"/>
            <w:vAlign w:val="center"/>
          </w:tcPr>
          <w:p w14:paraId="486D5361" w14:textId="326991A3" w:rsidR="00E061F9" w:rsidRPr="00A62088" w:rsidRDefault="00E061F9" w:rsidP="00360131">
            <w:pPr>
              <w:spacing w:line="259" w:lineRule="auto"/>
              <w:jc w:val="center"/>
              <w:rPr>
                <w:rFonts w:cstheme="minorHAnsi"/>
                <w:szCs w:val="20"/>
              </w:rPr>
            </w:pPr>
            <w:r w:rsidRPr="00A62088">
              <w:rPr>
                <w:rFonts w:cstheme="minorHAnsi"/>
                <w:szCs w:val="20"/>
              </w:rPr>
              <w:t>84.</w:t>
            </w:r>
            <w:r w:rsidR="00E417E7" w:rsidRPr="00E417E7">
              <w:rPr>
                <w:rFonts w:cstheme="minorHAnsi"/>
                <w:szCs w:val="20"/>
              </w:rPr>
              <w:t>07</w:t>
            </w:r>
          </w:p>
        </w:tc>
        <w:tc>
          <w:tcPr>
            <w:tcW w:w="2221" w:type="dxa"/>
            <w:vAlign w:val="center"/>
          </w:tcPr>
          <w:p w14:paraId="6E22867E" w14:textId="309E3697" w:rsidR="00E061F9" w:rsidRPr="00A62088" w:rsidRDefault="00E061F9" w:rsidP="00360131">
            <w:pPr>
              <w:spacing w:line="259" w:lineRule="auto"/>
              <w:jc w:val="center"/>
              <w:rPr>
                <w:rFonts w:cstheme="minorHAnsi"/>
                <w:szCs w:val="20"/>
              </w:rPr>
            </w:pPr>
            <w:r w:rsidRPr="00A62088">
              <w:rPr>
                <w:rFonts w:cstheme="minorHAnsi"/>
                <w:szCs w:val="20"/>
              </w:rPr>
              <w:t>84.</w:t>
            </w:r>
            <w:r w:rsidR="00E417E7" w:rsidRPr="00E417E7">
              <w:rPr>
                <w:rFonts w:cstheme="minorHAnsi"/>
                <w:szCs w:val="20"/>
              </w:rPr>
              <w:t>07</w:t>
            </w:r>
          </w:p>
        </w:tc>
      </w:tr>
      <w:tr w:rsidR="00E061F9" w:rsidRPr="005F08D6" w14:paraId="263F4A52" w14:textId="0FE5BE11" w:rsidTr="00360131">
        <w:trPr>
          <w:trHeight w:val="20"/>
        </w:trPr>
        <w:tc>
          <w:tcPr>
            <w:tcW w:w="2832" w:type="dxa"/>
            <w:shd w:val="clear" w:color="auto" w:fill="D4D6DF"/>
            <w:noWrap/>
          </w:tcPr>
          <w:p w14:paraId="089AD2DE" w14:textId="7739F0D6" w:rsidR="00E061F9" w:rsidRPr="00A62088" w:rsidRDefault="00E061F9" w:rsidP="00E061F9">
            <w:pPr>
              <w:spacing w:line="259" w:lineRule="auto"/>
              <w:rPr>
                <w:rFonts w:cstheme="minorHAnsi"/>
                <w:szCs w:val="20"/>
              </w:rPr>
            </w:pPr>
            <w:r w:rsidRPr="00A62088">
              <w:rPr>
                <w:rFonts w:cstheme="minorHAnsi"/>
                <w:szCs w:val="20"/>
              </w:rPr>
              <w:t>Treatment reliability</w:t>
            </w:r>
          </w:p>
        </w:tc>
        <w:tc>
          <w:tcPr>
            <w:tcW w:w="2221" w:type="dxa"/>
            <w:shd w:val="clear" w:color="auto" w:fill="D4D6DF"/>
            <w:vAlign w:val="center"/>
          </w:tcPr>
          <w:p w14:paraId="0C2D4048" w14:textId="7FAA716B" w:rsidR="00E061F9" w:rsidRPr="00A62088" w:rsidRDefault="00E417E7" w:rsidP="00360131">
            <w:pPr>
              <w:spacing w:line="259" w:lineRule="auto"/>
              <w:jc w:val="center"/>
              <w:rPr>
                <w:rFonts w:cstheme="minorHAnsi"/>
                <w:szCs w:val="20"/>
              </w:rPr>
            </w:pPr>
            <w:r w:rsidRPr="00E417E7">
              <w:rPr>
                <w:rFonts w:cstheme="minorHAnsi"/>
                <w:szCs w:val="20"/>
              </w:rPr>
              <w:t>-</w:t>
            </w:r>
          </w:p>
        </w:tc>
        <w:tc>
          <w:tcPr>
            <w:tcW w:w="2221" w:type="dxa"/>
            <w:shd w:val="clear" w:color="auto" w:fill="D4D6DF"/>
            <w:vAlign w:val="center"/>
          </w:tcPr>
          <w:p w14:paraId="3F07B88A" w14:textId="24A7AEDC" w:rsidR="00E061F9" w:rsidRPr="00A62088" w:rsidRDefault="00E061F9" w:rsidP="00360131">
            <w:pPr>
              <w:spacing w:line="259" w:lineRule="auto"/>
              <w:jc w:val="center"/>
              <w:rPr>
                <w:rFonts w:cstheme="minorHAnsi"/>
                <w:szCs w:val="20"/>
              </w:rPr>
            </w:pPr>
            <w:r w:rsidRPr="00A62088">
              <w:rPr>
                <w:rFonts w:cstheme="minorHAnsi"/>
                <w:szCs w:val="20"/>
              </w:rPr>
              <w:t>79.</w:t>
            </w:r>
            <w:r w:rsidR="00E417E7" w:rsidRPr="00E417E7">
              <w:rPr>
                <w:rFonts w:cstheme="minorHAnsi"/>
                <w:szCs w:val="20"/>
              </w:rPr>
              <w:t>13</w:t>
            </w:r>
          </w:p>
        </w:tc>
        <w:tc>
          <w:tcPr>
            <w:tcW w:w="2221" w:type="dxa"/>
            <w:shd w:val="clear" w:color="auto" w:fill="D4D6DF"/>
            <w:vAlign w:val="center"/>
          </w:tcPr>
          <w:p w14:paraId="0AED4A3E" w14:textId="2912E221" w:rsidR="00E061F9" w:rsidRPr="00A62088" w:rsidRDefault="00E061F9" w:rsidP="00360131">
            <w:pPr>
              <w:spacing w:line="259" w:lineRule="auto"/>
              <w:jc w:val="center"/>
              <w:rPr>
                <w:rFonts w:cstheme="minorHAnsi"/>
                <w:szCs w:val="20"/>
              </w:rPr>
            </w:pPr>
            <w:r w:rsidRPr="00A62088">
              <w:rPr>
                <w:rFonts w:cstheme="minorHAnsi"/>
                <w:szCs w:val="20"/>
              </w:rPr>
              <w:t>79.</w:t>
            </w:r>
            <w:r w:rsidR="00E417E7" w:rsidRPr="00E417E7">
              <w:rPr>
                <w:rFonts w:cstheme="minorHAnsi"/>
                <w:szCs w:val="20"/>
              </w:rPr>
              <w:t>13</w:t>
            </w:r>
          </w:p>
        </w:tc>
      </w:tr>
      <w:tr w:rsidR="00E061F9" w:rsidRPr="005F08D6" w14:paraId="13D05544" w14:textId="0BD0E52C" w:rsidTr="00360131">
        <w:trPr>
          <w:trHeight w:val="20"/>
        </w:trPr>
        <w:tc>
          <w:tcPr>
            <w:tcW w:w="2832" w:type="dxa"/>
            <w:noWrap/>
          </w:tcPr>
          <w:p w14:paraId="2A2ADB3A" w14:textId="77777777" w:rsidR="00E061F9" w:rsidRPr="00A62088" w:rsidRDefault="00E061F9" w:rsidP="00E061F9">
            <w:pPr>
              <w:spacing w:line="259" w:lineRule="auto"/>
              <w:rPr>
                <w:rFonts w:cstheme="minorHAnsi"/>
                <w:szCs w:val="20"/>
              </w:rPr>
            </w:pPr>
            <w:r w:rsidRPr="00A62088">
              <w:rPr>
                <w:rFonts w:cstheme="minorHAnsi"/>
                <w:szCs w:val="20"/>
              </w:rPr>
              <w:t>Potable water growth</w:t>
            </w:r>
          </w:p>
        </w:tc>
        <w:tc>
          <w:tcPr>
            <w:tcW w:w="2221" w:type="dxa"/>
            <w:vAlign w:val="center"/>
          </w:tcPr>
          <w:p w14:paraId="44674445" w14:textId="63BAA474" w:rsidR="00E061F9" w:rsidRPr="00A62088" w:rsidRDefault="00E417E7" w:rsidP="00360131">
            <w:pPr>
              <w:spacing w:line="259" w:lineRule="auto"/>
              <w:jc w:val="center"/>
              <w:rPr>
                <w:rFonts w:cstheme="minorHAnsi"/>
                <w:szCs w:val="20"/>
              </w:rPr>
            </w:pPr>
            <w:r w:rsidRPr="00E417E7">
              <w:rPr>
                <w:rFonts w:cstheme="minorHAnsi"/>
                <w:szCs w:val="20"/>
              </w:rPr>
              <w:t>-</w:t>
            </w:r>
          </w:p>
        </w:tc>
        <w:tc>
          <w:tcPr>
            <w:tcW w:w="2221" w:type="dxa"/>
            <w:vAlign w:val="center"/>
          </w:tcPr>
          <w:p w14:paraId="48B2F0E5" w14:textId="684C2DCF" w:rsidR="00E061F9" w:rsidRPr="00A62088" w:rsidRDefault="00E061F9" w:rsidP="00360131">
            <w:pPr>
              <w:spacing w:line="259" w:lineRule="auto"/>
              <w:jc w:val="center"/>
              <w:rPr>
                <w:rFonts w:cstheme="minorHAnsi"/>
                <w:szCs w:val="20"/>
              </w:rPr>
            </w:pPr>
            <w:r w:rsidRPr="00A62088">
              <w:rPr>
                <w:rFonts w:cstheme="minorHAnsi"/>
                <w:szCs w:val="20"/>
              </w:rPr>
              <w:t>76.</w:t>
            </w:r>
            <w:r w:rsidR="00E417E7" w:rsidRPr="00E417E7">
              <w:rPr>
                <w:rFonts w:cstheme="minorHAnsi"/>
                <w:szCs w:val="20"/>
              </w:rPr>
              <w:t>18</w:t>
            </w:r>
          </w:p>
        </w:tc>
        <w:tc>
          <w:tcPr>
            <w:tcW w:w="2221" w:type="dxa"/>
            <w:vAlign w:val="center"/>
          </w:tcPr>
          <w:p w14:paraId="709D1938" w14:textId="3311F2EF" w:rsidR="00E061F9" w:rsidRPr="00A62088" w:rsidRDefault="00E061F9" w:rsidP="00360131">
            <w:pPr>
              <w:spacing w:line="259" w:lineRule="auto"/>
              <w:jc w:val="center"/>
              <w:rPr>
                <w:rFonts w:cstheme="minorHAnsi"/>
                <w:szCs w:val="20"/>
              </w:rPr>
            </w:pPr>
            <w:r w:rsidRPr="00A62088">
              <w:rPr>
                <w:rFonts w:cstheme="minorHAnsi"/>
                <w:szCs w:val="20"/>
              </w:rPr>
              <w:t>76.</w:t>
            </w:r>
            <w:r w:rsidR="00E417E7" w:rsidRPr="00E417E7">
              <w:rPr>
                <w:rFonts w:cstheme="minorHAnsi"/>
                <w:szCs w:val="20"/>
              </w:rPr>
              <w:t>18</w:t>
            </w:r>
          </w:p>
        </w:tc>
      </w:tr>
      <w:tr w:rsidR="00E061F9" w:rsidRPr="005F08D6" w14:paraId="094F2291" w14:textId="1E823316" w:rsidTr="00360131">
        <w:trPr>
          <w:trHeight w:val="20"/>
        </w:trPr>
        <w:tc>
          <w:tcPr>
            <w:tcW w:w="2832" w:type="dxa"/>
            <w:shd w:val="clear" w:color="auto" w:fill="D4D6DF"/>
            <w:noWrap/>
          </w:tcPr>
          <w:p w14:paraId="6512EA81" w14:textId="1AC4351E" w:rsidR="00E061F9" w:rsidRPr="00A62088" w:rsidRDefault="00E061F9" w:rsidP="00E061F9">
            <w:pPr>
              <w:spacing w:line="259" w:lineRule="auto"/>
              <w:rPr>
                <w:rFonts w:cstheme="minorHAnsi"/>
                <w:szCs w:val="20"/>
              </w:rPr>
            </w:pPr>
            <w:r w:rsidRPr="00A62088">
              <w:rPr>
                <w:rFonts w:cstheme="minorHAnsi"/>
                <w:szCs w:val="20"/>
              </w:rPr>
              <w:t>IWM schemes</w:t>
            </w:r>
          </w:p>
        </w:tc>
        <w:tc>
          <w:tcPr>
            <w:tcW w:w="2221" w:type="dxa"/>
            <w:shd w:val="clear" w:color="auto" w:fill="D4D6DF"/>
            <w:vAlign w:val="center"/>
          </w:tcPr>
          <w:p w14:paraId="257918DE" w14:textId="186456E0" w:rsidR="00E061F9" w:rsidRPr="00A62088" w:rsidRDefault="00E061F9" w:rsidP="00360131">
            <w:pPr>
              <w:spacing w:line="259" w:lineRule="auto"/>
              <w:jc w:val="center"/>
              <w:rPr>
                <w:rFonts w:cstheme="minorHAnsi"/>
                <w:szCs w:val="20"/>
              </w:rPr>
            </w:pPr>
            <w:r w:rsidRPr="00A62088">
              <w:rPr>
                <w:rFonts w:cstheme="minorHAnsi"/>
                <w:szCs w:val="20"/>
              </w:rPr>
              <w:t>68.</w:t>
            </w:r>
            <w:r w:rsidR="00E417E7" w:rsidRPr="00E417E7">
              <w:rPr>
                <w:rFonts w:cstheme="minorHAnsi"/>
                <w:szCs w:val="20"/>
              </w:rPr>
              <w:t>10</w:t>
            </w:r>
          </w:p>
        </w:tc>
        <w:tc>
          <w:tcPr>
            <w:tcW w:w="2221" w:type="dxa"/>
            <w:shd w:val="clear" w:color="auto" w:fill="D4D6DF"/>
            <w:vAlign w:val="center"/>
          </w:tcPr>
          <w:p w14:paraId="31BBB658" w14:textId="41AC6514" w:rsidR="00E061F9" w:rsidRPr="00A62088" w:rsidRDefault="00E061F9" w:rsidP="00360131">
            <w:pPr>
              <w:spacing w:line="259" w:lineRule="auto"/>
              <w:jc w:val="center"/>
              <w:rPr>
                <w:rFonts w:cstheme="minorHAnsi"/>
                <w:szCs w:val="20"/>
              </w:rPr>
            </w:pPr>
            <w:r w:rsidRPr="00A62088">
              <w:rPr>
                <w:rFonts w:cstheme="minorHAnsi"/>
                <w:szCs w:val="20"/>
              </w:rPr>
              <w:t>5.</w:t>
            </w:r>
            <w:r w:rsidR="00E417E7" w:rsidRPr="00E417E7">
              <w:rPr>
                <w:rFonts w:cstheme="minorHAnsi"/>
                <w:szCs w:val="20"/>
              </w:rPr>
              <w:t>94</w:t>
            </w:r>
          </w:p>
        </w:tc>
        <w:tc>
          <w:tcPr>
            <w:tcW w:w="2221" w:type="dxa"/>
            <w:shd w:val="clear" w:color="auto" w:fill="D4D6DF"/>
            <w:vAlign w:val="center"/>
          </w:tcPr>
          <w:p w14:paraId="2492891B" w14:textId="79D5B7EB" w:rsidR="00E061F9" w:rsidRPr="00A62088" w:rsidRDefault="00E061F9" w:rsidP="00360131">
            <w:pPr>
              <w:spacing w:line="259" w:lineRule="auto"/>
              <w:jc w:val="center"/>
              <w:rPr>
                <w:rFonts w:cstheme="minorHAnsi"/>
                <w:szCs w:val="20"/>
              </w:rPr>
            </w:pPr>
            <w:r w:rsidRPr="00A62088">
              <w:rPr>
                <w:rFonts w:cstheme="minorHAnsi"/>
                <w:szCs w:val="20"/>
              </w:rPr>
              <w:t>74.</w:t>
            </w:r>
            <w:r w:rsidR="00E417E7" w:rsidRPr="00E417E7">
              <w:rPr>
                <w:rFonts w:cstheme="minorHAnsi"/>
                <w:szCs w:val="20"/>
              </w:rPr>
              <w:t>04</w:t>
            </w:r>
          </w:p>
        </w:tc>
      </w:tr>
      <w:tr w:rsidR="00E061F9" w:rsidRPr="005F08D6" w14:paraId="6E9B8843" w14:textId="23AB497A" w:rsidTr="00360131">
        <w:trPr>
          <w:trHeight w:val="20"/>
        </w:trPr>
        <w:tc>
          <w:tcPr>
            <w:tcW w:w="2832" w:type="dxa"/>
            <w:noWrap/>
          </w:tcPr>
          <w:p w14:paraId="3BEDCAED" w14:textId="7CBAE3D1" w:rsidR="00E061F9" w:rsidRPr="00A62088" w:rsidRDefault="00E061F9" w:rsidP="00E061F9">
            <w:pPr>
              <w:spacing w:line="259" w:lineRule="auto"/>
              <w:rPr>
                <w:rFonts w:cstheme="minorHAnsi"/>
                <w:szCs w:val="20"/>
              </w:rPr>
            </w:pPr>
            <w:r w:rsidRPr="00A62088">
              <w:rPr>
                <w:rFonts w:cstheme="minorHAnsi"/>
                <w:szCs w:val="20"/>
              </w:rPr>
              <w:t>Potable water improvements/compliance</w:t>
            </w:r>
          </w:p>
        </w:tc>
        <w:tc>
          <w:tcPr>
            <w:tcW w:w="2221" w:type="dxa"/>
            <w:vAlign w:val="center"/>
          </w:tcPr>
          <w:p w14:paraId="7891CC72" w14:textId="1F64CFCF" w:rsidR="00E061F9" w:rsidRPr="00A62088" w:rsidRDefault="00E417E7" w:rsidP="00360131">
            <w:pPr>
              <w:spacing w:line="259" w:lineRule="auto"/>
              <w:jc w:val="center"/>
              <w:rPr>
                <w:rFonts w:cstheme="minorHAnsi"/>
                <w:szCs w:val="20"/>
              </w:rPr>
            </w:pPr>
            <w:r w:rsidRPr="00E417E7">
              <w:rPr>
                <w:rFonts w:cstheme="minorHAnsi"/>
                <w:szCs w:val="20"/>
              </w:rPr>
              <w:t>-</w:t>
            </w:r>
          </w:p>
        </w:tc>
        <w:tc>
          <w:tcPr>
            <w:tcW w:w="2221" w:type="dxa"/>
            <w:vAlign w:val="center"/>
          </w:tcPr>
          <w:p w14:paraId="0C5D33DE" w14:textId="7B383EAE" w:rsidR="00E061F9" w:rsidRPr="00A62088" w:rsidRDefault="00E061F9" w:rsidP="00360131">
            <w:pPr>
              <w:spacing w:line="259" w:lineRule="auto"/>
              <w:jc w:val="center"/>
              <w:rPr>
                <w:rFonts w:cstheme="minorHAnsi"/>
                <w:szCs w:val="20"/>
              </w:rPr>
            </w:pPr>
            <w:r w:rsidRPr="00A62088">
              <w:rPr>
                <w:rFonts w:cstheme="minorHAnsi"/>
                <w:szCs w:val="20"/>
              </w:rPr>
              <w:t>67.</w:t>
            </w:r>
            <w:r w:rsidR="00E417E7" w:rsidRPr="00E417E7">
              <w:rPr>
                <w:rFonts w:cstheme="minorHAnsi"/>
                <w:szCs w:val="20"/>
              </w:rPr>
              <w:t>47</w:t>
            </w:r>
          </w:p>
        </w:tc>
        <w:tc>
          <w:tcPr>
            <w:tcW w:w="2221" w:type="dxa"/>
            <w:vAlign w:val="center"/>
          </w:tcPr>
          <w:p w14:paraId="393D3BF1" w14:textId="4BD00C19" w:rsidR="00E061F9" w:rsidRPr="00A62088" w:rsidRDefault="00E061F9" w:rsidP="00360131">
            <w:pPr>
              <w:spacing w:line="259" w:lineRule="auto"/>
              <w:jc w:val="center"/>
              <w:rPr>
                <w:rFonts w:cstheme="minorHAnsi"/>
                <w:szCs w:val="20"/>
              </w:rPr>
            </w:pPr>
            <w:r w:rsidRPr="00A62088">
              <w:rPr>
                <w:rFonts w:cstheme="minorHAnsi"/>
                <w:szCs w:val="20"/>
              </w:rPr>
              <w:t>67.</w:t>
            </w:r>
            <w:r w:rsidR="00E417E7" w:rsidRPr="00E417E7">
              <w:rPr>
                <w:rFonts w:cstheme="minorHAnsi"/>
                <w:szCs w:val="20"/>
              </w:rPr>
              <w:t>47</w:t>
            </w:r>
          </w:p>
        </w:tc>
      </w:tr>
      <w:tr w:rsidR="00E061F9" w:rsidRPr="005F08D6" w14:paraId="22AC3666" w14:textId="4407FD1E" w:rsidTr="00360131">
        <w:trPr>
          <w:trHeight w:val="20"/>
        </w:trPr>
        <w:tc>
          <w:tcPr>
            <w:tcW w:w="2832" w:type="dxa"/>
            <w:shd w:val="clear" w:color="auto" w:fill="D4D6DF"/>
            <w:noWrap/>
          </w:tcPr>
          <w:p w14:paraId="0587D16E" w14:textId="14C35311" w:rsidR="00E061F9" w:rsidRPr="00A62088" w:rsidRDefault="00E061F9" w:rsidP="00E061F9">
            <w:pPr>
              <w:spacing w:line="259" w:lineRule="auto"/>
              <w:rPr>
                <w:rFonts w:cstheme="minorHAnsi"/>
                <w:szCs w:val="20"/>
              </w:rPr>
            </w:pPr>
            <w:r w:rsidRPr="00A62088">
              <w:rPr>
                <w:rFonts w:cstheme="minorHAnsi"/>
                <w:szCs w:val="20"/>
              </w:rPr>
              <w:t>Potable water quality</w:t>
            </w:r>
          </w:p>
        </w:tc>
        <w:tc>
          <w:tcPr>
            <w:tcW w:w="2221" w:type="dxa"/>
            <w:shd w:val="clear" w:color="auto" w:fill="D4D6DF"/>
            <w:vAlign w:val="center"/>
          </w:tcPr>
          <w:p w14:paraId="581A29E8" w14:textId="7D0D9019" w:rsidR="00E061F9" w:rsidRPr="00A62088" w:rsidRDefault="00E417E7" w:rsidP="00360131">
            <w:pPr>
              <w:spacing w:line="259" w:lineRule="auto"/>
              <w:jc w:val="center"/>
              <w:rPr>
                <w:rFonts w:cstheme="minorHAnsi"/>
                <w:szCs w:val="20"/>
              </w:rPr>
            </w:pPr>
            <w:r w:rsidRPr="00E417E7">
              <w:rPr>
                <w:rFonts w:cstheme="minorHAnsi"/>
                <w:szCs w:val="20"/>
              </w:rPr>
              <w:t>-</w:t>
            </w:r>
          </w:p>
        </w:tc>
        <w:tc>
          <w:tcPr>
            <w:tcW w:w="2221" w:type="dxa"/>
            <w:shd w:val="clear" w:color="auto" w:fill="D4D6DF"/>
            <w:vAlign w:val="center"/>
          </w:tcPr>
          <w:p w14:paraId="7EC690C1" w14:textId="0D8BEBB8" w:rsidR="00E061F9" w:rsidRPr="00A62088" w:rsidRDefault="00E061F9" w:rsidP="00360131">
            <w:pPr>
              <w:spacing w:line="259" w:lineRule="auto"/>
              <w:jc w:val="center"/>
              <w:rPr>
                <w:rFonts w:cstheme="minorHAnsi"/>
                <w:szCs w:val="20"/>
              </w:rPr>
            </w:pPr>
            <w:r w:rsidRPr="00A62088">
              <w:rPr>
                <w:rFonts w:cstheme="minorHAnsi"/>
                <w:szCs w:val="20"/>
              </w:rPr>
              <w:t>63.</w:t>
            </w:r>
            <w:r w:rsidR="00E417E7" w:rsidRPr="00E417E7">
              <w:rPr>
                <w:rFonts w:cstheme="minorHAnsi"/>
                <w:szCs w:val="20"/>
              </w:rPr>
              <w:t>14</w:t>
            </w:r>
          </w:p>
        </w:tc>
        <w:tc>
          <w:tcPr>
            <w:tcW w:w="2221" w:type="dxa"/>
            <w:shd w:val="clear" w:color="auto" w:fill="D4D6DF"/>
            <w:vAlign w:val="center"/>
          </w:tcPr>
          <w:p w14:paraId="19CC7705" w14:textId="371A30BB" w:rsidR="00E061F9" w:rsidRPr="00A62088" w:rsidRDefault="00E061F9" w:rsidP="00360131">
            <w:pPr>
              <w:spacing w:line="259" w:lineRule="auto"/>
              <w:jc w:val="center"/>
              <w:rPr>
                <w:rFonts w:cstheme="minorHAnsi"/>
                <w:szCs w:val="20"/>
              </w:rPr>
            </w:pPr>
            <w:r w:rsidRPr="00A62088">
              <w:rPr>
                <w:rFonts w:cstheme="minorHAnsi"/>
                <w:szCs w:val="20"/>
              </w:rPr>
              <w:t>63.</w:t>
            </w:r>
            <w:r w:rsidR="00E417E7" w:rsidRPr="00E417E7">
              <w:rPr>
                <w:rFonts w:cstheme="minorHAnsi"/>
                <w:szCs w:val="20"/>
              </w:rPr>
              <w:t>14</w:t>
            </w:r>
          </w:p>
        </w:tc>
      </w:tr>
      <w:tr w:rsidR="00E061F9" w:rsidRPr="005F08D6" w14:paraId="7F5D4CD0" w14:textId="10365C52" w:rsidTr="00360131">
        <w:trPr>
          <w:trHeight w:val="20"/>
        </w:trPr>
        <w:tc>
          <w:tcPr>
            <w:tcW w:w="2832" w:type="dxa"/>
            <w:noWrap/>
          </w:tcPr>
          <w:p w14:paraId="2DA6571B" w14:textId="77777777" w:rsidR="00E061F9" w:rsidRPr="00A62088" w:rsidRDefault="00E061F9" w:rsidP="00E061F9">
            <w:pPr>
              <w:spacing w:line="259" w:lineRule="auto"/>
              <w:rPr>
                <w:rFonts w:cstheme="minorHAnsi"/>
                <w:szCs w:val="20"/>
              </w:rPr>
            </w:pPr>
            <w:r w:rsidRPr="00A62088">
              <w:rPr>
                <w:rFonts w:cstheme="minorHAnsi"/>
                <w:szCs w:val="20"/>
              </w:rPr>
              <w:t>Recycled water growth</w:t>
            </w:r>
          </w:p>
        </w:tc>
        <w:tc>
          <w:tcPr>
            <w:tcW w:w="2221" w:type="dxa"/>
            <w:vAlign w:val="center"/>
          </w:tcPr>
          <w:p w14:paraId="7D731C22" w14:textId="706E2F82" w:rsidR="00E061F9" w:rsidRPr="00A62088" w:rsidRDefault="00E417E7" w:rsidP="00360131">
            <w:pPr>
              <w:spacing w:line="259" w:lineRule="auto"/>
              <w:jc w:val="center"/>
              <w:rPr>
                <w:rFonts w:cstheme="minorHAnsi"/>
                <w:szCs w:val="20"/>
              </w:rPr>
            </w:pPr>
            <w:r w:rsidRPr="00E417E7">
              <w:rPr>
                <w:rFonts w:cstheme="minorHAnsi"/>
                <w:szCs w:val="20"/>
              </w:rPr>
              <w:t>-</w:t>
            </w:r>
          </w:p>
        </w:tc>
        <w:tc>
          <w:tcPr>
            <w:tcW w:w="2221" w:type="dxa"/>
            <w:vAlign w:val="center"/>
          </w:tcPr>
          <w:p w14:paraId="440B44DB" w14:textId="7670B115" w:rsidR="00E061F9" w:rsidRPr="00A62088" w:rsidRDefault="00E061F9" w:rsidP="00360131">
            <w:pPr>
              <w:spacing w:line="259" w:lineRule="auto"/>
              <w:jc w:val="center"/>
              <w:rPr>
                <w:rFonts w:cstheme="minorHAnsi"/>
                <w:szCs w:val="20"/>
              </w:rPr>
            </w:pPr>
            <w:r w:rsidRPr="00A62088">
              <w:rPr>
                <w:rFonts w:cstheme="minorHAnsi"/>
                <w:szCs w:val="20"/>
              </w:rPr>
              <w:t>58.</w:t>
            </w:r>
            <w:r w:rsidR="00E417E7" w:rsidRPr="00E417E7">
              <w:rPr>
                <w:rFonts w:cstheme="minorHAnsi"/>
                <w:szCs w:val="20"/>
              </w:rPr>
              <w:t>16</w:t>
            </w:r>
          </w:p>
        </w:tc>
        <w:tc>
          <w:tcPr>
            <w:tcW w:w="2221" w:type="dxa"/>
            <w:vAlign w:val="center"/>
          </w:tcPr>
          <w:p w14:paraId="78E41FAC" w14:textId="12EA26FF" w:rsidR="00E061F9" w:rsidRPr="00A62088" w:rsidRDefault="00E061F9" w:rsidP="00360131">
            <w:pPr>
              <w:spacing w:line="259" w:lineRule="auto"/>
              <w:jc w:val="center"/>
              <w:rPr>
                <w:rFonts w:cstheme="minorHAnsi"/>
                <w:szCs w:val="20"/>
              </w:rPr>
            </w:pPr>
            <w:r w:rsidRPr="00A62088">
              <w:rPr>
                <w:rFonts w:cstheme="minorHAnsi"/>
                <w:szCs w:val="20"/>
              </w:rPr>
              <w:t>58.</w:t>
            </w:r>
            <w:r w:rsidR="00E417E7" w:rsidRPr="00E417E7">
              <w:rPr>
                <w:rFonts w:cstheme="minorHAnsi"/>
                <w:szCs w:val="20"/>
              </w:rPr>
              <w:t>16</w:t>
            </w:r>
          </w:p>
        </w:tc>
      </w:tr>
      <w:tr w:rsidR="00E061F9" w:rsidRPr="005F08D6" w14:paraId="2B9AA263" w14:textId="75D17A26" w:rsidTr="00360131">
        <w:trPr>
          <w:trHeight w:val="20"/>
        </w:trPr>
        <w:tc>
          <w:tcPr>
            <w:tcW w:w="2832" w:type="dxa"/>
            <w:shd w:val="clear" w:color="auto" w:fill="D4D6DF"/>
            <w:noWrap/>
          </w:tcPr>
          <w:p w14:paraId="43AFAB51" w14:textId="209612E3" w:rsidR="00E061F9" w:rsidRPr="00A62088" w:rsidRDefault="00E061F9" w:rsidP="00E061F9">
            <w:pPr>
              <w:spacing w:line="259" w:lineRule="auto"/>
              <w:rPr>
                <w:rFonts w:cstheme="minorHAnsi"/>
                <w:szCs w:val="20"/>
              </w:rPr>
            </w:pPr>
            <w:r w:rsidRPr="00A62088">
              <w:rPr>
                <w:rFonts w:cstheme="minorHAnsi"/>
                <w:szCs w:val="20"/>
              </w:rPr>
              <w:t>Potable water reliability</w:t>
            </w:r>
          </w:p>
        </w:tc>
        <w:tc>
          <w:tcPr>
            <w:tcW w:w="2221" w:type="dxa"/>
            <w:shd w:val="clear" w:color="auto" w:fill="D4D6DF"/>
            <w:vAlign w:val="center"/>
          </w:tcPr>
          <w:p w14:paraId="10DFF12B" w14:textId="20317FAE" w:rsidR="00E061F9" w:rsidRPr="00A62088" w:rsidRDefault="00E417E7" w:rsidP="00360131">
            <w:pPr>
              <w:spacing w:line="259" w:lineRule="auto"/>
              <w:jc w:val="center"/>
              <w:rPr>
                <w:rFonts w:cstheme="minorHAnsi"/>
                <w:szCs w:val="20"/>
              </w:rPr>
            </w:pPr>
            <w:r w:rsidRPr="00E417E7">
              <w:rPr>
                <w:rFonts w:cstheme="minorHAnsi"/>
                <w:szCs w:val="20"/>
              </w:rPr>
              <w:t>-</w:t>
            </w:r>
          </w:p>
        </w:tc>
        <w:tc>
          <w:tcPr>
            <w:tcW w:w="2221" w:type="dxa"/>
            <w:shd w:val="clear" w:color="auto" w:fill="D4D6DF"/>
            <w:vAlign w:val="center"/>
          </w:tcPr>
          <w:p w14:paraId="7A33ADAC" w14:textId="4E04224E" w:rsidR="00E061F9" w:rsidRPr="00A62088" w:rsidRDefault="00E061F9" w:rsidP="00360131">
            <w:pPr>
              <w:spacing w:line="259" w:lineRule="auto"/>
              <w:jc w:val="center"/>
              <w:rPr>
                <w:rFonts w:cstheme="minorHAnsi"/>
                <w:szCs w:val="20"/>
              </w:rPr>
            </w:pPr>
            <w:r w:rsidRPr="00A62088">
              <w:rPr>
                <w:rFonts w:cstheme="minorHAnsi"/>
                <w:szCs w:val="20"/>
              </w:rPr>
              <w:t>57.</w:t>
            </w:r>
            <w:r w:rsidR="00E417E7" w:rsidRPr="00E417E7">
              <w:rPr>
                <w:rFonts w:cstheme="minorHAnsi"/>
                <w:szCs w:val="20"/>
              </w:rPr>
              <w:t>57</w:t>
            </w:r>
          </w:p>
        </w:tc>
        <w:tc>
          <w:tcPr>
            <w:tcW w:w="2221" w:type="dxa"/>
            <w:shd w:val="clear" w:color="auto" w:fill="D4D6DF"/>
            <w:vAlign w:val="center"/>
          </w:tcPr>
          <w:p w14:paraId="7BFD99B7" w14:textId="44877BDF" w:rsidR="00E061F9" w:rsidRPr="00A62088" w:rsidRDefault="00E061F9" w:rsidP="00360131">
            <w:pPr>
              <w:spacing w:line="259" w:lineRule="auto"/>
              <w:jc w:val="center"/>
              <w:rPr>
                <w:rFonts w:cstheme="minorHAnsi"/>
                <w:szCs w:val="20"/>
              </w:rPr>
            </w:pPr>
            <w:r w:rsidRPr="00A62088">
              <w:rPr>
                <w:rFonts w:cstheme="minorHAnsi"/>
                <w:szCs w:val="20"/>
              </w:rPr>
              <w:t>57.</w:t>
            </w:r>
            <w:r w:rsidR="00E417E7" w:rsidRPr="00E417E7">
              <w:rPr>
                <w:rFonts w:cstheme="minorHAnsi"/>
                <w:szCs w:val="20"/>
              </w:rPr>
              <w:t>57</w:t>
            </w:r>
          </w:p>
        </w:tc>
      </w:tr>
      <w:tr w:rsidR="00E061F9" w:rsidRPr="005F08D6" w14:paraId="37694AF2" w14:textId="3E214E1C" w:rsidTr="00360131">
        <w:trPr>
          <w:trHeight w:val="20"/>
        </w:trPr>
        <w:tc>
          <w:tcPr>
            <w:tcW w:w="2832" w:type="dxa"/>
            <w:noWrap/>
          </w:tcPr>
          <w:p w14:paraId="66547007" w14:textId="385F519A" w:rsidR="00E061F9" w:rsidRPr="00A62088" w:rsidRDefault="00E061F9" w:rsidP="00E061F9">
            <w:pPr>
              <w:spacing w:line="259" w:lineRule="auto"/>
              <w:rPr>
                <w:rFonts w:cstheme="minorHAnsi"/>
                <w:szCs w:val="20"/>
              </w:rPr>
            </w:pPr>
            <w:r w:rsidRPr="00A62088">
              <w:rPr>
                <w:rFonts w:cstheme="minorHAnsi"/>
                <w:szCs w:val="20"/>
              </w:rPr>
              <w:t>Sewer backlog</w:t>
            </w:r>
          </w:p>
        </w:tc>
        <w:tc>
          <w:tcPr>
            <w:tcW w:w="2221" w:type="dxa"/>
            <w:vAlign w:val="center"/>
          </w:tcPr>
          <w:p w14:paraId="40058B3A" w14:textId="73879540" w:rsidR="00E061F9" w:rsidRPr="00A62088" w:rsidRDefault="00E417E7" w:rsidP="00360131">
            <w:pPr>
              <w:spacing w:line="259" w:lineRule="auto"/>
              <w:jc w:val="center"/>
              <w:rPr>
                <w:rFonts w:cstheme="minorHAnsi"/>
                <w:szCs w:val="20"/>
              </w:rPr>
            </w:pPr>
            <w:r w:rsidRPr="00E417E7">
              <w:rPr>
                <w:rFonts w:cstheme="minorHAnsi"/>
                <w:szCs w:val="20"/>
              </w:rPr>
              <w:t>-</w:t>
            </w:r>
          </w:p>
        </w:tc>
        <w:tc>
          <w:tcPr>
            <w:tcW w:w="2221" w:type="dxa"/>
            <w:vAlign w:val="center"/>
          </w:tcPr>
          <w:p w14:paraId="2FBB16E0" w14:textId="4554B5EC" w:rsidR="00E061F9" w:rsidRPr="00A62088" w:rsidRDefault="00E061F9" w:rsidP="00360131">
            <w:pPr>
              <w:spacing w:line="259" w:lineRule="auto"/>
              <w:jc w:val="center"/>
              <w:rPr>
                <w:rFonts w:cstheme="minorHAnsi"/>
                <w:szCs w:val="20"/>
              </w:rPr>
            </w:pPr>
            <w:r w:rsidRPr="00A62088">
              <w:rPr>
                <w:rFonts w:cstheme="minorHAnsi"/>
                <w:szCs w:val="20"/>
              </w:rPr>
              <w:t>54.</w:t>
            </w:r>
            <w:r w:rsidR="00E417E7" w:rsidRPr="00E417E7">
              <w:rPr>
                <w:rFonts w:cstheme="minorHAnsi"/>
                <w:szCs w:val="20"/>
              </w:rPr>
              <w:t>02</w:t>
            </w:r>
          </w:p>
        </w:tc>
        <w:tc>
          <w:tcPr>
            <w:tcW w:w="2221" w:type="dxa"/>
            <w:vAlign w:val="center"/>
          </w:tcPr>
          <w:p w14:paraId="5C8B2888" w14:textId="25C92A09" w:rsidR="00E061F9" w:rsidRPr="00A62088" w:rsidRDefault="00E061F9" w:rsidP="00360131">
            <w:pPr>
              <w:spacing w:line="259" w:lineRule="auto"/>
              <w:jc w:val="center"/>
              <w:rPr>
                <w:rFonts w:cstheme="minorHAnsi"/>
                <w:szCs w:val="20"/>
              </w:rPr>
            </w:pPr>
            <w:r w:rsidRPr="00A62088">
              <w:rPr>
                <w:rFonts w:cstheme="minorHAnsi"/>
                <w:szCs w:val="20"/>
              </w:rPr>
              <w:t>54.</w:t>
            </w:r>
            <w:r w:rsidR="00E417E7" w:rsidRPr="00E417E7">
              <w:rPr>
                <w:rFonts w:cstheme="minorHAnsi"/>
                <w:szCs w:val="20"/>
              </w:rPr>
              <w:t>02</w:t>
            </w:r>
          </w:p>
        </w:tc>
      </w:tr>
      <w:tr w:rsidR="00E061F9" w:rsidRPr="005F08D6" w14:paraId="4C372AB8" w14:textId="28CDD6C4" w:rsidTr="00360131">
        <w:trPr>
          <w:trHeight w:val="20"/>
        </w:trPr>
        <w:tc>
          <w:tcPr>
            <w:tcW w:w="2832" w:type="dxa"/>
            <w:shd w:val="clear" w:color="auto" w:fill="D4D6DF"/>
            <w:noWrap/>
          </w:tcPr>
          <w:p w14:paraId="5D6CE8E6" w14:textId="3BCA5132" w:rsidR="00E061F9" w:rsidRPr="00A62088" w:rsidRDefault="00E061F9" w:rsidP="00E061F9">
            <w:pPr>
              <w:spacing w:line="259" w:lineRule="auto"/>
              <w:rPr>
                <w:rFonts w:cstheme="minorHAnsi"/>
                <w:szCs w:val="20"/>
              </w:rPr>
            </w:pPr>
            <w:r w:rsidRPr="00A62088">
              <w:rPr>
                <w:rFonts w:cstheme="minorHAnsi"/>
                <w:szCs w:val="20"/>
              </w:rPr>
              <w:t>Distributed treatment</w:t>
            </w:r>
          </w:p>
        </w:tc>
        <w:tc>
          <w:tcPr>
            <w:tcW w:w="2221" w:type="dxa"/>
            <w:shd w:val="clear" w:color="auto" w:fill="D4D6DF"/>
            <w:vAlign w:val="center"/>
          </w:tcPr>
          <w:p w14:paraId="5D55AFC1" w14:textId="0E247757" w:rsidR="00E061F9" w:rsidRPr="00A62088" w:rsidRDefault="00E417E7" w:rsidP="00360131">
            <w:pPr>
              <w:spacing w:line="259" w:lineRule="auto"/>
              <w:jc w:val="center"/>
              <w:rPr>
                <w:rFonts w:cstheme="minorHAnsi"/>
                <w:szCs w:val="20"/>
              </w:rPr>
            </w:pPr>
            <w:r w:rsidRPr="00E417E7">
              <w:rPr>
                <w:rFonts w:cstheme="minorHAnsi"/>
                <w:szCs w:val="20"/>
              </w:rPr>
              <w:t>-</w:t>
            </w:r>
          </w:p>
        </w:tc>
        <w:tc>
          <w:tcPr>
            <w:tcW w:w="2221" w:type="dxa"/>
            <w:shd w:val="clear" w:color="auto" w:fill="D4D6DF"/>
            <w:vAlign w:val="center"/>
          </w:tcPr>
          <w:p w14:paraId="3B447487" w14:textId="16F69827" w:rsidR="00E061F9" w:rsidRPr="00A62088" w:rsidRDefault="00E061F9" w:rsidP="00360131">
            <w:pPr>
              <w:spacing w:line="259" w:lineRule="auto"/>
              <w:jc w:val="center"/>
              <w:rPr>
                <w:rFonts w:cstheme="minorHAnsi"/>
                <w:szCs w:val="20"/>
              </w:rPr>
            </w:pPr>
            <w:r w:rsidRPr="00A62088">
              <w:rPr>
                <w:rFonts w:cstheme="minorHAnsi"/>
                <w:szCs w:val="20"/>
              </w:rPr>
              <w:t>51.</w:t>
            </w:r>
            <w:r w:rsidR="00E417E7" w:rsidRPr="00E417E7">
              <w:rPr>
                <w:rFonts w:cstheme="minorHAnsi"/>
                <w:szCs w:val="20"/>
              </w:rPr>
              <w:t>02</w:t>
            </w:r>
          </w:p>
        </w:tc>
        <w:tc>
          <w:tcPr>
            <w:tcW w:w="2221" w:type="dxa"/>
            <w:shd w:val="clear" w:color="auto" w:fill="D4D6DF"/>
            <w:vAlign w:val="center"/>
          </w:tcPr>
          <w:p w14:paraId="41291C38" w14:textId="33B7904E" w:rsidR="00E061F9" w:rsidRPr="00A62088" w:rsidRDefault="00E061F9" w:rsidP="00360131">
            <w:pPr>
              <w:spacing w:line="259" w:lineRule="auto"/>
              <w:jc w:val="center"/>
              <w:rPr>
                <w:rFonts w:cstheme="minorHAnsi"/>
                <w:szCs w:val="20"/>
              </w:rPr>
            </w:pPr>
            <w:r w:rsidRPr="00A62088">
              <w:rPr>
                <w:rFonts w:cstheme="minorHAnsi"/>
                <w:szCs w:val="20"/>
              </w:rPr>
              <w:t>51.</w:t>
            </w:r>
            <w:r w:rsidR="00E417E7" w:rsidRPr="00E417E7">
              <w:rPr>
                <w:rFonts w:cstheme="minorHAnsi"/>
                <w:szCs w:val="20"/>
              </w:rPr>
              <w:t>02</w:t>
            </w:r>
          </w:p>
        </w:tc>
      </w:tr>
      <w:tr w:rsidR="00E061F9" w:rsidRPr="005F08D6" w14:paraId="125E30EB" w14:textId="24382D45" w:rsidTr="00360131">
        <w:trPr>
          <w:trHeight w:val="20"/>
        </w:trPr>
        <w:tc>
          <w:tcPr>
            <w:tcW w:w="2832" w:type="dxa"/>
            <w:noWrap/>
          </w:tcPr>
          <w:p w14:paraId="7B6EC036" w14:textId="5B99B33E" w:rsidR="00E061F9" w:rsidRPr="00A62088" w:rsidRDefault="00E061F9" w:rsidP="00E061F9">
            <w:pPr>
              <w:spacing w:line="259" w:lineRule="auto"/>
              <w:rPr>
                <w:rFonts w:cstheme="minorHAnsi"/>
                <w:szCs w:val="20"/>
              </w:rPr>
            </w:pPr>
            <w:r w:rsidRPr="00A62088">
              <w:rPr>
                <w:rFonts w:cstheme="minorHAnsi"/>
                <w:szCs w:val="20"/>
              </w:rPr>
              <w:t>Sewer renewals</w:t>
            </w:r>
          </w:p>
        </w:tc>
        <w:tc>
          <w:tcPr>
            <w:tcW w:w="2221" w:type="dxa"/>
            <w:vAlign w:val="center"/>
          </w:tcPr>
          <w:p w14:paraId="02A0B1B2" w14:textId="2911D4B3" w:rsidR="00E061F9" w:rsidRPr="00A62088" w:rsidRDefault="00E417E7" w:rsidP="00360131">
            <w:pPr>
              <w:spacing w:line="259" w:lineRule="auto"/>
              <w:jc w:val="center"/>
              <w:rPr>
                <w:rFonts w:cstheme="minorHAnsi"/>
                <w:szCs w:val="20"/>
              </w:rPr>
            </w:pPr>
            <w:r w:rsidRPr="00E417E7">
              <w:rPr>
                <w:rFonts w:cstheme="minorHAnsi"/>
                <w:szCs w:val="20"/>
              </w:rPr>
              <w:t>-</w:t>
            </w:r>
          </w:p>
        </w:tc>
        <w:tc>
          <w:tcPr>
            <w:tcW w:w="2221" w:type="dxa"/>
            <w:vAlign w:val="center"/>
          </w:tcPr>
          <w:p w14:paraId="69CDAC77" w14:textId="7032EB5D" w:rsidR="00E061F9" w:rsidRPr="00A62088" w:rsidRDefault="00E061F9" w:rsidP="00360131">
            <w:pPr>
              <w:spacing w:line="259" w:lineRule="auto"/>
              <w:jc w:val="center"/>
              <w:rPr>
                <w:rFonts w:cstheme="minorHAnsi"/>
                <w:szCs w:val="20"/>
              </w:rPr>
            </w:pPr>
            <w:r w:rsidRPr="00A62088">
              <w:rPr>
                <w:rFonts w:cstheme="minorHAnsi"/>
                <w:szCs w:val="20"/>
              </w:rPr>
              <w:t>28.</w:t>
            </w:r>
            <w:r w:rsidR="00E417E7" w:rsidRPr="00E417E7">
              <w:rPr>
                <w:rFonts w:cstheme="minorHAnsi"/>
                <w:szCs w:val="20"/>
              </w:rPr>
              <w:t>68</w:t>
            </w:r>
          </w:p>
        </w:tc>
        <w:tc>
          <w:tcPr>
            <w:tcW w:w="2221" w:type="dxa"/>
            <w:vAlign w:val="center"/>
          </w:tcPr>
          <w:p w14:paraId="3D92C846" w14:textId="7334E82D" w:rsidR="00E061F9" w:rsidRPr="00A62088" w:rsidRDefault="00E061F9" w:rsidP="00360131">
            <w:pPr>
              <w:spacing w:line="259" w:lineRule="auto"/>
              <w:jc w:val="center"/>
              <w:rPr>
                <w:rFonts w:cstheme="minorHAnsi"/>
                <w:szCs w:val="20"/>
              </w:rPr>
            </w:pPr>
            <w:r w:rsidRPr="00A62088">
              <w:rPr>
                <w:rFonts w:cstheme="minorHAnsi"/>
                <w:szCs w:val="20"/>
              </w:rPr>
              <w:t>28.</w:t>
            </w:r>
            <w:r w:rsidR="00E417E7" w:rsidRPr="00E417E7">
              <w:rPr>
                <w:rFonts w:cstheme="minorHAnsi"/>
                <w:szCs w:val="20"/>
              </w:rPr>
              <w:t>68</w:t>
            </w:r>
          </w:p>
        </w:tc>
      </w:tr>
      <w:tr w:rsidR="00E061F9" w:rsidRPr="005F08D6" w14:paraId="6071B5A7" w14:textId="2ECDBA00" w:rsidTr="00360131">
        <w:trPr>
          <w:trHeight w:val="20"/>
        </w:trPr>
        <w:tc>
          <w:tcPr>
            <w:tcW w:w="2832" w:type="dxa"/>
            <w:shd w:val="clear" w:color="auto" w:fill="D4D6DF"/>
            <w:noWrap/>
          </w:tcPr>
          <w:p w14:paraId="42877020" w14:textId="613B32B5" w:rsidR="00E061F9" w:rsidRPr="00A62088" w:rsidRDefault="00E061F9" w:rsidP="00E061F9">
            <w:pPr>
              <w:spacing w:line="259" w:lineRule="auto"/>
              <w:rPr>
                <w:rFonts w:cstheme="minorHAnsi"/>
                <w:szCs w:val="20"/>
              </w:rPr>
            </w:pPr>
            <w:r w:rsidRPr="00A62088">
              <w:rPr>
                <w:rFonts w:cstheme="minorHAnsi"/>
                <w:szCs w:val="20"/>
              </w:rPr>
              <w:t xml:space="preserve">Motor </w:t>
            </w:r>
            <w:r w:rsidR="00BD1BC0" w:rsidRPr="00A62088">
              <w:rPr>
                <w:rFonts w:cstheme="minorHAnsi"/>
                <w:szCs w:val="20"/>
              </w:rPr>
              <w:t>v</w:t>
            </w:r>
            <w:r w:rsidRPr="00A62088">
              <w:rPr>
                <w:rFonts w:cstheme="minorHAnsi"/>
                <w:szCs w:val="20"/>
              </w:rPr>
              <w:t xml:space="preserve">ehicle </w:t>
            </w:r>
            <w:r w:rsidR="00BD1BC0" w:rsidRPr="00A62088">
              <w:rPr>
                <w:rFonts w:cstheme="minorHAnsi"/>
                <w:szCs w:val="20"/>
              </w:rPr>
              <w:t>f</w:t>
            </w:r>
            <w:r w:rsidRPr="00A62088">
              <w:rPr>
                <w:rFonts w:cstheme="minorHAnsi"/>
                <w:szCs w:val="20"/>
              </w:rPr>
              <w:t>leet</w:t>
            </w:r>
          </w:p>
        </w:tc>
        <w:tc>
          <w:tcPr>
            <w:tcW w:w="2221" w:type="dxa"/>
            <w:shd w:val="clear" w:color="auto" w:fill="D4D6DF"/>
            <w:vAlign w:val="center"/>
          </w:tcPr>
          <w:p w14:paraId="5B318F33" w14:textId="78E73CE7" w:rsidR="00E061F9" w:rsidRPr="00A62088" w:rsidRDefault="00E417E7" w:rsidP="00360131">
            <w:pPr>
              <w:spacing w:line="259" w:lineRule="auto"/>
              <w:jc w:val="center"/>
              <w:rPr>
                <w:rFonts w:cstheme="minorHAnsi"/>
                <w:szCs w:val="20"/>
              </w:rPr>
            </w:pPr>
            <w:r w:rsidRPr="00E417E7">
              <w:rPr>
                <w:rFonts w:cstheme="minorHAnsi"/>
                <w:szCs w:val="20"/>
              </w:rPr>
              <w:t>-</w:t>
            </w:r>
          </w:p>
        </w:tc>
        <w:tc>
          <w:tcPr>
            <w:tcW w:w="2221" w:type="dxa"/>
            <w:shd w:val="clear" w:color="auto" w:fill="D4D6DF"/>
            <w:vAlign w:val="center"/>
          </w:tcPr>
          <w:p w14:paraId="174F836D" w14:textId="72114298" w:rsidR="00E061F9" w:rsidRPr="00A62088" w:rsidRDefault="00E061F9" w:rsidP="00360131">
            <w:pPr>
              <w:spacing w:line="259" w:lineRule="auto"/>
              <w:jc w:val="center"/>
              <w:rPr>
                <w:rFonts w:cstheme="minorHAnsi"/>
                <w:szCs w:val="20"/>
              </w:rPr>
            </w:pPr>
            <w:r w:rsidRPr="00A62088">
              <w:rPr>
                <w:rFonts w:cstheme="minorHAnsi"/>
                <w:szCs w:val="20"/>
              </w:rPr>
              <w:t>21.</w:t>
            </w:r>
            <w:r w:rsidR="00E417E7" w:rsidRPr="00E417E7">
              <w:rPr>
                <w:rFonts w:cstheme="minorHAnsi"/>
                <w:szCs w:val="20"/>
              </w:rPr>
              <w:t>02</w:t>
            </w:r>
          </w:p>
        </w:tc>
        <w:tc>
          <w:tcPr>
            <w:tcW w:w="2221" w:type="dxa"/>
            <w:shd w:val="clear" w:color="auto" w:fill="D4D6DF"/>
            <w:vAlign w:val="center"/>
          </w:tcPr>
          <w:p w14:paraId="650E6DA9" w14:textId="50F8C90C" w:rsidR="00E061F9" w:rsidRPr="00A62088" w:rsidRDefault="00E061F9" w:rsidP="00360131">
            <w:pPr>
              <w:spacing w:line="259" w:lineRule="auto"/>
              <w:jc w:val="center"/>
              <w:rPr>
                <w:rFonts w:cstheme="minorHAnsi"/>
                <w:szCs w:val="20"/>
              </w:rPr>
            </w:pPr>
            <w:r w:rsidRPr="00A62088">
              <w:rPr>
                <w:rFonts w:cstheme="minorHAnsi"/>
                <w:szCs w:val="20"/>
              </w:rPr>
              <w:t>21.</w:t>
            </w:r>
            <w:r w:rsidR="00E417E7" w:rsidRPr="00E417E7">
              <w:rPr>
                <w:rFonts w:cstheme="minorHAnsi"/>
                <w:szCs w:val="20"/>
              </w:rPr>
              <w:t>02</w:t>
            </w:r>
          </w:p>
        </w:tc>
      </w:tr>
      <w:tr w:rsidR="00E061F9" w:rsidRPr="005F08D6" w14:paraId="2B105FA7" w14:textId="722022F6" w:rsidTr="00360131">
        <w:trPr>
          <w:trHeight w:val="20"/>
        </w:trPr>
        <w:tc>
          <w:tcPr>
            <w:tcW w:w="2832" w:type="dxa"/>
            <w:noWrap/>
          </w:tcPr>
          <w:p w14:paraId="0552A555" w14:textId="3190EF93" w:rsidR="00E061F9" w:rsidRPr="00A62088" w:rsidRDefault="00E061F9" w:rsidP="00E061F9">
            <w:pPr>
              <w:spacing w:line="259" w:lineRule="auto"/>
              <w:rPr>
                <w:rFonts w:cstheme="minorHAnsi"/>
                <w:szCs w:val="20"/>
              </w:rPr>
            </w:pPr>
            <w:r w:rsidRPr="00A62088">
              <w:rPr>
                <w:rFonts w:cstheme="minorHAnsi"/>
                <w:szCs w:val="20"/>
              </w:rPr>
              <w:lastRenderedPageBreak/>
              <w:t>SCADA and real-time systems</w:t>
            </w:r>
          </w:p>
        </w:tc>
        <w:tc>
          <w:tcPr>
            <w:tcW w:w="2221" w:type="dxa"/>
            <w:vAlign w:val="center"/>
          </w:tcPr>
          <w:p w14:paraId="06F76E5F" w14:textId="558B9541" w:rsidR="00E061F9" w:rsidRPr="00A62088" w:rsidRDefault="00E417E7" w:rsidP="00360131">
            <w:pPr>
              <w:spacing w:line="259" w:lineRule="auto"/>
              <w:jc w:val="center"/>
              <w:rPr>
                <w:rFonts w:cstheme="minorHAnsi"/>
                <w:szCs w:val="20"/>
              </w:rPr>
            </w:pPr>
            <w:r w:rsidRPr="00E417E7">
              <w:rPr>
                <w:rFonts w:cstheme="minorHAnsi"/>
                <w:szCs w:val="20"/>
              </w:rPr>
              <w:t>-</w:t>
            </w:r>
          </w:p>
        </w:tc>
        <w:tc>
          <w:tcPr>
            <w:tcW w:w="2221" w:type="dxa"/>
            <w:vAlign w:val="center"/>
          </w:tcPr>
          <w:p w14:paraId="5D51ED7B" w14:textId="31F6AD8D" w:rsidR="00E061F9" w:rsidRPr="00A62088" w:rsidRDefault="00E061F9" w:rsidP="00360131">
            <w:pPr>
              <w:spacing w:line="259" w:lineRule="auto"/>
              <w:jc w:val="center"/>
              <w:rPr>
                <w:rFonts w:cstheme="minorHAnsi"/>
                <w:szCs w:val="20"/>
              </w:rPr>
            </w:pPr>
            <w:r w:rsidRPr="00A62088">
              <w:rPr>
                <w:rFonts w:cstheme="minorHAnsi"/>
                <w:szCs w:val="20"/>
              </w:rPr>
              <w:t>19.</w:t>
            </w:r>
            <w:r w:rsidR="00E417E7" w:rsidRPr="00E417E7">
              <w:rPr>
                <w:rFonts w:cstheme="minorHAnsi"/>
                <w:szCs w:val="20"/>
              </w:rPr>
              <w:t>57</w:t>
            </w:r>
          </w:p>
        </w:tc>
        <w:tc>
          <w:tcPr>
            <w:tcW w:w="2221" w:type="dxa"/>
            <w:vAlign w:val="center"/>
          </w:tcPr>
          <w:p w14:paraId="592EA3F4" w14:textId="6C35C550" w:rsidR="00E061F9" w:rsidRPr="00A62088" w:rsidRDefault="00E061F9" w:rsidP="00360131">
            <w:pPr>
              <w:spacing w:line="259" w:lineRule="auto"/>
              <w:jc w:val="center"/>
              <w:rPr>
                <w:rFonts w:cstheme="minorHAnsi"/>
                <w:szCs w:val="20"/>
              </w:rPr>
            </w:pPr>
            <w:r w:rsidRPr="00A62088">
              <w:rPr>
                <w:rFonts w:cstheme="minorHAnsi"/>
                <w:szCs w:val="20"/>
              </w:rPr>
              <w:t>19.</w:t>
            </w:r>
            <w:r w:rsidR="00E417E7" w:rsidRPr="00E417E7">
              <w:rPr>
                <w:rFonts w:cstheme="minorHAnsi"/>
                <w:szCs w:val="20"/>
              </w:rPr>
              <w:t>57</w:t>
            </w:r>
          </w:p>
        </w:tc>
      </w:tr>
      <w:tr w:rsidR="00E061F9" w:rsidRPr="005F08D6" w14:paraId="003C1D67" w14:textId="576927B1" w:rsidTr="00360131">
        <w:trPr>
          <w:trHeight w:val="20"/>
        </w:trPr>
        <w:tc>
          <w:tcPr>
            <w:tcW w:w="2832" w:type="dxa"/>
            <w:shd w:val="clear" w:color="auto" w:fill="D4D6DF"/>
            <w:noWrap/>
          </w:tcPr>
          <w:p w14:paraId="2E324696" w14:textId="5792CDB8" w:rsidR="00E061F9" w:rsidRPr="00A62088" w:rsidRDefault="00E061F9" w:rsidP="00E061F9">
            <w:pPr>
              <w:spacing w:line="259" w:lineRule="auto"/>
              <w:rPr>
                <w:rFonts w:cstheme="minorHAnsi"/>
                <w:szCs w:val="20"/>
              </w:rPr>
            </w:pPr>
            <w:r w:rsidRPr="00A62088">
              <w:rPr>
                <w:rFonts w:cstheme="minorHAnsi"/>
                <w:szCs w:val="20"/>
              </w:rPr>
              <w:t>New technology</w:t>
            </w:r>
          </w:p>
        </w:tc>
        <w:tc>
          <w:tcPr>
            <w:tcW w:w="2221" w:type="dxa"/>
            <w:shd w:val="clear" w:color="auto" w:fill="D4D6DF"/>
            <w:vAlign w:val="center"/>
          </w:tcPr>
          <w:p w14:paraId="50ADFE26" w14:textId="47821094" w:rsidR="00E061F9" w:rsidRPr="00A62088" w:rsidRDefault="00E417E7" w:rsidP="00360131">
            <w:pPr>
              <w:spacing w:line="259" w:lineRule="auto"/>
              <w:jc w:val="center"/>
              <w:rPr>
                <w:rFonts w:cstheme="minorHAnsi"/>
                <w:szCs w:val="20"/>
              </w:rPr>
            </w:pPr>
            <w:r w:rsidRPr="00E417E7">
              <w:rPr>
                <w:rFonts w:cstheme="minorHAnsi"/>
                <w:szCs w:val="20"/>
              </w:rPr>
              <w:t>-</w:t>
            </w:r>
          </w:p>
        </w:tc>
        <w:tc>
          <w:tcPr>
            <w:tcW w:w="2221" w:type="dxa"/>
            <w:shd w:val="clear" w:color="auto" w:fill="D4D6DF"/>
            <w:vAlign w:val="center"/>
          </w:tcPr>
          <w:p w14:paraId="3DFBCEDF" w14:textId="43A294D2" w:rsidR="00E061F9" w:rsidRPr="00A62088" w:rsidRDefault="00E061F9" w:rsidP="00360131">
            <w:pPr>
              <w:spacing w:line="259" w:lineRule="auto"/>
              <w:jc w:val="center"/>
              <w:rPr>
                <w:rFonts w:cstheme="minorHAnsi"/>
                <w:szCs w:val="20"/>
              </w:rPr>
            </w:pPr>
            <w:r w:rsidRPr="00A62088">
              <w:rPr>
                <w:rFonts w:cstheme="minorHAnsi"/>
                <w:szCs w:val="20"/>
              </w:rPr>
              <w:t>6.</w:t>
            </w:r>
            <w:r w:rsidR="00E417E7" w:rsidRPr="00E417E7">
              <w:rPr>
                <w:rFonts w:cstheme="minorHAnsi"/>
                <w:szCs w:val="20"/>
              </w:rPr>
              <w:t>76</w:t>
            </w:r>
          </w:p>
        </w:tc>
        <w:tc>
          <w:tcPr>
            <w:tcW w:w="2221" w:type="dxa"/>
            <w:shd w:val="clear" w:color="auto" w:fill="D4D6DF"/>
            <w:vAlign w:val="center"/>
          </w:tcPr>
          <w:p w14:paraId="1CFFFDB2" w14:textId="194803EF" w:rsidR="00E061F9" w:rsidRPr="00A62088" w:rsidRDefault="00E061F9" w:rsidP="00360131">
            <w:pPr>
              <w:spacing w:line="259" w:lineRule="auto"/>
              <w:jc w:val="center"/>
              <w:rPr>
                <w:rFonts w:cstheme="minorHAnsi"/>
                <w:szCs w:val="20"/>
              </w:rPr>
            </w:pPr>
            <w:r w:rsidRPr="00A62088">
              <w:rPr>
                <w:rFonts w:cstheme="minorHAnsi"/>
                <w:szCs w:val="20"/>
              </w:rPr>
              <w:t>6.</w:t>
            </w:r>
            <w:r w:rsidR="00E417E7" w:rsidRPr="00E417E7">
              <w:rPr>
                <w:rFonts w:cstheme="minorHAnsi"/>
                <w:szCs w:val="20"/>
              </w:rPr>
              <w:t>76</w:t>
            </w:r>
          </w:p>
        </w:tc>
      </w:tr>
      <w:tr w:rsidR="00E061F9" w:rsidRPr="005F08D6" w14:paraId="254936A7" w14:textId="0C4A41CC" w:rsidTr="00360131">
        <w:trPr>
          <w:trHeight w:val="20"/>
        </w:trPr>
        <w:tc>
          <w:tcPr>
            <w:tcW w:w="2832" w:type="dxa"/>
            <w:noWrap/>
          </w:tcPr>
          <w:p w14:paraId="1D40AA79" w14:textId="77777777" w:rsidR="00E061F9" w:rsidRPr="00A62088" w:rsidRDefault="00E061F9" w:rsidP="00E061F9">
            <w:pPr>
              <w:spacing w:line="259" w:lineRule="auto"/>
              <w:rPr>
                <w:rFonts w:cstheme="minorHAnsi"/>
                <w:szCs w:val="20"/>
              </w:rPr>
            </w:pPr>
            <w:r w:rsidRPr="00A62088">
              <w:rPr>
                <w:rFonts w:cstheme="minorHAnsi"/>
                <w:szCs w:val="20"/>
              </w:rPr>
              <w:t>Facilities</w:t>
            </w:r>
          </w:p>
        </w:tc>
        <w:tc>
          <w:tcPr>
            <w:tcW w:w="2221" w:type="dxa"/>
            <w:vAlign w:val="center"/>
          </w:tcPr>
          <w:p w14:paraId="1624C724" w14:textId="72AF6C82" w:rsidR="00E061F9" w:rsidRPr="00A62088" w:rsidRDefault="00E417E7" w:rsidP="00360131">
            <w:pPr>
              <w:spacing w:line="259" w:lineRule="auto"/>
              <w:jc w:val="center"/>
              <w:rPr>
                <w:rFonts w:cstheme="minorHAnsi"/>
                <w:szCs w:val="20"/>
              </w:rPr>
            </w:pPr>
            <w:r w:rsidRPr="00E417E7">
              <w:rPr>
                <w:rFonts w:cstheme="minorHAnsi"/>
                <w:szCs w:val="20"/>
              </w:rPr>
              <w:t>-</w:t>
            </w:r>
          </w:p>
        </w:tc>
        <w:tc>
          <w:tcPr>
            <w:tcW w:w="2221" w:type="dxa"/>
            <w:vAlign w:val="center"/>
          </w:tcPr>
          <w:p w14:paraId="1BF87264" w14:textId="6A6A4B4B" w:rsidR="00E061F9" w:rsidRPr="00A62088" w:rsidRDefault="00E061F9" w:rsidP="00360131">
            <w:pPr>
              <w:spacing w:line="259" w:lineRule="auto"/>
              <w:jc w:val="center"/>
              <w:rPr>
                <w:rFonts w:cstheme="minorHAnsi"/>
                <w:szCs w:val="20"/>
              </w:rPr>
            </w:pPr>
            <w:r w:rsidRPr="00A62088">
              <w:rPr>
                <w:rFonts w:cstheme="minorHAnsi"/>
                <w:szCs w:val="20"/>
              </w:rPr>
              <w:t>2.</w:t>
            </w:r>
            <w:r w:rsidR="00E417E7" w:rsidRPr="00E417E7">
              <w:rPr>
                <w:rFonts w:cstheme="minorHAnsi"/>
                <w:szCs w:val="20"/>
              </w:rPr>
              <w:t>92</w:t>
            </w:r>
          </w:p>
        </w:tc>
        <w:tc>
          <w:tcPr>
            <w:tcW w:w="2221" w:type="dxa"/>
            <w:vAlign w:val="center"/>
          </w:tcPr>
          <w:p w14:paraId="19A1BC67" w14:textId="03E2E697" w:rsidR="00E061F9" w:rsidRPr="00A62088" w:rsidRDefault="00E061F9" w:rsidP="00360131">
            <w:pPr>
              <w:spacing w:line="259" w:lineRule="auto"/>
              <w:jc w:val="center"/>
              <w:rPr>
                <w:rFonts w:cstheme="minorHAnsi"/>
                <w:szCs w:val="20"/>
              </w:rPr>
            </w:pPr>
            <w:r w:rsidRPr="00A62088">
              <w:rPr>
                <w:rFonts w:cstheme="minorHAnsi"/>
                <w:szCs w:val="20"/>
              </w:rPr>
              <w:t>2.</w:t>
            </w:r>
            <w:r w:rsidR="00E417E7" w:rsidRPr="00E417E7">
              <w:rPr>
                <w:rFonts w:cstheme="minorHAnsi"/>
                <w:szCs w:val="20"/>
              </w:rPr>
              <w:t>92</w:t>
            </w:r>
          </w:p>
        </w:tc>
      </w:tr>
      <w:tr w:rsidR="00E061F9" w:rsidRPr="005F08D6" w14:paraId="4ACABFB2" w14:textId="6084F5A7" w:rsidTr="00360131">
        <w:trPr>
          <w:trHeight w:val="20"/>
        </w:trPr>
        <w:tc>
          <w:tcPr>
            <w:tcW w:w="2832" w:type="dxa"/>
            <w:shd w:val="clear" w:color="auto" w:fill="D4D6DF"/>
            <w:noWrap/>
          </w:tcPr>
          <w:p w14:paraId="04C273B9" w14:textId="77777777" w:rsidR="00E061F9" w:rsidRPr="00A62088" w:rsidRDefault="00E061F9" w:rsidP="00E061F9">
            <w:pPr>
              <w:spacing w:line="259" w:lineRule="auto"/>
              <w:rPr>
                <w:rFonts w:cstheme="minorHAnsi"/>
                <w:b/>
                <w:szCs w:val="20"/>
              </w:rPr>
            </w:pPr>
          </w:p>
        </w:tc>
        <w:tc>
          <w:tcPr>
            <w:tcW w:w="2221" w:type="dxa"/>
            <w:shd w:val="clear" w:color="auto" w:fill="D4D6DF"/>
            <w:vAlign w:val="center"/>
          </w:tcPr>
          <w:p w14:paraId="0F524AB1" w14:textId="5D5C2B14" w:rsidR="00E061F9" w:rsidRPr="00A62088" w:rsidRDefault="00E061F9" w:rsidP="00360131">
            <w:pPr>
              <w:spacing w:line="259" w:lineRule="auto"/>
              <w:jc w:val="center"/>
              <w:rPr>
                <w:rFonts w:cstheme="minorHAnsi"/>
                <w:b/>
                <w:szCs w:val="20"/>
              </w:rPr>
            </w:pPr>
            <w:r w:rsidRPr="00A62088">
              <w:rPr>
                <w:rFonts w:cstheme="minorHAnsi"/>
                <w:b/>
                <w:szCs w:val="20"/>
              </w:rPr>
              <w:t>587.</w:t>
            </w:r>
            <w:r w:rsidR="00E417E7" w:rsidRPr="00E417E7">
              <w:rPr>
                <w:rFonts w:cstheme="minorHAnsi"/>
                <w:b/>
                <w:szCs w:val="20"/>
              </w:rPr>
              <w:t>71</w:t>
            </w:r>
          </w:p>
        </w:tc>
        <w:tc>
          <w:tcPr>
            <w:tcW w:w="2221" w:type="dxa"/>
            <w:shd w:val="clear" w:color="auto" w:fill="D4D6DF"/>
            <w:vAlign w:val="center"/>
          </w:tcPr>
          <w:p w14:paraId="630826F0" w14:textId="3BFF691F" w:rsidR="00E061F9" w:rsidRPr="00A62088" w:rsidRDefault="00E061F9" w:rsidP="00360131">
            <w:pPr>
              <w:spacing w:line="259" w:lineRule="auto"/>
              <w:jc w:val="center"/>
              <w:rPr>
                <w:rFonts w:cstheme="minorHAnsi"/>
                <w:b/>
                <w:szCs w:val="20"/>
              </w:rPr>
            </w:pPr>
            <w:r w:rsidRPr="00A62088">
              <w:rPr>
                <w:rFonts w:cstheme="minorHAnsi"/>
                <w:b/>
                <w:szCs w:val="20"/>
              </w:rPr>
              <w:t>1,333.</w:t>
            </w:r>
            <w:r w:rsidR="00E417E7" w:rsidRPr="00E417E7">
              <w:rPr>
                <w:rFonts w:cstheme="minorHAnsi"/>
                <w:b/>
                <w:szCs w:val="20"/>
              </w:rPr>
              <w:t>36</w:t>
            </w:r>
          </w:p>
        </w:tc>
        <w:tc>
          <w:tcPr>
            <w:tcW w:w="2221" w:type="dxa"/>
            <w:shd w:val="clear" w:color="auto" w:fill="D4D6DF"/>
            <w:vAlign w:val="center"/>
          </w:tcPr>
          <w:p w14:paraId="23C041CD" w14:textId="0D2621AE" w:rsidR="00E061F9" w:rsidRPr="00A62088" w:rsidRDefault="00E061F9" w:rsidP="00360131">
            <w:pPr>
              <w:spacing w:line="259" w:lineRule="auto"/>
              <w:jc w:val="center"/>
              <w:rPr>
                <w:rFonts w:cstheme="minorHAnsi"/>
                <w:b/>
                <w:szCs w:val="20"/>
              </w:rPr>
            </w:pPr>
            <w:r w:rsidRPr="00A62088">
              <w:rPr>
                <w:rFonts w:cstheme="minorHAnsi"/>
                <w:b/>
                <w:szCs w:val="20"/>
              </w:rPr>
              <w:t>1,921.</w:t>
            </w:r>
            <w:r w:rsidR="00E417E7" w:rsidRPr="00E417E7">
              <w:rPr>
                <w:rFonts w:cstheme="minorHAnsi"/>
                <w:b/>
                <w:szCs w:val="20"/>
              </w:rPr>
              <w:t>07</w:t>
            </w:r>
          </w:p>
        </w:tc>
      </w:tr>
    </w:tbl>
    <w:p w14:paraId="5F28E8D4" w14:textId="77777777" w:rsidR="007B559C" w:rsidRDefault="007B559C" w:rsidP="007B559C">
      <w:pPr>
        <w:rPr>
          <w:rFonts w:cs="Arial"/>
        </w:rPr>
      </w:pPr>
    </w:p>
    <w:p w14:paraId="3F78ECB3" w14:textId="3551AD9B" w:rsidR="007B559C" w:rsidRPr="009E61EF" w:rsidRDefault="00330BFE" w:rsidP="00762418">
      <w:pPr>
        <w:pStyle w:val="NbrHeading2"/>
        <w:rPr>
          <w:rFonts w:ascii="Arial" w:hAnsi="Arial" w:cs="Arial"/>
          <w:szCs w:val="32"/>
        </w:rPr>
      </w:pPr>
      <w:r>
        <w:t xml:space="preserve">6.5 </w:t>
      </w:r>
      <w:r w:rsidR="007B559C" w:rsidRPr="009E61EF">
        <w:t>Major capital projects</w:t>
      </w:r>
    </w:p>
    <w:p w14:paraId="423C17CF" w14:textId="34B97A30" w:rsidR="007B339F" w:rsidRDefault="007B559C" w:rsidP="000A0591">
      <w:pPr>
        <w:spacing w:after="240"/>
        <w:rPr>
          <w:rFonts w:cs="Arial"/>
        </w:rPr>
      </w:pPr>
      <w:r>
        <w:rPr>
          <w:rFonts w:cs="Arial"/>
        </w:rPr>
        <w:t>The following is an</w:t>
      </w:r>
      <w:r w:rsidRPr="00C7338C">
        <w:rPr>
          <w:rFonts w:cs="Arial"/>
        </w:rPr>
        <w:t xml:space="preserve"> overview of </w:t>
      </w:r>
      <w:r>
        <w:rPr>
          <w:rFonts w:cs="Arial"/>
        </w:rPr>
        <w:t xml:space="preserve">our </w:t>
      </w:r>
      <w:r w:rsidRPr="00C7338C">
        <w:rPr>
          <w:rFonts w:cs="Arial"/>
        </w:rPr>
        <w:t xml:space="preserve">top 10 </w:t>
      </w:r>
      <w:r w:rsidR="00AA2284">
        <w:rPr>
          <w:rFonts w:cs="Arial"/>
        </w:rPr>
        <w:t>cap</w:t>
      </w:r>
      <w:r w:rsidR="00BD1BC0">
        <w:rPr>
          <w:rFonts w:cs="Arial"/>
        </w:rPr>
        <w:t xml:space="preserve">ital expenditure </w:t>
      </w:r>
      <w:r w:rsidRPr="00C7338C">
        <w:rPr>
          <w:rFonts w:cs="Arial"/>
        </w:rPr>
        <w:t>projects</w:t>
      </w:r>
      <w:r w:rsidR="00D65F2F" w:rsidRPr="001467EE">
        <w:rPr>
          <w:rStyle w:val="FootnoteReference"/>
          <w:rFonts w:cs="Arial"/>
          <w:color w:val="auto"/>
        </w:rPr>
        <w:footnoteReference w:id="7"/>
      </w:r>
      <w:r w:rsidR="00DB0247" w:rsidRPr="001467EE">
        <w:rPr>
          <w:rFonts w:cs="Arial"/>
        </w:rPr>
        <w:t xml:space="preserve"> </w:t>
      </w:r>
      <w:r w:rsidR="00DB0247">
        <w:rPr>
          <w:rFonts w:cs="Arial"/>
        </w:rPr>
        <w:t>in order of their estimated cost</w:t>
      </w:r>
      <w:r w:rsidR="00C1351A">
        <w:rPr>
          <w:rFonts w:cs="Arial"/>
        </w:rPr>
        <w:t xml:space="preserve"> for</w:t>
      </w:r>
      <w:r w:rsidR="00FA30B0">
        <w:rPr>
          <w:rFonts w:cs="Arial"/>
        </w:rPr>
        <w:t xml:space="preserve"> the</w:t>
      </w:r>
      <w:r w:rsidR="00C1351A">
        <w:rPr>
          <w:rFonts w:cs="Arial"/>
        </w:rPr>
        <w:t xml:space="preserve"> 2023</w:t>
      </w:r>
      <w:r w:rsidR="007D4EB3">
        <w:rPr>
          <w:rFonts w:cs="Arial"/>
        </w:rPr>
        <w:t>–</w:t>
      </w:r>
      <w:r w:rsidR="00C1351A">
        <w:rPr>
          <w:rFonts w:cs="Arial"/>
        </w:rPr>
        <w:t>28 regulatory period</w:t>
      </w:r>
      <w:r w:rsidRPr="00C7338C">
        <w:rPr>
          <w:rFonts w:cs="Arial"/>
        </w:rPr>
        <w:t xml:space="preserve">, </w:t>
      </w:r>
      <w:r w:rsidR="00C1351A">
        <w:rPr>
          <w:rFonts w:cs="Arial"/>
        </w:rPr>
        <w:t>as well as</w:t>
      </w:r>
      <w:r w:rsidR="00C1351A" w:rsidRPr="00C7338C">
        <w:rPr>
          <w:rFonts w:cs="Arial"/>
        </w:rPr>
        <w:t xml:space="preserve"> </w:t>
      </w:r>
      <w:r>
        <w:rPr>
          <w:rFonts w:cs="Arial"/>
        </w:rPr>
        <w:t xml:space="preserve">their </w:t>
      </w:r>
      <w:r w:rsidR="00206DD1" w:rsidRPr="00C7338C">
        <w:rPr>
          <w:rFonts w:cs="Arial"/>
        </w:rPr>
        <w:t>timing</w:t>
      </w:r>
      <w:r w:rsidR="00206DD1">
        <w:rPr>
          <w:rFonts w:cs="Arial"/>
        </w:rPr>
        <w:t xml:space="preserve">, </w:t>
      </w:r>
      <w:r w:rsidR="00453C48">
        <w:rPr>
          <w:rFonts w:cs="Arial"/>
        </w:rPr>
        <w:t xml:space="preserve">cost </w:t>
      </w:r>
      <w:r w:rsidRPr="00C7338C">
        <w:rPr>
          <w:rFonts w:cs="Arial"/>
        </w:rPr>
        <w:t xml:space="preserve">drivers, </w:t>
      </w:r>
      <w:r w:rsidR="00C37980">
        <w:rPr>
          <w:rFonts w:cs="Arial"/>
        </w:rPr>
        <w:t xml:space="preserve">alignment to </w:t>
      </w:r>
      <w:r w:rsidR="00873CDE">
        <w:rPr>
          <w:rFonts w:cs="Arial"/>
        </w:rPr>
        <w:t xml:space="preserve">customer </w:t>
      </w:r>
      <w:r w:rsidRPr="00C7338C">
        <w:rPr>
          <w:rFonts w:cs="Arial"/>
        </w:rPr>
        <w:t xml:space="preserve">outcomes, </w:t>
      </w:r>
      <w:r w:rsidR="00384DE4">
        <w:rPr>
          <w:rFonts w:cs="Arial"/>
        </w:rPr>
        <w:t>risk profiles</w:t>
      </w:r>
      <w:r w:rsidR="008057A2" w:rsidRPr="001467EE">
        <w:rPr>
          <w:rStyle w:val="FootnoteReference"/>
          <w:rFonts w:cs="Arial"/>
          <w:color w:val="auto"/>
        </w:rPr>
        <w:footnoteReference w:id="8"/>
      </w:r>
      <w:r w:rsidRPr="001467EE">
        <w:rPr>
          <w:rFonts w:cs="Arial"/>
        </w:rPr>
        <w:t xml:space="preserve"> </w:t>
      </w:r>
      <w:r w:rsidRPr="00C7338C">
        <w:rPr>
          <w:rFonts w:cs="Arial"/>
        </w:rPr>
        <w:t>and background</w:t>
      </w:r>
      <w:r>
        <w:rPr>
          <w:rFonts w:cs="Arial"/>
        </w:rPr>
        <w:t xml:space="preserve">. The total expenditure for the top 10 projects is </w:t>
      </w:r>
      <w:r w:rsidRPr="002B4A55">
        <w:rPr>
          <w:rFonts w:cs="Arial"/>
        </w:rPr>
        <w:t xml:space="preserve">approximately </w:t>
      </w:r>
      <w:r w:rsidR="007E778E" w:rsidRPr="002B4A55">
        <w:rPr>
          <w:rFonts w:cs="Arial"/>
        </w:rPr>
        <w:t>3</w:t>
      </w:r>
      <w:r w:rsidR="007E778E">
        <w:rPr>
          <w:rFonts w:cs="Arial"/>
        </w:rPr>
        <w:t>1</w:t>
      </w:r>
      <w:r w:rsidRPr="002B4A55">
        <w:rPr>
          <w:rFonts w:cs="Arial"/>
        </w:rPr>
        <w:t>% of the</w:t>
      </w:r>
      <w:r>
        <w:rPr>
          <w:rFonts w:cs="Arial"/>
        </w:rPr>
        <w:t xml:space="preserve"> planned capital expenditure over the </w:t>
      </w:r>
      <w:r w:rsidR="00C37980">
        <w:rPr>
          <w:rFonts w:cs="Arial"/>
        </w:rPr>
        <w:t>2023</w:t>
      </w:r>
      <w:r w:rsidR="007D4EB3">
        <w:rPr>
          <w:rFonts w:cs="Arial"/>
        </w:rPr>
        <w:t>–</w:t>
      </w:r>
      <w:r w:rsidR="00C37980">
        <w:rPr>
          <w:rFonts w:cs="Arial"/>
        </w:rPr>
        <w:t>28</w:t>
      </w:r>
      <w:r>
        <w:rPr>
          <w:rFonts w:cs="Arial"/>
        </w:rPr>
        <w:t xml:space="preserve"> regulatory period. </w:t>
      </w:r>
    </w:p>
    <w:p w14:paraId="02B1D549" w14:textId="753A0CEC" w:rsidR="007B339F" w:rsidRPr="007B339F" w:rsidRDefault="007B339F" w:rsidP="007B339F">
      <w:pPr>
        <w:pStyle w:val="NormalIndent"/>
        <w:ind w:left="0"/>
        <w:rPr>
          <w:rFonts w:ascii="Arial" w:hAnsi="Arial" w:cs="Arial"/>
          <w:b/>
          <w:i/>
        </w:rPr>
      </w:pPr>
      <w:r w:rsidRPr="00CE6C4E">
        <w:rPr>
          <w:b/>
          <w:i/>
        </w:rPr>
        <w:t xml:space="preserve">Table </w:t>
      </w:r>
      <w:r w:rsidR="00E0331E" w:rsidRPr="00CE6C4E">
        <w:rPr>
          <w:b/>
          <w:bCs/>
          <w:i/>
          <w:iCs/>
        </w:rPr>
        <w:fldChar w:fldCharType="begin"/>
      </w:r>
      <w:r w:rsidR="00E0331E" w:rsidRPr="00CE6C4E">
        <w:rPr>
          <w:b/>
          <w:bCs/>
          <w:i/>
          <w:iCs/>
        </w:rPr>
        <w:instrText>SEQ Table \* ARABIC</w:instrText>
      </w:r>
      <w:r w:rsidR="00E0331E" w:rsidRPr="00CE6C4E">
        <w:rPr>
          <w:b/>
          <w:bCs/>
          <w:i/>
          <w:iCs/>
        </w:rPr>
        <w:fldChar w:fldCharType="separate"/>
      </w:r>
      <w:r w:rsidR="00E0331E">
        <w:rPr>
          <w:b/>
          <w:bCs/>
          <w:i/>
          <w:iCs/>
          <w:noProof/>
        </w:rPr>
        <w:t>25</w:t>
      </w:r>
      <w:r w:rsidR="00E0331E" w:rsidRPr="00CE6C4E">
        <w:rPr>
          <w:b/>
          <w:bCs/>
          <w:i/>
          <w:iCs/>
        </w:rPr>
        <w:fldChar w:fldCharType="end"/>
      </w:r>
      <w:r w:rsidRPr="007B339F">
        <w:rPr>
          <w:rFonts w:ascii="Arial" w:hAnsi="Arial" w:cs="Arial"/>
          <w:b/>
          <w:i/>
        </w:rPr>
        <w:t>:</w:t>
      </w:r>
      <w:r>
        <w:rPr>
          <w:rFonts w:ascii="Arial" w:hAnsi="Arial" w:cs="Arial"/>
          <w:b/>
          <w:i/>
        </w:rPr>
        <w:t xml:space="preserve"> 2023-28 Overview of top capital projects</w:t>
      </w:r>
    </w:p>
    <w:tbl>
      <w:tblPr>
        <w:tblStyle w:val="MJTableStyle1default"/>
        <w:tblW w:w="9356" w:type="dxa"/>
        <w:tblInd w:w="0" w:type="dxa"/>
        <w:tblBorders>
          <w:top w:val="single" w:sz="2" w:space="0" w:color="002279"/>
          <w:bottom w:val="single" w:sz="2" w:space="0" w:color="002279"/>
          <w:insideV w:val="single" w:sz="4" w:space="0" w:color="00B1F4" w:themeColor="accent2"/>
        </w:tblBorders>
        <w:tblLook w:val="06A0" w:firstRow="1" w:lastRow="0" w:firstColumn="1" w:lastColumn="0" w:noHBand="1" w:noVBand="1"/>
      </w:tblPr>
      <w:tblGrid>
        <w:gridCol w:w="9356"/>
      </w:tblGrid>
      <w:tr w:rsidR="007B559C" w:rsidRPr="00157580" w14:paraId="13A645B2" w14:textId="77777777" w:rsidTr="00360131">
        <w:trPr>
          <w:cnfStyle w:val="100000000000" w:firstRow="1" w:lastRow="0" w:firstColumn="0" w:lastColumn="0" w:oddVBand="0" w:evenVBand="0" w:oddHBand="0" w:evenHBand="0" w:firstRowFirstColumn="0" w:firstRowLastColumn="0" w:lastRowFirstColumn="0" w:lastRowLastColumn="0"/>
          <w:trHeight w:val="366"/>
          <w:tblHeader/>
        </w:trPr>
        <w:tc>
          <w:tcPr>
            <w:tcW w:w="9356" w:type="dxa"/>
            <w:tcBorders>
              <w:bottom w:val="single" w:sz="2" w:space="0" w:color="002279"/>
            </w:tcBorders>
            <w:shd w:val="clear" w:color="auto" w:fill="002379" w:themeFill="text2"/>
            <w:vAlign w:val="center"/>
          </w:tcPr>
          <w:p w14:paraId="0C0AC14C" w14:textId="60D6A68B" w:rsidR="007B559C" w:rsidRPr="00360131" w:rsidRDefault="007B559C" w:rsidP="003B68B5">
            <w:pPr>
              <w:spacing w:before="60" w:after="60" w:line="259" w:lineRule="auto"/>
              <w:rPr>
                <w:rFonts w:ascii="Arial" w:hAnsi="Arial" w:cs="Arial"/>
                <w:b/>
                <w:sz w:val="22"/>
                <w:szCs w:val="22"/>
              </w:rPr>
            </w:pPr>
            <w:r w:rsidRPr="00360131">
              <w:rPr>
                <w:rFonts w:ascii="Arial" w:hAnsi="Arial" w:cs="Arial"/>
                <w:b/>
                <w:sz w:val="22"/>
                <w:szCs w:val="22"/>
              </w:rPr>
              <w:t xml:space="preserve">PROJECT 1: Digital </w:t>
            </w:r>
            <w:r w:rsidR="00100476" w:rsidRPr="00360131">
              <w:rPr>
                <w:rFonts w:ascii="Arial" w:hAnsi="Arial" w:cs="Arial"/>
                <w:b/>
                <w:sz w:val="22"/>
                <w:szCs w:val="22"/>
              </w:rPr>
              <w:t>M</w:t>
            </w:r>
            <w:r w:rsidRPr="00360131">
              <w:rPr>
                <w:rFonts w:ascii="Arial" w:hAnsi="Arial" w:cs="Arial"/>
                <w:b/>
                <w:sz w:val="22"/>
                <w:szCs w:val="22"/>
              </w:rPr>
              <w:t xml:space="preserve">etering – </w:t>
            </w:r>
            <w:r w:rsidR="00A20F92" w:rsidRPr="00360131">
              <w:rPr>
                <w:rFonts w:ascii="Arial" w:hAnsi="Arial" w:cs="Arial"/>
                <w:b/>
                <w:sz w:val="22"/>
                <w:szCs w:val="22"/>
              </w:rPr>
              <w:t>n</w:t>
            </w:r>
            <w:r w:rsidRPr="00360131">
              <w:rPr>
                <w:rFonts w:ascii="Arial" w:hAnsi="Arial" w:cs="Arial"/>
                <w:b/>
                <w:sz w:val="22"/>
                <w:szCs w:val="22"/>
              </w:rPr>
              <w:t xml:space="preserve">ew </w:t>
            </w:r>
            <w:r w:rsidR="00A20F92" w:rsidRPr="00360131">
              <w:rPr>
                <w:rFonts w:ascii="Arial" w:hAnsi="Arial" w:cs="Arial"/>
                <w:b/>
                <w:sz w:val="22"/>
                <w:szCs w:val="22"/>
              </w:rPr>
              <w:t>c</w:t>
            </w:r>
            <w:r w:rsidRPr="00360131">
              <w:rPr>
                <w:rFonts w:ascii="Arial" w:hAnsi="Arial" w:cs="Arial"/>
                <w:b/>
                <w:sz w:val="22"/>
                <w:szCs w:val="22"/>
              </w:rPr>
              <w:t xml:space="preserve">onnections and </w:t>
            </w:r>
            <w:r w:rsidR="00A20F92" w:rsidRPr="00360131">
              <w:rPr>
                <w:rFonts w:ascii="Arial" w:hAnsi="Arial" w:cs="Arial"/>
                <w:b/>
                <w:sz w:val="22"/>
                <w:szCs w:val="22"/>
              </w:rPr>
              <w:t>e</w:t>
            </w:r>
            <w:r w:rsidRPr="00360131">
              <w:rPr>
                <w:rFonts w:ascii="Arial" w:hAnsi="Arial" w:cs="Arial"/>
                <w:b/>
                <w:sz w:val="22"/>
                <w:szCs w:val="22"/>
              </w:rPr>
              <w:t>xchanges</w:t>
            </w:r>
          </w:p>
        </w:tc>
      </w:tr>
      <w:tr w:rsidR="007B559C" w:rsidRPr="00157580" w14:paraId="7CD4E473" w14:textId="77777777" w:rsidTr="00360131">
        <w:tc>
          <w:tcPr>
            <w:tcW w:w="9356" w:type="dxa"/>
            <w:tcBorders>
              <w:top w:val="single" w:sz="2" w:space="0" w:color="002279"/>
              <w:bottom w:val="single" w:sz="2" w:space="0" w:color="002279"/>
            </w:tcBorders>
          </w:tcPr>
          <w:p w14:paraId="6CCC8345" w14:textId="6D501522" w:rsidR="007B559C" w:rsidRPr="00360131" w:rsidRDefault="007B559C" w:rsidP="00375EBC">
            <w:pPr>
              <w:rPr>
                <w:rFonts w:ascii="Arial" w:hAnsi="Arial" w:cs="Arial"/>
                <w:b/>
                <w:sz w:val="22"/>
              </w:rPr>
            </w:pPr>
            <w:r w:rsidRPr="00360131">
              <w:rPr>
                <w:rFonts w:cs="Arial"/>
                <w:b/>
                <w:sz w:val="22"/>
                <w:szCs w:val="24"/>
              </w:rPr>
              <w:t>Investment portfolio</w:t>
            </w:r>
            <w:r w:rsidRPr="00360131">
              <w:rPr>
                <w:rFonts w:cs="Arial"/>
                <w:sz w:val="22"/>
                <w:szCs w:val="24"/>
              </w:rPr>
              <w:t xml:space="preserve">: Customer </w:t>
            </w:r>
            <w:r w:rsidR="002E1074" w:rsidRPr="00360131">
              <w:rPr>
                <w:rFonts w:cs="Arial"/>
                <w:sz w:val="22"/>
                <w:szCs w:val="24"/>
              </w:rPr>
              <w:t>m</w:t>
            </w:r>
            <w:r w:rsidRPr="00360131">
              <w:rPr>
                <w:rFonts w:cs="Arial"/>
                <w:sz w:val="22"/>
                <w:szCs w:val="24"/>
              </w:rPr>
              <w:t>etering</w:t>
            </w:r>
          </w:p>
        </w:tc>
      </w:tr>
      <w:tr w:rsidR="007B559C" w:rsidRPr="00157580" w14:paraId="3D5F6273" w14:textId="77777777" w:rsidTr="00360131">
        <w:tc>
          <w:tcPr>
            <w:tcW w:w="9356" w:type="dxa"/>
            <w:tcBorders>
              <w:top w:val="single" w:sz="2" w:space="0" w:color="002279"/>
              <w:bottom w:val="single" w:sz="2" w:space="0" w:color="002279"/>
            </w:tcBorders>
          </w:tcPr>
          <w:p w14:paraId="0E4D0FAF" w14:textId="77777777" w:rsidR="007B559C" w:rsidRPr="00360131" w:rsidRDefault="007B559C" w:rsidP="00375EBC">
            <w:pPr>
              <w:rPr>
                <w:rFonts w:ascii="Arial" w:hAnsi="Arial" w:cs="Arial"/>
                <w:b/>
                <w:sz w:val="22"/>
              </w:rPr>
            </w:pPr>
            <w:r w:rsidRPr="00360131">
              <w:rPr>
                <w:rFonts w:cs="Arial"/>
                <w:b/>
                <w:sz w:val="22"/>
                <w:szCs w:val="24"/>
              </w:rPr>
              <w:t xml:space="preserve">Total cost: </w:t>
            </w:r>
            <w:r w:rsidRPr="00360131">
              <w:rPr>
                <w:rFonts w:cs="Arial"/>
                <w:sz w:val="22"/>
                <w:szCs w:val="24"/>
              </w:rPr>
              <w:t>$261.9m</w:t>
            </w:r>
          </w:p>
        </w:tc>
      </w:tr>
      <w:tr w:rsidR="007B559C" w:rsidRPr="00157580" w14:paraId="2320CC96" w14:textId="77777777" w:rsidTr="00360131">
        <w:tc>
          <w:tcPr>
            <w:tcW w:w="9356" w:type="dxa"/>
            <w:tcBorders>
              <w:top w:val="single" w:sz="2" w:space="0" w:color="002279"/>
              <w:bottom w:val="single" w:sz="2" w:space="0" w:color="002279"/>
            </w:tcBorders>
          </w:tcPr>
          <w:p w14:paraId="0F50A042" w14:textId="28839DD2" w:rsidR="007B559C" w:rsidRPr="00360131" w:rsidRDefault="007B559C" w:rsidP="00375EBC">
            <w:pPr>
              <w:spacing w:line="259" w:lineRule="auto"/>
              <w:rPr>
                <w:rFonts w:ascii="Arial" w:hAnsi="Arial" w:cs="Arial"/>
                <w:b/>
                <w:sz w:val="22"/>
              </w:rPr>
            </w:pPr>
            <w:r w:rsidRPr="00360131">
              <w:rPr>
                <w:rFonts w:cs="Arial"/>
                <w:b/>
                <w:sz w:val="22"/>
                <w:szCs w:val="24"/>
              </w:rPr>
              <w:t>2023</w:t>
            </w:r>
            <w:r w:rsidR="007D4EB3" w:rsidRPr="00360131">
              <w:rPr>
                <w:rFonts w:cs="Arial"/>
                <w:b/>
                <w:sz w:val="22"/>
                <w:szCs w:val="24"/>
              </w:rPr>
              <w:t>–</w:t>
            </w:r>
            <w:r w:rsidRPr="00360131">
              <w:rPr>
                <w:rFonts w:cs="Arial"/>
                <w:b/>
                <w:sz w:val="22"/>
                <w:szCs w:val="24"/>
              </w:rPr>
              <w:t xml:space="preserve">28 cost and timing: </w:t>
            </w:r>
            <w:r w:rsidRPr="00360131">
              <w:rPr>
                <w:rFonts w:cs="Arial"/>
                <w:sz w:val="22"/>
                <w:szCs w:val="24"/>
              </w:rPr>
              <w:t>$206m (2023</w:t>
            </w:r>
            <w:r w:rsidR="00044A81" w:rsidRPr="00360131">
              <w:rPr>
                <w:rFonts w:cs="Arial"/>
                <w:sz w:val="22"/>
                <w:szCs w:val="24"/>
              </w:rPr>
              <w:t>–</w:t>
            </w:r>
            <w:r w:rsidR="00A5203B" w:rsidRPr="00360131">
              <w:rPr>
                <w:rFonts w:cs="Arial"/>
                <w:sz w:val="22"/>
                <w:szCs w:val="24"/>
              </w:rPr>
              <w:t>2</w:t>
            </w:r>
            <w:r w:rsidR="00044A81" w:rsidRPr="00360131">
              <w:rPr>
                <w:rFonts w:cs="Arial"/>
                <w:sz w:val="22"/>
                <w:szCs w:val="24"/>
              </w:rPr>
              <w:t>8</w:t>
            </w:r>
            <w:r w:rsidRPr="00360131">
              <w:rPr>
                <w:rFonts w:cs="Arial"/>
                <w:sz w:val="22"/>
                <w:szCs w:val="24"/>
              </w:rPr>
              <w:t>)</w:t>
            </w:r>
          </w:p>
        </w:tc>
      </w:tr>
      <w:tr w:rsidR="007B559C" w:rsidRPr="00157580" w14:paraId="2F11E01F" w14:textId="77777777" w:rsidTr="00360131">
        <w:tc>
          <w:tcPr>
            <w:tcW w:w="9356" w:type="dxa"/>
            <w:tcBorders>
              <w:top w:val="single" w:sz="2" w:space="0" w:color="002279"/>
              <w:bottom w:val="single" w:sz="2" w:space="0" w:color="002279"/>
            </w:tcBorders>
          </w:tcPr>
          <w:p w14:paraId="3C554A58" w14:textId="77777777" w:rsidR="007B559C" w:rsidRPr="00360131" w:rsidRDefault="007B559C" w:rsidP="00375EBC">
            <w:pPr>
              <w:spacing w:line="259" w:lineRule="auto"/>
              <w:rPr>
                <w:rFonts w:ascii="Arial" w:hAnsi="Arial" w:cs="Arial"/>
                <w:b/>
                <w:sz w:val="22"/>
              </w:rPr>
            </w:pPr>
            <w:r w:rsidRPr="00360131">
              <w:rPr>
                <w:rFonts w:cs="Arial"/>
                <w:b/>
                <w:sz w:val="22"/>
                <w:szCs w:val="24"/>
              </w:rPr>
              <w:t xml:space="preserve">Service category: </w:t>
            </w:r>
            <w:r w:rsidRPr="00360131">
              <w:rPr>
                <w:rFonts w:cs="Arial"/>
                <w:sz w:val="22"/>
                <w:szCs w:val="24"/>
              </w:rPr>
              <w:t>Water</w:t>
            </w:r>
          </w:p>
        </w:tc>
      </w:tr>
      <w:tr w:rsidR="00950BF5" w:rsidRPr="00157580" w14:paraId="0EEC435A" w14:textId="77777777" w:rsidTr="00360131">
        <w:tc>
          <w:tcPr>
            <w:tcW w:w="9356" w:type="dxa"/>
            <w:tcBorders>
              <w:top w:val="single" w:sz="2" w:space="0" w:color="002279"/>
              <w:bottom w:val="single" w:sz="2" w:space="0" w:color="002279"/>
            </w:tcBorders>
          </w:tcPr>
          <w:p w14:paraId="784F2285" w14:textId="77777777" w:rsidR="00950BF5" w:rsidRPr="00360131" w:rsidRDefault="00950BF5" w:rsidP="004331A0">
            <w:pPr>
              <w:spacing w:line="259" w:lineRule="auto"/>
              <w:rPr>
                <w:rFonts w:ascii="Arial" w:hAnsi="Arial" w:cs="Arial"/>
                <w:b/>
                <w:sz w:val="22"/>
              </w:rPr>
            </w:pPr>
            <w:r w:rsidRPr="00360131">
              <w:rPr>
                <w:rFonts w:cs="Arial"/>
                <w:b/>
                <w:sz w:val="22"/>
                <w:szCs w:val="24"/>
              </w:rPr>
              <w:t xml:space="preserve">Cost driver category: </w:t>
            </w:r>
            <w:r w:rsidRPr="00360131">
              <w:rPr>
                <w:rFonts w:cs="Arial"/>
                <w:sz w:val="22"/>
                <w:szCs w:val="24"/>
              </w:rPr>
              <w:t>Renewals</w:t>
            </w:r>
          </w:p>
        </w:tc>
      </w:tr>
      <w:tr w:rsidR="007B559C" w:rsidRPr="00157580" w14:paraId="4D86FE75" w14:textId="77777777" w:rsidTr="00360131">
        <w:tc>
          <w:tcPr>
            <w:tcW w:w="9356" w:type="dxa"/>
            <w:tcBorders>
              <w:top w:val="single" w:sz="2" w:space="0" w:color="002279"/>
              <w:bottom w:val="single" w:sz="2" w:space="0" w:color="002279"/>
            </w:tcBorders>
          </w:tcPr>
          <w:p w14:paraId="5BCFCA0B" w14:textId="77777777" w:rsidR="007B559C" w:rsidRPr="00360131" w:rsidRDefault="007B559C" w:rsidP="00375EBC">
            <w:pPr>
              <w:spacing w:line="259" w:lineRule="auto"/>
              <w:rPr>
                <w:rFonts w:ascii="Arial" w:hAnsi="Arial" w:cs="Arial"/>
                <w:sz w:val="22"/>
              </w:rPr>
            </w:pPr>
            <w:r w:rsidRPr="00360131">
              <w:rPr>
                <w:rFonts w:cs="Arial"/>
                <w:b/>
                <w:sz w:val="22"/>
                <w:szCs w:val="24"/>
              </w:rPr>
              <w:t>Asset category:</w:t>
            </w:r>
            <w:r w:rsidRPr="00360131">
              <w:rPr>
                <w:rFonts w:cs="Arial"/>
                <w:sz w:val="22"/>
                <w:szCs w:val="24"/>
              </w:rPr>
              <w:t xml:space="preserve"> Pipelines/network</w:t>
            </w:r>
          </w:p>
        </w:tc>
      </w:tr>
      <w:tr w:rsidR="007B559C" w:rsidRPr="00157580" w14:paraId="4A11275E" w14:textId="77777777" w:rsidTr="00360131">
        <w:tc>
          <w:tcPr>
            <w:tcW w:w="9356" w:type="dxa"/>
            <w:tcBorders>
              <w:top w:val="single" w:sz="2" w:space="0" w:color="002279"/>
              <w:bottom w:val="single" w:sz="2" w:space="0" w:color="002279"/>
            </w:tcBorders>
          </w:tcPr>
          <w:p w14:paraId="5180823C" w14:textId="14E81B1E" w:rsidR="007B559C" w:rsidRPr="00360131" w:rsidRDefault="007B559C" w:rsidP="00375EBC">
            <w:pPr>
              <w:spacing w:line="259" w:lineRule="auto"/>
              <w:rPr>
                <w:rFonts w:ascii="Arial" w:hAnsi="Arial" w:cs="Arial"/>
                <w:b/>
                <w:sz w:val="22"/>
              </w:rPr>
            </w:pPr>
            <w:r w:rsidRPr="00360131">
              <w:rPr>
                <w:rFonts w:cs="Arial"/>
                <w:b/>
                <w:sz w:val="22"/>
                <w:szCs w:val="24"/>
              </w:rPr>
              <w:t>Description:</w:t>
            </w:r>
            <w:r w:rsidRPr="00360131">
              <w:rPr>
                <w:rFonts w:cs="Arial"/>
                <w:sz w:val="22"/>
                <w:szCs w:val="24"/>
              </w:rPr>
              <w:t xml:space="preserve"> Rollout of new digital meters to all South East Water customers</w:t>
            </w:r>
          </w:p>
        </w:tc>
      </w:tr>
      <w:tr w:rsidR="007B559C" w:rsidRPr="00157580" w14:paraId="5E142971" w14:textId="77777777" w:rsidTr="00360131">
        <w:tc>
          <w:tcPr>
            <w:tcW w:w="9356" w:type="dxa"/>
            <w:tcBorders>
              <w:top w:val="single" w:sz="2" w:space="0" w:color="002279"/>
              <w:bottom w:val="single" w:sz="2" w:space="0" w:color="002279"/>
            </w:tcBorders>
          </w:tcPr>
          <w:p w14:paraId="0F201D63" w14:textId="6F51B0DE" w:rsidR="007B559C" w:rsidRPr="00360131" w:rsidRDefault="008D7061" w:rsidP="00375EBC">
            <w:pPr>
              <w:spacing w:line="259" w:lineRule="auto"/>
              <w:rPr>
                <w:rFonts w:ascii="Arial" w:hAnsi="Arial" w:cs="Arial"/>
                <w:b/>
                <w:sz w:val="22"/>
              </w:rPr>
            </w:pPr>
            <w:r w:rsidRPr="00360131">
              <w:rPr>
                <w:rFonts w:cs="Arial"/>
                <w:b/>
                <w:sz w:val="22"/>
                <w:szCs w:val="24"/>
              </w:rPr>
              <w:t xml:space="preserve">Customer </w:t>
            </w:r>
            <w:r w:rsidR="00F04F27" w:rsidRPr="00360131">
              <w:rPr>
                <w:rFonts w:cs="Arial"/>
                <w:b/>
                <w:sz w:val="22"/>
                <w:szCs w:val="24"/>
              </w:rPr>
              <w:t>o</w:t>
            </w:r>
            <w:r w:rsidR="007B559C" w:rsidRPr="00360131">
              <w:rPr>
                <w:rFonts w:cs="Arial"/>
                <w:b/>
                <w:sz w:val="22"/>
                <w:szCs w:val="24"/>
              </w:rPr>
              <w:t xml:space="preserve">utcome: </w:t>
            </w:r>
            <w:r w:rsidR="007B559C" w:rsidRPr="00360131">
              <w:rPr>
                <w:rFonts w:cs="Arial"/>
                <w:i/>
                <w:sz w:val="22"/>
                <w:szCs w:val="24"/>
              </w:rPr>
              <w:t>Get the basics right, always</w:t>
            </w:r>
            <w:r w:rsidR="007B559C" w:rsidRPr="00360131">
              <w:rPr>
                <w:rFonts w:cs="Arial"/>
                <w:sz w:val="22"/>
                <w:szCs w:val="24"/>
              </w:rPr>
              <w:t xml:space="preserve">; </w:t>
            </w:r>
            <w:r w:rsidR="007B559C" w:rsidRPr="00360131">
              <w:rPr>
                <w:rFonts w:cs="Arial"/>
                <w:i/>
                <w:sz w:val="22"/>
                <w:szCs w:val="24"/>
              </w:rPr>
              <w:t>Make my experience better</w:t>
            </w:r>
            <w:r w:rsidR="007B559C" w:rsidRPr="00360131">
              <w:rPr>
                <w:rFonts w:cs="Arial"/>
                <w:sz w:val="22"/>
                <w:szCs w:val="24"/>
              </w:rPr>
              <w:t xml:space="preserve">; </w:t>
            </w:r>
            <w:r w:rsidR="007B559C" w:rsidRPr="00360131">
              <w:rPr>
                <w:rFonts w:cs="Arial"/>
                <w:i/>
                <w:sz w:val="22"/>
                <w:szCs w:val="24"/>
              </w:rPr>
              <w:t>Warn me, inform me</w:t>
            </w:r>
            <w:r w:rsidR="007B559C" w:rsidRPr="00360131">
              <w:rPr>
                <w:rFonts w:cs="Arial"/>
                <w:sz w:val="22"/>
                <w:szCs w:val="24"/>
              </w:rPr>
              <w:t xml:space="preserve">; </w:t>
            </w:r>
            <w:r w:rsidR="007B559C" w:rsidRPr="00360131">
              <w:rPr>
                <w:rFonts w:cs="Arial"/>
                <w:i/>
                <w:sz w:val="22"/>
                <w:szCs w:val="24"/>
              </w:rPr>
              <w:t>Fair and affordable for all</w:t>
            </w:r>
            <w:r w:rsidR="007B559C" w:rsidRPr="00360131">
              <w:rPr>
                <w:rFonts w:cs="Arial"/>
                <w:sz w:val="22"/>
                <w:szCs w:val="24"/>
              </w:rPr>
              <w:t xml:space="preserve">; </w:t>
            </w:r>
            <w:r w:rsidR="007B559C" w:rsidRPr="00360131">
              <w:rPr>
                <w:rFonts w:cs="Arial"/>
                <w:i/>
                <w:sz w:val="22"/>
                <w:szCs w:val="24"/>
              </w:rPr>
              <w:t>Support my community, protect our environment</w:t>
            </w:r>
            <w:r w:rsidR="007B559C" w:rsidRPr="00360131">
              <w:rPr>
                <w:rFonts w:cs="Arial"/>
                <w:sz w:val="22"/>
                <w:szCs w:val="24"/>
              </w:rPr>
              <w:t>.</w:t>
            </w:r>
          </w:p>
        </w:tc>
      </w:tr>
      <w:tr w:rsidR="007B559C" w:rsidRPr="00157580" w14:paraId="3AF47108" w14:textId="77777777" w:rsidTr="00360131">
        <w:tc>
          <w:tcPr>
            <w:tcW w:w="9356" w:type="dxa"/>
            <w:tcBorders>
              <w:top w:val="single" w:sz="2" w:space="0" w:color="002279"/>
              <w:bottom w:val="single" w:sz="2" w:space="0" w:color="002279"/>
            </w:tcBorders>
          </w:tcPr>
          <w:p w14:paraId="4686C305" w14:textId="77777777" w:rsidR="007B559C" w:rsidRPr="00360131" w:rsidRDefault="007B559C" w:rsidP="00375EBC">
            <w:pPr>
              <w:spacing w:line="259" w:lineRule="auto"/>
              <w:rPr>
                <w:rFonts w:ascii="Arial" w:hAnsi="Arial" w:cs="Arial"/>
                <w:sz w:val="22"/>
              </w:rPr>
            </w:pPr>
            <w:r w:rsidRPr="00360131">
              <w:rPr>
                <w:rFonts w:cs="Arial"/>
                <w:b/>
                <w:sz w:val="22"/>
                <w:szCs w:val="24"/>
              </w:rPr>
              <w:t xml:space="preserve">Current risk rating: </w:t>
            </w:r>
            <w:r w:rsidRPr="00360131">
              <w:rPr>
                <w:rFonts w:cs="Arial"/>
                <w:sz w:val="22"/>
                <w:szCs w:val="24"/>
              </w:rPr>
              <w:t>Medium</w:t>
            </w:r>
          </w:p>
        </w:tc>
      </w:tr>
      <w:tr w:rsidR="007B559C" w:rsidRPr="00157580" w14:paraId="13A51A3D" w14:textId="77777777" w:rsidTr="00360131">
        <w:tc>
          <w:tcPr>
            <w:tcW w:w="9356" w:type="dxa"/>
            <w:tcBorders>
              <w:top w:val="single" w:sz="2" w:space="0" w:color="002279"/>
              <w:bottom w:val="single" w:sz="2" w:space="0" w:color="002279"/>
            </w:tcBorders>
          </w:tcPr>
          <w:p w14:paraId="4EA10E0E" w14:textId="37511225" w:rsidR="007B559C" w:rsidRPr="00360131" w:rsidRDefault="007B559C" w:rsidP="00375EBC">
            <w:pPr>
              <w:spacing w:line="259" w:lineRule="auto"/>
              <w:rPr>
                <w:rFonts w:ascii="Arial" w:hAnsi="Arial" w:cs="Arial"/>
                <w:b/>
                <w:sz w:val="22"/>
              </w:rPr>
            </w:pPr>
            <w:r w:rsidRPr="00360131">
              <w:rPr>
                <w:rFonts w:cs="Arial"/>
                <w:b/>
                <w:sz w:val="22"/>
                <w:szCs w:val="24"/>
              </w:rPr>
              <w:t xml:space="preserve">Risk rating </w:t>
            </w:r>
            <w:r w:rsidR="00017665" w:rsidRPr="00360131">
              <w:rPr>
                <w:rFonts w:cs="Arial"/>
                <w:b/>
                <w:sz w:val="22"/>
                <w:szCs w:val="24"/>
              </w:rPr>
              <w:t>post-investment</w:t>
            </w:r>
            <w:r w:rsidRPr="00360131">
              <w:rPr>
                <w:rFonts w:cs="Arial"/>
                <w:b/>
                <w:sz w:val="22"/>
                <w:szCs w:val="24"/>
              </w:rPr>
              <w:t xml:space="preserve">: </w:t>
            </w:r>
            <w:r w:rsidRPr="00360131">
              <w:rPr>
                <w:rFonts w:cs="Arial"/>
                <w:sz w:val="22"/>
                <w:szCs w:val="24"/>
              </w:rPr>
              <w:t>Low</w:t>
            </w:r>
          </w:p>
        </w:tc>
      </w:tr>
      <w:tr w:rsidR="007B559C" w:rsidRPr="00157580" w14:paraId="655C14B2" w14:textId="77777777" w:rsidTr="00360131">
        <w:tc>
          <w:tcPr>
            <w:tcW w:w="9356" w:type="dxa"/>
            <w:tcBorders>
              <w:top w:val="single" w:sz="2" w:space="0" w:color="002279"/>
            </w:tcBorders>
          </w:tcPr>
          <w:p w14:paraId="3FEC3FE5" w14:textId="2CE26F83" w:rsidR="007B559C" w:rsidRPr="00360131" w:rsidRDefault="007B559C" w:rsidP="00375EBC">
            <w:pPr>
              <w:spacing w:line="259" w:lineRule="auto"/>
              <w:rPr>
                <w:rFonts w:ascii="Arial" w:hAnsi="Arial" w:cs="Arial"/>
                <w:sz w:val="22"/>
              </w:rPr>
            </w:pPr>
            <w:r w:rsidRPr="00360131">
              <w:rPr>
                <w:rFonts w:cs="Arial"/>
                <w:b/>
                <w:sz w:val="22"/>
                <w:szCs w:val="24"/>
              </w:rPr>
              <w:t>Background</w:t>
            </w:r>
            <w:r w:rsidRPr="00360131">
              <w:rPr>
                <w:rFonts w:cs="Arial"/>
                <w:sz w:val="22"/>
                <w:szCs w:val="24"/>
              </w:rPr>
              <w:t xml:space="preserve">: Water scarcity and climate change impacts are increasing the need to efficiently manage and use water. In addition, customers and communities are expecting to be kept informed of their real-time water usage. As a significant portion of </w:t>
            </w:r>
            <w:r w:rsidR="002E1074" w:rsidRPr="00360131">
              <w:rPr>
                <w:rFonts w:cs="Arial"/>
                <w:sz w:val="22"/>
                <w:szCs w:val="24"/>
              </w:rPr>
              <w:t>our</w:t>
            </w:r>
            <w:r w:rsidRPr="00360131">
              <w:rPr>
                <w:rFonts w:cs="Arial"/>
                <w:sz w:val="22"/>
                <w:szCs w:val="24"/>
              </w:rPr>
              <w:t xml:space="preserve"> current </w:t>
            </w:r>
            <w:r w:rsidR="009D5521" w:rsidRPr="00360131">
              <w:rPr>
                <w:rFonts w:cs="Arial"/>
                <w:sz w:val="22"/>
                <w:szCs w:val="24"/>
              </w:rPr>
              <w:t xml:space="preserve">traditional </w:t>
            </w:r>
            <w:r w:rsidR="00941311" w:rsidRPr="00360131">
              <w:rPr>
                <w:rFonts w:cs="Arial"/>
                <w:sz w:val="22"/>
                <w:szCs w:val="24"/>
              </w:rPr>
              <w:t>mechanical</w:t>
            </w:r>
            <w:r w:rsidR="009D5521" w:rsidRPr="00360131">
              <w:rPr>
                <w:rFonts w:cs="Arial"/>
                <w:sz w:val="22"/>
                <w:szCs w:val="24"/>
              </w:rPr>
              <w:t xml:space="preserve"> </w:t>
            </w:r>
            <w:r w:rsidRPr="00360131">
              <w:rPr>
                <w:rFonts w:cs="Arial"/>
                <w:sz w:val="22"/>
                <w:szCs w:val="24"/>
              </w:rPr>
              <w:t>meter fleet is approaching end of life, digital metering provides an opportunity to help address these challenges. Th</w:t>
            </w:r>
            <w:r w:rsidR="00E4566F" w:rsidRPr="00360131">
              <w:rPr>
                <w:rFonts w:cs="Arial"/>
                <w:sz w:val="22"/>
                <w:szCs w:val="24"/>
              </w:rPr>
              <w:t>is</w:t>
            </w:r>
            <w:r w:rsidRPr="00360131">
              <w:rPr>
                <w:rFonts w:cs="Arial"/>
                <w:sz w:val="22"/>
                <w:szCs w:val="24"/>
              </w:rPr>
              <w:t xml:space="preserve"> project, which commenced in the</w:t>
            </w:r>
            <w:r w:rsidRPr="00360131" w:rsidDel="008D23CD">
              <w:rPr>
                <w:rFonts w:cs="Arial"/>
                <w:sz w:val="22"/>
                <w:szCs w:val="24"/>
              </w:rPr>
              <w:t xml:space="preserve"> </w:t>
            </w:r>
            <w:r w:rsidR="008D23CD" w:rsidRPr="00360131">
              <w:rPr>
                <w:rFonts w:cs="Arial"/>
                <w:sz w:val="22"/>
                <w:szCs w:val="24"/>
              </w:rPr>
              <w:t>2018</w:t>
            </w:r>
            <w:r w:rsidR="007D4EB3" w:rsidRPr="00360131">
              <w:rPr>
                <w:rFonts w:cs="Arial"/>
                <w:sz w:val="22"/>
                <w:szCs w:val="24"/>
              </w:rPr>
              <w:t>–</w:t>
            </w:r>
            <w:r w:rsidR="008D23CD" w:rsidRPr="00360131">
              <w:rPr>
                <w:rFonts w:cs="Arial"/>
                <w:sz w:val="22"/>
                <w:szCs w:val="24"/>
              </w:rPr>
              <w:t xml:space="preserve">23 </w:t>
            </w:r>
            <w:r w:rsidRPr="00360131">
              <w:rPr>
                <w:rFonts w:cs="Arial"/>
                <w:sz w:val="22"/>
                <w:szCs w:val="24"/>
              </w:rPr>
              <w:t>regulatory period</w:t>
            </w:r>
            <w:r w:rsidR="007D43D5" w:rsidRPr="00360131">
              <w:rPr>
                <w:rFonts w:cs="Arial"/>
                <w:sz w:val="22"/>
                <w:szCs w:val="24"/>
              </w:rPr>
              <w:t xml:space="preserve"> and delivered digital meters to</w:t>
            </w:r>
            <w:r w:rsidR="005D623D" w:rsidRPr="00360131">
              <w:rPr>
                <w:rFonts w:cs="Arial"/>
                <w:sz w:val="22"/>
                <w:szCs w:val="24"/>
              </w:rPr>
              <w:t xml:space="preserve"> </w:t>
            </w:r>
            <w:r w:rsidR="001C44ED">
              <w:rPr>
                <w:rFonts w:cs="Arial"/>
                <w:sz w:val="22"/>
                <w:szCs w:val="24"/>
              </w:rPr>
              <w:t>5</w:t>
            </w:r>
            <w:r w:rsidR="005D623D" w:rsidRPr="00360131">
              <w:rPr>
                <w:rFonts w:cs="Arial"/>
                <w:sz w:val="22"/>
                <w:szCs w:val="24"/>
              </w:rPr>
              <w:t>0,000</w:t>
            </w:r>
            <w:r w:rsidR="007D43D5" w:rsidRPr="00360131">
              <w:rPr>
                <w:rFonts w:cs="Arial"/>
                <w:sz w:val="22"/>
                <w:szCs w:val="24"/>
              </w:rPr>
              <w:t xml:space="preserve"> customers</w:t>
            </w:r>
            <w:r w:rsidR="002D3211" w:rsidRPr="00360131">
              <w:rPr>
                <w:rFonts w:cs="Arial"/>
                <w:sz w:val="22"/>
                <w:szCs w:val="24"/>
              </w:rPr>
              <w:t>, as well as</w:t>
            </w:r>
            <w:r w:rsidR="004053FF" w:rsidRPr="00360131">
              <w:rPr>
                <w:rFonts w:cs="Arial"/>
                <w:sz w:val="22"/>
                <w:szCs w:val="24"/>
              </w:rPr>
              <w:t xml:space="preserve"> </w:t>
            </w:r>
            <w:r w:rsidR="00FE1C72" w:rsidRPr="00360131">
              <w:rPr>
                <w:rFonts w:cs="Arial"/>
                <w:sz w:val="22"/>
                <w:szCs w:val="24"/>
              </w:rPr>
              <w:t xml:space="preserve">the </w:t>
            </w:r>
            <w:r w:rsidR="004053FF" w:rsidRPr="00360131">
              <w:rPr>
                <w:rFonts w:cs="Arial"/>
                <w:sz w:val="22"/>
                <w:szCs w:val="24"/>
              </w:rPr>
              <w:t xml:space="preserve">necessary </w:t>
            </w:r>
            <w:r w:rsidR="00FE1C72" w:rsidRPr="00360131">
              <w:rPr>
                <w:rFonts w:cs="Arial"/>
                <w:sz w:val="22"/>
                <w:szCs w:val="24"/>
              </w:rPr>
              <w:t>technology</w:t>
            </w:r>
            <w:r w:rsidR="004053FF" w:rsidRPr="00360131">
              <w:rPr>
                <w:rFonts w:cs="Arial"/>
                <w:sz w:val="22"/>
                <w:szCs w:val="24"/>
              </w:rPr>
              <w:t xml:space="preserve"> infrastructure</w:t>
            </w:r>
            <w:r w:rsidRPr="00360131">
              <w:rPr>
                <w:rFonts w:cs="Arial"/>
                <w:sz w:val="22"/>
                <w:szCs w:val="24"/>
              </w:rPr>
              <w:t xml:space="preserve">, will deliver water savings, customer satisfaction and improved planning capability for South East Water through the delivery of digital meters to all our </w:t>
            </w:r>
            <w:r w:rsidRPr="00360131">
              <w:rPr>
                <w:rFonts w:cs="Arial"/>
                <w:sz w:val="22"/>
                <w:szCs w:val="24"/>
              </w:rPr>
              <w:lastRenderedPageBreak/>
              <w:t xml:space="preserve">existing customers. The rollout includes the transformational elements required to ensure that data from digital meters provides both actionable information for customers and information to assist </w:t>
            </w:r>
            <w:r w:rsidR="00FD2311" w:rsidRPr="00360131">
              <w:rPr>
                <w:rFonts w:cs="Arial"/>
                <w:sz w:val="22"/>
                <w:szCs w:val="24"/>
              </w:rPr>
              <w:t>us</w:t>
            </w:r>
            <w:r w:rsidRPr="00360131">
              <w:rPr>
                <w:rFonts w:cs="Arial"/>
                <w:sz w:val="22"/>
                <w:szCs w:val="24"/>
              </w:rPr>
              <w:t xml:space="preserve"> in taking a proactive approach to network maintenance and infrastructure planning. </w:t>
            </w:r>
          </w:p>
        </w:tc>
      </w:tr>
      <w:tr w:rsidR="007B559C" w:rsidRPr="00157580" w14:paraId="520FA3CD" w14:textId="77777777" w:rsidTr="00360131">
        <w:tblPrEx>
          <w:tblBorders>
            <w:top w:val="single" w:sz="4" w:space="0" w:color="00B1F4" w:themeColor="accent2"/>
            <w:bottom w:val="single" w:sz="4" w:space="0" w:color="00B1F4" w:themeColor="accent2"/>
            <w:insideV w:val="none" w:sz="0" w:space="0" w:color="auto"/>
          </w:tblBorders>
        </w:tblPrEx>
        <w:trPr>
          <w:trHeight w:val="421"/>
          <w:tblHeader/>
        </w:trPr>
        <w:tc>
          <w:tcPr>
            <w:tcW w:w="9356" w:type="dxa"/>
            <w:tcBorders>
              <w:top w:val="single" w:sz="4" w:space="0" w:color="002060"/>
              <w:bottom w:val="single" w:sz="2" w:space="0" w:color="002279"/>
            </w:tcBorders>
            <w:shd w:val="clear" w:color="auto" w:fill="002379" w:themeFill="text2"/>
            <w:vAlign w:val="center"/>
          </w:tcPr>
          <w:p w14:paraId="57EA496C" w14:textId="20989956" w:rsidR="007B559C" w:rsidRPr="00360131" w:rsidRDefault="007B559C" w:rsidP="003B68B5">
            <w:pPr>
              <w:spacing w:line="259" w:lineRule="auto"/>
              <w:rPr>
                <w:rFonts w:ascii="Arial" w:hAnsi="Arial" w:cs="Arial"/>
                <w:b/>
                <w:sz w:val="22"/>
              </w:rPr>
            </w:pPr>
            <w:r w:rsidRPr="00360131">
              <w:rPr>
                <w:rFonts w:cs="Arial"/>
                <w:b/>
                <w:sz w:val="22"/>
              </w:rPr>
              <w:lastRenderedPageBreak/>
              <w:t xml:space="preserve">PROJECT 2: Hanna Street </w:t>
            </w:r>
            <w:r w:rsidR="00100476" w:rsidRPr="00360131">
              <w:rPr>
                <w:rFonts w:cs="Arial"/>
                <w:b/>
                <w:sz w:val="22"/>
              </w:rPr>
              <w:t>C</w:t>
            </w:r>
            <w:r w:rsidRPr="00360131">
              <w:rPr>
                <w:rFonts w:cs="Arial"/>
                <w:b/>
                <w:sz w:val="22"/>
              </w:rPr>
              <w:t xml:space="preserve">apacity </w:t>
            </w:r>
            <w:r w:rsidR="00100476" w:rsidRPr="00360131">
              <w:rPr>
                <w:rFonts w:cs="Arial"/>
                <w:b/>
                <w:sz w:val="22"/>
              </w:rPr>
              <w:t>U</w:t>
            </w:r>
            <w:r w:rsidRPr="00360131">
              <w:rPr>
                <w:rFonts w:cs="Arial"/>
                <w:b/>
                <w:sz w:val="22"/>
              </w:rPr>
              <w:t>pgrade – Stage 2</w:t>
            </w:r>
          </w:p>
        </w:tc>
      </w:tr>
      <w:tr w:rsidR="007B559C" w:rsidRPr="00157580" w14:paraId="0AE01516" w14:textId="77777777" w:rsidTr="00360131">
        <w:tblPrEx>
          <w:tblBorders>
            <w:top w:val="single" w:sz="4" w:space="0" w:color="00B1F4" w:themeColor="accent2"/>
            <w:bottom w:val="single" w:sz="4" w:space="0" w:color="00B1F4" w:themeColor="accent2"/>
            <w:insideV w:val="none" w:sz="0" w:space="0" w:color="auto"/>
          </w:tblBorders>
        </w:tblPrEx>
        <w:tc>
          <w:tcPr>
            <w:tcW w:w="9356" w:type="dxa"/>
            <w:tcBorders>
              <w:top w:val="nil"/>
              <w:bottom w:val="single" w:sz="2" w:space="0" w:color="002279"/>
            </w:tcBorders>
          </w:tcPr>
          <w:p w14:paraId="3D0BDB12" w14:textId="2F0A5EBC" w:rsidR="007B559C" w:rsidRPr="00360131" w:rsidRDefault="007B559C" w:rsidP="00375EBC">
            <w:pPr>
              <w:rPr>
                <w:rFonts w:ascii="Arial" w:hAnsi="Arial" w:cs="Arial"/>
                <w:b/>
                <w:sz w:val="22"/>
              </w:rPr>
            </w:pPr>
            <w:r w:rsidRPr="00360131">
              <w:rPr>
                <w:rFonts w:cs="Arial"/>
                <w:b/>
                <w:sz w:val="22"/>
                <w:szCs w:val="24"/>
              </w:rPr>
              <w:t>Investment portfolio</w:t>
            </w:r>
            <w:r w:rsidRPr="00360131">
              <w:rPr>
                <w:rFonts w:cs="Arial"/>
                <w:sz w:val="22"/>
                <w:szCs w:val="24"/>
              </w:rPr>
              <w:t xml:space="preserve">: Sewer </w:t>
            </w:r>
            <w:r w:rsidR="00AC1487" w:rsidRPr="00360131">
              <w:rPr>
                <w:rFonts w:cs="Arial"/>
                <w:sz w:val="22"/>
                <w:szCs w:val="24"/>
              </w:rPr>
              <w:t>g</w:t>
            </w:r>
            <w:r w:rsidRPr="00360131">
              <w:rPr>
                <w:rFonts w:cs="Arial"/>
                <w:sz w:val="22"/>
                <w:szCs w:val="24"/>
              </w:rPr>
              <w:t>rowth</w:t>
            </w:r>
          </w:p>
        </w:tc>
      </w:tr>
      <w:tr w:rsidR="007B559C" w:rsidRPr="00157580" w14:paraId="7744EA37" w14:textId="77777777" w:rsidTr="00360131">
        <w:tblPrEx>
          <w:tblBorders>
            <w:top w:val="single" w:sz="4" w:space="0" w:color="00B1F4" w:themeColor="accent2"/>
            <w:bottom w:val="single" w:sz="4" w:space="0" w:color="00B1F4" w:themeColor="accent2"/>
            <w:insideV w:val="none" w:sz="0" w:space="0" w:color="auto"/>
          </w:tblBorders>
        </w:tblPrEx>
        <w:tc>
          <w:tcPr>
            <w:tcW w:w="9356" w:type="dxa"/>
            <w:tcBorders>
              <w:top w:val="nil"/>
              <w:bottom w:val="single" w:sz="2" w:space="0" w:color="002279"/>
            </w:tcBorders>
          </w:tcPr>
          <w:p w14:paraId="5195B4C6" w14:textId="41BE2E46" w:rsidR="007B559C" w:rsidRPr="00360131" w:rsidRDefault="007B559C" w:rsidP="00375EBC">
            <w:pPr>
              <w:rPr>
                <w:rFonts w:ascii="Arial" w:hAnsi="Arial" w:cs="Arial"/>
                <w:sz w:val="22"/>
              </w:rPr>
            </w:pPr>
            <w:r w:rsidRPr="00360131">
              <w:rPr>
                <w:rFonts w:cs="Arial"/>
                <w:b/>
                <w:sz w:val="22"/>
                <w:szCs w:val="24"/>
              </w:rPr>
              <w:t xml:space="preserve">Total Cost: </w:t>
            </w:r>
            <w:r w:rsidRPr="00360131">
              <w:rPr>
                <w:rFonts w:cs="Arial"/>
                <w:sz w:val="22"/>
                <w:szCs w:val="24"/>
              </w:rPr>
              <w:t>$70.</w:t>
            </w:r>
            <w:r w:rsidR="00191136">
              <w:rPr>
                <w:rFonts w:cs="Arial"/>
                <w:sz w:val="22"/>
                <w:szCs w:val="24"/>
              </w:rPr>
              <w:t>28</w:t>
            </w:r>
            <w:r w:rsidRPr="00360131">
              <w:rPr>
                <w:rFonts w:cs="Arial"/>
                <w:sz w:val="22"/>
                <w:szCs w:val="24"/>
              </w:rPr>
              <w:t>m</w:t>
            </w:r>
          </w:p>
        </w:tc>
      </w:tr>
      <w:tr w:rsidR="007B559C" w:rsidRPr="00157580" w14:paraId="342804E5" w14:textId="77777777" w:rsidTr="00360131">
        <w:tblPrEx>
          <w:tblBorders>
            <w:top w:val="single" w:sz="4" w:space="0" w:color="00B1F4" w:themeColor="accent2"/>
            <w:bottom w:val="single" w:sz="4" w:space="0" w:color="00B1F4" w:themeColor="accent2"/>
            <w:insideV w:val="none" w:sz="0" w:space="0" w:color="auto"/>
          </w:tblBorders>
        </w:tblPrEx>
        <w:tc>
          <w:tcPr>
            <w:tcW w:w="9356" w:type="dxa"/>
            <w:tcBorders>
              <w:top w:val="single" w:sz="2" w:space="0" w:color="002279"/>
              <w:bottom w:val="single" w:sz="2" w:space="0" w:color="002279"/>
            </w:tcBorders>
          </w:tcPr>
          <w:p w14:paraId="29DA3B77" w14:textId="002DD253" w:rsidR="007B559C" w:rsidRPr="00360131" w:rsidRDefault="007B559C" w:rsidP="00375EBC">
            <w:pPr>
              <w:spacing w:line="259" w:lineRule="auto"/>
              <w:rPr>
                <w:rFonts w:ascii="Arial" w:hAnsi="Arial" w:cs="Arial"/>
                <w:sz w:val="22"/>
              </w:rPr>
            </w:pPr>
            <w:r w:rsidRPr="00360131">
              <w:rPr>
                <w:rFonts w:cs="Arial"/>
                <w:b/>
                <w:sz w:val="22"/>
                <w:szCs w:val="24"/>
              </w:rPr>
              <w:t>2023</w:t>
            </w:r>
            <w:r w:rsidR="007D4EB3" w:rsidRPr="00360131">
              <w:rPr>
                <w:rFonts w:cs="Arial"/>
                <w:b/>
                <w:sz w:val="22"/>
                <w:szCs w:val="24"/>
              </w:rPr>
              <w:t>–</w:t>
            </w:r>
            <w:r w:rsidRPr="00360131">
              <w:rPr>
                <w:rFonts w:cs="Arial"/>
                <w:b/>
                <w:sz w:val="22"/>
                <w:szCs w:val="24"/>
              </w:rPr>
              <w:t>28 cost and timing:</w:t>
            </w:r>
            <w:r w:rsidRPr="00360131">
              <w:rPr>
                <w:rFonts w:cs="Arial"/>
                <w:sz w:val="22"/>
                <w:szCs w:val="24"/>
              </w:rPr>
              <w:t xml:space="preserve"> $70.</w:t>
            </w:r>
            <w:r w:rsidR="00191136">
              <w:rPr>
                <w:rFonts w:cs="Arial"/>
                <w:sz w:val="22"/>
                <w:szCs w:val="24"/>
              </w:rPr>
              <w:t>28</w:t>
            </w:r>
            <w:r w:rsidRPr="00360131">
              <w:rPr>
                <w:rFonts w:cs="Arial"/>
                <w:sz w:val="22"/>
                <w:szCs w:val="24"/>
              </w:rPr>
              <w:t>m (2023</w:t>
            </w:r>
            <w:r w:rsidR="00044A81" w:rsidRPr="00360131">
              <w:rPr>
                <w:rFonts w:cs="Arial"/>
                <w:sz w:val="22"/>
                <w:szCs w:val="24"/>
              </w:rPr>
              <w:t>–27</w:t>
            </w:r>
            <w:r w:rsidRPr="00360131">
              <w:rPr>
                <w:rFonts w:cs="Arial"/>
                <w:sz w:val="22"/>
                <w:szCs w:val="24"/>
              </w:rPr>
              <w:t>)</w:t>
            </w:r>
          </w:p>
        </w:tc>
      </w:tr>
      <w:tr w:rsidR="007B559C" w:rsidRPr="00157580" w14:paraId="748A77BE" w14:textId="77777777" w:rsidTr="00360131">
        <w:tblPrEx>
          <w:tblBorders>
            <w:top w:val="single" w:sz="4" w:space="0" w:color="00B1F4" w:themeColor="accent2"/>
            <w:bottom w:val="single" w:sz="4" w:space="0" w:color="00B1F4" w:themeColor="accent2"/>
            <w:insideV w:val="none" w:sz="0" w:space="0" w:color="auto"/>
          </w:tblBorders>
        </w:tblPrEx>
        <w:tc>
          <w:tcPr>
            <w:tcW w:w="9356" w:type="dxa"/>
            <w:tcBorders>
              <w:top w:val="single" w:sz="2" w:space="0" w:color="002279"/>
              <w:bottom w:val="single" w:sz="2" w:space="0" w:color="002279"/>
            </w:tcBorders>
          </w:tcPr>
          <w:p w14:paraId="7E5095A9" w14:textId="77777777" w:rsidR="007B559C" w:rsidRPr="00360131" w:rsidRDefault="007B559C" w:rsidP="00375EBC">
            <w:pPr>
              <w:spacing w:line="259" w:lineRule="auto"/>
              <w:rPr>
                <w:rFonts w:ascii="Arial" w:hAnsi="Arial" w:cs="Arial"/>
                <w:sz w:val="22"/>
              </w:rPr>
            </w:pPr>
            <w:r w:rsidRPr="00360131">
              <w:rPr>
                <w:rFonts w:cs="Arial"/>
                <w:b/>
                <w:sz w:val="22"/>
                <w:szCs w:val="24"/>
              </w:rPr>
              <w:t xml:space="preserve">Service category: </w:t>
            </w:r>
            <w:r w:rsidRPr="00360131">
              <w:rPr>
                <w:rFonts w:cs="Arial"/>
                <w:sz w:val="22"/>
                <w:szCs w:val="24"/>
              </w:rPr>
              <w:t>Sewerage</w:t>
            </w:r>
          </w:p>
        </w:tc>
      </w:tr>
      <w:tr w:rsidR="007B559C" w:rsidRPr="00157580" w14:paraId="39DFFE12" w14:textId="77777777" w:rsidTr="00360131">
        <w:tblPrEx>
          <w:tblBorders>
            <w:top w:val="single" w:sz="4" w:space="0" w:color="00B1F4" w:themeColor="accent2"/>
            <w:bottom w:val="single" w:sz="4" w:space="0" w:color="00B1F4" w:themeColor="accent2"/>
            <w:insideV w:val="none" w:sz="0" w:space="0" w:color="auto"/>
          </w:tblBorders>
        </w:tblPrEx>
        <w:tc>
          <w:tcPr>
            <w:tcW w:w="9356" w:type="dxa"/>
            <w:tcBorders>
              <w:top w:val="single" w:sz="2" w:space="0" w:color="002279"/>
              <w:bottom w:val="single" w:sz="2" w:space="0" w:color="002279"/>
            </w:tcBorders>
          </w:tcPr>
          <w:p w14:paraId="06E27CF2" w14:textId="74A25D49" w:rsidR="007B559C" w:rsidRPr="00360131" w:rsidRDefault="007B559C" w:rsidP="00375EBC">
            <w:pPr>
              <w:spacing w:line="259" w:lineRule="auto"/>
              <w:rPr>
                <w:rFonts w:ascii="Arial" w:hAnsi="Arial" w:cs="Arial"/>
                <w:b/>
                <w:sz w:val="22"/>
              </w:rPr>
            </w:pPr>
            <w:r w:rsidRPr="00360131">
              <w:rPr>
                <w:rFonts w:cs="Arial"/>
                <w:b/>
                <w:sz w:val="22"/>
                <w:szCs w:val="24"/>
              </w:rPr>
              <w:t xml:space="preserve">Cost </w:t>
            </w:r>
            <w:r w:rsidR="00E1721B" w:rsidRPr="00360131">
              <w:rPr>
                <w:rFonts w:cs="Arial"/>
                <w:b/>
                <w:sz w:val="22"/>
                <w:szCs w:val="24"/>
              </w:rPr>
              <w:t>d</w:t>
            </w:r>
            <w:r w:rsidRPr="00360131">
              <w:rPr>
                <w:rFonts w:cs="Arial"/>
                <w:b/>
                <w:sz w:val="22"/>
                <w:szCs w:val="24"/>
              </w:rPr>
              <w:t xml:space="preserve">river category: </w:t>
            </w:r>
            <w:r w:rsidRPr="00360131">
              <w:rPr>
                <w:rFonts w:cs="Arial"/>
                <w:sz w:val="22"/>
                <w:szCs w:val="24"/>
              </w:rPr>
              <w:t>Growth</w:t>
            </w:r>
          </w:p>
        </w:tc>
      </w:tr>
      <w:tr w:rsidR="00950BF5" w:rsidRPr="00157580" w14:paraId="0AC7D93D" w14:textId="77777777" w:rsidTr="00360131">
        <w:tblPrEx>
          <w:tblBorders>
            <w:top w:val="single" w:sz="4" w:space="0" w:color="00B1F4" w:themeColor="accent2"/>
            <w:bottom w:val="single" w:sz="4" w:space="0" w:color="00B1F4" w:themeColor="accent2"/>
            <w:insideV w:val="none" w:sz="0" w:space="0" w:color="auto"/>
          </w:tblBorders>
        </w:tblPrEx>
        <w:tc>
          <w:tcPr>
            <w:tcW w:w="9356" w:type="dxa"/>
            <w:tcBorders>
              <w:top w:val="single" w:sz="2" w:space="0" w:color="002279"/>
              <w:bottom w:val="single" w:sz="2" w:space="0" w:color="002279"/>
            </w:tcBorders>
          </w:tcPr>
          <w:p w14:paraId="4B6F6022" w14:textId="77777777" w:rsidR="00950BF5" w:rsidRPr="00360131" w:rsidRDefault="00950BF5" w:rsidP="004331A0">
            <w:pPr>
              <w:spacing w:line="259" w:lineRule="auto"/>
              <w:rPr>
                <w:rFonts w:ascii="Arial" w:hAnsi="Arial" w:cs="Arial"/>
                <w:sz w:val="22"/>
              </w:rPr>
            </w:pPr>
            <w:r w:rsidRPr="00360131">
              <w:rPr>
                <w:rFonts w:cs="Arial"/>
                <w:b/>
                <w:sz w:val="22"/>
                <w:szCs w:val="24"/>
              </w:rPr>
              <w:t xml:space="preserve">Asset category: </w:t>
            </w:r>
            <w:r w:rsidRPr="00360131">
              <w:rPr>
                <w:rFonts w:cs="Arial"/>
                <w:sz w:val="22"/>
                <w:szCs w:val="24"/>
              </w:rPr>
              <w:t>Pipelines/network</w:t>
            </w:r>
          </w:p>
        </w:tc>
      </w:tr>
      <w:tr w:rsidR="007B559C" w:rsidRPr="00157580" w14:paraId="0F4CAC28" w14:textId="77777777" w:rsidTr="00360131">
        <w:tblPrEx>
          <w:tblBorders>
            <w:top w:val="single" w:sz="4" w:space="0" w:color="00B1F4" w:themeColor="accent2"/>
            <w:bottom w:val="single" w:sz="4" w:space="0" w:color="00B1F4" w:themeColor="accent2"/>
            <w:insideV w:val="none" w:sz="0" w:space="0" w:color="auto"/>
          </w:tblBorders>
        </w:tblPrEx>
        <w:tc>
          <w:tcPr>
            <w:tcW w:w="9356" w:type="dxa"/>
            <w:tcBorders>
              <w:top w:val="single" w:sz="2" w:space="0" w:color="002279"/>
              <w:bottom w:val="single" w:sz="2" w:space="0" w:color="002279"/>
            </w:tcBorders>
          </w:tcPr>
          <w:p w14:paraId="6122CE2E" w14:textId="77777777" w:rsidR="007B559C" w:rsidRPr="00360131" w:rsidRDefault="007B559C" w:rsidP="00375EBC">
            <w:pPr>
              <w:spacing w:line="259" w:lineRule="auto"/>
              <w:rPr>
                <w:rFonts w:ascii="Arial" w:hAnsi="Arial" w:cs="Arial"/>
                <w:b/>
                <w:sz w:val="22"/>
              </w:rPr>
            </w:pPr>
            <w:r w:rsidRPr="00360131">
              <w:rPr>
                <w:rFonts w:cs="Arial"/>
                <w:b/>
                <w:sz w:val="22"/>
                <w:szCs w:val="24"/>
              </w:rPr>
              <w:t xml:space="preserve">Description: </w:t>
            </w:r>
            <w:r w:rsidRPr="00360131">
              <w:rPr>
                <w:rFonts w:cs="Arial"/>
                <w:sz w:val="22"/>
                <w:szCs w:val="24"/>
              </w:rPr>
              <w:t>S</w:t>
            </w:r>
            <w:r w:rsidRPr="00360131">
              <w:rPr>
                <w:rStyle w:val="normaltextrun"/>
                <w:rFonts w:cs="Arial"/>
                <w:sz w:val="22"/>
                <w:szCs w:val="24"/>
                <w:bdr w:val="none" w:sz="0" w:space="0" w:color="auto" w:frame="1"/>
              </w:rPr>
              <w:t>tage 2 capacity upgrades to the Hanna Street branch sewer to provide wet weather containment within the network</w:t>
            </w:r>
          </w:p>
        </w:tc>
      </w:tr>
      <w:tr w:rsidR="007B559C" w:rsidRPr="00157580" w14:paraId="29789424" w14:textId="77777777" w:rsidTr="00360131">
        <w:tblPrEx>
          <w:tblBorders>
            <w:top w:val="single" w:sz="4" w:space="0" w:color="00B1F4" w:themeColor="accent2"/>
            <w:bottom w:val="single" w:sz="4" w:space="0" w:color="00B1F4" w:themeColor="accent2"/>
            <w:insideV w:val="none" w:sz="0" w:space="0" w:color="auto"/>
          </w:tblBorders>
        </w:tblPrEx>
        <w:tc>
          <w:tcPr>
            <w:tcW w:w="9356" w:type="dxa"/>
            <w:tcBorders>
              <w:top w:val="single" w:sz="2" w:space="0" w:color="002279"/>
              <w:bottom w:val="single" w:sz="2" w:space="0" w:color="002279"/>
            </w:tcBorders>
          </w:tcPr>
          <w:p w14:paraId="0B752E29" w14:textId="60F90ED0" w:rsidR="007B559C" w:rsidRPr="00360131" w:rsidRDefault="008D7061" w:rsidP="00375EBC">
            <w:pPr>
              <w:spacing w:line="259" w:lineRule="auto"/>
              <w:rPr>
                <w:rFonts w:ascii="Arial" w:hAnsi="Arial" w:cs="Arial"/>
                <w:b/>
                <w:sz w:val="22"/>
              </w:rPr>
            </w:pPr>
            <w:r w:rsidRPr="00360131">
              <w:rPr>
                <w:rFonts w:cs="Arial"/>
                <w:b/>
                <w:sz w:val="22"/>
                <w:szCs w:val="24"/>
              </w:rPr>
              <w:t xml:space="preserve">Customer </w:t>
            </w:r>
            <w:r w:rsidR="0086109D" w:rsidRPr="00360131">
              <w:rPr>
                <w:rFonts w:cs="Arial"/>
                <w:b/>
                <w:sz w:val="22"/>
                <w:szCs w:val="24"/>
              </w:rPr>
              <w:t>o</w:t>
            </w:r>
            <w:r w:rsidR="007B559C" w:rsidRPr="00360131">
              <w:rPr>
                <w:rFonts w:cs="Arial"/>
                <w:b/>
                <w:sz w:val="22"/>
                <w:szCs w:val="24"/>
              </w:rPr>
              <w:t xml:space="preserve">utcome: </w:t>
            </w:r>
            <w:r w:rsidR="007B559C" w:rsidRPr="00360131">
              <w:rPr>
                <w:rFonts w:cs="Arial"/>
                <w:i/>
                <w:sz w:val="22"/>
                <w:szCs w:val="24"/>
              </w:rPr>
              <w:t>Get the basics right, always</w:t>
            </w:r>
            <w:r w:rsidR="007B559C" w:rsidRPr="00360131">
              <w:rPr>
                <w:rFonts w:cs="Arial"/>
                <w:sz w:val="22"/>
                <w:szCs w:val="24"/>
              </w:rPr>
              <w:t xml:space="preserve">; </w:t>
            </w:r>
            <w:r w:rsidR="007B559C" w:rsidRPr="00360131">
              <w:rPr>
                <w:rStyle w:val="normaltextrun"/>
                <w:rFonts w:cs="Arial"/>
                <w:i/>
                <w:sz w:val="22"/>
                <w:szCs w:val="24"/>
                <w:bdr w:val="none" w:sz="0" w:space="0" w:color="auto" w:frame="1"/>
              </w:rPr>
              <w:t>Support my community, protect my environment</w:t>
            </w:r>
          </w:p>
        </w:tc>
      </w:tr>
      <w:tr w:rsidR="007B559C" w:rsidRPr="00157580" w14:paraId="25A7520C" w14:textId="77777777" w:rsidTr="00360131">
        <w:tblPrEx>
          <w:tblBorders>
            <w:top w:val="single" w:sz="4" w:space="0" w:color="00B1F4" w:themeColor="accent2"/>
            <w:bottom w:val="single" w:sz="4" w:space="0" w:color="00B1F4" w:themeColor="accent2"/>
            <w:insideV w:val="none" w:sz="0" w:space="0" w:color="auto"/>
          </w:tblBorders>
        </w:tblPrEx>
        <w:tc>
          <w:tcPr>
            <w:tcW w:w="9356" w:type="dxa"/>
            <w:tcBorders>
              <w:top w:val="single" w:sz="2" w:space="0" w:color="002279"/>
              <w:bottom w:val="single" w:sz="2" w:space="0" w:color="002279"/>
            </w:tcBorders>
          </w:tcPr>
          <w:p w14:paraId="11D7FA3B" w14:textId="77777777" w:rsidR="007B559C" w:rsidRPr="00360131" w:rsidRDefault="007B559C" w:rsidP="00375EBC">
            <w:pPr>
              <w:spacing w:line="259" w:lineRule="auto"/>
              <w:rPr>
                <w:rFonts w:ascii="Arial" w:hAnsi="Arial" w:cs="Arial"/>
                <w:sz w:val="22"/>
              </w:rPr>
            </w:pPr>
            <w:r w:rsidRPr="00360131">
              <w:rPr>
                <w:rFonts w:cs="Arial"/>
                <w:b/>
                <w:sz w:val="22"/>
                <w:szCs w:val="24"/>
              </w:rPr>
              <w:t xml:space="preserve">Current risk rating: </w:t>
            </w:r>
            <w:r w:rsidRPr="00360131">
              <w:rPr>
                <w:rFonts w:cs="Arial"/>
                <w:sz w:val="22"/>
                <w:szCs w:val="24"/>
              </w:rPr>
              <w:t>High</w:t>
            </w:r>
          </w:p>
        </w:tc>
      </w:tr>
      <w:tr w:rsidR="007B559C" w:rsidRPr="00157580" w14:paraId="5EC98AAB" w14:textId="77777777" w:rsidTr="00360131">
        <w:tblPrEx>
          <w:tblBorders>
            <w:top w:val="single" w:sz="4" w:space="0" w:color="00B1F4" w:themeColor="accent2"/>
            <w:bottom w:val="single" w:sz="4" w:space="0" w:color="00B1F4" w:themeColor="accent2"/>
            <w:insideV w:val="none" w:sz="0" w:space="0" w:color="auto"/>
          </w:tblBorders>
        </w:tblPrEx>
        <w:tc>
          <w:tcPr>
            <w:tcW w:w="9356" w:type="dxa"/>
            <w:tcBorders>
              <w:top w:val="single" w:sz="2" w:space="0" w:color="002279"/>
              <w:bottom w:val="single" w:sz="2" w:space="0" w:color="002279"/>
            </w:tcBorders>
          </w:tcPr>
          <w:p w14:paraId="1F035B12" w14:textId="77BEBC0C" w:rsidR="007B559C" w:rsidRPr="00360131" w:rsidRDefault="007B559C" w:rsidP="00375EBC">
            <w:pPr>
              <w:spacing w:line="259" w:lineRule="auto"/>
              <w:rPr>
                <w:rFonts w:ascii="Arial" w:hAnsi="Arial" w:cs="Arial"/>
                <w:b/>
                <w:sz w:val="22"/>
              </w:rPr>
            </w:pPr>
            <w:r w:rsidRPr="00360131">
              <w:rPr>
                <w:rFonts w:cs="Arial"/>
                <w:b/>
                <w:sz w:val="22"/>
                <w:szCs w:val="24"/>
              </w:rPr>
              <w:t xml:space="preserve">Risk rating </w:t>
            </w:r>
            <w:r w:rsidR="00017665" w:rsidRPr="00360131">
              <w:rPr>
                <w:rFonts w:cs="Arial"/>
                <w:b/>
                <w:sz w:val="22"/>
                <w:szCs w:val="24"/>
              </w:rPr>
              <w:t>post-investment</w:t>
            </w:r>
            <w:r w:rsidRPr="00360131">
              <w:rPr>
                <w:rFonts w:cs="Arial"/>
                <w:b/>
                <w:sz w:val="22"/>
                <w:szCs w:val="24"/>
              </w:rPr>
              <w:t xml:space="preserve">: </w:t>
            </w:r>
            <w:r w:rsidRPr="00360131">
              <w:rPr>
                <w:rFonts w:cs="Arial"/>
                <w:sz w:val="22"/>
                <w:szCs w:val="24"/>
              </w:rPr>
              <w:t>Moderate</w:t>
            </w:r>
          </w:p>
        </w:tc>
      </w:tr>
      <w:tr w:rsidR="007B559C" w:rsidRPr="00157580" w14:paraId="5CDEEB6A" w14:textId="77777777" w:rsidTr="00360131">
        <w:tblPrEx>
          <w:tblBorders>
            <w:top w:val="single" w:sz="4" w:space="0" w:color="00B1F4" w:themeColor="accent2"/>
            <w:bottom w:val="single" w:sz="4" w:space="0" w:color="00B1F4" w:themeColor="accent2"/>
            <w:insideV w:val="none" w:sz="0" w:space="0" w:color="auto"/>
          </w:tblBorders>
        </w:tblPrEx>
        <w:tc>
          <w:tcPr>
            <w:tcW w:w="9356" w:type="dxa"/>
            <w:tcBorders>
              <w:top w:val="single" w:sz="2" w:space="0" w:color="002279"/>
              <w:bottom w:val="single" w:sz="2" w:space="0" w:color="002279"/>
            </w:tcBorders>
          </w:tcPr>
          <w:p w14:paraId="74D9A6BF" w14:textId="39202665" w:rsidR="007B559C" w:rsidRPr="00360131" w:rsidRDefault="007B559C" w:rsidP="00375EBC">
            <w:pPr>
              <w:spacing w:line="259" w:lineRule="auto"/>
              <w:rPr>
                <w:rFonts w:ascii="Arial" w:hAnsi="Arial" w:cs="Arial"/>
                <w:b/>
                <w:sz w:val="22"/>
              </w:rPr>
            </w:pPr>
            <w:r w:rsidRPr="00360131">
              <w:rPr>
                <w:rFonts w:cs="Arial"/>
                <w:b/>
                <w:sz w:val="22"/>
                <w:szCs w:val="24"/>
              </w:rPr>
              <w:t>Background:</w:t>
            </w:r>
            <w:r w:rsidRPr="00360131">
              <w:rPr>
                <w:rFonts w:cs="Arial"/>
                <w:sz w:val="22"/>
                <w:szCs w:val="24"/>
              </w:rPr>
              <w:t xml:space="preserve"> The Hanna </w:t>
            </w:r>
            <w:r w:rsidR="00553E0A" w:rsidRPr="00360131">
              <w:rPr>
                <w:rFonts w:cs="Arial"/>
                <w:sz w:val="22"/>
                <w:szCs w:val="24"/>
              </w:rPr>
              <w:t xml:space="preserve">Street </w:t>
            </w:r>
            <w:r w:rsidRPr="00360131">
              <w:rPr>
                <w:rFonts w:cs="Arial"/>
                <w:sz w:val="22"/>
                <w:szCs w:val="24"/>
              </w:rPr>
              <w:t>and Wells Street sewer catchments currently serve 24,300 customer connections within Southbank and South Melbourne. The sewers were constructed in the late 1890s</w:t>
            </w:r>
            <w:r w:rsidR="00702D9F" w:rsidRPr="00360131">
              <w:rPr>
                <w:rFonts w:cs="Arial"/>
                <w:sz w:val="22"/>
                <w:szCs w:val="24"/>
              </w:rPr>
              <w:t>,</w:t>
            </w:r>
            <w:r w:rsidRPr="00360131">
              <w:rPr>
                <w:rFonts w:cs="Arial"/>
                <w:sz w:val="22"/>
                <w:szCs w:val="24"/>
              </w:rPr>
              <w:t xml:space="preserve"> as part of Melbourne</w:t>
            </w:r>
            <w:r w:rsidR="00612583" w:rsidRPr="00360131">
              <w:rPr>
                <w:rFonts w:cs="Arial"/>
                <w:sz w:val="22"/>
                <w:szCs w:val="24"/>
              </w:rPr>
              <w:t>’</w:t>
            </w:r>
            <w:r w:rsidRPr="00360131">
              <w:rPr>
                <w:rFonts w:cs="Arial"/>
                <w:sz w:val="22"/>
                <w:szCs w:val="24"/>
              </w:rPr>
              <w:t>s original sewerage scheme. The catchments</w:t>
            </w:r>
            <w:r w:rsidR="00612583" w:rsidRPr="00360131">
              <w:rPr>
                <w:rFonts w:cs="Arial"/>
                <w:sz w:val="22"/>
                <w:szCs w:val="24"/>
              </w:rPr>
              <w:t>’</w:t>
            </w:r>
            <w:r w:rsidRPr="00360131">
              <w:rPr>
                <w:rFonts w:cs="Arial"/>
                <w:sz w:val="22"/>
                <w:szCs w:val="24"/>
              </w:rPr>
              <w:t xml:space="preserve"> population ha</w:t>
            </w:r>
            <w:r w:rsidR="00D83614" w:rsidRPr="00360131">
              <w:rPr>
                <w:rFonts w:cs="Arial"/>
                <w:sz w:val="22"/>
                <w:szCs w:val="24"/>
              </w:rPr>
              <w:t>ve</w:t>
            </w:r>
            <w:r w:rsidRPr="00360131">
              <w:rPr>
                <w:rFonts w:cs="Arial"/>
                <w:sz w:val="22"/>
                <w:szCs w:val="24"/>
              </w:rPr>
              <w:t xml:space="preserve"> grown substantially over the past 125 years and </w:t>
            </w:r>
            <w:r w:rsidR="00FA030B">
              <w:rPr>
                <w:rFonts w:cs="Arial"/>
                <w:sz w:val="22"/>
                <w:szCs w:val="24"/>
              </w:rPr>
              <w:t>is</w:t>
            </w:r>
            <w:r w:rsidRPr="00360131">
              <w:rPr>
                <w:rFonts w:cs="Arial"/>
                <w:sz w:val="22"/>
                <w:szCs w:val="24"/>
              </w:rPr>
              <w:t xml:space="preserve"> expected to grow to approximately 40,000 customer connections by 2056. </w:t>
            </w:r>
            <w:r w:rsidR="00CD158F" w:rsidRPr="00360131">
              <w:rPr>
                <w:rFonts w:cs="Arial"/>
                <w:sz w:val="22"/>
                <w:szCs w:val="24"/>
              </w:rPr>
              <w:t xml:space="preserve">This </w:t>
            </w:r>
            <w:r w:rsidRPr="00360131">
              <w:rPr>
                <w:rFonts w:cs="Arial"/>
                <w:sz w:val="22"/>
                <w:szCs w:val="24"/>
              </w:rPr>
              <w:t>project will deliver an upgrade in capacity for the Hanna Street branch sewer</w:t>
            </w:r>
            <w:r w:rsidR="00D83614" w:rsidRPr="00360131">
              <w:rPr>
                <w:rFonts w:cs="Arial"/>
                <w:sz w:val="22"/>
                <w:szCs w:val="24"/>
              </w:rPr>
              <w:t>,</w:t>
            </w:r>
            <w:r w:rsidRPr="00360131">
              <w:rPr>
                <w:rFonts w:cs="Arial"/>
                <w:sz w:val="22"/>
                <w:szCs w:val="24"/>
              </w:rPr>
              <w:t xml:space="preserve"> through a new gravity network</w:t>
            </w:r>
            <w:r w:rsidR="0063385F" w:rsidRPr="00360131">
              <w:rPr>
                <w:rFonts w:cs="Arial"/>
                <w:sz w:val="22"/>
                <w:szCs w:val="24"/>
              </w:rPr>
              <w:t>,</w:t>
            </w:r>
            <w:r w:rsidRPr="00360131">
              <w:rPr>
                <w:rFonts w:cs="Arial"/>
                <w:sz w:val="22"/>
                <w:szCs w:val="24"/>
              </w:rPr>
              <w:t xml:space="preserve"> via connection at the top end of the existing network and pumping station.</w:t>
            </w:r>
          </w:p>
        </w:tc>
      </w:tr>
    </w:tbl>
    <w:p w14:paraId="6EFA2F6D" w14:textId="77777777" w:rsidR="007B559C" w:rsidRPr="00360131" w:rsidRDefault="007B559C" w:rsidP="007B559C">
      <w:pPr>
        <w:rPr>
          <w:rFonts w:cs="Arial"/>
          <w:sz w:val="22"/>
          <w:szCs w:val="22"/>
        </w:rPr>
      </w:pPr>
    </w:p>
    <w:tbl>
      <w:tblPr>
        <w:tblStyle w:val="MJTableStyle1default"/>
        <w:tblW w:w="9356" w:type="dxa"/>
        <w:tblInd w:w="0" w:type="dxa"/>
        <w:tblLook w:val="06A0" w:firstRow="1" w:lastRow="0" w:firstColumn="1" w:lastColumn="0" w:noHBand="1" w:noVBand="1"/>
      </w:tblPr>
      <w:tblGrid>
        <w:gridCol w:w="9356"/>
      </w:tblGrid>
      <w:tr w:rsidR="007B559C" w:rsidRPr="00157580" w14:paraId="3482959A" w14:textId="77777777" w:rsidTr="00360131">
        <w:trPr>
          <w:cnfStyle w:val="100000000000" w:firstRow="1" w:lastRow="0" w:firstColumn="0" w:lastColumn="0" w:oddVBand="0" w:evenVBand="0" w:oddHBand="0" w:evenHBand="0" w:firstRowFirstColumn="0" w:firstRowLastColumn="0" w:lastRowFirstColumn="0" w:lastRowLastColumn="0"/>
          <w:trHeight w:val="486"/>
          <w:tblHeader/>
        </w:trPr>
        <w:tc>
          <w:tcPr>
            <w:tcW w:w="9356" w:type="dxa"/>
            <w:tcBorders>
              <w:top w:val="single" w:sz="2" w:space="0" w:color="002279"/>
              <w:bottom w:val="single" w:sz="2" w:space="0" w:color="002279"/>
            </w:tcBorders>
            <w:shd w:val="clear" w:color="auto" w:fill="002379" w:themeFill="text2"/>
            <w:vAlign w:val="center"/>
          </w:tcPr>
          <w:p w14:paraId="0EFA5459" w14:textId="2008FBB5" w:rsidR="007B559C" w:rsidRPr="00360131" w:rsidRDefault="007B559C" w:rsidP="003B68B5">
            <w:pPr>
              <w:spacing w:before="60" w:after="50" w:line="259" w:lineRule="auto"/>
              <w:rPr>
                <w:rFonts w:ascii="Arial" w:hAnsi="Arial" w:cs="Arial"/>
                <w:b/>
                <w:sz w:val="22"/>
                <w:szCs w:val="22"/>
              </w:rPr>
            </w:pPr>
            <w:r w:rsidRPr="00360131">
              <w:rPr>
                <w:rFonts w:ascii="Arial" w:hAnsi="Arial" w:cs="Arial"/>
                <w:b/>
                <w:sz w:val="22"/>
                <w:szCs w:val="22"/>
              </w:rPr>
              <w:t xml:space="preserve">PROJECT 3: South East Regional </w:t>
            </w:r>
            <w:r w:rsidR="00DE4F14" w:rsidRPr="00360131">
              <w:rPr>
                <w:rFonts w:ascii="Arial" w:hAnsi="Arial" w:cs="Arial"/>
                <w:b/>
                <w:sz w:val="22"/>
                <w:szCs w:val="22"/>
              </w:rPr>
              <w:t>Biofactory</w:t>
            </w:r>
            <w:r w:rsidRPr="00360131">
              <w:rPr>
                <w:rFonts w:ascii="Arial" w:hAnsi="Arial" w:cs="Arial"/>
                <w:b/>
                <w:sz w:val="22"/>
                <w:szCs w:val="22"/>
              </w:rPr>
              <w:t xml:space="preserve"> – Stage 1</w:t>
            </w:r>
          </w:p>
        </w:tc>
      </w:tr>
      <w:tr w:rsidR="007B559C" w:rsidRPr="00157580" w14:paraId="1813BC08" w14:textId="77777777" w:rsidTr="00360131">
        <w:tc>
          <w:tcPr>
            <w:tcW w:w="9356" w:type="dxa"/>
            <w:tcBorders>
              <w:top w:val="single" w:sz="2" w:space="0" w:color="002279"/>
              <w:bottom w:val="single" w:sz="2" w:space="0" w:color="002279"/>
            </w:tcBorders>
          </w:tcPr>
          <w:p w14:paraId="10B2026D" w14:textId="0C5945AF" w:rsidR="007B559C" w:rsidRPr="00360131" w:rsidRDefault="007B559C" w:rsidP="00375EBC">
            <w:pPr>
              <w:spacing w:after="50"/>
              <w:rPr>
                <w:rFonts w:ascii="Arial" w:hAnsi="Arial" w:cs="Arial"/>
                <w:b/>
                <w:sz w:val="22"/>
              </w:rPr>
            </w:pPr>
            <w:r w:rsidRPr="00360131">
              <w:rPr>
                <w:rFonts w:cs="Arial"/>
                <w:b/>
                <w:sz w:val="22"/>
                <w:szCs w:val="24"/>
              </w:rPr>
              <w:t>Investment portfolio</w:t>
            </w:r>
            <w:r w:rsidRPr="00360131">
              <w:rPr>
                <w:rFonts w:cs="Arial"/>
                <w:sz w:val="22"/>
                <w:szCs w:val="24"/>
              </w:rPr>
              <w:t xml:space="preserve">: Treatment </w:t>
            </w:r>
            <w:r w:rsidR="008543B2" w:rsidRPr="00360131">
              <w:rPr>
                <w:rFonts w:cs="Arial"/>
                <w:sz w:val="22"/>
                <w:szCs w:val="24"/>
              </w:rPr>
              <w:t>g</w:t>
            </w:r>
            <w:r w:rsidRPr="00360131">
              <w:rPr>
                <w:rFonts w:cs="Arial"/>
                <w:sz w:val="22"/>
                <w:szCs w:val="24"/>
              </w:rPr>
              <w:t>rowth</w:t>
            </w:r>
          </w:p>
        </w:tc>
      </w:tr>
      <w:tr w:rsidR="007B559C" w:rsidRPr="00157580" w14:paraId="40AFDC12" w14:textId="77777777" w:rsidTr="00360131">
        <w:tc>
          <w:tcPr>
            <w:tcW w:w="9356" w:type="dxa"/>
            <w:tcBorders>
              <w:top w:val="single" w:sz="2" w:space="0" w:color="002279"/>
              <w:bottom w:val="nil"/>
            </w:tcBorders>
          </w:tcPr>
          <w:p w14:paraId="48214DBB" w14:textId="77777777" w:rsidR="007B559C" w:rsidRPr="00360131" w:rsidRDefault="007B559C" w:rsidP="00375EBC">
            <w:pPr>
              <w:spacing w:after="50"/>
              <w:rPr>
                <w:rFonts w:ascii="Arial" w:hAnsi="Arial" w:cs="Arial"/>
                <w:b/>
                <w:sz w:val="22"/>
              </w:rPr>
            </w:pPr>
            <w:r w:rsidRPr="00360131">
              <w:rPr>
                <w:rFonts w:cs="Arial"/>
                <w:b/>
                <w:sz w:val="22"/>
                <w:szCs w:val="24"/>
              </w:rPr>
              <w:t xml:space="preserve">Total cost: </w:t>
            </w:r>
            <w:r w:rsidRPr="00360131">
              <w:rPr>
                <w:rFonts w:cs="Arial"/>
                <w:sz w:val="22"/>
                <w:szCs w:val="24"/>
              </w:rPr>
              <w:t>$289.3m</w:t>
            </w:r>
          </w:p>
        </w:tc>
      </w:tr>
      <w:tr w:rsidR="007B559C" w:rsidRPr="00157580" w14:paraId="00C42187" w14:textId="77777777" w:rsidTr="00360131">
        <w:tc>
          <w:tcPr>
            <w:tcW w:w="9356" w:type="dxa"/>
            <w:tcBorders>
              <w:top w:val="single" w:sz="2" w:space="0" w:color="002279"/>
              <w:bottom w:val="single" w:sz="2" w:space="0" w:color="002279"/>
            </w:tcBorders>
          </w:tcPr>
          <w:p w14:paraId="359A6FEA" w14:textId="2DAF19AF" w:rsidR="007B559C" w:rsidRPr="00360131" w:rsidRDefault="007B559C" w:rsidP="00375EBC">
            <w:pPr>
              <w:spacing w:after="50" w:line="259" w:lineRule="auto"/>
              <w:rPr>
                <w:rFonts w:ascii="Arial" w:hAnsi="Arial" w:cs="Arial"/>
                <w:sz w:val="22"/>
              </w:rPr>
            </w:pPr>
            <w:r w:rsidRPr="00360131">
              <w:rPr>
                <w:rFonts w:cs="Arial"/>
                <w:b/>
                <w:sz w:val="22"/>
                <w:szCs w:val="24"/>
              </w:rPr>
              <w:t>2023</w:t>
            </w:r>
            <w:r w:rsidR="007D4EB3" w:rsidRPr="00360131">
              <w:rPr>
                <w:rFonts w:cs="Arial"/>
                <w:b/>
                <w:sz w:val="22"/>
                <w:szCs w:val="24"/>
              </w:rPr>
              <w:t>–</w:t>
            </w:r>
            <w:r w:rsidRPr="00360131">
              <w:rPr>
                <w:rFonts w:cs="Arial"/>
                <w:b/>
                <w:sz w:val="22"/>
                <w:szCs w:val="24"/>
              </w:rPr>
              <w:t>28 cost and timing:</w:t>
            </w:r>
            <w:r w:rsidRPr="00360131">
              <w:rPr>
                <w:rFonts w:cs="Arial"/>
                <w:sz w:val="22"/>
                <w:szCs w:val="24"/>
              </w:rPr>
              <w:t xml:space="preserve"> $30.</w:t>
            </w:r>
            <w:r w:rsidR="00F71BE2">
              <w:rPr>
                <w:rFonts w:cs="Arial"/>
                <w:sz w:val="22"/>
                <w:szCs w:val="24"/>
              </w:rPr>
              <w:t>16</w:t>
            </w:r>
            <w:r w:rsidRPr="00360131">
              <w:rPr>
                <w:rFonts w:cs="Arial"/>
                <w:sz w:val="22"/>
                <w:szCs w:val="24"/>
              </w:rPr>
              <w:t>m (2023</w:t>
            </w:r>
            <w:r w:rsidR="007D4EB3" w:rsidRPr="00360131">
              <w:rPr>
                <w:rFonts w:cs="Arial"/>
                <w:sz w:val="22"/>
                <w:szCs w:val="24"/>
              </w:rPr>
              <w:t>–</w:t>
            </w:r>
            <w:r w:rsidR="004C1D52" w:rsidRPr="00360131">
              <w:rPr>
                <w:rFonts w:cs="Arial"/>
                <w:sz w:val="22"/>
                <w:szCs w:val="24"/>
              </w:rPr>
              <w:t>28</w:t>
            </w:r>
            <w:r w:rsidRPr="00360131">
              <w:rPr>
                <w:rFonts w:cs="Arial"/>
                <w:sz w:val="22"/>
                <w:szCs w:val="24"/>
              </w:rPr>
              <w:t>)</w:t>
            </w:r>
          </w:p>
        </w:tc>
      </w:tr>
      <w:tr w:rsidR="007B559C" w:rsidRPr="00157580" w14:paraId="5F80F695" w14:textId="77777777" w:rsidTr="00360131">
        <w:tc>
          <w:tcPr>
            <w:tcW w:w="9356" w:type="dxa"/>
            <w:tcBorders>
              <w:top w:val="single" w:sz="2" w:space="0" w:color="002279"/>
              <w:bottom w:val="single" w:sz="2" w:space="0" w:color="002279"/>
            </w:tcBorders>
          </w:tcPr>
          <w:p w14:paraId="7F46F063" w14:textId="77777777" w:rsidR="007B559C" w:rsidRPr="00360131" w:rsidRDefault="007B559C" w:rsidP="00375EBC">
            <w:pPr>
              <w:spacing w:after="50" w:line="259" w:lineRule="auto"/>
              <w:rPr>
                <w:rFonts w:ascii="Arial" w:hAnsi="Arial" w:cs="Arial"/>
                <w:sz w:val="22"/>
              </w:rPr>
            </w:pPr>
            <w:r w:rsidRPr="00360131">
              <w:rPr>
                <w:rFonts w:cs="Arial"/>
                <w:b/>
                <w:sz w:val="22"/>
                <w:szCs w:val="24"/>
              </w:rPr>
              <w:t>Service category:</w:t>
            </w:r>
            <w:r w:rsidRPr="00360131">
              <w:rPr>
                <w:rFonts w:cs="Arial"/>
                <w:sz w:val="22"/>
                <w:szCs w:val="24"/>
              </w:rPr>
              <w:t xml:space="preserve"> Sewerage</w:t>
            </w:r>
          </w:p>
        </w:tc>
      </w:tr>
      <w:tr w:rsidR="007B559C" w:rsidRPr="00157580" w14:paraId="018B378F" w14:textId="77777777" w:rsidTr="00360131">
        <w:tc>
          <w:tcPr>
            <w:tcW w:w="9356" w:type="dxa"/>
            <w:tcBorders>
              <w:top w:val="single" w:sz="2" w:space="0" w:color="002279"/>
              <w:bottom w:val="nil"/>
            </w:tcBorders>
          </w:tcPr>
          <w:p w14:paraId="3095E552" w14:textId="2FEF6F24" w:rsidR="007B559C" w:rsidRPr="00360131" w:rsidRDefault="007B559C" w:rsidP="00375EBC">
            <w:pPr>
              <w:spacing w:after="50" w:line="259" w:lineRule="auto"/>
              <w:rPr>
                <w:rFonts w:ascii="Arial" w:hAnsi="Arial" w:cs="Arial"/>
                <w:sz w:val="22"/>
              </w:rPr>
            </w:pPr>
            <w:r w:rsidRPr="00360131">
              <w:rPr>
                <w:rFonts w:cs="Arial"/>
                <w:b/>
                <w:sz w:val="22"/>
                <w:szCs w:val="24"/>
              </w:rPr>
              <w:t xml:space="preserve">Cost </w:t>
            </w:r>
            <w:r w:rsidR="00EE3071" w:rsidRPr="00360131">
              <w:rPr>
                <w:rFonts w:cs="Arial"/>
                <w:b/>
                <w:sz w:val="22"/>
                <w:szCs w:val="24"/>
              </w:rPr>
              <w:t>d</w:t>
            </w:r>
            <w:r w:rsidRPr="00360131">
              <w:rPr>
                <w:rFonts w:cs="Arial"/>
                <w:b/>
                <w:sz w:val="22"/>
                <w:szCs w:val="24"/>
              </w:rPr>
              <w:t>river category:</w:t>
            </w:r>
            <w:r w:rsidRPr="00360131">
              <w:rPr>
                <w:rFonts w:cs="Arial"/>
                <w:sz w:val="22"/>
                <w:szCs w:val="24"/>
              </w:rPr>
              <w:t xml:space="preserve"> Growth</w:t>
            </w:r>
          </w:p>
        </w:tc>
      </w:tr>
      <w:tr w:rsidR="005068B2" w:rsidRPr="00157580" w14:paraId="31E0FAA0" w14:textId="77777777" w:rsidTr="00360131">
        <w:tc>
          <w:tcPr>
            <w:tcW w:w="9356" w:type="dxa"/>
            <w:tcBorders>
              <w:top w:val="single" w:sz="2" w:space="0" w:color="002279"/>
              <w:bottom w:val="single" w:sz="2" w:space="0" w:color="002279"/>
            </w:tcBorders>
          </w:tcPr>
          <w:p w14:paraId="315C02B7" w14:textId="77777777" w:rsidR="005068B2" w:rsidRPr="00360131" w:rsidRDefault="005068B2" w:rsidP="004331A0">
            <w:pPr>
              <w:spacing w:after="50" w:line="259" w:lineRule="auto"/>
              <w:rPr>
                <w:rFonts w:ascii="Arial" w:hAnsi="Arial" w:cs="Arial"/>
                <w:sz w:val="22"/>
              </w:rPr>
            </w:pPr>
            <w:r w:rsidRPr="00360131">
              <w:rPr>
                <w:rFonts w:cs="Arial"/>
                <w:b/>
                <w:sz w:val="22"/>
                <w:szCs w:val="24"/>
              </w:rPr>
              <w:t>Asset category:</w:t>
            </w:r>
            <w:r w:rsidRPr="00360131">
              <w:rPr>
                <w:rFonts w:cs="Arial"/>
                <w:sz w:val="22"/>
                <w:szCs w:val="24"/>
              </w:rPr>
              <w:t xml:space="preserve"> Treatment</w:t>
            </w:r>
          </w:p>
        </w:tc>
      </w:tr>
      <w:tr w:rsidR="007B559C" w:rsidRPr="00157580" w14:paraId="101B5EB6" w14:textId="77777777" w:rsidTr="00360131">
        <w:tc>
          <w:tcPr>
            <w:tcW w:w="9356" w:type="dxa"/>
            <w:tcBorders>
              <w:top w:val="single" w:sz="2" w:space="0" w:color="002279"/>
              <w:bottom w:val="single" w:sz="2" w:space="0" w:color="002279"/>
            </w:tcBorders>
          </w:tcPr>
          <w:p w14:paraId="54DF2856" w14:textId="50F2BDDA" w:rsidR="007B559C" w:rsidRPr="00360131" w:rsidRDefault="007B559C" w:rsidP="00375EBC">
            <w:pPr>
              <w:spacing w:after="50" w:line="259" w:lineRule="auto"/>
              <w:rPr>
                <w:rFonts w:ascii="Arial" w:hAnsi="Arial" w:cs="Arial"/>
                <w:b/>
                <w:sz w:val="22"/>
              </w:rPr>
            </w:pPr>
            <w:r w:rsidRPr="00360131">
              <w:rPr>
                <w:rFonts w:cs="Arial"/>
                <w:b/>
                <w:sz w:val="22"/>
                <w:szCs w:val="24"/>
              </w:rPr>
              <w:t xml:space="preserve">Description: </w:t>
            </w:r>
            <w:r w:rsidRPr="00360131">
              <w:rPr>
                <w:rFonts w:cs="Arial"/>
                <w:sz w:val="22"/>
                <w:szCs w:val="24"/>
              </w:rPr>
              <w:t xml:space="preserve">Design </w:t>
            </w:r>
            <w:r w:rsidRPr="00360131">
              <w:rPr>
                <w:rStyle w:val="normaltextrun"/>
                <w:rFonts w:cs="Arial"/>
                <w:sz w:val="22"/>
                <w:szCs w:val="24"/>
                <w:shd w:val="clear" w:color="auto" w:fill="FFFFFF"/>
              </w:rPr>
              <w:t xml:space="preserve">and construction of a </w:t>
            </w:r>
            <w:r w:rsidR="00726A7F" w:rsidRPr="00360131">
              <w:rPr>
                <w:rStyle w:val="normaltextrun"/>
                <w:rFonts w:cs="Arial"/>
                <w:sz w:val="22"/>
                <w:szCs w:val="24"/>
                <w:shd w:val="clear" w:color="auto" w:fill="FFFFFF"/>
              </w:rPr>
              <w:t>biofactory</w:t>
            </w:r>
            <w:r w:rsidRPr="00360131">
              <w:rPr>
                <w:rStyle w:val="normaltextrun"/>
                <w:rFonts w:cs="Arial"/>
                <w:sz w:val="22"/>
                <w:szCs w:val="24"/>
                <w:shd w:val="clear" w:color="auto" w:fill="FFFFFF"/>
              </w:rPr>
              <w:t xml:space="preserve"> in the </w:t>
            </w:r>
            <w:r w:rsidR="00056431" w:rsidRPr="00360131">
              <w:rPr>
                <w:rStyle w:val="normaltextrun"/>
                <w:rFonts w:cs="Arial"/>
                <w:sz w:val="22"/>
                <w:szCs w:val="24"/>
                <w:shd w:val="clear" w:color="auto" w:fill="FFFFFF"/>
              </w:rPr>
              <w:t>south-east</w:t>
            </w:r>
            <w:r w:rsidRPr="00360131">
              <w:rPr>
                <w:rStyle w:val="normaltextrun"/>
                <w:rFonts w:cs="Arial"/>
                <w:sz w:val="22"/>
                <w:szCs w:val="24"/>
                <w:shd w:val="clear" w:color="auto" w:fill="FFFFFF"/>
              </w:rPr>
              <w:t xml:space="preserve"> </w:t>
            </w:r>
            <w:r w:rsidR="007452E8" w:rsidRPr="00360131">
              <w:rPr>
                <w:rStyle w:val="normaltextrun"/>
                <w:rFonts w:cs="Arial"/>
                <w:sz w:val="22"/>
                <w:szCs w:val="24"/>
                <w:shd w:val="clear" w:color="auto" w:fill="FFFFFF"/>
              </w:rPr>
              <w:t>r</w:t>
            </w:r>
            <w:r w:rsidRPr="00360131">
              <w:rPr>
                <w:rStyle w:val="normaltextrun"/>
                <w:rFonts w:cs="Arial"/>
                <w:sz w:val="22"/>
                <w:szCs w:val="24"/>
                <w:shd w:val="clear" w:color="auto" w:fill="FFFFFF"/>
              </w:rPr>
              <w:t>egion</w:t>
            </w:r>
            <w:r w:rsidR="00CE0393" w:rsidRPr="00360131">
              <w:rPr>
                <w:rFonts w:cs="Arial"/>
                <w:sz w:val="22"/>
                <w:szCs w:val="24"/>
              </w:rPr>
              <w:t xml:space="preserve"> to service the growth and reduce reliance on the </w:t>
            </w:r>
            <w:bookmarkStart w:id="63" w:name="_Hlk113783929"/>
            <w:r w:rsidR="00CE0393" w:rsidRPr="00360131">
              <w:rPr>
                <w:rFonts w:cs="Arial"/>
                <w:sz w:val="22"/>
                <w:szCs w:val="24"/>
              </w:rPr>
              <w:t>Eastern Treatment Plant.</w:t>
            </w:r>
            <w:bookmarkEnd w:id="63"/>
          </w:p>
        </w:tc>
      </w:tr>
      <w:tr w:rsidR="007B559C" w:rsidRPr="00157580" w14:paraId="64B28E2E" w14:textId="77777777" w:rsidTr="00360131">
        <w:tc>
          <w:tcPr>
            <w:tcW w:w="9356" w:type="dxa"/>
            <w:tcBorders>
              <w:top w:val="single" w:sz="2" w:space="0" w:color="002279"/>
              <w:bottom w:val="single" w:sz="2" w:space="0" w:color="002279"/>
            </w:tcBorders>
          </w:tcPr>
          <w:p w14:paraId="050D278A" w14:textId="09093217" w:rsidR="007B559C" w:rsidRPr="00360131" w:rsidRDefault="008D7061" w:rsidP="00375EBC">
            <w:pPr>
              <w:spacing w:after="50" w:line="259" w:lineRule="auto"/>
              <w:rPr>
                <w:rFonts w:ascii="Arial" w:hAnsi="Arial" w:cs="Arial"/>
                <w:b/>
                <w:sz w:val="22"/>
              </w:rPr>
            </w:pPr>
            <w:r w:rsidRPr="00360131">
              <w:rPr>
                <w:rFonts w:cs="Arial"/>
                <w:b/>
                <w:sz w:val="22"/>
                <w:szCs w:val="24"/>
              </w:rPr>
              <w:t xml:space="preserve">Customer </w:t>
            </w:r>
            <w:r w:rsidR="00EE3071" w:rsidRPr="00360131">
              <w:rPr>
                <w:rFonts w:cs="Arial"/>
                <w:b/>
                <w:sz w:val="22"/>
                <w:szCs w:val="24"/>
              </w:rPr>
              <w:t>o</w:t>
            </w:r>
            <w:r w:rsidR="007B559C" w:rsidRPr="00360131">
              <w:rPr>
                <w:rFonts w:cs="Arial"/>
                <w:b/>
                <w:sz w:val="22"/>
                <w:szCs w:val="24"/>
              </w:rPr>
              <w:t xml:space="preserve">utcome: </w:t>
            </w:r>
            <w:r w:rsidR="007B559C" w:rsidRPr="00360131">
              <w:rPr>
                <w:rFonts w:cs="Arial"/>
                <w:i/>
                <w:sz w:val="22"/>
                <w:szCs w:val="24"/>
              </w:rPr>
              <w:t>Get the basics right, always</w:t>
            </w:r>
            <w:r w:rsidR="007B559C" w:rsidRPr="00360131">
              <w:rPr>
                <w:rFonts w:cs="Arial"/>
                <w:sz w:val="22"/>
                <w:szCs w:val="24"/>
              </w:rPr>
              <w:t xml:space="preserve">; </w:t>
            </w:r>
            <w:r w:rsidR="007B559C" w:rsidRPr="00360131">
              <w:rPr>
                <w:rFonts w:cs="Arial"/>
                <w:i/>
                <w:sz w:val="22"/>
                <w:szCs w:val="24"/>
              </w:rPr>
              <w:t>Support my community, protect our environment</w:t>
            </w:r>
          </w:p>
        </w:tc>
      </w:tr>
      <w:tr w:rsidR="007B559C" w:rsidRPr="00157580" w14:paraId="37FECF10" w14:textId="77777777" w:rsidTr="00360131">
        <w:tc>
          <w:tcPr>
            <w:tcW w:w="9356" w:type="dxa"/>
            <w:tcBorders>
              <w:top w:val="single" w:sz="2" w:space="0" w:color="002279"/>
              <w:bottom w:val="single" w:sz="2" w:space="0" w:color="002279"/>
            </w:tcBorders>
          </w:tcPr>
          <w:p w14:paraId="31056BA1" w14:textId="77777777" w:rsidR="007B559C" w:rsidRPr="00360131" w:rsidRDefault="007B559C" w:rsidP="00375EBC">
            <w:pPr>
              <w:spacing w:after="50" w:line="259" w:lineRule="auto"/>
              <w:rPr>
                <w:rFonts w:ascii="Arial" w:hAnsi="Arial" w:cs="Arial"/>
                <w:sz w:val="22"/>
              </w:rPr>
            </w:pPr>
            <w:r w:rsidRPr="00360131">
              <w:rPr>
                <w:rFonts w:cs="Arial"/>
                <w:b/>
                <w:sz w:val="22"/>
                <w:szCs w:val="24"/>
              </w:rPr>
              <w:t xml:space="preserve">Current risk rating: </w:t>
            </w:r>
            <w:r w:rsidRPr="00360131">
              <w:rPr>
                <w:rFonts w:cs="Arial"/>
                <w:sz w:val="22"/>
                <w:szCs w:val="24"/>
              </w:rPr>
              <w:t>High</w:t>
            </w:r>
          </w:p>
        </w:tc>
      </w:tr>
      <w:tr w:rsidR="007B559C" w:rsidRPr="00157580" w14:paraId="395D88CF" w14:textId="77777777" w:rsidTr="00360131">
        <w:tc>
          <w:tcPr>
            <w:tcW w:w="9356" w:type="dxa"/>
            <w:tcBorders>
              <w:top w:val="single" w:sz="2" w:space="0" w:color="002279"/>
              <w:bottom w:val="single" w:sz="2" w:space="0" w:color="002279"/>
            </w:tcBorders>
          </w:tcPr>
          <w:p w14:paraId="455A6EE8" w14:textId="6B4105E7" w:rsidR="007B559C" w:rsidRPr="00360131" w:rsidRDefault="007B559C" w:rsidP="00375EBC">
            <w:pPr>
              <w:spacing w:after="50" w:line="259" w:lineRule="auto"/>
              <w:rPr>
                <w:rFonts w:ascii="Arial" w:hAnsi="Arial" w:cs="Arial"/>
                <w:b/>
                <w:sz w:val="22"/>
              </w:rPr>
            </w:pPr>
            <w:r w:rsidRPr="00360131">
              <w:rPr>
                <w:rFonts w:cs="Arial"/>
                <w:b/>
                <w:sz w:val="22"/>
                <w:szCs w:val="24"/>
              </w:rPr>
              <w:t xml:space="preserve">Risk rating </w:t>
            </w:r>
            <w:r w:rsidR="00017665" w:rsidRPr="00360131">
              <w:rPr>
                <w:rFonts w:cs="Arial"/>
                <w:b/>
                <w:sz w:val="22"/>
                <w:szCs w:val="24"/>
              </w:rPr>
              <w:t>post-investment</w:t>
            </w:r>
            <w:r w:rsidRPr="00360131">
              <w:rPr>
                <w:rFonts w:cs="Arial"/>
                <w:b/>
                <w:sz w:val="22"/>
                <w:szCs w:val="24"/>
              </w:rPr>
              <w:t xml:space="preserve">: </w:t>
            </w:r>
            <w:r w:rsidRPr="00360131">
              <w:rPr>
                <w:rFonts w:cs="Arial"/>
                <w:sz w:val="22"/>
                <w:szCs w:val="24"/>
              </w:rPr>
              <w:t>Low</w:t>
            </w:r>
          </w:p>
        </w:tc>
      </w:tr>
      <w:tr w:rsidR="007B559C" w:rsidRPr="00157580" w14:paraId="094146BA" w14:textId="77777777" w:rsidTr="00360131">
        <w:trPr>
          <w:trHeight w:val="400"/>
        </w:trPr>
        <w:tc>
          <w:tcPr>
            <w:tcW w:w="9356" w:type="dxa"/>
            <w:tcBorders>
              <w:top w:val="single" w:sz="2" w:space="0" w:color="002279"/>
              <w:bottom w:val="single" w:sz="2" w:space="0" w:color="002279"/>
            </w:tcBorders>
          </w:tcPr>
          <w:p w14:paraId="54562E76" w14:textId="00E209D3" w:rsidR="009D509E" w:rsidRPr="00360131" w:rsidRDefault="007B559C" w:rsidP="00EA5CC1">
            <w:pPr>
              <w:spacing w:line="259" w:lineRule="auto"/>
              <w:rPr>
                <w:rFonts w:ascii="Arial" w:hAnsi="Arial" w:cs="Arial"/>
                <w:sz w:val="22"/>
              </w:rPr>
            </w:pPr>
            <w:r w:rsidRPr="00360131">
              <w:rPr>
                <w:rFonts w:cs="Arial"/>
                <w:b/>
                <w:sz w:val="22"/>
                <w:szCs w:val="24"/>
              </w:rPr>
              <w:lastRenderedPageBreak/>
              <w:t>Background:</w:t>
            </w:r>
            <w:r w:rsidRPr="00360131">
              <w:rPr>
                <w:rFonts w:cs="Arial"/>
                <w:sz w:val="22"/>
                <w:szCs w:val="24"/>
              </w:rPr>
              <w:t xml:space="preserve"> </w:t>
            </w:r>
            <w:bookmarkStart w:id="64" w:name="_Hlk109036064"/>
            <w:r w:rsidR="003B5953" w:rsidRPr="00360131">
              <w:rPr>
                <w:rFonts w:cs="Arial"/>
                <w:bCs/>
                <w:sz w:val="22"/>
                <w:szCs w:val="24"/>
              </w:rPr>
              <w:t xml:space="preserve">This project </w:t>
            </w:r>
            <w:r w:rsidR="00BE2BAF" w:rsidRPr="00360131">
              <w:rPr>
                <w:rFonts w:cs="Arial"/>
                <w:bCs/>
                <w:sz w:val="22"/>
                <w:szCs w:val="24"/>
              </w:rPr>
              <w:t xml:space="preserve">is </w:t>
            </w:r>
            <w:r w:rsidR="003B5953" w:rsidRPr="00360131">
              <w:rPr>
                <w:rFonts w:cs="Arial"/>
                <w:bCs/>
                <w:sz w:val="22"/>
                <w:szCs w:val="24"/>
              </w:rPr>
              <w:t xml:space="preserve">part of </w:t>
            </w:r>
            <w:r w:rsidR="001A1173" w:rsidRPr="00360131">
              <w:rPr>
                <w:rFonts w:cs="Arial"/>
                <w:bCs/>
                <w:sz w:val="22"/>
                <w:szCs w:val="24"/>
              </w:rPr>
              <w:t xml:space="preserve">a broader </w:t>
            </w:r>
            <w:r w:rsidR="00605062" w:rsidRPr="00360131">
              <w:rPr>
                <w:rFonts w:cs="Arial"/>
                <w:bCs/>
                <w:sz w:val="22"/>
                <w:szCs w:val="24"/>
              </w:rPr>
              <w:t xml:space="preserve">plan </w:t>
            </w:r>
            <w:r w:rsidR="00064B0C" w:rsidRPr="00360131">
              <w:rPr>
                <w:rFonts w:cs="Arial"/>
                <w:bCs/>
                <w:sz w:val="22"/>
                <w:szCs w:val="24"/>
              </w:rPr>
              <w:t xml:space="preserve">by </w:t>
            </w:r>
            <w:r w:rsidR="00634A90" w:rsidRPr="00360131">
              <w:rPr>
                <w:rFonts w:cs="Arial"/>
                <w:bCs/>
                <w:sz w:val="22"/>
                <w:szCs w:val="24"/>
              </w:rPr>
              <w:t>South East Water</w:t>
            </w:r>
            <w:r w:rsidR="00064B0C" w:rsidRPr="00360131">
              <w:rPr>
                <w:rFonts w:cs="Arial"/>
                <w:bCs/>
                <w:sz w:val="22"/>
                <w:szCs w:val="24"/>
              </w:rPr>
              <w:t xml:space="preserve"> to upgrade</w:t>
            </w:r>
            <w:r w:rsidR="008977D2" w:rsidRPr="00360131">
              <w:rPr>
                <w:rFonts w:cs="Arial"/>
                <w:bCs/>
                <w:sz w:val="22"/>
                <w:szCs w:val="24"/>
              </w:rPr>
              <w:t xml:space="preserve"> its</w:t>
            </w:r>
            <w:r w:rsidR="00714A39" w:rsidRPr="00360131">
              <w:rPr>
                <w:rFonts w:cs="Arial"/>
                <w:sz w:val="22"/>
                <w:szCs w:val="24"/>
              </w:rPr>
              <w:t xml:space="preserve"> </w:t>
            </w:r>
            <w:r w:rsidR="000A3F23" w:rsidRPr="00360131">
              <w:rPr>
                <w:rFonts w:cs="Arial"/>
                <w:bCs/>
                <w:sz w:val="22"/>
                <w:szCs w:val="24"/>
              </w:rPr>
              <w:t xml:space="preserve">wastewater </w:t>
            </w:r>
            <w:r w:rsidR="00714A39" w:rsidRPr="00360131">
              <w:rPr>
                <w:rFonts w:cs="Arial"/>
                <w:sz w:val="22"/>
                <w:szCs w:val="24"/>
              </w:rPr>
              <w:t xml:space="preserve">treatment </w:t>
            </w:r>
            <w:r w:rsidR="003E3A65" w:rsidRPr="00360131">
              <w:rPr>
                <w:rFonts w:cs="Arial"/>
                <w:bCs/>
                <w:sz w:val="22"/>
                <w:szCs w:val="24"/>
              </w:rPr>
              <w:t xml:space="preserve">and resource recovery </w:t>
            </w:r>
            <w:r w:rsidR="00714A39" w:rsidRPr="00360131">
              <w:rPr>
                <w:rFonts w:cs="Arial"/>
                <w:sz w:val="22"/>
                <w:szCs w:val="24"/>
              </w:rPr>
              <w:t xml:space="preserve">capabilities in the </w:t>
            </w:r>
            <w:r w:rsidR="00056431" w:rsidRPr="00360131">
              <w:rPr>
                <w:rFonts w:cs="Arial"/>
                <w:bCs/>
                <w:sz w:val="22"/>
                <w:szCs w:val="24"/>
              </w:rPr>
              <w:t>south-east</w:t>
            </w:r>
            <w:r w:rsidR="00714A39" w:rsidRPr="00360131">
              <w:rPr>
                <w:rFonts w:cs="Arial"/>
                <w:sz w:val="22"/>
                <w:szCs w:val="24"/>
              </w:rPr>
              <w:t xml:space="preserve"> </w:t>
            </w:r>
            <w:r w:rsidR="00D77654" w:rsidRPr="00360131">
              <w:rPr>
                <w:rFonts w:cs="Arial"/>
                <w:bCs/>
                <w:sz w:val="22"/>
                <w:szCs w:val="24"/>
              </w:rPr>
              <w:t>region</w:t>
            </w:r>
            <w:r w:rsidR="00E723C6" w:rsidRPr="00360131">
              <w:rPr>
                <w:rFonts w:cs="Arial"/>
                <w:bCs/>
                <w:sz w:val="22"/>
                <w:szCs w:val="24"/>
              </w:rPr>
              <w:t xml:space="preserve"> by constructing</w:t>
            </w:r>
            <w:r w:rsidR="00605062" w:rsidRPr="00360131">
              <w:rPr>
                <w:rFonts w:cs="Arial"/>
                <w:bCs/>
                <w:sz w:val="22"/>
                <w:szCs w:val="24"/>
              </w:rPr>
              <w:t xml:space="preserve"> </w:t>
            </w:r>
            <w:r w:rsidR="00605062" w:rsidRPr="00360131">
              <w:rPr>
                <w:rFonts w:cs="Arial"/>
                <w:sz w:val="22"/>
                <w:szCs w:val="24"/>
              </w:rPr>
              <w:t xml:space="preserve">a </w:t>
            </w:r>
            <w:r w:rsidR="00605062" w:rsidRPr="00360131">
              <w:rPr>
                <w:rFonts w:cs="Arial"/>
                <w:bCs/>
                <w:sz w:val="22"/>
                <w:szCs w:val="24"/>
              </w:rPr>
              <w:t xml:space="preserve">biofactory </w:t>
            </w:r>
            <w:r w:rsidR="007903EF" w:rsidRPr="00360131">
              <w:rPr>
                <w:rFonts w:cs="Arial"/>
                <w:bCs/>
                <w:sz w:val="22"/>
                <w:szCs w:val="24"/>
              </w:rPr>
              <w:t>that</w:t>
            </w:r>
            <w:r w:rsidR="00605062" w:rsidRPr="00360131">
              <w:rPr>
                <w:rFonts w:cs="Arial"/>
                <w:bCs/>
                <w:sz w:val="22"/>
                <w:szCs w:val="24"/>
              </w:rPr>
              <w:t xml:space="preserve"> </w:t>
            </w:r>
            <w:r w:rsidR="000A3F23" w:rsidRPr="00360131">
              <w:rPr>
                <w:rFonts w:cs="Arial"/>
                <w:bCs/>
                <w:sz w:val="22"/>
                <w:szCs w:val="24"/>
              </w:rPr>
              <w:t xml:space="preserve">supports </w:t>
            </w:r>
            <w:r w:rsidR="00605062" w:rsidRPr="00360131">
              <w:rPr>
                <w:rFonts w:cs="Arial"/>
                <w:sz w:val="22"/>
                <w:szCs w:val="24"/>
              </w:rPr>
              <w:t xml:space="preserve">emissions </w:t>
            </w:r>
            <w:r w:rsidR="000A3F23" w:rsidRPr="00360131">
              <w:rPr>
                <w:rFonts w:cs="Arial"/>
                <w:bCs/>
                <w:sz w:val="22"/>
                <w:szCs w:val="24"/>
              </w:rPr>
              <w:t>reduction</w:t>
            </w:r>
            <w:r w:rsidR="00605062" w:rsidRPr="00360131">
              <w:rPr>
                <w:rFonts w:cs="Arial"/>
                <w:bCs/>
                <w:sz w:val="22"/>
                <w:szCs w:val="24"/>
              </w:rPr>
              <w:t xml:space="preserve"> </w:t>
            </w:r>
            <w:r w:rsidR="00605062" w:rsidRPr="00360131">
              <w:rPr>
                <w:rFonts w:cs="Arial"/>
                <w:sz w:val="22"/>
                <w:szCs w:val="24"/>
              </w:rPr>
              <w:t xml:space="preserve">and </w:t>
            </w:r>
            <w:r w:rsidR="00D77654" w:rsidRPr="00360131">
              <w:rPr>
                <w:rFonts w:cs="Arial"/>
                <w:bCs/>
                <w:sz w:val="22"/>
                <w:szCs w:val="24"/>
              </w:rPr>
              <w:t>deliver</w:t>
            </w:r>
            <w:r w:rsidR="007903EF" w:rsidRPr="00360131">
              <w:rPr>
                <w:rFonts w:cs="Arial"/>
                <w:bCs/>
                <w:sz w:val="22"/>
                <w:szCs w:val="24"/>
              </w:rPr>
              <w:t>y</w:t>
            </w:r>
            <w:r w:rsidR="00D77654" w:rsidRPr="00360131">
              <w:rPr>
                <w:rFonts w:cs="Arial"/>
                <w:bCs/>
                <w:sz w:val="22"/>
                <w:szCs w:val="24"/>
              </w:rPr>
              <w:t xml:space="preserve"> </w:t>
            </w:r>
            <w:r w:rsidR="000A3F23" w:rsidRPr="00360131">
              <w:rPr>
                <w:rFonts w:cs="Arial"/>
                <w:bCs/>
                <w:sz w:val="22"/>
                <w:szCs w:val="24"/>
              </w:rPr>
              <w:t xml:space="preserve">of </w:t>
            </w:r>
            <w:r w:rsidR="00605062" w:rsidRPr="00360131">
              <w:rPr>
                <w:rFonts w:cs="Arial"/>
                <w:sz w:val="22"/>
                <w:szCs w:val="24"/>
              </w:rPr>
              <w:t xml:space="preserve">circular economy </w:t>
            </w:r>
            <w:r w:rsidR="00634A90" w:rsidRPr="00360131">
              <w:rPr>
                <w:rFonts w:cs="Arial"/>
                <w:bCs/>
                <w:sz w:val="22"/>
                <w:szCs w:val="24"/>
              </w:rPr>
              <w:t>initiatives</w:t>
            </w:r>
            <w:r w:rsidR="00553E0A" w:rsidRPr="00360131">
              <w:rPr>
                <w:rFonts w:cs="Arial"/>
                <w:bCs/>
                <w:sz w:val="22"/>
                <w:szCs w:val="24"/>
              </w:rPr>
              <w:t>.</w:t>
            </w:r>
            <w:r w:rsidR="00F502BD" w:rsidRPr="008A0897">
              <w:rPr>
                <w:rStyle w:val="FootnoteReference"/>
                <w:rFonts w:ascii="Arial" w:hAnsi="Arial" w:cs="Arial"/>
                <w:bCs/>
                <w:color w:val="auto"/>
                <w:sz w:val="22"/>
                <w:szCs w:val="24"/>
              </w:rPr>
              <w:footnoteReference w:id="9"/>
            </w:r>
            <w:r w:rsidR="00605062" w:rsidRPr="008A0897">
              <w:rPr>
                <w:rFonts w:cs="Arial"/>
                <w:bCs/>
                <w:sz w:val="22"/>
                <w:szCs w:val="24"/>
              </w:rPr>
              <w:t xml:space="preserve"> </w:t>
            </w:r>
            <w:r w:rsidR="009E53CE" w:rsidRPr="00360131">
              <w:rPr>
                <w:rFonts w:cs="Arial"/>
                <w:bCs/>
                <w:sz w:val="22"/>
                <w:szCs w:val="24"/>
              </w:rPr>
              <w:t>Th</w:t>
            </w:r>
            <w:r w:rsidR="00C24120" w:rsidRPr="00360131">
              <w:rPr>
                <w:rFonts w:cs="Arial"/>
                <w:bCs/>
                <w:sz w:val="22"/>
                <w:szCs w:val="24"/>
              </w:rPr>
              <w:t>e</w:t>
            </w:r>
            <w:r w:rsidR="009A6441" w:rsidRPr="00360131">
              <w:rPr>
                <w:rFonts w:cs="Arial"/>
                <w:bCs/>
                <w:sz w:val="22"/>
                <w:szCs w:val="24"/>
              </w:rPr>
              <w:t xml:space="preserve"> South East Regional </w:t>
            </w:r>
            <w:r w:rsidR="00C64D83" w:rsidRPr="00360131">
              <w:rPr>
                <w:rFonts w:cs="Arial"/>
                <w:bCs/>
                <w:sz w:val="22"/>
                <w:szCs w:val="24"/>
              </w:rPr>
              <w:t>Biofactory</w:t>
            </w:r>
            <w:r w:rsidR="009E53CE" w:rsidRPr="00360131">
              <w:rPr>
                <w:rFonts w:cs="Arial"/>
                <w:bCs/>
                <w:sz w:val="22"/>
                <w:szCs w:val="24"/>
              </w:rPr>
              <w:t xml:space="preserve"> </w:t>
            </w:r>
            <w:r w:rsidR="009E53CE" w:rsidRPr="00360131">
              <w:rPr>
                <w:rStyle w:val="normaltextrun"/>
                <w:rFonts w:cs="Arial"/>
                <w:sz w:val="22"/>
                <w:szCs w:val="24"/>
                <w:shd w:val="clear" w:color="auto" w:fill="FFFFFF"/>
              </w:rPr>
              <w:t xml:space="preserve">project will </w:t>
            </w:r>
            <w:r w:rsidR="009E53CE" w:rsidRPr="00360131">
              <w:rPr>
                <w:rFonts w:cs="Arial"/>
                <w:sz w:val="22"/>
                <w:szCs w:val="24"/>
              </w:rPr>
              <w:t xml:space="preserve">deliver the process and detailed design of the new </w:t>
            </w:r>
            <w:r w:rsidR="009C510B" w:rsidRPr="00360131">
              <w:rPr>
                <w:rFonts w:cs="Arial"/>
                <w:bCs/>
                <w:sz w:val="22"/>
                <w:szCs w:val="24"/>
              </w:rPr>
              <w:t>energy</w:t>
            </w:r>
            <w:r w:rsidR="00553E0A" w:rsidRPr="00360131">
              <w:rPr>
                <w:rFonts w:cs="Arial"/>
                <w:bCs/>
                <w:sz w:val="22"/>
                <w:szCs w:val="24"/>
              </w:rPr>
              <w:t>-</w:t>
            </w:r>
            <w:r w:rsidR="009C510B" w:rsidRPr="00360131">
              <w:rPr>
                <w:rFonts w:cs="Arial"/>
                <w:bCs/>
                <w:sz w:val="22"/>
                <w:szCs w:val="24"/>
              </w:rPr>
              <w:t xml:space="preserve">efficient </w:t>
            </w:r>
            <w:r w:rsidR="007633A9" w:rsidRPr="00360131">
              <w:rPr>
                <w:rFonts w:cs="Arial"/>
                <w:bCs/>
                <w:sz w:val="22"/>
                <w:szCs w:val="24"/>
              </w:rPr>
              <w:t xml:space="preserve">water treatment and recycling </w:t>
            </w:r>
            <w:r w:rsidR="009E53CE" w:rsidRPr="00360131">
              <w:rPr>
                <w:rFonts w:cs="Arial"/>
                <w:sz w:val="22"/>
                <w:szCs w:val="24"/>
              </w:rPr>
              <w:t>plant, completion of early works</w:t>
            </w:r>
            <w:r w:rsidR="009C29EE" w:rsidRPr="00360131">
              <w:rPr>
                <w:rFonts w:cs="Arial"/>
                <w:sz w:val="22"/>
                <w:szCs w:val="24"/>
              </w:rPr>
              <w:t>,</w:t>
            </w:r>
            <w:r w:rsidR="009E53CE" w:rsidRPr="00360131">
              <w:rPr>
                <w:rFonts w:cs="Arial"/>
                <w:sz w:val="22"/>
                <w:szCs w:val="24"/>
              </w:rPr>
              <w:t xml:space="preserve"> and start of construction for the new </w:t>
            </w:r>
            <w:r w:rsidR="0059657D" w:rsidRPr="00360131">
              <w:rPr>
                <w:rFonts w:cs="Arial"/>
                <w:sz w:val="22"/>
                <w:szCs w:val="24"/>
              </w:rPr>
              <w:t>i</w:t>
            </w:r>
            <w:r w:rsidR="009E53CE" w:rsidRPr="00360131">
              <w:rPr>
                <w:rFonts w:cs="Arial"/>
                <w:sz w:val="22"/>
                <w:szCs w:val="24"/>
              </w:rPr>
              <w:t xml:space="preserve">nlet </w:t>
            </w:r>
            <w:r w:rsidR="0059657D" w:rsidRPr="00360131">
              <w:rPr>
                <w:rFonts w:cs="Arial"/>
                <w:sz w:val="22"/>
                <w:szCs w:val="24"/>
              </w:rPr>
              <w:t>w</w:t>
            </w:r>
            <w:r w:rsidR="009E53CE" w:rsidRPr="00360131">
              <w:rPr>
                <w:rFonts w:cs="Arial"/>
                <w:sz w:val="22"/>
                <w:szCs w:val="24"/>
              </w:rPr>
              <w:t xml:space="preserve">orks and associated </w:t>
            </w:r>
            <w:r w:rsidR="0059657D" w:rsidRPr="00360131">
              <w:rPr>
                <w:rFonts w:cs="Arial"/>
                <w:sz w:val="22"/>
                <w:szCs w:val="24"/>
              </w:rPr>
              <w:t>o</w:t>
            </w:r>
            <w:r w:rsidR="009E53CE" w:rsidRPr="00360131">
              <w:rPr>
                <w:rFonts w:cs="Arial"/>
                <w:sz w:val="22"/>
                <w:szCs w:val="24"/>
              </w:rPr>
              <w:t xml:space="preserve">dour </w:t>
            </w:r>
            <w:r w:rsidR="0059657D" w:rsidRPr="00360131">
              <w:rPr>
                <w:rFonts w:cs="Arial"/>
                <w:sz w:val="22"/>
                <w:szCs w:val="24"/>
              </w:rPr>
              <w:t>c</w:t>
            </w:r>
            <w:r w:rsidR="009E53CE" w:rsidRPr="00360131">
              <w:rPr>
                <w:rFonts w:cs="Arial"/>
                <w:sz w:val="22"/>
                <w:szCs w:val="24"/>
              </w:rPr>
              <w:t xml:space="preserve">ontrol </w:t>
            </w:r>
            <w:r w:rsidR="0059657D" w:rsidRPr="00360131">
              <w:rPr>
                <w:rFonts w:cs="Arial"/>
                <w:sz w:val="22"/>
                <w:szCs w:val="24"/>
              </w:rPr>
              <w:t>f</w:t>
            </w:r>
            <w:r w:rsidR="009E53CE" w:rsidRPr="00360131">
              <w:rPr>
                <w:rFonts w:cs="Arial"/>
                <w:sz w:val="22"/>
                <w:szCs w:val="24"/>
              </w:rPr>
              <w:t xml:space="preserve">acility. These works support the major </w:t>
            </w:r>
            <w:r w:rsidR="003F54E0" w:rsidRPr="00360131">
              <w:rPr>
                <w:rFonts w:cs="Arial"/>
                <w:sz w:val="22"/>
                <w:szCs w:val="24"/>
              </w:rPr>
              <w:t>project</w:t>
            </w:r>
            <w:r w:rsidR="009E53CE" w:rsidRPr="00360131">
              <w:rPr>
                <w:rFonts w:cs="Arial"/>
                <w:sz w:val="22"/>
                <w:szCs w:val="24"/>
              </w:rPr>
              <w:t xml:space="preserve"> </w:t>
            </w:r>
            <w:r w:rsidR="000777FE" w:rsidRPr="00360131">
              <w:rPr>
                <w:rFonts w:cs="Arial"/>
                <w:sz w:val="22"/>
                <w:szCs w:val="24"/>
              </w:rPr>
              <w:t xml:space="preserve">to </w:t>
            </w:r>
            <w:r w:rsidR="00B436D1" w:rsidRPr="00360131">
              <w:rPr>
                <w:rFonts w:cs="Arial"/>
                <w:sz w:val="22"/>
                <w:szCs w:val="24"/>
              </w:rPr>
              <w:t xml:space="preserve">build and </w:t>
            </w:r>
            <w:r w:rsidR="004177FC" w:rsidRPr="00360131">
              <w:rPr>
                <w:rFonts w:cs="Arial"/>
                <w:sz w:val="22"/>
                <w:szCs w:val="24"/>
              </w:rPr>
              <w:t>commission</w:t>
            </w:r>
            <w:r w:rsidR="000777FE" w:rsidRPr="00360131">
              <w:rPr>
                <w:rFonts w:cs="Arial"/>
                <w:sz w:val="22"/>
                <w:szCs w:val="24"/>
              </w:rPr>
              <w:t xml:space="preserve"> the new </w:t>
            </w:r>
            <w:r w:rsidR="003F54E0" w:rsidRPr="00360131">
              <w:rPr>
                <w:rFonts w:cs="Arial"/>
                <w:sz w:val="22"/>
                <w:szCs w:val="24"/>
              </w:rPr>
              <w:t>biofactory</w:t>
            </w:r>
            <w:r w:rsidR="009E53CE" w:rsidRPr="00360131">
              <w:rPr>
                <w:rFonts w:cs="Arial"/>
                <w:sz w:val="22"/>
                <w:szCs w:val="24"/>
              </w:rPr>
              <w:t xml:space="preserve"> in </w:t>
            </w:r>
            <w:r w:rsidR="00F57632" w:rsidRPr="00360131">
              <w:rPr>
                <w:rFonts w:cs="Arial"/>
                <w:sz w:val="22"/>
                <w:szCs w:val="24"/>
              </w:rPr>
              <w:t>2032</w:t>
            </w:r>
            <w:r w:rsidR="009E53CE" w:rsidRPr="00360131">
              <w:rPr>
                <w:rFonts w:cs="Arial"/>
                <w:sz w:val="22"/>
                <w:szCs w:val="24"/>
              </w:rPr>
              <w:t xml:space="preserve">. </w:t>
            </w:r>
            <w:bookmarkEnd w:id="64"/>
          </w:p>
        </w:tc>
      </w:tr>
      <w:tr w:rsidR="00EA5CC1" w:rsidRPr="00157580" w14:paraId="544A5C74" w14:textId="77777777" w:rsidTr="00360131">
        <w:trPr>
          <w:trHeight w:val="400"/>
        </w:trPr>
        <w:tc>
          <w:tcPr>
            <w:tcW w:w="9356" w:type="dxa"/>
            <w:tcBorders>
              <w:top w:val="single" w:sz="2" w:space="0" w:color="002279"/>
              <w:bottom w:val="single" w:sz="2" w:space="0" w:color="002279"/>
            </w:tcBorders>
          </w:tcPr>
          <w:p w14:paraId="48ADF2D9" w14:textId="77777777" w:rsidR="00EA5CC1" w:rsidRPr="00360131" w:rsidRDefault="00EA5CC1" w:rsidP="00C24120">
            <w:pPr>
              <w:spacing w:line="259" w:lineRule="auto"/>
              <w:rPr>
                <w:rFonts w:cs="Arial"/>
                <w:b/>
                <w:sz w:val="22"/>
              </w:rPr>
            </w:pPr>
          </w:p>
        </w:tc>
      </w:tr>
      <w:tr w:rsidR="007B559C" w:rsidRPr="00157580" w14:paraId="098562D6" w14:textId="77777777" w:rsidTr="00360131">
        <w:trPr>
          <w:trHeight w:val="355"/>
          <w:tblHeader/>
        </w:trPr>
        <w:tc>
          <w:tcPr>
            <w:tcW w:w="9356" w:type="dxa"/>
            <w:tcBorders>
              <w:top w:val="single" w:sz="2" w:space="0" w:color="002279"/>
              <w:bottom w:val="single" w:sz="2" w:space="0" w:color="002279"/>
            </w:tcBorders>
            <w:shd w:val="clear" w:color="auto" w:fill="002379" w:themeFill="text2"/>
            <w:vAlign w:val="center"/>
          </w:tcPr>
          <w:p w14:paraId="2ED3AC4A" w14:textId="7C0BD553" w:rsidR="007B559C" w:rsidRPr="00360131" w:rsidRDefault="007B559C" w:rsidP="00A24D2C">
            <w:pPr>
              <w:spacing w:after="50" w:line="259" w:lineRule="auto"/>
              <w:rPr>
                <w:rFonts w:ascii="Arial" w:hAnsi="Arial" w:cs="Arial"/>
                <w:b/>
                <w:sz w:val="22"/>
              </w:rPr>
            </w:pPr>
            <w:r w:rsidRPr="00360131">
              <w:rPr>
                <w:rFonts w:cs="Arial"/>
                <w:b/>
                <w:sz w:val="22"/>
              </w:rPr>
              <w:t xml:space="preserve">PROJECT 4: </w:t>
            </w:r>
            <w:bookmarkStart w:id="65" w:name="_Hlk105767762"/>
            <w:r w:rsidR="00FA522F" w:rsidRPr="00360131">
              <w:rPr>
                <w:rFonts w:cs="Arial"/>
                <w:b/>
                <w:sz w:val="22"/>
              </w:rPr>
              <w:t>Mount</w:t>
            </w:r>
            <w:r w:rsidRPr="00360131">
              <w:rPr>
                <w:rFonts w:cs="Arial"/>
                <w:b/>
                <w:sz w:val="22"/>
              </w:rPr>
              <w:t xml:space="preserve"> Martha Water Recycling Plant</w:t>
            </w:r>
            <w:r w:rsidR="00CD7D59">
              <w:rPr>
                <w:rFonts w:cs="Arial"/>
                <w:b/>
                <w:sz w:val="22"/>
              </w:rPr>
              <w:t xml:space="preserve"> </w:t>
            </w:r>
            <w:r w:rsidRPr="00360131">
              <w:rPr>
                <w:rFonts w:cs="Arial"/>
                <w:b/>
                <w:sz w:val="22"/>
              </w:rPr>
              <w:t>Augmentation</w:t>
            </w:r>
            <w:bookmarkEnd w:id="65"/>
          </w:p>
        </w:tc>
      </w:tr>
      <w:tr w:rsidR="007B559C" w:rsidRPr="00157580" w14:paraId="2F93E590" w14:textId="77777777" w:rsidTr="00360131">
        <w:tc>
          <w:tcPr>
            <w:tcW w:w="9356" w:type="dxa"/>
            <w:tcBorders>
              <w:top w:val="single" w:sz="2" w:space="0" w:color="002279"/>
              <w:bottom w:val="single" w:sz="2" w:space="0" w:color="002279"/>
            </w:tcBorders>
          </w:tcPr>
          <w:p w14:paraId="5D2D57F3" w14:textId="174A6F58" w:rsidR="007B559C" w:rsidRPr="00360131" w:rsidRDefault="007B559C" w:rsidP="00375EBC">
            <w:pPr>
              <w:spacing w:after="50"/>
              <w:rPr>
                <w:rFonts w:ascii="Arial" w:hAnsi="Arial" w:cs="Arial"/>
                <w:b/>
                <w:sz w:val="22"/>
              </w:rPr>
            </w:pPr>
            <w:r w:rsidRPr="00360131">
              <w:rPr>
                <w:rFonts w:cs="Arial"/>
                <w:b/>
                <w:sz w:val="22"/>
                <w:szCs w:val="24"/>
              </w:rPr>
              <w:t>Investment portfolio</w:t>
            </w:r>
            <w:r w:rsidRPr="00360131">
              <w:rPr>
                <w:rFonts w:cs="Arial"/>
                <w:sz w:val="22"/>
                <w:szCs w:val="24"/>
              </w:rPr>
              <w:t xml:space="preserve">: Treatment </w:t>
            </w:r>
            <w:r w:rsidR="0056290E" w:rsidRPr="00360131">
              <w:rPr>
                <w:rFonts w:cs="Arial"/>
                <w:sz w:val="22"/>
                <w:szCs w:val="24"/>
              </w:rPr>
              <w:t>g</w:t>
            </w:r>
            <w:r w:rsidRPr="00360131">
              <w:rPr>
                <w:rFonts w:cs="Arial"/>
                <w:sz w:val="22"/>
                <w:szCs w:val="24"/>
              </w:rPr>
              <w:t>rowth</w:t>
            </w:r>
          </w:p>
        </w:tc>
      </w:tr>
      <w:tr w:rsidR="007B559C" w:rsidRPr="00157580" w14:paraId="75B17406" w14:textId="77777777" w:rsidTr="00360131">
        <w:tc>
          <w:tcPr>
            <w:tcW w:w="9356" w:type="dxa"/>
            <w:tcBorders>
              <w:top w:val="single" w:sz="2" w:space="0" w:color="002279"/>
              <w:bottom w:val="single" w:sz="2" w:space="0" w:color="002279"/>
            </w:tcBorders>
          </w:tcPr>
          <w:p w14:paraId="57DA8872" w14:textId="1190C208" w:rsidR="007B559C" w:rsidRPr="00360131" w:rsidRDefault="007B559C" w:rsidP="00375EBC">
            <w:pPr>
              <w:spacing w:after="50"/>
              <w:rPr>
                <w:rFonts w:ascii="Arial" w:hAnsi="Arial" w:cs="Arial"/>
                <w:b/>
                <w:sz w:val="22"/>
              </w:rPr>
            </w:pPr>
            <w:r w:rsidRPr="00360131">
              <w:rPr>
                <w:rFonts w:cs="Arial"/>
                <w:b/>
                <w:sz w:val="22"/>
                <w:szCs w:val="24"/>
              </w:rPr>
              <w:t xml:space="preserve">Total cost: </w:t>
            </w:r>
            <w:r w:rsidRPr="00360131">
              <w:rPr>
                <w:rFonts w:cs="Arial"/>
                <w:sz w:val="22"/>
                <w:szCs w:val="24"/>
              </w:rPr>
              <w:t>$54.</w:t>
            </w:r>
            <w:r w:rsidR="00F71BE2">
              <w:rPr>
                <w:rFonts w:cs="Arial"/>
                <w:sz w:val="22"/>
                <w:szCs w:val="24"/>
              </w:rPr>
              <w:t>7</w:t>
            </w:r>
            <w:r w:rsidRPr="00360131">
              <w:rPr>
                <w:rFonts w:cs="Arial"/>
                <w:sz w:val="22"/>
                <w:szCs w:val="24"/>
              </w:rPr>
              <w:t>8m</w:t>
            </w:r>
          </w:p>
        </w:tc>
      </w:tr>
      <w:tr w:rsidR="007B559C" w:rsidRPr="00157580" w14:paraId="739AE212" w14:textId="77777777" w:rsidTr="00360131">
        <w:tc>
          <w:tcPr>
            <w:tcW w:w="9356" w:type="dxa"/>
            <w:tcBorders>
              <w:top w:val="single" w:sz="2" w:space="0" w:color="002279"/>
              <w:bottom w:val="single" w:sz="2" w:space="0" w:color="002279"/>
            </w:tcBorders>
          </w:tcPr>
          <w:p w14:paraId="33BCF8A0" w14:textId="79705A76" w:rsidR="007B559C" w:rsidRPr="00360131" w:rsidRDefault="007B559C" w:rsidP="00375EBC">
            <w:pPr>
              <w:spacing w:after="50" w:line="259" w:lineRule="auto"/>
              <w:rPr>
                <w:rFonts w:ascii="Arial" w:hAnsi="Arial" w:cs="Arial"/>
                <w:b/>
                <w:sz w:val="22"/>
              </w:rPr>
            </w:pPr>
            <w:r w:rsidRPr="00360131">
              <w:rPr>
                <w:rFonts w:cs="Arial"/>
                <w:b/>
                <w:sz w:val="22"/>
                <w:szCs w:val="24"/>
              </w:rPr>
              <w:t>2023</w:t>
            </w:r>
            <w:r w:rsidR="007D4EB3" w:rsidRPr="00360131">
              <w:rPr>
                <w:rFonts w:cs="Arial"/>
                <w:b/>
                <w:sz w:val="22"/>
                <w:szCs w:val="24"/>
              </w:rPr>
              <w:t>–</w:t>
            </w:r>
            <w:r w:rsidRPr="00360131">
              <w:rPr>
                <w:rFonts w:cs="Arial"/>
                <w:b/>
                <w:sz w:val="22"/>
                <w:szCs w:val="24"/>
              </w:rPr>
              <w:t xml:space="preserve">28 cost and timing: </w:t>
            </w:r>
            <w:r w:rsidRPr="00360131">
              <w:rPr>
                <w:rFonts w:cs="Arial"/>
                <w:sz w:val="22"/>
                <w:szCs w:val="24"/>
              </w:rPr>
              <w:t>$54.</w:t>
            </w:r>
            <w:r w:rsidR="00F71BE2">
              <w:rPr>
                <w:rFonts w:cs="Arial"/>
                <w:sz w:val="22"/>
                <w:szCs w:val="24"/>
              </w:rPr>
              <w:t>7</w:t>
            </w:r>
            <w:r w:rsidRPr="00360131">
              <w:rPr>
                <w:rFonts w:cs="Arial"/>
                <w:sz w:val="22"/>
                <w:szCs w:val="24"/>
              </w:rPr>
              <w:t>8m (2023</w:t>
            </w:r>
            <w:r w:rsidR="007D4EB3" w:rsidRPr="00360131">
              <w:rPr>
                <w:rFonts w:cs="Arial"/>
                <w:sz w:val="22"/>
                <w:szCs w:val="24"/>
              </w:rPr>
              <w:t>–</w:t>
            </w:r>
            <w:r w:rsidR="00753477" w:rsidRPr="00360131">
              <w:rPr>
                <w:rFonts w:cs="Arial"/>
                <w:sz w:val="22"/>
                <w:szCs w:val="24"/>
              </w:rPr>
              <w:t>28</w:t>
            </w:r>
            <w:r w:rsidRPr="00360131">
              <w:rPr>
                <w:rFonts w:cs="Arial"/>
                <w:sz w:val="22"/>
                <w:szCs w:val="24"/>
              </w:rPr>
              <w:t>)</w:t>
            </w:r>
          </w:p>
        </w:tc>
      </w:tr>
      <w:tr w:rsidR="007B559C" w:rsidRPr="00157580" w14:paraId="7EA79363" w14:textId="77777777" w:rsidTr="00360131">
        <w:tc>
          <w:tcPr>
            <w:tcW w:w="9356" w:type="dxa"/>
            <w:tcBorders>
              <w:top w:val="single" w:sz="2" w:space="0" w:color="002279"/>
              <w:bottom w:val="single" w:sz="2" w:space="0" w:color="002279"/>
            </w:tcBorders>
          </w:tcPr>
          <w:p w14:paraId="17DFC57A" w14:textId="77777777" w:rsidR="007B559C" w:rsidRPr="00360131" w:rsidRDefault="007B559C" w:rsidP="00375EBC">
            <w:pPr>
              <w:spacing w:after="50" w:line="259" w:lineRule="auto"/>
              <w:rPr>
                <w:rFonts w:ascii="Arial" w:hAnsi="Arial" w:cs="Arial"/>
                <w:sz w:val="22"/>
              </w:rPr>
            </w:pPr>
            <w:r w:rsidRPr="00360131">
              <w:rPr>
                <w:rFonts w:cs="Arial"/>
                <w:b/>
                <w:sz w:val="22"/>
                <w:szCs w:val="24"/>
              </w:rPr>
              <w:t xml:space="preserve">Service category: </w:t>
            </w:r>
            <w:r w:rsidRPr="00360131">
              <w:rPr>
                <w:rFonts w:cs="Arial"/>
                <w:sz w:val="22"/>
                <w:szCs w:val="24"/>
              </w:rPr>
              <w:t>Sewerage</w:t>
            </w:r>
          </w:p>
        </w:tc>
      </w:tr>
      <w:tr w:rsidR="007B559C" w:rsidRPr="00157580" w14:paraId="341E115F" w14:textId="77777777" w:rsidTr="00360131">
        <w:tc>
          <w:tcPr>
            <w:tcW w:w="9356" w:type="dxa"/>
            <w:tcBorders>
              <w:top w:val="single" w:sz="2" w:space="0" w:color="002279"/>
              <w:bottom w:val="single" w:sz="2" w:space="0" w:color="002279"/>
            </w:tcBorders>
          </w:tcPr>
          <w:p w14:paraId="73D7AD3E" w14:textId="1D9E31A7" w:rsidR="007B559C" w:rsidRPr="00360131" w:rsidRDefault="007B559C" w:rsidP="00375EBC">
            <w:pPr>
              <w:spacing w:after="50" w:line="259" w:lineRule="auto"/>
              <w:rPr>
                <w:rFonts w:ascii="Arial" w:hAnsi="Arial" w:cs="Arial"/>
                <w:sz w:val="22"/>
              </w:rPr>
            </w:pPr>
            <w:r w:rsidRPr="00360131">
              <w:rPr>
                <w:rFonts w:cs="Arial"/>
                <w:b/>
                <w:sz w:val="22"/>
                <w:szCs w:val="24"/>
              </w:rPr>
              <w:t xml:space="preserve">Cost </w:t>
            </w:r>
            <w:r w:rsidR="0056290E" w:rsidRPr="00360131">
              <w:rPr>
                <w:rFonts w:cs="Arial"/>
                <w:b/>
                <w:sz w:val="22"/>
                <w:szCs w:val="24"/>
              </w:rPr>
              <w:t>d</w:t>
            </w:r>
            <w:r w:rsidRPr="00360131">
              <w:rPr>
                <w:rFonts w:cs="Arial"/>
                <w:b/>
                <w:sz w:val="22"/>
                <w:szCs w:val="24"/>
              </w:rPr>
              <w:t xml:space="preserve">river category: </w:t>
            </w:r>
            <w:r w:rsidRPr="00360131">
              <w:rPr>
                <w:rFonts w:cs="Arial"/>
                <w:sz w:val="22"/>
                <w:szCs w:val="24"/>
              </w:rPr>
              <w:t>Growth</w:t>
            </w:r>
          </w:p>
        </w:tc>
      </w:tr>
      <w:tr w:rsidR="005068B2" w:rsidRPr="00157580" w14:paraId="64C4000B" w14:textId="77777777" w:rsidTr="00360131">
        <w:tc>
          <w:tcPr>
            <w:tcW w:w="9356" w:type="dxa"/>
            <w:tcBorders>
              <w:top w:val="single" w:sz="2" w:space="0" w:color="002279"/>
              <w:bottom w:val="single" w:sz="2" w:space="0" w:color="002279"/>
            </w:tcBorders>
          </w:tcPr>
          <w:p w14:paraId="05107E25" w14:textId="77777777" w:rsidR="005068B2" w:rsidRPr="00360131" w:rsidRDefault="005068B2" w:rsidP="004331A0">
            <w:pPr>
              <w:spacing w:after="50" w:line="259" w:lineRule="auto"/>
              <w:rPr>
                <w:rFonts w:ascii="Arial" w:hAnsi="Arial" w:cs="Arial"/>
                <w:sz w:val="22"/>
              </w:rPr>
            </w:pPr>
            <w:r w:rsidRPr="00360131">
              <w:rPr>
                <w:rFonts w:cs="Arial"/>
                <w:b/>
                <w:sz w:val="22"/>
                <w:szCs w:val="24"/>
              </w:rPr>
              <w:t xml:space="preserve">Asset category: </w:t>
            </w:r>
            <w:r w:rsidRPr="00360131">
              <w:rPr>
                <w:rFonts w:cs="Arial"/>
                <w:sz w:val="22"/>
                <w:szCs w:val="24"/>
              </w:rPr>
              <w:t>Treatment</w:t>
            </w:r>
          </w:p>
        </w:tc>
      </w:tr>
      <w:tr w:rsidR="007B559C" w:rsidRPr="00157580" w14:paraId="42475471" w14:textId="77777777" w:rsidTr="00360131">
        <w:tc>
          <w:tcPr>
            <w:tcW w:w="9356" w:type="dxa"/>
            <w:tcBorders>
              <w:top w:val="single" w:sz="2" w:space="0" w:color="002279"/>
              <w:bottom w:val="single" w:sz="2" w:space="0" w:color="002279"/>
            </w:tcBorders>
          </w:tcPr>
          <w:p w14:paraId="008D2815" w14:textId="533B2186" w:rsidR="007B559C" w:rsidRPr="00360131" w:rsidRDefault="007B559C" w:rsidP="00375EBC">
            <w:pPr>
              <w:spacing w:after="50" w:line="259" w:lineRule="auto"/>
              <w:rPr>
                <w:rFonts w:ascii="Arial" w:hAnsi="Arial" w:cs="Arial"/>
                <w:sz w:val="22"/>
              </w:rPr>
            </w:pPr>
            <w:r w:rsidRPr="00360131">
              <w:rPr>
                <w:rFonts w:cs="Arial"/>
                <w:b/>
                <w:sz w:val="22"/>
                <w:szCs w:val="24"/>
              </w:rPr>
              <w:t xml:space="preserve">Description: </w:t>
            </w:r>
            <w:r w:rsidRPr="00360131">
              <w:rPr>
                <w:rFonts w:cs="Arial"/>
                <w:sz w:val="22"/>
                <w:szCs w:val="24"/>
              </w:rPr>
              <w:t>Augment</w:t>
            </w:r>
            <w:r w:rsidR="00C916DD" w:rsidRPr="00360131">
              <w:rPr>
                <w:rFonts w:cs="Arial"/>
                <w:sz w:val="22"/>
                <w:szCs w:val="24"/>
              </w:rPr>
              <w:t>ation of the solids handling streams to increase capacity</w:t>
            </w:r>
            <w:r w:rsidR="00B13BD8" w:rsidRPr="00360131">
              <w:rPr>
                <w:rFonts w:cs="Arial"/>
                <w:sz w:val="22"/>
                <w:szCs w:val="24"/>
              </w:rPr>
              <w:t xml:space="preserve"> and</w:t>
            </w:r>
            <w:r w:rsidR="00773920" w:rsidRPr="00360131">
              <w:rPr>
                <w:rFonts w:cs="Arial"/>
                <w:sz w:val="22"/>
                <w:szCs w:val="24"/>
              </w:rPr>
              <w:t xml:space="preserve"> works to replace ag</w:t>
            </w:r>
            <w:r w:rsidR="002F58AD" w:rsidRPr="00360131">
              <w:rPr>
                <w:rFonts w:cs="Arial"/>
                <w:sz w:val="22"/>
                <w:szCs w:val="24"/>
              </w:rPr>
              <w:t>e</w:t>
            </w:r>
            <w:r w:rsidR="00773920" w:rsidRPr="00360131">
              <w:rPr>
                <w:rFonts w:cs="Arial"/>
                <w:sz w:val="22"/>
                <w:szCs w:val="24"/>
              </w:rPr>
              <w:t>ing infrastructure at the site</w:t>
            </w:r>
            <w:r w:rsidRPr="00360131">
              <w:rPr>
                <w:rFonts w:cs="Arial"/>
                <w:b/>
                <w:sz w:val="22"/>
                <w:szCs w:val="24"/>
              </w:rPr>
              <w:t xml:space="preserve"> </w:t>
            </w:r>
          </w:p>
        </w:tc>
      </w:tr>
      <w:tr w:rsidR="007B559C" w:rsidRPr="00157580" w14:paraId="4039DE04" w14:textId="77777777" w:rsidTr="00360131">
        <w:tc>
          <w:tcPr>
            <w:tcW w:w="9356" w:type="dxa"/>
            <w:tcBorders>
              <w:top w:val="single" w:sz="2" w:space="0" w:color="002279"/>
              <w:bottom w:val="single" w:sz="2" w:space="0" w:color="002279"/>
            </w:tcBorders>
          </w:tcPr>
          <w:p w14:paraId="457F5056" w14:textId="58E38D5D" w:rsidR="007B559C" w:rsidRPr="00360131" w:rsidRDefault="008D7061" w:rsidP="00375EBC">
            <w:pPr>
              <w:spacing w:after="50" w:line="259" w:lineRule="auto"/>
              <w:rPr>
                <w:rFonts w:ascii="Arial" w:hAnsi="Arial" w:cs="Arial"/>
                <w:b/>
                <w:sz w:val="22"/>
              </w:rPr>
            </w:pPr>
            <w:r w:rsidRPr="00360131">
              <w:rPr>
                <w:rFonts w:cs="Arial"/>
                <w:b/>
                <w:sz w:val="22"/>
                <w:szCs w:val="24"/>
              </w:rPr>
              <w:t xml:space="preserve">Customer </w:t>
            </w:r>
            <w:r w:rsidR="00712194" w:rsidRPr="00360131">
              <w:rPr>
                <w:rFonts w:cs="Arial"/>
                <w:b/>
                <w:sz w:val="22"/>
                <w:szCs w:val="24"/>
              </w:rPr>
              <w:t>o</w:t>
            </w:r>
            <w:r w:rsidR="007B559C" w:rsidRPr="00360131">
              <w:rPr>
                <w:rFonts w:cs="Arial"/>
                <w:b/>
                <w:sz w:val="22"/>
                <w:szCs w:val="24"/>
              </w:rPr>
              <w:t xml:space="preserve">utcome: </w:t>
            </w:r>
            <w:r w:rsidR="007B559C" w:rsidRPr="00360131">
              <w:rPr>
                <w:rFonts w:cs="Arial"/>
                <w:i/>
                <w:sz w:val="22"/>
                <w:szCs w:val="24"/>
              </w:rPr>
              <w:t>Get the basics right, always</w:t>
            </w:r>
            <w:r w:rsidR="007B559C" w:rsidRPr="00360131">
              <w:rPr>
                <w:rFonts w:cs="Arial"/>
                <w:sz w:val="22"/>
                <w:szCs w:val="24"/>
              </w:rPr>
              <w:t xml:space="preserve">; </w:t>
            </w:r>
            <w:r w:rsidR="007B559C" w:rsidRPr="00360131">
              <w:rPr>
                <w:rFonts w:cs="Arial"/>
                <w:i/>
                <w:sz w:val="22"/>
                <w:szCs w:val="24"/>
              </w:rPr>
              <w:t>Support my community, protect our environment</w:t>
            </w:r>
          </w:p>
        </w:tc>
      </w:tr>
      <w:tr w:rsidR="007B559C" w:rsidRPr="00157580" w14:paraId="35738EA7" w14:textId="77777777" w:rsidTr="00360131">
        <w:tc>
          <w:tcPr>
            <w:tcW w:w="9356" w:type="dxa"/>
            <w:tcBorders>
              <w:top w:val="single" w:sz="2" w:space="0" w:color="002279"/>
              <w:bottom w:val="single" w:sz="2" w:space="0" w:color="002279"/>
            </w:tcBorders>
          </w:tcPr>
          <w:p w14:paraId="07071314" w14:textId="77777777" w:rsidR="007B559C" w:rsidRPr="00360131" w:rsidRDefault="007B559C" w:rsidP="00375EBC">
            <w:pPr>
              <w:spacing w:after="50" w:line="259" w:lineRule="auto"/>
              <w:rPr>
                <w:rFonts w:ascii="Arial" w:hAnsi="Arial" w:cs="Arial"/>
                <w:sz w:val="22"/>
              </w:rPr>
            </w:pPr>
            <w:r w:rsidRPr="00360131">
              <w:rPr>
                <w:rFonts w:cs="Arial"/>
                <w:b/>
                <w:sz w:val="22"/>
                <w:szCs w:val="24"/>
              </w:rPr>
              <w:t xml:space="preserve">Current risk rating: </w:t>
            </w:r>
            <w:r w:rsidRPr="00360131">
              <w:rPr>
                <w:rFonts w:cs="Arial"/>
                <w:sz w:val="22"/>
                <w:szCs w:val="24"/>
              </w:rPr>
              <w:t>Medium</w:t>
            </w:r>
          </w:p>
        </w:tc>
      </w:tr>
      <w:tr w:rsidR="007B559C" w:rsidRPr="00157580" w14:paraId="5026513C" w14:textId="77777777" w:rsidTr="00360131">
        <w:tc>
          <w:tcPr>
            <w:tcW w:w="9356" w:type="dxa"/>
            <w:tcBorders>
              <w:top w:val="single" w:sz="2" w:space="0" w:color="002279"/>
              <w:bottom w:val="single" w:sz="2" w:space="0" w:color="002279"/>
            </w:tcBorders>
          </w:tcPr>
          <w:p w14:paraId="2D3472D6" w14:textId="388C5E56" w:rsidR="007B559C" w:rsidRPr="00360131" w:rsidRDefault="007B559C" w:rsidP="00375EBC">
            <w:pPr>
              <w:spacing w:after="50" w:line="259" w:lineRule="auto"/>
              <w:rPr>
                <w:rFonts w:ascii="Arial" w:hAnsi="Arial" w:cs="Arial"/>
                <w:b/>
                <w:sz w:val="22"/>
              </w:rPr>
            </w:pPr>
            <w:r w:rsidRPr="00360131">
              <w:rPr>
                <w:rFonts w:cs="Arial"/>
                <w:b/>
                <w:sz w:val="22"/>
                <w:szCs w:val="24"/>
              </w:rPr>
              <w:t xml:space="preserve">Risk rating </w:t>
            </w:r>
            <w:r w:rsidR="00017665" w:rsidRPr="00360131">
              <w:rPr>
                <w:rFonts w:cs="Arial"/>
                <w:b/>
                <w:sz w:val="22"/>
                <w:szCs w:val="24"/>
              </w:rPr>
              <w:t>post-investment</w:t>
            </w:r>
            <w:r w:rsidRPr="00360131">
              <w:rPr>
                <w:rFonts w:cs="Arial"/>
                <w:b/>
                <w:sz w:val="22"/>
                <w:szCs w:val="24"/>
              </w:rPr>
              <w:t xml:space="preserve">: </w:t>
            </w:r>
            <w:r w:rsidRPr="00360131">
              <w:rPr>
                <w:rFonts w:cs="Arial"/>
                <w:sz w:val="22"/>
                <w:szCs w:val="24"/>
              </w:rPr>
              <w:t>Low</w:t>
            </w:r>
          </w:p>
        </w:tc>
      </w:tr>
      <w:tr w:rsidR="007B559C" w:rsidRPr="00157580" w14:paraId="5853C234" w14:textId="77777777" w:rsidTr="00360131">
        <w:tc>
          <w:tcPr>
            <w:tcW w:w="9356" w:type="dxa"/>
            <w:tcBorders>
              <w:top w:val="single" w:sz="2" w:space="0" w:color="002279"/>
              <w:bottom w:val="single" w:sz="2" w:space="0" w:color="002279"/>
            </w:tcBorders>
          </w:tcPr>
          <w:p w14:paraId="69074E4D" w14:textId="1C22BC88" w:rsidR="007B559C" w:rsidRPr="00360131" w:rsidRDefault="007B559C" w:rsidP="00375EBC">
            <w:pPr>
              <w:spacing w:after="50" w:line="259" w:lineRule="auto"/>
              <w:rPr>
                <w:rFonts w:ascii="Arial" w:hAnsi="Arial" w:cs="Arial"/>
                <w:b/>
                <w:sz w:val="22"/>
              </w:rPr>
            </w:pPr>
            <w:r w:rsidRPr="00360131">
              <w:rPr>
                <w:rFonts w:cs="Arial"/>
                <w:b/>
                <w:sz w:val="22"/>
                <w:szCs w:val="24"/>
              </w:rPr>
              <w:t xml:space="preserve">Background: </w:t>
            </w:r>
            <w:r w:rsidRPr="00360131">
              <w:rPr>
                <w:rFonts w:cs="Arial"/>
                <w:sz w:val="22"/>
                <w:szCs w:val="24"/>
              </w:rPr>
              <w:t>The Mount Martha</w:t>
            </w:r>
            <w:r w:rsidR="00E14DE5">
              <w:rPr>
                <w:rFonts w:cs="Arial"/>
                <w:sz w:val="22"/>
                <w:szCs w:val="24"/>
              </w:rPr>
              <w:t xml:space="preserve"> Water Recycling Plant</w:t>
            </w:r>
            <w:r w:rsidR="002546C6">
              <w:rPr>
                <w:rFonts w:cs="Arial"/>
                <w:sz w:val="22"/>
                <w:szCs w:val="24"/>
              </w:rPr>
              <w:t xml:space="preserve"> </w:t>
            </w:r>
            <w:r w:rsidRPr="00360131">
              <w:rPr>
                <w:rFonts w:cs="Arial"/>
                <w:sz w:val="22"/>
                <w:szCs w:val="24"/>
              </w:rPr>
              <w:t xml:space="preserve">consists of primary, secondary and tertiary treatment processes and produces </w:t>
            </w:r>
            <w:r w:rsidR="00DD65E2">
              <w:rPr>
                <w:rFonts w:cs="Arial"/>
                <w:sz w:val="22"/>
                <w:szCs w:val="24"/>
              </w:rPr>
              <w:t>C</w:t>
            </w:r>
            <w:r w:rsidRPr="00360131">
              <w:rPr>
                <w:rFonts w:cs="Arial"/>
                <w:sz w:val="22"/>
                <w:szCs w:val="24"/>
              </w:rPr>
              <w:t xml:space="preserve">lass A recycled water. The site </w:t>
            </w:r>
            <w:r w:rsidR="00365526" w:rsidRPr="00360131">
              <w:rPr>
                <w:rFonts w:cs="Arial"/>
                <w:sz w:val="22"/>
                <w:szCs w:val="24"/>
              </w:rPr>
              <w:t xml:space="preserve">contains </w:t>
            </w:r>
            <w:r w:rsidRPr="00360131">
              <w:rPr>
                <w:rFonts w:cs="Arial"/>
                <w:sz w:val="22"/>
                <w:szCs w:val="24"/>
              </w:rPr>
              <w:t>a number of ag</w:t>
            </w:r>
            <w:r w:rsidR="00C7157E" w:rsidRPr="00360131">
              <w:rPr>
                <w:rFonts w:cs="Arial"/>
                <w:sz w:val="22"/>
                <w:szCs w:val="24"/>
              </w:rPr>
              <w:t>e</w:t>
            </w:r>
            <w:r w:rsidRPr="00360131">
              <w:rPr>
                <w:rFonts w:cs="Arial"/>
                <w:sz w:val="22"/>
                <w:szCs w:val="24"/>
              </w:rPr>
              <w:t>ing structures that require replacement</w:t>
            </w:r>
            <w:r w:rsidR="00681503" w:rsidRPr="00360131">
              <w:rPr>
                <w:rFonts w:cs="Arial"/>
                <w:sz w:val="22"/>
                <w:szCs w:val="24"/>
              </w:rPr>
              <w:t xml:space="preserve"> or </w:t>
            </w:r>
            <w:r w:rsidRPr="00360131">
              <w:rPr>
                <w:rFonts w:cs="Arial"/>
                <w:sz w:val="22"/>
                <w:szCs w:val="24"/>
              </w:rPr>
              <w:t>refurbishment</w:t>
            </w:r>
            <w:r w:rsidR="00FE210A" w:rsidRPr="00360131">
              <w:rPr>
                <w:rFonts w:cs="Arial"/>
                <w:sz w:val="22"/>
                <w:szCs w:val="24"/>
              </w:rPr>
              <w:t>,</w:t>
            </w:r>
            <w:r w:rsidRPr="00360131">
              <w:rPr>
                <w:rFonts w:cs="Arial"/>
                <w:sz w:val="22"/>
                <w:szCs w:val="24"/>
              </w:rPr>
              <w:t xml:space="preserve"> to </w:t>
            </w:r>
            <w:r w:rsidR="00DA6506" w:rsidRPr="00360131">
              <w:rPr>
                <w:rFonts w:cs="Arial"/>
                <w:sz w:val="22"/>
                <w:szCs w:val="24"/>
              </w:rPr>
              <w:t xml:space="preserve">ensure ongoing </w:t>
            </w:r>
            <w:r w:rsidRPr="00360131">
              <w:rPr>
                <w:rFonts w:cs="Arial"/>
                <w:sz w:val="22"/>
                <w:szCs w:val="24"/>
              </w:rPr>
              <w:t>compliance. In addition, asset capacity constraints are evident due to catchment growth and will be addressed as part of th</w:t>
            </w:r>
            <w:r w:rsidR="00681503" w:rsidRPr="00360131">
              <w:rPr>
                <w:rFonts w:cs="Arial"/>
                <w:sz w:val="22"/>
                <w:szCs w:val="24"/>
              </w:rPr>
              <w:t>e</w:t>
            </w:r>
            <w:r w:rsidRPr="00360131">
              <w:rPr>
                <w:rFonts w:cs="Arial"/>
                <w:sz w:val="22"/>
                <w:szCs w:val="24"/>
              </w:rPr>
              <w:t xml:space="preserve"> augmentation works.</w:t>
            </w:r>
          </w:p>
        </w:tc>
      </w:tr>
    </w:tbl>
    <w:p w14:paraId="204E23C1" w14:textId="77777777" w:rsidR="007B559C" w:rsidRPr="00360131" w:rsidRDefault="007B559C" w:rsidP="007B559C">
      <w:pPr>
        <w:rPr>
          <w:rFonts w:cs="Arial"/>
          <w:sz w:val="22"/>
          <w:szCs w:val="22"/>
        </w:rPr>
      </w:pPr>
    </w:p>
    <w:tbl>
      <w:tblPr>
        <w:tblStyle w:val="MJTableStyle1default"/>
        <w:tblW w:w="9356" w:type="dxa"/>
        <w:tblInd w:w="0" w:type="dxa"/>
        <w:tblBorders>
          <w:bottom w:val="single" w:sz="2" w:space="0" w:color="002279"/>
          <w:insideV w:val="single" w:sz="4" w:space="0" w:color="00B1F4" w:themeColor="accent2"/>
        </w:tblBorders>
        <w:tblLook w:val="06A0" w:firstRow="1" w:lastRow="0" w:firstColumn="1" w:lastColumn="0" w:noHBand="1" w:noVBand="1"/>
      </w:tblPr>
      <w:tblGrid>
        <w:gridCol w:w="9356"/>
      </w:tblGrid>
      <w:tr w:rsidR="007B559C" w:rsidRPr="00157580" w14:paraId="50CD735F" w14:textId="77777777" w:rsidTr="00360131">
        <w:trPr>
          <w:cnfStyle w:val="100000000000" w:firstRow="1" w:lastRow="0" w:firstColumn="0" w:lastColumn="0" w:oddVBand="0" w:evenVBand="0" w:oddHBand="0" w:evenHBand="0" w:firstRowFirstColumn="0" w:firstRowLastColumn="0" w:lastRowFirstColumn="0" w:lastRowLastColumn="0"/>
          <w:trHeight w:val="461"/>
          <w:tblHeader/>
        </w:trPr>
        <w:tc>
          <w:tcPr>
            <w:tcW w:w="9356" w:type="dxa"/>
            <w:tcBorders>
              <w:top w:val="single" w:sz="2" w:space="0" w:color="002279"/>
              <w:bottom w:val="single" w:sz="2" w:space="0" w:color="002279"/>
            </w:tcBorders>
            <w:shd w:val="clear" w:color="auto" w:fill="002379" w:themeFill="text2"/>
            <w:vAlign w:val="center"/>
          </w:tcPr>
          <w:p w14:paraId="70BE54F0" w14:textId="5E7D1424" w:rsidR="007B559C" w:rsidRPr="00360131" w:rsidRDefault="007B559C" w:rsidP="00A24D2C">
            <w:pPr>
              <w:spacing w:before="60" w:after="60" w:line="259" w:lineRule="auto"/>
              <w:rPr>
                <w:rFonts w:ascii="Arial" w:hAnsi="Arial" w:cs="Arial"/>
                <w:b/>
                <w:sz w:val="22"/>
                <w:szCs w:val="22"/>
              </w:rPr>
            </w:pPr>
            <w:r w:rsidRPr="00360131">
              <w:rPr>
                <w:rFonts w:ascii="Arial" w:hAnsi="Arial" w:cs="Arial"/>
                <w:b/>
                <w:sz w:val="22"/>
                <w:szCs w:val="22"/>
              </w:rPr>
              <w:t>PROJECT 5: Westernport Irrigation Scheme – Stage 1</w:t>
            </w:r>
          </w:p>
        </w:tc>
      </w:tr>
      <w:tr w:rsidR="007B559C" w:rsidRPr="00157580" w14:paraId="67710016" w14:textId="77777777" w:rsidTr="00360131">
        <w:tc>
          <w:tcPr>
            <w:tcW w:w="9356" w:type="dxa"/>
            <w:tcBorders>
              <w:top w:val="single" w:sz="2" w:space="0" w:color="002279"/>
              <w:bottom w:val="single" w:sz="2" w:space="0" w:color="002279"/>
            </w:tcBorders>
          </w:tcPr>
          <w:p w14:paraId="74CFEAD6" w14:textId="473CEBF8" w:rsidR="007B559C" w:rsidRPr="00360131" w:rsidRDefault="007B559C" w:rsidP="00375EBC">
            <w:pPr>
              <w:rPr>
                <w:rFonts w:ascii="Arial" w:hAnsi="Arial" w:cs="Arial"/>
                <w:b/>
                <w:sz w:val="22"/>
              </w:rPr>
            </w:pPr>
            <w:r w:rsidRPr="00360131">
              <w:rPr>
                <w:rFonts w:cs="Arial"/>
                <w:b/>
                <w:sz w:val="22"/>
                <w:szCs w:val="24"/>
              </w:rPr>
              <w:t>Investment portfolio</w:t>
            </w:r>
            <w:r w:rsidRPr="00360131">
              <w:rPr>
                <w:rFonts w:cs="Arial"/>
                <w:sz w:val="22"/>
                <w:szCs w:val="24"/>
              </w:rPr>
              <w:t xml:space="preserve">: Treatment </w:t>
            </w:r>
            <w:r w:rsidR="00802752" w:rsidRPr="00360131">
              <w:rPr>
                <w:rFonts w:cs="Arial"/>
                <w:sz w:val="22"/>
                <w:szCs w:val="24"/>
              </w:rPr>
              <w:t>i</w:t>
            </w:r>
            <w:r w:rsidRPr="00360131">
              <w:rPr>
                <w:rFonts w:cs="Arial"/>
                <w:sz w:val="22"/>
                <w:szCs w:val="24"/>
              </w:rPr>
              <w:t>mprovements</w:t>
            </w:r>
            <w:r w:rsidR="00E27178" w:rsidRPr="00360131">
              <w:rPr>
                <w:rFonts w:cs="Arial"/>
                <w:sz w:val="22"/>
                <w:szCs w:val="24"/>
              </w:rPr>
              <w:t>/</w:t>
            </w:r>
            <w:r w:rsidR="00802752" w:rsidRPr="00360131">
              <w:rPr>
                <w:rFonts w:cs="Arial"/>
                <w:sz w:val="22"/>
                <w:szCs w:val="24"/>
              </w:rPr>
              <w:t>c</w:t>
            </w:r>
            <w:r w:rsidRPr="00360131">
              <w:rPr>
                <w:rFonts w:cs="Arial"/>
                <w:sz w:val="22"/>
                <w:szCs w:val="24"/>
              </w:rPr>
              <w:t>ompliance</w:t>
            </w:r>
          </w:p>
        </w:tc>
      </w:tr>
      <w:tr w:rsidR="007B559C" w:rsidRPr="00157580" w14:paraId="7E070298" w14:textId="77777777" w:rsidTr="00360131">
        <w:tc>
          <w:tcPr>
            <w:tcW w:w="9356" w:type="dxa"/>
            <w:tcBorders>
              <w:top w:val="single" w:sz="2" w:space="0" w:color="002279"/>
              <w:bottom w:val="single" w:sz="2" w:space="0" w:color="002279"/>
            </w:tcBorders>
          </w:tcPr>
          <w:p w14:paraId="751D3F01" w14:textId="3723327B" w:rsidR="007B559C" w:rsidRPr="00360131" w:rsidRDefault="007B559C" w:rsidP="00375EBC">
            <w:pPr>
              <w:rPr>
                <w:rFonts w:ascii="Arial" w:hAnsi="Arial" w:cs="Arial"/>
                <w:b/>
                <w:sz w:val="22"/>
              </w:rPr>
            </w:pPr>
            <w:r w:rsidRPr="00360131">
              <w:rPr>
                <w:rFonts w:cs="Arial"/>
                <w:b/>
                <w:sz w:val="22"/>
                <w:szCs w:val="24"/>
              </w:rPr>
              <w:t xml:space="preserve">Total cost: </w:t>
            </w:r>
            <w:r w:rsidRPr="00360131">
              <w:rPr>
                <w:rFonts w:cs="Arial"/>
                <w:sz w:val="22"/>
                <w:szCs w:val="24"/>
              </w:rPr>
              <w:t>$52.</w:t>
            </w:r>
            <w:r w:rsidR="00F71BE2">
              <w:rPr>
                <w:rFonts w:cs="Arial"/>
                <w:sz w:val="22"/>
                <w:szCs w:val="24"/>
              </w:rPr>
              <w:t>46</w:t>
            </w:r>
            <w:r w:rsidRPr="00360131">
              <w:rPr>
                <w:rFonts w:cs="Arial"/>
                <w:sz w:val="22"/>
                <w:szCs w:val="24"/>
              </w:rPr>
              <w:t>m</w:t>
            </w:r>
          </w:p>
        </w:tc>
      </w:tr>
      <w:tr w:rsidR="007B559C" w:rsidRPr="00157580" w14:paraId="640B64B4" w14:textId="77777777" w:rsidTr="00360131">
        <w:tc>
          <w:tcPr>
            <w:tcW w:w="9356" w:type="dxa"/>
            <w:tcBorders>
              <w:top w:val="single" w:sz="2" w:space="0" w:color="002279"/>
              <w:bottom w:val="single" w:sz="2" w:space="0" w:color="002279"/>
            </w:tcBorders>
          </w:tcPr>
          <w:p w14:paraId="6DFB7D86" w14:textId="78C54633" w:rsidR="007B559C" w:rsidRPr="00360131" w:rsidRDefault="007B559C" w:rsidP="00375EBC">
            <w:pPr>
              <w:spacing w:line="259" w:lineRule="auto"/>
              <w:rPr>
                <w:rFonts w:ascii="Arial" w:hAnsi="Arial" w:cs="Arial"/>
                <w:b/>
                <w:sz w:val="22"/>
              </w:rPr>
            </w:pPr>
            <w:r w:rsidRPr="00360131">
              <w:rPr>
                <w:rFonts w:cs="Arial"/>
                <w:b/>
                <w:sz w:val="22"/>
                <w:szCs w:val="24"/>
              </w:rPr>
              <w:t>2023</w:t>
            </w:r>
            <w:r w:rsidR="007D4EB3" w:rsidRPr="00360131">
              <w:rPr>
                <w:rFonts w:cs="Arial"/>
                <w:b/>
                <w:sz w:val="22"/>
                <w:szCs w:val="24"/>
              </w:rPr>
              <w:t>–</w:t>
            </w:r>
            <w:r w:rsidRPr="00360131">
              <w:rPr>
                <w:rFonts w:cs="Arial"/>
                <w:b/>
                <w:sz w:val="22"/>
                <w:szCs w:val="24"/>
              </w:rPr>
              <w:t xml:space="preserve">28 cost and timing: </w:t>
            </w:r>
            <w:r w:rsidRPr="00360131">
              <w:rPr>
                <w:rFonts w:cs="Arial"/>
                <w:sz w:val="22"/>
                <w:szCs w:val="24"/>
              </w:rPr>
              <w:t>$52.</w:t>
            </w:r>
            <w:r w:rsidR="00F71BE2">
              <w:rPr>
                <w:rFonts w:cs="Arial"/>
                <w:sz w:val="22"/>
                <w:szCs w:val="24"/>
              </w:rPr>
              <w:t>46</w:t>
            </w:r>
            <w:r w:rsidRPr="00360131">
              <w:rPr>
                <w:rFonts w:cs="Arial"/>
                <w:sz w:val="22"/>
                <w:szCs w:val="24"/>
              </w:rPr>
              <w:t>m (</w:t>
            </w:r>
            <w:r w:rsidR="00226B3E" w:rsidRPr="00360131">
              <w:rPr>
                <w:rFonts w:cs="Arial"/>
                <w:sz w:val="22"/>
                <w:szCs w:val="24"/>
              </w:rPr>
              <w:t>2023</w:t>
            </w:r>
            <w:r w:rsidR="007D4EB3" w:rsidRPr="00360131">
              <w:rPr>
                <w:rFonts w:cs="Arial"/>
                <w:sz w:val="22"/>
                <w:szCs w:val="24"/>
              </w:rPr>
              <w:t>–</w:t>
            </w:r>
            <w:r w:rsidR="00226B3E" w:rsidRPr="00360131">
              <w:rPr>
                <w:rFonts w:cs="Arial"/>
                <w:sz w:val="22"/>
                <w:szCs w:val="24"/>
              </w:rPr>
              <w:t>28</w:t>
            </w:r>
            <w:r w:rsidRPr="00360131">
              <w:rPr>
                <w:rFonts w:cs="Arial"/>
                <w:sz w:val="22"/>
                <w:szCs w:val="24"/>
              </w:rPr>
              <w:t>)</w:t>
            </w:r>
          </w:p>
        </w:tc>
      </w:tr>
      <w:tr w:rsidR="007B559C" w:rsidRPr="00157580" w14:paraId="780021ED" w14:textId="77777777" w:rsidTr="00360131">
        <w:tc>
          <w:tcPr>
            <w:tcW w:w="9356" w:type="dxa"/>
            <w:tcBorders>
              <w:top w:val="single" w:sz="2" w:space="0" w:color="002279"/>
              <w:bottom w:val="single" w:sz="2" w:space="0" w:color="002279"/>
            </w:tcBorders>
          </w:tcPr>
          <w:p w14:paraId="2423444E" w14:textId="41845088" w:rsidR="007B559C" w:rsidRPr="00360131" w:rsidRDefault="007B559C" w:rsidP="00375EBC">
            <w:pPr>
              <w:spacing w:line="259" w:lineRule="auto"/>
              <w:rPr>
                <w:rFonts w:ascii="Arial" w:hAnsi="Arial" w:cs="Arial"/>
                <w:b/>
                <w:sz w:val="22"/>
              </w:rPr>
            </w:pPr>
            <w:r w:rsidRPr="00360131">
              <w:rPr>
                <w:rFonts w:cs="Arial"/>
                <w:b/>
                <w:sz w:val="22"/>
                <w:szCs w:val="24"/>
              </w:rPr>
              <w:t xml:space="preserve">Service category: </w:t>
            </w:r>
            <w:r w:rsidR="00212C58" w:rsidRPr="00360131">
              <w:rPr>
                <w:rFonts w:cs="Arial"/>
                <w:sz w:val="22"/>
                <w:szCs w:val="24"/>
              </w:rPr>
              <w:t xml:space="preserve">Recycled </w:t>
            </w:r>
            <w:r w:rsidR="00802752" w:rsidRPr="00360131">
              <w:rPr>
                <w:rFonts w:cs="Arial"/>
                <w:sz w:val="22"/>
                <w:szCs w:val="24"/>
              </w:rPr>
              <w:t>w</w:t>
            </w:r>
            <w:r w:rsidRPr="00360131">
              <w:rPr>
                <w:rFonts w:cs="Arial"/>
                <w:sz w:val="22"/>
                <w:szCs w:val="24"/>
              </w:rPr>
              <w:t>ater</w:t>
            </w:r>
          </w:p>
        </w:tc>
      </w:tr>
      <w:tr w:rsidR="007B559C" w:rsidRPr="00157580" w14:paraId="71146C36" w14:textId="77777777" w:rsidTr="00360131">
        <w:tc>
          <w:tcPr>
            <w:tcW w:w="9356" w:type="dxa"/>
            <w:tcBorders>
              <w:top w:val="single" w:sz="2" w:space="0" w:color="002279"/>
              <w:bottom w:val="single" w:sz="2" w:space="0" w:color="002279"/>
            </w:tcBorders>
          </w:tcPr>
          <w:p w14:paraId="5E795DE8" w14:textId="42502B28" w:rsidR="007B559C" w:rsidRPr="00360131" w:rsidRDefault="007B559C" w:rsidP="00375EBC">
            <w:pPr>
              <w:spacing w:line="259" w:lineRule="auto"/>
              <w:rPr>
                <w:rFonts w:ascii="Arial" w:hAnsi="Arial" w:cs="Arial"/>
                <w:b/>
                <w:sz w:val="22"/>
              </w:rPr>
            </w:pPr>
            <w:r w:rsidRPr="00360131">
              <w:rPr>
                <w:rFonts w:cs="Arial"/>
                <w:b/>
                <w:sz w:val="22"/>
                <w:szCs w:val="24"/>
              </w:rPr>
              <w:t xml:space="preserve">Cost </w:t>
            </w:r>
            <w:r w:rsidR="00A836B1" w:rsidRPr="00360131">
              <w:rPr>
                <w:rFonts w:cs="Arial"/>
                <w:b/>
                <w:sz w:val="22"/>
                <w:szCs w:val="24"/>
              </w:rPr>
              <w:t>d</w:t>
            </w:r>
            <w:r w:rsidRPr="00360131">
              <w:rPr>
                <w:rFonts w:cs="Arial"/>
                <w:b/>
                <w:sz w:val="22"/>
                <w:szCs w:val="24"/>
              </w:rPr>
              <w:t xml:space="preserve">river category: </w:t>
            </w:r>
            <w:r w:rsidRPr="00360131">
              <w:rPr>
                <w:rFonts w:cs="Arial"/>
                <w:sz w:val="22"/>
                <w:szCs w:val="24"/>
              </w:rPr>
              <w:t>Improvement</w:t>
            </w:r>
            <w:r w:rsidR="00E27178" w:rsidRPr="00360131">
              <w:rPr>
                <w:rFonts w:cs="Arial"/>
                <w:sz w:val="22"/>
                <w:szCs w:val="24"/>
              </w:rPr>
              <w:t>/</w:t>
            </w:r>
            <w:r w:rsidRPr="00360131">
              <w:rPr>
                <w:rFonts w:cs="Arial"/>
                <w:sz w:val="22"/>
                <w:szCs w:val="24"/>
              </w:rPr>
              <w:t>Compliance</w:t>
            </w:r>
          </w:p>
        </w:tc>
      </w:tr>
      <w:tr w:rsidR="007865A3" w:rsidRPr="00157580" w14:paraId="358771A9" w14:textId="77777777" w:rsidTr="00360131">
        <w:tc>
          <w:tcPr>
            <w:tcW w:w="9356" w:type="dxa"/>
            <w:tcBorders>
              <w:top w:val="single" w:sz="2" w:space="0" w:color="002279"/>
              <w:bottom w:val="single" w:sz="2" w:space="0" w:color="002279"/>
            </w:tcBorders>
          </w:tcPr>
          <w:p w14:paraId="65EFA485" w14:textId="77777777" w:rsidR="007865A3" w:rsidRPr="00360131" w:rsidRDefault="007865A3" w:rsidP="006F49BD">
            <w:pPr>
              <w:spacing w:line="259" w:lineRule="auto"/>
              <w:rPr>
                <w:rFonts w:ascii="Arial" w:hAnsi="Arial" w:cs="Arial"/>
                <w:b/>
                <w:sz w:val="22"/>
              </w:rPr>
            </w:pPr>
            <w:r w:rsidRPr="00360131">
              <w:rPr>
                <w:rFonts w:cs="Arial"/>
                <w:b/>
                <w:sz w:val="22"/>
                <w:szCs w:val="24"/>
              </w:rPr>
              <w:t xml:space="preserve">Asset category: </w:t>
            </w:r>
            <w:r w:rsidRPr="00360131">
              <w:rPr>
                <w:rFonts w:cs="Arial"/>
                <w:sz w:val="22"/>
                <w:szCs w:val="24"/>
              </w:rPr>
              <w:t>Treatment</w:t>
            </w:r>
          </w:p>
        </w:tc>
      </w:tr>
      <w:tr w:rsidR="007B559C" w:rsidRPr="00157580" w14:paraId="04D087EF" w14:textId="77777777" w:rsidTr="00360131">
        <w:tc>
          <w:tcPr>
            <w:tcW w:w="9356" w:type="dxa"/>
            <w:tcBorders>
              <w:top w:val="single" w:sz="2" w:space="0" w:color="002279"/>
              <w:bottom w:val="single" w:sz="2" w:space="0" w:color="002279"/>
            </w:tcBorders>
          </w:tcPr>
          <w:p w14:paraId="37885924" w14:textId="14A592D0" w:rsidR="007B559C" w:rsidRPr="00360131" w:rsidRDefault="007B559C" w:rsidP="00375EBC">
            <w:pPr>
              <w:spacing w:line="259" w:lineRule="auto"/>
              <w:rPr>
                <w:rFonts w:ascii="Arial" w:hAnsi="Arial" w:cs="Arial"/>
                <w:b/>
                <w:sz w:val="22"/>
              </w:rPr>
            </w:pPr>
            <w:r w:rsidRPr="00360131">
              <w:rPr>
                <w:rFonts w:cs="Arial"/>
                <w:b/>
                <w:sz w:val="22"/>
                <w:szCs w:val="24"/>
              </w:rPr>
              <w:lastRenderedPageBreak/>
              <w:t xml:space="preserve">Description: </w:t>
            </w:r>
            <w:r w:rsidRPr="00360131">
              <w:rPr>
                <w:rStyle w:val="normaltextrun"/>
                <w:rFonts w:cs="Arial"/>
                <w:sz w:val="22"/>
                <w:szCs w:val="24"/>
                <w:shd w:val="clear" w:color="auto" w:fill="FFFFFF"/>
              </w:rPr>
              <w:t xml:space="preserve">Construction of an irrigation scheme to expand the supply of Class A recycled water supplied from the Pakenham </w:t>
            </w:r>
            <w:r w:rsidR="001876A5" w:rsidRPr="00360131">
              <w:rPr>
                <w:rStyle w:val="normaltextrun"/>
                <w:rFonts w:cs="Arial"/>
                <w:sz w:val="22"/>
                <w:szCs w:val="24"/>
                <w:shd w:val="clear" w:color="auto" w:fill="FFFFFF"/>
              </w:rPr>
              <w:t>T</w:t>
            </w:r>
            <w:r w:rsidRPr="00360131">
              <w:rPr>
                <w:rStyle w:val="normaltextrun"/>
                <w:rFonts w:cs="Arial"/>
                <w:sz w:val="22"/>
                <w:szCs w:val="24"/>
                <w:shd w:val="clear" w:color="auto" w:fill="FFFFFF"/>
              </w:rPr>
              <w:t xml:space="preserve">reatment </w:t>
            </w:r>
            <w:r w:rsidR="001876A5" w:rsidRPr="00360131">
              <w:rPr>
                <w:rStyle w:val="normaltextrun"/>
                <w:rFonts w:cs="Arial"/>
                <w:sz w:val="22"/>
                <w:szCs w:val="24"/>
                <w:shd w:val="clear" w:color="auto" w:fill="FFFFFF"/>
              </w:rPr>
              <w:t>P</w:t>
            </w:r>
            <w:r w:rsidRPr="00360131">
              <w:rPr>
                <w:rStyle w:val="normaltextrun"/>
                <w:rFonts w:cs="Arial"/>
                <w:sz w:val="22"/>
                <w:szCs w:val="24"/>
                <w:shd w:val="clear" w:color="auto" w:fill="FFFFFF"/>
              </w:rPr>
              <w:t>lant.</w:t>
            </w:r>
          </w:p>
        </w:tc>
      </w:tr>
      <w:tr w:rsidR="007B559C" w:rsidRPr="00157580" w14:paraId="222000E2" w14:textId="77777777" w:rsidTr="00360131">
        <w:tc>
          <w:tcPr>
            <w:tcW w:w="9356" w:type="dxa"/>
            <w:tcBorders>
              <w:top w:val="single" w:sz="2" w:space="0" w:color="002279"/>
              <w:bottom w:val="single" w:sz="2" w:space="0" w:color="002279"/>
            </w:tcBorders>
          </w:tcPr>
          <w:p w14:paraId="4EFB84BC" w14:textId="4725D103" w:rsidR="007B559C" w:rsidRPr="00360131" w:rsidRDefault="008D7061" w:rsidP="00375EBC">
            <w:pPr>
              <w:spacing w:line="259" w:lineRule="auto"/>
              <w:rPr>
                <w:rStyle w:val="normaltextrun"/>
                <w:rFonts w:ascii="Arial" w:hAnsi="Arial" w:cs="Arial"/>
                <w:sz w:val="22"/>
                <w:shd w:val="clear" w:color="auto" w:fill="FFFFFF"/>
              </w:rPr>
            </w:pPr>
            <w:r w:rsidRPr="00360131">
              <w:rPr>
                <w:rFonts w:cs="Arial"/>
                <w:b/>
                <w:sz w:val="22"/>
                <w:szCs w:val="24"/>
              </w:rPr>
              <w:t xml:space="preserve">Customer </w:t>
            </w:r>
            <w:r w:rsidR="00A836B1" w:rsidRPr="00360131">
              <w:rPr>
                <w:rStyle w:val="normaltextrun"/>
                <w:rFonts w:cs="Arial"/>
                <w:bCs/>
                <w:sz w:val="22"/>
                <w:szCs w:val="24"/>
                <w:shd w:val="clear" w:color="auto" w:fill="FFFFFF"/>
              </w:rPr>
              <w:t>o</w:t>
            </w:r>
            <w:r w:rsidR="007B559C" w:rsidRPr="00360131">
              <w:rPr>
                <w:rStyle w:val="normaltextrun"/>
                <w:rFonts w:cs="Arial"/>
                <w:b/>
                <w:bCs/>
                <w:sz w:val="22"/>
                <w:szCs w:val="24"/>
                <w:shd w:val="clear" w:color="auto" w:fill="FFFFFF"/>
              </w:rPr>
              <w:t>utcome</w:t>
            </w:r>
            <w:r w:rsidR="007B559C" w:rsidRPr="00360131">
              <w:rPr>
                <w:rStyle w:val="normaltextrun"/>
                <w:rFonts w:cs="Arial"/>
                <w:sz w:val="22"/>
                <w:szCs w:val="24"/>
                <w:shd w:val="clear" w:color="auto" w:fill="FFFFFF"/>
              </w:rPr>
              <w:t xml:space="preserve">: </w:t>
            </w:r>
            <w:r w:rsidR="007B559C" w:rsidRPr="00360131">
              <w:rPr>
                <w:rStyle w:val="normaltextrun"/>
                <w:rFonts w:cs="Arial"/>
                <w:i/>
                <w:sz w:val="22"/>
                <w:szCs w:val="24"/>
                <w:shd w:val="clear" w:color="auto" w:fill="FFFFFF"/>
              </w:rPr>
              <w:t>Get the basics right, always</w:t>
            </w:r>
            <w:r w:rsidR="007B559C" w:rsidRPr="00360131">
              <w:rPr>
                <w:rStyle w:val="normaltextrun"/>
                <w:rFonts w:cs="Arial"/>
                <w:sz w:val="22"/>
                <w:szCs w:val="24"/>
                <w:shd w:val="clear" w:color="auto" w:fill="FFFFFF"/>
              </w:rPr>
              <w:t xml:space="preserve">; </w:t>
            </w:r>
            <w:r w:rsidR="007B559C" w:rsidRPr="00360131">
              <w:rPr>
                <w:rStyle w:val="normaltextrun"/>
                <w:rFonts w:cs="Arial"/>
                <w:i/>
                <w:sz w:val="22"/>
                <w:szCs w:val="24"/>
                <w:shd w:val="clear" w:color="auto" w:fill="FFFFFF"/>
              </w:rPr>
              <w:t>Support my community, protect our environment</w:t>
            </w:r>
          </w:p>
        </w:tc>
      </w:tr>
      <w:tr w:rsidR="007B559C" w:rsidRPr="00157580" w14:paraId="507A0383" w14:textId="77777777" w:rsidTr="00360131">
        <w:tc>
          <w:tcPr>
            <w:tcW w:w="9356" w:type="dxa"/>
            <w:tcBorders>
              <w:top w:val="single" w:sz="2" w:space="0" w:color="002279"/>
              <w:bottom w:val="single" w:sz="2" w:space="0" w:color="002279"/>
            </w:tcBorders>
          </w:tcPr>
          <w:p w14:paraId="40CE96BF" w14:textId="77777777" w:rsidR="007B559C" w:rsidRPr="00360131" w:rsidRDefault="007B559C" w:rsidP="00375EBC">
            <w:pPr>
              <w:spacing w:line="259" w:lineRule="auto"/>
              <w:rPr>
                <w:rFonts w:ascii="Arial" w:hAnsi="Arial" w:cs="Arial"/>
                <w:sz w:val="22"/>
              </w:rPr>
            </w:pPr>
            <w:r w:rsidRPr="00360131">
              <w:rPr>
                <w:rFonts w:cs="Arial"/>
                <w:b/>
                <w:sz w:val="22"/>
                <w:szCs w:val="24"/>
              </w:rPr>
              <w:t>Current risk rating:</w:t>
            </w:r>
            <w:r w:rsidRPr="00360131">
              <w:rPr>
                <w:rFonts w:cs="Arial"/>
                <w:sz w:val="22"/>
                <w:szCs w:val="24"/>
              </w:rPr>
              <w:t xml:space="preserve"> Medium</w:t>
            </w:r>
          </w:p>
        </w:tc>
      </w:tr>
      <w:tr w:rsidR="007B559C" w:rsidRPr="00157580" w14:paraId="4C7F517B" w14:textId="77777777" w:rsidTr="00360131">
        <w:tc>
          <w:tcPr>
            <w:tcW w:w="9356" w:type="dxa"/>
            <w:tcBorders>
              <w:top w:val="single" w:sz="2" w:space="0" w:color="002279"/>
              <w:bottom w:val="single" w:sz="2" w:space="0" w:color="002279"/>
            </w:tcBorders>
          </w:tcPr>
          <w:p w14:paraId="73E5A888" w14:textId="6FA8E793" w:rsidR="007B559C" w:rsidRPr="00360131" w:rsidRDefault="007B559C" w:rsidP="00375EBC">
            <w:pPr>
              <w:spacing w:line="259" w:lineRule="auto"/>
              <w:rPr>
                <w:rFonts w:ascii="Arial" w:hAnsi="Arial" w:cs="Arial"/>
                <w:b/>
                <w:sz w:val="22"/>
              </w:rPr>
            </w:pPr>
            <w:r w:rsidRPr="00360131">
              <w:rPr>
                <w:rFonts w:cs="Arial"/>
                <w:b/>
                <w:sz w:val="22"/>
                <w:szCs w:val="24"/>
              </w:rPr>
              <w:t xml:space="preserve">Risk rating </w:t>
            </w:r>
            <w:r w:rsidR="00017665" w:rsidRPr="00360131">
              <w:rPr>
                <w:rFonts w:cs="Arial"/>
                <w:b/>
                <w:sz w:val="22"/>
                <w:szCs w:val="24"/>
              </w:rPr>
              <w:t>post-investment</w:t>
            </w:r>
            <w:r w:rsidRPr="00360131">
              <w:rPr>
                <w:rFonts w:cs="Arial"/>
                <w:b/>
                <w:sz w:val="22"/>
                <w:szCs w:val="24"/>
              </w:rPr>
              <w:t xml:space="preserve">: </w:t>
            </w:r>
            <w:r w:rsidRPr="00360131">
              <w:rPr>
                <w:rFonts w:cs="Arial"/>
                <w:sz w:val="22"/>
                <w:szCs w:val="24"/>
              </w:rPr>
              <w:t>Low</w:t>
            </w:r>
          </w:p>
        </w:tc>
      </w:tr>
      <w:tr w:rsidR="007B559C" w:rsidRPr="00157580" w14:paraId="19AC5370" w14:textId="77777777" w:rsidTr="00360131">
        <w:tc>
          <w:tcPr>
            <w:tcW w:w="9356" w:type="dxa"/>
            <w:tcBorders>
              <w:top w:val="single" w:sz="2" w:space="0" w:color="002279"/>
            </w:tcBorders>
          </w:tcPr>
          <w:p w14:paraId="4B65C110" w14:textId="7BA77542" w:rsidR="007B559C" w:rsidRPr="00360131" w:rsidRDefault="007B559C" w:rsidP="00375EBC">
            <w:pPr>
              <w:pStyle w:val="paragraph"/>
              <w:spacing w:before="60" w:beforeAutospacing="0" w:after="60" w:afterAutospacing="0" w:line="259" w:lineRule="auto"/>
              <w:textAlignment w:val="baseline"/>
              <w:rPr>
                <w:rFonts w:ascii="Arial" w:hAnsi="Arial" w:cs="Arial"/>
                <w:b/>
                <w:sz w:val="22"/>
              </w:rPr>
            </w:pPr>
            <w:r w:rsidRPr="00360131">
              <w:rPr>
                <w:rFonts w:ascii="Arial" w:hAnsi="Arial" w:cs="Arial"/>
                <w:b/>
                <w:sz w:val="22"/>
                <w:szCs w:val="24"/>
              </w:rPr>
              <w:t>Background:</w:t>
            </w:r>
            <w:r w:rsidRPr="00360131">
              <w:rPr>
                <w:rStyle w:val="eop"/>
                <w:rFonts w:ascii="Arial" w:hAnsi="Arial" w:cs="Arial"/>
                <w:b/>
                <w:sz w:val="22"/>
                <w:szCs w:val="24"/>
                <w:shd w:val="clear" w:color="auto" w:fill="FFFFFF"/>
              </w:rPr>
              <w:t> </w:t>
            </w:r>
            <w:r w:rsidRPr="00360131">
              <w:rPr>
                <w:rFonts w:ascii="Arial" w:eastAsiaTheme="majorEastAsia" w:hAnsi="Arial" w:cs="Arial"/>
                <w:sz w:val="22"/>
                <w:szCs w:val="24"/>
              </w:rPr>
              <w:t xml:space="preserve">This project </w:t>
            </w:r>
            <w:r w:rsidR="003761DE" w:rsidRPr="00360131">
              <w:rPr>
                <w:rFonts w:ascii="Arial" w:hAnsi="Arial" w:cs="Arial"/>
                <w:bCs/>
                <w:sz w:val="22"/>
                <w:szCs w:val="24"/>
              </w:rPr>
              <w:t>is part of a broader plan by South East Water</w:t>
            </w:r>
            <w:r w:rsidR="00ED00CB" w:rsidRPr="00360131">
              <w:rPr>
                <w:rFonts w:ascii="Arial" w:hAnsi="Arial" w:cs="Arial"/>
                <w:bCs/>
                <w:sz w:val="22"/>
                <w:szCs w:val="24"/>
              </w:rPr>
              <w:t>,</w:t>
            </w:r>
            <w:r w:rsidR="003761DE" w:rsidRPr="00360131">
              <w:rPr>
                <w:rFonts w:ascii="Arial" w:hAnsi="Arial" w:cs="Arial"/>
                <w:bCs/>
                <w:sz w:val="22"/>
                <w:szCs w:val="24"/>
              </w:rPr>
              <w:t xml:space="preserve"> to upgrade its wastewater treatment and resource recovery capabilities in the </w:t>
            </w:r>
            <w:r w:rsidR="00056431" w:rsidRPr="00360131">
              <w:rPr>
                <w:rFonts w:ascii="Arial" w:hAnsi="Arial" w:cs="Arial"/>
                <w:bCs/>
                <w:sz w:val="22"/>
                <w:szCs w:val="24"/>
              </w:rPr>
              <w:t>south-east</w:t>
            </w:r>
            <w:r w:rsidR="004C2ACD" w:rsidRPr="00360131">
              <w:rPr>
                <w:rFonts w:ascii="Arial" w:hAnsi="Arial" w:cs="Arial"/>
                <w:color w:val="000000"/>
                <w:sz w:val="22"/>
                <w:szCs w:val="24"/>
              </w:rPr>
              <w:t xml:space="preserve"> </w:t>
            </w:r>
            <w:r w:rsidR="007C52F0" w:rsidRPr="00360131">
              <w:rPr>
                <w:rFonts w:ascii="Arial" w:hAnsi="Arial" w:cs="Arial"/>
                <w:color w:val="000000"/>
                <w:sz w:val="22"/>
                <w:szCs w:val="24"/>
              </w:rPr>
              <w:t>r</w:t>
            </w:r>
            <w:r w:rsidR="004C2ACD" w:rsidRPr="00360131">
              <w:rPr>
                <w:rFonts w:ascii="Arial" w:hAnsi="Arial" w:cs="Arial"/>
                <w:color w:val="000000"/>
                <w:sz w:val="22"/>
                <w:szCs w:val="24"/>
              </w:rPr>
              <w:t>egion</w:t>
            </w:r>
            <w:r w:rsidR="003761DE" w:rsidRPr="00360131">
              <w:rPr>
                <w:rFonts w:ascii="Arial" w:hAnsi="Arial" w:cs="Arial"/>
                <w:bCs/>
                <w:sz w:val="22"/>
                <w:szCs w:val="24"/>
              </w:rPr>
              <w:t xml:space="preserve">. </w:t>
            </w:r>
            <w:r w:rsidR="00C455F2" w:rsidRPr="00360131">
              <w:rPr>
                <w:rFonts w:ascii="Arial" w:hAnsi="Arial" w:cs="Arial"/>
                <w:sz w:val="22"/>
                <w:szCs w:val="24"/>
              </w:rPr>
              <w:t xml:space="preserve">The project </w:t>
            </w:r>
            <w:r w:rsidRPr="00360131">
              <w:rPr>
                <w:rFonts w:ascii="Arial" w:eastAsiaTheme="majorEastAsia" w:hAnsi="Arial" w:cs="Arial"/>
                <w:sz w:val="22"/>
                <w:szCs w:val="24"/>
              </w:rPr>
              <w:t xml:space="preserve">will </w:t>
            </w:r>
            <w:r w:rsidR="000F3026" w:rsidRPr="00360131">
              <w:rPr>
                <w:rFonts w:ascii="Arial" w:hAnsi="Arial" w:cs="Arial"/>
                <w:sz w:val="22"/>
                <w:szCs w:val="24"/>
              </w:rPr>
              <w:t>deliver</w:t>
            </w:r>
            <w:r w:rsidR="00C455F2" w:rsidRPr="00360131">
              <w:rPr>
                <w:rStyle w:val="normaltextrun"/>
                <w:rFonts w:ascii="Arial" w:hAnsi="Arial" w:cs="Arial"/>
                <w:color w:val="000000"/>
                <w:sz w:val="22"/>
                <w:szCs w:val="24"/>
                <w:shd w:val="clear" w:color="auto" w:fill="FFFFFF"/>
              </w:rPr>
              <w:t xml:space="preserve"> </w:t>
            </w:r>
            <w:r w:rsidR="00FC3368" w:rsidRPr="00360131">
              <w:rPr>
                <w:rStyle w:val="normaltextrun"/>
                <w:rFonts w:ascii="Arial" w:hAnsi="Arial" w:cs="Arial"/>
                <w:color w:val="000000"/>
                <w:sz w:val="22"/>
                <w:szCs w:val="24"/>
                <w:shd w:val="clear" w:color="auto" w:fill="FFFFFF"/>
              </w:rPr>
              <w:t xml:space="preserve">an irrigation scheme that will expand the supply of </w:t>
            </w:r>
            <w:r w:rsidRPr="00360131">
              <w:rPr>
                <w:rStyle w:val="normaltextrun"/>
                <w:rFonts w:ascii="Arial" w:eastAsiaTheme="majorEastAsia" w:hAnsi="Arial" w:cs="Arial"/>
                <w:color w:val="000000"/>
                <w:sz w:val="22"/>
                <w:szCs w:val="24"/>
                <w:shd w:val="clear" w:color="auto" w:fill="FFFFFF"/>
              </w:rPr>
              <w:t>Class</w:t>
            </w:r>
            <w:r w:rsidR="00C455F2" w:rsidRPr="00360131">
              <w:rPr>
                <w:rStyle w:val="normaltextrun"/>
                <w:rFonts w:ascii="Arial" w:hAnsi="Arial" w:cs="Arial"/>
                <w:color w:val="000000"/>
                <w:sz w:val="22"/>
                <w:szCs w:val="24"/>
                <w:shd w:val="clear" w:color="auto" w:fill="FFFFFF"/>
              </w:rPr>
              <w:t xml:space="preserve"> </w:t>
            </w:r>
            <w:r w:rsidRPr="00360131">
              <w:rPr>
                <w:rStyle w:val="normaltextrun"/>
                <w:rFonts w:ascii="Arial" w:eastAsiaTheme="majorEastAsia" w:hAnsi="Arial" w:cs="Arial"/>
                <w:color w:val="000000"/>
                <w:sz w:val="22"/>
                <w:szCs w:val="24"/>
                <w:shd w:val="clear" w:color="auto" w:fill="FFFFFF"/>
              </w:rPr>
              <w:t xml:space="preserve">A recycled water for agriculture in the </w:t>
            </w:r>
            <w:r w:rsidR="00C455F2" w:rsidRPr="00360131">
              <w:rPr>
                <w:rStyle w:val="normaltextrun"/>
                <w:rFonts w:ascii="Arial" w:hAnsi="Arial" w:cs="Arial"/>
                <w:color w:val="000000"/>
                <w:sz w:val="22"/>
                <w:szCs w:val="24"/>
                <w:shd w:val="clear" w:color="auto" w:fill="FFFFFF"/>
              </w:rPr>
              <w:t>Cardinia</w:t>
            </w:r>
            <w:r w:rsidRPr="00360131">
              <w:rPr>
                <w:rStyle w:val="normaltextrun"/>
                <w:rFonts w:ascii="Arial" w:eastAsiaTheme="majorEastAsia" w:hAnsi="Arial" w:cs="Arial"/>
                <w:color w:val="000000"/>
                <w:sz w:val="22"/>
                <w:szCs w:val="24"/>
                <w:shd w:val="clear" w:color="auto" w:fill="FFFFFF"/>
              </w:rPr>
              <w:t xml:space="preserve"> region</w:t>
            </w:r>
            <w:r w:rsidR="00683D6E" w:rsidRPr="00360131">
              <w:rPr>
                <w:rStyle w:val="normaltextrun"/>
                <w:rFonts w:ascii="Arial" w:eastAsiaTheme="majorEastAsia" w:hAnsi="Arial" w:cs="Arial"/>
                <w:color w:val="000000"/>
                <w:sz w:val="22"/>
                <w:szCs w:val="24"/>
                <w:shd w:val="clear" w:color="auto" w:fill="FFFFFF"/>
              </w:rPr>
              <w:t>,</w:t>
            </w:r>
            <w:r w:rsidRPr="00360131">
              <w:rPr>
                <w:rStyle w:val="normaltextrun"/>
                <w:rFonts w:ascii="Arial" w:eastAsiaTheme="majorEastAsia" w:hAnsi="Arial" w:cs="Arial"/>
                <w:color w:val="000000"/>
                <w:sz w:val="22"/>
                <w:szCs w:val="24"/>
                <w:shd w:val="clear" w:color="auto" w:fill="FFFFFF"/>
              </w:rPr>
              <w:t xml:space="preserve"> </w:t>
            </w:r>
            <w:r w:rsidR="001E032A" w:rsidRPr="00360131">
              <w:rPr>
                <w:rStyle w:val="normaltextrun"/>
                <w:rFonts w:ascii="Arial" w:eastAsiaTheme="majorEastAsia" w:hAnsi="Arial" w:cs="Arial"/>
                <w:color w:val="000000"/>
                <w:sz w:val="22"/>
                <w:szCs w:val="24"/>
                <w:shd w:val="clear" w:color="auto" w:fill="FFFFFF"/>
              </w:rPr>
              <w:t>through</w:t>
            </w:r>
            <w:r w:rsidRPr="00360131">
              <w:rPr>
                <w:rStyle w:val="normaltextrun"/>
                <w:rFonts w:ascii="Arial" w:eastAsiaTheme="majorEastAsia" w:hAnsi="Arial" w:cs="Arial"/>
                <w:color w:val="000000"/>
                <w:sz w:val="22"/>
                <w:szCs w:val="24"/>
                <w:shd w:val="clear" w:color="auto" w:fill="FFFFFF"/>
              </w:rPr>
              <w:t xml:space="preserve"> use of spare capacity at the </w:t>
            </w:r>
            <w:r w:rsidR="00C455F2" w:rsidRPr="00360131">
              <w:rPr>
                <w:rStyle w:val="normaltextrun"/>
                <w:rFonts w:ascii="Arial" w:hAnsi="Arial" w:cs="Arial"/>
                <w:color w:val="000000"/>
                <w:sz w:val="22"/>
                <w:szCs w:val="24"/>
                <w:shd w:val="clear" w:color="auto" w:fill="FFFFFF"/>
              </w:rPr>
              <w:t xml:space="preserve">existing </w:t>
            </w:r>
            <w:r w:rsidRPr="00360131">
              <w:rPr>
                <w:rStyle w:val="normaltextrun"/>
                <w:rFonts w:ascii="Arial" w:eastAsiaTheme="majorEastAsia" w:hAnsi="Arial" w:cs="Arial"/>
                <w:color w:val="000000"/>
                <w:sz w:val="22"/>
                <w:szCs w:val="24"/>
                <w:shd w:val="clear" w:color="auto" w:fill="FFFFFF"/>
              </w:rPr>
              <w:t xml:space="preserve">Pakenham </w:t>
            </w:r>
            <w:r w:rsidR="00DD65E2">
              <w:rPr>
                <w:rStyle w:val="normaltextrun"/>
                <w:rFonts w:ascii="Arial" w:eastAsiaTheme="majorEastAsia" w:hAnsi="Arial" w:cs="Arial"/>
                <w:color w:val="000000"/>
                <w:sz w:val="22"/>
                <w:szCs w:val="24"/>
                <w:shd w:val="clear" w:color="auto" w:fill="FFFFFF"/>
              </w:rPr>
              <w:t>W</w:t>
            </w:r>
            <w:r w:rsidR="00743F34" w:rsidRPr="00360131">
              <w:rPr>
                <w:rStyle w:val="normaltextrun"/>
                <w:rFonts w:ascii="Arial" w:eastAsiaTheme="majorEastAsia" w:hAnsi="Arial" w:cs="Arial"/>
                <w:color w:val="000000"/>
                <w:sz w:val="22"/>
                <w:szCs w:val="24"/>
                <w:shd w:val="clear" w:color="auto" w:fill="FFFFFF"/>
              </w:rPr>
              <w:t xml:space="preserve">ater </w:t>
            </w:r>
            <w:r w:rsidR="00DD65E2">
              <w:rPr>
                <w:rStyle w:val="normaltextrun"/>
                <w:rFonts w:ascii="Arial" w:eastAsiaTheme="majorEastAsia" w:hAnsi="Arial" w:cs="Arial"/>
                <w:color w:val="000000"/>
                <w:sz w:val="22"/>
                <w:szCs w:val="24"/>
                <w:shd w:val="clear" w:color="auto" w:fill="FFFFFF"/>
              </w:rPr>
              <w:t>R</w:t>
            </w:r>
            <w:r w:rsidR="00743F34" w:rsidRPr="00360131">
              <w:rPr>
                <w:rStyle w:val="normaltextrun"/>
                <w:rFonts w:ascii="Arial" w:eastAsiaTheme="majorEastAsia" w:hAnsi="Arial" w:cs="Arial"/>
                <w:color w:val="000000"/>
                <w:sz w:val="22"/>
                <w:szCs w:val="24"/>
                <w:shd w:val="clear" w:color="auto" w:fill="FFFFFF"/>
              </w:rPr>
              <w:t xml:space="preserve">ecycling </w:t>
            </w:r>
            <w:r w:rsidR="00DD65E2">
              <w:rPr>
                <w:rStyle w:val="normaltextrun"/>
                <w:rFonts w:ascii="Arial" w:eastAsiaTheme="majorEastAsia" w:hAnsi="Arial" w:cs="Arial"/>
                <w:color w:val="000000"/>
                <w:sz w:val="22"/>
                <w:szCs w:val="24"/>
                <w:shd w:val="clear" w:color="auto" w:fill="FFFFFF"/>
              </w:rPr>
              <w:t>P</w:t>
            </w:r>
            <w:r w:rsidR="00743F34" w:rsidRPr="00360131">
              <w:rPr>
                <w:rStyle w:val="normaltextrun"/>
                <w:rFonts w:ascii="Arial" w:eastAsiaTheme="majorEastAsia" w:hAnsi="Arial" w:cs="Arial"/>
                <w:color w:val="000000"/>
                <w:sz w:val="22"/>
                <w:szCs w:val="24"/>
                <w:shd w:val="clear" w:color="auto" w:fill="FFFFFF"/>
              </w:rPr>
              <w:t>lant</w:t>
            </w:r>
            <w:r w:rsidR="004B7617" w:rsidRPr="00360131">
              <w:rPr>
                <w:rStyle w:val="normaltextrun"/>
                <w:rFonts w:ascii="Arial" w:eastAsiaTheme="majorEastAsia" w:hAnsi="Arial" w:cs="Arial"/>
                <w:color w:val="000000"/>
                <w:sz w:val="22"/>
                <w:szCs w:val="24"/>
                <w:shd w:val="clear" w:color="auto" w:fill="FFFFFF"/>
              </w:rPr>
              <w:t xml:space="preserve"> and future South East </w:t>
            </w:r>
            <w:r w:rsidR="00412A22" w:rsidRPr="00360131">
              <w:rPr>
                <w:rStyle w:val="normaltextrun"/>
                <w:rFonts w:ascii="Arial" w:eastAsiaTheme="majorEastAsia" w:hAnsi="Arial" w:cs="Arial"/>
                <w:color w:val="000000"/>
                <w:sz w:val="22"/>
                <w:szCs w:val="24"/>
                <w:shd w:val="clear" w:color="auto" w:fill="FFFFFF"/>
              </w:rPr>
              <w:t xml:space="preserve">Water </w:t>
            </w:r>
            <w:r w:rsidR="00DD65E2">
              <w:rPr>
                <w:rStyle w:val="normaltextrun"/>
                <w:rFonts w:ascii="Arial" w:eastAsiaTheme="majorEastAsia" w:hAnsi="Arial" w:cs="Arial"/>
                <w:color w:val="000000"/>
                <w:sz w:val="22"/>
                <w:szCs w:val="24"/>
                <w:shd w:val="clear" w:color="auto" w:fill="FFFFFF"/>
              </w:rPr>
              <w:t>R</w:t>
            </w:r>
            <w:r w:rsidR="004B7617" w:rsidRPr="00360131">
              <w:rPr>
                <w:rStyle w:val="normaltextrun"/>
                <w:rFonts w:ascii="Arial" w:eastAsiaTheme="majorEastAsia" w:hAnsi="Arial" w:cs="Arial"/>
                <w:color w:val="000000"/>
                <w:sz w:val="22"/>
                <w:szCs w:val="24"/>
                <w:shd w:val="clear" w:color="auto" w:fill="FFFFFF"/>
              </w:rPr>
              <w:t xml:space="preserve">egional </w:t>
            </w:r>
            <w:r w:rsidR="00DD65E2">
              <w:rPr>
                <w:rStyle w:val="normaltextrun"/>
                <w:rFonts w:ascii="Arial" w:hAnsi="Arial" w:cs="Arial"/>
                <w:color w:val="000000"/>
                <w:sz w:val="22"/>
                <w:szCs w:val="24"/>
                <w:shd w:val="clear" w:color="auto" w:fill="FFFFFF"/>
              </w:rPr>
              <w:t>B</w:t>
            </w:r>
            <w:r w:rsidR="00E56C1D" w:rsidRPr="00360131">
              <w:rPr>
                <w:rStyle w:val="normaltextrun"/>
                <w:rFonts w:ascii="Arial" w:hAnsi="Arial" w:cs="Arial"/>
                <w:color w:val="000000"/>
                <w:sz w:val="22"/>
                <w:szCs w:val="24"/>
                <w:shd w:val="clear" w:color="auto" w:fill="FFFFFF"/>
              </w:rPr>
              <w:t>iofactory</w:t>
            </w:r>
            <w:r w:rsidR="00C455F2" w:rsidRPr="00360131">
              <w:rPr>
                <w:rStyle w:val="normaltextrun"/>
                <w:rFonts w:ascii="Arial" w:hAnsi="Arial" w:cs="Arial"/>
                <w:color w:val="000000"/>
                <w:sz w:val="22"/>
                <w:szCs w:val="24"/>
                <w:shd w:val="clear" w:color="auto" w:fill="FFFFFF"/>
              </w:rPr>
              <w:t>.</w:t>
            </w:r>
            <w:r w:rsidRPr="00360131">
              <w:rPr>
                <w:rStyle w:val="normaltextrun"/>
                <w:rFonts w:ascii="Arial" w:eastAsiaTheme="majorEastAsia" w:hAnsi="Arial" w:cs="Arial"/>
                <w:color w:val="000000"/>
                <w:sz w:val="22"/>
                <w:szCs w:val="24"/>
                <w:shd w:val="clear" w:color="auto" w:fill="FFFFFF"/>
              </w:rPr>
              <w:t xml:space="preserve"> The scheme is planned </w:t>
            </w:r>
            <w:r w:rsidR="00E975FC" w:rsidRPr="00360131">
              <w:rPr>
                <w:rStyle w:val="normaltextrun"/>
                <w:rFonts w:ascii="Arial" w:hAnsi="Arial" w:cs="Arial"/>
                <w:color w:val="000000"/>
                <w:sz w:val="22"/>
                <w:szCs w:val="24"/>
                <w:shd w:val="clear" w:color="auto" w:fill="FFFFFF"/>
              </w:rPr>
              <w:t xml:space="preserve">to be delivered </w:t>
            </w:r>
            <w:r w:rsidR="00C455F2" w:rsidRPr="00360131">
              <w:rPr>
                <w:rStyle w:val="normaltextrun"/>
                <w:rFonts w:ascii="Arial" w:hAnsi="Arial" w:cs="Arial"/>
                <w:color w:val="000000"/>
                <w:sz w:val="22"/>
                <w:szCs w:val="24"/>
                <w:shd w:val="clear" w:color="auto" w:fill="FFFFFF"/>
              </w:rPr>
              <w:t>in 3 stages</w:t>
            </w:r>
            <w:r w:rsidR="00E975FC" w:rsidRPr="00360131">
              <w:rPr>
                <w:rStyle w:val="normaltextrun"/>
                <w:rFonts w:ascii="Arial" w:hAnsi="Arial" w:cs="Arial"/>
                <w:color w:val="000000"/>
                <w:sz w:val="22"/>
                <w:szCs w:val="24"/>
                <w:shd w:val="clear" w:color="auto" w:fill="FFFFFF"/>
              </w:rPr>
              <w:t>,</w:t>
            </w:r>
            <w:r w:rsidR="00C455F2" w:rsidRPr="00360131">
              <w:rPr>
                <w:rStyle w:val="normaltextrun"/>
                <w:rFonts w:ascii="Arial" w:hAnsi="Arial" w:cs="Arial"/>
                <w:color w:val="000000"/>
                <w:sz w:val="22"/>
                <w:szCs w:val="24"/>
                <w:shd w:val="clear" w:color="auto" w:fill="FFFFFF"/>
              </w:rPr>
              <w:t xml:space="preserve"> with </w:t>
            </w:r>
            <w:r w:rsidR="00E975FC" w:rsidRPr="00360131">
              <w:rPr>
                <w:rStyle w:val="normaltextrun"/>
                <w:rFonts w:ascii="Arial" w:hAnsi="Arial" w:cs="Arial"/>
                <w:color w:val="000000"/>
                <w:sz w:val="22"/>
                <w:szCs w:val="24"/>
                <w:shd w:val="clear" w:color="auto" w:fill="FFFFFF"/>
              </w:rPr>
              <w:t>the recycled water</w:t>
            </w:r>
            <w:r w:rsidR="00C455F2" w:rsidRPr="00360131">
              <w:rPr>
                <w:rStyle w:val="normaltextrun"/>
                <w:rFonts w:ascii="Arial" w:hAnsi="Arial" w:cs="Arial"/>
                <w:color w:val="000000"/>
                <w:sz w:val="22"/>
                <w:szCs w:val="24"/>
                <w:shd w:val="clear" w:color="auto" w:fill="FFFFFF"/>
              </w:rPr>
              <w:t xml:space="preserve"> supply to </w:t>
            </w:r>
            <w:r w:rsidR="00E975FC" w:rsidRPr="00360131">
              <w:rPr>
                <w:rStyle w:val="normaltextrun"/>
                <w:rFonts w:ascii="Arial" w:hAnsi="Arial" w:cs="Arial"/>
                <w:color w:val="000000"/>
                <w:sz w:val="22"/>
                <w:szCs w:val="24"/>
                <w:shd w:val="clear" w:color="auto" w:fill="FFFFFF"/>
              </w:rPr>
              <w:t>be provided</w:t>
            </w:r>
            <w:r w:rsidR="00C455F2" w:rsidRPr="00360131">
              <w:rPr>
                <w:rStyle w:val="normaltextrun"/>
                <w:rFonts w:ascii="Arial" w:hAnsi="Arial" w:cs="Arial"/>
                <w:color w:val="000000"/>
                <w:sz w:val="22"/>
                <w:szCs w:val="24"/>
                <w:shd w:val="clear" w:color="auto" w:fill="FFFFFF"/>
              </w:rPr>
              <w:t xml:space="preserve"> initially from a new pipe network</w:t>
            </w:r>
            <w:r w:rsidR="00240854" w:rsidRPr="00360131">
              <w:rPr>
                <w:rStyle w:val="normaltextrun"/>
                <w:rFonts w:ascii="Arial" w:hAnsi="Arial" w:cs="Arial"/>
                <w:color w:val="000000"/>
                <w:sz w:val="22"/>
                <w:szCs w:val="24"/>
                <w:shd w:val="clear" w:color="auto" w:fill="FFFFFF"/>
              </w:rPr>
              <w:t>,</w:t>
            </w:r>
            <w:r w:rsidR="00C455F2" w:rsidRPr="00360131">
              <w:rPr>
                <w:rStyle w:val="normaltextrun"/>
                <w:rFonts w:ascii="Arial" w:hAnsi="Arial" w:cs="Arial"/>
                <w:color w:val="000000"/>
                <w:sz w:val="22"/>
                <w:szCs w:val="24"/>
                <w:shd w:val="clear" w:color="auto" w:fill="FFFFFF"/>
              </w:rPr>
              <w:t xml:space="preserve"> to be constructed in </w:t>
            </w:r>
            <w:r w:rsidR="00E975FC" w:rsidRPr="00360131">
              <w:rPr>
                <w:rStyle w:val="normaltextrun"/>
                <w:rFonts w:ascii="Arial" w:hAnsi="Arial" w:cs="Arial"/>
                <w:color w:val="000000"/>
                <w:sz w:val="22"/>
                <w:szCs w:val="24"/>
                <w:shd w:val="clear" w:color="auto" w:fill="FFFFFF"/>
              </w:rPr>
              <w:t>2023</w:t>
            </w:r>
            <w:r w:rsidR="007D4EB3" w:rsidRPr="00360131">
              <w:rPr>
                <w:rStyle w:val="normaltextrun"/>
                <w:rFonts w:ascii="Arial" w:hAnsi="Arial" w:cs="Arial"/>
                <w:color w:val="000000"/>
                <w:sz w:val="22"/>
                <w:szCs w:val="24"/>
                <w:shd w:val="clear" w:color="auto" w:fill="FFFFFF"/>
              </w:rPr>
              <w:t>–</w:t>
            </w:r>
            <w:r w:rsidR="00E975FC" w:rsidRPr="00360131">
              <w:rPr>
                <w:rStyle w:val="normaltextrun"/>
                <w:rFonts w:ascii="Arial" w:hAnsi="Arial" w:cs="Arial"/>
                <w:color w:val="000000"/>
                <w:sz w:val="22"/>
                <w:szCs w:val="24"/>
                <w:shd w:val="clear" w:color="auto" w:fill="FFFFFF"/>
              </w:rPr>
              <w:t>28</w:t>
            </w:r>
            <w:r w:rsidR="00C455F2" w:rsidRPr="00360131">
              <w:rPr>
                <w:rStyle w:val="normaltextrun"/>
                <w:rFonts w:ascii="Arial" w:hAnsi="Arial" w:cs="Arial"/>
                <w:color w:val="000000"/>
                <w:sz w:val="22"/>
                <w:szCs w:val="24"/>
                <w:shd w:val="clear" w:color="auto" w:fill="FFFFFF"/>
              </w:rPr>
              <w:t xml:space="preserve"> and </w:t>
            </w:r>
            <w:r w:rsidR="00E975FC" w:rsidRPr="00360131">
              <w:rPr>
                <w:rStyle w:val="normaltextrun"/>
                <w:rFonts w:ascii="Arial" w:hAnsi="Arial" w:cs="Arial"/>
                <w:color w:val="000000"/>
                <w:sz w:val="22"/>
                <w:szCs w:val="24"/>
                <w:shd w:val="clear" w:color="auto" w:fill="FFFFFF"/>
              </w:rPr>
              <w:t>2028</w:t>
            </w:r>
            <w:r w:rsidR="007D4EB3" w:rsidRPr="00360131">
              <w:rPr>
                <w:rStyle w:val="normaltextrun"/>
                <w:rFonts w:ascii="Arial" w:hAnsi="Arial" w:cs="Arial"/>
                <w:color w:val="000000"/>
                <w:sz w:val="22"/>
                <w:szCs w:val="24"/>
                <w:shd w:val="clear" w:color="auto" w:fill="FFFFFF"/>
              </w:rPr>
              <w:t>–</w:t>
            </w:r>
            <w:r w:rsidR="00E975FC" w:rsidRPr="00360131">
              <w:rPr>
                <w:rStyle w:val="normaltextrun"/>
                <w:rFonts w:ascii="Arial" w:hAnsi="Arial" w:cs="Arial"/>
                <w:color w:val="000000"/>
                <w:sz w:val="22"/>
                <w:szCs w:val="24"/>
                <w:shd w:val="clear" w:color="auto" w:fill="FFFFFF"/>
              </w:rPr>
              <w:t>33</w:t>
            </w:r>
            <w:r w:rsidR="00C455F2" w:rsidRPr="00360131">
              <w:rPr>
                <w:rStyle w:val="normaltextrun"/>
                <w:rFonts w:ascii="Arial" w:hAnsi="Arial" w:cs="Arial"/>
                <w:color w:val="000000"/>
                <w:sz w:val="22"/>
                <w:szCs w:val="24"/>
                <w:shd w:val="clear" w:color="auto" w:fill="FFFFFF"/>
              </w:rPr>
              <w:t>. </w:t>
            </w:r>
            <w:r w:rsidR="00C455F2" w:rsidRPr="00360131">
              <w:rPr>
                <w:rStyle w:val="eop"/>
                <w:rFonts w:ascii="Arial" w:hAnsi="Arial" w:cs="Arial"/>
                <w:color w:val="000000"/>
                <w:sz w:val="22"/>
                <w:szCs w:val="24"/>
                <w:shd w:val="clear" w:color="auto" w:fill="FFFFFF"/>
              </w:rPr>
              <w:t> </w:t>
            </w:r>
          </w:p>
        </w:tc>
      </w:tr>
    </w:tbl>
    <w:p w14:paraId="0309B440" w14:textId="2B703223" w:rsidR="007B559C" w:rsidRPr="00360131" w:rsidRDefault="007B559C" w:rsidP="007B559C">
      <w:pPr>
        <w:rPr>
          <w:rFonts w:cs="Arial"/>
          <w:sz w:val="22"/>
          <w:szCs w:val="22"/>
        </w:rPr>
      </w:pPr>
    </w:p>
    <w:tbl>
      <w:tblPr>
        <w:tblStyle w:val="MJTableStyle1default"/>
        <w:tblW w:w="9361" w:type="dxa"/>
        <w:tblInd w:w="-5" w:type="dxa"/>
        <w:tblLook w:val="06A0" w:firstRow="1" w:lastRow="0" w:firstColumn="1" w:lastColumn="0" w:noHBand="1" w:noVBand="1"/>
      </w:tblPr>
      <w:tblGrid>
        <w:gridCol w:w="9361"/>
      </w:tblGrid>
      <w:tr w:rsidR="00E2049D" w:rsidRPr="00157580" w14:paraId="1AE7F9ED" w14:textId="77777777" w:rsidTr="00360131">
        <w:trPr>
          <w:cnfStyle w:val="100000000000" w:firstRow="1" w:lastRow="0" w:firstColumn="0" w:lastColumn="0" w:oddVBand="0" w:evenVBand="0" w:oddHBand="0" w:evenHBand="0" w:firstRowFirstColumn="0" w:firstRowLastColumn="0" w:lastRowFirstColumn="0" w:lastRowLastColumn="0"/>
          <w:trHeight w:val="421"/>
          <w:tblHeader/>
        </w:trPr>
        <w:tc>
          <w:tcPr>
            <w:tcW w:w="9361" w:type="dxa"/>
            <w:tcBorders>
              <w:top w:val="single" w:sz="2" w:space="0" w:color="002279"/>
              <w:bottom w:val="single" w:sz="2" w:space="0" w:color="002279"/>
            </w:tcBorders>
            <w:shd w:val="clear" w:color="auto" w:fill="002379" w:themeFill="text2"/>
            <w:vAlign w:val="center"/>
          </w:tcPr>
          <w:p w14:paraId="2654B672" w14:textId="624A6C98" w:rsidR="007B559C" w:rsidRPr="00360131" w:rsidRDefault="007B559C" w:rsidP="00A24D2C">
            <w:pPr>
              <w:spacing w:before="60" w:after="60" w:line="259" w:lineRule="auto"/>
              <w:rPr>
                <w:rFonts w:ascii="Arial" w:hAnsi="Arial" w:cs="Arial"/>
                <w:b/>
                <w:sz w:val="22"/>
                <w:szCs w:val="22"/>
              </w:rPr>
            </w:pPr>
            <w:r w:rsidRPr="00360131">
              <w:rPr>
                <w:rFonts w:ascii="Arial" w:hAnsi="Arial" w:cs="Arial"/>
                <w:b/>
                <w:sz w:val="22"/>
                <w:szCs w:val="22"/>
              </w:rPr>
              <w:t>PROJECT 6: Longwarry Water Recycling Plant</w:t>
            </w:r>
            <w:r w:rsidR="002546C6">
              <w:rPr>
                <w:rFonts w:ascii="Arial" w:hAnsi="Arial" w:cs="Arial"/>
                <w:b/>
                <w:sz w:val="22"/>
                <w:szCs w:val="22"/>
              </w:rPr>
              <w:t xml:space="preserve"> </w:t>
            </w:r>
            <w:r w:rsidRPr="00360131">
              <w:rPr>
                <w:rFonts w:ascii="Arial" w:hAnsi="Arial" w:cs="Arial"/>
                <w:b/>
                <w:sz w:val="22"/>
                <w:szCs w:val="22"/>
              </w:rPr>
              <w:t xml:space="preserve">Upgrade </w:t>
            </w:r>
          </w:p>
        </w:tc>
      </w:tr>
      <w:tr w:rsidR="00553D42" w:rsidRPr="00157580" w14:paraId="50CAB26A" w14:textId="77777777" w:rsidTr="00360131">
        <w:tc>
          <w:tcPr>
            <w:tcW w:w="9361" w:type="dxa"/>
            <w:tcBorders>
              <w:top w:val="single" w:sz="2" w:space="0" w:color="002279"/>
              <w:bottom w:val="single" w:sz="2" w:space="0" w:color="002279"/>
            </w:tcBorders>
          </w:tcPr>
          <w:p w14:paraId="506BC0A7" w14:textId="6530C3D8" w:rsidR="007B559C" w:rsidRPr="00360131" w:rsidRDefault="007B559C" w:rsidP="00375EBC">
            <w:pPr>
              <w:rPr>
                <w:rFonts w:ascii="Arial" w:hAnsi="Arial" w:cs="Arial"/>
                <w:b/>
                <w:sz w:val="22"/>
              </w:rPr>
            </w:pPr>
            <w:r w:rsidRPr="00360131">
              <w:rPr>
                <w:rFonts w:cs="Arial"/>
                <w:b/>
                <w:sz w:val="22"/>
                <w:szCs w:val="24"/>
              </w:rPr>
              <w:t>Investment portfolio</w:t>
            </w:r>
            <w:r w:rsidRPr="00360131">
              <w:rPr>
                <w:rFonts w:cs="Arial"/>
                <w:sz w:val="22"/>
                <w:szCs w:val="24"/>
              </w:rPr>
              <w:t xml:space="preserve">: Treatment </w:t>
            </w:r>
            <w:r w:rsidR="00FF0EDC" w:rsidRPr="00360131">
              <w:rPr>
                <w:rFonts w:cs="Arial"/>
                <w:sz w:val="22"/>
                <w:szCs w:val="24"/>
              </w:rPr>
              <w:t>g</w:t>
            </w:r>
            <w:r w:rsidRPr="00360131">
              <w:rPr>
                <w:rFonts w:cs="Arial"/>
                <w:sz w:val="22"/>
                <w:szCs w:val="24"/>
              </w:rPr>
              <w:t>rowth</w:t>
            </w:r>
          </w:p>
        </w:tc>
      </w:tr>
      <w:tr w:rsidR="00553D42" w:rsidRPr="00157580" w14:paraId="1C2768D1" w14:textId="77777777" w:rsidTr="00360131">
        <w:tc>
          <w:tcPr>
            <w:tcW w:w="9361" w:type="dxa"/>
            <w:tcBorders>
              <w:top w:val="single" w:sz="2" w:space="0" w:color="002279"/>
              <w:bottom w:val="single" w:sz="2" w:space="0" w:color="002279"/>
            </w:tcBorders>
          </w:tcPr>
          <w:p w14:paraId="0B2B6DFE" w14:textId="6F354769" w:rsidR="007B559C" w:rsidRPr="00360131" w:rsidRDefault="007B559C" w:rsidP="00375EBC">
            <w:pPr>
              <w:rPr>
                <w:rFonts w:ascii="Arial" w:hAnsi="Arial" w:cs="Arial"/>
                <w:b/>
                <w:sz w:val="22"/>
              </w:rPr>
            </w:pPr>
            <w:r w:rsidRPr="00360131">
              <w:rPr>
                <w:rFonts w:cs="Arial"/>
                <w:b/>
                <w:sz w:val="22"/>
                <w:szCs w:val="24"/>
              </w:rPr>
              <w:t xml:space="preserve">Total cost: </w:t>
            </w:r>
            <w:r w:rsidRPr="00360131">
              <w:rPr>
                <w:rFonts w:cs="Arial"/>
                <w:sz w:val="22"/>
                <w:szCs w:val="24"/>
              </w:rPr>
              <w:t>$48.2</w:t>
            </w:r>
            <w:r w:rsidR="00F71BE2">
              <w:rPr>
                <w:rFonts w:cs="Arial"/>
                <w:sz w:val="22"/>
                <w:szCs w:val="24"/>
              </w:rPr>
              <w:t>4</w:t>
            </w:r>
            <w:r w:rsidRPr="00360131">
              <w:rPr>
                <w:rFonts w:cs="Arial"/>
                <w:sz w:val="22"/>
                <w:szCs w:val="24"/>
              </w:rPr>
              <w:t>m</w:t>
            </w:r>
          </w:p>
        </w:tc>
      </w:tr>
      <w:tr w:rsidR="00553D42" w:rsidRPr="00157580" w14:paraId="4DBEB805" w14:textId="77777777" w:rsidTr="00360131">
        <w:tc>
          <w:tcPr>
            <w:tcW w:w="9361" w:type="dxa"/>
            <w:tcBorders>
              <w:top w:val="single" w:sz="2" w:space="0" w:color="002279"/>
              <w:bottom w:val="single" w:sz="2" w:space="0" w:color="002279"/>
            </w:tcBorders>
          </w:tcPr>
          <w:p w14:paraId="2EECCE9A" w14:textId="6A016A6C" w:rsidR="007B559C" w:rsidRPr="00360131" w:rsidRDefault="007B559C" w:rsidP="00375EBC">
            <w:pPr>
              <w:spacing w:line="259" w:lineRule="auto"/>
              <w:rPr>
                <w:rFonts w:ascii="Arial" w:hAnsi="Arial" w:cs="Arial"/>
                <w:b/>
                <w:sz w:val="22"/>
              </w:rPr>
            </w:pPr>
            <w:r w:rsidRPr="00360131">
              <w:rPr>
                <w:rFonts w:cs="Arial"/>
                <w:b/>
                <w:sz w:val="22"/>
                <w:szCs w:val="24"/>
              </w:rPr>
              <w:t>2023</w:t>
            </w:r>
            <w:r w:rsidR="007D4EB3" w:rsidRPr="00360131">
              <w:rPr>
                <w:rFonts w:cs="Arial"/>
                <w:b/>
                <w:sz w:val="22"/>
                <w:szCs w:val="24"/>
              </w:rPr>
              <w:t>–</w:t>
            </w:r>
            <w:r w:rsidRPr="00360131">
              <w:rPr>
                <w:rFonts w:cs="Arial"/>
                <w:b/>
                <w:sz w:val="22"/>
                <w:szCs w:val="24"/>
              </w:rPr>
              <w:t xml:space="preserve">28 cost and timing: </w:t>
            </w:r>
            <w:r w:rsidRPr="00360131">
              <w:rPr>
                <w:rFonts w:cs="Arial"/>
                <w:sz w:val="22"/>
                <w:szCs w:val="24"/>
              </w:rPr>
              <w:t>$48.2</w:t>
            </w:r>
            <w:r w:rsidR="00F71BE2">
              <w:rPr>
                <w:rFonts w:cs="Arial"/>
                <w:sz w:val="22"/>
                <w:szCs w:val="24"/>
              </w:rPr>
              <w:t>4</w:t>
            </w:r>
            <w:r w:rsidRPr="00360131">
              <w:rPr>
                <w:rFonts w:cs="Arial"/>
                <w:sz w:val="22"/>
                <w:szCs w:val="24"/>
              </w:rPr>
              <w:t>m (2023</w:t>
            </w:r>
            <w:r w:rsidR="007D4EB3" w:rsidRPr="00360131">
              <w:rPr>
                <w:rFonts w:cs="Arial"/>
                <w:sz w:val="22"/>
                <w:szCs w:val="24"/>
              </w:rPr>
              <w:t>–</w:t>
            </w:r>
            <w:r w:rsidR="00B603E5" w:rsidRPr="00360131">
              <w:rPr>
                <w:rFonts w:cs="Arial"/>
                <w:sz w:val="22"/>
                <w:szCs w:val="24"/>
              </w:rPr>
              <w:t>28</w:t>
            </w:r>
            <w:r w:rsidRPr="00360131">
              <w:rPr>
                <w:rFonts w:cs="Arial"/>
                <w:sz w:val="22"/>
                <w:szCs w:val="24"/>
              </w:rPr>
              <w:t>)</w:t>
            </w:r>
          </w:p>
        </w:tc>
      </w:tr>
      <w:tr w:rsidR="00553D42" w:rsidRPr="00157580" w14:paraId="15EFB9DC" w14:textId="77777777" w:rsidTr="00360131">
        <w:tc>
          <w:tcPr>
            <w:tcW w:w="9361" w:type="dxa"/>
            <w:tcBorders>
              <w:top w:val="single" w:sz="2" w:space="0" w:color="002279"/>
              <w:bottom w:val="single" w:sz="2" w:space="0" w:color="002279"/>
            </w:tcBorders>
          </w:tcPr>
          <w:p w14:paraId="28A67BFF" w14:textId="77777777" w:rsidR="007B559C" w:rsidRPr="00360131" w:rsidRDefault="007B559C" w:rsidP="00375EBC">
            <w:pPr>
              <w:spacing w:line="259" w:lineRule="auto"/>
              <w:rPr>
                <w:rFonts w:ascii="Arial" w:hAnsi="Arial" w:cs="Arial"/>
                <w:b/>
                <w:sz w:val="22"/>
              </w:rPr>
            </w:pPr>
            <w:r w:rsidRPr="00360131">
              <w:rPr>
                <w:rFonts w:cs="Arial"/>
                <w:b/>
                <w:sz w:val="22"/>
                <w:szCs w:val="24"/>
              </w:rPr>
              <w:t xml:space="preserve">Service category: </w:t>
            </w:r>
            <w:r w:rsidRPr="00360131">
              <w:rPr>
                <w:rFonts w:cs="Arial"/>
                <w:sz w:val="22"/>
                <w:szCs w:val="24"/>
              </w:rPr>
              <w:t>Sewerage</w:t>
            </w:r>
          </w:p>
        </w:tc>
      </w:tr>
      <w:tr w:rsidR="00553D42" w:rsidRPr="00157580" w14:paraId="2A3A9EB4" w14:textId="77777777" w:rsidTr="00360131">
        <w:tc>
          <w:tcPr>
            <w:tcW w:w="9361" w:type="dxa"/>
            <w:tcBorders>
              <w:top w:val="single" w:sz="2" w:space="0" w:color="002279"/>
              <w:bottom w:val="single" w:sz="2" w:space="0" w:color="002279"/>
            </w:tcBorders>
          </w:tcPr>
          <w:p w14:paraId="23A5C9C7" w14:textId="2AB935AF" w:rsidR="007B559C" w:rsidRPr="00360131" w:rsidRDefault="007B559C" w:rsidP="00375EBC">
            <w:pPr>
              <w:spacing w:line="259" w:lineRule="auto"/>
              <w:rPr>
                <w:rFonts w:ascii="Arial" w:hAnsi="Arial" w:cs="Arial"/>
                <w:b/>
                <w:sz w:val="22"/>
              </w:rPr>
            </w:pPr>
            <w:r w:rsidRPr="00360131">
              <w:rPr>
                <w:rFonts w:cs="Arial"/>
                <w:b/>
                <w:sz w:val="22"/>
                <w:szCs w:val="24"/>
              </w:rPr>
              <w:t xml:space="preserve">Cost </w:t>
            </w:r>
            <w:r w:rsidR="00D436D7" w:rsidRPr="00360131">
              <w:rPr>
                <w:rFonts w:cs="Arial"/>
                <w:b/>
                <w:sz w:val="22"/>
                <w:szCs w:val="24"/>
              </w:rPr>
              <w:t>d</w:t>
            </w:r>
            <w:r w:rsidRPr="00360131">
              <w:rPr>
                <w:rFonts w:cs="Arial"/>
                <w:b/>
                <w:sz w:val="22"/>
                <w:szCs w:val="24"/>
              </w:rPr>
              <w:t xml:space="preserve">river category: </w:t>
            </w:r>
            <w:r w:rsidRPr="00360131">
              <w:rPr>
                <w:rFonts w:cs="Arial"/>
                <w:sz w:val="22"/>
                <w:szCs w:val="24"/>
              </w:rPr>
              <w:t>Growth</w:t>
            </w:r>
          </w:p>
        </w:tc>
      </w:tr>
      <w:tr w:rsidR="00553D42" w:rsidRPr="00157580" w14:paraId="03E9BDE3" w14:textId="77777777" w:rsidTr="00360131">
        <w:tc>
          <w:tcPr>
            <w:tcW w:w="9361" w:type="dxa"/>
            <w:tcBorders>
              <w:top w:val="single" w:sz="2" w:space="0" w:color="002279"/>
              <w:bottom w:val="single" w:sz="2" w:space="0" w:color="002279"/>
            </w:tcBorders>
          </w:tcPr>
          <w:p w14:paraId="3BD560A7" w14:textId="77777777" w:rsidR="007865A3" w:rsidRPr="00360131" w:rsidRDefault="007865A3" w:rsidP="00116E55">
            <w:pPr>
              <w:spacing w:line="259" w:lineRule="auto"/>
              <w:ind w:left="1440" w:hanging="1440"/>
              <w:rPr>
                <w:rFonts w:ascii="Arial" w:hAnsi="Arial" w:cs="Arial"/>
                <w:b/>
                <w:sz w:val="22"/>
              </w:rPr>
            </w:pPr>
            <w:r w:rsidRPr="00360131">
              <w:rPr>
                <w:rFonts w:cs="Arial"/>
                <w:b/>
                <w:sz w:val="22"/>
                <w:szCs w:val="24"/>
              </w:rPr>
              <w:t xml:space="preserve">Asset category: </w:t>
            </w:r>
            <w:r w:rsidRPr="00360131">
              <w:rPr>
                <w:rFonts w:cs="Arial"/>
                <w:sz w:val="22"/>
                <w:szCs w:val="24"/>
              </w:rPr>
              <w:t>Treatment</w:t>
            </w:r>
          </w:p>
        </w:tc>
      </w:tr>
      <w:tr w:rsidR="00553D42" w:rsidRPr="00157580" w14:paraId="2D63F978" w14:textId="77777777" w:rsidTr="00360131">
        <w:tc>
          <w:tcPr>
            <w:tcW w:w="9361" w:type="dxa"/>
            <w:tcBorders>
              <w:top w:val="single" w:sz="2" w:space="0" w:color="002279"/>
              <w:bottom w:val="single" w:sz="2" w:space="0" w:color="002279"/>
            </w:tcBorders>
          </w:tcPr>
          <w:p w14:paraId="25E716D7" w14:textId="137FEB45" w:rsidR="007B559C" w:rsidRPr="00360131" w:rsidRDefault="007B559C" w:rsidP="00375EBC">
            <w:pPr>
              <w:spacing w:line="259" w:lineRule="auto"/>
              <w:rPr>
                <w:rFonts w:ascii="Arial" w:hAnsi="Arial" w:cs="Arial"/>
                <w:b/>
                <w:sz w:val="22"/>
              </w:rPr>
            </w:pPr>
            <w:r w:rsidRPr="00360131">
              <w:rPr>
                <w:rFonts w:cs="Arial"/>
                <w:b/>
                <w:sz w:val="22"/>
                <w:szCs w:val="24"/>
              </w:rPr>
              <w:t xml:space="preserve">Description: </w:t>
            </w:r>
            <w:r w:rsidR="009F1440" w:rsidRPr="00360131">
              <w:rPr>
                <w:rStyle w:val="normaltextrun"/>
                <w:rFonts w:cs="Arial"/>
                <w:sz w:val="22"/>
                <w:szCs w:val="24"/>
                <w:shd w:val="clear" w:color="auto" w:fill="FFFFFF"/>
              </w:rPr>
              <w:t>U</w:t>
            </w:r>
            <w:r w:rsidRPr="00360131">
              <w:rPr>
                <w:rStyle w:val="normaltextrun"/>
                <w:rFonts w:cs="Arial"/>
                <w:sz w:val="22"/>
                <w:szCs w:val="24"/>
                <w:shd w:val="clear" w:color="auto" w:fill="FFFFFF"/>
              </w:rPr>
              <w:t xml:space="preserve">pgrade of the Longwarry </w:t>
            </w:r>
            <w:r w:rsidR="00E14DE5">
              <w:rPr>
                <w:rFonts w:cs="Arial"/>
                <w:sz w:val="22"/>
                <w:szCs w:val="24"/>
              </w:rPr>
              <w:t xml:space="preserve">Water Recycling Plant </w:t>
            </w:r>
            <w:r w:rsidRPr="00360131">
              <w:rPr>
                <w:rStyle w:val="normaltextrun"/>
                <w:rFonts w:cs="Arial"/>
                <w:sz w:val="22"/>
                <w:szCs w:val="24"/>
                <w:shd w:val="clear" w:color="auto" w:fill="FFFFFF"/>
              </w:rPr>
              <w:t>and irrigation system</w:t>
            </w:r>
          </w:p>
        </w:tc>
      </w:tr>
      <w:tr w:rsidR="00553D42" w:rsidRPr="00157580" w14:paraId="3E34A4AF" w14:textId="77777777" w:rsidTr="00360131">
        <w:tc>
          <w:tcPr>
            <w:tcW w:w="9361" w:type="dxa"/>
            <w:tcBorders>
              <w:top w:val="single" w:sz="2" w:space="0" w:color="002279"/>
              <w:bottom w:val="single" w:sz="2" w:space="0" w:color="002279"/>
            </w:tcBorders>
          </w:tcPr>
          <w:p w14:paraId="6F662F62" w14:textId="1E4D5251" w:rsidR="007B559C" w:rsidRPr="00360131" w:rsidRDefault="008D7061" w:rsidP="00375EBC">
            <w:pPr>
              <w:spacing w:line="259" w:lineRule="auto"/>
              <w:rPr>
                <w:rStyle w:val="normaltextrun"/>
                <w:rFonts w:ascii="Arial" w:hAnsi="Arial" w:cs="Arial"/>
                <w:sz w:val="22"/>
                <w:shd w:val="clear" w:color="auto" w:fill="FFFFFF"/>
              </w:rPr>
            </w:pPr>
            <w:r w:rsidRPr="00360131">
              <w:rPr>
                <w:rFonts w:cs="Arial"/>
                <w:b/>
                <w:sz w:val="22"/>
                <w:szCs w:val="24"/>
              </w:rPr>
              <w:t xml:space="preserve">Customer </w:t>
            </w:r>
            <w:r w:rsidR="00D436D7" w:rsidRPr="00360131">
              <w:rPr>
                <w:rStyle w:val="normaltextrun"/>
                <w:rFonts w:cs="Arial"/>
                <w:b/>
                <w:sz w:val="22"/>
                <w:szCs w:val="24"/>
                <w:shd w:val="clear" w:color="auto" w:fill="FFFFFF"/>
              </w:rPr>
              <w:t>o</w:t>
            </w:r>
            <w:r w:rsidR="007B559C" w:rsidRPr="00360131">
              <w:rPr>
                <w:rStyle w:val="normaltextrun"/>
                <w:rFonts w:cs="Arial"/>
                <w:b/>
                <w:sz w:val="22"/>
                <w:szCs w:val="24"/>
                <w:shd w:val="clear" w:color="auto" w:fill="FFFFFF"/>
              </w:rPr>
              <w:t>utcome</w:t>
            </w:r>
            <w:r w:rsidR="007B559C" w:rsidRPr="00360131">
              <w:rPr>
                <w:rStyle w:val="normaltextrun"/>
                <w:rFonts w:cs="Arial"/>
                <w:sz w:val="22"/>
                <w:szCs w:val="24"/>
                <w:shd w:val="clear" w:color="auto" w:fill="FFFFFF"/>
              </w:rPr>
              <w:t xml:space="preserve">: </w:t>
            </w:r>
            <w:r w:rsidR="007B559C" w:rsidRPr="00360131">
              <w:rPr>
                <w:rStyle w:val="normaltextrun"/>
                <w:rFonts w:cs="Arial"/>
                <w:i/>
                <w:sz w:val="22"/>
                <w:szCs w:val="24"/>
                <w:shd w:val="clear" w:color="auto" w:fill="FFFFFF"/>
              </w:rPr>
              <w:t>Get the basics right, always</w:t>
            </w:r>
            <w:r w:rsidR="007B559C" w:rsidRPr="00360131">
              <w:rPr>
                <w:rStyle w:val="normaltextrun"/>
                <w:rFonts w:cs="Arial"/>
                <w:sz w:val="22"/>
                <w:szCs w:val="24"/>
                <w:shd w:val="clear" w:color="auto" w:fill="FFFFFF"/>
              </w:rPr>
              <w:t xml:space="preserve">; </w:t>
            </w:r>
            <w:r w:rsidR="007B559C" w:rsidRPr="00360131">
              <w:rPr>
                <w:rStyle w:val="normaltextrun"/>
                <w:rFonts w:cs="Arial"/>
                <w:i/>
                <w:sz w:val="22"/>
                <w:szCs w:val="24"/>
                <w:shd w:val="clear" w:color="auto" w:fill="FFFFFF"/>
              </w:rPr>
              <w:t>Support my community, protect our environment</w:t>
            </w:r>
          </w:p>
        </w:tc>
      </w:tr>
      <w:tr w:rsidR="00553D42" w:rsidRPr="00157580" w14:paraId="54362E70" w14:textId="77777777" w:rsidTr="00360131">
        <w:tc>
          <w:tcPr>
            <w:tcW w:w="9361" w:type="dxa"/>
            <w:tcBorders>
              <w:top w:val="single" w:sz="2" w:space="0" w:color="002279"/>
              <w:bottom w:val="single" w:sz="2" w:space="0" w:color="002279"/>
            </w:tcBorders>
          </w:tcPr>
          <w:p w14:paraId="049E9E93" w14:textId="77777777" w:rsidR="007B559C" w:rsidRPr="00360131" w:rsidRDefault="007B559C" w:rsidP="00375EBC">
            <w:pPr>
              <w:spacing w:line="259" w:lineRule="auto"/>
              <w:rPr>
                <w:rFonts w:ascii="Arial" w:hAnsi="Arial" w:cs="Arial"/>
                <w:b/>
                <w:sz w:val="22"/>
              </w:rPr>
            </w:pPr>
            <w:r w:rsidRPr="00360131">
              <w:rPr>
                <w:rFonts w:cs="Arial"/>
                <w:b/>
                <w:sz w:val="22"/>
                <w:szCs w:val="24"/>
              </w:rPr>
              <w:t xml:space="preserve">Current risk rating: </w:t>
            </w:r>
            <w:r w:rsidRPr="00360131">
              <w:rPr>
                <w:rFonts w:cs="Arial"/>
                <w:sz w:val="22"/>
                <w:szCs w:val="24"/>
              </w:rPr>
              <w:t>High</w:t>
            </w:r>
          </w:p>
        </w:tc>
      </w:tr>
      <w:tr w:rsidR="00553D42" w:rsidRPr="00157580" w14:paraId="4F4258BE" w14:textId="77777777" w:rsidTr="00360131">
        <w:tc>
          <w:tcPr>
            <w:tcW w:w="9361" w:type="dxa"/>
            <w:tcBorders>
              <w:top w:val="single" w:sz="2" w:space="0" w:color="002279"/>
              <w:bottom w:val="single" w:sz="2" w:space="0" w:color="002279"/>
            </w:tcBorders>
          </w:tcPr>
          <w:p w14:paraId="3DA07201" w14:textId="3DC8DBD4" w:rsidR="007B559C" w:rsidRPr="00360131" w:rsidRDefault="007B559C" w:rsidP="00375EBC">
            <w:pPr>
              <w:spacing w:line="259" w:lineRule="auto"/>
              <w:rPr>
                <w:rFonts w:ascii="Arial" w:hAnsi="Arial" w:cs="Arial"/>
                <w:b/>
                <w:sz w:val="22"/>
              </w:rPr>
            </w:pPr>
            <w:r w:rsidRPr="00360131">
              <w:rPr>
                <w:rFonts w:cs="Arial"/>
                <w:b/>
                <w:sz w:val="22"/>
                <w:szCs w:val="24"/>
              </w:rPr>
              <w:t xml:space="preserve">Risk rating </w:t>
            </w:r>
            <w:r w:rsidR="00017665" w:rsidRPr="00360131">
              <w:rPr>
                <w:rFonts w:cs="Arial"/>
                <w:b/>
                <w:sz w:val="22"/>
                <w:szCs w:val="24"/>
              </w:rPr>
              <w:t>post-investment</w:t>
            </w:r>
            <w:r w:rsidRPr="00360131">
              <w:rPr>
                <w:rFonts w:cs="Arial"/>
                <w:b/>
                <w:sz w:val="22"/>
                <w:szCs w:val="24"/>
              </w:rPr>
              <w:t xml:space="preserve">: </w:t>
            </w:r>
            <w:r w:rsidRPr="00360131">
              <w:rPr>
                <w:rFonts w:cs="Arial"/>
                <w:sz w:val="22"/>
                <w:szCs w:val="24"/>
              </w:rPr>
              <w:t>Low</w:t>
            </w:r>
          </w:p>
        </w:tc>
      </w:tr>
      <w:tr w:rsidR="00553D42" w:rsidRPr="00157580" w14:paraId="7C17F32D" w14:textId="77777777" w:rsidTr="00360131">
        <w:tc>
          <w:tcPr>
            <w:tcW w:w="9361" w:type="dxa"/>
            <w:tcBorders>
              <w:top w:val="single" w:sz="2" w:space="0" w:color="002279"/>
              <w:bottom w:val="single" w:sz="2" w:space="0" w:color="002279"/>
            </w:tcBorders>
          </w:tcPr>
          <w:p w14:paraId="3F535CB2" w14:textId="2AD30D5F" w:rsidR="007B559C" w:rsidRPr="00360131" w:rsidRDefault="007B559C" w:rsidP="000B7CAE">
            <w:pPr>
              <w:spacing w:line="259" w:lineRule="auto"/>
              <w:rPr>
                <w:rFonts w:ascii="Arial" w:hAnsi="Arial" w:cs="Arial"/>
                <w:sz w:val="22"/>
              </w:rPr>
            </w:pPr>
            <w:r w:rsidRPr="00360131">
              <w:rPr>
                <w:rFonts w:cs="Arial"/>
                <w:b/>
                <w:sz w:val="22"/>
                <w:szCs w:val="24"/>
              </w:rPr>
              <w:t>Background</w:t>
            </w:r>
            <w:r w:rsidRPr="00360131">
              <w:rPr>
                <w:rFonts w:cs="Arial"/>
                <w:sz w:val="22"/>
                <w:szCs w:val="24"/>
              </w:rPr>
              <w:t xml:space="preserve">: </w:t>
            </w:r>
            <w:r w:rsidRPr="00360131" w:rsidDel="00F95359">
              <w:rPr>
                <w:rStyle w:val="normaltextrun"/>
                <w:rFonts w:cs="Arial"/>
                <w:color w:val="000000"/>
                <w:sz w:val="22"/>
                <w:szCs w:val="24"/>
                <w:shd w:val="clear" w:color="auto" w:fill="FFFFFF"/>
              </w:rPr>
              <w:t xml:space="preserve">The Longwarry </w:t>
            </w:r>
            <w:r w:rsidR="00E14DE5">
              <w:rPr>
                <w:rFonts w:cs="Arial"/>
                <w:sz w:val="22"/>
                <w:szCs w:val="24"/>
              </w:rPr>
              <w:t xml:space="preserve">Water Recycling Plant </w:t>
            </w:r>
            <w:r w:rsidR="00AA12B4" w:rsidRPr="00360131">
              <w:rPr>
                <w:rStyle w:val="normaltextrun"/>
                <w:rFonts w:cs="Arial"/>
                <w:color w:val="000000"/>
                <w:sz w:val="22"/>
                <w:szCs w:val="24"/>
                <w:shd w:val="clear" w:color="auto" w:fill="FFFFFF"/>
              </w:rPr>
              <w:t>is</w:t>
            </w:r>
            <w:r w:rsidRPr="00360131" w:rsidDel="00F95359">
              <w:rPr>
                <w:rStyle w:val="normaltextrun"/>
                <w:rFonts w:cs="Arial"/>
                <w:color w:val="000000"/>
                <w:sz w:val="22"/>
                <w:szCs w:val="24"/>
                <w:shd w:val="clear" w:color="auto" w:fill="FFFFFF"/>
              </w:rPr>
              <w:t xml:space="preserve"> a </w:t>
            </w:r>
            <w:r w:rsidR="00AA12B4" w:rsidRPr="00360131">
              <w:rPr>
                <w:rStyle w:val="normaltextrun"/>
                <w:rFonts w:cs="Arial"/>
                <w:color w:val="000000"/>
                <w:sz w:val="22"/>
                <w:szCs w:val="24"/>
                <w:shd w:val="clear" w:color="auto" w:fill="FFFFFF"/>
              </w:rPr>
              <w:t>wastewater treatment facility</w:t>
            </w:r>
            <w:r w:rsidR="008E27F5" w:rsidRPr="00360131">
              <w:rPr>
                <w:rStyle w:val="normaltextrun"/>
                <w:rFonts w:cs="Arial"/>
                <w:color w:val="000000"/>
                <w:sz w:val="22"/>
                <w:szCs w:val="24"/>
                <w:shd w:val="clear" w:color="auto" w:fill="FFFFFF"/>
              </w:rPr>
              <w:t>,</w:t>
            </w:r>
            <w:r w:rsidR="00AA12B4" w:rsidRPr="00360131">
              <w:rPr>
                <w:rStyle w:val="normaltextrun"/>
                <w:rFonts w:cs="Arial"/>
                <w:color w:val="000000"/>
                <w:sz w:val="22"/>
                <w:szCs w:val="24"/>
                <w:shd w:val="clear" w:color="auto" w:fill="FFFFFF"/>
              </w:rPr>
              <w:t xml:space="preserve"> owned and operated by South East Water</w:t>
            </w:r>
            <w:r w:rsidR="008E27F5" w:rsidRPr="00360131">
              <w:rPr>
                <w:rStyle w:val="normaltextrun"/>
                <w:rFonts w:cs="Arial"/>
                <w:color w:val="000000"/>
                <w:sz w:val="22"/>
                <w:szCs w:val="24"/>
                <w:shd w:val="clear" w:color="auto" w:fill="FFFFFF"/>
              </w:rPr>
              <w:t>,</w:t>
            </w:r>
            <w:r w:rsidR="00AA12B4" w:rsidRPr="00360131">
              <w:rPr>
                <w:rStyle w:val="normaltextrun"/>
                <w:rFonts w:cs="Arial"/>
                <w:color w:val="000000"/>
                <w:sz w:val="22"/>
                <w:szCs w:val="24"/>
                <w:shd w:val="clear" w:color="auto" w:fill="FFFFFF"/>
              </w:rPr>
              <w:t xml:space="preserve"> and capable</w:t>
            </w:r>
            <w:r w:rsidRPr="00360131" w:rsidDel="00F95359">
              <w:rPr>
                <w:rStyle w:val="normaltextrun"/>
                <w:rFonts w:cs="Arial"/>
                <w:color w:val="000000"/>
                <w:sz w:val="22"/>
                <w:szCs w:val="24"/>
                <w:shd w:val="clear" w:color="auto" w:fill="FFFFFF"/>
              </w:rPr>
              <w:t xml:space="preserve"> of </w:t>
            </w:r>
            <w:r w:rsidR="00AA12B4" w:rsidRPr="00360131">
              <w:rPr>
                <w:rStyle w:val="normaltextrun"/>
                <w:rFonts w:cs="Arial"/>
                <w:color w:val="000000"/>
                <w:sz w:val="22"/>
                <w:szCs w:val="24"/>
                <w:shd w:val="clear" w:color="auto" w:fill="FFFFFF"/>
              </w:rPr>
              <w:t>producing Class C</w:t>
            </w:r>
            <w:r w:rsidRPr="00360131" w:rsidDel="00F95359">
              <w:rPr>
                <w:rStyle w:val="normaltextrun"/>
                <w:rFonts w:cs="Arial"/>
                <w:color w:val="000000"/>
                <w:sz w:val="22"/>
                <w:szCs w:val="24"/>
                <w:shd w:val="clear" w:color="auto" w:fill="FFFFFF"/>
              </w:rPr>
              <w:t xml:space="preserve"> effluent </w:t>
            </w:r>
            <w:r w:rsidRPr="00360131" w:rsidDel="00321984">
              <w:rPr>
                <w:rStyle w:val="normaltextrun"/>
                <w:rFonts w:cs="Arial"/>
                <w:color w:val="000000"/>
                <w:sz w:val="22"/>
                <w:szCs w:val="24"/>
                <w:shd w:val="clear" w:color="auto" w:fill="FFFFFF"/>
              </w:rPr>
              <w:t>water</w:t>
            </w:r>
            <w:r w:rsidR="00AA12B4" w:rsidRPr="00360131">
              <w:rPr>
                <w:rStyle w:val="normaltextrun"/>
                <w:rFonts w:cs="Arial"/>
                <w:color w:val="000000"/>
                <w:sz w:val="22"/>
                <w:szCs w:val="24"/>
                <w:shd w:val="clear" w:color="auto" w:fill="FFFFFF"/>
              </w:rPr>
              <w:t>.</w:t>
            </w:r>
            <w:r w:rsidRPr="00360131" w:rsidDel="00321984">
              <w:rPr>
                <w:rStyle w:val="normaltextrun"/>
                <w:rFonts w:cs="Arial"/>
                <w:color w:val="000000"/>
                <w:sz w:val="22"/>
                <w:szCs w:val="24"/>
                <w:shd w:val="clear" w:color="auto" w:fill="FFFFFF"/>
              </w:rPr>
              <w:t xml:space="preserve"> </w:t>
            </w:r>
            <w:r w:rsidRPr="00360131">
              <w:rPr>
                <w:rFonts w:cs="Arial"/>
                <w:sz w:val="22"/>
                <w:szCs w:val="24"/>
              </w:rPr>
              <w:t xml:space="preserve">Due to capacity constraints, a significant increase in forecasted flow and loads to the plant, </w:t>
            </w:r>
            <w:r w:rsidR="00DB0CB0" w:rsidRPr="00360131">
              <w:rPr>
                <w:rFonts w:cs="Arial"/>
                <w:sz w:val="22"/>
                <w:szCs w:val="24"/>
              </w:rPr>
              <w:t xml:space="preserve">and a </w:t>
            </w:r>
            <w:r w:rsidRPr="00360131">
              <w:rPr>
                <w:rFonts w:cs="Arial"/>
                <w:sz w:val="22"/>
                <w:szCs w:val="24"/>
              </w:rPr>
              <w:t xml:space="preserve">tightening </w:t>
            </w:r>
            <w:r w:rsidR="00874E2D" w:rsidRPr="00360131">
              <w:rPr>
                <w:rFonts w:cs="Arial"/>
                <w:sz w:val="22"/>
                <w:szCs w:val="24"/>
              </w:rPr>
              <w:t xml:space="preserve">of </w:t>
            </w:r>
            <w:r w:rsidRPr="00360131">
              <w:rPr>
                <w:rFonts w:cs="Arial"/>
                <w:sz w:val="22"/>
                <w:szCs w:val="24"/>
              </w:rPr>
              <w:t>environmental discharge requirements, a</w:t>
            </w:r>
            <w:r w:rsidR="000D5E73" w:rsidRPr="00360131">
              <w:rPr>
                <w:rFonts w:cs="Arial"/>
                <w:sz w:val="22"/>
                <w:szCs w:val="24"/>
              </w:rPr>
              <w:t>n</w:t>
            </w:r>
            <w:r w:rsidRPr="00360131">
              <w:rPr>
                <w:rFonts w:cs="Arial"/>
                <w:sz w:val="22"/>
                <w:szCs w:val="24"/>
              </w:rPr>
              <w:t xml:space="preserve"> upgrade to the </w:t>
            </w:r>
            <w:r w:rsidR="00F95359" w:rsidRPr="00360131">
              <w:rPr>
                <w:rFonts w:cs="Arial"/>
                <w:sz w:val="22"/>
                <w:szCs w:val="24"/>
              </w:rPr>
              <w:t xml:space="preserve">plant </w:t>
            </w:r>
            <w:r w:rsidRPr="00360131">
              <w:rPr>
                <w:rFonts w:cs="Arial"/>
                <w:sz w:val="22"/>
                <w:szCs w:val="24"/>
              </w:rPr>
              <w:t>is required.</w:t>
            </w:r>
            <w:r w:rsidR="0053459E" w:rsidRPr="00360131">
              <w:rPr>
                <w:rFonts w:cs="Arial"/>
                <w:sz w:val="22"/>
                <w:szCs w:val="24"/>
              </w:rPr>
              <w:t xml:space="preserve"> </w:t>
            </w:r>
            <w:r w:rsidR="00BA4AAB" w:rsidRPr="00360131">
              <w:rPr>
                <w:rFonts w:cs="Arial"/>
                <w:sz w:val="22"/>
                <w:szCs w:val="24"/>
              </w:rPr>
              <w:t>This project</w:t>
            </w:r>
            <w:r w:rsidR="00BA4AAB" w:rsidRPr="00360131">
              <w:rPr>
                <w:rStyle w:val="normaltextrun"/>
                <w:rFonts w:cs="Arial"/>
                <w:color w:val="000000"/>
                <w:sz w:val="22"/>
                <w:szCs w:val="24"/>
                <w:shd w:val="clear" w:color="auto" w:fill="FFFFFF"/>
              </w:rPr>
              <w:t xml:space="preserve"> will replace the current lagoon-based treatment process</w:t>
            </w:r>
            <w:r w:rsidR="00BC73E1" w:rsidRPr="00360131">
              <w:rPr>
                <w:rStyle w:val="normaltextrun"/>
                <w:rFonts w:cs="Arial"/>
                <w:color w:val="000000"/>
                <w:sz w:val="22"/>
                <w:szCs w:val="24"/>
                <w:shd w:val="clear" w:color="auto" w:fill="FFFFFF"/>
              </w:rPr>
              <w:t>,</w:t>
            </w:r>
            <w:r w:rsidR="00BA4AAB" w:rsidRPr="00360131">
              <w:rPr>
                <w:rStyle w:val="normaltextrun"/>
                <w:rFonts w:cs="Arial"/>
                <w:color w:val="000000"/>
                <w:sz w:val="22"/>
                <w:szCs w:val="24"/>
                <w:shd w:val="clear" w:color="auto" w:fill="FFFFFF"/>
              </w:rPr>
              <w:t xml:space="preserve"> with a mechanical system</w:t>
            </w:r>
            <w:r w:rsidR="0016750F" w:rsidRPr="00360131">
              <w:rPr>
                <w:rStyle w:val="normaltextrun"/>
                <w:rFonts w:cs="Arial"/>
                <w:color w:val="000000"/>
                <w:sz w:val="22"/>
                <w:szCs w:val="24"/>
                <w:shd w:val="clear" w:color="auto" w:fill="FFFFFF"/>
              </w:rPr>
              <w:t>,</w:t>
            </w:r>
            <w:r w:rsidR="00BA4AAB" w:rsidRPr="00360131">
              <w:rPr>
                <w:rStyle w:val="normaltextrun"/>
                <w:rFonts w:cs="Arial"/>
                <w:color w:val="000000"/>
                <w:sz w:val="22"/>
                <w:szCs w:val="24"/>
                <w:shd w:val="clear" w:color="auto" w:fill="FFFFFF"/>
              </w:rPr>
              <w:t xml:space="preserve"> </w:t>
            </w:r>
            <w:r w:rsidR="00941F4E" w:rsidRPr="00360131">
              <w:rPr>
                <w:rStyle w:val="normaltextrun"/>
                <w:rFonts w:cs="Arial"/>
                <w:color w:val="000000"/>
                <w:sz w:val="22"/>
                <w:szCs w:val="24"/>
                <w:shd w:val="clear" w:color="auto" w:fill="FFFFFF"/>
              </w:rPr>
              <w:t xml:space="preserve">and </w:t>
            </w:r>
            <w:r w:rsidR="00BA4AAB" w:rsidRPr="00360131">
              <w:rPr>
                <w:rStyle w:val="normaltextrun"/>
                <w:rFonts w:cs="Arial"/>
                <w:color w:val="000000"/>
                <w:sz w:val="22"/>
                <w:szCs w:val="24"/>
                <w:shd w:val="clear" w:color="auto" w:fill="FFFFFF"/>
              </w:rPr>
              <w:t xml:space="preserve">deliver </w:t>
            </w:r>
            <w:r w:rsidR="00FE0A5B" w:rsidRPr="00360131">
              <w:rPr>
                <w:rStyle w:val="normaltextrun"/>
                <w:rFonts w:cs="Arial"/>
                <w:color w:val="000000"/>
                <w:sz w:val="22"/>
                <w:szCs w:val="24"/>
                <w:shd w:val="clear" w:color="auto" w:fill="FFFFFF"/>
              </w:rPr>
              <w:t>a new</w:t>
            </w:r>
            <w:r w:rsidR="00832DB9" w:rsidRPr="00360131">
              <w:rPr>
                <w:rStyle w:val="normaltextrun"/>
                <w:rFonts w:cs="Arial"/>
                <w:color w:val="000000"/>
                <w:sz w:val="22"/>
                <w:szCs w:val="24"/>
                <w:shd w:val="clear" w:color="auto" w:fill="FFFFFF"/>
              </w:rPr>
              <w:t xml:space="preserve"> pump station</w:t>
            </w:r>
            <w:r w:rsidR="00176F47" w:rsidRPr="00360131">
              <w:rPr>
                <w:rStyle w:val="normaltextrun"/>
                <w:rFonts w:cs="Arial"/>
                <w:color w:val="000000"/>
                <w:sz w:val="22"/>
                <w:szCs w:val="24"/>
                <w:shd w:val="clear" w:color="auto" w:fill="FFFFFF"/>
              </w:rPr>
              <w:t xml:space="preserve"> </w:t>
            </w:r>
            <w:r w:rsidR="00BA4AAB" w:rsidRPr="00360131">
              <w:rPr>
                <w:rStyle w:val="normaltextrun"/>
                <w:rFonts w:cs="Arial"/>
                <w:color w:val="000000"/>
                <w:sz w:val="22"/>
                <w:szCs w:val="24"/>
                <w:shd w:val="clear" w:color="auto" w:fill="FFFFFF"/>
              </w:rPr>
              <w:t xml:space="preserve">and </w:t>
            </w:r>
            <w:r w:rsidR="00FE0A5B" w:rsidRPr="00360131">
              <w:rPr>
                <w:rStyle w:val="normaltextrun"/>
                <w:rFonts w:cs="Arial"/>
                <w:color w:val="000000"/>
                <w:sz w:val="22"/>
                <w:szCs w:val="24"/>
                <w:shd w:val="clear" w:color="auto" w:fill="FFFFFF"/>
              </w:rPr>
              <w:t>other</w:t>
            </w:r>
            <w:r w:rsidRPr="00360131" w:rsidDel="0053459E">
              <w:rPr>
                <w:rStyle w:val="normaltextrun"/>
                <w:rFonts w:cs="Arial"/>
                <w:color w:val="000000"/>
                <w:sz w:val="22"/>
                <w:szCs w:val="24"/>
                <w:shd w:val="clear" w:color="auto" w:fill="FFFFFF"/>
              </w:rPr>
              <w:t xml:space="preserve"> upgrade </w:t>
            </w:r>
            <w:r w:rsidR="00BA4AAB" w:rsidRPr="00360131">
              <w:rPr>
                <w:rStyle w:val="normaltextrun"/>
                <w:rFonts w:cs="Arial"/>
                <w:color w:val="000000"/>
                <w:sz w:val="22"/>
                <w:szCs w:val="24"/>
                <w:shd w:val="clear" w:color="auto" w:fill="FFFFFF"/>
              </w:rPr>
              <w:t>works.</w:t>
            </w:r>
          </w:p>
        </w:tc>
      </w:tr>
    </w:tbl>
    <w:p w14:paraId="3DD8EF5F" w14:textId="77DCC51A" w:rsidR="007B559C" w:rsidRDefault="007B559C" w:rsidP="007B559C">
      <w:pPr>
        <w:rPr>
          <w:rFonts w:cs="Arial"/>
          <w:sz w:val="22"/>
          <w:szCs w:val="22"/>
        </w:rPr>
      </w:pPr>
    </w:p>
    <w:p w14:paraId="6B826975" w14:textId="0514A6D1" w:rsidR="00157580" w:rsidRDefault="00157580" w:rsidP="007B559C">
      <w:pPr>
        <w:rPr>
          <w:rFonts w:cs="Arial"/>
          <w:sz w:val="22"/>
          <w:szCs w:val="22"/>
        </w:rPr>
      </w:pPr>
    </w:p>
    <w:p w14:paraId="04505667" w14:textId="3A1541DF" w:rsidR="00157580" w:rsidRDefault="00157580" w:rsidP="007B559C">
      <w:pPr>
        <w:rPr>
          <w:rFonts w:cs="Arial"/>
          <w:sz w:val="22"/>
          <w:szCs w:val="22"/>
        </w:rPr>
      </w:pPr>
    </w:p>
    <w:p w14:paraId="1FABFF5C" w14:textId="77777777" w:rsidR="00157580" w:rsidRPr="00360131" w:rsidRDefault="00157580" w:rsidP="007B559C">
      <w:pPr>
        <w:rPr>
          <w:rFonts w:cs="Arial"/>
          <w:sz w:val="22"/>
          <w:szCs w:val="22"/>
        </w:rPr>
      </w:pPr>
    </w:p>
    <w:tbl>
      <w:tblPr>
        <w:tblStyle w:val="MJTableStyle1default"/>
        <w:tblW w:w="9356" w:type="dxa"/>
        <w:tblInd w:w="0" w:type="dxa"/>
        <w:tblLook w:val="06A0" w:firstRow="1" w:lastRow="0" w:firstColumn="1" w:lastColumn="0" w:noHBand="1" w:noVBand="1"/>
      </w:tblPr>
      <w:tblGrid>
        <w:gridCol w:w="9356"/>
      </w:tblGrid>
      <w:tr w:rsidR="007B559C" w:rsidRPr="00157580" w14:paraId="021E71D2" w14:textId="77777777" w:rsidTr="00360131">
        <w:trPr>
          <w:cnfStyle w:val="100000000000" w:firstRow="1" w:lastRow="0" w:firstColumn="0" w:lastColumn="0" w:oddVBand="0" w:evenVBand="0" w:oddHBand="0" w:evenHBand="0" w:firstRowFirstColumn="0" w:firstRowLastColumn="0" w:lastRowFirstColumn="0" w:lastRowLastColumn="0"/>
          <w:trHeight w:val="436"/>
          <w:tblHeader/>
        </w:trPr>
        <w:tc>
          <w:tcPr>
            <w:tcW w:w="9356" w:type="dxa"/>
            <w:tcBorders>
              <w:top w:val="single" w:sz="2" w:space="0" w:color="002279"/>
              <w:bottom w:val="single" w:sz="2" w:space="0" w:color="002279"/>
            </w:tcBorders>
            <w:shd w:val="clear" w:color="auto" w:fill="002379" w:themeFill="text2"/>
            <w:vAlign w:val="center"/>
          </w:tcPr>
          <w:p w14:paraId="4663EA40" w14:textId="56B695A3" w:rsidR="007B559C" w:rsidRPr="00360131" w:rsidRDefault="007B559C" w:rsidP="00E017F2">
            <w:pPr>
              <w:spacing w:before="60" w:after="60" w:line="259" w:lineRule="auto"/>
              <w:rPr>
                <w:rFonts w:ascii="Arial" w:hAnsi="Arial" w:cs="Arial"/>
                <w:b/>
                <w:sz w:val="22"/>
                <w:szCs w:val="22"/>
              </w:rPr>
            </w:pPr>
            <w:r w:rsidRPr="00360131">
              <w:rPr>
                <w:rFonts w:ascii="Arial" w:hAnsi="Arial" w:cs="Arial"/>
                <w:b/>
                <w:sz w:val="22"/>
                <w:szCs w:val="22"/>
              </w:rPr>
              <w:t>PROJECT 7: Fishermans Bend Water Recycling Plant and Sewer Connection</w:t>
            </w:r>
          </w:p>
        </w:tc>
      </w:tr>
      <w:tr w:rsidR="007B559C" w:rsidRPr="00157580" w14:paraId="7930DCCA" w14:textId="77777777" w:rsidTr="00360131">
        <w:tc>
          <w:tcPr>
            <w:tcW w:w="9356" w:type="dxa"/>
            <w:tcBorders>
              <w:top w:val="single" w:sz="2" w:space="0" w:color="002279"/>
              <w:bottom w:val="single" w:sz="2" w:space="0" w:color="002279"/>
            </w:tcBorders>
          </w:tcPr>
          <w:p w14:paraId="65012D39" w14:textId="2B14CD65" w:rsidR="007B559C" w:rsidRPr="00360131" w:rsidRDefault="007B559C" w:rsidP="00261322">
            <w:pPr>
              <w:rPr>
                <w:rFonts w:ascii="Arial" w:hAnsi="Arial" w:cs="Arial"/>
                <w:b/>
                <w:sz w:val="22"/>
              </w:rPr>
            </w:pPr>
            <w:r w:rsidRPr="00360131">
              <w:rPr>
                <w:rFonts w:cs="Arial"/>
                <w:b/>
                <w:sz w:val="22"/>
                <w:szCs w:val="24"/>
              </w:rPr>
              <w:t>Investment portfolio</w:t>
            </w:r>
            <w:r w:rsidRPr="00360131">
              <w:rPr>
                <w:rFonts w:cs="Arial"/>
                <w:sz w:val="22"/>
                <w:szCs w:val="24"/>
              </w:rPr>
              <w:t xml:space="preserve">: IWM </w:t>
            </w:r>
            <w:r w:rsidR="00D74BEF" w:rsidRPr="00360131">
              <w:rPr>
                <w:rFonts w:cs="Arial"/>
                <w:sz w:val="22"/>
                <w:szCs w:val="24"/>
              </w:rPr>
              <w:t>s</w:t>
            </w:r>
            <w:r w:rsidRPr="00360131">
              <w:rPr>
                <w:rFonts w:cs="Arial"/>
                <w:sz w:val="22"/>
                <w:szCs w:val="24"/>
              </w:rPr>
              <w:t>chemes</w:t>
            </w:r>
          </w:p>
        </w:tc>
      </w:tr>
      <w:tr w:rsidR="007B559C" w:rsidRPr="00157580" w14:paraId="44A2B0A6" w14:textId="77777777" w:rsidTr="00360131">
        <w:tc>
          <w:tcPr>
            <w:tcW w:w="9356" w:type="dxa"/>
            <w:tcBorders>
              <w:top w:val="single" w:sz="2" w:space="0" w:color="002279"/>
              <w:bottom w:val="single" w:sz="2" w:space="0" w:color="002279"/>
            </w:tcBorders>
          </w:tcPr>
          <w:p w14:paraId="6293369B" w14:textId="77777777" w:rsidR="007B559C" w:rsidRPr="00360131" w:rsidRDefault="007B559C" w:rsidP="00261322">
            <w:pPr>
              <w:rPr>
                <w:rFonts w:ascii="Arial" w:hAnsi="Arial" w:cs="Arial"/>
                <w:b/>
                <w:sz w:val="22"/>
              </w:rPr>
            </w:pPr>
            <w:r w:rsidRPr="00360131">
              <w:rPr>
                <w:rFonts w:cs="Arial"/>
                <w:b/>
                <w:sz w:val="22"/>
                <w:szCs w:val="24"/>
              </w:rPr>
              <w:lastRenderedPageBreak/>
              <w:t xml:space="preserve">Total cost: </w:t>
            </w:r>
            <w:r w:rsidRPr="00360131">
              <w:rPr>
                <w:rFonts w:cs="Arial"/>
                <w:sz w:val="22"/>
                <w:szCs w:val="24"/>
              </w:rPr>
              <w:t>$68.7m</w:t>
            </w:r>
          </w:p>
        </w:tc>
      </w:tr>
      <w:tr w:rsidR="007B559C" w:rsidRPr="00157580" w14:paraId="61F234E5" w14:textId="77777777" w:rsidTr="00360131">
        <w:tc>
          <w:tcPr>
            <w:tcW w:w="9356" w:type="dxa"/>
            <w:tcBorders>
              <w:top w:val="single" w:sz="2" w:space="0" w:color="002279"/>
              <w:bottom w:val="single" w:sz="2" w:space="0" w:color="002279"/>
            </w:tcBorders>
          </w:tcPr>
          <w:p w14:paraId="305FB010" w14:textId="4F04E172" w:rsidR="007B559C" w:rsidRPr="00360131" w:rsidRDefault="007B559C" w:rsidP="00261322">
            <w:pPr>
              <w:spacing w:line="259" w:lineRule="auto"/>
              <w:rPr>
                <w:rFonts w:ascii="Arial" w:hAnsi="Arial" w:cs="Arial"/>
                <w:sz w:val="22"/>
              </w:rPr>
            </w:pPr>
            <w:r w:rsidRPr="00360131">
              <w:rPr>
                <w:rFonts w:cs="Arial"/>
                <w:b/>
                <w:sz w:val="22"/>
                <w:szCs w:val="24"/>
              </w:rPr>
              <w:t>2023</w:t>
            </w:r>
            <w:r w:rsidR="00310E2A" w:rsidRPr="00360131">
              <w:rPr>
                <w:rFonts w:cs="Arial"/>
                <w:b/>
                <w:sz w:val="22"/>
                <w:szCs w:val="24"/>
              </w:rPr>
              <w:t>–</w:t>
            </w:r>
            <w:r w:rsidRPr="00360131">
              <w:rPr>
                <w:rFonts w:cs="Arial"/>
                <w:b/>
                <w:sz w:val="22"/>
                <w:szCs w:val="24"/>
              </w:rPr>
              <w:t xml:space="preserve">28 cost and timing: </w:t>
            </w:r>
            <w:r w:rsidRPr="00360131">
              <w:rPr>
                <w:rFonts w:cs="Arial"/>
                <w:sz w:val="22"/>
                <w:szCs w:val="24"/>
              </w:rPr>
              <w:t>$39.1</w:t>
            </w:r>
            <w:r w:rsidR="00F71BE2">
              <w:rPr>
                <w:rFonts w:cs="Arial"/>
                <w:sz w:val="22"/>
                <w:szCs w:val="24"/>
              </w:rPr>
              <w:t>4</w:t>
            </w:r>
            <w:r w:rsidRPr="00360131">
              <w:rPr>
                <w:rFonts w:cs="Arial"/>
                <w:sz w:val="22"/>
                <w:szCs w:val="24"/>
              </w:rPr>
              <w:t>m (202</w:t>
            </w:r>
            <w:r w:rsidR="001454C4" w:rsidRPr="00360131">
              <w:rPr>
                <w:rFonts w:cs="Arial"/>
                <w:sz w:val="22"/>
                <w:szCs w:val="24"/>
              </w:rPr>
              <w:t>3</w:t>
            </w:r>
            <w:r w:rsidR="00310E2A" w:rsidRPr="00360131">
              <w:rPr>
                <w:rFonts w:cs="Arial"/>
                <w:sz w:val="22"/>
                <w:szCs w:val="24"/>
              </w:rPr>
              <w:t>–</w:t>
            </w:r>
            <w:r w:rsidRPr="00360131">
              <w:rPr>
                <w:rFonts w:cs="Arial"/>
                <w:sz w:val="22"/>
                <w:szCs w:val="24"/>
              </w:rPr>
              <w:t>28)</w:t>
            </w:r>
          </w:p>
        </w:tc>
      </w:tr>
      <w:tr w:rsidR="007B559C" w:rsidRPr="00157580" w14:paraId="02043658" w14:textId="77777777" w:rsidTr="00360131">
        <w:tc>
          <w:tcPr>
            <w:tcW w:w="9356" w:type="dxa"/>
            <w:tcBorders>
              <w:top w:val="single" w:sz="2" w:space="0" w:color="002279"/>
              <w:bottom w:val="single" w:sz="2" w:space="0" w:color="002279"/>
            </w:tcBorders>
          </w:tcPr>
          <w:p w14:paraId="23E4224A" w14:textId="47DA2F2D" w:rsidR="007B559C" w:rsidRPr="00360131" w:rsidRDefault="007B559C" w:rsidP="00261322">
            <w:pPr>
              <w:spacing w:line="259" w:lineRule="auto"/>
              <w:rPr>
                <w:rFonts w:ascii="Arial" w:hAnsi="Arial" w:cs="Arial"/>
                <w:b/>
                <w:sz w:val="22"/>
              </w:rPr>
            </w:pPr>
            <w:r w:rsidRPr="00360131">
              <w:rPr>
                <w:rFonts w:cs="Arial"/>
                <w:b/>
                <w:sz w:val="22"/>
                <w:szCs w:val="24"/>
              </w:rPr>
              <w:t xml:space="preserve">Service category: </w:t>
            </w:r>
            <w:r w:rsidR="00E774D1" w:rsidRPr="00360131">
              <w:rPr>
                <w:rFonts w:cs="Arial"/>
                <w:sz w:val="22"/>
                <w:szCs w:val="24"/>
              </w:rPr>
              <w:t>Recycled Water</w:t>
            </w:r>
          </w:p>
        </w:tc>
      </w:tr>
      <w:tr w:rsidR="007B559C" w:rsidRPr="00157580" w14:paraId="041362AB" w14:textId="77777777" w:rsidTr="00360131">
        <w:tc>
          <w:tcPr>
            <w:tcW w:w="9356" w:type="dxa"/>
            <w:tcBorders>
              <w:top w:val="single" w:sz="2" w:space="0" w:color="002279"/>
              <w:bottom w:val="single" w:sz="2" w:space="0" w:color="002279"/>
            </w:tcBorders>
          </w:tcPr>
          <w:p w14:paraId="7C091910" w14:textId="175BBBCE" w:rsidR="007B559C" w:rsidRPr="00360131" w:rsidRDefault="007B559C" w:rsidP="00261322">
            <w:pPr>
              <w:spacing w:line="259" w:lineRule="auto"/>
              <w:rPr>
                <w:rFonts w:ascii="Arial" w:hAnsi="Arial" w:cs="Arial"/>
                <w:b/>
                <w:sz w:val="22"/>
              </w:rPr>
            </w:pPr>
            <w:r w:rsidRPr="00360131">
              <w:rPr>
                <w:rFonts w:cs="Arial"/>
                <w:b/>
                <w:sz w:val="22"/>
                <w:szCs w:val="24"/>
              </w:rPr>
              <w:t xml:space="preserve">Cost </w:t>
            </w:r>
            <w:r w:rsidR="005A4E12" w:rsidRPr="00360131">
              <w:rPr>
                <w:rFonts w:cs="Arial"/>
                <w:b/>
                <w:sz w:val="22"/>
                <w:szCs w:val="24"/>
              </w:rPr>
              <w:t>d</w:t>
            </w:r>
            <w:r w:rsidRPr="00360131">
              <w:rPr>
                <w:rFonts w:cs="Arial"/>
                <w:b/>
                <w:sz w:val="22"/>
                <w:szCs w:val="24"/>
              </w:rPr>
              <w:t xml:space="preserve">river category: </w:t>
            </w:r>
            <w:r w:rsidRPr="00360131">
              <w:rPr>
                <w:rFonts w:cs="Arial"/>
                <w:sz w:val="22"/>
                <w:szCs w:val="24"/>
              </w:rPr>
              <w:t>Growth</w:t>
            </w:r>
          </w:p>
        </w:tc>
      </w:tr>
      <w:tr w:rsidR="007865A3" w:rsidRPr="00157580" w14:paraId="633F8526" w14:textId="77777777" w:rsidTr="00360131">
        <w:tc>
          <w:tcPr>
            <w:tcW w:w="9356" w:type="dxa"/>
            <w:tcBorders>
              <w:top w:val="single" w:sz="2" w:space="0" w:color="002279"/>
              <w:bottom w:val="single" w:sz="2" w:space="0" w:color="002279"/>
            </w:tcBorders>
          </w:tcPr>
          <w:p w14:paraId="1E6351A2" w14:textId="77777777" w:rsidR="007865A3" w:rsidRPr="00360131" w:rsidRDefault="007865A3" w:rsidP="006F49BD">
            <w:pPr>
              <w:spacing w:line="259" w:lineRule="auto"/>
              <w:rPr>
                <w:rFonts w:ascii="Arial" w:hAnsi="Arial" w:cs="Arial"/>
                <w:sz w:val="22"/>
              </w:rPr>
            </w:pPr>
            <w:r w:rsidRPr="00360131">
              <w:rPr>
                <w:rFonts w:cs="Arial"/>
                <w:b/>
                <w:sz w:val="22"/>
                <w:szCs w:val="24"/>
              </w:rPr>
              <w:t>Asset category:</w:t>
            </w:r>
            <w:r w:rsidRPr="00360131">
              <w:rPr>
                <w:rFonts w:cs="Arial"/>
                <w:sz w:val="22"/>
                <w:szCs w:val="24"/>
              </w:rPr>
              <w:t xml:space="preserve"> Treatment</w:t>
            </w:r>
          </w:p>
        </w:tc>
      </w:tr>
      <w:tr w:rsidR="007B559C" w:rsidRPr="00157580" w14:paraId="478F684A" w14:textId="77777777" w:rsidTr="00360131">
        <w:tc>
          <w:tcPr>
            <w:tcW w:w="9356" w:type="dxa"/>
            <w:tcBorders>
              <w:top w:val="single" w:sz="2" w:space="0" w:color="002279"/>
              <w:bottom w:val="single" w:sz="2" w:space="0" w:color="002279"/>
            </w:tcBorders>
          </w:tcPr>
          <w:p w14:paraId="76BCE44D" w14:textId="77777777" w:rsidR="007B559C" w:rsidRPr="00360131" w:rsidRDefault="007B559C" w:rsidP="00261322">
            <w:pPr>
              <w:spacing w:line="259" w:lineRule="auto"/>
              <w:rPr>
                <w:rFonts w:ascii="Arial" w:hAnsi="Arial" w:cs="Arial"/>
                <w:b/>
                <w:sz w:val="22"/>
              </w:rPr>
            </w:pPr>
            <w:r w:rsidRPr="00360131">
              <w:rPr>
                <w:rFonts w:cs="Arial"/>
                <w:b/>
                <w:sz w:val="22"/>
                <w:szCs w:val="24"/>
              </w:rPr>
              <w:t xml:space="preserve">Description: </w:t>
            </w:r>
            <w:r w:rsidRPr="00360131">
              <w:rPr>
                <w:rFonts w:cs="Arial"/>
                <w:sz w:val="22"/>
                <w:szCs w:val="24"/>
              </w:rPr>
              <w:t xml:space="preserve">Construction of a water recycling plant in Fishermans Bend </w:t>
            </w:r>
          </w:p>
        </w:tc>
      </w:tr>
      <w:tr w:rsidR="007B559C" w:rsidRPr="00157580" w14:paraId="29A74E30" w14:textId="77777777" w:rsidTr="00360131">
        <w:tc>
          <w:tcPr>
            <w:tcW w:w="9356" w:type="dxa"/>
            <w:tcBorders>
              <w:top w:val="single" w:sz="2" w:space="0" w:color="002279"/>
              <w:bottom w:val="single" w:sz="2" w:space="0" w:color="002279"/>
            </w:tcBorders>
          </w:tcPr>
          <w:p w14:paraId="63A0C4B5" w14:textId="3540812A" w:rsidR="007B559C" w:rsidRPr="00360131" w:rsidRDefault="008D7061" w:rsidP="00261322">
            <w:pPr>
              <w:spacing w:line="259" w:lineRule="auto"/>
              <w:rPr>
                <w:rFonts w:ascii="Arial" w:hAnsi="Arial" w:cs="Arial"/>
                <w:b/>
                <w:sz w:val="22"/>
              </w:rPr>
            </w:pPr>
            <w:r w:rsidRPr="00360131">
              <w:rPr>
                <w:rFonts w:cs="Arial"/>
                <w:b/>
                <w:sz w:val="22"/>
                <w:szCs w:val="24"/>
              </w:rPr>
              <w:t xml:space="preserve">Customer </w:t>
            </w:r>
            <w:r w:rsidR="005A4E12" w:rsidRPr="00360131">
              <w:rPr>
                <w:rFonts w:cs="Arial"/>
                <w:b/>
                <w:sz w:val="22"/>
                <w:szCs w:val="24"/>
              </w:rPr>
              <w:t>o</w:t>
            </w:r>
            <w:r w:rsidR="007B559C" w:rsidRPr="00360131">
              <w:rPr>
                <w:rFonts w:cs="Arial"/>
                <w:b/>
                <w:sz w:val="22"/>
                <w:szCs w:val="24"/>
              </w:rPr>
              <w:t>utcome:</w:t>
            </w:r>
            <w:r w:rsidR="007B559C" w:rsidRPr="00360131">
              <w:rPr>
                <w:rFonts w:cs="Arial"/>
                <w:sz w:val="22"/>
                <w:szCs w:val="24"/>
              </w:rPr>
              <w:t xml:space="preserve"> </w:t>
            </w:r>
            <w:r w:rsidR="007B559C" w:rsidRPr="00360131">
              <w:rPr>
                <w:rFonts w:cs="Arial"/>
                <w:i/>
                <w:sz w:val="22"/>
                <w:szCs w:val="24"/>
              </w:rPr>
              <w:t>Support my community, protect our environment</w:t>
            </w:r>
          </w:p>
        </w:tc>
      </w:tr>
      <w:tr w:rsidR="007B559C" w:rsidRPr="00157580" w14:paraId="54CE7FA8" w14:textId="77777777" w:rsidTr="00360131">
        <w:tc>
          <w:tcPr>
            <w:tcW w:w="9356" w:type="dxa"/>
            <w:tcBorders>
              <w:top w:val="single" w:sz="2" w:space="0" w:color="002279"/>
              <w:bottom w:val="single" w:sz="2" w:space="0" w:color="002279"/>
            </w:tcBorders>
          </w:tcPr>
          <w:p w14:paraId="126F59A3" w14:textId="77777777" w:rsidR="007B559C" w:rsidRPr="00360131" w:rsidRDefault="007B559C" w:rsidP="00261322">
            <w:pPr>
              <w:spacing w:line="259" w:lineRule="auto"/>
              <w:rPr>
                <w:rFonts w:ascii="Arial" w:hAnsi="Arial" w:cs="Arial"/>
                <w:b/>
                <w:sz w:val="22"/>
              </w:rPr>
            </w:pPr>
            <w:r w:rsidRPr="00360131">
              <w:rPr>
                <w:rFonts w:cs="Arial"/>
                <w:b/>
                <w:sz w:val="22"/>
                <w:szCs w:val="24"/>
              </w:rPr>
              <w:t xml:space="preserve">Current risk rating: </w:t>
            </w:r>
            <w:r w:rsidRPr="00360131">
              <w:rPr>
                <w:rFonts w:cs="Arial"/>
                <w:sz w:val="22"/>
                <w:szCs w:val="24"/>
              </w:rPr>
              <w:t>Medium</w:t>
            </w:r>
          </w:p>
        </w:tc>
      </w:tr>
      <w:tr w:rsidR="007B559C" w:rsidRPr="00157580" w14:paraId="6776A54D" w14:textId="77777777" w:rsidTr="00360131">
        <w:tc>
          <w:tcPr>
            <w:tcW w:w="9356" w:type="dxa"/>
            <w:tcBorders>
              <w:top w:val="single" w:sz="2" w:space="0" w:color="002279"/>
              <w:bottom w:val="single" w:sz="2" w:space="0" w:color="002279"/>
            </w:tcBorders>
          </w:tcPr>
          <w:p w14:paraId="110427C7" w14:textId="5DA61D5E" w:rsidR="007B559C" w:rsidRPr="00360131" w:rsidRDefault="007B559C" w:rsidP="00261322">
            <w:pPr>
              <w:spacing w:line="259" w:lineRule="auto"/>
              <w:rPr>
                <w:rFonts w:ascii="Arial" w:hAnsi="Arial" w:cs="Arial"/>
                <w:b/>
                <w:sz w:val="22"/>
              </w:rPr>
            </w:pPr>
            <w:r w:rsidRPr="00360131">
              <w:rPr>
                <w:rFonts w:cs="Arial"/>
                <w:b/>
                <w:sz w:val="22"/>
                <w:szCs w:val="24"/>
              </w:rPr>
              <w:t xml:space="preserve">Risk rating </w:t>
            </w:r>
            <w:r w:rsidR="00017665" w:rsidRPr="00360131">
              <w:rPr>
                <w:rFonts w:cs="Arial"/>
                <w:b/>
                <w:sz w:val="22"/>
                <w:szCs w:val="24"/>
              </w:rPr>
              <w:t>post-investment</w:t>
            </w:r>
            <w:r w:rsidRPr="00360131">
              <w:rPr>
                <w:rFonts w:cs="Arial"/>
                <w:b/>
                <w:sz w:val="22"/>
                <w:szCs w:val="24"/>
              </w:rPr>
              <w:t xml:space="preserve">: </w:t>
            </w:r>
            <w:r w:rsidRPr="00360131">
              <w:rPr>
                <w:rFonts w:cs="Arial"/>
                <w:sz w:val="22"/>
                <w:szCs w:val="24"/>
              </w:rPr>
              <w:t>Low</w:t>
            </w:r>
          </w:p>
        </w:tc>
      </w:tr>
      <w:tr w:rsidR="007B559C" w:rsidRPr="00157580" w14:paraId="066C7F48" w14:textId="77777777" w:rsidTr="00360131">
        <w:tc>
          <w:tcPr>
            <w:tcW w:w="9356" w:type="dxa"/>
            <w:tcBorders>
              <w:top w:val="single" w:sz="2" w:space="0" w:color="002279"/>
              <w:bottom w:val="single" w:sz="2" w:space="0" w:color="002279"/>
            </w:tcBorders>
          </w:tcPr>
          <w:p w14:paraId="4DB07B06" w14:textId="7E6A52D6" w:rsidR="007B559C" w:rsidRPr="00360131" w:rsidRDefault="007B559C" w:rsidP="00261322">
            <w:pPr>
              <w:spacing w:line="259" w:lineRule="auto"/>
              <w:textAlignment w:val="baseline"/>
              <w:rPr>
                <w:rFonts w:ascii="Arial" w:hAnsi="Arial" w:cs="Arial"/>
                <w:b/>
                <w:sz w:val="22"/>
              </w:rPr>
            </w:pPr>
            <w:r w:rsidRPr="00360131">
              <w:rPr>
                <w:rFonts w:cs="Arial"/>
                <w:b/>
                <w:sz w:val="22"/>
                <w:szCs w:val="24"/>
              </w:rPr>
              <w:t>Background:</w:t>
            </w:r>
            <w:r w:rsidRPr="00360131">
              <w:rPr>
                <w:rFonts w:cs="Arial"/>
                <w:sz w:val="22"/>
                <w:szCs w:val="24"/>
              </w:rPr>
              <w:t xml:space="preserve"> Fishermans Bend is one of Australia</w:t>
            </w:r>
            <w:r w:rsidR="00612583" w:rsidRPr="00360131">
              <w:rPr>
                <w:rFonts w:cs="Arial"/>
                <w:sz w:val="22"/>
                <w:szCs w:val="24"/>
              </w:rPr>
              <w:t>’</w:t>
            </w:r>
            <w:r w:rsidRPr="00360131">
              <w:rPr>
                <w:rFonts w:cs="Arial"/>
                <w:sz w:val="22"/>
                <w:szCs w:val="24"/>
              </w:rPr>
              <w:t>s largest urban renewal projects</w:t>
            </w:r>
            <w:r w:rsidR="00A02319" w:rsidRPr="00360131">
              <w:rPr>
                <w:rFonts w:cs="Arial"/>
                <w:sz w:val="22"/>
                <w:szCs w:val="24"/>
              </w:rPr>
              <w:t>,</w:t>
            </w:r>
            <w:r w:rsidRPr="00360131">
              <w:rPr>
                <w:rFonts w:cs="Arial"/>
                <w:sz w:val="22"/>
                <w:szCs w:val="24"/>
              </w:rPr>
              <w:t xml:space="preserve"> covering approximately 485 hectares in the heart of Melbourne.</w:t>
            </w:r>
            <w:r w:rsidRPr="00360131" w:rsidDel="00BB044A">
              <w:rPr>
                <w:rFonts w:cs="Arial"/>
                <w:sz w:val="22"/>
                <w:szCs w:val="24"/>
              </w:rPr>
              <w:t xml:space="preserve"> </w:t>
            </w:r>
            <w:r w:rsidR="00AA23CF" w:rsidRPr="00360131">
              <w:rPr>
                <w:rFonts w:cs="Arial"/>
                <w:sz w:val="22"/>
                <w:szCs w:val="24"/>
              </w:rPr>
              <w:t xml:space="preserve">The </w:t>
            </w:r>
            <w:r w:rsidR="007E54E5" w:rsidRPr="00360131">
              <w:rPr>
                <w:rFonts w:cs="Arial"/>
                <w:sz w:val="22"/>
                <w:szCs w:val="24"/>
              </w:rPr>
              <w:t>framework</w:t>
            </w:r>
            <w:r w:rsidR="00D94B41" w:rsidRPr="008A0897">
              <w:rPr>
                <w:rStyle w:val="FootnoteReference"/>
                <w:rFonts w:ascii="Arial" w:hAnsi="Arial" w:cs="Arial"/>
                <w:color w:val="auto"/>
                <w:sz w:val="22"/>
                <w:szCs w:val="24"/>
              </w:rPr>
              <w:footnoteReference w:id="10"/>
            </w:r>
            <w:r w:rsidR="00D94B41" w:rsidRPr="008A0897">
              <w:rPr>
                <w:rFonts w:cs="Arial"/>
                <w:sz w:val="22"/>
                <w:szCs w:val="24"/>
              </w:rPr>
              <w:t xml:space="preserve"> </w:t>
            </w:r>
            <w:r w:rsidR="00AA23CF" w:rsidRPr="00360131">
              <w:rPr>
                <w:rFonts w:cs="Arial"/>
                <w:sz w:val="22"/>
                <w:szCs w:val="24"/>
              </w:rPr>
              <w:t xml:space="preserve">for </w:t>
            </w:r>
            <w:r w:rsidR="00C1553A" w:rsidRPr="00360131">
              <w:rPr>
                <w:rFonts w:cs="Arial"/>
                <w:sz w:val="22"/>
                <w:szCs w:val="24"/>
              </w:rPr>
              <w:t>its</w:t>
            </w:r>
            <w:r w:rsidR="003B0633" w:rsidRPr="00360131">
              <w:rPr>
                <w:rFonts w:cs="Arial"/>
                <w:sz w:val="22"/>
                <w:szCs w:val="24"/>
              </w:rPr>
              <w:t xml:space="preserve"> redevelopment</w:t>
            </w:r>
            <w:r w:rsidR="00B72F6D" w:rsidRPr="00360131">
              <w:rPr>
                <w:rFonts w:cs="Arial"/>
                <w:sz w:val="22"/>
                <w:szCs w:val="24"/>
              </w:rPr>
              <w:t xml:space="preserve"> </w:t>
            </w:r>
            <w:r w:rsidR="00FB55E0" w:rsidRPr="00360131">
              <w:rPr>
                <w:rFonts w:cs="Arial"/>
                <w:sz w:val="22"/>
                <w:szCs w:val="24"/>
              </w:rPr>
              <w:t xml:space="preserve">was </w:t>
            </w:r>
            <w:r w:rsidR="001D7EFA" w:rsidRPr="00360131">
              <w:rPr>
                <w:rFonts w:cs="Arial"/>
                <w:sz w:val="22"/>
                <w:szCs w:val="24"/>
              </w:rPr>
              <w:t xml:space="preserve">formed </w:t>
            </w:r>
            <w:r w:rsidR="001D7EFA" w:rsidRPr="008A0897">
              <w:rPr>
                <w:rFonts w:cs="Arial"/>
                <w:sz w:val="22"/>
                <w:szCs w:val="24"/>
              </w:rPr>
              <w:t>in 2016</w:t>
            </w:r>
            <w:r w:rsidRPr="00360131">
              <w:rPr>
                <w:rFonts w:cs="Arial"/>
                <w:sz w:val="22"/>
                <w:szCs w:val="24"/>
              </w:rPr>
              <w:t xml:space="preserve"> and </w:t>
            </w:r>
            <w:r w:rsidR="00B72F6D" w:rsidRPr="00360131">
              <w:rPr>
                <w:rFonts w:cs="Arial"/>
                <w:sz w:val="22"/>
                <w:szCs w:val="24"/>
              </w:rPr>
              <w:t xml:space="preserve">is </w:t>
            </w:r>
            <w:r w:rsidR="001D7EFA" w:rsidRPr="00360131">
              <w:rPr>
                <w:rFonts w:cs="Arial"/>
                <w:sz w:val="22"/>
                <w:szCs w:val="24"/>
              </w:rPr>
              <w:t>captured in</w:t>
            </w:r>
            <w:r w:rsidR="001D2014" w:rsidRPr="00360131">
              <w:rPr>
                <w:rFonts w:cs="Arial"/>
                <w:sz w:val="22"/>
                <w:szCs w:val="24"/>
              </w:rPr>
              <w:t xml:space="preserve"> the Victorian Government</w:t>
            </w:r>
            <w:r w:rsidR="00612583" w:rsidRPr="00360131">
              <w:rPr>
                <w:rFonts w:cs="Arial"/>
                <w:sz w:val="22"/>
                <w:szCs w:val="24"/>
              </w:rPr>
              <w:t>’</w:t>
            </w:r>
            <w:r w:rsidR="001D2014" w:rsidRPr="00360131">
              <w:rPr>
                <w:rFonts w:cs="Arial"/>
                <w:sz w:val="22"/>
                <w:szCs w:val="24"/>
              </w:rPr>
              <w:t>s</w:t>
            </w:r>
            <w:r w:rsidR="00B72F6D" w:rsidRPr="00360131">
              <w:rPr>
                <w:rFonts w:cs="Arial"/>
                <w:sz w:val="22"/>
                <w:szCs w:val="24"/>
              </w:rPr>
              <w:t xml:space="preserve"> </w:t>
            </w:r>
            <w:r w:rsidR="00F10836" w:rsidRPr="00360131">
              <w:rPr>
                <w:rFonts w:cs="Arial"/>
                <w:sz w:val="22"/>
                <w:szCs w:val="24"/>
              </w:rPr>
              <w:t>statement of intent</w:t>
            </w:r>
            <w:r w:rsidR="004B3476" w:rsidRPr="00360131">
              <w:rPr>
                <w:rFonts w:cs="Arial"/>
                <w:sz w:val="22"/>
                <w:szCs w:val="24"/>
              </w:rPr>
              <w:t xml:space="preserve"> to create </w:t>
            </w:r>
            <w:r w:rsidR="00612583" w:rsidRPr="00360131">
              <w:rPr>
                <w:rFonts w:cs="Arial"/>
                <w:sz w:val="22"/>
                <w:szCs w:val="24"/>
              </w:rPr>
              <w:t>“</w:t>
            </w:r>
            <w:r w:rsidR="001D2014" w:rsidRPr="00360131">
              <w:rPr>
                <w:rFonts w:cs="Arial"/>
                <w:i/>
                <w:iCs/>
                <w:sz w:val="22"/>
                <w:szCs w:val="24"/>
              </w:rPr>
              <w:t>a</w:t>
            </w:r>
            <w:r w:rsidR="004B3476" w:rsidRPr="00360131">
              <w:rPr>
                <w:rFonts w:cs="Arial"/>
                <w:i/>
                <w:iCs/>
                <w:sz w:val="22"/>
                <w:szCs w:val="24"/>
              </w:rPr>
              <w:t xml:space="preserve"> thriving place that sets an example for environmental</w:t>
            </w:r>
            <w:r w:rsidR="004B3476" w:rsidRPr="00360131">
              <w:rPr>
                <w:rFonts w:cs="Arial"/>
                <w:sz w:val="22"/>
                <w:szCs w:val="24"/>
              </w:rPr>
              <w:t xml:space="preserve"> </w:t>
            </w:r>
            <w:r w:rsidR="004B3476" w:rsidRPr="00360131">
              <w:rPr>
                <w:rFonts w:cs="Arial"/>
                <w:i/>
                <w:iCs/>
                <w:sz w:val="22"/>
                <w:szCs w:val="24"/>
              </w:rPr>
              <w:t>sustainability, enhanced liveability, diversity and innovation</w:t>
            </w:r>
            <w:r w:rsidR="00612583" w:rsidRPr="00360131">
              <w:rPr>
                <w:rFonts w:cs="Arial"/>
                <w:sz w:val="22"/>
                <w:szCs w:val="24"/>
              </w:rPr>
              <w:t>”</w:t>
            </w:r>
            <w:r w:rsidR="004B3476" w:rsidRPr="00360131">
              <w:rPr>
                <w:rFonts w:cs="Arial"/>
                <w:sz w:val="22"/>
                <w:szCs w:val="24"/>
              </w:rPr>
              <w:t>.</w:t>
            </w:r>
            <w:r w:rsidR="00F10836" w:rsidRPr="00360131">
              <w:rPr>
                <w:rFonts w:cs="Arial"/>
                <w:sz w:val="22"/>
                <w:szCs w:val="24"/>
              </w:rPr>
              <w:t xml:space="preserve"> </w:t>
            </w:r>
            <w:r w:rsidR="00FD01EC" w:rsidRPr="00360131">
              <w:rPr>
                <w:rStyle w:val="normaltextrun"/>
                <w:rFonts w:cs="Arial"/>
                <w:color w:val="000000"/>
                <w:sz w:val="22"/>
                <w:szCs w:val="24"/>
                <w:shd w:val="clear" w:color="auto" w:fill="FFFFFF"/>
                <w:lang w:val="en-GB"/>
              </w:rPr>
              <w:t xml:space="preserve">More recently, the Victorian Government released the Fishermans Bend </w:t>
            </w:r>
            <w:r w:rsidR="00FD01EC" w:rsidRPr="00360131">
              <w:rPr>
                <w:rStyle w:val="normaltextrun"/>
                <w:rFonts w:cs="Arial"/>
                <w:i/>
                <w:color w:val="000000"/>
                <w:sz w:val="22"/>
                <w:szCs w:val="24"/>
                <w:shd w:val="clear" w:color="auto" w:fill="FFFFFF"/>
                <w:lang w:val="en-GB"/>
              </w:rPr>
              <w:t>Water Sensitive City Strategy</w:t>
            </w:r>
            <w:r w:rsidR="00FD01EC" w:rsidRPr="00360131">
              <w:rPr>
                <w:rStyle w:val="normaltextrun"/>
                <w:rFonts w:cs="Arial"/>
                <w:color w:val="000000"/>
                <w:sz w:val="22"/>
                <w:szCs w:val="24"/>
                <w:shd w:val="clear" w:color="auto" w:fill="FFFFFF"/>
                <w:lang w:val="en-GB"/>
              </w:rPr>
              <w:t xml:space="preserve"> (May 2022)</w:t>
            </w:r>
            <w:r w:rsidR="00941F4E" w:rsidRPr="00360131">
              <w:rPr>
                <w:rStyle w:val="normaltextrun"/>
                <w:rFonts w:cs="Arial"/>
                <w:color w:val="000000"/>
                <w:sz w:val="22"/>
                <w:szCs w:val="24"/>
                <w:shd w:val="clear" w:color="auto" w:fill="FFFFFF"/>
                <w:lang w:val="en-GB"/>
              </w:rPr>
              <w:t>.</w:t>
            </w:r>
            <w:r w:rsidR="00FC78F0" w:rsidRPr="00360131">
              <w:rPr>
                <w:rStyle w:val="FootnoteReference"/>
                <w:rFonts w:ascii="Arial" w:hAnsi="Arial" w:cs="Arial"/>
                <w:color w:val="000000"/>
                <w:sz w:val="22"/>
                <w:szCs w:val="24"/>
                <w:shd w:val="clear" w:color="auto" w:fill="FFFFFF"/>
                <w:lang w:val="en-GB"/>
              </w:rPr>
              <w:footnoteReference w:id="11"/>
            </w:r>
            <w:r w:rsidRPr="00360131">
              <w:rPr>
                <w:rStyle w:val="normaltextrun"/>
                <w:rFonts w:cs="Arial"/>
                <w:color w:val="000000"/>
                <w:sz w:val="22"/>
                <w:szCs w:val="24"/>
                <w:shd w:val="clear" w:color="auto" w:fill="FFFFFF"/>
                <w:lang w:val="en-GB"/>
              </w:rPr>
              <w:t xml:space="preserve"> </w:t>
            </w:r>
            <w:r w:rsidRPr="00360131">
              <w:rPr>
                <w:rFonts w:cs="Arial"/>
                <w:sz w:val="22"/>
                <w:szCs w:val="24"/>
              </w:rPr>
              <w:t>This project will deliver a water recycling plant</w:t>
            </w:r>
            <w:r w:rsidR="003F3F77" w:rsidRPr="00360131">
              <w:rPr>
                <w:rFonts w:cs="Arial"/>
                <w:sz w:val="22"/>
                <w:szCs w:val="24"/>
              </w:rPr>
              <w:t>,</w:t>
            </w:r>
            <w:r w:rsidRPr="00360131">
              <w:rPr>
                <w:rFonts w:cs="Arial"/>
                <w:sz w:val="22"/>
                <w:szCs w:val="24"/>
              </w:rPr>
              <w:t xml:space="preserve"> that mines the city</w:t>
            </w:r>
            <w:r w:rsidR="00612583" w:rsidRPr="00360131">
              <w:rPr>
                <w:rFonts w:cs="Arial"/>
                <w:sz w:val="22"/>
                <w:szCs w:val="24"/>
              </w:rPr>
              <w:t>’</w:t>
            </w:r>
            <w:r w:rsidRPr="00360131">
              <w:rPr>
                <w:rFonts w:cs="Arial"/>
                <w:sz w:val="22"/>
                <w:szCs w:val="24"/>
              </w:rPr>
              <w:t>s sewage and treats it to Class</w:t>
            </w:r>
            <w:r w:rsidR="00731CEA" w:rsidRPr="00360131">
              <w:rPr>
                <w:rFonts w:cs="Arial"/>
                <w:sz w:val="22"/>
                <w:szCs w:val="24"/>
              </w:rPr>
              <w:t xml:space="preserve"> </w:t>
            </w:r>
            <w:r w:rsidRPr="00360131">
              <w:rPr>
                <w:rFonts w:cs="Arial"/>
                <w:sz w:val="22"/>
                <w:szCs w:val="24"/>
              </w:rPr>
              <w:t>A recycled water</w:t>
            </w:r>
            <w:r w:rsidR="003F3F77" w:rsidRPr="00360131">
              <w:rPr>
                <w:rFonts w:cs="Arial"/>
                <w:sz w:val="22"/>
                <w:szCs w:val="24"/>
              </w:rPr>
              <w:t>,</w:t>
            </w:r>
            <w:r w:rsidR="00671F4E" w:rsidRPr="00360131">
              <w:rPr>
                <w:rFonts w:cs="Arial"/>
                <w:sz w:val="22"/>
                <w:szCs w:val="24"/>
              </w:rPr>
              <w:t xml:space="preserve"> for use within </w:t>
            </w:r>
            <w:r w:rsidR="00C1553A" w:rsidRPr="00360131">
              <w:rPr>
                <w:rFonts w:cs="Arial"/>
                <w:sz w:val="22"/>
                <w:szCs w:val="24"/>
              </w:rPr>
              <w:t xml:space="preserve">its </w:t>
            </w:r>
            <w:r w:rsidR="00671F4E" w:rsidRPr="00360131">
              <w:rPr>
                <w:rFonts w:cs="Arial"/>
                <w:sz w:val="22"/>
                <w:szCs w:val="24"/>
              </w:rPr>
              <w:t>precinct</w:t>
            </w:r>
            <w:r w:rsidR="00C1553A" w:rsidRPr="00360131">
              <w:rPr>
                <w:rFonts w:cs="Arial"/>
                <w:sz w:val="22"/>
                <w:szCs w:val="24"/>
              </w:rPr>
              <w:t>s</w:t>
            </w:r>
            <w:r w:rsidR="000855E4" w:rsidRPr="00360131">
              <w:rPr>
                <w:rFonts w:cs="Arial"/>
                <w:sz w:val="22"/>
                <w:szCs w:val="24"/>
              </w:rPr>
              <w:t>.</w:t>
            </w:r>
            <w:r w:rsidR="00DA76C9" w:rsidRPr="00360131">
              <w:rPr>
                <w:rFonts w:cs="Arial"/>
                <w:sz w:val="22"/>
                <w:szCs w:val="24"/>
              </w:rPr>
              <w:t xml:space="preserve"> </w:t>
            </w:r>
            <w:r w:rsidR="00D94B41" w:rsidRPr="00360131">
              <w:rPr>
                <w:rStyle w:val="normaltextrun"/>
                <w:rFonts w:cs="Arial"/>
                <w:color w:val="000000"/>
                <w:sz w:val="22"/>
                <w:szCs w:val="24"/>
                <w:shd w:val="clear" w:color="auto" w:fill="FFFFFF"/>
                <w:lang w:val="en-GB"/>
              </w:rPr>
              <w:t xml:space="preserve">Both </w:t>
            </w:r>
            <w:r w:rsidR="00671F4E" w:rsidRPr="00360131">
              <w:rPr>
                <w:rStyle w:val="normaltextrun"/>
                <w:rFonts w:cs="Arial"/>
                <w:color w:val="000000"/>
                <w:sz w:val="22"/>
                <w:szCs w:val="24"/>
                <w:shd w:val="clear" w:color="auto" w:fill="FFFFFF"/>
                <w:lang w:val="en-GB"/>
              </w:rPr>
              <w:t xml:space="preserve">the </w:t>
            </w:r>
            <w:r w:rsidR="00D94B41" w:rsidRPr="00360131">
              <w:rPr>
                <w:rStyle w:val="normaltextrun"/>
                <w:rFonts w:cs="Arial"/>
                <w:color w:val="000000"/>
                <w:sz w:val="22"/>
                <w:szCs w:val="24"/>
                <w:shd w:val="clear" w:color="auto" w:fill="FFFFFF"/>
                <w:lang w:val="en-GB"/>
              </w:rPr>
              <w:t xml:space="preserve">framework and strategy specifically identify the water recycling plant as </w:t>
            </w:r>
            <w:r w:rsidR="00D94B41" w:rsidRPr="00360131">
              <w:rPr>
                <w:rStyle w:val="normaltextrun"/>
                <w:rFonts w:cs="Arial"/>
                <w:color w:val="000000"/>
                <w:sz w:val="22"/>
                <w:szCs w:val="24"/>
                <w:shd w:val="clear" w:color="auto" w:fill="FFFFFF"/>
              </w:rPr>
              <w:t>a catalyst project</w:t>
            </w:r>
            <w:r w:rsidR="000D0F08" w:rsidRPr="00360131">
              <w:rPr>
                <w:rStyle w:val="normaltextrun"/>
                <w:rFonts w:cs="Arial"/>
                <w:color w:val="000000"/>
                <w:sz w:val="22"/>
                <w:szCs w:val="24"/>
                <w:shd w:val="clear" w:color="auto" w:fill="FFFFFF"/>
              </w:rPr>
              <w:t>,</w:t>
            </w:r>
            <w:r w:rsidR="00D94B41" w:rsidRPr="00360131">
              <w:rPr>
                <w:rStyle w:val="normaltextrun"/>
                <w:rFonts w:cs="Arial"/>
                <w:color w:val="000000"/>
                <w:sz w:val="22"/>
                <w:szCs w:val="24"/>
                <w:shd w:val="clear" w:color="auto" w:fill="FFFFFF"/>
              </w:rPr>
              <w:t xml:space="preserve"> to provide the community with a </w:t>
            </w:r>
            <w:r w:rsidR="00612583" w:rsidRPr="00360131">
              <w:rPr>
                <w:rStyle w:val="normaltextrun"/>
                <w:rFonts w:cs="Arial"/>
                <w:color w:val="000000"/>
                <w:sz w:val="22"/>
                <w:szCs w:val="24"/>
                <w:shd w:val="clear" w:color="auto" w:fill="FFFFFF"/>
              </w:rPr>
              <w:t>‘</w:t>
            </w:r>
            <w:r w:rsidR="00D94B41" w:rsidRPr="00360131">
              <w:rPr>
                <w:rStyle w:val="normaltextrun"/>
                <w:rFonts w:cs="Arial"/>
                <w:color w:val="000000"/>
                <w:sz w:val="22"/>
                <w:szCs w:val="24"/>
                <w:shd w:val="clear" w:color="auto" w:fill="FFFFFF"/>
              </w:rPr>
              <w:t>fit</w:t>
            </w:r>
            <w:r w:rsidR="00941F4E" w:rsidRPr="00360131">
              <w:rPr>
                <w:rStyle w:val="normaltextrun"/>
                <w:rFonts w:cs="Arial"/>
                <w:color w:val="000000"/>
                <w:sz w:val="22"/>
                <w:szCs w:val="24"/>
                <w:shd w:val="clear" w:color="auto" w:fill="FFFFFF"/>
              </w:rPr>
              <w:t>-</w:t>
            </w:r>
            <w:r w:rsidR="00D94B41" w:rsidRPr="00360131">
              <w:rPr>
                <w:rStyle w:val="normaltextrun"/>
                <w:rFonts w:cs="Arial"/>
                <w:color w:val="000000"/>
                <w:sz w:val="22"/>
                <w:szCs w:val="24"/>
                <w:shd w:val="clear" w:color="auto" w:fill="FFFFFF"/>
              </w:rPr>
              <w:t>for</w:t>
            </w:r>
            <w:r w:rsidR="00941F4E" w:rsidRPr="00360131">
              <w:rPr>
                <w:rStyle w:val="normaltextrun"/>
                <w:rFonts w:cs="Arial"/>
                <w:color w:val="000000"/>
                <w:sz w:val="22"/>
                <w:szCs w:val="24"/>
                <w:shd w:val="clear" w:color="auto" w:fill="FFFFFF"/>
              </w:rPr>
              <w:t>-</w:t>
            </w:r>
            <w:r w:rsidR="00D94B41" w:rsidRPr="00360131">
              <w:rPr>
                <w:rStyle w:val="normaltextrun"/>
                <w:rFonts w:cs="Arial"/>
                <w:color w:val="000000"/>
                <w:sz w:val="22"/>
                <w:szCs w:val="24"/>
                <w:shd w:val="clear" w:color="auto" w:fill="FFFFFF"/>
              </w:rPr>
              <w:t>purpose</w:t>
            </w:r>
            <w:r w:rsidR="00612583" w:rsidRPr="00360131">
              <w:rPr>
                <w:rStyle w:val="normaltextrun"/>
                <w:rFonts w:cs="Arial"/>
                <w:color w:val="000000"/>
                <w:sz w:val="22"/>
                <w:szCs w:val="24"/>
                <w:shd w:val="clear" w:color="auto" w:fill="FFFFFF"/>
              </w:rPr>
              <w:t>’</w:t>
            </w:r>
            <w:r w:rsidR="00D94B41" w:rsidRPr="00360131">
              <w:rPr>
                <w:rStyle w:val="normaltextrun"/>
                <w:rFonts w:cs="Arial"/>
                <w:color w:val="000000"/>
                <w:sz w:val="22"/>
                <w:szCs w:val="24"/>
                <w:shd w:val="clear" w:color="auto" w:fill="FFFFFF"/>
              </w:rPr>
              <w:t xml:space="preserve"> climate</w:t>
            </w:r>
            <w:r w:rsidR="00941F4E" w:rsidRPr="00360131">
              <w:rPr>
                <w:rStyle w:val="normaltextrun"/>
                <w:rFonts w:cs="Arial"/>
                <w:color w:val="000000"/>
                <w:sz w:val="22"/>
                <w:szCs w:val="24"/>
                <w:shd w:val="clear" w:color="auto" w:fill="FFFFFF"/>
              </w:rPr>
              <w:t>-</w:t>
            </w:r>
            <w:r w:rsidR="00D94B41" w:rsidRPr="00360131">
              <w:rPr>
                <w:rStyle w:val="normaltextrun"/>
                <w:rFonts w:cs="Arial"/>
                <w:color w:val="000000"/>
                <w:sz w:val="22"/>
                <w:szCs w:val="24"/>
                <w:shd w:val="clear" w:color="auto" w:fill="FFFFFF"/>
              </w:rPr>
              <w:t>resilient water supply</w:t>
            </w:r>
            <w:r w:rsidRPr="00360131">
              <w:rPr>
                <w:rStyle w:val="normaltextrun"/>
                <w:rFonts w:cs="Arial"/>
                <w:color w:val="000000"/>
                <w:sz w:val="22"/>
                <w:szCs w:val="24"/>
                <w:shd w:val="clear" w:color="auto" w:fill="FFFFFF"/>
              </w:rPr>
              <w:t>.</w:t>
            </w:r>
          </w:p>
        </w:tc>
      </w:tr>
    </w:tbl>
    <w:p w14:paraId="0B5BA86E" w14:textId="2723DBAC" w:rsidR="007B559C" w:rsidRPr="00360131" w:rsidRDefault="007B559C" w:rsidP="007B559C">
      <w:pPr>
        <w:rPr>
          <w:rFonts w:cs="Arial"/>
          <w:sz w:val="22"/>
          <w:szCs w:val="22"/>
        </w:rPr>
      </w:pPr>
    </w:p>
    <w:tbl>
      <w:tblPr>
        <w:tblStyle w:val="MJTableStyle1default"/>
        <w:tblW w:w="9498" w:type="dxa"/>
        <w:tblInd w:w="0" w:type="dxa"/>
        <w:tblLook w:val="06A0" w:firstRow="1" w:lastRow="0" w:firstColumn="1" w:lastColumn="0" w:noHBand="1" w:noVBand="1"/>
      </w:tblPr>
      <w:tblGrid>
        <w:gridCol w:w="9498"/>
      </w:tblGrid>
      <w:tr w:rsidR="007B559C" w:rsidRPr="00157580" w14:paraId="35D64AB3" w14:textId="77777777" w:rsidTr="00360131">
        <w:trPr>
          <w:cnfStyle w:val="100000000000" w:firstRow="1" w:lastRow="0" w:firstColumn="0" w:lastColumn="0" w:oddVBand="0" w:evenVBand="0" w:oddHBand="0" w:evenHBand="0" w:firstRowFirstColumn="0" w:firstRowLastColumn="0" w:lastRowFirstColumn="0" w:lastRowLastColumn="0"/>
          <w:trHeight w:val="482"/>
          <w:tblHeader/>
        </w:trPr>
        <w:tc>
          <w:tcPr>
            <w:tcW w:w="9498" w:type="dxa"/>
            <w:tcBorders>
              <w:top w:val="single" w:sz="2" w:space="0" w:color="002279"/>
              <w:bottom w:val="single" w:sz="2" w:space="0" w:color="002279"/>
            </w:tcBorders>
            <w:shd w:val="clear" w:color="auto" w:fill="002379" w:themeFill="text2"/>
            <w:vAlign w:val="center"/>
          </w:tcPr>
          <w:p w14:paraId="56592B13" w14:textId="77777777" w:rsidR="007B559C" w:rsidRPr="00360131" w:rsidRDefault="007B559C" w:rsidP="00E017F2">
            <w:pPr>
              <w:spacing w:before="60" w:after="60" w:line="259" w:lineRule="auto"/>
              <w:rPr>
                <w:rFonts w:ascii="Arial" w:hAnsi="Arial" w:cs="Arial"/>
                <w:b/>
                <w:sz w:val="22"/>
                <w:szCs w:val="22"/>
              </w:rPr>
            </w:pPr>
            <w:r w:rsidRPr="00360131">
              <w:rPr>
                <w:rFonts w:ascii="Arial" w:hAnsi="Arial" w:cs="Arial"/>
                <w:b/>
                <w:sz w:val="22"/>
                <w:szCs w:val="22"/>
              </w:rPr>
              <w:t>PROJECT 8: Dingley Recycled Water Scheme</w:t>
            </w:r>
          </w:p>
        </w:tc>
      </w:tr>
      <w:tr w:rsidR="007B559C" w:rsidRPr="00157580" w14:paraId="0A5B1F56" w14:textId="77777777" w:rsidTr="00360131">
        <w:tc>
          <w:tcPr>
            <w:tcW w:w="9498" w:type="dxa"/>
            <w:tcBorders>
              <w:top w:val="single" w:sz="2" w:space="0" w:color="002279"/>
              <w:bottom w:val="single" w:sz="2" w:space="0" w:color="002279"/>
            </w:tcBorders>
          </w:tcPr>
          <w:p w14:paraId="78FC83D9" w14:textId="4996FEF3" w:rsidR="007B559C" w:rsidRPr="00360131" w:rsidRDefault="007B559C" w:rsidP="00375EBC">
            <w:pPr>
              <w:rPr>
                <w:rFonts w:ascii="Arial" w:hAnsi="Arial" w:cs="Arial"/>
                <w:b/>
                <w:sz w:val="22"/>
              </w:rPr>
            </w:pPr>
            <w:r w:rsidRPr="00360131">
              <w:rPr>
                <w:rFonts w:cs="Arial"/>
                <w:b/>
                <w:sz w:val="22"/>
                <w:szCs w:val="24"/>
              </w:rPr>
              <w:t>Investment portfolio</w:t>
            </w:r>
            <w:r w:rsidRPr="00360131">
              <w:rPr>
                <w:rFonts w:cs="Arial"/>
                <w:sz w:val="22"/>
                <w:szCs w:val="24"/>
              </w:rPr>
              <w:t xml:space="preserve">: IWM </w:t>
            </w:r>
            <w:r w:rsidR="000D0F08" w:rsidRPr="00360131">
              <w:rPr>
                <w:rFonts w:cs="Arial"/>
                <w:sz w:val="22"/>
                <w:szCs w:val="24"/>
              </w:rPr>
              <w:t>s</w:t>
            </w:r>
            <w:r w:rsidRPr="00360131">
              <w:rPr>
                <w:rFonts w:cs="Arial"/>
                <w:sz w:val="22"/>
                <w:szCs w:val="24"/>
              </w:rPr>
              <w:t>chemes</w:t>
            </w:r>
          </w:p>
        </w:tc>
      </w:tr>
      <w:tr w:rsidR="007B559C" w:rsidRPr="00157580" w14:paraId="46E44800" w14:textId="77777777" w:rsidTr="00360131">
        <w:tc>
          <w:tcPr>
            <w:tcW w:w="9498" w:type="dxa"/>
            <w:tcBorders>
              <w:top w:val="single" w:sz="2" w:space="0" w:color="002279"/>
              <w:bottom w:val="single" w:sz="2" w:space="0" w:color="002279"/>
            </w:tcBorders>
          </w:tcPr>
          <w:p w14:paraId="64CDD153" w14:textId="4FF8D07B" w:rsidR="007B559C" w:rsidRPr="00360131" w:rsidRDefault="007B559C" w:rsidP="00375EBC">
            <w:pPr>
              <w:rPr>
                <w:rFonts w:ascii="Arial" w:hAnsi="Arial" w:cs="Arial"/>
                <w:b/>
                <w:sz w:val="22"/>
              </w:rPr>
            </w:pPr>
            <w:r w:rsidRPr="00360131">
              <w:rPr>
                <w:rFonts w:cs="Arial"/>
                <w:b/>
                <w:sz w:val="22"/>
                <w:szCs w:val="24"/>
              </w:rPr>
              <w:t xml:space="preserve">Total cost: </w:t>
            </w:r>
            <w:r w:rsidRPr="00360131">
              <w:rPr>
                <w:rFonts w:cs="Arial"/>
                <w:sz w:val="22"/>
                <w:szCs w:val="24"/>
              </w:rPr>
              <w:t>$41.1m</w:t>
            </w:r>
            <w:r w:rsidR="0042703A" w:rsidRPr="008A0897">
              <w:rPr>
                <w:rStyle w:val="FootnoteReference"/>
                <w:rFonts w:ascii="Arial" w:hAnsi="Arial" w:cs="Arial"/>
                <w:color w:val="auto"/>
                <w:sz w:val="22"/>
                <w:szCs w:val="24"/>
              </w:rPr>
              <w:footnoteReference w:id="12"/>
            </w:r>
          </w:p>
        </w:tc>
      </w:tr>
      <w:tr w:rsidR="007B559C" w:rsidRPr="00157580" w14:paraId="418F257C" w14:textId="77777777" w:rsidTr="00360131">
        <w:tc>
          <w:tcPr>
            <w:tcW w:w="9498" w:type="dxa"/>
            <w:tcBorders>
              <w:top w:val="single" w:sz="2" w:space="0" w:color="002279"/>
              <w:bottom w:val="single" w:sz="2" w:space="0" w:color="002279"/>
            </w:tcBorders>
          </w:tcPr>
          <w:p w14:paraId="3EAB0297" w14:textId="28A318CF" w:rsidR="007B559C" w:rsidRPr="00360131" w:rsidRDefault="007B559C" w:rsidP="00375EBC">
            <w:pPr>
              <w:spacing w:line="259" w:lineRule="auto"/>
              <w:rPr>
                <w:rFonts w:ascii="Arial" w:hAnsi="Arial" w:cs="Arial"/>
                <w:sz w:val="22"/>
              </w:rPr>
            </w:pPr>
            <w:r w:rsidRPr="00360131">
              <w:rPr>
                <w:rFonts w:cs="Arial"/>
                <w:b/>
                <w:sz w:val="22"/>
                <w:szCs w:val="24"/>
              </w:rPr>
              <w:t>2023</w:t>
            </w:r>
            <w:r w:rsidR="00310E2A" w:rsidRPr="00360131">
              <w:rPr>
                <w:rFonts w:cs="Arial"/>
                <w:b/>
                <w:sz w:val="22"/>
                <w:szCs w:val="24"/>
              </w:rPr>
              <w:t>–</w:t>
            </w:r>
            <w:r w:rsidRPr="00360131">
              <w:rPr>
                <w:rFonts w:cs="Arial"/>
                <w:b/>
                <w:sz w:val="22"/>
                <w:szCs w:val="24"/>
              </w:rPr>
              <w:t xml:space="preserve">28 cost and timing: </w:t>
            </w:r>
            <w:r w:rsidRPr="00360131">
              <w:rPr>
                <w:rFonts w:cs="Arial"/>
                <w:sz w:val="22"/>
                <w:szCs w:val="24"/>
              </w:rPr>
              <w:t>$2</w:t>
            </w:r>
            <w:r w:rsidR="0024248F">
              <w:rPr>
                <w:rFonts w:cs="Arial"/>
                <w:sz w:val="22"/>
                <w:szCs w:val="24"/>
              </w:rPr>
              <w:t>8.97</w:t>
            </w:r>
            <w:r w:rsidRPr="00360131">
              <w:rPr>
                <w:rFonts w:cs="Arial"/>
                <w:sz w:val="22"/>
                <w:szCs w:val="24"/>
              </w:rPr>
              <w:t>m (2023</w:t>
            </w:r>
            <w:r w:rsidR="00310E2A" w:rsidRPr="00360131">
              <w:rPr>
                <w:rFonts w:cs="Arial"/>
                <w:sz w:val="22"/>
                <w:szCs w:val="24"/>
              </w:rPr>
              <w:t>–</w:t>
            </w:r>
            <w:r w:rsidR="007B32E8" w:rsidRPr="00360131">
              <w:rPr>
                <w:rFonts w:cs="Arial"/>
                <w:sz w:val="22"/>
                <w:szCs w:val="24"/>
              </w:rPr>
              <w:t>28</w:t>
            </w:r>
            <w:r w:rsidRPr="00360131">
              <w:rPr>
                <w:rFonts w:cs="Arial"/>
                <w:sz w:val="22"/>
                <w:szCs w:val="24"/>
              </w:rPr>
              <w:t>)</w:t>
            </w:r>
          </w:p>
        </w:tc>
      </w:tr>
      <w:tr w:rsidR="007B559C" w:rsidRPr="00157580" w14:paraId="62245ED3" w14:textId="77777777" w:rsidTr="00360131">
        <w:tc>
          <w:tcPr>
            <w:tcW w:w="9498" w:type="dxa"/>
            <w:tcBorders>
              <w:top w:val="single" w:sz="2" w:space="0" w:color="002279"/>
              <w:bottom w:val="single" w:sz="2" w:space="0" w:color="002279"/>
            </w:tcBorders>
          </w:tcPr>
          <w:p w14:paraId="2B9DDC97" w14:textId="22E28B34" w:rsidR="007B559C" w:rsidRPr="00360131" w:rsidRDefault="007B559C" w:rsidP="00375EBC">
            <w:pPr>
              <w:spacing w:line="259" w:lineRule="auto"/>
              <w:rPr>
                <w:rFonts w:ascii="Arial" w:hAnsi="Arial" w:cs="Arial"/>
                <w:sz w:val="22"/>
              </w:rPr>
            </w:pPr>
            <w:r w:rsidRPr="00360131">
              <w:rPr>
                <w:rFonts w:cs="Arial"/>
                <w:b/>
                <w:sz w:val="22"/>
                <w:szCs w:val="24"/>
              </w:rPr>
              <w:t>Service category:</w:t>
            </w:r>
            <w:r w:rsidRPr="00360131">
              <w:rPr>
                <w:rFonts w:cs="Arial"/>
                <w:sz w:val="22"/>
                <w:szCs w:val="24"/>
              </w:rPr>
              <w:t xml:space="preserve"> Recycled </w:t>
            </w:r>
            <w:r w:rsidR="006B3AAC" w:rsidRPr="00360131">
              <w:rPr>
                <w:rFonts w:cs="Arial"/>
                <w:sz w:val="22"/>
                <w:szCs w:val="24"/>
              </w:rPr>
              <w:t>w</w:t>
            </w:r>
            <w:r w:rsidRPr="00360131">
              <w:rPr>
                <w:rFonts w:cs="Arial"/>
                <w:sz w:val="22"/>
                <w:szCs w:val="24"/>
              </w:rPr>
              <w:t>ater</w:t>
            </w:r>
          </w:p>
        </w:tc>
      </w:tr>
      <w:tr w:rsidR="007B559C" w:rsidRPr="00157580" w14:paraId="0CA56E47" w14:textId="77777777" w:rsidTr="00360131">
        <w:tc>
          <w:tcPr>
            <w:tcW w:w="9498" w:type="dxa"/>
            <w:tcBorders>
              <w:top w:val="single" w:sz="2" w:space="0" w:color="002279"/>
              <w:bottom w:val="single" w:sz="2" w:space="0" w:color="002279"/>
            </w:tcBorders>
          </w:tcPr>
          <w:p w14:paraId="538767C9" w14:textId="40BF980E" w:rsidR="007B559C" w:rsidRPr="00360131" w:rsidRDefault="007B559C" w:rsidP="00375EBC">
            <w:pPr>
              <w:spacing w:line="259" w:lineRule="auto"/>
              <w:rPr>
                <w:rFonts w:ascii="Arial" w:hAnsi="Arial" w:cs="Arial"/>
                <w:b/>
                <w:sz w:val="22"/>
              </w:rPr>
            </w:pPr>
            <w:r w:rsidRPr="00360131">
              <w:rPr>
                <w:rFonts w:cs="Arial"/>
                <w:b/>
                <w:sz w:val="22"/>
                <w:szCs w:val="24"/>
              </w:rPr>
              <w:t xml:space="preserve">Cost </w:t>
            </w:r>
            <w:r w:rsidR="000D0F08" w:rsidRPr="00360131">
              <w:rPr>
                <w:rFonts w:cs="Arial"/>
                <w:b/>
                <w:sz w:val="22"/>
                <w:szCs w:val="24"/>
              </w:rPr>
              <w:t>d</w:t>
            </w:r>
            <w:r w:rsidRPr="00360131">
              <w:rPr>
                <w:rFonts w:cs="Arial"/>
                <w:b/>
                <w:sz w:val="22"/>
                <w:szCs w:val="24"/>
              </w:rPr>
              <w:t xml:space="preserve">river category: </w:t>
            </w:r>
            <w:r w:rsidR="000D514B" w:rsidRPr="00360131">
              <w:rPr>
                <w:rFonts w:cs="Arial"/>
                <w:sz w:val="22"/>
                <w:szCs w:val="24"/>
              </w:rPr>
              <w:t>Growth</w:t>
            </w:r>
          </w:p>
        </w:tc>
      </w:tr>
      <w:tr w:rsidR="007865A3" w:rsidRPr="00157580" w14:paraId="285CC0BA" w14:textId="77777777" w:rsidTr="00360131">
        <w:tc>
          <w:tcPr>
            <w:tcW w:w="9498" w:type="dxa"/>
            <w:tcBorders>
              <w:top w:val="single" w:sz="2" w:space="0" w:color="002279"/>
              <w:bottom w:val="single" w:sz="2" w:space="0" w:color="002279"/>
            </w:tcBorders>
          </w:tcPr>
          <w:p w14:paraId="0E9294A2" w14:textId="77777777" w:rsidR="007865A3" w:rsidRPr="00360131" w:rsidRDefault="007865A3" w:rsidP="006F49BD">
            <w:pPr>
              <w:spacing w:line="259" w:lineRule="auto"/>
              <w:rPr>
                <w:rFonts w:ascii="Arial" w:hAnsi="Arial" w:cs="Arial"/>
                <w:b/>
                <w:sz w:val="22"/>
              </w:rPr>
            </w:pPr>
            <w:r w:rsidRPr="00360131">
              <w:rPr>
                <w:rFonts w:cs="Arial"/>
                <w:b/>
                <w:sz w:val="22"/>
                <w:szCs w:val="24"/>
              </w:rPr>
              <w:t xml:space="preserve">Asset category: </w:t>
            </w:r>
            <w:r w:rsidRPr="00360131">
              <w:rPr>
                <w:rFonts w:cs="Arial"/>
                <w:sz w:val="22"/>
                <w:szCs w:val="24"/>
              </w:rPr>
              <w:t>Pipelines/network</w:t>
            </w:r>
          </w:p>
        </w:tc>
      </w:tr>
      <w:tr w:rsidR="007B559C" w:rsidRPr="00157580" w14:paraId="0BC8DF6A" w14:textId="77777777" w:rsidTr="00360131">
        <w:tc>
          <w:tcPr>
            <w:tcW w:w="9498" w:type="dxa"/>
            <w:tcBorders>
              <w:top w:val="single" w:sz="2" w:space="0" w:color="002279"/>
              <w:bottom w:val="single" w:sz="2" w:space="0" w:color="002279"/>
            </w:tcBorders>
          </w:tcPr>
          <w:p w14:paraId="41844E9E" w14:textId="77777777" w:rsidR="007B559C" w:rsidRPr="00360131" w:rsidRDefault="007B559C" w:rsidP="00375EBC">
            <w:pPr>
              <w:spacing w:line="259" w:lineRule="auto"/>
              <w:rPr>
                <w:rFonts w:ascii="Arial" w:hAnsi="Arial" w:cs="Arial"/>
                <w:b/>
                <w:sz w:val="22"/>
              </w:rPr>
            </w:pPr>
            <w:r w:rsidRPr="00360131">
              <w:rPr>
                <w:rFonts w:cs="Arial"/>
                <w:b/>
                <w:sz w:val="22"/>
                <w:szCs w:val="24"/>
              </w:rPr>
              <w:t>Description:</w:t>
            </w:r>
            <w:r w:rsidRPr="00360131">
              <w:rPr>
                <w:rFonts w:cs="Arial"/>
                <w:sz w:val="22"/>
                <w:szCs w:val="24"/>
              </w:rPr>
              <w:t xml:space="preserve"> Construction of a distribution main to service the Dingley Green Wedge with Class A recycled water</w:t>
            </w:r>
          </w:p>
        </w:tc>
      </w:tr>
      <w:tr w:rsidR="007B559C" w:rsidRPr="00157580" w14:paraId="215D499A" w14:textId="77777777" w:rsidTr="00360131">
        <w:tc>
          <w:tcPr>
            <w:tcW w:w="9498" w:type="dxa"/>
            <w:tcBorders>
              <w:top w:val="single" w:sz="2" w:space="0" w:color="002279"/>
              <w:bottom w:val="single" w:sz="2" w:space="0" w:color="002279"/>
            </w:tcBorders>
          </w:tcPr>
          <w:p w14:paraId="342F9B15" w14:textId="11393186" w:rsidR="007B559C" w:rsidRPr="00360131" w:rsidRDefault="008D7061" w:rsidP="00375EBC">
            <w:pPr>
              <w:spacing w:line="259" w:lineRule="auto"/>
              <w:rPr>
                <w:rFonts w:ascii="Arial" w:hAnsi="Arial" w:cs="Arial"/>
                <w:b/>
                <w:sz w:val="22"/>
              </w:rPr>
            </w:pPr>
            <w:r w:rsidRPr="00360131">
              <w:rPr>
                <w:rFonts w:cs="Arial"/>
                <w:b/>
                <w:sz w:val="22"/>
                <w:szCs w:val="24"/>
              </w:rPr>
              <w:t xml:space="preserve">Customer </w:t>
            </w:r>
            <w:r w:rsidR="0040297D" w:rsidRPr="00360131">
              <w:rPr>
                <w:rFonts w:cs="Arial"/>
                <w:b/>
                <w:sz w:val="22"/>
                <w:szCs w:val="24"/>
              </w:rPr>
              <w:t>o</w:t>
            </w:r>
            <w:r w:rsidR="007B559C" w:rsidRPr="00360131">
              <w:rPr>
                <w:rFonts w:cs="Arial"/>
                <w:b/>
                <w:sz w:val="22"/>
                <w:szCs w:val="24"/>
              </w:rPr>
              <w:t>utcome:</w:t>
            </w:r>
            <w:r w:rsidR="007B559C" w:rsidRPr="00360131">
              <w:rPr>
                <w:rFonts w:cs="Arial"/>
                <w:sz w:val="22"/>
                <w:szCs w:val="24"/>
              </w:rPr>
              <w:t xml:space="preserve"> </w:t>
            </w:r>
            <w:r w:rsidR="007B559C" w:rsidRPr="00360131">
              <w:rPr>
                <w:rFonts w:cs="Arial"/>
                <w:i/>
                <w:sz w:val="22"/>
                <w:szCs w:val="24"/>
              </w:rPr>
              <w:t>Fair and affordable for all</w:t>
            </w:r>
            <w:r w:rsidR="007B559C" w:rsidRPr="00360131">
              <w:rPr>
                <w:rFonts w:cs="Arial"/>
                <w:sz w:val="22"/>
                <w:szCs w:val="24"/>
              </w:rPr>
              <w:t xml:space="preserve">; </w:t>
            </w:r>
            <w:r w:rsidR="007B559C" w:rsidRPr="00360131">
              <w:rPr>
                <w:rFonts w:cs="Arial"/>
                <w:i/>
                <w:sz w:val="22"/>
                <w:szCs w:val="24"/>
              </w:rPr>
              <w:t>Support my community, protect our environment</w:t>
            </w:r>
          </w:p>
        </w:tc>
      </w:tr>
      <w:tr w:rsidR="007B559C" w:rsidRPr="00157580" w14:paraId="4EACDE33" w14:textId="77777777" w:rsidTr="00360131">
        <w:tc>
          <w:tcPr>
            <w:tcW w:w="9498" w:type="dxa"/>
            <w:tcBorders>
              <w:top w:val="single" w:sz="2" w:space="0" w:color="002279"/>
              <w:bottom w:val="single" w:sz="2" w:space="0" w:color="002279"/>
            </w:tcBorders>
          </w:tcPr>
          <w:p w14:paraId="12DD4BAD" w14:textId="77777777" w:rsidR="007B559C" w:rsidRPr="00360131" w:rsidRDefault="007B559C" w:rsidP="00375EBC">
            <w:pPr>
              <w:spacing w:line="259" w:lineRule="auto"/>
              <w:rPr>
                <w:rFonts w:ascii="Arial" w:hAnsi="Arial" w:cs="Arial"/>
                <w:sz w:val="22"/>
              </w:rPr>
            </w:pPr>
            <w:r w:rsidRPr="00360131">
              <w:rPr>
                <w:rFonts w:cs="Arial"/>
                <w:b/>
                <w:sz w:val="22"/>
                <w:szCs w:val="24"/>
              </w:rPr>
              <w:t>Current risk rating:</w:t>
            </w:r>
            <w:r w:rsidRPr="00360131">
              <w:rPr>
                <w:rFonts w:cs="Arial"/>
                <w:sz w:val="22"/>
                <w:szCs w:val="24"/>
              </w:rPr>
              <w:t xml:space="preserve"> High</w:t>
            </w:r>
          </w:p>
        </w:tc>
      </w:tr>
      <w:tr w:rsidR="007B559C" w:rsidRPr="00157580" w14:paraId="043CF7B0" w14:textId="77777777" w:rsidTr="00360131">
        <w:tc>
          <w:tcPr>
            <w:tcW w:w="9498" w:type="dxa"/>
            <w:tcBorders>
              <w:top w:val="single" w:sz="2" w:space="0" w:color="002279"/>
              <w:bottom w:val="single" w:sz="2" w:space="0" w:color="002279"/>
            </w:tcBorders>
          </w:tcPr>
          <w:p w14:paraId="58D526C3" w14:textId="7019C64F" w:rsidR="007B559C" w:rsidRPr="00360131" w:rsidRDefault="007B559C" w:rsidP="00375EBC">
            <w:pPr>
              <w:spacing w:line="259" w:lineRule="auto"/>
              <w:rPr>
                <w:rFonts w:ascii="Arial" w:hAnsi="Arial" w:cs="Arial"/>
                <w:b/>
                <w:sz w:val="22"/>
              </w:rPr>
            </w:pPr>
            <w:r w:rsidRPr="00360131">
              <w:rPr>
                <w:rFonts w:cs="Arial"/>
                <w:b/>
                <w:sz w:val="22"/>
                <w:szCs w:val="24"/>
              </w:rPr>
              <w:lastRenderedPageBreak/>
              <w:t xml:space="preserve">Risk rating </w:t>
            </w:r>
            <w:r w:rsidR="00017665" w:rsidRPr="00360131">
              <w:rPr>
                <w:rFonts w:cs="Arial"/>
                <w:b/>
                <w:sz w:val="22"/>
                <w:szCs w:val="24"/>
              </w:rPr>
              <w:t>post-investment</w:t>
            </w:r>
            <w:r w:rsidRPr="00360131">
              <w:rPr>
                <w:rFonts w:cs="Arial"/>
                <w:b/>
                <w:sz w:val="22"/>
                <w:szCs w:val="24"/>
              </w:rPr>
              <w:t xml:space="preserve">: </w:t>
            </w:r>
            <w:r w:rsidRPr="00360131">
              <w:rPr>
                <w:rFonts w:cs="Arial"/>
                <w:sz w:val="22"/>
                <w:szCs w:val="24"/>
              </w:rPr>
              <w:t>Low</w:t>
            </w:r>
          </w:p>
        </w:tc>
      </w:tr>
      <w:tr w:rsidR="007B559C" w:rsidRPr="00157580" w14:paraId="61C467EC" w14:textId="77777777" w:rsidTr="00360131">
        <w:tc>
          <w:tcPr>
            <w:tcW w:w="9498" w:type="dxa"/>
            <w:tcBorders>
              <w:top w:val="single" w:sz="2" w:space="0" w:color="002279"/>
              <w:bottom w:val="single" w:sz="2" w:space="0" w:color="002279"/>
            </w:tcBorders>
          </w:tcPr>
          <w:p w14:paraId="31F6BD2E" w14:textId="4BF4D10F" w:rsidR="007B559C" w:rsidRPr="00360131" w:rsidRDefault="007B559C" w:rsidP="00375EBC">
            <w:pPr>
              <w:spacing w:line="259" w:lineRule="auto"/>
              <w:rPr>
                <w:rFonts w:ascii="Arial" w:hAnsi="Arial" w:cs="Arial"/>
                <w:sz w:val="22"/>
              </w:rPr>
            </w:pPr>
            <w:r w:rsidRPr="00360131">
              <w:rPr>
                <w:rFonts w:cs="Arial"/>
                <w:b/>
                <w:sz w:val="22"/>
                <w:szCs w:val="24"/>
              </w:rPr>
              <w:t xml:space="preserve">Background: </w:t>
            </w:r>
            <w:r w:rsidRPr="00360131">
              <w:rPr>
                <w:rFonts w:cs="Arial"/>
                <w:sz w:val="22"/>
                <w:szCs w:val="24"/>
              </w:rPr>
              <w:t>Population and business growth in Melbourne</w:t>
            </w:r>
            <w:r w:rsidR="00612583" w:rsidRPr="00360131">
              <w:rPr>
                <w:rFonts w:cs="Arial"/>
                <w:sz w:val="22"/>
                <w:szCs w:val="24"/>
              </w:rPr>
              <w:t>’</w:t>
            </w:r>
            <w:r w:rsidRPr="00360131">
              <w:rPr>
                <w:rFonts w:cs="Arial"/>
                <w:sz w:val="22"/>
                <w:szCs w:val="24"/>
              </w:rPr>
              <w:t xml:space="preserve">s </w:t>
            </w:r>
            <w:r w:rsidR="008C019F" w:rsidRPr="00360131">
              <w:rPr>
                <w:rFonts w:cs="Arial"/>
                <w:sz w:val="22"/>
                <w:szCs w:val="24"/>
              </w:rPr>
              <w:t>south</w:t>
            </w:r>
            <w:r w:rsidR="001A5374" w:rsidRPr="00360131">
              <w:rPr>
                <w:rFonts w:cs="Arial"/>
                <w:sz w:val="22"/>
                <w:szCs w:val="24"/>
              </w:rPr>
              <w:t>-</w:t>
            </w:r>
            <w:r w:rsidR="008C019F" w:rsidRPr="00360131">
              <w:rPr>
                <w:rFonts w:cs="Arial"/>
                <w:sz w:val="22"/>
                <w:szCs w:val="24"/>
              </w:rPr>
              <w:t>east</w:t>
            </w:r>
            <w:r w:rsidRPr="00360131">
              <w:rPr>
                <w:rFonts w:cs="Arial"/>
                <w:sz w:val="22"/>
                <w:szCs w:val="24"/>
              </w:rPr>
              <w:t xml:space="preserve"> is increasing the demand for water and placing pressure on existing water resources. </w:t>
            </w:r>
            <w:r w:rsidRPr="00360131">
              <w:rPr>
                <w:rStyle w:val="normaltextrun"/>
                <w:rFonts w:cs="Arial"/>
                <w:color w:val="000000"/>
                <w:sz w:val="22"/>
                <w:szCs w:val="24"/>
                <w:shd w:val="clear" w:color="auto" w:fill="FFFFFF"/>
              </w:rPr>
              <w:t>In the Dingley Green Wedge</w:t>
            </w:r>
            <w:r w:rsidR="0028773D" w:rsidRPr="008A0897">
              <w:rPr>
                <w:rStyle w:val="FootnoteReference"/>
                <w:rFonts w:ascii="Arial" w:hAnsi="Arial" w:cs="Arial"/>
                <w:color w:val="auto"/>
                <w:sz w:val="22"/>
                <w:szCs w:val="24"/>
              </w:rPr>
              <w:footnoteReference w:id="13"/>
            </w:r>
            <w:r w:rsidRPr="00360131">
              <w:rPr>
                <w:rStyle w:val="normaltextrun"/>
                <w:rFonts w:cs="Arial"/>
                <w:color w:val="000000"/>
                <w:sz w:val="22"/>
                <w:szCs w:val="24"/>
                <w:shd w:val="clear" w:color="auto" w:fill="FFFFFF"/>
              </w:rPr>
              <w:t>, the population is forecast to almost double by 2065.</w:t>
            </w:r>
            <w:r w:rsidR="0028773D" w:rsidRPr="00360131">
              <w:rPr>
                <w:rStyle w:val="eop"/>
                <w:rFonts w:cs="Arial"/>
                <w:color w:val="000000"/>
                <w:sz w:val="22"/>
                <w:szCs w:val="24"/>
                <w:shd w:val="clear" w:color="auto" w:fill="FFFFFF"/>
              </w:rPr>
              <w:t> </w:t>
            </w:r>
            <w:r w:rsidR="0028773D" w:rsidRPr="00360131">
              <w:rPr>
                <w:rFonts w:cs="Arial"/>
                <w:sz w:val="22"/>
                <w:szCs w:val="24"/>
              </w:rPr>
              <w:t>In addition</w:t>
            </w:r>
            <w:r w:rsidRPr="00360131">
              <w:rPr>
                <w:rFonts w:cs="Arial"/>
                <w:sz w:val="22"/>
                <w:szCs w:val="24"/>
              </w:rPr>
              <w:t>, recreation and agricultural users in the area are experiencing water security issues</w:t>
            </w:r>
            <w:r w:rsidR="001F3873" w:rsidRPr="00360131">
              <w:rPr>
                <w:rFonts w:cs="Arial"/>
                <w:sz w:val="22"/>
                <w:szCs w:val="24"/>
              </w:rPr>
              <w:t>,</w:t>
            </w:r>
            <w:r w:rsidRPr="00360131">
              <w:rPr>
                <w:rFonts w:cs="Arial"/>
                <w:sz w:val="22"/>
                <w:szCs w:val="24"/>
              </w:rPr>
              <w:t xml:space="preserve"> due </w:t>
            </w:r>
            <w:r w:rsidR="009317CD" w:rsidRPr="00360131">
              <w:rPr>
                <w:rFonts w:cs="Arial"/>
                <w:sz w:val="22"/>
                <w:szCs w:val="24"/>
              </w:rPr>
              <w:t xml:space="preserve">to </w:t>
            </w:r>
            <w:r w:rsidR="00F4537E" w:rsidRPr="00360131">
              <w:rPr>
                <w:rFonts w:cs="Arial"/>
                <w:sz w:val="22"/>
                <w:szCs w:val="24"/>
              </w:rPr>
              <w:t>climate change and</w:t>
            </w:r>
            <w:r w:rsidRPr="00360131">
              <w:rPr>
                <w:rFonts w:cs="Arial"/>
                <w:sz w:val="22"/>
                <w:szCs w:val="24"/>
              </w:rPr>
              <w:t xml:space="preserve"> a lack of year-round stormwater and bore water for irrigation purposes. Potable water is currently used to supplement other water sources for uses</w:t>
            </w:r>
            <w:r w:rsidR="00980BC1" w:rsidRPr="00360131">
              <w:rPr>
                <w:rFonts w:cs="Arial"/>
                <w:sz w:val="22"/>
                <w:szCs w:val="24"/>
              </w:rPr>
              <w:t>,</w:t>
            </w:r>
            <w:r w:rsidRPr="00360131">
              <w:rPr>
                <w:rFonts w:cs="Arial"/>
                <w:sz w:val="22"/>
                <w:szCs w:val="24"/>
              </w:rPr>
              <w:t xml:space="preserve"> such as irrigating greenspace</w:t>
            </w:r>
            <w:r w:rsidR="00980BC1" w:rsidRPr="00360131">
              <w:rPr>
                <w:rFonts w:cs="Arial"/>
                <w:sz w:val="22"/>
                <w:szCs w:val="24"/>
              </w:rPr>
              <w:t>,</w:t>
            </w:r>
            <w:r w:rsidRPr="00360131">
              <w:rPr>
                <w:rFonts w:cs="Arial"/>
                <w:sz w:val="22"/>
                <w:szCs w:val="24"/>
              </w:rPr>
              <w:t xml:space="preserve"> and this does not meet community and customer expectations. This project, which </w:t>
            </w:r>
            <w:r w:rsidR="006E2CBA" w:rsidRPr="00360131">
              <w:rPr>
                <w:rFonts w:cs="Arial"/>
                <w:sz w:val="22"/>
                <w:szCs w:val="24"/>
              </w:rPr>
              <w:t>we</w:t>
            </w:r>
            <w:r w:rsidRPr="00360131">
              <w:rPr>
                <w:rFonts w:cs="Arial"/>
                <w:sz w:val="22"/>
                <w:szCs w:val="24"/>
              </w:rPr>
              <w:t xml:space="preserve"> committed to under the IWM </w:t>
            </w:r>
            <w:r w:rsidR="008B7F54" w:rsidRPr="00360131">
              <w:rPr>
                <w:rFonts w:cs="Arial"/>
                <w:sz w:val="22"/>
                <w:szCs w:val="24"/>
              </w:rPr>
              <w:t>f</w:t>
            </w:r>
            <w:r w:rsidRPr="00360131">
              <w:rPr>
                <w:rFonts w:cs="Arial"/>
                <w:sz w:val="22"/>
                <w:szCs w:val="24"/>
              </w:rPr>
              <w:t>orum</w:t>
            </w:r>
            <w:r w:rsidR="005D4DC5" w:rsidRPr="008A0897">
              <w:rPr>
                <w:rStyle w:val="FootnoteReference"/>
                <w:rFonts w:ascii="Arial" w:hAnsi="Arial" w:cs="Arial"/>
                <w:color w:val="auto"/>
                <w:sz w:val="22"/>
                <w:szCs w:val="24"/>
              </w:rPr>
              <w:footnoteReference w:id="14"/>
            </w:r>
            <w:r w:rsidRPr="008A0897">
              <w:rPr>
                <w:rFonts w:cs="Arial"/>
                <w:sz w:val="22"/>
                <w:szCs w:val="24"/>
              </w:rPr>
              <w:t xml:space="preserve"> </w:t>
            </w:r>
            <w:r w:rsidRPr="00360131">
              <w:rPr>
                <w:rFonts w:cs="Arial"/>
                <w:sz w:val="22"/>
                <w:szCs w:val="24"/>
              </w:rPr>
              <w:t xml:space="preserve">process, </w:t>
            </w:r>
            <w:r w:rsidRPr="00360131">
              <w:rPr>
                <w:rStyle w:val="normaltextrun"/>
                <w:rFonts w:cs="Arial"/>
                <w:color w:val="000000"/>
                <w:sz w:val="22"/>
                <w:szCs w:val="24"/>
                <w:shd w:val="clear" w:color="auto" w:fill="FFFFFF"/>
              </w:rPr>
              <w:t xml:space="preserve">will deliver a trunk main </w:t>
            </w:r>
            <w:r w:rsidR="005F52B5" w:rsidRPr="00360131">
              <w:rPr>
                <w:rStyle w:val="normaltextrun"/>
                <w:rFonts w:cs="Arial"/>
                <w:color w:val="000000"/>
                <w:sz w:val="22"/>
                <w:szCs w:val="24"/>
                <w:shd w:val="clear" w:color="auto" w:fill="FFFFFF"/>
              </w:rPr>
              <w:t>that connects</w:t>
            </w:r>
            <w:r w:rsidRPr="00360131">
              <w:rPr>
                <w:rStyle w:val="normaltextrun"/>
                <w:rFonts w:cs="Arial"/>
                <w:color w:val="000000"/>
                <w:sz w:val="22"/>
                <w:szCs w:val="24"/>
                <w:shd w:val="clear" w:color="auto" w:fill="FFFFFF"/>
              </w:rPr>
              <w:t xml:space="preserve"> to the </w:t>
            </w:r>
            <w:r w:rsidRPr="00360131">
              <w:rPr>
                <w:rStyle w:val="findhit"/>
                <w:rFonts w:cs="Arial"/>
                <w:color w:val="000000"/>
                <w:sz w:val="22"/>
                <w:szCs w:val="24"/>
                <w:shd w:val="clear" w:color="auto" w:fill="FFFFFF"/>
              </w:rPr>
              <w:t>South Eastern Outfall</w:t>
            </w:r>
            <w:r w:rsidRPr="00360131">
              <w:rPr>
                <w:rStyle w:val="normaltextrun"/>
                <w:rFonts w:cs="Arial"/>
                <w:color w:val="000000"/>
                <w:sz w:val="22"/>
                <w:szCs w:val="24"/>
                <w:shd w:val="clear" w:color="auto" w:fill="FFFFFF"/>
              </w:rPr>
              <w:t xml:space="preserve"> and new reticulation </w:t>
            </w:r>
            <w:r w:rsidR="005F52B5" w:rsidRPr="00360131">
              <w:rPr>
                <w:rStyle w:val="normaltextrun"/>
                <w:rFonts w:cs="Arial"/>
                <w:color w:val="000000"/>
                <w:sz w:val="22"/>
                <w:szCs w:val="24"/>
                <w:shd w:val="clear" w:color="auto" w:fill="FFFFFF"/>
              </w:rPr>
              <w:t>networks</w:t>
            </w:r>
            <w:r w:rsidR="008C7543" w:rsidRPr="00360131">
              <w:rPr>
                <w:rStyle w:val="normaltextrun"/>
                <w:rFonts w:cs="Arial"/>
                <w:color w:val="000000"/>
                <w:sz w:val="22"/>
                <w:szCs w:val="24"/>
                <w:shd w:val="clear" w:color="auto" w:fill="FFFFFF"/>
              </w:rPr>
              <w:t>,</w:t>
            </w:r>
            <w:r w:rsidR="005F52B5" w:rsidRPr="00360131">
              <w:rPr>
                <w:rStyle w:val="normaltextrun"/>
                <w:rFonts w:cs="Arial"/>
                <w:color w:val="000000"/>
                <w:sz w:val="22"/>
                <w:szCs w:val="24"/>
                <w:shd w:val="clear" w:color="auto" w:fill="FFFFFF"/>
              </w:rPr>
              <w:t xml:space="preserve"> to deliver </w:t>
            </w:r>
            <w:r w:rsidR="006362B5" w:rsidRPr="00360131">
              <w:rPr>
                <w:rStyle w:val="normaltextrun"/>
                <w:rFonts w:cs="Arial"/>
                <w:color w:val="000000"/>
                <w:sz w:val="22"/>
                <w:szCs w:val="24"/>
                <w:shd w:val="clear" w:color="auto" w:fill="FFFFFF"/>
              </w:rPr>
              <w:t>Class</w:t>
            </w:r>
            <w:r w:rsidR="00731CEA" w:rsidRPr="00360131">
              <w:rPr>
                <w:rStyle w:val="normaltextrun"/>
                <w:rFonts w:cs="Arial"/>
                <w:color w:val="000000"/>
                <w:sz w:val="22"/>
                <w:szCs w:val="24"/>
                <w:shd w:val="clear" w:color="auto" w:fill="FFFFFF"/>
              </w:rPr>
              <w:t xml:space="preserve"> </w:t>
            </w:r>
            <w:r w:rsidR="006362B5" w:rsidRPr="00360131">
              <w:rPr>
                <w:rStyle w:val="normaltextrun"/>
                <w:rFonts w:cs="Arial"/>
                <w:color w:val="000000"/>
                <w:sz w:val="22"/>
                <w:szCs w:val="24"/>
                <w:shd w:val="clear" w:color="auto" w:fill="FFFFFF"/>
              </w:rPr>
              <w:t xml:space="preserve">A </w:t>
            </w:r>
            <w:r w:rsidR="005F52B5" w:rsidRPr="00360131">
              <w:rPr>
                <w:rStyle w:val="normaltextrun"/>
                <w:rFonts w:cs="Arial"/>
                <w:color w:val="000000"/>
                <w:sz w:val="22"/>
                <w:szCs w:val="24"/>
                <w:shd w:val="clear" w:color="auto" w:fill="FFFFFF"/>
              </w:rPr>
              <w:t>recycled water to large water users across the Dingley Green Wedge.</w:t>
            </w:r>
            <w:r w:rsidR="005F52B5" w:rsidRPr="00360131">
              <w:rPr>
                <w:rStyle w:val="eop"/>
                <w:rFonts w:cs="Arial"/>
                <w:color w:val="000000"/>
                <w:sz w:val="22"/>
                <w:szCs w:val="24"/>
                <w:shd w:val="clear" w:color="auto" w:fill="FFFFFF"/>
              </w:rPr>
              <w:t> </w:t>
            </w:r>
            <w:r w:rsidR="00EA0E0C" w:rsidRPr="00360131">
              <w:rPr>
                <w:rStyle w:val="eop"/>
                <w:rFonts w:cs="Arial"/>
                <w:color w:val="000000"/>
                <w:sz w:val="22"/>
                <w:szCs w:val="24"/>
                <w:shd w:val="clear" w:color="auto" w:fill="FFFFFF"/>
              </w:rPr>
              <w:t xml:space="preserve">In support of the IWM </w:t>
            </w:r>
            <w:r w:rsidR="00254B1D" w:rsidRPr="00360131">
              <w:rPr>
                <w:rStyle w:val="eop"/>
                <w:rFonts w:cs="Arial"/>
                <w:color w:val="000000"/>
                <w:sz w:val="22"/>
                <w:szCs w:val="24"/>
                <w:shd w:val="clear" w:color="auto" w:fill="FFFFFF"/>
              </w:rPr>
              <w:t xml:space="preserve">forum process, </w:t>
            </w:r>
            <w:r w:rsidR="00273C72" w:rsidRPr="00360131">
              <w:rPr>
                <w:rStyle w:val="eop"/>
                <w:rFonts w:cs="Arial"/>
                <w:color w:val="000000"/>
                <w:sz w:val="22"/>
                <w:szCs w:val="24"/>
                <w:shd w:val="clear" w:color="auto" w:fill="FFFFFF"/>
              </w:rPr>
              <w:t>the</w:t>
            </w:r>
            <w:r w:rsidR="007966C6" w:rsidRPr="00360131">
              <w:rPr>
                <w:rStyle w:val="eop"/>
                <w:rFonts w:cs="Arial"/>
                <w:color w:val="000000"/>
                <w:sz w:val="22"/>
                <w:szCs w:val="24"/>
                <w:shd w:val="clear" w:color="auto" w:fill="FFFFFF"/>
              </w:rPr>
              <w:t xml:space="preserve"> </w:t>
            </w:r>
            <w:r w:rsidR="008576F7" w:rsidRPr="00360131">
              <w:rPr>
                <w:rStyle w:val="eop"/>
                <w:rFonts w:cs="Arial"/>
                <w:color w:val="000000"/>
                <w:sz w:val="22"/>
                <w:szCs w:val="24"/>
                <w:shd w:val="clear" w:color="auto" w:fill="FFFFFF"/>
              </w:rPr>
              <w:t>Victorian G</w:t>
            </w:r>
            <w:r w:rsidR="007966C6" w:rsidRPr="00360131">
              <w:rPr>
                <w:rStyle w:val="eop"/>
                <w:rFonts w:cs="Arial"/>
                <w:color w:val="000000"/>
                <w:sz w:val="22"/>
                <w:szCs w:val="24"/>
                <w:shd w:val="clear" w:color="auto" w:fill="FFFFFF"/>
              </w:rPr>
              <w:t xml:space="preserve">overnment has </w:t>
            </w:r>
            <w:r w:rsidR="005456CC" w:rsidRPr="00360131">
              <w:rPr>
                <w:rStyle w:val="eop"/>
                <w:rFonts w:cs="Arial"/>
                <w:color w:val="000000"/>
                <w:sz w:val="22"/>
                <w:szCs w:val="24"/>
                <w:shd w:val="clear" w:color="auto" w:fill="FFFFFF"/>
              </w:rPr>
              <w:t xml:space="preserve">committed </w:t>
            </w:r>
            <w:r w:rsidR="0056018A" w:rsidRPr="00360131">
              <w:rPr>
                <w:rStyle w:val="eop"/>
                <w:rFonts w:cs="Arial"/>
                <w:color w:val="000000"/>
                <w:sz w:val="22"/>
                <w:szCs w:val="24"/>
                <w:shd w:val="clear" w:color="auto" w:fill="FFFFFF"/>
              </w:rPr>
              <w:t>$2</w:t>
            </w:r>
            <w:r w:rsidR="00B210A3" w:rsidRPr="00360131">
              <w:rPr>
                <w:rStyle w:val="eop"/>
                <w:rFonts w:cs="Arial"/>
                <w:color w:val="000000"/>
                <w:sz w:val="22"/>
                <w:szCs w:val="24"/>
                <w:shd w:val="clear" w:color="auto" w:fill="FFFFFF"/>
              </w:rPr>
              <w:t>4.8</w:t>
            </w:r>
            <w:r w:rsidR="009317CD" w:rsidRPr="00360131">
              <w:rPr>
                <w:rStyle w:val="eop"/>
                <w:rFonts w:cs="Arial"/>
                <w:color w:val="000000"/>
                <w:sz w:val="22"/>
                <w:szCs w:val="24"/>
                <w:shd w:val="clear" w:color="auto" w:fill="FFFFFF"/>
              </w:rPr>
              <w:t> </w:t>
            </w:r>
            <w:r w:rsidR="0056018A" w:rsidRPr="00360131">
              <w:rPr>
                <w:rStyle w:val="eop"/>
                <w:rFonts w:cs="Arial"/>
                <w:color w:val="000000"/>
                <w:sz w:val="22"/>
                <w:szCs w:val="24"/>
                <w:shd w:val="clear" w:color="auto" w:fill="FFFFFF"/>
              </w:rPr>
              <w:t>m</w:t>
            </w:r>
            <w:r w:rsidR="009317CD" w:rsidRPr="00360131">
              <w:rPr>
                <w:rStyle w:val="eop"/>
                <w:rFonts w:cs="Arial"/>
                <w:color w:val="000000"/>
                <w:sz w:val="22"/>
                <w:szCs w:val="24"/>
                <w:shd w:val="clear" w:color="auto" w:fill="FFFFFF"/>
              </w:rPr>
              <w:t>illion</w:t>
            </w:r>
            <w:r w:rsidR="0056018A" w:rsidRPr="00360131">
              <w:rPr>
                <w:rStyle w:val="eop"/>
                <w:rFonts w:cs="Arial"/>
                <w:color w:val="000000"/>
                <w:sz w:val="22"/>
                <w:szCs w:val="24"/>
                <w:shd w:val="clear" w:color="auto" w:fill="FFFFFF"/>
              </w:rPr>
              <w:t xml:space="preserve"> in funding to support the </w:t>
            </w:r>
            <w:r w:rsidR="00215D66" w:rsidRPr="00360131">
              <w:rPr>
                <w:rStyle w:val="eop"/>
                <w:rFonts w:cs="Arial"/>
                <w:color w:val="000000"/>
                <w:sz w:val="22"/>
                <w:szCs w:val="24"/>
                <w:shd w:val="clear" w:color="auto" w:fill="FFFFFF"/>
              </w:rPr>
              <w:t>Dingley Recycled Water Scheme.</w:t>
            </w:r>
          </w:p>
        </w:tc>
      </w:tr>
    </w:tbl>
    <w:p w14:paraId="46D3BD3F" w14:textId="64576035" w:rsidR="007B559C" w:rsidRPr="00360131" w:rsidRDefault="007B559C" w:rsidP="007B559C">
      <w:pPr>
        <w:rPr>
          <w:rFonts w:cs="Arial"/>
          <w:sz w:val="22"/>
          <w:szCs w:val="22"/>
        </w:rPr>
      </w:pPr>
    </w:p>
    <w:tbl>
      <w:tblPr>
        <w:tblStyle w:val="MJTableStyle1default"/>
        <w:tblW w:w="9498" w:type="dxa"/>
        <w:tblInd w:w="0" w:type="dxa"/>
        <w:tblLook w:val="06A0" w:firstRow="1" w:lastRow="0" w:firstColumn="1" w:lastColumn="0" w:noHBand="1" w:noVBand="1"/>
      </w:tblPr>
      <w:tblGrid>
        <w:gridCol w:w="9498"/>
      </w:tblGrid>
      <w:tr w:rsidR="007B559C" w:rsidRPr="00157580" w14:paraId="359DFA5E" w14:textId="77777777" w:rsidTr="00360131">
        <w:trPr>
          <w:cnfStyle w:val="100000000000" w:firstRow="1" w:lastRow="0" w:firstColumn="0" w:lastColumn="0" w:oddVBand="0" w:evenVBand="0" w:oddHBand="0" w:evenHBand="0" w:firstRowFirstColumn="0" w:firstRowLastColumn="0" w:lastRowFirstColumn="0" w:lastRowLastColumn="0"/>
          <w:trHeight w:val="504"/>
          <w:tblHeader/>
        </w:trPr>
        <w:tc>
          <w:tcPr>
            <w:tcW w:w="9498" w:type="dxa"/>
            <w:tcBorders>
              <w:top w:val="single" w:sz="2" w:space="0" w:color="002279"/>
              <w:bottom w:val="single" w:sz="2" w:space="0" w:color="002279"/>
            </w:tcBorders>
            <w:shd w:val="clear" w:color="auto" w:fill="002379" w:themeFill="text2"/>
            <w:vAlign w:val="center"/>
          </w:tcPr>
          <w:p w14:paraId="44100509" w14:textId="6DE575BD" w:rsidR="007B559C" w:rsidRPr="00360131" w:rsidRDefault="007B559C" w:rsidP="00E017F2">
            <w:pPr>
              <w:spacing w:before="60" w:after="60" w:line="259" w:lineRule="auto"/>
              <w:rPr>
                <w:rFonts w:ascii="Arial" w:hAnsi="Arial" w:cs="Arial"/>
                <w:b/>
                <w:sz w:val="22"/>
                <w:szCs w:val="22"/>
              </w:rPr>
            </w:pPr>
            <w:r w:rsidRPr="00360131">
              <w:rPr>
                <w:rFonts w:ascii="Arial" w:hAnsi="Arial" w:cs="Arial"/>
                <w:b/>
                <w:sz w:val="22"/>
                <w:szCs w:val="22"/>
              </w:rPr>
              <w:t xml:space="preserve">PROJECT 9: </w:t>
            </w:r>
            <w:bookmarkStart w:id="66" w:name="_Hlk105767840"/>
            <w:r w:rsidRPr="00360131">
              <w:rPr>
                <w:rFonts w:ascii="Arial" w:hAnsi="Arial" w:cs="Arial"/>
                <w:b/>
                <w:sz w:val="22"/>
                <w:szCs w:val="22"/>
              </w:rPr>
              <w:t>Ballarto R</w:t>
            </w:r>
            <w:r w:rsidR="004C0271" w:rsidRPr="00360131">
              <w:rPr>
                <w:rFonts w:ascii="Arial" w:hAnsi="Arial" w:cs="Arial"/>
                <w:b/>
                <w:sz w:val="22"/>
                <w:szCs w:val="22"/>
              </w:rPr>
              <w:t>oa</w:t>
            </w:r>
            <w:r w:rsidRPr="00360131">
              <w:rPr>
                <w:rFonts w:ascii="Arial" w:hAnsi="Arial" w:cs="Arial"/>
                <w:b/>
                <w:sz w:val="22"/>
                <w:szCs w:val="22"/>
              </w:rPr>
              <w:t xml:space="preserve">d East Pump Station and Rising </w:t>
            </w:r>
            <w:bookmarkEnd w:id="66"/>
            <w:r w:rsidRPr="00360131">
              <w:rPr>
                <w:rFonts w:ascii="Arial" w:hAnsi="Arial" w:cs="Arial"/>
                <w:b/>
                <w:sz w:val="22"/>
                <w:szCs w:val="22"/>
              </w:rPr>
              <w:t>Main</w:t>
            </w:r>
          </w:p>
        </w:tc>
      </w:tr>
      <w:tr w:rsidR="007B559C" w:rsidRPr="00157580" w14:paraId="3510AD13" w14:textId="77777777" w:rsidTr="00360131">
        <w:tc>
          <w:tcPr>
            <w:tcW w:w="9498" w:type="dxa"/>
            <w:tcBorders>
              <w:top w:val="single" w:sz="2" w:space="0" w:color="002279"/>
              <w:bottom w:val="single" w:sz="2" w:space="0" w:color="002279"/>
            </w:tcBorders>
          </w:tcPr>
          <w:p w14:paraId="089AC8A9" w14:textId="1EA8C89D" w:rsidR="007B559C" w:rsidRPr="00360131" w:rsidRDefault="007B559C" w:rsidP="00261322">
            <w:pPr>
              <w:rPr>
                <w:rFonts w:ascii="Arial" w:hAnsi="Arial" w:cs="Arial"/>
                <w:b/>
                <w:sz w:val="22"/>
              </w:rPr>
            </w:pPr>
            <w:r w:rsidRPr="00360131">
              <w:rPr>
                <w:rFonts w:cs="Arial"/>
                <w:b/>
                <w:sz w:val="22"/>
                <w:szCs w:val="24"/>
              </w:rPr>
              <w:t>Investment portfolio</w:t>
            </w:r>
            <w:r w:rsidRPr="00360131">
              <w:rPr>
                <w:rFonts w:cs="Arial"/>
                <w:sz w:val="22"/>
                <w:szCs w:val="24"/>
              </w:rPr>
              <w:t xml:space="preserve">: Sewer </w:t>
            </w:r>
            <w:r w:rsidR="00E34A1A" w:rsidRPr="00360131">
              <w:rPr>
                <w:rFonts w:cs="Arial"/>
                <w:sz w:val="22"/>
                <w:szCs w:val="24"/>
              </w:rPr>
              <w:t>g</w:t>
            </w:r>
            <w:r w:rsidRPr="00360131">
              <w:rPr>
                <w:rFonts w:cs="Arial"/>
                <w:sz w:val="22"/>
                <w:szCs w:val="24"/>
              </w:rPr>
              <w:t>rowth</w:t>
            </w:r>
          </w:p>
        </w:tc>
      </w:tr>
      <w:tr w:rsidR="007B559C" w:rsidRPr="00157580" w14:paraId="4DCF8F96" w14:textId="77777777" w:rsidTr="00360131">
        <w:tc>
          <w:tcPr>
            <w:tcW w:w="9498" w:type="dxa"/>
            <w:tcBorders>
              <w:top w:val="single" w:sz="2" w:space="0" w:color="002279"/>
              <w:bottom w:val="single" w:sz="2" w:space="0" w:color="002279"/>
            </w:tcBorders>
          </w:tcPr>
          <w:p w14:paraId="5BCC75C9" w14:textId="77777777" w:rsidR="007B559C" w:rsidRPr="00360131" w:rsidRDefault="007B559C" w:rsidP="00261322">
            <w:pPr>
              <w:rPr>
                <w:rFonts w:ascii="Arial" w:hAnsi="Arial" w:cs="Arial"/>
                <w:b/>
                <w:sz w:val="22"/>
              </w:rPr>
            </w:pPr>
            <w:r w:rsidRPr="00360131">
              <w:rPr>
                <w:rFonts w:cs="Arial"/>
                <w:b/>
                <w:sz w:val="22"/>
                <w:szCs w:val="24"/>
              </w:rPr>
              <w:t xml:space="preserve">Total cost: </w:t>
            </w:r>
            <w:r w:rsidRPr="00360131">
              <w:rPr>
                <w:rFonts w:cs="Arial"/>
                <w:sz w:val="22"/>
                <w:szCs w:val="24"/>
              </w:rPr>
              <w:t>$67.3m</w:t>
            </w:r>
          </w:p>
        </w:tc>
      </w:tr>
      <w:tr w:rsidR="007B559C" w:rsidRPr="00157580" w14:paraId="3D9A9AE7" w14:textId="77777777" w:rsidTr="00360131">
        <w:tc>
          <w:tcPr>
            <w:tcW w:w="9498" w:type="dxa"/>
            <w:tcBorders>
              <w:top w:val="single" w:sz="2" w:space="0" w:color="002279"/>
              <w:bottom w:val="single" w:sz="2" w:space="0" w:color="002279"/>
            </w:tcBorders>
          </w:tcPr>
          <w:p w14:paraId="2EC45917" w14:textId="13FB7D1E" w:rsidR="007B559C" w:rsidRPr="00360131" w:rsidRDefault="007B559C" w:rsidP="00261322">
            <w:pPr>
              <w:spacing w:line="259" w:lineRule="auto"/>
              <w:rPr>
                <w:rFonts w:ascii="Arial" w:hAnsi="Arial" w:cs="Arial"/>
                <w:sz w:val="22"/>
              </w:rPr>
            </w:pPr>
            <w:r w:rsidRPr="00360131">
              <w:rPr>
                <w:rFonts w:cs="Arial"/>
                <w:b/>
                <w:sz w:val="22"/>
                <w:szCs w:val="24"/>
              </w:rPr>
              <w:t>2023</w:t>
            </w:r>
            <w:r w:rsidR="00310E2A" w:rsidRPr="00360131">
              <w:rPr>
                <w:rFonts w:cs="Arial"/>
                <w:b/>
                <w:sz w:val="22"/>
                <w:szCs w:val="24"/>
              </w:rPr>
              <w:t>–</w:t>
            </w:r>
            <w:r w:rsidRPr="00360131">
              <w:rPr>
                <w:rFonts w:cs="Arial"/>
                <w:b/>
                <w:sz w:val="22"/>
                <w:szCs w:val="24"/>
              </w:rPr>
              <w:t xml:space="preserve">28 cost and timing: </w:t>
            </w:r>
            <w:r w:rsidRPr="00360131">
              <w:rPr>
                <w:rFonts w:cs="Arial"/>
                <w:sz w:val="22"/>
                <w:szCs w:val="24"/>
              </w:rPr>
              <w:t>$31.5</w:t>
            </w:r>
            <w:r w:rsidR="0024248F">
              <w:rPr>
                <w:rFonts w:cs="Arial"/>
                <w:sz w:val="22"/>
                <w:szCs w:val="24"/>
              </w:rPr>
              <w:t>3</w:t>
            </w:r>
            <w:r w:rsidRPr="00360131">
              <w:rPr>
                <w:rFonts w:cs="Arial"/>
                <w:sz w:val="22"/>
                <w:szCs w:val="24"/>
              </w:rPr>
              <w:t>m (202</w:t>
            </w:r>
            <w:r w:rsidR="003B1FE5" w:rsidRPr="00360131">
              <w:rPr>
                <w:rFonts w:cs="Arial"/>
                <w:sz w:val="22"/>
                <w:szCs w:val="24"/>
              </w:rPr>
              <w:t>3</w:t>
            </w:r>
            <w:r w:rsidR="00310E2A" w:rsidRPr="00360131">
              <w:rPr>
                <w:rFonts w:cs="Arial"/>
                <w:sz w:val="22"/>
                <w:szCs w:val="24"/>
              </w:rPr>
              <w:t>–</w:t>
            </w:r>
            <w:r w:rsidRPr="00360131">
              <w:rPr>
                <w:rFonts w:cs="Arial"/>
                <w:sz w:val="22"/>
                <w:szCs w:val="24"/>
              </w:rPr>
              <w:t>2</w:t>
            </w:r>
            <w:r w:rsidR="007417ED" w:rsidRPr="00360131">
              <w:rPr>
                <w:rFonts w:cs="Arial"/>
                <w:sz w:val="22"/>
                <w:szCs w:val="24"/>
              </w:rPr>
              <w:t>8</w:t>
            </w:r>
            <w:r w:rsidRPr="00360131">
              <w:rPr>
                <w:rFonts w:cs="Arial"/>
                <w:sz w:val="22"/>
                <w:szCs w:val="24"/>
              </w:rPr>
              <w:t>)</w:t>
            </w:r>
          </w:p>
        </w:tc>
      </w:tr>
      <w:tr w:rsidR="007B559C" w:rsidRPr="00157580" w14:paraId="6C724850" w14:textId="77777777" w:rsidTr="00360131">
        <w:tc>
          <w:tcPr>
            <w:tcW w:w="9498" w:type="dxa"/>
            <w:tcBorders>
              <w:top w:val="single" w:sz="2" w:space="0" w:color="002279"/>
              <w:bottom w:val="single" w:sz="2" w:space="0" w:color="002279"/>
            </w:tcBorders>
          </w:tcPr>
          <w:p w14:paraId="6F3557B2" w14:textId="77777777" w:rsidR="007B559C" w:rsidRPr="00360131" w:rsidRDefault="007B559C" w:rsidP="00261322">
            <w:pPr>
              <w:spacing w:line="259" w:lineRule="auto"/>
              <w:rPr>
                <w:rFonts w:ascii="Arial" w:hAnsi="Arial" w:cs="Arial"/>
                <w:sz w:val="22"/>
              </w:rPr>
            </w:pPr>
            <w:r w:rsidRPr="00360131">
              <w:rPr>
                <w:rFonts w:cs="Arial"/>
                <w:b/>
                <w:sz w:val="22"/>
                <w:szCs w:val="24"/>
              </w:rPr>
              <w:t xml:space="preserve">Service category: </w:t>
            </w:r>
            <w:r w:rsidRPr="00360131">
              <w:rPr>
                <w:rFonts w:cs="Arial"/>
                <w:sz w:val="22"/>
                <w:szCs w:val="24"/>
              </w:rPr>
              <w:t>Sewerage</w:t>
            </w:r>
          </w:p>
        </w:tc>
      </w:tr>
      <w:tr w:rsidR="007B559C" w:rsidRPr="00157580" w14:paraId="78A5F31D" w14:textId="77777777" w:rsidTr="00360131">
        <w:tc>
          <w:tcPr>
            <w:tcW w:w="9498" w:type="dxa"/>
            <w:tcBorders>
              <w:top w:val="single" w:sz="2" w:space="0" w:color="002279"/>
              <w:bottom w:val="nil"/>
            </w:tcBorders>
          </w:tcPr>
          <w:p w14:paraId="629B3DFD" w14:textId="77777777" w:rsidR="007B559C" w:rsidRPr="00360131" w:rsidRDefault="007B559C" w:rsidP="00261322">
            <w:pPr>
              <w:spacing w:line="259" w:lineRule="auto"/>
              <w:rPr>
                <w:rFonts w:ascii="Arial" w:hAnsi="Arial" w:cs="Arial"/>
                <w:b/>
                <w:sz w:val="22"/>
              </w:rPr>
            </w:pPr>
            <w:r w:rsidRPr="00360131">
              <w:rPr>
                <w:rFonts w:cs="Arial"/>
                <w:b/>
                <w:sz w:val="22"/>
                <w:szCs w:val="24"/>
              </w:rPr>
              <w:t xml:space="preserve">Cost Driver category: </w:t>
            </w:r>
            <w:r w:rsidRPr="00360131">
              <w:rPr>
                <w:rFonts w:cs="Arial"/>
                <w:sz w:val="22"/>
                <w:szCs w:val="24"/>
              </w:rPr>
              <w:t>Growth</w:t>
            </w:r>
          </w:p>
        </w:tc>
      </w:tr>
      <w:tr w:rsidR="007865A3" w:rsidRPr="00157580" w14:paraId="33F2AF26" w14:textId="77777777" w:rsidTr="00360131">
        <w:tc>
          <w:tcPr>
            <w:tcW w:w="9498" w:type="dxa"/>
            <w:tcBorders>
              <w:top w:val="single" w:sz="2" w:space="0" w:color="002279"/>
              <w:bottom w:val="nil"/>
            </w:tcBorders>
          </w:tcPr>
          <w:p w14:paraId="69DF3B4C" w14:textId="77777777" w:rsidR="007865A3" w:rsidRPr="00360131" w:rsidRDefault="007865A3" w:rsidP="006F49BD">
            <w:pPr>
              <w:spacing w:line="259" w:lineRule="auto"/>
              <w:rPr>
                <w:rFonts w:ascii="Arial" w:hAnsi="Arial" w:cs="Arial"/>
                <w:sz w:val="22"/>
              </w:rPr>
            </w:pPr>
            <w:r w:rsidRPr="00360131">
              <w:rPr>
                <w:rFonts w:cs="Arial"/>
                <w:b/>
                <w:sz w:val="22"/>
                <w:szCs w:val="24"/>
              </w:rPr>
              <w:t xml:space="preserve">Asset category: </w:t>
            </w:r>
            <w:r w:rsidRPr="00360131">
              <w:rPr>
                <w:rFonts w:cs="Arial"/>
                <w:sz w:val="22"/>
                <w:szCs w:val="24"/>
              </w:rPr>
              <w:t>Pipelines/network</w:t>
            </w:r>
          </w:p>
        </w:tc>
      </w:tr>
      <w:tr w:rsidR="007B559C" w:rsidRPr="00157580" w14:paraId="10865869" w14:textId="77777777" w:rsidTr="00360131">
        <w:tc>
          <w:tcPr>
            <w:tcW w:w="9498" w:type="dxa"/>
            <w:tcBorders>
              <w:top w:val="single" w:sz="2" w:space="0" w:color="002279"/>
              <w:bottom w:val="single" w:sz="2" w:space="0" w:color="002279"/>
            </w:tcBorders>
          </w:tcPr>
          <w:p w14:paraId="116CA86F" w14:textId="77777777" w:rsidR="007B559C" w:rsidRPr="00360131" w:rsidRDefault="007B559C" w:rsidP="00261322">
            <w:pPr>
              <w:spacing w:line="259" w:lineRule="auto"/>
              <w:rPr>
                <w:rFonts w:ascii="Arial" w:hAnsi="Arial" w:cs="Arial"/>
                <w:b/>
                <w:sz w:val="22"/>
              </w:rPr>
            </w:pPr>
            <w:r w:rsidRPr="00360131">
              <w:rPr>
                <w:rFonts w:cs="Arial"/>
                <w:b/>
                <w:sz w:val="22"/>
                <w:szCs w:val="24"/>
              </w:rPr>
              <w:t xml:space="preserve">Description: </w:t>
            </w:r>
            <w:r w:rsidRPr="00360131">
              <w:rPr>
                <w:rFonts w:cs="Arial"/>
                <w:sz w:val="22"/>
                <w:szCs w:val="24"/>
              </w:rPr>
              <w:t>Replace Ballarto Road interim sewerage pumping station and rising mains into Clyde Creek catchment</w:t>
            </w:r>
          </w:p>
        </w:tc>
      </w:tr>
      <w:tr w:rsidR="007B559C" w:rsidRPr="00157580" w14:paraId="7BB9C3B3" w14:textId="77777777" w:rsidTr="00360131">
        <w:tc>
          <w:tcPr>
            <w:tcW w:w="9498" w:type="dxa"/>
            <w:tcBorders>
              <w:top w:val="single" w:sz="2" w:space="0" w:color="002279"/>
              <w:bottom w:val="single" w:sz="2" w:space="0" w:color="002279"/>
            </w:tcBorders>
          </w:tcPr>
          <w:p w14:paraId="0CFA5C76" w14:textId="507A02D5" w:rsidR="007B559C" w:rsidRPr="00360131" w:rsidRDefault="00873CDE" w:rsidP="00261322">
            <w:pPr>
              <w:spacing w:line="259" w:lineRule="auto"/>
              <w:rPr>
                <w:rFonts w:ascii="Arial" w:hAnsi="Arial" w:cs="Arial"/>
                <w:sz w:val="22"/>
              </w:rPr>
            </w:pPr>
            <w:r w:rsidRPr="00360131">
              <w:rPr>
                <w:rFonts w:cs="Arial"/>
                <w:b/>
                <w:sz w:val="22"/>
                <w:szCs w:val="24"/>
              </w:rPr>
              <w:t xml:space="preserve">Customer </w:t>
            </w:r>
            <w:r w:rsidR="004F6C15" w:rsidRPr="00360131">
              <w:rPr>
                <w:rFonts w:cs="Arial"/>
                <w:b/>
                <w:sz w:val="22"/>
                <w:szCs w:val="24"/>
              </w:rPr>
              <w:t>o</w:t>
            </w:r>
            <w:r w:rsidR="007B559C" w:rsidRPr="00360131">
              <w:rPr>
                <w:rFonts w:cs="Arial"/>
                <w:b/>
                <w:sz w:val="22"/>
                <w:szCs w:val="24"/>
              </w:rPr>
              <w:t>utcome:</w:t>
            </w:r>
            <w:r w:rsidR="007B559C" w:rsidRPr="00360131">
              <w:rPr>
                <w:rFonts w:cs="Arial"/>
                <w:sz w:val="22"/>
                <w:szCs w:val="24"/>
              </w:rPr>
              <w:t xml:space="preserve"> </w:t>
            </w:r>
            <w:r w:rsidR="007B559C" w:rsidRPr="00360131">
              <w:rPr>
                <w:rFonts w:cs="Arial"/>
                <w:i/>
                <w:sz w:val="22"/>
                <w:szCs w:val="24"/>
              </w:rPr>
              <w:t>Get the basics right, always</w:t>
            </w:r>
            <w:r w:rsidR="007B559C" w:rsidRPr="00360131">
              <w:rPr>
                <w:rFonts w:cs="Arial"/>
                <w:sz w:val="22"/>
                <w:szCs w:val="24"/>
              </w:rPr>
              <w:t xml:space="preserve">; </w:t>
            </w:r>
            <w:r w:rsidR="007B559C" w:rsidRPr="00360131">
              <w:rPr>
                <w:rFonts w:cs="Arial"/>
                <w:i/>
                <w:sz w:val="22"/>
                <w:szCs w:val="24"/>
              </w:rPr>
              <w:t>Support my community, protect our environment</w:t>
            </w:r>
          </w:p>
        </w:tc>
      </w:tr>
      <w:tr w:rsidR="007B559C" w:rsidRPr="00157580" w14:paraId="28A7CB7F" w14:textId="77777777" w:rsidTr="00360131">
        <w:tc>
          <w:tcPr>
            <w:tcW w:w="9498" w:type="dxa"/>
            <w:tcBorders>
              <w:top w:val="single" w:sz="2" w:space="0" w:color="002279"/>
              <w:bottom w:val="single" w:sz="2" w:space="0" w:color="002279"/>
            </w:tcBorders>
          </w:tcPr>
          <w:p w14:paraId="2095AA02" w14:textId="77777777" w:rsidR="007B559C" w:rsidRPr="00360131" w:rsidRDefault="007B559C" w:rsidP="00261322">
            <w:pPr>
              <w:spacing w:line="259" w:lineRule="auto"/>
              <w:rPr>
                <w:rFonts w:ascii="Arial" w:hAnsi="Arial" w:cs="Arial"/>
                <w:sz w:val="22"/>
              </w:rPr>
            </w:pPr>
            <w:r w:rsidRPr="00360131">
              <w:rPr>
                <w:rFonts w:cs="Arial"/>
                <w:b/>
                <w:sz w:val="22"/>
                <w:szCs w:val="24"/>
              </w:rPr>
              <w:t>Current risk rating:</w:t>
            </w:r>
            <w:r w:rsidRPr="00360131">
              <w:rPr>
                <w:rFonts w:cs="Arial"/>
                <w:sz w:val="22"/>
                <w:szCs w:val="24"/>
              </w:rPr>
              <w:t xml:space="preserve"> Extreme</w:t>
            </w:r>
          </w:p>
        </w:tc>
      </w:tr>
      <w:tr w:rsidR="007B559C" w:rsidRPr="00157580" w14:paraId="6ED3B624" w14:textId="77777777" w:rsidTr="00360131">
        <w:tc>
          <w:tcPr>
            <w:tcW w:w="9498" w:type="dxa"/>
            <w:tcBorders>
              <w:top w:val="single" w:sz="2" w:space="0" w:color="002279"/>
              <w:bottom w:val="single" w:sz="2" w:space="0" w:color="002279"/>
            </w:tcBorders>
          </w:tcPr>
          <w:p w14:paraId="48368687" w14:textId="61B2A904" w:rsidR="007B559C" w:rsidRPr="00360131" w:rsidRDefault="007B559C" w:rsidP="00261322">
            <w:pPr>
              <w:spacing w:line="259" w:lineRule="auto"/>
              <w:rPr>
                <w:rFonts w:ascii="Arial" w:hAnsi="Arial" w:cs="Arial"/>
                <w:b/>
                <w:sz w:val="22"/>
              </w:rPr>
            </w:pPr>
            <w:r w:rsidRPr="00360131">
              <w:rPr>
                <w:rFonts w:cs="Arial"/>
                <w:b/>
                <w:sz w:val="22"/>
                <w:szCs w:val="24"/>
              </w:rPr>
              <w:t xml:space="preserve">Risk rating </w:t>
            </w:r>
            <w:r w:rsidR="00017665" w:rsidRPr="00360131">
              <w:rPr>
                <w:rFonts w:cs="Arial"/>
                <w:b/>
                <w:sz w:val="22"/>
                <w:szCs w:val="24"/>
              </w:rPr>
              <w:t>post-investment</w:t>
            </w:r>
            <w:r w:rsidRPr="00360131">
              <w:rPr>
                <w:rFonts w:cs="Arial"/>
                <w:b/>
                <w:sz w:val="22"/>
                <w:szCs w:val="24"/>
              </w:rPr>
              <w:t xml:space="preserve">: </w:t>
            </w:r>
            <w:r w:rsidRPr="00360131">
              <w:rPr>
                <w:rFonts w:cs="Arial"/>
                <w:sz w:val="22"/>
                <w:szCs w:val="24"/>
              </w:rPr>
              <w:t>Low</w:t>
            </w:r>
          </w:p>
        </w:tc>
      </w:tr>
      <w:tr w:rsidR="007B559C" w:rsidRPr="00157580" w14:paraId="46D518E8" w14:textId="77777777" w:rsidTr="00360131">
        <w:tc>
          <w:tcPr>
            <w:tcW w:w="9498" w:type="dxa"/>
            <w:tcBorders>
              <w:top w:val="single" w:sz="2" w:space="0" w:color="002279"/>
              <w:bottom w:val="single" w:sz="2" w:space="0" w:color="002279"/>
            </w:tcBorders>
          </w:tcPr>
          <w:p w14:paraId="4AFF7FC2" w14:textId="52339E2E" w:rsidR="007B559C" w:rsidRPr="00360131" w:rsidRDefault="007B559C" w:rsidP="00065A98">
            <w:pPr>
              <w:pStyle w:val="NormalIndent"/>
              <w:ind w:left="0"/>
              <w:rPr>
                <w:rFonts w:ascii="Arial" w:hAnsi="Arial" w:cs="Arial"/>
                <w:b/>
              </w:rPr>
            </w:pPr>
            <w:r w:rsidRPr="00360131">
              <w:rPr>
                <w:rFonts w:ascii="Arial" w:hAnsi="Arial" w:cs="Arial"/>
                <w:b/>
              </w:rPr>
              <w:t xml:space="preserve">Background: </w:t>
            </w:r>
            <w:r w:rsidR="00CF5BAB" w:rsidRPr="00360131">
              <w:rPr>
                <w:rFonts w:ascii="Arial" w:hAnsi="Arial" w:cs="Arial"/>
              </w:rPr>
              <w:t xml:space="preserve">This project is also part of a broader plan by South East Water to upgrade its wastewater treatment and resource recovery capabilities in the </w:t>
            </w:r>
            <w:r w:rsidR="004F6C15" w:rsidRPr="00360131">
              <w:rPr>
                <w:rFonts w:ascii="Arial" w:hAnsi="Arial" w:cs="Arial"/>
              </w:rPr>
              <w:t>south</w:t>
            </w:r>
            <w:r w:rsidR="00833A10" w:rsidRPr="00360131">
              <w:rPr>
                <w:rFonts w:ascii="Arial" w:hAnsi="Arial" w:cs="Arial"/>
              </w:rPr>
              <w:t>-</w:t>
            </w:r>
            <w:r w:rsidR="004F6C15" w:rsidRPr="00360131">
              <w:rPr>
                <w:rFonts w:ascii="Arial" w:hAnsi="Arial" w:cs="Arial"/>
              </w:rPr>
              <w:t>east</w:t>
            </w:r>
            <w:r w:rsidR="00CF5BAB" w:rsidRPr="00360131">
              <w:rPr>
                <w:rFonts w:ascii="Arial" w:hAnsi="Arial" w:cs="Arial"/>
              </w:rPr>
              <w:t xml:space="preserve"> region.</w:t>
            </w:r>
            <w:r w:rsidRPr="00360131">
              <w:rPr>
                <w:rFonts w:ascii="Arial" w:hAnsi="Arial" w:cs="Arial"/>
              </w:rPr>
              <w:t xml:space="preserve"> The Clyde sewage catchment area is a growth service area</w:t>
            </w:r>
            <w:r w:rsidR="00516A8A" w:rsidRPr="00360131">
              <w:rPr>
                <w:rFonts w:ascii="Arial" w:hAnsi="Arial" w:cs="Arial"/>
              </w:rPr>
              <w:t>,</w:t>
            </w:r>
            <w:r w:rsidRPr="00360131">
              <w:rPr>
                <w:rFonts w:ascii="Arial" w:hAnsi="Arial" w:cs="Arial"/>
              </w:rPr>
              <w:t xml:space="preserve"> with a</w:t>
            </w:r>
            <w:r w:rsidRPr="00360131">
              <w:rPr>
                <w:rStyle w:val="normaltextrun"/>
                <w:rFonts w:ascii="Arial" w:hAnsi="Arial" w:cs="Arial"/>
                <w:shd w:val="clear" w:color="auto" w:fill="FFFFFF"/>
              </w:rPr>
              <w:t xml:space="preserve"> number of Precinct Structure </w:t>
            </w:r>
            <w:r w:rsidR="00644EF3" w:rsidRPr="00360131">
              <w:rPr>
                <w:rStyle w:val="normaltextrun"/>
                <w:rFonts w:ascii="Arial" w:hAnsi="Arial" w:cs="Arial"/>
                <w:shd w:val="clear" w:color="auto" w:fill="FFFFFF"/>
              </w:rPr>
              <w:t>p</w:t>
            </w:r>
            <w:r w:rsidRPr="00360131">
              <w:rPr>
                <w:rStyle w:val="normaltextrun"/>
                <w:rFonts w:ascii="Arial" w:hAnsi="Arial" w:cs="Arial"/>
              </w:rPr>
              <w:t xml:space="preserve">lans </w:t>
            </w:r>
            <w:r w:rsidRPr="00360131">
              <w:rPr>
                <w:rStyle w:val="normaltextrun"/>
                <w:rFonts w:ascii="Arial" w:hAnsi="Arial" w:cs="Arial"/>
                <w:shd w:val="clear" w:color="auto" w:fill="FFFFFF"/>
              </w:rPr>
              <w:t>already approved</w:t>
            </w:r>
            <w:r w:rsidR="00842344" w:rsidRPr="00360131">
              <w:rPr>
                <w:rStyle w:val="normaltextrun"/>
                <w:rFonts w:ascii="Arial" w:hAnsi="Arial" w:cs="Arial"/>
                <w:shd w:val="clear" w:color="auto" w:fill="FFFFFF"/>
              </w:rPr>
              <w:t>,</w:t>
            </w:r>
            <w:r w:rsidRPr="00360131">
              <w:rPr>
                <w:rStyle w:val="normaltextrun"/>
                <w:rFonts w:ascii="Arial" w:hAnsi="Arial" w:cs="Arial"/>
                <w:shd w:val="clear" w:color="auto" w:fill="FFFFFF"/>
              </w:rPr>
              <w:t xml:space="preserve"> a</w:t>
            </w:r>
            <w:r w:rsidRPr="00360131">
              <w:rPr>
                <w:rStyle w:val="normaltextrun"/>
                <w:rFonts w:ascii="Arial" w:hAnsi="Arial" w:cs="Arial"/>
              </w:rPr>
              <w:t xml:space="preserve">nd </w:t>
            </w:r>
            <w:r w:rsidRPr="00360131">
              <w:rPr>
                <w:rStyle w:val="normaltextrun"/>
                <w:rFonts w:ascii="Arial" w:hAnsi="Arial" w:cs="Arial"/>
                <w:shd w:val="clear" w:color="auto" w:fill="FFFFFF"/>
              </w:rPr>
              <w:t>resulting in over 7,000 lots being connected to a gravity network. These flows are currently transferred back to adjacent catchments via temporary pumping stations. </w:t>
            </w:r>
            <w:r w:rsidRPr="00360131">
              <w:rPr>
                <w:rFonts w:ascii="Arial" w:hAnsi="Arial" w:cs="Arial"/>
              </w:rPr>
              <w:t xml:space="preserve">In 2019, </w:t>
            </w:r>
            <w:r w:rsidR="003F30F5" w:rsidRPr="00360131">
              <w:rPr>
                <w:rFonts w:ascii="Arial" w:hAnsi="Arial" w:cs="Arial"/>
              </w:rPr>
              <w:t>we</w:t>
            </w:r>
            <w:r w:rsidRPr="00360131">
              <w:rPr>
                <w:rFonts w:ascii="Arial" w:hAnsi="Arial" w:cs="Arial"/>
              </w:rPr>
              <w:t xml:space="preserve"> constructed the Ballarto Road interim sewage pumping station and rising main to transfer </w:t>
            </w:r>
            <w:r w:rsidR="00006AA1" w:rsidRPr="00360131">
              <w:rPr>
                <w:rFonts w:ascii="Arial" w:hAnsi="Arial" w:cs="Arial"/>
              </w:rPr>
              <w:t>wastewater</w:t>
            </w:r>
            <w:r w:rsidRPr="00360131">
              <w:rPr>
                <w:rFonts w:ascii="Arial" w:hAnsi="Arial" w:cs="Arial"/>
              </w:rPr>
              <w:t xml:space="preserve"> from the catch</w:t>
            </w:r>
            <w:r w:rsidR="00FD4D76" w:rsidRPr="00360131">
              <w:rPr>
                <w:rFonts w:ascii="Arial" w:hAnsi="Arial" w:cs="Arial"/>
              </w:rPr>
              <w:t>ments</w:t>
            </w:r>
            <w:r w:rsidRPr="00360131">
              <w:rPr>
                <w:rFonts w:ascii="Arial" w:hAnsi="Arial" w:cs="Arial"/>
              </w:rPr>
              <w:t xml:space="preserve"> early land development into Clyde Creek. This project will deliver the replacement (permanent) sewerage pumping station at Ballarto Road</w:t>
            </w:r>
            <w:r w:rsidR="00AC75EE" w:rsidRPr="00360131">
              <w:rPr>
                <w:rFonts w:ascii="Arial" w:hAnsi="Arial" w:cs="Arial"/>
              </w:rPr>
              <w:t>,</w:t>
            </w:r>
            <w:r w:rsidRPr="00360131">
              <w:rPr>
                <w:rFonts w:ascii="Arial" w:hAnsi="Arial" w:cs="Arial"/>
              </w:rPr>
              <w:t xml:space="preserve"> and a twin sewage rising main to the Pakenham waste recycling plant</w:t>
            </w:r>
            <w:r w:rsidR="008F4BDA" w:rsidRPr="00360131">
              <w:rPr>
                <w:rFonts w:ascii="Arial" w:hAnsi="Arial" w:cs="Arial"/>
              </w:rPr>
              <w:t>,</w:t>
            </w:r>
            <w:r w:rsidRPr="00360131">
              <w:rPr>
                <w:rFonts w:ascii="Arial" w:hAnsi="Arial" w:cs="Arial"/>
              </w:rPr>
              <w:t xml:space="preserve"> to </w:t>
            </w:r>
            <w:r w:rsidR="00065A98" w:rsidRPr="00360131">
              <w:rPr>
                <w:rFonts w:ascii="Arial" w:hAnsi="Arial" w:cs="Arial"/>
              </w:rPr>
              <w:t>support</w:t>
            </w:r>
            <w:r w:rsidRPr="00360131">
              <w:rPr>
                <w:rFonts w:ascii="Arial" w:hAnsi="Arial" w:cs="Arial"/>
              </w:rPr>
              <w:t xml:space="preserve"> the increasing flows from the growing development. </w:t>
            </w:r>
          </w:p>
        </w:tc>
      </w:tr>
    </w:tbl>
    <w:p w14:paraId="7829578A" w14:textId="72260AB2" w:rsidR="007B559C" w:rsidRPr="00360131" w:rsidRDefault="007B559C" w:rsidP="007B559C">
      <w:pPr>
        <w:rPr>
          <w:rFonts w:cs="Arial"/>
          <w:sz w:val="22"/>
          <w:szCs w:val="22"/>
        </w:rPr>
      </w:pPr>
    </w:p>
    <w:tbl>
      <w:tblPr>
        <w:tblStyle w:val="MJTableStyle1default"/>
        <w:tblW w:w="9498" w:type="dxa"/>
        <w:tblInd w:w="0" w:type="dxa"/>
        <w:tblLook w:val="06A0" w:firstRow="1" w:lastRow="0" w:firstColumn="1" w:lastColumn="0" w:noHBand="1" w:noVBand="1"/>
      </w:tblPr>
      <w:tblGrid>
        <w:gridCol w:w="9498"/>
      </w:tblGrid>
      <w:tr w:rsidR="007B559C" w:rsidRPr="00157580" w14:paraId="3E38EA36" w14:textId="77777777" w:rsidTr="00360131">
        <w:trPr>
          <w:cnfStyle w:val="100000000000" w:firstRow="1" w:lastRow="0" w:firstColumn="0" w:lastColumn="0" w:oddVBand="0" w:evenVBand="0" w:oddHBand="0" w:evenHBand="0" w:firstRowFirstColumn="0" w:firstRowLastColumn="0" w:lastRowFirstColumn="0" w:lastRowLastColumn="0"/>
          <w:trHeight w:val="563"/>
          <w:tblHeader/>
        </w:trPr>
        <w:tc>
          <w:tcPr>
            <w:tcW w:w="9498" w:type="dxa"/>
            <w:tcBorders>
              <w:top w:val="single" w:sz="2" w:space="0" w:color="002279"/>
              <w:bottom w:val="single" w:sz="2" w:space="0" w:color="002279"/>
            </w:tcBorders>
            <w:shd w:val="clear" w:color="auto" w:fill="002379" w:themeFill="text2"/>
            <w:vAlign w:val="center"/>
          </w:tcPr>
          <w:p w14:paraId="65105279" w14:textId="1A0EA412" w:rsidR="007B559C" w:rsidRPr="00360131" w:rsidRDefault="007B559C" w:rsidP="00E017F2">
            <w:pPr>
              <w:spacing w:before="60" w:after="60" w:line="259" w:lineRule="auto"/>
              <w:rPr>
                <w:rFonts w:ascii="Arial" w:hAnsi="Arial" w:cs="Arial"/>
                <w:b/>
                <w:sz w:val="22"/>
                <w:szCs w:val="22"/>
              </w:rPr>
            </w:pPr>
            <w:r w:rsidRPr="00360131">
              <w:rPr>
                <w:rFonts w:ascii="Arial" w:hAnsi="Arial" w:cs="Arial"/>
                <w:b/>
                <w:sz w:val="22"/>
                <w:szCs w:val="22"/>
              </w:rPr>
              <w:t xml:space="preserve">PROJECT 10: </w:t>
            </w:r>
            <w:bookmarkStart w:id="67" w:name="_Hlk105767855"/>
            <w:r w:rsidRPr="00360131">
              <w:rPr>
                <w:rFonts w:ascii="Arial" w:hAnsi="Arial" w:cs="Arial"/>
                <w:b/>
                <w:sz w:val="22"/>
                <w:szCs w:val="22"/>
              </w:rPr>
              <w:t xml:space="preserve">Lang Lang Water Recycling Plant </w:t>
            </w:r>
            <w:bookmarkEnd w:id="67"/>
          </w:p>
        </w:tc>
      </w:tr>
      <w:tr w:rsidR="007B559C" w:rsidRPr="00157580" w14:paraId="03507CE9" w14:textId="77777777" w:rsidTr="00360131">
        <w:tc>
          <w:tcPr>
            <w:tcW w:w="9498" w:type="dxa"/>
            <w:tcBorders>
              <w:top w:val="nil"/>
              <w:bottom w:val="single" w:sz="2" w:space="0" w:color="002279"/>
            </w:tcBorders>
          </w:tcPr>
          <w:p w14:paraId="287DF5EE" w14:textId="164FE857" w:rsidR="007B559C" w:rsidRPr="00360131" w:rsidRDefault="007B559C" w:rsidP="00DD0824">
            <w:pPr>
              <w:rPr>
                <w:rFonts w:ascii="Arial" w:hAnsi="Arial" w:cs="Arial"/>
                <w:b/>
                <w:sz w:val="22"/>
              </w:rPr>
            </w:pPr>
            <w:r w:rsidRPr="00360131">
              <w:rPr>
                <w:rFonts w:cs="Arial"/>
                <w:b/>
                <w:sz w:val="22"/>
                <w:szCs w:val="24"/>
              </w:rPr>
              <w:t>Investment portfolio</w:t>
            </w:r>
            <w:r w:rsidRPr="00360131">
              <w:rPr>
                <w:rFonts w:cs="Arial"/>
                <w:sz w:val="22"/>
                <w:szCs w:val="24"/>
              </w:rPr>
              <w:t xml:space="preserve">: Treatment </w:t>
            </w:r>
            <w:r w:rsidR="00006AA1" w:rsidRPr="00360131">
              <w:rPr>
                <w:rFonts w:cs="Arial"/>
                <w:sz w:val="22"/>
                <w:szCs w:val="24"/>
              </w:rPr>
              <w:t>g</w:t>
            </w:r>
            <w:r w:rsidRPr="00360131">
              <w:rPr>
                <w:rFonts w:cs="Arial"/>
                <w:sz w:val="22"/>
                <w:szCs w:val="24"/>
              </w:rPr>
              <w:t>rowth</w:t>
            </w:r>
          </w:p>
        </w:tc>
      </w:tr>
      <w:tr w:rsidR="007B559C" w:rsidRPr="00157580" w14:paraId="191BBB95" w14:textId="77777777" w:rsidTr="00360131">
        <w:tc>
          <w:tcPr>
            <w:tcW w:w="9498" w:type="dxa"/>
            <w:tcBorders>
              <w:top w:val="single" w:sz="2" w:space="0" w:color="002279"/>
              <w:bottom w:val="single" w:sz="2" w:space="0" w:color="002279"/>
            </w:tcBorders>
          </w:tcPr>
          <w:p w14:paraId="41D4BB21" w14:textId="77777777" w:rsidR="007B559C" w:rsidRPr="00360131" w:rsidRDefault="007B559C" w:rsidP="00DD0824">
            <w:pPr>
              <w:rPr>
                <w:rFonts w:ascii="Arial" w:hAnsi="Arial" w:cs="Arial"/>
                <w:b/>
                <w:sz w:val="22"/>
              </w:rPr>
            </w:pPr>
            <w:r w:rsidRPr="00360131">
              <w:rPr>
                <w:rFonts w:cs="Arial"/>
                <w:b/>
                <w:sz w:val="22"/>
                <w:szCs w:val="24"/>
              </w:rPr>
              <w:t xml:space="preserve">Total cost: </w:t>
            </w:r>
            <w:r w:rsidRPr="00360131">
              <w:rPr>
                <w:rFonts w:cs="Arial"/>
                <w:sz w:val="22"/>
                <w:szCs w:val="24"/>
              </w:rPr>
              <w:t>$26.2m</w:t>
            </w:r>
          </w:p>
        </w:tc>
      </w:tr>
      <w:tr w:rsidR="007B559C" w:rsidRPr="00157580" w14:paraId="5FE75C87" w14:textId="77777777" w:rsidTr="00360131">
        <w:tc>
          <w:tcPr>
            <w:tcW w:w="9498" w:type="dxa"/>
            <w:tcBorders>
              <w:top w:val="nil"/>
              <w:bottom w:val="nil"/>
            </w:tcBorders>
          </w:tcPr>
          <w:p w14:paraId="57F7FE65" w14:textId="2F10EC85" w:rsidR="007B559C" w:rsidRPr="00360131" w:rsidRDefault="007B559C" w:rsidP="00DD0824">
            <w:pPr>
              <w:spacing w:line="259" w:lineRule="auto"/>
              <w:rPr>
                <w:rFonts w:ascii="Arial" w:hAnsi="Arial" w:cs="Arial"/>
                <w:b/>
                <w:sz w:val="22"/>
              </w:rPr>
            </w:pPr>
            <w:r w:rsidRPr="00360131">
              <w:rPr>
                <w:rFonts w:cs="Arial"/>
                <w:b/>
                <w:sz w:val="22"/>
                <w:szCs w:val="24"/>
              </w:rPr>
              <w:t>2023</w:t>
            </w:r>
            <w:r w:rsidR="00310E2A" w:rsidRPr="00360131">
              <w:rPr>
                <w:rFonts w:cs="Arial"/>
                <w:b/>
                <w:sz w:val="22"/>
                <w:szCs w:val="24"/>
              </w:rPr>
              <w:t>–</w:t>
            </w:r>
            <w:r w:rsidRPr="00360131">
              <w:rPr>
                <w:rFonts w:cs="Arial"/>
                <w:b/>
                <w:sz w:val="22"/>
                <w:szCs w:val="24"/>
              </w:rPr>
              <w:t xml:space="preserve">28 cost and timing: </w:t>
            </w:r>
            <w:r w:rsidRPr="00360131">
              <w:rPr>
                <w:rFonts w:cs="Arial"/>
                <w:sz w:val="22"/>
                <w:szCs w:val="24"/>
              </w:rPr>
              <w:t>$26.</w:t>
            </w:r>
            <w:r w:rsidR="00E441BC">
              <w:rPr>
                <w:rFonts w:cs="Arial"/>
                <w:sz w:val="22"/>
                <w:szCs w:val="24"/>
              </w:rPr>
              <w:t>17</w:t>
            </w:r>
            <w:r w:rsidRPr="00360131">
              <w:rPr>
                <w:rFonts w:cs="Arial"/>
                <w:sz w:val="22"/>
                <w:szCs w:val="24"/>
              </w:rPr>
              <w:t>m (2023</w:t>
            </w:r>
            <w:r w:rsidR="00310E2A" w:rsidRPr="00360131">
              <w:rPr>
                <w:rFonts w:cs="Arial"/>
                <w:sz w:val="22"/>
                <w:szCs w:val="24"/>
              </w:rPr>
              <w:t>–</w:t>
            </w:r>
            <w:r w:rsidR="008814CA" w:rsidRPr="00360131">
              <w:rPr>
                <w:rFonts w:cs="Arial"/>
                <w:sz w:val="22"/>
                <w:szCs w:val="24"/>
              </w:rPr>
              <w:t>27</w:t>
            </w:r>
            <w:r w:rsidRPr="00360131">
              <w:rPr>
                <w:rFonts w:cs="Arial"/>
                <w:sz w:val="22"/>
                <w:szCs w:val="24"/>
              </w:rPr>
              <w:t>)</w:t>
            </w:r>
          </w:p>
        </w:tc>
      </w:tr>
      <w:tr w:rsidR="007B559C" w:rsidRPr="00157580" w14:paraId="236FB9B8" w14:textId="77777777" w:rsidTr="00360131">
        <w:tc>
          <w:tcPr>
            <w:tcW w:w="9498" w:type="dxa"/>
            <w:tcBorders>
              <w:top w:val="nil"/>
              <w:bottom w:val="single" w:sz="2" w:space="0" w:color="002279"/>
            </w:tcBorders>
          </w:tcPr>
          <w:p w14:paraId="49D5A034" w14:textId="77777777" w:rsidR="007B559C" w:rsidRPr="00360131" w:rsidRDefault="007B559C" w:rsidP="00DD0824">
            <w:pPr>
              <w:spacing w:line="259" w:lineRule="auto"/>
              <w:rPr>
                <w:rFonts w:ascii="Arial" w:hAnsi="Arial" w:cs="Arial"/>
                <w:sz w:val="22"/>
              </w:rPr>
            </w:pPr>
            <w:r w:rsidRPr="00360131">
              <w:rPr>
                <w:rFonts w:cs="Arial"/>
                <w:b/>
                <w:sz w:val="22"/>
                <w:szCs w:val="24"/>
              </w:rPr>
              <w:t xml:space="preserve">Service category: </w:t>
            </w:r>
            <w:r w:rsidRPr="00360131">
              <w:rPr>
                <w:rFonts w:cs="Arial"/>
                <w:sz w:val="22"/>
                <w:szCs w:val="24"/>
              </w:rPr>
              <w:t>Sewerage</w:t>
            </w:r>
          </w:p>
        </w:tc>
      </w:tr>
      <w:tr w:rsidR="007B559C" w:rsidRPr="00157580" w14:paraId="353F7D20" w14:textId="77777777" w:rsidTr="00360131">
        <w:tc>
          <w:tcPr>
            <w:tcW w:w="9498" w:type="dxa"/>
            <w:tcBorders>
              <w:top w:val="single" w:sz="2" w:space="0" w:color="002279"/>
              <w:bottom w:val="single" w:sz="2" w:space="0" w:color="002279"/>
            </w:tcBorders>
          </w:tcPr>
          <w:p w14:paraId="5E5D1D72" w14:textId="5228D52E" w:rsidR="007B559C" w:rsidRPr="00360131" w:rsidRDefault="007B559C" w:rsidP="00DD0824">
            <w:pPr>
              <w:spacing w:line="259" w:lineRule="auto"/>
              <w:rPr>
                <w:rFonts w:ascii="Arial" w:hAnsi="Arial" w:cs="Arial"/>
                <w:b/>
                <w:sz w:val="22"/>
              </w:rPr>
            </w:pPr>
            <w:r w:rsidRPr="00360131">
              <w:rPr>
                <w:rFonts w:cs="Arial"/>
                <w:b/>
                <w:sz w:val="22"/>
                <w:szCs w:val="24"/>
              </w:rPr>
              <w:t xml:space="preserve">Cost </w:t>
            </w:r>
            <w:r w:rsidR="008F4BDA" w:rsidRPr="00360131">
              <w:rPr>
                <w:rFonts w:cs="Arial"/>
                <w:b/>
                <w:sz w:val="22"/>
                <w:szCs w:val="24"/>
              </w:rPr>
              <w:t>d</w:t>
            </w:r>
            <w:r w:rsidRPr="00360131">
              <w:rPr>
                <w:rFonts w:cs="Arial"/>
                <w:b/>
                <w:sz w:val="22"/>
                <w:szCs w:val="24"/>
              </w:rPr>
              <w:t xml:space="preserve">river category: </w:t>
            </w:r>
            <w:r w:rsidRPr="00360131">
              <w:rPr>
                <w:rFonts w:cs="Arial"/>
                <w:sz w:val="22"/>
                <w:szCs w:val="24"/>
              </w:rPr>
              <w:t>Growth</w:t>
            </w:r>
          </w:p>
        </w:tc>
      </w:tr>
      <w:tr w:rsidR="007865A3" w:rsidRPr="00157580" w14:paraId="25236886" w14:textId="77777777" w:rsidTr="00360131">
        <w:tc>
          <w:tcPr>
            <w:tcW w:w="9498" w:type="dxa"/>
            <w:tcBorders>
              <w:top w:val="single" w:sz="2" w:space="0" w:color="002279"/>
              <w:bottom w:val="single" w:sz="2" w:space="0" w:color="002279"/>
            </w:tcBorders>
          </w:tcPr>
          <w:p w14:paraId="1A46B1E5" w14:textId="77777777" w:rsidR="007865A3" w:rsidRPr="00360131" w:rsidRDefault="007865A3" w:rsidP="006F49BD">
            <w:pPr>
              <w:spacing w:line="259" w:lineRule="auto"/>
              <w:rPr>
                <w:rFonts w:ascii="Arial" w:hAnsi="Arial" w:cs="Arial"/>
                <w:sz w:val="22"/>
              </w:rPr>
            </w:pPr>
            <w:r w:rsidRPr="00360131">
              <w:rPr>
                <w:rFonts w:cs="Arial"/>
                <w:b/>
                <w:sz w:val="22"/>
                <w:szCs w:val="24"/>
              </w:rPr>
              <w:t xml:space="preserve">Asset category: </w:t>
            </w:r>
            <w:r w:rsidRPr="00360131">
              <w:rPr>
                <w:rFonts w:cs="Arial"/>
                <w:sz w:val="22"/>
                <w:szCs w:val="24"/>
              </w:rPr>
              <w:t>Treatment</w:t>
            </w:r>
          </w:p>
        </w:tc>
      </w:tr>
      <w:tr w:rsidR="007B559C" w:rsidRPr="00157580" w14:paraId="7DD1D7CC" w14:textId="77777777" w:rsidTr="00360131">
        <w:tc>
          <w:tcPr>
            <w:tcW w:w="9498" w:type="dxa"/>
            <w:tcBorders>
              <w:top w:val="single" w:sz="2" w:space="0" w:color="002279"/>
              <w:bottom w:val="single" w:sz="2" w:space="0" w:color="002279"/>
            </w:tcBorders>
          </w:tcPr>
          <w:p w14:paraId="5FAFFEE1" w14:textId="4C728E6B" w:rsidR="007B559C" w:rsidRPr="00360131" w:rsidRDefault="007B559C" w:rsidP="00DD0824">
            <w:pPr>
              <w:spacing w:line="259" w:lineRule="auto"/>
              <w:rPr>
                <w:rFonts w:ascii="Arial" w:hAnsi="Arial" w:cs="Arial"/>
                <w:sz w:val="22"/>
              </w:rPr>
            </w:pPr>
            <w:r w:rsidRPr="00360131">
              <w:rPr>
                <w:rFonts w:cs="Arial"/>
                <w:b/>
                <w:sz w:val="22"/>
                <w:szCs w:val="24"/>
              </w:rPr>
              <w:t xml:space="preserve">Description: </w:t>
            </w:r>
            <w:r w:rsidRPr="00360131">
              <w:rPr>
                <w:rFonts w:cs="Arial"/>
                <w:sz w:val="22"/>
                <w:szCs w:val="24"/>
              </w:rPr>
              <w:t xml:space="preserve">Upgrade of the Lang Lang </w:t>
            </w:r>
            <w:r w:rsidR="00DD65E2">
              <w:rPr>
                <w:rFonts w:cs="Arial"/>
                <w:sz w:val="22"/>
                <w:szCs w:val="24"/>
              </w:rPr>
              <w:t>W</w:t>
            </w:r>
            <w:r w:rsidR="007924A3">
              <w:rPr>
                <w:rFonts w:cs="Arial"/>
                <w:sz w:val="22"/>
                <w:szCs w:val="24"/>
              </w:rPr>
              <w:t xml:space="preserve">ater </w:t>
            </w:r>
            <w:r w:rsidR="002546C6">
              <w:rPr>
                <w:rFonts w:cs="Arial"/>
                <w:sz w:val="22"/>
                <w:szCs w:val="24"/>
              </w:rPr>
              <w:t>R</w:t>
            </w:r>
            <w:r w:rsidR="007924A3">
              <w:rPr>
                <w:rFonts w:cs="Arial"/>
                <w:sz w:val="22"/>
                <w:szCs w:val="24"/>
              </w:rPr>
              <w:t xml:space="preserve">ecycling </w:t>
            </w:r>
            <w:r w:rsidR="002546C6">
              <w:rPr>
                <w:rFonts w:cs="Arial"/>
                <w:sz w:val="22"/>
                <w:szCs w:val="24"/>
              </w:rPr>
              <w:t>P</w:t>
            </w:r>
            <w:r w:rsidR="007924A3">
              <w:rPr>
                <w:rFonts w:cs="Arial"/>
                <w:sz w:val="22"/>
                <w:szCs w:val="24"/>
              </w:rPr>
              <w:t>lant</w:t>
            </w:r>
            <w:r w:rsidR="002546C6">
              <w:rPr>
                <w:rFonts w:cs="Arial"/>
                <w:sz w:val="22"/>
                <w:szCs w:val="24"/>
              </w:rPr>
              <w:t xml:space="preserve"> </w:t>
            </w:r>
            <w:r w:rsidRPr="00360131">
              <w:rPr>
                <w:rFonts w:cs="Arial"/>
                <w:sz w:val="22"/>
                <w:szCs w:val="24"/>
              </w:rPr>
              <w:t xml:space="preserve">main process and </w:t>
            </w:r>
            <w:r w:rsidR="00F71B5F" w:rsidRPr="00360131">
              <w:rPr>
                <w:rFonts w:cs="Arial"/>
                <w:sz w:val="22"/>
                <w:szCs w:val="24"/>
              </w:rPr>
              <w:t>C</w:t>
            </w:r>
            <w:r w:rsidRPr="00360131">
              <w:rPr>
                <w:rFonts w:cs="Arial"/>
                <w:sz w:val="22"/>
                <w:szCs w:val="24"/>
              </w:rPr>
              <w:t xml:space="preserve">lass A </w:t>
            </w:r>
            <w:r w:rsidR="00F71B5F" w:rsidRPr="00360131">
              <w:rPr>
                <w:rFonts w:cs="Arial"/>
                <w:sz w:val="22"/>
                <w:szCs w:val="24"/>
              </w:rPr>
              <w:t xml:space="preserve">water </w:t>
            </w:r>
            <w:r w:rsidRPr="00360131">
              <w:rPr>
                <w:rFonts w:cs="Arial"/>
                <w:sz w:val="22"/>
                <w:szCs w:val="24"/>
              </w:rPr>
              <w:t xml:space="preserve">capacity </w:t>
            </w:r>
          </w:p>
        </w:tc>
      </w:tr>
      <w:tr w:rsidR="007B559C" w:rsidRPr="00157580" w14:paraId="11FE51D4" w14:textId="77777777" w:rsidTr="00360131">
        <w:tc>
          <w:tcPr>
            <w:tcW w:w="9498" w:type="dxa"/>
            <w:tcBorders>
              <w:top w:val="single" w:sz="2" w:space="0" w:color="002279"/>
              <w:bottom w:val="single" w:sz="2" w:space="0" w:color="002279"/>
            </w:tcBorders>
          </w:tcPr>
          <w:p w14:paraId="7650BA0C" w14:textId="37030F95" w:rsidR="007B559C" w:rsidRPr="00360131" w:rsidRDefault="00873CDE" w:rsidP="00DD0824">
            <w:pPr>
              <w:rPr>
                <w:rFonts w:ascii="Arial" w:hAnsi="Arial" w:cs="Arial"/>
                <w:sz w:val="22"/>
              </w:rPr>
            </w:pPr>
            <w:r w:rsidRPr="00360131">
              <w:rPr>
                <w:rFonts w:cs="Arial"/>
                <w:b/>
                <w:sz w:val="22"/>
                <w:szCs w:val="24"/>
              </w:rPr>
              <w:t xml:space="preserve">Customer </w:t>
            </w:r>
            <w:r w:rsidR="008F4BDA" w:rsidRPr="00360131">
              <w:rPr>
                <w:rFonts w:cs="Arial"/>
                <w:b/>
                <w:sz w:val="22"/>
                <w:szCs w:val="24"/>
              </w:rPr>
              <w:t>o</w:t>
            </w:r>
            <w:r w:rsidR="007B559C" w:rsidRPr="00360131">
              <w:rPr>
                <w:rFonts w:cs="Arial"/>
                <w:b/>
                <w:sz w:val="22"/>
                <w:szCs w:val="24"/>
              </w:rPr>
              <w:t>utcome:</w:t>
            </w:r>
            <w:r w:rsidR="007B559C" w:rsidRPr="00360131">
              <w:rPr>
                <w:rFonts w:cs="Arial"/>
                <w:sz w:val="22"/>
                <w:szCs w:val="24"/>
              </w:rPr>
              <w:t xml:space="preserve"> </w:t>
            </w:r>
            <w:r w:rsidR="007B559C" w:rsidRPr="00360131">
              <w:rPr>
                <w:rFonts w:cs="Arial"/>
                <w:i/>
                <w:sz w:val="22"/>
                <w:szCs w:val="24"/>
              </w:rPr>
              <w:t>Get the basics right, always</w:t>
            </w:r>
            <w:r w:rsidR="007B559C" w:rsidRPr="00360131">
              <w:rPr>
                <w:rFonts w:cs="Arial"/>
                <w:sz w:val="22"/>
                <w:szCs w:val="24"/>
              </w:rPr>
              <w:t xml:space="preserve">; </w:t>
            </w:r>
            <w:r w:rsidR="007B559C" w:rsidRPr="00360131">
              <w:rPr>
                <w:rFonts w:cs="Arial"/>
                <w:i/>
                <w:sz w:val="22"/>
                <w:szCs w:val="24"/>
              </w:rPr>
              <w:t>Support my community, protect our environment</w:t>
            </w:r>
          </w:p>
        </w:tc>
      </w:tr>
      <w:tr w:rsidR="007B559C" w:rsidRPr="00157580" w14:paraId="650DAA64" w14:textId="77777777" w:rsidTr="00360131">
        <w:tc>
          <w:tcPr>
            <w:tcW w:w="9498" w:type="dxa"/>
            <w:tcBorders>
              <w:top w:val="single" w:sz="2" w:space="0" w:color="002279"/>
              <w:bottom w:val="single" w:sz="2" w:space="0" w:color="002279"/>
            </w:tcBorders>
          </w:tcPr>
          <w:p w14:paraId="6495E20B" w14:textId="77777777" w:rsidR="007B559C" w:rsidRPr="00360131" w:rsidRDefault="007B559C" w:rsidP="00DD0824">
            <w:pPr>
              <w:spacing w:line="259" w:lineRule="auto"/>
              <w:rPr>
                <w:rFonts w:ascii="Arial" w:hAnsi="Arial" w:cs="Arial"/>
                <w:sz w:val="22"/>
              </w:rPr>
            </w:pPr>
            <w:r w:rsidRPr="00360131">
              <w:rPr>
                <w:rFonts w:cs="Arial"/>
                <w:b/>
                <w:sz w:val="22"/>
                <w:szCs w:val="24"/>
              </w:rPr>
              <w:t xml:space="preserve">Current risk rating: </w:t>
            </w:r>
            <w:r w:rsidRPr="00360131">
              <w:rPr>
                <w:rFonts w:cs="Arial"/>
                <w:sz w:val="22"/>
                <w:szCs w:val="24"/>
              </w:rPr>
              <w:t>High</w:t>
            </w:r>
          </w:p>
        </w:tc>
      </w:tr>
      <w:tr w:rsidR="007B559C" w:rsidRPr="00157580" w14:paraId="5F88BDBB" w14:textId="77777777" w:rsidTr="00360131">
        <w:tc>
          <w:tcPr>
            <w:tcW w:w="9498" w:type="dxa"/>
            <w:tcBorders>
              <w:top w:val="single" w:sz="2" w:space="0" w:color="002279"/>
              <w:bottom w:val="single" w:sz="2" w:space="0" w:color="002279"/>
            </w:tcBorders>
          </w:tcPr>
          <w:p w14:paraId="584EBBD5" w14:textId="22EA31F8" w:rsidR="007B559C" w:rsidRPr="00360131" w:rsidRDefault="007B559C" w:rsidP="00DD0824">
            <w:pPr>
              <w:spacing w:line="259" w:lineRule="auto"/>
              <w:rPr>
                <w:rFonts w:ascii="Arial" w:hAnsi="Arial" w:cs="Arial"/>
                <w:sz w:val="22"/>
              </w:rPr>
            </w:pPr>
            <w:r w:rsidRPr="00360131">
              <w:rPr>
                <w:rFonts w:cs="Arial"/>
                <w:b/>
                <w:sz w:val="22"/>
                <w:szCs w:val="24"/>
              </w:rPr>
              <w:t xml:space="preserve">Risk rating </w:t>
            </w:r>
            <w:r w:rsidR="00017665" w:rsidRPr="00360131">
              <w:rPr>
                <w:rFonts w:cs="Arial"/>
                <w:b/>
                <w:sz w:val="22"/>
                <w:szCs w:val="24"/>
              </w:rPr>
              <w:t>post-investment</w:t>
            </w:r>
            <w:r w:rsidRPr="00360131">
              <w:rPr>
                <w:rFonts w:cs="Arial"/>
                <w:b/>
                <w:sz w:val="22"/>
                <w:szCs w:val="24"/>
              </w:rPr>
              <w:t>:</w:t>
            </w:r>
            <w:r w:rsidRPr="00360131">
              <w:rPr>
                <w:rFonts w:cs="Arial"/>
                <w:sz w:val="22"/>
                <w:szCs w:val="24"/>
              </w:rPr>
              <w:t xml:space="preserve"> Low</w:t>
            </w:r>
          </w:p>
        </w:tc>
      </w:tr>
      <w:tr w:rsidR="007B559C" w:rsidRPr="00157580" w14:paraId="4DA84A72" w14:textId="77777777" w:rsidTr="00360131">
        <w:tc>
          <w:tcPr>
            <w:tcW w:w="9498" w:type="dxa"/>
            <w:tcBorders>
              <w:top w:val="single" w:sz="2" w:space="0" w:color="002279"/>
              <w:bottom w:val="single" w:sz="2" w:space="0" w:color="002279"/>
            </w:tcBorders>
          </w:tcPr>
          <w:p w14:paraId="1BE3A998" w14:textId="77777777" w:rsidR="007B559C" w:rsidRPr="00360131" w:rsidRDefault="007B559C" w:rsidP="00DD0824">
            <w:pPr>
              <w:pStyle w:val="NormalWeb"/>
              <w:spacing w:after="60" w:line="259" w:lineRule="auto"/>
              <w:rPr>
                <w:rFonts w:ascii="Arial" w:eastAsiaTheme="minorEastAsia" w:hAnsi="Arial" w:cs="Arial"/>
                <w:lang w:eastAsia="en-US"/>
              </w:rPr>
            </w:pPr>
            <w:r w:rsidRPr="00360131">
              <w:rPr>
                <w:rFonts w:ascii="Arial" w:hAnsi="Arial" w:cs="Arial"/>
                <w:b/>
                <w:szCs w:val="24"/>
              </w:rPr>
              <w:t xml:space="preserve">Background: </w:t>
            </w:r>
          </w:p>
          <w:p w14:paraId="07EDECF6" w14:textId="430A0498" w:rsidR="007B559C" w:rsidRPr="00360131" w:rsidRDefault="00195D7A" w:rsidP="00DD0824">
            <w:pPr>
              <w:pStyle w:val="NormalWeb"/>
              <w:spacing w:after="60" w:line="259" w:lineRule="auto"/>
              <w:rPr>
                <w:rFonts w:ascii="Arial" w:eastAsiaTheme="minorEastAsia" w:hAnsi="Arial" w:cs="Arial"/>
                <w:lang w:eastAsia="en-US"/>
              </w:rPr>
            </w:pPr>
            <w:r w:rsidRPr="00360131">
              <w:rPr>
                <w:rStyle w:val="normaltextrun"/>
                <w:rFonts w:ascii="Arial" w:hAnsi="Arial" w:cs="Arial"/>
                <w:color w:val="000000"/>
                <w:szCs w:val="24"/>
                <w:shd w:val="clear" w:color="auto" w:fill="FFFFFF"/>
              </w:rPr>
              <w:t>When developing</w:t>
            </w:r>
            <w:r w:rsidR="007B559C" w:rsidRPr="00360131">
              <w:rPr>
                <w:rStyle w:val="normaltextrun"/>
                <w:rFonts w:ascii="Arial" w:hAnsi="Arial" w:cs="Arial"/>
                <w:color w:val="000000"/>
                <w:szCs w:val="24"/>
                <w:shd w:val="clear" w:color="auto" w:fill="FFFFFF"/>
              </w:rPr>
              <w:t xml:space="preserve"> the Lang Lang and Koo Wee Rup master plan</w:t>
            </w:r>
            <w:r w:rsidR="00BB4E1F" w:rsidRPr="00360131">
              <w:rPr>
                <w:rStyle w:val="normaltextrun"/>
                <w:rFonts w:ascii="Arial" w:hAnsi="Arial" w:cs="Arial"/>
                <w:color w:val="000000"/>
                <w:szCs w:val="24"/>
                <w:shd w:val="clear" w:color="auto" w:fill="FFFFFF"/>
              </w:rPr>
              <w:t>s</w:t>
            </w:r>
            <w:r w:rsidR="007B559C" w:rsidRPr="00360131">
              <w:rPr>
                <w:rStyle w:val="normaltextrun"/>
                <w:rFonts w:ascii="Arial" w:hAnsi="Arial" w:cs="Arial"/>
                <w:color w:val="000000"/>
                <w:szCs w:val="24"/>
                <w:shd w:val="clear" w:color="auto" w:fill="FFFFFF"/>
              </w:rPr>
              <w:t>, a capacity assessment of the current infrastructure</w:t>
            </w:r>
            <w:r w:rsidR="006912A9" w:rsidRPr="00360131">
              <w:rPr>
                <w:rStyle w:val="normaltextrun"/>
                <w:rFonts w:ascii="Arial" w:hAnsi="Arial" w:cs="Arial"/>
                <w:color w:val="000000"/>
                <w:szCs w:val="24"/>
                <w:shd w:val="clear" w:color="auto" w:fill="FFFFFF"/>
              </w:rPr>
              <w:t xml:space="preserve"> in these catchments</w:t>
            </w:r>
            <w:r w:rsidR="002702AF" w:rsidRPr="00360131">
              <w:rPr>
                <w:rStyle w:val="normaltextrun"/>
                <w:rFonts w:ascii="Arial" w:hAnsi="Arial" w:cs="Arial"/>
                <w:color w:val="000000"/>
                <w:szCs w:val="24"/>
                <w:shd w:val="clear" w:color="auto" w:fill="FFFFFF"/>
              </w:rPr>
              <w:t>,</w:t>
            </w:r>
            <w:r w:rsidR="0030132C" w:rsidRPr="00360131">
              <w:rPr>
                <w:rStyle w:val="normaltextrun"/>
                <w:rFonts w:ascii="Arial" w:hAnsi="Arial" w:cs="Arial"/>
                <w:color w:val="000000"/>
                <w:szCs w:val="24"/>
                <w:shd w:val="clear" w:color="auto" w:fill="FFFFFF"/>
              </w:rPr>
              <w:t xml:space="preserve"> and</w:t>
            </w:r>
            <w:r w:rsidR="007B559C" w:rsidRPr="00360131">
              <w:rPr>
                <w:rStyle w:val="normaltextrun"/>
                <w:rFonts w:ascii="Arial" w:hAnsi="Arial" w:cs="Arial"/>
                <w:color w:val="000000"/>
                <w:szCs w:val="24"/>
                <w:shd w:val="clear" w:color="auto" w:fill="FFFFFF"/>
              </w:rPr>
              <w:t xml:space="preserve"> </w:t>
            </w:r>
            <w:r w:rsidR="006912A9" w:rsidRPr="00360131">
              <w:rPr>
                <w:rStyle w:val="normaltextrun"/>
                <w:rFonts w:ascii="Arial" w:hAnsi="Arial" w:cs="Arial"/>
                <w:color w:val="000000"/>
                <w:szCs w:val="24"/>
                <w:shd w:val="clear" w:color="auto" w:fill="FFFFFF"/>
              </w:rPr>
              <w:t>an assessment of the</w:t>
            </w:r>
            <w:r w:rsidR="007B559C" w:rsidRPr="00360131">
              <w:rPr>
                <w:rStyle w:val="normaltextrun"/>
                <w:rFonts w:ascii="Arial" w:hAnsi="Arial" w:cs="Arial"/>
                <w:color w:val="000000"/>
                <w:szCs w:val="24"/>
                <w:shd w:val="clear" w:color="auto" w:fill="FFFFFF"/>
              </w:rPr>
              <w:t xml:space="preserve"> flow and load forecasting for the Lang Lang </w:t>
            </w:r>
            <w:r w:rsidR="007924A3" w:rsidRPr="007924A3">
              <w:rPr>
                <w:rFonts w:ascii="Arial" w:hAnsi="Arial" w:cs="Arial"/>
                <w:szCs w:val="24"/>
              </w:rPr>
              <w:t>Water Recycling Plant</w:t>
            </w:r>
            <w:r w:rsidR="007924A3">
              <w:rPr>
                <w:rFonts w:cs="Arial"/>
                <w:szCs w:val="24"/>
              </w:rPr>
              <w:t>,</w:t>
            </w:r>
            <w:r w:rsidR="007B559C" w:rsidRPr="00360131">
              <w:rPr>
                <w:rStyle w:val="normaltextrun"/>
                <w:rFonts w:ascii="Arial" w:hAnsi="Arial" w:cs="Arial"/>
                <w:color w:val="000000"/>
                <w:szCs w:val="24"/>
                <w:shd w:val="clear" w:color="auto" w:fill="FFFFFF"/>
              </w:rPr>
              <w:t xml:space="preserve"> </w:t>
            </w:r>
            <w:r w:rsidR="00783CAD" w:rsidRPr="00360131">
              <w:rPr>
                <w:rStyle w:val="normaltextrun"/>
                <w:rFonts w:ascii="Arial" w:hAnsi="Arial" w:cs="Arial"/>
                <w:color w:val="000000"/>
                <w:szCs w:val="24"/>
                <w:shd w:val="clear" w:color="auto" w:fill="FFFFFF"/>
              </w:rPr>
              <w:t>were</w:t>
            </w:r>
            <w:r w:rsidR="007B559C" w:rsidRPr="00360131">
              <w:rPr>
                <w:rStyle w:val="normaltextrun"/>
                <w:rFonts w:ascii="Arial" w:hAnsi="Arial" w:cs="Arial"/>
                <w:color w:val="000000"/>
                <w:szCs w:val="24"/>
                <w:shd w:val="clear" w:color="auto" w:fill="FFFFFF"/>
              </w:rPr>
              <w:t xml:space="preserve"> performed. </w:t>
            </w:r>
            <w:r w:rsidR="0041418A" w:rsidRPr="00360131">
              <w:rPr>
                <w:rStyle w:val="normaltextrun"/>
                <w:rFonts w:ascii="Arial" w:hAnsi="Arial" w:cs="Arial"/>
                <w:color w:val="000000"/>
                <w:szCs w:val="24"/>
                <w:shd w:val="clear" w:color="auto" w:fill="FFFFFF"/>
              </w:rPr>
              <w:t>The</w:t>
            </w:r>
            <w:r w:rsidR="00BD4C95" w:rsidRPr="00360131">
              <w:rPr>
                <w:rStyle w:val="normaltextrun"/>
                <w:rFonts w:ascii="Arial" w:hAnsi="Arial" w:cs="Arial"/>
                <w:color w:val="000000"/>
                <w:szCs w:val="24"/>
                <w:shd w:val="clear" w:color="auto" w:fill="FFFFFF"/>
              </w:rPr>
              <w:t>se</w:t>
            </w:r>
            <w:r w:rsidR="0041418A" w:rsidRPr="00360131">
              <w:rPr>
                <w:rStyle w:val="normaltextrun"/>
                <w:rFonts w:ascii="Arial" w:hAnsi="Arial" w:cs="Arial"/>
                <w:color w:val="000000"/>
                <w:szCs w:val="24"/>
                <w:shd w:val="clear" w:color="auto" w:fill="FFFFFF"/>
              </w:rPr>
              <w:t xml:space="preserve"> assessment</w:t>
            </w:r>
            <w:r w:rsidR="00783CAD" w:rsidRPr="00360131">
              <w:rPr>
                <w:rStyle w:val="normaltextrun"/>
                <w:rFonts w:ascii="Arial" w:hAnsi="Arial" w:cs="Arial"/>
                <w:color w:val="000000"/>
                <w:szCs w:val="24"/>
                <w:shd w:val="clear" w:color="auto" w:fill="FFFFFF"/>
              </w:rPr>
              <w:t>s</w:t>
            </w:r>
            <w:r w:rsidR="0041418A" w:rsidRPr="00360131">
              <w:rPr>
                <w:rStyle w:val="normaltextrun"/>
                <w:rFonts w:ascii="Arial" w:hAnsi="Arial" w:cs="Arial"/>
                <w:color w:val="000000"/>
                <w:szCs w:val="24"/>
                <w:shd w:val="clear" w:color="auto" w:fill="FFFFFF"/>
              </w:rPr>
              <w:t xml:space="preserve"> identified</w:t>
            </w:r>
            <w:r w:rsidR="007B559C" w:rsidRPr="00360131">
              <w:rPr>
                <w:rStyle w:val="normaltextrun"/>
                <w:rFonts w:ascii="Arial" w:hAnsi="Arial" w:cs="Arial"/>
                <w:color w:val="000000"/>
                <w:szCs w:val="24"/>
                <w:shd w:val="clear" w:color="auto" w:fill="FFFFFF"/>
              </w:rPr>
              <w:t xml:space="preserve"> the need </w:t>
            </w:r>
            <w:r w:rsidR="0041418A" w:rsidRPr="00360131">
              <w:rPr>
                <w:rStyle w:val="normaltextrun"/>
                <w:rFonts w:ascii="Arial" w:hAnsi="Arial" w:cs="Arial"/>
                <w:color w:val="000000"/>
                <w:szCs w:val="24"/>
                <w:shd w:val="clear" w:color="auto" w:fill="FFFFFF"/>
              </w:rPr>
              <w:t>to</w:t>
            </w:r>
            <w:r w:rsidR="007B559C" w:rsidRPr="00360131">
              <w:rPr>
                <w:rStyle w:val="normaltextrun"/>
                <w:rFonts w:ascii="Arial" w:hAnsi="Arial" w:cs="Arial"/>
                <w:color w:val="000000"/>
                <w:szCs w:val="24"/>
                <w:shd w:val="clear" w:color="auto" w:fill="FFFFFF"/>
              </w:rPr>
              <w:t xml:space="preserve"> upgrade the main process and Class A </w:t>
            </w:r>
            <w:r w:rsidR="002B7D65" w:rsidRPr="00360131">
              <w:rPr>
                <w:rStyle w:val="normaltextrun"/>
                <w:rFonts w:ascii="Arial" w:hAnsi="Arial" w:cs="Arial"/>
                <w:color w:val="000000"/>
                <w:szCs w:val="24"/>
                <w:shd w:val="clear" w:color="auto" w:fill="FFFFFF"/>
              </w:rPr>
              <w:t>water</w:t>
            </w:r>
            <w:r w:rsidR="007B559C" w:rsidRPr="00360131">
              <w:rPr>
                <w:rStyle w:val="normaltextrun"/>
                <w:rFonts w:ascii="Arial" w:hAnsi="Arial" w:cs="Arial"/>
                <w:color w:val="000000"/>
                <w:szCs w:val="24"/>
                <w:shd w:val="clear" w:color="auto" w:fill="FFFFFF"/>
              </w:rPr>
              <w:t xml:space="preserve"> capacity at the Lang Lang</w:t>
            </w:r>
            <w:r w:rsidR="007924A3">
              <w:rPr>
                <w:rFonts w:cs="Arial"/>
                <w:szCs w:val="24"/>
              </w:rPr>
              <w:t xml:space="preserve"> </w:t>
            </w:r>
            <w:r w:rsidR="007924A3" w:rsidRPr="007924A3">
              <w:rPr>
                <w:rFonts w:ascii="Arial" w:hAnsi="Arial" w:cs="Arial"/>
                <w:szCs w:val="24"/>
              </w:rPr>
              <w:t>Water Recycling Plant</w:t>
            </w:r>
            <w:r w:rsidR="00BD4C95" w:rsidRPr="007924A3">
              <w:rPr>
                <w:rStyle w:val="normaltextrun"/>
                <w:rFonts w:ascii="Arial" w:hAnsi="Arial" w:cs="Arial"/>
                <w:color w:val="000000"/>
                <w:szCs w:val="24"/>
                <w:shd w:val="clear" w:color="auto" w:fill="FFFFFF"/>
              </w:rPr>
              <w:t>,</w:t>
            </w:r>
            <w:r w:rsidR="007B559C" w:rsidRPr="00360131">
              <w:rPr>
                <w:rStyle w:val="normaltextrun"/>
                <w:rFonts w:ascii="Arial" w:hAnsi="Arial" w:cs="Arial"/>
                <w:color w:val="000000"/>
                <w:szCs w:val="24"/>
                <w:shd w:val="clear" w:color="auto" w:fill="FFFFFF"/>
              </w:rPr>
              <w:t xml:space="preserve"> to meet </w:t>
            </w:r>
            <w:r w:rsidR="006968B9" w:rsidRPr="00360131">
              <w:rPr>
                <w:rStyle w:val="normaltextrun"/>
                <w:rFonts w:ascii="Arial" w:hAnsi="Arial" w:cs="Arial"/>
                <w:color w:val="000000"/>
                <w:szCs w:val="24"/>
                <w:shd w:val="clear" w:color="auto" w:fill="FFFFFF"/>
              </w:rPr>
              <w:t xml:space="preserve">future </w:t>
            </w:r>
            <w:r w:rsidR="00E82B79" w:rsidRPr="00360131">
              <w:rPr>
                <w:rStyle w:val="normaltextrun"/>
                <w:rFonts w:ascii="Arial" w:hAnsi="Arial" w:cs="Arial"/>
                <w:color w:val="000000"/>
                <w:szCs w:val="24"/>
                <w:shd w:val="clear" w:color="auto" w:fill="FFFFFF"/>
              </w:rPr>
              <w:t>service d</w:t>
            </w:r>
            <w:r w:rsidR="0013610E" w:rsidRPr="00360131">
              <w:rPr>
                <w:rStyle w:val="normaltextrun"/>
                <w:rFonts w:ascii="Arial" w:hAnsi="Arial" w:cs="Arial"/>
                <w:color w:val="000000"/>
                <w:szCs w:val="24"/>
                <w:shd w:val="clear" w:color="auto" w:fill="FFFFFF"/>
              </w:rPr>
              <w:t>emands</w:t>
            </w:r>
            <w:r w:rsidR="00E82B79" w:rsidRPr="00360131">
              <w:rPr>
                <w:rStyle w:val="normaltextrun"/>
                <w:rFonts w:ascii="Arial" w:hAnsi="Arial" w:cs="Arial"/>
                <w:color w:val="000000"/>
                <w:szCs w:val="24"/>
                <w:shd w:val="clear" w:color="auto" w:fill="FFFFFF"/>
              </w:rPr>
              <w:t xml:space="preserve"> and </w:t>
            </w:r>
            <w:r w:rsidR="0013610E" w:rsidRPr="00360131">
              <w:rPr>
                <w:rStyle w:val="normaltextrun"/>
                <w:rFonts w:ascii="Arial" w:hAnsi="Arial" w:cs="Arial"/>
                <w:color w:val="000000"/>
                <w:szCs w:val="24"/>
                <w:shd w:val="clear" w:color="auto" w:fill="FFFFFF"/>
              </w:rPr>
              <w:t xml:space="preserve">maintain </w:t>
            </w:r>
            <w:r w:rsidR="007B559C" w:rsidRPr="00360131">
              <w:rPr>
                <w:rStyle w:val="normaltextrun"/>
                <w:rFonts w:ascii="Arial" w:hAnsi="Arial" w:cs="Arial"/>
                <w:color w:val="000000"/>
                <w:szCs w:val="24"/>
                <w:shd w:val="clear" w:color="auto" w:fill="FFFFFF"/>
              </w:rPr>
              <w:t xml:space="preserve">compliance. </w:t>
            </w:r>
            <w:r w:rsidR="007B559C" w:rsidRPr="00360131">
              <w:rPr>
                <w:rFonts w:ascii="Arial" w:hAnsi="Arial" w:cs="Arial"/>
                <w:szCs w:val="24"/>
              </w:rPr>
              <w:t>This project will</w:t>
            </w:r>
            <w:r w:rsidR="005F4EAF" w:rsidRPr="00360131">
              <w:rPr>
                <w:rFonts w:ascii="Arial" w:hAnsi="Arial" w:cs="Arial"/>
                <w:szCs w:val="24"/>
              </w:rPr>
              <w:t xml:space="preserve"> deliver</w:t>
            </w:r>
            <w:r w:rsidR="007B559C" w:rsidRPr="00360131">
              <w:rPr>
                <w:rFonts w:ascii="Arial" w:hAnsi="Arial" w:cs="Arial"/>
                <w:szCs w:val="24"/>
              </w:rPr>
              <w:t xml:space="preserve"> upgrade</w:t>
            </w:r>
            <w:r w:rsidR="00557D5A" w:rsidRPr="00360131">
              <w:rPr>
                <w:rFonts w:ascii="Arial" w:hAnsi="Arial" w:cs="Arial"/>
                <w:szCs w:val="24"/>
              </w:rPr>
              <w:t>s to</w:t>
            </w:r>
            <w:r w:rsidR="007B559C" w:rsidRPr="00360131">
              <w:rPr>
                <w:rFonts w:ascii="Arial" w:hAnsi="Arial" w:cs="Arial"/>
                <w:szCs w:val="24"/>
              </w:rPr>
              <w:t xml:space="preserve"> the </w:t>
            </w:r>
            <w:r w:rsidR="00736C6A" w:rsidRPr="00360131">
              <w:rPr>
                <w:rStyle w:val="normaltextrun"/>
                <w:rFonts w:ascii="Arial" w:hAnsi="Arial" w:cs="Arial"/>
                <w:color w:val="000000"/>
                <w:szCs w:val="24"/>
                <w:shd w:val="clear" w:color="auto" w:fill="FFFFFF"/>
              </w:rPr>
              <w:t>primary, secondary and disinfection processes,</w:t>
            </w:r>
            <w:r w:rsidR="00736C6A" w:rsidRPr="00360131">
              <w:rPr>
                <w:rFonts w:ascii="Arial" w:hAnsi="Arial" w:cs="Arial"/>
                <w:szCs w:val="24"/>
              </w:rPr>
              <w:t xml:space="preserve"> </w:t>
            </w:r>
            <w:r w:rsidR="001A6B4A" w:rsidRPr="00360131">
              <w:rPr>
                <w:rStyle w:val="normaltextrun"/>
                <w:rFonts w:ascii="Arial" w:hAnsi="Arial" w:cs="Arial"/>
                <w:color w:val="000000"/>
                <w:szCs w:val="24"/>
                <w:shd w:val="clear" w:color="auto" w:fill="FFFFFF"/>
              </w:rPr>
              <w:t>as well as biosolids</w:t>
            </w:r>
            <w:r w:rsidR="001A6B4A" w:rsidRPr="00360131">
              <w:rPr>
                <w:rStyle w:val="normaltextrun"/>
                <w:rFonts w:ascii="Arial" w:hAnsi="Arial" w:cs="Arial"/>
                <w:color w:val="000000"/>
                <w:szCs w:val="24"/>
              </w:rPr>
              <w:t xml:space="preserve"> </w:t>
            </w:r>
            <w:r w:rsidR="001A6B4A" w:rsidRPr="00360131">
              <w:rPr>
                <w:rStyle w:val="normaltextrun"/>
                <w:rFonts w:ascii="Arial" w:hAnsi="Arial" w:cs="Arial"/>
                <w:color w:val="000000"/>
                <w:szCs w:val="24"/>
                <w:shd w:val="clear" w:color="auto" w:fill="FFFFFF"/>
              </w:rPr>
              <w:t>management</w:t>
            </w:r>
            <w:r w:rsidR="005E3FED" w:rsidRPr="00360131">
              <w:rPr>
                <w:rStyle w:val="normaltextrun"/>
                <w:rFonts w:ascii="Arial" w:hAnsi="Arial" w:cs="Arial"/>
                <w:color w:val="000000"/>
                <w:szCs w:val="24"/>
                <w:shd w:val="clear" w:color="auto" w:fill="FFFFFF"/>
              </w:rPr>
              <w:t>,</w:t>
            </w:r>
            <w:r w:rsidR="009941C4" w:rsidRPr="00360131">
              <w:rPr>
                <w:rFonts w:ascii="Arial" w:hAnsi="Arial" w:cs="Arial"/>
                <w:szCs w:val="24"/>
              </w:rPr>
              <w:t xml:space="preserve"> </w:t>
            </w:r>
            <w:r w:rsidR="009941C4" w:rsidRPr="00360131">
              <w:rPr>
                <w:rStyle w:val="normaltextrun"/>
                <w:rFonts w:ascii="Arial" w:hAnsi="Arial" w:cs="Arial"/>
                <w:color w:val="000000"/>
                <w:szCs w:val="24"/>
                <w:shd w:val="clear" w:color="auto" w:fill="FFFFFF"/>
              </w:rPr>
              <w:t xml:space="preserve">at the </w:t>
            </w:r>
            <w:r w:rsidR="005E3FED" w:rsidRPr="00360131">
              <w:rPr>
                <w:rStyle w:val="normaltextrun"/>
                <w:rFonts w:ascii="Arial" w:hAnsi="Arial" w:cs="Arial"/>
                <w:color w:val="000000"/>
                <w:szCs w:val="24"/>
                <w:shd w:val="clear" w:color="auto" w:fill="FFFFFF"/>
              </w:rPr>
              <w:t xml:space="preserve">Lang Lang </w:t>
            </w:r>
            <w:r w:rsidR="009941C4" w:rsidRPr="00360131">
              <w:rPr>
                <w:rStyle w:val="normaltextrun"/>
                <w:rFonts w:ascii="Arial" w:hAnsi="Arial" w:cs="Arial"/>
                <w:color w:val="000000"/>
                <w:szCs w:val="24"/>
                <w:shd w:val="clear" w:color="auto" w:fill="FFFFFF"/>
              </w:rPr>
              <w:t>plant</w:t>
            </w:r>
            <w:r w:rsidR="007B559C" w:rsidRPr="00360131">
              <w:rPr>
                <w:rFonts w:ascii="Arial" w:hAnsi="Arial" w:cs="Arial"/>
                <w:szCs w:val="24"/>
              </w:rPr>
              <w:t>.</w:t>
            </w:r>
          </w:p>
        </w:tc>
      </w:tr>
    </w:tbl>
    <w:p w14:paraId="4C3CD047" w14:textId="77777777" w:rsidR="007B559C" w:rsidRDefault="007B559C" w:rsidP="00E302B4">
      <w:pPr>
        <w:pStyle w:val="NormalIndent"/>
        <w:ind w:left="0"/>
      </w:pPr>
    </w:p>
    <w:p w14:paraId="12823694" w14:textId="3A08225B" w:rsidR="00E302B4" w:rsidRPr="009E61EF" w:rsidRDefault="00330BFE" w:rsidP="00762418">
      <w:pPr>
        <w:pStyle w:val="NbrHeading2"/>
      </w:pPr>
      <w:r>
        <w:t xml:space="preserve">6.6 </w:t>
      </w:r>
      <w:r w:rsidR="00E302B4">
        <w:t>Capital programs and other capital expenditure</w:t>
      </w:r>
    </w:p>
    <w:p w14:paraId="62FD7554" w14:textId="55C3CC4B" w:rsidR="007B559C" w:rsidRPr="009669FE" w:rsidRDefault="007B559C" w:rsidP="007B559C">
      <w:pPr>
        <w:rPr>
          <w:rFonts w:cs="Arial"/>
        </w:rPr>
      </w:pPr>
      <w:r w:rsidRPr="00C7338C">
        <w:rPr>
          <w:rFonts w:cs="Arial"/>
        </w:rPr>
        <w:t xml:space="preserve">Apart from </w:t>
      </w:r>
      <w:r w:rsidRPr="005E7F4C">
        <w:rPr>
          <w:rFonts w:cs="Arial"/>
        </w:rPr>
        <w:t>ou</w:t>
      </w:r>
      <w:r w:rsidRPr="005E31A6">
        <w:rPr>
          <w:rFonts w:cs="Arial"/>
        </w:rPr>
        <w:t>r</w:t>
      </w:r>
      <w:r w:rsidRPr="00C7338C">
        <w:rPr>
          <w:rFonts w:cs="Arial"/>
        </w:rPr>
        <w:t xml:space="preserve"> </w:t>
      </w:r>
      <w:r>
        <w:rPr>
          <w:rFonts w:cs="Arial"/>
        </w:rPr>
        <w:t>top 10</w:t>
      </w:r>
      <w:r w:rsidRPr="00C7338C">
        <w:rPr>
          <w:rFonts w:cs="Arial"/>
        </w:rPr>
        <w:t xml:space="preserve"> projects, our </w:t>
      </w:r>
      <w:r>
        <w:rPr>
          <w:rFonts w:cs="Arial"/>
        </w:rPr>
        <w:t>investment in capital programs and other discrete projects</w:t>
      </w:r>
      <w:r w:rsidRPr="00A64590">
        <w:rPr>
          <w:rFonts w:cs="Arial"/>
        </w:rPr>
        <w:t xml:space="preserve"> account for </w:t>
      </w:r>
      <w:r w:rsidRPr="00502F52">
        <w:rPr>
          <w:rFonts w:cs="Arial"/>
        </w:rPr>
        <w:t xml:space="preserve">approximately </w:t>
      </w:r>
      <w:r w:rsidR="007E778E">
        <w:rPr>
          <w:rFonts w:cs="Arial"/>
        </w:rPr>
        <w:t>69</w:t>
      </w:r>
      <w:r w:rsidRPr="00502F52">
        <w:rPr>
          <w:rFonts w:cs="Arial"/>
        </w:rPr>
        <w:t xml:space="preserve">% of the </w:t>
      </w:r>
      <w:r w:rsidRPr="00A64590">
        <w:rPr>
          <w:rFonts w:cs="Arial"/>
        </w:rPr>
        <w:t xml:space="preserve">proposed capital investment over the </w:t>
      </w:r>
      <w:r w:rsidR="00E66708">
        <w:rPr>
          <w:rFonts w:cs="Arial"/>
        </w:rPr>
        <w:br/>
      </w:r>
      <w:r w:rsidR="00873A3E">
        <w:rPr>
          <w:rFonts w:cs="Arial"/>
        </w:rPr>
        <w:t>2023</w:t>
      </w:r>
      <w:r w:rsidR="00310E2A">
        <w:rPr>
          <w:rFonts w:cs="Arial"/>
        </w:rPr>
        <w:t>–</w:t>
      </w:r>
      <w:r w:rsidR="00873A3E">
        <w:rPr>
          <w:rFonts w:cs="Arial"/>
        </w:rPr>
        <w:t>28</w:t>
      </w:r>
      <w:r w:rsidRPr="00A64590">
        <w:rPr>
          <w:rFonts w:cs="Arial"/>
        </w:rPr>
        <w:t xml:space="preserve"> regulatory period. These are shown </w:t>
      </w:r>
      <w:r w:rsidR="00E0331E">
        <w:rPr>
          <w:rFonts w:cs="Arial"/>
        </w:rPr>
        <w:t>Table 26</w:t>
      </w:r>
      <w:r>
        <w:rPr>
          <w:rFonts w:cs="Arial"/>
        </w:rPr>
        <w:t>:</w:t>
      </w:r>
    </w:p>
    <w:p w14:paraId="12368265" w14:textId="77777777" w:rsidR="007B559C" w:rsidRDefault="007B559C" w:rsidP="007B559C">
      <w:pPr>
        <w:rPr>
          <w:rFonts w:cs="Arial"/>
          <w:highlight w:val="yellow"/>
        </w:rPr>
      </w:pPr>
    </w:p>
    <w:p w14:paraId="1FD9865D" w14:textId="6A999F9E" w:rsidR="007B339F" w:rsidRDefault="007B339F" w:rsidP="007B559C">
      <w:pPr>
        <w:rPr>
          <w:rFonts w:cs="Arial"/>
          <w:highlight w:val="yellow"/>
        </w:rPr>
      </w:pPr>
    </w:p>
    <w:p w14:paraId="51C4DF76" w14:textId="59136D56" w:rsidR="001E1592" w:rsidRDefault="001E1592" w:rsidP="007B559C">
      <w:pPr>
        <w:rPr>
          <w:rFonts w:cs="Arial"/>
          <w:highlight w:val="yellow"/>
        </w:rPr>
      </w:pPr>
    </w:p>
    <w:p w14:paraId="6DE9EACA" w14:textId="583E00D8" w:rsidR="001E1592" w:rsidRDefault="001E1592" w:rsidP="007B559C">
      <w:pPr>
        <w:rPr>
          <w:rFonts w:cs="Arial"/>
          <w:highlight w:val="yellow"/>
        </w:rPr>
      </w:pPr>
    </w:p>
    <w:p w14:paraId="5DB3457E" w14:textId="103F30D5" w:rsidR="001E1592" w:rsidRDefault="001E1592" w:rsidP="007B559C">
      <w:pPr>
        <w:rPr>
          <w:rFonts w:cs="Arial"/>
          <w:highlight w:val="yellow"/>
        </w:rPr>
      </w:pPr>
    </w:p>
    <w:p w14:paraId="63412123" w14:textId="2FE9E97B" w:rsidR="001E1592" w:rsidRDefault="001E1592" w:rsidP="007B559C">
      <w:pPr>
        <w:rPr>
          <w:rFonts w:cs="Arial"/>
          <w:highlight w:val="yellow"/>
        </w:rPr>
      </w:pPr>
    </w:p>
    <w:p w14:paraId="7798D286" w14:textId="6DC73EFA" w:rsidR="001E1592" w:rsidRDefault="001E1592" w:rsidP="007B559C">
      <w:pPr>
        <w:rPr>
          <w:rFonts w:cs="Arial"/>
          <w:highlight w:val="yellow"/>
        </w:rPr>
      </w:pPr>
    </w:p>
    <w:p w14:paraId="308B073C" w14:textId="77777777" w:rsidR="007B339F" w:rsidRDefault="007B339F" w:rsidP="007B559C">
      <w:pPr>
        <w:rPr>
          <w:rFonts w:cs="Arial"/>
          <w:highlight w:val="yellow"/>
        </w:rPr>
        <w:sectPr w:rsidR="007B339F" w:rsidSect="00116E55">
          <w:pgSz w:w="11906" w:h="16838"/>
          <w:pgMar w:top="1440" w:right="1440" w:bottom="1440" w:left="873" w:header="708" w:footer="232" w:gutter="0"/>
          <w:cols w:space="708"/>
          <w:docGrid w:linePitch="360"/>
        </w:sectPr>
      </w:pPr>
    </w:p>
    <w:tbl>
      <w:tblPr>
        <w:tblStyle w:val="MJTableStyle1default"/>
        <w:tblpPr w:leftFromText="180" w:rightFromText="180" w:vertAnchor="text" w:tblpY="1"/>
        <w:tblOverlap w:val="never"/>
        <w:tblW w:w="14034" w:type="dxa"/>
        <w:tblInd w:w="0" w:type="dxa"/>
        <w:tblLayout w:type="fixed"/>
        <w:tblLook w:val="06A0" w:firstRow="1" w:lastRow="0" w:firstColumn="1" w:lastColumn="0" w:noHBand="1" w:noVBand="1"/>
      </w:tblPr>
      <w:tblGrid>
        <w:gridCol w:w="2806"/>
        <w:gridCol w:w="2807"/>
        <w:gridCol w:w="2807"/>
        <w:gridCol w:w="3057"/>
        <w:gridCol w:w="2557"/>
      </w:tblGrid>
      <w:tr w:rsidR="00691855" w:rsidRPr="00691855" w14:paraId="68AA739E" w14:textId="77777777" w:rsidTr="00571A03">
        <w:trPr>
          <w:cnfStyle w:val="100000000000" w:firstRow="1" w:lastRow="0" w:firstColumn="0" w:lastColumn="0" w:oddVBand="0" w:evenVBand="0" w:oddHBand="0" w:evenHBand="0" w:firstRowFirstColumn="0" w:firstRowLastColumn="0" w:lastRowFirstColumn="0" w:lastRowLastColumn="0"/>
          <w:trHeight w:val="846"/>
          <w:tblHeader/>
        </w:trPr>
        <w:tc>
          <w:tcPr>
            <w:tcW w:w="2806" w:type="dxa"/>
            <w:tcBorders>
              <w:top w:val="single" w:sz="4" w:space="0" w:color="002279"/>
              <w:left w:val="single" w:sz="4" w:space="0" w:color="002279"/>
              <w:bottom w:val="single" w:sz="4" w:space="0" w:color="002060"/>
              <w:right w:val="single" w:sz="4" w:space="0" w:color="FFFFFF" w:themeColor="background1"/>
            </w:tcBorders>
            <w:shd w:val="clear" w:color="auto" w:fill="002379" w:themeFill="text2"/>
            <w:vAlign w:val="center"/>
          </w:tcPr>
          <w:p w14:paraId="29520466" w14:textId="228D61C4" w:rsidR="007B559C" w:rsidRPr="00360131" w:rsidRDefault="001E1592">
            <w:pPr>
              <w:spacing w:before="60" w:after="40"/>
              <w:rPr>
                <w:rFonts w:ascii="Arial" w:hAnsi="Arial" w:cs="Arial"/>
                <w:b/>
              </w:rPr>
            </w:pPr>
            <w:r>
              <w:rPr>
                <w:rFonts w:cs="Arial"/>
                <w:noProof/>
              </w:rPr>
              <w:lastRenderedPageBreak/>
              <mc:AlternateContent>
                <mc:Choice Requires="wps">
                  <w:drawing>
                    <wp:anchor distT="0" distB="0" distL="114300" distR="114300" simplePos="0" relativeHeight="251658307" behindDoc="0" locked="0" layoutInCell="1" allowOverlap="1" wp14:anchorId="2FED928B" wp14:editId="36B55289">
                      <wp:simplePos x="0" y="0"/>
                      <wp:positionH relativeFrom="column">
                        <wp:posOffset>-182880</wp:posOffset>
                      </wp:positionH>
                      <wp:positionV relativeFrom="paragraph">
                        <wp:posOffset>-500380</wp:posOffset>
                      </wp:positionV>
                      <wp:extent cx="1891030" cy="286385"/>
                      <wp:effectExtent l="0" t="0" r="1270" b="5715"/>
                      <wp:wrapNone/>
                      <wp:docPr id="27" name="Text Box 27"/>
                      <wp:cNvGraphicFramePr/>
                      <a:graphic xmlns:a="http://schemas.openxmlformats.org/drawingml/2006/main">
                        <a:graphicData uri="http://schemas.microsoft.com/office/word/2010/wordprocessingShape">
                          <wps:wsp>
                            <wps:cNvSpPr txBox="1"/>
                            <wps:spPr>
                              <a:xfrm>
                                <a:off x="0" y="0"/>
                                <a:ext cx="1891030" cy="286385"/>
                              </a:xfrm>
                              <a:prstGeom prst="rect">
                                <a:avLst/>
                              </a:prstGeom>
                              <a:solidFill>
                                <a:schemeClr val="lt1"/>
                              </a:solidFill>
                              <a:ln w="6350">
                                <a:noFill/>
                              </a:ln>
                            </wps:spPr>
                            <wps:txbx>
                              <w:txbxContent>
                                <w:p w14:paraId="1F5AC437" w14:textId="1683FC00" w:rsidR="001E1592" w:rsidRPr="007B339F" w:rsidRDefault="001E1592" w:rsidP="001E1592">
                                  <w:pPr>
                                    <w:pStyle w:val="NormalIndent"/>
                                    <w:ind w:left="0"/>
                                    <w:rPr>
                                      <w:rFonts w:ascii="Arial" w:hAnsi="Arial" w:cs="Arial"/>
                                      <w:b/>
                                      <w:i/>
                                    </w:rPr>
                                  </w:pPr>
                                  <w:bookmarkStart w:id="68" w:name="_Hlk114231870"/>
                                  <w:r w:rsidRPr="00CE6C4E">
                                    <w:rPr>
                                      <w:b/>
                                      <w:i/>
                                    </w:rPr>
                                    <w:t xml:space="preserve">Table </w:t>
                                  </w:r>
                                  <w:r w:rsidRPr="00CE6C4E">
                                    <w:rPr>
                                      <w:b/>
                                      <w:bCs/>
                                      <w:i/>
                                      <w:iCs/>
                                    </w:rPr>
                                    <w:fldChar w:fldCharType="begin"/>
                                  </w:r>
                                  <w:r w:rsidRPr="00CE6C4E">
                                    <w:rPr>
                                      <w:b/>
                                      <w:bCs/>
                                      <w:i/>
                                      <w:iCs/>
                                    </w:rPr>
                                    <w:instrText>SEQ Table \* ARABIC</w:instrText>
                                  </w:r>
                                  <w:r w:rsidRPr="00CE6C4E">
                                    <w:rPr>
                                      <w:b/>
                                      <w:bCs/>
                                      <w:i/>
                                      <w:iCs/>
                                    </w:rPr>
                                    <w:fldChar w:fldCharType="separate"/>
                                  </w:r>
                                  <w:r>
                                    <w:rPr>
                                      <w:b/>
                                      <w:bCs/>
                                      <w:i/>
                                      <w:iCs/>
                                      <w:noProof/>
                                    </w:rPr>
                                    <w:t>26</w:t>
                                  </w:r>
                                  <w:r w:rsidRPr="00CE6C4E">
                                    <w:rPr>
                                      <w:b/>
                                      <w:bCs/>
                                      <w:i/>
                                      <w:iCs/>
                                    </w:rPr>
                                    <w:fldChar w:fldCharType="end"/>
                                  </w:r>
                                  <w:r w:rsidRPr="007B339F">
                                    <w:rPr>
                                      <w:rFonts w:ascii="Arial" w:hAnsi="Arial" w:cs="Arial"/>
                                      <w:b/>
                                      <w:i/>
                                    </w:rPr>
                                    <w:t>:</w:t>
                                  </w:r>
                                  <w:r>
                                    <w:rPr>
                                      <w:rFonts w:ascii="Arial" w:hAnsi="Arial" w:cs="Arial"/>
                                      <w:b/>
                                      <w:i/>
                                    </w:rPr>
                                    <w:t xml:space="preserve"> 2023-28 Capital program</w:t>
                                  </w:r>
                                </w:p>
                                <w:bookmarkEnd w:id="68"/>
                                <w:p w14:paraId="01B0D6BD" w14:textId="77777777" w:rsidR="001E1592" w:rsidRDefault="001E15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D928B" id="Text Box 27" o:spid="_x0000_s1053" type="#_x0000_t202" style="position:absolute;margin-left:-14.4pt;margin-top:-39.4pt;width:148.9pt;height:22.55pt;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" fillcolor="white [3201]" stroked="f" strokeweight=".5pt">
                      <v:textbox>
                        <w:txbxContent>
                          <w:p w14:paraId="1F5AC437" w14:textId="1683FC00" w:rsidR="001E1592" w:rsidRPr="007B339F" w:rsidRDefault="001E1592" w:rsidP="001E1592">
                            <w:pPr>
                              <w:pStyle w:val="NormalIndent"/>
                              <w:ind w:left="0"/>
                              <w:rPr>
                                <w:rFonts w:ascii="Arial" w:hAnsi="Arial" w:cs="Arial"/>
                                <w:b/>
                                <w:i/>
                              </w:rPr>
                            </w:pPr>
                            <w:bookmarkStart w:id="72" w:name="_Hlk114231870"/>
                            <w:r w:rsidRPr="00CE6C4E">
                              <w:rPr>
                                <w:b/>
                                <w:i/>
                              </w:rPr>
                              <w:t xml:space="preserve">Table </w:t>
                            </w:r>
                            <w:r w:rsidRPr="00CE6C4E">
                              <w:rPr>
                                <w:b/>
                                <w:bCs/>
                                <w:i/>
                                <w:iCs/>
                              </w:rPr>
                              <w:fldChar w:fldCharType="begin"/>
                            </w:r>
                            <w:r w:rsidRPr="00CE6C4E">
                              <w:rPr>
                                <w:b/>
                                <w:bCs/>
                                <w:i/>
                                <w:iCs/>
                              </w:rPr>
                              <w:instrText>SEQ Table \* ARABIC</w:instrText>
                            </w:r>
                            <w:r w:rsidRPr="00CE6C4E">
                              <w:rPr>
                                <w:b/>
                                <w:bCs/>
                                <w:i/>
                                <w:iCs/>
                              </w:rPr>
                              <w:fldChar w:fldCharType="separate"/>
                            </w:r>
                            <w:r>
                              <w:rPr>
                                <w:b/>
                                <w:bCs/>
                                <w:i/>
                                <w:iCs/>
                                <w:noProof/>
                              </w:rPr>
                              <w:t>26</w:t>
                            </w:r>
                            <w:r w:rsidRPr="00CE6C4E">
                              <w:rPr>
                                <w:b/>
                                <w:bCs/>
                                <w:i/>
                                <w:iCs/>
                              </w:rPr>
                              <w:fldChar w:fldCharType="end"/>
                            </w:r>
                            <w:r w:rsidRPr="007B339F">
                              <w:rPr>
                                <w:rFonts w:ascii="Arial" w:hAnsi="Arial" w:cs="Arial"/>
                                <w:b/>
                                <w:i/>
                              </w:rPr>
                              <w:t>:</w:t>
                            </w:r>
                            <w:r>
                              <w:rPr>
                                <w:rFonts w:ascii="Arial" w:hAnsi="Arial" w:cs="Arial"/>
                                <w:b/>
                                <w:i/>
                              </w:rPr>
                              <w:t xml:space="preserve"> 2023-28 Capital program</w:t>
                            </w:r>
                          </w:p>
                          <w:bookmarkEnd w:id="72"/>
                          <w:p w14:paraId="01B0D6BD" w14:textId="77777777" w:rsidR="001E1592" w:rsidRDefault="001E1592"/>
                        </w:txbxContent>
                      </v:textbox>
                    </v:shape>
                  </w:pict>
                </mc:Fallback>
              </mc:AlternateContent>
            </w:r>
            <w:r w:rsidR="007B559C" w:rsidRPr="00360131">
              <w:rPr>
                <w:rFonts w:ascii="Arial" w:hAnsi="Arial" w:cs="Arial"/>
                <w:b/>
              </w:rPr>
              <w:t>Ser</w:t>
            </w:r>
            <w:r w:rsidR="007B559C" w:rsidRPr="00360131">
              <w:rPr>
                <w:rFonts w:ascii="Arial" w:hAnsi="Arial" w:cs="Arial"/>
                <w:b/>
                <w:bdr w:val="single" w:sz="4" w:space="0" w:color="002060"/>
              </w:rPr>
              <w:t>vice</w:t>
            </w:r>
          </w:p>
        </w:tc>
        <w:tc>
          <w:tcPr>
            <w:tcW w:w="2807" w:type="dxa"/>
            <w:tcBorders>
              <w:top w:val="single" w:sz="4" w:space="0" w:color="002279"/>
              <w:left w:val="single" w:sz="4" w:space="0" w:color="FFFFFF" w:themeColor="background1"/>
              <w:bottom w:val="single" w:sz="4" w:space="0" w:color="002060"/>
              <w:right w:val="single" w:sz="4" w:space="0" w:color="FFFFFF" w:themeColor="background1"/>
            </w:tcBorders>
            <w:shd w:val="clear" w:color="auto" w:fill="002379" w:themeFill="text2"/>
            <w:vAlign w:val="center"/>
          </w:tcPr>
          <w:p w14:paraId="4A7F8596" w14:textId="5657EDB1" w:rsidR="007B559C" w:rsidRPr="00360131" w:rsidRDefault="007B559C">
            <w:pPr>
              <w:spacing w:before="60" w:after="40" w:line="259" w:lineRule="auto"/>
              <w:rPr>
                <w:rFonts w:ascii="Arial" w:hAnsi="Arial" w:cs="Arial"/>
                <w:b/>
              </w:rPr>
            </w:pPr>
            <w:r w:rsidRPr="00360131">
              <w:rPr>
                <w:rFonts w:ascii="Arial" w:hAnsi="Arial" w:cs="Arial"/>
                <w:b/>
              </w:rPr>
              <w:t>Investment portfolios</w:t>
            </w:r>
          </w:p>
        </w:tc>
        <w:tc>
          <w:tcPr>
            <w:tcW w:w="2807"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379" w:themeFill="text2"/>
            <w:vAlign w:val="center"/>
          </w:tcPr>
          <w:p w14:paraId="19349EBD" w14:textId="77777777" w:rsidR="007B559C" w:rsidRPr="00360131" w:rsidRDefault="007B559C">
            <w:pPr>
              <w:spacing w:before="60" w:after="40" w:line="259" w:lineRule="auto"/>
              <w:rPr>
                <w:rFonts w:ascii="Arial" w:hAnsi="Arial" w:cs="Arial"/>
                <w:b/>
              </w:rPr>
            </w:pPr>
            <w:r w:rsidRPr="00360131">
              <w:rPr>
                <w:rFonts w:ascii="Arial" w:hAnsi="Arial" w:cs="Arial"/>
                <w:b/>
              </w:rPr>
              <w:t>Objective</w:t>
            </w:r>
          </w:p>
        </w:tc>
        <w:tc>
          <w:tcPr>
            <w:tcW w:w="3057"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379" w:themeFill="text2"/>
            <w:vAlign w:val="center"/>
          </w:tcPr>
          <w:p w14:paraId="12BA8AEF" w14:textId="77777777" w:rsidR="007B559C" w:rsidRPr="00360131" w:rsidRDefault="007B559C">
            <w:pPr>
              <w:spacing w:before="60"/>
              <w:rPr>
                <w:rFonts w:ascii="Arial" w:hAnsi="Arial" w:cs="Arial"/>
                <w:b/>
              </w:rPr>
            </w:pPr>
            <w:r w:rsidRPr="00360131">
              <w:rPr>
                <w:rFonts w:ascii="Arial" w:hAnsi="Arial" w:cs="Arial"/>
                <w:b/>
              </w:rPr>
              <w:t>Outcomes</w:t>
            </w:r>
          </w:p>
        </w:tc>
        <w:tc>
          <w:tcPr>
            <w:tcW w:w="2557" w:type="dxa"/>
            <w:tcBorders>
              <w:top w:val="single" w:sz="4" w:space="0" w:color="002279"/>
              <w:left w:val="single" w:sz="4" w:space="0" w:color="FFFFFF" w:themeColor="background1"/>
              <w:bottom w:val="single" w:sz="2" w:space="0" w:color="002279"/>
              <w:right w:val="single" w:sz="4" w:space="0" w:color="002279"/>
            </w:tcBorders>
            <w:shd w:val="clear" w:color="auto" w:fill="002379" w:themeFill="text2"/>
            <w:vAlign w:val="center"/>
          </w:tcPr>
          <w:p w14:paraId="14324C6B" w14:textId="13845185" w:rsidR="007B559C" w:rsidRPr="00360131" w:rsidRDefault="007B559C" w:rsidP="005F1841">
            <w:pPr>
              <w:spacing w:before="60" w:after="0"/>
              <w:jc w:val="center"/>
              <w:rPr>
                <w:rFonts w:ascii="Arial" w:hAnsi="Arial" w:cs="Arial"/>
                <w:b/>
              </w:rPr>
            </w:pPr>
            <w:r w:rsidRPr="00360131">
              <w:rPr>
                <w:rFonts w:ascii="Arial" w:hAnsi="Arial" w:cs="Arial"/>
                <w:b/>
              </w:rPr>
              <w:t>Capital investment</w:t>
            </w:r>
            <w:r w:rsidR="00B438D8" w:rsidRPr="00360131">
              <w:rPr>
                <w:rFonts w:ascii="Arial" w:hAnsi="Arial" w:cs="Arial"/>
                <w:b/>
              </w:rPr>
              <w:t xml:space="preserve"> program </w:t>
            </w:r>
            <w:r w:rsidRPr="00360131">
              <w:rPr>
                <w:rFonts w:ascii="Arial" w:hAnsi="Arial" w:cs="Arial"/>
                <w:b/>
              </w:rPr>
              <w:t>2023</w:t>
            </w:r>
            <w:r w:rsidR="00310E2A" w:rsidRPr="00360131">
              <w:rPr>
                <w:rFonts w:ascii="Arial" w:hAnsi="Arial" w:cs="Arial"/>
                <w:b/>
              </w:rPr>
              <w:t>–</w:t>
            </w:r>
            <w:r w:rsidRPr="00360131">
              <w:rPr>
                <w:rFonts w:ascii="Arial" w:hAnsi="Arial" w:cs="Arial"/>
                <w:b/>
              </w:rPr>
              <w:t xml:space="preserve">28 </w:t>
            </w:r>
            <w:r w:rsidR="00A1444E" w:rsidRPr="00360131">
              <w:rPr>
                <w:rFonts w:ascii="Arial" w:hAnsi="Arial" w:cs="Arial"/>
                <w:b/>
              </w:rPr>
              <w:br/>
            </w:r>
            <w:r w:rsidRPr="00360131">
              <w:rPr>
                <w:rFonts w:ascii="Arial" w:hAnsi="Arial" w:cs="Arial"/>
                <w:b/>
              </w:rPr>
              <w:t>($m</w:t>
            </w:r>
            <w:r w:rsidR="00B63B7C" w:rsidRPr="00360131">
              <w:rPr>
                <w:rFonts w:ascii="Arial" w:hAnsi="Arial" w:cs="Arial"/>
                <w:b/>
              </w:rPr>
              <w:t xml:space="preserve"> 2022</w:t>
            </w:r>
            <w:r w:rsidR="00310E2A" w:rsidRPr="00360131">
              <w:rPr>
                <w:rFonts w:ascii="Arial" w:hAnsi="Arial" w:cs="Arial"/>
                <w:b/>
              </w:rPr>
              <w:t>–</w:t>
            </w:r>
            <w:r w:rsidR="00B63B7C" w:rsidRPr="00360131">
              <w:rPr>
                <w:rFonts w:ascii="Arial" w:hAnsi="Arial" w:cs="Arial"/>
                <w:b/>
              </w:rPr>
              <w:t>23</w:t>
            </w:r>
            <w:r w:rsidRPr="00360131">
              <w:rPr>
                <w:rFonts w:ascii="Arial" w:hAnsi="Arial" w:cs="Arial"/>
                <w:b/>
              </w:rPr>
              <w:t>)</w:t>
            </w:r>
          </w:p>
        </w:tc>
      </w:tr>
      <w:tr w:rsidR="00157580" w:rsidRPr="00157580" w14:paraId="3B344B05" w14:textId="77777777" w:rsidTr="00571A03">
        <w:tc>
          <w:tcPr>
            <w:tcW w:w="2806" w:type="dxa"/>
            <w:vMerge w:val="restart"/>
            <w:tcBorders>
              <w:top w:val="single" w:sz="4" w:space="0" w:color="002060"/>
              <w:left w:val="single" w:sz="4" w:space="0" w:color="002279"/>
              <w:bottom w:val="single" w:sz="4" w:space="0" w:color="002279"/>
              <w:right w:val="single" w:sz="4" w:space="0" w:color="002279"/>
            </w:tcBorders>
            <w:shd w:val="clear" w:color="auto" w:fill="D4D6DF"/>
          </w:tcPr>
          <w:p w14:paraId="2F4E5178" w14:textId="38177DA0" w:rsidR="00D91AAD" w:rsidRPr="00360131" w:rsidRDefault="001B1246">
            <w:pPr>
              <w:spacing w:after="40"/>
              <w:rPr>
                <w:rFonts w:ascii="Arial" w:hAnsi="Arial" w:cs="Arial"/>
                <w:b/>
                <w:szCs w:val="20"/>
              </w:rPr>
            </w:pPr>
            <w:r w:rsidRPr="0097263A">
              <w:rPr>
                <w:rFonts w:cs="Arial"/>
                <w:b/>
                <w:szCs w:val="20"/>
              </w:rPr>
              <w:t xml:space="preserve">Recycled </w:t>
            </w:r>
            <w:r w:rsidR="003C552C" w:rsidRPr="0097263A">
              <w:rPr>
                <w:rFonts w:cs="Arial"/>
                <w:b/>
                <w:szCs w:val="20"/>
              </w:rPr>
              <w:t>w</w:t>
            </w:r>
            <w:r w:rsidRPr="0097263A">
              <w:rPr>
                <w:rFonts w:cs="Arial"/>
                <w:b/>
                <w:szCs w:val="20"/>
              </w:rPr>
              <w:t>ater</w:t>
            </w:r>
          </w:p>
        </w:tc>
        <w:tc>
          <w:tcPr>
            <w:tcW w:w="2807" w:type="dxa"/>
            <w:tcBorders>
              <w:top w:val="single" w:sz="4" w:space="0" w:color="002060"/>
              <w:left w:val="single" w:sz="4" w:space="0" w:color="002279"/>
              <w:bottom w:val="single" w:sz="4" w:space="0" w:color="002279"/>
              <w:right w:val="single" w:sz="4" w:space="0" w:color="002279"/>
            </w:tcBorders>
            <w:shd w:val="clear" w:color="auto" w:fill="D4D6DF"/>
          </w:tcPr>
          <w:p w14:paraId="6A982249" w14:textId="783B3026" w:rsidR="00D91AAD" w:rsidRPr="00360131" w:rsidRDefault="00D91AAD">
            <w:pPr>
              <w:spacing w:after="40"/>
              <w:rPr>
                <w:rFonts w:ascii="Arial" w:hAnsi="Arial" w:cs="Arial"/>
                <w:szCs w:val="20"/>
              </w:rPr>
            </w:pPr>
            <w:r w:rsidRPr="0097263A">
              <w:rPr>
                <w:rFonts w:cs="Arial"/>
                <w:szCs w:val="20"/>
              </w:rPr>
              <w:t xml:space="preserve">Treatment </w:t>
            </w:r>
            <w:r w:rsidR="00F53B1E" w:rsidRPr="0097263A">
              <w:rPr>
                <w:rFonts w:cs="Arial"/>
                <w:szCs w:val="20"/>
              </w:rPr>
              <w:t>g</w:t>
            </w:r>
            <w:r w:rsidRPr="0097263A">
              <w:rPr>
                <w:rFonts w:cs="Arial"/>
                <w:szCs w:val="20"/>
              </w:rPr>
              <w:t>rowth</w:t>
            </w:r>
          </w:p>
        </w:tc>
        <w:tc>
          <w:tcPr>
            <w:tcW w:w="2807" w:type="dxa"/>
            <w:tcBorders>
              <w:top w:val="single" w:sz="2" w:space="0" w:color="002279"/>
              <w:left w:val="single" w:sz="4" w:space="0" w:color="002279"/>
              <w:bottom w:val="single" w:sz="4" w:space="0" w:color="002279"/>
              <w:right w:val="single" w:sz="4" w:space="0" w:color="002279"/>
            </w:tcBorders>
            <w:shd w:val="clear" w:color="auto" w:fill="D4D6DF"/>
          </w:tcPr>
          <w:p w14:paraId="6968457A" w14:textId="37B98BF1" w:rsidR="00D91AAD" w:rsidRPr="00360131" w:rsidRDefault="00D91AAD">
            <w:pPr>
              <w:spacing w:after="40"/>
              <w:rPr>
                <w:rFonts w:ascii="Arial" w:hAnsi="Arial" w:cs="Arial"/>
                <w:szCs w:val="20"/>
              </w:rPr>
            </w:pPr>
            <w:r w:rsidRPr="0097263A">
              <w:rPr>
                <w:rFonts w:eastAsia="Times New Roman" w:cs="Arial"/>
                <w:szCs w:val="20"/>
                <w:lang w:eastAsia="en-AU"/>
              </w:rPr>
              <w:t>Meet increasing demand from residential and trade waste customers for recycled water in growth service areas.</w:t>
            </w:r>
          </w:p>
        </w:tc>
        <w:tc>
          <w:tcPr>
            <w:tcW w:w="3057" w:type="dxa"/>
            <w:tcBorders>
              <w:top w:val="single" w:sz="2" w:space="0" w:color="002279"/>
              <w:left w:val="single" w:sz="4" w:space="0" w:color="002279"/>
              <w:bottom w:val="single" w:sz="4" w:space="0" w:color="002279"/>
              <w:right w:val="single" w:sz="4" w:space="0" w:color="002279"/>
            </w:tcBorders>
            <w:shd w:val="clear" w:color="auto" w:fill="D4D6DF"/>
          </w:tcPr>
          <w:p w14:paraId="643A7EA1" w14:textId="77777777" w:rsidR="00D91AAD" w:rsidRPr="00360131" w:rsidRDefault="00D91AAD">
            <w:pPr>
              <w:spacing w:after="40"/>
              <w:ind w:left="227" w:hanging="227"/>
              <w:rPr>
                <w:rFonts w:ascii="Arial" w:hAnsi="Arial" w:cs="Arial"/>
                <w:szCs w:val="20"/>
              </w:rPr>
            </w:pPr>
            <w:r w:rsidRPr="0097263A">
              <w:rPr>
                <w:rFonts w:cs="Arial"/>
                <w:szCs w:val="20"/>
              </w:rPr>
              <w:t xml:space="preserve">1. </w:t>
            </w:r>
            <w:r w:rsidRPr="0097263A">
              <w:rPr>
                <w:rFonts w:cs="Arial"/>
                <w:i/>
                <w:szCs w:val="20"/>
              </w:rPr>
              <w:t>Get the basics right, always</w:t>
            </w:r>
            <w:r w:rsidRPr="0097263A">
              <w:rPr>
                <w:rFonts w:cs="Arial"/>
                <w:szCs w:val="20"/>
              </w:rPr>
              <w:t xml:space="preserve">. </w:t>
            </w:r>
          </w:p>
          <w:p w14:paraId="603E35EE" w14:textId="3318DDC6" w:rsidR="00D91AAD" w:rsidRPr="00360131" w:rsidRDefault="00D91AAD">
            <w:pPr>
              <w:spacing w:after="40"/>
              <w:ind w:left="227" w:hanging="227"/>
              <w:rPr>
                <w:rFonts w:ascii="Arial" w:hAnsi="Arial" w:cs="Arial"/>
                <w:szCs w:val="20"/>
              </w:rPr>
            </w:pPr>
            <w:r w:rsidRPr="0097263A">
              <w:rPr>
                <w:rFonts w:cs="Arial"/>
                <w:szCs w:val="20"/>
              </w:rPr>
              <w:t xml:space="preserve">3. </w:t>
            </w:r>
            <w:r w:rsidRPr="0097263A">
              <w:rPr>
                <w:rFonts w:cs="Arial"/>
                <w:i/>
                <w:szCs w:val="20"/>
              </w:rPr>
              <w:t>Fair and affordable for all.</w:t>
            </w:r>
          </w:p>
        </w:tc>
        <w:tc>
          <w:tcPr>
            <w:tcW w:w="2557" w:type="dxa"/>
            <w:tcBorders>
              <w:top w:val="single" w:sz="2" w:space="0" w:color="002279"/>
              <w:left w:val="single" w:sz="4" w:space="0" w:color="002279"/>
              <w:bottom w:val="single" w:sz="4" w:space="0" w:color="002279"/>
              <w:right w:val="single" w:sz="4" w:space="0" w:color="002279"/>
            </w:tcBorders>
            <w:shd w:val="clear" w:color="auto" w:fill="D4D6DF"/>
            <w:vAlign w:val="center"/>
          </w:tcPr>
          <w:p w14:paraId="4DA7D8C8" w14:textId="7AB57B5F" w:rsidR="00D91AAD" w:rsidRPr="00360131" w:rsidRDefault="00972F47" w:rsidP="005F1841">
            <w:pPr>
              <w:spacing w:after="40"/>
              <w:jc w:val="center"/>
              <w:rPr>
                <w:rFonts w:ascii="Arial" w:hAnsi="Arial" w:cs="Arial"/>
                <w:szCs w:val="20"/>
              </w:rPr>
            </w:pPr>
            <w:r w:rsidRPr="00B71AB6">
              <w:rPr>
                <w:rFonts w:cstheme="minorHAnsi"/>
                <w:szCs w:val="20"/>
              </w:rPr>
              <w:t>$</w:t>
            </w:r>
            <w:r w:rsidR="00D91AAD" w:rsidRPr="00B71AB6">
              <w:rPr>
                <w:rFonts w:cstheme="minorHAnsi"/>
                <w:szCs w:val="20"/>
              </w:rPr>
              <w:t>59.</w:t>
            </w:r>
            <w:r w:rsidR="00B71AB6" w:rsidRPr="00B71AB6">
              <w:rPr>
                <w:rFonts w:cstheme="minorHAnsi"/>
                <w:szCs w:val="20"/>
              </w:rPr>
              <w:t>34</w:t>
            </w:r>
          </w:p>
        </w:tc>
      </w:tr>
      <w:tr w:rsidR="001B1246" w:rsidRPr="002020E8" w14:paraId="3F8E870B" w14:textId="77777777" w:rsidTr="00571A03">
        <w:tc>
          <w:tcPr>
            <w:tcW w:w="2806" w:type="dxa"/>
            <w:vMerge/>
            <w:tcBorders>
              <w:top w:val="single" w:sz="4" w:space="0" w:color="002279"/>
              <w:left w:val="single" w:sz="4" w:space="0" w:color="002279"/>
              <w:bottom w:val="single" w:sz="4" w:space="0" w:color="002279"/>
              <w:right w:val="single" w:sz="4" w:space="0" w:color="002279"/>
            </w:tcBorders>
          </w:tcPr>
          <w:p w14:paraId="29B3AEA9" w14:textId="77777777" w:rsidR="001B1246" w:rsidRPr="00360131" w:rsidRDefault="001B1246">
            <w:pPr>
              <w:spacing w:after="40"/>
              <w:rPr>
                <w:rFonts w:ascii="Arial" w:hAnsi="Arial" w:cs="Arial"/>
                <w:b/>
                <w:szCs w:val="20"/>
              </w:rPr>
            </w:pPr>
          </w:p>
        </w:tc>
        <w:tc>
          <w:tcPr>
            <w:tcW w:w="2807" w:type="dxa"/>
            <w:tcBorders>
              <w:top w:val="single" w:sz="4" w:space="0" w:color="002279"/>
              <w:left w:val="single" w:sz="4" w:space="0" w:color="002279"/>
              <w:bottom w:val="single" w:sz="4" w:space="0" w:color="002279"/>
              <w:right w:val="single" w:sz="4" w:space="0" w:color="002279"/>
            </w:tcBorders>
          </w:tcPr>
          <w:p w14:paraId="6D405C0A" w14:textId="1E9A0A95" w:rsidR="001B1246" w:rsidRPr="00360131" w:rsidRDefault="001B1246">
            <w:pPr>
              <w:spacing w:after="40"/>
              <w:rPr>
                <w:rFonts w:ascii="Arial" w:hAnsi="Arial" w:cs="Arial"/>
                <w:szCs w:val="20"/>
              </w:rPr>
            </w:pPr>
            <w:r w:rsidRPr="0097263A">
              <w:rPr>
                <w:rFonts w:cs="Arial"/>
                <w:szCs w:val="20"/>
              </w:rPr>
              <w:t xml:space="preserve">Recycled </w:t>
            </w:r>
            <w:r w:rsidR="00F53B1E" w:rsidRPr="0097263A">
              <w:rPr>
                <w:rFonts w:cs="Arial"/>
                <w:szCs w:val="20"/>
              </w:rPr>
              <w:t>w</w:t>
            </w:r>
            <w:r w:rsidRPr="0097263A">
              <w:rPr>
                <w:rFonts w:cs="Arial"/>
                <w:szCs w:val="20"/>
              </w:rPr>
              <w:t xml:space="preserve">ater </w:t>
            </w:r>
            <w:r w:rsidR="00F53B1E" w:rsidRPr="0097263A">
              <w:rPr>
                <w:rFonts w:cs="Arial"/>
                <w:szCs w:val="20"/>
              </w:rPr>
              <w:t>g</w:t>
            </w:r>
            <w:r w:rsidRPr="0097263A">
              <w:rPr>
                <w:rFonts w:cs="Arial"/>
                <w:szCs w:val="20"/>
              </w:rPr>
              <w:t>rowth</w:t>
            </w:r>
          </w:p>
        </w:tc>
        <w:tc>
          <w:tcPr>
            <w:tcW w:w="2807" w:type="dxa"/>
            <w:tcBorders>
              <w:top w:val="single" w:sz="4" w:space="0" w:color="002279"/>
              <w:left w:val="single" w:sz="4" w:space="0" w:color="002279"/>
              <w:bottom w:val="single" w:sz="4" w:space="0" w:color="002279"/>
              <w:right w:val="single" w:sz="4" w:space="0" w:color="002279"/>
            </w:tcBorders>
          </w:tcPr>
          <w:p w14:paraId="5917D2E2" w14:textId="2D81C2A8" w:rsidR="001B1246" w:rsidRPr="00360131" w:rsidRDefault="001B1246">
            <w:pPr>
              <w:spacing w:after="40"/>
              <w:rPr>
                <w:rFonts w:ascii="Arial" w:eastAsia="Times New Roman" w:hAnsi="Arial" w:cs="Arial"/>
                <w:szCs w:val="20"/>
                <w:lang w:eastAsia="en-AU"/>
              </w:rPr>
            </w:pPr>
            <w:r w:rsidRPr="0097263A">
              <w:rPr>
                <w:rFonts w:eastAsia="Times New Roman" w:cs="Arial"/>
                <w:szCs w:val="20"/>
                <w:lang w:eastAsia="en-AU"/>
              </w:rPr>
              <w:t>Meet increasing customer demand for recycled water services​.</w:t>
            </w:r>
          </w:p>
        </w:tc>
        <w:tc>
          <w:tcPr>
            <w:tcW w:w="3057" w:type="dxa"/>
            <w:tcBorders>
              <w:top w:val="single" w:sz="4" w:space="0" w:color="002279"/>
              <w:left w:val="single" w:sz="4" w:space="0" w:color="002279"/>
              <w:bottom w:val="single" w:sz="4" w:space="0" w:color="002279"/>
              <w:right w:val="single" w:sz="4" w:space="0" w:color="002279"/>
            </w:tcBorders>
          </w:tcPr>
          <w:p w14:paraId="66157E52" w14:textId="77777777" w:rsidR="001B1246" w:rsidRPr="00360131" w:rsidRDefault="001B1246">
            <w:pPr>
              <w:spacing w:after="40"/>
              <w:ind w:left="227" w:hanging="227"/>
              <w:rPr>
                <w:rFonts w:ascii="Arial" w:hAnsi="Arial" w:cs="Arial"/>
                <w:szCs w:val="20"/>
              </w:rPr>
            </w:pPr>
            <w:r w:rsidRPr="0097263A">
              <w:rPr>
                <w:rFonts w:cs="Arial"/>
                <w:szCs w:val="20"/>
              </w:rPr>
              <w:t xml:space="preserve">1. </w:t>
            </w:r>
            <w:r w:rsidRPr="0097263A">
              <w:rPr>
                <w:rFonts w:cs="Arial"/>
                <w:i/>
                <w:szCs w:val="20"/>
              </w:rPr>
              <w:t xml:space="preserve">Get the basics right, always. </w:t>
            </w:r>
          </w:p>
          <w:p w14:paraId="02020DA2" w14:textId="619C0114" w:rsidR="001B1246" w:rsidRPr="00360131" w:rsidRDefault="001B1246">
            <w:pPr>
              <w:spacing w:after="40"/>
              <w:ind w:left="227" w:hanging="227"/>
              <w:rPr>
                <w:rFonts w:ascii="Arial" w:hAnsi="Arial" w:cs="Arial"/>
                <w:szCs w:val="20"/>
              </w:rPr>
            </w:pPr>
            <w:r w:rsidRPr="0097263A">
              <w:rPr>
                <w:rFonts w:cs="Arial"/>
                <w:szCs w:val="20"/>
              </w:rPr>
              <w:t xml:space="preserve">3. </w:t>
            </w:r>
            <w:r w:rsidRPr="0097263A">
              <w:rPr>
                <w:rFonts w:cs="Arial"/>
                <w:i/>
                <w:szCs w:val="20"/>
              </w:rPr>
              <w:t>Fair and affordable for all.</w:t>
            </w:r>
          </w:p>
        </w:tc>
        <w:tc>
          <w:tcPr>
            <w:tcW w:w="2557" w:type="dxa"/>
            <w:tcBorders>
              <w:top w:val="single" w:sz="4" w:space="0" w:color="002279"/>
              <w:left w:val="single" w:sz="4" w:space="0" w:color="002279"/>
              <w:bottom w:val="single" w:sz="4" w:space="0" w:color="002279"/>
              <w:right w:val="single" w:sz="4" w:space="0" w:color="002279"/>
            </w:tcBorders>
            <w:vAlign w:val="center"/>
          </w:tcPr>
          <w:p w14:paraId="23D1B80D" w14:textId="17C04320" w:rsidR="001B1246" w:rsidRPr="00360131" w:rsidRDefault="00972F47" w:rsidP="005F1841">
            <w:pPr>
              <w:spacing w:after="40"/>
              <w:jc w:val="center"/>
              <w:rPr>
                <w:rFonts w:ascii="Arial" w:hAnsi="Arial" w:cs="Arial"/>
                <w:szCs w:val="20"/>
              </w:rPr>
            </w:pPr>
            <w:r w:rsidRPr="00B71AB6">
              <w:rPr>
                <w:rFonts w:cstheme="minorHAnsi"/>
                <w:szCs w:val="20"/>
              </w:rPr>
              <w:t>$</w:t>
            </w:r>
            <w:r w:rsidR="001B1246" w:rsidRPr="0097263A">
              <w:rPr>
                <w:rFonts w:cs="Arial"/>
                <w:szCs w:val="20"/>
              </w:rPr>
              <w:t>58.</w:t>
            </w:r>
            <w:r w:rsidR="00B71AB6" w:rsidRPr="00B71AB6">
              <w:rPr>
                <w:rFonts w:cstheme="minorHAnsi"/>
                <w:szCs w:val="20"/>
              </w:rPr>
              <w:t>16</w:t>
            </w:r>
          </w:p>
        </w:tc>
      </w:tr>
      <w:tr w:rsidR="00D91AAD" w:rsidRPr="002020E8" w14:paraId="565E325F" w14:textId="77777777" w:rsidTr="00571A03">
        <w:tc>
          <w:tcPr>
            <w:tcW w:w="2806" w:type="dxa"/>
            <w:vMerge/>
            <w:tcBorders>
              <w:top w:val="single" w:sz="4" w:space="0" w:color="002279"/>
              <w:left w:val="single" w:sz="4" w:space="0" w:color="002279"/>
              <w:bottom w:val="single" w:sz="4" w:space="0" w:color="002279"/>
              <w:right w:val="single" w:sz="4" w:space="0" w:color="002279"/>
            </w:tcBorders>
          </w:tcPr>
          <w:p w14:paraId="66256DB6" w14:textId="77777777" w:rsidR="00D91AAD" w:rsidRPr="00360131" w:rsidRDefault="00D91AAD">
            <w:pPr>
              <w:spacing w:after="40"/>
              <w:rPr>
                <w:rFonts w:ascii="Arial" w:hAnsi="Arial" w:cs="Arial"/>
                <w:b/>
                <w:szCs w:val="20"/>
              </w:rPr>
            </w:pPr>
          </w:p>
        </w:tc>
        <w:tc>
          <w:tcPr>
            <w:tcW w:w="2807" w:type="dxa"/>
            <w:tcBorders>
              <w:top w:val="single" w:sz="4" w:space="0" w:color="002279"/>
              <w:left w:val="single" w:sz="4" w:space="0" w:color="002279"/>
              <w:bottom w:val="single" w:sz="4" w:space="0" w:color="002279"/>
              <w:right w:val="single" w:sz="4" w:space="0" w:color="002279"/>
            </w:tcBorders>
            <w:shd w:val="clear" w:color="auto" w:fill="D4D6DF"/>
          </w:tcPr>
          <w:p w14:paraId="44EECD56" w14:textId="1694B1A0" w:rsidR="00D91AAD" w:rsidRPr="00360131" w:rsidRDefault="00D91AAD">
            <w:pPr>
              <w:spacing w:after="40"/>
              <w:rPr>
                <w:rFonts w:ascii="Arial" w:hAnsi="Arial" w:cs="Arial"/>
                <w:szCs w:val="20"/>
              </w:rPr>
            </w:pPr>
            <w:r w:rsidRPr="0097263A">
              <w:rPr>
                <w:rFonts w:cs="Arial"/>
                <w:szCs w:val="20"/>
              </w:rPr>
              <w:t xml:space="preserve">IWM </w:t>
            </w:r>
            <w:r w:rsidR="00D12377" w:rsidRPr="0097263A">
              <w:rPr>
                <w:rFonts w:cs="Arial"/>
                <w:szCs w:val="20"/>
              </w:rPr>
              <w:t>s</w:t>
            </w:r>
            <w:r w:rsidRPr="0097263A">
              <w:rPr>
                <w:rFonts w:cs="Arial"/>
                <w:szCs w:val="20"/>
              </w:rPr>
              <w:t>chemes</w:t>
            </w:r>
          </w:p>
        </w:tc>
        <w:tc>
          <w:tcPr>
            <w:tcW w:w="2807" w:type="dxa"/>
            <w:tcBorders>
              <w:top w:val="single" w:sz="4" w:space="0" w:color="002279"/>
              <w:left w:val="single" w:sz="4" w:space="0" w:color="002279"/>
              <w:bottom w:val="single" w:sz="4" w:space="0" w:color="002279"/>
              <w:right w:val="single" w:sz="4" w:space="0" w:color="002279"/>
            </w:tcBorders>
            <w:shd w:val="clear" w:color="auto" w:fill="D4D6DF"/>
          </w:tcPr>
          <w:p w14:paraId="18483D80" w14:textId="5638117D" w:rsidR="00D91AAD" w:rsidRPr="00360131" w:rsidRDefault="00645119">
            <w:pPr>
              <w:spacing w:after="40"/>
              <w:rPr>
                <w:rFonts w:ascii="Arial" w:eastAsia="Times New Roman" w:hAnsi="Arial" w:cs="Arial"/>
                <w:szCs w:val="20"/>
                <w:lang w:eastAsia="en-AU"/>
              </w:rPr>
            </w:pPr>
            <w:r w:rsidRPr="0097263A">
              <w:rPr>
                <w:rFonts w:eastAsia="Times New Roman" w:cs="Arial"/>
                <w:szCs w:val="20"/>
                <w:lang w:eastAsia="en-AU"/>
              </w:rPr>
              <w:t xml:space="preserve">Provide customers with diverse and resilient water supply through treatment and recycling of </w:t>
            </w:r>
            <w:r w:rsidR="006D089A" w:rsidRPr="0097263A">
              <w:rPr>
                <w:rFonts w:eastAsia="Times New Roman" w:cs="Arial"/>
                <w:szCs w:val="20"/>
                <w:lang w:eastAsia="en-AU"/>
              </w:rPr>
              <w:t>wastewater</w:t>
            </w:r>
            <w:r w:rsidRPr="0097263A">
              <w:rPr>
                <w:rFonts w:eastAsia="Times New Roman" w:cs="Arial"/>
                <w:szCs w:val="20"/>
                <w:lang w:eastAsia="en-AU"/>
              </w:rPr>
              <w:t xml:space="preserve"> and stormwater management.</w:t>
            </w:r>
          </w:p>
        </w:tc>
        <w:tc>
          <w:tcPr>
            <w:tcW w:w="3057" w:type="dxa"/>
            <w:tcBorders>
              <w:top w:val="single" w:sz="4" w:space="0" w:color="002279"/>
              <w:left w:val="single" w:sz="4" w:space="0" w:color="002279"/>
              <w:bottom w:val="single" w:sz="4" w:space="0" w:color="002279"/>
              <w:right w:val="single" w:sz="4" w:space="0" w:color="002279"/>
            </w:tcBorders>
            <w:shd w:val="clear" w:color="auto" w:fill="D4D6DF"/>
          </w:tcPr>
          <w:p w14:paraId="266C2880" w14:textId="77777777" w:rsidR="00D91AAD" w:rsidRPr="00360131" w:rsidRDefault="00D91AAD">
            <w:pPr>
              <w:spacing w:after="40"/>
              <w:ind w:left="227" w:hanging="227"/>
              <w:rPr>
                <w:rFonts w:ascii="Arial" w:hAnsi="Arial" w:cs="Arial"/>
                <w:szCs w:val="20"/>
              </w:rPr>
            </w:pPr>
            <w:r w:rsidRPr="0097263A">
              <w:rPr>
                <w:rFonts w:cs="Arial"/>
                <w:szCs w:val="20"/>
              </w:rPr>
              <w:t xml:space="preserve">1. </w:t>
            </w:r>
            <w:r w:rsidRPr="0097263A">
              <w:rPr>
                <w:rFonts w:cs="Arial"/>
                <w:i/>
                <w:szCs w:val="20"/>
              </w:rPr>
              <w:t>Get the basics right, always</w:t>
            </w:r>
            <w:r w:rsidRPr="0097263A">
              <w:rPr>
                <w:rFonts w:cs="Arial"/>
                <w:szCs w:val="20"/>
              </w:rPr>
              <w:t xml:space="preserve">. </w:t>
            </w:r>
          </w:p>
          <w:p w14:paraId="1E5A778A" w14:textId="77777777" w:rsidR="00D91AAD" w:rsidRPr="00360131" w:rsidRDefault="00D91AAD">
            <w:pPr>
              <w:spacing w:after="40"/>
              <w:ind w:left="227" w:hanging="227"/>
              <w:rPr>
                <w:rFonts w:ascii="Arial" w:hAnsi="Arial" w:cs="Arial"/>
                <w:szCs w:val="20"/>
              </w:rPr>
            </w:pPr>
            <w:r w:rsidRPr="0097263A">
              <w:rPr>
                <w:rFonts w:cs="Arial"/>
                <w:szCs w:val="20"/>
              </w:rPr>
              <w:t xml:space="preserve">5. </w:t>
            </w:r>
            <w:r w:rsidRPr="0097263A">
              <w:rPr>
                <w:rFonts w:cs="Arial"/>
                <w:i/>
                <w:szCs w:val="20"/>
              </w:rPr>
              <w:t>Support my community, protect our environment.</w:t>
            </w:r>
          </w:p>
        </w:tc>
        <w:tc>
          <w:tcPr>
            <w:tcW w:w="2557" w:type="dxa"/>
            <w:tcBorders>
              <w:top w:val="single" w:sz="4" w:space="0" w:color="002279"/>
              <w:left w:val="single" w:sz="4" w:space="0" w:color="002279"/>
              <w:bottom w:val="single" w:sz="4" w:space="0" w:color="002279"/>
              <w:right w:val="single" w:sz="4" w:space="0" w:color="002279"/>
            </w:tcBorders>
            <w:shd w:val="clear" w:color="auto" w:fill="D4D6DF"/>
            <w:vAlign w:val="center"/>
          </w:tcPr>
          <w:p w14:paraId="0FA8B616" w14:textId="1EC288D5" w:rsidR="00D91AAD" w:rsidRPr="00360131" w:rsidRDefault="00972F47" w:rsidP="005F1841">
            <w:pPr>
              <w:spacing w:after="40"/>
              <w:jc w:val="center"/>
              <w:rPr>
                <w:rFonts w:ascii="Arial" w:hAnsi="Arial" w:cs="Arial"/>
                <w:szCs w:val="20"/>
              </w:rPr>
            </w:pPr>
            <w:r w:rsidRPr="00B71AB6">
              <w:rPr>
                <w:rFonts w:cstheme="minorHAnsi"/>
                <w:szCs w:val="20"/>
              </w:rPr>
              <w:t>$</w:t>
            </w:r>
            <w:r w:rsidR="00D91AAD" w:rsidRPr="0097263A">
              <w:rPr>
                <w:rFonts w:cs="Arial"/>
                <w:szCs w:val="20"/>
              </w:rPr>
              <w:t>5.</w:t>
            </w:r>
            <w:r w:rsidR="00B71AB6" w:rsidRPr="00B71AB6">
              <w:rPr>
                <w:rFonts w:cstheme="minorHAnsi"/>
                <w:szCs w:val="20"/>
              </w:rPr>
              <w:t>94</w:t>
            </w:r>
          </w:p>
        </w:tc>
      </w:tr>
      <w:tr w:rsidR="00D91AAD" w:rsidRPr="002020E8" w14:paraId="3CD615CC" w14:textId="77777777" w:rsidTr="00571A03">
        <w:tc>
          <w:tcPr>
            <w:tcW w:w="2806" w:type="dxa"/>
            <w:vMerge w:val="restart"/>
            <w:tcBorders>
              <w:top w:val="single" w:sz="4" w:space="0" w:color="002279"/>
              <w:left w:val="single" w:sz="4" w:space="0" w:color="002279"/>
              <w:bottom w:val="single" w:sz="4" w:space="0" w:color="002279"/>
              <w:right w:val="single" w:sz="4" w:space="0" w:color="002279"/>
            </w:tcBorders>
            <w:shd w:val="clear" w:color="auto" w:fill="D4D6DF"/>
          </w:tcPr>
          <w:p w14:paraId="76BF522E" w14:textId="30DC1DD6" w:rsidR="00D91AAD" w:rsidRPr="00360131" w:rsidRDefault="00D91AAD">
            <w:pPr>
              <w:spacing w:after="40"/>
              <w:rPr>
                <w:rFonts w:ascii="Arial" w:hAnsi="Arial" w:cs="Arial"/>
                <w:b/>
                <w:szCs w:val="20"/>
              </w:rPr>
            </w:pPr>
            <w:r w:rsidRPr="0097263A">
              <w:rPr>
                <w:rFonts w:cs="Arial"/>
                <w:b/>
                <w:szCs w:val="20"/>
              </w:rPr>
              <w:t>Sewer</w:t>
            </w:r>
          </w:p>
        </w:tc>
        <w:tc>
          <w:tcPr>
            <w:tcW w:w="2807" w:type="dxa"/>
            <w:tcBorders>
              <w:top w:val="single" w:sz="4" w:space="0" w:color="002279"/>
              <w:left w:val="single" w:sz="4" w:space="0" w:color="002279"/>
              <w:bottom w:val="single" w:sz="4" w:space="0" w:color="002279"/>
              <w:right w:val="single" w:sz="4" w:space="0" w:color="002279"/>
            </w:tcBorders>
            <w:shd w:val="clear" w:color="auto" w:fill="D4D6DF"/>
          </w:tcPr>
          <w:p w14:paraId="24C0AF97" w14:textId="616F0324" w:rsidR="00D91AAD" w:rsidRPr="00360131" w:rsidRDefault="00D91AAD">
            <w:pPr>
              <w:spacing w:after="40" w:line="259" w:lineRule="auto"/>
              <w:rPr>
                <w:rFonts w:ascii="Arial" w:hAnsi="Arial" w:cs="Arial"/>
                <w:szCs w:val="20"/>
              </w:rPr>
            </w:pPr>
            <w:r w:rsidRPr="0097263A">
              <w:rPr>
                <w:rFonts w:cs="Arial"/>
                <w:szCs w:val="20"/>
              </w:rPr>
              <w:t xml:space="preserve">Sewer </w:t>
            </w:r>
            <w:r w:rsidR="00F53B1E" w:rsidRPr="0097263A">
              <w:rPr>
                <w:rFonts w:cs="Arial"/>
                <w:szCs w:val="20"/>
              </w:rPr>
              <w:t>g</w:t>
            </w:r>
            <w:r w:rsidRPr="0097263A">
              <w:rPr>
                <w:rFonts w:cs="Arial"/>
                <w:szCs w:val="20"/>
              </w:rPr>
              <w:t>rowth</w:t>
            </w:r>
          </w:p>
        </w:tc>
        <w:tc>
          <w:tcPr>
            <w:tcW w:w="2807" w:type="dxa"/>
            <w:tcBorders>
              <w:top w:val="single" w:sz="4" w:space="0" w:color="002279"/>
              <w:left w:val="single" w:sz="4" w:space="0" w:color="002279"/>
              <w:bottom w:val="single" w:sz="4" w:space="0" w:color="002279"/>
              <w:right w:val="single" w:sz="4" w:space="0" w:color="002279"/>
            </w:tcBorders>
            <w:shd w:val="clear" w:color="auto" w:fill="D4D6DF"/>
          </w:tcPr>
          <w:p w14:paraId="0F1CF785" w14:textId="3EEC0366" w:rsidR="00D91AAD" w:rsidRPr="00360131" w:rsidRDefault="00D91AAD">
            <w:pPr>
              <w:spacing w:after="40" w:line="259" w:lineRule="auto"/>
              <w:rPr>
                <w:rFonts w:ascii="Arial" w:hAnsi="Arial" w:cs="Arial"/>
                <w:color w:val="FF0000"/>
                <w:szCs w:val="20"/>
              </w:rPr>
            </w:pPr>
            <w:r w:rsidRPr="0097263A">
              <w:rPr>
                <w:rFonts w:eastAsia="Times New Roman" w:cs="Arial"/>
                <w:szCs w:val="20"/>
                <w:lang w:eastAsia="en-AU"/>
              </w:rPr>
              <w:t>Meet increasing customer demand due to growth across service areas.</w:t>
            </w:r>
          </w:p>
        </w:tc>
        <w:tc>
          <w:tcPr>
            <w:tcW w:w="3057" w:type="dxa"/>
            <w:tcBorders>
              <w:top w:val="single" w:sz="4" w:space="0" w:color="002279"/>
              <w:left w:val="single" w:sz="4" w:space="0" w:color="002279"/>
              <w:bottom w:val="single" w:sz="4" w:space="0" w:color="002279"/>
              <w:right w:val="single" w:sz="4" w:space="0" w:color="002279"/>
            </w:tcBorders>
            <w:shd w:val="clear" w:color="auto" w:fill="D4D6DF"/>
          </w:tcPr>
          <w:p w14:paraId="65505D9D" w14:textId="77777777" w:rsidR="00D91AAD" w:rsidRPr="00360131" w:rsidRDefault="00D91AAD">
            <w:pPr>
              <w:spacing w:after="40"/>
              <w:ind w:left="227" w:hanging="227"/>
              <w:rPr>
                <w:rFonts w:ascii="Arial" w:hAnsi="Arial" w:cs="Arial"/>
                <w:szCs w:val="20"/>
              </w:rPr>
            </w:pPr>
            <w:r w:rsidRPr="0097263A">
              <w:rPr>
                <w:rFonts w:cs="Arial"/>
                <w:szCs w:val="20"/>
              </w:rPr>
              <w:t xml:space="preserve">1. </w:t>
            </w:r>
            <w:r w:rsidRPr="0097263A">
              <w:rPr>
                <w:rFonts w:cs="Arial"/>
                <w:i/>
                <w:szCs w:val="20"/>
              </w:rPr>
              <w:t>Get the basics right, always.</w:t>
            </w:r>
            <w:r w:rsidRPr="0097263A">
              <w:rPr>
                <w:rFonts w:cs="Arial"/>
                <w:szCs w:val="20"/>
              </w:rPr>
              <w:t xml:space="preserve"> </w:t>
            </w:r>
          </w:p>
          <w:p w14:paraId="572447FF" w14:textId="77777777" w:rsidR="00D91AAD" w:rsidRPr="00360131" w:rsidRDefault="00D91AAD">
            <w:pPr>
              <w:spacing w:after="40"/>
              <w:ind w:left="227" w:hanging="227"/>
              <w:rPr>
                <w:rFonts w:ascii="Arial" w:hAnsi="Arial" w:cs="Arial"/>
                <w:szCs w:val="20"/>
              </w:rPr>
            </w:pPr>
            <w:r w:rsidRPr="0097263A">
              <w:rPr>
                <w:rFonts w:cs="Arial"/>
                <w:szCs w:val="20"/>
              </w:rPr>
              <w:t xml:space="preserve">3. </w:t>
            </w:r>
            <w:r w:rsidRPr="0097263A">
              <w:rPr>
                <w:rFonts w:cs="Arial"/>
                <w:i/>
                <w:szCs w:val="20"/>
              </w:rPr>
              <w:t>Fair and affordable for all.</w:t>
            </w:r>
          </w:p>
        </w:tc>
        <w:tc>
          <w:tcPr>
            <w:tcW w:w="2557" w:type="dxa"/>
            <w:tcBorders>
              <w:top w:val="single" w:sz="4" w:space="0" w:color="002279"/>
              <w:left w:val="single" w:sz="4" w:space="0" w:color="002279"/>
              <w:bottom w:val="single" w:sz="4" w:space="0" w:color="002279"/>
              <w:right w:val="single" w:sz="4" w:space="0" w:color="002279"/>
            </w:tcBorders>
            <w:shd w:val="clear" w:color="auto" w:fill="D4D6DF"/>
            <w:vAlign w:val="center"/>
          </w:tcPr>
          <w:p w14:paraId="25EAD40F" w14:textId="5B7C7D5F" w:rsidR="00D91AAD" w:rsidRPr="00360131" w:rsidRDefault="00972F47" w:rsidP="005F1841">
            <w:pPr>
              <w:spacing w:after="40" w:line="259" w:lineRule="auto"/>
              <w:jc w:val="center"/>
              <w:rPr>
                <w:rFonts w:ascii="Arial" w:hAnsi="Arial" w:cs="Arial"/>
                <w:szCs w:val="20"/>
              </w:rPr>
            </w:pPr>
            <w:r w:rsidRPr="00B71AB6">
              <w:rPr>
                <w:rFonts w:cstheme="minorHAnsi"/>
                <w:szCs w:val="20"/>
              </w:rPr>
              <w:t>$</w:t>
            </w:r>
            <w:r w:rsidR="00B026B6" w:rsidRPr="00B71AB6">
              <w:rPr>
                <w:rFonts w:cstheme="minorHAnsi"/>
                <w:szCs w:val="20"/>
              </w:rPr>
              <w:t>158.</w:t>
            </w:r>
            <w:r w:rsidR="00B71AB6" w:rsidRPr="00B71AB6">
              <w:rPr>
                <w:rFonts w:cstheme="minorHAnsi"/>
                <w:szCs w:val="20"/>
              </w:rPr>
              <w:t>49</w:t>
            </w:r>
          </w:p>
        </w:tc>
      </w:tr>
      <w:tr w:rsidR="00D91AAD" w:rsidRPr="002020E8" w14:paraId="1054B63E" w14:textId="77777777" w:rsidTr="00571A03">
        <w:tc>
          <w:tcPr>
            <w:tcW w:w="2806" w:type="dxa"/>
            <w:vMerge/>
            <w:tcBorders>
              <w:top w:val="single" w:sz="4" w:space="0" w:color="002279"/>
              <w:left w:val="single" w:sz="4" w:space="0" w:color="002279"/>
              <w:bottom w:val="single" w:sz="4" w:space="0" w:color="002279"/>
              <w:right w:val="single" w:sz="4" w:space="0" w:color="002279"/>
            </w:tcBorders>
          </w:tcPr>
          <w:p w14:paraId="00E94669" w14:textId="77777777" w:rsidR="00D91AAD" w:rsidRPr="00360131" w:rsidRDefault="00D91AAD">
            <w:pPr>
              <w:spacing w:after="40"/>
              <w:rPr>
                <w:rFonts w:ascii="Arial" w:hAnsi="Arial" w:cs="Arial"/>
                <w:b/>
                <w:szCs w:val="20"/>
              </w:rPr>
            </w:pPr>
          </w:p>
        </w:tc>
        <w:tc>
          <w:tcPr>
            <w:tcW w:w="2807" w:type="dxa"/>
            <w:tcBorders>
              <w:top w:val="single" w:sz="4" w:space="0" w:color="002279"/>
              <w:left w:val="single" w:sz="4" w:space="0" w:color="002279"/>
              <w:bottom w:val="single" w:sz="4" w:space="0" w:color="002279"/>
              <w:right w:val="single" w:sz="4" w:space="0" w:color="002279"/>
            </w:tcBorders>
          </w:tcPr>
          <w:p w14:paraId="103ED023" w14:textId="4003CEC3" w:rsidR="00D91AAD" w:rsidRPr="00360131" w:rsidRDefault="00D91AAD">
            <w:pPr>
              <w:spacing w:after="40" w:line="259" w:lineRule="auto"/>
              <w:rPr>
                <w:rFonts w:ascii="Arial" w:hAnsi="Arial" w:cs="Arial"/>
                <w:szCs w:val="20"/>
              </w:rPr>
            </w:pPr>
            <w:r w:rsidRPr="0097263A">
              <w:rPr>
                <w:rFonts w:cs="Arial"/>
                <w:szCs w:val="20"/>
              </w:rPr>
              <w:t xml:space="preserve">Treatment </w:t>
            </w:r>
            <w:r w:rsidR="00F53B1E" w:rsidRPr="0097263A">
              <w:rPr>
                <w:rFonts w:cs="Arial"/>
                <w:szCs w:val="20"/>
              </w:rPr>
              <w:t>i</w:t>
            </w:r>
            <w:r w:rsidRPr="0097263A">
              <w:rPr>
                <w:rFonts w:cs="Arial"/>
                <w:szCs w:val="20"/>
              </w:rPr>
              <w:t>mprovements</w:t>
            </w:r>
            <w:r w:rsidR="00E27178" w:rsidRPr="0097263A">
              <w:rPr>
                <w:rFonts w:cs="Arial"/>
                <w:szCs w:val="20"/>
              </w:rPr>
              <w:t>/</w:t>
            </w:r>
            <w:r w:rsidR="00F53B1E" w:rsidRPr="0097263A">
              <w:rPr>
                <w:rFonts w:cs="Arial"/>
                <w:szCs w:val="20"/>
              </w:rPr>
              <w:t>c</w:t>
            </w:r>
            <w:r w:rsidRPr="0097263A">
              <w:rPr>
                <w:rFonts w:cs="Arial"/>
                <w:szCs w:val="20"/>
              </w:rPr>
              <w:t>ompliance</w:t>
            </w:r>
          </w:p>
        </w:tc>
        <w:tc>
          <w:tcPr>
            <w:tcW w:w="2807" w:type="dxa"/>
            <w:tcBorders>
              <w:top w:val="single" w:sz="4" w:space="0" w:color="002279"/>
              <w:left w:val="single" w:sz="4" w:space="0" w:color="002279"/>
              <w:bottom w:val="single" w:sz="4" w:space="0" w:color="002279"/>
              <w:right w:val="single" w:sz="4" w:space="0" w:color="002279"/>
            </w:tcBorders>
          </w:tcPr>
          <w:p w14:paraId="54C385B6" w14:textId="4142B78E" w:rsidR="00D91AAD" w:rsidRPr="00360131" w:rsidRDefault="00375E27">
            <w:pPr>
              <w:spacing w:after="40" w:line="259" w:lineRule="auto"/>
              <w:rPr>
                <w:rFonts w:ascii="Arial" w:eastAsia="Times New Roman" w:hAnsi="Arial" w:cs="Arial"/>
                <w:szCs w:val="20"/>
                <w:lang w:eastAsia="en-AU"/>
              </w:rPr>
            </w:pPr>
            <w:r w:rsidRPr="0097263A">
              <w:rPr>
                <w:rStyle w:val="normaltextrun"/>
                <w:rFonts w:cs="Arial"/>
                <w:color w:val="000000"/>
                <w:position w:val="1"/>
                <w:szCs w:val="20"/>
                <w:shd w:val="clear" w:color="auto" w:fill="FFFFFF"/>
              </w:rPr>
              <w:t xml:space="preserve">Maintain </w:t>
            </w:r>
            <w:r w:rsidR="00D91AAD" w:rsidRPr="0097263A">
              <w:rPr>
                <w:rStyle w:val="normaltextrun"/>
                <w:rFonts w:cs="Arial"/>
                <w:color w:val="000000"/>
                <w:position w:val="1"/>
                <w:szCs w:val="20"/>
                <w:shd w:val="clear" w:color="auto" w:fill="FFFFFF"/>
              </w:rPr>
              <w:t>EPA licence requirements</w:t>
            </w:r>
            <w:r w:rsidR="00B1422D" w:rsidRPr="0097263A">
              <w:rPr>
                <w:rStyle w:val="normaltextrun"/>
                <w:rFonts w:cs="Arial"/>
                <w:color w:val="000000"/>
                <w:position w:val="1"/>
                <w:szCs w:val="20"/>
                <w:shd w:val="clear" w:color="auto" w:fill="FFFFFF"/>
              </w:rPr>
              <w:t>,</w:t>
            </w:r>
            <w:r w:rsidR="00D91AAD" w:rsidRPr="0097263A">
              <w:rPr>
                <w:rStyle w:val="normaltextrun"/>
                <w:rFonts w:cs="Arial"/>
                <w:color w:val="000000"/>
                <w:position w:val="1"/>
                <w:szCs w:val="20"/>
                <w:shd w:val="clear" w:color="auto" w:fill="FFFFFF"/>
              </w:rPr>
              <w:t xml:space="preserve"> with a key focus on odour control</w:t>
            </w:r>
            <w:r w:rsidR="00B1422D" w:rsidRPr="0097263A">
              <w:rPr>
                <w:rStyle w:val="normaltextrun"/>
                <w:rFonts w:cs="Arial"/>
                <w:color w:val="000000"/>
                <w:position w:val="1"/>
                <w:szCs w:val="20"/>
                <w:shd w:val="clear" w:color="auto" w:fill="FFFFFF"/>
              </w:rPr>
              <w:t>,</w:t>
            </w:r>
            <w:r w:rsidR="00D91AAD" w:rsidRPr="0097263A">
              <w:rPr>
                <w:rStyle w:val="normaltextrun"/>
                <w:rFonts w:cs="Arial"/>
                <w:color w:val="000000"/>
                <w:position w:val="1"/>
                <w:szCs w:val="20"/>
                <w:shd w:val="clear" w:color="auto" w:fill="FFFFFF"/>
              </w:rPr>
              <w:t xml:space="preserve"> and </w:t>
            </w:r>
            <w:r w:rsidR="0CA59856" w:rsidRPr="0097263A">
              <w:rPr>
                <w:rStyle w:val="normaltextrun"/>
                <w:rFonts w:cs="Arial"/>
                <w:color w:val="000000"/>
                <w:position w:val="1"/>
                <w:szCs w:val="20"/>
                <w:shd w:val="clear" w:color="auto" w:fill="FFFFFF"/>
              </w:rPr>
              <w:t>minimising</w:t>
            </w:r>
            <w:r w:rsidR="00D91AAD" w:rsidRPr="0097263A">
              <w:rPr>
                <w:rStyle w:val="normaltextrun"/>
                <w:rFonts w:cs="Arial"/>
                <w:color w:val="000000"/>
                <w:position w:val="1"/>
                <w:szCs w:val="20"/>
                <w:shd w:val="clear" w:color="auto" w:fill="FFFFFF"/>
              </w:rPr>
              <w:t xml:space="preserve"> the risk </w:t>
            </w:r>
            <w:r w:rsidR="0CA59856" w:rsidRPr="0097263A">
              <w:rPr>
                <w:rStyle w:val="normaltextrun"/>
                <w:rFonts w:cs="Arial"/>
                <w:color w:val="000000"/>
                <w:position w:val="1"/>
                <w:szCs w:val="20"/>
                <w:shd w:val="clear" w:color="auto" w:fill="FFFFFF"/>
              </w:rPr>
              <w:t xml:space="preserve">of </w:t>
            </w:r>
            <w:r w:rsidR="00D91AAD" w:rsidRPr="0097263A">
              <w:rPr>
                <w:rStyle w:val="normaltextrun"/>
                <w:rFonts w:cs="Arial"/>
                <w:color w:val="000000"/>
                <w:position w:val="1"/>
                <w:szCs w:val="20"/>
                <w:shd w:val="clear" w:color="auto" w:fill="FFFFFF"/>
              </w:rPr>
              <w:t>soil and groundwater contamination.</w:t>
            </w:r>
          </w:p>
        </w:tc>
        <w:tc>
          <w:tcPr>
            <w:tcW w:w="3057" w:type="dxa"/>
            <w:tcBorders>
              <w:top w:val="single" w:sz="4" w:space="0" w:color="002279"/>
              <w:left w:val="single" w:sz="4" w:space="0" w:color="002279"/>
              <w:bottom w:val="single" w:sz="4" w:space="0" w:color="002279"/>
              <w:right w:val="single" w:sz="4" w:space="0" w:color="002279"/>
            </w:tcBorders>
          </w:tcPr>
          <w:p w14:paraId="2DA8B6F3" w14:textId="77777777" w:rsidR="00D91AAD" w:rsidRPr="00360131" w:rsidRDefault="00D91AAD">
            <w:pPr>
              <w:spacing w:after="40"/>
              <w:ind w:left="227" w:hanging="227"/>
              <w:rPr>
                <w:rFonts w:ascii="Arial" w:hAnsi="Arial" w:cs="Arial"/>
                <w:szCs w:val="20"/>
              </w:rPr>
            </w:pPr>
            <w:r w:rsidRPr="0097263A">
              <w:rPr>
                <w:rFonts w:cs="Arial"/>
                <w:szCs w:val="20"/>
              </w:rPr>
              <w:t xml:space="preserve">1. </w:t>
            </w:r>
            <w:r w:rsidRPr="0097263A">
              <w:rPr>
                <w:rFonts w:cs="Arial"/>
                <w:i/>
                <w:szCs w:val="20"/>
              </w:rPr>
              <w:t>Get the basics right, always.</w:t>
            </w:r>
          </w:p>
          <w:p w14:paraId="6BED88E5" w14:textId="3C7F5E12" w:rsidR="00D91AAD" w:rsidRPr="00360131" w:rsidRDefault="00D91AAD">
            <w:pPr>
              <w:spacing w:after="40"/>
              <w:ind w:left="227" w:hanging="227"/>
              <w:rPr>
                <w:rFonts w:ascii="Arial" w:hAnsi="Arial" w:cs="Arial"/>
                <w:szCs w:val="20"/>
              </w:rPr>
            </w:pPr>
            <w:r w:rsidRPr="0097263A">
              <w:rPr>
                <w:rFonts w:cs="Arial"/>
                <w:szCs w:val="20"/>
              </w:rPr>
              <w:t xml:space="preserve">5. </w:t>
            </w:r>
            <w:r w:rsidRPr="0097263A">
              <w:rPr>
                <w:rFonts w:cs="Arial"/>
                <w:i/>
                <w:szCs w:val="20"/>
              </w:rPr>
              <w:t>Support my community, protect our environment.</w:t>
            </w:r>
          </w:p>
        </w:tc>
        <w:tc>
          <w:tcPr>
            <w:tcW w:w="2557" w:type="dxa"/>
            <w:tcBorders>
              <w:top w:val="single" w:sz="4" w:space="0" w:color="002279"/>
              <w:left w:val="single" w:sz="4" w:space="0" w:color="002279"/>
              <w:bottom w:val="single" w:sz="4" w:space="0" w:color="002279"/>
              <w:right w:val="single" w:sz="4" w:space="0" w:color="002279"/>
            </w:tcBorders>
            <w:vAlign w:val="center"/>
          </w:tcPr>
          <w:p w14:paraId="12A99F66" w14:textId="78BB172F" w:rsidR="00D91AAD" w:rsidRPr="00B71AB6" w:rsidRDefault="00972F47" w:rsidP="005F1841">
            <w:pPr>
              <w:spacing w:after="40" w:line="259" w:lineRule="auto"/>
              <w:jc w:val="center"/>
              <w:rPr>
                <w:rFonts w:ascii="Arial" w:hAnsi="Arial" w:cs="Arial"/>
                <w:szCs w:val="20"/>
              </w:rPr>
            </w:pPr>
            <w:r w:rsidRPr="00B71AB6">
              <w:rPr>
                <w:rFonts w:cstheme="minorHAnsi"/>
                <w:szCs w:val="20"/>
              </w:rPr>
              <w:t>$</w:t>
            </w:r>
            <w:r w:rsidR="00D91AAD" w:rsidRPr="00B71AB6">
              <w:rPr>
                <w:rFonts w:cstheme="minorHAnsi"/>
                <w:szCs w:val="20"/>
              </w:rPr>
              <w:t>106.</w:t>
            </w:r>
            <w:r w:rsidR="00B71AB6" w:rsidRPr="00B71AB6">
              <w:rPr>
                <w:rFonts w:cstheme="minorHAnsi"/>
                <w:szCs w:val="20"/>
              </w:rPr>
              <w:t>75</w:t>
            </w:r>
          </w:p>
        </w:tc>
      </w:tr>
      <w:tr w:rsidR="00157580" w:rsidRPr="00157580" w14:paraId="1E0BB58A" w14:textId="77777777" w:rsidTr="00571A03">
        <w:tc>
          <w:tcPr>
            <w:tcW w:w="2806" w:type="dxa"/>
            <w:vMerge/>
            <w:tcBorders>
              <w:top w:val="single" w:sz="4" w:space="0" w:color="002279"/>
              <w:left w:val="single" w:sz="4" w:space="0" w:color="002279"/>
              <w:bottom w:val="single" w:sz="4" w:space="0" w:color="002279"/>
              <w:right w:val="single" w:sz="4" w:space="0" w:color="002279"/>
            </w:tcBorders>
          </w:tcPr>
          <w:p w14:paraId="7C0EFE7C" w14:textId="77777777" w:rsidR="00D91AAD" w:rsidRPr="00360131" w:rsidRDefault="00D91AAD">
            <w:pPr>
              <w:spacing w:after="40"/>
              <w:rPr>
                <w:rFonts w:ascii="Arial" w:hAnsi="Arial" w:cs="Arial"/>
                <w:b/>
                <w:szCs w:val="20"/>
              </w:rPr>
            </w:pPr>
          </w:p>
        </w:tc>
        <w:tc>
          <w:tcPr>
            <w:tcW w:w="2807" w:type="dxa"/>
            <w:tcBorders>
              <w:top w:val="single" w:sz="4" w:space="0" w:color="002279"/>
              <w:left w:val="single" w:sz="4" w:space="0" w:color="002279"/>
              <w:bottom w:val="single" w:sz="4" w:space="0" w:color="002279"/>
              <w:right w:val="single" w:sz="4" w:space="0" w:color="002279"/>
            </w:tcBorders>
            <w:shd w:val="clear" w:color="auto" w:fill="D4D6DF"/>
          </w:tcPr>
          <w:p w14:paraId="6645D0E8" w14:textId="7CE064DC" w:rsidR="00D91AAD" w:rsidRPr="00360131" w:rsidRDefault="00D91AAD">
            <w:pPr>
              <w:spacing w:after="40" w:line="259" w:lineRule="auto"/>
              <w:rPr>
                <w:rFonts w:ascii="Arial" w:hAnsi="Arial" w:cs="Arial"/>
                <w:szCs w:val="20"/>
              </w:rPr>
            </w:pPr>
            <w:r w:rsidRPr="0097263A">
              <w:rPr>
                <w:rFonts w:cs="Arial"/>
                <w:szCs w:val="20"/>
              </w:rPr>
              <w:t xml:space="preserve">Sewer </w:t>
            </w:r>
            <w:r w:rsidR="00F53B1E" w:rsidRPr="0097263A">
              <w:rPr>
                <w:rFonts w:cs="Arial"/>
                <w:szCs w:val="20"/>
              </w:rPr>
              <w:t>i</w:t>
            </w:r>
            <w:r w:rsidRPr="0097263A">
              <w:rPr>
                <w:rFonts w:cs="Arial"/>
                <w:szCs w:val="20"/>
              </w:rPr>
              <w:t>mprovements</w:t>
            </w:r>
            <w:r w:rsidR="00E27178" w:rsidRPr="0097263A">
              <w:rPr>
                <w:rFonts w:cs="Arial"/>
                <w:szCs w:val="20"/>
              </w:rPr>
              <w:t>/</w:t>
            </w:r>
            <w:r w:rsidR="00644EF3" w:rsidRPr="0097263A">
              <w:rPr>
                <w:rFonts w:cs="Arial"/>
                <w:szCs w:val="20"/>
              </w:rPr>
              <w:t>c</w:t>
            </w:r>
            <w:r w:rsidRPr="0097263A">
              <w:rPr>
                <w:rFonts w:cs="Arial"/>
                <w:szCs w:val="20"/>
              </w:rPr>
              <w:t>ompliance</w:t>
            </w:r>
          </w:p>
        </w:tc>
        <w:tc>
          <w:tcPr>
            <w:tcW w:w="2807" w:type="dxa"/>
            <w:tcBorders>
              <w:top w:val="single" w:sz="4" w:space="0" w:color="002279"/>
              <w:left w:val="single" w:sz="4" w:space="0" w:color="002279"/>
              <w:bottom w:val="single" w:sz="4" w:space="0" w:color="002279"/>
              <w:right w:val="single" w:sz="4" w:space="0" w:color="002279"/>
            </w:tcBorders>
            <w:shd w:val="clear" w:color="auto" w:fill="D4D6DF"/>
          </w:tcPr>
          <w:p w14:paraId="1F6C49D9" w14:textId="65B64F80" w:rsidR="00D91AAD" w:rsidRPr="00360131" w:rsidRDefault="001B1246">
            <w:pPr>
              <w:spacing w:after="40" w:line="259" w:lineRule="auto"/>
              <w:rPr>
                <w:rFonts w:ascii="Arial" w:hAnsi="Arial" w:cs="Arial"/>
                <w:color w:val="FF0000"/>
                <w:szCs w:val="20"/>
              </w:rPr>
            </w:pPr>
            <w:r w:rsidRPr="0097263A">
              <w:rPr>
                <w:rFonts w:eastAsia="Times New Roman" w:cs="Arial"/>
                <w:szCs w:val="20"/>
                <w:lang w:eastAsia="en-AU"/>
              </w:rPr>
              <w:t xml:space="preserve">Maintain compliance with </w:t>
            </w:r>
            <w:r w:rsidR="004C0E15" w:rsidRPr="0097263A">
              <w:rPr>
                <w:rFonts w:eastAsia="Times New Roman" w:cs="Arial"/>
                <w:szCs w:val="20"/>
                <w:lang w:eastAsia="en-AU"/>
              </w:rPr>
              <w:t xml:space="preserve">environmental protection regulations, including the </w:t>
            </w:r>
            <w:r w:rsidRPr="0097263A">
              <w:rPr>
                <w:rFonts w:eastAsia="Times New Roman" w:cs="Arial"/>
                <w:szCs w:val="20"/>
                <w:lang w:eastAsia="en-AU"/>
              </w:rPr>
              <w:t>GED</w:t>
            </w:r>
            <w:r w:rsidR="004C0E15" w:rsidRPr="0097263A">
              <w:rPr>
                <w:rFonts w:eastAsia="Times New Roman" w:cs="Arial"/>
                <w:szCs w:val="20"/>
                <w:lang w:eastAsia="en-AU"/>
              </w:rPr>
              <w:t>,</w:t>
            </w:r>
            <w:r w:rsidRPr="0097263A">
              <w:rPr>
                <w:rFonts w:eastAsia="Times New Roman" w:cs="Arial"/>
                <w:szCs w:val="20"/>
                <w:lang w:eastAsia="en-AU"/>
              </w:rPr>
              <w:t xml:space="preserve"> </w:t>
            </w:r>
            <w:r w:rsidR="00DA6E62" w:rsidRPr="0097263A">
              <w:rPr>
                <w:rFonts w:cs="Arial"/>
                <w:szCs w:val="20"/>
              </w:rPr>
              <w:t>s</w:t>
            </w:r>
            <w:r w:rsidRPr="0097263A">
              <w:rPr>
                <w:rFonts w:cs="Arial"/>
                <w:szCs w:val="20"/>
              </w:rPr>
              <w:t>afety regulations</w:t>
            </w:r>
            <w:r w:rsidR="00DC5A23" w:rsidRPr="0097263A">
              <w:rPr>
                <w:rFonts w:cs="Arial"/>
                <w:szCs w:val="20"/>
              </w:rPr>
              <w:t xml:space="preserve"> and management</w:t>
            </w:r>
            <w:r w:rsidR="009F71F7" w:rsidRPr="0097263A">
              <w:rPr>
                <w:rFonts w:cs="Arial"/>
                <w:szCs w:val="20"/>
              </w:rPr>
              <w:t>.</w:t>
            </w:r>
          </w:p>
        </w:tc>
        <w:tc>
          <w:tcPr>
            <w:tcW w:w="3057" w:type="dxa"/>
            <w:tcBorders>
              <w:top w:val="single" w:sz="4" w:space="0" w:color="002279"/>
              <w:left w:val="single" w:sz="4" w:space="0" w:color="002279"/>
              <w:bottom w:val="single" w:sz="4" w:space="0" w:color="002279"/>
              <w:right w:val="single" w:sz="4" w:space="0" w:color="002279"/>
            </w:tcBorders>
            <w:shd w:val="clear" w:color="auto" w:fill="D4D6DF"/>
          </w:tcPr>
          <w:p w14:paraId="1859BD16" w14:textId="77777777" w:rsidR="00D91AAD" w:rsidRPr="00360131" w:rsidRDefault="00D91AAD">
            <w:pPr>
              <w:spacing w:after="40"/>
              <w:ind w:left="227" w:hanging="227"/>
              <w:rPr>
                <w:rFonts w:ascii="Arial" w:hAnsi="Arial" w:cs="Arial"/>
                <w:szCs w:val="20"/>
              </w:rPr>
            </w:pPr>
            <w:r w:rsidRPr="0097263A">
              <w:rPr>
                <w:rFonts w:cs="Arial"/>
                <w:szCs w:val="20"/>
              </w:rPr>
              <w:t xml:space="preserve">1. </w:t>
            </w:r>
            <w:r w:rsidRPr="0097263A">
              <w:rPr>
                <w:rFonts w:cs="Arial"/>
                <w:i/>
                <w:szCs w:val="20"/>
              </w:rPr>
              <w:t>Get the basics right, always.</w:t>
            </w:r>
            <w:r w:rsidRPr="0097263A">
              <w:rPr>
                <w:rFonts w:cs="Arial"/>
                <w:szCs w:val="20"/>
              </w:rPr>
              <w:t xml:space="preserve"> </w:t>
            </w:r>
          </w:p>
          <w:p w14:paraId="45B7B1C2" w14:textId="77777777" w:rsidR="00D91AAD" w:rsidRPr="00360131" w:rsidRDefault="00D91AAD">
            <w:pPr>
              <w:spacing w:after="40"/>
              <w:ind w:left="227" w:hanging="227"/>
              <w:rPr>
                <w:rFonts w:ascii="Arial" w:hAnsi="Arial" w:cs="Arial"/>
                <w:szCs w:val="20"/>
              </w:rPr>
            </w:pPr>
            <w:r w:rsidRPr="0097263A">
              <w:rPr>
                <w:rFonts w:cs="Arial"/>
                <w:szCs w:val="20"/>
              </w:rPr>
              <w:t xml:space="preserve">5. </w:t>
            </w:r>
            <w:r w:rsidRPr="0097263A">
              <w:rPr>
                <w:rFonts w:cs="Arial"/>
                <w:i/>
                <w:szCs w:val="20"/>
              </w:rPr>
              <w:t>Support my community, protect our environment.</w:t>
            </w:r>
          </w:p>
        </w:tc>
        <w:tc>
          <w:tcPr>
            <w:tcW w:w="2557" w:type="dxa"/>
            <w:tcBorders>
              <w:top w:val="single" w:sz="4" w:space="0" w:color="002279"/>
              <w:left w:val="single" w:sz="4" w:space="0" w:color="002279"/>
              <w:bottom w:val="single" w:sz="4" w:space="0" w:color="002279"/>
              <w:right w:val="single" w:sz="4" w:space="0" w:color="002279"/>
            </w:tcBorders>
            <w:shd w:val="clear" w:color="auto" w:fill="D4D6DF"/>
            <w:vAlign w:val="center"/>
          </w:tcPr>
          <w:p w14:paraId="332B453B" w14:textId="7DDBEF3B" w:rsidR="00D91AAD" w:rsidRPr="00360131" w:rsidRDefault="00972F47" w:rsidP="005F1841">
            <w:pPr>
              <w:spacing w:after="40" w:line="259" w:lineRule="auto"/>
              <w:jc w:val="center"/>
              <w:rPr>
                <w:rFonts w:ascii="Arial" w:hAnsi="Arial" w:cs="Arial"/>
                <w:szCs w:val="20"/>
              </w:rPr>
            </w:pPr>
            <w:r w:rsidRPr="00B71AB6">
              <w:rPr>
                <w:rFonts w:cstheme="minorHAnsi"/>
                <w:szCs w:val="20"/>
              </w:rPr>
              <w:t>$</w:t>
            </w:r>
            <w:r w:rsidR="00D91AAD" w:rsidRPr="00B71AB6">
              <w:rPr>
                <w:rFonts w:cstheme="minorHAnsi"/>
                <w:szCs w:val="20"/>
              </w:rPr>
              <w:t>98.</w:t>
            </w:r>
            <w:r w:rsidR="00B71AB6" w:rsidRPr="00B71AB6">
              <w:rPr>
                <w:rFonts w:cstheme="minorHAnsi"/>
                <w:szCs w:val="20"/>
              </w:rPr>
              <w:t>93</w:t>
            </w:r>
          </w:p>
        </w:tc>
      </w:tr>
      <w:tr w:rsidR="00157580" w:rsidRPr="00157580" w14:paraId="7271E238" w14:textId="77777777" w:rsidTr="00571A03">
        <w:tc>
          <w:tcPr>
            <w:tcW w:w="2806" w:type="dxa"/>
            <w:vMerge/>
            <w:tcBorders>
              <w:top w:val="single" w:sz="4" w:space="0" w:color="002279"/>
              <w:left w:val="single" w:sz="4" w:space="0" w:color="002279"/>
              <w:bottom w:val="single" w:sz="4" w:space="0" w:color="002279"/>
              <w:right w:val="single" w:sz="4" w:space="0" w:color="002279"/>
            </w:tcBorders>
          </w:tcPr>
          <w:p w14:paraId="42401F16" w14:textId="77777777" w:rsidR="00D91AAD" w:rsidRPr="00360131" w:rsidRDefault="00D91AAD">
            <w:pPr>
              <w:spacing w:after="40"/>
              <w:rPr>
                <w:rFonts w:ascii="Arial" w:hAnsi="Arial" w:cs="Arial"/>
                <w:b/>
                <w:szCs w:val="20"/>
              </w:rPr>
            </w:pPr>
          </w:p>
        </w:tc>
        <w:tc>
          <w:tcPr>
            <w:tcW w:w="2807" w:type="dxa"/>
            <w:tcBorders>
              <w:top w:val="single" w:sz="4" w:space="0" w:color="002279"/>
              <w:left w:val="single" w:sz="4" w:space="0" w:color="002279"/>
              <w:bottom w:val="single" w:sz="4" w:space="0" w:color="002279"/>
              <w:right w:val="single" w:sz="4" w:space="0" w:color="002279"/>
            </w:tcBorders>
          </w:tcPr>
          <w:p w14:paraId="30F5726C" w14:textId="49F061FC" w:rsidR="00D91AAD" w:rsidRPr="00360131" w:rsidRDefault="00D91AAD">
            <w:pPr>
              <w:spacing w:after="40" w:line="259" w:lineRule="auto"/>
              <w:rPr>
                <w:rFonts w:ascii="Arial" w:hAnsi="Arial" w:cs="Arial"/>
                <w:szCs w:val="20"/>
              </w:rPr>
            </w:pPr>
            <w:r w:rsidRPr="0097263A">
              <w:rPr>
                <w:rFonts w:cs="Arial"/>
                <w:szCs w:val="20"/>
              </w:rPr>
              <w:t xml:space="preserve">Sewer </w:t>
            </w:r>
            <w:r w:rsidR="00D12377" w:rsidRPr="0097263A">
              <w:rPr>
                <w:rFonts w:cs="Arial"/>
                <w:szCs w:val="20"/>
              </w:rPr>
              <w:t>r</w:t>
            </w:r>
            <w:r w:rsidRPr="0097263A">
              <w:rPr>
                <w:rFonts w:cs="Arial"/>
                <w:szCs w:val="20"/>
              </w:rPr>
              <w:t>eliability</w:t>
            </w:r>
          </w:p>
        </w:tc>
        <w:tc>
          <w:tcPr>
            <w:tcW w:w="2807" w:type="dxa"/>
            <w:tcBorders>
              <w:top w:val="single" w:sz="4" w:space="0" w:color="002279"/>
              <w:left w:val="single" w:sz="4" w:space="0" w:color="002279"/>
              <w:bottom w:val="single" w:sz="4" w:space="0" w:color="002279"/>
              <w:right w:val="single" w:sz="4" w:space="0" w:color="002279"/>
            </w:tcBorders>
          </w:tcPr>
          <w:p w14:paraId="5333747F" w14:textId="77777777" w:rsidR="00D91AAD" w:rsidRPr="00360131" w:rsidRDefault="00D91AAD">
            <w:pPr>
              <w:spacing w:after="40" w:line="259" w:lineRule="auto"/>
              <w:rPr>
                <w:rFonts w:ascii="Arial" w:hAnsi="Arial" w:cs="Arial"/>
                <w:color w:val="FF0000"/>
                <w:szCs w:val="20"/>
              </w:rPr>
            </w:pPr>
            <w:r w:rsidRPr="0097263A">
              <w:rPr>
                <w:rFonts w:eastAsia="Times New Roman" w:cs="Arial"/>
                <w:szCs w:val="20"/>
                <w:lang w:eastAsia="en-AU"/>
              </w:rPr>
              <w:t xml:space="preserve">Maintain sewer network service standards for </w:t>
            </w:r>
            <w:r w:rsidRPr="0097263A">
              <w:rPr>
                <w:rFonts w:eastAsia="Times New Roman" w:cs="Arial"/>
                <w:szCs w:val="20"/>
                <w:lang w:eastAsia="en-AU"/>
              </w:rPr>
              <w:lastRenderedPageBreak/>
              <w:t xml:space="preserve">customer interruptions by planned and reactive operations and maintenance activities. </w:t>
            </w:r>
          </w:p>
        </w:tc>
        <w:tc>
          <w:tcPr>
            <w:tcW w:w="3057" w:type="dxa"/>
            <w:tcBorders>
              <w:top w:val="single" w:sz="4" w:space="0" w:color="002279"/>
              <w:left w:val="single" w:sz="4" w:space="0" w:color="002279"/>
              <w:bottom w:val="single" w:sz="4" w:space="0" w:color="002279"/>
              <w:right w:val="single" w:sz="4" w:space="0" w:color="002279"/>
            </w:tcBorders>
          </w:tcPr>
          <w:p w14:paraId="78090F1D" w14:textId="77777777" w:rsidR="00D91AAD" w:rsidRPr="00360131" w:rsidRDefault="00D91AAD">
            <w:pPr>
              <w:spacing w:after="40"/>
              <w:ind w:left="227" w:hanging="227"/>
              <w:rPr>
                <w:rFonts w:ascii="Arial" w:hAnsi="Arial" w:cs="Arial"/>
                <w:szCs w:val="20"/>
              </w:rPr>
            </w:pPr>
            <w:r w:rsidRPr="0097263A">
              <w:rPr>
                <w:rFonts w:cs="Arial"/>
                <w:szCs w:val="20"/>
              </w:rPr>
              <w:lastRenderedPageBreak/>
              <w:t xml:space="preserve">1. </w:t>
            </w:r>
            <w:r w:rsidRPr="0097263A">
              <w:rPr>
                <w:rFonts w:cs="Arial"/>
                <w:i/>
                <w:szCs w:val="20"/>
              </w:rPr>
              <w:t>Get the basics right, always</w:t>
            </w:r>
            <w:r w:rsidRPr="0097263A">
              <w:rPr>
                <w:rFonts w:cs="Arial"/>
                <w:szCs w:val="20"/>
              </w:rPr>
              <w:t>.</w:t>
            </w:r>
          </w:p>
          <w:p w14:paraId="0E95C9B8" w14:textId="77777777" w:rsidR="00D91AAD" w:rsidRPr="00360131" w:rsidRDefault="00D91AAD">
            <w:pPr>
              <w:spacing w:after="40"/>
              <w:ind w:left="227" w:hanging="227"/>
              <w:rPr>
                <w:rFonts w:ascii="Arial" w:eastAsia="Arial" w:hAnsi="Arial" w:cs="Arial"/>
                <w:szCs w:val="20"/>
              </w:rPr>
            </w:pPr>
            <w:r w:rsidRPr="0097263A">
              <w:rPr>
                <w:rFonts w:cs="Arial"/>
                <w:szCs w:val="20"/>
              </w:rPr>
              <w:lastRenderedPageBreak/>
              <w:t xml:space="preserve">5. </w:t>
            </w:r>
            <w:r w:rsidRPr="0097263A">
              <w:rPr>
                <w:rFonts w:cs="Arial"/>
                <w:i/>
                <w:szCs w:val="20"/>
              </w:rPr>
              <w:t>Support my community, protect our environment.</w:t>
            </w:r>
          </w:p>
        </w:tc>
        <w:tc>
          <w:tcPr>
            <w:tcW w:w="2557" w:type="dxa"/>
            <w:tcBorders>
              <w:top w:val="single" w:sz="4" w:space="0" w:color="002279"/>
              <w:left w:val="single" w:sz="4" w:space="0" w:color="002279"/>
              <w:bottom w:val="single" w:sz="4" w:space="0" w:color="002279"/>
              <w:right w:val="single" w:sz="4" w:space="0" w:color="002279"/>
            </w:tcBorders>
            <w:vAlign w:val="center"/>
          </w:tcPr>
          <w:p w14:paraId="236846D3" w14:textId="30C430B0" w:rsidR="00D91AAD" w:rsidRPr="00360131" w:rsidRDefault="00972F47" w:rsidP="005F1841">
            <w:pPr>
              <w:spacing w:after="40" w:line="259" w:lineRule="auto"/>
              <w:jc w:val="center"/>
              <w:rPr>
                <w:rFonts w:ascii="Arial" w:eastAsia="Arial" w:hAnsi="Arial" w:cs="Arial"/>
                <w:szCs w:val="20"/>
              </w:rPr>
            </w:pPr>
            <w:r w:rsidRPr="00B71AB6">
              <w:rPr>
                <w:rFonts w:cstheme="minorHAnsi"/>
                <w:szCs w:val="20"/>
              </w:rPr>
              <w:lastRenderedPageBreak/>
              <w:t>$</w:t>
            </w:r>
            <w:r w:rsidR="00D91AAD" w:rsidRPr="00B71AB6">
              <w:rPr>
                <w:rFonts w:cstheme="minorHAnsi"/>
                <w:szCs w:val="20"/>
              </w:rPr>
              <w:t>91.</w:t>
            </w:r>
            <w:r w:rsidR="00B71AB6" w:rsidRPr="00B71AB6">
              <w:rPr>
                <w:rFonts w:cstheme="minorHAnsi"/>
                <w:szCs w:val="20"/>
              </w:rPr>
              <w:t>67</w:t>
            </w:r>
          </w:p>
        </w:tc>
      </w:tr>
      <w:tr w:rsidR="00544E67" w:rsidRPr="002020E8" w14:paraId="4FB396AB" w14:textId="77777777" w:rsidTr="00571A03">
        <w:tc>
          <w:tcPr>
            <w:tcW w:w="2806" w:type="dxa"/>
            <w:vMerge/>
            <w:tcBorders>
              <w:top w:val="single" w:sz="4" w:space="0" w:color="002279"/>
              <w:left w:val="single" w:sz="4" w:space="0" w:color="002279"/>
              <w:bottom w:val="single" w:sz="4" w:space="0" w:color="002279"/>
              <w:right w:val="single" w:sz="4" w:space="0" w:color="002279"/>
            </w:tcBorders>
          </w:tcPr>
          <w:p w14:paraId="7F8FF14E" w14:textId="77777777" w:rsidR="00544E67" w:rsidRPr="00360131" w:rsidRDefault="00544E67">
            <w:pPr>
              <w:spacing w:after="40"/>
              <w:rPr>
                <w:rFonts w:ascii="Arial" w:hAnsi="Arial" w:cs="Arial"/>
                <w:b/>
                <w:szCs w:val="20"/>
              </w:rPr>
            </w:pPr>
          </w:p>
        </w:tc>
        <w:tc>
          <w:tcPr>
            <w:tcW w:w="2807" w:type="dxa"/>
            <w:tcBorders>
              <w:top w:val="single" w:sz="4" w:space="0" w:color="002279"/>
              <w:left w:val="single" w:sz="4" w:space="0" w:color="002279"/>
              <w:bottom w:val="single" w:sz="4" w:space="0" w:color="002279"/>
              <w:right w:val="single" w:sz="4" w:space="0" w:color="002279"/>
            </w:tcBorders>
            <w:shd w:val="clear" w:color="auto" w:fill="D4D6DF"/>
          </w:tcPr>
          <w:p w14:paraId="50292FC0" w14:textId="25EBEC12" w:rsidR="00544E67" w:rsidRPr="00360131" w:rsidRDefault="00544E67">
            <w:pPr>
              <w:spacing w:after="40" w:line="259" w:lineRule="auto"/>
              <w:rPr>
                <w:rFonts w:ascii="Arial" w:hAnsi="Arial" w:cs="Arial"/>
                <w:szCs w:val="20"/>
              </w:rPr>
            </w:pPr>
            <w:r w:rsidRPr="0097263A">
              <w:rPr>
                <w:rFonts w:cs="Arial"/>
                <w:szCs w:val="20"/>
              </w:rPr>
              <w:t xml:space="preserve">Treatment </w:t>
            </w:r>
            <w:r w:rsidR="00CF2FB7" w:rsidRPr="0097263A">
              <w:rPr>
                <w:rFonts w:cs="Arial"/>
                <w:szCs w:val="20"/>
              </w:rPr>
              <w:t>r</w:t>
            </w:r>
            <w:r w:rsidRPr="0097263A">
              <w:rPr>
                <w:rFonts w:cs="Arial"/>
                <w:szCs w:val="20"/>
              </w:rPr>
              <w:t>eliability</w:t>
            </w:r>
          </w:p>
        </w:tc>
        <w:tc>
          <w:tcPr>
            <w:tcW w:w="2807" w:type="dxa"/>
            <w:tcBorders>
              <w:top w:val="single" w:sz="4" w:space="0" w:color="002279"/>
              <w:left w:val="single" w:sz="4" w:space="0" w:color="002279"/>
              <w:bottom w:val="single" w:sz="4" w:space="0" w:color="002279"/>
              <w:right w:val="single" w:sz="4" w:space="0" w:color="002279"/>
            </w:tcBorders>
            <w:shd w:val="clear" w:color="auto" w:fill="D4D6DF"/>
          </w:tcPr>
          <w:p w14:paraId="5719C0AD" w14:textId="5CE5F99B" w:rsidR="00544E67" w:rsidRPr="00360131" w:rsidRDefault="00544E67">
            <w:pPr>
              <w:spacing w:after="40" w:line="259" w:lineRule="auto"/>
              <w:rPr>
                <w:rFonts w:ascii="Arial" w:eastAsia="Times New Roman" w:hAnsi="Arial" w:cs="Arial"/>
                <w:szCs w:val="20"/>
                <w:lang w:eastAsia="en-AU"/>
              </w:rPr>
            </w:pPr>
            <w:r w:rsidRPr="0097263A">
              <w:rPr>
                <w:rFonts w:eastAsia="Times New Roman" w:cs="Arial"/>
                <w:szCs w:val="20"/>
                <w:lang w:eastAsia="en-AU"/>
              </w:rPr>
              <w:t>Maintain treatment and resource recovery assets in working order and ensure an appropriate balance between maximising asset lifespan and the risk of asset failure.</w:t>
            </w:r>
          </w:p>
        </w:tc>
        <w:tc>
          <w:tcPr>
            <w:tcW w:w="3057" w:type="dxa"/>
            <w:tcBorders>
              <w:top w:val="single" w:sz="4" w:space="0" w:color="002279"/>
              <w:left w:val="single" w:sz="4" w:space="0" w:color="002279"/>
              <w:bottom w:val="single" w:sz="4" w:space="0" w:color="002279"/>
              <w:right w:val="single" w:sz="4" w:space="0" w:color="002279"/>
            </w:tcBorders>
            <w:shd w:val="clear" w:color="auto" w:fill="D4D6DF"/>
          </w:tcPr>
          <w:p w14:paraId="12018438" w14:textId="040BAA24" w:rsidR="00544E67" w:rsidRPr="00360131" w:rsidRDefault="00544E67">
            <w:pPr>
              <w:spacing w:after="40"/>
              <w:ind w:left="227" w:hanging="227"/>
              <w:rPr>
                <w:rFonts w:ascii="Arial" w:hAnsi="Arial" w:cs="Arial"/>
                <w:szCs w:val="20"/>
              </w:rPr>
            </w:pPr>
            <w:r w:rsidRPr="0097263A">
              <w:rPr>
                <w:rFonts w:cs="Arial"/>
                <w:szCs w:val="20"/>
              </w:rPr>
              <w:t xml:space="preserve">1. </w:t>
            </w:r>
            <w:r w:rsidRPr="0097263A">
              <w:rPr>
                <w:rFonts w:cs="Arial"/>
                <w:i/>
                <w:szCs w:val="20"/>
              </w:rPr>
              <w:t>Get the basics right, always</w:t>
            </w:r>
            <w:r w:rsidRPr="0097263A">
              <w:rPr>
                <w:rFonts w:cs="Arial"/>
                <w:szCs w:val="20"/>
              </w:rPr>
              <w:t>.</w:t>
            </w:r>
          </w:p>
        </w:tc>
        <w:tc>
          <w:tcPr>
            <w:tcW w:w="2557" w:type="dxa"/>
            <w:tcBorders>
              <w:top w:val="single" w:sz="4" w:space="0" w:color="002279"/>
              <w:left w:val="single" w:sz="4" w:space="0" w:color="002279"/>
              <w:bottom w:val="single" w:sz="4" w:space="0" w:color="002279"/>
              <w:right w:val="single" w:sz="4" w:space="0" w:color="002279"/>
            </w:tcBorders>
            <w:shd w:val="clear" w:color="auto" w:fill="D4D6DF"/>
            <w:vAlign w:val="center"/>
          </w:tcPr>
          <w:p w14:paraId="5F3A03E0" w14:textId="389FB3E7" w:rsidR="00544E67" w:rsidRPr="00B71AB6" w:rsidRDefault="00972F47" w:rsidP="005F1841">
            <w:pPr>
              <w:spacing w:after="40" w:line="259" w:lineRule="auto"/>
              <w:jc w:val="center"/>
              <w:rPr>
                <w:rFonts w:ascii="Arial" w:hAnsi="Arial" w:cs="Arial"/>
                <w:szCs w:val="20"/>
              </w:rPr>
            </w:pPr>
            <w:r w:rsidRPr="00B71AB6">
              <w:rPr>
                <w:rFonts w:cstheme="minorHAnsi"/>
                <w:szCs w:val="20"/>
              </w:rPr>
              <w:t>$</w:t>
            </w:r>
            <w:r w:rsidR="00544E67" w:rsidRPr="00B71AB6">
              <w:rPr>
                <w:rFonts w:cstheme="minorHAnsi"/>
                <w:szCs w:val="20"/>
              </w:rPr>
              <w:t>79.</w:t>
            </w:r>
            <w:r w:rsidR="00B71AB6" w:rsidRPr="00B71AB6">
              <w:rPr>
                <w:rFonts w:cstheme="minorHAnsi"/>
                <w:szCs w:val="20"/>
              </w:rPr>
              <w:t>13</w:t>
            </w:r>
          </w:p>
        </w:tc>
      </w:tr>
      <w:tr w:rsidR="00D91AAD" w:rsidRPr="002020E8" w14:paraId="6251BA08" w14:textId="77777777" w:rsidTr="00571A03">
        <w:tc>
          <w:tcPr>
            <w:tcW w:w="2806" w:type="dxa"/>
            <w:vMerge/>
            <w:tcBorders>
              <w:top w:val="single" w:sz="4" w:space="0" w:color="002279"/>
              <w:left w:val="single" w:sz="4" w:space="0" w:color="002279"/>
              <w:bottom w:val="single" w:sz="4" w:space="0" w:color="002279"/>
              <w:right w:val="single" w:sz="4" w:space="0" w:color="002279"/>
            </w:tcBorders>
          </w:tcPr>
          <w:p w14:paraId="160068D2" w14:textId="77777777" w:rsidR="00D91AAD" w:rsidRPr="00360131" w:rsidRDefault="00D91AAD">
            <w:pPr>
              <w:spacing w:after="40"/>
              <w:rPr>
                <w:rFonts w:ascii="Arial" w:hAnsi="Arial" w:cs="Arial"/>
                <w:b/>
                <w:szCs w:val="20"/>
              </w:rPr>
            </w:pPr>
          </w:p>
        </w:tc>
        <w:tc>
          <w:tcPr>
            <w:tcW w:w="2807" w:type="dxa"/>
            <w:tcBorders>
              <w:top w:val="single" w:sz="4" w:space="0" w:color="002279"/>
              <w:left w:val="single" w:sz="4" w:space="0" w:color="002279"/>
              <w:bottom w:val="single" w:sz="4" w:space="0" w:color="002279"/>
              <w:right w:val="single" w:sz="4" w:space="0" w:color="002279"/>
            </w:tcBorders>
          </w:tcPr>
          <w:p w14:paraId="28C1F81D" w14:textId="7DA58493" w:rsidR="00D91AAD" w:rsidRPr="00360131" w:rsidRDefault="00D91AAD">
            <w:pPr>
              <w:spacing w:after="40" w:line="259" w:lineRule="auto"/>
              <w:rPr>
                <w:rFonts w:ascii="Arial" w:hAnsi="Arial" w:cs="Arial"/>
                <w:szCs w:val="20"/>
              </w:rPr>
            </w:pPr>
            <w:r w:rsidRPr="0097263A">
              <w:rPr>
                <w:rFonts w:cs="Arial"/>
                <w:szCs w:val="20"/>
              </w:rPr>
              <w:t xml:space="preserve">Sewer </w:t>
            </w:r>
            <w:r w:rsidR="00CF2FB7" w:rsidRPr="0097263A">
              <w:rPr>
                <w:rFonts w:cs="Arial"/>
                <w:szCs w:val="20"/>
              </w:rPr>
              <w:t>b</w:t>
            </w:r>
            <w:r w:rsidRPr="0097263A">
              <w:rPr>
                <w:rFonts w:cs="Arial"/>
                <w:szCs w:val="20"/>
              </w:rPr>
              <w:t>acklog</w:t>
            </w:r>
          </w:p>
        </w:tc>
        <w:tc>
          <w:tcPr>
            <w:tcW w:w="2807" w:type="dxa"/>
            <w:tcBorders>
              <w:top w:val="single" w:sz="4" w:space="0" w:color="002279"/>
              <w:left w:val="single" w:sz="4" w:space="0" w:color="002279"/>
              <w:bottom w:val="single" w:sz="4" w:space="0" w:color="002279"/>
              <w:right w:val="single" w:sz="4" w:space="0" w:color="002279"/>
            </w:tcBorders>
          </w:tcPr>
          <w:p w14:paraId="34583060" w14:textId="4B42FD41" w:rsidR="00D91AAD" w:rsidRPr="00360131" w:rsidRDefault="003D5D5A">
            <w:pPr>
              <w:spacing w:after="40" w:line="259" w:lineRule="auto"/>
              <w:rPr>
                <w:rFonts w:ascii="Arial" w:hAnsi="Arial" w:cs="Arial"/>
                <w:color w:val="FF0000"/>
                <w:szCs w:val="20"/>
              </w:rPr>
            </w:pPr>
            <w:r w:rsidRPr="0097263A">
              <w:rPr>
                <w:rFonts w:cs="Arial"/>
                <w:szCs w:val="20"/>
              </w:rPr>
              <w:t>Connect households to reticulated sewer currently serviced by onsite wastewater systems</w:t>
            </w:r>
            <w:r w:rsidR="00CF2FB7" w:rsidRPr="0097263A">
              <w:rPr>
                <w:rFonts w:cs="Arial"/>
                <w:szCs w:val="20"/>
              </w:rPr>
              <w:t>,</w:t>
            </w:r>
            <w:r w:rsidRPr="0097263A">
              <w:rPr>
                <w:rFonts w:cs="Arial"/>
                <w:szCs w:val="20"/>
              </w:rPr>
              <w:t xml:space="preserve"> to mitigate environmental contamination and public health risks.</w:t>
            </w:r>
          </w:p>
        </w:tc>
        <w:tc>
          <w:tcPr>
            <w:tcW w:w="3057" w:type="dxa"/>
            <w:tcBorders>
              <w:top w:val="single" w:sz="4" w:space="0" w:color="002279"/>
              <w:left w:val="single" w:sz="4" w:space="0" w:color="002279"/>
              <w:bottom w:val="single" w:sz="4" w:space="0" w:color="002279"/>
              <w:right w:val="single" w:sz="4" w:space="0" w:color="002279"/>
            </w:tcBorders>
          </w:tcPr>
          <w:p w14:paraId="3644A36D" w14:textId="77777777" w:rsidR="00D91AAD" w:rsidRPr="00360131" w:rsidRDefault="00D91AAD">
            <w:pPr>
              <w:spacing w:after="40"/>
              <w:ind w:left="227" w:hanging="227"/>
              <w:rPr>
                <w:rFonts w:ascii="Arial" w:hAnsi="Arial" w:cs="Arial"/>
                <w:szCs w:val="20"/>
              </w:rPr>
            </w:pPr>
            <w:r w:rsidRPr="0097263A">
              <w:rPr>
                <w:rFonts w:cs="Arial"/>
                <w:szCs w:val="20"/>
              </w:rPr>
              <w:t xml:space="preserve">1. </w:t>
            </w:r>
            <w:r w:rsidRPr="0097263A">
              <w:rPr>
                <w:rFonts w:cs="Arial"/>
                <w:i/>
                <w:szCs w:val="20"/>
              </w:rPr>
              <w:t>Get the basics right, always</w:t>
            </w:r>
            <w:r w:rsidRPr="0097263A">
              <w:rPr>
                <w:rFonts w:cs="Arial"/>
                <w:szCs w:val="20"/>
              </w:rPr>
              <w:t xml:space="preserve">. </w:t>
            </w:r>
          </w:p>
          <w:p w14:paraId="023E4A31" w14:textId="77777777" w:rsidR="00D91AAD" w:rsidRPr="00360131" w:rsidRDefault="00D91AAD">
            <w:pPr>
              <w:spacing w:after="40"/>
              <w:ind w:left="227" w:hanging="227"/>
              <w:rPr>
                <w:rFonts w:ascii="Arial" w:hAnsi="Arial" w:cs="Arial"/>
                <w:szCs w:val="20"/>
              </w:rPr>
            </w:pPr>
            <w:r w:rsidRPr="0097263A">
              <w:rPr>
                <w:rFonts w:cs="Arial"/>
                <w:szCs w:val="20"/>
              </w:rPr>
              <w:t xml:space="preserve">3. </w:t>
            </w:r>
            <w:r w:rsidRPr="0097263A">
              <w:rPr>
                <w:rFonts w:cs="Arial"/>
                <w:i/>
                <w:szCs w:val="20"/>
              </w:rPr>
              <w:t>Fair and affordable for all.</w:t>
            </w:r>
          </w:p>
        </w:tc>
        <w:tc>
          <w:tcPr>
            <w:tcW w:w="2557" w:type="dxa"/>
            <w:tcBorders>
              <w:top w:val="single" w:sz="4" w:space="0" w:color="002279"/>
              <w:left w:val="single" w:sz="4" w:space="0" w:color="002279"/>
              <w:bottom w:val="single" w:sz="4" w:space="0" w:color="002279"/>
              <w:right w:val="single" w:sz="4" w:space="0" w:color="002279"/>
            </w:tcBorders>
            <w:vAlign w:val="center"/>
          </w:tcPr>
          <w:p w14:paraId="2AB0F91E" w14:textId="6EA2C0E8" w:rsidR="00D91AAD" w:rsidRPr="00360131" w:rsidRDefault="00972F47" w:rsidP="005F1841">
            <w:pPr>
              <w:spacing w:after="40" w:line="259" w:lineRule="auto"/>
              <w:jc w:val="center"/>
              <w:rPr>
                <w:rFonts w:ascii="Arial" w:hAnsi="Arial" w:cs="Arial"/>
                <w:szCs w:val="20"/>
              </w:rPr>
            </w:pPr>
            <w:r w:rsidRPr="00B71AB6">
              <w:rPr>
                <w:rFonts w:cstheme="minorHAnsi"/>
                <w:szCs w:val="20"/>
              </w:rPr>
              <w:t>$</w:t>
            </w:r>
            <w:r w:rsidR="00D91AAD" w:rsidRPr="00B71AB6">
              <w:rPr>
                <w:rFonts w:cstheme="minorHAnsi"/>
                <w:szCs w:val="20"/>
              </w:rPr>
              <w:t>54</w:t>
            </w:r>
            <w:r w:rsidR="00B71AB6" w:rsidRPr="00B71AB6">
              <w:rPr>
                <w:rFonts w:cstheme="minorHAnsi"/>
                <w:szCs w:val="20"/>
              </w:rPr>
              <w:t>.02</w:t>
            </w:r>
          </w:p>
        </w:tc>
      </w:tr>
      <w:tr w:rsidR="00D91AAD" w:rsidRPr="002020E8" w14:paraId="500C00EC" w14:textId="77777777" w:rsidTr="00571A03">
        <w:tc>
          <w:tcPr>
            <w:tcW w:w="2806" w:type="dxa"/>
            <w:vMerge/>
            <w:tcBorders>
              <w:top w:val="single" w:sz="4" w:space="0" w:color="002279"/>
              <w:left w:val="single" w:sz="4" w:space="0" w:color="002279"/>
              <w:bottom w:val="single" w:sz="4" w:space="0" w:color="002279"/>
              <w:right w:val="single" w:sz="4" w:space="0" w:color="002279"/>
            </w:tcBorders>
          </w:tcPr>
          <w:p w14:paraId="745AB658" w14:textId="77777777" w:rsidR="00D91AAD" w:rsidRPr="00360131" w:rsidRDefault="00D91AAD">
            <w:pPr>
              <w:spacing w:after="40"/>
              <w:rPr>
                <w:rFonts w:ascii="Arial" w:hAnsi="Arial" w:cs="Arial"/>
                <w:b/>
                <w:szCs w:val="20"/>
              </w:rPr>
            </w:pPr>
          </w:p>
        </w:tc>
        <w:tc>
          <w:tcPr>
            <w:tcW w:w="2807" w:type="dxa"/>
            <w:tcBorders>
              <w:top w:val="single" w:sz="4" w:space="0" w:color="002279"/>
              <w:left w:val="single" w:sz="4" w:space="0" w:color="002279"/>
              <w:bottom w:val="single" w:sz="4" w:space="0" w:color="002279"/>
              <w:right w:val="single" w:sz="4" w:space="0" w:color="002279"/>
            </w:tcBorders>
            <w:shd w:val="clear" w:color="auto" w:fill="D4D6DF"/>
          </w:tcPr>
          <w:p w14:paraId="57124E52" w14:textId="51DBF05D" w:rsidR="00D91AAD" w:rsidRPr="00360131" w:rsidRDefault="00D91AAD">
            <w:pPr>
              <w:spacing w:after="40" w:line="259" w:lineRule="auto"/>
              <w:rPr>
                <w:rFonts w:ascii="Arial" w:hAnsi="Arial" w:cs="Arial"/>
                <w:szCs w:val="20"/>
              </w:rPr>
            </w:pPr>
            <w:r w:rsidRPr="0097263A">
              <w:rPr>
                <w:rFonts w:cs="Arial"/>
                <w:szCs w:val="20"/>
              </w:rPr>
              <w:t xml:space="preserve">Distributed </w:t>
            </w:r>
            <w:r w:rsidR="00E2312A" w:rsidRPr="0097263A">
              <w:rPr>
                <w:rFonts w:cs="Arial"/>
                <w:szCs w:val="20"/>
              </w:rPr>
              <w:t>t</w:t>
            </w:r>
            <w:r w:rsidRPr="0097263A">
              <w:rPr>
                <w:rFonts w:cs="Arial"/>
                <w:szCs w:val="20"/>
              </w:rPr>
              <w:t>reatment</w:t>
            </w:r>
          </w:p>
        </w:tc>
        <w:tc>
          <w:tcPr>
            <w:tcW w:w="2807" w:type="dxa"/>
            <w:tcBorders>
              <w:top w:val="single" w:sz="4" w:space="0" w:color="002279"/>
              <w:left w:val="single" w:sz="4" w:space="0" w:color="002279"/>
              <w:bottom w:val="single" w:sz="4" w:space="0" w:color="002279"/>
              <w:right w:val="single" w:sz="4" w:space="0" w:color="002279"/>
            </w:tcBorders>
            <w:shd w:val="clear" w:color="auto" w:fill="D4D6DF"/>
          </w:tcPr>
          <w:p w14:paraId="74537F78" w14:textId="7DA10E73" w:rsidR="00D91AAD" w:rsidRPr="00360131" w:rsidRDefault="00D91AAD">
            <w:pPr>
              <w:spacing w:after="40" w:line="259" w:lineRule="auto"/>
              <w:rPr>
                <w:rFonts w:ascii="Arial" w:hAnsi="Arial" w:cs="Arial"/>
                <w:color w:val="FF0000"/>
                <w:szCs w:val="20"/>
              </w:rPr>
            </w:pPr>
            <w:r w:rsidRPr="0097263A">
              <w:rPr>
                <w:rFonts w:eastAsia="Times New Roman" w:cs="Arial"/>
                <w:szCs w:val="20"/>
                <w:lang w:eastAsia="en-AU"/>
              </w:rPr>
              <w:t>Improve long term waste management</w:t>
            </w:r>
            <w:r w:rsidR="00CF2FB7" w:rsidRPr="0097263A">
              <w:rPr>
                <w:rFonts w:eastAsia="Times New Roman" w:cs="Arial"/>
                <w:szCs w:val="20"/>
                <w:lang w:eastAsia="en-AU"/>
              </w:rPr>
              <w:t>,</w:t>
            </w:r>
            <w:r w:rsidRPr="0097263A">
              <w:rPr>
                <w:rFonts w:eastAsia="Times New Roman" w:cs="Arial"/>
                <w:szCs w:val="20"/>
                <w:lang w:eastAsia="en-AU"/>
              </w:rPr>
              <w:t xml:space="preserve"> to reduce the risk of effluent discharges into our </w:t>
            </w:r>
            <w:r w:rsidR="00E37EC0" w:rsidRPr="0097263A">
              <w:rPr>
                <w:rFonts w:eastAsia="Times New Roman" w:cs="Arial"/>
                <w:szCs w:val="20"/>
                <w:lang w:eastAsia="en-AU"/>
              </w:rPr>
              <w:t>b</w:t>
            </w:r>
            <w:r w:rsidRPr="0097263A">
              <w:rPr>
                <w:rFonts w:eastAsia="Times New Roman" w:cs="Arial"/>
                <w:szCs w:val="20"/>
                <w:lang w:eastAsia="en-AU"/>
              </w:rPr>
              <w:t>ays and provide overall lower cost to the community.</w:t>
            </w:r>
          </w:p>
        </w:tc>
        <w:tc>
          <w:tcPr>
            <w:tcW w:w="3057" w:type="dxa"/>
            <w:tcBorders>
              <w:top w:val="single" w:sz="4" w:space="0" w:color="002279"/>
              <w:left w:val="single" w:sz="4" w:space="0" w:color="002279"/>
              <w:bottom w:val="single" w:sz="4" w:space="0" w:color="002279"/>
              <w:right w:val="single" w:sz="4" w:space="0" w:color="002279"/>
            </w:tcBorders>
            <w:shd w:val="clear" w:color="auto" w:fill="D4D6DF"/>
          </w:tcPr>
          <w:p w14:paraId="424E1D13" w14:textId="77777777" w:rsidR="00D91AAD" w:rsidRPr="00360131" w:rsidRDefault="00D91AAD">
            <w:pPr>
              <w:spacing w:after="40"/>
              <w:ind w:left="227" w:hanging="227"/>
              <w:rPr>
                <w:rFonts w:ascii="Arial" w:hAnsi="Arial" w:cs="Arial"/>
                <w:szCs w:val="20"/>
              </w:rPr>
            </w:pPr>
            <w:r w:rsidRPr="0097263A">
              <w:rPr>
                <w:rFonts w:cs="Arial"/>
                <w:szCs w:val="20"/>
              </w:rPr>
              <w:t xml:space="preserve">1. </w:t>
            </w:r>
            <w:r w:rsidRPr="0097263A">
              <w:rPr>
                <w:rFonts w:cs="Arial"/>
                <w:i/>
                <w:szCs w:val="20"/>
              </w:rPr>
              <w:t>Get the basics right, always.</w:t>
            </w:r>
          </w:p>
          <w:p w14:paraId="49BE2CC1" w14:textId="77777777" w:rsidR="00D91AAD" w:rsidRPr="00360131" w:rsidRDefault="00D91AAD">
            <w:pPr>
              <w:spacing w:after="40"/>
              <w:ind w:left="227" w:hanging="227"/>
              <w:rPr>
                <w:rFonts w:ascii="Arial" w:hAnsi="Arial" w:cs="Arial"/>
                <w:szCs w:val="20"/>
              </w:rPr>
            </w:pPr>
            <w:r w:rsidRPr="0097263A">
              <w:rPr>
                <w:rFonts w:cs="Arial"/>
                <w:szCs w:val="20"/>
              </w:rPr>
              <w:t xml:space="preserve">5. </w:t>
            </w:r>
            <w:r w:rsidRPr="0097263A">
              <w:rPr>
                <w:rFonts w:cs="Arial"/>
                <w:i/>
                <w:szCs w:val="20"/>
              </w:rPr>
              <w:t>Support my community, protect our environment</w:t>
            </w:r>
            <w:r w:rsidRPr="0097263A">
              <w:rPr>
                <w:rFonts w:cs="Arial"/>
                <w:szCs w:val="20"/>
              </w:rPr>
              <w:t>.</w:t>
            </w:r>
          </w:p>
        </w:tc>
        <w:tc>
          <w:tcPr>
            <w:tcW w:w="2557" w:type="dxa"/>
            <w:tcBorders>
              <w:top w:val="single" w:sz="4" w:space="0" w:color="002279"/>
              <w:left w:val="single" w:sz="4" w:space="0" w:color="002279"/>
              <w:bottom w:val="single" w:sz="4" w:space="0" w:color="002279"/>
              <w:right w:val="single" w:sz="4" w:space="0" w:color="002279"/>
            </w:tcBorders>
            <w:shd w:val="clear" w:color="auto" w:fill="D4D6DF"/>
            <w:vAlign w:val="center"/>
          </w:tcPr>
          <w:p w14:paraId="1FC7D390" w14:textId="577F21C7" w:rsidR="00D91AAD" w:rsidRPr="00360131" w:rsidRDefault="00972F47" w:rsidP="005F1841">
            <w:pPr>
              <w:spacing w:after="40" w:line="259" w:lineRule="auto"/>
              <w:jc w:val="center"/>
              <w:rPr>
                <w:rFonts w:ascii="Arial" w:hAnsi="Arial" w:cs="Arial"/>
                <w:szCs w:val="20"/>
              </w:rPr>
            </w:pPr>
            <w:r w:rsidRPr="00B71AB6">
              <w:rPr>
                <w:rFonts w:cstheme="minorHAnsi"/>
                <w:szCs w:val="20"/>
              </w:rPr>
              <w:t>$</w:t>
            </w:r>
            <w:r w:rsidR="00D91AAD" w:rsidRPr="00B71AB6">
              <w:rPr>
                <w:rFonts w:cstheme="minorHAnsi"/>
                <w:szCs w:val="20"/>
              </w:rPr>
              <w:t>51</w:t>
            </w:r>
            <w:r w:rsidR="00B71AB6" w:rsidRPr="00B71AB6">
              <w:rPr>
                <w:rFonts w:cstheme="minorHAnsi"/>
                <w:szCs w:val="20"/>
              </w:rPr>
              <w:t>.02</w:t>
            </w:r>
          </w:p>
        </w:tc>
      </w:tr>
      <w:tr w:rsidR="00D91AAD" w:rsidRPr="002020E8" w14:paraId="540D68BC" w14:textId="77777777" w:rsidTr="00571A03">
        <w:tc>
          <w:tcPr>
            <w:tcW w:w="2806" w:type="dxa"/>
            <w:vMerge/>
            <w:tcBorders>
              <w:top w:val="single" w:sz="4" w:space="0" w:color="002279"/>
              <w:left w:val="single" w:sz="4" w:space="0" w:color="002279"/>
              <w:bottom w:val="single" w:sz="4" w:space="0" w:color="002279"/>
              <w:right w:val="single" w:sz="4" w:space="0" w:color="002279"/>
            </w:tcBorders>
          </w:tcPr>
          <w:p w14:paraId="778C2DC1" w14:textId="77777777" w:rsidR="00D91AAD" w:rsidRPr="00360131" w:rsidRDefault="00D91AAD">
            <w:pPr>
              <w:spacing w:after="40"/>
              <w:rPr>
                <w:rFonts w:ascii="Arial" w:hAnsi="Arial" w:cs="Arial"/>
                <w:b/>
                <w:szCs w:val="20"/>
              </w:rPr>
            </w:pPr>
          </w:p>
        </w:tc>
        <w:tc>
          <w:tcPr>
            <w:tcW w:w="2807" w:type="dxa"/>
            <w:tcBorders>
              <w:top w:val="single" w:sz="4" w:space="0" w:color="002279"/>
              <w:left w:val="single" w:sz="4" w:space="0" w:color="002279"/>
              <w:bottom w:val="single" w:sz="4" w:space="0" w:color="002279"/>
              <w:right w:val="single" w:sz="4" w:space="0" w:color="002279"/>
            </w:tcBorders>
          </w:tcPr>
          <w:p w14:paraId="57C44504" w14:textId="26B45CD9" w:rsidR="00D91AAD" w:rsidRPr="00360131" w:rsidRDefault="00D91AAD">
            <w:pPr>
              <w:spacing w:after="40" w:line="259" w:lineRule="auto"/>
              <w:rPr>
                <w:rFonts w:ascii="Arial" w:hAnsi="Arial" w:cs="Arial"/>
                <w:szCs w:val="20"/>
              </w:rPr>
            </w:pPr>
            <w:r w:rsidRPr="0097263A">
              <w:rPr>
                <w:rFonts w:cs="Arial"/>
                <w:szCs w:val="20"/>
              </w:rPr>
              <w:t xml:space="preserve">Sewer </w:t>
            </w:r>
            <w:r w:rsidR="00E2312A" w:rsidRPr="0097263A">
              <w:rPr>
                <w:rFonts w:cs="Arial"/>
                <w:szCs w:val="20"/>
              </w:rPr>
              <w:t>r</w:t>
            </w:r>
            <w:r w:rsidRPr="0097263A">
              <w:rPr>
                <w:rFonts w:cs="Arial"/>
                <w:szCs w:val="20"/>
              </w:rPr>
              <w:t>enewals</w:t>
            </w:r>
          </w:p>
        </w:tc>
        <w:tc>
          <w:tcPr>
            <w:tcW w:w="2807" w:type="dxa"/>
            <w:tcBorders>
              <w:top w:val="single" w:sz="4" w:space="0" w:color="002279"/>
              <w:left w:val="single" w:sz="4" w:space="0" w:color="002279"/>
              <w:bottom w:val="single" w:sz="4" w:space="0" w:color="002279"/>
              <w:right w:val="single" w:sz="4" w:space="0" w:color="002279"/>
            </w:tcBorders>
          </w:tcPr>
          <w:p w14:paraId="1F9886B1" w14:textId="5EC5B542" w:rsidR="00D91AAD" w:rsidRPr="00360131" w:rsidRDefault="00D91AAD">
            <w:pPr>
              <w:spacing w:after="40" w:line="259" w:lineRule="auto"/>
              <w:rPr>
                <w:rFonts w:ascii="Arial" w:hAnsi="Arial" w:cs="Arial"/>
                <w:color w:val="FF0000"/>
                <w:szCs w:val="20"/>
              </w:rPr>
            </w:pPr>
            <w:r w:rsidRPr="0097263A">
              <w:rPr>
                <w:rFonts w:eastAsia="Times New Roman" w:cs="Arial"/>
                <w:szCs w:val="20"/>
                <w:lang w:eastAsia="en-AU"/>
              </w:rPr>
              <w:t>Maintain sewer network service standards for customer interruptions</w:t>
            </w:r>
            <w:r w:rsidR="002F5505" w:rsidRPr="0097263A">
              <w:rPr>
                <w:rFonts w:eastAsia="Times New Roman" w:cs="Arial"/>
                <w:szCs w:val="20"/>
                <w:lang w:eastAsia="en-AU"/>
              </w:rPr>
              <w:t>,</w:t>
            </w:r>
            <w:r w:rsidRPr="0097263A">
              <w:rPr>
                <w:rFonts w:eastAsia="Times New Roman" w:cs="Arial"/>
                <w:szCs w:val="20"/>
                <w:lang w:eastAsia="en-AU"/>
              </w:rPr>
              <w:t xml:space="preserve"> by </w:t>
            </w:r>
            <w:r w:rsidR="005D6814" w:rsidRPr="0097263A">
              <w:rPr>
                <w:rFonts w:eastAsia="Times New Roman" w:cs="Arial"/>
                <w:szCs w:val="20"/>
                <w:lang w:eastAsia="en-AU"/>
              </w:rPr>
              <w:t xml:space="preserve">reactively </w:t>
            </w:r>
            <w:r w:rsidRPr="0097263A">
              <w:rPr>
                <w:rFonts w:eastAsia="Times New Roman" w:cs="Arial"/>
                <w:szCs w:val="20"/>
                <w:lang w:eastAsia="en-AU"/>
              </w:rPr>
              <w:t>responding to asset failures</w:t>
            </w:r>
            <w:r w:rsidR="00831CAA" w:rsidRPr="0097263A">
              <w:rPr>
                <w:rFonts w:eastAsia="Times New Roman" w:cs="Arial"/>
                <w:szCs w:val="20"/>
                <w:lang w:eastAsia="en-AU"/>
              </w:rPr>
              <w:t xml:space="preserve"> as they occur</w:t>
            </w:r>
            <w:r w:rsidRPr="0097263A">
              <w:rPr>
                <w:rFonts w:eastAsia="Times New Roman" w:cs="Arial"/>
                <w:szCs w:val="20"/>
                <w:lang w:eastAsia="en-AU"/>
              </w:rPr>
              <w:t>.</w:t>
            </w:r>
          </w:p>
        </w:tc>
        <w:tc>
          <w:tcPr>
            <w:tcW w:w="3057" w:type="dxa"/>
            <w:tcBorders>
              <w:top w:val="single" w:sz="4" w:space="0" w:color="002279"/>
              <w:left w:val="single" w:sz="4" w:space="0" w:color="002279"/>
              <w:bottom w:val="single" w:sz="4" w:space="0" w:color="002279"/>
              <w:right w:val="single" w:sz="4" w:space="0" w:color="002279"/>
            </w:tcBorders>
          </w:tcPr>
          <w:p w14:paraId="3973FEC8" w14:textId="77777777" w:rsidR="00D91AAD" w:rsidRPr="00360131" w:rsidRDefault="00D91AAD">
            <w:pPr>
              <w:spacing w:after="40"/>
              <w:ind w:left="227" w:hanging="227"/>
              <w:rPr>
                <w:rFonts w:ascii="Arial" w:hAnsi="Arial" w:cs="Arial"/>
                <w:szCs w:val="20"/>
              </w:rPr>
            </w:pPr>
            <w:r w:rsidRPr="0097263A">
              <w:rPr>
                <w:rFonts w:cs="Arial"/>
                <w:szCs w:val="20"/>
              </w:rPr>
              <w:t xml:space="preserve">1. </w:t>
            </w:r>
            <w:r w:rsidRPr="0097263A">
              <w:rPr>
                <w:rFonts w:cs="Arial"/>
                <w:i/>
                <w:szCs w:val="20"/>
              </w:rPr>
              <w:t>Get the basics right, always.</w:t>
            </w:r>
          </w:p>
          <w:p w14:paraId="32020743" w14:textId="77777777" w:rsidR="00D91AAD" w:rsidRPr="00360131" w:rsidRDefault="00D91AAD">
            <w:pPr>
              <w:spacing w:after="40"/>
              <w:ind w:left="227" w:hanging="227"/>
              <w:rPr>
                <w:rFonts w:ascii="Arial" w:hAnsi="Arial" w:cs="Arial"/>
                <w:szCs w:val="20"/>
              </w:rPr>
            </w:pPr>
            <w:r w:rsidRPr="0097263A">
              <w:rPr>
                <w:rFonts w:cs="Arial"/>
                <w:szCs w:val="20"/>
              </w:rPr>
              <w:t xml:space="preserve">5. </w:t>
            </w:r>
            <w:r w:rsidRPr="0097263A">
              <w:rPr>
                <w:rFonts w:cs="Arial"/>
                <w:i/>
                <w:szCs w:val="20"/>
              </w:rPr>
              <w:t>Support my community, protect our environment.</w:t>
            </w:r>
          </w:p>
        </w:tc>
        <w:tc>
          <w:tcPr>
            <w:tcW w:w="2557" w:type="dxa"/>
            <w:tcBorders>
              <w:top w:val="single" w:sz="4" w:space="0" w:color="002279"/>
              <w:left w:val="single" w:sz="4" w:space="0" w:color="002279"/>
              <w:bottom w:val="single" w:sz="4" w:space="0" w:color="002279"/>
              <w:right w:val="single" w:sz="4" w:space="0" w:color="002279"/>
            </w:tcBorders>
            <w:vAlign w:val="center"/>
          </w:tcPr>
          <w:p w14:paraId="12DD6F8E" w14:textId="7C2010D5" w:rsidR="00D91AAD" w:rsidRPr="00360131" w:rsidRDefault="00972F47" w:rsidP="005F1841">
            <w:pPr>
              <w:spacing w:after="40" w:line="259" w:lineRule="auto"/>
              <w:jc w:val="center"/>
              <w:rPr>
                <w:rFonts w:ascii="Arial" w:hAnsi="Arial" w:cs="Arial"/>
                <w:szCs w:val="20"/>
              </w:rPr>
            </w:pPr>
            <w:r w:rsidRPr="00B71AB6">
              <w:rPr>
                <w:rFonts w:cstheme="minorHAnsi"/>
                <w:szCs w:val="20"/>
              </w:rPr>
              <w:t>$</w:t>
            </w:r>
            <w:r w:rsidR="00D91AAD" w:rsidRPr="00B71AB6">
              <w:rPr>
                <w:rFonts w:cstheme="minorHAnsi"/>
                <w:szCs w:val="20"/>
              </w:rPr>
              <w:t>28.</w:t>
            </w:r>
            <w:r w:rsidR="00B71AB6" w:rsidRPr="00B71AB6">
              <w:rPr>
                <w:rFonts w:cstheme="minorHAnsi"/>
                <w:szCs w:val="20"/>
              </w:rPr>
              <w:t>68</w:t>
            </w:r>
          </w:p>
        </w:tc>
      </w:tr>
      <w:tr w:rsidR="00D91AAD" w:rsidRPr="002020E8" w14:paraId="6B18880F" w14:textId="77777777" w:rsidTr="00571A03">
        <w:tc>
          <w:tcPr>
            <w:tcW w:w="2806" w:type="dxa"/>
            <w:vMerge w:val="restart"/>
            <w:tcBorders>
              <w:top w:val="single" w:sz="4" w:space="0" w:color="002279"/>
              <w:left w:val="single" w:sz="4" w:space="0" w:color="002279"/>
              <w:bottom w:val="single" w:sz="4" w:space="0" w:color="002279"/>
              <w:right w:val="single" w:sz="4" w:space="0" w:color="002279"/>
            </w:tcBorders>
            <w:shd w:val="clear" w:color="auto" w:fill="D4D6DF"/>
          </w:tcPr>
          <w:p w14:paraId="4FF4F7C0" w14:textId="77777777" w:rsidR="00D91AAD" w:rsidRPr="00360131" w:rsidRDefault="00D91AAD">
            <w:pPr>
              <w:spacing w:after="40"/>
              <w:rPr>
                <w:rFonts w:ascii="Arial" w:hAnsi="Arial" w:cs="Arial"/>
                <w:b/>
                <w:szCs w:val="20"/>
              </w:rPr>
            </w:pPr>
            <w:r w:rsidRPr="0097263A">
              <w:rPr>
                <w:rFonts w:cs="Arial"/>
                <w:b/>
                <w:szCs w:val="20"/>
              </w:rPr>
              <w:t>Water</w:t>
            </w:r>
          </w:p>
        </w:tc>
        <w:tc>
          <w:tcPr>
            <w:tcW w:w="2807" w:type="dxa"/>
            <w:tcBorders>
              <w:top w:val="single" w:sz="4" w:space="0" w:color="002279"/>
              <w:left w:val="single" w:sz="4" w:space="0" w:color="002279"/>
              <w:bottom w:val="single" w:sz="4" w:space="0" w:color="002279"/>
              <w:right w:val="single" w:sz="4" w:space="0" w:color="002279"/>
            </w:tcBorders>
            <w:shd w:val="clear" w:color="auto" w:fill="D4D6DF"/>
          </w:tcPr>
          <w:p w14:paraId="03D15FFD" w14:textId="61163418" w:rsidR="00D91AAD" w:rsidRPr="00360131" w:rsidRDefault="00D91AAD">
            <w:pPr>
              <w:spacing w:after="40" w:line="259" w:lineRule="auto"/>
              <w:rPr>
                <w:rFonts w:ascii="Arial" w:hAnsi="Arial" w:cs="Arial"/>
                <w:szCs w:val="20"/>
              </w:rPr>
            </w:pPr>
            <w:r w:rsidRPr="0097263A">
              <w:rPr>
                <w:rFonts w:cs="Arial"/>
                <w:szCs w:val="20"/>
              </w:rPr>
              <w:t xml:space="preserve">Potable </w:t>
            </w:r>
            <w:r w:rsidR="00E2312A" w:rsidRPr="0097263A">
              <w:rPr>
                <w:rFonts w:cs="Arial"/>
                <w:szCs w:val="20"/>
              </w:rPr>
              <w:t>w</w:t>
            </w:r>
            <w:r w:rsidRPr="0097263A">
              <w:rPr>
                <w:rFonts w:cs="Arial"/>
                <w:szCs w:val="20"/>
              </w:rPr>
              <w:t xml:space="preserve">ater </w:t>
            </w:r>
            <w:r w:rsidR="00E2312A" w:rsidRPr="0097263A">
              <w:rPr>
                <w:rFonts w:cs="Arial"/>
                <w:szCs w:val="20"/>
              </w:rPr>
              <w:t>r</w:t>
            </w:r>
            <w:r w:rsidR="00DB0599" w:rsidRPr="0097263A">
              <w:rPr>
                <w:rFonts w:cs="Arial"/>
                <w:szCs w:val="20"/>
              </w:rPr>
              <w:t>enewals</w:t>
            </w:r>
          </w:p>
        </w:tc>
        <w:tc>
          <w:tcPr>
            <w:tcW w:w="2807" w:type="dxa"/>
            <w:tcBorders>
              <w:top w:val="single" w:sz="4" w:space="0" w:color="002279"/>
              <w:left w:val="single" w:sz="4" w:space="0" w:color="002279"/>
              <w:bottom w:val="single" w:sz="4" w:space="0" w:color="002279"/>
              <w:right w:val="single" w:sz="4" w:space="0" w:color="002279"/>
            </w:tcBorders>
            <w:shd w:val="clear" w:color="auto" w:fill="D4D6DF"/>
          </w:tcPr>
          <w:p w14:paraId="125C1B38" w14:textId="5B73A8F0" w:rsidR="00D91AAD" w:rsidRPr="00360131" w:rsidRDefault="00DB0599">
            <w:pPr>
              <w:spacing w:after="40" w:line="259" w:lineRule="auto"/>
              <w:rPr>
                <w:rFonts w:ascii="Arial" w:hAnsi="Arial" w:cs="Arial"/>
                <w:color w:val="FF0000"/>
                <w:szCs w:val="20"/>
              </w:rPr>
            </w:pPr>
            <w:r w:rsidRPr="0097263A">
              <w:rPr>
                <w:rFonts w:eastAsia="Times New Roman" w:cs="Arial"/>
                <w:szCs w:val="20"/>
                <w:lang w:eastAsia="en-AU"/>
              </w:rPr>
              <w:t xml:space="preserve">Maintain drinking water network service standards </w:t>
            </w:r>
            <w:r w:rsidRPr="0097263A">
              <w:rPr>
                <w:rFonts w:eastAsia="Times New Roman" w:cs="Arial"/>
                <w:szCs w:val="20"/>
                <w:lang w:eastAsia="en-AU"/>
              </w:rPr>
              <w:lastRenderedPageBreak/>
              <w:t>for customer interruptions</w:t>
            </w:r>
            <w:r w:rsidR="00E37EC0" w:rsidRPr="0097263A">
              <w:rPr>
                <w:rFonts w:eastAsia="Times New Roman" w:cs="Arial"/>
                <w:szCs w:val="20"/>
                <w:lang w:eastAsia="en-AU"/>
              </w:rPr>
              <w:t>,</w:t>
            </w:r>
            <w:r w:rsidRPr="0097263A">
              <w:rPr>
                <w:rFonts w:eastAsia="Times New Roman" w:cs="Arial"/>
                <w:szCs w:val="20"/>
                <w:lang w:eastAsia="en-AU"/>
              </w:rPr>
              <w:t xml:space="preserve"> by </w:t>
            </w:r>
            <w:r w:rsidR="00AE6993" w:rsidRPr="0097263A">
              <w:rPr>
                <w:rFonts w:eastAsia="Times New Roman" w:cs="Arial"/>
                <w:szCs w:val="20"/>
                <w:lang w:eastAsia="en-AU"/>
              </w:rPr>
              <w:t xml:space="preserve">reactively </w:t>
            </w:r>
            <w:r w:rsidRPr="0097263A">
              <w:rPr>
                <w:rFonts w:eastAsia="Times New Roman" w:cs="Arial"/>
                <w:szCs w:val="20"/>
                <w:lang w:eastAsia="en-AU"/>
              </w:rPr>
              <w:t>responding to asset failures</w:t>
            </w:r>
            <w:r w:rsidR="00AE6993" w:rsidRPr="0097263A">
              <w:rPr>
                <w:rFonts w:eastAsia="Times New Roman" w:cs="Arial"/>
                <w:szCs w:val="20"/>
                <w:lang w:eastAsia="en-AU"/>
              </w:rPr>
              <w:t xml:space="preserve"> as they occur</w:t>
            </w:r>
            <w:r w:rsidRPr="0097263A">
              <w:rPr>
                <w:rFonts w:eastAsia="Times New Roman" w:cs="Arial"/>
                <w:szCs w:val="20"/>
                <w:lang w:eastAsia="en-AU"/>
              </w:rPr>
              <w:t xml:space="preserve">. </w:t>
            </w:r>
          </w:p>
        </w:tc>
        <w:tc>
          <w:tcPr>
            <w:tcW w:w="3057" w:type="dxa"/>
            <w:tcBorders>
              <w:top w:val="single" w:sz="4" w:space="0" w:color="002279"/>
              <w:left w:val="single" w:sz="4" w:space="0" w:color="002279"/>
              <w:bottom w:val="single" w:sz="4" w:space="0" w:color="002279"/>
              <w:right w:val="single" w:sz="4" w:space="0" w:color="002279"/>
            </w:tcBorders>
            <w:shd w:val="clear" w:color="auto" w:fill="D4D6DF"/>
          </w:tcPr>
          <w:p w14:paraId="23F58727" w14:textId="31F52708" w:rsidR="00D91AAD" w:rsidRPr="00360131" w:rsidRDefault="00DB0599">
            <w:pPr>
              <w:spacing w:after="40" w:line="259" w:lineRule="auto"/>
              <w:ind w:left="227" w:hanging="227"/>
              <w:rPr>
                <w:rFonts w:ascii="Arial" w:hAnsi="Arial" w:cs="Arial"/>
                <w:szCs w:val="20"/>
              </w:rPr>
            </w:pPr>
            <w:r w:rsidRPr="0097263A">
              <w:rPr>
                <w:rFonts w:cs="Arial"/>
                <w:szCs w:val="20"/>
              </w:rPr>
              <w:lastRenderedPageBreak/>
              <w:t xml:space="preserve">1. </w:t>
            </w:r>
            <w:r w:rsidRPr="0097263A">
              <w:rPr>
                <w:rFonts w:cs="Arial"/>
                <w:i/>
                <w:szCs w:val="20"/>
              </w:rPr>
              <w:t>Get the basics right, always.</w:t>
            </w:r>
          </w:p>
        </w:tc>
        <w:tc>
          <w:tcPr>
            <w:tcW w:w="2557" w:type="dxa"/>
            <w:tcBorders>
              <w:top w:val="single" w:sz="4" w:space="0" w:color="002279"/>
              <w:left w:val="single" w:sz="4" w:space="0" w:color="002279"/>
              <w:bottom w:val="single" w:sz="4" w:space="0" w:color="002279"/>
              <w:right w:val="single" w:sz="4" w:space="0" w:color="002279"/>
            </w:tcBorders>
            <w:shd w:val="clear" w:color="auto" w:fill="D4D6DF"/>
            <w:vAlign w:val="center"/>
          </w:tcPr>
          <w:p w14:paraId="1D4E978C" w14:textId="3367B680" w:rsidR="00D91AAD" w:rsidRPr="00360131" w:rsidRDefault="00972F47" w:rsidP="005F1841">
            <w:pPr>
              <w:spacing w:after="40" w:line="259" w:lineRule="auto"/>
              <w:jc w:val="center"/>
              <w:rPr>
                <w:rFonts w:ascii="Arial" w:hAnsi="Arial" w:cs="Arial"/>
                <w:szCs w:val="20"/>
              </w:rPr>
            </w:pPr>
            <w:r w:rsidRPr="00B71AB6">
              <w:rPr>
                <w:rFonts w:cstheme="minorHAnsi"/>
                <w:szCs w:val="20"/>
              </w:rPr>
              <w:t>$</w:t>
            </w:r>
            <w:r w:rsidR="00DB0599" w:rsidRPr="00B71AB6">
              <w:rPr>
                <w:rFonts w:cstheme="minorHAnsi"/>
                <w:szCs w:val="20"/>
              </w:rPr>
              <w:t>84.</w:t>
            </w:r>
            <w:r w:rsidR="00B71AB6" w:rsidRPr="00B71AB6">
              <w:rPr>
                <w:rFonts w:cstheme="minorHAnsi"/>
                <w:szCs w:val="20"/>
              </w:rPr>
              <w:t>07</w:t>
            </w:r>
          </w:p>
        </w:tc>
      </w:tr>
      <w:tr w:rsidR="00DB0599" w:rsidRPr="002020E8" w14:paraId="2CB337C8" w14:textId="77777777" w:rsidTr="00571A03">
        <w:tc>
          <w:tcPr>
            <w:tcW w:w="2806" w:type="dxa"/>
            <w:vMerge/>
            <w:tcBorders>
              <w:top w:val="single" w:sz="4" w:space="0" w:color="002279"/>
              <w:left w:val="single" w:sz="4" w:space="0" w:color="002279"/>
              <w:bottom w:val="single" w:sz="4" w:space="0" w:color="002279"/>
              <w:right w:val="single" w:sz="4" w:space="0" w:color="002279"/>
            </w:tcBorders>
          </w:tcPr>
          <w:p w14:paraId="5F26602D" w14:textId="77777777" w:rsidR="00DB0599" w:rsidRPr="00360131" w:rsidRDefault="00DB0599">
            <w:pPr>
              <w:spacing w:after="40"/>
              <w:rPr>
                <w:rFonts w:ascii="Arial" w:hAnsi="Arial" w:cs="Arial"/>
                <w:szCs w:val="20"/>
              </w:rPr>
            </w:pPr>
          </w:p>
        </w:tc>
        <w:tc>
          <w:tcPr>
            <w:tcW w:w="2807" w:type="dxa"/>
            <w:tcBorders>
              <w:top w:val="single" w:sz="4" w:space="0" w:color="002279"/>
              <w:left w:val="single" w:sz="4" w:space="0" w:color="002279"/>
              <w:bottom w:val="single" w:sz="4" w:space="0" w:color="002279"/>
              <w:right w:val="single" w:sz="4" w:space="0" w:color="002279"/>
            </w:tcBorders>
          </w:tcPr>
          <w:p w14:paraId="5E4477F6" w14:textId="4C86F5DC" w:rsidR="00DB0599" w:rsidRPr="00360131" w:rsidRDefault="00DB0599">
            <w:pPr>
              <w:spacing w:after="40" w:line="259" w:lineRule="auto"/>
              <w:rPr>
                <w:rFonts w:ascii="Arial" w:hAnsi="Arial" w:cs="Arial"/>
                <w:szCs w:val="20"/>
              </w:rPr>
            </w:pPr>
            <w:r w:rsidRPr="0097263A">
              <w:rPr>
                <w:rFonts w:cs="Arial"/>
                <w:szCs w:val="20"/>
              </w:rPr>
              <w:t xml:space="preserve">Potable </w:t>
            </w:r>
            <w:r w:rsidR="00492E68" w:rsidRPr="0097263A">
              <w:rPr>
                <w:rFonts w:cs="Arial"/>
                <w:szCs w:val="20"/>
              </w:rPr>
              <w:t>w</w:t>
            </w:r>
            <w:r w:rsidRPr="0097263A">
              <w:rPr>
                <w:rFonts w:cs="Arial"/>
                <w:szCs w:val="20"/>
              </w:rPr>
              <w:t xml:space="preserve">ater </w:t>
            </w:r>
            <w:r w:rsidR="00492E68" w:rsidRPr="0097263A">
              <w:rPr>
                <w:rFonts w:cs="Arial"/>
                <w:szCs w:val="20"/>
              </w:rPr>
              <w:t>g</w:t>
            </w:r>
            <w:r w:rsidRPr="0097263A">
              <w:rPr>
                <w:rFonts w:cs="Arial"/>
                <w:szCs w:val="20"/>
              </w:rPr>
              <w:t>rowth</w:t>
            </w:r>
          </w:p>
        </w:tc>
        <w:tc>
          <w:tcPr>
            <w:tcW w:w="2807" w:type="dxa"/>
            <w:tcBorders>
              <w:top w:val="single" w:sz="4" w:space="0" w:color="002279"/>
              <w:left w:val="single" w:sz="4" w:space="0" w:color="002279"/>
              <w:bottom w:val="single" w:sz="4" w:space="0" w:color="002279"/>
              <w:right w:val="single" w:sz="4" w:space="0" w:color="002279"/>
            </w:tcBorders>
          </w:tcPr>
          <w:p w14:paraId="03BAFB80" w14:textId="21ED8050" w:rsidR="00DB0599" w:rsidRPr="00360131" w:rsidRDefault="00DB0599">
            <w:pPr>
              <w:spacing w:after="40" w:line="259" w:lineRule="auto"/>
              <w:rPr>
                <w:rFonts w:ascii="Arial" w:eastAsia="Times New Roman" w:hAnsi="Arial" w:cs="Arial"/>
                <w:szCs w:val="20"/>
                <w:lang w:eastAsia="en-AU"/>
              </w:rPr>
            </w:pPr>
            <w:r w:rsidRPr="0097263A">
              <w:rPr>
                <w:rFonts w:eastAsia="Times New Roman" w:cs="Arial"/>
                <w:szCs w:val="20"/>
                <w:lang w:eastAsia="en-AU"/>
              </w:rPr>
              <w:t>Meet increasing customer demand for drinking water</w:t>
            </w:r>
            <w:r w:rsidR="00492E68" w:rsidRPr="0097263A">
              <w:rPr>
                <w:rFonts w:eastAsia="Times New Roman" w:cs="Arial"/>
                <w:szCs w:val="20"/>
                <w:lang w:eastAsia="en-AU"/>
              </w:rPr>
              <w:t>,</w:t>
            </w:r>
            <w:r w:rsidRPr="0097263A">
              <w:rPr>
                <w:rFonts w:eastAsia="Times New Roman" w:cs="Arial"/>
                <w:szCs w:val="20"/>
                <w:lang w:eastAsia="en-AU"/>
              </w:rPr>
              <w:t xml:space="preserve"> due to growth across service areas.</w:t>
            </w:r>
          </w:p>
        </w:tc>
        <w:tc>
          <w:tcPr>
            <w:tcW w:w="3057" w:type="dxa"/>
            <w:tcBorders>
              <w:top w:val="single" w:sz="4" w:space="0" w:color="002279"/>
              <w:left w:val="single" w:sz="4" w:space="0" w:color="002279"/>
              <w:bottom w:val="single" w:sz="4" w:space="0" w:color="002279"/>
              <w:right w:val="single" w:sz="4" w:space="0" w:color="002279"/>
            </w:tcBorders>
          </w:tcPr>
          <w:p w14:paraId="66C6B0E3" w14:textId="77777777" w:rsidR="00DB0599" w:rsidRPr="00360131" w:rsidRDefault="00DB0599">
            <w:pPr>
              <w:spacing w:after="40"/>
              <w:ind w:left="227" w:hanging="227"/>
              <w:rPr>
                <w:rFonts w:ascii="Arial" w:hAnsi="Arial" w:cs="Arial"/>
                <w:szCs w:val="20"/>
              </w:rPr>
            </w:pPr>
            <w:r w:rsidRPr="0097263A">
              <w:rPr>
                <w:rFonts w:cs="Arial"/>
                <w:szCs w:val="20"/>
              </w:rPr>
              <w:t xml:space="preserve">1. </w:t>
            </w:r>
            <w:r w:rsidRPr="0097263A">
              <w:rPr>
                <w:rFonts w:cs="Arial"/>
                <w:i/>
                <w:szCs w:val="20"/>
              </w:rPr>
              <w:t>Get the basics right, always.</w:t>
            </w:r>
            <w:r w:rsidRPr="0097263A">
              <w:rPr>
                <w:rFonts w:cs="Arial"/>
                <w:szCs w:val="20"/>
              </w:rPr>
              <w:t xml:space="preserve"> </w:t>
            </w:r>
          </w:p>
          <w:p w14:paraId="374F1CE4" w14:textId="6F7CCFF3" w:rsidR="00DB0599" w:rsidRPr="00360131" w:rsidRDefault="00DB0599">
            <w:pPr>
              <w:spacing w:after="40" w:line="259" w:lineRule="auto"/>
              <w:ind w:left="227" w:hanging="227"/>
              <w:rPr>
                <w:rFonts w:ascii="Arial" w:hAnsi="Arial" w:cs="Arial"/>
                <w:szCs w:val="20"/>
              </w:rPr>
            </w:pPr>
            <w:r w:rsidRPr="0097263A">
              <w:rPr>
                <w:rFonts w:cs="Arial"/>
                <w:szCs w:val="20"/>
              </w:rPr>
              <w:t xml:space="preserve">3. </w:t>
            </w:r>
            <w:r w:rsidRPr="0097263A">
              <w:rPr>
                <w:rFonts w:cs="Arial"/>
                <w:i/>
                <w:szCs w:val="20"/>
              </w:rPr>
              <w:t>Fair and affordable for all.</w:t>
            </w:r>
          </w:p>
        </w:tc>
        <w:tc>
          <w:tcPr>
            <w:tcW w:w="2557" w:type="dxa"/>
            <w:tcBorders>
              <w:top w:val="single" w:sz="4" w:space="0" w:color="002279"/>
              <w:left w:val="single" w:sz="4" w:space="0" w:color="002279"/>
              <w:bottom w:val="single" w:sz="4" w:space="0" w:color="002279"/>
              <w:right w:val="single" w:sz="4" w:space="0" w:color="002279"/>
            </w:tcBorders>
            <w:vAlign w:val="center"/>
          </w:tcPr>
          <w:p w14:paraId="711423ED" w14:textId="6F4E228D" w:rsidR="00DB0599" w:rsidRPr="00B71AB6" w:rsidRDefault="00972F47" w:rsidP="005F1841">
            <w:pPr>
              <w:spacing w:after="40" w:line="259" w:lineRule="auto"/>
              <w:jc w:val="center"/>
              <w:rPr>
                <w:rFonts w:ascii="Arial" w:hAnsi="Arial" w:cs="Arial"/>
                <w:szCs w:val="20"/>
              </w:rPr>
            </w:pPr>
            <w:r w:rsidRPr="00B71AB6">
              <w:rPr>
                <w:rFonts w:cstheme="minorHAnsi"/>
                <w:szCs w:val="20"/>
              </w:rPr>
              <w:t>$</w:t>
            </w:r>
            <w:r w:rsidR="00DB0599" w:rsidRPr="00B71AB6">
              <w:rPr>
                <w:rFonts w:cstheme="minorHAnsi"/>
                <w:szCs w:val="20"/>
              </w:rPr>
              <w:t>76.</w:t>
            </w:r>
            <w:r w:rsidR="00B71AB6" w:rsidRPr="00B71AB6">
              <w:rPr>
                <w:rFonts w:cstheme="minorHAnsi"/>
                <w:szCs w:val="20"/>
              </w:rPr>
              <w:t>18</w:t>
            </w:r>
          </w:p>
        </w:tc>
      </w:tr>
      <w:tr w:rsidR="00D91AAD" w:rsidRPr="002020E8" w14:paraId="5F6C4F49" w14:textId="77777777" w:rsidTr="00571A03">
        <w:tc>
          <w:tcPr>
            <w:tcW w:w="2806" w:type="dxa"/>
            <w:vMerge/>
            <w:tcBorders>
              <w:top w:val="single" w:sz="4" w:space="0" w:color="002279"/>
              <w:left w:val="single" w:sz="4" w:space="0" w:color="002279"/>
              <w:bottom w:val="single" w:sz="4" w:space="0" w:color="002279"/>
              <w:right w:val="single" w:sz="4" w:space="0" w:color="002279"/>
            </w:tcBorders>
          </w:tcPr>
          <w:p w14:paraId="6F93F666" w14:textId="77777777" w:rsidR="00D91AAD" w:rsidRPr="00360131" w:rsidRDefault="00D91AAD">
            <w:pPr>
              <w:spacing w:after="40"/>
              <w:rPr>
                <w:rFonts w:ascii="Arial" w:hAnsi="Arial" w:cs="Arial"/>
                <w:szCs w:val="20"/>
              </w:rPr>
            </w:pPr>
          </w:p>
        </w:tc>
        <w:tc>
          <w:tcPr>
            <w:tcW w:w="2807" w:type="dxa"/>
            <w:tcBorders>
              <w:top w:val="single" w:sz="4" w:space="0" w:color="002279"/>
              <w:left w:val="single" w:sz="4" w:space="0" w:color="002279"/>
              <w:bottom w:val="single" w:sz="4" w:space="0" w:color="002279"/>
              <w:right w:val="single" w:sz="4" w:space="0" w:color="002279"/>
            </w:tcBorders>
            <w:shd w:val="clear" w:color="auto" w:fill="D4D6DF"/>
          </w:tcPr>
          <w:p w14:paraId="1A608E03" w14:textId="0FC8AE49" w:rsidR="00D91AAD" w:rsidRPr="00360131" w:rsidRDefault="00D91AAD">
            <w:pPr>
              <w:spacing w:after="40" w:line="259" w:lineRule="auto"/>
              <w:rPr>
                <w:rFonts w:ascii="Arial" w:hAnsi="Arial" w:cs="Arial"/>
                <w:szCs w:val="20"/>
              </w:rPr>
            </w:pPr>
            <w:r w:rsidRPr="0097263A">
              <w:rPr>
                <w:rFonts w:cs="Arial"/>
                <w:szCs w:val="20"/>
              </w:rPr>
              <w:t xml:space="preserve">Potable </w:t>
            </w:r>
            <w:r w:rsidR="00CD77F3" w:rsidRPr="0097263A">
              <w:rPr>
                <w:rFonts w:cs="Arial"/>
                <w:szCs w:val="20"/>
              </w:rPr>
              <w:t>w</w:t>
            </w:r>
            <w:r w:rsidRPr="0097263A">
              <w:rPr>
                <w:rFonts w:cs="Arial"/>
                <w:szCs w:val="20"/>
              </w:rPr>
              <w:t xml:space="preserve">ater </w:t>
            </w:r>
            <w:r w:rsidR="00CD77F3" w:rsidRPr="0097263A">
              <w:rPr>
                <w:rFonts w:cs="Arial"/>
                <w:szCs w:val="20"/>
              </w:rPr>
              <w:t>i</w:t>
            </w:r>
            <w:r w:rsidRPr="0097263A">
              <w:rPr>
                <w:rFonts w:cs="Arial"/>
                <w:szCs w:val="20"/>
              </w:rPr>
              <w:t>mprovements</w:t>
            </w:r>
            <w:r w:rsidR="00E27178" w:rsidRPr="0097263A">
              <w:rPr>
                <w:rFonts w:cs="Arial"/>
                <w:szCs w:val="20"/>
              </w:rPr>
              <w:t>/</w:t>
            </w:r>
            <w:r w:rsidR="00CD77F3" w:rsidRPr="0097263A">
              <w:rPr>
                <w:rFonts w:cs="Arial"/>
                <w:szCs w:val="20"/>
              </w:rPr>
              <w:t>c</w:t>
            </w:r>
            <w:r w:rsidRPr="0097263A">
              <w:rPr>
                <w:rFonts w:cs="Arial"/>
                <w:szCs w:val="20"/>
              </w:rPr>
              <w:t>ompliance</w:t>
            </w:r>
          </w:p>
        </w:tc>
        <w:tc>
          <w:tcPr>
            <w:tcW w:w="2807" w:type="dxa"/>
            <w:tcBorders>
              <w:top w:val="single" w:sz="4" w:space="0" w:color="002279"/>
              <w:left w:val="single" w:sz="4" w:space="0" w:color="002279"/>
              <w:bottom w:val="single" w:sz="4" w:space="0" w:color="002279"/>
              <w:right w:val="single" w:sz="4" w:space="0" w:color="002279"/>
            </w:tcBorders>
            <w:shd w:val="clear" w:color="auto" w:fill="D4D6DF"/>
          </w:tcPr>
          <w:p w14:paraId="0534C350" w14:textId="094A13F7" w:rsidR="00D91AAD" w:rsidRPr="00360131" w:rsidRDefault="005951BF">
            <w:pPr>
              <w:spacing w:after="40" w:line="259" w:lineRule="auto"/>
              <w:rPr>
                <w:rFonts w:ascii="Arial" w:hAnsi="Arial" w:cs="Arial"/>
                <w:color w:val="FF0000"/>
                <w:szCs w:val="20"/>
              </w:rPr>
            </w:pPr>
            <w:r w:rsidRPr="0097263A">
              <w:rPr>
                <w:rFonts w:eastAsia="Times New Roman" w:cs="Arial"/>
                <w:szCs w:val="20"/>
                <w:lang w:eastAsia="en-AU"/>
              </w:rPr>
              <w:t xml:space="preserve">Maintain </w:t>
            </w:r>
            <w:r w:rsidR="00D91AAD" w:rsidRPr="0097263A">
              <w:rPr>
                <w:rFonts w:eastAsia="Times New Roman" w:cs="Arial"/>
                <w:szCs w:val="20"/>
                <w:lang w:eastAsia="en-AU"/>
              </w:rPr>
              <w:t xml:space="preserve">compliance with </w:t>
            </w:r>
            <w:r w:rsidR="00FA7B31" w:rsidRPr="0097263A">
              <w:rPr>
                <w:rFonts w:cs="Arial"/>
                <w:szCs w:val="20"/>
              </w:rPr>
              <w:t xml:space="preserve">safety </w:t>
            </w:r>
            <w:r w:rsidR="00D91AAD" w:rsidRPr="0097263A">
              <w:rPr>
                <w:rFonts w:cs="Arial"/>
                <w:szCs w:val="20"/>
              </w:rPr>
              <w:t>regulations</w:t>
            </w:r>
            <w:r w:rsidR="00FA7B31" w:rsidRPr="0097263A">
              <w:rPr>
                <w:rFonts w:cs="Arial"/>
                <w:szCs w:val="20"/>
              </w:rPr>
              <w:t xml:space="preserve"> and management</w:t>
            </w:r>
            <w:r w:rsidR="00D91AAD" w:rsidRPr="0097263A">
              <w:rPr>
                <w:rFonts w:cs="Arial"/>
                <w:szCs w:val="20"/>
              </w:rPr>
              <w:t>.</w:t>
            </w:r>
          </w:p>
        </w:tc>
        <w:tc>
          <w:tcPr>
            <w:tcW w:w="3057" w:type="dxa"/>
            <w:tcBorders>
              <w:top w:val="single" w:sz="4" w:space="0" w:color="002279"/>
              <w:left w:val="single" w:sz="4" w:space="0" w:color="002279"/>
              <w:bottom w:val="single" w:sz="4" w:space="0" w:color="002279"/>
              <w:right w:val="single" w:sz="4" w:space="0" w:color="002279"/>
            </w:tcBorders>
            <w:shd w:val="clear" w:color="auto" w:fill="D4D6DF"/>
          </w:tcPr>
          <w:p w14:paraId="2563E1E2" w14:textId="301C29FC" w:rsidR="00D91AAD" w:rsidRPr="00360131" w:rsidRDefault="00D91AAD">
            <w:pPr>
              <w:spacing w:after="40"/>
              <w:ind w:left="227" w:hanging="227"/>
              <w:rPr>
                <w:rFonts w:ascii="Arial" w:hAnsi="Arial" w:cs="Arial"/>
                <w:szCs w:val="20"/>
              </w:rPr>
            </w:pPr>
            <w:r w:rsidRPr="0097263A">
              <w:rPr>
                <w:rFonts w:cs="Arial"/>
                <w:szCs w:val="20"/>
              </w:rPr>
              <w:t xml:space="preserve">1. </w:t>
            </w:r>
            <w:r w:rsidRPr="0097263A">
              <w:rPr>
                <w:rFonts w:cs="Arial"/>
                <w:i/>
                <w:szCs w:val="20"/>
              </w:rPr>
              <w:t>Get the basics right, always.</w:t>
            </w:r>
            <w:r w:rsidRPr="0097263A">
              <w:rPr>
                <w:rFonts w:cs="Arial"/>
                <w:szCs w:val="20"/>
              </w:rPr>
              <w:t xml:space="preserve"> </w:t>
            </w:r>
          </w:p>
        </w:tc>
        <w:tc>
          <w:tcPr>
            <w:tcW w:w="2557" w:type="dxa"/>
            <w:tcBorders>
              <w:top w:val="single" w:sz="4" w:space="0" w:color="002279"/>
              <w:left w:val="single" w:sz="4" w:space="0" w:color="002279"/>
              <w:bottom w:val="single" w:sz="4" w:space="0" w:color="002279"/>
              <w:right w:val="single" w:sz="4" w:space="0" w:color="002279"/>
            </w:tcBorders>
            <w:shd w:val="clear" w:color="auto" w:fill="D4D6DF"/>
            <w:vAlign w:val="center"/>
          </w:tcPr>
          <w:p w14:paraId="03DD64AF" w14:textId="756C3DEA" w:rsidR="00D91AAD" w:rsidRPr="00360131" w:rsidRDefault="00972F47" w:rsidP="005F1841">
            <w:pPr>
              <w:spacing w:after="40" w:line="259" w:lineRule="auto"/>
              <w:jc w:val="center"/>
              <w:rPr>
                <w:rFonts w:ascii="Arial" w:hAnsi="Arial" w:cs="Arial"/>
                <w:szCs w:val="20"/>
              </w:rPr>
            </w:pPr>
            <w:r w:rsidRPr="00B71AB6">
              <w:rPr>
                <w:rFonts w:cstheme="minorHAnsi"/>
                <w:szCs w:val="20"/>
              </w:rPr>
              <w:t>$</w:t>
            </w:r>
            <w:r w:rsidR="00D91AAD" w:rsidRPr="00B71AB6">
              <w:rPr>
                <w:rFonts w:cstheme="minorHAnsi"/>
                <w:szCs w:val="20"/>
              </w:rPr>
              <w:t>67.</w:t>
            </w:r>
            <w:r w:rsidR="00B71AB6" w:rsidRPr="00B71AB6">
              <w:rPr>
                <w:rFonts w:cstheme="minorHAnsi"/>
                <w:szCs w:val="20"/>
              </w:rPr>
              <w:t>47</w:t>
            </w:r>
          </w:p>
        </w:tc>
      </w:tr>
      <w:tr w:rsidR="00D91AAD" w:rsidRPr="002020E8" w14:paraId="736A6FBB" w14:textId="77777777" w:rsidTr="00571A03">
        <w:trPr>
          <w:trHeight w:val="59"/>
        </w:trPr>
        <w:tc>
          <w:tcPr>
            <w:tcW w:w="2806" w:type="dxa"/>
            <w:vMerge/>
            <w:tcBorders>
              <w:top w:val="single" w:sz="4" w:space="0" w:color="002279"/>
              <w:left w:val="single" w:sz="4" w:space="0" w:color="002279"/>
              <w:bottom w:val="single" w:sz="4" w:space="0" w:color="002279"/>
              <w:right w:val="single" w:sz="4" w:space="0" w:color="002279"/>
            </w:tcBorders>
          </w:tcPr>
          <w:p w14:paraId="592A88D2" w14:textId="77777777" w:rsidR="00D91AAD" w:rsidRPr="00360131" w:rsidRDefault="00D91AAD">
            <w:pPr>
              <w:spacing w:after="40"/>
              <w:rPr>
                <w:rFonts w:ascii="Arial" w:hAnsi="Arial" w:cs="Arial"/>
                <w:szCs w:val="20"/>
              </w:rPr>
            </w:pPr>
          </w:p>
        </w:tc>
        <w:tc>
          <w:tcPr>
            <w:tcW w:w="2807" w:type="dxa"/>
            <w:tcBorders>
              <w:top w:val="single" w:sz="4" w:space="0" w:color="002279"/>
              <w:left w:val="single" w:sz="4" w:space="0" w:color="002279"/>
              <w:bottom w:val="single" w:sz="4" w:space="0" w:color="002279"/>
              <w:right w:val="single" w:sz="4" w:space="0" w:color="002279"/>
            </w:tcBorders>
          </w:tcPr>
          <w:p w14:paraId="4FCFD04E" w14:textId="4F88B5A1" w:rsidR="00D91AAD" w:rsidRPr="00360131" w:rsidRDefault="00D91AAD">
            <w:pPr>
              <w:spacing w:after="40" w:line="259" w:lineRule="auto"/>
              <w:rPr>
                <w:rFonts w:ascii="Arial" w:hAnsi="Arial" w:cs="Arial"/>
                <w:szCs w:val="20"/>
              </w:rPr>
            </w:pPr>
            <w:r w:rsidRPr="0097263A">
              <w:rPr>
                <w:rFonts w:cs="Arial"/>
                <w:szCs w:val="20"/>
              </w:rPr>
              <w:t xml:space="preserve">Potable </w:t>
            </w:r>
            <w:r w:rsidR="00CD77F3" w:rsidRPr="0097263A">
              <w:rPr>
                <w:rFonts w:cs="Arial"/>
                <w:szCs w:val="20"/>
              </w:rPr>
              <w:t>w</w:t>
            </w:r>
            <w:r w:rsidRPr="0097263A">
              <w:rPr>
                <w:rFonts w:cs="Arial"/>
                <w:szCs w:val="20"/>
              </w:rPr>
              <w:t xml:space="preserve">ater </w:t>
            </w:r>
            <w:r w:rsidR="00CD77F3" w:rsidRPr="0097263A">
              <w:rPr>
                <w:rFonts w:cs="Arial"/>
                <w:szCs w:val="20"/>
              </w:rPr>
              <w:t>q</w:t>
            </w:r>
            <w:r w:rsidRPr="0097263A">
              <w:rPr>
                <w:rFonts w:cs="Arial"/>
                <w:szCs w:val="20"/>
              </w:rPr>
              <w:t>uality</w:t>
            </w:r>
          </w:p>
        </w:tc>
        <w:tc>
          <w:tcPr>
            <w:tcW w:w="2807" w:type="dxa"/>
            <w:tcBorders>
              <w:top w:val="single" w:sz="4" w:space="0" w:color="002279"/>
              <w:left w:val="single" w:sz="4" w:space="0" w:color="002279"/>
              <w:bottom w:val="single" w:sz="4" w:space="0" w:color="002279"/>
              <w:right w:val="single" w:sz="4" w:space="0" w:color="002279"/>
            </w:tcBorders>
          </w:tcPr>
          <w:p w14:paraId="72772F60" w14:textId="20D2D43A" w:rsidR="00D91AAD" w:rsidRPr="00360131" w:rsidRDefault="005951BF">
            <w:pPr>
              <w:spacing w:after="40" w:line="259" w:lineRule="auto"/>
              <w:rPr>
                <w:rFonts w:ascii="Arial" w:hAnsi="Arial" w:cs="Arial"/>
                <w:szCs w:val="20"/>
              </w:rPr>
            </w:pPr>
            <w:r w:rsidRPr="0097263A">
              <w:rPr>
                <w:rFonts w:eastAsia="Times New Roman" w:cs="Arial"/>
                <w:szCs w:val="20"/>
                <w:lang w:eastAsia="en-AU"/>
              </w:rPr>
              <w:t xml:space="preserve">Maintain </w:t>
            </w:r>
            <w:r w:rsidR="00D91AAD" w:rsidRPr="0097263A">
              <w:rPr>
                <w:rFonts w:eastAsia="Times New Roman" w:cs="Arial"/>
                <w:szCs w:val="20"/>
                <w:lang w:eastAsia="en-AU"/>
              </w:rPr>
              <w:t xml:space="preserve">compliance with Safe Drinking Water </w:t>
            </w:r>
            <w:r w:rsidR="00644EF3" w:rsidRPr="0097263A">
              <w:rPr>
                <w:rFonts w:eastAsia="Times New Roman" w:cs="Arial"/>
                <w:szCs w:val="20"/>
                <w:lang w:eastAsia="en-AU"/>
              </w:rPr>
              <w:t>R</w:t>
            </w:r>
            <w:r w:rsidR="00D91AAD" w:rsidRPr="0097263A">
              <w:rPr>
                <w:rFonts w:eastAsia="Times New Roman" w:cs="Arial"/>
                <w:szCs w:val="20"/>
                <w:lang w:eastAsia="en-AU"/>
              </w:rPr>
              <w:t xml:space="preserve">egulations. </w:t>
            </w:r>
          </w:p>
        </w:tc>
        <w:tc>
          <w:tcPr>
            <w:tcW w:w="3057" w:type="dxa"/>
            <w:tcBorders>
              <w:top w:val="single" w:sz="4" w:space="0" w:color="002279"/>
              <w:left w:val="single" w:sz="4" w:space="0" w:color="002279"/>
              <w:bottom w:val="single" w:sz="4" w:space="0" w:color="002279"/>
              <w:right w:val="single" w:sz="4" w:space="0" w:color="002279"/>
            </w:tcBorders>
          </w:tcPr>
          <w:p w14:paraId="61617D6B" w14:textId="77777777" w:rsidR="00D91AAD" w:rsidRPr="00360131" w:rsidRDefault="00D91AAD">
            <w:pPr>
              <w:spacing w:after="40"/>
              <w:ind w:left="227" w:hanging="227"/>
              <w:rPr>
                <w:rFonts w:ascii="Arial" w:hAnsi="Arial" w:cs="Arial"/>
                <w:szCs w:val="20"/>
              </w:rPr>
            </w:pPr>
            <w:r w:rsidRPr="0097263A">
              <w:rPr>
                <w:rFonts w:cs="Arial"/>
                <w:szCs w:val="20"/>
              </w:rPr>
              <w:t xml:space="preserve">1. </w:t>
            </w:r>
            <w:r w:rsidRPr="0097263A">
              <w:rPr>
                <w:rFonts w:cs="Arial"/>
                <w:i/>
                <w:szCs w:val="20"/>
              </w:rPr>
              <w:t>Get the basics right, always.</w:t>
            </w:r>
          </w:p>
        </w:tc>
        <w:tc>
          <w:tcPr>
            <w:tcW w:w="2557" w:type="dxa"/>
            <w:tcBorders>
              <w:top w:val="single" w:sz="4" w:space="0" w:color="002279"/>
              <w:left w:val="single" w:sz="4" w:space="0" w:color="002279"/>
              <w:bottom w:val="single" w:sz="4" w:space="0" w:color="002279"/>
              <w:right w:val="single" w:sz="4" w:space="0" w:color="002279"/>
            </w:tcBorders>
            <w:vAlign w:val="center"/>
          </w:tcPr>
          <w:p w14:paraId="74156256" w14:textId="3C525893" w:rsidR="00D91AAD" w:rsidRPr="00360131" w:rsidRDefault="00972F47" w:rsidP="005F1841">
            <w:pPr>
              <w:spacing w:after="40" w:line="259" w:lineRule="auto"/>
              <w:jc w:val="center"/>
              <w:rPr>
                <w:rFonts w:ascii="Arial" w:hAnsi="Arial" w:cs="Arial"/>
                <w:szCs w:val="20"/>
              </w:rPr>
            </w:pPr>
            <w:r w:rsidRPr="00B71AB6">
              <w:rPr>
                <w:rFonts w:cstheme="minorHAnsi"/>
                <w:szCs w:val="20"/>
              </w:rPr>
              <w:t>$</w:t>
            </w:r>
            <w:r w:rsidR="00D91AAD" w:rsidRPr="00B71AB6">
              <w:rPr>
                <w:rFonts w:cstheme="minorHAnsi"/>
                <w:szCs w:val="20"/>
              </w:rPr>
              <w:t>63.</w:t>
            </w:r>
            <w:r w:rsidR="00B71AB6" w:rsidRPr="00B71AB6">
              <w:rPr>
                <w:rFonts w:cstheme="minorHAnsi"/>
                <w:szCs w:val="20"/>
              </w:rPr>
              <w:t>14</w:t>
            </w:r>
          </w:p>
        </w:tc>
      </w:tr>
      <w:tr w:rsidR="00D91AAD" w:rsidRPr="002020E8" w14:paraId="49944BBC" w14:textId="77777777" w:rsidTr="00571A03">
        <w:tc>
          <w:tcPr>
            <w:tcW w:w="2806" w:type="dxa"/>
            <w:vMerge/>
            <w:tcBorders>
              <w:top w:val="single" w:sz="4" w:space="0" w:color="002279"/>
              <w:left w:val="single" w:sz="4" w:space="0" w:color="002279"/>
              <w:bottom w:val="single" w:sz="4" w:space="0" w:color="002279"/>
              <w:right w:val="single" w:sz="4" w:space="0" w:color="002279"/>
            </w:tcBorders>
          </w:tcPr>
          <w:p w14:paraId="554D47C0" w14:textId="77777777" w:rsidR="00D91AAD" w:rsidRPr="00360131" w:rsidRDefault="00D91AAD">
            <w:pPr>
              <w:spacing w:after="40"/>
              <w:rPr>
                <w:rFonts w:ascii="Arial" w:hAnsi="Arial" w:cs="Arial"/>
                <w:szCs w:val="20"/>
              </w:rPr>
            </w:pPr>
          </w:p>
        </w:tc>
        <w:tc>
          <w:tcPr>
            <w:tcW w:w="2807" w:type="dxa"/>
            <w:tcBorders>
              <w:top w:val="single" w:sz="4" w:space="0" w:color="002279"/>
              <w:left w:val="single" w:sz="4" w:space="0" w:color="002279"/>
              <w:bottom w:val="single" w:sz="4" w:space="0" w:color="002279"/>
              <w:right w:val="single" w:sz="4" w:space="0" w:color="002279"/>
            </w:tcBorders>
            <w:shd w:val="clear" w:color="auto" w:fill="D4D6DF"/>
          </w:tcPr>
          <w:p w14:paraId="10C68378" w14:textId="5DCC8C02" w:rsidR="00D91AAD" w:rsidRPr="00360131" w:rsidRDefault="00D91AAD">
            <w:pPr>
              <w:spacing w:after="40" w:line="259" w:lineRule="auto"/>
              <w:rPr>
                <w:rFonts w:ascii="Arial" w:hAnsi="Arial" w:cs="Arial"/>
                <w:szCs w:val="20"/>
              </w:rPr>
            </w:pPr>
            <w:r w:rsidRPr="0097263A">
              <w:rPr>
                <w:rFonts w:cs="Arial"/>
                <w:szCs w:val="20"/>
              </w:rPr>
              <w:t xml:space="preserve">Potable </w:t>
            </w:r>
            <w:r w:rsidR="00F63F67" w:rsidRPr="0097263A">
              <w:rPr>
                <w:rFonts w:cs="Arial"/>
                <w:szCs w:val="20"/>
              </w:rPr>
              <w:t>w</w:t>
            </w:r>
            <w:r w:rsidRPr="0097263A">
              <w:rPr>
                <w:rFonts w:cs="Arial"/>
                <w:szCs w:val="20"/>
              </w:rPr>
              <w:t xml:space="preserve">ater </w:t>
            </w:r>
            <w:r w:rsidR="00F63F67" w:rsidRPr="0097263A">
              <w:rPr>
                <w:rFonts w:cs="Arial"/>
                <w:szCs w:val="20"/>
              </w:rPr>
              <w:t>r</w:t>
            </w:r>
            <w:r w:rsidRPr="0097263A">
              <w:rPr>
                <w:rFonts w:cs="Arial"/>
                <w:szCs w:val="20"/>
              </w:rPr>
              <w:t>eliability</w:t>
            </w:r>
          </w:p>
        </w:tc>
        <w:tc>
          <w:tcPr>
            <w:tcW w:w="2807" w:type="dxa"/>
            <w:tcBorders>
              <w:top w:val="single" w:sz="4" w:space="0" w:color="002279"/>
              <w:left w:val="single" w:sz="4" w:space="0" w:color="002279"/>
              <w:bottom w:val="single" w:sz="4" w:space="0" w:color="002279"/>
              <w:right w:val="single" w:sz="4" w:space="0" w:color="002279"/>
            </w:tcBorders>
            <w:shd w:val="clear" w:color="auto" w:fill="D4D6DF"/>
          </w:tcPr>
          <w:p w14:paraId="2AAE4998" w14:textId="0FB81E43" w:rsidR="00D91AAD" w:rsidRPr="00360131" w:rsidRDefault="00D91AAD">
            <w:pPr>
              <w:spacing w:after="40" w:line="259" w:lineRule="auto"/>
              <w:rPr>
                <w:rFonts w:ascii="Arial" w:eastAsia="Times New Roman" w:hAnsi="Arial" w:cs="Arial"/>
                <w:szCs w:val="20"/>
                <w:lang w:eastAsia="en-AU"/>
              </w:rPr>
            </w:pPr>
            <w:r w:rsidRPr="0097263A">
              <w:rPr>
                <w:rFonts w:eastAsia="Times New Roman" w:cs="Arial"/>
                <w:szCs w:val="20"/>
                <w:lang w:eastAsia="en-AU"/>
              </w:rPr>
              <w:t>Maintain drinking water network service standards for customer interruptions</w:t>
            </w:r>
            <w:r w:rsidR="00F63F67" w:rsidRPr="0097263A">
              <w:rPr>
                <w:rFonts w:eastAsia="Times New Roman" w:cs="Arial"/>
                <w:szCs w:val="20"/>
                <w:lang w:eastAsia="en-AU"/>
              </w:rPr>
              <w:t>,</w:t>
            </w:r>
            <w:r w:rsidRPr="0097263A">
              <w:rPr>
                <w:rFonts w:eastAsia="Times New Roman" w:cs="Arial"/>
                <w:szCs w:val="20"/>
                <w:lang w:eastAsia="en-AU"/>
              </w:rPr>
              <w:t xml:space="preserve"> by planned and reactive operations and maintenance activities. </w:t>
            </w:r>
          </w:p>
        </w:tc>
        <w:tc>
          <w:tcPr>
            <w:tcW w:w="3057" w:type="dxa"/>
            <w:tcBorders>
              <w:top w:val="single" w:sz="4" w:space="0" w:color="002279"/>
              <w:left w:val="single" w:sz="4" w:space="0" w:color="002279"/>
              <w:bottom w:val="single" w:sz="4" w:space="0" w:color="002279"/>
              <w:right w:val="single" w:sz="4" w:space="0" w:color="002279"/>
            </w:tcBorders>
            <w:shd w:val="clear" w:color="auto" w:fill="D4D6DF"/>
          </w:tcPr>
          <w:p w14:paraId="62C04BDE" w14:textId="5DF419D5" w:rsidR="00D91AAD" w:rsidRPr="00360131" w:rsidRDefault="00D91AAD">
            <w:pPr>
              <w:spacing w:after="40"/>
              <w:ind w:left="227" w:hanging="227"/>
              <w:rPr>
                <w:rFonts w:ascii="Arial" w:hAnsi="Arial" w:cs="Arial"/>
                <w:szCs w:val="20"/>
              </w:rPr>
            </w:pPr>
            <w:r w:rsidRPr="0097263A">
              <w:rPr>
                <w:rFonts w:cs="Arial"/>
                <w:szCs w:val="20"/>
              </w:rPr>
              <w:t xml:space="preserve">1. </w:t>
            </w:r>
            <w:r w:rsidRPr="0097263A">
              <w:rPr>
                <w:rFonts w:cs="Arial"/>
                <w:i/>
                <w:szCs w:val="20"/>
              </w:rPr>
              <w:t>Get the basics right, always.</w:t>
            </w:r>
            <w:r w:rsidRPr="0097263A">
              <w:rPr>
                <w:rFonts w:cs="Arial"/>
                <w:szCs w:val="20"/>
              </w:rPr>
              <w:t xml:space="preserve"> </w:t>
            </w:r>
          </w:p>
        </w:tc>
        <w:tc>
          <w:tcPr>
            <w:tcW w:w="2557" w:type="dxa"/>
            <w:tcBorders>
              <w:top w:val="single" w:sz="4" w:space="0" w:color="002279"/>
              <w:left w:val="single" w:sz="4" w:space="0" w:color="002279"/>
              <w:bottom w:val="single" w:sz="4" w:space="0" w:color="002279"/>
              <w:right w:val="single" w:sz="4" w:space="0" w:color="002279"/>
            </w:tcBorders>
            <w:shd w:val="clear" w:color="auto" w:fill="D4D6DF"/>
            <w:vAlign w:val="center"/>
          </w:tcPr>
          <w:p w14:paraId="062B637C" w14:textId="723D22E9" w:rsidR="00D91AAD" w:rsidRPr="00360131" w:rsidRDefault="00972F47" w:rsidP="005F1841">
            <w:pPr>
              <w:spacing w:after="40" w:line="259" w:lineRule="auto"/>
              <w:jc w:val="center"/>
              <w:rPr>
                <w:rFonts w:ascii="Arial" w:hAnsi="Arial" w:cs="Arial"/>
                <w:szCs w:val="20"/>
              </w:rPr>
            </w:pPr>
            <w:r w:rsidRPr="00B71AB6">
              <w:rPr>
                <w:rFonts w:cstheme="minorHAnsi"/>
                <w:szCs w:val="20"/>
              </w:rPr>
              <w:t>$</w:t>
            </w:r>
            <w:r w:rsidR="00D91AAD" w:rsidRPr="00B71AB6">
              <w:rPr>
                <w:rFonts w:cstheme="minorHAnsi"/>
                <w:szCs w:val="20"/>
              </w:rPr>
              <w:t>57.</w:t>
            </w:r>
            <w:r w:rsidR="00B71AB6" w:rsidRPr="00B71AB6">
              <w:rPr>
                <w:rFonts w:cstheme="minorHAnsi"/>
                <w:szCs w:val="20"/>
              </w:rPr>
              <w:t>57</w:t>
            </w:r>
          </w:p>
        </w:tc>
      </w:tr>
      <w:tr w:rsidR="00D91AAD" w:rsidRPr="002020E8" w14:paraId="75BE7581" w14:textId="77777777" w:rsidTr="00571A03">
        <w:tc>
          <w:tcPr>
            <w:tcW w:w="2806" w:type="dxa"/>
            <w:vMerge w:val="restart"/>
            <w:tcBorders>
              <w:top w:val="single" w:sz="4" w:space="0" w:color="002279"/>
              <w:left w:val="single" w:sz="4" w:space="0" w:color="002279"/>
              <w:bottom w:val="single" w:sz="4" w:space="0" w:color="002279"/>
              <w:right w:val="single" w:sz="4" w:space="0" w:color="002279"/>
            </w:tcBorders>
            <w:shd w:val="clear" w:color="auto" w:fill="D4D6DF"/>
          </w:tcPr>
          <w:p w14:paraId="592A5445" w14:textId="77777777" w:rsidR="00D91AAD" w:rsidRPr="00360131" w:rsidRDefault="00D91AAD">
            <w:pPr>
              <w:spacing w:after="40"/>
              <w:rPr>
                <w:rFonts w:ascii="Arial" w:hAnsi="Arial" w:cs="Arial"/>
                <w:szCs w:val="20"/>
                <w:shd w:val="clear" w:color="auto" w:fill="FFFFFF"/>
              </w:rPr>
            </w:pPr>
            <w:r w:rsidRPr="0097263A">
              <w:rPr>
                <w:rFonts w:cs="Arial"/>
                <w:b/>
                <w:szCs w:val="20"/>
                <w:shd w:val="clear" w:color="auto" w:fill="FFFFFF"/>
              </w:rPr>
              <w:t>Corporate</w:t>
            </w:r>
          </w:p>
        </w:tc>
        <w:tc>
          <w:tcPr>
            <w:tcW w:w="2807" w:type="dxa"/>
            <w:tcBorders>
              <w:top w:val="single" w:sz="4" w:space="0" w:color="002279"/>
              <w:left w:val="single" w:sz="4" w:space="0" w:color="002279"/>
              <w:bottom w:val="single" w:sz="4" w:space="0" w:color="002279"/>
              <w:right w:val="single" w:sz="4" w:space="0" w:color="002279"/>
            </w:tcBorders>
            <w:shd w:val="clear" w:color="auto" w:fill="D4D6DF"/>
          </w:tcPr>
          <w:p w14:paraId="47EFC743" w14:textId="667CECA6" w:rsidR="00D91AAD" w:rsidRPr="00571A03" w:rsidRDefault="00571A03">
            <w:pPr>
              <w:spacing w:after="40"/>
              <w:rPr>
                <w:rFonts w:ascii="Arial" w:hAnsi="Arial" w:cs="Arial"/>
                <w:szCs w:val="20"/>
                <w:shd w:val="clear" w:color="auto" w:fill="FFFFFF"/>
              </w:rPr>
            </w:pPr>
            <w:r>
              <w:rPr>
                <w:rFonts w:cs="Arial"/>
                <w:szCs w:val="20"/>
              </w:rPr>
              <w:t>Information technology (IT)</w:t>
            </w:r>
            <w:r>
              <w:rPr>
                <w:rFonts w:cs="Arial"/>
                <w:szCs w:val="20"/>
                <w:shd w:val="clear" w:color="auto" w:fill="FFFFFF"/>
              </w:rPr>
              <w:br/>
            </w:r>
          </w:p>
        </w:tc>
        <w:tc>
          <w:tcPr>
            <w:tcW w:w="2807" w:type="dxa"/>
            <w:tcBorders>
              <w:top w:val="single" w:sz="4" w:space="0" w:color="002279"/>
              <w:left w:val="single" w:sz="4" w:space="0" w:color="002279"/>
              <w:bottom w:val="single" w:sz="4" w:space="0" w:color="002279"/>
              <w:right w:val="single" w:sz="4" w:space="0" w:color="002279"/>
            </w:tcBorders>
            <w:shd w:val="clear" w:color="auto" w:fill="D4D6DF"/>
          </w:tcPr>
          <w:p w14:paraId="54BC3A44" w14:textId="53248744" w:rsidR="00D91AAD" w:rsidRPr="00571A03" w:rsidRDefault="00D91AAD">
            <w:pPr>
              <w:spacing w:after="40"/>
              <w:rPr>
                <w:rFonts w:ascii="Arial" w:eastAsia="Times New Roman" w:hAnsi="Arial" w:cs="Arial"/>
                <w:szCs w:val="20"/>
                <w:lang w:eastAsia="en-AU"/>
              </w:rPr>
            </w:pPr>
            <w:r w:rsidRPr="00571A03">
              <w:rPr>
                <w:rFonts w:eastAsia="Times New Roman" w:cs="Arial"/>
                <w:szCs w:val="20"/>
                <w:lang w:eastAsia="en-AU"/>
              </w:rPr>
              <w:t xml:space="preserve">Maintain and upgrade our </w:t>
            </w:r>
            <w:r w:rsidR="00812302" w:rsidRPr="00571A03">
              <w:rPr>
                <w:rFonts w:eastAsia="Times New Roman" w:cs="Arial"/>
                <w:szCs w:val="20"/>
                <w:lang w:eastAsia="en-AU"/>
              </w:rPr>
              <w:t>IT</w:t>
            </w:r>
            <w:r w:rsidRPr="00571A03">
              <w:rPr>
                <w:rFonts w:eastAsia="Times New Roman" w:cs="Arial"/>
                <w:szCs w:val="20"/>
                <w:lang w:eastAsia="en-AU"/>
              </w:rPr>
              <w:t xml:space="preserve"> assets to deliver </w:t>
            </w:r>
            <w:r w:rsidR="00722074" w:rsidRPr="00571A03">
              <w:rPr>
                <w:rFonts w:eastAsia="Times New Roman" w:cs="Arial"/>
                <w:szCs w:val="20"/>
                <w:lang w:eastAsia="en-AU"/>
              </w:rPr>
              <w:t xml:space="preserve">more </w:t>
            </w:r>
            <w:r w:rsidR="00FB176B" w:rsidRPr="00571A03">
              <w:rPr>
                <w:rFonts w:eastAsia="Times New Roman" w:cs="Arial"/>
                <w:szCs w:val="20"/>
                <w:lang w:eastAsia="en-AU"/>
              </w:rPr>
              <w:t>cost</w:t>
            </w:r>
            <w:r w:rsidR="00216BEC" w:rsidRPr="00571A03">
              <w:rPr>
                <w:rFonts w:eastAsia="Times New Roman" w:cs="Arial"/>
                <w:szCs w:val="20"/>
                <w:lang w:eastAsia="en-AU"/>
              </w:rPr>
              <w:t>-</w:t>
            </w:r>
            <w:r w:rsidR="00FB176B" w:rsidRPr="00571A03">
              <w:rPr>
                <w:rFonts w:eastAsia="Times New Roman" w:cs="Arial"/>
                <w:szCs w:val="20"/>
                <w:lang w:eastAsia="en-AU"/>
              </w:rPr>
              <w:t>effective</w:t>
            </w:r>
            <w:r w:rsidR="00DB7172" w:rsidRPr="00571A03">
              <w:rPr>
                <w:rFonts w:eastAsia="Times New Roman" w:cs="Arial"/>
                <w:szCs w:val="20"/>
                <w:lang w:eastAsia="en-AU"/>
              </w:rPr>
              <w:t xml:space="preserve"> services to our customers</w:t>
            </w:r>
            <w:r w:rsidR="00722074" w:rsidRPr="00571A03">
              <w:rPr>
                <w:rFonts w:eastAsia="Times New Roman" w:cs="Arial"/>
                <w:szCs w:val="20"/>
                <w:lang w:eastAsia="en-AU"/>
              </w:rPr>
              <w:t xml:space="preserve">, </w:t>
            </w:r>
            <w:r w:rsidRPr="00571A03">
              <w:rPr>
                <w:rFonts w:eastAsia="Times New Roman" w:cs="Arial"/>
                <w:szCs w:val="20"/>
                <w:lang w:eastAsia="en-AU"/>
              </w:rPr>
              <w:t xml:space="preserve">increase productivity, minimise </w:t>
            </w:r>
            <w:r w:rsidR="00722074" w:rsidRPr="00571A03">
              <w:rPr>
                <w:rFonts w:eastAsia="Times New Roman" w:cs="Arial"/>
                <w:szCs w:val="20"/>
                <w:lang w:eastAsia="en-AU"/>
              </w:rPr>
              <w:t xml:space="preserve">operational </w:t>
            </w:r>
            <w:r w:rsidRPr="00571A03">
              <w:rPr>
                <w:rFonts w:eastAsia="Times New Roman" w:cs="Arial"/>
                <w:szCs w:val="20"/>
                <w:lang w:eastAsia="en-AU"/>
              </w:rPr>
              <w:t>costs, and make operations more efficient.</w:t>
            </w:r>
          </w:p>
        </w:tc>
        <w:tc>
          <w:tcPr>
            <w:tcW w:w="3057" w:type="dxa"/>
            <w:tcBorders>
              <w:top w:val="single" w:sz="4" w:space="0" w:color="002279"/>
              <w:left w:val="single" w:sz="4" w:space="0" w:color="002279"/>
              <w:bottom w:val="single" w:sz="4" w:space="0" w:color="002279"/>
              <w:right w:val="single" w:sz="4" w:space="0" w:color="002279"/>
            </w:tcBorders>
            <w:shd w:val="clear" w:color="auto" w:fill="D4D6DF"/>
          </w:tcPr>
          <w:p w14:paraId="5414363E" w14:textId="006F6E82" w:rsidR="00D91AAD" w:rsidRPr="00571A03" w:rsidRDefault="00571A03">
            <w:pPr>
              <w:spacing w:after="40"/>
              <w:ind w:left="227" w:hanging="227"/>
              <w:rPr>
                <w:rFonts w:ascii="Arial" w:hAnsi="Arial" w:cs="Arial"/>
                <w:szCs w:val="20"/>
                <w:shd w:val="clear" w:color="auto" w:fill="FFFFFF"/>
              </w:rPr>
            </w:pPr>
            <w:r w:rsidRPr="0097263A">
              <w:rPr>
                <w:rFonts w:cs="Arial"/>
                <w:szCs w:val="20"/>
              </w:rPr>
              <w:t xml:space="preserve">1. </w:t>
            </w:r>
            <w:r w:rsidRPr="0097263A">
              <w:rPr>
                <w:rFonts w:cs="Arial"/>
                <w:i/>
                <w:szCs w:val="20"/>
              </w:rPr>
              <w:t>Get the basics right, always.</w:t>
            </w:r>
          </w:p>
        </w:tc>
        <w:tc>
          <w:tcPr>
            <w:tcW w:w="2557" w:type="dxa"/>
            <w:tcBorders>
              <w:top w:val="single" w:sz="4" w:space="0" w:color="002279"/>
              <w:left w:val="single" w:sz="4" w:space="0" w:color="002279"/>
              <w:bottom w:val="single" w:sz="4" w:space="0" w:color="002279"/>
              <w:right w:val="single" w:sz="4" w:space="0" w:color="002279"/>
            </w:tcBorders>
            <w:shd w:val="clear" w:color="auto" w:fill="D4D6DF"/>
            <w:vAlign w:val="center"/>
          </w:tcPr>
          <w:p w14:paraId="2671C5D0" w14:textId="48B8FE08" w:rsidR="00D91AAD" w:rsidRPr="00360131" w:rsidRDefault="00972F47" w:rsidP="005F1841">
            <w:pPr>
              <w:spacing w:after="40"/>
              <w:jc w:val="center"/>
              <w:rPr>
                <w:rFonts w:ascii="Arial" w:hAnsi="Arial" w:cs="Arial"/>
                <w:szCs w:val="20"/>
                <w:shd w:val="clear" w:color="auto" w:fill="FFFFFF"/>
              </w:rPr>
            </w:pPr>
            <w:r w:rsidRPr="00B71AB6">
              <w:rPr>
                <w:rFonts w:cstheme="minorHAnsi"/>
                <w:szCs w:val="20"/>
              </w:rPr>
              <w:t>$</w:t>
            </w:r>
            <w:r w:rsidR="00D91AAD" w:rsidRPr="00B71AB6">
              <w:rPr>
                <w:rFonts w:cstheme="minorHAnsi"/>
                <w:szCs w:val="20"/>
              </w:rPr>
              <w:t>142.</w:t>
            </w:r>
            <w:r w:rsidR="00B71AB6" w:rsidRPr="00B71AB6">
              <w:rPr>
                <w:rFonts w:cstheme="minorHAnsi"/>
                <w:szCs w:val="20"/>
              </w:rPr>
              <w:t>52</w:t>
            </w:r>
          </w:p>
        </w:tc>
      </w:tr>
      <w:tr w:rsidR="00D91AAD" w:rsidRPr="002020E8" w14:paraId="3331BBDE" w14:textId="77777777" w:rsidTr="00571A03">
        <w:trPr>
          <w:trHeight w:val="541"/>
        </w:trPr>
        <w:tc>
          <w:tcPr>
            <w:tcW w:w="2806" w:type="dxa"/>
            <w:vMerge/>
            <w:tcBorders>
              <w:top w:val="single" w:sz="4" w:space="0" w:color="002279"/>
              <w:left w:val="single" w:sz="4" w:space="0" w:color="002279"/>
              <w:bottom w:val="single" w:sz="4" w:space="0" w:color="002279"/>
              <w:right w:val="single" w:sz="4" w:space="0" w:color="002279"/>
            </w:tcBorders>
          </w:tcPr>
          <w:p w14:paraId="26AED7DE" w14:textId="77777777" w:rsidR="00D91AAD" w:rsidRPr="00360131" w:rsidRDefault="00D91AAD">
            <w:pPr>
              <w:spacing w:after="40"/>
              <w:rPr>
                <w:rFonts w:ascii="Arial" w:hAnsi="Arial" w:cs="Arial"/>
                <w:color w:val="FFFFFF" w:themeColor="background1"/>
                <w:szCs w:val="20"/>
              </w:rPr>
            </w:pPr>
          </w:p>
        </w:tc>
        <w:tc>
          <w:tcPr>
            <w:tcW w:w="2807" w:type="dxa"/>
            <w:tcBorders>
              <w:top w:val="single" w:sz="4" w:space="0" w:color="002279"/>
              <w:left w:val="single" w:sz="4" w:space="0" w:color="002279"/>
              <w:bottom w:val="single" w:sz="4" w:space="0" w:color="002279"/>
              <w:right w:val="single" w:sz="4" w:space="0" w:color="002279"/>
            </w:tcBorders>
          </w:tcPr>
          <w:p w14:paraId="1C9C18D2" w14:textId="77B57E5F" w:rsidR="00D91AAD" w:rsidRPr="00360131" w:rsidRDefault="00D91AAD">
            <w:pPr>
              <w:spacing w:after="40"/>
              <w:rPr>
                <w:rFonts w:ascii="Arial" w:hAnsi="Arial" w:cs="Arial"/>
                <w:color w:val="FFFFFF" w:themeColor="background1"/>
                <w:szCs w:val="20"/>
              </w:rPr>
            </w:pPr>
            <w:r w:rsidRPr="0097263A">
              <w:rPr>
                <w:rFonts w:cs="Arial"/>
                <w:color w:val="000000"/>
                <w:szCs w:val="20"/>
              </w:rPr>
              <w:t xml:space="preserve">Motor </w:t>
            </w:r>
            <w:r w:rsidR="00812302" w:rsidRPr="0097263A">
              <w:rPr>
                <w:rFonts w:cs="Arial"/>
                <w:color w:val="000000"/>
                <w:szCs w:val="20"/>
              </w:rPr>
              <w:t>v</w:t>
            </w:r>
            <w:r w:rsidRPr="0097263A">
              <w:rPr>
                <w:rFonts w:cs="Arial"/>
                <w:color w:val="000000"/>
                <w:szCs w:val="20"/>
              </w:rPr>
              <w:t xml:space="preserve">ehicle </w:t>
            </w:r>
            <w:r w:rsidR="00812302" w:rsidRPr="0097263A">
              <w:rPr>
                <w:rFonts w:cs="Arial"/>
                <w:color w:val="000000"/>
                <w:szCs w:val="20"/>
              </w:rPr>
              <w:t>f</w:t>
            </w:r>
            <w:r w:rsidRPr="0097263A">
              <w:rPr>
                <w:rFonts w:cs="Arial"/>
                <w:color w:val="000000"/>
                <w:szCs w:val="20"/>
              </w:rPr>
              <w:t>leet</w:t>
            </w:r>
          </w:p>
        </w:tc>
        <w:tc>
          <w:tcPr>
            <w:tcW w:w="2807" w:type="dxa"/>
            <w:tcBorders>
              <w:top w:val="single" w:sz="4" w:space="0" w:color="002279"/>
              <w:left w:val="single" w:sz="4" w:space="0" w:color="002279"/>
              <w:bottom w:val="single" w:sz="4" w:space="0" w:color="002279"/>
              <w:right w:val="single" w:sz="4" w:space="0" w:color="002279"/>
            </w:tcBorders>
          </w:tcPr>
          <w:p w14:paraId="2B70FA78" w14:textId="2224EA2F" w:rsidR="00D91AAD" w:rsidRPr="00360131" w:rsidRDefault="00D91AAD">
            <w:pPr>
              <w:spacing w:after="40"/>
              <w:rPr>
                <w:rFonts w:ascii="Arial" w:eastAsia="Times New Roman" w:hAnsi="Arial" w:cs="Arial"/>
                <w:szCs w:val="20"/>
                <w:lang w:eastAsia="en-AU"/>
              </w:rPr>
            </w:pPr>
            <w:r w:rsidRPr="0097263A">
              <w:rPr>
                <w:rFonts w:eastAsia="Times New Roman" w:cs="Arial"/>
                <w:szCs w:val="20"/>
                <w:lang w:eastAsia="en-AU"/>
              </w:rPr>
              <w:t>Maintain and upgrade our motor vehicle assets</w:t>
            </w:r>
            <w:r w:rsidR="00812302" w:rsidRPr="0097263A">
              <w:rPr>
                <w:rFonts w:eastAsia="Times New Roman" w:cs="Arial"/>
                <w:szCs w:val="20"/>
                <w:lang w:eastAsia="en-AU"/>
              </w:rPr>
              <w:t>,</w:t>
            </w:r>
            <w:r w:rsidRPr="0097263A">
              <w:rPr>
                <w:rFonts w:eastAsia="Times New Roman" w:cs="Arial"/>
                <w:szCs w:val="20"/>
                <w:lang w:eastAsia="en-AU"/>
              </w:rPr>
              <w:t xml:space="preserve"> to maximise efficiency, increase productivity and </w:t>
            </w:r>
            <w:r w:rsidRPr="0097263A">
              <w:rPr>
                <w:rFonts w:eastAsia="Times New Roman" w:cs="Arial"/>
                <w:szCs w:val="20"/>
                <w:lang w:eastAsia="en-AU"/>
              </w:rPr>
              <w:lastRenderedPageBreak/>
              <w:t>improve safety for our vehicles and drivers.</w:t>
            </w:r>
          </w:p>
        </w:tc>
        <w:tc>
          <w:tcPr>
            <w:tcW w:w="3057" w:type="dxa"/>
            <w:tcBorders>
              <w:top w:val="single" w:sz="4" w:space="0" w:color="002279"/>
              <w:left w:val="single" w:sz="4" w:space="0" w:color="002279"/>
              <w:bottom w:val="single" w:sz="4" w:space="0" w:color="002279"/>
              <w:right w:val="single" w:sz="4" w:space="0" w:color="002279"/>
            </w:tcBorders>
          </w:tcPr>
          <w:p w14:paraId="2845A0B1" w14:textId="77777777" w:rsidR="00D91AAD" w:rsidRPr="00360131" w:rsidRDefault="00D91AAD">
            <w:pPr>
              <w:spacing w:after="40"/>
              <w:ind w:left="227" w:hanging="227"/>
              <w:rPr>
                <w:rFonts w:ascii="Arial" w:hAnsi="Arial" w:cs="Arial"/>
                <w:color w:val="FFFFFF" w:themeColor="background1"/>
                <w:szCs w:val="20"/>
              </w:rPr>
            </w:pPr>
            <w:r w:rsidRPr="0097263A">
              <w:rPr>
                <w:rFonts w:cs="Arial"/>
                <w:szCs w:val="20"/>
              </w:rPr>
              <w:lastRenderedPageBreak/>
              <w:t xml:space="preserve">1. </w:t>
            </w:r>
            <w:r w:rsidRPr="0097263A">
              <w:rPr>
                <w:rFonts w:cs="Arial"/>
                <w:i/>
                <w:szCs w:val="20"/>
              </w:rPr>
              <w:t>Get the basics right, always.</w:t>
            </w:r>
          </w:p>
        </w:tc>
        <w:tc>
          <w:tcPr>
            <w:tcW w:w="2557" w:type="dxa"/>
            <w:tcBorders>
              <w:top w:val="single" w:sz="4" w:space="0" w:color="002279"/>
              <w:left w:val="single" w:sz="4" w:space="0" w:color="002279"/>
              <w:bottom w:val="single" w:sz="4" w:space="0" w:color="002279"/>
              <w:right w:val="single" w:sz="4" w:space="0" w:color="002279"/>
            </w:tcBorders>
            <w:vAlign w:val="center"/>
          </w:tcPr>
          <w:p w14:paraId="12326AA3" w14:textId="3504CD39" w:rsidR="00D91AAD" w:rsidRPr="00360131" w:rsidRDefault="00972F47" w:rsidP="005F1841">
            <w:pPr>
              <w:spacing w:after="40"/>
              <w:jc w:val="center"/>
              <w:rPr>
                <w:rFonts w:ascii="Arial" w:hAnsi="Arial" w:cs="Arial"/>
                <w:szCs w:val="20"/>
              </w:rPr>
            </w:pPr>
            <w:r w:rsidRPr="00B71AB6">
              <w:rPr>
                <w:rFonts w:cstheme="minorHAnsi"/>
                <w:szCs w:val="20"/>
              </w:rPr>
              <w:t>$</w:t>
            </w:r>
            <w:r w:rsidR="00D91AAD" w:rsidRPr="00B71AB6">
              <w:rPr>
                <w:rFonts w:cstheme="minorHAnsi"/>
                <w:szCs w:val="20"/>
              </w:rPr>
              <w:t>21</w:t>
            </w:r>
            <w:r w:rsidR="00B71AB6" w:rsidRPr="00B71AB6">
              <w:rPr>
                <w:rFonts w:cstheme="minorHAnsi"/>
                <w:szCs w:val="20"/>
              </w:rPr>
              <w:t>.02</w:t>
            </w:r>
          </w:p>
        </w:tc>
      </w:tr>
      <w:tr w:rsidR="000C53C9" w:rsidRPr="002020E8" w14:paraId="144A1B17" w14:textId="77777777" w:rsidTr="00571A03">
        <w:trPr>
          <w:trHeight w:val="1314"/>
        </w:trPr>
        <w:tc>
          <w:tcPr>
            <w:tcW w:w="2806" w:type="dxa"/>
            <w:vMerge/>
            <w:tcBorders>
              <w:top w:val="single" w:sz="4" w:space="0" w:color="002279"/>
              <w:left w:val="single" w:sz="4" w:space="0" w:color="002279"/>
              <w:bottom w:val="single" w:sz="4" w:space="0" w:color="002279"/>
              <w:right w:val="single" w:sz="4" w:space="0" w:color="002279"/>
            </w:tcBorders>
          </w:tcPr>
          <w:p w14:paraId="16010686" w14:textId="77777777" w:rsidR="00D91AAD" w:rsidRPr="00360131" w:rsidRDefault="00D91AAD">
            <w:pPr>
              <w:spacing w:after="40"/>
              <w:rPr>
                <w:rFonts w:ascii="Arial" w:hAnsi="Arial" w:cs="Arial"/>
                <w:color w:val="FFFFFF" w:themeColor="background1"/>
                <w:szCs w:val="20"/>
              </w:rPr>
            </w:pPr>
          </w:p>
        </w:tc>
        <w:tc>
          <w:tcPr>
            <w:tcW w:w="2807" w:type="dxa"/>
            <w:tcBorders>
              <w:top w:val="single" w:sz="4" w:space="0" w:color="002279"/>
              <w:left w:val="single" w:sz="4" w:space="0" w:color="002279"/>
              <w:bottom w:val="single" w:sz="4" w:space="0" w:color="002279"/>
              <w:right w:val="single" w:sz="4" w:space="0" w:color="002279"/>
            </w:tcBorders>
            <w:shd w:val="clear" w:color="auto" w:fill="D4D6DF"/>
          </w:tcPr>
          <w:p w14:paraId="4063F21C" w14:textId="7E1605CE" w:rsidR="00D91AAD" w:rsidRPr="00360131" w:rsidRDefault="00D91AAD">
            <w:pPr>
              <w:spacing w:after="40"/>
              <w:rPr>
                <w:rFonts w:ascii="Arial" w:hAnsi="Arial" w:cs="Arial"/>
                <w:color w:val="FFFFFF" w:themeColor="background1"/>
                <w:szCs w:val="20"/>
              </w:rPr>
            </w:pPr>
            <w:r w:rsidRPr="0097263A">
              <w:rPr>
                <w:rFonts w:cs="Arial"/>
                <w:color w:val="000000"/>
                <w:szCs w:val="20"/>
              </w:rPr>
              <w:t xml:space="preserve">SCADA and </w:t>
            </w:r>
            <w:r w:rsidR="00553C26" w:rsidRPr="0097263A">
              <w:rPr>
                <w:rFonts w:cs="Arial"/>
                <w:color w:val="000000"/>
                <w:szCs w:val="20"/>
              </w:rPr>
              <w:t>r</w:t>
            </w:r>
            <w:r w:rsidRPr="0097263A">
              <w:rPr>
                <w:rFonts w:cs="Arial"/>
                <w:color w:val="000000"/>
                <w:szCs w:val="20"/>
              </w:rPr>
              <w:t>eal</w:t>
            </w:r>
            <w:r w:rsidR="00553C26" w:rsidRPr="0097263A">
              <w:rPr>
                <w:rFonts w:cs="Arial"/>
                <w:color w:val="000000"/>
                <w:szCs w:val="20"/>
              </w:rPr>
              <w:t>-</w:t>
            </w:r>
            <w:r w:rsidRPr="0097263A">
              <w:rPr>
                <w:rFonts w:cs="Arial"/>
                <w:color w:val="000000"/>
                <w:szCs w:val="20"/>
              </w:rPr>
              <w:t xml:space="preserve">time </w:t>
            </w:r>
            <w:r w:rsidR="00553C26" w:rsidRPr="0097263A">
              <w:rPr>
                <w:rFonts w:cs="Arial"/>
                <w:color w:val="000000"/>
                <w:szCs w:val="20"/>
              </w:rPr>
              <w:t>s</w:t>
            </w:r>
            <w:r w:rsidRPr="0097263A">
              <w:rPr>
                <w:rFonts w:cs="Arial"/>
                <w:color w:val="000000"/>
                <w:szCs w:val="20"/>
              </w:rPr>
              <w:t>ystems</w:t>
            </w:r>
          </w:p>
        </w:tc>
        <w:tc>
          <w:tcPr>
            <w:tcW w:w="2807" w:type="dxa"/>
            <w:tcBorders>
              <w:top w:val="single" w:sz="4" w:space="0" w:color="002279"/>
              <w:left w:val="single" w:sz="4" w:space="0" w:color="002279"/>
              <w:bottom w:val="single" w:sz="4" w:space="0" w:color="002279"/>
              <w:right w:val="single" w:sz="4" w:space="0" w:color="002279"/>
            </w:tcBorders>
            <w:shd w:val="clear" w:color="auto" w:fill="D4D6DF"/>
          </w:tcPr>
          <w:p w14:paraId="554BF530" w14:textId="3D2ECF52" w:rsidR="00D91AAD" w:rsidRPr="00360131" w:rsidRDefault="00D91AAD">
            <w:pPr>
              <w:spacing w:after="40"/>
              <w:rPr>
                <w:rFonts w:ascii="Arial" w:eastAsia="Times New Roman" w:hAnsi="Arial" w:cs="Arial"/>
                <w:szCs w:val="20"/>
                <w:lang w:eastAsia="en-AU"/>
              </w:rPr>
            </w:pPr>
            <w:r w:rsidRPr="0097263A">
              <w:rPr>
                <w:rFonts w:eastAsia="Times New Roman" w:cs="Arial"/>
                <w:szCs w:val="20"/>
                <w:lang w:eastAsia="en-AU"/>
              </w:rPr>
              <w:t>Maintain and upgrade our network and asset monitoring systems</w:t>
            </w:r>
            <w:r w:rsidR="00553C26" w:rsidRPr="0097263A">
              <w:rPr>
                <w:rFonts w:eastAsia="Times New Roman" w:cs="Arial"/>
                <w:szCs w:val="20"/>
                <w:lang w:eastAsia="en-AU"/>
              </w:rPr>
              <w:t>,</w:t>
            </w:r>
            <w:r w:rsidRPr="0097263A">
              <w:rPr>
                <w:rFonts w:eastAsia="Times New Roman" w:cs="Arial"/>
                <w:szCs w:val="20"/>
                <w:lang w:eastAsia="en-AU"/>
              </w:rPr>
              <w:t xml:space="preserve"> to ensure the ongoing efficient operation and maintenance </w:t>
            </w:r>
          </w:p>
        </w:tc>
        <w:tc>
          <w:tcPr>
            <w:tcW w:w="3057" w:type="dxa"/>
            <w:tcBorders>
              <w:top w:val="single" w:sz="4" w:space="0" w:color="002279"/>
              <w:left w:val="single" w:sz="4" w:space="0" w:color="002279"/>
              <w:bottom w:val="single" w:sz="4" w:space="0" w:color="002279"/>
              <w:right w:val="single" w:sz="4" w:space="0" w:color="002279"/>
            </w:tcBorders>
            <w:shd w:val="clear" w:color="auto" w:fill="D4D6DF"/>
          </w:tcPr>
          <w:p w14:paraId="5E0A042F" w14:textId="77777777" w:rsidR="00D91AAD" w:rsidRPr="00360131" w:rsidRDefault="00D91AAD">
            <w:pPr>
              <w:spacing w:after="40"/>
              <w:ind w:left="227" w:hanging="227"/>
              <w:rPr>
                <w:rFonts w:ascii="Arial" w:hAnsi="Arial" w:cs="Arial"/>
                <w:szCs w:val="20"/>
              </w:rPr>
            </w:pPr>
            <w:r w:rsidRPr="0097263A">
              <w:rPr>
                <w:rFonts w:cs="Arial"/>
                <w:szCs w:val="20"/>
              </w:rPr>
              <w:t xml:space="preserve">1. </w:t>
            </w:r>
            <w:r w:rsidRPr="0097263A">
              <w:rPr>
                <w:rFonts w:cs="Arial"/>
                <w:i/>
                <w:szCs w:val="20"/>
              </w:rPr>
              <w:t>Get the basics right, always.</w:t>
            </w:r>
          </w:p>
          <w:p w14:paraId="414F5F6F" w14:textId="77777777" w:rsidR="00D91AAD" w:rsidRPr="00360131" w:rsidRDefault="00D91AAD">
            <w:pPr>
              <w:spacing w:after="40"/>
              <w:ind w:left="227" w:hanging="227"/>
              <w:rPr>
                <w:rFonts w:ascii="Arial" w:hAnsi="Arial" w:cs="Arial"/>
                <w:szCs w:val="20"/>
              </w:rPr>
            </w:pPr>
            <w:r w:rsidRPr="0097263A">
              <w:rPr>
                <w:rFonts w:cs="Arial"/>
                <w:szCs w:val="20"/>
              </w:rPr>
              <w:t xml:space="preserve">2. </w:t>
            </w:r>
            <w:r w:rsidRPr="0097263A">
              <w:rPr>
                <w:rFonts w:cs="Arial"/>
                <w:i/>
                <w:szCs w:val="20"/>
              </w:rPr>
              <w:t>Warn me, inform me</w:t>
            </w:r>
            <w:r w:rsidRPr="0097263A">
              <w:rPr>
                <w:rFonts w:cs="Arial"/>
                <w:szCs w:val="20"/>
              </w:rPr>
              <w:t xml:space="preserve">. </w:t>
            </w:r>
          </w:p>
        </w:tc>
        <w:tc>
          <w:tcPr>
            <w:tcW w:w="2557" w:type="dxa"/>
            <w:tcBorders>
              <w:top w:val="single" w:sz="4" w:space="0" w:color="002279"/>
              <w:left w:val="single" w:sz="4" w:space="0" w:color="002279"/>
              <w:bottom w:val="single" w:sz="4" w:space="0" w:color="002279"/>
              <w:right w:val="single" w:sz="4" w:space="0" w:color="002279"/>
            </w:tcBorders>
            <w:shd w:val="clear" w:color="auto" w:fill="D4D6DF"/>
            <w:vAlign w:val="center"/>
          </w:tcPr>
          <w:p w14:paraId="1D0CEF6E" w14:textId="3AF776E6" w:rsidR="00D91AAD" w:rsidRPr="00360131" w:rsidRDefault="00972F47" w:rsidP="005F1841">
            <w:pPr>
              <w:spacing w:after="40"/>
              <w:jc w:val="center"/>
              <w:rPr>
                <w:rFonts w:ascii="Arial" w:hAnsi="Arial" w:cs="Arial"/>
                <w:szCs w:val="20"/>
              </w:rPr>
            </w:pPr>
            <w:r w:rsidRPr="00B71AB6">
              <w:rPr>
                <w:rFonts w:cstheme="minorHAnsi"/>
                <w:szCs w:val="20"/>
              </w:rPr>
              <w:t>$</w:t>
            </w:r>
            <w:r w:rsidR="00D91AAD" w:rsidRPr="00B71AB6">
              <w:rPr>
                <w:rFonts w:cstheme="minorHAnsi"/>
                <w:szCs w:val="20"/>
              </w:rPr>
              <w:t>19.</w:t>
            </w:r>
            <w:r w:rsidR="00B71AB6" w:rsidRPr="00B71AB6">
              <w:rPr>
                <w:rFonts w:cstheme="minorHAnsi"/>
                <w:szCs w:val="20"/>
              </w:rPr>
              <w:t>57</w:t>
            </w:r>
          </w:p>
        </w:tc>
      </w:tr>
      <w:tr w:rsidR="000C53C9" w:rsidRPr="002020E8" w14:paraId="6F39FE54" w14:textId="77777777" w:rsidTr="00571A03">
        <w:trPr>
          <w:trHeight w:val="1615"/>
        </w:trPr>
        <w:tc>
          <w:tcPr>
            <w:tcW w:w="2806" w:type="dxa"/>
            <w:vMerge/>
            <w:tcBorders>
              <w:top w:val="single" w:sz="4" w:space="0" w:color="002279"/>
              <w:left w:val="single" w:sz="4" w:space="0" w:color="002279"/>
              <w:bottom w:val="single" w:sz="4" w:space="0" w:color="002279"/>
              <w:right w:val="single" w:sz="4" w:space="0" w:color="002279"/>
            </w:tcBorders>
          </w:tcPr>
          <w:p w14:paraId="79FE09CF" w14:textId="77777777" w:rsidR="00D91AAD" w:rsidRPr="00360131" w:rsidRDefault="00D91AAD">
            <w:pPr>
              <w:spacing w:after="40"/>
              <w:rPr>
                <w:rFonts w:ascii="Arial" w:hAnsi="Arial" w:cs="Arial"/>
                <w:color w:val="FFFFFF" w:themeColor="background1"/>
                <w:szCs w:val="20"/>
              </w:rPr>
            </w:pPr>
          </w:p>
        </w:tc>
        <w:tc>
          <w:tcPr>
            <w:tcW w:w="2807" w:type="dxa"/>
            <w:tcBorders>
              <w:top w:val="single" w:sz="4" w:space="0" w:color="002279"/>
              <w:left w:val="single" w:sz="4" w:space="0" w:color="002279"/>
              <w:bottom w:val="single" w:sz="4" w:space="0" w:color="002279"/>
              <w:right w:val="single" w:sz="4" w:space="0" w:color="002279"/>
            </w:tcBorders>
          </w:tcPr>
          <w:p w14:paraId="21CB3CD7" w14:textId="2DE9AFAA" w:rsidR="00D91AAD" w:rsidRPr="00360131" w:rsidRDefault="00D91AAD">
            <w:pPr>
              <w:spacing w:after="40"/>
              <w:rPr>
                <w:rFonts w:ascii="Arial" w:hAnsi="Arial" w:cs="Arial"/>
                <w:color w:val="FFFFFF" w:themeColor="background1"/>
                <w:szCs w:val="20"/>
              </w:rPr>
            </w:pPr>
            <w:r w:rsidRPr="0097263A">
              <w:rPr>
                <w:rFonts w:cs="Arial"/>
                <w:color w:val="000000"/>
                <w:szCs w:val="20"/>
              </w:rPr>
              <w:t xml:space="preserve">New </w:t>
            </w:r>
            <w:r w:rsidR="00553C26" w:rsidRPr="0097263A">
              <w:rPr>
                <w:rFonts w:cs="Arial"/>
                <w:color w:val="000000"/>
                <w:szCs w:val="20"/>
              </w:rPr>
              <w:t>t</w:t>
            </w:r>
            <w:r w:rsidRPr="0097263A">
              <w:rPr>
                <w:rFonts w:cs="Arial"/>
                <w:color w:val="000000"/>
                <w:szCs w:val="20"/>
              </w:rPr>
              <w:t>echnology</w:t>
            </w:r>
          </w:p>
        </w:tc>
        <w:tc>
          <w:tcPr>
            <w:tcW w:w="2807" w:type="dxa"/>
            <w:tcBorders>
              <w:top w:val="single" w:sz="4" w:space="0" w:color="002279"/>
              <w:left w:val="single" w:sz="4" w:space="0" w:color="002279"/>
              <w:bottom w:val="single" w:sz="4" w:space="0" w:color="002279"/>
              <w:right w:val="single" w:sz="4" w:space="0" w:color="002279"/>
            </w:tcBorders>
          </w:tcPr>
          <w:p w14:paraId="0CE9DAA7" w14:textId="2992BEB7" w:rsidR="00D91AAD" w:rsidRPr="00360131" w:rsidRDefault="00D91AAD">
            <w:pPr>
              <w:spacing w:after="40"/>
              <w:rPr>
                <w:rFonts w:ascii="Arial" w:eastAsia="Times New Roman" w:hAnsi="Arial" w:cs="Arial"/>
                <w:szCs w:val="20"/>
                <w:lang w:eastAsia="en-AU"/>
              </w:rPr>
            </w:pPr>
            <w:r w:rsidRPr="0097263A">
              <w:rPr>
                <w:rFonts w:eastAsia="Times New Roman" w:cs="Arial"/>
                <w:szCs w:val="20"/>
                <w:lang w:eastAsia="en-AU"/>
              </w:rPr>
              <w:t>Deliver innovation and new technologies</w:t>
            </w:r>
            <w:r w:rsidR="00553C26" w:rsidRPr="0097263A">
              <w:rPr>
                <w:rFonts w:eastAsia="Times New Roman" w:cs="Arial"/>
                <w:szCs w:val="20"/>
                <w:lang w:eastAsia="en-AU"/>
              </w:rPr>
              <w:t>,</w:t>
            </w:r>
            <w:r w:rsidRPr="0097263A">
              <w:rPr>
                <w:rFonts w:eastAsia="Times New Roman" w:cs="Arial"/>
                <w:szCs w:val="20"/>
                <w:lang w:eastAsia="en-AU"/>
              </w:rPr>
              <w:t xml:space="preserve"> to improve our customer products, processes and services</w:t>
            </w:r>
            <w:r w:rsidR="00380D49" w:rsidRPr="0097263A">
              <w:rPr>
                <w:rFonts w:eastAsia="Times New Roman" w:cs="Arial"/>
                <w:szCs w:val="20"/>
                <w:lang w:eastAsia="en-AU"/>
              </w:rPr>
              <w:t>,</w:t>
            </w:r>
            <w:r w:rsidR="0001217A" w:rsidRPr="0097263A">
              <w:rPr>
                <w:rFonts w:eastAsia="Times New Roman" w:cs="Arial"/>
                <w:szCs w:val="20"/>
                <w:lang w:eastAsia="en-AU"/>
              </w:rPr>
              <w:t xml:space="preserve"> </w:t>
            </w:r>
            <w:r w:rsidRPr="0097263A">
              <w:rPr>
                <w:rFonts w:eastAsia="Times New Roman" w:cs="Arial"/>
                <w:szCs w:val="20"/>
                <w:lang w:eastAsia="en-AU"/>
              </w:rPr>
              <w:t>minimise costs and make operations more efficient.</w:t>
            </w:r>
          </w:p>
        </w:tc>
        <w:tc>
          <w:tcPr>
            <w:tcW w:w="3057" w:type="dxa"/>
            <w:tcBorders>
              <w:top w:val="single" w:sz="4" w:space="0" w:color="002279"/>
              <w:left w:val="single" w:sz="4" w:space="0" w:color="002279"/>
              <w:bottom w:val="single" w:sz="4" w:space="0" w:color="002279"/>
              <w:right w:val="single" w:sz="4" w:space="0" w:color="002279"/>
            </w:tcBorders>
          </w:tcPr>
          <w:p w14:paraId="0275E448" w14:textId="77777777" w:rsidR="00D91AAD" w:rsidRPr="00360131" w:rsidRDefault="00D91AAD">
            <w:pPr>
              <w:spacing w:after="40"/>
              <w:ind w:left="227" w:hanging="227"/>
              <w:rPr>
                <w:rFonts w:ascii="Arial" w:hAnsi="Arial" w:cs="Arial"/>
                <w:szCs w:val="20"/>
              </w:rPr>
            </w:pPr>
            <w:r w:rsidRPr="0097263A">
              <w:rPr>
                <w:rFonts w:cs="Arial"/>
                <w:szCs w:val="20"/>
              </w:rPr>
              <w:t xml:space="preserve">1. </w:t>
            </w:r>
            <w:r w:rsidRPr="0097263A">
              <w:rPr>
                <w:rFonts w:cs="Arial"/>
                <w:i/>
                <w:szCs w:val="20"/>
              </w:rPr>
              <w:t>Get the basics right, always.</w:t>
            </w:r>
          </w:p>
          <w:p w14:paraId="7FC346B0" w14:textId="77777777" w:rsidR="00D91AAD" w:rsidRPr="00360131" w:rsidRDefault="00D91AAD">
            <w:pPr>
              <w:spacing w:after="40"/>
              <w:ind w:left="227" w:hanging="227"/>
              <w:rPr>
                <w:rFonts w:ascii="Arial" w:hAnsi="Arial" w:cs="Arial"/>
                <w:szCs w:val="20"/>
              </w:rPr>
            </w:pPr>
            <w:r w:rsidRPr="0097263A">
              <w:rPr>
                <w:rFonts w:cs="Arial"/>
                <w:szCs w:val="20"/>
              </w:rPr>
              <w:t xml:space="preserve">3. </w:t>
            </w:r>
            <w:r w:rsidRPr="0097263A">
              <w:rPr>
                <w:rFonts w:cs="Arial"/>
                <w:i/>
                <w:szCs w:val="20"/>
              </w:rPr>
              <w:t>Fair and affordable for all.</w:t>
            </w:r>
          </w:p>
          <w:p w14:paraId="017BD869" w14:textId="77777777" w:rsidR="00D91AAD" w:rsidRPr="00360131" w:rsidRDefault="00D91AAD">
            <w:pPr>
              <w:spacing w:after="40"/>
              <w:ind w:left="227" w:hanging="227"/>
              <w:rPr>
                <w:rFonts w:ascii="Arial" w:hAnsi="Arial" w:cs="Arial"/>
                <w:color w:val="FFFFFF" w:themeColor="background1"/>
                <w:szCs w:val="20"/>
              </w:rPr>
            </w:pPr>
            <w:r w:rsidRPr="0097263A">
              <w:rPr>
                <w:rFonts w:cs="Arial"/>
                <w:szCs w:val="20"/>
              </w:rPr>
              <w:t xml:space="preserve">5. </w:t>
            </w:r>
            <w:r w:rsidRPr="0097263A">
              <w:rPr>
                <w:rFonts w:cs="Arial"/>
                <w:i/>
                <w:szCs w:val="20"/>
              </w:rPr>
              <w:t>Support my community, protect our environment.</w:t>
            </w:r>
          </w:p>
        </w:tc>
        <w:tc>
          <w:tcPr>
            <w:tcW w:w="2557" w:type="dxa"/>
            <w:tcBorders>
              <w:top w:val="single" w:sz="4" w:space="0" w:color="002279"/>
              <w:left w:val="single" w:sz="4" w:space="0" w:color="002279"/>
              <w:bottom w:val="single" w:sz="4" w:space="0" w:color="002279"/>
              <w:right w:val="single" w:sz="4" w:space="0" w:color="002279"/>
            </w:tcBorders>
            <w:vAlign w:val="center"/>
          </w:tcPr>
          <w:p w14:paraId="0729F21D" w14:textId="08071B06" w:rsidR="00D91AAD" w:rsidRPr="00360131" w:rsidRDefault="00972F47" w:rsidP="005F1841">
            <w:pPr>
              <w:spacing w:after="40"/>
              <w:jc w:val="center"/>
              <w:rPr>
                <w:rFonts w:ascii="Arial" w:hAnsi="Arial" w:cs="Arial"/>
                <w:szCs w:val="20"/>
              </w:rPr>
            </w:pPr>
            <w:r w:rsidRPr="00B71AB6">
              <w:rPr>
                <w:rFonts w:cstheme="minorHAnsi"/>
                <w:szCs w:val="20"/>
              </w:rPr>
              <w:t>$</w:t>
            </w:r>
            <w:r w:rsidR="00D91AAD" w:rsidRPr="00B71AB6">
              <w:rPr>
                <w:rFonts w:cstheme="minorHAnsi"/>
                <w:szCs w:val="20"/>
              </w:rPr>
              <w:t>6.</w:t>
            </w:r>
            <w:r w:rsidR="00B71AB6" w:rsidRPr="00B71AB6">
              <w:rPr>
                <w:rFonts w:cstheme="minorHAnsi"/>
                <w:szCs w:val="20"/>
              </w:rPr>
              <w:t>76</w:t>
            </w:r>
          </w:p>
        </w:tc>
      </w:tr>
      <w:tr w:rsidR="00D91AAD" w:rsidRPr="002020E8" w14:paraId="252F30E1" w14:textId="77777777" w:rsidTr="00571A03">
        <w:trPr>
          <w:trHeight w:val="969"/>
        </w:trPr>
        <w:tc>
          <w:tcPr>
            <w:tcW w:w="2806" w:type="dxa"/>
            <w:vMerge/>
            <w:tcBorders>
              <w:top w:val="single" w:sz="4" w:space="0" w:color="002279"/>
              <w:left w:val="single" w:sz="4" w:space="0" w:color="002279"/>
              <w:bottom w:val="single" w:sz="2" w:space="0" w:color="002279"/>
              <w:right w:val="single" w:sz="4" w:space="0" w:color="002279"/>
            </w:tcBorders>
          </w:tcPr>
          <w:p w14:paraId="1EDEBFE9" w14:textId="77777777" w:rsidR="00D91AAD" w:rsidRPr="00360131" w:rsidRDefault="00D91AAD">
            <w:pPr>
              <w:spacing w:after="40"/>
              <w:rPr>
                <w:rFonts w:ascii="Arial" w:hAnsi="Arial" w:cs="Arial"/>
                <w:color w:val="FFFFFF" w:themeColor="background1"/>
                <w:szCs w:val="20"/>
              </w:rPr>
            </w:pPr>
          </w:p>
        </w:tc>
        <w:tc>
          <w:tcPr>
            <w:tcW w:w="2807" w:type="dxa"/>
            <w:tcBorders>
              <w:top w:val="single" w:sz="4" w:space="0" w:color="002279"/>
              <w:left w:val="single" w:sz="4" w:space="0" w:color="002279"/>
              <w:bottom w:val="single" w:sz="2" w:space="0" w:color="002279"/>
              <w:right w:val="single" w:sz="4" w:space="0" w:color="002279"/>
            </w:tcBorders>
            <w:shd w:val="clear" w:color="auto" w:fill="D4D6DF"/>
          </w:tcPr>
          <w:p w14:paraId="6275125A" w14:textId="77777777" w:rsidR="00D91AAD" w:rsidRPr="00360131" w:rsidRDefault="00D91AAD">
            <w:pPr>
              <w:spacing w:after="40"/>
              <w:rPr>
                <w:rFonts w:ascii="Arial" w:hAnsi="Arial" w:cs="Arial"/>
                <w:color w:val="FFFFFF" w:themeColor="background1"/>
                <w:szCs w:val="20"/>
              </w:rPr>
            </w:pPr>
            <w:r w:rsidRPr="0097263A">
              <w:rPr>
                <w:rFonts w:cs="Arial"/>
                <w:color w:val="000000"/>
                <w:szCs w:val="20"/>
              </w:rPr>
              <w:t>Facilities</w:t>
            </w:r>
          </w:p>
        </w:tc>
        <w:tc>
          <w:tcPr>
            <w:tcW w:w="2807" w:type="dxa"/>
            <w:tcBorders>
              <w:top w:val="single" w:sz="4" w:space="0" w:color="002279"/>
              <w:left w:val="single" w:sz="4" w:space="0" w:color="002279"/>
              <w:bottom w:val="single" w:sz="2" w:space="0" w:color="002279"/>
              <w:right w:val="single" w:sz="4" w:space="0" w:color="002279"/>
            </w:tcBorders>
            <w:shd w:val="clear" w:color="auto" w:fill="D4D6DF"/>
          </w:tcPr>
          <w:p w14:paraId="404DF630" w14:textId="612BEEAE" w:rsidR="00D91AAD" w:rsidRPr="00360131" w:rsidRDefault="00D91AAD">
            <w:pPr>
              <w:spacing w:after="40"/>
              <w:rPr>
                <w:rFonts w:ascii="Arial" w:hAnsi="Arial" w:cs="Arial"/>
                <w:color w:val="FFFFFF" w:themeColor="background1"/>
                <w:szCs w:val="20"/>
              </w:rPr>
            </w:pPr>
            <w:r w:rsidRPr="0097263A">
              <w:rPr>
                <w:rFonts w:cs="Arial"/>
                <w:szCs w:val="20"/>
              </w:rPr>
              <w:t>Maintain and upgrade our facility assets to</w:t>
            </w:r>
            <w:r w:rsidR="00571A03">
              <w:rPr>
                <w:rFonts w:cs="Arial"/>
                <w:szCs w:val="20"/>
              </w:rPr>
              <w:t xml:space="preserve"> support our core business operations</w:t>
            </w:r>
          </w:p>
        </w:tc>
        <w:tc>
          <w:tcPr>
            <w:tcW w:w="3057" w:type="dxa"/>
            <w:tcBorders>
              <w:top w:val="single" w:sz="4" w:space="0" w:color="002279"/>
              <w:left w:val="single" w:sz="4" w:space="0" w:color="002279"/>
              <w:bottom w:val="single" w:sz="2" w:space="0" w:color="002279"/>
              <w:right w:val="single" w:sz="4" w:space="0" w:color="002279"/>
            </w:tcBorders>
            <w:shd w:val="clear" w:color="auto" w:fill="D4D6DF"/>
          </w:tcPr>
          <w:p w14:paraId="09EA7412" w14:textId="77777777" w:rsidR="00D91AAD" w:rsidRPr="00360131" w:rsidRDefault="00D91AAD">
            <w:pPr>
              <w:spacing w:after="40"/>
              <w:ind w:left="227" w:hanging="227"/>
              <w:rPr>
                <w:rFonts w:ascii="Arial" w:hAnsi="Arial" w:cs="Arial"/>
                <w:color w:val="FFFFFF" w:themeColor="background1"/>
                <w:szCs w:val="20"/>
              </w:rPr>
            </w:pPr>
            <w:r w:rsidRPr="0097263A">
              <w:rPr>
                <w:rFonts w:cs="Arial"/>
                <w:szCs w:val="20"/>
              </w:rPr>
              <w:t xml:space="preserve">1. </w:t>
            </w:r>
            <w:r w:rsidRPr="0097263A">
              <w:rPr>
                <w:rFonts w:cs="Arial"/>
                <w:i/>
                <w:szCs w:val="20"/>
              </w:rPr>
              <w:t>Get the basics right, always.</w:t>
            </w:r>
          </w:p>
        </w:tc>
        <w:tc>
          <w:tcPr>
            <w:tcW w:w="2557" w:type="dxa"/>
            <w:tcBorders>
              <w:top w:val="single" w:sz="4" w:space="0" w:color="002279"/>
              <w:left w:val="single" w:sz="4" w:space="0" w:color="002279"/>
              <w:bottom w:val="single" w:sz="2" w:space="0" w:color="002279"/>
              <w:right w:val="single" w:sz="4" w:space="0" w:color="002279"/>
            </w:tcBorders>
            <w:shd w:val="clear" w:color="auto" w:fill="D4D6DF"/>
            <w:vAlign w:val="center"/>
          </w:tcPr>
          <w:p w14:paraId="027387D9" w14:textId="272171C1" w:rsidR="00D91AAD" w:rsidRPr="00360131" w:rsidRDefault="00972F47" w:rsidP="005F1841">
            <w:pPr>
              <w:spacing w:after="40"/>
              <w:jc w:val="center"/>
              <w:rPr>
                <w:rFonts w:ascii="Arial" w:hAnsi="Arial" w:cs="Arial"/>
                <w:szCs w:val="20"/>
              </w:rPr>
            </w:pPr>
            <w:r w:rsidRPr="00B71AB6">
              <w:rPr>
                <w:rFonts w:cstheme="minorHAnsi"/>
                <w:szCs w:val="20"/>
              </w:rPr>
              <w:t>$</w:t>
            </w:r>
            <w:r w:rsidR="00D91AAD" w:rsidRPr="00B71AB6">
              <w:rPr>
                <w:rFonts w:cstheme="minorHAnsi"/>
                <w:szCs w:val="20"/>
              </w:rPr>
              <w:t>2.</w:t>
            </w:r>
            <w:r w:rsidR="00B71AB6" w:rsidRPr="00B71AB6">
              <w:rPr>
                <w:rFonts w:cstheme="minorHAnsi"/>
                <w:szCs w:val="20"/>
              </w:rPr>
              <w:t>92</w:t>
            </w:r>
          </w:p>
        </w:tc>
      </w:tr>
      <w:tr w:rsidR="00157580" w:rsidRPr="00157580" w14:paraId="4D1D8240" w14:textId="77777777" w:rsidTr="005F1841">
        <w:trPr>
          <w:trHeight w:val="498"/>
        </w:trPr>
        <w:tc>
          <w:tcPr>
            <w:tcW w:w="14034" w:type="dxa"/>
            <w:gridSpan w:val="5"/>
            <w:tcBorders>
              <w:top w:val="single" w:sz="2" w:space="0" w:color="002279"/>
              <w:left w:val="single" w:sz="4" w:space="0" w:color="002279"/>
              <w:bottom w:val="single" w:sz="4" w:space="0" w:color="002279"/>
              <w:right w:val="single" w:sz="4" w:space="0" w:color="002279"/>
            </w:tcBorders>
            <w:shd w:val="clear" w:color="auto" w:fill="D4D6DF"/>
            <w:vAlign w:val="center"/>
          </w:tcPr>
          <w:p w14:paraId="307D2C69" w14:textId="01922082" w:rsidR="00157580" w:rsidRPr="00360131" w:rsidRDefault="000872A7" w:rsidP="005F1841">
            <w:pPr>
              <w:jc w:val="center"/>
              <w:rPr>
                <w:rFonts w:ascii="Arial" w:hAnsi="Arial" w:cs="Arial"/>
                <w:b/>
                <w:bCs/>
                <w:szCs w:val="20"/>
              </w:rPr>
            </w:pPr>
            <w:r>
              <w:rPr>
                <w:rFonts w:cs="Arial"/>
                <w:b/>
                <w:szCs w:val="20"/>
              </w:rPr>
              <w:t xml:space="preserve">                                                                                                                                                                                                               </w:t>
            </w:r>
            <w:r w:rsidR="00157580" w:rsidRPr="00B71AB6">
              <w:rPr>
                <w:rFonts w:cs="Arial"/>
                <w:b/>
                <w:szCs w:val="20"/>
              </w:rPr>
              <w:t>$</w:t>
            </w:r>
            <w:r w:rsidR="00157580" w:rsidRPr="0097263A">
              <w:rPr>
                <w:rFonts w:cs="Arial"/>
                <w:b/>
                <w:bCs/>
                <w:szCs w:val="20"/>
              </w:rPr>
              <w:t>1,333.</w:t>
            </w:r>
            <w:r w:rsidR="00B71AB6">
              <w:rPr>
                <w:rFonts w:cs="Arial"/>
                <w:b/>
                <w:bCs/>
                <w:szCs w:val="20"/>
              </w:rPr>
              <w:t>36</w:t>
            </w:r>
          </w:p>
        </w:tc>
      </w:tr>
    </w:tbl>
    <w:p w14:paraId="001A9D62" w14:textId="1C422914" w:rsidR="007B559C" w:rsidRPr="00C5039E" w:rsidRDefault="002020E8" w:rsidP="007B559C">
      <w:pPr>
        <w:rPr>
          <w:rFonts w:asciiTheme="minorHAnsi" w:eastAsiaTheme="majorEastAsia" w:hAnsiTheme="minorHAnsi" w:cstheme="minorHAnsi"/>
          <w:spacing w:val="-10"/>
          <w:kern w:val="28"/>
          <w:sz w:val="22"/>
          <w:szCs w:val="22"/>
        </w:rPr>
        <w:sectPr w:rsidR="007B559C" w:rsidRPr="00C5039E" w:rsidSect="00116E55">
          <w:pgSz w:w="16838" w:h="11906" w:orient="landscape"/>
          <w:pgMar w:top="1440" w:right="1440" w:bottom="1440" w:left="1440" w:header="708" w:footer="287" w:gutter="0"/>
          <w:cols w:space="708"/>
          <w:docGrid w:linePitch="360"/>
        </w:sectPr>
      </w:pPr>
      <w:r>
        <w:rPr>
          <w:rFonts w:asciiTheme="minorHAnsi" w:eastAsiaTheme="majorEastAsia" w:hAnsiTheme="minorHAnsi" w:cstheme="minorHAnsi"/>
          <w:spacing w:val="-10"/>
          <w:kern w:val="28"/>
          <w:sz w:val="22"/>
          <w:szCs w:val="22"/>
        </w:rPr>
        <w:br w:type="textWrapping" w:clear="all"/>
      </w:r>
    </w:p>
    <w:p w14:paraId="2FC01574" w14:textId="37E8D2A1" w:rsidR="007B559C" w:rsidRPr="00C627A1" w:rsidRDefault="002F5BBD" w:rsidP="00762418">
      <w:pPr>
        <w:pStyle w:val="NbrHeading2"/>
        <w:rPr>
          <w:rFonts w:ascii="Arial" w:hAnsi="Arial" w:cs="Arial"/>
          <w:szCs w:val="32"/>
        </w:rPr>
      </w:pPr>
      <w:r>
        <w:lastRenderedPageBreak/>
        <w:t xml:space="preserve">6.7 </w:t>
      </w:r>
      <w:r w:rsidR="007B559C" w:rsidRPr="00C627A1">
        <w:t>Cost efficiencies</w:t>
      </w:r>
    </w:p>
    <w:p w14:paraId="7703C227" w14:textId="1F32003A" w:rsidR="007B559C" w:rsidRPr="00901345" w:rsidRDefault="007B559C" w:rsidP="007B559C">
      <w:pPr>
        <w:rPr>
          <w:rFonts w:cs="Arial"/>
        </w:rPr>
      </w:pPr>
      <w:r w:rsidRPr="00901345">
        <w:rPr>
          <w:rFonts w:cs="Arial"/>
        </w:rPr>
        <w:t>Through our capital expenditure program for 2023</w:t>
      </w:r>
      <w:r w:rsidR="00310E2A">
        <w:rPr>
          <w:rFonts w:cs="Arial"/>
        </w:rPr>
        <w:t>–</w:t>
      </w:r>
      <w:r>
        <w:rPr>
          <w:rFonts w:cs="Arial"/>
        </w:rPr>
        <w:t>28</w:t>
      </w:r>
      <w:r w:rsidRPr="00901345">
        <w:rPr>
          <w:rFonts w:cs="Arial"/>
        </w:rPr>
        <w:t xml:space="preserve">, we will continue to </w:t>
      </w:r>
      <w:r>
        <w:rPr>
          <w:rFonts w:cs="Arial"/>
        </w:rPr>
        <w:t xml:space="preserve">improve </w:t>
      </w:r>
      <w:r w:rsidR="00571A03">
        <w:rPr>
          <w:rFonts w:cs="Arial"/>
        </w:rPr>
        <w:br/>
      </w:r>
      <w:r>
        <w:rPr>
          <w:rFonts w:cs="Arial"/>
        </w:rPr>
        <w:t>our services</w:t>
      </w:r>
      <w:r w:rsidRPr="00901345">
        <w:rPr>
          <w:rFonts w:cs="Arial"/>
        </w:rPr>
        <w:t xml:space="preserve"> </w:t>
      </w:r>
      <w:r w:rsidR="00945904">
        <w:rPr>
          <w:rFonts w:cs="Arial"/>
        </w:rPr>
        <w:t>(as shown in the Outcom</w:t>
      </w:r>
      <w:r w:rsidR="00B34847">
        <w:rPr>
          <w:rFonts w:cs="Arial"/>
        </w:rPr>
        <w:t xml:space="preserve">es section) </w:t>
      </w:r>
      <w:r w:rsidRPr="00901345">
        <w:rPr>
          <w:rFonts w:cs="Arial"/>
        </w:rPr>
        <w:t xml:space="preserve">and invest in technology to enable operational efficiencies </w:t>
      </w:r>
      <w:r w:rsidR="00732B21">
        <w:rPr>
          <w:rFonts w:cs="Arial"/>
        </w:rPr>
        <w:t>and</w:t>
      </w:r>
      <w:r w:rsidRPr="00901345">
        <w:rPr>
          <w:rFonts w:cs="Arial"/>
        </w:rPr>
        <w:t xml:space="preserve"> minimise the impact of additional cost pressures</w:t>
      </w:r>
      <w:r w:rsidR="00732B21" w:rsidRPr="00732B21">
        <w:rPr>
          <w:rFonts w:cs="Arial"/>
        </w:rPr>
        <w:t xml:space="preserve"> </w:t>
      </w:r>
      <w:r w:rsidR="00B57414">
        <w:rPr>
          <w:rFonts w:cs="Arial"/>
        </w:rPr>
        <w:t>on</w:t>
      </w:r>
      <w:r w:rsidR="00732B21" w:rsidRPr="00901345">
        <w:rPr>
          <w:rFonts w:cs="Arial"/>
        </w:rPr>
        <w:t xml:space="preserve"> our customers</w:t>
      </w:r>
      <w:r w:rsidRPr="00901345">
        <w:rPr>
          <w:rFonts w:cs="Arial"/>
        </w:rPr>
        <w:t>.</w:t>
      </w:r>
    </w:p>
    <w:p w14:paraId="663C4927" w14:textId="4224F75A" w:rsidR="007B559C" w:rsidRPr="00B57414" w:rsidRDefault="007B559C" w:rsidP="007B559C">
      <w:pPr>
        <w:rPr>
          <w:rFonts w:asciiTheme="minorHAnsi" w:hAnsiTheme="minorHAnsi" w:cstheme="minorHAnsi"/>
        </w:rPr>
      </w:pPr>
      <w:r w:rsidRPr="00901345">
        <w:rPr>
          <w:rFonts w:cs="Arial"/>
        </w:rPr>
        <w:t xml:space="preserve">When developing our capital expenditure program, </w:t>
      </w:r>
      <w:r>
        <w:rPr>
          <w:rFonts w:cs="Arial"/>
        </w:rPr>
        <w:t>we ensured we made</w:t>
      </w:r>
      <w:r w:rsidRPr="0009757F">
        <w:rPr>
          <w:rFonts w:cs="Arial"/>
        </w:rPr>
        <w:t xml:space="preserve"> sound investment decisions</w:t>
      </w:r>
      <w:r w:rsidR="00A77720">
        <w:rPr>
          <w:rFonts w:cs="Arial"/>
        </w:rPr>
        <w:t xml:space="preserve"> </w:t>
      </w:r>
      <w:r w:rsidRPr="0009757F">
        <w:rPr>
          <w:rFonts w:cs="Arial"/>
        </w:rPr>
        <w:t xml:space="preserve">based on </w:t>
      </w:r>
      <w:r w:rsidRPr="00804A82">
        <w:rPr>
          <w:rFonts w:cs="Arial"/>
        </w:rPr>
        <w:t>needs</w:t>
      </w:r>
      <w:r>
        <w:rPr>
          <w:rFonts w:cs="Arial"/>
        </w:rPr>
        <w:t xml:space="preserve"> and</w:t>
      </w:r>
      <w:r w:rsidRPr="00804A82">
        <w:rPr>
          <w:rFonts w:cs="Arial"/>
        </w:rPr>
        <w:t xml:space="preserve"> </w:t>
      </w:r>
      <w:r>
        <w:rPr>
          <w:rFonts w:cs="Arial"/>
        </w:rPr>
        <w:t>benefits analysis,</w:t>
      </w:r>
      <w:r w:rsidRPr="0009757F">
        <w:rPr>
          <w:rFonts w:cs="Arial"/>
        </w:rPr>
        <w:t xml:space="preserve"> </w:t>
      </w:r>
      <w:r w:rsidRPr="1E9DDBFB">
        <w:rPr>
          <w:rFonts w:cs="Arial"/>
        </w:rPr>
        <w:t xml:space="preserve">operational impacts, </w:t>
      </w:r>
      <w:r w:rsidR="00571A03">
        <w:rPr>
          <w:rFonts w:cs="Arial"/>
        </w:rPr>
        <w:br/>
      </w:r>
      <w:r w:rsidRPr="0009757F">
        <w:rPr>
          <w:rFonts w:cs="Arial"/>
        </w:rPr>
        <w:t>cost</w:t>
      </w:r>
      <w:r w:rsidR="00D50ACA">
        <w:rPr>
          <w:rFonts w:cs="Arial"/>
        </w:rPr>
        <w:t>-</w:t>
      </w:r>
      <w:r w:rsidRPr="0009757F">
        <w:rPr>
          <w:rFonts w:cs="Arial"/>
        </w:rPr>
        <w:t>effectiveness of risk controls, and risk-based prioritisation</w:t>
      </w:r>
      <w:r>
        <w:rPr>
          <w:rFonts w:cs="Arial"/>
        </w:rPr>
        <w:t xml:space="preserve">. </w:t>
      </w:r>
      <w:r w:rsidR="00D71305">
        <w:rPr>
          <w:rFonts w:cs="Arial"/>
        </w:rPr>
        <w:t xml:space="preserve">As </w:t>
      </w:r>
      <w:r w:rsidR="00997F04">
        <w:rPr>
          <w:rFonts w:cs="Arial"/>
        </w:rPr>
        <w:t>shown</w:t>
      </w:r>
      <w:r w:rsidR="00D71305">
        <w:rPr>
          <w:rFonts w:cs="Arial"/>
        </w:rPr>
        <w:t xml:space="preserve"> in the </w:t>
      </w:r>
      <w:r w:rsidR="00FD3682">
        <w:rPr>
          <w:rFonts w:cs="Arial"/>
        </w:rPr>
        <w:t>operating</w:t>
      </w:r>
      <w:r w:rsidR="00997F04">
        <w:rPr>
          <w:rFonts w:cs="Arial"/>
        </w:rPr>
        <w:t xml:space="preserve"> expenditure</w:t>
      </w:r>
      <w:r w:rsidR="00FD3682">
        <w:rPr>
          <w:rFonts w:cs="Arial"/>
        </w:rPr>
        <w:t xml:space="preserve"> </w:t>
      </w:r>
      <w:r w:rsidR="00D71305">
        <w:rPr>
          <w:rFonts w:cs="Arial"/>
        </w:rPr>
        <w:t>section, w</w:t>
      </w:r>
      <w:r>
        <w:rPr>
          <w:rFonts w:cs="Arial"/>
        </w:rPr>
        <w:t xml:space="preserve">e </w:t>
      </w:r>
      <w:r w:rsidR="00D71305">
        <w:rPr>
          <w:rFonts w:cs="Arial"/>
        </w:rPr>
        <w:t>have</w:t>
      </w:r>
      <w:r>
        <w:rPr>
          <w:rFonts w:cs="Arial"/>
        </w:rPr>
        <w:t xml:space="preserve"> set </w:t>
      </w:r>
      <w:r w:rsidRPr="00901345">
        <w:rPr>
          <w:rFonts w:cs="Arial"/>
        </w:rPr>
        <w:t xml:space="preserve">an operating cost efficiency target of 2% </w:t>
      </w:r>
      <w:r w:rsidR="0074073A">
        <w:rPr>
          <w:rFonts w:cs="Arial"/>
        </w:rPr>
        <w:t>per annum</w:t>
      </w:r>
      <w:r w:rsidRPr="00901345">
        <w:rPr>
          <w:rFonts w:cs="Arial"/>
        </w:rPr>
        <w:t xml:space="preserve">. The target aligns to </w:t>
      </w:r>
      <w:r w:rsidR="00936B82">
        <w:rPr>
          <w:rFonts w:cs="Arial"/>
        </w:rPr>
        <w:t>the</w:t>
      </w:r>
      <w:r w:rsidRPr="00901345">
        <w:rPr>
          <w:rFonts w:cs="Arial"/>
        </w:rPr>
        <w:t xml:space="preserve"> continuous improvement of </w:t>
      </w:r>
      <w:r w:rsidRPr="1E9DDBFB">
        <w:rPr>
          <w:rFonts w:cs="Arial"/>
        </w:rPr>
        <w:t xml:space="preserve">our operating </w:t>
      </w:r>
      <w:r w:rsidRPr="00B57414">
        <w:rPr>
          <w:rFonts w:cs="Arial"/>
        </w:rPr>
        <w:t>processes</w:t>
      </w:r>
      <w:r w:rsidR="001975A0">
        <w:rPr>
          <w:rFonts w:cs="Arial"/>
        </w:rPr>
        <w:t>,</w:t>
      </w:r>
      <w:r w:rsidRPr="00B57414">
        <w:rPr>
          <w:rFonts w:cs="Arial"/>
        </w:rPr>
        <w:t xml:space="preserve"> to assure we are prudently managing operating expenditure and meeting our </w:t>
      </w:r>
      <w:r w:rsidRPr="00B57414">
        <w:rPr>
          <w:rFonts w:asciiTheme="minorHAnsi" w:hAnsiTheme="minorHAnsi" w:cstheme="minorHAnsi"/>
        </w:rPr>
        <w:t xml:space="preserve">efficiency commitments. </w:t>
      </w:r>
    </w:p>
    <w:p w14:paraId="7EDBD561" w14:textId="166DDACD" w:rsidR="00CC12EE" w:rsidRPr="00B57414" w:rsidRDefault="00CC12EE" w:rsidP="00CC12EE">
      <w:pPr>
        <w:pStyle w:val="Heading3"/>
      </w:pPr>
      <w:r>
        <w:t>Efficiency target</w:t>
      </w:r>
    </w:p>
    <w:p w14:paraId="31CF4818" w14:textId="32EC7007" w:rsidR="007B559C" w:rsidRPr="00B57414" w:rsidRDefault="007B559C" w:rsidP="00CB0971">
      <w:pPr>
        <w:pStyle w:val="paragraph"/>
        <w:spacing w:before="0" w:beforeAutospacing="0" w:after="120" w:afterAutospacing="0" w:line="259" w:lineRule="auto"/>
        <w:textAlignment w:val="baseline"/>
        <w:rPr>
          <w:rFonts w:asciiTheme="minorHAnsi" w:eastAsiaTheme="minorEastAsia" w:hAnsiTheme="minorHAnsi" w:cstheme="minorHAnsi"/>
          <w:lang w:eastAsia="en-US"/>
        </w:rPr>
      </w:pPr>
      <w:r w:rsidRPr="00B57414">
        <w:rPr>
          <w:rFonts w:asciiTheme="minorHAnsi" w:eastAsiaTheme="minorEastAsia" w:hAnsiTheme="minorHAnsi" w:cstheme="minorHAnsi"/>
          <w:lang w:eastAsia="en-US"/>
        </w:rPr>
        <w:t xml:space="preserve">In addition, </w:t>
      </w:r>
      <w:r w:rsidR="00163B1F">
        <w:rPr>
          <w:rFonts w:asciiTheme="minorHAnsi" w:eastAsiaTheme="minorEastAsia" w:hAnsiTheme="minorHAnsi" w:cstheme="minorHAnsi"/>
          <w:lang w:eastAsia="en-US"/>
        </w:rPr>
        <w:t>our</w:t>
      </w:r>
      <w:r w:rsidRPr="00B57414">
        <w:rPr>
          <w:rFonts w:asciiTheme="minorHAnsi" w:eastAsiaTheme="minorEastAsia" w:hAnsiTheme="minorHAnsi" w:cstheme="minorHAnsi"/>
          <w:lang w:eastAsia="en-US"/>
        </w:rPr>
        <w:t xml:space="preserve"> capital expenditure program assumes a 5% delivery efficiency </w:t>
      </w:r>
      <w:r w:rsidR="00A27863">
        <w:rPr>
          <w:rFonts w:asciiTheme="minorHAnsi" w:eastAsiaTheme="minorEastAsia" w:hAnsiTheme="minorHAnsi" w:cstheme="minorHAnsi"/>
          <w:lang w:eastAsia="en-US"/>
        </w:rPr>
        <w:t xml:space="preserve">for </w:t>
      </w:r>
      <w:r w:rsidR="0066497E">
        <w:rPr>
          <w:rFonts w:asciiTheme="minorHAnsi" w:eastAsiaTheme="minorEastAsia" w:hAnsiTheme="minorHAnsi" w:cstheme="minorHAnsi"/>
          <w:lang w:eastAsia="en-US"/>
        </w:rPr>
        <w:t>projects and programs delivered</w:t>
      </w:r>
      <w:r w:rsidRPr="00B57414">
        <w:rPr>
          <w:rFonts w:asciiTheme="minorHAnsi" w:eastAsiaTheme="minorEastAsia" w:hAnsiTheme="minorHAnsi" w:cstheme="minorHAnsi"/>
          <w:lang w:eastAsia="en-US"/>
        </w:rPr>
        <w:t xml:space="preserve"> through our new</w:t>
      </w:r>
      <w:r w:rsidR="0001172D">
        <w:rPr>
          <w:rFonts w:asciiTheme="minorHAnsi" w:eastAsiaTheme="minorEastAsia" w:hAnsiTheme="minorHAnsi" w:cstheme="minorHAnsi"/>
          <w:lang w:eastAsia="en-US"/>
        </w:rPr>
        <w:t xml:space="preserve"> </w:t>
      </w:r>
      <w:r w:rsidRPr="00B57414">
        <w:rPr>
          <w:rFonts w:asciiTheme="minorHAnsi" w:eastAsiaTheme="minorEastAsia" w:hAnsiTheme="minorHAnsi" w:cstheme="minorHAnsi"/>
          <w:lang w:eastAsia="en-US"/>
        </w:rPr>
        <w:t xml:space="preserve">integrated planning and delivery </w:t>
      </w:r>
      <w:r w:rsidR="00D53F61">
        <w:rPr>
          <w:rFonts w:asciiTheme="minorHAnsi" w:eastAsiaTheme="minorEastAsia" w:hAnsiTheme="minorHAnsi" w:cstheme="minorHAnsi"/>
          <w:lang w:eastAsia="en-US"/>
        </w:rPr>
        <w:t>c</w:t>
      </w:r>
      <w:r w:rsidRPr="00B57414">
        <w:rPr>
          <w:rFonts w:asciiTheme="minorHAnsi" w:eastAsiaTheme="minorEastAsia" w:hAnsiTheme="minorHAnsi" w:cstheme="minorHAnsi"/>
          <w:lang w:eastAsia="en-US"/>
        </w:rPr>
        <w:t xml:space="preserve">apital </w:t>
      </w:r>
      <w:r w:rsidR="00D53F61">
        <w:rPr>
          <w:rFonts w:asciiTheme="minorHAnsi" w:eastAsiaTheme="minorEastAsia" w:hAnsiTheme="minorHAnsi" w:cstheme="minorHAnsi"/>
          <w:lang w:eastAsia="en-US"/>
        </w:rPr>
        <w:t>d</w:t>
      </w:r>
      <w:r w:rsidRPr="00B57414">
        <w:rPr>
          <w:rFonts w:asciiTheme="minorHAnsi" w:eastAsiaTheme="minorEastAsia" w:hAnsiTheme="minorHAnsi" w:cstheme="minorHAnsi"/>
          <w:lang w:eastAsia="en-US"/>
        </w:rPr>
        <w:t xml:space="preserve">elivery </w:t>
      </w:r>
      <w:r w:rsidR="00D53F61">
        <w:rPr>
          <w:rFonts w:asciiTheme="minorHAnsi" w:eastAsiaTheme="minorEastAsia" w:hAnsiTheme="minorHAnsi" w:cstheme="minorHAnsi"/>
          <w:lang w:eastAsia="en-US"/>
        </w:rPr>
        <w:t>m</w:t>
      </w:r>
      <w:r w:rsidRPr="00B57414">
        <w:rPr>
          <w:rFonts w:asciiTheme="minorHAnsi" w:eastAsiaTheme="minorEastAsia" w:hAnsiTheme="minorHAnsi" w:cstheme="minorHAnsi"/>
          <w:lang w:eastAsia="en-US"/>
        </w:rPr>
        <w:t>odel that comes into effect in July 2023.</w:t>
      </w:r>
    </w:p>
    <w:p w14:paraId="3CBF0514" w14:textId="5C3F8450" w:rsidR="000C708B" w:rsidRDefault="001C2564" w:rsidP="00CB0971">
      <w:pPr>
        <w:pStyle w:val="paragraph"/>
        <w:spacing w:before="0" w:beforeAutospacing="0" w:after="120" w:afterAutospacing="0" w:line="259" w:lineRule="auto"/>
        <w:textAlignment w:val="baseline"/>
        <w:rPr>
          <w:rFonts w:asciiTheme="minorHAnsi" w:eastAsiaTheme="minorEastAsia" w:hAnsiTheme="minorHAnsi" w:cstheme="minorHAnsi"/>
          <w:lang w:eastAsia="en-US"/>
        </w:rPr>
      </w:pPr>
      <w:r>
        <w:rPr>
          <w:rFonts w:asciiTheme="minorHAnsi" w:eastAsiaTheme="minorEastAsia" w:hAnsiTheme="minorHAnsi" w:cstheme="minorHAnsi"/>
          <w:lang w:eastAsia="en-US"/>
        </w:rPr>
        <w:t>The efficiency is based on the quantum</w:t>
      </w:r>
      <w:r w:rsidR="00562E62">
        <w:rPr>
          <w:rFonts w:asciiTheme="minorHAnsi" w:eastAsiaTheme="minorEastAsia" w:hAnsiTheme="minorHAnsi" w:cstheme="minorHAnsi"/>
          <w:lang w:eastAsia="en-US"/>
        </w:rPr>
        <w:t xml:space="preserve"> of the proposed capital </w:t>
      </w:r>
      <w:r w:rsidR="00D73FB6">
        <w:rPr>
          <w:rFonts w:asciiTheme="minorHAnsi" w:eastAsiaTheme="minorEastAsia" w:hAnsiTheme="minorHAnsi" w:cstheme="minorHAnsi"/>
          <w:lang w:eastAsia="en-US"/>
        </w:rPr>
        <w:t>ex</w:t>
      </w:r>
      <w:r w:rsidR="002F36EB">
        <w:rPr>
          <w:rFonts w:asciiTheme="minorHAnsi" w:eastAsiaTheme="minorEastAsia" w:hAnsiTheme="minorHAnsi" w:cstheme="minorHAnsi"/>
          <w:lang w:eastAsia="en-US"/>
        </w:rPr>
        <w:t>p</w:t>
      </w:r>
      <w:r w:rsidR="00D73FB6">
        <w:rPr>
          <w:rFonts w:asciiTheme="minorHAnsi" w:eastAsiaTheme="minorEastAsia" w:hAnsiTheme="minorHAnsi" w:cstheme="minorHAnsi"/>
          <w:lang w:eastAsia="en-US"/>
        </w:rPr>
        <w:t>enditure program</w:t>
      </w:r>
      <w:r w:rsidR="00E25C31">
        <w:rPr>
          <w:rFonts w:asciiTheme="minorHAnsi" w:eastAsiaTheme="minorEastAsia" w:hAnsiTheme="minorHAnsi" w:cstheme="minorHAnsi"/>
          <w:lang w:eastAsia="en-US"/>
        </w:rPr>
        <w:t xml:space="preserve"> </w:t>
      </w:r>
      <w:r w:rsidR="00571A03">
        <w:rPr>
          <w:rFonts w:asciiTheme="minorHAnsi" w:eastAsiaTheme="minorEastAsia" w:hAnsiTheme="minorHAnsi" w:cstheme="minorHAnsi"/>
          <w:lang w:eastAsia="en-US"/>
        </w:rPr>
        <w:br/>
      </w:r>
      <w:r w:rsidR="00E25C31">
        <w:rPr>
          <w:rFonts w:asciiTheme="minorHAnsi" w:eastAsiaTheme="minorEastAsia" w:hAnsiTheme="minorHAnsi" w:cstheme="minorHAnsi"/>
          <w:lang w:eastAsia="en-US"/>
        </w:rPr>
        <w:t>that provides economi</w:t>
      </w:r>
      <w:r w:rsidR="0008580B">
        <w:rPr>
          <w:rFonts w:asciiTheme="minorHAnsi" w:eastAsiaTheme="minorEastAsia" w:hAnsiTheme="minorHAnsi" w:cstheme="minorHAnsi"/>
          <w:lang w:eastAsia="en-US"/>
        </w:rPr>
        <w:t>e</w:t>
      </w:r>
      <w:r w:rsidR="00E25C31">
        <w:rPr>
          <w:rFonts w:asciiTheme="minorHAnsi" w:eastAsiaTheme="minorEastAsia" w:hAnsiTheme="minorHAnsi" w:cstheme="minorHAnsi"/>
          <w:lang w:eastAsia="en-US"/>
        </w:rPr>
        <w:t>s of scale</w:t>
      </w:r>
      <w:r w:rsidR="00706CEF">
        <w:rPr>
          <w:rFonts w:asciiTheme="minorHAnsi" w:eastAsiaTheme="minorEastAsia" w:hAnsiTheme="minorHAnsi" w:cstheme="minorHAnsi"/>
          <w:lang w:eastAsia="en-US"/>
        </w:rPr>
        <w:t xml:space="preserve">. </w:t>
      </w:r>
      <w:r w:rsidR="00A870A1" w:rsidRPr="00A870A1">
        <w:rPr>
          <w:rFonts w:asciiTheme="minorHAnsi" w:eastAsiaTheme="minorEastAsia" w:hAnsiTheme="minorHAnsi" w:cstheme="minorHAnsi"/>
          <w:lang w:eastAsia="en-US"/>
        </w:rPr>
        <w:t>These efficiencies are derived from</w:t>
      </w:r>
      <w:r w:rsidR="000C708B">
        <w:rPr>
          <w:rFonts w:asciiTheme="minorHAnsi" w:eastAsiaTheme="minorEastAsia" w:hAnsiTheme="minorHAnsi" w:cstheme="minorHAnsi"/>
          <w:lang w:eastAsia="en-US"/>
        </w:rPr>
        <w:t xml:space="preserve">: </w:t>
      </w:r>
    </w:p>
    <w:p w14:paraId="529F4B04" w14:textId="0BC3E9B3" w:rsidR="000C708B" w:rsidRDefault="00A870A1">
      <w:pPr>
        <w:pStyle w:val="paragraph"/>
        <w:numPr>
          <w:ilvl w:val="0"/>
          <w:numId w:val="81"/>
        </w:numPr>
        <w:spacing w:before="0" w:beforeAutospacing="0" w:after="120" w:afterAutospacing="0" w:line="259" w:lineRule="auto"/>
        <w:textAlignment w:val="baseline"/>
        <w:rPr>
          <w:rFonts w:asciiTheme="minorHAnsi" w:eastAsiaTheme="minorEastAsia" w:hAnsiTheme="minorHAnsi" w:cstheme="minorHAnsi"/>
          <w:lang w:eastAsia="en-US"/>
        </w:rPr>
      </w:pPr>
      <w:r w:rsidRPr="00A870A1">
        <w:rPr>
          <w:rFonts w:asciiTheme="minorHAnsi" w:eastAsiaTheme="minorEastAsia" w:hAnsiTheme="minorHAnsi" w:cstheme="minorHAnsi"/>
          <w:lang w:eastAsia="en-US"/>
        </w:rPr>
        <w:t xml:space="preserve">the integrated planning process (incorporating early contractor involvement </w:t>
      </w:r>
      <w:r w:rsidR="00571A03">
        <w:rPr>
          <w:rFonts w:asciiTheme="minorHAnsi" w:eastAsiaTheme="minorEastAsia" w:hAnsiTheme="minorHAnsi" w:cstheme="minorHAnsi"/>
          <w:lang w:eastAsia="en-US"/>
        </w:rPr>
        <w:br/>
      </w:r>
      <w:r w:rsidRPr="00A870A1">
        <w:rPr>
          <w:rFonts w:asciiTheme="minorHAnsi" w:eastAsiaTheme="minorEastAsia" w:hAnsiTheme="minorHAnsi" w:cstheme="minorHAnsi"/>
          <w:lang w:eastAsia="en-US"/>
        </w:rPr>
        <w:t>and program optimisation)</w:t>
      </w:r>
    </w:p>
    <w:p w14:paraId="60991DAE" w14:textId="75E93C6F" w:rsidR="000C708B" w:rsidRDefault="00A870A1">
      <w:pPr>
        <w:pStyle w:val="paragraph"/>
        <w:numPr>
          <w:ilvl w:val="0"/>
          <w:numId w:val="81"/>
        </w:numPr>
        <w:spacing w:before="0" w:beforeAutospacing="0" w:after="120" w:afterAutospacing="0" w:line="259" w:lineRule="auto"/>
        <w:textAlignment w:val="baseline"/>
        <w:rPr>
          <w:rFonts w:asciiTheme="minorHAnsi" w:eastAsiaTheme="minorEastAsia" w:hAnsiTheme="minorHAnsi" w:cstheme="minorHAnsi"/>
          <w:lang w:eastAsia="en-US"/>
        </w:rPr>
      </w:pPr>
      <w:r w:rsidRPr="00A870A1">
        <w:rPr>
          <w:rFonts w:asciiTheme="minorHAnsi" w:eastAsiaTheme="minorEastAsia" w:hAnsiTheme="minorHAnsi" w:cstheme="minorHAnsi"/>
          <w:lang w:eastAsia="en-US"/>
        </w:rPr>
        <w:t xml:space="preserve">the increased scale and term of the contract (providing a reliable workload </w:t>
      </w:r>
      <w:r w:rsidR="00571A03">
        <w:rPr>
          <w:rFonts w:asciiTheme="minorHAnsi" w:eastAsiaTheme="minorEastAsia" w:hAnsiTheme="minorHAnsi" w:cstheme="minorHAnsi"/>
          <w:lang w:eastAsia="en-US"/>
        </w:rPr>
        <w:br/>
      </w:r>
      <w:r w:rsidRPr="00A870A1">
        <w:rPr>
          <w:rFonts w:asciiTheme="minorHAnsi" w:eastAsiaTheme="minorEastAsia" w:hAnsiTheme="minorHAnsi" w:cstheme="minorHAnsi"/>
          <w:lang w:eastAsia="en-US"/>
        </w:rPr>
        <w:t>and ability to attract and retain the best resources)</w:t>
      </w:r>
    </w:p>
    <w:p w14:paraId="0F2B01D0" w14:textId="4FFD0A39" w:rsidR="000C708B" w:rsidRDefault="00A870A1">
      <w:pPr>
        <w:pStyle w:val="paragraph"/>
        <w:numPr>
          <w:ilvl w:val="0"/>
          <w:numId w:val="81"/>
        </w:numPr>
        <w:spacing w:before="0" w:beforeAutospacing="0" w:after="120" w:afterAutospacing="0" w:line="259" w:lineRule="auto"/>
        <w:textAlignment w:val="baseline"/>
        <w:rPr>
          <w:rFonts w:asciiTheme="minorHAnsi" w:eastAsiaTheme="minorEastAsia" w:hAnsiTheme="minorHAnsi" w:cstheme="minorHAnsi"/>
          <w:lang w:eastAsia="en-US"/>
        </w:rPr>
      </w:pPr>
      <w:r w:rsidRPr="00A870A1">
        <w:rPr>
          <w:rFonts w:asciiTheme="minorHAnsi" w:eastAsiaTheme="minorEastAsia" w:hAnsiTheme="minorHAnsi" w:cstheme="minorHAnsi"/>
          <w:lang w:eastAsia="en-US"/>
        </w:rPr>
        <w:t xml:space="preserve">the allocation of projects (reducing tendering costs). </w:t>
      </w:r>
    </w:p>
    <w:p w14:paraId="13C541A8" w14:textId="2C9DC9A4" w:rsidR="00A870A1" w:rsidRPr="00A870A1" w:rsidRDefault="00A870A1" w:rsidP="00CB0971">
      <w:pPr>
        <w:pStyle w:val="paragraph"/>
        <w:spacing w:before="0" w:beforeAutospacing="0" w:after="120" w:afterAutospacing="0" w:line="259" w:lineRule="auto"/>
        <w:textAlignment w:val="baseline"/>
        <w:rPr>
          <w:rFonts w:asciiTheme="minorHAnsi" w:eastAsiaTheme="minorEastAsia" w:hAnsiTheme="minorHAnsi" w:cstheme="minorHAnsi"/>
          <w:lang w:eastAsia="en-US"/>
        </w:rPr>
      </w:pPr>
      <w:r w:rsidRPr="00A870A1">
        <w:rPr>
          <w:rFonts w:asciiTheme="minorHAnsi" w:eastAsiaTheme="minorEastAsia" w:hAnsiTheme="minorHAnsi" w:cstheme="minorHAnsi"/>
          <w:lang w:eastAsia="en-US"/>
        </w:rPr>
        <w:t>These efficiencies will assist in offsetting anticipated construction cost escalation above CPI within the period.</w:t>
      </w:r>
    </w:p>
    <w:p w14:paraId="7DA961FE" w14:textId="0FC06850" w:rsidR="004222E1" w:rsidRDefault="00A870A1" w:rsidP="007B559C">
      <w:pPr>
        <w:pStyle w:val="paragraph"/>
        <w:spacing w:before="0" w:beforeAutospacing="0" w:after="160" w:afterAutospacing="0" w:line="259" w:lineRule="auto"/>
        <w:textAlignment w:val="baseline"/>
        <w:rPr>
          <w:rFonts w:asciiTheme="minorHAnsi" w:eastAsiaTheme="minorEastAsia" w:hAnsiTheme="minorHAnsi" w:cstheme="minorHAnsi"/>
          <w:lang w:eastAsia="en-US"/>
        </w:rPr>
      </w:pPr>
      <w:r w:rsidRPr="00A870A1">
        <w:rPr>
          <w:rFonts w:asciiTheme="minorHAnsi" w:eastAsiaTheme="minorEastAsia" w:hAnsiTheme="minorHAnsi" w:cstheme="minorHAnsi"/>
          <w:lang w:eastAsia="en-US"/>
        </w:rPr>
        <w:t>Throughout 2018</w:t>
      </w:r>
      <w:r w:rsidR="00310E2A">
        <w:rPr>
          <w:rFonts w:asciiTheme="minorHAnsi" w:eastAsiaTheme="minorEastAsia" w:hAnsiTheme="minorHAnsi" w:cstheme="minorHAnsi"/>
          <w:lang w:eastAsia="en-US"/>
        </w:rPr>
        <w:t>–</w:t>
      </w:r>
      <w:r w:rsidRPr="00A870A1">
        <w:rPr>
          <w:rFonts w:asciiTheme="minorHAnsi" w:eastAsiaTheme="minorEastAsia" w:hAnsiTheme="minorHAnsi" w:cstheme="minorHAnsi"/>
          <w:lang w:eastAsia="en-US"/>
        </w:rPr>
        <w:t>23</w:t>
      </w:r>
      <w:r w:rsidR="00273C72">
        <w:rPr>
          <w:rFonts w:asciiTheme="minorHAnsi" w:eastAsiaTheme="minorEastAsia" w:hAnsiTheme="minorHAnsi" w:cstheme="minorHAnsi"/>
          <w:lang w:eastAsia="en-US"/>
        </w:rPr>
        <w:t>,</w:t>
      </w:r>
      <w:r w:rsidR="00273C72">
        <w:rPr>
          <w:rFonts w:ascii="Arial" w:eastAsiaTheme="minorHAnsi" w:hAnsi="Arial" w:cs="Arial"/>
          <w:sz w:val="22"/>
          <w:szCs w:val="22"/>
        </w:rPr>
        <w:t xml:space="preserve"> </w:t>
      </w:r>
      <w:r w:rsidR="00273C72" w:rsidRPr="000B77E8">
        <w:rPr>
          <w:rFonts w:ascii="Arial" w:eastAsiaTheme="minorHAnsi" w:hAnsi="Arial" w:cs="Arial"/>
        </w:rPr>
        <w:t>our</w:t>
      </w:r>
      <w:r w:rsidRPr="00A870A1">
        <w:rPr>
          <w:rFonts w:asciiTheme="minorHAnsi" w:eastAsiaTheme="minorEastAsia" w:hAnsiTheme="minorHAnsi" w:cstheme="minorHAnsi"/>
          <w:lang w:eastAsia="en-US"/>
        </w:rPr>
        <w:t xml:space="preserve"> major capital works programs have demonstrated </w:t>
      </w:r>
      <w:r w:rsidR="00D5242F">
        <w:rPr>
          <w:rFonts w:asciiTheme="minorHAnsi" w:eastAsiaTheme="minorEastAsia" w:hAnsiTheme="minorHAnsi" w:cstheme="minorHAnsi"/>
          <w:lang w:eastAsia="en-US"/>
        </w:rPr>
        <w:t>our</w:t>
      </w:r>
      <w:r w:rsidRPr="00A870A1">
        <w:rPr>
          <w:rFonts w:asciiTheme="minorHAnsi" w:eastAsiaTheme="minorEastAsia" w:hAnsiTheme="minorHAnsi" w:cstheme="minorHAnsi"/>
          <w:lang w:eastAsia="en-US"/>
        </w:rPr>
        <w:t xml:space="preserve"> ability </w:t>
      </w:r>
      <w:r w:rsidR="00571A03">
        <w:rPr>
          <w:rFonts w:asciiTheme="minorHAnsi" w:eastAsiaTheme="minorEastAsia" w:hAnsiTheme="minorHAnsi" w:cstheme="minorHAnsi"/>
          <w:lang w:eastAsia="en-US"/>
        </w:rPr>
        <w:br/>
      </w:r>
      <w:r w:rsidRPr="00A870A1">
        <w:rPr>
          <w:rFonts w:asciiTheme="minorHAnsi" w:eastAsiaTheme="minorEastAsia" w:hAnsiTheme="minorHAnsi" w:cstheme="minorHAnsi"/>
          <w:lang w:eastAsia="en-US"/>
        </w:rPr>
        <w:t xml:space="preserve">to manage costs below observed escalation levels in the construction sector. </w:t>
      </w:r>
    </w:p>
    <w:p w14:paraId="780D7BE9" w14:textId="78ADB000" w:rsidR="007B559C" w:rsidRPr="00B57414" w:rsidRDefault="007B559C" w:rsidP="007B559C">
      <w:pPr>
        <w:pStyle w:val="paragraph"/>
        <w:spacing w:before="0" w:beforeAutospacing="0" w:after="160" w:afterAutospacing="0" w:line="259" w:lineRule="auto"/>
        <w:textAlignment w:val="baseline"/>
        <w:rPr>
          <w:rFonts w:ascii="Arial" w:eastAsiaTheme="minorHAnsi" w:hAnsi="Arial" w:cs="Arial"/>
          <w:lang w:eastAsia="en-US"/>
        </w:rPr>
      </w:pPr>
      <w:r w:rsidRPr="00B57414">
        <w:rPr>
          <w:rFonts w:asciiTheme="minorHAnsi" w:hAnsiTheme="minorHAnsi" w:cstheme="minorHAnsi"/>
        </w:rPr>
        <w:t xml:space="preserve">Finally, we </w:t>
      </w:r>
      <w:r w:rsidR="00735F8D">
        <w:rPr>
          <w:rFonts w:asciiTheme="minorHAnsi" w:hAnsiTheme="minorHAnsi" w:cstheme="minorHAnsi"/>
        </w:rPr>
        <w:t xml:space="preserve">have </w:t>
      </w:r>
      <w:r w:rsidRPr="00B57414">
        <w:rPr>
          <w:rFonts w:asciiTheme="minorHAnsi" w:hAnsiTheme="minorHAnsi" w:cstheme="minorHAnsi"/>
        </w:rPr>
        <w:t xml:space="preserve">incorporated cost efficiencies in </w:t>
      </w:r>
      <w:r w:rsidR="005C77C0">
        <w:rPr>
          <w:rFonts w:asciiTheme="minorHAnsi" w:hAnsiTheme="minorHAnsi" w:cstheme="minorHAnsi"/>
        </w:rPr>
        <w:t>the</w:t>
      </w:r>
      <w:r w:rsidRPr="00B57414">
        <w:rPr>
          <w:rFonts w:asciiTheme="minorHAnsi" w:hAnsiTheme="minorHAnsi" w:cstheme="minorHAnsi"/>
        </w:rPr>
        <w:t xml:space="preserve"> capital expenditure program that we</w:t>
      </w:r>
      <w:r w:rsidR="00FC78E5">
        <w:rPr>
          <w:rFonts w:asciiTheme="minorHAnsi" w:hAnsiTheme="minorHAnsi" w:cstheme="minorHAnsi"/>
        </w:rPr>
        <w:t>re</w:t>
      </w:r>
      <w:r w:rsidRPr="00B57414">
        <w:rPr>
          <w:rFonts w:asciiTheme="minorHAnsi" w:hAnsiTheme="minorHAnsi" w:cstheme="minorHAnsi"/>
        </w:rPr>
        <w:t xml:space="preserve"> developed</w:t>
      </w:r>
      <w:r w:rsidRPr="00B57414">
        <w:rPr>
          <w:rFonts w:ascii="Arial" w:hAnsi="Arial" w:cs="Arial"/>
        </w:rPr>
        <w:t xml:space="preserve"> through delivery of programs in </w:t>
      </w:r>
      <w:r w:rsidR="007546E1">
        <w:rPr>
          <w:rFonts w:ascii="Arial" w:hAnsi="Arial" w:cs="Arial"/>
        </w:rPr>
        <w:t>the current and</w:t>
      </w:r>
      <w:r w:rsidRPr="00B57414">
        <w:rPr>
          <w:rFonts w:ascii="Arial" w:hAnsi="Arial" w:cs="Arial"/>
        </w:rPr>
        <w:t xml:space="preserve"> previous regulatory periods. </w:t>
      </w:r>
      <w:r w:rsidR="007C3F5E">
        <w:rPr>
          <w:rFonts w:ascii="Arial" w:hAnsi="Arial" w:cs="Arial"/>
        </w:rPr>
        <w:t>These</w:t>
      </w:r>
      <w:r w:rsidRPr="00B57414">
        <w:rPr>
          <w:rFonts w:ascii="Arial" w:hAnsi="Arial" w:cs="Arial"/>
        </w:rPr>
        <w:t xml:space="preserve"> include:</w:t>
      </w:r>
      <w:r w:rsidR="00A1315F">
        <w:rPr>
          <w:rFonts w:ascii="Arial" w:hAnsi="Arial" w:cs="Arial"/>
        </w:rPr>
        <w:t xml:space="preserve"> </w:t>
      </w:r>
    </w:p>
    <w:p w14:paraId="38578684" w14:textId="636E6D72" w:rsidR="007B559C" w:rsidRPr="00B6267B" w:rsidRDefault="00EE0F72">
      <w:pPr>
        <w:pStyle w:val="ListParagraph"/>
        <w:numPr>
          <w:ilvl w:val="0"/>
          <w:numId w:val="82"/>
        </w:numPr>
        <w:spacing w:after="160" w:line="259" w:lineRule="auto"/>
        <w:ind w:left="284" w:hanging="284"/>
        <w:rPr>
          <w:rFonts w:cs="Arial"/>
        </w:rPr>
      </w:pPr>
      <w:r>
        <w:rPr>
          <w:rFonts w:cs="Arial"/>
        </w:rPr>
        <w:t>d</w:t>
      </w:r>
      <w:r w:rsidR="007B559C" w:rsidRPr="00B57414">
        <w:rPr>
          <w:rFonts w:cs="Arial"/>
        </w:rPr>
        <w:t xml:space="preserve">elivering network renewal programs by packaging projects by geographical areas </w:t>
      </w:r>
      <w:r w:rsidR="00571A03">
        <w:rPr>
          <w:rFonts w:cs="Arial"/>
        </w:rPr>
        <w:br/>
      </w:r>
      <w:r w:rsidR="007B559C" w:rsidRPr="00B57414">
        <w:rPr>
          <w:rFonts w:cs="Arial"/>
        </w:rPr>
        <w:t>to</w:t>
      </w:r>
      <w:r w:rsidR="007B559C" w:rsidRPr="62F27647">
        <w:rPr>
          <w:rFonts w:cs="Arial"/>
        </w:rPr>
        <w:t xml:space="preserve"> </w:t>
      </w:r>
      <w:r w:rsidR="007B559C">
        <w:rPr>
          <w:rFonts w:cs="Arial"/>
        </w:rPr>
        <w:t>reduce project management overheads.</w:t>
      </w:r>
      <w:r w:rsidR="00D7050A">
        <w:rPr>
          <w:rFonts w:cs="Arial"/>
        </w:rPr>
        <w:t xml:space="preserve"> </w:t>
      </w:r>
      <w:r w:rsidR="003E109D">
        <w:rPr>
          <w:rFonts w:cs="Arial"/>
        </w:rPr>
        <w:t>For example, we took</w:t>
      </w:r>
      <w:r w:rsidR="00D7050A">
        <w:t xml:space="preserve"> a</w:t>
      </w:r>
      <w:r w:rsidR="00D7050A">
        <w:rPr>
          <w:rFonts w:cs="Arial"/>
        </w:rPr>
        <w:t xml:space="preserve"> </w:t>
      </w:r>
      <w:r w:rsidR="00D7050A">
        <w:t>catchment-based approach to treatment plant planning to optimise the use of different treatment plant capacities</w:t>
      </w:r>
    </w:p>
    <w:p w14:paraId="10D04CF3" w14:textId="3D91DFAF" w:rsidR="007B559C" w:rsidRPr="00B6267B" w:rsidRDefault="00EE0F72">
      <w:pPr>
        <w:pStyle w:val="ListParagraph"/>
        <w:numPr>
          <w:ilvl w:val="0"/>
          <w:numId w:val="82"/>
        </w:numPr>
        <w:spacing w:after="160" w:line="259" w:lineRule="auto"/>
        <w:ind w:left="284" w:hanging="284"/>
        <w:rPr>
          <w:rFonts w:cs="Arial"/>
        </w:rPr>
      </w:pPr>
      <w:r>
        <w:rPr>
          <w:rFonts w:cs="Arial"/>
        </w:rPr>
        <w:t>e</w:t>
      </w:r>
      <w:r w:rsidR="007B559C" w:rsidRPr="00B6267B">
        <w:rPr>
          <w:rFonts w:cs="Arial"/>
        </w:rPr>
        <w:t xml:space="preserve">nsuring planned </w:t>
      </w:r>
      <w:r w:rsidR="00B67637">
        <w:rPr>
          <w:rFonts w:cs="Arial"/>
        </w:rPr>
        <w:t>capital investment consider</w:t>
      </w:r>
      <w:r w:rsidR="00C052B5">
        <w:rPr>
          <w:rFonts w:cs="Arial"/>
        </w:rPr>
        <w:t>s</w:t>
      </w:r>
      <w:r w:rsidR="00B67637" w:rsidRPr="00B6267B">
        <w:rPr>
          <w:rFonts w:cs="Arial"/>
        </w:rPr>
        <w:t xml:space="preserve"> </w:t>
      </w:r>
      <w:r w:rsidR="00B67637">
        <w:rPr>
          <w:rFonts w:cs="Arial"/>
        </w:rPr>
        <w:t>the associated impact on</w:t>
      </w:r>
      <w:r w:rsidR="00C57D97">
        <w:rPr>
          <w:rFonts w:cs="Arial"/>
        </w:rPr>
        <w:t xml:space="preserve"> </w:t>
      </w:r>
      <w:r w:rsidR="007B559C" w:rsidRPr="00B6267B">
        <w:rPr>
          <w:rFonts w:cs="Arial"/>
        </w:rPr>
        <w:t xml:space="preserve">operational </w:t>
      </w:r>
      <w:r w:rsidR="00C57D97">
        <w:rPr>
          <w:rFonts w:cs="Arial"/>
        </w:rPr>
        <w:t>expenditure</w:t>
      </w:r>
      <w:r w:rsidR="00201F2C">
        <w:rPr>
          <w:rFonts w:cs="Arial"/>
        </w:rPr>
        <w:t xml:space="preserve"> when</w:t>
      </w:r>
      <w:r w:rsidR="00086351">
        <w:rPr>
          <w:rFonts w:cs="Arial"/>
        </w:rPr>
        <w:t xml:space="preserve"> </w:t>
      </w:r>
      <w:r w:rsidR="0020084C">
        <w:rPr>
          <w:rFonts w:cs="Arial"/>
        </w:rPr>
        <w:t xml:space="preserve">constructing and </w:t>
      </w:r>
      <w:r w:rsidR="00266C33">
        <w:rPr>
          <w:rFonts w:cs="Arial"/>
        </w:rPr>
        <w:t>managing our assets</w:t>
      </w:r>
      <w:r w:rsidR="00086351">
        <w:rPr>
          <w:rFonts w:cs="Arial"/>
        </w:rPr>
        <w:t>.</w:t>
      </w:r>
      <w:r w:rsidR="006A4E81">
        <w:rPr>
          <w:rFonts w:cs="Arial"/>
        </w:rPr>
        <w:t xml:space="preserve"> </w:t>
      </w:r>
      <w:r w:rsidR="00AE53F4">
        <w:rPr>
          <w:rFonts w:cs="Arial"/>
        </w:rPr>
        <w:t>For</w:t>
      </w:r>
      <w:r w:rsidR="00C57D97">
        <w:rPr>
          <w:rFonts w:cs="Arial"/>
        </w:rPr>
        <w:t xml:space="preserve"> </w:t>
      </w:r>
      <w:r w:rsidR="007B559C">
        <w:rPr>
          <w:rFonts w:cs="Arial"/>
        </w:rPr>
        <w:t xml:space="preserve">example, </w:t>
      </w:r>
      <w:r w:rsidR="00736A6E">
        <w:rPr>
          <w:rFonts w:cs="Arial"/>
        </w:rPr>
        <w:t xml:space="preserve">we have </w:t>
      </w:r>
      <w:r w:rsidR="007B559C" w:rsidRPr="00C539E2">
        <w:rPr>
          <w:rFonts w:cs="Arial"/>
        </w:rPr>
        <w:t>incorporate</w:t>
      </w:r>
      <w:r w:rsidR="00736A6E">
        <w:rPr>
          <w:rFonts w:cs="Arial"/>
        </w:rPr>
        <w:t>d</w:t>
      </w:r>
      <w:r w:rsidR="007B559C" w:rsidRPr="00C539E2">
        <w:rPr>
          <w:rFonts w:cs="Arial"/>
        </w:rPr>
        <w:t xml:space="preserve"> innovative and energy-efficient treatment technologies </w:t>
      </w:r>
      <w:r w:rsidR="00736A6E">
        <w:rPr>
          <w:rFonts w:cs="Arial"/>
        </w:rPr>
        <w:t xml:space="preserve">when upgrading infrastructure at our water recycling plants </w:t>
      </w:r>
      <w:r w:rsidR="004A0D2A">
        <w:rPr>
          <w:rFonts w:cs="Arial"/>
        </w:rPr>
        <w:t>to</w:t>
      </w:r>
      <w:r w:rsidR="007B559C" w:rsidRPr="00C539E2">
        <w:rPr>
          <w:rFonts w:cs="Arial"/>
        </w:rPr>
        <w:t xml:space="preserve"> help ensure the reliable production of fit-for-purpose recycled water</w:t>
      </w:r>
    </w:p>
    <w:p w14:paraId="2224B556" w14:textId="1DCB01B9" w:rsidR="007B559C" w:rsidRPr="00B6267B" w:rsidRDefault="00EE0F72">
      <w:pPr>
        <w:pStyle w:val="ListParagraph"/>
        <w:numPr>
          <w:ilvl w:val="0"/>
          <w:numId w:val="82"/>
        </w:numPr>
        <w:spacing w:after="160" w:line="259" w:lineRule="auto"/>
        <w:ind w:left="284" w:hanging="284"/>
        <w:rPr>
          <w:rFonts w:cs="Arial"/>
        </w:rPr>
      </w:pPr>
      <w:r>
        <w:rPr>
          <w:rFonts w:cs="Arial"/>
        </w:rPr>
        <w:lastRenderedPageBreak/>
        <w:t>t</w:t>
      </w:r>
      <w:r w:rsidR="007B559C" w:rsidRPr="00B6267B">
        <w:rPr>
          <w:rFonts w:cs="Arial"/>
        </w:rPr>
        <w:t xml:space="preserve">aking a risk-based approach to determine </w:t>
      </w:r>
      <w:r w:rsidR="007B559C" w:rsidRPr="3AE9711A">
        <w:rPr>
          <w:rFonts w:cs="Arial"/>
        </w:rPr>
        <w:t xml:space="preserve">the optimal risk control or risk mitigation </w:t>
      </w:r>
      <w:r w:rsidR="001327AD">
        <w:rPr>
          <w:rFonts w:cs="Arial"/>
        </w:rPr>
        <w:t>solution</w:t>
      </w:r>
      <w:r w:rsidR="007B559C" w:rsidRPr="3AE9711A">
        <w:rPr>
          <w:rFonts w:cs="Arial"/>
        </w:rPr>
        <w:t xml:space="preserve">. </w:t>
      </w:r>
      <w:r w:rsidR="007B559C">
        <w:rPr>
          <w:rFonts w:cs="Arial"/>
        </w:rPr>
        <w:t xml:space="preserve">This includes </w:t>
      </w:r>
      <w:r w:rsidR="007B559C" w:rsidRPr="3AE9711A">
        <w:rPr>
          <w:rFonts w:cs="Arial"/>
        </w:rPr>
        <w:t>implementing advanced monitoring and alarm</w:t>
      </w:r>
      <w:r w:rsidR="006451EA">
        <w:rPr>
          <w:rFonts w:cs="Arial"/>
        </w:rPr>
        <w:t xml:space="preserve"> systems</w:t>
      </w:r>
      <w:r w:rsidR="007B559C" w:rsidRPr="3AE9711A">
        <w:rPr>
          <w:rFonts w:cs="Arial"/>
        </w:rPr>
        <w:t xml:space="preserve"> to our high</w:t>
      </w:r>
      <w:r w:rsidR="008A781C">
        <w:rPr>
          <w:rFonts w:cs="Arial"/>
        </w:rPr>
        <w:t>-</w:t>
      </w:r>
      <w:r w:rsidR="007B559C" w:rsidRPr="3AE9711A">
        <w:rPr>
          <w:rFonts w:cs="Arial"/>
        </w:rPr>
        <w:t xml:space="preserve">risk assets to minimise the impact of asset failure </w:t>
      </w:r>
      <w:r w:rsidR="00F31CD4">
        <w:rPr>
          <w:rFonts w:cs="Arial"/>
        </w:rPr>
        <w:t>on customers</w:t>
      </w:r>
      <w:r w:rsidR="00BF2274">
        <w:rPr>
          <w:rFonts w:cs="Arial"/>
        </w:rPr>
        <w:t xml:space="preserve">, </w:t>
      </w:r>
      <w:r w:rsidR="00E9145D">
        <w:rPr>
          <w:rFonts w:cs="Arial"/>
        </w:rPr>
        <w:t xml:space="preserve">and </w:t>
      </w:r>
      <w:r w:rsidR="00D81EFD">
        <w:rPr>
          <w:rFonts w:cs="Arial"/>
        </w:rPr>
        <w:t>to report on</w:t>
      </w:r>
      <w:r w:rsidR="007B559C" w:rsidRPr="00B6267B">
        <w:rPr>
          <w:rFonts w:cs="Arial"/>
        </w:rPr>
        <w:t xml:space="preserve"> the condition of </w:t>
      </w:r>
      <w:r w:rsidR="007B559C" w:rsidRPr="3AE9711A">
        <w:rPr>
          <w:rFonts w:cs="Arial"/>
        </w:rPr>
        <w:t xml:space="preserve">our critical </w:t>
      </w:r>
      <w:r w:rsidR="007B559C" w:rsidRPr="00B6267B">
        <w:rPr>
          <w:rFonts w:cs="Arial"/>
        </w:rPr>
        <w:t>water and sewerage assets</w:t>
      </w:r>
      <w:r w:rsidR="007B559C" w:rsidRPr="3AE9711A">
        <w:rPr>
          <w:rFonts w:cs="Arial"/>
        </w:rPr>
        <w:t xml:space="preserve"> to inform </w:t>
      </w:r>
      <w:r w:rsidR="00777F1C">
        <w:rPr>
          <w:rFonts w:cs="Arial"/>
        </w:rPr>
        <w:t>timely</w:t>
      </w:r>
      <w:r w:rsidR="007B559C" w:rsidRPr="3AE9711A">
        <w:rPr>
          <w:rFonts w:cs="Arial"/>
        </w:rPr>
        <w:t xml:space="preserve"> augmentation </w:t>
      </w:r>
    </w:p>
    <w:p w14:paraId="754D5A6A" w14:textId="100DE9D5" w:rsidR="007B559C" w:rsidRPr="00B6267B" w:rsidRDefault="00EE0F72">
      <w:pPr>
        <w:pStyle w:val="ListParagraph"/>
        <w:numPr>
          <w:ilvl w:val="0"/>
          <w:numId w:val="82"/>
        </w:numPr>
        <w:spacing w:after="160" w:line="259" w:lineRule="auto"/>
        <w:ind w:left="284" w:hanging="284"/>
        <w:rPr>
          <w:rFonts w:cs="Arial"/>
        </w:rPr>
      </w:pPr>
      <w:r>
        <w:rPr>
          <w:rFonts w:cs="Arial"/>
        </w:rPr>
        <w:t>p</w:t>
      </w:r>
      <w:r w:rsidR="007B559C" w:rsidRPr="00B6267B">
        <w:rPr>
          <w:rFonts w:cs="Arial"/>
        </w:rPr>
        <w:t xml:space="preserve">rioritising projects to deliver energy-use efficiencies based on </w:t>
      </w:r>
      <w:r w:rsidR="004706F8">
        <w:rPr>
          <w:rFonts w:cs="Arial"/>
        </w:rPr>
        <w:t>a positive</w:t>
      </w:r>
      <w:r w:rsidR="007B559C" w:rsidRPr="00B6267B">
        <w:rPr>
          <w:rFonts w:cs="Arial"/>
        </w:rPr>
        <w:t xml:space="preserve"> return.</w:t>
      </w:r>
    </w:p>
    <w:p w14:paraId="5C853842" w14:textId="4E709F8C" w:rsidR="004626D5" w:rsidRPr="004626D5" w:rsidRDefault="004626D5" w:rsidP="004626D5">
      <w:pPr>
        <w:pStyle w:val="Heading3"/>
      </w:pPr>
      <w:r w:rsidRPr="004626D5">
        <w:t>Whole-of-program approach</w:t>
      </w:r>
      <w:r w:rsidR="007D124E">
        <w:t xml:space="preserve"> (risk bank)</w:t>
      </w:r>
    </w:p>
    <w:p w14:paraId="262A66E7" w14:textId="0D71B532" w:rsidR="00D100A3" w:rsidRDefault="00D100A3" w:rsidP="00D100A3">
      <w:pPr>
        <w:pStyle w:val="CommentText"/>
        <w:rPr>
          <w:color w:val="000000"/>
        </w:rPr>
      </w:pPr>
      <w:r>
        <w:rPr>
          <w:color w:val="000000"/>
        </w:rPr>
        <w:t xml:space="preserve">Moving forward, we will continue to deliver cost efficiencies and remain within our allocated capital program by taking a whole-of-capital program approach to managing risk </w:t>
      </w:r>
      <w:r w:rsidR="000F4EA9">
        <w:rPr>
          <w:color w:val="000000"/>
        </w:rPr>
        <w:t>through the utilisation of</w:t>
      </w:r>
      <w:r>
        <w:rPr>
          <w:color w:val="000000"/>
        </w:rPr>
        <w:t xml:space="preserve"> our risk bank. </w:t>
      </w:r>
    </w:p>
    <w:p w14:paraId="5B7AD996" w14:textId="14A0C70B" w:rsidR="000D4498" w:rsidRDefault="003E1033" w:rsidP="00D100A3">
      <w:pPr>
        <w:rPr>
          <w:rFonts w:cs="Arial"/>
          <w:color w:val="000000"/>
        </w:rPr>
      </w:pPr>
      <w:r>
        <w:rPr>
          <w:rFonts w:cs="Arial"/>
          <w:color w:val="000000"/>
        </w:rPr>
        <w:t>Traditionally, project risk is managed individually at a p</w:t>
      </w:r>
      <w:r w:rsidR="0060554B">
        <w:rPr>
          <w:rFonts w:cs="Arial"/>
          <w:color w:val="000000"/>
        </w:rPr>
        <w:t>roject approval level</w:t>
      </w:r>
      <w:r w:rsidR="00F954A8">
        <w:rPr>
          <w:rFonts w:cs="Arial"/>
          <w:color w:val="000000"/>
        </w:rPr>
        <w:t xml:space="preserve"> but</w:t>
      </w:r>
      <w:r w:rsidR="0028208D">
        <w:rPr>
          <w:rFonts w:cs="Arial"/>
          <w:color w:val="000000"/>
        </w:rPr>
        <w:t xml:space="preserve">, </w:t>
      </w:r>
      <w:r w:rsidR="00F954A8">
        <w:rPr>
          <w:rFonts w:cs="Arial"/>
          <w:color w:val="000000"/>
        </w:rPr>
        <w:t>using</w:t>
      </w:r>
      <w:r w:rsidR="0028208D">
        <w:rPr>
          <w:rFonts w:cs="Arial"/>
          <w:color w:val="000000"/>
        </w:rPr>
        <w:t xml:space="preserve"> o</w:t>
      </w:r>
      <w:r w:rsidR="00D100A3">
        <w:rPr>
          <w:rFonts w:cs="Arial"/>
          <w:color w:val="000000"/>
        </w:rPr>
        <w:t>ur risk bank</w:t>
      </w:r>
      <w:r w:rsidR="00444808">
        <w:rPr>
          <w:rFonts w:cs="Arial"/>
          <w:color w:val="000000"/>
        </w:rPr>
        <w:t>, we</w:t>
      </w:r>
      <w:r w:rsidR="00C71295">
        <w:rPr>
          <w:rFonts w:cs="Arial"/>
          <w:color w:val="000000"/>
        </w:rPr>
        <w:t xml:space="preserve"> </w:t>
      </w:r>
      <w:r w:rsidR="00E5729C">
        <w:rPr>
          <w:rFonts w:cs="Arial"/>
          <w:color w:val="000000"/>
        </w:rPr>
        <w:t>now</w:t>
      </w:r>
      <w:r w:rsidR="00C71295">
        <w:rPr>
          <w:rFonts w:cs="Arial"/>
          <w:color w:val="000000"/>
        </w:rPr>
        <w:t xml:space="preserve"> manage </w:t>
      </w:r>
      <w:r w:rsidR="00444808">
        <w:rPr>
          <w:rFonts w:cs="Arial"/>
          <w:color w:val="000000"/>
        </w:rPr>
        <w:t xml:space="preserve">project </w:t>
      </w:r>
      <w:r w:rsidR="00C71295">
        <w:rPr>
          <w:rFonts w:cs="Arial"/>
          <w:color w:val="000000"/>
        </w:rPr>
        <w:t>risk at a</w:t>
      </w:r>
      <w:r w:rsidR="009F696B">
        <w:rPr>
          <w:rFonts w:cs="Arial"/>
          <w:color w:val="000000"/>
        </w:rPr>
        <w:t>n asset</w:t>
      </w:r>
      <w:r w:rsidR="00C71295">
        <w:rPr>
          <w:rFonts w:cs="Arial"/>
          <w:color w:val="000000"/>
        </w:rPr>
        <w:t xml:space="preserve"> program level</w:t>
      </w:r>
      <w:r w:rsidR="000D4498">
        <w:rPr>
          <w:rFonts w:cs="Arial"/>
          <w:color w:val="000000"/>
        </w:rPr>
        <w:t xml:space="preserve"> which has helped us </w:t>
      </w:r>
      <w:r w:rsidR="006A6EF9">
        <w:rPr>
          <w:rFonts w:cs="Arial"/>
          <w:color w:val="000000"/>
        </w:rPr>
        <w:t>remain within our capital expenditure benchmark allowance for the current regulatory period</w:t>
      </w:r>
      <w:r w:rsidR="00E87047">
        <w:rPr>
          <w:rFonts w:cs="Arial"/>
          <w:color w:val="000000"/>
        </w:rPr>
        <w:t xml:space="preserve">. </w:t>
      </w:r>
    </w:p>
    <w:p w14:paraId="10F1FC1C" w14:textId="2C1FA29A" w:rsidR="00FE7045" w:rsidRDefault="00B45731" w:rsidP="00B80802">
      <w:pPr>
        <w:spacing w:after="240"/>
        <w:rPr>
          <w:rFonts w:cs="Arial"/>
        </w:rPr>
      </w:pPr>
      <w:r>
        <w:rPr>
          <w:rFonts w:cs="Arial"/>
          <w:color w:val="000000"/>
        </w:rPr>
        <w:t>As depicted in</w:t>
      </w:r>
      <w:r w:rsidR="00B8168F">
        <w:rPr>
          <w:rFonts w:cs="Arial"/>
          <w:color w:val="000000"/>
        </w:rPr>
        <w:t xml:space="preserve"> </w:t>
      </w:r>
      <w:r w:rsidR="009443C5">
        <w:rPr>
          <w:rFonts w:cs="Arial"/>
          <w:color w:val="000000"/>
        </w:rPr>
        <w:t xml:space="preserve">Figure 6 </w:t>
      </w:r>
      <w:r w:rsidR="00B8168F">
        <w:rPr>
          <w:rFonts w:cs="Arial"/>
          <w:color w:val="000000"/>
        </w:rPr>
        <w:t>below</w:t>
      </w:r>
      <w:r w:rsidR="00C93BE6">
        <w:rPr>
          <w:rFonts w:cs="Arial"/>
          <w:color w:val="000000"/>
        </w:rPr>
        <w:t>,</w:t>
      </w:r>
      <w:r>
        <w:rPr>
          <w:rFonts w:cs="Arial"/>
          <w:color w:val="000000"/>
        </w:rPr>
        <w:t xml:space="preserve"> </w:t>
      </w:r>
      <w:r w:rsidR="00C93BE6">
        <w:rPr>
          <w:rFonts w:cs="Arial"/>
          <w:color w:val="000000"/>
        </w:rPr>
        <w:t>w</w:t>
      </w:r>
      <w:r w:rsidR="00740FA7">
        <w:rPr>
          <w:rFonts w:cs="Arial"/>
          <w:color w:val="000000"/>
        </w:rPr>
        <w:t xml:space="preserve">e use our risk bank </w:t>
      </w:r>
      <w:r w:rsidR="00D100A3">
        <w:rPr>
          <w:rFonts w:cs="Arial"/>
          <w:color w:val="000000"/>
        </w:rPr>
        <w:t>at multiple points during a project</w:t>
      </w:r>
      <w:r w:rsidR="00612583">
        <w:rPr>
          <w:rFonts w:cs="Arial"/>
          <w:color w:val="000000"/>
        </w:rPr>
        <w:t>’</w:t>
      </w:r>
      <w:r w:rsidR="00D100A3">
        <w:rPr>
          <w:rFonts w:cs="Arial"/>
          <w:color w:val="000000"/>
        </w:rPr>
        <w:t xml:space="preserve">s lifecycle to </w:t>
      </w:r>
      <w:r w:rsidR="00D100A3">
        <w:rPr>
          <w:rFonts w:cs="Arial"/>
        </w:rPr>
        <w:t>reallocate funds to</w:t>
      </w:r>
      <w:r w:rsidR="00D100A3">
        <w:rPr>
          <w:rFonts w:cs="Arial"/>
          <w:color w:val="000000"/>
        </w:rPr>
        <w:t xml:space="preserve"> projects that </w:t>
      </w:r>
      <w:r w:rsidR="000B3468">
        <w:rPr>
          <w:rFonts w:cs="Arial"/>
          <w:color w:val="000000"/>
        </w:rPr>
        <w:t>may</w:t>
      </w:r>
      <w:r w:rsidR="00D100A3">
        <w:rPr>
          <w:rFonts w:cs="Arial"/>
          <w:color w:val="000000"/>
        </w:rPr>
        <w:t xml:space="preserve"> go over budget through a reserve of unrealised risks within our capital investment program. </w:t>
      </w:r>
      <w:r w:rsidR="00FE7045">
        <w:rPr>
          <w:rFonts w:cs="Arial"/>
        </w:rPr>
        <w:t>For example, during the 2018</w:t>
      </w:r>
      <w:r w:rsidR="00310E2A">
        <w:rPr>
          <w:rFonts w:cs="Arial"/>
        </w:rPr>
        <w:t>–</w:t>
      </w:r>
      <w:r w:rsidR="00FE7045">
        <w:rPr>
          <w:rFonts w:cs="Arial"/>
        </w:rPr>
        <w:t>23 regulatory period, we used the risk bank to fund the $19.2</w:t>
      </w:r>
      <w:r w:rsidR="000F115F">
        <w:rPr>
          <w:rFonts w:cs="Arial"/>
        </w:rPr>
        <w:t> </w:t>
      </w:r>
      <w:r w:rsidR="00FE7045" w:rsidRPr="008A0897">
        <w:rPr>
          <w:rFonts w:cs="Arial"/>
        </w:rPr>
        <w:t>m</w:t>
      </w:r>
      <w:r w:rsidR="000F115F" w:rsidRPr="008A0897">
        <w:rPr>
          <w:rFonts w:cs="Arial"/>
        </w:rPr>
        <w:t>illion</w:t>
      </w:r>
      <w:r w:rsidR="00FE7045" w:rsidRPr="008A0897">
        <w:rPr>
          <w:rFonts w:cs="Arial"/>
        </w:rPr>
        <w:t xml:space="preserve"> or 14.7</w:t>
      </w:r>
      <w:r w:rsidR="009E64C5" w:rsidRPr="008A0897">
        <w:rPr>
          <w:rFonts w:cs="Arial"/>
        </w:rPr>
        <w:t xml:space="preserve">% </w:t>
      </w:r>
      <w:r w:rsidR="00FE7045" w:rsidRPr="008A0897">
        <w:rPr>
          <w:rFonts w:cs="Arial"/>
        </w:rPr>
        <w:t>overspend</w:t>
      </w:r>
      <w:r w:rsidR="0000089E" w:rsidRPr="008A0897">
        <w:rPr>
          <w:rStyle w:val="FootnoteReference"/>
          <w:rFonts w:cs="Arial"/>
          <w:color w:val="auto"/>
        </w:rPr>
        <w:footnoteReference w:id="15"/>
      </w:r>
      <w:r w:rsidR="00FE7045" w:rsidRPr="008A0897">
        <w:rPr>
          <w:rFonts w:cs="Arial"/>
        </w:rPr>
        <w:t xml:space="preserve"> </w:t>
      </w:r>
      <w:r w:rsidR="00FE7045">
        <w:rPr>
          <w:rFonts w:cs="Arial"/>
        </w:rPr>
        <w:t xml:space="preserve">on the Boneo </w:t>
      </w:r>
      <w:r w:rsidR="00EB0E6C">
        <w:rPr>
          <w:rFonts w:cs="Arial"/>
        </w:rPr>
        <w:t>W</w:t>
      </w:r>
      <w:r w:rsidR="002546C6">
        <w:rPr>
          <w:rFonts w:cs="Arial"/>
        </w:rPr>
        <w:t>ater Recycling Plant</w:t>
      </w:r>
      <w:r w:rsidR="00FE7045">
        <w:rPr>
          <w:rFonts w:cs="Arial"/>
        </w:rPr>
        <w:t xml:space="preserve"> – Stage 4 Upgrade project.</w:t>
      </w:r>
    </w:p>
    <w:p w14:paraId="3186D574" w14:textId="79C7A7A8" w:rsidR="00984B86" w:rsidRPr="009443C5" w:rsidRDefault="00571A03" w:rsidP="00B80802">
      <w:pPr>
        <w:spacing w:after="240"/>
        <w:rPr>
          <w:rFonts w:cs="Arial"/>
          <w:b/>
          <w:bCs/>
          <w:i/>
          <w:iCs/>
          <w:sz w:val="22"/>
          <w:szCs w:val="22"/>
        </w:rPr>
      </w:pPr>
      <w:r w:rsidRPr="009443C5">
        <w:rPr>
          <w:rFonts w:cs="Arial"/>
          <w:b/>
          <w:bCs/>
          <w:i/>
          <w:iCs/>
          <w:noProof/>
          <w:sz w:val="22"/>
          <w:szCs w:val="22"/>
        </w:rPr>
        <w:drawing>
          <wp:anchor distT="0" distB="0" distL="114300" distR="114300" simplePos="0" relativeHeight="251658311" behindDoc="0" locked="0" layoutInCell="1" allowOverlap="1" wp14:anchorId="4566C2E6" wp14:editId="4F54073D">
            <wp:simplePos x="0" y="0"/>
            <wp:positionH relativeFrom="column">
              <wp:posOffset>635</wp:posOffset>
            </wp:positionH>
            <wp:positionV relativeFrom="paragraph">
              <wp:posOffset>341219</wp:posOffset>
            </wp:positionV>
            <wp:extent cx="6257290" cy="3379470"/>
            <wp:effectExtent l="0" t="0" r="0" b="0"/>
            <wp:wrapTopAndBottom/>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257290" cy="3379470"/>
                    </a:xfrm>
                    <a:prstGeom prst="rect">
                      <a:avLst/>
                    </a:prstGeom>
                  </pic:spPr>
                </pic:pic>
              </a:graphicData>
            </a:graphic>
            <wp14:sizeRelH relativeFrom="page">
              <wp14:pctWidth>0</wp14:pctWidth>
            </wp14:sizeRelH>
            <wp14:sizeRelV relativeFrom="page">
              <wp14:pctHeight>0</wp14:pctHeight>
            </wp14:sizeRelV>
          </wp:anchor>
        </w:drawing>
      </w:r>
      <w:r w:rsidR="00877DE6" w:rsidRPr="009443C5">
        <w:rPr>
          <w:b/>
          <w:bCs/>
          <w:i/>
          <w:sz w:val="22"/>
          <w:szCs w:val="22"/>
        </w:rPr>
        <w:t xml:space="preserve">Figure </w:t>
      </w:r>
      <w:r w:rsidR="00EF41F8">
        <w:rPr>
          <w:b/>
          <w:i/>
          <w:sz w:val="22"/>
          <w:szCs w:val="22"/>
        </w:rPr>
        <w:t>6</w:t>
      </w:r>
      <w:r w:rsidR="009443C5" w:rsidRPr="009443C5">
        <w:rPr>
          <w:b/>
          <w:bCs/>
          <w:i/>
          <w:sz w:val="22"/>
          <w:szCs w:val="22"/>
        </w:rPr>
        <w:t>:</w:t>
      </w:r>
      <w:r w:rsidR="00984B86" w:rsidRPr="009443C5">
        <w:rPr>
          <w:rFonts w:cs="Arial"/>
          <w:b/>
          <w:bCs/>
          <w:i/>
          <w:iCs/>
          <w:sz w:val="22"/>
          <w:szCs w:val="22"/>
        </w:rPr>
        <w:t xml:space="preserve"> </w:t>
      </w:r>
      <w:r w:rsidR="00EE4A79" w:rsidRPr="009443C5">
        <w:rPr>
          <w:rFonts w:cs="Arial"/>
          <w:b/>
          <w:bCs/>
          <w:i/>
          <w:iCs/>
          <w:sz w:val="22"/>
          <w:szCs w:val="22"/>
        </w:rPr>
        <w:t xml:space="preserve">Project risk cost evolution </w:t>
      </w:r>
    </w:p>
    <w:p w14:paraId="1CFE8EC6" w14:textId="77777777" w:rsidR="00157580" w:rsidRDefault="00157580" w:rsidP="00116E55">
      <w:pPr>
        <w:spacing w:after="240"/>
        <w:rPr>
          <w:rFonts w:cs="Arial"/>
        </w:rPr>
      </w:pPr>
    </w:p>
    <w:p w14:paraId="7E6FA0AE" w14:textId="77777777" w:rsidR="00157580" w:rsidRDefault="00157580" w:rsidP="00116E55">
      <w:pPr>
        <w:spacing w:after="240"/>
        <w:rPr>
          <w:rFonts w:cs="Arial"/>
        </w:rPr>
      </w:pPr>
    </w:p>
    <w:p w14:paraId="63E40994" w14:textId="3B85F149" w:rsidR="00D100A3" w:rsidRDefault="00D100A3" w:rsidP="00116E55">
      <w:pPr>
        <w:spacing w:after="240"/>
        <w:rPr>
          <w:rFonts w:cs="Arial"/>
        </w:rPr>
      </w:pPr>
      <w:r>
        <w:rPr>
          <w:rFonts w:cs="Arial"/>
        </w:rPr>
        <w:lastRenderedPageBreak/>
        <w:t xml:space="preserve">The temporary risk bank reserve </w:t>
      </w:r>
      <w:r>
        <w:rPr>
          <w:rFonts w:cs="Arial"/>
          <w:color w:val="000000"/>
        </w:rPr>
        <w:t>is the difference between a project</w:t>
      </w:r>
      <w:r w:rsidR="00612583">
        <w:rPr>
          <w:rFonts w:cs="Arial"/>
          <w:color w:val="000000"/>
        </w:rPr>
        <w:t>’</w:t>
      </w:r>
      <w:r>
        <w:rPr>
          <w:rFonts w:cs="Arial"/>
          <w:color w:val="000000"/>
        </w:rPr>
        <w:t>s approval value (including a P95 estimate of the South East Water allocated risk) and the actual cost of the project.</w:t>
      </w:r>
      <w:r>
        <w:rPr>
          <w:rFonts w:cs="Arial"/>
        </w:rPr>
        <w:t xml:space="preserve"> </w:t>
      </w:r>
      <w:r>
        <w:rPr>
          <w:rFonts w:cs="Arial"/>
          <w:color w:val="000000"/>
        </w:rPr>
        <w:t xml:space="preserve">If additional funds are required during construction, </w:t>
      </w:r>
      <w:r>
        <w:rPr>
          <w:rFonts w:cs="Arial"/>
        </w:rPr>
        <w:t>temporary deposits from our risk bank reserve</w:t>
      </w:r>
      <w:r>
        <w:rPr>
          <w:rFonts w:cs="Arial"/>
          <w:color w:val="000000"/>
        </w:rPr>
        <w:t xml:space="preserve"> </w:t>
      </w:r>
      <w:r>
        <w:rPr>
          <w:rFonts w:cs="Arial"/>
        </w:rPr>
        <w:t>are</w:t>
      </w:r>
      <w:r>
        <w:rPr>
          <w:rFonts w:cs="Arial"/>
          <w:color w:val="000000"/>
        </w:rPr>
        <w:t xml:space="preserve"> made in accordance with our delegations of authority. Once a project is completed, the </w:t>
      </w:r>
      <w:r>
        <w:rPr>
          <w:rFonts w:cs="Arial"/>
        </w:rPr>
        <w:t>temporary deposit</w:t>
      </w:r>
      <w:r>
        <w:rPr>
          <w:rFonts w:cs="Arial"/>
          <w:color w:val="000000"/>
        </w:rPr>
        <w:t xml:space="preserve"> </w:t>
      </w:r>
      <w:r>
        <w:rPr>
          <w:rFonts w:cs="Arial"/>
        </w:rPr>
        <w:t xml:space="preserve">is </w:t>
      </w:r>
      <w:r>
        <w:rPr>
          <w:rFonts w:cs="Arial"/>
          <w:color w:val="000000"/>
        </w:rPr>
        <w:t>returned, and the fixed deposit</w:t>
      </w:r>
      <w:r w:rsidR="00E27178">
        <w:rPr>
          <w:rFonts w:cs="Arial"/>
          <w:color w:val="000000"/>
        </w:rPr>
        <w:t>/</w:t>
      </w:r>
      <w:r>
        <w:rPr>
          <w:rFonts w:cs="Arial"/>
          <w:color w:val="000000"/>
        </w:rPr>
        <w:t xml:space="preserve">withdrawal is calculated as the difference between the initial project approval and the final cost (including realised South East </w:t>
      </w:r>
      <w:r>
        <w:rPr>
          <w:rFonts w:cs="Arial"/>
        </w:rPr>
        <w:t>Water allocated risk). </w:t>
      </w:r>
      <w:r w:rsidR="00D625CC">
        <w:rPr>
          <w:rFonts w:cs="Arial"/>
        </w:rPr>
        <w:t>Figure 7</w:t>
      </w:r>
      <w:r>
        <w:rPr>
          <w:rFonts w:cs="Arial"/>
        </w:rPr>
        <w:t xml:space="preserve"> shows the </w:t>
      </w:r>
      <w:r w:rsidR="006F2E82">
        <w:rPr>
          <w:rFonts w:cs="Arial"/>
        </w:rPr>
        <w:t>r</w:t>
      </w:r>
      <w:r>
        <w:rPr>
          <w:rFonts w:cs="Arial"/>
        </w:rPr>
        <w:t xml:space="preserve">isk </w:t>
      </w:r>
      <w:r w:rsidR="006F2E82">
        <w:rPr>
          <w:rFonts w:cs="Arial"/>
        </w:rPr>
        <w:t>b</w:t>
      </w:r>
      <w:r>
        <w:rPr>
          <w:rFonts w:cs="Arial"/>
        </w:rPr>
        <w:t xml:space="preserve">ank movement during the </w:t>
      </w:r>
      <w:r w:rsidR="00473D34">
        <w:rPr>
          <w:rFonts w:cs="Arial"/>
        </w:rPr>
        <w:t xml:space="preserve">current </w:t>
      </w:r>
      <w:r>
        <w:rPr>
          <w:rFonts w:cs="Arial"/>
        </w:rPr>
        <w:t>regulatory period</w:t>
      </w:r>
      <w:r w:rsidR="00C05763">
        <w:rPr>
          <w:rFonts w:cs="Arial"/>
        </w:rPr>
        <w:t>.</w:t>
      </w:r>
      <w:r w:rsidR="00A1315F">
        <w:rPr>
          <w:rFonts w:cs="Arial"/>
        </w:rPr>
        <w:t xml:space="preserve"> </w:t>
      </w:r>
    </w:p>
    <w:p w14:paraId="4B535A6D" w14:textId="7B77CA72" w:rsidR="00C05763" w:rsidRPr="009443C5" w:rsidRDefault="00C57D71" w:rsidP="00621263">
      <w:pPr>
        <w:rPr>
          <w:rFonts w:cs="Arial"/>
          <w:b/>
          <w:bCs/>
          <w:i/>
          <w:iCs/>
          <w:sz w:val="22"/>
          <w:szCs w:val="22"/>
        </w:rPr>
      </w:pPr>
      <w:r w:rsidRPr="009443C5">
        <w:rPr>
          <w:rFonts w:cs="Arial"/>
          <w:b/>
          <w:bCs/>
          <w:i/>
          <w:iCs/>
          <w:noProof/>
          <w:sz w:val="22"/>
          <w:szCs w:val="22"/>
        </w:rPr>
        <w:drawing>
          <wp:anchor distT="0" distB="0" distL="114300" distR="114300" simplePos="0" relativeHeight="251658284" behindDoc="0" locked="0" layoutInCell="1" allowOverlap="1" wp14:anchorId="27E05711" wp14:editId="4E9FB6EE">
            <wp:simplePos x="0" y="0"/>
            <wp:positionH relativeFrom="column">
              <wp:posOffset>635</wp:posOffset>
            </wp:positionH>
            <wp:positionV relativeFrom="paragraph">
              <wp:posOffset>372745</wp:posOffset>
            </wp:positionV>
            <wp:extent cx="5725160" cy="4949190"/>
            <wp:effectExtent l="0" t="0" r="0" b="0"/>
            <wp:wrapTopAndBottom/>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25160" cy="4949190"/>
                    </a:xfrm>
                    <a:prstGeom prst="rect">
                      <a:avLst/>
                    </a:prstGeom>
                  </pic:spPr>
                </pic:pic>
              </a:graphicData>
            </a:graphic>
            <wp14:sizeRelH relativeFrom="page">
              <wp14:pctWidth>0</wp14:pctWidth>
            </wp14:sizeRelH>
            <wp14:sizeRelV relativeFrom="page">
              <wp14:pctHeight>0</wp14:pctHeight>
            </wp14:sizeRelV>
          </wp:anchor>
        </w:drawing>
      </w:r>
      <w:r w:rsidR="009443C5" w:rsidRPr="009443C5">
        <w:rPr>
          <w:b/>
          <w:bCs/>
          <w:i/>
          <w:sz w:val="22"/>
          <w:szCs w:val="22"/>
        </w:rPr>
        <w:t xml:space="preserve"> Figure </w:t>
      </w:r>
      <w:r w:rsidR="00C75976">
        <w:rPr>
          <w:b/>
          <w:i/>
          <w:sz w:val="22"/>
          <w:szCs w:val="22"/>
        </w:rPr>
        <w:t>7</w:t>
      </w:r>
      <w:r w:rsidR="009443C5">
        <w:rPr>
          <w:b/>
          <w:bCs/>
          <w:i/>
          <w:sz w:val="22"/>
          <w:szCs w:val="22"/>
        </w:rPr>
        <w:t>:</w:t>
      </w:r>
      <w:r w:rsidR="009443C5" w:rsidRPr="009443C5">
        <w:rPr>
          <w:b/>
          <w:bCs/>
          <w:i/>
          <w:sz w:val="22"/>
          <w:szCs w:val="22"/>
        </w:rPr>
        <w:t xml:space="preserve"> </w:t>
      </w:r>
      <w:r w:rsidR="00C05763" w:rsidRPr="009443C5">
        <w:rPr>
          <w:rFonts w:cs="Arial"/>
          <w:b/>
          <w:bCs/>
          <w:i/>
          <w:iCs/>
          <w:sz w:val="22"/>
          <w:szCs w:val="22"/>
        </w:rPr>
        <w:t>Price Submission 2018</w:t>
      </w:r>
      <w:r w:rsidR="00310E2A" w:rsidRPr="009443C5">
        <w:rPr>
          <w:rFonts w:cs="Arial"/>
          <w:b/>
          <w:bCs/>
          <w:i/>
          <w:iCs/>
          <w:sz w:val="22"/>
          <w:szCs w:val="22"/>
        </w:rPr>
        <w:t>–</w:t>
      </w:r>
      <w:r w:rsidR="00C05763" w:rsidRPr="009443C5">
        <w:rPr>
          <w:rFonts w:cs="Arial"/>
          <w:b/>
          <w:bCs/>
          <w:i/>
          <w:iCs/>
          <w:sz w:val="22"/>
          <w:szCs w:val="22"/>
        </w:rPr>
        <w:t>23 risk bank</w:t>
      </w:r>
      <w:r w:rsidR="00A1315F" w:rsidRPr="009443C5">
        <w:rPr>
          <w:rFonts w:cs="Arial"/>
          <w:b/>
          <w:bCs/>
          <w:i/>
          <w:iCs/>
          <w:sz w:val="22"/>
          <w:szCs w:val="22"/>
        </w:rPr>
        <w:t xml:space="preserve"> </w:t>
      </w:r>
    </w:p>
    <w:p w14:paraId="2967A3C8" w14:textId="1FDA6137" w:rsidR="00D100A3" w:rsidRDefault="00D100A3" w:rsidP="004626D5">
      <w:pPr>
        <w:pStyle w:val="CommentText"/>
        <w:rPr>
          <w:color w:val="000000"/>
        </w:rPr>
      </w:pPr>
      <w:r>
        <w:rPr>
          <w:lang w:val="en-US"/>
        </w:rPr>
        <w:t xml:space="preserve">Using our risk bank, we have been able to forecast our capital investment program to </w:t>
      </w:r>
      <w:r w:rsidR="00B86B95">
        <w:rPr>
          <w:lang w:val="en-US"/>
        </w:rPr>
        <w:br/>
      </w:r>
      <w:r>
        <w:rPr>
          <w:lang w:val="en-US"/>
        </w:rPr>
        <w:t>be delivered for 7.4</w:t>
      </w:r>
      <w:r w:rsidR="00FB1AD9">
        <w:rPr>
          <w:lang w:val="en-US"/>
        </w:rPr>
        <w:t xml:space="preserve">% </w:t>
      </w:r>
      <w:r>
        <w:rPr>
          <w:lang w:val="en-US"/>
        </w:rPr>
        <w:t>below the combined project approval value</w:t>
      </w:r>
      <w:r w:rsidR="00CB44D7">
        <w:rPr>
          <w:lang w:val="en-US"/>
        </w:rPr>
        <w:t>s</w:t>
      </w:r>
      <w:r>
        <w:rPr>
          <w:lang w:val="en-US"/>
        </w:rPr>
        <w:t>.</w:t>
      </w:r>
      <w:r w:rsidR="00A1315F">
        <w:rPr>
          <w:lang w:val="en-US"/>
        </w:rPr>
        <w:t xml:space="preserve"> </w:t>
      </w:r>
      <w:r>
        <w:rPr>
          <w:lang w:val="en-US"/>
        </w:rPr>
        <w:t xml:space="preserve">This </w:t>
      </w:r>
      <w:r w:rsidR="006F1824">
        <w:rPr>
          <w:lang w:val="en-US"/>
        </w:rPr>
        <w:t xml:space="preserve">reduction has </w:t>
      </w:r>
      <w:r w:rsidR="00BC6236">
        <w:rPr>
          <w:lang w:val="en-US"/>
        </w:rPr>
        <w:t>supported the</w:t>
      </w:r>
      <w:r>
        <w:rPr>
          <w:lang w:val="en-US"/>
        </w:rPr>
        <w:t xml:space="preserve"> funding </w:t>
      </w:r>
      <w:r w:rsidR="00BC6236">
        <w:rPr>
          <w:lang w:val="en-US"/>
        </w:rPr>
        <w:t xml:space="preserve">of </w:t>
      </w:r>
      <w:r>
        <w:rPr>
          <w:lang w:val="en-US"/>
        </w:rPr>
        <w:t>the 12</w:t>
      </w:r>
      <w:r w:rsidR="00625DD0">
        <w:rPr>
          <w:lang w:val="en-US"/>
        </w:rPr>
        <w:t xml:space="preserve">% </w:t>
      </w:r>
      <w:r>
        <w:rPr>
          <w:lang w:val="en-US"/>
        </w:rPr>
        <w:t xml:space="preserve">of projects that required a risk bank withdrawal. </w:t>
      </w:r>
      <w:r w:rsidR="00B86B95">
        <w:rPr>
          <w:lang w:val="en-US"/>
        </w:rPr>
        <w:br/>
      </w:r>
      <w:r w:rsidR="00371983">
        <w:t>T</w:t>
      </w:r>
      <w:r>
        <w:t xml:space="preserve">he risk </w:t>
      </w:r>
      <w:r>
        <w:rPr>
          <w:color w:val="000000"/>
        </w:rPr>
        <w:t>bank</w:t>
      </w:r>
      <w:r w:rsidR="00371983">
        <w:rPr>
          <w:color w:val="000000"/>
        </w:rPr>
        <w:t xml:space="preserve"> has </w:t>
      </w:r>
      <w:r w:rsidR="00A262A5">
        <w:rPr>
          <w:color w:val="000000"/>
        </w:rPr>
        <w:t xml:space="preserve">enhanced our abilities to manage and fund </w:t>
      </w:r>
      <w:r w:rsidR="00C316ED">
        <w:rPr>
          <w:color w:val="000000"/>
        </w:rPr>
        <w:t>the capital expenditure program by providing a c</w:t>
      </w:r>
      <w:r>
        <w:rPr>
          <w:color w:val="000000"/>
        </w:rPr>
        <w:t>lear understanding of the risk we realise and retire</w:t>
      </w:r>
      <w:r w:rsidR="00C316ED">
        <w:rPr>
          <w:color w:val="000000"/>
        </w:rPr>
        <w:t xml:space="preserve"> </w:t>
      </w:r>
      <w:r>
        <w:rPr>
          <w:color w:val="000000"/>
        </w:rPr>
        <w:t xml:space="preserve">across the </w:t>
      </w:r>
      <w:r w:rsidR="00C316ED">
        <w:rPr>
          <w:color w:val="000000"/>
        </w:rPr>
        <w:t>asset programs</w:t>
      </w:r>
      <w:r>
        <w:rPr>
          <w:color w:val="000000"/>
        </w:rPr>
        <w:t xml:space="preserve">. </w:t>
      </w:r>
    </w:p>
    <w:p w14:paraId="0802F664" w14:textId="41871235" w:rsidR="00D100A3" w:rsidRDefault="00D100A3" w:rsidP="004626D5">
      <w:pPr>
        <w:pStyle w:val="CommentText"/>
        <w:rPr>
          <w:color w:val="000000"/>
        </w:rPr>
      </w:pPr>
      <w:r>
        <w:rPr>
          <w:color w:val="000000"/>
        </w:rPr>
        <w:t>We will be applying this approach in the 2023</w:t>
      </w:r>
      <w:r w:rsidR="00310E2A">
        <w:rPr>
          <w:color w:val="000000"/>
        </w:rPr>
        <w:t>–</w:t>
      </w:r>
      <w:r>
        <w:rPr>
          <w:color w:val="000000"/>
        </w:rPr>
        <w:t>28 regulatory period and expanding it into an investment portfolio overview that allows us to better manage risk and deliver cost efficiencies at the portfolio level.</w:t>
      </w:r>
    </w:p>
    <w:p w14:paraId="08E259A0" w14:textId="77777777" w:rsidR="00D100A3" w:rsidRPr="00943210" w:rsidRDefault="00D100A3" w:rsidP="00727EB2">
      <w:pPr>
        <w:pStyle w:val="CommentText"/>
        <w:rPr>
          <w:rFonts w:cs="Arial"/>
        </w:rPr>
      </w:pPr>
    </w:p>
    <w:p w14:paraId="33927ADC" w14:textId="4957A54C" w:rsidR="007B559C" w:rsidRPr="00C627A1" w:rsidRDefault="002F5BBD" w:rsidP="00762418">
      <w:pPr>
        <w:pStyle w:val="NbrHeading2"/>
        <w:rPr>
          <w:rFonts w:ascii="Arial" w:hAnsi="Arial" w:cs="Arial"/>
          <w:szCs w:val="32"/>
        </w:rPr>
      </w:pPr>
      <w:r>
        <w:lastRenderedPageBreak/>
        <w:t xml:space="preserve">6.8 </w:t>
      </w:r>
      <w:r w:rsidR="007B559C" w:rsidRPr="00C627A1">
        <w:t>Capacity to deliver</w:t>
      </w:r>
    </w:p>
    <w:p w14:paraId="2D646C18" w14:textId="4116555B" w:rsidR="00A7212A" w:rsidRDefault="007B559C" w:rsidP="007B559C">
      <w:pPr>
        <w:rPr>
          <w:rFonts w:cs="Arial"/>
        </w:rPr>
      </w:pPr>
      <w:r w:rsidRPr="00C7338C">
        <w:rPr>
          <w:rFonts w:cs="Arial"/>
        </w:rPr>
        <w:t>We are confident of our</w:t>
      </w:r>
      <w:r w:rsidR="008E57FB">
        <w:rPr>
          <w:rFonts w:cs="Arial"/>
        </w:rPr>
        <w:t xml:space="preserve"> capability and</w:t>
      </w:r>
      <w:r w:rsidRPr="00C7338C">
        <w:rPr>
          <w:rFonts w:cs="Arial"/>
        </w:rPr>
        <w:t xml:space="preserve"> capacity to deliver our capital </w:t>
      </w:r>
      <w:r>
        <w:rPr>
          <w:rFonts w:cs="Arial"/>
        </w:rPr>
        <w:t>expenditure program</w:t>
      </w:r>
      <w:r w:rsidRPr="00BE67F9">
        <w:rPr>
          <w:rFonts w:cs="Arial"/>
        </w:rPr>
        <w:t xml:space="preserve"> of $1.</w:t>
      </w:r>
      <w:r w:rsidR="002D63EF">
        <w:rPr>
          <w:rFonts w:cs="Arial"/>
        </w:rPr>
        <w:t>92</w:t>
      </w:r>
      <w:r w:rsidR="002D63EF" w:rsidRPr="00BE67F9">
        <w:rPr>
          <w:rFonts w:cs="Arial"/>
        </w:rPr>
        <w:t xml:space="preserve"> </w:t>
      </w:r>
      <w:r w:rsidRPr="00BE67F9">
        <w:rPr>
          <w:rFonts w:cs="Arial"/>
        </w:rPr>
        <w:t>billion</w:t>
      </w:r>
      <w:r w:rsidRPr="00C7338C">
        <w:rPr>
          <w:rFonts w:cs="Arial"/>
        </w:rPr>
        <w:t xml:space="preserve">, </w:t>
      </w:r>
      <w:r w:rsidR="00597FE1">
        <w:rPr>
          <w:rFonts w:cs="Arial"/>
        </w:rPr>
        <w:t>which can be demonstrated</w:t>
      </w:r>
      <w:r w:rsidRPr="00C7338C">
        <w:rPr>
          <w:rFonts w:cs="Arial"/>
        </w:rPr>
        <w:t xml:space="preserve"> when considering our previous track record</w:t>
      </w:r>
      <w:r w:rsidR="00365587">
        <w:rPr>
          <w:rFonts w:cs="Arial"/>
        </w:rPr>
        <w:t xml:space="preserve"> in delivering capital </w:t>
      </w:r>
      <w:r w:rsidR="004C395F">
        <w:rPr>
          <w:rFonts w:cs="Arial"/>
        </w:rPr>
        <w:t>programs and projects</w:t>
      </w:r>
      <w:r w:rsidRPr="00761DC5">
        <w:rPr>
          <w:rFonts w:cs="Arial"/>
        </w:rPr>
        <w:t xml:space="preserve">. </w:t>
      </w:r>
      <w:r w:rsidRPr="00A47486">
        <w:rPr>
          <w:rFonts w:cs="Arial"/>
        </w:rPr>
        <w:t xml:space="preserve">Our projected total expenditure in the current regulatory period to June 2022 is expected to be within 5% of the overall </w:t>
      </w:r>
      <w:r w:rsidR="00BE2E05">
        <w:rPr>
          <w:rFonts w:cs="Arial"/>
        </w:rPr>
        <w:t>5</w:t>
      </w:r>
      <w:r w:rsidRPr="00A47486">
        <w:rPr>
          <w:rFonts w:cs="Arial"/>
        </w:rPr>
        <w:t>-year budget of $1.</w:t>
      </w:r>
      <w:r>
        <w:rPr>
          <w:rFonts w:cs="Arial"/>
        </w:rPr>
        <w:t>2</w:t>
      </w:r>
      <w:r w:rsidR="00A703EB">
        <w:rPr>
          <w:rFonts w:cs="Arial"/>
        </w:rPr>
        <w:t>5</w:t>
      </w:r>
      <w:r>
        <w:rPr>
          <w:rFonts w:cs="Arial"/>
        </w:rPr>
        <w:t xml:space="preserve"> </w:t>
      </w:r>
      <w:r w:rsidRPr="00A47486">
        <w:rPr>
          <w:rFonts w:cs="Arial"/>
        </w:rPr>
        <w:t>b</w:t>
      </w:r>
      <w:r>
        <w:rPr>
          <w:rFonts w:cs="Arial"/>
        </w:rPr>
        <w:t>illion</w:t>
      </w:r>
      <w:r w:rsidR="00BE2E05">
        <w:rPr>
          <w:rFonts w:cs="Arial"/>
        </w:rPr>
        <w:t>,</w:t>
      </w:r>
      <w:r w:rsidRPr="00A47486">
        <w:rPr>
          <w:rFonts w:cs="Arial"/>
        </w:rPr>
        <w:t xml:space="preserve"> despite the impact of </w:t>
      </w:r>
      <w:r w:rsidR="00D46451">
        <w:rPr>
          <w:rFonts w:cs="Arial"/>
        </w:rPr>
        <w:t>the coronavirus (</w:t>
      </w:r>
      <w:r w:rsidRPr="00A47486">
        <w:rPr>
          <w:rFonts w:cs="Arial"/>
        </w:rPr>
        <w:t>COVID</w:t>
      </w:r>
      <w:r>
        <w:rPr>
          <w:rFonts w:cs="Arial"/>
        </w:rPr>
        <w:t>-19</w:t>
      </w:r>
      <w:r w:rsidR="00D46451">
        <w:rPr>
          <w:rFonts w:cs="Arial"/>
        </w:rPr>
        <w:t>)</w:t>
      </w:r>
      <w:r w:rsidRPr="00A47486">
        <w:rPr>
          <w:rFonts w:cs="Arial"/>
        </w:rPr>
        <w:t xml:space="preserve"> </w:t>
      </w:r>
      <w:r w:rsidR="00D46451">
        <w:rPr>
          <w:rFonts w:cs="Arial"/>
        </w:rPr>
        <w:t>pandemic</w:t>
      </w:r>
      <w:r w:rsidRPr="00A47486">
        <w:rPr>
          <w:rFonts w:cs="Arial"/>
        </w:rPr>
        <w:t xml:space="preserve"> on the construction industry and material supply chains.</w:t>
      </w:r>
      <w:r w:rsidR="00A1315F">
        <w:rPr>
          <w:rFonts w:cs="Arial"/>
        </w:rPr>
        <w:t xml:space="preserve"> </w:t>
      </w:r>
    </w:p>
    <w:p w14:paraId="76D0C86B" w14:textId="22171FE2" w:rsidR="00A7212A" w:rsidRPr="00761DC5" w:rsidRDefault="00BB2C7C" w:rsidP="007B559C">
      <w:pPr>
        <w:rPr>
          <w:rFonts w:cs="Arial"/>
        </w:rPr>
      </w:pPr>
      <w:r w:rsidRPr="00BB2C7C">
        <w:rPr>
          <w:rFonts w:cs="Arial"/>
        </w:rPr>
        <w:t>When considering expenditure increases between the regulatory periods</w:t>
      </w:r>
      <w:r w:rsidR="00D46451">
        <w:rPr>
          <w:rFonts w:cs="Arial"/>
        </w:rPr>
        <w:t>,</w:t>
      </w:r>
      <w:r w:rsidRPr="00BB2C7C">
        <w:rPr>
          <w:rFonts w:cs="Arial"/>
        </w:rPr>
        <w:t xml:space="preserve"> it is important to note that the relationship between the value of the program and the volume of works proposed is not linear. </w:t>
      </w:r>
      <w:r w:rsidR="000B3B84">
        <w:rPr>
          <w:rFonts w:cs="Arial"/>
        </w:rPr>
        <w:t>For</w:t>
      </w:r>
      <w:r w:rsidRPr="00BB2C7C">
        <w:rPr>
          <w:rFonts w:cs="Arial"/>
        </w:rPr>
        <w:t xml:space="preserve"> example</w:t>
      </w:r>
      <w:r w:rsidR="000B3B84">
        <w:rPr>
          <w:rFonts w:cs="Arial"/>
        </w:rPr>
        <w:t>,</w:t>
      </w:r>
      <w:r w:rsidRPr="00BB2C7C">
        <w:rPr>
          <w:rFonts w:cs="Arial"/>
        </w:rPr>
        <w:t xml:space="preserve"> the revised unit rates for 2023</w:t>
      </w:r>
      <w:r w:rsidR="00310E2A">
        <w:rPr>
          <w:rFonts w:cs="Arial"/>
        </w:rPr>
        <w:t>–</w:t>
      </w:r>
      <w:r w:rsidRPr="00BB2C7C">
        <w:rPr>
          <w:rFonts w:cs="Arial"/>
        </w:rPr>
        <w:t>28 reflect a mean annual escalation of 3.87% from the 2018</w:t>
      </w:r>
      <w:r w:rsidR="00310E2A">
        <w:rPr>
          <w:rFonts w:cs="Arial"/>
        </w:rPr>
        <w:t>–</w:t>
      </w:r>
      <w:r w:rsidRPr="00BB2C7C">
        <w:rPr>
          <w:rFonts w:cs="Arial"/>
        </w:rPr>
        <w:t>23 rates</w:t>
      </w:r>
      <w:r w:rsidRPr="00DF598E">
        <w:rPr>
          <w:rFonts w:cs="Arial"/>
        </w:rPr>
        <w:t xml:space="preserve">. This </w:t>
      </w:r>
      <w:r w:rsidR="005A6B20" w:rsidRPr="00DF598E">
        <w:rPr>
          <w:rFonts w:cs="Arial"/>
        </w:rPr>
        <w:t>is</w:t>
      </w:r>
      <w:r w:rsidRPr="00DF598E">
        <w:rPr>
          <w:rFonts w:cs="Arial"/>
        </w:rPr>
        <w:t xml:space="preserve"> 1% below the Victorian Government</w:t>
      </w:r>
      <w:r w:rsidR="000250C2">
        <w:rPr>
          <w:rFonts w:cs="Arial"/>
        </w:rPr>
        <w:t>’s</w:t>
      </w:r>
      <w:r w:rsidRPr="00DF598E">
        <w:rPr>
          <w:rFonts w:cs="Arial"/>
        </w:rPr>
        <w:t xml:space="preserve"> forecast of infrastructure cost</w:t>
      </w:r>
      <w:r w:rsidR="00D30729" w:rsidRPr="00DF598E">
        <w:rPr>
          <w:rFonts w:cs="Arial"/>
        </w:rPr>
        <w:t xml:space="preserve"> escalation</w:t>
      </w:r>
      <w:r w:rsidRPr="00BB2C7C">
        <w:rPr>
          <w:rFonts w:cs="Arial"/>
        </w:rPr>
        <w:t xml:space="preserve">. </w:t>
      </w:r>
      <w:r w:rsidR="00CD62D8">
        <w:rPr>
          <w:rFonts w:cs="Arial"/>
        </w:rPr>
        <w:t>Holding</w:t>
      </w:r>
      <w:r w:rsidRPr="00BB2C7C">
        <w:rPr>
          <w:rFonts w:cs="Arial"/>
        </w:rPr>
        <w:t xml:space="preserve"> the volume of works </w:t>
      </w:r>
      <w:r w:rsidR="00CD62D8">
        <w:rPr>
          <w:rFonts w:cs="Arial"/>
        </w:rPr>
        <w:t>constant,</w:t>
      </w:r>
      <w:r w:rsidRPr="00BB2C7C">
        <w:rPr>
          <w:rFonts w:cs="Arial"/>
        </w:rPr>
        <w:t xml:space="preserve"> this requires a step </w:t>
      </w:r>
      <w:r w:rsidR="00D73B34">
        <w:rPr>
          <w:rFonts w:cs="Arial"/>
        </w:rPr>
        <w:t>change</w:t>
      </w:r>
      <w:r w:rsidRPr="00BB2C7C">
        <w:rPr>
          <w:rFonts w:cs="Arial"/>
        </w:rPr>
        <w:t xml:space="preserve"> in capital expenditure of approximately 21%.</w:t>
      </w:r>
      <w:r w:rsidR="00A1315F">
        <w:rPr>
          <w:rFonts w:cs="Arial"/>
        </w:rPr>
        <w:t xml:space="preserve"> </w:t>
      </w:r>
    </w:p>
    <w:p w14:paraId="31302CE0" w14:textId="3DB2E8A5" w:rsidR="00FB753B" w:rsidRDefault="007B559C" w:rsidP="007B559C">
      <w:pPr>
        <w:rPr>
          <w:rFonts w:cs="Arial"/>
        </w:rPr>
      </w:pPr>
      <w:r w:rsidRPr="00761DC5">
        <w:rPr>
          <w:rFonts w:cs="Arial"/>
        </w:rPr>
        <w:t>Over the 2018</w:t>
      </w:r>
      <w:r w:rsidR="00310E2A">
        <w:rPr>
          <w:rFonts w:cs="Arial"/>
        </w:rPr>
        <w:t>–</w:t>
      </w:r>
      <w:r w:rsidRPr="00716E78">
        <w:rPr>
          <w:rFonts w:cs="Arial"/>
        </w:rPr>
        <w:t>23 regulatory period, we</w:t>
      </w:r>
      <w:r w:rsidRPr="00FB453B">
        <w:rPr>
          <w:rFonts w:cs="Arial"/>
        </w:rPr>
        <w:t xml:space="preserve"> actively managed</w:t>
      </w:r>
      <w:r w:rsidRPr="00761DC5">
        <w:rPr>
          <w:rFonts w:cs="Arial"/>
        </w:rPr>
        <w:t xml:space="preserve"> our capital investment program by regularly reviewing and reallocating resources based on our strategic priorities, asset performance, customer feedback and environmental factors. </w:t>
      </w:r>
      <w:r w:rsidR="00157580">
        <w:rPr>
          <w:rFonts w:cs="Arial"/>
        </w:rPr>
        <w:br/>
      </w:r>
      <w:r w:rsidRPr="00761DC5">
        <w:rPr>
          <w:rFonts w:cs="Arial"/>
        </w:rPr>
        <w:t xml:space="preserve">For example, we conducted a </w:t>
      </w:r>
      <w:r w:rsidR="00F04AE6">
        <w:rPr>
          <w:rFonts w:cs="Arial"/>
        </w:rPr>
        <w:t>c</w:t>
      </w:r>
      <w:r w:rsidRPr="00761DC5">
        <w:rPr>
          <w:rFonts w:cs="Arial"/>
        </w:rPr>
        <w:t xml:space="preserve">ritical </w:t>
      </w:r>
      <w:r w:rsidR="00F04AE6">
        <w:rPr>
          <w:rFonts w:cs="Arial"/>
        </w:rPr>
        <w:t>a</w:t>
      </w:r>
      <w:r w:rsidRPr="00761DC5">
        <w:rPr>
          <w:rFonts w:cs="Arial"/>
        </w:rPr>
        <w:t xml:space="preserve">sset </w:t>
      </w:r>
      <w:r w:rsidR="00F04AE6">
        <w:rPr>
          <w:rFonts w:cs="Arial"/>
        </w:rPr>
        <w:t>r</w:t>
      </w:r>
      <w:r w:rsidRPr="00761DC5">
        <w:rPr>
          <w:rFonts w:cs="Arial"/>
        </w:rPr>
        <w:t xml:space="preserve">eview </w:t>
      </w:r>
      <w:r w:rsidR="00B85200">
        <w:rPr>
          <w:rFonts w:cs="Arial"/>
        </w:rPr>
        <w:t xml:space="preserve">(as discussed in </w:t>
      </w:r>
      <w:r w:rsidR="00341008">
        <w:rPr>
          <w:rFonts w:cs="Arial"/>
        </w:rPr>
        <w:t>Section</w:t>
      </w:r>
      <w:r w:rsidR="00B85200">
        <w:rPr>
          <w:rFonts w:cs="Arial"/>
        </w:rPr>
        <w:t xml:space="preserve"> 6.</w:t>
      </w:r>
      <w:r w:rsidR="00E47DB0">
        <w:rPr>
          <w:rFonts w:cs="Arial"/>
        </w:rPr>
        <w:t>3</w:t>
      </w:r>
      <w:r w:rsidR="00B85200">
        <w:rPr>
          <w:rFonts w:cs="Arial"/>
        </w:rPr>
        <w:t>)</w:t>
      </w:r>
      <w:r w:rsidRPr="00761DC5">
        <w:rPr>
          <w:rFonts w:cs="Arial"/>
        </w:rPr>
        <w:t xml:space="preserve"> of water and sewer</w:t>
      </w:r>
      <w:r>
        <w:rPr>
          <w:rFonts w:cs="Arial"/>
        </w:rPr>
        <w:t>age</w:t>
      </w:r>
      <w:r w:rsidRPr="00761DC5">
        <w:rPr>
          <w:rFonts w:cs="Arial"/>
        </w:rPr>
        <w:t xml:space="preserve"> assets during the regulatory period that led to </w:t>
      </w:r>
      <w:r w:rsidR="005D4E4F">
        <w:rPr>
          <w:rFonts w:cs="Arial"/>
        </w:rPr>
        <w:t>a revision of</w:t>
      </w:r>
      <w:r w:rsidRPr="00761DC5">
        <w:rPr>
          <w:rFonts w:cs="Arial"/>
        </w:rPr>
        <w:t xml:space="preserve"> our investment approach to risk</w:t>
      </w:r>
      <w:r w:rsidR="001E1FB0">
        <w:rPr>
          <w:rFonts w:cs="Arial"/>
        </w:rPr>
        <w:t>,</w:t>
      </w:r>
      <w:r w:rsidRPr="00761DC5">
        <w:rPr>
          <w:rFonts w:cs="Arial"/>
        </w:rPr>
        <w:t xml:space="preserve"> </w:t>
      </w:r>
      <w:r w:rsidRPr="387DD8DF">
        <w:rPr>
          <w:rFonts w:cs="Arial"/>
        </w:rPr>
        <w:t xml:space="preserve">and </w:t>
      </w:r>
      <w:r w:rsidRPr="00761DC5">
        <w:rPr>
          <w:rFonts w:cs="Arial"/>
        </w:rPr>
        <w:t>in</w:t>
      </w:r>
      <w:r w:rsidR="00BE2E05">
        <w:rPr>
          <w:rFonts w:cs="Arial"/>
        </w:rPr>
        <w:t xml:space="preserve"> </w:t>
      </w:r>
      <w:r w:rsidRPr="00761DC5">
        <w:rPr>
          <w:rFonts w:cs="Arial"/>
        </w:rPr>
        <w:t xml:space="preserve">line with </w:t>
      </w:r>
      <w:r w:rsidR="00BD66EE">
        <w:rPr>
          <w:rFonts w:cs="Arial"/>
        </w:rPr>
        <w:t>environmental protection regulation</w:t>
      </w:r>
      <w:r w:rsidR="00B0240A">
        <w:rPr>
          <w:rFonts w:cs="Arial"/>
        </w:rPr>
        <w:t>s</w:t>
      </w:r>
      <w:r w:rsidR="001C2A56">
        <w:rPr>
          <w:rFonts w:cs="Arial"/>
        </w:rPr>
        <w:t xml:space="preserve"> </w:t>
      </w:r>
      <w:r w:rsidRPr="00761DC5">
        <w:rPr>
          <w:rFonts w:cs="Arial"/>
        </w:rPr>
        <w:t xml:space="preserve">and </w:t>
      </w:r>
      <w:r>
        <w:rPr>
          <w:rFonts w:cs="Arial"/>
        </w:rPr>
        <w:t>safety management</w:t>
      </w:r>
      <w:r w:rsidRPr="00761DC5">
        <w:rPr>
          <w:rFonts w:cs="Arial"/>
        </w:rPr>
        <w:t xml:space="preserve"> requirements. </w:t>
      </w:r>
    </w:p>
    <w:p w14:paraId="50EFF7E7" w14:textId="5FAC9528" w:rsidR="003B0984" w:rsidRDefault="00B86B95" w:rsidP="003B0984">
      <w:pPr>
        <w:pStyle w:val="Heading3"/>
      </w:pPr>
      <w:r>
        <w:rPr>
          <w:noProof/>
        </w:rPr>
        <w:drawing>
          <wp:anchor distT="0" distB="180340" distL="114300" distR="114300" simplePos="0" relativeHeight="251658302" behindDoc="1" locked="0" layoutInCell="1" allowOverlap="1" wp14:anchorId="1526E392" wp14:editId="30D45BE7">
            <wp:simplePos x="0" y="0"/>
            <wp:positionH relativeFrom="column">
              <wp:posOffset>2501900</wp:posOffset>
            </wp:positionH>
            <wp:positionV relativeFrom="paragraph">
              <wp:posOffset>365125</wp:posOffset>
            </wp:positionV>
            <wp:extent cx="3971290" cy="3294380"/>
            <wp:effectExtent l="0" t="0" r="0" b="0"/>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31" cstate="print">
                      <a:extLst>
                        <a:ext uri="{28A0092B-C50C-407E-A947-70E740481C1C}">
                          <a14:useLocalDpi xmlns:a14="http://schemas.microsoft.com/office/drawing/2010/main" val="0"/>
                        </a:ext>
                      </a:extLst>
                    </a:blip>
                    <a:srcRect l="1314" r="1314"/>
                    <a:stretch>
                      <a:fillRect/>
                    </a:stretch>
                  </pic:blipFill>
                  <pic:spPr bwMode="auto">
                    <a:xfrm>
                      <a:off x="0" y="0"/>
                      <a:ext cx="3971290" cy="3294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0984">
        <w:t xml:space="preserve">Integrated </w:t>
      </w:r>
      <w:r w:rsidR="004018BE">
        <w:t>c</w:t>
      </w:r>
      <w:r w:rsidR="003B0984">
        <w:t xml:space="preserve">apital </w:t>
      </w:r>
      <w:r w:rsidR="004018BE">
        <w:t>d</w:t>
      </w:r>
      <w:r w:rsidR="003B0984">
        <w:t xml:space="preserve">elivery </w:t>
      </w:r>
      <w:r w:rsidR="004018BE">
        <w:t>m</w:t>
      </w:r>
      <w:r w:rsidR="003B0984">
        <w:t>odel</w:t>
      </w:r>
    </w:p>
    <w:p w14:paraId="60EF10FB" w14:textId="50B58B44" w:rsidR="007B559C" w:rsidRDefault="007B559C" w:rsidP="007B559C">
      <w:pPr>
        <w:rPr>
          <w:rFonts w:cs="Arial"/>
        </w:rPr>
      </w:pPr>
      <w:r>
        <w:rPr>
          <w:rFonts w:cs="Arial"/>
        </w:rPr>
        <w:t xml:space="preserve">Looking to the future, we are changing our partnering </w:t>
      </w:r>
      <w:r w:rsidR="00E96F5E">
        <w:rPr>
          <w:rFonts w:cs="Arial"/>
        </w:rPr>
        <w:t>c</w:t>
      </w:r>
      <w:r>
        <w:rPr>
          <w:rFonts w:cs="Arial"/>
        </w:rPr>
        <w:t xml:space="preserve">apital </w:t>
      </w:r>
      <w:r w:rsidR="00E96F5E">
        <w:rPr>
          <w:rFonts w:cs="Arial"/>
        </w:rPr>
        <w:t>d</w:t>
      </w:r>
      <w:r>
        <w:rPr>
          <w:rFonts w:cs="Arial"/>
        </w:rPr>
        <w:t xml:space="preserve">elivery </w:t>
      </w:r>
      <w:r w:rsidR="00E96F5E">
        <w:rPr>
          <w:rFonts w:cs="Arial"/>
        </w:rPr>
        <w:t>m</w:t>
      </w:r>
      <w:r>
        <w:rPr>
          <w:rFonts w:cs="Arial"/>
        </w:rPr>
        <w:t xml:space="preserve">odel to an </w:t>
      </w:r>
      <w:r w:rsidRPr="3AE9711A">
        <w:rPr>
          <w:rFonts w:eastAsiaTheme="minorEastAsia" w:cs="Arial"/>
        </w:rPr>
        <w:t xml:space="preserve">integrated planning and delivery </w:t>
      </w:r>
      <w:r>
        <w:rPr>
          <w:rFonts w:eastAsiaTheme="minorEastAsia" w:cs="Arial"/>
        </w:rPr>
        <w:t>model</w:t>
      </w:r>
      <w:r w:rsidR="002C01B6">
        <w:rPr>
          <w:rFonts w:eastAsiaTheme="minorEastAsia" w:cs="Arial"/>
        </w:rPr>
        <w:t>,</w:t>
      </w:r>
      <w:r>
        <w:rPr>
          <w:rFonts w:eastAsiaTheme="minorEastAsia" w:cs="Arial"/>
        </w:rPr>
        <w:t xml:space="preserve"> with</w:t>
      </w:r>
      <w:r>
        <w:rPr>
          <w:rFonts w:cs="Arial"/>
        </w:rPr>
        <w:t xml:space="preserve"> the capacity and capability to deliver the scope and scale of projects and programs planned for the 2023</w:t>
      </w:r>
      <w:r w:rsidR="00310E2A">
        <w:rPr>
          <w:rFonts w:cs="Arial"/>
        </w:rPr>
        <w:t>–</w:t>
      </w:r>
      <w:r>
        <w:rPr>
          <w:rFonts w:cs="Arial"/>
        </w:rPr>
        <w:t>28 regulatory period</w:t>
      </w:r>
      <w:r w:rsidR="00B85200">
        <w:rPr>
          <w:rFonts w:cs="Arial"/>
        </w:rPr>
        <w:t xml:space="preserve"> and beyond</w:t>
      </w:r>
      <w:r>
        <w:rPr>
          <w:rFonts w:cs="Arial"/>
        </w:rPr>
        <w:t xml:space="preserve">. Our new integrated </w:t>
      </w:r>
      <w:r w:rsidR="00BA5390">
        <w:rPr>
          <w:rFonts w:cs="Arial"/>
        </w:rPr>
        <w:t>c</w:t>
      </w:r>
      <w:r w:rsidR="009A6DE3">
        <w:rPr>
          <w:rFonts w:cs="Arial"/>
        </w:rPr>
        <w:t>apital</w:t>
      </w:r>
      <w:r>
        <w:rPr>
          <w:rFonts w:cs="Arial"/>
        </w:rPr>
        <w:t xml:space="preserve"> </w:t>
      </w:r>
      <w:r w:rsidR="00BA5390">
        <w:rPr>
          <w:rFonts w:cs="Arial"/>
        </w:rPr>
        <w:t>p</w:t>
      </w:r>
      <w:r w:rsidR="00C657A1">
        <w:rPr>
          <w:rFonts w:cs="Arial"/>
        </w:rPr>
        <w:t xml:space="preserve">lanning </w:t>
      </w:r>
      <w:r w:rsidR="00BA5390">
        <w:rPr>
          <w:rFonts w:cs="Arial"/>
        </w:rPr>
        <w:t>and d</w:t>
      </w:r>
      <w:r>
        <w:rPr>
          <w:rFonts w:cs="Arial"/>
        </w:rPr>
        <w:t xml:space="preserve">elivery </w:t>
      </w:r>
      <w:r w:rsidR="00BA5390">
        <w:rPr>
          <w:rFonts w:cs="Arial"/>
        </w:rPr>
        <w:t>m</w:t>
      </w:r>
      <w:r>
        <w:rPr>
          <w:rFonts w:cs="Arial"/>
        </w:rPr>
        <w:t xml:space="preserve">odel will deliver </w:t>
      </w:r>
      <w:r w:rsidRPr="00692D97">
        <w:rPr>
          <w:rFonts w:cs="Arial"/>
        </w:rPr>
        <w:t>a</w:t>
      </w:r>
      <w:r w:rsidR="0032167F">
        <w:rPr>
          <w:rFonts w:cs="Arial"/>
        </w:rPr>
        <w:t>round</w:t>
      </w:r>
      <w:r w:rsidRPr="00692D97">
        <w:rPr>
          <w:rFonts w:cs="Arial"/>
        </w:rPr>
        <w:t xml:space="preserve"> </w:t>
      </w:r>
      <w:r w:rsidR="0032167F">
        <w:rPr>
          <w:rFonts w:cs="Arial"/>
        </w:rPr>
        <w:t>40</w:t>
      </w:r>
      <w:r w:rsidRPr="00692D97">
        <w:rPr>
          <w:rFonts w:cs="Arial"/>
        </w:rPr>
        <w:t>%</w:t>
      </w:r>
      <w:r>
        <w:rPr>
          <w:rFonts w:cs="Arial"/>
        </w:rPr>
        <w:t xml:space="preserve"> of our capital expenditure program for</w:t>
      </w:r>
      <w:r w:rsidR="002D03C9">
        <w:rPr>
          <w:rFonts w:cs="Arial"/>
        </w:rPr>
        <w:t xml:space="preserve"> the</w:t>
      </w:r>
      <w:r>
        <w:rPr>
          <w:rFonts w:cs="Arial"/>
        </w:rPr>
        <w:t xml:space="preserve"> 2023</w:t>
      </w:r>
      <w:r w:rsidR="00310E2A">
        <w:rPr>
          <w:rFonts w:cs="Arial"/>
        </w:rPr>
        <w:t>–</w:t>
      </w:r>
      <w:r w:rsidRPr="00144532">
        <w:rPr>
          <w:rFonts w:cs="Arial"/>
        </w:rPr>
        <w:t>28</w:t>
      </w:r>
      <w:r w:rsidR="002D03C9">
        <w:rPr>
          <w:rFonts w:cs="Arial"/>
        </w:rPr>
        <w:t xml:space="preserve"> regulatory period</w:t>
      </w:r>
      <w:r w:rsidRPr="00144532">
        <w:rPr>
          <w:rFonts w:cs="Arial"/>
        </w:rPr>
        <w:t xml:space="preserve"> and will complement our existing delivery models</w:t>
      </w:r>
      <w:r w:rsidR="00D3329B">
        <w:rPr>
          <w:rFonts w:cs="Arial"/>
        </w:rPr>
        <w:t xml:space="preserve"> (as shown in the </w:t>
      </w:r>
      <w:r w:rsidR="002D03C9">
        <w:rPr>
          <w:rFonts w:cs="Arial"/>
        </w:rPr>
        <w:t>pie diagram)</w:t>
      </w:r>
      <w:r w:rsidRPr="00144532">
        <w:rPr>
          <w:rFonts w:cs="Arial"/>
        </w:rPr>
        <w:t xml:space="preserve"> for asset connections, renewals, maintenance, minor works, land development and internal corporate programs.</w:t>
      </w:r>
      <w:r>
        <w:rPr>
          <w:rFonts w:cs="Arial"/>
        </w:rPr>
        <w:t xml:space="preserve"> </w:t>
      </w:r>
    </w:p>
    <w:p w14:paraId="2402E198" w14:textId="3274BA59" w:rsidR="00BA282F" w:rsidRDefault="000B3B84" w:rsidP="007B559C">
      <w:pPr>
        <w:rPr>
          <w:rFonts w:cs="Arial"/>
        </w:rPr>
      </w:pPr>
      <w:r>
        <w:rPr>
          <w:rFonts w:cs="Arial"/>
        </w:rPr>
        <w:t>When procuring our</w:t>
      </w:r>
      <w:r w:rsidR="00F56622">
        <w:rPr>
          <w:rFonts w:cs="Arial"/>
        </w:rPr>
        <w:t xml:space="preserve"> </w:t>
      </w:r>
      <w:r w:rsidR="00F56622" w:rsidRPr="00CB0971">
        <w:rPr>
          <w:rFonts w:cs="Arial"/>
        </w:rPr>
        <w:t xml:space="preserve">new </w:t>
      </w:r>
      <w:r>
        <w:rPr>
          <w:rFonts w:cs="Arial"/>
        </w:rPr>
        <w:t>integrated capital planning</w:t>
      </w:r>
      <w:r w:rsidR="00F56622">
        <w:rPr>
          <w:rFonts w:cs="Arial"/>
        </w:rPr>
        <w:t xml:space="preserve"> and </w:t>
      </w:r>
      <w:r>
        <w:rPr>
          <w:rFonts w:cs="Arial"/>
        </w:rPr>
        <w:t>delivery</w:t>
      </w:r>
      <w:r w:rsidR="00F56622" w:rsidRPr="00CB0971">
        <w:rPr>
          <w:rFonts w:cs="Arial"/>
        </w:rPr>
        <w:t xml:space="preserve"> model</w:t>
      </w:r>
      <w:r>
        <w:rPr>
          <w:rFonts w:cs="Arial"/>
        </w:rPr>
        <w:t>, we</w:t>
      </w:r>
      <w:r w:rsidR="00F56622" w:rsidRPr="00CB0971">
        <w:rPr>
          <w:rFonts w:cs="Arial"/>
        </w:rPr>
        <w:t xml:space="preserve"> selected a 10</w:t>
      </w:r>
      <w:r w:rsidR="00F37EBE" w:rsidRPr="00CB0971">
        <w:rPr>
          <w:rFonts w:cs="Arial"/>
        </w:rPr>
        <w:t>-</w:t>
      </w:r>
      <w:r w:rsidR="00F56622" w:rsidRPr="00CB0971">
        <w:rPr>
          <w:rFonts w:cs="Arial"/>
        </w:rPr>
        <w:t xml:space="preserve">year contract term. The longer contract term is </w:t>
      </w:r>
      <w:r w:rsidR="00F256DD">
        <w:rPr>
          <w:rFonts w:cs="Arial"/>
        </w:rPr>
        <w:t>designed</w:t>
      </w:r>
      <w:r w:rsidR="00F56622" w:rsidRPr="00CB0971">
        <w:rPr>
          <w:rFonts w:cs="Arial"/>
        </w:rPr>
        <w:t xml:space="preserve"> to attract contractors and consultants in what is currently </w:t>
      </w:r>
      <w:r w:rsidR="0067775F">
        <w:rPr>
          <w:rFonts w:cs="Arial"/>
        </w:rPr>
        <w:t xml:space="preserve">considered </w:t>
      </w:r>
      <w:r w:rsidR="00F56622" w:rsidRPr="00CB0971">
        <w:rPr>
          <w:rFonts w:cs="Arial"/>
        </w:rPr>
        <w:t xml:space="preserve">a heated market. The longer contract term </w:t>
      </w:r>
      <w:r w:rsidR="00537A30">
        <w:rPr>
          <w:rFonts w:cs="Arial"/>
        </w:rPr>
        <w:t>enhances</w:t>
      </w:r>
      <w:r w:rsidR="00F56622" w:rsidRPr="00CB0971">
        <w:rPr>
          <w:rFonts w:cs="Arial"/>
        </w:rPr>
        <w:t xml:space="preserve"> certainty to attract investment</w:t>
      </w:r>
      <w:r w:rsidR="00537A30">
        <w:rPr>
          <w:rFonts w:cs="Arial"/>
        </w:rPr>
        <w:t xml:space="preserve"> and</w:t>
      </w:r>
      <w:r w:rsidR="00F56622" w:rsidRPr="00CB0971">
        <w:rPr>
          <w:rFonts w:cs="Arial"/>
        </w:rPr>
        <w:t xml:space="preserve"> provides a long</w:t>
      </w:r>
      <w:r w:rsidR="00537A30" w:rsidRPr="00CB0971">
        <w:rPr>
          <w:rFonts w:cs="Arial"/>
        </w:rPr>
        <w:t>-</w:t>
      </w:r>
      <w:r w:rsidR="00F56622" w:rsidRPr="00CB0971">
        <w:rPr>
          <w:rFonts w:cs="Arial"/>
        </w:rPr>
        <w:t xml:space="preserve">term portfolio of projects to tender over </w:t>
      </w:r>
      <w:r w:rsidR="009747AA">
        <w:rPr>
          <w:rFonts w:cs="Arial"/>
        </w:rPr>
        <w:t>the contract</w:t>
      </w:r>
      <w:r w:rsidR="00F56622" w:rsidRPr="00CB0971">
        <w:rPr>
          <w:rFonts w:cs="Arial"/>
        </w:rPr>
        <w:t xml:space="preserve"> period. As the agreement is effectively an umbrella contract</w:t>
      </w:r>
      <w:r>
        <w:rPr>
          <w:rFonts w:cs="Arial"/>
        </w:rPr>
        <w:t>,</w:t>
      </w:r>
      <w:r w:rsidR="00F56622" w:rsidRPr="00CB0971">
        <w:rPr>
          <w:rFonts w:cs="Arial"/>
        </w:rPr>
        <w:t xml:space="preserve"> it </w:t>
      </w:r>
      <w:r w:rsidR="00352A9F">
        <w:rPr>
          <w:rFonts w:cs="Arial"/>
        </w:rPr>
        <w:t>consists</w:t>
      </w:r>
      <w:r w:rsidR="00F56622" w:rsidRPr="00CB0971">
        <w:rPr>
          <w:rFonts w:cs="Arial"/>
        </w:rPr>
        <w:t xml:space="preserve"> of multiple projects and packages of works that will be tendered throughout the program. </w:t>
      </w:r>
      <w:r w:rsidR="00B86B95">
        <w:rPr>
          <w:rFonts w:cs="Arial"/>
        </w:rPr>
        <w:br/>
      </w:r>
      <w:r w:rsidR="00F56622" w:rsidRPr="00CB0971">
        <w:rPr>
          <w:rFonts w:cs="Arial"/>
        </w:rPr>
        <w:lastRenderedPageBreak/>
        <w:t>This ensures competition and contestability</w:t>
      </w:r>
      <w:r w:rsidR="00CE24D3">
        <w:rPr>
          <w:rFonts w:cs="Arial"/>
        </w:rPr>
        <w:t>,</w:t>
      </w:r>
      <w:r w:rsidR="00F56622" w:rsidRPr="00CB0971">
        <w:rPr>
          <w:rFonts w:cs="Arial"/>
        </w:rPr>
        <w:t xml:space="preserve"> regardless of market conditions</w:t>
      </w:r>
      <w:r w:rsidR="00891A34">
        <w:rPr>
          <w:rFonts w:cs="Arial"/>
        </w:rPr>
        <w:t xml:space="preserve"> </w:t>
      </w:r>
      <w:r w:rsidR="00D85D80">
        <w:rPr>
          <w:rFonts w:cs="Arial"/>
        </w:rPr>
        <w:t>and</w:t>
      </w:r>
      <w:r w:rsidR="00CE24D3">
        <w:rPr>
          <w:rFonts w:cs="Arial"/>
        </w:rPr>
        <w:t xml:space="preserve"> help</w:t>
      </w:r>
      <w:r w:rsidR="00BE7E10">
        <w:rPr>
          <w:rFonts w:cs="Arial"/>
        </w:rPr>
        <w:t>s</w:t>
      </w:r>
      <w:r w:rsidR="00CE24D3">
        <w:rPr>
          <w:rFonts w:cs="Arial"/>
        </w:rPr>
        <w:t xml:space="preserve"> realise</w:t>
      </w:r>
      <w:r w:rsidR="00F56622" w:rsidRPr="00CB0971">
        <w:rPr>
          <w:rFonts w:cs="Arial"/>
        </w:rPr>
        <w:t xml:space="preserve"> cost efficiencies</w:t>
      </w:r>
      <w:r w:rsidR="00DF6C83">
        <w:rPr>
          <w:rFonts w:cs="Arial"/>
        </w:rPr>
        <w:t>.</w:t>
      </w:r>
      <w:r>
        <w:rPr>
          <w:rFonts w:cs="Arial"/>
        </w:rPr>
        <w:t xml:space="preserve"> </w:t>
      </w:r>
      <w:r w:rsidR="00F56622" w:rsidRPr="00CB0971">
        <w:rPr>
          <w:rFonts w:cs="Arial"/>
        </w:rPr>
        <w:t xml:space="preserve">The contract includes mechanisms </w:t>
      </w:r>
      <w:r w:rsidR="00F37EBE">
        <w:rPr>
          <w:rFonts w:cs="Arial"/>
        </w:rPr>
        <w:t>designed</w:t>
      </w:r>
      <w:r w:rsidR="00F56622" w:rsidRPr="00CB0971">
        <w:rPr>
          <w:rFonts w:cs="Arial"/>
        </w:rPr>
        <w:t xml:space="preserve"> to ensure contestability if there is concern this is not occurring.</w:t>
      </w:r>
      <w:r w:rsidR="00A1315F">
        <w:rPr>
          <w:rFonts w:cs="Arial"/>
        </w:rPr>
        <w:t xml:space="preserve"> </w:t>
      </w:r>
    </w:p>
    <w:p w14:paraId="0F885BDA" w14:textId="37E591D8" w:rsidR="007B559C" w:rsidRDefault="00BA282F" w:rsidP="00C65D2A">
      <w:pPr>
        <w:rPr>
          <w:rFonts w:cs="Arial"/>
        </w:rPr>
      </w:pPr>
      <w:r>
        <w:rPr>
          <w:rFonts w:cs="Arial"/>
        </w:rPr>
        <w:t xml:space="preserve">The new integrated capital planning and delivery model will </w:t>
      </w:r>
      <w:r w:rsidR="003B00CA">
        <w:rPr>
          <w:rFonts w:cs="Arial"/>
        </w:rPr>
        <w:t xml:space="preserve">also </w:t>
      </w:r>
      <w:r>
        <w:rPr>
          <w:rFonts w:cs="Arial"/>
        </w:rPr>
        <w:t xml:space="preserve">give us </w:t>
      </w:r>
      <w:r w:rsidR="008D665B">
        <w:rPr>
          <w:rFonts w:cs="Arial"/>
        </w:rPr>
        <w:t>a</w:t>
      </w:r>
      <w:r w:rsidR="007B559C" w:rsidRPr="00C7338C">
        <w:rPr>
          <w:rFonts w:cs="Arial"/>
        </w:rPr>
        <w:t>ccess</w:t>
      </w:r>
      <w:r w:rsidR="007B559C" w:rsidRPr="00BA282F">
        <w:t xml:space="preserve"> </w:t>
      </w:r>
      <w:r w:rsidR="007B559C" w:rsidRPr="00C7338C">
        <w:rPr>
          <w:rFonts w:cs="Arial"/>
        </w:rPr>
        <w:t xml:space="preserve">to expert </w:t>
      </w:r>
      <w:r w:rsidR="007B559C">
        <w:rPr>
          <w:rFonts w:cs="Arial"/>
        </w:rPr>
        <w:t xml:space="preserve">planning, </w:t>
      </w:r>
      <w:r w:rsidR="007B559C" w:rsidRPr="00C7338C">
        <w:rPr>
          <w:rFonts w:cs="Arial"/>
        </w:rPr>
        <w:t xml:space="preserve">engineering design, </w:t>
      </w:r>
      <w:r w:rsidR="007B559C" w:rsidRPr="00463537">
        <w:rPr>
          <w:rFonts w:cs="Arial"/>
        </w:rPr>
        <w:t xml:space="preserve">technology delivery partners, </w:t>
      </w:r>
      <w:r w:rsidR="007B559C" w:rsidRPr="00C7338C">
        <w:rPr>
          <w:rFonts w:cs="Arial"/>
        </w:rPr>
        <w:t xml:space="preserve">project management and supervisory resources </w:t>
      </w:r>
      <w:r w:rsidR="003B00CA">
        <w:rPr>
          <w:rFonts w:cs="Arial"/>
        </w:rPr>
        <w:t xml:space="preserve">that will enhance our capabilities in capital </w:t>
      </w:r>
      <w:r w:rsidR="00F074A5">
        <w:rPr>
          <w:rFonts w:cs="Arial"/>
        </w:rPr>
        <w:t>delivery.</w:t>
      </w:r>
      <w:r w:rsidR="0026478A">
        <w:rPr>
          <w:rFonts w:cs="Arial"/>
        </w:rPr>
        <w:t xml:space="preserve"> This is complemented by </w:t>
      </w:r>
      <w:r w:rsidR="008D665B" w:rsidRPr="0026478A">
        <w:rPr>
          <w:rFonts w:cs="Arial"/>
        </w:rPr>
        <w:t>a</w:t>
      </w:r>
      <w:r w:rsidR="007B559C" w:rsidRPr="0026478A">
        <w:rPr>
          <w:rFonts w:cs="Arial"/>
        </w:rPr>
        <w:t xml:space="preserve"> </w:t>
      </w:r>
      <w:r w:rsidR="007B559C" w:rsidRPr="34FB8AFC">
        <w:rPr>
          <w:rFonts w:cs="Arial"/>
        </w:rPr>
        <w:t xml:space="preserve">considered and planned </w:t>
      </w:r>
      <w:r w:rsidR="00B02402" w:rsidRPr="0026478A">
        <w:rPr>
          <w:rFonts w:cs="Arial"/>
        </w:rPr>
        <w:t>profile</w:t>
      </w:r>
      <w:r w:rsidR="007B559C" w:rsidRPr="34FB8AFC">
        <w:rPr>
          <w:rFonts w:cs="Arial"/>
        </w:rPr>
        <w:t xml:space="preserve"> of </w:t>
      </w:r>
      <w:r w:rsidR="00B02402" w:rsidRPr="0026478A">
        <w:rPr>
          <w:rFonts w:cs="Arial"/>
        </w:rPr>
        <w:t xml:space="preserve">capital </w:t>
      </w:r>
      <w:r w:rsidR="007B559C" w:rsidRPr="34FB8AFC">
        <w:rPr>
          <w:rFonts w:cs="Arial"/>
        </w:rPr>
        <w:t xml:space="preserve">expenditure delivery over the </w:t>
      </w:r>
      <w:r w:rsidR="0026193B" w:rsidRPr="0026478A">
        <w:rPr>
          <w:rFonts w:cs="Arial"/>
        </w:rPr>
        <w:t>2023</w:t>
      </w:r>
      <w:r w:rsidR="00310E2A">
        <w:rPr>
          <w:rFonts w:cs="Arial"/>
        </w:rPr>
        <w:t>–</w:t>
      </w:r>
      <w:r w:rsidR="0026193B" w:rsidRPr="0026478A">
        <w:rPr>
          <w:rFonts w:cs="Arial"/>
        </w:rPr>
        <w:t>28</w:t>
      </w:r>
      <w:r w:rsidR="007B559C" w:rsidRPr="34FB8AFC">
        <w:rPr>
          <w:rFonts w:cs="Arial"/>
        </w:rPr>
        <w:t xml:space="preserve"> regulatory period</w:t>
      </w:r>
      <w:r w:rsidR="0076571C">
        <w:rPr>
          <w:rFonts w:cs="Arial"/>
        </w:rPr>
        <w:t xml:space="preserve"> to ensure we balance </w:t>
      </w:r>
      <w:r w:rsidR="00B34A6D">
        <w:rPr>
          <w:rFonts w:cs="Arial"/>
        </w:rPr>
        <w:t>our work schedule with resource capacity</w:t>
      </w:r>
      <w:r w:rsidR="00D2521B">
        <w:rPr>
          <w:rFonts w:cs="Arial"/>
        </w:rPr>
        <w:t xml:space="preserve"> </w:t>
      </w:r>
      <w:r w:rsidR="00805E0C">
        <w:rPr>
          <w:rFonts w:cs="Arial"/>
        </w:rPr>
        <w:t>that is</w:t>
      </w:r>
      <w:r w:rsidR="00D2521B">
        <w:rPr>
          <w:rFonts w:cs="Arial"/>
        </w:rPr>
        <w:t xml:space="preserve"> supported </w:t>
      </w:r>
      <w:r w:rsidR="00C65D2A">
        <w:rPr>
          <w:rFonts w:cs="Arial"/>
        </w:rPr>
        <w:t xml:space="preserve">by improvements to </w:t>
      </w:r>
      <w:r w:rsidR="007B559C" w:rsidRPr="00E370A3">
        <w:rPr>
          <w:rFonts w:cs="Arial"/>
        </w:rPr>
        <w:t>our capital delivery processes.</w:t>
      </w:r>
    </w:p>
    <w:p w14:paraId="1C2619C4" w14:textId="48C6B8AD" w:rsidR="004C12C7" w:rsidRPr="00A22B69" w:rsidRDefault="004C12C7" w:rsidP="00A91774">
      <w:pPr>
        <w:pStyle w:val="Heading3"/>
      </w:pPr>
      <w:r>
        <w:t xml:space="preserve">Digital </w:t>
      </w:r>
      <w:r w:rsidR="004018BE">
        <w:t>u</w:t>
      </w:r>
      <w:r>
        <w:t>tility</w:t>
      </w:r>
    </w:p>
    <w:p w14:paraId="7D388006" w14:textId="224D8778" w:rsidR="007B559C" w:rsidRDefault="00192153" w:rsidP="007B559C">
      <w:pPr>
        <w:spacing w:before="120"/>
        <w:rPr>
          <w:rFonts w:cs="Arial"/>
        </w:rPr>
      </w:pPr>
      <w:r>
        <w:rPr>
          <w:rFonts w:cs="Arial"/>
        </w:rPr>
        <w:t>Lastly</w:t>
      </w:r>
      <w:r w:rsidR="007B559C">
        <w:rPr>
          <w:rFonts w:cs="Arial"/>
        </w:rPr>
        <w:t xml:space="preserve">, as </w:t>
      </w:r>
      <w:r w:rsidR="00116D90">
        <w:rPr>
          <w:rFonts w:cs="Arial"/>
        </w:rPr>
        <w:t>9</w:t>
      </w:r>
      <w:r>
        <w:rPr>
          <w:rFonts w:cs="Arial"/>
        </w:rPr>
        <w:t>%</w:t>
      </w:r>
      <w:r w:rsidR="007B559C" w:rsidRPr="00A22B69">
        <w:rPr>
          <w:rFonts w:cs="Arial"/>
        </w:rPr>
        <w:t xml:space="preserve"> of </w:t>
      </w:r>
      <w:r w:rsidR="007B559C">
        <w:rPr>
          <w:rFonts w:cs="Arial"/>
        </w:rPr>
        <w:t xml:space="preserve">our </w:t>
      </w:r>
      <w:r w:rsidR="007B559C" w:rsidRPr="00A22B69">
        <w:rPr>
          <w:rFonts w:cs="Arial"/>
        </w:rPr>
        <w:t xml:space="preserve">capital investment program </w:t>
      </w:r>
      <w:r w:rsidR="007B559C">
        <w:rPr>
          <w:rFonts w:cs="Arial"/>
        </w:rPr>
        <w:t xml:space="preserve">is </w:t>
      </w:r>
      <w:r>
        <w:rPr>
          <w:rFonts w:cs="Arial"/>
        </w:rPr>
        <w:t xml:space="preserve">associated to the </w:t>
      </w:r>
      <w:r w:rsidR="00977A11">
        <w:rPr>
          <w:rFonts w:cs="Arial"/>
        </w:rPr>
        <w:t>d</w:t>
      </w:r>
      <w:r w:rsidR="007B559C" w:rsidRPr="00A22B69">
        <w:rPr>
          <w:rFonts w:cs="Arial"/>
        </w:rPr>
        <w:t xml:space="preserve">igital </w:t>
      </w:r>
      <w:r w:rsidR="00977A11">
        <w:rPr>
          <w:rFonts w:cs="Arial"/>
        </w:rPr>
        <w:t>m</w:t>
      </w:r>
      <w:r w:rsidR="007B559C" w:rsidRPr="00A22B69">
        <w:rPr>
          <w:rFonts w:cs="Arial"/>
        </w:rPr>
        <w:t xml:space="preserve">etering </w:t>
      </w:r>
      <w:r w:rsidR="00E1599F">
        <w:rPr>
          <w:rFonts w:cs="Arial"/>
        </w:rPr>
        <w:t>project,</w:t>
      </w:r>
      <w:r w:rsidR="008D7A7E">
        <w:rPr>
          <w:rFonts w:cs="Arial"/>
        </w:rPr>
        <w:t xml:space="preserve"> </w:t>
      </w:r>
      <w:r w:rsidR="007B559C">
        <w:rPr>
          <w:rFonts w:cs="Arial"/>
        </w:rPr>
        <w:t xml:space="preserve">we have taken the following actions to ensure its successful delivery: </w:t>
      </w:r>
    </w:p>
    <w:p w14:paraId="7B947178" w14:textId="397E0C77" w:rsidR="007B559C" w:rsidRPr="004F71D2" w:rsidRDefault="0075540D">
      <w:pPr>
        <w:pStyle w:val="ListParagraph"/>
        <w:numPr>
          <w:ilvl w:val="0"/>
          <w:numId w:val="83"/>
        </w:numPr>
        <w:spacing w:before="120" w:line="259" w:lineRule="auto"/>
        <w:ind w:left="284" w:hanging="284"/>
        <w:rPr>
          <w:rFonts w:cs="Arial"/>
        </w:rPr>
      </w:pPr>
      <w:r>
        <w:rPr>
          <w:rFonts w:cs="Arial"/>
        </w:rPr>
        <w:t>e</w:t>
      </w:r>
      <w:r w:rsidRPr="004F71D2">
        <w:rPr>
          <w:rFonts w:cs="Arial"/>
        </w:rPr>
        <w:t xml:space="preserve">stablished </w:t>
      </w:r>
      <w:r w:rsidR="007B559C" w:rsidRPr="004F71D2">
        <w:rPr>
          <w:rFonts w:cs="Arial"/>
        </w:rPr>
        <w:t>a dedicated program team to oversee the delivery of customer meters. This includes all areas of procurement, governance, status reporting and financial control</w:t>
      </w:r>
    </w:p>
    <w:p w14:paraId="08D1FC36" w14:textId="25A895EE" w:rsidR="007B559C" w:rsidRPr="004F71D2" w:rsidRDefault="0075540D">
      <w:pPr>
        <w:pStyle w:val="ListParagraph"/>
        <w:numPr>
          <w:ilvl w:val="0"/>
          <w:numId w:val="83"/>
        </w:numPr>
        <w:spacing w:before="120" w:line="259" w:lineRule="auto"/>
        <w:ind w:left="284" w:hanging="284"/>
        <w:rPr>
          <w:rFonts w:cs="Arial"/>
        </w:rPr>
      </w:pPr>
      <w:r>
        <w:rPr>
          <w:rFonts w:cs="Arial"/>
        </w:rPr>
        <w:t>s</w:t>
      </w:r>
      <w:r w:rsidRPr="004F71D2">
        <w:rPr>
          <w:rFonts w:cs="Arial"/>
        </w:rPr>
        <w:t xml:space="preserve">ecured </w:t>
      </w:r>
      <w:r w:rsidR="00612583">
        <w:rPr>
          <w:rFonts w:cs="Arial"/>
        </w:rPr>
        <w:t>‘</w:t>
      </w:r>
      <w:r w:rsidR="007B559C" w:rsidRPr="004F71D2">
        <w:rPr>
          <w:rFonts w:cs="Arial"/>
        </w:rPr>
        <w:t>Field Service</w:t>
      </w:r>
      <w:r w:rsidR="00612583">
        <w:rPr>
          <w:rFonts w:cs="Arial"/>
        </w:rPr>
        <w:t>’</w:t>
      </w:r>
      <w:r w:rsidR="007B559C" w:rsidRPr="004F71D2">
        <w:rPr>
          <w:rFonts w:cs="Arial"/>
        </w:rPr>
        <w:t xml:space="preserve"> partners to complete the exchange to digital meters</w:t>
      </w:r>
      <w:r w:rsidR="00B60F01">
        <w:rPr>
          <w:rFonts w:cs="Arial"/>
        </w:rPr>
        <w:t xml:space="preserve">, who </w:t>
      </w:r>
      <w:r w:rsidR="007B559C" w:rsidRPr="004F71D2">
        <w:rPr>
          <w:rFonts w:cs="Arial"/>
        </w:rPr>
        <w:t>will be managed by the Digital Utili</w:t>
      </w:r>
      <w:r w:rsidR="00F71D6A">
        <w:rPr>
          <w:rFonts w:cs="Arial"/>
        </w:rPr>
        <w:t>ty</w:t>
      </w:r>
      <w:r w:rsidR="007B559C" w:rsidRPr="004F71D2">
        <w:rPr>
          <w:rFonts w:cs="Arial"/>
        </w:rPr>
        <w:t xml:space="preserve"> group (contracts, procurement and performance)</w:t>
      </w:r>
    </w:p>
    <w:p w14:paraId="497AF416" w14:textId="7D18DB6A" w:rsidR="00CD6E85" w:rsidRPr="00C627A1" w:rsidRDefault="0075540D">
      <w:pPr>
        <w:pStyle w:val="ListParagraph"/>
        <w:numPr>
          <w:ilvl w:val="0"/>
          <w:numId w:val="83"/>
        </w:numPr>
        <w:spacing w:before="120" w:after="240" w:line="240" w:lineRule="auto"/>
        <w:ind w:left="284" w:hanging="284"/>
        <w:rPr>
          <w:rFonts w:cs="Arial"/>
        </w:rPr>
      </w:pPr>
      <w:r>
        <w:rPr>
          <w:rFonts w:cs="Arial"/>
        </w:rPr>
        <w:t xml:space="preserve">identified </w:t>
      </w:r>
      <w:r w:rsidR="007B559C" w:rsidRPr="004F71D2">
        <w:rPr>
          <w:rFonts w:cs="Arial"/>
        </w:rPr>
        <w:t xml:space="preserve">a range of </w:t>
      </w:r>
      <w:r w:rsidR="000E462A">
        <w:rPr>
          <w:rFonts w:cs="Arial"/>
        </w:rPr>
        <w:t xml:space="preserve">experienced </w:t>
      </w:r>
      <w:r w:rsidR="007B559C" w:rsidRPr="004F71D2">
        <w:rPr>
          <w:rFonts w:cs="Arial"/>
        </w:rPr>
        <w:t>meter suppliers</w:t>
      </w:r>
      <w:r w:rsidR="007B559C">
        <w:rPr>
          <w:rFonts w:cs="Arial"/>
        </w:rPr>
        <w:t xml:space="preserve"> to be </w:t>
      </w:r>
      <w:r w:rsidR="007B559C" w:rsidRPr="004F71D2">
        <w:rPr>
          <w:rFonts w:cs="Arial"/>
        </w:rPr>
        <w:t xml:space="preserve">part of the </w:t>
      </w:r>
      <w:r w:rsidR="00612583">
        <w:rPr>
          <w:rFonts w:cs="Arial"/>
        </w:rPr>
        <w:t>‘</w:t>
      </w:r>
      <w:r w:rsidR="007B559C" w:rsidRPr="004F71D2">
        <w:rPr>
          <w:rFonts w:cs="Arial"/>
        </w:rPr>
        <w:t>Build and Scale</w:t>
      </w:r>
      <w:r w:rsidR="00612583">
        <w:rPr>
          <w:rFonts w:cs="Arial"/>
        </w:rPr>
        <w:t>’</w:t>
      </w:r>
      <w:r w:rsidR="007B559C" w:rsidRPr="004F71D2">
        <w:rPr>
          <w:rFonts w:cs="Arial"/>
        </w:rPr>
        <w:t xml:space="preserve"> phase of the program. We will strategically procure partners to supply meters and </w:t>
      </w:r>
      <w:r w:rsidR="007B559C">
        <w:rPr>
          <w:rFonts w:cs="Arial"/>
        </w:rPr>
        <w:t>minimise logistical and</w:t>
      </w:r>
      <w:r w:rsidR="007B559C" w:rsidRPr="004F71D2">
        <w:rPr>
          <w:rFonts w:cs="Arial"/>
        </w:rPr>
        <w:t xml:space="preserve"> supply chain issues</w:t>
      </w:r>
      <w:r w:rsidR="007B559C">
        <w:rPr>
          <w:rFonts w:cs="Arial"/>
        </w:rPr>
        <w:t>.</w:t>
      </w:r>
    </w:p>
    <w:p w14:paraId="4E9A6A90" w14:textId="3DA66A71" w:rsidR="0037078C" w:rsidRDefault="00D0098F">
      <w:r>
        <w:rPr>
          <w:noProof/>
        </w:rPr>
        <mc:AlternateContent>
          <mc:Choice Requires="wps">
            <w:drawing>
              <wp:anchor distT="45720" distB="45720" distL="114300" distR="114300" simplePos="0" relativeHeight="251658275" behindDoc="0" locked="0" layoutInCell="1" allowOverlap="1" wp14:anchorId="6E8DAA7C" wp14:editId="2B689B94">
                <wp:simplePos x="0" y="0"/>
                <wp:positionH relativeFrom="column">
                  <wp:posOffset>9525</wp:posOffset>
                </wp:positionH>
                <wp:positionV relativeFrom="paragraph">
                  <wp:posOffset>250825</wp:posOffset>
                </wp:positionV>
                <wp:extent cx="5901055" cy="2240915"/>
                <wp:effectExtent l="0" t="0" r="4445" b="0"/>
                <wp:wrapSquare wrapText="bothSides"/>
                <wp:docPr id="1009" name="Text Box 1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1055" cy="2240915"/>
                        </a:xfrm>
                        <a:prstGeom prst="rect">
                          <a:avLst/>
                        </a:prstGeom>
                        <a:solidFill>
                          <a:srgbClr val="FF8D00"/>
                        </a:solidFill>
                        <a:ln w="9525">
                          <a:noFill/>
                          <a:miter lim="800000"/>
                          <a:headEnd/>
                          <a:tailEnd/>
                        </a:ln>
                      </wps:spPr>
                      <wps:txbx>
                        <w:txbxContent>
                          <w:p w14:paraId="1B97AE8C" w14:textId="6C48DE32" w:rsidR="00D0098F" w:rsidRPr="00116E55" w:rsidRDefault="00D0098F" w:rsidP="00116E55">
                            <w:pPr>
                              <w:pStyle w:val="Heading3"/>
                              <w:spacing w:before="0" w:after="240"/>
                              <w:rPr>
                                <w:color w:val="FFFFFF" w:themeColor="background1"/>
                                <w:sz w:val="24"/>
                              </w:rPr>
                            </w:pPr>
                            <w:r>
                              <w:rPr>
                                <w:color w:val="FFFFFF" w:themeColor="background1"/>
                                <w:sz w:val="24"/>
                              </w:rPr>
                              <w:t>Supporting documents</w:t>
                            </w:r>
                          </w:p>
                          <w:p w14:paraId="647625AC" w14:textId="77777777" w:rsidR="00D0098F" w:rsidRPr="00D54179" w:rsidRDefault="00D0098F" w:rsidP="00116E55">
                            <w:pPr>
                              <w:pStyle w:val="ListParagraph"/>
                              <w:ind w:left="426"/>
                              <w:rPr>
                                <w:rFonts w:asciiTheme="minorHAnsi" w:hAnsiTheme="minorHAnsi"/>
                                <w:b/>
                                <w:color w:val="FFFFFF" w:themeColor="background1"/>
                                <w:sz w:val="22"/>
                                <w:szCs w:val="22"/>
                              </w:rPr>
                            </w:pPr>
                            <w:r w:rsidRPr="00D54179">
                              <w:rPr>
                                <w:rFonts w:asciiTheme="minorHAnsi" w:hAnsiTheme="minorHAnsi"/>
                                <w:b/>
                                <w:color w:val="FFFFFF" w:themeColor="background1"/>
                                <w:sz w:val="22"/>
                                <w:szCs w:val="22"/>
                              </w:rPr>
                              <w:t>Corporate Asset Management Plan</w:t>
                            </w:r>
                          </w:p>
                          <w:p w14:paraId="23902D33" w14:textId="76D0CCA6" w:rsidR="00D0098F" w:rsidRPr="00D66E53" w:rsidRDefault="00D0098F" w:rsidP="00116E55">
                            <w:pPr>
                              <w:pStyle w:val="ListParagraph"/>
                              <w:ind w:left="426"/>
                              <w:rPr>
                                <w:rFonts w:asciiTheme="minorHAnsi" w:hAnsiTheme="minorHAnsi"/>
                                <w:b/>
                                <w:color w:val="FFFFFF" w:themeColor="background1"/>
                                <w:sz w:val="22"/>
                                <w:szCs w:val="22"/>
                              </w:rPr>
                            </w:pPr>
                            <w:r w:rsidRPr="00D66E53">
                              <w:rPr>
                                <w:rFonts w:asciiTheme="minorHAnsi" w:hAnsiTheme="minorHAnsi"/>
                                <w:b/>
                                <w:color w:val="FFFFFF" w:themeColor="background1"/>
                                <w:sz w:val="22"/>
                                <w:szCs w:val="22"/>
                              </w:rPr>
                              <w:t>Major Project</w:t>
                            </w:r>
                            <w:r w:rsidR="00D66E53" w:rsidRPr="00D66E53">
                              <w:rPr>
                                <w:rFonts w:asciiTheme="minorHAnsi" w:hAnsiTheme="minorHAnsi"/>
                                <w:b/>
                                <w:color w:val="FFFFFF" w:themeColor="background1"/>
                                <w:sz w:val="22"/>
                                <w:szCs w:val="22"/>
                              </w:rPr>
                              <w:t xml:space="preserve">s </w:t>
                            </w:r>
                            <w:r w:rsidR="00D66E53">
                              <w:rPr>
                                <w:rFonts w:asciiTheme="minorHAnsi" w:hAnsiTheme="minorHAnsi"/>
                                <w:b/>
                                <w:color w:val="FFFFFF" w:themeColor="background1"/>
                                <w:sz w:val="22"/>
                                <w:szCs w:val="22"/>
                              </w:rPr>
                              <w:t>(</w:t>
                            </w:r>
                            <w:r w:rsidR="00D66E53" w:rsidRPr="00D66E53">
                              <w:rPr>
                                <w:rFonts w:cs="Arial"/>
                                <w:b/>
                                <w:color w:val="FFFFFF" w:themeColor="background1"/>
                                <w:sz w:val="22"/>
                                <w:szCs w:val="22"/>
                              </w:rPr>
                              <w:t>2023–28</w:t>
                            </w:r>
                            <w:r w:rsidR="00D66E53">
                              <w:rPr>
                                <w:rFonts w:cs="Arial"/>
                                <w:b/>
                                <w:color w:val="FFFFFF" w:themeColor="background1"/>
                                <w:sz w:val="22"/>
                                <w:szCs w:val="22"/>
                              </w:rPr>
                              <w:t>)</w:t>
                            </w:r>
                            <w:r w:rsidR="00D66E53" w:rsidRPr="00D66E53">
                              <w:rPr>
                                <w:rFonts w:cs="Arial"/>
                                <w:b/>
                                <w:color w:val="FFFFFF" w:themeColor="background1"/>
                                <w:sz w:val="22"/>
                                <w:szCs w:val="22"/>
                              </w:rPr>
                              <w:t xml:space="preserve"> </w:t>
                            </w:r>
                            <w:r w:rsidRPr="00D66E53">
                              <w:rPr>
                                <w:rFonts w:asciiTheme="minorHAnsi" w:hAnsiTheme="minorHAnsi"/>
                                <w:b/>
                                <w:color w:val="FFFFFF" w:themeColor="background1"/>
                                <w:sz w:val="22"/>
                                <w:szCs w:val="22"/>
                              </w:rPr>
                              <w:t>Summary</w:t>
                            </w:r>
                            <w:r w:rsidR="00D66E53" w:rsidRPr="00D66E53">
                              <w:rPr>
                                <w:rFonts w:asciiTheme="minorHAnsi" w:hAnsiTheme="minorHAnsi"/>
                                <w:b/>
                                <w:color w:val="FFFFFF" w:themeColor="background1"/>
                                <w:sz w:val="22"/>
                                <w:szCs w:val="22"/>
                              </w:rPr>
                              <w:t xml:space="preserve"> Report</w:t>
                            </w:r>
                          </w:p>
                          <w:p w14:paraId="6D22BEB6" w14:textId="7DFE8941" w:rsidR="00D0098F" w:rsidRPr="00D54179" w:rsidRDefault="00D66E53" w:rsidP="00116E55">
                            <w:pPr>
                              <w:pStyle w:val="ListParagraph"/>
                              <w:ind w:left="426"/>
                              <w:rPr>
                                <w:rFonts w:asciiTheme="minorHAnsi" w:hAnsiTheme="minorHAnsi"/>
                                <w:b/>
                                <w:color w:val="FFFFFF" w:themeColor="background1"/>
                                <w:sz w:val="22"/>
                                <w:szCs w:val="22"/>
                              </w:rPr>
                            </w:pPr>
                            <w:r w:rsidRPr="00D66E53">
                              <w:rPr>
                                <w:rFonts w:cs="Arial"/>
                                <w:b/>
                                <w:color w:val="FFFFFF" w:themeColor="background1"/>
                                <w:sz w:val="22"/>
                                <w:szCs w:val="22"/>
                              </w:rPr>
                              <w:t>2023–28</w:t>
                            </w:r>
                            <w:r>
                              <w:rPr>
                                <w:rFonts w:cs="Arial"/>
                                <w:b/>
                                <w:color w:val="FFFFFF" w:themeColor="background1"/>
                                <w:sz w:val="22"/>
                                <w:szCs w:val="22"/>
                              </w:rPr>
                              <w:t xml:space="preserve"> </w:t>
                            </w:r>
                            <w:r w:rsidR="00D0098F" w:rsidRPr="00D54179">
                              <w:rPr>
                                <w:rFonts w:asciiTheme="minorHAnsi" w:hAnsiTheme="minorHAnsi"/>
                                <w:b/>
                                <w:color w:val="FFFFFF" w:themeColor="background1"/>
                                <w:sz w:val="22"/>
                                <w:szCs w:val="22"/>
                              </w:rPr>
                              <w:t>Capital Delivery Report</w:t>
                            </w:r>
                          </w:p>
                          <w:p w14:paraId="68FB4D5E" w14:textId="45107527" w:rsidR="00D0098F" w:rsidRPr="00D54179" w:rsidRDefault="00D0098F" w:rsidP="00116E55">
                            <w:pPr>
                              <w:pStyle w:val="ListParagraph"/>
                              <w:ind w:left="426"/>
                              <w:rPr>
                                <w:rFonts w:asciiTheme="minorHAnsi" w:hAnsiTheme="minorHAnsi"/>
                                <w:b/>
                                <w:color w:val="FFFFFF" w:themeColor="background1"/>
                                <w:sz w:val="22"/>
                                <w:szCs w:val="22"/>
                              </w:rPr>
                            </w:pPr>
                            <w:r w:rsidRPr="00D54179">
                              <w:rPr>
                                <w:rFonts w:asciiTheme="minorHAnsi" w:hAnsiTheme="minorHAnsi"/>
                                <w:b/>
                                <w:color w:val="FFFFFF" w:themeColor="background1"/>
                                <w:sz w:val="22"/>
                                <w:szCs w:val="22"/>
                              </w:rPr>
                              <w:t xml:space="preserve">Demand Manual </w:t>
                            </w:r>
                            <w:r w:rsidR="004E7623">
                              <w:rPr>
                                <w:rFonts w:asciiTheme="minorHAnsi" w:hAnsiTheme="minorHAnsi"/>
                                <w:b/>
                                <w:color w:val="FFFFFF" w:themeColor="background1"/>
                                <w:sz w:val="22"/>
                                <w:szCs w:val="22"/>
                              </w:rPr>
                              <w:t>– Dwelling and population forecast</w:t>
                            </w:r>
                          </w:p>
                          <w:p w14:paraId="0BD3F5BB" w14:textId="5F550709" w:rsidR="00D0098F" w:rsidRDefault="00D0098F" w:rsidP="00116E55">
                            <w:pPr>
                              <w:pStyle w:val="ListParagraph"/>
                              <w:ind w:left="426"/>
                              <w:rPr>
                                <w:rFonts w:asciiTheme="minorHAnsi" w:hAnsiTheme="minorHAnsi"/>
                                <w:b/>
                                <w:color w:val="FFFFFF" w:themeColor="background1"/>
                                <w:sz w:val="22"/>
                                <w:szCs w:val="22"/>
                              </w:rPr>
                            </w:pPr>
                            <w:r w:rsidRPr="00D54179">
                              <w:rPr>
                                <w:rFonts w:asciiTheme="minorHAnsi" w:hAnsiTheme="minorHAnsi"/>
                                <w:b/>
                                <w:color w:val="FFFFFF" w:themeColor="background1"/>
                                <w:sz w:val="22"/>
                                <w:szCs w:val="22"/>
                              </w:rPr>
                              <w:t xml:space="preserve">Concept Cost Estimating Report - June 2022 </w:t>
                            </w:r>
                          </w:p>
                          <w:p w14:paraId="6FC40D49" w14:textId="3C2BC49A" w:rsidR="00D0098F" w:rsidRPr="000A5974" w:rsidRDefault="00D66E53" w:rsidP="00C4082F">
                            <w:pPr>
                              <w:pStyle w:val="ListParagraph"/>
                              <w:ind w:left="360"/>
                              <w:rPr>
                                <w:color w:val="FFFFFF" w:themeColor="background1"/>
                              </w:rPr>
                            </w:pPr>
                            <w:r w:rsidRPr="00D66E53">
                              <w:rPr>
                                <w:rFonts w:cs="Arial"/>
                                <w:b/>
                                <w:color w:val="FFFFFF" w:themeColor="background1"/>
                                <w:sz w:val="22"/>
                                <w:szCs w:val="22"/>
                              </w:rPr>
                              <w:t>2023–28</w:t>
                            </w:r>
                            <w:r>
                              <w:rPr>
                                <w:rFonts w:cs="Arial"/>
                                <w:b/>
                                <w:color w:val="FFFFFF" w:themeColor="background1"/>
                                <w:sz w:val="22"/>
                                <w:szCs w:val="22"/>
                              </w:rPr>
                              <w:t xml:space="preserve"> </w:t>
                            </w:r>
                            <w:r w:rsidR="00D0098F" w:rsidRPr="000A5974">
                              <w:rPr>
                                <w:rFonts w:asciiTheme="minorHAnsi" w:hAnsiTheme="minorHAnsi"/>
                                <w:b/>
                                <w:color w:val="FFFFFF" w:themeColor="background1"/>
                                <w:sz w:val="22"/>
                                <w:szCs w:val="22"/>
                              </w:rPr>
                              <w:t>Unit Rate Tables (2022</w:t>
                            </w:r>
                            <w:r w:rsidRPr="00D66E53">
                              <w:rPr>
                                <w:rFonts w:cs="Arial"/>
                                <w:b/>
                                <w:color w:val="FFFFFF" w:themeColor="background1"/>
                                <w:sz w:val="22"/>
                                <w:szCs w:val="22"/>
                              </w:rPr>
                              <w:t>–</w:t>
                            </w:r>
                            <w:r w:rsidR="00D0098F" w:rsidRPr="000A5974">
                              <w:rPr>
                                <w:rFonts w:asciiTheme="minorHAnsi" w:hAnsiTheme="minorHAnsi"/>
                                <w:b/>
                                <w:color w:val="FFFFFF" w:themeColor="background1"/>
                                <w:sz w:val="22"/>
                                <w:szCs w:val="22"/>
                              </w:rPr>
                              <w:t xml:space="preserve">2023) </w:t>
                            </w:r>
                          </w:p>
                        </w:txbxContent>
                      </wps:txbx>
                      <wps:bodyPr rot="0" vert="horz" wrap="square" lIns="180000" tIns="180000" rIns="180000" bIns="180000" anchor="t" anchorCtr="0">
                        <a:noAutofit/>
                      </wps:bodyPr>
                    </wps:wsp>
                  </a:graphicData>
                </a:graphic>
                <wp14:sizeRelH relativeFrom="margin">
                  <wp14:pctWidth>0</wp14:pctWidth>
                </wp14:sizeRelH>
                <wp14:sizeRelV relativeFrom="margin">
                  <wp14:pctHeight>0</wp14:pctHeight>
                </wp14:sizeRelV>
              </wp:anchor>
            </w:drawing>
          </mc:Choice>
          <mc:Fallback>
            <w:pict>
              <v:shape w14:anchorId="6E8DAA7C" id="Text Box 1009" o:spid="_x0000_s1054" type="#_x0000_t202" style="position:absolute;margin-left:.75pt;margin-top:19.75pt;width:464.65pt;height:176.45pt;z-index:25165827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" fillcolor="#ff8d00" stroked="f">
                <v:textbox inset="5mm,5mm,5mm,5mm">
                  <w:txbxContent>
                    <w:p w14:paraId="1B97AE8C" w14:textId="6C48DE32" w:rsidR="00D0098F" w:rsidRPr="00116E55" w:rsidRDefault="00D0098F" w:rsidP="00116E55">
                      <w:pPr>
                        <w:pStyle w:val="Heading3"/>
                        <w:spacing w:before="0" w:after="240"/>
                        <w:rPr>
                          <w:color w:val="FFFFFF" w:themeColor="background1"/>
                          <w:sz w:val="24"/>
                        </w:rPr>
                      </w:pPr>
                      <w:r>
                        <w:rPr>
                          <w:color w:val="FFFFFF" w:themeColor="background1"/>
                          <w:sz w:val="24"/>
                        </w:rPr>
                        <w:t>Supporting documents</w:t>
                      </w:r>
                    </w:p>
                    <w:p w14:paraId="647625AC" w14:textId="77777777" w:rsidR="00D0098F" w:rsidRPr="00D54179" w:rsidRDefault="00D0098F" w:rsidP="00116E55">
                      <w:pPr>
                        <w:pStyle w:val="ListParagraph"/>
                        <w:ind w:left="426"/>
                        <w:rPr>
                          <w:rFonts w:asciiTheme="minorHAnsi" w:hAnsiTheme="minorHAnsi"/>
                          <w:b/>
                          <w:color w:val="FFFFFF" w:themeColor="background1"/>
                          <w:sz w:val="22"/>
                          <w:szCs w:val="22"/>
                        </w:rPr>
                      </w:pPr>
                      <w:r w:rsidRPr="00D54179">
                        <w:rPr>
                          <w:rFonts w:asciiTheme="minorHAnsi" w:hAnsiTheme="minorHAnsi"/>
                          <w:b/>
                          <w:color w:val="FFFFFF" w:themeColor="background1"/>
                          <w:sz w:val="22"/>
                          <w:szCs w:val="22"/>
                        </w:rPr>
                        <w:t>Corporate Asset Management Plan</w:t>
                      </w:r>
                    </w:p>
                    <w:p w14:paraId="23902D33" w14:textId="76D0CCA6" w:rsidR="00D0098F" w:rsidRPr="00D66E53" w:rsidRDefault="00D0098F" w:rsidP="00116E55">
                      <w:pPr>
                        <w:pStyle w:val="ListParagraph"/>
                        <w:ind w:left="426"/>
                        <w:rPr>
                          <w:rFonts w:asciiTheme="minorHAnsi" w:hAnsiTheme="minorHAnsi"/>
                          <w:b/>
                          <w:color w:val="FFFFFF" w:themeColor="background1"/>
                          <w:sz w:val="22"/>
                          <w:szCs w:val="22"/>
                        </w:rPr>
                      </w:pPr>
                      <w:r w:rsidRPr="00D66E53">
                        <w:rPr>
                          <w:rFonts w:asciiTheme="minorHAnsi" w:hAnsiTheme="minorHAnsi"/>
                          <w:b/>
                          <w:color w:val="FFFFFF" w:themeColor="background1"/>
                          <w:sz w:val="22"/>
                          <w:szCs w:val="22"/>
                        </w:rPr>
                        <w:t>Major Project</w:t>
                      </w:r>
                      <w:r w:rsidR="00D66E53" w:rsidRPr="00D66E53">
                        <w:rPr>
                          <w:rFonts w:asciiTheme="minorHAnsi" w:hAnsiTheme="minorHAnsi"/>
                          <w:b/>
                          <w:color w:val="FFFFFF" w:themeColor="background1"/>
                          <w:sz w:val="22"/>
                          <w:szCs w:val="22"/>
                        </w:rPr>
                        <w:t xml:space="preserve">s </w:t>
                      </w:r>
                      <w:r w:rsidR="00D66E53">
                        <w:rPr>
                          <w:rFonts w:asciiTheme="minorHAnsi" w:hAnsiTheme="minorHAnsi"/>
                          <w:b/>
                          <w:color w:val="FFFFFF" w:themeColor="background1"/>
                          <w:sz w:val="22"/>
                          <w:szCs w:val="22"/>
                        </w:rPr>
                        <w:t>(</w:t>
                      </w:r>
                      <w:r w:rsidR="00D66E53" w:rsidRPr="00D66E53">
                        <w:rPr>
                          <w:rFonts w:cs="Arial"/>
                          <w:b/>
                          <w:color w:val="FFFFFF" w:themeColor="background1"/>
                          <w:sz w:val="22"/>
                          <w:szCs w:val="22"/>
                        </w:rPr>
                        <w:t>2023–28</w:t>
                      </w:r>
                      <w:r w:rsidR="00D66E53">
                        <w:rPr>
                          <w:rFonts w:cs="Arial"/>
                          <w:b/>
                          <w:color w:val="FFFFFF" w:themeColor="background1"/>
                          <w:sz w:val="22"/>
                          <w:szCs w:val="22"/>
                        </w:rPr>
                        <w:t>)</w:t>
                      </w:r>
                      <w:r w:rsidR="00D66E53" w:rsidRPr="00D66E53">
                        <w:rPr>
                          <w:rFonts w:cs="Arial"/>
                          <w:b/>
                          <w:color w:val="FFFFFF" w:themeColor="background1"/>
                          <w:sz w:val="22"/>
                          <w:szCs w:val="22"/>
                        </w:rPr>
                        <w:t xml:space="preserve"> </w:t>
                      </w:r>
                      <w:r w:rsidRPr="00D66E53">
                        <w:rPr>
                          <w:rFonts w:asciiTheme="minorHAnsi" w:hAnsiTheme="minorHAnsi"/>
                          <w:b/>
                          <w:color w:val="FFFFFF" w:themeColor="background1"/>
                          <w:sz w:val="22"/>
                          <w:szCs w:val="22"/>
                        </w:rPr>
                        <w:t>Summary</w:t>
                      </w:r>
                      <w:r w:rsidR="00D66E53" w:rsidRPr="00D66E53">
                        <w:rPr>
                          <w:rFonts w:asciiTheme="minorHAnsi" w:hAnsiTheme="minorHAnsi"/>
                          <w:b/>
                          <w:color w:val="FFFFFF" w:themeColor="background1"/>
                          <w:sz w:val="22"/>
                          <w:szCs w:val="22"/>
                        </w:rPr>
                        <w:t xml:space="preserve"> Report</w:t>
                      </w:r>
                    </w:p>
                    <w:p w14:paraId="6D22BEB6" w14:textId="7DFE8941" w:rsidR="00D0098F" w:rsidRPr="00D54179" w:rsidRDefault="00D66E53" w:rsidP="00116E55">
                      <w:pPr>
                        <w:pStyle w:val="ListParagraph"/>
                        <w:ind w:left="426"/>
                        <w:rPr>
                          <w:rFonts w:asciiTheme="minorHAnsi" w:hAnsiTheme="minorHAnsi"/>
                          <w:b/>
                          <w:color w:val="FFFFFF" w:themeColor="background1"/>
                          <w:sz w:val="22"/>
                          <w:szCs w:val="22"/>
                        </w:rPr>
                      </w:pPr>
                      <w:r w:rsidRPr="00D66E53">
                        <w:rPr>
                          <w:rFonts w:cs="Arial"/>
                          <w:b/>
                          <w:color w:val="FFFFFF" w:themeColor="background1"/>
                          <w:sz w:val="22"/>
                          <w:szCs w:val="22"/>
                        </w:rPr>
                        <w:t>2023–28</w:t>
                      </w:r>
                      <w:r>
                        <w:rPr>
                          <w:rFonts w:cs="Arial"/>
                          <w:b/>
                          <w:color w:val="FFFFFF" w:themeColor="background1"/>
                          <w:sz w:val="22"/>
                          <w:szCs w:val="22"/>
                        </w:rPr>
                        <w:t xml:space="preserve"> </w:t>
                      </w:r>
                      <w:r w:rsidR="00D0098F" w:rsidRPr="00D54179">
                        <w:rPr>
                          <w:rFonts w:asciiTheme="minorHAnsi" w:hAnsiTheme="minorHAnsi"/>
                          <w:b/>
                          <w:color w:val="FFFFFF" w:themeColor="background1"/>
                          <w:sz w:val="22"/>
                          <w:szCs w:val="22"/>
                        </w:rPr>
                        <w:t>Capital Delivery Report</w:t>
                      </w:r>
                    </w:p>
                    <w:p w14:paraId="68FB4D5E" w14:textId="45107527" w:rsidR="00D0098F" w:rsidRPr="00D54179" w:rsidRDefault="00D0098F" w:rsidP="00116E55">
                      <w:pPr>
                        <w:pStyle w:val="ListParagraph"/>
                        <w:ind w:left="426"/>
                        <w:rPr>
                          <w:rFonts w:asciiTheme="minorHAnsi" w:hAnsiTheme="minorHAnsi"/>
                          <w:b/>
                          <w:color w:val="FFFFFF" w:themeColor="background1"/>
                          <w:sz w:val="22"/>
                          <w:szCs w:val="22"/>
                        </w:rPr>
                      </w:pPr>
                      <w:r w:rsidRPr="00D54179">
                        <w:rPr>
                          <w:rFonts w:asciiTheme="minorHAnsi" w:hAnsiTheme="minorHAnsi"/>
                          <w:b/>
                          <w:color w:val="FFFFFF" w:themeColor="background1"/>
                          <w:sz w:val="22"/>
                          <w:szCs w:val="22"/>
                        </w:rPr>
                        <w:t xml:space="preserve">Demand Manual </w:t>
                      </w:r>
                      <w:r w:rsidR="004E7623">
                        <w:rPr>
                          <w:rFonts w:asciiTheme="minorHAnsi" w:hAnsiTheme="minorHAnsi"/>
                          <w:b/>
                          <w:color w:val="FFFFFF" w:themeColor="background1"/>
                          <w:sz w:val="22"/>
                          <w:szCs w:val="22"/>
                        </w:rPr>
                        <w:t>– Dwelling and population forecast</w:t>
                      </w:r>
                    </w:p>
                    <w:p w14:paraId="0BD3F5BB" w14:textId="5F550709" w:rsidR="00D0098F" w:rsidRDefault="00D0098F" w:rsidP="00116E55">
                      <w:pPr>
                        <w:pStyle w:val="ListParagraph"/>
                        <w:ind w:left="426"/>
                        <w:rPr>
                          <w:rFonts w:asciiTheme="minorHAnsi" w:hAnsiTheme="minorHAnsi"/>
                          <w:b/>
                          <w:color w:val="FFFFFF" w:themeColor="background1"/>
                          <w:sz w:val="22"/>
                          <w:szCs w:val="22"/>
                        </w:rPr>
                      </w:pPr>
                      <w:r w:rsidRPr="00D54179">
                        <w:rPr>
                          <w:rFonts w:asciiTheme="minorHAnsi" w:hAnsiTheme="minorHAnsi"/>
                          <w:b/>
                          <w:color w:val="FFFFFF" w:themeColor="background1"/>
                          <w:sz w:val="22"/>
                          <w:szCs w:val="22"/>
                        </w:rPr>
                        <w:t xml:space="preserve">Concept Cost Estimating Report - June 2022 </w:t>
                      </w:r>
                    </w:p>
                    <w:p w14:paraId="6FC40D49" w14:textId="3C2BC49A" w:rsidR="00D0098F" w:rsidRPr="000A5974" w:rsidRDefault="00D66E53" w:rsidP="00C4082F">
                      <w:pPr>
                        <w:pStyle w:val="ListParagraph"/>
                        <w:ind w:left="360"/>
                        <w:rPr>
                          <w:color w:val="FFFFFF" w:themeColor="background1"/>
                        </w:rPr>
                      </w:pPr>
                      <w:r w:rsidRPr="00D66E53">
                        <w:rPr>
                          <w:rFonts w:cs="Arial"/>
                          <w:b/>
                          <w:color w:val="FFFFFF" w:themeColor="background1"/>
                          <w:sz w:val="22"/>
                          <w:szCs w:val="22"/>
                        </w:rPr>
                        <w:t>2023–28</w:t>
                      </w:r>
                      <w:r>
                        <w:rPr>
                          <w:rFonts w:cs="Arial"/>
                          <w:b/>
                          <w:color w:val="FFFFFF" w:themeColor="background1"/>
                          <w:sz w:val="22"/>
                          <w:szCs w:val="22"/>
                        </w:rPr>
                        <w:t xml:space="preserve"> </w:t>
                      </w:r>
                      <w:r w:rsidR="00D0098F" w:rsidRPr="000A5974">
                        <w:rPr>
                          <w:rFonts w:asciiTheme="minorHAnsi" w:hAnsiTheme="minorHAnsi"/>
                          <w:b/>
                          <w:color w:val="FFFFFF" w:themeColor="background1"/>
                          <w:sz w:val="22"/>
                          <w:szCs w:val="22"/>
                        </w:rPr>
                        <w:t>Unit Rate Tables (2022</w:t>
                      </w:r>
                      <w:r w:rsidRPr="00D66E53">
                        <w:rPr>
                          <w:rFonts w:cs="Arial"/>
                          <w:b/>
                          <w:color w:val="FFFFFF" w:themeColor="background1"/>
                          <w:sz w:val="22"/>
                          <w:szCs w:val="22"/>
                        </w:rPr>
                        <w:t>–</w:t>
                      </w:r>
                      <w:r w:rsidR="00D0098F" w:rsidRPr="000A5974">
                        <w:rPr>
                          <w:rFonts w:asciiTheme="minorHAnsi" w:hAnsiTheme="minorHAnsi"/>
                          <w:b/>
                          <w:color w:val="FFFFFF" w:themeColor="background1"/>
                          <w:sz w:val="22"/>
                          <w:szCs w:val="22"/>
                        </w:rPr>
                        <w:t xml:space="preserve">2023) </w:t>
                      </w:r>
                    </w:p>
                  </w:txbxContent>
                </v:textbox>
                <w10:wrap type="square"/>
              </v:shape>
            </w:pict>
          </mc:Fallback>
        </mc:AlternateContent>
      </w:r>
      <w:r w:rsidR="0037078C">
        <w:br w:type="page"/>
      </w:r>
    </w:p>
    <w:bookmarkStart w:id="69" w:name="_7._Forecast_operating"/>
    <w:bookmarkStart w:id="70" w:name="_Toc114644619"/>
    <w:bookmarkEnd w:id="69"/>
    <w:p w14:paraId="130AD698" w14:textId="6618A4F6" w:rsidR="0037078C" w:rsidRDefault="006E2896" w:rsidP="00936AD2">
      <w:pPr>
        <w:pStyle w:val="Heading1"/>
      </w:pPr>
      <w:r>
        <w:lastRenderedPageBreak/>
        <mc:AlternateContent>
          <mc:Choice Requires="wps">
            <w:drawing>
              <wp:anchor distT="45720" distB="45720" distL="114300" distR="114300" simplePos="0" relativeHeight="251658276" behindDoc="0" locked="0" layoutInCell="1" allowOverlap="1" wp14:anchorId="46B42840" wp14:editId="11D0F068">
                <wp:simplePos x="0" y="0"/>
                <wp:positionH relativeFrom="column">
                  <wp:posOffset>-20108</wp:posOffset>
                </wp:positionH>
                <wp:positionV relativeFrom="paragraph">
                  <wp:posOffset>752475</wp:posOffset>
                </wp:positionV>
                <wp:extent cx="6068695" cy="2823845"/>
                <wp:effectExtent l="0" t="0" r="1905" b="0"/>
                <wp:wrapSquare wrapText="bothSides"/>
                <wp:docPr id="1010" name="Text Box 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8695" cy="2823845"/>
                        </a:xfrm>
                        <a:prstGeom prst="rect">
                          <a:avLst/>
                        </a:prstGeom>
                        <a:solidFill>
                          <a:srgbClr val="00B1F4"/>
                        </a:solidFill>
                        <a:ln w="9525">
                          <a:noFill/>
                          <a:miter lim="800000"/>
                          <a:headEnd/>
                          <a:tailEnd/>
                        </a:ln>
                      </wps:spPr>
                      <wps:txbx>
                        <w:txbxContent>
                          <w:p w14:paraId="0C59B2FC" w14:textId="77777777" w:rsidR="006E2896" w:rsidRPr="00116E55" w:rsidRDefault="006E2896" w:rsidP="00116E55">
                            <w:pPr>
                              <w:pStyle w:val="Heading3"/>
                              <w:spacing w:before="0" w:after="240"/>
                              <w:rPr>
                                <w:color w:val="FFFFFF" w:themeColor="background1"/>
                                <w:sz w:val="24"/>
                              </w:rPr>
                            </w:pPr>
                            <w:r w:rsidRPr="00116E55">
                              <w:rPr>
                                <w:color w:val="FFFFFF" w:themeColor="background1"/>
                                <w:sz w:val="24"/>
                              </w:rPr>
                              <w:t>Key points</w:t>
                            </w:r>
                          </w:p>
                          <w:p w14:paraId="25F7EAF2" w14:textId="1FD324E4" w:rsidR="006E2896" w:rsidRPr="00D54179" w:rsidRDefault="006E2896">
                            <w:pPr>
                              <w:pStyle w:val="TableNumber"/>
                              <w:numPr>
                                <w:ilvl w:val="0"/>
                                <w:numId w:val="132"/>
                              </w:numPr>
                              <w:spacing w:after="120"/>
                              <w:ind w:left="426"/>
                              <w:rPr>
                                <w:rFonts w:asciiTheme="minorHAnsi" w:hAnsiTheme="minorHAnsi"/>
                                <w:b/>
                                <w:color w:val="FFFFFF" w:themeColor="background1"/>
                                <w:szCs w:val="22"/>
                              </w:rPr>
                            </w:pPr>
                            <w:r w:rsidRPr="00D54179">
                              <w:rPr>
                                <w:rFonts w:asciiTheme="minorHAnsi" w:hAnsiTheme="minorHAnsi"/>
                                <w:b/>
                                <w:color w:val="FFFFFF" w:themeColor="background1"/>
                                <w:szCs w:val="22"/>
                              </w:rPr>
                              <w:t>South East Water's operating expenditure is expected to be $0.7 million less than its benchmark allowance for the 2018</w:t>
                            </w:r>
                            <w:r w:rsidR="009C0874" w:rsidRPr="009C0874">
                              <w:rPr>
                                <w:b/>
                                <w:bCs/>
                                <w:i/>
                                <w:color w:val="FFFFFF" w:themeColor="background1"/>
                                <w:szCs w:val="22"/>
                              </w:rPr>
                              <w:t>–</w:t>
                            </w:r>
                            <w:r w:rsidRPr="00D54179">
                              <w:rPr>
                                <w:rFonts w:asciiTheme="minorHAnsi" w:hAnsiTheme="minorHAnsi"/>
                                <w:b/>
                                <w:color w:val="FFFFFF" w:themeColor="background1"/>
                                <w:szCs w:val="22"/>
                              </w:rPr>
                              <w:t>23 period.</w:t>
                            </w:r>
                          </w:p>
                          <w:p w14:paraId="32FD0860" w14:textId="77777777" w:rsidR="006E2896" w:rsidRPr="00D54179" w:rsidRDefault="006E2896">
                            <w:pPr>
                              <w:pStyle w:val="TableNumber"/>
                              <w:numPr>
                                <w:ilvl w:val="0"/>
                                <w:numId w:val="132"/>
                              </w:numPr>
                              <w:spacing w:after="120"/>
                              <w:ind w:left="426"/>
                              <w:rPr>
                                <w:rFonts w:asciiTheme="minorHAnsi" w:hAnsiTheme="minorHAnsi"/>
                                <w:b/>
                                <w:color w:val="FFFFFF" w:themeColor="background1"/>
                                <w:szCs w:val="22"/>
                              </w:rPr>
                            </w:pPr>
                            <w:r w:rsidRPr="00D54179">
                              <w:rPr>
                                <w:rFonts w:asciiTheme="minorHAnsi" w:hAnsiTheme="minorHAnsi"/>
                                <w:b/>
                                <w:color w:val="FFFFFF" w:themeColor="background1"/>
                                <w:szCs w:val="22"/>
                              </w:rPr>
                              <w:t>This means that South East Water expects to outperform the 2.3% cost efficiency assumption that was reflected in the current period benchmark operating expenditure allowance.</w:t>
                            </w:r>
                          </w:p>
                          <w:p w14:paraId="30372923" w14:textId="02C53887" w:rsidR="006E2896" w:rsidRPr="00D54179" w:rsidRDefault="006E2896">
                            <w:pPr>
                              <w:pStyle w:val="TableNumber"/>
                              <w:numPr>
                                <w:ilvl w:val="0"/>
                                <w:numId w:val="132"/>
                              </w:numPr>
                              <w:spacing w:after="120"/>
                              <w:ind w:left="426"/>
                              <w:rPr>
                                <w:rFonts w:asciiTheme="minorHAnsi" w:hAnsiTheme="minorHAnsi"/>
                                <w:b/>
                                <w:color w:val="FFFFFF" w:themeColor="background1"/>
                                <w:szCs w:val="22"/>
                              </w:rPr>
                            </w:pPr>
                            <w:r w:rsidRPr="00D54179">
                              <w:rPr>
                                <w:rFonts w:asciiTheme="minorHAnsi" w:hAnsiTheme="minorHAnsi"/>
                                <w:b/>
                                <w:color w:val="FFFFFF" w:themeColor="background1"/>
                                <w:szCs w:val="22"/>
                              </w:rPr>
                              <w:t>Forecast prudent and efficient total operating expenditure for the 2023</w:t>
                            </w:r>
                            <w:r w:rsidR="009C0874" w:rsidRPr="009C0874">
                              <w:rPr>
                                <w:b/>
                                <w:bCs/>
                                <w:i/>
                                <w:color w:val="FFFFFF" w:themeColor="background1"/>
                                <w:szCs w:val="22"/>
                              </w:rPr>
                              <w:t>–</w:t>
                            </w:r>
                            <w:r w:rsidRPr="00D54179">
                              <w:rPr>
                                <w:rFonts w:asciiTheme="minorHAnsi" w:hAnsiTheme="minorHAnsi"/>
                                <w:b/>
                                <w:color w:val="FFFFFF" w:themeColor="background1"/>
                                <w:szCs w:val="22"/>
                              </w:rPr>
                              <w:t>28 period is $3,445 million, which is 6.5% less than the current period benchmark allowance (on average) over the regulatory period.</w:t>
                            </w:r>
                          </w:p>
                          <w:p w14:paraId="4F31EA85" w14:textId="71CE13E1" w:rsidR="006E2896" w:rsidRPr="00D54179" w:rsidRDefault="006E2896">
                            <w:pPr>
                              <w:pStyle w:val="TableNumber"/>
                              <w:numPr>
                                <w:ilvl w:val="0"/>
                                <w:numId w:val="132"/>
                              </w:numPr>
                              <w:spacing w:after="120"/>
                              <w:ind w:left="426"/>
                              <w:rPr>
                                <w:rFonts w:asciiTheme="minorHAnsi" w:hAnsiTheme="minorHAnsi"/>
                                <w:b/>
                                <w:color w:val="FFFFFF" w:themeColor="background1"/>
                                <w:szCs w:val="22"/>
                              </w:rPr>
                            </w:pPr>
                            <w:r w:rsidRPr="00D54179">
                              <w:rPr>
                                <w:rFonts w:asciiTheme="minorHAnsi" w:hAnsiTheme="minorHAnsi"/>
                                <w:b/>
                                <w:color w:val="FFFFFF" w:themeColor="background1"/>
                                <w:szCs w:val="22"/>
                              </w:rPr>
                              <w:t>The forecast of controllable operating expenditure includes an ambitious cost efficiency improvement rate of 2% per year, which will continue to deliver cost savings to customers going forward.</w:t>
                            </w:r>
                          </w:p>
                          <w:p w14:paraId="03F666E7" w14:textId="7304C0A2" w:rsidR="006E2896" w:rsidRPr="00116E55" w:rsidRDefault="006E2896" w:rsidP="00116E55">
                            <w:pPr>
                              <w:pStyle w:val="Bulletlistmultilevel"/>
                              <w:ind w:left="0" w:firstLine="0"/>
                            </w:pPr>
                          </w:p>
                        </w:txbxContent>
                      </wps:txbx>
                      <wps:bodyPr rot="0" vert="horz" wrap="square" lIns="180000" tIns="180000" rIns="180000" bIns="180000" anchor="t" anchorCtr="0">
                        <a:noAutofit/>
                      </wps:bodyPr>
                    </wps:wsp>
                  </a:graphicData>
                </a:graphic>
                <wp14:sizeRelH relativeFrom="margin">
                  <wp14:pctWidth>0</wp14:pctWidth>
                </wp14:sizeRelH>
                <wp14:sizeRelV relativeFrom="margin">
                  <wp14:pctHeight>0</wp14:pctHeight>
                </wp14:sizeRelV>
              </wp:anchor>
            </w:drawing>
          </mc:Choice>
          <mc:Fallback>
            <w:pict>
              <v:shape w14:anchorId="46B42840" id="Text Box 1010" o:spid="_x0000_s1055" type="#_x0000_t202" style="position:absolute;margin-left:-1.6pt;margin-top:59.25pt;width:477.85pt;height:222.35pt;z-index:2516582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" fillcolor="#00b1f4" stroked="f">
                <v:textbox inset="5mm,5mm,5mm,5mm">
                  <w:txbxContent>
                    <w:p w14:paraId="0C59B2FC" w14:textId="77777777" w:rsidR="006E2896" w:rsidRPr="00116E55" w:rsidRDefault="006E2896" w:rsidP="00116E55">
                      <w:pPr>
                        <w:pStyle w:val="Heading3"/>
                        <w:spacing w:before="0" w:after="240"/>
                        <w:rPr>
                          <w:color w:val="FFFFFF" w:themeColor="background1"/>
                          <w:sz w:val="24"/>
                        </w:rPr>
                      </w:pPr>
                      <w:r w:rsidRPr="00116E55">
                        <w:rPr>
                          <w:color w:val="FFFFFF" w:themeColor="background1"/>
                          <w:sz w:val="24"/>
                        </w:rPr>
                        <w:t>Key points</w:t>
                      </w:r>
                    </w:p>
                    <w:p w14:paraId="25F7EAF2" w14:textId="1FD324E4" w:rsidR="006E2896" w:rsidRPr="00D54179" w:rsidRDefault="006E2896">
                      <w:pPr>
                        <w:pStyle w:val="TableNumber"/>
                        <w:numPr>
                          <w:ilvl w:val="0"/>
                          <w:numId w:val="132"/>
                        </w:numPr>
                        <w:spacing w:after="120"/>
                        <w:ind w:left="426"/>
                        <w:rPr>
                          <w:rFonts w:asciiTheme="minorHAnsi" w:hAnsiTheme="minorHAnsi"/>
                          <w:b/>
                          <w:color w:val="FFFFFF" w:themeColor="background1"/>
                          <w:szCs w:val="22"/>
                        </w:rPr>
                      </w:pPr>
                      <w:proofErr w:type="gramStart"/>
                      <w:r w:rsidRPr="00D54179">
                        <w:rPr>
                          <w:rFonts w:asciiTheme="minorHAnsi" w:hAnsiTheme="minorHAnsi"/>
                          <w:b/>
                          <w:color w:val="FFFFFF" w:themeColor="background1"/>
                          <w:szCs w:val="22"/>
                        </w:rPr>
                        <w:t>South East</w:t>
                      </w:r>
                      <w:proofErr w:type="gramEnd"/>
                      <w:r w:rsidRPr="00D54179">
                        <w:rPr>
                          <w:rFonts w:asciiTheme="minorHAnsi" w:hAnsiTheme="minorHAnsi"/>
                          <w:b/>
                          <w:color w:val="FFFFFF" w:themeColor="background1"/>
                          <w:szCs w:val="22"/>
                        </w:rPr>
                        <w:t xml:space="preserve"> Water's operating expenditure is expected to be $0.7 million less than its benchmark allowance for the 2018</w:t>
                      </w:r>
                      <w:r w:rsidR="009C0874" w:rsidRPr="009C0874">
                        <w:rPr>
                          <w:b/>
                          <w:bCs/>
                          <w:i/>
                          <w:color w:val="FFFFFF" w:themeColor="background1"/>
                          <w:szCs w:val="22"/>
                        </w:rPr>
                        <w:t>–</w:t>
                      </w:r>
                      <w:r w:rsidRPr="00D54179">
                        <w:rPr>
                          <w:rFonts w:asciiTheme="minorHAnsi" w:hAnsiTheme="minorHAnsi"/>
                          <w:b/>
                          <w:color w:val="FFFFFF" w:themeColor="background1"/>
                          <w:szCs w:val="22"/>
                        </w:rPr>
                        <w:t>23 period.</w:t>
                      </w:r>
                    </w:p>
                    <w:p w14:paraId="32FD0860" w14:textId="77777777" w:rsidR="006E2896" w:rsidRPr="00D54179" w:rsidRDefault="006E2896">
                      <w:pPr>
                        <w:pStyle w:val="TableNumber"/>
                        <w:numPr>
                          <w:ilvl w:val="0"/>
                          <w:numId w:val="132"/>
                        </w:numPr>
                        <w:spacing w:after="120"/>
                        <w:ind w:left="426"/>
                        <w:rPr>
                          <w:rFonts w:asciiTheme="minorHAnsi" w:hAnsiTheme="minorHAnsi"/>
                          <w:b/>
                          <w:color w:val="FFFFFF" w:themeColor="background1"/>
                          <w:szCs w:val="22"/>
                        </w:rPr>
                      </w:pPr>
                      <w:r w:rsidRPr="00D54179">
                        <w:rPr>
                          <w:rFonts w:asciiTheme="minorHAnsi" w:hAnsiTheme="minorHAnsi"/>
                          <w:b/>
                          <w:color w:val="FFFFFF" w:themeColor="background1"/>
                          <w:szCs w:val="22"/>
                        </w:rPr>
                        <w:t xml:space="preserve">This means that </w:t>
                      </w:r>
                      <w:proofErr w:type="gramStart"/>
                      <w:r w:rsidRPr="00D54179">
                        <w:rPr>
                          <w:rFonts w:asciiTheme="minorHAnsi" w:hAnsiTheme="minorHAnsi"/>
                          <w:b/>
                          <w:color w:val="FFFFFF" w:themeColor="background1"/>
                          <w:szCs w:val="22"/>
                        </w:rPr>
                        <w:t>South East</w:t>
                      </w:r>
                      <w:proofErr w:type="gramEnd"/>
                      <w:r w:rsidRPr="00D54179">
                        <w:rPr>
                          <w:rFonts w:asciiTheme="minorHAnsi" w:hAnsiTheme="minorHAnsi"/>
                          <w:b/>
                          <w:color w:val="FFFFFF" w:themeColor="background1"/>
                          <w:szCs w:val="22"/>
                        </w:rPr>
                        <w:t xml:space="preserve"> Water expects to outperform the 2.3% cost efficiency assumption that was reflected in the current period benchmark operating expenditure allowance.</w:t>
                      </w:r>
                    </w:p>
                    <w:p w14:paraId="30372923" w14:textId="02C53887" w:rsidR="006E2896" w:rsidRPr="00D54179" w:rsidRDefault="006E2896">
                      <w:pPr>
                        <w:pStyle w:val="TableNumber"/>
                        <w:numPr>
                          <w:ilvl w:val="0"/>
                          <w:numId w:val="132"/>
                        </w:numPr>
                        <w:spacing w:after="120"/>
                        <w:ind w:left="426"/>
                        <w:rPr>
                          <w:rFonts w:asciiTheme="minorHAnsi" w:hAnsiTheme="minorHAnsi"/>
                          <w:b/>
                          <w:color w:val="FFFFFF" w:themeColor="background1"/>
                          <w:szCs w:val="22"/>
                        </w:rPr>
                      </w:pPr>
                      <w:r w:rsidRPr="00D54179">
                        <w:rPr>
                          <w:rFonts w:asciiTheme="minorHAnsi" w:hAnsiTheme="minorHAnsi"/>
                          <w:b/>
                          <w:color w:val="FFFFFF" w:themeColor="background1"/>
                          <w:szCs w:val="22"/>
                        </w:rPr>
                        <w:t>Forecast prudent and efficient total operating expenditure for the 2023</w:t>
                      </w:r>
                      <w:r w:rsidR="009C0874" w:rsidRPr="009C0874">
                        <w:rPr>
                          <w:b/>
                          <w:bCs/>
                          <w:i/>
                          <w:color w:val="FFFFFF" w:themeColor="background1"/>
                          <w:szCs w:val="22"/>
                        </w:rPr>
                        <w:t>–</w:t>
                      </w:r>
                      <w:r w:rsidRPr="00D54179">
                        <w:rPr>
                          <w:rFonts w:asciiTheme="minorHAnsi" w:hAnsiTheme="minorHAnsi"/>
                          <w:b/>
                          <w:color w:val="FFFFFF" w:themeColor="background1"/>
                          <w:szCs w:val="22"/>
                        </w:rPr>
                        <w:t>28 period is $3,445 million, which is 6.5% less than the current period benchmark allowance (on average) over the regulatory period.</w:t>
                      </w:r>
                    </w:p>
                    <w:p w14:paraId="4F31EA85" w14:textId="71CE13E1" w:rsidR="006E2896" w:rsidRPr="00D54179" w:rsidRDefault="006E2896">
                      <w:pPr>
                        <w:pStyle w:val="TableNumber"/>
                        <w:numPr>
                          <w:ilvl w:val="0"/>
                          <w:numId w:val="132"/>
                        </w:numPr>
                        <w:spacing w:after="120"/>
                        <w:ind w:left="426"/>
                        <w:rPr>
                          <w:rFonts w:asciiTheme="minorHAnsi" w:hAnsiTheme="minorHAnsi"/>
                          <w:b/>
                          <w:color w:val="FFFFFF" w:themeColor="background1"/>
                          <w:szCs w:val="22"/>
                        </w:rPr>
                      </w:pPr>
                      <w:r w:rsidRPr="00D54179">
                        <w:rPr>
                          <w:rFonts w:asciiTheme="minorHAnsi" w:hAnsiTheme="minorHAnsi"/>
                          <w:b/>
                          <w:color w:val="FFFFFF" w:themeColor="background1"/>
                          <w:szCs w:val="22"/>
                        </w:rPr>
                        <w:t>The forecast of controllable operating expenditure includes an ambitious cost efficiency improvement rate of 2% per year, which will continue to deliver cost savings to customers going forward.</w:t>
                      </w:r>
                    </w:p>
                    <w:p w14:paraId="03F666E7" w14:textId="7304C0A2" w:rsidR="006E2896" w:rsidRPr="00116E55" w:rsidRDefault="006E2896" w:rsidP="00116E55">
                      <w:pPr>
                        <w:pStyle w:val="Bulletlistmultilevel"/>
                        <w:ind w:left="0" w:firstLine="0"/>
                      </w:pPr>
                    </w:p>
                  </w:txbxContent>
                </v:textbox>
                <w10:wrap type="square"/>
              </v:shape>
            </w:pict>
          </mc:Fallback>
        </mc:AlternateContent>
      </w:r>
      <w:r w:rsidR="002F5BBD">
        <w:t xml:space="preserve">7. </w:t>
      </w:r>
      <w:r w:rsidR="0037078C" w:rsidRPr="0037078C">
        <w:t>Forecast operating expenditure</w:t>
      </w:r>
      <w:bookmarkEnd w:id="70"/>
    </w:p>
    <w:p w14:paraId="6E35B3C8" w14:textId="344E517C" w:rsidR="007C6B47" w:rsidRPr="00DF10B3" w:rsidRDefault="007C6B47" w:rsidP="00DF10B3">
      <w:pPr>
        <w:pStyle w:val="Heading2"/>
      </w:pPr>
    </w:p>
    <w:p w14:paraId="0551A5CF" w14:textId="3B98D31F" w:rsidR="0037078C" w:rsidRDefault="00304291" w:rsidP="00DF10B3">
      <w:pPr>
        <w:pStyle w:val="Heading2"/>
      </w:pPr>
      <w:bookmarkStart w:id="71" w:name="_7.1_Current_period"/>
      <w:bookmarkStart w:id="72" w:name="_Toc103770938"/>
      <w:bookmarkEnd w:id="71"/>
      <w:r w:rsidRPr="00DF10B3">
        <w:t xml:space="preserve">7.1 </w:t>
      </w:r>
      <w:r w:rsidR="0037078C" w:rsidRPr="00DF10B3">
        <w:t>Current</w:t>
      </w:r>
      <w:r w:rsidR="0037078C">
        <w:t xml:space="preserve"> period outcomes</w:t>
      </w:r>
      <w:bookmarkEnd w:id="72"/>
    </w:p>
    <w:p w14:paraId="31D08016" w14:textId="1EA1F513" w:rsidR="0037078C" w:rsidRPr="00360131" w:rsidRDefault="61A129D4" w:rsidP="00525D8C">
      <w:pPr>
        <w:pStyle w:val="Heading3"/>
      </w:pPr>
      <w:bookmarkStart w:id="73" w:name="_Current_period_performance"/>
      <w:bookmarkEnd w:id="73"/>
      <w:r w:rsidRPr="00525D8C">
        <w:t>Current</w:t>
      </w:r>
      <w:r w:rsidRPr="00360131">
        <w:t xml:space="preserve"> period performance</w:t>
      </w:r>
    </w:p>
    <w:p w14:paraId="649A1A00" w14:textId="7985D674" w:rsidR="00645C29" w:rsidRDefault="00A059D8" w:rsidP="00AA7B8E">
      <w:pPr>
        <w:rPr>
          <w:rFonts w:eastAsia="Arial" w:cs="Arial"/>
        </w:rPr>
      </w:pPr>
      <w:r w:rsidRPr="008A63CF">
        <w:rPr>
          <w:rFonts w:eastAsia="Arial" w:cs="Arial"/>
        </w:rPr>
        <w:fldChar w:fldCharType="begin"/>
      </w:r>
      <w:r w:rsidRPr="008A63CF">
        <w:rPr>
          <w:rFonts w:eastAsia="Arial" w:cs="Arial"/>
        </w:rPr>
        <w:instrText xml:space="preserve"> REF _Ref111661597 \h </w:instrText>
      </w:r>
      <w:r w:rsidR="00BD17DE" w:rsidRPr="008A63CF">
        <w:rPr>
          <w:rFonts w:eastAsia="Arial" w:cs="Arial"/>
        </w:rPr>
        <w:instrText xml:space="preserve"> \* MERGEFORMAT </w:instrText>
      </w:r>
      <w:r w:rsidRPr="008A63CF">
        <w:rPr>
          <w:rFonts w:eastAsia="Arial" w:cs="Arial"/>
        </w:rPr>
      </w:r>
      <w:r w:rsidRPr="008A63CF">
        <w:rPr>
          <w:rFonts w:eastAsia="Arial" w:cs="Arial"/>
        </w:rPr>
        <w:fldChar w:fldCharType="end"/>
      </w:r>
      <w:r w:rsidR="000B4F52">
        <w:rPr>
          <w:rFonts w:eastAsia="Arial" w:cs="Arial"/>
        </w:rPr>
        <w:t>9</w:t>
      </w:r>
      <w:r w:rsidR="00C450F5">
        <w:rPr>
          <w:rFonts w:eastAsia="Arial" w:cs="Arial"/>
        </w:rPr>
        <w:t xml:space="preserve"> shows </w:t>
      </w:r>
      <w:r w:rsidR="00BE5866">
        <w:rPr>
          <w:rFonts w:eastAsia="Arial" w:cs="Arial"/>
        </w:rPr>
        <w:t>expected controllable operating expenditure outcomes for the 2018</w:t>
      </w:r>
      <w:r w:rsidR="00310E2A">
        <w:rPr>
          <w:rFonts w:eastAsia="Arial" w:cs="Arial"/>
        </w:rPr>
        <w:t>–</w:t>
      </w:r>
      <w:r w:rsidR="00BE5866">
        <w:rPr>
          <w:rFonts w:eastAsia="Arial" w:cs="Arial"/>
        </w:rPr>
        <w:t>23 period.</w:t>
      </w:r>
      <w:r w:rsidR="00992C4F">
        <w:rPr>
          <w:rFonts w:eastAsia="Arial" w:cs="Arial"/>
        </w:rPr>
        <w:t xml:space="preserve"> </w:t>
      </w:r>
      <w:r w:rsidR="000F0237">
        <w:rPr>
          <w:rFonts w:eastAsia="Arial" w:cs="Arial"/>
        </w:rPr>
        <w:t>Current period</w:t>
      </w:r>
      <w:r w:rsidR="000F0237" w:rsidRPr="000F0237">
        <w:rPr>
          <w:rFonts w:eastAsia="Arial" w:cs="Arial"/>
        </w:rPr>
        <w:t xml:space="preserve"> operating expenditure</w:t>
      </w:r>
      <w:r w:rsidR="000F0237">
        <w:rPr>
          <w:rFonts w:eastAsia="Arial" w:cs="Arial"/>
        </w:rPr>
        <w:t xml:space="preserve"> is forecast </w:t>
      </w:r>
      <w:r w:rsidR="000F0237" w:rsidRPr="00BF2B1D">
        <w:rPr>
          <w:rFonts w:eastAsia="Arial" w:cs="Arial"/>
        </w:rPr>
        <w:t>to be</w:t>
      </w:r>
      <w:r w:rsidR="00872204">
        <w:rPr>
          <w:rFonts w:eastAsia="Arial" w:cs="Arial"/>
        </w:rPr>
        <w:t xml:space="preserve"> </w:t>
      </w:r>
      <w:r w:rsidR="000F0237" w:rsidRPr="000F0237">
        <w:rPr>
          <w:rFonts w:eastAsia="Arial" w:cs="Arial"/>
        </w:rPr>
        <w:t>$0.7</w:t>
      </w:r>
      <w:r w:rsidR="002F4834">
        <w:rPr>
          <w:rFonts w:eastAsia="Arial" w:cs="Arial"/>
        </w:rPr>
        <w:t> </w:t>
      </w:r>
      <w:r w:rsidR="000F0237" w:rsidRPr="000F0237">
        <w:rPr>
          <w:rFonts w:eastAsia="Arial" w:cs="Arial"/>
        </w:rPr>
        <w:t xml:space="preserve">million less than the benchmark </w:t>
      </w:r>
      <w:r w:rsidR="00BD17DE" w:rsidRPr="00460035">
        <w:rPr>
          <w:rFonts w:eastAsia="Arial" w:cs="Arial"/>
        </w:rPr>
        <w:t xml:space="preserve">operating expenditure </w:t>
      </w:r>
      <w:r w:rsidR="000F0237" w:rsidRPr="000F0237">
        <w:rPr>
          <w:rFonts w:eastAsia="Arial" w:cs="Arial"/>
        </w:rPr>
        <w:t>allowance</w:t>
      </w:r>
      <w:r w:rsidR="003E036D">
        <w:rPr>
          <w:rFonts w:eastAsia="Arial" w:cs="Arial"/>
        </w:rPr>
        <w:t xml:space="preserve"> </w:t>
      </w:r>
      <w:r w:rsidR="00BF2B1D">
        <w:rPr>
          <w:rFonts w:eastAsia="Arial" w:cs="Arial"/>
        </w:rPr>
        <w:t xml:space="preserve">of </w:t>
      </w:r>
      <w:r w:rsidR="00362E4D">
        <w:rPr>
          <w:rFonts w:eastAsia="Arial" w:cs="Arial"/>
        </w:rPr>
        <w:t>$699 million</w:t>
      </w:r>
      <w:r w:rsidR="003E036D">
        <w:rPr>
          <w:rFonts w:eastAsia="Arial" w:cs="Arial"/>
        </w:rPr>
        <w:t xml:space="preserve"> (</w:t>
      </w:r>
      <w:r w:rsidR="00436883">
        <w:rPr>
          <w:rFonts w:eastAsia="Arial" w:cs="Arial"/>
        </w:rPr>
        <w:t>escalated to 2022</w:t>
      </w:r>
      <w:r w:rsidR="00310E2A">
        <w:rPr>
          <w:rFonts w:eastAsia="Arial" w:cs="Arial"/>
        </w:rPr>
        <w:t>–</w:t>
      </w:r>
      <w:r w:rsidR="00436883">
        <w:rPr>
          <w:rFonts w:eastAsia="Arial" w:cs="Arial"/>
        </w:rPr>
        <w:t>23)</w:t>
      </w:r>
      <w:r w:rsidR="000F0237">
        <w:rPr>
          <w:rFonts w:eastAsia="Arial" w:cs="Arial"/>
        </w:rPr>
        <w:t>.</w:t>
      </w:r>
      <w:r w:rsidR="00992C4F">
        <w:rPr>
          <w:rFonts w:eastAsia="Arial" w:cs="Arial"/>
        </w:rPr>
        <w:t xml:space="preserve"> </w:t>
      </w:r>
    </w:p>
    <w:p w14:paraId="0DE95E9E" w14:textId="7FBC640B" w:rsidR="000A3BF2" w:rsidRDefault="009A1C59" w:rsidP="00116E55">
      <w:pPr>
        <w:pStyle w:val="Figuretitle"/>
        <w:spacing w:after="120"/>
        <w:rPr>
          <w:i/>
          <w:sz w:val="22"/>
          <w:szCs w:val="22"/>
        </w:rPr>
      </w:pPr>
      <w:bookmarkStart w:id="74" w:name="_Ref111661597"/>
      <w:r w:rsidRPr="000B4F52">
        <w:rPr>
          <w:i/>
          <w:noProof/>
          <w:sz w:val="22"/>
          <w:szCs w:val="22"/>
        </w:rPr>
        <w:drawing>
          <wp:anchor distT="0" distB="0" distL="114300" distR="114300" simplePos="0" relativeHeight="251658299" behindDoc="0" locked="0" layoutInCell="1" allowOverlap="1" wp14:anchorId="33762B11" wp14:editId="59B76081">
            <wp:simplePos x="0" y="0"/>
            <wp:positionH relativeFrom="margin">
              <wp:posOffset>91066</wp:posOffset>
            </wp:positionH>
            <wp:positionV relativeFrom="page">
              <wp:posOffset>6588760</wp:posOffset>
            </wp:positionV>
            <wp:extent cx="5763895" cy="3222625"/>
            <wp:effectExtent l="0" t="0" r="1905" b="0"/>
            <wp:wrapTopAndBottom/>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rotWithShape="1">
                    <a:blip r:embed="rId32" cstate="print">
                      <a:extLst>
                        <a:ext uri="{28A0092B-C50C-407E-A947-70E740481C1C}">
                          <a14:useLocalDpi xmlns:a14="http://schemas.microsoft.com/office/drawing/2010/main" val="0"/>
                        </a:ext>
                      </a:extLst>
                    </a:blip>
                    <a:srcRect l="370" r="370"/>
                    <a:stretch/>
                  </pic:blipFill>
                  <pic:spPr bwMode="auto">
                    <a:xfrm>
                      <a:off x="0" y="0"/>
                      <a:ext cx="5763895" cy="3222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74"/>
      <w:r w:rsidR="00D625CC" w:rsidRPr="000B4F52">
        <w:rPr>
          <w:i/>
          <w:szCs w:val="24"/>
        </w:rPr>
        <w:t xml:space="preserve"> </w:t>
      </w:r>
      <w:r w:rsidR="000B4F52" w:rsidRPr="000B4F52">
        <w:rPr>
          <w:i/>
          <w:sz w:val="22"/>
          <w:szCs w:val="22"/>
        </w:rPr>
        <w:t xml:space="preserve">Figure </w:t>
      </w:r>
      <w:r w:rsidR="00C75976">
        <w:rPr>
          <w:i/>
          <w:sz w:val="22"/>
          <w:szCs w:val="22"/>
        </w:rPr>
        <w:t>9</w:t>
      </w:r>
      <w:r w:rsidR="00D56EA2" w:rsidRPr="000B4F52">
        <w:rPr>
          <w:i/>
          <w:sz w:val="22"/>
          <w:szCs w:val="22"/>
        </w:rPr>
        <w:t>:</w:t>
      </w:r>
      <w:r w:rsidR="000A3BF2" w:rsidRPr="00D625CC">
        <w:rPr>
          <w:i/>
          <w:sz w:val="22"/>
          <w:szCs w:val="22"/>
        </w:rPr>
        <w:t xml:space="preserve"> </w:t>
      </w:r>
      <w:r w:rsidR="00DA6E4D" w:rsidRPr="00D625CC">
        <w:rPr>
          <w:i/>
          <w:iCs w:val="0"/>
          <w:sz w:val="22"/>
          <w:szCs w:val="22"/>
        </w:rPr>
        <w:t>O</w:t>
      </w:r>
      <w:r w:rsidR="000A3BF2" w:rsidRPr="00D625CC">
        <w:rPr>
          <w:i/>
          <w:iCs w:val="0"/>
          <w:sz w:val="22"/>
          <w:szCs w:val="22"/>
        </w:rPr>
        <w:t>pe</w:t>
      </w:r>
      <w:r w:rsidR="00BD17DE" w:rsidRPr="00D625CC">
        <w:rPr>
          <w:i/>
          <w:iCs w:val="0"/>
          <w:sz w:val="22"/>
          <w:szCs w:val="22"/>
        </w:rPr>
        <w:t>rating expenditure</w:t>
      </w:r>
      <w:r w:rsidR="00BD17DE" w:rsidRPr="00D625CC">
        <w:rPr>
          <w:i/>
          <w:sz w:val="22"/>
          <w:szCs w:val="22"/>
        </w:rPr>
        <w:t xml:space="preserve"> </w:t>
      </w:r>
      <w:r w:rsidR="00DA6E4D" w:rsidRPr="00D625CC">
        <w:rPr>
          <w:i/>
          <w:sz w:val="22"/>
          <w:szCs w:val="22"/>
        </w:rPr>
        <w:t xml:space="preserve">2018–23 </w:t>
      </w:r>
      <w:r w:rsidR="004016B1" w:rsidRPr="00D625CC">
        <w:rPr>
          <w:i/>
          <w:sz w:val="22"/>
          <w:szCs w:val="22"/>
        </w:rPr>
        <w:t xml:space="preserve">compared to benchmark allowance </w:t>
      </w:r>
      <w:r w:rsidR="00B86B95">
        <w:rPr>
          <w:i/>
          <w:sz w:val="22"/>
          <w:szCs w:val="22"/>
        </w:rPr>
        <w:br/>
      </w:r>
      <w:r w:rsidRPr="000B4F52">
        <w:rPr>
          <w:rFonts w:cs="Arial"/>
          <w:bCs/>
          <w:i/>
          <w:sz w:val="22"/>
          <w:szCs w:val="22"/>
        </w:rPr>
        <w:t xml:space="preserve">($million </w:t>
      </w:r>
      <w:r w:rsidRPr="008407B8">
        <w:rPr>
          <w:i/>
          <w:sz w:val="22"/>
          <w:szCs w:val="22"/>
        </w:rPr>
        <w:t>2022–23)</w:t>
      </w:r>
    </w:p>
    <w:p w14:paraId="627E3BCA" w14:textId="67684600" w:rsidR="00877DE6" w:rsidRPr="00185669" w:rsidRDefault="00D02747" w:rsidP="00B86B95">
      <w:pPr>
        <w:pStyle w:val="BodyText"/>
        <w:spacing w:before="120" w:line="240" w:lineRule="auto"/>
        <w:rPr>
          <w:color w:val="808080" w:themeColor="background1" w:themeShade="80"/>
          <w:sz w:val="18"/>
          <w:szCs w:val="18"/>
        </w:rPr>
      </w:pPr>
      <w:r w:rsidRPr="00C233C8">
        <w:rPr>
          <w:color w:val="808080" w:themeColor="background1" w:themeShade="80"/>
          <w:sz w:val="18"/>
          <w:szCs w:val="18"/>
        </w:rPr>
        <w:lastRenderedPageBreak/>
        <w:t xml:space="preserve">Note: The actual and forecast controllable operating expenditure </w:t>
      </w:r>
      <w:r w:rsidR="00BD72E6" w:rsidRPr="00C233C8">
        <w:rPr>
          <w:color w:val="808080" w:themeColor="background1" w:themeShade="80"/>
          <w:sz w:val="18"/>
          <w:szCs w:val="18"/>
        </w:rPr>
        <w:t>ex</w:t>
      </w:r>
      <w:r w:rsidRPr="00C233C8">
        <w:rPr>
          <w:color w:val="808080" w:themeColor="background1" w:themeShade="80"/>
          <w:sz w:val="18"/>
          <w:szCs w:val="18"/>
        </w:rPr>
        <w:t>cludes developer costs which were previously capitalised</w:t>
      </w:r>
      <w:r w:rsidR="001272B8" w:rsidRPr="00C233C8">
        <w:rPr>
          <w:color w:val="808080" w:themeColor="background1" w:themeShade="80"/>
          <w:sz w:val="18"/>
          <w:szCs w:val="18"/>
        </w:rPr>
        <w:t>. During the current regulatory period, following a review of the capitalisation policy, costs for developer functions which were previously capitalised were transferred to controllable operating expenditure. This was considered in the regulatory account audit process.</w:t>
      </w:r>
    </w:p>
    <w:p w14:paraId="2800D1F4" w14:textId="56FF1D97" w:rsidR="00017883" w:rsidRPr="00017883" w:rsidRDefault="00017883" w:rsidP="00017883">
      <w:pPr>
        <w:spacing w:after="0"/>
        <w:rPr>
          <w:rFonts w:ascii="Times New Roman" w:eastAsia="Times New Roman" w:hAnsi="Times New Roman" w:cs="Times New Roman"/>
          <w:lang w:eastAsia="en-AU"/>
        </w:rPr>
      </w:pPr>
    </w:p>
    <w:p w14:paraId="0BDE9C5C" w14:textId="246A77D7" w:rsidR="7476D684" w:rsidRDefault="00284626" w:rsidP="7476D684">
      <w:r>
        <w:rPr>
          <w:rFonts w:eastAsia="Arial" w:cs="Arial"/>
        </w:rPr>
        <w:t>The efficient ope</w:t>
      </w:r>
      <w:r w:rsidR="001A20F7">
        <w:rPr>
          <w:rFonts w:eastAsia="Arial" w:cs="Arial"/>
        </w:rPr>
        <w:t>rating expenditure</w:t>
      </w:r>
      <w:r>
        <w:rPr>
          <w:rFonts w:eastAsia="Arial" w:cs="Arial"/>
        </w:rPr>
        <w:t xml:space="preserve"> outcome for </w:t>
      </w:r>
      <w:r w:rsidR="00450B48">
        <w:rPr>
          <w:rFonts w:eastAsia="Arial" w:cs="Arial"/>
        </w:rPr>
        <w:t>the current 2018</w:t>
      </w:r>
      <w:r w:rsidR="00310E2A">
        <w:rPr>
          <w:rFonts w:eastAsia="Arial" w:cs="Arial"/>
        </w:rPr>
        <w:t>–</w:t>
      </w:r>
      <w:r w:rsidR="00450B48">
        <w:rPr>
          <w:rFonts w:eastAsia="Arial" w:cs="Arial"/>
        </w:rPr>
        <w:t xml:space="preserve">23 </w:t>
      </w:r>
      <w:r w:rsidR="00C233C8">
        <w:rPr>
          <w:rFonts w:eastAsia="Arial" w:cs="Arial"/>
        </w:rPr>
        <w:t xml:space="preserve">period </w:t>
      </w:r>
      <w:r w:rsidR="00450B48">
        <w:rPr>
          <w:rFonts w:eastAsia="Arial" w:cs="Arial"/>
        </w:rPr>
        <w:t xml:space="preserve">has been </w:t>
      </w:r>
      <w:r w:rsidR="00440676">
        <w:rPr>
          <w:rFonts w:eastAsia="Arial" w:cs="Arial"/>
        </w:rPr>
        <w:t>achieved</w:t>
      </w:r>
      <w:r w:rsidR="00835A20">
        <w:rPr>
          <w:rFonts w:eastAsia="Arial" w:cs="Arial"/>
        </w:rPr>
        <w:t xml:space="preserve"> by</w:t>
      </w:r>
      <w:r w:rsidR="5870302E" w:rsidRPr="4E86B4D9">
        <w:rPr>
          <w:rFonts w:eastAsia="Arial" w:cs="Arial"/>
        </w:rPr>
        <w:t xml:space="preserve">: </w:t>
      </w:r>
    </w:p>
    <w:p w14:paraId="5D2513EE" w14:textId="08A649C2" w:rsidR="00450B48" w:rsidRPr="004F71D2" w:rsidRDefault="7AD70840">
      <w:pPr>
        <w:pStyle w:val="ListParagraph"/>
        <w:numPr>
          <w:ilvl w:val="0"/>
          <w:numId w:val="84"/>
        </w:numPr>
        <w:spacing w:before="120" w:line="259" w:lineRule="auto"/>
        <w:ind w:left="284" w:hanging="284"/>
        <w:rPr>
          <w:rFonts w:cs="Arial"/>
        </w:rPr>
      </w:pPr>
      <w:r w:rsidRPr="00450B48">
        <w:rPr>
          <w:rFonts w:eastAsia="Arial" w:cs="Arial"/>
        </w:rPr>
        <w:t xml:space="preserve">streamlining functions within the </w:t>
      </w:r>
      <w:r w:rsidR="0088688D">
        <w:rPr>
          <w:rFonts w:eastAsia="Arial" w:cs="Arial"/>
        </w:rPr>
        <w:t>organisation</w:t>
      </w:r>
    </w:p>
    <w:p w14:paraId="09642705" w14:textId="63A458DC" w:rsidR="00450B48" w:rsidRPr="004F71D2" w:rsidRDefault="7AD70840">
      <w:pPr>
        <w:pStyle w:val="ListParagraph"/>
        <w:numPr>
          <w:ilvl w:val="0"/>
          <w:numId w:val="84"/>
        </w:numPr>
        <w:spacing w:before="120" w:line="259" w:lineRule="auto"/>
        <w:ind w:left="284" w:hanging="284"/>
        <w:rPr>
          <w:rFonts w:cs="Arial"/>
        </w:rPr>
      </w:pPr>
      <w:r w:rsidRPr="00450B48">
        <w:rPr>
          <w:rFonts w:eastAsia="Arial" w:cs="Arial"/>
        </w:rPr>
        <w:t xml:space="preserve">introducing new technologies and innovations that helped to reduce costs. </w:t>
      </w:r>
    </w:p>
    <w:p w14:paraId="2B9672ED" w14:textId="35CFAA8E" w:rsidR="00581418" w:rsidRPr="00581418" w:rsidRDefault="00581418" w:rsidP="00581418">
      <w:pPr>
        <w:spacing w:before="120" w:line="259" w:lineRule="auto"/>
        <w:ind w:left="66"/>
        <w:rPr>
          <w:rFonts w:cs="Arial"/>
        </w:rPr>
      </w:pPr>
      <w:r w:rsidRPr="00450B48">
        <w:rPr>
          <w:rFonts w:eastAsia="Arial" w:cs="Arial"/>
        </w:rPr>
        <w:t>These savings were predomina</w:t>
      </w:r>
      <w:r w:rsidR="0064591A">
        <w:rPr>
          <w:rFonts w:eastAsia="Arial" w:cs="Arial"/>
        </w:rPr>
        <w:t>n</w:t>
      </w:r>
      <w:r w:rsidRPr="00450B48">
        <w:rPr>
          <w:rFonts w:eastAsia="Arial" w:cs="Arial"/>
        </w:rPr>
        <w:t>tly achieved early in the regulatory period</w:t>
      </w:r>
      <w:r w:rsidR="00715273">
        <w:rPr>
          <w:rFonts w:eastAsia="Arial" w:cs="Arial"/>
        </w:rPr>
        <w:t>,</w:t>
      </w:r>
      <w:r w:rsidRPr="00450B48">
        <w:rPr>
          <w:rFonts w:eastAsia="Arial" w:cs="Arial"/>
        </w:rPr>
        <w:t xml:space="preserve"> allowing South East Water to absorb cost pressures relating to operations, maintenance and water quality activities</w:t>
      </w:r>
      <w:r w:rsidR="00715273">
        <w:rPr>
          <w:rFonts w:eastAsia="Arial" w:cs="Arial"/>
        </w:rPr>
        <w:t>,</w:t>
      </w:r>
      <w:r w:rsidR="00686850">
        <w:rPr>
          <w:rFonts w:eastAsia="Arial" w:cs="Arial"/>
        </w:rPr>
        <w:t xml:space="preserve"> that arose later in the period</w:t>
      </w:r>
      <w:r w:rsidRPr="00450B48">
        <w:rPr>
          <w:rFonts w:eastAsia="Arial" w:cs="Arial"/>
        </w:rPr>
        <w:t>.</w:t>
      </w:r>
    </w:p>
    <w:p w14:paraId="28529C7D" w14:textId="18525CCC" w:rsidR="0037078C" w:rsidRDefault="61A129D4" w:rsidP="007169C5">
      <w:pPr>
        <w:pStyle w:val="Heading3"/>
      </w:pPr>
      <w:bookmarkStart w:id="75" w:name="_Benchmarking"/>
      <w:bookmarkEnd w:id="75"/>
      <w:r w:rsidRPr="2520EBE9">
        <w:t>Benchmarking</w:t>
      </w:r>
    </w:p>
    <w:p w14:paraId="53E59699" w14:textId="32FC28DC" w:rsidR="00501C75" w:rsidRDefault="00501C75" w:rsidP="00501C75">
      <w:pPr>
        <w:rPr>
          <w:rFonts w:eastAsia="Arial" w:cs="Arial"/>
        </w:rPr>
      </w:pPr>
      <w:r w:rsidRPr="00450B48">
        <w:rPr>
          <w:rFonts w:eastAsia="Arial" w:cs="Arial"/>
        </w:rPr>
        <w:t>The efficiency of our current period performance is demonstrated by</w:t>
      </w:r>
      <w:r w:rsidR="00686850">
        <w:rPr>
          <w:rFonts w:eastAsia="Arial" w:cs="Arial"/>
        </w:rPr>
        <w:t xml:space="preserve"> independent</w:t>
      </w:r>
      <w:r w:rsidRPr="00450B48">
        <w:rPr>
          <w:rFonts w:eastAsia="Arial" w:cs="Arial"/>
        </w:rPr>
        <w:t xml:space="preserve"> metropolitan and national benchmarking studies. </w:t>
      </w:r>
    </w:p>
    <w:p w14:paraId="15B24423" w14:textId="4C6698BF" w:rsidR="466F22E2" w:rsidRDefault="18800737" w:rsidP="007169C5">
      <w:pPr>
        <w:pStyle w:val="Heading4"/>
      </w:pPr>
      <w:r w:rsidRPr="3813B6C7">
        <w:rPr>
          <w:rFonts w:eastAsia="Arial" w:cs="Arial"/>
        </w:rPr>
        <w:t>Metropolitan</w:t>
      </w:r>
      <w:r w:rsidR="28BECB53" w:rsidRPr="28BECB53">
        <w:rPr>
          <w:rFonts w:eastAsia="Arial" w:cs="Arial"/>
        </w:rPr>
        <w:t xml:space="preserve"> benchmarking </w:t>
      </w:r>
    </w:p>
    <w:p w14:paraId="5AFC1A95" w14:textId="408E5C4C" w:rsidR="466F22E2" w:rsidRDefault="28BECB53" w:rsidP="28BECB53">
      <w:pPr>
        <w:rPr>
          <w:rFonts w:eastAsia="Arial" w:cs="Arial"/>
        </w:rPr>
      </w:pPr>
      <w:r w:rsidRPr="28BECB53">
        <w:rPr>
          <w:rFonts w:eastAsia="Arial" w:cs="Arial"/>
        </w:rPr>
        <w:t xml:space="preserve">South East Water benchmarks favourably against other metropolitan Melbourne water corporations. This is evidenced in the </w:t>
      </w:r>
      <w:r w:rsidRPr="007169C5">
        <w:rPr>
          <w:rFonts w:eastAsia="Arial" w:cs="Arial"/>
          <w:i/>
        </w:rPr>
        <w:t xml:space="preserve">National </w:t>
      </w:r>
      <w:r w:rsidR="00A06F0C">
        <w:rPr>
          <w:rFonts w:eastAsia="Arial" w:cs="Arial"/>
          <w:i/>
        </w:rPr>
        <w:t>P</w:t>
      </w:r>
      <w:r w:rsidRPr="007169C5">
        <w:rPr>
          <w:rFonts w:eastAsia="Arial" w:cs="Arial"/>
          <w:i/>
        </w:rPr>
        <w:t xml:space="preserve">erformance </w:t>
      </w:r>
      <w:r w:rsidR="00A06F0C">
        <w:rPr>
          <w:rFonts w:eastAsia="Arial" w:cs="Arial"/>
          <w:i/>
        </w:rPr>
        <w:t>R</w:t>
      </w:r>
      <w:r w:rsidRPr="007169C5">
        <w:rPr>
          <w:rFonts w:eastAsia="Arial" w:cs="Arial"/>
          <w:i/>
        </w:rPr>
        <w:t xml:space="preserve">eport </w:t>
      </w:r>
      <w:r w:rsidR="47CA8F60" w:rsidRPr="007169C5">
        <w:rPr>
          <w:rFonts w:eastAsia="Arial" w:cs="Arial"/>
          <w:i/>
        </w:rPr>
        <w:t>20</w:t>
      </w:r>
      <w:r w:rsidR="202EB3DA" w:rsidRPr="007169C5">
        <w:rPr>
          <w:rFonts w:eastAsia="Arial" w:cs="Arial"/>
          <w:i/>
        </w:rPr>
        <w:t>20</w:t>
      </w:r>
      <w:r w:rsidR="00310E2A">
        <w:rPr>
          <w:rFonts w:eastAsia="Arial" w:cs="Arial"/>
          <w:i/>
        </w:rPr>
        <w:t>–</w:t>
      </w:r>
      <w:r w:rsidR="202EB3DA" w:rsidRPr="007169C5">
        <w:rPr>
          <w:rFonts w:eastAsia="Arial" w:cs="Arial"/>
          <w:i/>
        </w:rPr>
        <w:t>21</w:t>
      </w:r>
      <w:r w:rsidRPr="007169C5">
        <w:rPr>
          <w:rFonts w:eastAsia="Arial" w:cs="Arial"/>
          <w:i/>
        </w:rPr>
        <w:t xml:space="preserve">: Urban </w:t>
      </w:r>
      <w:r w:rsidR="00A06F0C">
        <w:rPr>
          <w:rFonts w:eastAsia="Arial" w:cs="Arial"/>
          <w:i/>
        </w:rPr>
        <w:t>W</w:t>
      </w:r>
      <w:r w:rsidRPr="007169C5">
        <w:rPr>
          <w:rFonts w:eastAsia="Arial" w:cs="Arial"/>
          <w:i/>
        </w:rPr>
        <w:t xml:space="preserve">ater </w:t>
      </w:r>
      <w:r w:rsidR="00A06F0C">
        <w:rPr>
          <w:rFonts w:eastAsia="Arial" w:cs="Arial"/>
          <w:i/>
        </w:rPr>
        <w:t>U</w:t>
      </w:r>
      <w:r w:rsidRPr="007169C5">
        <w:rPr>
          <w:rFonts w:eastAsia="Arial" w:cs="Arial"/>
          <w:i/>
        </w:rPr>
        <w:t>tilities</w:t>
      </w:r>
      <w:r w:rsidRPr="28BECB53">
        <w:rPr>
          <w:rFonts w:eastAsia="Arial" w:cs="Arial"/>
        </w:rPr>
        <w:t xml:space="preserve">, issued by the Bureau of Meteorology. </w:t>
      </w:r>
      <w:r w:rsidR="00971B10">
        <w:rPr>
          <w:rFonts w:eastAsia="Arial" w:cs="Arial"/>
        </w:rPr>
        <w:t>This report compares</w:t>
      </w:r>
      <w:r w:rsidR="00067B3B">
        <w:rPr>
          <w:rFonts w:eastAsia="Arial" w:cs="Arial"/>
        </w:rPr>
        <w:t xml:space="preserve"> urban water utilities across Australia</w:t>
      </w:r>
      <w:r w:rsidR="005D0659">
        <w:rPr>
          <w:rFonts w:eastAsia="Arial" w:cs="Arial"/>
        </w:rPr>
        <w:t xml:space="preserve"> and shows that </w:t>
      </w:r>
      <w:r w:rsidRPr="28BECB53">
        <w:rPr>
          <w:rFonts w:eastAsia="Arial" w:cs="Arial"/>
        </w:rPr>
        <w:t xml:space="preserve">our operating </w:t>
      </w:r>
      <w:r w:rsidR="00436883">
        <w:rPr>
          <w:rFonts w:eastAsia="Arial" w:cs="Arial"/>
        </w:rPr>
        <w:t>costs</w:t>
      </w:r>
      <w:r w:rsidRPr="28BECB53">
        <w:rPr>
          <w:rFonts w:eastAsia="Arial" w:cs="Arial"/>
        </w:rPr>
        <w:t xml:space="preserve"> per property are </w:t>
      </w:r>
      <w:r w:rsidR="258E8E8D" w:rsidRPr="523F375B">
        <w:rPr>
          <w:rFonts w:eastAsia="Arial" w:cs="Arial"/>
        </w:rPr>
        <w:t>median</w:t>
      </w:r>
      <w:r w:rsidR="0060311E">
        <w:rPr>
          <w:rFonts w:eastAsia="Arial" w:cs="Arial"/>
        </w:rPr>
        <w:t xml:space="preserve"> or below </w:t>
      </w:r>
      <w:r w:rsidR="00AF05B2">
        <w:rPr>
          <w:rFonts w:eastAsia="Arial" w:cs="Arial"/>
        </w:rPr>
        <w:t xml:space="preserve">over the </w:t>
      </w:r>
      <w:r w:rsidR="007169C5">
        <w:rPr>
          <w:rFonts w:eastAsia="Arial" w:cs="Arial"/>
        </w:rPr>
        <w:t>5-</w:t>
      </w:r>
      <w:r w:rsidR="00AF05B2">
        <w:rPr>
          <w:rFonts w:eastAsia="Arial" w:cs="Arial"/>
        </w:rPr>
        <w:t>year period to 2020</w:t>
      </w:r>
      <w:r w:rsidR="00310E2A">
        <w:rPr>
          <w:rFonts w:eastAsia="Arial" w:cs="Arial"/>
        </w:rPr>
        <w:t>–</w:t>
      </w:r>
      <w:r w:rsidR="00AF05B2">
        <w:rPr>
          <w:rFonts w:eastAsia="Arial" w:cs="Arial"/>
        </w:rPr>
        <w:t>2</w:t>
      </w:r>
      <w:r w:rsidR="001F5895">
        <w:rPr>
          <w:rFonts w:eastAsia="Arial" w:cs="Arial"/>
        </w:rPr>
        <w:t>1</w:t>
      </w:r>
      <w:r w:rsidR="00715273">
        <w:rPr>
          <w:rFonts w:eastAsia="Arial" w:cs="Arial"/>
        </w:rPr>
        <w:t>,</w:t>
      </w:r>
      <w:r w:rsidR="006A0CAC">
        <w:rPr>
          <w:rFonts w:eastAsia="Arial" w:cs="Arial"/>
        </w:rPr>
        <w:t xml:space="preserve"> compared to </w:t>
      </w:r>
      <w:r w:rsidR="007A11A0">
        <w:rPr>
          <w:rFonts w:eastAsia="Arial" w:cs="Arial"/>
        </w:rPr>
        <w:t>other metropolitan water utilities</w:t>
      </w:r>
      <w:r w:rsidR="3310BE0A" w:rsidRPr="510A54F6">
        <w:rPr>
          <w:rFonts w:eastAsia="Arial" w:cs="Arial"/>
        </w:rPr>
        <w:t>.</w:t>
      </w:r>
    </w:p>
    <w:p w14:paraId="501BB665" w14:textId="1DE66EFD" w:rsidR="466F22E2" w:rsidRDefault="28BECB53" w:rsidP="007169C5">
      <w:pPr>
        <w:pStyle w:val="Heading4"/>
      </w:pPr>
      <w:r w:rsidRPr="28BECB53">
        <w:rPr>
          <w:rFonts w:eastAsia="Arial" w:cs="Arial"/>
        </w:rPr>
        <w:t xml:space="preserve">National benchmarking </w:t>
      </w:r>
    </w:p>
    <w:p w14:paraId="534A821A" w14:textId="70F277E9" w:rsidR="466F22E2" w:rsidRDefault="28BECB53" w:rsidP="28BECB53">
      <w:pPr>
        <w:rPr>
          <w:rFonts w:eastAsia="Arial" w:cs="Arial"/>
        </w:rPr>
      </w:pPr>
      <w:r w:rsidRPr="28BECB53">
        <w:rPr>
          <w:rFonts w:eastAsia="Arial" w:cs="Arial"/>
        </w:rPr>
        <w:t xml:space="preserve">The Water Services Association of Australia </w:t>
      </w:r>
      <w:r w:rsidRPr="6418877A">
        <w:rPr>
          <w:rFonts w:eastAsia="Arial" w:cs="Arial"/>
        </w:rPr>
        <w:t>undertook</w:t>
      </w:r>
      <w:r w:rsidRPr="28BECB53">
        <w:rPr>
          <w:rFonts w:eastAsia="Arial" w:cs="Arial"/>
        </w:rPr>
        <w:t xml:space="preserve"> a benchmarking study on </w:t>
      </w:r>
      <w:r w:rsidR="009E7E44">
        <w:rPr>
          <w:rFonts w:eastAsia="Arial" w:cs="Arial"/>
        </w:rPr>
        <w:br/>
      </w:r>
      <w:r w:rsidRPr="28BECB53">
        <w:rPr>
          <w:rFonts w:eastAsia="Arial" w:cs="Arial"/>
        </w:rPr>
        <w:t xml:space="preserve">the </w:t>
      </w:r>
      <w:r w:rsidRPr="6418877A">
        <w:rPr>
          <w:rFonts w:eastAsia="Arial" w:cs="Arial"/>
        </w:rPr>
        <w:t>2019</w:t>
      </w:r>
      <w:r w:rsidR="00310E2A">
        <w:rPr>
          <w:rFonts w:eastAsia="Arial" w:cs="Arial"/>
        </w:rPr>
        <w:t>–</w:t>
      </w:r>
      <w:r w:rsidRPr="6418877A">
        <w:rPr>
          <w:rFonts w:eastAsia="Arial" w:cs="Arial"/>
        </w:rPr>
        <w:t>20</w:t>
      </w:r>
      <w:r w:rsidRPr="28BECB53">
        <w:rPr>
          <w:rFonts w:eastAsia="Arial" w:cs="Arial"/>
        </w:rPr>
        <w:t xml:space="preserve"> operating </w:t>
      </w:r>
      <w:r w:rsidR="00D01FF6">
        <w:rPr>
          <w:rFonts w:eastAsia="Arial" w:cs="Arial"/>
        </w:rPr>
        <w:t>costs</w:t>
      </w:r>
      <w:r w:rsidRPr="28BECB53">
        <w:rPr>
          <w:rFonts w:eastAsia="Arial" w:cs="Arial"/>
        </w:rPr>
        <w:t xml:space="preserve"> of comparable water businesses. It shows that South</w:t>
      </w:r>
      <w:r w:rsidR="00B16E3F">
        <w:rPr>
          <w:rFonts w:eastAsia="Arial" w:cs="Arial"/>
        </w:rPr>
        <w:t> </w:t>
      </w:r>
      <w:r w:rsidRPr="28BECB53">
        <w:rPr>
          <w:rFonts w:eastAsia="Arial" w:cs="Arial"/>
        </w:rPr>
        <w:t>East</w:t>
      </w:r>
      <w:r w:rsidR="00B16E3F">
        <w:rPr>
          <w:rFonts w:eastAsia="Arial" w:cs="Arial"/>
        </w:rPr>
        <w:t> </w:t>
      </w:r>
      <w:r w:rsidRPr="28BECB53">
        <w:rPr>
          <w:rFonts w:eastAsia="Arial" w:cs="Arial"/>
        </w:rPr>
        <w:t>Water benchmarks favourably</w:t>
      </w:r>
      <w:r w:rsidR="00195C85">
        <w:rPr>
          <w:rFonts w:eastAsia="Arial" w:cs="Arial"/>
        </w:rPr>
        <w:t>. W</w:t>
      </w:r>
      <w:r w:rsidRPr="28BECB53">
        <w:rPr>
          <w:rFonts w:eastAsia="Arial" w:cs="Arial"/>
        </w:rPr>
        <w:t xml:space="preserve">hen compared against </w:t>
      </w:r>
      <w:r w:rsidRPr="740635B6">
        <w:rPr>
          <w:rFonts w:eastAsia="Arial" w:cs="Arial"/>
        </w:rPr>
        <w:t>19</w:t>
      </w:r>
      <w:r w:rsidRPr="28BECB53">
        <w:rPr>
          <w:rFonts w:eastAsia="Arial" w:cs="Arial"/>
        </w:rPr>
        <w:t xml:space="preserve"> other</w:t>
      </w:r>
      <w:r w:rsidR="00323CD2">
        <w:rPr>
          <w:rFonts w:eastAsia="Arial" w:cs="Arial"/>
        </w:rPr>
        <w:t xml:space="preserve"> water businesses</w:t>
      </w:r>
      <w:r w:rsidRPr="28BECB53">
        <w:rPr>
          <w:rFonts w:eastAsia="Arial" w:cs="Arial"/>
        </w:rPr>
        <w:t xml:space="preserve"> </w:t>
      </w:r>
      <w:r w:rsidRPr="740635B6">
        <w:rPr>
          <w:rFonts w:eastAsia="Arial" w:cs="Arial"/>
        </w:rPr>
        <w:t>across Australia</w:t>
      </w:r>
      <w:r w:rsidRPr="28BECB53">
        <w:rPr>
          <w:rFonts w:eastAsia="Arial" w:cs="Arial"/>
        </w:rPr>
        <w:t xml:space="preserve">, we have </w:t>
      </w:r>
      <w:r w:rsidR="00B87200">
        <w:rPr>
          <w:rFonts w:eastAsia="Arial" w:cs="Arial"/>
        </w:rPr>
        <w:t>69% (</w:t>
      </w:r>
      <w:r w:rsidR="00D01FF6">
        <w:rPr>
          <w:rFonts w:eastAsia="Arial" w:cs="Arial"/>
        </w:rPr>
        <w:t xml:space="preserve">or </w:t>
      </w:r>
      <w:r w:rsidR="00B87200">
        <w:rPr>
          <w:rFonts w:eastAsia="Arial" w:cs="Arial"/>
        </w:rPr>
        <w:t>$90</w:t>
      </w:r>
      <w:r w:rsidR="002F4834">
        <w:rPr>
          <w:rFonts w:eastAsia="Arial" w:cs="Arial"/>
        </w:rPr>
        <w:t> </w:t>
      </w:r>
      <w:r w:rsidR="00B87200">
        <w:rPr>
          <w:rFonts w:eastAsia="Arial" w:cs="Arial"/>
        </w:rPr>
        <w:t>m</w:t>
      </w:r>
      <w:r w:rsidR="002F4834">
        <w:rPr>
          <w:rFonts w:eastAsia="Arial" w:cs="Arial"/>
        </w:rPr>
        <w:t>illion</w:t>
      </w:r>
      <w:r w:rsidR="00B87200">
        <w:rPr>
          <w:rFonts w:eastAsia="Arial" w:cs="Arial"/>
        </w:rPr>
        <w:t>)</w:t>
      </w:r>
      <w:r w:rsidRPr="28BECB53">
        <w:rPr>
          <w:rFonts w:eastAsia="Arial" w:cs="Arial"/>
        </w:rPr>
        <w:t xml:space="preserve"> of operating expenses in the top </w:t>
      </w:r>
      <w:r w:rsidR="158565B3" w:rsidRPr="7CC3CC30">
        <w:rPr>
          <w:rFonts w:eastAsia="Arial" w:cs="Arial"/>
        </w:rPr>
        <w:t>quartile</w:t>
      </w:r>
      <w:r w:rsidRPr="28BECB53">
        <w:rPr>
          <w:rFonts w:eastAsia="Arial" w:cs="Arial"/>
        </w:rPr>
        <w:t xml:space="preserve"> for efficiency. </w:t>
      </w:r>
      <w:r w:rsidR="001241BA">
        <w:rPr>
          <w:rFonts w:eastAsia="Arial" w:cs="Arial"/>
        </w:rPr>
        <w:t>The report</w:t>
      </w:r>
      <w:r w:rsidRPr="28BECB53">
        <w:rPr>
          <w:rFonts w:eastAsia="Arial" w:cs="Arial"/>
        </w:rPr>
        <w:t xml:space="preserve"> </w:t>
      </w:r>
      <w:r w:rsidR="00847092">
        <w:rPr>
          <w:rFonts w:eastAsia="Arial" w:cs="Arial"/>
        </w:rPr>
        <w:t>rated South East Water</w:t>
      </w:r>
      <w:r w:rsidR="00612583">
        <w:rPr>
          <w:rFonts w:eastAsia="Arial" w:cs="Arial"/>
        </w:rPr>
        <w:t>’</w:t>
      </w:r>
      <w:r w:rsidR="00847092">
        <w:rPr>
          <w:rFonts w:eastAsia="Arial" w:cs="Arial"/>
        </w:rPr>
        <w:t xml:space="preserve">s </w:t>
      </w:r>
      <w:r w:rsidR="00C63514">
        <w:rPr>
          <w:rFonts w:eastAsia="Arial" w:cs="Arial"/>
        </w:rPr>
        <w:t>ope</w:t>
      </w:r>
      <w:r w:rsidR="00667351">
        <w:rPr>
          <w:rFonts w:eastAsia="Arial" w:cs="Arial"/>
        </w:rPr>
        <w:t>rating expenditure</w:t>
      </w:r>
      <w:r w:rsidR="00C63514">
        <w:rPr>
          <w:rFonts w:eastAsia="Arial" w:cs="Arial"/>
        </w:rPr>
        <w:t xml:space="preserve"> </w:t>
      </w:r>
      <w:r w:rsidRPr="28BECB53">
        <w:rPr>
          <w:rFonts w:eastAsia="Arial" w:cs="Arial"/>
        </w:rPr>
        <w:t>categories</w:t>
      </w:r>
      <w:r w:rsidR="00614473">
        <w:rPr>
          <w:rFonts w:eastAsia="Arial" w:cs="Arial"/>
        </w:rPr>
        <w:t>,</w:t>
      </w:r>
      <w:r w:rsidRPr="28BECB53">
        <w:rPr>
          <w:rFonts w:eastAsia="Arial" w:cs="Arial"/>
        </w:rPr>
        <w:t xml:space="preserve"> </w:t>
      </w:r>
      <w:r w:rsidR="00C162CA">
        <w:rPr>
          <w:rFonts w:eastAsia="Arial" w:cs="Arial"/>
        </w:rPr>
        <w:t xml:space="preserve">including </w:t>
      </w:r>
      <w:r w:rsidR="001D0065">
        <w:rPr>
          <w:rFonts w:eastAsia="Arial" w:cs="Arial"/>
        </w:rPr>
        <w:t>water network, wastewater network</w:t>
      </w:r>
      <w:r w:rsidR="00323CD2">
        <w:rPr>
          <w:rFonts w:eastAsia="Arial" w:cs="Arial"/>
        </w:rPr>
        <w:t>,</w:t>
      </w:r>
      <w:r w:rsidR="001D0065">
        <w:rPr>
          <w:rFonts w:eastAsia="Arial" w:cs="Arial"/>
        </w:rPr>
        <w:t xml:space="preserve"> retail</w:t>
      </w:r>
      <w:r w:rsidR="00323CD2">
        <w:rPr>
          <w:rFonts w:eastAsia="Arial" w:cs="Arial"/>
        </w:rPr>
        <w:t>,</w:t>
      </w:r>
      <w:r w:rsidR="00C63514">
        <w:rPr>
          <w:rFonts w:eastAsia="Arial" w:cs="Arial"/>
        </w:rPr>
        <w:t xml:space="preserve"> and</w:t>
      </w:r>
      <w:r w:rsidR="00323CD2">
        <w:rPr>
          <w:rFonts w:eastAsia="Arial" w:cs="Arial"/>
        </w:rPr>
        <w:t xml:space="preserve"> c</w:t>
      </w:r>
      <w:r w:rsidR="00EC39A2">
        <w:rPr>
          <w:rFonts w:eastAsia="Arial" w:cs="Arial"/>
        </w:rPr>
        <w:t xml:space="preserve">orporate expenditure on </w:t>
      </w:r>
      <w:r w:rsidR="00E54343">
        <w:rPr>
          <w:rFonts w:eastAsia="Arial" w:cs="Arial"/>
        </w:rPr>
        <w:t>finance, human resources, fleet and property</w:t>
      </w:r>
      <w:r w:rsidR="00614473">
        <w:rPr>
          <w:rFonts w:eastAsia="Arial" w:cs="Arial"/>
        </w:rPr>
        <w:t>,</w:t>
      </w:r>
      <w:r w:rsidR="00E54343">
        <w:rPr>
          <w:rFonts w:eastAsia="Arial" w:cs="Arial"/>
        </w:rPr>
        <w:t xml:space="preserve"> in the top quartile.</w:t>
      </w:r>
    </w:p>
    <w:p w14:paraId="490C0DE1" w14:textId="3F409F8B" w:rsidR="004078EE" w:rsidRDefault="00C31C80" w:rsidP="28BECB53">
      <w:pPr>
        <w:rPr>
          <w:rFonts w:eastAsia="Arial" w:cs="Arial"/>
        </w:rPr>
      </w:pPr>
      <w:r>
        <w:rPr>
          <w:rFonts w:eastAsia="Arial" w:cs="Arial"/>
        </w:rPr>
        <w:t>Water</w:t>
      </w:r>
      <w:r w:rsidR="004078EE">
        <w:rPr>
          <w:rFonts w:eastAsia="Arial" w:cs="Arial"/>
        </w:rPr>
        <w:t xml:space="preserve"> network expenditure</w:t>
      </w:r>
      <w:r w:rsidR="00847092">
        <w:rPr>
          <w:rFonts w:eastAsia="Arial" w:cs="Arial"/>
        </w:rPr>
        <w:t xml:space="preserve"> accounts for the largest proportion of </w:t>
      </w:r>
      <w:r w:rsidR="004F525A">
        <w:rPr>
          <w:rFonts w:eastAsia="Arial" w:cs="Arial"/>
        </w:rPr>
        <w:t xml:space="preserve">our </w:t>
      </w:r>
      <w:r w:rsidR="00847092">
        <w:rPr>
          <w:rFonts w:eastAsia="Arial" w:cs="Arial"/>
        </w:rPr>
        <w:t>ope</w:t>
      </w:r>
      <w:r w:rsidR="004F525A">
        <w:rPr>
          <w:rFonts w:eastAsia="Arial" w:cs="Arial"/>
        </w:rPr>
        <w:t xml:space="preserve">rating expenditure. </w:t>
      </w:r>
      <w:r w:rsidR="005D7972">
        <w:rPr>
          <w:rFonts w:eastAsia="Arial" w:cs="Arial"/>
        </w:rPr>
        <w:t xml:space="preserve">Figure </w:t>
      </w:r>
      <w:r w:rsidR="00253234">
        <w:rPr>
          <w:rFonts w:eastAsia="Arial" w:cs="Arial"/>
        </w:rPr>
        <w:t>10</w:t>
      </w:r>
      <w:r w:rsidR="00107748">
        <w:rPr>
          <w:rFonts w:eastAsia="Arial" w:cs="Arial"/>
        </w:rPr>
        <w:t xml:space="preserve"> shows that South East Water ha</w:t>
      </w:r>
      <w:r w:rsidR="00E23838">
        <w:rPr>
          <w:rFonts w:eastAsia="Arial" w:cs="Arial"/>
        </w:rPr>
        <w:t>d</w:t>
      </w:r>
      <w:r w:rsidR="00107748">
        <w:rPr>
          <w:rFonts w:eastAsia="Arial" w:cs="Arial"/>
        </w:rPr>
        <w:t xml:space="preserve"> among the lowest</w:t>
      </w:r>
      <w:r>
        <w:rPr>
          <w:rFonts w:eastAsia="Arial" w:cs="Arial"/>
        </w:rPr>
        <w:t xml:space="preserve"> water network</w:t>
      </w:r>
      <w:r w:rsidR="00107748">
        <w:rPr>
          <w:rFonts w:eastAsia="Arial" w:cs="Arial"/>
        </w:rPr>
        <w:t xml:space="preserve"> ope</w:t>
      </w:r>
      <w:r w:rsidR="004F525A">
        <w:rPr>
          <w:rFonts w:eastAsia="Arial" w:cs="Arial"/>
        </w:rPr>
        <w:t>rating expenditure</w:t>
      </w:r>
      <w:r w:rsidR="00107748">
        <w:rPr>
          <w:rFonts w:eastAsia="Arial" w:cs="Arial"/>
        </w:rPr>
        <w:t xml:space="preserve"> per </w:t>
      </w:r>
      <w:r w:rsidR="00A1750B">
        <w:rPr>
          <w:rFonts w:eastAsia="Arial" w:cs="Arial"/>
        </w:rPr>
        <w:t>k</w:t>
      </w:r>
      <w:r w:rsidR="004F525A">
        <w:rPr>
          <w:rFonts w:eastAsia="Arial" w:cs="Arial"/>
        </w:rPr>
        <w:t>ilo</w:t>
      </w:r>
      <w:r w:rsidR="00A1750B">
        <w:rPr>
          <w:rFonts w:eastAsia="Arial" w:cs="Arial"/>
        </w:rPr>
        <w:t>m</w:t>
      </w:r>
      <w:r w:rsidR="004F525A">
        <w:rPr>
          <w:rFonts w:eastAsia="Arial" w:cs="Arial"/>
        </w:rPr>
        <w:t>etre</w:t>
      </w:r>
      <w:r w:rsidR="00A1750B">
        <w:rPr>
          <w:rFonts w:eastAsia="Arial" w:cs="Arial"/>
        </w:rPr>
        <w:t xml:space="preserve"> of water mains</w:t>
      </w:r>
      <w:r w:rsidR="00E23838">
        <w:rPr>
          <w:rFonts w:eastAsia="Arial" w:cs="Arial"/>
        </w:rPr>
        <w:t xml:space="preserve"> in 20</w:t>
      </w:r>
      <w:r w:rsidR="00561321">
        <w:rPr>
          <w:rFonts w:eastAsia="Arial" w:cs="Arial"/>
        </w:rPr>
        <w:t>19</w:t>
      </w:r>
      <w:r w:rsidR="00310E2A">
        <w:rPr>
          <w:rFonts w:eastAsia="Arial" w:cs="Arial"/>
        </w:rPr>
        <w:t>–</w:t>
      </w:r>
      <w:r w:rsidR="00561321">
        <w:rPr>
          <w:rFonts w:eastAsia="Arial" w:cs="Arial"/>
        </w:rPr>
        <w:t>20</w:t>
      </w:r>
      <w:r w:rsidR="00A1750B">
        <w:rPr>
          <w:rFonts w:eastAsia="Arial" w:cs="Arial"/>
        </w:rPr>
        <w:t>.</w:t>
      </w:r>
    </w:p>
    <w:p w14:paraId="586EF841" w14:textId="77777777" w:rsidR="004078EE" w:rsidRDefault="004078EE" w:rsidP="28BECB53">
      <w:pPr>
        <w:rPr>
          <w:rFonts w:eastAsia="Arial" w:cs="Arial"/>
        </w:rPr>
      </w:pPr>
    </w:p>
    <w:p w14:paraId="13950350" w14:textId="2083FAD8" w:rsidR="00F646B1" w:rsidRDefault="006B2CE0" w:rsidP="28BECB53">
      <w:pPr>
        <w:rPr>
          <w:rFonts w:eastAsia="Arial" w:cs="Arial"/>
        </w:rPr>
      </w:pPr>
      <w:r>
        <w:rPr>
          <w:rFonts w:eastAsia="Arial" w:cs="Arial"/>
        </w:rPr>
        <w:br w:type="page"/>
      </w:r>
    </w:p>
    <w:p w14:paraId="16CD0D9D" w14:textId="18A3EA08" w:rsidR="00F90CA7" w:rsidRPr="005D7972" w:rsidRDefault="00DF73C6" w:rsidP="00F90CA7">
      <w:pPr>
        <w:pStyle w:val="Figuretitle"/>
        <w:rPr>
          <w:i/>
          <w:sz w:val="22"/>
          <w:szCs w:val="22"/>
        </w:rPr>
      </w:pPr>
      <w:bookmarkStart w:id="76" w:name="_Ref111661746"/>
      <w:r w:rsidRPr="005D7972">
        <w:rPr>
          <w:i/>
          <w:noProof/>
          <w:sz w:val="22"/>
          <w:szCs w:val="22"/>
        </w:rPr>
        <w:lastRenderedPageBreak/>
        <w:drawing>
          <wp:anchor distT="0" distB="0" distL="114300" distR="114300" simplePos="0" relativeHeight="251658283" behindDoc="0" locked="0" layoutInCell="1" allowOverlap="1" wp14:anchorId="7FB94B43" wp14:editId="1FF14F6D">
            <wp:simplePos x="0" y="0"/>
            <wp:positionH relativeFrom="column">
              <wp:posOffset>635</wp:posOffset>
            </wp:positionH>
            <wp:positionV relativeFrom="paragraph">
              <wp:posOffset>331470</wp:posOffset>
            </wp:positionV>
            <wp:extent cx="5752465" cy="4580255"/>
            <wp:effectExtent l="0" t="0" r="635" b="0"/>
            <wp:wrapTopAndBottom/>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33" cstate="print">
                      <a:extLst>
                        <a:ext uri="{28A0092B-C50C-407E-A947-70E740481C1C}">
                          <a14:useLocalDpi xmlns:a14="http://schemas.microsoft.com/office/drawing/2010/main" val="0"/>
                        </a:ext>
                      </a:extLst>
                    </a:blip>
                    <a:srcRect t="3949" b="3949"/>
                    <a:stretch>
                      <a:fillRect/>
                    </a:stretch>
                  </pic:blipFill>
                  <pic:spPr bwMode="auto">
                    <a:xfrm>
                      <a:off x="0" y="0"/>
                      <a:ext cx="5752465" cy="4580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76"/>
      <w:r w:rsidR="00D625CC" w:rsidRPr="005D7972">
        <w:rPr>
          <w:i/>
          <w:sz w:val="22"/>
          <w:szCs w:val="22"/>
        </w:rPr>
        <w:t xml:space="preserve"> </w:t>
      </w:r>
      <w:r w:rsidR="005D7972" w:rsidRPr="005D7972">
        <w:rPr>
          <w:i/>
          <w:sz w:val="22"/>
          <w:szCs w:val="22"/>
        </w:rPr>
        <w:t xml:space="preserve">Figure </w:t>
      </w:r>
      <w:r w:rsidR="00992166">
        <w:rPr>
          <w:i/>
          <w:sz w:val="22"/>
          <w:szCs w:val="22"/>
        </w:rPr>
        <w:t>10</w:t>
      </w:r>
      <w:r w:rsidR="00D625CC" w:rsidRPr="005D7972">
        <w:rPr>
          <w:i/>
          <w:sz w:val="22"/>
          <w:szCs w:val="22"/>
        </w:rPr>
        <w:t>:</w:t>
      </w:r>
      <w:r w:rsidR="00854007" w:rsidRPr="005D7972">
        <w:rPr>
          <w:i/>
          <w:sz w:val="22"/>
          <w:szCs w:val="22"/>
        </w:rPr>
        <w:t xml:space="preserve"> </w:t>
      </w:r>
      <w:r w:rsidR="00771E1C" w:rsidRPr="005D7972">
        <w:rPr>
          <w:i/>
          <w:sz w:val="22"/>
          <w:szCs w:val="22"/>
        </w:rPr>
        <w:t>Water network</w:t>
      </w:r>
      <w:r w:rsidR="00F90CA7" w:rsidRPr="005D7972">
        <w:rPr>
          <w:i/>
          <w:sz w:val="22"/>
          <w:szCs w:val="22"/>
        </w:rPr>
        <w:t xml:space="preserve"> </w:t>
      </w:r>
      <w:r w:rsidR="00F90CA7" w:rsidRPr="005D7972">
        <w:rPr>
          <w:i/>
          <w:iCs w:val="0"/>
          <w:sz w:val="22"/>
          <w:szCs w:val="22"/>
        </w:rPr>
        <w:t>ope</w:t>
      </w:r>
      <w:r w:rsidR="00151D0A" w:rsidRPr="005D7972">
        <w:rPr>
          <w:i/>
          <w:iCs w:val="0"/>
          <w:sz w:val="22"/>
          <w:szCs w:val="22"/>
        </w:rPr>
        <w:t>rating expenditure</w:t>
      </w:r>
      <w:r w:rsidR="00151D0A" w:rsidRPr="005D7972">
        <w:rPr>
          <w:i/>
          <w:sz w:val="22"/>
          <w:szCs w:val="22"/>
        </w:rPr>
        <w:t xml:space="preserve"> </w:t>
      </w:r>
      <w:r w:rsidR="00771E1C" w:rsidRPr="005D7972">
        <w:rPr>
          <w:i/>
          <w:sz w:val="22"/>
          <w:szCs w:val="22"/>
        </w:rPr>
        <w:t>p</w:t>
      </w:r>
      <w:r w:rsidR="00E536B4" w:rsidRPr="005D7972">
        <w:rPr>
          <w:i/>
          <w:sz w:val="22"/>
          <w:szCs w:val="22"/>
        </w:rPr>
        <w:t xml:space="preserve">er </w:t>
      </w:r>
      <w:r w:rsidR="002A08A6" w:rsidRPr="005D7972">
        <w:rPr>
          <w:i/>
          <w:sz w:val="22"/>
          <w:szCs w:val="22"/>
        </w:rPr>
        <w:t>kilometre</w:t>
      </w:r>
    </w:p>
    <w:p w14:paraId="527B6050" w14:textId="0AE1DB67" w:rsidR="00107748" w:rsidRDefault="00107748" w:rsidP="28BECB53">
      <w:pPr>
        <w:rPr>
          <w:rFonts w:eastAsia="Arial" w:cs="Arial"/>
        </w:rPr>
      </w:pPr>
    </w:p>
    <w:p w14:paraId="1A13E079" w14:textId="15AAC288" w:rsidR="00107748" w:rsidRPr="008C1053" w:rsidRDefault="00F564AA" w:rsidP="28BECB53">
      <w:pPr>
        <w:rPr>
          <w:rFonts w:eastAsia="Arial" w:cs="Arial"/>
          <w:sz w:val="18"/>
          <w:szCs w:val="18"/>
        </w:rPr>
      </w:pPr>
      <w:r w:rsidRPr="008C1053">
        <w:rPr>
          <w:rFonts w:eastAsia="Arial" w:cs="Arial"/>
          <w:sz w:val="18"/>
          <w:szCs w:val="18"/>
        </w:rPr>
        <w:t xml:space="preserve">Source: </w:t>
      </w:r>
      <w:r w:rsidR="002067E6" w:rsidRPr="008C1053">
        <w:rPr>
          <w:rFonts w:eastAsia="Arial" w:cs="Arial"/>
          <w:sz w:val="18"/>
          <w:szCs w:val="18"/>
        </w:rPr>
        <w:t>WSAA 2020</w:t>
      </w:r>
      <w:r w:rsidR="004A0C28" w:rsidRPr="008C1053">
        <w:rPr>
          <w:rFonts w:eastAsia="Arial" w:cs="Arial"/>
          <w:sz w:val="18"/>
          <w:szCs w:val="18"/>
        </w:rPr>
        <w:t xml:space="preserve">, </w:t>
      </w:r>
      <w:r w:rsidR="004A0C28" w:rsidRPr="008C1053">
        <w:rPr>
          <w:rFonts w:eastAsia="Arial" w:cs="Arial"/>
          <w:i/>
          <w:sz w:val="18"/>
          <w:szCs w:val="18"/>
        </w:rPr>
        <w:t xml:space="preserve">Operating Cost Benchmarking Utility Report, </w:t>
      </w:r>
      <w:r w:rsidR="00230E19" w:rsidRPr="008C1053">
        <w:rPr>
          <w:rFonts w:eastAsia="Arial" w:cs="Arial"/>
          <w:i/>
          <w:sz w:val="18"/>
          <w:szCs w:val="18"/>
        </w:rPr>
        <w:t>Final Report</w:t>
      </w:r>
      <w:r w:rsidR="00230E19" w:rsidRPr="008C1053">
        <w:rPr>
          <w:rFonts w:eastAsia="Arial" w:cs="Arial"/>
          <w:sz w:val="18"/>
          <w:szCs w:val="18"/>
        </w:rPr>
        <w:t>, December,</w:t>
      </w:r>
      <w:r w:rsidR="003338F0" w:rsidRPr="008C1053">
        <w:rPr>
          <w:rFonts w:eastAsia="Arial" w:cs="Arial"/>
          <w:sz w:val="18"/>
          <w:szCs w:val="18"/>
        </w:rPr>
        <w:t xml:space="preserve"> p</w:t>
      </w:r>
      <w:r w:rsidR="004744BD">
        <w:rPr>
          <w:rFonts w:eastAsia="Arial" w:cs="Arial"/>
          <w:sz w:val="18"/>
          <w:szCs w:val="18"/>
        </w:rPr>
        <w:t xml:space="preserve">age </w:t>
      </w:r>
      <w:r w:rsidR="003338F0" w:rsidRPr="008C1053">
        <w:rPr>
          <w:rFonts w:eastAsia="Arial" w:cs="Arial"/>
          <w:sz w:val="18"/>
          <w:szCs w:val="18"/>
        </w:rPr>
        <w:t>11</w:t>
      </w:r>
      <w:r w:rsidR="008C1053">
        <w:rPr>
          <w:rFonts w:eastAsia="Arial" w:cs="Arial"/>
          <w:sz w:val="18"/>
          <w:szCs w:val="18"/>
        </w:rPr>
        <w:t>.</w:t>
      </w:r>
    </w:p>
    <w:p w14:paraId="065F8E96" w14:textId="77777777" w:rsidR="004078EE" w:rsidRDefault="004078EE" w:rsidP="28BECB53">
      <w:pPr>
        <w:rPr>
          <w:rFonts w:eastAsia="Arial" w:cs="Arial"/>
        </w:rPr>
      </w:pPr>
    </w:p>
    <w:p w14:paraId="2EAAB1F3" w14:textId="257DC721" w:rsidR="0037078C" w:rsidRDefault="0037078C" w:rsidP="00F11FE1">
      <w:pPr>
        <w:pStyle w:val="Heading2"/>
      </w:pPr>
      <w:bookmarkStart w:id="77" w:name="_7.2_Approach_to"/>
      <w:bookmarkStart w:id="78" w:name="_Toc103770939"/>
      <w:bookmarkEnd w:id="77"/>
      <w:r>
        <w:t>7.2 Approach to forecasting operating expenditure</w:t>
      </w:r>
      <w:bookmarkEnd w:id="78"/>
    </w:p>
    <w:p w14:paraId="54A07627" w14:textId="114FACA5" w:rsidR="0037078C" w:rsidRDefault="302AC5C6" w:rsidP="720E59B7">
      <w:r>
        <w:t>South East Water</w:t>
      </w:r>
      <w:r w:rsidR="00612583">
        <w:t>’</w:t>
      </w:r>
      <w:r>
        <w:t xml:space="preserve">s controllable </w:t>
      </w:r>
      <w:r w:rsidR="00362E4D">
        <w:t>ope</w:t>
      </w:r>
      <w:r w:rsidR="004F5340">
        <w:t xml:space="preserve">rating </w:t>
      </w:r>
      <w:r>
        <w:t xml:space="preserve">expenditure includes the day-to-day costs of running our water </w:t>
      </w:r>
      <w:r w:rsidR="720E59B7">
        <w:t>and sewerage network and treatment plants (</w:t>
      </w:r>
      <w:r w:rsidR="00280193">
        <w:t xml:space="preserve">such as </w:t>
      </w:r>
      <w:r w:rsidR="720E59B7">
        <w:t>maintenance, electricity and labour</w:t>
      </w:r>
      <w:r w:rsidR="00280193">
        <w:t xml:space="preserve"> costs</w:t>
      </w:r>
      <w:r w:rsidR="720E59B7">
        <w:t>), as well as customer service and billing</w:t>
      </w:r>
      <w:r w:rsidR="00280193">
        <w:t xml:space="preserve"> costs</w:t>
      </w:r>
      <w:r w:rsidR="720E59B7">
        <w:t>.</w:t>
      </w:r>
    </w:p>
    <w:p w14:paraId="5EA72865" w14:textId="6210168E" w:rsidR="0037078C" w:rsidRDefault="720E59B7" w:rsidP="366388AB">
      <w:r>
        <w:t xml:space="preserve">Operating expenditure outside of our control includes: </w:t>
      </w:r>
    </w:p>
    <w:p w14:paraId="76389DF4" w14:textId="42484CBC" w:rsidR="0037078C" w:rsidRDefault="720E59B7" w:rsidP="00096756">
      <w:pPr>
        <w:pStyle w:val="ListParagraph"/>
        <w:numPr>
          <w:ilvl w:val="0"/>
          <w:numId w:val="84"/>
        </w:numPr>
        <w:spacing w:before="120" w:line="259" w:lineRule="auto"/>
        <w:ind w:left="284" w:hanging="284"/>
      </w:pPr>
      <w:r>
        <w:t>Melbourne Water</w:t>
      </w:r>
      <w:r w:rsidR="00612583">
        <w:t>’</w:t>
      </w:r>
      <w:r>
        <w:t>s bulk charges for collection and treatment of drinking water and treatment of sewage</w:t>
      </w:r>
    </w:p>
    <w:p w14:paraId="76324109" w14:textId="52F59327" w:rsidR="0037078C" w:rsidRDefault="720E59B7" w:rsidP="00096756">
      <w:pPr>
        <w:pStyle w:val="ListParagraph"/>
        <w:numPr>
          <w:ilvl w:val="0"/>
          <w:numId w:val="84"/>
        </w:numPr>
        <w:spacing w:before="120" w:line="259" w:lineRule="auto"/>
        <w:ind w:left="284" w:hanging="284"/>
      </w:pPr>
      <w:r>
        <w:t>an environmental contribution made to the</w:t>
      </w:r>
      <w:r w:rsidR="00A25493">
        <w:t xml:space="preserve"> Victorian</w:t>
      </w:r>
      <w:r>
        <w:t xml:space="preserve"> </w:t>
      </w:r>
      <w:r w:rsidR="00E42753">
        <w:t>G</w:t>
      </w:r>
      <w:r>
        <w:t>overnment</w:t>
      </w:r>
    </w:p>
    <w:p w14:paraId="75DE2463" w14:textId="78489862" w:rsidR="0037078C" w:rsidRDefault="720E59B7" w:rsidP="00096756">
      <w:pPr>
        <w:pStyle w:val="ListParagraph"/>
        <w:numPr>
          <w:ilvl w:val="0"/>
          <w:numId w:val="84"/>
        </w:numPr>
        <w:spacing w:before="120" w:line="259" w:lineRule="auto"/>
        <w:ind w:left="284" w:hanging="284"/>
      </w:pPr>
      <w:r>
        <w:t>other licence fees and charges.</w:t>
      </w:r>
    </w:p>
    <w:p w14:paraId="789D9ED7" w14:textId="321B1E67" w:rsidR="0037078C" w:rsidRDefault="00B22029" w:rsidP="720E59B7">
      <w:r>
        <w:t>Our</w:t>
      </w:r>
      <w:r w:rsidR="720E59B7">
        <w:t xml:space="preserve"> approach to </w:t>
      </w:r>
      <w:r>
        <w:t>develop</w:t>
      </w:r>
      <w:r w:rsidR="00332EFD">
        <w:t>ing the</w:t>
      </w:r>
      <w:r>
        <w:t xml:space="preserve"> forecast </w:t>
      </w:r>
      <w:r w:rsidR="720E59B7">
        <w:t xml:space="preserve">controllable operating expenditure </w:t>
      </w:r>
      <w:r w:rsidR="006753FA">
        <w:t xml:space="preserve">for the </w:t>
      </w:r>
      <w:r w:rsidR="00181ABB">
        <w:t>2023</w:t>
      </w:r>
      <w:r w:rsidR="00310E2A">
        <w:t>–</w:t>
      </w:r>
      <w:r w:rsidR="00181ABB">
        <w:t>28</w:t>
      </w:r>
      <w:r w:rsidR="720E59B7">
        <w:t xml:space="preserve"> regulatory period </w:t>
      </w:r>
      <w:r w:rsidR="00E1614A">
        <w:t>invol</w:t>
      </w:r>
      <w:r w:rsidR="00AF46A0">
        <w:t>v</w:t>
      </w:r>
      <w:r w:rsidR="00E1614A">
        <w:t>ed</w:t>
      </w:r>
      <w:r w:rsidR="720E59B7">
        <w:t>:</w:t>
      </w:r>
    </w:p>
    <w:p w14:paraId="6438B824" w14:textId="64DD7192" w:rsidR="00D801AF" w:rsidRDefault="00BA659F">
      <w:pPr>
        <w:pStyle w:val="ListParagraph"/>
        <w:numPr>
          <w:ilvl w:val="0"/>
          <w:numId w:val="26"/>
        </w:numPr>
        <w:ind w:left="426"/>
      </w:pPr>
      <w:r>
        <w:t>u</w:t>
      </w:r>
      <w:r w:rsidR="720E59B7">
        <w:t>s</w:t>
      </w:r>
      <w:r w:rsidR="00E1614A">
        <w:t>ing</w:t>
      </w:r>
      <w:r w:rsidR="720E59B7">
        <w:t xml:space="preserve"> </w:t>
      </w:r>
      <w:r w:rsidR="2C5821CE" w:rsidRPr="00956A7D">
        <w:t>2021</w:t>
      </w:r>
      <w:r w:rsidR="00310E2A">
        <w:t>–</w:t>
      </w:r>
      <w:r w:rsidR="2C5821CE" w:rsidRPr="00956A7D">
        <w:t>22</w:t>
      </w:r>
      <w:r w:rsidR="720E59B7">
        <w:t xml:space="preserve"> actual expenditure as a base</w:t>
      </w:r>
    </w:p>
    <w:p w14:paraId="6D05563C" w14:textId="767B2CDE" w:rsidR="00D801AF" w:rsidRDefault="49A10E7F">
      <w:pPr>
        <w:pStyle w:val="ListParagraph"/>
        <w:numPr>
          <w:ilvl w:val="0"/>
          <w:numId w:val="26"/>
        </w:numPr>
        <w:ind w:left="426"/>
      </w:pPr>
      <w:r>
        <w:t>undert</w:t>
      </w:r>
      <w:r w:rsidR="00E1614A">
        <w:t>aking</w:t>
      </w:r>
      <w:r w:rsidR="720E59B7">
        <w:t xml:space="preserve"> a comprehensive</w:t>
      </w:r>
      <w:r>
        <w:t xml:space="preserve"> </w:t>
      </w:r>
      <w:r w:rsidR="720E59B7">
        <w:t>review of all activities and resource requirements.</w:t>
      </w:r>
    </w:p>
    <w:p w14:paraId="66AD9FC0" w14:textId="68965849" w:rsidR="0037078C" w:rsidRDefault="720E59B7" w:rsidP="008F4C94">
      <w:pPr>
        <w:ind w:left="66"/>
      </w:pPr>
      <w:r>
        <w:lastRenderedPageBreak/>
        <w:t>Our proposed operating expenditure for the next regulatory period commits us to a continued</w:t>
      </w:r>
      <w:r w:rsidR="00702C4E">
        <w:t xml:space="preserve"> </w:t>
      </w:r>
      <w:r>
        <w:t>focus on efficiency and ongoing management of controllable operating costs. We are confident in this commitment, even with positive growth in our customer base and increasing input prices.</w:t>
      </w:r>
    </w:p>
    <w:p w14:paraId="3DE6A6EC" w14:textId="210356B2" w:rsidR="61A129D4" w:rsidRPr="00AA3218" w:rsidRDefault="61A129D4" w:rsidP="00116E55">
      <w:pPr>
        <w:pStyle w:val="Heading4"/>
      </w:pPr>
      <w:r w:rsidRPr="00AA3218">
        <w:t xml:space="preserve">Cost allocation methodology </w:t>
      </w:r>
    </w:p>
    <w:p w14:paraId="35532903" w14:textId="0BAA3A46" w:rsidR="42BA08D7" w:rsidRDefault="42BA08D7">
      <w:r>
        <w:t>Operating expenditure is allocated to the services supplied on:</w:t>
      </w:r>
    </w:p>
    <w:p w14:paraId="101CE88E" w14:textId="5D9C5C73" w:rsidR="00D801AF" w:rsidRDefault="008542C7" w:rsidP="00BF5D66">
      <w:pPr>
        <w:pStyle w:val="ListParagraph"/>
        <w:numPr>
          <w:ilvl w:val="0"/>
          <w:numId w:val="84"/>
        </w:numPr>
        <w:spacing w:before="120" w:line="259" w:lineRule="auto"/>
        <w:ind w:left="284" w:hanging="284"/>
      </w:pPr>
      <w:r>
        <w:t>a</w:t>
      </w:r>
      <w:r w:rsidR="42BA08D7">
        <w:t xml:space="preserve"> direct charge basis – where costs that relate directly to a specific service (water, sewerage and recycled water) are allocated in full to that service</w:t>
      </w:r>
      <w:r w:rsidR="008E4BF5">
        <w:t>.</w:t>
      </w:r>
    </w:p>
    <w:p w14:paraId="273AD1AB" w14:textId="00E8D02D" w:rsidR="00D801AF" w:rsidRDefault="008542C7" w:rsidP="00BF5D66">
      <w:pPr>
        <w:pStyle w:val="ListParagraph"/>
        <w:numPr>
          <w:ilvl w:val="0"/>
          <w:numId w:val="84"/>
        </w:numPr>
        <w:spacing w:before="120" w:line="259" w:lineRule="auto"/>
        <w:ind w:left="284" w:hanging="284"/>
      </w:pPr>
      <w:r>
        <w:t>a</w:t>
      </w:r>
      <w:r w:rsidR="42BA08D7">
        <w:t>n indirect charge basis – where costs which are not directly related to a specific service are allocated based on the percentage allocation of direct costs to those services</w:t>
      </w:r>
      <w:r w:rsidR="008E4BF5">
        <w:t>.</w:t>
      </w:r>
    </w:p>
    <w:p w14:paraId="412089C7" w14:textId="1CF90658" w:rsidR="00D801AF" w:rsidRDefault="008542C7" w:rsidP="00BF5D66">
      <w:pPr>
        <w:pStyle w:val="ListParagraph"/>
        <w:numPr>
          <w:ilvl w:val="0"/>
          <w:numId w:val="84"/>
        </w:numPr>
        <w:spacing w:before="120" w:line="259" w:lineRule="auto"/>
        <w:ind w:left="284" w:hanging="284"/>
      </w:pPr>
      <w:r>
        <w:t>n</w:t>
      </w:r>
      <w:r w:rsidR="42BA08D7">
        <w:t>on-prescribed activity, which is removed for the setting of prices.</w:t>
      </w:r>
    </w:p>
    <w:p w14:paraId="40BDA74B" w14:textId="77777777" w:rsidR="009E7E44" w:rsidRDefault="009E7E44" w:rsidP="00116E55">
      <w:pPr>
        <w:ind w:left="66"/>
      </w:pPr>
    </w:p>
    <w:p w14:paraId="13A4EB1C" w14:textId="196D4DF1" w:rsidR="00F63E57" w:rsidRDefault="0037078C" w:rsidP="00F11FE1">
      <w:pPr>
        <w:pStyle w:val="Heading2"/>
      </w:pPr>
      <w:bookmarkStart w:id="79" w:name="_Toc103770941"/>
      <w:r>
        <w:t>7.</w:t>
      </w:r>
      <w:r w:rsidR="00304291">
        <w:t>3</w:t>
      </w:r>
      <w:r>
        <w:t xml:space="preserve"> </w:t>
      </w:r>
      <w:r w:rsidR="00F63E57">
        <w:t>Total operating expenditure forecast</w:t>
      </w:r>
    </w:p>
    <w:p w14:paraId="14B15671" w14:textId="422EFC16" w:rsidR="005E5CDC" w:rsidRPr="005E5CDC" w:rsidRDefault="005E5CDC" w:rsidP="005E5CDC">
      <w:pPr>
        <w:pStyle w:val="NormalIndent"/>
        <w:ind w:left="0"/>
        <w:rPr>
          <w:sz w:val="24"/>
          <w:szCs w:val="24"/>
        </w:rPr>
      </w:pPr>
      <w:r>
        <w:rPr>
          <w:sz w:val="24"/>
          <w:szCs w:val="24"/>
        </w:rPr>
        <w:t>As s</w:t>
      </w:r>
      <w:r w:rsidR="00A05845">
        <w:rPr>
          <w:sz w:val="24"/>
          <w:szCs w:val="24"/>
        </w:rPr>
        <w:t>h</w:t>
      </w:r>
      <w:r>
        <w:rPr>
          <w:sz w:val="24"/>
          <w:szCs w:val="24"/>
        </w:rPr>
        <w:t xml:space="preserve">own in </w:t>
      </w:r>
      <w:r w:rsidR="00B56D7C">
        <w:rPr>
          <w:sz w:val="24"/>
          <w:szCs w:val="24"/>
        </w:rPr>
        <w:t>Figure 11,</w:t>
      </w:r>
      <w:r>
        <w:rPr>
          <w:sz w:val="24"/>
          <w:szCs w:val="24"/>
        </w:rPr>
        <w:t xml:space="preserve"> f</w:t>
      </w:r>
      <w:r w:rsidRPr="005E5CDC">
        <w:rPr>
          <w:sz w:val="24"/>
          <w:szCs w:val="24"/>
        </w:rPr>
        <w:t>orecast prudent and efficient total operating expenditure for the 2023</w:t>
      </w:r>
      <w:r w:rsidR="00310E2A">
        <w:rPr>
          <w:sz w:val="24"/>
          <w:szCs w:val="24"/>
        </w:rPr>
        <w:t>–</w:t>
      </w:r>
      <w:r w:rsidRPr="005E5CDC">
        <w:rPr>
          <w:sz w:val="24"/>
          <w:szCs w:val="24"/>
        </w:rPr>
        <w:t xml:space="preserve">28 period is $3,443 million, which is </w:t>
      </w:r>
      <w:r w:rsidR="00CB5B65">
        <w:rPr>
          <w:sz w:val="24"/>
          <w:szCs w:val="24"/>
        </w:rPr>
        <w:t>6.</w:t>
      </w:r>
      <w:r w:rsidRPr="005E5CDC">
        <w:rPr>
          <w:sz w:val="24"/>
          <w:szCs w:val="24"/>
        </w:rPr>
        <w:t xml:space="preserve">5% less than the current period benchmark allowance </w:t>
      </w:r>
      <w:r w:rsidRPr="005E5CDC">
        <w:rPr>
          <w:bCs/>
          <w:sz w:val="24"/>
          <w:szCs w:val="24"/>
        </w:rPr>
        <w:t>(</w:t>
      </w:r>
      <w:r w:rsidRPr="005E5CDC">
        <w:rPr>
          <w:sz w:val="24"/>
          <w:szCs w:val="24"/>
        </w:rPr>
        <w:t>on average</w:t>
      </w:r>
      <w:r w:rsidRPr="005E5CDC">
        <w:rPr>
          <w:bCs/>
          <w:sz w:val="24"/>
          <w:szCs w:val="24"/>
        </w:rPr>
        <w:t>)</w:t>
      </w:r>
      <w:r w:rsidRPr="005E5CDC">
        <w:rPr>
          <w:sz w:val="24"/>
          <w:szCs w:val="24"/>
        </w:rPr>
        <w:t xml:space="preserve"> over the regulatory period.</w:t>
      </w:r>
    </w:p>
    <w:p w14:paraId="75A53AC7" w14:textId="092505D5" w:rsidR="00F63E57" w:rsidRDefault="00E0618C" w:rsidP="00E0618C">
      <w:pPr>
        <w:rPr>
          <w:color w:val="808080" w:themeColor="background1" w:themeShade="80"/>
          <w:sz w:val="18"/>
          <w:szCs w:val="18"/>
        </w:rPr>
      </w:pPr>
      <w:r>
        <w:rPr>
          <w:b/>
          <w:i/>
          <w:noProof/>
          <w:sz w:val="20"/>
          <w:szCs w:val="20"/>
        </w:rPr>
        <w:drawing>
          <wp:anchor distT="0" distB="0" distL="114300" distR="114300" simplePos="0" relativeHeight="251658282" behindDoc="0" locked="0" layoutInCell="1" allowOverlap="1" wp14:anchorId="38DC6A52" wp14:editId="3E4E124B">
            <wp:simplePos x="0" y="0"/>
            <wp:positionH relativeFrom="margin">
              <wp:posOffset>635</wp:posOffset>
            </wp:positionH>
            <wp:positionV relativeFrom="paragraph">
              <wp:posOffset>233680</wp:posOffset>
            </wp:positionV>
            <wp:extent cx="4291965" cy="3710940"/>
            <wp:effectExtent l="0" t="0" r="635" b="0"/>
            <wp:wrapTopAndBottom/>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291965" cy="3710940"/>
                    </a:xfrm>
                    <a:prstGeom prst="rect">
                      <a:avLst/>
                    </a:prstGeom>
                  </pic:spPr>
                </pic:pic>
              </a:graphicData>
            </a:graphic>
            <wp14:sizeRelH relativeFrom="page">
              <wp14:pctWidth>0</wp14:pctWidth>
            </wp14:sizeRelH>
            <wp14:sizeRelV relativeFrom="page">
              <wp14:pctHeight>0</wp14:pctHeight>
            </wp14:sizeRelV>
          </wp:anchor>
        </w:drawing>
      </w:r>
      <w:r w:rsidR="005D7972" w:rsidRPr="005D7972">
        <w:rPr>
          <w:b/>
          <w:bCs/>
          <w:i/>
          <w:sz w:val="22"/>
          <w:szCs w:val="22"/>
        </w:rPr>
        <w:t xml:space="preserve">Figure </w:t>
      </w:r>
      <w:r w:rsidR="006C3B67">
        <w:rPr>
          <w:b/>
          <w:bCs/>
          <w:i/>
          <w:sz w:val="22"/>
          <w:szCs w:val="22"/>
        </w:rPr>
        <w:t>11</w:t>
      </w:r>
      <w:r w:rsidR="005D7972">
        <w:rPr>
          <w:b/>
          <w:bCs/>
          <w:i/>
          <w:sz w:val="22"/>
          <w:szCs w:val="22"/>
        </w:rPr>
        <w:t>:</w:t>
      </w:r>
      <w:r w:rsidR="005D7972" w:rsidRPr="005D7972">
        <w:rPr>
          <w:b/>
          <w:bCs/>
          <w:i/>
          <w:sz w:val="22"/>
          <w:szCs w:val="22"/>
        </w:rPr>
        <w:t xml:space="preserve"> </w:t>
      </w:r>
      <w:r w:rsidR="00F63E57" w:rsidRPr="005D7972">
        <w:rPr>
          <w:b/>
          <w:bCs/>
          <w:i/>
          <w:iCs/>
          <w:sz w:val="22"/>
          <w:szCs w:val="22"/>
        </w:rPr>
        <w:t>Total</w:t>
      </w:r>
      <w:r w:rsidR="00F63E57" w:rsidRPr="005D7972">
        <w:rPr>
          <w:b/>
          <w:bCs/>
          <w:i/>
          <w:sz w:val="22"/>
          <w:szCs w:val="22"/>
        </w:rPr>
        <w:t xml:space="preserve"> operating expenditure </w:t>
      </w:r>
      <w:r w:rsidR="00917E90" w:rsidRPr="00917E90">
        <w:rPr>
          <w:b/>
          <w:bCs/>
          <w:i/>
          <w:sz w:val="22"/>
          <w:szCs w:val="22"/>
        </w:rPr>
        <w:t>($</w:t>
      </w:r>
      <w:r w:rsidR="00917E90" w:rsidRPr="005D7972">
        <w:rPr>
          <w:rFonts w:cs="Arial"/>
          <w:b/>
          <w:i/>
          <w:sz w:val="22"/>
          <w:szCs w:val="22"/>
        </w:rPr>
        <w:t>million 2022–23</w:t>
      </w:r>
      <w:r w:rsidR="00917E90" w:rsidRPr="00917E90">
        <w:rPr>
          <w:b/>
          <w:bCs/>
          <w:i/>
          <w:sz w:val="22"/>
          <w:szCs w:val="22"/>
        </w:rPr>
        <w:t>)</w:t>
      </w:r>
      <w:r>
        <w:rPr>
          <w:b/>
          <w:bCs/>
          <w:i/>
          <w:sz w:val="22"/>
          <w:szCs w:val="22"/>
        </w:rPr>
        <w:br/>
      </w:r>
      <w:r>
        <w:rPr>
          <w:b/>
          <w:bCs/>
          <w:i/>
          <w:sz w:val="22"/>
          <w:szCs w:val="22"/>
        </w:rPr>
        <w:br/>
      </w:r>
      <w:r w:rsidR="0033298A" w:rsidRPr="00B60399">
        <w:rPr>
          <w:color w:val="808080" w:themeColor="background1" w:themeShade="80"/>
          <w:sz w:val="18"/>
          <w:szCs w:val="18"/>
        </w:rPr>
        <w:t xml:space="preserve">Note: The </w:t>
      </w:r>
      <w:r w:rsidR="00FA796D" w:rsidRPr="00B60399">
        <w:rPr>
          <w:color w:val="808080" w:themeColor="background1" w:themeShade="80"/>
          <w:sz w:val="18"/>
          <w:szCs w:val="18"/>
        </w:rPr>
        <w:t xml:space="preserve">actual and forecast controllable </w:t>
      </w:r>
      <w:r w:rsidR="00A34B7A">
        <w:rPr>
          <w:color w:val="808080" w:themeColor="background1" w:themeShade="80"/>
          <w:sz w:val="18"/>
          <w:szCs w:val="18"/>
        </w:rPr>
        <w:t>operating expenditure</w:t>
      </w:r>
      <w:r w:rsidR="00655ED3" w:rsidRPr="00B60399">
        <w:rPr>
          <w:color w:val="808080" w:themeColor="background1" w:themeShade="80"/>
          <w:sz w:val="18"/>
          <w:szCs w:val="18"/>
        </w:rPr>
        <w:t xml:space="preserve"> </w:t>
      </w:r>
      <w:r w:rsidR="00FA796D" w:rsidRPr="00B60399">
        <w:rPr>
          <w:color w:val="808080" w:themeColor="background1" w:themeShade="80"/>
          <w:sz w:val="18"/>
          <w:szCs w:val="18"/>
        </w:rPr>
        <w:t>includes developer costs which were previously capitalised.</w:t>
      </w:r>
    </w:p>
    <w:p w14:paraId="76CB1DD8" w14:textId="5C65557B" w:rsidR="00F63E57" w:rsidRDefault="0033298A" w:rsidP="00F63E57">
      <w:pPr>
        <w:pStyle w:val="BodyText"/>
      </w:pPr>
      <w:r>
        <w:t xml:space="preserve">Detail regarding the controllable and uncontrollable operating expenditure forecasts is provided in the remainder of this </w:t>
      </w:r>
      <w:r w:rsidR="00341008">
        <w:t>section</w:t>
      </w:r>
      <w:r>
        <w:t>.</w:t>
      </w:r>
    </w:p>
    <w:p w14:paraId="5B607884" w14:textId="245FC916" w:rsidR="0037078C" w:rsidRDefault="004A6A79" w:rsidP="00F11FE1">
      <w:pPr>
        <w:pStyle w:val="Heading2"/>
      </w:pPr>
      <w:r>
        <w:lastRenderedPageBreak/>
        <w:t>Controllable</w:t>
      </w:r>
      <w:r w:rsidR="0037078C">
        <w:t xml:space="preserve"> operating expenditure </w:t>
      </w:r>
      <w:bookmarkEnd w:id="79"/>
      <w:r>
        <w:t>forecast</w:t>
      </w:r>
    </w:p>
    <w:p w14:paraId="3EA64DBA" w14:textId="00D24AC8" w:rsidR="00D674FC" w:rsidRDefault="00D674FC" w:rsidP="00D674FC">
      <w:pPr>
        <w:rPr>
          <w:bCs/>
        </w:rPr>
      </w:pPr>
      <w:r>
        <w:rPr>
          <w:bCs/>
        </w:rPr>
        <w:t>Forecast controllable ope</w:t>
      </w:r>
      <w:r w:rsidR="000A72F8">
        <w:rPr>
          <w:bCs/>
        </w:rPr>
        <w:t xml:space="preserve">rating expenditure </w:t>
      </w:r>
      <w:r>
        <w:rPr>
          <w:bCs/>
        </w:rPr>
        <w:t>for the 2023</w:t>
      </w:r>
      <w:r w:rsidR="00310E2A">
        <w:rPr>
          <w:bCs/>
        </w:rPr>
        <w:t>–</w:t>
      </w:r>
      <w:r>
        <w:rPr>
          <w:bCs/>
        </w:rPr>
        <w:t>28 period is $795</w:t>
      </w:r>
      <w:r w:rsidR="005605C6">
        <w:rPr>
          <w:bCs/>
        </w:rPr>
        <w:t>.6</w:t>
      </w:r>
      <w:r>
        <w:rPr>
          <w:bCs/>
        </w:rPr>
        <w:t xml:space="preserve"> million, shown by activity in </w:t>
      </w:r>
      <w:r w:rsidR="00E0331E">
        <w:rPr>
          <w:bCs/>
        </w:rPr>
        <w:t>Table 27</w:t>
      </w:r>
      <w:r>
        <w:rPr>
          <w:bCs/>
        </w:rPr>
        <w:t>.</w:t>
      </w:r>
      <w:r w:rsidR="00A1315F">
        <w:rPr>
          <w:bCs/>
        </w:rPr>
        <w:t xml:space="preserve"> </w:t>
      </w:r>
    </w:p>
    <w:p w14:paraId="25141286" w14:textId="77777777" w:rsidR="006C700E" w:rsidRDefault="006C700E" w:rsidP="00D674FC">
      <w:pPr>
        <w:rPr>
          <w:b/>
          <w:i/>
          <w:sz w:val="22"/>
          <w:szCs w:val="22"/>
        </w:rPr>
      </w:pPr>
    </w:p>
    <w:p w14:paraId="08FCE45E" w14:textId="5DC69C4C" w:rsidR="00175209" w:rsidRPr="007B339F" w:rsidRDefault="007B339F" w:rsidP="007B339F">
      <w:pPr>
        <w:pStyle w:val="NormalIndent"/>
        <w:ind w:left="0"/>
        <w:rPr>
          <w:rFonts w:ascii="Arial" w:hAnsi="Arial" w:cs="Arial"/>
          <w:b/>
          <w:i/>
        </w:rPr>
      </w:pPr>
      <w:r w:rsidRPr="00CE6C4E">
        <w:rPr>
          <w:b/>
          <w:i/>
        </w:rPr>
        <w:t xml:space="preserve">Table </w:t>
      </w:r>
      <w:r w:rsidR="00E0331E" w:rsidRPr="00CE6C4E">
        <w:rPr>
          <w:b/>
          <w:bCs/>
          <w:i/>
          <w:iCs/>
        </w:rPr>
        <w:fldChar w:fldCharType="begin"/>
      </w:r>
      <w:r w:rsidR="00E0331E" w:rsidRPr="00CE6C4E">
        <w:rPr>
          <w:b/>
          <w:bCs/>
          <w:i/>
          <w:iCs/>
        </w:rPr>
        <w:instrText>SEQ Table \* ARABIC</w:instrText>
      </w:r>
      <w:r w:rsidR="00E0331E" w:rsidRPr="00CE6C4E">
        <w:rPr>
          <w:b/>
          <w:bCs/>
          <w:i/>
          <w:iCs/>
        </w:rPr>
        <w:fldChar w:fldCharType="separate"/>
      </w:r>
      <w:r w:rsidR="00E0331E">
        <w:rPr>
          <w:b/>
          <w:bCs/>
          <w:i/>
          <w:iCs/>
          <w:noProof/>
        </w:rPr>
        <w:t>27</w:t>
      </w:r>
      <w:r w:rsidR="00E0331E" w:rsidRPr="00CE6C4E">
        <w:rPr>
          <w:b/>
          <w:bCs/>
          <w:i/>
          <w:iCs/>
        </w:rPr>
        <w:fldChar w:fldCharType="end"/>
      </w:r>
      <w:r w:rsidRPr="007B339F">
        <w:rPr>
          <w:rFonts w:ascii="Arial" w:hAnsi="Arial" w:cs="Arial"/>
          <w:b/>
          <w:i/>
        </w:rPr>
        <w:t>:</w:t>
      </w:r>
      <w:r>
        <w:rPr>
          <w:rFonts w:ascii="Arial" w:hAnsi="Arial" w:cs="Arial"/>
          <w:b/>
          <w:i/>
        </w:rPr>
        <w:t xml:space="preserve"> </w:t>
      </w:r>
      <w:r w:rsidR="00002E34" w:rsidRPr="00D665F8">
        <w:rPr>
          <w:rFonts w:cs="Arial"/>
          <w:b/>
          <w:i/>
        </w:rPr>
        <w:t xml:space="preserve">Controllable </w:t>
      </w:r>
      <w:r w:rsidR="00592D44" w:rsidRPr="00D665F8">
        <w:rPr>
          <w:rFonts w:cs="Arial"/>
          <w:b/>
          <w:i/>
        </w:rPr>
        <w:t xml:space="preserve">operating expenditure </w:t>
      </w:r>
      <w:r w:rsidR="00002E34" w:rsidRPr="00D665F8">
        <w:rPr>
          <w:rFonts w:cs="Arial"/>
          <w:b/>
          <w:i/>
        </w:rPr>
        <w:t xml:space="preserve">by activity </w:t>
      </w:r>
      <w:r w:rsidR="00B93CF6" w:rsidRPr="006D1620">
        <w:rPr>
          <w:rFonts w:cs="Arial"/>
          <w:b/>
          <w:i/>
        </w:rPr>
        <w:t>(</w:t>
      </w:r>
      <w:r w:rsidR="00B93CF6">
        <w:rPr>
          <w:rFonts w:cs="Arial"/>
          <w:b/>
          <w:i/>
        </w:rPr>
        <w:t>$</w:t>
      </w:r>
      <w:r w:rsidR="00507595" w:rsidRPr="00D665F8">
        <w:rPr>
          <w:rFonts w:cs="Arial"/>
          <w:b/>
          <w:i/>
        </w:rPr>
        <w:t>million 2022</w:t>
      </w:r>
      <w:r w:rsidR="00310E2A">
        <w:rPr>
          <w:rFonts w:cs="Arial"/>
          <w:b/>
          <w:i/>
        </w:rPr>
        <w:t>–</w:t>
      </w:r>
      <w:r w:rsidR="00507595" w:rsidRPr="00D665F8">
        <w:rPr>
          <w:rFonts w:cs="Arial"/>
          <w:b/>
          <w:i/>
        </w:rPr>
        <w:t>23)</w:t>
      </w:r>
    </w:p>
    <w:tbl>
      <w:tblPr>
        <w:tblStyle w:val="MJTableStyle1default"/>
        <w:tblW w:w="9356" w:type="dxa"/>
        <w:tblInd w:w="0" w:type="dxa"/>
        <w:tblLayout w:type="fixed"/>
        <w:tblLook w:val="06A0" w:firstRow="1" w:lastRow="0" w:firstColumn="1" w:lastColumn="0" w:noHBand="1" w:noVBand="1"/>
      </w:tblPr>
      <w:tblGrid>
        <w:gridCol w:w="1985"/>
        <w:gridCol w:w="1228"/>
        <w:gridCol w:w="1229"/>
        <w:gridCol w:w="1228"/>
        <w:gridCol w:w="1229"/>
        <w:gridCol w:w="1228"/>
        <w:gridCol w:w="1229"/>
      </w:tblGrid>
      <w:tr w:rsidR="008D1394" w:rsidRPr="002020E8" w14:paraId="6D6179A6" w14:textId="669C13E9" w:rsidTr="003F1732">
        <w:trPr>
          <w:cnfStyle w:val="100000000000" w:firstRow="1" w:lastRow="0" w:firstColumn="0" w:lastColumn="0" w:oddVBand="0" w:evenVBand="0" w:oddHBand="0" w:evenHBand="0" w:firstRowFirstColumn="0" w:firstRowLastColumn="0" w:lastRowFirstColumn="0" w:lastRowLastColumn="0"/>
          <w:trHeight w:val="649"/>
        </w:trPr>
        <w:tc>
          <w:tcPr>
            <w:tcW w:w="1985" w:type="dxa"/>
            <w:tcBorders>
              <w:top w:val="single" w:sz="4" w:space="0" w:color="002279"/>
              <w:left w:val="single" w:sz="4" w:space="0" w:color="002279"/>
              <w:bottom w:val="single" w:sz="2" w:space="0" w:color="002279"/>
              <w:right w:val="single" w:sz="4" w:space="0" w:color="FFFFFF" w:themeColor="background1"/>
            </w:tcBorders>
            <w:shd w:val="clear" w:color="auto" w:fill="002379" w:themeFill="text2"/>
            <w:noWrap/>
            <w:vAlign w:val="center"/>
          </w:tcPr>
          <w:p w14:paraId="0D00B004" w14:textId="77777777" w:rsidR="008D1394" w:rsidRPr="00360131" w:rsidRDefault="008D1394" w:rsidP="008D1394">
            <w:pPr>
              <w:spacing w:before="60" w:after="60"/>
              <w:jc w:val="center"/>
              <w:rPr>
                <w:rFonts w:ascii="Arial" w:hAnsi="Arial" w:cs="Arial"/>
                <w:b/>
              </w:rPr>
            </w:pPr>
          </w:p>
        </w:tc>
        <w:tc>
          <w:tcPr>
            <w:tcW w:w="1228"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379" w:themeFill="text2"/>
            <w:vAlign w:val="center"/>
          </w:tcPr>
          <w:p w14:paraId="6E6D3BF4" w14:textId="6F6EAA3F" w:rsidR="008D1394" w:rsidRPr="00360131" w:rsidRDefault="008D1394" w:rsidP="008D1394">
            <w:pPr>
              <w:spacing w:before="60" w:after="60"/>
              <w:jc w:val="center"/>
              <w:rPr>
                <w:rFonts w:ascii="Arial" w:hAnsi="Arial" w:cs="Arial"/>
                <w:b/>
              </w:rPr>
            </w:pPr>
            <w:r w:rsidRPr="00360131">
              <w:rPr>
                <w:rFonts w:ascii="Arial" w:hAnsi="Arial" w:cs="Arial"/>
                <w:b/>
              </w:rPr>
              <w:t>2023</w:t>
            </w:r>
            <w:r w:rsidR="00310E2A" w:rsidRPr="00360131">
              <w:rPr>
                <w:rFonts w:ascii="Arial" w:hAnsi="Arial" w:cs="Arial"/>
                <w:b/>
              </w:rPr>
              <w:t>–</w:t>
            </w:r>
            <w:r w:rsidRPr="00360131">
              <w:rPr>
                <w:rFonts w:ascii="Arial" w:hAnsi="Arial" w:cs="Arial"/>
                <w:b/>
              </w:rPr>
              <w:t>24</w:t>
            </w:r>
          </w:p>
        </w:tc>
        <w:tc>
          <w:tcPr>
            <w:tcW w:w="1229"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379" w:themeFill="text2"/>
            <w:vAlign w:val="center"/>
          </w:tcPr>
          <w:p w14:paraId="6FA1E9D0" w14:textId="03862ADA" w:rsidR="008D1394" w:rsidRPr="00360131" w:rsidRDefault="008D1394" w:rsidP="008D1394">
            <w:pPr>
              <w:spacing w:before="60" w:after="60"/>
              <w:jc w:val="center"/>
              <w:rPr>
                <w:rFonts w:ascii="Arial" w:hAnsi="Arial" w:cs="Arial"/>
                <w:b/>
              </w:rPr>
            </w:pPr>
            <w:r w:rsidRPr="00360131">
              <w:rPr>
                <w:rFonts w:ascii="Arial" w:hAnsi="Arial" w:cs="Arial"/>
                <w:b/>
              </w:rPr>
              <w:t>2024</w:t>
            </w:r>
            <w:r w:rsidR="00310E2A" w:rsidRPr="00360131">
              <w:rPr>
                <w:rFonts w:ascii="Arial" w:hAnsi="Arial" w:cs="Arial"/>
                <w:b/>
              </w:rPr>
              <w:t>–</w:t>
            </w:r>
            <w:r w:rsidRPr="00360131">
              <w:rPr>
                <w:rFonts w:ascii="Arial" w:hAnsi="Arial" w:cs="Arial"/>
                <w:b/>
              </w:rPr>
              <w:t>25</w:t>
            </w:r>
          </w:p>
        </w:tc>
        <w:tc>
          <w:tcPr>
            <w:tcW w:w="1228"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379" w:themeFill="text2"/>
            <w:vAlign w:val="center"/>
          </w:tcPr>
          <w:p w14:paraId="3193B93D" w14:textId="4D269954" w:rsidR="008D1394" w:rsidRPr="00360131" w:rsidRDefault="008D1394" w:rsidP="008D1394">
            <w:pPr>
              <w:spacing w:before="60" w:after="60"/>
              <w:jc w:val="center"/>
              <w:rPr>
                <w:rFonts w:ascii="Arial" w:hAnsi="Arial" w:cs="Arial"/>
                <w:b/>
              </w:rPr>
            </w:pPr>
            <w:r w:rsidRPr="00360131">
              <w:rPr>
                <w:rFonts w:ascii="Arial" w:hAnsi="Arial" w:cs="Arial"/>
                <w:b/>
              </w:rPr>
              <w:t>2025</w:t>
            </w:r>
            <w:r w:rsidR="00310E2A" w:rsidRPr="00360131">
              <w:rPr>
                <w:rFonts w:ascii="Arial" w:hAnsi="Arial" w:cs="Arial"/>
                <w:b/>
              </w:rPr>
              <w:t>–</w:t>
            </w:r>
            <w:r w:rsidRPr="00360131">
              <w:rPr>
                <w:rFonts w:ascii="Arial" w:hAnsi="Arial" w:cs="Arial"/>
                <w:b/>
              </w:rPr>
              <w:t>26</w:t>
            </w:r>
          </w:p>
        </w:tc>
        <w:tc>
          <w:tcPr>
            <w:tcW w:w="1229"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379" w:themeFill="text2"/>
            <w:vAlign w:val="center"/>
          </w:tcPr>
          <w:p w14:paraId="0B362990" w14:textId="5CD504D4" w:rsidR="008D1394" w:rsidRPr="00360131" w:rsidRDefault="008D1394" w:rsidP="008D1394">
            <w:pPr>
              <w:spacing w:before="60" w:after="60"/>
              <w:jc w:val="center"/>
              <w:rPr>
                <w:rFonts w:ascii="Arial" w:hAnsi="Arial" w:cs="Arial"/>
                <w:b/>
              </w:rPr>
            </w:pPr>
            <w:r w:rsidRPr="00360131">
              <w:rPr>
                <w:rFonts w:ascii="Arial" w:hAnsi="Arial" w:cs="Arial"/>
                <w:b/>
              </w:rPr>
              <w:t>2026</w:t>
            </w:r>
            <w:r w:rsidR="00310E2A" w:rsidRPr="00360131">
              <w:rPr>
                <w:rFonts w:ascii="Arial" w:hAnsi="Arial" w:cs="Arial"/>
                <w:b/>
              </w:rPr>
              <w:t>–</w:t>
            </w:r>
            <w:r w:rsidRPr="00360131">
              <w:rPr>
                <w:rFonts w:ascii="Arial" w:hAnsi="Arial" w:cs="Arial"/>
                <w:b/>
              </w:rPr>
              <w:t>27</w:t>
            </w:r>
          </w:p>
        </w:tc>
        <w:tc>
          <w:tcPr>
            <w:tcW w:w="1228"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379" w:themeFill="text2"/>
            <w:vAlign w:val="center"/>
          </w:tcPr>
          <w:p w14:paraId="37E528F8" w14:textId="732726A2" w:rsidR="008D1394" w:rsidRPr="00360131" w:rsidRDefault="008D1394" w:rsidP="008D1394">
            <w:pPr>
              <w:spacing w:before="60" w:after="60"/>
              <w:jc w:val="center"/>
              <w:rPr>
                <w:rFonts w:ascii="Arial" w:hAnsi="Arial" w:cs="Arial"/>
                <w:b/>
              </w:rPr>
            </w:pPr>
            <w:r w:rsidRPr="00360131">
              <w:rPr>
                <w:rFonts w:ascii="Arial" w:hAnsi="Arial" w:cs="Arial"/>
                <w:b/>
              </w:rPr>
              <w:t>2027</w:t>
            </w:r>
            <w:r w:rsidR="00310E2A" w:rsidRPr="00360131">
              <w:rPr>
                <w:rFonts w:ascii="Arial" w:hAnsi="Arial" w:cs="Arial"/>
                <w:b/>
              </w:rPr>
              <w:t>–</w:t>
            </w:r>
            <w:r w:rsidRPr="00360131">
              <w:rPr>
                <w:rFonts w:ascii="Arial" w:hAnsi="Arial" w:cs="Arial"/>
                <w:b/>
              </w:rPr>
              <w:t>28</w:t>
            </w:r>
          </w:p>
        </w:tc>
        <w:tc>
          <w:tcPr>
            <w:tcW w:w="1229" w:type="dxa"/>
            <w:tcBorders>
              <w:top w:val="single" w:sz="4" w:space="0" w:color="002279"/>
              <w:left w:val="single" w:sz="4" w:space="0" w:color="FFFFFF" w:themeColor="background1"/>
              <w:bottom w:val="single" w:sz="2" w:space="0" w:color="002279"/>
              <w:right w:val="single" w:sz="4" w:space="0" w:color="002279"/>
            </w:tcBorders>
            <w:shd w:val="clear" w:color="auto" w:fill="002379" w:themeFill="text2"/>
            <w:vAlign w:val="center"/>
          </w:tcPr>
          <w:p w14:paraId="0CB4B993" w14:textId="05C9C1B1" w:rsidR="008D1394" w:rsidRPr="00360131" w:rsidRDefault="008D1394" w:rsidP="008D1394">
            <w:pPr>
              <w:spacing w:before="60" w:after="60"/>
              <w:jc w:val="center"/>
              <w:rPr>
                <w:rFonts w:ascii="Arial" w:hAnsi="Arial" w:cs="Arial"/>
                <w:b/>
              </w:rPr>
            </w:pPr>
            <w:r w:rsidRPr="00360131">
              <w:rPr>
                <w:rFonts w:ascii="Arial" w:hAnsi="Arial" w:cs="Arial"/>
                <w:b/>
              </w:rPr>
              <w:t>Total</w:t>
            </w:r>
          </w:p>
        </w:tc>
      </w:tr>
      <w:tr w:rsidR="00627544" w:rsidRPr="002020E8" w14:paraId="317B1D97" w14:textId="4EEC5B24" w:rsidTr="003F1732">
        <w:trPr>
          <w:trHeight w:val="20"/>
        </w:trPr>
        <w:tc>
          <w:tcPr>
            <w:tcW w:w="1985" w:type="dxa"/>
            <w:tcBorders>
              <w:top w:val="single" w:sz="2" w:space="0" w:color="002279"/>
              <w:left w:val="single" w:sz="4" w:space="0" w:color="002279"/>
              <w:bottom w:val="single" w:sz="2" w:space="0" w:color="002279"/>
              <w:right w:val="single" w:sz="4" w:space="0" w:color="002279"/>
            </w:tcBorders>
            <w:shd w:val="clear" w:color="auto" w:fill="D4D6DF"/>
            <w:noWrap/>
            <w:vAlign w:val="center"/>
          </w:tcPr>
          <w:p w14:paraId="4F84C10D" w14:textId="0C722A50" w:rsidR="00627544" w:rsidRPr="00360131" w:rsidRDefault="00627544" w:rsidP="00525D8C">
            <w:pPr>
              <w:spacing w:line="259" w:lineRule="auto"/>
              <w:rPr>
                <w:rFonts w:ascii="Arial" w:hAnsi="Arial" w:cs="Arial"/>
                <w:szCs w:val="20"/>
              </w:rPr>
            </w:pPr>
            <w:r w:rsidRPr="0097263A">
              <w:rPr>
                <w:rFonts w:cs="Arial"/>
                <w:szCs w:val="20"/>
              </w:rPr>
              <w:t xml:space="preserve">Operations </w:t>
            </w:r>
            <w:r w:rsidR="00592D44" w:rsidRPr="0097263A">
              <w:rPr>
                <w:rFonts w:cs="Arial"/>
                <w:szCs w:val="20"/>
              </w:rPr>
              <w:t>and</w:t>
            </w:r>
            <w:r w:rsidRPr="0097263A">
              <w:rPr>
                <w:rFonts w:cs="Arial"/>
                <w:szCs w:val="20"/>
              </w:rPr>
              <w:t xml:space="preserve"> </w:t>
            </w:r>
            <w:r w:rsidR="00592D44" w:rsidRPr="0097263A">
              <w:rPr>
                <w:rFonts w:cs="Arial"/>
                <w:szCs w:val="20"/>
              </w:rPr>
              <w:t>m</w:t>
            </w:r>
            <w:r w:rsidRPr="0097263A">
              <w:rPr>
                <w:rFonts w:cs="Arial"/>
                <w:szCs w:val="20"/>
              </w:rPr>
              <w:t>aintenance</w:t>
            </w:r>
          </w:p>
        </w:tc>
        <w:tc>
          <w:tcPr>
            <w:tcW w:w="1228"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32EEF15B" w14:textId="3A0C7C27" w:rsidR="00627544" w:rsidRPr="00360131" w:rsidRDefault="00627544" w:rsidP="00627544">
            <w:pPr>
              <w:spacing w:line="259" w:lineRule="auto"/>
              <w:jc w:val="center"/>
              <w:rPr>
                <w:rFonts w:ascii="Arial" w:hAnsi="Arial" w:cs="Arial"/>
                <w:szCs w:val="20"/>
              </w:rPr>
            </w:pPr>
            <w:r>
              <w:rPr>
                <w:rStyle w:val="normaltextrun"/>
                <w:rFonts w:ascii="Arial" w:hAnsi="Arial" w:cs="Arial"/>
                <w:szCs w:val="20"/>
              </w:rPr>
              <w:t>67.</w:t>
            </w:r>
            <w:r w:rsidR="00425071">
              <w:rPr>
                <w:rStyle w:val="normaltextrun"/>
                <w:rFonts w:ascii="Arial" w:hAnsi="Arial" w:cs="Arial"/>
                <w:szCs w:val="20"/>
              </w:rPr>
              <w:t>52</w:t>
            </w:r>
          </w:p>
        </w:tc>
        <w:tc>
          <w:tcPr>
            <w:tcW w:w="1229"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13ADFD8A" w14:textId="16DAFFCD" w:rsidR="00627544" w:rsidRPr="00360131" w:rsidRDefault="00C9601B" w:rsidP="00627544">
            <w:pPr>
              <w:spacing w:line="259" w:lineRule="auto"/>
              <w:jc w:val="center"/>
              <w:rPr>
                <w:rFonts w:ascii="Arial" w:hAnsi="Arial" w:cs="Arial"/>
                <w:szCs w:val="20"/>
              </w:rPr>
            </w:pPr>
            <w:r>
              <w:rPr>
                <w:rStyle w:val="normaltextrun"/>
                <w:rFonts w:ascii="Arial" w:hAnsi="Arial" w:cs="Arial"/>
                <w:szCs w:val="20"/>
              </w:rPr>
              <w:t>66.</w:t>
            </w:r>
            <w:r w:rsidR="00425071">
              <w:rPr>
                <w:rStyle w:val="normaltextrun"/>
                <w:rFonts w:ascii="Arial" w:hAnsi="Arial" w:cs="Arial"/>
                <w:szCs w:val="20"/>
              </w:rPr>
              <w:t>92</w:t>
            </w:r>
          </w:p>
        </w:tc>
        <w:tc>
          <w:tcPr>
            <w:tcW w:w="1228"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14E44391" w14:textId="2536A3AA" w:rsidR="00627544" w:rsidRPr="00360131" w:rsidRDefault="00627544" w:rsidP="00627544">
            <w:pPr>
              <w:spacing w:line="259" w:lineRule="auto"/>
              <w:jc w:val="center"/>
              <w:rPr>
                <w:rFonts w:ascii="Arial" w:hAnsi="Arial" w:cs="Arial"/>
                <w:szCs w:val="20"/>
              </w:rPr>
            </w:pPr>
            <w:r>
              <w:rPr>
                <w:rStyle w:val="normaltextrun"/>
                <w:rFonts w:ascii="Arial" w:hAnsi="Arial" w:cs="Arial"/>
                <w:szCs w:val="20"/>
              </w:rPr>
              <w:t>66.</w:t>
            </w:r>
            <w:r w:rsidR="00425071">
              <w:rPr>
                <w:rStyle w:val="normaltextrun"/>
                <w:rFonts w:ascii="Arial" w:hAnsi="Arial" w:cs="Arial"/>
                <w:szCs w:val="20"/>
              </w:rPr>
              <w:t>67</w:t>
            </w:r>
          </w:p>
        </w:tc>
        <w:tc>
          <w:tcPr>
            <w:tcW w:w="1229"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1400E081" w14:textId="243501AC" w:rsidR="00627544" w:rsidRPr="00360131" w:rsidRDefault="00627544" w:rsidP="00627544">
            <w:pPr>
              <w:spacing w:line="259" w:lineRule="auto"/>
              <w:jc w:val="center"/>
              <w:rPr>
                <w:rFonts w:ascii="Arial" w:hAnsi="Arial" w:cs="Arial"/>
                <w:szCs w:val="20"/>
              </w:rPr>
            </w:pPr>
            <w:r>
              <w:rPr>
                <w:rStyle w:val="normaltextrun"/>
                <w:rFonts w:ascii="Arial" w:hAnsi="Arial" w:cs="Arial"/>
                <w:szCs w:val="20"/>
              </w:rPr>
              <w:t>66.</w:t>
            </w:r>
            <w:r w:rsidR="00425071">
              <w:rPr>
                <w:rStyle w:val="normaltextrun"/>
                <w:rFonts w:ascii="Arial" w:hAnsi="Arial" w:cs="Arial"/>
                <w:szCs w:val="20"/>
              </w:rPr>
              <w:t>59</w:t>
            </w:r>
          </w:p>
        </w:tc>
        <w:tc>
          <w:tcPr>
            <w:tcW w:w="1228"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00B16BA4" w14:textId="4EFAEF19" w:rsidR="00627544" w:rsidRPr="00360131" w:rsidRDefault="00627544" w:rsidP="00627544">
            <w:pPr>
              <w:spacing w:line="259" w:lineRule="auto"/>
              <w:jc w:val="center"/>
              <w:rPr>
                <w:rFonts w:ascii="Arial" w:hAnsi="Arial" w:cs="Arial"/>
                <w:szCs w:val="20"/>
              </w:rPr>
            </w:pPr>
            <w:r>
              <w:rPr>
                <w:rStyle w:val="normaltextrun"/>
                <w:rFonts w:ascii="Arial" w:hAnsi="Arial" w:cs="Arial"/>
                <w:szCs w:val="20"/>
              </w:rPr>
              <w:t>66.</w:t>
            </w:r>
            <w:r w:rsidR="00425071">
              <w:rPr>
                <w:rStyle w:val="normaltextrun"/>
                <w:rFonts w:ascii="Arial" w:hAnsi="Arial" w:cs="Arial"/>
                <w:szCs w:val="20"/>
              </w:rPr>
              <w:t>51</w:t>
            </w:r>
          </w:p>
        </w:tc>
        <w:tc>
          <w:tcPr>
            <w:tcW w:w="1229"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5C715C4D" w14:textId="478D2CB3" w:rsidR="00627544" w:rsidRPr="00360131" w:rsidRDefault="00627544" w:rsidP="00627544">
            <w:pPr>
              <w:spacing w:line="259" w:lineRule="auto"/>
              <w:jc w:val="center"/>
              <w:rPr>
                <w:rFonts w:ascii="Arial" w:hAnsi="Arial" w:cs="Arial"/>
                <w:b/>
                <w:color w:val="000000"/>
                <w:szCs w:val="20"/>
              </w:rPr>
            </w:pPr>
            <w:r>
              <w:rPr>
                <w:rStyle w:val="normaltextrun"/>
                <w:rFonts w:ascii="Arial" w:hAnsi="Arial" w:cs="Arial"/>
                <w:b/>
                <w:szCs w:val="20"/>
              </w:rPr>
              <w:t>334.</w:t>
            </w:r>
            <w:r w:rsidR="00425071">
              <w:rPr>
                <w:rStyle w:val="normaltextrun"/>
                <w:rFonts w:ascii="Arial" w:hAnsi="Arial" w:cs="Arial"/>
                <w:b/>
                <w:bCs/>
                <w:szCs w:val="20"/>
              </w:rPr>
              <w:t>2</w:t>
            </w:r>
            <w:r w:rsidR="00B1463E">
              <w:rPr>
                <w:rStyle w:val="normaltextrun"/>
                <w:rFonts w:ascii="Arial" w:hAnsi="Arial" w:cs="Arial"/>
                <w:b/>
                <w:bCs/>
                <w:szCs w:val="20"/>
              </w:rPr>
              <w:t>2</w:t>
            </w:r>
          </w:p>
        </w:tc>
      </w:tr>
      <w:tr w:rsidR="00627544" w:rsidRPr="002020E8" w14:paraId="72DDFCB2" w14:textId="5F30801F" w:rsidTr="003F1732">
        <w:trPr>
          <w:trHeight w:val="20"/>
        </w:trPr>
        <w:tc>
          <w:tcPr>
            <w:tcW w:w="1985" w:type="dxa"/>
            <w:tcBorders>
              <w:top w:val="single" w:sz="2" w:space="0" w:color="002279"/>
              <w:left w:val="single" w:sz="4" w:space="0" w:color="002279"/>
              <w:bottom w:val="single" w:sz="2" w:space="0" w:color="002279"/>
              <w:right w:val="single" w:sz="4" w:space="0" w:color="002279"/>
            </w:tcBorders>
            <w:noWrap/>
            <w:vAlign w:val="center"/>
          </w:tcPr>
          <w:p w14:paraId="5B2AE75F" w14:textId="77777777" w:rsidR="00627544" w:rsidRPr="00360131" w:rsidRDefault="00627544" w:rsidP="00525D8C">
            <w:pPr>
              <w:spacing w:line="259" w:lineRule="auto"/>
              <w:rPr>
                <w:rFonts w:ascii="Arial" w:hAnsi="Arial" w:cs="Arial"/>
                <w:szCs w:val="20"/>
              </w:rPr>
            </w:pPr>
            <w:r w:rsidRPr="0097263A">
              <w:rPr>
                <w:rFonts w:cs="Arial"/>
                <w:szCs w:val="20"/>
              </w:rPr>
              <w:t>Treatment</w:t>
            </w:r>
          </w:p>
        </w:tc>
        <w:tc>
          <w:tcPr>
            <w:tcW w:w="1228" w:type="dxa"/>
            <w:tcBorders>
              <w:top w:val="single" w:sz="2" w:space="0" w:color="002279"/>
              <w:left w:val="single" w:sz="4" w:space="0" w:color="002279"/>
              <w:bottom w:val="single" w:sz="2" w:space="0" w:color="002279"/>
              <w:right w:val="single" w:sz="4" w:space="0" w:color="002279"/>
            </w:tcBorders>
            <w:vAlign w:val="center"/>
          </w:tcPr>
          <w:p w14:paraId="17FB11BA" w14:textId="1AF16716" w:rsidR="00627544" w:rsidRPr="00360131" w:rsidRDefault="00627544" w:rsidP="00627544">
            <w:pPr>
              <w:spacing w:line="259" w:lineRule="auto"/>
              <w:jc w:val="center"/>
              <w:rPr>
                <w:rFonts w:ascii="Arial" w:hAnsi="Arial" w:cs="Arial"/>
                <w:szCs w:val="20"/>
              </w:rPr>
            </w:pPr>
            <w:r>
              <w:rPr>
                <w:rStyle w:val="normaltextrun"/>
                <w:rFonts w:ascii="Arial" w:hAnsi="Arial" w:cs="Arial"/>
                <w:szCs w:val="20"/>
              </w:rPr>
              <w:t>21.</w:t>
            </w:r>
            <w:r w:rsidR="00425071">
              <w:rPr>
                <w:rStyle w:val="normaltextrun"/>
                <w:rFonts w:ascii="Arial" w:hAnsi="Arial" w:cs="Arial"/>
                <w:szCs w:val="20"/>
              </w:rPr>
              <w:t>07</w:t>
            </w:r>
          </w:p>
        </w:tc>
        <w:tc>
          <w:tcPr>
            <w:tcW w:w="1229" w:type="dxa"/>
            <w:tcBorders>
              <w:top w:val="single" w:sz="2" w:space="0" w:color="002279"/>
              <w:left w:val="single" w:sz="4" w:space="0" w:color="002279"/>
              <w:bottom w:val="single" w:sz="2" w:space="0" w:color="002279"/>
              <w:right w:val="single" w:sz="4" w:space="0" w:color="002279"/>
            </w:tcBorders>
            <w:vAlign w:val="center"/>
          </w:tcPr>
          <w:p w14:paraId="15E3BF13" w14:textId="701A39A7" w:rsidR="00627544" w:rsidRPr="00360131" w:rsidRDefault="00627544" w:rsidP="00627544">
            <w:pPr>
              <w:spacing w:line="259" w:lineRule="auto"/>
              <w:jc w:val="center"/>
              <w:rPr>
                <w:rFonts w:ascii="Arial" w:hAnsi="Arial" w:cs="Arial"/>
                <w:szCs w:val="20"/>
              </w:rPr>
            </w:pPr>
            <w:r>
              <w:rPr>
                <w:rStyle w:val="normaltextrun"/>
                <w:rFonts w:ascii="Arial" w:hAnsi="Arial" w:cs="Arial"/>
                <w:szCs w:val="20"/>
              </w:rPr>
              <w:t>21.</w:t>
            </w:r>
            <w:r w:rsidR="00425071">
              <w:rPr>
                <w:rStyle w:val="normaltextrun"/>
                <w:rFonts w:ascii="Arial" w:hAnsi="Arial" w:cs="Arial"/>
                <w:szCs w:val="20"/>
              </w:rPr>
              <w:t>39</w:t>
            </w:r>
          </w:p>
        </w:tc>
        <w:tc>
          <w:tcPr>
            <w:tcW w:w="1228" w:type="dxa"/>
            <w:tcBorders>
              <w:top w:val="single" w:sz="2" w:space="0" w:color="002279"/>
              <w:left w:val="single" w:sz="4" w:space="0" w:color="002279"/>
              <w:bottom w:val="single" w:sz="2" w:space="0" w:color="002279"/>
              <w:right w:val="single" w:sz="4" w:space="0" w:color="002279"/>
            </w:tcBorders>
            <w:vAlign w:val="center"/>
          </w:tcPr>
          <w:p w14:paraId="5D25FFB6" w14:textId="3C316DC0" w:rsidR="00627544" w:rsidRPr="00360131" w:rsidRDefault="00627544" w:rsidP="00627544">
            <w:pPr>
              <w:spacing w:line="259" w:lineRule="auto"/>
              <w:jc w:val="center"/>
              <w:rPr>
                <w:rFonts w:ascii="Arial" w:hAnsi="Arial" w:cs="Arial"/>
                <w:szCs w:val="20"/>
              </w:rPr>
            </w:pPr>
            <w:r>
              <w:rPr>
                <w:rStyle w:val="normaltextrun"/>
                <w:rFonts w:ascii="Arial" w:hAnsi="Arial" w:cs="Arial"/>
                <w:szCs w:val="20"/>
              </w:rPr>
              <w:t>22.</w:t>
            </w:r>
            <w:r w:rsidR="00425071">
              <w:rPr>
                <w:rStyle w:val="normaltextrun"/>
                <w:rFonts w:ascii="Arial" w:hAnsi="Arial" w:cs="Arial"/>
                <w:szCs w:val="20"/>
              </w:rPr>
              <w:t>34</w:t>
            </w:r>
          </w:p>
        </w:tc>
        <w:tc>
          <w:tcPr>
            <w:tcW w:w="1229" w:type="dxa"/>
            <w:tcBorders>
              <w:top w:val="single" w:sz="2" w:space="0" w:color="002279"/>
              <w:left w:val="single" w:sz="4" w:space="0" w:color="002279"/>
              <w:bottom w:val="single" w:sz="2" w:space="0" w:color="002279"/>
              <w:right w:val="single" w:sz="4" w:space="0" w:color="002279"/>
            </w:tcBorders>
            <w:vAlign w:val="center"/>
          </w:tcPr>
          <w:p w14:paraId="15CFD1B8" w14:textId="208DE5B9" w:rsidR="00627544" w:rsidRPr="00360131" w:rsidRDefault="00627544" w:rsidP="00627544">
            <w:pPr>
              <w:spacing w:line="259" w:lineRule="auto"/>
              <w:jc w:val="center"/>
              <w:rPr>
                <w:rFonts w:ascii="Arial" w:hAnsi="Arial" w:cs="Arial"/>
                <w:szCs w:val="20"/>
              </w:rPr>
            </w:pPr>
            <w:r>
              <w:rPr>
                <w:rStyle w:val="normaltextrun"/>
                <w:rFonts w:ascii="Arial" w:hAnsi="Arial" w:cs="Arial"/>
                <w:szCs w:val="20"/>
              </w:rPr>
              <w:t>21.</w:t>
            </w:r>
            <w:r w:rsidR="00425071">
              <w:rPr>
                <w:rStyle w:val="normaltextrun"/>
                <w:rFonts w:ascii="Arial" w:hAnsi="Arial" w:cs="Arial"/>
                <w:szCs w:val="20"/>
              </w:rPr>
              <w:t>75</w:t>
            </w:r>
          </w:p>
        </w:tc>
        <w:tc>
          <w:tcPr>
            <w:tcW w:w="1228" w:type="dxa"/>
            <w:tcBorders>
              <w:top w:val="single" w:sz="2" w:space="0" w:color="002279"/>
              <w:left w:val="single" w:sz="4" w:space="0" w:color="002279"/>
              <w:bottom w:val="single" w:sz="2" w:space="0" w:color="002279"/>
              <w:right w:val="single" w:sz="4" w:space="0" w:color="002279"/>
            </w:tcBorders>
            <w:vAlign w:val="center"/>
          </w:tcPr>
          <w:p w14:paraId="60AD4932" w14:textId="0BB3651B" w:rsidR="00627544" w:rsidRPr="00360131" w:rsidRDefault="00627544" w:rsidP="00627544">
            <w:pPr>
              <w:spacing w:line="259" w:lineRule="auto"/>
              <w:jc w:val="center"/>
              <w:rPr>
                <w:rFonts w:ascii="Arial" w:hAnsi="Arial" w:cs="Arial"/>
                <w:szCs w:val="20"/>
              </w:rPr>
            </w:pPr>
            <w:r>
              <w:rPr>
                <w:rStyle w:val="normaltextrun"/>
                <w:rFonts w:ascii="Arial" w:hAnsi="Arial" w:cs="Arial"/>
                <w:szCs w:val="20"/>
              </w:rPr>
              <w:t>21.</w:t>
            </w:r>
            <w:r w:rsidR="00425071">
              <w:rPr>
                <w:rStyle w:val="normaltextrun"/>
                <w:rFonts w:ascii="Arial" w:hAnsi="Arial" w:cs="Arial"/>
                <w:szCs w:val="20"/>
              </w:rPr>
              <w:t>93</w:t>
            </w:r>
          </w:p>
        </w:tc>
        <w:tc>
          <w:tcPr>
            <w:tcW w:w="1229" w:type="dxa"/>
            <w:tcBorders>
              <w:top w:val="single" w:sz="2" w:space="0" w:color="002279"/>
              <w:left w:val="single" w:sz="4" w:space="0" w:color="002279"/>
              <w:bottom w:val="single" w:sz="2" w:space="0" w:color="002279"/>
              <w:right w:val="single" w:sz="4" w:space="0" w:color="002279"/>
            </w:tcBorders>
            <w:vAlign w:val="center"/>
          </w:tcPr>
          <w:p w14:paraId="62AFFF66" w14:textId="53AAA068" w:rsidR="00627544" w:rsidRPr="00360131" w:rsidRDefault="00627544" w:rsidP="00627544">
            <w:pPr>
              <w:spacing w:line="259" w:lineRule="auto"/>
              <w:jc w:val="center"/>
              <w:rPr>
                <w:rFonts w:ascii="Arial" w:hAnsi="Arial" w:cs="Arial"/>
                <w:b/>
                <w:color w:val="000000"/>
                <w:szCs w:val="20"/>
              </w:rPr>
            </w:pPr>
            <w:r>
              <w:rPr>
                <w:rStyle w:val="normaltextrun"/>
                <w:rFonts w:ascii="Arial" w:hAnsi="Arial" w:cs="Arial"/>
                <w:b/>
                <w:szCs w:val="20"/>
              </w:rPr>
              <w:t>108.</w:t>
            </w:r>
            <w:r w:rsidR="00425071">
              <w:rPr>
                <w:rStyle w:val="normaltextrun"/>
                <w:rFonts w:ascii="Arial" w:hAnsi="Arial" w:cs="Arial"/>
                <w:b/>
                <w:bCs/>
                <w:szCs w:val="20"/>
              </w:rPr>
              <w:t>4</w:t>
            </w:r>
            <w:r w:rsidR="00C41671">
              <w:rPr>
                <w:rStyle w:val="normaltextrun"/>
                <w:rFonts w:ascii="Arial" w:hAnsi="Arial" w:cs="Arial"/>
                <w:b/>
                <w:bCs/>
                <w:szCs w:val="20"/>
              </w:rPr>
              <w:t>7</w:t>
            </w:r>
          </w:p>
        </w:tc>
      </w:tr>
      <w:tr w:rsidR="00627544" w:rsidRPr="002020E8" w14:paraId="36239ADE" w14:textId="4A88C7EB" w:rsidTr="003F1732">
        <w:trPr>
          <w:trHeight w:val="20"/>
        </w:trPr>
        <w:tc>
          <w:tcPr>
            <w:tcW w:w="1985" w:type="dxa"/>
            <w:tcBorders>
              <w:top w:val="single" w:sz="2" w:space="0" w:color="002279"/>
              <w:left w:val="single" w:sz="4" w:space="0" w:color="002279"/>
              <w:bottom w:val="single" w:sz="2" w:space="0" w:color="002279"/>
              <w:right w:val="single" w:sz="4" w:space="0" w:color="002279"/>
            </w:tcBorders>
            <w:shd w:val="clear" w:color="auto" w:fill="D4D6DF"/>
            <w:noWrap/>
            <w:vAlign w:val="center"/>
          </w:tcPr>
          <w:p w14:paraId="49342A54" w14:textId="12CDEECB" w:rsidR="00627544" w:rsidRPr="00360131" w:rsidRDefault="00627544" w:rsidP="00525D8C">
            <w:pPr>
              <w:spacing w:line="259" w:lineRule="auto"/>
              <w:rPr>
                <w:rFonts w:ascii="Arial" w:hAnsi="Arial" w:cs="Arial"/>
                <w:szCs w:val="20"/>
              </w:rPr>
            </w:pPr>
            <w:r w:rsidRPr="0097263A">
              <w:rPr>
                <w:rFonts w:cs="Arial"/>
                <w:szCs w:val="20"/>
              </w:rPr>
              <w:t xml:space="preserve">Customer </w:t>
            </w:r>
            <w:r w:rsidR="00592D44" w:rsidRPr="0097263A">
              <w:rPr>
                <w:rFonts w:cs="Arial"/>
                <w:szCs w:val="20"/>
              </w:rPr>
              <w:t>s</w:t>
            </w:r>
            <w:r w:rsidRPr="0097263A">
              <w:rPr>
                <w:rFonts w:cs="Arial"/>
                <w:szCs w:val="20"/>
              </w:rPr>
              <w:t>ervice and billing</w:t>
            </w:r>
          </w:p>
        </w:tc>
        <w:tc>
          <w:tcPr>
            <w:tcW w:w="1228"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7148C77B" w14:textId="009BAF72" w:rsidR="00627544" w:rsidRPr="00360131" w:rsidRDefault="00627544" w:rsidP="00627544">
            <w:pPr>
              <w:spacing w:line="259" w:lineRule="auto"/>
              <w:jc w:val="center"/>
              <w:rPr>
                <w:rFonts w:ascii="Arial" w:hAnsi="Arial" w:cs="Arial"/>
                <w:szCs w:val="20"/>
              </w:rPr>
            </w:pPr>
            <w:r>
              <w:rPr>
                <w:rStyle w:val="normaltextrun"/>
                <w:rFonts w:ascii="Arial" w:hAnsi="Arial" w:cs="Arial"/>
                <w:szCs w:val="20"/>
              </w:rPr>
              <w:t>29.</w:t>
            </w:r>
            <w:r w:rsidR="00425071">
              <w:rPr>
                <w:rStyle w:val="normaltextrun"/>
                <w:rFonts w:ascii="Arial" w:hAnsi="Arial" w:cs="Arial"/>
                <w:szCs w:val="20"/>
              </w:rPr>
              <w:t>7</w:t>
            </w:r>
            <w:r w:rsidR="00C4218B">
              <w:rPr>
                <w:rStyle w:val="normaltextrun"/>
                <w:rFonts w:ascii="Arial" w:hAnsi="Arial" w:cs="Arial"/>
                <w:szCs w:val="20"/>
              </w:rPr>
              <w:t>6</w:t>
            </w:r>
          </w:p>
        </w:tc>
        <w:tc>
          <w:tcPr>
            <w:tcW w:w="1229"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1019BA44" w14:textId="3922AF0F" w:rsidR="00627544" w:rsidRPr="00360131" w:rsidRDefault="00425071" w:rsidP="00627544">
            <w:pPr>
              <w:spacing w:line="259" w:lineRule="auto"/>
              <w:jc w:val="center"/>
              <w:rPr>
                <w:rFonts w:ascii="Arial" w:hAnsi="Arial" w:cs="Arial"/>
                <w:szCs w:val="20"/>
              </w:rPr>
            </w:pPr>
            <w:r>
              <w:rPr>
                <w:rStyle w:val="normaltextrun"/>
                <w:rFonts w:ascii="Arial" w:hAnsi="Arial" w:cs="Arial"/>
                <w:szCs w:val="20"/>
              </w:rPr>
              <w:t>28.98</w:t>
            </w:r>
          </w:p>
        </w:tc>
        <w:tc>
          <w:tcPr>
            <w:tcW w:w="1228"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460B6A7D" w14:textId="4F4C330B" w:rsidR="00627544" w:rsidRPr="00360131" w:rsidRDefault="00627544" w:rsidP="00627544">
            <w:pPr>
              <w:spacing w:line="259" w:lineRule="auto"/>
              <w:jc w:val="center"/>
              <w:rPr>
                <w:rFonts w:ascii="Arial" w:hAnsi="Arial" w:cs="Arial"/>
                <w:szCs w:val="20"/>
              </w:rPr>
            </w:pPr>
            <w:r>
              <w:rPr>
                <w:rStyle w:val="normaltextrun"/>
                <w:rFonts w:ascii="Arial" w:hAnsi="Arial" w:cs="Arial"/>
                <w:szCs w:val="20"/>
              </w:rPr>
              <w:t>28.</w:t>
            </w:r>
            <w:r w:rsidR="00425071">
              <w:rPr>
                <w:rStyle w:val="normaltextrun"/>
                <w:rFonts w:ascii="Arial" w:hAnsi="Arial" w:cs="Arial"/>
                <w:szCs w:val="20"/>
              </w:rPr>
              <w:t>14</w:t>
            </w:r>
          </w:p>
        </w:tc>
        <w:tc>
          <w:tcPr>
            <w:tcW w:w="1229"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3F01288F" w14:textId="7EB2B38F" w:rsidR="00627544" w:rsidRPr="00360131" w:rsidRDefault="00627544" w:rsidP="00627544">
            <w:pPr>
              <w:spacing w:line="259" w:lineRule="auto"/>
              <w:jc w:val="center"/>
              <w:rPr>
                <w:rFonts w:ascii="Arial" w:hAnsi="Arial" w:cs="Arial"/>
                <w:szCs w:val="20"/>
              </w:rPr>
            </w:pPr>
            <w:r>
              <w:rPr>
                <w:rStyle w:val="normaltextrun"/>
                <w:rFonts w:ascii="Arial" w:hAnsi="Arial" w:cs="Arial"/>
                <w:szCs w:val="20"/>
              </w:rPr>
              <w:t>27.</w:t>
            </w:r>
            <w:r w:rsidR="00425071">
              <w:rPr>
                <w:rStyle w:val="normaltextrun"/>
                <w:rFonts w:ascii="Arial" w:hAnsi="Arial" w:cs="Arial"/>
                <w:szCs w:val="20"/>
              </w:rPr>
              <w:t>48</w:t>
            </w:r>
          </w:p>
        </w:tc>
        <w:tc>
          <w:tcPr>
            <w:tcW w:w="1228"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2A7DC60D" w14:textId="7C3A7A2C" w:rsidR="00627544" w:rsidRPr="00360131" w:rsidRDefault="00627544" w:rsidP="00627544">
            <w:pPr>
              <w:spacing w:line="259" w:lineRule="auto"/>
              <w:jc w:val="center"/>
              <w:rPr>
                <w:rFonts w:ascii="Arial" w:hAnsi="Arial" w:cs="Arial"/>
                <w:szCs w:val="20"/>
              </w:rPr>
            </w:pPr>
            <w:r>
              <w:rPr>
                <w:rStyle w:val="normaltextrun"/>
                <w:rFonts w:ascii="Arial" w:hAnsi="Arial" w:cs="Arial"/>
                <w:szCs w:val="20"/>
              </w:rPr>
              <w:t>26.</w:t>
            </w:r>
            <w:r w:rsidR="00425071">
              <w:rPr>
                <w:rStyle w:val="normaltextrun"/>
                <w:rFonts w:ascii="Arial" w:hAnsi="Arial" w:cs="Arial"/>
                <w:szCs w:val="20"/>
              </w:rPr>
              <w:t>49</w:t>
            </w:r>
          </w:p>
        </w:tc>
        <w:tc>
          <w:tcPr>
            <w:tcW w:w="1229"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7C6A6666" w14:textId="18013003" w:rsidR="00627544" w:rsidRPr="00360131" w:rsidRDefault="00627544" w:rsidP="00627544">
            <w:pPr>
              <w:spacing w:line="259" w:lineRule="auto"/>
              <w:jc w:val="center"/>
              <w:rPr>
                <w:rFonts w:ascii="Arial" w:hAnsi="Arial" w:cs="Arial"/>
                <w:b/>
                <w:color w:val="000000"/>
                <w:szCs w:val="20"/>
              </w:rPr>
            </w:pPr>
            <w:r>
              <w:rPr>
                <w:rStyle w:val="normaltextrun"/>
                <w:rFonts w:ascii="Arial" w:hAnsi="Arial" w:cs="Arial"/>
                <w:b/>
                <w:szCs w:val="20"/>
              </w:rPr>
              <w:t>140.</w:t>
            </w:r>
            <w:r w:rsidR="00425071">
              <w:rPr>
                <w:rStyle w:val="normaltextrun"/>
                <w:rFonts w:ascii="Arial" w:hAnsi="Arial" w:cs="Arial"/>
                <w:b/>
                <w:bCs/>
                <w:szCs w:val="20"/>
              </w:rPr>
              <w:t>8</w:t>
            </w:r>
            <w:r w:rsidR="00C4218B">
              <w:rPr>
                <w:rStyle w:val="normaltextrun"/>
                <w:rFonts w:ascii="Arial" w:hAnsi="Arial" w:cs="Arial"/>
                <w:b/>
                <w:bCs/>
                <w:szCs w:val="20"/>
              </w:rPr>
              <w:t>6</w:t>
            </w:r>
          </w:p>
        </w:tc>
      </w:tr>
      <w:tr w:rsidR="00627544" w:rsidRPr="002020E8" w14:paraId="228A30E6" w14:textId="255D93F9" w:rsidTr="003F1732">
        <w:trPr>
          <w:trHeight w:val="20"/>
        </w:trPr>
        <w:tc>
          <w:tcPr>
            <w:tcW w:w="1985" w:type="dxa"/>
            <w:tcBorders>
              <w:top w:val="single" w:sz="2" w:space="0" w:color="002279"/>
              <w:left w:val="single" w:sz="4" w:space="0" w:color="002279"/>
              <w:bottom w:val="single" w:sz="2" w:space="0" w:color="002279"/>
              <w:right w:val="single" w:sz="4" w:space="0" w:color="002279"/>
            </w:tcBorders>
            <w:noWrap/>
            <w:vAlign w:val="center"/>
          </w:tcPr>
          <w:p w14:paraId="0EF90EB1" w14:textId="014EB046" w:rsidR="00627544" w:rsidRPr="00360131" w:rsidRDefault="00627544" w:rsidP="00525D8C">
            <w:pPr>
              <w:spacing w:line="259" w:lineRule="auto"/>
              <w:rPr>
                <w:rFonts w:ascii="Arial" w:hAnsi="Arial" w:cs="Arial"/>
                <w:szCs w:val="20"/>
              </w:rPr>
            </w:pPr>
            <w:r w:rsidRPr="0097263A">
              <w:rPr>
                <w:rFonts w:cs="Arial"/>
                <w:szCs w:val="20"/>
              </w:rPr>
              <w:t xml:space="preserve">GSL </w:t>
            </w:r>
            <w:r w:rsidR="00592D44" w:rsidRPr="0097263A">
              <w:rPr>
                <w:rFonts w:cs="Arial"/>
                <w:szCs w:val="20"/>
              </w:rPr>
              <w:t>p</w:t>
            </w:r>
            <w:r w:rsidRPr="0097263A">
              <w:rPr>
                <w:rFonts w:cs="Arial"/>
                <w:szCs w:val="20"/>
              </w:rPr>
              <w:t>ayments</w:t>
            </w:r>
          </w:p>
        </w:tc>
        <w:tc>
          <w:tcPr>
            <w:tcW w:w="1228" w:type="dxa"/>
            <w:tcBorders>
              <w:top w:val="single" w:sz="2" w:space="0" w:color="002279"/>
              <w:left w:val="single" w:sz="4" w:space="0" w:color="002279"/>
              <w:bottom w:val="single" w:sz="2" w:space="0" w:color="002279"/>
              <w:right w:val="single" w:sz="4" w:space="0" w:color="002279"/>
            </w:tcBorders>
            <w:vAlign w:val="center"/>
          </w:tcPr>
          <w:p w14:paraId="03B56031" w14:textId="4B5EA108" w:rsidR="00627544" w:rsidRPr="00360131" w:rsidRDefault="00D62ED7" w:rsidP="00627544">
            <w:pPr>
              <w:spacing w:line="259" w:lineRule="auto"/>
              <w:jc w:val="center"/>
              <w:rPr>
                <w:rFonts w:ascii="Arial" w:hAnsi="Arial" w:cs="Arial"/>
                <w:szCs w:val="20"/>
              </w:rPr>
            </w:pPr>
            <w:r>
              <w:rPr>
                <w:rStyle w:val="normaltextrun"/>
              </w:rPr>
              <w:t>-</w:t>
            </w:r>
          </w:p>
        </w:tc>
        <w:tc>
          <w:tcPr>
            <w:tcW w:w="1229" w:type="dxa"/>
            <w:tcBorders>
              <w:top w:val="single" w:sz="2" w:space="0" w:color="002279"/>
              <w:left w:val="single" w:sz="4" w:space="0" w:color="002279"/>
              <w:bottom w:val="single" w:sz="2" w:space="0" w:color="002279"/>
              <w:right w:val="single" w:sz="4" w:space="0" w:color="002279"/>
            </w:tcBorders>
            <w:vAlign w:val="center"/>
          </w:tcPr>
          <w:p w14:paraId="6037DAA4" w14:textId="31F2C666" w:rsidR="00627544" w:rsidRPr="00360131" w:rsidRDefault="00D62ED7" w:rsidP="00627544">
            <w:pPr>
              <w:spacing w:line="259" w:lineRule="auto"/>
              <w:jc w:val="center"/>
              <w:rPr>
                <w:rFonts w:ascii="Arial" w:hAnsi="Arial" w:cs="Arial"/>
                <w:szCs w:val="20"/>
              </w:rPr>
            </w:pPr>
            <w:r>
              <w:rPr>
                <w:rStyle w:val="normaltextrun"/>
              </w:rPr>
              <w:t>-</w:t>
            </w:r>
          </w:p>
        </w:tc>
        <w:tc>
          <w:tcPr>
            <w:tcW w:w="1228" w:type="dxa"/>
            <w:tcBorders>
              <w:top w:val="single" w:sz="2" w:space="0" w:color="002279"/>
              <w:left w:val="single" w:sz="4" w:space="0" w:color="002279"/>
              <w:bottom w:val="single" w:sz="2" w:space="0" w:color="002279"/>
              <w:right w:val="single" w:sz="4" w:space="0" w:color="002279"/>
            </w:tcBorders>
            <w:vAlign w:val="center"/>
          </w:tcPr>
          <w:p w14:paraId="59CBB12D" w14:textId="4AB5A71C" w:rsidR="00627544" w:rsidRPr="00360131" w:rsidRDefault="00D62ED7" w:rsidP="00627544">
            <w:pPr>
              <w:spacing w:line="259" w:lineRule="auto"/>
              <w:jc w:val="center"/>
              <w:rPr>
                <w:rFonts w:ascii="Arial" w:hAnsi="Arial" w:cs="Arial"/>
                <w:szCs w:val="20"/>
              </w:rPr>
            </w:pPr>
            <w:r>
              <w:rPr>
                <w:rStyle w:val="normaltextrun"/>
              </w:rPr>
              <w:t>-</w:t>
            </w:r>
          </w:p>
        </w:tc>
        <w:tc>
          <w:tcPr>
            <w:tcW w:w="1229" w:type="dxa"/>
            <w:tcBorders>
              <w:top w:val="single" w:sz="2" w:space="0" w:color="002279"/>
              <w:left w:val="single" w:sz="4" w:space="0" w:color="002279"/>
              <w:bottom w:val="single" w:sz="2" w:space="0" w:color="002279"/>
              <w:right w:val="single" w:sz="4" w:space="0" w:color="002279"/>
            </w:tcBorders>
            <w:vAlign w:val="center"/>
          </w:tcPr>
          <w:p w14:paraId="7658DEE4" w14:textId="582AE627" w:rsidR="00627544" w:rsidRPr="00360131" w:rsidRDefault="00D62ED7" w:rsidP="00627544">
            <w:pPr>
              <w:spacing w:line="259" w:lineRule="auto"/>
              <w:jc w:val="center"/>
              <w:rPr>
                <w:rFonts w:ascii="Arial" w:hAnsi="Arial" w:cs="Arial"/>
                <w:szCs w:val="20"/>
              </w:rPr>
            </w:pPr>
            <w:r>
              <w:rPr>
                <w:rStyle w:val="normaltextrun"/>
              </w:rPr>
              <w:t>-</w:t>
            </w:r>
          </w:p>
        </w:tc>
        <w:tc>
          <w:tcPr>
            <w:tcW w:w="1228" w:type="dxa"/>
            <w:tcBorders>
              <w:top w:val="single" w:sz="2" w:space="0" w:color="002279"/>
              <w:left w:val="single" w:sz="4" w:space="0" w:color="002279"/>
              <w:bottom w:val="single" w:sz="2" w:space="0" w:color="002279"/>
              <w:right w:val="single" w:sz="4" w:space="0" w:color="002279"/>
            </w:tcBorders>
            <w:vAlign w:val="center"/>
          </w:tcPr>
          <w:p w14:paraId="4A6BBEF9" w14:textId="3AE22ECF" w:rsidR="00627544" w:rsidRPr="00360131" w:rsidRDefault="00D62ED7" w:rsidP="00627544">
            <w:pPr>
              <w:spacing w:line="259" w:lineRule="auto"/>
              <w:jc w:val="center"/>
              <w:rPr>
                <w:rFonts w:ascii="Arial" w:hAnsi="Arial" w:cs="Arial"/>
                <w:szCs w:val="20"/>
              </w:rPr>
            </w:pPr>
            <w:r>
              <w:rPr>
                <w:rStyle w:val="normaltextrun"/>
              </w:rPr>
              <w:t>-</w:t>
            </w:r>
          </w:p>
        </w:tc>
        <w:tc>
          <w:tcPr>
            <w:tcW w:w="1229" w:type="dxa"/>
            <w:tcBorders>
              <w:top w:val="single" w:sz="2" w:space="0" w:color="002279"/>
              <w:left w:val="single" w:sz="4" w:space="0" w:color="002279"/>
              <w:bottom w:val="single" w:sz="2" w:space="0" w:color="002279"/>
              <w:right w:val="single" w:sz="4" w:space="0" w:color="002279"/>
            </w:tcBorders>
            <w:vAlign w:val="center"/>
          </w:tcPr>
          <w:p w14:paraId="12028EE7" w14:textId="038561BA" w:rsidR="00627544" w:rsidRPr="00360131" w:rsidRDefault="00D62ED7" w:rsidP="00627544">
            <w:pPr>
              <w:spacing w:line="259" w:lineRule="auto"/>
              <w:jc w:val="center"/>
              <w:rPr>
                <w:rFonts w:ascii="Arial" w:hAnsi="Arial" w:cs="Arial"/>
                <w:b/>
                <w:color w:val="000000"/>
                <w:szCs w:val="20"/>
              </w:rPr>
            </w:pPr>
            <w:r>
              <w:rPr>
                <w:rStyle w:val="normaltextrun"/>
                <w:b/>
                <w:bCs/>
              </w:rPr>
              <w:t>-</w:t>
            </w:r>
          </w:p>
        </w:tc>
      </w:tr>
      <w:tr w:rsidR="00627544" w:rsidRPr="002020E8" w14:paraId="6CF448C9" w14:textId="19D76B99" w:rsidTr="003F1732">
        <w:trPr>
          <w:trHeight w:val="421"/>
        </w:trPr>
        <w:tc>
          <w:tcPr>
            <w:tcW w:w="1985" w:type="dxa"/>
            <w:tcBorders>
              <w:top w:val="single" w:sz="2" w:space="0" w:color="002279"/>
              <w:left w:val="single" w:sz="4" w:space="0" w:color="002279"/>
              <w:bottom w:val="single" w:sz="2" w:space="0" w:color="002279"/>
              <w:right w:val="single" w:sz="4" w:space="0" w:color="002279"/>
            </w:tcBorders>
            <w:shd w:val="clear" w:color="auto" w:fill="D4D6DF"/>
            <w:noWrap/>
            <w:vAlign w:val="center"/>
          </w:tcPr>
          <w:p w14:paraId="2A82A440" w14:textId="77777777" w:rsidR="00627544" w:rsidRPr="00360131" w:rsidRDefault="00627544" w:rsidP="00525D8C">
            <w:pPr>
              <w:spacing w:line="259" w:lineRule="auto"/>
              <w:rPr>
                <w:rFonts w:ascii="Arial" w:hAnsi="Arial" w:cs="Arial"/>
                <w:szCs w:val="20"/>
              </w:rPr>
            </w:pPr>
            <w:r w:rsidRPr="0097263A">
              <w:rPr>
                <w:rFonts w:cs="Arial"/>
                <w:szCs w:val="20"/>
              </w:rPr>
              <w:t>Corporate</w:t>
            </w:r>
          </w:p>
        </w:tc>
        <w:tc>
          <w:tcPr>
            <w:tcW w:w="1228"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70E3E3AB" w14:textId="6DF92BAC" w:rsidR="00627544" w:rsidRPr="00360131" w:rsidRDefault="00627544" w:rsidP="00627544">
            <w:pPr>
              <w:spacing w:line="259" w:lineRule="auto"/>
              <w:jc w:val="center"/>
              <w:rPr>
                <w:rFonts w:ascii="Arial" w:hAnsi="Arial" w:cs="Arial"/>
                <w:szCs w:val="20"/>
              </w:rPr>
            </w:pPr>
            <w:r>
              <w:rPr>
                <w:rStyle w:val="normaltextrun"/>
                <w:rFonts w:ascii="Arial" w:hAnsi="Arial" w:cs="Arial"/>
                <w:szCs w:val="20"/>
              </w:rPr>
              <w:t>40.</w:t>
            </w:r>
            <w:r w:rsidR="00425071">
              <w:rPr>
                <w:rStyle w:val="normaltextrun"/>
                <w:rFonts w:ascii="Arial" w:hAnsi="Arial" w:cs="Arial"/>
                <w:szCs w:val="20"/>
              </w:rPr>
              <w:t>80</w:t>
            </w:r>
          </w:p>
        </w:tc>
        <w:tc>
          <w:tcPr>
            <w:tcW w:w="1229"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71A20EB4" w14:textId="02A2A1CD" w:rsidR="00627544" w:rsidRPr="00360131" w:rsidRDefault="00627544" w:rsidP="00627544">
            <w:pPr>
              <w:spacing w:line="259" w:lineRule="auto"/>
              <w:jc w:val="center"/>
              <w:rPr>
                <w:rFonts w:ascii="Arial" w:hAnsi="Arial" w:cs="Arial"/>
                <w:szCs w:val="20"/>
              </w:rPr>
            </w:pPr>
            <w:r>
              <w:rPr>
                <w:rStyle w:val="normaltextrun"/>
                <w:rFonts w:ascii="Arial" w:hAnsi="Arial" w:cs="Arial"/>
                <w:szCs w:val="20"/>
              </w:rPr>
              <w:t>41.</w:t>
            </w:r>
            <w:r w:rsidR="00425071">
              <w:rPr>
                <w:rStyle w:val="normaltextrun"/>
                <w:rFonts w:ascii="Arial" w:hAnsi="Arial" w:cs="Arial"/>
                <w:szCs w:val="20"/>
              </w:rPr>
              <w:t>51</w:t>
            </w:r>
          </w:p>
        </w:tc>
        <w:tc>
          <w:tcPr>
            <w:tcW w:w="1228"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711B0BB2" w14:textId="394F1419" w:rsidR="00627544" w:rsidRPr="00360131" w:rsidRDefault="00627544" w:rsidP="00627544">
            <w:pPr>
              <w:spacing w:line="259" w:lineRule="auto"/>
              <w:jc w:val="center"/>
              <w:rPr>
                <w:rFonts w:ascii="Arial" w:hAnsi="Arial" w:cs="Arial"/>
                <w:szCs w:val="20"/>
              </w:rPr>
            </w:pPr>
            <w:r>
              <w:rPr>
                <w:rStyle w:val="normaltextrun"/>
                <w:rFonts w:ascii="Arial" w:hAnsi="Arial" w:cs="Arial"/>
                <w:szCs w:val="20"/>
              </w:rPr>
              <w:t>42.</w:t>
            </w:r>
            <w:r w:rsidR="00425071">
              <w:rPr>
                <w:rStyle w:val="normaltextrun"/>
                <w:rFonts w:ascii="Arial" w:hAnsi="Arial" w:cs="Arial"/>
                <w:szCs w:val="20"/>
              </w:rPr>
              <w:t>41</w:t>
            </w:r>
          </w:p>
        </w:tc>
        <w:tc>
          <w:tcPr>
            <w:tcW w:w="1229"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359C92B1" w14:textId="289F6E7C" w:rsidR="00627544" w:rsidRPr="00360131" w:rsidRDefault="00627544" w:rsidP="00627544">
            <w:pPr>
              <w:spacing w:line="259" w:lineRule="auto"/>
              <w:jc w:val="center"/>
              <w:rPr>
                <w:rFonts w:ascii="Arial" w:hAnsi="Arial" w:cs="Arial"/>
                <w:szCs w:val="20"/>
              </w:rPr>
            </w:pPr>
            <w:r>
              <w:rPr>
                <w:rStyle w:val="normaltextrun"/>
                <w:rFonts w:ascii="Arial" w:hAnsi="Arial" w:cs="Arial"/>
                <w:szCs w:val="20"/>
              </w:rPr>
              <w:t>42.</w:t>
            </w:r>
            <w:r w:rsidR="00425071">
              <w:rPr>
                <w:rStyle w:val="normaltextrun"/>
                <w:rFonts w:ascii="Arial" w:hAnsi="Arial" w:cs="Arial"/>
                <w:szCs w:val="20"/>
              </w:rPr>
              <w:t>25</w:t>
            </w:r>
          </w:p>
        </w:tc>
        <w:tc>
          <w:tcPr>
            <w:tcW w:w="1228"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52B460D9" w14:textId="6A6DE11E" w:rsidR="00627544" w:rsidRPr="00360131" w:rsidRDefault="00627544" w:rsidP="00627544">
            <w:pPr>
              <w:spacing w:line="259" w:lineRule="auto"/>
              <w:jc w:val="center"/>
              <w:rPr>
                <w:rFonts w:ascii="Arial" w:hAnsi="Arial" w:cs="Arial"/>
                <w:szCs w:val="20"/>
              </w:rPr>
            </w:pPr>
            <w:r>
              <w:rPr>
                <w:rStyle w:val="normaltextrun"/>
                <w:rFonts w:ascii="Arial" w:hAnsi="Arial" w:cs="Arial"/>
                <w:szCs w:val="20"/>
              </w:rPr>
              <w:t>42.</w:t>
            </w:r>
            <w:r w:rsidR="00425071">
              <w:rPr>
                <w:rStyle w:val="normaltextrun"/>
                <w:rFonts w:ascii="Arial" w:hAnsi="Arial" w:cs="Arial"/>
                <w:szCs w:val="20"/>
              </w:rPr>
              <w:t>19</w:t>
            </w:r>
          </w:p>
        </w:tc>
        <w:tc>
          <w:tcPr>
            <w:tcW w:w="1229"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784795EF" w14:textId="6DE24823" w:rsidR="00627544" w:rsidRPr="00360131" w:rsidRDefault="00C9601B" w:rsidP="00627544">
            <w:pPr>
              <w:spacing w:line="259" w:lineRule="auto"/>
              <w:jc w:val="center"/>
              <w:rPr>
                <w:rFonts w:ascii="Arial" w:hAnsi="Arial" w:cs="Arial"/>
                <w:b/>
                <w:color w:val="000000"/>
                <w:szCs w:val="20"/>
              </w:rPr>
            </w:pPr>
            <w:r>
              <w:rPr>
                <w:rStyle w:val="normaltextrun"/>
                <w:rFonts w:ascii="Arial" w:hAnsi="Arial" w:cs="Arial"/>
                <w:b/>
                <w:szCs w:val="20"/>
              </w:rPr>
              <w:t>209.</w:t>
            </w:r>
            <w:r w:rsidR="00425071">
              <w:rPr>
                <w:rStyle w:val="normaltextrun"/>
                <w:rFonts w:ascii="Arial" w:hAnsi="Arial" w:cs="Arial"/>
                <w:b/>
                <w:bCs/>
                <w:szCs w:val="20"/>
              </w:rPr>
              <w:t>1</w:t>
            </w:r>
            <w:r w:rsidR="00CB74AE">
              <w:rPr>
                <w:rStyle w:val="normaltextrun"/>
                <w:rFonts w:ascii="Arial" w:hAnsi="Arial" w:cs="Arial"/>
                <w:b/>
                <w:bCs/>
                <w:szCs w:val="20"/>
              </w:rPr>
              <w:t>5</w:t>
            </w:r>
          </w:p>
        </w:tc>
      </w:tr>
      <w:tr w:rsidR="00627544" w:rsidRPr="002020E8" w14:paraId="72E800AF" w14:textId="0F0CAEEC" w:rsidTr="003F1732">
        <w:trPr>
          <w:trHeight w:val="20"/>
        </w:trPr>
        <w:tc>
          <w:tcPr>
            <w:tcW w:w="1985" w:type="dxa"/>
            <w:tcBorders>
              <w:top w:val="single" w:sz="2" w:space="0" w:color="002279"/>
              <w:left w:val="single" w:sz="4" w:space="0" w:color="002279"/>
              <w:bottom w:val="single" w:sz="2" w:space="0" w:color="002279"/>
              <w:right w:val="single" w:sz="4" w:space="0" w:color="002279"/>
            </w:tcBorders>
            <w:noWrap/>
            <w:vAlign w:val="center"/>
          </w:tcPr>
          <w:p w14:paraId="72992CB2" w14:textId="77777777" w:rsidR="00627544" w:rsidRPr="00360131" w:rsidRDefault="00627544" w:rsidP="00525D8C">
            <w:pPr>
              <w:spacing w:line="259" w:lineRule="auto"/>
              <w:rPr>
                <w:rFonts w:ascii="Arial" w:hAnsi="Arial" w:cs="Arial"/>
                <w:szCs w:val="20"/>
              </w:rPr>
            </w:pPr>
            <w:r w:rsidRPr="0097263A">
              <w:rPr>
                <w:rFonts w:cs="Arial"/>
                <w:szCs w:val="20"/>
              </w:rPr>
              <w:t>Other operating expenditure</w:t>
            </w:r>
          </w:p>
        </w:tc>
        <w:tc>
          <w:tcPr>
            <w:tcW w:w="1228" w:type="dxa"/>
            <w:tcBorders>
              <w:top w:val="single" w:sz="2" w:space="0" w:color="002279"/>
              <w:left w:val="single" w:sz="4" w:space="0" w:color="002279"/>
              <w:bottom w:val="single" w:sz="2" w:space="0" w:color="002279"/>
              <w:right w:val="single" w:sz="4" w:space="0" w:color="002279"/>
            </w:tcBorders>
            <w:vAlign w:val="center"/>
          </w:tcPr>
          <w:p w14:paraId="7954953B" w14:textId="1A2E57B1" w:rsidR="00627544" w:rsidRPr="00360131" w:rsidRDefault="00627544" w:rsidP="00627544">
            <w:pPr>
              <w:spacing w:line="259" w:lineRule="auto"/>
              <w:jc w:val="center"/>
              <w:rPr>
                <w:rFonts w:ascii="Arial" w:hAnsi="Arial" w:cs="Arial"/>
                <w:szCs w:val="20"/>
              </w:rPr>
            </w:pPr>
            <w:r>
              <w:rPr>
                <w:rStyle w:val="normaltextrun"/>
                <w:rFonts w:ascii="Arial" w:hAnsi="Arial" w:cs="Arial"/>
                <w:szCs w:val="20"/>
              </w:rPr>
              <w:t>0.</w:t>
            </w:r>
            <w:r w:rsidR="00425071">
              <w:rPr>
                <w:rStyle w:val="normaltextrun"/>
                <w:rFonts w:ascii="Arial" w:hAnsi="Arial" w:cs="Arial"/>
                <w:szCs w:val="20"/>
              </w:rPr>
              <w:t>59</w:t>
            </w:r>
          </w:p>
        </w:tc>
        <w:tc>
          <w:tcPr>
            <w:tcW w:w="1229" w:type="dxa"/>
            <w:tcBorders>
              <w:top w:val="single" w:sz="2" w:space="0" w:color="002279"/>
              <w:left w:val="single" w:sz="4" w:space="0" w:color="002279"/>
              <w:bottom w:val="single" w:sz="2" w:space="0" w:color="002279"/>
              <w:right w:val="single" w:sz="4" w:space="0" w:color="002279"/>
            </w:tcBorders>
            <w:vAlign w:val="center"/>
          </w:tcPr>
          <w:p w14:paraId="3CEE0047" w14:textId="3425F6A9" w:rsidR="00627544" w:rsidRPr="00360131" w:rsidRDefault="00627544" w:rsidP="00627544">
            <w:pPr>
              <w:spacing w:line="259" w:lineRule="auto"/>
              <w:jc w:val="center"/>
              <w:rPr>
                <w:rFonts w:ascii="Arial" w:hAnsi="Arial" w:cs="Arial"/>
                <w:szCs w:val="20"/>
              </w:rPr>
            </w:pPr>
            <w:r>
              <w:rPr>
                <w:rStyle w:val="normaltextrun"/>
                <w:rFonts w:ascii="Arial" w:hAnsi="Arial" w:cs="Arial"/>
                <w:szCs w:val="20"/>
              </w:rPr>
              <w:t>0.</w:t>
            </w:r>
            <w:r w:rsidR="00425071">
              <w:rPr>
                <w:rStyle w:val="normaltextrun"/>
                <w:rFonts w:ascii="Arial" w:hAnsi="Arial" w:cs="Arial"/>
                <w:szCs w:val="20"/>
              </w:rPr>
              <w:t>58</w:t>
            </w:r>
          </w:p>
        </w:tc>
        <w:tc>
          <w:tcPr>
            <w:tcW w:w="1228" w:type="dxa"/>
            <w:tcBorders>
              <w:top w:val="single" w:sz="2" w:space="0" w:color="002279"/>
              <w:left w:val="single" w:sz="4" w:space="0" w:color="002279"/>
              <w:bottom w:val="single" w:sz="2" w:space="0" w:color="002279"/>
              <w:right w:val="single" w:sz="4" w:space="0" w:color="002279"/>
            </w:tcBorders>
            <w:vAlign w:val="center"/>
          </w:tcPr>
          <w:p w14:paraId="118D89C6" w14:textId="29C2DA86" w:rsidR="00627544" w:rsidRPr="00360131" w:rsidRDefault="00627544" w:rsidP="00627544">
            <w:pPr>
              <w:spacing w:line="259" w:lineRule="auto"/>
              <w:jc w:val="center"/>
              <w:rPr>
                <w:rFonts w:ascii="Arial" w:hAnsi="Arial" w:cs="Arial"/>
                <w:szCs w:val="20"/>
              </w:rPr>
            </w:pPr>
            <w:r>
              <w:rPr>
                <w:rStyle w:val="normaltextrun"/>
                <w:rFonts w:ascii="Arial" w:hAnsi="Arial" w:cs="Arial"/>
                <w:szCs w:val="20"/>
              </w:rPr>
              <w:t>0.</w:t>
            </w:r>
            <w:r w:rsidR="00425071">
              <w:rPr>
                <w:rStyle w:val="normaltextrun"/>
                <w:rFonts w:ascii="Arial" w:hAnsi="Arial" w:cs="Arial"/>
                <w:szCs w:val="20"/>
              </w:rPr>
              <w:t>58</w:t>
            </w:r>
          </w:p>
        </w:tc>
        <w:tc>
          <w:tcPr>
            <w:tcW w:w="1229" w:type="dxa"/>
            <w:tcBorders>
              <w:top w:val="single" w:sz="2" w:space="0" w:color="002279"/>
              <w:left w:val="single" w:sz="4" w:space="0" w:color="002279"/>
              <w:bottom w:val="single" w:sz="2" w:space="0" w:color="002279"/>
              <w:right w:val="single" w:sz="4" w:space="0" w:color="002279"/>
            </w:tcBorders>
            <w:vAlign w:val="center"/>
          </w:tcPr>
          <w:p w14:paraId="7DEB2C92" w14:textId="075E5681" w:rsidR="00627544" w:rsidRPr="00360131" w:rsidRDefault="00627544" w:rsidP="00627544">
            <w:pPr>
              <w:spacing w:line="259" w:lineRule="auto"/>
              <w:jc w:val="center"/>
              <w:rPr>
                <w:rFonts w:ascii="Arial" w:hAnsi="Arial" w:cs="Arial"/>
                <w:szCs w:val="20"/>
              </w:rPr>
            </w:pPr>
            <w:r>
              <w:rPr>
                <w:rStyle w:val="normaltextrun"/>
                <w:rFonts w:ascii="Arial" w:hAnsi="Arial" w:cs="Arial"/>
                <w:szCs w:val="20"/>
              </w:rPr>
              <w:t>0.</w:t>
            </w:r>
            <w:r w:rsidR="00425071">
              <w:rPr>
                <w:rStyle w:val="normaltextrun"/>
                <w:rFonts w:ascii="Arial" w:hAnsi="Arial" w:cs="Arial"/>
                <w:szCs w:val="20"/>
              </w:rPr>
              <w:t>58</w:t>
            </w:r>
          </w:p>
        </w:tc>
        <w:tc>
          <w:tcPr>
            <w:tcW w:w="1228" w:type="dxa"/>
            <w:tcBorders>
              <w:top w:val="single" w:sz="2" w:space="0" w:color="002279"/>
              <w:left w:val="single" w:sz="4" w:space="0" w:color="002279"/>
              <w:bottom w:val="single" w:sz="2" w:space="0" w:color="002279"/>
              <w:right w:val="single" w:sz="4" w:space="0" w:color="002279"/>
            </w:tcBorders>
            <w:vAlign w:val="center"/>
          </w:tcPr>
          <w:p w14:paraId="4219CD5B" w14:textId="146234E9" w:rsidR="00627544" w:rsidRPr="00360131" w:rsidRDefault="00627544" w:rsidP="00627544">
            <w:pPr>
              <w:spacing w:line="259" w:lineRule="auto"/>
              <w:jc w:val="center"/>
              <w:rPr>
                <w:rFonts w:ascii="Arial" w:hAnsi="Arial" w:cs="Arial"/>
                <w:szCs w:val="20"/>
              </w:rPr>
            </w:pPr>
            <w:r>
              <w:rPr>
                <w:rStyle w:val="normaltextrun"/>
                <w:rFonts w:ascii="Arial" w:hAnsi="Arial" w:cs="Arial"/>
                <w:szCs w:val="20"/>
              </w:rPr>
              <w:t>0.</w:t>
            </w:r>
            <w:r w:rsidR="00425071">
              <w:rPr>
                <w:rStyle w:val="normaltextrun"/>
                <w:rFonts w:ascii="Arial" w:hAnsi="Arial" w:cs="Arial"/>
                <w:szCs w:val="20"/>
              </w:rPr>
              <w:t>57</w:t>
            </w:r>
          </w:p>
        </w:tc>
        <w:tc>
          <w:tcPr>
            <w:tcW w:w="1229" w:type="dxa"/>
            <w:tcBorders>
              <w:top w:val="single" w:sz="2" w:space="0" w:color="002279"/>
              <w:left w:val="single" w:sz="4" w:space="0" w:color="002279"/>
              <w:bottom w:val="single" w:sz="2" w:space="0" w:color="002279"/>
              <w:right w:val="single" w:sz="4" w:space="0" w:color="002279"/>
            </w:tcBorders>
            <w:vAlign w:val="center"/>
          </w:tcPr>
          <w:p w14:paraId="749F3F57" w14:textId="43FCD7D4" w:rsidR="00627544" w:rsidRPr="00360131" w:rsidRDefault="00425071" w:rsidP="00627544">
            <w:pPr>
              <w:spacing w:line="259" w:lineRule="auto"/>
              <w:jc w:val="center"/>
              <w:rPr>
                <w:rFonts w:ascii="Arial" w:hAnsi="Arial" w:cs="Arial"/>
                <w:b/>
                <w:color w:val="000000"/>
                <w:szCs w:val="20"/>
              </w:rPr>
            </w:pPr>
            <w:r>
              <w:rPr>
                <w:rStyle w:val="normaltextrun"/>
                <w:rFonts w:ascii="Arial" w:hAnsi="Arial" w:cs="Arial"/>
                <w:b/>
                <w:bCs/>
                <w:szCs w:val="20"/>
              </w:rPr>
              <w:t>2.90</w:t>
            </w:r>
          </w:p>
        </w:tc>
      </w:tr>
      <w:tr w:rsidR="00627544" w:rsidRPr="002020E8" w14:paraId="6E771E03" w14:textId="6C23CA3C" w:rsidTr="003F1732">
        <w:trPr>
          <w:trHeight w:val="20"/>
        </w:trPr>
        <w:tc>
          <w:tcPr>
            <w:tcW w:w="1985" w:type="dxa"/>
            <w:tcBorders>
              <w:top w:val="single" w:sz="2" w:space="0" w:color="002279"/>
              <w:left w:val="single" w:sz="4" w:space="0" w:color="002279"/>
              <w:bottom w:val="single" w:sz="4" w:space="0" w:color="002279"/>
              <w:right w:val="single" w:sz="4" w:space="0" w:color="002279"/>
            </w:tcBorders>
            <w:shd w:val="clear" w:color="auto" w:fill="D4D6DF"/>
            <w:noWrap/>
            <w:vAlign w:val="center"/>
          </w:tcPr>
          <w:p w14:paraId="496F379A" w14:textId="77777777" w:rsidR="00627544" w:rsidRPr="00360131" w:rsidRDefault="00627544" w:rsidP="00525D8C">
            <w:pPr>
              <w:spacing w:line="259" w:lineRule="auto"/>
              <w:rPr>
                <w:rFonts w:ascii="Arial" w:hAnsi="Arial" w:cs="Arial"/>
                <w:b/>
                <w:szCs w:val="20"/>
              </w:rPr>
            </w:pPr>
            <w:r w:rsidRPr="0097263A">
              <w:rPr>
                <w:rFonts w:cs="Arial"/>
                <w:b/>
                <w:szCs w:val="20"/>
              </w:rPr>
              <w:t>Total</w:t>
            </w:r>
          </w:p>
        </w:tc>
        <w:tc>
          <w:tcPr>
            <w:tcW w:w="1228" w:type="dxa"/>
            <w:tcBorders>
              <w:top w:val="single" w:sz="2" w:space="0" w:color="002279"/>
              <w:left w:val="single" w:sz="4" w:space="0" w:color="002279"/>
              <w:bottom w:val="single" w:sz="4" w:space="0" w:color="002279"/>
              <w:right w:val="single" w:sz="4" w:space="0" w:color="002279"/>
            </w:tcBorders>
            <w:shd w:val="clear" w:color="auto" w:fill="D4D6DF"/>
            <w:vAlign w:val="center"/>
          </w:tcPr>
          <w:p w14:paraId="4AB4FCDD" w14:textId="603B0EA3" w:rsidR="00627544" w:rsidRPr="00360131" w:rsidRDefault="00627544" w:rsidP="00627544">
            <w:pPr>
              <w:spacing w:line="259" w:lineRule="auto"/>
              <w:jc w:val="center"/>
              <w:rPr>
                <w:rFonts w:ascii="Arial" w:hAnsi="Arial" w:cs="Arial"/>
                <w:b/>
                <w:szCs w:val="20"/>
              </w:rPr>
            </w:pPr>
            <w:r>
              <w:rPr>
                <w:rStyle w:val="normaltextrun"/>
                <w:rFonts w:ascii="Arial" w:hAnsi="Arial" w:cs="Arial"/>
                <w:b/>
                <w:szCs w:val="20"/>
              </w:rPr>
              <w:t>159.</w:t>
            </w:r>
            <w:r w:rsidR="00425071">
              <w:rPr>
                <w:rStyle w:val="normaltextrun"/>
                <w:rFonts w:ascii="Arial" w:hAnsi="Arial" w:cs="Arial"/>
                <w:b/>
                <w:bCs/>
                <w:szCs w:val="20"/>
              </w:rPr>
              <w:t>74</w:t>
            </w:r>
          </w:p>
        </w:tc>
        <w:tc>
          <w:tcPr>
            <w:tcW w:w="1229" w:type="dxa"/>
            <w:tcBorders>
              <w:top w:val="single" w:sz="2" w:space="0" w:color="002279"/>
              <w:left w:val="single" w:sz="4" w:space="0" w:color="002279"/>
              <w:bottom w:val="single" w:sz="4" w:space="0" w:color="002279"/>
              <w:right w:val="single" w:sz="4" w:space="0" w:color="002279"/>
            </w:tcBorders>
            <w:shd w:val="clear" w:color="auto" w:fill="D4D6DF"/>
            <w:vAlign w:val="center"/>
          </w:tcPr>
          <w:p w14:paraId="1C559609" w14:textId="2F748C49" w:rsidR="00627544" w:rsidRPr="00360131" w:rsidRDefault="00627544" w:rsidP="00627544">
            <w:pPr>
              <w:spacing w:line="259" w:lineRule="auto"/>
              <w:jc w:val="center"/>
              <w:rPr>
                <w:rFonts w:ascii="Arial" w:hAnsi="Arial" w:cs="Arial"/>
                <w:b/>
                <w:szCs w:val="20"/>
              </w:rPr>
            </w:pPr>
            <w:r>
              <w:rPr>
                <w:rStyle w:val="normaltextrun"/>
                <w:rFonts w:ascii="Arial" w:hAnsi="Arial" w:cs="Arial"/>
                <w:b/>
                <w:szCs w:val="20"/>
              </w:rPr>
              <w:t>159.</w:t>
            </w:r>
            <w:r w:rsidR="00425071">
              <w:rPr>
                <w:rStyle w:val="normaltextrun"/>
                <w:rFonts w:ascii="Arial" w:hAnsi="Arial" w:cs="Arial"/>
                <w:b/>
                <w:bCs/>
                <w:szCs w:val="20"/>
              </w:rPr>
              <w:t>38</w:t>
            </w:r>
          </w:p>
        </w:tc>
        <w:tc>
          <w:tcPr>
            <w:tcW w:w="1228" w:type="dxa"/>
            <w:tcBorders>
              <w:top w:val="single" w:sz="2" w:space="0" w:color="002279"/>
              <w:left w:val="single" w:sz="4" w:space="0" w:color="002279"/>
              <w:bottom w:val="single" w:sz="4" w:space="0" w:color="002279"/>
              <w:right w:val="single" w:sz="4" w:space="0" w:color="002279"/>
            </w:tcBorders>
            <w:shd w:val="clear" w:color="auto" w:fill="D4D6DF"/>
            <w:vAlign w:val="center"/>
          </w:tcPr>
          <w:p w14:paraId="1A699264" w14:textId="33461F8C" w:rsidR="00627544" w:rsidRPr="00360131" w:rsidRDefault="00C9601B" w:rsidP="00627544">
            <w:pPr>
              <w:spacing w:line="259" w:lineRule="auto"/>
              <w:jc w:val="center"/>
              <w:rPr>
                <w:rFonts w:ascii="Arial" w:hAnsi="Arial" w:cs="Arial"/>
                <w:b/>
                <w:szCs w:val="20"/>
              </w:rPr>
            </w:pPr>
            <w:r>
              <w:rPr>
                <w:rStyle w:val="normaltextrun"/>
                <w:rFonts w:ascii="Arial" w:hAnsi="Arial" w:cs="Arial"/>
                <w:b/>
                <w:szCs w:val="20"/>
              </w:rPr>
              <w:t>160.</w:t>
            </w:r>
            <w:r w:rsidR="00425071">
              <w:rPr>
                <w:rStyle w:val="normaltextrun"/>
                <w:rFonts w:ascii="Arial" w:hAnsi="Arial" w:cs="Arial"/>
                <w:b/>
                <w:bCs/>
                <w:szCs w:val="20"/>
              </w:rPr>
              <w:t>14</w:t>
            </w:r>
          </w:p>
        </w:tc>
        <w:tc>
          <w:tcPr>
            <w:tcW w:w="1229" w:type="dxa"/>
            <w:tcBorders>
              <w:top w:val="single" w:sz="2" w:space="0" w:color="002279"/>
              <w:left w:val="single" w:sz="4" w:space="0" w:color="002279"/>
              <w:bottom w:val="single" w:sz="4" w:space="0" w:color="002279"/>
              <w:right w:val="single" w:sz="4" w:space="0" w:color="002279"/>
            </w:tcBorders>
            <w:shd w:val="clear" w:color="auto" w:fill="D4D6DF"/>
            <w:vAlign w:val="center"/>
          </w:tcPr>
          <w:p w14:paraId="5F21C5DE" w14:textId="4F542EE6" w:rsidR="00627544" w:rsidRPr="00360131" w:rsidRDefault="00627544" w:rsidP="00627544">
            <w:pPr>
              <w:spacing w:line="259" w:lineRule="auto"/>
              <w:jc w:val="center"/>
              <w:rPr>
                <w:rFonts w:ascii="Arial" w:hAnsi="Arial" w:cs="Arial"/>
                <w:b/>
                <w:szCs w:val="20"/>
              </w:rPr>
            </w:pPr>
            <w:r>
              <w:rPr>
                <w:rStyle w:val="normaltextrun"/>
                <w:rFonts w:ascii="Arial" w:hAnsi="Arial" w:cs="Arial"/>
                <w:b/>
                <w:szCs w:val="20"/>
              </w:rPr>
              <w:t>158.</w:t>
            </w:r>
            <w:r w:rsidR="00425071">
              <w:rPr>
                <w:rStyle w:val="normaltextrun"/>
                <w:rFonts w:ascii="Arial" w:hAnsi="Arial" w:cs="Arial"/>
                <w:b/>
                <w:bCs/>
                <w:szCs w:val="20"/>
              </w:rPr>
              <w:t>6</w:t>
            </w:r>
            <w:r w:rsidR="004971F7">
              <w:rPr>
                <w:rStyle w:val="normaltextrun"/>
                <w:rFonts w:ascii="Arial" w:hAnsi="Arial" w:cs="Arial"/>
                <w:b/>
                <w:bCs/>
                <w:szCs w:val="20"/>
              </w:rPr>
              <w:t>4</w:t>
            </w:r>
          </w:p>
        </w:tc>
        <w:tc>
          <w:tcPr>
            <w:tcW w:w="1228" w:type="dxa"/>
            <w:tcBorders>
              <w:top w:val="single" w:sz="2" w:space="0" w:color="002279"/>
              <w:left w:val="single" w:sz="4" w:space="0" w:color="002279"/>
              <w:bottom w:val="single" w:sz="4" w:space="0" w:color="002279"/>
              <w:right w:val="single" w:sz="4" w:space="0" w:color="002279"/>
            </w:tcBorders>
            <w:shd w:val="clear" w:color="auto" w:fill="D4D6DF"/>
            <w:vAlign w:val="center"/>
          </w:tcPr>
          <w:p w14:paraId="2DB0B0B0" w14:textId="16948F89" w:rsidR="00627544" w:rsidRPr="00360131" w:rsidRDefault="00627544" w:rsidP="00627544">
            <w:pPr>
              <w:spacing w:line="259" w:lineRule="auto"/>
              <w:jc w:val="center"/>
              <w:rPr>
                <w:rFonts w:ascii="Arial" w:hAnsi="Arial" w:cs="Arial"/>
                <w:b/>
                <w:szCs w:val="20"/>
              </w:rPr>
            </w:pPr>
            <w:r>
              <w:rPr>
                <w:rStyle w:val="normaltextrun"/>
                <w:rFonts w:ascii="Arial" w:hAnsi="Arial" w:cs="Arial"/>
                <w:b/>
                <w:szCs w:val="20"/>
              </w:rPr>
              <w:t>157.</w:t>
            </w:r>
            <w:r w:rsidR="00425071">
              <w:rPr>
                <w:rStyle w:val="normaltextrun"/>
                <w:rFonts w:ascii="Arial" w:hAnsi="Arial" w:cs="Arial"/>
                <w:b/>
                <w:bCs/>
                <w:szCs w:val="20"/>
              </w:rPr>
              <w:t>69</w:t>
            </w:r>
          </w:p>
        </w:tc>
        <w:tc>
          <w:tcPr>
            <w:tcW w:w="1229" w:type="dxa"/>
            <w:tcBorders>
              <w:top w:val="single" w:sz="2" w:space="0" w:color="002279"/>
              <w:left w:val="single" w:sz="4" w:space="0" w:color="002279"/>
              <w:bottom w:val="single" w:sz="4" w:space="0" w:color="002279"/>
              <w:right w:val="single" w:sz="4" w:space="0" w:color="002279"/>
            </w:tcBorders>
            <w:shd w:val="clear" w:color="auto" w:fill="D4D6DF"/>
            <w:vAlign w:val="center"/>
          </w:tcPr>
          <w:p w14:paraId="34123FEE" w14:textId="456CA0C3" w:rsidR="00627544" w:rsidRPr="00360131" w:rsidRDefault="00627544" w:rsidP="00627544">
            <w:pPr>
              <w:spacing w:line="259" w:lineRule="auto"/>
              <w:jc w:val="center"/>
              <w:rPr>
                <w:rFonts w:ascii="Arial" w:hAnsi="Arial" w:cs="Arial"/>
                <w:b/>
                <w:color w:val="000000"/>
                <w:szCs w:val="20"/>
              </w:rPr>
            </w:pPr>
            <w:r>
              <w:rPr>
                <w:rStyle w:val="normaltextrun"/>
                <w:rFonts w:ascii="Arial" w:hAnsi="Arial" w:cs="Arial"/>
                <w:b/>
                <w:szCs w:val="20"/>
              </w:rPr>
              <w:t>795.</w:t>
            </w:r>
            <w:r w:rsidR="00203FEC">
              <w:rPr>
                <w:rStyle w:val="normaltextrun"/>
                <w:rFonts w:ascii="Arial" w:hAnsi="Arial" w:cs="Arial"/>
                <w:b/>
                <w:bCs/>
                <w:szCs w:val="20"/>
              </w:rPr>
              <w:t>59</w:t>
            </w:r>
          </w:p>
        </w:tc>
      </w:tr>
    </w:tbl>
    <w:p w14:paraId="6AC73D44" w14:textId="77777777" w:rsidR="00D674FC" w:rsidRPr="00360131" w:rsidRDefault="00D674FC" w:rsidP="00D674FC">
      <w:pPr>
        <w:rPr>
          <w:rFonts w:cs="Arial"/>
          <w:sz w:val="20"/>
          <w:szCs w:val="20"/>
          <w:highlight w:val="yellow"/>
        </w:rPr>
      </w:pPr>
    </w:p>
    <w:p w14:paraId="7886545C" w14:textId="6F98203E" w:rsidR="00D674FC" w:rsidRDefault="00D674FC" w:rsidP="00D674FC">
      <w:pPr>
        <w:rPr>
          <w:bCs/>
        </w:rPr>
      </w:pPr>
      <w:r>
        <w:rPr>
          <w:bCs/>
        </w:rPr>
        <w:t xml:space="preserve">The </w:t>
      </w:r>
      <w:r w:rsidR="003C678C">
        <w:rPr>
          <w:bCs/>
        </w:rPr>
        <w:t>build-up</w:t>
      </w:r>
      <w:r>
        <w:rPr>
          <w:bCs/>
        </w:rPr>
        <w:t xml:space="preserve"> of the</w:t>
      </w:r>
      <w:r w:rsidR="003E13C6">
        <w:rPr>
          <w:bCs/>
        </w:rPr>
        <w:t xml:space="preserve"> controllable ope</w:t>
      </w:r>
      <w:r w:rsidR="00316B84">
        <w:rPr>
          <w:bCs/>
        </w:rPr>
        <w:t>rat</w:t>
      </w:r>
      <w:r w:rsidR="00C95137">
        <w:rPr>
          <w:bCs/>
        </w:rPr>
        <w:t xml:space="preserve">ing expenditure </w:t>
      </w:r>
      <w:r>
        <w:rPr>
          <w:bCs/>
        </w:rPr>
        <w:t>forecast is detailed below.</w:t>
      </w:r>
    </w:p>
    <w:p w14:paraId="02F1AF30" w14:textId="11E2D261" w:rsidR="00BE1968" w:rsidRPr="00501EC1" w:rsidRDefault="00BE1968" w:rsidP="00501EC1">
      <w:pPr>
        <w:pStyle w:val="NbrHeading3"/>
      </w:pPr>
      <w:r w:rsidRPr="00501EC1">
        <w:t>Baseline ope</w:t>
      </w:r>
      <w:r w:rsidR="00F729B3">
        <w:t>rating expenditure</w:t>
      </w:r>
    </w:p>
    <w:p w14:paraId="023841DF" w14:textId="546D27E2" w:rsidR="00700B7E" w:rsidRDefault="001F304E" w:rsidP="0034755F">
      <w:pPr>
        <w:pStyle w:val="BodyText"/>
      </w:pPr>
      <w:r>
        <w:t xml:space="preserve">The baseline year for controllable </w:t>
      </w:r>
      <w:r w:rsidR="00CD7BBD">
        <w:rPr>
          <w:bCs/>
        </w:rPr>
        <w:t xml:space="preserve">operating expenditure </w:t>
      </w:r>
      <w:r>
        <w:t>is the 2021</w:t>
      </w:r>
      <w:r w:rsidR="00310E2A">
        <w:t>–</w:t>
      </w:r>
      <w:r>
        <w:t>22</w:t>
      </w:r>
      <w:r w:rsidR="0051211D">
        <w:t xml:space="preserve"> financial year.</w:t>
      </w:r>
      <w:r w:rsidR="00F73460">
        <w:t xml:space="preserve"> </w:t>
      </w:r>
      <w:r w:rsidR="006152DC">
        <w:t xml:space="preserve">Baseline </w:t>
      </w:r>
      <w:r w:rsidR="00F729B3">
        <w:rPr>
          <w:bCs/>
        </w:rPr>
        <w:t xml:space="preserve">operating expenditure </w:t>
      </w:r>
      <w:r w:rsidR="006152DC">
        <w:t>is $144.4</w:t>
      </w:r>
      <w:r w:rsidR="00253754">
        <w:t xml:space="preserve"> million, which is total </w:t>
      </w:r>
      <w:r w:rsidR="00CD7BBD">
        <w:rPr>
          <w:bCs/>
        </w:rPr>
        <w:t xml:space="preserve">operating expenditure </w:t>
      </w:r>
      <w:r w:rsidR="00253754">
        <w:t>excluding:</w:t>
      </w:r>
    </w:p>
    <w:p w14:paraId="63CE0DF7" w14:textId="1FA438C4" w:rsidR="00253754" w:rsidRDefault="0084494D">
      <w:pPr>
        <w:pStyle w:val="BodyText"/>
        <w:numPr>
          <w:ilvl w:val="0"/>
          <w:numId w:val="85"/>
        </w:numPr>
        <w:rPr>
          <w:rFonts w:eastAsia="Arial" w:cs="Arial"/>
        </w:rPr>
      </w:pPr>
      <w:r>
        <w:rPr>
          <w:rFonts w:eastAsia="Arial" w:cs="Arial"/>
        </w:rPr>
        <w:t xml:space="preserve">uncontrollable </w:t>
      </w:r>
      <w:r w:rsidR="00F729B3">
        <w:rPr>
          <w:bCs/>
        </w:rPr>
        <w:t xml:space="preserve">operating expenditure </w:t>
      </w:r>
    </w:p>
    <w:p w14:paraId="26479E64" w14:textId="6F13DC31" w:rsidR="61A129D4" w:rsidRDefault="00253754">
      <w:pPr>
        <w:pStyle w:val="BodyText"/>
        <w:numPr>
          <w:ilvl w:val="0"/>
          <w:numId w:val="85"/>
        </w:numPr>
        <w:spacing w:after="0"/>
        <w:rPr>
          <w:rFonts w:eastAsia="Arial" w:cs="Arial"/>
        </w:rPr>
      </w:pPr>
      <w:r>
        <w:rPr>
          <w:rFonts w:eastAsia="Arial" w:cs="Arial"/>
        </w:rPr>
        <w:t xml:space="preserve">baseline </w:t>
      </w:r>
      <w:r w:rsidR="00F729B3">
        <w:rPr>
          <w:bCs/>
        </w:rPr>
        <w:t xml:space="preserve">operating expenditure </w:t>
      </w:r>
      <w:r>
        <w:rPr>
          <w:rFonts w:eastAsia="Arial" w:cs="Arial"/>
        </w:rPr>
        <w:t>a</w:t>
      </w:r>
      <w:r w:rsidR="0084494D">
        <w:rPr>
          <w:rFonts w:eastAsia="Arial" w:cs="Arial"/>
        </w:rPr>
        <w:t>djustments</w:t>
      </w:r>
      <w:r w:rsidR="00F6541C">
        <w:rPr>
          <w:rFonts w:eastAsia="Arial" w:cs="Arial"/>
        </w:rPr>
        <w:t xml:space="preserve"> of $</w:t>
      </w:r>
      <w:r w:rsidR="00326DA3">
        <w:rPr>
          <w:rFonts w:eastAsia="Arial" w:cs="Arial"/>
        </w:rPr>
        <w:t>2.</w:t>
      </w:r>
      <w:r w:rsidR="00864BC7">
        <w:rPr>
          <w:rFonts w:eastAsia="Arial" w:cs="Arial"/>
        </w:rPr>
        <w:t>48</w:t>
      </w:r>
      <w:r w:rsidR="00326DA3">
        <w:rPr>
          <w:rFonts w:eastAsia="Arial" w:cs="Arial"/>
        </w:rPr>
        <w:t> million</w:t>
      </w:r>
      <w:r w:rsidR="00CD7BBD">
        <w:rPr>
          <w:rFonts w:eastAsia="Arial" w:cs="Arial"/>
        </w:rPr>
        <w:t>,</w:t>
      </w:r>
      <w:r w:rsidR="00653D16">
        <w:rPr>
          <w:rFonts w:eastAsia="Arial" w:cs="Arial"/>
        </w:rPr>
        <w:t xml:space="preserve"> shown </w:t>
      </w:r>
      <w:r w:rsidR="00653D16" w:rsidRPr="00CD17B5">
        <w:rPr>
          <w:rFonts w:eastAsia="Arial" w:cs="Arial"/>
        </w:rPr>
        <w:t>in</w:t>
      </w:r>
      <w:r w:rsidR="008E4BF5">
        <w:rPr>
          <w:rFonts w:eastAsia="Arial" w:cs="Arial"/>
        </w:rPr>
        <w:t xml:space="preserve"> Table </w:t>
      </w:r>
      <w:r w:rsidR="007B339F">
        <w:rPr>
          <w:rFonts w:eastAsia="Arial" w:cs="Arial"/>
        </w:rPr>
        <w:t>28</w:t>
      </w:r>
      <w:r w:rsidR="5C081B4B" w:rsidRPr="00CD17B5">
        <w:rPr>
          <w:rFonts w:eastAsia="Arial" w:cs="Arial"/>
        </w:rPr>
        <w:t xml:space="preserve">. </w:t>
      </w:r>
    </w:p>
    <w:p w14:paraId="5CFB2792" w14:textId="77777777" w:rsidR="006C700E" w:rsidRDefault="006C700E" w:rsidP="006C700E">
      <w:pPr>
        <w:pStyle w:val="BodyText"/>
        <w:ind w:left="360"/>
        <w:rPr>
          <w:rFonts w:eastAsia="Arial" w:cs="Arial"/>
        </w:rPr>
      </w:pPr>
    </w:p>
    <w:p w14:paraId="77FCE175" w14:textId="70F5FCC7" w:rsidR="002534E2" w:rsidRPr="007B339F" w:rsidRDefault="007B339F" w:rsidP="007B339F">
      <w:pPr>
        <w:pStyle w:val="NormalIndent"/>
        <w:ind w:left="0"/>
        <w:rPr>
          <w:rFonts w:ascii="Arial" w:hAnsi="Arial" w:cs="Arial"/>
          <w:b/>
          <w:i/>
        </w:rPr>
      </w:pPr>
      <w:r w:rsidRPr="00CE6C4E">
        <w:rPr>
          <w:b/>
          <w:i/>
        </w:rPr>
        <w:t xml:space="preserve">Table </w:t>
      </w:r>
      <w:r w:rsidR="00E0331E" w:rsidRPr="00CE6C4E">
        <w:rPr>
          <w:b/>
          <w:bCs/>
          <w:i/>
          <w:iCs/>
        </w:rPr>
        <w:fldChar w:fldCharType="begin"/>
      </w:r>
      <w:r w:rsidR="00E0331E" w:rsidRPr="00CE6C4E">
        <w:rPr>
          <w:b/>
          <w:bCs/>
          <w:i/>
          <w:iCs/>
        </w:rPr>
        <w:instrText>SEQ Table \* ARABIC</w:instrText>
      </w:r>
      <w:r w:rsidR="00E0331E" w:rsidRPr="00CE6C4E">
        <w:rPr>
          <w:b/>
          <w:bCs/>
          <w:i/>
          <w:iCs/>
        </w:rPr>
        <w:fldChar w:fldCharType="separate"/>
      </w:r>
      <w:r w:rsidR="00E0331E">
        <w:rPr>
          <w:b/>
          <w:bCs/>
          <w:i/>
          <w:iCs/>
          <w:noProof/>
        </w:rPr>
        <w:t>28</w:t>
      </w:r>
      <w:r w:rsidR="00E0331E" w:rsidRPr="00CE6C4E">
        <w:rPr>
          <w:b/>
          <w:bCs/>
          <w:i/>
          <w:iCs/>
        </w:rPr>
        <w:fldChar w:fldCharType="end"/>
      </w:r>
      <w:r w:rsidRPr="007B339F">
        <w:rPr>
          <w:rFonts w:ascii="Arial" w:hAnsi="Arial" w:cs="Arial"/>
          <w:b/>
          <w:i/>
        </w:rPr>
        <w:t>:</w:t>
      </w:r>
      <w:r>
        <w:rPr>
          <w:rFonts w:ascii="Arial" w:hAnsi="Arial" w:cs="Arial"/>
          <w:b/>
          <w:i/>
        </w:rPr>
        <w:t xml:space="preserve"> </w:t>
      </w:r>
      <w:r w:rsidR="005101A5" w:rsidRPr="006C700E">
        <w:rPr>
          <w:rFonts w:cstheme="minorHAnsi"/>
          <w:b/>
          <w:i/>
          <w:iCs/>
        </w:rPr>
        <w:t xml:space="preserve">Calculation of baseline operating expenditure </w:t>
      </w:r>
      <w:r w:rsidR="00B93CF6" w:rsidRPr="006D1620">
        <w:rPr>
          <w:rFonts w:cs="Arial"/>
          <w:b/>
          <w:i/>
        </w:rPr>
        <w:t>(</w:t>
      </w:r>
      <w:r w:rsidR="00B93CF6">
        <w:rPr>
          <w:rFonts w:cs="Arial"/>
          <w:b/>
          <w:i/>
        </w:rPr>
        <w:t>$</w:t>
      </w:r>
      <w:r w:rsidR="005101A5" w:rsidRPr="006C700E">
        <w:rPr>
          <w:rFonts w:cstheme="minorHAnsi"/>
          <w:b/>
          <w:i/>
          <w:iCs/>
        </w:rPr>
        <w:t>million 2022</w:t>
      </w:r>
      <w:r w:rsidR="00310E2A" w:rsidRPr="006C700E">
        <w:rPr>
          <w:rFonts w:cstheme="minorHAnsi"/>
          <w:b/>
          <w:i/>
          <w:iCs/>
        </w:rPr>
        <w:t>–</w:t>
      </w:r>
      <w:r w:rsidR="005101A5" w:rsidRPr="006C700E">
        <w:rPr>
          <w:rFonts w:cstheme="minorHAnsi"/>
          <w:b/>
          <w:i/>
          <w:iCs/>
        </w:rPr>
        <w:t>23)</w:t>
      </w:r>
    </w:p>
    <w:tbl>
      <w:tblPr>
        <w:tblStyle w:val="MJTableStyle1default"/>
        <w:tblW w:w="9356" w:type="dxa"/>
        <w:tblInd w:w="0" w:type="dxa"/>
        <w:tblBorders>
          <w:top w:val="single" w:sz="4" w:space="0" w:color="002279"/>
          <w:left w:val="single" w:sz="4" w:space="0" w:color="002279"/>
          <w:bottom w:val="single" w:sz="4" w:space="0" w:color="002279"/>
          <w:right w:val="single" w:sz="4" w:space="0" w:color="002279"/>
          <w:insideH w:val="single" w:sz="2" w:space="0" w:color="002279"/>
          <w:insideV w:val="single" w:sz="4" w:space="0" w:color="002279"/>
        </w:tblBorders>
        <w:tblLayout w:type="fixed"/>
        <w:tblLook w:val="04A0" w:firstRow="1" w:lastRow="0" w:firstColumn="1" w:lastColumn="0" w:noHBand="0" w:noVBand="1"/>
      </w:tblPr>
      <w:tblGrid>
        <w:gridCol w:w="7371"/>
        <w:gridCol w:w="1985"/>
      </w:tblGrid>
      <w:tr w:rsidR="000A26F1" w:rsidRPr="000E24E9" w14:paraId="1B290A79" w14:textId="77777777" w:rsidTr="003F1732">
        <w:trPr>
          <w:cnfStyle w:val="100000000000" w:firstRow="1" w:lastRow="0" w:firstColumn="0" w:lastColumn="0" w:oddVBand="0" w:evenVBand="0" w:oddHBand="0" w:evenHBand="0" w:firstRowFirstColumn="0" w:firstRowLastColumn="0" w:lastRowFirstColumn="0" w:lastRowLastColumn="0"/>
          <w:trHeight w:val="578"/>
        </w:trPr>
        <w:tc>
          <w:tcPr>
            <w:tcW w:w="9356" w:type="dxa"/>
            <w:gridSpan w:val="2"/>
            <w:shd w:val="clear" w:color="auto" w:fill="002279"/>
            <w:noWrap/>
            <w:vAlign w:val="center"/>
          </w:tcPr>
          <w:p w14:paraId="3F61849B" w14:textId="2DA75DF7" w:rsidR="000A26F1" w:rsidRPr="00482F57" w:rsidRDefault="000A26F1" w:rsidP="00733CC4">
            <w:pPr>
              <w:spacing w:before="40" w:after="40" w:line="259" w:lineRule="auto"/>
              <w:ind w:left="113"/>
              <w:rPr>
                <w:rFonts w:asciiTheme="minorHAnsi" w:hAnsiTheme="minorHAnsi" w:cstheme="minorHAnsi"/>
                <w:b/>
              </w:rPr>
            </w:pPr>
            <w:r w:rsidRPr="00116E55">
              <w:rPr>
                <w:rFonts w:asciiTheme="minorHAnsi" w:hAnsiTheme="minorHAnsi" w:cstheme="minorHAnsi"/>
                <w:b/>
                <w:bdr w:val="single" w:sz="2" w:space="0" w:color="002279"/>
              </w:rPr>
              <w:t xml:space="preserve">Calculation of baseline operating expenditure $ million </w:t>
            </w:r>
            <w:r w:rsidR="007C6E74" w:rsidRPr="00116E55">
              <w:rPr>
                <w:rFonts w:asciiTheme="minorHAnsi" w:hAnsiTheme="minorHAnsi" w:cstheme="minorHAnsi"/>
                <w:b/>
                <w:bdr w:val="single" w:sz="2" w:space="0" w:color="002279"/>
              </w:rPr>
              <w:t>(2022</w:t>
            </w:r>
            <w:r w:rsidR="00310E2A" w:rsidRPr="00116E55">
              <w:rPr>
                <w:rFonts w:asciiTheme="minorHAnsi" w:hAnsiTheme="minorHAnsi" w:cstheme="minorHAnsi"/>
                <w:b/>
                <w:bdr w:val="single" w:sz="2" w:space="0" w:color="002279"/>
              </w:rPr>
              <w:t>–</w:t>
            </w:r>
            <w:r w:rsidR="007C6E74" w:rsidRPr="00116E55">
              <w:rPr>
                <w:rFonts w:asciiTheme="minorHAnsi" w:hAnsiTheme="minorHAnsi" w:cstheme="minorHAnsi"/>
                <w:b/>
                <w:bdr w:val="single" w:sz="2" w:space="0" w:color="002279"/>
              </w:rPr>
              <w:t>23)</w:t>
            </w:r>
          </w:p>
        </w:tc>
      </w:tr>
      <w:tr w:rsidR="000A26F1" w:rsidRPr="000E24E9" w14:paraId="51E7CAA1" w14:textId="77777777" w:rsidTr="003F1732">
        <w:trPr>
          <w:cnfStyle w:val="000000100000" w:firstRow="0" w:lastRow="0" w:firstColumn="0" w:lastColumn="0" w:oddVBand="0" w:evenVBand="0" w:oddHBand="1" w:evenHBand="0" w:firstRowFirstColumn="0" w:firstRowLastColumn="0" w:lastRowFirstColumn="0" w:lastRowLastColumn="0"/>
          <w:trHeight w:val="397"/>
        </w:trPr>
        <w:tc>
          <w:tcPr>
            <w:tcW w:w="7371" w:type="dxa"/>
            <w:shd w:val="clear" w:color="auto" w:fill="D4D6DF"/>
            <w:noWrap/>
            <w:vAlign w:val="center"/>
          </w:tcPr>
          <w:p w14:paraId="10838778" w14:textId="77777777" w:rsidR="000A26F1" w:rsidRPr="00D67886" w:rsidRDefault="000A26F1" w:rsidP="00525D8C">
            <w:pPr>
              <w:spacing w:before="40" w:after="40" w:line="259" w:lineRule="auto"/>
              <w:rPr>
                <w:rFonts w:cstheme="minorHAnsi"/>
                <w:b/>
              </w:rPr>
            </w:pPr>
            <w:r w:rsidRPr="00D67886">
              <w:rPr>
                <w:rFonts w:cstheme="minorHAnsi"/>
                <w:b/>
              </w:rPr>
              <w:t>Baseline operating expenditure</w:t>
            </w:r>
          </w:p>
        </w:tc>
        <w:tc>
          <w:tcPr>
            <w:tcW w:w="1985" w:type="dxa"/>
            <w:shd w:val="clear" w:color="auto" w:fill="D4D6DF"/>
            <w:vAlign w:val="center"/>
          </w:tcPr>
          <w:p w14:paraId="20F0D353" w14:textId="0F4ED6D0" w:rsidR="000A26F1" w:rsidRPr="00A8238B" w:rsidRDefault="00254628" w:rsidP="00525D8C">
            <w:pPr>
              <w:spacing w:before="40" w:after="40" w:line="259" w:lineRule="auto"/>
              <w:jc w:val="right"/>
              <w:rPr>
                <w:rFonts w:cstheme="minorHAnsi"/>
                <w:b/>
              </w:rPr>
            </w:pPr>
            <w:r w:rsidRPr="008A2C08">
              <w:rPr>
                <w:rFonts w:cstheme="minorHAnsi"/>
                <w:b/>
              </w:rPr>
              <w:t>728.</w:t>
            </w:r>
            <w:r w:rsidR="00A505DA" w:rsidRPr="008A2C08">
              <w:rPr>
                <w:rFonts w:cstheme="minorHAnsi"/>
                <w:b/>
              </w:rPr>
              <w:t>80</w:t>
            </w:r>
          </w:p>
        </w:tc>
      </w:tr>
      <w:tr w:rsidR="000A26F1" w:rsidRPr="000E24E9" w14:paraId="14B4F8BF" w14:textId="77777777" w:rsidTr="003F1732">
        <w:trPr>
          <w:cnfStyle w:val="000000010000" w:firstRow="0" w:lastRow="0" w:firstColumn="0" w:lastColumn="0" w:oddVBand="0" w:evenVBand="0" w:oddHBand="0" w:evenHBand="1" w:firstRowFirstColumn="0" w:firstRowLastColumn="0" w:lastRowFirstColumn="0" w:lastRowLastColumn="0"/>
          <w:trHeight w:val="397"/>
        </w:trPr>
        <w:tc>
          <w:tcPr>
            <w:tcW w:w="7371" w:type="dxa"/>
            <w:shd w:val="clear" w:color="auto" w:fill="FFFFFF" w:themeFill="background1"/>
            <w:noWrap/>
            <w:vAlign w:val="center"/>
          </w:tcPr>
          <w:p w14:paraId="44555429" w14:textId="77777777" w:rsidR="000A26F1" w:rsidRPr="00A8238B" w:rsidRDefault="000A26F1" w:rsidP="00525D8C">
            <w:pPr>
              <w:spacing w:before="40" w:after="40" w:line="259" w:lineRule="auto"/>
              <w:rPr>
                <w:rFonts w:cstheme="minorHAnsi"/>
                <w:b/>
              </w:rPr>
            </w:pPr>
            <w:r w:rsidRPr="00A8238B">
              <w:rPr>
                <w:rFonts w:cstheme="minorHAnsi"/>
                <w:b/>
              </w:rPr>
              <w:t>Less non-controllable expenditure items</w:t>
            </w:r>
          </w:p>
        </w:tc>
        <w:tc>
          <w:tcPr>
            <w:tcW w:w="1985" w:type="dxa"/>
            <w:shd w:val="clear" w:color="auto" w:fill="FFFFFF" w:themeFill="background1"/>
            <w:vAlign w:val="center"/>
          </w:tcPr>
          <w:p w14:paraId="188A8249" w14:textId="61EAC40F" w:rsidR="000A26F1" w:rsidRDefault="00A505DA" w:rsidP="00525D8C">
            <w:pPr>
              <w:spacing w:before="40" w:after="40" w:line="259" w:lineRule="auto"/>
              <w:jc w:val="right"/>
              <w:rPr>
                <w:rFonts w:cstheme="minorHAnsi"/>
              </w:rPr>
            </w:pPr>
            <w:r>
              <w:rPr>
                <w:rStyle w:val="normaltextrun"/>
                <w:rFonts w:ascii="Arial" w:hAnsi="Arial" w:cs="Arial"/>
              </w:rPr>
              <w:t> </w:t>
            </w:r>
          </w:p>
        </w:tc>
      </w:tr>
      <w:tr w:rsidR="000A26F1" w:rsidRPr="000E24E9" w14:paraId="11BDA21F" w14:textId="77777777" w:rsidTr="003F1732">
        <w:trPr>
          <w:cnfStyle w:val="000000100000" w:firstRow="0" w:lastRow="0" w:firstColumn="0" w:lastColumn="0" w:oddVBand="0" w:evenVBand="0" w:oddHBand="1" w:evenHBand="0" w:firstRowFirstColumn="0" w:firstRowLastColumn="0" w:lastRowFirstColumn="0" w:lastRowLastColumn="0"/>
          <w:trHeight w:val="397"/>
        </w:trPr>
        <w:tc>
          <w:tcPr>
            <w:tcW w:w="7371" w:type="dxa"/>
            <w:shd w:val="clear" w:color="auto" w:fill="D4D6DF"/>
            <w:noWrap/>
            <w:vAlign w:val="center"/>
          </w:tcPr>
          <w:p w14:paraId="7DB78323" w14:textId="77777777" w:rsidR="000A26F1" w:rsidRDefault="000A26F1" w:rsidP="00525D8C">
            <w:pPr>
              <w:spacing w:before="40" w:after="40" w:line="259" w:lineRule="auto"/>
              <w:rPr>
                <w:rFonts w:cstheme="minorHAnsi"/>
              </w:rPr>
            </w:pPr>
            <w:r>
              <w:rPr>
                <w:rFonts w:cstheme="minorHAnsi"/>
              </w:rPr>
              <w:t>External bulk water charges</w:t>
            </w:r>
          </w:p>
        </w:tc>
        <w:tc>
          <w:tcPr>
            <w:tcW w:w="1985" w:type="dxa"/>
            <w:shd w:val="clear" w:color="auto" w:fill="D4D6DF"/>
            <w:vAlign w:val="center"/>
          </w:tcPr>
          <w:p w14:paraId="042EC80F" w14:textId="0822FAEF" w:rsidR="000A26F1" w:rsidRDefault="00254628" w:rsidP="00525D8C">
            <w:pPr>
              <w:spacing w:before="40" w:after="40" w:line="259" w:lineRule="auto"/>
              <w:jc w:val="right"/>
              <w:rPr>
                <w:rFonts w:cstheme="minorHAnsi"/>
              </w:rPr>
            </w:pPr>
            <w:r w:rsidRPr="008A2C08">
              <w:rPr>
                <w:rStyle w:val="normaltextrun"/>
                <w:rFonts w:cstheme="minorHAnsi"/>
              </w:rPr>
              <w:t>535.</w:t>
            </w:r>
            <w:r w:rsidR="00A505DA" w:rsidRPr="008A2C08">
              <w:rPr>
                <w:rStyle w:val="normaltextrun"/>
                <w:rFonts w:cstheme="minorHAnsi"/>
              </w:rPr>
              <w:t>00</w:t>
            </w:r>
          </w:p>
        </w:tc>
      </w:tr>
      <w:tr w:rsidR="000A26F1" w:rsidRPr="000E24E9" w14:paraId="59DF7DB2" w14:textId="77777777" w:rsidTr="003F1732">
        <w:trPr>
          <w:cnfStyle w:val="000000010000" w:firstRow="0" w:lastRow="0" w:firstColumn="0" w:lastColumn="0" w:oddVBand="0" w:evenVBand="0" w:oddHBand="0" w:evenHBand="1" w:firstRowFirstColumn="0" w:firstRowLastColumn="0" w:lastRowFirstColumn="0" w:lastRowLastColumn="0"/>
          <w:trHeight w:val="397"/>
        </w:trPr>
        <w:tc>
          <w:tcPr>
            <w:tcW w:w="7371" w:type="dxa"/>
            <w:shd w:val="clear" w:color="auto" w:fill="FFFFFF" w:themeFill="background1"/>
            <w:noWrap/>
            <w:vAlign w:val="center"/>
          </w:tcPr>
          <w:p w14:paraId="33013B5B" w14:textId="77777777" w:rsidR="000A26F1" w:rsidRDefault="000A26F1" w:rsidP="00525D8C">
            <w:pPr>
              <w:spacing w:before="40" w:after="40" w:line="259" w:lineRule="auto"/>
              <w:rPr>
                <w:rFonts w:cstheme="minorHAnsi"/>
              </w:rPr>
            </w:pPr>
            <w:r>
              <w:rPr>
                <w:rFonts w:cstheme="minorHAnsi"/>
              </w:rPr>
              <w:t>Licence fees</w:t>
            </w:r>
          </w:p>
        </w:tc>
        <w:tc>
          <w:tcPr>
            <w:tcW w:w="1985" w:type="dxa"/>
            <w:shd w:val="clear" w:color="auto" w:fill="FFFFFF" w:themeFill="background1"/>
            <w:vAlign w:val="center"/>
          </w:tcPr>
          <w:p w14:paraId="514EDF75" w14:textId="38A15B4F" w:rsidR="000A26F1" w:rsidRDefault="000A26F1" w:rsidP="00525D8C">
            <w:pPr>
              <w:spacing w:before="40" w:after="40" w:line="259" w:lineRule="auto"/>
              <w:jc w:val="right"/>
              <w:rPr>
                <w:rFonts w:cstheme="minorHAnsi"/>
              </w:rPr>
            </w:pPr>
            <w:r w:rsidRPr="008A2C08">
              <w:rPr>
                <w:rStyle w:val="normaltextrun"/>
                <w:rFonts w:cstheme="minorHAnsi"/>
              </w:rPr>
              <w:t>1.</w:t>
            </w:r>
            <w:r w:rsidR="00A505DA" w:rsidRPr="008A2C08">
              <w:rPr>
                <w:rStyle w:val="normaltextrun"/>
                <w:rFonts w:cstheme="minorHAnsi"/>
              </w:rPr>
              <w:t>24</w:t>
            </w:r>
          </w:p>
        </w:tc>
      </w:tr>
      <w:tr w:rsidR="000A26F1" w:rsidRPr="000E24E9" w14:paraId="7620C85D" w14:textId="77777777" w:rsidTr="003F1732">
        <w:trPr>
          <w:cnfStyle w:val="000000100000" w:firstRow="0" w:lastRow="0" w:firstColumn="0" w:lastColumn="0" w:oddVBand="0" w:evenVBand="0" w:oddHBand="1" w:evenHBand="0" w:firstRowFirstColumn="0" w:firstRowLastColumn="0" w:lastRowFirstColumn="0" w:lastRowLastColumn="0"/>
          <w:trHeight w:val="397"/>
        </w:trPr>
        <w:tc>
          <w:tcPr>
            <w:tcW w:w="7371" w:type="dxa"/>
            <w:shd w:val="clear" w:color="auto" w:fill="D4D6DF"/>
            <w:noWrap/>
            <w:vAlign w:val="center"/>
          </w:tcPr>
          <w:p w14:paraId="6DE5E89B" w14:textId="77777777" w:rsidR="000A26F1" w:rsidRDefault="000A26F1" w:rsidP="00525D8C">
            <w:pPr>
              <w:spacing w:before="40" w:after="40" w:line="259" w:lineRule="auto"/>
              <w:rPr>
                <w:rFonts w:cstheme="minorHAnsi"/>
              </w:rPr>
            </w:pPr>
            <w:r>
              <w:rPr>
                <w:rFonts w:cstheme="minorHAnsi"/>
              </w:rPr>
              <w:t>Environmental contributions</w:t>
            </w:r>
          </w:p>
        </w:tc>
        <w:tc>
          <w:tcPr>
            <w:tcW w:w="1985" w:type="dxa"/>
            <w:shd w:val="clear" w:color="auto" w:fill="D4D6DF"/>
            <w:vAlign w:val="center"/>
          </w:tcPr>
          <w:p w14:paraId="2819856F" w14:textId="232A0961" w:rsidR="000A26F1" w:rsidRDefault="000A26F1" w:rsidP="00525D8C">
            <w:pPr>
              <w:spacing w:before="40" w:after="40" w:line="259" w:lineRule="auto"/>
              <w:jc w:val="right"/>
              <w:rPr>
                <w:rFonts w:cstheme="minorHAnsi"/>
              </w:rPr>
            </w:pPr>
            <w:r w:rsidRPr="008A2C08">
              <w:rPr>
                <w:rStyle w:val="normaltextrun"/>
                <w:rFonts w:cstheme="minorHAnsi"/>
              </w:rPr>
              <w:t>45.</w:t>
            </w:r>
            <w:r w:rsidR="00A505DA" w:rsidRPr="008A2C08">
              <w:rPr>
                <w:rStyle w:val="normaltextrun"/>
                <w:rFonts w:cstheme="minorHAnsi"/>
              </w:rPr>
              <w:t>67</w:t>
            </w:r>
          </w:p>
        </w:tc>
      </w:tr>
      <w:tr w:rsidR="000A26F1" w:rsidRPr="000E24E9" w14:paraId="03A9C030" w14:textId="77777777" w:rsidTr="003F1732">
        <w:trPr>
          <w:cnfStyle w:val="000000010000" w:firstRow="0" w:lastRow="0" w:firstColumn="0" w:lastColumn="0" w:oddVBand="0" w:evenVBand="0" w:oddHBand="0" w:evenHBand="1" w:firstRowFirstColumn="0" w:firstRowLastColumn="0" w:lastRowFirstColumn="0" w:lastRowLastColumn="0"/>
          <w:trHeight w:val="397"/>
        </w:trPr>
        <w:tc>
          <w:tcPr>
            <w:tcW w:w="7371" w:type="dxa"/>
            <w:shd w:val="clear" w:color="auto" w:fill="FFFFFF" w:themeFill="background1"/>
            <w:noWrap/>
            <w:vAlign w:val="center"/>
          </w:tcPr>
          <w:p w14:paraId="62B39E34" w14:textId="77777777" w:rsidR="000A26F1" w:rsidRDefault="000A26F1" w:rsidP="00525D8C">
            <w:pPr>
              <w:spacing w:before="40" w:after="40" w:line="259" w:lineRule="auto"/>
              <w:rPr>
                <w:rFonts w:cstheme="minorHAnsi"/>
              </w:rPr>
            </w:pPr>
            <w:r>
              <w:rPr>
                <w:rFonts w:cstheme="minorHAnsi"/>
              </w:rPr>
              <w:t>Other non-controllable</w:t>
            </w:r>
          </w:p>
        </w:tc>
        <w:tc>
          <w:tcPr>
            <w:tcW w:w="1985" w:type="dxa"/>
            <w:shd w:val="clear" w:color="auto" w:fill="FFFFFF" w:themeFill="background1"/>
            <w:vAlign w:val="center"/>
          </w:tcPr>
          <w:p w14:paraId="1FC92C00" w14:textId="4283E316" w:rsidR="000A26F1" w:rsidRDefault="00D62ED7" w:rsidP="00525D8C">
            <w:pPr>
              <w:spacing w:before="40" w:after="40" w:line="259" w:lineRule="auto"/>
              <w:jc w:val="right"/>
              <w:rPr>
                <w:rFonts w:cstheme="minorHAnsi"/>
              </w:rPr>
            </w:pPr>
            <w:r>
              <w:rPr>
                <w:rStyle w:val="normaltextrun"/>
                <w:rFonts w:cstheme="minorHAnsi"/>
              </w:rPr>
              <w:t>-</w:t>
            </w:r>
          </w:p>
        </w:tc>
      </w:tr>
      <w:tr w:rsidR="000A26F1" w:rsidRPr="000E24E9" w14:paraId="329CD633" w14:textId="77777777" w:rsidTr="003F1732">
        <w:trPr>
          <w:cnfStyle w:val="000000100000" w:firstRow="0" w:lastRow="0" w:firstColumn="0" w:lastColumn="0" w:oddVBand="0" w:evenVBand="0" w:oddHBand="1" w:evenHBand="0" w:firstRowFirstColumn="0" w:firstRowLastColumn="0" w:lastRowFirstColumn="0" w:lastRowLastColumn="0"/>
          <w:trHeight w:val="397"/>
        </w:trPr>
        <w:tc>
          <w:tcPr>
            <w:tcW w:w="7371" w:type="dxa"/>
            <w:shd w:val="clear" w:color="auto" w:fill="D4D6DF"/>
            <w:noWrap/>
            <w:vAlign w:val="center"/>
          </w:tcPr>
          <w:p w14:paraId="223EB028" w14:textId="0EA163AF" w:rsidR="000A26F1" w:rsidRPr="00B06177" w:rsidRDefault="000A26F1" w:rsidP="00525D8C">
            <w:pPr>
              <w:spacing w:before="40" w:after="40" w:line="259" w:lineRule="auto"/>
              <w:rPr>
                <w:rFonts w:cstheme="minorHAnsi"/>
                <w:b/>
              </w:rPr>
            </w:pPr>
            <w:r w:rsidRPr="00B06177">
              <w:rPr>
                <w:rFonts w:cstheme="minorHAnsi"/>
                <w:b/>
              </w:rPr>
              <w:t xml:space="preserve">Plus adjustment (as per operating expenditure items for adjustment </w:t>
            </w:r>
            <w:r w:rsidR="008E4BF5">
              <w:rPr>
                <w:rFonts w:cstheme="minorHAnsi"/>
                <w:b/>
              </w:rPr>
              <w:t>T</w:t>
            </w:r>
            <w:r w:rsidRPr="00B06177">
              <w:rPr>
                <w:rFonts w:cstheme="minorHAnsi"/>
                <w:b/>
              </w:rPr>
              <w:t>able)</w:t>
            </w:r>
          </w:p>
        </w:tc>
        <w:tc>
          <w:tcPr>
            <w:tcW w:w="1985" w:type="dxa"/>
            <w:shd w:val="clear" w:color="auto" w:fill="D4D6DF"/>
            <w:vAlign w:val="center"/>
          </w:tcPr>
          <w:p w14:paraId="59F8A348" w14:textId="123672CE" w:rsidR="000A26F1" w:rsidRPr="00AA3218" w:rsidRDefault="000A26F1" w:rsidP="00525D8C">
            <w:pPr>
              <w:spacing w:before="40" w:after="40" w:line="259" w:lineRule="auto"/>
              <w:jc w:val="right"/>
              <w:rPr>
                <w:rFonts w:cstheme="minorHAnsi"/>
              </w:rPr>
            </w:pPr>
            <w:r w:rsidRPr="008A2C08">
              <w:rPr>
                <w:rStyle w:val="normaltextrun"/>
                <w:rFonts w:cstheme="minorHAnsi"/>
              </w:rPr>
              <w:t>-2.</w:t>
            </w:r>
            <w:r w:rsidR="00A505DA" w:rsidRPr="008A2C08">
              <w:rPr>
                <w:rStyle w:val="normaltextrun"/>
                <w:rFonts w:cstheme="minorHAnsi"/>
              </w:rPr>
              <w:t>48</w:t>
            </w:r>
          </w:p>
        </w:tc>
      </w:tr>
      <w:tr w:rsidR="000A26F1" w:rsidRPr="000E24E9" w14:paraId="7F6DAD9A" w14:textId="77777777" w:rsidTr="003F1732">
        <w:trPr>
          <w:cnfStyle w:val="000000010000" w:firstRow="0" w:lastRow="0" w:firstColumn="0" w:lastColumn="0" w:oddVBand="0" w:evenVBand="0" w:oddHBand="0" w:evenHBand="1" w:firstRowFirstColumn="0" w:firstRowLastColumn="0" w:lastRowFirstColumn="0" w:lastRowLastColumn="0"/>
          <w:trHeight w:val="397"/>
        </w:trPr>
        <w:tc>
          <w:tcPr>
            <w:tcW w:w="7371" w:type="dxa"/>
            <w:shd w:val="clear" w:color="auto" w:fill="FFFFFF" w:themeFill="background1"/>
            <w:noWrap/>
            <w:vAlign w:val="center"/>
          </w:tcPr>
          <w:p w14:paraId="45D24296" w14:textId="77777777" w:rsidR="000A26F1" w:rsidRPr="00B06177" w:rsidRDefault="000A26F1" w:rsidP="00525D8C">
            <w:pPr>
              <w:spacing w:before="40" w:after="40" w:line="259" w:lineRule="auto"/>
              <w:rPr>
                <w:rFonts w:cstheme="minorHAnsi"/>
                <w:b/>
              </w:rPr>
            </w:pPr>
            <w:r w:rsidRPr="00B06177">
              <w:rPr>
                <w:rFonts w:cstheme="minorHAnsi"/>
                <w:b/>
              </w:rPr>
              <w:t>Adjusted baseline operating expenditure</w:t>
            </w:r>
          </w:p>
        </w:tc>
        <w:tc>
          <w:tcPr>
            <w:tcW w:w="1985" w:type="dxa"/>
            <w:shd w:val="clear" w:color="auto" w:fill="FFFFFF" w:themeFill="background1"/>
            <w:vAlign w:val="center"/>
          </w:tcPr>
          <w:p w14:paraId="2E514916" w14:textId="022890B5" w:rsidR="000A26F1" w:rsidRPr="00B06177" w:rsidRDefault="000A26F1" w:rsidP="00525D8C">
            <w:pPr>
              <w:spacing w:before="40" w:after="40" w:line="259" w:lineRule="auto"/>
              <w:jc w:val="right"/>
              <w:rPr>
                <w:rFonts w:cstheme="minorHAnsi"/>
                <w:b/>
              </w:rPr>
            </w:pPr>
            <w:r w:rsidRPr="008A2C08">
              <w:rPr>
                <w:rStyle w:val="normaltextrun"/>
                <w:rFonts w:cstheme="minorHAnsi"/>
                <w:b/>
              </w:rPr>
              <w:t>144.</w:t>
            </w:r>
            <w:r w:rsidR="00A505DA" w:rsidRPr="008A2C08">
              <w:rPr>
                <w:rStyle w:val="normaltextrun"/>
                <w:rFonts w:cstheme="minorHAnsi"/>
                <w:b/>
              </w:rPr>
              <w:t>41</w:t>
            </w:r>
          </w:p>
        </w:tc>
      </w:tr>
    </w:tbl>
    <w:p w14:paraId="2DA9DA44" w14:textId="62EB50D3" w:rsidR="000A26F1" w:rsidRDefault="000A26F1" w:rsidP="000A26F1">
      <w:pPr>
        <w:rPr>
          <w:rFonts w:eastAsia="Arial" w:cs="Arial"/>
        </w:rPr>
      </w:pPr>
    </w:p>
    <w:p w14:paraId="52450027" w14:textId="59EBEA12" w:rsidR="00B03719" w:rsidRPr="0094606D" w:rsidRDefault="0094606D" w:rsidP="0094606D">
      <w:pPr>
        <w:pStyle w:val="NormalIndent"/>
        <w:ind w:left="0"/>
        <w:rPr>
          <w:rFonts w:ascii="Arial" w:hAnsi="Arial" w:cs="Arial"/>
          <w:b/>
          <w:i/>
        </w:rPr>
      </w:pPr>
      <w:r w:rsidRPr="00CE6C4E">
        <w:rPr>
          <w:b/>
          <w:i/>
        </w:rPr>
        <w:lastRenderedPageBreak/>
        <w:t xml:space="preserve">Table </w:t>
      </w:r>
      <w:r w:rsidR="002128BB" w:rsidRPr="00CE6C4E">
        <w:rPr>
          <w:b/>
          <w:bCs/>
          <w:i/>
          <w:iCs/>
        </w:rPr>
        <w:fldChar w:fldCharType="begin"/>
      </w:r>
      <w:r w:rsidR="002128BB" w:rsidRPr="00CE6C4E">
        <w:rPr>
          <w:b/>
          <w:bCs/>
          <w:i/>
          <w:iCs/>
        </w:rPr>
        <w:instrText>SEQ Table \* ARABIC</w:instrText>
      </w:r>
      <w:r w:rsidR="002128BB" w:rsidRPr="00CE6C4E">
        <w:rPr>
          <w:b/>
          <w:bCs/>
          <w:i/>
          <w:iCs/>
        </w:rPr>
        <w:fldChar w:fldCharType="separate"/>
      </w:r>
      <w:r w:rsidR="002128BB">
        <w:rPr>
          <w:b/>
          <w:bCs/>
          <w:i/>
          <w:iCs/>
          <w:noProof/>
        </w:rPr>
        <w:t>29</w:t>
      </w:r>
      <w:r w:rsidR="002128BB" w:rsidRPr="00CE6C4E">
        <w:rPr>
          <w:b/>
          <w:bCs/>
          <w:i/>
          <w:iCs/>
        </w:rPr>
        <w:fldChar w:fldCharType="end"/>
      </w:r>
      <w:r w:rsidRPr="007B339F">
        <w:rPr>
          <w:rFonts w:ascii="Arial" w:hAnsi="Arial" w:cs="Arial"/>
          <w:b/>
          <w:i/>
        </w:rPr>
        <w:t>:</w:t>
      </w:r>
      <w:r>
        <w:rPr>
          <w:rFonts w:ascii="Arial" w:hAnsi="Arial" w:cs="Arial"/>
          <w:b/>
          <w:i/>
        </w:rPr>
        <w:t xml:space="preserve"> </w:t>
      </w:r>
      <w:r w:rsidR="00B03719" w:rsidRPr="006C700E">
        <w:rPr>
          <w:rFonts w:cstheme="minorHAnsi"/>
          <w:b/>
          <w:i/>
          <w:iCs/>
        </w:rPr>
        <w:t>Baseline ope</w:t>
      </w:r>
      <w:r w:rsidR="000D0E27" w:rsidRPr="006C700E">
        <w:rPr>
          <w:rFonts w:cstheme="minorHAnsi"/>
          <w:b/>
          <w:i/>
          <w:iCs/>
        </w:rPr>
        <w:t xml:space="preserve">rating expenditure </w:t>
      </w:r>
      <w:r w:rsidR="00B03719" w:rsidRPr="006C700E">
        <w:rPr>
          <w:rFonts w:cstheme="minorHAnsi"/>
          <w:b/>
          <w:i/>
          <w:iCs/>
        </w:rPr>
        <w:t xml:space="preserve">adjustment </w:t>
      </w:r>
      <w:r w:rsidR="00B93CF6">
        <w:rPr>
          <w:rFonts w:cstheme="minorHAnsi"/>
          <w:b/>
          <w:i/>
          <w:iCs/>
        </w:rPr>
        <w:t>for</w:t>
      </w:r>
      <w:r w:rsidR="00B03719" w:rsidRPr="006C700E">
        <w:rPr>
          <w:rFonts w:cstheme="minorHAnsi"/>
          <w:b/>
          <w:i/>
          <w:iCs/>
        </w:rPr>
        <w:t xml:space="preserve"> 2021</w:t>
      </w:r>
      <w:r w:rsidR="00310E2A" w:rsidRPr="006C700E">
        <w:rPr>
          <w:rFonts w:cstheme="minorHAnsi"/>
          <w:b/>
          <w:i/>
          <w:iCs/>
        </w:rPr>
        <w:t>–</w:t>
      </w:r>
      <w:r w:rsidR="00B03719" w:rsidRPr="006C700E">
        <w:rPr>
          <w:rFonts w:cstheme="minorHAnsi"/>
          <w:b/>
          <w:i/>
          <w:iCs/>
        </w:rPr>
        <w:t xml:space="preserve">22 </w:t>
      </w:r>
      <w:r w:rsidR="00B93CF6" w:rsidRPr="006D1620">
        <w:rPr>
          <w:rFonts w:cs="Arial"/>
          <w:b/>
          <w:i/>
        </w:rPr>
        <w:t>(</w:t>
      </w:r>
      <w:r w:rsidR="00B93CF6">
        <w:rPr>
          <w:rFonts w:cs="Arial"/>
          <w:b/>
          <w:i/>
        </w:rPr>
        <w:t>$</w:t>
      </w:r>
      <w:r w:rsidR="00B03719" w:rsidRPr="006C700E">
        <w:rPr>
          <w:rFonts w:cstheme="minorHAnsi"/>
          <w:b/>
          <w:i/>
          <w:iCs/>
        </w:rPr>
        <w:t>million 2022</w:t>
      </w:r>
      <w:r w:rsidR="00310E2A" w:rsidRPr="006C700E">
        <w:rPr>
          <w:rFonts w:cstheme="minorHAnsi"/>
          <w:b/>
          <w:i/>
          <w:iCs/>
        </w:rPr>
        <w:t>–</w:t>
      </w:r>
      <w:r w:rsidR="00B03719" w:rsidRPr="006C700E">
        <w:rPr>
          <w:rFonts w:cstheme="minorHAnsi"/>
          <w:b/>
          <w:i/>
          <w:iCs/>
        </w:rPr>
        <w:t>23)</w:t>
      </w:r>
    </w:p>
    <w:tbl>
      <w:tblPr>
        <w:tblStyle w:val="MJTableStyle1default"/>
        <w:tblW w:w="9214" w:type="dxa"/>
        <w:tblInd w:w="0" w:type="dxa"/>
        <w:tblLayout w:type="fixed"/>
        <w:tblLook w:val="04A0" w:firstRow="1" w:lastRow="0" w:firstColumn="1" w:lastColumn="0" w:noHBand="0" w:noVBand="1"/>
      </w:tblPr>
      <w:tblGrid>
        <w:gridCol w:w="1842"/>
        <w:gridCol w:w="5530"/>
        <w:gridCol w:w="1842"/>
      </w:tblGrid>
      <w:tr w:rsidR="00457A42" w:rsidRPr="000E24E9" w14:paraId="361BAA3C" w14:textId="77777777" w:rsidTr="003F1732">
        <w:trPr>
          <w:cnfStyle w:val="100000000000" w:firstRow="1" w:lastRow="0" w:firstColumn="0" w:lastColumn="0" w:oddVBand="0" w:evenVBand="0" w:oddHBand="0" w:evenHBand="0" w:firstRowFirstColumn="0" w:firstRowLastColumn="0" w:lastRowFirstColumn="0" w:lastRowLastColumn="0"/>
          <w:trHeight w:val="922"/>
        </w:trPr>
        <w:tc>
          <w:tcPr>
            <w:tcW w:w="1843" w:type="dxa"/>
            <w:tcBorders>
              <w:top w:val="single" w:sz="4" w:space="0" w:color="002279"/>
              <w:left w:val="single" w:sz="4" w:space="0" w:color="002279"/>
              <w:bottom w:val="single" w:sz="2" w:space="0" w:color="002279"/>
              <w:right w:val="single" w:sz="4" w:space="0" w:color="FFFFFF" w:themeColor="background1"/>
            </w:tcBorders>
            <w:shd w:val="clear" w:color="auto" w:fill="002279"/>
            <w:noWrap/>
            <w:vAlign w:val="center"/>
            <w:hideMark/>
          </w:tcPr>
          <w:p w14:paraId="58E876CF" w14:textId="77777777" w:rsidR="00457A42" w:rsidRPr="00116E55" w:rsidRDefault="00457A42" w:rsidP="00116E55">
            <w:pPr>
              <w:spacing w:before="40" w:after="40" w:line="259" w:lineRule="auto"/>
              <w:rPr>
                <w:rFonts w:asciiTheme="minorHAnsi" w:hAnsiTheme="minorHAnsi" w:cstheme="minorHAnsi"/>
                <w:b/>
              </w:rPr>
            </w:pPr>
            <w:r w:rsidRPr="00116E55">
              <w:rPr>
                <w:rFonts w:asciiTheme="minorHAnsi" w:hAnsiTheme="minorHAnsi" w:cstheme="minorHAnsi"/>
                <w:b/>
              </w:rPr>
              <w:t>Item</w:t>
            </w:r>
          </w:p>
        </w:tc>
        <w:tc>
          <w:tcPr>
            <w:tcW w:w="5528"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noWrap/>
            <w:vAlign w:val="center"/>
            <w:hideMark/>
          </w:tcPr>
          <w:p w14:paraId="6922D3BD" w14:textId="77777777" w:rsidR="00457A42" w:rsidRPr="00116E55" w:rsidRDefault="00457A42" w:rsidP="00116E55">
            <w:pPr>
              <w:spacing w:before="40" w:after="40" w:line="259" w:lineRule="auto"/>
              <w:rPr>
                <w:rFonts w:asciiTheme="minorHAnsi" w:hAnsiTheme="minorHAnsi" w:cstheme="minorHAnsi"/>
                <w:b/>
              </w:rPr>
            </w:pPr>
            <w:r w:rsidRPr="00116E55">
              <w:rPr>
                <w:rFonts w:asciiTheme="minorHAnsi" w:hAnsiTheme="minorHAnsi" w:cstheme="minorHAnsi"/>
                <w:b/>
              </w:rPr>
              <w:t>Description</w:t>
            </w:r>
          </w:p>
        </w:tc>
        <w:tc>
          <w:tcPr>
            <w:tcW w:w="1843" w:type="dxa"/>
            <w:tcBorders>
              <w:top w:val="single" w:sz="4" w:space="0" w:color="002279"/>
              <w:left w:val="single" w:sz="4" w:space="0" w:color="FFFFFF" w:themeColor="background1"/>
              <w:bottom w:val="single" w:sz="2" w:space="0" w:color="002279"/>
              <w:right w:val="single" w:sz="4" w:space="0" w:color="002279"/>
            </w:tcBorders>
            <w:shd w:val="clear" w:color="auto" w:fill="002279"/>
            <w:noWrap/>
            <w:vAlign w:val="center"/>
            <w:hideMark/>
          </w:tcPr>
          <w:p w14:paraId="7821F31E" w14:textId="6294083B" w:rsidR="00457A42" w:rsidRPr="00116E55" w:rsidRDefault="00457A42" w:rsidP="00C324D4">
            <w:pPr>
              <w:spacing w:before="40" w:after="40" w:line="259" w:lineRule="auto"/>
              <w:jc w:val="center"/>
              <w:rPr>
                <w:rFonts w:asciiTheme="minorHAnsi" w:hAnsiTheme="minorHAnsi" w:cstheme="minorHAnsi"/>
                <w:b/>
              </w:rPr>
            </w:pPr>
            <w:r w:rsidRPr="00116E55">
              <w:rPr>
                <w:rFonts w:asciiTheme="minorHAnsi" w:hAnsiTheme="minorHAnsi" w:cstheme="minorHAnsi"/>
                <w:b/>
              </w:rPr>
              <w:t xml:space="preserve">Adjustment to </w:t>
            </w:r>
            <w:r w:rsidR="00525D8C">
              <w:rPr>
                <w:rFonts w:asciiTheme="minorHAnsi" w:hAnsiTheme="minorHAnsi" w:cstheme="minorHAnsi"/>
                <w:b/>
              </w:rPr>
              <w:br/>
            </w:r>
            <w:r w:rsidRPr="00116E55">
              <w:rPr>
                <w:rFonts w:asciiTheme="minorHAnsi" w:hAnsiTheme="minorHAnsi" w:cstheme="minorHAnsi"/>
                <w:b/>
              </w:rPr>
              <w:t xml:space="preserve">the baseline </w:t>
            </w:r>
            <w:r w:rsidR="00525D8C">
              <w:rPr>
                <w:rFonts w:asciiTheme="minorHAnsi" w:hAnsiTheme="minorHAnsi" w:cstheme="minorHAnsi"/>
                <w:b/>
              </w:rPr>
              <w:br/>
            </w:r>
            <w:r w:rsidRPr="00116E55">
              <w:rPr>
                <w:rFonts w:asciiTheme="minorHAnsi" w:hAnsiTheme="minorHAnsi" w:cstheme="minorHAnsi"/>
                <w:b/>
              </w:rPr>
              <w:t>year ($m)</w:t>
            </w:r>
          </w:p>
        </w:tc>
      </w:tr>
      <w:tr w:rsidR="00457A42" w:rsidRPr="000E24E9" w14:paraId="20D21475" w14:textId="77777777" w:rsidTr="003F1732">
        <w:trPr>
          <w:cnfStyle w:val="000000100000" w:firstRow="0" w:lastRow="0" w:firstColumn="0" w:lastColumn="0" w:oddVBand="0" w:evenVBand="0" w:oddHBand="1" w:evenHBand="0" w:firstRowFirstColumn="0" w:firstRowLastColumn="0" w:lastRowFirstColumn="0" w:lastRowLastColumn="0"/>
          <w:trHeight w:val="20"/>
        </w:trPr>
        <w:tc>
          <w:tcPr>
            <w:tcW w:w="1843" w:type="dxa"/>
            <w:tcBorders>
              <w:top w:val="single" w:sz="2" w:space="0" w:color="002279"/>
              <w:left w:val="single" w:sz="4" w:space="0" w:color="002279"/>
              <w:bottom w:val="single" w:sz="2" w:space="0" w:color="002279"/>
              <w:right w:val="single" w:sz="4" w:space="0" w:color="002279"/>
            </w:tcBorders>
            <w:shd w:val="clear" w:color="auto" w:fill="D4D6DF"/>
            <w:noWrap/>
            <w:vAlign w:val="center"/>
          </w:tcPr>
          <w:p w14:paraId="5E5E92AB" w14:textId="1042D04C" w:rsidR="00457A42" w:rsidRPr="00360131" w:rsidRDefault="00B60352" w:rsidP="00525D8C">
            <w:pPr>
              <w:spacing w:before="40" w:after="40" w:line="259" w:lineRule="auto"/>
              <w:rPr>
                <w:rFonts w:cstheme="minorHAnsi"/>
                <w:b/>
                <w:bCs/>
              </w:rPr>
            </w:pPr>
            <w:r w:rsidRPr="00360131">
              <w:rPr>
                <w:rFonts w:cstheme="minorHAnsi"/>
                <w:b/>
                <w:bCs/>
              </w:rPr>
              <w:t xml:space="preserve">Customer </w:t>
            </w:r>
            <w:r w:rsidR="007C5FA0" w:rsidRPr="00360131">
              <w:rPr>
                <w:rFonts w:cstheme="minorHAnsi"/>
                <w:b/>
                <w:bCs/>
              </w:rPr>
              <w:t>e</w:t>
            </w:r>
            <w:r w:rsidRPr="00360131">
              <w:rPr>
                <w:rFonts w:cstheme="minorHAnsi"/>
                <w:b/>
                <w:bCs/>
              </w:rPr>
              <w:t xml:space="preserve">ngagement and </w:t>
            </w:r>
            <w:r w:rsidR="00AE3309" w:rsidRPr="00360131">
              <w:rPr>
                <w:rFonts w:cstheme="minorHAnsi"/>
                <w:b/>
                <w:bCs/>
              </w:rPr>
              <w:t>external advi</w:t>
            </w:r>
            <w:r w:rsidR="001F2346" w:rsidRPr="00360131">
              <w:rPr>
                <w:rFonts w:cstheme="minorHAnsi"/>
                <w:b/>
                <w:bCs/>
              </w:rPr>
              <w:t>c</w:t>
            </w:r>
            <w:r w:rsidR="00AE3309" w:rsidRPr="00360131">
              <w:rPr>
                <w:rFonts w:cstheme="minorHAnsi"/>
                <w:b/>
                <w:bCs/>
              </w:rPr>
              <w:t>e</w:t>
            </w:r>
          </w:p>
        </w:tc>
        <w:tc>
          <w:tcPr>
            <w:tcW w:w="5528"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6D2D7FE9" w14:textId="0D70F426" w:rsidR="00457A42" w:rsidRPr="006138B5" w:rsidRDefault="00BA6A2C" w:rsidP="00525D8C">
            <w:pPr>
              <w:spacing w:before="40" w:after="40" w:line="259" w:lineRule="auto"/>
              <w:rPr>
                <w:rFonts w:cstheme="minorHAnsi"/>
              </w:rPr>
            </w:pPr>
            <w:r w:rsidRPr="006138B5">
              <w:rPr>
                <w:rFonts w:cstheme="minorHAnsi"/>
              </w:rPr>
              <w:t>Ongoing engagement with continued customer check</w:t>
            </w:r>
            <w:r w:rsidR="00DB06D4" w:rsidRPr="006138B5">
              <w:rPr>
                <w:rFonts w:cstheme="minorHAnsi"/>
              </w:rPr>
              <w:t>-</w:t>
            </w:r>
            <w:r w:rsidRPr="006138B5">
              <w:rPr>
                <w:rFonts w:cstheme="minorHAnsi"/>
              </w:rPr>
              <w:t xml:space="preserve">in will occur </w:t>
            </w:r>
            <w:r w:rsidR="00F8750C" w:rsidRPr="006138B5">
              <w:rPr>
                <w:rFonts w:cstheme="minorHAnsi"/>
              </w:rPr>
              <w:t>during</w:t>
            </w:r>
            <w:r w:rsidRPr="006138B5">
              <w:rPr>
                <w:rFonts w:cstheme="minorHAnsi"/>
              </w:rPr>
              <w:t xml:space="preserve"> the regulatory period</w:t>
            </w:r>
            <w:r w:rsidR="00F8750C" w:rsidRPr="006138B5">
              <w:rPr>
                <w:rFonts w:cstheme="minorHAnsi"/>
              </w:rPr>
              <w:t>. This adjustment relates to the costs associated with</w:t>
            </w:r>
            <w:r w:rsidR="009771F6" w:rsidRPr="006138B5">
              <w:rPr>
                <w:rFonts w:cstheme="minorHAnsi"/>
              </w:rPr>
              <w:t xml:space="preserve"> </w:t>
            </w:r>
            <w:r w:rsidR="002A24D7" w:rsidRPr="006138B5">
              <w:rPr>
                <w:rFonts w:cstheme="minorHAnsi"/>
              </w:rPr>
              <w:t>p</w:t>
            </w:r>
            <w:r w:rsidR="009771F6" w:rsidRPr="006138B5">
              <w:rPr>
                <w:rFonts w:cstheme="minorHAnsi"/>
              </w:rPr>
              <w:t xml:space="preserve">rice </w:t>
            </w:r>
            <w:r w:rsidR="002A24D7" w:rsidRPr="006138B5">
              <w:rPr>
                <w:rFonts w:cstheme="minorHAnsi"/>
              </w:rPr>
              <w:t>s</w:t>
            </w:r>
            <w:r w:rsidR="009771F6" w:rsidRPr="006138B5">
              <w:rPr>
                <w:rFonts w:cstheme="minorHAnsi"/>
              </w:rPr>
              <w:t>ubmission research</w:t>
            </w:r>
            <w:r w:rsidR="00B06DFC" w:rsidRPr="006138B5">
              <w:rPr>
                <w:rFonts w:cstheme="minorHAnsi"/>
              </w:rPr>
              <w:t xml:space="preserve"> and external advice.</w:t>
            </w:r>
          </w:p>
        </w:tc>
        <w:tc>
          <w:tcPr>
            <w:tcW w:w="1843"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05910D07" w14:textId="792D847C" w:rsidR="00457A42" w:rsidRPr="006138B5" w:rsidRDefault="00B06DFC" w:rsidP="00C324D4">
            <w:pPr>
              <w:spacing w:before="40" w:after="40" w:line="259" w:lineRule="auto"/>
              <w:jc w:val="center"/>
              <w:rPr>
                <w:rFonts w:cstheme="minorHAnsi"/>
              </w:rPr>
            </w:pPr>
            <w:r w:rsidRPr="008A2C08">
              <w:rPr>
                <w:rStyle w:val="normaltextrun"/>
                <w:rFonts w:cstheme="minorHAnsi"/>
              </w:rPr>
              <w:t>-1.</w:t>
            </w:r>
            <w:r w:rsidR="008A2C08" w:rsidRPr="008A2C08">
              <w:rPr>
                <w:rStyle w:val="normaltextrun"/>
                <w:rFonts w:cstheme="minorHAnsi"/>
              </w:rPr>
              <w:t>26</w:t>
            </w:r>
          </w:p>
        </w:tc>
      </w:tr>
      <w:tr w:rsidR="00672A74" w:rsidRPr="000E24E9" w14:paraId="467FB184" w14:textId="77777777" w:rsidTr="003F1732">
        <w:trPr>
          <w:cnfStyle w:val="000000010000" w:firstRow="0" w:lastRow="0" w:firstColumn="0" w:lastColumn="0" w:oddVBand="0" w:evenVBand="0" w:oddHBand="0" w:evenHBand="1" w:firstRowFirstColumn="0" w:firstRowLastColumn="0" w:lastRowFirstColumn="0" w:lastRowLastColumn="0"/>
          <w:trHeight w:val="20"/>
        </w:trPr>
        <w:tc>
          <w:tcPr>
            <w:tcW w:w="1843" w:type="dxa"/>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tcPr>
          <w:p w14:paraId="3A758271" w14:textId="389047E3" w:rsidR="00F068EC" w:rsidRPr="00360131" w:rsidRDefault="00F068EC" w:rsidP="00525D8C">
            <w:pPr>
              <w:spacing w:before="40" w:after="40" w:line="259" w:lineRule="auto"/>
              <w:rPr>
                <w:rFonts w:cstheme="minorHAnsi"/>
                <w:b/>
                <w:bCs/>
              </w:rPr>
            </w:pPr>
            <w:r w:rsidRPr="00360131">
              <w:rPr>
                <w:rFonts w:cstheme="minorHAnsi"/>
                <w:b/>
                <w:bCs/>
              </w:rPr>
              <w:t>Urban water strategy</w:t>
            </w:r>
            <w:r w:rsidRPr="00360131">
              <w:rPr>
                <w:rFonts w:cstheme="minorHAnsi"/>
                <w:b/>
                <w:bCs/>
                <w:i/>
                <w:iCs/>
              </w:rPr>
              <w:t xml:space="preserve"> </w:t>
            </w:r>
          </w:p>
        </w:tc>
        <w:tc>
          <w:tcPr>
            <w:tcW w:w="5528" w:type="dxa"/>
            <w:tcBorders>
              <w:top w:val="single" w:sz="2" w:space="0" w:color="002279"/>
              <w:left w:val="single" w:sz="4" w:space="0" w:color="002279"/>
              <w:bottom w:val="single" w:sz="2" w:space="0" w:color="002279"/>
              <w:right w:val="single" w:sz="4" w:space="0" w:color="002279"/>
            </w:tcBorders>
            <w:shd w:val="clear" w:color="auto" w:fill="FFFFFF" w:themeFill="background1"/>
            <w:vAlign w:val="center"/>
          </w:tcPr>
          <w:p w14:paraId="491A05E3" w14:textId="32A51511" w:rsidR="00672A74" w:rsidRPr="006138B5" w:rsidRDefault="003C643E" w:rsidP="00525D8C">
            <w:pPr>
              <w:spacing w:before="40" w:after="40" w:line="259" w:lineRule="auto"/>
              <w:rPr>
                <w:rFonts w:cstheme="minorHAnsi"/>
              </w:rPr>
            </w:pPr>
            <w:r w:rsidRPr="006138B5">
              <w:rPr>
                <w:rFonts w:cstheme="minorHAnsi"/>
              </w:rPr>
              <w:t>During 2021</w:t>
            </w:r>
            <w:r w:rsidR="00310E2A" w:rsidRPr="006138B5">
              <w:rPr>
                <w:rFonts w:cstheme="minorHAnsi"/>
              </w:rPr>
              <w:t>–</w:t>
            </w:r>
            <w:r w:rsidRPr="006138B5">
              <w:rPr>
                <w:rFonts w:cstheme="minorHAnsi"/>
              </w:rPr>
              <w:t>22</w:t>
            </w:r>
            <w:r w:rsidR="0085578C" w:rsidRPr="006138B5">
              <w:rPr>
                <w:rFonts w:cstheme="minorHAnsi"/>
              </w:rPr>
              <w:t>,</w:t>
            </w:r>
            <w:r w:rsidRPr="006138B5">
              <w:rPr>
                <w:rFonts w:cstheme="minorHAnsi"/>
              </w:rPr>
              <w:t xml:space="preserve"> </w:t>
            </w:r>
            <w:r w:rsidR="00867F13" w:rsidRPr="006138B5">
              <w:rPr>
                <w:rFonts w:cstheme="minorHAnsi"/>
              </w:rPr>
              <w:t>the urban water strategy</w:t>
            </w:r>
            <w:r w:rsidR="0085578C" w:rsidRPr="006138B5">
              <w:rPr>
                <w:rFonts w:cstheme="minorHAnsi"/>
              </w:rPr>
              <w:t xml:space="preserve">, </w:t>
            </w:r>
            <w:r w:rsidR="0085578C" w:rsidRPr="006138B5">
              <w:rPr>
                <w:rFonts w:cstheme="minorHAnsi"/>
                <w:i/>
              </w:rPr>
              <w:t>Water for Life</w:t>
            </w:r>
            <w:r w:rsidR="0085578C" w:rsidRPr="006138B5">
              <w:rPr>
                <w:rFonts w:cstheme="minorHAnsi"/>
              </w:rPr>
              <w:t>,</w:t>
            </w:r>
            <w:r w:rsidR="00867F13" w:rsidRPr="006138B5">
              <w:rPr>
                <w:rFonts w:cstheme="minorHAnsi"/>
              </w:rPr>
              <w:t xml:space="preserve"> was </w:t>
            </w:r>
            <w:r w:rsidR="000D2120" w:rsidRPr="006138B5">
              <w:rPr>
                <w:rFonts w:cstheme="minorHAnsi"/>
              </w:rPr>
              <w:t>develope</w:t>
            </w:r>
            <w:r w:rsidR="003C4632" w:rsidRPr="006138B5">
              <w:rPr>
                <w:rFonts w:cstheme="minorHAnsi"/>
              </w:rPr>
              <w:t>d. The expenditure for this has been removed as this st</w:t>
            </w:r>
            <w:r w:rsidR="00C91F84" w:rsidRPr="006138B5">
              <w:rPr>
                <w:rFonts w:cstheme="minorHAnsi"/>
              </w:rPr>
              <w:t xml:space="preserve">rategy will last </w:t>
            </w:r>
            <w:r w:rsidR="0085578C" w:rsidRPr="006138B5">
              <w:rPr>
                <w:rFonts w:cstheme="minorHAnsi"/>
              </w:rPr>
              <w:t>5</w:t>
            </w:r>
            <w:r w:rsidR="00C91F84" w:rsidRPr="006138B5">
              <w:rPr>
                <w:rFonts w:cstheme="minorHAnsi"/>
              </w:rPr>
              <w:t xml:space="preserve"> years.</w:t>
            </w:r>
          </w:p>
        </w:tc>
        <w:tc>
          <w:tcPr>
            <w:tcW w:w="1843" w:type="dxa"/>
            <w:tcBorders>
              <w:top w:val="single" w:sz="2" w:space="0" w:color="002279"/>
              <w:left w:val="single" w:sz="4" w:space="0" w:color="002279"/>
              <w:bottom w:val="single" w:sz="2" w:space="0" w:color="002279"/>
              <w:right w:val="single" w:sz="4" w:space="0" w:color="002279"/>
            </w:tcBorders>
            <w:shd w:val="clear" w:color="auto" w:fill="FFFFFF" w:themeFill="background1"/>
            <w:vAlign w:val="center"/>
          </w:tcPr>
          <w:p w14:paraId="0660B155" w14:textId="6240868D" w:rsidR="00672A74" w:rsidRPr="006138B5" w:rsidRDefault="00C91F84" w:rsidP="00C324D4">
            <w:pPr>
              <w:spacing w:before="40" w:after="40" w:line="259" w:lineRule="auto"/>
              <w:jc w:val="center"/>
              <w:rPr>
                <w:rFonts w:cstheme="minorHAnsi"/>
              </w:rPr>
            </w:pPr>
            <w:r w:rsidRPr="008A2C08">
              <w:rPr>
                <w:rStyle w:val="normaltextrun"/>
                <w:rFonts w:cstheme="minorHAnsi"/>
              </w:rPr>
              <w:t>-</w:t>
            </w:r>
            <w:r w:rsidR="007D2788" w:rsidRPr="008A2C08">
              <w:rPr>
                <w:rStyle w:val="normaltextrun"/>
                <w:rFonts w:cstheme="minorHAnsi"/>
              </w:rPr>
              <w:t>0.</w:t>
            </w:r>
            <w:r w:rsidR="008A2C08" w:rsidRPr="008A2C08">
              <w:rPr>
                <w:rStyle w:val="normaltextrun"/>
                <w:rFonts w:cstheme="minorHAnsi"/>
              </w:rPr>
              <w:t>35</w:t>
            </w:r>
          </w:p>
        </w:tc>
      </w:tr>
      <w:tr w:rsidR="007D2788" w:rsidRPr="000E24E9" w14:paraId="4C542EE3" w14:textId="77777777" w:rsidTr="003F1732">
        <w:trPr>
          <w:cnfStyle w:val="000000100000" w:firstRow="0" w:lastRow="0" w:firstColumn="0" w:lastColumn="0" w:oddVBand="0" w:evenVBand="0" w:oddHBand="1" w:evenHBand="0" w:firstRowFirstColumn="0" w:firstRowLastColumn="0" w:lastRowFirstColumn="0" w:lastRowLastColumn="0"/>
          <w:trHeight w:val="20"/>
        </w:trPr>
        <w:tc>
          <w:tcPr>
            <w:tcW w:w="1843" w:type="dxa"/>
            <w:tcBorders>
              <w:top w:val="single" w:sz="2" w:space="0" w:color="002279"/>
              <w:left w:val="single" w:sz="4" w:space="0" w:color="002279"/>
              <w:bottom w:val="single" w:sz="2" w:space="0" w:color="002279"/>
              <w:right w:val="single" w:sz="4" w:space="0" w:color="002279"/>
            </w:tcBorders>
            <w:shd w:val="clear" w:color="auto" w:fill="D4D6DF"/>
            <w:noWrap/>
            <w:vAlign w:val="center"/>
          </w:tcPr>
          <w:p w14:paraId="2D1DA3EA" w14:textId="0225F171" w:rsidR="007D2788" w:rsidRPr="00360131" w:rsidRDefault="007D4A66" w:rsidP="00525D8C">
            <w:pPr>
              <w:spacing w:before="40" w:after="40" w:line="259" w:lineRule="auto"/>
              <w:rPr>
                <w:rFonts w:cstheme="minorHAnsi"/>
                <w:b/>
                <w:bCs/>
              </w:rPr>
            </w:pPr>
            <w:r w:rsidRPr="00360131">
              <w:rPr>
                <w:rFonts w:cstheme="minorHAnsi"/>
                <w:b/>
                <w:bCs/>
              </w:rPr>
              <w:t xml:space="preserve">Job </w:t>
            </w:r>
            <w:r w:rsidR="00501F74" w:rsidRPr="00360131">
              <w:rPr>
                <w:rFonts w:cstheme="minorHAnsi"/>
                <w:b/>
                <w:bCs/>
              </w:rPr>
              <w:t>v</w:t>
            </w:r>
            <w:r w:rsidRPr="00360131">
              <w:rPr>
                <w:rFonts w:cstheme="minorHAnsi"/>
                <w:b/>
                <w:bCs/>
              </w:rPr>
              <w:t>olumes FY</w:t>
            </w:r>
            <w:r w:rsidR="005E2722" w:rsidRPr="00360131">
              <w:rPr>
                <w:rFonts w:cstheme="minorHAnsi"/>
                <w:b/>
                <w:bCs/>
              </w:rPr>
              <w:t>21</w:t>
            </w:r>
            <w:r w:rsidR="00310E2A" w:rsidRPr="00360131">
              <w:rPr>
                <w:rFonts w:cstheme="minorHAnsi"/>
                <w:b/>
                <w:bCs/>
              </w:rPr>
              <w:t>–</w:t>
            </w:r>
            <w:r w:rsidR="005E2722" w:rsidRPr="00360131">
              <w:rPr>
                <w:rFonts w:cstheme="minorHAnsi"/>
                <w:b/>
                <w:bCs/>
              </w:rPr>
              <w:t>22</w:t>
            </w:r>
          </w:p>
        </w:tc>
        <w:tc>
          <w:tcPr>
            <w:tcW w:w="5528"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65261721" w14:textId="131E0E31" w:rsidR="007D2788" w:rsidRPr="006138B5" w:rsidRDefault="005E2722" w:rsidP="00525D8C">
            <w:pPr>
              <w:spacing w:before="40" w:after="40" w:line="259" w:lineRule="auto"/>
              <w:rPr>
                <w:rFonts w:cstheme="minorHAnsi"/>
              </w:rPr>
            </w:pPr>
            <w:r w:rsidRPr="006138B5">
              <w:rPr>
                <w:rFonts w:cstheme="minorHAnsi"/>
              </w:rPr>
              <w:t xml:space="preserve">The </w:t>
            </w:r>
            <w:r w:rsidR="00C56B32" w:rsidRPr="006138B5">
              <w:rPr>
                <w:rFonts w:cstheme="minorHAnsi"/>
              </w:rPr>
              <w:t>2021</w:t>
            </w:r>
            <w:r w:rsidR="00310E2A" w:rsidRPr="006138B5">
              <w:rPr>
                <w:rFonts w:cstheme="minorHAnsi"/>
              </w:rPr>
              <w:t>–</w:t>
            </w:r>
            <w:r w:rsidR="00C56B32" w:rsidRPr="006138B5">
              <w:rPr>
                <w:rFonts w:cstheme="minorHAnsi"/>
              </w:rPr>
              <w:t xml:space="preserve">22 year </w:t>
            </w:r>
            <w:r w:rsidR="00A0512F" w:rsidRPr="006138B5">
              <w:rPr>
                <w:rFonts w:cstheme="minorHAnsi"/>
              </w:rPr>
              <w:t>had a</w:t>
            </w:r>
            <w:r w:rsidR="00CE43E6" w:rsidRPr="006138B5">
              <w:rPr>
                <w:rFonts w:cstheme="minorHAnsi"/>
              </w:rPr>
              <w:t xml:space="preserve"> La</w:t>
            </w:r>
            <w:r w:rsidR="00256E72">
              <w:rPr>
                <w:rFonts w:cstheme="minorHAnsi"/>
              </w:rPr>
              <w:t xml:space="preserve"> Ni</w:t>
            </w:r>
            <w:r w:rsidR="00256E72" w:rsidRPr="00256E72">
              <w:rPr>
                <w:rFonts w:cstheme="minorHAnsi"/>
              </w:rPr>
              <w:t>ñ</w:t>
            </w:r>
            <w:r w:rsidR="00256E72">
              <w:rPr>
                <w:rFonts w:cstheme="minorHAnsi"/>
              </w:rPr>
              <w:t>a</w:t>
            </w:r>
            <w:r w:rsidR="00F61D92" w:rsidRPr="006138B5">
              <w:rPr>
                <w:rFonts w:cstheme="minorHAnsi"/>
              </w:rPr>
              <w:t xml:space="preserve"> weather pattern</w:t>
            </w:r>
            <w:r w:rsidR="0085578C" w:rsidRPr="006138B5">
              <w:rPr>
                <w:rFonts w:cstheme="minorHAnsi"/>
              </w:rPr>
              <w:t>,</w:t>
            </w:r>
            <w:r w:rsidR="00F61D92" w:rsidRPr="006138B5">
              <w:rPr>
                <w:rFonts w:cstheme="minorHAnsi"/>
              </w:rPr>
              <w:t xml:space="preserve"> </w:t>
            </w:r>
            <w:r w:rsidR="00A0512F" w:rsidRPr="006138B5">
              <w:rPr>
                <w:rFonts w:cstheme="minorHAnsi"/>
              </w:rPr>
              <w:t xml:space="preserve">which </w:t>
            </w:r>
            <w:r w:rsidR="00F61D92" w:rsidRPr="006138B5">
              <w:rPr>
                <w:rFonts w:cstheme="minorHAnsi"/>
              </w:rPr>
              <w:t>impact</w:t>
            </w:r>
            <w:r w:rsidR="006111B5" w:rsidRPr="006138B5">
              <w:rPr>
                <w:rFonts w:cstheme="minorHAnsi"/>
              </w:rPr>
              <w:t>ed</w:t>
            </w:r>
            <w:r w:rsidR="00F61D92" w:rsidRPr="006138B5">
              <w:rPr>
                <w:rFonts w:cstheme="minorHAnsi"/>
              </w:rPr>
              <w:t xml:space="preserve"> activity levels. </w:t>
            </w:r>
            <w:r w:rsidR="007A0277" w:rsidRPr="006138B5">
              <w:rPr>
                <w:rFonts w:cstheme="minorHAnsi"/>
              </w:rPr>
              <w:t>This</w:t>
            </w:r>
            <w:r w:rsidR="00F61D92" w:rsidRPr="006138B5">
              <w:rPr>
                <w:rFonts w:cstheme="minorHAnsi"/>
              </w:rPr>
              <w:t xml:space="preserve"> adjustment </w:t>
            </w:r>
            <w:r w:rsidR="006111B5" w:rsidRPr="006138B5">
              <w:rPr>
                <w:rFonts w:cstheme="minorHAnsi"/>
              </w:rPr>
              <w:t>aligns</w:t>
            </w:r>
            <w:r w:rsidR="00F61D92" w:rsidRPr="006138B5">
              <w:rPr>
                <w:rFonts w:cstheme="minorHAnsi"/>
              </w:rPr>
              <w:t xml:space="preserve"> job volumes </w:t>
            </w:r>
            <w:r w:rsidR="006111B5" w:rsidRPr="006138B5">
              <w:rPr>
                <w:rFonts w:cstheme="minorHAnsi"/>
              </w:rPr>
              <w:t>to a</w:t>
            </w:r>
            <w:r w:rsidR="00F61D92" w:rsidRPr="006138B5">
              <w:rPr>
                <w:rFonts w:cstheme="minorHAnsi"/>
              </w:rPr>
              <w:t xml:space="preserve"> </w:t>
            </w:r>
            <w:r w:rsidR="0085578C" w:rsidRPr="006138B5">
              <w:rPr>
                <w:rFonts w:cstheme="minorHAnsi"/>
              </w:rPr>
              <w:t>3-</w:t>
            </w:r>
            <w:r w:rsidR="00F61D92" w:rsidRPr="006138B5">
              <w:rPr>
                <w:rFonts w:cstheme="minorHAnsi"/>
              </w:rPr>
              <w:t xml:space="preserve">year </w:t>
            </w:r>
            <w:r w:rsidR="005100E4" w:rsidRPr="006138B5">
              <w:rPr>
                <w:rFonts w:cstheme="minorHAnsi"/>
              </w:rPr>
              <w:t>average</w:t>
            </w:r>
            <w:r w:rsidR="00F61D92" w:rsidRPr="006138B5">
              <w:rPr>
                <w:rFonts w:cstheme="minorHAnsi"/>
              </w:rPr>
              <w:t xml:space="preserve"> o</w:t>
            </w:r>
            <w:r w:rsidR="003F6ED0" w:rsidRPr="006138B5">
              <w:rPr>
                <w:rFonts w:cstheme="minorHAnsi"/>
              </w:rPr>
              <w:t>r neutral weather pattern.</w:t>
            </w:r>
            <w:r w:rsidR="00F61D92" w:rsidRPr="006138B5">
              <w:rPr>
                <w:rFonts w:cstheme="minorHAnsi"/>
              </w:rPr>
              <w:t xml:space="preserve"> </w:t>
            </w:r>
          </w:p>
        </w:tc>
        <w:tc>
          <w:tcPr>
            <w:tcW w:w="1843"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01524600" w14:textId="43F50C71" w:rsidR="007D2788" w:rsidRPr="006138B5" w:rsidRDefault="0096322A" w:rsidP="00C324D4">
            <w:pPr>
              <w:spacing w:before="40" w:after="40" w:line="259" w:lineRule="auto"/>
              <w:jc w:val="center"/>
              <w:rPr>
                <w:rFonts w:cstheme="minorHAnsi"/>
              </w:rPr>
            </w:pPr>
            <w:r w:rsidRPr="008A2C08">
              <w:rPr>
                <w:rStyle w:val="normaltextrun"/>
                <w:rFonts w:cstheme="minorHAnsi"/>
              </w:rPr>
              <w:t>0</w:t>
            </w:r>
            <w:r w:rsidR="003F6ED0" w:rsidRPr="008A2C08">
              <w:rPr>
                <w:rStyle w:val="normaltextrun"/>
                <w:rFonts w:cstheme="minorHAnsi"/>
              </w:rPr>
              <w:t>.</w:t>
            </w:r>
            <w:r w:rsidR="008A2C08" w:rsidRPr="008A2C08">
              <w:rPr>
                <w:rStyle w:val="normaltextrun"/>
                <w:rFonts w:cstheme="minorHAnsi"/>
              </w:rPr>
              <w:t>62</w:t>
            </w:r>
          </w:p>
        </w:tc>
      </w:tr>
      <w:tr w:rsidR="0096322A" w:rsidRPr="000E24E9" w14:paraId="4014F4B9" w14:textId="77777777" w:rsidTr="003F1732">
        <w:trPr>
          <w:cnfStyle w:val="000000010000" w:firstRow="0" w:lastRow="0" w:firstColumn="0" w:lastColumn="0" w:oddVBand="0" w:evenVBand="0" w:oddHBand="0" w:evenHBand="1" w:firstRowFirstColumn="0" w:firstRowLastColumn="0" w:lastRowFirstColumn="0" w:lastRowLastColumn="0"/>
          <w:trHeight w:val="20"/>
        </w:trPr>
        <w:tc>
          <w:tcPr>
            <w:tcW w:w="1843" w:type="dxa"/>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tcPr>
          <w:p w14:paraId="6A56EEF5" w14:textId="62DE18B3" w:rsidR="0096322A" w:rsidRPr="00360131" w:rsidRDefault="005C2FE7" w:rsidP="00525D8C">
            <w:pPr>
              <w:spacing w:before="40" w:after="40" w:line="259" w:lineRule="auto"/>
              <w:rPr>
                <w:rFonts w:cstheme="minorHAnsi"/>
                <w:b/>
                <w:bCs/>
              </w:rPr>
            </w:pPr>
            <w:r w:rsidRPr="00360131">
              <w:rPr>
                <w:rFonts w:cstheme="minorHAnsi"/>
                <w:b/>
                <w:bCs/>
              </w:rPr>
              <w:t xml:space="preserve">Maintenance </w:t>
            </w:r>
            <w:r w:rsidR="00405D2C" w:rsidRPr="00360131">
              <w:rPr>
                <w:rFonts w:cstheme="minorHAnsi"/>
                <w:b/>
                <w:bCs/>
              </w:rPr>
              <w:t>model transition costs</w:t>
            </w:r>
          </w:p>
        </w:tc>
        <w:tc>
          <w:tcPr>
            <w:tcW w:w="5528" w:type="dxa"/>
            <w:tcBorders>
              <w:top w:val="single" w:sz="2" w:space="0" w:color="002279"/>
              <w:left w:val="single" w:sz="4" w:space="0" w:color="002279"/>
              <w:bottom w:val="single" w:sz="2" w:space="0" w:color="002279"/>
              <w:right w:val="single" w:sz="4" w:space="0" w:color="002279"/>
            </w:tcBorders>
            <w:shd w:val="clear" w:color="auto" w:fill="FFFFFF" w:themeFill="background1"/>
            <w:vAlign w:val="center"/>
          </w:tcPr>
          <w:p w14:paraId="241A11A2" w14:textId="58D85B46" w:rsidR="0096322A" w:rsidRPr="006138B5" w:rsidRDefault="00405D2C" w:rsidP="00525D8C">
            <w:pPr>
              <w:spacing w:before="40" w:after="40" w:line="259" w:lineRule="auto"/>
              <w:rPr>
                <w:rFonts w:cstheme="minorHAnsi"/>
              </w:rPr>
            </w:pPr>
            <w:r w:rsidRPr="006138B5">
              <w:rPr>
                <w:rFonts w:cstheme="minorHAnsi"/>
              </w:rPr>
              <w:t>During 2021</w:t>
            </w:r>
            <w:r w:rsidR="00310E2A" w:rsidRPr="006138B5">
              <w:rPr>
                <w:rFonts w:cstheme="minorHAnsi"/>
              </w:rPr>
              <w:t>–</w:t>
            </w:r>
            <w:r w:rsidRPr="006138B5">
              <w:rPr>
                <w:rFonts w:cstheme="minorHAnsi"/>
              </w:rPr>
              <w:t xml:space="preserve">22 the </w:t>
            </w:r>
            <w:r w:rsidR="001D632C" w:rsidRPr="006138B5">
              <w:rPr>
                <w:rFonts w:cstheme="minorHAnsi"/>
              </w:rPr>
              <w:t>organ</w:t>
            </w:r>
            <w:r w:rsidR="00B56715" w:rsidRPr="006138B5">
              <w:rPr>
                <w:rFonts w:cstheme="minorHAnsi"/>
              </w:rPr>
              <w:t xml:space="preserve">isation </w:t>
            </w:r>
            <w:r w:rsidRPr="006138B5">
              <w:rPr>
                <w:rFonts w:cstheme="minorHAnsi"/>
              </w:rPr>
              <w:t xml:space="preserve">commenced </w:t>
            </w:r>
            <w:r w:rsidR="00B56715" w:rsidRPr="006138B5">
              <w:rPr>
                <w:rFonts w:cstheme="minorHAnsi"/>
              </w:rPr>
              <w:t xml:space="preserve">its </w:t>
            </w:r>
            <w:r w:rsidRPr="006138B5">
              <w:rPr>
                <w:rFonts w:cstheme="minorHAnsi"/>
              </w:rPr>
              <w:t xml:space="preserve">transition to a new </w:t>
            </w:r>
            <w:r w:rsidR="00B56715" w:rsidRPr="006138B5">
              <w:rPr>
                <w:rFonts w:cstheme="minorHAnsi"/>
              </w:rPr>
              <w:t>o</w:t>
            </w:r>
            <w:r w:rsidR="004F34B1" w:rsidRPr="006138B5">
              <w:rPr>
                <w:rFonts w:cstheme="minorHAnsi"/>
              </w:rPr>
              <w:t xml:space="preserve">perations and </w:t>
            </w:r>
            <w:r w:rsidR="00B56715" w:rsidRPr="006138B5">
              <w:rPr>
                <w:rFonts w:cstheme="minorHAnsi"/>
              </w:rPr>
              <w:t>m</w:t>
            </w:r>
            <w:r w:rsidR="004F34B1" w:rsidRPr="006138B5">
              <w:rPr>
                <w:rFonts w:cstheme="minorHAnsi"/>
              </w:rPr>
              <w:t xml:space="preserve">aintenance </w:t>
            </w:r>
            <w:r w:rsidR="00C10C52" w:rsidRPr="006138B5">
              <w:rPr>
                <w:rFonts w:cstheme="minorHAnsi"/>
              </w:rPr>
              <w:t xml:space="preserve">delivery </w:t>
            </w:r>
            <w:r w:rsidR="004F34B1" w:rsidRPr="006138B5">
              <w:rPr>
                <w:rFonts w:cstheme="minorHAnsi"/>
              </w:rPr>
              <w:t>model</w:t>
            </w:r>
            <w:r w:rsidR="00C10C52" w:rsidRPr="006138B5">
              <w:rPr>
                <w:rFonts w:cstheme="minorHAnsi"/>
              </w:rPr>
              <w:t>. The co</w:t>
            </w:r>
            <w:r w:rsidR="00A907EA" w:rsidRPr="006138B5">
              <w:rPr>
                <w:rFonts w:cstheme="minorHAnsi"/>
              </w:rPr>
              <w:t>s</w:t>
            </w:r>
            <w:r w:rsidR="00C10C52" w:rsidRPr="006138B5">
              <w:rPr>
                <w:rFonts w:cstheme="minorHAnsi"/>
              </w:rPr>
              <w:t>ts associated with this transition have been removed from the base year expenditure.</w:t>
            </w:r>
          </w:p>
        </w:tc>
        <w:tc>
          <w:tcPr>
            <w:tcW w:w="1843" w:type="dxa"/>
            <w:tcBorders>
              <w:top w:val="single" w:sz="2" w:space="0" w:color="002279"/>
              <w:left w:val="single" w:sz="4" w:space="0" w:color="002279"/>
              <w:bottom w:val="single" w:sz="2" w:space="0" w:color="002279"/>
              <w:right w:val="single" w:sz="4" w:space="0" w:color="002279"/>
            </w:tcBorders>
            <w:shd w:val="clear" w:color="auto" w:fill="FFFFFF" w:themeFill="background1"/>
            <w:vAlign w:val="center"/>
          </w:tcPr>
          <w:p w14:paraId="17234B85" w14:textId="6076B2A7" w:rsidR="0096322A" w:rsidRPr="006138B5" w:rsidDel="0096322A" w:rsidRDefault="00C10C52" w:rsidP="00C324D4">
            <w:pPr>
              <w:spacing w:before="40" w:after="40" w:line="259" w:lineRule="auto"/>
              <w:jc w:val="center"/>
              <w:rPr>
                <w:rFonts w:cstheme="minorHAnsi"/>
              </w:rPr>
            </w:pPr>
            <w:r w:rsidRPr="008A2C08">
              <w:rPr>
                <w:rStyle w:val="normaltextrun"/>
                <w:rFonts w:cstheme="minorHAnsi"/>
              </w:rPr>
              <w:t>-1.</w:t>
            </w:r>
            <w:r w:rsidR="008A2C08" w:rsidRPr="008A2C08">
              <w:rPr>
                <w:rStyle w:val="normaltextrun"/>
                <w:rFonts w:cstheme="minorHAnsi"/>
              </w:rPr>
              <w:t>49</w:t>
            </w:r>
          </w:p>
        </w:tc>
      </w:tr>
      <w:tr w:rsidR="00D330C0" w:rsidRPr="00D330C0" w14:paraId="6516B1E6" w14:textId="77777777" w:rsidTr="00A670F6">
        <w:trPr>
          <w:cnfStyle w:val="000000100000" w:firstRow="0" w:lastRow="0" w:firstColumn="0" w:lastColumn="0" w:oddVBand="0" w:evenVBand="0" w:oddHBand="1" w:evenHBand="0" w:firstRowFirstColumn="0" w:firstRowLastColumn="0" w:lastRowFirstColumn="0" w:lastRowLastColumn="0"/>
          <w:trHeight w:val="436"/>
        </w:trPr>
        <w:tc>
          <w:tcPr>
            <w:tcW w:w="1838" w:type="dxa"/>
            <w:tcBorders>
              <w:top w:val="single" w:sz="2" w:space="0" w:color="002279"/>
              <w:left w:val="single" w:sz="4" w:space="0" w:color="002279"/>
              <w:bottom w:val="single" w:sz="4" w:space="0" w:color="002279"/>
              <w:right w:val="single" w:sz="4" w:space="0" w:color="002279"/>
            </w:tcBorders>
            <w:shd w:val="clear" w:color="auto" w:fill="D4D6DF"/>
            <w:noWrap/>
            <w:vAlign w:val="center"/>
          </w:tcPr>
          <w:p w14:paraId="2E814C37" w14:textId="6B89E929" w:rsidR="00D330C0" w:rsidRPr="006138B5" w:rsidRDefault="00D330C0" w:rsidP="00525D8C">
            <w:pPr>
              <w:spacing w:before="40" w:after="40" w:line="259" w:lineRule="auto"/>
              <w:rPr>
                <w:rFonts w:cstheme="minorHAnsi"/>
                <w:b/>
              </w:rPr>
            </w:pPr>
            <w:r w:rsidRPr="006138B5">
              <w:rPr>
                <w:rFonts w:cstheme="minorHAnsi"/>
                <w:b/>
              </w:rPr>
              <w:t>Total</w:t>
            </w:r>
          </w:p>
        </w:tc>
        <w:tc>
          <w:tcPr>
            <w:tcW w:w="5533" w:type="dxa"/>
            <w:tcBorders>
              <w:top w:val="single" w:sz="2" w:space="0" w:color="002279"/>
              <w:left w:val="single" w:sz="4" w:space="0" w:color="002279"/>
              <w:bottom w:val="single" w:sz="4" w:space="0" w:color="002279"/>
              <w:right w:val="single" w:sz="4" w:space="0" w:color="002279"/>
            </w:tcBorders>
            <w:shd w:val="clear" w:color="auto" w:fill="D4D6DF"/>
            <w:vAlign w:val="center"/>
          </w:tcPr>
          <w:p w14:paraId="315598FF" w14:textId="77777777" w:rsidR="00D330C0" w:rsidRPr="006138B5" w:rsidRDefault="00D330C0" w:rsidP="00525D8C">
            <w:pPr>
              <w:spacing w:before="40" w:after="40" w:line="259" w:lineRule="auto"/>
              <w:rPr>
                <w:rFonts w:cstheme="minorHAnsi"/>
                <w:b/>
              </w:rPr>
            </w:pPr>
          </w:p>
        </w:tc>
        <w:tc>
          <w:tcPr>
            <w:tcW w:w="1843" w:type="dxa"/>
            <w:tcBorders>
              <w:top w:val="single" w:sz="2" w:space="0" w:color="002279"/>
              <w:left w:val="single" w:sz="4" w:space="0" w:color="002279"/>
              <w:bottom w:val="single" w:sz="4" w:space="0" w:color="002279"/>
              <w:right w:val="single" w:sz="4" w:space="0" w:color="002279"/>
            </w:tcBorders>
            <w:shd w:val="clear" w:color="auto" w:fill="D4D6DF"/>
            <w:vAlign w:val="center"/>
          </w:tcPr>
          <w:p w14:paraId="3BDB3F43" w14:textId="44B08BEE" w:rsidR="00D330C0" w:rsidRPr="006138B5" w:rsidRDefault="00D70033" w:rsidP="00C324D4">
            <w:pPr>
              <w:spacing w:before="40" w:after="40" w:line="259" w:lineRule="auto"/>
              <w:jc w:val="center"/>
              <w:rPr>
                <w:rFonts w:cstheme="minorHAnsi"/>
                <w:b/>
              </w:rPr>
            </w:pPr>
            <w:r w:rsidRPr="008A2C08">
              <w:rPr>
                <w:rStyle w:val="normaltextrun"/>
                <w:rFonts w:cstheme="minorHAnsi"/>
                <w:b/>
              </w:rPr>
              <w:t>-</w:t>
            </w:r>
            <w:r w:rsidR="00D330C0" w:rsidRPr="008A2C08">
              <w:rPr>
                <w:rStyle w:val="normaltextrun"/>
                <w:rFonts w:cstheme="minorHAnsi"/>
                <w:b/>
              </w:rPr>
              <w:t>2.</w:t>
            </w:r>
            <w:r w:rsidR="008A2C08" w:rsidRPr="008A2C08">
              <w:rPr>
                <w:rStyle w:val="normaltextrun"/>
                <w:rFonts w:cstheme="minorHAnsi"/>
                <w:b/>
                <w:bCs/>
              </w:rPr>
              <w:t>48</w:t>
            </w:r>
          </w:p>
        </w:tc>
      </w:tr>
    </w:tbl>
    <w:p w14:paraId="32EAC844" w14:textId="77777777" w:rsidR="00A93FB6" w:rsidRDefault="00A93FB6" w:rsidP="2C372E13">
      <w:pPr>
        <w:rPr>
          <w:rFonts w:eastAsia="Arial" w:cs="Arial"/>
        </w:rPr>
      </w:pPr>
    </w:p>
    <w:p w14:paraId="2B21D1FB" w14:textId="4E0B39E6" w:rsidR="00F655A7" w:rsidRPr="00AA3218" w:rsidRDefault="00F655A7" w:rsidP="2C372E13">
      <w:pPr>
        <w:rPr>
          <w:rFonts w:eastAsia="Arial" w:cs="Arial"/>
        </w:rPr>
      </w:pPr>
      <w:r w:rsidRPr="00AA3218">
        <w:rPr>
          <w:rFonts w:eastAsia="Arial" w:cs="Arial"/>
        </w:rPr>
        <w:t xml:space="preserve">A review was also conducted </w:t>
      </w:r>
      <w:r>
        <w:rPr>
          <w:rFonts w:eastAsia="Arial" w:cs="Arial"/>
        </w:rPr>
        <w:t>on the FY2</w:t>
      </w:r>
      <w:r w:rsidR="00F361EC">
        <w:rPr>
          <w:rFonts w:eastAsia="Arial" w:cs="Arial"/>
        </w:rPr>
        <w:t>02</w:t>
      </w:r>
      <w:r>
        <w:rPr>
          <w:rFonts w:eastAsia="Arial" w:cs="Arial"/>
        </w:rPr>
        <w:t>1</w:t>
      </w:r>
      <w:r w:rsidR="00310E2A">
        <w:rPr>
          <w:rFonts w:eastAsia="Arial" w:cs="Arial"/>
        </w:rPr>
        <w:t>–</w:t>
      </w:r>
      <w:r>
        <w:rPr>
          <w:rFonts w:eastAsia="Arial" w:cs="Arial"/>
        </w:rPr>
        <w:t xml:space="preserve">22 actuals to determine if </w:t>
      </w:r>
      <w:r w:rsidR="009E2A88">
        <w:rPr>
          <w:rFonts w:eastAsia="Arial" w:cs="Arial"/>
        </w:rPr>
        <w:t>coronavirus (</w:t>
      </w:r>
      <w:r>
        <w:rPr>
          <w:rFonts w:eastAsia="Arial" w:cs="Arial"/>
        </w:rPr>
        <w:t>COVID-19</w:t>
      </w:r>
      <w:r w:rsidR="009E2A88">
        <w:rPr>
          <w:rFonts w:eastAsia="Arial" w:cs="Arial"/>
        </w:rPr>
        <w:t>)</w:t>
      </w:r>
      <w:r>
        <w:rPr>
          <w:rFonts w:eastAsia="Arial" w:cs="Arial"/>
        </w:rPr>
        <w:t xml:space="preserve"> </w:t>
      </w:r>
      <w:r w:rsidR="009F29F2">
        <w:rPr>
          <w:rFonts w:eastAsia="Arial" w:cs="Arial"/>
        </w:rPr>
        <w:t>had</w:t>
      </w:r>
      <w:r>
        <w:rPr>
          <w:rFonts w:eastAsia="Arial" w:cs="Arial"/>
        </w:rPr>
        <w:t xml:space="preserve"> impacted the results. Following this assessment, we have determined the </w:t>
      </w:r>
      <w:r w:rsidR="00F361EC">
        <w:rPr>
          <w:rFonts w:eastAsia="Arial" w:cs="Arial"/>
        </w:rPr>
        <w:t>expenditure</w:t>
      </w:r>
      <w:r w:rsidR="00F6240A">
        <w:rPr>
          <w:rFonts w:eastAsia="Arial" w:cs="Arial"/>
        </w:rPr>
        <w:t xml:space="preserve"> associated with COVID-19 in FY</w:t>
      </w:r>
      <w:r w:rsidR="00F361EC">
        <w:rPr>
          <w:rFonts w:eastAsia="Arial" w:cs="Arial"/>
        </w:rPr>
        <w:t>20</w:t>
      </w:r>
      <w:r w:rsidR="00F6240A">
        <w:rPr>
          <w:rFonts w:eastAsia="Arial" w:cs="Arial"/>
        </w:rPr>
        <w:t>21</w:t>
      </w:r>
      <w:r w:rsidR="00310E2A">
        <w:rPr>
          <w:rFonts w:eastAsia="Arial" w:cs="Arial"/>
        </w:rPr>
        <w:t>–</w:t>
      </w:r>
      <w:r w:rsidR="00F6240A">
        <w:rPr>
          <w:rFonts w:eastAsia="Arial" w:cs="Arial"/>
        </w:rPr>
        <w:t xml:space="preserve">22 to be immaterial. </w:t>
      </w:r>
    </w:p>
    <w:p w14:paraId="04C6922D" w14:textId="04E91A46" w:rsidR="00882A9A" w:rsidRPr="00501EC1" w:rsidRDefault="00882A9A" w:rsidP="00501EC1">
      <w:pPr>
        <w:pStyle w:val="NbrHeading3"/>
      </w:pPr>
      <w:r w:rsidRPr="00501EC1">
        <w:t xml:space="preserve">Growth </w:t>
      </w:r>
      <w:r w:rsidR="008851B2" w:rsidRPr="00501EC1">
        <w:t xml:space="preserve">allowance and </w:t>
      </w:r>
      <w:r w:rsidR="00A66156">
        <w:t>2</w:t>
      </w:r>
      <w:r w:rsidR="00AD46EA">
        <w:t xml:space="preserve">% </w:t>
      </w:r>
      <w:r w:rsidRPr="00501EC1">
        <w:t>efficiency</w:t>
      </w:r>
      <w:r w:rsidR="008851B2" w:rsidRPr="00501EC1">
        <w:t xml:space="preserve"> improvement rate</w:t>
      </w:r>
    </w:p>
    <w:p w14:paraId="11BDE6D4" w14:textId="70368E34" w:rsidR="00912807" w:rsidRDefault="002775C4" w:rsidP="00912807">
      <w:pPr>
        <w:rPr>
          <w:rFonts w:eastAsia="Arial" w:cs="Arial"/>
        </w:rPr>
      </w:pPr>
      <w:r>
        <w:t>A</w:t>
      </w:r>
      <w:r w:rsidR="00D2525E">
        <w:t>n annual</w:t>
      </w:r>
      <w:r>
        <w:t xml:space="preserve"> g</w:t>
      </w:r>
      <w:r w:rsidRPr="008851B2">
        <w:t>rowth allowance and efficiency improvement rate</w:t>
      </w:r>
      <w:r>
        <w:t xml:space="preserve"> </w:t>
      </w:r>
      <w:r w:rsidR="000D1742">
        <w:t>are</w:t>
      </w:r>
      <w:r>
        <w:t xml:space="preserve"> applied to the baseline </w:t>
      </w:r>
      <w:r w:rsidR="00D2525E">
        <w:t xml:space="preserve">controllable </w:t>
      </w:r>
      <w:r>
        <w:t xml:space="preserve">operating expenditure. </w:t>
      </w:r>
      <w:r w:rsidR="000324A8">
        <w:t xml:space="preserve">Table </w:t>
      </w:r>
      <w:r w:rsidR="0094606D">
        <w:t>30</w:t>
      </w:r>
      <w:r w:rsidR="000324A8">
        <w:t xml:space="preserve"> </w:t>
      </w:r>
      <w:r w:rsidR="00912807" w:rsidRPr="00E26A74">
        <w:rPr>
          <w:rFonts w:eastAsia="Arial" w:cs="Arial"/>
        </w:rPr>
        <w:t xml:space="preserve">shows the </w:t>
      </w:r>
      <w:r w:rsidR="00912807">
        <w:rPr>
          <w:rFonts w:eastAsia="Arial" w:cs="Arial"/>
        </w:rPr>
        <w:t>g</w:t>
      </w:r>
      <w:r w:rsidR="00912807" w:rsidRPr="00AC008E">
        <w:rPr>
          <w:rFonts w:eastAsia="Arial" w:cs="Arial"/>
        </w:rPr>
        <w:t xml:space="preserve">rowth allowance and efficiency improvement rate </w:t>
      </w:r>
      <w:r w:rsidR="00B66A32">
        <w:rPr>
          <w:rFonts w:eastAsia="Arial" w:cs="Arial"/>
        </w:rPr>
        <w:t>proposed</w:t>
      </w:r>
      <w:r w:rsidR="00912807">
        <w:rPr>
          <w:rFonts w:eastAsia="Arial" w:cs="Arial"/>
        </w:rPr>
        <w:t xml:space="preserve"> for each year of the </w:t>
      </w:r>
      <w:r w:rsidR="00912807" w:rsidRPr="0060466B">
        <w:t>2023</w:t>
      </w:r>
      <w:r w:rsidR="00310E2A">
        <w:t>–</w:t>
      </w:r>
      <w:r w:rsidR="00912807" w:rsidRPr="0060466B">
        <w:t>28</w:t>
      </w:r>
      <w:r w:rsidR="00912807" w:rsidRPr="47F10F0F">
        <w:rPr>
          <w:rFonts w:eastAsia="Arial" w:cs="Arial"/>
        </w:rPr>
        <w:t xml:space="preserve"> regulatory period.</w:t>
      </w:r>
    </w:p>
    <w:p w14:paraId="3962617A" w14:textId="77777777" w:rsidR="00E0618C" w:rsidRDefault="00E0618C" w:rsidP="0094606D">
      <w:pPr>
        <w:pStyle w:val="NormalIndent"/>
        <w:ind w:left="0"/>
        <w:rPr>
          <w:b/>
          <w:i/>
        </w:rPr>
      </w:pPr>
    </w:p>
    <w:p w14:paraId="3D4CFDF3" w14:textId="5075BA84" w:rsidR="00912807" w:rsidRPr="0094606D" w:rsidRDefault="0094606D" w:rsidP="0094606D">
      <w:pPr>
        <w:pStyle w:val="NormalIndent"/>
        <w:ind w:left="0"/>
        <w:rPr>
          <w:rFonts w:ascii="Arial" w:hAnsi="Arial" w:cs="Arial"/>
          <w:b/>
          <w:i/>
        </w:rPr>
      </w:pPr>
      <w:r w:rsidRPr="00CE6C4E">
        <w:rPr>
          <w:b/>
          <w:i/>
        </w:rPr>
        <w:t xml:space="preserve">Table </w:t>
      </w:r>
      <w:r w:rsidR="002128BB" w:rsidRPr="00CE6C4E">
        <w:rPr>
          <w:b/>
          <w:bCs/>
          <w:i/>
          <w:iCs/>
        </w:rPr>
        <w:fldChar w:fldCharType="begin"/>
      </w:r>
      <w:r w:rsidR="002128BB" w:rsidRPr="00CE6C4E">
        <w:rPr>
          <w:b/>
          <w:bCs/>
          <w:i/>
          <w:iCs/>
        </w:rPr>
        <w:instrText>SEQ Table \* ARABIC</w:instrText>
      </w:r>
      <w:r w:rsidR="002128BB" w:rsidRPr="00CE6C4E">
        <w:rPr>
          <w:b/>
          <w:bCs/>
          <w:i/>
          <w:iCs/>
        </w:rPr>
        <w:fldChar w:fldCharType="separate"/>
      </w:r>
      <w:r w:rsidR="002128BB">
        <w:rPr>
          <w:b/>
          <w:bCs/>
          <w:i/>
          <w:iCs/>
          <w:noProof/>
        </w:rPr>
        <w:t>30</w:t>
      </w:r>
      <w:r w:rsidR="002128BB" w:rsidRPr="00CE6C4E">
        <w:rPr>
          <w:b/>
          <w:bCs/>
          <w:i/>
          <w:iCs/>
        </w:rPr>
        <w:fldChar w:fldCharType="end"/>
      </w:r>
      <w:r w:rsidRPr="007B339F">
        <w:rPr>
          <w:rFonts w:ascii="Arial" w:hAnsi="Arial" w:cs="Arial"/>
          <w:b/>
          <w:i/>
        </w:rPr>
        <w:t>:</w:t>
      </w:r>
      <w:r>
        <w:rPr>
          <w:rFonts w:ascii="Arial" w:hAnsi="Arial" w:cs="Arial"/>
          <w:b/>
          <w:i/>
        </w:rPr>
        <w:t xml:space="preserve"> </w:t>
      </w:r>
      <w:r w:rsidR="00912807" w:rsidRPr="00CB69E0">
        <w:rPr>
          <w:rFonts w:cs="Arial"/>
          <w:b/>
          <w:i/>
        </w:rPr>
        <w:t>Growth rate and cost efficiency assumption</w:t>
      </w:r>
    </w:p>
    <w:tbl>
      <w:tblPr>
        <w:tblStyle w:val="MJTableStyle1default"/>
        <w:tblW w:w="9119" w:type="dxa"/>
        <w:tblInd w:w="5" w:type="dxa"/>
        <w:tblLook w:val="04A0" w:firstRow="1" w:lastRow="0" w:firstColumn="1" w:lastColumn="0" w:noHBand="0" w:noVBand="1"/>
      </w:tblPr>
      <w:tblGrid>
        <w:gridCol w:w="2099"/>
        <w:gridCol w:w="1118"/>
        <w:gridCol w:w="1117"/>
        <w:gridCol w:w="1117"/>
        <w:gridCol w:w="1117"/>
        <w:gridCol w:w="1117"/>
        <w:gridCol w:w="1434"/>
      </w:tblGrid>
      <w:tr w:rsidR="00912807" w:rsidRPr="004C03DF" w14:paraId="26B224EB" w14:textId="77777777" w:rsidTr="003F1732">
        <w:trPr>
          <w:cnfStyle w:val="100000000000" w:firstRow="1" w:lastRow="0" w:firstColumn="0" w:lastColumn="0" w:oddVBand="0" w:evenVBand="0" w:oddHBand="0" w:evenHBand="0" w:firstRowFirstColumn="0" w:firstRowLastColumn="0" w:lastRowFirstColumn="0" w:lastRowLastColumn="0"/>
          <w:trHeight w:val="632"/>
        </w:trPr>
        <w:tc>
          <w:tcPr>
            <w:tcW w:w="0" w:type="dxa"/>
            <w:tcBorders>
              <w:top w:val="single" w:sz="4" w:space="0" w:color="002279"/>
              <w:left w:val="single" w:sz="4" w:space="0" w:color="002279"/>
              <w:bottom w:val="single" w:sz="2" w:space="0" w:color="002279"/>
              <w:right w:val="single" w:sz="4" w:space="0" w:color="FFFFFF" w:themeColor="background1"/>
            </w:tcBorders>
            <w:shd w:val="clear" w:color="auto" w:fill="002279"/>
            <w:vAlign w:val="center"/>
          </w:tcPr>
          <w:p w14:paraId="4DB73030" w14:textId="77777777" w:rsidR="00912807" w:rsidRPr="002020E8" w:rsidRDefault="00912807" w:rsidP="006138B5">
            <w:pPr>
              <w:spacing w:line="264" w:lineRule="auto"/>
              <w:rPr>
                <w:rFonts w:asciiTheme="minorHAnsi" w:hAnsiTheme="minorHAnsi" w:cstheme="minorHAnsi"/>
                <w:color w:val="44546A"/>
              </w:rPr>
            </w:pPr>
          </w:p>
        </w:tc>
        <w:tc>
          <w:tcPr>
            <w:tcW w:w="0"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vAlign w:val="center"/>
            <w:hideMark/>
          </w:tcPr>
          <w:p w14:paraId="07C08446" w14:textId="3E65E739" w:rsidR="00912807" w:rsidRPr="002020E8" w:rsidRDefault="00912807" w:rsidP="00C324D4">
            <w:pPr>
              <w:spacing w:line="264" w:lineRule="auto"/>
              <w:jc w:val="center"/>
              <w:rPr>
                <w:rFonts w:asciiTheme="minorHAnsi" w:hAnsiTheme="minorHAnsi" w:cstheme="minorHAnsi"/>
                <w:b/>
              </w:rPr>
            </w:pPr>
            <w:r w:rsidRPr="002020E8">
              <w:rPr>
                <w:rFonts w:asciiTheme="minorHAnsi" w:hAnsiTheme="minorHAnsi" w:cstheme="minorHAnsi"/>
                <w:b/>
              </w:rPr>
              <w:t>2023</w:t>
            </w:r>
            <w:r w:rsidR="00310E2A" w:rsidRPr="002020E8">
              <w:rPr>
                <w:rFonts w:asciiTheme="minorHAnsi" w:hAnsiTheme="minorHAnsi" w:cstheme="minorHAnsi"/>
                <w:b/>
              </w:rPr>
              <w:t>–</w:t>
            </w:r>
            <w:r w:rsidRPr="002020E8">
              <w:rPr>
                <w:rFonts w:asciiTheme="minorHAnsi" w:hAnsiTheme="minorHAnsi" w:cstheme="minorHAnsi"/>
                <w:b/>
              </w:rPr>
              <w:t>24</w:t>
            </w:r>
          </w:p>
        </w:tc>
        <w:tc>
          <w:tcPr>
            <w:tcW w:w="0"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vAlign w:val="center"/>
            <w:hideMark/>
          </w:tcPr>
          <w:p w14:paraId="7F9F14F1" w14:textId="66644ECB" w:rsidR="00912807" w:rsidRPr="002020E8" w:rsidRDefault="00912807" w:rsidP="00C324D4">
            <w:pPr>
              <w:spacing w:line="264" w:lineRule="auto"/>
              <w:jc w:val="center"/>
              <w:rPr>
                <w:rFonts w:asciiTheme="minorHAnsi" w:hAnsiTheme="minorHAnsi" w:cstheme="minorHAnsi"/>
                <w:b/>
              </w:rPr>
            </w:pPr>
            <w:r w:rsidRPr="002020E8">
              <w:rPr>
                <w:rFonts w:asciiTheme="minorHAnsi" w:hAnsiTheme="minorHAnsi" w:cstheme="minorHAnsi"/>
                <w:b/>
              </w:rPr>
              <w:t>2024</w:t>
            </w:r>
            <w:r w:rsidR="00310E2A" w:rsidRPr="002020E8">
              <w:rPr>
                <w:rFonts w:asciiTheme="minorHAnsi" w:hAnsiTheme="minorHAnsi" w:cstheme="minorHAnsi"/>
                <w:b/>
              </w:rPr>
              <w:t>–</w:t>
            </w:r>
            <w:r w:rsidRPr="002020E8">
              <w:rPr>
                <w:rFonts w:asciiTheme="minorHAnsi" w:hAnsiTheme="minorHAnsi" w:cstheme="minorHAnsi"/>
                <w:b/>
              </w:rPr>
              <w:t>25</w:t>
            </w:r>
          </w:p>
        </w:tc>
        <w:tc>
          <w:tcPr>
            <w:tcW w:w="0"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vAlign w:val="center"/>
            <w:hideMark/>
          </w:tcPr>
          <w:p w14:paraId="14F36581" w14:textId="312FC0D3" w:rsidR="00912807" w:rsidRPr="002020E8" w:rsidRDefault="00912807" w:rsidP="00C324D4">
            <w:pPr>
              <w:spacing w:line="264" w:lineRule="auto"/>
              <w:jc w:val="center"/>
              <w:rPr>
                <w:rFonts w:asciiTheme="minorHAnsi" w:hAnsiTheme="minorHAnsi" w:cstheme="minorHAnsi"/>
                <w:b/>
              </w:rPr>
            </w:pPr>
            <w:r w:rsidRPr="002020E8">
              <w:rPr>
                <w:rFonts w:asciiTheme="minorHAnsi" w:hAnsiTheme="minorHAnsi" w:cstheme="minorHAnsi"/>
                <w:b/>
              </w:rPr>
              <w:t>2025</w:t>
            </w:r>
            <w:r w:rsidR="00310E2A" w:rsidRPr="002020E8">
              <w:rPr>
                <w:rFonts w:asciiTheme="minorHAnsi" w:hAnsiTheme="minorHAnsi" w:cstheme="minorHAnsi"/>
                <w:b/>
              </w:rPr>
              <w:t>–</w:t>
            </w:r>
            <w:r w:rsidRPr="002020E8">
              <w:rPr>
                <w:rFonts w:asciiTheme="minorHAnsi" w:hAnsiTheme="minorHAnsi" w:cstheme="minorHAnsi"/>
                <w:b/>
              </w:rPr>
              <w:t>26</w:t>
            </w:r>
          </w:p>
        </w:tc>
        <w:tc>
          <w:tcPr>
            <w:tcW w:w="0"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vAlign w:val="center"/>
            <w:hideMark/>
          </w:tcPr>
          <w:p w14:paraId="5889B465" w14:textId="10053AE4" w:rsidR="00912807" w:rsidRPr="002020E8" w:rsidRDefault="00912807" w:rsidP="00C324D4">
            <w:pPr>
              <w:spacing w:line="264" w:lineRule="auto"/>
              <w:jc w:val="center"/>
              <w:rPr>
                <w:rFonts w:asciiTheme="minorHAnsi" w:hAnsiTheme="minorHAnsi" w:cstheme="minorHAnsi"/>
                <w:b/>
              </w:rPr>
            </w:pPr>
            <w:r w:rsidRPr="002020E8">
              <w:rPr>
                <w:rFonts w:asciiTheme="minorHAnsi" w:hAnsiTheme="minorHAnsi" w:cstheme="minorHAnsi"/>
                <w:b/>
              </w:rPr>
              <w:t>2026</w:t>
            </w:r>
            <w:r w:rsidR="00310E2A" w:rsidRPr="002020E8">
              <w:rPr>
                <w:rFonts w:asciiTheme="minorHAnsi" w:hAnsiTheme="minorHAnsi" w:cstheme="minorHAnsi"/>
                <w:b/>
              </w:rPr>
              <w:t>–</w:t>
            </w:r>
            <w:r w:rsidRPr="002020E8">
              <w:rPr>
                <w:rFonts w:asciiTheme="minorHAnsi" w:hAnsiTheme="minorHAnsi" w:cstheme="minorHAnsi"/>
                <w:b/>
              </w:rPr>
              <w:t>27</w:t>
            </w:r>
          </w:p>
        </w:tc>
        <w:tc>
          <w:tcPr>
            <w:tcW w:w="0"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vAlign w:val="center"/>
            <w:hideMark/>
          </w:tcPr>
          <w:p w14:paraId="35DA58D0" w14:textId="33B1074F" w:rsidR="00912807" w:rsidRPr="002020E8" w:rsidRDefault="00912807" w:rsidP="00C324D4">
            <w:pPr>
              <w:spacing w:line="264" w:lineRule="auto"/>
              <w:jc w:val="center"/>
              <w:rPr>
                <w:rFonts w:asciiTheme="minorHAnsi" w:hAnsiTheme="minorHAnsi" w:cstheme="minorHAnsi"/>
                <w:b/>
              </w:rPr>
            </w:pPr>
            <w:r w:rsidRPr="002020E8">
              <w:rPr>
                <w:rFonts w:asciiTheme="minorHAnsi" w:hAnsiTheme="minorHAnsi" w:cstheme="minorHAnsi"/>
                <w:b/>
              </w:rPr>
              <w:t>2027</w:t>
            </w:r>
            <w:r w:rsidR="00310E2A" w:rsidRPr="002020E8">
              <w:rPr>
                <w:rFonts w:asciiTheme="minorHAnsi" w:hAnsiTheme="minorHAnsi" w:cstheme="minorHAnsi"/>
                <w:b/>
              </w:rPr>
              <w:t>–</w:t>
            </w:r>
            <w:r w:rsidRPr="002020E8">
              <w:rPr>
                <w:rFonts w:asciiTheme="minorHAnsi" w:hAnsiTheme="minorHAnsi" w:cstheme="minorHAnsi"/>
                <w:b/>
              </w:rPr>
              <w:t>28</w:t>
            </w:r>
          </w:p>
        </w:tc>
        <w:tc>
          <w:tcPr>
            <w:tcW w:w="0" w:type="dxa"/>
            <w:tcBorders>
              <w:top w:val="single" w:sz="4" w:space="0" w:color="002279"/>
              <w:left w:val="single" w:sz="4" w:space="0" w:color="FFFFFF" w:themeColor="background1"/>
              <w:bottom w:val="single" w:sz="2" w:space="0" w:color="002279"/>
              <w:right w:val="single" w:sz="4" w:space="0" w:color="002279"/>
            </w:tcBorders>
            <w:shd w:val="clear" w:color="auto" w:fill="002279"/>
            <w:vAlign w:val="center"/>
            <w:hideMark/>
          </w:tcPr>
          <w:p w14:paraId="148E0067" w14:textId="77777777" w:rsidR="00912807" w:rsidRPr="002020E8" w:rsidRDefault="00912807" w:rsidP="00C324D4">
            <w:pPr>
              <w:spacing w:line="264" w:lineRule="auto"/>
              <w:jc w:val="center"/>
              <w:rPr>
                <w:rFonts w:asciiTheme="minorHAnsi" w:hAnsiTheme="minorHAnsi" w:cstheme="minorHAnsi"/>
                <w:b/>
              </w:rPr>
            </w:pPr>
            <w:r w:rsidRPr="002020E8">
              <w:rPr>
                <w:rFonts w:asciiTheme="minorHAnsi" w:hAnsiTheme="minorHAnsi" w:cstheme="minorHAnsi"/>
                <w:b/>
              </w:rPr>
              <w:t>Average</w:t>
            </w:r>
          </w:p>
        </w:tc>
      </w:tr>
      <w:tr w:rsidR="00912807" w:rsidRPr="004C03DF" w14:paraId="7FED3672" w14:textId="77777777" w:rsidTr="003F1732">
        <w:trPr>
          <w:cnfStyle w:val="000000100000" w:firstRow="0" w:lastRow="0" w:firstColumn="0" w:lastColumn="0" w:oddVBand="0" w:evenVBand="0" w:oddHBand="1" w:evenHBand="0" w:firstRowFirstColumn="0" w:firstRowLastColumn="0" w:lastRowFirstColumn="0" w:lastRowLastColumn="0"/>
          <w:trHeight w:val="740"/>
        </w:trPr>
        <w:tc>
          <w:tcPr>
            <w:tcW w:w="0" w:type="dxa"/>
            <w:tcBorders>
              <w:top w:val="single" w:sz="2" w:space="0" w:color="002279"/>
              <w:left w:val="single" w:sz="4" w:space="0" w:color="002279"/>
              <w:bottom w:val="single" w:sz="2" w:space="0" w:color="002279"/>
              <w:right w:val="single" w:sz="4" w:space="0" w:color="002279"/>
            </w:tcBorders>
            <w:shd w:val="clear" w:color="auto" w:fill="D4D6DF"/>
            <w:vAlign w:val="center"/>
            <w:hideMark/>
          </w:tcPr>
          <w:p w14:paraId="1B3F1960" w14:textId="77777777" w:rsidR="00912807" w:rsidRPr="002020E8" w:rsidRDefault="00912807" w:rsidP="00525D8C">
            <w:pPr>
              <w:spacing w:line="264" w:lineRule="auto"/>
              <w:rPr>
                <w:rFonts w:cs="Arial"/>
                <w:b/>
              </w:rPr>
            </w:pPr>
            <w:r w:rsidRPr="002020E8">
              <w:rPr>
                <w:rFonts w:cs="Arial"/>
                <w:b/>
                <w:color w:val="000000"/>
              </w:rPr>
              <w:t>Cost efficiency improvement rate</w:t>
            </w:r>
          </w:p>
        </w:tc>
        <w:tc>
          <w:tcPr>
            <w:tcW w:w="0" w:type="dxa"/>
            <w:tcBorders>
              <w:top w:val="single" w:sz="2" w:space="0" w:color="002279"/>
              <w:left w:val="single" w:sz="4" w:space="0" w:color="002279"/>
              <w:bottom w:val="single" w:sz="2" w:space="0" w:color="002279"/>
              <w:right w:val="single" w:sz="4" w:space="0" w:color="002279"/>
            </w:tcBorders>
            <w:shd w:val="clear" w:color="auto" w:fill="D4D6DF"/>
            <w:vAlign w:val="center"/>
            <w:hideMark/>
          </w:tcPr>
          <w:p w14:paraId="5EBD2EB9" w14:textId="4DF3EE6E" w:rsidR="00912807" w:rsidRPr="002020E8" w:rsidRDefault="00912807" w:rsidP="00C324D4">
            <w:pPr>
              <w:spacing w:line="264" w:lineRule="auto"/>
              <w:jc w:val="center"/>
              <w:rPr>
                <w:rFonts w:cs="Arial"/>
              </w:rPr>
            </w:pPr>
            <w:r w:rsidRPr="002020E8">
              <w:rPr>
                <w:rFonts w:cs="Arial"/>
                <w:color w:val="000000"/>
              </w:rPr>
              <w:t>2.0</w:t>
            </w:r>
            <w:r w:rsidR="003C08F5">
              <w:rPr>
                <w:rFonts w:cs="Arial"/>
                <w:color w:val="000000"/>
              </w:rPr>
              <w:t>0</w:t>
            </w:r>
            <w:r w:rsidRPr="002020E8">
              <w:rPr>
                <w:rFonts w:cs="Arial"/>
                <w:color w:val="000000"/>
              </w:rPr>
              <w:t>%</w:t>
            </w:r>
          </w:p>
        </w:tc>
        <w:tc>
          <w:tcPr>
            <w:tcW w:w="0" w:type="dxa"/>
            <w:tcBorders>
              <w:top w:val="single" w:sz="2" w:space="0" w:color="002279"/>
              <w:left w:val="single" w:sz="4" w:space="0" w:color="002279"/>
              <w:bottom w:val="single" w:sz="2" w:space="0" w:color="002279"/>
              <w:right w:val="single" w:sz="4" w:space="0" w:color="002279"/>
            </w:tcBorders>
            <w:shd w:val="clear" w:color="auto" w:fill="D4D6DF"/>
            <w:vAlign w:val="center"/>
            <w:hideMark/>
          </w:tcPr>
          <w:p w14:paraId="1AB6478D" w14:textId="220EE2E1" w:rsidR="00912807" w:rsidRPr="002020E8" w:rsidRDefault="00912807" w:rsidP="00C324D4">
            <w:pPr>
              <w:spacing w:line="264" w:lineRule="auto"/>
              <w:jc w:val="center"/>
              <w:rPr>
                <w:rFonts w:cs="Arial"/>
              </w:rPr>
            </w:pPr>
            <w:r w:rsidRPr="002020E8">
              <w:rPr>
                <w:rFonts w:cs="Arial"/>
                <w:color w:val="000000"/>
              </w:rPr>
              <w:t>2.0</w:t>
            </w:r>
            <w:r w:rsidR="003C08F5">
              <w:rPr>
                <w:rFonts w:cs="Arial"/>
                <w:color w:val="000000"/>
              </w:rPr>
              <w:t>0</w:t>
            </w:r>
            <w:r w:rsidRPr="002020E8">
              <w:rPr>
                <w:rFonts w:cs="Arial"/>
                <w:color w:val="000000"/>
              </w:rPr>
              <w:t>%</w:t>
            </w:r>
          </w:p>
        </w:tc>
        <w:tc>
          <w:tcPr>
            <w:tcW w:w="0" w:type="dxa"/>
            <w:tcBorders>
              <w:top w:val="single" w:sz="2" w:space="0" w:color="002279"/>
              <w:left w:val="single" w:sz="4" w:space="0" w:color="002279"/>
              <w:bottom w:val="single" w:sz="2" w:space="0" w:color="002279"/>
              <w:right w:val="single" w:sz="4" w:space="0" w:color="002279"/>
            </w:tcBorders>
            <w:shd w:val="clear" w:color="auto" w:fill="D4D6DF"/>
            <w:vAlign w:val="center"/>
            <w:hideMark/>
          </w:tcPr>
          <w:p w14:paraId="5DE3A59E" w14:textId="3022A150" w:rsidR="00912807" w:rsidRPr="002020E8" w:rsidRDefault="00912807" w:rsidP="00C324D4">
            <w:pPr>
              <w:spacing w:line="264" w:lineRule="auto"/>
              <w:jc w:val="center"/>
              <w:rPr>
                <w:rFonts w:cs="Arial"/>
              </w:rPr>
            </w:pPr>
            <w:r w:rsidRPr="002020E8">
              <w:rPr>
                <w:rFonts w:cs="Arial"/>
                <w:color w:val="000000"/>
              </w:rPr>
              <w:t>2.</w:t>
            </w:r>
            <w:r w:rsidR="003C08F5">
              <w:rPr>
                <w:rFonts w:cs="Arial"/>
                <w:color w:val="000000"/>
              </w:rPr>
              <w:t>0</w:t>
            </w:r>
            <w:r w:rsidRPr="002020E8">
              <w:rPr>
                <w:rFonts w:cs="Arial"/>
                <w:color w:val="000000"/>
              </w:rPr>
              <w:t>0%</w:t>
            </w:r>
          </w:p>
        </w:tc>
        <w:tc>
          <w:tcPr>
            <w:tcW w:w="0" w:type="dxa"/>
            <w:tcBorders>
              <w:top w:val="single" w:sz="2" w:space="0" w:color="002279"/>
              <w:left w:val="single" w:sz="4" w:space="0" w:color="002279"/>
              <w:bottom w:val="single" w:sz="2" w:space="0" w:color="002279"/>
              <w:right w:val="single" w:sz="4" w:space="0" w:color="002279"/>
            </w:tcBorders>
            <w:shd w:val="clear" w:color="auto" w:fill="D4D6DF"/>
            <w:vAlign w:val="center"/>
            <w:hideMark/>
          </w:tcPr>
          <w:p w14:paraId="01557D7D" w14:textId="3B935028" w:rsidR="00912807" w:rsidRPr="002020E8" w:rsidRDefault="00912807" w:rsidP="00C324D4">
            <w:pPr>
              <w:spacing w:line="264" w:lineRule="auto"/>
              <w:jc w:val="center"/>
              <w:rPr>
                <w:rFonts w:cs="Arial"/>
              </w:rPr>
            </w:pPr>
            <w:r w:rsidRPr="002020E8">
              <w:rPr>
                <w:rFonts w:cs="Arial"/>
                <w:color w:val="000000"/>
              </w:rPr>
              <w:t>2.0</w:t>
            </w:r>
            <w:r w:rsidR="003C08F5">
              <w:rPr>
                <w:rFonts w:cs="Arial"/>
                <w:color w:val="000000"/>
              </w:rPr>
              <w:t>0</w:t>
            </w:r>
            <w:r w:rsidRPr="002020E8">
              <w:rPr>
                <w:rFonts w:cs="Arial"/>
                <w:color w:val="000000"/>
              </w:rPr>
              <w:t>%</w:t>
            </w:r>
          </w:p>
        </w:tc>
        <w:tc>
          <w:tcPr>
            <w:tcW w:w="0" w:type="dxa"/>
            <w:tcBorders>
              <w:top w:val="single" w:sz="2" w:space="0" w:color="002279"/>
              <w:left w:val="single" w:sz="4" w:space="0" w:color="002279"/>
              <w:bottom w:val="single" w:sz="2" w:space="0" w:color="002279"/>
              <w:right w:val="single" w:sz="4" w:space="0" w:color="002279"/>
            </w:tcBorders>
            <w:shd w:val="clear" w:color="auto" w:fill="D4D6DF"/>
            <w:vAlign w:val="center"/>
            <w:hideMark/>
          </w:tcPr>
          <w:p w14:paraId="47BBC4C7" w14:textId="1D76DD0F" w:rsidR="00912807" w:rsidRPr="002020E8" w:rsidRDefault="00912807" w:rsidP="00C324D4">
            <w:pPr>
              <w:spacing w:line="264" w:lineRule="auto"/>
              <w:jc w:val="center"/>
              <w:rPr>
                <w:rFonts w:cs="Arial"/>
              </w:rPr>
            </w:pPr>
            <w:r w:rsidRPr="002020E8">
              <w:rPr>
                <w:rFonts w:cs="Arial"/>
                <w:color w:val="000000"/>
              </w:rPr>
              <w:t>2.</w:t>
            </w:r>
            <w:r w:rsidR="003C08F5">
              <w:rPr>
                <w:rFonts w:cs="Arial"/>
                <w:color w:val="000000"/>
              </w:rPr>
              <w:t>0</w:t>
            </w:r>
            <w:r w:rsidRPr="002020E8">
              <w:rPr>
                <w:rFonts w:cs="Arial"/>
                <w:color w:val="000000"/>
              </w:rPr>
              <w:t>0%</w:t>
            </w:r>
          </w:p>
        </w:tc>
        <w:tc>
          <w:tcPr>
            <w:tcW w:w="0" w:type="dxa"/>
            <w:tcBorders>
              <w:top w:val="single" w:sz="2" w:space="0" w:color="002279"/>
              <w:left w:val="single" w:sz="4" w:space="0" w:color="002279"/>
              <w:bottom w:val="single" w:sz="2" w:space="0" w:color="002279"/>
              <w:right w:val="single" w:sz="4" w:space="0" w:color="002279"/>
            </w:tcBorders>
            <w:shd w:val="clear" w:color="auto" w:fill="D4D6DF"/>
            <w:vAlign w:val="center"/>
            <w:hideMark/>
          </w:tcPr>
          <w:p w14:paraId="0978F21F" w14:textId="740B49B5" w:rsidR="00912807" w:rsidRPr="002020E8" w:rsidRDefault="00912807" w:rsidP="00C324D4">
            <w:pPr>
              <w:spacing w:line="264" w:lineRule="auto"/>
              <w:jc w:val="center"/>
              <w:rPr>
                <w:rFonts w:cs="Arial"/>
              </w:rPr>
            </w:pPr>
            <w:r w:rsidRPr="002020E8">
              <w:rPr>
                <w:rFonts w:cs="Arial"/>
                <w:color w:val="000000"/>
              </w:rPr>
              <w:t>2.0</w:t>
            </w:r>
            <w:r w:rsidR="003C08F5">
              <w:rPr>
                <w:rFonts w:cs="Arial"/>
                <w:color w:val="000000"/>
              </w:rPr>
              <w:t>0</w:t>
            </w:r>
            <w:r w:rsidRPr="002020E8">
              <w:rPr>
                <w:rFonts w:cs="Arial"/>
                <w:color w:val="000000"/>
              </w:rPr>
              <w:t>%</w:t>
            </w:r>
          </w:p>
        </w:tc>
      </w:tr>
      <w:tr w:rsidR="00912807" w:rsidRPr="004C03DF" w14:paraId="0738CF09" w14:textId="77777777" w:rsidTr="003F1732">
        <w:trPr>
          <w:cnfStyle w:val="000000010000" w:firstRow="0" w:lastRow="0" w:firstColumn="0" w:lastColumn="0" w:oddVBand="0" w:evenVBand="0" w:oddHBand="0" w:evenHBand="1" w:firstRowFirstColumn="0" w:firstRowLastColumn="0" w:lastRowFirstColumn="0" w:lastRowLastColumn="0"/>
          <w:trHeight w:val="1528"/>
        </w:trPr>
        <w:tc>
          <w:tcPr>
            <w:tcW w:w="0" w:type="dxa"/>
            <w:tcBorders>
              <w:top w:val="single" w:sz="2" w:space="0" w:color="002279"/>
              <w:left w:val="single" w:sz="4" w:space="0" w:color="002279"/>
              <w:bottom w:val="single" w:sz="2" w:space="0" w:color="002279"/>
              <w:right w:val="single" w:sz="4" w:space="0" w:color="002279"/>
            </w:tcBorders>
            <w:shd w:val="clear" w:color="auto" w:fill="FFFFFF" w:themeFill="background1"/>
            <w:vAlign w:val="center"/>
            <w:hideMark/>
          </w:tcPr>
          <w:p w14:paraId="4A4EB38B" w14:textId="3DE4E715" w:rsidR="00912807" w:rsidRPr="002020E8" w:rsidRDefault="00912807" w:rsidP="00525D8C">
            <w:pPr>
              <w:spacing w:line="264" w:lineRule="auto"/>
              <w:rPr>
                <w:rFonts w:cs="Arial"/>
                <w:b/>
              </w:rPr>
            </w:pPr>
            <w:r w:rsidRPr="002020E8">
              <w:rPr>
                <w:rFonts w:eastAsia="Arial" w:cs="Arial"/>
                <w:b/>
                <w:bCs/>
              </w:rPr>
              <w:t>Operating expenditure</w:t>
            </w:r>
            <w:r w:rsidRPr="002020E8">
              <w:rPr>
                <w:rFonts w:eastAsia="Arial" w:cs="Arial"/>
              </w:rPr>
              <w:t xml:space="preserve"> </w:t>
            </w:r>
            <w:r w:rsidRPr="002020E8">
              <w:rPr>
                <w:rFonts w:cs="Arial"/>
                <w:b/>
                <w:color w:val="000000"/>
              </w:rPr>
              <w:t xml:space="preserve">growth factor (including </w:t>
            </w:r>
            <w:r w:rsidR="00525D8C">
              <w:rPr>
                <w:rFonts w:cs="Arial"/>
                <w:b/>
                <w:color w:val="000000"/>
              </w:rPr>
              <w:br/>
            </w:r>
            <w:r w:rsidRPr="002020E8">
              <w:rPr>
                <w:rFonts w:cs="Arial"/>
                <w:b/>
                <w:color w:val="000000"/>
              </w:rPr>
              <w:t xml:space="preserve">an </w:t>
            </w:r>
            <w:r w:rsidR="00BC2911" w:rsidRPr="002020E8">
              <w:rPr>
                <w:rFonts w:cs="Arial"/>
                <w:b/>
                <w:color w:val="000000"/>
              </w:rPr>
              <w:t>‘</w:t>
            </w:r>
            <w:r w:rsidRPr="002020E8">
              <w:rPr>
                <w:rFonts w:cs="Arial"/>
                <w:b/>
                <w:color w:val="000000"/>
              </w:rPr>
              <w:t>uncertainty discount</w:t>
            </w:r>
            <w:r w:rsidR="00BC2911" w:rsidRPr="002020E8">
              <w:rPr>
                <w:rFonts w:cs="Arial"/>
                <w:b/>
                <w:color w:val="000000"/>
              </w:rPr>
              <w:t>’</w:t>
            </w:r>
            <w:r w:rsidRPr="002020E8">
              <w:rPr>
                <w:rFonts w:cs="Arial"/>
                <w:b/>
                <w:color w:val="000000"/>
              </w:rPr>
              <w:t>)</w:t>
            </w:r>
          </w:p>
        </w:tc>
        <w:tc>
          <w:tcPr>
            <w:tcW w:w="0" w:type="dxa"/>
            <w:tcBorders>
              <w:top w:val="single" w:sz="2" w:space="0" w:color="002279"/>
              <w:left w:val="single" w:sz="4" w:space="0" w:color="002279"/>
              <w:bottom w:val="single" w:sz="2" w:space="0" w:color="002279"/>
              <w:right w:val="single" w:sz="4" w:space="0" w:color="002279"/>
            </w:tcBorders>
            <w:shd w:val="clear" w:color="auto" w:fill="FFFFFF" w:themeFill="background1"/>
            <w:vAlign w:val="center"/>
            <w:hideMark/>
          </w:tcPr>
          <w:p w14:paraId="484AA659" w14:textId="77777777" w:rsidR="00912807" w:rsidRPr="002020E8" w:rsidRDefault="00912807" w:rsidP="00C324D4">
            <w:pPr>
              <w:spacing w:line="264" w:lineRule="auto"/>
              <w:jc w:val="center"/>
              <w:rPr>
                <w:rFonts w:cs="Arial"/>
              </w:rPr>
            </w:pPr>
            <w:r w:rsidRPr="002020E8">
              <w:rPr>
                <w:rFonts w:cs="Arial"/>
                <w:color w:val="000000"/>
              </w:rPr>
              <w:t>0.60%</w:t>
            </w:r>
          </w:p>
        </w:tc>
        <w:tc>
          <w:tcPr>
            <w:tcW w:w="0" w:type="dxa"/>
            <w:tcBorders>
              <w:top w:val="single" w:sz="2" w:space="0" w:color="002279"/>
              <w:left w:val="single" w:sz="4" w:space="0" w:color="002279"/>
              <w:bottom w:val="single" w:sz="2" w:space="0" w:color="002279"/>
              <w:right w:val="single" w:sz="4" w:space="0" w:color="002279"/>
            </w:tcBorders>
            <w:shd w:val="clear" w:color="auto" w:fill="FFFFFF" w:themeFill="background1"/>
            <w:vAlign w:val="center"/>
            <w:hideMark/>
          </w:tcPr>
          <w:p w14:paraId="72DC8FC7" w14:textId="77777777" w:rsidR="00912807" w:rsidRPr="002020E8" w:rsidRDefault="00912807" w:rsidP="00C324D4">
            <w:pPr>
              <w:spacing w:line="264" w:lineRule="auto"/>
              <w:jc w:val="center"/>
              <w:rPr>
                <w:rFonts w:cs="Arial"/>
              </w:rPr>
            </w:pPr>
            <w:r w:rsidRPr="002020E8">
              <w:rPr>
                <w:rFonts w:cs="Arial"/>
                <w:color w:val="000000"/>
              </w:rPr>
              <w:t>0.88%</w:t>
            </w:r>
          </w:p>
        </w:tc>
        <w:tc>
          <w:tcPr>
            <w:tcW w:w="0" w:type="dxa"/>
            <w:tcBorders>
              <w:top w:val="single" w:sz="2" w:space="0" w:color="002279"/>
              <w:left w:val="single" w:sz="4" w:space="0" w:color="002279"/>
              <w:bottom w:val="single" w:sz="2" w:space="0" w:color="002279"/>
              <w:right w:val="single" w:sz="4" w:space="0" w:color="002279"/>
            </w:tcBorders>
            <w:shd w:val="clear" w:color="auto" w:fill="FFFFFF" w:themeFill="background1"/>
            <w:vAlign w:val="center"/>
            <w:hideMark/>
          </w:tcPr>
          <w:p w14:paraId="1284B145" w14:textId="77777777" w:rsidR="00912807" w:rsidRPr="002020E8" w:rsidRDefault="00912807" w:rsidP="00C324D4">
            <w:pPr>
              <w:spacing w:line="264" w:lineRule="auto"/>
              <w:jc w:val="center"/>
              <w:rPr>
                <w:rFonts w:cs="Arial"/>
              </w:rPr>
            </w:pPr>
            <w:r w:rsidRPr="002020E8">
              <w:rPr>
                <w:rFonts w:cs="Arial"/>
                <w:color w:val="000000"/>
              </w:rPr>
              <w:t>0.97%</w:t>
            </w:r>
          </w:p>
        </w:tc>
        <w:tc>
          <w:tcPr>
            <w:tcW w:w="0" w:type="dxa"/>
            <w:tcBorders>
              <w:top w:val="single" w:sz="2" w:space="0" w:color="002279"/>
              <w:left w:val="single" w:sz="4" w:space="0" w:color="002279"/>
              <w:bottom w:val="single" w:sz="2" w:space="0" w:color="002279"/>
              <w:right w:val="single" w:sz="4" w:space="0" w:color="002279"/>
            </w:tcBorders>
            <w:shd w:val="clear" w:color="auto" w:fill="FFFFFF" w:themeFill="background1"/>
            <w:vAlign w:val="center"/>
            <w:hideMark/>
          </w:tcPr>
          <w:p w14:paraId="07914DCE" w14:textId="77777777" w:rsidR="00912807" w:rsidRPr="002020E8" w:rsidRDefault="00912807" w:rsidP="00C324D4">
            <w:pPr>
              <w:spacing w:line="264" w:lineRule="auto"/>
              <w:jc w:val="center"/>
              <w:rPr>
                <w:rFonts w:cs="Arial"/>
              </w:rPr>
            </w:pPr>
            <w:r w:rsidRPr="002020E8">
              <w:rPr>
                <w:rFonts w:cs="Arial"/>
                <w:color w:val="000000"/>
              </w:rPr>
              <w:t>1.61%</w:t>
            </w:r>
          </w:p>
        </w:tc>
        <w:tc>
          <w:tcPr>
            <w:tcW w:w="0" w:type="dxa"/>
            <w:tcBorders>
              <w:top w:val="single" w:sz="2" w:space="0" w:color="002279"/>
              <w:left w:val="single" w:sz="4" w:space="0" w:color="002279"/>
              <w:bottom w:val="single" w:sz="2" w:space="0" w:color="002279"/>
              <w:right w:val="single" w:sz="4" w:space="0" w:color="002279"/>
            </w:tcBorders>
            <w:shd w:val="clear" w:color="auto" w:fill="FFFFFF" w:themeFill="background1"/>
            <w:vAlign w:val="center"/>
            <w:hideMark/>
          </w:tcPr>
          <w:p w14:paraId="6C6291FA" w14:textId="77777777" w:rsidR="00912807" w:rsidRPr="002020E8" w:rsidRDefault="00912807" w:rsidP="00C324D4">
            <w:pPr>
              <w:spacing w:line="264" w:lineRule="auto"/>
              <w:jc w:val="center"/>
              <w:rPr>
                <w:rFonts w:cs="Arial"/>
              </w:rPr>
            </w:pPr>
            <w:r w:rsidRPr="002020E8">
              <w:rPr>
                <w:rFonts w:cs="Arial"/>
                <w:color w:val="000000"/>
              </w:rPr>
              <w:t>1.59%</w:t>
            </w:r>
          </w:p>
        </w:tc>
        <w:tc>
          <w:tcPr>
            <w:tcW w:w="0" w:type="dxa"/>
            <w:tcBorders>
              <w:top w:val="single" w:sz="2" w:space="0" w:color="002279"/>
              <w:left w:val="single" w:sz="4" w:space="0" w:color="002279"/>
              <w:bottom w:val="single" w:sz="2" w:space="0" w:color="002279"/>
              <w:right w:val="single" w:sz="4" w:space="0" w:color="002279"/>
            </w:tcBorders>
            <w:shd w:val="clear" w:color="auto" w:fill="FFFFFF" w:themeFill="background1"/>
            <w:vAlign w:val="center"/>
            <w:hideMark/>
          </w:tcPr>
          <w:p w14:paraId="1C87223A" w14:textId="77777777" w:rsidR="00912807" w:rsidRPr="002020E8" w:rsidRDefault="00912807" w:rsidP="00C324D4">
            <w:pPr>
              <w:spacing w:line="264" w:lineRule="auto"/>
              <w:jc w:val="center"/>
              <w:rPr>
                <w:rFonts w:cs="Arial"/>
              </w:rPr>
            </w:pPr>
            <w:r w:rsidRPr="002020E8">
              <w:rPr>
                <w:rFonts w:cs="Arial"/>
                <w:color w:val="000000"/>
              </w:rPr>
              <w:t>1.13%</w:t>
            </w:r>
          </w:p>
        </w:tc>
      </w:tr>
      <w:tr w:rsidR="00912807" w:rsidRPr="004C03DF" w14:paraId="7C0515DC" w14:textId="77777777" w:rsidTr="003F1732">
        <w:trPr>
          <w:cnfStyle w:val="000000100000" w:firstRow="0" w:lastRow="0" w:firstColumn="0" w:lastColumn="0" w:oddVBand="0" w:evenVBand="0" w:oddHBand="1" w:evenHBand="0" w:firstRowFirstColumn="0" w:firstRowLastColumn="0" w:lastRowFirstColumn="0" w:lastRowLastColumn="0"/>
        </w:trPr>
        <w:tc>
          <w:tcPr>
            <w:tcW w:w="0" w:type="dxa"/>
            <w:tcBorders>
              <w:top w:val="single" w:sz="2" w:space="0" w:color="002279"/>
              <w:left w:val="single" w:sz="4" w:space="0" w:color="002279"/>
              <w:bottom w:val="single" w:sz="2" w:space="0" w:color="002279"/>
              <w:right w:val="single" w:sz="4" w:space="0" w:color="002279"/>
            </w:tcBorders>
            <w:shd w:val="clear" w:color="auto" w:fill="D4D6DF"/>
            <w:vAlign w:val="center"/>
            <w:hideMark/>
          </w:tcPr>
          <w:p w14:paraId="296B3615" w14:textId="77777777" w:rsidR="00912807" w:rsidRPr="002020E8" w:rsidRDefault="00912807" w:rsidP="00525D8C">
            <w:pPr>
              <w:spacing w:line="264" w:lineRule="auto"/>
              <w:rPr>
                <w:rFonts w:cs="Arial"/>
                <w:b/>
              </w:rPr>
            </w:pPr>
            <w:r w:rsidRPr="002020E8">
              <w:rPr>
                <w:rFonts w:cs="Arial"/>
                <w:b/>
                <w:color w:val="000000"/>
              </w:rPr>
              <w:t>Customer growth</w:t>
            </w:r>
          </w:p>
        </w:tc>
        <w:tc>
          <w:tcPr>
            <w:tcW w:w="0" w:type="dxa"/>
            <w:tcBorders>
              <w:top w:val="single" w:sz="2" w:space="0" w:color="002279"/>
              <w:left w:val="single" w:sz="4" w:space="0" w:color="002279"/>
              <w:bottom w:val="single" w:sz="2" w:space="0" w:color="002279"/>
              <w:right w:val="single" w:sz="4" w:space="0" w:color="002279"/>
            </w:tcBorders>
            <w:shd w:val="clear" w:color="auto" w:fill="D4D6DF"/>
            <w:vAlign w:val="center"/>
            <w:hideMark/>
          </w:tcPr>
          <w:p w14:paraId="110684BF" w14:textId="77777777" w:rsidR="00912807" w:rsidRPr="002020E8" w:rsidRDefault="00912807" w:rsidP="00C324D4">
            <w:pPr>
              <w:spacing w:line="264" w:lineRule="auto"/>
              <w:jc w:val="center"/>
              <w:rPr>
                <w:rFonts w:cs="Arial"/>
              </w:rPr>
            </w:pPr>
            <w:r w:rsidRPr="002020E8">
              <w:rPr>
                <w:rFonts w:cs="Arial"/>
              </w:rPr>
              <w:t>1.17%</w:t>
            </w:r>
          </w:p>
        </w:tc>
        <w:tc>
          <w:tcPr>
            <w:tcW w:w="0" w:type="dxa"/>
            <w:tcBorders>
              <w:top w:val="single" w:sz="2" w:space="0" w:color="002279"/>
              <w:left w:val="single" w:sz="4" w:space="0" w:color="002279"/>
              <w:bottom w:val="single" w:sz="2" w:space="0" w:color="002279"/>
              <w:right w:val="single" w:sz="4" w:space="0" w:color="002279"/>
            </w:tcBorders>
            <w:shd w:val="clear" w:color="auto" w:fill="D4D6DF"/>
            <w:vAlign w:val="center"/>
            <w:hideMark/>
          </w:tcPr>
          <w:p w14:paraId="421F40F1" w14:textId="77777777" w:rsidR="00912807" w:rsidRPr="002020E8" w:rsidRDefault="00912807" w:rsidP="00C324D4">
            <w:pPr>
              <w:spacing w:line="264" w:lineRule="auto"/>
              <w:jc w:val="center"/>
              <w:rPr>
                <w:rFonts w:cs="Arial"/>
              </w:rPr>
            </w:pPr>
            <w:r w:rsidRPr="002020E8">
              <w:rPr>
                <w:rFonts w:cs="Arial"/>
              </w:rPr>
              <w:t>1.16%</w:t>
            </w:r>
          </w:p>
        </w:tc>
        <w:tc>
          <w:tcPr>
            <w:tcW w:w="0" w:type="dxa"/>
            <w:tcBorders>
              <w:top w:val="single" w:sz="2" w:space="0" w:color="002279"/>
              <w:left w:val="single" w:sz="4" w:space="0" w:color="002279"/>
              <w:bottom w:val="single" w:sz="2" w:space="0" w:color="002279"/>
              <w:right w:val="single" w:sz="4" w:space="0" w:color="002279"/>
            </w:tcBorders>
            <w:shd w:val="clear" w:color="auto" w:fill="D4D6DF"/>
            <w:vAlign w:val="center"/>
            <w:hideMark/>
          </w:tcPr>
          <w:p w14:paraId="440B482C" w14:textId="77777777" w:rsidR="00912807" w:rsidRPr="002020E8" w:rsidRDefault="00912807" w:rsidP="00C324D4">
            <w:pPr>
              <w:spacing w:line="264" w:lineRule="auto"/>
              <w:jc w:val="center"/>
              <w:rPr>
                <w:rFonts w:cs="Arial"/>
              </w:rPr>
            </w:pPr>
            <w:r w:rsidRPr="002020E8">
              <w:rPr>
                <w:rFonts w:cs="Arial"/>
              </w:rPr>
              <w:t>1.14%</w:t>
            </w:r>
          </w:p>
        </w:tc>
        <w:tc>
          <w:tcPr>
            <w:tcW w:w="0" w:type="dxa"/>
            <w:tcBorders>
              <w:top w:val="single" w:sz="2" w:space="0" w:color="002279"/>
              <w:left w:val="single" w:sz="4" w:space="0" w:color="002279"/>
              <w:bottom w:val="single" w:sz="2" w:space="0" w:color="002279"/>
              <w:right w:val="single" w:sz="4" w:space="0" w:color="002279"/>
            </w:tcBorders>
            <w:shd w:val="clear" w:color="auto" w:fill="D4D6DF"/>
            <w:vAlign w:val="center"/>
            <w:hideMark/>
          </w:tcPr>
          <w:p w14:paraId="7FDCAC07" w14:textId="77777777" w:rsidR="00912807" w:rsidRPr="002020E8" w:rsidRDefault="00912807" w:rsidP="00C324D4">
            <w:pPr>
              <w:spacing w:line="264" w:lineRule="auto"/>
              <w:jc w:val="center"/>
              <w:rPr>
                <w:rFonts w:cs="Arial"/>
              </w:rPr>
            </w:pPr>
            <w:r w:rsidRPr="002020E8">
              <w:rPr>
                <w:rFonts w:cs="Arial"/>
              </w:rPr>
              <w:t>1.65%</w:t>
            </w:r>
          </w:p>
        </w:tc>
        <w:tc>
          <w:tcPr>
            <w:tcW w:w="0" w:type="dxa"/>
            <w:tcBorders>
              <w:top w:val="single" w:sz="2" w:space="0" w:color="002279"/>
              <w:left w:val="single" w:sz="4" w:space="0" w:color="002279"/>
              <w:bottom w:val="single" w:sz="2" w:space="0" w:color="002279"/>
              <w:right w:val="single" w:sz="4" w:space="0" w:color="002279"/>
            </w:tcBorders>
            <w:shd w:val="clear" w:color="auto" w:fill="D4D6DF"/>
            <w:vAlign w:val="center"/>
            <w:hideMark/>
          </w:tcPr>
          <w:p w14:paraId="4FC085E6" w14:textId="77777777" w:rsidR="00912807" w:rsidRPr="002020E8" w:rsidRDefault="00912807" w:rsidP="00C324D4">
            <w:pPr>
              <w:spacing w:line="264" w:lineRule="auto"/>
              <w:jc w:val="center"/>
              <w:rPr>
                <w:rFonts w:cs="Arial"/>
              </w:rPr>
            </w:pPr>
            <w:r w:rsidRPr="002020E8">
              <w:rPr>
                <w:rFonts w:cs="Arial"/>
              </w:rPr>
              <w:t>1.63%</w:t>
            </w:r>
          </w:p>
        </w:tc>
        <w:tc>
          <w:tcPr>
            <w:tcW w:w="0" w:type="dxa"/>
            <w:tcBorders>
              <w:top w:val="single" w:sz="2" w:space="0" w:color="002279"/>
              <w:left w:val="single" w:sz="4" w:space="0" w:color="002279"/>
              <w:bottom w:val="single" w:sz="2" w:space="0" w:color="002279"/>
              <w:right w:val="single" w:sz="4" w:space="0" w:color="002279"/>
            </w:tcBorders>
            <w:shd w:val="clear" w:color="auto" w:fill="D4D6DF"/>
            <w:vAlign w:val="center"/>
            <w:hideMark/>
          </w:tcPr>
          <w:p w14:paraId="27DD9E0D" w14:textId="77777777" w:rsidR="00912807" w:rsidRPr="002020E8" w:rsidRDefault="00912807" w:rsidP="00C324D4">
            <w:pPr>
              <w:spacing w:line="264" w:lineRule="auto"/>
              <w:jc w:val="center"/>
              <w:rPr>
                <w:rFonts w:cs="Arial"/>
              </w:rPr>
            </w:pPr>
            <w:r w:rsidRPr="002020E8">
              <w:rPr>
                <w:rFonts w:cs="Arial"/>
                <w:color w:val="000000"/>
              </w:rPr>
              <w:t>1.35%</w:t>
            </w:r>
          </w:p>
        </w:tc>
      </w:tr>
      <w:tr w:rsidR="00912807" w:rsidRPr="004C03DF" w14:paraId="5C220492" w14:textId="77777777" w:rsidTr="003F1732">
        <w:trPr>
          <w:cnfStyle w:val="000000010000" w:firstRow="0" w:lastRow="0" w:firstColumn="0" w:lastColumn="0" w:oddVBand="0" w:evenVBand="0" w:oddHBand="0" w:evenHBand="1" w:firstRowFirstColumn="0" w:firstRowLastColumn="0" w:lastRowFirstColumn="0" w:lastRowLastColumn="0"/>
        </w:trPr>
        <w:tc>
          <w:tcPr>
            <w:tcW w:w="0" w:type="dxa"/>
            <w:tcBorders>
              <w:top w:val="single" w:sz="2" w:space="0" w:color="002279"/>
              <w:left w:val="single" w:sz="4" w:space="0" w:color="002279"/>
              <w:bottom w:val="single" w:sz="4" w:space="0" w:color="002279"/>
              <w:right w:val="single" w:sz="4" w:space="0" w:color="002279"/>
            </w:tcBorders>
            <w:shd w:val="clear" w:color="auto" w:fill="FFFFFF" w:themeFill="background1"/>
            <w:vAlign w:val="center"/>
            <w:hideMark/>
          </w:tcPr>
          <w:p w14:paraId="6A24A184" w14:textId="77777777" w:rsidR="00912807" w:rsidRPr="002020E8" w:rsidRDefault="00912807" w:rsidP="00525D8C">
            <w:pPr>
              <w:spacing w:line="264" w:lineRule="auto"/>
              <w:rPr>
                <w:rFonts w:cs="Arial"/>
                <w:b/>
              </w:rPr>
            </w:pPr>
            <w:r w:rsidRPr="002020E8">
              <w:rPr>
                <w:rFonts w:cs="Arial"/>
                <w:b/>
                <w:color w:val="000000"/>
              </w:rPr>
              <w:t>Net cost efficiency improvement rate</w:t>
            </w:r>
          </w:p>
        </w:tc>
        <w:tc>
          <w:tcPr>
            <w:tcW w:w="0" w:type="dxa"/>
            <w:tcBorders>
              <w:top w:val="single" w:sz="2" w:space="0" w:color="002279"/>
              <w:left w:val="single" w:sz="4" w:space="0" w:color="002279"/>
              <w:bottom w:val="single" w:sz="4" w:space="0" w:color="002279"/>
              <w:right w:val="single" w:sz="4" w:space="0" w:color="002279"/>
            </w:tcBorders>
            <w:shd w:val="clear" w:color="auto" w:fill="FFFFFF" w:themeFill="background1"/>
            <w:vAlign w:val="center"/>
            <w:hideMark/>
          </w:tcPr>
          <w:p w14:paraId="1A5523E4" w14:textId="7724353D" w:rsidR="00912807" w:rsidRPr="002020E8" w:rsidRDefault="00912807" w:rsidP="00C324D4">
            <w:pPr>
              <w:spacing w:line="264" w:lineRule="auto"/>
              <w:jc w:val="center"/>
              <w:rPr>
                <w:rFonts w:cs="Arial"/>
              </w:rPr>
            </w:pPr>
            <w:r w:rsidRPr="002020E8">
              <w:rPr>
                <w:rFonts w:cs="Arial"/>
                <w:color w:val="000000"/>
              </w:rPr>
              <w:t>1.</w:t>
            </w:r>
            <w:r w:rsidR="00987BFE">
              <w:rPr>
                <w:rFonts w:cs="Arial"/>
                <w:color w:val="000000"/>
              </w:rPr>
              <w:t>4</w:t>
            </w:r>
            <w:r w:rsidRPr="002020E8">
              <w:rPr>
                <w:rFonts w:cs="Arial"/>
                <w:color w:val="000000"/>
              </w:rPr>
              <w:t>0%</w:t>
            </w:r>
          </w:p>
        </w:tc>
        <w:tc>
          <w:tcPr>
            <w:tcW w:w="0" w:type="dxa"/>
            <w:tcBorders>
              <w:top w:val="single" w:sz="2" w:space="0" w:color="002279"/>
              <w:left w:val="single" w:sz="4" w:space="0" w:color="002279"/>
              <w:bottom w:val="single" w:sz="4" w:space="0" w:color="002279"/>
              <w:right w:val="single" w:sz="4" w:space="0" w:color="002279"/>
            </w:tcBorders>
            <w:shd w:val="clear" w:color="auto" w:fill="FFFFFF" w:themeFill="background1"/>
            <w:vAlign w:val="center"/>
            <w:hideMark/>
          </w:tcPr>
          <w:p w14:paraId="4F4E9AA0" w14:textId="3392AE51" w:rsidR="00912807" w:rsidRPr="002020E8" w:rsidRDefault="00912807" w:rsidP="00C324D4">
            <w:pPr>
              <w:spacing w:line="264" w:lineRule="auto"/>
              <w:jc w:val="center"/>
              <w:rPr>
                <w:rFonts w:cs="Arial"/>
              </w:rPr>
            </w:pPr>
            <w:r w:rsidRPr="002020E8">
              <w:rPr>
                <w:rFonts w:cs="Arial"/>
                <w:color w:val="000000"/>
              </w:rPr>
              <w:t>1.</w:t>
            </w:r>
            <w:r w:rsidR="00987BFE">
              <w:rPr>
                <w:rFonts w:cs="Arial"/>
                <w:color w:val="000000"/>
              </w:rPr>
              <w:t>12</w:t>
            </w:r>
            <w:r w:rsidRPr="002020E8">
              <w:rPr>
                <w:rFonts w:cs="Arial"/>
                <w:color w:val="000000"/>
              </w:rPr>
              <w:t>%</w:t>
            </w:r>
          </w:p>
        </w:tc>
        <w:tc>
          <w:tcPr>
            <w:tcW w:w="0" w:type="dxa"/>
            <w:tcBorders>
              <w:top w:val="single" w:sz="2" w:space="0" w:color="002279"/>
              <w:left w:val="single" w:sz="4" w:space="0" w:color="002279"/>
              <w:bottom w:val="single" w:sz="4" w:space="0" w:color="002279"/>
              <w:right w:val="single" w:sz="4" w:space="0" w:color="002279"/>
            </w:tcBorders>
            <w:shd w:val="clear" w:color="auto" w:fill="FFFFFF" w:themeFill="background1"/>
            <w:vAlign w:val="center"/>
            <w:hideMark/>
          </w:tcPr>
          <w:p w14:paraId="158EB9D4" w14:textId="05D51163" w:rsidR="00912807" w:rsidRPr="002020E8" w:rsidRDefault="00912807" w:rsidP="00C324D4">
            <w:pPr>
              <w:spacing w:line="264" w:lineRule="auto"/>
              <w:jc w:val="center"/>
              <w:rPr>
                <w:rFonts w:cs="Arial"/>
              </w:rPr>
            </w:pPr>
            <w:r w:rsidRPr="002020E8">
              <w:rPr>
                <w:rFonts w:cs="Arial"/>
                <w:color w:val="000000"/>
              </w:rPr>
              <w:t>1.</w:t>
            </w:r>
            <w:r w:rsidR="00987BFE">
              <w:rPr>
                <w:rFonts w:cs="Arial"/>
                <w:color w:val="000000"/>
              </w:rPr>
              <w:t>03</w:t>
            </w:r>
            <w:r w:rsidRPr="002020E8">
              <w:rPr>
                <w:rFonts w:cs="Arial"/>
                <w:color w:val="000000"/>
              </w:rPr>
              <w:t>%</w:t>
            </w:r>
          </w:p>
        </w:tc>
        <w:tc>
          <w:tcPr>
            <w:tcW w:w="0" w:type="dxa"/>
            <w:tcBorders>
              <w:top w:val="single" w:sz="2" w:space="0" w:color="002279"/>
              <w:left w:val="single" w:sz="4" w:space="0" w:color="002279"/>
              <w:bottom w:val="single" w:sz="4" w:space="0" w:color="002279"/>
              <w:right w:val="single" w:sz="4" w:space="0" w:color="002279"/>
            </w:tcBorders>
            <w:shd w:val="clear" w:color="auto" w:fill="FFFFFF" w:themeFill="background1"/>
            <w:vAlign w:val="center"/>
            <w:hideMark/>
          </w:tcPr>
          <w:p w14:paraId="1F7BBB5B" w14:textId="40053DFC" w:rsidR="00912807" w:rsidRPr="002020E8" w:rsidRDefault="00912807" w:rsidP="00C324D4">
            <w:pPr>
              <w:spacing w:line="264" w:lineRule="auto"/>
              <w:jc w:val="center"/>
              <w:rPr>
                <w:rFonts w:cs="Arial"/>
              </w:rPr>
            </w:pPr>
            <w:r w:rsidRPr="002020E8">
              <w:rPr>
                <w:rFonts w:cs="Arial"/>
                <w:color w:val="000000"/>
              </w:rPr>
              <w:t>0.</w:t>
            </w:r>
            <w:r w:rsidR="00987BFE">
              <w:rPr>
                <w:rFonts w:cs="Arial"/>
                <w:color w:val="000000"/>
              </w:rPr>
              <w:t>39</w:t>
            </w:r>
            <w:r w:rsidRPr="002020E8">
              <w:rPr>
                <w:rFonts w:cs="Arial"/>
                <w:color w:val="000000"/>
              </w:rPr>
              <w:t>%</w:t>
            </w:r>
          </w:p>
        </w:tc>
        <w:tc>
          <w:tcPr>
            <w:tcW w:w="0" w:type="dxa"/>
            <w:tcBorders>
              <w:top w:val="single" w:sz="2" w:space="0" w:color="002279"/>
              <w:left w:val="single" w:sz="4" w:space="0" w:color="002279"/>
              <w:bottom w:val="single" w:sz="4" w:space="0" w:color="002279"/>
              <w:right w:val="single" w:sz="4" w:space="0" w:color="002279"/>
            </w:tcBorders>
            <w:shd w:val="clear" w:color="auto" w:fill="FFFFFF" w:themeFill="background1"/>
            <w:vAlign w:val="center"/>
            <w:hideMark/>
          </w:tcPr>
          <w:p w14:paraId="68CF5485" w14:textId="3B3083AE" w:rsidR="00912807" w:rsidRPr="002020E8" w:rsidRDefault="00912807" w:rsidP="00C324D4">
            <w:pPr>
              <w:spacing w:line="264" w:lineRule="auto"/>
              <w:jc w:val="center"/>
              <w:rPr>
                <w:rFonts w:cs="Arial"/>
              </w:rPr>
            </w:pPr>
            <w:r w:rsidRPr="002020E8">
              <w:rPr>
                <w:rFonts w:cs="Arial"/>
                <w:color w:val="000000"/>
              </w:rPr>
              <w:t>0.</w:t>
            </w:r>
            <w:r w:rsidR="00987BFE">
              <w:rPr>
                <w:rFonts w:cs="Arial"/>
                <w:color w:val="000000"/>
              </w:rPr>
              <w:t>41</w:t>
            </w:r>
            <w:r w:rsidRPr="002020E8">
              <w:rPr>
                <w:rFonts w:cs="Arial"/>
                <w:color w:val="000000"/>
              </w:rPr>
              <w:t>%</w:t>
            </w:r>
          </w:p>
        </w:tc>
        <w:tc>
          <w:tcPr>
            <w:tcW w:w="0" w:type="dxa"/>
            <w:tcBorders>
              <w:top w:val="single" w:sz="2" w:space="0" w:color="002279"/>
              <w:left w:val="single" w:sz="4" w:space="0" w:color="002279"/>
              <w:bottom w:val="single" w:sz="4" w:space="0" w:color="002279"/>
              <w:right w:val="single" w:sz="4" w:space="0" w:color="002279"/>
            </w:tcBorders>
            <w:shd w:val="clear" w:color="auto" w:fill="FFFFFF" w:themeFill="background1"/>
            <w:vAlign w:val="center"/>
            <w:hideMark/>
          </w:tcPr>
          <w:p w14:paraId="74EA5093" w14:textId="3592AE38" w:rsidR="00912807" w:rsidRPr="002020E8" w:rsidRDefault="00987BFE" w:rsidP="00C324D4">
            <w:pPr>
              <w:spacing w:line="264" w:lineRule="auto"/>
              <w:jc w:val="center"/>
              <w:rPr>
                <w:rFonts w:cs="Arial"/>
              </w:rPr>
            </w:pPr>
            <w:r>
              <w:rPr>
                <w:rFonts w:cs="Arial"/>
                <w:color w:val="000000"/>
              </w:rPr>
              <w:t>0.87</w:t>
            </w:r>
            <w:r w:rsidR="00912807" w:rsidRPr="002020E8">
              <w:rPr>
                <w:rFonts w:cs="Arial"/>
                <w:color w:val="000000"/>
              </w:rPr>
              <w:t>%</w:t>
            </w:r>
          </w:p>
        </w:tc>
      </w:tr>
    </w:tbl>
    <w:p w14:paraId="201647E8" w14:textId="77777777" w:rsidR="00912807" w:rsidRDefault="00912807" w:rsidP="00912807">
      <w:pPr>
        <w:rPr>
          <w:highlight w:val="yellow"/>
        </w:rPr>
      </w:pPr>
    </w:p>
    <w:p w14:paraId="2698A004" w14:textId="57886A43" w:rsidR="00912807" w:rsidRPr="000F2D8F" w:rsidRDefault="000F2D8F" w:rsidP="00882A9A">
      <w:pPr>
        <w:rPr>
          <w:b/>
        </w:rPr>
      </w:pPr>
      <w:r w:rsidRPr="000F2D8F">
        <w:rPr>
          <w:b/>
          <w:bCs/>
        </w:rPr>
        <w:lastRenderedPageBreak/>
        <w:t>Efficiency improvement rate</w:t>
      </w:r>
    </w:p>
    <w:p w14:paraId="6D6E01B5" w14:textId="6ECF61A3" w:rsidR="00F115DC" w:rsidRDefault="00353961" w:rsidP="003F3D24">
      <w:r>
        <w:t>South East Water</w:t>
      </w:r>
      <w:r w:rsidR="0003088F">
        <w:t xml:space="preserve"> has a</w:t>
      </w:r>
      <w:r>
        <w:t xml:space="preserve"> </w:t>
      </w:r>
      <w:r w:rsidR="00142E19">
        <w:t xml:space="preserve">strong </w:t>
      </w:r>
      <w:r w:rsidR="00BB2220">
        <w:t xml:space="preserve">commitment to delivering </w:t>
      </w:r>
      <w:r w:rsidR="0003088F">
        <w:t xml:space="preserve">ongoing </w:t>
      </w:r>
      <w:r w:rsidR="00BB2220">
        <w:t>efficiency savings</w:t>
      </w:r>
      <w:r w:rsidR="00F115DC">
        <w:t xml:space="preserve">. </w:t>
      </w:r>
      <w:r w:rsidR="00525D8C">
        <w:br/>
      </w:r>
      <w:r w:rsidR="00F115DC">
        <w:t xml:space="preserve">As a result, an </w:t>
      </w:r>
      <w:r w:rsidR="003F3D24">
        <w:t xml:space="preserve">annual </w:t>
      </w:r>
      <w:r w:rsidR="00F115DC">
        <w:t xml:space="preserve">efficiency improvement rate of </w:t>
      </w:r>
      <w:r w:rsidR="00F115DC">
        <w:rPr>
          <w:rFonts w:eastAsia="Arial" w:cs="Arial"/>
        </w:rPr>
        <w:t>2%</w:t>
      </w:r>
      <w:r w:rsidR="00F115DC" w:rsidRPr="00AA3DD0">
        <w:rPr>
          <w:rFonts w:eastAsia="Arial" w:cs="Arial"/>
        </w:rPr>
        <w:t xml:space="preserve"> </w:t>
      </w:r>
      <w:r w:rsidR="003F3D24">
        <w:rPr>
          <w:rFonts w:eastAsia="Arial" w:cs="Arial"/>
        </w:rPr>
        <w:t>is proposed</w:t>
      </w:r>
      <w:r w:rsidR="00F115DC">
        <w:rPr>
          <w:rFonts w:eastAsia="Arial" w:cs="Arial"/>
        </w:rPr>
        <w:t>,</w:t>
      </w:r>
      <w:r w:rsidR="00F115DC" w:rsidRPr="00AA3DD0">
        <w:rPr>
          <w:rFonts w:eastAsia="Arial" w:cs="Arial"/>
        </w:rPr>
        <w:t xml:space="preserve"> </w:t>
      </w:r>
      <w:r w:rsidR="00F115DC">
        <w:rPr>
          <w:rFonts w:eastAsia="Arial" w:cs="Arial"/>
        </w:rPr>
        <w:t>which is ahead of the ESC</w:t>
      </w:r>
      <w:r w:rsidR="00612583">
        <w:rPr>
          <w:rFonts w:eastAsia="Arial" w:cs="Arial"/>
        </w:rPr>
        <w:t>’</w:t>
      </w:r>
      <w:r w:rsidR="00F115DC">
        <w:rPr>
          <w:rFonts w:eastAsia="Arial" w:cs="Arial"/>
        </w:rPr>
        <w:t>s efficiency hurdle rate. This efficiency rate delivers a reduction in controllable</w:t>
      </w:r>
      <w:r w:rsidR="00B66A32">
        <w:rPr>
          <w:rFonts w:eastAsia="Arial" w:cs="Arial"/>
        </w:rPr>
        <w:t xml:space="preserve"> operating</w:t>
      </w:r>
      <w:r w:rsidR="00F115DC">
        <w:rPr>
          <w:rFonts w:eastAsia="Arial" w:cs="Arial"/>
        </w:rPr>
        <w:t xml:space="preserve"> expenditure of </w:t>
      </w:r>
      <w:r w:rsidR="00F115DC" w:rsidRPr="00CB0971">
        <w:rPr>
          <w:rFonts w:eastAsia="Arial" w:cs="Arial"/>
        </w:rPr>
        <w:t>$22.5 million</w:t>
      </w:r>
      <w:r w:rsidR="00F115DC">
        <w:rPr>
          <w:rFonts w:eastAsia="Arial" w:cs="Arial"/>
        </w:rPr>
        <w:t xml:space="preserve"> over the </w:t>
      </w:r>
      <w:r w:rsidR="00F115DC">
        <w:t>2023</w:t>
      </w:r>
      <w:r w:rsidR="00310E2A">
        <w:t>–</w:t>
      </w:r>
      <w:r w:rsidR="00F115DC">
        <w:t xml:space="preserve">28 </w:t>
      </w:r>
      <w:r w:rsidR="00F115DC">
        <w:rPr>
          <w:rFonts w:eastAsia="Arial" w:cs="Arial"/>
        </w:rPr>
        <w:t>regulatory period.</w:t>
      </w:r>
    </w:p>
    <w:p w14:paraId="49C618A2" w14:textId="753CF939" w:rsidR="00912807" w:rsidRDefault="00FF141C" w:rsidP="00882A9A">
      <w:r>
        <w:t xml:space="preserve">Our </w:t>
      </w:r>
      <w:r w:rsidR="0044284A">
        <w:t>efficiency-enhancing investment</w:t>
      </w:r>
      <w:r w:rsidR="0074094D">
        <w:t>s</w:t>
      </w:r>
      <w:r w:rsidR="0044284A">
        <w:t xml:space="preserve"> such as the Digital Utility program and </w:t>
      </w:r>
      <w:r w:rsidR="004E5C6D">
        <w:t xml:space="preserve">efficient contracting arrangements </w:t>
      </w:r>
      <w:r w:rsidR="007917BA">
        <w:t>will support the achievement of these efficiency savings.</w:t>
      </w:r>
    </w:p>
    <w:p w14:paraId="252EFEA7" w14:textId="08C47CA7" w:rsidR="005B0E04" w:rsidRPr="000F2D8F" w:rsidRDefault="005B0E04" w:rsidP="005B0E04">
      <w:pPr>
        <w:rPr>
          <w:b/>
          <w:bCs/>
        </w:rPr>
      </w:pPr>
      <w:r>
        <w:rPr>
          <w:b/>
          <w:bCs/>
        </w:rPr>
        <w:t>Growth allowance</w:t>
      </w:r>
    </w:p>
    <w:p w14:paraId="1DB1E870" w14:textId="1B35F3C6" w:rsidR="00882A9A" w:rsidRDefault="00882A9A" w:rsidP="00882A9A">
      <w:r>
        <w:t xml:space="preserve">In previous price reviews, South East Water has based its operating expenditure growth </w:t>
      </w:r>
      <w:r w:rsidR="005B0E04">
        <w:t>allowance</w:t>
      </w:r>
      <w:r>
        <w:t xml:space="preserve"> on forecast customer growth over the regulatory period. However, following the </w:t>
      </w:r>
      <w:r w:rsidR="005B5DA4">
        <w:t>coronavirus (</w:t>
      </w:r>
      <w:r>
        <w:t>COVID-19</w:t>
      </w:r>
      <w:r w:rsidR="005B5DA4">
        <w:t>)</w:t>
      </w:r>
      <w:r>
        <w:t xml:space="preserve"> pandemic and its effect on customer growth rates, </w:t>
      </w:r>
      <w:r w:rsidR="00CA7E0C">
        <w:t xml:space="preserve">assuming </w:t>
      </w:r>
      <w:r>
        <w:t xml:space="preserve">a direct relationship between </w:t>
      </w:r>
      <w:r w:rsidR="00025613">
        <w:t xml:space="preserve">residential </w:t>
      </w:r>
      <w:r>
        <w:t>customer growth and operating expenditure growth may no longer be reasonable</w:t>
      </w:r>
      <w:r w:rsidR="00CA7E0C">
        <w:t xml:space="preserve"> (as noted in the ESC</w:t>
      </w:r>
      <w:r w:rsidR="00612583">
        <w:t>’</w:t>
      </w:r>
      <w:r w:rsidR="00CA7E0C">
        <w:t xml:space="preserve">s </w:t>
      </w:r>
      <w:r w:rsidR="00245338">
        <w:t>g</w:t>
      </w:r>
      <w:r w:rsidR="00CA7E0C">
        <w:t xml:space="preserve">uidance </w:t>
      </w:r>
      <w:r w:rsidR="00245338">
        <w:t>p</w:t>
      </w:r>
      <w:r w:rsidR="00CA7E0C">
        <w:t>aper</w:t>
      </w:r>
      <w:r w:rsidR="008765BA">
        <w:t>)</w:t>
      </w:r>
      <w:r>
        <w:t xml:space="preserve">. </w:t>
      </w:r>
    </w:p>
    <w:p w14:paraId="2C846B03" w14:textId="673FD860" w:rsidR="009B2CD9" w:rsidRDefault="00E0618C" w:rsidP="00882A9A">
      <w:r>
        <w:rPr>
          <w:noProof/>
        </w:rPr>
        <mc:AlternateContent>
          <mc:Choice Requires="wps">
            <w:drawing>
              <wp:anchor distT="45720" distB="45720" distL="114300" distR="114300" simplePos="0" relativeHeight="251658248" behindDoc="0" locked="0" layoutInCell="1" allowOverlap="1" wp14:anchorId="0DC94F97" wp14:editId="4E08D4A2">
                <wp:simplePos x="0" y="0"/>
                <wp:positionH relativeFrom="margin">
                  <wp:posOffset>-151765</wp:posOffset>
                </wp:positionH>
                <wp:positionV relativeFrom="paragraph">
                  <wp:posOffset>522605</wp:posOffset>
                </wp:positionV>
                <wp:extent cx="6197600" cy="5432425"/>
                <wp:effectExtent l="0" t="0" r="0" b="3175"/>
                <wp:wrapSquare wrapText="bothSides"/>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0" cy="5432425"/>
                        </a:xfrm>
                        <a:prstGeom prst="rect">
                          <a:avLst/>
                        </a:prstGeom>
                        <a:solidFill>
                          <a:schemeClr val="bg1">
                            <a:lumMod val="85000"/>
                            <a:alpha val="46000"/>
                          </a:schemeClr>
                        </a:solidFill>
                        <a:ln w="9525">
                          <a:noFill/>
                          <a:miter lim="800000"/>
                          <a:headEnd/>
                          <a:tailEnd/>
                        </a:ln>
                      </wps:spPr>
                      <wps:txbx>
                        <w:txbxContent>
                          <w:p w14:paraId="2F4278EE" w14:textId="37753454" w:rsidR="0069477C" w:rsidRPr="00004F08" w:rsidRDefault="0069477C" w:rsidP="004D037A">
                            <w:pPr>
                              <w:rPr>
                                <w:rFonts w:eastAsia="Arial" w:cs="Arial"/>
                                <w:b/>
                              </w:rPr>
                            </w:pPr>
                            <w:r w:rsidRPr="00004F08">
                              <w:rPr>
                                <w:rFonts w:eastAsia="Arial" w:cs="Arial"/>
                                <w:b/>
                              </w:rPr>
                              <w:t xml:space="preserve">Box </w:t>
                            </w:r>
                            <w:r w:rsidR="00094ED7" w:rsidRPr="00004F08">
                              <w:rPr>
                                <w:rFonts w:eastAsia="Arial" w:cs="Arial"/>
                                <w:b/>
                              </w:rPr>
                              <w:t>1</w:t>
                            </w:r>
                            <w:r w:rsidRPr="00004F08">
                              <w:rPr>
                                <w:rFonts w:eastAsia="Arial" w:cs="Arial"/>
                                <w:b/>
                              </w:rPr>
                              <w:t>: Relationship between controllable operating expenditure and growth</w:t>
                            </w:r>
                          </w:p>
                          <w:p w14:paraId="24261D0D" w14:textId="64F46CBE" w:rsidR="0069477C" w:rsidRPr="005D11C5" w:rsidRDefault="0069477C" w:rsidP="004D037A">
                            <w:pPr>
                              <w:rPr>
                                <w:rFonts w:eastAsia="Arial" w:cs="Arial"/>
                              </w:rPr>
                            </w:pPr>
                            <w:r w:rsidRPr="005D11C5">
                              <w:rPr>
                                <w:rFonts w:eastAsia="Arial" w:cs="Arial"/>
                              </w:rPr>
                              <w:t>As shown i</w:t>
                            </w:r>
                            <w:r w:rsidR="00235279">
                              <w:rPr>
                                <w:rFonts w:eastAsia="Arial" w:cs="Arial"/>
                              </w:rPr>
                              <w:t>n Table 31</w:t>
                            </w:r>
                            <w:r w:rsidRPr="005D11C5">
                              <w:rPr>
                                <w:rFonts w:eastAsia="Arial" w:cs="Arial"/>
                              </w:rPr>
                              <w:t>, controllable operating expenditure has grown at a lower rate (1.</w:t>
                            </w:r>
                            <w:r w:rsidR="008D1BCD">
                              <w:rPr>
                                <w:rFonts w:eastAsia="Arial" w:cs="Arial"/>
                              </w:rPr>
                              <w:t>77</w:t>
                            </w:r>
                            <w:r w:rsidRPr="005D11C5">
                              <w:rPr>
                                <w:rFonts w:eastAsia="Arial" w:cs="Arial"/>
                              </w:rPr>
                              <w:t xml:space="preserve">% on average) than </w:t>
                            </w:r>
                            <w:r w:rsidR="008D1BCD">
                              <w:rPr>
                                <w:rFonts w:eastAsia="Arial" w:cs="Arial"/>
                              </w:rPr>
                              <w:t>residential</w:t>
                            </w:r>
                            <w:r w:rsidRPr="005D11C5">
                              <w:rPr>
                                <w:rFonts w:eastAsia="Arial" w:cs="Arial"/>
                              </w:rPr>
                              <w:t xml:space="preserve"> water customer numbers (1.</w:t>
                            </w:r>
                            <w:r w:rsidR="008D1BCD">
                              <w:rPr>
                                <w:rFonts w:eastAsia="Arial" w:cs="Arial"/>
                              </w:rPr>
                              <w:t>90</w:t>
                            </w:r>
                            <w:r w:rsidRPr="005D11C5">
                              <w:rPr>
                                <w:rFonts w:eastAsia="Arial" w:cs="Arial"/>
                              </w:rPr>
                              <w:t>% on average) over the last 5 years, with a difference of around 0.</w:t>
                            </w:r>
                            <w:r w:rsidR="008D1BCD">
                              <w:rPr>
                                <w:rFonts w:eastAsia="Arial" w:cs="Arial"/>
                              </w:rPr>
                              <w:t>13</w:t>
                            </w:r>
                            <w:r w:rsidRPr="005D11C5">
                              <w:rPr>
                                <w:rFonts w:eastAsia="Arial" w:cs="Arial"/>
                              </w:rPr>
                              <w:t>% per year on average.</w:t>
                            </w:r>
                          </w:p>
                          <w:p w14:paraId="65354659" w14:textId="152D0548" w:rsidR="0069477C" w:rsidRPr="005D11C5" w:rsidRDefault="0069477C" w:rsidP="004D037A">
                            <w:pPr>
                              <w:rPr>
                                <w:rFonts w:eastAsia="Arial" w:cs="Arial"/>
                              </w:rPr>
                            </w:pPr>
                            <w:r w:rsidRPr="005D11C5">
                              <w:rPr>
                                <w:rFonts w:eastAsia="Arial" w:cs="Arial"/>
                              </w:rPr>
                              <w:t xml:space="preserve">In addition, bulk water consumption has grown at a lower rate (1.05% on average) than </w:t>
                            </w:r>
                            <w:r w:rsidR="008D1BCD">
                              <w:rPr>
                                <w:rFonts w:eastAsia="Arial" w:cs="Arial"/>
                              </w:rPr>
                              <w:t xml:space="preserve">residential </w:t>
                            </w:r>
                            <w:r w:rsidRPr="005D11C5">
                              <w:rPr>
                                <w:rFonts w:eastAsia="Arial" w:cs="Arial"/>
                              </w:rPr>
                              <w:t>water customer numbers (1.</w:t>
                            </w:r>
                            <w:r w:rsidR="008D1BCD">
                              <w:rPr>
                                <w:rFonts w:eastAsia="Arial" w:cs="Arial"/>
                              </w:rPr>
                              <w:t>90</w:t>
                            </w:r>
                            <w:r w:rsidRPr="005D11C5">
                              <w:rPr>
                                <w:rFonts w:eastAsia="Arial" w:cs="Arial"/>
                              </w:rPr>
                              <w:t>% on average) over the last 5 years, with a difference of around 0.</w:t>
                            </w:r>
                            <w:r w:rsidR="008D1BCD">
                              <w:rPr>
                                <w:rFonts w:eastAsia="Arial" w:cs="Arial"/>
                              </w:rPr>
                              <w:t>85</w:t>
                            </w:r>
                            <w:r w:rsidRPr="005D11C5">
                              <w:rPr>
                                <w:rFonts w:eastAsia="Arial" w:cs="Arial"/>
                              </w:rPr>
                              <w:t>% per year on average. This has been due to the impacts of COVID</w:t>
                            </w:r>
                            <w:r>
                              <w:rPr>
                                <w:rFonts w:eastAsia="Arial" w:cs="Arial"/>
                              </w:rPr>
                              <w:t>-19</w:t>
                            </w:r>
                            <w:r w:rsidRPr="005D11C5">
                              <w:rPr>
                                <w:rFonts w:eastAsia="Arial" w:cs="Arial"/>
                              </w:rPr>
                              <w:t xml:space="preserve"> and a wetter climate on bulk water usage, which led to lower water consumption overall. </w:t>
                            </w:r>
                            <w:r w:rsidR="00E0618C">
                              <w:rPr>
                                <w:rFonts w:eastAsia="Arial" w:cs="Arial"/>
                              </w:rPr>
                              <w:br/>
                            </w:r>
                          </w:p>
                          <w:p w14:paraId="47D8C13D" w14:textId="5801E703" w:rsidR="0069477C" w:rsidRPr="00430A88" w:rsidRDefault="0069477C" w:rsidP="004D037A">
                            <w:pPr>
                              <w:rPr>
                                <w:i/>
                                <w:sz w:val="22"/>
                                <w:szCs w:val="22"/>
                              </w:rPr>
                            </w:pPr>
                            <w:r w:rsidRPr="00CE6C4E">
                              <w:rPr>
                                <w:b/>
                                <w:i/>
                                <w:sz w:val="22"/>
                                <w:szCs w:val="22"/>
                              </w:rPr>
                              <w:t xml:space="preserve">Table </w:t>
                            </w:r>
                            <w:r w:rsidR="002128BB" w:rsidRPr="00CE6C4E">
                              <w:rPr>
                                <w:b/>
                                <w:bCs/>
                                <w:i/>
                                <w:iCs/>
                                <w:sz w:val="22"/>
                                <w:szCs w:val="22"/>
                              </w:rPr>
                              <w:fldChar w:fldCharType="begin"/>
                            </w:r>
                            <w:r w:rsidR="002128BB" w:rsidRPr="00CE6C4E">
                              <w:rPr>
                                <w:b/>
                                <w:bCs/>
                                <w:i/>
                                <w:iCs/>
                                <w:sz w:val="22"/>
                                <w:szCs w:val="22"/>
                              </w:rPr>
                              <w:instrText>SEQ Table \* ARABIC</w:instrText>
                            </w:r>
                            <w:r w:rsidR="002128BB" w:rsidRPr="00CE6C4E">
                              <w:rPr>
                                <w:b/>
                                <w:bCs/>
                                <w:i/>
                                <w:iCs/>
                                <w:sz w:val="22"/>
                                <w:szCs w:val="22"/>
                              </w:rPr>
                              <w:fldChar w:fldCharType="separate"/>
                            </w:r>
                            <w:r w:rsidR="002128BB">
                              <w:rPr>
                                <w:b/>
                                <w:bCs/>
                                <w:i/>
                                <w:iCs/>
                                <w:noProof/>
                                <w:sz w:val="22"/>
                                <w:szCs w:val="22"/>
                              </w:rPr>
                              <w:t>31</w:t>
                            </w:r>
                            <w:r w:rsidR="002128BB" w:rsidRPr="00CE6C4E">
                              <w:rPr>
                                <w:b/>
                                <w:bCs/>
                                <w:i/>
                                <w:iCs/>
                                <w:sz w:val="22"/>
                                <w:szCs w:val="22"/>
                              </w:rPr>
                              <w:fldChar w:fldCharType="end"/>
                            </w:r>
                            <w:r w:rsidR="00235279">
                              <w:rPr>
                                <w:rFonts w:ascii="Arial Bold" w:hAnsi="Arial Bold"/>
                                <w:b/>
                                <w:i/>
                                <w:sz w:val="22"/>
                                <w:szCs w:val="22"/>
                              </w:rPr>
                              <w:t xml:space="preserve">: </w:t>
                            </w:r>
                            <w:r w:rsidRPr="005D11C5">
                              <w:rPr>
                                <w:rFonts w:cs="Arial"/>
                                <w:b/>
                                <w:i/>
                                <w:sz w:val="22"/>
                                <w:szCs w:val="22"/>
                              </w:rPr>
                              <w:t>Historical benchmarks</w:t>
                            </w:r>
                          </w:p>
                          <w:tbl>
                            <w:tblPr>
                              <w:tblStyle w:val="MJTableStyle1default"/>
                              <w:tblW w:w="9119" w:type="dxa"/>
                              <w:tblInd w:w="5" w:type="dxa"/>
                              <w:tblLook w:val="04A0" w:firstRow="1" w:lastRow="0" w:firstColumn="1" w:lastColumn="0" w:noHBand="0" w:noVBand="1"/>
                            </w:tblPr>
                            <w:tblGrid>
                              <w:gridCol w:w="2884"/>
                              <w:gridCol w:w="1039"/>
                              <w:gridCol w:w="1039"/>
                              <w:gridCol w:w="1039"/>
                              <w:gridCol w:w="1039"/>
                              <w:gridCol w:w="1039"/>
                              <w:gridCol w:w="1040"/>
                            </w:tblGrid>
                            <w:tr w:rsidR="00AD7771" w:rsidRPr="00430A88" w14:paraId="412D8780" w14:textId="77777777" w:rsidTr="003F1732">
                              <w:trPr>
                                <w:cnfStyle w:val="100000000000" w:firstRow="1" w:lastRow="0" w:firstColumn="0" w:lastColumn="0" w:oddVBand="0" w:evenVBand="0" w:oddHBand="0" w:evenHBand="0" w:firstRowFirstColumn="0" w:firstRowLastColumn="0" w:lastRowFirstColumn="0" w:lastRowLastColumn="0"/>
                                <w:trHeight w:val="881"/>
                              </w:trPr>
                              <w:tc>
                                <w:tcPr>
                                  <w:tcW w:w="2884" w:type="dxa"/>
                                  <w:tcBorders>
                                    <w:top w:val="single" w:sz="4" w:space="0" w:color="002279"/>
                                    <w:left w:val="single" w:sz="4" w:space="0" w:color="002279"/>
                                    <w:bottom w:val="single" w:sz="2" w:space="0" w:color="002279"/>
                                    <w:right w:val="single" w:sz="4" w:space="0" w:color="FFFFFF" w:themeColor="background1"/>
                                  </w:tcBorders>
                                  <w:shd w:val="clear" w:color="auto" w:fill="002279"/>
                                  <w:vAlign w:val="center"/>
                                </w:tcPr>
                                <w:p w14:paraId="617A1321" w14:textId="77777777" w:rsidR="0069477C" w:rsidRPr="002020E8" w:rsidRDefault="0069477C" w:rsidP="00CE12CF">
                                  <w:pPr>
                                    <w:spacing w:line="264" w:lineRule="auto"/>
                                    <w:rPr>
                                      <w:rFonts w:asciiTheme="minorHAnsi" w:hAnsiTheme="minorHAnsi" w:cstheme="minorHAnsi"/>
                                      <w:b/>
                                      <w:bCs/>
                                      <w:color w:val="44546A"/>
                                    </w:rPr>
                                  </w:pPr>
                                </w:p>
                              </w:tc>
                              <w:tc>
                                <w:tcPr>
                                  <w:tcW w:w="1039"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vAlign w:val="center"/>
                                  <w:hideMark/>
                                </w:tcPr>
                                <w:p w14:paraId="233CCE41" w14:textId="0C3D5AC2" w:rsidR="0069477C" w:rsidRPr="002020E8" w:rsidRDefault="0069477C" w:rsidP="00360131">
                                  <w:pPr>
                                    <w:spacing w:line="264" w:lineRule="auto"/>
                                    <w:jc w:val="center"/>
                                    <w:rPr>
                                      <w:rFonts w:asciiTheme="minorHAnsi" w:hAnsiTheme="minorHAnsi" w:cstheme="minorHAnsi"/>
                                      <w:b/>
                                      <w:bCs/>
                                    </w:rPr>
                                  </w:pPr>
                                  <w:r w:rsidRPr="002020E8">
                                    <w:rPr>
                                      <w:rFonts w:asciiTheme="minorHAnsi" w:hAnsiTheme="minorHAnsi" w:cstheme="minorHAnsi"/>
                                      <w:b/>
                                      <w:bCs/>
                                    </w:rPr>
                                    <w:t>2017–18</w:t>
                                  </w:r>
                                </w:p>
                              </w:tc>
                              <w:tc>
                                <w:tcPr>
                                  <w:tcW w:w="1039"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vAlign w:val="center"/>
                                  <w:hideMark/>
                                </w:tcPr>
                                <w:p w14:paraId="6EC1515A" w14:textId="28CF80B8" w:rsidR="0069477C" w:rsidRPr="002020E8" w:rsidRDefault="0069477C" w:rsidP="00360131">
                                  <w:pPr>
                                    <w:spacing w:line="264" w:lineRule="auto"/>
                                    <w:jc w:val="center"/>
                                    <w:rPr>
                                      <w:rFonts w:asciiTheme="minorHAnsi" w:hAnsiTheme="minorHAnsi" w:cstheme="minorHAnsi"/>
                                      <w:b/>
                                      <w:bCs/>
                                    </w:rPr>
                                  </w:pPr>
                                  <w:r w:rsidRPr="002020E8">
                                    <w:rPr>
                                      <w:rFonts w:asciiTheme="minorHAnsi" w:hAnsiTheme="minorHAnsi" w:cstheme="minorHAnsi"/>
                                      <w:b/>
                                      <w:bCs/>
                                    </w:rPr>
                                    <w:t>2018–19</w:t>
                                  </w:r>
                                </w:p>
                              </w:tc>
                              <w:tc>
                                <w:tcPr>
                                  <w:tcW w:w="1039"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vAlign w:val="center"/>
                                  <w:hideMark/>
                                </w:tcPr>
                                <w:p w14:paraId="095ADD50" w14:textId="3B89EE2F" w:rsidR="0069477C" w:rsidRPr="002020E8" w:rsidRDefault="0069477C" w:rsidP="00360131">
                                  <w:pPr>
                                    <w:spacing w:line="264" w:lineRule="auto"/>
                                    <w:jc w:val="center"/>
                                    <w:rPr>
                                      <w:rFonts w:asciiTheme="minorHAnsi" w:hAnsiTheme="minorHAnsi" w:cstheme="minorHAnsi"/>
                                      <w:b/>
                                      <w:bCs/>
                                    </w:rPr>
                                  </w:pPr>
                                  <w:r w:rsidRPr="002020E8">
                                    <w:rPr>
                                      <w:rFonts w:asciiTheme="minorHAnsi" w:hAnsiTheme="minorHAnsi" w:cstheme="minorHAnsi"/>
                                      <w:b/>
                                      <w:bCs/>
                                    </w:rPr>
                                    <w:t>2019–20</w:t>
                                  </w:r>
                                </w:p>
                              </w:tc>
                              <w:tc>
                                <w:tcPr>
                                  <w:tcW w:w="1039"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vAlign w:val="center"/>
                                  <w:hideMark/>
                                </w:tcPr>
                                <w:p w14:paraId="7DE90406" w14:textId="358344A9" w:rsidR="0069477C" w:rsidRPr="002020E8" w:rsidRDefault="0069477C" w:rsidP="00360131">
                                  <w:pPr>
                                    <w:spacing w:line="264" w:lineRule="auto"/>
                                    <w:jc w:val="center"/>
                                    <w:rPr>
                                      <w:rFonts w:asciiTheme="minorHAnsi" w:hAnsiTheme="minorHAnsi" w:cstheme="minorHAnsi"/>
                                      <w:b/>
                                      <w:bCs/>
                                    </w:rPr>
                                  </w:pPr>
                                  <w:r w:rsidRPr="002020E8">
                                    <w:rPr>
                                      <w:rFonts w:asciiTheme="minorHAnsi" w:hAnsiTheme="minorHAnsi" w:cstheme="minorHAnsi"/>
                                      <w:b/>
                                      <w:bCs/>
                                    </w:rPr>
                                    <w:t>2020–21</w:t>
                                  </w:r>
                                </w:p>
                              </w:tc>
                              <w:tc>
                                <w:tcPr>
                                  <w:tcW w:w="1039"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vAlign w:val="center"/>
                                  <w:hideMark/>
                                </w:tcPr>
                                <w:p w14:paraId="6F4C62B2" w14:textId="07EDDB18" w:rsidR="0069477C" w:rsidRPr="002020E8" w:rsidRDefault="0069477C" w:rsidP="00360131">
                                  <w:pPr>
                                    <w:spacing w:line="264" w:lineRule="auto"/>
                                    <w:jc w:val="center"/>
                                    <w:rPr>
                                      <w:rFonts w:asciiTheme="minorHAnsi" w:hAnsiTheme="minorHAnsi" w:cstheme="minorHAnsi"/>
                                      <w:b/>
                                      <w:bCs/>
                                    </w:rPr>
                                  </w:pPr>
                                  <w:r w:rsidRPr="002020E8">
                                    <w:rPr>
                                      <w:rFonts w:asciiTheme="minorHAnsi" w:hAnsiTheme="minorHAnsi" w:cstheme="minorHAnsi"/>
                                      <w:b/>
                                      <w:bCs/>
                                    </w:rPr>
                                    <w:t>2021–22</w:t>
                                  </w:r>
                                </w:p>
                              </w:tc>
                              <w:tc>
                                <w:tcPr>
                                  <w:tcW w:w="1040" w:type="dxa"/>
                                  <w:tcBorders>
                                    <w:top w:val="single" w:sz="4" w:space="0" w:color="002279"/>
                                    <w:left w:val="single" w:sz="4" w:space="0" w:color="FFFFFF" w:themeColor="background1"/>
                                    <w:bottom w:val="single" w:sz="2" w:space="0" w:color="002279"/>
                                    <w:right w:val="single" w:sz="4" w:space="0" w:color="002279"/>
                                  </w:tcBorders>
                                  <w:shd w:val="clear" w:color="auto" w:fill="002279"/>
                                  <w:vAlign w:val="center"/>
                                  <w:hideMark/>
                                </w:tcPr>
                                <w:p w14:paraId="60734511" w14:textId="04032E93" w:rsidR="0069477C" w:rsidRPr="002020E8" w:rsidRDefault="0069477C" w:rsidP="00360131">
                                  <w:pPr>
                                    <w:spacing w:line="264" w:lineRule="auto"/>
                                    <w:jc w:val="center"/>
                                    <w:rPr>
                                      <w:rFonts w:asciiTheme="minorHAnsi" w:hAnsiTheme="minorHAnsi" w:cstheme="minorHAnsi"/>
                                      <w:b/>
                                      <w:bCs/>
                                    </w:rPr>
                                  </w:pPr>
                                  <w:r w:rsidRPr="002020E8">
                                    <w:rPr>
                                      <w:rFonts w:asciiTheme="minorHAnsi" w:hAnsiTheme="minorHAnsi" w:cstheme="minorHAnsi"/>
                                      <w:b/>
                                      <w:bCs/>
                                    </w:rPr>
                                    <w:t>Average</w:t>
                                  </w:r>
                                  <w:r w:rsidR="00D5647D">
                                    <w:rPr>
                                      <w:rFonts w:asciiTheme="minorHAnsi" w:hAnsiTheme="minorHAnsi" w:cstheme="minorHAnsi"/>
                                      <w:b/>
                                      <w:bCs/>
                                    </w:rPr>
                                    <w:t xml:space="preserve"> growth rate</w:t>
                                  </w:r>
                                </w:p>
                              </w:tc>
                            </w:tr>
                            <w:tr w:rsidR="00AD7771" w:rsidRPr="00430A88" w14:paraId="14477977" w14:textId="77777777" w:rsidTr="003F1732">
                              <w:trPr>
                                <w:cnfStyle w:val="000000100000" w:firstRow="0" w:lastRow="0" w:firstColumn="0" w:lastColumn="0" w:oddVBand="0" w:evenVBand="0" w:oddHBand="1" w:evenHBand="0" w:firstRowFirstColumn="0" w:firstRowLastColumn="0" w:lastRowFirstColumn="0" w:lastRowLastColumn="0"/>
                              </w:trPr>
                              <w:tc>
                                <w:tcPr>
                                  <w:tcW w:w="2884" w:type="dxa"/>
                                  <w:tcBorders>
                                    <w:top w:val="single" w:sz="2" w:space="0" w:color="002279"/>
                                    <w:left w:val="single" w:sz="4" w:space="0" w:color="002279"/>
                                    <w:bottom w:val="single" w:sz="2" w:space="0" w:color="002279"/>
                                    <w:right w:val="single" w:sz="4" w:space="0" w:color="002279"/>
                                  </w:tcBorders>
                                  <w:shd w:val="clear" w:color="auto" w:fill="D4D6DF"/>
                                </w:tcPr>
                                <w:p w14:paraId="0AB409AD" w14:textId="1419C5F4" w:rsidR="0069477C" w:rsidRPr="00C324D4" w:rsidRDefault="0069477C" w:rsidP="004D037A">
                                  <w:pPr>
                                    <w:spacing w:line="264" w:lineRule="auto"/>
                                    <w:rPr>
                                      <w:rFonts w:cstheme="minorHAnsi"/>
                                    </w:rPr>
                                  </w:pPr>
                                  <w:r w:rsidRPr="00C324D4">
                                    <w:rPr>
                                      <w:rFonts w:cstheme="minorHAnsi"/>
                                    </w:rPr>
                                    <w:t>Controllable operating expenditure ($’000 2022–23)</w:t>
                                  </w:r>
                                </w:p>
                              </w:tc>
                              <w:tc>
                                <w:tcPr>
                                  <w:tcW w:w="1039"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37E3F2F6" w14:textId="7B411880" w:rsidR="0069477C" w:rsidRPr="002020E8" w:rsidRDefault="0069477C" w:rsidP="002020E8">
                                  <w:pPr>
                                    <w:spacing w:line="264" w:lineRule="auto"/>
                                    <w:jc w:val="center"/>
                                    <w:rPr>
                                      <w:rFonts w:cstheme="minorHAnsi"/>
                                    </w:rPr>
                                  </w:pPr>
                                  <w:r>
                                    <w:rPr>
                                      <w:rStyle w:val="normaltextrun"/>
                                      <w:rFonts w:ascii="Arial" w:hAnsi="Arial" w:cs="Arial"/>
                                    </w:rPr>
                                    <w:t>140,971</w:t>
                                  </w:r>
                                </w:p>
                              </w:tc>
                              <w:tc>
                                <w:tcPr>
                                  <w:tcW w:w="1039"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3EEC9B4A" w14:textId="7860E611" w:rsidR="0069477C" w:rsidRPr="002020E8" w:rsidRDefault="0069477C" w:rsidP="002020E8">
                                  <w:pPr>
                                    <w:spacing w:line="264" w:lineRule="auto"/>
                                    <w:jc w:val="center"/>
                                    <w:rPr>
                                      <w:rFonts w:cstheme="minorHAnsi"/>
                                    </w:rPr>
                                  </w:pPr>
                                  <w:r>
                                    <w:rPr>
                                      <w:rStyle w:val="normaltextrun"/>
                                      <w:rFonts w:ascii="Arial" w:hAnsi="Arial" w:cs="Arial"/>
                                    </w:rPr>
                                    <w:t>140,830</w:t>
                                  </w:r>
                                </w:p>
                              </w:tc>
                              <w:tc>
                                <w:tcPr>
                                  <w:tcW w:w="1039"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160E2A25" w14:textId="65EA72E1" w:rsidR="0069477C" w:rsidRPr="002020E8" w:rsidRDefault="0069477C" w:rsidP="002020E8">
                                  <w:pPr>
                                    <w:spacing w:line="264" w:lineRule="auto"/>
                                    <w:jc w:val="center"/>
                                    <w:rPr>
                                      <w:rFonts w:cstheme="minorHAnsi"/>
                                    </w:rPr>
                                  </w:pPr>
                                  <w:r>
                                    <w:rPr>
                                      <w:rStyle w:val="normaltextrun"/>
                                      <w:rFonts w:ascii="Arial" w:hAnsi="Arial" w:cs="Arial"/>
                                    </w:rPr>
                                    <w:t>142,459</w:t>
                                  </w:r>
                                </w:p>
                              </w:tc>
                              <w:tc>
                                <w:tcPr>
                                  <w:tcW w:w="1039"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38739320" w14:textId="0EE24228" w:rsidR="0069477C" w:rsidRPr="002020E8" w:rsidRDefault="0069477C" w:rsidP="002020E8">
                                  <w:pPr>
                                    <w:spacing w:line="264" w:lineRule="auto"/>
                                    <w:jc w:val="center"/>
                                    <w:rPr>
                                      <w:rFonts w:cstheme="minorHAnsi"/>
                                    </w:rPr>
                                  </w:pPr>
                                  <w:r>
                                    <w:rPr>
                                      <w:rStyle w:val="normaltextrun"/>
                                      <w:rFonts w:ascii="Arial" w:hAnsi="Arial" w:cs="Arial"/>
                                    </w:rPr>
                                    <w:t>140,592</w:t>
                                  </w:r>
                                </w:p>
                              </w:tc>
                              <w:tc>
                                <w:tcPr>
                                  <w:tcW w:w="1039"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44E0099E" w14:textId="2E6768A0" w:rsidR="0069477C" w:rsidRPr="002020E8" w:rsidRDefault="002009B8" w:rsidP="002020E8">
                                  <w:pPr>
                                    <w:spacing w:line="264" w:lineRule="auto"/>
                                    <w:jc w:val="center"/>
                                    <w:rPr>
                                      <w:rFonts w:cstheme="minorHAnsi"/>
                                    </w:rPr>
                                  </w:pPr>
                                  <w:r>
                                    <w:rPr>
                                      <w:rStyle w:val="normaltextrun"/>
                                      <w:rFonts w:ascii="Arial" w:hAnsi="Arial" w:cs="Arial"/>
                                    </w:rPr>
                                    <w:t>146,894</w:t>
                                  </w:r>
                                </w:p>
                              </w:tc>
                              <w:tc>
                                <w:tcPr>
                                  <w:tcW w:w="1040"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61DDC7D1" w14:textId="50259478" w:rsidR="0069477C" w:rsidRPr="002020E8" w:rsidRDefault="0069477C" w:rsidP="002020E8">
                                  <w:pPr>
                                    <w:spacing w:line="264" w:lineRule="auto"/>
                                    <w:jc w:val="center"/>
                                    <w:rPr>
                                      <w:rFonts w:cstheme="minorHAnsi"/>
                                      <w:highlight w:val="yellow"/>
                                    </w:rPr>
                                  </w:pPr>
                                </w:p>
                              </w:tc>
                            </w:tr>
                            <w:tr w:rsidR="00AD7771" w:rsidRPr="00430A88" w14:paraId="4AF2FA31" w14:textId="77777777" w:rsidTr="003F1732">
                              <w:trPr>
                                <w:cnfStyle w:val="000000010000" w:firstRow="0" w:lastRow="0" w:firstColumn="0" w:lastColumn="0" w:oddVBand="0" w:evenVBand="0" w:oddHBand="0" w:evenHBand="1" w:firstRowFirstColumn="0" w:firstRowLastColumn="0" w:lastRowFirstColumn="0" w:lastRowLastColumn="0"/>
                              </w:trPr>
                              <w:tc>
                                <w:tcPr>
                                  <w:tcW w:w="2884" w:type="dxa"/>
                                  <w:tcBorders>
                                    <w:top w:val="single" w:sz="2" w:space="0" w:color="002279"/>
                                    <w:left w:val="single" w:sz="4" w:space="0" w:color="002279"/>
                                    <w:bottom w:val="single" w:sz="2" w:space="0" w:color="002279"/>
                                    <w:right w:val="single" w:sz="4" w:space="0" w:color="002279"/>
                                  </w:tcBorders>
                                  <w:shd w:val="clear" w:color="auto" w:fill="FFFFFF" w:themeFill="background1"/>
                                </w:tcPr>
                                <w:p w14:paraId="150B8A39" w14:textId="1FFFCF41" w:rsidR="0069477C" w:rsidRPr="00C324D4" w:rsidRDefault="0069477C" w:rsidP="004D037A">
                                  <w:pPr>
                                    <w:spacing w:line="264" w:lineRule="auto"/>
                                    <w:rPr>
                                      <w:rFonts w:cstheme="minorHAnsi"/>
                                    </w:rPr>
                                  </w:pPr>
                                  <w:r w:rsidRPr="00C324D4">
                                    <w:rPr>
                                      <w:rFonts w:cstheme="minorHAnsi"/>
                                    </w:rPr>
                                    <w:t>Number of water customers</w:t>
                                  </w:r>
                                </w:p>
                              </w:tc>
                              <w:tc>
                                <w:tcPr>
                                  <w:tcW w:w="1039" w:type="dxa"/>
                                  <w:tcBorders>
                                    <w:top w:val="single" w:sz="2" w:space="0" w:color="002279"/>
                                    <w:left w:val="single" w:sz="4" w:space="0" w:color="002279"/>
                                    <w:bottom w:val="single" w:sz="2" w:space="0" w:color="002279"/>
                                    <w:right w:val="single" w:sz="4" w:space="0" w:color="002279"/>
                                  </w:tcBorders>
                                  <w:shd w:val="clear" w:color="auto" w:fill="FFFFFF" w:themeFill="background1"/>
                                </w:tcPr>
                                <w:p w14:paraId="76C264D3" w14:textId="7460601C" w:rsidR="0069477C" w:rsidRPr="002020E8" w:rsidRDefault="00154E6E" w:rsidP="002020E8">
                                  <w:pPr>
                                    <w:spacing w:line="264" w:lineRule="auto"/>
                                    <w:jc w:val="center"/>
                                    <w:rPr>
                                      <w:rFonts w:cstheme="minorHAnsi"/>
                                    </w:rPr>
                                  </w:pPr>
                                  <w:r w:rsidRPr="00B51DFD">
                                    <w:t>702,375</w:t>
                                  </w:r>
                                </w:p>
                              </w:tc>
                              <w:tc>
                                <w:tcPr>
                                  <w:tcW w:w="1039" w:type="dxa"/>
                                  <w:tcBorders>
                                    <w:top w:val="single" w:sz="2" w:space="0" w:color="002279"/>
                                    <w:left w:val="single" w:sz="4" w:space="0" w:color="002279"/>
                                    <w:bottom w:val="single" w:sz="2" w:space="0" w:color="002279"/>
                                    <w:right w:val="single" w:sz="4" w:space="0" w:color="002279"/>
                                  </w:tcBorders>
                                  <w:shd w:val="clear" w:color="auto" w:fill="FFFFFF" w:themeFill="background1"/>
                                </w:tcPr>
                                <w:p w14:paraId="1AA2F4BB" w14:textId="1FF39102" w:rsidR="0069477C" w:rsidRPr="002020E8" w:rsidRDefault="00154E6E" w:rsidP="002020E8">
                                  <w:pPr>
                                    <w:spacing w:line="264" w:lineRule="auto"/>
                                    <w:jc w:val="center"/>
                                    <w:rPr>
                                      <w:rFonts w:cstheme="minorHAnsi"/>
                                    </w:rPr>
                                  </w:pPr>
                                  <w:r w:rsidRPr="00B51DFD">
                                    <w:t>717,091</w:t>
                                  </w:r>
                                </w:p>
                              </w:tc>
                              <w:tc>
                                <w:tcPr>
                                  <w:tcW w:w="1039" w:type="dxa"/>
                                  <w:tcBorders>
                                    <w:top w:val="single" w:sz="2" w:space="0" w:color="002279"/>
                                    <w:left w:val="single" w:sz="4" w:space="0" w:color="002279"/>
                                    <w:bottom w:val="single" w:sz="2" w:space="0" w:color="002279"/>
                                    <w:right w:val="single" w:sz="4" w:space="0" w:color="002279"/>
                                  </w:tcBorders>
                                  <w:shd w:val="clear" w:color="auto" w:fill="FFFFFF" w:themeFill="background1"/>
                                </w:tcPr>
                                <w:p w14:paraId="789369FF" w14:textId="74E38C61" w:rsidR="0069477C" w:rsidRPr="002020E8" w:rsidRDefault="00154E6E" w:rsidP="002020E8">
                                  <w:pPr>
                                    <w:spacing w:line="264" w:lineRule="auto"/>
                                    <w:jc w:val="center"/>
                                    <w:rPr>
                                      <w:rFonts w:cstheme="minorHAnsi"/>
                                    </w:rPr>
                                  </w:pPr>
                                  <w:r w:rsidRPr="00B51DFD">
                                    <w:t>730,686</w:t>
                                  </w:r>
                                </w:p>
                              </w:tc>
                              <w:tc>
                                <w:tcPr>
                                  <w:tcW w:w="1039" w:type="dxa"/>
                                  <w:tcBorders>
                                    <w:top w:val="single" w:sz="2" w:space="0" w:color="002279"/>
                                    <w:left w:val="single" w:sz="4" w:space="0" w:color="002279"/>
                                    <w:bottom w:val="single" w:sz="2" w:space="0" w:color="002279"/>
                                    <w:right w:val="single" w:sz="4" w:space="0" w:color="002279"/>
                                  </w:tcBorders>
                                  <w:shd w:val="clear" w:color="auto" w:fill="FFFFFF" w:themeFill="background1"/>
                                </w:tcPr>
                                <w:p w14:paraId="4A564117" w14:textId="3FCD7C03" w:rsidR="0069477C" w:rsidRPr="002020E8" w:rsidRDefault="00154E6E" w:rsidP="002020E8">
                                  <w:pPr>
                                    <w:spacing w:line="264" w:lineRule="auto"/>
                                    <w:jc w:val="center"/>
                                    <w:rPr>
                                      <w:rFonts w:cstheme="minorHAnsi"/>
                                    </w:rPr>
                                  </w:pPr>
                                  <w:r w:rsidRPr="00B51DFD">
                                    <w:t>741,712</w:t>
                                  </w:r>
                                </w:p>
                              </w:tc>
                              <w:tc>
                                <w:tcPr>
                                  <w:tcW w:w="1039" w:type="dxa"/>
                                  <w:tcBorders>
                                    <w:top w:val="single" w:sz="2" w:space="0" w:color="002279"/>
                                    <w:left w:val="single" w:sz="4" w:space="0" w:color="002279"/>
                                    <w:bottom w:val="single" w:sz="2" w:space="0" w:color="002279"/>
                                    <w:right w:val="single" w:sz="4" w:space="0" w:color="002279"/>
                                  </w:tcBorders>
                                  <w:shd w:val="clear" w:color="auto" w:fill="FFFFFF" w:themeFill="background1"/>
                                </w:tcPr>
                                <w:p w14:paraId="6A0BE718" w14:textId="39D90C81" w:rsidR="0069477C" w:rsidRPr="002020E8" w:rsidRDefault="00154E6E" w:rsidP="002020E8">
                                  <w:pPr>
                                    <w:spacing w:line="264" w:lineRule="auto"/>
                                    <w:jc w:val="center"/>
                                    <w:rPr>
                                      <w:rFonts w:cstheme="minorHAnsi"/>
                                    </w:rPr>
                                  </w:pPr>
                                  <w:r w:rsidRPr="00B51DFD">
                                    <w:t>752,154</w:t>
                                  </w:r>
                                </w:p>
                              </w:tc>
                              <w:tc>
                                <w:tcPr>
                                  <w:tcW w:w="1040" w:type="dxa"/>
                                  <w:tcBorders>
                                    <w:top w:val="single" w:sz="2" w:space="0" w:color="002279"/>
                                    <w:left w:val="single" w:sz="4" w:space="0" w:color="002279"/>
                                    <w:bottom w:val="single" w:sz="2" w:space="0" w:color="002279"/>
                                    <w:right w:val="single" w:sz="4" w:space="0" w:color="002279"/>
                                  </w:tcBorders>
                                  <w:shd w:val="clear" w:color="auto" w:fill="FFFFFF" w:themeFill="background1"/>
                                  <w:vAlign w:val="center"/>
                                </w:tcPr>
                                <w:p w14:paraId="65AD7874" w14:textId="1AEF7F53" w:rsidR="0069477C" w:rsidRPr="002020E8" w:rsidRDefault="0069477C" w:rsidP="002020E8">
                                  <w:pPr>
                                    <w:spacing w:line="264" w:lineRule="auto"/>
                                    <w:jc w:val="center"/>
                                    <w:rPr>
                                      <w:rFonts w:cstheme="minorHAnsi"/>
                                      <w:highlight w:val="yellow"/>
                                    </w:rPr>
                                  </w:pPr>
                                </w:p>
                              </w:tc>
                            </w:tr>
                            <w:tr w:rsidR="00AD7771" w:rsidRPr="00430A88" w14:paraId="13F2AA2D" w14:textId="77777777" w:rsidTr="003F1732">
                              <w:trPr>
                                <w:cnfStyle w:val="000000100000" w:firstRow="0" w:lastRow="0" w:firstColumn="0" w:lastColumn="0" w:oddVBand="0" w:evenVBand="0" w:oddHBand="1" w:evenHBand="0" w:firstRowFirstColumn="0" w:firstRowLastColumn="0" w:lastRowFirstColumn="0" w:lastRowLastColumn="0"/>
                              </w:trPr>
                              <w:tc>
                                <w:tcPr>
                                  <w:tcW w:w="2884" w:type="dxa"/>
                                  <w:tcBorders>
                                    <w:top w:val="single" w:sz="2" w:space="0" w:color="002279"/>
                                    <w:left w:val="single" w:sz="4" w:space="0" w:color="002279"/>
                                    <w:bottom w:val="single" w:sz="2" w:space="0" w:color="002279"/>
                                    <w:right w:val="single" w:sz="4" w:space="0" w:color="002279"/>
                                  </w:tcBorders>
                                  <w:shd w:val="clear" w:color="auto" w:fill="D4D6DF"/>
                                </w:tcPr>
                                <w:p w14:paraId="667513E6" w14:textId="77777777" w:rsidR="0069477C" w:rsidRPr="00C324D4" w:rsidRDefault="0069477C" w:rsidP="004D037A">
                                  <w:pPr>
                                    <w:spacing w:line="264" w:lineRule="auto"/>
                                    <w:rPr>
                                      <w:rFonts w:cstheme="minorHAnsi"/>
                                    </w:rPr>
                                  </w:pPr>
                                  <w:r w:rsidRPr="00C324D4">
                                    <w:rPr>
                                      <w:rFonts w:cstheme="minorHAnsi"/>
                                    </w:rPr>
                                    <w:t>Bulk water (ML)</w:t>
                                  </w:r>
                                </w:p>
                              </w:tc>
                              <w:tc>
                                <w:tcPr>
                                  <w:tcW w:w="1039"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34894030" w14:textId="6A51319A" w:rsidR="0069477C" w:rsidRPr="002020E8" w:rsidRDefault="0069477C" w:rsidP="002020E8">
                                  <w:pPr>
                                    <w:spacing w:line="264" w:lineRule="auto"/>
                                    <w:jc w:val="center"/>
                                    <w:rPr>
                                      <w:rFonts w:cstheme="minorHAnsi"/>
                                    </w:rPr>
                                  </w:pPr>
                                  <w:r>
                                    <w:rPr>
                                      <w:rStyle w:val="normaltextrun"/>
                                      <w:rFonts w:ascii="Arial" w:hAnsi="Arial" w:cs="Arial"/>
                                    </w:rPr>
                                    <w:t>161,067</w:t>
                                  </w:r>
                                </w:p>
                              </w:tc>
                              <w:tc>
                                <w:tcPr>
                                  <w:tcW w:w="1039"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10703EEB" w14:textId="4829ED7B" w:rsidR="0069477C" w:rsidRPr="002020E8" w:rsidRDefault="0069477C" w:rsidP="002020E8">
                                  <w:pPr>
                                    <w:spacing w:line="264" w:lineRule="auto"/>
                                    <w:jc w:val="center"/>
                                    <w:rPr>
                                      <w:rFonts w:cstheme="minorHAnsi"/>
                                    </w:rPr>
                                  </w:pPr>
                                  <w:r>
                                    <w:rPr>
                                      <w:rStyle w:val="normaltextrun"/>
                                      <w:rFonts w:ascii="Arial" w:hAnsi="Arial" w:cs="Arial"/>
                                    </w:rPr>
                                    <w:t>162,046</w:t>
                                  </w:r>
                                </w:p>
                              </w:tc>
                              <w:tc>
                                <w:tcPr>
                                  <w:tcW w:w="1039"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3D2A69CE" w14:textId="0C344AC8" w:rsidR="0069477C" w:rsidRPr="002020E8" w:rsidRDefault="0069477C" w:rsidP="002020E8">
                                  <w:pPr>
                                    <w:spacing w:line="264" w:lineRule="auto"/>
                                    <w:jc w:val="center"/>
                                    <w:rPr>
                                      <w:rFonts w:cstheme="minorHAnsi"/>
                                    </w:rPr>
                                  </w:pPr>
                                  <w:r>
                                    <w:rPr>
                                      <w:rStyle w:val="normaltextrun"/>
                                      <w:rFonts w:ascii="Arial" w:hAnsi="Arial" w:cs="Arial"/>
                                    </w:rPr>
                                    <w:t>155,247</w:t>
                                  </w:r>
                                </w:p>
                              </w:tc>
                              <w:tc>
                                <w:tcPr>
                                  <w:tcW w:w="1039"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1F29D2AA" w14:textId="381D59BE" w:rsidR="0069477C" w:rsidRPr="002020E8" w:rsidRDefault="0069477C" w:rsidP="002020E8">
                                  <w:pPr>
                                    <w:spacing w:line="264" w:lineRule="auto"/>
                                    <w:jc w:val="center"/>
                                    <w:rPr>
                                      <w:rFonts w:cstheme="minorHAnsi"/>
                                    </w:rPr>
                                  </w:pPr>
                                  <w:r>
                                    <w:rPr>
                                      <w:rStyle w:val="normaltextrun"/>
                                      <w:rFonts w:ascii="Arial" w:hAnsi="Arial" w:cs="Arial"/>
                                    </w:rPr>
                                    <w:t>154,805</w:t>
                                  </w:r>
                                </w:p>
                              </w:tc>
                              <w:tc>
                                <w:tcPr>
                                  <w:tcW w:w="1039"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22837A88" w14:textId="3D364E49" w:rsidR="0069477C" w:rsidRPr="002020E8" w:rsidRDefault="0069477C" w:rsidP="002020E8">
                                  <w:pPr>
                                    <w:spacing w:line="264" w:lineRule="auto"/>
                                    <w:jc w:val="center"/>
                                    <w:rPr>
                                      <w:rFonts w:cstheme="minorHAnsi"/>
                                    </w:rPr>
                                  </w:pPr>
                                  <w:r>
                                    <w:rPr>
                                      <w:rStyle w:val="normaltextrun"/>
                                      <w:rFonts w:ascii="Arial" w:hAnsi="Arial" w:cs="Arial"/>
                                    </w:rPr>
                                    <w:t>160,399</w:t>
                                  </w:r>
                                </w:p>
                              </w:tc>
                              <w:tc>
                                <w:tcPr>
                                  <w:tcW w:w="1040"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290084C8" w14:textId="67660BAD" w:rsidR="0069477C" w:rsidRPr="002020E8" w:rsidRDefault="0069477C" w:rsidP="002020E8">
                                  <w:pPr>
                                    <w:spacing w:line="264" w:lineRule="auto"/>
                                    <w:jc w:val="center"/>
                                    <w:rPr>
                                      <w:rFonts w:cstheme="minorHAnsi"/>
                                      <w:highlight w:val="yellow"/>
                                    </w:rPr>
                                  </w:pPr>
                                </w:p>
                              </w:tc>
                            </w:tr>
                            <w:tr w:rsidR="00AD7771" w:rsidRPr="00430A88" w14:paraId="48722174" w14:textId="77777777" w:rsidTr="003F1732">
                              <w:trPr>
                                <w:cnfStyle w:val="000000010000" w:firstRow="0" w:lastRow="0" w:firstColumn="0" w:lastColumn="0" w:oddVBand="0" w:evenVBand="0" w:oddHBand="0" w:evenHBand="1" w:firstRowFirstColumn="0" w:firstRowLastColumn="0" w:lastRowFirstColumn="0" w:lastRowLastColumn="0"/>
                              </w:trPr>
                              <w:tc>
                                <w:tcPr>
                                  <w:tcW w:w="2884" w:type="dxa"/>
                                  <w:tcBorders>
                                    <w:top w:val="single" w:sz="2" w:space="0" w:color="002279"/>
                                    <w:left w:val="single" w:sz="4" w:space="0" w:color="002279"/>
                                    <w:bottom w:val="single" w:sz="2" w:space="0" w:color="002279"/>
                                    <w:right w:val="single" w:sz="4" w:space="0" w:color="002279"/>
                                  </w:tcBorders>
                                  <w:shd w:val="clear" w:color="auto" w:fill="FFFFFF" w:themeFill="background1"/>
                                </w:tcPr>
                                <w:p w14:paraId="5F7738B1" w14:textId="1523586D" w:rsidR="0069477C" w:rsidRPr="00C324D4" w:rsidRDefault="0069477C" w:rsidP="004D037A">
                                  <w:pPr>
                                    <w:spacing w:line="264" w:lineRule="auto"/>
                                    <w:rPr>
                                      <w:rFonts w:cstheme="minorHAnsi"/>
                                    </w:rPr>
                                  </w:pPr>
                                  <w:r w:rsidRPr="00C324D4">
                                    <w:rPr>
                                      <w:rFonts w:cstheme="minorHAnsi"/>
                                    </w:rPr>
                                    <w:t>Controllable operating expenditure year-on-year growth (%)</w:t>
                                  </w:r>
                                </w:p>
                              </w:tc>
                              <w:tc>
                                <w:tcPr>
                                  <w:tcW w:w="1039" w:type="dxa"/>
                                  <w:tcBorders>
                                    <w:top w:val="single" w:sz="2" w:space="0" w:color="002279"/>
                                    <w:left w:val="single" w:sz="4" w:space="0" w:color="002279"/>
                                    <w:bottom w:val="single" w:sz="2" w:space="0" w:color="002279"/>
                                    <w:right w:val="single" w:sz="4" w:space="0" w:color="002279"/>
                                  </w:tcBorders>
                                  <w:shd w:val="clear" w:color="auto" w:fill="FFFFFF" w:themeFill="background1"/>
                                  <w:vAlign w:val="center"/>
                                </w:tcPr>
                                <w:p w14:paraId="7BC6CEEA" w14:textId="50DADEC9" w:rsidR="0069477C" w:rsidRPr="002020E8" w:rsidRDefault="0069477C" w:rsidP="002020E8">
                                  <w:pPr>
                                    <w:spacing w:line="264" w:lineRule="auto"/>
                                    <w:jc w:val="center"/>
                                    <w:rPr>
                                      <w:rFonts w:cstheme="minorHAnsi"/>
                                    </w:rPr>
                                  </w:pPr>
                                  <w:r>
                                    <w:rPr>
                                      <w:rStyle w:val="normaltextrun"/>
                                      <w:rFonts w:ascii="Arial" w:hAnsi="Arial" w:cs="Arial"/>
                                    </w:rPr>
                                    <w:t>4.63%</w:t>
                                  </w:r>
                                </w:p>
                              </w:tc>
                              <w:tc>
                                <w:tcPr>
                                  <w:tcW w:w="1039" w:type="dxa"/>
                                  <w:tcBorders>
                                    <w:top w:val="single" w:sz="2" w:space="0" w:color="002279"/>
                                    <w:left w:val="single" w:sz="4" w:space="0" w:color="002279"/>
                                    <w:bottom w:val="single" w:sz="2" w:space="0" w:color="002279"/>
                                    <w:right w:val="single" w:sz="4" w:space="0" w:color="002279"/>
                                  </w:tcBorders>
                                  <w:shd w:val="clear" w:color="auto" w:fill="FFFFFF" w:themeFill="background1"/>
                                  <w:vAlign w:val="center"/>
                                </w:tcPr>
                                <w:p w14:paraId="14FCE770" w14:textId="77A1B748" w:rsidR="0069477C" w:rsidRPr="002020E8" w:rsidRDefault="0069477C" w:rsidP="002020E8">
                                  <w:pPr>
                                    <w:spacing w:line="264" w:lineRule="auto"/>
                                    <w:jc w:val="center"/>
                                    <w:rPr>
                                      <w:rFonts w:cstheme="minorHAnsi"/>
                                    </w:rPr>
                                  </w:pPr>
                                  <w:r>
                                    <w:rPr>
                                      <w:rStyle w:val="normaltextrun"/>
                                      <w:rFonts w:ascii="Arial" w:hAnsi="Arial" w:cs="Arial"/>
                                    </w:rPr>
                                    <w:t>-0.10%</w:t>
                                  </w:r>
                                </w:p>
                              </w:tc>
                              <w:tc>
                                <w:tcPr>
                                  <w:tcW w:w="1039" w:type="dxa"/>
                                  <w:tcBorders>
                                    <w:top w:val="single" w:sz="2" w:space="0" w:color="002279"/>
                                    <w:left w:val="single" w:sz="4" w:space="0" w:color="002279"/>
                                    <w:bottom w:val="single" w:sz="2" w:space="0" w:color="002279"/>
                                    <w:right w:val="single" w:sz="4" w:space="0" w:color="002279"/>
                                  </w:tcBorders>
                                  <w:shd w:val="clear" w:color="auto" w:fill="FFFFFF" w:themeFill="background1"/>
                                  <w:vAlign w:val="center"/>
                                </w:tcPr>
                                <w:p w14:paraId="4547740D" w14:textId="12014570" w:rsidR="0069477C" w:rsidRPr="002020E8" w:rsidRDefault="0069477C" w:rsidP="002020E8">
                                  <w:pPr>
                                    <w:spacing w:line="264" w:lineRule="auto"/>
                                    <w:jc w:val="center"/>
                                    <w:rPr>
                                      <w:rFonts w:cstheme="minorHAnsi"/>
                                    </w:rPr>
                                  </w:pPr>
                                  <w:r>
                                    <w:rPr>
                                      <w:rStyle w:val="normaltextrun"/>
                                      <w:rFonts w:ascii="Arial" w:hAnsi="Arial" w:cs="Arial"/>
                                    </w:rPr>
                                    <w:t>1.16%</w:t>
                                  </w:r>
                                </w:p>
                              </w:tc>
                              <w:tc>
                                <w:tcPr>
                                  <w:tcW w:w="1039" w:type="dxa"/>
                                  <w:tcBorders>
                                    <w:top w:val="single" w:sz="2" w:space="0" w:color="002279"/>
                                    <w:left w:val="single" w:sz="4" w:space="0" w:color="002279"/>
                                    <w:bottom w:val="single" w:sz="2" w:space="0" w:color="002279"/>
                                    <w:right w:val="single" w:sz="4" w:space="0" w:color="002279"/>
                                  </w:tcBorders>
                                  <w:shd w:val="clear" w:color="auto" w:fill="FFFFFF" w:themeFill="background1"/>
                                  <w:vAlign w:val="center"/>
                                </w:tcPr>
                                <w:p w14:paraId="613BF1AF" w14:textId="55D18BF7" w:rsidR="0069477C" w:rsidRPr="002020E8" w:rsidRDefault="0069477C" w:rsidP="002020E8">
                                  <w:pPr>
                                    <w:spacing w:line="264" w:lineRule="auto"/>
                                    <w:jc w:val="center"/>
                                    <w:rPr>
                                      <w:rFonts w:cstheme="minorHAnsi"/>
                                    </w:rPr>
                                  </w:pPr>
                                  <w:r>
                                    <w:rPr>
                                      <w:rStyle w:val="normaltextrun"/>
                                      <w:rFonts w:ascii="Arial" w:hAnsi="Arial" w:cs="Arial"/>
                                    </w:rPr>
                                    <w:t>-1.31%</w:t>
                                  </w:r>
                                </w:p>
                              </w:tc>
                              <w:tc>
                                <w:tcPr>
                                  <w:tcW w:w="1039" w:type="dxa"/>
                                  <w:tcBorders>
                                    <w:top w:val="single" w:sz="2" w:space="0" w:color="002279"/>
                                    <w:left w:val="single" w:sz="4" w:space="0" w:color="002279"/>
                                    <w:bottom w:val="single" w:sz="2" w:space="0" w:color="002279"/>
                                    <w:right w:val="single" w:sz="4" w:space="0" w:color="002279"/>
                                  </w:tcBorders>
                                  <w:shd w:val="clear" w:color="auto" w:fill="FFFFFF" w:themeFill="background1"/>
                                  <w:vAlign w:val="center"/>
                                </w:tcPr>
                                <w:p w14:paraId="53B3B40B" w14:textId="62F357FF" w:rsidR="0069477C" w:rsidRPr="002020E8" w:rsidRDefault="002009B8" w:rsidP="002020E8">
                                  <w:pPr>
                                    <w:spacing w:line="264" w:lineRule="auto"/>
                                    <w:jc w:val="center"/>
                                    <w:rPr>
                                      <w:rFonts w:cstheme="minorHAnsi"/>
                                    </w:rPr>
                                  </w:pPr>
                                  <w:r>
                                    <w:rPr>
                                      <w:rStyle w:val="normaltextrun"/>
                                      <w:rFonts w:ascii="Arial" w:hAnsi="Arial" w:cs="Arial"/>
                                    </w:rPr>
                                    <w:t>4.48%</w:t>
                                  </w:r>
                                </w:p>
                              </w:tc>
                              <w:tc>
                                <w:tcPr>
                                  <w:tcW w:w="1040" w:type="dxa"/>
                                  <w:tcBorders>
                                    <w:top w:val="single" w:sz="2" w:space="0" w:color="002279"/>
                                    <w:left w:val="single" w:sz="4" w:space="0" w:color="002279"/>
                                    <w:bottom w:val="single" w:sz="2" w:space="0" w:color="002279"/>
                                    <w:right w:val="single" w:sz="4" w:space="0" w:color="002279"/>
                                  </w:tcBorders>
                                  <w:shd w:val="clear" w:color="auto" w:fill="FFFFFF" w:themeFill="background1"/>
                                  <w:vAlign w:val="center"/>
                                </w:tcPr>
                                <w:p w14:paraId="300EF24C" w14:textId="2C83C69A" w:rsidR="0069477C" w:rsidRPr="002020E8" w:rsidRDefault="0069477C" w:rsidP="002020E8">
                                  <w:pPr>
                                    <w:spacing w:line="264" w:lineRule="auto"/>
                                    <w:jc w:val="center"/>
                                    <w:rPr>
                                      <w:rFonts w:cstheme="minorHAnsi"/>
                                    </w:rPr>
                                  </w:pPr>
                                  <w:r>
                                    <w:rPr>
                                      <w:rStyle w:val="normaltextrun"/>
                                      <w:rFonts w:ascii="Arial" w:hAnsi="Arial" w:cs="Arial"/>
                                    </w:rPr>
                                    <w:t>1.</w:t>
                                  </w:r>
                                  <w:r w:rsidR="002009B8">
                                    <w:rPr>
                                      <w:rStyle w:val="normaltextrun"/>
                                      <w:rFonts w:ascii="Arial" w:hAnsi="Arial" w:cs="Arial"/>
                                    </w:rPr>
                                    <w:t>77</w:t>
                                  </w:r>
                                  <w:r>
                                    <w:rPr>
                                      <w:rStyle w:val="normaltextrun"/>
                                      <w:rFonts w:ascii="Arial" w:hAnsi="Arial" w:cs="Arial"/>
                                    </w:rPr>
                                    <w:t>%</w:t>
                                  </w:r>
                                </w:p>
                              </w:tc>
                            </w:tr>
                            <w:tr w:rsidR="00AD7771" w:rsidRPr="00430A88" w14:paraId="5611CBEC" w14:textId="77777777" w:rsidTr="003F1732">
                              <w:trPr>
                                <w:cnfStyle w:val="000000100000" w:firstRow="0" w:lastRow="0" w:firstColumn="0" w:lastColumn="0" w:oddVBand="0" w:evenVBand="0" w:oddHBand="1" w:evenHBand="0" w:firstRowFirstColumn="0" w:firstRowLastColumn="0" w:lastRowFirstColumn="0" w:lastRowLastColumn="0"/>
                              </w:trPr>
                              <w:tc>
                                <w:tcPr>
                                  <w:tcW w:w="2884" w:type="dxa"/>
                                  <w:tcBorders>
                                    <w:top w:val="single" w:sz="2" w:space="0" w:color="002279"/>
                                    <w:left w:val="single" w:sz="4" w:space="0" w:color="002279"/>
                                    <w:bottom w:val="single" w:sz="2" w:space="0" w:color="002279"/>
                                    <w:right w:val="single" w:sz="4" w:space="0" w:color="002279"/>
                                  </w:tcBorders>
                                  <w:shd w:val="clear" w:color="auto" w:fill="D4D6DF"/>
                                </w:tcPr>
                                <w:p w14:paraId="5D7A42CB" w14:textId="20953A71" w:rsidR="0069477C" w:rsidRPr="00C324D4" w:rsidRDefault="0069477C" w:rsidP="004D037A">
                                  <w:pPr>
                                    <w:spacing w:line="264" w:lineRule="auto"/>
                                    <w:rPr>
                                      <w:rFonts w:cstheme="minorHAnsi"/>
                                    </w:rPr>
                                  </w:pPr>
                                  <w:r w:rsidRPr="00C324D4">
                                    <w:rPr>
                                      <w:rFonts w:cstheme="minorHAnsi"/>
                                    </w:rPr>
                                    <w:t>Number of water customers year-on-year growth (%)</w:t>
                                  </w:r>
                                </w:p>
                              </w:tc>
                              <w:tc>
                                <w:tcPr>
                                  <w:tcW w:w="1039"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366155EA" w14:textId="5923BB8D" w:rsidR="0069477C" w:rsidRPr="002020E8" w:rsidRDefault="0069477C" w:rsidP="002020E8">
                                  <w:pPr>
                                    <w:spacing w:line="264" w:lineRule="auto"/>
                                    <w:jc w:val="center"/>
                                    <w:rPr>
                                      <w:rFonts w:cstheme="minorHAnsi"/>
                                    </w:rPr>
                                  </w:pPr>
                                  <w:r>
                                    <w:rPr>
                                      <w:rStyle w:val="normaltextrun"/>
                                      <w:rFonts w:ascii="Arial" w:hAnsi="Arial" w:cs="Arial"/>
                                    </w:rPr>
                                    <w:t>2.</w:t>
                                  </w:r>
                                  <w:r w:rsidR="008A67E2">
                                    <w:rPr>
                                      <w:rStyle w:val="normaltextrun"/>
                                      <w:rFonts w:ascii="Arial" w:hAnsi="Arial" w:cs="Arial"/>
                                    </w:rPr>
                                    <w:t>60</w:t>
                                  </w:r>
                                  <w:r>
                                    <w:rPr>
                                      <w:rStyle w:val="normaltextrun"/>
                                      <w:rFonts w:ascii="Arial" w:hAnsi="Arial" w:cs="Arial"/>
                                    </w:rPr>
                                    <w:t>%</w:t>
                                  </w:r>
                                </w:p>
                              </w:tc>
                              <w:tc>
                                <w:tcPr>
                                  <w:tcW w:w="1039"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4F29C8A0" w14:textId="22F5D545" w:rsidR="0069477C" w:rsidRPr="002020E8" w:rsidRDefault="0069477C" w:rsidP="002020E8">
                                  <w:pPr>
                                    <w:spacing w:line="264" w:lineRule="auto"/>
                                    <w:jc w:val="center"/>
                                    <w:rPr>
                                      <w:rFonts w:cstheme="minorHAnsi"/>
                                    </w:rPr>
                                  </w:pPr>
                                  <w:r>
                                    <w:rPr>
                                      <w:rStyle w:val="normaltextrun"/>
                                      <w:rFonts w:ascii="Arial" w:hAnsi="Arial" w:cs="Arial"/>
                                    </w:rPr>
                                    <w:t>2.</w:t>
                                  </w:r>
                                  <w:r w:rsidR="008A67E2">
                                    <w:rPr>
                                      <w:rStyle w:val="normaltextrun"/>
                                      <w:rFonts w:ascii="Arial" w:hAnsi="Arial" w:cs="Arial"/>
                                    </w:rPr>
                                    <w:t>10</w:t>
                                  </w:r>
                                  <w:r>
                                    <w:rPr>
                                      <w:rStyle w:val="normaltextrun"/>
                                      <w:rFonts w:ascii="Arial" w:hAnsi="Arial" w:cs="Arial"/>
                                    </w:rPr>
                                    <w:t>%</w:t>
                                  </w:r>
                                </w:p>
                              </w:tc>
                              <w:tc>
                                <w:tcPr>
                                  <w:tcW w:w="1039"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11027B11" w14:textId="6C2BB8B9" w:rsidR="0069477C" w:rsidRPr="002020E8" w:rsidRDefault="0069477C" w:rsidP="002020E8">
                                  <w:pPr>
                                    <w:spacing w:line="264" w:lineRule="auto"/>
                                    <w:jc w:val="center"/>
                                    <w:rPr>
                                      <w:rFonts w:cstheme="minorHAnsi"/>
                                    </w:rPr>
                                  </w:pPr>
                                  <w:r>
                                    <w:rPr>
                                      <w:rStyle w:val="normaltextrun"/>
                                      <w:rFonts w:ascii="Arial" w:hAnsi="Arial" w:cs="Arial"/>
                                    </w:rPr>
                                    <w:t>1.</w:t>
                                  </w:r>
                                  <w:r w:rsidR="008A67E2">
                                    <w:rPr>
                                      <w:rStyle w:val="normaltextrun"/>
                                      <w:rFonts w:ascii="Arial" w:hAnsi="Arial" w:cs="Arial"/>
                                    </w:rPr>
                                    <w:t>90</w:t>
                                  </w:r>
                                  <w:r>
                                    <w:rPr>
                                      <w:rStyle w:val="normaltextrun"/>
                                      <w:rFonts w:ascii="Arial" w:hAnsi="Arial" w:cs="Arial"/>
                                    </w:rPr>
                                    <w:t>%</w:t>
                                  </w:r>
                                </w:p>
                              </w:tc>
                              <w:tc>
                                <w:tcPr>
                                  <w:tcW w:w="1039"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273805F5" w14:textId="532BC1E8" w:rsidR="0069477C" w:rsidRPr="002020E8" w:rsidRDefault="0069477C" w:rsidP="002020E8">
                                  <w:pPr>
                                    <w:spacing w:line="264" w:lineRule="auto"/>
                                    <w:jc w:val="center"/>
                                    <w:rPr>
                                      <w:rFonts w:cstheme="minorHAnsi"/>
                                    </w:rPr>
                                  </w:pPr>
                                  <w:r>
                                    <w:rPr>
                                      <w:rStyle w:val="normaltextrun"/>
                                      <w:rFonts w:ascii="Arial" w:hAnsi="Arial" w:cs="Arial"/>
                                    </w:rPr>
                                    <w:t>1.</w:t>
                                  </w:r>
                                  <w:r w:rsidR="001368C8">
                                    <w:rPr>
                                      <w:rStyle w:val="normaltextrun"/>
                                      <w:rFonts w:ascii="Arial" w:hAnsi="Arial" w:cs="Arial"/>
                                    </w:rPr>
                                    <w:t>51</w:t>
                                  </w:r>
                                  <w:r>
                                    <w:rPr>
                                      <w:rStyle w:val="normaltextrun"/>
                                      <w:rFonts w:ascii="Arial" w:hAnsi="Arial" w:cs="Arial"/>
                                    </w:rPr>
                                    <w:t>%</w:t>
                                  </w:r>
                                </w:p>
                              </w:tc>
                              <w:tc>
                                <w:tcPr>
                                  <w:tcW w:w="1039"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2B49461F" w14:textId="726099A8" w:rsidR="0069477C" w:rsidRPr="002020E8" w:rsidRDefault="0069477C" w:rsidP="002020E8">
                                  <w:pPr>
                                    <w:spacing w:line="264" w:lineRule="auto"/>
                                    <w:jc w:val="center"/>
                                    <w:rPr>
                                      <w:rFonts w:cstheme="minorHAnsi"/>
                                    </w:rPr>
                                  </w:pPr>
                                  <w:r>
                                    <w:rPr>
                                      <w:rStyle w:val="normaltextrun"/>
                                      <w:rFonts w:ascii="Arial" w:hAnsi="Arial" w:cs="Arial"/>
                                    </w:rPr>
                                    <w:t>1.</w:t>
                                  </w:r>
                                  <w:r w:rsidR="001368C8">
                                    <w:rPr>
                                      <w:rStyle w:val="normaltextrun"/>
                                      <w:rFonts w:ascii="Arial" w:hAnsi="Arial" w:cs="Arial"/>
                                    </w:rPr>
                                    <w:t>41</w:t>
                                  </w:r>
                                  <w:r>
                                    <w:rPr>
                                      <w:rStyle w:val="normaltextrun"/>
                                      <w:rFonts w:ascii="Arial" w:hAnsi="Arial" w:cs="Arial"/>
                                    </w:rPr>
                                    <w:t>%</w:t>
                                  </w:r>
                                </w:p>
                              </w:tc>
                              <w:tc>
                                <w:tcPr>
                                  <w:tcW w:w="1040"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3513DCFE" w14:textId="5CA56E06" w:rsidR="0069477C" w:rsidRPr="002020E8" w:rsidRDefault="0069477C" w:rsidP="002020E8">
                                  <w:pPr>
                                    <w:spacing w:line="264" w:lineRule="auto"/>
                                    <w:jc w:val="center"/>
                                    <w:rPr>
                                      <w:rFonts w:cstheme="minorHAnsi"/>
                                    </w:rPr>
                                  </w:pPr>
                                  <w:r>
                                    <w:rPr>
                                      <w:rStyle w:val="normaltextrun"/>
                                      <w:rFonts w:ascii="Arial" w:hAnsi="Arial" w:cs="Arial"/>
                                    </w:rPr>
                                    <w:t>1.</w:t>
                                  </w:r>
                                  <w:r w:rsidR="001368C8">
                                    <w:rPr>
                                      <w:rStyle w:val="normaltextrun"/>
                                      <w:rFonts w:ascii="Arial" w:hAnsi="Arial" w:cs="Arial"/>
                                    </w:rPr>
                                    <w:t>90</w:t>
                                  </w:r>
                                  <w:r>
                                    <w:rPr>
                                      <w:rStyle w:val="normaltextrun"/>
                                      <w:rFonts w:ascii="Arial" w:hAnsi="Arial" w:cs="Arial"/>
                                    </w:rPr>
                                    <w:t>%</w:t>
                                  </w:r>
                                </w:p>
                              </w:tc>
                            </w:tr>
                            <w:tr w:rsidR="00AD7771" w:rsidRPr="00430A88" w14:paraId="1DA5D029" w14:textId="77777777" w:rsidTr="003F1732">
                              <w:trPr>
                                <w:cnfStyle w:val="000000010000" w:firstRow="0" w:lastRow="0" w:firstColumn="0" w:lastColumn="0" w:oddVBand="0" w:evenVBand="0" w:oddHBand="0" w:evenHBand="1" w:firstRowFirstColumn="0" w:firstRowLastColumn="0" w:lastRowFirstColumn="0" w:lastRowLastColumn="0"/>
                              </w:trPr>
                              <w:tc>
                                <w:tcPr>
                                  <w:tcW w:w="2884" w:type="dxa"/>
                                  <w:tcBorders>
                                    <w:top w:val="single" w:sz="2" w:space="0" w:color="002279"/>
                                    <w:left w:val="single" w:sz="4" w:space="0" w:color="002279"/>
                                    <w:bottom w:val="single" w:sz="4" w:space="0" w:color="002279"/>
                                    <w:right w:val="single" w:sz="4" w:space="0" w:color="002279"/>
                                  </w:tcBorders>
                                  <w:shd w:val="clear" w:color="auto" w:fill="FFFFFF" w:themeFill="background1"/>
                                </w:tcPr>
                                <w:p w14:paraId="03C8F9CD" w14:textId="64CA6FBC" w:rsidR="0069477C" w:rsidRPr="00C324D4" w:rsidRDefault="0069477C" w:rsidP="004D037A">
                                  <w:pPr>
                                    <w:spacing w:line="264" w:lineRule="auto"/>
                                    <w:rPr>
                                      <w:rFonts w:cstheme="minorHAnsi"/>
                                    </w:rPr>
                                  </w:pPr>
                                  <w:r w:rsidRPr="00C324D4">
                                    <w:rPr>
                                      <w:rFonts w:cstheme="minorHAnsi"/>
                                    </w:rPr>
                                    <w:t>Bulk water year-on-year growth (%)</w:t>
                                  </w:r>
                                </w:p>
                              </w:tc>
                              <w:tc>
                                <w:tcPr>
                                  <w:tcW w:w="1039" w:type="dxa"/>
                                  <w:tcBorders>
                                    <w:top w:val="single" w:sz="2" w:space="0" w:color="002279"/>
                                    <w:left w:val="single" w:sz="4" w:space="0" w:color="002279"/>
                                    <w:bottom w:val="single" w:sz="4" w:space="0" w:color="002279"/>
                                    <w:right w:val="single" w:sz="4" w:space="0" w:color="002279"/>
                                  </w:tcBorders>
                                  <w:shd w:val="clear" w:color="auto" w:fill="FFFFFF" w:themeFill="background1"/>
                                  <w:vAlign w:val="center"/>
                                </w:tcPr>
                                <w:p w14:paraId="5023D183" w14:textId="0DD26A95" w:rsidR="0069477C" w:rsidRPr="002020E8" w:rsidRDefault="0069477C" w:rsidP="002020E8">
                                  <w:pPr>
                                    <w:spacing w:line="264" w:lineRule="auto"/>
                                    <w:jc w:val="center"/>
                                    <w:rPr>
                                      <w:rFonts w:cstheme="minorHAnsi"/>
                                    </w:rPr>
                                  </w:pPr>
                                  <w:r>
                                    <w:rPr>
                                      <w:rStyle w:val="normaltextrun"/>
                                      <w:rFonts w:ascii="Arial" w:hAnsi="Arial" w:cs="Arial"/>
                                    </w:rPr>
                                    <w:t>5.51%</w:t>
                                  </w:r>
                                </w:p>
                              </w:tc>
                              <w:tc>
                                <w:tcPr>
                                  <w:tcW w:w="1039" w:type="dxa"/>
                                  <w:tcBorders>
                                    <w:top w:val="single" w:sz="2" w:space="0" w:color="002279"/>
                                    <w:left w:val="single" w:sz="4" w:space="0" w:color="002279"/>
                                    <w:bottom w:val="single" w:sz="4" w:space="0" w:color="002279"/>
                                    <w:right w:val="single" w:sz="4" w:space="0" w:color="002279"/>
                                  </w:tcBorders>
                                  <w:shd w:val="clear" w:color="auto" w:fill="FFFFFF" w:themeFill="background1"/>
                                  <w:vAlign w:val="center"/>
                                </w:tcPr>
                                <w:p w14:paraId="09297698" w14:textId="5C4F7EF7" w:rsidR="0069477C" w:rsidRPr="002020E8" w:rsidRDefault="0069477C" w:rsidP="002020E8">
                                  <w:pPr>
                                    <w:spacing w:line="264" w:lineRule="auto"/>
                                    <w:jc w:val="center"/>
                                    <w:rPr>
                                      <w:rFonts w:cstheme="minorHAnsi"/>
                                    </w:rPr>
                                  </w:pPr>
                                  <w:r>
                                    <w:rPr>
                                      <w:rStyle w:val="normaltextrun"/>
                                      <w:rFonts w:ascii="Arial" w:hAnsi="Arial" w:cs="Arial"/>
                                    </w:rPr>
                                    <w:t>0.61%</w:t>
                                  </w:r>
                                </w:p>
                              </w:tc>
                              <w:tc>
                                <w:tcPr>
                                  <w:tcW w:w="1039" w:type="dxa"/>
                                  <w:tcBorders>
                                    <w:top w:val="single" w:sz="2" w:space="0" w:color="002279"/>
                                    <w:left w:val="single" w:sz="4" w:space="0" w:color="002279"/>
                                    <w:bottom w:val="single" w:sz="4" w:space="0" w:color="002279"/>
                                    <w:right w:val="single" w:sz="4" w:space="0" w:color="002279"/>
                                  </w:tcBorders>
                                  <w:shd w:val="clear" w:color="auto" w:fill="FFFFFF" w:themeFill="background1"/>
                                  <w:vAlign w:val="center"/>
                                </w:tcPr>
                                <w:p w14:paraId="16B75D31" w14:textId="70C6A358" w:rsidR="0069477C" w:rsidRPr="002020E8" w:rsidRDefault="0069477C" w:rsidP="002020E8">
                                  <w:pPr>
                                    <w:spacing w:line="264" w:lineRule="auto"/>
                                    <w:jc w:val="center"/>
                                    <w:rPr>
                                      <w:rFonts w:cstheme="minorHAnsi"/>
                                    </w:rPr>
                                  </w:pPr>
                                  <w:r>
                                    <w:rPr>
                                      <w:rStyle w:val="normaltextrun"/>
                                      <w:rFonts w:ascii="Arial" w:hAnsi="Arial" w:cs="Arial"/>
                                    </w:rPr>
                                    <w:t>-4.20%</w:t>
                                  </w:r>
                                </w:p>
                              </w:tc>
                              <w:tc>
                                <w:tcPr>
                                  <w:tcW w:w="1039" w:type="dxa"/>
                                  <w:tcBorders>
                                    <w:top w:val="single" w:sz="2" w:space="0" w:color="002279"/>
                                    <w:left w:val="single" w:sz="4" w:space="0" w:color="002279"/>
                                    <w:bottom w:val="single" w:sz="4" w:space="0" w:color="002279"/>
                                    <w:right w:val="single" w:sz="4" w:space="0" w:color="002279"/>
                                  </w:tcBorders>
                                  <w:shd w:val="clear" w:color="auto" w:fill="FFFFFF" w:themeFill="background1"/>
                                  <w:vAlign w:val="center"/>
                                </w:tcPr>
                                <w:p w14:paraId="137EEE94" w14:textId="0F754A1A" w:rsidR="0069477C" w:rsidRPr="002020E8" w:rsidRDefault="0069477C" w:rsidP="002020E8">
                                  <w:pPr>
                                    <w:spacing w:line="264" w:lineRule="auto"/>
                                    <w:jc w:val="center"/>
                                    <w:rPr>
                                      <w:rFonts w:cstheme="minorHAnsi"/>
                                    </w:rPr>
                                  </w:pPr>
                                  <w:r>
                                    <w:rPr>
                                      <w:rStyle w:val="normaltextrun"/>
                                      <w:rFonts w:ascii="Arial" w:hAnsi="Arial" w:cs="Arial"/>
                                    </w:rPr>
                                    <w:t>-0.28%</w:t>
                                  </w:r>
                                </w:p>
                              </w:tc>
                              <w:tc>
                                <w:tcPr>
                                  <w:tcW w:w="1039" w:type="dxa"/>
                                  <w:tcBorders>
                                    <w:top w:val="single" w:sz="2" w:space="0" w:color="002279"/>
                                    <w:left w:val="single" w:sz="4" w:space="0" w:color="002279"/>
                                    <w:bottom w:val="single" w:sz="4" w:space="0" w:color="002279"/>
                                    <w:right w:val="single" w:sz="4" w:space="0" w:color="002279"/>
                                  </w:tcBorders>
                                  <w:shd w:val="clear" w:color="auto" w:fill="FFFFFF" w:themeFill="background1"/>
                                  <w:vAlign w:val="center"/>
                                </w:tcPr>
                                <w:p w14:paraId="07936C13" w14:textId="21A886E9" w:rsidR="0069477C" w:rsidRPr="002020E8" w:rsidRDefault="0069477C" w:rsidP="002020E8">
                                  <w:pPr>
                                    <w:spacing w:line="264" w:lineRule="auto"/>
                                    <w:jc w:val="center"/>
                                    <w:rPr>
                                      <w:rFonts w:cstheme="minorHAnsi"/>
                                    </w:rPr>
                                  </w:pPr>
                                  <w:r>
                                    <w:rPr>
                                      <w:rStyle w:val="normaltextrun"/>
                                      <w:rFonts w:ascii="Arial" w:hAnsi="Arial" w:cs="Arial"/>
                                    </w:rPr>
                                    <w:t>3.61%</w:t>
                                  </w:r>
                                </w:p>
                              </w:tc>
                              <w:tc>
                                <w:tcPr>
                                  <w:tcW w:w="1040" w:type="dxa"/>
                                  <w:tcBorders>
                                    <w:top w:val="single" w:sz="2" w:space="0" w:color="002279"/>
                                    <w:left w:val="single" w:sz="4" w:space="0" w:color="002279"/>
                                    <w:bottom w:val="single" w:sz="4" w:space="0" w:color="002279"/>
                                    <w:right w:val="single" w:sz="4" w:space="0" w:color="002279"/>
                                  </w:tcBorders>
                                  <w:shd w:val="clear" w:color="auto" w:fill="FFFFFF" w:themeFill="background1"/>
                                  <w:vAlign w:val="center"/>
                                </w:tcPr>
                                <w:p w14:paraId="3DA5D33E" w14:textId="594C6CB6" w:rsidR="0069477C" w:rsidRPr="002020E8" w:rsidRDefault="0069477C" w:rsidP="002020E8">
                                  <w:pPr>
                                    <w:spacing w:line="264" w:lineRule="auto"/>
                                    <w:jc w:val="center"/>
                                    <w:rPr>
                                      <w:rFonts w:cstheme="minorHAnsi"/>
                                    </w:rPr>
                                  </w:pPr>
                                  <w:r>
                                    <w:rPr>
                                      <w:rStyle w:val="normaltextrun"/>
                                      <w:rFonts w:ascii="Arial" w:hAnsi="Arial" w:cs="Arial"/>
                                    </w:rPr>
                                    <w:t>1.05%</w:t>
                                  </w:r>
                                </w:p>
                              </w:tc>
                            </w:tr>
                          </w:tbl>
                          <w:p w14:paraId="7D2F782D" w14:textId="77777777" w:rsidR="0069477C" w:rsidRDefault="0069477C"/>
                        </w:txbxContent>
                      </wps:txbx>
                      <wps:bodyPr rot="0" vert="horz" wrap="square" lIns="144000" tIns="10800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C94F97" id="_x0000_t202" coordsize="21600,21600" o:spt="202" path="m,l,21600r21600,l21600,xe">
                <v:stroke joinstyle="miter"/>
                <v:path gradientshapeok="t" o:connecttype="rect"/>
              </v:shapetype>
              <v:shape id="Text Box 56" o:spid="_x0000_s1056" type="#_x0000_t202" style="position:absolute;margin-left:-11.95pt;margin-top:41.15pt;width:488pt;height:427.75pt;z-index:251658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" fillcolor="#d8d8d8 [2732]" stroked="f">
                <v:fill opacity="30069f"/>
                <v:textbox inset="4mm,3mm">
                  <w:txbxContent>
                    <w:p w14:paraId="2F4278EE" w14:textId="37753454" w:rsidR="0069477C" w:rsidRPr="00004F08" w:rsidRDefault="0069477C" w:rsidP="004D037A">
                      <w:pPr>
                        <w:rPr>
                          <w:rFonts w:eastAsia="Arial" w:cs="Arial"/>
                          <w:b/>
                        </w:rPr>
                      </w:pPr>
                      <w:r w:rsidRPr="00004F08">
                        <w:rPr>
                          <w:rFonts w:eastAsia="Arial" w:cs="Arial"/>
                          <w:b/>
                        </w:rPr>
                        <w:t xml:space="preserve">Box </w:t>
                      </w:r>
                      <w:r w:rsidR="00094ED7" w:rsidRPr="00004F08">
                        <w:rPr>
                          <w:rFonts w:eastAsia="Arial" w:cs="Arial"/>
                          <w:b/>
                        </w:rPr>
                        <w:t>1</w:t>
                      </w:r>
                      <w:r w:rsidRPr="00004F08">
                        <w:rPr>
                          <w:rFonts w:eastAsia="Arial" w:cs="Arial"/>
                          <w:b/>
                        </w:rPr>
                        <w:t>: Relationship between controllable operating expenditure and growth</w:t>
                      </w:r>
                    </w:p>
                    <w:p w14:paraId="24261D0D" w14:textId="64F46CBE" w:rsidR="0069477C" w:rsidRPr="005D11C5" w:rsidRDefault="0069477C" w:rsidP="004D037A">
                      <w:pPr>
                        <w:rPr>
                          <w:rFonts w:eastAsia="Arial" w:cs="Arial"/>
                        </w:rPr>
                      </w:pPr>
                      <w:r w:rsidRPr="005D11C5">
                        <w:rPr>
                          <w:rFonts w:eastAsia="Arial" w:cs="Arial"/>
                        </w:rPr>
                        <w:t>As shown i</w:t>
                      </w:r>
                      <w:r w:rsidR="00235279">
                        <w:rPr>
                          <w:rFonts w:eastAsia="Arial" w:cs="Arial"/>
                        </w:rPr>
                        <w:t>n Table 31</w:t>
                      </w:r>
                      <w:r w:rsidRPr="005D11C5">
                        <w:rPr>
                          <w:rFonts w:eastAsia="Arial" w:cs="Arial"/>
                        </w:rPr>
                        <w:t>, controllable operating expenditure has grown at a lower rate (1.</w:t>
                      </w:r>
                      <w:r w:rsidR="008D1BCD">
                        <w:rPr>
                          <w:rFonts w:eastAsia="Arial" w:cs="Arial"/>
                        </w:rPr>
                        <w:t>77</w:t>
                      </w:r>
                      <w:r w:rsidRPr="005D11C5">
                        <w:rPr>
                          <w:rFonts w:eastAsia="Arial" w:cs="Arial"/>
                        </w:rPr>
                        <w:t xml:space="preserve">% on average) than </w:t>
                      </w:r>
                      <w:r w:rsidR="008D1BCD">
                        <w:rPr>
                          <w:rFonts w:eastAsia="Arial" w:cs="Arial"/>
                        </w:rPr>
                        <w:t>residential</w:t>
                      </w:r>
                      <w:r w:rsidRPr="005D11C5">
                        <w:rPr>
                          <w:rFonts w:eastAsia="Arial" w:cs="Arial"/>
                        </w:rPr>
                        <w:t xml:space="preserve"> water customer numbers (1.</w:t>
                      </w:r>
                      <w:r w:rsidR="008D1BCD">
                        <w:rPr>
                          <w:rFonts w:eastAsia="Arial" w:cs="Arial"/>
                        </w:rPr>
                        <w:t>90</w:t>
                      </w:r>
                      <w:r w:rsidRPr="005D11C5">
                        <w:rPr>
                          <w:rFonts w:eastAsia="Arial" w:cs="Arial"/>
                        </w:rPr>
                        <w:t>% on average) over the last 5 years, with a difference of around 0.</w:t>
                      </w:r>
                      <w:r w:rsidR="008D1BCD">
                        <w:rPr>
                          <w:rFonts w:eastAsia="Arial" w:cs="Arial"/>
                        </w:rPr>
                        <w:t>13</w:t>
                      </w:r>
                      <w:r w:rsidRPr="005D11C5">
                        <w:rPr>
                          <w:rFonts w:eastAsia="Arial" w:cs="Arial"/>
                        </w:rPr>
                        <w:t>% per year on average.</w:t>
                      </w:r>
                    </w:p>
                    <w:p w14:paraId="65354659" w14:textId="152D0548" w:rsidR="0069477C" w:rsidRPr="005D11C5" w:rsidRDefault="0069477C" w:rsidP="004D037A">
                      <w:pPr>
                        <w:rPr>
                          <w:rFonts w:eastAsia="Arial" w:cs="Arial"/>
                        </w:rPr>
                      </w:pPr>
                      <w:r w:rsidRPr="005D11C5">
                        <w:rPr>
                          <w:rFonts w:eastAsia="Arial" w:cs="Arial"/>
                        </w:rPr>
                        <w:t xml:space="preserve">In addition, bulk water consumption has grown at a lower rate (1.05% on average) than </w:t>
                      </w:r>
                      <w:r w:rsidR="008D1BCD">
                        <w:rPr>
                          <w:rFonts w:eastAsia="Arial" w:cs="Arial"/>
                        </w:rPr>
                        <w:t xml:space="preserve">residential </w:t>
                      </w:r>
                      <w:r w:rsidRPr="005D11C5">
                        <w:rPr>
                          <w:rFonts w:eastAsia="Arial" w:cs="Arial"/>
                        </w:rPr>
                        <w:t>water customer numbers (1.</w:t>
                      </w:r>
                      <w:r w:rsidR="008D1BCD">
                        <w:rPr>
                          <w:rFonts w:eastAsia="Arial" w:cs="Arial"/>
                        </w:rPr>
                        <w:t>90</w:t>
                      </w:r>
                      <w:r w:rsidRPr="005D11C5">
                        <w:rPr>
                          <w:rFonts w:eastAsia="Arial" w:cs="Arial"/>
                        </w:rPr>
                        <w:t>% on average) over the last 5 years, with a difference of around 0.</w:t>
                      </w:r>
                      <w:r w:rsidR="008D1BCD">
                        <w:rPr>
                          <w:rFonts w:eastAsia="Arial" w:cs="Arial"/>
                        </w:rPr>
                        <w:t>85</w:t>
                      </w:r>
                      <w:r w:rsidRPr="005D11C5">
                        <w:rPr>
                          <w:rFonts w:eastAsia="Arial" w:cs="Arial"/>
                        </w:rPr>
                        <w:t>% per year on average. This has been due to the impacts of COVID</w:t>
                      </w:r>
                      <w:r>
                        <w:rPr>
                          <w:rFonts w:eastAsia="Arial" w:cs="Arial"/>
                        </w:rPr>
                        <w:t>-19</w:t>
                      </w:r>
                      <w:r w:rsidRPr="005D11C5">
                        <w:rPr>
                          <w:rFonts w:eastAsia="Arial" w:cs="Arial"/>
                        </w:rPr>
                        <w:t xml:space="preserve"> and a wetter climate on bulk water usage, which led to lower water consumption overall. </w:t>
                      </w:r>
                      <w:r w:rsidR="00E0618C">
                        <w:rPr>
                          <w:rFonts w:eastAsia="Arial" w:cs="Arial"/>
                        </w:rPr>
                        <w:br/>
                      </w:r>
                    </w:p>
                    <w:p w14:paraId="47D8C13D" w14:textId="5801E703" w:rsidR="0069477C" w:rsidRPr="00430A88" w:rsidRDefault="0069477C" w:rsidP="004D037A">
                      <w:pPr>
                        <w:rPr>
                          <w:i/>
                          <w:sz w:val="22"/>
                          <w:szCs w:val="22"/>
                        </w:rPr>
                      </w:pPr>
                      <w:r w:rsidRPr="00CE6C4E">
                        <w:rPr>
                          <w:b/>
                          <w:i/>
                          <w:sz w:val="22"/>
                          <w:szCs w:val="22"/>
                        </w:rPr>
                        <w:t xml:space="preserve">Table </w:t>
                      </w:r>
                      <w:r w:rsidR="002128BB" w:rsidRPr="00CE6C4E">
                        <w:rPr>
                          <w:b/>
                          <w:bCs/>
                          <w:i/>
                          <w:iCs/>
                          <w:sz w:val="22"/>
                          <w:szCs w:val="22"/>
                        </w:rPr>
                        <w:fldChar w:fldCharType="begin"/>
                      </w:r>
                      <w:r w:rsidR="002128BB" w:rsidRPr="00CE6C4E">
                        <w:rPr>
                          <w:b/>
                          <w:bCs/>
                          <w:i/>
                          <w:iCs/>
                          <w:sz w:val="22"/>
                          <w:szCs w:val="22"/>
                        </w:rPr>
                        <w:instrText>SEQ Table \* ARABIC</w:instrText>
                      </w:r>
                      <w:r w:rsidR="002128BB" w:rsidRPr="00CE6C4E">
                        <w:rPr>
                          <w:b/>
                          <w:bCs/>
                          <w:i/>
                          <w:iCs/>
                          <w:sz w:val="22"/>
                          <w:szCs w:val="22"/>
                        </w:rPr>
                        <w:fldChar w:fldCharType="separate"/>
                      </w:r>
                      <w:r w:rsidR="002128BB">
                        <w:rPr>
                          <w:b/>
                          <w:bCs/>
                          <w:i/>
                          <w:iCs/>
                          <w:noProof/>
                          <w:sz w:val="22"/>
                          <w:szCs w:val="22"/>
                        </w:rPr>
                        <w:t>31</w:t>
                      </w:r>
                      <w:r w:rsidR="002128BB" w:rsidRPr="00CE6C4E">
                        <w:rPr>
                          <w:b/>
                          <w:bCs/>
                          <w:i/>
                          <w:iCs/>
                          <w:sz w:val="22"/>
                          <w:szCs w:val="22"/>
                        </w:rPr>
                        <w:fldChar w:fldCharType="end"/>
                      </w:r>
                      <w:r w:rsidR="00235279">
                        <w:rPr>
                          <w:rFonts w:ascii="Arial Bold" w:hAnsi="Arial Bold"/>
                          <w:b/>
                          <w:i/>
                          <w:sz w:val="22"/>
                          <w:szCs w:val="22"/>
                        </w:rPr>
                        <w:t xml:space="preserve">: </w:t>
                      </w:r>
                      <w:r w:rsidRPr="005D11C5">
                        <w:rPr>
                          <w:rFonts w:cs="Arial"/>
                          <w:b/>
                          <w:i/>
                          <w:sz w:val="22"/>
                          <w:szCs w:val="22"/>
                        </w:rPr>
                        <w:t>Historical benchmarks</w:t>
                      </w:r>
                    </w:p>
                    <w:tbl>
                      <w:tblPr>
                        <w:tblStyle w:val="MJTableStyle1default"/>
                        <w:tblW w:w="9119" w:type="dxa"/>
                        <w:tblInd w:w="5" w:type="dxa"/>
                        <w:tblLook w:val="04A0" w:firstRow="1" w:lastRow="0" w:firstColumn="1" w:lastColumn="0" w:noHBand="0" w:noVBand="1"/>
                      </w:tblPr>
                      <w:tblGrid>
                        <w:gridCol w:w="2884"/>
                        <w:gridCol w:w="1039"/>
                        <w:gridCol w:w="1039"/>
                        <w:gridCol w:w="1039"/>
                        <w:gridCol w:w="1039"/>
                        <w:gridCol w:w="1039"/>
                        <w:gridCol w:w="1040"/>
                      </w:tblGrid>
                      <w:tr w:rsidR="00AD7771" w:rsidRPr="00430A88" w14:paraId="412D8780" w14:textId="77777777" w:rsidTr="003F1732">
                        <w:trPr>
                          <w:cnfStyle w:val="100000000000" w:firstRow="1" w:lastRow="0" w:firstColumn="0" w:lastColumn="0" w:oddVBand="0" w:evenVBand="0" w:oddHBand="0" w:evenHBand="0" w:firstRowFirstColumn="0" w:firstRowLastColumn="0" w:lastRowFirstColumn="0" w:lastRowLastColumn="0"/>
                          <w:trHeight w:val="881"/>
                        </w:trPr>
                        <w:tc>
                          <w:tcPr>
                            <w:tcW w:w="2884" w:type="dxa"/>
                            <w:tcBorders>
                              <w:top w:val="single" w:sz="4" w:space="0" w:color="002279"/>
                              <w:left w:val="single" w:sz="4" w:space="0" w:color="002279"/>
                              <w:bottom w:val="single" w:sz="2" w:space="0" w:color="002279"/>
                              <w:right w:val="single" w:sz="4" w:space="0" w:color="FFFFFF" w:themeColor="background1"/>
                            </w:tcBorders>
                            <w:shd w:val="clear" w:color="auto" w:fill="002279"/>
                            <w:vAlign w:val="center"/>
                          </w:tcPr>
                          <w:p w14:paraId="617A1321" w14:textId="77777777" w:rsidR="0069477C" w:rsidRPr="002020E8" w:rsidRDefault="0069477C" w:rsidP="00CE12CF">
                            <w:pPr>
                              <w:spacing w:line="264" w:lineRule="auto"/>
                              <w:rPr>
                                <w:rFonts w:asciiTheme="minorHAnsi" w:hAnsiTheme="minorHAnsi" w:cstheme="minorHAnsi"/>
                                <w:b/>
                                <w:bCs/>
                                <w:color w:val="44546A"/>
                              </w:rPr>
                            </w:pPr>
                          </w:p>
                        </w:tc>
                        <w:tc>
                          <w:tcPr>
                            <w:tcW w:w="1039"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vAlign w:val="center"/>
                            <w:hideMark/>
                          </w:tcPr>
                          <w:p w14:paraId="233CCE41" w14:textId="0C3D5AC2" w:rsidR="0069477C" w:rsidRPr="002020E8" w:rsidRDefault="0069477C" w:rsidP="00360131">
                            <w:pPr>
                              <w:spacing w:line="264" w:lineRule="auto"/>
                              <w:jc w:val="center"/>
                              <w:rPr>
                                <w:rFonts w:asciiTheme="minorHAnsi" w:hAnsiTheme="minorHAnsi" w:cstheme="minorHAnsi"/>
                                <w:b/>
                                <w:bCs/>
                              </w:rPr>
                            </w:pPr>
                            <w:r w:rsidRPr="002020E8">
                              <w:rPr>
                                <w:rFonts w:asciiTheme="minorHAnsi" w:hAnsiTheme="minorHAnsi" w:cstheme="minorHAnsi"/>
                                <w:b/>
                                <w:bCs/>
                              </w:rPr>
                              <w:t>2017–18</w:t>
                            </w:r>
                          </w:p>
                        </w:tc>
                        <w:tc>
                          <w:tcPr>
                            <w:tcW w:w="1039"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vAlign w:val="center"/>
                            <w:hideMark/>
                          </w:tcPr>
                          <w:p w14:paraId="6EC1515A" w14:textId="28CF80B8" w:rsidR="0069477C" w:rsidRPr="002020E8" w:rsidRDefault="0069477C" w:rsidP="00360131">
                            <w:pPr>
                              <w:spacing w:line="264" w:lineRule="auto"/>
                              <w:jc w:val="center"/>
                              <w:rPr>
                                <w:rFonts w:asciiTheme="minorHAnsi" w:hAnsiTheme="minorHAnsi" w:cstheme="minorHAnsi"/>
                                <w:b/>
                                <w:bCs/>
                              </w:rPr>
                            </w:pPr>
                            <w:r w:rsidRPr="002020E8">
                              <w:rPr>
                                <w:rFonts w:asciiTheme="minorHAnsi" w:hAnsiTheme="minorHAnsi" w:cstheme="minorHAnsi"/>
                                <w:b/>
                                <w:bCs/>
                              </w:rPr>
                              <w:t>2018–19</w:t>
                            </w:r>
                          </w:p>
                        </w:tc>
                        <w:tc>
                          <w:tcPr>
                            <w:tcW w:w="1039"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vAlign w:val="center"/>
                            <w:hideMark/>
                          </w:tcPr>
                          <w:p w14:paraId="095ADD50" w14:textId="3B89EE2F" w:rsidR="0069477C" w:rsidRPr="002020E8" w:rsidRDefault="0069477C" w:rsidP="00360131">
                            <w:pPr>
                              <w:spacing w:line="264" w:lineRule="auto"/>
                              <w:jc w:val="center"/>
                              <w:rPr>
                                <w:rFonts w:asciiTheme="minorHAnsi" w:hAnsiTheme="minorHAnsi" w:cstheme="minorHAnsi"/>
                                <w:b/>
                                <w:bCs/>
                              </w:rPr>
                            </w:pPr>
                            <w:r w:rsidRPr="002020E8">
                              <w:rPr>
                                <w:rFonts w:asciiTheme="minorHAnsi" w:hAnsiTheme="minorHAnsi" w:cstheme="minorHAnsi"/>
                                <w:b/>
                                <w:bCs/>
                              </w:rPr>
                              <w:t>2019–20</w:t>
                            </w:r>
                          </w:p>
                        </w:tc>
                        <w:tc>
                          <w:tcPr>
                            <w:tcW w:w="1039"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vAlign w:val="center"/>
                            <w:hideMark/>
                          </w:tcPr>
                          <w:p w14:paraId="7DE90406" w14:textId="358344A9" w:rsidR="0069477C" w:rsidRPr="002020E8" w:rsidRDefault="0069477C" w:rsidP="00360131">
                            <w:pPr>
                              <w:spacing w:line="264" w:lineRule="auto"/>
                              <w:jc w:val="center"/>
                              <w:rPr>
                                <w:rFonts w:asciiTheme="minorHAnsi" w:hAnsiTheme="minorHAnsi" w:cstheme="minorHAnsi"/>
                                <w:b/>
                                <w:bCs/>
                              </w:rPr>
                            </w:pPr>
                            <w:r w:rsidRPr="002020E8">
                              <w:rPr>
                                <w:rFonts w:asciiTheme="minorHAnsi" w:hAnsiTheme="minorHAnsi" w:cstheme="minorHAnsi"/>
                                <w:b/>
                                <w:bCs/>
                              </w:rPr>
                              <w:t>2020–21</w:t>
                            </w:r>
                          </w:p>
                        </w:tc>
                        <w:tc>
                          <w:tcPr>
                            <w:tcW w:w="1039"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vAlign w:val="center"/>
                            <w:hideMark/>
                          </w:tcPr>
                          <w:p w14:paraId="6F4C62B2" w14:textId="07EDDB18" w:rsidR="0069477C" w:rsidRPr="002020E8" w:rsidRDefault="0069477C" w:rsidP="00360131">
                            <w:pPr>
                              <w:spacing w:line="264" w:lineRule="auto"/>
                              <w:jc w:val="center"/>
                              <w:rPr>
                                <w:rFonts w:asciiTheme="minorHAnsi" w:hAnsiTheme="minorHAnsi" w:cstheme="minorHAnsi"/>
                                <w:b/>
                                <w:bCs/>
                              </w:rPr>
                            </w:pPr>
                            <w:r w:rsidRPr="002020E8">
                              <w:rPr>
                                <w:rFonts w:asciiTheme="minorHAnsi" w:hAnsiTheme="minorHAnsi" w:cstheme="minorHAnsi"/>
                                <w:b/>
                                <w:bCs/>
                              </w:rPr>
                              <w:t>2021–22</w:t>
                            </w:r>
                          </w:p>
                        </w:tc>
                        <w:tc>
                          <w:tcPr>
                            <w:tcW w:w="1040" w:type="dxa"/>
                            <w:tcBorders>
                              <w:top w:val="single" w:sz="4" w:space="0" w:color="002279"/>
                              <w:left w:val="single" w:sz="4" w:space="0" w:color="FFFFFF" w:themeColor="background1"/>
                              <w:bottom w:val="single" w:sz="2" w:space="0" w:color="002279"/>
                              <w:right w:val="single" w:sz="4" w:space="0" w:color="002279"/>
                            </w:tcBorders>
                            <w:shd w:val="clear" w:color="auto" w:fill="002279"/>
                            <w:vAlign w:val="center"/>
                            <w:hideMark/>
                          </w:tcPr>
                          <w:p w14:paraId="60734511" w14:textId="04032E93" w:rsidR="0069477C" w:rsidRPr="002020E8" w:rsidRDefault="0069477C" w:rsidP="00360131">
                            <w:pPr>
                              <w:spacing w:line="264" w:lineRule="auto"/>
                              <w:jc w:val="center"/>
                              <w:rPr>
                                <w:rFonts w:asciiTheme="minorHAnsi" w:hAnsiTheme="minorHAnsi" w:cstheme="minorHAnsi"/>
                                <w:b/>
                                <w:bCs/>
                              </w:rPr>
                            </w:pPr>
                            <w:r w:rsidRPr="002020E8">
                              <w:rPr>
                                <w:rFonts w:asciiTheme="minorHAnsi" w:hAnsiTheme="minorHAnsi" w:cstheme="minorHAnsi"/>
                                <w:b/>
                                <w:bCs/>
                              </w:rPr>
                              <w:t>Average</w:t>
                            </w:r>
                            <w:r w:rsidR="00D5647D">
                              <w:rPr>
                                <w:rFonts w:asciiTheme="minorHAnsi" w:hAnsiTheme="minorHAnsi" w:cstheme="minorHAnsi"/>
                                <w:b/>
                                <w:bCs/>
                              </w:rPr>
                              <w:t xml:space="preserve"> growth rate</w:t>
                            </w:r>
                          </w:p>
                        </w:tc>
                      </w:tr>
                      <w:tr w:rsidR="00AD7771" w:rsidRPr="00430A88" w14:paraId="14477977" w14:textId="77777777" w:rsidTr="003F1732">
                        <w:trPr>
                          <w:cnfStyle w:val="000000100000" w:firstRow="0" w:lastRow="0" w:firstColumn="0" w:lastColumn="0" w:oddVBand="0" w:evenVBand="0" w:oddHBand="1" w:evenHBand="0" w:firstRowFirstColumn="0" w:firstRowLastColumn="0" w:lastRowFirstColumn="0" w:lastRowLastColumn="0"/>
                        </w:trPr>
                        <w:tc>
                          <w:tcPr>
                            <w:tcW w:w="2884" w:type="dxa"/>
                            <w:tcBorders>
                              <w:top w:val="single" w:sz="2" w:space="0" w:color="002279"/>
                              <w:left w:val="single" w:sz="4" w:space="0" w:color="002279"/>
                              <w:bottom w:val="single" w:sz="2" w:space="0" w:color="002279"/>
                              <w:right w:val="single" w:sz="4" w:space="0" w:color="002279"/>
                            </w:tcBorders>
                            <w:shd w:val="clear" w:color="auto" w:fill="D4D6DF"/>
                          </w:tcPr>
                          <w:p w14:paraId="0AB409AD" w14:textId="1419C5F4" w:rsidR="0069477C" w:rsidRPr="00C324D4" w:rsidRDefault="0069477C" w:rsidP="004D037A">
                            <w:pPr>
                              <w:spacing w:line="264" w:lineRule="auto"/>
                              <w:rPr>
                                <w:rFonts w:cstheme="minorHAnsi"/>
                              </w:rPr>
                            </w:pPr>
                            <w:r w:rsidRPr="00C324D4">
                              <w:rPr>
                                <w:rFonts w:cstheme="minorHAnsi"/>
                              </w:rPr>
                              <w:t>Controllable operating expenditure ($’000 2022–23)</w:t>
                            </w:r>
                          </w:p>
                        </w:tc>
                        <w:tc>
                          <w:tcPr>
                            <w:tcW w:w="1039"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37E3F2F6" w14:textId="7B411880" w:rsidR="0069477C" w:rsidRPr="002020E8" w:rsidRDefault="0069477C" w:rsidP="002020E8">
                            <w:pPr>
                              <w:spacing w:line="264" w:lineRule="auto"/>
                              <w:jc w:val="center"/>
                              <w:rPr>
                                <w:rFonts w:cstheme="minorHAnsi"/>
                              </w:rPr>
                            </w:pPr>
                            <w:r>
                              <w:rPr>
                                <w:rStyle w:val="normaltextrun"/>
                                <w:rFonts w:ascii="Arial" w:hAnsi="Arial" w:cs="Arial"/>
                              </w:rPr>
                              <w:t>140,971</w:t>
                            </w:r>
                          </w:p>
                        </w:tc>
                        <w:tc>
                          <w:tcPr>
                            <w:tcW w:w="1039"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3EEC9B4A" w14:textId="7860E611" w:rsidR="0069477C" w:rsidRPr="002020E8" w:rsidRDefault="0069477C" w:rsidP="002020E8">
                            <w:pPr>
                              <w:spacing w:line="264" w:lineRule="auto"/>
                              <w:jc w:val="center"/>
                              <w:rPr>
                                <w:rFonts w:cstheme="minorHAnsi"/>
                              </w:rPr>
                            </w:pPr>
                            <w:r>
                              <w:rPr>
                                <w:rStyle w:val="normaltextrun"/>
                                <w:rFonts w:ascii="Arial" w:hAnsi="Arial" w:cs="Arial"/>
                              </w:rPr>
                              <w:t>140,830</w:t>
                            </w:r>
                          </w:p>
                        </w:tc>
                        <w:tc>
                          <w:tcPr>
                            <w:tcW w:w="1039"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160E2A25" w14:textId="65EA72E1" w:rsidR="0069477C" w:rsidRPr="002020E8" w:rsidRDefault="0069477C" w:rsidP="002020E8">
                            <w:pPr>
                              <w:spacing w:line="264" w:lineRule="auto"/>
                              <w:jc w:val="center"/>
                              <w:rPr>
                                <w:rFonts w:cstheme="minorHAnsi"/>
                              </w:rPr>
                            </w:pPr>
                            <w:r>
                              <w:rPr>
                                <w:rStyle w:val="normaltextrun"/>
                                <w:rFonts w:ascii="Arial" w:hAnsi="Arial" w:cs="Arial"/>
                              </w:rPr>
                              <w:t>142,459</w:t>
                            </w:r>
                          </w:p>
                        </w:tc>
                        <w:tc>
                          <w:tcPr>
                            <w:tcW w:w="1039"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38739320" w14:textId="0EE24228" w:rsidR="0069477C" w:rsidRPr="002020E8" w:rsidRDefault="0069477C" w:rsidP="002020E8">
                            <w:pPr>
                              <w:spacing w:line="264" w:lineRule="auto"/>
                              <w:jc w:val="center"/>
                              <w:rPr>
                                <w:rFonts w:cstheme="minorHAnsi"/>
                              </w:rPr>
                            </w:pPr>
                            <w:r>
                              <w:rPr>
                                <w:rStyle w:val="normaltextrun"/>
                                <w:rFonts w:ascii="Arial" w:hAnsi="Arial" w:cs="Arial"/>
                              </w:rPr>
                              <w:t>140,592</w:t>
                            </w:r>
                          </w:p>
                        </w:tc>
                        <w:tc>
                          <w:tcPr>
                            <w:tcW w:w="1039"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44E0099E" w14:textId="2E6768A0" w:rsidR="0069477C" w:rsidRPr="002020E8" w:rsidRDefault="002009B8" w:rsidP="002020E8">
                            <w:pPr>
                              <w:spacing w:line="264" w:lineRule="auto"/>
                              <w:jc w:val="center"/>
                              <w:rPr>
                                <w:rFonts w:cstheme="minorHAnsi"/>
                              </w:rPr>
                            </w:pPr>
                            <w:r>
                              <w:rPr>
                                <w:rStyle w:val="normaltextrun"/>
                                <w:rFonts w:ascii="Arial" w:hAnsi="Arial" w:cs="Arial"/>
                              </w:rPr>
                              <w:t>146,894</w:t>
                            </w:r>
                          </w:p>
                        </w:tc>
                        <w:tc>
                          <w:tcPr>
                            <w:tcW w:w="1040"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61DDC7D1" w14:textId="50259478" w:rsidR="0069477C" w:rsidRPr="002020E8" w:rsidRDefault="0069477C" w:rsidP="002020E8">
                            <w:pPr>
                              <w:spacing w:line="264" w:lineRule="auto"/>
                              <w:jc w:val="center"/>
                              <w:rPr>
                                <w:rFonts w:cstheme="minorHAnsi"/>
                                <w:highlight w:val="yellow"/>
                              </w:rPr>
                            </w:pPr>
                          </w:p>
                        </w:tc>
                      </w:tr>
                      <w:tr w:rsidR="00AD7771" w:rsidRPr="00430A88" w14:paraId="4AF2FA31" w14:textId="77777777" w:rsidTr="003F1732">
                        <w:trPr>
                          <w:cnfStyle w:val="000000010000" w:firstRow="0" w:lastRow="0" w:firstColumn="0" w:lastColumn="0" w:oddVBand="0" w:evenVBand="0" w:oddHBand="0" w:evenHBand="1" w:firstRowFirstColumn="0" w:firstRowLastColumn="0" w:lastRowFirstColumn="0" w:lastRowLastColumn="0"/>
                        </w:trPr>
                        <w:tc>
                          <w:tcPr>
                            <w:tcW w:w="2884" w:type="dxa"/>
                            <w:tcBorders>
                              <w:top w:val="single" w:sz="2" w:space="0" w:color="002279"/>
                              <w:left w:val="single" w:sz="4" w:space="0" w:color="002279"/>
                              <w:bottom w:val="single" w:sz="2" w:space="0" w:color="002279"/>
                              <w:right w:val="single" w:sz="4" w:space="0" w:color="002279"/>
                            </w:tcBorders>
                            <w:shd w:val="clear" w:color="auto" w:fill="FFFFFF" w:themeFill="background1"/>
                          </w:tcPr>
                          <w:p w14:paraId="150B8A39" w14:textId="1FFFCF41" w:rsidR="0069477C" w:rsidRPr="00C324D4" w:rsidRDefault="0069477C" w:rsidP="004D037A">
                            <w:pPr>
                              <w:spacing w:line="264" w:lineRule="auto"/>
                              <w:rPr>
                                <w:rFonts w:cstheme="minorHAnsi"/>
                              </w:rPr>
                            </w:pPr>
                            <w:r w:rsidRPr="00C324D4">
                              <w:rPr>
                                <w:rFonts w:cstheme="minorHAnsi"/>
                              </w:rPr>
                              <w:t>Number of water customers</w:t>
                            </w:r>
                          </w:p>
                        </w:tc>
                        <w:tc>
                          <w:tcPr>
                            <w:tcW w:w="1039" w:type="dxa"/>
                            <w:tcBorders>
                              <w:top w:val="single" w:sz="2" w:space="0" w:color="002279"/>
                              <w:left w:val="single" w:sz="4" w:space="0" w:color="002279"/>
                              <w:bottom w:val="single" w:sz="2" w:space="0" w:color="002279"/>
                              <w:right w:val="single" w:sz="4" w:space="0" w:color="002279"/>
                            </w:tcBorders>
                            <w:shd w:val="clear" w:color="auto" w:fill="FFFFFF" w:themeFill="background1"/>
                          </w:tcPr>
                          <w:p w14:paraId="76C264D3" w14:textId="7460601C" w:rsidR="0069477C" w:rsidRPr="002020E8" w:rsidRDefault="00154E6E" w:rsidP="002020E8">
                            <w:pPr>
                              <w:spacing w:line="264" w:lineRule="auto"/>
                              <w:jc w:val="center"/>
                              <w:rPr>
                                <w:rFonts w:cstheme="minorHAnsi"/>
                              </w:rPr>
                            </w:pPr>
                            <w:r w:rsidRPr="00B51DFD">
                              <w:t>702,375</w:t>
                            </w:r>
                          </w:p>
                        </w:tc>
                        <w:tc>
                          <w:tcPr>
                            <w:tcW w:w="1039" w:type="dxa"/>
                            <w:tcBorders>
                              <w:top w:val="single" w:sz="2" w:space="0" w:color="002279"/>
                              <w:left w:val="single" w:sz="4" w:space="0" w:color="002279"/>
                              <w:bottom w:val="single" w:sz="2" w:space="0" w:color="002279"/>
                              <w:right w:val="single" w:sz="4" w:space="0" w:color="002279"/>
                            </w:tcBorders>
                            <w:shd w:val="clear" w:color="auto" w:fill="FFFFFF" w:themeFill="background1"/>
                          </w:tcPr>
                          <w:p w14:paraId="1AA2F4BB" w14:textId="1FF39102" w:rsidR="0069477C" w:rsidRPr="002020E8" w:rsidRDefault="00154E6E" w:rsidP="002020E8">
                            <w:pPr>
                              <w:spacing w:line="264" w:lineRule="auto"/>
                              <w:jc w:val="center"/>
                              <w:rPr>
                                <w:rFonts w:cstheme="minorHAnsi"/>
                              </w:rPr>
                            </w:pPr>
                            <w:r w:rsidRPr="00B51DFD">
                              <w:t>717,091</w:t>
                            </w:r>
                          </w:p>
                        </w:tc>
                        <w:tc>
                          <w:tcPr>
                            <w:tcW w:w="1039" w:type="dxa"/>
                            <w:tcBorders>
                              <w:top w:val="single" w:sz="2" w:space="0" w:color="002279"/>
                              <w:left w:val="single" w:sz="4" w:space="0" w:color="002279"/>
                              <w:bottom w:val="single" w:sz="2" w:space="0" w:color="002279"/>
                              <w:right w:val="single" w:sz="4" w:space="0" w:color="002279"/>
                            </w:tcBorders>
                            <w:shd w:val="clear" w:color="auto" w:fill="FFFFFF" w:themeFill="background1"/>
                          </w:tcPr>
                          <w:p w14:paraId="789369FF" w14:textId="74E38C61" w:rsidR="0069477C" w:rsidRPr="002020E8" w:rsidRDefault="00154E6E" w:rsidP="002020E8">
                            <w:pPr>
                              <w:spacing w:line="264" w:lineRule="auto"/>
                              <w:jc w:val="center"/>
                              <w:rPr>
                                <w:rFonts w:cstheme="minorHAnsi"/>
                              </w:rPr>
                            </w:pPr>
                            <w:r w:rsidRPr="00B51DFD">
                              <w:t>730,686</w:t>
                            </w:r>
                          </w:p>
                        </w:tc>
                        <w:tc>
                          <w:tcPr>
                            <w:tcW w:w="1039" w:type="dxa"/>
                            <w:tcBorders>
                              <w:top w:val="single" w:sz="2" w:space="0" w:color="002279"/>
                              <w:left w:val="single" w:sz="4" w:space="0" w:color="002279"/>
                              <w:bottom w:val="single" w:sz="2" w:space="0" w:color="002279"/>
                              <w:right w:val="single" w:sz="4" w:space="0" w:color="002279"/>
                            </w:tcBorders>
                            <w:shd w:val="clear" w:color="auto" w:fill="FFFFFF" w:themeFill="background1"/>
                          </w:tcPr>
                          <w:p w14:paraId="4A564117" w14:textId="3FCD7C03" w:rsidR="0069477C" w:rsidRPr="002020E8" w:rsidRDefault="00154E6E" w:rsidP="002020E8">
                            <w:pPr>
                              <w:spacing w:line="264" w:lineRule="auto"/>
                              <w:jc w:val="center"/>
                              <w:rPr>
                                <w:rFonts w:cstheme="minorHAnsi"/>
                              </w:rPr>
                            </w:pPr>
                            <w:r w:rsidRPr="00B51DFD">
                              <w:t>741,712</w:t>
                            </w:r>
                          </w:p>
                        </w:tc>
                        <w:tc>
                          <w:tcPr>
                            <w:tcW w:w="1039" w:type="dxa"/>
                            <w:tcBorders>
                              <w:top w:val="single" w:sz="2" w:space="0" w:color="002279"/>
                              <w:left w:val="single" w:sz="4" w:space="0" w:color="002279"/>
                              <w:bottom w:val="single" w:sz="2" w:space="0" w:color="002279"/>
                              <w:right w:val="single" w:sz="4" w:space="0" w:color="002279"/>
                            </w:tcBorders>
                            <w:shd w:val="clear" w:color="auto" w:fill="FFFFFF" w:themeFill="background1"/>
                          </w:tcPr>
                          <w:p w14:paraId="6A0BE718" w14:textId="39D90C81" w:rsidR="0069477C" w:rsidRPr="002020E8" w:rsidRDefault="00154E6E" w:rsidP="002020E8">
                            <w:pPr>
                              <w:spacing w:line="264" w:lineRule="auto"/>
                              <w:jc w:val="center"/>
                              <w:rPr>
                                <w:rFonts w:cstheme="minorHAnsi"/>
                              </w:rPr>
                            </w:pPr>
                            <w:r w:rsidRPr="00B51DFD">
                              <w:t>752,154</w:t>
                            </w:r>
                          </w:p>
                        </w:tc>
                        <w:tc>
                          <w:tcPr>
                            <w:tcW w:w="1040" w:type="dxa"/>
                            <w:tcBorders>
                              <w:top w:val="single" w:sz="2" w:space="0" w:color="002279"/>
                              <w:left w:val="single" w:sz="4" w:space="0" w:color="002279"/>
                              <w:bottom w:val="single" w:sz="2" w:space="0" w:color="002279"/>
                              <w:right w:val="single" w:sz="4" w:space="0" w:color="002279"/>
                            </w:tcBorders>
                            <w:shd w:val="clear" w:color="auto" w:fill="FFFFFF" w:themeFill="background1"/>
                            <w:vAlign w:val="center"/>
                          </w:tcPr>
                          <w:p w14:paraId="65AD7874" w14:textId="1AEF7F53" w:rsidR="0069477C" w:rsidRPr="002020E8" w:rsidRDefault="0069477C" w:rsidP="002020E8">
                            <w:pPr>
                              <w:spacing w:line="264" w:lineRule="auto"/>
                              <w:jc w:val="center"/>
                              <w:rPr>
                                <w:rFonts w:cstheme="minorHAnsi"/>
                                <w:highlight w:val="yellow"/>
                              </w:rPr>
                            </w:pPr>
                          </w:p>
                        </w:tc>
                      </w:tr>
                      <w:tr w:rsidR="00AD7771" w:rsidRPr="00430A88" w14:paraId="13F2AA2D" w14:textId="77777777" w:rsidTr="003F1732">
                        <w:trPr>
                          <w:cnfStyle w:val="000000100000" w:firstRow="0" w:lastRow="0" w:firstColumn="0" w:lastColumn="0" w:oddVBand="0" w:evenVBand="0" w:oddHBand="1" w:evenHBand="0" w:firstRowFirstColumn="0" w:firstRowLastColumn="0" w:lastRowFirstColumn="0" w:lastRowLastColumn="0"/>
                        </w:trPr>
                        <w:tc>
                          <w:tcPr>
                            <w:tcW w:w="2884" w:type="dxa"/>
                            <w:tcBorders>
                              <w:top w:val="single" w:sz="2" w:space="0" w:color="002279"/>
                              <w:left w:val="single" w:sz="4" w:space="0" w:color="002279"/>
                              <w:bottom w:val="single" w:sz="2" w:space="0" w:color="002279"/>
                              <w:right w:val="single" w:sz="4" w:space="0" w:color="002279"/>
                            </w:tcBorders>
                            <w:shd w:val="clear" w:color="auto" w:fill="D4D6DF"/>
                          </w:tcPr>
                          <w:p w14:paraId="667513E6" w14:textId="77777777" w:rsidR="0069477C" w:rsidRPr="00C324D4" w:rsidRDefault="0069477C" w:rsidP="004D037A">
                            <w:pPr>
                              <w:spacing w:line="264" w:lineRule="auto"/>
                              <w:rPr>
                                <w:rFonts w:cstheme="minorHAnsi"/>
                              </w:rPr>
                            </w:pPr>
                            <w:r w:rsidRPr="00C324D4">
                              <w:rPr>
                                <w:rFonts w:cstheme="minorHAnsi"/>
                              </w:rPr>
                              <w:t>Bulk water (ML)</w:t>
                            </w:r>
                          </w:p>
                        </w:tc>
                        <w:tc>
                          <w:tcPr>
                            <w:tcW w:w="1039"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34894030" w14:textId="6A51319A" w:rsidR="0069477C" w:rsidRPr="002020E8" w:rsidRDefault="0069477C" w:rsidP="002020E8">
                            <w:pPr>
                              <w:spacing w:line="264" w:lineRule="auto"/>
                              <w:jc w:val="center"/>
                              <w:rPr>
                                <w:rFonts w:cstheme="minorHAnsi"/>
                              </w:rPr>
                            </w:pPr>
                            <w:r>
                              <w:rPr>
                                <w:rStyle w:val="normaltextrun"/>
                                <w:rFonts w:ascii="Arial" w:hAnsi="Arial" w:cs="Arial"/>
                              </w:rPr>
                              <w:t>161,067</w:t>
                            </w:r>
                          </w:p>
                        </w:tc>
                        <w:tc>
                          <w:tcPr>
                            <w:tcW w:w="1039"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10703EEB" w14:textId="4829ED7B" w:rsidR="0069477C" w:rsidRPr="002020E8" w:rsidRDefault="0069477C" w:rsidP="002020E8">
                            <w:pPr>
                              <w:spacing w:line="264" w:lineRule="auto"/>
                              <w:jc w:val="center"/>
                              <w:rPr>
                                <w:rFonts w:cstheme="minorHAnsi"/>
                              </w:rPr>
                            </w:pPr>
                            <w:r>
                              <w:rPr>
                                <w:rStyle w:val="normaltextrun"/>
                                <w:rFonts w:ascii="Arial" w:hAnsi="Arial" w:cs="Arial"/>
                              </w:rPr>
                              <w:t>162,046</w:t>
                            </w:r>
                          </w:p>
                        </w:tc>
                        <w:tc>
                          <w:tcPr>
                            <w:tcW w:w="1039"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3D2A69CE" w14:textId="0C344AC8" w:rsidR="0069477C" w:rsidRPr="002020E8" w:rsidRDefault="0069477C" w:rsidP="002020E8">
                            <w:pPr>
                              <w:spacing w:line="264" w:lineRule="auto"/>
                              <w:jc w:val="center"/>
                              <w:rPr>
                                <w:rFonts w:cstheme="minorHAnsi"/>
                              </w:rPr>
                            </w:pPr>
                            <w:r>
                              <w:rPr>
                                <w:rStyle w:val="normaltextrun"/>
                                <w:rFonts w:ascii="Arial" w:hAnsi="Arial" w:cs="Arial"/>
                              </w:rPr>
                              <w:t>155,247</w:t>
                            </w:r>
                          </w:p>
                        </w:tc>
                        <w:tc>
                          <w:tcPr>
                            <w:tcW w:w="1039"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1F29D2AA" w14:textId="381D59BE" w:rsidR="0069477C" w:rsidRPr="002020E8" w:rsidRDefault="0069477C" w:rsidP="002020E8">
                            <w:pPr>
                              <w:spacing w:line="264" w:lineRule="auto"/>
                              <w:jc w:val="center"/>
                              <w:rPr>
                                <w:rFonts w:cstheme="minorHAnsi"/>
                              </w:rPr>
                            </w:pPr>
                            <w:r>
                              <w:rPr>
                                <w:rStyle w:val="normaltextrun"/>
                                <w:rFonts w:ascii="Arial" w:hAnsi="Arial" w:cs="Arial"/>
                              </w:rPr>
                              <w:t>154,805</w:t>
                            </w:r>
                          </w:p>
                        </w:tc>
                        <w:tc>
                          <w:tcPr>
                            <w:tcW w:w="1039"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22837A88" w14:textId="3D364E49" w:rsidR="0069477C" w:rsidRPr="002020E8" w:rsidRDefault="0069477C" w:rsidP="002020E8">
                            <w:pPr>
                              <w:spacing w:line="264" w:lineRule="auto"/>
                              <w:jc w:val="center"/>
                              <w:rPr>
                                <w:rFonts w:cstheme="minorHAnsi"/>
                              </w:rPr>
                            </w:pPr>
                            <w:r>
                              <w:rPr>
                                <w:rStyle w:val="normaltextrun"/>
                                <w:rFonts w:ascii="Arial" w:hAnsi="Arial" w:cs="Arial"/>
                              </w:rPr>
                              <w:t>160,399</w:t>
                            </w:r>
                          </w:p>
                        </w:tc>
                        <w:tc>
                          <w:tcPr>
                            <w:tcW w:w="1040"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290084C8" w14:textId="67660BAD" w:rsidR="0069477C" w:rsidRPr="002020E8" w:rsidRDefault="0069477C" w:rsidP="002020E8">
                            <w:pPr>
                              <w:spacing w:line="264" w:lineRule="auto"/>
                              <w:jc w:val="center"/>
                              <w:rPr>
                                <w:rFonts w:cstheme="minorHAnsi"/>
                                <w:highlight w:val="yellow"/>
                              </w:rPr>
                            </w:pPr>
                          </w:p>
                        </w:tc>
                      </w:tr>
                      <w:tr w:rsidR="00AD7771" w:rsidRPr="00430A88" w14:paraId="48722174" w14:textId="77777777" w:rsidTr="003F1732">
                        <w:trPr>
                          <w:cnfStyle w:val="000000010000" w:firstRow="0" w:lastRow="0" w:firstColumn="0" w:lastColumn="0" w:oddVBand="0" w:evenVBand="0" w:oddHBand="0" w:evenHBand="1" w:firstRowFirstColumn="0" w:firstRowLastColumn="0" w:lastRowFirstColumn="0" w:lastRowLastColumn="0"/>
                        </w:trPr>
                        <w:tc>
                          <w:tcPr>
                            <w:tcW w:w="2884" w:type="dxa"/>
                            <w:tcBorders>
                              <w:top w:val="single" w:sz="2" w:space="0" w:color="002279"/>
                              <w:left w:val="single" w:sz="4" w:space="0" w:color="002279"/>
                              <w:bottom w:val="single" w:sz="2" w:space="0" w:color="002279"/>
                              <w:right w:val="single" w:sz="4" w:space="0" w:color="002279"/>
                            </w:tcBorders>
                            <w:shd w:val="clear" w:color="auto" w:fill="FFFFFF" w:themeFill="background1"/>
                          </w:tcPr>
                          <w:p w14:paraId="5F7738B1" w14:textId="1523586D" w:rsidR="0069477C" w:rsidRPr="00C324D4" w:rsidRDefault="0069477C" w:rsidP="004D037A">
                            <w:pPr>
                              <w:spacing w:line="264" w:lineRule="auto"/>
                              <w:rPr>
                                <w:rFonts w:cstheme="minorHAnsi"/>
                              </w:rPr>
                            </w:pPr>
                            <w:r w:rsidRPr="00C324D4">
                              <w:rPr>
                                <w:rFonts w:cstheme="minorHAnsi"/>
                              </w:rPr>
                              <w:t>Controllable operating expenditure year-on-year growth (%)</w:t>
                            </w:r>
                          </w:p>
                        </w:tc>
                        <w:tc>
                          <w:tcPr>
                            <w:tcW w:w="1039" w:type="dxa"/>
                            <w:tcBorders>
                              <w:top w:val="single" w:sz="2" w:space="0" w:color="002279"/>
                              <w:left w:val="single" w:sz="4" w:space="0" w:color="002279"/>
                              <w:bottom w:val="single" w:sz="2" w:space="0" w:color="002279"/>
                              <w:right w:val="single" w:sz="4" w:space="0" w:color="002279"/>
                            </w:tcBorders>
                            <w:shd w:val="clear" w:color="auto" w:fill="FFFFFF" w:themeFill="background1"/>
                            <w:vAlign w:val="center"/>
                          </w:tcPr>
                          <w:p w14:paraId="7BC6CEEA" w14:textId="50DADEC9" w:rsidR="0069477C" w:rsidRPr="002020E8" w:rsidRDefault="0069477C" w:rsidP="002020E8">
                            <w:pPr>
                              <w:spacing w:line="264" w:lineRule="auto"/>
                              <w:jc w:val="center"/>
                              <w:rPr>
                                <w:rFonts w:cstheme="minorHAnsi"/>
                              </w:rPr>
                            </w:pPr>
                            <w:r>
                              <w:rPr>
                                <w:rStyle w:val="normaltextrun"/>
                                <w:rFonts w:ascii="Arial" w:hAnsi="Arial" w:cs="Arial"/>
                              </w:rPr>
                              <w:t>4.63%</w:t>
                            </w:r>
                          </w:p>
                        </w:tc>
                        <w:tc>
                          <w:tcPr>
                            <w:tcW w:w="1039" w:type="dxa"/>
                            <w:tcBorders>
                              <w:top w:val="single" w:sz="2" w:space="0" w:color="002279"/>
                              <w:left w:val="single" w:sz="4" w:space="0" w:color="002279"/>
                              <w:bottom w:val="single" w:sz="2" w:space="0" w:color="002279"/>
                              <w:right w:val="single" w:sz="4" w:space="0" w:color="002279"/>
                            </w:tcBorders>
                            <w:shd w:val="clear" w:color="auto" w:fill="FFFFFF" w:themeFill="background1"/>
                            <w:vAlign w:val="center"/>
                          </w:tcPr>
                          <w:p w14:paraId="14FCE770" w14:textId="77A1B748" w:rsidR="0069477C" w:rsidRPr="002020E8" w:rsidRDefault="0069477C" w:rsidP="002020E8">
                            <w:pPr>
                              <w:spacing w:line="264" w:lineRule="auto"/>
                              <w:jc w:val="center"/>
                              <w:rPr>
                                <w:rFonts w:cstheme="minorHAnsi"/>
                              </w:rPr>
                            </w:pPr>
                            <w:r>
                              <w:rPr>
                                <w:rStyle w:val="normaltextrun"/>
                                <w:rFonts w:ascii="Arial" w:hAnsi="Arial" w:cs="Arial"/>
                              </w:rPr>
                              <w:t>-0.10%</w:t>
                            </w:r>
                          </w:p>
                        </w:tc>
                        <w:tc>
                          <w:tcPr>
                            <w:tcW w:w="1039" w:type="dxa"/>
                            <w:tcBorders>
                              <w:top w:val="single" w:sz="2" w:space="0" w:color="002279"/>
                              <w:left w:val="single" w:sz="4" w:space="0" w:color="002279"/>
                              <w:bottom w:val="single" w:sz="2" w:space="0" w:color="002279"/>
                              <w:right w:val="single" w:sz="4" w:space="0" w:color="002279"/>
                            </w:tcBorders>
                            <w:shd w:val="clear" w:color="auto" w:fill="FFFFFF" w:themeFill="background1"/>
                            <w:vAlign w:val="center"/>
                          </w:tcPr>
                          <w:p w14:paraId="4547740D" w14:textId="12014570" w:rsidR="0069477C" w:rsidRPr="002020E8" w:rsidRDefault="0069477C" w:rsidP="002020E8">
                            <w:pPr>
                              <w:spacing w:line="264" w:lineRule="auto"/>
                              <w:jc w:val="center"/>
                              <w:rPr>
                                <w:rFonts w:cstheme="minorHAnsi"/>
                              </w:rPr>
                            </w:pPr>
                            <w:r>
                              <w:rPr>
                                <w:rStyle w:val="normaltextrun"/>
                                <w:rFonts w:ascii="Arial" w:hAnsi="Arial" w:cs="Arial"/>
                              </w:rPr>
                              <w:t>1.16%</w:t>
                            </w:r>
                          </w:p>
                        </w:tc>
                        <w:tc>
                          <w:tcPr>
                            <w:tcW w:w="1039" w:type="dxa"/>
                            <w:tcBorders>
                              <w:top w:val="single" w:sz="2" w:space="0" w:color="002279"/>
                              <w:left w:val="single" w:sz="4" w:space="0" w:color="002279"/>
                              <w:bottom w:val="single" w:sz="2" w:space="0" w:color="002279"/>
                              <w:right w:val="single" w:sz="4" w:space="0" w:color="002279"/>
                            </w:tcBorders>
                            <w:shd w:val="clear" w:color="auto" w:fill="FFFFFF" w:themeFill="background1"/>
                            <w:vAlign w:val="center"/>
                          </w:tcPr>
                          <w:p w14:paraId="613BF1AF" w14:textId="55D18BF7" w:rsidR="0069477C" w:rsidRPr="002020E8" w:rsidRDefault="0069477C" w:rsidP="002020E8">
                            <w:pPr>
                              <w:spacing w:line="264" w:lineRule="auto"/>
                              <w:jc w:val="center"/>
                              <w:rPr>
                                <w:rFonts w:cstheme="minorHAnsi"/>
                              </w:rPr>
                            </w:pPr>
                            <w:r>
                              <w:rPr>
                                <w:rStyle w:val="normaltextrun"/>
                                <w:rFonts w:ascii="Arial" w:hAnsi="Arial" w:cs="Arial"/>
                              </w:rPr>
                              <w:t>-1.31%</w:t>
                            </w:r>
                          </w:p>
                        </w:tc>
                        <w:tc>
                          <w:tcPr>
                            <w:tcW w:w="1039" w:type="dxa"/>
                            <w:tcBorders>
                              <w:top w:val="single" w:sz="2" w:space="0" w:color="002279"/>
                              <w:left w:val="single" w:sz="4" w:space="0" w:color="002279"/>
                              <w:bottom w:val="single" w:sz="2" w:space="0" w:color="002279"/>
                              <w:right w:val="single" w:sz="4" w:space="0" w:color="002279"/>
                            </w:tcBorders>
                            <w:shd w:val="clear" w:color="auto" w:fill="FFFFFF" w:themeFill="background1"/>
                            <w:vAlign w:val="center"/>
                          </w:tcPr>
                          <w:p w14:paraId="53B3B40B" w14:textId="62F357FF" w:rsidR="0069477C" w:rsidRPr="002020E8" w:rsidRDefault="002009B8" w:rsidP="002020E8">
                            <w:pPr>
                              <w:spacing w:line="264" w:lineRule="auto"/>
                              <w:jc w:val="center"/>
                              <w:rPr>
                                <w:rFonts w:cstheme="minorHAnsi"/>
                              </w:rPr>
                            </w:pPr>
                            <w:r>
                              <w:rPr>
                                <w:rStyle w:val="normaltextrun"/>
                                <w:rFonts w:ascii="Arial" w:hAnsi="Arial" w:cs="Arial"/>
                              </w:rPr>
                              <w:t>4.48%</w:t>
                            </w:r>
                          </w:p>
                        </w:tc>
                        <w:tc>
                          <w:tcPr>
                            <w:tcW w:w="1040" w:type="dxa"/>
                            <w:tcBorders>
                              <w:top w:val="single" w:sz="2" w:space="0" w:color="002279"/>
                              <w:left w:val="single" w:sz="4" w:space="0" w:color="002279"/>
                              <w:bottom w:val="single" w:sz="2" w:space="0" w:color="002279"/>
                              <w:right w:val="single" w:sz="4" w:space="0" w:color="002279"/>
                            </w:tcBorders>
                            <w:shd w:val="clear" w:color="auto" w:fill="FFFFFF" w:themeFill="background1"/>
                            <w:vAlign w:val="center"/>
                          </w:tcPr>
                          <w:p w14:paraId="300EF24C" w14:textId="2C83C69A" w:rsidR="0069477C" w:rsidRPr="002020E8" w:rsidRDefault="0069477C" w:rsidP="002020E8">
                            <w:pPr>
                              <w:spacing w:line="264" w:lineRule="auto"/>
                              <w:jc w:val="center"/>
                              <w:rPr>
                                <w:rFonts w:cstheme="minorHAnsi"/>
                              </w:rPr>
                            </w:pPr>
                            <w:r>
                              <w:rPr>
                                <w:rStyle w:val="normaltextrun"/>
                                <w:rFonts w:ascii="Arial" w:hAnsi="Arial" w:cs="Arial"/>
                              </w:rPr>
                              <w:t>1.</w:t>
                            </w:r>
                            <w:r w:rsidR="002009B8">
                              <w:rPr>
                                <w:rStyle w:val="normaltextrun"/>
                                <w:rFonts w:ascii="Arial" w:hAnsi="Arial" w:cs="Arial"/>
                              </w:rPr>
                              <w:t>77</w:t>
                            </w:r>
                            <w:r>
                              <w:rPr>
                                <w:rStyle w:val="normaltextrun"/>
                                <w:rFonts w:ascii="Arial" w:hAnsi="Arial" w:cs="Arial"/>
                              </w:rPr>
                              <w:t>%</w:t>
                            </w:r>
                          </w:p>
                        </w:tc>
                      </w:tr>
                      <w:tr w:rsidR="00AD7771" w:rsidRPr="00430A88" w14:paraId="5611CBEC" w14:textId="77777777" w:rsidTr="003F1732">
                        <w:trPr>
                          <w:cnfStyle w:val="000000100000" w:firstRow="0" w:lastRow="0" w:firstColumn="0" w:lastColumn="0" w:oddVBand="0" w:evenVBand="0" w:oddHBand="1" w:evenHBand="0" w:firstRowFirstColumn="0" w:firstRowLastColumn="0" w:lastRowFirstColumn="0" w:lastRowLastColumn="0"/>
                        </w:trPr>
                        <w:tc>
                          <w:tcPr>
                            <w:tcW w:w="2884" w:type="dxa"/>
                            <w:tcBorders>
                              <w:top w:val="single" w:sz="2" w:space="0" w:color="002279"/>
                              <w:left w:val="single" w:sz="4" w:space="0" w:color="002279"/>
                              <w:bottom w:val="single" w:sz="2" w:space="0" w:color="002279"/>
                              <w:right w:val="single" w:sz="4" w:space="0" w:color="002279"/>
                            </w:tcBorders>
                            <w:shd w:val="clear" w:color="auto" w:fill="D4D6DF"/>
                          </w:tcPr>
                          <w:p w14:paraId="5D7A42CB" w14:textId="20953A71" w:rsidR="0069477C" w:rsidRPr="00C324D4" w:rsidRDefault="0069477C" w:rsidP="004D037A">
                            <w:pPr>
                              <w:spacing w:line="264" w:lineRule="auto"/>
                              <w:rPr>
                                <w:rFonts w:cstheme="minorHAnsi"/>
                              </w:rPr>
                            </w:pPr>
                            <w:r w:rsidRPr="00C324D4">
                              <w:rPr>
                                <w:rFonts w:cstheme="minorHAnsi"/>
                              </w:rPr>
                              <w:t>Number of water customers year-on-year growth (%)</w:t>
                            </w:r>
                          </w:p>
                        </w:tc>
                        <w:tc>
                          <w:tcPr>
                            <w:tcW w:w="1039"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366155EA" w14:textId="5923BB8D" w:rsidR="0069477C" w:rsidRPr="002020E8" w:rsidRDefault="0069477C" w:rsidP="002020E8">
                            <w:pPr>
                              <w:spacing w:line="264" w:lineRule="auto"/>
                              <w:jc w:val="center"/>
                              <w:rPr>
                                <w:rFonts w:cstheme="minorHAnsi"/>
                              </w:rPr>
                            </w:pPr>
                            <w:r>
                              <w:rPr>
                                <w:rStyle w:val="normaltextrun"/>
                                <w:rFonts w:ascii="Arial" w:hAnsi="Arial" w:cs="Arial"/>
                              </w:rPr>
                              <w:t>2.</w:t>
                            </w:r>
                            <w:r w:rsidR="008A67E2">
                              <w:rPr>
                                <w:rStyle w:val="normaltextrun"/>
                                <w:rFonts w:ascii="Arial" w:hAnsi="Arial" w:cs="Arial"/>
                              </w:rPr>
                              <w:t>60</w:t>
                            </w:r>
                            <w:r>
                              <w:rPr>
                                <w:rStyle w:val="normaltextrun"/>
                                <w:rFonts w:ascii="Arial" w:hAnsi="Arial" w:cs="Arial"/>
                              </w:rPr>
                              <w:t>%</w:t>
                            </w:r>
                          </w:p>
                        </w:tc>
                        <w:tc>
                          <w:tcPr>
                            <w:tcW w:w="1039"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4F29C8A0" w14:textId="22F5D545" w:rsidR="0069477C" w:rsidRPr="002020E8" w:rsidRDefault="0069477C" w:rsidP="002020E8">
                            <w:pPr>
                              <w:spacing w:line="264" w:lineRule="auto"/>
                              <w:jc w:val="center"/>
                              <w:rPr>
                                <w:rFonts w:cstheme="minorHAnsi"/>
                              </w:rPr>
                            </w:pPr>
                            <w:r>
                              <w:rPr>
                                <w:rStyle w:val="normaltextrun"/>
                                <w:rFonts w:ascii="Arial" w:hAnsi="Arial" w:cs="Arial"/>
                              </w:rPr>
                              <w:t>2.</w:t>
                            </w:r>
                            <w:r w:rsidR="008A67E2">
                              <w:rPr>
                                <w:rStyle w:val="normaltextrun"/>
                                <w:rFonts w:ascii="Arial" w:hAnsi="Arial" w:cs="Arial"/>
                              </w:rPr>
                              <w:t>10</w:t>
                            </w:r>
                            <w:r>
                              <w:rPr>
                                <w:rStyle w:val="normaltextrun"/>
                                <w:rFonts w:ascii="Arial" w:hAnsi="Arial" w:cs="Arial"/>
                              </w:rPr>
                              <w:t>%</w:t>
                            </w:r>
                          </w:p>
                        </w:tc>
                        <w:tc>
                          <w:tcPr>
                            <w:tcW w:w="1039"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11027B11" w14:textId="6C2BB8B9" w:rsidR="0069477C" w:rsidRPr="002020E8" w:rsidRDefault="0069477C" w:rsidP="002020E8">
                            <w:pPr>
                              <w:spacing w:line="264" w:lineRule="auto"/>
                              <w:jc w:val="center"/>
                              <w:rPr>
                                <w:rFonts w:cstheme="minorHAnsi"/>
                              </w:rPr>
                            </w:pPr>
                            <w:r>
                              <w:rPr>
                                <w:rStyle w:val="normaltextrun"/>
                                <w:rFonts w:ascii="Arial" w:hAnsi="Arial" w:cs="Arial"/>
                              </w:rPr>
                              <w:t>1.</w:t>
                            </w:r>
                            <w:r w:rsidR="008A67E2">
                              <w:rPr>
                                <w:rStyle w:val="normaltextrun"/>
                                <w:rFonts w:ascii="Arial" w:hAnsi="Arial" w:cs="Arial"/>
                              </w:rPr>
                              <w:t>90</w:t>
                            </w:r>
                            <w:r>
                              <w:rPr>
                                <w:rStyle w:val="normaltextrun"/>
                                <w:rFonts w:ascii="Arial" w:hAnsi="Arial" w:cs="Arial"/>
                              </w:rPr>
                              <w:t>%</w:t>
                            </w:r>
                          </w:p>
                        </w:tc>
                        <w:tc>
                          <w:tcPr>
                            <w:tcW w:w="1039"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273805F5" w14:textId="532BC1E8" w:rsidR="0069477C" w:rsidRPr="002020E8" w:rsidRDefault="0069477C" w:rsidP="002020E8">
                            <w:pPr>
                              <w:spacing w:line="264" w:lineRule="auto"/>
                              <w:jc w:val="center"/>
                              <w:rPr>
                                <w:rFonts w:cstheme="minorHAnsi"/>
                              </w:rPr>
                            </w:pPr>
                            <w:r>
                              <w:rPr>
                                <w:rStyle w:val="normaltextrun"/>
                                <w:rFonts w:ascii="Arial" w:hAnsi="Arial" w:cs="Arial"/>
                              </w:rPr>
                              <w:t>1.</w:t>
                            </w:r>
                            <w:r w:rsidR="001368C8">
                              <w:rPr>
                                <w:rStyle w:val="normaltextrun"/>
                                <w:rFonts w:ascii="Arial" w:hAnsi="Arial" w:cs="Arial"/>
                              </w:rPr>
                              <w:t>51</w:t>
                            </w:r>
                            <w:r>
                              <w:rPr>
                                <w:rStyle w:val="normaltextrun"/>
                                <w:rFonts w:ascii="Arial" w:hAnsi="Arial" w:cs="Arial"/>
                              </w:rPr>
                              <w:t>%</w:t>
                            </w:r>
                          </w:p>
                        </w:tc>
                        <w:tc>
                          <w:tcPr>
                            <w:tcW w:w="1039"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2B49461F" w14:textId="726099A8" w:rsidR="0069477C" w:rsidRPr="002020E8" w:rsidRDefault="0069477C" w:rsidP="002020E8">
                            <w:pPr>
                              <w:spacing w:line="264" w:lineRule="auto"/>
                              <w:jc w:val="center"/>
                              <w:rPr>
                                <w:rFonts w:cstheme="minorHAnsi"/>
                              </w:rPr>
                            </w:pPr>
                            <w:r>
                              <w:rPr>
                                <w:rStyle w:val="normaltextrun"/>
                                <w:rFonts w:ascii="Arial" w:hAnsi="Arial" w:cs="Arial"/>
                              </w:rPr>
                              <w:t>1.</w:t>
                            </w:r>
                            <w:r w:rsidR="001368C8">
                              <w:rPr>
                                <w:rStyle w:val="normaltextrun"/>
                                <w:rFonts w:ascii="Arial" w:hAnsi="Arial" w:cs="Arial"/>
                              </w:rPr>
                              <w:t>41</w:t>
                            </w:r>
                            <w:r>
                              <w:rPr>
                                <w:rStyle w:val="normaltextrun"/>
                                <w:rFonts w:ascii="Arial" w:hAnsi="Arial" w:cs="Arial"/>
                              </w:rPr>
                              <w:t>%</w:t>
                            </w:r>
                          </w:p>
                        </w:tc>
                        <w:tc>
                          <w:tcPr>
                            <w:tcW w:w="1040"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3513DCFE" w14:textId="5CA56E06" w:rsidR="0069477C" w:rsidRPr="002020E8" w:rsidRDefault="0069477C" w:rsidP="002020E8">
                            <w:pPr>
                              <w:spacing w:line="264" w:lineRule="auto"/>
                              <w:jc w:val="center"/>
                              <w:rPr>
                                <w:rFonts w:cstheme="minorHAnsi"/>
                              </w:rPr>
                            </w:pPr>
                            <w:r>
                              <w:rPr>
                                <w:rStyle w:val="normaltextrun"/>
                                <w:rFonts w:ascii="Arial" w:hAnsi="Arial" w:cs="Arial"/>
                              </w:rPr>
                              <w:t>1.</w:t>
                            </w:r>
                            <w:r w:rsidR="001368C8">
                              <w:rPr>
                                <w:rStyle w:val="normaltextrun"/>
                                <w:rFonts w:ascii="Arial" w:hAnsi="Arial" w:cs="Arial"/>
                              </w:rPr>
                              <w:t>90</w:t>
                            </w:r>
                            <w:r>
                              <w:rPr>
                                <w:rStyle w:val="normaltextrun"/>
                                <w:rFonts w:ascii="Arial" w:hAnsi="Arial" w:cs="Arial"/>
                              </w:rPr>
                              <w:t>%</w:t>
                            </w:r>
                          </w:p>
                        </w:tc>
                      </w:tr>
                      <w:tr w:rsidR="00AD7771" w:rsidRPr="00430A88" w14:paraId="1DA5D029" w14:textId="77777777" w:rsidTr="003F1732">
                        <w:trPr>
                          <w:cnfStyle w:val="000000010000" w:firstRow="0" w:lastRow="0" w:firstColumn="0" w:lastColumn="0" w:oddVBand="0" w:evenVBand="0" w:oddHBand="0" w:evenHBand="1" w:firstRowFirstColumn="0" w:firstRowLastColumn="0" w:lastRowFirstColumn="0" w:lastRowLastColumn="0"/>
                        </w:trPr>
                        <w:tc>
                          <w:tcPr>
                            <w:tcW w:w="2884" w:type="dxa"/>
                            <w:tcBorders>
                              <w:top w:val="single" w:sz="2" w:space="0" w:color="002279"/>
                              <w:left w:val="single" w:sz="4" w:space="0" w:color="002279"/>
                              <w:bottom w:val="single" w:sz="4" w:space="0" w:color="002279"/>
                              <w:right w:val="single" w:sz="4" w:space="0" w:color="002279"/>
                            </w:tcBorders>
                            <w:shd w:val="clear" w:color="auto" w:fill="FFFFFF" w:themeFill="background1"/>
                          </w:tcPr>
                          <w:p w14:paraId="03C8F9CD" w14:textId="64CA6FBC" w:rsidR="0069477C" w:rsidRPr="00C324D4" w:rsidRDefault="0069477C" w:rsidP="004D037A">
                            <w:pPr>
                              <w:spacing w:line="264" w:lineRule="auto"/>
                              <w:rPr>
                                <w:rFonts w:cstheme="minorHAnsi"/>
                              </w:rPr>
                            </w:pPr>
                            <w:r w:rsidRPr="00C324D4">
                              <w:rPr>
                                <w:rFonts w:cstheme="minorHAnsi"/>
                              </w:rPr>
                              <w:t>Bulk water year-on-year growth (%)</w:t>
                            </w:r>
                          </w:p>
                        </w:tc>
                        <w:tc>
                          <w:tcPr>
                            <w:tcW w:w="1039" w:type="dxa"/>
                            <w:tcBorders>
                              <w:top w:val="single" w:sz="2" w:space="0" w:color="002279"/>
                              <w:left w:val="single" w:sz="4" w:space="0" w:color="002279"/>
                              <w:bottom w:val="single" w:sz="4" w:space="0" w:color="002279"/>
                              <w:right w:val="single" w:sz="4" w:space="0" w:color="002279"/>
                            </w:tcBorders>
                            <w:shd w:val="clear" w:color="auto" w:fill="FFFFFF" w:themeFill="background1"/>
                            <w:vAlign w:val="center"/>
                          </w:tcPr>
                          <w:p w14:paraId="5023D183" w14:textId="0DD26A95" w:rsidR="0069477C" w:rsidRPr="002020E8" w:rsidRDefault="0069477C" w:rsidP="002020E8">
                            <w:pPr>
                              <w:spacing w:line="264" w:lineRule="auto"/>
                              <w:jc w:val="center"/>
                              <w:rPr>
                                <w:rFonts w:cstheme="minorHAnsi"/>
                              </w:rPr>
                            </w:pPr>
                            <w:r>
                              <w:rPr>
                                <w:rStyle w:val="normaltextrun"/>
                                <w:rFonts w:ascii="Arial" w:hAnsi="Arial" w:cs="Arial"/>
                              </w:rPr>
                              <w:t>5.51%</w:t>
                            </w:r>
                          </w:p>
                        </w:tc>
                        <w:tc>
                          <w:tcPr>
                            <w:tcW w:w="1039" w:type="dxa"/>
                            <w:tcBorders>
                              <w:top w:val="single" w:sz="2" w:space="0" w:color="002279"/>
                              <w:left w:val="single" w:sz="4" w:space="0" w:color="002279"/>
                              <w:bottom w:val="single" w:sz="4" w:space="0" w:color="002279"/>
                              <w:right w:val="single" w:sz="4" w:space="0" w:color="002279"/>
                            </w:tcBorders>
                            <w:shd w:val="clear" w:color="auto" w:fill="FFFFFF" w:themeFill="background1"/>
                            <w:vAlign w:val="center"/>
                          </w:tcPr>
                          <w:p w14:paraId="09297698" w14:textId="5C4F7EF7" w:rsidR="0069477C" w:rsidRPr="002020E8" w:rsidRDefault="0069477C" w:rsidP="002020E8">
                            <w:pPr>
                              <w:spacing w:line="264" w:lineRule="auto"/>
                              <w:jc w:val="center"/>
                              <w:rPr>
                                <w:rFonts w:cstheme="minorHAnsi"/>
                              </w:rPr>
                            </w:pPr>
                            <w:r>
                              <w:rPr>
                                <w:rStyle w:val="normaltextrun"/>
                                <w:rFonts w:ascii="Arial" w:hAnsi="Arial" w:cs="Arial"/>
                              </w:rPr>
                              <w:t>0.61%</w:t>
                            </w:r>
                          </w:p>
                        </w:tc>
                        <w:tc>
                          <w:tcPr>
                            <w:tcW w:w="1039" w:type="dxa"/>
                            <w:tcBorders>
                              <w:top w:val="single" w:sz="2" w:space="0" w:color="002279"/>
                              <w:left w:val="single" w:sz="4" w:space="0" w:color="002279"/>
                              <w:bottom w:val="single" w:sz="4" w:space="0" w:color="002279"/>
                              <w:right w:val="single" w:sz="4" w:space="0" w:color="002279"/>
                            </w:tcBorders>
                            <w:shd w:val="clear" w:color="auto" w:fill="FFFFFF" w:themeFill="background1"/>
                            <w:vAlign w:val="center"/>
                          </w:tcPr>
                          <w:p w14:paraId="16B75D31" w14:textId="70C6A358" w:rsidR="0069477C" w:rsidRPr="002020E8" w:rsidRDefault="0069477C" w:rsidP="002020E8">
                            <w:pPr>
                              <w:spacing w:line="264" w:lineRule="auto"/>
                              <w:jc w:val="center"/>
                              <w:rPr>
                                <w:rFonts w:cstheme="minorHAnsi"/>
                              </w:rPr>
                            </w:pPr>
                            <w:r>
                              <w:rPr>
                                <w:rStyle w:val="normaltextrun"/>
                                <w:rFonts w:ascii="Arial" w:hAnsi="Arial" w:cs="Arial"/>
                              </w:rPr>
                              <w:t>-4.20%</w:t>
                            </w:r>
                          </w:p>
                        </w:tc>
                        <w:tc>
                          <w:tcPr>
                            <w:tcW w:w="1039" w:type="dxa"/>
                            <w:tcBorders>
                              <w:top w:val="single" w:sz="2" w:space="0" w:color="002279"/>
                              <w:left w:val="single" w:sz="4" w:space="0" w:color="002279"/>
                              <w:bottom w:val="single" w:sz="4" w:space="0" w:color="002279"/>
                              <w:right w:val="single" w:sz="4" w:space="0" w:color="002279"/>
                            </w:tcBorders>
                            <w:shd w:val="clear" w:color="auto" w:fill="FFFFFF" w:themeFill="background1"/>
                            <w:vAlign w:val="center"/>
                          </w:tcPr>
                          <w:p w14:paraId="137EEE94" w14:textId="0F754A1A" w:rsidR="0069477C" w:rsidRPr="002020E8" w:rsidRDefault="0069477C" w:rsidP="002020E8">
                            <w:pPr>
                              <w:spacing w:line="264" w:lineRule="auto"/>
                              <w:jc w:val="center"/>
                              <w:rPr>
                                <w:rFonts w:cstheme="minorHAnsi"/>
                              </w:rPr>
                            </w:pPr>
                            <w:r>
                              <w:rPr>
                                <w:rStyle w:val="normaltextrun"/>
                                <w:rFonts w:ascii="Arial" w:hAnsi="Arial" w:cs="Arial"/>
                              </w:rPr>
                              <w:t>-0.28%</w:t>
                            </w:r>
                          </w:p>
                        </w:tc>
                        <w:tc>
                          <w:tcPr>
                            <w:tcW w:w="1039" w:type="dxa"/>
                            <w:tcBorders>
                              <w:top w:val="single" w:sz="2" w:space="0" w:color="002279"/>
                              <w:left w:val="single" w:sz="4" w:space="0" w:color="002279"/>
                              <w:bottom w:val="single" w:sz="4" w:space="0" w:color="002279"/>
                              <w:right w:val="single" w:sz="4" w:space="0" w:color="002279"/>
                            </w:tcBorders>
                            <w:shd w:val="clear" w:color="auto" w:fill="FFFFFF" w:themeFill="background1"/>
                            <w:vAlign w:val="center"/>
                          </w:tcPr>
                          <w:p w14:paraId="07936C13" w14:textId="21A886E9" w:rsidR="0069477C" w:rsidRPr="002020E8" w:rsidRDefault="0069477C" w:rsidP="002020E8">
                            <w:pPr>
                              <w:spacing w:line="264" w:lineRule="auto"/>
                              <w:jc w:val="center"/>
                              <w:rPr>
                                <w:rFonts w:cstheme="minorHAnsi"/>
                              </w:rPr>
                            </w:pPr>
                            <w:r>
                              <w:rPr>
                                <w:rStyle w:val="normaltextrun"/>
                                <w:rFonts w:ascii="Arial" w:hAnsi="Arial" w:cs="Arial"/>
                              </w:rPr>
                              <w:t>3.61%</w:t>
                            </w:r>
                          </w:p>
                        </w:tc>
                        <w:tc>
                          <w:tcPr>
                            <w:tcW w:w="1040" w:type="dxa"/>
                            <w:tcBorders>
                              <w:top w:val="single" w:sz="2" w:space="0" w:color="002279"/>
                              <w:left w:val="single" w:sz="4" w:space="0" w:color="002279"/>
                              <w:bottom w:val="single" w:sz="4" w:space="0" w:color="002279"/>
                              <w:right w:val="single" w:sz="4" w:space="0" w:color="002279"/>
                            </w:tcBorders>
                            <w:shd w:val="clear" w:color="auto" w:fill="FFFFFF" w:themeFill="background1"/>
                            <w:vAlign w:val="center"/>
                          </w:tcPr>
                          <w:p w14:paraId="3DA5D33E" w14:textId="594C6CB6" w:rsidR="0069477C" w:rsidRPr="002020E8" w:rsidRDefault="0069477C" w:rsidP="002020E8">
                            <w:pPr>
                              <w:spacing w:line="264" w:lineRule="auto"/>
                              <w:jc w:val="center"/>
                              <w:rPr>
                                <w:rFonts w:cstheme="minorHAnsi"/>
                              </w:rPr>
                            </w:pPr>
                            <w:r>
                              <w:rPr>
                                <w:rStyle w:val="normaltextrun"/>
                                <w:rFonts w:ascii="Arial" w:hAnsi="Arial" w:cs="Arial"/>
                              </w:rPr>
                              <w:t>1.05%</w:t>
                            </w:r>
                          </w:p>
                        </w:tc>
                      </w:tr>
                    </w:tbl>
                    <w:p w14:paraId="7D2F782D" w14:textId="77777777" w:rsidR="0069477C" w:rsidRDefault="0069477C"/>
                  </w:txbxContent>
                </v:textbox>
                <w10:wrap type="square" anchorx="margin"/>
              </v:shape>
            </w:pict>
          </mc:Fallback>
        </mc:AlternateContent>
      </w:r>
      <w:r w:rsidR="00DB69CC">
        <w:t xml:space="preserve">As shown in Box </w:t>
      </w:r>
      <w:r w:rsidR="00094ED7">
        <w:t>1</w:t>
      </w:r>
      <w:r w:rsidR="00DB69CC">
        <w:t xml:space="preserve"> below, </w:t>
      </w:r>
      <w:r w:rsidR="005E3C8A">
        <w:t xml:space="preserve">both controllable operating expenditure and bulk water consumption have grown at a lower rate than customer numbers over the last </w:t>
      </w:r>
      <w:r w:rsidR="00F42AAA">
        <w:t xml:space="preserve">5 years. </w:t>
      </w:r>
    </w:p>
    <w:p w14:paraId="3A078C43" w14:textId="78F963FD" w:rsidR="009B2CD9" w:rsidRDefault="009B2CD9" w:rsidP="00882A9A"/>
    <w:p w14:paraId="1BD95284" w14:textId="629E3E1B" w:rsidR="00DB69CC" w:rsidRDefault="00F42AAA" w:rsidP="00882A9A">
      <w:r>
        <w:lastRenderedPageBreak/>
        <w:t xml:space="preserve">This provides some evidence that the </w:t>
      </w:r>
      <w:r w:rsidR="0019121D">
        <w:t xml:space="preserve">direct </w:t>
      </w:r>
      <w:r>
        <w:t xml:space="preserve">relationship between customer </w:t>
      </w:r>
      <w:r w:rsidR="006B1349">
        <w:t xml:space="preserve">growth </w:t>
      </w:r>
      <w:r>
        <w:t xml:space="preserve">and operating </w:t>
      </w:r>
      <w:r w:rsidR="002F4834">
        <w:t>expenditure growth may no longer hold.</w:t>
      </w:r>
    </w:p>
    <w:p w14:paraId="6597694D" w14:textId="2011CAE5" w:rsidR="005B4618" w:rsidRDefault="00D24059" w:rsidP="005B4618">
      <w:pPr>
        <w:rPr>
          <w:rFonts w:eastAsia="Arial" w:cs="Arial"/>
        </w:rPr>
      </w:pPr>
      <w:r>
        <w:t xml:space="preserve">To address this concern, </w:t>
      </w:r>
      <w:r w:rsidR="005B4618">
        <w:t xml:space="preserve">South East Water is proposing </w:t>
      </w:r>
      <w:r w:rsidR="00A57863">
        <w:t>to apply a growth allowance that is lower than forecast customer growth</w:t>
      </w:r>
      <w:r w:rsidR="001E7D63">
        <w:t xml:space="preserve"> for the 2023</w:t>
      </w:r>
      <w:r w:rsidR="00310E2A">
        <w:t>–</w:t>
      </w:r>
      <w:r w:rsidR="001E7D63">
        <w:t>28 period</w:t>
      </w:r>
      <w:r w:rsidR="008C16F4">
        <w:t xml:space="preserve">. </w:t>
      </w:r>
      <w:r w:rsidR="006B1349">
        <w:t>This</w:t>
      </w:r>
      <w:r w:rsidR="005B4618" w:rsidRPr="544FD5F6">
        <w:rPr>
          <w:rFonts w:eastAsia="Arial" w:cs="Arial"/>
        </w:rPr>
        <w:t xml:space="preserve"> </w:t>
      </w:r>
      <w:r w:rsidR="00612583">
        <w:rPr>
          <w:rFonts w:eastAsia="Arial" w:cs="Arial"/>
        </w:rPr>
        <w:t>‘</w:t>
      </w:r>
      <w:r w:rsidR="005B4618" w:rsidRPr="544FD5F6">
        <w:rPr>
          <w:rFonts w:eastAsia="Arial" w:cs="Arial"/>
        </w:rPr>
        <w:t>uncertainty discount</w:t>
      </w:r>
      <w:r w:rsidR="00612583">
        <w:rPr>
          <w:rFonts w:eastAsia="Arial" w:cs="Arial"/>
        </w:rPr>
        <w:t>’</w:t>
      </w:r>
      <w:r w:rsidR="005B4618" w:rsidRPr="544FD5F6">
        <w:rPr>
          <w:rFonts w:eastAsia="Arial" w:cs="Arial"/>
        </w:rPr>
        <w:t xml:space="preserve"> of 0.2</w:t>
      </w:r>
      <w:r w:rsidR="005B4618">
        <w:rPr>
          <w:rFonts w:eastAsia="Arial" w:cs="Arial"/>
        </w:rPr>
        <w:t>2</w:t>
      </w:r>
      <w:r w:rsidR="005B4618" w:rsidRPr="544FD5F6">
        <w:rPr>
          <w:rFonts w:eastAsia="Arial" w:cs="Arial"/>
        </w:rPr>
        <w:t xml:space="preserve">% </w:t>
      </w:r>
      <w:r w:rsidR="00565985">
        <w:rPr>
          <w:rFonts w:eastAsia="Arial" w:cs="Arial"/>
        </w:rPr>
        <w:t>on average</w:t>
      </w:r>
      <w:r w:rsidR="005B4618" w:rsidRPr="544FD5F6">
        <w:rPr>
          <w:rFonts w:eastAsia="Arial" w:cs="Arial"/>
        </w:rPr>
        <w:t xml:space="preserve"> </w:t>
      </w:r>
      <w:r w:rsidR="008C16F4">
        <w:rPr>
          <w:rFonts w:eastAsia="Arial" w:cs="Arial"/>
        </w:rPr>
        <w:t xml:space="preserve">is applied </w:t>
      </w:r>
      <w:r w:rsidR="005B4618" w:rsidRPr="544FD5F6">
        <w:rPr>
          <w:rFonts w:eastAsia="Arial" w:cs="Arial"/>
        </w:rPr>
        <w:t xml:space="preserve">each year on </w:t>
      </w:r>
      <w:r w:rsidR="005B4618">
        <w:rPr>
          <w:rFonts w:eastAsia="Arial" w:cs="Arial"/>
        </w:rPr>
        <w:t>expected</w:t>
      </w:r>
      <w:r w:rsidR="005B4618" w:rsidRPr="544FD5F6">
        <w:rPr>
          <w:rFonts w:eastAsia="Arial" w:cs="Arial"/>
        </w:rPr>
        <w:t xml:space="preserve"> customer growth</w:t>
      </w:r>
      <w:r w:rsidR="00AF6767">
        <w:rPr>
          <w:rFonts w:eastAsia="Arial" w:cs="Arial"/>
        </w:rPr>
        <w:t xml:space="preserve"> (see Table 30)</w:t>
      </w:r>
      <w:r w:rsidR="005B4618" w:rsidRPr="544FD5F6">
        <w:rPr>
          <w:rFonts w:eastAsia="Arial" w:cs="Arial"/>
        </w:rPr>
        <w:t>.</w:t>
      </w:r>
      <w:r w:rsidR="005B4618">
        <w:rPr>
          <w:rFonts w:eastAsia="Arial" w:cs="Arial"/>
        </w:rPr>
        <w:t xml:space="preserve"> </w:t>
      </w:r>
      <w:r w:rsidR="005B4618" w:rsidRPr="544FD5F6">
        <w:rPr>
          <w:rFonts w:eastAsia="Arial" w:cs="Arial"/>
        </w:rPr>
        <w:t>This uncertainty discount accounts for the uncertainty in forecast customer growth</w:t>
      </w:r>
      <w:r w:rsidR="003607FD">
        <w:rPr>
          <w:rFonts w:eastAsia="Arial" w:cs="Arial"/>
        </w:rPr>
        <w:t xml:space="preserve"> (</w:t>
      </w:r>
      <w:r w:rsidR="005B4618">
        <w:rPr>
          <w:rFonts w:eastAsia="Arial" w:cs="Arial"/>
        </w:rPr>
        <w:t xml:space="preserve">based on </w:t>
      </w:r>
      <w:r w:rsidR="003607FD">
        <w:rPr>
          <w:rFonts w:eastAsia="Arial" w:cs="Arial"/>
        </w:rPr>
        <w:t>variation</w:t>
      </w:r>
      <w:r w:rsidR="005B4618">
        <w:rPr>
          <w:rFonts w:eastAsia="Arial" w:cs="Arial"/>
        </w:rPr>
        <w:t xml:space="preserve"> between </w:t>
      </w:r>
      <w:r w:rsidR="003607FD">
        <w:rPr>
          <w:rFonts w:eastAsia="Arial" w:cs="Arial"/>
        </w:rPr>
        <w:t xml:space="preserve">recent </w:t>
      </w:r>
      <w:r w:rsidR="005B4618">
        <w:rPr>
          <w:rFonts w:eastAsia="Arial" w:cs="Arial"/>
        </w:rPr>
        <w:t>forecasts</w:t>
      </w:r>
      <w:r w:rsidR="003607FD">
        <w:rPr>
          <w:rFonts w:eastAsia="Arial" w:cs="Arial"/>
        </w:rPr>
        <w:t>).</w:t>
      </w:r>
      <w:r w:rsidR="005B4618" w:rsidRPr="544FD5F6">
        <w:rPr>
          <w:rFonts w:eastAsia="Arial" w:cs="Arial"/>
        </w:rPr>
        <w:t xml:space="preserve"> </w:t>
      </w:r>
      <w:r w:rsidR="005B4618">
        <w:rPr>
          <w:rFonts w:eastAsia="Arial" w:cs="Arial"/>
        </w:rPr>
        <w:t xml:space="preserve">This results in a proposed operating expenditure growth rate of 1.13% each year, on average. This methodology has a positive impact on </w:t>
      </w:r>
      <w:r w:rsidR="0001597C">
        <w:rPr>
          <w:rFonts w:eastAsia="Arial" w:cs="Arial"/>
        </w:rPr>
        <w:t>the</w:t>
      </w:r>
      <w:r w:rsidR="005B4618">
        <w:rPr>
          <w:rFonts w:eastAsia="Arial" w:cs="Arial"/>
        </w:rPr>
        <w:t xml:space="preserve"> net efficiency improvement rate, providing better value to customers.</w:t>
      </w:r>
    </w:p>
    <w:p w14:paraId="2CBA6E62" w14:textId="24EDC7B5" w:rsidR="00E27B45" w:rsidRPr="00501EC1" w:rsidRDefault="0001056B" w:rsidP="00E27B45">
      <w:pPr>
        <w:pStyle w:val="NbrHeading3"/>
      </w:pPr>
      <w:r>
        <w:t>Elements of c</w:t>
      </w:r>
      <w:r w:rsidR="00D24059">
        <w:t xml:space="preserve">ontrollable </w:t>
      </w:r>
      <w:r w:rsidR="009B3A9A">
        <w:t>operating expenditure</w:t>
      </w:r>
      <w:r w:rsidR="00D24059">
        <w:t xml:space="preserve"> will be absorbed</w:t>
      </w:r>
    </w:p>
    <w:p w14:paraId="6AF636A3" w14:textId="079D24E4" w:rsidR="00882A9A" w:rsidRDefault="0001184B" w:rsidP="00882A9A">
      <w:r>
        <w:rPr>
          <w:rFonts w:eastAsia="Arial" w:cs="Arial"/>
        </w:rPr>
        <w:t>South East Water propose</w:t>
      </w:r>
      <w:r w:rsidR="00B16E3F">
        <w:rPr>
          <w:rFonts w:eastAsia="Arial" w:cs="Arial"/>
        </w:rPr>
        <w:t>s</w:t>
      </w:r>
      <w:r w:rsidR="00882A9A" w:rsidRPr="47F10F0F">
        <w:rPr>
          <w:rFonts w:eastAsia="Arial" w:cs="Arial"/>
        </w:rPr>
        <w:t xml:space="preserve"> to absorb the following future costs</w:t>
      </w:r>
      <w:r>
        <w:rPr>
          <w:rFonts w:eastAsia="Arial" w:cs="Arial"/>
        </w:rPr>
        <w:t>, meaning that they will not be passed onto customers</w:t>
      </w:r>
      <w:r w:rsidR="00882A9A" w:rsidRPr="47F10F0F">
        <w:rPr>
          <w:rFonts w:eastAsia="Arial" w:cs="Arial"/>
        </w:rPr>
        <w:t xml:space="preserve">: </w:t>
      </w:r>
    </w:p>
    <w:p w14:paraId="029B0D25" w14:textId="2D800A0E" w:rsidR="00882A9A" w:rsidRPr="001A7804" w:rsidRDefault="00882A9A">
      <w:pPr>
        <w:pStyle w:val="ListParagraph"/>
        <w:numPr>
          <w:ilvl w:val="0"/>
          <w:numId w:val="86"/>
        </w:numPr>
        <w:ind w:left="426"/>
        <w:rPr>
          <w:rFonts w:eastAsia="Arial" w:cs="Arial"/>
        </w:rPr>
      </w:pPr>
      <w:r w:rsidRPr="001A7804">
        <w:rPr>
          <w:rFonts w:eastAsia="Arial" w:cs="Arial"/>
        </w:rPr>
        <w:t xml:space="preserve">Postage via Australia Post (50% of bills are now sent via email each quarter, up from 25% in 2018). Efforts will be concentrated to continue migrating customers to </w:t>
      </w:r>
      <w:r w:rsidR="00CA21CB">
        <w:rPr>
          <w:rFonts w:eastAsia="Arial" w:cs="Arial"/>
        </w:rPr>
        <w:t>E-</w:t>
      </w:r>
      <w:r w:rsidRPr="001A7804">
        <w:rPr>
          <w:rFonts w:eastAsia="Arial" w:cs="Arial"/>
        </w:rPr>
        <w:t xml:space="preserve">Bills, </w:t>
      </w:r>
      <w:r w:rsidR="009B2CD9">
        <w:rPr>
          <w:rFonts w:eastAsia="Arial" w:cs="Arial"/>
        </w:rPr>
        <w:br/>
      </w:r>
      <w:r w:rsidRPr="001A7804">
        <w:rPr>
          <w:rFonts w:eastAsia="Arial" w:cs="Arial"/>
        </w:rPr>
        <w:t xml:space="preserve">in addition to delivering process efficiencies. </w:t>
      </w:r>
    </w:p>
    <w:p w14:paraId="1153F6B9" w14:textId="77777777" w:rsidR="00882A9A" w:rsidRDefault="00882A9A">
      <w:pPr>
        <w:pStyle w:val="ListParagraph"/>
        <w:numPr>
          <w:ilvl w:val="0"/>
          <w:numId w:val="86"/>
        </w:numPr>
        <w:ind w:left="426"/>
        <w:rPr>
          <w:rFonts w:eastAsia="Arial" w:cs="Arial"/>
        </w:rPr>
      </w:pPr>
      <w:r w:rsidRPr="47F10F0F">
        <w:rPr>
          <w:rFonts w:eastAsia="Arial" w:cs="Arial"/>
        </w:rPr>
        <w:t xml:space="preserve">Key programs to support our outcomes from the results of customer engagement will also be absorbed within current expenditure levels. This includes: </w:t>
      </w:r>
    </w:p>
    <w:p w14:paraId="5D2CC61D" w14:textId="254108C5" w:rsidR="00882A9A" w:rsidRDefault="009A395C">
      <w:pPr>
        <w:pStyle w:val="ListParagraph"/>
        <w:numPr>
          <w:ilvl w:val="0"/>
          <w:numId w:val="88"/>
        </w:numPr>
        <w:ind w:left="851" w:hanging="425"/>
        <w:rPr>
          <w:rFonts w:eastAsia="Arial" w:cs="Arial"/>
        </w:rPr>
      </w:pPr>
      <w:r>
        <w:rPr>
          <w:rFonts w:eastAsia="Arial" w:cs="Arial"/>
        </w:rPr>
        <w:t>i</w:t>
      </w:r>
      <w:r w:rsidR="00882A9A" w:rsidRPr="47F10F0F">
        <w:rPr>
          <w:rFonts w:eastAsia="Arial" w:cs="Arial"/>
        </w:rPr>
        <w:t>mplementing a coordinated communications approach to help customers better understand who we are and how what we do represents value for money</w:t>
      </w:r>
      <w:r w:rsidR="009313E1">
        <w:rPr>
          <w:rFonts w:eastAsia="Arial" w:cs="Arial"/>
        </w:rPr>
        <w:t xml:space="preserve"> (</w:t>
      </w:r>
      <w:r w:rsidR="00960122">
        <w:rPr>
          <w:rFonts w:eastAsia="Arial" w:cs="Arial"/>
        </w:rPr>
        <w:t xml:space="preserve">for example, </w:t>
      </w:r>
      <w:r w:rsidR="00AE1C11">
        <w:rPr>
          <w:rFonts w:eastAsia="Arial" w:cs="Arial"/>
        </w:rPr>
        <w:t xml:space="preserve">providing </w:t>
      </w:r>
      <w:r w:rsidR="00B46B2E">
        <w:rPr>
          <w:rFonts w:eastAsia="Arial" w:cs="Arial"/>
        </w:rPr>
        <w:t xml:space="preserve">instructions/information to customers on </w:t>
      </w:r>
      <w:r w:rsidR="00225DF4">
        <w:rPr>
          <w:rFonts w:eastAsia="Arial" w:cs="Arial"/>
        </w:rPr>
        <w:t>how to avoid sewer blockages</w:t>
      </w:r>
      <w:r w:rsidR="00527B16">
        <w:rPr>
          <w:rFonts w:eastAsia="Arial" w:cs="Arial"/>
        </w:rPr>
        <w:t>,</w:t>
      </w:r>
      <w:r w:rsidR="00225DF4">
        <w:rPr>
          <w:rFonts w:eastAsia="Arial" w:cs="Arial"/>
        </w:rPr>
        <w:t xml:space="preserve"> </w:t>
      </w:r>
      <w:r w:rsidR="00490FE4">
        <w:rPr>
          <w:rFonts w:eastAsia="Arial" w:cs="Arial"/>
        </w:rPr>
        <w:t xml:space="preserve">such as </w:t>
      </w:r>
      <w:r w:rsidR="00E54DE7">
        <w:rPr>
          <w:rFonts w:eastAsia="Arial" w:cs="Arial"/>
        </w:rPr>
        <w:t xml:space="preserve">through improved </w:t>
      </w:r>
      <w:r w:rsidR="002B6EFD">
        <w:rPr>
          <w:rFonts w:eastAsia="Arial" w:cs="Arial"/>
        </w:rPr>
        <w:t xml:space="preserve">cooking oil and </w:t>
      </w:r>
      <w:r w:rsidR="00A70C79">
        <w:rPr>
          <w:rFonts w:eastAsia="Arial" w:cs="Arial"/>
        </w:rPr>
        <w:t>wipes</w:t>
      </w:r>
      <w:r w:rsidR="002B6EFD">
        <w:rPr>
          <w:rFonts w:eastAsia="Arial" w:cs="Arial"/>
        </w:rPr>
        <w:t xml:space="preserve"> disposal</w:t>
      </w:r>
      <w:r w:rsidR="007F3F1B">
        <w:rPr>
          <w:rFonts w:eastAsia="Arial" w:cs="Arial"/>
        </w:rPr>
        <w:t>)</w:t>
      </w:r>
    </w:p>
    <w:p w14:paraId="19B92C24" w14:textId="7DD47914" w:rsidR="00882A9A" w:rsidRDefault="00114898">
      <w:pPr>
        <w:pStyle w:val="ListParagraph"/>
        <w:numPr>
          <w:ilvl w:val="0"/>
          <w:numId w:val="88"/>
        </w:numPr>
        <w:ind w:left="851" w:hanging="425"/>
        <w:rPr>
          <w:rFonts w:eastAsia="Arial" w:cs="Arial"/>
        </w:rPr>
      </w:pPr>
      <w:r>
        <w:rPr>
          <w:rFonts w:eastAsia="Arial" w:cs="Arial"/>
        </w:rPr>
        <w:t>a</w:t>
      </w:r>
      <w:r w:rsidR="00882A9A" w:rsidRPr="47F10F0F">
        <w:rPr>
          <w:rFonts w:eastAsia="Arial" w:cs="Arial"/>
        </w:rPr>
        <w:t xml:space="preserve">n enhanced </w:t>
      </w:r>
      <w:r w:rsidR="008C5252">
        <w:rPr>
          <w:rFonts w:eastAsia="Arial" w:cs="Arial"/>
        </w:rPr>
        <w:t xml:space="preserve">and expanded </w:t>
      </w:r>
      <w:r w:rsidR="00882A9A" w:rsidRPr="47F10F0F">
        <w:rPr>
          <w:rFonts w:eastAsia="Arial" w:cs="Arial"/>
        </w:rPr>
        <w:t xml:space="preserve">customer </w:t>
      </w:r>
      <w:r w:rsidR="00F7184A">
        <w:rPr>
          <w:rFonts w:eastAsia="Arial" w:cs="Arial"/>
        </w:rPr>
        <w:t>support</w:t>
      </w:r>
      <w:r w:rsidR="008C5252">
        <w:rPr>
          <w:rFonts w:eastAsia="Arial" w:cs="Arial"/>
        </w:rPr>
        <w:t xml:space="preserve"> </w:t>
      </w:r>
      <w:r w:rsidR="00882A9A" w:rsidRPr="47F10F0F">
        <w:rPr>
          <w:rFonts w:eastAsia="Arial" w:cs="Arial"/>
        </w:rPr>
        <w:t>program</w:t>
      </w:r>
      <w:r w:rsidR="00882A9A">
        <w:rPr>
          <w:rFonts w:eastAsia="Arial" w:cs="Arial"/>
        </w:rPr>
        <w:t>, to align with the proposed new customer codes</w:t>
      </w:r>
    </w:p>
    <w:p w14:paraId="6FDF203D" w14:textId="13323A55" w:rsidR="00882A9A" w:rsidRDefault="00114898">
      <w:pPr>
        <w:pStyle w:val="ListParagraph"/>
        <w:numPr>
          <w:ilvl w:val="0"/>
          <w:numId w:val="88"/>
        </w:numPr>
        <w:ind w:left="851" w:hanging="425"/>
        <w:rPr>
          <w:rFonts w:eastAsia="Arial" w:cs="Arial"/>
        </w:rPr>
      </w:pPr>
      <w:r>
        <w:rPr>
          <w:rFonts w:eastAsia="Arial" w:cs="Arial"/>
        </w:rPr>
        <w:t>a</w:t>
      </w:r>
      <w:r w:rsidR="00882A9A" w:rsidRPr="47F10F0F">
        <w:rPr>
          <w:rFonts w:eastAsia="Arial" w:cs="Arial"/>
        </w:rPr>
        <w:t xml:space="preserve"> dedicated program to collect customer </w:t>
      </w:r>
      <w:r w:rsidR="00882A9A">
        <w:rPr>
          <w:rFonts w:eastAsia="Arial" w:cs="Arial"/>
        </w:rPr>
        <w:t xml:space="preserve">contact </w:t>
      </w:r>
      <w:r w:rsidR="00882A9A" w:rsidRPr="47F10F0F">
        <w:rPr>
          <w:rFonts w:eastAsia="Arial" w:cs="Arial"/>
        </w:rPr>
        <w:t xml:space="preserve">data, so we can increase volumes of electronic notifications to keep customers </w:t>
      </w:r>
      <w:r w:rsidR="0030350F">
        <w:rPr>
          <w:rFonts w:eastAsia="Arial" w:cs="Arial"/>
        </w:rPr>
        <w:t>better</w:t>
      </w:r>
      <w:r w:rsidR="00882A9A" w:rsidRPr="47F10F0F">
        <w:rPr>
          <w:rFonts w:eastAsia="Arial" w:cs="Arial"/>
        </w:rPr>
        <w:t xml:space="preserve"> informed about planned and emergency works.</w:t>
      </w:r>
    </w:p>
    <w:p w14:paraId="1637BC72" w14:textId="7A6789D0" w:rsidR="61A129D4" w:rsidRDefault="61A129D4" w:rsidP="00BE1968">
      <w:pPr>
        <w:pStyle w:val="NbrHeading3"/>
      </w:pPr>
      <w:r w:rsidRPr="2C372E13">
        <w:t>Cost assumptions</w:t>
      </w:r>
    </w:p>
    <w:p w14:paraId="08816CBF" w14:textId="61AE0EF6" w:rsidR="61A129D4" w:rsidRDefault="61A129D4" w:rsidP="007D03AB">
      <w:pPr>
        <w:pStyle w:val="Heading4"/>
      </w:pPr>
      <w:r w:rsidRPr="0274ADA9">
        <w:t>Labour</w:t>
      </w:r>
    </w:p>
    <w:p w14:paraId="2EEE059E" w14:textId="5CBCB0F7" w:rsidR="61A129D4" w:rsidRDefault="0051420A">
      <w:pPr>
        <w:pStyle w:val="ListParagraph"/>
        <w:numPr>
          <w:ilvl w:val="0"/>
          <w:numId w:val="87"/>
        </w:numPr>
        <w:ind w:left="426"/>
      </w:pPr>
      <w:r>
        <w:t>The forecasts</w:t>
      </w:r>
      <w:r w:rsidR="61A129D4">
        <w:t xml:space="preserve"> maintain existing </w:t>
      </w:r>
      <w:r w:rsidR="00114898">
        <w:t>f</w:t>
      </w:r>
      <w:r>
        <w:t xml:space="preserve">ull </w:t>
      </w:r>
      <w:r w:rsidR="00114898">
        <w:t>t</w:t>
      </w:r>
      <w:r>
        <w:t xml:space="preserve">ime </w:t>
      </w:r>
      <w:r w:rsidR="00114898">
        <w:t>e</w:t>
      </w:r>
      <w:r>
        <w:t>quivalent (</w:t>
      </w:r>
      <w:r w:rsidR="61A129D4">
        <w:t>FTE</w:t>
      </w:r>
      <w:r>
        <w:t>)</w:t>
      </w:r>
      <w:r w:rsidR="61A129D4">
        <w:t xml:space="preserve"> workforce levels</w:t>
      </w:r>
      <w:r w:rsidR="00442B98">
        <w:t>.</w:t>
      </w:r>
      <w:r w:rsidR="00A1315F">
        <w:t xml:space="preserve"> </w:t>
      </w:r>
      <w:r w:rsidR="001272C0">
        <w:t>This</w:t>
      </w:r>
      <w:r w:rsidR="00E44732">
        <w:t xml:space="preserve"> is</w:t>
      </w:r>
      <w:r w:rsidR="006E191E">
        <w:t xml:space="preserve"> </w:t>
      </w:r>
      <w:r w:rsidR="005B60DE">
        <w:t>possible</w:t>
      </w:r>
      <w:r w:rsidR="001272C0">
        <w:t xml:space="preserve"> d</w:t>
      </w:r>
      <w:r w:rsidR="00CF2D92">
        <w:t>u</w:t>
      </w:r>
      <w:r w:rsidR="001272C0">
        <w:t>e to efficiencies gained</w:t>
      </w:r>
      <w:r w:rsidR="00EF543F">
        <w:t>,</w:t>
      </w:r>
      <w:r w:rsidR="001272C0">
        <w:t xml:space="preserve"> </w:t>
      </w:r>
      <w:r w:rsidR="00D12F7B">
        <w:t>as digital meters are rolled out over the period.</w:t>
      </w:r>
    </w:p>
    <w:p w14:paraId="68C2E676" w14:textId="30B4A93C" w:rsidR="61A129D4" w:rsidRDefault="00202A50">
      <w:pPr>
        <w:pStyle w:val="ListParagraph"/>
        <w:numPr>
          <w:ilvl w:val="0"/>
          <w:numId w:val="87"/>
        </w:numPr>
        <w:ind w:left="426"/>
      </w:pPr>
      <w:r>
        <w:t>The forecasts</w:t>
      </w:r>
      <w:r w:rsidR="61A129D4">
        <w:t xml:space="preserve"> </w:t>
      </w:r>
      <w:r w:rsidR="00E44732">
        <w:t>maintain existing FTE numbers for all other functions</w:t>
      </w:r>
      <w:r w:rsidR="00EF543F">
        <w:t>,</w:t>
      </w:r>
      <w:r w:rsidR="61A129D4">
        <w:t xml:space="preserve"> via a reallocation of existing resources</w:t>
      </w:r>
      <w:r w:rsidR="00A57352">
        <w:t>,</w:t>
      </w:r>
      <w:r w:rsidR="61A129D4">
        <w:t xml:space="preserve"> as well as through automation of existing manual roles, supported by our digital transformation.</w:t>
      </w:r>
    </w:p>
    <w:p w14:paraId="3ECE77A6" w14:textId="67B21C84" w:rsidR="61A129D4" w:rsidRDefault="61A129D4">
      <w:pPr>
        <w:pStyle w:val="ListParagraph"/>
        <w:numPr>
          <w:ilvl w:val="0"/>
          <w:numId w:val="87"/>
        </w:numPr>
        <w:ind w:left="426"/>
      </w:pPr>
      <w:r>
        <w:t xml:space="preserve">No real price increases have been assumed for wages. Any wage increases beyond CPI, would be funded through efficiencies, consistent with the </w:t>
      </w:r>
      <w:r w:rsidR="0012218F">
        <w:t xml:space="preserve">Victorian </w:t>
      </w:r>
      <w:r>
        <w:t>Government Wages Policy.</w:t>
      </w:r>
    </w:p>
    <w:p w14:paraId="12ECC7C7" w14:textId="286D7633" w:rsidR="61A129D4" w:rsidRDefault="61A129D4" w:rsidP="00110C7D">
      <w:pPr>
        <w:pStyle w:val="Heading4"/>
      </w:pPr>
      <w:r w:rsidRPr="0274ADA9">
        <w:t>Energy</w:t>
      </w:r>
    </w:p>
    <w:p w14:paraId="10F1698C" w14:textId="78AC841B" w:rsidR="71929BB8" w:rsidRDefault="1F1A0E0B">
      <w:pPr>
        <w:pStyle w:val="ListParagraph"/>
        <w:numPr>
          <w:ilvl w:val="0"/>
          <w:numId w:val="10"/>
        </w:numPr>
        <w:ind w:left="426"/>
      </w:pPr>
      <w:r>
        <w:t xml:space="preserve">Energy usage is forecast to grow at an average rate of </w:t>
      </w:r>
      <w:r w:rsidR="00A844B0">
        <w:t>2</w:t>
      </w:r>
      <w:r w:rsidRPr="001624C6">
        <w:t>.5% per year across all water recycling plants</w:t>
      </w:r>
      <w:r w:rsidR="00256899">
        <w:t xml:space="preserve"> and </w:t>
      </w:r>
      <w:r w:rsidR="00492CE2">
        <w:t>assets</w:t>
      </w:r>
      <w:r w:rsidRPr="001624C6">
        <w:t>.</w:t>
      </w:r>
      <w:r>
        <w:t xml:space="preserve"> This reflects forecast growth assumptions for connections</w:t>
      </w:r>
      <w:r w:rsidR="00A1601D">
        <w:t>,</w:t>
      </w:r>
      <w:r>
        <w:t xml:space="preserve"> and also accounts for upgrades at </w:t>
      </w:r>
      <w:r w:rsidRPr="001624C6">
        <w:t>Lang Lang, Longwarry and Somers</w:t>
      </w:r>
      <w:r>
        <w:t xml:space="preserve"> water recycling plants. </w:t>
      </w:r>
      <w:r w:rsidR="222B6AEF" w:rsidRPr="0005775F">
        <w:rPr>
          <w:rFonts w:eastAsia="Times New Roman"/>
        </w:rPr>
        <w:t xml:space="preserve">This is somewhat offset by a decrease in usage at Boneo </w:t>
      </w:r>
      <w:r w:rsidR="0005775F" w:rsidRPr="0005775F">
        <w:rPr>
          <w:rFonts w:eastAsia="Times New Roman"/>
        </w:rPr>
        <w:t xml:space="preserve">and </w:t>
      </w:r>
      <w:r w:rsidR="0005775F" w:rsidRPr="0005775F">
        <w:rPr>
          <w:rFonts w:eastAsia="Times New Roman"/>
        </w:rPr>
        <w:lastRenderedPageBreak/>
        <w:t>Mount Martha</w:t>
      </w:r>
      <w:r w:rsidR="00D4296D">
        <w:rPr>
          <w:rFonts w:eastAsia="Times New Roman"/>
        </w:rPr>
        <w:t>,</w:t>
      </w:r>
      <w:r w:rsidR="0005775F" w:rsidRPr="0005775F">
        <w:rPr>
          <w:rFonts w:eastAsia="Times New Roman"/>
        </w:rPr>
        <w:t xml:space="preserve"> as a result of CHP (</w:t>
      </w:r>
      <w:r w:rsidR="007B79AC">
        <w:rPr>
          <w:rFonts w:eastAsia="Times New Roman"/>
        </w:rPr>
        <w:t>c</w:t>
      </w:r>
      <w:r w:rsidR="0005775F" w:rsidRPr="0005775F">
        <w:rPr>
          <w:rFonts w:eastAsia="Times New Roman"/>
        </w:rPr>
        <w:t xml:space="preserve">ombined </w:t>
      </w:r>
      <w:r w:rsidR="007B79AC">
        <w:rPr>
          <w:rFonts w:eastAsia="Times New Roman"/>
        </w:rPr>
        <w:t>h</w:t>
      </w:r>
      <w:r w:rsidR="0005775F" w:rsidRPr="0005775F">
        <w:rPr>
          <w:rFonts w:eastAsia="Times New Roman"/>
        </w:rPr>
        <w:t xml:space="preserve">eat and </w:t>
      </w:r>
      <w:r w:rsidR="007B79AC">
        <w:rPr>
          <w:rFonts w:eastAsia="Times New Roman"/>
        </w:rPr>
        <w:t>p</w:t>
      </w:r>
      <w:r w:rsidR="0005775F" w:rsidRPr="0005775F">
        <w:rPr>
          <w:rFonts w:eastAsia="Times New Roman"/>
        </w:rPr>
        <w:t>ower) units</w:t>
      </w:r>
      <w:r w:rsidR="222B6AEF" w:rsidRPr="0005775F">
        <w:rPr>
          <w:rFonts w:eastAsia="Times New Roman"/>
        </w:rPr>
        <w:t xml:space="preserve"> being </w:t>
      </w:r>
      <w:r w:rsidR="0005775F" w:rsidRPr="0005775F">
        <w:rPr>
          <w:rFonts w:eastAsia="Times New Roman"/>
        </w:rPr>
        <w:t>installed</w:t>
      </w:r>
      <w:r w:rsidR="222B6AEF" w:rsidRPr="0005775F">
        <w:rPr>
          <w:rFonts w:eastAsia="Times New Roman"/>
        </w:rPr>
        <w:t xml:space="preserve"> </w:t>
      </w:r>
      <w:r w:rsidR="00E0618C">
        <w:rPr>
          <w:rFonts w:eastAsia="Times New Roman"/>
        </w:rPr>
        <w:br/>
      </w:r>
      <w:r w:rsidR="222B6AEF" w:rsidRPr="009237FB">
        <w:rPr>
          <w:rFonts w:eastAsia="Times New Roman"/>
        </w:rPr>
        <w:t>at</w:t>
      </w:r>
      <w:r w:rsidR="222B6AEF" w:rsidRPr="0005775F">
        <w:rPr>
          <w:rFonts w:eastAsia="Times New Roman"/>
        </w:rPr>
        <w:t xml:space="preserve"> </w:t>
      </w:r>
      <w:r w:rsidR="0005775F" w:rsidRPr="0005775F">
        <w:rPr>
          <w:rFonts w:eastAsia="Times New Roman"/>
        </w:rPr>
        <w:t>these sites</w:t>
      </w:r>
      <w:r w:rsidR="222B6AEF" w:rsidRPr="0005775F">
        <w:rPr>
          <w:rFonts w:eastAsia="Times New Roman"/>
        </w:rPr>
        <w:t>.</w:t>
      </w:r>
    </w:p>
    <w:p w14:paraId="22F36C17" w14:textId="0CC5F8E1" w:rsidR="61A129D4" w:rsidRDefault="61A129D4">
      <w:pPr>
        <w:pStyle w:val="ListParagraph"/>
        <w:numPr>
          <w:ilvl w:val="0"/>
          <w:numId w:val="10"/>
        </w:numPr>
        <w:ind w:left="426"/>
      </w:pPr>
      <w:r>
        <w:t xml:space="preserve">To develop energy costs for the next regulatory period, we have used actual costs from our current contract, which provides a competitive market rate, keeping costs down until the end of 2023 when that contract expires. </w:t>
      </w:r>
    </w:p>
    <w:p w14:paraId="7B61CC88" w14:textId="019A6FB6" w:rsidR="61A129D4" w:rsidRDefault="61A129D4">
      <w:pPr>
        <w:pStyle w:val="ListParagraph"/>
        <w:numPr>
          <w:ilvl w:val="0"/>
          <w:numId w:val="10"/>
        </w:numPr>
        <w:ind w:left="426"/>
      </w:pPr>
      <w:r>
        <w:t xml:space="preserve">From 2023, we have adopted forecast cost assumptions based on the </w:t>
      </w:r>
      <w:r w:rsidR="00597A0B">
        <w:t>forecast</w:t>
      </w:r>
      <w:r w:rsidR="001024E9">
        <w:t xml:space="preserve"> commissioned by Intelligent Water Networks (IWN) and DELWP, and developed by Schneider Electric.</w:t>
      </w:r>
    </w:p>
    <w:p w14:paraId="572A68FC" w14:textId="2619734A" w:rsidR="00D4723A" w:rsidRDefault="61A129D4">
      <w:pPr>
        <w:pStyle w:val="ListParagraph"/>
        <w:numPr>
          <w:ilvl w:val="0"/>
          <w:numId w:val="10"/>
        </w:numPr>
        <w:ind w:left="426"/>
      </w:pPr>
      <w:r>
        <w:t xml:space="preserve">Based on these actual and forecast costs, we predict that unit rate costs of electricity will increase by 4% in 2024 when the current contract expires and then increase by an average of 2% year on year, until peaking at a 4% increase in </w:t>
      </w:r>
      <w:r w:rsidR="00F31614">
        <w:t>2026-</w:t>
      </w:r>
      <w:r>
        <w:t xml:space="preserve">27. </w:t>
      </w:r>
    </w:p>
    <w:p w14:paraId="1E28C3A3" w14:textId="328DC097" w:rsidR="61A129D4" w:rsidRDefault="00856BB6">
      <w:pPr>
        <w:pStyle w:val="ListParagraph"/>
        <w:numPr>
          <w:ilvl w:val="0"/>
          <w:numId w:val="10"/>
        </w:numPr>
        <w:ind w:left="426"/>
      </w:pPr>
      <w:r>
        <w:t>However,</w:t>
      </w:r>
      <w:r w:rsidR="0A52571F">
        <w:t xml:space="preserve"> we also acknowledge that the energy market is increasingly volatile, making these </w:t>
      </w:r>
      <w:r w:rsidR="00613742">
        <w:t xml:space="preserve">forward </w:t>
      </w:r>
      <w:r w:rsidR="0A52571F">
        <w:t xml:space="preserve">predictions less certain. </w:t>
      </w:r>
      <w:r w:rsidR="00BA327A">
        <w:t>We intend</w:t>
      </w:r>
      <w:r w:rsidR="00613742">
        <w:t xml:space="preserve"> to revisit these assumptions </w:t>
      </w:r>
      <w:r w:rsidR="00F36CFE">
        <w:t>with the ESC</w:t>
      </w:r>
      <w:r w:rsidR="007D7F47">
        <w:t xml:space="preserve"> </w:t>
      </w:r>
      <w:r w:rsidR="00287E67">
        <w:t>in the near future</w:t>
      </w:r>
      <w:r w:rsidR="00D72AB2">
        <w:t>,</w:t>
      </w:r>
      <w:r w:rsidR="00287E67">
        <w:t xml:space="preserve"> to ensure</w:t>
      </w:r>
      <w:r w:rsidR="00B7223C">
        <w:t xml:space="preserve"> we have captured the most recent </w:t>
      </w:r>
      <w:r w:rsidR="00815EE0">
        <w:t>forecast data.</w:t>
      </w:r>
      <w:r w:rsidR="00A1315F">
        <w:t xml:space="preserve"> </w:t>
      </w:r>
    </w:p>
    <w:p w14:paraId="4F985532" w14:textId="1061227A" w:rsidR="0032067F" w:rsidRDefault="0032067F">
      <w:pPr>
        <w:rPr>
          <w:rFonts w:ascii="Arial Bold" w:hAnsi="Arial Bold"/>
          <w:b/>
          <w:bCs/>
        </w:rPr>
      </w:pPr>
    </w:p>
    <w:p w14:paraId="760295F8" w14:textId="69352398" w:rsidR="000827E0" w:rsidRPr="0094606D" w:rsidRDefault="0094606D" w:rsidP="0094606D">
      <w:pPr>
        <w:pStyle w:val="NormalIndent"/>
        <w:ind w:left="0"/>
        <w:rPr>
          <w:rFonts w:ascii="Arial" w:hAnsi="Arial" w:cs="Arial"/>
          <w:b/>
          <w:i/>
        </w:rPr>
      </w:pPr>
      <w:r w:rsidRPr="00CE6C4E">
        <w:rPr>
          <w:b/>
          <w:i/>
        </w:rPr>
        <w:t xml:space="preserve">Table </w:t>
      </w:r>
      <w:r w:rsidR="002128BB" w:rsidRPr="00CE6C4E">
        <w:rPr>
          <w:b/>
          <w:bCs/>
          <w:i/>
          <w:iCs/>
        </w:rPr>
        <w:fldChar w:fldCharType="begin"/>
      </w:r>
      <w:r w:rsidR="002128BB" w:rsidRPr="00CE6C4E">
        <w:rPr>
          <w:b/>
          <w:bCs/>
          <w:i/>
          <w:iCs/>
        </w:rPr>
        <w:instrText>SEQ Table \* ARABIC</w:instrText>
      </w:r>
      <w:r w:rsidR="002128BB" w:rsidRPr="00CE6C4E">
        <w:rPr>
          <w:b/>
          <w:bCs/>
          <w:i/>
          <w:iCs/>
        </w:rPr>
        <w:fldChar w:fldCharType="separate"/>
      </w:r>
      <w:r w:rsidR="002128BB">
        <w:rPr>
          <w:b/>
          <w:bCs/>
          <w:i/>
          <w:iCs/>
          <w:noProof/>
        </w:rPr>
        <w:t>32</w:t>
      </w:r>
      <w:r w:rsidR="002128BB" w:rsidRPr="00CE6C4E">
        <w:rPr>
          <w:b/>
          <w:bCs/>
          <w:i/>
          <w:iCs/>
        </w:rPr>
        <w:fldChar w:fldCharType="end"/>
      </w:r>
      <w:r w:rsidRPr="007B339F">
        <w:rPr>
          <w:rFonts w:ascii="Arial" w:hAnsi="Arial" w:cs="Arial"/>
          <w:b/>
          <w:i/>
        </w:rPr>
        <w:t>:</w:t>
      </w:r>
      <w:r>
        <w:rPr>
          <w:rFonts w:ascii="Arial" w:hAnsi="Arial" w:cs="Arial"/>
          <w:b/>
          <w:i/>
        </w:rPr>
        <w:t xml:space="preserve"> </w:t>
      </w:r>
      <w:r w:rsidR="000827E0" w:rsidRPr="004A1045">
        <w:rPr>
          <w:rFonts w:cs="Arial"/>
          <w:b/>
          <w:i/>
        </w:rPr>
        <w:t xml:space="preserve">Electricity cost forecast </w:t>
      </w:r>
      <w:r w:rsidR="00921F48" w:rsidRPr="006D1620">
        <w:rPr>
          <w:rFonts w:cs="Arial"/>
          <w:b/>
          <w:i/>
        </w:rPr>
        <w:t>(</w:t>
      </w:r>
      <w:r w:rsidR="00921F48">
        <w:rPr>
          <w:rFonts w:cs="Arial"/>
          <w:b/>
          <w:i/>
        </w:rPr>
        <w:t>$</w:t>
      </w:r>
      <w:r w:rsidR="000827E0" w:rsidRPr="004A1045">
        <w:rPr>
          <w:rFonts w:cs="Arial"/>
          <w:b/>
          <w:i/>
        </w:rPr>
        <w:t>million 2022</w:t>
      </w:r>
      <w:r w:rsidR="00310E2A">
        <w:rPr>
          <w:rFonts w:cs="Arial"/>
          <w:b/>
          <w:i/>
        </w:rPr>
        <w:t>–</w:t>
      </w:r>
      <w:r w:rsidR="000827E0" w:rsidRPr="004A1045">
        <w:rPr>
          <w:rFonts w:cs="Arial"/>
          <w:b/>
          <w:i/>
        </w:rPr>
        <w:t>23)</w:t>
      </w:r>
    </w:p>
    <w:tbl>
      <w:tblPr>
        <w:tblStyle w:val="MJTableStyle1default"/>
        <w:tblW w:w="0" w:type="auto"/>
        <w:tblInd w:w="5" w:type="dxa"/>
        <w:tblLook w:val="04A0" w:firstRow="1" w:lastRow="0" w:firstColumn="1" w:lastColumn="0" w:noHBand="0" w:noVBand="1"/>
      </w:tblPr>
      <w:tblGrid>
        <w:gridCol w:w="2118"/>
        <w:gridCol w:w="1227"/>
        <w:gridCol w:w="1228"/>
        <w:gridCol w:w="1227"/>
        <w:gridCol w:w="1228"/>
        <w:gridCol w:w="1227"/>
        <w:gridCol w:w="1228"/>
      </w:tblGrid>
      <w:tr w:rsidR="002020E8" w:rsidRPr="002020E8" w14:paraId="15C037BF" w14:textId="101E44FB" w:rsidTr="003F1732">
        <w:trPr>
          <w:cnfStyle w:val="100000000000" w:firstRow="1" w:lastRow="0" w:firstColumn="0" w:lastColumn="0" w:oddVBand="0" w:evenVBand="0" w:oddHBand="0" w:evenHBand="0" w:firstRowFirstColumn="0" w:firstRowLastColumn="0" w:lastRowFirstColumn="0" w:lastRowLastColumn="0"/>
          <w:trHeight w:val="389"/>
        </w:trPr>
        <w:tc>
          <w:tcPr>
            <w:tcW w:w="2122" w:type="dxa"/>
            <w:tcBorders>
              <w:top w:val="single" w:sz="4" w:space="0" w:color="002279"/>
              <w:left w:val="single" w:sz="4" w:space="0" w:color="002279"/>
              <w:bottom w:val="single" w:sz="2" w:space="0" w:color="002279"/>
              <w:right w:val="single" w:sz="4" w:space="0" w:color="FFFFFF" w:themeColor="background1"/>
            </w:tcBorders>
            <w:shd w:val="clear" w:color="auto" w:fill="002279"/>
            <w:vAlign w:val="center"/>
          </w:tcPr>
          <w:p w14:paraId="4733AB92" w14:textId="77777777" w:rsidR="00050E63" w:rsidRPr="00360131" w:rsidRDefault="00050E63" w:rsidP="00CE12CF">
            <w:pPr>
              <w:rPr>
                <w:rFonts w:asciiTheme="minorHAnsi" w:hAnsiTheme="minorHAnsi" w:cstheme="minorHAnsi"/>
              </w:rPr>
            </w:pPr>
          </w:p>
        </w:tc>
        <w:tc>
          <w:tcPr>
            <w:tcW w:w="1228"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vAlign w:val="center"/>
          </w:tcPr>
          <w:p w14:paraId="2449DF80" w14:textId="54D76A26" w:rsidR="00050E63" w:rsidRPr="00360131" w:rsidRDefault="00050E63" w:rsidP="00360131">
            <w:pPr>
              <w:jc w:val="center"/>
              <w:rPr>
                <w:rFonts w:asciiTheme="minorHAnsi" w:hAnsiTheme="minorHAnsi" w:cstheme="minorHAnsi"/>
                <w:b/>
              </w:rPr>
            </w:pPr>
            <w:r w:rsidRPr="00360131">
              <w:rPr>
                <w:rFonts w:asciiTheme="minorHAnsi" w:hAnsiTheme="minorHAnsi" w:cstheme="minorHAnsi"/>
                <w:b/>
              </w:rPr>
              <w:t>2023</w:t>
            </w:r>
            <w:r w:rsidR="00310E2A" w:rsidRPr="00360131">
              <w:rPr>
                <w:rFonts w:asciiTheme="minorHAnsi" w:hAnsiTheme="minorHAnsi" w:cstheme="minorHAnsi"/>
                <w:b/>
              </w:rPr>
              <w:t>–</w:t>
            </w:r>
            <w:r w:rsidRPr="00360131">
              <w:rPr>
                <w:rFonts w:asciiTheme="minorHAnsi" w:hAnsiTheme="minorHAnsi" w:cstheme="minorHAnsi"/>
                <w:b/>
              </w:rPr>
              <w:t>24</w:t>
            </w:r>
          </w:p>
        </w:tc>
        <w:tc>
          <w:tcPr>
            <w:tcW w:w="1229"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vAlign w:val="center"/>
          </w:tcPr>
          <w:p w14:paraId="4110002D" w14:textId="67101728" w:rsidR="00050E63" w:rsidRPr="00360131" w:rsidRDefault="00050E63" w:rsidP="00360131">
            <w:pPr>
              <w:jc w:val="center"/>
              <w:rPr>
                <w:rFonts w:asciiTheme="minorHAnsi" w:hAnsiTheme="minorHAnsi" w:cstheme="minorHAnsi"/>
                <w:b/>
              </w:rPr>
            </w:pPr>
            <w:r w:rsidRPr="00360131">
              <w:rPr>
                <w:rFonts w:asciiTheme="minorHAnsi" w:hAnsiTheme="minorHAnsi" w:cstheme="minorHAnsi"/>
                <w:b/>
              </w:rPr>
              <w:t>2024</w:t>
            </w:r>
            <w:r w:rsidR="00310E2A" w:rsidRPr="00360131">
              <w:rPr>
                <w:rFonts w:asciiTheme="minorHAnsi" w:hAnsiTheme="minorHAnsi" w:cstheme="minorHAnsi"/>
                <w:b/>
              </w:rPr>
              <w:t>–</w:t>
            </w:r>
            <w:r w:rsidRPr="00360131">
              <w:rPr>
                <w:rFonts w:asciiTheme="minorHAnsi" w:hAnsiTheme="minorHAnsi" w:cstheme="minorHAnsi"/>
                <w:b/>
              </w:rPr>
              <w:t>25</w:t>
            </w:r>
          </w:p>
        </w:tc>
        <w:tc>
          <w:tcPr>
            <w:tcW w:w="1228"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vAlign w:val="center"/>
          </w:tcPr>
          <w:p w14:paraId="1DE38D8D" w14:textId="6F555430" w:rsidR="00050E63" w:rsidRPr="00360131" w:rsidRDefault="00050E63" w:rsidP="00360131">
            <w:pPr>
              <w:jc w:val="center"/>
              <w:rPr>
                <w:rFonts w:asciiTheme="minorHAnsi" w:hAnsiTheme="minorHAnsi" w:cstheme="minorHAnsi"/>
                <w:b/>
              </w:rPr>
            </w:pPr>
            <w:r w:rsidRPr="00360131">
              <w:rPr>
                <w:rFonts w:asciiTheme="minorHAnsi" w:hAnsiTheme="minorHAnsi" w:cstheme="minorHAnsi"/>
                <w:b/>
              </w:rPr>
              <w:t>2025</w:t>
            </w:r>
            <w:r w:rsidR="00310E2A" w:rsidRPr="00360131">
              <w:rPr>
                <w:rFonts w:asciiTheme="minorHAnsi" w:hAnsiTheme="minorHAnsi" w:cstheme="minorHAnsi"/>
                <w:b/>
              </w:rPr>
              <w:t>–</w:t>
            </w:r>
            <w:r w:rsidRPr="00360131">
              <w:rPr>
                <w:rFonts w:asciiTheme="minorHAnsi" w:hAnsiTheme="minorHAnsi" w:cstheme="minorHAnsi"/>
                <w:b/>
              </w:rPr>
              <w:t>26</w:t>
            </w:r>
          </w:p>
        </w:tc>
        <w:tc>
          <w:tcPr>
            <w:tcW w:w="1229"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vAlign w:val="center"/>
          </w:tcPr>
          <w:p w14:paraId="3DBA0D79" w14:textId="378B9C8A" w:rsidR="00050E63" w:rsidRPr="00360131" w:rsidRDefault="00050E63" w:rsidP="00360131">
            <w:pPr>
              <w:jc w:val="center"/>
              <w:rPr>
                <w:rFonts w:asciiTheme="minorHAnsi" w:hAnsiTheme="minorHAnsi" w:cstheme="minorHAnsi"/>
                <w:b/>
              </w:rPr>
            </w:pPr>
            <w:r w:rsidRPr="00360131">
              <w:rPr>
                <w:rFonts w:asciiTheme="minorHAnsi" w:hAnsiTheme="minorHAnsi" w:cstheme="minorHAnsi"/>
                <w:b/>
              </w:rPr>
              <w:t>2026</w:t>
            </w:r>
            <w:r w:rsidR="00310E2A" w:rsidRPr="00360131">
              <w:rPr>
                <w:rFonts w:asciiTheme="minorHAnsi" w:hAnsiTheme="minorHAnsi" w:cstheme="minorHAnsi"/>
                <w:b/>
              </w:rPr>
              <w:t>–</w:t>
            </w:r>
            <w:r w:rsidRPr="00360131">
              <w:rPr>
                <w:rFonts w:asciiTheme="minorHAnsi" w:hAnsiTheme="minorHAnsi" w:cstheme="minorHAnsi"/>
                <w:b/>
              </w:rPr>
              <w:t>27</w:t>
            </w:r>
          </w:p>
        </w:tc>
        <w:tc>
          <w:tcPr>
            <w:tcW w:w="1228"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vAlign w:val="center"/>
          </w:tcPr>
          <w:p w14:paraId="25A3BE17" w14:textId="02013194" w:rsidR="00050E63" w:rsidRPr="00360131" w:rsidRDefault="00050E63" w:rsidP="00360131">
            <w:pPr>
              <w:jc w:val="center"/>
              <w:rPr>
                <w:rFonts w:asciiTheme="minorHAnsi" w:hAnsiTheme="minorHAnsi" w:cstheme="minorHAnsi"/>
                <w:b/>
              </w:rPr>
            </w:pPr>
            <w:r w:rsidRPr="00360131">
              <w:rPr>
                <w:rFonts w:asciiTheme="minorHAnsi" w:hAnsiTheme="minorHAnsi" w:cstheme="minorHAnsi"/>
                <w:b/>
              </w:rPr>
              <w:t>2027</w:t>
            </w:r>
            <w:r w:rsidR="00310E2A" w:rsidRPr="00360131">
              <w:rPr>
                <w:rFonts w:asciiTheme="minorHAnsi" w:hAnsiTheme="minorHAnsi" w:cstheme="minorHAnsi"/>
                <w:b/>
              </w:rPr>
              <w:t>–</w:t>
            </w:r>
            <w:r w:rsidRPr="00360131">
              <w:rPr>
                <w:rFonts w:asciiTheme="minorHAnsi" w:hAnsiTheme="minorHAnsi" w:cstheme="minorHAnsi"/>
                <w:b/>
              </w:rPr>
              <w:t>28</w:t>
            </w:r>
          </w:p>
        </w:tc>
        <w:tc>
          <w:tcPr>
            <w:tcW w:w="1229" w:type="dxa"/>
            <w:tcBorders>
              <w:top w:val="single" w:sz="4" w:space="0" w:color="002279"/>
              <w:left w:val="single" w:sz="4" w:space="0" w:color="FFFFFF" w:themeColor="background1"/>
              <w:bottom w:val="single" w:sz="2" w:space="0" w:color="002279"/>
              <w:right w:val="single" w:sz="4" w:space="0" w:color="002279"/>
            </w:tcBorders>
            <w:shd w:val="clear" w:color="auto" w:fill="002279"/>
            <w:vAlign w:val="center"/>
          </w:tcPr>
          <w:p w14:paraId="069F573E" w14:textId="4D1562BB" w:rsidR="00DB4D48" w:rsidRPr="00360131" w:rsidRDefault="00DB4D48" w:rsidP="00360131">
            <w:pPr>
              <w:jc w:val="center"/>
              <w:rPr>
                <w:rFonts w:asciiTheme="minorHAnsi" w:hAnsiTheme="minorHAnsi" w:cstheme="minorHAnsi"/>
                <w:b/>
              </w:rPr>
            </w:pPr>
            <w:r w:rsidRPr="00360131">
              <w:rPr>
                <w:rFonts w:asciiTheme="minorHAnsi" w:hAnsiTheme="minorHAnsi" w:cstheme="minorHAnsi"/>
                <w:b/>
              </w:rPr>
              <w:t>Total</w:t>
            </w:r>
          </w:p>
        </w:tc>
      </w:tr>
      <w:tr w:rsidR="002020E8" w:rsidRPr="002020E8" w14:paraId="1676E7A8" w14:textId="01051428" w:rsidTr="003F1732">
        <w:trPr>
          <w:cnfStyle w:val="000000100000" w:firstRow="0" w:lastRow="0" w:firstColumn="0" w:lastColumn="0" w:oddVBand="0" w:evenVBand="0" w:oddHBand="1" w:evenHBand="0" w:firstRowFirstColumn="0" w:firstRowLastColumn="0" w:lastRowFirstColumn="0" w:lastRowLastColumn="0"/>
        </w:trPr>
        <w:tc>
          <w:tcPr>
            <w:tcW w:w="2122" w:type="dxa"/>
            <w:tcBorders>
              <w:top w:val="single" w:sz="2" w:space="0" w:color="002279"/>
              <w:left w:val="single" w:sz="4" w:space="0" w:color="002279"/>
              <w:bottom w:val="single" w:sz="4" w:space="0" w:color="002279"/>
              <w:right w:val="single" w:sz="4" w:space="0" w:color="002279"/>
            </w:tcBorders>
            <w:shd w:val="clear" w:color="auto" w:fill="FFFFFF" w:themeFill="background1"/>
          </w:tcPr>
          <w:p w14:paraId="0A27677E" w14:textId="77777777" w:rsidR="00050E63" w:rsidRPr="00C324D4" w:rsidRDefault="00050E63" w:rsidP="00461C12">
            <w:pPr>
              <w:rPr>
                <w:rFonts w:cstheme="minorHAnsi"/>
                <w:bCs/>
              </w:rPr>
            </w:pPr>
            <w:r w:rsidRPr="00C324D4">
              <w:rPr>
                <w:rFonts w:cstheme="minorHAnsi"/>
                <w:bCs/>
              </w:rPr>
              <w:t>Forecast electricity costs (all sites)</w:t>
            </w:r>
          </w:p>
        </w:tc>
        <w:tc>
          <w:tcPr>
            <w:tcW w:w="1228" w:type="dxa"/>
            <w:tcBorders>
              <w:top w:val="single" w:sz="2" w:space="0" w:color="002279"/>
              <w:left w:val="single" w:sz="4" w:space="0" w:color="002279"/>
              <w:bottom w:val="single" w:sz="4" w:space="0" w:color="002279"/>
              <w:right w:val="single" w:sz="4" w:space="0" w:color="002279"/>
            </w:tcBorders>
            <w:shd w:val="clear" w:color="auto" w:fill="FFFFFF" w:themeFill="background1"/>
            <w:vAlign w:val="center"/>
          </w:tcPr>
          <w:p w14:paraId="24B9FCBB" w14:textId="3617CE85" w:rsidR="00050E63" w:rsidRPr="00360131" w:rsidRDefault="000402A9" w:rsidP="002020E8">
            <w:pPr>
              <w:jc w:val="center"/>
              <w:rPr>
                <w:rFonts w:cstheme="minorHAnsi"/>
              </w:rPr>
            </w:pPr>
            <w:r>
              <w:rPr>
                <w:rFonts w:cstheme="minorHAnsi"/>
              </w:rPr>
              <w:t>5</w:t>
            </w:r>
            <w:r w:rsidR="00050E63" w:rsidRPr="0097263A">
              <w:rPr>
                <w:rFonts w:cstheme="minorHAnsi"/>
              </w:rPr>
              <w:t>.</w:t>
            </w:r>
            <w:r>
              <w:rPr>
                <w:rFonts w:cstheme="minorHAnsi"/>
              </w:rPr>
              <w:t>54</w:t>
            </w:r>
          </w:p>
        </w:tc>
        <w:tc>
          <w:tcPr>
            <w:tcW w:w="1229" w:type="dxa"/>
            <w:tcBorders>
              <w:top w:val="single" w:sz="2" w:space="0" w:color="002279"/>
              <w:left w:val="single" w:sz="4" w:space="0" w:color="002279"/>
              <w:bottom w:val="single" w:sz="4" w:space="0" w:color="002279"/>
              <w:right w:val="single" w:sz="4" w:space="0" w:color="002279"/>
            </w:tcBorders>
            <w:shd w:val="clear" w:color="auto" w:fill="FFFFFF" w:themeFill="background1"/>
            <w:vAlign w:val="center"/>
          </w:tcPr>
          <w:p w14:paraId="0E214F01" w14:textId="49600AF6" w:rsidR="00050E63" w:rsidRPr="00360131" w:rsidRDefault="008D2206" w:rsidP="002020E8">
            <w:pPr>
              <w:jc w:val="center"/>
              <w:rPr>
                <w:rFonts w:cstheme="minorHAnsi"/>
              </w:rPr>
            </w:pPr>
            <w:r>
              <w:rPr>
                <w:rFonts w:cstheme="minorHAnsi"/>
              </w:rPr>
              <w:t>5.97</w:t>
            </w:r>
          </w:p>
        </w:tc>
        <w:tc>
          <w:tcPr>
            <w:tcW w:w="1228" w:type="dxa"/>
            <w:tcBorders>
              <w:top w:val="single" w:sz="2" w:space="0" w:color="002279"/>
              <w:left w:val="single" w:sz="4" w:space="0" w:color="002279"/>
              <w:bottom w:val="single" w:sz="4" w:space="0" w:color="002279"/>
              <w:right w:val="single" w:sz="4" w:space="0" w:color="002279"/>
            </w:tcBorders>
            <w:shd w:val="clear" w:color="auto" w:fill="FFFFFF" w:themeFill="background1"/>
            <w:vAlign w:val="center"/>
          </w:tcPr>
          <w:p w14:paraId="2EE08E44" w14:textId="68F7EE3B" w:rsidR="00050E63" w:rsidRPr="00360131" w:rsidRDefault="008D2206" w:rsidP="002020E8">
            <w:pPr>
              <w:jc w:val="center"/>
              <w:rPr>
                <w:rFonts w:cstheme="minorHAnsi"/>
              </w:rPr>
            </w:pPr>
            <w:r>
              <w:rPr>
                <w:rFonts w:cstheme="minorHAnsi"/>
              </w:rPr>
              <w:t>6.40</w:t>
            </w:r>
          </w:p>
        </w:tc>
        <w:tc>
          <w:tcPr>
            <w:tcW w:w="1229" w:type="dxa"/>
            <w:tcBorders>
              <w:top w:val="single" w:sz="2" w:space="0" w:color="002279"/>
              <w:left w:val="single" w:sz="4" w:space="0" w:color="002279"/>
              <w:bottom w:val="single" w:sz="4" w:space="0" w:color="002279"/>
              <w:right w:val="single" w:sz="4" w:space="0" w:color="002279"/>
            </w:tcBorders>
            <w:shd w:val="clear" w:color="auto" w:fill="FFFFFF" w:themeFill="background1"/>
            <w:vAlign w:val="center"/>
          </w:tcPr>
          <w:p w14:paraId="77BE8351" w14:textId="6AFA2BD7" w:rsidR="00050E63" w:rsidRPr="00360131" w:rsidRDefault="008D2206" w:rsidP="002020E8">
            <w:pPr>
              <w:jc w:val="center"/>
              <w:rPr>
                <w:rFonts w:cstheme="minorHAnsi"/>
              </w:rPr>
            </w:pPr>
            <w:r>
              <w:rPr>
                <w:rFonts w:cstheme="minorHAnsi"/>
              </w:rPr>
              <w:t>6.82</w:t>
            </w:r>
          </w:p>
        </w:tc>
        <w:tc>
          <w:tcPr>
            <w:tcW w:w="1228" w:type="dxa"/>
            <w:tcBorders>
              <w:top w:val="single" w:sz="2" w:space="0" w:color="002279"/>
              <w:left w:val="single" w:sz="4" w:space="0" w:color="002279"/>
              <w:bottom w:val="single" w:sz="4" w:space="0" w:color="002279"/>
              <w:right w:val="single" w:sz="4" w:space="0" w:color="002279"/>
            </w:tcBorders>
            <w:shd w:val="clear" w:color="auto" w:fill="FFFFFF" w:themeFill="background1"/>
            <w:vAlign w:val="center"/>
          </w:tcPr>
          <w:p w14:paraId="62C0B89A" w14:textId="7BA6FBD2" w:rsidR="00050E63" w:rsidRPr="00360131" w:rsidRDefault="00006024" w:rsidP="002020E8">
            <w:pPr>
              <w:jc w:val="center"/>
              <w:rPr>
                <w:rFonts w:cstheme="minorHAnsi"/>
              </w:rPr>
            </w:pPr>
            <w:r>
              <w:rPr>
                <w:rFonts w:cstheme="minorHAnsi"/>
              </w:rPr>
              <w:t>6.73</w:t>
            </w:r>
          </w:p>
        </w:tc>
        <w:tc>
          <w:tcPr>
            <w:tcW w:w="1229" w:type="dxa"/>
            <w:tcBorders>
              <w:top w:val="single" w:sz="2" w:space="0" w:color="002279"/>
              <w:left w:val="single" w:sz="4" w:space="0" w:color="002279"/>
              <w:bottom w:val="single" w:sz="4" w:space="0" w:color="002279"/>
              <w:right w:val="single" w:sz="4" w:space="0" w:color="002279"/>
            </w:tcBorders>
            <w:shd w:val="clear" w:color="auto" w:fill="FFFFFF" w:themeFill="background1"/>
            <w:vAlign w:val="center"/>
          </w:tcPr>
          <w:p w14:paraId="1DD67D7D" w14:textId="5D49A41E" w:rsidR="00437E40" w:rsidRPr="00360131" w:rsidRDefault="009D7E3E" w:rsidP="002020E8">
            <w:pPr>
              <w:jc w:val="center"/>
              <w:rPr>
                <w:rFonts w:cstheme="minorHAnsi"/>
                <w:b/>
              </w:rPr>
            </w:pPr>
            <w:r>
              <w:rPr>
                <w:rFonts w:cstheme="minorHAnsi"/>
                <w:b/>
              </w:rPr>
              <w:t>31.46</w:t>
            </w:r>
          </w:p>
        </w:tc>
      </w:tr>
    </w:tbl>
    <w:p w14:paraId="0FEB3843" w14:textId="77777777" w:rsidR="00050E63" w:rsidRPr="00360131" w:rsidRDefault="00050E63" w:rsidP="00437E40">
      <w:pPr>
        <w:rPr>
          <w:rFonts w:asciiTheme="minorHAnsi" w:hAnsiTheme="minorHAnsi" w:cstheme="minorHAnsi"/>
          <w:sz w:val="20"/>
          <w:szCs w:val="20"/>
        </w:rPr>
      </w:pPr>
    </w:p>
    <w:p w14:paraId="1CE32E9E" w14:textId="7DFF936E" w:rsidR="61A129D4" w:rsidRDefault="61A129D4" w:rsidP="00D5362A">
      <w:pPr>
        <w:pStyle w:val="Heading4"/>
        <w:rPr>
          <w:b w:val="0"/>
        </w:rPr>
      </w:pPr>
      <w:r w:rsidRPr="124575DD">
        <w:t>Chemicals</w:t>
      </w:r>
    </w:p>
    <w:p w14:paraId="55AD34AC" w14:textId="02D7AD45" w:rsidR="42BA08D7" w:rsidRDefault="42BA08D7">
      <w:pPr>
        <w:pStyle w:val="ListParagraph"/>
        <w:numPr>
          <w:ilvl w:val="0"/>
          <w:numId w:val="89"/>
        </w:numPr>
        <w:ind w:left="426"/>
      </w:pPr>
      <w:r>
        <w:t>Chemical costs are forecast to increase over the regulatory period</w:t>
      </w:r>
      <w:r w:rsidR="00A50A8D">
        <w:t>,</w:t>
      </w:r>
      <w:r>
        <w:t xml:space="preserve"> with the most significant increase in 2026</w:t>
      </w:r>
      <w:r w:rsidR="00310E2A">
        <w:t>–</w:t>
      </w:r>
      <w:r>
        <w:t xml:space="preserve">27 as upgraded water recycling plants </w:t>
      </w:r>
      <w:r w:rsidR="005207F5">
        <w:t>are commissioned</w:t>
      </w:r>
      <w:r w:rsidR="00FC0CF1">
        <w:t xml:space="preserve"> and</w:t>
      </w:r>
      <w:r>
        <w:t xml:space="preserve"> operating with increased capacity.</w:t>
      </w:r>
      <w:r w:rsidR="00024F59">
        <w:t xml:space="preserve"> </w:t>
      </w:r>
      <w:r w:rsidR="00BF1780">
        <w:t>The increase in expenditure is a result of higher volumes used</w:t>
      </w:r>
      <w:r w:rsidR="00CF10AB">
        <w:t>,</w:t>
      </w:r>
      <w:r w:rsidR="00BF1780">
        <w:t xml:space="preserve"> rather than increased unit costs.</w:t>
      </w:r>
    </w:p>
    <w:p w14:paraId="1DCECE00" w14:textId="107F668E" w:rsidR="5502932B" w:rsidRDefault="5502932B">
      <w:pPr>
        <w:pStyle w:val="ListParagraph"/>
        <w:numPr>
          <w:ilvl w:val="0"/>
          <w:numId w:val="89"/>
        </w:numPr>
        <w:ind w:left="426"/>
      </w:pPr>
      <w:r>
        <w:t>Chemical expenditure is a small component of our controllable operating expenditure. Chemical costs are related to both the treatment of our water supply and sewage at our water recycling plants. It is critical to ensur</w:t>
      </w:r>
      <w:r w:rsidR="008365E2">
        <w:t>e</w:t>
      </w:r>
      <w:r>
        <w:t xml:space="preserve"> a safe drinking water supply for our customers.</w:t>
      </w:r>
    </w:p>
    <w:p w14:paraId="012107E9" w14:textId="51A59D5B" w:rsidR="267CDA45" w:rsidRDefault="442D31D4">
      <w:pPr>
        <w:pStyle w:val="ListParagraph"/>
        <w:numPr>
          <w:ilvl w:val="0"/>
          <w:numId w:val="89"/>
        </w:numPr>
        <w:ind w:left="426"/>
      </w:pPr>
      <w:r>
        <w:t xml:space="preserve">In response to events including the Silvan </w:t>
      </w:r>
      <w:r w:rsidR="0054434C">
        <w:t xml:space="preserve">water quality </w:t>
      </w:r>
      <w:r w:rsidR="00F46A4D">
        <w:t>i</w:t>
      </w:r>
      <w:r>
        <w:t xml:space="preserve">ncident (where </w:t>
      </w:r>
      <w:r w:rsidR="00612583">
        <w:t>‘b</w:t>
      </w:r>
      <w:r>
        <w:t xml:space="preserve">oil </w:t>
      </w:r>
      <w:r w:rsidR="00612583">
        <w:t>w</w:t>
      </w:r>
      <w:r>
        <w:t>ater</w:t>
      </w:r>
      <w:r w:rsidR="00612583">
        <w:t>’</w:t>
      </w:r>
      <w:r>
        <w:t xml:space="preserve"> </w:t>
      </w:r>
      <w:r w:rsidR="00612583">
        <w:t>a</w:t>
      </w:r>
      <w:r>
        <w:t xml:space="preserve">dvisory protocols were initiated), a number of changes have been implemented in </w:t>
      </w:r>
      <w:r w:rsidR="00F86251">
        <w:t>20</w:t>
      </w:r>
      <w:r>
        <w:t>21</w:t>
      </w:r>
      <w:r w:rsidR="00310E2A">
        <w:t>–</w:t>
      </w:r>
      <w:r>
        <w:t xml:space="preserve">22 in relation to primary chlorination, monitoring and chlorine residuals within the network. Over the next </w:t>
      </w:r>
      <w:r w:rsidR="42BA08D7">
        <w:t xml:space="preserve">price period, </w:t>
      </w:r>
      <w:r w:rsidR="00284825">
        <w:t>we are</w:t>
      </w:r>
      <w:r w:rsidR="42BA08D7">
        <w:t xml:space="preserve"> doubling the number of chlorinators in our network from 24 to </w:t>
      </w:r>
      <w:r w:rsidR="00B17D18">
        <w:t>4</w:t>
      </w:r>
      <w:r w:rsidR="42BA08D7">
        <w:t>8. This will see a rise in chemical costs related to chlorination.</w:t>
      </w:r>
    </w:p>
    <w:p w14:paraId="1801B843" w14:textId="1BF46486" w:rsidR="42BA08D7" w:rsidRDefault="42BA08D7">
      <w:pPr>
        <w:pStyle w:val="ListParagraph"/>
        <w:numPr>
          <w:ilvl w:val="0"/>
          <w:numId w:val="89"/>
        </w:numPr>
        <w:ind w:left="426"/>
      </w:pPr>
      <w:r>
        <w:t xml:space="preserve">Both Lang Lang and Longwarry water recycling plants will also be upgraded </w:t>
      </w:r>
      <w:r w:rsidR="0052640E">
        <w:t>in 2025</w:t>
      </w:r>
      <w:r w:rsidR="00310E2A">
        <w:t>–</w:t>
      </w:r>
      <w:r w:rsidR="0052640E">
        <w:t xml:space="preserve">26 </w:t>
      </w:r>
      <w:r>
        <w:t xml:space="preserve">to </w:t>
      </w:r>
      <w:r w:rsidR="00222CCD">
        <w:t>C</w:t>
      </w:r>
      <w:r>
        <w:t>lass A and mechanical plants respectively, providing further capacity</w:t>
      </w:r>
      <w:r w:rsidR="00681A14">
        <w:t xml:space="preserve"> and</w:t>
      </w:r>
      <w:r>
        <w:t xml:space="preserve"> requiring more chemical dosage.</w:t>
      </w:r>
    </w:p>
    <w:p w14:paraId="2DCABF51" w14:textId="7240702A" w:rsidR="007360DE" w:rsidRDefault="007360DE" w:rsidP="007360DE"/>
    <w:p w14:paraId="2D1BF757" w14:textId="24EC96A7" w:rsidR="00E0618C" w:rsidRDefault="00E0618C" w:rsidP="007360DE"/>
    <w:p w14:paraId="235C5A8A" w14:textId="77777777" w:rsidR="00E0618C" w:rsidRDefault="00E0618C" w:rsidP="007360DE"/>
    <w:p w14:paraId="1B0CE8BE" w14:textId="687363E9" w:rsidR="00F64960" w:rsidRPr="00672791" w:rsidRDefault="0094606D" w:rsidP="0094606D">
      <w:pPr>
        <w:pStyle w:val="NormalIndent"/>
        <w:ind w:left="0"/>
        <w:rPr>
          <w:rFonts w:cs="Arial"/>
          <w:i/>
        </w:rPr>
      </w:pPr>
      <w:r w:rsidRPr="00CE6C4E">
        <w:rPr>
          <w:b/>
          <w:i/>
        </w:rPr>
        <w:lastRenderedPageBreak/>
        <w:t xml:space="preserve">Table </w:t>
      </w:r>
      <w:r w:rsidR="002128BB" w:rsidRPr="00CE6C4E">
        <w:rPr>
          <w:b/>
          <w:bCs/>
          <w:i/>
          <w:iCs/>
        </w:rPr>
        <w:fldChar w:fldCharType="begin"/>
      </w:r>
      <w:r w:rsidR="002128BB" w:rsidRPr="00CE6C4E">
        <w:rPr>
          <w:b/>
          <w:bCs/>
          <w:i/>
          <w:iCs/>
        </w:rPr>
        <w:instrText>SEQ Table \* ARABIC</w:instrText>
      </w:r>
      <w:r w:rsidR="002128BB" w:rsidRPr="00CE6C4E">
        <w:rPr>
          <w:b/>
          <w:bCs/>
          <w:i/>
          <w:iCs/>
        </w:rPr>
        <w:fldChar w:fldCharType="separate"/>
      </w:r>
      <w:r w:rsidR="002128BB">
        <w:rPr>
          <w:b/>
          <w:bCs/>
          <w:i/>
          <w:iCs/>
          <w:noProof/>
        </w:rPr>
        <w:t>33</w:t>
      </w:r>
      <w:r w:rsidR="002128BB" w:rsidRPr="00CE6C4E">
        <w:rPr>
          <w:b/>
          <w:bCs/>
          <w:i/>
          <w:iCs/>
        </w:rPr>
        <w:fldChar w:fldCharType="end"/>
      </w:r>
      <w:r w:rsidRPr="007B339F">
        <w:rPr>
          <w:rFonts w:ascii="Arial" w:hAnsi="Arial" w:cs="Arial"/>
          <w:b/>
          <w:i/>
        </w:rPr>
        <w:t>:</w:t>
      </w:r>
      <w:r>
        <w:rPr>
          <w:rFonts w:ascii="Arial" w:hAnsi="Arial" w:cs="Arial"/>
          <w:b/>
          <w:i/>
        </w:rPr>
        <w:t xml:space="preserve"> </w:t>
      </w:r>
      <w:r w:rsidR="00F64960" w:rsidRPr="00672791">
        <w:rPr>
          <w:rFonts w:cs="Arial"/>
          <w:b/>
          <w:i/>
        </w:rPr>
        <w:t xml:space="preserve">Chemical cost forecast </w:t>
      </w:r>
      <w:r w:rsidR="00921F48" w:rsidRPr="006D1620">
        <w:rPr>
          <w:rFonts w:cs="Arial"/>
          <w:b/>
          <w:i/>
        </w:rPr>
        <w:t>(</w:t>
      </w:r>
      <w:r w:rsidR="00921F48">
        <w:rPr>
          <w:rFonts w:cs="Arial"/>
          <w:b/>
          <w:i/>
        </w:rPr>
        <w:t>$</w:t>
      </w:r>
      <w:r w:rsidR="00F64960" w:rsidRPr="00672791">
        <w:rPr>
          <w:rFonts w:cs="Arial"/>
          <w:b/>
          <w:i/>
        </w:rPr>
        <w:t>million 2022</w:t>
      </w:r>
      <w:r w:rsidR="00310E2A">
        <w:rPr>
          <w:rFonts w:cs="Arial"/>
          <w:b/>
          <w:i/>
        </w:rPr>
        <w:t>–</w:t>
      </w:r>
      <w:r w:rsidR="00F64960" w:rsidRPr="00672791">
        <w:rPr>
          <w:rFonts w:cs="Arial"/>
          <w:b/>
          <w:i/>
        </w:rPr>
        <w:t>23)</w:t>
      </w:r>
    </w:p>
    <w:tbl>
      <w:tblPr>
        <w:tblStyle w:val="MJTableStyle1default"/>
        <w:tblW w:w="0" w:type="auto"/>
        <w:tblInd w:w="5" w:type="dxa"/>
        <w:tblLayout w:type="fixed"/>
        <w:tblLook w:val="04A0" w:firstRow="1" w:lastRow="0" w:firstColumn="1" w:lastColumn="0" w:noHBand="0" w:noVBand="1"/>
      </w:tblPr>
      <w:tblGrid>
        <w:gridCol w:w="1980"/>
        <w:gridCol w:w="1228"/>
        <w:gridCol w:w="1229"/>
        <w:gridCol w:w="1228"/>
        <w:gridCol w:w="1229"/>
        <w:gridCol w:w="1228"/>
        <w:gridCol w:w="1229"/>
      </w:tblGrid>
      <w:tr w:rsidR="00A23FC3" w:rsidRPr="005F6BB8" w14:paraId="43E92B2C" w14:textId="3901A38D" w:rsidTr="003F1732">
        <w:trPr>
          <w:cnfStyle w:val="100000000000" w:firstRow="1" w:lastRow="0" w:firstColumn="0" w:lastColumn="0" w:oddVBand="0" w:evenVBand="0" w:oddHBand="0" w:evenHBand="0" w:firstRowFirstColumn="0" w:firstRowLastColumn="0" w:lastRowFirstColumn="0" w:lastRowLastColumn="0"/>
          <w:trHeight w:val="497"/>
        </w:trPr>
        <w:tc>
          <w:tcPr>
            <w:tcW w:w="1980" w:type="dxa"/>
            <w:tcBorders>
              <w:top w:val="single" w:sz="4" w:space="0" w:color="002279"/>
              <w:left w:val="single" w:sz="4" w:space="0" w:color="002279"/>
              <w:bottom w:val="single" w:sz="2" w:space="0" w:color="002279"/>
              <w:right w:val="single" w:sz="4" w:space="0" w:color="FFFFFF" w:themeColor="background1"/>
            </w:tcBorders>
            <w:shd w:val="clear" w:color="auto" w:fill="002279"/>
            <w:vAlign w:val="center"/>
          </w:tcPr>
          <w:p w14:paraId="647AEA39" w14:textId="77777777" w:rsidR="00F867AF" w:rsidRPr="002020E8" w:rsidRDefault="00F867AF" w:rsidP="00CE12CF">
            <w:pPr>
              <w:rPr>
                <w:rFonts w:asciiTheme="minorHAnsi" w:hAnsiTheme="minorHAnsi" w:cstheme="minorHAnsi"/>
              </w:rPr>
            </w:pPr>
          </w:p>
        </w:tc>
        <w:tc>
          <w:tcPr>
            <w:tcW w:w="1228"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vAlign w:val="center"/>
          </w:tcPr>
          <w:p w14:paraId="5A787F0C" w14:textId="17EB5754" w:rsidR="00F867AF" w:rsidRPr="002020E8" w:rsidRDefault="00F867AF" w:rsidP="00360131">
            <w:pPr>
              <w:jc w:val="center"/>
              <w:rPr>
                <w:rFonts w:asciiTheme="minorHAnsi" w:hAnsiTheme="minorHAnsi" w:cstheme="minorHAnsi"/>
                <w:b/>
              </w:rPr>
            </w:pPr>
            <w:r w:rsidRPr="002020E8">
              <w:rPr>
                <w:rFonts w:asciiTheme="minorHAnsi" w:hAnsiTheme="minorHAnsi" w:cstheme="minorHAnsi"/>
                <w:b/>
              </w:rPr>
              <w:t>2023</w:t>
            </w:r>
            <w:r w:rsidR="00310E2A" w:rsidRPr="002020E8">
              <w:rPr>
                <w:rFonts w:asciiTheme="minorHAnsi" w:hAnsiTheme="minorHAnsi" w:cstheme="minorHAnsi"/>
                <w:b/>
              </w:rPr>
              <w:t>–</w:t>
            </w:r>
            <w:r w:rsidRPr="002020E8">
              <w:rPr>
                <w:rFonts w:asciiTheme="minorHAnsi" w:hAnsiTheme="minorHAnsi" w:cstheme="minorHAnsi"/>
                <w:b/>
              </w:rPr>
              <w:t>24</w:t>
            </w:r>
          </w:p>
        </w:tc>
        <w:tc>
          <w:tcPr>
            <w:tcW w:w="1229"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vAlign w:val="center"/>
          </w:tcPr>
          <w:p w14:paraId="5BAED03E" w14:textId="3A81EC56" w:rsidR="00F867AF" w:rsidRPr="002020E8" w:rsidRDefault="00F867AF" w:rsidP="00360131">
            <w:pPr>
              <w:jc w:val="center"/>
              <w:rPr>
                <w:rFonts w:asciiTheme="minorHAnsi" w:hAnsiTheme="minorHAnsi" w:cstheme="minorHAnsi"/>
                <w:b/>
              </w:rPr>
            </w:pPr>
            <w:r w:rsidRPr="002020E8">
              <w:rPr>
                <w:rFonts w:asciiTheme="minorHAnsi" w:hAnsiTheme="minorHAnsi" w:cstheme="minorHAnsi"/>
                <w:b/>
              </w:rPr>
              <w:t>2024</w:t>
            </w:r>
            <w:r w:rsidR="00310E2A" w:rsidRPr="002020E8">
              <w:rPr>
                <w:rFonts w:asciiTheme="minorHAnsi" w:hAnsiTheme="minorHAnsi" w:cstheme="minorHAnsi"/>
                <w:b/>
              </w:rPr>
              <w:t>–</w:t>
            </w:r>
            <w:r w:rsidRPr="002020E8">
              <w:rPr>
                <w:rFonts w:asciiTheme="minorHAnsi" w:hAnsiTheme="minorHAnsi" w:cstheme="minorHAnsi"/>
                <w:b/>
              </w:rPr>
              <w:t>25</w:t>
            </w:r>
          </w:p>
        </w:tc>
        <w:tc>
          <w:tcPr>
            <w:tcW w:w="1228"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vAlign w:val="center"/>
          </w:tcPr>
          <w:p w14:paraId="5C77AF0B" w14:textId="255477A4" w:rsidR="00F867AF" w:rsidRPr="002020E8" w:rsidRDefault="00F867AF" w:rsidP="00360131">
            <w:pPr>
              <w:jc w:val="center"/>
              <w:rPr>
                <w:rFonts w:asciiTheme="minorHAnsi" w:hAnsiTheme="minorHAnsi" w:cstheme="minorHAnsi"/>
                <w:b/>
              </w:rPr>
            </w:pPr>
            <w:r w:rsidRPr="002020E8">
              <w:rPr>
                <w:rFonts w:asciiTheme="minorHAnsi" w:hAnsiTheme="minorHAnsi" w:cstheme="minorHAnsi"/>
                <w:b/>
              </w:rPr>
              <w:t>2025</w:t>
            </w:r>
            <w:r w:rsidR="00310E2A" w:rsidRPr="002020E8">
              <w:rPr>
                <w:rFonts w:asciiTheme="minorHAnsi" w:hAnsiTheme="minorHAnsi" w:cstheme="minorHAnsi"/>
                <w:b/>
              </w:rPr>
              <w:t>–</w:t>
            </w:r>
            <w:r w:rsidRPr="002020E8">
              <w:rPr>
                <w:rFonts w:asciiTheme="minorHAnsi" w:hAnsiTheme="minorHAnsi" w:cstheme="minorHAnsi"/>
                <w:b/>
              </w:rPr>
              <w:t>26</w:t>
            </w:r>
          </w:p>
        </w:tc>
        <w:tc>
          <w:tcPr>
            <w:tcW w:w="1229"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vAlign w:val="center"/>
          </w:tcPr>
          <w:p w14:paraId="76830EA3" w14:textId="347E96CF" w:rsidR="00F867AF" w:rsidRPr="002020E8" w:rsidRDefault="00F867AF" w:rsidP="00360131">
            <w:pPr>
              <w:jc w:val="center"/>
              <w:rPr>
                <w:rFonts w:asciiTheme="minorHAnsi" w:hAnsiTheme="minorHAnsi" w:cstheme="minorHAnsi"/>
                <w:b/>
              </w:rPr>
            </w:pPr>
            <w:r w:rsidRPr="002020E8">
              <w:rPr>
                <w:rFonts w:asciiTheme="minorHAnsi" w:hAnsiTheme="minorHAnsi" w:cstheme="minorHAnsi"/>
                <w:b/>
              </w:rPr>
              <w:t>2026</w:t>
            </w:r>
            <w:r w:rsidR="00310E2A" w:rsidRPr="002020E8">
              <w:rPr>
                <w:rFonts w:asciiTheme="minorHAnsi" w:hAnsiTheme="minorHAnsi" w:cstheme="minorHAnsi"/>
                <w:b/>
              </w:rPr>
              <w:t>–</w:t>
            </w:r>
            <w:r w:rsidRPr="002020E8">
              <w:rPr>
                <w:rFonts w:asciiTheme="minorHAnsi" w:hAnsiTheme="minorHAnsi" w:cstheme="minorHAnsi"/>
                <w:b/>
              </w:rPr>
              <w:t>27</w:t>
            </w:r>
          </w:p>
        </w:tc>
        <w:tc>
          <w:tcPr>
            <w:tcW w:w="1228"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vAlign w:val="center"/>
          </w:tcPr>
          <w:p w14:paraId="1CD574A9" w14:textId="776C60EE" w:rsidR="00F867AF" w:rsidRPr="002020E8" w:rsidRDefault="00F867AF" w:rsidP="00360131">
            <w:pPr>
              <w:jc w:val="center"/>
              <w:rPr>
                <w:rFonts w:asciiTheme="minorHAnsi" w:hAnsiTheme="minorHAnsi" w:cstheme="minorHAnsi"/>
                <w:b/>
              </w:rPr>
            </w:pPr>
            <w:r w:rsidRPr="002020E8">
              <w:rPr>
                <w:rFonts w:asciiTheme="minorHAnsi" w:hAnsiTheme="minorHAnsi" w:cstheme="minorHAnsi"/>
                <w:b/>
              </w:rPr>
              <w:t>2027</w:t>
            </w:r>
            <w:r w:rsidR="00310E2A" w:rsidRPr="002020E8">
              <w:rPr>
                <w:rFonts w:asciiTheme="minorHAnsi" w:hAnsiTheme="minorHAnsi" w:cstheme="minorHAnsi"/>
                <w:b/>
              </w:rPr>
              <w:t>–</w:t>
            </w:r>
            <w:r w:rsidRPr="002020E8">
              <w:rPr>
                <w:rFonts w:asciiTheme="minorHAnsi" w:hAnsiTheme="minorHAnsi" w:cstheme="minorHAnsi"/>
                <w:b/>
              </w:rPr>
              <w:t>28</w:t>
            </w:r>
          </w:p>
        </w:tc>
        <w:tc>
          <w:tcPr>
            <w:tcW w:w="1229" w:type="dxa"/>
            <w:tcBorders>
              <w:top w:val="single" w:sz="4" w:space="0" w:color="002279"/>
              <w:left w:val="single" w:sz="4" w:space="0" w:color="FFFFFF" w:themeColor="background1"/>
              <w:bottom w:val="single" w:sz="2" w:space="0" w:color="002279"/>
              <w:right w:val="single" w:sz="4" w:space="0" w:color="002279"/>
            </w:tcBorders>
            <w:shd w:val="clear" w:color="auto" w:fill="002279"/>
            <w:vAlign w:val="center"/>
          </w:tcPr>
          <w:p w14:paraId="19E3F6BC" w14:textId="3677D885" w:rsidR="00F64960" w:rsidRPr="002020E8" w:rsidRDefault="00F64960" w:rsidP="00360131">
            <w:pPr>
              <w:jc w:val="center"/>
              <w:rPr>
                <w:rFonts w:asciiTheme="minorHAnsi" w:hAnsiTheme="minorHAnsi" w:cstheme="minorHAnsi"/>
                <w:b/>
              </w:rPr>
            </w:pPr>
            <w:r w:rsidRPr="002020E8">
              <w:rPr>
                <w:rFonts w:asciiTheme="minorHAnsi" w:hAnsiTheme="minorHAnsi" w:cstheme="minorHAnsi"/>
                <w:b/>
              </w:rPr>
              <w:t>Total</w:t>
            </w:r>
          </w:p>
        </w:tc>
      </w:tr>
      <w:tr w:rsidR="00147FED" w:rsidRPr="005F6BB8" w14:paraId="330A3664" w14:textId="26B2F44D" w:rsidTr="003F1732">
        <w:trPr>
          <w:cnfStyle w:val="000000100000" w:firstRow="0" w:lastRow="0" w:firstColumn="0" w:lastColumn="0" w:oddVBand="0" w:evenVBand="0" w:oddHBand="1" w:evenHBand="0" w:firstRowFirstColumn="0" w:firstRowLastColumn="0" w:lastRowFirstColumn="0" w:lastRowLastColumn="0"/>
        </w:trPr>
        <w:tc>
          <w:tcPr>
            <w:tcW w:w="1980" w:type="dxa"/>
            <w:tcBorders>
              <w:top w:val="single" w:sz="2" w:space="0" w:color="002279"/>
              <w:left w:val="single" w:sz="4" w:space="0" w:color="002279"/>
              <w:bottom w:val="single" w:sz="4" w:space="0" w:color="002279"/>
              <w:right w:val="single" w:sz="4" w:space="0" w:color="002279"/>
            </w:tcBorders>
            <w:shd w:val="clear" w:color="auto" w:fill="FFFFFF" w:themeFill="background1"/>
          </w:tcPr>
          <w:p w14:paraId="6329FE2A" w14:textId="22FFEE63" w:rsidR="00ED0B82" w:rsidRPr="00AD7771" w:rsidRDefault="00B339E6" w:rsidP="00ED0B82">
            <w:pPr>
              <w:rPr>
                <w:rFonts w:cs="Arial"/>
                <w:bCs/>
              </w:rPr>
            </w:pPr>
            <w:r w:rsidRPr="00AD7771">
              <w:rPr>
                <w:rFonts w:cs="Arial"/>
                <w:bCs/>
              </w:rPr>
              <w:t xml:space="preserve">Total </w:t>
            </w:r>
            <w:r w:rsidR="00ED0B82" w:rsidRPr="00AD7771">
              <w:rPr>
                <w:rFonts w:cs="Arial"/>
                <w:bCs/>
              </w:rPr>
              <w:t>chemical costs (all sites)</w:t>
            </w:r>
          </w:p>
        </w:tc>
        <w:tc>
          <w:tcPr>
            <w:tcW w:w="1228" w:type="dxa"/>
            <w:tcBorders>
              <w:top w:val="single" w:sz="2" w:space="0" w:color="002279"/>
              <w:left w:val="single" w:sz="4" w:space="0" w:color="002279"/>
              <w:bottom w:val="single" w:sz="4" w:space="0" w:color="002279"/>
              <w:right w:val="single" w:sz="4" w:space="0" w:color="002279"/>
            </w:tcBorders>
            <w:shd w:val="clear" w:color="auto" w:fill="FFFFFF" w:themeFill="background1"/>
            <w:vAlign w:val="center"/>
          </w:tcPr>
          <w:p w14:paraId="5D088086" w14:textId="065600A2" w:rsidR="00ED0B82" w:rsidRPr="002020E8" w:rsidRDefault="00ED0B82" w:rsidP="002020E8">
            <w:pPr>
              <w:jc w:val="center"/>
              <w:rPr>
                <w:rFonts w:cs="Arial"/>
              </w:rPr>
            </w:pPr>
            <w:r w:rsidRPr="002020E8">
              <w:rPr>
                <w:rFonts w:cs="Arial"/>
              </w:rPr>
              <w:t>1.49</w:t>
            </w:r>
          </w:p>
        </w:tc>
        <w:tc>
          <w:tcPr>
            <w:tcW w:w="1229" w:type="dxa"/>
            <w:tcBorders>
              <w:top w:val="single" w:sz="2" w:space="0" w:color="002279"/>
              <w:left w:val="single" w:sz="4" w:space="0" w:color="002279"/>
              <w:bottom w:val="single" w:sz="4" w:space="0" w:color="002279"/>
              <w:right w:val="single" w:sz="4" w:space="0" w:color="002279"/>
            </w:tcBorders>
            <w:shd w:val="clear" w:color="auto" w:fill="FFFFFF" w:themeFill="background1"/>
            <w:vAlign w:val="center"/>
          </w:tcPr>
          <w:p w14:paraId="2A378AC5" w14:textId="6DB40878" w:rsidR="00ED0B82" w:rsidRPr="002020E8" w:rsidRDefault="00ED0B82" w:rsidP="002020E8">
            <w:pPr>
              <w:jc w:val="center"/>
              <w:rPr>
                <w:rFonts w:cs="Arial"/>
              </w:rPr>
            </w:pPr>
            <w:r w:rsidRPr="002020E8">
              <w:rPr>
                <w:rFonts w:cs="Arial"/>
              </w:rPr>
              <w:t>1.</w:t>
            </w:r>
            <w:r w:rsidR="006A4DEB" w:rsidRPr="002020E8">
              <w:rPr>
                <w:rFonts w:cs="Arial"/>
              </w:rPr>
              <w:t>54</w:t>
            </w:r>
          </w:p>
        </w:tc>
        <w:tc>
          <w:tcPr>
            <w:tcW w:w="1228" w:type="dxa"/>
            <w:tcBorders>
              <w:top w:val="single" w:sz="2" w:space="0" w:color="002279"/>
              <w:left w:val="single" w:sz="4" w:space="0" w:color="002279"/>
              <w:bottom w:val="single" w:sz="4" w:space="0" w:color="002279"/>
              <w:right w:val="single" w:sz="4" w:space="0" w:color="002279"/>
            </w:tcBorders>
            <w:shd w:val="clear" w:color="auto" w:fill="FFFFFF" w:themeFill="background1"/>
            <w:vAlign w:val="center"/>
          </w:tcPr>
          <w:p w14:paraId="2FD3653C" w14:textId="0EC0AB2C" w:rsidR="00ED0B82" w:rsidRPr="002020E8" w:rsidRDefault="00ED0B82" w:rsidP="002020E8">
            <w:pPr>
              <w:jc w:val="center"/>
              <w:rPr>
                <w:rFonts w:cs="Arial"/>
              </w:rPr>
            </w:pPr>
            <w:r w:rsidRPr="002020E8">
              <w:rPr>
                <w:rFonts w:cs="Arial"/>
              </w:rPr>
              <w:t>1.</w:t>
            </w:r>
            <w:r w:rsidR="00490CD0" w:rsidRPr="002020E8">
              <w:rPr>
                <w:rFonts w:cs="Arial"/>
              </w:rPr>
              <w:t>61</w:t>
            </w:r>
          </w:p>
        </w:tc>
        <w:tc>
          <w:tcPr>
            <w:tcW w:w="1229" w:type="dxa"/>
            <w:tcBorders>
              <w:top w:val="single" w:sz="2" w:space="0" w:color="002279"/>
              <w:left w:val="single" w:sz="4" w:space="0" w:color="002279"/>
              <w:bottom w:val="single" w:sz="4" w:space="0" w:color="002279"/>
              <w:right w:val="single" w:sz="4" w:space="0" w:color="002279"/>
            </w:tcBorders>
            <w:shd w:val="clear" w:color="auto" w:fill="FFFFFF" w:themeFill="background1"/>
            <w:vAlign w:val="center"/>
          </w:tcPr>
          <w:p w14:paraId="5BDF7514" w14:textId="393206BC" w:rsidR="00ED0B82" w:rsidRPr="002020E8" w:rsidRDefault="00ED0B82" w:rsidP="002020E8">
            <w:pPr>
              <w:jc w:val="center"/>
              <w:rPr>
                <w:rFonts w:cs="Arial"/>
              </w:rPr>
            </w:pPr>
            <w:r w:rsidRPr="002020E8">
              <w:rPr>
                <w:rFonts w:cs="Arial"/>
              </w:rPr>
              <w:t>1.</w:t>
            </w:r>
            <w:r w:rsidR="00490CD0" w:rsidRPr="002020E8">
              <w:rPr>
                <w:rFonts w:cs="Arial"/>
              </w:rPr>
              <w:t>75</w:t>
            </w:r>
          </w:p>
        </w:tc>
        <w:tc>
          <w:tcPr>
            <w:tcW w:w="1228" w:type="dxa"/>
            <w:tcBorders>
              <w:top w:val="single" w:sz="2" w:space="0" w:color="002279"/>
              <w:left w:val="single" w:sz="4" w:space="0" w:color="002279"/>
              <w:bottom w:val="single" w:sz="4" w:space="0" w:color="002279"/>
              <w:right w:val="single" w:sz="4" w:space="0" w:color="002279"/>
            </w:tcBorders>
            <w:shd w:val="clear" w:color="auto" w:fill="FFFFFF" w:themeFill="background1"/>
            <w:vAlign w:val="center"/>
          </w:tcPr>
          <w:p w14:paraId="269B68A5" w14:textId="7C6C8D8D" w:rsidR="00ED0B82" w:rsidRPr="002020E8" w:rsidRDefault="00ED0B82" w:rsidP="002020E8">
            <w:pPr>
              <w:jc w:val="center"/>
              <w:rPr>
                <w:rFonts w:cs="Arial"/>
              </w:rPr>
            </w:pPr>
            <w:r w:rsidRPr="002020E8">
              <w:rPr>
                <w:rFonts w:cs="Arial"/>
              </w:rPr>
              <w:t>1.</w:t>
            </w:r>
            <w:r w:rsidR="00490CD0" w:rsidRPr="002020E8">
              <w:rPr>
                <w:rFonts w:cs="Arial"/>
              </w:rPr>
              <w:t>78</w:t>
            </w:r>
          </w:p>
        </w:tc>
        <w:tc>
          <w:tcPr>
            <w:tcW w:w="1229" w:type="dxa"/>
            <w:tcBorders>
              <w:top w:val="single" w:sz="2" w:space="0" w:color="002279"/>
              <w:left w:val="single" w:sz="4" w:space="0" w:color="002279"/>
              <w:bottom w:val="single" w:sz="4" w:space="0" w:color="002279"/>
              <w:right w:val="single" w:sz="4" w:space="0" w:color="002279"/>
            </w:tcBorders>
            <w:shd w:val="clear" w:color="auto" w:fill="FFFFFF" w:themeFill="background1"/>
            <w:vAlign w:val="center"/>
          </w:tcPr>
          <w:p w14:paraId="37CA89CC" w14:textId="7A60C5BF" w:rsidR="00AB78EE" w:rsidRPr="002020E8" w:rsidRDefault="00AB78EE" w:rsidP="002020E8">
            <w:pPr>
              <w:jc w:val="center"/>
              <w:rPr>
                <w:rFonts w:cs="Arial"/>
                <w:b/>
              </w:rPr>
            </w:pPr>
            <w:r w:rsidRPr="002020E8">
              <w:rPr>
                <w:rFonts w:cs="Arial"/>
                <w:b/>
              </w:rPr>
              <w:t>8.17</w:t>
            </w:r>
          </w:p>
        </w:tc>
      </w:tr>
    </w:tbl>
    <w:p w14:paraId="25A33E25" w14:textId="77777777" w:rsidR="0094606D" w:rsidRDefault="0094606D" w:rsidP="61A129D4">
      <w:pPr>
        <w:rPr>
          <w:b/>
        </w:rPr>
      </w:pPr>
    </w:p>
    <w:p w14:paraId="114291C9" w14:textId="2DF4DBDB" w:rsidR="61A129D4" w:rsidRDefault="61A129D4" w:rsidP="61A129D4">
      <w:pPr>
        <w:rPr>
          <w:b/>
        </w:rPr>
      </w:pPr>
      <w:r w:rsidRPr="124575DD">
        <w:rPr>
          <w:b/>
        </w:rPr>
        <w:t>Information Technology</w:t>
      </w:r>
      <w:r w:rsidR="00F16875">
        <w:rPr>
          <w:b/>
        </w:rPr>
        <w:t xml:space="preserve"> (IT)</w:t>
      </w:r>
    </w:p>
    <w:p w14:paraId="28E64114" w14:textId="48F4A848" w:rsidR="00FE1A13" w:rsidRPr="000C515A" w:rsidRDefault="00F16875">
      <w:pPr>
        <w:pStyle w:val="ListParagraph"/>
        <w:numPr>
          <w:ilvl w:val="0"/>
          <w:numId w:val="90"/>
        </w:numPr>
        <w:ind w:left="426"/>
      </w:pPr>
      <w:r>
        <w:t>IT</w:t>
      </w:r>
      <w:r w:rsidR="00FE1A13" w:rsidRPr="000C515A">
        <w:t xml:space="preserve"> supports</w:t>
      </w:r>
      <w:r w:rsidR="00B159C9">
        <w:t xml:space="preserve"> </w:t>
      </w:r>
      <w:r w:rsidR="00FE1A13" w:rsidRPr="000C515A">
        <w:t>almost all of the core business functions at South East Water</w:t>
      </w:r>
      <w:r w:rsidR="00681A14">
        <w:t>. W</w:t>
      </w:r>
      <w:r w:rsidR="00FE1A13" w:rsidRPr="000C515A">
        <w:t>ithout continued investment, we will not be able to meet and maintain the needs of our customers</w:t>
      </w:r>
      <w:r w:rsidR="000E0415">
        <w:t>, remain compliant</w:t>
      </w:r>
      <w:r w:rsidR="00A20EC8">
        <w:t xml:space="preserve"> with our obligations</w:t>
      </w:r>
      <w:r w:rsidR="000E0415">
        <w:t>,</w:t>
      </w:r>
      <w:r w:rsidR="00FE1A13" w:rsidRPr="000C515A">
        <w:t xml:space="preserve"> or be able to achieve integrity of service levels.</w:t>
      </w:r>
    </w:p>
    <w:p w14:paraId="4E39FDC2" w14:textId="6CE8BAFA" w:rsidR="00062011" w:rsidRDefault="4043BD21">
      <w:pPr>
        <w:pStyle w:val="ListParagraph"/>
        <w:numPr>
          <w:ilvl w:val="0"/>
          <w:numId w:val="90"/>
        </w:numPr>
        <w:ind w:left="426"/>
      </w:pPr>
      <w:r>
        <w:t>South East Water is embarking upon a digital transformation</w:t>
      </w:r>
      <w:r w:rsidR="24475904">
        <w:t xml:space="preserve"> </w:t>
      </w:r>
      <w:r w:rsidR="6FC05054">
        <w:t>in</w:t>
      </w:r>
      <w:r w:rsidR="24475904">
        <w:t xml:space="preserve"> respon</w:t>
      </w:r>
      <w:r w:rsidR="6FC05054">
        <w:t>se</w:t>
      </w:r>
      <w:r w:rsidR="24475904">
        <w:t xml:space="preserve"> to the changing environment in which</w:t>
      </w:r>
      <w:r w:rsidR="6FC05054">
        <w:t xml:space="preserve"> it operates, and most importantly, the needs and expectations of our customers. To support this digital transformation, </w:t>
      </w:r>
      <w:r w:rsidR="43947271">
        <w:t>we are</w:t>
      </w:r>
      <w:r w:rsidR="2F9A5508">
        <w:t xml:space="preserve"> proposing to</w:t>
      </w:r>
      <w:r w:rsidR="43947271">
        <w:t xml:space="preserve"> mak</w:t>
      </w:r>
      <w:r w:rsidR="2F9A5508">
        <w:t>e</w:t>
      </w:r>
      <w:r w:rsidR="43947271">
        <w:t xml:space="preserve"> </w:t>
      </w:r>
      <w:r w:rsidR="2F9A5508">
        <w:t xml:space="preserve">a </w:t>
      </w:r>
      <w:r w:rsidR="007F4152">
        <w:t>propor</w:t>
      </w:r>
      <w:r w:rsidR="000E0415">
        <w:t>tionate</w:t>
      </w:r>
      <w:r w:rsidR="2F9A5508">
        <w:t xml:space="preserve"> investment in </w:t>
      </w:r>
      <w:r w:rsidR="00970ACE">
        <w:t xml:space="preserve">IT </w:t>
      </w:r>
      <w:r w:rsidR="2F9A5508">
        <w:t>in the next regulatory period.</w:t>
      </w:r>
    </w:p>
    <w:p w14:paraId="13405CE8" w14:textId="1D5D7E31" w:rsidR="0069550F" w:rsidRDefault="5CC8AE60">
      <w:pPr>
        <w:pStyle w:val="ListParagraph"/>
        <w:numPr>
          <w:ilvl w:val="0"/>
          <w:numId w:val="90"/>
        </w:numPr>
        <w:ind w:left="426"/>
      </w:pPr>
      <w:r>
        <w:t xml:space="preserve">The increase in </w:t>
      </w:r>
      <w:r w:rsidR="00A20EC8">
        <w:t>ope</w:t>
      </w:r>
      <w:r w:rsidR="005F6AD3">
        <w:t xml:space="preserve">rating expenditure </w:t>
      </w:r>
      <w:r>
        <w:t>is a result of investment in new technologies that require new licen</w:t>
      </w:r>
      <w:r w:rsidR="007B79AC">
        <w:t>s</w:t>
      </w:r>
      <w:r>
        <w:t>ing agreements, whereas current systems have no licen</w:t>
      </w:r>
      <w:r w:rsidR="007B79AC">
        <w:t>s</w:t>
      </w:r>
      <w:r>
        <w:t>ing obligations</w:t>
      </w:r>
      <w:r w:rsidR="000D18DA">
        <w:t>,</w:t>
      </w:r>
      <w:r>
        <w:t xml:space="preserve"> due to them being built inhouse and on premise. The requirement for new technology stems from </w:t>
      </w:r>
      <w:r w:rsidR="00366731">
        <w:t>the necessary</w:t>
      </w:r>
      <w:r>
        <w:t xml:space="preserve"> replacement</w:t>
      </w:r>
      <w:r w:rsidR="00366731">
        <w:t xml:space="preserve"> of</w:t>
      </w:r>
      <w:r>
        <w:t xml:space="preserve"> ag</w:t>
      </w:r>
      <w:r w:rsidR="00564314">
        <w:t>e</w:t>
      </w:r>
      <w:r>
        <w:t xml:space="preserve">ing systems, an increase in the </w:t>
      </w:r>
      <w:r w:rsidR="00A80842" w:rsidRPr="009D1791">
        <w:t>cyber</w:t>
      </w:r>
      <w:r w:rsidR="00A80842">
        <w:t xml:space="preserve"> </w:t>
      </w:r>
      <w:r>
        <w:t xml:space="preserve">security threat landscape, an increase in cloud computing and to allow South East Water to achieve efficiency </w:t>
      </w:r>
      <w:r w:rsidR="00A80842">
        <w:t>savings</w:t>
      </w:r>
      <w:r w:rsidR="00587C28">
        <w:t>,</w:t>
      </w:r>
      <w:r>
        <w:t xml:space="preserve"> through removal of manual processes.</w:t>
      </w:r>
    </w:p>
    <w:p w14:paraId="722C2674" w14:textId="6AE27F43" w:rsidR="00E62029" w:rsidRDefault="10BB87E9">
      <w:pPr>
        <w:pStyle w:val="ListParagraph"/>
        <w:numPr>
          <w:ilvl w:val="0"/>
          <w:numId w:val="90"/>
        </w:numPr>
        <w:ind w:left="426"/>
      </w:pPr>
      <w:r>
        <w:t xml:space="preserve">South East Water is proposing a step change in </w:t>
      </w:r>
      <w:r w:rsidR="006247DC">
        <w:t>IT expenditure</w:t>
      </w:r>
      <w:r w:rsidR="00733FB0">
        <w:t>. The step change amount</w:t>
      </w:r>
      <w:r w:rsidR="55399B21">
        <w:t xml:space="preserve"> is included in the total </w:t>
      </w:r>
      <w:r w:rsidR="00733FB0">
        <w:t xml:space="preserve">IT </w:t>
      </w:r>
      <w:r w:rsidR="55399B21">
        <w:t xml:space="preserve">cost </w:t>
      </w:r>
      <w:r w:rsidR="35E505CA">
        <w:t xml:space="preserve">shown in </w:t>
      </w:r>
      <w:r w:rsidR="00D54449">
        <w:t>T</w:t>
      </w:r>
      <w:r w:rsidR="35E505CA">
        <w:t xml:space="preserve">able </w:t>
      </w:r>
      <w:r w:rsidR="0094606D">
        <w:t>3</w:t>
      </w:r>
      <w:r w:rsidR="00235279">
        <w:t>4</w:t>
      </w:r>
      <w:r w:rsidR="38829E7A">
        <w:t xml:space="preserve"> below. </w:t>
      </w:r>
    </w:p>
    <w:p w14:paraId="0CCC7651" w14:textId="77777777" w:rsidR="004F1DBA" w:rsidRDefault="004F1DBA" w:rsidP="004F1DBA"/>
    <w:p w14:paraId="6B8D1BEC" w14:textId="166C8D31" w:rsidR="00CF5F83" w:rsidRPr="0094606D" w:rsidRDefault="0094606D" w:rsidP="0094606D">
      <w:pPr>
        <w:pStyle w:val="NormalIndent"/>
        <w:ind w:left="0"/>
        <w:rPr>
          <w:rFonts w:cs="Arial"/>
          <w:i/>
        </w:rPr>
      </w:pPr>
      <w:r w:rsidRPr="00CE6C4E">
        <w:rPr>
          <w:b/>
          <w:i/>
        </w:rPr>
        <w:t xml:space="preserve">Table </w:t>
      </w:r>
      <w:r w:rsidR="002128BB" w:rsidRPr="00CE6C4E">
        <w:rPr>
          <w:b/>
          <w:bCs/>
          <w:i/>
          <w:iCs/>
        </w:rPr>
        <w:fldChar w:fldCharType="begin"/>
      </w:r>
      <w:r w:rsidR="002128BB" w:rsidRPr="00CE6C4E">
        <w:rPr>
          <w:b/>
          <w:bCs/>
          <w:i/>
          <w:iCs/>
        </w:rPr>
        <w:instrText>SEQ Table \* ARABIC</w:instrText>
      </w:r>
      <w:r w:rsidR="002128BB" w:rsidRPr="00CE6C4E">
        <w:rPr>
          <w:b/>
          <w:bCs/>
          <w:i/>
          <w:iCs/>
        </w:rPr>
        <w:fldChar w:fldCharType="separate"/>
      </w:r>
      <w:r w:rsidR="002128BB">
        <w:rPr>
          <w:b/>
          <w:bCs/>
          <w:i/>
          <w:iCs/>
          <w:noProof/>
        </w:rPr>
        <w:t>34</w:t>
      </w:r>
      <w:r w:rsidR="002128BB" w:rsidRPr="00CE6C4E">
        <w:rPr>
          <w:b/>
          <w:bCs/>
          <w:i/>
          <w:iCs/>
        </w:rPr>
        <w:fldChar w:fldCharType="end"/>
      </w:r>
      <w:r w:rsidRPr="00304A0D">
        <w:rPr>
          <w:rFonts w:ascii="Arial" w:hAnsi="Arial" w:cs="Arial"/>
          <w:b/>
          <w:i/>
        </w:rPr>
        <w:t xml:space="preserve">: </w:t>
      </w:r>
      <w:r w:rsidR="00304A0D">
        <w:rPr>
          <w:rFonts w:ascii="Arial" w:hAnsi="Arial" w:cs="Arial"/>
          <w:b/>
          <w:i/>
        </w:rPr>
        <w:t xml:space="preserve">Total </w:t>
      </w:r>
      <w:r w:rsidR="006248AD" w:rsidRPr="00304A0D">
        <w:rPr>
          <w:rFonts w:cs="Arial"/>
          <w:b/>
          <w:i/>
        </w:rPr>
        <w:t>i</w:t>
      </w:r>
      <w:r w:rsidR="00CF5F83" w:rsidRPr="00304A0D">
        <w:rPr>
          <w:rFonts w:cs="Arial"/>
          <w:b/>
          <w:i/>
        </w:rPr>
        <w:t>nf</w:t>
      </w:r>
      <w:r w:rsidR="00CF5F83" w:rsidRPr="006D1620">
        <w:rPr>
          <w:rFonts w:cs="Arial"/>
          <w:b/>
          <w:i/>
        </w:rPr>
        <w:t xml:space="preserve">ormation technology cost forecast </w:t>
      </w:r>
      <w:r w:rsidR="000F2C66" w:rsidRPr="006D1620">
        <w:rPr>
          <w:rFonts w:cs="Arial"/>
          <w:b/>
          <w:i/>
        </w:rPr>
        <w:t>(</w:t>
      </w:r>
      <w:r w:rsidR="000F2C66">
        <w:rPr>
          <w:rFonts w:cs="Arial"/>
          <w:b/>
          <w:i/>
        </w:rPr>
        <w:t>$</w:t>
      </w:r>
      <w:r w:rsidR="00CF5F83" w:rsidRPr="006D1620">
        <w:rPr>
          <w:rFonts w:cs="Arial"/>
          <w:b/>
          <w:i/>
        </w:rPr>
        <w:t>million 2022</w:t>
      </w:r>
      <w:r w:rsidR="00310E2A">
        <w:rPr>
          <w:rFonts w:cs="Arial"/>
          <w:b/>
          <w:i/>
        </w:rPr>
        <w:t>–</w:t>
      </w:r>
      <w:r w:rsidR="00CF5F83" w:rsidRPr="006D1620">
        <w:rPr>
          <w:rFonts w:cs="Arial"/>
          <w:b/>
          <w:i/>
        </w:rPr>
        <w:t>23)</w:t>
      </w:r>
    </w:p>
    <w:tbl>
      <w:tblPr>
        <w:tblStyle w:val="MJTableStyle1default"/>
        <w:tblW w:w="0" w:type="auto"/>
        <w:tblInd w:w="5" w:type="dxa"/>
        <w:tblLook w:val="04A0" w:firstRow="1" w:lastRow="0" w:firstColumn="1" w:lastColumn="0" w:noHBand="0" w:noVBand="1"/>
      </w:tblPr>
      <w:tblGrid>
        <w:gridCol w:w="2122"/>
        <w:gridCol w:w="1193"/>
        <w:gridCol w:w="1193"/>
        <w:gridCol w:w="1193"/>
        <w:gridCol w:w="1193"/>
        <w:gridCol w:w="1193"/>
        <w:gridCol w:w="1194"/>
      </w:tblGrid>
      <w:tr w:rsidR="00351EBD" w:rsidRPr="00CE12CF" w14:paraId="32E50A4F" w14:textId="37B760EF" w:rsidTr="003F1732">
        <w:trPr>
          <w:cnfStyle w:val="100000000000" w:firstRow="1" w:lastRow="0" w:firstColumn="0" w:lastColumn="0" w:oddVBand="0" w:evenVBand="0" w:oddHBand="0" w:evenHBand="0" w:firstRowFirstColumn="0" w:firstRowLastColumn="0" w:lastRowFirstColumn="0" w:lastRowLastColumn="0"/>
          <w:trHeight w:val="512"/>
        </w:trPr>
        <w:tc>
          <w:tcPr>
            <w:tcW w:w="2122" w:type="dxa"/>
            <w:tcBorders>
              <w:top w:val="single" w:sz="4" w:space="0" w:color="002279"/>
              <w:left w:val="single" w:sz="4" w:space="0" w:color="002279"/>
              <w:bottom w:val="single" w:sz="2" w:space="0" w:color="002279"/>
              <w:right w:val="single" w:sz="4" w:space="0" w:color="FFFFFF" w:themeColor="background1"/>
            </w:tcBorders>
            <w:shd w:val="clear" w:color="auto" w:fill="002279"/>
            <w:vAlign w:val="center"/>
          </w:tcPr>
          <w:p w14:paraId="24107085" w14:textId="77777777" w:rsidR="00E62029" w:rsidRPr="002020E8" w:rsidRDefault="00E62029" w:rsidP="00CE12CF">
            <w:pPr>
              <w:rPr>
                <w:rFonts w:asciiTheme="minorHAnsi" w:hAnsiTheme="minorHAnsi" w:cstheme="minorHAnsi"/>
              </w:rPr>
            </w:pPr>
          </w:p>
        </w:tc>
        <w:tc>
          <w:tcPr>
            <w:tcW w:w="1193"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vAlign w:val="center"/>
          </w:tcPr>
          <w:p w14:paraId="25B95BE9" w14:textId="05858B0C" w:rsidR="00E62029" w:rsidRPr="002020E8" w:rsidRDefault="00E62029" w:rsidP="00360131">
            <w:pPr>
              <w:jc w:val="center"/>
              <w:rPr>
                <w:rFonts w:asciiTheme="minorHAnsi" w:hAnsiTheme="minorHAnsi" w:cstheme="minorHAnsi"/>
                <w:b/>
              </w:rPr>
            </w:pPr>
            <w:r w:rsidRPr="002020E8">
              <w:rPr>
                <w:rFonts w:asciiTheme="minorHAnsi" w:hAnsiTheme="minorHAnsi" w:cstheme="minorHAnsi"/>
                <w:b/>
              </w:rPr>
              <w:t>2023</w:t>
            </w:r>
            <w:r w:rsidR="00310E2A" w:rsidRPr="002020E8">
              <w:rPr>
                <w:rFonts w:asciiTheme="minorHAnsi" w:hAnsiTheme="minorHAnsi" w:cstheme="minorHAnsi"/>
                <w:b/>
              </w:rPr>
              <w:t>–</w:t>
            </w:r>
            <w:r w:rsidRPr="002020E8">
              <w:rPr>
                <w:rFonts w:asciiTheme="minorHAnsi" w:hAnsiTheme="minorHAnsi" w:cstheme="minorHAnsi"/>
                <w:b/>
              </w:rPr>
              <w:t>24</w:t>
            </w:r>
          </w:p>
        </w:tc>
        <w:tc>
          <w:tcPr>
            <w:tcW w:w="1193"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vAlign w:val="center"/>
          </w:tcPr>
          <w:p w14:paraId="5307B8F5" w14:textId="6F33FC83" w:rsidR="00E62029" w:rsidRPr="002020E8" w:rsidRDefault="00E62029" w:rsidP="00360131">
            <w:pPr>
              <w:jc w:val="center"/>
              <w:rPr>
                <w:rFonts w:asciiTheme="minorHAnsi" w:hAnsiTheme="minorHAnsi" w:cstheme="minorHAnsi"/>
                <w:b/>
              </w:rPr>
            </w:pPr>
            <w:r w:rsidRPr="002020E8">
              <w:rPr>
                <w:rFonts w:asciiTheme="minorHAnsi" w:hAnsiTheme="minorHAnsi" w:cstheme="minorHAnsi"/>
                <w:b/>
              </w:rPr>
              <w:t>2024</w:t>
            </w:r>
            <w:r w:rsidR="00310E2A" w:rsidRPr="002020E8">
              <w:rPr>
                <w:rFonts w:asciiTheme="minorHAnsi" w:hAnsiTheme="minorHAnsi" w:cstheme="minorHAnsi"/>
                <w:b/>
              </w:rPr>
              <w:t>–</w:t>
            </w:r>
            <w:r w:rsidRPr="002020E8">
              <w:rPr>
                <w:rFonts w:asciiTheme="minorHAnsi" w:hAnsiTheme="minorHAnsi" w:cstheme="minorHAnsi"/>
                <w:b/>
              </w:rPr>
              <w:t>25</w:t>
            </w:r>
          </w:p>
        </w:tc>
        <w:tc>
          <w:tcPr>
            <w:tcW w:w="1193"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vAlign w:val="center"/>
          </w:tcPr>
          <w:p w14:paraId="6A4F7B7F" w14:textId="386B0D6D" w:rsidR="00E62029" w:rsidRPr="002020E8" w:rsidRDefault="00E62029" w:rsidP="00360131">
            <w:pPr>
              <w:jc w:val="center"/>
              <w:rPr>
                <w:rFonts w:asciiTheme="minorHAnsi" w:hAnsiTheme="minorHAnsi" w:cstheme="minorHAnsi"/>
                <w:b/>
              </w:rPr>
            </w:pPr>
            <w:r w:rsidRPr="002020E8">
              <w:rPr>
                <w:rFonts w:asciiTheme="minorHAnsi" w:hAnsiTheme="minorHAnsi" w:cstheme="minorHAnsi"/>
                <w:b/>
              </w:rPr>
              <w:t>2025</w:t>
            </w:r>
            <w:r w:rsidR="00310E2A" w:rsidRPr="002020E8">
              <w:rPr>
                <w:rFonts w:asciiTheme="minorHAnsi" w:hAnsiTheme="minorHAnsi" w:cstheme="minorHAnsi"/>
                <w:b/>
              </w:rPr>
              <w:t>–</w:t>
            </w:r>
            <w:r w:rsidRPr="002020E8">
              <w:rPr>
                <w:rFonts w:asciiTheme="minorHAnsi" w:hAnsiTheme="minorHAnsi" w:cstheme="minorHAnsi"/>
                <w:b/>
              </w:rPr>
              <w:t>26</w:t>
            </w:r>
          </w:p>
        </w:tc>
        <w:tc>
          <w:tcPr>
            <w:tcW w:w="1193"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vAlign w:val="center"/>
          </w:tcPr>
          <w:p w14:paraId="0641B7F1" w14:textId="7DEECE5C" w:rsidR="00E62029" w:rsidRPr="002020E8" w:rsidRDefault="00E62029" w:rsidP="00360131">
            <w:pPr>
              <w:jc w:val="center"/>
              <w:rPr>
                <w:rFonts w:asciiTheme="minorHAnsi" w:hAnsiTheme="minorHAnsi" w:cstheme="minorHAnsi"/>
                <w:b/>
              </w:rPr>
            </w:pPr>
            <w:r w:rsidRPr="002020E8">
              <w:rPr>
                <w:rFonts w:asciiTheme="minorHAnsi" w:hAnsiTheme="minorHAnsi" w:cstheme="minorHAnsi"/>
                <w:b/>
              </w:rPr>
              <w:t>2026</w:t>
            </w:r>
            <w:r w:rsidR="00310E2A" w:rsidRPr="002020E8">
              <w:rPr>
                <w:rFonts w:asciiTheme="minorHAnsi" w:hAnsiTheme="minorHAnsi" w:cstheme="minorHAnsi"/>
                <w:b/>
              </w:rPr>
              <w:t>–</w:t>
            </w:r>
            <w:r w:rsidRPr="002020E8">
              <w:rPr>
                <w:rFonts w:asciiTheme="minorHAnsi" w:hAnsiTheme="minorHAnsi" w:cstheme="minorHAnsi"/>
                <w:b/>
              </w:rPr>
              <w:t>27</w:t>
            </w:r>
          </w:p>
        </w:tc>
        <w:tc>
          <w:tcPr>
            <w:tcW w:w="1193"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vAlign w:val="center"/>
          </w:tcPr>
          <w:p w14:paraId="223A553F" w14:textId="4D6F8F5D" w:rsidR="00E62029" w:rsidRPr="002020E8" w:rsidRDefault="00E62029" w:rsidP="00360131">
            <w:pPr>
              <w:jc w:val="center"/>
              <w:rPr>
                <w:rFonts w:asciiTheme="minorHAnsi" w:hAnsiTheme="minorHAnsi" w:cstheme="minorHAnsi"/>
                <w:b/>
              </w:rPr>
            </w:pPr>
            <w:r w:rsidRPr="002020E8">
              <w:rPr>
                <w:rFonts w:asciiTheme="minorHAnsi" w:hAnsiTheme="minorHAnsi" w:cstheme="minorHAnsi"/>
                <w:b/>
              </w:rPr>
              <w:t>2027</w:t>
            </w:r>
            <w:r w:rsidR="00310E2A" w:rsidRPr="002020E8">
              <w:rPr>
                <w:rFonts w:asciiTheme="minorHAnsi" w:hAnsiTheme="minorHAnsi" w:cstheme="minorHAnsi"/>
                <w:b/>
              </w:rPr>
              <w:t>–</w:t>
            </w:r>
            <w:r w:rsidRPr="002020E8">
              <w:rPr>
                <w:rFonts w:asciiTheme="minorHAnsi" w:hAnsiTheme="minorHAnsi" w:cstheme="minorHAnsi"/>
                <w:b/>
              </w:rPr>
              <w:t>28</w:t>
            </w:r>
          </w:p>
        </w:tc>
        <w:tc>
          <w:tcPr>
            <w:tcW w:w="1194" w:type="dxa"/>
            <w:tcBorders>
              <w:top w:val="single" w:sz="4" w:space="0" w:color="002279"/>
              <w:left w:val="single" w:sz="4" w:space="0" w:color="FFFFFF" w:themeColor="background1"/>
              <w:bottom w:val="single" w:sz="2" w:space="0" w:color="002279"/>
              <w:right w:val="single" w:sz="4" w:space="0" w:color="002279"/>
            </w:tcBorders>
            <w:shd w:val="clear" w:color="auto" w:fill="002279"/>
            <w:vAlign w:val="center"/>
          </w:tcPr>
          <w:p w14:paraId="31CC1A90" w14:textId="1E48DAAF" w:rsidR="00CF5F83" w:rsidRPr="002020E8" w:rsidRDefault="00CF5F83" w:rsidP="00360131">
            <w:pPr>
              <w:jc w:val="center"/>
              <w:rPr>
                <w:rFonts w:asciiTheme="minorHAnsi" w:hAnsiTheme="minorHAnsi" w:cstheme="minorHAnsi"/>
                <w:b/>
              </w:rPr>
            </w:pPr>
            <w:r w:rsidRPr="002020E8">
              <w:rPr>
                <w:rFonts w:asciiTheme="minorHAnsi" w:hAnsiTheme="minorHAnsi" w:cstheme="minorHAnsi"/>
                <w:b/>
              </w:rPr>
              <w:t>Total</w:t>
            </w:r>
          </w:p>
        </w:tc>
      </w:tr>
      <w:tr w:rsidR="006E731E" w:rsidRPr="00CE12CF" w14:paraId="20EBE5F6" w14:textId="20E95616" w:rsidTr="003F1732">
        <w:trPr>
          <w:cnfStyle w:val="000000100000" w:firstRow="0" w:lastRow="0" w:firstColumn="0" w:lastColumn="0" w:oddVBand="0" w:evenVBand="0" w:oddHBand="1" w:evenHBand="0" w:firstRowFirstColumn="0" w:firstRowLastColumn="0" w:lastRowFirstColumn="0" w:lastRowLastColumn="0"/>
        </w:trPr>
        <w:tc>
          <w:tcPr>
            <w:tcW w:w="2122" w:type="dxa"/>
            <w:tcBorders>
              <w:top w:val="single" w:sz="2" w:space="0" w:color="002279"/>
              <w:left w:val="single" w:sz="4" w:space="0" w:color="002279"/>
              <w:bottom w:val="single" w:sz="4" w:space="0" w:color="002279"/>
              <w:right w:val="single" w:sz="4" w:space="0" w:color="002279"/>
            </w:tcBorders>
            <w:shd w:val="clear" w:color="auto" w:fill="FFFFFF" w:themeFill="background1"/>
          </w:tcPr>
          <w:p w14:paraId="17C949ED" w14:textId="3C3FF3E8" w:rsidR="00E62029" w:rsidRPr="002020E8" w:rsidRDefault="0061373C" w:rsidP="00461C12">
            <w:pPr>
              <w:rPr>
                <w:rFonts w:cstheme="minorHAnsi"/>
              </w:rPr>
            </w:pPr>
            <w:r w:rsidRPr="002020E8">
              <w:rPr>
                <w:rFonts w:cstheme="minorHAnsi"/>
              </w:rPr>
              <w:t>Total information technology</w:t>
            </w:r>
            <w:r w:rsidR="00E62029" w:rsidRPr="002020E8">
              <w:rPr>
                <w:rFonts w:cstheme="minorHAnsi"/>
              </w:rPr>
              <w:t xml:space="preserve"> costs </w:t>
            </w:r>
            <w:r w:rsidR="009B2CD9">
              <w:rPr>
                <w:rFonts w:cstheme="minorHAnsi"/>
              </w:rPr>
              <w:br/>
            </w:r>
            <w:r w:rsidR="00E62029" w:rsidRPr="002020E8">
              <w:rPr>
                <w:rFonts w:cstheme="minorHAnsi"/>
              </w:rPr>
              <w:t>(all sites)</w:t>
            </w:r>
          </w:p>
        </w:tc>
        <w:tc>
          <w:tcPr>
            <w:tcW w:w="1193" w:type="dxa"/>
            <w:tcBorders>
              <w:top w:val="single" w:sz="2" w:space="0" w:color="002279"/>
              <w:left w:val="single" w:sz="4" w:space="0" w:color="002279"/>
              <w:bottom w:val="single" w:sz="4" w:space="0" w:color="002279"/>
              <w:right w:val="single" w:sz="4" w:space="0" w:color="002279"/>
            </w:tcBorders>
            <w:shd w:val="clear" w:color="auto" w:fill="FFFFFF" w:themeFill="background1"/>
            <w:vAlign w:val="center"/>
          </w:tcPr>
          <w:p w14:paraId="2025B8AE" w14:textId="054507E5" w:rsidR="00E62029" w:rsidRPr="002020E8" w:rsidRDefault="001178F5" w:rsidP="002020E8">
            <w:pPr>
              <w:jc w:val="center"/>
              <w:rPr>
                <w:rFonts w:cstheme="minorHAnsi"/>
              </w:rPr>
            </w:pPr>
            <w:r w:rsidRPr="002020E8">
              <w:rPr>
                <w:rFonts w:cstheme="minorHAnsi"/>
              </w:rPr>
              <w:t>11.</w:t>
            </w:r>
            <w:r w:rsidR="00E73C71" w:rsidRPr="002020E8">
              <w:rPr>
                <w:rFonts w:cstheme="minorHAnsi"/>
              </w:rPr>
              <w:t>38</w:t>
            </w:r>
          </w:p>
        </w:tc>
        <w:tc>
          <w:tcPr>
            <w:tcW w:w="1193" w:type="dxa"/>
            <w:tcBorders>
              <w:top w:val="single" w:sz="2" w:space="0" w:color="002279"/>
              <w:left w:val="single" w:sz="4" w:space="0" w:color="002279"/>
              <w:bottom w:val="single" w:sz="4" w:space="0" w:color="002279"/>
              <w:right w:val="single" w:sz="4" w:space="0" w:color="002279"/>
            </w:tcBorders>
            <w:shd w:val="clear" w:color="auto" w:fill="FFFFFF" w:themeFill="background1"/>
            <w:vAlign w:val="center"/>
          </w:tcPr>
          <w:p w14:paraId="622AABCC" w14:textId="444C9F54" w:rsidR="00E62029" w:rsidRPr="002020E8" w:rsidRDefault="005371A4" w:rsidP="002020E8">
            <w:pPr>
              <w:jc w:val="center"/>
              <w:rPr>
                <w:rFonts w:cstheme="minorHAnsi"/>
              </w:rPr>
            </w:pPr>
            <w:r w:rsidRPr="002020E8">
              <w:rPr>
                <w:rFonts w:cstheme="minorHAnsi"/>
              </w:rPr>
              <w:t>12.</w:t>
            </w:r>
            <w:r w:rsidR="00E73C71" w:rsidRPr="002020E8">
              <w:rPr>
                <w:rFonts w:cstheme="minorHAnsi"/>
              </w:rPr>
              <w:t>43</w:t>
            </w:r>
          </w:p>
        </w:tc>
        <w:tc>
          <w:tcPr>
            <w:tcW w:w="1193" w:type="dxa"/>
            <w:tcBorders>
              <w:top w:val="single" w:sz="2" w:space="0" w:color="002279"/>
              <w:left w:val="single" w:sz="4" w:space="0" w:color="002279"/>
              <w:bottom w:val="single" w:sz="4" w:space="0" w:color="002279"/>
              <w:right w:val="single" w:sz="4" w:space="0" w:color="002279"/>
            </w:tcBorders>
            <w:shd w:val="clear" w:color="auto" w:fill="FFFFFF" w:themeFill="background1"/>
            <w:vAlign w:val="center"/>
          </w:tcPr>
          <w:p w14:paraId="1A0DA0FB" w14:textId="0B140C4A" w:rsidR="00E62029" w:rsidRPr="002020E8" w:rsidRDefault="00E73C71" w:rsidP="002020E8">
            <w:pPr>
              <w:jc w:val="center"/>
              <w:rPr>
                <w:rFonts w:cstheme="minorHAnsi"/>
              </w:rPr>
            </w:pPr>
            <w:r w:rsidRPr="002020E8">
              <w:rPr>
                <w:rFonts w:cstheme="minorHAnsi"/>
              </w:rPr>
              <w:t>13</w:t>
            </w:r>
            <w:r w:rsidR="003D0753" w:rsidRPr="002020E8">
              <w:rPr>
                <w:rFonts w:cstheme="minorHAnsi"/>
              </w:rPr>
              <w:t>.</w:t>
            </w:r>
            <w:r w:rsidRPr="002020E8">
              <w:rPr>
                <w:rFonts w:cstheme="minorHAnsi"/>
              </w:rPr>
              <w:t>27</w:t>
            </w:r>
          </w:p>
        </w:tc>
        <w:tc>
          <w:tcPr>
            <w:tcW w:w="1193" w:type="dxa"/>
            <w:tcBorders>
              <w:top w:val="single" w:sz="2" w:space="0" w:color="002279"/>
              <w:left w:val="single" w:sz="4" w:space="0" w:color="002279"/>
              <w:bottom w:val="single" w:sz="4" w:space="0" w:color="002279"/>
              <w:right w:val="single" w:sz="4" w:space="0" w:color="002279"/>
            </w:tcBorders>
            <w:shd w:val="clear" w:color="auto" w:fill="FFFFFF" w:themeFill="background1"/>
            <w:vAlign w:val="center"/>
          </w:tcPr>
          <w:p w14:paraId="17E577EE" w14:textId="1B281C52" w:rsidR="00E62029" w:rsidRPr="002020E8" w:rsidRDefault="003D0753" w:rsidP="002020E8">
            <w:pPr>
              <w:jc w:val="center"/>
              <w:rPr>
                <w:rFonts w:cstheme="minorHAnsi"/>
              </w:rPr>
            </w:pPr>
            <w:r w:rsidRPr="002020E8">
              <w:rPr>
                <w:rFonts w:cstheme="minorHAnsi"/>
              </w:rPr>
              <w:t>13.</w:t>
            </w:r>
            <w:r w:rsidR="00E73C71" w:rsidRPr="002020E8">
              <w:rPr>
                <w:rFonts w:cstheme="minorHAnsi"/>
              </w:rPr>
              <w:t>27</w:t>
            </w:r>
          </w:p>
        </w:tc>
        <w:tc>
          <w:tcPr>
            <w:tcW w:w="1193" w:type="dxa"/>
            <w:tcBorders>
              <w:top w:val="single" w:sz="2" w:space="0" w:color="002279"/>
              <w:left w:val="single" w:sz="4" w:space="0" w:color="002279"/>
              <w:bottom w:val="single" w:sz="4" w:space="0" w:color="002279"/>
              <w:right w:val="single" w:sz="4" w:space="0" w:color="002279"/>
            </w:tcBorders>
            <w:shd w:val="clear" w:color="auto" w:fill="FFFFFF" w:themeFill="background1"/>
            <w:vAlign w:val="center"/>
          </w:tcPr>
          <w:p w14:paraId="5936A885" w14:textId="6CD33A6C" w:rsidR="00E62029" w:rsidRPr="002020E8" w:rsidRDefault="00102F13" w:rsidP="002020E8">
            <w:pPr>
              <w:jc w:val="center"/>
              <w:rPr>
                <w:rFonts w:cstheme="minorHAnsi"/>
              </w:rPr>
            </w:pPr>
            <w:r w:rsidRPr="002020E8">
              <w:rPr>
                <w:rFonts w:cstheme="minorHAnsi"/>
              </w:rPr>
              <w:t>13.</w:t>
            </w:r>
            <w:r w:rsidR="00E73C71" w:rsidRPr="002020E8">
              <w:rPr>
                <w:rFonts w:cstheme="minorHAnsi"/>
              </w:rPr>
              <w:t>37</w:t>
            </w:r>
          </w:p>
        </w:tc>
        <w:tc>
          <w:tcPr>
            <w:tcW w:w="1194" w:type="dxa"/>
            <w:tcBorders>
              <w:top w:val="single" w:sz="2" w:space="0" w:color="002279"/>
              <w:left w:val="single" w:sz="4" w:space="0" w:color="002279"/>
              <w:bottom w:val="single" w:sz="4" w:space="0" w:color="002279"/>
              <w:right w:val="single" w:sz="4" w:space="0" w:color="002279"/>
            </w:tcBorders>
            <w:shd w:val="clear" w:color="auto" w:fill="FFFFFF" w:themeFill="background1"/>
            <w:vAlign w:val="center"/>
          </w:tcPr>
          <w:p w14:paraId="4FFB8BA9" w14:textId="6A5C7A50" w:rsidR="004213B7" w:rsidRPr="002020E8" w:rsidRDefault="004213B7" w:rsidP="002020E8">
            <w:pPr>
              <w:jc w:val="center"/>
              <w:rPr>
                <w:rFonts w:cstheme="minorHAnsi"/>
                <w:b/>
              </w:rPr>
            </w:pPr>
            <w:r w:rsidRPr="002020E8">
              <w:rPr>
                <w:rFonts w:cstheme="minorHAnsi"/>
                <w:b/>
              </w:rPr>
              <w:t>63.72</w:t>
            </w:r>
          </w:p>
        </w:tc>
      </w:tr>
    </w:tbl>
    <w:p w14:paraId="6FC20F12" w14:textId="000BADF4" w:rsidR="61A129D4" w:rsidRDefault="61A129D4" w:rsidP="00DB4838">
      <w:pPr>
        <w:pStyle w:val="NbrHeading3"/>
      </w:pPr>
      <w:r w:rsidRPr="1A8F2A44">
        <w:t xml:space="preserve">Step </w:t>
      </w:r>
      <w:r w:rsidR="00EA1E0B">
        <w:t>c</w:t>
      </w:r>
      <w:r w:rsidRPr="1A8F2A44">
        <w:t>hanges</w:t>
      </w:r>
    </w:p>
    <w:p w14:paraId="642586DA" w14:textId="658DECA9" w:rsidR="00EF6ACC" w:rsidRDefault="00352865" w:rsidP="00B8271C">
      <w:pPr>
        <w:pStyle w:val="BodyText"/>
        <w:spacing w:line="240" w:lineRule="auto"/>
        <w:rPr>
          <w:rStyle w:val="normaltextrun"/>
          <w:rFonts w:cs="Arial"/>
          <w:shd w:val="clear" w:color="auto" w:fill="FFFFFF"/>
        </w:rPr>
      </w:pPr>
      <w:r>
        <w:rPr>
          <w:rStyle w:val="normaltextrun"/>
          <w:rFonts w:cs="Arial"/>
          <w:shd w:val="clear" w:color="auto" w:fill="FFFFFF"/>
        </w:rPr>
        <w:t>Ope</w:t>
      </w:r>
      <w:r w:rsidR="009101BA">
        <w:rPr>
          <w:rStyle w:val="normaltextrun"/>
          <w:rFonts w:cs="Arial"/>
          <w:shd w:val="clear" w:color="auto" w:fill="FFFFFF"/>
        </w:rPr>
        <w:t>rating</w:t>
      </w:r>
      <w:r w:rsidR="00340205" w:rsidRPr="00BE2AD2">
        <w:rPr>
          <w:rStyle w:val="normaltextrun"/>
          <w:rFonts w:cs="Arial"/>
          <w:shd w:val="clear" w:color="auto" w:fill="FFFFFF"/>
        </w:rPr>
        <w:t xml:space="preserve"> expenditure step changes </w:t>
      </w:r>
      <w:r w:rsidR="00175209">
        <w:rPr>
          <w:rStyle w:val="normaltextrun"/>
          <w:rFonts w:cs="Arial"/>
          <w:shd w:val="clear" w:color="auto" w:fill="FFFFFF"/>
        </w:rPr>
        <w:t>totalling</w:t>
      </w:r>
      <w:r w:rsidR="00340205" w:rsidRPr="00BE2AD2">
        <w:rPr>
          <w:rStyle w:val="normaltextrun"/>
          <w:rFonts w:cs="Arial"/>
          <w:shd w:val="clear" w:color="auto" w:fill="FFFFFF"/>
        </w:rPr>
        <w:t xml:space="preserve"> $9</w:t>
      </w:r>
      <w:r w:rsidR="00E65ABE">
        <w:rPr>
          <w:rStyle w:val="normaltextrun"/>
          <w:rFonts w:cs="Arial"/>
          <w:shd w:val="clear" w:color="auto" w:fill="FFFFFF"/>
        </w:rPr>
        <w:t>6.1</w:t>
      </w:r>
      <w:r w:rsidRPr="00FA41A6">
        <w:rPr>
          <w:rStyle w:val="normaltextrun"/>
          <w:rFonts w:cs="Arial"/>
          <w:shd w:val="clear" w:color="auto" w:fill="FFFFFF"/>
        </w:rPr>
        <w:t> </w:t>
      </w:r>
      <w:r w:rsidR="00340205" w:rsidRPr="00FA41A6">
        <w:rPr>
          <w:rStyle w:val="normaltextrun"/>
          <w:rFonts w:cs="Arial"/>
          <w:shd w:val="clear" w:color="auto" w:fill="FFFFFF"/>
        </w:rPr>
        <w:t>m</w:t>
      </w:r>
      <w:r w:rsidRPr="00FA41A6">
        <w:rPr>
          <w:rStyle w:val="normaltextrun"/>
          <w:rFonts w:cs="Arial"/>
          <w:shd w:val="clear" w:color="auto" w:fill="FFFFFF"/>
        </w:rPr>
        <w:t>illion</w:t>
      </w:r>
      <w:r w:rsidR="00340205" w:rsidRPr="00BE2AD2">
        <w:rPr>
          <w:rStyle w:val="normaltextrun"/>
          <w:rFonts w:cs="Arial"/>
          <w:shd w:val="clear" w:color="auto" w:fill="FFFFFF"/>
        </w:rPr>
        <w:t xml:space="preserve"> over the </w:t>
      </w:r>
      <w:r w:rsidR="009101BA">
        <w:rPr>
          <w:rStyle w:val="normaltextrun"/>
          <w:rFonts w:cs="Arial"/>
          <w:shd w:val="clear" w:color="auto" w:fill="FFFFFF"/>
        </w:rPr>
        <w:t>5-</w:t>
      </w:r>
      <w:r w:rsidR="00340205" w:rsidRPr="00BE2AD2">
        <w:rPr>
          <w:rStyle w:val="normaltextrun"/>
          <w:rFonts w:cs="Arial"/>
          <w:shd w:val="clear" w:color="auto" w:fill="FFFFFF"/>
        </w:rPr>
        <w:t>year regulatory period</w:t>
      </w:r>
      <w:r w:rsidR="002F10CA">
        <w:rPr>
          <w:rStyle w:val="normaltextrun"/>
          <w:rFonts w:cs="Arial"/>
          <w:shd w:val="clear" w:color="auto" w:fill="FFFFFF"/>
        </w:rPr>
        <w:t xml:space="preserve"> are proposed.</w:t>
      </w:r>
      <w:r w:rsidR="001C049D">
        <w:rPr>
          <w:rStyle w:val="normaltextrun"/>
          <w:rFonts w:cs="Arial"/>
          <w:shd w:val="clear" w:color="auto" w:fill="FFFFFF"/>
        </w:rPr>
        <w:t xml:space="preserve"> Appen</w:t>
      </w:r>
      <w:r w:rsidR="00FF75CE">
        <w:rPr>
          <w:rStyle w:val="normaltextrun"/>
          <w:rFonts w:cs="Arial"/>
          <w:shd w:val="clear" w:color="auto" w:fill="FFFFFF"/>
        </w:rPr>
        <w:t>d</w:t>
      </w:r>
      <w:r w:rsidR="001C049D">
        <w:rPr>
          <w:rStyle w:val="normaltextrun"/>
          <w:rFonts w:cs="Arial"/>
          <w:shd w:val="clear" w:color="auto" w:fill="FFFFFF"/>
        </w:rPr>
        <w:t xml:space="preserve">ix 1 </w:t>
      </w:r>
      <w:r w:rsidR="00154AE7">
        <w:rPr>
          <w:rStyle w:val="normaltextrun"/>
          <w:rFonts w:cs="Arial"/>
          <w:shd w:val="clear" w:color="auto" w:fill="FFFFFF"/>
        </w:rPr>
        <w:t>explains the need for</w:t>
      </w:r>
      <w:r w:rsidR="00FF75CE">
        <w:rPr>
          <w:rStyle w:val="normaltextrun"/>
          <w:rFonts w:cs="Arial"/>
          <w:shd w:val="clear" w:color="auto" w:fill="FFFFFF"/>
        </w:rPr>
        <w:t xml:space="preserve"> </w:t>
      </w:r>
      <w:r w:rsidR="00116FEF">
        <w:rPr>
          <w:rStyle w:val="normaltextrun"/>
          <w:rFonts w:cs="Arial"/>
          <w:shd w:val="clear" w:color="auto" w:fill="FFFFFF"/>
        </w:rPr>
        <w:t xml:space="preserve">each of </w:t>
      </w:r>
      <w:r w:rsidR="000D2BF9">
        <w:rPr>
          <w:rStyle w:val="normaltextrun"/>
          <w:rFonts w:cs="Arial"/>
          <w:shd w:val="clear" w:color="auto" w:fill="FFFFFF"/>
        </w:rPr>
        <w:t>the step changes</w:t>
      </w:r>
      <w:r w:rsidR="00FF75CE">
        <w:rPr>
          <w:rStyle w:val="normaltextrun"/>
          <w:rFonts w:cs="Arial"/>
          <w:shd w:val="clear" w:color="auto" w:fill="FFFFFF"/>
        </w:rPr>
        <w:t>.</w:t>
      </w:r>
      <w:r w:rsidR="00A1315F">
        <w:rPr>
          <w:rStyle w:val="normaltextrun"/>
          <w:rFonts w:cs="Arial"/>
          <w:shd w:val="clear" w:color="auto" w:fill="FFFFFF"/>
        </w:rPr>
        <w:t xml:space="preserve"> </w:t>
      </w:r>
    </w:p>
    <w:p w14:paraId="10BCE9B0" w14:textId="77777777" w:rsidR="009B2CD9" w:rsidRDefault="009B2CD9" w:rsidP="00B8271C">
      <w:pPr>
        <w:pStyle w:val="BodyText"/>
        <w:spacing w:line="240" w:lineRule="auto"/>
        <w:rPr>
          <w:rStyle w:val="normaltextrun"/>
          <w:rFonts w:cs="Arial"/>
          <w:shd w:val="clear" w:color="auto" w:fill="FFFFFF"/>
        </w:rPr>
      </w:pPr>
    </w:p>
    <w:p w14:paraId="2C328883" w14:textId="1B8CEE48" w:rsidR="007C641C" w:rsidRPr="00A71AAE" w:rsidRDefault="0094606D" w:rsidP="0094606D">
      <w:pPr>
        <w:pStyle w:val="NormalIndent"/>
        <w:ind w:left="0"/>
        <w:rPr>
          <w:rFonts w:cs="Arial"/>
          <w:i/>
        </w:rPr>
      </w:pPr>
      <w:r w:rsidRPr="00CE6C4E">
        <w:rPr>
          <w:b/>
          <w:i/>
        </w:rPr>
        <w:t xml:space="preserve">Table </w:t>
      </w:r>
      <w:r w:rsidR="002128BB" w:rsidRPr="00CE6C4E">
        <w:rPr>
          <w:b/>
          <w:bCs/>
          <w:i/>
          <w:iCs/>
        </w:rPr>
        <w:fldChar w:fldCharType="begin"/>
      </w:r>
      <w:r w:rsidR="002128BB" w:rsidRPr="00CE6C4E">
        <w:rPr>
          <w:b/>
          <w:bCs/>
          <w:i/>
          <w:iCs/>
        </w:rPr>
        <w:instrText>SEQ Table \* ARABIC</w:instrText>
      </w:r>
      <w:r w:rsidR="002128BB" w:rsidRPr="00CE6C4E">
        <w:rPr>
          <w:b/>
          <w:bCs/>
          <w:i/>
          <w:iCs/>
        </w:rPr>
        <w:fldChar w:fldCharType="separate"/>
      </w:r>
      <w:r w:rsidR="002128BB">
        <w:rPr>
          <w:b/>
          <w:bCs/>
          <w:i/>
          <w:iCs/>
          <w:noProof/>
        </w:rPr>
        <w:t>35</w:t>
      </w:r>
      <w:r w:rsidR="002128BB" w:rsidRPr="00CE6C4E">
        <w:rPr>
          <w:b/>
          <w:bCs/>
          <w:i/>
          <w:iCs/>
        </w:rPr>
        <w:fldChar w:fldCharType="end"/>
      </w:r>
      <w:r w:rsidRPr="007B339F">
        <w:rPr>
          <w:rFonts w:ascii="Arial" w:hAnsi="Arial" w:cs="Arial"/>
          <w:b/>
          <w:i/>
        </w:rPr>
        <w:t>:</w:t>
      </w:r>
      <w:r>
        <w:rPr>
          <w:rFonts w:ascii="Arial" w:hAnsi="Arial" w:cs="Arial"/>
          <w:b/>
          <w:i/>
        </w:rPr>
        <w:t xml:space="preserve"> </w:t>
      </w:r>
      <w:r w:rsidR="007C641C" w:rsidRPr="00A71AAE">
        <w:rPr>
          <w:rFonts w:cs="Arial"/>
          <w:b/>
          <w:i/>
        </w:rPr>
        <w:t xml:space="preserve">Step changes </w:t>
      </w:r>
      <w:r w:rsidR="000F2C66" w:rsidRPr="006D1620">
        <w:rPr>
          <w:rFonts w:cs="Arial"/>
          <w:b/>
          <w:i/>
        </w:rPr>
        <w:t>(</w:t>
      </w:r>
      <w:r w:rsidR="000F2C66">
        <w:rPr>
          <w:rFonts w:cs="Arial"/>
          <w:b/>
          <w:i/>
        </w:rPr>
        <w:t>$</w:t>
      </w:r>
      <w:r w:rsidR="007C641C" w:rsidRPr="00A71AAE">
        <w:rPr>
          <w:rFonts w:cs="Arial"/>
          <w:b/>
          <w:i/>
        </w:rPr>
        <w:t>million 2022</w:t>
      </w:r>
      <w:r w:rsidR="00310E2A">
        <w:rPr>
          <w:rFonts w:cs="Arial"/>
          <w:b/>
          <w:i/>
        </w:rPr>
        <w:t>–</w:t>
      </w:r>
      <w:r w:rsidR="007C641C" w:rsidRPr="00A71AAE">
        <w:rPr>
          <w:rFonts w:cs="Arial"/>
          <w:b/>
          <w:i/>
        </w:rPr>
        <w:t>23)</w:t>
      </w:r>
    </w:p>
    <w:tbl>
      <w:tblPr>
        <w:tblStyle w:val="MJTableStyle1default"/>
        <w:tblW w:w="9214" w:type="dxa"/>
        <w:tblInd w:w="0" w:type="dxa"/>
        <w:tblLayout w:type="fixed"/>
        <w:tblLook w:val="06A0" w:firstRow="1" w:lastRow="0" w:firstColumn="1" w:lastColumn="0" w:noHBand="1" w:noVBand="1"/>
      </w:tblPr>
      <w:tblGrid>
        <w:gridCol w:w="2552"/>
        <w:gridCol w:w="1332"/>
        <w:gridCol w:w="1332"/>
        <w:gridCol w:w="1333"/>
        <w:gridCol w:w="1332"/>
        <w:gridCol w:w="1333"/>
      </w:tblGrid>
      <w:tr w:rsidR="009B2CD9" w:rsidRPr="00C876C6" w14:paraId="4F191B77" w14:textId="77777777" w:rsidTr="003F1732">
        <w:trPr>
          <w:cnfStyle w:val="100000000000" w:firstRow="1" w:lastRow="0" w:firstColumn="0" w:lastColumn="0" w:oddVBand="0" w:evenVBand="0" w:oddHBand="0" w:evenHBand="0" w:firstRowFirstColumn="0" w:firstRowLastColumn="0" w:lastRowFirstColumn="0" w:lastRowLastColumn="0"/>
          <w:trHeight w:val="583"/>
          <w:tblHeader/>
        </w:trPr>
        <w:tc>
          <w:tcPr>
            <w:tcW w:w="2552" w:type="dxa"/>
            <w:tcBorders>
              <w:top w:val="single" w:sz="4" w:space="0" w:color="002279"/>
              <w:left w:val="single" w:sz="4" w:space="0" w:color="002279"/>
              <w:bottom w:val="single" w:sz="2" w:space="0" w:color="002279"/>
              <w:right w:val="single" w:sz="4" w:space="0" w:color="FFFFFF" w:themeColor="background1"/>
            </w:tcBorders>
            <w:shd w:val="clear" w:color="auto" w:fill="002279"/>
            <w:noWrap/>
            <w:vAlign w:val="center"/>
          </w:tcPr>
          <w:p w14:paraId="70283AC6" w14:textId="77777777" w:rsidR="00EF6ACC" w:rsidRPr="00360131" w:rsidRDefault="00EF6ACC" w:rsidP="00E4761C">
            <w:pPr>
              <w:spacing w:before="60" w:after="60"/>
              <w:rPr>
                <w:rFonts w:ascii="Arial" w:hAnsi="Arial" w:cs="Arial"/>
                <w:b/>
              </w:rPr>
            </w:pPr>
          </w:p>
        </w:tc>
        <w:tc>
          <w:tcPr>
            <w:tcW w:w="1332"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vAlign w:val="center"/>
          </w:tcPr>
          <w:p w14:paraId="5263B9A3" w14:textId="543F342B" w:rsidR="00EF6ACC" w:rsidRPr="00360131" w:rsidRDefault="00EF6ACC" w:rsidP="00360131">
            <w:pPr>
              <w:spacing w:before="60" w:after="60"/>
              <w:jc w:val="center"/>
              <w:rPr>
                <w:rFonts w:ascii="Arial" w:hAnsi="Arial" w:cs="Arial"/>
                <w:b/>
              </w:rPr>
            </w:pPr>
            <w:r w:rsidRPr="00360131">
              <w:rPr>
                <w:rFonts w:ascii="Arial" w:hAnsi="Arial" w:cs="Arial"/>
                <w:b/>
              </w:rPr>
              <w:t>2023</w:t>
            </w:r>
            <w:r w:rsidR="00310E2A" w:rsidRPr="00360131">
              <w:rPr>
                <w:rFonts w:ascii="Arial" w:hAnsi="Arial" w:cs="Arial"/>
                <w:b/>
              </w:rPr>
              <w:t>–</w:t>
            </w:r>
            <w:r w:rsidRPr="00360131">
              <w:rPr>
                <w:rFonts w:ascii="Arial" w:hAnsi="Arial" w:cs="Arial"/>
                <w:b/>
              </w:rPr>
              <w:t>24</w:t>
            </w:r>
          </w:p>
        </w:tc>
        <w:tc>
          <w:tcPr>
            <w:tcW w:w="1332"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vAlign w:val="center"/>
          </w:tcPr>
          <w:p w14:paraId="56D577DB" w14:textId="17C1433E" w:rsidR="00EF6ACC" w:rsidRPr="00360131" w:rsidRDefault="00EF6ACC" w:rsidP="00360131">
            <w:pPr>
              <w:spacing w:before="60" w:after="60"/>
              <w:jc w:val="center"/>
              <w:rPr>
                <w:rFonts w:ascii="Arial" w:hAnsi="Arial" w:cs="Arial"/>
                <w:b/>
              </w:rPr>
            </w:pPr>
            <w:r w:rsidRPr="00360131">
              <w:rPr>
                <w:rFonts w:ascii="Arial" w:hAnsi="Arial" w:cs="Arial"/>
                <w:b/>
              </w:rPr>
              <w:t>2024</w:t>
            </w:r>
            <w:r w:rsidR="00310E2A" w:rsidRPr="00360131">
              <w:rPr>
                <w:rFonts w:ascii="Arial" w:hAnsi="Arial" w:cs="Arial"/>
                <w:b/>
              </w:rPr>
              <w:t>–</w:t>
            </w:r>
            <w:r w:rsidRPr="00360131">
              <w:rPr>
                <w:rFonts w:ascii="Arial" w:hAnsi="Arial" w:cs="Arial"/>
                <w:b/>
              </w:rPr>
              <w:t>25</w:t>
            </w:r>
          </w:p>
        </w:tc>
        <w:tc>
          <w:tcPr>
            <w:tcW w:w="1333"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vAlign w:val="center"/>
          </w:tcPr>
          <w:p w14:paraId="5663FE00" w14:textId="6C3D7165" w:rsidR="00EF6ACC" w:rsidRPr="00360131" w:rsidRDefault="00EF6ACC" w:rsidP="00360131">
            <w:pPr>
              <w:spacing w:before="60" w:after="60"/>
              <w:jc w:val="center"/>
              <w:rPr>
                <w:rFonts w:ascii="Arial" w:hAnsi="Arial" w:cs="Arial"/>
                <w:b/>
              </w:rPr>
            </w:pPr>
            <w:r w:rsidRPr="00360131">
              <w:rPr>
                <w:rFonts w:ascii="Arial" w:hAnsi="Arial" w:cs="Arial"/>
                <w:b/>
              </w:rPr>
              <w:t>2025</w:t>
            </w:r>
            <w:r w:rsidR="00310E2A" w:rsidRPr="00360131">
              <w:rPr>
                <w:rFonts w:ascii="Arial" w:hAnsi="Arial" w:cs="Arial"/>
                <w:b/>
              </w:rPr>
              <w:t>–</w:t>
            </w:r>
            <w:r w:rsidRPr="00360131">
              <w:rPr>
                <w:rFonts w:ascii="Arial" w:hAnsi="Arial" w:cs="Arial"/>
                <w:b/>
              </w:rPr>
              <w:t>26</w:t>
            </w:r>
          </w:p>
        </w:tc>
        <w:tc>
          <w:tcPr>
            <w:tcW w:w="1332"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vAlign w:val="center"/>
          </w:tcPr>
          <w:p w14:paraId="55141FFD" w14:textId="0C3421A9" w:rsidR="00EF6ACC" w:rsidRPr="00360131" w:rsidRDefault="00EF6ACC" w:rsidP="00360131">
            <w:pPr>
              <w:spacing w:before="60" w:after="60"/>
              <w:jc w:val="center"/>
              <w:rPr>
                <w:rFonts w:ascii="Arial" w:hAnsi="Arial" w:cs="Arial"/>
                <w:b/>
              </w:rPr>
            </w:pPr>
            <w:r w:rsidRPr="00360131">
              <w:rPr>
                <w:rFonts w:ascii="Arial" w:hAnsi="Arial" w:cs="Arial"/>
                <w:b/>
              </w:rPr>
              <w:t>2026</w:t>
            </w:r>
            <w:r w:rsidR="00310E2A" w:rsidRPr="00360131">
              <w:rPr>
                <w:rFonts w:ascii="Arial" w:hAnsi="Arial" w:cs="Arial"/>
                <w:b/>
              </w:rPr>
              <w:t>–</w:t>
            </w:r>
            <w:r w:rsidRPr="00360131">
              <w:rPr>
                <w:rFonts w:ascii="Arial" w:hAnsi="Arial" w:cs="Arial"/>
                <w:b/>
              </w:rPr>
              <w:t>27</w:t>
            </w:r>
          </w:p>
        </w:tc>
        <w:tc>
          <w:tcPr>
            <w:tcW w:w="1333" w:type="dxa"/>
            <w:tcBorders>
              <w:top w:val="single" w:sz="4" w:space="0" w:color="002279"/>
              <w:left w:val="single" w:sz="4" w:space="0" w:color="FFFFFF" w:themeColor="background1"/>
              <w:bottom w:val="single" w:sz="2" w:space="0" w:color="002279"/>
              <w:right w:val="single" w:sz="4" w:space="0" w:color="002279"/>
            </w:tcBorders>
            <w:shd w:val="clear" w:color="auto" w:fill="002279"/>
            <w:vAlign w:val="center"/>
          </w:tcPr>
          <w:p w14:paraId="001C0C86" w14:textId="46FC0E83" w:rsidR="00EF6ACC" w:rsidRPr="00360131" w:rsidRDefault="00EF6ACC" w:rsidP="00360131">
            <w:pPr>
              <w:spacing w:before="60" w:after="60"/>
              <w:jc w:val="center"/>
              <w:rPr>
                <w:rFonts w:ascii="Arial" w:hAnsi="Arial" w:cs="Arial"/>
                <w:b/>
              </w:rPr>
            </w:pPr>
            <w:r w:rsidRPr="00360131">
              <w:rPr>
                <w:rFonts w:ascii="Arial" w:hAnsi="Arial" w:cs="Arial"/>
                <w:b/>
              </w:rPr>
              <w:t>2027</w:t>
            </w:r>
            <w:r w:rsidR="00310E2A" w:rsidRPr="00360131">
              <w:rPr>
                <w:rFonts w:ascii="Arial" w:hAnsi="Arial" w:cs="Arial"/>
                <w:b/>
              </w:rPr>
              <w:t>–</w:t>
            </w:r>
            <w:r w:rsidRPr="00360131">
              <w:rPr>
                <w:rFonts w:ascii="Arial" w:hAnsi="Arial" w:cs="Arial"/>
                <w:b/>
              </w:rPr>
              <w:t>28</w:t>
            </w:r>
          </w:p>
        </w:tc>
      </w:tr>
      <w:tr w:rsidR="009B2CD9" w:rsidRPr="000E24E9" w14:paraId="7DEF0E04" w14:textId="77777777" w:rsidTr="003F1732">
        <w:trPr>
          <w:trHeight w:val="487"/>
        </w:trPr>
        <w:tc>
          <w:tcPr>
            <w:tcW w:w="2552" w:type="dxa"/>
            <w:tcBorders>
              <w:top w:val="single" w:sz="2" w:space="0" w:color="002279"/>
              <w:left w:val="single" w:sz="4" w:space="0" w:color="002279"/>
              <w:bottom w:val="single" w:sz="2" w:space="0" w:color="002279"/>
              <w:right w:val="single" w:sz="4" w:space="0" w:color="002279"/>
            </w:tcBorders>
            <w:shd w:val="clear" w:color="auto" w:fill="D4D6DF"/>
            <w:noWrap/>
          </w:tcPr>
          <w:p w14:paraId="12BF1E90" w14:textId="77777777" w:rsidR="00EF6ACC" w:rsidRPr="00360131" w:rsidRDefault="00EF6ACC" w:rsidP="00F50CE0">
            <w:pPr>
              <w:spacing w:line="259" w:lineRule="auto"/>
              <w:rPr>
                <w:rFonts w:ascii="Arial" w:hAnsi="Arial" w:cs="Arial"/>
                <w:b/>
                <w:szCs w:val="20"/>
              </w:rPr>
            </w:pPr>
            <w:r w:rsidRPr="0097263A">
              <w:rPr>
                <w:rFonts w:cs="Arial"/>
                <w:b/>
                <w:szCs w:val="20"/>
              </w:rPr>
              <w:t>Step changes</w:t>
            </w:r>
          </w:p>
        </w:tc>
        <w:tc>
          <w:tcPr>
            <w:tcW w:w="1332"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49043030" w14:textId="77777777" w:rsidR="00EF6ACC" w:rsidRPr="00360131" w:rsidRDefault="00EF6ACC" w:rsidP="009B2CD9">
            <w:pPr>
              <w:spacing w:line="259" w:lineRule="auto"/>
              <w:jc w:val="center"/>
              <w:rPr>
                <w:rFonts w:ascii="Arial" w:hAnsi="Arial" w:cs="Arial"/>
                <w:szCs w:val="20"/>
              </w:rPr>
            </w:pPr>
          </w:p>
        </w:tc>
        <w:tc>
          <w:tcPr>
            <w:tcW w:w="1332"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40B96BEB" w14:textId="77777777" w:rsidR="00EF6ACC" w:rsidRPr="00360131" w:rsidRDefault="00EF6ACC" w:rsidP="009B2CD9">
            <w:pPr>
              <w:spacing w:line="259" w:lineRule="auto"/>
              <w:jc w:val="center"/>
              <w:rPr>
                <w:rFonts w:ascii="Arial" w:hAnsi="Arial" w:cs="Arial"/>
                <w:szCs w:val="20"/>
              </w:rPr>
            </w:pPr>
          </w:p>
        </w:tc>
        <w:tc>
          <w:tcPr>
            <w:tcW w:w="1333"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246DDEFB" w14:textId="77777777" w:rsidR="00EF6ACC" w:rsidRPr="00360131" w:rsidRDefault="00EF6ACC" w:rsidP="009B2CD9">
            <w:pPr>
              <w:spacing w:line="259" w:lineRule="auto"/>
              <w:jc w:val="center"/>
              <w:rPr>
                <w:rFonts w:ascii="Arial" w:hAnsi="Arial" w:cs="Arial"/>
                <w:szCs w:val="20"/>
              </w:rPr>
            </w:pPr>
          </w:p>
        </w:tc>
        <w:tc>
          <w:tcPr>
            <w:tcW w:w="1332"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260FF709" w14:textId="77777777" w:rsidR="00EF6ACC" w:rsidRPr="00360131" w:rsidRDefault="00EF6ACC" w:rsidP="009B2CD9">
            <w:pPr>
              <w:spacing w:line="259" w:lineRule="auto"/>
              <w:jc w:val="center"/>
              <w:rPr>
                <w:rFonts w:ascii="Arial" w:hAnsi="Arial" w:cs="Arial"/>
                <w:szCs w:val="20"/>
              </w:rPr>
            </w:pPr>
          </w:p>
        </w:tc>
        <w:tc>
          <w:tcPr>
            <w:tcW w:w="1333"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4D84E26B" w14:textId="77777777" w:rsidR="00EF6ACC" w:rsidRPr="00360131" w:rsidRDefault="00EF6ACC" w:rsidP="009B2CD9">
            <w:pPr>
              <w:spacing w:line="259" w:lineRule="auto"/>
              <w:jc w:val="center"/>
              <w:rPr>
                <w:rFonts w:ascii="Arial" w:hAnsi="Arial" w:cs="Arial"/>
                <w:szCs w:val="20"/>
              </w:rPr>
            </w:pPr>
          </w:p>
        </w:tc>
      </w:tr>
      <w:tr w:rsidR="00EF6ACC" w:rsidRPr="000E24E9" w14:paraId="7312757B" w14:textId="77777777" w:rsidTr="003F1732">
        <w:trPr>
          <w:trHeight w:val="20"/>
        </w:trPr>
        <w:tc>
          <w:tcPr>
            <w:tcW w:w="2552" w:type="dxa"/>
            <w:tcBorders>
              <w:top w:val="single" w:sz="2" w:space="0" w:color="002279"/>
              <w:left w:val="single" w:sz="4" w:space="0" w:color="002279"/>
              <w:bottom w:val="single" w:sz="2" w:space="0" w:color="002279"/>
              <w:right w:val="single" w:sz="4" w:space="0" w:color="002279"/>
            </w:tcBorders>
            <w:noWrap/>
            <w:vAlign w:val="center"/>
          </w:tcPr>
          <w:p w14:paraId="56F9A5EA" w14:textId="3AB35468" w:rsidR="00EF6ACC" w:rsidRPr="00360131" w:rsidRDefault="00EF6ACC" w:rsidP="00F50CE0">
            <w:pPr>
              <w:spacing w:line="259" w:lineRule="auto"/>
              <w:rPr>
                <w:rFonts w:ascii="Arial" w:hAnsi="Arial" w:cs="Arial"/>
                <w:szCs w:val="20"/>
              </w:rPr>
            </w:pPr>
            <w:r w:rsidRPr="0097263A">
              <w:rPr>
                <w:rFonts w:cs="Arial"/>
                <w:szCs w:val="20"/>
              </w:rPr>
              <w:t xml:space="preserve">Aquarevo </w:t>
            </w:r>
            <w:r w:rsidR="004F4DDE">
              <w:rPr>
                <w:rFonts w:cs="Arial"/>
                <w:szCs w:val="20"/>
              </w:rPr>
              <w:t>W</w:t>
            </w:r>
            <w:r w:rsidRPr="0097263A">
              <w:rPr>
                <w:rFonts w:cs="Arial"/>
                <w:szCs w:val="20"/>
              </w:rPr>
              <w:t xml:space="preserve">ater </w:t>
            </w:r>
            <w:r w:rsidR="004F4DDE">
              <w:rPr>
                <w:rFonts w:cs="Arial"/>
                <w:szCs w:val="20"/>
              </w:rPr>
              <w:t>R</w:t>
            </w:r>
            <w:r w:rsidRPr="0097263A">
              <w:rPr>
                <w:rFonts w:cs="Arial"/>
                <w:szCs w:val="20"/>
              </w:rPr>
              <w:t xml:space="preserve">ecycling </w:t>
            </w:r>
            <w:r w:rsidR="004F4DDE">
              <w:rPr>
                <w:rFonts w:cs="Arial"/>
                <w:szCs w:val="20"/>
              </w:rPr>
              <w:t>P</w:t>
            </w:r>
            <w:r w:rsidRPr="0097263A">
              <w:rPr>
                <w:rFonts w:cs="Arial"/>
                <w:szCs w:val="20"/>
              </w:rPr>
              <w:t>lant operating costs</w:t>
            </w:r>
          </w:p>
        </w:tc>
        <w:tc>
          <w:tcPr>
            <w:tcW w:w="1332" w:type="dxa"/>
            <w:tcBorders>
              <w:top w:val="single" w:sz="2" w:space="0" w:color="002279"/>
              <w:left w:val="single" w:sz="4" w:space="0" w:color="002279"/>
              <w:bottom w:val="single" w:sz="2" w:space="0" w:color="002279"/>
              <w:right w:val="single" w:sz="4" w:space="0" w:color="002279"/>
            </w:tcBorders>
            <w:vAlign w:val="center"/>
          </w:tcPr>
          <w:p w14:paraId="425EE297" w14:textId="595D65FF" w:rsidR="00EF6ACC" w:rsidRPr="00360131" w:rsidRDefault="00EF6ACC" w:rsidP="00386FB1">
            <w:pPr>
              <w:spacing w:line="259" w:lineRule="auto"/>
              <w:jc w:val="center"/>
              <w:rPr>
                <w:rFonts w:ascii="Arial" w:hAnsi="Arial" w:cs="Arial"/>
                <w:szCs w:val="20"/>
              </w:rPr>
            </w:pPr>
            <w:r>
              <w:rPr>
                <w:rStyle w:val="normaltextrun"/>
                <w:rFonts w:ascii="Arial" w:hAnsi="Arial" w:cs="Arial"/>
                <w:szCs w:val="20"/>
              </w:rPr>
              <w:t>0.</w:t>
            </w:r>
            <w:r w:rsidR="00FB3C83">
              <w:rPr>
                <w:rStyle w:val="normaltextrun"/>
                <w:rFonts w:ascii="Arial" w:hAnsi="Arial" w:cs="Arial"/>
                <w:szCs w:val="20"/>
              </w:rPr>
              <w:t>13</w:t>
            </w:r>
          </w:p>
        </w:tc>
        <w:tc>
          <w:tcPr>
            <w:tcW w:w="1332" w:type="dxa"/>
            <w:tcBorders>
              <w:top w:val="single" w:sz="2" w:space="0" w:color="002279"/>
              <w:left w:val="single" w:sz="4" w:space="0" w:color="002279"/>
              <w:bottom w:val="single" w:sz="2" w:space="0" w:color="002279"/>
              <w:right w:val="single" w:sz="4" w:space="0" w:color="002279"/>
            </w:tcBorders>
            <w:vAlign w:val="center"/>
          </w:tcPr>
          <w:p w14:paraId="4D2799DD" w14:textId="1EF637B5" w:rsidR="00EF6ACC" w:rsidRPr="00360131" w:rsidRDefault="00EF6ACC" w:rsidP="009B2CD9">
            <w:pPr>
              <w:spacing w:line="259" w:lineRule="auto"/>
              <w:jc w:val="center"/>
              <w:rPr>
                <w:rFonts w:ascii="Arial" w:hAnsi="Arial" w:cs="Arial"/>
                <w:szCs w:val="20"/>
              </w:rPr>
            </w:pPr>
            <w:r>
              <w:rPr>
                <w:rStyle w:val="normaltextrun"/>
                <w:rFonts w:ascii="Arial" w:hAnsi="Arial" w:cs="Arial"/>
                <w:szCs w:val="20"/>
              </w:rPr>
              <w:t>0.</w:t>
            </w:r>
            <w:r w:rsidR="00FB3C83">
              <w:rPr>
                <w:rStyle w:val="normaltextrun"/>
                <w:rFonts w:ascii="Arial" w:hAnsi="Arial" w:cs="Arial"/>
                <w:szCs w:val="20"/>
              </w:rPr>
              <w:t>23</w:t>
            </w:r>
          </w:p>
        </w:tc>
        <w:tc>
          <w:tcPr>
            <w:tcW w:w="1333" w:type="dxa"/>
            <w:tcBorders>
              <w:top w:val="single" w:sz="2" w:space="0" w:color="002279"/>
              <w:left w:val="single" w:sz="4" w:space="0" w:color="002279"/>
              <w:bottom w:val="single" w:sz="2" w:space="0" w:color="002279"/>
              <w:right w:val="single" w:sz="4" w:space="0" w:color="002279"/>
            </w:tcBorders>
            <w:vAlign w:val="center"/>
          </w:tcPr>
          <w:p w14:paraId="0346996B" w14:textId="126855C8" w:rsidR="00EF6ACC" w:rsidRPr="00360131" w:rsidRDefault="00EF6ACC" w:rsidP="009B2CD9">
            <w:pPr>
              <w:spacing w:line="259" w:lineRule="auto"/>
              <w:jc w:val="center"/>
              <w:rPr>
                <w:rFonts w:ascii="Arial" w:hAnsi="Arial" w:cs="Arial"/>
                <w:szCs w:val="20"/>
              </w:rPr>
            </w:pPr>
            <w:r>
              <w:rPr>
                <w:rStyle w:val="normaltextrun"/>
                <w:rFonts w:ascii="Arial" w:hAnsi="Arial" w:cs="Arial"/>
                <w:szCs w:val="20"/>
              </w:rPr>
              <w:t>0.</w:t>
            </w:r>
            <w:r w:rsidR="00FB3C83">
              <w:rPr>
                <w:rStyle w:val="normaltextrun"/>
                <w:rFonts w:ascii="Arial" w:hAnsi="Arial" w:cs="Arial"/>
                <w:szCs w:val="20"/>
              </w:rPr>
              <w:t>23</w:t>
            </w:r>
          </w:p>
        </w:tc>
        <w:tc>
          <w:tcPr>
            <w:tcW w:w="1332" w:type="dxa"/>
            <w:tcBorders>
              <w:top w:val="single" w:sz="2" w:space="0" w:color="002279"/>
              <w:left w:val="single" w:sz="4" w:space="0" w:color="002279"/>
              <w:bottom w:val="single" w:sz="2" w:space="0" w:color="002279"/>
              <w:right w:val="single" w:sz="4" w:space="0" w:color="002279"/>
            </w:tcBorders>
            <w:vAlign w:val="center"/>
          </w:tcPr>
          <w:p w14:paraId="46784116" w14:textId="174EFB70" w:rsidR="00EF6ACC" w:rsidRPr="00360131" w:rsidRDefault="00EF6ACC" w:rsidP="009B2CD9">
            <w:pPr>
              <w:spacing w:line="259" w:lineRule="auto"/>
              <w:jc w:val="center"/>
              <w:rPr>
                <w:rFonts w:ascii="Arial" w:hAnsi="Arial" w:cs="Arial"/>
                <w:szCs w:val="20"/>
              </w:rPr>
            </w:pPr>
            <w:r>
              <w:rPr>
                <w:rStyle w:val="normaltextrun"/>
                <w:rFonts w:ascii="Arial" w:hAnsi="Arial" w:cs="Arial"/>
                <w:szCs w:val="20"/>
              </w:rPr>
              <w:t>0.</w:t>
            </w:r>
            <w:r w:rsidR="00FB3C83">
              <w:rPr>
                <w:rStyle w:val="normaltextrun"/>
                <w:rFonts w:ascii="Arial" w:hAnsi="Arial" w:cs="Arial"/>
                <w:szCs w:val="20"/>
              </w:rPr>
              <w:t>23</w:t>
            </w:r>
          </w:p>
        </w:tc>
        <w:tc>
          <w:tcPr>
            <w:tcW w:w="1333" w:type="dxa"/>
            <w:tcBorders>
              <w:top w:val="single" w:sz="2" w:space="0" w:color="002279"/>
              <w:left w:val="single" w:sz="4" w:space="0" w:color="002279"/>
              <w:bottom w:val="single" w:sz="2" w:space="0" w:color="002279"/>
              <w:right w:val="single" w:sz="4" w:space="0" w:color="002279"/>
            </w:tcBorders>
            <w:vAlign w:val="center"/>
          </w:tcPr>
          <w:p w14:paraId="0E65D113" w14:textId="07BF3713" w:rsidR="00EF6ACC" w:rsidRPr="00360131" w:rsidRDefault="00EF6ACC" w:rsidP="009B2CD9">
            <w:pPr>
              <w:spacing w:line="259" w:lineRule="auto"/>
              <w:jc w:val="center"/>
              <w:rPr>
                <w:rFonts w:ascii="Arial" w:hAnsi="Arial" w:cs="Arial"/>
                <w:szCs w:val="20"/>
              </w:rPr>
            </w:pPr>
            <w:r>
              <w:rPr>
                <w:rStyle w:val="normaltextrun"/>
                <w:rFonts w:ascii="Arial" w:hAnsi="Arial" w:cs="Arial"/>
                <w:szCs w:val="20"/>
              </w:rPr>
              <w:t>0.</w:t>
            </w:r>
            <w:r w:rsidR="00FB3C83">
              <w:rPr>
                <w:rStyle w:val="normaltextrun"/>
                <w:rFonts w:ascii="Arial" w:hAnsi="Arial" w:cs="Arial"/>
                <w:szCs w:val="20"/>
              </w:rPr>
              <w:t>23</w:t>
            </w:r>
          </w:p>
        </w:tc>
      </w:tr>
      <w:tr w:rsidR="009B2CD9" w:rsidRPr="000E24E9" w14:paraId="774FC0EF" w14:textId="77777777" w:rsidTr="003F1732">
        <w:trPr>
          <w:trHeight w:val="20"/>
        </w:trPr>
        <w:tc>
          <w:tcPr>
            <w:tcW w:w="2552" w:type="dxa"/>
            <w:tcBorders>
              <w:top w:val="single" w:sz="2" w:space="0" w:color="002279"/>
              <w:left w:val="single" w:sz="4" w:space="0" w:color="002279"/>
              <w:bottom w:val="single" w:sz="2" w:space="0" w:color="002279"/>
              <w:right w:val="single" w:sz="4" w:space="0" w:color="002279"/>
            </w:tcBorders>
            <w:shd w:val="clear" w:color="auto" w:fill="D4D6DF"/>
            <w:noWrap/>
            <w:vAlign w:val="center"/>
          </w:tcPr>
          <w:p w14:paraId="2631D6A3" w14:textId="4EC58152" w:rsidR="00EF6ACC" w:rsidRPr="00360131" w:rsidRDefault="00EF6ACC" w:rsidP="00F50CE0">
            <w:pPr>
              <w:spacing w:line="259" w:lineRule="auto"/>
              <w:rPr>
                <w:rFonts w:ascii="Arial" w:hAnsi="Arial" w:cs="Arial"/>
                <w:szCs w:val="20"/>
              </w:rPr>
            </w:pPr>
            <w:r w:rsidRPr="0097263A">
              <w:rPr>
                <w:rFonts w:cs="Arial"/>
                <w:szCs w:val="20"/>
              </w:rPr>
              <w:lastRenderedPageBreak/>
              <w:t>Superannuation</w:t>
            </w:r>
            <w:r w:rsidR="00E27178" w:rsidRPr="0097263A">
              <w:rPr>
                <w:rFonts w:cs="Arial"/>
                <w:szCs w:val="20"/>
              </w:rPr>
              <w:t>/</w:t>
            </w:r>
            <w:r w:rsidR="009101BA" w:rsidRPr="0097263A">
              <w:rPr>
                <w:rFonts w:cs="Arial"/>
                <w:szCs w:val="20"/>
              </w:rPr>
              <w:t>t</w:t>
            </w:r>
            <w:r w:rsidRPr="0097263A">
              <w:rPr>
                <w:rFonts w:cs="Arial"/>
                <w:szCs w:val="20"/>
              </w:rPr>
              <w:t>axation</w:t>
            </w:r>
          </w:p>
        </w:tc>
        <w:tc>
          <w:tcPr>
            <w:tcW w:w="1332"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6103F4DE" w14:textId="6F1EC020" w:rsidR="00EF6ACC" w:rsidRPr="00360131" w:rsidRDefault="00EF6ACC" w:rsidP="00386FB1">
            <w:pPr>
              <w:spacing w:line="259" w:lineRule="auto"/>
              <w:jc w:val="center"/>
              <w:rPr>
                <w:rFonts w:ascii="Arial" w:hAnsi="Arial" w:cs="Arial"/>
                <w:szCs w:val="20"/>
              </w:rPr>
            </w:pPr>
            <w:r>
              <w:rPr>
                <w:rStyle w:val="normaltextrun"/>
                <w:rFonts w:ascii="Arial" w:hAnsi="Arial" w:cs="Arial"/>
                <w:szCs w:val="20"/>
              </w:rPr>
              <w:t>1.</w:t>
            </w:r>
            <w:r w:rsidR="00FB3C83">
              <w:rPr>
                <w:rStyle w:val="normaltextrun"/>
                <w:rFonts w:ascii="Arial" w:hAnsi="Arial" w:cs="Arial"/>
                <w:szCs w:val="20"/>
              </w:rPr>
              <w:t>06</w:t>
            </w:r>
          </w:p>
        </w:tc>
        <w:tc>
          <w:tcPr>
            <w:tcW w:w="1332"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6FD5D7B1" w14:textId="66C3E4DB" w:rsidR="00EF6ACC" w:rsidRPr="00360131" w:rsidRDefault="00EF6ACC" w:rsidP="009B2CD9">
            <w:pPr>
              <w:spacing w:line="259" w:lineRule="auto"/>
              <w:jc w:val="center"/>
              <w:rPr>
                <w:rFonts w:ascii="Arial" w:hAnsi="Arial" w:cs="Arial"/>
                <w:szCs w:val="20"/>
              </w:rPr>
            </w:pPr>
            <w:r>
              <w:rPr>
                <w:rStyle w:val="normaltextrun"/>
                <w:rFonts w:ascii="Arial" w:hAnsi="Arial" w:cs="Arial"/>
                <w:szCs w:val="20"/>
              </w:rPr>
              <w:t>1.</w:t>
            </w:r>
            <w:r w:rsidR="00FB3C83">
              <w:rPr>
                <w:rStyle w:val="normaltextrun"/>
                <w:rFonts w:ascii="Arial" w:hAnsi="Arial" w:cs="Arial"/>
                <w:szCs w:val="20"/>
              </w:rPr>
              <w:t>44</w:t>
            </w:r>
          </w:p>
        </w:tc>
        <w:tc>
          <w:tcPr>
            <w:tcW w:w="1333"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79C0827B" w14:textId="47AFA183" w:rsidR="00EF6ACC" w:rsidRPr="00360131" w:rsidRDefault="00EF6ACC" w:rsidP="009B2CD9">
            <w:pPr>
              <w:spacing w:line="259" w:lineRule="auto"/>
              <w:jc w:val="center"/>
              <w:rPr>
                <w:rFonts w:ascii="Arial" w:hAnsi="Arial" w:cs="Arial"/>
                <w:szCs w:val="20"/>
              </w:rPr>
            </w:pPr>
            <w:r>
              <w:rPr>
                <w:rStyle w:val="normaltextrun"/>
                <w:rFonts w:ascii="Arial" w:hAnsi="Arial" w:cs="Arial"/>
                <w:szCs w:val="20"/>
              </w:rPr>
              <w:t>1.</w:t>
            </w:r>
            <w:r w:rsidR="00FB3C83">
              <w:rPr>
                <w:rStyle w:val="normaltextrun"/>
                <w:rFonts w:ascii="Arial" w:hAnsi="Arial" w:cs="Arial"/>
                <w:szCs w:val="20"/>
              </w:rPr>
              <w:t>83</w:t>
            </w:r>
          </w:p>
        </w:tc>
        <w:tc>
          <w:tcPr>
            <w:tcW w:w="1332"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695A9926" w14:textId="4C10C204" w:rsidR="00EF6ACC" w:rsidRPr="00360131" w:rsidRDefault="00683DF6" w:rsidP="009B2CD9">
            <w:pPr>
              <w:spacing w:line="259" w:lineRule="auto"/>
              <w:jc w:val="center"/>
              <w:rPr>
                <w:rFonts w:ascii="Arial" w:hAnsi="Arial" w:cs="Arial"/>
                <w:szCs w:val="20"/>
              </w:rPr>
            </w:pPr>
            <w:r>
              <w:rPr>
                <w:rStyle w:val="normaltextrun"/>
                <w:rFonts w:ascii="Arial" w:hAnsi="Arial" w:cs="Arial"/>
                <w:szCs w:val="20"/>
              </w:rPr>
              <w:t>1.</w:t>
            </w:r>
            <w:r w:rsidR="00FB3C83">
              <w:rPr>
                <w:rStyle w:val="normaltextrun"/>
                <w:rFonts w:ascii="Arial" w:hAnsi="Arial" w:cs="Arial"/>
                <w:szCs w:val="20"/>
              </w:rPr>
              <w:t>83</w:t>
            </w:r>
          </w:p>
        </w:tc>
        <w:tc>
          <w:tcPr>
            <w:tcW w:w="1333"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53B2395F" w14:textId="4DB07804" w:rsidR="00EF6ACC" w:rsidRPr="00360131" w:rsidRDefault="00683DF6" w:rsidP="009B2CD9">
            <w:pPr>
              <w:spacing w:line="259" w:lineRule="auto"/>
              <w:jc w:val="center"/>
              <w:rPr>
                <w:rFonts w:ascii="Arial" w:hAnsi="Arial" w:cs="Arial"/>
                <w:szCs w:val="20"/>
              </w:rPr>
            </w:pPr>
            <w:r>
              <w:rPr>
                <w:rStyle w:val="normaltextrun"/>
                <w:rFonts w:ascii="Arial" w:hAnsi="Arial" w:cs="Arial"/>
                <w:szCs w:val="20"/>
              </w:rPr>
              <w:t>1.</w:t>
            </w:r>
            <w:r w:rsidR="00FB3C83">
              <w:rPr>
                <w:rStyle w:val="normaltextrun"/>
                <w:rFonts w:ascii="Arial" w:hAnsi="Arial" w:cs="Arial"/>
                <w:szCs w:val="20"/>
              </w:rPr>
              <w:t>83</w:t>
            </w:r>
          </w:p>
        </w:tc>
      </w:tr>
      <w:tr w:rsidR="00EF6ACC" w:rsidRPr="000E24E9" w14:paraId="61200BE2" w14:textId="77777777" w:rsidTr="003F1732">
        <w:trPr>
          <w:trHeight w:val="20"/>
        </w:trPr>
        <w:tc>
          <w:tcPr>
            <w:tcW w:w="2552" w:type="dxa"/>
            <w:tcBorders>
              <w:top w:val="single" w:sz="2" w:space="0" w:color="002279"/>
              <w:left w:val="single" w:sz="4" w:space="0" w:color="002279"/>
              <w:bottom w:val="single" w:sz="2" w:space="0" w:color="002279"/>
              <w:right w:val="single" w:sz="4" w:space="0" w:color="002279"/>
            </w:tcBorders>
            <w:noWrap/>
            <w:vAlign w:val="center"/>
          </w:tcPr>
          <w:p w14:paraId="49A97F58" w14:textId="1C943841" w:rsidR="00EF6ACC" w:rsidRPr="00360131" w:rsidRDefault="00EF6ACC" w:rsidP="00F50CE0">
            <w:pPr>
              <w:spacing w:line="259" w:lineRule="auto"/>
              <w:rPr>
                <w:rFonts w:ascii="Arial" w:hAnsi="Arial" w:cs="Arial"/>
                <w:szCs w:val="20"/>
              </w:rPr>
            </w:pPr>
            <w:r w:rsidRPr="0097263A">
              <w:rPr>
                <w:rFonts w:cs="Arial"/>
                <w:szCs w:val="20"/>
              </w:rPr>
              <w:t>Removal of GS</w:t>
            </w:r>
            <w:r w:rsidR="009101BA" w:rsidRPr="0097263A">
              <w:rPr>
                <w:rFonts w:cs="Arial"/>
                <w:szCs w:val="20"/>
              </w:rPr>
              <w:t>L</w:t>
            </w:r>
            <w:r w:rsidRPr="0097263A">
              <w:rPr>
                <w:rFonts w:cs="Arial"/>
                <w:szCs w:val="20"/>
              </w:rPr>
              <w:t>s</w:t>
            </w:r>
          </w:p>
        </w:tc>
        <w:tc>
          <w:tcPr>
            <w:tcW w:w="1332" w:type="dxa"/>
            <w:tcBorders>
              <w:top w:val="single" w:sz="2" w:space="0" w:color="002279"/>
              <w:left w:val="single" w:sz="4" w:space="0" w:color="002279"/>
              <w:bottom w:val="single" w:sz="2" w:space="0" w:color="002279"/>
              <w:right w:val="single" w:sz="4" w:space="0" w:color="002279"/>
            </w:tcBorders>
            <w:vAlign w:val="center"/>
          </w:tcPr>
          <w:p w14:paraId="068729D1" w14:textId="09BD7953" w:rsidR="00EF6ACC" w:rsidRPr="00360131" w:rsidRDefault="00EF6ACC" w:rsidP="00386FB1">
            <w:pPr>
              <w:spacing w:line="259" w:lineRule="auto"/>
              <w:jc w:val="center"/>
              <w:rPr>
                <w:rFonts w:ascii="Arial" w:hAnsi="Arial" w:cs="Arial"/>
                <w:szCs w:val="20"/>
              </w:rPr>
            </w:pPr>
            <w:r>
              <w:rPr>
                <w:rStyle w:val="normaltextrun"/>
                <w:rFonts w:ascii="Arial" w:hAnsi="Arial" w:cs="Arial"/>
                <w:szCs w:val="20"/>
              </w:rPr>
              <w:t>-0.</w:t>
            </w:r>
            <w:r w:rsidR="00FB3C83">
              <w:rPr>
                <w:rStyle w:val="normaltextrun"/>
                <w:rFonts w:ascii="Arial" w:hAnsi="Arial" w:cs="Arial"/>
                <w:szCs w:val="20"/>
              </w:rPr>
              <w:t>15</w:t>
            </w:r>
          </w:p>
        </w:tc>
        <w:tc>
          <w:tcPr>
            <w:tcW w:w="1332" w:type="dxa"/>
            <w:tcBorders>
              <w:top w:val="single" w:sz="2" w:space="0" w:color="002279"/>
              <w:left w:val="single" w:sz="4" w:space="0" w:color="002279"/>
              <w:bottom w:val="single" w:sz="2" w:space="0" w:color="002279"/>
              <w:right w:val="single" w:sz="4" w:space="0" w:color="002279"/>
            </w:tcBorders>
            <w:vAlign w:val="center"/>
          </w:tcPr>
          <w:p w14:paraId="0A5BD80C" w14:textId="042F980E" w:rsidR="00EF6ACC" w:rsidRPr="00360131" w:rsidRDefault="00EF6ACC" w:rsidP="009B2CD9">
            <w:pPr>
              <w:spacing w:line="259" w:lineRule="auto"/>
              <w:jc w:val="center"/>
              <w:rPr>
                <w:rFonts w:ascii="Arial" w:hAnsi="Arial" w:cs="Arial"/>
                <w:szCs w:val="20"/>
              </w:rPr>
            </w:pPr>
            <w:r>
              <w:rPr>
                <w:rStyle w:val="normaltextrun"/>
                <w:rFonts w:ascii="Arial" w:hAnsi="Arial" w:cs="Arial"/>
                <w:szCs w:val="20"/>
              </w:rPr>
              <w:t>-0.</w:t>
            </w:r>
            <w:r w:rsidR="00FB3C83">
              <w:rPr>
                <w:rStyle w:val="normaltextrun"/>
                <w:rFonts w:ascii="Arial" w:hAnsi="Arial" w:cs="Arial"/>
                <w:szCs w:val="20"/>
              </w:rPr>
              <w:t>15</w:t>
            </w:r>
          </w:p>
        </w:tc>
        <w:tc>
          <w:tcPr>
            <w:tcW w:w="1333" w:type="dxa"/>
            <w:tcBorders>
              <w:top w:val="single" w:sz="2" w:space="0" w:color="002279"/>
              <w:left w:val="single" w:sz="4" w:space="0" w:color="002279"/>
              <w:bottom w:val="single" w:sz="2" w:space="0" w:color="002279"/>
              <w:right w:val="single" w:sz="4" w:space="0" w:color="002279"/>
            </w:tcBorders>
            <w:vAlign w:val="center"/>
          </w:tcPr>
          <w:p w14:paraId="007C02C7" w14:textId="37D3FFD9" w:rsidR="00EF6ACC" w:rsidRPr="00360131" w:rsidRDefault="00EF6ACC" w:rsidP="009B2CD9">
            <w:pPr>
              <w:spacing w:line="259" w:lineRule="auto"/>
              <w:jc w:val="center"/>
              <w:rPr>
                <w:rFonts w:ascii="Arial" w:hAnsi="Arial" w:cs="Arial"/>
                <w:szCs w:val="20"/>
              </w:rPr>
            </w:pPr>
            <w:r>
              <w:rPr>
                <w:rStyle w:val="normaltextrun"/>
                <w:rFonts w:ascii="Arial" w:hAnsi="Arial" w:cs="Arial"/>
                <w:szCs w:val="20"/>
              </w:rPr>
              <w:t>-0.</w:t>
            </w:r>
            <w:r w:rsidR="00FB3C83">
              <w:rPr>
                <w:rStyle w:val="normaltextrun"/>
                <w:rFonts w:ascii="Arial" w:hAnsi="Arial" w:cs="Arial"/>
                <w:szCs w:val="20"/>
              </w:rPr>
              <w:t>15</w:t>
            </w:r>
          </w:p>
        </w:tc>
        <w:tc>
          <w:tcPr>
            <w:tcW w:w="1332" w:type="dxa"/>
            <w:tcBorders>
              <w:top w:val="single" w:sz="2" w:space="0" w:color="002279"/>
              <w:left w:val="single" w:sz="4" w:space="0" w:color="002279"/>
              <w:bottom w:val="single" w:sz="2" w:space="0" w:color="002279"/>
              <w:right w:val="single" w:sz="4" w:space="0" w:color="002279"/>
            </w:tcBorders>
            <w:vAlign w:val="center"/>
          </w:tcPr>
          <w:p w14:paraId="30834B89" w14:textId="39EFF47C" w:rsidR="00EF6ACC" w:rsidRPr="00360131" w:rsidRDefault="00EF6ACC" w:rsidP="009B2CD9">
            <w:pPr>
              <w:spacing w:line="259" w:lineRule="auto"/>
              <w:jc w:val="center"/>
              <w:rPr>
                <w:rFonts w:ascii="Arial" w:hAnsi="Arial" w:cs="Arial"/>
                <w:szCs w:val="20"/>
              </w:rPr>
            </w:pPr>
            <w:r>
              <w:rPr>
                <w:rStyle w:val="normaltextrun"/>
                <w:rFonts w:ascii="Arial" w:hAnsi="Arial" w:cs="Arial"/>
                <w:szCs w:val="20"/>
              </w:rPr>
              <w:t>-0.</w:t>
            </w:r>
            <w:r w:rsidR="00FB3C83">
              <w:rPr>
                <w:rStyle w:val="normaltextrun"/>
                <w:rFonts w:ascii="Arial" w:hAnsi="Arial" w:cs="Arial"/>
                <w:szCs w:val="20"/>
              </w:rPr>
              <w:t>15</w:t>
            </w:r>
          </w:p>
        </w:tc>
        <w:tc>
          <w:tcPr>
            <w:tcW w:w="1333" w:type="dxa"/>
            <w:tcBorders>
              <w:top w:val="single" w:sz="2" w:space="0" w:color="002279"/>
              <w:left w:val="single" w:sz="4" w:space="0" w:color="002279"/>
              <w:bottom w:val="single" w:sz="2" w:space="0" w:color="002279"/>
              <w:right w:val="single" w:sz="4" w:space="0" w:color="002279"/>
            </w:tcBorders>
            <w:vAlign w:val="center"/>
          </w:tcPr>
          <w:p w14:paraId="37F585F0" w14:textId="05F9206D" w:rsidR="00EF6ACC" w:rsidRPr="00360131" w:rsidRDefault="00EF6ACC" w:rsidP="009B2CD9">
            <w:pPr>
              <w:spacing w:line="259" w:lineRule="auto"/>
              <w:jc w:val="center"/>
              <w:rPr>
                <w:rFonts w:ascii="Arial" w:hAnsi="Arial" w:cs="Arial"/>
                <w:szCs w:val="20"/>
              </w:rPr>
            </w:pPr>
            <w:r>
              <w:rPr>
                <w:rStyle w:val="normaltextrun"/>
                <w:rFonts w:ascii="Arial" w:hAnsi="Arial" w:cs="Arial"/>
                <w:szCs w:val="20"/>
              </w:rPr>
              <w:t>-0.</w:t>
            </w:r>
            <w:r w:rsidR="00FB3C83">
              <w:rPr>
                <w:rStyle w:val="normaltextrun"/>
                <w:rFonts w:ascii="Arial" w:hAnsi="Arial" w:cs="Arial"/>
                <w:szCs w:val="20"/>
              </w:rPr>
              <w:t>15</w:t>
            </w:r>
          </w:p>
        </w:tc>
      </w:tr>
      <w:tr w:rsidR="009B2CD9" w:rsidRPr="000E24E9" w14:paraId="2AB71005" w14:textId="77777777" w:rsidTr="003F1732">
        <w:trPr>
          <w:trHeight w:val="20"/>
        </w:trPr>
        <w:tc>
          <w:tcPr>
            <w:tcW w:w="2552" w:type="dxa"/>
            <w:tcBorders>
              <w:top w:val="single" w:sz="2" w:space="0" w:color="002279"/>
              <w:left w:val="single" w:sz="4" w:space="0" w:color="002279"/>
              <w:bottom w:val="single" w:sz="2" w:space="0" w:color="002279"/>
              <w:right w:val="single" w:sz="4" w:space="0" w:color="002279"/>
            </w:tcBorders>
            <w:shd w:val="clear" w:color="auto" w:fill="D4D6DF"/>
            <w:noWrap/>
            <w:vAlign w:val="center"/>
          </w:tcPr>
          <w:p w14:paraId="2574CE65" w14:textId="7D3ECC9B" w:rsidR="00EF6ACC" w:rsidRPr="00360131" w:rsidRDefault="00EF6ACC" w:rsidP="00F50CE0">
            <w:pPr>
              <w:spacing w:line="259" w:lineRule="auto"/>
              <w:rPr>
                <w:rFonts w:ascii="Arial" w:hAnsi="Arial" w:cs="Arial"/>
                <w:szCs w:val="20"/>
              </w:rPr>
            </w:pPr>
            <w:r w:rsidRPr="0097263A">
              <w:rPr>
                <w:rFonts w:cs="Arial"/>
                <w:szCs w:val="20"/>
              </w:rPr>
              <w:t xml:space="preserve">Digital </w:t>
            </w:r>
            <w:r w:rsidR="009101BA" w:rsidRPr="0097263A">
              <w:rPr>
                <w:rFonts w:cs="Arial"/>
                <w:szCs w:val="20"/>
              </w:rPr>
              <w:t>m</w:t>
            </w:r>
            <w:r w:rsidRPr="0097263A">
              <w:rPr>
                <w:rFonts w:cs="Arial"/>
                <w:szCs w:val="20"/>
              </w:rPr>
              <w:t>etering</w:t>
            </w:r>
          </w:p>
        </w:tc>
        <w:tc>
          <w:tcPr>
            <w:tcW w:w="1332"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0D1EC4BF" w14:textId="44E415A2" w:rsidR="00EF6ACC" w:rsidRPr="00360131" w:rsidRDefault="00EF6ACC" w:rsidP="00386FB1">
            <w:pPr>
              <w:spacing w:line="259" w:lineRule="auto"/>
              <w:jc w:val="center"/>
              <w:rPr>
                <w:rFonts w:ascii="Arial" w:hAnsi="Arial" w:cs="Arial"/>
                <w:szCs w:val="20"/>
              </w:rPr>
            </w:pPr>
            <w:r>
              <w:rPr>
                <w:rStyle w:val="normaltextrun"/>
                <w:rFonts w:ascii="Arial" w:hAnsi="Arial" w:cs="Arial"/>
                <w:szCs w:val="20"/>
              </w:rPr>
              <w:t>3.</w:t>
            </w:r>
            <w:r w:rsidR="00FB3C83">
              <w:rPr>
                <w:rStyle w:val="normaltextrun"/>
                <w:rFonts w:ascii="Arial" w:hAnsi="Arial" w:cs="Arial"/>
                <w:szCs w:val="20"/>
              </w:rPr>
              <w:t>17</w:t>
            </w:r>
          </w:p>
        </w:tc>
        <w:tc>
          <w:tcPr>
            <w:tcW w:w="1332"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706E94DF" w14:textId="30E8F32E" w:rsidR="00EF6ACC" w:rsidRPr="00360131" w:rsidRDefault="00EF6ACC" w:rsidP="009B2CD9">
            <w:pPr>
              <w:spacing w:line="259" w:lineRule="auto"/>
              <w:jc w:val="center"/>
              <w:rPr>
                <w:rFonts w:ascii="Arial" w:hAnsi="Arial" w:cs="Arial"/>
                <w:szCs w:val="20"/>
              </w:rPr>
            </w:pPr>
            <w:r>
              <w:rPr>
                <w:rStyle w:val="normaltextrun"/>
                <w:rFonts w:ascii="Arial" w:hAnsi="Arial" w:cs="Arial"/>
                <w:szCs w:val="20"/>
              </w:rPr>
              <w:t>2.</w:t>
            </w:r>
            <w:r w:rsidR="00FB3C83">
              <w:rPr>
                <w:rStyle w:val="normaltextrun"/>
                <w:rFonts w:ascii="Arial" w:hAnsi="Arial" w:cs="Arial"/>
                <w:szCs w:val="20"/>
              </w:rPr>
              <w:t>67</w:t>
            </w:r>
          </w:p>
        </w:tc>
        <w:tc>
          <w:tcPr>
            <w:tcW w:w="1333"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5D5225C6" w14:textId="5B0AF8D4" w:rsidR="00EF6ACC" w:rsidRPr="00360131" w:rsidRDefault="00EF6ACC" w:rsidP="009B2CD9">
            <w:pPr>
              <w:spacing w:line="259" w:lineRule="auto"/>
              <w:jc w:val="center"/>
              <w:rPr>
                <w:rFonts w:ascii="Arial" w:hAnsi="Arial" w:cs="Arial"/>
                <w:szCs w:val="20"/>
              </w:rPr>
            </w:pPr>
            <w:r>
              <w:rPr>
                <w:rStyle w:val="normaltextrun"/>
                <w:rFonts w:ascii="Arial" w:hAnsi="Arial" w:cs="Arial"/>
                <w:szCs w:val="20"/>
              </w:rPr>
              <w:t>2.</w:t>
            </w:r>
            <w:r w:rsidR="00FB3C83">
              <w:rPr>
                <w:rStyle w:val="normaltextrun"/>
                <w:rFonts w:ascii="Arial" w:hAnsi="Arial" w:cs="Arial"/>
                <w:szCs w:val="20"/>
              </w:rPr>
              <w:t>06</w:t>
            </w:r>
          </w:p>
        </w:tc>
        <w:tc>
          <w:tcPr>
            <w:tcW w:w="1332"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337FF306" w14:textId="45831B81" w:rsidR="00EF6ACC" w:rsidRPr="00360131" w:rsidRDefault="00EF6ACC" w:rsidP="009B2CD9">
            <w:pPr>
              <w:spacing w:line="259" w:lineRule="auto"/>
              <w:jc w:val="center"/>
              <w:rPr>
                <w:rFonts w:ascii="Arial" w:hAnsi="Arial" w:cs="Arial"/>
                <w:szCs w:val="20"/>
              </w:rPr>
            </w:pPr>
            <w:r>
              <w:rPr>
                <w:rStyle w:val="normaltextrun"/>
                <w:rFonts w:ascii="Arial" w:hAnsi="Arial" w:cs="Arial"/>
                <w:szCs w:val="20"/>
              </w:rPr>
              <w:t>1.</w:t>
            </w:r>
            <w:r w:rsidR="00FB3C83">
              <w:rPr>
                <w:rStyle w:val="normaltextrun"/>
                <w:rFonts w:ascii="Arial" w:hAnsi="Arial" w:cs="Arial"/>
                <w:szCs w:val="20"/>
              </w:rPr>
              <w:t>48</w:t>
            </w:r>
          </w:p>
        </w:tc>
        <w:tc>
          <w:tcPr>
            <w:tcW w:w="1333"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4E9AFBB4" w14:textId="415DA973" w:rsidR="00EF6ACC" w:rsidRPr="00360131" w:rsidRDefault="00EF6ACC" w:rsidP="009B2CD9">
            <w:pPr>
              <w:spacing w:line="259" w:lineRule="auto"/>
              <w:jc w:val="center"/>
              <w:rPr>
                <w:rFonts w:ascii="Arial" w:hAnsi="Arial" w:cs="Arial"/>
                <w:szCs w:val="20"/>
              </w:rPr>
            </w:pPr>
            <w:r>
              <w:rPr>
                <w:rStyle w:val="normaltextrun"/>
                <w:rFonts w:ascii="Arial" w:hAnsi="Arial" w:cs="Arial"/>
                <w:szCs w:val="20"/>
              </w:rPr>
              <w:t>0.</w:t>
            </w:r>
            <w:r w:rsidR="00FB3C83">
              <w:rPr>
                <w:rStyle w:val="normaltextrun"/>
                <w:rFonts w:ascii="Arial" w:hAnsi="Arial" w:cs="Arial"/>
                <w:szCs w:val="20"/>
              </w:rPr>
              <w:t>56</w:t>
            </w:r>
          </w:p>
        </w:tc>
      </w:tr>
      <w:tr w:rsidR="00EF6ACC" w:rsidRPr="000E24E9" w14:paraId="5867DB18" w14:textId="77777777" w:rsidTr="003F1732">
        <w:trPr>
          <w:trHeight w:val="20"/>
        </w:trPr>
        <w:tc>
          <w:tcPr>
            <w:tcW w:w="2552" w:type="dxa"/>
            <w:tcBorders>
              <w:top w:val="single" w:sz="2" w:space="0" w:color="002279"/>
              <w:left w:val="single" w:sz="4" w:space="0" w:color="002279"/>
              <w:bottom w:val="single" w:sz="2" w:space="0" w:color="002279"/>
              <w:right w:val="single" w:sz="4" w:space="0" w:color="002279"/>
            </w:tcBorders>
            <w:noWrap/>
            <w:vAlign w:val="center"/>
          </w:tcPr>
          <w:p w14:paraId="4BEE4B4F" w14:textId="77777777" w:rsidR="00EF6ACC" w:rsidRPr="00360131" w:rsidRDefault="00EF6ACC" w:rsidP="00F50CE0">
            <w:pPr>
              <w:spacing w:line="259" w:lineRule="auto"/>
              <w:rPr>
                <w:rFonts w:ascii="Arial" w:hAnsi="Arial" w:cs="Arial"/>
                <w:szCs w:val="20"/>
              </w:rPr>
            </w:pPr>
            <w:r w:rsidRPr="0097263A">
              <w:rPr>
                <w:rFonts w:cs="Arial"/>
                <w:szCs w:val="20"/>
              </w:rPr>
              <w:t>Revised maintenance model</w:t>
            </w:r>
          </w:p>
        </w:tc>
        <w:tc>
          <w:tcPr>
            <w:tcW w:w="1332" w:type="dxa"/>
            <w:tcBorders>
              <w:top w:val="single" w:sz="2" w:space="0" w:color="002279"/>
              <w:left w:val="single" w:sz="4" w:space="0" w:color="002279"/>
              <w:bottom w:val="single" w:sz="2" w:space="0" w:color="002279"/>
              <w:right w:val="single" w:sz="4" w:space="0" w:color="002279"/>
            </w:tcBorders>
            <w:vAlign w:val="center"/>
          </w:tcPr>
          <w:p w14:paraId="0FCBF815" w14:textId="6356F3B0" w:rsidR="00EF6ACC" w:rsidRPr="00360131" w:rsidRDefault="00EF6ACC" w:rsidP="00386FB1">
            <w:pPr>
              <w:spacing w:line="259" w:lineRule="auto"/>
              <w:jc w:val="center"/>
              <w:rPr>
                <w:rFonts w:ascii="Arial" w:hAnsi="Arial" w:cs="Arial"/>
                <w:szCs w:val="20"/>
              </w:rPr>
            </w:pPr>
            <w:r>
              <w:rPr>
                <w:rStyle w:val="normaltextrun"/>
                <w:rFonts w:ascii="Arial" w:hAnsi="Arial" w:cs="Arial"/>
                <w:szCs w:val="20"/>
              </w:rPr>
              <w:t>4.</w:t>
            </w:r>
            <w:r w:rsidR="00FB3C83">
              <w:rPr>
                <w:rStyle w:val="normaltextrun"/>
                <w:rFonts w:ascii="Arial" w:hAnsi="Arial" w:cs="Arial"/>
                <w:szCs w:val="20"/>
              </w:rPr>
              <w:t>47</w:t>
            </w:r>
          </w:p>
        </w:tc>
        <w:tc>
          <w:tcPr>
            <w:tcW w:w="1332" w:type="dxa"/>
            <w:tcBorders>
              <w:top w:val="single" w:sz="2" w:space="0" w:color="002279"/>
              <w:left w:val="single" w:sz="4" w:space="0" w:color="002279"/>
              <w:bottom w:val="single" w:sz="2" w:space="0" w:color="002279"/>
              <w:right w:val="single" w:sz="4" w:space="0" w:color="002279"/>
            </w:tcBorders>
            <w:vAlign w:val="center"/>
          </w:tcPr>
          <w:p w14:paraId="1EF90410" w14:textId="73C5F7FC" w:rsidR="00EF6ACC" w:rsidRPr="00360131" w:rsidRDefault="00EF6ACC" w:rsidP="009B2CD9">
            <w:pPr>
              <w:spacing w:line="259" w:lineRule="auto"/>
              <w:jc w:val="center"/>
              <w:rPr>
                <w:rFonts w:ascii="Arial" w:hAnsi="Arial" w:cs="Arial"/>
                <w:szCs w:val="20"/>
              </w:rPr>
            </w:pPr>
            <w:r>
              <w:rPr>
                <w:rStyle w:val="normaltextrun"/>
                <w:rFonts w:ascii="Arial" w:hAnsi="Arial" w:cs="Arial"/>
                <w:szCs w:val="20"/>
              </w:rPr>
              <w:t>4.</w:t>
            </w:r>
            <w:r w:rsidR="00FB3C83">
              <w:rPr>
                <w:rStyle w:val="normaltextrun"/>
                <w:rFonts w:ascii="Arial" w:hAnsi="Arial" w:cs="Arial"/>
                <w:szCs w:val="20"/>
              </w:rPr>
              <w:t>47</w:t>
            </w:r>
          </w:p>
        </w:tc>
        <w:tc>
          <w:tcPr>
            <w:tcW w:w="1333" w:type="dxa"/>
            <w:tcBorders>
              <w:top w:val="single" w:sz="2" w:space="0" w:color="002279"/>
              <w:left w:val="single" w:sz="4" w:space="0" w:color="002279"/>
              <w:bottom w:val="single" w:sz="2" w:space="0" w:color="002279"/>
              <w:right w:val="single" w:sz="4" w:space="0" w:color="002279"/>
            </w:tcBorders>
            <w:vAlign w:val="center"/>
          </w:tcPr>
          <w:p w14:paraId="521DA9C3" w14:textId="4EF8C46B" w:rsidR="00EF6ACC" w:rsidRPr="00360131" w:rsidRDefault="00EF6ACC" w:rsidP="009B2CD9">
            <w:pPr>
              <w:spacing w:line="259" w:lineRule="auto"/>
              <w:jc w:val="center"/>
              <w:rPr>
                <w:rFonts w:ascii="Arial" w:hAnsi="Arial" w:cs="Arial"/>
                <w:szCs w:val="20"/>
              </w:rPr>
            </w:pPr>
            <w:r>
              <w:rPr>
                <w:rStyle w:val="normaltextrun"/>
                <w:rFonts w:ascii="Arial" w:hAnsi="Arial" w:cs="Arial"/>
                <w:szCs w:val="20"/>
              </w:rPr>
              <w:t>4.</w:t>
            </w:r>
            <w:r w:rsidR="00FB3C83">
              <w:rPr>
                <w:rStyle w:val="normaltextrun"/>
                <w:rFonts w:ascii="Arial" w:hAnsi="Arial" w:cs="Arial"/>
                <w:szCs w:val="20"/>
              </w:rPr>
              <w:t>47</w:t>
            </w:r>
          </w:p>
        </w:tc>
        <w:tc>
          <w:tcPr>
            <w:tcW w:w="1332" w:type="dxa"/>
            <w:tcBorders>
              <w:top w:val="single" w:sz="2" w:space="0" w:color="002279"/>
              <w:left w:val="single" w:sz="4" w:space="0" w:color="002279"/>
              <w:bottom w:val="single" w:sz="2" w:space="0" w:color="002279"/>
              <w:right w:val="single" w:sz="4" w:space="0" w:color="002279"/>
            </w:tcBorders>
            <w:vAlign w:val="center"/>
          </w:tcPr>
          <w:p w14:paraId="57067069" w14:textId="51C2F143" w:rsidR="00EF6ACC" w:rsidRPr="00360131" w:rsidRDefault="00EF6ACC" w:rsidP="009B2CD9">
            <w:pPr>
              <w:spacing w:line="259" w:lineRule="auto"/>
              <w:jc w:val="center"/>
              <w:rPr>
                <w:rFonts w:ascii="Arial" w:hAnsi="Arial" w:cs="Arial"/>
                <w:szCs w:val="20"/>
              </w:rPr>
            </w:pPr>
            <w:r>
              <w:rPr>
                <w:rStyle w:val="normaltextrun"/>
                <w:rFonts w:ascii="Arial" w:hAnsi="Arial" w:cs="Arial"/>
                <w:szCs w:val="20"/>
              </w:rPr>
              <w:t>4.</w:t>
            </w:r>
            <w:r w:rsidR="00FB3C83">
              <w:rPr>
                <w:rStyle w:val="normaltextrun"/>
                <w:rFonts w:ascii="Arial" w:hAnsi="Arial" w:cs="Arial"/>
                <w:szCs w:val="20"/>
              </w:rPr>
              <w:t>47</w:t>
            </w:r>
          </w:p>
        </w:tc>
        <w:tc>
          <w:tcPr>
            <w:tcW w:w="1333" w:type="dxa"/>
            <w:tcBorders>
              <w:top w:val="single" w:sz="2" w:space="0" w:color="002279"/>
              <w:left w:val="single" w:sz="4" w:space="0" w:color="002279"/>
              <w:bottom w:val="single" w:sz="2" w:space="0" w:color="002279"/>
              <w:right w:val="single" w:sz="4" w:space="0" w:color="002279"/>
            </w:tcBorders>
            <w:vAlign w:val="center"/>
          </w:tcPr>
          <w:p w14:paraId="2D134C6E" w14:textId="413A6EEE" w:rsidR="00EF6ACC" w:rsidRPr="00360131" w:rsidRDefault="00EF6ACC" w:rsidP="009B2CD9">
            <w:pPr>
              <w:spacing w:line="259" w:lineRule="auto"/>
              <w:jc w:val="center"/>
              <w:rPr>
                <w:rFonts w:ascii="Arial" w:hAnsi="Arial" w:cs="Arial"/>
                <w:szCs w:val="20"/>
              </w:rPr>
            </w:pPr>
            <w:r>
              <w:rPr>
                <w:rStyle w:val="normaltextrun"/>
                <w:rFonts w:ascii="Arial" w:hAnsi="Arial" w:cs="Arial"/>
                <w:szCs w:val="20"/>
              </w:rPr>
              <w:t>4.</w:t>
            </w:r>
            <w:r w:rsidR="00FB3C83">
              <w:rPr>
                <w:rStyle w:val="normaltextrun"/>
                <w:rFonts w:ascii="Arial" w:hAnsi="Arial" w:cs="Arial"/>
                <w:szCs w:val="20"/>
              </w:rPr>
              <w:t>47</w:t>
            </w:r>
          </w:p>
        </w:tc>
      </w:tr>
      <w:tr w:rsidR="009B2CD9" w:rsidRPr="000E24E9" w14:paraId="12079A86" w14:textId="77777777" w:rsidTr="003F1732">
        <w:trPr>
          <w:trHeight w:val="397"/>
        </w:trPr>
        <w:tc>
          <w:tcPr>
            <w:tcW w:w="2552" w:type="dxa"/>
            <w:tcBorders>
              <w:top w:val="single" w:sz="2" w:space="0" w:color="002279"/>
              <w:left w:val="single" w:sz="4" w:space="0" w:color="002279"/>
              <w:bottom w:val="single" w:sz="2" w:space="0" w:color="002279"/>
              <w:right w:val="single" w:sz="4" w:space="0" w:color="002279"/>
            </w:tcBorders>
            <w:shd w:val="clear" w:color="auto" w:fill="D4D6DF"/>
            <w:noWrap/>
            <w:vAlign w:val="center"/>
          </w:tcPr>
          <w:p w14:paraId="234D1E55" w14:textId="6D3C62F2" w:rsidR="00EF6ACC" w:rsidRPr="00360131" w:rsidRDefault="00EF6ACC" w:rsidP="00F50CE0">
            <w:pPr>
              <w:spacing w:line="259" w:lineRule="auto"/>
              <w:rPr>
                <w:rFonts w:ascii="Arial" w:hAnsi="Arial" w:cs="Arial"/>
                <w:szCs w:val="20"/>
              </w:rPr>
            </w:pPr>
            <w:r w:rsidRPr="0097263A">
              <w:rPr>
                <w:rFonts w:cs="Arial"/>
                <w:szCs w:val="20"/>
              </w:rPr>
              <w:t xml:space="preserve">New </w:t>
            </w:r>
            <w:r w:rsidR="009101BA" w:rsidRPr="0097263A">
              <w:rPr>
                <w:rFonts w:cs="Arial"/>
                <w:szCs w:val="20"/>
              </w:rPr>
              <w:t>a</w:t>
            </w:r>
            <w:r w:rsidRPr="0097263A">
              <w:rPr>
                <w:rFonts w:cs="Arial"/>
                <w:szCs w:val="20"/>
              </w:rPr>
              <w:t>ssets</w:t>
            </w:r>
          </w:p>
        </w:tc>
        <w:tc>
          <w:tcPr>
            <w:tcW w:w="1332"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60916AF5" w14:textId="19CF89FF" w:rsidR="00EF6ACC" w:rsidRPr="00360131" w:rsidRDefault="00EF6ACC" w:rsidP="00386FB1">
            <w:pPr>
              <w:spacing w:line="259" w:lineRule="auto"/>
              <w:jc w:val="center"/>
              <w:rPr>
                <w:rFonts w:ascii="Arial" w:hAnsi="Arial" w:cs="Arial"/>
                <w:szCs w:val="20"/>
              </w:rPr>
            </w:pPr>
            <w:r>
              <w:rPr>
                <w:rStyle w:val="normaltextrun"/>
                <w:rFonts w:ascii="Arial" w:hAnsi="Arial" w:cs="Arial"/>
                <w:szCs w:val="20"/>
              </w:rPr>
              <w:t>0.</w:t>
            </w:r>
            <w:r w:rsidR="00FB3C83">
              <w:rPr>
                <w:rStyle w:val="normaltextrun"/>
                <w:rFonts w:ascii="Arial" w:hAnsi="Arial" w:cs="Arial"/>
                <w:szCs w:val="20"/>
              </w:rPr>
              <w:t>03</w:t>
            </w:r>
          </w:p>
        </w:tc>
        <w:tc>
          <w:tcPr>
            <w:tcW w:w="1332"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45C12F2A" w14:textId="0CC77B4E" w:rsidR="00EF6ACC" w:rsidRPr="00360131" w:rsidRDefault="00EF6ACC" w:rsidP="009B2CD9">
            <w:pPr>
              <w:spacing w:line="259" w:lineRule="auto"/>
              <w:jc w:val="center"/>
              <w:rPr>
                <w:rFonts w:ascii="Arial" w:hAnsi="Arial" w:cs="Arial"/>
                <w:szCs w:val="20"/>
              </w:rPr>
            </w:pPr>
            <w:r>
              <w:rPr>
                <w:rStyle w:val="normaltextrun"/>
                <w:rFonts w:ascii="Arial" w:hAnsi="Arial" w:cs="Arial"/>
                <w:szCs w:val="20"/>
              </w:rPr>
              <w:t>0.</w:t>
            </w:r>
            <w:r w:rsidR="00FB3C83">
              <w:rPr>
                <w:rStyle w:val="normaltextrun"/>
                <w:rFonts w:ascii="Arial" w:hAnsi="Arial" w:cs="Arial"/>
                <w:szCs w:val="20"/>
              </w:rPr>
              <w:t>05</w:t>
            </w:r>
          </w:p>
        </w:tc>
        <w:tc>
          <w:tcPr>
            <w:tcW w:w="1333"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1F3B4942" w14:textId="389409D3" w:rsidR="00EF6ACC" w:rsidRPr="00360131" w:rsidRDefault="00EF6ACC" w:rsidP="009B2CD9">
            <w:pPr>
              <w:spacing w:line="259" w:lineRule="auto"/>
              <w:jc w:val="center"/>
              <w:rPr>
                <w:rFonts w:ascii="Arial" w:hAnsi="Arial" w:cs="Arial"/>
                <w:szCs w:val="20"/>
              </w:rPr>
            </w:pPr>
            <w:r>
              <w:rPr>
                <w:rStyle w:val="normaltextrun"/>
                <w:rFonts w:ascii="Arial" w:hAnsi="Arial" w:cs="Arial"/>
                <w:szCs w:val="20"/>
              </w:rPr>
              <w:t>0.</w:t>
            </w:r>
            <w:r w:rsidR="00FB3C83">
              <w:rPr>
                <w:rStyle w:val="normaltextrun"/>
                <w:rFonts w:ascii="Arial" w:hAnsi="Arial" w:cs="Arial"/>
                <w:szCs w:val="20"/>
              </w:rPr>
              <w:t>05</w:t>
            </w:r>
          </w:p>
        </w:tc>
        <w:tc>
          <w:tcPr>
            <w:tcW w:w="1332"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40762B23" w14:textId="3EAE8988" w:rsidR="00EF6ACC" w:rsidRPr="00360131" w:rsidRDefault="00EF6ACC" w:rsidP="009B2CD9">
            <w:pPr>
              <w:spacing w:line="259" w:lineRule="auto"/>
              <w:jc w:val="center"/>
              <w:rPr>
                <w:rFonts w:ascii="Arial" w:hAnsi="Arial" w:cs="Arial"/>
                <w:szCs w:val="20"/>
              </w:rPr>
            </w:pPr>
            <w:r>
              <w:rPr>
                <w:rStyle w:val="normaltextrun"/>
                <w:rFonts w:ascii="Arial" w:hAnsi="Arial" w:cs="Arial"/>
                <w:szCs w:val="20"/>
              </w:rPr>
              <w:t>0.</w:t>
            </w:r>
            <w:r w:rsidR="00FB3C83">
              <w:rPr>
                <w:rStyle w:val="normaltextrun"/>
                <w:rFonts w:ascii="Arial" w:hAnsi="Arial" w:cs="Arial"/>
                <w:szCs w:val="20"/>
              </w:rPr>
              <w:t>18</w:t>
            </w:r>
          </w:p>
        </w:tc>
        <w:tc>
          <w:tcPr>
            <w:tcW w:w="1333"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1061C678" w14:textId="79BE653E" w:rsidR="00EF6ACC" w:rsidRPr="00360131" w:rsidRDefault="00EF6ACC" w:rsidP="009B2CD9">
            <w:pPr>
              <w:spacing w:line="259" w:lineRule="auto"/>
              <w:jc w:val="center"/>
              <w:rPr>
                <w:rFonts w:ascii="Arial" w:hAnsi="Arial" w:cs="Arial"/>
                <w:szCs w:val="20"/>
              </w:rPr>
            </w:pPr>
            <w:r>
              <w:rPr>
                <w:rStyle w:val="normaltextrun"/>
                <w:rFonts w:ascii="Arial" w:hAnsi="Arial" w:cs="Arial"/>
                <w:szCs w:val="20"/>
              </w:rPr>
              <w:t>0.</w:t>
            </w:r>
            <w:r w:rsidR="00FB3C83">
              <w:rPr>
                <w:rStyle w:val="normaltextrun"/>
                <w:rFonts w:ascii="Arial" w:hAnsi="Arial" w:cs="Arial"/>
                <w:szCs w:val="20"/>
              </w:rPr>
              <w:t>32</w:t>
            </w:r>
          </w:p>
        </w:tc>
      </w:tr>
      <w:tr w:rsidR="009B2CD9" w:rsidRPr="000E24E9" w14:paraId="56C7E61F" w14:textId="77777777" w:rsidTr="003F1732">
        <w:trPr>
          <w:trHeight w:val="397"/>
        </w:trPr>
        <w:tc>
          <w:tcPr>
            <w:tcW w:w="2552" w:type="dxa"/>
            <w:tcBorders>
              <w:top w:val="single" w:sz="2" w:space="0" w:color="002279"/>
              <w:left w:val="single" w:sz="4" w:space="0" w:color="002279"/>
              <w:bottom w:val="single" w:sz="2" w:space="0" w:color="002279"/>
              <w:right w:val="single" w:sz="4" w:space="0" w:color="002279"/>
            </w:tcBorders>
            <w:noWrap/>
            <w:vAlign w:val="center"/>
          </w:tcPr>
          <w:p w14:paraId="48BFD19C" w14:textId="40ACDBDE" w:rsidR="00EF6ACC" w:rsidRPr="00360131" w:rsidRDefault="00EF6ACC" w:rsidP="00F50CE0">
            <w:pPr>
              <w:spacing w:line="259" w:lineRule="auto"/>
              <w:rPr>
                <w:rFonts w:ascii="Arial" w:hAnsi="Arial" w:cs="Arial"/>
                <w:szCs w:val="20"/>
              </w:rPr>
            </w:pPr>
            <w:r w:rsidRPr="0097263A">
              <w:rPr>
                <w:rFonts w:cs="Arial"/>
                <w:szCs w:val="20"/>
              </w:rPr>
              <w:t xml:space="preserve">Water </w:t>
            </w:r>
            <w:r w:rsidR="009101BA" w:rsidRPr="0097263A">
              <w:rPr>
                <w:rFonts w:cs="Arial"/>
                <w:szCs w:val="20"/>
              </w:rPr>
              <w:t>q</w:t>
            </w:r>
            <w:r w:rsidRPr="0097263A">
              <w:rPr>
                <w:rFonts w:cs="Arial"/>
                <w:szCs w:val="20"/>
              </w:rPr>
              <w:t>uality</w:t>
            </w:r>
          </w:p>
        </w:tc>
        <w:tc>
          <w:tcPr>
            <w:tcW w:w="1332" w:type="dxa"/>
            <w:tcBorders>
              <w:top w:val="single" w:sz="2" w:space="0" w:color="002279"/>
              <w:left w:val="single" w:sz="4" w:space="0" w:color="002279"/>
              <w:bottom w:val="single" w:sz="2" w:space="0" w:color="002279"/>
              <w:right w:val="single" w:sz="4" w:space="0" w:color="002279"/>
            </w:tcBorders>
            <w:vAlign w:val="center"/>
          </w:tcPr>
          <w:p w14:paraId="01D919BA" w14:textId="49EDB40F" w:rsidR="00EF6ACC" w:rsidRPr="00360131" w:rsidRDefault="00EF6ACC" w:rsidP="00386FB1">
            <w:pPr>
              <w:spacing w:line="259" w:lineRule="auto"/>
              <w:jc w:val="center"/>
              <w:rPr>
                <w:rFonts w:ascii="Arial" w:hAnsi="Arial" w:cs="Arial"/>
                <w:szCs w:val="20"/>
              </w:rPr>
            </w:pPr>
            <w:r>
              <w:rPr>
                <w:rStyle w:val="normaltextrun"/>
                <w:rFonts w:ascii="Arial" w:hAnsi="Arial" w:cs="Arial"/>
                <w:szCs w:val="20"/>
              </w:rPr>
              <w:t>3.</w:t>
            </w:r>
            <w:r w:rsidR="00FB3C83">
              <w:rPr>
                <w:rStyle w:val="normaltextrun"/>
                <w:rFonts w:ascii="Arial" w:hAnsi="Arial" w:cs="Arial"/>
                <w:szCs w:val="20"/>
              </w:rPr>
              <w:t>13</w:t>
            </w:r>
          </w:p>
        </w:tc>
        <w:tc>
          <w:tcPr>
            <w:tcW w:w="1332" w:type="dxa"/>
            <w:tcBorders>
              <w:top w:val="single" w:sz="2" w:space="0" w:color="002279"/>
              <w:left w:val="single" w:sz="4" w:space="0" w:color="002279"/>
              <w:bottom w:val="single" w:sz="2" w:space="0" w:color="002279"/>
              <w:right w:val="single" w:sz="4" w:space="0" w:color="002279"/>
            </w:tcBorders>
            <w:vAlign w:val="center"/>
          </w:tcPr>
          <w:p w14:paraId="00BCB610" w14:textId="5BD22372" w:rsidR="00EF6ACC" w:rsidRPr="00360131" w:rsidRDefault="00EF6ACC" w:rsidP="009B2CD9">
            <w:pPr>
              <w:spacing w:line="259" w:lineRule="auto"/>
              <w:jc w:val="center"/>
              <w:rPr>
                <w:rFonts w:ascii="Arial" w:hAnsi="Arial" w:cs="Arial"/>
                <w:szCs w:val="20"/>
              </w:rPr>
            </w:pPr>
            <w:r>
              <w:rPr>
                <w:rStyle w:val="normaltextrun"/>
                <w:rFonts w:ascii="Arial" w:hAnsi="Arial" w:cs="Arial"/>
                <w:szCs w:val="20"/>
              </w:rPr>
              <w:t>3.</w:t>
            </w:r>
            <w:r w:rsidR="00FB3C83">
              <w:rPr>
                <w:rStyle w:val="normaltextrun"/>
                <w:rFonts w:ascii="Arial" w:hAnsi="Arial" w:cs="Arial"/>
                <w:szCs w:val="20"/>
              </w:rPr>
              <w:t>18</w:t>
            </w:r>
          </w:p>
        </w:tc>
        <w:tc>
          <w:tcPr>
            <w:tcW w:w="1333" w:type="dxa"/>
            <w:tcBorders>
              <w:top w:val="single" w:sz="2" w:space="0" w:color="002279"/>
              <w:left w:val="single" w:sz="4" w:space="0" w:color="002279"/>
              <w:bottom w:val="single" w:sz="2" w:space="0" w:color="002279"/>
              <w:right w:val="single" w:sz="4" w:space="0" w:color="002279"/>
            </w:tcBorders>
            <w:vAlign w:val="center"/>
          </w:tcPr>
          <w:p w14:paraId="62A12DD9" w14:textId="2249AC09" w:rsidR="00EF6ACC" w:rsidRPr="00360131" w:rsidRDefault="00EF6ACC" w:rsidP="009B2CD9">
            <w:pPr>
              <w:spacing w:line="259" w:lineRule="auto"/>
              <w:jc w:val="center"/>
              <w:rPr>
                <w:rFonts w:ascii="Arial" w:hAnsi="Arial" w:cs="Arial"/>
                <w:szCs w:val="20"/>
              </w:rPr>
            </w:pPr>
            <w:r>
              <w:rPr>
                <w:rStyle w:val="normaltextrun"/>
                <w:rFonts w:ascii="Arial" w:hAnsi="Arial" w:cs="Arial"/>
                <w:szCs w:val="20"/>
              </w:rPr>
              <w:t>3.</w:t>
            </w:r>
            <w:r w:rsidR="00FB3C83">
              <w:rPr>
                <w:rStyle w:val="normaltextrun"/>
                <w:rFonts w:ascii="Arial" w:hAnsi="Arial" w:cs="Arial"/>
                <w:szCs w:val="20"/>
              </w:rPr>
              <w:t>21</w:t>
            </w:r>
          </w:p>
        </w:tc>
        <w:tc>
          <w:tcPr>
            <w:tcW w:w="1332" w:type="dxa"/>
            <w:tcBorders>
              <w:top w:val="single" w:sz="2" w:space="0" w:color="002279"/>
              <w:left w:val="single" w:sz="4" w:space="0" w:color="002279"/>
              <w:bottom w:val="single" w:sz="2" w:space="0" w:color="002279"/>
              <w:right w:val="single" w:sz="4" w:space="0" w:color="002279"/>
            </w:tcBorders>
            <w:vAlign w:val="center"/>
          </w:tcPr>
          <w:p w14:paraId="5C68CAD8" w14:textId="48DEF95A" w:rsidR="00EF6ACC" w:rsidRPr="00360131" w:rsidRDefault="00EF6ACC" w:rsidP="009B2CD9">
            <w:pPr>
              <w:spacing w:line="259" w:lineRule="auto"/>
              <w:jc w:val="center"/>
              <w:rPr>
                <w:rFonts w:ascii="Arial" w:hAnsi="Arial" w:cs="Arial"/>
                <w:szCs w:val="20"/>
              </w:rPr>
            </w:pPr>
            <w:r>
              <w:rPr>
                <w:rStyle w:val="normaltextrun"/>
                <w:rFonts w:ascii="Arial" w:hAnsi="Arial" w:cs="Arial"/>
                <w:szCs w:val="20"/>
              </w:rPr>
              <w:t>3.</w:t>
            </w:r>
            <w:r w:rsidR="00FB3C83">
              <w:rPr>
                <w:rStyle w:val="normaltextrun"/>
                <w:rFonts w:ascii="Arial" w:hAnsi="Arial" w:cs="Arial"/>
                <w:szCs w:val="20"/>
              </w:rPr>
              <w:t>24</w:t>
            </w:r>
          </w:p>
        </w:tc>
        <w:tc>
          <w:tcPr>
            <w:tcW w:w="1333" w:type="dxa"/>
            <w:tcBorders>
              <w:top w:val="single" w:sz="2" w:space="0" w:color="002279"/>
              <w:left w:val="single" w:sz="4" w:space="0" w:color="002279"/>
              <w:bottom w:val="single" w:sz="2" w:space="0" w:color="002279"/>
              <w:right w:val="single" w:sz="4" w:space="0" w:color="002279"/>
            </w:tcBorders>
            <w:vAlign w:val="center"/>
          </w:tcPr>
          <w:p w14:paraId="3B3AB894" w14:textId="183EF1FD" w:rsidR="00EF6ACC" w:rsidRPr="00360131" w:rsidRDefault="00EF6ACC" w:rsidP="009B2CD9">
            <w:pPr>
              <w:spacing w:line="259" w:lineRule="auto"/>
              <w:jc w:val="center"/>
              <w:rPr>
                <w:rFonts w:ascii="Arial" w:hAnsi="Arial" w:cs="Arial"/>
                <w:szCs w:val="20"/>
              </w:rPr>
            </w:pPr>
            <w:r>
              <w:rPr>
                <w:rStyle w:val="normaltextrun"/>
                <w:rFonts w:ascii="Arial" w:hAnsi="Arial" w:cs="Arial"/>
                <w:szCs w:val="20"/>
              </w:rPr>
              <w:t>3.</w:t>
            </w:r>
            <w:r w:rsidR="00FB3C83">
              <w:rPr>
                <w:rStyle w:val="normaltextrun"/>
                <w:rFonts w:ascii="Arial" w:hAnsi="Arial" w:cs="Arial"/>
                <w:szCs w:val="20"/>
              </w:rPr>
              <w:t>27</w:t>
            </w:r>
          </w:p>
        </w:tc>
      </w:tr>
      <w:tr w:rsidR="009B2CD9" w:rsidRPr="000E24E9" w14:paraId="492CFE60" w14:textId="77777777" w:rsidTr="003F1732">
        <w:trPr>
          <w:trHeight w:val="397"/>
        </w:trPr>
        <w:tc>
          <w:tcPr>
            <w:tcW w:w="2552" w:type="dxa"/>
            <w:tcBorders>
              <w:top w:val="single" w:sz="2" w:space="0" w:color="002279"/>
              <w:left w:val="single" w:sz="4" w:space="0" w:color="002279"/>
              <w:bottom w:val="single" w:sz="2" w:space="0" w:color="002279"/>
              <w:right w:val="single" w:sz="4" w:space="0" w:color="002279"/>
            </w:tcBorders>
            <w:shd w:val="clear" w:color="auto" w:fill="D4D6DF"/>
            <w:noWrap/>
            <w:vAlign w:val="center"/>
          </w:tcPr>
          <w:p w14:paraId="4DD423BB" w14:textId="062981E7" w:rsidR="00EF6ACC" w:rsidRPr="00360131" w:rsidRDefault="00EF6ACC" w:rsidP="00F50CE0">
            <w:pPr>
              <w:spacing w:line="259" w:lineRule="auto"/>
              <w:rPr>
                <w:rFonts w:ascii="Arial" w:hAnsi="Arial" w:cs="Arial"/>
                <w:szCs w:val="20"/>
              </w:rPr>
            </w:pPr>
            <w:r w:rsidRPr="0097263A">
              <w:rPr>
                <w:rFonts w:cs="Arial"/>
                <w:szCs w:val="20"/>
              </w:rPr>
              <w:t xml:space="preserve">Climate </w:t>
            </w:r>
            <w:r w:rsidR="00EB274A" w:rsidRPr="0097263A">
              <w:rPr>
                <w:rFonts w:cs="Arial"/>
                <w:szCs w:val="20"/>
              </w:rPr>
              <w:t>A</w:t>
            </w:r>
            <w:r w:rsidRPr="0097263A">
              <w:rPr>
                <w:rFonts w:cs="Arial"/>
                <w:szCs w:val="20"/>
              </w:rPr>
              <w:t>dapt</w:t>
            </w:r>
          </w:p>
        </w:tc>
        <w:tc>
          <w:tcPr>
            <w:tcW w:w="1332"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5E6B890F" w14:textId="3F2174AC" w:rsidR="00EF6ACC" w:rsidRPr="00360131" w:rsidRDefault="00EF6ACC" w:rsidP="00386FB1">
            <w:pPr>
              <w:spacing w:line="259" w:lineRule="auto"/>
              <w:jc w:val="center"/>
              <w:rPr>
                <w:rFonts w:ascii="Arial" w:hAnsi="Arial" w:cs="Arial"/>
                <w:szCs w:val="20"/>
              </w:rPr>
            </w:pPr>
            <w:r>
              <w:rPr>
                <w:rStyle w:val="normaltextrun"/>
                <w:rFonts w:ascii="Arial" w:hAnsi="Arial" w:cs="Arial"/>
                <w:szCs w:val="20"/>
              </w:rPr>
              <w:t>0.</w:t>
            </w:r>
            <w:r w:rsidR="00FB3C83">
              <w:rPr>
                <w:rStyle w:val="normaltextrun"/>
                <w:rFonts w:ascii="Arial" w:hAnsi="Arial" w:cs="Arial"/>
                <w:szCs w:val="20"/>
              </w:rPr>
              <w:t>59</w:t>
            </w:r>
          </w:p>
        </w:tc>
        <w:tc>
          <w:tcPr>
            <w:tcW w:w="1332"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5E75F344" w14:textId="27A6AA87" w:rsidR="00EF6ACC" w:rsidRPr="00360131" w:rsidRDefault="00EF6ACC" w:rsidP="009B2CD9">
            <w:pPr>
              <w:spacing w:line="259" w:lineRule="auto"/>
              <w:jc w:val="center"/>
              <w:rPr>
                <w:rFonts w:ascii="Arial" w:hAnsi="Arial" w:cs="Arial"/>
                <w:szCs w:val="20"/>
              </w:rPr>
            </w:pPr>
            <w:r>
              <w:rPr>
                <w:rStyle w:val="normaltextrun"/>
                <w:rFonts w:ascii="Arial" w:hAnsi="Arial" w:cs="Arial"/>
                <w:szCs w:val="20"/>
              </w:rPr>
              <w:t>0.</w:t>
            </w:r>
            <w:r w:rsidR="00FB3C83">
              <w:rPr>
                <w:rStyle w:val="normaltextrun"/>
                <w:rFonts w:ascii="Arial" w:hAnsi="Arial" w:cs="Arial"/>
                <w:szCs w:val="20"/>
              </w:rPr>
              <w:t>29</w:t>
            </w:r>
          </w:p>
        </w:tc>
        <w:tc>
          <w:tcPr>
            <w:tcW w:w="1333"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6E026A57" w14:textId="7F599A93" w:rsidR="00EF6ACC" w:rsidRPr="00360131" w:rsidRDefault="00EF6ACC" w:rsidP="009B2CD9">
            <w:pPr>
              <w:spacing w:line="259" w:lineRule="auto"/>
              <w:jc w:val="center"/>
              <w:rPr>
                <w:rFonts w:ascii="Arial" w:hAnsi="Arial" w:cs="Arial"/>
                <w:szCs w:val="20"/>
              </w:rPr>
            </w:pPr>
            <w:r>
              <w:rPr>
                <w:rStyle w:val="normaltextrun"/>
                <w:rFonts w:ascii="Arial" w:hAnsi="Arial" w:cs="Arial"/>
                <w:szCs w:val="20"/>
              </w:rPr>
              <w:t>0.</w:t>
            </w:r>
            <w:r w:rsidR="00FB3C83">
              <w:rPr>
                <w:rStyle w:val="normaltextrun"/>
                <w:rFonts w:ascii="Arial" w:hAnsi="Arial" w:cs="Arial"/>
                <w:szCs w:val="20"/>
              </w:rPr>
              <w:t>29</w:t>
            </w:r>
          </w:p>
        </w:tc>
        <w:tc>
          <w:tcPr>
            <w:tcW w:w="1332"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6DB6885C" w14:textId="2D10CE75" w:rsidR="00EF6ACC" w:rsidRPr="00360131" w:rsidRDefault="00EF6ACC" w:rsidP="009B2CD9">
            <w:pPr>
              <w:spacing w:line="259" w:lineRule="auto"/>
              <w:jc w:val="center"/>
              <w:rPr>
                <w:rFonts w:ascii="Arial" w:hAnsi="Arial" w:cs="Arial"/>
                <w:szCs w:val="20"/>
              </w:rPr>
            </w:pPr>
            <w:r>
              <w:rPr>
                <w:rStyle w:val="normaltextrun"/>
                <w:rFonts w:ascii="Arial" w:hAnsi="Arial" w:cs="Arial"/>
                <w:szCs w:val="20"/>
              </w:rPr>
              <w:t>0.</w:t>
            </w:r>
            <w:r w:rsidR="00FB3C83">
              <w:rPr>
                <w:rStyle w:val="normaltextrun"/>
                <w:rFonts w:ascii="Arial" w:hAnsi="Arial" w:cs="Arial"/>
                <w:szCs w:val="20"/>
              </w:rPr>
              <w:t>29</w:t>
            </w:r>
          </w:p>
        </w:tc>
        <w:tc>
          <w:tcPr>
            <w:tcW w:w="1333"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0E9A1BE6" w14:textId="41D63121" w:rsidR="00EF6ACC" w:rsidRPr="00360131" w:rsidRDefault="00EF6ACC" w:rsidP="009B2CD9">
            <w:pPr>
              <w:spacing w:line="259" w:lineRule="auto"/>
              <w:jc w:val="center"/>
              <w:rPr>
                <w:rFonts w:ascii="Arial" w:hAnsi="Arial" w:cs="Arial"/>
                <w:szCs w:val="20"/>
              </w:rPr>
            </w:pPr>
            <w:r>
              <w:rPr>
                <w:rStyle w:val="normaltextrun"/>
                <w:rFonts w:ascii="Arial" w:hAnsi="Arial" w:cs="Arial"/>
                <w:szCs w:val="20"/>
              </w:rPr>
              <w:t>0.</w:t>
            </w:r>
            <w:r w:rsidR="00FB3C83">
              <w:rPr>
                <w:rStyle w:val="normaltextrun"/>
                <w:rFonts w:ascii="Arial" w:hAnsi="Arial" w:cs="Arial"/>
                <w:szCs w:val="20"/>
              </w:rPr>
              <w:t>29</w:t>
            </w:r>
          </w:p>
        </w:tc>
      </w:tr>
      <w:tr w:rsidR="009B2CD9" w:rsidRPr="000E24E9" w14:paraId="0956559B" w14:textId="77777777" w:rsidTr="003F1732">
        <w:trPr>
          <w:trHeight w:val="397"/>
        </w:trPr>
        <w:tc>
          <w:tcPr>
            <w:tcW w:w="2552" w:type="dxa"/>
            <w:tcBorders>
              <w:top w:val="single" w:sz="2" w:space="0" w:color="002279"/>
              <w:left w:val="single" w:sz="4" w:space="0" w:color="002279"/>
              <w:bottom w:val="single" w:sz="2" w:space="0" w:color="002279"/>
              <w:right w:val="single" w:sz="4" w:space="0" w:color="002279"/>
            </w:tcBorders>
            <w:noWrap/>
            <w:vAlign w:val="center"/>
          </w:tcPr>
          <w:p w14:paraId="5E278F13" w14:textId="09FEF671" w:rsidR="00EF6ACC" w:rsidRPr="00360131" w:rsidRDefault="00EF6ACC" w:rsidP="00F50CE0">
            <w:pPr>
              <w:spacing w:line="259" w:lineRule="auto"/>
              <w:rPr>
                <w:rFonts w:ascii="Arial" w:hAnsi="Arial" w:cs="Arial"/>
                <w:szCs w:val="20"/>
              </w:rPr>
            </w:pPr>
            <w:r w:rsidRPr="0097263A">
              <w:rPr>
                <w:rFonts w:cs="Arial"/>
                <w:szCs w:val="20"/>
              </w:rPr>
              <w:t xml:space="preserve">IWM </w:t>
            </w:r>
            <w:r w:rsidR="00A933AB" w:rsidRPr="0097263A">
              <w:rPr>
                <w:rFonts w:cs="Arial"/>
                <w:szCs w:val="20"/>
              </w:rPr>
              <w:t xml:space="preserve">– </w:t>
            </w:r>
            <w:r w:rsidRPr="0097263A">
              <w:rPr>
                <w:rFonts w:cs="Arial"/>
                <w:szCs w:val="20"/>
              </w:rPr>
              <w:t>Dingley</w:t>
            </w:r>
          </w:p>
        </w:tc>
        <w:tc>
          <w:tcPr>
            <w:tcW w:w="1332" w:type="dxa"/>
            <w:tcBorders>
              <w:top w:val="single" w:sz="2" w:space="0" w:color="002279"/>
              <w:left w:val="single" w:sz="4" w:space="0" w:color="002279"/>
              <w:bottom w:val="single" w:sz="2" w:space="0" w:color="002279"/>
              <w:right w:val="single" w:sz="4" w:space="0" w:color="002279"/>
            </w:tcBorders>
            <w:vAlign w:val="center"/>
          </w:tcPr>
          <w:p w14:paraId="2EA8C2D1" w14:textId="5820B161" w:rsidR="00EF6ACC" w:rsidRPr="00360131" w:rsidRDefault="00D62ED7" w:rsidP="00386FB1">
            <w:pPr>
              <w:spacing w:line="259" w:lineRule="auto"/>
              <w:jc w:val="center"/>
              <w:rPr>
                <w:rFonts w:ascii="Arial" w:hAnsi="Arial" w:cs="Arial"/>
                <w:szCs w:val="20"/>
              </w:rPr>
            </w:pPr>
            <w:r>
              <w:rPr>
                <w:rStyle w:val="normaltextrun"/>
                <w:rFonts w:ascii="Arial" w:hAnsi="Arial" w:cs="Arial"/>
                <w:szCs w:val="20"/>
              </w:rPr>
              <w:t>-</w:t>
            </w:r>
          </w:p>
        </w:tc>
        <w:tc>
          <w:tcPr>
            <w:tcW w:w="1332" w:type="dxa"/>
            <w:tcBorders>
              <w:top w:val="single" w:sz="2" w:space="0" w:color="002279"/>
              <w:left w:val="single" w:sz="4" w:space="0" w:color="002279"/>
              <w:bottom w:val="single" w:sz="2" w:space="0" w:color="002279"/>
              <w:right w:val="single" w:sz="4" w:space="0" w:color="002279"/>
            </w:tcBorders>
            <w:vAlign w:val="center"/>
          </w:tcPr>
          <w:p w14:paraId="1B468985" w14:textId="6A3870BE" w:rsidR="00EF6ACC" w:rsidRPr="00360131" w:rsidRDefault="00D62ED7" w:rsidP="009B2CD9">
            <w:pPr>
              <w:spacing w:line="259" w:lineRule="auto"/>
              <w:jc w:val="center"/>
              <w:rPr>
                <w:rFonts w:ascii="Arial" w:hAnsi="Arial" w:cs="Arial"/>
                <w:szCs w:val="20"/>
              </w:rPr>
            </w:pPr>
            <w:r>
              <w:rPr>
                <w:rStyle w:val="normaltextrun"/>
              </w:rPr>
              <w:t>-</w:t>
            </w:r>
          </w:p>
        </w:tc>
        <w:tc>
          <w:tcPr>
            <w:tcW w:w="1333" w:type="dxa"/>
            <w:tcBorders>
              <w:top w:val="single" w:sz="2" w:space="0" w:color="002279"/>
              <w:left w:val="single" w:sz="4" w:space="0" w:color="002279"/>
              <w:bottom w:val="single" w:sz="2" w:space="0" w:color="002279"/>
              <w:right w:val="single" w:sz="4" w:space="0" w:color="002279"/>
            </w:tcBorders>
            <w:vAlign w:val="center"/>
          </w:tcPr>
          <w:p w14:paraId="7C1672A1" w14:textId="2B8BFA48" w:rsidR="00EF6ACC" w:rsidRPr="00360131" w:rsidRDefault="00EF6ACC" w:rsidP="009B2CD9">
            <w:pPr>
              <w:spacing w:line="259" w:lineRule="auto"/>
              <w:jc w:val="center"/>
              <w:rPr>
                <w:rFonts w:ascii="Arial" w:hAnsi="Arial" w:cs="Arial"/>
                <w:szCs w:val="20"/>
              </w:rPr>
            </w:pPr>
            <w:r>
              <w:rPr>
                <w:rStyle w:val="normaltextrun"/>
                <w:rFonts w:ascii="Arial" w:hAnsi="Arial" w:cs="Arial"/>
                <w:szCs w:val="20"/>
              </w:rPr>
              <w:t>0.</w:t>
            </w:r>
            <w:r w:rsidR="00FB3C83">
              <w:rPr>
                <w:rStyle w:val="normaltextrun"/>
                <w:rFonts w:ascii="Arial" w:hAnsi="Arial" w:cs="Arial"/>
                <w:szCs w:val="20"/>
              </w:rPr>
              <w:t>32</w:t>
            </w:r>
          </w:p>
        </w:tc>
        <w:tc>
          <w:tcPr>
            <w:tcW w:w="1332" w:type="dxa"/>
            <w:tcBorders>
              <w:top w:val="single" w:sz="2" w:space="0" w:color="002279"/>
              <w:left w:val="single" w:sz="4" w:space="0" w:color="002279"/>
              <w:bottom w:val="single" w:sz="2" w:space="0" w:color="002279"/>
              <w:right w:val="single" w:sz="4" w:space="0" w:color="002279"/>
            </w:tcBorders>
            <w:vAlign w:val="center"/>
          </w:tcPr>
          <w:p w14:paraId="043876FD" w14:textId="78CD3365" w:rsidR="00EF6ACC" w:rsidRPr="00360131" w:rsidRDefault="00EF6ACC" w:rsidP="009B2CD9">
            <w:pPr>
              <w:spacing w:line="259" w:lineRule="auto"/>
              <w:jc w:val="center"/>
              <w:rPr>
                <w:rFonts w:ascii="Arial" w:hAnsi="Arial" w:cs="Arial"/>
                <w:szCs w:val="20"/>
              </w:rPr>
            </w:pPr>
            <w:r>
              <w:rPr>
                <w:rStyle w:val="normaltextrun"/>
                <w:rFonts w:ascii="Arial" w:hAnsi="Arial" w:cs="Arial"/>
                <w:szCs w:val="20"/>
              </w:rPr>
              <w:t>0.</w:t>
            </w:r>
            <w:r w:rsidR="00FB3C83">
              <w:rPr>
                <w:rStyle w:val="normaltextrun"/>
                <w:rFonts w:ascii="Arial" w:hAnsi="Arial" w:cs="Arial"/>
                <w:szCs w:val="20"/>
              </w:rPr>
              <w:t>32</w:t>
            </w:r>
          </w:p>
        </w:tc>
        <w:tc>
          <w:tcPr>
            <w:tcW w:w="1333" w:type="dxa"/>
            <w:tcBorders>
              <w:top w:val="single" w:sz="2" w:space="0" w:color="002279"/>
              <w:left w:val="single" w:sz="4" w:space="0" w:color="002279"/>
              <w:bottom w:val="single" w:sz="2" w:space="0" w:color="002279"/>
              <w:right w:val="single" w:sz="4" w:space="0" w:color="002279"/>
            </w:tcBorders>
            <w:vAlign w:val="center"/>
          </w:tcPr>
          <w:p w14:paraId="05397BFD" w14:textId="51279DFF" w:rsidR="00EF6ACC" w:rsidRPr="00360131" w:rsidRDefault="00EF6ACC" w:rsidP="009B2CD9">
            <w:pPr>
              <w:spacing w:line="259" w:lineRule="auto"/>
              <w:jc w:val="center"/>
              <w:rPr>
                <w:rFonts w:ascii="Arial" w:hAnsi="Arial" w:cs="Arial"/>
                <w:szCs w:val="20"/>
              </w:rPr>
            </w:pPr>
            <w:r>
              <w:rPr>
                <w:rStyle w:val="normaltextrun"/>
                <w:rFonts w:ascii="Arial" w:hAnsi="Arial" w:cs="Arial"/>
                <w:szCs w:val="20"/>
              </w:rPr>
              <w:t>0.</w:t>
            </w:r>
            <w:r w:rsidR="00FB3C83">
              <w:rPr>
                <w:rStyle w:val="normaltextrun"/>
                <w:rFonts w:ascii="Arial" w:hAnsi="Arial" w:cs="Arial"/>
                <w:szCs w:val="20"/>
              </w:rPr>
              <w:t>32</w:t>
            </w:r>
          </w:p>
        </w:tc>
      </w:tr>
      <w:tr w:rsidR="009B2CD9" w:rsidRPr="000E24E9" w14:paraId="5C9F1411" w14:textId="77777777" w:rsidTr="003F1732">
        <w:trPr>
          <w:trHeight w:val="397"/>
        </w:trPr>
        <w:tc>
          <w:tcPr>
            <w:tcW w:w="2552" w:type="dxa"/>
            <w:tcBorders>
              <w:top w:val="single" w:sz="2" w:space="0" w:color="002279"/>
              <w:left w:val="single" w:sz="4" w:space="0" w:color="002279"/>
              <w:bottom w:val="single" w:sz="2" w:space="0" w:color="002279"/>
              <w:right w:val="single" w:sz="4" w:space="0" w:color="002279"/>
            </w:tcBorders>
            <w:shd w:val="clear" w:color="auto" w:fill="D4D6DF"/>
            <w:noWrap/>
            <w:vAlign w:val="center"/>
          </w:tcPr>
          <w:p w14:paraId="501ED3BB" w14:textId="77777777" w:rsidR="00EF6ACC" w:rsidRPr="00360131" w:rsidRDefault="00EF6ACC" w:rsidP="00F50CE0">
            <w:pPr>
              <w:spacing w:line="259" w:lineRule="auto"/>
              <w:rPr>
                <w:rFonts w:ascii="Arial" w:hAnsi="Arial" w:cs="Arial"/>
                <w:szCs w:val="20"/>
              </w:rPr>
            </w:pPr>
            <w:r w:rsidRPr="0097263A">
              <w:rPr>
                <w:rFonts w:cs="Arial"/>
                <w:szCs w:val="20"/>
              </w:rPr>
              <w:t>GED</w:t>
            </w:r>
          </w:p>
        </w:tc>
        <w:tc>
          <w:tcPr>
            <w:tcW w:w="1332"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49AD7E28" w14:textId="458955D9" w:rsidR="00EF6ACC" w:rsidRPr="00360131" w:rsidRDefault="00EF6ACC" w:rsidP="00386FB1">
            <w:pPr>
              <w:spacing w:line="259" w:lineRule="auto"/>
              <w:jc w:val="center"/>
              <w:rPr>
                <w:rFonts w:ascii="Arial" w:hAnsi="Arial" w:cs="Arial"/>
                <w:szCs w:val="20"/>
              </w:rPr>
            </w:pPr>
            <w:r>
              <w:rPr>
                <w:rStyle w:val="normaltextrun"/>
                <w:rFonts w:ascii="Arial" w:hAnsi="Arial" w:cs="Arial"/>
                <w:szCs w:val="20"/>
              </w:rPr>
              <w:t>0.</w:t>
            </w:r>
            <w:r w:rsidR="00FB3C83">
              <w:rPr>
                <w:rStyle w:val="normaltextrun"/>
                <w:rFonts w:ascii="Arial" w:hAnsi="Arial" w:cs="Arial"/>
                <w:szCs w:val="20"/>
              </w:rPr>
              <w:t>18</w:t>
            </w:r>
          </w:p>
        </w:tc>
        <w:tc>
          <w:tcPr>
            <w:tcW w:w="1332"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1FCD9A7A" w14:textId="5D97A6AD" w:rsidR="00EF6ACC" w:rsidRPr="00360131" w:rsidRDefault="00EF6ACC" w:rsidP="009B2CD9">
            <w:pPr>
              <w:spacing w:line="259" w:lineRule="auto"/>
              <w:jc w:val="center"/>
              <w:rPr>
                <w:rFonts w:ascii="Arial" w:hAnsi="Arial" w:cs="Arial"/>
                <w:szCs w:val="20"/>
              </w:rPr>
            </w:pPr>
            <w:r>
              <w:rPr>
                <w:rStyle w:val="normaltextrun"/>
                <w:rFonts w:ascii="Arial" w:hAnsi="Arial" w:cs="Arial"/>
                <w:szCs w:val="20"/>
              </w:rPr>
              <w:t>0.</w:t>
            </w:r>
            <w:r w:rsidR="00FB3C83">
              <w:rPr>
                <w:rStyle w:val="normaltextrun"/>
                <w:rFonts w:ascii="Arial" w:hAnsi="Arial" w:cs="Arial"/>
                <w:szCs w:val="20"/>
              </w:rPr>
              <w:t>18</w:t>
            </w:r>
          </w:p>
        </w:tc>
        <w:tc>
          <w:tcPr>
            <w:tcW w:w="1333"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2DABFAE9" w14:textId="340D5FD1" w:rsidR="00EF6ACC" w:rsidRPr="00360131" w:rsidRDefault="00EF6ACC" w:rsidP="009B2CD9">
            <w:pPr>
              <w:spacing w:line="259" w:lineRule="auto"/>
              <w:jc w:val="center"/>
              <w:rPr>
                <w:rFonts w:ascii="Arial" w:hAnsi="Arial" w:cs="Arial"/>
                <w:szCs w:val="20"/>
              </w:rPr>
            </w:pPr>
            <w:r>
              <w:rPr>
                <w:rStyle w:val="normaltextrun"/>
                <w:rFonts w:ascii="Arial" w:hAnsi="Arial" w:cs="Arial"/>
                <w:szCs w:val="20"/>
              </w:rPr>
              <w:t>0.</w:t>
            </w:r>
            <w:r w:rsidR="00FB3C83">
              <w:rPr>
                <w:rStyle w:val="normaltextrun"/>
                <w:rFonts w:ascii="Arial" w:hAnsi="Arial" w:cs="Arial"/>
                <w:szCs w:val="20"/>
              </w:rPr>
              <w:t>18</w:t>
            </w:r>
          </w:p>
        </w:tc>
        <w:tc>
          <w:tcPr>
            <w:tcW w:w="1332"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39C58626" w14:textId="7339A22C" w:rsidR="00EF6ACC" w:rsidRPr="00360131" w:rsidRDefault="00EF6ACC" w:rsidP="009B2CD9">
            <w:pPr>
              <w:spacing w:line="259" w:lineRule="auto"/>
              <w:jc w:val="center"/>
              <w:rPr>
                <w:rFonts w:ascii="Arial" w:hAnsi="Arial" w:cs="Arial"/>
                <w:szCs w:val="20"/>
              </w:rPr>
            </w:pPr>
            <w:r>
              <w:rPr>
                <w:rStyle w:val="normaltextrun"/>
                <w:rFonts w:ascii="Arial" w:hAnsi="Arial" w:cs="Arial"/>
                <w:szCs w:val="20"/>
              </w:rPr>
              <w:t>0.</w:t>
            </w:r>
            <w:r w:rsidR="00FB3C83">
              <w:rPr>
                <w:rStyle w:val="normaltextrun"/>
                <w:rFonts w:ascii="Arial" w:hAnsi="Arial" w:cs="Arial"/>
                <w:szCs w:val="20"/>
              </w:rPr>
              <w:t>18</w:t>
            </w:r>
          </w:p>
        </w:tc>
        <w:tc>
          <w:tcPr>
            <w:tcW w:w="1333"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69B840E9" w14:textId="77E525C3" w:rsidR="00EF6ACC" w:rsidRPr="00360131" w:rsidRDefault="00EF6ACC" w:rsidP="009B2CD9">
            <w:pPr>
              <w:spacing w:line="259" w:lineRule="auto"/>
              <w:jc w:val="center"/>
              <w:rPr>
                <w:rFonts w:ascii="Arial" w:hAnsi="Arial" w:cs="Arial"/>
                <w:szCs w:val="20"/>
              </w:rPr>
            </w:pPr>
            <w:r>
              <w:rPr>
                <w:rStyle w:val="normaltextrun"/>
                <w:rFonts w:ascii="Arial" w:hAnsi="Arial" w:cs="Arial"/>
                <w:szCs w:val="20"/>
              </w:rPr>
              <w:t>0.</w:t>
            </w:r>
            <w:r w:rsidR="00FB3C83">
              <w:rPr>
                <w:rStyle w:val="normaltextrun"/>
                <w:rFonts w:ascii="Arial" w:hAnsi="Arial" w:cs="Arial"/>
                <w:szCs w:val="20"/>
              </w:rPr>
              <w:t>18</w:t>
            </w:r>
          </w:p>
        </w:tc>
      </w:tr>
      <w:tr w:rsidR="009B2CD9" w:rsidRPr="000E24E9" w14:paraId="1C1A4F96" w14:textId="77777777" w:rsidTr="003F1732">
        <w:trPr>
          <w:trHeight w:val="397"/>
        </w:trPr>
        <w:tc>
          <w:tcPr>
            <w:tcW w:w="2552" w:type="dxa"/>
            <w:tcBorders>
              <w:top w:val="single" w:sz="2" w:space="0" w:color="002279"/>
              <w:left w:val="single" w:sz="4" w:space="0" w:color="002279"/>
              <w:bottom w:val="single" w:sz="2" w:space="0" w:color="002279"/>
              <w:right w:val="single" w:sz="4" w:space="0" w:color="002279"/>
            </w:tcBorders>
            <w:noWrap/>
            <w:vAlign w:val="center"/>
          </w:tcPr>
          <w:p w14:paraId="5DD1BFD1" w14:textId="1E41FE97" w:rsidR="00EF6ACC" w:rsidRPr="00360131" w:rsidRDefault="00EF6ACC" w:rsidP="00F50CE0">
            <w:pPr>
              <w:spacing w:line="259" w:lineRule="auto"/>
              <w:rPr>
                <w:rFonts w:ascii="Arial" w:hAnsi="Arial" w:cs="Arial"/>
                <w:szCs w:val="20"/>
              </w:rPr>
            </w:pPr>
            <w:r w:rsidRPr="0097263A">
              <w:rPr>
                <w:rFonts w:cs="Arial"/>
                <w:szCs w:val="20"/>
              </w:rPr>
              <w:t>Traditional Owner</w:t>
            </w:r>
          </w:p>
        </w:tc>
        <w:tc>
          <w:tcPr>
            <w:tcW w:w="1332" w:type="dxa"/>
            <w:tcBorders>
              <w:top w:val="single" w:sz="2" w:space="0" w:color="002279"/>
              <w:left w:val="single" w:sz="4" w:space="0" w:color="002279"/>
              <w:bottom w:val="single" w:sz="2" w:space="0" w:color="002279"/>
              <w:right w:val="single" w:sz="4" w:space="0" w:color="002279"/>
            </w:tcBorders>
            <w:vAlign w:val="center"/>
          </w:tcPr>
          <w:p w14:paraId="52B8A77E" w14:textId="40AF327C" w:rsidR="00EF6ACC" w:rsidRPr="00360131" w:rsidRDefault="00EF6ACC" w:rsidP="00386FB1">
            <w:pPr>
              <w:spacing w:line="259" w:lineRule="auto"/>
              <w:jc w:val="center"/>
              <w:rPr>
                <w:rFonts w:ascii="Arial" w:hAnsi="Arial" w:cs="Arial"/>
                <w:szCs w:val="20"/>
              </w:rPr>
            </w:pPr>
            <w:r>
              <w:rPr>
                <w:rStyle w:val="normaltextrun"/>
                <w:rFonts w:ascii="Arial" w:hAnsi="Arial" w:cs="Arial"/>
                <w:szCs w:val="20"/>
              </w:rPr>
              <w:t>0.</w:t>
            </w:r>
            <w:r w:rsidR="00FB3C83">
              <w:rPr>
                <w:rStyle w:val="normaltextrun"/>
                <w:rFonts w:ascii="Arial" w:hAnsi="Arial" w:cs="Arial"/>
                <w:szCs w:val="20"/>
              </w:rPr>
              <w:t>43</w:t>
            </w:r>
          </w:p>
        </w:tc>
        <w:tc>
          <w:tcPr>
            <w:tcW w:w="1332" w:type="dxa"/>
            <w:tcBorders>
              <w:top w:val="single" w:sz="2" w:space="0" w:color="002279"/>
              <w:left w:val="single" w:sz="4" w:space="0" w:color="002279"/>
              <w:bottom w:val="single" w:sz="2" w:space="0" w:color="002279"/>
              <w:right w:val="single" w:sz="4" w:space="0" w:color="002279"/>
            </w:tcBorders>
            <w:vAlign w:val="center"/>
          </w:tcPr>
          <w:p w14:paraId="10FE5C33" w14:textId="1DE21E6E" w:rsidR="00EF6ACC" w:rsidRPr="00360131" w:rsidRDefault="00EF6ACC" w:rsidP="009B2CD9">
            <w:pPr>
              <w:spacing w:line="259" w:lineRule="auto"/>
              <w:jc w:val="center"/>
              <w:rPr>
                <w:rFonts w:ascii="Arial" w:hAnsi="Arial" w:cs="Arial"/>
                <w:szCs w:val="20"/>
              </w:rPr>
            </w:pPr>
            <w:r>
              <w:rPr>
                <w:rStyle w:val="normaltextrun"/>
                <w:rFonts w:ascii="Arial" w:hAnsi="Arial" w:cs="Arial"/>
                <w:szCs w:val="20"/>
              </w:rPr>
              <w:t>0.</w:t>
            </w:r>
            <w:r w:rsidR="00FB3C83">
              <w:rPr>
                <w:rStyle w:val="normaltextrun"/>
                <w:rFonts w:ascii="Arial" w:hAnsi="Arial" w:cs="Arial"/>
                <w:szCs w:val="20"/>
              </w:rPr>
              <w:t>43</w:t>
            </w:r>
          </w:p>
        </w:tc>
        <w:tc>
          <w:tcPr>
            <w:tcW w:w="1333" w:type="dxa"/>
            <w:tcBorders>
              <w:top w:val="single" w:sz="2" w:space="0" w:color="002279"/>
              <w:left w:val="single" w:sz="4" w:space="0" w:color="002279"/>
              <w:bottom w:val="single" w:sz="2" w:space="0" w:color="002279"/>
              <w:right w:val="single" w:sz="4" w:space="0" w:color="002279"/>
            </w:tcBorders>
            <w:vAlign w:val="center"/>
          </w:tcPr>
          <w:p w14:paraId="0923D8B0" w14:textId="0021AF98" w:rsidR="00EF6ACC" w:rsidRPr="00360131" w:rsidRDefault="00EF6ACC" w:rsidP="009B2CD9">
            <w:pPr>
              <w:spacing w:line="259" w:lineRule="auto"/>
              <w:jc w:val="center"/>
              <w:rPr>
                <w:rFonts w:ascii="Arial" w:hAnsi="Arial" w:cs="Arial"/>
                <w:szCs w:val="20"/>
              </w:rPr>
            </w:pPr>
            <w:r>
              <w:rPr>
                <w:rStyle w:val="normaltextrun"/>
                <w:rFonts w:ascii="Arial" w:hAnsi="Arial" w:cs="Arial"/>
                <w:szCs w:val="20"/>
              </w:rPr>
              <w:t>0.</w:t>
            </w:r>
            <w:r w:rsidR="00FB3C83">
              <w:rPr>
                <w:rStyle w:val="normaltextrun"/>
                <w:rFonts w:ascii="Arial" w:hAnsi="Arial" w:cs="Arial"/>
                <w:szCs w:val="20"/>
              </w:rPr>
              <w:t>50</w:t>
            </w:r>
          </w:p>
        </w:tc>
        <w:tc>
          <w:tcPr>
            <w:tcW w:w="1332" w:type="dxa"/>
            <w:tcBorders>
              <w:top w:val="single" w:sz="2" w:space="0" w:color="002279"/>
              <w:left w:val="single" w:sz="4" w:space="0" w:color="002279"/>
              <w:bottom w:val="single" w:sz="2" w:space="0" w:color="002279"/>
              <w:right w:val="single" w:sz="4" w:space="0" w:color="002279"/>
            </w:tcBorders>
            <w:vAlign w:val="center"/>
          </w:tcPr>
          <w:p w14:paraId="3F3C8857" w14:textId="050F7530" w:rsidR="00EF6ACC" w:rsidRPr="00360131" w:rsidRDefault="00EF6ACC" w:rsidP="009B2CD9">
            <w:pPr>
              <w:spacing w:line="259" w:lineRule="auto"/>
              <w:jc w:val="center"/>
              <w:rPr>
                <w:rFonts w:ascii="Arial" w:hAnsi="Arial" w:cs="Arial"/>
                <w:szCs w:val="20"/>
              </w:rPr>
            </w:pPr>
            <w:r>
              <w:rPr>
                <w:rStyle w:val="normaltextrun"/>
                <w:rFonts w:ascii="Arial" w:hAnsi="Arial" w:cs="Arial"/>
                <w:szCs w:val="20"/>
              </w:rPr>
              <w:t>0.</w:t>
            </w:r>
            <w:r w:rsidR="00FB3C83">
              <w:rPr>
                <w:rStyle w:val="normaltextrun"/>
                <w:rFonts w:ascii="Arial" w:hAnsi="Arial" w:cs="Arial"/>
                <w:szCs w:val="20"/>
              </w:rPr>
              <w:t>50</w:t>
            </w:r>
          </w:p>
        </w:tc>
        <w:tc>
          <w:tcPr>
            <w:tcW w:w="1333" w:type="dxa"/>
            <w:tcBorders>
              <w:top w:val="single" w:sz="2" w:space="0" w:color="002279"/>
              <w:left w:val="single" w:sz="4" w:space="0" w:color="002279"/>
              <w:bottom w:val="single" w:sz="2" w:space="0" w:color="002279"/>
              <w:right w:val="single" w:sz="4" w:space="0" w:color="002279"/>
            </w:tcBorders>
            <w:vAlign w:val="center"/>
          </w:tcPr>
          <w:p w14:paraId="1047587C" w14:textId="2CE699C9" w:rsidR="00EF6ACC" w:rsidRPr="00360131" w:rsidRDefault="00EF6ACC" w:rsidP="009B2CD9">
            <w:pPr>
              <w:spacing w:line="259" w:lineRule="auto"/>
              <w:jc w:val="center"/>
              <w:rPr>
                <w:rFonts w:ascii="Arial" w:hAnsi="Arial" w:cs="Arial"/>
                <w:szCs w:val="20"/>
              </w:rPr>
            </w:pPr>
            <w:r>
              <w:rPr>
                <w:rStyle w:val="normaltextrun"/>
                <w:rFonts w:ascii="Arial" w:hAnsi="Arial" w:cs="Arial"/>
                <w:szCs w:val="20"/>
              </w:rPr>
              <w:t>0.</w:t>
            </w:r>
            <w:r w:rsidR="00FB3C83">
              <w:rPr>
                <w:rStyle w:val="normaltextrun"/>
                <w:rFonts w:ascii="Arial" w:hAnsi="Arial" w:cs="Arial"/>
                <w:szCs w:val="20"/>
              </w:rPr>
              <w:t>50</w:t>
            </w:r>
          </w:p>
        </w:tc>
      </w:tr>
      <w:tr w:rsidR="009B2CD9" w:rsidRPr="000E24E9" w14:paraId="6A4F97F1" w14:textId="77777777" w:rsidTr="003F1732">
        <w:trPr>
          <w:trHeight w:val="397"/>
        </w:trPr>
        <w:tc>
          <w:tcPr>
            <w:tcW w:w="2552" w:type="dxa"/>
            <w:tcBorders>
              <w:top w:val="single" w:sz="2" w:space="0" w:color="002279"/>
              <w:left w:val="single" w:sz="4" w:space="0" w:color="002279"/>
              <w:bottom w:val="single" w:sz="2" w:space="0" w:color="002279"/>
              <w:right w:val="single" w:sz="4" w:space="0" w:color="002279"/>
            </w:tcBorders>
            <w:shd w:val="clear" w:color="auto" w:fill="D4D6DF"/>
            <w:noWrap/>
            <w:vAlign w:val="center"/>
          </w:tcPr>
          <w:p w14:paraId="386BEC5C" w14:textId="2D2405FF" w:rsidR="00EF6ACC" w:rsidRPr="002020E8" w:rsidRDefault="00EF6ACC" w:rsidP="00F50CE0">
            <w:pPr>
              <w:spacing w:line="259" w:lineRule="auto"/>
              <w:rPr>
                <w:rFonts w:cstheme="minorHAnsi"/>
                <w:szCs w:val="20"/>
              </w:rPr>
            </w:pPr>
            <w:r w:rsidRPr="002020E8">
              <w:rPr>
                <w:rFonts w:cstheme="minorHAnsi"/>
                <w:szCs w:val="20"/>
              </w:rPr>
              <w:t xml:space="preserve">Water </w:t>
            </w:r>
            <w:r w:rsidR="00C33E23" w:rsidRPr="002020E8">
              <w:rPr>
                <w:rFonts w:cstheme="minorHAnsi"/>
                <w:szCs w:val="20"/>
              </w:rPr>
              <w:t>r</w:t>
            </w:r>
            <w:r w:rsidRPr="002020E8">
              <w:rPr>
                <w:rFonts w:cstheme="minorHAnsi"/>
                <w:szCs w:val="20"/>
              </w:rPr>
              <w:t xml:space="preserve">ecycling </w:t>
            </w:r>
            <w:r w:rsidR="00C33E23" w:rsidRPr="002020E8">
              <w:rPr>
                <w:rFonts w:cstheme="minorHAnsi"/>
                <w:szCs w:val="20"/>
              </w:rPr>
              <w:t>p</w:t>
            </w:r>
            <w:r w:rsidRPr="002020E8">
              <w:rPr>
                <w:rFonts w:cstheme="minorHAnsi"/>
                <w:szCs w:val="20"/>
              </w:rPr>
              <w:t>lants</w:t>
            </w:r>
          </w:p>
        </w:tc>
        <w:tc>
          <w:tcPr>
            <w:tcW w:w="1332"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1F57481C" w14:textId="1C3091EC" w:rsidR="00EF6ACC" w:rsidRPr="002020E8" w:rsidRDefault="00EF6ACC" w:rsidP="00386FB1">
            <w:pPr>
              <w:spacing w:line="259" w:lineRule="auto"/>
              <w:jc w:val="center"/>
              <w:rPr>
                <w:rFonts w:cstheme="minorHAnsi"/>
                <w:szCs w:val="20"/>
              </w:rPr>
            </w:pPr>
            <w:r>
              <w:rPr>
                <w:rStyle w:val="normaltextrun"/>
                <w:rFonts w:ascii="Arial" w:hAnsi="Arial" w:cs="Arial"/>
                <w:szCs w:val="20"/>
              </w:rPr>
              <w:t>1.</w:t>
            </w:r>
            <w:r w:rsidR="00FB3C83">
              <w:rPr>
                <w:rStyle w:val="normaltextrun"/>
                <w:rFonts w:ascii="Arial" w:hAnsi="Arial" w:cs="Arial"/>
                <w:szCs w:val="20"/>
              </w:rPr>
              <w:t>34</w:t>
            </w:r>
          </w:p>
        </w:tc>
        <w:tc>
          <w:tcPr>
            <w:tcW w:w="1332"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727626F8" w14:textId="06B624CD" w:rsidR="00EF6ACC" w:rsidRPr="002020E8" w:rsidRDefault="00EF6ACC" w:rsidP="009B2CD9">
            <w:pPr>
              <w:spacing w:line="259" w:lineRule="auto"/>
              <w:jc w:val="center"/>
              <w:rPr>
                <w:rFonts w:cstheme="minorHAnsi"/>
                <w:szCs w:val="20"/>
              </w:rPr>
            </w:pPr>
            <w:r>
              <w:rPr>
                <w:rStyle w:val="normaltextrun"/>
                <w:rFonts w:ascii="Arial" w:hAnsi="Arial" w:cs="Arial"/>
                <w:szCs w:val="20"/>
              </w:rPr>
              <w:t>1.</w:t>
            </w:r>
            <w:r w:rsidR="00FB3C83">
              <w:rPr>
                <w:rStyle w:val="normaltextrun"/>
                <w:rFonts w:ascii="Arial" w:hAnsi="Arial" w:cs="Arial"/>
                <w:szCs w:val="20"/>
              </w:rPr>
              <w:t>78</w:t>
            </w:r>
          </w:p>
        </w:tc>
        <w:tc>
          <w:tcPr>
            <w:tcW w:w="1333"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39C1FF44" w14:textId="275A0574" w:rsidR="00EF6ACC" w:rsidRPr="002020E8" w:rsidRDefault="00FB3C83" w:rsidP="009B2CD9">
            <w:pPr>
              <w:spacing w:line="259" w:lineRule="auto"/>
              <w:jc w:val="center"/>
              <w:rPr>
                <w:rFonts w:cstheme="minorHAnsi"/>
                <w:szCs w:val="20"/>
              </w:rPr>
            </w:pPr>
            <w:r>
              <w:rPr>
                <w:rStyle w:val="normaltextrun"/>
                <w:rFonts w:ascii="Arial" w:hAnsi="Arial" w:cs="Arial"/>
                <w:szCs w:val="20"/>
              </w:rPr>
              <w:t>2.95</w:t>
            </w:r>
          </w:p>
        </w:tc>
        <w:tc>
          <w:tcPr>
            <w:tcW w:w="1332"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626AA141" w14:textId="3D0F6803" w:rsidR="00EF6ACC" w:rsidRPr="002020E8" w:rsidRDefault="00EF6ACC" w:rsidP="009B2CD9">
            <w:pPr>
              <w:spacing w:line="259" w:lineRule="auto"/>
              <w:jc w:val="center"/>
              <w:rPr>
                <w:rFonts w:cstheme="minorHAnsi"/>
                <w:szCs w:val="20"/>
              </w:rPr>
            </w:pPr>
            <w:r>
              <w:rPr>
                <w:rStyle w:val="normaltextrun"/>
                <w:rFonts w:ascii="Arial" w:hAnsi="Arial" w:cs="Arial"/>
                <w:szCs w:val="20"/>
              </w:rPr>
              <w:t>2.</w:t>
            </w:r>
            <w:r w:rsidR="00FB3C83">
              <w:rPr>
                <w:rStyle w:val="normaltextrun"/>
                <w:rFonts w:ascii="Arial" w:hAnsi="Arial" w:cs="Arial"/>
                <w:szCs w:val="20"/>
              </w:rPr>
              <w:t>42</w:t>
            </w:r>
          </w:p>
        </w:tc>
        <w:tc>
          <w:tcPr>
            <w:tcW w:w="1333"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2FB91461" w14:textId="25A675E2" w:rsidR="00EF6ACC" w:rsidRPr="002020E8" w:rsidRDefault="00EF6ACC" w:rsidP="009B2CD9">
            <w:pPr>
              <w:spacing w:line="259" w:lineRule="auto"/>
              <w:jc w:val="center"/>
              <w:rPr>
                <w:rFonts w:cstheme="minorHAnsi"/>
                <w:szCs w:val="20"/>
              </w:rPr>
            </w:pPr>
            <w:r>
              <w:rPr>
                <w:rStyle w:val="normaltextrun"/>
                <w:rFonts w:ascii="Arial" w:hAnsi="Arial" w:cs="Arial"/>
                <w:szCs w:val="20"/>
              </w:rPr>
              <w:t>2.</w:t>
            </w:r>
            <w:r w:rsidR="00FB3C83">
              <w:rPr>
                <w:rStyle w:val="normaltextrun"/>
                <w:rFonts w:ascii="Arial" w:hAnsi="Arial" w:cs="Arial"/>
                <w:szCs w:val="20"/>
              </w:rPr>
              <w:t>69</w:t>
            </w:r>
          </w:p>
        </w:tc>
      </w:tr>
      <w:tr w:rsidR="009B2CD9" w:rsidRPr="000E24E9" w14:paraId="2AA99B95" w14:textId="77777777" w:rsidTr="003F1732">
        <w:trPr>
          <w:trHeight w:val="397"/>
        </w:trPr>
        <w:tc>
          <w:tcPr>
            <w:tcW w:w="2552" w:type="dxa"/>
            <w:tcBorders>
              <w:top w:val="single" w:sz="2" w:space="0" w:color="002279"/>
              <w:left w:val="single" w:sz="4" w:space="0" w:color="002279"/>
              <w:bottom w:val="single" w:sz="2" w:space="0" w:color="002279"/>
              <w:right w:val="single" w:sz="4" w:space="0" w:color="002279"/>
            </w:tcBorders>
            <w:noWrap/>
            <w:vAlign w:val="center"/>
          </w:tcPr>
          <w:p w14:paraId="0A84D611" w14:textId="5A06CA52" w:rsidR="00EF6ACC" w:rsidRPr="002020E8" w:rsidRDefault="00EF6ACC" w:rsidP="00F50CE0">
            <w:pPr>
              <w:spacing w:line="259" w:lineRule="auto"/>
              <w:rPr>
                <w:rFonts w:cstheme="minorHAnsi"/>
                <w:szCs w:val="20"/>
              </w:rPr>
            </w:pPr>
            <w:r w:rsidRPr="002020E8">
              <w:rPr>
                <w:rFonts w:cstheme="minorHAnsi"/>
                <w:szCs w:val="20"/>
              </w:rPr>
              <w:t xml:space="preserve">Water </w:t>
            </w:r>
            <w:r w:rsidR="00C33E23" w:rsidRPr="002020E8">
              <w:rPr>
                <w:rFonts w:cstheme="minorHAnsi"/>
                <w:szCs w:val="20"/>
              </w:rPr>
              <w:t>l</w:t>
            </w:r>
            <w:r w:rsidRPr="002020E8">
              <w:rPr>
                <w:rFonts w:cstheme="minorHAnsi"/>
                <w:szCs w:val="20"/>
              </w:rPr>
              <w:t>iteracy</w:t>
            </w:r>
          </w:p>
        </w:tc>
        <w:tc>
          <w:tcPr>
            <w:tcW w:w="1332" w:type="dxa"/>
            <w:tcBorders>
              <w:top w:val="single" w:sz="2" w:space="0" w:color="002279"/>
              <w:left w:val="single" w:sz="4" w:space="0" w:color="002279"/>
              <w:bottom w:val="single" w:sz="2" w:space="0" w:color="002279"/>
              <w:right w:val="single" w:sz="4" w:space="0" w:color="002279"/>
            </w:tcBorders>
            <w:vAlign w:val="center"/>
          </w:tcPr>
          <w:p w14:paraId="2514F1AA" w14:textId="0E5ABA2B" w:rsidR="00EF6ACC" w:rsidRPr="002020E8" w:rsidRDefault="00EF6ACC" w:rsidP="00386FB1">
            <w:pPr>
              <w:spacing w:line="259" w:lineRule="auto"/>
              <w:jc w:val="center"/>
              <w:rPr>
                <w:rFonts w:cstheme="minorHAnsi"/>
                <w:szCs w:val="20"/>
              </w:rPr>
            </w:pPr>
            <w:r>
              <w:rPr>
                <w:rStyle w:val="normaltextrun"/>
                <w:rFonts w:ascii="Arial" w:hAnsi="Arial" w:cs="Arial"/>
                <w:szCs w:val="20"/>
              </w:rPr>
              <w:t>0.</w:t>
            </w:r>
            <w:r w:rsidR="00FB3C83">
              <w:rPr>
                <w:rStyle w:val="normaltextrun"/>
                <w:rFonts w:ascii="Arial" w:hAnsi="Arial" w:cs="Arial"/>
                <w:szCs w:val="20"/>
              </w:rPr>
              <w:t>34</w:t>
            </w:r>
          </w:p>
        </w:tc>
        <w:tc>
          <w:tcPr>
            <w:tcW w:w="1332" w:type="dxa"/>
            <w:tcBorders>
              <w:top w:val="single" w:sz="2" w:space="0" w:color="002279"/>
              <w:left w:val="single" w:sz="4" w:space="0" w:color="002279"/>
              <w:bottom w:val="single" w:sz="2" w:space="0" w:color="002279"/>
              <w:right w:val="single" w:sz="4" w:space="0" w:color="002279"/>
            </w:tcBorders>
            <w:vAlign w:val="center"/>
          </w:tcPr>
          <w:p w14:paraId="2F87D609" w14:textId="14AE80DA" w:rsidR="00EF6ACC" w:rsidRPr="002020E8" w:rsidRDefault="00EF6ACC" w:rsidP="009B2CD9">
            <w:pPr>
              <w:spacing w:line="259" w:lineRule="auto"/>
              <w:jc w:val="center"/>
              <w:rPr>
                <w:rFonts w:cstheme="minorHAnsi"/>
                <w:szCs w:val="20"/>
              </w:rPr>
            </w:pPr>
            <w:r>
              <w:rPr>
                <w:rStyle w:val="normaltextrun"/>
                <w:rFonts w:ascii="Arial" w:hAnsi="Arial" w:cs="Arial"/>
                <w:szCs w:val="20"/>
              </w:rPr>
              <w:t>0.</w:t>
            </w:r>
            <w:r w:rsidR="00FB3C83">
              <w:rPr>
                <w:rStyle w:val="normaltextrun"/>
                <w:rFonts w:ascii="Arial" w:hAnsi="Arial" w:cs="Arial"/>
                <w:szCs w:val="20"/>
              </w:rPr>
              <w:t>34</w:t>
            </w:r>
          </w:p>
        </w:tc>
        <w:tc>
          <w:tcPr>
            <w:tcW w:w="1333" w:type="dxa"/>
            <w:tcBorders>
              <w:top w:val="single" w:sz="2" w:space="0" w:color="002279"/>
              <w:left w:val="single" w:sz="4" w:space="0" w:color="002279"/>
              <w:bottom w:val="single" w:sz="2" w:space="0" w:color="002279"/>
              <w:right w:val="single" w:sz="4" w:space="0" w:color="002279"/>
            </w:tcBorders>
            <w:vAlign w:val="center"/>
          </w:tcPr>
          <w:p w14:paraId="092AD17E" w14:textId="43900590" w:rsidR="00EF6ACC" w:rsidRPr="002020E8" w:rsidRDefault="00EF6ACC" w:rsidP="009B2CD9">
            <w:pPr>
              <w:spacing w:line="259" w:lineRule="auto"/>
              <w:jc w:val="center"/>
              <w:rPr>
                <w:rFonts w:cstheme="minorHAnsi"/>
                <w:szCs w:val="20"/>
              </w:rPr>
            </w:pPr>
            <w:r>
              <w:rPr>
                <w:rStyle w:val="normaltextrun"/>
                <w:rFonts w:ascii="Arial" w:hAnsi="Arial" w:cs="Arial"/>
                <w:szCs w:val="20"/>
              </w:rPr>
              <w:t>0.</w:t>
            </w:r>
            <w:r w:rsidR="00FB3C83">
              <w:rPr>
                <w:rStyle w:val="normaltextrun"/>
                <w:rFonts w:ascii="Arial" w:hAnsi="Arial" w:cs="Arial"/>
                <w:szCs w:val="20"/>
              </w:rPr>
              <w:t>34</w:t>
            </w:r>
          </w:p>
        </w:tc>
        <w:tc>
          <w:tcPr>
            <w:tcW w:w="1332" w:type="dxa"/>
            <w:tcBorders>
              <w:top w:val="single" w:sz="2" w:space="0" w:color="002279"/>
              <w:left w:val="single" w:sz="4" w:space="0" w:color="002279"/>
              <w:bottom w:val="single" w:sz="2" w:space="0" w:color="002279"/>
              <w:right w:val="single" w:sz="4" w:space="0" w:color="002279"/>
            </w:tcBorders>
            <w:vAlign w:val="center"/>
          </w:tcPr>
          <w:p w14:paraId="4AB3876B" w14:textId="13161010" w:rsidR="00EF6ACC" w:rsidRPr="002020E8" w:rsidRDefault="00EF6ACC" w:rsidP="009B2CD9">
            <w:pPr>
              <w:spacing w:line="259" w:lineRule="auto"/>
              <w:jc w:val="center"/>
              <w:rPr>
                <w:rFonts w:cstheme="minorHAnsi"/>
                <w:szCs w:val="20"/>
              </w:rPr>
            </w:pPr>
            <w:r>
              <w:rPr>
                <w:rStyle w:val="normaltextrun"/>
                <w:rFonts w:ascii="Arial" w:hAnsi="Arial" w:cs="Arial"/>
                <w:szCs w:val="20"/>
              </w:rPr>
              <w:t>0.</w:t>
            </w:r>
            <w:r w:rsidR="00FB3C83">
              <w:rPr>
                <w:rStyle w:val="normaltextrun"/>
                <w:rFonts w:ascii="Arial" w:hAnsi="Arial" w:cs="Arial"/>
                <w:szCs w:val="20"/>
              </w:rPr>
              <w:t>34</w:t>
            </w:r>
          </w:p>
        </w:tc>
        <w:tc>
          <w:tcPr>
            <w:tcW w:w="1333" w:type="dxa"/>
            <w:tcBorders>
              <w:top w:val="single" w:sz="2" w:space="0" w:color="002279"/>
              <w:left w:val="single" w:sz="4" w:space="0" w:color="002279"/>
              <w:bottom w:val="single" w:sz="2" w:space="0" w:color="002279"/>
              <w:right w:val="single" w:sz="4" w:space="0" w:color="002279"/>
            </w:tcBorders>
            <w:vAlign w:val="center"/>
          </w:tcPr>
          <w:p w14:paraId="645EF9FF" w14:textId="7E052BF9" w:rsidR="00EF6ACC" w:rsidRPr="002020E8" w:rsidRDefault="00EF6ACC" w:rsidP="009B2CD9">
            <w:pPr>
              <w:spacing w:line="259" w:lineRule="auto"/>
              <w:jc w:val="center"/>
              <w:rPr>
                <w:rFonts w:cstheme="minorHAnsi"/>
                <w:szCs w:val="20"/>
              </w:rPr>
            </w:pPr>
            <w:r>
              <w:rPr>
                <w:rStyle w:val="normaltextrun"/>
                <w:rFonts w:ascii="Arial" w:hAnsi="Arial" w:cs="Arial"/>
                <w:szCs w:val="20"/>
              </w:rPr>
              <w:t>0.</w:t>
            </w:r>
            <w:r w:rsidR="00FB3C83">
              <w:rPr>
                <w:rStyle w:val="normaltextrun"/>
                <w:rFonts w:ascii="Arial" w:hAnsi="Arial" w:cs="Arial"/>
                <w:szCs w:val="20"/>
              </w:rPr>
              <w:t>34</w:t>
            </w:r>
          </w:p>
        </w:tc>
      </w:tr>
      <w:tr w:rsidR="009B2CD9" w:rsidRPr="000E24E9" w14:paraId="70190ABA" w14:textId="77777777" w:rsidTr="003F1732">
        <w:trPr>
          <w:trHeight w:val="397"/>
        </w:trPr>
        <w:tc>
          <w:tcPr>
            <w:tcW w:w="2552" w:type="dxa"/>
            <w:tcBorders>
              <w:top w:val="single" w:sz="2" w:space="0" w:color="002279"/>
              <w:left w:val="single" w:sz="4" w:space="0" w:color="002279"/>
              <w:bottom w:val="single" w:sz="2" w:space="0" w:color="002279"/>
              <w:right w:val="single" w:sz="4" w:space="0" w:color="002279"/>
            </w:tcBorders>
            <w:shd w:val="clear" w:color="auto" w:fill="D4D6DF"/>
            <w:noWrap/>
            <w:vAlign w:val="center"/>
          </w:tcPr>
          <w:p w14:paraId="47C264D7" w14:textId="77777777" w:rsidR="00EF6ACC" w:rsidRPr="002020E8" w:rsidRDefault="00EF6ACC" w:rsidP="00F50CE0">
            <w:pPr>
              <w:spacing w:line="259" w:lineRule="auto"/>
              <w:rPr>
                <w:rFonts w:cstheme="minorHAnsi"/>
                <w:szCs w:val="20"/>
              </w:rPr>
            </w:pPr>
            <w:r w:rsidRPr="002020E8">
              <w:rPr>
                <w:rFonts w:cstheme="minorHAnsi"/>
                <w:szCs w:val="20"/>
              </w:rPr>
              <w:t>IT</w:t>
            </w:r>
          </w:p>
        </w:tc>
        <w:tc>
          <w:tcPr>
            <w:tcW w:w="1332"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07A3716A" w14:textId="49A4B646" w:rsidR="00EF6ACC" w:rsidRPr="002020E8" w:rsidRDefault="00EF6ACC" w:rsidP="00386FB1">
            <w:pPr>
              <w:spacing w:line="259" w:lineRule="auto"/>
              <w:jc w:val="center"/>
              <w:rPr>
                <w:rFonts w:cstheme="minorHAnsi"/>
                <w:szCs w:val="20"/>
              </w:rPr>
            </w:pPr>
            <w:r>
              <w:rPr>
                <w:rStyle w:val="normaltextrun"/>
                <w:rFonts w:ascii="Arial" w:hAnsi="Arial" w:cs="Arial"/>
                <w:szCs w:val="20"/>
              </w:rPr>
              <w:t>2.</w:t>
            </w:r>
            <w:r w:rsidR="00FB3C83">
              <w:rPr>
                <w:rStyle w:val="normaltextrun"/>
                <w:rFonts w:ascii="Arial" w:hAnsi="Arial" w:cs="Arial"/>
                <w:szCs w:val="20"/>
              </w:rPr>
              <w:t>63</w:t>
            </w:r>
          </w:p>
        </w:tc>
        <w:tc>
          <w:tcPr>
            <w:tcW w:w="1332"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244292CD" w14:textId="0591DD67" w:rsidR="00EF6ACC" w:rsidRPr="002020E8" w:rsidRDefault="00EF6ACC" w:rsidP="009B2CD9">
            <w:pPr>
              <w:spacing w:line="259" w:lineRule="auto"/>
              <w:jc w:val="center"/>
              <w:rPr>
                <w:rFonts w:cstheme="minorHAnsi"/>
                <w:szCs w:val="20"/>
              </w:rPr>
            </w:pPr>
            <w:r>
              <w:rPr>
                <w:rStyle w:val="normaltextrun"/>
                <w:rFonts w:ascii="Arial" w:hAnsi="Arial" w:cs="Arial"/>
                <w:szCs w:val="20"/>
              </w:rPr>
              <w:t>3.</w:t>
            </w:r>
            <w:r w:rsidR="00FB3C83">
              <w:rPr>
                <w:rStyle w:val="normaltextrun"/>
                <w:rFonts w:ascii="Arial" w:hAnsi="Arial" w:cs="Arial"/>
                <w:szCs w:val="20"/>
              </w:rPr>
              <w:t>68</w:t>
            </w:r>
          </w:p>
        </w:tc>
        <w:tc>
          <w:tcPr>
            <w:tcW w:w="1333"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29068B28" w14:textId="0732460C" w:rsidR="00EF6ACC" w:rsidRPr="002020E8" w:rsidRDefault="00EF6ACC" w:rsidP="009B2CD9">
            <w:pPr>
              <w:spacing w:line="259" w:lineRule="auto"/>
              <w:jc w:val="center"/>
              <w:rPr>
                <w:rFonts w:cstheme="minorHAnsi"/>
                <w:szCs w:val="20"/>
              </w:rPr>
            </w:pPr>
            <w:r>
              <w:rPr>
                <w:rStyle w:val="normaltextrun"/>
                <w:rFonts w:ascii="Arial" w:hAnsi="Arial" w:cs="Arial"/>
                <w:szCs w:val="20"/>
              </w:rPr>
              <w:t>4.</w:t>
            </w:r>
            <w:r w:rsidR="00FB3C83">
              <w:rPr>
                <w:rStyle w:val="normaltextrun"/>
                <w:rFonts w:ascii="Arial" w:hAnsi="Arial" w:cs="Arial"/>
                <w:szCs w:val="20"/>
              </w:rPr>
              <w:t>52</w:t>
            </w:r>
          </w:p>
        </w:tc>
        <w:tc>
          <w:tcPr>
            <w:tcW w:w="1332"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7B153859" w14:textId="5072E88A" w:rsidR="00EF6ACC" w:rsidRPr="002020E8" w:rsidRDefault="00EF6ACC" w:rsidP="009B2CD9">
            <w:pPr>
              <w:spacing w:line="259" w:lineRule="auto"/>
              <w:jc w:val="center"/>
              <w:rPr>
                <w:rFonts w:cstheme="minorHAnsi"/>
                <w:szCs w:val="20"/>
              </w:rPr>
            </w:pPr>
            <w:r>
              <w:rPr>
                <w:rStyle w:val="normaltextrun"/>
                <w:rFonts w:ascii="Arial" w:hAnsi="Arial" w:cs="Arial"/>
                <w:szCs w:val="20"/>
              </w:rPr>
              <w:t>4.</w:t>
            </w:r>
            <w:r w:rsidR="00FB3C83">
              <w:rPr>
                <w:rStyle w:val="normaltextrun"/>
                <w:rFonts w:ascii="Arial" w:hAnsi="Arial" w:cs="Arial"/>
                <w:szCs w:val="20"/>
              </w:rPr>
              <w:t>52</w:t>
            </w:r>
          </w:p>
        </w:tc>
        <w:tc>
          <w:tcPr>
            <w:tcW w:w="1333"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781F9EB9" w14:textId="2774FD99" w:rsidR="00EF6ACC" w:rsidRPr="002020E8" w:rsidRDefault="00EF6ACC" w:rsidP="009B2CD9">
            <w:pPr>
              <w:spacing w:line="259" w:lineRule="auto"/>
              <w:jc w:val="center"/>
              <w:rPr>
                <w:rFonts w:cstheme="minorHAnsi"/>
                <w:szCs w:val="20"/>
              </w:rPr>
            </w:pPr>
            <w:r>
              <w:rPr>
                <w:rStyle w:val="normaltextrun"/>
                <w:rFonts w:ascii="Arial" w:hAnsi="Arial" w:cs="Arial"/>
                <w:szCs w:val="20"/>
              </w:rPr>
              <w:t>4.</w:t>
            </w:r>
            <w:r w:rsidR="00FB3C83">
              <w:rPr>
                <w:rStyle w:val="normaltextrun"/>
                <w:rFonts w:ascii="Arial" w:hAnsi="Arial" w:cs="Arial"/>
                <w:szCs w:val="20"/>
              </w:rPr>
              <w:t>62</w:t>
            </w:r>
          </w:p>
        </w:tc>
      </w:tr>
      <w:tr w:rsidR="009B2CD9" w:rsidRPr="000E24E9" w14:paraId="1BB57C1F" w14:textId="77777777" w:rsidTr="003F1732">
        <w:trPr>
          <w:trHeight w:val="397"/>
        </w:trPr>
        <w:tc>
          <w:tcPr>
            <w:tcW w:w="2552" w:type="dxa"/>
            <w:tcBorders>
              <w:top w:val="single" w:sz="2" w:space="0" w:color="002279"/>
              <w:left w:val="single" w:sz="4" w:space="0" w:color="002279"/>
              <w:bottom w:val="single" w:sz="4" w:space="0" w:color="002279"/>
              <w:right w:val="single" w:sz="4" w:space="0" w:color="002279"/>
            </w:tcBorders>
            <w:noWrap/>
          </w:tcPr>
          <w:p w14:paraId="52177913" w14:textId="77777777" w:rsidR="00EF6ACC" w:rsidRPr="002020E8" w:rsidRDefault="00EF6ACC" w:rsidP="00F50CE0">
            <w:pPr>
              <w:spacing w:line="259" w:lineRule="auto"/>
              <w:rPr>
                <w:rFonts w:cstheme="minorHAnsi"/>
                <w:b/>
                <w:szCs w:val="20"/>
              </w:rPr>
            </w:pPr>
            <w:r w:rsidRPr="002020E8">
              <w:rPr>
                <w:rFonts w:cstheme="minorHAnsi"/>
                <w:b/>
                <w:bCs/>
                <w:szCs w:val="20"/>
              </w:rPr>
              <w:t>Total</w:t>
            </w:r>
          </w:p>
        </w:tc>
        <w:tc>
          <w:tcPr>
            <w:tcW w:w="1332" w:type="dxa"/>
            <w:tcBorders>
              <w:top w:val="single" w:sz="2" w:space="0" w:color="002279"/>
              <w:left w:val="single" w:sz="4" w:space="0" w:color="002279"/>
              <w:bottom w:val="single" w:sz="4" w:space="0" w:color="002279"/>
              <w:right w:val="single" w:sz="4" w:space="0" w:color="002279"/>
            </w:tcBorders>
            <w:vAlign w:val="center"/>
          </w:tcPr>
          <w:p w14:paraId="698CA843" w14:textId="4EF16D2D" w:rsidR="00EF6ACC" w:rsidRPr="002020E8" w:rsidRDefault="00BD3BBB" w:rsidP="00386FB1">
            <w:pPr>
              <w:spacing w:line="259" w:lineRule="auto"/>
              <w:jc w:val="center"/>
              <w:rPr>
                <w:rFonts w:cstheme="minorHAnsi"/>
                <w:b/>
                <w:szCs w:val="20"/>
              </w:rPr>
            </w:pPr>
            <w:r>
              <w:rPr>
                <w:rStyle w:val="normaltextrun"/>
                <w:rFonts w:ascii="Arial" w:hAnsi="Arial" w:cs="Arial"/>
                <w:b/>
                <w:szCs w:val="20"/>
              </w:rPr>
              <w:t>17.</w:t>
            </w:r>
            <w:r w:rsidR="00FB3C83">
              <w:rPr>
                <w:rStyle w:val="normaltextrun"/>
                <w:rFonts w:ascii="Arial" w:hAnsi="Arial" w:cs="Arial"/>
                <w:b/>
                <w:bCs/>
                <w:szCs w:val="20"/>
              </w:rPr>
              <w:t>35</w:t>
            </w:r>
          </w:p>
        </w:tc>
        <w:tc>
          <w:tcPr>
            <w:tcW w:w="1332" w:type="dxa"/>
            <w:tcBorders>
              <w:top w:val="single" w:sz="2" w:space="0" w:color="002279"/>
              <w:left w:val="single" w:sz="4" w:space="0" w:color="002279"/>
              <w:bottom w:val="single" w:sz="4" w:space="0" w:color="002279"/>
              <w:right w:val="single" w:sz="4" w:space="0" w:color="002279"/>
            </w:tcBorders>
            <w:vAlign w:val="center"/>
          </w:tcPr>
          <w:p w14:paraId="542014CA" w14:textId="47E7605B" w:rsidR="00EF6ACC" w:rsidRPr="002020E8" w:rsidRDefault="00BD3BBB" w:rsidP="009B2CD9">
            <w:pPr>
              <w:spacing w:line="259" w:lineRule="auto"/>
              <w:jc w:val="center"/>
              <w:rPr>
                <w:rFonts w:cstheme="minorHAnsi"/>
                <w:b/>
                <w:szCs w:val="20"/>
              </w:rPr>
            </w:pPr>
            <w:r>
              <w:rPr>
                <w:rStyle w:val="normaltextrun"/>
                <w:rFonts w:ascii="Arial" w:hAnsi="Arial" w:cs="Arial"/>
                <w:b/>
                <w:szCs w:val="20"/>
              </w:rPr>
              <w:t>18.</w:t>
            </w:r>
            <w:r w:rsidR="00FB3C83">
              <w:rPr>
                <w:rStyle w:val="normaltextrun"/>
                <w:rFonts w:ascii="Arial" w:hAnsi="Arial" w:cs="Arial"/>
                <w:b/>
                <w:bCs/>
                <w:szCs w:val="20"/>
              </w:rPr>
              <w:t>59</w:t>
            </w:r>
          </w:p>
        </w:tc>
        <w:tc>
          <w:tcPr>
            <w:tcW w:w="1333" w:type="dxa"/>
            <w:tcBorders>
              <w:top w:val="single" w:sz="2" w:space="0" w:color="002279"/>
              <w:left w:val="single" w:sz="4" w:space="0" w:color="002279"/>
              <w:bottom w:val="single" w:sz="4" w:space="0" w:color="002279"/>
              <w:right w:val="single" w:sz="4" w:space="0" w:color="002279"/>
            </w:tcBorders>
            <w:vAlign w:val="center"/>
          </w:tcPr>
          <w:p w14:paraId="6DCA6C49" w14:textId="3902BD80" w:rsidR="00EF6ACC" w:rsidRPr="002020E8" w:rsidRDefault="00BD3BBB" w:rsidP="009B2CD9">
            <w:pPr>
              <w:spacing w:line="259" w:lineRule="auto"/>
              <w:jc w:val="center"/>
              <w:rPr>
                <w:rFonts w:cstheme="minorHAnsi"/>
                <w:b/>
                <w:szCs w:val="20"/>
              </w:rPr>
            </w:pPr>
            <w:r>
              <w:rPr>
                <w:rStyle w:val="normaltextrun"/>
                <w:rFonts w:ascii="Arial" w:hAnsi="Arial" w:cs="Arial"/>
                <w:b/>
                <w:szCs w:val="20"/>
              </w:rPr>
              <w:t>20.</w:t>
            </w:r>
            <w:r w:rsidR="00350357">
              <w:rPr>
                <w:rStyle w:val="normaltextrun"/>
                <w:rFonts w:ascii="Arial" w:hAnsi="Arial" w:cs="Arial"/>
                <w:b/>
                <w:bCs/>
                <w:szCs w:val="20"/>
              </w:rPr>
              <w:t>79</w:t>
            </w:r>
          </w:p>
        </w:tc>
        <w:tc>
          <w:tcPr>
            <w:tcW w:w="1332" w:type="dxa"/>
            <w:tcBorders>
              <w:top w:val="single" w:sz="2" w:space="0" w:color="002279"/>
              <w:left w:val="single" w:sz="4" w:space="0" w:color="002279"/>
              <w:bottom w:val="single" w:sz="4" w:space="0" w:color="002279"/>
              <w:right w:val="single" w:sz="4" w:space="0" w:color="002279"/>
            </w:tcBorders>
            <w:vAlign w:val="center"/>
          </w:tcPr>
          <w:p w14:paraId="09A923BC" w14:textId="3DE5ED54" w:rsidR="00EF6ACC" w:rsidRPr="002020E8" w:rsidRDefault="00BD3BBB" w:rsidP="009B2CD9">
            <w:pPr>
              <w:spacing w:line="259" w:lineRule="auto"/>
              <w:jc w:val="center"/>
              <w:rPr>
                <w:rFonts w:cstheme="minorHAnsi"/>
                <w:b/>
                <w:szCs w:val="20"/>
              </w:rPr>
            </w:pPr>
            <w:r>
              <w:rPr>
                <w:rStyle w:val="normaltextrun"/>
                <w:rFonts w:ascii="Arial" w:hAnsi="Arial" w:cs="Arial"/>
                <w:b/>
                <w:szCs w:val="20"/>
              </w:rPr>
              <w:t>19.</w:t>
            </w:r>
            <w:r w:rsidR="00FB3C83">
              <w:rPr>
                <w:rStyle w:val="normaltextrun"/>
                <w:rFonts w:ascii="Arial" w:hAnsi="Arial" w:cs="Arial"/>
                <w:b/>
                <w:bCs/>
                <w:szCs w:val="20"/>
              </w:rPr>
              <w:t>8</w:t>
            </w:r>
            <w:r w:rsidR="00350357">
              <w:rPr>
                <w:rStyle w:val="normaltextrun"/>
                <w:rFonts w:ascii="Arial" w:hAnsi="Arial" w:cs="Arial"/>
                <w:b/>
                <w:bCs/>
                <w:szCs w:val="20"/>
              </w:rPr>
              <w:t>4</w:t>
            </w:r>
          </w:p>
        </w:tc>
        <w:tc>
          <w:tcPr>
            <w:tcW w:w="1333" w:type="dxa"/>
            <w:tcBorders>
              <w:top w:val="single" w:sz="2" w:space="0" w:color="002279"/>
              <w:left w:val="single" w:sz="4" w:space="0" w:color="002279"/>
              <w:bottom w:val="single" w:sz="4" w:space="0" w:color="002279"/>
              <w:right w:val="single" w:sz="4" w:space="0" w:color="002279"/>
            </w:tcBorders>
            <w:vAlign w:val="center"/>
          </w:tcPr>
          <w:p w14:paraId="38CC9679" w14:textId="046743E7" w:rsidR="00EF6ACC" w:rsidRPr="002020E8" w:rsidRDefault="00BD3BBB" w:rsidP="009B2CD9">
            <w:pPr>
              <w:spacing w:line="259" w:lineRule="auto"/>
              <w:jc w:val="center"/>
              <w:rPr>
                <w:rFonts w:cstheme="minorHAnsi"/>
                <w:b/>
                <w:szCs w:val="20"/>
              </w:rPr>
            </w:pPr>
            <w:r>
              <w:rPr>
                <w:rStyle w:val="normaltextrun"/>
                <w:rFonts w:ascii="Arial" w:hAnsi="Arial" w:cs="Arial"/>
                <w:b/>
                <w:szCs w:val="20"/>
              </w:rPr>
              <w:t>19.</w:t>
            </w:r>
            <w:r w:rsidR="00FB3C83">
              <w:rPr>
                <w:rStyle w:val="normaltextrun"/>
                <w:rFonts w:ascii="Arial" w:hAnsi="Arial" w:cs="Arial"/>
                <w:b/>
                <w:bCs/>
                <w:szCs w:val="20"/>
              </w:rPr>
              <w:t>4</w:t>
            </w:r>
            <w:r w:rsidR="00350357">
              <w:rPr>
                <w:rStyle w:val="normaltextrun"/>
                <w:rFonts w:ascii="Arial" w:hAnsi="Arial" w:cs="Arial"/>
                <w:b/>
                <w:bCs/>
                <w:szCs w:val="20"/>
              </w:rPr>
              <w:t>5</w:t>
            </w:r>
          </w:p>
        </w:tc>
      </w:tr>
    </w:tbl>
    <w:p w14:paraId="33535CB5" w14:textId="003A89BF" w:rsidR="00EF6ACC" w:rsidRPr="006307D3" w:rsidRDefault="00EF6ACC" w:rsidP="006307D3">
      <w:pPr>
        <w:pStyle w:val="NormalIndent"/>
        <w:ind w:left="0"/>
        <w:rPr>
          <w:sz w:val="24"/>
          <w:szCs w:val="24"/>
        </w:rPr>
      </w:pPr>
    </w:p>
    <w:p w14:paraId="4719E760" w14:textId="518C9EF4" w:rsidR="00EC5B62" w:rsidRDefault="00304291" w:rsidP="00360131">
      <w:pPr>
        <w:pStyle w:val="Heading2"/>
      </w:pPr>
      <w:r>
        <w:t xml:space="preserve">7.4 </w:t>
      </w:r>
      <w:r w:rsidR="61A129D4" w:rsidRPr="1A8F2A44">
        <w:t xml:space="preserve">Uncontrollable </w:t>
      </w:r>
      <w:r w:rsidR="00A676A9">
        <w:t>ope</w:t>
      </w:r>
      <w:r w:rsidR="000139E9">
        <w:t>rating expenditure</w:t>
      </w:r>
      <w:r w:rsidR="61A129D4" w:rsidRPr="1A8F2A44">
        <w:t xml:space="preserve"> </w:t>
      </w:r>
    </w:p>
    <w:p w14:paraId="42202AA0" w14:textId="1F460D04" w:rsidR="00191DB6" w:rsidRDefault="00FA41A6" w:rsidP="00527DB8">
      <w:pPr>
        <w:pStyle w:val="BodyText"/>
        <w:spacing w:before="149" w:line="235" w:lineRule="auto"/>
        <w:ind w:right="9"/>
      </w:pPr>
      <w:r>
        <w:t>Uncontrollable ope</w:t>
      </w:r>
      <w:r w:rsidR="00F41A9D">
        <w:t>rating expenditure</w:t>
      </w:r>
      <w:r>
        <w:t xml:space="preserve"> is forecast to be </w:t>
      </w:r>
      <w:r w:rsidR="00E149BC">
        <w:t>$</w:t>
      </w:r>
      <w:r w:rsidR="00E149BC" w:rsidRPr="00E149BC">
        <w:t>2</w:t>
      </w:r>
      <w:r w:rsidR="00E149BC">
        <w:t>,</w:t>
      </w:r>
      <w:r w:rsidR="00E149BC" w:rsidRPr="00E149BC">
        <w:t>6</w:t>
      </w:r>
      <w:r w:rsidR="00E43C5B">
        <w:t>49</w:t>
      </w:r>
      <w:r w:rsidR="00FE5165">
        <w:t> </w:t>
      </w:r>
      <w:r w:rsidR="00C95887">
        <w:t>million over the 2023</w:t>
      </w:r>
      <w:r w:rsidR="00310E2A">
        <w:t>–</w:t>
      </w:r>
      <w:r w:rsidR="00C95887">
        <w:t>28 period.</w:t>
      </w:r>
    </w:p>
    <w:p w14:paraId="03D3BE2A" w14:textId="77777777" w:rsidR="002020E8" w:rsidRDefault="002020E8" w:rsidP="00527DB8">
      <w:pPr>
        <w:pStyle w:val="BodyText"/>
        <w:spacing w:before="149" w:line="235" w:lineRule="auto"/>
        <w:ind w:right="9"/>
      </w:pPr>
    </w:p>
    <w:p w14:paraId="060A9872" w14:textId="443A9D28" w:rsidR="00F44E85" w:rsidRPr="00304A0D" w:rsidRDefault="00304A0D" w:rsidP="00304A0D">
      <w:pPr>
        <w:pStyle w:val="NormalIndent"/>
        <w:ind w:left="0"/>
        <w:rPr>
          <w:rFonts w:cs="Arial"/>
          <w:i/>
        </w:rPr>
      </w:pPr>
      <w:r w:rsidRPr="00CE6C4E">
        <w:rPr>
          <w:b/>
          <w:i/>
        </w:rPr>
        <w:t xml:space="preserve">Table </w:t>
      </w:r>
      <w:r w:rsidR="002128BB" w:rsidRPr="00CE6C4E">
        <w:rPr>
          <w:b/>
          <w:bCs/>
          <w:i/>
          <w:iCs/>
        </w:rPr>
        <w:fldChar w:fldCharType="begin"/>
      </w:r>
      <w:r w:rsidR="002128BB" w:rsidRPr="00CE6C4E">
        <w:rPr>
          <w:b/>
          <w:bCs/>
          <w:i/>
          <w:iCs/>
        </w:rPr>
        <w:instrText>SEQ Table \* ARABIC</w:instrText>
      </w:r>
      <w:r w:rsidR="002128BB" w:rsidRPr="00CE6C4E">
        <w:rPr>
          <w:b/>
          <w:bCs/>
          <w:i/>
          <w:iCs/>
        </w:rPr>
        <w:fldChar w:fldCharType="separate"/>
      </w:r>
      <w:r w:rsidR="002128BB">
        <w:rPr>
          <w:b/>
          <w:bCs/>
          <w:i/>
          <w:iCs/>
          <w:noProof/>
        </w:rPr>
        <w:t>36</w:t>
      </w:r>
      <w:r w:rsidR="002128BB" w:rsidRPr="00CE6C4E">
        <w:rPr>
          <w:b/>
          <w:bCs/>
          <w:i/>
          <w:iCs/>
        </w:rPr>
        <w:fldChar w:fldCharType="end"/>
      </w:r>
      <w:r w:rsidRPr="007B339F">
        <w:rPr>
          <w:rFonts w:ascii="Arial" w:hAnsi="Arial" w:cs="Arial"/>
          <w:b/>
          <w:i/>
        </w:rPr>
        <w:t>:</w:t>
      </w:r>
      <w:r>
        <w:rPr>
          <w:rFonts w:ascii="Arial" w:hAnsi="Arial" w:cs="Arial"/>
          <w:b/>
          <w:i/>
        </w:rPr>
        <w:t xml:space="preserve"> </w:t>
      </w:r>
      <w:r w:rsidR="00DB7730" w:rsidRPr="006716A1">
        <w:rPr>
          <w:rFonts w:cs="Arial"/>
          <w:b/>
          <w:i/>
        </w:rPr>
        <w:t xml:space="preserve">Uncontrollable </w:t>
      </w:r>
      <w:r w:rsidR="00F41A9D" w:rsidRPr="006716A1">
        <w:rPr>
          <w:rFonts w:cs="Arial"/>
          <w:b/>
          <w:i/>
        </w:rPr>
        <w:t>operating expenditure</w:t>
      </w:r>
      <w:r w:rsidR="00DB7730" w:rsidRPr="006716A1">
        <w:rPr>
          <w:rFonts w:cs="Arial"/>
          <w:b/>
          <w:i/>
        </w:rPr>
        <w:t xml:space="preserve"> </w:t>
      </w:r>
      <w:r w:rsidR="00921F48" w:rsidRPr="006D1620">
        <w:rPr>
          <w:rFonts w:cs="Arial"/>
          <w:b/>
          <w:i/>
        </w:rPr>
        <w:t>(</w:t>
      </w:r>
      <w:r w:rsidR="00921F48">
        <w:rPr>
          <w:rFonts w:cs="Arial"/>
          <w:b/>
          <w:i/>
        </w:rPr>
        <w:t>$</w:t>
      </w:r>
      <w:r w:rsidR="00F44E85" w:rsidRPr="006716A1">
        <w:rPr>
          <w:rFonts w:cs="Arial"/>
          <w:b/>
          <w:i/>
        </w:rPr>
        <w:t>million 2022</w:t>
      </w:r>
      <w:r w:rsidR="00310E2A">
        <w:rPr>
          <w:rFonts w:cs="Arial"/>
          <w:b/>
          <w:i/>
        </w:rPr>
        <w:t>–</w:t>
      </w:r>
      <w:r w:rsidR="00F44E85" w:rsidRPr="006716A1">
        <w:rPr>
          <w:rFonts w:cs="Arial"/>
          <w:b/>
          <w:i/>
        </w:rPr>
        <w:t>23)</w:t>
      </w:r>
    </w:p>
    <w:tbl>
      <w:tblPr>
        <w:tblStyle w:val="MJTableStyle1default"/>
        <w:tblW w:w="0" w:type="auto"/>
        <w:tblInd w:w="5" w:type="dxa"/>
        <w:tblLayout w:type="fixed"/>
        <w:tblLook w:val="04A0" w:firstRow="1" w:lastRow="0" w:firstColumn="1" w:lastColumn="0" w:noHBand="0" w:noVBand="1"/>
      </w:tblPr>
      <w:tblGrid>
        <w:gridCol w:w="3059"/>
        <w:gridCol w:w="1286"/>
        <w:gridCol w:w="1287"/>
        <w:gridCol w:w="1287"/>
        <w:gridCol w:w="1287"/>
        <w:gridCol w:w="1287"/>
      </w:tblGrid>
      <w:tr w:rsidR="009B2CD9" w:rsidRPr="00E4761C" w14:paraId="340DA855" w14:textId="77777777" w:rsidTr="003F1732">
        <w:trPr>
          <w:cnfStyle w:val="100000000000" w:firstRow="1" w:lastRow="0" w:firstColumn="0" w:lastColumn="0" w:oddVBand="0" w:evenVBand="0" w:oddHBand="0" w:evenHBand="0" w:firstRowFirstColumn="0" w:firstRowLastColumn="0" w:lastRowFirstColumn="0" w:lastRowLastColumn="0"/>
          <w:trHeight w:val="539"/>
        </w:trPr>
        <w:tc>
          <w:tcPr>
            <w:tcW w:w="3059" w:type="dxa"/>
            <w:tcBorders>
              <w:top w:val="single" w:sz="4" w:space="0" w:color="002279"/>
              <w:left w:val="single" w:sz="4" w:space="0" w:color="002279"/>
              <w:bottom w:val="single" w:sz="2" w:space="0" w:color="002279"/>
              <w:right w:val="single" w:sz="4" w:space="0" w:color="FFFFFF" w:themeColor="background1"/>
            </w:tcBorders>
            <w:shd w:val="clear" w:color="auto" w:fill="002279"/>
            <w:noWrap/>
            <w:vAlign w:val="center"/>
            <w:hideMark/>
          </w:tcPr>
          <w:p w14:paraId="650EF4F3" w14:textId="2692801D" w:rsidR="00DB7730" w:rsidRPr="00360131" w:rsidRDefault="00DB7730" w:rsidP="00116E55">
            <w:pPr>
              <w:pStyle w:val="BodyText"/>
              <w:spacing w:before="149" w:line="235" w:lineRule="auto"/>
              <w:ind w:right="9"/>
              <w:rPr>
                <w:rFonts w:ascii="Arial" w:hAnsi="Arial" w:cs="Arial"/>
              </w:rPr>
            </w:pPr>
          </w:p>
        </w:tc>
        <w:tc>
          <w:tcPr>
            <w:tcW w:w="1286"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noWrap/>
            <w:vAlign w:val="center"/>
            <w:hideMark/>
          </w:tcPr>
          <w:p w14:paraId="09D80950" w14:textId="12DBD2F7" w:rsidR="00DB7730" w:rsidRPr="00360131" w:rsidRDefault="00DB7730" w:rsidP="00360131">
            <w:pPr>
              <w:pStyle w:val="BodyText"/>
              <w:spacing w:before="149" w:line="235" w:lineRule="auto"/>
              <w:ind w:right="9"/>
              <w:jc w:val="center"/>
              <w:rPr>
                <w:rFonts w:ascii="Arial" w:hAnsi="Arial" w:cs="Arial"/>
                <w:b/>
              </w:rPr>
            </w:pPr>
            <w:r w:rsidRPr="00360131">
              <w:rPr>
                <w:rFonts w:ascii="Arial" w:hAnsi="Arial" w:cs="Arial"/>
                <w:b/>
              </w:rPr>
              <w:t>2023</w:t>
            </w:r>
            <w:r w:rsidR="00310E2A" w:rsidRPr="00360131">
              <w:rPr>
                <w:rFonts w:ascii="Arial" w:hAnsi="Arial" w:cs="Arial"/>
                <w:b/>
              </w:rPr>
              <w:t>–</w:t>
            </w:r>
            <w:r w:rsidRPr="00360131">
              <w:rPr>
                <w:rFonts w:ascii="Arial" w:hAnsi="Arial" w:cs="Arial"/>
                <w:b/>
              </w:rPr>
              <w:t>24</w:t>
            </w:r>
          </w:p>
        </w:tc>
        <w:tc>
          <w:tcPr>
            <w:tcW w:w="1287"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noWrap/>
            <w:vAlign w:val="center"/>
            <w:hideMark/>
          </w:tcPr>
          <w:p w14:paraId="3FE9FF47" w14:textId="16390C13" w:rsidR="00DB7730" w:rsidRPr="00360131" w:rsidRDefault="00DB7730" w:rsidP="00360131">
            <w:pPr>
              <w:pStyle w:val="BodyText"/>
              <w:spacing w:before="149" w:line="235" w:lineRule="auto"/>
              <w:ind w:right="9"/>
              <w:jc w:val="center"/>
              <w:rPr>
                <w:rFonts w:ascii="Arial" w:hAnsi="Arial" w:cs="Arial"/>
                <w:b/>
              </w:rPr>
            </w:pPr>
            <w:r w:rsidRPr="00360131">
              <w:rPr>
                <w:rFonts w:ascii="Arial" w:hAnsi="Arial" w:cs="Arial"/>
                <w:b/>
              </w:rPr>
              <w:t>2024</w:t>
            </w:r>
            <w:r w:rsidR="00310E2A" w:rsidRPr="00360131">
              <w:rPr>
                <w:rFonts w:ascii="Arial" w:hAnsi="Arial" w:cs="Arial"/>
                <w:b/>
              </w:rPr>
              <w:t>–</w:t>
            </w:r>
            <w:r w:rsidRPr="00360131">
              <w:rPr>
                <w:rFonts w:ascii="Arial" w:hAnsi="Arial" w:cs="Arial"/>
                <w:b/>
              </w:rPr>
              <w:t>25</w:t>
            </w:r>
          </w:p>
        </w:tc>
        <w:tc>
          <w:tcPr>
            <w:tcW w:w="1287"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noWrap/>
            <w:vAlign w:val="center"/>
            <w:hideMark/>
          </w:tcPr>
          <w:p w14:paraId="0EF32FFF" w14:textId="2590ED2D" w:rsidR="00DB7730" w:rsidRPr="00360131" w:rsidRDefault="00DB7730" w:rsidP="00360131">
            <w:pPr>
              <w:pStyle w:val="BodyText"/>
              <w:spacing w:before="149" w:line="235" w:lineRule="auto"/>
              <w:ind w:right="9"/>
              <w:jc w:val="center"/>
              <w:rPr>
                <w:rFonts w:ascii="Arial" w:hAnsi="Arial" w:cs="Arial"/>
                <w:b/>
              </w:rPr>
            </w:pPr>
            <w:r w:rsidRPr="00360131">
              <w:rPr>
                <w:rFonts w:ascii="Arial" w:hAnsi="Arial" w:cs="Arial"/>
                <w:b/>
              </w:rPr>
              <w:t>2025</w:t>
            </w:r>
            <w:r w:rsidR="00310E2A" w:rsidRPr="00360131">
              <w:rPr>
                <w:rFonts w:ascii="Arial" w:hAnsi="Arial" w:cs="Arial"/>
                <w:b/>
              </w:rPr>
              <w:t>–</w:t>
            </w:r>
            <w:r w:rsidRPr="00360131">
              <w:rPr>
                <w:rFonts w:ascii="Arial" w:hAnsi="Arial" w:cs="Arial"/>
                <w:b/>
              </w:rPr>
              <w:t>26</w:t>
            </w:r>
          </w:p>
        </w:tc>
        <w:tc>
          <w:tcPr>
            <w:tcW w:w="1287"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noWrap/>
            <w:vAlign w:val="center"/>
            <w:hideMark/>
          </w:tcPr>
          <w:p w14:paraId="2284FE04" w14:textId="43E79AA2" w:rsidR="00DB7730" w:rsidRPr="00360131" w:rsidRDefault="00DB7730" w:rsidP="00360131">
            <w:pPr>
              <w:pStyle w:val="BodyText"/>
              <w:spacing w:before="149" w:line="235" w:lineRule="auto"/>
              <w:ind w:right="9"/>
              <w:jc w:val="center"/>
              <w:rPr>
                <w:rFonts w:ascii="Arial" w:hAnsi="Arial" w:cs="Arial"/>
                <w:b/>
              </w:rPr>
            </w:pPr>
            <w:r w:rsidRPr="00360131">
              <w:rPr>
                <w:rFonts w:ascii="Arial" w:hAnsi="Arial" w:cs="Arial"/>
                <w:b/>
              </w:rPr>
              <w:t>2026</w:t>
            </w:r>
            <w:r w:rsidR="00310E2A" w:rsidRPr="00360131">
              <w:rPr>
                <w:rFonts w:ascii="Arial" w:hAnsi="Arial" w:cs="Arial"/>
                <w:b/>
              </w:rPr>
              <w:t>–</w:t>
            </w:r>
            <w:r w:rsidRPr="00360131">
              <w:rPr>
                <w:rFonts w:ascii="Arial" w:hAnsi="Arial" w:cs="Arial"/>
                <w:b/>
              </w:rPr>
              <w:t>27</w:t>
            </w:r>
          </w:p>
        </w:tc>
        <w:tc>
          <w:tcPr>
            <w:tcW w:w="1287" w:type="dxa"/>
            <w:tcBorders>
              <w:top w:val="single" w:sz="4" w:space="0" w:color="002279"/>
              <w:left w:val="single" w:sz="4" w:space="0" w:color="FFFFFF" w:themeColor="background1"/>
              <w:bottom w:val="single" w:sz="2" w:space="0" w:color="002279"/>
              <w:right w:val="single" w:sz="4" w:space="0" w:color="002279"/>
            </w:tcBorders>
            <w:shd w:val="clear" w:color="auto" w:fill="002279"/>
            <w:noWrap/>
            <w:vAlign w:val="center"/>
            <w:hideMark/>
          </w:tcPr>
          <w:p w14:paraId="631191A7" w14:textId="2724170A" w:rsidR="00DB7730" w:rsidRPr="00360131" w:rsidRDefault="00DB7730" w:rsidP="00360131">
            <w:pPr>
              <w:pStyle w:val="BodyText"/>
              <w:spacing w:before="149" w:line="235" w:lineRule="auto"/>
              <w:ind w:right="9"/>
              <w:jc w:val="center"/>
              <w:rPr>
                <w:rFonts w:ascii="Arial" w:hAnsi="Arial" w:cs="Arial"/>
                <w:b/>
              </w:rPr>
            </w:pPr>
            <w:r w:rsidRPr="00360131">
              <w:rPr>
                <w:rFonts w:ascii="Arial" w:hAnsi="Arial" w:cs="Arial"/>
                <w:b/>
              </w:rPr>
              <w:t>2027</w:t>
            </w:r>
            <w:r w:rsidR="00310E2A" w:rsidRPr="00360131">
              <w:rPr>
                <w:rFonts w:ascii="Arial" w:hAnsi="Arial" w:cs="Arial"/>
                <w:b/>
              </w:rPr>
              <w:t>–</w:t>
            </w:r>
            <w:r w:rsidRPr="00360131">
              <w:rPr>
                <w:rFonts w:ascii="Arial" w:hAnsi="Arial" w:cs="Arial"/>
                <w:b/>
              </w:rPr>
              <w:t>28</w:t>
            </w:r>
          </w:p>
        </w:tc>
      </w:tr>
      <w:tr w:rsidR="009B2CD9" w:rsidRPr="00E4761C" w14:paraId="58A3B99D" w14:textId="77777777" w:rsidTr="003F1732">
        <w:trPr>
          <w:cnfStyle w:val="000000100000" w:firstRow="0" w:lastRow="0" w:firstColumn="0" w:lastColumn="0" w:oddVBand="0" w:evenVBand="0" w:oddHBand="1" w:evenHBand="0" w:firstRowFirstColumn="0" w:firstRowLastColumn="0" w:lastRowFirstColumn="0" w:lastRowLastColumn="0"/>
          <w:trHeight w:val="315"/>
        </w:trPr>
        <w:tc>
          <w:tcPr>
            <w:tcW w:w="3059" w:type="dxa"/>
            <w:tcBorders>
              <w:top w:val="single" w:sz="2" w:space="0" w:color="002279"/>
              <w:left w:val="single" w:sz="4" w:space="0" w:color="002279"/>
              <w:bottom w:val="single" w:sz="2" w:space="0" w:color="002279"/>
              <w:right w:val="single" w:sz="4" w:space="0" w:color="002279"/>
            </w:tcBorders>
            <w:shd w:val="clear" w:color="auto" w:fill="D4D6DF"/>
            <w:noWrap/>
            <w:hideMark/>
          </w:tcPr>
          <w:p w14:paraId="0AFF979A" w14:textId="2E949A79" w:rsidR="00DB7730" w:rsidRPr="00360131" w:rsidRDefault="00DB7730" w:rsidP="00ED308F">
            <w:pPr>
              <w:pStyle w:val="BodyText"/>
              <w:spacing w:before="149" w:line="235" w:lineRule="auto"/>
              <w:ind w:right="9"/>
              <w:rPr>
                <w:rFonts w:ascii="Arial" w:hAnsi="Arial" w:cs="Arial"/>
              </w:rPr>
            </w:pPr>
            <w:r w:rsidRPr="0097263A">
              <w:rPr>
                <w:rFonts w:cs="Arial"/>
              </w:rPr>
              <w:t xml:space="preserve">Licence fees </w:t>
            </w:r>
            <w:r w:rsidR="00310E2A" w:rsidRPr="0097263A">
              <w:rPr>
                <w:rFonts w:cs="Arial"/>
              </w:rPr>
              <w:t>–</w:t>
            </w:r>
            <w:r w:rsidRPr="0097263A">
              <w:rPr>
                <w:rFonts w:cs="Arial"/>
              </w:rPr>
              <w:t xml:space="preserve"> Essential Services Commission</w:t>
            </w:r>
          </w:p>
        </w:tc>
        <w:tc>
          <w:tcPr>
            <w:tcW w:w="1286" w:type="dxa"/>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0A67B6CE" w14:textId="3AF59857" w:rsidR="00DB7730" w:rsidRPr="00360131" w:rsidRDefault="00DB7730" w:rsidP="00360131">
            <w:pPr>
              <w:pStyle w:val="BodyText"/>
              <w:spacing w:before="149" w:line="235" w:lineRule="auto"/>
              <w:ind w:right="9"/>
              <w:jc w:val="center"/>
              <w:rPr>
                <w:rFonts w:ascii="Arial" w:hAnsi="Arial" w:cs="Arial"/>
              </w:rPr>
            </w:pPr>
            <w:r w:rsidRPr="0097263A">
              <w:rPr>
                <w:rFonts w:cs="Arial"/>
              </w:rPr>
              <w:t>0.</w:t>
            </w:r>
            <w:r w:rsidR="006012F6" w:rsidRPr="00F87AA3">
              <w:t>41</w:t>
            </w:r>
          </w:p>
        </w:tc>
        <w:tc>
          <w:tcPr>
            <w:tcW w:w="1287" w:type="dxa"/>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47DCB7BB" w14:textId="4DA8A894" w:rsidR="00DB7730" w:rsidRPr="00360131" w:rsidRDefault="00DB7730" w:rsidP="00360131">
            <w:pPr>
              <w:pStyle w:val="BodyText"/>
              <w:spacing w:before="149" w:line="235" w:lineRule="auto"/>
              <w:ind w:right="9"/>
              <w:jc w:val="center"/>
              <w:rPr>
                <w:rFonts w:ascii="Arial" w:hAnsi="Arial" w:cs="Arial"/>
              </w:rPr>
            </w:pPr>
            <w:r w:rsidRPr="0097263A">
              <w:rPr>
                <w:rFonts w:cs="Arial"/>
              </w:rPr>
              <w:t>0.</w:t>
            </w:r>
            <w:r w:rsidR="006012F6" w:rsidRPr="00F87AA3">
              <w:t>38</w:t>
            </w:r>
          </w:p>
        </w:tc>
        <w:tc>
          <w:tcPr>
            <w:tcW w:w="1287" w:type="dxa"/>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798151EE" w14:textId="0160E7B5" w:rsidR="00DB7730" w:rsidRPr="00360131" w:rsidRDefault="00DB7730" w:rsidP="00360131">
            <w:pPr>
              <w:pStyle w:val="BodyText"/>
              <w:spacing w:before="149" w:line="235" w:lineRule="auto"/>
              <w:ind w:right="9"/>
              <w:jc w:val="center"/>
              <w:rPr>
                <w:rFonts w:ascii="Arial" w:hAnsi="Arial" w:cs="Arial"/>
              </w:rPr>
            </w:pPr>
            <w:r w:rsidRPr="0097263A">
              <w:rPr>
                <w:rFonts w:cs="Arial"/>
              </w:rPr>
              <w:t>0.</w:t>
            </w:r>
            <w:r w:rsidR="006012F6" w:rsidRPr="00F87AA3">
              <w:t>58</w:t>
            </w:r>
          </w:p>
        </w:tc>
        <w:tc>
          <w:tcPr>
            <w:tcW w:w="1287" w:type="dxa"/>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7130FEDC" w14:textId="58800620" w:rsidR="00DB7730" w:rsidRPr="00360131" w:rsidRDefault="00DB7730" w:rsidP="00360131">
            <w:pPr>
              <w:pStyle w:val="BodyText"/>
              <w:spacing w:before="149" w:line="235" w:lineRule="auto"/>
              <w:ind w:right="9"/>
              <w:jc w:val="center"/>
              <w:rPr>
                <w:rFonts w:ascii="Arial" w:hAnsi="Arial" w:cs="Arial"/>
              </w:rPr>
            </w:pPr>
            <w:r w:rsidRPr="0097263A">
              <w:rPr>
                <w:rFonts w:cs="Arial"/>
              </w:rPr>
              <w:t>0.</w:t>
            </w:r>
            <w:r w:rsidR="006012F6" w:rsidRPr="00F87AA3">
              <w:t>87</w:t>
            </w:r>
          </w:p>
        </w:tc>
        <w:tc>
          <w:tcPr>
            <w:tcW w:w="1287" w:type="dxa"/>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7FAE313C" w14:textId="0C53F2BF" w:rsidR="00DB7730" w:rsidRPr="00360131" w:rsidRDefault="00DB7730" w:rsidP="00360131">
            <w:pPr>
              <w:pStyle w:val="BodyText"/>
              <w:spacing w:before="149" w:line="235" w:lineRule="auto"/>
              <w:ind w:right="9"/>
              <w:jc w:val="center"/>
              <w:rPr>
                <w:rFonts w:ascii="Arial" w:hAnsi="Arial" w:cs="Arial"/>
              </w:rPr>
            </w:pPr>
            <w:r w:rsidRPr="0097263A">
              <w:rPr>
                <w:rFonts w:cs="Arial"/>
              </w:rPr>
              <w:t>0.</w:t>
            </w:r>
            <w:r w:rsidR="006012F6" w:rsidRPr="00F87AA3">
              <w:t>87</w:t>
            </w:r>
          </w:p>
        </w:tc>
      </w:tr>
      <w:tr w:rsidR="009B2CD9" w:rsidRPr="00E4761C" w14:paraId="1FE4DE67" w14:textId="77777777" w:rsidTr="003F1732">
        <w:trPr>
          <w:cnfStyle w:val="000000010000" w:firstRow="0" w:lastRow="0" w:firstColumn="0" w:lastColumn="0" w:oddVBand="0" w:evenVBand="0" w:oddHBand="0" w:evenHBand="1" w:firstRowFirstColumn="0" w:firstRowLastColumn="0" w:lastRowFirstColumn="0" w:lastRowLastColumn="0"/>
          <w:trHeight w:val="300"/>
        </w:trPr>
        <w:tc>
          <w:tcPr>
            <w:tcW w:w="3059" w:type="dxa"/>
            <w:tcBorders>
              <w:top w:val="single" w:sz="2" w:space="0" w:color="002279"/>
              <w:left w:val="single" w:sz="4" w:space="0" w:color="002279"/>
              <w:bottom w:val="single" w:sz="2" w:space="0" w:color="002279"/>
              <w:right w:val="single" w:sz="4" w:space="0" w:color="002279"/>
            </w:tcBorders>
            <w:shd w:val="clear" w:color="auto" w:fill="FFFFFF" w:themeFill="background1"/>
            <w:noWrap/>
            <w:hideMark/>
          </w:tcPr>
          <w:p w14:paraId="1C14AEC1" w14:textId="4FD520C2" w:rsidR="00DB7730" w:rsidRPr="00360131" w:rsidRDefault="00DB7730" w:rsidP="00ED308F">
            <w:pPr>
              <w:pStyle w:val="BodyText"/>
              <w:spacing w:before="149" w:line="235" w:lineRule="auto"/>
              <w:ind w:right="9"/>
              <w:rPr>
                <w:rFonts w:ascii="Arial" w:hAnsi="Arial" w:cs="Arial"/>
              </w:rPr>
            </w:pPr>
            <w:r w:rsidRPr="0097263A">
              <w:rPr>
                <w:rFonts w:cs="Arial"/>
              </w:rPr>
              <w:t xml:space="preserve">Licence fees </w:t>
            </w:r>
            <w:r w:rsidR="00310E2A" w:rsidRPr="0097263A">
              <w:rPr>
                <w:rFonts w:cs="Arial"/>
              </w:rPr>
              <w:t>–</w:t>
            </w:r>
            <w:r w:rsidRPr="0097263A">
              <w:rPr>
                <w:rFonts w:cs="Arial"/>
              </w:rPr>
              <w:t xml:space="preserve"> Department of </w:t>
            </w:r>
            <w:r w:rsidR="00F20953">
              <w:rPr>
                <w:rFonts w:cs="Arial"/>
              </w:rPr>
              <w:t>Health</w:t>
            </w:r>
          </w:p>
        </w:tc>
        <w:tc>
          <w:tcPr>
            <w:tcW w:w="1286" w:type="dxa"/>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6080D91C" w14:textId="53681F81" w:rsidR="00DB7730" w:rsidRPr="00360131" w:rsidRDefault="00DB7730" w:rsidP="00360131">
            <w:pPr>
              <w:pStyle w:val="BodyText"/>
              <w:spacing w:before="149" w:line="235" w:lineRule="auto"/>
              <w:ind w:right="9"/>
              <w:jc w:val="center"/>
              <w:rPr>
                <w:rFonts w:ascii="Arial" w:hAnsi="Arial" w:cs="Arial"/>
              </w:rPr>
            </w:pPr>
            <w:r w:rsidRPr="0097263A">
              <w:rPr>
                <w:rFonts w:cs="Arial"/>
              </w:rPr>
              <w:t>0.</w:t>
            </w:r>
            <w:r w:rsidR="006012F6" w:rsidRPr="00F87AA3">
              <w:t>07</w:t>
            </w:r>
          </w:p>
        </w:tc>
        <w:tc>
          <w:tcPr>
            <w:tcW w:w="1287" w:type="dxa"/>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4A15ED73" w14:textId="3B5B0087" w:rsidR="00DB7730" w:rsidRPr="00360131" w:rsidRDefault="00DB7730" w:rsidP="00360131">
            <w:pPr>
              <w:pStyle w:val="BodyText"/>
              <w:spacing w:before="149" w:line="235" w:lineRule="auto"/>
              <w:ind w:right="9"/>
              <w:jc w:val="center"/>
              <w:rPr>
                <w:rFonts w:ascii="Arial" w:hAnsi="Arial" w:cs="Arial"/>
              </w:rPr>
            </w:pPr>
            <w:r w:rsidRPr="0097263A">
              <w:rPr>
                <w:rFonts w:cs="Arial"/>
              </w:rPr>
              <w:t>0.</w:t>
            </w:r>
            <w:r w:rsidR="006012F6" w:rsidRPr="00F87AA3">
              <w:t>07</w:t>
            </w:r>
          </w:p>
        </w:tc>
        <w:tc>
          <w:tcPr>
            <w:tcW w:w="1287" w:type="dxa"/>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46432C4B" w14:textId="25621905" w:rsidR="00DB7730" w:rsidRPr="00360131" w:rsidRDefault="00DB7730" w:rsidP="00360131">
            <w:pPr>
              <w:pStyle w:val="BodyText"/>
              <w:spacing w:before="149" w:line="235" w:lineRule="auto"/>
              <w:ind w:right="9"/>
              <w:jc w:val="center"/>
              <w:rPr>
                <w:rFonts w:ascii="Arial" w:hAnsi="Arial" w:cs="Arial"/>
              </w:rPr>
            </w:pPr>
            <w:r w:rsidRPr="0097263A">
              <w:rPr>
                <w:rFonts w:cs="Arial"/>
              </w:rPr>
              <w:t>0.</w:t>
            </w:r>
            <w:r w:rsidR="006012F6" w:rsidRPr="00F87AA3">
              <w:t>07</w:t>
            </w:r>
          </w:p>
        </w:tc>
        <w:tc>
          <w:tcPr>
            <w:tcW w:w="1287" w:type="dxa"/>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1A071915" w14:textId="60D9F99E" w:rsidR="00DB7730" w:rsidRPr="00360131" w:rsidRDefault="00DB7730" w:rsidP="00360131">
            <w:pPr>
              <w:pStyle w:val="BodyText"/>
              <w:spacing w:before="149" w:line="235" w:lineRule="auto"/>
              <w:ind w:right="9"/>
              <w:jc w:val="center"/>
              <w:rPr>
                <w:rFonts w:ascii="Arial" w:hAnsi="Arial" w:cs="Arial"/>
              </w:rPr>
            </w:pPr>
            <w:r w:rsidRPr="0097263A">
              <w:rPr>
                <w:rFonts w:cs="Arial"/>
              </w:rPr>
              <w:t>0.</w:t>
            </w:r>
            <w:r w:rsidR="006012F6" w:rsidRPr="00F87AA3">
              <w:t>07</w:t>
            </w:r>
          </w:p>
        </w:tc>
        <w:tc>
          <w:tcPr>
            <w:tcW w:w="1287" w:type="dxa"/>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1D59FA52" w14:textId="22C5FD2E" w:rsidR="00DB7730" w:rsidRPr="00360131" w:rsidRDefault="00DB7730" w:rsidP="00360131">
            <w:pPr>
              <w:pStyle w:val="BodyText"/>
              <w:spacing w:before="149" w:line="235" w:lineRule="auto"/>
              <w:ind w:right="9"/>
              <w:jc w:val="center"/>
              <w:rPr>
                <w:rFonts w:ascii="Arial" w:hAnsi="Arial" w:cs="Arial"/>
              </w:rPr>
            </w:pPr>
            <w:r w:rsidRPr="0097263A">
              <w:rPr>
                <w:rFonts w:cs="Arial"/>
              </w:rPr>
              <w:t>0.</w:t>
            </w:r>
            <w:r w:rsidR="006012F6" w:rsidRPr="00F87AA3">
              <w:t>07</w:t>
            </w:r>
          </w:p>
        </w:tc>
      </w:tr>
      <w:tr w:rsidR="009B2CD9" w:rsidRPr="00E4761C" w14:paraId="54099C73" w14:textId="77777777" w:rsidTr="003F1732">
        <w:trPr>
          <w:cnfStyle w:val="000000100000" w:firstRow="0" w:lastRow="0" w:firstColumn="0" w:lastColumn="0" w:oddVBand="0" w:evenVBand="0" w:oddHBand="1" w:evenHBand="0" w:firstRowFirstColumn="0" w:firstRowLastColumn="0" w:lastRowFirstColumn="0" w:lastRowLastColumn="0"/>
          <w:trHeight w:val="300"/>
        </w:trPr>
        <w:tc>
          <w:tcPr>
            <w:tcW w:w="3059" w:type="dxa"/>
            <w:tcBorders>
              <w:top w:val="single" w:sz="2" w:space="0" w:color="002279"/>
              <w:left w:val="single" w:sz="4" w:space="0" w:color="002279"/>
              <w:bottom w:val="single" w:sz="2" w:space="0" w:color="002279"/>
              <w:right w:val="single" w:sz="4" w:space="0" w:color="002279"/>
            </w:tcBorders>
            <w:shd w:val="clear" w:color="auto" w:fill="D4D6DF"/>
            <w:noWrap/>
            <w:hideMark/>
          </w:tcPr>
          <w:p w14:paraId="2A34DB41" w14:textId="3BA90CD1" w:rsidR="00DB7730" w:rsidRPr="00360131" w:rsidRDefault="00DB7730" w:rsidP="00ED308F">
            <w:pPr>
              <w:pStyle w:val="BodyText"/>
              <w:spacing w:before="149" w:line="235" w:lineRule="auto"/>
              <w:ind w:right="9"/>
              <w:rPr>
                <w:rFonts w:ascii="Arial" w:hAnsi="Arial" w:cs="Arial"/>
              </w:rPr>
            </w:pPr>
            <w:r w:rsidRPr="0097263A">
              <w:rPr>
                <w:rFonts w:cs="Arial"/>
              </w:rPr>
              <w:t xml:space="preserve">Licence fees </w:t>
            </w:r>
            <w:r w:rsidR="00310E2A" w:rsidRPr="0097263A">
              <w:rPr>
                <w:rFonts w:cs="Arial"/>
              </w:rPr>
              <w:t>–</w:t>
            </w:r>
            <w:r w:rsidRPr="0097263A">
              <w:rPr>
                <w:rFonts w:cs="Arial"/>
              </w:rPr>
              <w:t xml:space="preserve"> Environment Protection Authority</w:t>
            </w:r>
          </w:p>
        </w:tc>
        <w:tc>
          <w:tcPr>
            <w:tcW w:w="1286" w:type="dxa"/>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48CC0B2E" w14:textId="16B11818" w:rsidR="00DB7730" w:rsidRPr="00360131" w:rsidRDefault="00DB7730" w:rsidP="00360131">
            <w:pPr>
              <w:pStyle w:val="BodyText"/>
              <w:spacing w:before="149" w:line="235" w:lineRule="auto"/>
              <w:ind w:right="9"/>
              <w:jc w:val="center"/>
              <w:rPr>
                <w:rFonts w:ascii="Arial" w:hAnsi="Arial" w:cs="Arial"/>
              </w:rPr>
            </w:pPr>
            <w:r w:rsidRPr="0097263A">
              <w:rPr>
                <w:rFonts w:cs="Arial"/>
              </w:rPr>
              <w:t>0.</w:t>
            </w:r>
            <w:r w:rsidR="006012F6" w:rsidRPr="00F87AA3">
              <w:t>29</w:t>
            </w:r>
          </w:p>
        </w:tc>
        <w:tc>
          <w:tcPr>
            <w:tcW w:w="1287" w:type="dxa"/>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56D5B0E3" w14:textId="54EEAE1C" w:rsidR="00DB7730" w:rsidRPr="00360131" w:rsidRDefault="00DB7730" w:rsidP="00360131">
            <w:pPr>
              <w:pStyle w:val="BodyText"/>
              <w:spacing w:before="149" w:line="235" w:lineRule="auto"/>
              <w:ind w:right="9"/>
              <w:jc w:val="center"/>
              <w:rPr>
                <w:rFonts w:ascii="Arial" w:hAnsi="Arial" w:cs="Arial"/>
              </w:rPr>
            </w:pPr>
            <w:r w:rsidRPr="0097263A">
              <w:rPr>
                <w:rFonts w:cs="Arial"/>
              </w:rPr>
              <w:t>0.</w:t>
            </w:r>
            <w:r w:rsidR="006012F6" w:rsidRPr="00F87AA3">
              <w:t>29</w:t>
            </w:r>
          </w:p>
        </w:tc>
        <w:tc>
          <w:tcPr>
            <w:tcW w:w="1287" w:type="dxa"/>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5EEFD1C0" w14:textId="2F8D02A5" w:rsidR="00DB7730" w:rsidRPr="00360131" w:rsidRDefault="00DB7730" w:rsidP="00360131">
            <w:pPr>
              <w:pStyle w:val="BodyText"/>
              <w:spacing w:before="149" w:line="235" w:lineRule="auto"/>
              <w:ind w:right="9"/>
              <w:jc w:val="center"/>
              <w:rPr>
                <w:rFonts w:ascii="Arial" w:hAnsi="Arial" w:cs="Arial"/>
              </w:rPr>
            </w:pPr>
            <w:r w:rsidRPr="0097263A">
              <w:rPr>
                <w:rFonts w:cs="Arial"/>
              </w:rPr>
              <w:t>0.</w:t>
            </w:r>
            <w:r w:rsidR="006012F6" w:rsidRPr="00F87AA3">
              <w:t>29</w:t>
            </w:r>
          </w:p>
        </w:tc>
        <w:tc>
          <w:tcPr>
            <w:tcW w:w="1287" w:type="dxa"/>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314E920F" w14:textId="754A7793" w:rsidR="00DB7730" w:rsidRPr="00360131" w:rsidRDefault="00DB7730" w:rsidP="00360131">
            <w:pPr>
              <w:pStyle w:val="BodyText"/>
              <w:spacing w:before="149" w:line="235" w:lineRule="auto"/>
              <w:ind w:right="9"/>
              <w:jc w:val="center"/>
              <w:rPr>
                <w:rFonts w:ascii="Arial" w:hAnsi="Arial" w:cs="Arial"/>
              </w:rPr>
            </w:pPr>
            <w:r w:rsidRPr="0097263A">
              <w:rPr>
                <w:rFonts w:cs="Arial"/>
              </w:rPr>
              <w:t>0.</w:t>
            </w:r>
            <w:r w:rsidR="006012F6" w:rsidRPr="00F87AA3">
              <w:t>29</w:t>
            </w:r>
          </w:p>
        </w:tc>
        <w:tc>
          <w:tcPr>
            <w:tcW w:w="1287" w:type="dxa"/>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2E462517" w14:textId="00B36EAB" w:rsidR="00DB7730" w:rsidRPr="00360131" w:rsidRDefault="00DB7730" w:rsidP="00360131">
            <w:pPr>
              <w:pStyle w:val="BodyText"/>
              <w:spacing w:before="149" w:line="235" w:lineRule="auto"/>
              <w:ind w:right="9"/>
              <w:jc w:val="center"/>
              <w:rPr>
                <w:rFonts w:ascii="Arial" w:hAnsi="Arial" w:cs="Arial"/>
              </w:rPr>
            </w:pPr>
            <w:r w:rsidRPr="0097263A">
              <w:rPr>
                <w:rFonts w:cs="Arial"/>
              </w:rPr>
              <w:t>0.</w:t>
            </w:r>
            <w:r w:rsidR="006012F6" w:rsidRPr="00F87AA3">
              <w:t>29</w:t>
            </w:r>
          </w:p>
        </w:tc>
      </w:tr>
      <w:tr w:rsidR="009B2CD9" w:rsidRPr="00E4761C" w14:paraId="395CF11D" w14:textId="77777777" w:rsidTr="003F1732">
        <w:trPr>
          <w:cnfStyle w:val="000000010000" w:firstRow="0" w:lastRow="0" w:firstColumn="0" w:lastColumn="0" w:oddVBand="0" w:evenVBand="0" w:oddHBand="0" w:evenHBand="1" w:firstRowFirstColumn="0" w:firstRowLastColumn="0" w:lastRowFirstColumn="0" w:lastRowLastColumn="0"/>
          <w:trHeight w:val="315"/>
        </w:trPr>
        <w:tc>
          <w:tcPr>
            <w:tcW w:w="3059" w:type="dxa"/>
            <w:tcBorders>
              <w:top w:val="single" w:sz="2" w:space="0" w:color="002279"/>
              <w:left w:val="single" w:sz="4" w:space="0" w:color="002279"/>
              <w:bottom w:val="single" w:sz="2" w:space="0" w:color="002279"/>
              <w:right w:val="single" w:sz="4" w:space="0" w:color="002279"/>
            </w:tcBorders>
            <w:shd w:val="clear" w:color="auto" w:fill="FFFFFF" w:themeFill="background1"/>
            <w:noWrap/>
            <w:hideMark/>
          </w:tcPr>
          <w:p w14:paraId="0FC3D15B" w14:textId="1ACD88DD" w:rsidR="00DB7730" w:rsidRPr="00360131" w:rsidRDefault="00DB7730" w:rsidP="00ED308F">
            <w:pPr>
              <w:pStyle w:val="BodyText"/>
              <w:spacing w:before="149" w:line="235" w:lineRule="auto"/>
              <w:ind w:right="9"/>
              <w:rPr>
                <w:rFonts w:ascii="Arial" w:hAnsi="Arial" w:cs="Arial"/>
              </w:rPr>
            </w:pPr>
            <w:r w:rsidRPr="0097263A">
              <w:rPr>
                <w:rFonts w:cs="Arial"/>
              </w:rPr>
              <w:t xml:space="preserve">Environment </w:t>
            </w:r>
            <w:r w:rsidR="00F41A9D" w:rsidRPr="0097263A">
              <w:rPr>
                <w:rFonts w:cs="Arial"/>
              </w:rPr>
              <w:t>c</w:t>
            </w:r>
            <w:r w:rsidRPr="0097263A">
              <w:rPr>
                <w:rFonts w:cs="Arial"/>
              </w:rPr>
              <w:t>ontribution</w:t>
            </w:r>
          </w:p>
        </w:tc>
        <w:tc>
          <w:tcPr>
            <w:tcW w:w="1286" w:type="dxa"/>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664340E9" w14:textId="3EE6AADA" w:rsidR="00DB7730" w:rsidRPr="00360131" w:rsidRDefault="00B55C41" w:rsidP="00360131">
            <w:pPr>
              <w:pStyle w:val="BodyText"/>
              <w:spacing w:before="149" w:line="235" w:lineRule="auto"/>
              <w:ind w:right="9"/>
              <w:jc w:val="center"/>
              <w:rPr>
                <w:rFonts w:ascii="Arial" w:hAnsi="Arial" w:cs="Arial"/>
              </w:rPr>
            </w:pPr>
            <w:r w:rsidRPr="0097263A">
              <w:rPr>
                <w:rFonts w:cs="Arial"/>
              </w:rPr>
              <w:t>42.</w:t>
            </w:r>
            <w:r w:rsidR="006012F6" w:rsidRPr="00F87AA3">
              <w:t>19</w:t>
            </w:r>
          </w:p>
        </w:tc>
        <w:tc>
          <w:tcPr>
            <w:tcW w:w="1287" w:type="dxa"/>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3D1E14F8" w14:textId="3F9FC534" w:rsidR="00DB7730" w:rsidRPr="00360131" w:rsidRDefault="006012F6" w:rsidP="00360131">
            <w:pPr>
              <w:pStyle w:val="BodyText"/>
              <w:spacing w:before="149" w:line="235" w:lineRule="auto"/>
              <w:ind w:right="9"/>
              <w:jc w:val="center"/>
              <w:rPr>
                <w:rFonts w:ascii="Arial" w:hAnsi="Arial" w:cs="Arial"/>
              </w:rPr>
            </w:pPr>
            <w:r w:rsidRPr="00F87AA3">
              <w:t>40.97</w:t>
            </w:r>
          </w:p>
        </w:tc>
        <w:tc>
          <w:tcPr>
            <w:tcW w:w="1287" w:type="dxa"/>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46173E44" w14:textId="63F4AED9" w:rsidR="00DB7730" w:rsidRPr="00360131" w:rsidRDefault="00B55C41" w:rsidP="00360131">
            <w:pPr>
              <w:pStyle w:val="BodyText"/>
              <w:spacing w:before="149" w:line="235" w:lineRule="auto"/>
              <w:ind w:right="9"/>
              <w:jc w:val="center"/>
              <w:rPr>
                <w:rFonts w:ascii="Arial" w:hAnsi="Arial" w:cs="Arial"/>
              </w:rPr>
            </w:pPr>
            <w:r w:rsidRPr="0097263A">
              <w:rPr>
                <w:rFonts w:cs="Arial"/>
              </w:rPr>
              <w:t>39.</w:t>
            </w:r>
            <w:r w:rsidR="006012F6" w:rsidRPr="00F87AA3">
              <w:t>77</w:t>
            </w:r>
          </w:p>
        </w:tc>
        <w:tc>
          <w:tcPr>
            <w:tcW w:w="1287" w:type="dxa"/>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04BC9E2F" w14:textId="2ADA3D1F" w:rsidR="00DB7730" w:rsidRPr="00360131" w:rsidRDefault="00B55C41" w:rsidP="00360131">
            <w:pPr>
              <w:pStyle w:val="BodyText"/>
              <w:spacing w:before="149" w:line="235" w:lineRule="auto"/>
              <w:ind w:right="9"/>
              <w:jc w:val="center"/>
              <w:rPr>
                <w:rFonts w:ascii="Arial" w:hAnsi="Arial" w:cs="Arial"/>
              </w:rPr>
            </w:pPr>
            <w:r w:rsidRPr="0097263A">
              <w:rPr>
                <w:rFonts w:cs="Arial"/>
              </w:rPr>
              <w:t>38.</w:t>
            </w:r>
            <w:r w:rsidR="006012F6" w:rsidRPr="00F87AA3">
              <w:t>61</w:t>
            </w:r>
          </w:p>
        </w:tc>
        <w:tc>
          <w:tcPr>
            <w:tcW w:w="1287" w:type="dxa"/>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530D1EA1" w14:textId="4C19B39F" w:rsidR="00DB7730" w:rsidRPr="00360131" w:rsidRDefault="00B55C41" w:rsidP="00360131">
            <w:pPr>
              <w:pStyle w:val="BodyText"/>
              <w:spacing w:before="149" w:line="235" w:lineRule="auto"/>
              <w:ind w:right="9"/>
              <w:jc w:val="center"/>
              <w:rPr>
                <w:rFonts w:ascii="Arial" w:hAnsi="Arial" w:cs="Arial"/>
              </w:rPr>
            </w:pPr>
            <w:r w:rsidRPr="0097263A">
              <w:rPr>
                <w:rFonts w:cs="Arial"/>
              </w:rPr>
              <w:t>37.</w:t>
            </w:r>
            <w:r w:rsidR="006012F6" w:rsidRPr="00F87AA3">
              <w:t>49</w:t>
            </w:r>
          </w:p>
        </w:tc>
      </w:tr>
      <w:tr w:rsidR="009B2CD9" w:rsidRPr="00E4761C" w14:paraId="037FCF13" w14:textId="77777777" w:rsidTr="003F1732">
        <w:trPr>
          <w:cnfStyle w:val="000000100000" w:firstRow="0" w:lastRow="0" w:firstColumn="0" w:lastColumn="0" w:oddVBand="0" w:evenVBand="0" w:oddHBand="1" w:evenHBand="0" w:firstRowFirstColumn="0" w:firstRowLastColumn="0" w:lastRowFirstColumn="0" w:lastRowLastColumn="0"/>
          <w:trHeight w:val="315"/>
        </w:trPr>
        <w:tc>
          <w:tcPr>
            <w:tcW w:w="3059" w:type="dxa"/>
            <w:tcBorders>
              <w:top w:val="single" w:sz="2" w:space="0" w:color="002279"/>
              <w:left w:val="single" w:sz="4" w:space="0" w:color="002279"/>
              <w:bottom w:val="single" w:sz="2" w:space="0" w:color="002279"/>
              <w:right w:val="single" w:sz="4" w:space="0" w:color="002279"/>
            </w:tcBorders>
            <w:shd w:val="clear" w:color="auto" w:fill="D4D6DF"/>
            <w:noWrap/>
            <w:hideMark/>
          </w:tcPr>
          <w:p w14:paraId="3D9AAB38" w14:textId="23F46772" w:rsidR="00DB7730" w:rsidRPr="00360131" w:rsidRDefault="00C577CC" w:rsidP="00ED308F">
            <w:pPr>
              <w:pStyle w:val="BodyText"/>
              <w:spacing w:before="149" w:line="235" w:lineRule="auto"/>
              <w:ind w:right="9"/>
              <w:rPr>
                <w:rFonts w:ascii="Arial" w:hAnsi="Arial" w:cs="Arial"/>
              </w:rPr>
            </w:pPr>
            <w:r w:rsidRPr="0097263A">
              <w:rPr>
                <w:rFonts w:cs="Arial"/>
              </w:rPr>
              <w:t>Melbourne Water</w:t>
            </w:r>
            <w:r w:rsidR="00B55C41" w:rsidRPr="0097263A">
              <w:rPr>
                <w:rFonts w:cs="Arial"/>
              </w:rPr>
              <w:t xml:space="preserve"> </w:t>
            </w:r>
            <w:r w:rsidR="00310E2A" w:rsidRPr="0097263A">
              <w:rPr>
                <w:rFonts w:cs="Arial"/>
              </w:rPr>
              <w:t>–</w:t>
            </w:r>
            <w:r w:rsidR="00B55C41" w:rsidRPr="0097263A">
              <w:rPr>
                <w:rFonts w:cs="Arial"/>
              </w:rPr>
              <w:t xml:space="preserve"> </w:t>
            </w:r>
            <w:r w:rsidR="007B79AC" w:rsidRPr="0097263A">
              <w:rPr>
                <w:rFonts w:cs="Arial"/>
              </w:rPr>
              <w:t>w</w:t>
            </w:r>
            <w:r w:rsidR="00B55C41" w:rsidRPr="0097263A">
              <w:rPr>
                <w:rFonts w:cs="Arial"/>
              </w:rPr>
              <w:t>ater</w:t>
            </w:r>
          </w:p>
        </w:tc>
        <w:tc>
          <w:tcPr>
            <w:tcW w:w="1286" w:type="dxa"/>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71A75A55" w14:textId="32EEA1C9" w:rsidR="00DB7730" w:rsidRPr="00360131" w:rsidRDefault="00B55C41" w:rsidP="00360131">
            <w:pPr>
              <w:pStyle w:val="BodyText"/>
              <w:spacing w:before="149" w:line="235" w:lineRule="auto"/>
              <w:ind w:right="9"/>
              <w:jc w:val="center"/>
              <w:rPr>
                <w:rFonts w:ascii="Arial" w:hAnsi="Arial" w:cs="Arial"/>
              </w:rPr>
            </w:pPr>
            <w:r w:rsidRPr="0097263A">
              <w:rPr>
                <w:rFonts w:cs="Arial"/>
              </w:rPr>
              <w:t>314.</w:t>
            </w:r>
            <w:r w:rsidR="006012F6" w:rsidRPr="00F87AA3">
              <w:t>43</w:t>
            </w:r>
          </w:p>
        </w:tc>
        <w:tc>
          <w:tcPr>
            <w:tcW w:w="1287" w:type="dxa"/>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3C416AA9" w14:textId="23439110" w:rsidR="00DB7730" w:rsidRPr="00360131" w:rsidRDefault="00B55C41" w:rsidP="00360131">
            <w:pPr>
              <w:pStyle w:val="BodyText"/>
              <w:spacing w:before="149" w:line="235" w:lineRule="auto"/>
              <w:ind w:right="9"/>
              <w:jc w:val="center"/>
              <w:rPr>
                <w:rFonts w:ascii="Arial" w:hAnsi="Arial" w:cs="Arial"/>
              </w:rPr>
            </w:pPr>
            <w:r w:rsidRPr="0097263A">
              <w:rPr>
                <w:rFonts w:cs="Arial"/>
              </w:rPr>
              <w:t>307.</w:t>
            </w:r>
            <w:r w:rsidR="006012F6" w:rsidRPr="00F87AA3">
              <w:t>23</w:t>
            </w:r>
          </w:p>
        </w:tc>
        <w:tc>
          <w:tcPr>
            <w:tcW w:w="1287" w:type="dxa"/>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34A5B1EF" w14:textId="7074BEC2" w:rsidR="00DB7730" w:rsidRPr="00360131" w:rsidRDefault="00DB7730" w:rsidP="00360131">
            <w:pPr>
              <w:pStyle w:val="BodyText"/>
              <w:spacing w:before="149" w:line="235" w:lineRule="auto"/>
              <w:ind w:right="9"/>
              <w:jc w:val="center"/>
              <w:rPr>
                <w:rFonts w:ascii="Arial" w:hAnsi="Arial" w:cs="Arial"/>
              </w:rPr>
            </w:pPr>
            <w:r w:rsidRPr="0097263A">
              <w:rPr>
                <w:rFonts w:cs="Arial"/>
              </w:rPr>
              <w:t>304.</w:t>
            </w:r>
            <w:r w:rsidR="006012F6" w:rsidRPr="00F87AA3">
              <w:t>73</w:t>
            </w:r>
          </w:p>
        </w:tc>
        <w:tc>
          <w:tcPr>
            <w:tcW w:w="1287" w:type="dxa"/>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53A7DDD0" w14:textId="7198502B" w:rsidR="00DB7730" w:rsidRPr="00360131" w:rsidRDefault="006012F6" w:rsidP="00360131">
            <w:pPr>
              <w:pStyle w:val="BodyText"/>
              <w:spacing w:before="149" w:line="235" w:lineRule="auto"/>
              <w:ind w:right="9"/>
              <w:jc w:val="center"/>
              <w:rPr>
                <w:rFonts w:ascii="Arial" w:hAnsi="Arial" w:cs="Arial"/>
              </w:rPr>
            </w:pPr>
            <w:r w:rsidRPr="00F87AA3">
              <w:t>297.96</w:t>
            </w:r>
          </w:p>
        </w:tc>
        <w:tc>
          <w:tcPr>
            <w:tcW w:w="1287" w:type="dxa"/>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69F5530B" w14:textId="25FD00BF" w:rsidR="00DB7730" w:rsidRPr="00360131" w:rsidRDefault="00DB7730" w:rsidP="00360131">
            <w:pPr>
              <w:pStyle w:val="BodyText"/>
              <w:spacing w:before="149" w:line="235" w:lineRule="auto"/>
              <w:ind w:right="9"/>
              <w:jc w:val="center"/>
              <w:rPr>
                <w:rFonts w:ascii="Arial" w:hAnsi="Arial" w:cs="Arial"/>
              </w:rPr>
            </w:pPr>
            <w:r w:rsidRPr="0097263A">
              <w:rPr>
                <w:rFonts w:cs="Arial"/>
              </w:rPr>
              <w:t>296.</w:t>
            </w:r>
            <w:r w:rsidR="006012F6" w:rsidRPr="00F87AA3">
              <w:t>29</w:t>
            </w:r>
          </w:p>
        </w:tc>
      </w:tr>
      <w:tr w:rsidR="009B2CD9" w:rsidRPr="00E4761C" w14:paraId="2CC6A2D2" w14:textId="77777777" w:rsidTr="003F1732">
        <w:trPr>
          <w:cnfStyle w:val="000000010000" w:firstRow="0" w:lastRow="0" w:firstColumn="0" w:lastColumn="0" w:oddVBand="0" w:evenVBand="0" w:oddHBand="0" w:evenHBand="1" w:firstRowFirstColumn="0" w:firstRowLastColumn="0" w:lastRowFirstColumn="0" w:lastRowLastColumn="0"/>
          <w:trHeight w:val="300"/>
        </w:trPr>
        <w:tc>
          <w:tcPr>
            <w:tcW w:w="3059" w:type="dxa"/>
            <w:tcBorders>
              <w:top w:val="single" w:sz="2" w:space="0" w:color="002279"/>
              <w:left w:val="single" w:sz="4" w:space="0" w:color="002279"/>
              <w:bottom w:val="single" w:sz="2" w:space="0" w:color="002279"/>
              <w:right w:val="single" w:sz="4" w:space="0" w:color="002279"/>
            </w:tcBorders>
            <w:shd w:val="clear" w:color="auto" w:fill="FFFFFF" w:themeFill="background1"/>
            <w:noWrap/>
            <w:hideMark/>
          </w:tcPr>
          <w:p w14:paraId="5937CBF7" w14:textId="64B78277" w:rsidR="00DB7730" w:rsidRPr="00360131" w:rsidRDefault="00C577CC" w:rsidP="00ED308F">
            <w:pPr>
              <w:pStyle w:val="BodyText"/>
              <w:spacing w:before="149" w:line="235" w:lineRule="auto"/>
              <w:ind w:right="9"/>
              <w:rPr>
                <w:rFonts w:ascii="Arial" w:hAnsi="Arial" w:cs="Arial"/>
              </w:rPr>
            </w:pPr>
            <w:r w:rsidRPr="0097263A">
              <w:rPr>
                <w:rFonts w:cs="Arial"/>
              </w:rPr>
              <w:t>Melbourne Water</w:t>
            </w:r>
            <w:r w:rsidR="00DB7730" w:rsidRPr="0097263A">
              <w:rPr>
                <w:rFonts w:cs="Arial"/>
              </w:rPr>
              <w:t xml:space="preserve"> </w:t>
            </w:r>
            <w:r w:rsidR="00310E2A" w:rsidRPr="0097263A">
              <w:rPr>
                <w:rFonts w:cs="Arial"/>
              </w:rPr>
              <w:t>–</w:t>
            </w:r>
            <w:r w:rsidR="00DB7730" w:rsidRPr="0097263A">
              <w:rPr>
                <w:rFonts w:cs="Arial"/>
              </w:rPr>
              <w:t xml:space="preserve"> </w:t>
            </w:r>
            <w:r w:rsidR="007B79AC" w:rsidRPr="0097263A">
              <w:rPr>
                <w:rFonts w:cs="Arial"/>
              </w:rPr>
              <w:t>s</w:t>
            </w:r>
            <w:r w:rsidR="00DB7730" w:rsidRPr="0097263A">
              <w:rPr>
                <w:rFonts w:cs="Arial"/>
              </w:rPr>
              <w:t>ewerage</w:t>
            </w:r>
          </w:p>
        </w:tc>
        <w:tc>
          <w:tcPr>
            <w:tcW w:w="1286" w:type="dxa"/>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4C98A82F" w14:textId="3A12A229" w:rsidR="00DB7730" w:rsidRPr="00360131" w:rsidRDefault="00DB7730" w:rsidP="00360131">
            <w:pPr>
              <w:pStyle w:val="BodyText"/>
              <w:spacing w:before="149" w:line="235" w:lineRule="auto"/>
              <w:ind w:right="9"/>
              <w:jc w:val="center"/>
              <w:rPr>
                <w:rFonts w:ascii="Arial" w:hAnsi="Arial" w:cs="Arial"/>
              </w:rPr>
            </w:pPr>
            <w:r w:rsidRPr="0097263A">
              <w:rPr>
                <w:rFonts w:cs="Arial"/>
              </w:rPr>
              <w:t>178.</w:t>
            </w:r>
            <w:r w:rsidR="006012F6" w:rsidRPr="00F87AA3">
              <w:t>72</w:t>
            </w:r>
          </w:p>
        </w:tc>
        <w:tc>
          <w:tcPr>
            <w:tcW w:w="1287" w:type="dxa"/>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1778EAAB" w14:textId="7C4BE6F7" w:rsidR="00DB7730" w:rsidRPr="00360131" w:rsidRDefault="00DB7730" w:rsidP="00360131">
            <w:pPr>
              <w:pStyle w:val="BodyText"/>
              <w:spacing w:before="149" w:line="235" w:lineRule="auto"/>
              <w:ind w:right="9"/>
              <w:jc w:val="center"/>
              <w:rPr>
                <w:rFonts w:ascii="Arial" w:hAnsi="Arial" w:cs="Arial"/>
              </w:rPr>
            </w:pPr>
            <w:r w:rsidRPr="0097263A">
              <w:rPr>
                <w:rFonts w:cs="Arial"/>
              </w:rPr>
              <w:t>182.</w:t>
            </w:r>
            <w:r w:rsidR="006012F6" w:rsidRPr="00F87AA3">
              <w:t>76</w:t>
            </w:r>
          </w:p>
        </w:tc>
        <w:tc>
          <w:tcPr>
            <w:tcW w:w="1287" w:type="dxa"/>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14CF6290" w14:textId="20816E9D" w:rsidR="00DB7730" w:rsidRPr="00360131" w:rsidRDefault="00DB7730" w:rsidP="00360131">
            <w:pPr>
              <w:pStyle w:val="BodyText"/>
              <w:spacing w:before="149" w:line="235" w:lineRule="auto"/>
              <w:ind w:right="9"/>
              <w:jc w:val="center"/>
              <w:rPr>
                <w:rFonts w:ascii="Arial" w:hAnsi="Arial" w:cs="Arial"/>
              </w:rPr>
            </w:pPr>
            <w:r w:rsidRPr="0097263A">
              <w:rPr>
                <w:rFonts w:cs="Arial"/>
              </w:rPr>
              <w:t>188.</w:t>
            </w:r>
            <w:r w:rsidR="006012F6" w:rsidRPr="00F87AA3">
              <w:t>74</w:t>
            </w:r>
          </w:p>
        </w:tc>
        <w:tc>
          <w:tcPr>
            <w:tcW w:w="1287" w:type="dxa"/>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7304E9E1" w14:textId="7D73067E" w:rsidR="00DB7730" w:rsidRPr="00360131" w:rsidRDefault="00B55C41" w:rsidP="00360131">
            <w:pPr>
              <w:pStyle w:val="BodyText"/>
              <w:spacing w:before="149" w:line="235" w:lineRule="auto"/>
              <w:ind w:right="9"/>
              <w:jc w:val="center"/>
              <w:rPr>
                <w:rFonts w:ascii="Arial" w:hAnsi="Arial" w:cs="Arial"/>
              </w:rPr>
            </w:pPr>
            <w:r w:rsidRPr="0097263A">
              <w:rPr>
                <w:rFonts w:cs="Arial"/>
              </w:rPr>
              <w:t>184.</w:t>
            </w:r>
            <w:r w:rsidR="006012F6" w:rsidRPr="00F87AA3">
              <w:t>37</w:t>
            </w:r>
          </w:p>
        </w:tc>
        <w:tc>
          <w:tcPr>
            <w:tcW w:w="1287" w:type="dxa"/>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1E8D4617" w14:textId="140AB118" w:rsidR="00DB7730" w:rsidRPr="00360131" w:rsidRDefault="00B55C41" w:rsidP="00360131">
            <w:pPr>
              <w:pStyle w:val="BodyText"/>
              <w:spacing w:before="149" w:line="235" w:lineRule="auto"/>
              <w:ind w:right="9"/>
              <w:jc w:val="center"/>
              <w:rPr>
                <w:rFonts w:ascii="Arial" w:hAnsi="Arial" w:cs="Arial"/>
              </w:rPr>
            </w:pPr>
            <w:r w:rsidRPr="0097263A">
              <w:rPr>
                <w:rFonts w:cs="Arial"/>
              </w:rPr>
              <w:t>183.</w:t>
            </w:r>
            <w:r w:rsidR="006012F6" w:rsidRPr="00F87AA3">
              <w:t>17</w:t>
            </w:r>
          </w:p>
        </w:tc>
      </w:tr>
      <w:tr w:rsidR="009B2CD9" w:rsidRPr="00E4761C" w14:paraId="7998217F" w14:textId="77777777" w:rsidTr="003F1732">
        <w:trPr>
          <w:cnfStyle w:val="000000100000" w:firstRow="0" w:lastRow="0" w:firstColumn="0" w:lastColumn="0" w:oddVBand="0" w:evenVBand="0" w:oddHBand="1" w:evenHBand="0" w:firstRowFirstColumn="0" w:firstRowLastColumn="0" w:lastRowFirstColumn="0" w:lastRowLastColumn="0"/>
          <w:trHeight w:val="300"/>
        </w:trPr>
        <w:tc>
          <w:tcPr>
            <w:tcW w:w="3059" w:type="dxa"/>
            <w:tcBorders>
              <w:top w:val="single" w:sz="2" w:space="0" w:color="002279"/>
              <w:left w:val="single" w:sz="4" w:space="0" w:color="002279"/>
              <w:bottom w:val="single" w:sz="2" w:space="0" w:color="002279"/>
              <w:right w:val="single" w:sz="4" w:space="0" w:color="002279"/>
            </w:tcBorders>
            <w:shd w:val="clear" w:color="auto" w:fill="D4D6DF"/>
            <w:noWrap/>
            <w:hideMark/>
          </w:tcPr>
          <w:p w14:paraId="5B610A2F" w14:textId="67257F92" w:rsidR="00DB7730" w:rsidRPr="00360131" w:rsidRDefault="00B55C41" w:rsidP="00ED308F">
            <w:pPr>
              <w:pStyle w:val="BodyText"/>
              <w:spacing w:before="149" w:line="235" w:lineRule="auto"/>
              <w:ind w:right="9"/>
              <w:rPr>
                <w:rFonts w:ascii="Arial" w:hAnsi="Arial" w:cs="Arial"/>
              </w:rPr>
            </w:pPr>
            <w:r w:rsidRPr="0097263A">
              <w:rPr>
                <w:rFonts w:cs="Arial"/>
              </w:rPr>
              <w:t>M</w:t>
            </w:r>
            <w:r w:rsidR="00C577CC" w:rsidRPr="0097263A">
              <w:rPr>
                <w:rFonts w:cs="Arial"/>
              </w:rPr>
              <w:t>elbourne Water</w:t>
            </w:r>
            <w:r w:rsidRPr="0097263A">
              <w:rPr>
                <w:rFonts w:cs="Arial"/>
              </w:rPr>
              <w:t xml:space="preserve"> and </w:t>
            </w:r>
            <w:r w:rsidR="006012F6">
              <w:rPr>
                <w:rFonts w:cs="Arial"/>
              </w:rPr>
              <w:t>TRILITY</w:t>
            </w:r>
            <w:r w:rsidR="00DB7730" w:rsidRPr="0097263A">
              <w:rPr>
                <w:rFonts w:cs="Arial"/>
              </w:rPr>
              <w:t xml:space="preserve"> </w:t>
            </w:r>
            <w:r w:rsidR="009B2CD9">
              <w:rPr>
                <w:rFonts w:ascii="Arial" w:hAnsi="Arial" w:cs="Arial"/>
              </w:rPr>
              <w:br/>
            </w:r>
            <w:r w:rsidR="00310E2A" w:rsidRPr="0097263A">
              <w:rPr>
                <w:rFonts w:cs="Arial"/>
              </w:rPr>
              <w:t>–</w:t>
            </w:r>
            <w:r w:rsidR="00DB7730" w:rsidRPr="0097263A">
              <w:rPr>
                <w:rFonts w:cs="Arial"/>
              </w:rPr>
              <w:t xml:space="preserve"> </w:t>
            </w:r>
            <w:r w:rsidR="007B79AC" w:rsidRPr="0097263A">
              <w:rPr>
                <w:rFonts w:cs="Arial"/>
              </w:rPr>
              <w:t>r</w:t>
            </w:r>
            <w:r w:rsidR="00DB7730" w:rsidRPr="0097263A">
              <w:rPr>
                <w:rFonts w:cs="Arial"/>
              </w:rPr>
              <w:t xml:space="preserve">ecycled </w:t>
            </w:r>
            <w:r w:rsidR="007B79AC" w:rsidRPr="0097263A">
              <w:rPr>
                <w:rFonts w:cs="Arial"/>
              </w:rPr>
              <w:t>w</w:t>
            </w:r>
            <w:r w:rsidRPr="0097263A">
              <w:rPr>
                <w:rFonts w:cs="Arial"/>
              </w:rPr>
              <w:t>ater</w:t>
            </w:r>
          </w:p>
        </w:tc>
        <w:tc>
          <w:tcPr>
            <w:tcW w:w="1286" w:type="dxa"/>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34D09A3F" w14:textId="0AEF89A0" w:rsidR="00DB7730" w:rsidRPr="00360131" w:rsidRDefault="00DB7730" w:rsidP="00360131">
            <w:pPr>
              <w:pStyle w:val="BodyText"/>
              <w:spacing w:before="149" w:line="235" w:lineRule="auto"/>
              <w:ind w:right="9"/>
              <w:jc w:val="center"/>
              <w:rPr>
                <w:rFonts w:ascii="Arial" w:hAnsi="Arial" w:cs="Arial"/>
              </w:rPr>
            </w:pPr>
            <w:r w:rsidRPr="0097263A">
              <w:rPr>
                <w:rFonts w:cs="Arial"/>
              </w:rPr>
              <w:t>0</w:t>
            </w:r>
            <w:r w:rsidR="006012F6" w:rsidRPr="00F87AA3">
              <w:t>.97</w:t>
            </w:r>
          </w:p>
        </w:tc>
        <w:tc>
          <w:tcPr>
            <w:tcW w:w="1287" w:type="dxa"/>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41BA2F50" w14:textId="0E2891F3" w:rsidR="00DB7730" w:rsidRPr="00360131" w:rsidRDefault="00DB7730" w:rsidP="00360131">
            <w:pPr>
              <w:pStyle w:val="BodyText"/>
              <w:spacing w:before="149" w:line="235" w:lineRule="auto"/>
              <w:ind w:right="9"/>
              <w:jc w:val="center"/>
              <w:rPr>
                <w:rFonts w:ascii="Arial" w:hAnsi="Arial" w:cs="Arial"/>
              </w:rPr>
            </w:pPr>
            <w:r w:rsidRPr="0097263A">
              <w:rPr>
                <w:rFonts w:cs="Arial"/>
              </w:rPr>
              <w:t>0</w:t>
            </w:r>
            <w:r w:rsidR="006012F6" w:rsidRPr="00F87AA3">
              <w:t>.97</w:t>
            </w:r>
          </w:p>
        </w:tc>
        <w:tc>
          <w:tcPr>
            <w:tcW w:w="1287" w:type="dxa"/>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1EB5F465" w14:textId="05C324F6" w:rsidR="00DB7730" w:rsidRPr="00360131" w:rsidRDefault="00DB7730" w:rsidP="00360131">
            <w:pPr>
              <w:pStyle w:val="BodyText"/>
              <w:spacing w:before="149" w:line="235" w:lineRule="auto"/>
              <w:ind w:right="9"/>
              <w:jc w:val="center"/>
              <w:rPr>
                <w:rFonts w:ascii="Arial" w:hAnsi="Arial" w:cs="Arial"/>
              </w:rPr>
            </w:pPr>
            <w:r w:rsidRPr="0097263A">
              <w:rPr>
                <w:rFonts w:cs="Arial"/>
              </w:rPr>
              <w:t>0</w:t>
            </w:r>
            <w:r w:rsidR="006012F6" w:rsidRPr="00F87AA3">
              <w:t>.97</w:t>
            </w:r>
          </w:p>
        </w:tc>
        <w:tc>
          <w:tcPr>
            <w:tcW w:w="1287" w:type="dxa"/>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456D827C" w14:textId="4CFD7142" w:rsidR="00DB7730" w:rsidRPr="00360131" w:rsidRDefault="00DB7730" w:rsidP="00360131">
            <w:pPr>
              <w:pStyle w:val="BodyText"/>
              <w:spacing w:before="149" w:line="235" w:lineRule="auto"/>
              <w:ind w:right="9"/>
              <w:jc w:val="center"/>
              <w:rPr>
                <w:rFonts w:ascii="Arial" w:hAnsi="Arial" w:cs="Arial"/>
              </w:rPr>
            </w:pPr>
            <w:r w:rsidRPr="0097263A">
              <w:rPr>
                <w:rFonts w:cs="Arial"/>
              </w:rPr>
              <w:t>0</w:t>
            </w:r>
            <w:r w:rsidR="006012F6" w:rsidRPr="00F87AA3">
              <w:t>.97</w:t>
            </w:r>
          </w:p>
        </w:tc>
        <w:tc>
          <w:tcPr>
            <w:tcW w:w="1287" w:type="dxa"/>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1533A6F1" w14:textId="32A7F16D" w:rsidR="00DB7730" w:rsidRPr="00360131" w:rsidRDefault="00DB7730" w:rsidP="00360131">
            <w:pPr>
              <w:pStyle w:val="BodyText"/>
              <w:spacing w:before="149" w:line="235" w:lineRule="auto"/>
              <w:ind w:right="9"/>
              <w:jc w:val="center"/>
              <w:rPr>
                <w:rFonts w:ascii="Arial" w:hAnsi="Arial" w:cs="Arial"/>
              </w:rPr>
            </w:pPr>
            <w:r w:rsidRPr="0097263A">
              <w:rPr>
                <w:rFonts w:cs="Arial"/>
              </w:rPr>
              <w:t>0</w:t>
            </w:r>
            <w:r w:rsidR="006012F6" w:rsidRPr="00F87AA3">
              <w:t>.97</w:t>
            </w:r>
          </w:p>
        </w:tc>
      </w:tr>
      <w:tr w:rsidR="009B2CD9" w:rsidRPr="00E4761C" w14:paraId="5CE96F59" w14:textId="77777777" w:rsidTr="003F1732">
        <w:trPr>
          <w:cnfStyle w:val="000000010000" w:firstRow="0" w:lastRow="0" w:firstColumn="0" w:lastColumn="0" w:oddVBand="0" w:evenVBand="0" w:oddHBand="0" w:evenHBand="1" w:firstRowFirstColumn="0" w:firstRowLastColumn="0" w:lastRowFirstColumn="0" w:lastRowLastColumn="0"/>
          <w:trHeight w:val="300"/>
        </w:trPr>
        <w:tc>
          <w:tcPr>
            <w:tcW w:w="3059" w:type="dxa"/>
            <w:tcBorders>
              <w:top w:val="single" w:sz="2" w:space="0" w:color="002279"/>
              <w:left w:val="single" w:sz="4" w:space="0" w:color="002279"/>
              <w:bottom w:val="single" w:sz="2" w:space="0" w:color="002279"/>
              <w:right w:val="single" w:sz="4" w:space="0" w:color="002279"/>
            </w:tcBorders>
            <w:shd w:val="clear" w:color="auto" w:fill="FFFFFF" w:themeFill="background1"/>
            <w:noWrap/>
            <w:hideMark/>
          </w:tcPr>
          <w:p w14:paraId="5C49FCF2" w14:textId="34B2DD44" w:rsidR="00DB7730" w:rsidRPr="00360131" w:rsidRDefault="00C577CC" w:rsidP="00ED308F">
            <w:pPr>
              <w:pStyle w:val="BodyText"/>
              <w:spacing w:before="149" w:line="235" w:lineRule="auto"/>
              <w:ind w:right="9"/>
              <w:rPr>
                <w:rFonts w:ascii="Arial" w:hAnsi="Arial" w:cs="Arial"/>
              </w:rPr>
            </w:pPr>
            <w:r w:rsidRPr="0097263A">
              <w:rPr>
                <w:rFonts w:cs="Arial"/>
              </w:rPr>
              <w:lastRenderedPageBreak/>
              <w:t>Goulburn</w:t>
            </w:r>
            <w:r w:rsidR="007B79AC" w:rsidRPr="0097263A">
              <w:rPr>
                <w:rFonts w:cs="Arial"/>
              </w:rPr>
              <w:t>–</w:t>
            </w:r>
            <w:r w:rsidRPr="0097263A">
              <w:rPr>
                <w:rFonts w:cs="Arial"/>
              </w:rPr>
              <w:t>Murray Water</w:t>
            </w:r>
            <w:r w:rsidR="00B55C41" w:rsidRPr="0097263A">
              <w:rPr>
                <w:rFonts w:cs="Arial"/>
              </w:rPr>
              <w:t xml:space="preserve"> </w:t>
            </w:r>
            <w:r w:rsidRPr="0097263A">
              <w:rPr>
                <w:rFonts w:cs="Arial"/>
              </w:rPr>
              <w:t>–</w:t>
            </w:r>
            <w:r w:rsidR="00B55C41" w:rsidRPr="0097263A">
              <w:rPr>
                <w:rFonts w:cs="Arial"/>
              </w:rPr>
              <w:t xml:space="preserve"> </w:t>
            </w:r>
            <w:r w:rsidRPr="0097263A">
              <w:rPr>
                <w:rFonts w:cs="Arial"/>
              </w:rPr>
              <w:t>Northern</w:t>
            </w:r>
            <w:r w:rsidR="00A1315F" w:rsidRPr="0097263A">
              <w:rPr>
                <w:rFonts w:cs="Arial"/>
              </w:rPr>
              <w:t xml:space="preserve"> </w:t>
            </w:r>
            <w:r w:rsidRPr="0097263A">
              <w:rPr>
                <w:rFonts w:cs="Arial"/>
              </w:rPr>
              <w:t xml:space="preserve">Victoria Goulburn Water </w:t>
            </w:r>
            <w:r w:rsidR="007B79AC" w:rsidRPr="0097263A">
              <w:rPr>
                <w:rFonts w:cs="Arial"/>
              </w:rPr>
              <w:t>e</w:t>
            </w:r>
            <w:r w:rsidRPr="0097263A">
              <w:rPr>
                <w:rFonts w:cs="Arial"/>
              </w:rPr>
              <w:t>ntitlements</w:t>
            </w:r>
          </w:p>
        </w:tc>
        <w:tc>
          <w:tcPr>
            <w:tcW w:w="1286" w:type="dxa"/>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1D79BAD7" w14:textId="570E5950" w:rsidR="00DB7730" w:rsidRPr="00360131" w:rsidRDefault="00DB7730" w:rsidP="00360131">
            <w:pPr>
              <w:pStyle w:val="BodyText"/>
              <w:spacing w:before="149" w:line="235" w:lineRule="auto"/>
              <w:ind w:right="9"/>
              <w:jc w:val="center"/>
              <w:rPr>
                <w:rFonts w:ascii="Arial" w:hAnsi="Arial" w:cs="Arial"/>
              </w:rPr>
            </w:pPr>
            <w:r w:rsidRPr="0097263A">
              <w:rPr>
                <w:rFonts w:cs="Arial"/>
              </w:rPr>
              <w:t>0.</w:t>
            </w:r>
            <w:r w:rsidR="006012F6" w:rsidRPr="00F87AA3">
              <w:t>16</w:t>
            </w:r>
          </w:p>
        </w:tc>
        <w:tc>
          <w:tcPr>
            <w:tcW w:w="1287" w:type="dxa"/>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6201854C" w14:textId="7DBDF9E5" w:rsidR="00DB7730" w:rsidRPr="00360131" w:rsidRDefault="00DB7730" w:rsidP="00360131">
            <w:pPr>
              <w:pStyle w:val="BodyText"/>
              <w:spacing w:before="149" w:line="235" w:lineRule="auto"/>
              <w:ind w:right="9"/>
              <w:jc w:val="center"/>
              <w:rPr>
                <w:rFonts w:ascii="Arial" w:hAnsi="Arial" w:cs="Arial"/>
              </w:rPr>
            </w:pPr>
            <w:r w:rsidRPr="0097263A">
              <w:rPr>
                <w:rFonts w:cs="Arial"/>
              </w:rPr>
              <w:t>0.</w:t>
            </w:r>
            <w:r w:rsidR="006012F6" w:rsidRPr="00F87AA3">
              <w:t>16</w:t>
            </w:r>
          </w:p>
        </w:tc>
        <w:tc>
          <w:tcPr>
            <w:tcW w:w="1287" w:type="dxa"/>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6F63A17A" w14:textId="422AAFA1" w:rsidR="00DB7730" w:rsidRPr="00360131" w:rsidRDefault="00DB7730" w:rsidP="00360131">
            <w:pPr>
              <w:pStyle w:val="BodyText"/>
              <w:spacing w:before="149" w:line="235" w:lineRule="auto"/>
              <w:ind w:right="9"/>
              <w:jc w:val="center"/>
              <w:rPr>
                <w:rFonts w:ascii="Arial" w:hAnsi="Arial" w:cs="Arial"/>
              </w:rPr>
            </w:pPr>
            <w:r w:rsidRPr="0097263A">
              <w:rPr>
                <w:rFonts w:cs="Arial"/>
              </w:rPr>
              <w:t>0.</w:t>
            </w:r>
            <w:r w:rsidR="006012F6" w:rsidRPr="00F87AA3">
              <w:t>16</w:t>
            </w:r>
          </w:p>
        </w:tc>
        <w:tc>
          <w:tcPr>
            <w:tcW w:w="1287" w:type="dxa"/>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5C36C299" w14:textId="7D1858A6" w:rsidR="00DB7730" w:rsidRPr="00360131" w:rsidRDefault="00DB7730" w:rsidP="00360131">
            <w:pPr>
              <w:pStyle w:val="BodyText"/>
              <w:spacing w:before="149" w:line="235" w:lineRule="auto"/>
              <w:ind w:right="9"/>
              <w:jc w:val="center"/>
              <w:rPr>
                <w:rFonts w:ascii="Arial" w:hAnsi="Arial" w:cs="Arial"/>
              </w:rPr>
            </w:pPr>
            <w:r w:rsidRPr="0097263A">
              <w:rPr>
                <w:rFonts w:cs="Arial"/>
              </w:rPr>
              <w:t>0.</w:t>
            </w:r>
            <w:r w:rsidR="006012F6" w:rsidRPr="00F87AA3">
              <w:t>16</w:t>
            </w:r>
          </w:p>
        </w:tc>
        <w:tc>
          <w:tcPr>
            <w:tcW w:w="1287" w:type="dxa"/>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3BD45C65" w14:textId="6FA24BB2" w:rsidR="00DB7730" w:rsidRPr="00360131" w:rsidRDefault="00DB7730" w:rsidP="00360131">
            <w:pPr>
              <w:pStyle w:val="BodyText"/>
              <w:spacing w:before="149" w:line="235" w:lineRule="auto"/>
              <w:ind w:right="9"/>
              <w:jc w:val="center"/>
              <w:rPr>
                <w:rFonts w:ascii="Arial" w:hAnsi="Arial" w:cs="Arial"/>
              </w:rPr>
            </w:pPr>
            <w:r w:rsidRPr="0097263A">
              <w:rPr>
                <w:rFonts w:cs="Arial"/>
              </w:rPr>
              <w:t>0.</w:t>
            </w:r>
            <w:r w:rsidR="006012F6" w:rsidRPr="00F87AA3">
              <w:t>16</w:t>
            </w:r>
          </w:p>
        </w:tc>
      </w:tr>
      <w:tr w:rsidR="009B2CD9" w:rsidRPr="00E4761C" w14:paraId="2F6E5ED1" w14:textId="77777777" w:rsidTr="003F1732">
        <w:trPr>
          <w:cnfStyle w:val="000000100000" w:firstRow="0" w:lastRow="0" w:firstColumn="0" w:lastColumn="0" w:oddVBand="0" w:evenVBand="0" w:oddHBand="1" w:evenHBand="0" w:firstRowFirstColumn="0" w:firstRowLastColumn="0" w:lastRowFirstColumn="0" w:lastRowLastColumn="0"/>
          <w:trHeight w:val="300"/>
        </w:trPr>
        <w:tc>
          <w:tcPr>
            <w:tcW w:w="3059" w:type="dxa"/>
            <w:tcBorders>
              <w:top w:val="single" w:sz="2" w:space="0" w:color="002279"/>
              <w:left w:val="single" w:sz="4" w:space="0" w:color="002279"/>
              <w:bottom w:val="single" w:sz="2" w:space="0" w:color="002279"/>
              <w:right w:val="single" w:sz="4" w:space="0" w:color="002279"/>
            </w:tcBorders>
            <w:shd w:val="clear" w:color="auto" w:fill="D4D6DF"/>
            <w:noWrap/>
            <w:hideMark/>
          </w:tcPr>
          <w:p w14:paraId="02618F50" w14:textId="2F5B243F" w:rsidR="00DB7730" w:rsidRPr="00360131" w:rsidRDefault="00C577CC" w:rsidP="00ED308F">
            <w:pPr>
              <w:pStyle w:val="BodyText"/>
              <w:spacing w:before="149" w:line="235" w:lineRule="auto"/>
              <w:ind w:right="9"/>
              <w:rPr>
                <w:rFonts w:ascii="Arial" w:hAnsi="Arial" w:cs="Arial"/>
              </w:rPr>
            </w:pPr>
            <w:r w:rsidRPr="0097263A">
              <w:rPr>
                <w:rFonts w:cs="Arial"/>
              </w:rPr>
              <w:t>Goulburn</w:t>
            </w:r>
            <w:r w:rsidR="007B79AC" w:rsidRPr="0097263A">
              <w:rPr>
                <w:rFonts w:cs="Arial"/>
              </w:rPr>
              <w:t>–</w:t>
            </w:r>
            <w:r w:rsidRPr="0097263A">
              <w:rPr>
                <w:rFonts w:cs="Arial"/>
              </w:rPr>
              <w:t xml:space="preserve">Murray Water – Northern Victoria Murray Water </w:t>
            </w:r>
            <w:r w:rsidR="007B79AC" w:rsidRPr="0097263A">
              <w:rPr>
                <w:rFonts w:cs="Arial"/>
              </w:rPr>
              <w:t>e</w:t>
            </w:r>
            <w:r w:rsidRPr="0097263A">
              <w:rPr>
                <w:rFonts w:cs="Arial"/>
              </w:rPr>
              <w:t>ntitlements</w:t>
            </w:r>
          </w:p>
        </w:tc>
        <w:tc>
          <w:tcPr>
            <w:tcW w:w="1286" w:type="dxa"/>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73C3ABB4" w14:textId="478425A3" w:rsidR="00DB7730" w:rsidRPr="00360131" w:rsidRDefault="00DB7730" w:rsidP="00360131">
            <w:pPr>
              <w:pStyle w:val="BodyText"/>
              <w:spacing w:before="149" w:line="235" w:lineRule="auto"/>
              <w:ind w:right="9"/>
              <w:jc w:val="center"/>
              <w:rPr>
                <w:rFonts w:ascii="Arial" w:hAnsi="Arial" w:cs="Arial"/>
              </w:rPr>
            </w:pPr>
            <w:r w:rsidRPr="0097263A">
              <w:rPr>
                <w:rFonts w:cs="Arial"/>
              </w:rPr>
              <w:t>0.</w:t>
            </w:r>
            <w:r w:rsidR="006012F6" w:rsidRPr="00F87AA3">
              <w:t>28</w:t>
            </w:r>
          </w:p>
        </w:tc>
        <w:tc>
          <w:tcPr>
            <w:tcW w:w="1287" w:type="dxa"/>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349F08B6" w14:textId="4FF0F15F" w:rsidR="00DB7730" w:rsidRPr="00360131" w:rsidRDefault="00DB7730" w:rsidP="00360131">
            <w:pPr>
              <w:pStyle w:val="BodyText"/>
              <w:spacing w:before="149" w:line="235" w:lineRule="auto"/>
              <w:ind w:right="9"/>
              <w:jc w:val="center"/>
              <w:rPr>
                <w:rFonts w:ascii="Arial" w:hAnsi="Arial" w:cs="Arial"/>
              </w:rPr>
            </w:pPr>
            <w:r w:rsidRPr="0097263A">
              <w:rPr>
                <w:rFonts w:cs="Arial"/>
              </w:rPr>
              <w:t>0.</w:t>
            </w:r>
            <w:r w:rsidR="006012F6" w:rsidRPr="00F87AA3">
              <w:t>28</w:t>
            </w:r>
          </w:p>
        </w:tc>
        <w:tc>
          <w:tcPr>
            <w:tcW w:w="1287" w:type="dxa"/>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541E034F" w14:textId="6F0A5CF5" w:rsidR="00DB7730" w:rsidRPr="00360131" w:rsidRDefault="00DB7730" w:rsidP="00360131">
            <w:pPr>
              <w:pStyle w:val="BodyText"/>
              <w:spacing w:before="149" w:line="235" w:lineRule="auto"/>
              <w:ind w:right="9"/>
              <w:jc w:val="center"/>
              <w:rPr>
                <w:rFonts w:ascii="Arial" w:hAnsi="Arial" w:cs="Arial"/>
              </w:rPr>
            </w:pPr>
            <w:r w:rsidRPr="0097263A">
              <w:rPr>
                <w:rFonts w:cs="Arial"/>
              </w:rPr>
              <w:t>0.</w:t>
            </w:r>
            <w:r w:rsidR="006012F6" w:rsidRPr="00F87AA3">
              <w:t>28</w:t>
            </w:r>
          </w:p>
        </w:tc>
        <w:tc>
          <w:tcPr>
            <w:tcW w:w="1287" w:type="dxa"/>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1E71DBB2" w14:textId="566519B0" w:rsidR="00DB7730" w:rsidRPr="00360131" w:rsidRDefault="00DB7730" w:rsidP="00360131">
            <w:pPr>
              <w:pStyle w:val="BodyText"/>
              <w:spacing w:before="149" w:line="235" w:lineRule="auto"/>
              <w:ind w:right="9"/>
              <w:jc w:val="center"/>
              <w:rPr>
                <w:rFonts w:ascii="Arial" w:hAnsi="Arial" w:cs="Arial"/>
              </w:rPr>
            </w:pPr>
            <w:r w:rsidRPr="0097263A">
              <w:rPr>
                <w:rFonts w:cs="Arial"/>
              </w:rPr>
              <w:t>0.</w:t>
            </w:r>
            <w:r w:rsidR="006012F6" w:rsidRPr="00F87AA3">
              <w:t>28</w:t>
            </w:r>
          </w:p>
        </w:tc>
        <w:tc>
          <w:tcPr>
            <w:tcW w:w="1287" w:type="dxa"/>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11060805" w14:textId="6AE3F7E5" w:rsidR="00DB7730" w:rsidRPr="00360131" w:rsidRDefault="00DB7730" w:rsidP="00360131">
            <w:pPr>
              <w:pStyle w:val="BodyText"/>
              <w:spacing w:before="149" w:line="235" w:lineRule="auto"/>
              <w:ind w:right="9"/>
              <w:jc w:val="center"/>
              <w:rPr>
                <w:rFonts w:ascii="Arial" w:hAnsi="Arial" w:cs="Arial"/>
              </w:rPr>
            </w:pPr>
            <w:r w:rsidRPr="0097263A">
              <w:rPr>
                <w:rFonts w:cs="Arial"/>
              </w:rPr>
              <w:t>0.</w:t>
            </w:r>
            <w:r w:rsidR="006012F6" w:rsidRPr="00F87AA3">
              <w:t>28</w:t>
            </w:r>
          </w:p>
        </w:tc>
      </w:tr>
      <w:tr w:rsidR="009B2CD9" w:rsidRPr="00E4761C" w14:paraId="3C8A8EF2" w14:textId="77777777" w:rsidTr="003F1732">
        <w:trPr>
          <w:cnfStyle w:val="000000010000" w:firstRow="0" w:lastRow="0" w:firstColumn="0" w:lastColumn="0" w:oddVBand="0" w:evenVBand="0" w:oddHBand="0" w:evenHBand="1" w:firstRowFirstColumn="0" w:firstRowLastColumn="0" w:lastRowFirstColumn="0" w:lastRowLastColumn="0"/>
          <w:trHeight w:val="745"/>
        </w:trPr>
        <w:tc>
          <w:tcPr>
            <w:tcW w:w="3059" w:type="dxa"/>
            <w:tcBorders>
              <w:top w:val="single" w:sz="2" w:space="0" w:color="002279"/>
              <w:left w:val="single" w:sz="4" w:space="0" w:color="002279"/>
              <w:bottom w:val="single" w:sz="4" w:space="0" w:color="002279"/>
              <w:right w:val="single" w:sz="4" w:space="0" w:color="002279"/>
            </w:tcBorders>
            <w:shd w:val="clear" w:color="auto" w:fill="FFFFFF" w:themeFill="background1"/>
            <w:noWrap/>
            <w:hideMark/>
          </w:tcPr>
          <w:p w14:paraId="383837D7" w14:textId="568A4E77" w:rsidR="00DB7730" w:rsidRPr="00360131" w:rsidRDefault="00DB7730" w:rsidP="00ED308F">
            <w:pPr>
              <w:pStyle w:val="BodyText"/>
              <w:spacing w:before="149" w:line="235" w:lineRule="auto"/>
              <w:ind w:right="9"/>
              <w:rPr>
                <w:rFonts w:ascii="Arial" w:hAnsi="Arial" w:cs="Arial"/>
                <w:b/>
              </w:rPr>
            </w:pPr>
            <w:r w:rsidRPr="0097263A">
              <w:rPr>
                <w:rFonts w:cs="Arial"/>
                <w:b/>
              </w:rPr>
              <w:t xml:space="preserve">Total </w:t>
            </w:r>
            <w:r w:rsidR="007B79AC" w:rsidRPr="0097263A">
              <w:rPr>
                <w:rFonts w:cs="Arial"/>
                <w:b/>
              </w:rPr>
              <w:t>n</w:t>
            </w:r>
            <w:r w:rsidRPr="0097263A">
              <w:rPr>
                <w:rFonts w:cs="Arial"/>
                <w:b/>
              </w:rPr>
              <w:t>on-</w:t>
            </w:r>
            <w:r w:rsidR="006716A1" w:rsidRPr="0097263A">
              <w:rPr>
                <w:rFonts w:cs="Arial"/>
                <w:b/>
                <w:bCs/>
              </w:rPr>
              <w:t>c</w:t>
            </w:r>
            <w:r w:rsidRPr="0097263A">
              <w:rPr>
                <w:rFonts w:cs="Arial"/>
                <w:b/>
                <w:bCs/>
              </w:rPr>
              <w:t>ontrollable</w:t>
            </w:r>
            <w:r w:rsidRPr="0097263A">
              <w:rPr>
                <w:rFonts w:cs="Arial"/>
                <w:b/>
              </w:rPr>
              <w:t xml:space="preserve"> </w:t>
            </w:r>
            <w:r w:rsidR="00830548" w:rsidRPr="0097263A">
              <w:rPr>
                <w:rFonts w:cs="Arial"/>
                <w:b/>
              </w:rPr>
              <w:t xml:space="preserve">operating expenditure </w:t>
            </w:r>
          </w:p>
        </w:tc>
        <w:tc>
          <w:tcPr>
            <w:tcW w:w="1286" w:type="dxa"/>
            <w:tcBorders>
              <w:top w:val="single" w:sz="2" w:space="0" w:color="002279"/>
              <w:left w:val="single" w:sz="4" w:space="0" w:color="002279"/>
              <w:bottom w:val="single" w:sz="4" w:space="0" w:color="002279"/>
              <w:right w:val="single" w:sz="4" w:space="0" w:color="002279"/>
            </w:tcBorders>
            <w:shd w:val="clear" w:color="auto" w:fill="FFFFFF" w:themeFill="background1"/>
            <w:noWrap/>
            <w:vAlign w:val="center"/>
            <w:hideMark/>
          </w:tcPr>
          <w:p w14:paraId="5FC30A9F" w14:textId="007D008D" w:rsidR="00DB7730" w:rsidRPr="00360131" w:rsidRDefault="00B55C41" w:rsidP="00360131">
            <w:pPr>
              <w:pStyle w:val="BodyText"/>
              <w:spacing w:before="149" w:line="235" w:lineRule="auto"/>
              <w:ind w:right="9"/>
              <w:jc w:val="center"/>
              <w:rPr>
                <w:rFonts w:ascii="Arial" w:hAnsi="Arial" w:cs="Arial"/>
                <w:b/>
              </w:rPr>
            </w:pPr>
            <w:r w:rsidRPr="0097263A">
              <w:rPr>
                <w:rFonts w:cs="Arial"/>
                <w:b/>
                <w:bCs/>
              </w:rPr>
              <w:t>537.</w:t>
            </w:r>
            <w:r w:rsidR="006012F6" w:rsidRPr="00931FBE">
              <w:rPr>
                <w:b/>
                <w:bCs/>
              </w:rPr>
              <w:t>52</w:t>
            </w:r>
          </w:p>
        </w:tc>
        <w:tc>
          <w:tcPr>
            <w:tcW w:w="1287" w:type="dxa"/>
            <w:tcBorders>
              <w:top w:val="single" w:sz="2" w:space="0" w:color="002279"/>
              <w:left w:val="single" w:sz="4" w:space="0" w:color="002279"/>
              <w:bottom w:val="single" w:sz="4" w:space="0" w:color="002279"/>
              <w:right w:val="single" w:sz="4" w:space="0" w:color="002279"/>
            </w:tcBorders>
            <w:shd w:val="clear" w:color="auto" w:fill="FFFFFF" w:themeFill="background1"/>
            <w:noWrap/>
            <w:vAlign w:val="center"/>
            <w:hideMark/>
          </w:tcPr>
          <w:p w14:paraId="587B5598" w14:textId="27CF400A" w:rsidR="00DB7730" w:rsidRPr="00360131" w:rsidRDefault="00B55C41" w:rsidP="00360131">
            <w:pPr>
              <w:pStyle w:val="BodyText"/>
              <w:spacing w:before="149" w:line="235" w:lineRule="auto"/>
              <w:ind w:right="9"/>
              <w:jc w:val="center"/>
              <w:rPr>
                <w:rFonts w:ascii="Arial" w:hAnsi="Arial" w:cs="Arial"/>
                <w:b/>
              </w:rPr>
            </w:pPr>
            <w:r w:rsidRPr="0097263A">
              <w:rPr>
                <w:rFonts w:cs="Arial"/>
                <w:b/>
                <w:bCs/>
              </w:rPr>
              <w:t>533.</w:t>
            </w:r>
            <w:r w:rsidR="006012F6" w:rsidRPr="00931FBE">
              <w:rPr>
                <w:b/>
                <w:bCs/>
              </w:rPr>
              <w:t>11</w:t>
            </w:r>
          </w:p>
        </w:tc>
        <w:tc>
          <w:tcPr>
            <w:tcW w:w="1287" w:type="dxa"/>
            <w:tcBorders>
              <w:top w:val="single" w:sz="2" w:space="0" w:color="002279"/>
              <w:left w:val="single" w:sz="4" w:space="0" w:color="002279"/>
              <w:bottom w:val="single" w:sz="4" w:space="0" w:color="002279"/>
              <w:right w:val="single" w:sz="4" w:space="0" w:color="002279"/>
            </w:tcBorders>
            <w:shd w:val="clear" w:color="auto" w:fill="FFFFFF" w:themeFill="background1"/>
            <w:noWrap/>
            <w:vAlign w:val="center"/>
            <w:hideMark/>
          </w:tcPr>
          <w:p w14:paraId="0E8F8E46" w14:textId="0F4904E6" w:rsidR="00DB7730" w:rsidRPr="00360131" w:rsidRDefault="00B55C41" w:rsidP="00360131">
            <w:pPr>
              <w:pStyle w:val="BodyText"/>
              <w:spacing w:before="149" w:line="235" w:lineRule="auto"/>
              <w:ind w:right="9"/>
              <w:jc w:val="center"/>
              <w:rPr>
                <w:rFonts w:ascii="Arial" w:hAnsi="Arial" w:cs="Arial"/>
                <w:b/>
              </w:rPr>
            </w:pPr>
            <w:r w:rsidRPr="0097263A">
              <w:rPr>
                <w:rFonts w:cs="Arial"/>
                <w:b/>
                <w:bCs/>
              </w:rPr>
              <w:t>535.</w:t>
            </w:r>
            <w:r w:rsidR="006012F6" w:rsidRPr="00931FBE">
              <w:rPr>
                <w:b/>
                <w:bCs/>
              </w:rPr>
              <w:t>60</w:t>
            </w:r>
          </w:p>
        </w:tc>
        <w:tc>
          <w:tcPr>
            <w:tcW w:w="1287" w:type="dxa"/>
            <w:tcBorders>
              <w:top w:val="single" w:sz="2" w:space="0" w:color="002279"/>
              <w:left w:val="single" w:sz="4" w:space="0" w:color="002279"/>
              <w:bottom w:val="single" w:sz="4" w:space="0" w:color="002279"/>
              <w:right w:val="single" w:sz="4" w:space="0" w:color="002279"/>
            </w:tcBorders>
            <w:shd w:val="clear" w:color="auto" w:fill="FFFFFF" w:themeFill="background1"/>
            <w:noWrap/>
            <w:vAlign w:val="center"/>
            <w:hideMark/>
          </w:tcPr>
          <w:p w14:paraId="3451D60B" w14:textId="601FC479" w:rsidR="00DB7730" w:rsidRPr="00360131" w:rsidRDefault="00B55C41" w:rsidP="00360131">
            <w:pPr>
              <w:pStyle w:val="BodyText"/>
              <w:spacing w:before="149" w:line="235" w:lineRule="auto"/>
              <w:ind w:right="9"/>
              <w:jc w:val="center"/>
              <w:rPr>
                <w:rFonts w:ascii="Arial" w:hAnsi="Arial" w:cs="Arial"/>
                <w:b/>
              </w:rPr>
            </w:pPr>
            <w:r w:rsidRPr="0097263A">
              <w:rPr>
                <w:rFonts w:cs="Arial"/>
                <w:b/>
                <w:bCs/>
              </w:rPr>
              <w:t>523.</w:t>
            </w:r>
            <w:r w:rsidR="006012F6" w:rsidRPr="00931FBE">
              <w:rPr>
                <w:b/>
                <w:bCs/>
              </w:rPr>
              <w:t>59</w:t>
            </w:r>
          </w:p>
        </w:tc>
        <w:tc>
          <w:tcPr>
            <w:tcW w:w="1287" w:type="dxa"/>
            <w:tcBorders>
              <w:top w:val="single" w:sz="2" w:space="0" w:color="002279"/>
              <w:left w:val="single" w:sz="4" w:space="0" w:color="002279"/>
              <w:bottom w:val="single" w:sz="4" w:space="0" w:color="002279"/>
              <w:right w:val="single" w:sz="4" w:space="0" w:color="002279"/>
            </w:tcBorders>
            <w:shd w:val="clear" w:color="auto" w:fill="FFFFFF" w:themeFill="background1"/>
            <w:noWrap/>
            <w:vAlign w:val="center"/>
            <w:hideMark/>
          </w:tcPr>
          <w:p w14:paraId="428D29D4" w14:textId="39B4DB5D" w:rsidR="00DB7730" w:rsidRPr="00360131" w:rsidRDefault="00B55C41" w:rsidP="00360131">
            <w:pPr>
              <w:pStyle w:val="BodyText"/>
              <w:spacing w:before="149" w:line="235" w:lineRule="auto"/>
              <w:ind w:right="9"/>
              <w:jc w:val="center"/>
              <w:rPr>
                <w:rFonts w:ascii="Arial" w:hAnsi="Arial" w:cs="Arial"/>
                <w:b/>
              </w:rPr>
            </w:pPr>
            <w:r w:rsidRPr="0097263A">
              <w:rPr>
                <w:rFonts w:cs="Arial"/>
                <w:b/>
                <w:bCs/>
              </w:rPr>
              <w:t>519.</w:t>
            </w:r>
            <w:r w:rsidR="006012F6" w:rsidRPr="00931FBE">
              <w:rPr>
                <w:b/>
                <w:bCs/>
              </w:rPr>
              <w:t>59</w:t>
            </w:r>
          </w:p>
        </w:tc>
      </w:tr>
    </w:tbl>
    <w:p w14:paraId="79B7AF03" w14:textId="7FBC1C8B" w:rsidR="002A446C" w:rsidRDefault="61A129D4" w:rsidP="007C143D">
      <w:pPr>
        <w:pStyle w:val="Heading3"/>
      </w:pPr>
      <w:r>
        <w:t>M</w:t>
      </w:r>
      <w:r w:rsidR="00EC5B62">
        <w:t xml:space="preserve">elbourne </w:t>
      </w:r>
      <w:r>
        <w:t>W</w:t>
      </w:r>
      <w:r w:rsidR="00EC5B62">
        <w:t>ater</w:t>
      </w:r>
      <w:r>
        <w:t xml:space="preserve"> </w:t>
      </w:r>
      <w:r w:rsidR="007C143D">
        <w:t>b</w:t>
      </w:r>
      <w:r>
        <w:t>ulk charges</w:t>
      </w:r>
    </w:p>
    <w:p w14:paraId="469436C2" w14:textId="1490BBC3" w:rsidR="00EC5B62" w:rsidRDefault="006172C3" w:rsidP="002A446C">
      <w:pPr>
        <w:pStyle w:val="BodyText"/>
        <w:spacing w:before="149" w:line="235" w:lineRule="auto"/>
        <w:ind w:right="9"/>
      </w:pPr>
      <w:r>
        <w:t xml:space="preserve">Bulk charges paid to Melbourne Water </w:t>
      </w:r>
      <w:r w:rsidR="00583E44">
        <w:t xml:space="preserve">currently </w:t>
      </w:r>
      <w:r w:rsidR="00634B96">
        <w:t>account for</w:t>
      </w:r>
      <w:r w:rsidR="00583E44">
        <w:t xml:space="preserve"> 7</w:t>
      </w:r>
      <w:r w:rsidR="00BB7C8D">
        <w:t>0</w:t>
      </w:r>
      <w:r w:rsidR="00750C0C">
        <w:t>%</w:t>
      </w:r>
      <w:r w:rsidR="00583E44">
        <w:t xml:space="preserve"> of total operating expenditure</w:t>
      </w:r>
      <w:r w:rsidR="00A64095">
        <w:t xml:space="preserve">. </w:t>
      </w:r>
      <w:r w:rsidR="003E4FBC">
        <w:t xml:space="preserve">Melbourne Water </w:t>
      </w:r>
      <w:r w:rsidR="00BB7C8D">
        <w:t>ha</w:t>
      </w:r>
      <w:r w:rsidR="006122F7">
        <w:t>s</w:t>
      </w:r>
      <w:r w:rsidR="00BB7C8D">
        <w:t xml:space="preserve"> provided </w:t>
      </w:r>
      <w:r w:rsidR="006122F7">
        <w:t>South East Water</w:t>
      </w:r>
      <w:r w:rsidR="00612583">
        <w:t>’</w:t>
      </w:r>
      <w:r w:rsidR="005D0AFD">
        <w:t>s bulk</w:t>
      </w:r>
      <w:r w:rsidR="00CC7C6F">
        <w:t xml:space="preserve"> </w:t>
      </w:r>
      <w:r w:rsidR="00E66F04">
        <w:t>water</w:t>
      </w:r>
      <w:r w:rsidR="009F3C43">
        <w:t xml:space="preserve"> charge</w:t>
      </w:r>
      <w:r w:rsidR="00E66F04">
        <w:t xml:space="preserve"> </w:t>
      </w:r>
      <w:r w:rsidR="00BB7C8D">
        <w:t xml:space="preserve">forecast </w:t>
      </w:r>
      <w:r w:rsidR="00D26A4C">
        <w:t>for the 2023</w:t>
      </w:r>
      <w:r w:rsidR="00310E2A">
        <w:t>–</w:t>
      </w:r>
      <w:r w:rsidR="00D26A4C">
        <w:t>28 regulatory period. The forecast is</w:t>
      </w:r>
      <w:r w:rsidR="00750601">
        <w:t xml:space="preserve"> based on the inflation and cost of debt assumptions consistent with the</w:t>
      </w:r>
      <w:r w:rsidR="003215D5">
        <w:t>ir</w:t>
      </w:r>
      <w:r w:rsidR="00750601">
        <w:t xml:space="preserve"> regulatory model</w:t>
      </w:r>
      <w:r w:rsidR="007F6D8B">
        <w:t>.</w:t>
      </w:r>
      <w:r w:rsidR="009505EA">
        <w:t xml:space="preserve"> </w:t>
      </w:r>
      <w:r w:rsidR="00753B6B">
        <w:t xml:space="preserve">South East Water also pays both Melbourne Water and </w:t>
      </w:r>
      <w:r w:rsidR="00AA2810">
        <w:t>TRILITY</w:t>
      </w:r>
      <w:r w:rsidR="00753B6B">
        <w:t xml:space="preserve"> a</w:t>
      </w:r>
      <w:r w:rsidR="001079CB">
        <w:t>n annual fee for the supply of Class A recycled water.</w:t>
      </w:r>
    </w:p>
    <w:p w14:paraId="12625770" w14:textId="31CA4911" w:rsidR="00EC5B62" w:rsidRDefault="61A129D4" w:rsidP="00E45DAE">
      <w:pPr>
        <w:pStyle w:val="Heading3"/>
      </w:pPr>
      <w:r>
        <w:t xml:space="preserve">Environmental </w:t>
      </w:r>
      <w:r w:rsidR="00796805">
        <w:t>c</w:t>
      </w:r>
      <w:r>
        <w:t>ontribution</w:t>
      </w:r>
    </w:p>
    <w:p w14:paraId="32835DEB" w14:textId="56A36DD3" w:rsidR="00AB3EFA" w:rsidRDefault="00AB3EFA" w:rsidP="00AB3EFA">
      <w:pPr>
        <w:pStyle w:val="BodyText"/>
        <w:spacing w:before="149" w:line="235" w:lineRule="auto"/>
        <w:ind w:right="9"/>
      </w:pPr>
      <w:r>
        <w:t>South East Water currently makes an annual contribution to the Department of Environment, Land, Water and Planning (DELWP), fund</w:t>
      </w:r>
      <w:r w:rsidR="00AE3FB9">
        <w:t>ing</w:t>
      </w:r>
      <w:r>
        <w:t xml:space="preserve"> initiatives which promote the sustainable management of water</w:t>
      </w:r>
      <w:r w:rsidR="00CE7A73">
        <w:t xml:space="preserve"> in Victoria</w:t>
      </w:r>
      <w:r>
        <w:t xml:space="preserve">. </w:t>
      </w:r>
      <w:r w:rsidR="00B75F2B">
        <w:t xml:space="preserve">As shown in Table </w:t>
      </w:r>
      <w:r w:rsidR="00304A0D">
        <w:t>3</w:t>
      </w:r>
      <w:r w:rsidR="002128BB">
        <w:t>6</w:t>
      </w:r>
      <w:r w:rsidR="00B75F2B">
        <w:t>,</w:t>
      </w:r>
      <w:r w:rsidR="0091507C">
        <w:t xml:space="preserve"> over the 2023</w:t>
      </w:r>
      <w:r w:rsidR="00310E2A">
        <w:t>–</w:t>
      </w:r>
      <w:r w:rsidR="0091507C">
        <w:t>28 period</w:t>
      </w:r>
      <w:r w:rsidR="00604DE2">
        <w:t>,</w:t>
      </w:r>
      <w:r w:rsidRPr="000573A0">
        <w:t xml:space="preserve"> the environmental contribution </w:t>
      </w:r>
      <w:r w:rsidR="0091507C">
        <w:t>is assumed to be</w:t>
      </w:r>
      <w:r w:rsidRPr="000573A0">
        <w:t xml:space="preserve"> </w:t>
      </w:r>
      <w:r w:rsidR="00750C0C">
        <w:t>5%</w:t>
      </w:r>
      <w:r w:rsidRPr="000573A0">
        <w:t xml:space="preserve"> of a water corporation</w:t>
      </w:r>
      <w:r w:rsidR="00612583">
        <w:t>’</w:t>
      </w:r>
      <w:r w:rsidRPr="000573A0">
        <w:t xml:space="preserve">s water and sewerage </w:t>
      </w:r>
      <w:r w:rsidR="0091507C">
        <w:t xml:space="preserve">annual </w:t>
      </w:r>
      <w:r w:rsidRPr="000573A0">
        <w:t>revenue</w:t>
      </w:r>
      <w:r w:rsidR="0091507C">
        <w:t xml:space="preserve"> in line with current settings</w:t>
      </w:r>
      <w:r w:rsidRPr="000573A0">
        <w:t xml:space="preserve">. </w:t>
      </w:r>
    </w:p>
    <w:p w14:paraId="449A57A1" w14:textId="2080693C" w:rsidR="00EC5B62" w:rsidRDefault="61A129D4" w:rsidP="00E45DAE">
      <w:pPr>
        <w:pStyle w:val="Heading3"/>
      </w:pPr>
      <w:r>
        <w:t>Licen</w:t>
      </w:r>
      <w:r w:rsidR="005B1587">
        <w:t>c</w:t>
      </w:r>
      <w:r>
        <w:t>e fees</w:t>
      </w:r>
      <w:r w:rsidR="00EC5B62">
        <w:t xml:space="preserve"> </w:t>
      </w:r>
    </w:p>
    <w:p w14:paraId="100A13DC" w14:textId="56C38880" w:rsidR="00D01F2B" w:rsidRDefault="00D01F2B" w:rsidP="00D01F2B">
      <w:pPr>
        <w:pStyle w:val="BodyText"/>
        <w:spacing w:before="149" w:line="235" w:lineRule="auto"/>
        <w:ind w:right="9"/>
      </w:pPr>
      <w:r>
        <w:t xml:space="preserve">Licence fees consist of regulatory charges </w:t>
      </w:r>
      <w:r w:rsidR="002C740A">
        <w:t>levied by</w:t>
      </w:r>
      <w:r>
        <w:t xml:space="preserve"> the ESC, Department of Health and EPA Victoria. </w:t>
      </w:r>
      <w:r w:rsidRPr="00383EDA">
        <w:t xml:space="preserve">These regulatory fees are assumed to remain constant with the exception of the ESC </w:t>
      </w:r>
      <w:r w:rsidR="00887844">
        <w:t>licence fee</w:t>
      </w:r>
      <w:r w:rsidR="00BE2259">
        <w:t xml:space="preserve"> which </w:t>
      </w:r>
      <w:r w:rsidR="00C22FDB">
        <w:t>is</w:t>
      </w:r>
      <w:r w:rsidRPr="00383EDA">
        <w:t xml:space="preserve"> forecast </w:t>
      </w:r>
      <w:r w:rsidR="00CF68DD">
        <w:t>to increase</w:t>
      </w:r>
      <w:r>
        <w:t>.</w:t>
      </w:r>
    </w:p>
    <w:p w14:paraId="0294C566" w14:textId="7C2578DB" w:rsidR="61A129D4" w:rsidRPr="00527DB8" w:rsidRDefault="00EC5B62" w:rsidP="00E45DAE">
      <w:pPr>
        <w:pStyle w:val="Heading3"/>
        <w:rPr>
          <w:color w:val="58595B"/>
        </w:rPr>
      </w:pPr>
      <w:r>
        <w:t>W</w:t>
      </w:r>
      <w:r w:rsidR="61A129D4">
        <w:t>ater entitlement fees</w:t>
      </w:r>
    </w:p>
    <w:p w14:paraId="179C33E5" w14:textId="3F4878E1" w:rsidR="00D01F2B" w:rsidRDefault="006811AF" w:rsidP="00D01F2B">
      <w:pPr>
        <w:pStyle w:val="BodyText"/>
        <w:spacing w:before="149" w:line="235" w:lineRule="auto"/>
        <w:ind w:right="9"/>
      </w:pPr>
      <w:r>
        <w:t>South East Water holds</w:t>
      </w:r>
      <w:r w:rsidR="00D01F2B">
        <w:t xml:space="preserve"> water entitlements within the Goulburn River and Murray River systems</w:t>
      </w:r>
      <w:r w:rsidR="00253258">
        <w:t>.</w:t>
      </w:r>
      <w:r w:rsidR="00D01F2B">
        <w:t xml:space="preserve"> South East Water is required to pay Goulburn Murray Water fees relating to bulk water entitlements and storage charges during the next regulatory period.</w:t>
      </w:r>
    </w:p>
    <w:p w14:paraId="2E63AAD3" w14:textId="77777777" w:rsidR="00E43C5B" w:rsidRDefault="00E43C5B" w:rsidP="00D01F2B">
      <w:pPr>
        <w:pStyle w:val="BodyText"/>
        <w:spacing w:before="149" w:line="235" w:lineRule="auto"/>
        <w:ind w:right="9"/>
      </w:pPr>
    </w:p>
    <w:p w14:paraId="4EF42EE8" w14:textId="3BECD22B" w:rsidR="61A129D4" w:rsidRPr="00E94381" w:rsidRDefault="0037078C" w:rsidP="00F11FE1">
      <w:pPr>
        <w:pStyle w:val="Heading2"/>
      </w:pPr>
      <w:r>
        <w:t>7.</w:t>
      </w:r>
      <w:r w:rsidR="00304291">
        <w:t>5</w:t>
      </w:r>
      <w:r>
        <w:t xml:space="preserve"> </w:t>
      </w:r>
      <w:r w:rsidR="61A129D4" w:rsidRPr="00E94381">
        <w:t xml:space="preserve">Allocation of </w:t>
      </w:r>
      <w:r w:rsidR="00E45DAE">
        <w:t>r</w:t>
      </w:r>
      <w:r w:rsidR="61A129D4" w:rsidRPr="00E94381">
        <w:t xml:space="preserve">isk </w:t>
      </w:r>
    </w:p>
    <w:p w14:paraId="58AB7DB5" w14:textId="731D0231" w:rsidR="001C2AB1" w:rsidRPr="00AA3DD0" w:rsidRDefault="002164C6">
      <w:pPr>
        <w:pStyle w:val="ListParagraph"/>
        <w:numPr>
          <w:ilvl w:val="0"/>
          <w:numId w:val="91"/>
        </w:numPr>
        <w:ind w:left="284" w:hanging="349"/>
        <w:rPr>
          <w:rFonts w:eastAsia="Arial" w:cs="Arial"/>
        </w:rPr>
      </w:pPr>
      <w:r>
        <w:rPr>
          <w:rFonts w:eastAsia="Arial" w:cs="Arial"/>
        </w:rPr>
        <w:t>W</w:t>
      </w:r>
      <w:r w:rsidR="00E216D8" w:rsidRPr="00AA3DD0">
        <w:rPr>
          <w:rFonts w:eastAsia="Arial" w:cs="Arial"/>
        </w:rPr>
        <w:t>e</w:t>
      </w:r>
      <w:r w:rsidR="006B7215">
        <w:rPr>
          <w:rFonts w:eastAsia="Arial" w:cs="Arial"/>
        </w:rPr>
        <w:t xml:space="preserve"> are</w:t>
      </w:r>
      <w:r w:rsidR="00E216D8" w:rsidRPr="00AA3DD0">
        <w:rPr>
          <w:rFonts w:eastAsia="Arial" w:cs="Arial"/>
        </w:rPr>
        <w:t xml:space="preserve"> prepared to accept and manage risk on behalf of customers to help drive prices down.</w:t>
      </w:r>
      <w:r w:rsidR="00D33637" w:rsidRPr="00AA3DD0">
        <w:rPr>
          <w:rFonts w:eastAsia="Arial" w:cs="Arial"/>
        </w:rPr>
        <w:t xml:space="preserve"> </w:t>
      </w:r>
      <w:r w:rsidR="001C2AB1" w:rsidRPr="00AA3DD0">
        <w:rPr>
          <w:rFonts w:eastAsia="Arial" w:cs="Arial"/>
        </w:rPr>
        <w:t xml:space="preserve">Reliable benchmarking across similar water </w:t>
      </w:r>
      <w:r w:rsidR="006B0BBE">
        <w:rPr>
          <w:rFonts w:eastAsia="Arial" w:cs="Arial"/>
        </w:rPr>
        <w:t>organisation</w:t>
      </w:r>
      <w:r w:rsidR="00100957">
        <w:rPr>
          <w:rFonts w:eastAsia="Arial" w:cs="Arial"/>
        </w:rPr>
        <w:t>s</w:t>
      </w:r>
      <w:r w:rsidR="001C2AB1" w:rsidRPr="00AA3DD0">
        <w:rPr>
          <w:rFonts w:eastAsia="Arial" w:cs="Arial"/>
        </w:rPr>
        <w:t xml:space="preserve"> in Australia consistently places us in the higher performing and most cost-efficient segments (see</w:t>
      </w:r>
      <w:r w:rsidR="00F25B7F" w:rsidRPr="00AA3DD0">
        <w:rPr>
          <w:rFonts w:eastAsia="Arial" w:cs="Arial"/>
        </w:rPr>
        <w:t xml:space="preserve"> </w:t>
      </w:r>
      <w:r w:rsidR="00612583">
        <w:rPr>
          <w:rFonts w:eastAsia="Arial" w:cs="Arial"/>
        </w:rPr>
        <w:t>‘</w:t>
      </w:r>
      <w:r w:rsidR="001C2AB1" w:rsidRPr="00AA3DD0">
        <w:rPr>
          <w:rFonts w:eastAsia="Arial" w:cs="Arial"/>
        </w:rPr>
        <w:t>benchmarking</w:t>
      </w:r>
      <w:r w:rsidR="00612583">
        <w:rPr>
          <w:rFonts w:eastAsia="Arial" w:cs="Arial"/>
        </w:rPr>
        <w:t>’</w:t>
      </w:r>
      <w:r w:rsidR="001C2AB1" w:rsidRPr="00AA3DD0">
        <w:rPr>
          <w:rFonts w:eastAsia="Arial" w:cs="Arial"/>
        </w:rPr>
        <w:t>) – demonstrating our proven ability to manage this cost risk on behalf of our customers to a very efficient level.</w:t>
      </w:r>
    </w:p>
    <w:p w14:paraId="6CDA8AEB" w14:textId="465B95F0" w:rsidR="00BF7287" w:rsidRPr="00AA3DD0" w:rsidRDefault="00821DB6">
      <w:pPr>
        <w:pStyle w:val="ListParagraph"/>
        <w:numPr>
          <w:ilvl w:val="0"/>
          <w:numId w:val="91"/>
        </w:numPr>
        <w:ind w:left="284" w:hanging="349"/>
        <w:rPr>
          <w:rFonts w:eastAsia="Arial" w:cs="Arial"/>
        </w:rPr>
      </w:pPr>
      <w:r w:rsidRPr="00AA3DD0">
        <w:rPr>
          <w:rFonts w:eastAsia="Arial" w:cs="Arial"/>
        </w:rPr>
        <w:t xml:space="preserve">The ESC has indicated that a </w:t>
      </w:r>
      <w:r w:rsidR="001357D7" w:rsidRPr="00AA3DD0">
        <w:rPr>
          <w:rFonts w:eastAsia="Arial" w:cs="Arial"/>
        </w:rPr>
        <w:t>1.9</w:t>
      </w:r>
      <w:r w:rsidR="00E90A90">
        <w:rPr>
          <w:rFonts w:eastAsia="Arial" w:cs="Arial"/>
        </w:rPr>
        <w:t>%</w:t>
      </w:r>
      <w:r w:rsidRPr="00AA3DD0">
        <w:rPr>
          <w:rFonts w:eastAsia="Arial" w:cs="Arial"/>
        </w:rPr>
        <w:t xml:space="preserve"> efficiency improvement rate would align to a</w:t>
      </w:r>
      <w:r w:rsidR="001357D7" w:rsidRPr="00AA3DD0">
        <w:rPr>
          <w:rFonts w:eastAsia="Arial" w:cs="Arial"/>
        </w:rPr>
        <w:t>n</w:t>
      </w:r>
      <w:r w:rsidRPr="00AA3DD0">
        <w:rPr>
          <w:rFonts w:eastAsia="Arial" w:cs="Arial"/>
        </w:rPr>
        <w:t xml:space="preserve"> </w:t>
      </w:r>
      <w:r w:rsidR="00612583">
        <w:rPr>
          <w:rFonts w:eastAsia="Arial" w:cs="Arial"/>
        </w:rPr>
        <w:t>‘</w:t>
      </w:r>
      <w:r w:rsidR="002C2FD1" w:rsidRPr="00116E55">
        <w:rPr>
          <w:rFonts w:eastAsia="Arial" w:cs="Arial"/>
          <w:i/>
          <w:iCs/>
        </w:rPr>
        <w:t>A</w:t>
      </w:r>
      <w:r w:rsidR="001357D7" w:rsidRPr="00116E55">
        <w:rPr>
          <w:rFonts w:eastAsia="Arial" w:cs="Arial"/>
          <w:i/>
          <w:iCs/>
        </w:rPr>
        <w:t>dvanced</w:t>
      </w:r>
      <w:r w:rsidR="00612583">
        <w:rPr>
          <w:rFonts w:eastAsia="Arial" w:cs="Arial"/>
        </w:rPr>
        <w:t>’</w:t>
      </w:r>
      <w:r w:rsidRPr="00AA3DD0">
        <w:rPr>
          <w:rFonts w:eastAsia="Arial" w:cs="Arial"/>
        </w:rPr>
        <w:t xml:space="preserve"> submission. </w:t>
      </w:r>
      <w:r w:rsidR="006D23C8" w:rsidRPr="00AA3DD0">
        <w:rPr>
          <w:rFonts w:eastAsia="Arial" w:cs="Arial"/>
        </w:rPr>
        <w:t>We are</w:t>
      </w:r>
      <w:r w:rsidRPr="00AA3DD0">
        <w:rPr>
          <w:rFonts w:eastAsia="Arial" w:cs="Arial"/>
        </w:rPr>
        <w:t xml:space="preserve"> prepared to commit to </w:t>
      </w:r>
      <w:r w:rsidR="003A7968">
        <w:rPr>
          <w:rFonts w:eastAsia="Arial" w:cs="Arial"/>
        </w:rPr>
        <w:t>an annual</w:t>
      </w:r>
      <w:r w:rsidRPr="00AA3DD0">
        <w:rPr>
          <w:rFonts w:eastAsia="Arial" w:cs="Arial"/>
        </w:rPr>
        <w:t xml:space="preserve"> efficiency </w:t>
      </w:r>
      <w:r w:rsidR="003A7968">
        <w:rPr>
          <w:rFonts w:eastAsia="Arial" w:cs="Arial"/>
        </w:rPr>
        <w:t>improvement rate</w:t>
      </w:r>
      <w:r w:rsidRPr="00AA3DD0">
        <w:rPr>
          <w:rFonts w:eastAsia="Arial" w:cs="Arial"/>
        </w:rPr>
        <w:t xml:space="preserve"> </w:t>
      </w:r>
      <w:r w:rsidR="001357D7" w:rsidRPr="00AA3DD0">
        <w:rPr>
          <w:rFonts w:eastAsia="Arial" w:cs="Arial"/>
        </w:rPr>
        <w:t>of 2</w:t>
      </w:r>
      <w:r w:rsidR="00E90A90">
        <w:rPr>
          <w:rFonts w:eastAsia="Arial" w:cs="Arial"/>
        </w:rPr>
        <w:t>%</w:t>
      </w:r>
      <w:r w:rsidRPr="00AA3DD0">
        <w:rPr>
          <w:rFonts w:eastAsia="Arial" w:cs="Arial"/>
        </w:rPr>
        <w:t xml:space="preserve">, which </w:t>
      </w:r>
      <w:r w:rsidR="00B60D81" w:rsidRPr="00AA3DD0">
        <w:rPr>
          <w:rFonts w:eastAsia="Arial" w:cs="Arial"/>
        </w:rPr>
        <w:t>is higher</w:t>
      </w:r>
      <w:r w:rsidRPr="00AA3DD0">
        <w:rPr>
          <w:rFonts w:eastAsia="Arial" w:cs="Arial"/>
        </w:rPr>
        <w:t xml:space="preserve"> </w:t>
      </w:r>
      <w:r w:rsidR="00762BD0">
        <w:rPr>
          <w:rFonts w:eastAsia="Arial" w:cs="Arial"/>
        </w:rPr>
        <w:t>than the ESC hurdle rate</w:t>
      </w:r>
      <w:r w:rsidR="00493702" w:rsidRPr="00AA3DD0">
        <w:rPr>
          <w:rFonts w:eastAsia="Arial" w:cs="Arial"/>
        </w:rPr>
        <w:t xml:space="preserve"> and</w:t>
      </w:r>
      <w:r w:rsidRPr="00AA3DD0">
        <w:rPr>
          <w:rFonts w:eastAsia="Arial" w:cs="Arial"/>
        </w:rPr>
        <w:t xml:space="preserve"> allows us to continue to drive prices down while still delivering on a suite of customer outcomes.</w:t>
      </w:r>
      <w:r w:rsidR="002C2FD1">
        <w:rPr>
          <w:rFonts w:eastAsia="Arial" w:cs="Arial"/>
        </w:rPr>
        <w:t xml:space="preserve"> </w:t>
      </w:r>
      <w:r w:rsidR="002C2FD1">
        <w:rPr>
          <w:rFonts w:eastAsia="Arial" w:cs="Arial"/>
        </w:rPr>
        <w:lastRenderedPageBreak/>
        <w:t>This efficiency rate is equal to a reduction in controllable expenditure of $22.5</w:t>
      </w:r>
      <w:r w:rsidR="003A7968">
        <w:rPr>
          <w:rFonts w:eastAsia="Arial" w:cs="Arial"/>
        </w:rPr>
        <w:t> </w:t>
      </w:r>
      <w:r w:rsidR="002C2FD1">
        <w:rPr>
          <w:rFonts w:eastAsia="Arial" w:cs="Arial"/>
        </w:rPr>
        <w:t>m</w:t>
      </w:r>
      <w:r w:rsidR="003A7968">
        <w:rPr>
          <w:rFonts w:eastAsia="Arial" w:cs="Arial"/>
        </w:rPr>
        <w:t>illion</w:t>
      </w:r>
      <w:r w:rsidR="002C2FD1">
        <w:rPr>
          <w:rFonts w:eastAsia="Arial" w:cs="Arial"/>
        </w:rPr>
        <w:t xml:space="preserve"> over the </w:t>
      </w:r>
      <w:r w:rsidR="00CD5D54">
        <w:rPr>
          <w:rFonts w:eastAsia="Arial" w:cs="Arial"/>
        </w:rPr>
        <w:t>5-</w:t>
      </w:r>
      <w:r w:rsidR="002C2FD1">
        <w:rPr>
          <w:rFonts w:eastAsia="Arial" w:cs="Arial"/>
        </w:rPr>
        <w:t>year regulatory period.</w:t>
      </w:r>
    </w:p>
    <w:p w14:paraId="43695068" w14:textId="3807796F" w:rsidR="00821DB6" w:rsidRPr="00AA3DD0" w:rsidRDefault="00525632">
      <w:pPr>
        <w:pStyle w:val="ListParagraph"/>
        <w:numPr>
          <w:ilvl w:val="0"/>
          <w:numId w:val="91"/>
        </w:numPr>
        <w:ind w:left="284" w:hanging="349"/>
        <w:rPr>
          <w:rFonts w:eastAsia="Arial" w:cs="Arial"/>
        </w:rPr>
      </w:pPr>
      <w:r w:rsidRPr="00163CB5">
        <w:rPr>
          <w:rFonts w:eastAsia="Arial" w:cs="Arial"/>
        </w:rPr>
        <w:t>We</w:t>
      </w:r>
      <w:r w:rsidR="00E90A90">
        <w:rPr>
          <w:rFonts w:eastAsia="Arial" w:cs="Arial"/>
        </w:rPr>
        <w:t xml:space="preserve"> a</w:t>
      </w:r>
      <w:r w:rsidRPr="00163CB5">
        <w:rPr>
          <w:rFonts w:eastAsia="Arial" w:cs="Arial"/>
        </w:rPr>
        <w:t>re well placed to</w:t>
      </w:r>
      <w:r w:rsidR="00163CB5">
        <w:rPr>
          <w:rFonts w:eastAsia="Arial" w:cs="Arial"/>
        </w:rPr>
        <w:t xml:space="preserve"> </w:t>
      </w:r>
      <w:r w:rsidRPr="00163CB5">
        <w:rPr>
          <w:rFonts w:eastAsia="Arial" w:cs="Arial"/>
        </w:rPr>
        <w:t>manage this risk on behalf of our customers</w:t>
      </w:r>
      <w:r w:rsidR="00CD5D54">
        <w:rPr>
          <w:rFonts w:eastAsia="Arial" w:cs="Arial"/>
        </w:rPr>
        <w:t>,</w:t>
      </w:r>
      <w:r w:rsidRPr="00163CB5">
        <w:rPr>
          <w:rFonts w:eastAsia="Arial" w:cs="Arial"/>
        </w:rPr>
        <w:t xml:space="preserve"> by </w:t>
      </w:r>
      <w:r w:rsidR="00754BEC">
        <w:rPr>
          <w:rFonts w:eastAsia="Arial" w:cs="Arial"/>
        </w:rPr>
        <w:t>stepping up</w:t>
      </w:r>
      <w:r w:rsidRPr="00163CB5">
        <w:rPr>
          <w:rFonts w:eastAsia="Arial" w:cs="Arial"/>
        </w:rPr>
        <w:t xml:space="preserve"> our focus on efficiencies </w:t>
      </w:r>
      <w:r w:rsidR="00160683">
        <w:rPr>
          <w:rFonts w:eastAsia="Arial" w:cs="Arial"/>
        </w:rPr>
        <w:t>through</w:t>
      </w:r>
      <w:r w:rsidRPr="00163CB5">
        <w:rPr>
          <w:rFonts w:eastAsia="Arial" w:cs="Arial"/>
        </w:rPr>
        <w:t xml:space="preserve"> enhancing our technology and digital capabilities.</w:t>
      </w:r>
    </w:p>
    <w:p w14:paraId="71EB8CAD" w14:textId="02554979" w:rsidR="0037078C" w:rsidRDefault="00725985">
      <w:r>
        <w:rPr>
          <w:noProof/>
        </w:rPr>
        <mc:AlternateContent>
          <mc:Choice Requires="wps">
            <w:drawing>
              <wp:anchor distT="45720" distB="45720" distL="114300" distR="114300" simplePos="0" relativeHeight="251658301" behindDoc="0" locked="0" layoutInCell="1" allowOverlap="1" wp14:anchorId="1BCED4C5" wp14:editId="4E55DC8F">
                <wp:simplePos x="0" y="0"/>
                <wp:positionH relativeFrom="page">
                  <wp:align>center</wp:align>
                </wp:positionH>
                <wp:positionV relativeFrom="paragraph">
                  <wp:posOffset>312420</wp:posOffset>
                </wp:positionV>
                <wp:extent cx="6059805" cy="1397000"/>
                <wp:effectExtent l="0" t="0" r="0" b="0"/>
                <wp:wrapSquare wrapText="bothSides"/>
                <wp:docPr id="1013" name="Text Box 10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9805" cy="1397000"/>
                        </a:xfrm>
                        <a:prstGeom prst="rect">
                          <a:avLst/>
                        </a:prstGeom>
                        <a:solidFill>
                          <a:srgbClr val="FF8D00"/>
                        </a:solidFill>
                        <a:ln w="9525">
                          <a:noFill/>
                          <a:miter lim="800000"/>
                          <a:headEnd/>
                          <a:tailEnd/>
                        </a:ln>
                      </wps:spPr>
                      <wps:txbx>
                        <w:txbxContent>
                          <w:p w14:paraId="279181B3" w14:textId="452D6FFD" w:rsidR="00E4761C" w:rsidRPr="00116E55" w:rsidRDefault="00E4761C" w:rsidP="00116E55">
                            <w:pPr>
                              <w:pStyle w:val="Heading3"/>
                              <w:spacing w:before="0" w:after="240"/>
                              <w:rPr>
                                <w:color w:val="FFFFFF" w:themeColor="background1"/>
                                <w:sz w:val="24"/>
                              </w:rPr>
                            </w:pPr>
                            <w:r>
                              <w:rPr>
                                <w:color w:val="FFFFFF" w:themeColor="background1"/>
                                <w:sz w:val="24"/>
                              </w:rPr>
                              <w:t>Supporting documents</w:t>
                            </w:r>
                          </w:p>
                          <w:p w14:paraId="699670EF" w14:textId="1CDADE0F" w:rsidR="00E4761C" w:rsidRPr="00D54179" w:rsidRDefault="00E4761C" w:rsidP="00116E55">
                            <w:pPr>
                              <w:pStyle w:val="ListParagraph"/>
                              <w:ind w:left="426"/>
                              <w:rPr>
                                <w:rFonts w:asciiTheme="minorHAnsi" w:hAnsiTheme="minorHAnsi"/>
                                <w:b/>
                                <w:color w:val="FFFFFF" w:themeColor="background1"/>
                                <w:sz w:val="22"/>
                                <w:szCs w:val="22"/>
                              </w:rPr>
                            </w:pPr>
                            <w:r w:rsidRPr="00D54179">
                              <w:rPr>
                                <w:rFonts w:asciiTheme="minorHAnsi" w:hAnsiTheme="minorHAnsi"/>
                                <w:b/>
                                <w:color w:val="FFFFFF" w:themeColor="background1"/>
                                <w:sz w:val="22"/>
                                <w:szCs w:val="22"/>
                              </w:rPr>
                              <w:t>South East Water Cost Allocation Methodology (September 2022)</w:t>
                            </w:r>
                          </w:p>
                          <w:p w14:paraId="4B776F7E" w14:textId="77777777" w:rsidR="00E4761C" w:rsidRPr="00D54179" w:rsidRDefault="00E4761C" w:rsidP="00116E55">
                            <w:pPr>
                              <w:pStyle w:val="ListParagraph"/>
                              <w:ind w:left="426"/>
                              <w:rPr>
                                <w:rFonts w:asciiTheme="minorHAnsi" w:hAnsiTheme="minorHAnsi"/>
                                <w:b/>
                                <w:color w:val="FFFFFF" w:themeColor="background1"/>
                                <w:sz w:val="22"/>
                                <w:szCs w:val="22"/>
                              </w:rPr>
                            </w:pPr>
                            <w:r w:rsidRPr="00D54179">
                              <w:rPr>
                                <w:rFonts w:asciiTheme="minorHAnsi" w:hAnsiTheme="minorHAnsi"/>
                                <w:b/>
                                <w:color w:val="FFFFFF" w:themeColor="background1"/>
                                <w:sz w:val="22"/>
                                <w:szCs w:val="22"/>
                              </w:rPr>
                              <w:t>Step Change Documentation</w:t>
                            </w:r>
                          </w:p>
                          <w:p w14:paraId="3FFD197A" w14:textId="77777777" w:rsidR="00E4761C" w:rsidRPr="00D54179" w:rsidRDefault="00E4761C" w:rsidP="00116E55">
                            <w:pPr>
                              <w:pStyle w:val="ListParagraph"/>
                              <w:ind w:left="426"/>
                              <w:rPr>
                                <w:rFonts w:asciiTheme="minorHAnsi" w:hAnsiTheme="minorHAnsi"/>
                                <w:b/>
                                <w:color w:val="FFFFFF" w:themeColor="background1"/>
                                <w:sz w:val="22"/>
                                <w:szCs w:val="22"/>
                              </w:rPr>
                            </w:pPr>
                            <w:r w:rsidRPr="00D54179">
                              <w:rPr>
                                <w:rFonts w:asciiTheme="minorHAnsi" w:hAnsiTheme="minorHAnsi"/>
                                <w:b/>
                                <w:color w:val="FFFFFF" w:themeColor="background1"/>
                                <w:sz w:val="22"/>
                                <w:szCs w:val="22"/>
                              </w:rPr>
                              <w:t>WSAA 2020, Operating Cost Benchmarking Utility Report, Final Report</w:t>
                            </w:r>
                          </w:p>
                          <w:p w14:paraId="5C87223B" w14:textId="43B67482" w:rsidR="00E4761C" w:rsidRPr="00116E55" w:rsidRDefault="00E4761C" w:rsidP="00116E55">
                            <w:pPr>
                              <w:ind w:left="360"/>
                            </w:pPr>
                          </w:p>
                        </w:txbxContent>
                      </wps:txbx>
                      <wps:bodyPr rot="0" vert="horz" wrap="square" lIns="180000" tIns="180000" rIns="180000" bIns="180000" anchor="t" anchorCtr="0">
                        <a:noAutofit/>
                      </wps:bodyPr>
                    </wps:wsp>
                  </a:graphicData>
                </a:graphic>
                <wp14:sizeRelH relativeFrom="margin">
                  <wp14:pctWidth>0</wp14:pctWidth>
                </wp14:sizeRelH>
                <wp14:sizeRelV relativeFrom="margin">
                  <wp14:pctHeight>0</wp14:pctHeight>
                </wp14:sizeRelV>
              </wp:anchor>
            </w:drawing>
          </mc:Choice>
          <mc:Fallback>
            <w:pict>
              <v:shape w14:anchorId="1BCED4C5" id="Text Box 1013" o:spid="_x0000_s1057" type="#_x0000_t202" style="position:absolute;margin-left:0;margin-top:24.6pt;width:477.15pt;height:110pt;z-index:251658301;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" fillcolor="#ff8d00" stroked="f">
                <v:textbox inset="5mm,5mm,5mm,5mm">
                  <w:txbxContent>
                    <w:p w14:paraId="279181B3" w14:textId="452D6FFD" w:rsidR="00E4761C" w:rsidRPr="00116E55" w:rsidRDefault="00E4761C" w:rsidP="00116E55">
                      <w:pPr>
                        <w:pStyle w:val="Heading3"/>
                        <w:spacing w:before="0" w:after="240"/>
                        <w:rPr>
                          <w:color w:val="FFFFFF" w:themeColor="background1"/>
                          <w:sz w:val="24"/>
                        </w:rPr>
                      </w:pPr>
                      <w:r>
                        <w:rPr>
                          <w:color w:val="FFFFFF" w:themeColor="background1"/>
                          <w:sz w:val="24"/>
                        </w:rPr>
                        <w:t>Supporting documents</w:t>
                      </w:r>
                    </w:p>
                    <w:p w14:paraId="699670EF" w14:textId="1CDADE0F" w:rsidR="00E4761C" w:rsidRPr="00D54179" w:rsidRDefault="00E4761C" w:rsidP="00116E55">
                      <w:pPr>
                        <w:pStyle w:val="ListParagraph"/>
                        <w:ind w:left="426"/>
                        <w:rPr>
                          <w:rFonts w:asciiTheme="minorHAnsi" w:hAnsiTheme="minorHAnsi"/>
                          <w:b/>
                          <w:color w:val="FFFFFF" w:themeColor="background1"/>
                          <w:sz w:val="22"/>
                          <w:szCs w:val="22"/>
                        </w:rPr>
                      </w:pPr>
                      <w:proofErr w:type="gramStart"/>
                      <w:r w:rsidRPr="00D54179">
                        <w:rPr>
                          <w:rFonts w:asciiTheme="minorHAnsi" w:hAnsiTheme="minorHAnsi"/>
                          <w:b/>
                          <w:color w:val="FFFFFF" w:themeColor="background1"/>
                          <w:sz w:val="22"/>
                          <w:szCs w:val="22"/>
                        </w:rPr>
                        <w:t>South East</w:t>
                      </w:r>
                      <w:proofErr w:type="gramEnd"/>
                      <w:r w:rsidRPr="00D54179">
                        <w:rPr>
                          <w:rFonts w:asciiTheme="minorHAnsi" w:hAnsiTheme="minorHAnsi"/>
                          <w:b/>
                          <w:color w:val="FFFFFF" w:themeColor="background1"/>
                          <w:sz w:val="22"/>
                          <w:szCs w:val="22"/>
                        </w:rPr>
                        <w:t xml:space="preserve"> Water Cost Allocation Methodology (September 2022)</w:t>
                      </w:r>
                    </w:p>
                    <w:p w14:paraId="4B776F7E" w14:textId="77777777" w:rsidR="00E4761C" w:rsidRPr="00D54179" w:rsidRDefault="00E4761C" w:rsidP="00116E55">
                      <w:pPr>
                        <w:pStyle w:val="ListParagraph"/>
                        <w:ind w:left="426"/>
                        <w:rPr>
                          <w:rFonts w:asciiTheme="minorHAnsi" w:hAnsiTheme="minorHAnsi"/>
                          <w:b/>
                          <w:color w:val="FFFFFF" w:themeColor="background1"/>
                          <w:sz w:val="22"/>
                          <w:szCs w:val="22"/>
                        </w:rPr>
                      </w:pPr>
                      <w:r w:rsidRPr="00D54179">
                        <w:rPr>
                          <w:rFonts w:asciiTheme="minorHAnsi" w:hAnsiTheme="minorHAnsi"/>
                          <w:b/>
                          <w:color w:val="FFFFFF" w:themeColor="background1"/>
                          <w:sz w:val="22"/>
                          <w:szCs w:val="22"/>
                        </w:rPr>
                        <w:t>Step Change Documentation</w:t>
                      </w:r>
                    </w:p>
                    <w:p w14:paraId="3FFD197A" w14:textId="77777777" w:rsidR="00E4761C" w:rsidRPr="00D54179" w:rsidRDefault="00E4761C" w:rsidP="00116E55">
                      <w:pPr>
                        <w:pStyle w:val="ListParagraph"/>
                        <w:ind w:left="426"/>
                        <w:rPr>
                          <w:rFonts w:asciiTheme="minorHAnsi" w:hAnsiTheme="minorHAnsi"/>
                          <w:b/>
                          <w:color w:val="FFFFFF" w:themeColor="background1"/>
                          <w:sz w:val="22"/>
                          <w:szCs w:val="22"/>
                        </w:rPr>
                      </w:pPr>
                      <w:r w:rsidRPr="00D54179">
                        <w:rPr>
                          <w:rFonts w:asciiTheme="minorHAnsi" w:hAnsiTheme="minorHAnsi"/>
                          <w:b/>
                          <w:color w:val="FFFFFF" w:themeColor="background1"/>
                          <w:sz w:val="22"/>
                          <w:szCs w:val="22"/>
                        </w:rPr>
                        <w:t>WSAA 2020, Operating Cost Benchmarking Utility Report, Final Report</w:t>
                      </w:r>
                    </w:p>
                    <w:p w14:paraId="5C87223B" w14:textId="43B67482" w:rsidR="00E4761C" w:rsidRPr="00116E55" w:rsidRDefault="00E4761C" w:rsidP="00116E55">
                      <w:pPr>
                        <w:ind w:left="360"/>
                      </w:pPr>
                    </w:p>
                  </w:txbxContent>
                </v:textbox>
                <w10:wrap type="square" anchorx="page"/>
              </v:shape>
            </w:pict>
          </mc:Fallback>
        </mc:AlternateContent>
      </w:r>
      <w:r w:rsidR="0037078C">
        <w:br w:type="page"/>
      </w:r>
    </w:p>
    <w:p w14:paraId="665A53BF" w14:textId="1EF3DDCD" w:rsidR="00F8785B" w:rsidRDefault="004455C1">
      <w:r>
        <w:rPr>
          <w:noProof/>
        </w:rPr>
        <w:lastRenderedPageBreak/>
        <w:drawing>
          <wp:anchor distT="0" distB="0" distL="114300" distR="114300" simplePos="0" relativeHeight="251658278" behindDoc="1" locked="0" layoutInCell="1" allowOverlap="1" wp14:anchorId="7985F0E8" wp14:editId="2DEAF731">
            <wp:simplePos x="0" y="0"/>
            <wp:positionH relativeFrom="column">
              <wp:posOffset>-764963</wp:posOffset>
            </wp:positionH>
            <wp:positionV relativeFrom="paragraph">
              <wp:posOffset>-973455</wp:posOffset>
            </wp:positionV>
            <wp:extent cx="7574915" cy="7613015"/>
            <wp:effectExtent l="0" t="0" r="0" b="0"/>
            <wp:wrapNone/>
            <wp:docPr id="70" name="Picture 70"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Picture 484" descr="A picture containing shap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7574915" cy="7613015"/>
                    </a:xfrm>
                    <a:prstGeom prst="rect">
                      <a:avLst/>
                    </a:prstGeom>
                  </pic:spPr>
                </pic:pic>
              </a:graphicData>
            </a:graphic>
            <wp14:sizeRelH relativeFrom="page">
              <wp14:pctWidth>0</wp14:pctWidth>
            </wp14:sizeRelH>
            <wp14:sizeRelV relativeFrom="page">
              <wp14:pctHeight>0</wp14:pctHeight>
            </wp14:sizeRelV>
          </wp:anchor>
        </w:drawing>
      </w:r>
      <w:r w:rsidR="00F8785B">
        <w:rPr>
          <w:noProof/>
        </w:rPr>
        <mc:AlternateContent>
          <mc:Choice Requires="wps">
            <w:drawing>
              <wp:anchor distT="0" distB="0" distL="114300" distR="114300" simplePos="0" relativeHeight="251658279" behindDoc="0" locked="0" layoutInCell="1" allowOverlap="1" wp14:anchorId="6F8923C1" wp14:editId="71853A01">
                <wp:simplePos x="0" y="0"/>
                <wp:positionH relativeFrom="column">
                  <wp:posOffset>-419735</wp:posOffset>
                </wp:positionH>
                <wp:positionV relativeFrom="paragraph">
                  <wp:posOffset>1876425</wp:posOffset>
                </wp:positionV>
                <wp:extent cx="3209290" cy="2419985"/>
                <wp:effectExtent l="0" t="0" r="0" b="0"/>
                <wp:wrapNone/>
                <wp:docPr id="69" name="Text Box 69"/>
                <wp:cNvGraphicFramePr/>
                <a:graphic xmlns:a="http://schemas.openxmlformats.org/drawingml/2006/main">
                  <a:graphicData uri="http://schemas.microsoft.com/office/word/2010/wordprocessingShape">
                    <wps:wsp>
                      <wps:cNvSpPr txBox="1"/>
                      <wps:spPr>
                        <a:xfrm>
                          <a:off x="0" y="0"/>
                          <a:ext cx="3209290" cy="2419985"/>
                        </a:xfrm>
                        <a:prstGeom prst="rect">
                          <a:avLst/>
                        </a:prstGeom>
                        <a:noFill/>
                        <a:ln w="6350">
                          <a:noFill/>
                        </a:ln>
                      </wps:spPr>
                      <wps:txbx>
                        <w:txbxContent>
                          <w:p w14:paraId="4E1B3A6B" w14:textId="49A0874D" w:rsidR="00F8785B" w:rsidRPr="00116E55" w:rsidRDefault="00F8785B" w:rsidP="00F8785B">
                            <w:pPr>
                              <w:pStyle w:val="Heading1"/>
                              <w:rPr>
                                <w:rFonts w:cs="Times New Roman (Headings CS)"/>
                                <w:b w:val="0"/>
                                <w:bCs/>
                                <w:color w:val="FFFFFF" w:themeColor="background1"/>
                                <w:spacing w:val="-120"/>
                                <w:sz w:val="320"/>
                                <w:szCs w:val="320"/>
                              </w:rPr>
                            </w:pPr>
                            <w:bookmarkStart w:id="80" w:name="_Toc114644620"/>
                            <w:r w:rsidRPr="00116E55">
                              <w:rPr>
                                <w:rFonts w:cs="Times New Roman (Headings CS)"/>
                                <w:b w:val="0"/>
                                <w:bCs/>
                                <w:color w:val="FFFFFF" w:themeColor="background1"/>
                                <w:spacing w:val="-120"/>
                                <w:sz w:val="320"/>
                                <w:szCs w:val="320"/>
                              </w:rPr>
                              <w:t>0</w:t>
                            </w:r>
                            <w:r>
                              <w:rPr>
                                <w:rFonts w:cs="Times New Roman (Headings CS)"/>
                                <w:b w:val="0"/>
                                <w:bCs/>
                                <w:color w:val="FFFFFF" w:themeColor="background1"/>
                                <w:spacing w:val="-120"/>
                                <w:sz w:val="320"/>
                                <w:szCs w:val="320"/>
                              </w:rPr>
                              <w:t>3</w:t>
                            </w:r>
                            <w:bookmarkEnd w:id="8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8923C1" id="Text Box 69" o:spid="_x0000_s1058" type="#_x0000_t202" style="position:absolute;margin-left:-33.05pt;margin-top:147.75pt;width:252.7pt;height:190.55pt;z-index:25165827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" filled="f" stroked="f" strokeweight=".5pt">
                <v:textbox>
                  <w:txbxContent>
                    <w:p w14:paraId="4E1B3A6B" w14:textId="49A0874D" w:rsidR="00F8785B" w:rsidRPr="00116E55" w:rsidRDefault="00F8785B" w:rsidP="00F8785B">
                      <w:pPr>
                        <w:pStyle w:val="Heading1"/>
                        <w:rPr>
                          <w:rFonts w:cs="Times New Roman (Headings CS)"/>
                          <w:b w:val="0"/>
                          <w:bCs/>
                          <w:color w:val="FFFFFF" w:themeColor="background1"/>
                          <w:spacing w:val="-120"/>
                          <w:sz w:val="320"/>
                          <w:szCs w:val="320"/>
                        </w:rPr>
                      </w:pPr>
                      <w:bookmarkStart w:id="85" w:name="_Toc114644620"/>
                      <w:r w:rsidRPr="00116E55">
                        <w:rPr>
                          <w:rFonts w:cs="Times New Roman (Headings CS)"/>
                          <w:b w:val="0"/>
                          <w:bCs/>
                          <w:color w:val="FFFFFF" w:themeColor="background1"/>
                          <w:spacing w:val="-120"/>
                          <w:sz w:val="320"/>
                          <w:szCs w:val="320"/>
                        </w:rPr>
                        <w:t>0</w:t>
                      </w:r>
                      <w:r>
                        <w:rPr>
                          <w:rFonts w:cs="Times New Roman (Headings CS)"/>
                          <w:b w:val="0"/>
                          <w:bCs/>
                          <w:color w:val="FFFFFF" w:themeColor="background1"/>
                          <w:spacing w:val="-120"/>
                          <w:sz w:val="320"/>
                          <w:szCs w:val="320"/>
                        </w:rPr>
                        <w:t>3</w:t>
                      </w:r>
                      <w:bookmarkEnd w:id="85"/>
                    </w:p>
                  </w:txbxContent>
                </v:textbox>
              </v:shape>
            </w:pict>
          </mc:Fallback>
        </mc:AlternateContent>
      </w:r>
      <w:r w:rsidR="00F8785B" w:rsidRPr="00984070">
        <w:rPr>
          <w:noProof/>
          <w:color w:val="2B579A"/>
          <w:shd w:val="clear" w:color="auto" w:fill="E6E6E6"/>
        </w:rPr>
        <mc:AlternateContent>
          <mc:Choice Requires="wps">
            <w:drawing>
              <wp:anchor distT="0" distB="0" distL="114300" distR="114300" simplePos="0" relativeHeight="251658277" behindDoc="0" locked="1" layoutInCell="1" allowOverlap="1" wp14:anchorId="6D7AAE4F" wp14:editId="29C12D4A">
                <wp:simplePos x="0" y="0"/>
                <wp:positionH relativeFrom="page">
                  <wp:posOffset>-14605</wp:posOffset>
                </wp:positionH>
                <wp:positionV relativeFrom="page">
                  <wp:posOffset>5072380</wp:posOffset>
                </wp:positionV>
                <wp:extent cx="7563485" cy="5633720"/>
                <wp:effectExtent l="0" t="0" r="5715" b="5080"/>
                <wp:wrapNone/>
                <wp:docPr id="68" name="Freeform: Shape 13"/>
                <wp:cNvGraphicFramePr/>
                <a:graphic xmlns:a="http://schemas.openxmlformats.org/drawingml/2006/main">
                  <a:graphicData uri="http://schemas.microsoft.com/office/word/2010/wordprocessingShape">
                    <wps:wsp>
                      <wps:cNvSpPr/>
                      <wps:spPr>
                        <a:xfrm>
                          <a:off x="0" y="0"/>
                          <a:ext cx="7563485" cy="5633720"/>
                        </a:xfrm>
                        <a:custGeom>
                          <a:avLst/>
                          <a:gdLst>
                            <a:gd name="connsiteX0" fmla="*/ 630218 w 7564209"/>
                            <a:gd name="connsiteY0" fmla="*/ 0 h 5635379"/>
                            <a:gd name="connsiteX1" fmla="*/ 779510 w 7564209"/>
                            <a:gd name="connsiteY1" fmla="*/ 44612 h 5635379"/>
                            <a:gd name="connsiteX2" fmla="*/ 1111141 w 7564209"/>
                            <a:gd name="connsiteY2" fmla="*/ 44612 h 5635379"/>
                            <a:gd name="connsiteX3" fmla="*/ 1409726 w 7564209"/>
                            <a:gd name="connsiteY3" fmla="*/ 44612 h 5635379"/>
                            <a:gd name="connsiteX4" fmla="*/ 1741358 w 7564209"/>
                            <a:gd name="connsiteY4" fmla="*/ 44612 h 5635379"/>
                            <a:gd name="connsiteX5" fmla="*/ 2039943 w 7564209"/>
                            <a:gd name="connsiteY5" fmla="*/ 44612 h 5635379"/>
                            <a:gd name="connsiteX6" fmla="*/ 2371721 w 7564209"/>
                            <a:gd name="connsiteY6" fmla="*/ 44612 h 5635379"/>
                            <a:gd name="connsiteX7" fmla="*/ 2670160 w 7564209"/>
                            <a:gd name="connsiteY7" fmla="*/ 44612 h 5635379"/>
                            <a:gd name="connsiteX8" fmla="*/ 3001938 w 7564209"/>
                            <a:gd name="connsiteY8" fmla="*/ 44612 h 5635379"/>
                            <a:gd name="connsiteX9" fmla="*/ 3151084 w 7564209"/>
                            <a:gd name="connsiteY9" fmla="*/ 746 h 5635379"/>
                            <a:gd name="connsiteX10" fmla="*/ 3300377 w 7564209"/>
                            <a:gd name="connsiteY10" fmla="*/ 44612 h 5635379"/>
                            <a:gd name="connsiteX11" fmla="*/ 3632447 w 7564209"/>
                            <a:gd name="connsiteY11" fmla="*/ 44612 h 5635379"/>
                            <a:gd name="connsiteX12" fmla="*/ 3931178 w 7564209"/>
                            <a:gd name="connsiteY12" fmla="*/ 44612 h 5635379"/>
                            <a:gd name="connsiteX13" fmla="*/ 4262956 w 7564209"/>
                            <a:gd name="connsiteY13" fmla="*/ 44612 h 5635379"/>
                            <a:gd name="connsiteX14" fmla="*/ 4561687 w 7564209"/>
                            <a:gd name="connsiteY14" fmla="*/ 44612 h 5635379"/>
                            <a:gd name="connsiteX15" fmla="*/ 4893465 w 7564209"/>
                            <a:gd name="connsiteY15" fmla="*/ 44612 h 5635379"/>
                            <a:gd name="connsiteX16" fmla="*/ 5192050 w 7564209"/>
                            <a:gd name="connsiteY16" fmla="*/ 44612 h 5635379"/>
                            <a:gd name="connsiteX17" fmla="*/ 5523827 w 7564209"/>
                            <a:gd name="connsiteY17" fmla="*/ 44612 h 5635379"/>
                            <a:gd name="connsiteX18" fmla="*/ 5822413 w 7564209"/>
                            <a:gd name="connsiteY18" fmla="*/ 44612 h 5635379"/>
                            <a:gd name="connsiteX19" fmla="*/ 6154191 w 7564209"/>
                            <a:gd name="connsiteY19" fmla="*/ 44612 h 5635379"/>
                            <a:gd name="connsiteX20" fmla="*/ 6452776 w 7564209"/>
                            <a:gd name="connsiteY20" fmla="*/ 44612 h 5635379"/>
                            <a:gd name="connsiteX21" fmla="*/ 6784553 w 7564209"/>
                            <a:gd name="connsiteY21" fmla="*/ 44612 h 5635379"/>
                            <a:gd name="connsiteX22" fmla="*/ 7083138 w 7564209"/>
                            <a:gd name="connsiteY22" fmla="*/ 44612 h 5635379"/>
                            <a:gd name="connsiteX23" fmla="*/ 7414916 w 7564209"/>
                            <a:gd name="connsiteY23" fmla="*/ 44612 h 5635379"/>
                            <a:gd name="connsiteX24" fmla="*/ 7564209 w 7564209"/>
                            <a:gd name="connsiteY24" fmla="*/ 746 h 5635379"/>
                            <a:gd name="connsiteX25" fmla="*/ 7564209 w 7564209"/>
                            <a:gd name="connsiteY25" fmla="*/ 5635379 h 5635379"/>
                            <a:gd name="connsiteX26" fmla="*/ 0 w 7564209"/>
                            <a:gd name="connsiteY26" fmla="*/ 5635379 h 5635379"/>
                            <a:gd name="connsiteX27" fmla="*/ 0 w 7564209"/>
                            <a:gd name="connsiteY27" fmla="*/ 746 h 5635379"/>
                            <a:gd name="connsiteX28" fmla="*/ 149293 w 7564209"/>
                            <a:gd name="connsiteY28" fmla="*/ 44612 h 5635379"/>
                            <a:gd name="connsiteX29" fmla="*/ 480925 w 7564209"/>
                            <a:gd name="connsiteY29" fmla="*/ 44612 h 5635379"/>
                            <a:gd name="connsiteX30" fmla="*/ 630218 w 7564209"/>
                            <a:gd name="connsiteY30" fmla="*/ 0 h 56353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7564209" h="5635379">
                              <a:moveTo>
                                <a:pt x="630218" y="0"/>
                              </a:moveTo>
                              <a:cubicBezTo>
                                <a:pt x="682203" y="0"/>
                                <a:pt x="734189" y="14870"/>
                                <a:pt x="779510" y="44612"/>
                              </a:cubicBezTo>
                              <a:cubicBezTo>
                                <a:pt x="880462" y="109740"/>
                                <a:pt x="1010189" y="109740"/>
                                <a:pt x="1111141" y="44612"/>
                              </a:cubicBezTo>
                              <a:cubicBezTo>
                                <a:pt x="1201785" y="-14871"/>
                                <a:pt x="1319083" y="-14871"/>
                                <a:pt x="1409726" y="44612"/>
                              </a:cubicBezTo>
                              <a:cubicBezTo>
                                <a:pt x="1510678" y="109740"/>
                                <a:pt x="1640406" y="109740"/>
                                <a:pt x="1741358" y="44612"/>
                              </a:cubicBezTo>
                              <a:cubicBezTo>
                                <a:pt x="1832001" y="-14871"/>
                                <a:pt x="1949300" y="-14871"/>
                                <a:pt x="2039943" y="44612"/>
                              </a:cubicBezTo>
                              <a:cubicBezTo>
                                <a:pt x="2140953" y="109725"/>
                                <a:pt x="2270711" y="109725"/>
                                <a:pt x="2371721" y="44612"/>
                              </a:cubicBezTo>
                              <a:cubicBezTo>
                                <a:pt x="2462320" y="-14841"/>
                                <a:pt x="2579561" y="-14841"/>
                                <a:pt x="2670160" y="44612"/>
                              </a:cubicBezTo>
                              <a:cubicBezTo>
                                <a:pt x="2771170" y="109725"/>
                                <a:pt x="2900927" y="109725"/>
                                <a:pt x="3001938" y="44612"/>
                              </a:cubicBezTo>
                              <a:cubicBezTo>
                                <a:pt x="3045819" y="14695"/>
                                <a:pt x="3097991" y="-643"/>
                                <a:pt x="3151084" y="746"/>
                              </a:cubicBezTo>
                              <a:cubicBezTo>
                                <a:pt x="3204221" y="-658"/>
                                <a:pt x="3256452" y="14695"/>
                                <a:pt x="3300377" y="44612"/>
                              </a:cubicBezTo>
                              <a:cubicBezTo>
                                <a:pt x="3401518" y="109623"/>
                                <a:pt x="3531305" y="109623"/>
                                <a:pt x="3632447" y="44612"/>
                              </a:cubicBezTo>
                              <a:cubicBezTo>
                                <a:pt x="3723148" y="-14856"/>
                                <a:pt x="3840476" y="-14856"/>
                                <a:pt x="3931178" y="44612"/>
                              </a:cubicBezTo>
                              <a:cubicBezTo>
                                <a:pt x="4032188" y="109725"/>
                                <a:pt x="4161945" y="109725"/>
                                <a:pt x="4262956" y="44612"/>
                              </a:cubicBezTo>
                              <a:cubicBezTo>
                                <a:pt x="4353657" y="-14856"/>
                                <a:pt x="4470986" y="-14856"/>
                                <a:pt x="4561687" y="44612"/>
                              </a:cubicBezTo>
                              <a:cubicBezTo>
                                <a:pt x="4662697" y="109725"/>
                                <a:pt x="4792454" y="109725"/>
                                <a:pt x="4893465" y="44612"/>
                              </a:cubicBezTo>
                              <a:cubicBezTo>
                                <a:pt x="4984108" y="-14871"/>
                                <a:pt x="5101407" y="-14871"/>
                                <a:pt x="5192050" y="44612"/>
                              </a:cubicBezTo>
                              <a:cubicBezTo>
                                <a:pt x="5293060" y="109725"/>
                                <a:pt x="5422818" y="109725"/>
                                <a:pt x="5523827" y="44612"/>
                              </a:cubicBezTo>
                              <a:cubicBezTo>
                                <a:pt x="5614471" y="-14871"/>
                                <a:pt x="5731770" y="-14871"/>
                                <a:pt x="5822413" y="44612"/>
                              </a:cubicBezTo>
                              <a:cubicBezTo>
                                <a:pt x="5923423" y="109725"/>
                                <a:pt x="6053180" y="109725"/>
                                <a:pt x="6154191" y="44612"/>
                              </a:cubicBezTo>
                              <a:cubicBezTo>
                                <a:pt x="6244833" y="-14871"/>
                                <a:pt x="6362132" y="-14871"/>
                                <a:pt x="6452776" y="44612"/>
                              </a:cubicBezTo>
                              <a:cubicBezTo>
                                <a:pt x="6553786" y="109725"/>
                                <a:pt x="6683543" y="109725"/>
                                <a:pt x="6784553" y="44612"/>
                              </a:cubicBezTo>
                              <a:cubicBezTo>
                                <a:pt x="6875196" y="-14871"/>
                                <a:pt x="6992496" y="-14871"/>
                                <a:pt x="7083138" y="44612"/>
                              </a:cubicBezTo>
                              <a:cubicBezTo>
                                <a:pt x="7184149" y="109725"/>
                                <a:pt x="7313906" y="109725"/>
                                <a:pt x="7414916" y="44612"/>
                              </a:cubicBezTo>
                              <a:cubicBezTo>
                                <a:pt x="7458842" y="14681"/>
                                <a:pt x="7511071" y="-672"/>
                                <a:pt x="7564209" y="746"/>
                              </a:cubicBezTo>
                              <a:lnTo>
                                <a:pt x="7564209" y="5635379"/>
                              </a:lnTo>
                              <a:lnTo>
                                <a:pt x="0" y="5635379"/>
                              </a:lnTo>
                              <a:lnTo>
                                <a:pt x="0" y="746"/>
                              </a:lnTo>
                              <a:cubicBezTo>
                                <a:pt x="53123" y="-629"/>
                                <a:pt x="105354" y="14725"/>
                                <a:pt x="149293" y="44612"/>
                              </a:cubicBezTo>
                              <a:cubicBezTo>
                                <a:pt x="250245" y="109740"/>
                                <a:pt x="379973" y="109740"/>
                                <a:pt x="480925" y="44612"/>
                              </a:cubicBezTo>
                              <a:cubicBezTo>
                                <a:pt x="526247" y="14870"/>
                                <a:pt x="578232" y="0"/>
                                <a:pt x="630218" y="0"/>
                              </a:cubicBez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9DA009" w14:textId="1F26BF73" w:rsidR="00F8785B" w:rsidRPr="002D3159" w:rsidRDefault="00F8785B" w:rsidP="00F8785B">
                            <w:pPr>
                              <w:pStyle w:val="Divider"/>
                            </w:pPr>
                            <w:r w:rsidRPr="002D3159">
                              <w:t xml:space="preserve">Part </w:t>
                            </w:r>
                            <w:r>
                              <w:t>3</w:t>
                            </w:r>
                            <w:r w:rsidRPr="002D3159">
                              <w:t xml:space="preserve">: </w:t>
                            </w:r>
                            <w:r>
                              <w:br/>
                              <w:t>Prices to support delivery of outcomes</w:t>
                            </w:r>
                          </w:p>
                        </w:txbxContent>
                      </wps:txbx>
                      <wps:bodyPr wrap="square" lIns="720000" tIns="0" bIns="2700000" rtlCol="0" anchor="ctr">
                        <a:noAutofit/>
                      </wps:bodyPr>
                    </wps:wsp>
                  </a:graphicData>
                </a:graphic>
                <wp14:sizeRelH relativeFrom="margin">
                  <wp14:pctWidth>0</wp14:pctWidth>
                </wp14:sizeRelH>
                <wp14:sizeRelV relativeFrom="margin">
                  <wp14:pctHeight>0</wp14:pctHeight>
                </wp14:sizeRelV>
              </wp:anchor>
            </w:drawing>
          </mc:Choice>
          <mc:Fallback>
            <w:pict>
              <v:shape w14:anchorId="6D7AAE4F" id="_x0000_s1059" style="position:absolute;margin-left:-1.15pt;margin-top:399.4pt;width:595.55pt;height:443.6pt;z-index:2516582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4209,563537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" adj="-11796480,,5400" path="m630218,v51985,,103971,14870,149292,44612c880462,109740,1010189,109740,1111141,44612v90644,-59483,207942,-59483,298585,c1510678,109740,1640406,109740,1741358,44612v90643,-59483,207942,-59483,298585,c2140953,109725,2270711,109725,2371721,44612v90599,-59453,207840,-59453,298439,c2771170,109725,2900927,109725,3001938,44612,3045819,14695,3097991,-643,3151084,746v53137,-1404,105368,13949,149293,43866c3401518,109623,3531305,109623,3632447,44612v90701,-59468,208029,-59468,298731,c4032188,109725,4161945,109725,4262956,44612v90701,-59468,208030,-59468,298731,c4662697,109725,4792454,109725,4893465,44612v90643,-59483,207942,-59483,298585,c5293060,109725,5422818,109725,5523827,44612v90644,-59483,207943,-59483,298586,c5923423,109725,6053180,109725,6154191,44612v90642,-59483,207941,-59483,298585,c6553786,109725,6683543,109725,6784553,44612v90643,-59483,207943,-59483,298585,c7184149,109725,7313906,109725,7414916,44612,7458842,14681,7511071,-672,7564209,746r,5634633l,5635379,,746c53123,-629,105354,14725,149293,44612v100952,65128,230680,65128,331632,c526247,14870,578232,,630218,xe" fillcolor="#0075e3 [3204]" stroked="f" strokeweight="1pt">
                <v:stroke joinstyle="miter"/>
                <v:formulas/>
                <v:path arrowok="t" o:connecttype="custom" o:connectlocs="630158,0;779435,44599;1111035,44599;1409591,44599;1741191,44599;2039748,44599;2371494,44599;2669904,44599;3001651,44599;3150782,746;3300061,44599;3632099,44599;3930802,44599;4262548,44599;4561250,44599;4892997,44599;5191553,44599;5523298,44599;5821856,44599;6153602,44599;6452158,44599;6783904,44599;7082460,44599;7414206,44599;7563485,746;7563485,5633720;0,5633720;0,746;149279,44599;480879,44599;630158,0" o:connectangles="0,0,0,0,0,0,0,0,0,0,0,0,0,0,0,0,0,0,0,0,0,0,0,0,0,0,0,0,0,0,0" textboxrect="0,0,7564209,5635379"/>
                <v:textbox inset="20mm,0,,75mm">
                  <w:txbxContent>
                    <w:p w14:paraId="4F9DA009" w14:textId="1F26BF73" w:rsidR="00F8785B" w:rsidRPr="002D3159" w:rsidRDefault="00F8785B" w:rsidP="00F8785B">
                      <w:pPr>
                        <w:pStyle w:val="Divider"/>
                      </w:pPr>
                      <w:r w:rsidRPr="002D3159">
                        <w:t xml:space="preserve">Part </w:t>
                      </w:r>
                      <w:r>
                        <w:t>3</w:t>
                      </w:r>
                      <w:r w:rsidRPr="002D3159">
                        <w:t xml:space="preserve">: </w:t>
                      </w:r>
                      <w:r>
                        <w:br/>
                        <w:t>Prices to support delivery of outcomes</w:t>
                      </w:r>
                    </w:p>
                  </w:txbxContent>
                </v:textbox>
                <w10:wrap anchorx="page" anchory="page"/>
                <w10:anchorlock/>
              </v:shape>
            </w:pict>
          </mc:Fallback>
        </mc:AlternateContent>
      </w:r>
    </w:p>
    <w:p w14:paraId="0C4EC23B" w14:textId="53FE2302" w:rsidR="0037078C" w:rsidRDefault="00004BAC" w:rsidP="00D11C2D">
      <w:pPr>
        <w:pStyle w:val="Heading1"/>
      </w:pPr>
      <w:bookmarkStart w:id="81" w:name="_Toc103770942"/>
      <w:bookmarkStart w:id="82" w:name="_Toc114644621"/>
      <w:r>
        <w:lastRenderedPageBreak/>
        <w:t>Part 3: Pr</w:t>
      </w:r>
      <w:r w:rsidRPr="00906B38">
        <w:t xml:space="preserve">ices to support delivery </w:t>
      </w:r>
      <w:r w:rsidR="00E67F1E">
        <w:br/>
      </w:r>
      <w:r w:rsidRPr="00906B38">
        <w:t>of outcomes</w:t>
      </w:r>
      <w:bookmarkEnd w:id="81"/>
      <w:bookmarkEnd w:id="82"/>
    </w:p>
    <w:p w14:paraId="7833E897" w14:textId="0BE7A281" w:rsidR="00004BAC" w:rsidRDefault="00004BAC" w:rsidP="00004BAC">
      <w:r>
        <w:t>This part o</w:t>
      </w:r>
      <w:r w:rsidR="001C1CB1">
        <w:t>f</w:t>
      </w:r>
      <w:r>
        <w:t xml:space="preserve"> our submission explains the level and structure of prices we propose</w:t>
      </w:r>
      <w:r w:rsidR="001C1CB1">
        <w:t>,</w:t>
      </w:r>
      <w:r>
        <w:t xml:space="preserve"> </w:t>
      </w:r>
      <w:r w:rsidR="00E67F1E">
        <w:br/>
      </w:r>
      <w:r>
        <w:t xml:space="preserve">to recover the revenue requirement needed to deliver </w:t>
      </w:r>
      <w:r w:rsidR="00A50DB1">
        <w:t>the</w:t>
      </w:r>
      <w:r>
        <w:t xml:space="preserve"> outcom</w:t>
      </w:r>
      <w:r w:rsidR="00A50DB1">
        <w:t>es agreed with customers</w:t>
      </w:r>
      <w:r>
        <w:t xml:space="preserve">. </w:t>
      </w:r>
      <w:r w:rsidR="000C7C4D">
        <w:t>Part 3</w:t>
      </w:r>
      <w:r>
        <w:t xml:space="preserve"> sets out South East Water</w:t>
      </w:r>
      <w:r w:rsidR="00612583">
        <w:t>’</w:t>
      </w:r>
      <w:r>
        <w:t>s proposed:</w:t>
      </w:r>
    </w:p>
    <w:p w14:paraId="7A6EDF3D" w14:textId="77777777" w:rsidR="00004BAC" w:rsidRPr="00C21070" w:rsidRDefault="00004BAC">
      <w:pPr>
        <w:pStyle w:val="NormalIndent"/>
        <w:numPr>
          <w:ilvl w:val="0"/>
          <w:numId w:val="92"/>
        </w:numPr>
        <w:spacing w:after="120"/>
        <w:ind w:left="426"/>
        <w:rPr>
          <w:sz w:val="24"/>
          <w:szCs w:val="24"/>
        </w:rPr>
      </w:pPr>
      <w:r w:rsidRPr="00C21070">
        <w:rPr>
          <w:sz w:val="24"/>
          <w:szCs w:val="24"/>
        </w:rPr>
        <w:t>Total revenue requirement</w:t>
      </w:r>
    </w:p>
    <w:p w14:paraId="0A772711" w14:textId="77777777" w:rsidR="00004BAC" w:rsidRPr="00C21070" w:rsidRDefault="00004BAC">
      <w:pPr>
        <w:pStyle w:val="NormalIndent"/>
        <w:numPr>
          <w:ilvl w:val="0"/>
          <w:numId w:val="92"/>
        </w:numPr>
        <w:spacing w:after="120"/>
        <w:ind w:left="426"/>
        <w:rPr>
          <w:sz w:val="24"/>
          <w:szCs w:val="24"/>
        </w:rPr>
      </w:pPr>
      <w:r w:rsidRPr="00C21070">
        <w:rPr>
          <w:sz w:val="24"/>
          <w:szCs w:val="24"/>
        </w:rPr>
        <w:t>Demand forecasts</w:t>
      </w:r>
    </w:p>
    <w:p w14:paraId="18226D0D" w14:textId="77777777" w:rsidR="00004BAC" w:rsidRPr="00C21070" w:rsidRDefault="00004BAC">
      <w:pPr>
        <w:pStyle w:val="NormalIndent"/>
        <w:numPr>
          <w:ilvl w:val="0"/>
          <w:numId w:val="92"/>
        </w:numPr>
        <w:spacing w:after="120"/>
        <w:ind w:left="426"/>
        <w:rPr>
          <w:sz w:val="24"/>
          <w:szCs w:val="24"/>
        </w:rPr>
      </w:pPr>
      <w:r w:rsidRPr="00C21070">
        <w:rPr>
          <w:sz w:val="24"/>
          <w:szCs w:val="24"/>
        </w:rPr>
        <w:t>Structure of prices</w:t>
      </w:r>
    </w:p>
    <w:p w14:paraId="7BBE5633" w14:textId="2B490ECF" w:rsidR="00004BAC" w:rsidRPr="00C21070" w:rsidRDefault="00004BAC">
      <w:pPr>
        <w:pStyle w:val="NormalIndent"/>
        <w:numPr>
          <w:ilvl w:val="0"/>
          <w:numId w:val="92"/>
        </w:numPr>
        <w:spacing w:after="120"/>
        <w:ind w:left="426"/>
        <w:rPr>
          <w:sz w:val="24"/>
          <w:szCs w:val="24"/>
        </w:rPr>
      </w:pPr>
      <w:r w:rsidRPr="00C21070">
        <w:rPr>
          <w:sz w:val="24"/>
          <w:szCs w:val="24"/>
        </w:rPr>
        <w:t>Regulatory price settings</w:t>
      </w:r>
    </w:p>
    <w:p w14:paraId="5B4D423D" w14:textId="3DF303FD" w:rsidR="0037078C" w:rsidRDefault="0037078C">
      <w:r>
        <w:br w:type="page"/>
      </w:r>
    </w:p>
    <w:bookmarkStart w:id="83" w:name="_Toc114644622"/>
    <w:p w14:paraId="2EECD4FB" w14:textId="57C31099" w:rsidR="0037078C" w:rsidRDefault="004455C1" w:rsidP="00116E55">
      <w:pPr>
        <w:pStyle w:val="NbrHeading1"/>
        <w:ind w:left="284"/>
      </w:pPr>
      <w:r>
        <w:lastRenderedPageBreak/>
        <mc:AlternateContent>
          <mc:Choice Requires="wps">
            <w:drawing>
              <wp:anchor distT="45720" distB="45720" distL="114300" distR="114300" simplePos="0" relativeHeight="251658280" behindDoc="0" locked="0" layoutInCell="1" allowOverlap="1" wp14:anchorId="1D0B7A5E" wp14:editId="44F5008E">
                <wp:simplePos x="0" y="0"/>
                <wp:positionH relativeFrom="margin">
                  <wp:posOffset>-64770</wp:posOffset>
                </wp:positionH>
                <wp:positionV relativeFrom="paragraph">
                  <wp:posOffset>586180</wp:posOffset>
                </wp:positionV>
                <wp:extent cx="6087110" cy="1676400"/>
                <wp:effectExtent l="0" t="0" r="8890" b="0"/>
                <wp:wrapSquare wrapText="bothSides"/>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7110" cy="1676400"/>
                        </a:xfrm>
                        <a:prstGeom prst="rect">
                          <a:avLst/>
                        </a:prstGeom>
                        <a:solidFill>
                          <a:srgbClr val="00B1F4"/>
                        </a:solidFill>
                        <a:ln w="9525">
                          <a:noFill/>
                          <a:miter lim="800000"/>
                          <a:headEnd/>
                          <a:tailEnd/>
                        </a:ln>
                      </wps:spPr>
                      <wps:txbx>
                        <w:txbxContent>
                          <w:p w14:paraId="53656A26" w14:textId="77777777" w:rsidR="004455C1" w:rsidRPr="00116E55" w:rsidRDefault="004455C1" w:rsidP="00116E55">
                            <w:pPr>
                              <w:pStyle w:val="Heading3"/>
                              <w:spacing w:before="0" w:after="240"/>
                              <w:rPr>
                                <w:color w:val="FFFFFF" w:themeColor="background1"/>
                                <w:sz w:val="24"/>
                              </w:rPr>
                            </w:pPr>
                            <w:r w:rsidRPr="00116E55">
                              <w:rPr>
                                <w:color w:val="FFFFFF" w:themeColor="background1"/>
                                <w:sz w:val="24"/>
                              </w:rPr>
                              <w:t>Key points</w:t>
                            </w:r>
                          </w:p>
                          <w:p w14:paraId="138D7695" w14:textId="488AB596" w:rsidR="004455C1" w:rsidRPr="00BA395F" w:rsidRDefault="004455C1">
                            <w:pPr>
                              <w:pStyle w:val="Heading3"/>
                              <w:numPr>
                                <w:ilvl w:val="0"/>
                                <w:numId w:val="33"/>
                              </w:numPr>
                              <w:spacing w:before="0" w:after="120"/>
                              <w:ind w:left="431" w:hanging="352"/>
                              <w:rPr>
                                <w:rFonts w:eastAsiaTheme="minorHAnsi" w:cstheme="minorBidi"/>
                                <w:color w:val="FFFFFF" w:themeColor="background1"/>
                                <w:sz w:val="22"/>
                                <w:szCs w:val="22"/>
                              </w:rPr>
                            </w:pPr>
                            <w:r w:rsidRPr="00BA395F">
                              <w:rPr>
                                <w:rFonts w:eastAsiaTheme="minorHAnsi" w:cstheme="minorBidi"/>
                                <w:color w:val="FFFFFF" w:themeColor="background1"/>
                                <w:sz w:val="22"/>
                                <w:szCs w:val="22"/>
                              </w:rPr>
                              <w:t xml:space="preserve">The regulatory asset base is forecast to increase by an average of 5% per annum. </w:t>
                            </w:r>
                          </w:p>
                          <w:p w14:paraId="350AF69D" w14:textId="490E9583" w:rsidR="004455C1" w:rsidRPr="00BA395F" w:rsidRDefault="004455C1">
                            <w:pPr>
                              <w:pStyle w:val="Heading3"/>
                              <w:numPr>
                                <w:ilvl w:val="0"/>
                                <w:numId w:val="33"/>
                              </w:numPr>
                              <w:spacing w:before="0" w:after="120"/>
                              <w:ind w:left="431" w:hanging="352"/>
                              <w:rPr>
                                <w:rFonts w:eastAsiaTheme="minorHAnsi" w:cstheme="minorBidi"/>
                                <w:color w:val="FFFFFF" w:themeColor="background1"/>
                                <w:sz w:val="22"/>
                                <w:szCs w:val="22"/>
                              </w:rPr>
                            </w:pPr>
                            <w:r w:rsidRPr="00BA395F">
                              <w:rPr>
                                <w:rFonts w:eastAsiaTheme="minorHAnsi" w:cstheme="minorBidi"/>
                                <w:color w:val="FFFFFF" w:themeColor="background1"/>
                                <w:sz w:val="22"/>
                                <w:szCs w:val="22"/>
                              </w:rPr>
                              <w:t xml:space="preserve">We have used straight-line depreciation to calculate our return of capital. </w:t>
                            </w:r>
                          </w:p>
                          <w:p w14:paraId="00A3BFA1" w14:textId="7CD29EC0" w:rsidR="004455C1" w:rsidRPr="00BA395F" w:rsidRDefault="004455C1">
                            <w:pPr>
                              <w:pStyle w:val="Heading3"/>
                              <w:numPr>
                                <w:ilvl w:val="0"/>
                                <w:numId w:val="33"/>
                              </w:numPr>
                              <w:spacing w:before="0" w:after="120"/>
                              <w:ind w:left="431" w:hanging="352"/>
                              <w:rPr>
                                <w:rFonts w:eastAsiaTheme="minorHAnsi" w:cstheme="minorBidi"/>
                                <w:color w:val="FFFFFF" w:themeColor="background1"/>
                                <w:sz w:val="22"/>
                                <w:szCs w:val="22"/>
                              </w:rPr>
                            </w:pPr>
                            <w:r w:rsidRPr="00BA395F">
                              <w:rPr>
                                <w:rFonts w:eastAsiaTheme="minorHAnsi" w:cstheme="minorBidi"/>
                                <w:color w:val="FFFFFF" w:themeColor="background1"/>
                                <w:sz w:val="22"/>
                                <w:szCs w:val="22"/>
                              </w:rPr>
                              <w:t>A 10-year trailing average approach is used to estimate the cost of debt.</w:t>
                            </w:r>
                          </w:p>
                          <w:p w14:paraId="5E75411E" w14:textId="3B015799" w:rsidR="004455C1" w:rsidRPr="00116E55" w:rsidRDefault="004455C1">
                            <w:pPr>
                              <w:pStyle w:val="Heading3"/>
                              <w:numPr>
                                <w:ilvl w:val="0"/>
                                <w:numId w:val="33"/>
                              </w:numPr>
                              <w:spacing w:before="0" w:afterLines="120" w:after="288"/>
                              <w:ind w:left="431" w:hanging="352"/>
                              <w:rPr>
                                <w:color w:val="FFFFFF" w:themeColor="background1"/>
                              </w:rPr>
                            </w:pPr>
                            <w:r w:rsidRPr="00BA395F">
                              <w:rPr>
                                <w:rFonts w:eastAsiaTheme="minorHAnsi" w:cstheme="minorBidi"/>
                                <w:color w:val="FFFFFF" w:themeColor="background1"/>
                                <w:sz w:val="22"/>
                                <w:szCs w:val="22"/>
                              </w:rPr>
                              <w:t xml:space="preserve">We are adopting a return on equity </w:t>
                            </w:r>
                            <w:r w:rsidR="00552C75">
                              <w:rPr>
                                <w:rFonts w:eastAsiaTheme="minorHAnsi" w:cstheme="minorBidi"/>
                                <w:color w:val="FFFFFF" w:themeColor="background1"/>
                                <w:sz w:val="22"/>
                                <w:szCs w:val="22"/>
                              </w:rPr>
                              <w:t>allowance</w:t>
                            </w:r>
                            <w:r w:rsidRPr="00BA395F">
                              <w:rPr>
                                <w:rFonts w:eastAsiaTheme="minorHAnsi" w:cstheme="minorBidi"/>
                                <w:color w:val="FFFFFF" w:themeColor="background1"/>
                                <w:sz w:val="22"/>
                                <w:szCs w:val="22"/>
                              </w:rPr>
                              <w:t xml:space="preserve"> under a ‘</w:t>
                            </w:r>
                            <w:r w:rsidRPr="00A8592B">
                              <w:rPr>
                                <w:rFonts w:eastAsiaTheme="minorHAnsi" w:cstheme="minorBidi"/>
                                <w:i/>
                                <w:color w:val="FFFFFF" w:themeColor="background1"/>
                                <w:sz w:val="22"/>
                                <w:szCs w:val="22"/>
                              </w:rPr>
                              <w:t>Standard</w:t>
                            </w:r>
                            <w:r w:rsidRPr="00BA395F">
                              <w:rPr>
                                <w:rFonts w:eastAsiaTheme="minorHAnsi" w:cstheme="minorBidi"/>
                                <w:color w:val="FFFFFF" w:themeColor="background1"/>
                                <w:sz w:val="22"/>
                                <w:szCs w:val="22"/>
                              </w:rPr>
                              <w:t>’ PREMO rating.</w:t>
                            </w:r>
                          </w:p>
                        </w:txbxContent>
                      </wps:txbx>
                      <wps:bodyPr rot="0" vert="horz" wrap="square" lIns="180000" tIns="180000" rIns="180000" bIns="180000" anchor="t" anchorCtr="0">
                        <a:noAutofit/>
                      </wps:bodyPr>
                    </wps:wsp>
                  </a:graphicData>
                </a:graphic>
                <wp14:sizeRelH relativeFrom="margin">
                  <wp14:pctWidth>0</wp14:pctWidth>
                </wp14:sizeRelH>
                <wp14:sizeRelV relativeFrom="margin">
                  <wp14:pctHeight>0</wp14:pctHeight>
                </wp14:sizeRelV>
              </wp:anchor>
            </w:drawing>
          </mc:Choice>
          <mc:Fallback>
            <w:pict>
              <v:shape w14:anchorId="1D0B7A5E" id="Text Box 72" o:spid="_x0000_s1060" type="#_x0000_t202" style="position:absolute;left:0;text-align:left;margin-left:-5.1pt;margin-top:46.15pt;width:479.3pt;height:132pt;z-index:251658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" fillcolor="#00b1f4" stroked="f">
                <v:textbox inset="5mm,5mm,5mm,5mm">
                  <w:txbxContent>
                    <w:p w14:paraId="53656A26" w14:textId="77777777" w:rsidR="004455C1" w:rsidRPr="00116E55" w:rsidRDefault="004455C1" w:rsidP="00116E55">
                      <w:pPr>
                        <w:pStyle w:val="Heading3"/>
                        <w:spacing w:before="0" w:after="240"/>
                        <w:rPr>
                          <w:color w:val="FFFFFF" w:themeColor="background1"/>
                          <w:sz w:val="24"/>
                        </w:rPr>
                      </w:pPr>
                      <w:r w:rsidRPr="00116E55">
                        <w:rPr>
                          <w:color w:val="FFFFFF" w:themeColor="background1"/>
                          <w:sz w:val="24"/>
                        </w:rPr>
                        <w:t>Key points</w:t>
                      </w:r>
                    </w:p>
                    <w:p w14:paraId="138D7695" w14:textId="488AB596" w:rsidR="004455C1" w:rsidRPr="00BA395F" w:rsidRDefault="004455C1">
                      <w:pPr>
                        <w:pStyle w:val="Heading3"/>
                        <w:numPr>
                          <w:ilvl w:val="0"/>
                          <w:numId w:val="33"/>
                        </w:numPr>
                        <w:spacing w:before="0" w:after="120"/>
                        <w:ind w:left="431" w:hanging="352"/>
                        <w:rPr>
                          <w:rFonts w:eastAsiaTheme="minorHAnsi" w:cstheme="minorBidi"/>
                          <w:color w:val="FFFFFF" w:themeColor="background1"/>
                          <w:sz w:val="22"/>
                          <w:szCs w:val="22"/>
                        </w:rPr>
                      </w:pPr>
                      <w:r w:rsidRPr="00BA395F">
                        <w:rPr>
                          <w:rFonts w:eastAsiaTheme="minorHAnsi" w:cstheme="minorBidi"/>
                          <w:color w:val="FFFFFF" w:themeColor="background1"/>
                          <w:sz w:val="22"/>
                          <w:szCs w:val="22"/>
                        </w:rPr>
                        <w:t xml:space="preserve">The regulatory asset base is forecast to increase by an average of 5% per annum. </w:t>
                      </w:r>
                    </w:p>
                    <w:p w14:paraId="350AF69D" w14:textId="490E9583" w:rsidR="004455C1" w:rsidRPr="00BA395F" w:rsidRDefault="004455C1">
                      <w:pPr>
                        <w:pStyle w:val="Heading3"/>
                        <w:numPr>
                          <w:ilvl w:val="0"/>
                          <w:numId w:val="33"/>
                        </w:numPr>
                        <w:spacing w:before="0" w:after="120"/>
                        <w:ind w:left="431" w:hanging="352"/>
                        <w:rPr>
                          <w:rFonts w:eastAsiaTheme="minorHAnsi" w:cstheme="minorBidi"/>
                          <w:color w:val="FFFFFF" w:themeColor="background1"/>
                          <w:sz w:val="22"/>
                          <w:szCs w:val="22"/>
                        </w:rPr>
                      </w:pPr>
                      <w:r w:rsidRPr="00BA395F">
                        <w:rPr>
                          <w:rFonts w:eastAsiaTheme="minorHAnsi" w:cstheme="minorBidi"/>
                          <w:color w:val="FFFFFF" w:themeColor="background1"/>
                          <w:sz w:val="22"/>
                          <w:szCs w:val="22"/>
                        </w:rPr>
                        <w:t xml:space="preserve">We have used straight-line depreciation to calculate our return of capital. </w:t>
                      </w:r>
                    </w:p>
                    <w:p w14:paraId="00A3BFA1" w14:textId="7CD29EC0" w:rsidR="004455C1" w:rsidRPr="00BA395F" w:rsidRDefault="004455C1">
                      <w:pPr>
                        <w:pStyle w:val="Heading3"/>
                        <w:numPr>
                          <w:ilvl w:val="0"/>
                          <w:numId w:val="33"/>
                        </w:numPr>
                        <w:spacing w:before="0" w:after="120"/>
                        <w:ind w:left="431" w:hanging="352"/>
                        <w:rPr>
                          <w:rFonts w:eastAsiaTheme="minorHAnsi" w:cstheme="minorBidi"/>
                          <w:color w:val="FFFFFF" w:themeColor="background1"/>
                          <w:sz w:val="22"/>
                          <w:szCs w:val="22"/>
                        </w:rPr>
                      </w:pPr>
                      <w:r w:rsidRPr="00BA395F">
                        <w:rPr>
                          <w:rFonts w:eastAsiaTheme="minorHAnsi" w:cstheme="minorBidi"/>
                          <w:color w:val="FFFFFF" w:themeColor="background1"/>
                          <w:sz w:val="22"/>
                          <w:szCs w:val="22"/>
                        </w:rPr>
                        <w:t>A 10-year trailing average approach is used to estimate the cost of debt.</w:t>
                      </w:r>
                    </w:p>
                    <w:p w14:paraId="5E75411E" w14:textId="3B015799" w:rsidR="004455C1" w:rsidRPr="00116E55" w:rsidRDefault="004455C1">
                      <w:pPr>
                        <w:pStyle w:val="Heading3"/>
                        <w:numPr>
                          <w:ilvl w:val="0"/>
                          <w:numId w:val="33"/>
                        </w:numPr>
                        <w:spacing w:before="0" w:afterLines="120" w:after="288"/>
                        <w:ind w:left="431" w:hanging="352"/>
                        <w:rPr>
                          <w:color w:val="FFFFFF" w:themeColor="background1"/>
                        </w:rPr>
                      </w:pPr>
                      <w:r w:rsidRPr="00BA395F">
                        <w:rPr>
                          <w:rFonts w:eastAsiaTheme="minorHAnsi" w:cstheme="minorBidi"/>
                          <w:color w:val="FFFFFF" w:themeColor="background1"/>
                          <w:sz w:val="22"/>
                          <w:szCs w:val="22"/>
                        </w:rPr>
                        <w:t xml:space="preserve">We are adopting a return on equity </w:t>
                      </w:r>
                      <w:r w:rsidR="00552C75">
                        <w:rPr>
                          <w:rFonts w:eastAsiaTheme="minorHAnsi" w:cstheme="minorBidi"/>
                          <w:color w:val="FFFFFF" w:themeColor="background1"/>
                          <w:sz w:val="22"/>
                          <w:szCs w:val="22"/>
                        </w:rPr>
                        <w:t>allowance</w:t>
                      </w:r>
                      <w:r w:rsidRPr="00BA395F">
                        <w:rPr>
                          <w:rFonts w:eastAsiaTheme="minorHAnsi" w:cstheme="minorBidi"/>
                          <w:color w:val="FFFFFF" w:themeColor="background1"/>
                          <w:sz w:val="22"/>
                          <w:szCs w:val="22"/>
                        </w:rPr>
                        <w:t xml:space="preserve"> under a ‘</w:t>
                      </w:r>
                      <w:r w:rsidRPr="00A8592B">
                        <w:rPr>
                          <w:rFonts w:eastAsiaTheme="minorHAnsi" w:cstheme="minorBidi"/>
                          <w:i/>
                          <w:color w:val="FFFFFF" w:themeColor="background1"/>
                          <w:sz w:val="22"/>
                          <w:szCs w:val="22"/>
                        </w:rPr>
                        <w:t>Standard</w:t>
                      </w:r>
                      <w:r w:rsidRPr="00BA395F">
                        <w:rPr>
                          <w:rFonts w:eastAsiaTheme="minorHAnsi" w:cstheme="minorBidi"/>
                          <w:color w:val="FFFFFF" w:themeColor="background1"/>
                          <w:sz w:val="22"/>
                          <w:szCs w:val="22"/>
                        </w:rPr>
                        <w:t>’ PREMO rating.</w:t>
                      </w:r>
                    </w:p>
                  </w:txbxContent>
                </v:textbox>
                <w10:wrap type="square" anchorx="margin"/>
              </v:shape>
            </w:pict>
          </mc:Fallback>
        </mc:AlternateContent>
      </w:r>
      <w:r w:rsidR="00304291">
        <w:t xml:space="preserve">8. </w:t>
      </w:r>
      <w:bookmarkStart w:id="84" w:name="_Toc103770943"/>
      <w:r w:rsidR="00004BAC">
        <w:t>Overall revenue requirement</w:t>
      </w:r>
      <w:bookmarkEnd w:id="83"/>
      <w:bookmarkEnd w:id="84"/>
    </w:p>
    <w:p w14:paraId="6087786A" w14:textId="3E121BD8" w:rsidR="0037078C" w:rsidRDefault="0037078C" w:rsidP="00A27898"/>
    <w:p w14:paraId="2EB71574" w14:textId="77777777" w:rsidR="009A40E5" w:rsidRDefault="009A40E5" w:rsidP="00F11FE1">
      <w:pPr>
        <w:pStyle w:val="Heading2"/>
      </w:pPr>
      <w:r>
        <w:t>8.1 Revenue requirement</w:t>
      </w:r>
    </w:p>
    <w:p w14:paraId="44FDCA61" w14:textId="2975A546" w:rsidR="00AE35E9" w:rsidRDefault="00AE35E9" w:rsidP="00AE35E9">
      <w:r>
        <w:t>South East Water</w:t>
      </w:r>
      <w:r w:rsidR="00612583">
        <w:t>’</w:t>
      </w:r>
      <w:r>
        <w:t>s revenue requirement reflects the costs we need to recover through prices. It includes:</w:t>
      </w:r>
    </w:p>
    <w:p w14:paraId="5749B33E" w14:textId="587C92FA" w:rsidR="00AE35E9" w:rsidRPr="007B12CE" w:rsidRDefault="00AE35E9">
      <w:pPr>
        <w:pStyle w:val="Bulletlistmultilevel"/>
        <w:numPr>
          <w:ilvl w:val="0"/>
          <w:numId w:val="93"/>
        </w:numPr>
        <w:ind w:left="284"/>
        <w:rPr>
          <w:sz w:val="24"/>
          <w:szCs w:val="24"/>
        </w:rPr>
      </w:pPr>
      <w:r w:rsidRPr="007B12CE">
        <w:rPr>
          <w:sz w:val="24"/>
          <w:szCs w:val="24"/>
        </w:rPr>
        <w:t>return on our assets, which is the expected value of our regulatory asset base (RAB) estimated for each year of the regulatory period, multiplied by the weighted average cost of capital</w:t>
      </w:r>
    </w:p>
    <w:p w14:paraId="416E40B8" w14:textId="3E1F653A" w:rsidR="00AE35E9" w:rsidRPr="007B12CE" w:rsidRDefault="00AE35E9">
      <w:pPr>
        <w:pStyle w:val="Bulletlistmultilevel"/>
        <w:numPr>
          <w:ilvl w:val="0"/>
          <w:numId w:val="93"/>
        </w:numPr>
        <w:ind w:left="284"/>
        <w:rPr>
          <w:sz w:val="24"/>
          <w:szCs w:val="24"/>
        </w:rPr>
      </w:pPr>
      <w:r w:rsidRPr="007B12CE">
        <w:rPr>
          <w:sz w:val="24"/>
          <w:szCs w:val="24"/>
        </w:rPr>
        <w:t>expected regulatory depreciation of new and existing assets</w:t>
      </w:r>
    </w:p>
    <w:p w14:paraId="3DB59B99" w14:textId="77777777" w:rsidR="00AE35E9" w:rsidRPr="007B12CE" w:rsidRDefault="00AE35E9">
      <w:pPr>
        <w:pStyle w:val="Bulletlistmultilevel"/>
        <w:numPr>
          <w:ilvl w:val="0"/>
          <w:numId w:val="93"/>
        </w:numPr>
        <w:ind w:left="284"/>
        <w:rPr>
          <w:sz w:val="24"/>
          <w:szCs w:val="24"/>
        </w:rPr>
      </w:pPr>
      <w:r w:rsidRPr="007B12CE">
        <w:rPr>
          <w:sz w:val="24"/>
          <w:szCs w:val="24"/>
        </w:rPr>
        <w:t>expected total operating expenditure, including:</w:t>
      </w:r>
    </w:p>
    <w:p w14:paraId="7B1F24BB" w14:textId="557B24D5" w:rsidR="00AE35E9" w:rsidRPr="007B12CE" w:rsidRDefault="00AE35E9">
      <w:pPr>
        <w:pStyle w:val="Bulletlistmultilevel"/>
        <w:numPr>
          <w:ilvl w:val="1"/>
          <w:numId w:val="94"/>
        </w:numPr>
        <w:ind w:left="709"/>
        <w:rPr>
          <w:sz w:val="24"/>
          <w:szCs w:val="24"/>
        </w:rPr>
      </w:pPr>
      <w:r w:rsidRPr="007B12CE">
        <w:rPr>
          <w:sz w:val="24"/>
          <w:szCs w:val="24"/>
        </w:rPr>
        <w:t>water and sewage bulk charges from Melbourne Water</w:t>
      </w:r>
    </w:p>
    <w:p w14:paraId="74D10634" w14:textId="680B0605" w:rsidR="00AE35E9" w:rsidRPr="007B12CE" w:rsidRDefault="00AE35E9">
      <w:pPr>
        <w:pStyle w:val="Bulletlistmultilevel"/>
        <w:numPr>
          <w:ilvl w:val="1"/>
          <w:numId w:val="94"/>
        </w:numPr>
        <w:ind w:left="709"/>
        <w:rPr>
          <w:sz w:val="24"/>
          <w:szCs w:val="24"/>
        </w:rPr>
      </w:pPr>
      <w:r w:rsidRPr="007B12CE">
        <w:rPr>
          <w:sz w:val="24"/>
          <w:szCs w:val="24"/>
        </w:rPr>
        <w:t>South East Water</w:t>
      </w:r>
      <w:r w:rsidR="00612583">
        <w:rPr>
          <w:sz w:val="24"/>
          <w:szCs w:val="24"/>
        </w:rPr>
        <w:t>’</w:t>
      </w:r>
      <w:r w:rsidRPr="007B12CE">
        <w:rPr>
          <w:sz w:val="24"/>
          <w:szCs w:val="24"/>
        </w:rPr>
        <w:t>s controllable operating expenditure</w:t>
      </w:r>
    </w:p>
    <w:p w14:paraId="11E7E4DE" w14:textId="46FE30ED" w:rsidR="00AE35E9" w:rsidRPr="007B12CE" w:rsidRDefault="00AE35E9">
      <w:pPr>
        <w:pStyle w:val="Bulletlistmultilevel"/>
        <w:numPr>
          <w:ilvl w:val="1"/>
          <w:numId w:val="94"/>
        </w:numPr>
        <w:ind w:left="709"/>
        <w:rPr>
          <w:sz w:val="24"/>
          <w:szCs w:val="24"/>
        </w:rPr>
      </w:pPr>
      <w:r w:rsidRPr="007B12CE">
        <w:rPr>
          <w:sz w:val="24"/>
          <w:szCs w:val="24"/>
        </w:rPr>
        <w:t>environmental contribution and other licence fees</w:t>
      </w:r>
    </w:p>
    <w:p w14:paraId="2A850A1C" w14:textId="0B323C18" w:rsidR="00AE35E9" w:rsidRPr="007B12CE" w:rsidRDefault="003C067A">
      <w:pPr>
        <w:pStyle w:val="Bulletlistmultilevel"/>
        <w:numPr>
          <w:ilvl w:val="0"/>
          <w:numId w:val="15"/>
        </w:numPr>
        <w:ind w:left="284"/>
        <w:rPr>
          <w:sz w:val="24"/>
          <w:szCs w:val="24"/>
        </w:rPr>
      </w:pPr>
      <w:r w:rsidRPr="003C067A">
        <w:rPr>
          <w:sz w:val="24"/>
          <w:szCs w:val="24"/>
        </w:rPr>
        <w:t>estimated tax based on a 30</w:t>
      </w:r>
      <w:r w:rsidR="00B95312">
        <w:rPr>
          <w:sz w:val="24"/>
          <w:szCs w:val="24"/>
        </w:rPr>
        <w:t xml:space="preserve">% </w:t>
      </w:r>
      <w:r w:rsidRPr="003C067A">
        <w:rPr>
          <w:sz w:val="24"/>
          <w:szCs w:val="24"/>
        </w:rPr>
        <w:t>tax rate consistent with the ESC template, (corporate annual tax payment forecasts can be provided on request).</w:t>
      </w:r>
    </w:p>
    <w:p w14:paraId="4CE1AC36" w14:textId="77777777" w:rsidR="00AE35E9" w:rsidRDefault="00AE35E9" w:rsidP="00AE35E9">
      <w:r>
        <w:t>The following sections outline the assumptions we used to calculate our revenue requirement for the next regulatory period.</w:t>
      </w:r>
    </w:p>
    <w:p w14:paraId="333F3030" w14:textId="51EA0F18" w:rsidR="00426964" w:rsidRDefault="00AE35E9" w:rsidP="00AE35E9">
      <w:r>
        <w:t xml:space="preserve">The proposed annual revenue requirement is shown in </w:t>
      </w:r>
      <w:r w:rsidR="00AB774C">
        <w:t>T</w:t>
      </w:r>
      <w:r>
        <w:t>able</w:t>
      </w:r>
      <w:r w:rsidR="00304A0D">
        <w:t xml:space="preserve"> 3</w:t>
      </w:r>
      <w:r w:rsidR="00235279">
        <w:t>7</w:t>
      </w:r>
      <w:r>
        <w:t xml:space="preserve">. </w:t>
      </w:r>
      <w:r w:rsidR="00311F8D">
        <w:t xml:space="preserve">During the next </w:t>
      </w:r>
      <w:r w:rsidR="00A62984">
        <w:br/>
      </w:r>
      <w:r w:rsidR="00E45DAE">
        <w:t>10-year</w:t>
      </w:r>
      <w:r w:rsidR="00311F8D">
        <w:t xml:space="preserve"> period we forecast a </w:t>
      </w:r>
      <w:r w:rsidR="00F44C83">
        <w:t>slight increase to the reve</w:t>
      </w:r>
      <w:r w:rsidR="00C607A5">
        <w:t>n</w:t>
      </w:r>
      <w:r w:rsidR="00F44C83">
        <w:t>u</w:t>
      </w:r>
      <w:r w:rsidR="00C607A5">
        <w:t>e</w:t>
      </w:r>
      <w:r w:rsidR="00F44C83">
        <w:t xml:space="preserve"> requirement</w:t>
      </w:r>
      <w:r w:rsidR="00D41FD6">
        <w:t>.</w:t>
      </w:r>
      <w:r w:rsidR="00C607A5">
        <w:t xml:space="preserve"> </w:t>
      </w:r>
    </w:p>
    <w:p w14:paraId="6E1EBEDB" w14:textId="77777777" w:rsidR="00ED1414" w:rsidRDefault="00ED1414" w:rsidP="00304A0D">
      <w:pPr>
        <w:pStyle w:val="NormalIndent"/>
        <w:ind w:left="0"/>
        <w:rPr>
          <w:b/>
          <w:i/>
        </w:rPr>
      </w:pPr>
    </w:p>
    <w:p w14:paraId="2DC8F901" w14:textId="77777777" w:rsidR="00ED1414" w:rsidRDefault="00ED1414" w:rsidP="00304A0D">
      <w:pPr>
        <w:pStyle w:val="NormalIndent"/>
        <w:ind w:left="0"/>
        <w:rPr>
          <w:b/>
          <w:i/>
        </w:rPr>
      </w:pPr>
    </w:p>
    <w:p w14:paraId="766B3DB0" w14:textId="77777777" w:rsidR="00ED1414" w:rsidRDefault="00ED1414" w:rsidP="00304A0D">
      <w:pPr>
        <w:pStyle w:val="NormalIndent"/>
        <w:ind w:left="0"/>
        <w:rPr>
          <w:b/>
          <w:i/>
        </w:rPr>
      </w:pPr>
    </w:p>
    <w:p w14:paraId="7A68D569" w14:textId="77777777" w:rsidR="00ED1414" w:rsidRDefault="00ED1414" w:rsidP="00304A0D">
      <w:pPr>
        <w:pStyle w:val="NormalIndent"/>
        <w:ind w:left="0"/>
        <w:rPr>
          <w:b/>
          <w:i/>
        </w:rPr>
      </w:pPr>
    </w:p>
    <w:p w14:paraId="236D6364" w14:textId="77777777" w:rsidR="00ED1414" w:rsidRDefault="00ED1414" w:rsidP="00304A0D">
      <w:pPr>
        <w:pStyle w:val="NormalIndent"/>
        <w:ind w:left="0"/>
        <w:rPr>
          <w:b/>
          <w:i/>
        </w:rPr>
      </w:pPr>
    </w:p>
    <w:p w14:paraId="030AFD89" w14:textId="77777777" w:rsidR="00ED1414" w:rsidRDefault="00ED1414" w:rsidP="00304A0D">
      <w:pPr>
        <w:pStyle w:val="NormalIndent"/>
        <w:ind w:left="0"/>
        <w:rPr>
          <w:b/>
          <w:i/>
        </w:rPr>
      </w:pPr>
    </w:p>
    <w:p w14:paraId="26015155" w14:textId="77777777" w:rsidR="00ED1414" w:rsidRDefault="00ED1414" w:rsidP="00304A0D">
      <w:pPr>
        <w:pStyle w:val="NormalIndent"/>
        <w:ind w:left="0"/>
        <w:rPr>
          <w:b/>
          <w:i/>
        </w:rPr>
      </w:pPr>
    </w:p>
    <w:p w14:paraId="7D8AC727" w14:textId="77777777" w:rsidR="00ED1414" w:rsidRDefault="00ED1414" w:rsidP="00304A0D">
      <w:pPr>
        <w:pStyle w:val="NormalIndent"/>
        <w:ind w:left="0"/>
        <w:rPr>
          <w:b/>
          <w:i/>
        </w:rPr>
      </w:pPr>
    </w:p>
    <w:p w14:paraId="3AEADC05" w14:textId="77777777" w:rsidR="00ED1414" w:rsidRDefault="00ED1414" w:rsidP="00304A0D">
      <w:pPr>
        <w:pStyle w:val="NormalIndent"/>
        <w:ind w:left="0"/>
        <w:rPr>
          <w:b/>
          <w:i/>
        </w:rPr>
      </w:pPr>
    </w:p>
    <w:p w14:paraId="6360EC5A" w14:textId="77777777" w:rsidR="00ED1414" w:rsidRDefault="00ED1414" w:rsidP="00304A0D">
      <w:pPr>
        <w:pStyle w:val="NormalIndent"/>
        <w:ind w:left="0"/>
        <w:rPr>
          <w:b/>
          <w:i/>
        </w:rPr>
        <w:sectPr w:rsidR="00ED1414" w:rsidSect="00ED1414">
          <w:headerReference w:type="even" r:id="rId35"/>
          <w:headerReference w:type="default" r:id="rId36"/>
          <w:headerReference w:type="first" r:id="rId37"/>
          <w:pgSz w:w="11906" w:h="16838" w:code="9"/>
          <w:pgMar w:top="1440" w:right="1252" w:bottom="1440" w:left="1156" w:header="567" w:footer="283" w:gutter="0"/>
          <w:cols w:space="708"/>
          <w:docGrid w:linePitch="360"/>
        </w:sectPr>
      </w:pPr>
    </w:p>
    <w:p w14:paraId="1EFCB9BC" w14:textId="2EE520ED" w:rsidR="00426964" w:rsidRPr="00304A0D" w:rsidRDefault="00304A0D" w:rsidP="00304A0D">
      <w:pPr>
        <w:pStyle w:val="NormalIndent"/>
        <w:ind w:left="0"/>
        <w:rPr>
          <w:rFonts w:cs="Arial"/>
          <w:i/>
        </w:rPr>
      </w:pPr>
      <w:r w:rsidRPr="00CE6C4E">
        <w:rPr>
          <w:b/>
          <w:i/>
        </w:rPr>
        <w:lastRenderedPageBreak/>
        <w:t xml:space="preserve">Table </w:t>
      </w:r>
      <w:r w:rsidR="002128BB" w:rsidRPr="00CE6C4E">
        <w:rPr>
          <w:b/>
          <w:bCs/>
          <w:i/>
          <w:iCs/>
        </w:rPr>
        <w:fldChar w:fldCharType="begin"/>
      </w:r>
      <w:r w:rsidR="002128BB" w:rsidRPr="00CE6C4E">
        <w:rPr>
          <w:b/>
          <w:bCs/>
          <w:i/>
          <w:iCs/>
        </w:rPr>
        <w:instrText>SEQ Table \* ARABIC</w:instrText>
      </w:r>
      <w:r w:rsidR="002128BB" w:rsidRPr="00CE6C4E">
        <w:rPr>
          <w:b/>
          <w:bCs/>
          <w:i/>
          <w:iCs/>
        </w:rPr>
        <w:fldChar w:fldCharType="separate"/>
      </w:r>
      <w:r w:rsidR="002128BB">
        <w:rPr>
          <w:b/>
          <w:bCs/>
          <w:i/>
          <w:iCs/>
          <w:noProof/>
        </w:rPr>
        <w:t>37</w:t>
      </w:r>
      <w:r w:rsidR="002128BB" w:rsidRPr="00CE6C4E">
        <w:rPr>
          <w:b/>
          <w:bCs/>
          <w:i/>
          <w:iCs/>
        </w:rPr>
        <w:fldChar w:fldCharType="end"/>
      </w:r>
      <w:r w:rsidRPr="007B339F">
        <w:rPr>
          <w:rFonts w:ascii="Arial" w:hAnsi="Arial" w:cs="Arial"/>
          <w:b/>
          <w:i/>
        </w:rPr>
        <w:t>:</w:t>
      </w:r>
      <w:r>
        <w:rPr>
          <w:rFonts w:ascii="Arial" w:hAnsi="Arial" w:cs="Arial"/>
          <w:b/>
          <w:i/>
        </w:rPr>
        <w:t xml:space="preserve"> </w:t>
      </w:r>
      <w:r w:rsidR="00426964" w:rsidRPr="00C22313">
        <w:rPr>
          <w:b/>
          <w:i/>
          <w:sz w:val="20"/>
          <w:szCs w:val="20"/>
        </w:rPr>
        <w:t>Proposed annual revenue requirement, 2023</w:t>
      </w:r>
      <w:r w:rsidR="00310E2A">
        <w:rPr>
          <w:b/>
          <w:i/>
          <w:sz w:val="20"/>
          <w:szCs w:val="20"/>
        </w:rPr>
        <w:t>–</w:t>
      </w:r>
      <w:r w:rsidR="00426964" w:rsidRPr="00C22313">
        <w:rPr>
          <w:b/>
          <w:i/>
          <w:sz w:val="20"/>
          <w:szCs w:val="20"/>
        </w:rPr>
        <w:t>33</w:t>
      </w:r>
      <w:r w:rsidR="00A2609B" w:rsidRPr="00C22313">
        <w:rPr>
          <w:b/>
          <w:i/>
          <w:sz w:val="20"/>
          <w:szCs w:val="20"/>
        </w:rPr>
        <w:t xml:space="preserve"> </w:t>
      </w:r>
      <w:r w:rsidR="00921F48" w:rsidRPr="006D1620">
        <w:rPr>
          <w:rFonts w:cs="Arial"/>
          <w:b/>
          <w:i/>
        </w:rPr>
        <w:t>(</w:t>
      </w:r>
      <w:r w:rsidR="00921F48">
        <w:rPr>
          <w:rFonts w:cs="Arial"/>
          <w:b/>
          <w:i/>
        </w:rPr>
        <w:t>$</w:t>
      </w:r>
      <w:r w:rsidR="00A2609B">
        <w:rPr>
          <w:rFonts w:cs="Arial"/>
          <w:b/>
          <w:i/>
        </w:rPr>
        <w:t xml:space="preserve">million </w:t>
      </w:r>
      <w:r w:rsidR="00921F48" w:rsidRPr="006D1620">
        <w:rPr>
          <w:rFonts w:cs="Arial"/>
          <w:b/>
          <w:i/>
        </w:rPr>
        <w:t>2022</w:t>
      </w:r>
      <w:r w:rsidR="00921F48">
        <w:rPr>
          <w:rFonts w:cs="Arial"/>
          <w:b/>
          <w:i/>
        </w:rPr>
        <w:t>–</w:t>
      </w:r>
      <w:r w:rsidR="00921F48" w:rsidRPr="006D1620">
        <w:rPr>
          <w:rFonts w:cs="Arial"/>
          <w:b/>
          <w:i/>
        </w:rPr>
        <w:t>23</w:t>
      </w:r>
      <w:r w:rsidR="00A2609B">
        <w:rPr>
          <w:rFonts w:cs="Arial"/>
          <w:b/>
          <w:i/>
        </w:rPr>
        <w:t>)</w:t>
      </w:r>
    </w:p>
    <w:tbl>
      <w:tblPr>
        <w:tblStyle w:val="MJTableStyle1default"/>
        <w:tblW w:w="14318" w:type="dxa"/>
        <w:tblInd w:w="5" w:type="dxa"/>
        <w:tblLayout w:type="fixed"/>
        <w:tblLook w:val="04A0" w:firstRow="1" w:lastRow="0" w:firstColumn="1" w:lastColumn="0" w:noHBand="0" w:noVBand="1"/>
      </w:tblPr>
      <w:tblGrid>
        <w:gridCol w:w="2815"/>
        <w:gridCol w:w="1150"/>
        <w:gridCol w:w="1150"/>
        <w:gridCol w:w="1150"/>
        <w:gridCol w:w="1151"/>
        <w:gridCol w:w="1150"/>
        <w:gridCol w:w="1150"/>
        <w:gridCol w:w="1151"/>
        <w:gridCol w:w="1150"/>
        <w:gridCol w:w="1150"/>
        <w:gridCol w:w="1151"/>
      </w:tblGrid>
      <w:tr w:rsidR="00ED1414" w:rsidRPr="000B654A" w14:paraId="259C37AB" w14:textId="77777777" w:rsidTr="003F1732">
        <w:trPr>
          <w:cnfStyle w:val="100000000000" w:firstRow="1" w:lastRow="0" w:firstColumn="0" w:lastColumn="0" w:oddVBand="0" w:evenVBand="0" w:oddHBand="0" w:evenHBand="0" w:firstRowFirstColumn="0" w:firstRowLastColumn="0" w:lastRowFirstColumn="0" w:lastRowLastColumn="0"/>
          <w:trHeight w:val="815"/>
        </w:trPr>
        <w:tc>
          <w:tcPr>
            <w:tcW w:w="2815" w:type="dxa"/>
            <w:tcBorders>
              <w:top w:val="single" w:sz="4" w:space="0" w:color="002279"/>
              <w:left w:val="single" w:sz="4" w:space="0" w:color="002279"/>
              <w:bottom w:val="single" w:sz="4" w:space="0" w:color="002279"/>
              <w:right w:val="single" w:sz="4" w:space="0" w:color="FFFFFF" w:themeColor="background1"/>
            </w:tcBorders>
            <w:shd w:val="clear" w:color="auto" w:fill="002279"/>
            <w:noWrap/>
            <w:vAlign w:val="center"/>
            <w:hideMark/>
          </w:tcPr>
          <w:p w14:paraId="23D94095" w14:textId="77777777" w:rsidR="00426964" w:rsidRPr="00ED1414" w:rsidRDefault="00426964" w:rsidP="004455C1">
            <w:pPr>
              <w:rPr>
                <w:rFonts w:asciiTheme="minorHAnsi" w:hAnsiTheme="minorHAnsi" w:cstheme="minorHAnsi"/>
                <w:sz w:val="18"/>
                <w:szCs w:val="18"/>
              </w:rPr>
            </w:pPr>
          </w:p>
        </w:tc>
        <w:tc>
          <w:tcPr>
            <w:tcW w:w="1150" w:type="dxa"/>
            <w:tcBorders>
              <w:top w:val="single" w:sz="4" w:space="0" w:color="002279"/>
              <w:left w:val="single" w:sz="4" w:space="0" w:color="FFFFFF" w:themeColor="background1"/>
              <w:bottom w:val="single" w:sz="4" w:space="0" w:color="002279"/>
              <w:right w:val="single" w:sz="4" w:space="0" w:color="FFFFFF" w:themeColor="background1"/>
            </w:tcBorders>
            <w:shd w:val="clear" w:color="auto" w:fill="002279"/>
            <w:noWrap/>
            <w:vAlign w:val="center"/>
            <w:hideMark/>
          </w:tcPr>
          <w:p w14:paraId="608F6234" w14:textId="6FF8C425" w:rsidR="00426964" w:rsidRPr="00ED1414" w:rsidRDefault="00426964" w:rsidP="00034C2B">
            <w:pPr>
              <w:rPr>
                <w:rFonts w:asciiTheme="minorHAnsi" w:hAnsiTheme="minorHAnsi" w:cstheme="minorHAnsi"/>
                <w:b/>
                <w:sz w:val="18"/>
                <w:szCs w:val="18"/>
              </w:rPr>
            </w:pPr>
            <w:r w:rsidRPr="00ED1414">
              <w:rPr>
                <w:rFonts w:asciiTheme="minorHAnsi" w:hAnsiTheme="minorHAnsi" w:cstheme="minorHAnsi"/>
                <w:b/>
                <w:sz w:val="18"/>
                <w:szCs w:val="18"/>
              </w:rPr>
              <w:t>2023</w:t>
            </w:r>
            <w:r w:rsidR="00310E2A" w:rsidRPr="00ED1414">
              <w:rPr>
                <w:rFonts w:asciiTheme="minorHAnsi" w:hAnsiTheme="minorHAnsi" w:cstheme="minorHAnsi"/>
                <w:b/>
                <w:sz w:val="18"/>
                <w:szCs w:val="18"/>
              </w:rPr>
              <w:t>–</w:t>
            </w:r>
            <w:r w:rsidRPr="00ED1414">
              <w:rPr>
                <w:rFonts w:asciiTheme="minorHAnsi" w:hAnsiTheme="minorHAnsi" w:cstheme="minorHAnsi"/>
                <w:b/>
                <w:sz w:val="18"/>
                <w:szCs w:val="18"/>
              </w:rPr>
              <w:t>24</w:t>
            </w:r>
          </w:p>
        </w:tc>
        <w:tc>
          <w:tcPr>
            <w:tcW w:w="1150" w:type="dxa"/>
            <w:tcBorders>
              <w:top w:val="single" w:sz="4" w:space="0" w:color="002279"/>
              <w:left w:val="single" w:sz="4" w:space="0" w:color="FFFFFF" w:themeColor="background1"/>
              <w:bottom w:val="single" w:sz="4" w:space="0" w:color="002279"/>
              <w:right w:val="single" w:sz="4" w:space="0" w:color="FFFFFF" w:themeColor="background1"/>
            </w:tcBorders>
            <w:shd w:val="clear" w:color="auto" w:fill="002279"/>
            <w:noWrap/>
            <w:vAlign w:val="center"/>
            <w:hideMark/>
          </w:tcPr>
          <w:p w14:paraId="77B74911" w14:textId="7C28E11F" w:rsidR="00426964" w:rsidRPr="00ED1414" w:rsidRDefault="00426964" w:rsidP="00034C2B">
            <w:pPr>
              <w:rPr>
                <w:rFonts w:asciiTheme="minorHAnsi" w:hAnsiTheme="minorHAnsi" w:cstheme="minorHAnsi"/>
                <w:b/>
                <w:sz w:val="18"/>
                <w:szCs w:val="18"/>
              </w:rPr>
            </w:pPr>
            <w:r w:rsidRPr="00ED1414">
              <w:rPr>
                <w:rFonts w:asciiTheme="minorHAnsi" w:hAnsiTheme="minorHAnsi" w:cstheme="minorHAnsi"/>
                <w:b/>
                <w:sz w:val="18"/>
                <w:szCs w:val="18"/>
              </w:rPr>
              <w:t>2024</w:t>
            </w:r>
            <w:r w:rsidR="00310E2A" w:rsidRPr="00ED1414">
              <w:rPr>
                <w:rFonts w:asciiTheme="minorHAnsi" w:hAnsiTheme="minorHAnsi" w:cstheme="minorHAnsi"/>
                <w:b/>
                <w:sz w:val="18"/>
                <w:szCs w:val="18"/>
              </w:rPr>
              <w:t>–</w:t>
            </w:r>
            <w:r w:rsidRPr="00ED1414">
              <w:rPr>
                <w:rFonts w:asciiTheme="minorHAnsi" w:hAnsiTheme="minorHAnsi" w:cstheme="minorHAnsi"/>
                <w:b/>
                <w:sz w:val="18"/>
                <w:szCs w:val="18"/>
              </w:rPr>
              <w:t>25</w:t>
            </w:r>
          </w:p>
        </w:tc>
        <w:tc>
          <w:tcPr>
            <w:tcW w:w="1150" w:type="dxa"/>
            <w:tcBorders>
              <w:top w:val="single" w:sz="4" w:space="0" w:color="002279"/>
              <w:left w:val="single" w:sz="4" w:space="0" w:color="FFFFFF" w:themeColor="background1"/>
              <w:bottom w:val="single" w:sz="4" w:space="0" w:color="002279"/>
              <w:right w:val="single" w:sz="4" w:space="0" w:color="FFFFFF" w:themeColor="background1"/>
            </w:tcBorders>
            <w:shd w:val="clear" w:color="auto" w:fill="002279"/>
            <w:noWrap/>
            <w:vAlign w:val="center"/>
            <w:hideMark/>
          </w:tcPr>
          <w:p w14:paraId="4D7B0BC2" w14:textId="189A1CA3" w:rsidR="00426964" w:rsidRPr="00ED1414" w:rsidRDefault="00426964" w:rsidP="00034C2B">
            <w:pPr>
              <w:rPr>
                <w:rFonts w:asciiTheme="minorHAnsi" w:hAnsiTheme="minorHAnsi" w:cstheme="minorHAnsi"/>
                <w:b/>
                <w:sz w:val="18"/>
                <w:szCs w:val="18"/>
              </w:rPr>
            </w:pPr>
            <w:r w:rsidRPr="00ED1414">
              <w:rPr>
                <w:rFonts w:asciiTheme="minorHAnsi" w:hAnsiTheme="minorHAnsi" w:cstheme="minorHAnsi"/>
                <w:b/>
                <w:sz w:val="18"/>
                <w:szCs w:val="18"/>
              </w:rPr>
              <w:t>2025</w:t>
            </w:r>
            <w:r w:rsidR="00310E2A" w:rsidRPr="00ED1414">
              <w:rPr>
                <w:rFonts w:asciiTheme="minorHAnsi" w:hAnsiTheme="minorHAnsi" w:cstheme="minorHAnsi"/>
                <w:b/>
                <w:sz w:val="18"/>
                <w:szCs w:val="18"/>
              </w:rPr>
              <w:t>–</w:t>
            </w:r>
            <w:r w:rsidRPr="00ED1414">
              <w:rPr>
                <w:rFonts w:asciiTheme="minorHAnsi" w:hAnsiTheme="minorHAnsi" w:cstheme="minorHAnsi"/>
                <w:b/>
                <w:sz w:val="18"/>
                <w:szCs w:val="18"/>
              </w:rPr>
              <w:t>26</w:t>
            </w:r>
          </w:p>
        </w:tc>
        <w:tc>
          <w:tcPr>
            <w:tcW w:w="1151" w:type="dxa"/>
            <w:tcBorders>
              <w:top w:val="single" w:sz="4" w:space="0" w:color="002279"/>
              <w:left w:val="single" w:sz="4" w:space="0" w:color="FFFFFF" w:themeColor="background1"/>
              <w:bottom w:val="single" w:sz="4" w:space="0" w:color="002279"/>
              <w:right w:val="single" w:sz="4" w:space="0" w:color="FFFFFF" w:themeColor="background1"/>
            </w:tcBorders>
            <w:shd w:val="clear" w:color="auto" w:fill="002279"/>
            <w:noWrap/>
            <w:vAlign w:val="center"/>
            <w:hideMark/>
          </w:tcPr>
          <w:p w14:paraId="047EF19D" w14:textId="789C769D" w:rsidR="00426964" w:rsidRPr="00ED1414" w:rsidRDefault="00426964" w:rsidP="00034C2B">
            <w:pPr>
              <w:rPr>
                <w:rFonts w:asciiTheme="minorHAnsi" w:hAnsiTheme="minorHAnsi" w:cstheme="minorHAnsi"/>
                <w:b/>
                <w:sz w:val="18"/>
                <w:szCs w:val="18"/>
              </w:rPr>
            </w:pPr>
            <w:r w:rsidRPr="00ED1414">
              <w:rPr>
                <w:rFonts w:asciiTheme="minorHAnsi" w:hAnsiTheme="minorHAnsi" w:cstheme="minorHAnsi"/>
                <w:b/>
                <w:sz w:val="18"/>
                <w:szCs w:val="18"/>
              </w:rPr>
              <w:t>2026</w:t>
            </w:r>
            <w:r w:rsidR="00310E2A" w:rsidRPr="00ED1414">
              <w:rPr>
                <w:rFonts w:asciiTheme="minorHAnsi" w:hAnsiTheme="minorHAnsi" w:cstheme="minorHAnsi"/>
                <w:b/>
                <w:sz w:val="18"/>
                <w:szCs w:val="18"/>
              </w:rPr>
              <w:t>–</w:t>
            </w:r>
            <w:r w:rsidRPr="00ED1414">
              <w:rPr>
                <w:rFonts w:asciiTheme="minorHAnsi" w:hAnsiTheme="minorHAnsi" w:cstheme="minorHAnsi"/>
                <w:b/>
                <w:sz w:val="18"/>
                <w:szCs w:val="18"/>
              </w:rPr>
              <w:t>27</w:t>
            </w:r>
          </w:p>
        </w:tc>
        <w:tc>
          <w:tcPr>
            <w:tcW w:w="1150" w:type="dxa"/>
            <w:tcBorders>
              <w:top w:val="single" w:sz="4" w:space="0" w:color="002279"/>
              <w:left w:val="single" w:sz="4" w:space="0" w:color="FFFFFF" w:themeColor="background1"/>
              <w:bottom w:val="single" w:sz="4" w:space="0" w:color="002279"/>
              <w:right w:val="single" w:sz="4" w:space="0" w:color="FFFFFF" w:themeColor="background1"/>
            </w:tcBorders>
            <w:shd w:val="clear" w:color="auto" w:fill="002279"/>
            <w:noWrap/>
            <w:vAlign w:val="center"/>
            <w:hideMark/>
          </w:tcPr>
          <w:p w14:paraId="1507C93D" w14:textId="21170108" w:rsidR="00426964" w:rsidRPr="00ED1414" w:rsidRDefault="00426964" w:rsidP="00034C2B">
            <w:pPr>
              <w:rPr>
                <w:rFonts w:asciiTheme="minorHAnsi" w:hAnsiTheme="minorHAnsi" w:cstheme="minorHAnsi"/>
                <w:b/>
                <w:sz w:val="18"/>
                <w:szCs w:val="18"/>
              </w:rPr>
            </w:pPr>
            <w:r w:rsidRPr="00ED1414">
              <w:rPr>
                <w:rFonts w:asciiTheme="minorHAnsi" w:hAnsiTheme="minorHAnsi" w:cstheme="minorHAnsi"/>
                <w:b/>
                <w:sz w:val="18"/>
                <w:szCs w:val="18"/>
              </w:rPr>
              <w:t>2027</w:t>
            </w:r>
            <w:r w:rsidR="00310E2A" w:rsidRPr="00ED1414">
              <w:rPr>
                <w:rFonts w:asciiTheme="minorHAnsi" w:hAnsiTheme="minorHAnsi" w:cstheme="minorHAnsi"/>
                <w:b/>
                <w:sz w:val="18"/>
                <w:szCs w:val="18"/>
              </w:rPr>
              <w:t>–</w:t>
            </w:r>
            <w:r w:rsidRPr="00ED1414">
              <w:rPr>
                <w:rFonts w:asciiTheme="minorHAnsi" w:hAnsiTheme="minorHAnsi" w:cstheme="minorHAnsi"/>
                <w:b/>
                <w:sz w:val="18"/>
                <w:szCs w:val="18"/>
              </w:rPr>
              <w:t>28</w:t>
            </w:r>
          </w:p>
        </w:tc>
        <w:tc>
          <w:tcPr>
            <w:tcW w:w="1150" w:type="dxa"/>
            <w:tcBorders>
              <w:top w:val="single" w:sz="4" w:space="0" w:color="002279"/>
              <w:left w:val="single" w:sz="4" w:space="0" w:color="FFFFFF" w:themeColor="background1"/>
              <w:bottom w:val="single" w:sz="4" w:space="0" w:color="002279"/>
              <w:right w:val="single" w:sz="4" w:space="0" w:color="FFFFFF" w:themeColor="background1"/>
            </w:tcBorders>
            <w:shd w:val="clear" w:color="auto" w:fill="002279"/>
            <w:noWrap/>
            <w:vAlign w:val="center"/>
            <w:hideMark/>
          </w:tcPr>
          <w:p w14:paraId="66BFDB49" w14:textId="3A17FEB9" w:rsidR="00426964" w:rsidRPr="00ED1414" w:rsidRDefault="00426964" w:rsidP="00034C2B">
            <w:pPr>
              <w:rPr>
                <w:rFonts w:asciiTheme="minorHAnsi" w:hAnsiTheme="minorHAnsi" w:cstheme="minorHAnsi"/>
                <w:b/>
                <w:sz w:val="18"/>
                <w:szCs w:val="18"/>
              </w:rPr>
            </w:pPr>
            <w:r w:rsidRPr="00ED1414">
              <w:rPr>
                <w:rFonts w:asciiTheme="minorHAnsi" w:hAnsiTheme="minorHAnsi" w:cstheme="minorHAnsi"/>
                <w:b/>
                <w:sz w:val="18"/>
                <w:szCs w:val="18"/>
              </w:rPr>
              <w:t>2028</w:t>
            </w:r>
            <w:r w:rsidR="00310E2A" w:rsidRPr="00ED1414">
              <w:rPr>
                <w:rFonts w:asciiTheme="minorHAnsi" w:hAnsiTheme="minorHAnsi" w:cstheme="minorHAnsi"/>
                <w:b/>
                <w:sz w:val="18"/>
                <w:szCs w:val="18"/>
              </w:rPr>
              <w:t>–</w:t>
            </w:r>
            <w:r w:rsidRPr="00ED1414">
              <w:rPr>
                <w:rFonts w:asciiTheme="minorHAnsi" w:hAnsiTheme="minorHAnsi" w:cstheme="minorHAnsi"/>
                <w:b/>
                <w:sz w:val="18"/>
                <w:szCs w:val="18"/>
              </w:rPr>
              <w:t>29</w:t>
            </w:r>
          </w:p>
        </w:tc>
        <w:tc>
          <w:tcPr>
            <w:tcW w:w="1151" w:type="dxa"/>
            <w:tcBorders>
              <w:top w:val="single" w:sz="4" w:space="0" w:color="002279"/>
              <w:left w:val="single" w:sz="4" w:space="0" w:color="FFFFFF" w:themeColor="background1"/>
              <w:bottom w:val="single" w:sz="4" w:space="0" w:color="002279"/>
              <w:right w:val="single" w:sz="4" w:space="0" w:color="FFFFFF" w:themeColor="background1"/>
            </w:tcBorders>
            <w:shd w:val="clear" w:color="auto" w:fill="002279"/>
            <w:noWrap/>
            <w:vAlign w:val="center"/>
            <w:hideMark/>
          </w:tcPr>
          <w:p w14:paraId="694C6D36" w14:textId="550B86BF" w:rsidR="00426964" w:rsidRPr="00ED1414" w:rsidRDefault="00426964" w:rsidP="00034C2B">
            <w:pPr>
              <w:rPr>
                <w:rFonts w:asciiTheme="minorHAnsi" w:hAnsiTheme="minorHAnsi" w:cstheme="minorHAnsi"/>
                <w:b/>
                <w:sz w:val="18"/>
                <w:szCs w:val="18"/>
              </w:rPr>
            </w:pPr>
            <w:r w:rsidRPr="00ED1414">
              <w:rPr>
                <w:rFonts w:asciiTheme="minorHAnsi" w:hAnsiTheme="minorHAnsi" w:cstheme="minorHAnsi"/>
                <w:b/>
                <w:sz w:val="18"/>
                <w:szCs w:val="18"/>
              </w:rPr>
              <w:t>2029</w:t>
            </w:r>
            <w:r w:rsidR="00310E2A" w:rsidRPr="00ED1414">
              <w:rPr>
                <w:rFonts w:asciiTheme="minorHAnsi" w:hAnsiTheme="minorHAnsi" w:cstheme="minorHAnsi"/>
                <w:b/>
                <w:sz w:val="18"/>
                <w:szCs w:val="18"/>
              </w:rPr>
              <w:t>–</w:t>
            </w:r>
            <w:r w:rsidRPr="00ED1414">
              <w:rPr>
                <w:rFonts w:asciiTheme="minorHAnsi" w:hAnsiTheme="minorHAnsi" w:cstheme="minorHAnsi"/>
                <w:b/>
                <w:sz w:val="18"/>
                <w:szCs w:val="18"/>
              </w:rPr>
              <w:t>30</w:t>
            </w:r>
          </w:p>
        </w:tc>
        <w:tc>
          <w:tcPr>
            <w:tcW w:w="1150" w:type="dxa"/>
            <w:tcBorders>
              <w:top w:val="single" w:sz="4" w:space="0" w:color="002279"/>
              <w:left w:val="single" w:sz="4" w:space="0" w:color="FFFFFF" w:themeColor="background1"/>
              <w:bottom w:val="single" w:sz="4" w:space="0" w:color="002279"/>
              <w:right w:val="single" w:sz="4" w:space="0" w:color="FFFFFF" w:themeColor="background1"/>
            </w:tcBorders>
            <w:shd w:val="clear" w:color="auto" w:fill="002279"/>
            <w:noWrap/>
            <w:vAlign w:val="center"/>
            <w:hideMark/>
          </w:tcPr>
          <w:p w14:paraId="3406ADD3" w14:textId="61D79C18" w:rsidR="00426964" w:rsidRPr="00ED1414" w:rsidRDefault="00426964" w:rsidP="00034C2B">
            <w:pPr>
              <w:rPr>
                <w:rFonts w:asciiTheme="minorHAnsi" w:hAnsiTheme="minorHAnsi" w:cstheme="minorHAnsi"/>
                <w:b/>
                <w:sz w:val="18"/>
                <w:szCs w:val="18"/>
              </w:rPr>
            </w:pPr>
            <w:r w:rsidRPr="00ED1414">
              <w:rPr>
                <w:rFonts w:asciiTheme="minorHAnsi" w:hAnsiTheme="minorHAnsi" w:cstheme="minorHAnsi"/>
                <w:b/>
                <w:sz w:val="18"/>
                <w:szCs w:val="18"/>
              </w:rPr>
              <w:t>2030</w:t>
            </w:r>
            <w:r w:rsidR="00310E2A" w:rsidRPr="00ED1414">
              <w:rPr>
                <w:rFonts w:asciiTheme="minorHAnsi" w:hAnsiTheme="minorHAnsi" w:cstheme="minorHAnsi"/>
                <w:b/>
                <w:sz w:val="18"/>
                <w:szCs w:val="18"/>
              </w:rPr>
              <w:t>–</w:t>
            </w:r>
            <w:r w:rsidRPr="00ED1414">
              <w:rPr>
                <w:rFonts w:asciiTheme="minorHAnsi" w:hAnsiTheme="minorHAnsi" w:cstheme="minorHAnsi"/>
                <w:b/>
                <w:sz w:val="18"/>
                <w:szCs w:val="18"/>
              </w:rPr>
              <w:t>31</w:t>
            </w:r>
          </w:p>
        </w:tc>
        <w:tc>
          <w:tcPr>
            <w:tcW w:w="1150" w:type="dxa"/>
            <w:tcBorders>
              <w:top w:val="single" w:sz="4" w:space="0" w:color="002279"/>
              <w:left w:val="single" w:sz="4" w:space="0" w:color="FFFFFF" w:themeColor="background1"/>
              <w:bottom w:val="single" w:sz="4" w:space="0" w:color="002279"/>
              <w:right w:val="single" w:sz="4" w:space="0" w:color="FFFFFF" w:themeColor="background1"/>
            </w:tcBorders>
            <w:shd w:val="clear" w:color="auto" w:fill="002279"/>
            <w:noWrap/>
            <w:vAlign w:val="center"/>
            <w:hideMark/>
          </w:tcPr>
          <w:p w14:paraId="7F473F21" w14:textId="4ABB893A" w:rsidR="00426964" w:rsidRPr="00ED1414" w:rsidRDefault="00426964" w:rsidP="00034C2B">
            <w:pPr>
              <w:rPr>
                <w:rFonts w:asciiTheme="minorHAnsi" w:hAnsiTheme="minorHAnsi" w:cstheme="minorHAnsi"/>
                <w:b/>
                <w:sz w:val="18"/>
                <w:szCs w:val="18"/>
              </w:rPr>
            </w:pPr>
            <w:r w:rsidRPr="00ED1414">
              <w:rPr>
                <w:rFonts w:asciiTheme="minorHAnsi" w:hAnsiTheme="minorHAnsi" w:cstheme="minorHAnsi"/>
                <w:b/>
                <w:sz w:val="18"/>
                <w:szCs w:val="18"/>
              </w:rPr>
              <w:t>2031</w:t>
            </w:r>
            <w:r w:rsidR="00310E2A" w:rsidRPr="00ED1414">
              <w:rPr>
                <w:rFonts w:asciiTheme="minorHAnsi" w:hAnsiTheme="minorHAnsi" w:cstheme="minorHAnsi"/>
                <w:b/>
                <w:sz w:val="18"/>
                <w:szCs w:val="18"/>
              </w:rPr>
              <w:t>–</w:t>
            </w:r>
            <w:r w:rsidRPr="00ED1414">
              <w:rPr>
                <w:rFonts w:asciiTheme="minorHAnsi" w:hAnsiTheme="minorHAnsi" w:cstheme="minorHAnsi"/>
                <w:b/>
                <w:sz w:val="18"/>
                <w:szCs w:val="18"/>
              </w:rPr>
              <w:t>32</w:t>
            </w:r>
          </w:p>
        </w:tc>
        <w:tc>
          <w:tcPr>
            <w:tcW w:w="1151" w:type="dxa"/>
            <w:tcBorders>
              <w:top w:val="single" w:sz="4" w:space="0" w:color="002279"/>
              <w:left w:val="single" w:sz="4" w:space="0" w:color="FFFFFF" w:themeColor="background1"/>
              <w:bottom w:val="single" w:sz="4" w:space="0" w:color="002279"/>
              <w:right w:val="single" w:sz="4" w:space="0" w:color="002279"/>
            </w:tcBorders>
            <w:shd w:val="clear" w:color="auto" w:fill="002279"/>
            <w:noWrap/>
            <w:vAlign w:val="center"/>
            <w:hideMark/>
          </w:tcPr>
          <w:p w14:paraId="6B4DE021" w14:textId="7BDCDB15" w:rsidR="00426964" w:rsidRPr="00ED1414" w:rsidRDefault="00426964" w:rsidP="00034C2B">
            <w:pPr>
              <w:rPr>
                <w:rFonts w:asciiTheme="minorHAnsi" w:hAnsiTheme="minorHAnsi" w:cstheme="minorHAnsi"/>
                <w:b/>
                <w:sz w:val="18"/>
                <w:szCs w:val="18"/>
              </w:rPr>
            </w:pPr>
            <w:r w:rsidRPr="00ED1414">
              <w:rPr>
                <w:rFonts w:asciiTheme="minorHAnsi" w:hAnsiTheme="minorHAnsi" w:cstheme="minorHAnsi"/>
                <w:b/>
                <w:sz w:val="18"/>
                <w:szCs w:val="18"/>
              </w:rPr>
              <w:t>2032</w:t>
            </w:r>
            <w:r w:rsidR="00310E2A" w:rsidRPr="00ED1414">
              <w:rPr>
                <w:rFonts w:asciiTheme="minorHAnsi" w:hAnsiTheme="minorHAnsi" w:cstheme="minorHAnsi"/>
                <w:b/>
                <w:sz w:val="18"/>
                <w:szCs w:val="18"/>
              </w:rPr>
              <w:t>–</w:t>
            </w:r>
            <w:r w:rsidRPr="00ED1414">
              <w:rPr>
                <w:rFonts w:asciiTheme="minorHAnsi" w:hAnsiTheme="minorHAnsi" w:cstheme="minorHAnsi"/>
                <w:b/>
                <w:sz w:val="18"/>
                <w:szCs w:val="18"/>
              </w:rPr>
              <w:t>33</w:t>
            </w:r>
          </w:p>
        </w:tc>
      </w:tr>
      <w:tr w:rsidR="00ED1414" w:rsidRPr="000B654A" w14:paraId="6883E3DB" w14:textId="77777777" w:rsidTr="003F1732">
        <w:trPr>
          <w:cnfStyle w:val="000000100000" w:firstRow="0" w:lastRow="0" w:firstColumn="0" w:lastColumn="0" w:oddVBand="0" w:evenVBand="0" w:oddHBand="1" w:evenHBand="0" w:firstRowFirstColumn="0" w:firstRowLastColumn="0" w:lastRowFirstColumn="0" w:lastRowLastColumn="0"/>
          <w:trHeight w:val="535"/>
        </w:trPr>
        <w:tc>
          <w:tcPr>
            <w:tcW w:w="2815" w:type="dxa"/>
            <w:tcBorders>
              <w:top w:val="single" w:sz="4" w:space="0" w:color="002279"/>
              <w:left w:val="single" w:sz="4" w:space="0" w:color="002279"/>
              <w:bottom w:val="single" w:sz="4" w:space="0" w:color="002279"/>
              <w:right w:val="single" w:sz="4" w:space="0" w:color="002279"/>
            </w:tcBorders>
            <w:shd w:val="clear" w:color="auto" w:fill="D4D6DF"/>
            <w:noWrap/>
            <w:hideMark/>
          </w:tcPr>
          <w:p w14:paraId="2E1AE9E7" w14:textId="77777777" w:rsidR="00AC68A7" w:rsidRPr="00ED1414" w:rsidRDefault="003003E5" w:rsidP="003E7263">
            <w:pPr>
              <w:rPr>
                <w:rFonts w:cs="Arial"/>
                <w:sz w:val="18"/>
                <w:szCs w:val="18"/>
              </w:rPr>
            </w:pPr>
            <w:r w:rsidRPr="00ED1414">
              <w:rPr>
                <w:rFonts w:cs="Arial"/>
                <w:sz w:val="18"/>
                <w:szCs w:val="18"/>
              </w:rPr>
              <w:t xml:space="preserve">Controllable operating </w:t>
            </w:r>
          </w:p>
          <w:p w14:paraId="75106153" w14:textId="66FA5EFC" w:rsidR="00426964" w:rsidRPr="00ED1414" w:rsidRDefault="003003E5" w:rsidP="003E7263">
            <w:pPr>
              <w:rPr>
                <w:rFonts w:ascii="Arial" w:hAnsi="Arial" w:cs="Arial"/>
                <w:sz w:val="18"/>
                <w:szCs w:val="18"/>
              </w:rPr>
            </w:pPr>
            <w:r w:rsidRPr="00ED1414">
              <w:rPr>
                <w:rFonts w:cs="Arial"/>
                <w:sz w:val="18"/>
                <w:szCs w:val="18"/>
              </w:rPr>
              <w:t>expenditure</w:t>
            </w:r>
          </w:p>
        </w:tc>
        <w:tc>
          <w:tcPr>
            <w:tcW w:w="1150" w:type="dxa"/>
            <w:tcBorders>
              <w:top w:val="single" w:sz="4" w:space="0" w:color="002279"/>
              <w:left w:val="single" w:sz="4" w:space="0" w:color="002279"/>
              <w:bottom w:val="single" w:sz="4" w:space="0" w:color="002279"/>
              <w:right w:val="single" w:sz="4" w:space="0" w:color="002279"/>
            </w:tcBorders>
            <w:shd w:val="clear" w:color="auto" w:fill="D4D6DF"/>
            <w:noWrap/>
            <w:vAlign w:val="center"/>
            <w:hideMark/>
          </w:tcPr>
          <w:p w14:paraId="1072B4ED" w14:textId="4E821702" w:rsidR="00426964" w:rsidRPr="00ED1414" w:rsidRDefault="007239DB" w:rsidP="00034C2B">
            <w:pPr>
              <w:rPr>
                <w:rFonts w:ascii="Arial" w:hAnsi="Arial" w:cs="Arial"/>
                <w:sz w:val="18"/>
                <w:szCs w:val="18"/>
              </w:rPr>
            </w:pPr>
            <w:r w:rsidRPr="00ED1414">
              <w:rPr>
                <w:rFonts w:ascii="Arial" w:hAnsi="Arial" w:cs="Arial"/>
                <w:color w:val="000000"/>
                <w:sz w:val="18"/>
                <w:szCs w:val="18"/>
              </w:rPr>
              <w:t>159.</w:t>
            </w:r>
            <w:r w:rsidR="003C1791" w:rsidRPr="00ED1414">
              <w:rPr>
                <w:rFonts w:ascii="Arial" w:hAnsi="Arial" w:cs="Arial"/>
                <w:color w:val="000000"/>
                <w:sz w:val="18"/>
                <w:szCs w:val="18"/>
              </w:rPr>
              <w:t>74</w:t>
            </w:r>
          </w:p>
        </w:tc>
        <w:tc>
          <w:tcPr>
            <w:tcW w:w="1150" w:type="dxa"/>
            <w:tcBorders>
              <w:top w:val="single" w:sz="4" w:space="0" w:color="002279"/>
              <w:left w:val="single" w:sz="4" w:space="0" w:color="002279"/>
              <w:bottom w:val="single" w:sz="4" w:space="0" w:color="002279"/>
              <w:right w:val="single" w:sz="4" w:space="0" w:color="002279"/>
            </w:tcBorders>
            <w:shd w:val="clear" w:color="auto" w:fill="D4D6DF"/>
            <w:noWrap/>
            <w:vAlign w:val="center"/>
            <w:hideMark/>
          </w:tcPr>
          <w:p w14:paraId="1B93A0AC" w14:textId="394AD941" w:rsidR="00426964" w:rsidRPr="00ED1414" w:rsidRDefault="007239DB" w:rsidP="00034C2B">
            <w:pPr>
              <w:rPr>
                <w:rFonts w:ascii="Arial" w:hAnsi="Arial" w:cs="Arial"/>
                <w:sz w:val="18"/>
                <w:szCs w:val="18"/>
              </w:rPr>
            </w:pPr>
            <w:r w:rsidRPr="00ED1414">
              <w:rPr>
                <w:rFonts w:ascii="Arial" w:hAnsi="Arial" w:cs="Arial"/>
                <w:color w:val="000000"/>
                <w:sz w:val="18"/>
                <w:szCs w:val="18"/>
              </w:rPr>
              <w:t>159.</w:t>
            </w:r>
            <w:r w:rsidR="003C1791" w:rsidRPr="00ED1414">
              <w:rPr>
                <w:rFonts w:ascii="Arial" w:hAnsi="Arial" w:cs="Arial"/>
                <w:color w:val="000000"/>
                <w:sz w:val="18"/>
                <w:szCs w:val="18"/>
              </w:rPr>
              <w:t>38</w:t>
            </w:r>
          </w:p>
        </w:tc>
        <w:tc>
          <w:tcPr>
            <w:tcW w:w="1150" w:type="dxa"/>
            <w:tcBorders>
              <w:top w:val="single" w:sz="4" w:space="0" w:color="002279"/>
              <w:left w:val="single" w:sz="4" w:space="0" w:color="002279"/>
              <w:bottom w:val="single" w:sz="4" w:space="0" w:color="002279"/>
              <w:right w:val="single" w:sz="4" w:space="0" w:color="002279"/>
            </w:tcBorders>
            <w:shd w:val="clear" w:color="auto" w:fill="D4D6DF"/>
            <w:noWrap/>
            <w:vAlign w:val="center"/>
            <w:hideMark/>
          </w:tcPr>
          <w:p w14:paraId="09879F49" w14:textId="72E1625C" w:rsidR="00426964" w:rsidRPr="00ED1414" w:rsidRDefault="003C1791" w:rsidP="00034C2B">
            <w:pPr>
              <w:rPr>
                <w:rFonts w:ascii="Arial" w:hAnsi="Arial" w:cs="Arial"/>
                <w:sz w:val="18"/>
                <w:szCs w:val="18"/>
              </w:rPr>
            </w:pPr>
            <w:r w:rsidRPr="00ED1414">
              <w:rPr>
                <w:rFonts w:ascii="Arial" w:hAnsi="Arial" w:cs="Arial"/>
                <w:color w:val="000000"/>
                <w:sz w:val="18"/>
                <w:szCs w:val="18"/>
              </w:rPr>
              <w:t>160.14</w:t>
            </w:r>
          </w:p>
        </w:tc>
        <w:tc>
          <w:tcPr>
            <w:tcW w:w="1151" w:type="dxa"/>
            <w:tcBorders>
              <w:top w:val="single" w:sz="4" w:space="0" w:color="002279"/>
              <w:left w:val="single" w:sz="4" w:space="0" w:color="002279"/>
              <w:bottom w:val="single" w:sz="4" w:space="0" w:color="002279"/>
              <w:right w:val="single" w:sz="4" w:space="0" w:color="002279"/>
            </w:tcBorders>
            <w:shd w:val="clear" w:color="auto" w:fill="D4D6DF"/>
            <w:noWrap/>
            <w:vAlign w:val="center"/>
            <w:hideMark/>
          </w:tcPr>
          <w:p w14:paraId="32F65ADC" w14:textId="22F78F08" w:rsidR="00426964" w:rsidRPr="00ED1414" w:rsidRDefault="007239DB" w:rsidP="00034C2B">
            <w:pPr>
              <w:rPr>
                <w:rFonts w:ascii="Arial" w:hAnsi="Arial" w:cs="Arial"/>
                <w:sz w:val="18"/>
                <w:szCs w:val="18"/>
              </w:rPr>
            </w:pPr>
            <w:r w:rsidRPr="00ED1414">
              <w:rPr>
                <w:rFonts w:ascii="Arial" w:hAnsi="Arial" w:cs="Arial"/>
                <w:color w:val="000000"/>
                <w:sz w:val="18"/>
                <w:szCs w:val="18"/>
              </w:rPr>
              <w:t>158.</w:t>
            </w:r>
            <w:r w:rsidR="003C1791" w:rsidRPr="00ED1414">
              <w:rPr>
                <w:rFonts w:ascii="Arial" w:hAnsi="Arial" w:cs="Arial"/>
                <w:color w:val="000000"/>
                <w:sz w:val="18"/>
                <w:szCs w:val="18"/>
              </w:rPr>
              <w:t>64</w:t>
            </w:r>
          </w:p>
        </w:tc>
        <w:tc>
          <w:tcPr>
            <w:tcW w:w="1150" w:type="dxa"/>
            <w:tcBorders>
              <w:top w:val="single" w:sz="4" w:space="0" w:color="002279"/>
              <w:left w:val="single" w:sz="4" w:space="0" w:color="002279"/>
              <w:bottom w:val="single" w:sz="4" w:space="0" w:color="002279"/>
              <w:right w:val="single" w:sz="4" w:space="0" w:color="002279"/>
            </w:tcBorders>
            <w:shd w:val="clear" w:color="auto" w:fill="D4D6DF"/>
            <w:noWrap/>
            <w:vAlign w:val="center"/>
            <w:hideMark/>
          </w:tcPr>
          <w:p w14:paraId="30086B43" w14:textId="6AC8248E" w:rsidR="00426964" w:rsidRPr="00ED1414" w:rsidRDefault="003003E5" w:rsidP="00034C2B">
            <w:pPr>
              <w:rPr>
                <w:rFonts w:ascii="Arial" w:hAnsi="Arial" w:cs="Arial"/>
                <w:sz w:val="18"/>
                <w:szCs w:val="18"/>
              </w:rPr>
            </w:pPr>
            <w:r w:rsidRPr="00ED1414">
              <w:rPr>
                <w:rFonts w:ascii="Arial" w:hAnsi="Arial" w:cs="Arial"/>
                <w:color w:val="000000"/>
                <w:sz w:val="18"/>
                <w:szCs w:val="18"/>
              </w:rPr>
              <w:t>157.</w:t>
            </w:r>
            <w:r w:rsidR="003C1791" w:rsidRPr="00ED1414">
              <w:rPr>
                <w:rFonts w:ascii="Arial" w:hAnsi="Arial" w:cs="Arial"/>
                <w:color w:val="000000"/>
                <w:sz w:val="18"/>
                <w:szCs w:val="18"/>
              </w:rPr>
              <w:t>69</w:t>
            </w:r>
          </w:p>
        </w:tc>
        <w:tc>
          <w:tcPr>
            <w:tcW w:w="1150" w:type="dxa"/>
            <w:tcBorders>
              <w:top w:val="single" w:sz="4" w:space="0" w:color="002279"/>
              <w:left w:val="single" w:sz="4" w:space="0" w:color="002279"/>
              <w:bottom w:val="single" w:sz="4" w:space="0" w:color="002279"/>
              <w:right w:val="single" w:sz="4" w:space="0" w:color="002279"/>
            </w:tcBorders>
            <w:shd w:val="clear" w:color="auto" w:fill="D4D6DF"/>
            <w:noWrap/>
            <w:vAlign w:val="center"/>
            <w:hideMark/>
          </w:tcPr>
          <w:p w14:paraId="4E07ABCD" w14:textId="7EB0F671" w:rsidR="00426964" w:rsidRPr="00ED1414" w:rsidRDefault="007239DB" w:rsidP="00034C2B">
            <w:pPr>
              <w:rPr>
                <w:rFonts w:ascii="Arial" w:hAnsi="Arial" w:cs="Arial"/>
                <w:sz w:val="18"/>
                <w:szCs w:val="18"/>
              </w:rPr>
            </w:pPr>
            <w:r w:rsidRPr="00ED1414">
              <w:rPr>
                <w:rFonts w:ascii="Arial" w:hAnsi="Arial" w:cs="Arial"/>
                <w:color w:val="000000"/>
                <w:sz w:val="18"/>
                <w:szCs w:val="18"/>
              </w:rPr>
              <w:t>156.</w:t>
            </w:r>
            <w:r w:rsidR="003C1791" w:rsidRPr="00ED1414">
              <w:rPr>
                <w:rFonts w:ascii="Arial" w:hAnsi="Arial" w:cs="Arial"/>
                <w:color w:val="000000"/>
                <w:sz w:val="18"/>
                <w:szCs w:val="18"/>
              </w:rPr>
              <w:t>11</w:t>
            </w:r>
          </w:p>
        </w:tc>
        <w:tc>
          <w:tcPr>
            <w:tcW w:w="1151" w:type="dxa"/>
            <w:tcBorders>
              <w:top w:val="single" w:sz="4" w:space="0" w:color="002279"/>
              <w:left w:val="single" w:sz="4" w:space="0" w:color="002279"/>
              <w:bottom w:val="single" w:sz="4" w:space="0" w:color="002279"/>
              <w:right w:val="single" w:sz="4" w:space="0" w:color="002279"/>
            </w:tcBorders>
            <w:shd w:val="clear" w:color="auto" w:fill="D4D6DF"/>
            <w:noWrap/>
            <w:vAlign w:val="center"/>
            <w:hideMark/>
          </w:tcPr>
          <w:p w14:paraId="1756B5BC" w14:textId="0BA9CED9" w:rsidR="00426964" w:rsidRPr="00ED1414" w:rsidRDefault="007239DB" w:rsidP="00034C2B">
            <w:pPr>
              <w:rPr>
                <w:rFonts w:ascii="Arial" w:hAnsi="Arial" w:cs="Arial"/>
                <w:sz w:val="18"/>
                <w:szCs w:val="18"/>
              </w:rPr>
            </w:pPr>
            <w:r w:rsidRPr="00ED1414">
              <w:rPr>
                <w:rFonts w:ascii="Arial" w:hAnsi="Arial" w:cs="Arial"/>
                <w:color w:val="000000"/>
                <w:sz w:val="18"/>
                <w:szCs w:val="18"/>
              </w:rPr>
              <w:t>154.</w:t>
            </w:r>
            <w:r w:rsidR="003C1791" w:rsidRPr="00ED1414">
              <w:rPr>
                <w:rFonts w:ascii="Arial" w:hAnsi="Arial" w:cs="Arial"/>
                <w:color w:val="000000"/>
                <w:sz w:val="18"/>
                <w:szCs w:val="18"/>
              </w:rPr>
              <w:t>28</w:t>
            </w:r>
          </w:p>
        </w:tc>
        <w:tc>
          <w:tcPr>
            <w:tcW w:w="1150" w:type="dxa"/>
            <w:tcBorders>
              <w:top w:val="single" w:sz="4" w:space="0" w:color="002279"/>
              <w:left w:val="single" w:sz="4" w:space="0" w:color="002279"/>
              <w:bottom w:val="single" w:sz="4" w:space="0" w:color="002279"/>
              <w:right w:val="single" w:sz="4" w:space="0" w:color="002279"/>
            </w:tcBorders>
            <w:shd w:val="clear" w:color="auto" w:fill="D4D6DF"/>
            <w:noWrap/>
            <w:vAlign w:val="center"/>
            <w:hideMark/>
          </w:tcPr>
          <w:p w14:paraId="7486B41A" w14:textId="69B74D6D" w:rsidR="00426964" w:rsidRPr="00ED1414" w:rsidRDefault="007239DB" w:rsidP="00034C2B">
            <w:pPr>
              <w:rPr>
                <w:rFonts w:ascii="Arial" w:hAnsi="Arial" w:cs="Arial"/>
                <w:sz w:val="18"/>
                <w:szCs w:val="18"/>
              </w:rPr>
            </w:pPr>
            <w:r w:rsidRPr="00ED1414">
              <w:rPr>
                <w:rFonts w:ascii="Arial" w:hAnsi="Arial" w:cs="Arial"/>
                <w:color w:val="000000"/>
                <w:sz w:val="18"/>
                <w:szCs w:val="18"/>
              </w:rPr>
              <w:t>153.</w:t>
            </w:r>
            <w:r w:rsidR="003C1791" w:rsidRPr="00ED1414">
              <w:rPr>
                <w:rFonts w:ascii="Arial" w:hAnsi="Arial" w:cs="Arial"/>
                <w:color w:val="000000"/>
                <w:sz w:val="18"/>
                <w:szCs w:val="18"/>
              </w:rPr>
              <w:t>73</w:t>
            </w:r>
          </w:p>
        </w:tc>
        <w:tc>
          <w:tcPr>
            <w:tcW w:w="1150" w:type="dxa"/>
            <w:tcBorders>
              <w:top w:val="single" w:sz="4" w:space="0" w:color="002279"/>
              <w:left w:val="single" w:sz="4" w:space="0" w:color="002279"/>
              <w:bottom w:val="single" w:sz="4" w:space="0" w:color="002279"/>
              <w:right w:val="single" w:sz="4" w:space="0" w:color="002279"/>
            </w:tcBorders>
            <w:shd w:val="clear" w:color="auto" w:fill="D4D6DF"/>
            <w:noWrap/>
            <w:vAlign w:val="center"/>
            <w:hideMark/>
          </w:tcPr>
          <w:p w14:paraId="6EB83C3C" w14:textId="16BA45B5" w:rsidR="00426964" w:rsidRPr="00ED1414" w:rsidRDefault="007239DB" w:rsidP="00034C2B">
            <w:pPr>
              <w:rPr>
                <w:rFonts w:ascii="Arial" w:hAnsi="Arial" w:cs="Arial"/>
                <w:sz w:val="18"/>
                <w:szCs w:val="18"/>
              </w:rPr>
            </w:pPr>
            <w:r w:rsidRPr="00ED1414">
              <w:rPr>
                <w:rFonts w:ascii="Arial" w:hAnsi="Arial" w:cs="Arial"/>
                <w:color w:val="000000"/>
                <w:sz w:val="18"/>
                <w:szCs w:val="18"/>
              </w:rPr>
              <w:t>153.</w:t>
            </w:r>
            <w:r w:rsidR="003C1791" w:rsidRPr="00ED1414">
              <w:rPr>
                <w:rFonts w:ascii="Arial" w:hAnsi="Arial" w:cs="Arial"/>
                <w:color w:val="000000"/>
                <w:sz w:val="18"/>
                <w:szCs w:val="18"/>
              </w:rPr>
              <w:t>24</w:t>
            </w:r>
          </w:p>
        </w:tc>
        <w:tc>
          <w:tcPr>
            <w:tcW w:w="1151" w:type="dxa"/>
            <w:tcBorders>
              <w:top w:val="single" w:sz="4" w:space="0" w:color="002279"/>
              <w:left w:val="single" w:sz="4" w:space="0" w:color="002279"/>
              <w:bottom w:val="single" w:sz="4" w:space="0" w:color="002279"/>
              <w:right w:val="single" w:sz="4" w:space="0" w:color="002279"/>
            </w:tcBorders>
            <w:shd w:val="clear" w:color="auto" w:fill="D4D6DF"/>
            <w:noWrap/>
            <w:vAlign w:val="center"/>
            <w:hideMark/>
          </w:tcPr>
          <w:p w14:paraId="2CEBAE21" w14:textId="3D8E74E3" w:rsidR="00426964" w:rsidRPr="00ED1414" w:rsidRDefault="007239DB" w:rsidP="00034C2B">
            <w:pPr>
              <w:rPr>
                <w:rFonts w:ascii="Arial" w:hAnsi="Arial" w:cs="Arial"/>
                <w:sz w:val="18"/>
                <w:szCs w:val="18"/>
              </w:rPr>
            </w:pPr>
            <w:r w:rsidRPr="00ED1414">
              <w:rPr>
                <w:rFonts w:ascii="Arial" w:hAnsi="Arial" w:cs="Arial"/>
                <w:color w:val="000000"/>
                <w:sz w:val="18"/>
                <w:szCs w:val="18"/>
              </w:rPr>
              <w:t>152.</w:t>
            </w:r>
            <w:r w:rsidR="003C1791" w:rsidRPr="00ED1414">
              <w:rPr>
                <w:rFonts w:ascii="Arial" w:hAnsi="Arial" w:cs="Arial"/>
                <w:color w:val="000000"/>
                <w:sz w:val="18"/>
                <w:szCs w:val="18"/>
              </w:rPr>
              <w:t>62</w:t>
            </w:r>
          </w:p>
        </w:tc>
      </w:tr>
      <w:tr w:rsidR="00ED1414" w:rsidRPr="000B654A" w14:paraId="04D4F09A" w14:textId="77777777" w:rsidTr="003F1732">
        <w:trPr>
          <w:cnfStyle w:val="000000010000" w:firstRow="0" w:lastRow="0" w:firstColumn="0" w:lastColumn="0" w:oddVBand="0" w:evenVBand="0" w:oddHBand="0" w:evenHBand="1" w:firstRowFirstColumn="0" w:firstRowLastColumn="0" w:lastRowFirstColumn="0" w:lastRowLastColumn="0"/>
          <w:trHeight w:val="535"/>
        </w:trPr>
        <w:tc>
          <w:tcPr>
            <w:tcW w:w="2815" w:type="dxa"/>
            <w:tcBorders>
              <w:top w:val="single" w:sz="4" w:space="0" w:color="002279"/>
              <w:left w:val="single" w:sz="4" w:space="0" w:color="002279"/>
              <w:bottom w:val="single" w:sz="4" w:space="0" w:color="002279"/>
              <w:right w:val="single" w:sz="4" w:space="0" w:color="002279"/>
            </w:tcBorders>
            <w:shd w:val="clear" w:color="auto" w:fill="FFFFFF" w:themeFill="background1"/>
            <w:noWrap/>
          </w:tcPr>
          <w:p w14:paraId="6121ADB2" w14:textId="7A264ED0" w:rsidR="00660EBD" w:rsidRPr="00ED1414" w:rsidRDefault="00660EBD" w:rsidP="00F379B3">
            <w:pPr>
              <w:rPr>
                <w:rFonts w:ascii="Arial" w:hAnsi="Arial" w:cs="Arial"/>
                <w:sz w:val="18"/>
                <w:szCs w:val="18"/>
              </w:rPr>
            </w:pPr>
            <w:r w:rsidRPr="00ED1414">
              <w:rPr>
                <w:rFonts w:cs="Arial"/>
                <w:sz w:val="18"/>
                <w:szCs w:val="18"/>
              </w:rPr>
              <w:t>Uncontrollable operating expenditure</w:t>
            </w:r>
          </w:p>
        </w:tc>
        <w:tc>
          <w:tcPr>
            <w:tcW w:w="1150" w:type="dxa"/>
            <w:tcBorders>
              <w:top w:val="single" w:sz="4" w:space="0" w:color="002279"/>
              <w:left w:val="single" w:sz="4" w:space="0" w:color="002279"/>
              <w:bottom w:val="single" w:sz="4" w:space="0" w:color="002279"/>
              <w:right w:val="single" w:sz="4" w:space="0" w:color="002279"/>
            </w:tcBorders>
            <w:shd w:val="clear" w:color="auto" w:fill="FFFFFF" w:themeFill="background1"/>
            <w:noWrap/>
            <w:vAlign w:val="center"/>
          </w:tcPr>
          <w:p w14:paraId="6411693E" w14:textId="6960D809" w:rsidR="00660EBD" w:rsidRPr="00ED1414" w:rsidRDefault="003C1791" w:rsidP="00034C2B">
            <w:pPr>
              <w:rPr>
                <w:rFonts w:ascii="Arial" w:hAnsi="Arial" w:cs="Arial"/>
                <w:sz w:val="18"/>
                <w:szCs w:val="18"/>
              </w:rPr>
            </w:pPr>
            <w:r w:rsidRPr="00ED1414">
              <w:rPr>
                <w:rFonts w:ascii="Arial" w:hAnsi="Arial" w:cs="Arial"/>
                <w:color w:val="000000"/>
                <w:sz w:val="18"/>
                <w:szCs w:val="18"/>
              </w:rPr>
              <w:t>537.52</w:t>
            </w:r>
          </w:p>
        </w:tc>
        <w:tc>
          <w:tcPr>
            <w:tcW w:w="1150" w:type="dxa"/>
            <w:tcBorders>
              <w:top w:val="single" w:sz="4" w:space="0" w:color="002279"/>
              <w:left w:val="single" w:sz="4" w:space="0" w:color="002279"/>
              <w:bottom w:val="single" w:sz="4" w:space="0" w:color="002279"/>
              <w:right w:val="single" w:sz="4" w:space="0" w:color="002279"/>
            </w:tcBorders>
            <w:shd w:val="clear" w:color="auto" w:fill="FFFFFF" w:themeFill="background1"/>
            <w:noWrap/>
            <w:vAlign w:val="center"/>
          </w:tcPr>
          <w:p w14:paraId="0AFF58BA" w14:textId="7274DE80" w:rsidR="00660EBD" w:rsidRPr="00ED1414" w:rsidRDefault="003C1791" w:rsidP="00034C2B">
            <w:pPr>
              <w:rPr>
                <w:rFonts w:ascii="Arial" w:hAnsi="Arial" w:cs="Arial"/>
                <w:sz w:val="18"/>
                <w:szCs w:val="18"/>
              </w:rPr>
            </w:pPr>
            <w:r w:rsidRPr="00ED1414">
              <w:rPr>
                <w:rFonts w:ascii="Arial" w:hAnsi="Arial" w:cs="Arial"/>
                <w:color w:val="000000"/>
                <w:sz w:val="18"/>
                <w:szCs w:val="18"/>
              </w:rPr>
              <w:t>533.11</w:t>
            </w:r>
          </w:p>
        </w:tc>
        <w:tc>
          <w:tcPr>
            <w:tcW w:w="1150" w:type="dxa"/>
            <w:tcBorders>
              <w:top w:val="single" w:sz="4" w:space="0" w:color="002279"/>
              <w:left w:val="single" w:sz="4" w:space="0" w:color="002279"/>
              <w:bottom w:val="single" w:sz="4" w:space="0" w:color="002279"/>
              <w:right w:val="single" w:sz="4" w:space="0" w:color="002279"/>
            </w:tcBorders>
            <w:shd w:val="clear" w:color="auto" w:fill="FFFFFF" w:themeFill="background1"/>
            <w:noWrap/>
            <w:vAlign w:val="center"/>
          </w:tcPr>
          <w:p w14:paraId="00FB8BF3" w14:textId="03327C47" w:rsidR="00660EBD" w:rsidRPr="00ED1414" w:rsidRDefault="003C1791" w:rsidP="00034C2B">
            <w:pPr>
              <w:rPr>
                <w:rFonts w:ascii="Arial" w:hAnsi="Arial" w:cs="Arial"/>
                <w:sz w:val="18"/>
                <w:szCs w:val="18"/>
              </w:rPr>
            </w:pPr>
            <w:r w:rsidRPr="00ED1414">
              <w:rPr>
                <w:rFonts w:ascii="Arial" w:hAnsi="Arial" w:cs="Arial"/>
                <w:color w:val="000000"/>
                <w:sz w:val="18"/>
                <w:szCs w:val="18"/>
              </w:rPr>
              <w:t>535.60</w:t>
            </w:r>
          </w:p>
        </w:tc>
        <w:tc>
          <w:tcPr>
            <w:tcW w:w="1151" w:type="dxa"/>
            <w:tcBorders>
              <w:top w:val="single" w:sz="4" w:space="0" w:color="002279"/>
              <w:left w:val="single" w:sz="4" w:space="0" w:color="002279"/>
              <w:bottom w:val="single" w:sz="4" w:space="0" w:color="002279"/>
              <w:right w:val="single" w:sz="4" w:space="0" w:color="002279"/>
            </w:tcBorders>
            <w:shd w:val="clear" w:color="auto" w:fill="FFFFFF" w:themeFill="background1"/>
            <w:noWrap/>
            <w:vAlign w:val="center"/>
          </w:tcPr>
          <w:p w14:paraId="4D349B7B" w14:textId="36D3326C" w:rsidR="00660EBD" w:rsidRPr="00ED1414" w:rsidRDefault="003C1791" w:rsidP="00034C2B">
            <w:pPr>
              <w:rPr>
                <w:rFonts w:ascii="Arial" w:hAnsi="Arial" w:cs="Arial"/>
                <w:sz w:val="18"/>
                <w:szCs w:val="18"/>
              </w:rPr>
            </w:pPr>
            <w:r w:rsidRPr="00ED1414">
              <w:rPr>
                <w:rFonts w:ascii="Arial" w:hAnsi="Arial" w:cs="Arial"/>
                <w:color w:val="000000"/>
                <w:sz w:val="18"/>
                <w:szCs w:val="18"/>
              </w:rPr>
              <w:t>523.59</w:t>
            </w:r>
          </w:p>
        </w:tc>
        <w:tc>
          <w:tcPr>
            <w:tcW w:w="1150" w:type="dxa"/>
            <w:tcBorders>
              <w:top w:val="single" w:sz="4" w:space="0" w:color="002279"/>
              <w:left w:val="single" w:sz="4" w:space="0" w:color="002279"/>
              <w:bottom w:val="single" w:sz="4" w:space="0" w:color="002279"/>
              <w:right w:val="single" w:sz="4" w:space="0" w:color="002279"/>
            </w:tcBorders>
            <w:shd w:val="clear" w:color="auto" w:fill="FFFFFF" w:themeFill="background1"/>
            <w:noWrap/>
            <w:vAlign w:val="center"/>
          </w:tcPr>
          <w:p w14:paraId="763D8BFB" w14:textId="06F0D122" w:rsidR="00660EBD" w:rsidRPr="00ED1414" w:rsidRDefault="003C1791" w:rsidP="00034C2B">
            <w:pPr>
              <w:rPr>
                <w:rFonts w:ascii="Arial" w:hAnsi="Arial" w:cs="Arial"/>
                <w:sz w:val="18"/>
                <w:szCs w:val="18"/>
              </w:rPr>
            </w:pPr>
            <w:r w:rsidRPr="00ED1414">
              <w:rPr>
                <w:rFonts w:ascii="Arial" w:hAnsi="Arial" w:cs="Arial"/>
                <w:color w:val="000000"/>
                <w:sz w:val="18"/>
                <w:szCs w:val="18"/>
              </w:rPr>
              <w:t>519.59</w:t>
            </w:r>
          </w:p>
        </w:tc>
        <w:tc>
          <w:tcPr>
            <w:tcW w:w="1150" w:type="dxa"/>
            <w:tcBorders>
              <w:top w:val="single" w:sz="4" w:space="0" w:color="002279"/>
              <w:left w:val="single" w:sz="4" w:space="0" w:color="002279"/>
              <w:bottom w:val="single" w:sz="4" w:space="0" w:color="002279"/>
              <w:right w:val="single" w:sz="4" w:space="0" w:color="002279"/>
            </w:tcBorders>
            <w:shd w:val="clear" w:color="auto" w:fill="FFFFFF" w:themeFill="background1"/>
            <w:noWrap/>
            <w:vAlign w:val="center"/>
          </w:tcPr>
          <w:p w14:paraId="323020BC" w14:textId="424BA17F" w:rsidR="00660EBD" w:rsidRPr="00ED1414" w:rsidRDefault="003C1791" w:rsidP="00034C2B">
            <w:pPr>
              <w:rPr>
                <w:rFonts w:ascii="Arial" w:hAnsi="Arial" w:cs="Arial"/>
                <w:sz w:val="18"/>
                <w:szCs w:val="18"/>
              </w:rPr>
            </w:pPr>
            <w:r w:rsidRPr="00ED1414">
              <w:rPr>
                <w:rFonts w:ascii="Arial" w:hAnsi="Arial" w:cs="Arial"/>
                <w:color w:val="000000"/>
                <w:sz w:val="18"/>
                <w:szCs w:val="18"/>
              </w:rPr>
              <w:t>518.32</w:t>
            </w:r>
          </w:p>
        </w:tc>
        <w:tc>
          <w:tcPr>
            <w:tcW w:w="1151" w:type="dxa"/>
            <w:tcBorders>
              <w:top w:val="single" w:sz="4" w:space="0" w:color="002279"/>
              <w:left w:val="single" w:sz="4" w:space="0" w:color="002279"/>
              <w:bottom w:val="single" w:sz="4" w:space="0" w:color="002279"/>
              <w:right w:val="single" w:sz="4" w:space="0" w:color="002279"/>
            </w:tcBorders>
            <w:shd w:val="clear" w:color="auto" w:fill="FFFFFF" w:themeFill="background1"/>
            <w:noWrap/>
            <w:vAlign w:val="center"/>
          </w:tcPr>
          <w:p w14:paraId="7B648C35" w14:textId="33996C6D" w:rsidR="00660EBD" w:rsidRPr="00ED1414" w:rsidRDefault="003C1791" w:rsidP="00034C2B">
            <w:pPr>
              <w:rPr>
                <w:rFonts w:ascii="Arial" w:hAnsi="Arial" w:cs="Arial"/>
                <w:sz w:val="18"/>
                <w:szCs w:val="18"/>
              </w:rPr>
            </w:pPr>
            <w:r w:rsidRPr="00ED1414">
              <w:rPr>
                <w:rFonts w:ascii="Arial" w:hAnsi="Arial" w:cs="Arial"/>
                <w:color w:val="000000"/>
                <w:sz w:val="18"/>
                <w:szCs w:val="18"/>
              </w:rPr>
              <w:t>517.63</w:t>
            </w:r>
          </w:p>
        </w:tc>
        <w:tc>
          <w:tcPr>
            <w:tcW w:w="1150" w:type="dxa"/>
            <w:tcBorders>
              <w:top w:val="single" w:sz="4" w:space="0" w:color="002279"/>
              <w:left w:val="single" w:sz="4" w:space="0" w:color="002279"/>
              <w:bottom w:val="single" w:sz="4" w:space="0" w:color="002279"/>
              <w:right w:val="single" w:sz="4" w:space="0" w:color="002279"/>
            </w:tcBorders>
            <w:shd w:val="clear" w:color="auto" w:fill="FFFFFF" w:themeFill="background1"/>
            <w:noWrap/>
            <w:vAlign w:val="center"/>
          </w:tcPr>
          <w:p w14:paraId="5B63CB22" w14:textId="21B069BB" w:rsidR="00660EBD" w:rsidRPr="00ED1414" w:rsidRDefault="003C1791" w:rsidP="00034C2B">
            <w:pPr>
              <w:rPr>
                <w:rFonts w:ascii="Arial" w:hAnsi="Arial" w:cs="Arial"/>
                <w:sz w:val="18"/>
                <w:szCs w:val="18"/>
              </w:rPr>
            </w:pPr>
            <w:r w:rsidRPr="00ED1414">
              <w:rPr>
                <w:rFonts w:ascii="Arial" w:hAnsi="Arial" w:cs="Arial"/>
                <w:color w:val="000000"/>
                <w:sz w:val="18"/>
                <w:szCs w:val="18"/>
              </w:rPr>
              <w:t>517.07</w:t>
            </w:r>
          </w:p>
        </w:tc>
        <w:tc>
          <w:tcPr>
            <w:tcW w:w="1150" w:type="dxa"/>
            <w:tcBorders>
              <w:top w:val="single" w:sz="4" w:space="0" w:color="002279"/>
              <w:left w:val="single" w:sz="4" w:space="0" w:color="002279"/>
              <w:bottom w:val="single" w:sz="4" w:space="0" w:color="002279"/>
              <w:right w:val="single" w:sz="4" w:space="0" w:color="002279"/>
            </w:tcBorders>
            <w:shd w:val="clear" w:color="auto" w:fill="FFFFFF" w:themeFill="background1"/>
            <w:noWrap/>
            <w:vAlign w:val="center"/>
          </w:tcPr>
          <w:p w14:paraId="1E74B730" w14:textId="0D56A8F5" w:rsidR="00660EBD" w:rsidRPr="00ED1414" w:rsidRDefault="003C1791" w:rsidP="00034C2B">
            <w:pPr>
              <w:rPr>
                <w:rFonts w:ascii="Arial" w:hAnsi="Arial" w:cs="Arial"/>
                <w:sz w:val="18"/>
                <w:szCs w:val="18"/>
              </w:rPr>
            </w:pPr>
            <w:r w:rsidRPr="00ED1414">
              <w:rPr>
                <w:rFonts w:ascii="Arial" w:hAnsi="Arial" w:cs="Arial"/>
                <w:color w:val="000000"/>
                <w:sz w:val="18"/>
                <w:szCs w:val="18"/>
              </w:rPr>
              <w:t>516.94</w:t>
            </w:r>
          </w:p>
        </w:tc>
        <w:tc>
          <w:tcPr>
            <w:tcW w:w="1151" w:type="dxa"/>
            <w:tcBorders>
              <w:top w:val="single" w:sz="4" w:space="0" w:color="002279"/>
              <w:left w:val="single" w:sz="4" w:space="0" w:color="002279"/>
              <w:bottom w:val="single" w:sz="4" w:space="0" w:color="002279"/>
              <w:right w:val="single" w:sz="4" w:space="0" w:color="002279"/>
            </w:tcBorders>
            <w:shd w:val="clear" w:color="auto" w:fill="FFFFFF" w:themeFill="background1"/>
            <w:noWrap/>
            <w:vAlign w:val="center"/>
          </w:tcPr>
          <w:p w14:paraId="7EA46C20" w14:textId="1CACECB0" w:rsidR="00660EBD" w:rsidRPr="00ED1414" w:rsidRDefault="003C1791" w:rsidP="00034C2B">
            <w:pPr>
              <w:rPr>
                <w:rFonts w:ascii="Arial" w:hAnsi="Arial" w:cs="Arial"/>
                <w:sz w:val="18"/>
                <w:szCs w:val="18"/>
              </w:rPr>
            </w:pPr>
            <w:r w:rsidRPr="00ED1414">
              <w:rPr>
                <w:rFonts w:ascii="Arial" w:hAnsi="Arial" w:cs="Arial"/>
                <w:color w:val="000000"/>
                <w:sz w:val="18"/>
                <w:szCs w:val="18"/>
              </w:rPr>
              <w:t>516.54</w:t>
            </w:r>
          </w:p>
        </w:tc>
      </w:tr>
      <w:tr w:rsidR="00ED1414" w:rsidRPr="000B654A" w14:paraId="45BF4CA2" w14:textId="77777777" w:rsidTr="003F1732">
        <w:trPr>
          <w:cnfStyle w:val="000000100000" w:firstRow="0" w:lastRow="0" w:firstColumn="0" w:lastColumn="0" w:oddVBand="0" w:evenVBand="0" w:oddHBand="1" w:evenHBand="0" w:firstRowFirstColumn="0" w:firstRowLastColumn="0" w:lastRowFirstColumn="0" w:lastRowLastColumn="0"/>
          <w:trHeight w:val="535"/>
        </w:trPr>
        <w:tc>
          <w:tcPr>
            <w:tcW w:w="2815" w:type="dxa"/>
            <w:tcBorders>
              <w:top w:val="single" w:sz="4" w:space="0" w:color="002279"/>
              <w:left w:val="single" w:sz="4" w:space="0" w:color="002279"/>
              <w:bottom w:val="single" w:sz="4" w:space="0" w:color="002279"/>
              <w:right w:val="single" w:sz="4" w:space="0" w:color="002279"/>
            </w:tcBorders>
            <w:shd w:val="clear" w:color="auto" w:fill="D4D6DF"/>
            <w:noWrap/>
            <w:hideMark/>
          </w:tcPr>
          <w:p w14:paraId="26C9276B" w14:textId="06AEEC5B" w:rsidR="00426964" w:rsidRPr="00ED1414" w:rsidRDefault="00426964" w:rsidP="003E7263">
            <w:pPr>
              <w:rPr>
                <w:rFonts w:ascii="Arial" w:hAnsi="Arial" w:cs="Arial"/>
                <w:sz w:val="18"/>
                <w:szCs w:val="18"/>
              </w:rPr>
            </w:pPr>
            <w:r w:rsidRPr="00ED1414">
              <w:rPr>
                <w:rFonts w:cs="Arial"/>
                <w:sz w:val="18"/>
                <w:szCs w:val="18"/>
              </w:rPr>
              <w:t>Return on assets</w:t>
            </w:r>
          </w:p>
        </w:tc>
        <w:tc>
          <w:tcPr>
            <w:tcW w:w="1150" w:type="dxa"/>
            <w:tcBorders>
              <w:top w:val="single" w:sz="4" w:space="0" w:color="002279"/>
              <w:left w:val="single" w:sz="4" w:space="0" w:color="002279"/>
              <w:bottom w:val="single" w:sz="4" w:space="0" w:color="002279"/>
              <w:right w:val="single" w:sz="4" w:space="0" w:color="002279"/>
            </w:tcBorders>
            <w:shd w:val="clear" w:color="auto" w:fill="D4D6DF"/>
            <w:noWrap/>
            <w:vAlign w:val="center"/>
            <w:hideMark/>
          </w:tcPr>
          <w:p w14:paraId="0DFA0C11" w14:textId="55AD908F" w:rsidR="00426964" w:rsidRPr="00ED1414" w:rsidRDefault="008869A8" w:rsidP="00034C2B">
            <w:pPr>
              <w:rPr>
                <w:rFonts w:ascii="Arial" w:hAnsi="Arial" w:cs="Arial"/>
                <w:sz w:val="18"/>
                <w:szCs w:val="18"/>
              </w:rPr>
            </w:pPr>
            <w:r w:rsidRPr="00ED1414">
              <w:rPr>
                <w:rFonts w:ascii="Arial" w:hAnsi="Arial" w:cs="Arial"/>
                <w:color w:val="000000"/>
                <w:sz w:val="18"/>
                <w:szCs w:val="18"/>
              </w:rPr>
              <w:t>108.</w:t>
            </w:r>
            <w:r w:rsidR="009F717A" w:rsidRPr="00ED1414">
              <w:rPr>
                <w:rFonts w:ascii="Arial" w:hAnsi="Arial" w:cs="Arial"/>
                <w:color w:val="000000"/>
                <w:sz w:val="18"/>
                <w:szCs w:val="18"/>
              </w:rPr>
              <w:t>14</w:t>
            </w:r>
          </w:p>
        </w:tc>
        <w:tc>
          <w:tcPr>
            <w:tcW w:w="1150" w:type="dxa"/>
            <w:tcBorders>
              <w:top w:val="single" w:sz="4" w:space="0" w:color="002279"/>
              <w:left w:val="single" w:sz="4" w:space="0" w:color="002279"/>
              <w:bottom w:val="single" w:sz="4" w:space="0" w:color="002279"/>
              <w:right w:val="single" w:sz="4" w:space="0" w:color="002279"/>
            </w:tcBorders>
            <w:shd w:val="clear" w:color="auto" w:fill="D4D6DF"/>
            <w:noWrap/>
            <w:vAlign w:val="center"/>
            <w:hideMark/>
          </w:tcPr>
          <w:p w14:paraId="4CAD93A2" w14:textId="677F5DE1" w:rsidR="00426964" w:rsidRPr="00ED1414" w:rsidRDefault="008869A8" w:rsidP="00034C2B">
            <w:pPr>
              <w:rPr>
                <w:rFonts w:ascii="Arial" w:hAnsi="Arial" w:cs="Arial"/>
                <w:sz w:val="18"/>
                <w:szCs w:val="18"/>
              </w:rPr>
            </w:pPr>
            <w:r w:rsidRPr="00ED1414">
              <w:rPr>
                <w:rFonts w:ascii="Arial" w:hAnsi="Arial" w:cs="Arial"/>
                <w:color w:val="000000"/>
                <w:sz w:val="18"/>
                <w:szCs w:val="18"/>
              </w:rPr>
              <w:t>104.</w:t>
            </w:r>
            <w:r w:rsidR="009F717A" w:rsidRPr="00ED1414">
              <w:rPr>
                <w:rFonts w:ascii="Arial" w:hAnsi="Arial" w:cs="Arial"/>
                <w:color w:val="000000"/>
                <w:sz w:val="18"/>
                <w:szCs w:val="18"/>
              </w:rPr>
              <w:t>98</w:t>
            </w:r>
          </w:p>
        </w:tc>
        <w:tc>
          <w:tcPr>
            <w:tcW w:w="1150" w:type="dxa"/>
            <w:tcBorders>
              <w:top w:val="single" w:sz="4" w:space="0" w:color="002279"/>
              <w:left w:val="single" w:sz="4" w:space="0" w:color="002279"/>
              <w:bottom w:val="single" w:sz="4" w:space="0" w:color="002279"/>
              <w:right w:val="single" w:sz="4" w:space="0" w:color="002279"/>
            </w:tcBorders>
            <w:shd w:val="clear" w:color="auto" w:fill="D4D6DF"/>
            <w:noWrap/>
            <w:vAlign w:val="center"/>
            <w:hideMark/>
          </w:tcPr>
          <w:p w14:paraId="3A05952E" w14:textId="1395A1EC" w:rsidR="00426964" w:rsidRPr="00ED1414" w:rsidRDefault="008869A8" w:rsidP="00034C2B">
            <w:pPr>
              <w:rPr>
                <w:rFonts w:ascii="Arial" w:hAnsi="Arial" w:cs="Arial"/>
                <w:sz w:val="18"/>
                <w:szCs w:val="18"/>
              </w:rPr>
            </w:pPr>
            <w:r w:rsidRPr="00ED1414">
              <w:rPr>
                <w:rFonts w:ascii="Arial" w:hAnsi="Arial" w:cs="Arial"/>
                <w:color w:val="000000"/>
                <w:sz w:val="18"/>
                <w:szCs w:val="18"/>
              </w:rPr>
              <w:t>105.</w:t>
            </w:r>
            <w:r w:rsidR="009F717A" w:rsidRPr="00ED1414">
              <w:rPr>
                <w:rFonts w:ascii="Arial" w:hAnsi="Arial" w:cs="Arial"/>
                <w:color w:val="000000"/>
                <w:sz w:val="18"/>
                <w:szCs w:val="18"/>
              </w:rPr>
              <w:t>95</w:t>
            </w:r>
          </w:p>
        </w:tc>
        <w:tc>
          <w:tcPr>
            <w:tcW w:w="1151" w:type="dxa"/>
            <w:tcBorders>
              <w:top w:val="single" w:sz="4" w:space="0" w:color="002279"/>
              <w:left w:val="single" w:sz="4" w:space="0" w:color="002279"/>
              <w:bottom w:val="single" w:sz="4" w:space="0" w:color="002279"/>
              <w:right w:val="single" w:sz="4" w:space="0" w:color="002279"/>
            </w:tcBorders>
            <w:shd w:val="clear" w:color="auto" w:fill="D4D6DF"/>
            <w:noWrap/>
            <w:vAlign w:val="center"/>
            <w:hideMark/>
          </w:tcPr>
          <w:p w14:paraId="0338CBB3" w14:textId="15F938D3" w:rsidR="00426964" w:rsidRPr="00ED1414" w:rsidRDefault="009F717A" w:rsidP="00034C2B">
            <w:pPr>
              <w:rPr>
                <w:rFonts w:ascii="Arial" w:hAnsi="Arial" w:cs="Arial"/>
                <w:sz w:val="18"/>
                <w:szCs w:val="18"/>
              </w:rPr>
            </w:pPr>
            <w:r w:rsidRPr="00ED1414">
              <w:rPr>
                <w:rFonts w:ascii="Arial" w:hAnsi="Arial" w:cs="Arial"/>
                <w:color w:val="000000"/>
                <w:sz w:val="18"/>
                <w:szCs w:val="18"/>
              </w:rPr>
              <w:t>107.01</w:t>
            </w:r>
          </w:p>
        </w:tc>
        <w:tc>
          <w:tcPr>
            <w:tcW w:w="1150" w:type="dxa"/>
            <w:tcBorders>
              <w:top w:val="single" w:sz="4" w:space="0" w:color="002279"/>
              <w:left w:val="single" w:sz="4" w:space="0" w:color="002279"/>
              <w:bottom w:val="single" w:sz="4" w:space="0" w:color="002279"/>
              <w:right w:val="single" w:sz="4" w:space="0" w:color="002279"/>
            </w:tcBorders>
            <w:shd w:val="clear" w:color="auto" w:fill="D4D6DF"/>
            <w:noWrap/>
            <w:vAlign w:val="center"/>
            <w:hideMark/>
          </w:tcPr>
          <w:p w14:paraId="34EB382B" w14:textId="18E8DCCC" w:rsidR="00426964" w:rsidRPr="00ED1414" w:rsidRDefault="008F4EED" w:rsidP="00034C2B">
            <w:pPr>
              <w:rPr>
                <w:rFonts w:ascii="Arial" w:hAnsi="Arial" w:cs="Arial"/>
                <w:sz w:val="18"/>
                <w:szCs w:val="18"/>
              </w:rPr>
            </w:pPr>
            <w:r w:rsidRPr="00ED1414">
              <w:rPr>
                <w:rFonts w:ascii="Arial" w:hAnsi="Arial" w:cs="Arial"/>
                <w:color w:val="000000"/>
                <w:sz w:val="18"/>
                <w:szCs w:val="18"/>
              </w:rPr>
              <w:t>108.</w:t>
            </w:r>
            <w:r w:rsidR="009F717A" w:rsidRPr="00ED1414">
              <w:rPr>
                <w:rFonts w:ascii="Arial" w:hAnsi="Arial" w:cs="Arial"/>
                <w:color w:val="000000"/>
                <w:sz w:val="18"/>
                <w:szCs w:val="18"/>
              </w:rPr>
              <w:t>93</w:t>
            </w:r>
          </w:p>
        </w:tc>
        <w:tc>
          <w:tcPr>
            <w:tcW w:w="1150" w:type="dxa"/>
            <w:tcBorders>
              <w:top w:val="single" w:sz="4" w:space="0" w:color="002279"/>
              <w:left w:val="single" w:sz="4" w:space="0" w:color="002279"/>
              <w:bottom w:val="single" w:sz="4" w:space="0" w:color="002279"/>
              <w:right w:val="single" w:sz="4" w:space="0" w:color="002279"/>
            </w:tcBorders>
            <w:shd w:val="clear" w:color="auto" w:fill="D4D6DF"/>
            <w:noWrap/>
            <w:vAlign w:val="center"/>
            <w:hideMark/>
          </w:tcPr>
          <w:p w14:paraId="3ED68E8F" w14:textId="03995653" w:rsidR="00426964" w:rsidRPr="00ED1414" w:rsidRDefault="008F4EED" w:rsidP="00034C2B">
            <w:pPr>
              <w:rPr>
                <w:rFonts w:ascii="Arial" w:hAnsi="Arial" w:cs="Arial"/>
                <w:sz w:val="18"/>
                <w:szCs w:val="18"/>
              </w:rPr>
            </w:pPr>
            <w:r w:rsidRPr="00ED1414">
              <w:rPr>
                <w:rFonts w:ascii="Arial" w:hAnsi="Arial" w:cs="Arial"/>
                <w:color w:val="000000"/>
                <w:sz w:val="18"/>
                <w:szCs w:val="18"/>
              </w:rPr>
              <w:t>110.</w:t>
            </w:r>
            <w:r w:rsidR="009F717A" w:rsidRPr="00ED1414">
              <w:rPr>
                <w:rFonts w:ascii="Arial" w:hAnsi="Arial" w:cs="Arial"/>
                <w:color w:val="000000"/>
                <w:sz w:val="18"/>
                <w:szCs w:val="18"/>
              </w:rPr>
              <w:t>83</w:t>
            </w:r>
          </w:p>
        </w:tc>
        <w:tc>
          <w:tcPr>
            <w:tcW w:w="1151" w:type="dxa"/>
            <w:tcBorders>
              <w:top w:val="single" w:sz="4" w:space="0" w:color="002279"/>
              <w:left w:val="single" w:sz="4" w:space="0" w:color="002279"/>
              <w:bottom w:val="single" w:sz="4" w:space="0" w:color="002279"/>
              <w:right w:val="single" w:sz="4" w:space="0" w:color="002279"/>
            </w:tcBorders>
            <w:shd w:val="clear" w:color="auto" w:fill="D4D6DF"/>
            <w:noWrap/>
            <w:vAlign w:val="center"/>
            <w:hideMark/>
          </w:tcPr>
          <w:p w14:paraId="4827D2A0" w14:textId="5E3347FD" w:rsidR="00426964" w:rsidRPr="00ED1414" w:rsidRDefault="008F4EED" w:rsidP="00034C2B">
            <w:pPr>
              <w:rPr>
                <w:rFonts w:ascii="Arial" w:hAnsi="Arial" w:cs="Arial"/>
                <w:sz w:val="18"/>
                <w:szCs w:val="18"/>
              </w:rPr>
            </w:pPr>
            <w:r w:rsidRPr="00ED1414">
              <w:rPr>
                <w:rFonts w:ascii="Arial" w:hAnsi="Arial" w:cs="Arial"/>
                <w:color w:val="000000"/>
                <w:sz w:val="18"/>
                <w:szCs w:val="18"/>
              </w:rPr>
              <w:t>112.</w:t>
            </w:r>
            <w:r w:rsidR="009F717A" w:rsidRPr="00ED1414">
              <w:rPr>
                <w:rFonts w:ascii="Arial" w:hAnsi="Arial" w:cs="Arial"/>
                <w:color w:val="000000"/>
                <w:sz w:val="18"/>
                <w:szCs w:val="18"/>
              </w:rPr>
              <w:t>36</w:t>
            </w:r>
          </w:p>
        </w:tc>
        <w:tc>
          <w:tcPr>
            <w:tcW w:w="1150" w:type="dxa"/>
            <w:tcBorders>
              <w:top w:val="single" w:sz="4" w:space="0" w:color="002279"/>
              <w:left w:val="single" w:sz="4" w:space="0" w:color="002279"/>
              <w:bottom w:val="single" w:sz="4" w:space="0" w:color="002279"/>
              <w:right w:val="single" w:sz="4" w:space="0" w:color="002279"/>
            </w:tcBorders>
            <w:shd w:val="clear" w:color="auto" w:fill="D4D6DF"/>
            <w:noWrap/>
            <w:vAlign w:val="center"/>
            <w:hideMark/>
          </w:tcPr>
          <w:p w14:paraId="3AC81353" w14:textId="53C0C4D0" w:rsidR="00426964" w:rsidRPr="00ED1414" w:rsidRDefault="008869A8" w:rsidP="00034C2B">
            <w:pPr>
              <w:rPr>
                <w:rFonts w:ascii="Arial" w:hAnsi="Arial" w:cs="Arial"/>
                <w:sz w:val="18"/>
                <w:szCs w:val="18"/>
              </w:rPr>
            </w:pPr>
            <w:r w:rsidRPr="00ED1414">
              <w:rPr>
                <w:rFonts w:ascii="Arial" w:hAnsi="Arial" w:cs="Arial"/>
                <w:color w:val="000000"/>
                <w:sz w:val="18"/>
                <w:szCs w:val="18"/>
              </w:rPr>
              <w:t>118.</w:t>
            </w:r>
            <w:r w:rsidR="009F717A" w:rsidRPr="00ED1414">
              <w:rPr>
                <w:rFonts w:ascii="Arial" w:hAnsi="Arial" w:cs="Arial"/>
                <w:color w:val="000000"/>
                <w:sz w:val="18"/>
                <w:szCs w:val="18"/>
              </w:rPr>
              <w:t>20</w:t>
            </w:r>
          </w:p>
        </w:tc>
        <w:tc>
          <w:tcPr>
            <w:tcW w:w="1150" w:type="dxa"/>
            <w:tcBorders>
              <w:top w:val="single" w:sz="4" w:space="0" w:color="002279"/>
              <w:left w:val="single" w:sz="4" w:space="0" w:color="002279"/>
              <w:bottom w:val="single" w:sz="4" w:space="0" w:color="002279"/>
              <w:right w:val="single" w:sz="4" w:space="0" w:color="002279"/>
            </w:tcBorders>
            <w:shd w:val="clear" w:color="auto" w:fill="D4D6DF"/>
            <w:noWrap/>
            <w:vAlign w:val="center"/>
            <w:hideMark/>
          </w:tcPr>
          <w:p w14:paraId="289A30C5" w14:textId="53616505" w:rsidR="00426964" w:rsidRPr="00ED1414" w:rsidRDefault="008F4EED" w:rsidP="00034C2B">
            <w:pPr>
              <w:rPr>
                <w:rFonts w:ascii="Arial" w:hAnsi="Arial" w:cs="Arial"/>
                <w:sz w:val="18"/>
                <w:szCs w:val="18"/>
              </w:rPr>
            </w:pPr>
            <w:r w:rsidRPr="00ED1414">
              <w:rPr>
                <w:rFonts w:ascii="Arial" w:hAnsi="Arial" w:cs="Arial"/>
                <w:color w:val="000000"/>
                <w:sz w:val="18"/>
                <w:szCs w:val="18"/>
              </w:rPr>
              <w:t>124.</w:t>
            </w:r>
            <w:r w:rsidR="009F717A" w:rsidRPr="00ED1414">
              <w:rPr>
                <w:rFonts w:ascii="Arial" w:hAnsi="Arial" w:cs="Arial"/>
                <w:color w:val="000000"/>
                <w:sz w:val="18"/>
                <w:szCs w:val="18"/>
              </w:rPr>
              <w:t>58</w:t>
            </w:r>
          </w:p>
        </w:tc>
        <w:tc>
          <w:tcPr>
            <w:tcW w:w="1151" w:type="dxa"/>
            <w:tcBorders>
              <w:top w:val="single" w:sz="4" w:space="0" w:color="002279"/>
              <w:left w:val="single" w:sz="4" w:space="0" w:color="002279"/>
              <w:bottom w:val="single" w:sz="4" w:space="0" w:color="002279"/>
              <w:right w:val="single" w:sz="4" w:space="0" w:color="002279"/>
            </w:tcBorders>
            <w:shd w:val="clear" w:color="auto" w:fill="D4D6DF"/>
            <w:noWrap/>
            <w:vAlign w:val="center"/>
            <w:hideMark/>
          </w:tcPr>
          <w:p w14:paraId="3E4DB255" w14:textId="2CBC2D61" w:rsidR="00426964" w:rsidRPr="00ED1414" w:rsidRDefault="008F4EED" w:rsidP="00034C2B">
            <w:pPr>
              <w:rPr>
                <w:rFonts w:ascii="Arial" w:hAnsi="Arial" w:cs="Arial"/>
                <w:sz w:val="18"/>
                <w:szCs w:val="18"/>
              </w:rPr>
            </w:pPr>
            <w:r w:rsidRPr="00ED1414">
              <w:rPr>
                <w:rFonts w:ascii="Arial" w:hAnsi="Arial" w:cs="Arial"/>
                <w:color w:val="000000"/>
                <w:sz w:val="18"/>
                <w:szCs w:val="18"/>
              </w:rPr>
              <w:t>128.</w:t>
            </w:r>
            <w:r w:rsidR="009F717A" w:rsidRPr="00ED1414">
              <w:rPr>
                <w:rFonts w:ascii="Arial" w:hAnsi="Arial" w:cs="Arial"/>
                <w:color w:val="000000"/>
                <w:sz w:val="18"/>
                <w:szCs w:val="18"/>
              </w:rPr>
              <w:t>27</w:t>
            </w:r>
          </w:p>
        </w:tc>
      </w:tr>
      <w:tr w:rsidR="00ED1414" w:rsidRPr="000B654A" w14:paraId="60B2ABFF" w14:textId="77777777" w:rsidTr="003F1732">
        <w:trPr>
          <w:cnfStyle w:val="000000010000" w:firstRow="0" w:lastRow="0" w:firstColumn="0" w:lastColumn="0" w:oddVBand="0" w:evenVBand="0" w:oddHBand="0" w:evenHBand="1" w:firstRowFirstColumn="0" w:firstRowLastColumn="0" w:lastRowFirstColumn="0" w:lastRowLastColumn="0"/>
          <w:trHeight w:val="535"/>
        </w:trPr>
        <w:tc>
          <w:tcPr>
            <w:tcW w:w="2815" w:type="dxa"/>
            <w:tcBorders>
              <w:top w:val="single" w:sz="4" w:space="0" w:color="002279"/>
              <w:left w:val="single" w:sz="4" w:space="0" w:color="002279"/>
              <w:bottom w:val="single" w:sz="4" w:space="0" w:color="002279"/>
              <w:right w:val="single" w:sz="4" w:space="0" w:color="002279"/>
            </w:tcBorders>
            <w:shd w:val="clear" w:color="auto" w:fill="FFFFFF" w:themeFill="background1"/>
            <w:noWrap/>
            <w:hideMark/>
          </w:tcPr>
          <w:p w14:paraId="56EBAFF4" w14:textId="21E43D03" w:rsidR="00426964" w:rsidRPr="00ED1414" w:rsidRDefault="00426964" w:rsidP="003E7263">
            <w:pPr>
              <w:rPr>
                <w:rFonts w:ascii="Arial" w:hAnsi="Arial" w:cs="Arial"/>
                <w:sz w:val="18"/>
                <w:szCs w:val="18"/>
              </w:rPr>
            </w:pPr>
            <w:r w:rsidRPr="00ED1414">
              <w:rPr>
                <w:rFonts w:cs="Arial"/>
                <w:sz w:val="18"/>
                <w:szCs w:val="18"/>
              </w:rPr>
              <w:t>Regulatory depreciation of assets</w:t>
            </w:r>
          </w:p>
        </w:tc>
        <w:tc>
          <w:tcPr>
            <w:tcW w:w="1150" w:type="dxa"/>
            <w:tcBorders>
              <w:top w:val="single" w:sz="4" w:space="0" w:color="002279"/>
              <w:left w:val="single" w:sz="4" w:space="0" w:color="002279"/>
              <w:bottom w:val="single" w:sz="4" w:space="0" w:color="002279"/>
              <w:right w:val="single" w:sz="4" w:space="0" w:color="002279"/>
            </w:tcBorders>
            <w:shd w:val="clear" w:color="auto" w:fill="FFFFFF" w:themeFill="background1"/>
            <w:noWrap/>
            <w:vAlign w:val="center"/>
            <w:hideMark/>
          </w:tcPr>
          <w:p w14:paraId="2AC9F9F6" w14:textId="0667D5B5" w:rsidR="00426964" w:rsidRPr="00ED1414" w:rsidRDefault="00C64D9C" w:rsidP="00034C2B">
            <w:pPr>
              <w:rPr>
                <w:rFonts w:ascii="Arial" w:hAnsi="Arial" w:cs="Arial"/>
                <w:sz w:val="18"/>
                <w:szCs w:val="18"/>
              </w:rPr>
            </w:pPr>
            <w:r w:rsidRPr="00ED1414">
              <w:rPr>
                <w:rFonts w:ascii="Arial" w:hAnsi="Arial" w:cs="Arial"/>
                <w:color w:val="000000"/>
                <w:sz w:val="18"/>
                <w:szCs w:val="18"/>
              </w:rPr>
              <w:t>121.</w:t>
            </w:r>
            <w:r w:rsidR="009F717A" w:rsidRPr="00ED1414">
              <w:rPr>
                <w:rFonts w:ascii="Arial" w:hAnsi="Arial" w:cs="Arial"/>
                <w:color w:val="000000"/>
                <w:sz w:val="18"/>
                <w:szCs w:val="18"/>
              </w:rPr>
              <w:t>28</w:t>
            </w:r>
          </w:p>
        </w:tc>
        <w:tc>
          <w:tcPr>
            <w:tcW w:w="1150" w:type="dxa"/>
            <w:tcBorders>
              <w:top w:val="single" w:sz="4" w:space="0" w:color="002279"/>
              <w:left w:val="single" w:sz="4" w:space="0" w:color="002279"/>
              <w:bottom w:val="single" w:sz="4" w:space="0" w:color="002279"/>
              <w:right w:val="single" w:sz="4" w:space="0" w:color="002279"/>
            </w:tcBorders>
            <w:shd w:val="clear" w:color="auto" w:fill="FFFFFF" w:themeFill="background1"/>
            <w:noWrap/>
            <w:vAlign w:val="center"/>
            <w:hideMark/>
          </w:tcPr>
          <w:p w14:paraId="21870F70" w14:textId="7EF0F2B8" w:rsidR="00426964" w:rsidRPr="00ED1414" w:rsidRDefault="00C64D9C" w:rsidP="00034C2B">
            <w:pPr>
              <w:rPr>
                <w:rFonts w:ascii="Arial" w:hAnsi="Arial" w:cs="Arial"/>
                <w:sz w:val="18"/>
                <w:szCs w:val="18"/>
              </w:rPr>
            </w:pPr>
            <w:r w:rsidRPr="00ED1414">
              <w:rPr>
                <w:rFonts w:ascii="Arial" w:hAnsi="Arial" w:cs="Arial"/>
                <w:color w:val="000000"/>
                <w:sz w:val="18"/>
                <w:szCs w:val="18"/>
              </w:rPr>
              <w:t>111.</w:t>
            </w:r>
            <w:r w:rsidR="009F717A" w:rsidRPr="00ED1414">
              <w:rPr>
                <w:rFonts w:ascii="Arial" w:hAnsi="Arial" w:cs="Arial"/>
                <w:color w:val="000000"/>
                <w:sz w:val="18"/>
                <w:szCs w:val="18"/>
              </w:rPr>
              <w:t>38</w:t>
            </w:r>
          </w:p>
        </w:tc>
        <w:tc>
          <w:tcPr>
            <w:tcW w:w="1150" w:type="dxa"/>
            <w:tcBorders>
              <w:top w:val="single" w:sz="4" w:space="0" w:color="002279"/>
              <w:left w:val="single" w:sz="4" w:space="0" w:color="002279"/>
              <w:bottom w:val="single" w:sz="4" w:space="0" w:color="002279"/>
              <w:right w:val="single" w:sz="4" w:space="0" w:color="002279"/>
            </w:tcBorders>
            <w:shd w:val="clear" w:color="auto" w:fill="FFFFFF" w:themeFill="background1"/>
            <w:noWrap/>
            <w:vAlign w:val="center"/>
            <w:hideMark/>
          </w:tcPr>
          <w:p w14:paraId="5567F096" w14:textId="1AE34232" w:rsidR="00426964" w:rsidRPr="00ED1414" w:rsidRDefault="00C64D9C" w:rsidP="00034C2B">
            <w:pPr>
              <w:rPr>
                <w:rFonts w:ascii="Arial" w:hAnsi="Arial" w:cs="Arial"/>
                <w:sz w:val="18"/>
                <w:szCs w:val="18"/>
              </w:rPr>
            </w:pPr>
            <w:r w:rsidRPr="00ED1414">
              <w:rPr>
                <w:rFonts w:ascii="Arial" w:hAnsi="Arial" w:cs="Arial"/>
                <w:color w:val="000000"/>
                <w:sz w:val="18"/>
                <w:szCs w:val="18"/>
              </w:rPr>
              <w:t>106.</w:t>
            </w:r>
            <w:r w:rsidR="009F717A" w:rsidRPr="00ED1414">
              <w:rPr>
                <w:rFonts w:ascii="Arial" w:hAnsi="Arial" w:cs="Arial"/>
                <w:color w:val="000000"/>
                <w:sz w:val="18"/>
                <w:szCs w:val="18"/>
              </w:rPr>
              <w:t>82</w:t>
            </w:r>
          </w:p>
        </w:tc>
        <w:tc>
          <w:tcPr>
            <w:tcW w:w="1151" w:type="dxa"/>
            <w:tcBorders>
              <w:top w:val="single" w:sz="4" w:space="0" w:color="002279"/>
              <w:left w:val="single" w:sz="4" w:space="0" w:color="002279"/>
              <w:bottom w:val="single" w:sz="4" w:space="0" w:color="002279"/>
              <w:right w:val="single" w:sz="4" w:space="0" w:color="002279"/>
            </w:tcBorders>
            <w:shd w:val="clear" w:color="auto" w:fill="FFFFFF" w:themeFill="background1"/>
            <w:noWrap/>
            <w:vAlign w:val="center"/>
            <w:hideMark/>
          </w:tcPr>
          <w:p w14:paraId="0F858D7A" w14:textId="136E3E4E" w:rsidR="00426964" w:rsidRPr="00ED1414" w:rsidRDefault="00C64D9C" w:rsidP="00034C2B">
            <w:pPr>
              <w:rPr>
                <w:rFonts w:ascii="Arial" w:hAnsi="Arial" w:cs="Arial"/>
                <w:sz w:val="18"/>
                <w:szCs w:val="18"/>
              </w:rPr>
            </w:pPr>
            <w:r w:rsidRPr="00ED1414">
              <w:rPr>
                <w:rFonts w:ascii="Arial" w:hAnsi="Arial" w:cs="Arial"/>
                <w:color w:val="000000"/>
                <w:sz w:val="18"/>
                <w:szCs w:val="18"/>
              </w:rPr>
              <w:t>112.</w:t>
            </w:r>
            <w:r w:rsidR="009F717A" w:rsidRPr="00ED1414">
              <w:rPr>
                <w:rFonts w:ascii="Arial" w:hAnsi="Arial" w:cs="Arial"/>
                <w:color w:val="000000"/>
                <w:sz w:val="18"/>
                <w:szCs w:val="18"/>
              </w:rPr>
              <w:t>66</w:t>
            </w:r>
          </w:p>
        </w:tc>
        <w:tc>
          <w:tcPr>
            <w:tcW w:w="1150" w:type="dxa"/>
            <w:tcBorders>
              <w:top w:val="single" w:sz="4" w:space="0" w:color="002279"/>
              <w:left w:val="single" w:sz="4" w:space="0" w:color="002279"/>
              <w:bottom w:val="single" w:sz="4" w:space="0" w:color="002279"/>
              <w:right w:val="single" w:sz="4" w:space="0" w:color="002279"/>
            </w:tcBorders>
            <w:shd w:val="clear" w:color="auto" w:fill="FFFFFF" w:themeFill="background1"/>
            <w:noWrap/>
            <w:vAlign w:val="center"/>
            <w:hideMark/>
          </w:tcPr>
          <w:p w14:paraId="119132C7" w14:textId="79539F21" w:rsidR="00426964" w:rsidRPr="00ED1414" w:rsidRDefault="00C64D9C" w:rsidP="00034C2B">
            <w:pPr>
              <w:rPr>
                <w:rFonts w:ascii="Arial" w:hAnsi="Arial" w:cs="Arial"/>
                <w:sz w:val="18"/>
                <w:szCs w:val="18"/>
              </w:rPr>
            </w:pPr>
            <w:r w:rsidRPr="00ED1414">
              <w:rPr>
                <w:rFonts w:ascii="Arial" w:hAnsi="Arial" w:cs="Arial"/>
                <w:color w:val="000000"/>
                <w:sz w:val="18"/>
                <w:szCs w:val="18"/>
              </w:rPr>
              <w:t>123.</w:t>
            </w:r>
            <w:r w:rsidR="009F717A" w:rsidRPr="00ED1414">
              <w:rPr>
                <w:rFonts w:ascii="Arial" w:hAnsi="Arial" w:cs="Arial"/>
                <w:color w:val="000000"/>
                <w:sz w:val="18"/>
                <w:szCs w:val="18"/>
              </w:rPr>
              <w:t>60</w:t>
            </w:r>
          </w:p>
        </w:tc>
        <w:tc>
          <w:tcPr>
            <w:tcW w:w="1150" w:type="dxa"/>
            <w:tcBorders>
              <w:top w:val="single" w:sz="4" w:space="0" w:color="002279"/>
              <w:left w:val="single" w:sz="4" w:space="0" w:color="002279"/>
              <w:bottom w:val="single" w:sz="4" w:space="0" w:color="002279"/>
              <w:right w:val="single" w:sz="4" w:space="0" w:color="002279"/>
            </w:tcBorders>
            <w:shd w:val="clear" w:color="auto" w:fill="FFFFFF" w:themeFill="background1"/>
            <w:noWrap/>
            <w:vAlign w:val="center"/>
            <w:hideMark/>
          </w:tcPr>
          <w:p w14:paraId="0A55AB47" w14:textId="372BD19B" w:rsidR="00426964" w:rsidRPr="00ED1414" w:rsidRDefault="009F717A" w:rsidP="00034C2B">
            <w:pPr>
              <w:rPr>
                <w:rFonts w:ascii="Arial" w:hAnsi="Arial" w:cs="Arial"/>
                <w:sz w:val="18"/>
                <w:szCs w:val="18"/>
              </w:rPr>
            </w:pPr>
            <w:r w:rsidRPr="00ED1414">
              <w:rPr>
                <w:rFonts w:ascii="Arial" w:hAnsi="Arial" w:cs="Arial"/>
                <w:color w:val="000000"/>
                <w:sz w:val="18"/>
                <w:szCs w:val="18"/>
              </w:rPr>
              <w:t>136.01</w:t>
            </w:r>
          </w:p>
        </w:tc>
        <w:tc>
          <w:tcPr>
            <w:tcW w:w="1151" w:type="dxa"/>
            <w:tcBorders>
              <w:top w:val="single" w:sz="4" w:space="0" w:color="002279"/>
              <w:left w:val="single" w:sz="4" w:space="0" w:color="002279"/>
              <w:bottom w:val="single" w:sz="4" w:space="0" w:color="002279"/>
              <w:right w:val="single" w:sz="4" w:space="0" w:color="002279"/>
            </w:tcBorders>
            <w:shd w:val="clear" w:color="auto" w:fill="FFFFFF" w:themeFill="background1"/>
            <w:noWrap/>
            <w:vAlign w:val="center"/>
            <w:hideMark/>
          </w:tcPr>
          <w:p w14:paraId="13987200" w14:textId="699DDA36" w:rsidR="00426964" w:rsidRPr="00ED1414" w:rsidRDefault="009F717A" w:rsidP="00034C2B">
            <w:pPr>
              <w:rPr>
                <w:rFonts w:ascii="Arial" w:hAnsi="Arial" w:cs="Arial"/>
                <w:sz w:val="18"/>
                <w:szCs w:val="18"/>
              </w:rPr>
            </w:pPr>
            <w:r w:rsidRPr="00ED1414">
              <w:rPr>
                <w:rFonts w:ascii="Arial" w:hAnsi="Arial" w:cs="Arial"/>
                <w:color w:val="000000"/>
                <w:sz w:val="18"/>
                <w:szCs w:val="18"/>
              </w:rPr>
              <w:t>148.02</w:t>
            </w:r>
          </w:p>
        </w:tc>
        <w:tc>
          <w:tcPr>
            <w:tcW w:w="1150" w:type="dxa"/>
            <w:tcBorders>
              <w:top w:val="single" w:sz="4" w:space="0" w:color="002279"/>
              <w:left w:val="single" w:sz="4" w:space="0" w:color="002279"/>
              <w:bottom w:val="single" w:sz="4" w:space="0" w:color="002279"/>
              <w:right w:val="single" w:sz="4" w:space="0" w:color="002279"/>
            </w:tcBorders>
            <w:shd w:val="clear" w:color="auto" w:fill="FFFFFF" w:themeFill="background1"/>
            <w:noWrap/>
            <w:vAlign w:val="center"/>
            <w:hideMark/>
          </w:tcPr>
          <w:p w14:paraId="5A5A2E1C" w14:textId="2C7B98FE" w:rsidR="00426964" w:rsidRPr="00ED1414" w:rsidRDefault="008F4EED" w:rsidP="00034C2B">
            <w:pPr>
              <w:rPr>
                <w:rFonts w:ascii="Arial" w:hAnsi="Arial" w:cs="Arial"/>
                <w:sz w:val="18"/>
                <w:szCs w:val="18"/>
              </w:rPr>
            </w:pPr>
            <w:r w:rsidRPr="00ED1414">
              <w:rPr>
                <w:rFonts w:ascii="Arial" w:hAnsi="Arial" w:cs="Arial"/>
                <w:color w:val="000000"/>
                <w:sz w:val="18"/>
                <w:szCs w:val="18"/>
              </w:rPr>
              <w:t>156.</w:t>
            </w:r>
            <w:r w:rsidR="009F717A" w:rsidRPr="00ED1414">
              <w:rPr>
                <w:rFonts w:ascii="Arial" w:hAnsi="Arial" w:cs="Arial"/>
                <w:color w:val="000000"/>
                <w:sz w:val="18"/>
                <w:szCs w:val="18"/>
              </w:rPr>
              <w:t>13</w:t>
            </w:r>
          </w:p>
        </w:tc>
        <w:tc>
          <w:tcPr>
            <w:tcW w:w="1150" w:type="dxa"/>
            <w:tcBorders>
              <w:top w:val="single" w:sz="4" w:space="0" w:color="002279"/>
              <w:left w:val="single" w:sz="4" w:space="0" w:color="002279"/>
              <w:bottom w:val="single" w:sz="4" w:space="0" w:color="002279"/>
              <w:right w:val="single" w:sz="4" w:space="0" w:color="002279"/>
            </w:tcBorders>
            <w:shd w:val="clear" w:color="auto" w:fill="FFFFFF" w:themeFill="background1"/>
            <w:noWrap/>
            <w:vAlign w:val="center"/>
            <w:hideMark/>
          </w:tcPr>
          <w:p w14:paraId="50A7C648" w14:textId="1EFBEACE" w:rsidR="00426964" w:rsidRPr="00ED1414" w:rsidRDefault="008F4EED" w:rsidP="00034C2B">
            <w:pPr>
              <w:rPr>
                <w:rFonts w:ascii="Arial" w:hAnsi="Arial" w:cs="Arial"/>
                <w:sz w:val="18"/>
                <w:szCs w:val="18"/>
              </w:rPr>
            </w:pPr>
            <w:r w:rsidRPr="00ED1414">
              <w:rPr>
                <w:rFonts w:ascii="Arial" w:hAnsi="Arial" w:cs="Arial"/>
                <w:color w:val="000000"/>
                <w:sz w:val="18"/>
                <w:szCs w:val="18"/>
              </w:rPr>
              <w:t>166.</w:t>
            </w:r>
            <w:r w:rsidR="009F717A" w:rsidRPr="00ED1414">
              <w:rPr>
                <w:rFonts w:ascii="Arial" w:hAnsi="Arial" w:cs="Arial"/>
                <w:color w:val="000000"/>
                <w:sz w:val="18"/>
                <w:szCs w:val="18"/>
              </w:rPr>
              <w:t>37</w:t>
            </w:r>
          </w:p>
        </w:tc>
        <w:tc>
          <w:tcPr>
            <w:tcW w:w="1151" w:type="dxa"/>
            <w:tcBorders>
              <w:top w:val="single" w:sz="4" w:space="0" w:color="002279"/>
              <w:left w:val="single" w:sz="4" w:space="0" w:color="002279"/>
              <w:bottom w:val="single" w:sz="4" w:space="0" w:color="002279"/>
              <w:right w:val="single" w:sz="4" w:space="0" w:color="002279"/>
            </w:tcBorders>
            <w:shd w:val="clear" w:color="auto" w:fill="FFFFFF" w:themeFill="background1"/>
            <w:noWrap/>
            <w:vAlign w:val="center"/>
            <w:hideMark/>
          </w:tcPr>
          <w:p w14:paraId="4F6E9764" w14:textId="59D493D3" w:rsidR="00426964" w:rsidRPr="00ED1414" w:rsidRDefault="008F4EED" w:rsidP="00034C2B">
            <w:pPr>
              <w:rPr>
                <w:rFonts w:ascii="Arial" w:hAnsi="Arial" w:cs="Arial"/>
                <w:sz w:val="18"/>
                <w:szCs w:val="18"/>
              </w:rPr>
            </w:pPr>
            <w:r w:rsidRPr="00ED1414">
              <w:rPr>
                <w:rFonts w:ascii="Arial" w:hAnsi="Arial" w:cs="Arial"/>
                <w:color w:val="000000"/>
                <w:sz w:val="18"/>
                <w:szCs w:val="18"/>
              </w:rPr>
              <w:t>177.</w:t>
            </w:r>
            <w:r w:rsidR="009F717A" w:rsidRPr="00ED1414">
              <w:rPr>
                <w:rFonts w:ascii="Arial" w:hAnsi="Arial" w:cs="Arial"/>
                <w:color w:val="000000"/>
                <w:sz w:val="18"/>
                <w:szCs w:val="18"/>
              </w:rPr>
              <w:t>49</w:t>
            </w:r>
          </w:p>
        </w:tc>
      </w:tr>
      <w:tr w:rsidR="00ED1414" w:rsidRPr="000B654A" w14:paraId="5C607F02" w14:textId="77777777" w:rsidTr="003F1732">
        <w:trPr>
          <w:cnfStyle w:val="000000100000" w:firstRow="0" w:lastRow="0" w:firstColumn="0" w:lastColumn="0" w:oddVBand="0" w:evenVBand="0" w:oddHBand="1" w:evenHBand="0" w:firstRowFirstColumn="0" w:firstRowLastColumn="0" w:lastRowFirstColumn="0" w:lastRowLastColumn="0"/>
          <w:trHeight w:val="535"/>
        </w:trPr>
        <w:tc>
          <w:tcPr>
            <w:tcW w:w="2815" w:type="dxa"/>
            <w:tcBorders>
              <w:top w:val="single" w:sz="4" w:space="0" w:color="002279"/>
              <w:left w:val="single" w:sz="4" w:space="0" w:color="002279"/>
              <w:bottom w:val="single" w:sz="4" w:space="0" w:color="002279"/>
              <w:right w:val="single" w:sz="4" w:space="0" w:color="002279"/>
            </w:tcBorders>
            <w:shd w:val="clear" w:color="auto" w:fill="D4D6DF"/>
            <w:noWrap/>
            <w:hideMark/>
          </w:tcPr>
          <w:p w14:paraId="417D3937" w14:textId="3B5481A0" w:rsidR="00426964" w:rsidRPr="00ED1414" w:rsidRDefault="00426964" w:rsidP="003E7263">
            <w:pPr>
              <w:rPr>
                <w:rFonts w:ascii="Arial" w:hAnsi="Arial" w:cs="Arial"/>
                <w:sz w:val="18"/>
                <w:szCs w:val="18"/>
              </w:rPr>
            </w:pPr>
            <w:r w:rsidRPr="00ED1414">
              <w:rPr>
                <w:rFonts w:cs="Arial"/>
                <w:sz w:val="18"/>
                <w:szCs w:val="18"/>
              </w:rPr>
              <w:t>Adjustments from last period</w:t>
            </w:r>
          </w:p>
        </w:tc>
        <w:tc>
          <w:tcPr>
            <w:tcW w:w="1150" w:type="dxa"/>
            <w:tcBorders>
              <w:top w:val="single" w:sz="4" w:space="0" w:color="002279"/>
              <w:left w:val="single" w:sz="4" w:space="0" w:color="002279"/>
              <w:bottom w:val="single" w:sz="4" w:space="0" w:color="002279"/>
              <w:right w:val="single" w:sz="4" w:space="0" w:color="002279"/>
            </w:tcBorders>
            <w:shd w:val="clear" w:color="auto" w:fill="D4D6DF"/>
            <w:noWrap/>
            <w:vAlign w:val="center"/>
            <w:hideMark/>
          </w:tcPr>
          <w:p w14:paraId="7C08DC2D" w14:textId="24B779B5" w:rsidR="00426964" w:rsidRPr="00ED1414" w:rsidRDefault="00310E2A" w:rsidP="00034C2B">
            <w:pPr>
              <w:rPr>
                <w:rFonts w:ascii="Arial" w:hAnsi="Arial" w:cs="Arial"/>
                <w:sz w:val="18"/>
                <w:szCs w:val="18"/>
              </w:rPr>
            </w:pPr>
            <w:r w:rsidRPr="00ED1414">
              <w:rPr>
                <w:rFonts w:cs="Arial"/>
                <w:sz w:val="18"/>
                <w:szCs w:val="18"/>
              </w:rPr>
              <w:t>–</w:t>
            </w:r>
          </w:p>
        </w:tc>
        <w:tc>
          <w:tcPr>
            <w:tcW w:w="1150" w:type="dxa"/>
            <w:tcBorders>
              <w:top w:val="single" w:sz="4" w:space="0" w:color="002279"/>
              <w:left w:val="single" w:sz="4" w:space="0" w:color="002279"/>
              <w:bottom w:val="single" w:sz="4" w:space="0" w:color="002279"/>
              <w:right w:val="single" w:sz="4" w:space="0" w:color="002279"/>
            </w:tcBorders>
            <w:shd w:val="clear" w:color="auto" w:fill="D4D6DF"/>
            <w:noWrap/>
            <w:vAlign w:val="center"/>
            <w:hideMark/>
          </w:tcPr>
          <w:p w14:paraId="7AF3AB72" w14:textId="762A7896" w:rsidR="00426964" w:rsidRPr="00ED1414" w:rsidRDefault="00310E2A" w:rsidP="00034C2B">
            <w:pPr>
              <w:rPr>
                <w:rFonts w:ascii="Arial" w:hAnsi="Arial" w:cs="Arial"/>
                <w:sz w:val="18"/>
                <w:szCs w:val="18"/>
              </w:rPr>
            </w:pPr>
            <w:r w:rsidRPr="00ED1414">
              <w:rPr>
                <w:rFonts w:cs="Arial"/>
                <w:sz w:val="18"/>
                <w:szCs w:val="18"/>
              </w:rPr>
              <w:t>–</w:t>
            </w:r>
          </w:p>
        </w:tc>
        <w:tc>
          <w:tcPr>
            <w:tcW w:w="1150" w:type="dxa"/>
            <w:tcBorders>
              <w:top w:val="single" w:sz="4" w:space="0" w:color="002279"/>
              <w:left w:val="single" w:sz="4" w:space="0" w:color="002279"/>
              <w:bottom w:val="single" w:sz="4" w:space="0" w:color="002279"/>
              <w:right w:val="single" w:sz="4" w:space="0" w:color="002279"/>
            </w:tcBorders>
            <w:shd w:val="clear" w:color="auto" w:fill="D4D6DF"/>
            <w:noWrap/>
            <w:vAlign w:val="center"/>
            <w:hideMark/>
          </w:tcPr>
          <w:p w14:paraId="7105336A" w14:textId="65592582" w:rsidR="00426964" w:rsidRPr="00ED1414" w:rsidRDefault="00310E2A" w:rsidP="00034C2B">
            <w:pPr>
              <w:rPr>
                <w:rFonts w:ascii="Arial" w:hAnsi="Arial" w:cs="Arial"/>
                <w:sz w:val="18"/>
                <w:szCs w:val="18"/>
              </w:rPr>
            </w:pPr>
            <w:r w:rsidRPr="00ED1414">
              <w:rPr>
                <w:rFonts w:cs="Arial"/>
                <w:sz w:val="18"/>
                <w:szCs w:val="18"/>
              </w:rPr>
              <w:t>–</w:t>
            </w:r>
          </w:p>
        </w:tc>
        <w:tc>
          <w:tcPr>
            <w:tcW w:w="1151" w:type="dxa"/>
            <w:tcBorders>
              <w:top w:val="single" w:sz="4" w:space="0" w:color="002279"/>
              <w:left w:val="single" w:sz="4" w:space="0" w:color="002279"/>
              <w:bottom w:val="single" w:sz="4" w:space="0" w:color="002279"/>
              <w:right w:val="single" w:sz="4" w:space="0" w:color="002279"/>
            </w:tcBorders>
            <w:shd w:val="clear" w:color="auto" w:fill="D4D6DF"/>
            <w:noWrap/>
            <w:vAlign w:val="center"/>
            <w:hideMark/>
          </w:tcPr>
          <w:p w14:paraId="6F926536" w14:textId="45CBB186" w:rsidR="00426964" w:rsidRPr="00ED1414" w:rsidRDefault="00310E2A" w:rsidP="00034C2B">
            <w:pPr>
              <w:rPr>
                <w:rFonts w:ascii="Arial" w:hAnsi="Arial" w:cs="Arial"/>
                <w:sz w:val="18"/>
                <w:szCs w:val="18"/>
              </w:rPr>
            </w:pPr>
            <w:r w:rsidRPr="00ED1414">
              <w:rPr>
                <w:rFonts w:cs="Arial"/>
                <w:sz w:val="18"/>
                <w:szCs w:val="18"/>
              </w:rPr>
              <w:t>–</w:t>
            </w:r>
          </w:p>
        </w:tc>
        <w:tc>
          <w:tcPr>
            <w:tcW w:w="1150" w:type="dxa"/>
            <w:tcBorders>
              <w:top w:val="single" w:sz="4" w:space="0" w:color="002279"/>
              <w:left w:val="single" w:sz="4" w:space="0" w:color="002279"/>
              <w:bottom w:val="single" w:sz="4" w:space="0" w:color="002279"/>
              <w:right w:val="single" w:sz="4" w:space="0" w:color="002279"/>
            </w:tcBorders>
            <w:shd w:val="clear" w:color="auto" w:fill="D4D6DF"/>
            <w:noWrap/>
            <w:vAlign w:val="center"/>
            <w:hideMark/>
          </w:tcPr>
          <w:p w14:paraId="5E41C49F" w14:textId="1462AD62" w:rsidR="00426964" w:rsidRPr="00ED1414" w:rsidRDefault="00310E2A" w:rsidP="00034C2B">
            <w:pPr>
              <w:rPr>
                <w:rFonts w:ascii="Arial" w:hAnsi="Arial" w:cs="Arial"/>
                <w:sz w:val="18"/>
                <w:szCs w:val="18"/>
              </w:rPr>
            </w:pPr>
            <w:r w:rsidRPr="00ED1414">
              <w:rPr>
                <w:rFonts w:cs="Arial"/>
                <w:sz w:val="18"/>
                <w:szCs w:val="18"/>
              </w:rPr>
              <w:t>–</w:t>
            </w:r>
          </w:p>
        </w:tc>
        <w:tc>
          <w:tcPr>
            <w:tcW w:w="1150" w:type="dxa"/>
            <w:tcBorders>
              <w:top w:val="single" w:sz="4" w:space="0" w:color="002279"/>
              <w:left w:val="single" w:sz="4" w:space="0" w:color="002279"/>
              <w:bottom w:val="single" w:sz="4" w:space="0" w:color="002279"/>
              <w:right w:val="single" w:sz="4" w:space="0" w:color="002279"/>
            </w:tcBorders>
            <w:shd w:val="clear" w:color="auto" w:fill="D4D6DF"/>
            <w:noWrap/>
            <w:vAlign w:val="center"/>
            <w:hideMark/>
          </w:tcPr>
          <w:p w14:paraId="1C20F948" w14:textId="743DAD8B" w:rsidR="00426964" w:rsidRPr="00ED1414" w:rsidRDefault="00310E2A" w:rsidP="00034C2B">
            <w:pPr>
              <w:rPr>
                <w:rFonts w:ascii="Arial" w:hAnsi="Arial" w:cs="Arial"/>
                <w:sz w:val="18"/>
                <w:szCs w:val="18"/>
              </w:rPr>
            </w:pPr>
            <w:r w:rsidRPr="00ED1414">
              <w:rPr>
                <w:rFonts w:cs="Arial"/>
                <w:sz w:val="18"/>
                <w:szCs w:val="18"/>
              </w:rPr>
              <w:t>–</w:t>
            </w:r>
          </w:p>
        </w:tc>
        <w:tc>
          <w:tcPr>
            <w:tcW w:w="1151" w:type="dxa"/>
            <w:tcBorders>
              <w:top w:val="single" w:sz="4" w:space="0" w:color="002279"/>
              <w:left w:val="single" w:sz="4" w:space="0" w:color="002279"/>
              <w:bottom w:val="single" w:sz="4" w:space="0" w:color="002279"/>
              <w:right w:val="single" w:sz="4" w:space="0" w:color="002279"/>
            </w:tcBorders>
            <w:shd w:val="clear" w:color="auto" w:fill="D4D6DF"/>
            <w:noWrap/>
            <w:vAlign w:val="center"/>
            <w:hideMark/>
          </w:tcPr>
          <w:p w14:paraId="3807F9C0" w14:textId="5D3D501E" w:rsidR="00426964" w:rsidRPr="00ED1414" w:rsidRDefault="00310E2A" w:rsidP="00034C2B">
            <w:pPr>
              <w:rPr>
                <w:rFonts w:ascii="Arial" w:hAnsi="Arial" w:cs="Arial"/>
                <w:sz w:val="18"/>
                <w:szCs w:val="18"/>
              </w:rPr>
            </w:pPr>
            <w:r w:rsidRPr="00ED1414">
              <w:rPr>
                <w:rFonts w:cs="Arial"/>
                <w:sz w:val="18"/>
                <w:szCs w:val="18"/>
              </w:rPr>
              <w:t>–</w:t>
            </w:r>
          </w:p>
        </w:tc>
        <w:tc>
          <w:tcPr>
            <w:tcW w:w="1150" w:type="dxa"/>
            <w:tcBorders>
              <w:top w:val="single" w:sz="4" w:space="0" w:color="002279"/>
              <w:left w:val="single" w:sz="4" w:space="0" w:color="002279"/>
              <w:bottom w:val="single" w:sz="4" w:space="0" w:color="002279"/>
              <w:right w:val="single" w:sz="4" w:space="0" w:color="002279"/>
            </w:tcBorders>
            <w:shd w:val="clear" w:color="auto" w:fill="D4D6DF"/>
            <w:noWrap/>
            <w:vAlign w:val="center"/>
            <w:hideMark/>
          </w:tcPr>
          <w:p w14:paraId="2505163D" w14:textId="30D03D42" w:rsidR="00426964" w:rsidRPr="00ED1414" w:rsidRDefault="00310E2A" w:rsidP="00034C2B">
            <w:pPr>
              <w:rPr>
                <w:rFonts w:ascii="Arial" w:hAnsi="Arial" w:cs="Arial"/>
                <w:sz w:val="18"/>
                <w:szCs w:val="18"/>
              </w:rPr>
            </w:pPr>
            <w:r w:rsidRPr="00ED1414">
              <w:rPr>
                <w:rFonts w:cs="Arial"/>
                <w:sz w:val="18"/>
                <w:szCs w:val="18"/>
              </w:rPr>
              <w:t>–</w:t>
            </w:r>
          </w:p>
        </w:tc>
        <w:tc>
          <w:tcPr>
            <w:tcW w:w="1150" w:type="dxa"/>
            <w:tcBorders>
              <w:top w:val="single" w:sz="4" w:space="0" w:color="002279"/>
              <w:left w:val="single" w:sz="4" w:space="0" w:color="002279"/>
              <w:bottom w:val="single" w:sz="4" w:space="0" w:color="002279"/>
              <w:right w:val="single" w:sz="4" w:space="0" w:color="002279"/>
            </w:tcBorders>
            <w:shd w:val="clear" w:color="auto" w:fill="D4D6DF"/>
            <w:noWrap/>
            <w:vAlign w:val="center"/>
            <w:hideMark/>
          </w:tcPr>
          <w:p w14:paraId="4F32F3AE" w14:textId="655EF919" w:rsidR="00426964" w:rsidRPr="00ED1414" w:rsidRDefault="00310E2A" w:rsidP="00034C2B">
            <w:pPr>
              <w:rPr>
                <w:rFonts w:ascii="Arial" w:hAnsi="Arial" w:cs="Arial"/>
                <w:sz w:val="18"/>
                <w:szCs w:val="18"/>
              </w:rPr>
            </w:pPr>
            <w:r w:rsidRPr="00ED1414">
              <w:rPr>
                <w:rFonts w:cs="Arial"/>
                <w:sz w:val="18"/>
                <w:szCs w:val="18"/>
              </w:rPr>
              <w:t>–</w:t>
            </w:r>
          </w:p>
        </w:tc>
        <w:tc>
          <w:tcPr>
            <w:tcW w:w="1151" w:type="dxa"/>
            <w:tcBorders>
              <w:top w:val="single" w:sz="4" w:space="0" w:color="002279"/>
              <w:left w:val="single" w:sz="4" w:space="0" w:color="002279"/>
              <w:bottom w:val="single" w:sz="4" w:space="0" w:color="002279"/>
              <w:right w:val="single" w:sz="4" w:space="0" w:color="002279"/>
            </w:tcBorders>
            <w:shd w:val="clear" w:color="auto" w:fill="D4D6DF"/>
            <w:noWrap/>
            <w:vAlign w:val="center"/>
            <w:hideMark/>
          </w:tcPr>
          <w:p w14:paraId="70BB4C06" w14:textId="646FD9EB" w:rsidR="00426964" w:rsidRPr="00ED1414" w:rsidRDefault="00310E2A" w:rsidP="00034C2B">
            <w:pPr>
              <w:rPr>
                <w:rFonts w:ascii="Arial" w:hAnsi="Arial" w:cs="Arial"/>
                <w:sz w:val="18"/>
                <w:szCs w:val="18"/>
              </w:rPr>
            </w:pPr>
            <w:r w:rsidRPr="00ED1414">
              <w:rPr>
                <w:rFonts w:cs="Arial"/>
                <w:sz w:val="18"/>
                <w:szCs w:val="18"/>
              </w:rPr>
              <w:t>–</w:t>
            </w:r>
          </w:p>
        </w:tc>
      </w:tr>
      <w:tr w:rsidR="00ED1414" w:rsidRPr="000B654A" w14:paraId="25974A39" w14:textId="77777777" w:rsidTr="003F1732">
        <w:trPr>
          <w:cnfStyle w:val="000000010000" w:firstRow="0" w:lastRow="0" w:firstColumn="0" w:lastColumn="0" w:oddVBand="0" w:evenVBand="0" w:oddHBand="0" w:evenHBand="1" w:firstRowFirstColumn="0" w:firstRowLastColumn="0" w:lastRowFirstColumn="0" w:lastRowLastColumn="0"/>
          <w:trHeight w:val="535"/>
        </w:trPr>
        <w:tc>
          <w:tcPr>
            <w:tcW w:w="2815" w:type="dxa"/>
            <w:tcBorders>
              <w:top w:val="single" w:sz="4" w:space="0" w:color="002279"/>
              <w:left w:val="single" w:sz="4" w:space="0" w:color="002279"/>
              <w:bottom w:val="single" w:sz="4" w:space="0" w:color="002279"/>
              <w:right w:val="single" w:sz="4" w:space="0" w:color="002279"/>
            </w:tcBorders>
            <w:shd w:val="clear" w:color="auto" w:fill="FFFFFF" w:themeFill="background1"/>
            <w:noWrap/>
            <w:hideMark/>
          </w:tcPr>
          <w:p w14:paraId="7CF5613D" w14:textId="4DA932E9" w:rsidR="00426964" w:rsidRPr="00ED1414" w:rsidRDefault="00426964" w:rsidP="003E7263">
            <w:pPr>
              <w:rPr>
                <w:rFonts w:ascii="Arial" w:hAnsi="Arial" w:cs="Arial"/>
                <w:sz w:val="18"/>
                <w:szCs w:val="18"/>
              </w:rPr>
            </w:pPr>
            <w:r w:rsidRPr="00ED1414">
              <w:rPr>
                <w:rFonts w:cs="Arial"/>
                <w:sz w:val="18"/>
                <w:szCs w:val="18"/>
              </w:rPr>
              <w:t>Non-prescribed rev</w:t>
            </w:r>
            <w:r w:rsidR="000350DC" w:rsidRPr="00ED1414">
              <w:rPr>
                <w:rFonts w:cs="Arial"/>
                <w:sz w:val="18"/>
                <w:szCs w:val="18"/>
              </w:rPr>
              <w:t>.</w:t>
            </w:r>
            <w:r w:rsidRPr="00ED1414">
              <w:rPr>
                <w:rFonts w:cs="Arial"/>
                <w:sz w:val="18"/>
                <w:szCs w:val="18"/>
              </w:rPr>
              <w:t xml:space="preserve"> offset revenue requirement</w:t>
            </w:r>
          </w:p>
        </w:tc>
        <w:tc>
          <w:tcPr>
            <w:tcW w:w="1150" w:type="dxa"/>
            <w:tcBorders>
              <w:top w:val="single" w:sz="4" w:space="0" w:color="002279"/>
              <w:left w:val="single" w:sz="4" w:space="0" w:color="002279"/>
              <w:bottom w:val="single" w:sz="4" w:space="0" w:color="002279"/>
              <w:right w:val="single" w:sz="4" w:space="0" w:color="002279"/>
            </w:tcBorders>
            <w:shd w:val="clear" w:color="auto" w:fill="FFFFFF" w:themeFill="background1"/>
            <w:noWrap/>
            <w:vAlign w:val="center"/>
            <w:hideMark/>
          </w:tcPr>
          <w:p w14:paraId="6CA0687A" w14:textId="12C26E17" w:rsidR="00426964" w:rsidRPr="00ED1414" w:rsidRDefault="00310E2A" w:rsidP="00034C2B">
            <w:pPr>
              <w:rPr>
                <w:rFonts w:ascii="Arial" w:hAnsi="Arial" w:cs="Arial"/>
                <w:sz w:val="18"/>
                <w:szCs w:val="18"/>
              </w:rPr>
            </w:pPr>
            <w:r w:rsidRPr="00ED1414">
              <w:rPr>
                <w:rFonts w:cs="Arial"/>
                <w:sz w:val="18"/>
                <w:szCs w:val="18"/>
              </w:rPr>
              <w:t>–</w:t>
            </w:r>
          </w:p>
        </w:tc>
        <w:tc>
          <w:tcPr>
            <w:tcW w:w="1150" w:type="dxa"/>
            <w:tcBorders>
              <w:top w:val="single" w:sz="4" w:space="0" w:color="002279"/>
              <w:left w:val="single" w:sz="4" w:space="0" w:color="002279"/>
              <w:bottom w:val="single" w:sz="4" w:space="0" w:color="002279"/>
              <w:right w:val="single" w:sz="4" w:space="0" w:color="002279"/>
            </w:tcBorders>
            <w:shd w:val="clear" w:color="auto" w:fill="FFFFFF" w:themeFill="background1"/>
            <w:noWrap/>
            <w:vAlign w:val="center"/>
            <w:hideMark/>
          </w:tcPr>
          <w:p w14:paraId="60D51252" w14:textId="2C72370C" w:rsidR="00426964" w:rsidRPr="00ED1414" w:rsidRDefault="00310E2A" w:rsidP="00034C2B">
            <w:pPr>
              <w:rPr>
                <w:rFonts w:ascii="Arial" w:hAnsi="Arial" w:cs="Arial"/>
                <w:sz w:val="18"/>
                <w:szCs w:val="18"/>
              </w:rPr>
            </w:pPr>
            <w:r w:rsidRPr="00ED1414">
              <w:rPr>
                <w:rFonts w:cs="Arial"/>
                <w:sz w:val="18"/>
                <w:szCs w:val="18"/>
              </w:rPr>
              <w:t>–</w:t>
            </w:r>
          </w:p>
        </w:tc>
        <w:tc>
          <w:tcPr>
            <w:tcW w:w="1150" w:type="dxa"/>
            <w:tcBorders>
              <w:top w:val="single" w:sz="4" w:space="0" w:color="002279"/>
              <w:left w:val="single" w:sz="4" w:space="0" w:color="002279"/>
              <w:bottom w:val="single" w:sz="4" w:space="0" w:color="002279"/>
              <w:right w:val="single" w:sz="4" w:space="0" w:color="002279"/>
            </w:tcBorders>
            <w:shd w:val="clear" w:color="auto" w:fill="FFFFFF" w:themeFill="background1"/>
            <w:noWrap/>
            <w:vAlign w:val="center"/>
            <w:hideMark/>
          </w:tcPr>
          <w:p w14:paraId="692CB352" w14:textId="58428D86" w:rsidR="00426964" w:rsidRPr="00ED1414" w:rsidRDefault="00310E2A" w:rsidP="00034C2B">
            <w:pPr>
              <w:rPr>
                <w:rFonts w:ascii="Arial" w:hAnsi="Arial" w:cs="Arial"/>
                <w:sz w:val="18"/>
                <w:szCs w:val="18"/>
              </w:rPr>
            </w:pPr>
            <w:r w:rsidRPr="00ED1414">
              <w:rPr>
                <w:rFonts w:cs="Arial"/>
                <w:sz w:val="18"/>
                <w:szCs w:val="18"/>
              </w:rPr>
              <w:t>–</w:t>
            </w:r>
          </w:p>
        </w:tc>
        <w:tc>
          <w:tcPr>
            <w:tcW w:w="1151" w:type="dxa"/>
            <w:tcBorders>
              <w:top w:val="single" w:sz="4" w:space="0" w:color="002279"/>
              <w:left w:val="single" w:sz="4" w:space="0" w:color="002279"/>
              <w:bottom w:val="single" w:sz="4" w:space="0" w:color="002279"/>
              <w:right w:val="single" w:sz="4" w:space="0" w:color="002279"/>
            </w:tcBorders>
            <w:shd w:val="clear" w:color="auto" w:fill="FFFFFF" w:themeFill="background1"/>
            <w:noWrap/>
            <w:vAlign w:val="center"/>
            <w:hideMark/>
          </w:tcPr>
          <w:p w14:paraId="72E84154" w14:textId="7D45EE25" w:rsidR="00426964" w:rsidRPr="00ED1414" w:rsidRDefault="00310E2A" w:rsidP="00034C2B">
            <w:pPr>
              <w:rPr>
                <w:rFonts w:ascii="Arial" w:hAnsi="Arial" w:cs="Arial"/>
                <w:sz w:val="18"/>
                <w:szCs w:val="18"/>
              </w:rPr>
            </w:pPr>
            <w:r w:rsidRPr="00ED1414">
              <w:rPr>
                <w:rFonts w:cs="Arial"/>
                <w:sz w:val="18"/>
                <w:szCs w:val="18"/>
              </w:rPr>
              <w:t>–</w:t>
            </w:r>
          </w:p>
        </w:tc>
        <w:tc>
          <w:tcPr>
            <w:tcW w:w="1150" w:type="dxa"/>
            <w:tcBorders>
              <w:top w:val="single" w:sz="4" w:space="0" w:color="002279"/>
              <w:left w:val="single" w:sz="4" w:space="0" w:color="002279"/>
              <w:bottom w:val="single" w:sz="4" w:space="0" w:color="002279"/>
              <w:right w:val="single" w:sz="4" w:space="0" w:color="002279"/>
            </w:tcBorders>
            <w:shd w:val="clear" w:color="auto" w:fill="FFFFFF" w:themeFill="background1"/>
            <w:noWrap/>
            <w:vAlign w:val="center"/>
            <w:hideMark/>
          </w:tcPr>
          <w:p w14:paraId="531F2CF9" w14:textId="4052C66A" w:rsidR="00426964" w:rsidRPr="00ED1414" w:rsidRDefault="00310E2A" w:rsidP="00034C2B">
            <w:pPr>
              <w:rPr>
                <w:rFonts w:ascii="Arial" w:hAnsi="Arial" w:cs="Arial"/>
                <w:sz w:val="18"/>
                <w:szCs w:val="18"/>
              </w:rPr>
            </w:pPr>
            <w:r w:rsidRPr="00ED1414">
              <w:rPr>
                <w:rFonts w:cs="Arial"/>
                <w:sz w:val="18"/>
                <w:szCs w:val="18"/>
              </w:rPr>
              <w:t>–</w:t>
            </w:r>
          </w:p>
        </w:tc>
        <w:tc>
          <w:tcPr>
            <w:tcW w:w="1150" w:type="dxa"/>
            <w:tcBorders>
              <w:top w:val="single" w:sz="4" w:space="0" w:color="002279"/>
              <w:left w:val="single" w:sz="4" w:space="0" w:color="002279"/>
              <w:bottom w:val="single" w:sz="4" w:space="0" w:color="002279"/>
              <w:right w:val="single" w:sz="4" w:space="0" w:color="002279"/>
            </w:tcBorders>
            <w:shd w:val="clear" w:color="auto" w:fill="FFFFFF" w:themeFill="background1"/>
            <w:noWrap/>
            <w:vAlign w:val="center"/>
            <w:hideMark/>
          </w:tcPr>
          <w:p w14:paraId="6E0D373A" w14:textId="108F5F25" w:rsidR="00426964" w:rsidRPr="00ED1414" w:rsidRDefault="00310E2A" w:rsidP="00034C2B">
            <w:pPr>
              <w:rPr>
                <w:rFonts w:ascii="Arial" w:hAnsi="Arial" w:cs="Arial"/>
                <w:sz w:val="18"/>
                <w:szCs w:val="18"/>
              </w:rPr>
            </w:pPr>
            <w:r w:rsidRPr="00ED1414">
              <w:rPr>
                <w:rFonts w:cs="Arial"/>
                <w:sz w:val="18"/>
                <w:szCs w:val="18"/>
              </w:rPr>
              <w:t>–</w:t>
            </w:r>
          </w:p>
        </w:tc>
        <w:tc>
          <w:tcPr>
            <w:tcW w:w="1151" w:type="dxa"/>
            <w:tcBorders>
              <w:top w:val="single" w:sz="4" w:space="0" w:color="002279"/>
              <w:left w:val="single" w:sz="4" w:space="0" w:color="002279"/>
              <w:bottom w:val="single" w:sz="4" w:space="0" w:color="002279"/>
              <w:right w:val="single" w:sz="4" w:space="0" w:color="002279"/>
            </w:tcBorders>
            <w:shd w:val="clear" w:color="auto" w:fill="FFFFFF" w:themeFill="background1"/>
            <w:noWrap/>
            <w:vAlign w:val="center"/>
            <w:hideMark/>
          </w:tcPr>
          <w:p w14:paraId="0C0CA60F" w14:textId="6085685E" w:rsidR="00426964" w:rsidRPr="00ED1414" w:rsidRDefault="00310E2A" w:rsidP="00034C2B">
            <w:pPr>
              <w:rPr>
                <w:rFonts w:ascii="Arial" w:hAnsi="Arial" w:cs="Arial"/>
                <w:sz w:val="18"/>
                <w:szCs w:val="18"/>
              </w:rPr>
            </w:pPr>
            <w:r w:rsidRPr="00ED1414">
              <w:rPr>
                <w:rFonts w:cs="Arial"/>
                <w:sz w:val="18"/>
                <w:szCs w:val="18"/>
              </w:rPr>
              <w:t>–</w:t>
            </w:r>
          </w:p>
        </w:tc>
        <w:tc>
          <w:tcPr>
            <w:tcW w:w="1150" w:type="dxa"/>
            <w:tcBorders>
              <w:top w:val="single" w:sz="4" w:space="0" w:color="002279"/>
              <w:left w:val="single" w:sz="4" w:space="0" w:color="002279"/>
              <w:bottom w:val="single" w:sz="4" w:space="0" w:color="002279"/>
              <w:right w:val="single" w:sz="4" w:space="0" w:color="002279"/>
            </w:tcBorders>
            <w:shd w:val="clear" w:color="auto" w:fill="FFFFFF" w:themeFill="background1"/>
            <w:noWrap/>
            <w:vAlign w:val="center"/>
            <w:hideMark/>
          </w:tcPr>
          <w:p w14:paraId="5C4B35D6" w14:textId="5748F98A" w:rsidR="00426964" w:rsidRPr="00ED1414" w:rsidRDefault="00310E2A" w:rsidP="00034C2B">
            <w:pPr>
              <w:rPr>
                <w:rFonts w:ascii="Arial" w:hAnsi="Arial" w:cs="Arial"/>
                <w:sz w:val="18"/>
                <w:szCs w:val="18"/>
              </w:rPr>
            </w:pPr>
            <w:r w:rsidRPr="00ED1414">
              <w:rPr>
                <w:rFonts w:cs="Arial"/>
                <w:sz w:val="18"/>
                <w:szCs w:val="18"/>
              </w:rPr>
              <w:t>–</w:t>
            </w:r>
          </w:p>
        </w:tc>
        <w:tc>
          <w:tcPr>
            <w:tcW w:w="1150" w:type="dxa"/>
            <w:tcBorders>
              <w:top w:val="single" w:sz="4" w:space="0" w:color="002279"/>
              <w:left w:val="single" w:sz="4" w:space="0" w:color="002279"/>
              <w:bottom w:val="single" w:sz="4" w:space="0" w:color="002279"/>
              <w:right w:val="single" w:sz="4" w:space="0" w:color="002279"/>
            </w:tcBorders>
            <w:shd w:val="clear" w:color="auto" w:fill="FFFFFF" w:themeFill="background1"/>
            <w:noWrap/>
            <w:vAlign w:val="center"/>
            <w:hideMark/>
          </w:tcPr>
          <w:p w14:paraId="4C5D28E9" w14:textId="21341AFE" w:rsidR="00426964" w:rsidRPr="00ED1414" w:rsidRDefault="00310E2A" w:rsidP="00034C2B">
            <w:pPr>
              <w:rPr>
                <w:rFonts w:ascii="Arial" w:hAnsi="Arial" w:cs="Arial"/>
                <w:sz w:val="18"/>
                <w:szCs w:val="18"/>
              </w:rPr>
            </w:pPr>
            <w:r w:rsidRPr="00ED1414">
              <w:rPr>
                <w:rFonts w:cs="Arial"/>
                <w:sz w:val="18"/>
                <w:szCs w:val="18"/>
              </w:rPr>
              <w:t>–</w:t>
            </w:r>
          </w:p>
        </w:tc>
        <w:tc>
          <w:tcPr>
            <w:tcW w:w="1151" w:type="dxa"/>
            <w:tcBorders>
              <w:top w:val="single" w:sz="4" w:space="0" w:color="002279"/>
              <w:left w:val="single" w:sz="4" w:space="0" w:color="002279"/>
              <w:bottom w:val="single" w:sz="4" w:space="0" w:color="002279"/>
              <w:right w:val="single" w:sz="4" w:space="0" w:color="002279"/>
            </w:tcBorders>
            <w:shd w:val="clear" w:color="auto" w:fill="FFFFFF" w:themeFill="background1"/>
            <w:noWrap/>
            <w:vAlign w:val="center"/>
            <w:hideMark/>
          </w:tcPr>
          <w:p w14:paraId="2CF74824" w14:textId="752B1278" w:rsidR="00426964" w:rsidRPr="00ED1414" w:rsidRDefault="00310E2A" w:rsidP="00034C2B">
            <w:pPr>
              <w:rPr>
                <w:rFonts w:ascii="Arial" w:hAnsi="Arial" w:cs="Arial"/>
                <w:sz w:val="18"/>
                <w:szCs w:val="18"/>
              </w:rPr>
            </w:pPr>
            <w:r w:rsidRPr="00ED1414">
              <w:rPr>
                <w:rFonts w:cs="Arial"/>
                <w:sz w:val="18"/>
                <w:szCs w:val="18"/>
              </w:rPr>
              <w:t>–</w:t>
            </w:r>
          </w:p>
        </w:tc>
      </w:tr>
      <w:tr w:rsidR="00ED1414" w:rsidRPr="000B654A" w14:paraId="736DC23F" w14:textId="77777777" w:rsidTr="003F1732">
        <w:trPr>
          <w:cnfStyle w:val="000000100000" w:firstRow="0" w:lastRow="0" w:firstColumn="0" w:lastColumn="0" w:oddVBand="0" w:evenVBand="0" w:oddHBand="1" w:evenHBand="0" w:firstRowFirstColumn="0" w:firstRowLastColumn="0" w:lastRowFirstColumn="0" w:lastRowLastColumn="0"/>
          <w:trHeight w:val="535"/>
        </w:trPr>
        <w:tc>
          <w:tcPr>
            <w:tcW w:w="2815" w:type="dxa"/>
            <w:tcBorders>
              <w:top w:val="single" w:sz="4" w:space="0" w:color="002279"/>
              <w:left w:val="single" w:sz="4" w:space="0" w:color="002279"/>
              <w:bottom w:val="single" w:sz="4" w:space="0" w:color="002279"/>
              <w:right w:val="single" w:sz="4" w:space="0" w:color="002279"/>
            </w:tcBorders>
            <w:shd w:val="clear" w:color="auto" w:fill="D4D6DF"/>
            <w:noWrap/>
            <w:hideMark/>
          </w:tcPr>
          <w:p w14:paraId="38072893" w14:textId="480EB1C1" w:rsidR="00426964" w:rsidRPr="00ED1414" w:rsidRDefault="00426964" w:rsidP="003E7263">
            <w:pPr>
              <w:rPr>
                <w:rFonts w:ascii="Arial" w:hAnsi="Arial" w:cs="Arial"/>
                <w:sz w:val="18"/>
                <w:szCs w:val="18"/>
              </w:rPr>
            </w:pPr>
            <w:r w:rsidRPr="00ED1414">
              <w:rPr>
                <w:rFonts w:cs="Arial"/>
                <w:sz w:val="18"/>
                <w:szCs w:val="18"/>
              </w:rPr>
              <w:t>Tax liability</w:t>
            </w:r>
          </w:p>
        </w:tc>
        <w:tc>
          <w:tcPr>
            <w:tcW w:w="1150" w:type="dxa"/>
            <w:tcBorders>
              <w:top w:val="single" w:sz="4" w:space="0" w:color="002279"/>
              <w:left w:val="single" w:sz="4" w:space="0" w:color="002279"/>
              <w:bottom w:val="single" w:sz="4" w:space="0" w:color="002279"/>
              <w:right w:val="single" w:sz="4" w:space="0" w:color="002279"/>
            </w:tcBorders>
            <w:shd w:val="clear" w:color="auto" w:fill="D4D6DF"/>
            <w:noWrap/>
            <w:vAlign w:val="center"/>
            <w:hideMark/>
          </w:tcPr>
          <w:p w14:paraId="05AC6E44" w14:textId="25792758" w:rsidR="00426964" w:rsidRPr="00ED1414" w:rsidRDefault="00314878" w:rsidP="00034C2B">
            <w:pPr>
              <w:rPr>
                <w:rFonts w:ascii="Arial" w:hAnsi="Arial" w:cs="Arial"/>
                <w:sz w:val="18"/>
                <w:szCs w:val="18"/>
              </w:rPr>
            </w:pPr>
            <w:r w:rsidRPr="00ED1414">
              <w:rPr>
                <w:rFonts w:ascii="Arial" w:hAnsi="Arial" w:cs="Arial"/>
                <w:color w:val="000000"/>
                <w:sz w:val="18"/>
                <w:szCs w:val="18"/>
              </w:rPr>
              <w:t>17.</w:t>
            </w:r>
            <w:r w:rsidR="009F717A" w:rsidRPr="00ED1414">
              <w:rPr>
                <w:rFonts w:ascii="Arial" w:hAnsi="Arial" w:cs="Arial"/>
                <w:color w:val="000000"/>
                <w:sz w:val="18"/>
                <w:szCs w:val="18"/>
              </w:rPr>
              <w:t>56</w:t>
            </w:r>
          </w:p>
        </w:tc>
        <w:tc>
          <w:tcPr>
            <w:tcW w:w="1150" w:type="dxa"/>
            <w:tcBorders>
              <w:top w:val="single" w:sz="4" w:space="0" w:color="002279"/>
              <w:left w:val="single" w:sz="4" w:space="0" w:color="002279"/>
              <w:bottom w:val="single" w:sz="4" w:space="0" w:color="002279"/>
              <w:right w:val="single" w:sz="4" w:space="0" w:color="002279"/>
            </w:tcBorders>
            <w:shd w:val="clear" w:color="auto" w:fill="D4D6DF"/>
            <w:noWrap/>
            <w:vAlign w:val="center"/>
            <w:hideMark/>
          </w:tcPr>
          <w:p w14:paraId="430ED888" w14:textId="44AB9FDC" w:rsidR="00426964" w:rsidRPr="00ED1414" w:rsidRDefault="008F4EED" w:rsidP="00034C2B">
            <w:pPr>
              <w:rPr>
                <w:rFonts w:ascii="Arial" w:hAnsi="Arial" w:cs="Arial"/>
                <w:sz w:val="18"/>
                <w:szCs w:val="18"/>
              </w:rPr>
            </w:pPr>
            <w:r w:rsidRPr="00ED1414">
              <w:rPr>
                <w:rFonts w:ascii="Arial" w:hAnsi="Arial" w:cs="Arial"/>
                <w:color w:val="000000"/>
                <w:sz w:val="18"/>
                <w:szCs w:val="18"/>
              </w:rPr>
              <w:t>14.</w:t>
            </w:r>
            <w:r w:rsidR="009F717A" w:rsidRPr="00ED1414">
              <w:rPr>
                <w:rFonts w:ascii="Arial" w:hAnsi="Arial" w:cs="Arial"/>
                <w:color w:val="000000"/>
                <w:sz w:val="18"/>
                <w:szCs w:val="18"/>
              </w:rPr>
              <w:t>55</w:t>
            </w:r>
          </w:p>
        </w:tc>
        <w:tc>
          <w:tcPr>
            <w:tcW w:w="1150" w:type="dxa"/>
            <w:tcBorders>
              <w:top w:val="single" w:sz="4" w:space="0" w:color="002279"/>
              <w:left w:val="single" w:sz="4" w:space="0" w:color="002279"/>
              <w:bottom w:val="single" w:sz="4" w:space="0" w:color="002279"/>
              <w:right w:val="single" w:sz="4" w:space="0" w:color="002279"/>
            </w:tcBorders>
            <w:shd w:val="clear" w:color="auto" w:fill="D4D6DF"/>
            <w:noWrap/>
            <w:vAlign w:val="center"/>
            <w:hideMark/>
          </w:tcPr>
          <w:p w14:paraId="2B95AB3B" w14:textId="064E61A8" w:rsidR="00426964" w:rsidRPr="00ED1414" w:rsidRDefault="008F4EED" w:rsidP="00034C2B">
            <w:pPr>
              <w:rPr>
                <w:rFonts w:ascii="Arial" w:hAnsi="Arial" w:cs="Arial"/>
                <w:sz w:val="18"/>
                <w:szCs w:val="18"/>
              </w:rPr>
            </w:pPr>
            <w:r w:rsidRPr="00ED1414">
              <w:rPr>
                <w:rFonts w:ascii="Arial" w:hAnsi="Arial" w:cs="Arial"/>
                <w:color w:val="000000"/>
                <w:sz w:val="18"/>
                <w:szCs w:val="18"/>
              </w:rPr>
              <w:t>13.</w:t>
            </w:r>
            <w:r w:rsidR="009F717A" w:rsidRPr="00ED1414">
              <w:rPr>
                <w:rFonts w:ascii="Arial" w:hAnsi="Arial" w:cs="Arial"/>
                <w:color w:val="000000"/>
                <w:sz w:val="18"/>
                <w:szCs w:val="18"/>
              </w:rPr>
              <w:t>12</w:t>
            </w:r>
          </w:p>
        </w:tc>
        <w:tc>
          <w:tcPr>
            <w:tcW w:w="1151" w:type="dxa"/>
            <w:tcBorders>
              <w:top w:val="single" w:sz="4" w:space="0" w:color="002279"/>
              <w:left w:val="single" w:sz="4" w:space="0" w:color="002279"/>
              <w:bottom w:val="single" w:sz="4" w:space="0" w:color="002279"/>
              <w:right w:val="single" w:sz="4" w:space="0" w:color="002279"/>
            </w:tcBorders>
            <w:shd w:val="clear" w:color="auto" w:fill="D4D6DF"/>
            <w:noWrap/>
            <w:vAlign w:val="center"/>
            <w:hideMark/>
          </w:tcPr>
          <w:p w14:paraId="27D6B766" w14:textId="46A31D66" w:rsidR="00426964" w:rsidRPr="00ED1414" w:rsidRDefault="008F4EED" w:rsidP="00034C2B">
            <w:pPr>
              <w:rPr>
                <w:rFonts w:ascii="Arial" w:hAnsi="Arial" w:cs="Arial"/>
                <w:sz w:val="18"/>
                <w:szCs w:val="18"/>
              </w:rPr>
            </w:pPr>
            <w:r w:rsidRPr="00ED1414">
              <w:rPr>
                <w:rFonts w:ascii="Arial" w:hAnsi="Arial" w:cs="Arial"/>
                <w:color w:val="000000"/>
                <w:sz w:val="18"/>
                <w:szCs w:val="18"/>
              </w:rPr>
              <w:t>15.56</w:t>
            </w:r>
          </w:p>
        </w:tc>
        <w:tc>
          <w:tcPr>
            <w:tcW w:w="1150" w:type="dxa"/>
            <w:tcBorders>
              <w:top w:val="single" w:sz="4" w:space="0" w:color="002279"/>
              <w:left w:val="single" w:sz="4" w:space="0" w:color="002279"/>
              <w:bottom w:val="single" w:sz="4" w:space="0" w:color="002279"/>
              <w:right w:val="single" w:sz="4" w:space="0" w:color="002279"/>
            </w:tcBorders>
            <w:shd w:val="clear" w:color="auto" w:fill="D4D6DF"/>
            <w:noWrap/>
            <w:vAlign w:val="center"/>
            <w:hideMark/>
          </w:tcPr>
          <w:p w14:paraId="73468A09" w14:textId="28303361" w:rsidR="00426964" w:rsidRPr="00ED1414" w:rsidRDefault="008F4EED" w:rsidP="00034C2B">
            <w:pPr>
              <w:rPr>
                <w:rFonts w:ascii="Arial" w:hAnsi="Arial" w:cs="Arial"/>
                <w:sz w:val="18"/>
                <w:szCs w:val="18"/>
              </w:rPr>
            </w:pPr>
            <w:r w:rsidRPr="00ED1414">
              <w:rPr>
                <w:rFonts w:ascii="Arial" w:hAnsi="Arial" w:cs="Arial"/>
                <w:color w:val="000000"/>
                <w:sz w:val="18"/>
                <w:szCs w:val="18"/>
              </w:rPr>
              <w:t>16.</w:t>
            </w:r>
            <w:r w:rsidR="009F717A" w:rsidRPr="00ED1414">
              <w:rPr>
                <w:rFonts w:ascii="Arial" w:hAnsi="Arial" w:cs="Arial"/>
                <w:color w:val="000000"/>
                <w:sz w:val="18"/>
                <w:szCs w:val="18"/>
              </w:rPr>
              <w:t>46</w:t>
            </w:r>
          </w:p>
        </w:tc>
        <w:tc>
          <w:tcPr>
            <w:tcW w:w="1150" w:type="dxa"/>
            <w:tcBorders>
              <w:top w:val="single" w:sz="4" w:space="0" w:color="002279"/>
              <w:left w:val="single" w:sz="4" w:space="0" w:color="002279"/>
              <w:bottom w:val="single" w:sz="4" w:space="0" w:color="002279"/>
              <w:right w:val="single" w:sz="4" w:space="0" w:color="002279"/>
            </w:tcBorders>
            <w:shd w:val="clear" w:color="auto" w:fill="D4D6DF"/>
            <w:noWrap/>
            <w:vAlign w:val="center"/>
            <w:hideMark/>
          </w:tcPr>
          <w:p w14:paraId="742A6E22" w14:textId="34FA5586" w:rsidR="00426964" w:rsidRPr="00ED1414" w:rsidRDefault="008F4EED" w:rsidP="00034C2B">
            <w:pPr>
              <w:rPr>
                <w:rFonts w:ascii="Arial" w:hAnsi="Arial" w:cs="Arial"/>
                <w:sz w:val="18"/>
                <w:szCs w:val="18"/>
              </w:rPr>
            </w:pPr>
            <w:r w:rsidRPr="00ED1414">
              <w:rPr>
                <w:rFonts w:ascii="Arial" w:hAnsi="Arial" w:cs="Arial"/>
                <w:color w:val="000000"/>
                <w:sz w:val="18"/>
                <w:szCs w:val="18"/>
              </w:rPr>
              <w:t>18.</w:t>
            </w:r>
            <w:r w:rsidR="009F717A" w:rsidRPr="00ED1414">
              <w:rPr>
                <w:rFonts w:ascii="Arial" w:hAnsi="Arial" w:cs="Arial"/>
                <w:color w:val="000000"/>
                <w:sz w:val="18"/>
                <w:szCs w:val="18"/>
              </w:rPr>
              <w:t>62</w:t>
            </w:r>
          </w:p>
        </w:tc>
        <w:tc>
          <w:tcPr>
            <w:tcW w:w="1151" w:type="dxa"/>
            <w:tcBorders>
              <w:top w:val="single" w:sz="4" w:space="0" w:color="002279"/>
              <w:left w:val="single" w:sz="4" w:space="0" w:color="002279"/>
              <w:bottom w:val="single" w:sz="4" w:space="0" w:color="002279"/>
              <w:right w:val="single" w:sz="4" w:space="0" w:color="002279"/>
            </w:tcBorders>
            <w:shd w:val="clear" w:color="auto" w:fill="D4D6DF"/>
            <w:noWrap/>
            <w:vAlign w:val="center"/>
            <w:hideMark/>
          </w:tcPr>
          <w:p w14:paraId="1ACFF9BA" w14:textId="2E8229F0" w:rsidR="00426964" w:rsidRPr="00ED1414" w:rsidRDefault="008F4EED" w:rsidP="00034C2B">
            <w:pPr>
              <w:rPr>
                <w:rFonts w:ascii="Arial" w:hAnsi="Arial" w:cs="Arial"/>
                <w:sz w:val="18"/>
                <w:szCs w:val="18"/>
              </w:rPr>
            </w:pPr>
            <w:r w:rsidRPr="00ED1414">
              <w:rPr>
                <w:rFonts w:ascii="Arial" w:hAnsi="Arial" w:cs="Arial"/>
                <w:color w:val="000000"/>
                <w:sz w:val="18"/>
                <w:szCs w:val="18"/>
              </w:rPr>
              <w:t>19.</w:t>
            </w:r>
            <w:r w:rsidR="009F717A" w:rsidRPr="00ED1414">
              <w:rPr>
                <w:rFonts w:ascii="Arial" w:hAnsi="Arial" w:cs="Arial"/>
                <w:color w:val="000000"/>
                <w:sz w:val="18"/>
                <w:szCs w:val="18"/>
              </w:rPr>
              <w:t>61</w:t>
            </w:r>
          </w:p>
        </w:tc>
        <w:tc>
          <w:tcPr>
            <w:tcW w:w="1150" w:type="dxa"/>
            <w:tcBorders>
              <w:top w:val="single" w:sz="4" w:space="0" w:color="002279"/>
              <w:left w:val="single" w:sz="4" w:space="0" w:color="002279"/>
              <w:bottom w:val="single" w:sz="4" w:space="0" w:color="002279"/>
              <w:right w:val="single" w:sz="4" w:space="0" w:color="002279"/>
            </w:tcBorders>
            <w:shd w:val="clear" w:color="auto" w:fill="D4D6DF"/>
            <w:noWrap/>
            <w:vAlign w:val="center"/>
            <w:hideMark/>
          </w:tcPr>
          <w:p w14:paraId="37AC1349" w14:textId="6B393664" w:rsidR="00426964" w:rsidRPr="00ED1414" w:rsidRDefault="008F4EED" w:rsidP="00034C2B">
            <w:pPr>
              <w:rPr>
                <w:rFonts w:ascii="Arial" w:hAnsi="Arial" w:cs="Arial"/>
                <w:sz w:val="18"/>
                <w:szCs w:val="18"/>
              </w:rPr>
            </w:pPr>
            <w:r w:rsidRPr="00ED1414">
              <w:rPr>
                <w:rFonts w:ascii="Arial" w:hAnsi="Arial" w:cs="Arial"/>
                <w:color w:val="000000"/>
                <w:sz w:val="18"/>
                <w:szCs w:val="18"/>
              </w:rPr>
              <w:t>19.</w:t>
            </w:r>
            <w:r w:rsidR="009F717A" w:rsidRPr="00ED1414">
              <w:rPr>
                <w:rFonts w:ascii="Arial" w:hAnsi="Arial" w:cs="Arial"/>
                <w:color w:val="000000"/>
                <w:sz w:val="18"/>
                <w:szCs w:val="18"/>
              </w:rPr>
              <w:t>73</w:t>
            </w:r>
          </w:p>
        </w:tc>
        <w:tc>
          <w:tcPr>
            <w:tcW w:w="1150" w:type="dxa"/>
            <w:tcBorders>
              <w:top w:val="single" w:sz="4" w:space="0" w:color="002279"/>
              <w:left w:val="single" w:sz="4" w:space="0" w:color="002279"/>
              <w:bottom w:val="single" w:sz="4" w:space="0" w:color="002279"/>
              <w:right w:val="single" w:sz="4" w:space="0" w:color="002279"/>
            </w:tcBorders>
            <w:shd w:val="clear" w:color="auto" w:fill="D4D6DF"/>
            <w:noWrap/>
            <w:vAlign w:val="center"/>
            <w:hideMark/>
          </w:tcPr>
          <w:p w14:paraId="5F6CB2A1" w14:textId="52520704" w:rsidR="00426964" w:rsidRPr="00ED1414" w:rsidRDefault="008F4EED" w:rsidP="00034C2B">
            <w:pPr>
              <w:rPr>
                <w:rFonts w:ascii="Arial" w:hAnsi="Arial" w:cs="Arial"/>
                <w:sz w:val="18"/>
                <w:szCs w:val="18"/>
              </w:rPr>
            </w:pPr>
            <w:r w:rsidRPr="00ED1414">
              <w:rPr>
                <w:rFonts w:ascii="Arial" w:hAnsi="Arial" w:cs="Arial"/>
                <w:color w:val="000000"/>
                <w:sz w:val="18"/>
                <w:szCs w:val="18"/>
              </w:rPr>
              <w:t>20.17</w:t>
            </w:r>
          </w:p>
        </w:tc>
        <w:tc>
          <w:tcPr>
            <w:tcW w:w="1151" w:type="dxa"/>
            <w:tcBorders>
              <w:top w:val="single" w:sz="4" w:space="0" w:color="002279"/>
              <w:left w:val="single" w:sz="4" w:space="0" w:color="002279"/>
              <w:bottom w:val="single" w:sz="4" w:space="0" w:color="002279"/>
              <w:right w:val="single" w:sz="4" w:space="0" w:color="002279"/>
            </w:tcBorders>
            <w:shd w:val="clear" w:color="auto" w:fill="D4D6DF"/>
            <w:noWrap/>
            <w:vAlign w:val="center"/>
            <w:hideMark/>
          </w:tcPr>
          <w:p w14:paraId="680DC5E5" w14:textId="5C11CD37" w:rsidR="00426964" w:rsidRPr="00ED1414" w:rsidRDefault="008F4EED" w:rsidP="00034C2B">
            <w:pPr>
              <w:rPr>
                <w:rFonts w:ascii="Arial" w:hAnsi="Arial" w:cs="Arial"/>
                <w:sz w:val="18"/>
                <w:szCs w:val="18"/>
              </w:rPr>
            </w:pPr>
            <w:r w:rsidRPr="00ED1414">
              <w:rPr>
                <w:rFonts w:ascii="Arial" w:hAnsi="Arial" w:cs="Arial"/>
                <w:color w:val="000000"/>
                <w:sz w:val="18"/>
                <w:szCs w:val="18"/>
              </w:rPr>
              <w:t>21.19</w:t>
            </w:r>
          </w:p>
        </w:tc>
      </w:tr>
      <w:tr w:rsidR="00ED1414" w:rsidRPr="000B654A" w14:paraId="67DEBD4E" w14:textId="77777777" w:rsidTr="003F1732">
        <w:trPr>
          <w:cnfStyle w:val="000000010000" w:firstRow="0" w:lastRow="0" w:firstColumn="0" w:lastColumn="0" w:oddVBand="0" w:evenVBand="0" w:oddHBand="0" w:evenHBand="1" w:firstRowFirstColumn="0" w:firstRowLastColumn="0" w:lastRowFirstColumn="0" w:lastRowLastColumn="0"/>
          <w:trHeight w:val="563"/>
        </w:trPr>
        <w:tc>
          <w:tcPr>
            <w:tcW w:w="2815" w:type="dxa"/>
            <w:tcBorders>
              <w:top w:val="single" w:sz="4" w:space="0" w:color="002279"/>
              <w:left w:val="single" w:sz="4" w:space="0" w:color="002279"/>
              <w:bottom w:val="single" w:sz="4" w:space="0" w:color="002279"/>
              <w:right w:val="single" w:sz="4" w:space="0" w:color="002279"/>
            </w:tcBorders>
            <w:shd w:val="clear" w:color="auto" w:fill="FFFFFF" w:themeFill="background1"/>
            <w:noWrap/>
            <w:hideMark/>
          </w:tcPr>
          <w:p w14:paraId="54C1E5D8" w14:textId="5874CAD7" w:rsidR="00426964" w:rsidRPr="00ED1414" w:rsidRDefault="00AC68A7" w:rsidP="003E7263">
            <w:pPr>
              <w:rPr>
                <w:rFonts w:ascii="Arial" w:hAnsi="Arial" w:cs="Arial"/>
                <w:b/>
                <w:sz w:val="18"/>
                <w:szCs w:val="18"/>
              </w:rPr>
            </w:pPr>
            <w:r w:rsidRPr="00ED1414">
              <w:rPr>
                <w:rFonts w:cs="Arial"/>
                <w:b/>
                <w:sz w:val="18"/>
                <w:szCs w:val="18"/>
              </w:rPr>
              <w:t>R</w:t>
            </w:r>
            <w:r w:rsidR="00426964" w:rsidRPr="00ED1414">
              <w:rPr>
                <w:rFonts w:cs="Arial"/>
                <w:b/>
                <w:sz w:val="18"/>
                <w:szCs w:val="18"/>
              </w:rPr>
              <w:t>evenue requirement</w:t>
            </w:r>
          </w:p>
        </w:tc>
        <w:tc>
          <w:tcPr>
            <w:tcW w:w="1150" w:type="dxa"/>
            <w:tcBorders>
              <w:top w:val="single" w:sz="4" w:space="0" w:color="002279"/>
              <w:left w:val="single" w:sz="4" w:space="0" w:color="002279"/>
              <w:bottom w:val="single" w:sz="4" w:space="0" w:color="002279"/>
              <w:right w:val="single" w:sz="4" w:space="0" w:color="002279"/>
            </w:tcBorders>
            <w:shd w:val="clear" w:color="auto" w:fill="FFFFFF" w:themeFill="background1"/>
            <w:noWrap/>
            <w:vAlign w:val="center"/>
            <w:hideMark/>
          </w:tcPr>
          <w:p w14:paraId="2D9B6C28" w14:textId="56C9B0DD" w:rsidR="00426964" w:rsidRPr="00ED1414" w:rsidRDefault="00511F8E" w:rsidP="00034C2B">
            <w:pPr>
              <w:rPr>
                <w:rFonts w:ascii="Arial" w:hAnsi="Arial" w:cs="Arial"/>
                <w:b/>
                <w:sz w:val="18"/>
                <w:szCs w:val="18"/>
              </w:rPr>
            </w:pPr>
            <w:r w:rsidRPr="00ED1414">
              <w:rPr>
                <w:rFonts w:ascii="Arial" w:hAnsi="Arial" w:cs="Arial"/>
                <w:b/>
                <w:color w:val="000000"/>
                <w:sz w:val="18"/>
                <w:szCs w:val="18"/>
              </w:rPr>
              <w:t>944.</w:t>
            </w:r>
            <w:r w:rsidR="009F717A" w:rsidRPr="00ED1414">
              <w:rPr>
                <w:rFonts w:ascii="Arial" w:hAnsi="Arial" w:cs="Arial"/>
                <w:b/>
                <w:color w:val="000000"/>
                <w:sz w:val="18"/>
                <w:szCs w:val="18"/>
              </w:rPr>
              <w:t>25</w:t>
            </w:r>
          </w:p>
        </w:tc>
        <w:tc>
          <w:tcPr>
            <w:tcW w:w="1150" w:type="dxa"/>
            <w:tcBorders>
              <w:top w:val="single" w:sz="4" w:space="0" w:color="002279"/>
              <w:left w:val="single" w:sz="4" w:space="0" w:color="002279"/>
              <w:bottom w:val="single" w:sz="4" w:space="0" w:color="002279"/>
              <w:right w:val="single" w:sz="4" w:space="0" w:color="002279"/>
            </w:tcBorders>
            <w:shd w:val="clear" w:color="auto" w:fill="FFFFFF" w:themeFill="background1"/>
            <w:noWrap/>
            <w:vAlign w:val="center"/>
            <w:hideMark/>
          </w:tcPr>
          <w:p w14:paraId="3E910875" w14:textId="2BF661BC" w:rsidR="00426964" w:rsidRPr="00ED1414" w:rsidRDefault="00511F8E" w:rsidP="00034C2B">
            <w:pPr>
              <w:rPr>
                <w:rFonts w:ascii="Arial" w:hAnsi="Arial" w:cs="Arial"/>
                <w:b/>
                <w:sz w:val="18"/>
                <w:szCs w:val="18"/>
              </w:rPr>
            </w:pPr>
            <w:r w:rsidRPr="00ED1414">
              <w:rPr>
                <w:rFonts w:ascii="Arial" w:hAnsi="Arial" w:cs="Arial"/>
                <w:b/>
                <w:color w:val="000000"/>
                <w:sz w:val="18"/>
                <w:szCs w:val="18"/>
              </w:rPr>
              <w:t>923.</w:t>
            </w:r>
            <w:r w:rsidR="009F717A" w:rsidRPr="00ED1414">
              <w:rPr>
                <w:rFonts w:ascii="Arial" w:hAnsi="Arial" w:cs="Arial"/>
                <w:b/>
                <w:color w:val="000000"/>
                <w:sz w:val="18"/>
                <w:szCs w:val="18"/>
              </w:rPr>
              <w:t>41</w:t>
            </w:r>
          </w:p>
        </w:tc>
        <w:tc>
          <w:tcPr>
            <w:tcW w:w="1150" w:type="dxa"/>
            <w:tcBorders>
              <w:top w:val="single" w:sz="4" w:space="0" w:color="002279"/>
              <w:left w:val="single" w:sz="4" w:space="0" w:color="002279"/>
              <w:bottom w:val="single" w:sz="4" w:space="0" w:color="002279"/>
              <w:right w:val="single" w:sz="4" w:space="0" w:color="002279"/>
            </w:tcBorders>
            <w:shd w:val="clear" w:color="auto" w:fill="FFFFFF" w:themeFill="background1"/>
            <w:noWrap/>
            <w:vAlign w:val="center"/>
            <w:hideMark/>
          </w:tcPr>
          <w:p w14:paraId="5CFE46BF" w14:textId="55BEEBFC" w:rsidR="00426964" w:rsidRPr="00ED1414" w:rsidRDefault="00511F8E" w:rsidP="00034C2B">
            <w:pPr>
              <w:rPr>
                <w:rFonts w:ascii="Arial" w:hAnsi="Arial" w:cs="Arial"/>
                <w:b/>
                <w:sz w:val="18"/>
                <w:szCs w:val="18"/>
              </w:rPr>
            </w:pPr>
            <w:r w:rsidRPr="00ED1414">
              <w:rPr>
                <w:rFonts w:ascii="Arial" w:hAnsi="Arial" w:cs="Arial"/>
                <w:b/>
                <w:color w:val="000000"/>
                <w:sz w:val="18"/>
                <w:szCs w:val="18"/>
              </w:rPr>
              <w:t>921.</w:t>
            </w:r>
            <w:r w:rsidR="009F717A" w:rsidRPr="00ED1414">
              <w:rPr>
                <w:rFonts w:ascii="Arial" w:hAnsi="Arial" w:cs="Arial"/>
                <w:b/>
                <w:color w:val="000000"/>
                <w:sz w:val="18"/>
                <w:szCs w:val="18"/>
              </w:rPr>
              <w:t>62</w:t>
            </w:r>
          </w:p>
        </w:tc>
        <w:tc>
          <w:tcPr>
            <w:tcW w:w="1151" w:type="dxa"/>
            <w:tcBorders>
              <w:top w:val="single" w:sz="4" w:space="0" w:color="002279"/>
              <w:left w:val="single" w:sz="4" w:space="0" w:color="002279"/>
              <w:bottom w:val="single" w:sz="4" w:space="0" w:color="002279"/>
              <w:right w:val="single" w:sz="4" w:space="0" w:color="002279"/>
            </w:tcBorders>
            <w:shd w:val="clear" w:color="auto" w:fill="FFFFFF" w:themeFill="background1"/>
            <w:noWrap/>
            <w:vAlign w:val="center"/>
            <w:hideMark/>
          </w:tcPr>
          <w:p w14:paraId="21ECE9DA" w14:textId="1D6E39E7" w:rsidR="00426964" w:rsidRPr="00ED1414" w:rsidRDefault="00511F8E" w:rsidP="00034C2B">
            <w:pPr>
              <w:rPr>
                <w:rFonts w:ascii="Arial" w:hAnsi="Arial" w:cs="Arial"/>
                <w:b/>
                <w:sz w:val="18"/>
                <w:szCs w:val="18"/>
              </w:rPr>
            </w:pPr>
            <w:r w:rsidRPr="00ED1414">
              <w:rPr>
                <w:rFonts w:ascii="Arial" w:hAnsi="Arial" w:cs="Arial"/>
                <w:b/>
                <w:color w:val="000000"/>
                <w:sz w:val="18"/>
                <w:szCs w:val="18"/>
              </w:rPr>
              <w:t>917.</w:t>
            </w:r>
            <w:r w:rsidR="009F717A" w:rsidRPr="00ED1414">
              <w:rPr>
                <w:rFonts w:ascii="Arial" w:hAnsi="Arial" w:cs="Arial"/>
                <w:b/>
                <w:color w:val="000000"/>
                <w:sz w:val="18"/>
                <w:szCs w:val="18"/>
              </w:rPr>
              <w:t>46</w:t>
            </w:r>
          </w:p>
        </w:tc>
        <w:tc>
          <w:tcPr>
            <w:tcW w:w="1150" w:type="dxa"/>
            <w:tcBorders>
              <w:top w:val="single" w:sz="4" w:space="0" w:color="002279"/>
              <w:left w:val="single" w:sz="4" w:space="0" w:color="002279"/>
              <w:bottom w:val="single" w:sz="4" w:space="0" w:color="002279"/>
              <w:right w:val="single" w:sz="4" w:space="0" w:color="002279"/>
            </w:tcBorders>
            <w:shd w:val="clear" w:color="auto" w:fill="FFFFFF" w:themeFill="background1"/>
            <w:noWrap/>
            <w:vAlign w:val="center"/>
            <w:hideMark/>
          </w:tcPr>
          <w:p w14:paraId="18D40938" w14:textId="0775D9E3" w:rsidR="00426964" w:rsidRPr="00ED1414" w:rsidRDefault="00511F8E" w:rsidP="00034C2B">
            <w:pPr>
              <w:rPr>
                <w:rFonts w:ascii="Arial" w:hAnsi="Arial" w:cs="Arial"/>
                <w:b/>
                <w:sz w:val="18"/>
                <w:szCs w:val="18"/>
              </w:rPr>
            </w:pPr>
            <w:r w:rsidRPr="00ED1414">
              <w:rPr>
                <w:rFonts w:ascii="Arial" w:hAnsi="Arial" w:cs="Arial"/>
                <w:b/>
                <w:color w:val="000000"/>
                <w:sz w:val="18"/>
                <w:szCs w:val="18"/>
              </w:rPr>
              <w:t>926.</w:t>
            </w:r>
            <w:r w:rsidR="009F717A" w:rsidRPr="00ED1414">
              <w:rPr>
                <w:rFonts w:ascii="Arial" w:hAnsi="Arial" w:cs="Arial"/>
                <w:b/>
                <w:color w:val="000000"/>
                <w:sz w:val="18"/>
                <w:szCs w:val="18"/>
              </w:rPr>
              <w:t>28</w:t>
            </w:r>
          </w:p>
        </w:tc>
        <w:tc>
          <w:tcPr>
            <w:tcW w:w="1150" w:type="dxa"/>
            <w:tcBorders>
              <w:top w:val="single" w:sz="4" w:space="0" w:color="002279"/>
              <w:left w:val="single" w:sz="4" w:space="0" w:color="002279"/>
              <w:bottom w:val="single" w:sz="4" w:space="0" w:color="002279"/>
              <w:right w:val="single" w:sz="4" w:space="0" w:color="002279"/>
            </w:tcBorders>
            <w:shd w:val="clear" w:color="auto" w:fill="FFFFFF" w:themeFill="background1"/>
            <w:noWrap/>
            <w:vAlign w:val="center"/>
            <w:hideMark/>
          </w:tcPr>
          <w:p w14:paraId="19726597" w14:textId="3029530A" w:rsidR="00426964" w:rsidRPr="00ED1414" w:rsidRDefault="00511F8E" w:rsidP="00034C2B">
            <w:pPr>
              <w:rPr>
                <w:rFonts w:ascii="Arial" w:hAnsi="Arial" w:cs="Arial"/>
                <w:b/>
                <w:sz w:val="18"/>
                <w:szCs w:val="18"/>
              </w:rPr>
            </w:pPr>
            <w:r w:rsidRPr="00ED1414">
              <w:rPr>
                <w:rFonts w:ascii="Arial" w:hAnsi="Arial" w:cs="Arial"/>
                <w:b/>
                <w:color w:val="000000"/>
                <w:sz w:val="18"/>
                <w:szCs w:val="18"/>
              </w:rPr>
              <w:t>939.</w:t>
            </w:r>
            <w:r w:rsidR="009F717A" w:rsidRPr="00ED1414">
              <w:rPr>
                <w:rFonts w:ascii="Arial" w:hAnsi="Arial" w:cs="Arial"/>
                <w:b/>
                <w:color w:val="000000"/>
                <w:sz w:val="18"/>
                <w:szCs w:val="18"/>
              </w:rPr>
              <w:t>89</w:t>
            </w:r>
          </w:p>
        </w:tc>
        <w:tc>
          <w:tcPr>
            <w:tcW w:w="1151" w:type="dxa"/>
            <w:tcBorders>
              <w:top w:val="single" w:sz="4" w:space="0" w:color="002279"/>
              <w:left w:val="single" w:sz="4" w:space="0" w:color="002279"/>
              <w:bottom w:val="single" w:sz="4" w:space="0" w:color="002279"/>
              <w:right w:val="single" w:sz="4" w:space="0" w:color="002279"/>
            </w:tcBorders>
            <w:shd w:val="clear" w:color="auto" w:fill="FFFFFF" w:themeFill="background1"/>
            <w:noWrap/>
            <w:vAlign w:val="center"/>
            <w:hideMark/>
          </w:tcPr>
          <w:p w14:paraId="54B006D4" w14:textId="4FB1DA39" w:rsidR="00426964" w:rsidRPr="00ED1414" w:rsidRDefault="00511F8E" w:rsidP="00034C2B">
            <w:pPr>
              <w:rPr>
                <w:rFonts w:ascii="Arial" w:hAnsi="Arial" w:cs="Arial"/>
                <w:b/>
                <w:sz w:val="18"/>
                <w:szCs w:val="18"/>
              </w:rPr>
            </w:pPr>
            <w:r w:rsidRPr="00ED1414">
              <w:rPr>
                <w:rFonts w:ascii="Arial" w:hAnsi="Arial" w:cs="Arial"/>
                <w:b/>
                <w:color w:val="000000"/>
                <w:sz w:val="18"/>
                <w:szCs w:val="18"/>
              </w:rPr>
              <w:t>951.</w:t>
            </w:r>
            <w:r w:rsidR="009F717A" w:rsidRPr="00ED1414">
              <w:rPr>
                <w:rFonts w:ascii="Arial" w:hAnsi="Arial" w:cs="Arial"/>
                <w:b/>
                <w:color w:val="000000"/>
                <w:sz w:val="18"/>
                <w:szCs w:val="18"/>
              </w:rPr>
              <w:t>91</w:t>
            </w:r>
          </w:p>
        </w:tc>
        <w:tc>
          <w:tcPr>
            <w:tcW w:w="1150" w:type="dxa"/>
            <w:tcBorders>
              <w:top w:val="single" w:sz="4" w:space="0" w:color="002279"/>
              <w:left w:val="single" w:sz="4" w:space="0" w:color="002279"/>
              <w:bottom w:val="single" w:sz="4" w:space="0" w:color="002279"/>
              <w:right w:val="single" w:sz="4" w:space="0" w:color="002279"/>
            </w:tcBorders>
            <w:shd w:val="clear" w:color="auto" w:fill="FFFFFF" w:themeFill="background1"/>
            <w:noWrap/>
            <w:vAlign w:val="center"/>
            <w:hideMark/>
          </w:tcPr>
          <w:p w14:paraId="0002DCF8" w14:textId="28044BA0" w:rsidR="00426964" w:rsidRPr="00ED1414" w:rsidRDefault="00511F8E" w:rsidP="00034C2B">
            <w:pPr>
              <w:rPr>
                <w:rFonts w:ascii="Arial" w:hAnsi="Arial" w:cs="Arial"/>
                <w:b/>
                <w:sz w:val="18"/>
                <w:szCs w:val="18"/>
              </w:rPr>
            </w:pPr>
            <w:r w:rsidRPr="00ED1414">
              <w:rPr>
                <w:rFonts w:ascii="Arial" w:hAnsi="Arial" w:cs="Arial"/>
                <w:b/>
                <w:color w:val="000000"/>
                <w:sz w:val="18"/>
                <w:szCs w:val="18"/>
              </w:rPr>
              <w:t>964.</w:t>
            </w:r>
            <w:r w:rsidR="009F717A" w:rsidRPr="00ED1414">
              <w:rPr>
                <w:rFonts w:ascii="Arial" w:hAnsi="Arial" w:cs="Arial"/>
                <w:b/>
                <w:color w:val="000000"/>
                <w:sz w:val="18"/>
                <w:szCs w:val="18"/>
              </w:rPr>
              <w:t>87</w:t>
            </w:r>
          </w:p>
        </w:tc>
        <w:tc>
          <w:tcPr>
            <w:tcW w:w="1150" w:type="dxa"/>
            <w:tcBorders>
              <w:top w:val="single" w:sz="4" w:space="0" w:color="002279"/>
              <w:left w:val="single" w:sz="4" w:space="0" w:color="002279"/>
              <w:bottom w:val="single" w:sz="4" w:space="0" w:color="002279"/>
              <w:right w:val="single" w:sz="4" w:space="0" w:color="002279"/>
            </w:tcBorders>
            <w:shd w:val="clear" w:color="auto" w:fill="FFFFFF" w:themeFill="background1"/>
            <w:noWrap/>
            <w:vAlign w:val="center"/>
            <w:hideMark/>
          </w:tcPr>
          <w:p w14:paraId="08E3C36E" w14:textId="76B44CAA" w:rsidR="00426964" w:rsidRPr="00ED1414" w:rsidRDefault="00511F8E" w:rsidP="00034C2B">
            <w:pPr>
              <w:rPr>
                <w:rFonts w:ascii="Arial" w:hAnsi="Arial" w:cs="Arial"/>
                <w:b/>
                <w:sz w:val="18"/>
                <w:szCs w:val="18"/>
              </w:rPr>
            </w:pPr>
            <w:r w:rsidRPr="00ED1414">
              <w:rPr>
                <w:rFonts w:ascii="Arial" w:hAnsi="Arial" w:cs="Arial"/>
                <w:b/>
                <w:color w:val="000000"/>
                <w:sz w:val="18"/>
                <w:szCs w:val="18"/>
              </w:rPr>
              <w:t>981.</w:t>
            </w:r>
            <w:r w:rsidR="009F717A" w:rsidRPr="00ED1414">
              <w:rPr>
                <w:rFonts w:ascii="Arial" w:hAnsi="Arial" w:cs="Arial"/>
                <w:b/>
                <w:color w:val="000000"/>
                <w:sz w:val="18"/>
                <w:szCs w:val="18"/>
              </w:rPr>
              <w:t>30</w:t>
            </w:r>
          </w:p>
        </w:tc>
        <w:tc>
          <w:tcPr>
            <w:tcW w:w="1151" w:type="dxa"/>
            <w:tcBorders>
              <w:top w:val="single" w:sz="4" w:space="0" w:color="002279"/>
              <w:left w:val="single" w:sz="4" w:space="0" w:color="002279"/>
              <w:bottom w:val="single" w:sz="4" w:space="0" w:color="002279"/>
              <w:right w:val="single" w:sz="4" w:space="0" w:color="002279"/>
            </w:tcBorders>
            <w:shd w:val="clear" w:color="auto" w:fill="FFFFFF" w:themeFill="background1"/>
            <w:noWrap/>
            <w:vAlign w:val="center"/>
            <w:hideMark/>
          </w:tcPr>
          <w:p w14:paraId="24CD0252" w14:textId="2F6BEB88" w:rsidR="00426964" w:rsidRPr="00ED1414" w:rsidRDefault="009F717A" w:rsidP="00034C2B">
            <w:pPr>
              <w:rPr>
                <w:rFonts w:ascii="Arial" w:hAnsi="Arial" w:cs="Arial"/>
                <w:b/>
                <w:sz w:val="18"/>
                <w:szCs w:val="18"/>
              </w:rPr>
            </w:pPr>
            <w:r w:rsidRPr="00ED1414">
              <w:rPr>
                <w:rFonts w:ascii="Arial" w:hAnsi="Arial" w:cs="Arial"/>
                <w:b/>
                <w:color w:val="000000"/>
                <w:sz w:val="18"/>
                <w:szCs w:val="18"/>
              </w:rPr>
              <w:t>996.12</w:t>
            </w:r>
          </w:p>
        </w:tc>
      </w:tr>
    </w:tbl>
    <w:p w14:paraId="18581F93" w14:textId="77777777" w:rsidR="00ED1414" w:rsidRDefault="00ED1414" w:rsidP="00AE35E9">
      <w:pPr>
        <w:sectPr w:rsidR="00ED1414" w:rsidSect="00ED1414">
          <w:pgSz w:w="16838" w:h="11906" w:orient="landscape" w:code="9"/>
          <w:pgMar w:top="1253" w:right="1440" w:bottom="1157" w:left="1440" w:header="567" w:footer="284" w:gutter="0"/>
          <w:cols w:space="708"/>
          <w:docGrid w:linePitch="360"/>
        </w:sectPr>
      </w:pPr>
    </w:p>
    <w:p w14:paraId="402E2A7F" w14:textId="2BEDCB16" w:rsidR="00AE35E9" w:rsidRDefault="00AE35E9" w:rsidP="00F11FE1">
      <w:pPr>
        <w:pStyle w:val="Heading2"/>
      </w:pPr>
      <w:bookmarkStart w:id="85" w:name="_Toc103770945"/>
      <w:r>
        <w:lastRenderedPageBreak/>
        <w:t>8.</w:t>
      </w:r>
      <w:r w:rsidR="003B5B93">
        <w:t>2</w:t>
      </w:r>
      <w:r>
        <w:t xml:space="preserve"> </w:t>
      </w:r>
      <w:r w:rsidRPr="009267E1">
        <w:t>Forecast regulatory asset base</w:t>
      </w:r>
      <w:bookmarkEnd w:id="85"/>
      <w:r w:rsidR="009A40E5">
        <w:t xml:space="preserve"> (RAB)</w:t>
      </w:r>
    </w:p>
    <w:p w14:paraId="4621312A" w14:textId="5B03F312" w:rsidR="00AE35E9" w:rsidRDefault="007709F1" w:rsidP="00AE35E9">
      <w:r>
        <w:t>The opening RAB for 20</w:t>
      </w:r>
      <w:r w:rsidR="00396E3E">
        <w:t>23</w:t>
      </w:r>
      <w:r w:rsidR="00310E2A">
        <w:t>–</w:t>
      </w:r>
      <w:r w:rsidR="00396E3E">
        <w:t>34 has been calculated by:</w:t>
      </w:r>
    </w:p>
    <w:p w14:paraId="33D4DA7B" w14:textId="4190D434" w:rsidR="00396E3E" w:rsidRDefault="00E875E2">
      <w:pPr>
        <w:pStyle w:val="ListParagraph"/>
        <w:numPr>
          <w:ilvl w:val="0"/>
          <w:numId w:val="95"/>
        </w:numPr>
        <w:ind w:left="426"/>
      </w:pPr>
      <w:r>
        <w:t>adding actual capital expenditure from each year of the current period to the opening RAB in 2018</w:t>
      </w:r>
      <w:r w:rsidR="00310E2A">
        <w:t>–</w:t>
      </w:r>
      <w:r>
        <w:t>19</w:t>
      </w:r>
    </w:p>
    <w:p w14:paraId="1BF8C15D" w14:textId="5AD416A4" w:rsidR="00E875E2" w:rsidRDefault="00E875E2">
      <w:pPr>
        <w:pStyle w:val="ListParagraph"/>
        <w:numPr>
          <w:ilvl w:val="0"/>
          <w:numId w:val="95"/>
        </w:numPr>
        <w:ind w:left="426"/>
      </w:pPr>
      <w:r>
        <w:t xml:space="preserve">subtracting actual customer contributions, any government contributions, asset disposals and regulatory depreciation. </w:t>
      </w:r>
    </w:p>
    <w:p w14:paraId="0CC93398" w14:textId="54F2F759" w:rsidR="00C37D2A" w:rsidRDefault="00C37D2A" w:rsidP="00C37D2A">
      <w:r>
        <w:t>We have used up-to-date forecast capital expenditure for 202</w:t>
      </w:r>
      <w:r w:rsidR="00080832">
        <w:t>2</w:t>
      </w:r>
      <w:r w:rsidR="00310E2A">
        <w:t>–</w:t>
      </w:r>
      <w:r>
        <w:t>23 to determine the 2023</w:t>
      </w:r>
      <w:r w:rsidR="00310E2A">
        <w:t>–</w:t>
      </w:r>
      <w:r>
        <w:t xml:space="preserve">24 opening </w:t>
      </w:r>
      <w:r w:rsidR="004257D4">
        <w:t>RAB</w:t>
      </w:r>
      <w:r>
        <w:t xml:space="preserve">. </w:t>
      </w:r>
      <w:r w:rsidR="00080832">
        <w:t>We will provide updates on the 2022</w:t>
      </w:r>
      <w:r w:rsidR="00310E2A">
        <w:t>–</w:t>
      </w:r>
      <w:r w:rsidR="00080832">
        <w:t>23 capital expenditure</w:t>
      </w:r>
      <w:r w:rsidR="00E14EF3">
        <w:t xml:space="preserve"> forecast during the price review process</w:t>
      </w:r>
      <w:r w:rsidR="004E5E09">
        <w:t>,</w:t>
      </w:r>
      <w:r w:rsidR="00E14EF3">
        <w:t xml:space="preserve"> to ensure the expenditure included in the opening RAB is </w:t>
      </w:r>
      <w:r w:rsidR="00E07413">
        <w:t xml:space="preserve">as </w:t>
      </w:r>
      <w:r w:rsidR="004257D4">
        <w:t>accurate as possible.</w:t>
      </w:r>
      <w:r w:rsidR="00A1315F">
        <w:t xml:space="preserve"> </w:t>
      </w:r>
    </w:p>
    <w:p w14:paraId="650C71E2" w14:textId="77777777" w:rsidR="00E57550" w:rsidRDefault="00E57550" w:rsidP="00C37D2A"/>
    <w:p w14:paraId="5CC17BAC" w14:textId="74353BCF" w:rsidR="00713521" w:rsidRPr="00304A0D" w:rsidRDefault="00304A0D" w:rsidP="00304A0D">
      <w:pPr>
        <w:pStyle w:val="NormalIndent"/>
        <w:ind w:left="0"/>
        <w:rPr>
          <w:rFonts w:cs="Arial"/>
          <w:i/>
        </w:rPr>
      </w:pPr>
      <w:r w:rsidRPr="00CE6C4E">
        <w:rPr>
          <w:b/>
          <w:i/>
        </w:rPr>
        <w:t xml:space="preserve">Table </w:t>
      </w:r>
      <w:r w:rsidR="002128BB" w:rsidRPr="00CE6C4E">
        <w:rPr>
          <w:b/>
          <w:bCs/>
          <w:i/>
          <w:iCs/>
        </w:rPr>
        <w:fldChar w:fldCharType="begin"/>
      </w:r>
      <w:r w:rsidR="002128BB" w:rsidRPr="00CE6C4E">
        <w:rPr>
          <w:b/>
          <w:bCs/>
          <w:i/>
          <w:iCs/>
        </w:rPr>
        <w:instrText>SEQ Table \* ARABIC</w:instrText>
      </w:r>
      <w:r w:rsidR="002128BB" w:rsidRPr="00CE6C4E">
        <w:rPr>
          <w:b/>
          <w:bCs/>
          <w:i/>
          <w:iCs/>
        </w:rPr>
        <w:fldChar w:fldCharType="separate"/>
      </w:r>
      <w:r w:rsidR="002128BB">
        <w:rPr>
          <w:b/>
          <w:bCs/>
          <w:i/>
          <w:iCs/>
          <w:noProof/>
        </w:rPr>
        <w:t>38</w:t>
      </w:r>
      <w:r w:rsidR="002128BB" w:rsidRPr="00CE6C4E">
        <w:rPr>
          <w:b/>
          <w:bCs/>
          <w:i/>
          <w:iCs/>
        </w:rPr>
        <w:fldChar w:fldCharType="end"/>
      </w:r>
      <w:r w:rsidRPr="007B339F">
        <w:rPr>
          <w:rFonts w:ascii="Arial" w:hAnsi="Arial" w:cs="Arial"/>
          <w:b/>
          <w:i/>
        </w:rPr>
        <w:t>:</w:t>
      </w:r>
      <w:r>
        <w:rPr>
          <w:rFonts w:ascii="Arial" w:hAnsi="Arial" w:cs="Arial"/>
          <w:b/>
          <w:i/>
        </w:rPr>
        <w:t xml:space="preserve"> </w:t>
      </w:r>
      <w:r w:rsidR="00713521" w:rsidRPr="008A66F4">
        <w:rPr>
          <w:b/>
          <w:i/>
        </w:rPr>
        <w:t xml:space="preserve">Regulatory asset base, </w:t>
      </w:r>
      <w:r w:rsidR="00713521" w:rsidRPr="008A66F4">
        <w:rPr>
          <w:b/>
          <w:bCs/>
          <w:i/>
          <w:iCs/>
        </w:rPr>
        <w:t>201</w:t>
      </w:r>
      <w:r w:rsidR="00DF2D63">
        <w:rPr>
          <w:b/>
          <w:bCs/>
          <w:i/>
          <w:iCs/>
        </w:rPr>
        <w:t>7</w:t>
      </w:r>
      <w:r w:rsidR="00310E2A">
        <w:rPr>
          <w:b/>
          <w:i/>
        </w:rPr>
        <w:t>–</w:t>
      </w:r>
      <w:r w:rsidR="00713521" w:rsidRPr="008A66F4">
        <w:rPr>
          <w:b/>
          <w:i/>
        </w:rPr>
        <w:t xml:space="preserve">23 </w:t>
      </w:r>
      <w:r w:rsidR="00921F48" w:rsidRPr="006D1620">
        <w:rPr>
          <w:rFonts w:cs="Arial"/>
          <w:b/>
          <w:i/>
        </w:rPr>
        <w:t>(</w:t>
      </w:r>
      <w:r w:rsidR="00921F48">
        <w:rPr>
          <w:rFonts w:cs="Arial"/>
          <w:b/>
          <w:i/>
        </w:rPr>
        <w:t>$</w:t>
      </w:r>
      <w:r w:rsidR="00713521" w:rsidRPr="008A66F4">
        <w:rPr>
          <w:b/>
          <w:i/>
        </w:rPr>
        <w:t xml:space="preserve">million </w:t>
      </w:r>
      <w:r w:rsidR="00921F48" w:rsidRPr="006D1620">
        <w:rPr>
          <w:rFonts w:cs="Arial"/>
          <w:b/>
          <w:i/>
        </w:rPr>
        <w:t>2022</w:t>
      </w:r>
      <w:r w:rsidR="00921F48">
        <w:rPr>
          <w:rFonts w:cs="Arial"/>
          <w:b/>
          <w:i/>
        </w:rPr>
        <w:t>–</w:t>
      </w:r>
      <w:r w:rsidR="00921F48" w:rsidRPr="006D1620">
        <w:rPr>
          <w:rFonts w:cs="Arial"/>
          <w:b/>
          <w:i/>
        </w:rPr>
        <w:t>23</w:t>
      </w:r>
      <w:r w:rsidR="00713521" w:rsidRPr="008A66F4">
        <w:rPr>
          <w:b/>
          <w:i/>
        </w:rPr>
        <w:t>)</w:t>
      </w:r>
    </w:p>
    <w:tbl>
      <w:tblPr>
        <w:tblStyle w:val="MJTableStyle1default"/>
        <w:tblW w:w="5000" w:type="pct"/>
        <w:tblInd w:w="0" w:type="dxa"/>
        <w:tblLook w:val="04A0" w:firstRow="1" w:lastRow="0" w:firstColumn="1" w:lastColumn="0" w:noHBand="0" w:noVBand="1"/>
      </w:tblPr>
      <w:tblGrid>
        <w:gridCol w:w="2804"/>
        <w:gridCol w:w="1114"/>
        <w:gridCol w:w="1114"/>
        <w:gridCol w:w="1114"/>
        <w:gridCol w:w="1114"/>
        <w:gridCol w:w="1114"/>
        <w:gridCol w:w="1114"/>
      </w:tblGrid>
      <w:tr w:rsidR="00B22669" w:rsidRPr="00314921" w14:paraId="3789477A" w14:textId="77777777" w:rsidTr="003F1732">
        <w:trPr>
          <w:cnfStyle w:val="100000000000" w:firstRow="1" w:lastRow="0" w:firstColumn="0" w:lastColumn="0" w:oddVBand="0" w:evenVBand="0" w:oddHBand="0" w:evenHBand="0" w:firstRowFirstColumn="0" w:firstRowLastColumn="0" w:lastRowFirstColumn="0" w:lastRowLastColumn="0"/>
          <w:trHeight w:val="560"/>
        </w:trPr>
        <w:tc>
          <w:tcPr>
            <w:tcW w:w="1478" w:type="pct"/>
            <w:tcBorders>
              <w:top w:val="single" w:sz="4" w:space="0" w:color="002279"/>
              <w:left w:val="single" w:sz="4" w:space="0" w:color="002279"/>
              <w:bottom w:val="single" w:sz="2" w:space="0" w:color="002279"/>
              <w:right w:val="single" w:sz="4" w:space="0" w:color="FFFFFF" w:themeColor="background1"/>
            </w:tcBorders>
            <w:shd w:val="clear" w:color="auto" w:fill="002279"/>
            <w:noWrap/>
            <w:vAlign w:val="center"/>
            <w:hideMark/>
          </w:tcPr>
          <w:p w14:paraId="30ABFE49" w14:textId="5FBE9094" w:rsidR="00314921" w:rsidRPr="00E57550" w:rsidRDefault="00314921" w:rsidP="004455C1">
            <w:pPr>
              <w:rPr>
                <w:rFonts w:asciiTheme="minorHAnsi" w:hAnsiTheme="minorHAnsi" w:cstheme="minorHAnsi"/>
                <w:b/>
                <w:sz w:val="18"/>
                <w:szCs w:val="18"/>
              </w:rPr>
            </w:pPr>
            <w:r w:rsidRPr="00E57550">
              <w:rPr>
                <w:rFonts w:asciiTheme="minorHAnsi" w:hAnsiTheme="minorHAnsi" w:cstheme="minorHAnsi"/>
                <w:b/>
                <w:sz w:val="18"/>
                <w:szCs w:val="18"/>
              </w:rPr>
              <w:t>Regulatory asset base</w:t>
            </w:r>
          </w:p>
        </w:tc>
        <w:tc>
          <w:tcPr>
            <w:tcW w:w="587" w:type="pct"/>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vAlign w:val="center"/>
          </w:tcPr>
          <w:p w14:paraId="23C6540E" w14:textId="782FA2EC" w:rsidR="006A6676" w:rsidRPr="00E57550" w:rsidRDefault="006A6676" w:rsidP="00360131">
            <w:pPr>
              <w:jc w:val="center"/>
              <w:rPr>
                <w:rFonts w:asciiTheme="minorHAnsi" w:hAnsiTheme="minorHAnsi" w:cstheme="minorHAnsi"/>
                <w:b/>
                <w:bCs/>
                <w:sz w:val="18"/>
                <w:szCs w:val="18"/>
              </w:rPr>
            </w:pPr>
            <w:r w:rsidRPr="00E57550">
              <w:rPr>
                <w:rFonts w:asciiTheme="minorHAnsi" w:hAnsiTheme="minorHAnsi" w:cstheme="minorHAnsi"/>
                <w:b/>
                <w:bCs/>
                <w:sz w:val="18"/>
                <w:szCs w:val="18"/>
              </w:rPr>
              <w:t>2017</w:t>
            </w:r>
            <w:r w:rsidR="00310E2A" w:rsidRPr="00E57550">
              <w:rPr>
                <w:rFonts w:asciiTheme="minorHAnsi" w:hAnsiTheme="minorHAnsi" w:cstheme="minorHAnsi"/>
                <w:b/>
                <w:bCs/>
                <w:sz w:val="18"/>
                <w:szCs w:val="18"/>
              </w:rPr>
              <w:t>–</w:t>
            </w:r>
            <w:r w:rsidRPr="00E57550">
              <w:rPr>
                <w:rFonts w:asciiTheme="minorHAnsi" w:hAnsiTheme="minorHAnsi" w:cstheme="minorHAnsi"/>
                <w:b/>
                <w:bCs/>
                <w:sz w:val="18"/>
                <w:szCs w:val="18"/>
              </w:rPr>
              <w:t>18</w:t>
            </w:r>
          </w:p>
        </w:tc>
        <w:tc>
          <w:tcPr>
            <w:tcW w:w="587" w:type="pct"/>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noWrap/>
            <w:vAlign w:val="center"/>
            <w:hideMark/>
          </w:tcPr>
          <w:p w14:paraId="51470A83" w14:textId="0EECEB62" w:rsidR="00314921" w:rsidRPr="00E57550" w:rsidRDefault="00314921" w:rsidP="00360131">
            <w:pPr>
              <w:jc w:val="center"/>
              <w:rPr>
                <w:rFonts w:asciiTheme="minorHAnsi" w:hAnsiTheme="minorHAnsi" w:cstheme="minorHAnsi"/>
                <w:b/>
                <w:sz w:val="18"/>
                <w:szCs w:val="18"/>
              </w:rPr>
            </w:pPr>
            <w:r w:rsidRPr="00E57550">
              <w:rPr>
                <w:rFonts w:asciiTheme="minorHAnsi" w:hAnsiTheme="minorHAnsi" w:cstheme="minorHAnsi"/>
                <w:b/>
                <w:sz w:val="18"/>
                <w:szCs w:val="18"/>
              </w:rPr>
              <w:t>2018</w:t>
            </w:r>
            <w:r w:rsidR="00310E2A" w:rsidRPr="00E57550">
              <w:rPr>
                <w:rFonts w:asciiTheme="minorHAnsi" w:hAnsiTheme="minorHAnsi" w:cstheme="minorHAnsi"/>
                <w:b/>
                <w:sz w:val="18"/>
                <w:szCs w:val="18"/>
              </w:rPr>
              <w:t>–</w:t>
            </w:r>
            <w:r w:rsidRPr="00E57550">
              <w:rPr>
                <w:rFonts w:asciiTheme="minorHAnsi" w:hAnsiTheme="minorHAnsi" w:cstheme="minorHAnsi"/>
                <w:b/>
                <w:sz w:val="18"/>
                <w:szCs w:val="18"/>
              </w:rPr>
              <w:t>19</w:t>
            </w:r>
          </w:p>
        </w:tc>
        <w:tc>
          <w:tcPr>
            <w:tcW w:w="587" w:type="pct"/>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noWrap/>
            <w:vAlign w:val="center"/>
            <w:hideMark/>
          </w:tcPr>
          <w:p w14:paraId="2D6B352F" w14:textId="7DF2CB82" w:rsidR="00314921" w:rsidRPr="00E57550" w:rsidRDefault="00314921" w:rsidP="00360131">
            <w:pPr>
              <w:jc w:val="center"/>
              <w:rPr>
                <w:rFonts w:asciiTheme="minorHAnsi" w:hAnsiTheme="minorHAnsi" w:cstheme="minorHAnsi"/>
                <w:b/>
                <w:sz w:val="18"/>
                <w:szCs w:val="18"/>
              </w:rPr>
            </w:pPr>
            <w:r w:rsidRPr="00E57550">
              <w:rPr>
                <w:rFonts w:asciiTheme="minorHAnsi" w:hAnsiTheme="minorHAnsi" w:cstheme="minorHAnsi"/>
                <w:b/>
                <w:sz w:val="18"/>
                <w:szCs w:val="18"/>
              </w:rPr>
              <w:t>2019</w:t>
            </w:r>
            <w:r w:rsidR="00310E2A" w:rsidRPr="00E57550">
              <w:rPr>
                <w:rFonts w:asciiTheme="minorHAnsi" w:hAnsiTheme="minorHAnsi" w:cstheme="minorHAnsi"/>
                <w:b/>
                <w:sz w:val="18"/>
                <w:szCs w:val="18"/>
              </w:rPr>
              <w:t>–</w:t>
            </w:r>
            <w:r w:rsidRPr="00E57550">
              <w:rPr>
                <w:rFonts w:asciiTheme="minorHAnsi" w:hAnsiTheme="minorHAnsi" w:cstheme="minorHAnsi"/>
                <w:b/>
                <w:sz w:val="18"/>
                <w:szCs w:val="18"/>
              </w:rPr>
              <w:t>20</w:t>
            </w:r>
          </w:p>
        </w:tc>
        <w:tc>
          <w:tcPr>
            <w:tcW w:w="587" w:type="pct"/>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noWrap/>
            <w:vAlign w:val="center"/>
            <w:hideMark/>
          </w:tcPr>
          <w:p w14:paraId="04E40DA4" w14:textId="6002C743" w:rsidR="00314921" w:rsidRPr="00E57550" w:rsidRDefault="00314921" w:rsidP="00360131">
            <w:pPr>
              <w:jc w:val="center"/>
              <w:rPr>
                <w:rFonts w:asciiTheme="minorHAnsi" w:hAnsiTheme="minorHAnsi" w:cstheme="minorHAnsi"/>
                <w:b/>
                <w:sz w:val="18"/>
                <w:szCs w:val="18"/>
              </w:rPr>
            </w:pPr>
            <w:r w:rsidRPr="00E57550">
              <w:rPr>
                <w:rFonts w:asciiTheme="minorHAnsi" w:hAnsiTheme="minorHAnsi" w:cstheme="minorHAnsi"/>
                <w:b/>
                <w:sz w:val="18"/>
                <w:szCs w:val="18"/>
              </w:rPr>
              <w:t>2020</w:t>
            </w:r>
            <w:r w:rsidR="00310E2A" w:rsidRPr="00E57550">
              <w:rPr>
                <w:rFonts w:asciiTheme="minorHAnsi" w:hAnsiTheme="minorHAnsi" w:cstheme="minorHAnsi"/>
                <w:b/>
                <w:sz w:val="18"/>
                <w:szCs w:val="18"/>
              </w:rPr>
              <w:t>–</w:t>
            </w:r>
            <w:r w:rsidRPr="00E57550">
              <w:rPr>
                <w:rFonts w:asciiTheme="minorHAnsi" w:hAnsiTheme="minorHAnsi" w:cstheme="minorHAnsi"/>
                <w:b/>
                <w:sz w:val="18"/>
                <w:szCs w:val="18"/>
              </w:rPr>
              <w:t>21</w:t>
            </w:r>
          </w:p>
        </w:tc>
        <w:tc>
          <w:tcPr>
            <w:tcW w:w="587" w:type="pct"/>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noWrap/>
            <w:vAlign w:val="center"/>
            <w:hideMark/>
          </w:tcPr>
          <w:p w14:paraId="3BEBFD95" w14:textId="4235D3C9" w:rsidR="00314921" w:rsidRPr="00E57550" w:rsidRDefault="00314921" w:rsidP="00360131">
            <w:pPr>
              <w:jc w:val="center"/>
              <w:rPr>
                <w:rFonts w:asciiTheme="minorHAnsi" w:hAnsiTheme="minorHAnsi" w:cstheme="minorHAnsi"/>
                <w:b/>
                <w:sz w:val="18"/>
                <w:szCs w:val="18"/>
              </w:rPr>
            </w:pPr>
            <w:r w:rsidRPr="00E57550">
              <w:rPr>
                <w:rFonts w:asciiTheme="minorHAnsi" w:hAnsiTheme="minorHAnsi" w:cstheme="minorHAnsi"/>
                <w:b/>
                <w:sz w:val="18"/>
                <w:szCs w:val="18"/>
              </w:rPr>
              <w:t>2021</w:t>
            </w:r>
            <w:r w:rsidR="00310E2A" w:rsidRPr="00E57550">
              <w:rPr>
                <w:rFonts w:asciiTheme="minorHAnsi" w:hAnsiTheme="minorHAnsi" w:cstheme="minorHAnsi"/>
                <w:b/>
                <w:sz w:val="18"/>
                <w:szCs w:val="18"/>
              </w:rPr>
              <w:t>–</w:t>
            </w:r>
            <w:r w:rsidRPr="00E57550">
              <w:rPr>
                <w:rFonts w:asciiTheme="minorHAnsi" w:hAnsiTheme="minorHAnsi" w:cstheme="minorHAnsi"/>
                <w:b/>
                <w:sz w:val="18"/>
                <w:szCs w:val="18"/>
              </w:rPr>
              <w:t>22</w:t>
            </w:r>
          </w:p>
        </w:tc>
        <w:tc>
          <w:tcPr>
            <w:tcW w:w="587" w:type="pct"/>
            <w:tcBorders>
              <w:top w:val="single" w:sz="4" w:space="0" w:color="002279"/>
              <w:left w:val="single" w:sz="4" w:space="0" w:color="FFFFFF" w:themeColor="background1"/>
              <w:bottom w:val="single" w:sz="2" w:space="0" w:color="002279"/>
              <w:right w:val="single" w:sz="4" w:space="0" w:color="002279"/>
            </w:tcBorders>
            <w:shd w:val="clear" w:color="auto" w:fill="002279"/>
            <w:noWrap/>
            <w:vAlign w:val="center"/>
            <w:hideMark/>
          </w:tcPr>
          <w:p w14:paraId="676C0F06" w14:textId="00EB695D" w:rsidR="00314921" w:rsidRPr="00E57550" w:rsidRDefault="00314921" w:rsidP="00360131">
            <w:pPr>
              <w:jc w:val="center"/>
              <w:rPr>
                <w:rFonts w:asciiTheme="minorHAnsi" w:hAnsiTheme="minorHAnsi" w:cstheme="minorHAnsi"/>
                <w:b/>
                <w:sz w:val="18"/>
                <w:szCs w:val="18"/>
              </w:rPr>
            </w:pPr>
            <w:r w:rsidRPr="00E57550">
              <w:rPr>
                <w:rFonts w:asciiTheme="minorHAnsi" w:hAnsiTheme="minorHAnsi" w:cstheme="minorHAnsi"/>
                <w:b/>
                <w:sz w:val="18"/>
                <w:szCs w:val="18"/>
              </w:rPr>
              <w:t>2022</w:t>
            </w:r>
            <w:r w:rsidR="00310E2A" w:rsidRPr="00E57550">
              <w:rPr>
                <w:rFonts w:asciiTheme="minorHAnsi" w:hAnsiTheme="minorHAnsi" w:cstheme="minorHAnsi"/>
                <w:b/>
                <w:sz w:val="18"/>
                <w:szCs w:val="18"/>
              </w:rPr>
              <w:t>–</w:t>
            </w:r>
            <w:r w:rsidRPr="00E57550">
              <w:rPr>
                <w:rFonts w:asciiTheme="minorHAnsi" w:hAnsiTheme="minorHAnsi" w:cstheme="minorHAnsi"/>
                <w:b/>
                <w:sz w:val="18"/>
                <w:szCs w:val="18"/>
              </w:rPr>
              <w:t>23</w:t>
            </w:r>
          </w:p>
        </w:tc>
      </w:tr>
      <w:tr w:rsidR="003F7155" w:rsidRPr="00314921" w14:paraId="1D73A007" w14:textId="77777777" w:rsidTr="003F1732">
        <w:trPr>
          <w:cnfStyle w:val="000000100000" w:firstRow="0" w:lastRow="0" w:firstColumn="0" w:lastColumn="0" w:oddVBand="0" w:evenVBand="0" w:oddHBand="1" w:evenHBand="0" w:firstRowFirstColumn="0" w:firstRowLastColumn="0" w:lastRowFirstColumn="0" w:lastRowLastColumn="0"/>
          <w:trHeight w:val="454"/>
        </w:trPr>
        <w:tc>
          <w:tcPr>
            <w:tcW w:w="1478" w:type="pct"/>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2887D52F" w14:textId="460E0FF8" w:rsidR="00314921" w:rsidRPr="00E57550" w:rsidRDefault="00314921" w:rsidP="003F1732">
            <w:pPr>
              <w:rPr>
                <w:rFonts w:cstheme="minorHAnsi"/>
                <w:sz w:val="18"/>
                <w:szCs w:val="18"/>
              </w:rPr>
            </w:pPr>
            <w:r w:rsidRPr="00E57550">
              <w:rPr>
                <w:rFonts w:cstheme="minorHAnsi"/>
                <w:sz w:val="18"/>
                <w:szCs w:val="18"/>
              </w:rPr>
              <w:t xml:space="preserve">Opening </w:t>
            </w:r>
            <w:r w:rsidR="00A82C9B" w:rsidRPr="00E57550">
              <w:rPr>
                <w:rFonts w:cstheme="minorHAnsi"/>
                <w:sz w:val="18"/>
                <w:szCs w:val="18"/>
              </w:rPr>
              <w:t>RAB</w:t>
            </w:r>
          </w:p>
        </w:tc>
        <w:tc>
          <w:tcPr>
            <w:tcW w:w="587" w:type="pct"/>
            <w:tcBorders>
              <w:top w:val="single" w:sz="2" w:space="0" w:color="002279"/>
              <w:left w:val="single" w:sz="4" w:space="0" w:color="002279"/>
              <w:bottom w:val="single" w:sz="2" w:space="0" w:color="002279"/>
              <w:right w:val="single" w:sz="4" w:space="0" w:color="002279"/>
            </w:tcBorders>
            <w:shd w:val="clear" w:color="auto" w:fill="D4D6DF"/>
            <w:vAlign w:val="center"/>
          </w:tcPr>
          <w:p w14:paraId="6A1E6FAF" w14:textId="79D3D88C" w:rsidR="006A6676" w:rsidRPr="00E57550" w:rsidRDefault="00792690" w:rsidP="003F1732">
            <w:pPr>
              <w:jc w:val="center"/>
              <w:rPr>
                <w:rFonts w:cstheme="minorHAnsi"/>
                <w:sz w:val="18"/>
                <w:szCs w:val="18"/>
              </w:rPr>
            </w:pPr>
            <w:r w:rsidRPr="00C05BB1">
              <w:rPr>
                <w:rFonts w:ascii="Arial" w:hAnsi="Arial" w:cs="Arial"/>
                <w:color w:val="000000"/>
                <w:sz w:val="18"/>
                <w:szCs w:val="18"/>
              </w:rPr>
              <w:t>3,688.82</w:t>
            </w:r>
          </w:p>
        </w:tc>
        <w:tc>
          <w:tcPr>
            <w:tcW w:w="587" w:type="pct"/>
            <w:tcBorders>
              <w:top w:val="single" w:sz="2" w:space="0" w:color="002279"/>
              <w:left w:val="single" w:sz="4" w:space="0" w:color="002279"/>
              <w:bottom w:val="single" w:sz="2" w:space="0" w:color="002279"/>
              <w:right w:val="single" w:sz="4" w:space="0" w:color="002279"/>
            </w:tcBorders>
            <w:shd w:val="clear" w:color="auto" w:fill="D4D6DF"/>
            <w:noWrap/>
            <w:vAlign w:val="center"/>
          </w:tcPr>
          <w:p w14:paraId="7E0A38F2" w14:textId="374800A1" w:rsidR="00314921" w:rsidRPr="00E57550" w:rsidRDefault="00900471" w:rsidP="003F1732">
            <w:pPr>
              <w:jc w:val="center"/>
              <w:rPr>
                <w:rFonts w:cstheme="minorHAnsi"/>
                <w:sz w:val="18"/>
                <w:szCs w:val="18"/>
              </w:rPr>
            </w:pPr>
            <w:r w:rsidRPr="00C05BB1">
              <w:rPr>
                <w:rFonts w:ascii="Arial" w:hAnsi="Arial" w:cs="Arial"/>
                <w:color w:val="000000"/>
                <w:sz w:val="18"/>
                <w:szCs w:val="18"/>
              </w:rPr>
              <w:t>3,722.24</w:t>
            </w:r>
          </w:p>
        </w:tc>
        <w:tc>
          <w:tcPr>
            <w:tcW w:w="587" w:type="pct"/>
            <w:tcBorders>
              <w:top w:val="single" w:sz="2" w:space="0" w:color="002279"/>
              <w:left w:val="single" w:sz="4" w:space="0" w:color="002279"/>
              <w:bottom w:val="single" w:sz="2" w:space="0" w:color="002279"/>
              <w:right w:val="single" w:sz="4" w:space="0" w:color="002279"/>
            </w:tcBorders>
            <w:shd w:val="clear" w:color="auto" w:fill="D4D6DF"/>
            <w:noWrap/>
            <w:vAlign w:val="center"/>
          </w:tcPr>
          <w:p w14:paraId="6937AA0D" w14:textId="03886190" w:rsidR="00314921" w:rsidRPr="00E57550" w:rsidRDefault="00900471" w:rsidP="003F1732">
            <w:pPr>
              <w:jc w:val="center"/>
              <w:rPr>
                <w:rFonts w:cstheme="minorHAnsi"/>
                <w:sz w:val="18"/>
                <w:szCs w:val="18"/>
              </w:rPr>
            </w:pPr>
            <w:r w:rsidRPr="00C05BB1">
              <w:rPr>
                <w:rFonts w:ascii="Arial" w:hAnsi="Arial" w:cs="Arial"/>
                <w:color w:val="000000"/>
                <w:sz w:val="18"/>
                <w:szCs w:val="18"/>
              </w:rPr>
              <w:t>3,748.27</w:t>
            </w:r>
          </w:p>
        </w:tc>
        <w:tc>
          <w:tcPr>
            <w:tcW w:w="587" w:type="pct"/>
            <w:tcBorders>
              <w:top w:val="single" w:sz="2" w:space="0" w:color="002279"/>
              <w:left w:val="single" w:sz="4" w:space="0" w:color="002279"/>
              <w:bottom w:val="single" w:sz="2" w:space="0" w:color="002279"/>
              <w:right w:val="single" w:sz="4" w:space="0" w:color="002279"/>
            </w:tcBorders>
            <w:shd w:val="clear" w:color="auto" w:fill="D4D6DF"/>
            <w:noWrap/>
            <w:vAlign w:val="center"/>
          </w:tcPr>
          <w:p w14:paraId="1783A498" w14:textId="627DE3AE" w:rsidR="00314921" w:rsidRPr="00E57550" w:rsidRDefault="00900471" w:rsidP="003F1732">
            <w:pPr>
              <w:jc w:val="center"/>
              <w:rPr>
                <w:rFonts w:cstheme="minorHAnsi"/>
                <w:sz w:val="18"/>
                <w:szCs w:val="18"/>
              </w:rPr>
            </w:pPr>
            <w:r w:rsidRPr="00C05BB1">
              <w:rPr>
                <w:rFonts w:ascii="Arial" w:hAnsi="Arial" w:cs="Arial"/>
                <w:color w:val="000000"/>
                <w:sz w:val="18"/>
                <w:szCs w:val="18"/>
              </w:rPr>
              <w:t>3,877.01</w:t>
            </w:r>
          </w:p>
        </w:tc>
        <w:tc>
          <w:tcPr>
            <w:tcW w:w="587" w:type="pct"/>
            <w:tcBorders>
              <w:top w:val="single" w:sz="2" w:space="0" w:color="002279"/>
              <w:left w:val="single" w:sz="4" w:space="0" w:color="002279"/>
              <w:bottom w:val="single" w:sz="2" w:space="0" w:color="002279"/>
              <w:right w:val="single" w:sz="4" w:space="0" w:color="002279"/>
            </w:tcBorders>
            <w:shd w:val="clear" w:color="auto" w:fill="D4D6DF"/>
            <w:noWrap/>
            <w:vAlign w:val="center"/>
          </w:tcPr>
          <w:p w14:paraId="304E15F7" w14:textId="66C87F1A" w:rsidR="00314921" w:rsidRPr="00E57550" w:rsidRDefault="00900471" w:rsidP="003F1732">
            <w:pPr>
              <w:jc w:val="center"/>
              <w:rPr>
                <w:rFonts w:cstheme="minorHAnsi"/>
                <w:sz w:val="18"/>
                <w:szCs w:val="18"/>
              </w:rPr>
            </w:pPr>
            <w:r w:rsidRPr="00C05BB1">
              <w:rPr>
                <w:rFonts w:ascii="Arial" w:hAnsi="Arial" w:cs="Arial"/>
                <w:color w:val="000000"/>
                <w:sz w:val="18"/>
                <w:szCs w:val="18"/>
              </w:rPr>
              <w:t>3,969.83</w:t>
            </w:r>
          </w:p>
        </w:tc>
        <w:tc>
          <w:tcPr>
            <w:tcW w:w="587" w:type="pct"/>
            <w:tcBorders>
              <w:top w:val="single" w:sz="2" w:space="0" w:color="002279"/>
              <w:left w:val="single" w:sz="4" w:space="0" w:color="002279"/>
              <w:bottom w:val="single" w:sz="2" w:space="0" w:color="002279"/>
              <w:right w:val="single" w:sz="4" w:space="0" w:color="002279"/>
            </w:tcBorders>
            <w:shd w:val="clear" w:color="auto" w:fill="D4D6DF"/>
            <w:noWrap/>
            <w:vAlign w:val="center"/>
          </w:tcPr>
          <w:p w14:paraId="3EAD67CB" w14:textId="690321AD" w:rsidR="00314921" w:rsidRPr="00E57550" w:rsidRDefault="00BB19B3" w:rsidP="003F1732">
            <w:pPr>
              <w:jc w:val="center"/>
              <w:rPr>
                <w:rFonts w:cstheme="minorHAnsi"/>
                <w:sz w:val="18"/>
                <w:szCs w:val="18"/>
              </w:rPr>
            </w:pPr>
            <w:r w:rsidRPr="00C05BB1">
              <w:rPr>
                <w:rFonts w:ascii="Arial" w:hAnsi="Arial" w:cs="Arial"/>
                <w:color w:val="000000"/>
                <w:sz w:val="18"/>
                <w:szCs w:val="18"/>
              </w:rPr>
              <w:t>4,002.99</w:t>
            </w:r>
          </w:p>
        </w:tc>
      </w:tr>
      <w:tr w:rsidR="00B22669" w:rsidRPr="00314921" w14:paraId="7C668B92" w14:textId="77777777" w:rsidTr="003F1732">
        <w:trPr>
          <w:cnfStyle w:val="000000010000" w:firstRow="0" w:lastRow="0" w:firstColumn="0" w:lastColumn="0" w:oddVBand="0" w:evenVBand="0" w:oddHBand="0" w:evenHBand="1" w:firstRowFirstColumn="0" w:firstRowLastColumn="0" w:lastRowFirstColumn="0" w:lastRowLastColumn="0"/>
          <w:trHeight w:val="454"/>
        </w:trPr>
        <w:tc>
          <w:tcPr>
            <w:tcW w:w="1478"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77CEF8BE" w14:textId="2101E898" w:rsidR="00314921" w:rsidRPr="00E57550" w:rsidRDefault="00314921" w:rsidP="003F1732">
            <w:pPr>
              <w:rPr>
                <w:rFonts w:cstheme="minorHAnsi"/>
                <w:sz w:val="18"/>
                <w:szCs w:val="18"/>
              </w:rPr>
            </w:pPr>
            <w:r w:rsidRPr="00E57550">
              <w:rPr>
                <w:rFonts w:cstheme="minorHAnsi"/>
                <w:sz w:val="18"/>
                <w:szCs w:val="18"/>
              </w:rPr>
              <w:t xml:space="preserve">plus </w:t>
            </w:r>
            <w:r w:rsidR="00D20E31" w:rsidRPr="00E57550">
              <w:rPr>
                <w:rFonts w:cstheme="minorHAnsi"/>
                <w:sz w:val="18"/>
                <w:szCs w:val="18"/>
              </w:rPr>
              <w:t>g</w:t>
            </w:r>
            <w:r w:rsidRPr="00E57550">
              <w:rPr>
                <w:rFonts w:cstheme="minorHAnsi"/>
                <w:sz w:val="18"/>
                <w:szCs w:val="18"/>
              </w:rPr>
              <w:t>ross capital expenditure</w:t>
            </w:r>
          </w:p>
        </w:tc>
        <w:tc>
          <w:tcPr>
            <w:tcW w:w="587" w:type="pct"/>
            <w:tcBorders>
              <w:top w:val="single" w:sz="2" w:space="0" w:color="002279"/>
              <w:left w:val="single" w:sz="4" w:space="0" w:color="002279"/>
              <w:bottom w:val="single" w:sz="2" w:space="0" w:color="002279"/>
              <w:right w:val="single" w:sz="4" w:space="0" w:color="002279"/>
            </w:tcBorders>
            <w:shd w:val="clear" w:color="auto" w:fill="FFFFFF" w:themeFill="background1"/>
            <w:vAlign w:val="center"/>
          </w:tcPr>
          <w:p w14:paraId="490FADBC" w14:textId="2A9CA269" w:rsidR="006A6676" w:rsidRPr="00E57550" w:rsidRDefault="00792690" w:rsidP="003F1732">
            <w:pPr>
              <w:jc w:val="center"/>
              <w:rPr>
                <w:rFonts w:cstheme="minorHAnsi"/>
                <w:sz w:val="18"/>
                <w:szCs w:val="18"/>
              </w:rPr>
            </w:pPr>
            <w:r w:rsidRPr="00C05BB1">
              <w:rPr>
                <w:rFonts w:ascii="Arial" w:hAnsi="Arial" w:cs="Arial"/>
                <w:color w:val="000000"/>
                <w:sz w:val="18"/>
                <w:szCs w:val="18"/>
              </w:rPr>
              <w:t>168.65</w:t>
            </w:r>
          </w:p>
        </w:tc>
        <w:tc>
          <w:tcPr>
            <w:tcW w:w="587"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tcPr>
          <w:p w14:paraId="5A2986CF" w14:textId="24A4BDA2" w:rsidR="00314921" w:rsidRPr="00E57550" w:rsidRDefault="00282ACB" w:rsidP="003F1732">
            <w:pPr>
              <w:jc w:val="center"/>
              <w:rPr>
                <w:rFonts w:cstheme="minorHAnsi"/>
                <w:sz w:val="18"/>
                <w:szCs w:val="18"/>
              </w:rPr>
            </w:pPr>
            <w:r w:rsidRPr="00C05BB1">
              <w:rPr>
                <w:rFonts w:ascii="Arial" w:hAnsi="Arial" w:cs="Arial"/>
                <w:color w:val="000000"/>
                <w:sz w:val="18"/>
                <w:szCs w:val="18"/>
              </w:rPr>
              <w:t>227.81</w:t>
            </w:r>
          </w:p>
        </w:tc>
        <w:tc>
          <w:tcPr>
            <w:tcW w:w="587"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tcPr>
          <w:p w14:paraId="0625A1B9" w14:textId="5E8DE7C7" w:rsidR="00314921" w:rsidRPr="00E57550" w:rsidRDefault="00282ACB" w:rsidP="003F1732">
            <w:pPr>
              <w:jc w:val="center"/>
              <w:rPr>
                <w:rFonts w:cstheme="minorHAnsi"/>
                <w:sz w:val="18"/>
                <w:szCs w:val="18"/>
              </w:rPr>
            </w:pPr>
            <w:r w:rsidRPr="00C05BB1">
              <w:rPr>
                <w:rFonts w:ascii="Arial" w:hAnsi="Arial" w:cs="Arial"/>
                <w:color w:val="000000"/>
                <w:sz w:val="18"/>
                <w:szCs w:val="18"/>
              </w:rPr>
              <w:t>281.93</w:t>
            </w:r>
          </w:p>
        </w:tc>
        <w:tc>
          <w:tcPr>
            <w:tcW w:w="587"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tcPr>
          <w:p w14:paraId="6CB9E69C" w14:textId="2C31C0F1" w:rsidR="00314921" w:rsidRPr="00E57550" w:rsidRDefault="00282ACB" w:rsidP="003F1732">
            <w:pPr>
              <w:jc w:val="center"/>
              <w:rPr>
                <w:rFonts w:cstheme="minorHAnsi"/>
                <w:sz w:val="18"/>
                <w:szCs w:val="18"/>
              </w:rPr>
            </w:pPr>
            <w:r w:rsidRPr="00C05BB1">
              <w:rPr>
                <w:rFonts w:ascii="Arial" w:hAnsi="Arial" w:cs="Arial"/>
                <w:color w:val="000000"/>
                <w:sz w:val="18"/>
                <w:szCs w:val="18"/>
              </w:rPr>
              <w:t>253.55</w:t>
            </w:r>
          </w:p>
        </w:tc>
        <w:tc>
          <w:tcPr>
            <w:tcW w:w="587"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tcPr>
          <w:p w14:paraId="32D0D58D" w14:textId="6E7927D5" w:rsidR="00314921" w:rsidRPr="00E57550" w:rsidRDefault="00282ACB" w:rsidP="003F1732">
            <w:pPr>
              <w:jc w:val="center"/>
              <w:rPr>
                <w:rFonts w:cstheme="minorHAnsi"/>
                <w:sz w:val="18"/>
                <w:szCs w:val="18"/>
              </w:rPr>
            </w:pPr>
            <w:r w:rsidRPr="00C05BB1">
              <w:rPr>
                <w:rFonts w:ascii="Arial" w:hAnsi="Arial" w:cs="Arial"/>
                <w:color w:val="000000"/>
                <w:sz w:val="18"/>
                <w:szCs w:val="18"/>
              </w:rPr>
              <w:t>189.93</w:t>
            </w:r>
          </w:p>
        </w:tc>
        <w:tc>
          <w:tcPr>
            <w:tcW w:w="587"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tcPr>
          <w:p w14:paraId="109D44D6" w14:textId="6D60C287" w:rsidR="00314921" w:rsidRPr="00E57550" w:rsidRDefault="00282ACB" w:rsidP="003F1732">
            <w:pPr>
              <w:jc w:val="center"/>
              <w:rPr>
                <w:rFonts w:cstheme="minorHAnsi"/>
                <w:sz w:val="18"/>
                <w:szCs w:val="18"/>
              </w:rPr>
            </w:pPr>
            <w:r w:rsidRPr="00C05BB1">
              <w:rPr>
                <w:rFonts w:ascii="Arial" w:hAnsi="Arial" w:cs="Arial"/>
                <w:color w:val="000000"/>
                <w:sz w:val="18"/>
                <w:szCs w:val="18"/>
              </w:rPr>
              <w:t>295.13</w:t>
            </w:r>
          </w:p>
        </w:tc>
      </w:tr>
      <w:tr w:rsidR="003F7155" w:rsidRPr="00314921" w14:paraId="60272811" w14:textId="77777777" w:rsidTr="003F1732">
        <w:trPr>
          <w:cnfStyle w:val="000000100000" w:firstRow="0" w:lastRow="0" w:firstColumn="0" w:lastColumn="0" w:oddVBand="0" w:evenVBand="0" w:oddHBand="1" w:evenHBand="0" w:firstRowFirstColumn="0" w:firstRowLastColumn="0" w:lastRowFirstColumn="0" w:lastRowLastColumn="0"/>
          <w:trHeight w:val="454"/>
        </w:trPr>
        <w:tc>
          <w:tcPr>
            <w:tcW w:w="1478" w:type="pct"/>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05056B56" w14:textId="6E575AAB" w:rsidR="00314921" w:rsidRPr="00E57550" w:rsidRDefault="00314921" w:rsidP="003F1732">
            <w:pPr>
              <w:rPr>
                <w:rFonts w:cstheme="minorHAnsi"/>
                <w:sz w:val="18"/>
                <w:szCs w:val="18"/>
              </w:rPr>
            </w:pPr>
            <w:r w:rsidRPr="00E57550">
              <w:rPr>
                <w:rFonts w:cstheme="minorHAnsi"/>
                <w:sz w:val="18"/>
                <w:szCs w:val="18"/>
              </w:rPr>
              <w:t xml:space="preserve">less </w:t>
            </w:r>
            <w:r w:rsidR="00D20E31" w:rsidRPr="00E57550">
              <w:rPr>
                <w:rFonts w:cstheme="minorHAnsi"/>
                <w:sz w:val="18"/>
                <w:szCs w:val="18"/>
              </w:rPr>
              <w:t>g</w:t>
            </w:r>
            <w:r w:rsidRPr="00E57550">
              <w:rPr>
                <w:rFonts w:cstheme="minorHAnsi"/>
                <w:sz w:val="18"/>
                <w:szCs w:val="18"/>
              </w:rPr>
              <w:t>overnment contributions</w:t>
            </w:r>
          </w:p>
        </w:tc>
        <w:tc>
          <w:tcPr>
            <w:tcW w:w="587" w:type="pct"/>
            <w:tcBorders>
              <w:top w:val="single" w:sz="2" w:space="0" w:color="002279"/>
              <w:left w:val="single" w:sz="4" w:space="0" w:color="002279"/>
              <w:bottom w:val="single" w:sz="2" w:space="0" w:color="002279"/>
              <w:right w:val="single" w:sz="4" w:space="0" w:color="002279"/>
            </w:tcBorders>
            <w:shd w:val="clear" w:color="auto" w:fill="D4D6DF"/>
            <w:vAlign w:val="center"/>
          </w:tcPr>
          <w:p w14:paraId="163D84ED" w14:textId="79F1AB95" w:rsidR="006A6676" w:rsidRPr="00E57550" w:rsidRDefault="00BB19B3" w:rsidP="003F1732">
            <w:pPr>
              <w:jc w:val="center"/>
              <w:rPr>
                <w:rFonts w:cstheme="minorHAnsi"/>
                <w:sz w:val="18"/>
                <w:szCs w:val="18"/>
              </w:rPr>
            </w:pPr>
            <w:r w:rsidRPr="00C05BB1">
              <w:rPr>
                <w:rFonts w:cs="Arial"/>
                <w:sz w:val="18"/>
                <w:szCs w:val="18"/>
              </w:rPr>
              <w:t>–</w:t>
            </w:r>
          </w:p>
        </w:tc>
        <w:tc>
          <w:tcPr>
            <w:tcW w:w="587" w:type="pct"/>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3BF36921" w14:textId="749073C2" w:rsidR="00314921" w:rsidRPr="00E57550" w:rsidRDefault="00BB19B3" w:rsidP="003F1732">
            <w:pPr>
              <w:jc w:val="center"/>
              <w:rPr>
                <w:rFonts w:cstheme="minorHAnsi"/>
                <w:sz w:val="18"/>
                <w:szCs w:val="18"/>
              </w:rPr>
            </w:pPr>
            <w:r w:rsidRPr="00C05BB1">
              <w:rPr>
                <w:rFonts w:cs="Arial"/>
                <w:sz w:val="18"/>
                <w:szCs w:val="18"/>
              </w:rPr>
              <w:t>–</w:t>
            </w:r>
          </w:p>
        </w:tc>
        <w:tc>
          <w:tcPr>
            <w:tcW w:w="587" w:type="pct"/>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0414FB3F" w14:textId="2DEE6B3C" w:rsidR="00314921" w:rsidRPr="00E57550" w:rsidRDefault="00BB19B3" w:rsidP="003F1732">
            <w:pPr>
              <w:jc w:val="center"/>
              <w:rPr>
                <w:rFonts w:cstheme="minorHAnsi"/>
                <w:sz w:val="18"/>
                <w:szCs w:val="18"/>
              </w:rPr>
            </w:pPr>
            <w:r w:rsidRPr="00C05BB1">
              <w:rPr>
                <w:rFonts w:cs="Arial"/>
                <w:sz w:val="18"/>
                <w:szCs w:val="18"/>
              </w:rPr>
              <w:t>–</w:t>
            </w:r>
          </w:p>
        </w:tc>
        <w:tc>
          <w:tcPr>
            <w:tcW w:w="587" w:type="pct"/>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33F754B6" w14:textId="181B94D1" w:rsidR="00314921" w:rsidRPr="00E57550" w:rsidRDefault="00BB19B3" w:rsidP="003F1732">
            <w:pPr>
              <w:jc w:val="center"/>
              <w:rPr>
                <w:rFonts w:cstheme="minorHAnsi"/>
                <w:sz w:val="18"/>
                <w:szCs w:val="18"/>
              </w:rPr>
            </w:pPr>
            <w:r w:rsidRPr="00C05BB1">
              <w:rPr>
                <w:rFonts w:cs="Arial"/>
                <w:sz w:val="18"/>
                <w:szCs w:val="18"/>
              </w:rPr>
              <w:t>–</w:t>
            </w:r>
          </w:p>
        </w:tc>
        <w:tc>
          <w:tcPr>
            <w:tcW w:w="587" w:type="pct"/>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3279A621" w14:textId="37F72F46" w:rsidR="00314921" w:rsidRPr="00E57550" w:rsidRDefault="00BB19B3" w:rsidP="003F1732">
            <w:pPr>
              <w:jc w:val="center"/>
              <w:rPr>
                <w:rFonts w:cstheme="minorHAnsi"/>
                <w:sz w:val="18"/>
                <w:szCs w:val="18"/>
              </w:rPr>
            </w:pPr>
            <w:r w:rsidRPr="00C05BB1">
              <w:rPr>
                <w:rFonts w:cs="Arial"/>
                <w:sz w:val="18"/>
                <w:szCs w:val="18"/>
              </w:rPr>
              <w:t>–</w:t>
            </w:r>
          </w:p>
        </w:tc>
        <w:tc>
          <w:tcPr>
            <w:tcW w:w="587" w:type="pct"/>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7FE71BEC" w14:textId="670F4416" w:rsidR="00314921" w:rsidRPr="00E57550" w:rsidRDefault="00AE222B" w:rsidP="003F1732">
            <w:pPr>
              <w:jc w:val="center"/>
              <w:rPr>
                <w:rFonts w:cstheme="minorHAnsi"/>
                <w:sz w:val="18"/>
                <w:szCs w:val="18"/>
              </w:rPr>
            </w:pPr>
            <w:r w:rsidRPr="00C05BB1">
              <w:rPr>
                <w:rFonts w:ascii="Arial" w:hAnsi="Arial" w:cs="Arial"/>
                <w:color w:val="000000"/>
                <w:sz w:val="18"/>
                <w:szCs w:val="18"/>
              </w:rPr>
              <w:t>12.30</w:t>
            </w:r>
          </w:p>
        </w:tc>
      </w:tr>
      <w:tr w:rsidR="00B22669" w:rsidRPr="00314921" w14:paraId="267FD59B" w14:textId="77777777" w:rsidTr="003F1732">
        <w:trPr>
          <w:cnfStyle w:val="000000010000" w:firstRow="0" w:lastRow="0" w:firstColumn="0" w:lastColumn="0" w:oddVBand="0" w:evenVBand="0" w:oddHBand="0" w:evenHBand="1" w:firstRowFirstColumn="0" w:firstRowLastColumn="0" w:lastRowFirstColumn="0" w:lastRowLastColumn="0"/>
          <w:trHeight w:val="454"/>
        </w:trPr>
        <w:tc>
          <w:tcPr>
            <w:tcW w:w="1478"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5938ED6A" w14:textId="41F7CF35" w:rsidR="00314921" w:rsidRPr="00E57550" w:rsidRDefault="00314921" w:rsidP="003F1732">
            <w:pPr>
              <w:rPr>
                <w:rFonts w:cstheme="minorHAnsi"/>
                <w:sz w:val="18"/>
                <w:szCs w:val="18"/>
              </w:rPr>
            </w:pPr>
            <w:r w:rsidRPr="00E57550">
              <w:rPr>
                <w:rFonts w:cstheme="minorHAnsi"/>
                <w:sz w:val="18"/>
                <w:szCs w:val="18"/>
              </w:rPr>
              <w:t xml:space="preserve">less </w:t>
            </w:r>
            <w:r w:rsidR="00D20E31" w:rsidRPr="00E57550">
              <w:rPr>
                <w:rFonts w:cstheme="minorHAnsi"/>
                <w:sz w:val="18"/>
                <w:szCs w:val="18"/>
              </w:rPr>
              <w:t>c</w:t>
            </w:r>
            <w:r w:rsidRPr="00E57550">
              <w:rPr>
                <w:rFonts w:cstheme="minorHAnsi"/>
                <w:sz w:val="18"/>
                <w:szCs w:val="18"/>
              </w:rPr>
              <w:t>ustomer contributions</w:t>
            </w:r>
          </w:p>
        </w:tc>
        <w:tc>
          <w:tcPr>
            <w:tcW w:w="587" w:type="pct"/>
            <w:tcBorders>
              <w:top w:val="single" w:sz="2" w:space="0" w:color="002279"/>
              <w:left w:val="single" w:sz="4" w:space="0" w:color="002279"/>
              <w:bottom w:val="single" w:sz="2" w:space="0" w:color="002279"/>
              <w:right w:val="single" w:sz="4" w:space="0" w:color="002279"/>
            </w:tcBorders>
            <w:shd w:val="clear" w:color="auto" w:fill="FFFFFF" w:themeFill="background1"/>
            <w:vAlign w:val="center"/>
          </w:tcPr>
          <w:p w14:paraId="7D886230" w14:textId="35FCC939" w:rsidR="006A6676" w:rsidRPr="00E57550" w:rsidRDefault="00792690" w:rsidP="003F1732">
            <w:pPr>
              <w:jc w:val="center"/>
              <w:rPr>
                <w:rFonts w:cstheme="minorHAnsi"/>
                <w:sz w:val="18"/>
                <w:szCs w:val="18"/>
              </w:rPr>
            </w:pPr>
            <w:r w:rsidRPr="00C05BB1">
              <w:rPr>
                <w:rFonts w:ascii="Arial" w:hAnsi="Arial" w:cs="Arial"/>
                <w:color w:val="000000"/>
                <w:sz w:val="18"/>
                <w:szCs w:val="18"/>
              </w:rPr>
              <w:t>48.40</w:t>
            </w:r>
          </w:p>
        </w:tc>
        <w:tc>
          <w:tcPr>
            <w:tcW w:w="587"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77F8E228" w14:textId="1764CB24" w:rsidR="00314921" w:rsidRPr="00E57550" w:rsidRDefault="00282ACB" w:rsidP="003F1732">
            <w:pPr>
              <w:jc w:val="center"/>
              <w:rPr>
                <w:rFonts w:cstheme="minorHAnsi"/>
                <w:sz w:val="18"/>
                <w:szCs w:val="18"/>
              </w:rPr>
            </w:pPr>
            <w:r w:rsidRPr="00C05BB1">
              <w:rPr>
                <w:rFonts w:ascii="Arial" w:hAnsi="Arial" w:cs="Arial"/>
                <w:color w:val="000000"/>
                <w:sz w:val="18"/>
                <w:szCs w:val="18"/>
              </w:rPr>
              <w:t>44.96</w:t>
            </w:r>
          </w:p>
        </w:tc>
        <w:tc>
          <w:tcPr>
            <w:tcW w:w="587"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220912E4" w14:textId="5EC2A32F" w:rsidR="00314921" w:rsidRPr="00E57550" w:rsidRDefault="00282ACB" w:rsidP="003F1732">
            <w:pPr>
              <w:jc w:val="center"/>
              <w:rPr>
                <w:rFonts w:cstheme="minorHAnsi"/>
                <w:sz w:val="18"/>
                <w:szCs w:val="18"/>
              </w:rPr>
            </w:pPr>
            <w:r w:rsidRPr="00C05BB1">
              <w:rPr>
                <w:rFonts w:ascii="Arial" w:hAnsi="Arial" w:cs="Arial"/>
                <w:color w:val="000000"/>
                <w:sz w:val="18"/>
                <w:szCs w:val="18"/>
              </w:rPr>
              <w:t>35.86</w:t>
            </w:r>
          </w:p>
        </w:tc>
        <w:tc>
          <w:tcPr>
            <w:tcW w:w="587"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51268021" w14:textId="2010BC24" w:rsidR="00314921" w:rsidRPr="00E57550" w:rsidRDefault="00282ACB" w:rsidP="003F1732">
            <w:pPr>
              <w:jc w:val="center"/>
              <w:rPr>
                <w:rFonts w:cstheme="minorHAnsi"/>
                <w:sz w:val="18"/>
                <w:szCs w:val="18"/>
              </w:rPr>
            </w:pPr>
            <w:r w:rsidRPr="00C05BB1">
              <w:rPr>
                <w:rFonts w:ascii="Arial" w:hAnsi="Arial" w:cs="Arial"/>
                <w:color w:val="000000"/>
                <w:sz w:val="18"/>
                <w:szCs w:val="18"/>
              </w:rPr>
              <w:t>33.55</w:t>
            </w:r>
          </w:p>
        </w:tc>
        <w:tc>
          <w:tcPr>
            <w:tcW w:w="587"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4D0E60E2" w14:textId="6F2B4B1D" w:rsidR="00314921" w:rsidRPr="00E57550" w:rsidRDefault="00BB19B3" w:rsidP="003F1732">
            <w:pPr>
              <w:jc w:val="center"/>
              <w:rPr>
                <w:rFonts w:cstheme="minorHAnsi"/>
                <w:sz w:val="18"/>
                <w:szCs w:val="18"/>
              </w:rPr>
            </w:pPr>
            <w:r w:rsidRPr="00C05BB1">
              <w:rPr>
                <w:rFonts w:ascii="Arial" w:hAnsi="Arial" w:cs="Arial"/>
                <w:color w:val="000000"/>
                <w:sz w:val="18"/>
                <w:szCs w:val="18"/>
              </w:rPr>
              <w:t>32.51</w:t>
            </w:r>
          </w:p>
        </w:tc>
        <w:tc>
          <w:tcPr>
            <w:tcW w:w="587"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3BA79159" w14:textId="35C0D7FB" w:rsidR="00314921" w:rsidRPr="00E57550" w:rsidRDefault="00282ACB" w:rsidP="003F1732">
            <w:pPr>
              <w:jc w:val="center"/>
              <w:rPr>
                <w:rFonts w:cstheme="minorHAnsi"/>
                <w:sz w:val="18"/>
                <w:szCs w:val="18"/>
              </w:rPr>
            </w:pPr>
            <w:r w:rsidRPr="00C05BB1">
              <w:rPr>
                <w:rFonts w:ascii="Arial" w:hAnsi="Arial" w:cs="Arial"/>
                <w:color w:val="000000"/>
                <w:sz w:val="18"/>
                <w:szCs w:val="18"/>
              </w:rPr>
              <w:t>32.95</w:t>
            </w:r>
          </w:p>
        </w:tc>
      </w:tr>
      <w:tr w:rsidR="003F7155" w:rsidRPr="00314921" w14:paraId="494F534A" w14:textId="77777777" w:rsidTr="003F1732">
        <w:trPr>
          <w:cnfStyle w:val="000000100000" w:firstRow="0" w:lastRow="0" w:firstColumn="0" w:lastColumn="0" w:oddVBand="0" w:evenVBand="0" w:oddHBand="1" w:evenHBand="0" w:firstRowFirstColumn="0" w:firstRowLastColumn="0" w:lastRowFirstColumn="0" w:lastRowLastColumn="0"/>
          <w:trHeight w:val="454"/>
        </w:trPr>
        <w:tc>
          <w:tcPr>
            <w:tcW w:w="1478" w:type="pct"/>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22B75385" w14:textId="73C99D86" w:rsidR="00314921" w:rsidRPr="00E57550" w:rsidRDefault="00314921" w:rsidP="003F1732">
            <w:pPr>
              <w:rPr>
                <w:rFonts w:cstheme="minorHAnsi"/>
                <w:sz w:val="18"/>
                <w:szCs w:val="18"/>
              </w:rPr>
            </w:pPr>
            <w:r w:rsidRPr="00E57550">
              <w:rPr>
                <w:rFonts w:cstheme="minorHAnsi"/>
                <w:sz w:val="18"/>
                <w:szCs w:val="18"/>
              </w:rPr>
              <w:t xml:space="preserve">less </w:t>
            </w:r>
            <w:r w:rsidR="00D20E31" w:rsidRPr="00E57550">
              <w:rPr>
                <w:rFonts w:cstheme="minorHAnsi"/>
                <w:sz w:val="18"/>
                <w:szCs w:val="18"/>
              </w:rPr>
              <w:t>p</w:t>
            </w:r>
            <w:r w:rsidRPr="00E57550">
              <w:rPr>
                <w:rFonts w:cstheme="minorHAnsi"/>
                <w:sz w:val="18"/>
                <w:szCs w:val="18"/>
              </w:rPr>
              <w:t>roceeds from disposals</w:t>
            </w:r>
          </w:p>
        </w:tc>
        <w:tc>
          <w:tcPr>
            <w:tcW w:w="587" w:type="pct"/>
            <w:tcBorders>
              <w:top w:val="single" w:sz="2" w:space="0" w:color="002279"/>
              <w:left w:val="single" w:sz="4" w:space="0" w:color="002279"/>
              <w:bottom w:val="single" w:sz="2" w:space="0" w:color="002279"/>
              <w:right w:val="single" w:sz="4" w:space="0" w:color="002279"/>
            </w:tcBorders>
            <w:shd w:val="clear" w:color="auto" w:fill="D4D6DF"/>
            <w:vAlign w:val="center"/>
          </w:tcPr>
          <w:p w14:paraId="3CD0073C" w14:textId="443DBA66" w:rsidR="006A6676" w:rsidRPr="00E57550" w:rsidRDefault="00792690" w:rsidP="003F1732">
            <w:pPr>
              <w:jc w:val="center"/>
              <w:rPr>
                <w:rFonts w:cstheme="minorHAnsi"/>
                <w:sz w:val="18"/>
                <w:szCs w:val="18"/>
              </w:rPr>
            </w:pPr>
            <w:r w:rsidRPr="00C05BB1">
              <w:rPr>
                <w:rFonts w:ascii="Arial" w:hAnsi="Arial" w:cs="Arial"/>
                <w:color w:val="000000"/>
                <w:sz w:val="18"/>
                <w:szCs w:val="18"/>
              </w:rPr>
              <w:t>2.35</w:t>
            </w:r>
          </w:p>
        </w:tc>
        <w:tc>
          <w:tcPr>
            <w:tcW w:w="587" w:type="pct"/>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6E0BC74B" w14:textId="10E0087A" w:rsidR="00314921" w:rsidRPr="00E57550" w:rsidRDefault="00282ACB" w:rsidP="003F1732">
            <w:pPr>
              <w:jc w:val="center"/>
              <w:rPr>
                <w:rFonts w:cstheme="minorHAnsi"/>
                <w:sz w:val="18"/>
                <w:szCs w:val="18"/>
              </w:rPr>
            </w:pPr>
            <w:r w:rsidRPr="00C05BB1">
              <w:rPr>
                <w:rFonts w:ascii="Arial" w:hAnsi="Arial" w:cs="Arial"/>
                <w:color w:val="000000"/>
                <w:sz w:val="18"/>
                <w:szCs w:val="18"/>
              </w:rPr>
              <w:t>90.72</w:t>
            </w:r>
          </w:p>
        </w:tc>
        <w:tc>
          <w:tcPr>
            <w:tcW w:w="587" w:type="pct"/>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54E96801" w14:textId="2B044BB9" w:rsidR="00314921" w:rsidRPr="00E57550" w:rsidRDefault="00282ACB" w:rsidP="003F1732">
            <w:pPr>
              <w:jc w:val="center"/>
              <w:rPr>
                <w:rFonts w:cstheme="minorHAnsi"/>
                <w:sz w:val="18"/>
                <w:szCs w:val="18"/>
              </w:rPr>
            </w:pPr>
            <w:r w:rsidRPr="00C05BB1">
              <w:rPr>
                <w:rFonts w:ascii="Arial" w:hAnsi="Arial" w:cs="Arial"/>
                <w:color w:val="000000"/>
                <w:sz w:val="18"/>
                <w:szCs w:val="18"/>
              </w:rPr>
              <w:t>42.20</w:t>
            </w:r>
          </w:p>
        </w:tc>
        <w:tc>
          <w:tcPr>
            <w:tcW w:w="587" w:type="pct"/>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1947CD9A" w14:textId="65B7E3E4" w:rsidR="00314921" w:rsidRPr="00E57550" w:rsidRDefault="005922F6" w:rsidP="003F1732">
            <w:pPr>
              <w:jc w:val="center"/>
              <w:rPr>
                <w:rFonts w:cstheme="minorHAnsi"/>
                <w:sz w:val="18"/>
                <w:szCs w:val="18"/>
              </w:rPr>
            </w:pPr>
            <w:r w:rsidRPr="00C05BB1">
              <w:rPr>
                <w:rFonts w:ascii="Arial" w:hAnsi="Arial" w:cs="Arial"/>
                <w:color w:val="000000"/>
                <w:sz w:val="18"/>
                <w:szCs w:val="18"/>
              </w:rPr>
              <w:t>42.</w:t>
            </w:r>
            <w:r w:rsidR="00282ACB" w:rsidRPr="00C05BB1">
              <w:rPr>
                <w:rFonts w:ascii="Arial" w:hAnsi="Arial" w:cs="Arial"/>
                <w:color w:val="000000"/>
                <w:sz w:val="18"/>
                <w:szCs w:val="18"/>
              </w:rPr>
              <w:t>55</w:t>
            </w:r>
          </w:p>
        </w:tc>
        <w:tc>
          <w:tcPr>
            <w:tcW w:w="587" w:type="pct"/>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72A73B40" w14:textId="75F5BC52" w:rsidR="00314921" w:rsidRPr="00E57550" w:rsidRDefault="00282ACB" w:rsidP="003F1732">
            <w:pPr>
              <w:jc w:val="center"/>
              <w:rPr>
                <w:rFonts w:cstheme="minorHAnsi"/>
                <w:sz w:val="18"/>
                <w:szCs w:val="18"/>
              </w:rPr>
            </w:pPr>
            <w:r w:rsidRPr="00C05BB1">
              <w:rPr>
                <w:rFonts w:ascii="Arial" w:hAnsi="Arial" w:cs="Arial"/>
                <w:color w:val="000000"/>
                <w:sz w:val="18"/>
                <w:szCs w:val="18"/>
              </w:rPr>
              <w:t>30.64</w:t>
            </w:r>
          </w:p>
        </w:tc>
        <w:tc>
          <w:tcPr>
            <w:tcW w:w="587" w:type="pct"/>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1498E9D5" w14:textId="00349733" w:rsidR="00314921" w:rsidRPr="00E57550" w:rsidRDefault="00282ACB" w:rsidP="003F1732">
            <w:pPr>
              <w:jc w:val="center"/>
              <w:rPr>
                <w:rFonts w:cstheme="minorHAnsi"/>
                <w:sz w:val="18"/>
                <w:szCs w:val="18"/>
              </w:rPr>
            </w:pPr>
            <w:r w:rsidRPr="00C05BB1">
              <w:rPr>
                <w:rFonts w:ascii="Arial" w:hAnsi="Arial" w:cs="Arial"/>
                <w:color w:val="000000"/>
                <w:sz w:val="18"/>
                <w:szCs w:val="18"/>
              </w:rPr>
              <w:t>1.89</w:t>
            </w:r>
          </w:p>
        </w:tc>
      </w:tr>
      <w:tr w:rsidR="00B22669" w:rsidRPr="00314921" w14:paraId="2F02A7EE" w14:textId="77777777" w:rsidTr="003F1732">
        <w:trPr>
          <w:cnfStyle w:val="000000010000" w:firstRow="0" w:lastRow="0" w:firstColumn="0" w:lastColumn="0" w:oddVBand="0" w:evenVBand="0" w:oddHBand="0" w:evenHBand="1" w:firstRowFirstColumn="0" w:firstRowLastColumn="0" w:lastRowFirstColumn="0" w:lastRowLastColumn="0"/>
          <w:trHeight w:val="454"/>
        </w:trPr>
        <w:tc>
          <w:tcPr>
            <w:tcW w:w="1478"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033B1F98" w14:textId="1BDF03B2" w:rsidR="00314921" w:rsidRPr="00E57550" w:rsidRDefault="00314921" w:rsidP="003F1732">
            <w:pPr>
              <w:rPr>
                <w:rFonts w:cstheme="minorHAnsi"/>
                <w:sz w:val="18"/>
                <w:szCs w:val="18"/>
              </w:rPr>
            </w:pPr>
            <w:r w:rsidRPr="00E57550">
              <w:rPr>
                <w:rFonts w:cstheme="minorHAnsi"/>
                <w:sz w:val="18"/>
                <w:szCs w:val="18"/>
              </w:rPr>
              <w:t xml:space="preserve">less </w:t>
            </w:r>
            <w:r w:rsidR="00D20E31" w:rsidRPr="00E57550">
              <w:rPr>
                <w:rFonts w:cstheme="minorHAnsi"/>
                <w:sz w:val="18"/>
                <w:szCs w:val="18"/>
              </w:rPr>
              <w:t>r</w:t>
            </w:r>
            <w:r w:rsidRPr="00E57550">
              <w:rPr>
                <w:rFonts w:cstheme="minorHAnsi"/>
                <w:sz w:val="18"/>
                <w:szCs w:val="18"/>
              </w:rPr>
              <w:t>egulatory depreciation</w:t>
            </w:r>
          </w:p>
        </w:tc>
        <w:tc>
          <w:tcPr>
            <w:tcW w:w="587" w:type="pct"/>
            <w:tcBorders>
              <w:top w:val="single" w:sz="2" w:space="0" w:color="002279"/>
              <w:left w:val="single" w:sz="4" w:space="0" w:color="002279"/>
              <w:bottom w:val="single" w:sz="2" w:space="0" w:color="002279"/>
              <w:right w:val="single" w:sz="4" w:space="0" w:color="002279"/>
            </w:tcBorders>
            <w:shd w:val="clear" w:color="auto" w:fill="FFFFFF" w:themeFill="background1"/>
            <w:vAlign w:val="center"/>
          </w:tcPr>
          <w:p w14:paraId="0F817227" w14:textId="1643A27E" w:rsidR="006A6676" w:rsidRPr="00E57550" w:rsidRDefault="00792690" w:rsidP="003F1732">
            <w:pPr>
              <w:jc w:val="center"/>
              <w:rPr>
                <w:rFonts w:cstheme="minorHAnsi"/>
                <w:sz w:val="18"/>
                <w:szCs w:val="18"/>
              </w:rPr>
            </w:pPr>
            <w:r w:rsidRPr="00C05BB1">
              <w:rPr>
                <w:rFonts w:ascii="Arial" w:hAnsi="Arial" w:cs="Arial"/>
                <w:color w:val="000000"/>
                <w:sz w:val="18"/>
                <w:szCs w:val="18"/>
              </w:rPr>
              <w:t>84.47</w:t>
            </w:r>
          </w:p>
        </w:tc>
        <w:tc>
          <w:tcPr>
            <w:tcW w:w="587"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0E37B84E" w14:textId="6F2DA73A" w:rsidR="00314921" w:rsidRPr="00E57550" w:rsidRDefault="00282ACB" w:rsidP="003F1732">
            <w:pPr>
              <w:jc w:val="center"/>
              <w:rPr>
                <w:rFonts w:cstheme="minorHAnsi"/>
                <w:sz w:val="18"/>
                <w:szCs w:val="18"/>
              </w:rPr>
            </w:pPr>
            <w:r w:rsidRPr="00C05BB1">
              <w:rPr>
                <w:rFonts w:ascii="Arial" w:hAnsi="Arial" w:cs="Arial"/>
                <w:color w:val="000000"/>
                <w:sz w:val="18"/>
                <w:szCs w:val="18"/>
              </w:rPr>
              <w:t>66.10</w:t>
            </w:r>
          </w:p>
        </w:tc>
        <w:tc>
          <w:tcPr>
            <w:tcW w:w="587"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0AA630A7" w14:textId="413C885E" w:rsidR="00314921" w:rsidRPr="00E57550" w:rsidRDefault="00282ACB" w:rsidP="003F1732">
            <w:pPr>
              <w:jc w:val="center"/>
              <w:rPr>
                <w:rFonts w:cstheme="minorHAnsi"/>
                <w:sz w:val="18"/>
                <w:szCs w:val="18"/>
              </w:rPr>
            </w:pPr>
            <w:r w:rsidRPr="00C05BB1">
              <w:rPr>
                <w:rFonts w:ascii="Arial" w:hAnsi="Arial" w:cs="Arial"/>
                <w:color w:val="000000"/>
                <w:sz w:val="18"/>
                <w:szCs w:val="18"/>
              </w:rPr>
              <w:t>75.14</w:t>
            </w:r>
          </w:p>
        </w:tc>
        <w:tc>
          <w:tcPr>
            <w:tcW w:w="587"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24A53682" w14:textId="551F2E2D" w:rsidR="00314921" w:rsidRPr="00E57550" w:rsidRDefault="00282ACB" w:rsidP="003F1732">
            <w:pPr>
              <w:jc w:val="center"/>
              <w:rPr>
                <w:rFonts w:cstheme="minorHAnsi"/>
                <w:sz w:val="18"/>
                <w:szCs w:val="18"/>
              </w:rPr>
            </w:pPr>
            <w:r w:rsidRPr="00C05BB1">
              <w:rPr>
                <w:rFonts w:ascii="Arial" w:hAnsi="Arial" w:cs="Arial"/>
                <w:color w:val="000000"/>
                <w:sz w:val="18"/>
                <w:szCs w:val="18"/>
              </w:rPr>
              <w:t>84.62</w:t>
            </w:r>
          </w:p>
        </w:tc>
        <w:tc>
          <w:tcPr>
            <w:tcW w:w="587"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7128E9C6" w14:textId="063BF8BA" w:rsidR="00314921" w:rsidRPr="00E57550" w:rsidRDefault="00282ACB" w:rsidP="003F1732">
            <w:pPr>
              <w:jc w:val="center"/>
              <w:rPr>
                <w:rFonts w:cstheme="minorHAnsi"/>
                <w:sz w:val="18"/>
                <w:szCs w:val="18"/>
              </w:rPr>
            </w:pPr>
            <w:r w:rsidRPr="00C05BB1">
              <w:rPr>
                <w:rFonts w:ascii="Arial" w:hAnsi="Arial" w:cs="Arial"/>
                <w:color w:val="000000"/>
                <w:sz w:val="18"/>
                <w:szCs w:val="18"/>
              </w:rPr>
              <w:t>93.61</w:t>
            </w:r>
          </w:p>
        </w:tc>
        <w:tc>
          <w:tcPr>
            <w:tcW w:w="587"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499D34E2" w14:textId="2FE03326" w:rsidR="00314921" w:rsidRPr="00E57550" w:rsidRDefault="00282ACB" w:rsidP="003F1732">
            <w:pPr>
              <w:jc w:val="center"/>
              <w:rPr>
                <w:rFonts w:cstheme="minorHAnsi"/>
                <w:sz w:val="18"/>
                <w:szCs w:val="18"/>
              </w:rPr>
            </w:pPr>
            <w:r w:rsidRPr="00C05BB1">
              <w:rPr>
                <w:rFonts w:ascii="Arial" w:hAnsi="Arial" w:cs="Arial"/>
                <w:color w:val="000000"/>
                <w:sz w:val="18"/>
                <w:szCs w:val="18"/>
              </w:rPr>
              <w:t>101.80</w:t>
            </w:r>
          </w:p>
        </w:tc>
      </w:tr>
      <w:tr w:rsidR="003F7155" w:rsidRPr="00314921" w14:paraId="7E926ADE" w14:textId="77777777" w:rsidTr="003F1732">
        <w:trPr>
          <w:cnfStyle w:val="000000100000" w:firstRow="0" w:lastRow="0" w:firstColumn="0" w:lastColumn="0" w:oddVBand="0" w:evenVBand="0" w:oddHBand="1" w:evenHBand="0" w:firstRowFirstColumn="0" w:firstRowLastColumn="0" w:lastRowFirstColumn="0" w:lastRowLastColumn="0"/>
          <w:trHeight w:val="454"/>
        </w:trPr>
        <w:tc>
          <w:tcPr>
            <w:tcW w:w="1478" w:type="pct"/>
            <w:tcBorders>
              <w:top w:val="single" w:sz="2" w:space="0" w:color="002279"/>
              <w:left w:val="single" w:sz="4" w:space="0" w:color="002279"/>
              <w:bottom w:val="single" w:sz="4" w:space="0" w:color="002279"/>
              <w:right w:val="single" w:sz="4" w:space="0" w:color="002279"/>
            </w:tcBorders>
            <w:shd w:val="clear" w:color="auto" w:fill="D4D6DF"/>
            <w:noWrap/>
            <w:vAlign w:val="center"/>
            <w:hideMark/>
          </w:tcPr>
          <w:p w14:paraId="13F12989" w14:textId="57816029" w:rsidR="00314921" w:rsidRPr="00E57550" w:rsidRDefault="00314921" w:rsidP="003F1732">
            <w:pPr>
              <w:rPr>
                <w:rFonts w:cstheme="minorHAnsi"/>
                <w:b/>
                <w:sz w:val="18"/>
                <w:szCs w:val="18"/>
              </w:rPr>
            </w:pPr>
            <w:r w:rsidRPr="00E57550">
              <w:rPr>
                <w:rFonts w:cstheme="minorHAnsi"/>
                <w:b/>
                <w:sz w:val="18"/>
                <w:szCs w:val="18"/>
              </w:rPr>
              <w:t>Closing asset base</w:t>
            </w:r>
          </w:p>
        </w:tc>
        <w:tc>
          <w:tcPr>
            <w:tcW w:w="587" w:type="pct"/>
            <w:tcBorders>
              <w:top w:val="single" w:sz="2" w:space="0" w:color="002279"/>
              <w:left w:val="single" w:sz="4" w:space="0" w:color="002279"/>
              <w:bottom w:val="single" w:sz="4" w:space="0" w:color="002279"/>
              <w:right w:val="single" w:sz="4" w:space="0" w:color="002279"/>
            </w:tcBorders>
            <w:shd w:val="clear" w:color="auto" w:fill="D4D6DF"/>
            <w:vAlign w:val="center"/>
          </w:tcPr>
          <w:p w14:paraId="006D358B" w14:textId="1D1D6E1D" w:rsidR="006A6676" w:rsidRPr="00E57550" w:rsidRDefault="00792690" w:rsidP="003F1732">
            <w:pPr>
              <w:jc w:val="center"/>
              <w:rPr>
                <w:rFonts w:cstheme="minorHAnsi"/>
                <w:b/>
                <w:bCs/>
                <w:sz w:val="18"/>
                <w:szCs w:val="18"/>
              </w:rPr>
            </w:pPr>
            <w:r w:rsidRPr="00C05BB1">
              <w:rPr>
                <w:rFonts w:ascii="Arial" w:hAnsi="Arial" w:cs="Arial"/>
                <w:b/>
                <w:color w:val="000000"/>
                <w:sz w:val="18"/>
                <w:szCs w:val="18"/>
              </w:rPr>
              <w:t>3,722.24</w:t>
            </w:r>
          </w:p>
        </w:tc>
        <w:tc>
          <w:tcPr>
            <w:tcW w:w="587" w:type="pct"/>
            <w:tcBorders>
              <w:top w:val="single" w:sz="2" w:space="0" w:color="002279"/>
              <w:left w:val="single" w:sz="4" w:space="0" w:color="002279"/>
              <w:bottom w:val="single" w:sz="4" w:space="0" w:color="002279"/>
              <w:right w:val="single" w:sz="4" w:space="0" w:color="002279"/>
            </w:tcBorders>
            <w:shd w:val="clear" w:color="auto" w:fill="D4D6DF"/>
            <w:noWrap/>
            <w:vAlign w:val="center"/>
            <w:hideMark/>
          </w:tcPr>
          <w:p w14:paraId="25D3189B" w14:textId="2523678B" w:rsidR="00314921" w:rsidRPr="00E57550" w:rsidRDefault="00282ACB" w:rsidP="003F1732">
            <w:pPr>
              <w:jc w:val="center"/>
              <w:rPr>
                <w:rFonts w:cstheme="minorHAnsi"/>
                <w:b/>
                <w:sz w:val="18"/>
                <w:szCs w:val="18"/>
              </w:rPr>
            </w:pPr>
            <w:r w:rsidRPr="00C05BB1">
              <w:rPr>
                <w:rFonts w:ascii="Arial" w:hAnsi="Arial" w:cs="Arial"/>
                <w:b/>
                <w:color w:val="000000"/>
                <w:sz w:val="18"/>
                <w:szCs w:val="18"/>
              </w:rPr>
              <w:t>3,748.27</w:t>
            </w:r>
          </w:p>
        </w:tc>
        <w:tc>
          <w:tcPr>
            <w:tcW w:w="587" w:type="pct"/>
            <w:tcBorders>
              <w:top w:val="single" w:sz="2" w:space="0" w:color="002279"/>
              <w:left w:val="single" w:sz="4" w:space="0" w:color="002279"/>
              <w:bottom w:val="single" w:sz="4" w:space="0" w:color="002279"/>
              <w:right w:val="single" w:sz="4" w:space="0" w:color="002279"/>
            </w:tcBorders>
            <w:shd w:val="clear" w:color="auto" w:fill="D4D6DF"/>
            <w:noWrap/>
            <w:vAlign w:val="center"/>
            <w:hideMark/>
          </w:tcPr>
          <w:p w14:paraId="2E63AFC0" w14:textId="15F0643E" w:rsidR="00314921" w:rsidRPr="00E57550" w:rsidRDefault="00282ACB" w:rsidP="003F1732">
            <w:pPr>
              <w:jc w:val="center"/>
              <w:rPr>
                <w:rFonts w:cstheme="minorHAnsi"/>
                <w:b/>
                <w:sz w:val="18"/>
                <w:szCs w:val="18"/>
              </w:rPr>
            </w:pPr>
            <w:r w:rsidRPr="00C05BB1">
              <w:rPr>
                <w:rFonts w:ascii="Arial" w:hAnsi="Arial" w:cs="Arial"/>
                <w:b/>
                <w:color w:val="000000"/>
                <w:sz w:val="18"/>
                <w:szCs w:val="18"/>
              </w:rPr>
              <w:t>3,877.01</w:t>
            </w:r>
          </w:p>
        </w:tc>
        <w:tc>
          <w:tcPr>
            <w:tcW w:w="587" w:type="pct"/>
            <w:tcBorders>
              <w:top w:val="single" w:sz="2" w:space="0" w:color="002279"/>
              <w:left w:val="single" w:sz="4" w:space="0" w:color="002279"/>
              <w:bottom w:val="single" w:sz="4" w:space="0" w:color="002279"/>
              <w:right w:val="single" w:sz="4" w:space="0" w:color="002279"/>
            </w:tcBorders>
            <w:shd w:val="clear" w:color="auto" w:fill="D4D6DF"/>
            <w:noWrap/>
            <w:vAlign w:val="center"/>
            <w:hideMark/>
          </w:tcPr>
          <w:p w14:paraId="415A307E" w14:textId="07D19ED6" w:rsidR="00314921" w:rsidRPr="00E57550" w:rsidRDefault="00282ACB" w:rsidP="003F1732">
            <w:pPr>
              <w:jc w:val="center"/>
              <w:rPr>
                <w:rFonts w:cstheme="minorHAnsi"/>
                <w:b/>
                <w:sz w:val="18"/>
                <w:szCs w:val="18"/>
              </w:rPr>
            </w:pPr>
            <w:r w:rsidRPr="00C05BB1">
              <w:rPr>
                <w:rFonts w:ascii="Arial" w:hAnsi="Arial" w:cs="Arial"/>
                <w:b/>
                <w:color w:val="000000"/>
                <w:sz w:val="18"/>
                <w:szCs w:val="18"/>
              </w:rPr>
              <w:t>3,969.83</w:t>
            </w:r>
          </w:p>
        </w:tc>
        <w:tc>
          <w:tcPr>
            <w:tcW w:w="587" w:type="pct"/>
            <w:tcBorders>
              <w:top w:val="single" w:sz="2" w:space="0" w:color="002279"/>
              <w:left w:val="single" w:sz="4" w:space="0" w:color="002279"/>
              <w:bottom w:val="single" w:sz="4" w:space="0" w:color="002279"/>
              <w:right w:val="single" w:sz="4" w:space="0" w:color="002279"/>
            </w:tcBorders>
            <w:shd w:val="clear" w:color="auto" w:fill="D4D6DF"/>
            <w:noWrap/>
            <w:vAlign w:val="center"/>
            <w:hideMark/>
          </w:tcPr>
          <w:p w14:paraId="3C032026" w14:textId="6702B2D1" w:rsidR="00314921" w:rsidRPr="00E57550" w:rsidRDefault="00BB19B3" w:rsidP="003F1732">
            <w:pPr>
              <w:jc w:val="center"/>
              <w:rPr>
                <w:rFonts w:cstheme="minorHAnsi"/>
                <w:b/>
                <w:sz w:val="18"/>
                <w:szCs w:val="18"/>
              </w:rPr>
            </w:pPr>
            <w:r w:rsidRPr="00C05BB1">
              <w:rPr>
                <w:rFonts w:ascii="Arial" w:hAnsi="Arial" w:cs="Arial"/>
                <w:b/>
                <w:bCs/>
                <w:color w:val="000000"/>
                <w:sz w:val="18"/>
                <w:szCs w:val="18"/>
              </w:rPr>
              <w:t>4,002.99</w:t>
            </w:r>
          </w:p>
        </w:tc>
        <w:tc>
          <w:tcPr>
            <w:tcW w:w="587" w:type="pct"/>
            <w:tcBorders>
              <w:top w:val="single" w:sz="2" w:space="0" w:color="002279"/>
              <w:left w:val="single" w:sz="4" w:space="0" w:color="002279"/>
              <w:bottom w:val="single" w:sz="4" w:space="0" w:color="002279"/>
              <w:right w:val="single" w:sz="4" w:space="0" w:color="002279"/>
            </w:tcBorders>
            <w:shd w:val="clear" w:color="auto" w:fill="D4D6DF"/>
            <w:noWrap/>
            <w:vAlign w:val="center"/>
            <w:hideMark/>
          </w:tcPr>
          <w:p w14:paraId="5EF52B7E" w14:textId="360E2724" w:rsidR="00314921" w:rsidRPr="00E57550" w:rsidRDefault="00BB19B3" w:rsidP="003F1732">
            <w:pPr>
              <w:jc w:val="center"/>
              <w:rPr>
                <w:rFonts w:cstheme="minorHAnsi"/>
                <w:b/>
                <w:sz w:val="18"/>
                <w:szCs w:val="18"/>
              </w:rPr>
            </w:pPr>
            <w:r w:rsidRPr="00C05BB1">
              <w:rPr>
                <w:rFonts w:ascii="Arial" w:hAnsi="Arial" w:cs="Arial"/>
                <w:b/>
                <w:bCs/>
                <w:color w:val="000000"/>
                <w:sz w:val="18"/>
                <w:szCs w:val="18"/>
              </w:rPr>
              <w:t>4,149.17</w:t>
            </w:r>
          </w:p>
        </w:tc>
      </w:tr>
    </w:tbl>
    <w:p w14:paraId="7051810F" w14:textId="77777777" w:rsidR="00314921" w:rsidRDefault="00314921" w:rsidP="00AE35E9"/>
    <w:p w14:paraId="5C78AD0C" w14:textId="1E7C24B9" w:rsidR="00E263F1" w:rsidRPr="000B43F8" w:rsidRDefault="00E263F1" w:rsidP="00AB2191">
      <w:pPr>
        <w:pStyle w:val="NormalIndent"/>
        <w:ind w:left="0"/>
        <w:rPr>
          <w:sz w:val="24"/>
          <w:szCs w:val="24"/>
        </w:rPr>
      </w:pPr>
      <w:r w:rsidRPr="000B43F8">
        <w:rPr>
          <w:sz w:val="24"/>
          <w:szCs w:val="24"/>
        </w:rPr>
        <w:t>To calculate the closing RAB for each year of the next regulatory period, we:</w:t>
      </w:r>
    </w:p>
    <w:p w14:paraId="62EDC8E7" w14:textId="4D3852D2" w:rsidR="00E263F1" w:rsidRPr="000B43F8" w:rsidRDefault="00E263F1">
      <w:pPr>
        <w:pStyle w:val="NormalIndent"/>
        <w:numPr>
          <w:ilvl w:val="0"/>
          <w:numId w:val="97"/>
        </w:numPr>
        <w:ind w:left="426"/>
        <w:rPr>
          <w:sz w:val="24"/>
          <w:szCs w:val="24"/>
        </w:rPr>
      </w:pPr>
      <w:r w:rsidRPr="000B43F8">
        <w:rPr>
          <w:sz w:val="24"/>
          <w:szCs w:val="24"/>
        </w:rPr>
        <w:t xml:space="preserve">added forecast capital expenditure to the opening RAB </w:t>
      </w:r>
    </w:p>
    <w:p w14:paraId="1B4C5790" w14:textId="3C3DD9C7" w:rsidR="00E263F1" w:rsidRPr="000B43F8" w:rsidRDefault="00E263F1">
      <w:pPr>
        <w:pStyle w:val="NormalIndent"/>
        <w:numPr>
          <w:ilvl w:val="0"/>
          <w:numId w:val="97"/>
        </w:numPr>
        <w:ind w:left="426"/>
        <w:rPr>
          <w:sz w:val="24"/>
          <w:szCs w:val="24"/>
        </w:rPr>
      </w:pPr>
      <w:r w:rsidRPr="000B43F8">
        <w:rPr>
          <w:sz w:val="24"/>
          <w:szCs w:val="24"/>
        </w:rPr>
        <w:t>subtracted customer contributions, any government contributions, regulatory depreciation and asset disposals.</w:t>
      </w:r>
    </w:p>
    <w:p w14:paraId="25D3F170" w14:textId="7717373B" w:rsidR="00E263F1" w:rsidRPr="000B43F8" w:rsidRDefault="00E263F1" w:rsidP="00AB2191">
      <w:pPr>
        <w:pStyle w:val="NormalIndent"/>
        <w:ind w:left="0"/>
        <w:rPr>
          <w:sz w:val="24"/>
          <w:szCs w:val="24"/>
        </w:rPr>
      </w:pPr>
      <w:r w:rsidRPr="000B43F8">
        <w:rPr>
          <w:sz w:val="24"/>
          <w:szCs w:val="24"/>
        </w:rPr>
        <w:t>South East Water continues to calculate regulatory depreciation</w:t>
      </w:r>
      <w:r w:rsidR="004E5E09">
        <w:rPr>
          <w:sz w:val="24"/>
          <w:szCs w:val="24"/>
        </w:rPr>
        <w:t>,</w:t>
      </w:r>
      <w:r w:rsidRPr="000B43F8">
        <w:rPr>
          <w:sz w:val="24"/>
          <w:szCs w:val="24"/>
        </w:rPr>
        <w:t xml:space="preserve"> as per the approach used in the current regulatory period:</w:t>
      </w:r>
    </w:p>
    <w:p w14:paraId="015047CC" w14:textId="148A95B8" w:rsidR="00E263F1" w:rsidRPr="000B43F8" w:rsidRDefault="009173F4">
      <w:pPr>
        <w:pStyle w:val="NormalIndent"/>
        <w:numPr>
          <w:ilvl w:val="0"/>
          <w:numId w:val="96"/>
        </w:numPr>
        <w:ind w:left="426"/>
        <w:rPr>
          <w:sz w:val="24"/>
          <w:szCs w:val="24"/>
        </w:rPr>
      </w:pPr>
      <w:r>
        <w:rPr>
          <w:sz w:val="24"/>
          <w:szCs w:val="24"/>
        </w:rPr>
        <w:t>e</w:t>
      </w:r>
      <w:r w:rsidR="00E263F1" w:rsidRPr="000B43F8">
        <w:rPr>
          <w:sz w:val="24"/>
          <w:szCs w:val="24"/>
        </w:rPr>
        <w:t>xisting assets are depreciated on the basis of an average asset life</w:t>
      </w:r>
    </w:p>
    <w:p w14:paraId="5F588FBA" w14:textId="239E824C" w:rsidR="00E263F1" w:rsidRPr="000B43F8" w:rsidRDefault="009173F4">
      <w:pPr>
        <w:pStyle w:val="NormalIndent"/>
        <w:numPr>
          <w:ilvl w:val="0"/>
          <w:numId w:val="96"/>
        </w:numPr>
        <w:ind w:left="426"/>
        <w:rPr>
          <w:sz w:val="24"/>
          <w:szCs w:val="24"/>
        </w:rPr>
      </w:pPr>
      <w:r>
        <w:rPr>
          <w:sz w:val="24"/>
          <w:szCs w:val="24"/>
        </w:rPr>
        <w:t>n</w:t>
      </w:r>
      <w:r w:rsidR="00E263F1" w:rsidRPr="000B43F8">
        <w:rPr>
          <w:sz w:val="24"/>
          <w:szCs w:val="24"/>
        </w:rPr>
        <w:t>ew assets are depreciated</w:t>
      </w:r>
      <w:r w:rsidR="00B95312">
        <w:rPr>
          <w:sz w:val="24"/>
          <w:szCs w:val="24"/>
        </w:rPr>
        <w:t>,</w:t>
      </w:r>
      <w:r w:rsidR="00E263F1" w:rsidRPr="000B43F8">
        <w:rPr>
          <w:sz w:val="24"/>
          <w:szCs w:val="24"/>
        </w:rPr>
        <w:t xml:space="preserve"> using a </w:t>
      </w:r>
      <w:r w:rsidR="00976BA3" w:rsidRPr="000B43F8">
        <w:rPr>
          <w:sz w:val="24"/>
          <w:szCs w:val="24"/>
        </w:rPr>
        <w:t>straight-line</w:t>
      </w:r>
      <w:r w:rsidR="00E263F1" w:rsidRPr="000B43F8">
        <w:rPr>
          <w:sz w:val="24"/>
          <w:szCs w:val="24"/>
        </w:rPr>
        <w:t xml:space="preserve"> approach, based on the estimated asset lives and asset utilisation for the individual asset types. </w:t>
      </w:r>
    </w:p>
    <w:p w14:paraId="6F74D2CE" w14:textId="6CD8B46E" w:rsidR="00E263F1" w:rsidRDefault="002128BB" w:rsidP="00AB2191">
      <w:pPr>
        <w:pStyle w:val="NormalIndent"/>
        <w:ind w:left="0"/>
        <w:rPr>
          <w:sz w:val="24"/>
          <w:szCs w:val="24"/>
        </w:rPr>
      </w:pPr>
      <w:r>
        <w:rPr>
          <w:sz w:val="24"/>
          <w:szCs w:val="24"/>
        </w:rPr>
        <w:t>Table 39</w:t>
      </w:r>
      <w:r w:rsidR="00E263F1" w:rsidRPr="000B43F8">
        <w:rPr>
          <w:sz w:val="24"/>
          <w:szCs w:val="24"/>
        </w:rPr>
        <w:t xml:space="preserve"> outlines our proposed opening and closing RAB out to 20</w:t>
      </w:r>
      <w:r w:rsidR="00AB2191" w:rsidRPr="000B43F8">
        <w:rPr>
          <w:sz w:val="24"/>
          <w:szCs w:val="24"/>
        </w:rPr>
        <w:t>32</w:t>
      </w:r>
      <w:r w:rsidR="00310E2A">
        <w:rPr>
          <w:sz w:val="24"/>
          <w:szCs w:val="24"/>
        </w:rPr>
        <w:t>–</w:t>
      </w:r>
      <w:r w:rsidR="00AB2191" w:rsidRPr="000B43F8">
        <w:rPr>
          <w:sz w:val="24"/>
          <w:szCs w:val="24"/>
        </w:rPr>
        <w:t>33</w:t>
      </w:r>
      <w:r w:rsidR="00E263F1" w:rsidRPr="000B43F8">
        <w:rPr>
          <w:sz w:val="24"/>
          <w:szCs w:val="24"/>
        </w:rPr>
        <w:t>. We use the average of the opening and closing RAB of each year to determine the return on assets included in the revenue requirement.</w:t>
      </w:r>
    </w:p>
    <w:p w14:paraId="508ECF4E" w14:textId="11B3BA2E" w:rsidR="00ED1414" w:rsidRDefault="00ED1414" w:rsidP="00AB2191">
      <w:pPr>
        <w:pStyle w:val="NormalIndent"/>
        <w:ind w:left="0"/>
        <w:rPr>
          <w:sz w:val="24"/>
          <w:szCs w:val="24"/>
        </w:rPr>
      </w:pPr>
    </w:p>
    <w:p w14:paraId="36FA3E32" w14:textId="77777777" w:rsidR="00ED1414" w:rsidRPr="000B43F8" w:rsidRDefault="00ED1414" w:rsidP="00AB2191">
      <w:pPr>
        <w:pStyle w:val="NormalIndent"/>
        <w:ind w:left="0"/>
        <w:rPr>
          <w:sz w:val="24"/>
          <w:szCs w:val="24"/>
        </w:rPr>
      </w:pPr>
    </w:p>
    <w:p w14:paraId="428BC7E5" w14:textId="77777777" w:rsidR="00ED1414" w:rsidRDefault="00ED1414" w:rsidP="00304A0D">
      <w:pPr>
        <w:pStyle w:val="NormalIndent"/>
        <w:ind w:left="0"/>
        <w:rPr>
          <w:b/>
          <w:i/>
        </w:rPr>
        <w:sectPr w:rsidR="00ED1414" w:rsidSect="00ED1414">
          <w:pgSz w:w="11906" w:h="16838" w:code="9"/>
          <w:pgMar w:top="1440" w:right="1252" w:bottom="1440" w:left="1156" w:header="567" w:footer="283" w:gutter="0"/>
          <w:cols w:space="708"/>
          <w:docGrid w:linePitch="360"/>
        </w:sectPr>
      </w:pPr>
      <w:bookmarkStart w:id="86" w:name="_Hlk114232414"/>
    </w:p>
    <w:p w14:paraId="4E5D07CA" w14:textId="7056D52B" w:rsidR="00FA0762" w:rsidRPr="00304A0D" w:rsidRDefault="00304A0D" w:rsidP="00304A0D">
      <w:pPr>
        <w:pStyle w:val="NormalIndent"/>
        <w:ind w:left="0"/>
        <w:rPr>
          <w:rFonts w:cs="Arial"/>
          <w:i/>
        </w:rPr>
      </w:pPr>
      <w:r w:rsidRPr="00CE6C4E">
        <w:rPr>
          <w:b/>
          <w:i/>
        </w:rPr>
        <w:lastRenderedPageBreak/>
        <w:t xml:space="preserve">Table </w:t>
      </w:r>
      <w:r w:rsidR="002128BB" w:rsidRPr="00CE6C4E">
        <w:rPr>
          <w:b/>
          <w:bCs/>
          <w:i/>
          <w:iCs/>
        </w:rPr>
        <w:fldChar w:fldCharType="begin"/>
      </w:r>
      <w:r w:rsidR="002128BB" w:rsidRPr="00CE6C4E">
        <w:rPr>
          <w:b/>
          <w:bCs/>
          <w:i/>
          <w:iCs/>
        </w:rPr>
        <w:instrText>SEQ Table \* ARABIC</w:instrText>
      </w:r>
      <w:r w:rsidR="002128BB" w:rsidRPr="00CE6C4E">
        <w:rPr>
          <w:b/>
          <w:bCs/>
          <w:i/>
          <w:iCs/>
        </w:rPr>
        <w:fldChar w:fldCharType="separate"/>
      </w:r>
      <w:r w:rsidR="002128BB">
        <w:rPr>
          <w:b/>
          <w:bCs/>
          <w:i/>
          <w:iCs/>
          <w:noProof/>
        </w:rPr>
        <w:t>39</w:t>
      </w:r>
      <w:r w:rsidR="002128BB" w:rsidRPr="00CE6C4E">
        <w:rPr>
          <w:b/>
          <w:bCs/>
          <w:i/>
          <w:iCs/>
        </w:rPr>
        <w:fldChar w:fldCharType="end"/>
      </w:r>
      <w:r w:rsidRPr="007B339F">
        <w:rPr>
          <w:rFonts w:ascii="Arial" w:hAnsi="Arial" w:cs="Arial"/>
          <w:b/>
          <w:i/>
        </w:rPr>
        <w:t>:</w:t>
      </w:r>
      <w:r>
        <w:rPr>
          <w:rFonts w:ascii="Arial" w:hAnsi="Arial" w:cs="Arial"/>
          <w:b/>
          <w:i/>
        </w:rPr>
        <w:t xml:space="preserve"> </w:t>
      </w:r>
      <w:r w:rsidR="00FA0762" w:rsidRPr="001D5EA6">
        <w:rPr>
          <w:b/>
          <w:i/>
        </w:rPr>
        <w:t>Regulatory asset base, 20</w:t>
      </w:r>
      <w:r w:rsidR="004B1490" w:rsidRPr="001D5EA6">
        <w:rPr>
          <w:b/>
          <w:i/>
        </w:rPr>
        <w:t>23</w:t>
      </w:r>
      <w:r w:rsidR="00310E2A">
        <w:rPr>
          <w:b/>
          <w:i/>
        </w:rPr>
        <w:t>–</w:t>
      </w:r>
      <w:r w:rsidR="004B1490" w:rsidRPr="001D5EA6">
        <w:rPr>
          <w:b/>
          <w:i/>
        </w:rPr>
        <w:t xml:space="preserve">33 </w:t>
      </w:r>
      <w:r w:rsidR="00921F48" w:rsidRPr="006D1620">
        <w:rPr>
          <w:rFonts w:cs="Arial"/>
          <w:b/>
          <w:i/>
        </w:rPr>
        <w:t>(</w:t>
      </w:r>
      <w:r w:rsidR="00921F48">
        <w:rPr>
          <w:rFonts w:cs="Arial"/>
          <w:b/>
          <w:i/>
        </w:rPr>
        <w:t>$</w:t>
      </w:r>
      <w:r w:rsidR="004B1490" w:rsidRPr="001D5EA6">
        <w:rPr>
          <w:b/>
          <w:i/>
        </w:rPr>
        <w:t xml:space="preserve">million </w:t>
      </w:r>
      <w:r w:rsidR="008906EA">
        <w:rPr>
          <w:b/>
          <w:i/>
        </w:rPr>
        <w:t>2022</w:t>
      </w:r>
      <w:r w:rsidR="00921F48">
        <w:rPr>
          <w:rFonts w:cs="Arial"/>
          <w:b/>
          <w:i/>
        </w:rPr>
        <w:t>–</w:t>
      </w:r>
      <w:r w:rsidR="008906EA">
        <w:rPr>
          <w:b/>
          <w:i/>
        </w:rPr>
        <w:t>23</w:t>
      </w:r>
      <w:r w:rsidR="004B1490" w:rsidRPr="001D5EA6">
        <w:rPr>
          <w:b/>
          <w:i/>
        </w:rPr>
        <w:t>)</w:t>
      </w:r>
    </w:p>
    <w:tbl>
      <w:tblPr>
        <w:tblStyle w:val="MJTableStyle1default"/>
        <w:tblW w:w="14322" w:type="dxa"/>
        <w:tblInd w:w="5" w:type="dxa"/>
        <w:tblLayout w:type="fixed"/>
        <w:tblLook w:val="04A0" w:firstRow="1" w:lastRow="0" w:firstColumn="1" w:lastColumn="0" w:noHBand="0" w:noVBand="1"/>
      </w:tblPr>
      <w:tblGrid>
        <w:gridCol w:w="2132"/>
        <w:gridCol w:w="1219"/>
        <w:gridCol w:w="1219"/>
        <w:gridCol w:w="1219"/>
        <w:gridCol w:w="1219"/>
        <w:gridCol w:w="1219"/>
        <w:gridCol w:w="1219"/>
        <w:gridCol w:w="1219"/>
        <w:gridCol w:w="1219"/>
        <w:gridCol w:w="1219"/>
        <w:gridCol w:w="1219"/>
      </w:tblGrid>
      <w:tr w:rsidR="00ED1414" w:rsidRPr="00ED1414" w14:paraId="049F09BE" w14:textId="77777777" w:rsidTr="003F1732">
        <w:trPr>
          <w:cnfStyle w:val="100000000000" w:firstRow="1" w:lastRow="0" w:firstColumn="0" w:lastColumn="0" w:oddVBand="0" w:evenVBand="0" w:oddHBand="0" w:evenHBand="0" w:firstRowFirstColumn="0" w:firstRowLastColumn="0" w:lastRowFirstColumn="0" w:lastRowLastColumn="0"/>
          <w:trHeight w:val="835"/>
        </w:trPr>
        <w:tc>
          <w:tcPr>
            <w:tcW w:w="2132" w:type="dxa"/>
            <w:tcBorders>
              <w:top w:val="single" w:sz="4" w:space="0" w:color="002279"/>
              <w:left w:val="single" w:sz="4" w:space="0" w:color="002279"/>
              <w:bottom w:val="single" w:sz="2" w:space="0" w:color="002279"/>
              <w:right w:val="single" w:sz="4" w:space="0" w:color="FFFFFF" w:themeColor="background1"/>
            </w:tcBorders>
            <w:shd w:val="clear" w:color="auto" w:fill="002279"/>
            <w:noWrap/>
            <w:vAlign w:val="center"/>
            <w:hideMark/>
          </w:tcPr>
          <w:bookmarkEnd w:id="86"/>
          <w:p w14:paraId="491FED2E" w14:textId="26BF0B20" w:rsidR="00FA0762" w:rsidRPr="00ED1414" w:rsidRDefault="00FA0762" w:rsidP="00E57550">
            <w:pPr>
              <w:rPr>
                <w:rFonts w:asciiTheme="minorHAnsi" w:hAnsiTheme="minorHAnsi" w:cstheme="minorHAnsi"/>
                <w:b/>
                <w:sz w:val="18"/>
                <w:szCs w:val="18"/>
              </w:rPr>
            </w:pPr>
            <w:r w:rsidRPr="00ED1414">
              <w:rPr>
                <w:rFonts w:asciiTheme="minorHAnsi" w:hAnsiTheme="minorHAnsi" w:cstheme="minorHAnsi"/>
                <w:b/>
                <w:sz w:val="18"/>
                <w:szCs w:val="18"/>
              </w:rPr>
              <w:t>Regulatory asset base</w:t>
            </w:r>
          </w:p>
        </w:tc>
        <w:tc>
          <w:tcPr>
            <w:tcW w:w="1219"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noWrap/>
            <w:vAlign w:val="center"/>
            <w:hideMark/>
          </w:tcPr>
          <w:p w14:paraId="68DAE496" w14:textId="35E5D74C" w:rsidR="00FA0762" w:rsidRPr="00ED1414" w:rsidRDefault="00FA0762" w:rsidP="00C92AA3">
            <w:pPr>
              <w:jc w:val="center"/>
              <w:rPr>
                <w:rFonts w:asciiTheme="minorHAnsi" w:hAnsiTheme="minorHAnsi" w:cstheme="minorHAnsi"/>
                <w:b/>
                <w:sz w:val="18"/>
                <w:szCs w:val="18"/>
              </w:rPr>
            </w:pPr>
            <w:r w:rsidRPr="00ED1414">
              <w:rPr>
                <w:rFonts w:asciiTheme="minorHAnsi" w:hAnsiTheme="minorHAnsi" w:cstheme="minorHAnsi"/>
                <w:b/>
                <w:sz w:val="18"/>
                <w:szCs w:val="18"/>
              </w:rPr>
              <w:t>2023</w:t>
            </w:r>
            <w:r w:rsidR="00310E2A" w:rsidRPr="00ED1414">
              <w:rPr>
                <w:rFonts w:asciiTheme="minorHAnsi" w:hAnsiTheme="minorHAnsi" w:cstheme="minorHAnsi"/>
                <w:b/>
                <w:sz w:val="18"/>
                <w:szCs w:val="18"/>
              </w:rPr>
              <w:t>–</w:t>
            </w:r>
            <w:r w:rsidRPr="00ED1414">
              <w:rPr>
                <w:rFonts w:asciiTheme="minorHAnsi" w:hAnsiTheme="minorHAnsi" w:cstheme="minorHAnsi"/>
                <w:b/>
                <w:sz w:val="18"/>
                <w:szCs w:val="18"/>
              </w:rPr>
              <w:t>24</w:t>
            </w:r>
          </w:p>
        </w:tc>
        <w:tc>
          <w:tcPr>
            <w:tcW w:w="1219"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noWrap/>
            <w:vAlign w:val="center"/>
            <w:hideMark/>
          </w:tcPr>
          <w:p w14:paraId="30803765" w14:textId="770E1B3B" w:rsidR="00FA0762" w:rsidRPr="00ED1414" w:rsidRDefault="00FA0762" w:rsidP="00C92AA3">
            <w:pPr>
              <w:jc w:val="center"/>
              <w:rPr>
                <w:rFonts w:asciiTheme="minorHAnsi" w:hAnsiTheme="minorHAnsi" w:cstheme="minorHAnsi"/>
                <w:b/>
                <w:sz w:val="18"/>
                <w:szCs w:val="18"/>
              </w:rPr>
            </w:pPr>
            <w:r w:rsidRPr="00ED1414">
              <w:rPr>
                <w:rFonts w:asciiTheme="minorHAnsi" w:hAnsiTheme="minorHAnsi" w:cstheme="minorHAnsi"/>
                <w:b/>
                <w:sz w:val="18"/>
                <w:szCs w:val="18"/>
              </w:rPr>
              <w:t>2024</w:t>
            </w:r>
            <w:r w:rsidR="00310E2A" w:rsidRPr="00ED1414">
              <w:rPr>
                <w:rFonts w:asciiTheme="minorHAnsi" w:hAnsiTheme="minorHAnsi" w:cstheme="minorHAnsi"/>
                <w:b/>
                <w:sz w:val="18"/>
                <w:szCs w:val="18"/>
              </w:rPr>
              <w:t>–</w:t>
            </w:r>
            <w:r w:rsidRPr="00ED1414">
              <w:rPr>
                <w:rFonts w:asciiTheme="minorHAnsi" w:hAnsiTheme="minorHAnsi" w:cstheme="minorHAnsi"/>
                <w:b/>
                <w:sz w:val="18"/>
                <w:szCs w:val="18"/>
              </w:rPr>
              <w:t>25</w:t>
            </w:r>
          </w:p>
        </w:tc>
        <w:tc>
          <w:tcPr>
            <w:tcW w:w="1219"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noWrap/>
            <w:vAlign w:val="center"/>
            <w:hideMark/>
          </w:tcPr>
          <w:p w14:paraId="41D9DC8E" w14:textId="36238DDE" w:rsidR="00FA0762" w:rsidRPr="00ED1414" w:rsidRDefault="00FA0762" w:rsidP="00C92AA3">
            <w:pPr>
              <w:jc w:val="center"/>
              <w:rPr>
                <w:rFonts w:asciiTheme="minorHAnsi" w:hAnsiTheme="minorHAnsi" w:cstheme="minorHAnsi"/>
                <w:b/>
                <w:sz w:val="18"/>
                <w:szCs w:val="18"/>
              </w:rPr>
            </w:pPr>
            <w:r w:rsidRPr="00ED1414">
              <w:rPr>
                <w:rFonts w:asciiTheme="minorHAnsi" w:hAnsiTheme="minorHAnsi" w:cstheme="minorHAnsi"/>
                <w:b/>
                <w:sz w:val="18"/>
                <w:szCs w:val="18"/>
              </w:rPr>
              <w:t>2025</w:t>
            </w:r>
            <w:r w:rsidR="00310E2A" w:rsidRPr="00ED1414">
              <w:rPr>
                <w:rFonts w:asciiTheme="minorHAnsi" w:hAnsiTheme="minorHAnsi" w:cstheme="minorHAnsi"/>
                <w:b/>
                <w:sz w:val="18"/>
                <w:szCs w:val="18"/>
              </w:rPr>
              <w:t>–</w:t>
            </w:r>
            <w:r w:rsidRPr="00ED1414">
              <w:rPr>
                <w:rFonts w:asciiTheme="minorHAnsi" w:hAnsiTheme="minorHAnsi" w:cstheme="minorHAnsi"/>
                <w:b/>
                <w:sz w:val="18"/>
                <w:szCs w:val="18"/>
              </w:rPr>
              <w:t>26</w:t>
            </w:r>
          </w:p>
        </w:tc>
        <w:tc>
          <w:tcPr>
            <w:tcW w:w="1219"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noWrap/>
            <w:vAlign w:val="center"/>
            <w:hideMark/>
          </w:tcPr>
          <w:p w14:paraId="5DEF1CA2" w14:textId="43CAD0F3" w:rsidR="00FA0762" w:rsidRPr="00ED1414" w:rsidRDefault="00FA0762" w:rsidP="00C92AA3">
            <w:pPr>
              <w:jc w:val="center"/>
              <w:rPr>
                <w:rFonts w:asciiTheme="minorHAnsi" w:hAnsiTheme="minorHAnsi" w:cstheme="minorHAnsi"/>
                <w:b/>
                <w:sz w:val="18"/>
                <w:szCs w:val="18"/>
              </w:rPr>
            </w:pPr>
            <w:r w:rsidRPr="00ED1414">
              <w:rPr>
                <w:rFonts w:asciiTheme="minorHAnsi" w:hAnsiTheme="minorHAnsi" w:cstheme="minorHAnsi"/>
                <w:b/>
                <w:sz w:val="18"/>
                <w:szCs w:val="18"/>
              </w:rPr>
              <w:t>2026</w:t>
            </w:r>
            <w:r w:rsidR="00310E2A" w:rsidRPr="00ED1414">
              <w:rPr>
                <w:rFonts w:asciiTheme="minorHAnsi" w:hAnsiTheme="minorHAnsi" w:cstheme="minorHAnsi"/>
                <w:b/>
                <w:sz w:val="18"/>
                <w:szCs w:val="18"/>
              </w:rPr>
              <w:t>–</w:t>
            </w:r>
            <w:r w:rsidRPr="00ED1414">
              <w:rPr>
                <w:rFonts w:asciiTheme="minorHAnsi" w:hAnsiTheme="minorHAnsi" w:cstheme="minorHAnsi"/>
                <w:b/>
                <w:sz w:val="18"/>
                <w:szCs w:val="18"/>
              </w:rPr>
              <w:t>27</w:t>
            </w:r>
          </w:p>
        </w:tc>
        <w:tc>
          <w:tcPr>
            <w:tcW w:w="1219"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noWrap/>
            <w:vAlign w:val="center"/>
            <w:hideMark/>
          </w:tcPr>
          <w:p w14:paraId="392A6604" w14:textId="717A98F7" w:rsidR="00FA0762" w:rsidRPr="00ED1414" w:rsidRDefault="00FA0762" w:rsidP="00C92AA3">
            <w:pPr>
              <w:jc w:val="center"/>
              <w:rPr>
                <w:rFonts w:asciiTheme="minorHAnsi" w:hAnsiTheme="minorHAnsi" w:cstheme="minorHAnsi"/>
                <w:b/>
                <w:sz w:val="18"/>
                <w:szCs w:val="18"/>
              </w:rPr>
            </w:pPr>
            <w:r w:rsidRPr="00ED1414">
              <w:rPr>
                <w:rFonts w:asciiTheme="minorHAnsi" w:hAnsiTheme="minorHAnsi" w:cstheme="minorHAnsi"/>
                <w:b/>
                <w:sz w:val="18"/>
                <w:szCs w:val="18"/>
              </w:rPr>
              <w:t>2027</w:t>
            </w:r>
            <w:r w:rsidR="00310E2A" w:rsidRPr="00ED1414">
              <w:rPr>
                <w:rFonts w:asciiTheme="minorHAnsi" w:hAnsiTheme="minorHAnsi" w:cstheme="minorHAnsi"/>
                <w:b/>
                <w:sz w:val="18"/>
                <w:szCs w:val="18"/>
              </w:rPr>
              <w:t>–</w:t>
            </w:r>
            <w:r w:rsidRPr="00ED1414">
              <w:rPr>
                <w:rFonts w:asciiTheme="minorHAnsi" w:hAnsiTheme="minorHAnsi" w:cstheme="minorHAnsi"/>
                <w:b/>
                <w:sz w:val="18"/>
                <w:szCs w:val="18"/>
              </w:rPr>
              <w:t>28</w:t>
            </w:r>
          </w:p>
        </w:tc>
        <w:tc>
          <w:tcPr>
            <w:tcW w:w="1219"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noWrap/>
            <w:vAlign w:val="center"/>
            <w:hideMark/>
          </w:tcPr>
          <w:p w14:paraId="2A988843" w14:textId="6A36295D" w:rsidR="00FA0762" w:rsidRPr="00ED1414" w:rsidRDefault="00FA0762" w:rsidP="00C92AA3">
            <w:pPr>
              <w:jc w:val="center"/>
              <w:rPr>
                <w:rFonts w:asciiTheme="minorHAnsi" w:hAnsiTheme="minorHAnsi" w:cstheme="minorHAnsi"/>
                <w:b/>
                <w:sz w:val="18"/>
                <w:szCs w:val="18"/>
              </w:rPr>
            </w:pPr>
            <w:r w:rsidRPr="00ED1414">
              <w:rPr>
                <w:rFonts w:asciiTheme="minorHAnsi" w:hAnsiTheme="minorHAnsi" w:cstheme="minorHAnsi"/>
                <w:b/>
                <w:sz w:val="18"/>
                <w:szCs w:val="18"/>
              </w:rPr>
              <w:t>2028</w:t>
            </w:r>
            <w:r w:rsidR="00310E2A" w:rsidRPr="00ED1414">
              <w:rPr>
                <w:rFonts w:asciiTheme="minorHAnsi" w:hAnsiTheme="minorHAnsi" w:cstheme="minorHAnsi"/>
                <w:b/>
                <w:sz w:val="18"/>
                <w:szCs w:val="18"/>
              </w:rPr>
              <w:t>–</w:t>
            </w:r>
            <w:r w:rsidRPr="00ED1414">
              <w:rPr>
                <w:rFonts w:asciiTheme="minorHAnsi" w:hAnsiTheme="minorHAnsi" w:cstheme="minorHAnsi"/>
                <w:b/>
                <w:sz w:val="18"/>
                <w:szCs w:val="18"/>
              </w:rPr>
              <w:t>29</w:t>
            </w:r>
          </w:p>
        </w:tc>
        <w:tc>
          <w:tcPr>
            <w:tcW w:w="1219"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noWrap/>
            <w:vAlign w:val="center"/>
            <w:hideMark/>
          </w:tcPr>
          <w:p w14:paraId="38B03FE4" w14:textId="6AE1E3D9" w:rsidR="00FA0762" w:rsidRPr="00ED1414" w:rsidRDefault="00FA0762" w:rsidP="00C92AA3">
            <w:pPr>
              <w:jc w:val="center"/>
              <w:rPr>
                <w:rFonts w:asciiTheme="minorHAnsi" w:hAnsiTheme="minorHAnsi" w:cstheme="minorHAnsi"/>
                <w:b/>
                <w:sz w:val="18"/>
                <w:szCs w:val="18"/>
              </w:rPr>
            </w:pPr>
            <w:r w:rsidRPr="00ED1414">
              <w:rPr>
                <w:rFonts w:asciiTheme="minorHAnsi" w:hAnsiTheme="minorHAnsi" w:cstheme="minorHAnsi"/>
                <w:b/>
                <w:sz w:val="18"/>
                <w:szCs w:val="18"/>
              </w:rPr>
              <w:t>2029</w:t>
            </w:r>
            <w:r w:rsidR="00310E2A" w:rsidRPr="00ED1414">
              <w:rPr>
                <w:rFonts w:asciiTheme="minorHAnsi" w:hAnsiTheme="minorHAnsi" w:cstheme="minorHAnsi"/>
                <w:b/>
                <w:sz w:val="18"/>
                <w:szCs w:val="18"/>
              </w:rPr>
              <w:t>–</w:t>
            </w:r>
            <w:r w:rsidRPr="00ED1414">
              <w:rPr>
                <w:rFonts w:asciiTheme="minorHAnsi" w:hAnsiTheme="minorHAnsi" w:cstheme="minorHAnsi"/>
                <w:b/>
                <w:sz w:val="18"/>
                <w:szCs w:val="18"/>
              </w:rPr>
              <w:t>30</w:t>
            </w:r>
          </w:p>
        </w:tc>
        <w:tc>
          <w:tcPr>
            <w:tcW w:w="1219"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noWrap/>
            <w:vAlign w:val="center"/>
            <w:hideMark/>
          </w:tcPr>
          <w:p w14:paraId="5C8FE797" w14:textId="4698B5DA" w:rsidR="00FA0762" w:rsidRPr="00ED1414" w:rsidRDefault="00FA0762" w:rsidP="00C92AA3">
            <w:pPr>
              <w:jc w:val="center"/>
              <w:rPr>
                <w:rFonts w:asciiTheme="minorHAnsi" w:hAnsiTheme="minorHAnsi" w:cstheme="minorHAnsi"/>
                <w:b/>
                <w:sz w:val="18"/>
                <w:szCs w:val="18"/>
              </w:rPr>
            </w:pPr>
            <w:r w:rsidRPr="00ED1414">
              <w:rPr>
                <w:rFonts w:asciiTheme="minorHAnsi" w:hAnsiTheme="minorHAnsi" w:cstheme="minorHAnsi"/>
                <w:b/>
                <w:sz w:val="18"/>
                <w:szCs w:val="18"/>
              </w:rPr>
              <w:t>2030</w:t>
            </w:r>
            <w:r w:rsidR="00310E2A" w:rsidRPr="00ED1414">
              <w:rPr>
                <w:rFonts w:asciiTheme="minorHAnsi" w:hAnsiTheme="minorHAnsi" w:cstheme="minorHAnsi"/>
                <w:b/>
                <w:sz w:val="18"/>
                <w:szCs w:val="18"/>
              </w:rPr>
              <w:t>–</w:t>
            </w:r>
            <w:r w:rsidRPr="00ED1414">
              <w:rPr>
                <w:rFonts w:asciiTheme="minorHAnsi" w:hAnsiTheme="minorHAnsi" w:cstheme="minorHAnsi"/>
                <w:b/>
                <w:sz w:val="18"/>
                <w:szCs w:val="18"/>
              </w:rPr>
              <w:t>31</w:t>
            </w:r>
          </w:p>
        </w:tc>
        <w:tc>
          <w:tcPr>
            <w:tcW w:w="1219"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noWrap/>
            <w:vAlign w:val="center"/>
            <w:hideMark/>
          </w:tcPr>
          <w:p w14:paraId="17B47CED" w14:textId="70EE2F2F" w:rsidR="00FA0762" w:rsidRPr="00ED1414" w:rsidRDefault="00FA0762" w:rsidP="00C92AA3">
            <w:pPr>
              <w:jc w:val="center"/>
              <w:rPr>
                <w:rFonts w:asciiTheme="minorHAnsi" w:hAnsiTheme="minorHAnsi" w:cstheme="minorHAnsi"/>
                <w:b/>
                <w:sz w:val="18"/>
                <w:szCs w:val="18"/>
              </w:rPr>
            </w:pPr>
            <w:r w:rsidRPr="00ED1414">
              <w:rPr>
                <w:rFonts w:asciiTheme="minorHAnsi" w:hAnsiTheme="minorHAnsi" w:cstheme="minorHAnsi"/>
                <w:b/>
                <w:sz w:val="18"/>
                <w:szCs w:val="18"/>
              </w:rPr>
              <w:t>2031</w:t>
            </w:r>
            <w:r w:rsidR="00310E2A" w:rsidRPr="00ED1414">
              <w:rPr>
                <w:rFonts w:asciiTheme="minorHAnsi" w:hAnsiTheme="minorHAnsi" w:cstheme="minorHAnsi"/>
                <w:b/>
                <w:sz w:val="18"/>
                <w:szCs w:val="18"/>
              </w:rPr>
              <w:t>–</w:t>
            </w:r>
            <w:r w:rsidRPr="00ED1414">
              <w:rPr>
                <w:rFonts w:asciiTheme="minorHAnsi" w:hAnsiTheme="minorHAnsi" w:cstheme="minorHAnsi"/>
                <w:b/>
                <w:sz w:val="18"/>
                <w:szCs w:val="18"/>
              </w:rPr>
              <w:t>32</w:t>
            </w:r>
          </w:p>
        </w:tc>
        <w:tc>
          <w:tcPr>
            <w:tcW w:w="1219" w:type="dxa"/>
            <w:tcBorders>
              <w:top w:val="single" w:sz="4" w:space="0" w:color="002279"/>
              <w:left w:val="single" w:sz="4" w:space="0" w:color="FFFFFF" w:themeColor="background1"/>
              <w:bottom w:val="single" w:sz="2" w:space="0" w:color="002279"/>
              <w:right w:val="single" w:sz="4" w:space="0" w:color="002279"/>
            </w:tcBorders>
            <w:shd w:val="clear" w:color="auto" w:fill="002279"/>
            <w:noWrap/>
            <w:vAlign w:val="center"/>
            <w:hideMark/>
          </w:tcPr>
          <w:p w14:paraId="02294740" w14:textId="7CA97EB7" w:rsidR="00FA0762" w:rsidRPr="00ED1414" w:rsidRDefault="00FA0762" w:rsidP="00C92AA3">
            <w:pPr>
              <w:jc w:val="center"/>
              <w:rPr>
                <w:rFonts w:asciiTheme="minorHAnsi" w:hAnsiTheme="minorHAnsi" w:cstheme="minorHAnsi"/>
                <w:b/>
                <w:sz w:val="18"/>
                <w:szCs w:val="18"/>
              </w:rPr>
            </w:pPr>
            <w:r w:rsidRPr="00ED1414">
              <w:rPr>
                <w:rFonts w:asciiTheme="minorHAnsi" w:hAnsiTheme="minorHAnsi" w:cstheme="minorHAnsi"/>
                <w:b/>
                <w:sz w:val="18"/>
                <w:szCs w:val="18"/>
              </w:rPr>
              <w:t>2032</w:t>
            </w:r>
            <w:r w:rsidR="00310E2A" w:rsidRPr="00ED1414">
              <w:rPr>
                <w:rFonts w:asciiTheme="minorHAnsi" w:hAnsiTheme="minorHAnsi" w:cstheme="minorHAnsi"/>
                <w:b/>
                <w:sz w:val="18"/>
                <w:szCs w:val="18"/>
              </w:rPr>
              <w:t>–</w:t>
            </w:r>
            <w:r w:rsidRPr="00ED1414">
              <w:rPr>
                <w:rFonts w:asciiTheme="minorHAnsi" w:hAnsiTheme="minorHAnsi" w:cstheme="minorHAnsi"/>
                <w:b/>
                <w:sz w:val="18"/>
                <w:szCs w:val="18"/>
              </w:rPr>
              <w:t>33</w:t>
            </w:r>
          </w:p>
        </w:tc>
      </w:tr>
      <w:tr w:rsidR="00ED1414" w:rsidRPr="00ED1414" w14:paraId="0E1F565B" w14:textId="77777777" w:rsidTr="003F1732">
        <w:trPr>
          <w:cnfStyle w:val="000000100000" w:firstRow="0" w:lastRow="0" w:firstColumn="0" w:lastColumn="0" w:oddVBand="0" w:evenVBand="0" w:oddHBand="1" w:evenHBand="0" w:firstRowFirstColumn="0" w:firstRowLastColumn="0" w:lastRowFirstColumn="0" w:lastRowLastColumn="0"/>
          <w:trHeight w:val="627"/>
        </w:trPr>
        <w:tc>
          <w:tcPr>
            <w:tcW w:w="2132" w:type="dxa"/>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644566EF" w14:textId="7A775DAB" w:rsidR="00FA0762" w:rsidRPr="00ED1414" w:rsidRDefault="00FA0762" w:rsidP="00E57550">
            <w:pPr>
              <w:rPr>
                <w:rFonts w:ascii="Arial" w:hAnsi="Arial" w:cs="Arial"/>
                <w:sz w:val="18"/>
                <w:szCs w:val="18"/>
              </w:rPr>
            </w:pPr>
            <w:r w:rsidRPr="00ED1414">
              <w:rPr>
                <w:rFonts w:cs="Arial"/>
                <w:sz w:val="18"/>
                <w:szCs w:val="18"/>
              </w:rPr>
              <w:t xml:space="preserve">Opening </w:t>
            </w:r>
            <w:r w:rsidR="00A82C9B" w:rsidRPr="00ED1414">
              <w:rPr>
                <w:rFonts w:cs="Arial"/>
                <w:sz w:val="18"/>
                <w:szCs w:val="18"/>
              </w:rPr>
              <w:t>RAB</w:t>
            </w:r>
          </w:p>
        </w:tc>
        <w:tc>
          <w:tcPr>
            <w:tcW w:w="1219" w:type="dxa"/>
            <w:tcBorders>
              <w:top w:val="single" w:sz="2" w:space="0" w:color="002279"/>
              <w:left w:val="single" w:sz="4" w:space="0" w:color="002279"/>
              <w:bottom w:val="single" w:sz="2" w:space="0" w:color="002279"/>
              <w:right w:val="single" w:sz="4" w:space="0" w:color="002279"/>
            </w:tcBorders>
            <w:shd w:val="clear" w:color="auto" w:fill="D4D6DF"/>
            <w:noWrap/>
            <w:vAlign w:val="center"/>
          </w:tcPr>
          <w:p w14:paraId="558AD666" w14:textId="5C739BCB" w:rsidR="00FA0762" w:rsidRPr="00ED1414" w:rsidRDefault="008D5B22" w:rsidP="00C92AA3">
            <w:pPr>
              <w:jc w:val="center"/>
              <w:rPr>
                <w:rFonts w:cstheme="minorHAnsi"/>
                <w:sz w:val="18"/>
                <w:szCs w:val="18"/>
              </w:rPr>
            </w:pPr>
            <w:r w:rsidRPr="00ED1414">
              <w:rPr>
                <w:rFonts w:ascii="Arial" w:hAnsi="Arial" w:cs="Arial"/>
                <w:color w:val="000000"/>
                <w:sz w:val="18"/>
                <w:szCs w:val="18"/>
              </w:rPr>
              <w:t>4,149.17</w:t>
            </w:r>
          </w:p>
        </w:tc>
        <w:tc>
          <w:tcPr>
            <w:tcW w:w="1219" w:type="dxa"/>
            <w:tcBorders>
              <w:top w:val="single" w:sz="2" w:space="0" w:color="002279"/>
              <w:left w:val="single" w:sz="4" w:space="0" w:color="002279"/>
              <w:bottom w:val="single" w:sz="2" w:space="0" w:color="002279"/>
              <w:right w:val="single" w:sz="4" w:space="0" w:color="002279"/>
            </w:tcBorders>
            <w:shd w:val="clear" w:color="auto" w:fill="D4D6DF"/>
            <w:noWrap/>
            <w:vAlign w:val="center"/>
          </w:tcPr>
          <w:p w14:paraId="4A4FF413" w14:textId="7F04855B" w:rsidR="00FA0762" w:rsidRPr="00ED1414" w:rsidRDefault="008D5B22" w:rsidP="00C92AA3">
            <w:pPr>
              <w:jc w:val="center"/>
              <w:rPr>
                <w:rFonts w:cstheme="minorHAnsi"/>
                <w:sz w:val="18"/>
                <w:szCs w:val="18"/>
              </w:rPr>
            </w:pPr>
            <w:r w:rsidRPr="00ED1414">
              <w:rPr>
                <w:rFonts w:ascii="Arial" w:hAnsi="Arial" w:cs="Arial"/>
                <w:color w:val="000000"/>
                <w:sz w:val="18"/>
                <w:szCs w:val="18"/>
              </w:rPr>
              <w:t>4,332.18</w:t>
            </w:r>
          </w:p>
        </w:tc>
        <w:tc>
          <w:tcPr>
            <w:tcW w:w="1219" w:type="dxa"/>
            <w:tcBorders>
              <w:top w:val="single" w:sz="2" w:space="0" w:color="002279"/>
              <w:left w:val="single" w:sz="4" w:space="0" w:color="002279"/>
              <w:bottom w:val="single" w:sz="2" w:space="0" w:color="002279"/>
              <w:right w:val="single" w:sz="4" w:space="0" w:color="002279"/>
            </w:tcBorders>
            <w:shd w:val="clear" w:color="auto" w:fill="D4D6DF"/>
            <w:noWrap/>
            <w:vAlign w:val="center"/>
          </w:tcPr>
          <w:p w14:paraId="785361C1" w14:textId="306F05A6" w:rsidR="00FA0762" w:rsidRPr="00ED1414" w:rsidRDefault="008D5B22" w:rsidP="00C92AA3">
            <w:pPr>
              <w:jc w:val="center"/>
              <w:rPr>
                <w:rFonts w:cstheme="minorHAnsi"/>
                <w:sz w:val="18"/>
                <w:szCs w:val="18"/>
              </w:rPr>
            </w:pPr>
            <w:r w:rsidRPr="00ED1414">
              <w:rPr>
                <w:rFonts w:ascii="Arial" w:hAnsi="Arial" w:cs="Arial"/>
                <w:color w:val="000000"/>
                <w:sz w:val="18"/>
                <w:szCs w:val="18"/>
              </w:rPr>
              <w:t>4,564.41</w:t>
            </w:r>
          </w:p>
        </w:tc>
        <w:tc>
          <w:tcPr>
            <w:tcW w:w="1219" w:type="dxa"/>
            <w:tcBorders>
              <w:top w:val="single" w:sz="2" w:space="0" w:color="002279"/>
              <w:left w:val="single" w:sz="4" w:space="0" w:color="002279"/>
              <w:bottom w:val="single" w:sz="2" w:space="0" w:color="002279"/>
              <w:right w:val="single" w:sz="4" w:space="0" w:color="002279"/>
            </w:tcBorders>
            <w:shd w:val="clear" w:color="auto" w:fill="D4D6DF"/>
            <w:noWrap/>
            <w:vAlign w:val="center"/>
          </w:tcPr>
          <w:p w14:paraId="31DA15B0" w14:textId="45EF0DC6" w:rsidR="00FA0762" w:rsidRPr="00ED1414" w:rsidRDefault="008D5B22" w:rsidP="00C92AA3">
            <w:pPr>
              <w:jc w:val="center"/>
              <w:rPr>
                <w:rFonts w:cstheme="minorHAnsi"/>
                <w:sz w:val="18"/>
                <w:szCs w:val="18"/>
              </w:rPr>
            </w:pPr>
            <w:r w:rsidRPr="00ED1414">
              <w:rPr>
                <w:rFonts w:ascii="Arial" w:hAnsi="Arial" w:cs="Arial"/>
                <w:color w:val="000000"/>
                <w:sz w:val="18"/>
                <w:szCs w:val="18"/>
              </w:rPr>
              <w:t>4,811.61</w:t>
            </w:r>
          </w:p>
        </w:tc>
        <w:tc>
          <w:tcPr>
            <w:tcW w:w="1219" w:type="dxa"/>
            <w:tcBorders>
              <w:top w:val="single" w:sz="2" w:space="0" w:color="002279"/>
              <w:left w:val="single" w:sz="4" w:space="0" w:color="002279"/>
              <w:bottom w:val="single" w:sz="2" w:space="0" w:color="002279"/>
              <w:right w:val="single" w:sz="4" w:space="0" w:color="002279"/>
            </w:tcBorders>
            <w:shd w:val="clear" w:color="auto" w:fill="D4D6DF"/>
            <w:noWrap/>
            <w:vAlign w:val="center"/>
          </w:tcPr>
          <w:p w14:paraId="167EBC0F" w14:textId="63038D75" w:rsidR="00FA0762" w:rsidRPr="00ED1414" w:rsidRDefault="008D5B22" w:rsidP="00C92AA3">
            <w:pPr>
              <w:jc w:val="center"/>
              <w:rPr>
                <w:rFonts w:cstheme="minorHAnsi"/>
                <w:sz w:val="18"/>
                <w:szCs w:val="18"/>
              </w:rPr>
            </w:pPr>
            <w:r w:rsidRPr="00ED1414">
              <w:rPr>
                <w:rFonts w:ascii="Arial" w:hAnsi="Arial" w:cs="Arial"/>
                <w:color w:val="000000"/>
                <w:sz w:val="18"/>
                <w:szCs w:val="18"/>
              </w:rPr>
              <w:t>5,050.99</w:t>
            </w:r>
          </w:p>
        </w:tc>
        <w:tc>
          <w:tcPr>
            <w:tcW w:w="1219" w:type="dxa"/>
            <w:tcBorders>
              <w:top w:val="single" w:sz="2" w:space="0" w:color="002279"/>
              <w:left w:val="single" w:sz="4" w:space="0" w:color="002279"/>
              <w:bottom w:val="single" w:sz="2" w:space="0" w:color="002279"/>
              <w:right w:val="single" w:sz="4" w:space="0" w:color="002279"/>
            </w:tcBorders>
            <w:shd w:val="clear" w:color="auto" w:fill="D4D6DF"/>
            <w:noWrap/>
            <w:vAlign w:val="center"/>
          </w:tcPr>
          <w:p w14:paraId="17014AFE" w14:textId="0CA59630" w:rsidR="00FA0762" w:rsidRPr="00ED1414" w:rsidRDefault="008D5B22" w:rsidP="00C92AA3">
            <w:pPr>
              <w:jc w:val="center"/>
              <w:rPr>
                <w:rFonts w:cstheme="minorHAnsi"/>
                <w:sz w:val="18"/>
                <w:szCs w:val="18"/>
              </w:rPr>
            </w:pPr>
            <w:r w:rsidRPr="00ED1414">
              <w:rPr>
                <w:rFonts w:ascii="Arial" w:hAnsi="Arial" w:cs="Arial"/>
                <w:color w:val="000000"/>
                <w:sz w:val="18"/>
                <w:szCs w:val="18"/>
              </w:rPr>
              <w:t>5,274.11</w:t>
            </w:r>
          </w:p>
        </w:tc>
        <w:tc>
          <w:tcPr>
            <w:tcW w:w="1219" w:type="dxa"/>
            <w:tcBorders>
              <w:top w:val="single" w:sz="2" w:space="0" w:color="002279"/>
              <w:left w:val="single" w:sz="4" w:space="0" w:color="002279"/>
              <w:bottom w:val="single" w:sz="2" w:space="0" w:color="002279"/>
              <w:right w:val="single" w:sz="4" w:space="0" w:color="002279"/>
            </w:tcBorders>
            <w:shd w:val="clear" w:color="auto" w:fill="D4D6DF"/>
            <w:noWrap/>
            <w:vAlign w:val="center"/>
          </w:tcPr>
          <w:p w14:paraId="27A6A6F3" w14:textId="7F809FF7" w:rsidR="00FA0762" w:rsidRPr="00ED1414" w:rsidRDefault="008D5B22" w:rsidP="00C92AA3">
            <w:pPr>
              <w:jc w:val="center"/>
              <w:rPr>
                <w:rFonts w:cstheme="minorHAnsi"/>
                <w:sz w:val="18"/>
                <w:szCs w:val="18"/>
              </w:rPr>
            </w:pPr>
            <w:r w:rsidRPr="00ED1414">
              <w:rPr>
                <w:rFonts w:ascii="Arial" w:hAnsi="Arial" w:cs="Arial"/>
                <w:color w:val="000000"/>
                <w:sz w:val="18"/>
                <w:szCs w:val="18"/>
              </w:rPr>
              <w:t>5,486.34</w:t>
            </w:r>
          </w:p>
        </w:tc>
        <w:tc>
          <w:tcPr>
            <w:tcW w:w="1219" w:type="dxa"/>
            <w:tcBorders>
              <w:top w:val="single" w:sz="2" w:space="0" w:color="002279"/>
              <w:left w:val="single" w:sz="4" w:space="0" w:color="002279"/>
              <w:bottom w:val="single" w:sz="2" w:space="0" w:color="002279"/>
              <w:right w:val="single" w:sz="4" w:space="0" w:color="002279"/>
            </w:tcBorders>
            <w:shd w:val="clear" w:color="auto" w:fill="D4D6DF"/>
            <w:noWrap/>
            <w:vAlign w:val="center"/>
          </w:tcPr>
          <w:p w14:paraId="3F5F865A" w14:textId="1BFC8743" w:rsidR="00FA0762" w:rsidRPr="00ED1414" w:rsidRDefault="008D5B22" w:rsidP="00C92AA3">
            <w:pPr>
              <w:jc w:val="center"/>
              <w:rPr>
                <w:rFonts w:cstheme="minorHAnsi"/>
                <w:sz w:val="18"/>
                <w:szCs w:val="18"/>
              </w:rPr>
            </w:pPr>
            <w:r w:rsidRPr="00ED1414">
              <w:rPr>
                <w:rFonts w:ascii="Arial" w:hAnsi="Arial" w:cs="Arial"/>
                <w:color w:val="000000"/>
                <w:sz w:val="18"/>
                <w:szCs w:val="18"/>
              </w:rPr>
              <w:t>5,694.20</w:t>
            </w:r>
          </w:p>
        </w:tc>
        <w:tc>
          <w:tcPr>
            <w:tcW w:w="1219" w:type="dxa"/>
            <w:tcBorders>
              <w:top w:val="single" w:sz="2" w:space="0" w:color="002279"/>
              <w:left w:val="single" w:sz="4" w:space="0" w:color="002279"/>
              <w:bottom w:val="single" w:sz="2" w:space="0" w:color="002279"/>
              <w:right w:val="single" w:sz="4" w:space="0" w:color="002279"/>
            </w:tcBorders>
            <w:shd w:val="clear" w:color="auto" w:fill="D4D6DF"/>
            <w:noWrap/>
            <w:vAlign w:val="center"/>
          </w:tcPr>
          <w:p w14:paraId="4EB20EE0" w14:textId="76EECEC1" w:rsidR="00FA0762" w:rsidRPr="00ED1414" w:rsidRDefault="008D5B22" w:rsidP="00C92AA3">
            <w:pPr>
              <w:jc w:val="center"/>
              <w:rPr>
                <w:rFonts w:cstheme="minorHAnsi"/>
                <w:sz w:val="18"/>
                <w:szCs w:val="18"/>
              </w:rPr>
            </w:pPr>
            <w:r w:rsidRPr="00ED1414">
              <w:rPr>
                <w:rFonts w:ascii="Arial" w:hAnsi="Arial" w:cs="Arial"/>
                <w:color w:val="000000"/>
                <w:sz w:val="18"/>
                <w:szCs w:val="18"/>
              </w:rPr>
              <w:t>5,894.31</w:t>
            </w:r>
          </w:p>
        </w:tc>
        <w:tc>
          <w:tcPr>
            <w:tcW w:w="1219" w:type="dxa"/>
            <w:tcBorders>
              <w:top w:val="single" w:sz="2" w:space="0" w:color="002279"/>
              <w:left w:val="single" w:sz="4" w:space="0" w:color="002279"/>
              <w:bottom w:val="single" w:sz="2" w:space="0" w:color="002279"/>
              <w:right w:val="single" w:sz="4" w:space="0" w:color="002279"/>
            </w:tcBorders>
            <w:shd w:val="clear" w:color="auto" w:fill="D4D6DF"/>
            <w:noWrap/>
            <w:vAlign w:val="center"/>
          </w:tcPr>
          <w:p w14:paraId="1FF17B99" w14:textId="14224CE7" w:rsidR="00FA0762" w:rsidRPr="00ED1414" w:rsidRDefault="008D5B22" w:rsidP="00C92AA3">
            <w:pPr>
              <w:jc w:val="center"/>
              <w:rPr>
                <w:rFonts w:cstheme="minorHAnsi"/>
                <w:sz w:val="18"/>
                <w:szCs w:val="18"/>
              </w:rPr>
            </w:pPr>
            <w:r w:rsidRPr="00ED1414">
              <w:rPr>
                <w:rFonts w:ascii="Arial" w:hAnsi="Arial" w:cs="Arial"/>
                <w:color w:val="000000"/>
                <w:sz w:val="18"/>
                <w:szCs w:val="18"/>
              </w:rPr>
              <w:t>6,084.43</w:t>
            </w:r>
          </w:p>
        </w:tc>
      </w:tr>
      <w:tr w:rsidR="00ED1414" w:rsidRPr="00ED1414" w14:paraId="4EB7F473" w14:textId="77777777" w:rsidTr="003F1732">
        <w:trPr>
          <w:cnfStyle w:val="000000010000" w:firstRow="0" w:lastRow="0" w:firstColumn="0" w:lastColumn="0" w:oddVBand="0" w:evenVBand="0" w:oddHBand="0" w:evenHBand="1" w:firstRowFirstColumn="0" w:firstRowLastColumn="0" w:lastRowFirstColumn="0" w:lastRowLastColumn="0"/>
          <w:trHeight w:val="452"/>
        </w:trPr>
        <w:tc>
          <w:tcPr>
            <w:tcW w:w="2132" w:type="dxa"/>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63409641" w14:textId="574AA2A1" w:rsidR="00FA0762" w:rsidRPr="00ED1414" w:rsidRDefault="00FA0762" w:rsidP="00E57550">
            <w:pPr>
              <w:rPr>
                <w:rFonts w:ascii="Arial" w:hAnsi="Arial" w:cs="Arial"/>
                <w:sz w:val="18"/>
                <w:szCs w:val="18"/>
              </w:rPr>
            </w:pPr>
            <w:r w:rsidRPr="00ED1414">
              <w:rPr>
                <w:rFonts w:cs="Arial"/>
                <w:sz w:val="18"/>
                <w:szCs w:val="18"/>
              </w:rPr>
              <w:t xml:space="preserve">plus </w:t>
            </w:r>
            <w:r w:rsidR="0010728B" w:rsidRPr="00ED1414">
              <w:rPr>
                <w:rFonts w:cs="Arial"/>
                <w:sz w:val="18"/>
                <w:szCs w:val="18"/>
              </w:rPr>
              <w:t>g</w:t>
            </w:r>
            <w:r w:rsidRPr="00ED1414">
              <w:rPr>
                <w:rFonts w:cs="Arial"/>
                <w:sz w:val="18"/>
                <w:szCs w:val="18"/>
              </w:rPr>
              <w:t>ross capital expenditure</w:t>
            </w:r>
          </w:p>
        </w:tc>
        <w:tc>
          <w:tcPr>
            <w:tcW w:w="1219" w:type="dxa"/>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tcPr>
          <w:p w14:paraId="3FD13A78" w14:textId="7641DE67" w:rsidR="00FA0762" w:rsidRPr="00ED1414" w:rsidRDefault="009253E5" w:rsidP="00C92AA3">
            <w:pPr>
              <w:jc w:val="center"/>
              <w:rPr>
                <w:rFonts w:cstheme="minorHAnsi"/>
                <w:sz w:val="18"/>
                <w:szCs w:val="18"/>
              </w:rPr>
            </w:pPr>
            <w:r w:rsidRPr="00ED1414">
              <w:rPr>
                <w:rFonts w:ascii="Arial" w:hAnsi="Arial" w:cs="Arial"/>
                <w:color w:val="000000"/>
                <w:sz w:val="18"/>
                <w:szCs w:val="18"/>
              </w:rPr>
              <w:t>351.96</w:t>
            </w:r>
          </w:p>
        </w:tc>
        <w:tc>
          <w:tcPr>
            <w:tcW w:w="1219" w:type="dxa"/>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tcPr>
          <w:p w14:paraId="58BCD4ED" w14:textId="48489540" w:rsidR="00FA0762" w:rsidRPr="00ED1414" w:rsidRDefault="00FA0762" w:rsidP="00C92AA3">
            <w:pPr>
              <w:jc w:val="center"/>
              <w:rPr>
                <w:rFonts w:cstheme="minorHAnsi"/>
                <w:sz w:val="18"/>
                <w:szCs w:val="18"/>
              </w:rPr>
            </w:pPr>
            <w:r w:rsidRPr="00ED1414">
              <w:rPr>
                <w:rFonts w:ascii="Arial" w:hAnsi="Arial" w:cs="Arial"/>
                <w:color w:val="000000"/>
                <w:sz w:val="18"/>
                <w:szCs w:val="18"/>
              </w:rPr>
              <w:t>380</w:t>
            </w:r>
            <w:r w:rsidR="009253E5" w:rsidRPr="00ED1414">
              <w:rPr>
                <w:rFonts w:ascii="Arial" w:hAnsi="Arial" w:cs="Arial"/>
                <w:color w:val="000000"/>
                <w:sz w:val="18"/>
                <w:szCs w:val="18"/>
              </w:rPr>
              <w:t>.20</w:t>
            </w:r>
          </w:p>
        </w:tc>
        <w:tc>
          <w:tcPr>
            <w:tcW w:w="1219" w:type="dxa"/>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tcPr>
          <w:p w14:paraId="5F415EF0" w14:textId="4B5F927B" w:rsidR="00FA0762" w:rsidRPr="00ED1414" w:rsidRDefault="00B15B99" w:rsidP="00C92AA3">
            <w:pPr>
              <w:jc w:val="center"/>
              <w:rPr>
                <w:rFonts w:cstheme="minorHAnsi"/>
                <w:sz w:val="18"/>
                <w:szCs w:val="18"/>
              </w:rPr>
            </w:pPr>
            <w:r w:rsidRPr="00ED1414">
              <w:rPr>
                <w:rFonts w:ascii="Arial" w:hAnsi="Arial" w:cs="Arial"/>
                <w:color w:val="000000"/>
                <w:sz w:val="18"/>
                <w:szCs w:val="18"/>
              </w:rPr>
              <w:t>392</w:t>
            </w:r>
            <w:r w:rsidR="009253E5" w:rsidRPr="00ED1414">
              <w:rPr>
                <w:rFonts w:ascii="Arial" w:hAnsi="Arial" w:cs="Arial"/>
                <w:color w:val="000000"/>
                <w:sz w:val="18"/>
                <w:szCs w:val="18"/>
              </w:rPr>
              <w:t>.38</w:t>
            </w:r>
          </w:p>
        </w:tc>
        <w:tc>
          <w:tcPr>
            <w:tcW w:w="1219" w:type="dxa"/>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tcPr>
          <w:p w14:paraId="69E40B08" w14:textId="459FC93D" w:rsidR="00FA0762" w:rsidRPr="00ED1414" w:rsidRDefault="009253E5" w:rsidP="00C92AA3">
            <w:pPr>
              <w:jc w:val="center"/>
              <w:rPr>
                <w:rFonts w:cstheme="minorHAnsi"/>
                <w:sz w:val="18"/>
                <w:szCs w:val="18"/>
              </w:rPr>
            </w:pPr>
            <w:r w:rsidRPr="00ED1414">
              <w:rPr>
                <w:rFonts w:ascii="Arial" w:hAnsi="Arial" w:cs="Arial"/>
                <w:color w:val="000000"/>
                <w:sz w:val="18"/>
                <w:szCs w:val="18"/>
              </w:rPr>
              <w:t>399.87</w:t>
            </w:r>
          </w:p>
        </w:tc>
        <w:tc>
          <w:tcPr>
            <w:tcW w:w="1219" w:type="dxa"/>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tcPr>
          <w:p w14:paraId="6C8816AF" w14:textId="4F0DC35E" w:rsidR="00FA0762" w:rsidRPr="00ED1414" w:rsidRDefault="009253E5" w:rsidP="00C92AA3">
            <w:pPr>
              <w:jc w:val="center"/>
              <w:rPr>
                <w:rFonts w:cstheme="minorHAnsi"/>
                <w:sz w:val="18"/>
                <w:szCs w:val="18"/>
              </w:rPr>
            </w:pPr>
            <w:r w:rsidRPr="00ED1414">
              <w:rPr>
                <w:rFonts w:ascii="Arial" w:hAnsi="Arial" w:cs="Arial"/>
                <w:color w:val="000000"/>
                <w:sz w:val="18"/>
                <w:szCs w:val="18"/>
              </w:rPr>
              <w:t>396.65</w:t>
            </w:r>
          </w:p>
        </w:tc>
        <w:tc>
          <w:tcPr>
            <w:tcW w:w="1219" w:type="dxa"/>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tcPr>
          <w:p w14:paraId="3BDB1D2D" w14:textId="2E9622EA" w:rsidR="00FA0762" w:rsidRPr="00ED1414" w:rsidRDefault="009253E5" w:rsidP="00C92AA3">
            <w:pPr>
              <w:jc w:val="center"/>
              <w:rPr>
                <w:rFonts w:cstheme="minorHAnsi"/>
                <w:sz w:val="18"/>
                <w:szCs w:val="18"/>
              </w:rPr>
            </w:pPr>
            <w:r w:rsidRPr="00ED1414">
              <w:rPr>
                <w:rFonts w:ascii="Arial" w:hAnsi="Arial" w:cs="Arial"/>
                <w:color w:val="000000"/>
                <w:sz w:val="18"/>
                <w:szCs w:val="18"/>
              </w:rPr>
              <w:t>404.94</w:t>
            </w:r>
          </w:p>
        </w:tc>
        <w:tc>
          <w:tcPr>
            <w:tcW w:w="1219" w:type="dxa"/>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tcPr>
          <w:p w14:paraId="5FFB2CE0" w14:textId="608B732B" w:rsidR="00FA0762" w:rsidRPr="00ED1414" w:rsidRDefault="009253E5" w:rsidP="00C92AA3">
            <w:pPr>
              <w:jc w:val="center"/>
              <w:rPr>
                <w:rFonts w:cstheme="minorHAnsi"/>
                <w:sz w:val="18"/>
                <w:szCs w:val="18"/>
              </w:rPr>
            </w:pPr>
            <w:r w:rsidRPr="00ED1414">
              <w:rPr>
                <w:rFonts w:ascii="Arial" w:hAnsi="Arial" w:cs="Arial"/>
                <w:color w:val="000000"/>
                <w:sz w:val="18"/>
                <w:szCs w:val="18"/>
              </w:rPr>
              <w:t>412.62</w:t>
            </w:r>
          </w:p>
        </w:tc>
        <w:tc>
          <w:tcPr>
            <w:tcW w:w="1219" w:type="dxa"/>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tcPr>
          <w:p w14:paraId="41F56BEF" w14:textId="5DB81E40" w:rsidR="00FA0762" w:rsidRPr="00ED1414" w:rsidRDefault="00636D1C" w:rsidP="00C92AA3">
            <w:pPr>
              <w:jc w:val="center"/>
              <w:rPr>
                <w:rFonts w:cstheme="minorHAnsi"/>
                <w:sz w:val="18"/>
                <w:szCs w:val="18"/>
              </w:rPr>
            </w:pPr>
            <w:r w:rsidRPr="00ED1414">
              <w:rPr>
                <w:rFonts w:ascii="Arial" w:hAnsi="Arial" w:cs="Arial"/>
                <w:color w:val="000000"/>
                <w:sz w:val="18"/>
                <w:szCs w:val="18"/>
              </w:rPr>
              <w:t>413</w:t>
            </w:r>
            <w:r w:rsidR="009253E5" w:rsidRPr="00ED1414">
              <w:rPr>
                <w:rFonts w:ascii="Arial" w:hAnsi="Arial" w:cs="Arial"/>
                <w:color w:val="000000"/>
                <w:sz w:val="18"/>
                <w:szCs w:val="18"/>
              </w:rPr>
              <w:t>.00</w:t>
            </w:r>
          </w:p>
        </w:tc>
        <w:tc>
          <w:tcPr>
            <w:tcW w:w="1219" w:type="dxa"/>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tcPr>
          <w:p w14:paraId="7F3A9280" w14:textId="31338B2B" w:rsidR="00FA0762" w:rsidRPr="00ED1414" w:rsidRDefault="009253E5" w:rsidP="00C92AA3">
            <w:pPr>
              <w:jc w:val="center"/>
              <w:rPr>
                <w:rFonts w:cstheme="minorHAnsi"/>
                <w:sz w:val="18"/>
                <w:szCs w:val="18"/>
              </w:rPr>
            </w:pPr>
            <w:r w:rsidRPr="00ED1414">
              <w:rPr>
                <w:rFonts w:ascii="Arial" w:hAnsi="Arial" w:cs="Arial"/>
                <w:color w:val="000000"/>
                <w:sz w:val="18"/>
                <w:szCs w:val="18"/>
              </w:rPr>
              <w:t>412.56</w:t>
            </w:r>
          </w:p>
        </w:tc>
        <w:tc>
          <w:tcPr>
            <w:tcW w:w="1219" w:type="dxa"/>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tcPr>
          <w:p w14:paraId="0513412C" w14:textId="31DB683B" w:rsidR="00FA0762" w:rsidRPr="00ED1414" w:rsidRDefault="00B15B99" w:rsidP="00C92AA3">
            <w:pPr>
              <w:jc w:val="center"/>
              <w:rPr>
                <w:rFonts w:cstheme="minorHAnsi"/>
                <w:sz w:val="18"/>
                <w:szCs w:val="18"/>
              </w:rPr>
            </w:pPr>
            <w:r w:rsidRPr="00ED1414">
              <w:rPr>
                <w:rFonts w:ascii="Arial" w:hAnsi="Arial" w:cs="Arial"/>
                <w:color w:val="000000"/>
                <w:sz w:val="18"/>
                <w:szCs w:val="18"/>
              </w:rPr>
              <w:t>398</w:t>
            </w:r>
            <w:r w:rsidR="009253E5" w:rsidRPr="00ED1414">
              <w:rPr>
                <w:rFonts w:ascii="Arial" w:hAnsi="Arial" w:cs="Arial"/>
                <w:color w:val="000000"/>
                <w:sz w:val="18"/>
                <w:szCs w:val="18"/>
              </w:rPr>
              <w:t>.13</w:t>
            </w:r>
          </w:p>
        </w:tc>
      </w:tr>
      <w:tr w:rsidR="00ED1414" w:rsidRPr="00ED1414" w14:paraId="194E5FB1" w14:textId="77777777" w:rsidTr="003F1732">
        <w:trPr>
          <w:cnfStyle w:val="000000100000" w:firstRow="0" w:lastRow="0" w:firstColumn="0" w:lastColumn="0" w:oddVBand="0" w:evenVBand="0" w:oddHBand="1" w:evenHBand="0" w:firstRowFirstColumn="0" w:firstRowLastColumn="0" w:lastRowFirstColumn="0" w:lastRowLastColumn="0"/>
          <w:trHeight w:val="452"/>
        </w:trPr>
        <w:tc>
          <w:tcPr>
            <w:tcW w:w="2132" w:type="dxa"/>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0229B3DA" w14:textId="61A796FB" w:rsidR="00FA0762" w:rsidRPr="00ED1414" w:rsidRDefault="00FA0762" w:rsidP="00E57550">
            <w:pPr>
              <w:rPr>
                <w:rFonts w:ascii="Arial" w:hAnsi="Arial" w:cs="Arial"/>
                <w:sz w:val="18"/>
                <w:szCs w:val="18"/>
              </w:rPr>
            </w:pPr>
            <w:r w:rsidRPr="00ED1414">
              <w:rPr>
                <w:rFonts w:cs="Arial"/>
                <w:sz w:val="18"/>
                <w:szCs w:val="18"/>
              </w:rPr>
              <w:t xml:space="preserve">less </w:t>
            </w:r>
            <w:r w:rsidR="0010728B" w:rsidRPr="00ED1414">
              <w:rPr>
                <w:rFonts w:cs="Arial"/>
                <w:sz w:val="18"/>
                <w:szCs w:val="18"/>
              </w:rPr>
              <w:t>g</w:t>
            </w:r>
            <w:r w:rsidRPr="00ED1414">
              <w:rPr>
                <w:rFonts w:cs="Arial"/>
                <w:sz w:val="18"/>
                <w:szCs w:val="18"/>
              </w:rPr>
              <w:t>overnment contributions</w:t>
            </w:r>
          </w:p>
        </w:tc>
        <w:tc>
          <w:tcPr>
            <w:tcW w:w="1219" w:type="dxa"/>
            <w:tcBorders>
              <w:top w:val="single" w:sz="2" w:space="0" w:color="002279"/>
              <w:left w:val="single" w:sz="4" w:space="0" w:color="002279"/>
              <w:bottom w:val="single" w:sz="2" w:space="0" w:color="002279"/>
              <w:right w:val="single" w:sz="4" w:space="0" w:color="002279"/>
            </w:tcBorders>
            <w:shd w:val="clear" w:color="auto" w:fill="D4D6DF"/>
            <w:noWrap/>
            <w:vAlign w:val="center"/>
          </w:tcPr>
          <w:p w14:paraId="14E55E08" w14:textId="4E3C8C5D" w:rsidR="00FA0762" w:rsidRPr="00ED1414" w:rsidRDefault="009253E5" w:rsidP="00C92AA3">
            <w:pPr>
              <w:jc w:val="center"/>
              <w:rPr>
                <w:rFonts w:cstheme="minorHAnsi"/>
                <w:sz w:val="18"/>
                <w:szCs w:val="18"/>
              </w:rPr>
            </w:pPr>
            <w:r w:rsidRPr="00ED1414">
              <w:rPr>
                <w:rFonts w:ascii="Arial" w:hAnsi="Arial" w:cs="Arial"/>
                <w:color w:val="000000"/>
                <w:sz w:val="18"/>
                <w:szCs w:val="18"/>
              </w:rPr>
              <w:t>12.53</w:t>
            </w:r>
          </w:p>
        </w:tc>
        <w:tc>
          <w:tcPr>
            <w:tcW w:w="1219" w:type="dxa"/>
            <w:tcBorders>
              <w:top w:val="single" w:sz="2" w:space="0" w:color="002279"/>
              <w:left w:val="single" w:sz="4" w:space="0" w:color="002279"/>
              <w:bottom w:val="single" w:sz="2" w:space="0" w:color="002279"/>
              <w:right w:val="single" w:sz="4" w:space="0" w:color="002279"/>
            </w:tcBorders>
            <w:shd w:val="clear" w:color="auto" w:fill="D4D6DF"/>
            <w:noWrap/>
            <w:vAlign w:val="center"/>
          </w:tcPr>
          <w:p w14:paraId="3E55165A" w14:textId="02D53A37" w:rsidR="00FA0762" w:rsidRPr="00ED1414" w:rsidRDefault="008D5B22" w:rsidP="00C92AA3">
            <w:pPr>
              <w:jc w:val="center"/>
              <w:rPr>
                <w:rFonts w:cstheme="minorHAnsi"/>
                <w:sz w:val="18"/>
                <w:szCs w:val="18"/>
              </w:rPr>
            </w:pPr>
            <w:r w:rsidRPr="00ED1414">
              <w:rPr>
                <w:rFonts w:cs="Arial"/>
                <w:sz w:val="18"/>
                <w:szCs w:val="18"/>
              </w:rPr>
              <w:t>–</w:t>
            </w:r>
          </w:p>
        </w:tc>
        <w:tc>
          <w:tcPr>
            <w:tcW w:w="1219" w:type="dxa"/>
            <w:tcBorders>
              <w:top w:val="single" w:sz="2" w:space="0" w:color="002279"/>
              <w:left w:val="single" w:sz="4" w:space="0" w:color="002279"/>
              <w:bottom w:val="single" w:sz="2" w:space="0" w:color="002279"/>
              <w:right w:val="single" w:sz="4" w:space="0" w:color="002279"/>
            </w:tcBorders>
            <w:shd w:val="clear" w:color="auto" w:fill="D4D6DF"/>
            <w:noWrap/>
            <w:vAlign w:val="center"/>
          </w:tcPr>
          <w:p w14:paraId="61474313" w14:textId="77D0BBC8" w:rsidR="00FA0762" w:rsidRPr="00ED1414" w:rsidRDefault="008D5B22" w:rsidP="00C92AA3">
            <w:pPr>
              <w:jc w:val="center"/>
              <w:rPr>
                <w:rFonts w:cstheme="minorHAnsi"/>
                <w:sz w:val="18"/>
                <w:szCs w:val="18"/>
              </w:rPr>
            </w:pPr>
            <w:r w:rsidRPr="00ED1414">
              <w:rPr>
                <w:rFonts w:cs="Arial"/>
                <w:sz w:val="18"/>
                <w:szCs w:val="18"/>
              </w:rPr>
              <w:t>–</w:t>
            </w:r>
          </w:p>
        </w:tc>
        <w:tc>
          <w:tcPr>
            <w:tcW w:w="1219" w:type="dxa"/>
            <w:tcBorders>
              <w:top w:val="single" w:sz="2" w:space="0" w:color="002279"/>
              <w:left w:val="single" w:sz="4" w:space="0" w:color="002279"/>
              <w:bottom w:val="single" w:sz="2" w:space="0" w:color="002279"/>
              <w:right w:val="single" w:sz="4" w:space="0" w:color="002279"/>
            </w:tcBorders>
            <w:shd w:val="clear" w:color="auto" w:fill="D4D6DF"/>
            <w:noWrap/>
            <w:vAlign w:val="center"/>
          </w:tcPr>
          <w:p w14:paraId="05E51B94" w14:textId="09137CB5" w:rsidR="00FA0762" w:rsidRPr="00ED1414" w:rsidRDefault="008D5B22" w:rsidP="00C92AA3">
            <w:pPr>
              <w:jc w:val="center"/>
              <w:rPr>
                <w:rFonts w:cstheme="minorHAnsi"/>
                <w:sz w:val="18"/>
                <w:szCs w:val="18"/>
              </w:rPr>
            </w:pPr>
            <w:r w:rsidRPr="00ED1414">
              <w:rPr>
                <w:rFonts w:cs="Arial"/>
                <w:sz w:val="18"/>
                <w:szCs w:val="18"/>
              </w:rPr>
              <w:t>–</w:t>
            </w:r>
          </w:p>
        </w:tc>
        <w:tc>
          <w:tcPr>
            <w:tcW w:w="1219" w:type="dxa"/>
            <w:tcBorders>
              <w:top w:val="single" w:sz="2" w:space="0" w:color="002279"/>
              <w:left w:val="single" w:sz="4" w:space="0" w:color="002279"/>
              <w:bottom w:val="single" w:sz="2" w:space="0" w:color="002279"/>
              <w:right w:val="single" w:sz="4" w:space="0" w:color="002279"/>
            </w:tcBorders>
            <w:shd w:val="clear" w:color="auto" w:fill="D4D6DF"/>
            <w:noWrap/>
            <w:vAlign w:val="center"/>
          </w:tcPr>
          <w:p w14:paraId="415FB0EA" w14:textId="6BD9A805" w:rsidR="00FA0762" w:rsidRPr="00ED1414" w:rsidRDefault="008D5B22" w:rsidP="00C92AA3">
            <w:pPr>
              <w:jc w:val="center"/>
              <w:rPr>
                <w:rFonts w:cstheme="minorHAnsi"/>
                <w:sz w:val="18"/>
                <w:szCs w:val="18"/>
              </w:rPr>
            </w:pPr>
            <w:r w:rsidRPr="00ED1414">
              <w:rPr>
                <w:rFonts w:cs="Arial"/>
                <w:sz w:val="18"/>
                <w:szCs w:val="18"/>
              </w:rPr>
              <w:t>–</w:t>
            </w:r>
          </w:p>
        </w:tc>
        <w:tc>
          <w:tcPr>
            <w:tcW w:w="1219" w:type="dxa"/>
            <w:tcBorders>
              <w:top w:val="single" w:sz="2" w:space="0" w:color="002279"/>
              <w:left w:val="single" w:sz="4" w:space="0" w:color="002279"/>
              <w:bottom w:val="single" w:sz="2" w:space="0" w:color="002279"/>
              <w:right w:val="single" w:sz="4" w:space="0" w:color="002279"/>
            </w:tcBorders>
            <w:shd w:val="clear" w:color="auto" w:fill="D4D6DF"/>
            <w:noWrap/>
            <w:vAlign w:val="center"/>
          </w:tcPr>
          <w:p w14:paraId="0F12EB09" w14:textId="30931853" w:rsidR="00FA0762" w:rsidRPr="00ED1414" w:rsidRDefault="008D5B22" w:rsidP="00C92AA3">
            <w:pPr>
              <w:jc w:val="center"/>
              <w:rPr>
                <w:rFonts w:cstheme="minorHAnsi"/>
                <w:sz w:val="18"/>
                <w:szCs w:val="18"/>
              </w:rPr>
            </w:pPr>
            <w:r w:rsidRPr="00ED1414">
              <w:rPr>
                <w:rFonts w:cs="Arial"/>
                <w:sz w:val="18"/>
                <w:szCs w:val="18"/>
              </w:rPr>
              <w:t>–</w:t>
            </w:r>
          </w:p>
        </w:tc>
        <w:tc>
          <w:tcPr>
            <w:tcW w:w="1219" w:type="dxa"/>
            <w:tcBorders>
              <w:top w:val="single" w:sz="2" w:space="0" w:color="002279"/>
              <w:left w:val="single" w:sz="4" w:space="0" w:color="002279"/>
              <w:bottom w:val="single" w:sz="2" w:space="0" w:color="002279"/>
              <w:right w:val="single" w:sz="4" w:space="0" w:color="002279"/>
            </w:tcBorders>
            <w:shd w:val="clear" w:color="auto" w:fill="D4D6DF"/>
            <w:noWrap/>
            <w:vAlign w:val="center"/>
          </w:tcPr>
          <w:p w14:paraId="63CF6C91" w14:textId="588DDD86" w:rsidR="00FA0762" w:rsidRPr="00ED1414" w:rsidRDefault="008D5B22" w:rsidP="00C92AA3">
            <w:pPr>
              <w:jc w:val="center"/>
              <w:rPr>
                <w:rFonts w:cstheme="minorHAnsi"/>
                <w:sz w:val="18"/>
                <w:szCs w:val="18"/>
              </w:rPr>
            </w:pPr>
            <w:r w:rsidRPr="00ED1414">
              <w:rPr>
                <w:rFonts w:cs="Arial"/>
                <w:sz w:val="18"/>
                <w:szCs w:val="18"/>
              </w:rPr>
              <w:t>–</w:t>
            </w:r>
          </w:p>
        </w:tc>
        <w:tc>
          <w:tcPr>
            <w:tcW w:w="1219" w:type="dxa"/>
            <w:tcBorders>
              <w:top w:val="single" w:sz="2" w:space="0" w:color="002279"/>
              <w:left w:val="single" w:sz="4" w:space="0" w:color="002279"/>
              <w:bottom w:val="single" w:sz="2" w:space="0" w:color="002279"/>
              <w:right w:val="single" w:sz="4" w:space="0" w:color="002279"/>
            </w:tcBorders>
            <w:shd w:val="clear" w:color="auto" w:fill="D4D6DF"/>
            <w:noWrap/>
            <w:vAlign w:val="center"/>
          </w:tcPr>
          <w:p w14:paraId="2784EEA3" w14:textId="7EDA27CA" w:rsidR="00FA0762" w:rsidRPr="00ED1414" w:rsidRDefault="008D5B22" w:rsidP="00C92AA3">
            <w:pPr>
              <w:jc w:val="center"/>
              <w:rPr>
                <w:rFonts w:cstheme="minorHAnsi"/>
                <w:sz w:val="18"/>
                <w:szCs w:val="18"/>
              </w:rPr>
            </w:pPr>
            <w:r w:rsidRPr="00ED1414">
              <w:rPr>
                <w:rFonts w:cs="Arial"/>
                <w:sz w:val="18"/>
                <w:szCs w:val="18"/>
              </w:rPr>
              <w:t>–</w:t>
            </w:r>
          </w:p>
        </w:tc>
        <w:tc>
          <w:tcPr>
            <w:tcW w:w="1219" w:type="dxa"/>
            <w:tcBorders>
              <w:top w:val="single" w:sz="2" w:space="0" w:color="002279"/>
              <w:left w:val="single" w:sz="4" w:space="0" w:color="002279"/>
              <w:bottom w:val="single" w:sz="2" w:space="0" w:color="002279"/>
              <w:right w:val="single" w:sz="4" w:space="0" w:color="002279"/>
            </w:tcBorders>
            <w:shd w:val="clear" w:color="auto" w:fill="D4D6DF"/>
            <w:noWrap/>
            <w:vAlign w:val="center"/>
          </w:tcPr>
          <w:p w14:paraId="31C3B5A3" w14:textId="25023547" w:rsidR="00FA0762" w:rsidRPr="00ED1414" w:rsidRDefault="008D5B22" w:rsidP="00C92AA3">
            <w:pPr>
              <w:jc w:val="center"/>
              <w:rPr>
                <w:rFonts w:cstheme="minorHAnsi"/>
                <w:sz w:val="18"/>
                <w:szCs w:val="18"/>
              </w:rPr>
            </w:pPr>
            <w:r w:rsidRPr="00ED1414">
              <w:rPr>
                <w:rFonts w:cs="Arial"/>
                <w:sz w:val="18"/>
                <w:szCs w:val="18"/>
              </w:rPr>
              <w:t>–</w:t>
            </w:r>
          </w:p>
        </w:tc>
        <w:tc>
          <w:tcPr>
            <w:tcW w:w="1219" w:type="dxa"/>
            <w:tcBorders>
              <w:top w:val="single" w:sz="2" w:space="0" w:color="002279"/>
              <w:left w:val="single" w:sz="4" w:space="0" w:color="002279"/>
              <w:bottom w:val="single" w:sz="2" w:space="0" w:color="002279"/>
              <w:right w:val="single" w:sz="4" w:space="0" w:color="002279"/>
            </w:tcBorders>
            <w:shd w:val="clear" w:color="auto" w:fill="D4D6DF"/>
            <w:noWrap/>
            <w:vAlign w:val="center"/>
          </w:tcPr>
          <w:p w14:paraId="3C1C0090" w14:textId="24D3FB2E" w:rsidR="00FA0762" w:rsidRPr="00ED1414" w:rsidRDefault="008D5B22" w:rsidP="00C92AA3">
            <w:pPr>
              <w:jc w:val="center"/>
              <w:rPr>
                <w:rFonts w:cstheme="minorHAnsi"/>
                <w:sz w:val="18"/>
                <w:szCs w:val="18"/>
              </w:rPr>
            </w:pPr>
            <w:r w:rsidRPr="00ED1414">
              <w:rPr>
                <w:rFonts w:cs="Arial"/>
                <w:sz w:val="18"/>
                <w:szCs w:val="18"/>
              </w:rPr>
              <w:t>–</w:t>
            </w:r>
          </w:p>
        </w:tc>
      </w:tr>
      <w:tr w:rsidR="00ED1414" w:rsidRPr="00ED1414" w14:paraId="6599BDD8" w14:textId="77777777" w:rsidTr="003F1732">
        <w:trPr>
          <w:cnfStyle w:val="000000010000" w:firstRow="0" w:lastRow="0" w:firstColumn="0" w:lastColumn="0" w:oddVBand="0" w:evenVBand="0" w:oddHBand="0" w:evenHBand="1" w:firstRowFirstColumn="0" w:firstRowLastColumn="0" w:lastRowFirstColumn="0" w:lastRowLastColumn="0"/>
          <w:trHeight w:val="452"/>
        </w:trPr>
        <w:tc>
          <w:tcPr>
            <w:tcW w:w="2132" w:type="dxa"/>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6EB9D8CC" w14:textId="0BA095AC" w:rsidR="00FA0762" w:rsidRPr="00ED1414" w:rsidRDefault="00FA0762" w:rsidP="00E57550">
            <w:pPr>
              <w:rPr>
                <w:rFonts w:ascii="Arial" w:hAnsi="Arial" w:cs="Arial"/>
                <w:sz w:val="18"/>
                <w:szCs w:val="18"/>
              </w:rPr>
            </w:pPr>
            <w:r w:rsidRPr="00ED1414">
              <w:rPr>
                <w:rFonts w:cs="Arial"/>
                <w:sz w:val="18"/>
                <w:szCs w:val="18"/>
              </w:rPr>
              <w:t xml:space="preserve">less </w:t>
            </w:r>
            <w:r w:rsidR="0010728B" w:rsidRPr="00ED1414">
              <w:rPr>
                <w:rFonts w:cs="Arial"/>
                <w:sz w:val="18"/>
                <w:szCs w:val="18"/>
              </w:rPr>
              <w:t>c</w:t>
            </w:r>
            <w:r w:rsidRPr="00ED1414">
              <w:rPr>
                <w:rFonts w:cs="Arial"/>
                <w:sz w:val="18"/>
                <w:szCs w:val="18"/>
              </w:rPr>
              <w:t>ustomer contributions</w:t>
            </w:r>
          </w:p>
        </w:tc>
        <w:tc>
          <w:tcPr>
            <w:tcW w:w="1219" w:type="dxa"/>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tcPr>
          <w:p w14:paraId="6ABEFF98" w14:textId="066BB5BC" w:rsidR="00FA0762" w:rsidRPr="00ED1414" w:rsidRDefault="00636D1C" w:rsidP="00C92AA3">
            <w:pPr>
              <w:jc w:val="center"/>
              <w:rPr>
                <w:rFonts w:cstheme="minorHAnsi"/>
                <w:sz w:val="18"/>
                <w:szCs w:val="18"/>
              </w:rPr>
            </w:pPr>
            <w:r w:rsidRPr="00ED1414">
              <w:rPr>
                <w:rFonts w:ascii="Arial" w:hAnsi="Arial" w:cs="Arial"/>
                <w:color w:val="000000"/>
                <w:sz w:val="18"/>
                <w:szCs w:val="18"/>
              </w:rPr>
              <w:t>33</w:t>
            </w:r>
            <w:r w:rsidR="009253E5" w:rsidRPr="00ED1414">
              <w:rPr>
                <w:rFonts w:ascii="Arial" w:hAnsi="Arial" w:cs="Arial"/>
                <w:color w:val="000000"/>
                <w:sz w:val="18"/>
                <w:szCs w:val="18"/>
              </w:rPr>
              <w:t>.25</w:t>
            </w:r>
          </w:p>
        </w:tc>
        <w:tc>
          <w:tcPr>
            <w:tcW w:w="1219" w:type="dxa"/>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tcPr>
          <w:p w14:paraId="3C60633A" w14:textId="255251F7" w:rsidR="00FA0762" w:rsidRPr="00ED1414" w:rsidRDefault="009253E5" w:rsidP="00C92AA3">
            <w:pPr>
              <w:jc w:val="center"/>
              <w:rPr>
                <w:rFonts w:cstheme="minorHAnsi"/>
                <w:sz w:val="18"/>
                <w:szCs w:val="18"/>
              </w:rPr>
            </w:pPr>
            <w:r w:rsidRPr="00ED1414">
              <w:rPr>
                <w:rFonts w:ascii="Arial" w:hAnsi="Arial" w:cs="Arial"/>
                <w:color w:val="000000"/>
                <w:sz w:val="18"/>
                <w:szCs w:val="18"/>
              </w:rPr>
              <w:t>34.71</w:t>
            </w:r>
          </w:p>
        </w:tc>
        <w:tc>
          <w:tcPr>
            <w:tcW w:w="1219" w:type="dxa"/>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tcPr>
          <w:p w14:paraId="58CB8F52" w14:textId="619441B7" w:rsidR="00FA0762" w:rsidRPr="00ED1414" w:rsidRDefault="00636D1C" w:rsidP="00C92AA3">
            <w:pPr>
              <w:jc w:val="center"/>
              <w:rPr>
                <w:rFonts w:cstheme="minorHAnsi"/>
                <w:sz w:val="18"/>
                <w:szCs w:val="18"/>
              </w:rPr>
            </w:pPr>
            <w:r w:rsidRPr="00ED1414">
              <w:rPr>
                <w:rFonts w:ascii="Arial" w:hAnsi="Arial" w:cs="Arial"/>
                <w:color w:val="000000"/>
                <w:sz w:val="18"/>
                <w:szCs w:val="18"/>
              </w:rPr>
              <w:t>36</w:t>
            </w:r>
            <w:r w:rsidR="009253E5" w:rsidRPr="00ED1414">
              <w:rPr>
                <w:rFonts w:ascii="Arial" w:hAnsi="Arial" w:cs="Arial"/>
                <w:color w:val="000000"/>
                <w:sz w:val="18"/>
                <w:szCs w:val="18"/>
              </w:rPr>
              <w:t>.47</w:t>
            </w:r>
          </w:p>
        </w:tc>
        <w:tc>
          <w:tcPr>
            <w:tcW w:w="1219" w:type="dxa"/>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tcPr>
          <w:p w14:paraId="1446222C" w14:textId="05A4B9E5" w:rsidR="00FA0762" w:rsidRPr="00ED1414" w:rsidRDefault="009253E5" w:rsidP="00C92AA3">
            <w:pPr>
              <w:jc w:val="center"/>
              <w:rPr>
                <w:rFonts w:cstheme="minorHAnsi"/>
                <w:sz w:val="18"/>
                <w:szCs w:val="18"/>
              </w:rPr>
            </w:pPr>
            <w:r w:rsidRPr="00ED1414">
              <w:rPr>
                <w:rFonts w:ascii="Arial" w:hAnsi="Arial" w:cs="Arial"/>
                <w:color w:val="000000"/>
                <w:sz w:val="18"/>
                <w:szCs w:val="18"/>
              </w:rPr>
              <w:t>45.94</w:t>
            </w:r>
          </w:p>
        </w:tc>
        <w:tc>
          <w:tcPr>
            <w:tcW w:w="1219" w:type="dxa"/>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tcPr>
          <w:p w14:paraId="61999C3E" w14:textId="055042BB" w:rsidR="00FA0762" w:rsidRPr="00ED1414" w:rsidRDefault="00636D1C" w:rsidP="00C92AA3">
            <w:pPr>
              <w:jc w:val="center"/>
              <w:rPr>
                <w:rFonts w:cstheme="minorHAnsi"/>
                <w:sz w:val="18"/>
                <w:szCs w:val="18"/>
              </w:rPr>
            </w:pPr>
            <w:r w:rsidRPr="00ED1414">
              <w:rPr>
                <w:rFonts w:ascii="Arial" w:hAnsi="Arial" w:cs="Arial"/>
                <w:color w:val="000000"/>
                <w:sz w:val="18"/>
                <w:szCs w:val="18"/>
              </w:rPr>
              <w:t>48</w:t>
            </w:r>
            <w:r w:rsidR="009253E5" w:rsidRPr="00ED1414">
              <w:rPr>
                <w:rFonts w:ascii="Arial" w:hAnsi="Arial" w:cs="Arial"/>
                <w:color w:val="000000"/>
                <w:sz w:val="18"/>
                <w:szCs w:val="18"/>
              </w:rPr>
              <w:t>.04</w:t>
            </w:r>
          </w:p>
        </w:tc>
        <w:tc>
          <w:tcPr>
            <w:tcW w:w="1219" w:type="dxa"/>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tcPr>
          <w:p w14:paraId="5D0BE172" w14:textId="30354825" w:rsidR="00FA0762" w:rsidRPr="00ED1414" w:rsidRDefault="009253E5" w:rsidP="00C92AA3">
            <w:pPr>
              <w:jc w:val="center"/>
              <w:rPr>
                <w:rFonts w:cstheme="minorHAnsi"/>
                <w:sz w:val="18"/>
                <w:szCs w:val="18"/>
              </w:rPr>
            </w:pPr>
            <w:r w:rsidRPr="00ED1414">
              <w:rPr>
                <w:rFonts w:ascii="Arial" w:hAnsi="Arial" w:cs="Arial"/>
                <w:color w:val="000000"/>
                <w:sz w:val="18"/>
                <w:szCs w:val="18"/>
              </w:rPr>
              <w:t>54.81</w:t>
            </w:r>
          </w:p>
        </w:tc>
        <w:tc>
          <w:tcPr>
            <w:tcW w:w="1219" w:type="dxa"/>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tcPr>
          <w:p w14:paraId="2BD4B3F9" w14:textId="10A87886" w:rsidR="00FA0762" w:rsidRPr="00ED1414" w:rsidRDefault="009253E5" w:rsidP="00C92AA3">
            <w:pPr>
              <w:jc w:val="center"/>
              <w:rPr>
                <w:rFonts w:cstheme="minorHAnsi"/>
                <w:sz w:val="18"/>
                <w:szCs w:val="18"/>
              </w:rPr>
            </w:pPr>
            <w:r w:rsidRPr="00ED1414">
              <w:rPr>
                <w:rFonts w:ascii="Arial" w:hAnsi="Arial" w:cs="Arial"/>
                <w:color w:val="000000"/>
                <w:sz w:val="18"/>
                <w:szCs w:val="18"/>
              </w:rPr>
              <w:t>54.84</w:t>
            </w:r>
          </w:p>
        </w:tc>
        <w:tc>
          <w:tcPr>
            <w:tcW w:w="1219" w:type="dxa"/>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tcPr>
          <w:p w14:paraId="1A091DF8" w14:textId="5432C60B" w:rsidR="00FA0762" w:rsidRPr="00ED1414" w:rsidRDefault="009253E5" w:rsidP="00C92AA3">
            <w:pPr>
              <w:jc w:val="center"/>
              <w:rPr>
                <w:rFonts w:cstheme="minorHAnsi"/>
                <w:sz w:val="18"/>
                <w:szCs w:val="18"/>
              </w:rPr>
            </w:pPr>
            <w:r w:rsidRPr="00ED1414">
              <w:rPr>
                <w:rFonts w:ascii="Arial" w:hAnsi="Arial" w:cs="Arial"/>
                <w:color w:val="000000"/>
                <w:sz w:val="18"/>
                <w:szCs w:val="18"/>
              </w:rPr>
              <w:t>54.88</w:t>
            </w:r>
          </w:p>
        </w:tc>
        <w:tc>
          <w:tcPr>
            <w:tcW w:w="1219" w:type="dxa"/>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tcPr>
          <w:p w14:paraId="6ACF63A5" w14:textId="68287E7B" w:rsidR="00FA0762" w:rsidRPr="00ED1414" w:rsidRDefault="00636D1C" w:rsidP="00C92AA3">
            <w:pPr>
              <w:jc w:val="center"/>
              <w:rPr>
                <w:rFonts w:cstheme="minorHAnsi"/>
                <w:sz w:val="18"/>
                <w:szCs w:val="18"/>
              </w:rPr>
            </w:pPr>
            <w:r w:rsidRPr="00ED1414">
              <w:rPr>
                <w:rFonts w:ascii="Arial" w:hAnsi="Arial" w:cs="Arial"/>
                <w:color w:val="000000"/>
                <w:sz w:val="18"/>
                <w:szCs w:val="18"/>
              </w:rPr>
              <w:t>54</w:t>
            </w:r>
            <w:r w:rsidR="009253E5" w:rsidRPr="00ED1414">
              <w:rPr>
                <w:rFonts w:ascii="Arial" w:hAnsi="Arial" w:cs="Arial"/>
                <w:color w:val="000000"/>
                <w:sz w:val="18"/>
                <w:szCs w:val="18"/>
              </w:rPr>
              <w:t>.17</w:t>
            </w:r>
          </w:p>
        </w:tc>
        <w:tc>
          <w:tcPr>
            <w:tcW w:w="1219" w:type="dxa"/>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tcPr>
          <w:p w14:paraId="312EA5C1" w14:textId="4D0F8D89" w:rsidR="00FA0762" w:rsidRPr="00ED1414" w:rsidRDefault="00636D1C" w:rsidP="00C92AA3">
            <w:pPr>
              <w:jc w:val="center"/>
              <w:rPr>
                <w:rFonts w:cstheme="minorHAnsi"/>
                <w:sz w:val="18"/>
                <w:szCs w:val="18"/>
              </w:rPr>
            </w:pPr>
            <w:r w:rsidRPr="00ED1414">
              <w:rPr>
                <w:rFonts w:ascii="Arial" w:hAnsi="Arial" w:cs="Arial"/>
                <w:color w:val="000000"/>
                <w:sz w:val="18"/>
                <w:szCs w:val="18"/>
              </w:rPr>
              <w:t>54</w:t>
            </w:r>
            <w:r w:rsidR="009253E5" w:rsidRPr="00ED1414">
              <w:rPr>
                <w:rFonts w:ascii="Arial" w:hAnsi="Arial" w:cs="Arial"/>
                <w:color w:val="000000"/>
                <w:sz w:val="18"/>
                <w:szCs w:val="18"/>
              </w:rPr>
              <w:t>.20</w:t>
            </w:r>
          </w:p>
        </w:tc>
      </w:tr>
      <w:tr w:rsidR="00ED1414" w:rsidRPr="00ED1414" w14:paraId="0962E0D9" w14:textId="77777777" w:rsidTr="003F1732">
        <w:trPr>
          <w:cnfStyle w:val="000000100000" w:firstRow="0" w:lastRow="0" w:firstColumn="0" w:lastColumn="0" w:oddVBand="0" w:evenVBand="0" w:oddHBand="1" w:evenHBand="0" w:firstRowFirstColumn="0" w:firstRowLastColumn="0" w:lastRowFirstColumn="0" w:lastRowLastColumn="0"/>
          <w:trHeight w:val="452"/>
        </w:trPr>
        <w:tc>
          <w:tcPr>
            <w:tcW w:w="2132" w:type="dxa"/>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73B612C0" w14:textId="1A8E9D9F" w:rsidR="00FA0762" w:rsidRPr="00ED1414" w:rsidRDefault="00FA0762" w:rsidP="00E57550">
            <w:pPr>
              <w:rPr>
                <w:rFonts w:ascii="Arial" w:hAnsi="Arial" w:cs="Arial"/>
                <w:sz w:val="18"/>
                <w:szCs w:val="18"/>
              </w:rPr>
            </w:pPr>
            <w:r w:rsidRPr="00ED1414">
              <w:rPr>
                <w:rFonts w:cs="Arial"/>
                <w:sz w:val="18"/>
                <w:szCs w:val="18"/>
              </w:rPr>
              <w:t xml:space="preserve">less </w:t>
            </w:r>
            <w:r w:rsidR="0010728B" w:rsidRPr="00ED1414">
              <w:rPr>
                <w:rFonts w:cs="Arial"/>
                <w:sz w:val="18"/>
                <w:szCs w:val="18"/>
              </w:rPr>
              <w:t>p</w:t>
            </w:r>
            <w:r w:rsidRPr="00ED1414">
              <w:rPr>
                <w:rFonts w:cs="Arial"/>
                <w:sz w:val="18"/>
                <w:szCs w:val="18"/>
              </w:rPr>
              <w:t>roceeds from disposals</w:t>
            </w:r>
          </w:p>
        </w:tc>
        <w:tc>
          <w:tcPr>
            <w:tcW w:w="1219" w:type="dxa"/>
            <w:tcBorders>
              <w:top w:val="single" w:sz="2" w:space="0" w:color="002279"/>
              <w:left w:val="single" w:sz="4" w:space="0" w:color="002279"/>
              <w:bottom w:val="single" w:sz="2" w:space="0" w:color="002279"/>
              <w:right w:val="single" w:sz="4" w:space="0" w:color="002279"/>
            </w:tcBorders>
            <w:shd w:val="clear" w:color="auto" w:fill="D4D6DF"/>
            <w:noWrap/>
            <w:vAlign w:val="center"/>
          </w:tcPr>
          <w:p w14:paraId="2AFA3D12" w14:textId="2C976B31" w:rsidR="00FA0762" w:rsidRPr="00ED1414" w:rsidRDefault="009253E5" w:rsidP="00C92AA3">
            <w:pPr>
              <w:jc w:val="center"/>
              <w:rPr>
                <w:rFonts w:cstheme="minorHAnsi"/>
                <w:sz w:val="18"/>
                <w:szCs w:val="18"/>
              </w:rPr>
            </w:pPr>
            <w:r w:rsidRPr="00ED1414">
              <w:rPr>
                <w:rFonts w:ascii="Arial" w:hAnsi="Arial" w:cs="Arial"/>
                <w:color w:val="000000"/>
                <w:sz w:val="18"/>
                <w:szCs w:val="18"/>
              </w:rPr>
              <w:t>1.89</w:t>
            </w:r>
          </w:p>
        </w:tc>
        <w:tc>
          <w:tcPr>
            <w:tcW w:w="1219" w:type="dxa"/>
            <w:tcBorders>
              <w:top w:val="single" w:sz="2" w:space="0" w:color="002279"/>
              <w:left w:val="single" w:sz="4" w:space="0" w:color="002279"/>
              <w:bottom w:val="single" w:sz="2" w:space="0" w:color="002279"/>
              <w:right w:val="single" w:sz="4" w:space="0" w:color="002279"/>
            </w:tcBorders>
            <w:shd w:val="clear" w:color="auto" w:fill="D4D6DF"/>
            <w:noWrap/>
            <w:vAlign w:val="center"/>
          </w:tcPr>
          <w:p w14:paraId="5D05B5FA" w14:textId="11D43E91" w:rsidR="00FA0762" w:rsidRPr="00ED1414" w:rsidRDefault="009253E5" w:rsidP="00C92AA3">
            <w:pPr>
              <w:jc w:val="center"/>
              <w:rPr>
                <w:rFonts w:cstheme="minorHAnsi"/>
                <w:sz w:val="18"/>
                <w:szCs w:val="18"/>
              </w:rPr>
            </w:pPr>
            <w:r w:rsidRPr="00ED1414">
              <w:rPr>
                <w:rFonts w:ascii="Arial" w:hAnsi="Arial" w:cs="Arial"/>
                <w:color w:val="000000"/>
                <w:sz w:val="18"/>
                <w:szCs w:val="18"/>
              </w:rPr>
              <w:t>1.89</w:t>
            </w:r>
          </w:p>
        </w:tc>
        <w:tc>
          <w:tcPr>
            <w:tcW w:w="1219" w:type="dxa"/>
            <w:tcBorders>
              <w:top w:val="single" w:sz="2" w:space="0" w:color="002279"/>
              <w:left w:val="single" w:sz="4" w:space="0" w:color="002279"/>
              <w:bottom w:val="single" w:sz="2" w:space="0" w:color="002279"/>
              <w:right w:val="single" w:sz="4" w:space="0" w:color="002279"/>
            </w:tcBorders>
            <w:shd w:val="clear" w:color="auto" w:fill="D4D6DF"/>
            <w:noWrap/>
            <w:vAlign w:val="center"/>
          </w:tcPr>
          <w:p w14:paraId="3F231AE0" w14:textId="04BB2035" w:rsidR="00FA0762" w:rsidRPr="00ED1414" w:rsidRDefault="009253E5" w:rsidP="00C92AA3">
            <w:pPr>
              <w:jc w:val="center"/>
              <w:rPr>
                <w:rFonts w:cstheme="minorHAnsi"/>
                <w:sz w:val="18"/>
                <w:szCs w:val="18"/>
              </w:rPr>
            </w:pPr>
            <w:r w:rsidRPr="00ED1414">
              <w:rPr>
                <w:rFonts w:ascii="Arial" w:hAnsi="Arial" w:cs="Arial"/>
                <w:color w:val="000000"/>
                <w:sz w:val="18"/>
                <w:szCs w:val="18"/>
              </w:rPr>
              <w:t>1.89</w:t>
            </w:r>
          </w:p>
        </w:tc>
        <w:tc>
          <w:tcPr>
            <w:tcW w:w="1219" w:type="dxa"/>
            <w:tcBorders>
              <w:top w:val="single" w:sz="2" w:space="0" w:color="002279"/>
              <w:left w:val="single" w:sz="4" w:space="0" w:color="002279"/>
              <w:bottom w:val="single" w:sz="2" w:space="0" w:color="002279"/>
              <w:right w:val="single" w:sz="4" w:space="0" w:color="002279"/>
            </w:tcBorders>
            <w:shd w:val="clear" w:color="auto" w:fill="D4D6DF"/>
            <w:noWrap/>
            <w:vAlign w:val="center"/>
          </w:tcPr>
          <w:p w14:paraId="40CAE229" w14:textId="40F0FB92" w:rsidR="00FA0762" w:rsidRPr="00ED1414" w:rsidRDefault="009253E5" w:rsidP="00C92AA3">
            <w:pPr>
              <w:jc w:val="center"/>
              <w:rPr>
                <w:rFonts w:cstheme="minorHAnsi"/>
                <w:sz w:val="18"/>
                <w:szCs w:val="18"/>
              </w:rPr>
            </w:pPr>
            <w:r w:rsidRPr="00ED1414">
              <w:rPr>
                <w:rFonts w:ascii="Arial" w:hAnsi="Arial" w:cs="Arial"/>
                <w:color w:val="000000"/>
                <w:sz w:val="18"/>
                <w:szCs w:val="18"/>
              </w:rPr>
              <w:t>1.89</w:t>
            </w:r>
          </w:p>
        </w:tc>
        <w:tc>
          <w:tcPr>
            <w:tcW w:w="1219" w:type="dxa"/>
            <w:tcBorders>
              <w:top w:val="single" w:sz="2" w:space="0" w:color="002279"/>
              <w:left w:val="single" w:sz="4" w:space="0" w:color="002279"/>
              <w:bottom w:val="single" w:sz="2" w:space="0" w:color="002279"/>
              <w:right w:val="single" w:sz="4" w:space="0" w:color="002279"/>
            </w:tcBorders>
            <w:shd w:val="clear" w:color="auto" w:fill="D4D6DF"/>
            <w:noWrap/>
            <w:vAlign w:val="center"/>
          </w:tcPr>
          <w:p w14:paraId="4253101E" w14:textId="48038465" w:rsidR="00FA0762" w:rsidRPr="00ED1414" w:rsidRDefault="009253E5" w:rsidP="00C92AA3">
            <w:pPr>
              <w:jc w:val="center"/>
              <w:rPr>
                <w:rFonts w:cstheme="minorHAnsi"/>
                <w:sz w:val="18"/>
                <w:szCs w:val="18"/>
              </w:rPr>
            </w:pPr>
            <w:r w:rsidRPr="00ED1414">
              <w:rPr>
                <w:rFonts w:ascii="Arial" w:hAnsi="Arial" w:cs="Arial"/>
                <w:color w:val="000000"/>
                <w:sz w:val="18"/>
                <w:szCs w:val="18"/>
              </w:rPr>
              <w:t>1.89</w:t>
            </w:r>
          </w:p>
        </w:tc>
        <w:tc>
          <w:tcPr>
            <w:tcW w:w="1219" w:type="dxa"/>
            <w:tcBorders>
              <w:top w:val="single" w:sz="2" w:space="0" w:color="002279"/>
              <w:left w:val="single" w:sz="4" w:space="0" w:color="002279"/>
              <w:bottom w:val="single" w:sz="2" w:space="0" w:color="002279"/>
              <w:right w:val="single" w:sz="4" w:space="0" w:color="002279"/>
            </w:tcBorders>
            <w:shd w:val="clear" w:color="auto" w:fill="D4D6DF"/>
            <w:noWrap/>
            <w:vAlign w:val="center"/>
          </w:tcPr>
          <w:p w14:paraId="079E24D8" w14:textId="3C5A5286" w:rsidR="00FA0762" w:rsidRPr="00ED1414" w:rsidRDefault="009253E5" w:rsidP="00C92AA3">
            <w:pPr>
              <w:jc w:val="center"/>
              <w:rPr>
                <w:rFonts w:cstheme="minorHAnsi"/>
                <w:sz w:val="18"/>
                <w:szCs w:val="18"/>
              </w:rPr>
            </w:pPr>
            <w:r w:rsidRPr="00ED1414">
              <w:rPr>
                <w:rFonts w:ascii="Arial" w:hAnsi="Arial" w:cs="Arial"/>
                <w:color w:val="000000"/>
                <w:sz w:val="18"/>
                <w:szCs w:val="18"/>
              </w:rPr>
              <w:t>1.89</w:t>
            </w:r>
          </w:p>
        </w:tc>
        <w:tc>
          <w:tcPr>
            <w:tcW w:w="1219" w:type="dxa"/>
            <w:tcBorders>
              <w:top w:val="single" w:sz="2" w:space="0" w:color="002279"/>
              <w:left w:val="single" w:sz="4" w:space="0" w:color="002279"/>
              <w:bottom w:val="single" w:sz="2" w:space="0" w:color="002279"/>
              <w:right w:val="single" w:sz="4" w:space="0" w:color="002279"/>
            </w:tcBorders>
            <w:shd w:val="clear" w:color="auto" w:fill="D4D6DF"/>
            <w:noWrap/>
            <w:vAlign w:val="center"/>
          </w:tcPr>
          <w:p w14:paraId="58F8330E" w14:textId="1A3E4837" w:rsidR="00FA0762" w:rsidRPr="00ED1414" w:rsidRDefault="009253E5" w:rsidP="00C92AA3">
            <w:pPr>
              <w:jc w:val="center"/>
              <w:rPr>
                <w:rFonts w:cstheme="minorHAnsi"/>
                <w:sz w:val="18"/>
                <w:szCs w:val="18"/>
              </w:rPr>
            </w:pPr>
            <w:r w:rsidRPr="00ED1414">
              <w:rPr>
                <w:rFonts w:ascii="Arial" w:hAnsi="Arial" w:cs="Arial"/>
                <w:color w:val="000000"/>
                <w:sz w:val="18"/>
                <w:szCs w:val="18"/>
              </w:rPr>
              <w:t>1.89</w:t>
            </w:r>
          </w:p>
        </w:tc>
        <w:tc>
          <w:tcPr>
            <w:tcW w:w="1219" w:type="dxa"/>
            <w:tcBorders>
              <w:top w:val="single" w:sz="2" w:space="0" w:color="002279"/>
              <w:left w:val="single" w:sz="4" w:space="0" w:color="002279"/>
              <w:bottom w:val="single" w:sz="2" w:space="0" w:color="002279"/>
              <w:right w:val="single" w:sz="4" w:space="0" w:color="002279"/>
            </w:tcBorders>
            <w:shd w:val="clear" w:color="auto" w:fill="D4D6DF"/>
            <w:noWrap/>
            <w:vAlign w:val="center"/>
          </w:tcPr>
          <w:p w14:paraId="44CB8FF4" w14:textId="5AE1F6EF" w:rsidR="00FA0762" w:rsidRPr="00ED1414" w:rsidRDefault="009253E5" w:rsidP="00C92AA3">
            <w:pPr>
              <w:jc w:val="center"/>
              <w:rPr>
                <w:rFonts w:cstheme="minorHAnsi"/>
                <w:sz w:val="18"/>
                <w:szCs w:val="18"/>
              </w:rPr>
            </w:pPr>
            <w:r w:rsidRPr="00ED1414">
              <w:rPr>
                <w:rFonts w:ascii="Arial" w:hAnsi="Arial" w:cs="Arial"/>
                <w:color w:val="000000"/>
                <w:sz w:val="18"/>
                <w:szCs w:val="18"/>
              </w:rPr>
              <w:t>1.89</w:t>
            </w:r>
          </w:p>
        </w:tc>
        <w:tc>
          <w:tcPr>
            <w:tcW w:w="1219" w:type="dxa"/>
            <w:tcBorders>
              <w:top w:val="single" w:sz="2" w:space="0" w:color="002279"/>
              <w:left w:val="single" w:sz="4" w:space="0" w:color="002279"/>
              <w:bottom w:val="single" w:sz="2" w:space="0" w:color="002279"/>
              <w:right w:val="single" w:sz="4" w:space="0" w:color="002279"/>
            </w:tcBorders>
            <w:shd w:val="clear" w:color="auto" w:fill="D4D6DF"/>
            <w:noWrap/>
            <w:vAlign w:val="center"/>
          </w:tcPr>
          <w:p w14:paraId="505E64BF" w14:textId="6F9656B7" w:rsidR="00FA0762" w:rsidRPr="00ED1414" w:rsidRDefault="009253E5" w:rsidP="00C92AA3">
            <w:pPr>
              <w:jc w:val="center"/>
              <w:rPr>
                <w:rFonts w:cstheme="minorHAnsi"/>
                <w:sz w:val="18"/>
                <w:szCs w:val="18"/>
              </w:rPr>
            </w:pPr>
            <w:r w:rsidRPr="00ED1414">
              <w:rPr>
                <w:rFonts w:ascii="Arial" w:hAnsi="Arial" w:cs="Arial"/>
                <w:color w:val="000000"/>
                <w:sz w:val="18"/>
                <w:szCs w:val="18"/>
              </w:rPr>
              <w:t>1.89</w:t>
            </w:r>
          </w:p>
        </w:tc>
        <w:tc>
          <w:tcPr>
            <w:tcW w:w="1219" w:type="dxa"/>
            <w:tcBorders>
              <w:top w:val="single" w:sz="2" w:space="0" w:color="002279"/>
              <w:left w:val="single" w:sz="4" w:space="0" w:color="002279"/>
              <w:bottom w:val="single" w:sz="2" w:space="0" w:color="002279"/>
              <w:right w:val="single" w:sz="4" w:space="0" w:color="002279"/>
            </w:tcBorders>
            <w:shd w:val="clear" w:color="auto" w:fill="D4D6DF"/>
            <w:noWrap/>
            <w:vAlign w:val="center"/>
          </w:tcPr>
          <w:p w14:paraId="504BDCCF" w14:textId="3E34C403" w:rsidR="00FA0762" w:rsidRPr="00ED1414" w:rsidRDefault="009253E5" w:rsidP="00C92AA3">
            <w:pPr>
              <w:jc w:val="center"/>
              <w:rPr>
                <w:rFonts w:cstheme="minorHAnsi"/>
                <w:sz w:val="18"/>
                <w:szCs w:val="18"/>
              </w:rPr>
            </w:pPr>
            <w:r w:rsidRPr="00ED1414">
              <w:rPr>
                <w:rFonts w:ascii="Arial" w:hAnsi="Arial" w:cs="Arial"/>
                <w:color w:val="000000"/>
                <w:sz w:val="18"/>
                <w:szCs w:val="18"/>
              </w:rPr>
              <w:t>1.89</w:t>
            </w:r>
          </w:p>
        </w:tc>
      </w:tr>
      <w:tr w:rsidR="00ED1414" w:rsidRPr="00ED1414" w14:paraId="067A7408" w14:textId="77777777" w:rsidTr="003F1732">
        <w:trPr>
          <w:cnfStyle w:val="000000010000" w:firstRow="0" w:lastRow="0" w:firstColumn="0" w:lastColumn="0" w:oddVBand="0" w:evenVBand="0" w:oddHBand="0" w:evenHBand="1" w:firstRowFirstColumn="0" w:firstRowLastColumn="0" w:lastRowFirstColumn="0" w:lastRowLastColumn="0"/>
          <w:trHeight w:val="452"/>
        </w:trPr>
        <w:tc>
          <w:tcPr>
            <w:tcW w:w="2132" w:type="dxa"/>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31588AAC" w14:textId="6D332160" w:rsidR="00FA0762" w:rsidRPr="00ED1414" w:rsidRDefault="00FA0762" w:rsidP="00E57550">
            <w:pPr>
              <w:rPr>
                <w:rFonts w:ascii="Arial" w:hAnsi="Arial" w:cs="Arial"/>
                <w:sz w:val="18"/>
                <w:szCs w:val="18"/>
              </w:rPr>
            </w:pPr>
            <w:r w:rsidRPr="00ED1414">
              <w:rPr>
                <w:rFonts w:cs="Arial"/>
                <w:sz w:val="18"/>
                <w:szCs w:val="18"/>
              </w:rPr>
              <w:t xml:space="preserve">less </w:t>
            </w:r>
            <w:r w:rsidR="0010728B" w:rsidRPr="00ED1414">
              <w:rPr>
                <w:rFonts w:cs="Arial"/>
                <w:sz w:val="18"/>
                <w:szCs w:val="18"/>
              </w:rPr>
              <w:t>r</w:t>
            </w:r>
            <w:r w:rsidRPr="00ED1414">
              <w:rPr>
                <w:rFonts w:cs="Arial"/>
                <w:sz w:val="18"/>
                <w:szCs w:val="18"/>
              </w:rPr>
              <w:t>egulatory depreciation</w:t>
            </w:r>
          </w:p>
        </w:tc>
        <w:tc>
          <w:tcPr>
            <w:tcW w:w="1219" w:type="dxa"/>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tcPr>
          <w:p w14:paraId="2CCCB7E9" w14:textId="1FC975EE" w:rsidR="00FA0762" w:rsidRPr="00ED1414" w:rsidRDefault="00C046C4" w:rsidP="00C92AA3">
            <w:pPr>
              <w:jc w:val="center"/>
              <w:rPr>
                <w:rFonts w:cstheme="minorHAnsi"/>
                <w:sz w:val="18"/>
                <w:szCs w:val="18"/>
              </w:rPr>
            </w:pPr>
            <w:r w:rsidRPr="00ED1414">
              <w:rPr>
                <w:rFonts w:ascii="Arial" w:hAnsi="Arial" w:cs="Arial"/>
                <w:color w:val="000000"/>
                <w:sz w:val="18"/>
                <w:szCs w:val="18"/>
              </w:rPr>
              <w:t>121</w:t>
            </w:r>
            <w:r w:rsidR="009253E5" w:rsidRPr="00ED1414">
              <w:rPr>
                <w:rFonts w:ascii="Arial" w:hAnsi="Arial" w:cs="Arial"/>
                <w:color w:val="000000"/>
                <w:sz w:val="18"/>
                <w:szCs w:val="18"/>
              </w:rPr>
              <w:t>.</w:t>
            </w:r>
            <w:r w:rsidR="008D5B22" w:rsidRPr="00ED1414">
              <w:rPr>
                <w:rFonts w:ascii="Arial" w:hAnsi="Arial" w:cs="Arial"/>
                <w:color w:val="000000"/>
                <w:sz w:val="18"/>
                <w:szCs w:val="18"/>
              </w:rPr>
              <w:t>28</w:t>
            </w:r>
          </w:p>
        </w:tc>
        <w:tc>
          <w:tcPr>
            <w:tcW w:w="1219" w:type="dxa"/>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tcPr>
          <w:p w14:paraId="44B82DCD" w14:textId="26913E2E" w:rsidR="00FA0762" w:rsidRPr="00ED1414" w:rsidRDefault="00C046C4" w:rsidP="00C92AA3">
            <w:pPr>
              <w:jc w:val="center"/>
              <w:rPr>
                <w:rFonts w:cstheme="minorHAnsi"/>
                <w:sz w:val="18"/>
                <w:szCs w:val="18"/>
              </w:rPr>
            </w:pPr>
            <w:r w:rsidRPr="00ED1414">
              <w:rPr>
                <w:rFonts w:ascii="Arial" w:hAnsi="Arial" w:cs="Arial"/>
                <w:color w:val="000000"/>
                <w:sz w:val="18"/>
                <w:szCs w:val="18"/>
              </w:rPr>
              <w:t>111</w:t>
            </w:r>
            <w:r w:rsidR="009253E5" w:rsidRPr="00ED1414">
              <w:rPr>
                <w:rFonts w:ascii="Arial" w:hAnsi="Arial" w:cs="Arial"/>
                <w:color w:val="000000"/>
                <w:sz w:val="18"/>
                <w:szCs w:val="18"/>
              </w:rPr>
              <w:t>.</w:t>
            </w:r>
            <w:r w:rsidR="008D5B22" w:rsidRPr="00ED1414">
              <w:rPr>
                <w:rFonts w:ascii="Arial" w:hAnsi="Arial" w:cs="Arial"/>
                <w:color w:val="000000"/>
                <w:sz w:val="18"/>
                <w:szCs w:val="18"/>
              </w:rPr>
              <w:t>38</w:t>
            </w:r>
          </w:p>
        </w:tc>
        <w:tc>
          <w:tcPr>
            <w:tcW w:w="1219" w:type="dxa"/>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tcPr>
          <w:p w14:paraId="68C1E83D" w14:textId="1F528072" w:rsidR="00FA0762" w:rsidRPr="00ED1414" w:rsidRDefault="009253E5" w:rsidP="00C92AA3">
            <w:pPr>
              <w:jc w:val="center"/>
              <w:rPr>
                <w:rFonts w:cstheme="minorHAnsi"/>
                <w:sz w:val="18"/>
                <w:szCs w:val="18"/>
              </w:rPr>
            </w:pPr>
            <w:r w:rsidRPr="00ED1414">
              <w:rPr>
                <w:rFonts w:ascii="Arial" w:hAnsi="Arial" w:cs="Arial"/>
                <w:color w:val="000000"/>
                <w:sz w:val="18"/>
                <w:szCs w:val="18"/>
              </w:rPr>
              <w:t>106.</w:t>
            </w:r>
            <w:r w:rsidR="008D5B22" w:rsidRPr="00ED1414">
              <w:rPr>
                <w:rFonts w:ascii="Arial" w:hAnsi="Arial" w:cs="Arial"/>
                <w:color w:val="000000"/>
                <w:sz w:val="18"/>
                <w:szCs w:val="18"/>
              </w:rPr>
              <w:t>82</w:t>
            </w:r>
          </w:p>
        </w:tc>
        <w:tc>
          <w:tcPr>
            <w:tcW w:w="1219" w:type="dxa"/>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tcPr>
          <w:p w14:paraId="71F75309" w14:textId="6583501F" w:rsidR="00FA0762" w:rsidRPr="00ED1414" w:rsidRDefault="009253E5" w:rsidP="00C92AA3">
            <w:pPr>
              <w:jc w:val="center"/>
              <w:rPr>
                <w:rFonts w:cstheme="minorHAnsi"/>
                <w:sz w:val="18"/>
                <w:szCs w:val="18"/>
              </w:rPr>
            </w:pPr>
            <w:r w:rsidRPr="00ED1414">
              <w:rPr>
                <w:rFonts w:ascii="Arial" w:hAnsi="Arial" w:cs="Arial"/>
                <w:color w:val="000000"/>
                <w:sz w:val="18"/>
                <w:szCs w:val="18"/>
              </w:rPr>
              <w:t>112.</w:t>
            </w:r>
            <w:r w:rsidR="008D5B22" w:rsidRPr="00ED1414">
              <w:rPr>
                <w:rFonts w:ascii="Arial" w:hAnsi="Arial" w:cs="Arial"/>
                <w:color w:val="000000"/>
                <w:sz w:val="18"/>
                <w:szCs w:val="18"/>
              </w:rPr>
              <w:t>66</w:t>
            </w:r>
          </w:p>
        </w:tc>
        <w:tc>
          <w:tcPr>
            <w:tcW w:w="1219" w:type="dxa"/>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tcPr>
          <w:p w14:paraId="3839692C" w14:textId="6235AA2C" w:rsidR="00FA0762" w:rsidRPr="00ED1414" w:rsidRDefault="009253E5" w:rsidP="00C92AA3">
            <w:pPr>
              <w:jc w:val="center"/>
              <w:rPr>
                <w:rFonts w:cstheme="minorHAnsi"/>
                <w:sz w:val="18"/>
                <w:szCs w:val="18"/>
              </w:rPr>
            </w:pPr>
            <w:r w:rsidRPr="00ED1414">
              <w:rPr>
                <w:rFonts w:ascii="Arial" w:hAnsi="Arial" w:cs="Arial"/>
                <w:color w:val="000000"/>
                <w:sz w:val="18"/>
                <w:szCs w:val="18"/>
              </w:rPr>
              <w:t>123.</w:t>
            </w:r>
            <w:r w:rsidR="008D5B22" w:rsidRPr="00ED1414">
              <w:rPr>
                <w:rFonts w:ascii="Arial" w:hAnsi="Arial" w:cs="Arial"/>
                <w:color w:val="000000"/>
                <w:sz w:val="18"/>
                <w:szCs w:val="18"/>
              </w:rPr>
              <w:t>60</w:t>
            </w:r>
          </w:p>
        </w:tc>
        <w:tc>
          <w:tcPr>
            <w:tcW w:w="1219" w:type="dxa"/>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tcPr>
          <w:p w14:paraId="0D847BDA" w14:textId="6747990F" w:rsidR="00FA0762" w:rsidRPr="00ED1414" w:rsidRDefault="008D5B22" w:rsidP="00C92AA3">
            <w:pPr>
              <w:jc w:val="center"/>
              <w:rPr>
                <w:rFonts w:cstheme="minorHAnsi"/>
                <w:sz w:val="18"/>
                <w:szCs w:val="18"/>
              </w:rPr>
            </w:pPr>
            <w:r w:rsidRPr="00ED1414">
              <w:rPr>
                <w:rFonts w:ascii="Arial" w:hAnsi="Arial" w:cs="Arial"/>
                <w:color w:val="000000"/>
                <w:sz w:val="18"/>
                <w:szCs w:val="18"/>
              </w:rPr>
              <w:t>136.01</w:t>
            </w:r>
          </w:p>
        </w:tc>
        <w:tc>
          <w:tcPr>
            <w:tcW w:w="1219" w:type="dxa"/>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tcPr>
          <w:p w14:paraId="2E901CE2" w14:textId="4C5B662B" w:rsidR="00FA0762" w:rsidRPr="00ED1414" w:rsidRDefault="008D5B22" w:rsidP="00C92AA3">
            <w:pPr>
              <w:jc w:val="center"/>
              <w:rPr>
                <w:rFonts w:cstheme="minorHAnsi"/>
                <w:sz w:val="18"/>
                <w:szCs w:val="18"/>
              </w:rPr>
            </w:pPr>
            <w:r w:rsidRPr="00ED1414">
              <w:rPr>
                <w:rFonts w:ascii="Arial" w:hAnsi="Arial" w:cs="Arial"/>
                <w:color w:val="000000"/>
                <w:sz w:val="18"/>
                <w:szCs w:val="18"/>
              </w:rPr>
              <w:t>148.02</w:t>
            </w:r>
          </w:p>
        </w:tc>
        <w:tc>
          <w:tcPr>
            <w:tcW w:w="1219" w:type="dxa"/>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tcPr>
          <w:p w14:paraId="69B0D6E7" w14:textId="57340B73" w:rsidR="00FA0762" w:rsidRPr="00ED1414" w:rsidRDefault="00636D1C" w:rsidP="00C92AA3">
            <w:pPr>
              <w:jc w:val="center"/>
              <w:rPr>
                <w:rFonts w:cstheme="minorHAnsi"/>
                <w:sz w:val="18"/>
                <w:szCs w:val="18"/>
              </w:rPr>
            </w:pPr>
            <w:r w:rsidRPr="00ED1414">
              <w:rPr>
                <w:rFonts w:ascii="Arial" w:hAnsi="Arial" w:cs="Arial"/>
                <w:color w:val="000000"/>
                <w:sz w:val="18"/>
                <w:szCs w:val="18"/>
              </w:rPr>
              <w:t>156</w:t>
            </w:r>
            <w:r w:rsidR="009253E5" w:rsidRPr="00ED1414">
              <w:rPr>
                <w:rFonts w:ascii="Arial" w:hAnsi="Arial" w:cs="Arial"/>
                <w:color w:val="000000"/>
                <w:sz w:val="18"/>
                <w:szCs w:val="18"/>
              </w:rPr>
              <w:t>.</w:t>
            </w:r>
            <w:r w:rsidR="008D5B22" w:rsidRPr="00ED1414">
              <w:rPr>
                <w:rFonts w:ascii="Arial" w:hAnsi="Arial" w:cs="Arial"/>
                <w:color w:val="000000"/>
                <w:sz w:val="18"/>
                <w:szCs w:val="18"/>
              </w:rPr>
              <w:t>13</w:t>
            </w:r>
          </w:p>
        </w:tc>
        <w:tc>
          <w:tcPr>
            <w:tcW w:w="1219" w:type="dxa"/>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tcPr>
          <w:p w14:paraId="40313CBA" w14:textId="08AC9AB9" w:rsidR="00FA0762" w:rsidRPr="00ED1414" w:rsidRDefault="00636D1C" w:rsidP="00C92AA3">
            <w:pPr>
              <w:jc w:val="center"/>
              <w:rPr>
                <w:rFonts w:cstheme="minorHAnsi"/>
                <w:sz w:val="18"/>
                <w:szCs w:val="18"/>
              </w:rPr>
            </w:pPr>
            <w:r w:rsidRPr="00ED1414">
              <w:rPr>
                <w:rFonts w:ascii="Arial" w:hAnsi="Arial" w:cs="Arial"/>
                <w:color w:val="000000"/>
                <w:sz w:val="18"/>
                <w:szCs w:val="18"/>
              </w:rPr>
              <w:t>166</w:t>
            </w:r>
            <w:r w:rsidR="009253E5" w:rsidRPr="00ED1414">
              <w:rPr>
                <w:rFonts w:ascii="Arial" w:hAnsi="Arial" w:cs="Arial"/>
                <w:color w:val="000000"/>
                <w:sz w:val="18"/>
                <w:szCs w:val="18"/>
              </w:rPr>
              <w:t>.</w:t>
            </w:r>
            <w:r w:rsidR="008D5B22" w:rsidRPr="00ED1414">
              <w:rPr>
                <w:rFonts w:ascii="Arial" w:hAnsi="Arial" w:cs="Arial"/>
                <w:color w:val="000000"/>
                <w:sz w:val="18"/>
                <w:szCs w:val="18"/>
              </w:rPr>
              <w:t>37</w:t>
            </w:r>
          </w:p>
        </w:tc>
        <w:tc>
          <w:tcPr>
            <w:tcW w:w="1219" w:type="dxa"/>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tcPr>
          <w:p w14:paraId="3BF3791F" w14:textId="1ECCE8F2" w:rsidR="00FA0762" w:rsidRPr="00ED1414" w:rsidRDefault="00636D1C" w:rsidP="00C92AA3">
            <w:pPr>
              <w:jc w:val="center"/>
              <w:rPr>
                <w:rFonts w:cstheme="minorHAnsi"/>
                <w:sz w:val="18"/>
                <w:szCs w:val="18"/>
              </w:rPr>
            </w:pPr>
            <w:r w:rsidRPr="00ED1414">
              <w:rPr>
                <w:rFonts w:ascii="Arial" w:hAnsi="Arial" w:cs="Arial"/>
                <w:color w:val="000000"/>
                <w:sz w:val="18"/>
                <w:szCs w:val="18"/>
              </w:rPr>
              <w:t>177</w:t>
            </w:r>
            <w:r w:rsidR="009253E5" w:rsidRPr="00ED1414">
              <w:rPr>
                <w:rFonts w:ascii="Arial" w:hAnsi="Arial" w:cs="Arial"/>
                <w:color w:val="000000"/>
                <w:sz w:val="18"/>
                <w:szCs w:val="18"/>
              </w:rPr>
              <w:t>.</w:t>
            </w:r>
            <w:r w:rsidR="008D5B22" w:rsidRPr="00ED1414">
              <w:rPr>
                <w:rFonts w:ascii="Arial" w:hAnsi="Arial" w:cs="Arial"/>
                <w:color w:val="000000"/>
                <w:sz w:val="18"/>
                <w:szCs w:val="18"/>
              </w:rPr>
              <w:t>49</w:t>
            </w:r>
          </w:p>
        </w:tc>
      </w:tr>
      <w:tr w:rsidR="00ED1414" w:rsidRPr="00ED1414" w14:paraId="48F4CF6D" w14:textId="77777777" w:rsidTr="003F1732">
        <w:trPr>
          <w:cnfStyle w:val="000000100000" w:firstRow="0" w:lastRow="0" w:firstColumn="0" w:lastColumn="0" w:oddVBand="0" w:evenVBand="0" w:oddHBand="1" w:evenHBand="0" w:firstRowFirstColumn="0" w:firstRowLastColumn="0" w:lastRowFirstColumn="0" w:lastRowLastColumn="0"/>
          <w:trHeight w:val="475"/>
        </w:trPr>
        <w:tc>
          <w:tcPr>
            <w:tcW w:w="2132" w:type="dxa"/>
            <w:tcBorders>
              <w:top w:val="single" w:sz="2" w:space="0" w:color="002279"/>
              <w:left w:val="single" w:sz="4" w:space="0" w:color="002279"/>
              <w:bottom w:val="single" w:sz="4" w:space="0" w:color="002279"/>
              <w:right w:val="single" w:sz="4" w:space="0" w:color="002279"/>
            </w:tcBorders>
            <w:shd w:val="clear" w:color="auto" w:fill="D4D6DF"/>
            <w:noWrap/>
            <w:vAlign w:val="center"/>
            <w:hideMark/>
          </w:tcPr>
          <w:p w14:paraId="22C1FB40" w14:textId="50C7B955" w:rsidR="00FA0762" w:rsidRPr="00ED1414" w:rsidRDefault="00FA0762" w:rsidP="00E57550">
            <w:pPr>
              <w:rPr>
                <w:rFonts w:ascii="Arial" w:hAnsi="Arial" w:cs="Arial"/>
                <w:b/>
                <w:sz w:val="18"/>
                <w:szCs w:val="18"/>
              </w:rPr>
            </w:pPr>
            <w:r w:rsidRPr="00ED1414">
              <w:rPr>
                <w:rFonts w:cs="Arial"/>
                <w:b/>
                <w:sz w:val="18"/>
                <w:szCs w:val="18"/>
              </w:rPr>
              <w:t>Closing asset base</w:t>
            </w:r>
          </w:p>
        </w:tc>
        <w:tc>
          <w:tcPr>
            <w:tcW w:w="1219" w:type="dxa"/>
            <w:tcBorders>
              <w:top w:val="single" w:sz="2" w:space="0" w:color="002279"/>
              <w:left w:val="single" w:sz="4" w:space="0" w:color="002279"/>
              <w:bottom w:val="single" w:sz="4" w:space="0" w:color="002279"/>
              <w:right w:val="single" w:sz="4" w:space="0" w:color="002279"/>
            </w:tcBorders>
            <w:shd w:val="clear" w:color="auto" w:fill="D4D6DF"/>
            <w:noWrap/>
            <w:vAlign w:val="center"/>
          </w:tcPr>
          <w:p w14:paraId="06D07D67" w14:textId="2902EDA9" w:rsidR="00FA0762" w:rsidRPr="00ED1414" w:rsidRDefault="008D5B22" w:rsidP="00C92AA3">
            <w:pPr>
              <w:jc w:val="center"/>
              <w:rPr>
                <w:rFonts w:cstheme="minorHAnsi"/>
                <w:b/>
                <w:sz w:val="18"/>
                <w:szCs w:val="18"/>
              </w:rPr>
            </w:pPr>
            <w:r w:rsidRPr="00ED1414">
              <w:rPr>
                <w:rFonts w:ascii="Arial" w:hAnsi="Arial" w:cs="Arial"/>
                <w:b/>
                <w:color w:val="000000"/>
                <w:sz w:val="18"/>
                <w:szCs w:val="18"/>
              </w:rPr>
              <w:t>4,332.18</w:t>
            </w:r>
          </w:p>
        </w:tc>
        <w:tc>
          <w:tcPr>
            <w:tcW w:w="1219" w:type="dxa"/>
            <w:tcBorders>
              <w:top w:val="single" w:sz="2" w:space="0" w:color="002279"/>
              <w:left w:val="single" w:sz="4" w:space="0" w:color="002279"/>
              <w:bottom w:val="single" w:sz="4" w:space="0" w:color="002279"/>
              <w:right w:val="single" w:sz="4" w:space="0" w:color="002279"/>
            </w:tcBorders>
            <w:shd w:val="clear" w:color="auto" w:fill="D4D6DF"/>
            <w:noWrap/>
            <w:vAlign w:val="center"/>
          </w:tcPr>
          <w:p w14:paraId="07677FE9" w14:textId="50F2E876" w:rsidR="00FA0762" w:rsidRPr="00ED1414" w:rsidRDefault="008D5B22" w:rsidP="00C92AA3">
            <w:pPr>
              <w:jc w:val="center"/>
              <w:rPr>
                <w:rFonts w:cstheme="minorHAnsi"/>
                <w:b/>
                <w:sz w:val="18"/>
                <w:szCs w:val="18"/>
              </w:rPr>
            </w:pPr>
            <w:r w:rsidRPr="00ED1414">
              <w:rPr>
                <w:rFonts w:ascii="Arial" w:hAnsi="Arial" w:cs="Arial"/>
                <w:b/>
                <w:color w:val="000000"/>
                <w:sz w:val="18"/>
                <w:szCs w:val="18"/>
              </w:rPr>
              <w:t>4,564.41</w:t>
            </w:r>
          </w:p>
        </w:tc>
        <w:tc>
          <w:tcPr>
            <w:tcW w:w="1219" w:type="dxa"/>
            <w:tcBorders>
              <w:top w:val="single" w:sz="2" w:space="0" w:color="002279"/>
              <w:left w:val="single" w:sz="4" w:space="0" w:color="002279"/>
              <w:bottom w:val="single" w:sz="4" w:space="0" w:color="002279"/>
              <w:right w:val="single" w:sz="4" w:space="0" w:color="002279"/>
            </w:tcBorders>
            <w:shd w:val="clear" w:color="auto" w:fill="D4D6DF"/>
            <w:noWrap/>
            <w:vAlign w:val="center"/>
          </w:tcPr>
          <w:p w14:paraId="28A2B68F" w14:textId="7A21B968" w:rsidR="00FA0762" w:rsidRPr="00ED1414" w:rsidRDefault="008D5B22" w:rsidP="00C92AA3">
            <w:pPr>
              <w:jc w:val="center"/>
              <w:rPr>
                <w:rFonts w:cstheme="minorHAnsi"/>
                <w:b/>
                <w:sz w:val="18"/>
                <w:szCs w:val="18"/>
              </w:rPr>
            </w:pPr>
            <w:r w:rsidRPr="00ED1414">
              <w:rPr>
                <w:rFonts w:ascii="Arial" w:hAnsi="Arial" w:cs="Arial"/>
                <w:b/>
                <w:color w:val="000000"/>
                <w:sz w:val="18"/>
                <w:szCs w:val="18"/>
              </w:rPr>
              <w:t>4,811.61</w:t>
            </w:r>
          </w:p>
        </w:tc>
        <w:tc>
          <w:tcPr>
            <w:tcW w:w="1219" w:type="dxa"/>
            <w:tcBorders>
              <w:top w:val="single" w:sz="2" w:space="0" w:color="002279"/>
              <w:left w:val="single" w:sz="4" w:space="0" w:color="002279"/>
              <w:bottom w:val="single" w:sz="4" w:space="0" w:color="002279"/>
              <w:right w:val="single" w:sz="4" w:space="0" w:color="002279"/>
            </w:tcBorders>
            <w:shd w:val="clear" w:color="auto" w:fill="D4D6DF"/>
            <w:noWrap/>
            <w:vAlign w:val="center"/>
          </w:tcPr>
          <w:p w14:paraId="0542462C" w14:textId="7FE523C7" w:rsidR="00FA0762" w:rsidRPr="00ED1414" w:rsidRDefault="008D5B22" w:rsidP="00C92AA3">
            <w:pPr>
              <w:jc w:val="center"/>
              <w:rPr>
                <w:rFonts w:cstheme="minorHAnsi"/>
                <w:b/>
                <w:sz w:val="18"/>
                <w:szCs w:val="18"/>
              </w:rPr>
            </w:pPr>
            <w:r w:rsidRPr="00ED1414">
              <w:rPr>
                <w:rFonts w:ascii="Arial" w:hAnsi="Arial" w:cs="Arial"/>
                <w:b/>
                <w:color w:val="000000"/>
                <w:sz w:val="18"/>
                <w:szCs w:val="18"/>
              </w:rPr>
              <w:t>5,050.99</w:t>
            </w:r>
          </w:p>
        </w:tc>
        <w:tc>
          <w:tcPr>
            <w:tcW w:w="1219" w:type="dxa"/>
            <w:tcBorders>
              <w:top w:val="single" w:sz="2" w:space="0" w:color="002279"/>
              <w:left w:val="single" w:sz="4" w:space="0" w:color="002279"/>
              <w:bottom w:val="single" w:sz="4" w:space="0" w:color="002279"/>
              <w:right w:val="single" w:sz="4" w:space="0" w:color="002279"/>
            </w:tcBorders>
            <w:shd w:val="clear" w:color="auto" w:fill="D4D6DF"/>
            <w:noWrap/>
            <w:vAlign w:val="center"/>
          </w:tcPr>
          <w:p w14:paraId="5A8ABEA1" w14:textId="0851969C" w:rsidR="00FA0762" w:rsidRPr="00ED1414" w:rsidRDefault="008D5B22" w:rsidP="00C92AA3">
            <w:pPr>
              <w:jc w:val="center"/>
              <w:rPr>
                <w:rFonts w:cstheme="minorHAnsi"/>
                <w:b/>
                <w:sz w:val="18"/>
                <w:szCs w:val="18"/>
              </w:rPr>
            </w:pPr>
            <w:r w:rsidRPr="00ED1414">
              <w:rPr>
                <w:rFonts w:ascii="Arial" w:hAnsi="Arial" w:cs="Arial"/>
                <w:b/>
                <w:color w:val="000000"/>
                <w:sz w:val="18"/>
                <w:szCs w:val="18"/>
              </w:rPr>
              <w:t>5,274.11</w:t>
            </w:r>
          </w:p>
        </w:tc>
        <w:tc>
          <w:tcPr>
            <w:tcW w:w="1219" w:type="dxa"/>
            <w:tcBorders>
              <w:top w:val="single" w:sz="2" w:space="0" w:color="002279"/>
              <w:left w:val="single" w:sz="4" w:space="0" w:color="002279"/>
              <w:bottom w:val="single" w:sz="4" w:space="0" w:color="002279"/>
              <w:right w:val="single" w:sz="4" w:space="0" w:color="002279"/>
            </w:tcBorders>
            <w:shd w:val="clear" w:color="auto" w:fill="D4D6DF"/>
            <w:noWrap/>
            <w:vAlign w:val="center"/>
          </w:tcPr>
          <w:p w14:paraId="17C00C9E" w14:textId="01A499F4" w:rsidR="00FA0762" w:rsidRPr="00ED1414" w:rsidRDefault="008D5B22" w:rsidP="00C92AA3">
            <w:pPr>
              <w:jc w:val="center"/>
              <w:rPr>
                <w:rFonts w:cstheme="minorHAnsi"/>
                <w:b/>
                <w:sz w:val="18"/>
                <w:szCs w:val="18"/>
              </w:rPr>
            </w:pPr>
            <w:r w:rsidRPr="00ED1414">
              <w:rPr>
                <w:rFonts w:ascii="Arial" w:hAnsi="Arial" w:cs="Arial"/>
                <w:b/>
                <w:color w:val="000000"/>
                <w:sz w:val="18"/>
                <w:szCs w:val="18"/>
              </w:rPr>
              <w:t>5,486.34</w:t>
            </w:r>
          </w:p>
        </w:tc>
        <w:tc>
          <w:tcPr>
            <w:tcW w:w="1219" w:type="dxa"/>
            <w:tcBorders>
              <w:top w:val="single" w:sz="2" w:space="0" w:color="002279"/>
              <w:left w:val="single" w:sz="4" w:space="0" w:color="002279"/>
              <w:bottom w:val="single" w:sz="4" w:space="0" w:color="002279"/>
              <w:right w:val="single" w:sz="4" w:space="0" w:color="002279"/>
            </w:tcBorders>
            <w:shd w:val="clear" w:color="auto" w:fill="D4D6DF"/>
            <w:noWrap/>
            <w:vAlign w:val="center"/>
          </w:tcPr>
          <w:p w14:paraId="3DB0D2FA" w14:textId="40EA14F6" w:rsidR="00FA0762" w:rsidRPr="00ED1414" w:rsidRDefault="008D5B22" w:rsidP="00C92AA3">
            <w:pPr>
              <w:jc w:val="center"/>
              <w:rPr>
                <w:rFonts w:cstheme="minorHAnsi"/>
                <w:b/>
                <w:sz w:val="18"/>
                <w:szCs w:val="18"/>
              </w:rPr>
            </w:pPr>
            <w:r w:rsidRPr="00ED1414">
              <w:rPr>
                <w:rFonts w:ascii="Arial" w:hAnsi="Arial" w:cs="Arial"/>
                <w:b/>
                <w:color w:val="000000"/>
                <w:sz w:val="18"/>
                <w:szCs w:val="18"/>
              </w:rPr>
              <w:t>5,694.20</w:t>
            </w:r>
          </w:p>
        </w:tc>
        <w:tc>
          <w:tcPr>
            <w:tcW w:w="1219" w:type="dxa"/>
            <w:tcBorders>
              <w:top w:val="single" w:sz="2" w:space="0" w:color="002279"/>
              <w:left w:val="single" w:sz="4" w:space="0" w:color="002279"/>
              <w:bottom w:val="single" w:sz="4" w:space="0" w:color="002279"/>
              <w:right w:val="single" w:sz="4" w:space="0" w:color="002279"/>
            </w:tcBorders>
            <w:shd w:val="clear" w:color="auto" w:fill="D4D6DF"/>
            <w:noWrap/>
            <w:vAlign w:val="center"/>
          </w:tcPr>
          <w:p w14:paraId="439AA8E5" w14:textId="1244DD2C" w:rsidR="00FA0762" w:rsidRPr="00ED1414" w:rsidRDefault="008D5B22" w:rsidP="00C92AA3">
            <w:pPr>
              <w:jc w:val="center"/>
              <w:rPr>
                <w:rFonts w:cstheme="minorHAnsi"/>
                <w:b/>
                <w:sz w:val="18"/>
                <w:szCs w:val="18"/>
              </w:rPr>
            </w:pPr>
            <w:r w:rsidRPr="00ED1414">
              <w:rPr>
                <w:rFonts w:ascii="Arial" w:hAnsi="Arial" w:cs="Arial"/>
                <w:b/>
                <w:color w:val="000000"/>
                <w:sz w:val="18"/>
                <w:szCs w:val="18"/>
              </w:rPr>
              <w:t>5,894.31</w:t>
            </w:r>
          </w:p>
        </w:tc>
        <w:tc>
          <w:tcPr>
            <w:tcW w:w="1219" w:type="dxa"/>
            <w:tcBorders>
              <w:top w:val="single" w:sz="2" w:space="0" w:color="002279"/>
              <w:left w:val="single" w:sz="4" w:space="0" w:color="002279"/>
              <w:bottom w:val="single" w:sz="4" w:space="0" w:color="002279"/>
              <w:right w:val="single" w:sz="4" w:space="0" w:color="002279"/>
            </w:tcBorders>
            <w:shd w:val="clear" w:color="auto" w:fill="D4D6DF"/>
            <w:noWrap/>
            <w:vAlign w:val="center"/>
          </w:tcPr>
          <w:p w14:paraId="1F4E3E7F" w14:textId="605AC617" w:rsidR="00FA0762" w:rsidRPr="00ED1414" w:rsidRDefault="008D5B22" w:rsidP="00C92AA3">
            <w:pPr>
              <w:jc w:val="center"/>
              <w:rPr>
                <w:rFonts w:cstheme="minorHAnsi"/>
                <w:b/>
                <w:sz w:val="18"/>
                <w:szCs w:val="18"/>
              </w:rPr>
            </w:pPr>
            <w:r w:rsidRPr="00ED1414">
              <w:rPr>
                <w:rFonts w:ascii="Arial" w:hAnsi="Arial" w:cs="Arial"/>
                <w:b/>
                <w:color w:val="000000"/>
                <w:sz w:val="18"/>
                <w:szCs w:val="18"/>
              </w:rPr>
              <w:t>6,084.43</w:t>
            </w:r>
          </w:p>
        </w:tc>
        <w:tc>
          <w:tcPr>
            <w:tcW w:w="1219" w:type="dxa"/>
            <w:tcBorders>
              <w:top w:val="single" w:sz="2" w:space="0" w:color="002279"/>
              <w:left w:val="single" w:sz="4" w:space="0" w:color="002279"/>
              <w:bottom w:val="single" w:sz="4" w:space="0" w:color="002279"/>
              <w:right w:val="single" w:sz="4" w:space="0" w:color="002279"/>
            </w:tcBorders>
            <w:shd w:val="clear" w:color="auto" w:fill="D4D6DF"/>
            <w:noWrap/>
            <w:vAlign w:val="center"/>
          </w:tcPr>
          <w:p w14:paraId="17C057CB" w14:textId="42594F37" w:rsidR="00FA0762" w:rsidRPr="00ED1414" w:rsidRDefault="008D5B22" w:rsidP="00C92AA3">
            <w:pPr>
              <w:jc w:val="center"/>
              <w:rPr>
                <w:rFonts w:cstheme="minorHAnsi"/>
                <w:b/>
                <w:sz w:val="18"/>
                <w:szCs w:val="18"/>
              </w:rPr>
            </w:pPr>
            <w:r w:rsidRPr="00ED1414">
              <w:rPr>
                <w:rFonts w:ascii="Arial" w:hAnsi="Arial" w:cs="Arial"/>
                <w:b/>
                <w:color w:val="000000"/>
                <w:sz w:val="18"/>
                <w:szCs w:val="18"/>
              </w:rPr>
              <w:t>6,248.98</w:t>
            </w:r>
          </w:p>
        </w:tc>
      </w:tr>
    </w:tbl>
    <w:p w14:paraId="07806FBD" w14:textId="77777777" w:rsidR="00ED1414" w:rsidRDefault="00ED1414" w:rsidP="00AE35E9">
      <w:pPr>
        <w:sectPr w:rsidR="00ED1414" w:rsidSect="00ED1414">
          <w:pgSz w:w="16838" w:h="11906" w:orient="landscape" w:code="9"/>
          <w:pgMar w:top="1253" w:right="1440" w:bottom="1157" w:left="1440" w:header="567" w:footer="284" w:gutter="0"/>
          <w:cols w:space="708"/>
          <w:docGrid w:linePitch="360"/>
        </w:sectPr>
      </w:pPr>
    </w:p>
    <w:p w14:paraId="6B0D57A0" w14:textId="5A325024" w:rsidR="00AE35E9" w:rsidRDefault="00AE35E9" w:rsidP="00D11C2D">
      <w:pPr>
        <w:pStyle w:val="Heading2"/>
      </w:pPr>
      <w:bookmarkStart w:id="87" w:name="_Toc103770946"/>
      <w:r>
        <w:lastRenderedPageBreak/>
        <w:t>8.</w:t>
      </w:r>
      <w:r w:rsidR="003B5B93">
        <w:t>3</w:t>
      </w:r>
      <w:r>
        <w:t xml:space="preserve"> </w:t>
      </w:r>
      <w:r w:rsidRPr="0008316F">
        <w:t>Cost of debt</w:t>
      </w:r>
      <w:bookmarkEnd w:id="87"/>
      <w:r w:rsidR="001F7125">
        <w:t>, return on equity</w:t>
      </w:r>
      <w:r w:rsidR="006F605B">
        <w:t>, regulatory rate of return</w:t>
      </w:r>
    </w:p>
    <w:p w14:paraId="44A625D8" w14:textId="6F151AEB" w:rsidR="00AE35E9" w:rsidRDefault="00652094" w:rsidP="00AE35E9">
      <w:r>
        <w:t>The</w:t>
      </w:r>
      <w:r w:rsidR="008A1066">
        <w:t xml:space="preserve"> trailing average cost of debt is </w:t>
      </w:r>
      <w:r w:rsidR="00793BE0">
        <w:t xml:space="preserve">calculated as </w:t>
      </w:r>
      <w:r w:rsidR="008A1066">
        <w:t>the simple average of 10 years of cost of debt</w:t>
      </w:r>
      <w:r w:rsidR="00F16361">
        <w:t xml:space="preserve"> </w:t>
      </w:r>
      <w:r w:rsidR="005C77A8">
        <w:t xml:space="preserve">that reflects the yields of the Reserve </w:t>
      </w:r>
      <w:r w:rsidR="00F4773C">
        <w:t xml:space="preserve">Bank of Australia </w:t>
      </w:r>
      <w:r w:rsidR="0072380E">
        <w:t>10-year</w:t>
      </w:r>
      <w:r w:rsidR="00F4773C">
        <w:t xml:space="preserve"> BBB rated </w:t>
      </w:r>
      <w:r w:rsidR="00EB58D4">
        <w:t>corporate bond</w:t>
      </w:r>
      <w:r w:rsidR="006A09FE">
        <w:t>.</w:t>
      </w:r>
    </w:p>
    <w:p w14:paraId="121131D1" w14:textId="29936C2B" w:rsidR="006A09FE" w:rsidRDefault="006A09FE" w:rsidP="00AE35E9">
      <w:r>
        <w:t xml:space="preserve">South East Water </w:t>
      </w:r>
      <w:r w:rsidR="00CF1637" w:rsidRPr="00CF1637">
        <w:t>is committed</w:t>
      </w:r>
      <w:r w:rsidR="001A4A7A">
        <w:t xml:space="preserve"> to </w:t>
      </w:r>
      <w:r w:rsidR="00CF1637" w:rsidRPr="00CF1637">
        <w:t>managing price impacts for our customers and maintaining affordable services. As a result, we are adopting a</w:t>
      </w:r>
      <w:r w:rsidR="001A4A7A">
        <w:t xml:space="preserve"> return on equity </w:t>
      </w:r>
      <w:r w:rsidR="00CF1637" w:rsidRPr="00CF1637">
        <w:t>level (of 4.1%)</w:t>
      </w:r>
      <w:r w:rsidR="00A92BA2">
        <w:t xml:space="preserve"> </w:t>
      </w:r>
      <w:r w:rsidR="005B1F05">
        <w:t>equivalent to</w:t>
      </w:r>
      <w:r w:rsidR="001A4A7A">
        <w:t xml:space="preserve"> a </w:t>
      </w:r>
      <w:r w:rsidR="00612583">
        <w:t>‘</w:t>
      </w:r>
      <w:r w:rsidR="00507A7D" w:rsidRPr="00F76D7B">
        <w:rPr>
          <w:i/>
        </w:rPr>
        <w:t>Standard</w:t>
      </w:r>
      <w:r w:rsidR="00612583">
        <w:t>’</w:t>
      </w:r>
      <w:r w:rsidR="00507A7D">
        <w:t xml:space="preserve"> PREMO rating </w:t>
      </w:r>
      <w:r w:rsidR="00CF1637" w:rsidRPr="00CF1637">
        <w:t>that can support this. This will ensure that we can deliver the outcomes that customers value and undertake the necessary investments for this to occur, while addressing the cost pressures that our customers are facing on many fronts.</w:t>
      </w:r>
    </w:p>
    <w:p w14:paraId="4026A599" w14:textId="424E84A9" w:rsidR="00E57550" w:rsidRDefault="00D379CD" w:rsidP="00AE35E9">
      <w:r>
        <w:t xml:space="preserve">To calculate the regulatory rate of return, a benchmark gearing level of 60:40 debt to equity </w:t>
      </w:r>
      <w:r w:rsidR="00066D3D">
        <w:t xml:space="preserve">has been applied. </w:t>
      </w:r>
    </w:p>
    <w:p w14:paraId="39B1E790" w14:textId="1577037A" w:rsidR="009376A8" w:rsidRPr="00304A0D" w:rsidRDefault="00304A0D" w:rsidP="00304A0D">
      <w:pPr>
        <w:pStyle w:val="NormalIndent"/>
        <w:ind w:left="0"/>
        <w:rPr>
          <w:rFonts w:cs="Arial"/>
          <w:i/>
        </w:rPr>
      </w:pPr>
      <w:r w:rsidRPr="00CE6C4E">
        <w:rPr>
          <w:b/>
          <w:i/>
        </w:rPr>
        <w:t xml:space="preserve">Table </w:t>
      </w:r>
      <w:r w:rsidR="009253E5" w:rsidRPr="00CE6C4E">
        <w:rPr>
          <w:b/>
          <w:bCs/>
          <w:i/>
          <w:iCs/>
        </w:rPr>
        <w:fldChar w:fldCharType="begin"/>
      </w:r>
      <w:r w:rsidR="009253E5" w:rsidRPr="00CE6C4E">
        <w:rPr>
          <w:b/>
          <w:bCs/>
          <w:i/>
          <w:iCs/>
        </w:rPr>
        <w:instrText>SEQ Table \* ARABIC</w:instrText>
      </w:r>
      <w:r w:rsidR="009253E5" w:rsidRPr="00CE6C4E">
        <w:rPr>
          <w:b/>
          <w:bCs/>
          <w:i/>
          <w:iCs/>
        </w:rPr>
        <w:fldChar w:fldCharType="separate"/>
      </w:r>
      <w:r w:rsidR="009253E5">
        <w:rPr>
          <w:b/>
          <w:bCs/>
          <w:i/>
          <w:iCs/>
          <w:noProof/>
        </w:rPr>
        <w:t>40</w:t>
      </w:r>
      <w:r w:rsidR="009253E5" w:rsidRPr="00CE6C4E">
        <w:rPr>
          <w:b/>
          <w:bCs/>
          <w:i/>
          <w:iCs/>
        </w:rPr>
        <w:fldChar w:fldCharType="end"/>
      </w:r>
      <w:r w:rsidRPr="007B339F">
        <w:rPr>
          <w:rFonts w:ascii="Arial" w:hAnsi="Arial" w:cs="Arial"/>
          <w:b/>
          <w:i/>
        </w:rPr>
        <w:t>:</w:t>
      </w:r>
      <w:r>
        <w:rPr>
          <w:rFonts w:ascii="Arial" w:hAnsi="Arial" w:cs="Arial"/>
          <w:b/>
          <w:i/>
        </w:rPr>
        <w:t xml:space="preserve"> </w:t>
      </w:r>
      <w:r w:rsidRPr="001D5EA6">
        <w:rPr>
          <w:b/>
          <w:i/>
        </w:rPr>
        <w:t xml:space="preserve">Regulatory </w:t>
      </w:r>
      <w:r>
        <w:rPr>
          <w:b/>
          <w:i/>
        </w:rPr>
        <w:t>rate of return</w:t>
      </w:r>
      <w:r w:rsidRPr="001D5EA6">
        <w:rPr>
          <w:b/>
          <w:i/>
        </w:rPr>
        <w:t>, 2023</w:t>
      </w:r>
      <w:r>
        <w:rPr>
          <w:b/>
          <w:i/>
        </w:rPr>
        <w:t>–</w:t>
      </w:r>
      <w:r w:rsidRPr="001D5EA6">
        <w:rPr>
          <w:b/>
          <w:i/>
        </w:rPr>
        <w:t xml:space="preserve">33 </w:t>
      </w:r>
      <w:r w:rsidR="00921F48" w:rsidRPr="006D1620">
        <w:rPr>
          <w:rFonts w:cs="Arial"/>
          <w:b/>
          <w:i/>
        </w:rPr>
        <w:t>(</w:t>
      </w:r>
      <w:r w:rsidR="00921F48">
        <w:rPr>
          <w:rFonts w:cs="Arial"/>
          <w:b/>
          <w:i/>
        </w:rPr>
        <w:t>$</w:t>
      </w:r>
      <w:r w:rsidR="00921F48" w:rsidRPr="006D1620">
        <w:rPr>
          <w:rFonts w:cs="Arial"/>
          <w:b/>
          <w:i/>
        </w:rPr>
        <w:t>2022</w:t>
      </w:r>
      <w:r w:rsidR="00921F48">
        <w:rPr>
          <w:rFonts w:cs="Arial"/>
          <w:b/>
          <w:i/>
        </w:rPr>
        <w:t>–</w:t>
      </w:r>
      <w:r w:rsidR="00921F48" w:rsidRPr="006D1620">
        <w:rPr>
          <w:rFonts w:cs="Arial"/>
          <w:b/>
          <w:i/>
        </w:rPr>
        <w:t>23</w:t>
      </w:r>
      <w:r w:rsidRPr="001D5EA6">
        <w:rPr>
          <w:b/>
          <w:i/>
        </w:rPr>
        <w:t>)</w:t>
      </w:r>
    </w:p>
    <w:tbl>
      <w:tblPr>
        <w:tblStyle w:val="MJTableStyle1default"/>
        <w:tblW w:w="9478" w:type="dxa"/>
        <w:tblInd w:w="-5" w:type="dxa"/>
        <w:tblLayout w:type="fixed"/>
        <w:tblLook w:val="04A0" w:firstRow="1" w:lastRow="0" w:firstColumn="1" w:lastColumn="0" w:noHBand="0" w:noVBand="1"/>
      </w:tblPr>
      <w:tblGrid>
        <w:gridCol w:w="1942"/>
        <w:gridCol w:w="1507"/>
        <w:gridCol w:w="1507"/>
        <w:gridCol w:w="1507"/>
        <w:gridCol w:w="1507"/>
        <w:gridCol w:w="1508"/>
      </w:tblGrid>
      <w:tr w:rsidR="00A7554B" w:rsidRPr="00B77925" w14:paraId="38A10621" w14:textId="77777777" w:rsidTr="003F1732">
        <w:trPr>
          <w:cnfStyle w:val="100000000000" w:firstRow="1" w:lastRow="0" w:firstColumn="0" w:lastColumn="0" w:oddVBand="0" w:evenVBand="0" w:oddHBand="0" w:evenHBand="0" w:firstRowFirstColumn="0" w:firstRowLastColumn="0" w:lastRowFirstColumn="0" w:lastRowLastColumn="0"/>
          <w:trHeight w:val="523"/>
        </w:trPr>
        <w:tc>
          <w:tcPr>
            <w:tcW w:w="0" w:type="dxa"/>
            <w:tcBorders>
              <w:top w:val="single" w:sz="4" w:space="0" w:color="002279"/>
              <w:left w:val="single" w:sz="4" w:space="0" w:color="002279"/>
              <w:bottom w:val="single" w:sz="2" w:space="0" w:color="002279"/>
              <w:right w:val="single" w:sz="4" w:space="0" w:color="FFFFFF" w:themeColor="background1"/>
            </w:tcBorders>
            <w:shd w:val="clear" w:color="auto" w:fill="002279"/>
            <w:noWrap/>
            <w:vAlign w:val="center"/>
            <w:hideMark/>
          </w:tcPr>
          <w:p w14:paraId="5692D702" w14:textId="77777777" w:rsidR="00B77925" w:rsidRPr="00116E55" w:rsidRDefault="00B77925" w:rsidP="00BF3EAD">
            <w:pPr>
              <w:rPr>
                <w:rFonts w:asciiTheme="minorHAnsi" w:hAnsiTheme="minorHAnsi" w:cstheme="minorHAnsi"/>
                <w:sz w:val="18"/>
                <w:szCs w:val="18"/>
              </w:rPr>
            </w:pPr>
          </w:p>
        </w:tc>
        <w:tc>
          <w:tcPr>
            <w:tcW w:w="1507"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noWrap/>
            <w:vAlign w:val="center"/>
            <w:hideMark/>
          </w:tcPr>
          <w:p w14:paraId="5A4F5E7D" w14:textId="55B30A49" w:rsidR="00B77925" w:rsidRPr="00116E55" w:rsidRDefault="00B77925" w:rsidP="00ED1414">
            <w:pPr>
              <w:jc w:val="center"/>
              <w:rPr>
                <w:rFonts w:asciiTheme="minorHAnsi" w:hAnsiTheme="minorHAnsi" w:cstheme="minorHAnsi"/>
                <w:b/>
                <w:sz w:val="18"/>
                <w:szCs w:val="18"/>
              </w:rPr>
            </w:pPr>
            <w:r w:rsidRPr="00116E55">
              <w:rPr>
                <w:rFonts w:asciiTheme="minorHAnsi" w:hAnsiTheme="minorHAnsi" w:cstheme="minorHAnsi"/>
                <w:b/>
                <w:sz w:val="18"/>
                <w:szCs w:val="18"/>
              </w:rPr>
              <w:t>2023</w:t>
            </w:r>
            <w:r w:rsidR="00310E2A" w:rsidRPr="00116E55">
              <w:rPr>
                <w:rFonts w:asciiTheme="minorHAnsi" w:hAnsiTheme="minorHAnsi" w:cstheme="minorHAnsi"/>
                <w:b/>
                <w:sz w:val="18"/>
                <w:szCs w:val="18"/>
              </w:rPr>
              <w:t>–</w:t>
            </w:r>
            <w:r w:rsidRPr="00116E55">
              <w:rPr>
                <w:rFonts w:asciiTheme="minorHAnsi" w:hAnsiTheme="minorHAnsi" w:cstheme="minorHAnsi"/>
                <w:b/>
                <w:sz w:val="18"/>
                <w:szCs w:val="18"/>
              </w:rPr>
              <w:t>24</w:t>
            </w:r>
          </w:p>
        </w:tc>
        <w:tc>
          <w:tcPr>
            <w:tcW w:w="1507"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noWrap/>
            <w:vAlign w:val="center"/>
            <w:hideMark/>
          </w:tcPr>
          <w:p w14:paraId="31E8B76E" w14:textId="509E792C" w:rsidR="00B77925" w:rsidRPr="00116E55" w:rsidRDefault="00B77925" w:rsidP="00ED1414">
            <w:pPr>
              <w:jc w:val="center"/>
              <w:rPr>
                <w:rFonts w:asciiTheme="minorHAnsi" w:hAnsiTheme="minorHAnsi" w:cstheme="minorHAnsi"/>
                <w:b/>
                <w:sz w:val="18"/>
                <w:szCs w:val="18"/>
              </w:rPr>
            </w:pPr>
            <w:r w:rsidRPr="00116E55">
              <w:rPr>
                <w:rFonts w:asciiTheme="minorHAnsi" w:hAnsiTheme="minorHAnsi" w:cstheme="minorHAnsi"/>
                <w:b/>
                <w:sz w:val="18"/>
                <w:szCs w:val="18"/>
              </w:rPr>
              <w:t>2024</w:t>
            </w:r>
            <w:r w:rsidR="00310E2A" w:rsidRPr="00116E55">
              <w:rPr>
                <w:rFonts w:asciiTheme="minorHAnsi" w:hAnsiTheme="minorHAnsi" w:cstheme="minorHAnsi"/>
                <w:b/>
                <w:sz w:val="18"/>
                <w:szCs w:val="18"/>
              </w:rPr>
              <w:t>–</w:t>
            </w:r>
            <w:r w:rsidRPr="00116E55">
              <w:rPr>
                <w:rFonts w:asciiTheme="minorHAnsi" w:hAnsiTheme="minorHAnsi" w:cstheme="minorHAnsi"/>
                <w:b/>
                <w:sz w:val="18"/>
                <w:szCs w:val="18"/>
              </w:rPr>
              <w:t>25</w:t>
            </w:r>
          </w:p>
        </w:tc>
        <w:tc>
          <w:tcPr>
            <w:tcW w:w="1507"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noWrap/>
            <w:vAlign w:val="center"/>
            <w:hideMark/>
          </w:tcPr>
          <w:p w14:paraId="47D1BE84" w14:textId="6A9B60FA" w:rsidR="00B77925" w:rsidRPr="00116E55" w:rsidRDefault="00B77925" w:rsidP="00ED1414">
            <w:pPr>
              <w:jc w:val="center"/>
              <w:rPr>
                <w:rFonts w:asciiTheme="minorHAnsi" w:hAnsiTheme="minorHAnsi" w:cstheme="minorHAnsi"/>
                <w:b/>
                <w:sz w:val="18"/>
                <w:szCs w:val="18"/>
              </w:rPr>
            </w:pPr>
            <w:r w:rsidRPr="00116E55">
              <w:rPr>
                <w:rFonts w:asciiTheme="minorHAnsi" w:hAnsiTheme="minorHAnsi" w:cstheme="minorHAnsi"/>
                <w:b/>
                <w:sz w:val="18"/>
                <w:szCs w:val="18"/>
              </w:rPr>
              <w:t>2025</w:t>
            </w:r>
            <w:r w:rsidR="00310E2A" w:rsidRPr="00116E55">
              <w:rPr>
                <w:rFonts w:asciiTheme="minorHAnsi" w:hAnsiTheme="minorHAnsi" w:cstheme="minorHAnsi"/>
                <w:b/>
                <w:sz w:val="18"/>
                <w:szCs w:val="18"/>
              </w:rPr>
              <w:t>–</w:t>
            </w:r>
            <w:r w:rsidRPr="00116E55">
              <w:rPr>
                <w:rFonts w:asciiTheme="minorHAnsi" w:hAnsiTheme="minorHAnsi" w:cstheme="minorHAnsi"/>
                <w:b/>
                <w:sz w:val="18"/>
                <w:szCs w:val="18"/>
              </w:rPr>
              <w:t>26</w:t>
            </w:r>
          </w:p>
        </w:tc>
        <w:tc>
          <w:tcPr>
            <w:tcW w:w="1507"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noWrap/>
            <w:vAlign w:val="center"/>
            <w:hideMark/>
          </w:tcPr>
          <w:p w14:paraId="5486B9B3" w14:textId="65E44869" w:rsidR="00B77925" w:rsidRPr="00116E55" w:rsidRDefault="00B77925" w:rsidP="00ED1414">
            <w:pPr>
              <w:jc w:val="center"/>
              <w:rPr>
                <w:rFonts w:asciiTheme="minorHAnsi" w:hAnsiTheme="minorHAnsi" w:cstheme="minorHAnsi"/>
                <w:b/>
                <w:sz w:val="18"/>
                <w:szCs w:val="18"/>
              </w:rPr>
            </w:pPr>
            <w:r w:rsidRPr="00116E55">
              <w:rPr>
                <w:rFonts w:asciiTheme="minorHAnsi" w:hAnsiTheme="minorHAnsi" w:cstheme="minorHAnsi"/>
                <w:b/>
                <w:sz w:val="18"/>
                <w:szCs w:val="18"/>
              </w:rPr>
              <w:t>2026</w:t>
            </w:r>
            <w:r w:rsidR="00310E2A" w:rsidRPr="00116E55">
              <w:rPr>
                <w:rFonts w:asciiTheme="minorHAnsi" w:hAnsiTheme="minorHAnsi" w:cstheme="minorHAnsi"/>
                <w:b/>
                <w:sz w:val="18"/>
                <w:szCs w:val="18"/>
              </w:rPr>
              <w:t>–</w:t>
            </w:r>
            <w:r w:rsidRPr="00116E55">
              <w:rPr>
                <w:rFonts w:asciiTheme="minorHAnsi" w:hAnsiTheme="minorHAnsi" w:cstheme="minorHAnsi"/>
                <w:b/>
                <w:sz w:val="18"/>
                <w:szCs w:val="18"/>
              </w:rPr>
              <w:t>27</w:t>
            </w:r>
          </w:p>
        </w:tc>
        <w:tc>
          <w:tcPr>
            <w:tcW w:w="1508" w:type="dxa"/>
            <w:tcBorders>
              <w:top w:val="single" w:sz="4" w:space="0" w:color="002279"/>
              <w:left w:val="single" w:sz="4" w:space="0" w:color="FFFFFF" w:themeColor="background1"/>
              <w:bottom w:val="single" w:sz="2" w:space="0" w:color="002279"/>
              <w:right w:val="single" w:sz="4" w:space="0" w:color="002279"/>
            </w:tcBorders>
            <w:shd w:val="clear" w:color="auto" w:fill="002279"/>
            <w:noWrap/>
            <w:vAlign w:val="center"/>
            <w:hideMark/>
          </w:tcPr>
          <w:p w14:paraId="4F8EE982" w14:textId="01BACC13" w:rsidR="00B77925" w:rsidRPr="00116E55" w:rsidRDefault="00B77925" w:rsidP="00ED1414">
            <w:pPr>
              <w:jc w:val="center"/>
              <w:rPr>
                <w:rFonts w:asciiTheme="minorHAnsi" w:hAnsiTheme="minorHAnsi" w:cstheme="minorHAnsi"/>
                <w:b/>
                <w:sz w:val="18"/>
                <w:szCs w:val="18"/>
              </w:rPr>
            </w:pPr>
            <w:r w:rsidRPr="00116E55">
              <w:rPr>
                <w:rFonts w:asciiTheme="minorHAnsi" w:hAnsiTheme="minorHAnsi" w:cstheme="minorHAnsi"/>
                <w:b/>
                <w:sz w:val="18"/>
                <w:szCs w:val="18"/>
              </w:rPr>
              <w:t>2027</w:t>
            </w:r>
            <w:r w:rsidR="00310E2A" w:rsidRPr="00116E55">
              <w:rPr>
                <w:rFonts w:asciiTheme="minorHAnsi" w:hAnsiTheme="minorHAnsi" w:cstheme="minorHAnsi"/>
                <w:b/>
                <w:sz w:val="18"/>
                <w:szCs w:val="18"/>
              </w:rPr>
              <w:t>–</w:t>
            </w:r>
            <w:r w:rsidRPr="00116E55">
              <w:rPr>
                <w:rFonts w:asciiTheme="minorHAnsi" w:hAnsiTheme="minorHAnsi" w:cstheme="minorHAnsi"/>
                <w:b/>
                <w:sz w:val="18"/>
                <w:szCs w:val="18"/>
              </w:rPr>
              <w:t>28</w:t>
            </w:r>
          </w:p>
        </w:tc>
      </w:tr>
      <w:tr w:rsidR="002A4B0E" w:rsidRPr="00B77925" w14:paraId="22ABB06C" w14:textId="77777777" w:rsidTr="003F1732">
        <w:trPr>
          <w:cnfStyle w:val="000000100000" w:firstRow="0" w:lastRow="0" w:firstColumn="0" w:lastColumn="0" w:oddVBand="0" w:evenVBand="0" w:oddHBand="1" w:evenHBand="0" w:firstRowFirstColumn="0" w:firstRowLastColumn="0" w:lastRowFirstColumn="0" w:lastRowLastColumn="0"/>
          <w:trHeight w:val="473"/>
        </w:trPr>
        <w:tc>
          <w:tcPr>
            <w:tcW w:w="0" w:type="dxa"/>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1474FB07" w14:textId="3670872E" w:rsidR="00B77925" w:rsidRPr="00BF3EAD" w:rsidRDefault="00B77925" w:rsidP="00ED1414">
            <w:pPr>
              <w:rPr>
                <w:rFonts w:cstheme="minorHAnsi"/>
                <w:sz w:val="18"/>
                <w:szCs w:val="18"/>
              </w:rPr>
            </w:pPr>
            <w:r w:rsidRPr="00BF3EAD">
              <w:rPr>
                <w:rFonts w:cstheme="minorHAnsi"/>
                <w:sz w:val="18"/>
                <w:szCs w:val="18"/>
              </w:rPr>
              <w:t xml:space="preserve">Cost of </w:t>
            </w:r>
            <w:r w:rsidR="009173F4" w:rsidRPr="00BF3EAD">
              <w:rPr>
                <w:rFonts w:cstheme="minorHAnsi"/>
                <w:sz w:val="18"/>
                <w:szCs w:val="18"/>
              </w:rPr>
              <w:t>d</w:t>
            </w:r>
            <w:r w:rsidRPr="00BF3EAD">
              <w:rPr>
                <w:rFonts w:cstheme="minorHAnsi"/>
                <w:sz w:val="18"/>
                <w:szCs w:val="18"/>
              </w:rPr>
              <w:t>ebt</w:t>
            </w:r>
            <w:r w:rsidR="00823326" w:rsidRPr="00BF3EAD">
              <w:rPr>
                <w:rFonts w:cstheme="minorHAnsi"/>
                <w:sz w:val="18"/>
                <w:szCs w:val="18"/>
              </w:rPr>
              <w:t xml:space="preserve"> </w:t>
            </w:r>
            <w:r w:rsidR="00310E2A" w:rsidRPr="00BF3EAD">
              <w:rPr>
                <w:rFonts w:cstheme="minorHAnsi"/>
                <w:sz w:val="18"/>
                <w:szCs w:val="18"/>
              </w:rPr>
              <w:t>–</w:t>
            </w:r>
            <w:r w:rsidR="00823326" w:rsidRPr="00BF3EAD">
              <w:rPr>
                <w:rFonts w:cstheme="minorHAnsi"/>
                <w:sz w:val="18"/>
                <w:szCs w:val="18"/>
              </w:rPr>
              <w:t xml:space="preserve"> real</w:t>
            </w:r>
          </w:p>
        </w:tc>
        <w:tc>
          <w:tcPr>
            <w:tcW w:w="1507" w:type="dxa"/>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66CF099E" w14:textId="44B2C867" w:rsidR="00B77925" w:rsidRPr="00BF3EAD" w:rsidRDefault="008C5651" w:rsidP="00ED1414">
            <w:pPr>
              <w:jc w:val="center"/>
              <w:rPr>
                <w:rFonts w:cstheme="minorHAnsi"/>
                <w:sz w:val="18"/>
                <w:szCs w:val="18"/>
              </w:rPr>
            </w:pPr>
            <w:r w:rsidRPr="00BF3EAD">
              <w:rPr>
                <w:rFonts w:cstheme="minorHAnsi"/>
                <w:sz w:val="18"/>
                <w:szCs w:val="18"/>
              </w:rPr>
              <w:t>1</w:t>
            </w:r>
            <w:r w:rsidR="00B77925" w:rsidRPr="00BF3EAD">
              <w:rPr>
                <w:rFonts w:cstheme="minorHAnsi"/>
                <w:sz w:val="18"/>
                <w:szCs w:val="18"/>
              </w:rPr>
              <w:t>.</w:t>
            </w:r>
            <w:r w:rsidRPr="00BF3EAD">
              <w:rPr>
                <w:rFonts w:cstheme="minorHAnsi"/>
                <w:sz w:val="18"/>
                <w:szCs w:val="18"/>
              </w:rPr>
              <w:t>5</w:t>
            </w:r>
            <w:r w:rsidR="00B77925" w:rsidRPr="00BF3EAD">
              <w:rPr>
                <w:rFonts w:cstheme="minorHAnsi"/>
                <w:sz w:val="18"/>
                <w:szCs w:val="18"/>
              </w:rPr>
              <w:t>1%</w:t>
            </w:r>
          </w:p>
        </w:tc>
        <w:tc>
          <w:tcPr>
            <w:tcW w:w="1507" w:type="dxa"/>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2FB0D694" w14:textId="5BD2A8BF" w:rsidR="00B77925" w:rsidRPr="00BF3EAD" w:rsidRDefault="008C5651" w:rsidP="00ED1414">
            <w:pPr>
              <w:jc w:val="center"/>
              <w:rPr>
                <w:rFonts w:cstheme="minorHAnsi"/>
                <w:sz w:val="18"/>
                <w:szCs w:val="18"/>
              </w:rPr>
            </w:pPr>
            <w:r w:rsidRPr="00BF3EAD">
              <w:rPr>
                <w:rFonts w:cstheme="minorHAnsi"/>
                <w:sz w:val="18"/>
                <w:szCs w:val="18"/>
              </w:rPr>
              <w:t>1</w:t>
            </w:r>
            <w:r w:rsidR="00B77925" w:rsidRPr="00BF3EAD">
              <w:rPr>
                <w:rFonts w:cstheme="minorHAnsi"/>
                <w:sz w:val="18"/>
                <w:szCs w:val="18"/>
              </w:rPr>
              <w:t>.</w:t>
            </w:r>
            <w:r w:rsidRPr="00BF3EAD">
              <w:rPr>
                <w:rFonts w:cstheme="minorHAnsi"/>
                <w:sz w:val="18"/>
                <w:szCs w:val="18"/>
              </w:rPr>
              <w:t>1</w:t>
            </w:r>
            <w:r w:rsidR="00B77925" w:rsidRPr="00BF3EAD">
              <w:rPr>
                <w:rFonts w:cstheme="minorHAnsi"/>
                <w:sz w:val="18"/>
                <w:szCs w:val="18"/>
              </w:rPr>
              <w:t>9%</w:t>
            </w:r>
          </w:p>
        </w:tc>
        <w:tc>
          <w:tcPr>
            <w:tcW w:w="1507" w:type="dxa"/>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2E24BFFD" w14:textId="3A75935B" w:rsidR="00B77925" w:rsidRPr="00BF3EAD" w:rsidRDefault="00B77925" w:rsidP="00ED1414">
            <w:pPr>
              <w:jc w:val="center"/>
              <w:rPr>
                <w:rFonts w:cstheme="minorHAnsi"/>
                <w:sz w:val="18"/>
                <w:szCs w:val="18"/>
              </w:rPr>
            </w:pPr>
            <w:r w:rsidRPr="00BF3EAD">
              <w:rPr>
                <w:rFonts w:cstheme="minorHAnsi"/>
                <w:sz w:val="18"/>
                <w:szCs w:val="18"/>
              </w:rPr>
              <w:t>1.</w:t>
            </w:r>
            <w:r w:rsidR="008C5651" w:rsidRPr="00BF3EAD">
              <w:rPr>
                <w:rFonts w:cstheme="minorHAnsi"/>
                <w:sz w:val="18"/>
                <w:szCs w:val="18"/>
              </w:rPr>
              <w:t>04</w:t>
            </w:r>
            <w:r w:rsidRPr="00BF3EAD">
              <w:rPr>
                <w:rFonts w:cstheme="minorHAnsi"/>
                <w:sz w:val="18"/>
                <w:szCs w:val="18"/>
              </w:rPr>
              <w:t>%</w:t>
            </w:r>
          </w:p>
        </w:tc>
        <w:tc>
          <w:tcPr>
            <w:tcW w:w="1507" w:type="dxa"/>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52E606AE" w14:textId="5C71B945" w:rsidR="00B77925" w:rsidRPr="00BF3EAD" w:rsidRDefault="008C5651" w:rsidP="00ED1414">
            <w:pPr>
              <w:jc w:val="center"/>
              <w:rPr>
                <w:rFonts w:cstheme="minorHAnsi"/>
                <w:sz w:val="18"/>
                <w:szCs w:val="18"/>
              </w:rPr>
            </w:pPr>
            <w:r w:rsidRPr="00BF3EAD">
              <w:rPr>
                <w:rFonts w:cstheme="minorHAnsi"/>
                <w:sz w:val="18"/>
                <w:szCs w:val="18"/>
              </w:rPr>
              <w:t>0.89</w:t>
            </w:r>
            <w:r w:rsidR="00B77925" w:rsidRPr="00BF3EAD">
              <w:rPr>
                <w:rFonts w:cstheme="minorHAnsi"/>
                <w:sz w:val="18"/>
                <w:szCs w:val="18"/>
              </w:rPr>
              <w:t>%</w:t>
            </w:r>
          </w:p>
        </w:tc>
        <w:tc>
          <w:tcPr>
            <w:tcW w:w="1508" w:type="dxa"/>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5D9B1CC6" w14:textId="33136795" w:rsidR="00B77925" w:rsidRPr="00BF3EAD" w:rsidRDefault="008C5651" w:rsidP="00ED1414">
            <w:pPr>
              <w:jc w:val="center"/>
              <w:rPr>
                <w:rFonts w:cstheme="minorHAnsi"/>
                <w:sz w:val="18"/>
                <w:szCs w:val="18"/>
              </w:rPr>
            </w:pPr>
            <w:r w:rsidRPr="00BF3EAD">
              <w:rPr>
                <w:rFonts w:cstheme="minorHAnsi"/>
                <w:sz w:val="18"/>
                <w:szCs w:val="18"/>
              </w:rPr>
              <w:t>0.78</w:t>
            </w:r>
            <w:r w:rsidR="00B77925" w:rsidRPr="00BF3EAD">
              <w:rPr>
                <w:rFonts w:cstheme="minorHAnsi"/>
                <w:sz w:val="18"/>
                <w:szCs w:val="18"/>
              </w:rPr>
              <w:t>%</w:t>
            </w:r>
          </w:p>
        </w:tc>
      </w:tr>
      <w:tr w:rsidR="002A4B0E" w:rsidRPr="00B77925" w14:paraId="564764F3" w14:textId="77777777" w:rsidTr="003F1732">
        <w:trPr>
          <w:cnfStyle w:val="000000010000" w:firstRow="0" w:lastRow="0" w:firstColumn="0" w:lastColumn="0" w:oddVBand="0" w:evenVBand="0" w:oddHBand="0" w:evenHBand="1" w:firstRowFirstColumn="0" w:firstRowLastColumn="0" w:lastRowFirstColumn="0" w:lastRowLastColumn="0"/>
          <w:trHeight w:val="551"/>
        </w:trPr>
        <w:tc>
          <w:tcPr>
            <w:tcW w:w="1942" w:type="dxa"/>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2F9BE691" w14:textId="15FECEA6" w:rsidR="00B77925" w:rsidRPr="00BF3EAD" w:rsidRDefault="00B77925" w:rsidP="00ED1414">
            <w:pPr>
              <w:rPr>
                <w:rFonts w:cstheme="minorHAnsi"/>
                <w:sz w:val="18"/>
                <w:szCs w:val="18"/>
              </w:rPr>
            </w:pPr>
            <w:r w:rsidRPr="00BF3EAD">
              <w:rPr>
                <w:rFonts w:cstheme="minorHAnsi"/>
                <w:sz w:val="18"/>
                <w:szCs w:val="18"/>
              </w:rPr>
              <w:t xml:space="preserve">Return on </w:t>
            </w:r>
            <w:r w:rsidR="009173F4" w:rsidRPr="00BF3EAD">
              <w:rPr>
                <w:rFonts w:cstheme="minorHAnsi"/>
                <w:sz w:val="18"/>
                <w:szCs w:val="18"/>
              </w:rPr>
              <w:t>e</w:t>
            </w:r>
            <w:r w:rsidRPr="00BF3EAD">
              <w:rPr>
                <w:rFonts w:cstheme="minorHAnsi"/>
                <w:sz w:val="18"/>
                <w:szCs w:val="18"/>
              </w:rPr>
              <w:t>quity</w:t>
            </w:r>
          </w:p>
        </w:tc>
        <w:tc>
          <w:tcPr>
            <w:tcW w:w="1507" w:type="dxa"/>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0AE91F85" w14:textId="77777777" w:rsidR="00B77925" w:rsidRPr="00BF3EAD" w:rsidRDefault="00B77925" w:rsidP="00ED1414">
            <w:pPr>
              <w:jc w:val="center"/>
              <w:rPr>
                <w:rFonts w:cstheme="minorHAnsi"/>
                <w:sz w:val="18"/>
                <w:szCs w:val="18"/>
              </w:rPr>
            </w:pPr>
            <w:r w:rsidRPr="00BF3EAD">
              <w:rPr>
                <w:rFonts w:cstheme="minorHAnsi"/>
                <w:sz w:val="18"/>
                <w:szCs w:val="18"/>
              </w:rPr>
              <w:t>4.10%</w:t>
            </w:r>
          </w:p>
        </w:tc>
        <w:tc>
          <w:tcPr>
            <w:tcW w:w="1507" w:type="dxa"/>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2C6AF8CD" w14:textId="77777777" w:rsidR="00B77925" w:rsidRPr="00BF3EAD" w:rsidRDefault="00B77925" w:rsidP="00ED1414">
            <w:pPr>
              <w:jc w:val="center"/>
              <w:rPr>
                <w:rFonts w:cstheme="minorHAnsi"/>
                <w:sz w:val="18"/>
                <w:szCs w:val="18"/>
              </w:rPr>
            </w:pPr>
            <w:r w:rsidRPr="00BF3EAD">
              <w:rPr>
                <w:rFonts w:cstheme="minorHAnsi"/>
                <w:sz w:val="18"/>
                <w:szCs w:val="18"/>
              </w:rPr>
              <w:t>4.10%</w:t>
            </w:r>
          </w:p>
        </w:tc>
        <w:tc>
          <w:tcPr>
            <w:tcW w:w="1507" w:type="dxa"/>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1ED78EE4" w14:textId="77777777" w:rsidR="00B77925" w:rsidRPr="00BF3EAD" w:rsidRDefault="00B77925" w:rsidP="00ED1414">
            <w:pPr>
              <w:jc w:val="center"/>
              <w:rPr>
                <w:rFonts w:cstheme="minorHAnsi"/>
                <w:sz w:val="18"/>
                <w:szCs w:val="18"/>
              </w:rPr>
            </w:pPr>
            <w:r w:rsidRPr="00BF3EAD">
              <w:rPr>
                <w:rFonts w:cstheme="minorHAnsi"/>
                <w:sz w:val="18"/>
                <w:szCs w:val="18"/>
              </w:rPr>
              <w:t>4.10%</w:t>
            </w:r>
          </w:p>
        </w:tc>
        <w:tc>
          <w:tcPr>
            <w:tcW w:w="1507" w:type="dxa"/>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4E918011" w14:textId="77777777" w:rsidR="00B77925" w:rsidRPr="00BF3EAD" w:rsidRDefault="00B77925" w:rsidP="00ED1414">
            <w:pPr>
              <w:jc w:val="center"/>
              <w:rPr>
                <w:rFonts w:cstheme="minorHAnsi"/>
                <w:sz w:val="18"/>
                <w:szCs w:val="18"/>
              </w:rPr>
            </w:pPr>
            <w:r w:rsidRPr="00BF3EAD">
              <w:rPr>
                <w:rFonts w:cstheme="minorHAnsi"/>
                <w:sz w:val="18"/>
                <w:szCs w:val="18"/>
              </w:rPr>
              <w:t>4.10%</w:t>
            </w:r>
          </w:p>
        </w:tc>
        <w:tc>
          <w:tcPr>
            <w:tcW w:w="1508" w:type="dxa"/>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3EEAF1B4" w14:textId="77777777" w:rsidR="00B77925" w:rsidRPr="00BF3EAD" w:rsidRDefault="00B77925" w:rsidP="00ED1414">
            <w:pPr>
              <w:jc w:val="center"/>
              <w:rPr>
                <w:rFonts w:cstheme="minorHAnsi"/>
                <w:sz w:val="18"/>
                <w:szCs w:val="18"/>
              </w:rPr>
            </w:pPr>
            <w:r w:rsidRPr="00BF3EAD">
              <w:rPr>
                <w:rFonts w:cstheme="minorHAnsi"/>
                <w:sz w:val="18"/>
                <w:szCs w:val="18"/>
              </w:rPr>
              <w:t>4.10%</w:t>
            </w:r>
          </w:p>
        </w:tc>
      </w:tr>
      <w:tr w:rsidR="002A4B0E" w:rsidRPr="00B77925" w14:paraId="7DD8D566" w14:textId="77777777" w:rsidTr="003F1732">
        <w:trPr>
          <w:cnfStyle w:val="000000100000" w:firstRow="0" w:lastRow="0" w:firstColumn="0" w:lastColumn="0" w:oddVBand="0" w:evenVBand="0" w:oddHBand="1" w:evenHBand="0" w:firstRowFirstColumn="0" w:firstRowLastColumn="0" w:lastRowFirstColumn="0" w:lastRowLastColumn="0"/>
          <w:trHeight w:val="559"/>
        </w:trPr>
        <w:tc>
          <w:tcPr>
            <w:tcW w:w="1942" w:type="dxa"/>
            <w:tcBorders>
              <w:top w:val="single" w:sz="2" w:space="0" w:color="002279"/>
              <w:left w:val="single" w:sz="4" w:space="0" w:color="002279"/>
              <w:bottom w:val="single" w:sz="4" w:space="0" w:color="002279"/>
              <w:right w:val="single" w:sz="4" w:space="0" w:color="002279"/>
            </w:tcBorders>
            <w:shd w:val="clear" w:color="auto" w:fill="D4D6DF"/>
            <w:noWrap/>
            <w:vAlign w:val="center"/>
            <w:hideMark/>
          </w:tcPr>
          <w:p w14:paraId="0BF8A0F6" w14:textId="0B4AAAC7" w:rsidR="00B77925" w:rsidRPr="00BF3EAD" w:rsidRDefault="00B77925" w:rsidP="00ED1414">
            <w:pPr>
              <w:rPr>
                <w:rFonts w:cstheme="minorHAnsi"/>
                <w:sz w:val="18"/>
                <w:szCs w:val="18"/>
              </w:rPr>
            </w:pPr>
            <w:r w:rsidRPr="00BF3EAD">
              <w:rPr>
                <w:rFonts w:cstheme="minorHAnsi"/>
                <w:sz w:val="18"/>
                <w:szCs w:val="18"/>
              </w:rPr>
              <w:t xml:space="preserve">Regulatory </w:t>
            </w:r>
            <w:r w:rsidR="009173F4" w:rsidRPr="00BF3EAD">
              <w:rPr>
                <w:rFonts w:cstheme="minorHAnsi"/>
                <w:sz w:val="18"/>
                <w:szCs w:val="18"/>
              </w:rPr>
              <w:t>r</w:t>
            </w:r>
            <w:r w:rsidRPr="00BF3EAD">
              <w:rPr>
                <w:rFonts w:cstheme="minorHAnsi"/>
                <w:sz w:val="18"/>
                <w:szCs w:val="18"/>
              </w:rPr>
              <w:t xml:space="preserve">ate of </w:t>
            </w:r>
            <w:r w:rsidR="009173F4" w:rsidRPr="00BF3EAD">
              <w:rPr>
                <w:rFonts w:cstheme="minorHAnsi"/>
                <w:sz w:val="18"/>
                <w:szCs w:val="18"/>
              </w:rPr>
              <w:t>r</w:t>
            </w:r>
            <w:r w:rsidRPr="00BF3EAD">
              <w:rPr>
                <w:rFonts w:cstheme="minorHAnsi"/>
                <w:sz w:val="18"/>
                <w:szCs w:val="18"/>
              </w:rPr>
              <w:t xml:space="preserve">eturn (RRR) </w:t>
            </w:r>
            <w:r w:rsidR="00310E2A" w:rsidRPr="00BF3EAD">
              <w:rPr>
                <w:rFonts w:cstheme="minorHAnsi"/>
                <w:sz w:val="18"/>
                <w:szCs w:val="18"/>
              </w:rPr>
              <w:t>–</w:t>
            </w:r>
            <w:r w:rsidRPr="00BF3EAD">
              <w:rPr>
                <w:rFonts w:cstheme="minorHAnsi"/>
                <w:sz w:val="18"/>
                <w:szCs w:val="18"/>
              </w:rPr>
              <w:t xml:space="preserve"> </w:t>
            </w:r>
            <w:r w:rsidR="009173F4" w:rsidRPr="00BF3EAD">
              <w:rPr>
                <w:rFonts w:cstheme="minorHAnsi"/>
                <w:sz w:val="18"/>
                <w:szCs w:val="18"/>
              </w:rPr>
              <w:t>r</w:t>
            </w:r>
            <w:r w:rsidRPr="00BF3EAD">
              <w:rPr>
                <w:rFonts w:cstheme="minorHAnsi"/>
                <w:sz w:val="18"/>
                <w:szCs w:val="18"/>
              </w:rPr>
              <w:t>eal</w:t>
            </w:r>
          </w:p>
        </w:tc>
        <w:tc>
          <w:tcPr>
            <w:tcW w:w="1507" w:type="dxa"/>
            <w:tcBorders>
              <w:top w:val="single" w:sz="2" w:space="0" w:color="002279"/>
              <w:left w:val="single" w:sz="4" w:space="0" w:color="002279"/>
              <w:bottom w:val="single" w:sz="4" w:space="0" w:color="002279"/>
              <w:right w:val="single" w:sz="4" w:space="0" w:color="002279"/>
            </w:tcBorders>
            <w:shd w:val="clear" w:color="auto" w:fill="D4D6DF"/>
            <w:noWrap/>
            <w:vAlign w:val="center"/>
            <w:hideMark/>
          </w:tcPr>
          <w:p w14:paraId="5C43B94F" w14:textId="454899B4" w:rsidR="00B77925" w:rsidRPr="00BF3EAD" w:rsidRDefault="00336668" w:rsidP="00ED1414">
            <w:pPr>
              <w:jc w:val="center"/>
              <w:rPr>
                <w:rFonts w:cstheme="minorHAnsi"/>
                <w:sz w:val="18"/>
                <w:szCs w:val="18"/>
              </w:rPr>
            </w:pPr>
            <w:r w:rsidRPr="00BF3EAD">
              <w:rPr>
                <w:rFonts w:cstheme="minorHAnsi"/>
                <w:sz w:val="18"/>
                <w:szCs w:val="18"/>
              </w:rPr>
              <w:t>2</w:t>
            </w:r>
            <w:r w:rsidR="00B77925" w:rsidRPr="00BF3EAD">
              <w:rPr>
                <w:rFonts w:cstheme="minorHAnsi"/>
                <w:sz w:val="18"/>
                <w:szCs w:val="18"/>
              </w:rPr>
              <w:t>.</w:t>
            </w:r>
            <w:r w:rsidRPr="00BF3EAD">
              <w:rPr>
                <w:rFonts w:cstheme="minorHAnsi"/>
                <w:sz w:val="18"/>
                <w:szCs w:val="18"/>
              </w:rPr>
              <w:t>55</w:t>
            </w:r>
            <w:r w:rsidR="00B77925" w:rsidRPr="00BF3EAD">
              <w:rPr>
                <w:rFonts w:cstheme="minorHAnsi"/>
                <w:sz w:val="18"/>
                <w:szCs w:val="18"/>
              </w:rPr>
              <w:t>%</w:t>
            </w:r>
          </w:p>
        </w:tc>
        <w:tc>
          <w:tcPr>
            <w:tcW w:w="1507" w:type="dxa"/>
            <w:tcBorders>
              <w:top w:val="single" w:sz="2" w:space="0" w:color="002279"/>
              <w:left w:val="single" w:sz="4" w:space="0" w:color="002279"/>
              <w:bottom w:val="single" w:sz="4" w:space="0" w:color="002279"/>
              <w:right w:val="single" w:sz="4" w:space="0" w:color="002279"/>
            </w:tcBorders>
            <w:shd w:val="clear" w:color="auto" w:fill="D4D6DF"/>
            <w:noWrap/>
            <w:vAlign w:val="center"/>
            <w:hideMark/>
          </w:tcPr>
          <w:p w14:paraId="2D28F187" w14:textId="083EB108" w:rsidR="00B77925" w:rsidRPr="00BF3EAD" w:rsidRDefault="00B77925" w:rsidP="00ED1414">
            <w:pPr>
              <w:jc w:val="center"/>
              <w:rPr>
                <w:rFonts w:cstheme="minorHAnsi"/>
                <w:sz w:val="18"/>
                <w:szCs w:val="18"/>
              </w:rPr>
            </w:pPr>
            <w:r w:rsidRPr="00BF3EAD">
              <w:rPr>
                <w:rFonts w:cstheme="minorHAnsi"/>
                <w:sz w:val="18"/>
                <w:szCs w:val="18"/>
              </w:rPr>
              <w:t>2.</w:t>
            </w:r>
            <w:r w:rsidR="00336668" w:rsidRPr="00BF3EAD">
              <w:rPr>
                <w:rFonts w:cstheme="minorHAnsi"/>
                <w:sz w:val="18"/>
                <w:szCs w:val="18"/>
              </w:rPr>
              <w:t>36</w:t>
            </w:r>
            <w:r w:rsidRPr="00BF3EAD">
              <w:rPr>
                <w:rFonts w:cstheme="minorHAnsi"/>
                <w:sz w:val="18"/>
                <w:szCs w:val="18"/>
              </w:rPr>
              <w:t>%</w:t>
            </w:r>
          </w:p>
        </w:tc>
        <w:tc>
          <w:tcPr>
            <w:tcW w:w="1507" w:type="dxa"/>
            <w:tcBorders>
              <w:top w:val="single" w:sz="2" w:space="0" w:color="002279"/>
              <w:left w:val="single" w:sz="4" w:space="0" w:color="002279"/>
              <w:bottom w:val="single" w:sz="4" w:space="0" w:color="002279"/>
              <w:right w:val="single" w:sz="4" w:space="0" w:color="002279"/>
            </w:tcBorders>
            <w:shd w:val="clear" w:color="auto" w:fill="D4D6DF"/>
            <w:noWrap/>
            <w:vAlign w:val="center"/>
            <w:hideMark/>
          </w:tcPr>
          <w:p w14:paraId="16C69C1E" w14:textId="45C37B8E" w:rsidR="00B77925" w:rsidRPr="00BF3EAD" w:rsidRDefault="00B77925" w:rsidP="00ED1414">
            <w:pPr>
              <w:jc w:val="center"/>
              <w:rPr>
                <w:rFonts w:cstheme="minorHAnsi"/>
                <w:sz w:val="18"/>
                <w:szCs w:val="18"/>
              </w:rPr>
            </w:pPr>
            <w:r w:rsidRPr="00BF3EAD">
              <w:rPr>
                <w:rFonts w:cstheme="minorHAnsi"/>
                <w:sz w:val="18"/>
                <w:szCs w:val="18"/>
              </w:rPr>
              <w:t>2.</w:t>
            </w:r>
            <w:r w:rsidR="00336668" w:rsidRPr="00BF3EAD">
              <w:rPr>
                <w:rFonts w:cstheme="minorHAnsi"/>
                <w:sz w:val="18"/>
                <w:szCs w:val="18"/>
              </w:rPr>
              <w:t>26</w:t>
            </w:r>
            <w:r w:rsidRPr="00BF3EAD">
              <w:rPr>
                <w:rFonts w:cstheme="minorHAnsi"/>
                <w:sz w:val="18"/>
                <w:szCs w:val="18"/>
              </w:rPr>
              <w:t>%</w:t>
            </w:r>
          </w:p>
        </w:tc>
        <w:tc>
          <w:tcPr>
            <w:tcW w:w="1507" w:type="dxa"/>
            <w:tcBorders>
              <w:top w:val="single" w:sz="2" w:space="0" w:color="002279"/>
              <w:left w:val="single" w:sz="4" w:space="0" w:color="002279"/>
              <w:bottom w:val="single" w:sz="4" w:space="0" w:color="002279"/>
              <w:right w:val="single" w:sz="4" w:space="0" w:color="002279"/>
            </w:tcBorders>
            <w:shd w:val="clear" w:color="auto" w:fill="D4D6DF"/>
            <w:noWrap/>
            <w:vAlign w:val="center"/>
            <w:hideMark/>
          </w:tcPr>
          <w:p w14:paraId="5C5FD6BB" w14:textId="632C1858" w:rsidR="00B77925" w:rsidRPr="00BF3EAD" w:rsidRDefault="00B77925" w:rsidP="00ED1414">
            <w:pPr>
              <w:jc w:val="center"/>
              <w:rPr>
                <w:rFonts w:cstheme="minorHAnsi"/>
                <w:sz w:val="18"/>
                <w:szCs w:val="18"/>
              </w:rPr>
            </w:pPr>
            <w:r w:rsidRPr="00BF3EAD">
              <w:rPr>
                <w:rFonts w:cstheme="minorHAnsi"/>
                <w:sz w:val="18"/>
                <w:szCs w:val="18"/>
              </w:rPr>
              <w:t>2.</w:t>
            </w:r>
            <w:r w:rsidR="00336668" w:rsidRPr="00BF3EAD">
              <w:rPr>
                <w:rFonts w:cstheme="minorHAnsi"/>
                <w:sz w:val="18"/>
                <w:szCs w:val="18"/>
              </w:rPr>
              <w:t>17</w:t>
            </w:r>
            <w:r w:rsidRPr="00BF3EAD">
              <w:rPr>
                <w:rFonts w:cstheme="minorHAnsi"/>
                <w:sz w:val="18"/>
                <w:szCs w:val="18"/>
              </w:rPr>
              <w:t>%</w:t>
            </w:r>
          </w:p>
        </w:tc>
        <w:tc>
          <w:tcPr>
            <w:tcW w:w="1508" w:type="dxa"/>
            <w:tcBorders>
              <w:top w:val="single" w:sz="2" w:space="0" w:color="002279"/>
              <w:left w:val="single" w:sz="4" w:space="0" w:color="002279"/>
              <w:bottom w:val="single" w:sz="4" w:space="0" w:color="002279"/>
              <w:right w:val="single" w:sz="4" w:space="0" w:color="002279"/>
            </w:tcBorders>
            <w:shd w:val="clear" w:color="auto" w:fill="D4D6DF"/>
            <w:noWrap/>
            <w:vAlign w:val="center"/>
            <w:hideMark/>
          </w:tcPr>
          <w:p w14:paraId="63BDA7BC" w14:textId="60333E56" w:rsidR="00B77925" w:rsidRPr="00BF3EAD" w:rsidRDefault="00B77925" w:rsidP="00ED1414">
            <w:pPr>
              <w:jc w:val="center"/>
              <w:rPr>
                <w:rFonts w:cstheme="minorHAnsi"/>
                <w:sz w:val="18"/>
                <w:szCs w:val="18"/>
              </w:rPr>
            </w:pPr>
            <w:r w:rsidRPr="00BF3EAD">
              <w:rPr>
                <w:rFonts w:cstheme="minorHAnsi"/>
                <w:sz w:val="18"/>
                <w:szCs w:val="18"/>
              </w:rPr>
              <w:t>2.</w:t>
            </w:r>
            <w:r w:rsidR="00336668" w:rsidRPr="00BF3EAD">
              <w:rPr>
                <w:rFonts w:cstheme="minorHAnsi"/>
                <w:sz w:val="18"/>
                <w:szCs w:val="18"/>
              </w:rPr>
              <w:t>11</w:t>
            </w:r>
            <w:r w:rsidRPr="00BF3EAD">
              <w:rPr>
                <w:rFonts w:cstheme="minorHAnsi"/>
                <w:sz w:val="18"/>
                <w:szCs w:val="18"/>
              </w:rPr>
              <w:t>%</w:t>
            </w:r>
          </w:p>
        </w:tc>
      </w:tr>
    </w:tbl>
    <w:p w14:paraId="0B7B42DD" w14:textId="75A10EFA" w:rsidR="00C91DCF" w:rsidRDefault="00ED1414" w:rsidP="00AE35E9">
      <w:r>
        <w:rPr>
          <w:noProof/>
        </w:rPr>
        <mc:AlternateContent>
          <mc:Choice Requires="wps">
            <w:drawing>
              <wp:anchor distT="45720" distB="45720" distL="114300" distR="114300" simplePos="0" relativeHeight="251658287" behindDoc="0" locked="0" layoutInCell="1" allowOverlap="1" wp14:anchorId="77FFBB32" wp14:editId="2F6F4A00">
                <wp:simplePos x="0" y="0"/>
                <wp:positionH relativeFrom="column">
                  <wp:posOffset>-2540</wp:posOffset>
                </wp:positionH>
                <wp:positionV relativeFrom="paragraph">
                  <wp:posOffset>364639</wp:posOffset>
                </wp:positionV>
                <wp:extent cx="6010910" cy="882015"/>
                <wp:effectExtent l="0" t="0" r="8890" b="0"/>
                <wp:wrapSquare wrapText="bothSides"/>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910" cy="882015"/>
                        </a:xfrm>
                        <a:prstGeom prst="rect">
                          <a:avLst/>
                        </a:prstGeom>
                        <a:solidFill>
                          <a:srgbClr val="FF8D00"/>
                        </a:solidFill>
                        <a:ln w="9525">
                          <a:noFill/>
                          <a:miter lim="800000"/>
                          <a:headEnd/>
                          <a:tailEnd/>
                        </a:ln>
                      </wps:spPr>
                      <wps:txbx>
                        <w:txbxContent>
                          <w:p w14:paraId="3A027FC6" w14:textId="7111E91D" w:rsidR="003F7155" w:rsidRPr="00116E55" w:rsidRDefault="003F7155" w:rsidP="00116E55">
                            <w:pPr>
                              <w:pStyle w:val="Heading3"/>
                              <w:spacing w:before="0" w:after="240"/>
                              <w:rPr>
                                <w:color w:val="FFFFFF" w:themeColor="background1"/>
                                <w:sz w:val="24"/>
                              </w:rPr>
                            </w:pPr>
                            <w:r>
                              <w:rPr>
                                <w:color w:val="FFFFFF" w:themeColor="background1"/>
                                <w:sz w:val="24"/>
                              </w:rPr>
                              <w:t>Supporting documents</w:t>
                            </w:r>
                          </w:p>
                          <w:p w14:paraId="0CECAC72" w14:textId="77777777" w:rsidR="003F7155" w:rsidRPr="00BA395F" w:rsidRDefault="003F7155">
                            <w:pPr>
                              <w:pStyle w:val="ListParagraph2"/>
                              <w:numPr>
                                <w:ilvl w:val="1"/>
                                <w:numId w:val="36"/>
                              </w:numPr>
                              <w:tabs>
                                <w:tab w:val="num" w:pos="360"/>
                              </w:tabs>
                              <w:ind w:left="426"/>
                              <w:rPr>
                                <w:rFonts w:asciiTheme="minorHAnsi" w:hAnsiTheme="minorHAnsi"/>
                                <w:b/>
                                <w:color w:val="FFFFFF" w:themeColor="background1"/>
                                <w:sz w:val="22"/>
                                <w:szCs w:val="22"/>
                              </w:rPr>
                            </w:pPr>
                            <w:r w:rsidRPr="00BA395F">
                              <w:rPr>
                                <w:rFonts w:asciiTheme="minorHAnsi" w:hAnsiTheme="minorHAnsi"/>
                                <w:b/>
                                <w:color w:val="FFFFFF" w:themeColor="background1"/>
                                <w:sz w:val="22"/>
                                <w:szCs w:val="22"/>
                              </w:rPr>
                              <w:t>ESC Regulatory model</w:t>
                            </w:r>
                          </w:p>
                          <w:p w14:paraId="1D60535B" w14:textId="21D84522" w:rsidR="003F7155" w:rsidRPr="00116E55" w:rsidRDefault="003F7155" w:rsidP="00116E55">
                            <w:pPr>
                              <w:ind w:left="360"/>
                            </w:pPr>
                          </w:p>
                        </w:txbxContent>
                      </wps:txbx>
                      <wps:bodyPr rot="0" vert="horz" wrap="square" lIns="180000" tIns="180000" rIns="180000" bIns="180000" anchor="t" anchorCtr="0">
                        <a:noAutofit/>
                      </wps:bodyPr>
                    </wps:wsp>
                  </a:graphicData>
                </a:graphic>
                <wp14:sizeRelH relativeFrom="margin">
                  <wp14:pctWidth>0</wp14:pctWidth>
                </wp14:sizeRelH>
                <wp14:sizeRelV relativeFrom="margin">
                  <wp14:pctHeight>0</wp14:pctHeight>
                </wp14:sizeRelV>
              </wp:anchor>
            </w:drawing>
          </mc:Choice>
          <mc:Fallback>
            <w:pict>
              <v:shape w14:anchorId="77FFBB32" id="Text Box 107" o:spid="_x0000_s1061" type="#_x0000_t202" style="position:absolute;margin-left:-.2pt;margin-top:28.7pt;width:473.3pt;height:69.45pt;z-index:25165828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" fillcolor="#ff8d00" stroked="f">
                <v:textbox inset="5mm,5mm,5mm,5mm">
                  <w:txbxContent>
                    <w:p w14:paraId="3A027FC6" w14:textId="7111E91D" w:rsidR="003F7155" w:rsidRPr="00116E55" w:rsidRDefault="003F7155" w:rsidP="00116E55">
                      <w:pPr>
                        <w:pStyle w:val="Heading3"/>
                        <w:spacing w:before="0" w:after="240"/>
                        <w:rPr>
                          <w:color w:val="FFFFFF" w:themeColor="background1"/>
                          <w:sz w:val="24"/>
                        </w:rPr>
                      </w:pPr>
                      <w:r>
                        <w:rPr>
                          <w:color w:val="FFFFFF" w:themeColor="background1"/>
                          <w:sz w:val="24"/>
                        </w:rPr>
                        <w:t>Supporting documents</w:t>
                      </w:r>
                    </w:p>
                    <w:p w14:paraId="0CECAC72" w14:textId="77777777" w:rsidR="003F7155" w:rsidRPr="00BA395F" w:rsidRDefault="003F7155">
                      <w:pPr>
                        <w:pStyle w:val="ListParagraph2"/>
                        <w:numPr>
                          <w:ilvl w:val="1"/>
                          <w:numId w:val="36"/>
                        </w:numPr>
                        <w:tabs>
                          <w:tab w:val="num" w:pos="360"/>
                        </w:tabs>
                        <w:ind w:left="426"/>
                        <w:rPr>
                          <w:rFonts w:asciiTheme="minorHAnsi" w:hAnsiTheme="minorHAnsi"/>
                          <w:b/>
                          <w:color w:val="FFFFFF" w:themeColor="background1"/>
                          <w:sz w:val="22"/>
                          <w:szCs w:val="22"/>
                        </w:rPr>
                      </w:pPr>
                      <w:r w:rsidRPr="00BA395F">
                        <w:rPr>
                          <w:rFonts w:asciiTheme="minorHAnsi" w:hAnsiTheme="minorHAnsi"/>
                          <w:b/>
                          <w:color w:val="FFFFFF" w:themeColor="background1"/>
                          <w:sz w:val="22"/>
                          <w:szCs w:val="22"/>
                        </w:rPr>
                        <w:t>ESC Regulatory model</w:t>
                      </w:r>
                    </w:p>
                    <w:p w14:paraId="1D60535B" w14:textId="21D84522" w:rsidR="003F7155" w:rsidRPr="00116E55" w:rsidRDefault="003F7155" w:rsidP="00116E55">
                      <w:pPr>
                        <w:ind w:left="360"/>
                      </w:pPr>
                    </w:p>
                  </w:txbxContent>
                </v:textbox>
                <w10:wrap type="square"/>
              </v:shape>
            </w:pict>
          </mc:Fallback>
        </mc:AlternateContent>
      </w:r>
    </w:p>
    <w:p w14:paraId="2FFB1DAE" w14:textId="77777777" w:rsidR="00ED1414" w:rsidRDefault="00ED1414" w:rsidP="00360131">
      <w:pPr>
        <w:pStyle w:val="NbrHeading1"/>
        <w:ind w:left="426"/>
      </w:pPr>
      <w:bookmarkStart w:id="88" w:name="_Toc114644623"/>
    </w:p>
    <w:p w14:paraId="6F1F6E7E" w14:textId="77777777" w:rsidR="00ED1414" w:rsidRDefault="00ED1414" w:rsidP="00360131">
      <w:pPr>
        <w:pStyle w:val="NbrHeading1"/>
        <w:ind w:left="426"/>
      </w:pPr>
    </w:p>
    <w:p w14:paraId="34DFDCB6" w14:textId="77777777" w:rsidR="00ED1414" w:rsidRDefault="00ED1414" w:rsidP="00360131">
      <w:pPr>
        <w:pStyle w:val="NbrHeading1"/>
        <w:ind w:left="426"/>
      </w:pPr>
    </w:p>
    <w:p w14:paraId="5A2FABF1" w14:textId="77777777" w:rsidR="00ED1414" w:rsidRDefault="00ED1414" w:rsidP="00360131">
      <w:pPr>
        <w:pStyle w:val="NbrHeading1"/>
        <w:ind w:left="426"/>
      </w:pPr>
    </w:p>
    <w:p w14:paraId="594C88B1" w14:textId="77777777" w:rsidR="00ED1414" w:rsidRDefault="00ED1414" w:rsidP="00360131">
      <w:pPr>
        <w:pStyle w:val="NbrHeading1"/>
        <w:ind w:left="426"/>
      </w:pPr>
    </w:p>
    <w:p w14:paraId="43B5A8FC" w14:textId="235DBF42" w:rsidR="00004BAC" w:rsidRDefault="00ED1414" w:rsidP="00360131">
      <w:pPr>
        <w:pStyle w:val="NbrHeading1"/>
        <w:ind w:left="426"/>
      </w:pPr>
      <w:r>
        <w:lastRenderedPageBreak/>
        <mc:AlternateContent>
          <mc:Choice Requires="wps">
            <w:drawing>
              <wp:anchor distT="45720" distB="45720" distL="114300" distR="114300" simplePos="0" relativeHeight="251658281" behindDoc="0" locked="0" layoutInCell="1" allowOverlap="1" wp14:anchorId="511D7398" wp14:editId="20D861A3">
                <wp:simplePos x="0" y="0"/>
                <wp:positionH relativeFrom="column">
                  <wp:posOffset>-50389</wp:posOffset>
                </wp:positionH>
                <wp:positionV relativeFrom="paragraph">
                  <wp:posOffset>593725</wp:posOffset>
                </wp:positionV>
                <wp:extent cx="6087110" cy="2540000"/>
                <wp:effectExtent l="0" t="0" r="0" b="0"/>
                <wp:wrapSquare wrapText="bothSides"/>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7110" cy="2540000"/>
                        </a:xfrm>
                        <a:prstGeom prst="rect">
                          <a:avLst/>
                        </a:prstGeom>
                        <a:solidFill>
                          <a:srgbClr val="00B1F4"/>
                        </a:solidFill>
                        <a:ln w="9525">
                          <a:noFill/>
                          <a:miter lim="800000"/>
                          <a:headEnd/>
                          <a:tailEnd/>
                        </a:ln>
                      </wps:spPr>
                      <wps:txbx>
                        <w:txbxContent>
                          <w:p w14:paraId="335DD9B8" w14:textId="77777777" w:rsidR="00BF3EAD" w:rsidRPr="00116E55" w:rsidRDefault="00BF3EAD" w:rsidP="00116E55">
                            <w:pPr>
                              <w:pStyle w:val="Heading3"/>
                              <w:spacing w:before="0" w:after="240"/>
                              <w:rPr>
                                <w:color w:val="FFFFFF" w:themeColor="background1"/>
                                <w:sz w:val="24"/>
                              </w:rPr>
                            </w:pPr>
                            <w:r w:rsidRPr="00116E55">
                              <w:rPr>
                                <w:color w:val="FFFFFF" w:themeColor="background1"/>
                                <w:sz w:val="24"/>
                              </w:rPr>
                              <w:t>Key points</w:t>
                            </w:r>
                          </w:p>
                          <w:p w14:paraId="6CBBB264" w14:textId="77777777" w:rsidR="00BF3EAD" w:rsidRPr="00BA395F" w:rsidRDefault="00BF3EAD" w:rsidP="00116E55">
                            <w:pPr>
                              <w:pStyle w:val="Heading3"/>
                              <w:spacing w:before="0" w:after="120"/>
                              <w:rPr>
                                <w:rFonts w:eastAsiaTheme="minorHAnsi" w:cstheme="minorBidi"/>
                                <w:color w:val="FFFFFF" w:themeColor="background1"/>
                                <w:sz w:val="22"/>
                                <w:szCs w:val="22"/>
                              </w:rPr>
                            </w:pPr>
                            <w:r w:rsidRPr="00BA395F">
                              <w:rPr>
                                <w:rFonts w:eastAsiaTheme="minorHAnsi" w:cstheme="minorBidi"/>
                                <w:color w:val="FFFFFF" w:themeColor="background1"/>
                                <w:sz w:val="22"/>
                                <w:szCs w:val="22"/>
                              </w:rPr>
                              <w:t>South East Water’s forecasts reflect:</w:t>
                            </w:r>
                          </w:p>
                          <w:p w14:paraId="4E1A453B" w14:textId="6DB47F96" w:rsidR="00BF3EAD" w:rsidRPr="00BA395F" w:rsidRDefault="00BF3EAD">
                            <w:pPr>
                              <w:pStyle w:val="Heading3"/>
                              <w:numPr>
                                <w:ilvl w:val="0"/>
                                <w:numId w:val="33"/>
                              </w:numPr>
                              <w:spacing w:before="0" w:after="120"/>
                              <w:ind w:left="425" w:hanging="357"/>
                              <w:rPr>
                                <w:rFonts w:eastAsiaTheme="minorHAnsi" w:cstheme="minorBidi"/>
                                <w:color w:val="FFFFFF" w:themeColor="background1"/>
                                <w:sz w:val="22"/>
                                <w:szCs w:val="22"/>
                              </w:rPr>
                            </w:pPr>
                            <w:r w:rsidRPr="00BA395F">
                              <w:rPr>
                                <w:rFonts w:eastAsiaTheme="minorHAnsi" w:cstheme="minorBidi"/>
                                <w:color w:val="FFFFFF" w:themeColor="background1"/>
                                <w:sz w:val="22"/>
                                <w:szCs w:val="22"/>
                              </w:rPr>
                              <w:t xml:space="preserve">lower forecast growth for new residential dwellings and population than in the </w:t>
                            </w:r>
                            <w:r w:rsidRPr="00BA395F">
                              <w:rPr>
                                <w:rFonts w:eastAsiaTheme="minorHAnsi" w:cstheme="minorBidi"/>
                                <w:color w:val="FFFFFF" w:themeColor="background1"/>
                                <w:sz w:val="22"/>
                                <w:szCs w:val="22"/>
                              </w:rPr>
                              <w:br/>
                              <w:t>Victoria in Futures (VIF)</w:t>
                            </w:r>
                          </w:p>
                          <w:p w14:paraId="60DECEA2" w14:textId="608DAC6B" w:rsidR="00BF3EAD" w:rsidRPr="00BA395F" w:rsidRDefault="00BF3EAD">
                            <w:pPr>
                              <w:pStyle w:val="Heading3"/>
                              <w:numPr>
                                <w:ilvl w:val="0"/>
                                <w:numId w:val="33"/>
                              </w:numPr>
                              <w:spacing w:before="0" w:after="120"/>
                              <w:ind w:left="425" w:hanging="357"/>
                              <w:rPr>
                                <w:rFonts w:eastAsiaTheme="minorHAnsi" w:cstheme="minorBidi"/>
                                <w:color w:val="FFFFFF" w:themeColor="background1"/>
                                <w:sz w:val="22"/>
                                <w:szCs w:val="22"/>
                              </w:rPr>
                            </w:pPr>
                            <w:r w:rsidRPr="00BA395F">
                              <w:rPr>
                                <w:rFonts w:eastAsiaTheme="minorHAnsi" w:cstheme="minorBidi"/>
                                <w:color w:val="FFFFFF" w:themeColor="background1"/>
                                <w:sz w:val="22"/>
                                <w:szCs w:val="22"/>
                              </w:rPr>
                              <w:t xml:space="preserve">water efficiency savings from households and the broader network as a result </w:t>
                            </w:r>
                            <w:r w:rsidR="00ED1414">
                              <w:rPr>
                                <w:rFonts w:eastAsiaTheme="minorHAnsi" w:cstheme="minorBidi"/>
                                <w:color w:val="FFFFFF" w:themeColor="background1"/>
                                <w:sz w:val="22"/>
                                <w:szCs w:val="22"/>
                              </w:rPr>
                              <w:br/>
                            </w:r>
                            <w:r w:rsidRPr="00BA395F">
                              <w:rPr>
                                <w:rFonts w:eastAsiaTheme="minorHAnsi" w:cstheme="minorBidi"/>
                                <w:color w:val="FFFFFF" w:themeColor="background1"/>
                                <w:sz w:val="22"/>
                                <w:szCs w:val="22"/>
                              </w:rPr>
                              <w:t>of digital metering</w:t>
                            </w:r>
                          </w:p>
                          <w:p w14:paraId="5EAA13C3" w14:textId="361C7198" w:rsidR="00BF3EAD" w:rsidRPr="00BA395F" w:rsidRDefault="00BF3EAD">
                            <w:pPr>
                              <w:pStyle w:val="Heading3"/>
                              <w:numPr>
                                <w:ilvl w:val="0"/>
                                <w:numId w:val="33"/>
                              </w:numPr>
                              <w:spacing w:before="0" w:after="120"/>
                              <w:ind w:left="425" w:hanging="357"/>
                              <w:rPr>
                                <w:rFonts w:eastAsiaTheme="minorHAnsi" w:cstheme="minorBidi"/>
                                <w:color w:val="FFFFFF" w:themeColor="background1"/>
                                <w:sz w:val="22"/>
                                <w:szCs w:val="22"/>
                              </w:rPr>
                            </w:pPr>
                            <w:r w:rsidRPr="00BA395F">
                              <w:rPr>
                                <w:rFonts w:eastAsiaTheme="minorHAnsi" w:cstheme="minorBidi"/>
                                <w:color w:val="FFFFFF" w:themeColor="background1"/>
                                <w:sz w:val="22"/>
                                <w:szCs w:val="22"/>
                              </w:rPr>
                              <w:t xml:space="preserve">a higher residential water consumption forecast in the short term to account for the coronavirus pandemic (COVID-19) impacts and assuming a return to drier </w:t>
                            </w:r>
                            <w:r w:rsidR="00ED1414">
                              <w:rPr>
                                <w:rFonts w:eastAsiaTheme="minorHAnsi" w:cstheme="minorBidi"/>
                                <w:color w:val="FFFFFF" w:themeColor="background1"/>
                                <w:sz w:val="22"/>
                                <w:szCs w:val="22"/>
                              </w:rPr>
                              <w:br/>
                            </w:r>
                            <w:r w:rsidRPr="00BA395F">
                              <w:rPr>
                                <w:rFonts w:eastAsiaTheme="minorHAnsi" w:cstheme="minorBidi"/>
                                <w:color w:val="FFFFFF" w:themeColor="background1"/>
                                <w:sz w:val="22"/>
                                <w:szCs w:val="22"/>
                              </w:rPr>
                              <w:t>and hotter weather conditions</w:t>
                            </w:r>
                          </w:p>
                          <w:p w14:paraId="3DC503CB" w14:textId="0D0D62F0" w:rsidR="00BF3EAD" w:rsidRPr="00BA395F" w:rsidRDefault="00BF3EAD">
                            <w:pPr>
                              <w:pStyle w:val="Heading3"/>
                              <w:numPr>
                                <w:ilvl w:val="0"/>
                                <w:numId w:val="33"/>
                              </w:numPr>
                              <w:spacing w:before="0" w:after="120"/>
                              <w:ind w:left="425" w:hanging="357"/>
                              <w:rPr>
                                <w:rFonts w:eastAsiaTheme="minorHAnsi" w:cstheme="minorBidi"/>
                                <w:color w:val="FFFFFF" w:themeColor="background1"/>
                                <w:sz w:val="22"/>
                                <w:szCs w:val="22"/>
                              </w:rPr>
                            </w:pPr>
                            <w:r w:rsidRPr="00BA395F">
                              <w:rPr>
                                <w:rFonts w:eastAsiaTheme="minorHAnsi" w:cstheme="minorBidi"/>
                                <w:color w:val="FFFFFF" w:themeColor="background1"/>
                                <w:sz w:val="22"/>
                                <w:szCs w:val="22"/>
                              </w:rPr>
                              <w:t>lower non-</w:t>
                            </w:r>
                            <w:r w:rsidR="004C621C">
                              <w:rPr>
                                <w:rFonts w:eastAsiaTheme="minorHAnsi" w:cstheme="minorBidi"/>
                                <w:color w:val="FFFFFF" w:themeColor="background1"/>
                                <w:sz w:val="22"/>
                                <w:szCs w:val="22"/>
                              </w:rPr>
                              <w:t>residential</w:t>
                            </w:r>
                            <w:r w:rsidRPr="00BA395F">
                              <w:rPr>
                                <w:rFonts w:eastAsiaTheme="minorHAnsi" w:cstheme="minorBidi"/>
                                <w:color w:val="FFFFFF" w:themeColor="background1"/>
                                <w:sz w:val="22"/>
                                <w:szCs w:val="22"/>
                              </w:rPr>
                              <w:t xml:space="preserve"> water consumption to account for COVID-19</w:t>
                            </w:r>
                            <w:r w:rsidR="0072380E">
                              <w:rPr>
                                <w:rFonts w:eastAsiaTheme="minorHAnsi" w:cstheme="minorBidi"/>
                                <w:color w:val="FFFFFF" w:themeColor="background1"/>
                                <w:sz w:val="22"/>
                                <w:szCs w:val="22"/>
                              </w:rPr>
                              <w:t>.</w:t>
                            </w:r>
                          </w:p>
                          <w:p w14:paraId="008DE0A0" w14:textId="3B8A445B" w:rsidR="00BF3EAD" w:rsidRPr="00116E55" w:rsidRDefault="00BF3EAD" w:rsidP="00116E55">
                            <w:pPr>
                              <w:pStyle w:val="Heading3"/>
                              <w:spacing w:before="0" w:after="120"/>
                              <w:ind w:left="431"/>
                              <w:rPr>
                                <w:color w:val="FFFFFF" w:themeColor="background1"/>
                              </w:rPr>
                            </w:pPr>
                          </w:p>
                        </w:txbxContent>
                      </wps:txbx>
                      <wps:bodyPr rot="0" vert="horz" wrap="square" lIns="180000" tIns="180000" rIns="180000" bIns="180000" anchor="t" anchorCtr="0">
                        <a:noAutofit/>
                      </wps:bodyPr>
                    </wps:wsp>
                  </a:graphicData>
                </a:graphic>
                <wp14:sizeRelH relativeFrom="margin">
                  <wp14:pctWidth>0</wp14:pctWidth>
                </wp14:sizeRelH>
                <wp14:sizeRelV relativeFrom="margin">
                  <wp14:pctHeight>0</wp14:pctHeight>
                </wp14:sizeRelV>
              </wp:anchor>
            </w:drawing>
          </mc:Choice>
          <mc:Fallback>
            <w:pict>
              <v:shape w14:anchorId="511D7398" id="Text Box 75" o:spid="_x0000_s1062" type="#_x0000_t202" style="position:absolute;left:0;text-align:left;margin-left:-3.95pt;margin-top:46.75pt;width:479.3pt;height:200pt;z-index:25165828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" fillcolor="#00b1f4" stroked="f">
                <v:textbox inset="5mm,5mm,5mm,5mm">
                  <w:txbxContent>
                    <w:p w14:paraId="335DD9B8" w14:textId="77777777" w:rsidR="00BF3EAD" w:rsidRPr="00116E55" w:rsidRDefault="00BF3EAD" w:rsidP="00116E55">
                      <w:pPr>
                        <w:pStyle w:val="Heading3"/>
                        <w:spacing w:before="0" w:after="240"/>
                        <w:rPr>
                          <w:color w:val="FFFFFF" w:themeColor="background1"/>
                          <w:sz w:val="24"/>
                        </w:rPr>
                      </w:pPr>
                      <w:r w:rsidRPr="00116E55">
                        <w:rPr>
                          <w:color w:val="FFFFFF" w:themeColor="background1"/>
                          <w:sz w:val="24"/>
                        </w:rPr>
                        <w:t>Key points</w:t>
                      </w:r>
                    </w:p>
                    <w:p w14:paraId="6CBBB264" w14:textId="77777777" w:rsidR="00BF3EAD" w:rsidRPr="00BA395F" w:rsidRDefault="00BF3EAD" w:rsidP="00116E55">
                      <w:pPr>
                        <w:pStyle w:val="Heading3"/>
                        <w:spacing w:before="0" w:after="120"/>
                        <w:rPr>
                          <w:rFonts w:eastAsiaTheme="minorHAnsi" w:cstheme="minorBidi"/>
                          <w:color w:val="FFFFFF" w:themeColor="background1"/>
                          <w:sz w:val="22"/>
                          <w:szCs w:val="22"/>
                        </w:rPr>
                      </w:pPr>
                      <w:proofErr w:type="gramStart"/>
                      <w:r w:rsidRPr="00BA395F">
                        <w:rPr>
                          <w:rFonts w:eastAsiaTheme="minorHAnsi" w:cstheme="minorBidi"/>
                          <w:color w:val="FFFFFF" w:themeColor="background1"/>
                          <w:sz w:val="22"/>
                          <w:szCs w:val="22"/>
                        </w:rPr>
                        <w:t>South East</w:t>
                      </w:r>
                      <w:proofErr w:type="gramEnd"/>
                      <w:r w:rsidRPr="00BA395F">
                        <w:rPr>
                          <w:rFonts w:eastAsiaTheme="minorHAnsi" w:cstheme="minorBidi"/>
                          <w:color w:val="FFFFFF" w:themeColor="background1"/>
                          <w:sz w:val="22"/>
                          <w:szCs w:val="22"/>
                        </w:rPr>
                        <w:t xml:space="preserve"> Water’s forecasts reflect:</w:t>
                      </w:r>
                    </w:p>
                    <w:p w14:paraId="4E1A453B" w14:textId="6DB47F96" w:rsidR="00BF3EAD" w:rsidRPr="00BA395F" w:rsidRDefault="00BF3EAD">
                      <w:pPr>
                        <w:pStyle w:val="Heading3"/>
                        <w:numPr>
                          <w:ilvl w:val="0"/>
                          <w:numId w:val="33"/>
                        </w:numPr>
                        <w:spacing w:before="0" w:after="120"/>
                        <w:ind w:left="425" w:hanging="357"/>
                        <w:rPr>
                          <w:rFonts w:eastAsiaTheme="minorHAnsi" w:cstheme="minorBidi"/>
                          <w:color w:val="FFFFFF" w:themeColor="background1"/>
                          <w:sz w:val="22"/>
                          <w:szCs w:val="22"/>
                        </w:rPr>
                      </w:pPr>
                      <w:r w:rsidRPr="00BA395F">
                        <w:rPr>
                          <w:rFonts w:eastAsiaTheme="minorHAnsi" w:cstheme="minorBidi"/>
                          <w:color w:val="FFFFFF" w:themeColor="background1"/>
                          <w:sz w:val="22"/>
                          <w:szCs w:val="22"/>
                        </w:rPr>
                        <w:t xml:space="preserve">lower forecast growth for new residential dwellings and population than in the </w:t>
                      </w:r>
                      <w:r w:rsidRPr="00BA395F">
                        <w:rPr>
                          <w:rFonts w:eastAsiaTheme="minorHAnsi" w:cstheme="minorBidi"/>
                          <w:color w:val="FFFFFF" w:themeColor="background1"/>
                          <w:sz w:val="22"/>
                          <w:szCs w:val="22"/>
                        </w:rPr>
                        <w:br/>
                        <w:t>Victoria in Futures (VIF)</w:t>
                      </w:r>
                    </w:p>
                    <w:p w14:paraId="60DECEA2" w14:textId="608DAC6B" w:rsidR="00BF3EAD" w:rsidRPr="00BA395F" w:rsidRDefault="00BF3EAD">
                      <w:pPr>
                        <w:pStyle w:val="Heading3"/>
                        <w:numPr>
                          <w:ilvl w:val="0"/>
                          <w:numId w:val="33"/>
                        </w:numPr>
                        <w:spacing w:before="0" w:after="120"/>
                        <w:ind w:left="425" w:hanging="357"/>
                        <w:rPr>
                          <w:rFonts w:eastAsiaTheme="minorHAnsi" w:cstheme="minorBidi"/>
                          <w:color w:val="FFFFFF" w:themeColor="background1"/>
                          <w:sz w:val="22"/>
                          <w:szCs w:val="22"/>
                        </w:rPr>
                      </w:pPr>
                      <w:r w:rsidRPr="00BA395F">
                        <w:rPr>
                          <w:rFonts w:eastAsiaTheme="minorHAnsi" w:cstheme="minorBidi"/>
                          <w:color w:val="FFFFFF" w:themeColor="background1"/>
                          <w:sz w:val="22"/>
                          <w:szCs w:val="22"/>
                        </w:rPr>
                        <w:t xml:space="preserve">water efficiency savings from households and the broader network as a result </w:t>
                      </w:r>
                      <w:r w:rsidR="00ED1414">
                        <w:rPr>
                          <w:rFonts w:eastAsiaTheme="minorHAnsi" w:cstheme="minorBidi"/>
                          <w:color w:val="FFFFFF" w:themeColor="background1"/>
                          <w:sz w:val="22"/>
                          <w:szCs w:val="22"/>
                        </w:rPr>
                        <w:br/>
                      </w:r>
                      <w:r w:rsidRPr="00BA395F">
                        <w:rPr>
                          <w:rFonts w:eastAsiaTheme="minorHAnsi" w:cstheme="minorBidi"/>
                          <w:color w:val="FFFFFF" w:themeColor="background1"/>
                          <w:sz w:val="22"/>
                          <w:szCs w:val="22"/>
                        </w:rPr>
                        <w:t>of digital metering</w:t>
                      </w:r>
                    </w:p>
                    <w:p w14:paraId="5EAA13C3" w14:textId="361C7198" w:rsidR="00BF3EAD" w:rsidRPr="00BA395F" w:rsidRDefault="00BF3EAD">
                      <w:pPr>
                        <w:pStyle w:val="Heading3"/>
                        <w:numPr>
                          <w:ilvl w:val="0"/>
                          <w:numId w:val="33"/>
                        </w:numPr>
                        <w:spacing w:before="0" w:after="120"/>
                        <w:ind w:left="425" w:hanging="357"/>
                        <w:rPr>
                          <w:rFonts w:eastAsiaTheme="minorHAnsi" w:cstheme="minorBidi"/>
                          <w:color w:val="FFFFFF" w:themeColor="background1"/>
                          <w:sz w:val="22"/>
                          <w:szCs w:val="22"/>
                        </w:rPr>
                      </w:pPr>
                      <w:r w:rsidRPr="00BA395F">
                        <w:rPr>
                          <w:rFonts w:eastAsiaTheme="minorHAnsi" w:cstheme="minorBidi"/>
                          <w:color w:val="FFFFFF" w:themeColor="background1"/>
                          <w:sz w:val="22"/>
                          <w:szCs w:val="22"/>
                        </w:rPr>
                        <w:t xml:space="preserve">a higher residential water consumption forecast in the short term to account for the coronavirus pandemic (COVID-19) impacts and assuming a return to drier </w:t>
                      </w:r>
                      <w:r w:rsidR="00ED1414">
                        <w:rPr>
                          <w:rFonts w:eastAsiaTheme="minorHAnsi" w:cstheme="minorBidi"/>
                          <w:color w:val="FFFFFF" w:themeColor="background1"/>
                          <w:sz w:val="22"/>
                          <w:szCs w:val="22"/>
                        </w:rPr>
                        <w:br/>
                      </w:r>
                      <w:r w:rsidRPr="00BA395F">
                        <w:rPr>
                          <w:rFonts w:eastAsiaTheme="minorHAnsi" w:cstheme="minorBidi"/>
                          <w:color w:val="FFFFFF" w:themeColor="background1"/>
                          <w:sz w:val="22"/>
                          <w:szCs w:val="22"/>
                        </w:rPr>
                        <w:t>and hotter weather conditions</w:t>
                      </w:r>
                    </w:p>
                    <w:p w14:paraId="3DC503CB" w14:textId="0D0D62F0" w:rsidR="00BF3EAD" w:rsidRPr="00BA395F" w:rsidRDefault="00BF3EAD">
                      <w:pPr>
                        <w:pStyle w:val="Heading3"/>
                        <w:numPr>
                          <w:ilvl w:val="0"/>
                          <w:numId w:val="33"/>
                        </w:numPr>
                        <w:spacing w:before="0" w:after="120"/>
                        <w:ind w:left="425" w:hanging="357"/>
                        <w:rPr>
                          <w:rFonts w:eastAsiaTheme="minorHAnsi" w:cstheme="minorBidi"/>
                          <w:color w:val="FFFFFF" w:themeColor="background1"/>
                          <w:sz w:val="22"/>
                          <w:szCs w:val="22"/>
                        </w:rPr>
                      </w:pPr>
                      <w:r w:rsidRPr="00BA395F">
                        <w:rPr>
                          <w:rFonts w:eastAsiaTheme="minorHAnsi" w:cstheme="minorBidi"/>
                          <w:color w:val="FFFFFF" w:themeColor="background1"/>
                          <w:sz w:val="22"/>
                          <w:szCs w:val="22"/>
                        </w:rPr>
                        <w:t>lower non-</w:t>
                      </w:r>
                      <w:r w:rsidR="004C621C">
                        <w:rPr>
                          <w:rFonts w:eastAsiaTheme="minorHAnsi" w:cstheme="minorBidi"/>
                          <w:color w:val="FFFFFF" w:themeColor="background1"/>
                          <w:sz w:val="22"/>
                          <w:szCs w:val="22"/>
                        </w:rPr>
                        <w:t>residential</w:t>
                      </w:r>
                      <w:r w:rsidRPr="00BA395F">
                        <w:rPr>
                          <w:rFonts w:eastAsiaTheme="minorHAnsi" w:cstheme="minorBidi"/>
                          <w:color w:val="FFFFFF" w:themeColor="background1"/>
                          <w:sz w:val="22"/>
                          <w:szCs w:val="22"/>
                        </w:rPr>
                        <w:t xml:space="preserve"> water consumption to account for COVID-19</w:t>
                      </w:r>
                      <w:r w:rsidR="0072380E">
                        <w:rPr>
                          <w:rFonts w:eastAsiaTheme="minorHAnsi" w:cstheme="minorBidi"/>
                          <w:color w:val="FFFFFF" w:themeColor="background1"/>
                          <w:sz w:val="22"/>
                          <w:szCs w:val="22"/>
                        </w:rPr>
                        <w:t>.</w:t>
                      </w:r>
                    </w:p>
                    <w:p w14:paraId="008DE0A0" w14:textId="3B8A445B" w:rsidR="00BF3EAD" w:rsidRPr="00116E55" w:rsidRDefault="00BF3EAD" w:rsidP="00116E55">
                      <w:pPr>
                        <w:pStyle w:val="Heading3"/>
                        <w:spacing w:before="0" w:after="120"/>
                        <w:ind w:left="431"/>
                        <w:rPr>
                          <w:color w:val="FFFFFF" w:themeColor="background1"/>
                        </w:rPr>
                      </w:pPr>
                    </w:p>
                  </w:txbxContent>
                </v:textbox>
                <w10:wrap type="square"/>
              </v:shape>
            </w:pict>
          </mc:Fallback>
        </mc:AlternateContent>
      </w:r>
      <w:r w:rsidR="002811DD">
        <w:t xml:space="preserve">9. </w:t>
      </w:r>
      <w:bookmarkStart w:id="89" w:name="_Toc103770953"/>
      <w:r w:rsidR="00AE35E9">
        <w:t>D</w:t>
      </w:r>
      <w:r w:rsidR="00AE35E9" w:rsidRPr="007B2F98">
        <w:t>emand forecasts</w:t>
      </w:r>
      <w:bookmarkEnd w:id="88"/>
      <w:bookmarkEnd w:id="89"/>
    </w:p>
    <w:p w14:paraId="6295E6A7" w14:textId="28265DFE" w:rsidR="00D20FAC" w:rsidRDefault="00ED1414" w:rsidP="00AE35E9">
      <w:r>
        <w:br/>
      </w:r>
      <w:r w:rsidR="00D20FAC" w:rsidRPr="00D20FAC">
        <w:t xml:space="preserve">This section outlines how we have </w:t>
      </w:r>
      <w:r w:rsidR="00113D27">
        <w:t>forecast</w:t>
      </w:r>
      <w:r w:rsidR="00D20FAC" w:rsidRPr="00D20FAC">
        <w:t xml:space="preserve"> demand across our entire service offering, including water, sewerage, trade waste and recycled water services. Robust analysis in this space is critical given its impact on </w:t>
      </w:r>
      <w:r w:rsidR="004C73D0">
        <w:t xml:space="preserve">costs, </w:t>
      </w:r>
      <w:r w:rsidR="00D20FAC" w:rsidRPr="00D20FAC">
        <w:t>pricing and ensuring fairness for our customers.</w:t>
      </w:r>
    </w:p>
    <w:p w14:paraId="46DFDFE4" w14:textId="50302B35" w:rsidR="00F84A82" w:rsidRDefault="00113D27" w:rsidP="00AE35E9">
      <w:r>
        <w:t>Our d</w:t>
      </w:r>
      <w:r w:rsidR="00CE750A" w:rsidRPr="00CE750A">
        <w:t xml:space="preserve">emand forecasts are based on established methods </w:t>
      </w:r>
      <w:r w:rsidR="00FB7092">
        <w:t>adopted</w:t>
      </w:r>
      <w:r w:rsidR="00CE750A" w:rsidRPr="00CE750A">
        <w:t xml:space="preserve"> in previous price reviews, with residential consumption forecasts generated through </w:t>
      </w:r>
      <w:r w:rsidR="008819C7">
        <w:t>an econometric model</w:t>
      </w:r>
      <w:r w:rsidR="00A83377">
        <w:t xml:space="preserve"> and calibrated against </w:t>
      </w:r>
      <w:r w:rsidR="00B75D71">
        <w:t xml:space="preserve">an industry </w:t>
      </w:r>
      <w:r w:rsidR="00CE750A" w:rsidRPr="00CE750A">
        <w:t>end</w:t>
      </w:r>
      <w:r w:rsidR="00CC75E0">
        <w:t>-</w:t>
      </w:r>
      <w:r w:rsidR="00CE750A" w:rsidRPr="00CE750A">
        <w:t>use model</w:t>
      </w:r>
      <w:r w:rsidR="00CC75E0">
        <w:t>,</w:t>
      </w:r>
      <w:r w:rsidR="00CE750A" w:rsidRPr="00CE750A">
        <w:t xml:space="preserve"> and other key forecasts (</w:t>
      </w:r>
      <w:r w:rsidR="00AD4D50">
        <w:t>property</w:t>
      </w:r>
      <w:r w:rsidR="00CE750A" w:rsidRPr="00CE750A">
        <w:t xml:space="preserve"> numbers, sewage, recycled water and trade waste volumes/loads) produced through methods consistent with industry best practice (explained in further detail in the sections below). </w:t>
      </w:r>
    </w:p>
    <w:p w14:paraId="3C437436" w14:textId="65D872DD" w:rsidR="00EE669F" w:rsidRDefault="00EE669F" w:rsidP="00BD26EF">
      <w:pPr>
        <w:pStyle w:val="Bulletlistmultilevel"/>
        <w:ind w:left="0" w:firstLine="0"/>
        <w:rPr>
          <w:rFonts w:cstheme="minorHAnsi"/>
          <w:sz w:val="24"/>
          <w:szCs w:val="24"/>
        </w:rPr>
      </w:pPr>
    </w:p>
    <w:p w14:paraId="103DB2B7" w14:textId="7B9C9873" w:rsidR="000D4E81" w:rsidRDefault="000D4E81" w:rsidP="00D11C2D">
      <w:pPr>
        <w:pStyle w:val="Heading2"/>
      </w:pPr>
      <w:r>
        <w:t>9.1 Dwelling and population growth</w:t>
      </w:r>
    </w:p>
    <w:p w14:paraId="29FDD413" w14:textId="0749342F" w:rsidR="000D4E81" w:rsidRDefault="000D4E81" w:rsidP="000D4E81">
      <w:r>
        <w:t>T</w:t>
      </w:r>
      <w:r w:rsidR="00113D27">
        <w:t xml:space="preserve">o </w:t>
      </w:r>
      <w:r>
        <w:t xml:space="preserve">forecast dwelling and population growth for the </w:t>
      </w:r>
      <w:r>
        <w:rPr>
          <w:rFonts w:eastAsia="Arial"/>
        </w:rPr>
        <w:t>2023</w:t>
      </w:r>
      <w:r w:rsidR="004C32D1">
        <w:rPr>
          <w:rFonts w:eastAsia="Arial"/>
        </w:rPr>
        <w:t>–</w:t>
      </w:r>
      <w:r>
        <w:rPr>
          <w:rFonts w:eastAsia="Arial"/>
        </w:rPr>
        <w:t>28 period</w:t>
      </w:r>
      <w:r w:rsidR="0056602F">
        <w:rPr>
          <w:rFonts w:eastAsia="Arial"/>
        </w:rPr>
        <w:t>,</w:t>
      </w:r>
      <w:r w:rsidR="00113D27">
        <w:rPr>
          <w:rFonts w:eastAsia="Arial"/>
        </w:rPr>
        <w:t xml:space="preserve"> we first r</w:t>
      </w:r>
      <w:r>
        <w:t>eview</w:t>
      </w:r>
      <w:r w:rsidR="00113D27">
        <w:t xml:space="preserve">ed a variety of relevant </w:t>
      </w:r>
      <w:r>
        <w:t>source</w:t>
      </w:r>
      <w:r w:rsidR="00113D27">
        <w:t xml:space="preserve"> data</w:t>
      </w:r>
      <w:r>
        <w:t xml:space="preserve"> including:</w:t>
      </w:r>
    </w:p>
    <w:p w14:paraId="09BD9C38" w14:textId="2C04379B" w:rsidR="000D4E81" w:rsidRPr="00AE25DE" w:rsidRDefault="000D4E81">
      <w:pPr>
        <w:pStyle w:val="ListParagraph"/>
        <w:numPr>
          <w:ilvl w:val="0"/>
          <w:numId w:val="98"/>
        </w:numPr>
        <w:ind w:left="426" w:hanging="426"/>
      </w:pPr>
      <w:r>
        <w:t>Victoria in Future (2021)</w:t>
      </w:r>
      <w:r w:rsidR="00963910">
        <w:t xml:space="preserve"> (VIF)</w:t>
      </w:r>
    </w:p>
    <w:p w14:paraId="761C799F" w14:textId="73F98BAC" w:rsidR="00443C99" w:rsidRDefault="00443C99">
      <w:pPr>
        <w:pStyle w:val="ListParagraph"/>
        <w:numPr>
          <w:ilvl w:val="0"/>
          <w:numId w:val="98"/>
        </w:numPr>
        <w:ind w:left="426" w:hanging="426"/>
      </w:pPr>
      <w:r>
        <w:t>Forecasts from private demographics companies, Spatial Economics and Macro</w:t>
      </w:r>
      <w:r w:rsidR="00386777">
        <w:t>p</w:t>
      </w:r>
      <w:r>
        <w:t>lan</w:t>
      </w:r>
    </w:p>
    <w:p w14:paraId="1C16E0C3" w14:textId="77777777" w:rsidR="000D4E81" w:rsidRDefault="000D4E81">
      <w:pPr>
        <w:pStyle w:val="ListParagraph"/>
        <w:numPr>
          <w:ilvl w:val="0"/>
          <w:numId w:val="98"/>
        </w:numPr>
        <w:ind w:left="426" w:hanging="426"/>
      </w:pPr>
      <w:r>
        <w:t>Historical growth rates</w:t>
      </w:r>
    </w:p>
    <w:p w14:paraId="34B95588" w14:textId="77777777" w:rsidR="000D4E81" w:rsidRPr="00AE25DE" w:rsidRDefault="000D4E81">
      <w:pPr>
        <w:pStyle w:val="ListParagraph"/>
        <w:numPr>
          <w:ilvl w:val="0"/>
          <w:numId w:val="98"/>
        </w:numPr>
        <w:ind w:left="426" w:hanging="426"/>
      </w:pPr>
      <w:r>
        <w:t>Precinct Structure Plans (PSP) produced by the Victorian Planning Authority</w:t>
      </w:r>
    </w:p>
    <w:p w14:paraId="2EAFE863" w14:textId="77777777" w:rsidR="00386777" w:rsidRDefault="00386777" w:rsidP="000D4E81"/>
    <w:p w14:paraId="45132131" w14:textId="530973BB" w:rsidR="000D4E81" w:rsidRDefault="000D4E81" w:rsidP="000D4E81">
      <w:r>
        <w:t>In 2018</w:t>
      </w:r>
      <w:r w:rsidR="004C32D1">
        <w:t>–</w:t>
      </w:r>
      <w:r>
        <w:t>19, immediately prior to the COVID-19 lockdowns, population growth was strong and widespread within our catchment, with some of the highest growth rates in the state observed in the areas of Casey and Cardinia. Since that point growth has fallen</w:t>
      </w:r>
      <w:r w:rsidR="00D27F4A">
        <w:t xml:space="preserve"> significantly</w:t>
      </w:r>
      <w:r>
        <w:t xml:space="preserve"> with the 2020</w:t>
      </w:r>
      <w:r w:rsidR="004C32D1">
        <w:t>–</w:t>
      </w:r>
      <w:r>
        <w:t>21 year showing a net loss of around 23,155 residents from the region and Greater Melbourne</w:t>
      </w:r>
      <w:r w:rsidR="00612583">
        <w:t>’</w:t>
      </w:r>
      <w:r>
        <w:t>s first negative growth in over 100 years based on the 2021 census data. In addition, interest rates are facing rapid changes and the building industry is facing cost pressures.</w:t>
      </w:r>
    </w:p>
    <w:p w14:paraId="0F55D5BB" w14:textId="77777777" w:rsidR="00BB66D9" w:rsidRDefault="00BB66D9" w:rsidP="000D4E81">
      <w:pPr>
        <w:sectPr w:rsidR="00BB66D9" w:rsidSect="00ED1414">
          <w:pgSz w:w="11906" w:h="16838" w:code="9"/>
          <w:pgMar w:top="1440" w:right="1252" w:bottom="1440" w:left="1156" w:header="567" w:footer="283" w:gutter="0"/>
          <w:cols w:space="708"/>
          <w:docGrid w:linePitch="360"/>
        </w:sectPr>
      </w:pPr>
    </w:p>
    <w:p w14:paraId="09ED2607" w14:textId="0F8D01FF" w:rsidR="000D4E81" w:rsidRDefault="000D4E81" w:rsidP="000D4E81">
      <w:pPr>
        <w:rPr>
          <w:rFonts w:eastAsia="Arial"/>
        </w:rPr>
      </w:pPr>
      <w:r>
        <w:lastRenderedPageBreak/>
        <w:t>To address this increased uncertainty, we considered a range of forecasts prepared over time and chose to adopt Spatial Economics</w:t>
      </w:r>
      <w:r w:rsidR="00612583">
        <w:t>’</w:t>
      </w:r>
      <w:r>
        <w:t xml:space="preserve"> dwelling forecasts to inform our demand forecasts, </w:t>
      </w:r>
      <w:r w:rsidR="00AB1AFC">
        <w:t>revenue,</w:t>
      </w:r>
      <w:r>
        <w:t xml:space="preserve"> and expenditure planning. Spatial Economics</w:t>
      </w:r>
      <w:r w:rsidR="00963910">
        <w:t>’</w:t>
      </w:r>
      <w:r>
        <w:t xml:space="preserve"> forecasts represent the most recent and detailed forecasts based on the latest available information (including the 2021 census). For the </w:t>
      </w:r>
      <w:r>
        <w:rPr>
          <w:rFonts w:eastAsia="Arial"/>
        </w:rPr>
        <w:t>2023</w:t>
      </w:r>
      <w:r w:rsidR="004C32D1">
        <w:rPr>
          <w:rFonts w:eastAsia="Arial"/>
        </w:rPr>
        <w:t>–</w:t>
      </w:r>
      <w:r>
        <w:rPr>
          <w:rFonts w:eastAsia="Arial"/>
        </w:rPr>
        <w:t>28 period, Spatial Economics forecast 52,790 new residential dwellings compared to the VIF2021 forecast of 54,235.</w:t>
      </w:r>
    </w:p>
    <w:p w14:paraId="6FCB257C" w14:textId="3AB03653" w:rsidR="00C94367" w:rsidRPr="00BB267A" w:rsidRDefault="00304A0D" w:rsidP="00304A0D">
      <w:pPr>
        <w:pStyle w:val="NormalIndent"/>
        <w:ind w:left="0"/>
        <w:rPr>
          <w:rFonts w:cs="Arial"/>
          <w:i/>
        </w:rPr>
      </w:pPr>
      <w:r w:rsidRPr="00CE6C4E">
        <w:rPr>
          <w:b/>
          <w:i/>
        </w:rPr>
        <w:t xml:space="preserve">Table </w:t>
      </w:r>
      <w:r w:rsidR="009253E5" w:rsidRPr="00CE6C4E">
        <w:rPr>
          <w:b/>
          <w:bCs/>
          <w:i/>
          <w:iCs/>
        </w:rPr>
        <w:fldChar w:fldCharType="begin"/>
      </w:r>
      <w:r w:rsidR="009253E5" w:rsidRPr="00CE6C4E">
        <w:rPr>
          <w:b/>
          <w:bCs/>
          <w:i/>
          <w:iCs/>
        </w:rPr>
        <w:instrText>SEQ Table \* ARABIC</w:instrText>
      </w:r>
      <w:r w:rsidR="009253E5" w:rsidRPr="00CE6C4E">
        <w:rPr>
          <w:b/>
          <w:bCs/>
          <w:i/>
          <w:iCs/>
        </w:rPr>
        <w:fldChar w:fldCharType="separate"/>
      </w:r>
      <w:r w:rsidR="009253E5">
        <w:rPr>
          <w:b/>
          <w:bCs/>
          <w:i/>
          <w:iCs/>
          <w:noProof/>
        </w:rPr>
        <w:t>41</w:t>
      </w:r>
      <w:r w:rsidR="009253E5" w:rsidRPr="00CE6C4E">
        <w:rPr>
          <w:b/>
          <w:bCs/>
          <w:i/>
          <w:iCs/>
        </w:rPr>
        <w:fldChar w:fldCharType="end"/>
      </w:r>
      <w:r w:rsidRPr="007B339F">
        <w:rPr>
          <w:rFonts w:ascii="Arial" w:hAnsi="Arial" w:cs="Arial"/>
          <w:b/>
          <w:i/>
        </w:rPr>
        <w:t>:</w:t>
      </w:r>
      <w:r>
        <w:rPr>
          <w:rFonts w:ascii="Arial" w:hAnsi="Arial" w:cs="Arial"/>
          <w:b/>
          <w:i/>
        </w:rPr>
        <w:t xml:space="preserve"> N</w:t>
      </w:r>
      <w:r w:rsidR="00C94367" w:rsidRPr="00BB267A">
        <w:rPr>
          <w:rFonts w:cs="Arial"/>
          <w:b/>
          <w:i/>
        </w:rPr>
        <w:t xml:space="preserve">ew residential connections </w:t>
      </w:r>
      <w:r w:rsidR="00FE1B85" w:rsidRPr="00BB267A">
        <w:rPr>
          <w:rFonts w:cs="Arial"/>
          <w:b/>
          <w:i/>
        </w:rPr>
        <w:t>percentage</w:t>
      </w:r>
      <w:r w:rsidR="00C94367" w:rsidRPr="00BB267A">
        <w:rPr>
          <w:rFonts w:cs="Arial"/>
          <w:b/>
          <w:i/>
        </w:rPr>
        <w:t xml:space="preserve"> growth</w:t>
      </w:r>
    </w:p>
    <w:tbl>
      <w:tblPr>
        <w:tblStyle w:val="MJTableStyle1default"/>
        <w:tblW w:w="5007" w:type="pct"/>
        <w:tblInd w:w="0" w:type="dxa"/>
        <w:tblCellMar>
          <w:right w:w="0" w:type="dxa"/>
        </w:tblCellMar>
        <w:tblLook w:val="04A0" w:firstRow="1" w:lastRow="0" w:firstColumn="1" w:lastColumn="0" w:noHBand="0" w:noVBand="1"/>
      </w:tblPr>
      <w:tblGrid>
        <w:gridCol w:w="619"/>
        <w:gridCol w:w="1406"/>
        <w:gridCol w:w="14"/>
        <w:gridCol w:w="947"/>
        <w:gridCol w:w="14"/>
        <w:gridCol w:w="981"/>
        <w:gridCol w:w="14"/>
        <w:gridCol w:w="981"/>
        <w:gridCol w:w="14"/>
        <w:gridCol w:w="981"/>
        <w:gridCol w:w="14"/>
        <w:gridCol w:w="981"/>
        <w:gridCol w:w="14"/>
        <w:gridCol w:w="1151"/>
        <w:gridCol w:w="14"/>
        <w:gridCol w:w="1151"/>
        <w:gridCol w:w="14"/>
        <w:gridCol w:w="1151"/>
        <w:gridCol w:w="14"/>
        <w:gridCol w:w="1151"/>
        <w:gridCol w:w="14"/>
        <w:gridCol w:w="1151"/>
        <w:gridCol w:w="14"/>
        <w:gridCol w:w="1151"/>
        <w:gridCol w:w="17"/>
      </w:tblGrid>
      <w:tr w:rsidR="003F1732" w:rsidRPr="00BB66D9" w14:paraId="43D59E0B" w14:textId="77777777" w:rsidTr="003F1732">
        <w:trPr>
          <w:gridAfter w:val="1"/>
          <w:cnfStyle w:val="100000000000" w:firstRow="1" w:lastRow="0" w:firstColumn="0" w:lastColumn="0" w:oddVBand="0" w:evenVBand="0" w:oddHBand="0" w:evenHBand="0" w:firstRowFirstColumn="0" w:firstRowLastColumn="0" w:lastRowFirstColumn="0" w:lastRowLastColumn="0"/>
          <w:wAfter w:w="6" w:type="pct"/>
          <w:trHeight w:val="420"/>
        </w:trPr>
        <w:tc>
          <w:tcPr>
            <w:tcW w:w="221" w:type="pct"/>
            <w:tcBorders>
              <w:top w:val="single" w:sz="2" w:space="0" w:color="002279"/>
              <w:bottom w:val="single" w:sz="2" w:space="0" w:color="002279"/>
              <w:right w:val="single" w:sz="4" w:space="0" w:color="002279"/>
            </w:tcBorders>
            <w:shd w:val="clear" w:color="auto" w:fill="002279"/>
            <w:noWrap/>
            <w:vAlign w:val="center"/>
            <w:hideMark/>
          </w:tcPr>
          <w:p w14:paraId="19B5573B" w14:textId="4C6CB696" w:rsidR="00BB267A" w:rsidRPr="00116E55" w:rsidRDefault="00BB267A" w:rsidP="00CD3B7D">
            <w:pPr>
              <w:rPr>
                <w:rFonts w:asciiTheme="minorHAnsi" w:hAnsiTheme="minorHAnsi" w:cstheme="minorHAnsi"/>
                <w:sz w:val="12"/>
                <w:szCs w:val="12"/>
              </w:rPr>
            </w:pPr>
          </w:p>
        </w:tc>
        <w:tc>
          <w:tcPr>
            <w:tcW w:w="503" w:type="pct"/>
            <w:tcBorders>
              <w:top w:val="single" w:sz="4" w:space="0" w:color="002279"/>
              <w:left w:val="single" w:sz="4" w:space="0" w:color="002279"/>
              <w:bottom w:val="single" w:sz="2" w:space="0" w:color="002279"/>
              <w:right w:val="single" w:sz="4" w:space="0" w:color="FFFFFF" w:themeColor="background1"/>
            </w:tcBorders>
            <w:shd w:val="clear" w:color="auto" w:fill="002279"/>
            <w:vAlign w:val="center"/>
          </w:tcPr>
          <w:p w14:paraId="5DDADF24" w14:textId="77777777" w:rsidR="00BB267A" w:rsidRPr="00BB66D9" w:rsidRDefault="00BB267A" w:rsidP="00CD3B7D">
            <w:pPr>
              <w:rPr>
                <w:rFonts w:ascii="Arial" w:hAnsi="Arial" w:cs="Arial"/>
                <w:sz w:val="18"/>
                <w:szCs w:val="18"/>
              </w:rPr>
            </w:pPr>
          </w:p>
        </w:tc>
        <w:tc>
          <w:tcPr>
            <w:tcW w:w="344" w:type="pct"/>
            <w:gridSpan w:val="2"/>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noWrap/>
            <w:vAlign w:val="center"/>
            <w:hideMark/>
          </w:tcPr>
          <w:p w14:paraId="5CE02EF9" w14:textId="17396CA0" w:rsidR="00BB267A" w:rsidRPr="00BB66D9" w:rsidRDefault="00BB267A" w:rsidP="00A35FEB">
            <w:pPr>
              <w:jc w:val="center"/>
              <w:rPr>
                <w:rFonts w:ascii="Arial" w:hAnsi="Arial" w:cs="Arial"/>
                <w:b/>
                <w:sz w:val="18"/>
                <w:szCs w:val="18"/>
              </w:rPr>
            </w:pPr>
            <w:r w:rsidRPr="00BB66D9">
              <w:rPr>
                <w:rFonts w:ascii="Arial" w:hAnsi="Arial" w:cs="Arial"/>
                <w:b/>
                <w:sz w:val="18"/>
                <w:szCs w:val="18"/>
              </w:rPr>
              <w:t>2017</w:t>
            </w:r>
            <w:r w:rsidR="004C32D1" w:rsidRPr="00BB66D9">
              <w:rPr>
                <w:rFonts w:ascii="Arial" w:hAnsi="Arial" w:cs="Arial"/>
                <w:b/>
                <w:sz w:val="18"/>
                <w:szCs w:val="18"/>
              </w:rPr>
              <w:t>–</w:t>
            </w:r>
            <w:r w:rsidRPr="00BB66D9">
              <w:rPr>
                <w:rFonts w:ascii="Arial" w:hAnsi="Arial" w:cs="Arial"/>
                <w:b/>
                <w:sz w:val="18"/>
                <w:szCs w:val="18"/>
              </w:rPr>
              <w:t>18</w:t>
            </w:r>
          </w:p>
        </w:tc>
        <w:tc>
          <w:tcPr>
            <w:tcW w:w="356" w:type="pct"/>
            <w:gridSpan w:val="2"/>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noWrap/>
            <w:vAlign w:val="center"/>
            <w:hideMark/>
          </w:tcPr>
          <w:p w14:paraId="1F76FDAC" w14:textId="1108E2C9" w:rsidR="00BB267A" w:rsidRPr="00BB66D9" w:rsidRDefault="00BB267A" w:rsidP="00A35FEB">
            <w:pPr>
              <w:jc w:val="center"/>
              <w:rPr>
                <w:rFonts w:ascii="Arial" w:hAnsi="Arial" w:cs="Arial"/>
                <w:b/>
                <w:sz w:val="18"/>
                <w:szCs w:val="18"/>
              </w:rPr>
            </w:pPr>
            <w:r w:rsidRPr="00BB66D9">
              <w:rPr>
                <w:rFonts w:ascii="Arial" w:hAnsi="Arial" w:cs="Arial"/>
                <w:b/>
                <w:sz w:val="18"/>
                <w:szCs w:val="18"/>
              </w:rPr>
              <w:t>2018</w:t>
            </w:r>
            <w:r w:rsidR="004C32D1" w:rsidRPr="00BB66D9">
              <w:rPr>
                <w:rFonts w:ascii="Arial" w:hAnsi="Arial" w:cs="Arial"/>
                <w:b/>
                <w:sz w:val="18"/>
                <w:szCs w:val="18"/>
              </w:rPr>
              <w:t>–</w:t>
            </w:r>
            <w:r w:rsidRPr="00BB66D9">
              <w:rPr>
                <w:rFonts w:ascii="Arial" w:hAnsi="Arial" w:cs="Arial"/>
                <w:b/>
                <w:sz w:val="18"/>
                <w:szCs w:val="18"/>
              </w:rPr>
              <w:t>19</w:t>
            </w:r>
          </w:p>
        </w:tc>
        <w:tc>
          <w:tcPr>
            <w:tcW w:w="356" w:type="pct"/>
            <w:gridSpan w:val="2"/>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noWrap/>
            <w:vAlign w:val="center"/>
            <w:hideMark/>
          </w:tcPr>
          <w:p w14:paraId="32EE6296" w14:textId="1CF0F663" w:rsidR="00BB267A" w:rsidRPr="00BB66D9" w:rsidRDefault="00BB267A" w:rsidP="00A35FEB">
            <w:pPr>
              <w:jc w:val="center"/>
              <w:rPr>
                <w:rFonts w:ascii="Arial" w:hAnsi="Arial" w:cs="Arial"/>
                <w:b/>
                <w:sz w:val="18"/>
                <w:szCs w:val="18"/>
              </w:rPr>
            </w:pPr>
            <w:r w:rsidRPr="00BB66D9">
              <w:rPr>
                <w:rFonts w:ascii="Arial" w:hAnsi="Arial" w:cs="Arial"/>
                <w:b/>
                <w:sz w:val="18"/>
                <w:szCs w:val="18"/>
              </w:rPr>
              <w:t>2019</w:t>
            </w:r>
            <w:r w:rsidR="004C32D1" w:rsidRPr="00BB66D9">
              <w:rPr>
                <w:rFonts w:ascii="Arial" w:hAnsi="Arial" w:cs="Arial"/>
                <w:b/>
                <w:sz w:val="18"/>
                <w:szCs w:val="18"/>
              </w:rPr>
              <w:t>–</w:t>
            </w:r>
            <w:r w:rsidRPr="00BB66D9">
              <w:rPr>
                <w:rFonts w:ascii="Arial" w:hAnsi="Arial" w:cs="Arial"/>
                <w:b/>
                <w:sz w:val="18"/>
                <w:szCs w:val="18"/>
              </w:rPr>
              <w:t>20</w:t>
            </w:r>
          </w:p>
        </w:tc>
        <w:tc>
          <w:tcPr>
            <w:tcW w:w="356" w:type="pct"/>
            <w:gridSpan w:val="2"/>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noWrap/>
            <w:vAlign w:val="center"/>
            <w:hideMark/>
          </w:tcPr>
          <w:p w14:paraId="7E48E9AF" w14:textId="632904BC" w:rsidR="00BB267A" w:rsidRPr="00BB66D9" w:rsidRDefault="00BB267A" w:rsidP="00A35FEB">
            <w:pPr>
              <w:jc w:val="center"/>
              <w:rPr>
                <w:rFonts w:ascii="Arial" w:hAnsi="Arial" w:cs="Arial"/>
                <w:b/>
                <w:sz w:val="18"/>
                <w:szCs w:val="18"/>
              </w:rPr>
            </w:pPr>
            <w:r w:rsidRPr="00BB66D9">
              <w:rPr>
                <w:rFonts w:ascii="Arial" w:hAnsi="Arial" w:cs="Arial"/>
                <w:b/>
                <w:sz w:val="18"/>
                <w:szCs w:val="18"/>
              </w:rPr>
              <w:t>2020</w:t>
            </w:r>
            <w:r w:rsidR="004C32D1" w:rsidRPr="00BB66D9">
              <w:rPr>
                <w:rFonts w:ascii="Arial" w:hAnsi="Arial" w:cs="Arial"/>
                <w:b/>
                <w:sz w:val="18"/>
                <w:szCs w:val="18"/>
              </w:rPr>
              <w:t>–</w:t>
            </w:r>
            <w:r w:rsidRPr="00BB66D9">
              <w:rPr>
                <w:rFonts w:ascii="Arial" w:hAnsi="Arial" w:cs="Arial"/>
                <w:b/>
                <w:sz w:val="18"/>
                <w:szCs w:val="18"/>
              </w:rPr>
              <w:t>21</w:t>
            </w:r>
          </w:p>
        </w:tc>
        <w:tc>
          <w:tcPr>
            <w:tcW w:w="356" w:type="pct"/>
            <w:gridSpan w:val="2"/>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noWrap/>
            <w:vAlign w:val="center"/>
            <w:hideMark/>
          </w:tcPr>
          <w:p w14:paraId="4E39CC92" w14:textId="37A79928" w:rsidR="00BB267A" w:rsidRPr="00BB66D9" w:rsidRDefault="00BB267A" w:rsidP="00A35FEB">
            <w:pPr>
              <w:jc w:val="center"/>
              <w:rPr>
                <w:rFonts w:ascii="Arial" w:hAnsi="Arial" w:cs="Arial"/>
                <w:b/>
                <w:sz w:val="18"/>
                <w:szCs w:val="18"/>
              </w:rPr>
            </w:pPr>
            <w:r w:rsidRPr="00BB66D9">
              <w:rPr>
                <w:rFonts w:ascii="Arial" w:hAnsi="Arial" w:cs="Arial"/>
                <w:b/>
                <w:sz w:val="18"/>
                <w:szCs w:val="18"/>
              </w:rPr>
              <w:t>2021</w:t>
            </w:r>
            <w:r w:rsidR="004C32D1" w:rsidRPr="00BB66D9">
              <w:rPr>
                <w:rFonts w:ascii="Arial" w:hAnsi="Arial" w:cs="Arial"/>
                <w:b/>
                <w:sz w:val="18"/>
                <w:szCs w:val="18"/>
              </w:rPr>
              <w:t>–</w:t>
            </w:r>
            <w:r w:rsidRPr="00BB66D9">
              <w:rPr>
                <w:rFonts w:ascii="Arial" w:hAnsi="Arial" w:cs="Arial"/>
                <w:b/>
                <w:sz w:val="18"/>
                <w:szCs w:val="18"/>
              </w:rPr>
              <w:t>22</w:t>
            </w:r>
          </w:p>
        </w:tc>
        <w:tc>
          <w:tcPr>
            <w:tcW w:w="417" w:type="pct"/>
            <w:gridSpan w:val="2"/>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noWrap/>
            <w:vAlign w:val="center"/>
            <w:hideMark/>
          </w:tcPr>
          <w:p w14:paraId="1A69C965" w14:textId="33AB6CD9" w:rsidR="00BB267A" w:rsidRPr="00BB66D9" w:rsidRDefault="00BB267A" w:rsidP="00A35FEB">
            <w:pPr>
              <w:jc w:val="center"/>
              <w:rPr>
                <w:rFonts w:ascii="Arial" w:hAnsi="Arial" w:cs="Arial"/>
                <w:b/>
                <w:sz w:val="18"/>
                <w:szCs w:val="18"/>
              </w:rPr>
            </w:pPr>
            <w:r w:rsidRPr="00BB66D9">
              <w:rPr>
                <w:rFonts w:ascii="Arial" w:hAnsi="Arial" w:cs="Arial"/>
                <w:b/>
                <w:sz w:val="18"/>
                <w:szCs w:val="18"/>
              </w:rPr>
              <w:t>2022</w:t>
            </w:r>
            <w:r w:rsidR="004C32D1" w:rsidRPr="00BB66D9">
              <w:rPr>
                <w:rFonts w:ascii="Arial" w:hAnsi="Arial" w:cs="Arial"/>
                <w:b/>
                <w:sz w:val="18"/>
                <w:szCs w:val="18"/>
              </w:rPr>
              <w:t>–</w:t>
            </w:r>
            <w:r w:rsidRPr="00BB66D9">
              <w:rPr>
                <w:rFonts w:ascii="Arial" w:hAnsi="Arial" w:cs="Arial"/>
                <w:b/>
                <w:sz w:val="18"/>
                <w:szCs w:val="18"/>
              </w:rPr>
              <w:t>23(f)</w:t>
            </w:r>
          </w:p>
        </w:tc>
        <w:tc>
          <w:tcPr>
            <w:tcW w:w="417" w:type="pct"/>
            <w:gridSpan w:val="2"/>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noWrap/>
            <w:vAlign w:val="center"/>
            <w:hideMark/>
          </w:tcPr>
          <w:p w14:paraId="675FDEB0" w14:textId="527B8817" w:rsidR="00BB267A" w:rsidRPr="00BB66D9" w:rsidRDefault="00BB267A" w:rsidP="00A35FEB">
            <w:pPr>
              <w:jc w:val="center"/>
              <w:rPr>
                <w:rFonts w:ascii="Arial" w:hAnsi="Arial" w:cs="Arial"/>
                <w:b/>
                <w:sz w:val="18"/>
                <w:szCs w:val="18"/>
              </w:rPr>
            </w:pPr>
            <w:r w:rsidRPr="00BB66D9">
              <w:rPr>
                <w:rFonts w:ascii="Arial" w:hAnsi="Arial" w:cs="Arial"/>
                <w:b/>
                <w:sz w:val="18"/>
                <w:szCs w:val="18"/>
              </w:rPr>
              <w:t>2023</w:t>
            </w:r>
            <w:r w:rsidR="004C32D1" w:rsidRPr="00BB66D9">
              <w:rPr>
                <w:rFonts w:ascii="Arial" w:hAnsi="Arial" w:cs="Arial"/>
                <w:b/>
                <w:sz w:val="18"/>
                <w:szCs w:val="18"/>
              </w:rPr>
              <w:t>–</w:t>
            </w:r>
            <w:r w:rsidRPr="00BB66D9">
              <w:rPr>
                <w:rFonts w:ascii="Arial" w:hAnsi="Arial" w:cs="Arial"/>
                <w:b/>
                <w:sz w:val="18"/>
                <w:szCs w:val="18"/>
              </w:rPr>
              <w:t>24(f)</w:t>
            </w:r>
          </w:p>
        </w:tc>
        <w:tc>
          <w:tcPr>
            <w:tcW w:w="417" w:type="pct"/>
            <w:gridSpan w:val="2"/>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noWrap/>
            <w:vAlign w:val="center"/>
            <w:hideMark/>
          </w:tcPr>
          <w:p w14:paraId="63EEEC36" w14:textId="6820AA3A" w:rsidR="00BB267A" w:rsidRPr="00BB66D9" w:rsidRDefault="00BB267A" w:rsidP="00A35FEB">
            <w:pPr>
              <w:jc w:val="center"/>
              <w:rPr>
                <w:rFonts w:ascii="Arial" w:hAnsi="Arial" w:cs="Arial"/>
                <w:b/>
                <w:sz w:val="18"/>
                <w:szCs w:val="18"/>
              </w:rPr>
            </w:pPr>
            <w:r w:rsidRPr="00BB66D9">
              <w:rPr>
                <w:rFonts w:ascii="Arial" w:hAnsi="Arial" w:cs="Arial"/>
                <w:b/>
                <w:sz w:val="18"/>
                <w:szCs w:val="18"/>
              </w:rPr>
              <w:t>2024</w:t>
            </w:r>
            <w:r w:rsidR="004C32D1" w:rsidRPr="00BB66D9">
              <w:rPr>
                <w:rFonts w:ascii="Arial" w:hAnsi="Arial" w:cs="Arial"/>
                <w:b/>
                <w:sz w:val="18"/>
                <w:szCs w:val="18"/>
              </w:rPr>
              <w:t>–</w:t>
            </w:r>
            <w:r w:rsidRPr="00BB66D9">
              <w:rPr>
                <w:rFonts w:ascii="Arial" w:hAnsi="Arial" w:cs="Arial"/>
                <w:b/>
                <w:sz w:val="18"/>
                <w:szCs w:val="18"/>
              </w:rPr>
              <w:t>25(f)</w:t>
            </w:r>
          </w:p>
        </w:tc>
        <w:tc>
          <w:tcPr>
            <w:tcW w:w="417" w:type="pct"/>
            <w:gridSpan w:val="2"/>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noWrap/>
            <w:vAlign w:val="center"/>
            <w:hideMark/>
          </w:tcPr>
          <w:p w14:paraId="5FE8D17F" w14:textId="482F6509" w:rsidR="00BB267A" w:rsidRPr="00BB66D9" w:rsidRDefault="00BB267A" w:rsidP="00A35FEB">
            <w:pPr>
              <w:jc w:val="center"/>
              <w:rPr>
                <w:rFonts w:ascii="Arial" w:hAnsi="Arial" w:cs="Arial"/>
                <w:b/>
                <w:sz w:val="18"/>
                <w:szCs w:val="18"/>
              </w:rPr>
            </w:pPr>
            <w:r w:rsidRPr="00BB66D9">
              <w:rPr>
                <w:rFonts w:ascii="Arial" w:hAnsi="Arial" w:cs="Arial"/>
                <w:b/>
                <w:sz w:val="18"/>
                <w:szCs w:val="18"/>
              </w:rPr>
              <w:t>2025</w:t>
            </w:r>
            <w:r w:rsidR="004C32D1" w:rsidRPr="00BB66D9">
              <w:rPr>
                <w:rFonts w:ascii="Arial" w:hAnsi="Arial" w:cs="Arial"/>
                <w:b/>
                <w:sz w:val="18"/>
                <w:szCs w:val="18"/>
              </w:rPr>
              <w:t>–</w:t>
            </w:r>
            <w:r w:rsidRPr="00BB66D9">
              <w:rPr>
                <w:rFonts w:ascii="Arial" w:hAnsi="Arial" w:cs="Arial"/>
                <w:b/>
                <w:sz w:val="18"/>
                <w:szCs w:val="18"/>
              </w:rPr>
              <w:t>26(f)</w:t>
            </w:r>
          </w:p>
        </w:tc>
        <w:tc>
          <w:tcPr>
            <w:tcW w:w="417" w:type="pct"/>
            <w:gridSpan w:val="2"/>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noWrap/>
            <w:vAlign w:val="center"/>
            <w:hideMark/>
          </w:tcPr>
          <w:p w14:paraId="01B9D4F9" w14:textId="5D43EEAC" w:rsidR="00BB267A" w:rsidRPr="00BB66D9" w:rsidRDefault="00BB267A" w:rsidP="00A35FEB">
            <w:pPr>
              <w:jc w:val="center"/>
              <w:rPr>
                <w:rFonts w:ascii="Arial" w:hAnsi="Arial" w:cs="Arial"/>
                <w:b/>
                <w:sz w:val="18"/>
                <w:szCs w:val="18"/>
              </w:rPr>
            </w:pPr>
            <w:r w:rsidRPr="00BB66D9">
              <w:rPr>
                <w:rFonts w:ascii="Arial" w:hAnsi="Arial" w:cs="Arial"/>
                <w:b/>
                <w:sz w:val="18"/>
                <w:szCs w:val="18"/>
              </w:rPr>
              <w:t>2026</w:t>
            </w:r>
            <w:r w:rsidR="004C32D1" w:rsidRPr="00BB66D9">
              <w:rPr>
                <w:rFonts w:ascii="Arial" w:hAnsi="Arial" w:cs="Arial"/>
                <w:b/>
                <w:sz w:val="18"/>
                <w:szCs w:val="18"/>
              </w:rPr>
              <w:t>–</w:t>
            </w:r>
            <w:r w:rsidRPr="00BB66D9">
              <w:rPr>
                <w:rFonts w:ascii="Arial" w:hAnsi="Arial" w:cs="Arial"/>
                <w:b/>
                <w:sz w:val="18"/>
                <w:szCs w:val="18"/>
              </w:rPr>
              <w:t>27(f)</w:t>
            </w:r>
          </w:p>
        </w:tc>
        <w:tc>
          <w:tcPr>
            <w:tcW w:w="417" w:type="pct"/>
            <w:gridSpan w:val="2"/>
            <w:tcBorders>
              <w:top w:val="single" w:sz="4" w:space="0" w:color="002279"/>
              <w:left w:val="single" w:sz="4" w:space="0" w:color="FFFFFF" w:themeColor="background1"/>
              <w:bottom w:val="single" w:sz="2" w:space="0" w:color="002279"/>
              <w:right w:val="single" w:sz="4" w:space="0" w:color="002279"/>
            </w:tcBorders>
            <w:shd w:val="clear" w:color="auto" w:fill="002279"/>
            <w:noWrap/>
            <w:vAlign w:val="center"/>
            <w:hideMark/>
          </w:tcPr>
          <w:p w14:paraId="512C1425" w14:textId="1228259D" w:rsidR="00BB267A" w:rsidRPr="00BB66D9" w:rsidRDefault="00BB267A" w:rsidP="00A35FEB">
            <w:pPr>
              <w:jc w:val="center"/>
              <w:rPr>
                <w:rFonts w:ascii="Arial" w:hAnsi="Arial" w:cs="Arial"/>
                <w:b/>
                <w:sz w:val="18"/>
                <w:szCs w:val="18"/>
              </w:rPr>
            </w:pPr>
            <w:r w:rsidRPr="00BB66D9">
              <w:rPr>
                <w:rFonts w:ascii="Arial" w:hAnsi="Arial" w:cs="Arial"/>
                <w:b/>
                <w:sz w:val="18"/>
                <w:szCs w:val="18"/>
              </w:rPr>
              <w:t>2027</w:t>
            </w:r>
            <w:r w:rsidR="004C32D1" w:rsidRPr="00BB66D9">
              <w:rPr>
                <w:rFonts w:ascii="Arial" w:hAnsi="Arial" w:cs="Arial"/>
                <w:b/>
                <w:sz w:val="18"/>
                <w:szCs w:val="18"/>
              </w:rPr>
              <w:t>–</w:t>
            </w:r>
            <w:r w:rsidRPr="00BB66D9">
              <w:rPr>
                <w:rFonts w:ascii="Arial" w:hAnsi="Arial" w:cs="Arial"/>
                <w:b/>
                <w:sz w:val="18"/>
                <w:szCs w:val="18"/>
              </w:rPr>
              <w:t>28(f)</w:t>
            </w:r>
          </w:p>
        </w:tc>
      </w:tr>
      <w:tr w:rsidR="003F1732" w:rsidRPr="00CD3B7D" w14:paraId="78364939" w14:textId="77777777" w:rsidTr="003F1732">
        <w:trPr>
          <w:cnfStyle w:val="000000100000" w:firstRow="0" w:lastRow="0" w:firstColumn="0" w:lastColumn="0" w:oddVBand="0" w:evenVBand="0" w:oddHBand="1" w:evenHBand="0" w:firstRowFirstColumn="0" w:firstRowLastColumn="0" w:lastRowFirstColumn="0" w:lastRowLastColumn="0"/>
          <w:trHeight w:val="413"/>
        </w:trPr>
        <w:tc>
          <w:tcPr>
            <w:tcW w:w="729" w:type="pct"/>
            <w:gridSpan w:val="3"/>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0139144A" w14:textId="5A8C0450" w:rsidR="003F1732" w:rsidRPr="00256E72" w:rsidRDefault="003F1732" w:rsidP="00CD3B7D">
            <w:pPr>
              <w:rPr>
                <w:rFonts w:ascii="Arial" w:hAnsi="Arial" w:cs="Arial"/>
                <w:b/>
                <w:bCs/>
                <w:sz w:val="18"/>
                <w:szCs w:val="18"/>
              </w:rPr>
            </w:pPr>
            <w:r w:rsidRPr="00256E72">
              <w:rPr>
                <w:rFonts w:cstheme="minorHAnsi"/>
                <w:b/>
                <w:bCs/>
                <w:sz w:val="18"/>
                <w:szCs w:val="18"/>
              </w:rPr>
              <w:t>Actual</w:t>
            </w:r>
          </w:p>
        </w:tc>
        <w:tc>
          <w:tcPr>
            <w:tcW w:w="344" w:type="pct"/>
            <w:gridSpan w:val="2"/>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71900A11" w14:textId="4C0F478F" w:rsidR="003F1732" w:rsidRPr="00BB66D9" w:rsidRDefault="003F1732" w:rsidP="00A35FEB">
            <w:pPr>
              <w:jc w:val="center"/>
              <w:rPr>
                <w:rFonts w:ascii="Arial" w:hAnsi="Arial" w:cs="Arial"/>
                <w:sz w:val="18"/>
                <w:szCs w:val="18"/>
              </w:rPr>
            </w:pPr>
            <w:r w:rsidRPr="00BB66D9">
              <w:rPr>
                <w:rFonts w:cs="Arial"/>
                <w:sz w:val="18"/>
                <w:szCs w:val="18"/>
              </w:rPr>
              <w:t>2.60%</w:t>
            </w:r>
          </w:p>
        </w:tc>
        <w:tc>
          <w:tcPr>
            <w:tcW w:w="356" w:type="pct"/>
            <w:gridSpan w:val="2"/>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3DDF174D" w14:textId="77777777" w:rsidR="003F1732" w:rsidRPr="00BB66D9" w:rsidRDefault="003F1732" w:rsidP="00A35FEB">
            <w:pPr>
              <w:jc w:val="center"/>
              <w:rPr>
                <w:rFonts w:ascii="Arial" w:hAnsi="Arial" w:cs="Arial"/>
                <w:sz w:val="18"/>
                <w:szCs w:val="18"/>
              </w:rPr>
            </w:pPr>
            <w:r w:rsidRPr="00BB66D9">
              <w:rPr>
                <w:rFonts w:cs="Arial"/>
                <w:sz w:val="18"/>
                <w:szCs w:val="18"/>
              </w:rPr>
              <w:t>2.10%</w:t>
            </w:r>
          </w:p>
        </w:tc>
        <w:tc>
          <w:tcPr>
            <w:tcW w:w="356" w:type="pct"/>
            <w:gridSpan w:val="2"/>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328DB8D2" w14:textId="77777777" w:rsidR="003F1732" w:rsidRPr="00BB66D9" w:rsidRDefault="003F1732" w:rsidP="00A35FEB">
            <w:pPr>
              <w:jc w:val="center"/>
              <w:rPr>
                <w:rFonts w:ascii="Arial" w:hAnsi="Arial" w:cs="Arial"/>
                <w:sz w:val="18"/>
                <w:szCs w:val="18"/>
              </w:rPr>
            </w:pPr>
            <w:r w:rsidRPr="00BB66D9">
              <w:rPr>
                <w:rFonts w:cs="Arial"/>
                <w:sz w:val="18"/>
                <w:szCs w:val="18"/>
              </w:rPr>
              <w:t>1.90%</w:t>
            </w:r>
          </w:p>
        </w:tc>
        <w:tc>
          <w:tcPr>
            <w:tcW w:w="356" w:type="pct"/>
            <w:gridSpan w:val="2"/>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01F80D96" w14:textId="77777777" w:rsidR="003F1732" w:rsidRPr="00BB66D9" w:rsidRDefault="003F1732" w:rsidP="00A35FEB">
            <w:pPr>
              <w:jc w:val="center"/>
              <w:rPr>
                <w:rFonts w:ascii="Arial" w:hAnsi="Arial" w:cs="Arial"/>
                <w:sz w:val="18"/>
                <w:szCs w:val="18"/>
              </w:rPr>
            </w:pPr>
            <w:r w:rsidRPr="00BB66D9">
              <w:rPr>
                <w:rFonts w:cs="Arial"/>
                <w:sz w:val="18"/>
                <w:szCs w:val="18"/>
              </w:rPr>
              <w:t>1.51%</w:t>
            </w:r>
          </w:p>
        </w:tc>
        <w:tc>
          <w:tcPr>
            <w:tcW w:w="356" w:type="pct"/>
            <w:gridSpan w:val="2"/>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242DD6EF" w14:textId="77777777" w:rsidR="003F1732" w:rsidRPr="00BB66D9" w:rsidRDefault="003F1732" w:rsidP="00A35FEB">
            <w:pPr>
              <w:jc w:val="center"/>
              <w:rPr>
                <w:rFonts w:ascii="Arial" w:hAnsi="Arial" w:cs="Arial"/>
                <w:sz w:val="18"/>
                <w:szCs w:val="18"/>
              </w:rPr>
            </w:pPr>
            <w:r w:rsidRPr="00BB66D9">
              <w:rPr>
                <w:rFonts w:cs="Arial"/>
                <w:sz w:val="18"/>
                <w:szCs w:val="18"/>
              </w:rPr>
              <w:t>1.41%</w:t>
            </w:r>
          </w:p>
        </w:tc>
        <w:tc>
          <w:tcPr>
            <w:tcW w:w="417" w:type="pct"/>
            <w:gridSpan w:val="2"/>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0D9B6572" w14:textId="33E6A4F0" w:rsidR="003F1732" w:rsidRPr="00BB66D9" w:rsidRDefault="003F1732" w:rsidP="00A35FEB">
            <w:pPr>
              <w:jc w:val="center"/>
              <w:rPr>
                <w:rFonts w:ascii="Arial" w:hAnsi="Arial" w:cs="Arial"/>
                <w:sz w:val="18"/>
                <w:szCs w:val="18"/>
              </w:rPr>
            </w:pPr>
          </w:p>
        </w:tc>
        <w:tc>
          <w:tcPr>
            <w:tcW w:w="417" w:type="pct"/>
            <w:gridSpan w:val="2"/>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1D8F8FFF" w14:textId="325250F2" w:rsidR="003F1732" w:rsidRPr="00BB66D9" w:rsidRDefault="003F1732" w:rsidP="00A35FEB">
            <w:pPr>
              <w:jc w:val="center"/>
              <w:rPr>
                <w:rFonts w:ascii="Arial" w:hAnsi="Arial" w:cs="Arial"/>
                <w:sz w:val="18"/>
                <w:szCs w:val="18"/>
              </w:rPr>
            </w:pPr>
          </w:p>
        </w:tc>
        <w:tc>
          <w:tcPr>
            <w:tcW w:w="417" w:type="pct"/>
            <w:gridSpan w:val="2"/>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2793EB5A" w14:textId="1AF831E0" w:rsidR="003F1732" w:rsidRPr="00BB66D9" w:rsidRDefault="003F1732" w:rsidP="00A35FEB">
            <w:pPr>
              <w:jc w:val="center"/>
              <w:rPr>
                <w:rFonts w:ascii="Arial" w:hAnsi="Arial" w:cs="Arial"/>
                <w:sz w:val="18"/>
                <w:szCs w:val="18"/>
              </w:rPr>
            </w:pPr>
          </w:p>
        </w:tc>
        <w:tc>
          <w:tcPr>
            <w:tcW w:w="417" w:type="pct"/>
            <w:gridSpan w:val="2"/>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70B89AA2" w14:textId="3E9E2FAC" w:rsidR="003F1732" w:rsidRPr="00BB66D9" w:rsidRDefault="003F1732" w:rsidP="00A35FEB">
            <w:pPr>
              <w:jc w:val="center"/>
              <w:rPr>
                <w:rFonts w:ascii="Arial" w:hAnsi="Arial" w:cs="Arial"/>
                <w:sz w:val="18"/>
                <w:szCs w:val="18"/>
              </w:rPr>
            </w:pPr>
          </w:p>
        </w:tc>
        <w:tc>
          <w:tcPr>
            <w:tcW w:w="417" w:type="pct"/>
            <w:gridSpan w:val="2"/>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751128DE" w14:textId="5597B665" w:rsidR="003F1732" w:rsidRPr="00BB66D9" w:rsidRDefault="003F1732" w:rsidP="00A35FEB">
            <w:pPr>
              <w:jc w:val="center"/>
              <w:rPr>
                <w:rFonts w:ascii="Arial" w:hAnsi="Arial" w:cs="Arial"/>
                <w:sz w:val="18"/>
                <w:szCs w:val="18"/>
              </w:rPr>
            </w:pPr>
          </w:p>
        </w:tc>
        <w:tc>
          <w:tcPr>
            <w:tcW w:w="418" w:type="pct"/>
            <w:gridSpan w:val="2"/>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2E59BBC5" w14:textId="383D2386" w:rsidR="003F1732" w:rsidRPr="00BB66D9" w:rsidRDefault="003F1732" w:rsidP="00A35FEB">
            <w:pPr>
              <w:jc w:val="center"/>
              <w:rPr>
                <w:rFonts w:ascii="Arial" w:hAnsi="Arial" w:cs="Arial"/>
                <w:sz w:val="18"/>
                <w:szCs w:val="18"/>
              </w:rPr>
            </w:pPr>
          </w:p>
        </w:tc>
      </w:tr>
      <w:tr w:rsidR="003F1732" w:rsidRPr="00CD3B7D" w14:paraId="29D185D5" w14:textId="77777777" w:rsidTr="003F1732">
        <w:trPr>
          <w:cnfStyle w:val="000000010000" w:firstRow="0" w:lastRow="0" w:firstColumn="0" w:lastColumn="0" w:oddVBand="0" w:evenVBand="0" w:oddHBand="0" w:evenHBand="1" w:firstRowFirstColumn="0" w:firstRowLastColumn="0" w:lastRowFirstColumn="0" w:lastRowLastColumn="0"/>
          <w:trHeight w:val="302"/>
        </w:trPr>
        <w:tc>
          <w:tcPr>
            <w:tcW w:w="729" w:type="pct"/>
            <w:gridSpan w:val="3"/>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4B05CD26" w14:textId="5BFF9860" w:rsidR="003F1732" w:rsidRPr="00256E72" w:rsidRDefault="003F1732" w:rsidP="00CD3B7D">
            <w:pPr>
              <w:rPr>
                <w:rFonts w:ascii="Arial" w:hAnsi="Arial" w:cs="Arial"/>
                <w:b/>
                <w:bCs/>
                <w:sz w:val="18"/>
                <w:szCs w:val="18"/>
              </w:rPr>
            </w:pPr>
            <w:r w:rsidRPr="00256E72">
              <w:rPr>
                <w:rFonts w:cstheme="minorHAnsi"/>
                <w:b/>
                <w:bCs/>
                <w:sz w:val="18"/>
                <w:szCs w:val="18"/>
              </w:rPr>
              <w:t>VIF 2021</w:t>
            </w:r>
          </w:p>
        </w:tc>
        <w:tc>
          <w:tcPr>
            <w:tcW w:w="344" w:type="pct"/>
            <w:gridSpan w:val="2"/>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0F798C9F" w14:textId="296CB919" w:rsidR="003F1732" w:rsidRPr="00BB66D9" w:rsidRDefault="003F1732" w:rsidP="00A35FEB">
            <w:pPr>
              <w:jc w:val="center"/>
              <w:rPr>
                <w:rFonts w:ascii="Arial" w:hAnsi="Arial" w:cs="Arial"/>
                <w:b/>
                <w:sz w:val="18"/>
                <w:szCs w:val="18"/>
              </w:rPr>
            </w:pPr>
          </w:p>
        </w:tc>
        <w:tc>
          <w:tcPr>
            <w:tcW w:w="356" w:type="pct"/>
            <w:gridSpan w:val="2"/>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45147465" w14:textId="77777777" w:rsidR="003F1732" w:rsidRPr="00BB66D9" w:rsidRDefault="003F1732" w:rsidP="00A35FEB">
            <w:pPr>
              <w:jc w:val="center"/>
              <w:rPr>
                <w:rFonts w:ascii="Arial" w:hAnsi="Arial" w:cs="Arial"/>
                <w:sz w:val="18"/>
                <w:szCs w:val="18"/>
              </w:rPr>
            </w:pPr>
          </w:p>
        </w:tc>
        <w:tc>
          <w:tcPr>
            <w:tcW w:w="356" w:type="pct"/>
            <w:gridSpan w:val="2"/>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3CC22F38" w14:textId="77777777" w:rsidR="003F1732" w:rsidRPr="00BB66D9" w:rsidRDefault="003F1732" w:rsidP="00A35FEB">
            <w:pPr>
              <w:jc w:val="center"/>
              <w:rPr>
                <w:rFonts w:ascii="Arial" w:hAnsi="Arial" w:cs="Arial"/>
                <w:sz w:val="18"/>
                <w:szCs w:val="18"/>
              </w:rPr>
            </w:pPr>
          </w:p>
        </w:tc>
        <w:tc>
          <w:tcPr>
            <w:tcW w:w="356" w:type="pct"/>
            <w:gridSpan w:val="2"/>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009A39BC" w14:textId="77777777" w:rsidR="003F1732" w:rsidRPr="00BB66D9" w:rsidRDefault="003F1732" w:rsidP="00A35FEB">
            <w:pPr>
              <w:jc w:val="center"/>
              <w:rPr>
                <w:rFonts w:ascii="Arial" w:hAnsi="Arial" w:cs="Arial"/>
                <w:sz w:val="18"/>
                <w:szCs w:val="18"/>
              </w:rPr>
            </w:pPr>
          </w:p>
        </w:tc>
        <w:tc>
          <w:tcPr>
            <w:tcW w:w="356" w:type="pct"/>
            <w:gridSpan w:val="2"/>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37A5923A" w14:textId="77777777" w:rsidR="003F1732" w:rsidRPr="00BB66D9" w:rsidRDefault="003F1732" w:rsidP="00A35FEB">
            <w:pPr>
              <w:jc w:val="center"/>
              <w:rPr>
                <w:rFonts w:ascii="Arial" w:hAnsi="Arial" w:cs="Arial"/>
                <w:sz w:val="18"/>
                <w:szCs w:val="18"/>
              </w:rPr>
            </w:pPr>
          </w:p>
        </w:tc>
        <w:tc>
          <w:tcPr>
            <w:tcW w:w="417" w:type="pct"/>
            <w:gridSpan w:val="2"/>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65E785FF" w14:textId="77777777" w:rsidR="003F1732" w:rsidRPr="00BB66D9" w:rsidRDefault="003F1732" w:rsidP="00A35FEB">
            <w:pPr>
              <w:jc w:val="center"/>
              <w:rPr>
                <w:rFonts w:ascii="Arial" w:hAnsi="Arial" w:cs="Arial"/>
                <w:sz w:val="18"/>
                <w:szCs w:val="18"/>
              </w:rPr>
            </w:pPr>
            <w:r w:rsidRPr="00BB66D9">
              <w:rPr>
                <w:rFonts w:cs="Arial"/>
                <w:sz w:val="18"/>
                <w:szCs w:val="18"/>
              </w:rPr>
              <w:t>1.37%</w:t>
            </w:r>
          </w:p>
        </w:tc>
        <w:tc>
          <w:tcPr>
            <w:tcW w:w="417" w:type="pct"/>
            <w:gridSpan w:val="2"/>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7E0C8583" w14:textId="77777777" w:rsidR="003F1732" w:rsidRPr="00BB66D9" w:rsidRDefault="003F1732" w:rsidP="00A35FEB">
            <w:pPr>
              <w:jc w:val="center"/>
              <w:rPr>
                <w:rFonts w:ascii="Arial" w:hAnsi="Arial" w:cs="Arial"/>
                <w:sz w:val="18"/>
                <w:szCs w:val="18"/>
              </w:rPr>
            </w:pPr>
            <w:r w:rsidRPr="00BB66D9">
              <w:rPr>
                <w:rFonts w:cs="Arial"/>
                <w:sz w:val="18"/>
                <w:szCs w:val="18"/>
              </w:rPr>
              <w:t>1.35%</w:t>
            </w:r>
          </w:p>
        </w:tc>
        <w:tc>
          <w:tcPr>
            <w:tcW w:w="417" w:type="pct"/>
            <w:gridSpan w:val="2"/>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416AF8C9" w14:textId="77777777" w:rsidR="003F1732" w:rsidRPr="00BB66D9" w:rsidRDefault="003F1732" w:rsidP="00A35FEB">
            <w:pPr>
              <w:jc w:val="center"/>
              <w:rPr>
                <w:rFonts w:ascii="Arial" w:hAnsi="Arial" w:cs="Arial"/>
                <w:sz w:val="18"/>
                <w:szCs w:val="18"/>
              </w:rPr>
            </w:pPr>
            <w:r w:rsidRPr="00BB66D9">
              <w:rPr>
                <w:rFonts w:cs="Arial"/>
                <w:sz w:val="18"/>
                <w:szCs w:val="18"/>
              </w:rPr>
              <w:t>1.33%</w:t>
            </w:r>
          </w:p>
        </w:tc>
        <w:tc>
          <w:tcPr>
            <w:tcW w:w="417" w:type="pct"/>
            <w:gridSpan w:val="2"/>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3FD71D26" w14:textId="77777777" w:rsidR="003F1732" w:rsidRPr="00BB66D9" w:rsidRDefault="003F1732" w:rsidP="00A35FEB">
            <w:pPr>
              <w:jc w:val="center"/>
              <w:rPr>
                <w:rFonts w:ascii="Arial" w:hAnsi="Arial" w:cs="Arial"/>
                <w:sz w:val="18"/>
                <w:szCs w:val="18"/>
              </w:rPr>
            </w:pPr>
            <w:r w:rsidRPr="00BB66D9">
              <w:rPr>
                <w:rFonts w:cs="Arial"/>
                <w:sz w:val="18"/>
                <w:szCs w:val="18"/>
              </w:rPr>
              <w:t>1.32%</w:t>
            </w:r>
          </w:p>
        </w:tc>
        <w:tc>
          <w:tcPr>
            <w:tcW w:w="417" w:type="pct"/>
            <w:gridSpan w:val="2"/>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3A860463" w14:textId="77777777" w:rsidR="003F1732" w:rsidRPr="00BB66D9" w:rsidRDefault="003F1732" w:rsidP="00A35FEB">
            <w:pPr>
              <w:jc w:val="center"/>
              <w:rPr>
                <w:rFonts w:ascii="Arial" w:hAnsi="Arial" w:cs="Arial"/>
                <w:sz w:val="18"/>
                <w:szCs w:val="18"/>
              </w:rPr>
            </w:pPr>
            <w:r w:rsidRPr="00BB66D9">
              <w:rPr>
                <w:rFonts w:cs="Arial"/>
                <w:sz w:val="18"/>
                <w:szCs w:val="18"/>
              </w:rPr>
              <w:t>1.47%</w:t>
            </w:r>
          </w:p>
        </w:tc>
        <w:tc>
          <w:tcPr>
            <w:tcW w:w="418" w:type="pct"/>
            <w:gridSpan w:val="2"/>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42630BAD" w14:textId="77777777" w:rsidR="003F1732" w:rsidRPr="00BB66D9" w:rsidRDefault="003F1732" w:rsidP="00A35FEB">
            <w:pPr>
              <w:jc w:val="center"/>
              <w:rPr>
                <w:rFonts w:ascii="Arial" w:hAnsi="Arial" w:cs="Arial"/>
                <w:sz w:val="18"/>
                <w:szCs w:val="18"/>
              </w:rPr>
            </w:pPr>
            <w:r w:rsidRPr="00BB66D9">
              <w:rPr>
                <w:rFonts w:cs="Arial"/>
                <w:sz w:val="18"/>
                <w:szCs w:val="18"/>
              </w:rPr>
              <w:t>1.45%</w:t>
            </w:r>
          </w:p>
        </w:tc>
      </w:tr>
      <w:tr w:rsidR="003F1732" w:rsidRPr="00CD3B7D" w14:paraId="5FBEFC67" w14:textId="77777777" w:rsidTr="003F1732">
        <w:trPr>
          <w:cnfStyle w:val="000000100000" w:firstRow="0" w:lastRow="0" w:firstColumn="0" w:lastColumn="0" w:oddVBand="0" w:evenVBand="0" w:oddHBand="1" w:evenHBand="0" w:firstRowFirstColumn="0" w:firstRowLastColumn="0" w:lastRowFirstColumn="0" w:lastRowLastColumn="0"/>
          <w:trHeight w:val="476"/>
        </w:trPr>
        <w:tc>
          <w:tcPr>
            <w:tcW w:w="729" w:type="pct"/>
            <w:gridSpan w:val="3"/>
            <w:tcBorders>
              <w:top w:val="single" w:sz="2" w:space="0" w:color="002279"/>
              <w:left w:val="single" w:sz="4" w:space="0" w:color="002279"/>
              <w:bottom w:val="single" w:sz="4" w:space="0" w:color="002279"/>
              <w:right w:val="single" w:sz="4" w:space="0" w:color="002279"/>
            </w:tcBorders>
            <w:shd w:val="clear" w:color="auto" w:fill="D4D6DF"/>
            <w:noWrap/>
            <w:vAlign w:val="center"/>
            <w:hideMark/>
          </w:tcPr>
          <w:p w14:paraId="31C9A6A4" w14:textId="684ED4A1" w:rsidR="003F1732" w:rsidRPr="00256E72" w:rsidRDefault="003F1732" w:rsidP="00CD3B7D">
            <w:pPr>
              <w:rPr>
                <w:rFonts w:ascii="Arial" w:hAnsi="Arial" w:cs="Arial"/>
                <w:b/>
                <w:bCs/>
                <w:sz w:val="18"/>
                <w:szCs w:val="18"/>
              </w:rPr>
            </w:pPr>
            <w:r w:rsidRPr="00256E72">
              <w:rPr>
                <w:rFonts w:cstheme="minorHAnsi"/>
                <w:b/>
                <w:bCs/>
                <w:sz w:val="18"/>
                <w:szCs w:val="18"/>
              </w:rPr>
              <w:t>Spatial Economics</w:t>
            </w:r>
          </w:p>
        </w:tc>
        <w:tc>
          <w:tcPr>
            <w:tcW w:w="344" w:type="pct"/>
            <w:gridSpan w:val="2"/>
            <w:tcBorders>
              <w:top w:val="single" w:sz="2" w:space="0" w:color="002279"/>
              <w:left w:val="single" w:sz="4" w:space="0" w:color="002279"/>
              <w:bottom w:val="single" w:sz="4" w:space="0" w:color="002279"/>
              <w:right w:val="single" w:sz="4" w:space="0" w:color="002279"/>
            </w:tcBorders>
            <w:shd w:val="clear" w:color="auto" w:fill="D4D6DF"/>
            <w:noWrap/>
            <w:vAlign w:val="center"/>
            <w:hideMark/>
          </w:tcPr>
          <w:p w14:paraId="5CC550FC" w14:textId="3B01092C" w:rsidR="003F1732" w:rsidRPr="00BB66D9" w:rsidRDefault="003F1732" w:rsidP="00A35FEB">
            <w:pPr>
              <w:jc w:val="center"/>
              <w:rPr>
                <w:rFonts w:ascii="Arial" w:hAnsi="Arial" w:cs="Arial"/>
                <w:b/>
                <w:sz w:val="18"/>
                <w:szCs w:val="18"/>
              </w:rPr>
            </w:pPr>
          </w:p>
        </w:tc>
        <w:tc>
          <w:tcPr>
            <w:tcW w:w="356" w:type="pct"/>
            <w:gridSpan w:val="2"/>
            <w:tcBorders>
              <w:top w:val="single" w:sz="2" w:space="0" w:color="002279"/>
              <w:left w:val="single" w:sz="4" w:space="0" w:color="002279"/>
              <w:bottom w:val="single" w:sz="4" w:space="0" w:color="002279"/>
              <w:right w:val="single" w:sz="4" w:space="0" w:color="002279"/>
            </w:tcBorders>
            <w:shd w:val="clear" w:color="auto" w:fill="D4D6DF"/>
            <w:noWrap/>
            <w:vAlign w:val="center"/>
            <w:hideMark/>
          </w:tcPr>
          <w:p w14:paraId="18C0AF56" w14:textId="1C889590" w:rsidR="003F1732" w:rsidRPr="00BB66D9" w:rsidRDefault="003F1732" w:rsidP="00A35FEB">
            <w:pPr>
              <w:jc w:val="center"/>
              <w:rPr>
                <w:rFonts w:ascii="Arial" w:hAnsi="Arial" w:cs="Arial"/>
                <w:sz w:val="18"/>
                <w:szCs w:val="18"/>
              </w:rPr>
            </w:pPr>
          </w:p>
        </w:tc>
        <w:tc>
          <w:tcPr>
            <w:tcW w:w="356" w:type="pct"/>
            <w:gridSpan w:val="2"/>
            <w:tcBorders>
              <w:top w:val="single" w:sz="2" w:space="0" w:color="002279"/>
              <w:left w:val="single" w:sz="4" w:space="0" w:color="002279"/>
              <w:bottom w:val="single" w:sz="4" w:space="0" w:color="002279"/>
              <w:right w:val="single" w:sz="4" w:space="0" w:color="002279"/>
            </w:tcBorders>
            <w:shd w:val="clear" w:color="auto" w:fill="D4D6DF"/>
            <w:noWrap/>
            <w:vAlign w:val="center"/>
            <w:hideMark/>
          </w:tcPr>
          <w:p w14:paraId="33133D46" w14:textId="3EDE6C89" w:rsidR="003F1732" w:rsidRPr="00BB66D9" w:rsidRDefault="003F1732" w:rsidP="00A35FEB">
            <w:pPr>
              <w:jc w:val="center"/>
              <w:rPr>
                <w:rFonts w:ascii="Arial" w:hAnsi="Arial" w:cs="Arial"/>
                <w:sz w:val="18"/>
                <w:szCs w:val="18"/>
              </w:rPr>
            </w:pPr>
          </w:p>
        </w:tc>
        <w:tc>
          <w:tcPr>
            <w:tcW w:w="356" w:type="pct"/>
            <w:gridSpan w:val="2"/>
            <w:tcBorders>
              <w:top w:val="single" w:sz="2" w:space="0" w:color="002279"/>
              <w:left w:val="single" w:sz="4" w:space="0" w:color="002279"/>
              <w:bottom w:val="single" w:sz="4" w:space="0" w:color="002279"/>
              <w:right w:val="single" w:sz="4" w:space="0" w:color="002279"/>
            </w:tcBorders>
            <w:shd w:val="clear" w:color="auto" w:fill="D4D6DF"/>
            <w:noWrap/>
            <w:vAlign w:val="center"/>
            <w:hideMark/>
          </w:tcPr>
          <w:p w14:paraId="042287C4" w14:textId="75F69896" w:rsidR="003F1732" w:rsidRPr="00BB66D9" w:rsidRDefault="003F1732" w:rsidP="00A35FEB">
            <w:pPr>
              <w:jc w:val="center"/>
              <w:rPr>
                <w:rFonts w:ascii="Arial" w:hAnsi="Arial" w:cs="Arial"/>
                <w:sz w:val="18"/>
                <w:szCs w:val="18"/>
              </w:rPr>
            </w:pPr>
          </w:p>
        </w:tc>
        <w:tc>
          <w:tcPr>
            <w:tcW w:w="356" w:type="pct"/>
            <w:gridSpan w:val="2"/>
            <w:tcBorders>
              <w:top w:val="single" w:sz="2" w:space="0" w:color="002279"/>
              <w:left w:val="single" w:sz="4" w:space="0" w:color="002279"/>
              <w:bottom w:val="single" w:sz="4" w:space="0" w:color="002279"/>
              <w:right w:val="single" w:sz="4" w:space="0" w:color="002279"/>
            </w:tcBorders>
            <w:shd w:val="clear" w:color="auto" w:fill="D4D6DF"/>
            <w:noWrap/>
            <w:vAlign w:val="center"/>
            <w:hideMark/>
          </w:tcPr>
          <w:p w14:paraId="3BBF1BCE" w14:textId="1048A403" w:rsidR="003F1732" w:rsidRPr="00BB66D9" w:rsidRDefault="003F1732" w:rsidP="00A35FEB">
            <w:pPr>
              <w:jc w:val="center"/>
              <w:rPr>
                <w:rFonts w:ascii="Arial" w:hAnsi="Arial" w:cs="Arial"/>
                <w:sz w:val="18"/>
                <w:szCs w:val="18"/>
              </w:rPr>
            </w:pPr>
          </w:p>
        </w:tc>
        <w:tc>
          <w:tcPr>
            <w:tcW w:w="417" w:type="pct"/>
            <w:gridSpan w:val="2"/>
            <w:tcBorders>
              <w:top w:val="single" w:sz="2" w:space="0" w:color="002279"/>
              <w:left w:val="single" w:sz="4" w:space="0" w:color="002279"/>
              <w:bottom w:val="single" w:sz="4" w:space="0" w:color="002279"/>
              <w:right w:val="single" w:sz="4" w:space="0" w:color="002279"/>
            </w:tcBorders>
            <w:shd w:val="clear" w:color="auto" w:fill="D4D6DF"/>
            <w:noWrap/>
            <w:vAlign w:val="center"/>
            <w:hideMark/>
          </w:tcPr>
          <w:p w14:paraId="2D9A911E" w14:textId="77777777" w:rsidR="003F1732" w:rsidRPr="00BB66D9" w:rsidRDefault="003F1732" w:rsidP="00A35FEB">
            <w:pPr>
              <w:jc w:val="center"/>
              <w:rPr>
                <w:rFonts w:ascii="Arial" w:hAnsi="Arial" w:cs="Arial"/>
                <w:sz w:val="18"/>
                <w:szCs w:val="18"/>
              </w:rPr>
            </w:pPr>
            <w:r w:rsidRPr="00BB66D9">
              <w:rPr>
                <w:rFonts w:cs="Arial"/>
                <w:sz w:val="18"/>
                <w:szCs w:val="18"/>
              </w:rPr>
              <w:t>1.18%</w:t>
            </w:r>
          </w:p>
        </w:tc>
        <w:tc>
          <w:tcPr>
            <w:tcW w:w="417" w:type="pct"/>
            <w:gridSpan w:val="2"/>
            <w:tcBorders>
              <w:top w:val="single" w:sz="2" w:space="0" w:color="002279"/>
              <w:left w:val="single" w:sz="4" w:space="0" w:color="002279"/>
              <w:bottom w:val="single" w:sz="4" w:space="0" w:color="002279"/>
              <w:right w:val="single" w:sz="4" w:space="0" w:color="002279"/>
            </w:tcBorders>
            <w:shd w:val="clear" w:color="auto" w:fill="D4D6DF"/>
            <w:noWrap/>
            <w:vAlign w:val="center"/>
            <w:hideMark/>
          </w:tcPr>
          <w:p w14:paraId="1DBDF93A" w14:textId="77777777" w:rsidR="003F1732" w:rsidRPr="00BB66D9" w:rsidRDefault="003F1732" w:rsidP="00A35FEB">
            <w:pPr>
              <w:jc w:val="center"/>
              <w:rPr>
                <w:rFonts w:ascii="Arial" w:hAnsi="Arial" w:cs="Arial"/>
                <w:sz w:val="18"/>
                <w:szCs w:val="18"/>
              </w:rPr>
            </w:pPr>
            <w:r w:rsidRPr="00BB66D9">
              <w:rPr>
                <w:rFonts w:cs="Arial"/>
                <w:sz w:val="18"/>
                <w:szCs w:val="18"/>
              </w:rPr>
              <w:t>1.17%</w:t>
            </w:r>
          </w:p>
        </w:tc>
        <w:tc>
          <w:tcPr>
            <w:tcW w:w="417" w:type="pct"/>
            <w:gridSpan w:val="2"/>
            <w:tcBorders>
              <w:top w:val="single" w:sz="2" w:space="0" w:color="002279"/>
              <w:left w:val="single" w:sz="4" w:space="0" w:color="002279"/>
              <w:bottom w:val="single" w:sz="4" w:space="0" w:color="002279"/>
              <w:right w:val="single" w:sz="4" w:space="0" w:color="002279"/>
            </w:tcBorders>
            <w:shd w:val="clear" w:color="auto" w:fill="D4D6DF"/>
            <w:noWrap/>
            <w:vAlign w:val="center"/>
            <w:hideMark/>
          </w:tcPr>
          <w:p w14:paraId="1C0EEAEF" w14:textId="77777777" w:rsidR="003F1732" w:rsidRPr="00BB66D9" w:rsidRDefault="003F1732" w:rsidP="00A35FEB">
            <w:pPr>
              <w:jc w:val="center"/>
              <w:rPr>
                <w:rFonts w:ascii="Arial" w:hAnsi="Arial" w:cs="Arial"/>
                <w:sz w:val="18"/>
                <w:szCs w:val="18"/>
              </w:rPr>
            </w:pPr>
            <w:r w:rsidRPr="00BB66D9">
              <w:rPr>
                <w:rFonts w:cs="Arial"/>
                <w:sz w:val="18"/>
                <w:szCs w:val="18"/>
              </w:rPr>
              <w:t>1.16%</w:t>
            </w:r>
          </w:p>
        </w:tc>
        <w:tc>
          <w:tcPr>
            <w:tcW w:w="417" w:type="pct"/>
            <w:gridSpan w:val="2"/>
            <w:tcBorders>
              <w:top w:val="single" w:sz="2" w:space="0" w:color="002279"/>
              <w:left w:val="single" w:sz="4" w:space="0" w:color="002279"/>
              <w:bottom w:val="single" w:sz="4" w:space="0" w:color="002279"/>
              <w:right w:val="single" w:sz="4" w:space="0" w:color="002279"/>
            </w:tcBorders>
            <w:shd w:val="clear" w:color="auto" w:fill="D4D6DF"/>
            <w:noWrap/>
            <w:vAlign w:val="center"/>
            <w:hideMark/>
          </w:tcPr>
          <w:p w14:paraId="03578388" w14:textId="77777777" w:rsidR="003F1732" w:rsidRPr="00BB66D9" w:rsidRDefault="003F1732" w:rsidP="00A35FEB">
            <w:pPr>
              <w:jc w:val="center"/>
              <w:rPr>
                <w:rFonts w:ascii="Arial" w:hAnsi="Arial" w:cs="Arial"/>
                <w:sz w:val="18"/>
                <w:szCs w:val="18"/>
              </w:rPr>
            </w:pPr>
            <w:r w:rsidRPr="00BB66D9">
              <w:rPr>
                <w:rFonts w:cs="Arial"/>
                <w:sz w:val="18"/>
                <w:szCs w:val="18"/>
              </w:rPr>
              <w:t>1.14%</w:t>
            </w:r>
          </w:p>
        </w:tc>
        <w:tc>
          <w:tcPr>
            <w:tcW w:w="417" w:type="pct"/>
            <w:gridSpan w:val="2"/>
            <w:tcBorders>
              <w:top w:val="single" w:sz="2" w:space="0" w:color="002279"/>
              <w:left w:val="single" w:sz="4" w:space="0" w:color="002279"/>
              <w:bottom w:val="single" w:sz="4" w:space="0" w:color="002279"/>
              <w:right w:val="single" w:sz="4" w:space="0" w:color="002279"/>
            </w:tcBorders>
            <w:shd w:val="clear" w:color="auto" w:fill="D4D6DF"/>
            <w:noWrap/>
            <w:vAlign w:val="center"/>
            <w:hideMark/>
          </w:tcPr>
          <w:p w14:paraId="4F5DAE6E" w14:textId="77777777" w:rsidR="003F1732" w:rsidRPr="00BB66D9" w:rsidRDefault="003F1732" w:rsidP="00A35FEB">
            <w:pPr>
              <w:jc w:val="center"/>
              <w:rPr>
                <w:rFonts w:ascii="Arial" w:hAnsi="Arial" w:cs="Arial"/>
                <w:sz w:val="18"/>
                <w:szCs w:val="18"/>
              </w:rPr>
            </w:pPr>
            <w:r w:rsidRPr="00BB66D9">
              <w:rPr>
                <w:rFonts w:cs="Arial"/>
                <w:sz w:val="18"/>
                <w:szCs w:val="18"/>
              </w:rPr>
              <w:t>1.65%</w:t>
            </w:r>
          </w:p>
        </w:tc>
        <w:tc>
          <w:tcPr>
            <w:tcW w:w="418" w:type="pct"/>
            <w:gridSpan w:val="2"/>
            <w:tcBorders>
              <w:top w:val="single" w:sz="2" w:space="0" w:color="002279"/>
              <w:left w:val="single" w:sz="4" w:space="0" w:color="002279"/>
              <w:bottom w:val="single" w:sz="4" w:space="0" w:color="002279"/>
              <w:right w:val="single" w:sz="4" w:space="0" w:color="002279"/>
            </w:tcBorders>
            <w:shd w:val="clear" w:color="auto" w:fill="D4D6DF"/>
            <w:noWrap/>
            <w:vAlign w:val="center"/>
            <w:hideMark/>
          </w:tcPr>
          <w:p w14:paraId="57F98A60" w14:textId="77777777" w:rsidR="003F1732" w:rsidRPr="00BB66D9" w:rsidRDefault="003F1732" w:rsidP="00A35FEB">
            <w:pPr>
              <w:jc w:val="center"/>
              <w:rPr>
                <w:rFonts w:ascii="Arial" w:hAnsi="Arial" w:cs="Arial"/>
                <w:sz w:val="18"/>
                <w:szCs w:val="18"/>
              </w:rPr>
            </w:pPr>
            <w:r w:rsidRPr="00BB66D9">
              <w:rPr>
                <w:rFonts w:cs="Arial"/>
                <w:sz w:val="18"/>
                <w:szCs w:val="18"/>
              </w:rPr>
              <w:t>1.63%</w:t>
            </w:r>
          </w:p>
        </w:tc>
      </w:tr>
    </w:tbl>
    <w:p w14:paraId="6C31AEB3" w14:textId="77777777" w:rsidR="00D1363D" w:rsidRPr="00116E55" w:rsidRDefault="00D1363D" w:rsidP="000D4E81">
      <w:pPr>
        <w:rPr>
          <w:sz w:val="12"/>
          <w:szCs w:val="12"/>
        </w:rPr>
      </w:pPr>
    </w:p>
    <w:p w14:paraId="38871AA1" w14:textId="2DD6264A" w:rsidR="000D4E81" w:rsidRDefault="00854E84" w:rsidP="000D4E81">
      <w:r>
        <w:t>R</w:t>
      </w:r>
      <w:r w:rsidR="000D4E81">
        <w:t>ecycled water customer</w:t>
      </w:r>
      <w:r>
        <w:t xml:space="preserve"> growth</w:t>
      </w:r>
      <w:r w:rsidR="000D4E81">
        <w:t xml:space="preserve"> ha</w:t>
      </w:r>
      <w:r>
        <w:t>s</w:t>
      </w:r>
      <w:r w:rsidR="000D4E81">
        <w:t xml:space="preserve"> been forecast based on the </w:t>
      </w:r>
      <w:r w:rsidR="000D4E81" w:rsidRPr="00767E77">
        <w:t>PSPs</w:t>
      </w:r>
      <w:r w:rsidR="00DB6047">
        <w:t xml:space="preserve"> for </w:t>
      </w:r>
      <w:r w:rsidR="003E0422">
        <w:t>the Casey and Cardinia growth</w:t>
      </w:r>
      <w:r w:rsidR="00DB6047">
        <w:t xml:space="preserve"> areas and </w:t>
      </w:r>
      <w:r w:rsidR="00585A95">
        <w:t xml:space="preserve">on forecasts </w:t>
      </w:r>
      <w:r w:rsidR="00EB120F">
        <w:t>provided by the Fishermans Bend Taskforc</w:t>
      </w:r>
      <w:r w:rsidR="00BB1356">
        <w:t>e</w:t>
      </w:r>
      <w:r w:rsidR="00DE4D87">
        <w:t>.</w:t>
      </w:r>
      <w:r w:rsidR="000D4E81">
        <w:t xml:space="preserve"> </w:t>
      </w:r>
      <w:r w:rsidR="00402506">
        <w:t>These figures ha</w:t>
      </w:r>
      <w:r w:rsidR="004B6576">
        <w:t>ve</w:t>
      </w:r>
      <w:r w:rsidR="000707E2">
        <w:t xml:space="preserve"> been</w:t>
      </w:r>
      <w:r w:rsidR="004B6576">
        <w:t xml:space="preserve"> </w:t>
      </w:r>
      <w:r w:rsidR="002262EC">
        <w:t>aligned</w:t>
      </w:r>
      <w:r w:rsidR="009068CA">
        <w:t xml:space="preserve"> </w:t>
      </w:r>
      <w:r w:rsidR="000D4E81">
        <w:t>with the Spatial Economics forecast</w:t>
      </w:r>
      <w:r w:rsidR="00891EFF">
        <w:t xml:space="preserve"> to determine the</w:t>
      </w:r>
      <w:r w:rsidR="00497D25">
        <w:t xml:space="preserve"> </w:t>
      </w:r>
      <w:r w:rsidR="00B12CB0">
        <w:t>differences</w:t>
      </w:r>
      <w:r w:rsidR="00712D1D">
        <w:t xml:space="preserve"> in growth</w:t>
      </w:r>
      <w:r w:rsidR="00B12CB0">
        <w:t xml:space="preserve"> between </w:t>
      </w:r>
      <w:r w:rsidR="00090DCF">
        <w:t>recycled water</w:t>
      </w:r>
      <w:r w:rsidR="00712D1D">
        <w:t xml:space="preserve"> </w:t>
      </w:r>
      <w:r w:rsidR="00D67A76">
        <w:t xml:space="preserve">customers </w:t>
      </w:r>
      <w:r w:rsidR="00712D1D">
        <w:t xml:space="preserve">and </w:t>
      </w:r>
      <w:r w:rsidR="00D67A76">
        <w:t>non-recycled</w:t>
      </w:r>
      <w:r w:rsidR="00A23447">
        <w:t xml:space="preserve"> </w:t>
      </w:r>
      <w:r w:rsidR="00712D1D">
        <w:t>water</w:t>
      </w:r>
      <w:r w:rsidR="00090DCF">
        <w:t xml:space="preserve"> customers</w:t>
      </w:r>
      <w:r w:rsidR="000D4E81">
        <w:t>.</w:t>
      </w:r>
    </w:p>
    <w:p w14:paraId="27CCE27D" w14:textId="4442AEB2" w:rsidR="00FE1B85" w:rsidRPr="001C6BC6" w:rsidRDefault="00304A0D" w:rsidP="00304A0D">
      <w:pPr>
        <w:pStyle w:val="NormalIndent"/>
        <w:ind w:left="0"/>
        <w:rPr>
          <w:rFonts w:cs="Arial"/>
          <w:i/>
        </w:rPr>
      </w:pPr>
      <w:r w:rsidRPr="00CE6C4E">
        <w:rPr>
          <w:b/>
          <w:i/>
        </w:rPr>
        <w:t xml:space="preserve">Table </w:t>
      </w:r>
      <w:r w:rsidR="009253E5" w:rsidRPr="00CE6C4E">
        <w:rPr>
          <w:b/>
          <w:bCs/>
          <w:i/>
          <w:iCs/>
        </w:rPr>
        <w:fldChar w:fldCharType="begin"/>
      </w:r>
      <w:r w:rsidR="009253E5" w:rsidRPr="00CE6C4E">
        <w:rPr>
          <w:b/>
          <w:bCs/>
          <w:i/>
          <w:iCs/>
        </w:rPr>
        <w:instrText>SEQ Table \* ARABIC</w:instrText>
      </w:r>
      <w:r w:rsidR="009253E5" w:rsidRPr="00CE6C4E">
        <w:rPr>
          <w:b/>
          <w:bCs/>
          <w:i/>
          <w:iCs/>
        </w:rPr>
        <w:fldChar w:fldCharType="separate"/>
      </w:r>
      <w:r w:rsidR="009253E5">
        <w:rPr>
          <w:b/>
          <w:bCs/>
          <w:i/>
          <w:iCs/>
          <w:noProof/>
        </w:rPr>
        <w:t>42</w:t>
      </w:r>
      <w:r w:rsidR="009253E5" w:rsidRPr="00CE6C4E">
        <w:rPr>
          <w:b/>
          <w:bCs/>
          <w:i/>
          <w:iCs/>
        </w:rPr>
        <w:fldChar w:fldCharType="end"/>
      </w:r>
      <w:r w:rsidRPr="007B339F">
        <w:rPr>
          <w:rFonts w:ascii="Arial" w:hAnsi="Arial" w:cs="Arial"/>
          <w:b/>
          <w:i/>
        </w:rPr>
        <w:t>:</w:t>
      </w:r>
      <w:r>
        <w:rPr>
          <w:rFonts w:ascii="Arial" w:hAnsi="Arial" w:cs="Arial"/>
          <w:b/>
          <w:i/>
        </w:rPr>
        <w:t xml:space="preserve"> </w:t>
      </w:r>
      <w:r w:rsidR="00FE1B85" w:rsidRPr="001C6BC6">
        <w:rPr>
          <w:rFonts w:cs="Arial"/>
          <w:b/>
          <w:i/>
        </w:rPr>
        <w:t xml:space="preserve">Number of new </w:t>
      </w:r>
      <w:r w:rsidR="00E30B4D" w:rsidRPr="001C6BC6">
        <w:rPr>
          <w:rFonts w:cs="Arial"/>
          <w:b/>
          <w:i/>
        </w:rPr>
        <w:t>residential customers (recycled and total)</w:t>
      </w:r>
    </w:p>
    <w:tbl>
      <w:tblPr>
        <w:tblStyle w:val="MJTableStyle1default"/>
        <w:tblW w:w="5000" w:type="pct"/>
        <w:tblInd w:w="0" w:type="dxa"/>
        <w:tblCellMar>
          <w:right w:w="0" w:type="dxa"/>
        </w:tblCellMar>
        <w:tblLook w:val="04A0" w:firstRow="1" w:lastRow="0" w:firstColumn="1" w:lastColumn="0" w:noHBand="0" w:noVBand="1"/>
      </w:tblPr>
      <w:tblGrid>
        <w:gridCol w:w="1397"/>
        <w:gridCol w:w="1141"/>
        <w:gridCol w:w="1144"/>
        <w:gridCol w:w="1144"/>
        <w:gridCol w:w="1144"/>
        <w:gridCol w:w="1141"/>
        <w:gridCol w:w="1141"/>
        <w:gridCol w:w="1141"/>
        <w:gridCol w:w="1141"/>
        <w:gridCol w:w="1138"/>
        <w:gridCol w:w="1141"/>
        <w:gridCol w:w="1135"/>
      </w:tblGrid>
      <w:tr w:rsidR="003F1732" w:rsidRPr="00CD3B7D" w14:paraId="262DED70" w14:textId="77777777" w:rsidTr="003F1732">
        <w:trPr>
          <w:cnfStyle w:val="100000000000" w:firstRow="1" w:lastRow="0" w:firstColumn="0" w:lastColumn="0" w:oddVBand="0" w:evenVBand="0" w:oddHBand="0" w:evenHBand="0" w:firstRowFirstColumn="0" w:firstRowLastColumn="0" w:lastRowFirstColumn="0" w:lastRowLastColumn="0"/>
          <w:trHeight w:val="450"/>
        </w:trPr>
        <w:tc>
          <w:tcPr>
            <w:tcW w:w="501" w:type="pct"/>
            <w:tcBorders>
              <w:top w:val="single" w:sz="4" w:space="0" w:color="002279"/>
              <w:left w:val="single" w:sz="4" w:space="0" w:color="002279"/>
              <w:bottom w:val="single" w:sz="2" w:space="0" w:color="002279"/>
              <w:right w:val="single" w:sz="4" w:space="0" w:color="FFFFFF" w:themeColor="background1"/>
            </w:tcBorders>
            <w:shd w:val="clear" w:color="auto" w:fill="002279"/>
            <w:noWrap/>
            <w:vAlign w:val="center"/>
            <w:hideMark/>
          </w:tcPr>
          <w:p w14:paraId="5E4A4CA9" w14:textId="1ECDB629" w:rsidR="00714103" w:rsidRPr="00BB66D9" w:rsidRDefault="00714103" w:rsidP="00CD3B7D">
            <w:pPr>
              <w:rPr>
                <w:rFonts w:asciiTheme="minorHAnsi" w:hAnsiTheme="minorHAnsi" w:cstheme="minorHAnsi"/>
                <w:sz w:val="18"/>
                <w:szCs w:val="18"/>
              </w:rPr>
            </w:pPr>
          </w:p>
        </w:tc>
        <w:tc>
          <w:tcPr>
            <w:tcW w:w="409" w:type="pct"/>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noWrap/>
            <w:vAlign w:val="center"/>
            <w:hideMark/>
          </w:tcPr>
          <w:p w14:paraId="636BCEA0" w14:textId="558BA5BB" w:rsidR="00714103" w:rsidRPr="00BB66D9" w:rsidRDefault="00714103" w:rsidP="00A35FEB">
            <w:pPr>
              <w:jc w:val="center"/>
              <w:rPr>
                <w:rFonts w:asciiTheme="minorHAnsi" w:hAnsiTheme="minorHAnsi" w:cstheme="minorHAnsi"/>
                <w:b/>
                <w:sz w:val="18"/>
                <w:szCs w:val="18"/>
              </w:rPr>
            </w:pPr>
            <w:r w:rsidRPr="00BB66D9">
              <w:rPr>
                <w:rFonts w:asciiTheme="minorHAnsi" w:hAnsiTheme="minorHAnsi" w:cstheme="minorHAnsi"/>
                <w:b/>
                <w:sz w:val="18"/>
                <w:szCs w:val="18"/>
              </w:rPr>
              <w:t>2017</w:t>
            </w:r>
            <w:r w:rsidR="004C32D1" w:rsidRPr="00BB66D9">
              <w:rPr>
                <w:rFonts w:asciiTheme="minorHAnsi" w:hAnsiTheme="minorHAnsi" w:cstheme="minorHAnsi"/>
                <w:b/>
                <w:sz w:val="18"/>
                <w:szCs w:val="18"/>
              </w:rPr>
              <w:t>–</w:t>
            </w:r>
            <w:r w:rsidRPr="00BB66D9">
              <w:rPr>
                <w:rFonts w:asciiTheme="minorHAnsi" w:hAnsiTheme="minorHAnsi" w:cstheme="minorHAnsi"/>
                <w:b/>
                <w:sz w:val="18"/>
                <w:szCs w:val="18"/>
              </w:rPr>
              <w:t>18</w:t>
            </w:r>
          </w:p>
        </w:tc>
        <w:tc>
          <w:tcPr>
            <w:tcW w:w="410" w:type="pct"/>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noWrap/>
            <w:vAlign w:val="center"/>
            <w:hideMark/>
          </w:tcPr>
          <w:p w14:paraId="39E2CB28" w14:textId="6961D56A" w:rsidR="00714103" w:rsidRPr="00BB66D9" w:rsidRDefault="00714103" w:rsidP="00A35FEB">
            <w:pPr>
              <w:jc w:val="center"/>
              <w:rPr>
                <w:rFonts w:asciiTheme="minorHAnsi" w:hAnsiTheme="minorHAnsi" w:cstheme="minorHAnsi"/>
                <w:b/>
                <w:sz w:val="18"/>
                <w:szCs w:val="18"/>
              </w:rPr>
            </w:pPr>
            <w:r w:rsidRPr="00BB66D9">
              <w:rPr>
                <w:rFonts w:asciiTheme="minorHAnsi" w:hAnsiTheme="minorHAnsi" w:cstheme="minorHAnsi"/>
                <w:b/>
                <w:sz w:val="18"/>
                <w:szCs w:val="18"/>
              </w:rPr>
              <w:t>2018</w:t>
            </w:r>
            <w:r w:rsidR="004C32D1" w:rsidRPr="00BB66D9">
              <w:rPr>
                <w:rFonts w:asciiTheme="minorHAnsi" w:hAnsiTheme="minorHAnsi" w:cstheme="minorHAnsi"/>
                <w:b/>
                <w:sz w:val="18"/>
                <w:szCs w:val="18"/>
              </w:rPr>
              <w:t>–</w:t>
            </w:r>
            <w:r w:rsidRPr="00BB66D9">
              <w:rPr>
                <w:rFonts w:asciiTheme="minorHAnsi" w:hAnsiTheme="minorHAnsi" w:cstheme="minorHAnsi"/>
                <w:b/>
                <w:sz w:val="18"/>
                <w:szCs w:val="18"/>
              </w:rPr>
              <w:t>19</w:t>
            </w:r>
          </w:p>
        </w:tc>
        <w:tc>
          <w:tcPr>
            <w:tcW w:w="410" w:type="pct"/>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noWrap/>
            <w:vAlign w:val="center"/>
            <w:hideMark/>
          </w:tcPr>
          <w:p w14:paraId="4C98A11C" w14:textId="69454595" w:rsidR="00714103" w:rsidRPr="00BB66D9" w:rsidRDefault="00714103" w:rsidP="00A35FEB">
            <w:pPr>
              <w:jc w:val="center"/>
              <w:rPr>
                <w:rFonts w:asciiTheme="minorHAnsi" w:hAnsiTheme="minorHAnsi" w:cstheme="minorHAnsi"/>
                <w:b/>
                <w:sz w:val="18"/>
                <w:szCs w:val="18"/>
              </w:rPr>
            </w:pPr>
            <w:r w:rsidRPr="00BB66D9">
              <w:rPr>
                <w:rFonts w:asciiTheme="minorHAnsi" w:hAnsiTheme="minorHAnsi" w:cstheme="minorHAnsi"/>
                <w:b/>
                <w:sz w:val="18"/>
                <w:szCs w:val="18"/>
              </w:rPr>
              <w:t>2019</w:t>
            </w:r>
            <w:r w:rsidR="004C32D1" w:rsidRPr="00BB66D9">
              <w:rPr>
                <w:rFonts w:asciiTheme="minorHAnsi" w:hAnsiTheme="minorHAnsi" w:cstheme="minorHAnsi"/>
                <w:b/>
                <w:sz w:val="18"/>
                <w:szCs w:val="18"/>
              </w:rPr>
              <w:t>–</w:t>
            </w:r>
            <w:r w:rsidRPr="00BB66D9">
              <w:rPr>
                <w:rFonts w:asciiTheme="minorHAnsi" w:hAnsiTheme="minorHAnsi" w:cstheme="minorHAnsi"/>
                <w:b/>
                <w:sz w:val="18"/>
                <w:szCs w:val="18"/>
              </w:rPr>
              <w:t>20</w:t>
            </w:r>
          </w:p>
        </w:tc>
        <w:tc>
          <w:tcPr>
            <w:tcW w:w="410" w:type="pct"/>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noWrap/>
            <w:vAlign w:val="center"/>
            <w:hideMark/>
          </w:tcPr>
          <w:p w14:paraId="16699860" w14:textId="218B4B8F" w:rsidR="00714103" w:rsidRPr="00BB66D9" w:rsidRDefault="00714103" w:rsidP="00A35FEB">
            <w:pPr>
              <w:jc w:val="center"/>
              <w:rPr>
                <w:rFonts w:asciiTheme="minorHAnsi" w:hAnsiTheme="minorHAnsi" w:cstheme="minorHAnsi"/>
                <w:b/>
                <w:sz w:val="18"/>
                <w:szCs w:val="18"/>
              </w:rPr>
            </w:pPr>
            <w:r w:rsidRPr="00BB66D9">
              <w:rPr>
                <w:rFonts w:asciiTheme="minorHAnsi" w:hAnsiTheme="minorHAnsi" w:cstheme="minorHAnsi"/>
                <w:b/>
                <w:sz w:val="18"/>
                <w:szCs w:val="18"/>
              </w:rPr>
              <w:t>2020</w:t>
            </w:r>
            <w:r w:rsidR="004C32D1" w:rsidRPr="00BB66D9">
              <w:rPr>
                <w:rFonts w:asciiTheme="minorHAnsi" w:hAnsiTheme="minorHAnsi" w:cstheme="minorHAnsi"/>
                <w:b/>
                <w:sz w:val="18"/>
                <w:szCs w:val="18"/>
              </w:rPr>
              <w:t>–</w:t>
            </w:r>
            <w:r w:rsidRPr="00BB66D9">
              <w:rPr>
                <w:rFonts w:asciiTheme="minorHAnsi" w:hAnsiTheme="minorHAnsi" w:cstheme="minorHAnsi"/>
                <w:b/>
                <w:sz w:val="18"/>
                <w:szCs w:val="18"/>
              </w:rPr>
              <w:t>21</w:t>
            </w:r>
          </w:p>
        </w:tc>
        <w:tc>
          <w:tcPr>
            <w:tcW w:w="409" w:type="pct"/>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noWrap/>
            <w:vAlign w:val="center"/>
            <w:hideMark/>
          </w:tcPr>
          <w:p w14:paraId="6C074F3F" w14:textId="77DE6C09" w:rsidR="00714103" w:rsidRPr="00BB66D9" w:rsidRDefault="00714103" w:rsidP="00A35FEB">
            <w:pPr>
              <w:jc w:val="center"/>
              <w:rPr>
                <w:rFonts w:asciiTheme="minorHAnsi" w:hAnsiTheme="minorHAnsi" w:cstheme="minorHAnsi"/>
                <w:b/>
                <w:sz w:val="18"/>
                <w:szCs w:val="18"/>
              </w:rPr>
            </w:pPr>
            <w:r w:rsidRPr="00BB66D9">
              <w:rPr>
                <w:rFonts w:asciiTheme="minorHAnsi" w:hAnsiTheme="minorHAnsi" w:cstheme="minorHAnsi"/>
                <w:b/>
                <w:sz w:val="18"/>
                <w:szCs w:val="18"/>
              </w:rPr>
              <w:t>2021</w:t>
            </w:r>
            <w:r w:rsidR="004C32D1" w:rsidRPr="00BB66D9">
              <w:rPr>
                <w:rFonts w:asciiTheme="minorHAnsi" w:hAnsiTheme="minorHAnsi" w:cstheme="minorHAnsi"/>
                <w:b/>
                <w:sz w:val="18"/>
                <w:szCs w:val="18"/>
              </w:rPr>
              <w:t>–</w:t>
            </w:r>
            <w:r w:rsidRPr="00BB66D9">
              <w:rPr>
                <w:rFonts w:asciiTheme="minorHAnsi" w:hAnsiTheme="minorHAnsi" w:cstheme="minorHAnsi"/>
                <w:b/>
                <w:sz w:val="18"/>
                <w:szCs w:val="18"/>
              </w:rPr>
              <w:t>22</w:t>
            </w:r>
          </w:p>
        </w:tc>
        <w:tc>
          <w:tcPr>
            <w:tcW w:w="409" w:type="pct"/>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noWrap/>
            <w:vAlign w:val="center"/>
            <w:hideMark/>
          </w:tcPr>
          <w:p w14:paraId="6F7822D0" w14:textId="2AE3933A" w:rsidR="00714103" w:rsidRPr="00BB66D9" w:rsidRDefault="00714103" w:rsidP="00A35FEB">
            <w:pPr>
              <w:jc w:val="center"/>
              <w:rPr>
                <w:rFonts w:asciiTheme="minorHAnsi" w:hAnsiTheme="minorHAnsi" w:cstheme="minorHAnsi"/>
                <w:b/>
                <w:sz w:val="18"/>
                <w:szCs w:val="18"/>
              </w:rPr>
            </w:pPr>
            <w:r w:rsidRPr="00BB66D9">
              <w:rPr>
                <w:rFonts w:asciiTheme="minorHAnsi" w:hAnsiTheme="minorHAnsi" w:cstheme="minorHAnsi"/>
                <w:b/>
                <w:sz w:val="18"/>
                <w:szCs w:val="18"/>
              </w:rPr>
              <w:t>2022</w:t>
            </w:r>
            <w:r w:rsidR="004C32D1" w:rsidRPr="00BB66D9">
              <w:rPr>
                <w:rFonts w:asciiTheme="minorHAnsi" w:hAnsiTheme="minorHAnsi" w:cstheme="minorHAnsi"/>
                <w:b/>
                <w:sz w:val="18"/>
                <w:szCs w:val="18"/>
              </w:rPr>
              <w:t>–</w:t>
            </w:r>
            <w:r w:rsidRPr="00BB66D9">
              <w:rPr>
                <w:rFonts w:asciiTheme="minorHAnsi" w:hAnsiTheme="minorHAnsi" w:cstheme="minorHAnsi"/>
                <w:b/>
                <w:sz w:val="18"/>
                <w:szCs w:val="18"/>
              </w:rPr>
              <w:t>23(f)</w:t>
            </w:r>
          </w:p>
        </w:tc>
        <w:tc>
          <w:tcPr>
            <w:tcW w:w="409" w:type="pct"/>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noWrap/>
            <w:vAlign w:val="center"/>
            <w:hideMark/>
          </w:tcPr>
          <w:p w14:paraId="6EDC7A60" w14:textId="7793D895" w:rsidR="00714103" w:rsidRPr="00BB66D9" w:rsidRDefault="00714103" w:rsidP="00A35FEB">
            <w:pPr>
              <w:jc w:val="center"/>
              <w:rPr>
                <w:rFonts w:asciiTheme="minorHAnsi" w:hAnsiTheme="minorHAnsi" w:cstheme="minorHAnsi"/>
                <w:b/>
                <w:sz w:val="18"/>
                <w:szCs w:val="18"/>
              </w:rPr>
            </w:pPr>
            <w:r w:rsidRPr="00BB66D9">
              <w:rPr>
                <w:rFonts w:asciiTheme="minorHAnsi" w:hAnsiTheme="minorHAnsi" w:cstheme="minorHAnsi"/>
                <w:b/>
                <w:sz w:val="18"/>
                <w:szCs w:val="18"/>
              </w:rPr>
              <w:t>2023</w:t>
            </w:r>
            <w:r w:rsidR="004C32D1" w:rsidRPr="00BB66D9">
              <w:rPr>
                <w:rFonts w:asciiTheme="minorHAnsi" w:hAnsiTheme="minorHAnsi" w:cstheme="minorHAnsi"/>
                <w:b/>
                <w:sz w:val="18"/>
                <w:szCs w:val="18"/>
              </w:rPr>
              <w:t>–</w:t>
            </w:r>
            <w:r w:rsidRPr="00BB66D9">
              <w:rPr>
                <w:rFonts w:asciiTheme="minorHAnsi" w:hAnsiTheme="minorHAnsi" w:cstheme="minorHAnsi"/>
                <w:b/>
                <w:sz w:val="18"/>
                <w:szCs w:val="18"/>
              </w:rPr>
              <w:t>24(f)</w:t>
            </w:r>
          </w:p>
        </w:tc>
        <w:tc>
          <w:tcPr>
            <w:tcW w:w="409" w:type="pct"/>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noWrap/>
            <w:vAlign w:val="center"/>
            <w:hideMark/>
          </w:tcPr>
          <w:p w14:paraId="1B4F959C" w14:textId="7DE8B506" w:rsidR="00714103" w:rsidRPr="00BB66D9" w:rsidRDefault="00714103" w:rsidP="00A35FEB">
            <w:pPr>
              <w:jc w:val="center"/>
              <w:rPr>
                <w:rFonts w:asciiTheme="minorHAnsi" w:hAnsiTheme="minorHAnsi" w:cstheme="minorHAnsi"/>
                <w:b/>
                <w:sz w:val="18"/>
                <w:szCs w:val="18"/>
              </w:rPr>
            </w:pPr>
            <w:r w:rsidRPr="00BB66D9">
              <w:rPr>
                <w:rFonts w:asciiTheme="minorHAnsi" w:hAnsiTheme="minorHAnsi" w:cstheme="minorHAnsi"/>
                <w:b/>
                <w:sz w:val="18"/>
                <w:szCs w:val="18"/>
              </w:rPr>
              <w:t>2024</w:t>
            </w:r>
            <w:r w:rsidR="004C32D1" w:rsidRPr="00BB66D9">
              <w:rPr>
                <w:rFonts w:asciiTheme="minorHAnsi" w:hAnsiTheme="minorHAnsi" w:cstheme="minorHAnsi"/>
                <w:b/>
                <w:sz w:val="18"/>
                <w:szCs w:val="18"/>
              </w:rPr>
              <w:t>–</w:t>
            </w:r>
            <w:r w:rsidRPr="00BB66D9">
              <w:rPr>
                <w:rFonts w:asciiTheme="minorHAnsi" w:hAnsiTheme="minorHAnsi" w:cstheme="minorHAnsi"/>
                <w:b/>
                <w:sz w:val="18"/>
                <w:szCs w:val="18"/>
              </w:rPr>
              <w:t>25(f)</w:t>
            </w:r>
          </w:p>
        </w:tc>
        <w:tc>
          <w:tcPr>
            <w:tcW w:w="408" w:type="pct"/>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noWrap/>
            <w:vAlign w:val="center"/>
            <w:hideMark/>
          </w:tcPr>
          <w:p w14:paraId="572B4854" w14:textId="6375B2C5" w:rsidR="00714103" w:rsidRPr="00BB66D9" w:rsidRDefault="00714103" w:rsidP="00A35FEB">
            <w:pPr>
              <w:jc w:val="center"/>
              <w:rPr>
                <w:rFonts w:asciiTheme="minorHAnsi" w:hAnsiTheme="minorHAnsi" w:cstheme="minorHAnsi"/>
                <w:b/>
                <w:sz w:val="18"/>
                <w:szCs w:val="18"/>
              </w:rPr>
            </w:pPr>
            <w:r w:rsidRPr="00BB66D9">
              <w:rPr>
                <w:rFonts w:asciiTheme="minorHAnsi" w:hAnsiTheme="minorHAnsi" w:cstheme="minorHAnsi"/>
                <w:b/>
                <w:sz w:val="18"/>
                <w:szCs w:val="18"/>
              </w:rPr>
              <w:t>2025</w:t>
            </w:r>
            <w:r w:rsidR="004C32D1" w:rsidRPr="00BB66D9">
              <w:rPr>
                <w:rFonts w:asciiTheme="minorHAnsi" w:hAnsiTheme="minorHAnsi" w:cstheme="minorHAnsi"/>
                <w:b/>
                <w:sz w:val="18"/>
                <w:szCs w:val="18"/>
              </w:rPr>
              <w:t>–</w:t>
            </w:r>
            <w:r w:rsidRPr="00BB66D9">
              <w:rPr>
                <w:rFonts w:asciiTheme="minorHAnsi" w:hAnsiTheme="minorHAnsi" w:cstheme="minorHAnsi"/>
                <w:b/>
                <w:sz w:val="18"/>
                <w:szCs w:val="18"/>
              </w:rPr>
              <w:t>26(f)</w:t>
            </w:r>
          </w:p>
        </w:tc>
        <w:tc>
          <w:tcPr>
            <w:tcW w:w="409" w:type="pct"/>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noWrap/>
            <w:vAlign w:val="center"/>
            <w:hideMark/>
          </w:tcPr>
          <w:p w14:paraId="3282A35F" w14:textId="355818B1" w:rsidR="00714103" w:rsidRPr="00BB66D9" w:rsidRDefault="00714103" w:rsidP="00A35FEB">
            <w:pPr>
              <w:jc w:val="center"/>
              <w:rPr>
                <w:rFonts w:asciiTheme="minorHAnsi" w:hAnsiTheme="minorHAnsi" w:cstheme="minorHAnsi"/>
                <w:b/>
                <w:sz w:val="18"/>
                <w:szCs w:val="18"/>
              </w:rPr>
            </w:pPr>
            <w:r w:rsidRPr="00BB66D9">
              <w:rPr>
                <w:rFonts w:asciiTheme="minorHAnsi" w:hAnsiTheme="minorHAnsi" w:cstheme="minorHAnsi"/>
                <w:b/>
                <w:sz w:val="18"/>
                <w:szCs w:val="18"/>
              </w:rPr>
              <w:t>2026</w:t>
            </w:r>
            <w:r w:rsidR="004C32D1" w:rsidRPr="00BB66D9">
              <w:rPr>
                <w:rFonts w:asciiTheme="minorHAnsi" w:hAnsiTheme="minorHAnsi" w:cstheme="minorHAnsi"/>
                <w:b/>
                <w:sz w:val="18"/>
                <w:szCs w:val="18"/>
              </w:rPr>
              <w:t>–</w:t>
            </w:r>
            <w:r w:rsidRPr="00BB66D9">
              <w:rPr>
                <w:rFonts w:asciiTheme="minorHAnsi" w:hAnsiTheme="minorHAnsi" w:cstheme="minorHAnsi"/>
                <w:b/>
                <w:sz w:val="18"/>
                <w:szCs w:val="18"/>
              </w:rPr>
              <w:t>27(f)</w:t>
            </w:r>
          </w:p>
        </w:tc>
        <w:tc>
          <w:tcPr>
            <w:tcW w:w="409" w:type="pct"/>
            <w:tcBorders>
              <w:top w:val="single" w:sz="4" w:space="0" w:color="002279"/>
              <w:left w:val="single" w:sz="4" w:space="0" w:color="FFFFFF" w:themeColor="background1"/>
              <w:bottom w:val="single" w:sz="2" w:space="0" w:color="002279"/>
              <w:right w:val="single" w:sz="4" w:space="0" w:color="002279"/>
            </w:tcBorders>
            <w:shd w:val="clear" w:color="auto" w:fill="002279"/>
            <w:noWrap/>
            <w:vAlign w:val="center"/>
            <w:hideMark/>
          </w:tcPr>
          <w:p w14:paraId="58C239B8" w14:textId="0FB81213" w:rsidR="00714103" w:rsidRPr="00BB66D9" w:rsidRDefault="00714103" w:rsidP="00A35FEB">
            <w:pPr>
              <w:jc w:val="center"/>
              <w:rPr>
                <w:rFonts w:asciiTheme="minorHAnsi" w:hAnsiTheme="minorHAnsi" w:cstheme="minorHAnsi"/>
                <w:b/>
                <w:sz w:val="18"/>
                <w:szCs w:val="18"/>
              </w:rPr>
            </w:pPr>
            <w:r w:rsidRPr="00BB66D9">
              <w:rPr>
                <w:rFonts w:asciiTheme="minorHAnsi" w:hAnsiTheme="minorHAnsi" w:cstheme="minorHAnsi"/>
                <w:b/>
                <w:sz w:val="18"/>
                <w:szCs w:val="18"/>
              </w:rPr>
              <w:t>2027</w:t>
            </w:r>
            <w:r w:rsidR="004C32D1" w:rsidRPr="00BB66D9">
              <w:rPr>
                <w:rFonts w:asciiTheme="minorHAnsi" w:hAnsiTheme="minorHAnsi" w:cstheme="minorHAnsi"/>
                <w:b/>
                <w:sz w:val="18"/>
                <w:szCs w:val="18"/>
              </w:rPr>
              <w:t>–</w:t>
            </w:r>
            <w:r w:rsidRPr="00BB66D9">
              <w:rPr>
                <w:rFonts w:asciiTheme="minorHAnsi" w:hAnsiTheme="minorHAnsi" w:cstheme="minorHAnsi"/>
                <w:b/>
                <w:sz w:val="18"/>
                <w:szCs w:val="18"/>
              </w:rPr>
              <w:t>28(f)</w:t>
            </w:r>
          </w:p>
        </w:tc>
      </w:tr>
      <w:tr w:rsidR="003F1732" w:rsidRPr="00CD3B7D" w14:paraId="74496724" w14:textId="77777777" w:rsidTr="00256E72">
        <w:trPr>
          <w:cnfStyle w:val="000000100000" w:firstRow="0" w:lastRow="0" w:firstColumn="0" w:lastColumn="0" w:oddVBand="0" w:evenVBand="0" w:oddHBand="1" w:evenHBand="0" w:firstRowFirstColumn="0" w:firstRowLastColumn="0" w:lastRowFirstColumn="0" w:lastRowLastColumn="0"/>
          <w:trHeight w:val="361"/>
        </w:trPr>
        <w:tc>
          <w:tcPr>
            <w:tcW w:w="501" w:type="pct"/>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4AFABBD3" w14:textId="23D72736" w:rsidR="00714103" w:rsidRPr="00256E72" w:rsidRDefault="00264EC7" w:rsidP="00CD3B7D">
            <w:pPr>
              <w:rPr>
                <w:rFonts w:cstheme="minorHAnsi"/>
                <w:b/>
                <w:bCs/>
                <w:sz w:val="18"/>
                <w:szCs w:val="18"/>
              </w:rPr>
            </w:pPr>
            <w:r w:rsidRPr="00256E72">
              <w:rPr>
                <w:rFonts w:cstheme="minorHAnsi"/>
                <w:b/>
                <w:bCs/>
                <w:sz w:val="18"/>
                <w:szCs w:val="18"/>
              </w:rPr>
              <w:t>Recycled</w:t>
            </w:r>
          </w:p>
        </w:tc>
        <w:tc>
          <w:tcPr>
            <w:tcW w:w="409" w:type="pct"/>
            <w:tcBorders>
              <w:top w:val="single" w:sz="2" w:space="0" w:color="002279"/>
              <w:left w:val="single" w:sz="4" w:space="0" w:color="002279"/>
              <w:bottom w:val="single" w:sz="2" w:space="0" w:color="002279"/>
              <w:right w:val="single" w:sz="4" w:space="0" w:color="002279"/>
            </w:tcBorders>
            <w:shd w:val="clear" w:color="auto" w:fill="D4D6DF"/>
            <w:noWrap/>
            <w:hideMark/>
          </w:tcPr>
          <w:p w14:paraId="10047B33" w14:textId="2186B675" w:rsidR="00714103" w:rsidRPr="00BB66D9" w:rsidRDefault="00714103" w:rsidP="00A35FEB">
            <w:pPr>
              <w:jc w:val="center"/>
              <w:rPr>
                <w:rFonts w:cstheme="minorHAnsi"/>
                <w:sz w:val="18"/>
                <w:szCs w:val="18"/>
              </w:rPr>
            </w:pPr>
            <w:r w:rsidRPr="00BB66D9">
              <w:rPr>
                <w:sz w:val="18"/>
                <w:szCs w:val="18"/>
              </w:rPr>
              <w:t>6,891</w:t>
            </w:r>
          </w:p>
        </w:tc>
        <w:tc>
          <w:tcPr>
            <w:tcW w:w="410" w:type="pct"/>
            <w:tcBorders>
              <w:top w:val="single" w:sz="2" w:space="0" w:color="002279"/>
              <w:left w:val="single" w:sz="4" w:space="0" w:color="002279"/>
              <w:bottom w:val="single" w:sz="2" w:space="0" w:color="002279"/>
              <w:right w:val="single" w:sz="4" w:space="0" w:color="002279"/>
            </w:tcBorders>
            <w:shd w:val="clear" w:color="auto" w:fill="D4D6DF"/>
            <w:noWrap/>
            <w:hideMark/>
          </w:tcPr>
          <w:p w14:paraId="16F71C6F" w14:textId="04AAF17F" w:rsidR="00714103" w:rsidRPr="00BB66D9" w:rsidRDefault="00714103" w:rsidP="00A35FEB">
            <w:pPr>
              <w:jc w:val="center"/>
              <w:rPr>
                <w:rFonts w:cstheme="minorHAnsi"/>
                <w:sz w:val="18"/>
                <w:szCs w:val="18"/>
              </w:rPr>
            </w:pPr>
            <w:r w:rsidRPr="00BB66D9">
              <w:rPr>
                <w:sz w:val="18"/>
                <w:szCs w:val="18"/>
              </w:rPr>
              <w:t>4,671</w:t>
            </w:r>
          </w:p>
        </w:tc>
        <w:tc>
          <w:tcPr>
            <w:tcW w:w="410" w:type="pct"/>
            <w:tcBorders>
              <w:top w:val="single" w:sz="2" w:space="0" w:color="002279"/>
              <w:left w:val="single" w:sz="4" w:space="0" w:color="002279"/>
              <w:bottom w:val="single" w:sz="2" w:space="0" w:color="002279"/>
              <w:right w:val="single" w:sz="4" w:space="0" w:color="002279"/>
            </w:tcBorders>
            <w:shd w:val="clear" w:color="auto" w:fill="D4D6DF"/>
            <w:noWrap/>
            <w:hideMark/>
          </w:tcPr>
          <w:p w14:paraId="210A9E0D" w14:textId="570A924B" w:rsidR="00714103" w:rsidRPr="00BB66D9" w:rsidRDefault="00714103" w:rsidP="00A35FEB">
            <w:pPr>
              <w:jc w:val="center"/>
              <w:rPr>
                <w:rFonts w:cstheme="minorHAnsi"/>
                <w:sz w:val="18"/>
                <w:szCs w:val="18"/>
              </w:rPr>
            </w:pPr>
            <w:r w:rsidRPr="00BB66D9">
              <w:rPr>
                <w:sz w:val="18"/>
                <w:szCs w:val="18"/>
              </w:rPr>
              <w:t>4,026</w:t>
            </w:r>
          </w:p>
        </w:tc>
        <w:tc>
          <w:tcPr>
            <w:tcW w:w="410" w:type="pct"/>
            <w:tcBorders>
              <w:top w:val="single" w:sz="2" w:space="0" w:color="002279"/>
              <w:left w:val="single" w:sz="4" w:space="0" w:color="002279"/>
              <w:bottom w:val="single" w:sz="2" w:space="0" w:color="002279"/>
              <w:right w:val="single" w:sz="4" w:space="0" w:color="002279"/>
            </w:tcBorders>
            <w:shd w:val="clear" w:color="auto" w:fill="D4D6DF"/>
            <w:noWrap/>
            <w:hideMark/>
          </w:tcPr>
          <w:p w14:paraId="2F5E1664" w14:textId="1CC0B318" w:rsidR="00714103" w:rsidRPr="00BB66D9" w:rsidRDefault="00714103" w:rsidP="00A35FEB">
            <w:pPr>
              <w:jc w:val="center"/>
              <w:rPr>
                <w:rFonts w:cstheme="minorHAnsi"/>
                <w:sz w:val="18"/>
                <w:szCs w:val="18"/>
              </w:rPr>
            </w:pPr>
            <w:r w:rsidRPr="00BB66D9">
              <w:rPr>
                <w:sz w:val="18"/>
                <w:szCs w:val="18"/>
              </w:rPr>
              <w:t>5,340</w:t>
            </w:r>
          </w:p>
        </w:tc>
        <w:tc>
          <w:tcPr>
            <w:tcW w:w="409" w:type="pct"/>
            <w:tcBorders>
              <w:top w:val="single" w:sz="2" w:space="0" w:color="002279"/>
              <w:left w:val="single" w:sz="4" w:space="0" w:color="002279"/>
              <w:bottom w:val="single" w:sz="2" w:space="0" w:color="002279"/>
              <w:right w:val="single" w:sz="4" w:space="0" w:color="002279"/>
            </w:tcBorders>
            <w:shd w:val="clear" w:color="auto" w:fill="D4D6DF"/>
            <w:noWrap/>
            <w:hideMark/>
          </w:tcPr>
          <w:p w14:paraId="478DC09C" w14:textId="4067EF14" w:rsidR="00714103" w:rsidRPr="00BB66D9" w:rsidRDefault="00714103" w:rsidP="00A35FEB">
            <w:pPr>
              <w:jc w:val="center"/>
              <w:rPr>
                <w:rFonts w:cstheme="minorHAnsi"/>
                <w:sz w:val="18"/>
                <w:szCs w:val="18"/>
              </w:rPr>
            </w:pPr>
            <w:r w:rsidRPr="00BB66D9">
              <w:rPr>
                <w:sz w:val="18"/>
                <w:szCs w:val="18"/>
              </w:rPr>
              <w:t>4,645</w:t>
            </w:r>
          </w:p>
        </w:tc>
        <w:tc>
          <w:tcPr>
            <w:tcW w:w="409" w:type="pct"/>
            <w:tcBorders>
              <w:top w:val="single" w:sz="2" w:space="0" w:color="002279"/>
              <w:left w:val="single" w:sz="4" w:space="0" w:color="002279"/>
              <w:bottom w:val="single" w:sz="2" w:space="0" w:color="002279"/>
              <w:right w:val="single" w:sz="4" w:space="0" w:color="002279"/>
            </w:tcBorders>
            <w:shd w:val="clear" w:color="auto" w:fill="D4D6DF"/>
            <w:noWrap/>
            <w:hideMark/>
          </w:tcPr>
          <w:p w14:paraId="2423090D" w14:textId="6575B7BE" w:rsidR="00714103" w:rsidRPr="00BB66D9" w:rsidRDefault="00714103" w:rsidP="00A35FEB">
            <w:pPr>
              <w:jc w:val="center"/>
              <w:rPr>
                <w:rFonts w:cstheme="minorHAnsi"/>
                <w:sz w:val="18"/>
                <w:szCs w:val="18"/>
              </w:rPr>
            </w:pPr>
            <w:r w:rsidRPr="00BB66D9">
              <w:rPr>
                <w:sz w:val="18"/>
                <w:szCs w:val="18"/>
              </w:rPr>
              <w:t>5,190</w:t>
            </w:r>
          </w:p>
        </w:tc>
        <w:tc>
          <w:tcPr>
            <w:tcW w:w="409" w:type="pct"/>
            <w:tcBorders>
              <w:top w:val="single" w:sz="2" w:space="0" w:color="002279"/>
              <w:left w:val="single" w:sz="4" w:space="0" w:color="002279"/>
              <w:bottom w:val="single" w:sz="2" w:space="0" w:color="002279"/>
              <w:right w:val="single" w:sz="4" w:space="0" w:color="002279"/>
            </w:tcBorders>
            <w:shd w:val="clear" w:color="auto" w:fill="D4D6DF"/>
            <w:noWrap/>
            <w:hideMark/>
          </w:tcPr>
          <w:p w14:paraId="6F1EEC2B" w14:textId="369C60AE" w:rsidR="00714103" w:rsidRPr="00BB66D9" w:rsidRDefault="00714103" w:rsidP="00A35FEB">
            <w:pPr>
              <w:jc w:val="center"/>
              <w:rPr>
                <w:rFonts w:cstheme="minorHAnsi"/>
                <w:sz w:val="18"/>
                <w:szCs w:val="18"/>
              </w:rPr>
            </w:pPr>
            <w:r w:rsidRPr="00BB66D9">
              <w:rPr>
                <w:sz w:val="18"/>
                <w:szCs w:val="18"/>
              </w:rPr>
              <w:t>5,258</w:t>
            </w:r>
          </w:p>
        </w:tc>
        <w:tc>
          <w:tcPr>
            <w:tcW w:w="409" w:type="pct"/>
            <w:tcBorders>
              <w:top w:val="single" w:sz="2" w:space="0" w:color="002279"/>
              <w:left w:val="single" w:sz="4" w:space="0" w:color="002279"/>
              <w:bottom w:val="single" w:sz="2" w:space="0" w:color="002279"/>
              <w:right w:val="single" w:sz="4" w:space="0" w:color="002279"/>
            </w:tcBorders>
            <w:shd w:val="clear" w:color="auto" w:fill="D4D6DF"/>
            <w:noWrap/>
            <w:hideMark/>
          </w:tcPr>
          <w:p w14:paraId="10573385" w14:textId="33B4B5A3" w:rsidR="00714103" w:rsidRPr="00BB66D9" w:rsidRDefault="00714103" w:rsidP="00A35FEB">
            <w:pPr>
              <w:jc w:val="center"/>
              <w:rPr>
                <w:rFonts w:cstheme="minorHAnsi"/>
                <w:sz w:val="18"/>
                <w:szCs w:val="18"/>
              </w:rPr>
            </w:pPr>
            <w:r w:rsidRPr="00BB66D9">
              <w:rPr>
                <w:sz w:val="18"/>
                <w:szCs w:val="18"/>
              </w:rPr>
              <w:t>5,297</w:t>
            </w:r>
          </w:p>
        </w:tc>
        <w:tc>
          <w:tcPr>
            <w:tcW w:w="408" w:type="pct"/>
            <w:tcBorders>
              <w:top w:val="single" w:sz="2" w:space="0" w:color="002279"/>
              <w:left w:val="single" w:sz="4" w:space="0" w:color="002279"/>
              <w:bottom w:val="single" w:sz="2" w:space="0" w:color="002279"/>
              <w:right w:val="single" w:sz="4" w:space="0" w:color="002279"/>
            </w:tcBorders>
            <w:shd w:val="clear" w:color="auto" w:fill="D4D6DF"/>
            <w:noWrap/>
            <w:hideMark/>
          </w:tcPr>
          <w:p w14:paraId="7C603F91" w14:textId="0B063106" w:rsidR="00714103" w:rsidRPr="00BB66D9" w:rsidRDefault="00714103" w:rsidP="00A35FEB">
            <w:pPr>
              <w:jc w:val="center"/>
              <w:rPr>
                <w:rFonts w:cstheme="minorHAnsi"/>
                <w:sz w:val="18"/>
                <w:szCs w:val="18"/>
              </w:rPr>
            </w:pPr>
            <w:r w:rsidRPr="00BB66D9">
              <w:rPr>
                <w:sz w:val="18"/>
                <w:szCs w:val="18"/>
              </w:rPr>
              <w:t>5,584</w:t>
            </w:r>
          </w:p>
        </w:tc>
        <w:tc>
          <w:tcPr>
            <w:tcW w:w="409" w:type="pct"/>
            <w:tcBorders>
              <w:top w:val="single" w:sz="2" w:space="0" w:color="002279"/>
              <w:left w:val="single" w:sz="4" w:space="0" w:color="002279"/>
              <w:bottom w:val="single" w:sz="2" w:space="0" w:color="002279"/>
              <w:right w:val="single" w:sz="4" w:space="0" w:color="002279"/>
            </w:tcBorders>
            <w:shd w:val="clear" w:color="auto" w:fill="D4D6DF"/>
            <w:noWrap/>
            <w:hideMark/>
          </w:tcPr>
          <w:p w14:paraId="13739E1B" w14:textId="3D8E046D" w:rsidR="00714103" w:rsidRPr="00BB66D9" w:rsidRDefault="00714103" w:rsidP="00A35FEB">
            <w:pPr>
              <w:jc w:val="center"/>
              <w:rPr>
                <w:rFonts w:cstheme="minorHAnsi"/>
                <w:sz w:val="18"/>
                <w:szCs w:val="18"/>
              </w:rPr>
            </w:pPr>
            <w:r w:rsidRPr="00BB66D9">
              <w:rPr>
                <w:sz w:val="18"/>
                <w:szCs w:val="18"/>
              </w:rPr>
              <w:t>5,624</w:t>
            </w:r>
          </w:p>
        </w:tc>
        <w:tc>
          <w:tcPr>
            <w:tcW w:w="409" w:type="pct"/>
            <w:tcBorders>
              <w:top w:val="single" w:sz="2" w:space="0" w:color="002279"/>
              <w:left w:val="single" w:sz="4" w:space="0" w:color="002279"/>
              <w:bottom w:val="single" w:sz="2" w:space="0" w:color="002279"/>
              <w:right w:val="single" w:sz="4" w:space="0" w:color="002279"/>
            </w:tcBorders>
            <w:shd w:val="clear" w:color="auto" w:fill="D4D6DF"/>
            <w:noWrap/>
            <w:hideMark/>
          </w:tcPr>
          <w:p w14:paraId="5585322C" w14:textId="73CD89DB" w:rsidR="00714103" w:rsidRPr="00BB66D9" w:rsidRDefault="00714103" w:rsidP="00A35FEB">
            <w:pPr>
              <w:jc w:val="center"/>
              <w:rPr>
                <w:rFonts w:cstheme="minorHAnsi"/>
                <w:sz w:val="18"/>
                <w:szCs w:val="18"/>
              </w:rPr>
            </w:pPr>
            <w:r w:rsidRPr="00BB66D9">
              <w:rPr>
                <w:sz w:val="18"/>
                <w:szCs w:val="18"/>
              </w:rPr>
              <w:t>5,663</w:t>
            </w:r>
          </w:p>
        </w:tc>
      </w:tr>
      <w:tr w:rsidR="003F1732" w:rsidRPr="00BB66D9" w14:paraId="78755CD5" w14:textId="77777777" w:rsidTr="003F1732">
        <w:trPr>
          <w:cnfStyle w:val="000000010000" w:firstRow="0" w:lastRow="0" w:firstColumn="0" w:lastColumn="0" w:oddVBand="0" w:evenVBand="0" w:oddHBand="0" w:evenHBand="1" w:firstRowFirstColumn="0" w:firstRowLastColumn="0" w:lastRowFirstColumn="0" w:lastRowLastColumn="0"/>
          <w:trHeight w:val="125"/>
        </w:trPr>
        <w:tc>
          <w:tcPr>
            <w:tcW w:w="501" w:type="pct"/>
            <w:tcBorders>
              <w:top w:val="single" w:sz="2" w:space="0" w:color="002279"/>
              <w:left w:val="single" w:sz="4" w:space="0" w:color="002279"/>
              <w:bottom w:val="single" w:sz="4" w:space="0" w:color="002279"/>
              <w:right w:val="single" w:sz="4" w:space="0" w:color="002279"/>
            </w:tcBorders>
            <w:shd w:val="clear" w:color="auto" w:fill="FFFFFF" w:themeFill="background1"/>
            <w:noWrap/>
            <w:vAlign w:val="center"/>
            <w:hideMark/>
          </w:tcPr>
          <w:p w14:paraId="3F06C98A" w14:textId="09D88025" w:rsidR="00714103" w:rsidRPr="00256E72" w:rsidRDefault="00E30B4D" w:rsidP="00CD3B7D">
            <w:pPr>
              <w:rPr>
                <w:rFonts w:cstheme="minorHAnsi"/>
                <w:b/>
                <w:bCs/>
                <w:sz w:val="18"/>
                <w:szCs w:val="18"/>
              </w:rPr>
            </w:pPr>
            <w:r w:rsidRPr="00256E72">
              <w:rPr>
                <w:rFonts w:cstheme="minorHAnsi"/>
                <w:b/>
                <w:bCs/>
                <w:sz w:val="18"/>
                <w:szCs w:val="18"/>
              </w:rPr>
              <w:t>Total</w:t>
            </w:r>
          </w:p>
        </w:tc>
        <w:tc>
          <w:tcPr>
            <w:tcW w:w="409" w:type="pct"/>
            <w:tcBorders>
              <w:top w:val="single" w:sz="2" w:space="0" w:color="002279"/>
              <w:left w:val="single" w:sz="4" w:space="0" w:color="002279"/>
              <w:bottom w:val="single" w:sz="4" w:space="0" w:color="002279"/>
              <w:right w:val="single" w:sz="4" w:space="0" w:color="002279"/>
            </w:tcBorders>
            <w:shd w:val="clear" w:color="auto" w:fill="FFFFFF" w:themeFill="background1"/>
            <w:noWrap/>
            <w:hideMark/>
          </w:tcPr>
          <w:p w14:paraId="026E778C" w14:textId="27F618A0" w:rsidR="00714103" w:rsidRPr="00BB66D9" w:rsidRDefault="00714103" w:rsidP="00A35FEB">
            <w:pPr>
              <w:jc w:val="center"/>
              <w:rPr>
                <w:rFonts w:cstheme="minorHAnsi"/>
                <w:b/>
                <w:bCs/>
                <w:sz w:val="18"/>
                <w:szCs w:val="18"/>
              </w:rPr>
            </w:pPr>
            <w:r w:rsidRPr="00BB66D9">
              <w:rPr>
                <w:b/>
                <w:bCs/>
                <w:sz w:val="18"/>
                <w:szCs w:val="18"/>
              </w:rPr>
              <w:t>17,786</w:t>
            </w:r>
          </w:p>
        </w:tc>
        <w:tc>
          <w:tcPr>
            <w:tcW w:w="410" w:type="pct"/>
            <w:tcBorders>
              <w:top w:val="single" w:sz="2" w:space="0" w:color="002279"/>
              <w:left w:val="single" w:sz="4" w:space="0" w:color="002279"/>
              <w:bottom w:val="single" w:sz="4" w:space="0" w:color="002279"/>
              <w:right w:val="single" w:sz="4" w:space="0" w:color="002279"/>
            </w:tcBorders>
            <w:shd w:val="clear" w:color="auto" w:fill="FFFFFF" w:themeFill="background1"/>
            <w:noWrap/>
            <w:hideMark/>
          </w:tcPr>
          <w:p w14:paraId="62ECE31D" w14:textId="63E71628" w:rsidR="00714103" w:rsidRPr="00BB66D9" w:rsidRDefault="00714103" w:rsidP="00A35FEB">
            <w:pPr>
              <w:jc w:val="center"/>
              <w:rPr>
                <w:rFonts w:cstheme="minorHAnsi"/>
                <w:b/>
                <w:bCs/>
                <w:sz w:val="18"/>
                <w:szCs w:val="18"/>
              </w:rPr>
            </w:pPr>
            <w:r w:rsidRPr="00BB66D9">
              <w:rPr>
                <w:b/>
                <w:bCs/>
                <w:sz w:val="18"/>
                <w:szCs w:val="18"/>
              </w:rPr>
              <w:t>14,716</w:t>
            </w:r>
          </w:p>
        </w:tc>
        <w:tc>
          <w:tcPr>
            <w:tcW w:w="410" w:type="pct"/>
            <w:tcBorders>
              <w:top w:val="single" w:sz="2" w:space="0" w:color="002279"/>
              <w:left w:val="single" w:sz="4" w:space="0" w:color="002279"/>
              <w:bottom w:val="single" w:sz="4" w:space="0" w:color="002279"/>
              <w:right w:val="single" w:sz="4" w:space="0" w:color="002279"/>
            </w:tcBorders>
            <w:shd w:val="clear" w:color="auto" w:fill="FFFFFF" w:themeFill="background1"/>
            <w:noWrap/>
            <w:hideMark/>
          </w:tcPr>
          <w:p w14:paraId="34D1C4A7" w14:textId="32D72A81" w:rsidR="00714103" w:rsidRPr="00BB66D9" w:rsidRDefault="00714103" w:rsidP="00A35FEB">
            <w:pPr>
              <w:jc w:val="center"/>
              <w:rPr>
                <w:rFonts w:cstheme="minorHAnsi"/>
                <w:b/>
                <w:bCs/>
                <w:sz w:val="18"/>
                <w:szCs w:val="18"/>
              </w:rPr>
            </w:pPr>
            <w:r w:rsidRPr="00BB66D9">
              <w:rPr>
                <w:b/>
                <w:bCs/>
                <w:sz w:val="18"/>
                <w:szCs w:val="18"/>
              </w:rPr>
              <w:t>13,595</w:t>
            </w:r>
          </w:p>
        </w:tc>
        <w:tc>
          <w:tcPr>
            <w:tcW w:w="410" w:type="pct"/>
            <w:tcBorders>
              <w:top w:val="single" w:sz="2" w:space="0" w:color="002279"/>
              <w:left w:val="single" w:sz="4" w:space="0" w:color="002279"/>
              <w:bottom w:val="single" w:sz="4" w:space="0" w:color="002279"/>
              <w:right w:val="single" w:sz="4" w:space="0" w:color="002279"/>
            </w:tcBorders>
            <w:shd w:val="clear" w:color="auto" w:fill="FFFFFF" w:themeFill="background1"/>
            <w:noWrap/>
            <w:hideMark/>
          </w:tcPr>
          <w:p w14:paraId="6E720179" w14:textId="5545B617" w:rsidR="00714103" w:rsidRPr="00BB66D9" w:rsidRDefault="00714103" w:rsidP="00A35FEB">
            <w:pPr>
              <w:jc w:val="center"/>
              <w:rPr>
                <w:rFonts w:cstheme="minorHAnsi"/>
                <w:b/>
                <w:bCs/>
                <w:sz w:val="18"/>
                <w:szCs w:val="18"/>
              </w:rPr>
            </w:pPr>
            <w:r w:rsidRPr="00BB66D9">
              <w:rPr>
                <w:b/>
                <w:bCs/>
                <w:sz w:val="18"/>
                <w:szCs w:val="18"/>
              </w:rPr>
              <w:t>11,026</w:t>
            </w:r>
          </w:p>
        </w:tc>
        <w:tc>
          <w:tcPr>
            <w:tcW w:w="409" w:type="pct"/>
            <w:tcBorders>
              <w:top w:val="single" w:sz="2" w:space="0" w:color="002279"/>
              <w:left w:val="single" w:sz="4" w:space="0" w:color="002279"/>
              <w:bottom w:val="single" w:sz="4" w:space="0" w:color="002279"/>
              <w:right w:val="single" w:sz="4" w:space="0" w:color="002279"/>
            </w:tcBorders>
            <w:shd w:val="clear" w:color="auto" w:fill="FFFFFF" w:themeFill="background1"/>
            <w:noWrap/>
            <w:hideMark/>
          </w:tcPr>
          <w:p w14:paraId="26AF71C0" w14:textId="12E894BE" w:rsidR="00714103" w:rsidRPr="00BB66D9" w:rsidRDefault="00714103" w:rsidP="00A35FEB">
            <w:pPr>
              <w:jc w:val="center"/>
              <w:rPr>
                <w:rFonts w:cstheme="minorHAnsi"/>
                <w:b/>
                <w:bCs/>
                <w:sz w:val="18"/>
                <w:szCs w:val="18"/>
              </w:rPr>
            </w:pPr>
            <w:r w:rsidRPr="00BB66D9">
              <w:rPr>
                <w:b/>
                <w:bCs/>
                <w:sz w:val="18"/>
                <w:szCs w:val="18"/>
              </w:rPr>
              <w:t>10,442</w:t>
            </w:r>
          </w:p>
        </w:tc>
        <w:tc>
          <w:tcPr>
            <w:tcW w:w="409" w:type="pct"/>
            <w:tcBorders>
              <w:top w:val="single" w:sz="2" w:space="0" w:color="002279"/>
              <w:left w:val="single" w:sz="4" w:space="0" w:color="002279"/>
              <w:bottom w:val="single" w:sz="4" w:space="0" w:color="002279"/>
              <w:right w:val="single" w:sz="4" w:space="0" w:color="002279"/>
            </w:tcBorders>
            <w:shd w:val="clear" w:color="auto" w:fill="FFFFFF" w:themeFill="background1"/>
            <w:noWrap/>
            <w:hideMark/>
          </w:tcPr>
          <w:p w14:paraId="33AB90B7" w14:textId="0E74BC13" w:rsidR="00714103" w:rsidRPr="00BB66D9" w:rsidRDefault="00826C1E" w:rsidP="00A35FEB">
            <w:pPr>
              <w:jc w:val="center"/>
              <w:rPr>
                <w:rFonts w:cstheme="minorHAnsi"/>
                <w:b/>
                <w:bCs/>
                <w:sz w:val="18"/>
                <w:szCs w:val="18"/>
              </w:rPr>
            </w:pPr>
            <w:r w:rsidRPr="00BB66D9">
              <w:rPr>
                <w:b/>
                <w:bCs/>
                <w:sz w:val="18"/>
                <w:szCs w:val="18"/>
              </w:rPr>
              <w:t>8,908</w:t>
            </w:r>
          </w:p>
        </w:tc>
        <w:tc>
          <w:tcPr>
            <w:tcW w:w="409" w:type="pct"/>
            <w:tcBorders>
              <w:top w:val="single" w:sz="2" w:space="0" w:color="002279"/>
              <w:left w:val="single" w:sz="4" w:space="0" w:color="002279"/>
              <w:bottom w:val="single" w:sz="4" w:space="0" w:color="002279"/>
              <w:right w:val="single" w:sz="4" w:space="0" w:color="002279"/>
            </w:tcBorders>
            <w:shd w:val="clear" w:color="auto" w:fill="FFFFFF" w:themeFill="background1"/>
            <w:noWrap/>
            <w:hideMark/>
          </w:tcPr>
          <w:p w14:paraId="57DB9EA3" w14:textId="0A44DB31" w:rsidR="00714103" w:rsidRPr="00BB66D9" w:rsidRDefault="00826C1E" w:rsidP="00A35FEB">
            <w:pPr>
              <w:jc w:val="center"/>
              <w:rPr>
                <w:rFonts w:cstheme="minorHAnsi"/>
                <w:b/>
                <w:bCs/>
                <w:sz w:val="18"/>
                <w:szCs w:val="18"/>
              </w:rPr>
            </w:pPr>
            <w:r w:rsidRPr="00BB66D9">
              <w:rPr>
                <w:b/>
                <w:bCs/>
                <w:sz w:val="18"/>
                <w:szCs w:val="18"/>
              </w:rPr>
              <w:t>8,908</w:t>
            </w:r>
          </w:p>
        </w:tc>
        <w:tc>
          <w:tcPr>
            <w:tcW w:w="409" w:type="pct"/>
            <w:tcBorders>
              <w:top w:val="single" w:sz="2" w:space="0" w:color="002279"/>
              <w:left w:val="single" w:sz="4" w:space="0" w:color="002279"/>
              <w:bottom w:val="single" w:sz="4" w:space="0" w:color="002279"/>
              <w:right w:val="single" w:sz="4" w:space="0" w:color="002279"/>
            </w:tcBorders>
            <w:shd w:val="clear" w:color="auto" w:fill="FFFFFF" w:themeFill="background1"/>
            <w:noWrap/>
            <w:hideMark/>
          </w:tcPr>
          <w:p w14:paraId="1F61AB1C" w14:textId="34F73085" w:rsidR="00714103" w:rsidRPr="00BB66D9" w:rsidRDefault="00826C1E" w:rsidP="00A35FEB">
            <w:pPr>
              <w:jc w:val="center"/>
              <w:rPr>
                <w:rFonts w:cstheme="minorHAnsi"/>
                <w:b/>
                <w:bCs/>
                <w:sz w:val="18"/>
                <w:szCs w:val="18"/>
              </w:rPr>
            </w:pPr>
            <w:r w:rsidRPr="00BB66D9">
              <w:rPr>
                <w:b/>
                <w:bCs/>
                <w:sz w:val="18"/>
                <w:szCs w:val="18"/>
              </w:rPr>
              <w:t>8,908</w:t>
            </w:r>
          </w:p>
        </w:tc>
        <w:tc>
          <w:tcPr>
            <w:tcW w:w="408" w:type="pct"/>
            <w:tcBorders>
              <w:top w:val="single" w:sz="2" w:space="0" w:color="002279"/>
              <w:left w:val="single" w:sz="4" w:space="0" w:color="002279"/>
              <w:bottom w:val="single" w:sz="4" w:space="0" w:color="002279"/>
              <w:right w:val="single" w:sz="4" w:space="0" w:color="002279"/>
            </w:tcBorders>
            <w:shd w:val="clear" w:color="auto" w:fill="FFFFFF" w:themeFill="background1"/>
            <w:noWrap/>
            <w:hideMark/>
          </w:tcPr>
          <w:p w14:paraId="00EE0720" w14:textId="355BC8CB" w:rsidR="00714103" w:rsidRPr="00BB66D9" w:rsidRDefault="00826C1E" w:rsidP="00A35FEB">
            <w:pPr>
              <w:jc w:val="center"/>
              <w:rPr>
                <w:rFonts w:cstheme="minorHAnsi"/>
                <w:b/>
                <w:bCs/>
                <w:sz w:val="18"/>
                <w:szCs w:val="18"/>
              </w:rPr>
            </w:pPr>
            <w:r w:rsidRPr="00BB66D9">
              <w:rPr>
                <w:b/>
                <w:bCs/>
                <w:sz w:val="18"/>
                <w:szCs w:val="18"/>
              </w:rPr>
              <w:t>8,908</w:t>
            </w:r>
          </w:p>
        </w:tc>
        <w:tc>
          <w:tcPr>
            <w:tcW w:w="409" w:type="pct"/>
            <w:tcBorders>
              <w:top w:val="single" w:sz="2" w:space="0" w:color="002279"/>
              <w:left w:val="single" w:sz="4" w:space="0" w:color="002279"/>
              <w:bottom w:val="single" w:sz="4" w:space="0" w:color="002279"/>
              <w:right w:val="single" w:sz="4" w:space="0" w:color="002279"/>
            </w:tcBorders>
            <w:shd w:val="clear" w:color="auto" w:fill="FFFFFF" w:themeFill="background1"/>
            <w:noWrap/>
            <w:hideMark/>
          </w:tcPr>
          <w:p w14:paraId="469401B5" w14:textId="4627A149" w:rsidR="00714103" w:rsidRPr="00BB66D9" w:rsidRDefault="00826C1E" w:rsidP="00A35FEB">
            <w:pPr>
              <w:jc w:val="center"/>
              <w:rPr>
                <w:rFonts w:cstheme="minorHAnsi"/>
                <w:b/>
                <w:bCs/>
                <w:sz w:val="18"/>
                <w:szCs w:val="18"/>
              </w:rPr>
            </w:pPr>
            <w:r w:rsidRPr="00BB66D9">
              <w:rPr>
                <w:b/>
                <w:bCs/>
                <w:sz w:val="18"/>
                <w:szCs w:val="18"/>
              </w:rPr>
              <w:t>13,032</w:t>
            </w:r>
          </w:p>
        </w:tc>
        <w:tc>
          <w:tcPr>
            <w:tcW w:w="409" w:type="pct"/>
            <w:tcBorders>
              <w:top w:val="single" w:sz="2" w:space="0" w:color="002279"/>
              <w:left w:val="single" w:sz="4" w:space="0" w:color="002279"/>
              <w:bottom w:val="single" w:sz="4" w:space="0" w:color="002279"/>
              <w:right w:val="single" w:sz="4" w:space="0" w:color="002279"/>
            </w:tcBorders>
            <w:shd w:val="clear" w:color="auto" w:fill="FFFFFF" w:themeFill="background1"/>
            <w:noWrap/>
            <w:hideMark/>
          </w:tcPr>
          <w:p w14:paraId="3712679B" w14:textId="6F5C759C" w:rsidR="00714103" w:rsidRPr="00BB66D9" w:rsidRDefault="00826C1E" w:rsidP="00A35FEB">
            <w:pPr>
              <w:jc w:val="center"/>
              <w:rPr>
                <w:rFonts w:cstheme="minorHAnsi"/>
                <w:b/>
                <w:bCs/>
                <w:sz w:val="18"/>
                <w:szCs w:val="18"/>
              </w:rPr>
            </w:pPr>
            <w:r w:rsidRPr="00BB66D9">
              <w:rPr>
                <w:b/>
                <w:bCs/>
                <w:sz w:val="18"/>
                <w:szCs w:val="18"/>
              </w:rPr>
              <w:t>13,032</w:t>
            </w:r>
          </w:p>
        </w:tc>
      </w:tr>
    </w:tbl>
    <w:p w14:paraId="79456C92" w14:textId="77777777" w:rsidR="00CD3B7D" w:rsidRPr="00BB66D9" w:rsidRDefault="00CD3B7D" w:rsidP="000D4E81">
      <w:pPr>
        <w:rPr>
          <w:b/>
          <w:bCs/>
        </w:rPr>
      </w:pPr>
    </w:p>
    <w:p w14:paraId="41D2146B" w14:textId="5CCF2A1B" w:rsidR="000D4E81" w:rsidRDefault="007D68C1" w:rsidP="000D4E81">
      <w:r>
        <w:t>Non-residential</w:t>
      </w:r>
      <w:r w:rsidR="006E1A19">
        <w:t xml:space="preserve"> </w:t>
      </w:r>
      <w:r w:rsidR="000D4E81">
        <w:t xml:space="preserve">customer growth </w:t>
      </w:r>
      <w:r w:rsidR="00585A95">
        <w:t xml:space="preserve">is forecast as a proportion of residential customer growth, based on historical data. On this basis, </w:t>
      </w:r>
      <w:r w:rsidR="00D129CA">
        <w:t>non-residential</w:t>
      </w:r>
      <w:r w:rsidR="00585A95">
        <w:t xml:space="preserve"> customer growth is assumed to be </w:t>
      </w:r>
      <w:r w:rsidR="000D4E81">
        <w:t>62%</w:t>
      </w:r>
      <w:r w:rsidR="00585A95">
        <w:t xml:space="preserve"> of</w:t>
      </w:r>
      <w:r w:rsidR="000D4E81">
        <w:t xml:space="preserve"> the Spatial Economics residential dwelling percentage growth.</w:t>
      </w:r>
    </w:p>
    <w:p w14:paraId="23D6CE28" w14:textId="60C26129" w:rsidR="001D6200" w:rsidRPr="00A5651E" w:rsidRDefault="00304A0D" w:rsidP="00304A0D">
      <w:pPr>
        <w:pStyle w:val="NormalIndent"/>
        <w:ind w:left="0"/>
        <w:rPr>
          <w:rFonts w:cs="Arial"/>
          <w:b/>
          <w:i/>
        </w:rPr>
      </w:pPr>
      <w:r w:rsidRPr="00CE6C4E">
        <w:rPr>
          <w:b/>
          <w:i/>
        </w:rPr>
        <w:t xml:space="preserve">Table </w:t>
      </w:r>
      <w:r w:rsidR="009253E5" w:rsidRPr="00CE6C4E">
        <w:rPr>
          <w:b/>
          <w:bCs/>
          <w:i/>
          <w:iCs/>
        </w:rPr>
        <w:fldChar w:fldCharType="begin"/>
      </w:r>
      <w:r w:rsidR="009253E5" w:rsidRPr="00CE6C4E">
        <w:rPr>
          <w:b/>
          <w:bCs/>
          <w:i/>
          <w:iCs/>
        </w:rPr>
        <w:instrText>SEQ Table \* ARABIC</w:instrText>
      </w:r>
      <w:r w:rsidR="009253E5" w:rsidRPr="00CE6C4E">
        <w:rPr>
          <w:b/>
          <w:bCs/>
          <w:i/>
          <w:iCs/>
        </w:rPr>
        <w:fldChar w:fldCharType="separate"/>
      </w:r>
      <w:r w:rsidR="009253E5">
        <w:rPr>
          <w:b/>
          <w:bCs/>
          <w:i/>
          <w:iCs/>
          <w:noProof/>
        </w:rPr>
        <w:t>43</w:t>
      </w:r>
      <w:r w:rsidR="009253E5" w:rsidRPr="00CE6C4E">
        <w:rPr>
          <w:b/>
          <w:bCs/>
          <w:i/>
          <w:iCs/>
        </w:rPr>
        <w:fldChar w:fldCharType="end"/>
      </w:r>
      <w:r w:rsidRPr="007B339F">
        <w:rPr>
          <w:rFonts w:ascii="Arial" w:hAnsi="Arial" w:cs="Arial"/>
          <w:b/>
          <w:i/>
        </w:rPr>
        <w:t>:</w:t>
      </w:r>
      <w:r>
        <w:rPr>
          <w:rFonts w:ascii="Arial" w:hAnsi="Arial" w:cs="Arial"/>
          <w:b/>
          <w:i/>
        </w:rPr>
        <w:t xml:space="preserve"> </w:t>
      </w:r>
      <w:r w:rsidR="001D6200" w:rsidRPr="00A5651E">
        <w:rPr>
          <w:rFonts w:cs="Arial"/>
          <w:b/>
          <w:i/>
        </w:rPr>
        <w:t>Forecast year</w:t>
      </w:r>
      <w:r w:rsidR="00A5651E" w:rsidRPr="00A5651E">
        <w:rPr>
          <w:rFonts w:cs="Arial"/>
          <w:b/>
          <w:bCs/>
          <w:i/>
          <w:iCs/>
        </w:rPr>
        <w:t>-</w:t>
      </w:r>
      <w:r w:rsidR="001D6200" w:rsidRPr="00A5651E">
        <w:rPr>
          <w:rFonts w:cs="Arial"/>
          <w:b/>
          <w:i/>
        </w:rPr>
        <w:t>on</w:t>
      </w:r>
      <w:r w:rsidR="00A5651E" w:rsidRPr="00A5651E">
        <w:rPr>
          <w:rFonts w:cs="Arial"/>
          <w:b/>
          <w:bCs/>
          <w:i/>
          <w:iCs/>
        </w:rPr>
        <w:t>-</w:t>
      </w:r>
      <w:r w:rsidR="001D6200" w:rsidRPr="00A5651E">
        <w:rPr>
          <w:rFonts w:cs="Arial"/>
          <w:b/>
          <w:i/>
        </w:rPr>
        <w:t>year lot percentage growth</w:t>
      </w:r>
    </w:p>
    <w:tbl>
      <w:tblPr>
        <w:tblStyle w:val="MJTableStyle1default"/>
        <w:tblW w:w="5000" w:type="pct"/>
        <w:tblInd w:w="0" w:type="dxa"/>
        <w:tblBorders>
          <w:bottom w:val="single" w:sz="4" w:space="0" w:color="auto"/>
        </w:tblBorders>
        <w:tblCellMar>
          <w:right w:w="0" w:type="dxa"/>
        </w:tblCellMar>
        <w:tblLook w:val="04A0" w:firstRow="1" w:lastRow="0" w:firstColumn="1" w:lastColumn="0" w:noHBand="0" w:noVBand="1"/>
      </w:tblPr>
      <w:tblGrid>
        <w:gridCol w:w="1622"/>
        <w:gridCol w:w="1122"/>
        <w:gridCol w:w="1122"/>
        <w:gridCol w:w="1122"/>
        <w:gridCol w:w="1121"/>
        <w:gridCol w:w="1121"/>
        <w:gridCol w:w="1121"/>
        <w:gridCol w:w="1121"/>
        <w:gridCol w:w="1121"/>
        <w:gridCol w:w="1121"/>
        <w:gridCol w:w="1121"/>
        <w:gridCol w:w="1113"/>
      </w:tblGrid>
      <w:tr w:rsidR="004C71AE" w:rsidRPr="00CD3B7D" w14:paraId="00DC2F9C" w14:textId="77777777" w:rsidTr="003F1732">
        <w:trPr>
          <w:cnfStyle w:val="100000000000" w:firstRow="1" w:lastRow="0" w:firstColumn="0" w:lastColumn="0" w:oddVBand="0" w:evenVBand="0" w:oddHBand="0" w:evenHBand="0" w:firstRowFirstColumn="0" w:firstRowLastColumn="0" w:lastRowFirstColumn="0" w:lastRowLastColumn="0"/>
          <w:trHeight w:val="561"/>
        </w:trPr>
        <w:tc>
          <w:tcPr>
            <w:tcW w:w="581" w:type="pct"/>
            <w:tcBorders>
              <w:top w:val="single" w:sz="4" w:space="0" w:color="002279"/>
              <w:left w:val="single" w:sz="4" w:space="0" w:color="002279"/>
              <w:bottom w:val="single" w:sz="2" w:space="0" w:color="002279"/>
              <w:right w:val="single" w:sz="4" w:space="0" w:color="FFFFFF" w:themeColor="background1"/>
            </w:tcBorders>
            <w:shd w:val="clear" w:color="auto" w:fill="002279"/>
            <w:noWrap/>
            <w:vAlign w:val="center"/>
          </w:tcPr>
          <w:p w14:paraId="255CAFC6" w14:textId="0D0D962E" w:rsidR="00F4108D" w:rsidRPr="00BB66D9" w:rsidRDefault="00F4108D" w:rsidP="00CD3B7D">
            <w:pPr>
              <w:rPr>
                <w:rFonts w:asciiTheme="minorHAnsi" w:hAnsiTheme="minorHAnsi" w:cstheme="minorHAnsi"/>
                <w:sz w:val="18"/>
                <w:szCs w:val="18"/>
              </w:rPr>
            </w:pPr>
          </w:p>
        </w:tc>
        <w:tc>
          <w:tcPr>
            <w:tcW w:w="402" w:type="pct"/>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noWrap/>
            <w:vAlign w:val="center"/>
            <w:hideMark/>
          </w:tcPr>
          <w:p w14:paraId="6FD000B7" w14:textId="6EC099DF" w:rsidR="00F4108D" w:rsidRPr="00BB66D9" w:rsidRDefault="00F4108D" w:rsidP="00A35FEB">
            <w:pPr>
              <w:jc w:val="center"/>
              <w:rPr>
                <w:rFonts w:asciiTheme="minorHAnsi" w:hAnsiTheme="minorHAnsi" w:cstheme="minorHAnsi"/>
                <w:b/>
                <w:sz w:val="18"/>
                <w:szCs w:val="18"/>
              </w:rPr>
            </w:pPr>
            <w:r w:rsidRPr="00BB66D9">
              <w:rPr>
                <w:rFonts w:asciiTheme="minorHAnsi" w:hAnsiTheme="minorHAnsi" w:cstheme="minorHAnsi"/>
                <w:b/>
                <w:sz w:val="18"/>
                <w:szCs w:val="18"/>
              </w:rPr>
              <w:t>2017</w:t>
            </w:r>
            <w:r w:rsidR="004C32D1" w:rsidRPr="00BB66D9">
              <w:rPr>
                <w:rFonts w:asciiTheme="minorHAnsi" w:hAnsiTheme="minorHAnsi" w:cstheme="minorHAnsi"/>
                <w:b/>
                <w:sz w:val="18"/>
                <w:szCs w:val="18"/>
              </w:rPr>
              <w:t>–</w:t>
            </w:r>
            <w:r w:rsidRPr="00BB66D9">
              <w:rPr>
                <w:rFonts w:asciiTheme="minorHAnsi" w:hAnsiTheme="minorHAnsi" w:cstheme="minorHAnsi"/>
                <w:b/>
                <w:sz w:val="18"/>
                <w:szCs w:val="18"/>
              </w:rPr>
              <w:t>18</w:t>
            </w:r>
          </w:p>
        </w:tc>
        <w:tc>
          <w:tcPr>
            <w:tcW w:w="402" w:type="pct"/>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noWrap/>
            <w:vAlign w:val="center"/>
            <w:hideMark/>
          </w:tcPr>
          <w:p w14:paraId="19B858C1" w14:textId="6DDBF9FE" w:rsidR="00F4108D" w:rsidRPr="00BB66D9" w:rsidRDefault="00F4108D" w:rsidP="00A35FEB">
            <w:pPr>
              <w:jc w:val="center"/>
              <w:rPr>
                <w:rFonts w:asciiTheme="minorHAnsi" w:hAnsiTheme="minorHAnsi" w:cstheme="minorHAnsi"/>
                <w:b/>
                <w:sz w:val="18"/>
                <w:szCs w:val="18"/>
              </w:rPr>
            </w:pPr>
            <w:r w:rsidRPr="00BB66D9">
              <w:rPr>
                <w:rFonts w:asciiTheme="minorHAnsi" w:hAnsiTheme="minorHAnsi" w:cstheme="minorHAnsi"/>
                <w:b/>
                <w:sz w:val="18"/>
                <w:szCs w:val="18"/>
              </w:rPr>
              <w:t>2018</w:t>
            </w:r>
            <w:r w:rsidR="004C32D1" w:rsidRPr="00BB66D9">
              <w:rPr>
                <w:rFonts w:asciiTheme="minorHAnsi" w:hAnsiTheme="minorHAnsi" w:cstheme="minorHAnsi"/>
                <w:b/>
                <w:sz w:val="18"/>
                <w:szCs w:val="18"/>
              </w:rPr>
              <w:t>–</w:t>
            </w:r>
            <w:r w:rsidRPr="00BB66D9">
              <w:rPr>
                <w:rFonts w:asciiTheme="minorHAnsi" w:hAnsiTheme="minorHAnsi" w:cstheme="minorHAnsi"/>
                <w:b/>
                <w:sz w:val="18"/>
                <w:szCs w:val="18"/>
              </w:rPr>
              <w:t>19</w:t>
            </w:r>
          </w:p>
        </w:tc>
        <w:tc>
          <w:tcPr>
            <w:tcW w:w="402" w:type="pct"/>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noWrap/>
            <w:vAlign w:val="center"/>
            <w:hideMark/>
          </w:tcPr>
          <w:p w14:paraId="5031A9B9" w14:textId="2B127A63" w:rsidR="00F4108D" w:rsidRPr="00BB66D9" w:rsidRDefault="00F4108D" w:rsidP="00A35FEB">
            <w:pPr>
              <w:jc w:val="center"/>
              <w:rPr>
                <w:rFonts w:asciiTheme="minorHAnsi" w:hAnsiTheme="minorHAnsi" w:cstheme="minorHAnsi"/>
                <w:b/>
                <w:sz w:val="18"/>
                <w:szCs w:val="18"/>
              </w:rPr>
            </w:pPr>
            <w:r w:rsidRPr="00BB66D9">
              <w:rPr>
                <w:rFonts w:asciiTheme="minorHAnsi" w:hAnsiTheme="minorHAnsi" w:cstheme="minorHAnsi"/>
                <w:b/>
                <w:sz w:val="18"/>
                <w:szCs w:val="18"/>
              </w:rPr>
              <w:t>2019</w:t>
            </w:r>
            <w:r w:rsidR="004C32D1" w:rsidRPr="00BB66D9">
              <w:rPr>
                <w:rFonts w:asciiTheme="minorHAnsi" w:hAnsiTheme="minorHAnsi" w:cstheme="minorHAnsi"/>
                <w:b/>
                <w:sz w:val="18"/>
                <w:szCs w:val="18"/>
              </w:rPr>
              <w:t>–</w:t>
            </w:r>
            <w:r w:rsidRPr="00BB66D9">
              <w:rPr>
                <w:rFonts w:asciiTheme="minorHAnsi" w:hAnsiTheme="minorHAnsi" w:cstheme="minorHAnsi"/>
                <w:b/>
                <w:sz w:val="18"/>
                <w:szCs w:val="18"/>
              </w:rPr>
              <w:t>20</w:t>
            </w:r>
          </w:p>
        </w:tc>
        <w:tc>
          <w:tcPr>
            <w:tcW w:w="402" w:type="pct"/>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noWrap/>
            <w:vAlign w:val="center"/>
            <w:hideMark/>
          </w:tcPr>
          <w:p w14:paraId="1C48EE3C" w14:textId="7EEDFE34" w:rsidR="00F4108D" w:rsidRPr="00BB66D9" w:rsidRDefault="00F4108D" w:rsidP="00A35FEB">
            <w:pPr>
              <w:jc w:val="center"/>
              <w:rPr>
                <w:rFonts w:asciiTheme="minorHAnsi" w:hAnsiTheme="minorHAnsi" w:cstheme="minorHAnsi"/>
                <w:b/>
                <w:sz w:val="18"/>
                <w:szCs w:val="18"/>
              </w:rPr>
            </w:pPr>
            <w:r w:rsidRPr="00BB66D9">
              <w:rPr>
                <w:rFonts w:asciiTheme="minorHAnsi" w:hAnsiTheme="minorHAnsi" w:cstheme="minorHAnsi"/>
                <w:b/>
                <w:sz w:val="18"/>
                <w:szCs w:val="18"/>
              </w:rPr>
              <w:t>2020</w:t>
            </w:r>
            <w:r w:rsidR="004C32D1" w:rsidRPr="00BB66D9">
              <w:rPr>
                <w:rFonts w:asciiTheme="minorHAnsi" w:hAnsiTheme="minorHAnsi" w:cstheme="minorHAnsi"/>
                <w:b/>
                <w:sz w:val="18"/>
                <w:szCs w:val="18"/>
              </w:rPr>
              <w:t>–</w:t>
            </w:r>
            <w:r w:rsidRPr="00BB66D9">
              <w:rPr>
                <w:rFonts w:asciiTheme="minorHAnsi" w:hAnsiTheme="minorHAnsi" w:cstheme="minorHAnsi"/>
                <w:b/>
                <w:sz w:val="18"/>
                <w:szCs w:val="18"/>
              </w:rPr>
              <w:t>21</w:t>
            </w:r>
          </w:p>
        </w:tc>
        <w:tc>
          <w:tcPr>
            <w:tcW w:w="402" w:type="pct"/>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noWrap/>
            <w:vAlign w:val="center"/>
            <w:hideMark/>
          </w:tcPr>
          <w:p w14:paraId="34E826F9" w14:textId="0B3E13B8" w:rsidR="00F4108D" w:rsidRPr="00BB66D9" w:rsidRDefault="00F4108D" w:rsidP="00A35FEB">
            <w:pPr>
              <w:jc w:val="center"/>
              <w:rPr>
                <w:rFonts w:asciiTheme="minorHAnsi" w:hAnsiTheme="minorHAnsi" w:cstheme="minorHAnsi"/>
                <w:b/>
                <w:sz w:val="18"/>
                <w:szCs w:val="18"/>
              </w:rPr>
            </w:pPr>
            <w:r w:rsidRPr="00BB66D9">
              <w:rPr>
                <w:rFonts w:asciiTheme="minorHAnsi" w:hAnsiTheme="minorHAnsi" w:cstheme="minorHAnsi"/>
                <w:b/>
                <w:sz w:val="18"/>
                <w:szCs w:val="18"/>
              </w:rPr>
              <w:t>2021</w:t>
            </w:r>
            <w:r w:rsidR="004C32D1" w:rsidRPr="00BB66D9">
              <w:rPr>
                <w:rFonts w:asciiTheme="minorHAnsi" w:hAnsiTheme="minorHAnsi" w:cstheme="minorHAnsi"/>
                <w:b/>
                <w:sz w:val="18"/>
                <w:szCs w:val="18"/>
              </w:rPr>
              <w:t>–</w:t>
            </w:r>
            <w:r w:rsidRPr="00BB66D9">
              <w:rPr>
                <w:rFonts w:asciiTheme="minorHAnsi" w:hAnsiTheme="minorHAnsi" w:cstheme="minorHAnsi"/>
                <w:b/>
                <w:sz w:val="18"/>
                <w:szCs w:val="18"/>
              </w:rPr>
              <w:t>22</w:t>
            </w:r>
          </w:p>
        </w:tc>
        <w:tc>
          <w:tcPr>
            <w:tcW w:w="402" w:type="pct"/>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noWrap/>
            <w:vAlign w:val="center"/>
            <w:hideMark/>
          </w:tcPr>
          <w:p w14:paraId="492BFA9E" w14:textId="67873303" w:rsidR="00F4108D" w:rsidRPr="00BB66D9" w:rsidRDefault="00F4108D" w:rsidP="00A35FEB">
            <w:pPr>
              <w:jc w:val="center"/>
              <w:rPr>
                <w:rFonts w:asciiTheme="minorHAnsi" w:hAnsiTheme="minorHAnsi" w:cstheme="minorHAnsi"/>
                <w:b/>
                <w:sz w:val="18"/>
                <w:szCs w:val="18"/>
              </w:rPr>
            </w:pPr>
            <w:r w:rsidRPr="00BB66D9">
              <w:rPr>
                <w:rFonts w:asciiTheme="minorHAnsi" w:hAnsiTheme="minorHAnsi" w:cstheme="minorHAnsi"/>
                <w:b/>
                <w:sz w:val="18"/>
                <w:szCs w:val="18"/>
              </w:rPr>
              <w:t>2022</w:t>
            </w:r>
            <w:r w:rsidR="004C32D1" w:rsidRPr="00BB66D9">
              <w:rPr>
                <w:rFonts w:asciiTheme="minorHAnsi" w:hAnsiTheme="minorHAnsi" w:cstheme="minorHAnsi"/>
                <w:b/>
                <w:sz w:val="18"/>
                <w:szCs w:val="18"/>
              </w:rPr>
              <w:t>–</w:t>
            </w:r>
            <w:r w:rsidRPr="00BB66D9">
              <w:rPr>
                <w:rFonts w:asciiTheme="minorHAnsi" w:hAnsiTheme="minorHAnsi" w:cstheme="minorHAnsi"/>
                <w:b/>
                <w:sz w:val="18"/>
                <w:szCs w:val="18"/>
              </w:rPr>
              <w:t>23(f)</w:t>
            </w:r>
          </w:p>
        </w:tc>
        <w:tc>
          <w:tcPr>
            <w:tcW w:w="402" w:type="pct"/>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noWrap/>
            <w:vAlign w:val="center"/>
            <w:hideMark/>
          </w:tcPr>
          <w:p w14:paraId="373A6946" w14:textId="48BCEAA2" w:rsidR="00F4108D" w:rsidRPr="00BB66D9" w:rsidRDefault="00F4108D" w:rsidP="00A35FEB">
            <w:pPr>
              <w:jc w:val="center"/>
              <w:rPr>
                <w:rFonts w:asciiTheme="minorHAnsi" w:hAnsiTheme="minorHAnsi" w:cstheme="minorHAnsi"/>
                <w:b/>
                <w:sz w:val="18"/>
                <w:szCs w:val="18"/>
              </w:rPr>
            </w:pPr>
            <w:r w:rsidRPr="00BB66D9">
              <w:rPr>
                <w:rFonts w:asciiTheme="minorHAnsi" w:hAnsiTheme="minorHAnsi" w:cstheme="minorHAnsi"/>
                <w:b/>
                <w:sz w:val="18"/>
                <w:szCs w:val="18"/>
              </w:rPr>
              <w:t>2023</w:t>
            </w:r>
            <w:r w:rsidR="004C32D1" w:rsidRPr="00BB66D9">
              <w:rPr>
                <w:rFonts w:asciiTheme="minorHAnsi" w:hAnsiTheme="minorHAnsi" w:cstheme="minorHAnsi"/>
                <w:b/>
                <w:sz w:val="18"/>
                <w:szCs w:val="18"/>
              </w:rPr>
              <w:t>–</w:t>
            </w:r>
            <w:r w:rsidRPr="00BB66D9">
              <w:rPr>
                <w:rFonts w:asciiTheme="minorHAnsi" w:hAnsiTheme="minorHAnsi" w:cstheme="minorHAnsi"/>
                <w:b/>
                <w:sz w:val="18"/>
                <w:szCs w:val="18"/>
              </w:rPr>
              <w:t>24(f)</w:t>
            </w:r>
          </w:p>
        </w:tc>
        <w:tc>
          <w:tcPr>
            <w:tcW w:w="402" w:type="pct"/>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noWrap/>
            <w:vAlign w:val="center"/>
            <w:hideMark/>
          </w:tcPr>
          <w:p w14:paraId="56E56F28" w14:textId="12821BF3" w:rsidR="00F4108D" w:rsidRPr="00BB66D9" w:rsidRDefault="00F4108D" w:rsidP="00A35FEB">
            <w:pPr>
              <w:jc w:val="center"/>
              <w:rPr>
                <w:rFonts w:asciiTheme="minorHAnsi" w:hAnsiTheme="minorHAnsi" w:cstheme="minorHAnsi"/>
                <w:b/>
                <w:sz w:val="18"/>
                <w:szCs w:val="18"/>
              </w:rPr>
            </w:pPr>
            <w:r w:rsidRPr="00BB66D9">
              <w:rPr>
                <w:rFonts w:asciiTheme="minorHAnsi" w:hAnsiTheme="minorHAnsi" w:cstheme="minorHAnsi"/>
                <w:b/>
                <w:sz w:val="18"/>
                <w:szCs w:val="18"/>
              </w:rPr>
              <w:t>2024</w:t>
            </w:r>
            <w:r w:rsidR="004C32D1" w:rsidRPr="00BB66D9">
              <w:rPr>
                <w:rFonts w:asciiTheme="minorHAnsi" w:hAnsiTheme="minorHAnsi" w:cstheme="minorHAnsi"/>
                <w:b/>
                <w:sz w:val="18"/>
                <w:szCs w:val="18"/>
              </w:rPr>
              <w:t>–</w:t>
            </w:r>
            <w:r w:rsidRPr="00BB66D9">
              <w:rPr>
                <w:rFonts w:asciiTheme="minorHAnsi" w:hAnsiTheme="minorHAnsi" w:cstheme="minorHAnsi"/>
                <w:b/>
                <w:sz w:val="18"/>
                <w:szCs w:val="18"/>
              </w:rPr>
              <w:t>25(f)</w:t>
            </w:r>
          </w:p>
        </w:tc>
        <w:tc>
          <w:tcPr>
            <w:tcW w:w="402" w:type="pct"/>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noWrap/>
            <w:vAlign w:val="center"/>
            <w:hideMark/>
          </w:tcPr>
          <w:p w14:paraId="3AE62B5F" w14:textId="2476FD9D" w:rsidR="00F4108D" w:rsidRPr="00BB66D9" w:rsidRDefault="00F4108D" w:rsidP="00A35FEB">
            <w:pPr>
              <w:jc w:val="center"/>
              <w:rPr>
                <w:rFonts w:asciiTheme="minorHAnsi" w:hAnsiTheme="minorHAnsi" w:cstheme="minorHAnsi"/>
                <w:b/>
                <w:sz w:val="18"/>
                <w:szCs w:val="18"/>
              </w:rPr>
            </w:pPr>
            <w:r w:rsidRPr="00BB66D9">
              <w:rPr>
                <w:rFonts w:asciiTheme="minorHAnsi" w:hAnsiTheme="minorHAnsi" w:cstheme="minorHAnsi"/>
                <w:b/>
                <w:sz w:val="18"/>
                <w:szCs w:val="18"/>
              </w:rPr>
              <w:t>2025</w:t>
            </w:r>
            <w:r w:rsidR="004C32D1" w:rsidRPr="00BB66D9">
              <w:rPr>
                <w:rFonts w:asciiTheme="minorHAnsi" w:hAnsiTheme="minorHAnsi" w:cstheme="minorHAnsi"/>
                <w:b/>
                <w:sz w:val="18"/>
                <w:szCs w:val="18"/>
              </w:rPr>
              <w:t>–</w:t>
            </w:r>
            <w:r w:rsidRPr="00BB66D9">
              <w:rPr>
                <w:rFonts w:asciiTheme="minorHAnsi" w:hAnsiTheme="minorHAnsi" w:cstheme="minorHAnsi"/>
                <w:b/>
                <w:sz w:val="18"/>
                <w:szCs w:val="18"/>
              </w:rPr>
              <w:t>26(f)</w:t>
            </w:r>
          </w:p>
        </w:tc>
        <w:tc>
          <w:tcPr>
            <w:tcW w:w="402" w:type="pct"/>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noWrap/>
            <w:vAlign w:val="center"/>
            <w:hideMark/>
          </w:tcPr>
          <w:p w14:paraId="2B1AAD2F" w14:textId="03EC3CB1" w:rsidR="00F4108D" w:rsidRPr="00BB66D9" w:rsidRDefault="00F4108D" w:rsidP="00A35FEB">
            <w:pPr>
              <w:jc w:val="center"/>
              <w:rPr>
                <w:rFonts w:asciiTheme="minorHAnsi" w:hAnsiTheme="minorHAnsi" w:cstheme="minorHAnsi"/>
                <w:b/>
                <w:sz w:val="18"/>
                <w:szCs w:val="18"/>
              </w:rPr>
            </w:pPr>
            <w:r w:rsidRPr="00BB66D9">
              <w:rPr>
                <w:rFonts w:asciiTheme="minorHAnsi" w:hAnsiTheme="minorHAnsi" w:cstheme="minorHAnsi"/>
                <w:b/>
                <w:sz w:val="18"/>
                <w:szCs w:val="18"/>
              </w:rPr>
              <w:t>2026</w:t>
            </w:r>
            <w:r w:rsidR="004C32D1" w:rsidRPr="00BB66D9">
              <w:rPr>
                <w:rFonts w:asciiTheme="minorHAnsi" w:hAnsiTheme="minorHAnsi" w:cstheme="minorHAnsi"/>
                <w:b/>
                <w:sz w:val="18"/>
                <w:szCs w:val="18"/>
              </w:rPr>
              <w:t>–</w:t>
            </w:r>
            <w:r w:rsidRPr="00BB66D9">
              <w:rPr>
                <w:rFonts w:asciiTheme="minorHAnsi" w:hAnsiTheme="minorHAnsi" w:cstheme="minorHAnsi"/>
                <w:b/>
                <w:sz w:val="18"/>
                <w:szCs w:val="18"/>
              </w:rPr>
              <w:t>27(f)</w:t>
            </w:r>
          </w:p>
        </w:tc>
        <w:tc>
          <w:tcPr>
            <w:tcW w:w="402" w:type="pct"/>
            <w:tcBorders>
              <w:top w:val="single" w:sz="4" w:space="0" w:color="002279"/>
              <w:left w:val="single" w:sz="4" w:space="0" w:color="FFFFFF" w:themeColor="background1"/>
              <w:bottom w:val="single" w:sz="2" w:space="0" w:color="002279"/>
              <w:right w:val="single" w:sz="4" w:space="0" w:color="002279"/>
            </w:tcBorders>
            <w:shd w:val="clear" w:color="auto" w:fill="002279"/>
            <w:noWrap/>
            <w:vAlign w:val="center"/>
            <w:hideMark/>
          </w:tcPr>
          <w:p w14:paraId="3972BD77" w14:textId="18E0FED0" w:rsidR="00F4108D" w:rsidRPr="00BB66D9" w:rsidRDefault="00F4108D" w:rsidP="00A35FEB">
            <w:pPr>
              <w:jc w:val="center"/>
              <w:rPr>
                <w:rFonts w:asciiTheme="minorHAnsi" w:hAnsiTheme="minorHAnsi" w:cstheme="minorHAnsi"/>
                <w:b/>
                <w:sz w:val="18"/>
                <w:szCs w:val="18"/>
              </w:rPr>
            </w:pPr>
            <w:r w:rsidRPr="00BB66D9">
              <w:rPr>
                <w:rFonts w:asciiTheme="minorHAnsi" w:hAnsiTheme="minorHAnsi" w:cstheme="minorHAnsi"/>
                <w:b/>
                <w:sz w:val="18"/>
                <w:szCs w:val="18"/>
              </w:rPr>
              <w:t>2027</w:t>
            </w:r>
            <w:r w:rsidR="004C32D1" w:rsidRPr="00BB66D9">
              <w:rPr>
                <w:rFonts w:asciiTheme="minorHAnsi" w:hAnsiTheme="minorHAnsi" w:cstheme="minorHAnsi"/>
                <w:b/>
                <w:sz w:val="18"/>
                <w:szCs w:val="18"/>
              </w:rPr>
              <w:t>–</w:t>
            </w:r>
            <w:r w:rsidRPr="00BB66D9">
              <w:rPr>
                <w:rFonts w:asciiTheme="minorHAnsi" w:hAnsiTheme="minorHAnsi" w:cstheme="minorHAnsi"/>
                <w:b/>
                <w:sz w:val="18"/>
                <w:szCs w:val="18"/>
              </w:rPr>
              <w:t>28(f)</w:t>
            </w:r>
          </w:p>
        </w:tc>
      </w:tr>
      <w:tr w:rsidR="004C71AE" w:rsidRPr="00CD3B7D" w14:paraId="53467C4A" w14:textId="77777777" w:rsidTr="003F1732">
        <w:trPr>
          <w:cnfStyle w:val="000000100000" w:firstRow="0" w:lastRow="0" w:firstColumn="0" w:lastColumn="0" w:oddVBand="0" w:evenVBand="0" w:oddHBand="1" w:evenHBand="0" w:firstRowFirstColumn="0" w:firstRowLastColumn="0" w:lastRowFirstColumn="0" w:lastRowLastColumn="0"/>
          <w:trHeight w:val="294"/>
        </w:trPr>
        <w:tc>
          <w:tcPr>
            <w:tcW w:w="581" w:type="pct"/>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1A1B1851" w14:textId="77777777" w:rsidR="00F4108D" w:rsidRPr="00256E72" w:rsidRDefault="00F4108D" w:rsidP="00CD3B7D">
            <w:pPr>
              <w:rPr>
                <w:rFonts w:cstheme="minorHAnsi"/>
                <w:b/>
                <w:bCs/>
                <w:sz w:val="18"/>
                <w:szCs w:val="18"/>
              </w:rPr>
            </w:pPr>
            <w:r w:rsidRPr="00256E72">
              <w:rPr>
                <w:rFonts w:cstheme="minorHAnsi"/>
                <w:b/>
                <w:bCs/>
                <w:sz w:val="18"/>
                <w:szCs w:val="18"/>
              </w:rPr>
              <w:t xml:space="preserve">Residential </w:t>
            </w:r>
          </w:p>
        </w:tc>
        <w:tc>
          <w:tcPr>
            <w:tcW w:w="402" w:type="pct"/>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1C808816" w14:textId="77777777" w:rsidR="00F4108D" w:rsidRPr="00BB66D9" w:rsidRDefault="00F4108D" w:rsidP="00A35FEB">
            <w:pPr>
              <w:jc w:val="center"/>
              <w:rPr>
                <w:rFonts w:cstheme="minorHAnsi"/>
                <w:sz w:val="18"/>
                <w:szCs w:val="18"/>
              </w:rPr>
            </w:pPr>
            <w:r w:rsidRPr="00BB66D9">
              <w:rPr>
                <w:rFonts w:cstheme="minorHAnsi"/>
                <w:sz w:val="18"/>
                <w:szCs w:val="18"/>
              </w:rPr>
              <w:t>2.60%</w:t>
            </w:r>
          </w:p>
        </w:tc>
        <w:tc>
          <w:tcPr>
            <w:tcW w:w="402" w:type="pct"/>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09F17CDD" w14:textId="77777777" w:rsidR="00F4108D" w:rsidRPr="00BB66D9" w:rsidRDefault="00F4108D" w:rsidP="00A35FEB">
            <w:pPr>
              <w:jc w:val="center"/>
              <w:rPr>
                <w:rFonts w:cstheme="minorHAnsi"/>
                <w:sz w:val="18"/>
                <w:szCs w:val="18"/>
              </w:rPr>
            </w:pPr>
            <w:r w:rsidRPr="00BB66D9">
              <w:rPr>
                <w:rFonts w:cstheme="minorHAnsi"/>
                <w:sz w:val="18"/>
                <w:szCs w:val="18"/>
              </w:rPr>
              <w:t>2.10%</w:t>
            </w:r>
          </w:p>
        </w:tc>
        <w:tc>
          <w:tcPr>
            <w:tcW w:w="402" w:type="pct"/>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104FE359" w14:textId="77777777" w:rsidR="00F4108D" w:rsidRPr="00BB66D9" w:rsidRDefault="00F4108D" w:rsidP="00A35FEB">
            <w:pPr>
              <w:jc w:val="center"/>
              <w:rPr>
                <w:rFonts w:cstheme="minorHAnsi"/>
                <w:sz w:val="18"/>
                <w:szCs w:val="18"/>
              </w:rPr>
            </w:pPr>
            <w:r w:rsidRPr="00BB66D9">
              <w:rPr>
                <w:rFonts w:cstheme="minorHAnsi"/>
                <w:sz w:val="18"/>
                <w:szCs w:val="18"/>
              </w:rPr>
              <w:t>1.90%</w:t>
            </w:r>
          </w:p>
        </w:tc>
        <w:tc>
          <w:tcPr>
            <w:tcW w:w="402" w:type="pct"/>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63D179E0" w14:textId="77777777" w:rsidR="00F4108D" w:rsidRPr="00BB66D9" w:rsidRDefault="00F4108D" w:rsidP="00A35FEB">
            <w:pPr>
              <w:jc w:val="center"/>
              <w:rPr>
                <w:rFonts w:cstheme="minorHAnsi"/>
                <w:sz w:val="18"/>
                <w:szCs w:val="18"/>
              </w:rPr>
            </w:pPr>
            <w:r w:rsidRPr="00BB66D9">
              <w:rPr>
                <w:rFonts w:cstheme="minorHAnsi"/>
                <w:sz w:val="18"/>
                <w:szCs w:val="18"/>
              </w:rPr>
              <w:t>1.51%</w:t>
            </w:r>
          </w:p>
        </w:tc>
        <w:tc>
          <w:tcPr>
            <w:tcW w:w="402" w:type="pct"/>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763D72D5" w14:textId="77777777" w:rsidR="00F4108D" w:rsidRPr="00BB66D9" w:rsidRDefault="00F4108D" w:rsidP="00A35FEB">
            <w:pPr>
              <w:jc w:val="center"/>
              <w:rPr>
                <w:rFonts w:cstheme="minorHAnsi"/>
                <w:sz w:val="18"/>
                <w:szCs w:val="18"/>
              </w:rPr>
            </w:pPr>
            <w:r w:rsidRPr="00BB66D9">
              <w:rPr>
                <w:rFonts w:cstheme="minorHAnsi"/>
                <w:sz w:val="18"/>
                <w:szCs w:val="18"/>
              </w:rPr>
              <w:t>1.41%</w:t>
            </w:r>
          </w:p>
        </w:tc>
        <w:tc>
          <w:tcPr>
            <w:tcW w:w="402" w:type="pct"/>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2E6B3F7B" w14:textId="77777777" w:rsidR="00F4108D" w:rsidRPr="00BB66D9" w:rsidRDefault="00F4108D" w:rsidP="00A35FEB">
            <w:pPr>
              <w:jc w:val="center"/>
              <w:rPr>
                <w:rFonts w:cstheme="minorHAnsi"/>
                <w:sz w:val="18"/>
                <w:szCs w:val="18"/>
              </w:rPr>
            </w:pPr>
            <w:r w:rsidRPr="00BB66D9">
              <w:rPr>
                <w:rFonts w:cstheme="minorHAnsi"/>
                <w:sz w:val="18"/>
                <w:szCs w:val="18"/>
              </w:rPr>
              <w:t>1.18%</w:t>
            </w:r>
          </w:p>
        </w:tc>
        <w:tc>
          <w:tcPr>
            <w:tcW w:w="402" w:type="pct"/>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636F0CF3" w14:textId="77777777" w:rsidR="00F4108D" w:rsidRPr="00BB66D9" w:rsidRDefault="00F4108D" w:rsidP="00A35FEB">
            <w:pPr>
              <w:jc w:val="center"/>
              <w:rPr>
                <w:rFonts w:cstheme="minorHAnsi"/>
                <w:sz w:val="18"/>
                <w:szCs w:val="18"/>
              </w:rPr>
            </w:pPr>
            <w:r w:rsidRPr="00BB66D9">
              <w:rPr>
                <w:rFonts w:cstheme="minorHAnsi"/>
                <w:sz w:val="18"/>
                <w:szCs w:val="18"/>
              </w:rPr>
              <w:t>1.17%</w:t>
            </w:r>
          </w:p>
        </w:tc>
        <w:tc>
          <w:tcPr>
            <w:tcW w:w="402" w:type="pct"/>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3650BA1E" w14:textId="77777777" w:rsidR="00F4108D" w:rsidRPr="00BB66D9" w:rsidRDefault="00F4108D" w:rsidP="00A35FEB">
            <w:pPr>
              <w:jc w:val="center"/>
              <w:rPr>
                <w:rFonts w:cstheme="minorHAnsi"/>
                <w:sz w:val="18"/>
                <w:szCs w:val="18"/>
              </w:rPr>
            </w:pPr>
            <w:r w:rsidRPr="00BB66D9">
              <w:rPr>
                <w:rFonts w:cstheme="minorHAnsi"/>
                <w:sz w:val="18"/>
                <w:szCs w:val="18"/>
              </w:rPr>
              <w:t>1.16%</w:t>
            </w:r>
          </w:p>
        </w:tc>
        <w:tc>
          <w:tcPr>
            <w:tcW w:w="402" w:type="pct"/>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5200E3B2" w14:textId="77777777" w:rsidR="00F4108D" w:rsidRPr="00BB66D9" w:rsidRDefault="00F4108D" w:rsidP="00A35FEB">
            <w:pPr>
              <w:jc w:val="center"/>
              <w:rPr>
                <w:rFonts w:cstheme="minorHAnsi"/>
                <w:sz w:val="18"/>
                <w:szCs w:val="18"/>
              </w:rPr>
            </w:pPr>
            <w:r w:rsidRPr="00BB66D9">
              <w:rPr>
                <w:rFonts w:cstheme="minorHAnsi"/>
                <w:sz w:val="18"/>
                <w:szCs w:val="18"/>
              </w:rPr>
              <w:t>1.14%</w:t>
            </w:r>
          </w:p>
        </w:tc>
        <w:tc>
          <w:tcPr>
            <w:tcW w:w="402" w:type="pct"/>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072BF27E" w14:textId="77777777" w:rsidR="00F4108D" w:rsidRPr="00BB66D9" w:rsidRDefault="00F4108D" w:rsidP="00A35FEB">
            <w:pPr>
              <w:jc w:val="center"/>
              <w:rPr>
                <w:rFonts w:cstheme="minorHAnsi"/>
                <w:sz w:val="18"/>
                <w:szCs w:val="18"/>
              </w:rPr>
            </w:pPr>
            <w:r w:rsidRPr="00BB66D9">
              <w:rPr>
                <w:rFonts w:cstheme="minorHAnsi"/>
                <w:sz w:val="18"/>
                <w:szCs w:val="18"/>
              </w:rPr>
              <w:t>1.65%</w:t>
            </w:r>
          </w:p>
        </w:tc>
        <w:tc>
          <w:tcPr>
            <w:tcW w:w="402" w:type="pct"/>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3C02828C" w14:textId="77777777" w:rsidR="00F4108D" w:rsidRPr="00BB66D9" w:rsidRDefault="00F4108D" w:rsidP="00A35FEB">
            <w:pPr>
              <w:jc w:val="center"/>
              <w:rPr>
                <w:rFonts w:cstheme="minorHAnsi"/>
                <w:sz w:val="18"/>
                <w:szCs w:val="18"/>
              </w:rPr>
            </w:pPr>
            <w:r w:rsidRPr="00BB66D9">
              <w:rPr>
                <w:rFonts w:cstheme="minorHAnsi"/>
                <w:sz w:val="18"/>
                <w:szCs w:val="18"/>
              </w:rPr>
              <w:t>1.63%</w:t>
            </w:r>
          </w:p>
        </w:tc>
      </w:tr>
      <w:tr w:rsidR="004C71AE" w:rsidRPr="00CD3B7D" w14:paraId="2592E5E1" w14:textId="77777777" w:rsidTr="003F1732">
        <w:trPr>
          <w:cnfStyle w:val="000000010000" w:firstRow="0" w:lastRow="0" w:firstColumn="0" w:lastColumn="0" w:oddVBand="0" w:evenVBand="0" w:oddHBand="0" w:evenHBand="1" w:firstRowFirstColumn="0" w:firstRowLastColumn="0" w:lastRowFirstColumn="0" w:lastRowLastColumn="0"/>
          <w:trHeight w:val="294"/>
        </w:trPr>
        <w:tc>
          <w:tcPr>
            <w:tcW w:w="581"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521B1659" w14:textId="77777777" w:rsidR="00F4108D" w:rsidRPr="00256E72" w:rsidRDefault="00F4108D" w:rsidP="00CD3B7D">
            <w:pPr>
              <w:rPr>
                <w:rFonts w:cstheme="minorHAnsi"/>
                <w:b/>
                <w:bCs/>
                <w:sz w:val="18"/>
                <w:szCs w:val="18"/>
              </w:rPr>
            </w:pPr>
            <w:r w:rsidRPr="00256E72">
              <w:rPr>
                <w:rFonts w:cstheme="minorHAnsi"/>
                <w:b/>
                <w:bCs/>
                <w:sz w:val="18"/>
                <w:szCs w:val="18"/>
              </w:rPr>
              <w:t xml:space="preserve">Non-residential </w:t>
            </w:r>
          </w:p>
        </w:tc>
        <w:tc>
          <w:tcPr>
            <w:tcW w:w="402"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74352AA6" w14:textId="77777777" w:rsidR="00F4108D" w:rsidRPr="00BB66D9" w:rsidRDefault="00F4108D" w:rsidP="00A35FEB">
            <w:pPr>
              <w:jc w:val="center"/>
              <w:rPr>
                <w:rFonts w:cstheme="minorHAnsi"/>
                <w:sz w:val="18"/>
                <w:szCs w:val="18"/>
              </w:rPr>
            </w:pPr>
            <w:r w:rsidRPr="00BB66D9">
              <w:rPr>
                <w:rFonts w:cstheme="minorHAnsi"/>
                <w:sz w:val="18"/>
                <w:szCs w:val="18"/>
              </w:rPr>
              <w:t>2.43%</w:t>
            </w:r>
          </w:p>
        </w:tc>
        <w:tc>
          <w:tcPr>
            <w:tcW w:w="402"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36B205BC" w14:textId="77777777" w:rsidR="00F4108D" w:rsidRPr="00BB66D9" w:rsidRDefault="00F4108D" w:rsidP="00A35FEB">
            <w:pPr>
              <w:jc w:val="center"/>
              <w:rPr>
                <w:rFonts w:cstheme="minorHAnsi"/>
                <w:sz w:val="18"/>
                <w:szCs w:val="18"/>
              </w:rPr>
            </w:pPr>
            <w:r w:rsidRPr="00BB66D9">
              <w:rPr>
                <w:rFonts w:cstheme="minorHAnsi"/>
                <w:sz w:val="18"/>
                <w:szCs w:val="18"/>
              </w:rPr>
              <w:t>1.77%</w:t>
            </w:r>
          </w:p>
        </w:tc>
        <w:tc>
          <w:tcPr>
            <w:tcW w:w="402"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6692D8A2" w14:textId="77777777" w:rsidR="00F4108D" w:rsidRPr="00BB66D9" w:rsidRDefault="00F4108D" w:rsidP="00A35FEB">
            <w:pPr>
              <w:jc w:val="center"/>
              <w:rPr>
                <w:rFonts w:cstheme="minorHAnsi"/>
                <w:sz w:val="18"/>
                <w:szCs w:val="18"/>
              </w:rPr>
            </w:pPr>
            <w:r w:rsidRPr="00BB66D9">
              <w:rPr>
                <w:rFonts w:cstheme="minorHAnsi"/>
                <w:sz w:val="18"/>
                <w:szCs w:val="18"/>
              </w:rPr>
              <w:t>1.23%</w:t>
            </w:r>
          </w:p>
        </w:tc>
        <w:tc>
          <w:tcPr>
            <w:tcW w:w="402"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2A8DA8CD" w14:textId="4C577A50" w:rsidR="00F4108D" w:rsidRPr="00BB66D9" w:rsidRDefault="004C32D1" w:rsidP="00A35FEB">
            <w:pPr>
              <w:jc w:val="center"/>
              <w:rPr>
                <w:rFonts w:cstheme="minorHAnsi"/>
                <w:sz w:val="18"/>
                <w:szCs w:val="18"/>
              </w:rPr>
            </w:pPr>
            <w:r w:rsidRPr="00BB66D9">
              <w:rPr>
                <w:rFonts w:cstheme="minorHAnsi"/>
                <w:sz w:val="18"/>
                <w:szCs w:val="18"/>
              </w:rPr>
              <w:t>–</w:t>
            </w:r>
            <w:r w:rsidR="00F4108D" w:rsidRPr="00BB66D9">
              <w:rPr>
                <w:rFonts w:cstheme="minorHAnsi"/>
                <w:sz w:val="18"/>
                <w:szCs w:val="18"/>
              </w:rPr>
              <w:t>0.46%</w:t>
            </w:r>
          </w:p>
        </w:tc>
        <w:tc>
          <w:tcPr>
            <w:tcW w:w="402"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1791942C" w14:textId="77777777" w:rsidR="00F4108D" w:rsidRPr="00BB66D9" w:rsidRDefault="00F4108D" w:rsidP="00A35FEB">
            <w:pPr>
              <w:jc w:val="center"/>
              <w:rPr>
                <w:rFonts w:cstheme="minorHAnsi"/>
                <w:sz w:val="18"/>
                <w:szCs w:val="18"/>
              </w:rPr>
            </w:pPr>
            <w:r w:rsidRPr="00BB66D9">
              <w:rPr>
                <w:rFonts w:cstheme="minorHAnsi"/>
                <w:sz w:val="18"/>
                <w:szCs w:val="18"/>
              </w:rPr>
              <w:t>0.36%</w:t>
            </w:r>
          </w:p>
        </w:tc>
        <w:tc>
          <w:tcPr>
            <w:tcW w:w="402"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46EE0B57" w14:textId="77777777" w:rsidR="00F4108D" w:rsidRPr="00BB66D9" w:rsidRDefault="00F4108D" w:rsidP="00A35FEB">
            <w:pPr>
              <w:jc w:val="center"/>
              <w:rPr>
                <w:rFonts w:cstheme="minorHAnsi"/>
                <w:sz w:val="18"/>
                <w:szCs w:val="18"/>
              </w:rPr>
            </w:pPr>
            <w:r w:rsidRPr="00BB66D9">
              <w:rPr>
                <w:rFonts w:cstheme="minorHAnsi"/>
                <w:sz w:val="18"/>
                <w:szCs w:val="18"/>
              </w:rPr>
              <w:t>0.74%</w:t>
            </w:r>
          </w:p>
        </w:tc>
        <w:tc>
          <w:tcPr>
            <w:tcW w:w="402"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3535DAA7" w14:textId="77777777" w:rsidR="00F4108D" w:rsidRPr="00BB66D9" w:rsidRDefault="00F4108D" w:rsidP="00A35FEB">
            <w:pPr>
              <w:jc w:val="center"/>
              <w:rPr>
                <w:rFonts w:cstheme="minorHAnsi"/>
                <w:sz w:val="18"/>
                <w:szCs w:val="18"/>
              </w:rPr>
            </w:pPr>
            <w:r w:rsidRPr="00BB66D9">
              <w:rPr>
                <w:rFonts w:cstheme="minorHAnsi"/>
                <w:sz w:val="18"/>
                <w:szCs w:val="18"/>
              </w:rPr>
              <w:t>0.73%</w:t>
            </w:r>
          </w:p>
        </w:tc>
        <w:tc>
          <w:tcPr>
            <w:tcW w:w="402"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6E120E89" w14:textId="77777777" w:rsidR="00F4108D" w:rsidRPr="00BB66D9" w:rsidRDefault="00F4108D" w:rsidP="00A35FEB">
            <w:pPr>
              <w:jc w:val="center"/>
              <w:rPr>
                <w:rFonts w:cstheme="minorHAnsi"/>
                <w:sz w:val="18"/>
                <w:szCs w:val="18"/>
              </w:rPr>
            </w:pPr>
            <w:r w:rsidRPr="00BB66D9">
              <w:rPr>
                <w:rFonts w:cstheme="minorHAnsi"/>
                <w:sz w:val="18"/>
                <w:szCs w:val="18"/>
              </w:rPr>
              <w:t>0.72%</w:t>
            </w:r>
          </w:p>
        </w:tc>
        <w:tc>
          <w:tcPr>
            <w:tcW w:w="402"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45C47DC1" w14:textId="77777777" w:rsidR="00F4108D" w:rsidRPr="00BB66D9" w:rsidRDefault="00F4108D" w:rsidP="00A35FEB">
            <w:pPr>
              <w:jc w:val="center"/>
              <w:rPr>
                <w:rFonts w:cstheme="minorHAnsi"/>
                <w:sz w:val="18"/>
                <w:szCs w:val="18"/>
              </w:rPr>
            </w:pPr>
            <w:r w:rsidRPr="00BB66D9">
              <w:rPr>
                <w:rFonts w:cstheme="minorHAnsi"/>
                <w:sz w:val="18"/>
                <w:szCs w:val="18"/>
              </w:rPr>
              <w:t>0.71%</w:t>
            </w:r>
          </w:p>
        </w:tc>
        <w:tc>
          <w:tcPr>
            <w:tcW w:w="402"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1E1922D1" w14:textId="77777777" w:rsidR="00F4108D" w:rsidRPr="00BB66D9" w:rsidRDefault="00F4108D" w:rsidP="00A35FEB">
            <w:pPr>
              <w:jc w:val="center"/>
              <w:rPr>
                <w:rFonts w:cstheme="minorHAnsi"/>
                <w:sz w:val="18"/>
                <w:szCs w:val="18"/>
              </w:rPr>
            </w:pPr>
            <w:r w:rsidRPr="00BB66D9">
              <w:rPr>
                <w:rFonts w:cstheme="minorHAnsi"/>
                <w:sz w:val="18"/>
                <w:szCs w:val="18"/>
              </w:rPr>
              <w:t>1.03%</w:t>
            </w:r>
          </w:p>
        </w:tc>
        <w:tc>
          <w:tcPr>
            <w:tcW w:w="402"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45596D43" w14:textId="77777777" w:rsidR="00F4108D" w:rsidRPr="00BB66D9" w:rsidRDefault="00F4108D" w:rsidP="00A35FEB">
            <w:pPr>
              <w:jc w:val="center"/>
              <w:rPr>
                <w:rFonts w:cstheme="minorHAnsi"/>
                <w:sz w:val="18"/>
                <w:szCs w:val="18"/>
              </w:rPr>
            </w:pPr>
            <w:r w:rsidRPr="00BB66D9">
              <w:rPr>
                <w:rFonts w:cstheme="minorHAnsi"/>
                <w:sz w:val="18"/>
                <w:szCs w:val="18"/>
              </w:rPr>
              <w:t>1.01%</w:t>
            </w:r>
          </w:p>
        </w:tc>
      </w:tr>
      <w:tr w:rsidR="004C71AE" w:rsidRPr="00CD3B7D" w14:paraId="239D9204" w14:textId="77777777" w:rsidTr="003F1732">
        <w:trPr>
          <w:cnfStyle w:val="000000100000" w:firstRow="0" w:lastRow="0" w:firstColumn="0" w:lastColumn="0" w:oddVBand="0" w:evenVBand="0" w:oddHBand="1" w:evenHBand="0" w:firstRowFirstColumn="0" w:firstRowLastColumn="0" w:lastRowFirstColumn="0" w:lastRowLastColumn="0"/>
          <w:trHeight w:val="294"/>
        </w:trPr>
        <w:tc>
          <w:tcPr>
            <w:tcW w:w="581" w:type="pct"/>
            <w:tcBorders>
              <w:top w:val="single" w:sz="2" w:space="0" w:color="002279"/>
              <w:left w:val="single" w:sz="4" w:space="0" w:color="002279"/>
              <w:bottom w:val="single" w:sz="4" w:space="0" w:color="002279"/>
              <w:right w:val="single" w:sz="4" w:space="0" w:color="002279"/>
            </w:tcBorders>
            <w:shd w:val="clear" w:color="auto" w:fill="D4D6DF"/>
            <w:noWrap/>
            <w:vAlign w:val="center"/>
            <w:hideMark/>
          </w:tcPr>
          <w:p w14:paraId="0F89C0A2" w14:textId="77777777" w:rsidR="00F4108D" w:rsidRPr="00BB66D9" w:rsidRDefault="00F4108D" w:rsidP="00CD3B7D">
            <w:pPr>
              <w:rPr>
                <w:rFonts w:cstheme="minorHAnsi"/>
                <w:b/>
                <w:bCs/>
                <w:sz w:val="18"/>
                <w:szCs w:val="18"/>
              </w:rPr>
            </w:pPr>
            <w:r w:rsidRPr="00BB66D9">
              <w:rPr>
                <w:rFonts w:cstheme="minorHAnsi"/>
                <w:b/>
                <w:bCs/>
                <w:sz w:val="18"/>
                <w:szCs w:val="18"/>
              </w:rPr>
              <w:t xml:space="preserve">Total </w:t>
            </w:r>
          </w:p>
        </w:tc>
        <w:tc>
          <w:tcPr>
            <w:tcW w:w="402" w:type="pct"/>
            <w:tcBorders>
              <w:top w:val="single" w:sz="2" w:space="0" w:color="002279"/>
              <w:left w:val="single" w:sz="4" w:space="0" w:color="002279"/>
              <w:bottom w:val="single" w:sz="4" w:space="0" w:color="002279"/>
              <w:right w:val="single" w:sz="4" w:space="0" w:color="002279"/>
            </w:tcBorders>
            <w:shd w:val="clear" w:color="auto" w:fill="D4D6DF"/>
            <w:noWrap/>
            <w:vAlign w:val="center"/>
            <w:hideMark/>
          </w:tcPr>
          <w:p w14:paraId="32AFBCCD" w14:textId="77777777" w:rsidR="00F4108D" w:rsidRPr="00BB66D9" w:rsidRDefault="00F4108D" w:rsidP="00A35FEB">
            <w:pPr>
              <w:jc w:val="center"/>
              <w:rPr>
                <w:rFonts w:cstheme="minorHAnsi"/>
                <w:b/>
                <w:bCs/>
                <w:sz w:val="18"/>
                <w:szCs w:val="18"/>
              </w:rPr>
            </w:pPr>
            <w:r w:rsidRPr="00BB66D9">
              <w:rPr>
                <w:rFonts w:cstheme="minorHAnsi"/>
                <w:b/>
                <w:bCs/>
                <w:sz w:val="18"/>
                <w:szCs w:val="18"/>
              </w:rPr>
              <w:t>2.58%</w:t>
            </w:r>
          </w:p>
        </w:tc>
        <w:tc>
          <w:tcPr>
            <w:tcW w:w="402" w:type="pct"/>
            <w:tcBorders>
              <w:top w:val="single" w:sz="2" w:space="0" w:color="002279"/>
              <w:left w:val="single" w:sz="4" w:space="0" w:color="002279"/>
              <w:bottom w:val="single" w:sz="4" w:space="0" w:color="002279"/>
              <w:right w:val="single" w:sz="4" w:space="0" w:color="002279"/>
            </w:tcBorders>
            <w:shd w:val="clear" w:color="auto" w:fill="D4D6DF"/>
            <w:noWrap/>
            <w:vAlign w:val="center"/>
            <w:hideMark/>
          </w:tcPr>
          <w:p w14:paraId="1AEAD5EC" w14:textId="77777777" w:rsidR="00F4108D" w:rsidRPr="00BB66D9" w:rsidRDefault="00F4108D" w:rsidP="00A35FEB">
            <w:pPr>
              <w:jc w:val="center"/>
              <w:rPr>
                <w:rFonts w:cstheme="minorHAnsi"/>
                <w:b/>
                <w:bCs/>
                <w:sz w:val="18"/>
                <w:szCs w:val="18"/>
              </w:rPr>
            </w:pPr>
            <w:r w:rsidRPr="00BB66D9">
              <w:rPr>
                <w:rFonts w:cstheme="minorHAnsi"/>
                <w:b/>
                <w:bCs/>
                <w:sz w:val="18"/>
                <w:szCs w:val="18"/>
              </w:rPr>
              <w:t>2.07%</w:t>
            </w:r>
          </w:p>
        </w:tc>
        <w:tc>
          <w:tcPr>
            <w:tcW w:w="402" w:type="pct"/>
            <w:tcBorders>
              <w:top w:val="single" w:sz="2" w:space="0" w:color="002279"/>
              <w:left w:val="single" w:sz="4" w:space="0" w:color="002279"/>
              <w:bottom w:val="single" w:sz="4" w:space="0" w:color="002279"/>
              <w:right w:val="single" w:sz="4" w:space="0" w:color="002279"/>
            </w:tcBorders>
            <w:shd w:val="clear" w:color="auto" w:fill="D4D6DF"/>
            <w:noWrap/>
            <w:vAlign w:val="center"/>
            <w:hideMark/>
          </w:tcPr>
          <w:p w14:paraId="3E1D8338" w14:textId="77777777" w:rsidR="00F4108D" w:rsidRPr="00BB66D9" w:rsidRDefault="00F4108D" w:rsidP="00A35FEB">
            <w:pPr>
              <w:jc w:val="center"/>
              <w:rPr>
                <w:rFonts w:cstheme="minorHAnsi"/>
                <w:b/>
                <w:bCs/>
                <w:sz w:val="18"/>
                <w:szCs w:val="18"/>
              </w:rPr>
            </w:pPr>
            <w:r w:rsidRPr="00BB66D9">
              <w:rPr>
                <w:rFonts w:cstheme="minorHAnsi"/>
                <w:b/>
                <w:bCs/>
                <w:sz w:val="18"/>
                <w:szCs w:val="18"/>
              </w:rPr>
              <w:t>1.84%</w:t>
            </w:r>
          </w:p>
        </w:tc>
        <w:tc>
          <w:tcPr>
            <w:tcW w:w="402" w:type="pct"/>
            <w:tcBorders>
              <w:top w:val="single" w:sz="2" w:space="0" w:color="002279"/>
              <w:left w:val="single" w:sz="4" w:space="0" w:color="002279"/>
              <w:bottom w:val="single" w:sz="4" w:space="0" w:color="002279"/>
              <w:right w:val="single" w:sz="4" w:space="0" w:color="002279"/>
            </w:tcBorders>
            <w:shd w:val="clear" w:color="auto" w:fill="D4D6DF"/>
            <w:noWrap/>
            <w:vAlign w:val="center"/>
            <w:hideMark/>
          </w:tcPr>
          <w:p w14:paraId="0D3FD5EF" w14:textId="77777777" w:rsidR="00F4108D" w:rsidRPr="00BB66D9" w:rsidRDefault="00F4108D" w:rsidP="00A35FEB">
            <w:pPr>
              <w:jc w:val="center"/>
              <w:rPr>
                <w:rFonts w:cstheme="minorHAnsi"/>
                <w:b/>
                <w:bCs/>
                <w:sz w:val="18"/>
                <w:szCs w:val="18"/>
              </w:rPr>
            </w:pPr>
            <w:r w:rsidRPr="00BB66D9">
              <w:rPr>
                <w:rFonts w:cstheme="minorHAnsi"/>
                <w:b/>
                <w:bCs/>
                <w:sz w:val="18"/>
                <w:szCs w:val="18"/>
              </w:rPr>
              <w:t>1.36%</w:t>
            </w:r>
          </w:p>
        </w:tc>
        <w:tc>
          <w:tcPr>
            <w:tcW w:w="402" w:type="pct"/>
            <w:tcBorders>
              <w:top w:val="single" w:sz="2" w:space="0" w:color="002279"/>
              <w:left w:val="single" w:sz="4" w:space="0" w:color="002279"/>
              <w:bottom w:val="single" w:sz="4" w:space="0" w:color="002279"/>
              <w:right w:val="single" w:sz="4" w:space="0" w:color="002279"/>
            </w:tcBorders>
            <w:shd w:val="clear" w:color="auto" w:fill="D4D6DF"/>
            <w:noWrap/>
            <w:vAlign w:val="center"/>
            <w:hideMark/>
          </w:tcPr>
          <w:p w14:paraId="64FEFC73" w14:textId="77777777" w:rsidR="00F4108D" w:rsidRPr="00BB66D9" w:rsidRDefault="00F4108D" w:rsidP="00A35FEB">
            <w:pPr>
              <w:jc w:val="center"/>
              <w:rPr>
                <w:rFonts w:cstheme="minorHAnsi"/>
                <w:b/>
                <w:bCs/>
                <w:sz w:val="18"/>
                <w:szCs w:val="18"/>
              </w:rPr>
            </w:pPr>
            <w:r w:rsidRPr="00BB66D9">
              <w:rPr>
                <w:rFonts w:cstheme="minorHAnsi"/>
                <w:b/>
                <w:bCs/>
                <w:sz w:val="18"/>
                <w:szCs w:val="18"/>
              </w:rPr>
              <w:t>1.33%</w:t>
            </w:r>
          </w:p>
        </w:tc>
        <w:tc>
          <w:tcPr>
            <w:tcW w:w="402" w:type="pct"/>
            <w:tcBorders>
              <w:top w:val="single" w:sz="2" w:space="0" w:color="002279"/>
              <w:left w:val="single" w:sz="4" w:space="0" w:color="002279"/>
              <w:bottom w:val="single" w:sz="4" w:space="0" w:color="002279"/>
              <w:right w:val="single" w:sz="4" w:space="0" w:color="002279"/>
            </w:tcBorders>
            <w:shd w:val="clear" w:color="auto" w:fill="D4D6DF"/>
            <w:noWrap/>
            <w:vAlign w:val="center"/>
            <w:hideMark/>
          </w:tcPr>
          <w:p w14:paraId="2527C4AF" w14:textId="77777777" w:rsidR="00F4108D" w:rsidRPr="00BB66D9" w:rsidRDefault="00F4108D" w:rsidP="00A35FEB">
            <w:pPr>
              <w:jc w:val="center"/>
              <w:rPr>
                <w:rFonts w:cstheme="minorHAnsi"/>
                <w:b/>
                <w:bCs/>
                <w:sz w:val="18"/>
                <w:szCs w:val="18"/>
              </w:rPr>
            </w:pPr>
            <w:r w:rsidRPr="00BB66D9">
              <w:rPr>
                <w:rFonts w:cstheme="minorHAnsi"/>
                <w:b/>
                <w:bCs/>
                <w:sz w:val="18"/>
                <w:szCs w:val="18"/>
              </w:rPr>
              <w:t>1.15%</w:t>
            </w:r>
          </w:p>
        </w:tc>
        <w:tc>
          <w:tcPr>
            <w:tcW w:w="402" w:type="pct"/>
            <w:tcBorders>
              <w:top w:val="single" w:sz="2" w:space="0" w:color="002279"/>
              <w:left w:val="single" w:sz="4" w:space="0" w:color="002279"/>
              <w:bottom w:val="single" w:sz="4" w:space="0" w:color="002279"/>
              <w:right w:val="single" w:sz="4" w:space="0" w:color="002279"/>
            </w:tcBorders>
            <w:shd w:val="clear" w:color="auto" w:fill="D4D6DF"/>
            <w:noWrap/>
            <w:vAlign w:val="center"/>
            <w:hideMark/>
          </w:tcPr>
          <w:p w14:paraId="01B13F8D" w14:textId="77777777" w:rsidR="00F4108D" w:rsidRPr="00BB66D9" w:rsidRDefault="00F4108D" w:rsidP="00A35FEB">
            <w:pPr>
              <w:jc w:val="center"/>
              <w:rPr>
                <w:rFonts w:cstheme="minorHAnsi"/>
                <w:b/>
                <w:bCs/>
                <w:sz w:val="18"/>
                <w:szCs w:val="18"/>
              </w:rPr>
            </w:pPr>
            <w:r w:rsidRPr="00BB66D9">
              <w:rPr>
                <w:rFonts w:cstheme="minorHAnsi"/>
                <w:b/>
                <w:bCs/>
                <w:sz w:val="18"/>
                <w:szCs w:val="18"/>
              </w:rPr>
              <w:t>1.14%</w:t>
            </w:r>
          </w:p>
        </w:tc>
        <w:tc>
          <w:tcPr>
            <w:tcW w:w="402" w:type="pct"/>
            <w:tcBorders>
              <w:top w:val="single" w:sz="2" w:space="0" w:color="002279"/>
              <w:left w:val="single" w:sz="4" w:space="0" w:color="002279"/>
              <w:bottom w:val="single" w:sz="4" w:space="0" w:color="002279"/>
              <w:right w:val="single" w:sz="4" w:space="0" w:color="002279"/>
            </w:tcBorders>
            <w:shd w:val="clear" w:color="auto" w:fill="D4D6DF"/>
            <w:noWrap/>
            <w:vAlign w:val="center"/>
            <w:hideMark/>
          </w:tcPr>
          <w:p w14:paraId="07DFACC3" w14:textId="77777777" w:rsidR="00F4108D" w:rsidRPr="00BB66D9" w:rsidRDefault="00F4108D" w:rsidP="00A35FEB">
            <w:pPr>
              <w:jc w:val="center"/>
              <w:rPr>
                <w:rFonts w:cstheme="minorHAnsi"/>
                <w:b/>
                <w:bCs/>
                <w:sz w:val="18"/>
                <w:szCs w:val="18"/>
              </w:rPr>
            </w:pPr>
            <w:r w:rsidRPr="00BB66D9">
              <w:rPr>
                <w:rFonts w:cstheme="minorHAnsi"/>
                <w:b/>
                <w:bCs/>
                <w:sz w:val="18"/>
                <w:szCs w:val="18"/>
              </w:rPr>
              <w:t>1.12%</w:t>
            </w:r>
          </w:p>
        </w:tc>
        <w:tc>
          <w:tcPr>
            <w:tcW w:w="402" w:type="pct"/>
            <w:tcBorders>
              <w:top w:val="single" w:sz="2" w:space="0" w:color="002279"/>
              <w:left w:val="single" w:sz="4" w:space="0" w:color="002279"/>
              <w:bottom w:val="single" w:sz="4" w:space="0" w:color="002279"/>
              <w:right w:val="single" w:sz="4" w:space="0" w:color="002279"/>
            </w:tcBorders>
            <w:shd w:val="clear" w:color="auto" w:fill="D4D6DF"/>
            <w:noWrap/>
            <w:vAlign w:val="center"/>
            <w:hideMark/>
          </w:tcPr>
          <w:p w14:paraId="2AF37296" w14:textId="77777777" w:rsidR="00F4108D" w:rsidRPr="00BB66D9" w:rsidRDefault="00F4108D" w:rsidP="00A35FEB">
            <w:pPr>
              <w:jc w:val="center"/>
              <w:rPr>
                <w:rFonts w:cstheme="minorHAnsi"/>
                <w:b/>
                <w:bCs/>
                <w:sz w:val="18"/>
                <w:szCs w:val="18"/>
              </w:rPr>
            </w:pPr>
            <w:r w:rsidRPr="00BB66D9">
              <w:rPr>
                <w:rFonts w:cstheme="minorHAnsi"/>
                <w:b/>
                <w:bCs/>
                <w:sz w:val="18"/>
                <w:szCs w:val="18"/>
              </w:rPr>
              <w:t>1.11%</w:t>
            </w:r>
          </w:p>
        </w:tc>
        <w:tc>
          <w:tcPr>
            <w:tcW w:w="402" w:type="pct"/>
            <w:tcBorders>
              <w:top w:val="single" w:sz="2" w:space="0" w:color="002279"/>
              <w:left w:val="single" w:sz="4" w:space="0" w:color="002279"/>
              <w:bottom w:val="single" w:sz="4" w:space="0" w:color="002279"/>
              <w:right w:val="single" w:sz="4" w:space="0" w:color="002279"/>
            </w:tcBorders>
            <w:shd w:val="clear" w:color="auto" w:fill="D4D6DF"/>
            <w:noWrap/>
            <w:vAlign w:val="center"/>
            <w:hideMark/>
          </w:tcPr>
          <w:p w14:paraId="587FA25F" w14:textId="77777777" w:rsidR="00F4108D" w:rsidRPr="00BB66D9" w:rsidRDefault="00F4108D" w:rsidP="00A35FEB">
            <w:pPr>
              <w:jc w:val="center"/>
              <w:rPr>
                <w:rFonts w:cstheme="minorHAnsi"/>
                <w:b/>
                <w:bCs/>
                <w:sz w:val="18"/>
                <w:szCs w:val="18"/>
              </w:rPr>
            </w:pPr>
            <w:r w:rsidRPr="00BB66D9">
              <w:rPr>
                <w:rFonts w:cstheme="minorHAnsi"/>
                <w:b/>
                <w:bCs/>
                <w:sz w:val="18"/>
                <w:szCs w:val="18"/>
              </w:rPr>
              <w:t>1.61%</w:t>
            </w:r>
          </w:p>
        </w:tc>
        <w:tc>
          <w:tcPr>
            <w:tcW w:w="402" w:type="pct"/>
            <w:tcBorders>
              <w:top w:val="single" w:sz="2" w:space="0" w:color="002279"/>
              <w:left w:val="single" w:sz="4" w:space="0" w:color="002279"/>
              <w:bottom w:val="single" w:sz="4" w:space="0" w:color="002279"/>
              <w:right w:val="single" w:sz="4" w:space="0" w:color="002279"/>
            </w:tcBorders>
            <w:shd w:val="clear" w:color="auto" w:fill="D4D6DF"/>
            <w:noWrap/>
            <w:vAlign w:val="center"/>
            <w:hideMark/>
          </w:tcPr>
          <w:p w14:paraId="338508D1" w14:textId="77777777" w:rsidR="00F4108D" w:rsidRPr="00BB66D9" w:rsidRDefault="00F4108D" w:rsidP="00A35FEB">
            <w:pPr>
              <w:jc w:val="center"/>
              <w:rPr>
                <w:rFonts w:cstheme="minorHAnsi"/>
                <w:b/>
                <w:bCs/>
                <w:sz w:val="18"/>
                <w:szCs w:val="18"/>
              </w:rPr>
            </w:pPr>
            <w:r w:rsidRPr="00BB66D9">
              <w:rPr>
                <w:rFonts w:cstheme="minorHAnsi"/>
                <w:b/>
                <w:bCs/>
                <w:sz w:val="18"/>
                <w:szCs w:val="18"/>
              </w:rPr>
              <w:t>1.58%</w:t>
            </w:r>
          </w:p>
        </w:tc>
      </w:tr>
    </w:tbl>
    <w:p w14:paraId="6AF52F16" w14:textId="77777777" w:rsidR="00BB66D9" w:rsidRDefault="00BB66D9" w:rsidP="009D5B76">
      <w:pPr>
        <w:pStyle w:val="BodyText"/>
        <w:rPr>
          <w:b/>
          <w:bCs/>
          <w:i/>
          <w:sz w:val="22"/>
          <w:szCs w:val="22"/>
        </w:rPr>
        <w:sectPr w:rsidR="00BB66D9" w:rsidSect="00BB66D9">
          <w:pgSz w:w="16838" w:h="11906" w:orient="landscape" w:code="9"/>
          <w:pgMar w:top="1253" w:right="1440" w:bottom="1157" w:left="1440" w:header="567" w:footer="284" w:gutter="0"/>
          <w:cols w:space="708"/>
          <w:docGrid w:linePitch="360"/>
        </w:sectPr>
      </w:pPr>
    </w:p>
    <w:p w14:paraId="5ADB98B0" w14:textId="6C5D79BE" w:rsidR="009D5B76" w:rsidRPr="006E5D95" w:rsidRDefault="006E5D95" w:rsidP="009D5B76">
      <w:pPr>
        <w:pStyle w:val="BodyText"/>
        <w:rPr>
          <w:b/>
          <w:bCs/>
          <w:i/>
          <w:sz w:val="22"/>
          <w:szCs w:val="22"/>
        </w:rPr>
      </w:pPr>
      <w:r w:rsidRPr="006E5D95">
        <w:rPr>
          <w:b/>
          <w:bCs/>
          <w:i/>
          <w:sz w:val="22"/>
          <w:szCs w:val="22"/>
        </w:rPr>
        <w:lastRenderedPageBreak/>
        <w:t xml:space="preserve">Figure </w:t>
      </w:r>
      <w:r w:rsidR="00BA11D9">
        <w:rPr>
          <w:b/>
          <w:i/>
          <w:sz w:val="22"/>
          <w:szCs w:val="22"/>
        </w:rPr>
        <w:t>12</w:t>
      </w:r>
      <w:r w:rsidRPr="006E5D95">
        <w:rPr>
          <w:b/>
          <w:bCs/>
          <w:i/>
          <w:sz w:val="22"/>
          <w:szCs w:val="22"/>
        </w:rPr>
        <w:t xml:space="preserve">: </w:t>
      </w:r>
      <w:r w:rsidR="009D5B76" w:rsidRPr="006E5D95">
        <w:rPr>
          <w:b/>
          <w:bCs/>
          <w:i/>
          <w:sz w:val="22"/>
          <w:szCs w:val="22"/>
        </w:rPr>
        <w:t xml:space="preserve">New </w:t>
      </w:r>
      <w:r w:rsidR="006B1244" w:rsidRPr="006E5D95">
        <w:rPr>
          <w:b/>
          <w:bCs/>
          <w:i/>
          <w:iCs/>
          <w:sz w:val="22"/>
          <w:szCs w:val="22"/>
        </w:rPr>
        <w:t>d</w:t>
      </w:r>
      <w:r w:rsidR="009D5B76" w:rsidRPr="006E5D95">
        <w:rPr>
          <w:b/>
          <w:bCs/>
          <w:i/>
          <w:iCs/>
          <w:sz w:val="22"/>
          <w:szCs w:val="22"/>
        </w:rPr>
        <w:t xml:space="preserve">wellings </w:t>
      </w:r>
      <w:r w:rsidR="006B1244" w:rsidRPr="006E5D95">
        <w:rPr>
          <w:b/>
          <w:bCs/>
          <w:i/>
          <w:iCs/>
          <w:sz w:val="22"/>
          <w:szCs w:val="22"/>
        </w:rPr>
        <w:t>f</w:t>
      </w:r>
      <w:r w:rsidR="009D5B76" w:rsidRPr="006E5D95">
        <w:rPr>
          <w:b/>
          <w:bCs/>
          <w:i/>
          <w:iCs/>
          <w:sz w:val="22"/>
          <w:szCs w:val="22"/>
        </w:rPr>
        <w:t>orecast</w:t>
      </w:r>
      <w:r w:rsidR="009D5B76" w:rsidRPr="006E5D95">
        <w:rPr>
          <w:b/>
          <w:bCs/>
          <w:i/>
          <w:sz w:val="22"/>
          <w:szCs w:val="22"/>
        </w:rPr>
        <w:t xml:space="preserve"> 2017</w:t>
      </w:r>
      <w:r w:rsidR="004C32D1" w:rsidRPr="006E5D95">
        <w:rPr>
          <w:b/>
          <w:bCs/>
          <w:i/>
          <w:sz w:val="22"/>
          <w:szCs w:val="22"/>
        </w:rPr>
        <w:t>–</w:t>
      </w:r>
      <w:r w:rsidR="009D5B76" w:rsidRPr="006E5D95">
        <w:rPr>
          <w:b/>
          <w:bCs/>
          <w:i/>
          <w:sz w:val="22"/>
          <w:szCs w:val="22"/>
        </w:rPr>
        <w:t>18 to 2032</w:t>
      </w:r>
      <w:r w:rsidR="004C32D1" w:rsidRPr="006E5D95">
        <w:rPr>
          <w:b/>
          <w:bCs/>
          <w:i/>
          <w:sz w:val="22"/>
          <w:szCs w:val="22"/>
        </w:rPr>
        <w:t>–</w:t>
      </w:r>
      <w:r w:rsidR="009D5B76" w:rsidRPr="006E5D95">
        <w:rPr>
          <w:b/>
          <w:bCs/>
          <w:i/>
          <w:sz w:val="22"/>
          <w:szCs w:val="22"/>
        </w:rPr>
        <w:t>33</w:t>
      </w:r>
    </w:p>
    <w:p w14:paraId="14B3EF58" w14:textId="6C697A82" w:rsidR="00052B82" w:rsidRPr="00AE25DE" w:rsidRDefault="00181701" w:rsidP="00F10AFF">
      <w:pPr>
        <w:pStyle w:val="BodyText"/>
        <w:rPr>
          <w:rFonts w:cstheme="minorHAnsi"/>
        </w:rPr>
      </w:pPr>
      <w:r>
        <w:rPr>
          <w:rFonts w:cstheme="minorHAnsi"/>
          <w:noProof/>
        </w:rPr>
        <w:drawing>
          <wp:inline distT="0" distB="0" distL="0" distR="0" wp14:anchorId="7F62F296" wp14:editId="307CA104">
            <wp:extent cx="5602941" cy="48437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5615788" cy="4854871"/>
                    </a:xfrm>
                    <a:prstGeom prst="rect">
                      <a:avLst/>
                    </a:prstGeom>
                    <a:noFill/>
                  </pic:spPr>
                </pic:pic>
              </a:graphicData>
            </a:graphic>
          </wp:inline>
        </w:drawing>
      </w:r>
    </w:p>
    <w:p w14:paraId="7CCF3358" w14:textId="77777777" w:rsidR="00B05705" w:rsidRPr="00AE25DE" w:rsidRDefault="00B05705" w:rsidP="00F10AFF">
      <w:pPr>
        <w:pStyle w:val="BodyText"/>
        <w:rPr>
          <w:rFonts w:cstheme="minorHAnsi"/>
        </w:rPr>
      </w:pPr>
    </w:p>
    <w:p w14:paraId="680F3E83" w14:textId="356CD5C5" w:rsidR="00AE35E9" w:rsidRDefault="00AE35E9">
      <w:pPr>
        <w:pStyle w:val="Heading2"/>
      </w:pPr>
      <w:r>
        <w:t>9.</w:t>
      </w:r>
      <w:r w:rsidR="000D4E81">
        <w:t>2</w:t>
      </w:r>
      <w:r>
        <w:t xml:space="preserve"> </w:t>
      </w:r>
      <w:bookmarkStart w:id="90" w:name="_Toc103770954"/>
      <w:r>
        <w:t xml:space="preserve">Key </w:t>
      </w:r>
      <w:r w:rsidR="002C4E33">
        <w:t>consumption</w:t>
      </w:r>
      <w:r>
        <w:t xml:space="preserve"> trends and assumptions</w:t>
      </w:r>
      <w:bookmarkEnd w:id="90"/>
      <w:r w:rsidR="00B13E4E">
        <w:t xml:space="preserve"> </w:t>
      </w:r>
    </w:p>
    <w:p w14:paraId="18DBADAF" w14:textId="0D70C845" w:rsidR="00CA4B80" w:rsidRDefault="00E31ACB" w:rsidP="00AE35E9">
      <w:r w:rsidRPr="00E31ACB">
        <w:t xml:space="preserve">For the </w:t>
      </w:r>
      <w:r w:rsidR="004056D7">
        <w:t xml:space="preserve">last </w:t>
      </w:r>
      <w:r w:rsidR="003D3FE2">
        <w:t>5</w:t>
      </w:r>
      <w:r w:rsidR="004056D7">
        <w:t xml:space="preserve"> years of historical data</w:t>
      </w:r>
      <w:r w:rsidRPr="00E31ACB">
        <w:t xml:space="preserve">, actual demand </w:t>
      </w:r>
      <w:r w:rsidR="006168CE">
        <w:t xml:space="preserve">is </w:t>
      </w:r>
      <w:r w:rsidR="004056D7">
        <w:t xml:space="preserve">comparable to </w:t>
      </w:r>
      <w:r w:rsidR="0034002B">
        <w:t>forecasts</w:t>
      </w:r>
      <w:r w:rsidR="00EA3BCE">
        <w:t xml:space="preserve"> </w:t>
      </w:r>
      <w:r w:rsidR="00585A95">
        <w:t>in</w:t>
      </w:r>
      <w:r w:rsidR="00EA3BCE">
        <w:t xml:space="preserve"> aggregate</w:t>
      </w:r>
      <w:r w:rsidR="00585A95">
        <w:t xml:space="preserve">. However, </w:t>
      </w:r>
      <w:r w:rsidR="00EA3BCE">
        <w:t>within each year</w:t>
      </w:r>
      <w:r w:rsidR="00612583">
        <w:t>’</w:t>
      </w:r>
      <w:r w:rsidR="00BB0D62">
        <w:t>s</w:t>
      </w:r>
      <w:r w:rsidRPr="00E31ACB">
        <w:t xml:space="preserve"> forecast</w:t>
      </w:r>
      <w:r w:rsidR="00B43F3F">
        <w:t>,</w:t>
      </w:r>
      <w:r w:rsidR="00EA3BCE">
        <w:t xml:space="preserve"> </w:t>
      </w:r>
      <w:r w:rsidR="00585A95">
        <w:t xml:space="preserve">there is </w:t>
      </w:r>
      <w:r w:rsidR="00EA3BCE">
        <w:t>variability</w:t>
      </w:r>
      <w:r w:rsidR="00731844">
        <w:t xml:space="preserve"> largely due to weather and COVID-19 effects</w:t>
      </w:r>
      <w:r w:rsidR="00EA3BCE">
        <w:t>.</w:t>
      </w:r>
    </w:p>
    <w:p w14:paraId="58A718A1" w14:textId="223B96D5" w:rsidR="00CA4B80" w:rsidRDefault="00585A95" w:rsidP="00AE35E9">
      <w:r>
        <w:t>Demand exceeded forecasts in 2</w:t>
      </w:r>
      <w:r w:rsidR="00987207" w:rsidRPr="0004376B">
        <w:t>01</w:t>
      </w:r>
      <w:r w:rsidR="0030638F" w:rsidRPr="0004376B">
        <w:t>7</w:t>
      </w:r>
      <w:r w:rsidR="004C32D1">
        <w:t>–</w:t>
      </w:r>
      <w:r w:rsidR="00987207" w:rsidRPr="0004376B">
        <w:t>1</w:t>
      </w:r>
      <w:r w:rsidR="0030638F" w:rsidRPr="0004376B">
        <w:t>8</w:t>
      </w:r>
      <w:r w:rsidR="00987207" w:rsidRPr="0004376B">
        <w:t xml:space="preserve"> and 201</w:t>
      </w:r>
      <w:r w:rsidR="0030638F" w:rsidRPr="0004376B">
        <w:t>8</w:t>
      </w:r>
      <w:r w:rsidR="004C32D1">
        <w:t>–</w:t>
      </w:r>
      <w:r w:rsidR="0030638F" w:rsidRPr="0004376B">
        <w:t>19</w:t>
      </w:r>
      <w:r>
        <w:t xml:space="preserve"> due to high temperatures and</w:t>
      </w:r>
      <w:r w:rsidR="00AD40B1">
        <w:t xml:space="preserve"> low summer </w:t>
      </w:r>
      <w:r w:rsidR="002C4F78">
        <w:t>rainfall</w:t>
      </w:r>
      <w:r w:rsidR="006E506A">
        <w:t xml:space="preserve">. </w:t>
      </w:r>
    </w:p>
    <w:p w14:paraId="1A2DCD41" w14:textId="06BE6E33" w:rsidR="00B914EF" w:rsidRDefault="00EA3BCE" w:rsidP="00AE35E9">
      <w:r>
        <w:t>I</w:t>
      </w:r>
      <w:r w:rsidR="00E31ACB" w:rsidRPr="00E31ACB">
        <w:t>n</w:t>
      </w:r>
      <w:r w:rsidR="00C002AF">
        <w:t xml:space="preserve"> the years following </w:t>
      </w:r>
      <w:r w:rsidR="00813E89">
        <w:t xml:space="preserve">the </w:t>
      </w:r>
      <w:r w:rsidR="00AD40B1">
        <w:t>emergence</w:t>
      </w:r>
      <w:r w:rsidR="00813E89">
        <w:t xml:space="preserve"> of </w:t>
      </w:r>
      <w:r w:rsidR="00AD40B1">
        <w:t xml:space="preserve">COVID-19 </w:t>
      </w:r>
      <w:r w:rsidR="00B95312">
        <w:t>(</w:t>
      </w:r>
      <w:r w:rsidR="00CB2FD6" w:rsidRPr="0004376B">
        <w:t>20</w:t>
      </w:r>
      <w:r w:rsidR="00FB5958" w:rsidRPr="0004376B">
        <w:t>19</w:t>
      </w:r>
      <w:r w:rsidR="004C32D1">
        <w:t>–</w:t>
      </w:r>
      <w:r w:rsidR="00CB2FD6" w:rsidRPr="0004376B">
        <w:t>2</w:t>
      </w:r>
      <w:r w:rsidR="00FB5958" w:rsidRPr="0004376B">
        <w:t>0</w:t>
      </w:r>
      <w:r w:rsidR="00CB2FD6" w:rsidRPr="0004376B">
        <w:t xml:space="preserve"> to 202</w:t>
      </w:r>
      <w:r w:rsidR="00A13E01">
        <w:t>1</w:t>
      </w:r>
      <w:r w:rsidR="004C32D1">
        <w:t>–</w:t>
      </w:r>
      <w:r w:rsidR="00CB2FD6" w:rsidRPr="0004376B">
        <w:t>2</w:t>
      </w:r>
      <w:r w:rsidR="00A13E01">
        <w:t>2</w:t>
      </w:r>
      <w:r w:rsidR="00CC62F9" w:rsidRPr="0004376B">
        <w:t>)</w:t>
      </w:r>
      <w:r w:rsidR="002E7A7E">
        <w:t>, demand</w:t>
      </w:r>
      <w:r w:rsidR="00AD40B1">
        <w:t xml:space="preserve"> was lower than </w:t>
      </w:r>
      <w:r w:rsidR="002E7A7E">
        <w:t>forecast</w:t>
      </w:r>
      <w:r w:rsidR="00CF53DD">
        <w:t>,</w:t>
      </w:r>
      <w:r w:rsidR="002E7A7E">
        <w:t xml:space="preserve"> </w:t>
      </w:r>
      <w:r w:rsidR="00BB0D62">
        <w:t>primarily</w:t>
      </w:r>
      <w:r w:rsidR="00C4418C">
        <w:t xml:space="preserve"> </w:t>
      </w:r>
      <w:r w:rsidR="002E7A7E">
        <w:t>driven by a reduction</w:t>
      </w:r>
      <w:r w:rsidR="00467F40">
        <w:t xml:space="preserve"> in </w:t>
      </w:r>
      <w:r w:rsidR="005A2578">
        <w:t>non-</w:t>
      </w:r>
      <w:r w:rsidR="007D68C1">
        <w:t>residential</w:t>
      </w:r>
      <w:r w:rsidR="002E7A7E">
        <w:t xml:space="preserve"> water usage</w:t>
      </w:r>
      <w:r w:rsidR="00C4418C">
        <w:t xml:space="preserve"> but </w:t>
      </w:r>
      <w:r w:rsidR="00F12F15">
        <w:t>also</w:t>
      </w:r>
      <w:r w:rsidR="00C4418C">
        <w:t xml:space="preserve"> due to wetter weather</w:t>
      </w:r>
      <w:r w:rsidR="00CF53DD">
        <w:t>,</w:t>
      </w:r>
      <w:r w:rsidR="00C4418C">
        <w:t xml:space="preserve"> with </w:t>
      </w:r>
      <w:r w:rsidR="0030638F">
        <w:t>2019</w:t>
      </w:r>
      <w:r w:rsidR="004C32D1">
        <w:t>–</w:t>
      </w:r>
      <w:r w:rsidR="0030638F">
        <w:t>20</w:t>
      </w:r>
      <w:r w:rsidR="00983004">
        <w:t xml:space="preserve"> </w:t>
      </w:r>
      <w:r w:rsidR="006E506A">
        <w:t>recording</w:t>
      </w:r>
      <w:r w:rsidR="00E31ACB" w:rsidRPr="00E31ACB">
        <w:t xml:space="preserve"> the </w:t>
      </w:r>
      <w:r w:rsidR="00D704DE">
        <w:t>highest</w:t>
      </w:r>
      <w:r w:rsidR="008715BB">
        <w:t xml:space="preserve"> </w:t>
      </w:r>
      <w:r w:rsidR="006E506A">
        <w:t xml:space="preserve">total </w:t>
      </w:r>
      <w:r w:rsidR="00F655DC">
        <w:t>rainfall</w:t>
      </w:r>
      <w:r w:rsidR="00595D9E">
        <w:t xml:space="preserve"> reducing</w:t>
      </w:r>
      <w:r w:rsidR="0093591A">
        <w:t xml:space="preserve"> outdoor </w:t>
      </w:r>
      <w:r w:rsidR="00595D9E">
        <w:t>water usage.</w:t>
      </w:r>
    </w:p>
    <w:p w14:paraId="6A89F153" w14:textId="7DC35E57" w:rsidR="00E31ACB" w:rsidRDefault="00BB0D62" w:rsidP="00AE35E9">
      <w:r>
        <w:t>The variability in demands reflect</w:t>
      </w:r>
      <w:r w:rsidR="00827622">
        <w:t>s</w:t>
      </w:r>
      <w:r w:rsidR="008715BB">
        <w:t xml:space="preserve"> the trend toward </w:t>
      </w:r>
      <w:r w:rsidR="00E4770F">
        <w:t xml:space="preserve">greater </w:t>
      </w:r>
      <w:r w:rsidR="00F82016">
        <w:t>weather variability</w:t>
      </w:r>
      <w:r w:rsidR="00E4770F">
        <w:t xml:space="preserve"> </w:t>
      </w:r>
      <w:r w:rsidR="008B3FFE">
        <w:t>and more frequent extreme weather events</w:t>
      </w:r>
      <w:r w:rsidR="00976E34">
        <w:t xml:space="preserve"> as </w:t>
      </w:r>
      <w:r w:rsidR="00D46D70">
        <w:t xml:space="preserve">a </w:t>
      </w:r>
      <w:r w:rsidR="00976E34">
        <w:t>result of climate change</w:t>
      </w:r>
      <w:r w:rsidR="008B3FFE">
        <w:t>.</w:t>
      </w:r>
      <w:r w:rsidR="00BB37AD">
        <w:t xml:space="preserve"> Despite </w:t>
      </w:r>
      <w:r w:rsidR="00F6645E">
        <w:t>such</w:t>
      </w:r>
      <w:r w:rsidR="00BB37AD">
        <w:t xml:space="preserve"> variability,</w:t>
      </w:r>
      <w:r w:rsidR="00F6645E">
        <w:t xml:space="preserve"> actual bulk water demands have been within </w:t>
      </w:r>
      <w:r w:rsidR="00591CAE">
        <w:t xml:space="preserve">+/- </w:t>
      </w:r>
      <w:r w:rsidR="00F6645E">
        <w:t>5% of forecasts.</w:t>
      </w:r>
      <w:r w:rsidR="00706A81">
        <w:br/>
      </w:r>
      <w:r w:rsidR="00706A81">
        <w:br/>
      </w:r>
      <w:r w:rsidR="00706A81">
        <w:br/>
      </w:r>
      <w:r w:rsidR="00706A81">
        <w:br/>
      </w:r>
    </w:p>
    <w:p w14:paraId="56E06CEB" w14:textId="59146529" w:rsidR="00AB7137" w:rsidRPr="006E5D95" w:rsidRDefault="006E5D95" w:rsidP="00116E55">
      <w:pPr>
        <w:pStyle w:val="Figuretitle"/>
        <w:spacing w:after="120"/>
        <w:rPr>
          <w:i/>
          <w:sz w:val="22"/>
          <w:szCs w:val="22"/>
        </w:rPr>
      </w:pPr>
      <w:r w:rsidRPr="006E5D95">
        <w:rPr>
          <w:i/>
          <w:sz w:val="22"/>
          <w:szCs w:val="22"/>
        </w:rPr>
        <w:lastRenderedPageBreak/>
        <w:t xml:space="preserve"> Figure </w:t>
      </w:r>
      <w:r w:rsidR="00BA11D9">
        <w:rPr>
          <w:i/>
          <w:sz w:val="22"/>
          <w:szCs w:val="22"/>
        </w:rPr>
        <w:t>13</w:t>
      </w:r>
      <w:r w:rsidRPr="006E5D95">
        <w:rPr>
          <w:i/>
          <w:sz w:val="22"/>
          <w:szCs w:val="22"/>
        </w:rPr>
        <w:t xml:space="preserve">: </w:t>
      </w:r>
      <w:r w:rsidR="00AB7137" w:rsidRPr="006E5D95">
        <w:rPr>
          <w:i/>
          <w:sz w:val="22"/>
          <w:szCs w:val="22"/>
        </w:rPr>
        <w:t>Bulk water demand 2017</w:t>
      </w:r>
      <w:r w:rsidR="004C32D1" w:rsidRPr="006E5D95">
        <w:rPr>
          <w:i/>
          <w:sz w:val="22"/>
          <w:szCs w:val="22"/>
        </w:rPr>
        <w:t>–</w:t>
      </w:r>
      <w:r w:rsidR="00AB7137" w:rsidRPr="006E5D95">
        <w:rPr>
          <w:i/>
          <w:sz w:val="22"/>
          <w:szCs w:val="22"/>
        </w:rPr>
        <w:t>18 to 2021</w:t>
      </w:r>
      <w:r w:rsidR="004C32D1" w:rsidRPr="006E5D95">
        <w:rPr>
          <w:i/>
          <w:sz w:val="22"/>
          <w:szCs w:val="22"/>
        </w:rPr>
        <w:t>–</w:t>
      </w:r>
      <w:r w:rsidR="00AB7137" w:rsidRPr="006E5D95">
        <w:rPr>
          <w:i/>
          <w:sz w:val="22"/>
          <w:szCs w:val="22"/>
        </w:rPr>
        <w:t>22</w:t>
      </w:r>
    </w:p>
    <w:p w14:paraId="3968B321" w14:textId="15EB9BD8" w:rsidR="00181701" w:rsidRPr="00181701" w:rsidRDefault="00181701" w:rsidP="00116E55">
      <w:pPr>
        <w:pStyle w:val="Figuretitle"/>
        <w:spacing w:after="120"/>
        <w:rPr>
          <w:b w:val="0"/>
          <w:bCs/>
          <w:iCs w:val="0"/>
          <w:sz w:val="22"/>
          <w:szCs w:val="22"/>
        </w:rPr>
      </w:pPr>
      <w:r>
        <w:rPr>
          <w:b w:val="0"/>
          <w:bCs/>
          <w:iCs w:val="0"/>
          <w:noProof/>
          <w:sz w:val="22"/>
          <w:szCs w:val="22"/>
        </w:rPr>
        <w:drawing>
          <wp:inline distT="0" distB="0" distL="0" distR="0" wp14:anchorId="4402B927" wp14:editId="3B5A2473">
            <wp:extent cx="5002306" cy="4123125"/>
            <wp:effectExtent l="0" t="0" r="190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4657"/>
                    <a:stretch/>
                  </pic:blipFill>
                  <pic:spPr bwMode="auto">
                    <a:xfrm>
                      <a:off x="0" y="0"/>
                      <a:ext cx="5066217" cy="4175804"/>
                    </a:xfrm>
                    <a:prstGeom prst="rect">
                      <a:avLst/>
                    </a:prstGeom>
                    <a:noFill/>
                    <a:ln>
                      <a:noFill/>
                    </a:ln>
                    <a:extLst>
                      <a:ext uri="{53640926-AAD7-44D8-BBD7-CCE9431645EC}">
                        <a14:shadowObscured xmlns:a14="http://schemas.microsoft.com/office/drawing/2010/main"/>
                      </a:ext>
                    </a:extLst>
                  </pic:spPr>
                </pic:pic>
              </a:graphicData>
            </a:graphic>
          </wp:inline>
        </w:drawing>
      </w:r>
    </w:p>
    <w:p w14:paraId="1B5D149E" w14:textId="7D6F98D3" w:rsidR="00BD2C3D" w:rsidRDefault="00BD2C3D" w:rsidP="003D3FE2">
      <w:pPr>
        <w:pStyle w:val="Heading3"/>
      </w:pPr>
      <w:r>
        <w:t>9.</w:t>
      </w:r>
      <w:r w:rsidR="001020D0">
        <w:t>2</w:t>
      </w:r>
      <w:r>
        <w:t>.1 COVID-19</w:t>
      </w:r>
    </w:p>
    <w:p w14:paraId="57A27AE2" w14:textId="3F31558E" w:rsidR="00BD2C3D" w:rsidRDefault="00AE0E0D" w:rsidP="00BD2C3D">
      <w:pPr>
        <w:pStyle w:val="BodyText"/>
      </w:pPr>
      <w:r>
        <w:t xml:space="preserve">Uncertainty </w:t>
      </w:r>
      <w:r w:rsidR="006B5F52">
        <w:t>surrounding</w:t>
      </w:r>
      <w:r>
        <w:t xml:space="preserve"> the COVID-19 pandemic </w:t>
      </w:r>
      <w:r w:rsidR="00922454">
        <w:t xml:space="preserve">continues to </w:t>
      </w:r>
      <w:r w:rsidR="00417BA9">
        <w:t xml:space="preserve">impact </w:t>
      </w:r>
      <w:r w:rsidR="004A526C">
        <w:t xml:space="preserve">both residential and </w:t>
      </w:r>
      <w:r w:rsidR="005A2578">
        <w:t>non-</w:t>
      </w:r>
      <w:r w:rsidR="007D68C1">
        <w:t>residential</w:t>
      </w:r>
      <w:r w:rsidR="004A526C">
        <w:t xml:space="preserve"> demands</w:t>
      </w:r>
      <w:r w:rsidR="00673F66">
        <w:t>, primarily due to impacts on businesses</w:t>
      </w:r>
      <w:r w:rsidR="00F168C9">
        <w:t xml:space="preserve"> and a change in behaviour for residential households with a greater </w:t>
      </w:r>
      <w:r w:rsidR="00D14D75">
        <w:t xml:space="preserve">amount of people now </w:t>
      </w:r>
      <w:r w:rsidR="00546D5F">
        <w:t xml:space="preserve">spending more time working from home. Having historically had a large percentage of </w:t>
      </w:r>
      <w:r w:rsidR="00B21486">
        <w:t>customers</w:t>
      </w:r>
      <w:r w:rsidR="00683EA1">
        <w:t xml:space="preserve"> </w:t>
      </w:r>
      <w:r w:rsidR="00546D5F">
        <w:t>travelling to the Melbourne CBD during business hours,</w:t>
      </w:r>
      <w:r w:rsidR="00ED0410">
        <w:t xml:space="preserve"> the </w:t>
      </w:r>
      <w:r w:rsidR="00635CD5">
        <w:t xml:space="preserve">increase in working from home </w:t>
      </w:r>
      <w:r w:rsidR="00C57E6F">
        <w:t xml:space="preserve">arrangements has shifted both water demand and sewerage flows </w:t>
      </w:r>
      <w:r w:rsidR="003D3089">
        <w:t>back into our service area.</w:t>
      </w:r>
    </w:p>
    <w:p w14:paraId="64F8D98B" w14:textId="2ED1BB79" w:rsidR="00C57D86" w:rsidRDefault="00E42753" w:rsidP="00BD2C3D">
      <w:pPr>
        <w:pStyle w:val="BodyText"/>
      </w:pPr>
      <w:r>
        <w:t>Employees</w:t>
      </w:r>
      <w:r w:rsidR="00C57D86">
        <w:t xml:space="preserve"> and resource availability continue to impact our business customers</w:t>
      </w:r>
      <w:r w:rsidR="00612583">
        <w:t>’</w:t>
      </w:r>
      <w:r w:rsidR="00640722">
        <w:t xml:space="preserve"> ability</w:t>
      </w:r>
      <w:r w:rsidR="004002DA">
        <w:t xml:space="preserve"> </w:t>
      </w:r>
      <w:r w:rsidR="00640722">
        <w:t>to trade at pre-pandemic levels</w:t>
      </w:r>
      <w:r w:rsidR="00E8532E">
        <w:t xml:space="preserve">. This has led to the closure of some small businesses </w:t>
      </w:r>
      <w:r w:rsidR="00845DE2">
        <w:t>while also driving certain industries to record high</w:t>
      </w:r>
      <w:r w:rsidR="004F5376">
        <w:t xml:space="preserve"> consumption</w:t>
      </w:r>
      <w:r w:rsidR="00822EDC">
        <w:t>,</w:t>
      </w:r>
      <w:r w:rsidR="004F5376">
        <w:t xml:space="preserve"> further adding to the unpredictability of business demand.</w:t>
      </w:r>
      <w:r w:rsidR="005B3CF1">
        <w:t xml:space="preserve"> The full impact of </w:t>
      </w:r>
      <w:r w:rsidR="00262963">
        <w:t>COVID-19 o</w:t>
      </w:r>
      <w:r w:rsidR="001D2C71">
        <w:t>n</w:t>
      </w:r>
      <w:r w:rsidR="00262963">
        <w:t xml:space="preserve"> our business customers</w:t>
      </w:r>
      <w:r w:rsidR="001D2C71">
        <w:t xml:space="preserve"> and</w:t>
      </w:r>
      <w:r w:rsidR="00AD48BF">
        <w:t xml:space="preserve"> when and how quickly they can recover is</w:t>
      </w:r>
      <w:r w:rsidR="00CF185B">
        <w:t xml:space="preserve"> a huge unknown and something we have invested significant time with various demographers to understand</w:t>
      </w:r>
      <w:r w:rsidR="009A409B">
        <w:t xml:space="preserve"> better.</w:t>
      </w:r>
      <w:r w:rsidR="00945B6E">
        <w:t xml:space="preserve"> </w:t>
      </w:r>
    </w:p>
    <w:p w14:paraId="2F9A8E8C" w14:textId="6228FBD1" w:rsidR="00BD2C3D" w:rsidRDefault="00BD2C3D" w:rsidP="003D3FE2">
      <w:pPr>
        <w:pStyle w:val="Heading3"/>
      </w:pPr>
      <w:r>
        <w:t>9.</w:t>
      </w:r>
      <w:r w:rsidR="001020D0">
        <w:t>2</w:t>
      </w:r>
      <w:r>
        <w:t>.2 Climate variability</w:t>
      </w:r>
    </w:p>
    <w:p w14:paraId="0DA3379B" w14:textId="657A0902" w:rsidR="008D6E03" w:rsidRDefault="00171296" w:rsidP="00AE35E9">
      <w:r>
        <w:t xml:space="preserve">Climate </w:t>
      </w:r>
      <w:r w:rsidR="00AD40B1">
        <w:t xml:space="preserve">impacts and the resulting </w:t>
      </w:r>
      <w:r>
        <w:t>fluctuation</w:t>
      </w:r>
      <w:r w:rsidR="00AD40B1">
        <w:t>s</w:t>
      </w:r>
      <w:r>
        <w:t xml:space="preserve"> </w:t>
      </w:r>
      <w:r w:rsidR="00061E2D">
        <w:t>in</w:t>
      </w:r>
      <w:r w:rsidR="00AD40B1">
        <w:t xml:space="preserve"> </w:t>
      </w:r>
      <w:r w:rsidR="00061E2D">
        <w:t xml:space="preserve">temperatures and rainfall </w:t>
      </w:r>
      <w:r w:rsidR="00AD40B1">
        <w:t xml:space="preserve">presents significant challenges for </w:t>
      </w:r>
      <w:r w:rsidR="009D75AD">
        <w:t>our ability to forecast bulk water demand. The variability and length of weather pattern</w:t>
      </w:r>
      <w:r w:rsidR="00901C83">
        <w:t>s have changed more in</w:t>
      </w:r>
      <w:r w:rsidR="00FE1F70">
        <w:t xml:space="preserve"> </w:t>
      </w:r>
      <w:r w:rsidR="00901C83">
        <w:t>th</w:t>
      </w:r>
      <w:r w:rsidR="00FE1F70">
        <w:t>e</w:t>
      </w:r>
      <w:r w:rsidR="00901C83">
        <w:t xml:space="preserve"> current regulatory </w:t>
      </w:r>
      <w:r w:rsidR="00156B0E">
        <w:t>period</w:t>
      </w:r>
      <w:r w:rsidR="00901C83">
        <w:t xml:space="preserve"> than historically observed</w:t>
      </w:r>
      <w:r w:rsidR="00AD40B1">
        <w:t>.</w:t>
      </w:r>
      <w:r w:rsidR="00605BF8">
        <w:t xml:space="preserve"> </w:t>
      </w:r>
      <w:r w:rsidR="00AD40B1">
        <w:t>H</w:t>
      </w:r>
      <w:r w:rsidR="00605BF8">
        <w:t>owever</w:t>
      </w:r>
      <w:r w:rsidR="00F655DC">
        <w:t>,</w:t>
      </w:r>
      <w:r w:rsidR="00605BF8">
        <w:t xml:space="preserve"> our forecasts have remained within +/- 5%</w:t>
      </w:r>
      <w:r w:rsidR="00A63CBA">
        <w:t xml:space="preserve">. </w:t>
      </w:r>
    </w:p>
    <w:p w14:paraId="47F545B2" w14:textId="5035420D" w:rsidR="00960CAC" w:rsidRDefault="00AD40B1" w:rsidP="00AE35E9">
      <w:r>
        <w:lastRenderedPageBreak/>
        <w:t>Initially</w:t>
      </w:r>
      <w:r w:rsidR="00CD47AB">
        <w:t>,</w:t>
      </w:r>
      <w:r>
        <w:t xml:space="preserve"> there was</w:t>
      </w:r>
      <w:r w:rsidR="00A63CBA">
        <w:t xml:space="preserve"> </w:t>
      </w:r>
      <w:r w:rsidR="00421E29">
        <w:t>lower</w:t>
      </w:r>
      <w:r>
        <w:t xml:space="preserve"> </w:t>
      </w:r>
      <w:r w:rsidR="00421E29">
        <w:t>than</w:t>
      </w:r>
      <w:r>
        <w:t xml:space="preserve"> </w:t>
      </w:r>
      <w:r w:rsidR="00421E29">
        <w:t>expected</w:t>
      </w:r>
      <w:r w:rsidR="00A63CBA">
        <w:t xml:space="preserve"> growth due to COVID-19</w:t>
      </w:r>
      <w:r>
        <w:t>.</w:t>
      </w:r>
      <w:r w:rsidR="002E2596">
        <w:t xml:space="preserve"> </w:t>
      </w:r>
      <w:r>
        <w:t>Then</w:t>
      </w:r>
      <w:r w:rsidR="00054957">
        <w:t xml:space="preserve"> the</w:t>
      </w:r>
      <w:r w:rsidR="002E2596">
        <w:t xml:space="preserve"> extreme hot and dry weather </w:t>
      </w:r>
      <w:r w:rsidR="00D05B6D">
        <w:t>experienced</w:t>
      </w:r>
      <w:r w:rsidR="002E2596">
        <w:t xml:space="preserve"> through </w:t>
      </w:r>
      <w:r w:rsidR="00D05B6D">
        <w:t xml:space="preserve">to </w:t>
      </w:r>
      <w:r w:rsidR="002E2596">
        <w:t xml:space="preserve">the </w:t>
      </w:r>
      <w:r w:rsidR="00D05B6D">
        <w:t>start of 2020</w:t>
      </w:r>
      <w:r w:rsidR="00582BEF">
        <w:t xml:space="preserve"> had the </w:t>
      </w:r>
      <w:r w:rsidR="008E339C">
        <w:t>opposite e</w:t>
      </w:r>
      <w:r w:rsidR="00582BEF">
        <w:t xml:space="preserve">ffect, driving consumption </w:t>
      </w:r>
      <w:r w:rsidR="00BB11BC">
        <w:t xml:space="preserve">higher, </w:t>
      </w:r>
      <w:r w:rsidR="00582BEF">
        <w:t xml:space="preserve">especially </w:t>
      </w:r>
      <w:r>
        <w:t>by residential customers</w:t>
      </w:r>
      <w:r w:rsidR="0073555D">
        <w:t>.</w:t>
      </w:r>
    </w:p>
    <w:p w14:paraId="6D046642" w14:textId="7631FCD0" w:rsidR="00A17E4A" w:rsidRDefault="00D24C26" w:rsidP="009E43A4">
      <w:pPr>
        <w:pStyle w:val="BodyText"/>
      </w:pPr>
      <w:r>
        <w:t>The arrival o</w:t>
      </w:r>
      <w:r w:rsidR="00744227">
        <w:t>f</w:t>
      </w:r>
      <w:r>
        <w:t xml:space="preserve"> </w:t>
      </w:r>
      <w:r w:rsidR="00744227">
        <w:t>the</w:t>
      </w:r>
      <w:r w:rsidR="00E331F8">
        <w:t xml:space="preserve"> La</w:t>
      </w:r>
      <w:r w:rsidR="00F655DC">
        <w:t xml:space="preserve"> </w:t>
      </w:r>
      <w:r w:rsidR="00F655DC" w:rsidRPr="00F655DC">
        <w:rPr>
          <w:rFonts w:cs="Arial"/>
          <w:shd w:val="clear" w:color="auto" w:fill="FFFFFF"/>
        </w:rPr>
        <w:t>Niña</w:t>
      </w:r>
      <w:r w:rsidR="00E331F8">
        <w:t xml:space="preserve"> weather pattern in</w:t>
      </w:r>
      <w:r w:rsidR="0038188A">
        <w:t xml:space="preserve"> 2022</w:t>
      </w:r>
      <w:r w:rsidR="009D116D">
        <w:t xml:space="preserve"> brought with it record high levels of rainfal</w:t>
      </w:r>
      <w:r w:rsidR="004830B5">
        <w:t>l across spring and summer</w:t>
      </w:r>
      <w:r w:rsidR="00206E1B">
        <w:t>. Whil</w:t>
      </w:r>
      <w:r w:rsidR="003D3FE2">
        <w:t>e</w:t>
      </w:r>
      <w:r w:rsidR="00206E1B">
        <w:t xml:space="preserve"> this held consumption lower than </w:t>
      </w:r>
      <w:r w:rsidR="00D55F27">
        <w:t>expected</w:t>
      </w:r>
      <w:r w:rsidR="0043039E">
        <w:t>,</w:t>
      </w:r>
      <w:r w:rsidR="00D55F27">
        <w:t xml:space="preserve"> the large amount of rain did fall in </w:t>
      </w:r>
      <w:r w:rsidR="009D02E9">
        <w:t>fewer events</w:t>
      </w:r>
      <w:r w:rsidR="005C687C">
        <w:t>,</w:t>
      </w:r>
      <w:r w:rsidR="009D02E9">
        <w:t xml:space="preserve"> which </w:t>
      </w:r>
      <w:r w:rsidR="00421E29">
        <w:t>does not</w:t>
      </w:r>
      <w:r w:rsidR="00BA50A2">
        <w:t xml:space="preserve"> </w:t>
      </w:r>
      <w:r w:rsidR="005C687C">
        <w:t>curb</w:t>
      </w:r>
      <w:r w:rsidR="009E4F79">
        <w:t xml:space="preserve"> residential </w:t>
      </w:r>
      <w:r w:rsidR="0063451C">
        <w:t xml:space="preserve">consumption </w:t>
      </w:r>
      <w:r w:rsidR="00706550">
        <w:t xml:space="preserve">behaviour as much as it does when it falls at a slower rate over a longer </w:t>
      </w:r>
      <w:r w:rsidR="00421E29">
        <w:t>period</w:t>
      </w:r>
      <w:r w:rsidR="005F69D7">
        <w:t xml:space="preserve">. The econometric model that </w:t>
      </w:r>
      <w:r w:rsidR="00673363">
        <w:t xml:space="preserve">we have continued to evolve over the past </w:t>
      </w:r>
      <w:r w:rsidR="004479A8">
        <w:t>5</w:t>
      </w:r>
      <w:r w:rsidR="00673363">
        <w:t xml:space="preserve"> years</w:t>
      </w:r>
      <w:r w:rsidR="004479A8">
        <w:t>,</w:t>
      </w:r>
      <w:r w:rsidR="00673363">
        <w:t xml:space="preserve"> continues to provide us </w:t>
      </w:r>
      <w:r w:rsidR="00064DAF">
        <w:t>comfort that we</w:t>
      </w:r>
      <w:r w:rsidR="008119E4">
        <w:t xml:space="preserve"> can consider recent weather </w:t>
      </w:r>
      <w:r w:rsidR="006529B7">
        <w:t>conditions and understand the impact it has on household consumption</w:t>
      </w:r>
      <w:r w:rsidR="008F5092">
        <w:t xml:space="preserve"> when forecasting future </w:t>
      </w:r>
      <w:r w:rsidR="00B72BA8">
        <w:t xml:space="preserve">residential </w:t>
      </w:r>
      <w:r w:rsidR="008F5092">
        <w:t>demand.</w:t>
      </w:r>
    </w:p>
    <w:p w14:paraId="6960BB03" w14:textId="2549D261" w:rsidR="009E43A4" w:rsidRDefault="009E43A4" w:rsidP="0043039E">
      <w:pPr>
        <w:pStyle w:val="Heading3"/>
      </w:pPr>
      <w:r>
        <w:t>9.</w:t>
      </w:r>
      <w:r w:rsidR="001020D0">
        <w:t>2</w:t>
      </w:r>
      <w:r>
        <w:t xml:space="preserve">.3 </w:t>
      </w:r>
      <w:r w:rsidR="00304B4D">
        <w:t>The impact of d</w:t>
      </w:r>
      <w:r>
        <w:t>igital meters</w:t>
      </w:r>
    </w:p>
    <w:p w14:paraId="06D79D48" w14:textId="5C61FA4D" w:rsidR="00402D66" w:rsidRDefault="001F4AEF" w:rsidP="00402D66">
      <w:r>
        <w:t>To assess the potential impact of digital meters on demand</w:t>
      </w:r>
      <w:r w:rsidR="00F655DC">
        <w:t>,</w:t>
      </w:r>
      <w:r>
        <w:t xml:space="preserve"> </w:t>
      </w:r>
      <w:r w:rsidR="00402D66" w:rsidRPr="00402D66">
        <w:t xml:space="preserve">South East Water </w:t>
      </w:r>
      <w:r>
        <w:t>has</w:t>
      </w:r>
      <w:r w:rsidR="00402D66" w:rsidRPr="00402D66">
        <w:t xml:space="preserve"> run</w:t>
      </w:r>
      <w:r w:rsidR="00AD1FE3">
        <w:t xml:space="preserve"> </w:t>
      </w:r>
      <w:r w:rsidR="00F01B35">
        <w:br/>
      </w:r>
      <w:r w:rsidR="00AD1FE3">
        <w:t>3</w:t>
      </w:r>
      <w:r w:rsidR="00B914EF" w:rsidRPr="00402D66">
        <w:t xml:space="preserve"> </w:t>
      </w:r>
      <w:r w:rsidR="00402D66" w:rsidRPr="00402D66">
        <w:t>customer behaviour-based trials</w:t>
      </w:r>
      <w:r w:rsidR="000213C3">
        <w:t>.</w:t>
      </w:r>
      <w:r w:rsidR="00A1315F">
        <w:t xml:space="preserve"> </w:t>
      </w:r>
    </w:p>
    <w:p w14:paraId="0C2371E0" w14:textId="77777777" w:rsidR="00A62088" w:rsidRPr="00402D66" w:rsidRDefault="00A62088" w:rsidP="00402D66">
      <w:pPr>
        <w:rPr>
          <w:lang w:val="en-GB"/>
        </w:rPr>
      </w:pPr>
    </w:p>
    <w:p w14:paraId="5F339E1B" w14:textId="77777777" w:rsidR="00BB54E6" w:rsidRDefault="00402D66" w:rsidP="00402D66">
      <w:r w:rsidRPr="00B04B06">
        <w:rPr>
          <w:rStyle w:val="Heading4Char"/>
        </w:rPr>
        <w:t xml:space="preserve">Trial 1 </w:t>
      </w:r>
      <w:r w:rsidR="00310BA4">
        <w:rPr>
          <w:rStyle w:val="Heading4Char"/>
        </w:rPr>
        <w:t>c</w:t>
      </w:r>
      <w:r w:rsidRPr="00B04B06">
        <w:rPr>
          <w:rStyle w:val="Heading4Char"/>
        </w:rPr>
        <w:t>ontinuous flow</w:t>
      </w:r>
      <w:r w:rsidRPr="00402D66">
        <w:t xml:space="preserve"> </w:t>
      </w:r>
    </w:p>
    <w:p w14:paraId="1F40F41B" w14:textId="5DBCFA31" w:rsidR="00402D66" w:rsidRDefault="00BB54E6" w:rsidP="00402D66">
      <w:pPr>
        <w:rPr>
          <w:lang w:val="en-GB"/>
        </w:rPr>
      </w:pPr>
      <w:r>
        <w:t>N</w:t>
      </w:r>
      <w:r w:rsidR="00402D66" w:rsidRPr="00402D66">
        <w:t>otifications were sent to customers whose abnormal digital meter readings might suggest a leak that they would not normally be aware of until they received a large bill at the end of the billing period. The amount of water saved was calculated by the size of the leak and the number of days before the end of the billing period (</w:t>
      </w:r>
      <w:r w:rsidR="00D74BEF">
        <w:t>that is,</w:t>
      </w:r>
      <w:r w:rsidR="00402D66" w:rsidRPr="00402D66">
        <w:t xml:space="preserve"> the number of days the customer would have remained unaware of the leak).</w:t>
      </w:r>
      <w:r w:rsidR="00402D66" w:rsidRPr="00402D66">
        <w:rPr>
          <w:lang w:val="en-GB"/>
        </w:rPr>
        <w:t> </w:t>
      </w:r>
    </w:p>
    <w:p w14:paraId="78B188AB" w14:textId="77777777" w:rsidR="00BB54E6" w:rsidRDefault="00402D66" w:rsidP="00402D66">
      <w:pPr>
        <w:rPr>
          <w:rStyle w:val="Heading4Char"/>
        </w:rPr>
      </w:pPr>
      <w:r w:rsidRPr="00310BA4">
        <w:rPr>
          <w:rStyle w:val="Heading4Char"/>
        </w:rPr>
        <w:t xml:space="preserve">Trial 2 </w:t>
      </w:r>
      <w:r w:rsidR="00310BA4">
        <w:rPr>
          <w:rStyle w:val="Heading4Char"/>
        </w:rPr>
        <w:t>s</w:t>
      </w:r>
      <w:r w:rsidRPr="00310BA4">
        <w:rPr>
          <w:rStyle w:val="Heading4Char"/>
        </w:rPr>
        <w:t>pike in usage</w:t>
      </w:r>
    </w:p>
    <w:p w14:paraId="1E81CAFB" w14:textId="399E183B" w:rsidR="003F7155" w:rsidRPr="000F720E" w:rsidRDefault="00BB54E6" w:rsidP="00402D66">
      <w:r w:rsidRPr="00BB54E6">
        <w:rPr>
          <w:rStyle w:val="Heading4Char"/>
          <w:rFonts w:ascii="Arial" w:hAnsi="Arial" w:cs="Arial"/>
          <w:b w:val="0"/>
          <w:bCs/>
          <w:color w:val="auto"/>
        </w:rPr>
        <w:t>N</w:t>
      </w:r>
      <w:r w:rsidR="00402D66" w:rsidRPr="00BB54E6">
        <w:rPr>
          <w:rFonts w:cs="Arial"/>
        </w:rPr>
        <w:t>o</w:t>
      </w:r>
      <w:r w:rsidR="00402D66" w:rsidRPr="00BB54E6">
        <w:t>t</w:t>
      </w:r>
      <w:r w:rsidR="00402D66" w:rsidRPr="00402D66">
        <w:t>ifications were also sent to customers with abnormal digital meter readings</w:t>
      </w:r>
      <w:r w:rsidR="00F655DC">
        <w:t>;</w:t>
      </w:r>
      <w:r w:rsidR="00402D66" w:rsidRPr="00402D66">
        <w:t xml:space="preserve"> however</w:t>
      </w:r>
      <w:r w:rsidR="00F655DC">
        <w:t>,</w:t>
      </w:r>
      <w:r w:rsidR="00402D66" w:rsidRPr="00402D66">
        <w:t xml:space="preserve"> in these cases the change in water usage was smaller and therefore more likely to be the result of customer behaviour than a leak. A spike in usage was defined as an increase in usage that was greater than 32.5% of their average daily usage from the previous </w:t>
      </w:r>
      <w:r w:rsidR="00B16D88">
        <w:t>3</w:t>
      </w:r>
      <w:r w:rsidR="00402D66" w:rsidRPr="00402D66">
        <w:t xml:space="preserve"> months</w:t>
      </w:r>
      <w:r w:rsidR="00B7303E">
        <w:t xml:space="preserve"> and excluded leaks to ensure that</w:t>
      </w:r>
      <w:r w:rsidR="005631C3">
        <w:t xml:space="preserve"> any change in usage was a result of behaviour.</w:t>
      </w:r>
    </w:p>
    <w:p w14:paraId="7720FC75" w14:textId="77777777" w:rsidR="00BB54E6" w:rsidRDefault="00402D66" w:rsidP="00402D66">
      <w:pPr>
        <w:rPr>
          <w:rStyle w:val="Heading4Char"/>
        </w:rPr>
      </w:pPr>
      <w:r w:rsidRPr="00310BA4">
        <w:rPr>
          <w:rStyle w:val="Heading4Char"/>
        </w:rPr>
        <w:t xml:space="preserve">Trial 3 </w:t>
      </w:r>
      <w:r w:rsidR="00310BA4">
        <w:rPr>
          <w:rStyle w:val="Heading4Char"/>
        </w:rPr>
        <w:t>c</w:t>
      </w:r>
      <w:r w:rsidRPr="00310BA4">
        <w:rPr>
          <w:rStyle w:val="Heading4Char"/>
        </w:rPr>
        <w:t>ustomer rewards</w:t>
      </w:r>
    </w:p>
    <w:p w14:paraId="72271FF4" w14:textId="57789FD5" w:rsidR="00402D66" w:rsidRPr="00402D66" w:rsidRDefault="00402D66" w:rsidP="00402D66">
      <w:pPr>
        <w:rPr>
          <w:lang w:val="en-GB"/>
        </w:rPr>
      </w:pPr>
      <w:r w:rsidRPr="00402D66">
        <w:t>This trial offered customers financial and non-financial incentives to save water. Notifications in the form of reminders and feedback were sent to customers twice weekly. Participants were customers with digital meters who consented to participate in the trial. Water savings were determined by changes in water usage compared to a baseline taken from the average daily water usage from the previous 28 days.</w:t>
      </w:r>
      <w:r w:rsidRPr="00402D66">
        <w:rPr>
          <w:lang w:val="en-GB"/>
        </w:rPr>
        <w:t> </w:t>
      </w:r>
    </w:p>
    <w:p w14:paraId="5D12ADAC" w14:textId="7A0BC691" w:rsidR="00402D66" w:rsidRDefault="00402D66" w:rsidP="00402D66">
      <w:r w:rsidRPr="00402D66">
        <w:rPr>
          <w:lang w:val="en-GB"/>
        </w:rPr>
        <w:t>Behaviou</w:t>
      </w:r>
      <w:r w:rsidR="00AF24D9">
        <w:rPr>
          <w:lang w:val="en-GB"/>
        </w:rPr>
        <w:t>r</w:t>
      </w:r>
      <w:r w:rsidRPr="00402D66">
        <w:rPr>
          <w:lang w:val="en-GB"/>
        </w:rPr>
        <w:t xml:space="preserve">Works Australia (Monash University) has reviewed the experimental design </w:t>
      </w:r>
      <w:r w:rsidR="00697A02" w:rsidRPr="00402D66">
        <w:rPr>
          <w:lang w:val="en-GB"/>
        </w:rPr>
        <w:t xml:space="preserve">of all </w:t>
      </w:r>
      <w:r w:rsidR="00070AE9">
        <w:rPr>
          <w:lang w:val="en-GB"/>
        </w:rPr>
        <w:t xml:space="preserve">3 </w:t>
      </w:r>
      <w:r w:rsidR="00697A02" w:rsidRPr="00402D66">
        <w:rPr>
          <w:lang w:val="en-GB"/>
        </w:rPr>
        <w:t xml:space="preserve">trials </w:t>
      </w:r>
      <w:r w:rsidRPr="00402D66">
        <w:rPr>
          <w:lang w:val="en-GB"/>
        </w:rPr>
        <w:t xml:space="preserve">and produced a meta-analysis of the water saving results </w:t>
      </w:r>
      <w:r w:rsidR="00697A02">
        <w:rPr>
          <w:lang w:val="en-GB"/>
        </w:rPr>
        <w:t xml:space="preserve">from the </w:t>
      </w:r>
      <w:r w:rsidR="009458F9">
        <w:rPr>
          <w:lang w:val="en-GB"/>
        </w:rPr>
        <w:t>s</w:t>
      </w:r>
      <w:r w:rsidR="00697A02">
        <w:rPr>
          <w:lang w:val="en-GB"/>
        </w:rPr>
        <w:t xml:space="preserve">pike in usage and </w:t>
      </w:r>
      <w:r w:rsidR="009458F9">
        <w:rPr>
          <w:lang w:val="en-GB"/>
        </w:rPr>
        <w:t>c</w:t>
      </w:r>
      <w:r w:rsidR="00697A02">
        <w:rPr>
          <w:lang w:val="en-GB"/>
        </w:rPr>
        <w:t>ustomer rewards trial</w:t>
      </w:r>
      <w:r w:rsidRPr="00402D66">
        <w:rPr>
          <w:lang w:val="en-GB"/>
        </w:rPr>
        <w:t>. They have assured that the results are based on methods that are consistent with high</w:t>
      </w:r>
      <w:r w:rsidR="00F655DC">
        <w:rPr>
          <w:lang w:val="en-GB"/>
        </w:rPr>
        <w:t>-</w:t>
      </w:r>
      <w:r w:rsidRPr="00402D66">
        <w:rPr>
          <w:lang w:val="en-GB"/>
        </w:rPr>
        <w:t xml:space="preserve">quality research that has avoided risks of biases in recruitment and measurement. </w:t>
      </w:r>
      <w:r w:rsidRPr="00402D66">
        <w:t xml:space="preserve">The </w:t>
      </w:r>
      <w:r w:rsidR="009458F9">
        <w:t>s</w:t>
      </w:r>
      <w:r w:rsidRPr="00402D66">
        <w:t>pike in usage trial was run by BehaviourWorks Australia. The customer rewards trial was run by the University of Melbourne. The trials</w:t>
      </w:r>
      <w:r w:rsidR="00612583">
        <w:t>’</w:t>
      </w:r>
      <w:r w:rsidRPr="00402D66">
        <w:t xml:space="preserve"> outputs have further undergone econometric analysis </w:t>
      </w:r>
      <w:r w:rsidR="008E021F">
        <w:t>undertaken</w:t>
      </w:r>
      <w:r w:rsidRPr="00402D66">
        <w:t xml:space="preserve"> by other academics</w:t>
      </w:r>
      <w:r w:rsidR="008B6F8C">
        <w:t>.</w:t>
      </w:r>
      <w:r w:rsidR="00AF182D" w:rsidRPr="00AC25F9">
        <w:rPr>
          <w:rStyle w:val="FootnoteReference"/>
          <w:color w:val="auto"/>
        </w:rPr>
        <w:footnoteReference w:id="16"/>
      </w:r>
    </w:p>
    <w:p w14:paraId="3A56F7E4" w14:textId="52F4B35B" w:rsidR="009416FD" w:rsidRPr="00402D66" w:rsidRDefault="009416FD" w:rsidP="00402D66">
      <w:r w:rsidRPr="009416FD">
        <w:lastRenderedPageBreak/>
        <w:t>S</w:t>
      </w:r>
      <w:r w:rsidR="009458F9">
        <w:t>outh East Water</w:t>
      </w:r>
      <w:r w:rsidRPr="009416FD">
        <w:t xml:space="preserve"> has also run a trial to test non-revenue water savings realised from vibration sensors in the digital meter. This analysis was undertaken by Jacobs.</w:t>
      </w:r>
    </w:p>
    <w:p w14:paraId="2CB4148E" w14:textId="06174AAF" w:rsidR="006F25D2" w:rsidRDefault="00402D66" w:rsidP="00402D66">
      <w:r>
        <w:t xml:space="preserve">The </w:t>
      </w:r>
      <w:r w:rsidR="00C058DA">
        <w:t xml:space="preserve">total </w:t>
      </w:r>
      <w:r w:rsidR="00AE706E">
        <w:t>savings</w:t>
      </w:r>
      <w:r w:rsidR="0098023A">
        <w:t xml:space="preserve"> suggested by the trials when digital meters have been rolled out across the whole service region</w:t>
      </w:r>
      <w:r w:rsidR="00910D07">
        <w:t xml:space="preserve"> in 20</w:t>
      </w:r>
      <w:r w:rsidR="00CD6F99">
        <w:t>2</w:t>
      </w:r>
      <w:r w:rsidR="00ED2D27">
        <w:t>9</w:t>
      </w:r>
      <w:r w:rsidR="004C32D1">
        <w:t>–</w:t>
      </w:r>
      <w:r w:rsidR="00ED2D27">
        <w:t>30</w:t>
      </w:r>
      <w:r w:rsidR="00AE706E">
        <w:t xml:space="preserve"> are summarised in </w:t>
      </w:r>
      <w:r w:rsidR="009253E5">
        <w:t>Table 44</w:t>
      </w:r>
      <w:r w:rsidR="008B6F8C">
        <w:t>.</w:t>
      </w:r>
    </w:p>
    <w:p w14:paraId="099035C7" w14:textId="77777777" w:rsidR="005B16CC" w:rsidRDefault="005B16CC" w:rsidP="00402D66"/>
    <w:p w14:paraId="26FC8B27" w14:textId="446B8CD1" w:rsidR="00955C61" w:rsidRPr="00304A0D" w:rsidRDefault="00304A0D" w:rsidP="00304A0D">
      <w:pPr>
        <w:pStyle w:val="NormalIndent"/>
        <w:ind w:left="0"/>
        <w:rPr>
          <w:rFonts w:cs="Arial"/>
          <w:b/>
          <w:i/>
        </w:rPr>
      </w:pPr>
      <w:r w:rsidRPr="00CE6C4E">
        <w:rPr>
          <w:b/>
          <w:i/>
        </w:rPr>
        <w:t xml:space="preserve">Table </w:t>
      </w:r>
      <w:r w:rsidR="009A35C7" w:rsidRPr="00CE6C4E">
        <w:rPr>
          <w:b/>
          <w:bCs/>
          <w:i/>
          <w:iCs/>
        </w:rPr>
        <w:fldChar w:fldCharType="begin"/>
      </w:r>
      <w:r w:rsidR="009A35C7" w:rsidRPr="00CE6C4E">
        <w:rPr>
          <w:b/>
          <w:bCs/>
          <w:i/>
          <w:iCs/>
        </w:rPr>
        <w:instrText>SEQ Table \* ARABIC</w:instrText>
      </w:r>
      <w:r w:rsidR="009A35C7" w:rsidRPr="00CE6C4E">
        <w:rPr>
          <w:b/>
          <w:bCs/>
          <w:i/>
          <w:iCs/>
        </w:rPr>
        <w:fldChar w:fldCharType="separate"/>
      </w:r>
      <w:r w:rsidR="009A35C7">
        <w:rPr>
          <w:b/>
          <w:bCs/>
          <w:i/>
          <w:iCs/>
          <w:noProof/>
        </w:rPr>
        <w:t>44</w:t>
      </w:r>
      <w:r w:rsidR="009A35C7" w:rsidRPr="00CE6C4E">
        <w:rPr>
          <w:b/>
          <w:bCs/>
          <w:i/>
          <w:iCs/>
        </w:rPr>
        <w:fldChar w:fldCharType="end"/>
      </w:r>
      <w:r w:rsidRPr="007B339F">
        <w:rPr>
          <w:rFonts w:ascii="Arial" w:hAnsi="Arial" w:cs="Arial"/>
          <w:b/>
          <w:i/>
        </w:rPr>
        <w:t>:</w:t>
      </w:r>
      <w:r w:rsidR="00837531">
        <w:rPr>
          <w:rFonts w:ascii="Arial" w:hAnsi="Arial" w:cs="Arial"/>
          <w:b/>
          <w:i/>
        </w:rPr>
        <w:t xml:space="preserve"> Summary of</w:t>
      </w:r>
      <w:r>
        <w:rPr>
          <w:rFonts w:ascii="Arial" w:hAnsi="Arial" w:cs="Arial"/>
          <w:b/>
          <w:i/>
        </w:rPr>
        <w:t xml:space="preserve"> </w:t>
      </w:r>
      <w:r w:rsidR="00837531">
        <w:rPr>
          <w:rFonts w:cs="Arial"/>
          <w:b/>
          <w:i/>
        </w:rPr>
        <w:t xml:space="preserve">behaviour-based trials </w:t>
      </w:r>
    </w:p>
    <w:tbl>
      <w:tblPr>
        <w:tblStyle w:val="MJTableStyle1default"/>
        <w:tblW w:w="4997" w:type="pct"/>
        <w:tblInd w:w="5" w:type="dxa"/>
        <w:tblLayout w:type="fixed"/>
        <w:tblLook w:val="04A0" w:firstRow="1" w:lastRow="0" w:firstColumn="1" w:lastColumn="0" w:noHBand="0" w:noVBand="1"/>
      </w:tblPr>
      <w:tblGrid>
        <w:gridCol w:w="3536"/>
        <w:gridCol w:w="1411"/>
        <w:gridCol w:w="1511"/>
        <w:gridCol w:w="1511"/>
        <w:gridCol w:w="1513"/>
      </w:tblGrid>
      <w:tr w:rsidR="00F0764D" w:rsidRPr="00F0764D" w14:paraId="4EF0F38F" w14:textId="77777777" w:rsidTr="003F1732">
        <w:trPr>
          <w:cnfStyle w:val="100000000000" w:firstRow="1" w:lastRow="0" w:firstColumn="0" w:lastColumn="0" w:oddVBand="0" w:evenVBand="0" w:oddHBand="0" w:evenHBand="0" w:firstRowFirstColumn="0" w:firstRowLastColumn="0" w:lastRowFirstColumn="0" w:lastRowLastColumn="0"/>
          <w:trHeight w:val="592"/>
        </w:trPr>
        <w:tc>
          <w:tcPr>
            <w:tcW w:w="1864" w:type="pct"/>
            <w:tcBorders>
              <w:top w:val="single" w:sz="4" w:space="0" w:color="002279"/>
              <w:left w:val="single" w:sz="4" w:space="0" w:color="002279"/>
              <w:bottom w:val="single" w:sz="2" w:space="0" w:color="002279"/>
              <w:right w:val="single" w:sz="4" w:space="0" w:color="FFFFFF" w:themeColor="background1"/>
            </w:tcBorders>
            <w:shd w:val="clear" w:color="auto" w:fill="002279"/>
            <w:noWrap/>
            <w:vAlign w:val="center"/>
            <w:hideMark/>
          </w:tcPr>
          <w:p w14:paraId="083D329B" w14:textId="50E4D15C" w:rsidR="00C94E9C" w:rsidRPr="00F0764D" w:rsidRDefault="00C94E9C" w:rsidP="00DC7C5F">
            <w:pPr>
              <w:rPr>
                <w:rFonts w:asciiTheme="minorHAnsi" w:hAnsiTheme="minorHAnsi" w:cstheme="minorHAnsi"/>
                <w:b/>
                <w:bCs/>
              </w:rPr>
            </w:pPr>
            <w:r w:rsidRPr="00F0764D">
              <w:rPr>
                <w:rFonts w:asciiTheme="minorHAnsi" w:hAnsiTheme="minorHAnsi" w:cstheme="minorHAnsi"/>
                <w:b/>
                <w:bCs/>
              </w:rPr>
              <w:t xml:space="preserve">% of </w:t>
            </w:r>
            <w:r w:rsidR="00BD4A2F" w:rsidRPr="00F0764D">
              <w:rPr>
                <w:rFonts w:asciiTheme="minorHAnsi" w:hAnsiTheme="minorHAnsi" w:cstheme="minorHAnsi"/>
                <w:b/>
                <w:bCs/>
              </w:rPr>
              <w:t xml:space="preserve">total </w:t>
            </w:r>
            <w:r w:rsidRPr="00F0764D">
              <w:rPr>
                <w:rFonts w:asciiTheme="minorHAnsi" w:hAnsiTheme="minorHAnsi" w:cstheme="minorHAnsi"/>
                <w:b/>
                <w:bCs/>
              </w:rPr>
              <w:t>bulk water</w:t>
            </w:r>
          </w:p>
        </w:tc>
        <w:tc>
          <w:tcPr>
            <w:tcW w:w="744" w:type="pct"/>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noWrap/>
            <w:vAlign w:val="center"/>
            <w:hideMark/>
          </w:tcPr>
          <w:p w14:paraId="2ECB0CFF" w14:textId="77777777" w:rsidR="00C94E9C" w:rsidRPr="00F0764D" w:rsidRDefault="00C94E9C" w:rsidP="00F0764D">
            <w:pPr>
              <w:jc w:val="center"/>
              <w:rPr>
                <w:rFonts w:asciiTheme="minorHAnsi" w:hAnsiTheme="minorHAnsi" w:cstheme="minorHAnsi"/>
                <w:b/>
                <w:bCs/>
              </w:rPr>
            </w:pPr>
            <w:r w:rsidRPr="00F0764D">
              <w:rPr>
                <w:rFonts w:asciiTheme="minorHAnsi" w:hAnsiTheme="minorHAnsi" w:cstheme="minorHAnsi"/>
                <w:b/>
                <w:bCs/>
              </w:rPr>
              <w:t>Continuous flow</w:t>
            </w:r>
          </w:p>
        </w:tc>
        <w:tc>
          <w:tcPr>
            <w:tcW w:w="797" w:type="pct"/>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noWrap/>
            <w:vAlign w:val="center"/>
            <w:hideMark/>
          </w:tcPr>
          <w:p w14:paraId="3EBE5E51" w14:textId="77777777" w:rsidR="00C94E9C" w:rsidRPr="00F0764D" w:rsidRDefault="00C94E9C" w:rsidP="00F0764D">
            <w:pPr>
              <w:jc w:val="center"/>
              <w:rPr>
                <w:rFonts w:asciiTheme="minorHAnsi" w:hAnsiTheme="minorHAnsi" w:cstheme="minorHAnsi"/>
                <w:b/>
                <w:bCs/>
              </w:rPr>
            </w:pPr>
            <w:r w:rsidRPr="00F0764D">
              <w:rPr>
                <w:rFonts w:asciiTheme="minorHAnsi" w:hAnsiTheme="minorHAnsi" w:cstheme="minorHAnsi"/>
                <w:b/>
                <w:bCs/>
              </w:rPr>
              <w:t>Spike in usage</w:t>
            </w:r>
          </w:p>
        </w:tc>
        <w:tc>
          <w:tcPr>
            <w:tcW w:w="797" w:type="pct"/>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noWrap/>
            <w:vAlign w:val="center"/>
            <w:hideMark/>
          </w:tcPr>
          <w:p w14:paraId="28350E70" w14:textId="1FEA2963" w:rsidR="00C94E9C" w:rsidRPr="00F0764D" w:rsidRDefault="00C94E9C" w:rsidP="00F0764D">
            <w:pPr>
              <w:jc w:val="center"/>
              <w:rPr>
                <w:rFonts w:asciiTheme="minorHAnsi" w:hAnsiTheme="minorHAnsi" w:cstheme="minorHAnsi"/>
                <w:b/>
                <w:bCs/>
              </w:rPr>
            </w:pPr>
            <w:r w:rsidRPr="00F0764D">
              <w:rPr>
                <w:rFonts w:asciiTheme="minorHAnsi" w:hAnsiTheme="minorHAnsi" w:cstheme="minorHAnsi"/>
                <w:b/>
                <w:bCs/>
              </w:rPr>
              <w:t>Customer rewards</w:t>
            </w:r>
            <w:r w:rsidR="003E2553" w:rsidRPr="00F0764D">
              <w:rPr>
                <w:rStyle w:val="FootnoteReference"/>
                <w:rFonts w:cstheme="minorHAnsi"/>
                <w:bCs/>
              </w:rPr>
              <w:footnoteReference w:id="17"/>
            </w:r>
          </w:p>
        </w:tc>
        <w:tc>
          <w:tcPr>
            <w:tcW w:w="798" w:type="pct"/>
            <w:tcBorders>
              <w:top w:val="single" w:sz="4" w:space="0" w:color="002279"/>
              <w:left w:val="single" w:sz="4" w:space="0" w:color="FFFFFF" w:themeColor="background1"/>
              <w:bottom w:val="single" w:sz="2" w:space="0" w:color="002279"/>
              <w:right w:val="single" w:sz="4" w:space="0" w:color="002279"/>
            </w:tcBorders>
            <w:shd w:val="clear" w:color="auto" w:fill="002279"/>
            <w:noWrap/>
            <w:vAlign w:val="center"/>
            <w:hideMark/>
          </w:tcPr>
          <w:p w14:paraId="05DB73AA" w14:textId="77777777" w:rsidR="00C94E9C" w:rsidRPr="00F0764D" w:rsidRDefault="00C94E9C" w:rsidP="00F0764D">
            <w:pPr>
              <w:jc w:val="center"/>
              <w:rPr>
                <w:rFonts w:asciiTheme="minorHAnsi" w:hAnsiTheme="minorHAnsi" w:cstheme="minorHAnsi"/>
                <w:b/>
                <w:bCs/>
              </w:rPr>
            </w:pPr>
            <w:r w:rsidRPr="00F0764D">
              <w:rPr>
                <w:rFonts w:asciiTheme="minorHAnsi" w:hAnsiTheme="minorHAnsi" w:cstheme="minorHAnsi"/>
                <w:b/>
                <w:bCs/>
              </w:rPr>
              <w:t>Non-revenue water</w:t>
            </w:r>
          </w:p>
        </w:tc>
      </w:tr>
      <w:tr w:rsidR="00F0764D" w:rsidRPr="00F0764D" w14:paraId="4585A605" w14:textId="77777777" w:rsidTr="00D92D75">
        <w:trPr>
          <w:cnfStyle w:val="000000100000" w:firstRow="0" w:lastRow="0" w:firstColumn="0" w:lastColumn="0" w:oddVBand="0" w:evenVBand="0" w:oddHBand="1" w:evenHBand="0" w:firstRowFirstColumn="0" w:firstRowLastColumn="0" w:lastRowFirstColumn="0" w:lastRowLastColumn="0"/>
          <w:trHeight w:val="474"/>
        </w:trPr>
        <w:tc>
          <w:tcPr>
            <w:tcW w:w="1864" w:type="pct"/>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0CBC94A3" w14:textId="0E87D6C8" w:rsidR="00C94E9C" w:rsidRPr="00F0764D" w:rsidRDefault="00C94E9C" w:rsidP="00DC7C5F">
            <w:pPr>
              <w:rPr>
                <w:rFonts w:cstheme="minorHAnsi"/>
                <w:b/>
                <w:bCs/>
              </w:rPr>
            </w:pPr>
            <w:r w:rsidRPr="00F0764D">
              <w:rPr>
                <w:rFonts w:cstheme="minorHAnsi"/>
                <w:b/>
                <w:bCs/>
              </w:rPr>
              <w:t>Internal S</w:t>
            </w:r>
            <w:r w:rsidR="009458F9" w:rsidRPr="00F0764D">
              <w:rPr>
                <w:rFonts w:cstheme="minorHAnsi"/>
                <w:b/>
                <w:bCs/>
              </w:rPr>
              <w:t xml:space="preserve">outh East Water </w:t>
            </w:r>
            <w:r w:rsidR="00912254" w:rsidRPr="00F0764D">
              <w:rPr>
                <w:rFonts w:cstheme="minorHAnsi"/>
                <w:b/>
                <w:bCs/>
              </w:rPr>
              <w:t>analysis</w:t>
            </w:r>
            <w:r w:rsidR="00BD4A2F" w:rsidRPr="00F0764D">
              <w:rPr>
                <w:rFonts w:cstheme="minorHAnsi"/>
                <w:b/>
                <w:bCs/>
              </w:rPr>
              <w:t xml:space="preserve"> </w:t>
            </w:r>
          </w:p>
        </w:tc>
        <w:tc>
          <w:tcPr>
            <w:tcW w:w="744" w:type="pct"/>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399EE2F8" w14:textId="77777777" w:rsidR="00C94E9C" w:rsidRPr="00F0764D" w:rsidRDefault="00C94E9C" w:rsidP="00F0764D">
            <w:pPr>
              <w:jc w:val="center"/>
              <w:rPr>
                <w:rFonts w:cstheme="minorHAnsi"/>
              </w:rPr>
            </w:pPr>
            <w:r w:rsidRPr="00F0764D">
              <w:rPr>
                <w:rFonts w:cstheme="minorHAnsi"/>
              </w:rPr>
              <w:t>3.10%</w:t>
            </w:r>
          </w:p>
        </w:tc>
        <w:tc>
          <w:tcPr>
            <w:tcW w:w="797" w:type="pct"/>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1F760EF3" w14:textId="77777777" w:rsidR="00C94E9C" w:rsidRPr="00F0764D" w:rsidRDefault="00C94E9C" w:rsidP="00F0764D">
            <w:pPr>
              <w:jc w:val="center"/>
              <w:rPr>
                <w:rFonts w:cstheme="minorHAnsi"/>
              </w:rPr>
            </w:pPr>
            <w:r w:rsidRPr="00F0764D">
              <w:rPr>
                <w:rFonts w:cstheme="minorHAnsi"/>
              </w:rPr>
              <w:t>0.50%</w:t>
            </w:r>
          </w:p>
        </w:tc>
        <w:tc>
          <w:tcPr>
            <w:tcW w:w="797" w:type="pct"/>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0F28455D" w14:textId="77777777" w:rsidR="00C94E9C" w:rsidRPr="00F0764D" w:rsidRDefault="00C94E9C" w:rsidP="00F0764D">
            <w:pPr>
              <w:jc w:val="center"/>
              <w:rPr>
                <w:rFonts w:cstheme="minorHAnsi"/>
              </w:rPr>
            </w:pPr>
          </w:p>
        </w:tc>
        <w:tc>
          <w:tcPr>
            <w:tcW w:w="798" w:type="pct"/>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073CE0B8" w14:textId="77777777" w:rsidR="00C94E9C" w:rsidRPr="00F0764D" w:rsidRDefault="00C94E9C" w:rsidP="00F0764D">
            <w:pPr>
              <w:jc w:val="center"/>
              <w:rPr>
                <w:rFonts w:cstheme="minorHAnsi"/>
              </w:rPr>
            </w:pPr>
          </w:p>
        </w:tc>
      </w:tr>
      <w:tr w:rsidR="00F0764D" w:rsidRPr="00F0764D" w14:paraId="5941D654" w14:textId="77777777" w:rsidTr="003F1732">
        <w:trPr>
          <w:cnfStyle w:val="000000010000" w:firstRow="0" w:lastRow="0" w:firstColumn="0" w:lastColumn="0" w:oddVBand="0" w:evenVBand="0" w:oddHBand="0" w:evenHBand="1" w:firstRowFirstColumn="0" w:firstRowLastColumn="0" w:lastRowFirstColumn="0" w:lastRowLastColumn="0"/>
          <w:trHeight w:val="273"/>
        </w:trPr>
        <w:tc>
          <w:tcPr>
            <w:tcW w:w="1864"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333EE9FB" w14:textId="77777777" w:rsidR="00C94E9C" w:rsidRPr="00F0764D" w:rsidRDefault="00C94E9C" w:rsidP="00DC7C5F">
            <w:pPr>
              <w:rPr>
                <w:rFonts w:cstheme="minorHAnsi"/>
                <w:b/>
                <w:bCs/>
              </w:rPr>
            </w:pPr>
            <w:r w:rsidRPr="00F0764D">
              <w:rPr>
                <w:rFonts w:cstheme="minorHAnsi"/>
                <w:b/>
                <w:bCs/>
              </w:rPr>
              <w:t>BehaviourWorks Australia (Monash University)</w:t>
            </w:r>
          </w:p>
        </w:tc>
        <w:tc>
          <w:tcPr>
            <w:tcW w:w="744"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tcPr>
          <w:p w14:paraId="0FA305B2" w14:textId="69F5B6E3" w:rsidR="00C94E9C" w:rsidRPr="00F0764D" w:rsidRDefault="00C94E9C" w:rsidP="00F0764D">
            <w:pPr>
              <w:jc w:val="center"/>
              <w:rPr>
                <w:rFonts w:cstheme="minorHAnsi"/>
              </w:rPr>
            </w:pPr>
          </w:p>
        </w:tc>
        <w:tc>
          <w:tcPr>
            <w:tcW w:w="797"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7C1E4A63" w14:textId="77777777" w:rsidR="00C94E9C" w:rsidRPr="00F0764D" w:rsidRDefault="00C94E9C" w:rsidP="00F0764D">
            <w:pPr>
              <w:jc w:val="center"/>
              <w:rPr>
                <w:rFonts w:cstheme="minorHAnsi"/>
              </w:rPr>
            </w:pPr>
            <w:r w:rsidRPr="00F0764D">
              <w:rPr>
                <w:rFonts w:cstheme="minorHAnsi"/>
              </w:rPr>
              <w:t>0.59%</w:t>
            </w:r>
          </w:p>
        </w:tc>
        <w:tc>
          <w:tcPr>
            <w:tcW w:w="797"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3118B82B" w14:textId="77777777" w:rsidR="00C94E9C" w:rsidRPr="00F0764D" w:rsidRDefault="00C94E9C" w:rsidP="00F0764D">
            <w:pPr>
              <w:jc w:val="center"/>
              <w:rPr>
                <w:rFonts w:cstheme="minorHAnsi"/>
              </w:rPr>
            </w:pPr>
            <w:r w:rsidRPr="00F0764D">
              <w:rPr>
                <w:rFonts w:cstheme="minorHAnsi"/>
              </w:rPr>
              <w:t>0.57%</w:t>
            </w:r>
          </w:p>
        </w:tc>
        <w:tc>
          <w:tcPr>
            <w:tcW w:w="798"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614CC581" w14:textId="77777777" w:rsidR="00C94E9C" w:rsidRPr="00F0764D" w:rsidRDefault="00C94E9C" w:rsidP="00F0764D">
            <w:pPr>
              <w:jc w:val="center"/>
              <w:rPr>
                <w:rFonts w:cstheme="minorHAnsi"/>
              </w:rPr>
            </w:pPr>
          </w:p>
        </w:tc>
      </w:tr>
      <w:tr w:rsidR="00F0764D" w:rsidRPr="00F0764D" w14:paraId="30FB71F3" w14:textId="77777777" w:rsidTr="00D92D75">
        <w:trPr>
          <w:cnfStyle w:val="000000100000" w:firstRow="0" w:lastRow="0" w:firstColumn="0" w:lastColumn="0" w:oddVBand="0" w:evenVBand="0" w:oddHBand="1" w:evenHBand="0" w:firstRowFirstColumn="0" w:firstRowLastColumn="0" w:lastRowFirstColumn="0" w:lastRowLastColumn="0"/>
          <w:trHeight w:val="404"/>
        </w:trPr>
        <w:tc>
          <w:tcPr>
            <w:tcW w:w="1864" w:type="pct"/>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4DC84701" w14:textId="77777777" w:rsidR="00C94E9C" w:rsidRPr="00F0764D" w:rsidRDefault="00C94E9C" w:rsidP="00DC7C5F">
            <w:pPr>
              <w:rPr>
                <w:rFonts w:cstheme="minorHAnsi"/>
                <w:b/>
                <w:bCs/>
              </w:rPr>
            </w:pPr>
            <w:r w:rsidRPr="00F0764D">
              <w:rPr>
                <w:rFonts w:cstheme="minorHAnsi"/>
                <w:b/>
                <w:bCs/>
              </w:rPr>
              <w:t>Econometric</w:t>
            </w:r>
          </w:p>
        </w:tc>
        <w:tc>
          <w:tcPr>
            <w:tcW w:w="744" w:type="pct"/>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1758E02F" w14:textId="77777777" w:rsidR="00C94E9C" w:rsidRPr="00F0764D" w:rsidRDefault="00C94E9C" w:rsidP="00F0764D">
            <w:pPr>
              <w:jc w:val="center"/>
              <w:rPr>
                <w:rFonts w:cstheme="minorHAnsi"/>
              </w:rPr>
            </w:pPr>
            <w:r w:rsidRPr="00F0764D">
              <w:rPr>
                <w:rFonts w:cstheme="minorHAnsi"/>
              </w:rPr>
              <w:t>3.63%</w:t>
            </w:r>
          </w:p>
        </w:tc>
        <w:tc>
          <w:tcPr>
            <w:tcW w:w="797" w:type="pct"/>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479D375A" w14:textId="77777777" w:rsidR="00C94E9C" w:rsidRPr="00F0764D" w:rsidRDefault="00C94E9C" w:rsidP="00F0764D">
            <w:pPr>
              <w:jc w:val="center"/>
              <w:rPr>
                <w:rFonts w:cstheme="minorHAnsi"/>
              </w:rPr>
            </w:pPr>
            <w:r w:rsidRPr="00F0764D">
              <w:rPr>
                <w:rFonts w:cstheme="minorHAnsi"/>
              </w:rPr>
              <w:t>0.49%</w:t>
            </w:r>
          </w:p>
        </w:tc>
        <w:tc>
          <w:tcPr>
            <w:tcW w:w="797" w:type="pct"/>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75614E16" w14:textId="77777777" w:rsidR="00C94E9C" w:rsidRPr="00F0764D" w:rsidRDefault="00C94E9C" w:rsidP="00F0764D">
            <w:pPr>
              <w:jc w:val="center"/>
              <w:rPr>
                <w:rFonts w:cstheme="minorHAnsi"/>
              </w:rPr>
            </w:pPr>
            <w:r w:rsidRPr="00F0764D">
              <w:rPr>
                <w:rFonts w:cstheme="minorHAnsi"/>
              </w:rPr>
              <w:t>0.55%</w:t>
            </w:r>
          </w:p>
        </w:tc>
        <w:tc>
          <w:tcPr>
            <w:tcW w:w="798" w:type="pct"/>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09FFAF79" w14:textId="77777777" w:rsidR="00C94E9C" w:rsidRPr="00F0764D" w:rsidRDefault="00C94E9C" w:rsidP="00F0764D">
            <w:pPr>
              <w:jc w:val="center"/>
              <w:rPr>
                <w:rFonts w:cstheme="minorHAnsi"/>
              </w:rPr>
            </w:pPr>
          </w:p>
        </w:tc>
      </w:tr>
      <w:tr w:rsidR="00F0764D" w:rsidRPr="00F0764D" w14:paraId="2F10C8BF" w14:textId="77777777" w:rsidTr="00D92D75">
        <w:trPr>
          <w:cnfStyle w:val="000000010000" w:firstRow="0" w:lastRow="0" w:firstColumn="0" w:lastColumn="0" w:oddVBand="0" w:evenVBand="0" w:oddHBand="0" w:evenHBand="1" w:firstRowFirstColumn="0" w:firstRowLastColumn="0" w:lastRowFirstColumn="0" w:lastRowLastColumn="0"/>
          <w:trHeight w:val="423"/>
        </w:trPr>
        <w:tc>
          <w:tcPr>
            <w:tcW w:w="1864"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394F4B93" w14:textId="77777777" w:rsidR="00C94E9C" w:rsidRPr="00F0764D" w:rsidRDefault="00C94E9C" w:rsidP="00DC7C5F">
            <w:pPr>
              <w:rPr>
                <w:rFonts w:cstheme="minorHAnsi"/>
                <w:b/>
                <w:bCs/>
              </w:rPr>
            </w:pPr>
            <w:r w:rsidRPr="00F0764D">
              <w:rPr>
                <w:rFonts w:cstheme="minorHAnsi"/>
                <w:b/>
                <w:bCs/>
              </w:rPr>
              <w:t>University of Melbourne</w:t>
            </w:r>
          </w:p>
        </w:tc>
        <w:tc>
          <w:tcPr>
            <w:tcW w:w="744"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32130724" w14:textId="77777777" w:rsidR="00C94E9C" w:rsidRPr="00F0764D" w:rsidRDefault="00C94E9C" w:rsidP="00F0764D">
            <w:pPr>
              <w:jc w:val="center"/>
              <w:rPr>
                <w:rFonts w:cstheme="minorHAnsi"/>
              </w:rPr>
            </w:pPr>
          </w:p>
        </w:tc>
        <w:tc>
          <w:tcPr>
            <w:tcW w:w="797"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1F05C786" w14:textId="77777777" w:rsidR="00C94E9C" w:rsidRPr="00F0764D" w:rsidRDefault="00C94E9C" w:rsidP="00F0764D">
            <w:pPr>
              <w:jc w:val="center"/>
              <w:rPr>
                <w:rFonts w:cstheme="minorHAnsi"/>
              </w:rPr>
            </w:pPr>
          </w:p>
        </w:tc>
        <w:tc>
          <w:tcPr>
            <w:tcW w:w="797"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3BC4122F" w14:textId="77777777" w:rsidR="00C94E9C" w:rsidRPr="00F0764D" w:rsidRDefault="00C94E9C" w:rsidP="00F0764D">
            <w:pPr>
              <w:jc w:val="center"/>
              <w:rPr>
                <w:rFonts w:cstheme="minorHAnsi"/>
              </w:rPr>
            </w:pPr>
            <w:r w:rsidRPr="00F0764D">
              <w:rPr>
                <w:rFonts w:cstheme="minorHAnsi"/>
              </w:rPr>
              <w:t>0.09%</w:t>
            </w:r>
          </w:p>
        </w:tc>
        <w:tc>
          <w:tcPr>
            <w:tcW w:w="798"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7E30BEB3" w14:textId="77777777" w:rsidR="00C94E9C" w:rsidRPr="00F0764D" w:rsidRDefault="00C94E9C" w:rsidP="00F0764D">
            <w:pPr>
              <w:jc w:val="center"/>
              <w:rPr>
                <w:rFonts w:cstheme="minorHAnsi"/>
              </w:rPr>
            </w:pPr>
          </w:p>
        </w:tc>
      </w:tr>
      <w:tr w:rsidR="00F0764D" w:rsidRPr="00F0764D" w14:paraId="737A392F" w14:textId="77777777" w:rsidTr="00D92D75">
        <w:trPr>
          <w:cnfStyle w:val="000000100000" w:firstRow="0" w:lastRow="0" w:firstColumn="0" w:lastColumn="0" w:oddVBand="0" w:evenVBand="0" w:oddHBand="1" w:evenHBand="0" w:firstRowFirstColumn="0" w:firstRowLastColumn="0" w:lastRowFirstColumn="0" w:lastRowLastColumn="0"/>
          <w:trHeight w:val="429"/>
        </w:trPr>
        <w:tc>
          <w:tcPr>
            <w:tcW w:w="1864" w:type="pct"/>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31F21AA2" w14:textId="77777777" w:rsidR="00C94E9C" w:rsidRPr="00F0764D" w:rsidRDefault="00C94E9C" w:rsidP="00DC7C5F">
            <w:pPr>
              <w:rPr>
                <w:rFonts w:cstheme="minorHAnsi"/>
                <w:b/>
                <w:bCs/>
              </w:rPr>
            </w:pPr>
            <w:r w:rsidRPr="00F0764D">
              <w:rPr>
                <w:rFonts w:cstheme="minorHAnsi"/>
                <w:b/>
                <w:bCs/>
              </w:rPr>
              <w:t>Jacobs</w:t>
            </w:r>
          </w:p>
        </w:tc>
        <w:tc>
          <w:tcPr>
            <w:tcW w:w="744" w:type="pct"/>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2FF48B20" w14:textId="77777777" w:rsidR="00C94E9C" w:rsidRPr="00F0764D" w:rsidRDefault="00C94E9C" w:rsidP="00F0764D">
            <w:pPr>
              <w:jc w:val="center"/>
              <w:rPr>
                <w:rFonts w:cstheme="minorHAnsi"/>
              </w:rPr>
            </w:pPr>
          </w:p>
        </w:tc>
        <w:tc>
          <w:tcPr>
            <w:tcW w:w="797" w:type="pct"/>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538A0F09" w14:textId="77777777" w:rsidR="00C94E9C" w:rsidRPr="00F0764D" w:rsidRDefault="00C94E9C" w:rsidP="00F0764D">
            <w:pPr>
              <w:jc w:val="center"/>
              <w:rPr>
                <w:rFonts w:cstheme="minorHAnsi"/>
              </w:rPr>
            </w:pPr>
          </w:p>
        </w:tc>
        <w:tc>
          <w:tcPr>
            <w:tcW w:w="797" w:type="pct"/>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726F9FE3" w14:textId="77777777" w:rsidR="00C94E9C" w:rsidRPr="00F0764D" w:rsidRDefault="00C94E9C" w:rsidP="00F0764D">
            <w:pPr>
              <w:jc w:val="center"/>
              <w:rPr>
                <w:rFonts w:cstheme="minorHAnsi"/>
              </w:rPr>
            </w:pPr>
          </w:p>
        </w:tc>
        <w:tc>
          <w:tcPr>
            <w:tcW w:w="798" w:type="pct"/>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57305002" w14:textId="77777777" w:rsidR="00C94E9C" w:rsidRPr="00F0764D" w:rsidRDefault="00C94E9C" w:rsidP="00F0764D">
            <w:pPr>
              <w:jc w:val="center"/>
              <w:rPr>
                <w:rFonts w:cstheme="minorHAnsi"/>
              </w:rPr>
            </w:pPr>
            <w:r w:rsidRPr="00F0764D">
              <w:rPr>
                <w:rFonts w:cstheme="minorHAnsi"/>
              </w:rPr>
              <w:t>1.00%</w:t>
            </w:r>
          </w:p>
        </w:tc>
      </w:tr>
      <w:tr w:rsidR="00F0764D" w:rsidRPr="00F0764D" w14:paraId="16D84D85" w14:textId="77777777" w:rsidTr="00D92D75">
        <w:trPr>
          <w:cnfStyle w:val="000000010000" w:firstRow="0" w:lastRow="0" w:firstColumn="0" w:lastColumn="0" w:oddVBand="0" w:evenVBand="0" w:oddHBand="0" w:evenHBand="1" w:firstRowFirstColumn="0" w:firstRowLastColumn="0" w:lastRowFirstColumn="0" w:lastRowLastColumn="0"/>
          <w:trHeight w:val="408"/>
        </w:trPr>
        <w:tc>
          <w:tcPr>
            <w:tcW w:w="1864" w:type="pct"/>
            <w:tcBorders>
              <w:top w:val="single" w:sz="2" w:space="0" w:color="002279"/>
              <w:left w:val="single" w:sz="4" w:space="0" w:color="002279"/>
              <w:bottom w:val="single" w:sz="4" w:space="0" w:color="002279"/>
              <w:right w:val="single" w:sz="4" w:space="0" w:color="002279"/>
            </w:tcBorders>
            <w:shd w:val="clear" w:color="auto" w:fill="FFFFFF" w:themeFill="background1"/>
            <w:noWrap/>
            <w:vAlign w:val="center"/>
            <w:hideMark/>
          </w:tcPr>
          <w:p w14:paraId="32F0C5D3" w14:textId="184F1692" w:rsidR="00C94E9C" w:rsidRPr="00F0764D" w:rsidRDefault="00BD4A2F" w:rsidP="00DC7C5F">
            <w:pPr>
              <w:rPr>
                <w:rFonts w:cstheme="minorHAnsi"/>
                <w:b/>
                <w:bCs/>
              </w:rPr>
            </w:pPr>
            <w:r w:rsidRPr="00F0764D">
              <w:rPr>
                <w:rFonts w:cstheme="minorHAnsi"/>
                <w:b/>
                <w:bCs/>
              </w:rPr>
              <w:t xml:space="preserve">Adopted </w:t>
            </w:r>
            <w:r w:rsidR="00912254" w:rsidRPr="00F0764D">
              <w:rPr>
                <w:rFonts w:cstheme="minorHAnsi"/>
                <w:b/>
                <w:bCs/>
              </w:rPr>
              <w:t>a</w:t>
            </w:r>
            <w:r w:rsidRPr="00F0764D">
              <w:rPr>
                <w:rFonts w:cstheme="minorHAnsi"/>
                <w:b/>
                <w:bCs/>
              </w:rPr>
              <w:t>ssumption</w:t>
            </w:r>
          </w:p>
        </w:tc>
        <w:tc>
          <w:tcPr>
            <w:tcW w:w="744" w:type="pct"/>
            <w:tcBorders>
              <w:top w:val="single" w:sz="2" w:space="0" w:color="002279"/>
              <w:left w:val="single" w:sz="4" w:space="0" w:color="002279"/>
              <w:bottom w:val="single" w:sz="4" w:space="0" w:color="002279"/>
              <w:right w:val="single" w:sz="4" w:space="0" w:color="002279"/>
            </w:tcBorders>
            <w:shd w:val="clear" w:color="auto" w:fill="FFFFFF" w:themeFill="background1"/>
            <w:noWrap/>
            <w:vAlign w:val="center"/>
            <w:hideMark/>
          </w:tcPr>
          <w:p w14:paraId="59E1EBF8" w14:textId="34280C07" w:rsidR="00C94E9C" w:rsidRPr="00F0764D" w:rsidRDefault="00BD4A2F" w:rsidP="00F0764D">
            <w:pPr>
              <w:jc w:val="center"/>
              <w:rPr>
                <w:rFonts w:cstheme="minorHAnsi"/>
              </w:rPr>
            </w:pPr>
            <w:r w:rsidRPr="00F0764D">
              <w:rPr>
                <w:rFonts w:cstheme="minorHAnsi"/>
              </w:rPr>
              <w:t>1.50%</w:t>
            </w:r>
          </w:p>
        </w:tc>
        <w:tc>
          <w:tcPr>
            <w:tcW w:w="797" w:type="pct"/>
            <w:tcBorders>
              <w:top w:val="single" w:sz="2" w:space="0" w:color="002279"/>
              <w:left w:val="single" w:sz="4" w:space="0" w:color="002279"/>
              <w:bottom w:val="single" w:sz="4" w:space="0" w:color="002279"/>
              <w:right w:val="single" w:sz="4" w:space="0" w:color="002279"/>
            </w:tcBorders>
            <w:shd w:val="clear" w:color="auto" w:fill="FFFFFF" w:themeFill="background1"/>
            <w:noWrap/>
            <w:vAlign w:val="center"/>
            <w:hideMark/>
          </w:tcPr>
          <w:p w14:paraId="4B266B66" w14:textId="29201591" w:rsidR="00C94E9C" w:rsidRPr="00F0764D" w:rsidRDefault="00BD4A2F" w:rsidP="00F0764D">
            <w:pPr>
              <w:jc w:val="center"/>
              <w:rPr>
                <w:rFonts w:cstheme="minorHAnsi"/>
              </w:rPr>
            </w:pPr>
            <w:r w:rsidRPr="00F0764D">
              <w:rPr>
                <w:rFonts w:cstheme="minorHAnsi"/>
              </w:rPr>
              <w:t>0.25%</w:t>
            </w:r>
          </w:p>
        </w:tc>
        <w:tc>
          <w:tcPr>
            <w:tcW w:w="797" w:type="pct"/>
            <w:tcBorders>
              <w:top w:val="single" w:sz="2" w:space="0" w:color="002279"/>
              <w:left w:val="single" w:sz="4" w:space="0" w:color="002279"/>
              <w:bottom w:val="single" w:sz="4" w:space="0" w:color="002279"/>
              <w:right w:val="single" w:sz="4" w:space="0" w:color="002279"/>
            </w:tcBorders>
            <w:shd w:val="clear" w:color="auto" w:fill="FFFFFF" w:themeFill="background1"/>
            <w:noWrap/>
            <w:vAlign w:val="center"/>
            <w:hideMark/>
          </w:tcPr>
          <w:p w14:paraId="1BF30DE2" w14:textId="3F2BB149" w:rsidR="00C94E9C" w:rsidRPr="00F0764D" w:rsidRDefault="00BD4A2F" w:rsidP="00F0764D">
            <w:pPr>
              <w:jc w:val="center"/>
              <w:rPr>
                <w:rFonts w:cstheme="minorHAnsi"/>
              </w:rPr>
            </w:pPr>
            <w:r w:rsidRPr="00F0764D">
              <w:rPr>
                <w:rFonts w:cstheme="minorHAnsi"/>
              </w:rPr>
              <w:t>0.00%</w:t>
            </w:r>
          </w:p>
        </w:tc>
        <w:tc>
          <w:tcPr>
            <w:tcW w:w="798" w:type="pct"/>
            <w:tcBorders>
              <w:top w:val="single" w:sz="2" w:space="0" w:color="002279"/>
              <w:left w:val="single" w:sz="4" w:space="0" w:color="002279"/>
              <w:bottom w:val="single" w:sz="4" w:space="0" w:color="002279"/>
              <w:right w:val="single" w:sz="4" w:space="0" w:color="002279"/>
            </w:tcBorders>
            <w:shd w:val="clear" w:color="auto" w:fill="FFFFFF" w:themeFill="background1"/>
            <w:noWrap/>
            <w:vAlign w:val="center"/>
            <w:hideMark/>
          </w:tcPr>
          <w:p w14:paraId="7EE4492D" w14:textId="77777777" w:rsidR="00C94E9C" w:rsidRPr="00F0764D" w:rsidRDefault="00C94E9C" w:rsidP="00F0764D">
            <w:pPr>
              <w:jc w:val="center"/>
              <w:rPr>
                <w:rFonts w:cstheme="minorHAnsi"/>
              </w:rPr>
            </w:pPr>
            <w:r w:rsidRPr="00F0764D">
              <w:rPr>
                <w:rFonts w:cstheme="minorHAnsi"/>
              </w:rPr>
              <w:t>1.00%</w:t>
            </w:r>
          </w:p>
        </w:tc>
      </w:tr>
    </w:tbl>
    <w:p w14:paraId="7A23CB95" w14:textId="77777777" w:rsidR="00AE706E" w:rsidRPr="00F0764D" w:rsidRDefault="00AE706E" w:rsidP="00402D66">
      <w:pPr>
        <w:rPr>
          <w:sz w:val="20"/>
          <w:szCs w:val="20"/>
        </w:rPr>
      </w:pPr>
    </w:p>
    <w:p w14:paraId="06A7315B" w14:textId="66129810" w:rsidR="0063451C" w:rsidRDefault="00DF3112" w:rsidP="00AE35E9">
      <w:r>
        <w:t>Based on t</w:t>
      </w:r>
      <w:r w:rsidR="0063451C">
        <w:t>he stud</w:t>
      </w:r>
      <w:r w:rsidR="00CE61CF">
        <w:t>ies’</w:t>
      </w:r>
      <w:r w:rsidR="0063451C">
        <w:t xml:space="preserve"> outcomes</w:t>
      </w:r>
      <w:r>
        <w:t>, we have assumed</w:t>
      </w:r>
      <w:r w:rsidR="0063451C">
        <w:t xml:space="preserve"> that:</w:t>
      </w:r>
    </w:p>
    <w:p w14:paraId="403DE2C3" w14:textId="77777777" w:rsidR="0063451C" w:rsidRDefault="0087673C">
      <w:pPr>
        <w:pStyle w:val="ListParagraph"/>
        <w:numPr>
          <w:ilvl w:val="0"/>
          <w:numId w:val="99"/>
        </w:numPr>
        <w:ind w:left="426" w:hanging="426"/>
      </w:pPr>
      <w:r>
        <w:t xml:space="preserve">behaviour change due to </w:t>
      </w:r>
      <w:r w:rsidR="00372D5A">
        <w:t xml:space="preserve">continuous flow detections </w:t>
      </w:r>
      <w:r>
        <w:t>and notifications</w:t>
      </w:r>
      <w:r w:rsidR="0063451C">
        <w:t xml:space="preserve"> can be expected to result in bulk water savings of 1.50%</w:t>
      </w:r>
    </w:p>
    <w:p w14:paraId="62328DE4" w14:textId="074E3683" w:rsidR="0063451C" w:rsidRDefault="0087673C">
      <w:pPr>
        <w:pStyle w:val="ListParagraph"/>
        <w:numPr>
          <w:ilvl w:val="0"/>
          <w:numId w:val="99"/>
        </w:numPr>
        <w:ind w:left="426" w:hanging="426"/>
      </w:pPr>
      <w:r>
        <w:t xml:space="preserve">behaviour change </w:t>
      </w:r>
      <w:r w:rsidR="00210C17">
        <w:t>due to</w:t>
      </w:r>
      <w:r w:rsidR="00991FC9">
        <w:t xml:space="preserve"> a</w:t>
      </w:r>
      <w:r w:rsidR="00210C17">
        <w:t xml:space="preserve"> spike in usage notifications</w:t>
      </w:r>
      <w:r w:rsidR="0063451C">
        <w:t xml:space="preserve"> can be expected to result in bulk water savings of 0.25% (arising from reduced </w:t>
      </w:r>
      <w:r w:rsidR="008E3779">
        <w:t>residential water usage</w:t>
      </w:r>
      <w:r w:rsidR="0063451C">
        <w:t>)</w:t>
      </w:r>
    </w:p>
    <w:p w14:paraId="0F9D9BEE" w14:textId="6703A561" w:rsidR="0063451C" w:rsidRDefault="004221F0">
      <w:pPr>
        <w:pStyle w:val="ListParagraph"/>
        <w:numPr>
          <w:ilvl w:val="0"/>
          <w:numId w:val="99"/>
        </w:numPr>
        <w:ind w:left="426" w:hanging="426"/>
      </w:pPr>
      <w:r>
        <w:t>a</w:t>
      </w:r>
      <w:r w:rsidR="0063451C">
        <w:t xml:space="preserve"> </w:t>
      </w:r>
      <w:r>
        <w:t>b</w:t>
      </w:r>
      <w:r w:rsidR="0063451C">
        <w:t>ulk water savings of 1.00% attributable to non-revenue water.</w:t>
      </w:r>
      <w:r w:rsidR="00210C17">
        <w:t xml:space="preserve"> </w:t>
      </w:r>
    </w:p>
    <w:p w14:paraId="6C5A61D3" w14:textId="698C7A91" w:rsidR="00AE35E9" w:rsidRDefault="004E1B84" w:rsidP="0063451C">
      <w:r>
        <w:t xml:space="preserve">No </w:t>
      </w:r>
      <w:r w:rsidR="005A2578">
        <w:t>non-</w:t>
      </w:r>
      <w:r w:rsidR="004221F0">
        <w:t>residential</w:t>
      </w:r>
      <w:r w:rsidR="008E3779">
        <w:t xml:space="preserve"> water usage</w:t>
      </w:r>
      <w:r>
        <w:t xml:space="preserve"> </w:t>
      </w:r>
      <w:r w:rsidR="00CD70F2">
        <w:t>savings have been assumed</w:t>
      </w:r>
      <w:r w:rsidR="00E052DB">
        <w:t>,</w:t>
      </w:r>
      <w:r w:rsidR="00CD70F2">
        <w:t xml:space="preserve"> even though it is likely </w:t>
      </w:r>
      <w:r w:rsidR="00647347">
        <w:t>to occur</w:t>
      </w:r>
      <w:r w:rsidR="009F6EA4">
        <w:t>,</w:t>
      </w:r>
      <w:r w:rsidR="00647347">
        <w:t xml:space="preserve"> as we </w:t>
      </w:r>
      <w:r w:rsidR="0093337D">
        <w:t xml:space="preserve">did not have a </w:t>
      </w:r>
      <w:r w:rsidR="005A2578">
        <w:t>non-</w:t>
      </w:r>
      <w:r w:rsidR="004221F0">
        <w:t>residential</w:t>
      </w:r>
      <w:r w:rsidR="009F6EA4">
        <w:t xml:space="preserve"> </w:t>
      </w:r>
      <w:r w:rsidR="0093337D">
        <w:t>specific trial.</w:t>
      </w:r>
      <w:r w:rsidR="000C0DED">
        <w:t xml:space="preserve"> </w:t>
      </w:r>
      <w:r w:rsidR="005D3E3B">
        <w:t>Based on the tr</w:t>
      </w:r>
      <w:r w:rsidR="00EB1789">
        <w:t>ia</w:t>
      </w:r>
      <w:r w:rsidR="005D3E3B">
        <w:t>ls</w:t>
      </w:r>
      <w:r w:rsidR="00612583">
        <w:t>’</w:t>
      </w:r>
      <w:r w:rsidR="005D3E3B">
        <w:t xml:space="preserve"> results and our conservative assumptions</w:t>
      </w:r>
      <w:r w:rsidR="00504763">
        <w:t>,</w:t>
      </w:r>
      <w:r w:rsidR="00A26D89">
        <w:t xml:space="preserve"> we have assured </w:t>
      </w:r>
      <w:r w:rsidR="00537C68">
        <w:t>ourselves</w:t>
      </w:r>
      <w:r w:rsidR="00A26D89">
        <w:t xml:space="preserve"> o</w:t>
      </w:r>
      <w:r w:rsidR="00504763">
        <w:t>f</w:t>
      </w:r>
      <w:r w:rsidR="00A26D89">
        <w:t xml:space="preserve"> the quantum of expected savings</w:t>
      </w:r>
      <w:r w:rsidR="008E3779">
        <w:t>.</w:t>
      </w:r>
    </w:p>
    <w:p w14:paraId="3F76079A" w14:textId="5BC8417D" w:rsidR="006F3BDB" w:rsidRDefault="006F3BDB" w:rsidP="006F3BDB">
      <w:pPr>
        <w:pStyle w:val="Bulletlistmultilevel"/>
        <w:ind w:left="0" w:firstLine="0"/>
        <w:rPr>
          <w:rFonts w:ascii="Arial" w:hAnsi="Arial"/>
          <w:sz w:val="24"/>
          <w:szCs w:val="24"/>
        </w:rPr>
      </w:pPr>
      <w:bookmarkStart w:id="91" w:name="_Hlk112920126"/>
      <w:r w:rsidRPr="005008E4">
        <w:rPr>
          <w:rFonts w:ascii="Arial" w:hAnsi="Arial"/>
          <w:sz w:val="24"/>
          <w:szCs w:val="24"/>
        </w:rPr>
        <w:t xml:space="preserve">Digital metering savings are applied </w:t>
      </w:r>
      <w:r w:rsidR="009F6EA4">
        <w:rPr>
          <w:rFonts w:ascii="Arial" w:hAnsi="Arial"/>
          <w:sz w:val="24"/>
          <w:szCs w:val="24"/>
        </w:rPr>
        <w:t xml:space="preserve">to </w:t>
      </w:r>
      <w:r w:rsidRPr="005008E4">
        <w:rPr>
          <w:rFonts w:ascii="Arial" w:hAnsi="Arial"/>
          <w:sz w:val="24"/>
          <w:szCs w:val="24"/>
        </w:rPr>
        <w:t xml:space="preserve">the total </w:t>
      </w:r>
      <w:r w:rsidR="00526740" w:rsidRPr="005008E4">
        <w:rPr>
          <w:rFonts w:ascii="Arial" w:hAnsi="Arial"/>
          <w:sz w:val="24"/>
          <w:szCs w:val="24"/>
        </w:rPr>
        <w:t xml:space="preserve">water demand </w:t>
      </w:r>
      <w:r w:rsidRPr="005008E4">
        <w:rPr>
          <w:rFonts w:ascii="Arial" w:hAnsi="Arial"/>
          <w:sz w:val="24"/>
          <w:szCs w:val="24"/>
        </w:rPr>
        <w:t>forecast as</w:t>
      </w:r>
      <w:r w:rsidR="009F6EA4">
        <w:rPr>
          <w:rFonts w:ascii="Arial" w:hAnsi="Arial"/>
          <w:sz w:val="24"/>
          <w:szCs w:val="24"/>
        </w:rPr>
        <w:t xml:space="preserve"> shown in </w:t>
      </w:r>
      <w:r w:rsidR="009A35C7">
        <w:rPr>
          <w:rFonts w:ascii="Arial" w:hAnsi="Arial"/>
          <w:sz w:val="24"/>
          <w:szCs w:val="24"/>
        </w:rPr>
        <w:t>Table 45</w:t>
      </w:r>
      <w:r w:rsidR="009F6EA4">
        <w:rPr>
          <w:rFonts w:ascii="Arial" w:hAnsi="Arial"/>
          <w:sz w:val="24"/>
          <w:szCs w:val="24"/>
        </w:rPr>
        <w:t>.</w:t>
      </w:r>
    </w:p>
    <w:p w14:paraId="18769052" w14:textId="77777777" w:rsidR="00837531" w:rsidRDefault="00837531" w:rsidP="006F3BDB">
      <w:pPr>
        <w:pStyle w:val="Bulletlistmultilevel"/>
        <w:ind w:left="0" w:firstLine="0"/>
        <w:rPr>
          <w:rFonts w:ascii="Arial" w:hAnsi="Arial"/>
          <w:sz w:val="24"/>
          <w:szCs w:val="24"/>
        </w:rPr>
      </w:pPr>
    </w:p>
    <w:p w14:paraId="7A266B61" w14:textId="5DADAC03" w:rsidR="000276C9" w:rsidRPr="00837531" w:rsidRDefault="00837531" w:rsidP="00837531">
      <w:pPr>
        <w:pStyle w:val="NormalIndent"/>
        <w:ind w:left="0"/>
        <w:rPr>
          <w:rFonts w:cs="Arial"/>
          <w:b/>
          <w:i/>
        </w:rPr>
      </w:pPr>
      <w:r w:rsidRPr="00CE6C4E">
        <w:rPr>
          <w:b/>
          <w:i/>
        </w:rPr>
        <w:t xml:space="preserve">Table </w:t>
      </w:r>
      <w:r w:rsidR="009A35C7" w:rsidRPr="00CE6C4E">
        <w:rPr>
          <w:b/>
          <w:bCs/>
          <w:i/>
          <w:iCs/>
        </w:rPr>
        <w:fldChar w:fldCharType="begin"/>
      </w:r>
      <w:r w:rsidR="009A35C7" w:rsidRPr="00CE6C4E">
        <w:rPr>
          <w:b/>
          <w:bCs/>
          <w:i/>
          <w:iCs/>
        </w:rPr>
        <w:instrText>SEQ Table \* ARABIC</w:instrText>
      </w:r>
      <w:r w:rsidR="009A35C7" w:rsidRPr="00CE6C4E">
        <w:rPr>
          <w:b/>
          <w:bCs/>
          <w:i/>
          <w:iCs/>
        </w:rPr>
        <w:fldChar w:fldCharType="separate"/>
      </w:r>
      <w:r w:rsidR="009A35C7">
        <w:rPr>
          <w:b/>
          <w:bCs/>
          <w:i/>
          <w:iCs/>
          <w:noProof/>
        </w:rPr>
        <w:t>45</w:t>
      </w:r>
      <w:r w:rsidR="009A35C7" w:rsidRPr="00CE6C4E">
        <w:rPr>
          <w:b/>
          <w:bCs/>
          <w:i/>
          <w:iCs/>
        </w:rPr>
        <w:fldChar w:fldCharType="end"/>
      </w:r>
      <w:r w:rsidRPr="007B339F">
        <w:rPr>
          <w:rFonts w:ascii="Arial" w:hAnsi="Arial" w:cs="Arial"/>
          <w:b/>
          <w:i/>
        </w:rPr>
        <w:t>:</w:t>
      </w:r>
      <w:r>
        <w:rPr>
          <w:rFonts w:ascii="Arial" w:hAnsi="Arial" w:cs="Arial"/>
          <w:b/>
          <w:i/>
        </w:rPr>
        <w:t xml:space="preserve"> Digital metering savings</w:t>
      </w:r>
      <w:r w:rsidR="000276C9" w:rsidRPr="00E57B54">
        <w:rPr>
          <w:b/>
          <w:bCs/>
          <w:i/>
          <w:iCs/>
        </w:rPr>
        <w:t xml:space="preserve"> </w:t>
      </w:r>
      <w:r w:rsidR="009243F5">
        <w:rPr>
          <w:b/>
          <w:bCs/>
          <w:i/>
          <w:iCs/>
        </w:rPr>
        <w:t>forecast (ML)</w:t>
      </w:r>
    </w:p>
    <w:tbl>
      <w:tblPr>
        <w:tblStyle w:val="MJTableStyle1default"/>
        <w:tblW w:w="5000" w:type="pct"/>
        <w:tblInd w:w="0" w:type="dxa"/>
        <w:tblLook w:val="04A0" w:firstRow="1" w:lastRow="0" w:firstColumn="1" w:lastColumn="0" w:noHBand="0" w:noVBand="1"/>
      </w:tblPr>
      <w:tblGrid>
        <w:gridCol w:w="2707"/>
        <w:gridCol w:w="1357"/>
        <w:gridCol w:w="1357"/>
        <w:gridCol w:w="1357"/>
        <w:gridCol w:w="1357"/>
        <w:gridCol w:w="1353"/>
      </w:tblGrid>
      <w:tr w:rsidR="00F0764D" w:rsidRPr="00D83784" w14:paraId="500BE49A" w14:textId="77777777" w:rsidTr="00DF3112">
        <w:trPr>
          <w:cnfStyle w:val="100000000000" w:firstRow="1" w:lastRow="0" w:firstColumn="0" w:lastColumn="0" w:oddVBand="0" w:evenVBand="0" w:oddHBand="0" w:evenHBand="0" w:firstRowFirstColumn="0" w:firstRowLastColumn="0" w:lastRowFirstColumn="0" w:lastRowLastColumn="0"/>
          <w:trHeight w:val="482"/>
        </w:trPr>
        <w:tc>
          <w:tcPr>
            <w:tcW w:w="1427" w:type="pct"/>
            <w:tcBorders>
              <w:top w:val="single" w:sz="4" w:space="0" w:color="002279"/>
              <w:left w:val="single" w:sz="4" w:space="0" w:color="002279"/>
              <w:bottom w:val="single" w:sz="2" w:space="0" w:color="002279"/>
              <w:right w:val="single" w:sz="4" w:space="0" w:color="FFFFFF" w:themeColor="background1"/>
            </w:tcBorders>
            <w:shd w:val="clear" w:color="auto" w:fill="002279"/>
            <w:noWrap/>
            <w:vAlign w:val="center"/>
            <w:hideMark/>
          </w:tcPr>
          <w:bookmarkEnd w:id="91"/>
          <w:p w14:paraId="40C3166E" w14:textId="77777777" w:rsidR="0000346F" w:rsidRPr="0055567C" w:rsidRDefault="0000346F" w:rsidP="00D83784">
            <w:pPr>
              <w:rPr>
                <w:rFonts w:ascii="Arial" w:hAnsi="Arial" w:cs="Arial"/>
                <w:b/>
              </w:rPr>
            </w:pPr>
            <w:r w:rsidRPr="0055567C">
              <w:rPr>
                <w:rFonts w:ascii="Arial" w:hAnsi="Arial" w:cs="Arial"/>
                <w:b/>
              </w:rPr>
              <w:t>ML</w:t>
            </w:r>
          </w:p>
        </w:tc>
        <w:tc>
          <w:tcPr>
            <w:tcW w:w="715" w:type="pct"/>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noWrap/>
            <w:vAlign w:val="center"/>
            <w:hideMark/>
          </w:tcPr>
          <w:p w14:paraId="17CAC8F1" w14:textId="75B19277" w:rsidR="0000346F" w:rsidRPr="0055567C" w:rsidRDefault="0000346F" w:rsidP="00634A44">
            <w:pPr>
              <w:jc w:val="center"/>
              <w:rPr>
                <w:rFonts w:ascii="Arial" w:hAnsi="Arial" w:cs="Arial"/>
                <w:b/>
              </w:rPr>
            </w:pPr>
            <w:r w:rsidRPr="0055567C">
              <w:rPr>
                <w:rFonts w:ascii="Arial" w:hAnsi="Arial" w:cs="Arial"/>
                <w:b/>
              </w:rPr>
              <w:t>2023</w:t>
            </w:r>
            <w:r w:rsidR="004C32D1" w:rsidRPr="0055567C">
              <w:rPr>
                <w:rFonts w:ascii="Arial" w:hAnsi="Arial" w:cs="Arial"/>
                <w:b/>
              </w:rPr>
              <w:t>–</w:t>
            </w:r>
            <w:r w:rsidRPr="0055567C">
              <w:rPr>
                <w:rFonts w:ascii="Arial" w:hAnsi="Arial" w:cs="Arial"/>
                <w:b/>
              </w:rPr>
              <w:t>24</w:t>
            </w:r>
          </w:p>
        </w:tc>
        <w:tc>
          <w:tcPr>
            <w:tcW w:w="715" w:type="pct"/>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noWrap/>
            <w:vAlign w:val="center"/>
            <w:hideMark/>
          </w:tcPr>
          <w:p w14:paraId="598B95F3" w14:textId="384CC9B4" w:rsidR="0000346F" w:rsidRPr="0055567C" w:rsidRDefault="0000346F" w:rsidP="00634A44">
            <w:pPr>
              <w:jc w:val="center"/>
              <w:rPr>
                <w:rFonts w:ascii="Arial" w:hAnsi="Arial" w:cs="Arial"/>
                <w:b/>
              </w:rPr>
            </w:pPr>
            <w:r w:rsidRPr="0055567C">
              <w:rPr>
                <w:rFonts w:ascii="Arial" w:hAnsi="Arial" w:cs="Arial"/>
                <w:b/>
              </w:rPr>
              <w:t>2024</w:t>
            </w:r>
            <w:r w:rsidR="004C32D1" w:rsidRPr="0055567C">
              <w:rPr>
                <w:rFonts w:ascii="Arial" w:hAnsi="Arial" w:cs="Arial"/>
                <w:b/>
              </w:rPr>
              <w:t>–</w:t>
            </w:r>
            <w:r w:rsidRPr="0055567C">
              <w:rPr>
                <w:rFonts w:ascii="Arial" w:hAnsi="Arial" w:cs="Arial"/>
                <w:b/>
              </w:rPr>
              <w:t>25</w:t>
            </w:r>
          </w:p>
        </w:tc>
        <w:tc>
          <w:tcPr>
            <w:tcW w:w="715" w:type="pct"/>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noWrap/>
            <w:vAlign w:val="center"/>
            <w:hideMark/>
          </w:tcPr>
          <w:p w14:paraId="5B04614B" w14:textId="74E2DC93" w:rsidR="0000346F" w:rsidRPr="0055567C" w:rsidRDefault="0000346F" w:rsidP="00634A44">
            <w:pPr>
              <w:jc w:val="center"/>
              <w:rPr>
                <w:rFonts w:ascii="Arial" w:hAnsi="Arial" w:cs="Arial"/>
                <w:b/>
              </w:rPr>
            </w:pPr>
            <w:r w:rsidRPr="0055567C">
              <w:rPr>
                <w:rFonts w:ascii="Arial" w:hAnsi="Arial" w:cs="Arial"/>
                <w:b/>
              </w:rPr>
              <w:t>2025</w:t>
            </w:r>
            <w:r w:rsidR="004C32D1" w:rsidRPr="0055567C">
              <w:rPr>
                <w:rFonts w:ascii="Arial" w:hAnsi="Arial" w:cs="Arial"/>
                <w:b/>
              </w:rPr>
              <w:t>–</w:t>
            </w:r>
            <w:r w:rsidRPr="0055567C">
              <w:rPr>
                <w:rFonts w:ascii="Arial" w:hAnsi="Arial" w:cs="Arial"/>
                <w:b/>
              </w:rPr>
              <w:t>26</w:t>
            </w:r>
          </w:p>
        </w:tc>
        <w:tc>
          <w:tcPr>
            <w:tcW w:w="715" w:type="pct"/>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noWrap/>
            <w:vAlign w:val="center"/>
            <w:hideMark/>
          </w:tcPr>
          <w:p w14:paraId="5215682A" w14:textId="3E34D99B" w:rsidR="0000346F" w:rsidRPr="0055567C" w:rsidRDefault="0000346F" w:rsidP="00634A44">
            <w:pPr>
              <w:jc w:val="center"/>
              <w:rPr>
                <w:rFonts w:ascii="Arial" w:hAnsi="Arial" w:cs="Arial"/>
                <w:b/>
              </w:rPr>
            </w:pPr>
            <w:r w:rsidRPr="0055567C">
              <w:rPr>
                <w:rFonts w:ascii="Arial" w:hAnsi="Arial" w:cs="Arial"/>
                <w:b/>
              </w:rPr>
              <w:t>2026</w:t>
            </w:r>
            <w:r w:rsidR="004C32D1" w:rsidRPr="0055567C">
              <w:rPr>
                <w:rFonts w:ascii="Arial" w:hAnsi="Arial" w:cs="Arial"/>
                <w:b/>
              </w:rPr>
              <w:t>–</w:t>
            </w:r>
            <w:r w:rsidRPr="0055567C">
              <w:rPr>
                <w:rFonts w:ascii="Arial" w:hAnsi="Arial" w:cs="Arial"/>
                <w:b/>
              </w:rPr>
              <w:t>27</w:t>
            </w:r>
          </w:p>
        </w:tc>
        <w:tc>
          <w:tcPr>
            <w:tcW w:w="713" w:type="pct"/>
            <w:tcBorders>
              <w:top w:val="single" w:sz="4" w:space="0" w:color="002279"/>
              <w:left w:val="single" w:sz="4" w:space="0" w:color="FFFFFF" w:themeColor="background1"/>
              <w:bottom w:val="single" w:sz="2" w:space="0" w:color="002279"/>
              <w:right w:val="single" w:sz="4" w:space="0" w:color="002279"/>
            </w:tcBorders>
            <w:shd w:val="clear" w:color="auto" w:fill="002279"/>
            <w:noWrap/>
            <w:vAlign w:val="center"/>
            <w:hideMark/>
          </w:tcPr>
          <w:p w14:paraId="1A49FF02" w14:textId="0C8CDFDC" w:rsidR="0000346F" w:rsidRPr="0055567C" w:rsidRDefault="0000346F" w:rsidP="00634A44">
            <w:pPr>
              <w:jc w:val="center"/>
              <w:rPr>
                <w:rFonts w:ascii="Arial" w:hAnsi="Arial" w:cs="Arial"/>
                <w:b/>
              </w:rPr>
            </w:pPr>
            <w:r w:rsidRPr="0055567C">
              <w:rPr>
                <w:rFonts w:ascii="Arial" w:hAnsi="Arial" w:cs="Arial"/>
                <w:b/>
              </w:rPr>
              <w:t>2027</w:t>
            </w:r>
            <w:r w:rsidR="004C32D1" w:rsidRPr="0055567C">
              <w:rPr>
                <w:rFonts w:ascii="Arial" w:hAnsi="Arial" w:cs="Arial"/>
                <w:b/>
              </w:rPr>
              <w:t>–</w:t>
            </w:r>
            <w:r w:rsidRPr="0055567C">
              <w:rPr>
                <w:rFonts w:ascii="Arial" w:hAnsi="Arial" w:cs="Arial"/>
                <w:b/>
              </w:rPr>
              <w:t>28</w:t>
            </w:r>
          </w:p>
        </w:tc>
      </w:tr>
      <w:tr w:rsidR="00DF3112" w:rsidRPr="00D83784" w14:paraId="54073907" w14:textId="77777777" w:rsidTr="00DF3112">
        <w:trPr>
          <w:cnfStyle w:val="000000100000" w:firstRow="0" w:lastRow="0" w:firstColumn="0" w:lastColumn="0" w:oddVBand="0" w:evenVBand="0" w:oddHBand="1" w:evenHBand="0" w:firstRowFirstColumn="0" w:firstRowLastColumn="0" w:lastRowFirstColumn="0" w:lastRowLastColumn="0"/>
          <w:trHeight w:val="482"/>
        </w:trPr>
        <w:tc>
          <w:tcPr>
            <w:tcW w:w="1427" w:type="pct"/>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734DC813" w14:textId="7C4277EA" w:rsidR="00DF3112" w:rsidRPr="00D92D75" w:rsidRDefault="00DF3112" w:rsidP="00DF3112">
            <w:pPr>
              <w:rPr>
                <w:rFonts w:ascii="Arial" w:hAnsi="Arial" w:cs="Arial"/>
                <w:b/>
                <w:bCs/>
              </w:rPr>
            </w:pPr>
            <w:r w:rsidRPr="00D92D75">
              <w:rPr>
                <w:rFonts w:cs="Arial"/>
                <w:b/>
                <w:bCs/>
              </w:rPr>
              <w:t>Savings (residential)</w:t>
            </w:r>
          </w:p>
        </w:tc>
        <w:tc>
          <w:tcPr>
            <w:tcW w:w="715" w:type="pct"/>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7704D7A7" w14:textId="19A894C7" w:rsidR="00DF3112" w:rsidRPr="0055567C" w:rsidRDefault="00DF3112" w:rsidP="00DF3112">
            <w:pPr>
              <w:jc w:val="center"/>
              <w:rPr>
                <w:rFonts w:ascii="Arial" w:hAnsi="Arial" w:cs="Arial"/>
              </w:rPr>
            </w:pPr>
            <w:r w:rsidRPr="006327B1">
              <w:t>312</w:t>
            </w:r>
          </w:p>
        </w:tc>
        <w:tc>
          <w:tcPr>
            <w:tcW w:w="715" w:type="pct"/>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0FD21D4E" w14:textId="53A11DB5" w:rsidR="00DF3112" w:rsidRPr="0055567C" w:rsidRDefault="00DF3112" w:rsidP="00DF3112">
            <w:pPr>
              <w:jc w:val="center"/>
              <w:rPr>
                <w:rFonts w:ascii="Arial" w:hAnsi="Arial" w:cs="Arial"/>
              </w:rPr>
            </w:pPr>
            <w:r w:rsidRPr="006327B1">
              <w:t>799</w:t>
            </w:r>
          </w:p>
        </w:tc>
        <w:tc>
          <w:tcPr>
            <w:tcW w:w="715" w:type="pct"/>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0ABAE1BA" w14:textId="292E345F" w:rsidR="00DF3112" w:rsidRPr="0055567C" w:rsidRDefault="00DF3112" w:rsidP="00DF3112">
            <w:pPr>
              <w:jc w:val="center"/>
              <w:rPr>
                <w:rFonts w:ascii="Arial" w:hAnsi="Arial" w:cs="Arial"/>
              </w:rPr>
            </w:pPr>
            <w:r w:rsidRPr="006327B1">
              <w:t>1,273</w:t>
            </w:r>
          </w:p>
        </w:tc>
        <w:tc>
          <w:tcPr>
            <w:tcW w:w="715" w:type="pct"/>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3E724C60" w14:textId="34C9786C" w:rsidR="00DF3112" w:rsidRPr="0055567C" w:rsidRDefault="00DF3112" w:rsidP="00DF3112">
            <w:pPr>
              <w:jc w:val="center"/>
              <w:rPr>
                <w:rFonts w:ascii="Arial" w:hAnsi="Arial" w:cs="Arial"/>
              </w:rPr>
            </w:pPr>
            <w:r w:rsidRPr="006327B1">
              <w:t>1,743</w:t>
            </w:r>
          </w:p>
        </w:tc>
        <w:tc>
          <w:tcPr>
            <w:tcW w:w="713" w:type="pct"/>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41E8D45E" w14:textId="7B8B29A4" w:rsidR="00DF3112" w:rsidRPr="0055567C" w:rsidRDefault="00DF3112" w:rsidP="00DF3112">
            <w:pPr>
              <w:jc w:val="center"/>
              <w:rPr>
                <w:rFonts w:ascii="Arial" w:hAnsi="Arial" w:cs="Arial"/>
              </w:rPr>
            </w:pPr>
            <w:r w:rsidRPr="006327B1">
              <w:t>2,204</w:t>
            </w:r>
          </w:p>
        </w:tc>
      </w:tr>
      <w:tr w:rsidR="00DF3112" w:rsidRPr="00D83784" w14:paraId="538A0E46" w14:textId="77777777" w:rsidTr="00DF3112">
        <w:trPr>
          <w:cnfStyle w:val="000000010000" w:firstRow="0" w:lastRow="0" w:firstColumn="0" w:lastColumn="0" w:oddVBand="0" w:evenVBand="0" w:oddHBand="0" w:evenHBand="1" w:firstRowFirstColumn="0" w:firstRowLastColumn="0" w:lastRowFirstColumn="0" w:lastRowLastColumn="0"/>
          <w:trHeight w:val="482"/>
        </w:trPr>
        <w:tc>
          <w:tcPr>
            <w:tcW w:w="1427"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3423A9C5" w14:textId="77777777" w:rsidR="00DF3112" w:rsidRPr="00D92D75" w:rsidRDefault="00DF3112" w:rsidP="00DF3112">
            <w:pPr>
              <w:rPr>
                <w:rFonts w:ascii="Arial" w:hAnsi="Arial" w:cs="Arial"/>
                <w:b/>
                <w:bCs/>
              </w:rPr>
            </w:pPr>
            <w:r w:rsidRPr="00D92D75">
              <w:rPr>
                <w:rFonts w:cs="Arial"/>
                <w:b/>
                <w:bCs/>
              </w:rPr>
              <w:t>Savings (non-revenue)</w:t>
            </w:r>
          </w:p>
        </w:tc>
        <w:tc>
          <w:tcPr>
            <w:tcW w:w="715"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1C6E51D4" w14:textId="204FD56C" w:rsidR="00DF3112" w:rsidRPr="0055567C" w:rsidRDefault="00DF3112" w:rsidP="00DF3112">
            <w:pPr>
              <w:jc w:val="center"/>
              <w:rPr>
                <w:rFonts w:ascii="Arial" w:hAnsi="Arial" w:cs="Arial"/>
              </w:rPr>
            </w:pPr>
            <w:r w:rsidRPr="006327B1">
              <w:t>-</w:t>
            </w:r>
          </w:p>
        </w:tc>
        <w:tc>
          <w:tcPr>
            <w:tcW w:w="715"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4F45FB72" w14:textId="7BA8062D" w:rsidR="00DF3112" w:rsidRPr="0055567C" w:rsidRDefault="00DF3112" w:rsidP="00DF3112">
            <w:pPr>
              <w:jc w:val="center"/>
              <w:rPr>
                <w:rFonts w:ascii="Arial" w:hAnsi="Arial" w:cs="Arial"/>
              </w:rPr>
            </w:pPr>
            <w:r w:rsidRPr="006327B1">
              <w:t>461</w:t>
            </w:r>
          </w:p>
        </w:tc>
        <w:tc>
          <w:tcPr>
            <w:tcW w:w="715"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4ACC1E8D" w14:textId="7E581DE5" w:rsidR="00DF3112" w:rsidRPr="0055567C" w:rsidRDefault="00DF3112" w:rsidP="00DF3112">
            <w:pPr>
              <w:jc w:val="center"/>
              <w:rPr>
                <w:rFonts w:ascii="Arial" w:hAnsi="Arial" w:cs="Arial"/>
              </w:rPr>
            </w:pPr>
            <w:r w:rsidRPr="006327B1">
              <w:t>737</w:t>
            </w:r>
          </w:p>
        </w:tc>
        <w:tc>
          <w:tcPr>
            <w:tcW w:w="715"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13BCF4C5" w14:textId="64DEA6F4" w:rsidR="00DF3112" w:rsidRPr="0055567C" w:rsidRDefault="00DF3112" w:rsidP="00DF3112">
            <w:pPr>
              <w:jc w:val="center"/>
              <w:rPr>
                <w:rFonts w:ascii="Arial" w:hAnsi="Arial" w:cs="Arial"/>
              </w:rPr>
            </w:pPr>
            <w:r w:rsidRPr="006327B1">
              <w:t>1,007</w:t>
            </w:r>
          </w:p>
        </w:tc>
        <w:tc>
          <w:tcPr>
            <w:tcW w:w="713"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5306F279" w14:textId="429F90A7" w:rsidR="00DF3112" w:rsidRPr="0055567C" w:rsidRDefault="00DF3112" w:rsidP="00DF3112">
            <w:pPr>
              <w:jc w:val="center"/>
              <w:rPr>
                <w:rFonts w:ascii="Arial" w:hAnsi="Arial" w:cs="Arial"/>
              </w:rPr>
            </w:pPr>
            <w:r w:rsidRPr="006327B1">
              <w:t>1,271</w:t>
            </w:r>
          </w:p>
        </w:tc>
      </w:tr>
      <w:tr w:rsidR="00DF3112" w:rsidRPr="00D83784" w14:paraId="0A5062B8" w14:textId="77777777" w:rsidTr="00DF3112">
        <w:trPr>
          <w:cnfStyle w:val="000000100000" w:firstRow="0" w:lastRow="0" w:firstColumn="0" w:lastColumn="0" w:oddVBand="0" w:evenVBand="0" w:oddHBand="1" w:evenHBand="0" w:firstRowFirstColumn="0" w:firstRowLastColumn="0" w:lastRowFirstColumn="0" w:lastRowLastColumn="0"/>
          <w:trHeight w:val="482"/>
        </w:trPr>
        <w:tc>
          <w:tcPr>
            <w:tcW w:w="1427" w:type="pct"/>
            <w:tcBorders>
              <w:top w:val="single" w:sz="2" w:space="0" w:color="002279"/>
              <w:left w:val="single" w:sz="4" w:space="0" w:color="002279"/>
              <w:bottom w:val="single" w:sz="4" w:space="0" w:color="002279"/>
              <w:right w:val="single" w:sz="4" w:space="0" w:color="002279"/>
            </w:tcBorders>
            <w:shd w:val="clear" w:color="auto" w:fill="D4D6DF"/>
            <w:noWrap/>
            <w:vAlign w:val="center"/>
            <w:hideMark/>
          </w:tcPr>
          <w:p w14:paraId="725284B8" w14:textId="77777777" w:rsidR="00DF3112" w:rsidRPr="0055567C" w:rsidRDefault="00DF3112" w:rsidP="00DF3112">
            <w:pPr>
              <w:rPr>
                <w:rFonts w:ascii="Arial" w:hAnsi="Arial" w:cs="Arial"/>
                <w:b/>
              </w:rPr>
            </w:pPr>
            <w:r w:rsidRPr="0055567C">
              <w:rPr>
                <w:rFonts w:cs="Arial"/>
                <w:b/>
              </w:rPr>
              <w:t xml:space="preserve">Total savings </w:t>
            </w:r>
          </w:p>
        </w:tc>
        <w:tc>
          <w:tcPr>
            <w:tcW w:w="715" w:type="pct"/>
            <w:tcBorders>
              <w:top w:val="single" w:sz="2" w:space="0" w:color="002279"/>
              <w:left w:val="single" w:sz="4" w:space="0" w:color="002279"/>
              <w:bottom w:val="single" w:sz="4" w:space="0" w:color="002279"/>
              <w:right w:val="single" w:sz="4" w:space="0" w:color="002279"/>
            </w:tcBorders>
            <w:shd w:val="clear" w:color="auto" w:fill="D4D6DF"/>
            <w:noWrap/>
            <w:vAlign w:val="center"/>
            <w:hideMark/>
          </w:tcPr>
          <w:p w14:paraId="26CAC0E7" w14:textId="7200A774" w:rsidR="00DF3112" w:rsidRPr="00DF3112" w:rsidRDefault="00DF3112" w:rsidP="00DF3112">
            <w:pPr>
              <w:jc w:val="center"/>
              <w:rPr>
                <w:rFonts w:ascii="Arial" w:hAnsi="Arial" w:cs="Arial"/>
                <w:b/>
                <w:bCs/>
              </w:rPr>
            </w:pPr>
            <w:r w:rsidRPr="00DF3112">
              <w:rPr>
                <w:b/>
                <w:bCs/>
              </w:rPr>
              <w:t>312</w:t>
            </w:r>
          </w:p>
        </w:tc>
        <w:tc>
          <w:tcPr>
            <w:tcW w:w="715" w:type="pct"/>
            <w:tcBorders>
              <w:top w:val="single" w:sz="2" w:space="0" w:color="002279"/>
              <w:left w:val="single" w:sz="4" w:space="0" w:color="002279"/>
              <w:bottom w:val="single" w:sz="4" w:space="0" w:color="002279"/>
              <w:right w:val="single" w:sz="4" w:space="0" w:color="002279"/>
            </w:tcBorders>
            <w:shd w:val="clear" w:color="auto" w:fill="D4D6DF"/>
            <w:noWrap/>
            <w:vAlign w:val="center"/>
            <w:hideMark/>
          </w:tcPr>
          <w:p w14:paraId="4B573549" w14:textId="0A3C4BA9" w:rsidR="00DF3112" w:rsidRPr="00DF3112" w:rsidRDefault="00DF3112" w:rsidP="00DF3112">
            <w:pPr>
              <w:jc w:val="center"/>
              <w:rPr>
                <w:rFonts w:ascii="Arial" w:hAnsi="Arial" w:cs="Arial"/>
                <w:b/>
                <w:bCs/>
              </w:rPr>
            </w:pPr>
            <w:r w:rsidRPr="00DF3112">
              <w:rPr>
                <w:b/>
                <w:bCs/>
              </w:rPr>
              <w:t>1,260</w:t>
            </w:r>
          </w:p>
        </w:tc>
        <w:tc>
          <w:tcPr>
            <w:tcW w:w="715" w:type="pct"/>
            <w:tcBorders>
              <w:top w:val="single" w:sz="2" w:space="0" w:color="002279"/>
              <w:left w:val="single" w:sz="4" w:space="0" w:color="002279"/>
              <w:bottom w:val="single" w:sz="4" w:space="0" w:color="002279"/>
              <w:right w:val="single" w:sz="4" w:space="0" w:color="002279"/>
            </w:tcBorders>
            <w:shd w:val="clear" w:color="auto" w:fill="D4D6DF"/>
            <w:noWrap/>
            <w:vAlign w:val="center"/>
            <w:hideMark/>
          </w:tcPr>
          <w:p w14:paraId="6BA4036A" w14:textId="1CE08179" w:rsidR="00DF3112" w:rsidRPr="00DF3112" w:rsidRDefault="00DF3112" w:rsidP="00DF3112">
            <w:pPr>
              <w:jc w:val="center"/>
              <w:rPr>
                <w:rFonts w:ascii="Arial" w:hAnsi="Arial" w:cs="Arial"/>
                <w:b/>
                <w:bCs/>
              </w:rPr>
            </w:pPr>
            <w:r w:rsidRPr="00DF3112">
              <w:rPr>
                <w:b/>
                <w:bCs/>
              </w:rPr>
              <w:t>2,010</w:t>
            </w:r>
          </w:p>
        </w:tc>
        <w:tc>
          <w:tcPr>
            <w:tcW w:w="715" w:type="pct"/>
            <w:tcBorders>
              <w:top w:val="single" w:sz="2" w:space="0" w:color="002279"/>
              <w:left w:val="single" w:sz="4" w:space="0" w:color="002279"/>
              <w:bottom w:val="single" w:sz="4" w:space="0" w:color="002279"/>
              <w:right w:val="single" w:sz="4" w:space="0" w:color="002279"/>
            </w:tcBorders>
            <w:shd w:val="clear" w:color="auto" w:fill="D4D6DF"/>
            <w:noWrap/>
            <w:vAlign w:val="center"/>
            <w:hideMark/>
          </w:tcPr>
          <w:p w14:paraId="0E23E7CE" w14:textId="35E0E1EF" w:rsidR="00DF3112" w:rsidRPr="00DF3112" w:rsidRDefault="00DF3112" w:rsidP="00DF3112">
            <w:pPr>
              <w:jc w:val="center"/>
              <w:rPr>
                <w:rFonts w:ascii="Arial" w:hAnsi="Arial" w:cs="Arial"/>
                <w:b/>
                <w:bCs/>
              </w:rPr>
            </w:pPr>
            <w:r w:rsidRPr="00DF3112">
              <w:rPr>
                <w:b/>
                <w:bCs/>
              </w:rPr>
              <w:t>2,750</w:t>
            </w:r>
          </w:p>
        </w:tc>
        <w:tc>
          <w:tcPr>
            <w:tcW w:w="713" w:type="pct"/>
            <w:tcBorders>
              <w:top w:val="single" w:sz="2" w:space="0" w:color="002279"/>
              <w:left w:val="single" w:sz="4" w:space="0" w:color="002279"/>
              <w:bottom w:val="single" w:sz="4" w:space="0" w:color="002279"/>
              <w:right w:val="single" w:sz="4" w:space="0" w:color="002279"/>
            </w:tcBorders>
            <w:shd w:val="clear" w:color="auto" w:fill="D4D6DF"/>
            <w:noWrap/>
            <w:vAlign w:val="center"/>
            <w:hideMark/>
          </w:tcPr>
          <w:p w14:paraId="12808BB3" w14:textId="65E64BA3" w:rsidR="00DF3112" w:rsidRPr="00DF3112" w:rsidRDefault="00DF3112" w:rsidP="00DF3112">
            <w:pPr>
              <w:jc w:val="center"/>
              <w:rPr>
                <w:rFonts w:ascii="Arial" w:hAnsi="Arial" w:cs="Arial"/>
                <w:b/>
                <w:bCs/>
              </w:rPr>
            </w:pPr>
            <w:r w:rsidRPr="00DF3112">
              <w:rPr>
                <w:b/>
                <w:bCs/>
              </w:rPr>
              <w:t>3,475</w:t>
            </w:r>
          </w:p>
        </w:tc>
      </w:tr>
    </w:tbl>
    <w:p w14:paraId="5322275C" w14:textId="5E73E1A6" w:rsidR="00AE35E9" w:rsidRDefault="00AE35E9">
      <w:pPr>
        <w:pStyle w:val="Heading2"/>
      </w:pPr>
      <w:r>
        <w:lastRenderedPageBreak/>
        <w:t>9.</w:t>
      </w:r>
      <w:r w:rsidR="00FE4F35">
        <w:t>3</w:t>
      </w:r>
      <w:r>
        <w:t xml:space="preserve"> </w:t>
      </w:r>
      <w:r w:rsidR="006D6398">
        <w:t>Water</w:t>
      </w:r>
      <w:r>
        <w:t xml:space="preserve"> consumption</w:t>
      </w:r>
    </w:p>
    <w:p w14:paraId="5CED551A" w14:textId="5FAF4E3C" w:rsidR="00622C6C" w:rsidRDefault="00622C6C" w:rsidP="00622C6C">
      <w:pPr>
        <w:pStyle w:val="Heading3"/>
      </w:pPr>
      <w:r>
        <w:t xml:space="preserve">9.3.1 Residential </w:t>
      </w:r>
      <w:r w:rsidR="00845406">
        <w:t>potable</w:t>
      </w:r>
      <w:r w:rsidR="006D6398">
        <w:t xml:space="preserve"> water </w:t>
      </w:r>
      <w:r>
        <w:t>consumption</w:t>
      </w:r>
    </w:p>
    <w:p w14:paraId="12B79516" w14:textId="78C040CB" w:rsidR="00330633" w:rsidRDefault="00330633" w:rsidP="14EA01B5">
      <w:pPr>
        <w:rPr>
          <w:rFonts w:asciiTheme="minorHAnsi" w:hAnsiTheme="minorHAnsi"/>
        </w:rPr>
      </w:pPr>
      <w:r w:rsidRPr="00330633">
        <w:rPr>
          <w:rFonts w:asciiTheme="minorHAnsi" w:hAnsiTheme="minorHAnsi"/>
        </w:rPr>
        <w:t xml:space="preserve">It is unclear to what </w:t>
      </w:r>
      <w:r w:rsidRPr="009F6EA4">
        <w:rPr>
          <w:rFonts w:asciiTheme="minorHAnsi" w:hAnsiTheme="minorHAnsi"/>
        </w:rPr>
        <w:t>extent COVID-19</w:t>
      </w:r>
      <w:r w:rsidR="009F6EA4">
        <w:rPr>
          <w:rFonts w:asciiTheme="minorHAnsi" w:hAnsiTheme="minorHAnsi"/>
        </w:rPr>
        <w:t xml:space="preserve"> (</w:t>
      </w:r>
      <w:r w:rsidRPr="009F6EA4">
        <w:rPr>
          <w:rFonts w:asciiTheme="minorHAnsi" w:hAnsiTheme="minorHAnsi"/>
        </w:rPr>
        <w:t xml:space="preserve">particularly the greater </w:t>
      </w:r>
      <w:r w:rsidR="00E968F3" w:rsidRPr="009F6EA4">
        <w:rPr>
          <w:rFonts w:asciiTheme="minorHAnsi" w:hAnsiTheme="minorHAnsi"/>
        </w:rPr>
        <w:t>prevalence</w:t>
      </w:r>
      <w:r w:rsidRPr="009F6EA4">
        <w:rPr>
          <w:rFonts w:asciiTheme="minorHAnsi" w:hAnsiTheme="minorHAnsi"/>
        </w:rPr>
        <w:t xml:space="preserve"> o</w:t>
      </w:r>
      <w:r w:rsidR="005A4C7C" w:rsidRPr="009F6EA4">
        <w:rPr>
          <w:rFonts w:asciiTheme="minorHAnsi" w:hAnsiTheme="minorHAnsi"/>
        </w:rPr>
        <w:t>f</w:t>
      </w:r>
      <w:r w:rsidRPr="009F6EA4">
        <w:rPr>
          <w:rFonts w:asciiTheme="minorHAnsi" w:hAnsiTheme="minorHAnsi"/>
        </w:rPr>
        <w:t xml:space="preserve"> working from home</w:t>
      </w:r>
      <w:r w:rsidR="009F6EA4">
        <w:rPr>
          <w:rFonts w:asciiTheme="minorHAnsi" w:hAnsiTheme="minorHAnsi"/>
        </w:rPr>
        <w:t>)</w:t>
      </w:r>
      <w:r w:rsidRPr="009F6EA4">
        <w:rPr>
          <w:rFonts w:asciiTheme="minorHAnsi" w:hAnsiTheme="minorHAnsi"/>
        </w:rPr>
        <w:t xml:space="preserve"> will have lasting impacts</w:t>
      </w:r>
      <w:r w:rsidRPr="00330633">
        <w:rPr>
          <w:rFonts w:asciiTheme="minorHAnsi" w:hAnsiTheme="minorHAnsi"/>
        </w:rPr>
        <w:t xml:space="preserve"> on overall growth and settlement patterns in </w:t>
      </w:r>
      <w:r w:rsidR="0012210C">
        <w:rPr>
          <w:rFonts w:asciiTheme="minorHAnsi" w:hAnsiTheme="minorHAnsi"/>
        </w:rPr>
        <w:t>South East Water</w:t>
      </w:r>
      <w:r w:rsidR="00612583">
        <w:rPr>
          <w:rFonts w:asciiTheme="minorHAnsi" w:hAnsiTheme="minorHAnsi"/>
        </w:rPr>
        <w:t>’</w:t>
      </w:r>
      <w:r w:rsidR="0012210C">
        <w:rPr>
          <w:rFonts w:asciiTheme="minorHAnsi" w:hAnsiTheme="minorHAnsi"/>
        </w:rPr>
        <w:t>s service r</w:t>
      </w:r>
      <w:r w:rsidRPr="00330633">
        <w:rPr>
          <w:rFonts w:asciiTheme="minorHAnsi" w:hAnsiTheme="minorHAnsi"/>
        </w:rPr>
        <w:t>egion.</w:t>
      </w:r>
      <w:r w:rsidR="00B51959">
        <w:rPr>
          <w:rFonts w:asciiTheme="minorHAnsi" w:hAnsiTheme="minorHAnsi"/>
        </w:rPr>
        <w:t xml:space="preserve"> </w:t>
      </w:r>
      <w:r w:rsidR="00E91E2A">
        <w:rPr>
          <w:rFonts w:asciiTheme="minorHAnsi" w:hAnsiTheme="minorHAnsi"/>
        </w:rPr>
        <w:t>It is clear</w:t>
      </w:r>
      <w:r w:rsidR="00AF6933">
        <w:rPr>
          <w:rFonts w:asciiTheme="minorHAnsi" w:hAnsiTheme="minorHAnsi"/>
        </w:rPr>
        <w:t>,</w:t>
      </w:r>
      <w:r w:rsidR="00E91E2A">
        <w:rPr>
          <w:rFonts w:asciiTheme="minorHAnsi" w:hAnsiTheme="minorHAnsi"/>
        </w:rPr>
        <w:t xml:space="preserve"> however</w:t>
      </w:r>
      <w:r w:rsidR="00AF6933">
        <w:rPr>
          <w:rFonts w:asciiTheme="minorHAnsi" w:hAnsiTheme="minorHAnsi"/>
        </w:rPr>
        <w:t>,</w:t>
      </w:r>
      <w:r w:rsidR="00E91E2A">
        <w:rPr>
          <w:rFonts w:asciiTheme="minorHAnsi" w:hAnsiTheme="minorHAnsi"/>
        </w:rPr>
        <w:t xml:space="preserve"> that these changes have translated to an increase in household usage across </w:t>
      </w:r>
      <w:r w:rsidR="0012210C">
        <w:rPr>
          <w:rFonts w:asciiTheme="minorHAnsi" w:hAnsiTheme="minorHAnsi"/>
        </w:rPr>
        <w:t>our</w:t>
      </w:r>
      <w:r w:rsidR="006B3F88">
        <w:rPr>
          <w:rFonts w:asciiTheme="minorHAnsi" w:hAnsiTheme="minorHAnsi"/>
        </w:rPr>
        <w:t xml:space="preserve"> </w:t>
      </w:r>
      <w:r w:rsidR="00E91E2A">
        <w:rPr>
          <w:rFonts w:asciiTheme="minorHAnsi" w:hAnsiTheme="minorHAnsi"/>
        </w:rPr>
        <w:t>region</w:t>
      </w:r>
      <w:r w:rsidR="00ED4901">
        <w:rPr>
          <w:rFonts w:asciiTheme="minorHAnsi" w:hAnsiTheme="minorHAnsi"/>
        </w:rPr>
        <w:t xml:space="preserve">. </w:t>
      </w:r>
      <w:r w:rsidR="009F6EA4">
        <w:rPr>
          <w:rFonts w:asciiTheme="minorHAnsi" w:hAnsiTheme="minorHAnsi"/>
        </w:rPr>
        <w:t xml:space="preserve">This reflects a </w:t>
      </w:r>
      <w:r w:rsidR="00770B25">
        <w:rPr>
          <w:rFonts w:asciiTheme="minorHAnsi" w:hAnsiTheme="minorHAnsi"/>
        </w:rPr>
        <w:t>diversion</w:t>
      </w:r>
      <w:r w:rsidR="009F6EA4">
        <w:rPr>
          <w:rFonts w:asciiTheme="minorHAnsi" w:hAnsiTheme="minorHAnsi"/>
        </w:rPr>
        <w:t xml:space="preserve"> of water consumption</w:t>
      </w:r>
      <w:r w:rsidR="00770B25">
        <w:rPr>
          <w:rFonts w:asciiTheme="minorHAnsi" w:hAnsiTheme="minorHAnsi"/>
        </w:rPr>
        <w:t xml:space="preserve"> </w:t>
      </w:r>
      <w:r w:rsidR="007A0AAD">
        <w:rPr>
          <w:rFonts w:asciiTheme="minorHAnsi" w:hAnsiTheme="minorHAnsi"/>
        </w:rPr>
        <w:t xml:space="preserve">from the CBD to the home </w:t>
      </w:r>
      <w:r w:rsidR="009F6EA4">
        <w:rPr>
          <w:rFonts w:asciiTheme="minorHAnsi" w:hAnsiTheme="minorHAnsi"/>
        </w:rPr>
        <w:t xml:space="preserve">rather than an overall </w:t>
      </w:r>
      <w:r w:rsidR="007A0AAD">
        <w:rPr>
          <w:rFonts w:asciiTheme="minorHAnsi" w:hAnsiTheme="minorHAnsi"/>
        </w:rPr>
        <w:t>increase in consumption</w:t>
      </w:r>
      <w:r w:rsidR="009F6EA4">
        <w:rPr>
          <w:rFonts w:asciiTheme="minorHAnsi" w:hAnsiTheme="minorHAnsi"/>
        </w:rPr>
        <w:t>. This</w:t>
      </w:r>
      <w:r w:rsidR="00397560">
        <w:rPr>
          <w:rFonts w:asciiTheme="minorHAnsi" w:hAnsiTheme="minorHAnsi"/>
        </w:rPr>
        <w:t xml:space="preserve"> change is</w:t>
      </w:r>
      <w:r w:rsidR="00A5446D">
        <w:rPr>
          <w:rFonts w:asciiTheme="minorHAnsi" w:hAnsiTheme="minorHAnsi"/>
        </w:rPr>
        <w:t xml:space="preserve"> reflective </w:t>
      </w:r>
      <w:r w:rsidR="00AD6868">
        <w:rPr>
          <w:rFonts w:asciiTheme="minorHAnsi" w:hAnsiTheme="minorHAnsi"/>
        </w:rPr>
        <w:t>of</w:t>
      </w:r>
      <w:r w:rsidR="00A5446D">
        <w:rPr>
          <w:rFonts w:asciiTheme="minorHAnsi" w:hAnsiTheme="minorHAnsi"/>
        </w:rPr>
        <w:t xml:space="preserve"> our </w:t>
      </w:r>
      <w:r w:rsidR="000C78B7">
        <w:rPr>
          <w:rFonts w:asciiTheme="minorHAnsi" w:hAnsiTheme="minorHAnsi"/>
        </w:rPr>
        <w:t>customers</w:t>
      </w:r>
      <w:r w:rsidR="00A5446D">
        <w:rPr>
          <w:rFonts w:asciiTheme="minorHAnsi" w:hAnsiTheme="minorHAnsi"/>
        </w:rPr>
        <w:t xml:space="preserve"> no longer comm</w:t>
      </w:r>
      <w:r w:rsidR="007F3FA0">
        <w:rPr>
          <w:rFonts w:asciiTheme="minorHAnsi" w:hAnsiTheme="minorHAnsi"/>
        </w:rPr>
        <w:t>uting to Melbourne</w:t>
      </w:r>
      <w:r w:rsidR="00612583">
        <w:rPr>
          <w:rFonts w:asciiTheme="minorHAnsi" w:hAnsiTheme="minorHAnsi"/>
        </w:rPr>
        <w:t>’</w:t>
      </w:r>
      <w:r w:rsidR="007F3FA0">
        <w:rPr>
          <w:rFonts w:asciiTheme="minorHAnsi" w:hAnsiTheme="minorHAnsi"/>
        </w:rPr>
        <w:t xml:space="preserve">s CBD </w:t>
      </w:r>
      <w:r w:rsidR="00DF01B1">
        <w:rPr>
          <w:rFonts w:asciiTheme="minorHAnsi" w:hAnsiTheme="minorHAnsi"/>
        </w:rPr>
        <w:t>for work in the same numbers</w:t>
      </w:r>
      <w:r w:rsidR="00F62F3E">
        <w:rPr>
          <w:rFonts w:asciiTheme="minorHAnsi" w:hAnsiTheme="minorHAnsi"/>
        </w:rPr>
        <w:t xml:space="preserve"> as</w:t>
      </w:r>
      <w:r w:rsidR="009F6EA4">
        <w:rPr>
          <w:rFonts w:asciiTheme="minorHAnsi" w:hAnsiTheme="minorHAnsi"/>
        </w:rPr>
        <w:t xml:space="preserve"> prior to COVID-19</w:t>
      </w:r>
      <w:r w:rsidR="00552486">
        <w:rPr>
          <w:rFonts w:asciiTheme="minorHAnsi" w:hAnsiTheme="minorHAnsi"/>
        </w:rPr>
        <w:t>.</w:t>
      </w:r>
    </w:p>
    <w:p w14:paraId="5D127C2B" w14:textId="27DB4DB2" w:rsidR="003B356D" w:rsidRDefault="00737735" w:rsidP="00903821">
      <w:pPr>
        <w:rPr>
          <w:rFonts w:asciiTheme="minorHAnsi" w:hAnsiTheme="minorHAnsi"/>
        </w:rPr>
      </w:pPr>
      <w:r>
        <w:rPr>
          <w:rFonts w:asciiTheme="minorHAnsi" w:hAnsiTheme="minorHAnsi"/>
        </w:rPr>
        <w:t>For this reason</w:t>
      </w:r>
      <w:r w:rsidR="006B3F88">
        <w:rPr>
          <w:rFonts w:asciiTheme="minorHAnsi" w:hAnsiTheme="minorHAnsi"/>
        </w:rPr>
        <w:t>,</w:t>
      </w:r>
      <w:r>
        <w:rPr>
          <w:rFonts w:asciiTheme="minorHAnsi" w:hAnsiTheme="minorHAnsi"/>
        </w:rPr>
        <w:t xml:space="preserve"> </w:t>
      </w:r>
      <w:r w:rsidR="00AE65EE">
        <w:rPr>
          <w:rFonts w:asciiTheme="minorHAnsi" w:hAnsiTheme="minorHAnsi"/>
        </w:rPr>
        <w:t xml:space="preserve">we are forecasting </w:t>
      </w:r>
      <w:r w:rsidR="00B53152">
        <w:rPr>
          <w:rFonts w:asciiTheme="minorHAnsi" w:hAnsiTheme="minorHAnsi"/>
        </w:rPr>
        <w:t>a high level of consumption within the home</w:t>
      </w:r>
      <w:r w:rsidR="00671701">
        <w:rPr>
          <w:rFonts w:asciiTheme="minorHAnsi" w:hAnsiTheme="minorHAnsi"/>
        </w:rPr>
        <w:t xml:space="preserve">. </w:t>
      </w:r>
      <w:r w:rsidR="003F1732">
        <w:rPr>
          <w:rFonts w:asciiTheme="minorHAnsi" w:hAnsiTheme="minorHAnsi"/>
        </w:rPr>
        <w:br/>
      </w:r>
      <w:r w:rsidR="00671701">
        <w:rPr>
          <w:rFonts w:asciiTheme="minorHAnsi" w:hAnsiTheme="minorHAnsi"/>
        </w:rPr>
        <w:t>T</w:t>
      </w:r>
      <w:r w:rsidR="003B356D" w:rsidRPr="14EA01B5">
        <w:rPr>
          <w:rFonts w:asciiTheme="minorHAnsi" w:hAnsiTheme="minorHAnsi"/>
        </w:rPr>
        <w:t xml:space="preserve">otal residential </w:t>
      </w:r>
      <w:r w:rsidR="00671701">
        <w:rPr>
          <w:rFonts w:asciiTheme="minorHAnsi" w:hAnsiTheme="minorHAnsi"/>
        </w:rPr>
        <w:t>potable</w:t>
      </w:r>
      <w:r w:rsidR="003B356D" w:rsidRPr="14EA01B5">
        <w:rPr>
          <w:rFonts w:asciiTheme="minorHAnsi" w:hAnsiTheme="minorHAnsi"/>
        </w:rPr>
        <w:t xml:space="preserve"> water </w:t>
      </w:r>
      <w:r w:rsidR="00671701">
        <w:rPr>
          <w:rFonts w:asciiTheme="minorHAnsi" w:hAnsiTheme="minorHAnsi"/>
        </w:rPr>
        <w:t>consumption is forecast</w:t>
      </w:r>
      <w:r w:rsidR="003B356D" w:rsidRPr="14EA01B5">
        <w:rPr>
          <w:rFonts w:asciiTheme="minorHAnsi" w:hAnsiTheme="minorHAnsi"/>
        </w:rPr>
        <w:t xml:space="preserve"> to grow by approximately </w:t>
      </w:r>
      <w:r w:rsidR="00746FA8" w:rsidRPr="00800166">
        <w:rPr>
          <w:rFonts w:asciiTheme="minorHAnsi" w:hAnsiTheme="minorHAnsi"/>
        </w:rPr>
        <w:t>0.</w:t>
      </w:r>
      <w:r w:rsidR="00E93040" w:rsidRPr="00800166">
        <w:rPr>
          <w:rFonts w:asciiTheme="minorHAnsi" w:hAnsiTheme="minorHAnsi"/>
        </w:rPr>
        <w:t>7</w:t>
      </w:r>
      <w:r w:rsidR="00746FA8" w:rsidRPr="00800166">
        <w:rPr>
          <w:rFonts w:asciiTheme="minorHAnsi" w:hAnsiTheme="minorHAnsi"/>
        </w:rPr>
        <w:t>%</w:t>
      </w:r>
      <w:r w:rsidR="003B356D" w:rsidRPr="00800166">
        <w:rPr>
          <w:rFonts w:asciiTheme="minorHAnsi" w:hAnsiTheme="minorHAnsi"/>
        </w:rPr>
        <w:t xml:space="preserve"> per annum</w:t>
      </w:r>
      <w:r w:rsidR="003B356D" w:rsidRPr="14EA01B5">
        <w:rPr>
          <w:rFonts w:asciiTheme="minorHAnsi" w:hAnsiTheme="minorHAnsi"/>
        </w:rPr>
        <w:t xml:space="preserve"> during the </w:t>
      </w:r>
      <w:r w:rsidR="00671701">
        <w:rPr>
          <w:rFonts w:asciiTheme="minorHAnsi" w:hAnsiTheme="minorHAnsi"/>
        </w:rPr>
        <w:t>2023-28</w:t>
      </w:r>
      <w:r w:rsidR="003B356D" w:rsidRPr="14EA01B5">
        <w:rPr>
          <w:rFonts w:asciiTheme="minorHAnsi" w:hAnsiTheme="minorHAnsi"/>
        </w:rPr>
        <w:t xml:space="preserve"> regulatory period. This reflects the take up of more efficient household appliances, increased use of alternative water supplies and smaller garden sizes</w:t>
      </w:r>
      <w:r w:rsidR="00E0222F">
        <w:rPr>
          <w:rFonts w:asciiTheme="minorHAnsi" w:hAnsiTheme="minorHAnsi"/>
        </w:rPr>
        <w:t>,</w:t>
      </w:r>
      <w:r w:rsidR="00C97B99">
        <w:rPr>
          <w:rFonts w:asciiTheme="minorHAnsi" w:hAnsiTheme="minorHAnsi"/>
        </w:rPr>
        <w:t xml:space="preserve"> as well as the assumed efficiencies</w:t>
      </w:r>
      <w:r w:rsidR="00D0082F">
        <w:rPr>
          <w:rFonts w:asciiTheme="minorHAnsi" w:hAnsiTheme="minorHAnsi"/>
        </w:rPr>
        <w:t xml:space="preserve"> and behaviour change </w:t>
      </w:r>
      <w:r w:rsidR="00F2277F">
        <w:rPr>
          <w:rFonts w:asciiTheme="minorHAnsi" w:hAnsiTheme="minorHAnsi"/>
        </w:rPr>
        <w:t xml:space="preserve">realised through the </w:t>
      </w:r>
      <w:r w:rsidR="007074E9">
        <w:rPr>
          <w:rFonts w:asciiTheme="minorHAnsi" w:hAnsiTheme="minorHAnsi"/>
        </w:rPr>
        <w:t>rollout of digital meters</w:t>
      </w:r>
      <w:r w:rsidR="003B356D" w:rsidRPr="14EA01B5">
        <w:rPr>
          <w:rFonts w:asciiTheme="minorHAnsi" w:hAnsiTheme="minorHAnsi"/>
        </w:rPr>
        <w:t xml:space="preserve">. </w:t>
      </w:r>
    </w:p>
    <w:p w14:paraId="4DB6A10B" w14:textId="5CEA696C" w:rsidR="00D866EB" w:rsidRDefault="00EE5EE5" w:rsidP="14EA01B5">
      <w:pPr>
        <w:pStyle w:val="Bulletlistmultilevel"/>
        <w:ind w:left="0" w:firstLine="0"/>
        <w:rPr>
          <w:sz w:val="24"/>
          <w:szCs w:val="24"/>
        </w:rPr>
      </w:pPr>
      <w:r>
        <w:rPr>
          <w:sz w:val="24"/>
          <w:szCs w:val="24"/>
        </w:rPr>
        <w:t>South East Water has developed</w:t>
      </w:r>
      <w:r w:rsidR="00755BC7">
        <w:rPr>
          <w:sz w:val="24"/>
          <w:szCs w:val="24"/>
        </w:rPr>
        <w:t xml:space="preserve"> and evolved</w:t>
      </w:r>
      <w:r>
        <w:rPr>
          <w:sz w:val="24"/>
          <w:szCs w:val="24"/>
        </w:rPr>
        <w:t xml:space="preserve"> an econometric model</w:t>
      </w:r>
      <w:r w:rsidR="00755BC7">
        <w:rPr>
          <w:sz w:val="24"/>
          <w:szCs w:val="24"/>
        </w:rPr>
        <w:t xml:space="preserve"> over the past </w:t>
      </w:r>
      <w:r w:rsidR="006B3F88">
        <w:rPr>
          <w:sz w:val="24"/>
          <w:szCs w:val="24"/>
        </w:rPr>
        <w:t>8</w:t>
      </w:r>
      <w:r w:rsidR="00755BC7">
        <w:rPr>
          <w:sz w:val="24"/>
          <w:szCs w:val="24"/>
        </w:rPr>
        <w:t xml:space="preserve"> years </w:t>
      </w:r>
      <w:r w:rsidR="000E0128">
        <w:rPr>
          <w:sz w:val="24"/>
          <w:szCs w:val="24"/>
        </w:rPr>
        <w:t xml:space="preserve">that has been </w:t>
      </w:r>
      <w:r w:rsidR="00DC2898" w:rsidRPr="14EA01B5">
        <w:rPr>
          <w:sz w:val="24"/>
          <w:szCs w:val="24"/>
        </w:rPr>
        <w:t>validate</w:t>
      </w:r>
      <w:r w:rsidR="00181D1D">
        <w:rPr>
          <w:sz w:val="24"/>
          <w:szCs w:val="24"/>
        </w:rPr>
        <w:t>d</w:t>
      </w:r>
      <w:r w:rsidR="00DC2898" w:rsidRPr="14EA01B5">
        <w:rPr>
          <w:sz w:val="24"/>
          <w:szCs w:val="24"/>
        </w:rPr>
        <w:t xml:space="preserve"> </w:t>
      </w:r>
      <w:r w:rsidR="00267205">
        <w:rPr>
          <w:sz w:val="24"/>
          <w:szCs w:val="24"/>
        </w:rPr>
        <w:t xml:space="preserve">against </w:t>
      </w:r>
      <w:r w:rsidR="00181D1D">
        <w:rPr>
          <w:sz w:val="24"/>
          <w:szCs w:val="24"/>
        </w:rPr>
        <w:t>the</w:t>
      </w:r>
      <w:r w:rsidR="00DC2898" w:rsidRPr="14EA01B5">
        <w:rPr>
          <w:sz w:val="24"/>
          <w:szCs w:val="24"/>
        </w:rPr>
        <w:t xml:space="preserve"> end</w:t>
      </w:r>
      <w:r w:rsidR="000F7837">
        <w:rPr>
          <w:sz w:val="24"/>
          <w:szCs w:val="24"/>
        </w:rPr>
        <w:t>-</w:t>
      </w:r>
      <w:r w:rsidR="00DC2898" w:rsidRPr="14EA01B5">
        <w:rPr>
          <w:sz w:val="24"/>
          <w:szCs w:val="24"/>
        </w:rPr>
        <w:t xml:space="preserve">use </w:t>
      </w:r>
      <w:r w:rsidR="00181D1D">
        <w:rPr>
          <w:sz w:val="24"/>
          <w:szCs w:val="24"/>
        </w:rPr>
        <w:t xml:space="preserve">(iSDP) model </w:t>
      </w:r>
      <w:r w:rsidR="009567FF">
        <w:rPr>
          <w:sz w:val="24"/>
          <w:szCs w:val="24"/>
        </w:rPr>
        <w:t>(</w:t>
      </w:r>
      <w:r w:rsidR="00181D1D">
        <w:rPr>
          <w:sz w:val="24"/>
          <w:szCs w:val="24"/>
        </w:rPr>
        <w:t>consistent across retailers</w:t>
      </w:r>
      <w:r w:rsidR="009567FF">
        <w:rPr>
          <w:sz w:val="24"/>
          <w:szCs w:val="24"/>
        </w:rPr>
        <w:t>)</w:t>
      </w:r>
      <w:r w:rsidR="00181D1D">
        <w:rPr>
          <w:sz w:val="24"/>
          <w:szCs w:val="24"/>
        </w:rPr>
        <w:t xml:space="preserve"> </w:t>
      </w:r>
      <w:r w:rsidR="003A4977">
        <w:rPr>
          <w:sz w:val="24"/>
          <w:szCs w:val="24"/>
        </w:rPr>
        <w:t xml:space="preserve">to prepare the </w:t>
      </w:r>
      <w:r w:rsidR="00DC2898" w:rsidRPr="14EA01B5">
        <w:rPr>
          <w:sz w:val="24"/>
          <w:szCs w:val="24"/>
        </w:rPr>
        <w:t xml:space="preserve">residential </w:t>
      </w:r>
      <w:r w:rsidR="00845406">
        <w:rPr>
          <w:sz w:val="24"/>
          <w:szCs w:val="24"/>
        </w:rPr>
        <w:t>potable</w:t>
      </w:r>
      <w:r w:rsidR="00DC2898" w:rsidRPr="14EA01B5">
        <w:rPr>
          <w:sz w:val="24"/>
          <w:szCs w:val="24"/>
        </w:rPr>
        <w:t xml:space="preserve"> water </w:t>
      </w:r>
      <w:r w:rsidR="003A4977">
        <w:rPr>
          <w:sz w:val="24"/>
          <w:szCs w:val="24"/>
        </w:rPr>
        <w:t>forecasts</w:t>
      </w:r>
      <w:r w:rsidR="00DC2898" w:rsidRPr="14EA01B5">
        <w:rPr>
          <w:sz w:val="24"/>
          <w:szCs w:val="24"/>
        </w:rPr>
        <w:t xml:space="preserve">. The econometric </w:t>
      </w:r>
      <w:r w:rsidR="00384A6E">
        <w:rPr>
          <w:sz w:val="24"/>
          <w:szCs w:val="24"/>
        </w:rPr>
        <w:t>model</w:t>
      </w:r>
      <w:r w:rsidR="00DC2898" w:rsidRPr="14EA01B5">
        <w:rPr>
          <w:sz w:val="24"/>
          <w:szCs w:val="24"/>
        </w:rPr>
        <w:t xml:space="preserve"> </w:t>
      </w:r>
      <w:r w:rsidR="003F1732">
        <w:rPr>
          <w:sz w:val="24"/>
          <w:szCs w:val="24"/>
        </w:rPr>
        <w:br/>
      </w:r>
      <w:r w:rsidR="00DC2898" w:rsidRPr="14EA01B5">
        <w:rPr>
          <w:sz w:val="24"/>
          <w:szCs w:val="24"/>
        </w:rPr>
        <w:t>use</w:t>
      </w:r>
      <w:r w:rsidR="00384A6E">
        <w:rPr>
          <w:sz w:val="24"/>
          <w:szCs w:val="24"/>
        </w:rPr>
        <w:t>s</w:t>
      </w:r>
      <w:r w:rsidR="00DC2898" w:rsidRPr="14EA01B5">
        <w:rPr>
          <w:sz w:val="24"/>
          <w:szCs w:val="24"/>
        </w:rPr>
        <w:t xml:space="preserve"> well-established methods involving dynamic panel data models for 2</w:t>
      </w:r>
      <w:r w:rsidR="00D34967">
        <w:rPr>
          <w:sz w:val="24"/>
          <w:szCs w:val="24"/>
        </w:rPr>
        <w:t>5</w:t>
      </w:r>
      <w:r w:rsidR="00DC2898" w:rsidRPr="14EA01B5">
        <w:rPr>
          <w:sz w:val="24"/>
          <w:szCs w:val="24"/>
        </w:rPr>
        <w:t xml:space="preserve"> distinct customer segments (based on dwelling type, property size, </w:t>
      </w:r>
      <w:r w:rsidR="00A20934">
        <w:rPr>
          <w:sz w:val="24"/>
          <w:szCs w:val="24"/>
        </w:rPr>
        <w:t>tenancy</w:t>
      </w:r>
      <w:r w:rsidR="00DC2898" w:rsidRPr="14EA01B5">
        <w:rPr>
          <w:sz w:val="24"/>
          <w:szCs w:val="24"/>
        </w:rPr>
        <w:t xml:space="preserve"> and recycled water</w:t>
      </w:r>
      <w:r w:rsidR="007507EA">
        <w:rPr>
          <w:sz w:val="24"/>
          <w:szCs w:val="24"/>
        </w:rPr>
        <w:t xml:space="preserve"> connection</w:t>
      </w:r>
      <w:r w:rsidR="00DC2898" w:rsidRPr="14EA01B5">
        <w:rPr>
          <w:sz w:val="24"/>
          <w:szCs w:val="24"/>
        </w:rPr>
        <w:t>)</w:t>
      </w:r>
      <w:r w:rsidR="00794F9C">
        <w:rPr>
          <w:sz w:val="24"/>
          <w:szCs w:val="24"/>
        </w:rPr>
        <w:t xml:space="preserve"> to generate </w:t>
      </w:r>
      <w:r w:rsidR="00D061E7">
        <w:rPr>
          <w:sz w:val="24"/>
          <w:szCs w:val="24"/>
        </w:rPr>
        <w:t>cohort</w:t>
      </w:r>
      <w:r w:rsidR="00AF6933">
        <w:rPr>
          <w:sz w:val="24"/>
          <w:szCs w:val="24"/>
        </w:rPr>
        <w:t>-</w:t>
      </w:r>
      <w:r w:rsidR="00D061E7">
        <w:rPr>
          <w:sz w:val="24"/>
          <w:szCs w:val="24"/>
        </w:rPr>
        <w:t>specific usage that can be extrapolated across our service area.</w:t>
      </w:r>
      <w:r w:rsidR="00DC2898" w:rsidRPr="14EA01B5">
        <w:rPr>
          <w:sz w:val="24"/>
          <w:szCs w:val="24"/>
        </w:rPr>
        <w:t xml:space="preserve"> </w:t>
      </w:r>
    </w:p>
    <w:p w14:paraId="478C5613" w14:textId="6C01402E" w:rsidR="00C7722C" w:rsidRDefault="00DC2898" w:rsidP="00005159">
      <w:pPr>
        <w:pStyle w:val="Bulletlistmultilevel"/>
        <w:ind w:left="0" w:firstLine="0"/>
        <w:rPr>
          <w:sz w:val="24"/>
          <w:szCs w:val="24"/>
        </w:rPr>
      </w:pPr>
      <w:r w:rsidRPr="14EA01B5">
        <w:rPr>
          <w:sz w:val="24"/>
          <w:szCs w:val="24"/>
        </w:rPr>
        <w:t>The model quantifie</w:t>
      </w:r>
      <w:r w:rsidR="004B6D9B">
        <w:rPr>
          <w:sz w:val="24"/>
          <w:szCs w:val="24"/>
        </w:rPr>
        <w:t>s</w:t>
      </w:r>
      <w:r w:rsidRPr="14EA01B5">
        <w:rPr>
          <w:sz w:val="24"/>
          <w:szCs w:val="24"/>
        </w:rPr>
        <w:t xml:space="preserve"> the impact of weather conditions and seasonal variables on water use patterns </w:t>
      </w:r>
      <w:r w:rsidR="004B6D9B">
        <w:rPr>
          <w:sz w:val="24"/>
          <w:szCs w:val="24"/>
        </w:rPr>
        <w:t xml:space="preserve">across </w:t>
      </w:r>
      <w:r w:rsidR="00850EF8">
        <w:rPr>
          <w:sz w:val="24"/>
          <w:szCs w:val="24"/>
        </w:rPr>
        <w:t>the 2</w:t>
      </w:r>
      <w:r w:rsidR="00D34967">
        <w:rPr>
          <w:sz w:val="24"/>
          <w:szCs w:val="24"/>
        </w:rPr>
        <w:t>5</w:t>
      </w:r>
      <w:r w:rsidR="00850EF8">
        <w:rPr>
          <w:sz w:val="24"/>
          <w:szCs w:val="24"/>
        </w:rPr>
        <w:t xml:space="preserve"> segments</w:t>
      </w:r>
      <w:r w:rsidR="00DD4811">
        <w:rPr>
          <w:sz w:val="24"/>
          <w:szCs w:val="24"/>
        </w:rPr>
        <w:t xml:space="preserve"> </w:t>
      </w:r>
      <w:r w:rsidR="00D64BB8">
        <w:rPr>
          <w:sz w:val="24"/>
          <w:szCs w:val="24"/>
        </w:rPr>
        <w:t>which</w:t>
      </w:r>
      <w:r w:rsidR="00DD4811">
        <w:rPr>
          <w:sz w:val="24"/>
          <w:szCs w:val="24"/>
        </w:rPr>
        <w:t xml:space="preserve"> </w:t>
      </w:r>
      <w:r w:rsidRPr="14EA01B5">
        <w:rPr>
          <w:sz w:val="24"/>
          <w:szCs w:val="24"/>
        </w:rPr>
        <w:t>allow</w:t>
      </w:r>
      <w:r w:rsidR="00DD4811">
        <w:rPr>
          <w:sz w:val="24"/>
          <w:szCs w:val="24"/>
        </w:rPr>
        <w:t>s</w:t>
      </w:r>
      <w:r w:rsidRPr="14EA01B5">
        <w:rPr>
          <w:sz w:val="24"/>
          <w:szCs w:val="24"/>
        </w:rPr>
        <w:t xml:space="preserve"> us to estimate residential consumption under </w:t>
      </w:r>
      <w:r w:rsidR="00965860">
        <w:rPr>
          <w:sz w:val="24"/>
          <w:szCs w:val="24"/>
        </w:rPr>
        <w:t xml:space="preserve">a variety of </w:t>
      </w:r>
      <w:r w:rsidRPr="14EA01B5">
        <w:rPr>
          <w:sz w:val="24"/>
          <w:szCs w:val="24"/>
        </w:rPr>
        <w:t>weather conditions</w:t>
      </w:r>
      <w:r w:rsidR="002A173C">
        <w:rPr>
          <w:sz w:val="24"/>
          <w:szCs w:val="24"/>
        </w:rPr>
        <w:t xml:space="preserve">. These weather scenarios </w:t>
      </w:r>
      <w:r w:rsidR="00A024E2">
        <w:rPr>
          <w:sz w:val="24"/>
          <w:szCs w:val="24"/>
        </w:rPr>
        <w:t>incl</w:t>
      </w:r>
      <w:r w:rsidR="003E31A3">
        <w:rPr>
          <w:sz w:val="24"/>
          <w:szCs w:val="24"/>
        </w:rPr>
        <w:t xml:space="preserve">ude modelling for ongoing </w:t>
      </w:r>
      <w:r w:rsidR="0084393D">
        <w:rPr>
          <w:sz w:val="24"/>
          <w:szCs w:val="24"/>
        </w:rPr>
        <w:t xml:space="preserve">hot and dry </w:t>
      </w:r>
      <w:r w:rsidR="003E31A3">
        <w:rPr>
          <w:sz w:val="24"/>
          <w:szCs w:val="24"/>
        </w:rPr>
        <w:t>conditions</w:t>
      </w:r>
      <w:r w:rsidR="00FE5452">
        <w:rPr>
          <w:sz w:val="24"/>
          <w:szCs w:val="24"/>
        </w:rPr>
        <w:t xml:space="preserve">, </w:t>
      </w:r>
      <w:r w:rsidR="00841E89">
        <w:rPr>
          <w:sz w:val="24"/>
          <w:szCs w:val="24"/>
        </w:rPr>
        <w:t>continued</w:t>
      </w:r>
      <w:r w:rsidR="0084393D">
        <w:rPr>
          <w:sz w:val="24"/>
          <w:szCs w:val="24"/>
        </w:rPr>
        <w:t xml:space="preserve"> cold and wet</w:t>
      </w:r>
      <w:r w:rsidR="00576268">
        <w:rPr>
          <w:sz w:val="24"/>
          <w:szCs w:val="24"/>
        </w:rPr>
        <w:t>,</w:t>
      </w:r>
      <w:r w:rsidR="00841E89">
        <w:rPr>
          <w:sz w:val="24"/>
          <w:szCs w:val="24"/>
        </w:rPr>
        <w:t xml:space="preserve"> as well as an average o</w:t>
      </w:r>
      <w:r w:rsidR="006C65D6">
        <w:rPr>
          <w:sz w:val="24"/>
          <w:szCs w:val="24"/>
        </w:rPr>
        <w:t>f</w:t>
      </w:r>
      <w:r w:rsidR="00841E89">
        <w:rPr>
          <w:sz w:val="24"/>
          <w:szCs w:val="24"/>
        </w:rPr>
        <w:t xml:space="preserve"> the past </w:t>
      </w:r>
      <w:r w:rsidR="008B79EA">
        <w:rPr>
          <w:sz w:val="24"/>
          <w:szCs w:val="24"/>
        </w:rPr>
        <w:t>5</w:t>
      </w:r>
      <w:r w:rsidR="00AE4383">
        <w:rPr>
          <w:sz w:val="24"/>
          <w:szCs w:val="24"/>
        </w:rPr>
        <w:t xml:space="preserve"> to 50</w:t>
      </w:r>
      <w:r w:rsidR="008B79EA">
        <w:rPr>
          <w:sz w:val="24"/>
          <w:szCs w:val="24"/>
        </w:rPr>
        <w:t xml:space="preserve"> years</w:t>
      </w:r>
      <w:r w:rsidR="006C65D6">
        <w:rPr>
          <w:sz w:val="24"/>
          <w:szCs w:val="24"/>
        </w:rPr>
        <w:t>, to ensure we have a clear understanding of the possible variations</w:t>
      </w:r>
      <w:r w:rsidR="00AB58BE">
        <w:rPr>
          <w:sz w:val="24"/>
          <w:szCs w:val="24"/>
        </w:rPr>
        <w:t xml:space="preserve"> and how each </w:t>
      </w:r>
      <w:r w:rsidR="001A7CA4">
        <w:rPr>
          <w:sz w:val="24"/>
          <w:szCs w:val="24"/>
        </w:rPr>
        <w:t>cohort of customers will adjust their usage based on historical patterns.</w:t>
      </w:r>
      <w:r w:rsidR="005D1C7E">
        <w:rPr>
          <w:sz w:val="24"/>
          <w:szCs w:val="24"/>
        </w:rPr>
        <w:t xml:space="preserve"> </w:t>
      </w:r>
    </w:p>
    <w:p w14:paraId="6551271E" w14:textId="3EF1CA4B" w:rsidR="00F1046E" w:rsidRDefault="00F1046E" w:rsidP="00005159">
      <w:pPr>
        <w:pStyle w:val="Bulletlistmultilevel"/>
        <w:ind w:left="0" w:firstLine="0"/>
        <w:rPr>
          <w:sz w:val="24"/>
          <w:szCs w:val="24"/>
        </w:rPr>
      </w:pPr>
      <w:r w:rsidRPr="00F1046E">
        <w:rPr>
          <w:sz w:val="24"/>
          <w:szCs w:val="24"/>
        </w:rPr>
        <w:t xml:space="preserve">Considering recent historical weather observations, we believe that a pattern of </w:t>
      </w:r>
      <w:r w:rsidR="005E0D87">
        <w:rPr>
          <w:sz w:val="24"/>
          <w:szCs w:val="24"/>
        </w:rPr>
        <w:t>3</w:t>
      </w:r>
      <w:r w:rsidRPr="00F1046E">
        <w:rPr>
          <w:sz w:val="24"/>
          <w:szCs w:val="24"/>
        </w:rPr>
        <w:t xml:space="preserve"> dry </w:t>
      </w:r>
      <w:r w:rsidR="003F1732">
        <w:rPr>
          <w:sz w:val="24"/>
          <w:szCs w:val="24"/>
        </w:rPr>
        <w:br/>
      </w:r>
      <w:r w:rsidRPr="00F1046E">
        <w:rPr>
          <w:sz w:val="24"/>
          <w:szCs w:val="24"/>
        </w:rPr>
        <w:t>and</w:t>
      </w:r>
      <w:r w:rsidR="005E0D87">
        <w:rPr>
          <w:sz w:val="24"/>
          <w:szCs w:val="24"/>
        </w:rPr>
        <w:t xml:space="preserve"> 2</w:t>
      </w:r>
      <w:r w:rsidRPr="00F1046E">
        <w:rPr>
          <w:sz w:val="24"/>
          <w:szCs w:val="24"/>
        </w:rPr>
        <w:t xml:space="preserve"> wet years is the most</w:t>
      </w:r>
      <w:r w:rsidR="0026751F">
        <w:rPr>
          <w:sz w:val="24"/>
          <w:szCs w:val="24"/>
        </w:rPr>
        <w:t xml:space="preserve"> likely scenario</w:t>
      </w:r>
      <w:r w:rsidRPr="00F1046E">
        <w:rPr>
          <w:sz w:val="24"/>
          <w:szCs w:val="24"/>
        </w:rPr>
        <w:t xml:space="preserve"> of </w:t>
      </w:r>
      <w:r w:rsidR="00DB006D">
        <w:rPr>
          <w:sz w:val="24"/>
          <w:szCs w:val="24"/>
        </w:rPr>
        <w:t>the upcoming price submission periods</w:t>
      </w:r>
      <w:r w:rsidRPr="00F1046E">
        <w:rPr>
          <w:sz w:val="24"/>
          <w:szCs w:val="24"/>
        </w:rPr>
        <w:t xml:space="preserve"> </w:t>
      </w:r>
      <w:r w:rsidR="0026751F">
        <w:rPr>
          <w:sz w:val="24"/>
          <w:szCs w:val="24"/>
        </w:rPr>
        <w:t xml:space="preserve">to </w:t>
      </w:r>
      <w:r w:rsidR="009C1599">
        <w:rPr>
          <w:sz w:val="24"/>
          <w:szCs w:val="24"/>
        </w:rPr>
        <w:t>account for</w:t>
      </w:r>
      <w:r w:rsidR="0026751F">
        <w:rPr>
          <w:sz w:val="24"/>
          <w:szCs w:val="24"/>
        </w:rPr>
        <w:t xml:space="preserve"> </w:t>
      </w:r>
      <w:r w:rsidRPr="00F1046E">
        <w:rPr>
          <w:sz w:val="24"/>
          <w:szCs w:val="24"/>
        </w:rPr>
        <w:t xml:space="preserve">the changing climate and recent extreme weather events. For </w:t>
      </w:r>
      <w:r w:rsidR="008A77A3">
        <w:rPr>
          <w:sz w:val="24"/>
          <w:szCs w:val="24"/>
        </w:rPr>
        <w:t>this</w:t>
      </w:r>
      <w:r w:rsidRPr="00F1046E">
        <w:rPr>
          <w:sz w:val="24"/>
          <w:szCs w:val="24"/>
        </w:rPr>
        <w:t xml:space="preserve"> </w:t>
      </w:r>
      <w:r w:rsidR="008A77A3" w:rsidRPr="00F1046E">
        <w:rPr>
          <w:sz w:val="24"/>
          <w:szCs w:val="24"/>
        </w:rPr>
        <w:t>reason,</w:t>
      </w:r>
      <w:r w:rsidRPr="00F1046E">
        <w:rPr>
          <w:sz w:val="24"/>
          <w:szCs w:val="24"/>
        </w:rPr>
        <w:t xml:space="preserve"> </w:t>
      </w:r>
      <w:r w:rsidR="003F1732">
        <w:rPr>
          <w:sz w:val="24"/>
          <w:szCs w:val="24"/>
        </w:rPr>
        <w:br/>
      </w:r>
      <w:r w:rsidRPr="00F1046E">
        <w:rPr>
          <w:sz w:val="24"/>
          <w:szCs w:val="24"/>
        </w:rPr>
        <w:t>we have chosen to use the historical weather conditions from 2014</w:t>
      </w:r>
      <w:r w:rsidR="004C32D1">
        <w:rPr>
          <w:sz w:val="24"/>
          <w:szCs w:val="24"/>
        </w:rPr>
        <w:t>–</w:t>
      </w:r>
      <w:r w:rsidRPr="00F1046E">
        <w:rPr>
          <w:sz w:val="24"/>
          <w:szCs w:val="24"/>
        </w:rPr>
        <w:t xml:space="preserve">15 to </w:t>
      </w:r>
      <w:r w:rsidR="008A77A3">
        <w:rPr>
          <w:sz w:val="24"/>
          <w:szCs w:val="24"/>
        </w:rPr>
        <w:t>2018</w:t>
      </w:r>
      <w:r w:rsidR="004C32D1">
        <w:rPr>
          <w:sz w:val="24"/>
          <w:szCs w:val="24"/>
        </w:rPr>
        <w:t>–</w:t>
      </w:r>
      <w:r w:rsidR="008A77A3">
        <w:rPr>
          <w:sz w:val="24"/>
          <w:szCs w:val="24"/>
        </w:rPr>
        <w:t>19</w:t>
      </w:r>
      <w:r w:rsidRPr="00F1046E">
        <w:rPr>
          <w:sz w:val="24"/>
          <w:szCs w:val="24"/>
        </w:rPr>
        <w:t xml:space="preserve"> which reflect the most recent observations that adhere to this pattern</w:t>
      </w:r>
      <w:r w:rsidR="00E50D4A">
        <w:rPr>
          <w:sz w:val="24"/>
          <w:szCs w:val="24"/>
        </w:rPr>
        <w:t xml:space="preserve"> to input into the model.</w:t>
      </w:r>
    </w:p>
    <w:p w14:paraId="6880E57F" w14:textId="48EA472A" w:rsidR="004E048A" w:rsidRDefault="00436242" w:rsidP="009F264A">
      <w:pPr>
        <w:pStyle w:val="Bulletlistmultilevel"/>
        <w:ind w:left="0" w:firstLine="0"/>
        <w:rPr>
          <w:sz w:val="24"/>
          <w:szCs w:val="24"/>
        </w:rPr>
      </w:pPr>
      <w:r>
        <w:rPr>
          <w:sz w:val="24"/>
          <w:szCs w:val="24"/>
        </w:rPr>
        <w:t>As outlined above</w:t>
      </w:r>
      <w:r w:rsidR="00AF6933">
        <w:rPr>
          <w:sz w:val="24"/>
          <w:szCs w:val="24"/>
        </w:rPr>
        <w:t>,</w:t>
      </w:r>
      <w:r>
        <w:rPr>
          <w:sz w:val="24"/>
          <w:szCs w:val="24"/>
        </w:rPr>
        <w:t xml:space="preserve"> the key inputs for our econometric model</w:t>
      </w:r>
      <w:r w:rsidR="00D17704">
        <w:rPr>
          <w:sz w:val="24"/>
          <w:szCs w:val="24"/>
        </w:rPr>
        <w:t xml:space="preserve"> consist of</w:t>
      </w:r>
      <w:r w:rsidR="00E60B4E">
        <w:rPr>
          <w:sz w:val="24"/>
          <w:szCs w:val="24"/>
        </w:rPr>
        <w:t>:</w:t>
      </w:r>
    </w:p>
    <w:p w14:paraId="793DC84B" w14:textId="24FFFFBA" w:rsidR="00D17704" w:rsidRDefault="00AC31A0">
      <w:pPr>
        <w:pStyle w:val="Bulletlistmultilevel"/>
        <w:numPr>
          <w:ilvl w:val="0"/>
          <w:numId w:val="100"/>
        </w:numPr>
        <w:ind w:left="426" w:hanging="426"/>
        <w:rPr>
          <w:sz w:val="24"/>
          <w:szCs w:val="24"/>
        </w:rPr>
      </w:pPr>
      <w:r>
        <w:rPr>
          <w:sz w:val="24"/>
          <w:szCs w:val="24"/>
        </w:rPr>
        <w:t xml:space="preserve">current household and occupant </w:t>
      </w:r>
      <w:r w:rsidR="00E14AD6">
        <w:rPr>
          <w:sz w:val="24"/>
          <w:szCs w:val="24"/>
        </w:rPr>
        <w:t>specific data</w:t>
      </w:r>
      <w:r w:rsidR="00F97B95">
        <w:rPr>
          <w:sz w:val="24"/>
          <w:szCs w:val="24"/>
        </w:rPr>
        <w:t xml:space="preserve"> </w:t>
      </w:r>
      <w:r w:rsidR="00FC735B">
        <w:rPr>
          <w:sz w:val="24"/>
          <w:szCs w:val="24"/>
        </w:rPr>
        <w:t>(dwelling and occupancy type, consumption</w:t>
      </w:r>
      <w:r w:rsidR="00BC1443">
        <w:rPr>
          <w:sz w:val="24"/>
          <w:szCs w:val="24"/>
        </w:rPr>
        <w:t>, etc.)</w:t>
      </w:r>
    </w:p>
    <w:p w14:paraId="4A0281B3" w14:textId="4B531904" w:rsidR="00F97B95" w:rsidRDefault="00AF0490">
      <w:pPr>
        <w:pStyle w:val="Bulletlistmultilevel"/>
        <w:numPr>
          <w:ilvl w:val="0"/>
          <w:numId w:val="100"/>
        </w:numPr>
        <w:ind w:left="426" w:hanging="426"/>
        <w:rPr>
          <w:sz w:val="24"/>
          <w:szCs w:val="24"/>
        </w:rPr>
      </w:pPr>
      <w:r>
        <w:rPr>
          <w:sz w:val="24"/>
          <w:szCs w:val="24"/>
        </w:rPr>
        <w:t xml:space="preserve">historical weather data </w:t>
      </w:r>
      <w:r w:rsidR="00E711CE">
        <w:rPr>
          <w:sz w:val="24"/>
          <w:szCs w:val="24"/>
        </w:rPr>
        <w:t>(maximum temperature, total rainfall</w:t>
      </w:r>
      <w:r w:rsidR="00D30F96">
        <w:rPr>
          <w:sz w:val="24"/>
          <w:szCs w:val="24"/>
        </w:rPr>
        <w:t>, evapotranspiration</w:t>
      </w:r>
      <w:r w:rsidR="00521EE4">
        <w:rPr>
          <w:sz w:val="24"/>
          <w:szCs w:val="24"/>
        </w:rPr>
        <w:t xml:space="preserve">) </w:t>
      </w:r>
      <w:r w:rsidR="00F01B35">
        <w:rPr>
          <w:sz w:val="24"/>
          <w:szCs w:val="24"/>
        </w:rPr>
        <w:br/>
      </w:r>
      <w:r w:rsidR="00521EE4">
        <w:rPr>
          <w:sz w:val="24"/>
          <w:szCs w:val="24"/>
        </w:rPr>
        <w:t>for all observations across our service area</w:t>
      </w:r>
    </w:p>
    <w:p w14:paraId="451BCE2B" w14:textId="3031C2C1" w:rsidR="0028239F" w:rsidRDefault="000A0646">
      <w:pPr>
        <w:pStyle w:val="Bulletlistmultilevel"/>
        <w:numPr>
          <w:ilvl w:val="0"/>
          <w:numId w:val="100"/>
        </w:numPr>
        <w:ind w:left="426" w:hanging="426"/>
        <w:rPr>
          <w:sz w:val="24"/>
          <w:szCs w:val="24"/>
        </w:rPr>
      </w:pPr>
      <w:r>
        <w:rPr>
          <w:sz w:val="24"/>
          <w:szCs w:val="24"/>
        </w:rPr>
        <w:t>dwelling</w:t>
      </w:r>
      <w:r w:rsidR="00046FD5">
        <w:rPr>
          <w:sz w:val="24"/>
          <w:szCs w:val="24"/>
        </w:rPr>
        <w:t xml:space="preserve"> and population growth forecasts</w:t>
      </w:r>
      <w:r w:rsidR="008B64F1">
        <w:rPr>
          <w:sz w:val="24"/>
          <w:szCs w:val="24"/>
        </w:rPr>
        <w:t xml:space="preserve"> (</w:t>
      </w:r>
      <w:r w:rsidR="00CD17E0">
        <w:rPr>
          <w:sz w:val="24"/>
          <w:szCs w:val="24"/>
        </w:rPr>
        <w:t xml:space="preserve">as described in </w:t>
      </w:r>
      <w:r w:rsidR="00341008">
        <w:rPr>
          <w:sz w:val="24"/>
          <w:szCs w:val="24"/>
        </w:rPr>
        <w:t>Section</w:t>
      </w:r>
      <w:r w:rsidR="008B64F1">
        <w:rPr>
          <w:sz w:val="24"/>
          <w:szCs w:val="24"/>
        </w:rPr>
        <w:t xml:space="preserve"> </w:t>
      </w:r>
      <w:r w:rsidR="00CD17E0">
        <w:rPr>
          <w:sz w:val="24"/>
          <w:szCs w:val="24"/>
        </w:rPr>
        <w:t>9.2</w:t>
      </w:r>
      <w:r w:rsidR="008B64F1">
        <w:rPr>
          <w:sz w:val="24"/>
          <w:szCs w:val="24"/>
        </w:rPr>
        <w:t>)</w:t>
      </w:r>
      <w:r w:rsidR="00B914EF">
        <w:rPr>
          <w:sz w:val="24"/>
          <w:szCs w:val="24"/>
        </w:rPr>
        <w:t>.</w:t>
      </w:r>
    </w:p>
    <w:p w14:paraId="6F03B645" w14:textId="1751F23D" w:rsidR="00510BDC" w:rsidRDefault="00510BDC" w:rsidP="00510BDC">
      <w:pPr>
        <w:pStyle w:val="Bulletlistmultilevel"/>
        <w:ind w:left="0" w:firstLine="0"/>
        <w:rPr>
          <w:sz w:val="24"/>
          <w:szCs w:val="24"/>
        </w:rPr>
      </w:pPr>
      <w:r>
        <w:rPr>
          <w:sz w:val="24"/>
          <w:szCs w:val="24"/>
        </w:rPr>
        <w:t>After the forecasts have been derived using the econometric model</w:t>
      </w:r>
      <w:r w:rsidR="009947BE">
        <w:rPr>
          <w:sz w:val="24"/>
          <w:szCs w:val="24"/>
        </w:rPr>
        <w:t>,</w:t>
      </w:r>
      <w:r>
        <w:rPr>
          <w:sz w:val="24"/>
          <w:szCs w:val="24"/>
        </w:rPr>
        <w:t xml:space="preserve"> the following adjustments are made:</w:t>
      </w:r>
    </w:p>
    <w:p w14:paraId="56189E30" w14:textId="53A45989" w:rsidR="00AC6640" w:rsidRPr="00AE1A65" w:rsidRDefault="000A0646">
      <w:pPr>
        <w:pStyle w:val="Bulletlistmultilevel"/>
        <w:numPr>
          <w:ilvl w:val="0"/>
          <w:numId w:val="101"/>
        </w:numPr>
        <w:ind w:left="426" w:hanging="426"/>
        <w:rPr>
          <w:sz w:val="24"/>
          <w:szCs w:val="24"/>
        </w:rPr>
      </w:pPr>
      <w:r>
        <w:rPr>
          <w:sz w:val="24"/>
          <w:szCs w:val="24"/>
        </w:rPr>
        <w:t>c</w:t>
      </w:r>
      <w:r w:rsidR="008F416F">
        <w:rPr>
          <w:sz w:val="24"/>
          <w:szCs w:val="24"/>
        </w:rPr>
        <w:t>ustomer and network efficiencies realised through digital meter</w:t>
      </w:r>
      <w:r w:rsidR="0073411A">
        <w:rPr>
          <w:sz w:val="24"/>
          <w:szCs w:val="24"/>
        </w:rPr>
        <w:t>ing</w:t>
      </w:r>
    </w:p>
    <w:p w14:paraId="6FCCB656" w14:textId="625323C9" w:rsidR="00510BDC" w:rsidRPr="00AE1A65" w:rsidRDefault="00510BDC">
      <w:pPr>
        <w:pStyle w:val="Bulletlistmultilevel"/>
        <w:numPr>
          <w:ilvl w:val="0"/>
          <w:numId w:val="101"/>
        </w:numPr>
        <w:ind w:left="426" w:hanging="426"/>
        <w:rPr>
          <w:sz w:val="24"/>
          <w:szCs w:val="24"/>
        </w:rPr>
      </w:pPr>
      <w:r>
        <w:rPr>
          <w:sz w:val="24"/>
          <w:szCs w:val="24"/>
        </w:rPr>
        <w:lastRenderedPageBreak/>
        <w:t xml:space="preserve">price elasticity </w:t>
      </w:r>
      <w:r w:rsidR="00A72ED3">
        <w:rPr>
          <w:sz w:val="24"/>
          <w:szCs w:val="24"/>
        </w:rPr>
        <w:t>and tariff reform impact</w:t>
      </w:r>
      <w:r w:rsidR="006A1419">
        <w:rPr>
          <w:sz w:val="24"/>
          <w:szCs w:val="24"/>
        </w:rPr>
        <w:t>.</w:t>
      </w:r>
    </w:p>
    <w:p w14:paraId="2EB1A710" w14:textId="7E79A889" w:rsidR="00AB7137" w:rsidRPr="006E5D95" w:rsidRDefault="00AB7137" w:rsidP="00AB7137">
      <w:pPr>
        <w:pStyle w:val="Figuretitle"/>
        <w:rPr>
          <w:i/>
          <w:sz w:val="22"/>
          <w:szCs w:val="22"/>
        </w:rPr>
      </w:pPr>
      <w:r w:rsidRPr="006E5D95">
        <w:rPr>
          <w:i/>
          <w:sz w:val="22"/>
          <w:szCs w:val="22"/>
        </w:rPr>
        <w:t>Figure</w:t>
      </w:r>
      <w:r w:rsidR="006E5D95" w:rsidRPr="006E5D95">
        <w:rPr>
          <w:i/>
          <w:sz w:val="22"/>
          <w:szCs w:val="22"/>
        </w:rPr>
        <w:t xml:space="preserve"> </w:t>
      </w:r>
      <w:r w:rsidR="00BA11D9">
        <w:rPr>
          <w:i/>
          <w:sz w:val="22"/>
          <w:szCs w:val="22"/>
        </w:rPr>
        <w:t>14</w:t>
      </w:r>
      <w:r w:rsidR="006E5D95" w:rsidRPr="006E5D95">
        <w:rPr>
          <w:i/>
          <w:sz w:val="22"/>
          <w:szCs w:val="22"/>
        </w:rPr>
        <w:t xml:space="preserve">: </w:t>
      </w:r>
      <w:r w:rsidRPr="006E5D95">
        <w:rPr>
          <w:i/>
          <w:sz w:val="22"/>
          <w:szCs w:val="22"/>
        </w:rPr>
        <w:t xml:space="preserve">Residential </w:t>
      </w:r>
      <w:r w:rsidR="00220DBF">
        <w:rPr>
          <w:i/>
          <w:sz w:val="22"/>
          <w:szCs w:val="22"/>
        </w:rPr>
        <w:t xml:space="preserve">potable </w:t>
      </w:r>
      <w:r w:rsidRPr="006E5D95">
        <w:rPr>
          <w:i/>
          <w:sz w:val="22"/>
          <w:szCs w:val="22"/>
        </w:rPr>
        <w:t>water consumption 2017</w:t>
      </w:r>
      <w:r w:rsidR="004C32D1" w:rsidRPr="006E5D95">
        <w:rPr>
          <w:i/>
          <w:sz w:val="22"/>
          <w:szCs w:val="22"/>
        </w:rPr>
        <w:t>–</w:t>
      </w:r>
      <w:r w:rsidRPr="006E5D95">
        <w:rPr>
          <w:i/>
          <w:sz w:val="22"/>
          <w:szCs w:val="22"/>
        </w:rPr>
        <w:t>18 to 20</w:t>
      </w:r>
      <w:r w:rsidR="001F491B" w:rsidRPr="006E5D95">
        <w:rPr>
          <w:i/>
          <w:sz w:val="22"/>
          <w:szCs w:val="22"/>
        </w:rPr>
        <w:t>32</w:t>
      </w:r>
      <w:r w:rsidR="004C32D1" w:rsidRPr="006E5D95">
        <w:rPr>
          <w:i/>
          <w:sz w:val="22"/>
          <w:szCs w:val="22"/>
        </w:rPr>
        <w:t>–</w:t>
      </w:r>
      <w:r w:rsidR="001F491B" w:rsidRPr="006E5D95">
        <w:rPr>
          <w:i/>
          <w:sz w:val="22"/>
          <w:szCs w:val="22"/>
        </w:rPr>
        <w:t>33</w:t>
      </w:r>
    </w:p>
    <w:p w14:paraId="7639F6F5" w14:textId="76099B38" w:rsidR="009272AC" w:rsidRDefault="00B76DF4" w:rsidP="009F0CFF">
      <w:pPr>
        <w:pStyle w:val="Bulletlistmultilevel"/>
        <w:ind w:left="0" w:firstLine="0"/>
        <w:rPr>
          <w:rFonts w:ascii="Arial" w:hAnsi="Arial"/>
          <w:b/>
          <w:iCs/>
          <w:sz w:val="24"/>
          <w:szCs w:val="24"/>
        </w:rPr>
      </w:pPr>
      <w:r>
        <w:rPr>
          <w:rFonts w:ascii="Arial" w:hAnsi="Arial"/>
          <w:b/>
          <w:iCs/>
          <w:noProof/>
          <w:sz w:val="24"/>
          <w:szCs w:val="24"/>
        </w:rPr>
        <w:drawing>
          <wp:anchor distT="0" distB="0" distL="114300" distR="114300" simplePos="0" relativeHeight="251658308" behindDoc="0" locked="0" layoutInCell="1" allowOverlap="1" wp14:anchorId="18829A04" wp14:editId="7DD2A874">
            <wp:simplePos x="0" y="0"/>
            <wp:positionH relativeFrom="column">
              <wp:posOffset>3810</wp:posOffset>
            </wp:positionH>
            <wp:positionV relativeFrom="paragraph">
              <wp:posOffset>181610</wp:posOffset>
            </wp:positionV>
            <wp:extent cx="4222115" cy="3649980"/>
            <wp:effectExtent l="0" t="0" r="0" b="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4222115" cy="3649980"/>
                    </a:xfrm>
                    <a:prstGeom prst="rect">
                      <a:avLst/>
                    </a:prstGeom>
                    <a:noFill/>
                  </pic:spPr>
                </pic:pic>
              </a:graphicData>
            </a:graphic>
            <wp14:sizeRelH relativeFrom="page">
              <wp14:pctWidth>0</wp14:pctWidth>
            </wp14:sizeRelH>
            <wp14:sizeRelV relativeFrom="page">
              <wp14:pctHeight>0</wp14:pctHeight>
            </wp14:sizeRelV>
          </wp:anchor>
        </w:drawing>
      </w:r>
    </w:p>
    <w:p w14:paraId="0FACC53E" w14:textId="1C439D63" w:rsidR="009F0CFF" w:rsidRPr="006E5D95" w:rsidRDefault="00C46A60" w:rsidP="001F491B">
      <w:pPr>
        <w:pStyle w:val="Figuretitle"/>
        <w:rPr>
          <w:i/>
          <w:sz w:val="22"/>
          <w:szCs w:val="22"/>
        </w:rPr>
      </w:pPr>
      <w:r w:rsidRPr="006E5D95">
        <w:rPr>
          <w:i/>
          <w:sz w:val="22"/>
          <w:szCs w:val="22"/>
        </w:rPr>
        <w:t>Figure</w:t>
      </w:r>
      <w:r w:rsidR="00327261" w:rsidRPr="006E5D95">
        <w:rPr>
          <w:i/>
          <w:sz w:val="22"/>
          <w:szCs w:val="22"/>
        </w:rPr>
        <w:t xml:space="preserve"> </w:t>
      </w:r>
      <w:r w:rsidR="00BA11D9">
        <w:rPr>
          <w:i/>
          <w:sz w:val="22"/>
          <w:szCs w:val="22"/>
        </w:rPr>
        <w:t>15</w:t>
      </w:r>
      <w:r w:rsidR="006E5D95" w:rsidRPr="006E5D95">
        <w:rPr>
          <w:i/>
          <w:sz w:val="22"/>
          <w:szCs w:val="22"/>
        </w:rPr>
        <w:t xml:space="preserve">: </w:t>
      </w:r>
      <w:r w:rsidRPr="006E5D95">
        <w:rPr>
          <w:i/>
          <w:sz w:val="22"/>
          <w:szCs w:val="22"/>
        </w:rPr>
        <w:t xml:space="preserve">Residential </w:t>
      </w:r>
      <w:r w:rsidR="00220DBF">
        <w:rPr>
          <w:i/>
          <w:sz w:val="22"/>
          <w:szCs w:val="22"/>
        </w:rPr>
        <w:t>potable</w:t>
      </w:r>
      <w:r w:rsidRPr="006E5D95">
        <w:rPr>
          <w:i/>
          <w:sz w:val="22"/>
          <w:szCs w:val="22"/>
        </w:rPr>
        <w:t xml:space="preserve"> water consumption (</w:t>
      </w:r>
      <w:r w:rsidR="00F51E5C">
        <w:rPr>
          <w:i/>
          <w:sz w:val="22"/>
          <w:szCs w:val="22"/>
        </w:rPr>
        <w:t xml:space="preserve">average </w:t>
      </w:r>
      <w:r w:rsidRPr="006E5D95">
        <w:rPr>
          <w:i/>
          <w:sz w:val="22"/>
          <w:szCs w:val="22"/>
        </w:rPr>
        <w:t>kilolitre per customer) 2017</w:t>
      </w:r>
      <w:r w:rsidR="004C32D1" w:rsidRPr="006E5D95">
        <w:rPr>
          <w:i/>
          <w:sz w:val="22"/>
          <w:szCs w:val="22"/>
        </w:rPr>
        <w:t>–</w:t>
      </w:r>
      <w:r w:rsidRPr="006E5D95">
        <w:rPr>
          <w:i/>
          <w:sz w:val="22"/>
          <w:szCs w:val="22"/>
        </w:rPr>
        <w:t>18 to 20</w:t>
      </w:r>
      <w:r w:rsidR="001F491B" w:rsidRPr="006E5D95">
        <w:rPr>
          <w:i/>
          <w:sz w:val="22"/>
          <w:szCs w:val="22"/>
        </w:rPr>
        <w:t>32</w:t>
      </w:r>
      <w:r w:rsidR="004C32D1" w:rsidRPr="006E5D95">
        <w:rPr>
          <w:i/>
          <w:sz w:val="22"/>
          <w:szCs w:val="22"/>
        </w:rPr>
        <w:t>–</w:t>
      </w:r>
      <w:r w:rsidR="001F491B" w:rsidRPr="006E5D95">
        <w:rPr>
          <w:i/>
          <w:sz w:val="22"/>
          <w:szCs w:val="22"/>
        </w:rPr>
        <w:t>33</w:t>
      </w:r>
    </w:p>
    <w:p w14:paraId="3FA9909E" w14:textId="2411E90F" w:rsidR="00F6696E" w:rsidRPr="009F0CFF" w:rsidRDefault="00F6696E" w:rsidP="009F0CFF">
      <w:pPr>
        <w:pStyle w:val="Bulletlistmultilevel"/>
        <w:ind w:left="0" w:firstLine="0"/>
        <w:rPr>
          <w:sz w:val="24"/>
          <w:szCs w:val="24"/>
        </w:rPr>
      </w:pPr>
    </w:p>
    <w:p w14:paraId="6681D1B5" w14:textId="19ADECC8" w:rsidR="00E044CE" w:rsidRPr="009F0CFF" w:rsidRDefault="00E044CE" w:rsidP="009F0CFF">
      <w:pPr>
        <w:pStyle w:val="Bulletlistmultilevel"/>
        <w:ind w:left="0" w:firstLine="0"/>
        <w:rPr>
          <w:sz w:val="24"/>
          <w:szCs w:val="24"/>
        </w:rPr>
      </w:pPr>
      <w:r>
        <w:rPr>
          <w:noProof/>
          <w:sz w:val="24"/>
          <w:szCs w:val="24"/>
        </w:rPr>
        <w:drawing>
          <wp:inline distT="0" distB="0" distL="0" distR="0" wp14:anchorId="5EE97153" wp14:editId="3272BD7B">
            <wp:extent cx="4365812" cy="3774263"/>
            <wp:effectExtent l="0" t="0" r="317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4370352" cy="3778187"/>
                    </a:xfrm>
                    <a:prstGeom prst="rect">
                      <a:avLst/>
                    </a:prstGeom>
                    <a:noFill/>
                  </pic:spPr>
                </pic:pic>
              </a:graphicData>
            </a:graphic>
          </wp:inline>
        </w:drawing>
      </w:r>
    </w:p>
    <w:p w14:paraId="7AB6288D" w14:textId="4F6C29A2" w:rsidR="006D6398" w:rsidRDefault="006D6398" w:rsidP="006D6398">
      <w:pPr>
        <w:pStyle w:val="Heading3"/>
      </w:pPr>
      <w:r>
        <w:lastRenderedPageBreak/>
        <w:t xml:space="preserve">9.3.2 Non-residential </w:t>
      </w:r>
      <w:r w:rsidR="00845406">
        <w:t>potable</w:t>
      </w:r>
      <w:r>
        <w:t xml:space="preserve"> water consumption</w:t>
      </w:r>
    </w:p>
    <w:p w14:paraId="7595C8BB" w14:textId="3E16461D" w:rsidR="00BC6B02" w:rsidRDefault="00756777" w:rsidP="00756777">
      <w:pPr>
        <w:rPr>
          <w:rFonts w:asciiTheme="minorHAnsi" w:hAnsiTheme="minorHAnsi"/>
        </w:rPr>
      </w:pPr>
      <w:r w:rsidRPr="00756777">
        <w:rPr>
          <w:rFonts w:asciiTheme="minorHAnsi" w:hAnsiTheme="minorHAnsi"/>
        </w:rPr>
        <w:t xml:space="preserve">Due to the impacts of COVID-19, a new methodology for forecasting </w:t>
      </w:r>
      <w:r w:rsidR="005A2578">
        <w:rPr>
          <w:rFonts w:asciiTheme="minorHAnsi" w:hAnsiTheme="minorHAnsi"/>
        </w:rPr>
        <w:t>non-</w:t>
      </w:r>
      <w:r w:rsidR="005F0A64">
        <w:rPr>
          <w:rFonts w:asciiTheme="minorHAnsi" w:hAnsiTheme="minorHAnsi"/>
        </w:rPr>
        <w:t>residential</w:t>
      </w:r>
      <w:r w:rsidRPr="00756777">
        <w:rPr>
          <w:rFonts w:asciiTheme="minorHAnsi" w:hAnsiTheme="minorHAnsi"/>
        </w:rPr>
        <w:t xml:space="preserve"> water usage demand has been developed. This method analyses quarterly water usage by industry segment </w:t>
      </w:r>
      <w:r w:rsidR="00D70408">
        <w:rPr>
          <w:rFonts w:asciiTheme="minorHAnsi" w:hAnsiTheme="minorHAnsi"/>
        </w:rPr>
        <w:t>(based on top usage, schools, councils and ANZSIC codes)</w:t>
      </w:r>
      <w:r w:rsidRPr="00756777">
        <w:rPr>
          <w:rFonts w:asciiTheme="minorHAnsi" w:hAnsiTheme="minorHAnsi"/>
        </w:rPr>
        <w:t xml:space="preserve"> of the </w:t>
      </w:r>
      <w:r w:rsidR="005A2578">
        <w:rPr>
          <w:rFonts w:asciiTheme="minorHAnsi" w:hAnsiTheme="minorHAnsi"/>
        </w:rPr>
        <w:t>non-</w:t>
      </w:r>
      <w:r w:rsidR="005F0A64">
        <w:rPr>
          <w:rFonts w:asciiTheme="minorHAnsi" w:hAnsiTheme="minorHAnsi"/>
        </w:rPr>
        <w:t>residential</w:t>
      </w:r>
      <w:r w:rsidRPr="00756777">
        <w:rPr>
          <w:rFonts w:asciiTheme="minorHAnsi" w:hAnsiTheme="minorHAnsi"/>
        </w:rPr>
        <w:t xml:space="preserve"> water customer base. </w:t>
      </w:r>
      <w:r w:rsidR="00CD384D">
        <w:rPr>
          <w:rFonts w:asciiTheme="minorHAnsi" w:hAnsiTheme="minorHAnsi"/>
        </w:rPr>
        <w:t xml:space="preserve">This </w:t>
      </w:r>
      <w:r w:rsidR="00CD384D" w:rsidRPr="69DA8F82">
        <w:t>segmentation by industry captures the different impacts of COVID</w:t>
      </w:r>
      <w:r w:rsidR="008A781C">
        <w:t>-19</w:t>
      </w:r>
      <w:r w:rsidR="00CD384D" w:rsidRPr="69DA8F82">
        <w:t xml:space="preserve"> </w:t>
      </w:r>
      <w:r w:rsidR="00671701">
        <w:t>on</w:t>
      </w:r>
      <w:r w:rsidR="00CD384D" w:rsidRPr="69DA8F82">
        <w:t xml:space="preserve"> each industry</w:t>
      </w:r>
      <w:r w:rsidR="00BC6B02">
        <w:t>.</w:t>
      </w:r>
      <w:r w:rsidRPr="00756777">
        <w:rPr>
          <w:rFonts w:asciiTheme="minorHAnsi" w:hAnsiTheme="minorHAnsi"/>
        </w:rPr>
        <w:t xml:space="preserve"> </w:t>
      </w:r>
    </w:p>
    <w:p w14:paraId="207A359C" w14:textId="5FF4C51A" w:rsidR="00756777" w:rsidRDefault="001249F5" w:rsidP="00756777">
      <w:r w:rsidRPr="69DA8F82">
        <w:t>For all segments, a pre-COVID</w:t>
      </w:r>
      <w:r w:rsidR="00D8115F">
        <w:t>-19</w:t>
      </w:r>
      <w:r w:rsidRPr="69DA8F82">
        <w:t xml:space="preserve"> </w:t>
      </w:r>
      <w:r w:rsidR="0066057C">
        <w:t xml:space="preserve">and post-COVID-19 </w:t>
      </w:r>
      <w:r w:rsidR="0069477C" w:rsidRPr="69DA8F82">
        <w:t xml:space="preserve">average usage per customer </w:t>
      </w:r>
      <w:r w:rsidR="0066057C">
        <w:t xml:space="preserve">was assumed for each quarter. </w:t>
      </w:r>
      <w:r w:rsidRPr="00671701">
        <w:t xml:space="preserve">The </w:t>
      </w:r>
      <w:r w:rsidR="00E92D55" w:rsidRPr="00671701">
        <w:t xml:space="preserve">difference between the </w:t>
      </w:r>
      <w:r w:rsidR="00584B94" w:rsidRPr="00671701">
        <w:t>2</w:t>
      </w:r>
      <w:r w:rsidR="00E92D55" w:rsidRPr="00671701">
        <w:t xml:space="preserve"> average</w:t>
      </w:r>
      <w:r w:rsidR="00671701">
        <w:t>s</w:t>
      </w:r>
      <w:r w:rsidR="00E92D55" w:rsidRPr="00671701">
        <w:t xml:space="preserve"> is</w:t>
      </w:r>
      <w:r w:rsidR="00E92D55" w:rsidRPr="009076FE">
        <w:t xml:space="preserve"> defined to be the </w:t>
      </w:r>
      <w:r w:rsidR="00D8115F" w:rsidRPr="009076FE">
        <w:t>COVID-19 impact.</w:t>
      </w:r>
      <w:r w:rsidR="00B111B4">
        <w:t xml:space="preserve"> </w:t>
      </w:r>
      <w:r w:rsidR="00CD384D">
        <w:t>It is assumed that a</w:t>
      </w:r>
      <w:r w:rsidR="00B111B4">
        <w:t xml:space="preserve">ll </w:t>
      </w:r>
      <w:r w:rsidR="00621461">
        <w:t xml:space="preserve">industry </w:t>
      </w:r>
      <w:r w:rsidR="00BC6B02">
        <w:t>segments</w:t>
      </w:r>
      <w:r w:rsidR="009324FD">
        <w:t xml:space="preserve"> </w:t>
      </w:r>
      <w:r w:rsidR="007E4009">
        <w:t xml:space="preserve">will </w:t>
      </w:r>
      <w:r w:rsidR="009324FD">
        <w:t xml:space="preserve">return </w:t>
      </w:r>
      <w:r w:rsidR="00B111B4">
        <w:t>to their pre</w:t>
      </w:r>
      <w:r w:rsidR="00621461">
        <w:t>-COVID-19 average by</w:t>
      </w:r>
      <w:r w:rsidR="00CD384D">
        <w:t xml:space="preserve"> 2025</w:t>
      </w:r>
      <w:r w:rsidR="004C32D1">
        <w:t>–</w:t>
      </w:r>
      <w:r w:rsidR="00CD384D">
        <w:t>26</w:t>
      </w:r>
      <w:r w:rsidR="00BC6B02">
        <w:t xml:space="preserve"> at a </w:t>
      </w:r>
      <w:r w:rsidR="007E4009">
        <w:t xml:space="preserve">smooth </w:t>
      </w:r>
      <w:r w:rsidR="00BC6B02">
        <w:t>line</w:t>
      </w:r>
      <w:r w:rsidR="001D2842">
        <w:t>a</w:t>
      </w:r>
      <w:r w:rsidR="00BC6B02">
        <w:t>r rate</w:t>
      </w:r>
      <w:r w:rsidRPr="69DA8F82">
        <w:t>.</w:t>
      </w:r>
      <w:r w:rsidR="00B111B4">
        <w:t xml:space="preserve"> </w:t>
      </w:r>
      <w:r w:rsidR="0053322F">
        <w:t>Ten</w:t>
      </w:r>
      <w:r w:rsidR="00B111B4">
        <w:t xml:space="preserve"> of the top usage customers ha</w:t>
      </w:r>
      <w:r w:rsidR="00BC6B02">
        <w:t xml:space="preserve">ve their demand forecasts </w:t>
      </w:r>
      <w:r w:rsidR="00671701">
        <w:t xml:space="preserve">estimated </w:t>
      </w:r>
      <w:r w:rsidR="00BC6B02">
        <w:t>separately</w:t>
      </w:r>
      <w:r w:rsidR="00671701">
        <w:t>,</w:t>
      </w:r>
      <w:r w:rsidR="00BC6B02">
        <w:t xml:space="preserve"> based on interview</w:t>
      </w:r>
      <w:r w:rsidR="0053322F">
        <w:t>s</w:t>
      </w:r>
      <w:r w:rsidR="00BC6B02">
        <w:t xml:space="preserve"> with those customers.</w:t>
      </w:r>
      <w:r w:rsidR="0053322F">
        <w:t xml:space="preserve"> Price elasticity is also applied to the forecasts (see </w:t>
      </w:r>
      <w:r w:rsidR="00341008">
        <w:t>Section</w:t>
      </w:r>
      <w:r w:rsidR="0053322F">
        <w:t xml:space="preserve"> 9.8).</w:t>
      </w:r>
    </w:p>
    <w:p w14:paraId="5795F22A" w14:textId="6A9271B8" w:rsidR="00671701" w:rsidRDefault="00671701" w:rsidP="00756777">
      <w:r>
        <w:t>Non-residential potable water consumption is forecast to grow by approximately</w:t>
      </w:r>
      <w:r w:rsidR="009D6D03">
        <w:t xml:space="preserve"> </w:t>
      </w:r>
      <w:r w:rsidR="00901B72">
        <w:t>2.1</w:t>
      </w:r>
      <w:r w:rsidR="00342D20">
        <w:t xml:space="preserve">% </w:t>
      </w:r>
      <w:r w:rsidR="009D6D03">
        <w:t>per annum during the 2023-28 regulatory period.</w:t>
      </w:r>
      <w:r>
        <w:t xml:space="preserve"> </w:t>
      </w:r>
    </w:p>
    <w:p w14:paraId="6F5CCD2B" w14:textId="54883D60" w:rsidR="00E15654" w:rsidRPr="006E5D95" w:rsidRDefault="006E5D95" w:rsidP="00CC652B">
      <w:pPr>
        <w:pStyle w:val="Figuretitle"/>
        <w:rPr>
          <w:i/>
          <w:sz w:val="22"/>
          <w:szCs w:val="22"/>
        </w:rPr>
      </w:pPr>
      <w:r w:rsidRPr="006E5D95">
        <w:rPr>
          <w:i/>
          <w:sz w:val="22"/>
          <w:szCs w:val="22"/>
        </w:rPr>
        <w:t xml:space="preserve">Figure </w:t>
      </w:r>
      <w:r w:rsidR="006C3B67">
        <w:rPr>
          <w:i/>
          <w:sz w:val="22"/>
          <w:szCs w:val="22"/>
        </w:rPr>
        <w:t>16</w:t>
      </w:r>
      <w:r w:rsidRPr="006E5D95">
        <w:rPr>
          <w:i/>
          <w:sz w:val="22"/>
          <w:szCs w:val="22"/>
        </w:rPr>
        <w:t>:</w:t>
      </w:r>
      <w:r w:rsidR="00B258E4" w:rsidRPr="006E5D95">
        <w:rPr>
          <w:i/>
          <w:iCs w:val="0"/>
          <w:sz w:val="22"/>
          <w:szCs w:val="22"/>
        </w:rPr>
        <w:t xml:space="preserve"> </w:t>
      </w:r>
      <w:r w:rsidR="00671701" w:rsidRPr="006E5D95">
        <w:rPr>
          <w:i/>
          <w:sz w:val="22"/>
          <w:szCs w:val="22"/>
        </w:rPr>
        <w:t xml:space="preserve">Non-residential </w:t>
      </w:r>
      <w:r w:rsidR="00220DBF">
        <w:rPr>
          <w:i/>
          <w:sz w:val="22"/>
          <w:szCs w:val="22"/>
        </w:rPr>
        <w:t xml:space="preserve">potable water </w:t>
      </w:r>
      <w:r w:rsidR="00AB7137" w:rsidRPr="006E5D95">
        <w:rPr>
          <w:i/>
          <w:sz w:val="22"/>
          <w:szCs w:val="22"/>
        </w:rPr>
        <w:t>consumption 2017</w:t>
      </w:r>
      <w:r w:rsidR="004C32D1" w:rsidRPr="006E5D95">
        <w:rPr>
          <w:i/>
          <w:sz w:val="22"/>
          <w:szCs w:val="22"/>
        </w:rPr>
        <w:t>–</w:t>
      </w:r>
      <w:r w:rsidR="00AB7137" w:rsidRPr="006E5D95">
        <w:rPr>
          <w:i/>
          <w:sz w:val="22"/>
          <w:szCs w:val="22"/>
        </w:rPr>
        <w:t>18 to 2027</w:t>
      </w:r>
      <w:r w:rsidR="004C32D1" w:rsidRPr="006E5D95">
        <w:rPr>
          <w:i/>
          <w:sz w:val="22"/>
          <w:szCs w:val="22"/>
        </w:rPr>
        <w:t>–</w:t>
      </w:r>
      <w:r w:rsidR="00AB7137" w:rsidRPr="006E5D95">
        <w:rPr>
          <w:i/>
          <w:sz w:val="22"/>
          <w:szCs w:val="22"/>
        </w:rPr>
        <w:t>28</w:t>
      </w:r>
    </w:p>
    <w:p w14:paraId="1D8B90AE" w14:textId="70C4C02C" w:rsidR="00B603C8" w:rsidRPr="00843339" w:rsidRDefault="00B603C8" w:rsidP="14EA01B5">
      <w:pPr>
        <w:rPr>
          <w:rFonts w:asciiTheme="minorHAnsi" w:hAnsiTheme="minorHAnsi"/>
        </w:rPr>
      </w:pPr>
    </w:p>
    <w:p w14:paraId="5325E5C6" w14:textId="07D4260F" w:rsidR="00F204B2" w:rsidRPr="00843339" w:rsidRDefault="00F204B2" w:rsidP="14EA01B5">
      <w:pPr>
        <w:rPr>
          <w:rFonts w:asciiTheme="minorHAnsi" w:hAnsiTheme="minorHAnsi"/>
        </w:rPr>
      </w:pPr>
      <w:r>
        <w:rPr>
          <w:rFonts w:asciiTheme="minorHAnsi" w:hAnsiTheme="minorHAnsi"/>
          <w:noProof/>
        </w:rPr>
        <w:drawing>
          <wp:inline distT="0" distB="0" distL="0" distR="0" wp14:anchorId="0EC237C6" wp14:editId="7E767ABC">
            <wp:extent cx="4419600" cy="3820762"/>
            <wp:effectExtent l="0" t="0" r="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4419600" cy="3820762"/>
                    </a:xfrm>
                    <a:prstGeom prst="rect">
                      <a:avLst/>
                    </a:prstGeom>
                    <a:noFill/>
                  </pic:spPr>
                </pic:pic>
              </a:graphicData>
            </a:graphic>
          </wp:inline>
        </w:drawing>
      </w:r>
    </w:p>
    <w:p w14:paraId="44AE0DE9" w14:textId="0BD56D24" w:rsidR="00873836" w:rsidRDefault="00873836" w:rsidP="00873836">
      <w:pPr>
        <w:pStyle w:val="Heading3"/>
      </w:pPr>
      <w:r>
        <w:t>9.3.3 Non-revenue water</w:t>
      </w:r>
    </w:p>
    <w:p w14:paraId="1F27EBC3" w14:textId="115F1197" w:rsidR="00E642D6" w:rsidRPr="00E642D6" w:rsidRDefault="002105F2" w:rsidP="00E642D6">
      <w:r>
        <w:t>Non-revenue water</w:t>
      </w:r>
      <w:r w:rsidR="007F7241">
        <w:t xml:space="preserve"> is forecast to be around 12.</w:t>
      </w:r>
      <w:r w:rsidR="00266E89">
        <w:t>6</w:t>
      </w:r>
      <w:r w:rsidR="007F7241">
        <w:t xml:space="preserve">% of total bulk water based on historical averages. </w:t>
      </w:r>
      <w:r w:rsidR="00304E98">
        <w:t xml:space="preserve">Due to digital metering, non-revenue water is forecast to decrease by </w:t>
      </w:r>
      <w:r w:rsidR="0013063E">
        <w:t>1</w:t>
      </w:r>
      <w:r w:rsidR="009D6D03">
        <w:t>%</w:t>
      </w:r>
      <w:r w:rsidR="00304E98">
        <w:t xml:space="preserve"> </w:t>
      </w:r>
      <w:r w:rsidR="00CD5AA0">
        <w:t>at the end of the digital metering rollout period</w:t>
      </w:r>
      <w:r w:rsidR="0022157D">
        <w:t xml:space="preserve"> by 2029</w:t>
      </w:r>
      <w:r w:rsidR="004C32D1">
        <w:t>–</w:t>
      </w:r>
      <w:r w:rsidR="0022157D">
        <w:t>30</w:t>
      </w:r>
      <w:r w:rsidR="00CD5AA0">
        <w:t>.</w:t>
      </w:r>
      <w:r w:rsidR="00E642D6">
        <w:t xml:space="preserve"> </w:t>
      </w:r>
      <w:r w:rsidR="00E642D6" w:rsidRPr="00E642D6">
        <w:t>Digital metering savings are applied on the total forecast as a percentage saving based on the rollout of digital meters.</w:t>
      </w:r>
    </w:p>
    <w:p w14:paraId="07AAD69E" w14:textId="6377054B" w:rsidR="00873836" w:rsidRDefault="00873836" w:rsidP="00873836">
      <w:pPr>
        <w:pStyle w:val="Heading3"/>
      </w:pPr>
      <w:r>
        <w:lastRenderedPageBreak/>
        <w:t>9.3.</w:t>
      </w:r>
      <w:r w:rsidR="00BC18E5">
        <w:t>4</w:t>
      </w:r>
      <w:r>
        <w:t xml:space="preserve"> </w:t>
      </w:r>
      <w:r w:rsidR="00537DFB">
        <w:t>Alternative</w:t>
      </w:r>
      <w:r>
        <w:t xml:space="preserve"> water</w:t>
      </w:r>
    </w:p>
    <w:p w14:paraId="42A35C3C" w14:textId="286E1BE2" w:rsidR="00585BDB" w:rsidRPr="0090165A" w:rsidRDefault="00457752" w:rsidP="14EA01B5">
      <w:pPr>
        <w:rPr>
          <w:rFonts w:asciiTheme="minorHAnsi" w:hAnsiTheme="minorHAnsi"/>
        </w:rPr>
      </w:pPr>
      <w:r w:rsidRPr="14EA01B5">
        <w:rPr>
          <w:rFonts w:asciiTheme="minorHAnsi" w:hAnsiTheme="minorHAnsi"/>
        </w:rPr>
        <w:t>We are</w:t>
      </w:r>
      <w:r w:rsidR="00CE70EB" w:rsidRPr="14EA01B5">
        <w:rPr>
          <w:rFonts w:asciiTheme="minorHAnsi" w:hAnsiTheme="minorHAnsi"/>
        </w:rPr>
        <w:t xml:space="preserve"> committed to the continued expansion of our Class A recycled water network to provide greater alternative water access for our customers and to support long-term water security.</w:t>
      </w:r>
    </w:p>
    <w:p w14:paraId="1D05D328" w14:textId="00DBF666" w:rsidR="006408E4" w:rsidRPr="0090165A" w:rsidRDefault="00CE70EB" w:rsidP="14EA01B5">
      <w:pPr>
        <w:rPr>
          <w:rFonts w:asciiTheme="minorHAnsi" w:hAnsiTheme="minorHAnsi"/>
        </w:rPr>
      </w:pPr>
      <w:r w:rsidRPr="14EA01B5">
        <w:rPr>
          <w:rFonts w:asciiTheme="minorHAnsi" w:hAnsiTheme="minorHAnsi"/>
        </w:rPr>
        <w:t xml:space="preserve">Residential recycled water growth </w:t>
      </w:r>
      <w:r w:rsidR="00B561D7" w:rsidRPr="14EA01B5">
        <w:rPr>
          <w:rFonts w:asciiTheme="minorHAnsi" w:hAnsiTheme="minorHAnsi"/>
        </w:rPr>
        <w:t>assumes</w:t>
      </w:r>
      <w:r w:rsidRPr="14EA01B5">
        <w:rPr>
          <w:rFonts w:asciiTheme="minorHAnsi" w:hAnsiTheme="minorHAnsi"/>
        </w:rPr>
        <w:t xml:space="preserve"> that homes with recycled water available </w:t>
      </w:r>
      <w:r w:rsidR="00F01B35">
        <w:rPr>
          <w:rFonts w:asciiTheme="minorHAnsi" w:hAnsiTheme="minorHAnsi"/>
        </w:rPr>
        <w:br/>
      </w:r>
      <w:r w:rsidRPr="14EA01B5">
        <w:rPr>
          <w:rFonts w:asciiTheme="minorHAnsi" w:hAnsiTheme="minorHAnsi"/>
        </w:rPr>
        <w:t>use approximately 3</w:t>
      </w:r>
      <w:r w:rsidR="00AC1D63">
        <w:rPr>
          <w:rFonts w:asciiTheme="minorHAnsi" w:hAnsiTheme="minorHAnsi"/>
        </w:rPr>
        <w:t>2</w:t>
      </w:r>
      <w:r w:rsidRPr="14EA01B5">
        <w:rPr>
          <w:rFonts w:asciiTheme="minorHAnsi" w:hAnsiTheme="minorHAnsi"/>
        </w:rPr>
        <w:t xml:space="preserve"> </w:t>
      </w:r>
      <w:r w:rsidR="00AF6933">
        <w:rPr>
          <w:rFonts w:asciiTheme="minorHAnsi" w:hAnsiTheme="minorHAnsi"/>
        </w:rPr>
        <w:t>kilolitres</w:t>
      </w:r>
      <w:r w:rsidRPr="14EA01B5">
        <w:rPr>
          <w:rFonts w:asciiTheme="minorHAnsi" w:hAnsiTheme="minorHAnsi"/>
        </w:rPr>
        <w:t xml:space="preserve"> each year (based on average per connection across </w:t>
      </w:r>
      <w:r w:rsidR="00F01B35">
        <w:rPr>
          <w:rFonts w:asciiTheme="minorHAnsi" w:hAnsiTheme="minorHAnsi"/>
        </w:rPr>
        <w:br/>
      </w:r>
      <w:r w:rsidR="001A1E66">
        <w:rPr>
          <w:rFonts w:asciiTheme="minorHAnsi" w:hAnsiTheme="minorHAnsi"/>
        </w:rPr>
        <w:t xml:space="preserve">from </w:t>
      </w:r>
      <w:r w:rsidRPr="14EA01B5">
        <w:rPr>
          <w:rFonts w:asciiTheme="minorHAnsi" w:hAnsiTheme="minorHAnsi"/>
        </w:rPr>
        <w:t>20</w:t>
      </w:r>
      <w:r w:rsidR="00DC520E">
        <w:rPr>
          <w:rFonts w:asciiTheme="minorHAnsi" w:hAnsiTheme="minorHAnsi"/>
        </w:rPr>
        <w:t>17</w:t>
      </w:r>
      <w:r w:rsidR="004C32D1">
        <w:rPr>
          <w:rFonts w:asciiTheme="minorHAnsi" w:hAnsiTheme="minorHAnsi"/>
        </w:rPr>
        <w:t>–</w:t>
      </w:r>
      <w:r w:rsidRPr="14EA01B5">
        <w:rPr>
          <w:rFonts w:asciiTheme="minorHAnsi" w:hAnsiTheme="minorHAnsi"/>
        </w:rPr>
        <w:t>1</w:t>
      </w:r>
      <w:r w:rsidR="00DC520E">
        <w:rPr>
          <w:rFonts w:asciiTheme="minorHAnsi" w:hAnsiTheme="minorHAnsi"/>
        </w:rPr>
        <w:t>8</w:t>
      </w:r>
      <w:r w:rsidRPr="14EA01B5">
        <w:rPr>
          <w:rFonts w:asciiTheme="minorHAnsi" w:hAnsiTheme="minorHAnsi"/>
        </w:rPr>
        <w:t xml:space="preserve"> </w:t>
      </w:r>
      <w:r w:rsidR="001A1E66">
        <w:rPr>
          <w:rFonts w:asciiTheme="minorHAnsi" w:hAnsiTheme="minorHAnsi"/>
        </w:rPr>
        <w:t xml:space="preserve">to </w:t>
      </w:r>
      <w:r w:rsidR="003C043C">
        <w:rPr>
          <w:rFonts w:asciiTheme="minorHAnsi" w:hAnsiTheme="minorHAnsi"/>
        </w:rPr>
        <w:t>20</w:t>
      </w:r>
      <w:r w:rsidR="00DC520E">
        <w:rPr>
          <w:rFonts w:asciiTheme="minorHAnsi" w:hAnsiTheme="minorHAnsi"/>
        </w:rPr>
        <w:t>21</w:t>
      </w:r>
      <w:r w:rsidR="004C32D1">
        <w:rPr>
          <w:rFonts w:asciiTheme="minorHAnsi" w:hAnsiTheme="minorHAnsi"/>
        </w:rPr>
        <w:t>–</w:t>
      </w:r>
      <w:r w:rsidR="00DC520E">
        <w:rPr>
          <w:rFonts w:asciiTheme="minorHAnsi" w:hAnsiTheme="minorHAnsi"/>
        </w:rPr>
        <w:t>22</w:t>
      </w:r>
      <w:r w:rsidRPr="14EA01B5">
        <w:rPr>
          <w:rFonts w:asciiTheme="minorHAnsi" w:hAnsiTheme="minorHAnsi"/>
        </w:rPr>
        <w:t xml:space="preserve">), mainly for garden and toilet use, and </w:t>
      </w:r>
      <w:r w:rsidR="003771FA">
        <w:rPr>
          <w:rFonts w:asciiTheme="minorHAnsi" w:hAnsiTheme="minorHAnsi"/>
        </w:rPr>
        <w:t xml:space="preserve">washing machines </w:t>
      </w:r>
      <w:r w:rsidRPr="14EA01B5">
        <w:rPr>
          <w:rFonts w:asciiTheme="minorHAnsi" w:hAnsiTheme="minorHAnsi"/>
        </w:rPr>
        <w:t xml:space="preserve">in some homes. </w:t>
      </w:r>
    </w:p>
    <w:p w14:paraId="485E83DF" w14:textId="27198A5C" w:rsidR="00B0366F" w:rsidRDefault="00B0366F" w:rsidP="00B0366F">
      <w:pPr>
        <w:pStyle w:val="Heading3"/>
      </w:pPr>
      <w:r>
        <w:t xml:space="preserve">9.3.5 </w:t>
      </w:r>
      <w:r w:rsidR="00E41991">
        <w:t>Bulk</w:t>
      </w:r>
      <w:r>
        <w:t xml:space="preserve"> water</w:t>
      </w:r>
    </w:p>
    <w:p w14:paraId="065FC1DF" w14:textId="136DA1F4" w:rsidR="00B0366F" w:rsidRPr="00AE25DE" w:rsidRDefault="00F349C3" w:rsidP="00B0366F">
      <w:pPr>
        <w:pStyle w:val="Bulletlistmultilevel"/>
        <w:ind w:left="0" w:firstLine="0"/>
        <w:rPr>
          <w:rFonts w:cstheme="minorHAnsi"/>
          <w:sz w:val="24"/>
          <w:szCs w:val="24"/>
        </w:rPr>
      </w:pPr>
      <w:r>
        <w:rPr>
          <w:rFonts w:cstheme="minorHAnsi"/>
          <w:sz w:val="24"/>
          <w:szCs w:val="24"/>
        </w:rPr>
        <w:t>Figure 17</w:t>
      </w:r>
      <w:r w:rsidR="00B0366F" w:rsidRPr="00AE25DE">
        <w:rPr>
          <w:rFonts w:cstheme="minorHAnsi"/>
          <w:sz w:val="24"/>
          <w:szCs w:val="24"/>
        </w:rPr>
        <w:t xml:space="preserve"> shows the forecast trend for bulk water demand </w:t>
      </w:r>
      <w:r w:rsidR="00B0366F">
        <w:rPr>
          <w:rFonts w:cstheme="minorHAnsi"/>
          <w:sz w:val="24"/>
          <w:szCs w:val="24"/>
        </w:rPr>
        <w:t>over</w:t>
      </w:r>
      <w:r w:rsidR="00B0366F" w:rsidRPr="00AE25DE">
        <w:rPr>
          <w:rFonts w:cstheme="minorHAnsi"/>
          <w:sz w:val="24"/>
          <w:szCs w:val="24"/>
        </w:rPr>
        <w:t xml:space="preserve"> the next 10 years</w:t>
      </w:r>
      <w:r w:rsidR="00B716AD">
        <w:rPr>
          <w:rFonts w:cstheme="minorHAnsi"/>
          <w:sz w:val="24"/>
          <w:szCs w:val="24"/>
        </w:rPr>
        <w:t>.</w:t>
      </w:r>
      <w:r w:rsidR="006A7BF6">
        <w:rPr>
          <w:rFonts w:cstheme="minorHAnsi"/>
          <w:sz w:val="24"/>
          <w:szCs w:val="24"/>
        </w:rPr>
        <w:t xml:space="preserve"> Bulk water is defined to be the total of residential, </w:t>
      </w:r>
      <w:r w:rsidR="009C03D7">
        <w:rPr>
          <w:rFonts w:cstheme="minorHAnsi"/>
          <w:sz w:val="24"/>
          <w:szCs w:val="24"/>
        </w:rPr>
        <w:t>non-residential</w:t>
      </w:r>
      <w:r w:rsidR="006A7BF6">
        <w:rPr>
          <w:rFonts w:cstheme="minorHAnsi"/>
          <w:sz w:val="24"/>
          <w:szCs w:val="24"/>
        </w:rPr>
        <w:t xml:space="preserve"> and non-revenue water with an adjustment for </w:t>
      </w:r>
      <w:r w:rsidR="00845406">
        <w:rPr>
          <w:rFonts w:cstheme="minorHAnsi"/>
          <w:sz w:val="24"/>
          <w:szCs w:val="24"/>
        </w:rPr>
        <w:t>potable</w:t>
      </w:r>
      <w:r w:rsidR="00022C88">
        <w:rPr>
          <w:rFonts w:cstheme="minorHAnsi"/>
          <w:sz w:val="24"/>
          <w:szCs w:val="24"/>
        </w:rPr>
        <w:t xml:space="preserve"> water top</w:t>
      </w:r>
      <w:r w:rsidR="00A0084F">
        <w:rPr>
          <w:rFonts w:cstheme="minorHAnsi"/>
          <w:sz w:val="24"/>
          <w:szCs w:val="24"/>
        </w:rPr>
        <w:t>-</w:t>
      </w:r>
      <w:r w:rsidR="00022C88">
        <w:rPr>
          <w:rFonts w:cstheme="minorHAnsi"/>
          <w:sz w:val="24"/>
          <w:szCs w:val="24"/>
        </w:rPr>
        <w:t>up of the recycled water network</w:t>
      </w:r>
      <w:r w:rsidR="00D154A4">
        <w:rPr>
          <w:rFonts w:cstheme="minorHAnsi"/>
          <w:sz w:val="24"/>
          <w:szCs w:val="24"/>
        </w:rPr>
        <w:t>. Overall</w:t>
      </w:r>
      <w:r w:rsidR="00B0366F" w:rsidRPr="00AE25DE">
        <w:rPr>
          <w:rFonts w:cstheme="minorHAnsi"/>
          <w:sz w:val="24"/>
          <w:szCs w:val="24"/>
        </w:rPr>
        <w:t xml:space="preserve"> demand</w:t>
      </w:r>
      <w:r w:rsidR="00D154A4">
        <w:rPr>
          <w:rFonts w:cstheme="minorHAnsi"/>
          <w:sz w:val="24"/>
          <w:szCs w:val="24"/>
        </w:rPr>
        <w:t xml:space="preserve"> is</w:t>
      </w:r>
      <w:r w:rsidR="00B0366F" w:rsidRPr="00AE25DE">
        <w:rPr>
          <w:rFonts w:cstheme="minorHAnsi"/>
          <w:sz w:val="24"/>
          <w:szCs w:val="24"/>
        </w:rPr>
        <w:t xml:space="preserve"> </w:t>
      </w:r>
      <w:r w:rsidR="009D6D03">
        <w:rPr>
          <w:rFonts w:cstheme="minorHAnsi"/>
          <w:sz w:val="24"/>
          <w:szCs w:val="24"/>
        </w:rPr>
        <w:t xml:space="preserve">forecast to </w:t>
      </w:r>
      <w:r w:rsidR="00B0366F" w:rsidRPr="00AE25DE">
        <w:rPr>
          <w:rFonts w:cstheme="minorHAnsi"/>
          <w:sz w:val="24"/>
          <w:szCs w:val="24"/>
        </w:rPr>
        <w:t>increas</w:t>
      </w:r>
      <w:r w:rsidR="009D6D03">
        <w:rPr>
          <w:rFonts w:cstheme="minorHAnsi"/>
          <w:sz w:val="24"/>
          <w:szCs w:val="24"/>
        </w:rPr>
        <w:t>e</w:t>
      </w:r>
      <w:r w:rsidR="00B0366F" w:rsidRPr="00AE25DE">
        <w:rPr>
          <w:rFonts w:cstheme="minorHAnsi"/>
          <w:sz w:val="24"/>
          <w:szCs w:val="24"/>
        </w:rPr>
        <w:t xml:space="preserve"> by approximately </w:t>
      </w:r>
      <w:r w:rsidR="00B0366F">
        <w:rPr>
          <w:rFonts w:cstheme="minorHAnsi"/>
          <w:sz w:val="24"/>
          <w:szCs w:val="24"/>
        </w:rPr>
        <w:t>0.</w:t>
      </w:r>
      <w:r w:rsidR="00A93626">
        <w:rPr>
          <w:rFonts w:cstheme="minorHAnsi"/>
          <w:sz w:val="24"/>
          <w:szCs w:val="24"/>
        </w:rPr>
        <w:t>8</w:t>
      </w:r>
      <w:r w:rsidR="00F96864">
        <w:rPr>
          <w:rFonts w:cstheme="minorHAnsi"/>
          <w:sz w:val="24"/>
          <w:szCs w:val="24"/>
        </w:rPr>
        <w:t>6</w:t>
      </w:r>
      <w:r w:rsidR="00B0366F">
        <w:rPr>
          <w:rFonts w:cstheme="minorHAnsi"/>
          <w:sz w:val="24"/>
          <w:szCs w:val="24"/>
        </w:rPr>
        <w:t>%</w:t>
      </w:r>
      <w:r w:rsidR="00B0366F" w:rsidRPr="00AE25DE">
        <w:rPr>
          <w:rFonts w:cstheme="minorHAnsi"/>
          <w:sz w:val="24"/>
          <w:szCs w:val="24"/>
        </w:rPr>
        <w:t xml:space="preserve"> per annum</w:t>
      </w:r>
      <w:r w:rsidR="0015271C">
        <w:rPr>
          <w:rFonts w:cstheme="minorHAnsi"/>
          <w:sz w:val="24"/>
          <w:szCs w:val="24"/>
        </w:rPr>
        <w:t xml:space="preserve"> over 2023-28</w:t>
      </w:r>
      <w:r w:rsidR="00B0366F" w:rsidRPr="00AE25DE">
        <w:rPr>
          <w:rFonts w:cstheme="minorHAnsi"/>
          <w:sz w:val="24"/>
          <w:szCs w:val="24"/>
        </w:rPr>
        <w:t>.</w:t>
      </w:r>
    </w:p>
    <w:p w14:paraId="1925F5DF" w14:textId="4F1719E9" w:rsidR="006E0FC4" w:rsidRPr="006E5D95" w:rsidRDefault="006E5D95" w:rsidP="006E0FC4">
      <w:pPr>
        <w:pStyle w:val="Figuretitle"/>
        <w:rPr>
          <w:i/>
          <w:sz w:val="22"/>
          <w:szCs w:val="22"/>
        </w:rPr>
      </w:pPr>
      <w:r w:rsidRPr="006E5D95">
        <w:rPr>
          <w:i/>
          <w:sz w:val="22"/>
          <w:szCs w:val="22"/>
        </w:rPr>
        <w:t xml:space="preserve">Figure </w:t>
      </w:r>
      <w:r w:rsidR="006C3B67">
        <w:rPr>
          <w:i/>
          <w:sz w:val="22"/>
          <w:szCs w:val="22"/>
        </w:rPr>
        <w:t>17</w:t>
      </w:r>
      <w:r w:rsidRPr="006E5D95">
        <w:rPr>
          <w:i/>
          <w:sz w:val="22"/>
          <w:szCs w:val="22"/>
        </w:rPr>
        <w:t>:</w:t>
      </w:r>
      <w:r w:rsidR="00B258E4" w:rsidRPr="006E5D95">
        <w:rPr>
          <w:i/>
          <w:sz w:val="22"/>
          <w:szCs w:val="22"/>
        </w:rPr>
        <w:t xml:space="preserve"> </w:t>
      </w:r>
      <w:r w:rsidR="006E0FC4" w:rsidRPr="006E5D95">
        <w:rPr>
          <w:i/>
          <w:sz w:val="22"/>
          <w:szCs w:val="22"/>
        </w:rPr>
        <w:t>Bulk water demand 2017</w:t>
      </w:r>
      <w:r w:rsidR="004C32D1" w:rsidRPr="006E5D95">
        <w:rPr>
          <w:i/>
          <w:sz w:val="22"/>
          <w:szCs w:val="22"/>
        </w:rPr>
        <w:t>–</w:t>
      </w:r>
      <w:r w:rsidR="006E0FC4" w:rsidRPr="006E5D95">
        <w:rPr>
          <w:i/>
          <w:sz w:val="22"/>
          <w:szCs w:val="22"/>
        </w:rPr>
        <w:t>18 to 2032</w:t>
      </w:r>
      <w:r w:rsidR="004C32D1" w:rsidRPr="006E5D95">
        <w:rPr>
          <w:i/>
          <w:sz w:val="22"/>
          <w:szCs w:val="22"/>
        </w:rPr>
        <w:t>–</w:t>
      </w:r>
      <w:r w:rsidR="006E0FC4" w:rsidRPr="006E5D95">
        <w:rPr>
          <w:i/>
          <w:sz w:val="22"/>
          <w:szCs w:val="22"/>
        </w:rPr>
        <w:t>33</w:t>
      </w:r>
    </w:p>
    <w:p w14:paraId="7DF3145C" w14:textId="679C07FA" w:rsidR="00AE35E9" w:rsidRDefault="00B76DF4" w:rsidP="00AE35E9">
      <w:r>
        <w:rPr>
          <w:noProof/>
        </w:rPr>
        <w:drawing>
          <wp:anchor distT="0" distB="0" distL="114300" distR="114300" simplePos="0" relativeHeight="251658309" behindDoc="0" locked="0" layoutInCell="1" allowOverlap="1" wp14:anchorId="37C359E1" wp14:editId="0E53B0D1">
            <wp:simplePos x="0" y="0"/>
            <wp:positionH relativeFrom="column">
              <wp:posOffset>635</wp:posOffset>
            </wp:positionH>
            <wp:positionV relativeFrom="paragraph">
              <wp:posOffset>177800</wp:posOffset>
            </wp:positionV>
            <wp:extent cx="4222115" cy="3649980"/>
            <wp:effectExtent l="0" t="0" r="0" b="0"/>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4222115" cy="3649980"/>
                    </a:xfrm>
                    <a:prstGeom prst="rect">
                      <a:avLst/>
                    </a:prstGeom>
                    <a:noFill/>
                  </pic:spPr>
                </pic:pic>
              </a:graphicData>
            </a:graphic>
            <wp14:sizeRelH relativeFrom="page">
              <wp14:pctWidth>0</wp14:pctWidth>
            </wp14:sizeRelH>
            <wp14:sizeRelV relativeFrom="page">
              <wp14:pctHeight>0</wp14:pctHeight>
            </wp14:sizeRelV>
          </wp:anchor>
        </w:drawing>
      </w:r>
    </w:p>
    <w:p w14:paraId="0CD73A1A" w14:textId="19C24612" w:rsidR="002778CC" w:rsidRDefault="002778CC" w:rsidP="00AE35E9"/>
    <w:p w14:paraId="7ED57783" w14:textId="18B700B7" w:rsidR="00AE35E9" w:rsidRDefault="00AE35E9">
      <w:pPr>
        <w:pStyle w:val="Heading2"/>
      </w:pPr>
      <w:bookmarkStart w:id="92" w:name="_Toc103770961"/>
      <w:r>
        <w:t>9.</w:t>
      </w:r>
      <w:r w:rsidR="00873836">
        <w:t>4</w:t>
      </w:r>
      <w:r>
        <w:t xml:space="preserve"> Sewage and trade waste</w:t>
      </w:r>
      <w:bookmarkEnd w:id="92"/>
    </w:p>
    <w:p w14:paraId="078CFB48" w14:textId="29C0AB5D" w:rsidR="00FC2997" w:rsidRPr="00171F8D" w:rsidRDefault="009D6D03" w:rsidP="00AE35E9">
      <w:r>
        <w:t>As w</w:t>
      </w:r>
      <w:r w:rsidR="00FC2997">
        <w:t>e have proposed removing the residential sewage disposal charge</w:t>
      </w:r>
      <w:r w:rsidR="009765C2">
        <w:t xml:space="preserve"> (SDC)</w:t>
      </w:r>
      <w:r>
        <w:t xml:space="preserve"> from the commencement of the 2023-28 regulatory period, the residential sewage forecast is </w:t>
      </w:r>
      <w:r w:rsidR="009765C2">
        <w:t xml:space="preserve">no longer needed. See </w:t>
      </w:r>
      <w:r w:rsidR="00341008">
        <w:t>Section</w:t>
      </w:r>
      <w:r w:rsidR="009765C2">
        <w:t xml:space="preserve">s </w:t>
      </w:r>
      <w:r w:rsidR="00213A71">
        <w:t>9.</w:t>
      </w:r>
      <w:r w:rsidR="00A14AD8">
        <w:t>5</w:t>
      </w:r>
      <w:r w:rsidR="009765C2">
        <w:t xml:space="preserve"> and</w:t>
      </w:r>
      <w:r w:rsidR="00213A71">
        <w:t xml:space="preserve"> </w:t>
      </w:r>
      <w:r w:rsidR="009765C2">
        <w:t>10.2 for more information.</w:t>
      </w:r>
    </w:p>
    <w:p w14:paraId="0D01C437" w14:textId="66B5D640" w:rsidR="00171F8D" w:rsidRPr="00171F8D" w:rsidRDefault="00151859" w:rsidP="00AE35E9">
      <w:r>
        <w:t>Non-residential</w:t>
      </w:r>
      <w:r w:rsidR="00171F8D">
        <w:t xml:space="preserve"> billable sewage volumes are difficult to estimate as there is little consistency between </w:t>
      </w:r>
      <w:r w:rsidR="00CB0062">
        <w:t>non-residential customers</w:t>
      </w:r>
      <w:r w:rsidR="00171F8D">
        <w:t>. For example, parks and gardens, commercial customers and trade waste customers all have different disposal patterns</w:t>
      </w:r>
      <w:r w:rsidR="006E6075">
        <w:t xml:space="preserve"> and are charged at different disposal rates.</w:t>
      </w:r>
      <w:r w:rsidR="00171F8D">
        <w:t xml:space="preserve"> As a result, a relationship between </w:t>
      </w:r>
      <w:r w:rsidR="006E6075">
        <w:t xml:space="preserve">the </w:t>
      </w:r>
      <w:r w:rsidR="006E6075">
        <w:lastRenderedPageBreak/>
        <w:t xml:space="preserve">aggregate </w:t>
      </w:r>
      <w:r w:rsidR="00171F8D">
        <w:t xml:space="preserve">water consumption and </w:t>
      </w:r>
      <w:r w:rsidR="006E6075">
        <w:t>billed</w:t>
      </w:r>
      <w:r w:rsidR="00171F8D">
        <w:t xml:space="preserve"> sewage volumes has been derived for </w:t>
      </w:r>
      <w:r w:rsidR="00CB0062">
        <w:t>non-residential</w:t>
      </w:r>
      <w:r w:rsidR="00171F8D">
        <w:t xml:space="preserve"> customers based on historical averages between 201</w:t>
      </w:r>
      <w:r w:rsidR="002B2A83">
        <w:t>7</w:t>
      </w:r>
      <w:r w:rsidR="004C32D1">
        <w:t>–</w:t>
      </w:r>
      <w:r w:rsidR="00171F8D">
        <w:t>1</w:t>
      </w:r>
      <w:r w:rsidR="002B2A83">
        <w:t>8</w:t>
      </w:r>
      <w:r w:rsidR="00171F8D">
        <w:t xml:space="preserve"> and 20</w:t>
      </w:r>
      <w:r w:rsidR="00B0392A">
        <w:t>20</w:t>
      </w:r>
      <w:r w:rsidR="004C32D1">
        <w:t>–</w:t>
      </w:r>
      <w:r w:rsidR="00B0392A">
        <w:t>21</w:t>
      </w:r>
      <w:r w:rsidR="00171F8D">
        <w:t>.</w:t>
      </w:r>
    </w:p>
    <w:p w14:paraId="68E1FD0F" w14:textId="4513352F" w:rsidR="000E685E" w:rsidRDefault="00B07CC8" w:rsidP="00AE35E9">
      <w:r w:rsidRPr="00B07CC8">
        <w:t>Trade waste flow volume</w:t>
      </w:r>
      <w:r w:rsidR="00537850">
        <w:t>s</w:t>
      </w:r>
      <w:r w:rsidRPr="00B07CC8">
        <w:t xml:space="preserve"> </w:t>
      </w:r>
      <w:r w:rsidR="00537850">
        <w:t>are</w:t>
      </w:r>
      <w:r w:rsidRPr="00B07CC8">
        <w:t xml:space="preserve"> directly linked to the employment growth rate for each industry type, while </w:t>
      </w:r>
      <w:r w:rsidR="00502FB6">
        <w:t>trade waste</w:t>
      </w:r>
      <w:r w:rsidRPr="00B07CC8">
        <w:t xml:space="preserve"> loads are calculated from a combination of industry average concentrations and measured data. </w:t>
      </w:r>
      <w:r w:rsidR="00194C96">
        <w:t>Because s</w:t>
      </w:r>
      <w:r w:rsidRPr="00B07CC8">
        <w:t>ome trade waste industries are expected to be impacted by population growth (</w:t>
      </w:r>
      <w:r w:rsidR="00960122">
        <w:t xml:space="preserve">for example, </w:t>
      </w:r>
      <w:r w:rsidRPr="00B07CC8">
        <w:t>restaurants and large food manufacturers) whereas others are not (</w:t>
      </w:r>
      <w:r w:rsidR="00960122">
        <w:t xml:space="preserve">for example, </w:t>
      </w:r>
      <w:r w:rsidRPr="00B07CC8">
        <w:t>laboratories), a separate forecast for trade waste flow and loads has been adopted</w:t>
      </w:r>
      <w:r w:rsidR="002C40B7">
        <w:t xml:space="preserve"> </w:t>
      </w:r>
      <w:r w:rsidR="002C40B7" w:rsidRPr="00B07CC8">
        <w:t>based on the latest employment projections from Labour Market Insight</w:t>
      </w:r>
      <w:r w:rsidR="002C40B7">
        <w:t>s</w:t>
      </w:r>
      <w:r w:rsidR="002C40B7" w:rsidRPr="00AC25F9">
        <w:rPr>
          <w:rStyle w:val="FootnoteReference"/>
          <w:color w:val="auto"/>
        </w:rPr>
        <w:footnoteReference w:id="18"/>
      </w:r>
      <w:r w:rsidR="0009643A" w:rsidRPr="00AC25F9">
        <w:t xml:space="preserve"> </w:t>
      </w:r>
      <w:r w:rsidR="0009643A">
        <w:t xml:space="preserve">developed by the National Skills Commission </w:t>
      </w:r>
      <w:r w:rsidR="00FB150B">
        <w:t>who provide</w:t>
      </w:r>
      <w:r w:rsidR="006A3E6F">
        <w:t xml:space="preserve"> information on the Australia</w:t>
      </w:r>
      <w:r w:rsidR="00A0084F">
        <w:t>n</w:t>
      </w:r>
      <w:r w:rsidR="006A3E6F">
        <w:t xml:space="preserve"> jobs market</w:t>
      </w:r>
      <w:r w:rsidRPr="00B07CC8">
        <w:t>. </w:t>
      </w:r>
      <w:r w:rsidR="00D92D75">
        <w:br/>
      </w:r>
    </w:p>
    <w:p w14:paraId="107F4838" w14:textId="1F549EC7" w:rsidR="00157EDE" w:rsidRPr="00837531" w:rsidRDefault="00837531" w:rsidP="00837531">
      <w:pPr>
        <w:pStyle w:val="NormalIndent"/>
        <w:ind w:left="0"/>
        <w:rPr>
          <w:rFonts w:cs="Arial"/>
          <w:b/>
          <w:i/>
        </w:rPr>
      </w:pPr>
      <w:r w:rsidRPr="00CE6C4E">
        <w:rPr>
          <w:b/>
          <w:i/>
        </w:rPr>
        <w:t xml:space="preserve">Table </w:t>
      </w:r>
      <w:r w:rsidR="009A35C7" w:rsidRPr="00CE6C4E">
        <w:rPr>
          <w:b/>
          <w:bCs/>
          <w:i/>
          <w:iCs/>
        </w:rPr>
        <w:fldChar w:fldCharType="begin"/>
      </w:r>
      <w:r w:rsidR="009A35C7" w:rsidRPr="00CE6C4E">
        <w:rPr>
          <w:b/>
          <w:bCs/>
          <w:i/>
          <w:iCs/>
        </w:rPr>
        <w:instrText>SEQ Table \* ARABIC</w:instrText>
      </w:r>
      <w:r w:rsidR="009A35C7" w:rsidRPr="00CE6C4E">
        <w:rPr>
          <w:b/>
          <w:bCs/>
          <w:i/>
          <w:iCs/>
        </w:rPr>
        <w:fldChar w:fldCharType="separate"/>
      </w:r>
      <w:r w:rsidR="009A35C7">
        <w:rPr>
          <w:b/>
          <w:bCs/>
          <w:i/>
          <w:iCs/>
          <w:noProof/>
        </w:rPr>
        <w:t>46</w:t>
      </w:r>
      <w:r w:rsidR="009A35C7" w:rsidRPr="00CE6C4E">
        <w:rPr>
          <w:b/>
          <w:bCs/>
          <w:i/>
          <w:iCs/>
        </w:rPr>
        <w:fldChar w:fldCharType="end"/>
      </w:r>
      <w:r w:rsidRPr="007B339F">
        <w:rPr>
          <w:rFonts w:ascii="Arial" w:hAnsi="Arial" w:cs="Arial"/>
          <w:b/>
          <w:i/>
        </w:rPr>
        <w:t>:</w:t>
      </w:r>
      <w:r>
        <w:rPr>
          <w:rFonts w:ascii="Arial" w:hAnsi="Arial" w:cs="Arial"/>
          <w:b/>
          <w:i/>
        </w:rPr>
        <w:t xml:space="preserve"> Trade waste volumes and load </w:t>
      </w:r>
      <w:r w:rsidR="0019785A">
        <w:rPr>
          <w:rFonts w:ascii="Arial" w:hAnsi="Arial" w:cs="Arial"/>
          <w:b/>
          <w:i/>
        </w:rPr>
        <w:t xml:space="preserve">forecast </w:t>
      </w:r>
      <w:r>
        <w:rPr>
          <w:rFonts w:ascii="Arial" w:hAnsi="Arial" w:cs="Arial"/>
          <w:b/>
          <w:i/>
        </w:rPr>
        <w:t xml:space="preserve">growth </w:t>
      </w:r>
    </w:p>
    <w:tbl>
      <w:tblPr>
        <w:tblStyle w:val="MJTableStyle1default"/>
        <w:tblW w:w="9348" w:type="dxa"/>
        <w:tblInd w:w="8" w:type="dxa"/>
        <w:tblLook w:val="04A0" w:firstRow="1" w:lastRow="0" w:firstColumn="1" w:lastColumn="0" w:noHBand="0" w:noVBand="1"/>
      </w:tblPr>
      <w:tblGrid>
        <w:gridCol w:w="7505"/>
        <w:gridCol w:w="1843"/>
      </w:tblGrid>
      <w:tr w:rsidR="001F6600" w:rsidRPr="001F6600" w14:paraId="134C2FC8" w14:textId="77777777" w:rsidTr="003F1732">
        <w:trPr>
          <w:cnfStyle w:val="100000000000" w:firstRow="1" w:lastRow="0" w:firstColumn="0" w:lastColumn="0" w:oddVBand="0" w:evenVBand="0" w:oddHBand="0" w:evenHBand="0" w:firstRowFirstColumn="0" w:firstRowLastColumn="0" w:lastRowFirstColumn="0" w:lastRowLastColumn="0"/>
          <w:trHeight w:val="591"/>
        </w:trPr>
        <w:tc>
          <w:tcPr>
            <w:tcW w:w="7505" w:type="dxa"/>
            <w:tcBorders>
              <w:top w:val="single" w:sz="4" w:space="0" w:color="002279"/>
              <w:left w:val="single" w:sz="4" w:space="0" w:color="002279"/>
              <w:bottom w:val="single" w:sz="2" w:space="0" w:color="002279"/>
              <w:right w:val="single" w:sz="4" w:space="0" w:color="FFFFFF" w:themeColor="background1"/>
            </w:tcBorders>
            <w:shd w:val="clear" w:color="auto" w:fill="002279"/>
            <w:vAlign w:val="center"/>
            <w:hideMark/>
          </w:tcPr>
          <w:p w14:paraId="6303DD4E" w14:textId="77777777" w:rsidR="001F6600" w:rsidRPr="00343BDB" w:rsidRDefault="001F6600" w:rsidP="004E1D72">
            <w:pPr>
              <w:spacing w:after="0"/>
              <w:textAlignment w:val="baseline"/>
              <w:rPr>
                <w:rFonts w:asciiTheme="minorHAnsi" w:eastAsia="Times New Roman" w:hAnsiTheme="minorHAnsi" w:cstheme="minorHAnsi"/>
                <w:b/>
                <w:color w:val="FFFFFF"/>
                <w:lang w:eastAsia="en-AU"/>
              </w:rPr>
            </w:pPr>
            <w:r w:rsidRPr="00343BDB">
              <w:rPr>
                <w:rFonts w:asciiTheme="minorHAnsi" w:eastAsia="Times New Roman" w:hAnsiTheme="minorHAnsi" w:cstheme="minorHAnsi"/>
                <w:b/>
                <w:color w:val="FFFFFF"/>
                <w:lang w:eastAsia="en-AU"/>
              </w:rPr>
              <w:t>Parameter </w:t>
            </w:r>
          </w:p>
        </w:tc>
        <w:tc>
          <w:tcPr>
            <w:tcW w:w="1843" w:type="dxa"/>
            <w:tcBorders>
              <w:top w:val="single" w:sz="4" w:space="0" w:color="002279"/>
              <w:left w:val="single" w:sz="4" w:space="0" w:color="FFFFFF" w:themeColor="background1"/>
              <w:bottom w:val="single" w:sz="2" w:space="0" w:color="002279"/>
              <w:right w:val="single" w:sz="4" w:space="0" w:color="002279"/>
            </w:tcBorders>
            <w:shd w:val="clear" w:color="auto" w:fill="002279"/>
            <w:vAlign w:val="center"/>
            <w:hideMark/>
          </w:tcPr>
          <w:p w14:paraId="264DD75F" w14:textId="5C6223C2" w:rsidR="001F6600" w:rsidRPr="00343BDB" w:rsidRDefault="001F6600" w:rsidP="00360131">
            <w:pPr>
              <w:spacing w:after="0"/>
              <w:jc w:val="center"/>
              <w:textAlignment w:val="baseline"/>
              <w:rPr>
                <w:rFonts w:asciiTheme="minorHAnsi" w:eastAsia="Times New Roman" w:hAnsiTheme="minorHAnsi" w:cstheme="minorHAnsi"/>
                <w:b/>
                <w:color w:val="FFFFFF"/>
                <w:lang w:eastAsia="en-AU"/>
              </w:rPr>
            </w:pPr>
            <w:r w:rsidRPr="00343BDB">
              <w:rPr>
                <w:rFonts w:asciiTheme="minorHAnsi" w:eastAsia="Times New Roman" w:hAnsiTheme="minorHAnsi" w:cstheme="minorHAnsi"/>
                <w:b/>
                <w:color w:val="FFFFFF"/>
                <w:lang w:eastAsia="en-AU"/>
              </w:rPr>
              <w:t>Annual growth</w:t>
            </w:r>
          </w:p>
        </w:tc>
      </w:tr>
      <w:tr w:rsidR="001F6600" w:rsidRPr="001F6600" w14:paraId="5D23EE19" w14:textId="77777777" w:rsidTr="003F1732">
        <w:trPr>
          <w:cnfStyle w:val="000000100000" w:firstRow="0" w:lastRow="0" w:firstColumn="0" w:lastColumn="0" w:oddVBand="0" w:evenVBand="0" w:oddHBand="1" w:evenHBand="0" w:firstRowFirstColumn="0" w:firstRowLastColumn="0" w:lastRowFirstColumn="0" w:lastRowLastColumn="0"/>
          <w:trHeight w:val="510"/>
        </w:trPr>
        <w:tc>
          <w:tcPr>
            <w:tcW w:w="7505" w:type="dxa"/>
            <w:tcBorders>
              <w:top w:val="single" w:sz="2" w:space="0" w:color="002279"/>
              <w:left w:val="single" w:sz="4" w:space="0" w:color="002279"/>
              <w:bottom w:val="single" w:sz="2" w:space="0" w:color="002279"/>
              <w:right w:val="single" w:sz="4" w:space="0" w:color="002279"/>
            </w:tcBorders>
            <w:shd w:val="clear" w:color="auto" w:fill="D4D6DF"/>
            <w:vAlign w:val="center"/>
            <w:hideMark/>
          </w:tcPr>
          <w:p w14:paraId="6CD1BE15" w14:textId="0E4986B0" w:rsidR="001F6600" w:rsidRPr="00116E55" w:rsidRDefault="001F6600" w:rsidP="004E1D72">
            <w:pPr>
              <w:spacing w:after="0"/>
              <w:textAlignment w:val="baseline"/>
              <w:rPr>
                <w:rFonts w:eastAsia="Times New Roman" w:cstheme="minorHAnsi"/>
                <w:lang w:eastAsia="en-AU"/>
              </w:rPr>
            </w:pPr>
            <w:r w:rsidRPr="00116E55">
              <w:rPr>
                <w:rFonts w:eastAsia="Times New Roman" w:cs="Arial"/>
                <w:lang w:eastAsia="en-AU"/>
              </w:rPr>
              <w:t xml:space="preserve">Trade </w:t>
            </w:r>
            <w:r w:rsidR="0050323F" w:rsidRPr="00116E55">
              <w:rPr>
                <w:rFonts w:eastAsia="Times New Roman" w:cs="Arial"/>
                <w:lang w:eastAsia="en-AU"/>
              </w:rPr>
              <w:t>w</w:t>
            </w:r>
            <w:r w:rsidRPr="00116E55">
              <w:rPr>
                <w:rFonts w:eastAsia="Times New Roman" w:cs="Arial"/>
                <w:lang w:eastAsia="en-AU"/>
              </w:rPr>
              <w:t xml:space="preserve">aste </w:t>
            </w:r>
            <w:r w:rsidR="0050323F" w:rsidRPr="00116E55">
              <w:rPr>
                <w:rFonts w:eastAsia="Times New Roman" w:cs="Arial"/>
                <w:lang w:eastAsia="en-AU"/>
              </w:rPr>
              <w:t>v</w:t>
            </w:r>
            <w:r w:rsidRPr="00116E55">
              <w:rPr>
                <w:rFonts w:eastAsia="Times New Roman" w:cs="Arial"/>
                <w:lang w:eastAsia="en-AU"/>
              </w:rPr>
              <w:t>olume (kL) </w:t>
            </w:r>
          </w:p>
        </w:tc>
        <w:tc>
          <w:tcPr>
            <w:tcW w:w="1843" w:type="dxa"/>
            <w:tcBorders>
              <w:top w:val="single" w:sz="2" w:space="0" w:color="002279"/>
              <w:left w:val="single" w:sz="4" w:space="0" w:color="002279"/>
              <w:bottom w:val="single" w:sz="2" w:space="0" w:color="002279"/>
              <w:right w:val="single" w:sz="4" w:space="0" w:color="002279"/>
            </w:tcBorders>
            <w:shd w:val="clear" w:color="auto" w:fill="D4D6DF"/>
            <w:vAlign w:val="center"/>
            <w:hideMark/>
          </w:tcPr>
          <w:p w14:paraId="45760ED5" w14:textId="3C02A44A" w:rsidR="001F6600" w:rsidRPr="004E1D72" w:rsidRDefault="001F6600" w:rsidP="00360131">
            <w:pPr>
              <w:spacing w:after="0"/>
              <w:jc w:val="center"/>
              <w:textAlignment w:val="baseline"/>
              <w:rPr>
                <w:rFonts w:eastAsia="Times New Roman" w:cstheme="minorHAnsi"/>
                <w:lang w:eastAsia="en-AU"/>
              </w:rPr>
            </w:pPr>
            <w:r w:rsidRPr="004E1D72">
              <w:rPr>
                <w:rFonts w:eastAsia="Times New Roman" w:cs="Arial"/>
                <w:lang w:eastAsia="en-AU"/>
              </w:rPr>
              <w:t>1.50%</w:t>
            </w:r>
          </w:p>
        </w:tc>
      </w:tr>
      <w:tr w:rsidR="001F6600" w:rsidRPr="001F6600" w14:paraId="396B36CB" w14:textId="77777777" w:rsidTr="003F1732">
        <w:trPr>
          <w:cnfStyle w:val="000000010000" w:firstRow="0" w:lastRow="0" w:firstColumn="0" w:lastColumn="0" w:oddVBand="0" w:evenVBand="0" w:oddHBand="0" w:evenHBand="1" w:firstRowFirstColumn="0" w:firstRowLastColumn="0" w:lastRowFirstColumn="0" w:lastRowLastColumn="0"/>
          <w:trHeight w:val="510"/>
        </w:trPr>
        <w:tc>
          <w:tcPr>
            <w:tcW w:w="7505" w:type="dxa"/>
            <w:tcBorders>
              <w:top w:val="single" w:sz="2" w:space="0" w:color="002279"/>
              <w:left w:val="single" w:sz="4" w:space="0" w:color="002279"/>
              <w:bottom w:val="single" w:sz="2" w:space="0" w:color="002279"/>
              <w:right w:val="single" w:sz="4" w:space="0" w:color="002279"/>
            </w:tcBorders>
            <w:shd w:val="clear" w:color="auto" w:fill="FFFFFF" w:themeFill="background1"/>
            <w:vAlign w:val="center"/>
            <w:hideMark/>
          </w:tcPr>
          <w:p w14:paraId="4672246D" w14:textId="0C60DF38" w:rsidR="001F6600" w:rsidRPr="00116E55" w:rsidRDefault="001F6600" w:rsidP="004E1D72">
            <w:pPr>
              <w:spacing w:after="0"/>
              <w:textAlignment w:val="baseline"/>
              <w:rPr>
                <w:rFonts w:eastAsia="Times New Roman" w:cstheme="minorHAnsi"/>
                <w:lang w:eastAsia="en-AU"/>
              </w:rPr>
            </w:pPr>
            <w:r w:rsidRPr="00116E55">
              <w:rPr>
                <w:rFonts w:eastAsia="Times New Roman" w:cs="Arial"/>
                <w:lang w:eastAsia="en-AU"/>
              </w:rPr>
              <w:t xml:space="preserve">Billable </w:t>
            </w:r>
            <w:r w:rsidR="000B6831">
              <w:rPr>
                <w:rFonts w:eastAsia="Times New Roman" w:cs="Arial"/>
                <w:lang w:eastAsia="en-AU"/>
              </w:rPr>
              <w:t>B</w:t>
            </w:r>
            <w:r w:rsidRPr="00116E55">
              <w:rPr>
                <w:rFonts w:eastAsia="Times New Roman" w:cs="Arial"/>
                <w:lang w:eastAsia="en-AU"/>
              </w:rPr>
              <w:t xml:space="preserve">iochemical </w:t>
            </w:r>
            <w:r w:rsidR="000B6831">
              <w:rPr>
                <w:rFonts w:eastAsia="Times New Roman" w:cs="Arial"/>
                <w:lang w:eastAsia="en-AU"/>
              </w:rPr>
              <w:t>O</w:t>
            </w:r>
            <w:r w:rsidRPr="00116E55">
              <w:rPr>
                <w:rFonts w:eastAsia="Times New Roman" w:cs="Arial"/>
                <w:lang w:eastAsia="en-AU"/>
              </w:rPr>
              <w:t xml:space="preserve">xygen </w:t>
            </w:r>
            <w:r w:rsidR="000B6831">
              <w:rPr>
                <w:rFonts w:eastAsia="Times New Roman" w:cs="Arial"/>
                <w:lang w:eastAsia="en-AU"/>
              </w:rPr>
              <w:t>D</w:t>
            </w:r>
            <w:r w:rsidRPr="00116E55">
              <w:rPr>
                <w:rFonts w:eastAsia="Times New Roman" w:cs="Arial"/>
                <w:lang w:eastAsia="en-AU"/>
              </w:rPr>
              <w:t>emand (BOD) (kg) </w:t>
            </w:r>
          </w:p>
        </w:tc>
        <w:tc>
          <w:tcPr>
            <w:tcW w:w="1843" w:type="dxa"/>
            <w:tcBorders>
              <w:top w:val="single" w:sz="2" w:space="0" w:color="002279"/>
              <w:left w:val="single" w:sz="4" w:space="0" w:color="002279"/>
              <w:bottom w:val="single" w:sz="2" w:space="0" w:color="002279"/>
              <w:right w:val="single" w:sz="4" w:space="0" w:color="002279"/>
            </w:tcBorders>
            <w:shd w:val="clear" w:color="auto" w:fill="FFFFFF" w:themeFill="background1"/>
            <w:vAlign w:val="center"/>
            <w:hideMark/>
          </w:tcPr>
          <w:p w14:paraId="23EC404B" w14:textId="4C658A6A" w:rsidR="001F6600" w:rsidRPr="004E1D72" w:rsidRDefault="001F6600" w:rsidP="00360131">
            <w:pPr>
              <w:spacing w:after="0"/>
              <w:jc w:val="center"/>
              <w:textAlignment w:val="baseline"/>
              <w:rPr>
                <w:rFonts w:eastAsia="Times New Roman" w:cstheme="minorHAnsi"/>
                <w:lang w:eastAsia="en-AU"/>
              </w:rPr>
            </w:pPr>
            <w:r w:rsidRPr="004E1D72">
              <w:rPr>
                <w:rFonts w:eastAsia="Times New Roman" w:cs="Arial"/>
                <w:lang w:eastAsia="en-AU"/>
              </w:rPr>
              <w:t>1.10%</w:t>
            </w:r>
          </w:p>
        </w:tc>
      </w:tr>
      <w:tr w:rsidR="001F6600" w:rsidRPr="001F6600" w14:paraId="12F617A4" w14:textId="77777777" w:rsidTr="003F1732">
        <w:trPr>
          <w:cnfStyle w:val="000000100000" w:firstRow="0" w:lastRow="0" w:firstColumn="0" w:lastColumn="0" w:oddVBand="0" w:evenVBand="0" w:oddHBand="1" w:evenHBand="0" w:firstRowFirstColumn="0" w:firstRowLastColumn="0" w:lastRowFirstColumn="0" w:lastRowLastColumn="0"/>
          <w:trHeight w:val="510"/>
        </w:trPr>
        <w:tc>
          <w:tcPr>
            <w:tcW w:w="7505" w:type="dxa"/>
            <w:tcBorders>
              <w:top w:val="single" w:sz="2" w:space="0" w:color="002279"/>
              <w:left w:val="single" w:sz="4" w:space="0" w:color="002279"/>
              <w:bottom w:val="single" w:sz="2" w:space="0" w:color="002279"/>
              <w:right w:val="single" w:sz="4" w:space="0" w:color="002279"/>
            </w:tcBorders>
            <w:shd w:val="clear" w:color="auto" w:fill="D4D6DF"/>
            <w:vAlign w:val="center"/>
            <w:hideMark/>
          </w:tcPr>
          <w:p w14:paraId="6121D067" w14:textId="5FF63676" w:rsidR="001F6600" w:rsidRPr="00116E55" w:rsidRDefault="001F6600" w:rsidP="004E1D72">
            <w:pPr>
              <w:spacing w:after="0"/>
              <w:textAlignment w:val="baseline"/>
              <w:rPr>
                <w:rFonts w:eastAsia="Times New Roman" w:cstheme="minorHAnsi"/>
                <w:lang w:eastAsia="en-AU"/>
              </w:rPr>
            </w:pPr>
            <w:r w:rsidRPr="00116E55">
              <w:rPr>
                <w:rFonts w:eastAsia="Times New Roman" w:cs="Arial"/>
                <w:lang w:eastAsia="en-AU"/>
              </w:rPr>
              <w:t xml:space="preserve">Billable </w:t>
            </w:r>
            <w:r w:rsidR="0050323F" w:rsidRPr="00116E55">
              <w:rPr>
                <w:rFonts w:eastAsia="Times New Roman" w:cs="Arial"/>
                <w:lang w:eastAsia="en-AU"/>
              </w:rPr>
              <w:t>s</w:t>
            </w:r>
            <w:r w:rsidRPr="00116E55">
              <w:rPr>
                <w:rFonts w:eastAsia="Times New Roman" w:cs="Arial"/>
                <w:lang w:eastAsia="en-AU"/>
              </w:rPr>
              <w:t xml:space="preserve">uspended </w:t>
            </w:r>
            <w:r w:rsidR="0050323F" w:rsidRPr="00116E55">
              <w:rPr>
                <w:rFonts w:eastAsia="Times New Roman" w:cs="Arial"/>
                <w:lang w:eastAsia="en-AU"/>
              </w:rPr>
              <w:t>s</w:t>
            </w:r>
            <w:r w:rsidRPr="00116E55">
              <w:rPr>
                <w:rFonts w:eastAsia="Times New Roman" w:cs="Arial"/>
                <w:lang w:eastAsia="en-AU"/>
              </w:rPr>
              <w:t>olids (kg) </w:t>
            </w:r>
          </w:p>
        </w:tc>
        <w:tc>
          <w:tcPr>
            <w:tcW w:w="1843" w:type="dxa"/>
            <w:tcBorders>
              <w:top w:val="single" w:sz="2" w:space="0" w:color="002279"/>
              <w:left w:val="single" w:sz="4" w:space="0" w:color="002279"/>
              <w:bottom w:val="single" w:sz="2" w:space="0" w:color="002279"/>
              <w:right w:val="single" w:sz="4" w:space="0" w:color="002279"/>
            </w:tcBorders>
            <w:shd w:val="clear" w:color="auto" w:fill="D4D6DF"/>
            <w:vAlign w:val="center"/>
            <w:hideMark/>
          </w:tcPr>
          <w:p w14:paraId="6944E445" w14:textId="6E7BF50C" w:rsidR="001F6600" w:rsidRPr="004E1D72" w:rsidRDefault="001F6600" w:rsidP="00360131">
            <w:pPr>
              <w:spacing w:after="0"/>
              <w:jc w:val="center"/>
              <w:textAlignment w:val="baseline"/>
              <w:rPr>
                <w:rFonts w:eastAsia="Times New Roman" w:cstheme="minorHAnsi"/>
                <w:lang w:eastAsia="en-AU"/>
              </w:rPr>
            </w:pPr>
            <w:r w:rsidRPr="004E1D72">
              <w:rPr>
                <w:rFonts w:eastAsia="Times New Roman" w:cs="Arial"/>
                <w:lang w:eastAsia="en-AU"/>
              </w:rPr>
              <w:t>1.00%</w:t>
            </w:r>
          </w:p>
        </w:tc>
      </w:tr>
      <w:tr w:rsidR="001F6600" w:rsidRPr="001F6600" w14:paraId="0C8EE6D4" w14:textId="77777777" w:rsidTr="003F1732">
        <w:trPr>
          <w:cnfStyle w:val="000000010000" w:firstRow="0" w:lastRow="0" w:firstColumn="0" w:lastColumn="0" w:oddVBand="0" w:evenVBand="0" w:oddHBand="0" w:evenHBand="1" w:firstRowFirstColumn="0" w:firstRowLastColumn="0" w:lastRowFirstColumn="0" w:lastRowLastColumn="0"/>
          <w:trHeight w:val="510"/>
        </w:trPr>
        <w:tc>
          <w:tcPr>
            <w:tcW w:w="7505" w:type="dxa"/>
            <w:tcBorders>
              <w:top w:val="single" w:sz="2" w:space="0" w:color="002279"/>
              <w:left w:val="single" w:sz="4" w:space="0" w:color="002279"/>
              <w:bottom w:val="single" w:sz="4" w:space="0" w:color="002279"/>
              <w:right w:val="single" w:sz="4" w:space="0" w:color="002279"/>
            </w:tcBorders>
            <w:shd w:val="clear" w:color="auto" w:fill="FFFFFF" w:themeFill="background1"/>
            <w:vAlign w:val="center"/>
            <w:hideMark/>
          </w:tcPr>
          <w:p w14:paraId="05F5A9A0" w14:textId="0C9CD6B0" w:rsidR="001F6600" w:rsidRPr="00116E55" w:rsidRDefault="001F6600" w:rsidP="004E1D72">
            <w:pPr>
              <w:spacing w:after="0"/>
              <w:textAlignment w:val="baseline"/>
              <w:rPr>
                <w:rFonts w:eastAsia="Times New Roman" w:cstheme="minorHAnsi"/>
                <w:lang w:eastAsia="en-AU"/>
              </w:rPr>
            </w:pPr>
            <w:r w:rsidRPr="00116E55">
              <w:rPr>
                <w:rFonts w:eastAsia="Times New Roman" w:cs="Arial"/>
                <w:lang w:eastAsia="en-AU"/>
              </w:rPr>
              <w:t xml:space="preserve">Billable </w:t>
            </w:r>
            <w:r w:rsidR="002A1218">
              <w:rPr>
                <w:rFonts w:eastAsia="Times New Roman" w:cs="Arial"/>
                <w:lang w:eastAsia="en-AU"/>
              </w:rPr>
              <w:t>T</w:t>
            </w:r>
            <w:r w:rsidRPr="00116E55">
              <w:rPr>
                <w:rFonts w:eastAsia="Times New Roman" w:cs="Arial"/>
                <w:lang w:eastAsia="en-AU"/>
              </w:rPr>
              <w:t xml:space="preserve">otal Kjeldahl </w:t>
            </w:r>
            <w:r w:rsidR="002A1218">
              <w:rPr>
                <w:rFonts w:eastAsia="Times New Roman" w:cs="Arial"/>
                <w:lang w:eastAsia="en-AU"/>
              </w:rPr>
              <w:t>N</w:t>
            </w:r>
            <w:r w:rsidRPr="00116E55">
              <w:rPr>
                <w:rFonts w:eastAsia="Times New Roman" w:cs="Arial"/>
                <w:lang w:eastAsia="en-AU"/>
              </w:rPr>
              <w:t>itrogen (</w:t>
            </w:r>
            <w:r w:rsidR="008707FD" w:rsidRPr="00116E55">
              <w:rPr>
                <w:rFonts w:eastAsia="Times New Roman" w:cs="Arial"/>
                <w:lang w:eastAsia="en-AU"/>
              </w:rPr>
              <w:t>TKN</w:t>
            </w:r>
            <w:r w:rsidRPr="00116E55">
              <w:rPr>
                <w:rFonts w:eastAsia="Times New Roman" w:cs="Arial"/>
                <w:lang w:eastAsia="en-AU"/>
              </w:rPr>
              <w:t>) (kg) </w:t>
            </w:r>
          </w:p>
        </w:tc>
        <w:tc>
          <w:tcPr>
            <w:tcW w:w="1843" w:type="dxa"/>
            <w:tcBorders>
              <w:top w:val="single" w:sz="2" w:space="0" w:color="002279"/>
              <w:left w:val="single" w:sz="4" w:space="0" w:color="002279"/>
              <w:bottom w:val="single" w:sz="4" w:space="0" w:color="002279"/>
              <w:right w:val="single" w:sz="4" w:space="0" w:color="002279"/>
            </w:tcBorders>
            <w:shd w:val="clear" w:color="auto" w:fill="FFFFFF" w:themeFill="background1"/>
            <w:vAlign w:val="center"/>
            <w:hideMark/>
          </w:tcPr>
          <w:p w14:paraId="3C7917B2" w14:textId="2474C6D2" w:rsidR="001F6600" w:rsidRPr="004E1D72" w:rsidRDefault="001F6600" w:rsidP="00360131">
            <w:pPr>
              <w:spacing w:after="0"/>
              <w:jc w:val="center"/>
              <w:textAlignment w:val="baseline"/>
              <w:rPr>
                <w:rFonts w:eastAsia="Times New Roman" w:cstheme="minorHAnsi"/>
                <w:lang w:eastAsia="en-AU"/>
              </w:rPr>
            </w:pPr>
            <w:r w:rsidRPr="004E1D72">
              <w:rPr>
                <w:rFonts w:eastAsia="Times New Roman" w:cs="Arial"/>
                <w:lang w:eastAsia="en-AU"/>
              </w:rPr>
              <w:t>0.70%</w:t>
            </w:r>
          </w:p>
        </w:tc>
      </w:tr>
    </w:tbl>
    <w:p w14:paraId="72368234" w14:textId="77777777" w:rsidR="00873F80" w:rsidRDefault="00873F80" w:rsidP="00AE35E9"/>
    <w:p w14:paraId="34452371" w14:textId="73B401A4" w:rsidR="00214EE1" w:rsidRDefault="00214EE1" w:rsidP="00116E55">
      <w:pPr>
        <w:pStyle w:val="Heading2"/>
      </w:pPr>
      <w:r>
        <w:t>9.</w:t>
      </w:r>
      <w:r w:rsidR="00873836">
        <w:t>5</w:t>
      </w:r>
      <w:r>
        <w:t xml:space="preserve"> Price elas</w:t>
      </w:r>
      <w:r w:rsidR="000415E2">
        <w:t>ticity</w:t>
      </w:r>
      <w:r w:rsidR="00BA5DAE">
        <w:t xml:space="preserve"> and tariff reform impact</w:t>
      </w:r>
    </w:p>
    <w:p w14:paraId="73B612EC" w14:textId="25E928EB" w:rsidR="007729B7" w:rsidRPr="00216E4B" w:rsidRDefault="007729B7" w:rsidP="14EA01B5">
      <w:pPr>
        <w:rPr>
          <w:rFonts w:asciiTheme="minorHAnsi" w:hAnsiTheme="minorHAnsi"/>
        </w:rPr>
      </w:pPr>
      <w:r w:rsidRPr="14EA01B5">
        <w:rPr>
          <w:rFonts w:asciiTheme="minorHAnsi" w:hAnsiTheme="minorHAnsi"/>
        </w:rPr>
        <w:t>Academic literature, customer insights and anecdotal observations indicate that price elasticity is not expected to be a considerable driver of demand</w:t>
      </w:r>
      <w:r w:rsidR="009D6D03">
        <w:rPr>
          <w:rFonts w:asciiTheme="minorHAnsi" w:hAnsiTheme="minorHAnsi"/>
        </w:rPr>
        <w:t>. T</w:t>
      </w:r>
      <w:r w:rsidRPr="14EA01B5">
        <w:rPr>
          <w:rFonts w:asciiTheme="minorHAnsi" w:hAnsiTheme="minorHAnsi"/>
        </w:rPr>
        <w:t xml:space="preserve">his is due to the low price elasticity of demand for water. </w:t>
      </w:r>
    </w:p>
    <w:p w14:paraId="6E22A846" w14:textId="7DEC3548" w:rsidR="009C310F" w:rsidRPr="00216E4B" w:rsidRDefault="009C310F" w:rsidP="009C310F">
      <w:pPr>
        <w:rPr>
          <w:rFonts w:asciiTheme="minorHAnsi" w:hAnsiTheme="minorHAnsi"/>
        </w:rPr>
      </w:pPr>
      <w:r>
        <w:rPr>
          <w:rFonts w:asciiTheme="minorHAnsi" w:hAnsiTheme="minorHAnsi"/>
        </w:rPr>
        <w:t xml:space="preserve">The </w:t>
      </w:r>
      <w:r w:rsidRPr="14EA01B5">
        <w:rPr>
          <w:rFonts w:asciiTheme="minorHAnsi" w:hAnsiTheme="minorHAnsi"/>
        </w:rPr>
        <w:t>elasticity</w:t>
      </w:r>
      <w:r>
        <w:rPr>
          <w:rFonts w:asciiTheme="minorHAnsi" w:hAnsiTheme="minorHAnsi"/>
        </w:rPr>
        <w:t xml:space="preserve"> assumed</w:t>
      </w:r>
      <w:r w:rsidRPr="14EA01B5">
        <w:rPr>
          <w:rFonts w:asciiTheme="minorHAnsi" w:hAnsiTheme="minorHAnsi"/>
        </w:rPr>
        <w:t xml:space="preserve"> for residential step 1 consumption is -0.05</w:t>
      </w:r>
      <w:r w:rsidRPr="00AC25F9">
        <w:rPr>
          <w:rStyle w:val="FootnoteReference"/>
          <w:color w:val="auto"/>
        </w:rPr>
        <w:footnoteReference w:id="19"/>
      </w:r>
      <w:r w:rsidRPr="14EA01B5">
        <w:rPr>
          <w:rFonts w:asciiTheme="minorHAnsi" w:hAnsiTheme="minorHAnsi"/>
        </w:rPr>
        <w:t>; for step 2 it is -0.1</w:t>
      </w:r>
      <w:r>
        <w:rPr>
          <w:rFonts w:asciiTheme="minorHAnsi" w:hAnsiTheme="minorHAnsi"/>
        </w:rPr>
        <w:t>0</w:t>
      </w:r>
      <w:r w:rsidRPr="00AC25F9">
        <w:rPr>
          <w:rStyle w:val="FootnoteReference"/>
          <w:color w:val="auto"/>
        </w:rPr>
        <w:footnoteReference w:id="20"/>
      </w:r>
      <w:r w:rsidRPr="14EA01B5">
        <w:rPr>
          <w:rFonts w:asciiTheme="minorHAnsi" w:hAnsiTheme="minorHAnsi"/>
        </w:rPr>
        <w:t xml:space="preserve">; and for </w:t>
      </w:r>
      <w:r w:rsidR="00514282">
        <w:rPr>
          <w:rFonts w:asciiTheme="minorHAnsi" w:hAnsiTheme="minorHAnsi"/>
        </w:rPr>
        <w:t>non-residential</w:t>
      </w:r>
      <w:r w:rsidRPr="14EA01B5">
        <w:rPr>
          <w:rFonts w:asciiTheme="minorHAnsi" w:hAnsiTheme="minorHAnsi"/>
        </w:rPr>
        <w:t xml:space="preserve"> consumption it is -0.09</w:t>
      </w:r>
      <w:r w:rsidRPr="00AC25F9">
        <w:rPr>
          <w:rStyle w:val="FootnoteReference"/>
          <w:color w:val="auto"/>
        </w:rPr>
        <w:footnoteReference w:id="21"/>
      </w:r>
      <w:r w:rsidRPr="14EA01B5">
        <w:rPr>
          <w:rFonts w:asciiTheme="minorHAnsi" w:hAnsiTheme="minorHAnsi"/>
        </w:rPr>
        <w:t>.</w:t>
      </w:r>
      <w:r>
        <w:rPr>
          <w:rFonts w:asciiTheme="minorHAnsi" w:hAnsiTheme="minorHAnsi"/>
        </w:rPr>
        <w:t xml:space="preserve"> The approach for applying elasticity is the same that has been used in previous pricing submissions.</w:t>
      </w:r>
    </w:p>
    <w:p w14:paraId="2EDF43AE" w14:textId="7C72473E" w:rsidR="00CD307C" w:rsidRDefault="007729B7" w:rsidP="14EA01B5">
      <w:pPr>
        <w:rPr>
          <w:rFonts w:asciiTheme="minorHAnsi" w:hAnsiTheme="minorHAnsi"/>
        </w:rPr>
      </w:pPr>
      <w:r w:rsidRPr="14EA01B5">
        <w:rPr>
          <w:rFonts w:asciiTheme="minorHAnsi" w:hAnsiTheme="minorHAnsi"/>
        </w:rPr>
        <w:t>For the purposes of demand forecasting for 20</w:t>
      </w:r>
      <w:r w:rsidR="00434E8D">
        <w:rPr>
          <w:rFonts w:asciiTheme="minorHAnsi" w:hAnsiTheme="minorHAnsi"/>
        </w:rPr>
        <w:t>23</w:t>
      </w:r>
      <w:r w:rsidR="004C32D1">
        <w:rPr>
          <w:rFonts w:asciiTheme="minorHAnsi" w:hAnsiTheme="minorHAnsi"/>
        </w:rPr>
        <w:t>–</w:t>
      </w:r>
      <w:r w:rsidR="00434E8D">
        <w:rPr>
          <w:rFonts w:asciiTheme="minorHAnsi" w:hAnsiTheme="minorHAnsi"/>
        </w:rPr>
        <w:t>24</w:t>
      </w:r>
      <w:r w:rsidRPr="14EA01B5">
        <w:rPr>
          <w:rFonts w:asciiTheme="minorHAnsi" w:hAnsiTheme="minorHAnsi"/>
        </w:rPr>
        <w:t xml:space="preserve"> and beyond, it is assumed the average bill reduction change between 20</w:t>
      </w:r>
      <w:r w:rsidR="00434E8D">
        <w:rPr>
          <w:rFonts w:asciiTheme="minorHAnsi" w:hAnsiTheme="minorHAnsi"/>
        </w:rPr>
        <w:t>22</w:t>
      </w:r>
      <w:r w:rsidR="004C32D1">
        <w:rPr>
          <w:rFonts w:asciiTheme="minorHAnsi" w:hAnsiTheme="minorHAnsi"/>
        </w:rPr>
        <w:t>–</w:t>
      </w:r>
      <w:r w:rsidR="00434E8D">
        <w:rPr>
          <w:rFonts w:asciiTheme="minorHAnsi" w:hAnsiTheme="minorHAnsi"/>
        </w:rPr>
        <w:t>23</w:t>
      </w:r>
      <w:r w:rsidRPr="14EA01B5">
        <w:rPr>
          <w:rFonts w:asciiTheme="minorHAnsi" w:hAnsiTheme="minorHAnsi"/>
        </w:rPr>
        <w:t xml:space="preserve"> and 20</w:t>
      </w:r>
      <w:r w:rsidR="00434E8D">
        <w:rPr>
          <w:rFonts w:asciiTheme="minorHAnsi" w:hAnsiTheme="minorHAnsi"/>
        </w:rPr>
        <w:t>23</w:t>
      </w:r>
      <w:r w:rsidR="004C32D1">
        <w:rPr>
          <w:rFonts w:asciiTheme="minorHAnsi" w:hAnsiTheme="minorHAnsi"/>
        </w:rPr>
        <w:t>–</w:t>
      </w:r>
      <w:r w:rsidR="00434E8D">
        <w:rPr>
          <w:rFonts w:asciiTheme="minorHAnsi" w:hAnsiTheme="minorHAnsi"/>
        </w:rPr>
        <w:t>24</w:t>
      </w:r>
      <w:r w:rsidRPr="14EA01B5">
        <w:rPr>
          <w:rFonts w:asciiTheme="minorHAnsi" w:hAnsiTheme="minorHAnsi"/>
        </w:rPr>
        <w:t xml:space="preserve"> will affect demand from 20</w:t>
      </w:r>
      <w:r w:rsidR="00434E8D">
        <w:rPr>
          <w:rFonts w:asciiTheme="minorHAnsi" w:hAnsiTheme="minorHAnsi"/>
        </w:rPr>
        <w:t>23</w:t>
      </w:r>
      <w:r w:rsidR="004C32D1">
        <w:rPr>
          <w:rFonts w:asciiTheme="minorHAnsi" w:hAnsiTheme="minorHAnsi"/>
        </w:rPr>
        <w:t>–</w:t>
      </w:r>
      <w:r w:rsidR="00434E8D">
        <w:rPr>
          <w:rFonts w:asciiTheme="minorHAnsi" w:hAnsiTheme="minorHAnsi"/>
        </w:rPr>
        <w:t>24</w:t>
      </w:r>
      <w:r w:rsidRPr="14EA01B5">
        <w:rPr>
          <w:rFonts w:asciiTheme="minorHAnsi" w:hAnsiTheme="minorHAnsi"/>
        </w:rPr>
        <w:t xml:space="preserve"> onward. </w:t>
      </w:r>
      <w:r w:rsidR="006F2BE1">
        <w:rPr>
          <w:rFonts w:asciiTheme="minorHAnsi" w:hAnsiTheme="minorHAnsi"/>
        </w:rPr>
        <w:t xml:space="preserve">The bill </w:t>
      </w:r>
      <w:r w:rsidR="00A60A3E">
        <w:rPr>
          <w:rFonts w:asciiTheme="minorHAnsi" w:hAnsiTheme="minorHAnsi"/>
        </w:rPr>
        <w:t xml:space="preserve">is used as </w:t>
      </w:r>
      <w:r w:rsidR="009D6D03">
        <w:rPr>
          <w:rFonts w:asciiTheme="minorHAnsi" w:hAnsiTheme="minorHAnsi"/>
        </w:rPr>
        <w:t xml:space="preserve">a </w:t>
      </w:r>
      <w:r w:rsidR="00A60A3E">
        <w:rPr>
          <w:rFonts w:asciiTheme="minorHAnsi" w:hAnsiTheme="minorHAnsi"/>
        </w:rPr>
        <w:t xml:space="preserve">proxy for </w:t>
      </w:r>
      <w:r w:rsidR="004C0909">
        <w:rPr>
          <w:rFonts w:asciiTheme="minorHAnsi" w:hAnsiTheme="minorHAnsi"/>
        </w:rPr>
        <w:t xml:space="preserve">the </w:t>
      </w:r>
      <w:r w:rsidRPr="14EA01B5">
        <w:rPr>
          <w:rFonts w:asciiTheme="minorHAnsi" w:hAnsiTheme="minorHAnsi"/>
        </w:rPr>
        <w:t xml:space="preserve">price </w:t>
      </w:r>
      <w:r w:rsidR="00A60A3E">
        <w:rPr>
          <w:rFonts w:asciiTheme="minorHAnsi" w:hAnsiTheme="minorHAnsi"/>
        </w:rPr>
        <w:t xml:space="preserve">as the tariff reform of removing the residential sewage disposal charge and increasing the water usage charge will overall </w:t>
      </w:r>
      <w:r w:rsidR="002F5734">
        <w:rPr>
          <w:rFonts w:asciiTheme="minorHAnsi" w:hAnsiTheme="minorHAnsi"/>
        </w:rPr>
        <w:t>counter</w:t>
      </w:r>
      <w:r w:rsidR="002B1032">
        <w:rPr>
          <w:rFonts w:asciiTheme="minorHAnsi" w:hAnsiTheme="minorHAnsi"/>
        </w:rPr>
        <w:t>act each other</w:t>
      </w:r>
      <w:r w:rsidR="00A60A3E">
        <w:rPr>
          <w:rFonts w:asciiTheme="minorHAnsi" w:hAnsiTheme="minorHAnsi"/>
        </w:rPr>
        <w:t xml:space="preserve">. </w:t>
      </w:r>
    </w:p>
    <w:p w14:paraId="65C83933" w14:textId="68D45180" w:rsidR="009D6D03" w:rsidRDefault="00F07531" w:rsidP="00F07531">
      <w:pPr>
        <w:rPr>
          <w:rFonts w:asciiTheme="minorHAnsi" w:hAnsiTheme="minorHAnsi" w:cstheme="minorHAnsi"/>
        </w:rPr>
      </w:pPr>
      <w:r w:rsidRPr="00257D76">
        <w:rPr>
          <w:rFonts w:asciiTheme="minorHAnsi" w:hAnsiTheme="minorHAnsi" w:cstheme="minorHAnsi"/>
        </w:rPr>
        <w:t>In the regulatory period commencing 1 July 20</w:t>
      </w:r>
      <w:r>
        <w:rPr>
          <w:rFonts w:asciiTheme="minorHAnsi" w:hAnsiTheme="minorHAnsi" w:cstheme="minorHAnsi"/>
        </w:rPr>
        <w:t>23</w:t>
      </w:r>
      <w:r w:rsidRPr="00257D76">
        <w:rPr>
          <w:rFonts w:asciiTheme="minorHAnsi" w:hAnsiTheme="minorHAnsi" w:cstheme="minorHAnsi"/>
        </w:rPr>
        <w:t xml:space="preserve">, we propose to remove the residential </w:t>
      </w:r>
      <w:r>
        <w:rPr>
          <w:rFonts w:asciiTheme="minorHAnsi" w:hAnsiTheme="minorHAnsi" w:cstheme="minorHAnsi"/>
        </w:rPr>
        <w:t>sewage disposal</w:t>
      </w:r>
      <w:r w:rsidRPr="00257D76">
        <w:rPr>
          <w:rFonts w:asciiTheme="minorHAnsi" w:hAnsiTheme="minorHAnsi" w:cstheme="minorHAnsi"/>
        </w:rPr>
        <w:t xml:space="preserve"> charge</w:t>
      </w:r>
      <w:r>
        <w:rPr>
          <w:rFonts w:asciiTheme="minorHAnsi" w:hAnsiTheme="minorHAnsi" w:cstheme="minorHAnsi"/>
        </w:rPr>
        <w:t xml:space="preserve"> and introduce new water usage tariffs for customers who are connected to the water network and not the sewerage network</w:t>
      </w:r>
      <w:r w:rsidRPr="00257D76">
        <w:rPr>
          <w:rFonts w:asciiTheme="minorHAnsi" w:hAnsiTheme="minorHAnsi" w:cstheme="minorHAnsi"/>
        </w:rPr>
        <w:t xml:space="preserve">. </w:t>
      </w:r>
    </w:p>
    <w:p w14:paraId="7E558088" w14:textId="7D337A5D" w:rsidR="00F07531" w:rsidRDefault="00D32569" w:rsidP="00F07531">
      <w:pPr>
        <w:rPr>
          <w:rFonts w:asciiTheme="minorHAnsi" w:hAnsiTheme="minorHAnsi" w:cstheme="minorHAnsi"/>
        </w:rPr>
      </w:pPr>
      <w:r>
        <w:rPr>
          <w:rFonts w:asciiTheme="minorHAnsi" w:hAnsiTheme="minorHAnsi" w:cstheme="minorHAnsi"/>
        </w:rPr>
        <w:t>The</w:t>
      </w:r>
      <w:r w:rsidR="00445739">
        <w:rPr>
          <w:rFonts w:asciiTheme="minorHAnsi" w:hAnsiTheme="minorHAnsi" w:cstheme="minorHAnsi"/>
        </w:rPr>
        <w:t xml:space="preserve"> water usage</w:t>
      </w:r>
      <w:r>
        <w:rPr>
          <w:rFonts w:asciiTheme="minorHAnsi" w:hAnsiTheme="minorHAnsi" w:cstheme="minorHAnsi"/>
        </w:rPr>
        <w:t xml:space="preserve"> demands for </w:t>
      </w:r>
      <w:r w:rsidR="00D91929">
        <w:rPr>
          <w:rFonts w:asciiTheme="minorHAnsi" w:hAnsiTheme="minorHAnsi" w:cstheme="minorHAnsi"/>
        </w:rPr>
        <w:t>our water</w:t>
      </w:r>
      <w:r w:rsidR="00A0084F">
        <w:rPr>
          <w:rFonts w:asciiTheme="minorHAnsi" w:hAnsiTheme="minorHAnsi" w:cstheme="minorHAnsi"/>
        </w:rPr>
        <w:t>-</w:t>
      </w:r>
      <w:r w:rsidR="00D91929">
        <w:rPr>
          <w:rFonts w:asciiTheme="minorHAnsi" w:hAnsiTheme="minorHAnsi" w:cstheme="minorHAnsi"/>
        </w:rPr>
        <w:t xml:space="preserve">only customers </w:t>
      </w:r>
      <w:r w:rsidR="007B1191">
        <w:rPr>
          <w:rFonts w:asciiTheme="minorHAnsi" w:hAnsiTheme="minorHAnsi" w:cstheme="minorHAnsi"/>
        </w:rPr>
        <w:t>are</w:t>
      </w:r>
      <w:r w:rsidR="00D91929">
        <w:rPr>
          <w:rFonts w:asciiTheme="minorHAnsi" w:hAnsiTheme="minorHAnsi" w:cstheme="minorHAnsi"/>
        </w:rPr>
        <w:t xml:space="preserve"> based on historical trends </w:t>
      </w:r>
      <w:r w:rsidR="00D30FF2">
        <w:rPr>
          <w:rFonts w:asciiTheme="minorHAnsi" w:hAnsiTheme="minorHAnsi" w:cstheme="minorHAnsi"/>
        </w:rPr>
        <w:t xml:space="preserve">of </w:t>
      </w:r>
      <w:r w:rsidR="000C7D47">
        <w:rPr>
          <w:rFonts w:asciiTheme="minorHAnsi" w:hAnsiTheme="minorHAnsi" w:cstheme="minorHAnsi"/>
        </w:rPr>
        <w:t xml:space="preserve">both </w:t>
      </w:r>
      <w:r w:rsidR="002B4759">
        <w:rPr>
          <w:rFonts w:asciiTheme="minorHAnsi" w:hAnsiTheme="minorHAnsi" w:cstheme="minorHAnsi"/>
        </w:rPr>
        <w:t>the</w:t>
      </w:r>
      <w:r w:rsidR="00D30FF2">
        <w:rPr>
          <w:rFonts w:asciiTheme="minorHAnsi" w:hAnsiTheme="minorHAnsi" w:cstheme="minorHAnsi"/>
        </w:rPr>
        <w:t xml:space="preserve"> water usage </w:t>
      </w:r>
      <w:r w:rsidR="002B4759">
        <w:rPr>
          <w:rFonts w:asciiTheme="minorHAnsi" w:hAnsiTheme="minorHAnsi" w:cstheme="minorHAnsi"/>
        </w:rPr>
        <w:t>of those water</w:t>
      </w:r>
      <w:r w:rsidR="00A0084F">
        <w:rPr>
          <w:rFonts w:asciiTheme="minorHAnsi" w:hAnsiTheme="minorHAnsi" w:cstheme="minorHAnsi"/>
        </w:rPr>
        <w:t>-</w:t>
      </w:r>
      <w:r w:rsidR="002B4759">
        <w:rPr>
          <w:rFonts w:asciiTheme="minorHAnsi" w:hAnsiTheme="minorHAnsi" w:cstheme="minorHAnsi"/>
        </w:rPr>
        <w:t>only customers</w:t>
      </w:r>
      <w:r w:rsidR="00D30FF2">
        <w:rPr>
          <w:rFonts w:asciiTheme="minorHAnsi" w:hAnsiTheme="minorHAnsi" w:cstheme="minorHAnsi"/>
        </w:rPr>
        <w:t xml:space="preserve"> and the </w:t>
      </w:r>
      <w:r w:rsidR="002B4759">
        <w:rPr>
          <w:rFonts w:asciiTheme="minorHAnsi" w:hAnsiTheme="minorHAnsi" w:cstheme="minorHAnsi"/>
        </w:rPr>
        <w:t>forecast</w:t>
      </w:r>
      <w:r w:rsidR="00181FB5">
        <w:rPr>
          <w:rFonts w:asciiTheme="minorHAnsi" w:hAnsiTheme="minorHAnsi" w:cstheme="minorHAnsi"/>
        </w:rPr>
        <w:t xml:space="preserve"> number of</w:t>
      </w:r>
      <w:r w:rsidR="00D30FF2">
        <w:rPr>
          <w:rFonts w:asciiTheme="minorHAnsi" w:hAnsiTheme="minorHAnsi" w:cstheme="minorHAnsi"/>
        </w:rPr>
        <w:t xml:space="preserve"> </w:t>
      </w:r>
      <w:r w:rsidR="00D92589">
        <w:rPr>
          <w:rFonts w:asciiTheme="minorHAnsi" w:hAnsiTheme="minorHAnsi" w:cstheme="minorHAnsi"/>
        </w:rPr>
        <w:t>those</w:t>
      </w:r>
      <w:r w:rsidR="00D30FF2">
        <w:rPr>
          <w:rFonts w:asciiTheme="minorHAnsi" w:hAnsiTheme="minorHAnsi" w:cstheme="minorHAnsi"/>
        </w:rPr>
        <w:t xml:space="preserve"> </w:t>
      </w:r>
      <w:r w:rsidR="00D30FF2">
        <w:rPr>
          <w:rFonts w:asciiTheme="minorHAnsi" w:hAnsiTheme="minorHAnsi" w:cstheme="minorHAnsi"/>
        </w:rPr>
        <w:lastRenderedPageBreak/>
        <w:t>customers</w:t>
      </w:r>
      <w:r w:rsidR="00D92589">
        <w:rPr>
          <w:rFonts w:asciiTheme="minorHAnsi" w:hAnsiTheme="minorHAnsi" w:cstheme="minorHAnsi"/>
        </w:rPr>
        <w:t xml:space="preserve"> connecting</w:t>
      </w:r>
      <w:r w:rsidR="00D30FF2">
        <w:rPr>
          <w:rFonts w:asciiTheme="minorHAnsi" w:hAnsiTheme="minorHAnsi" w:cstheme="minorHAnsi"/>
        </w:rPr>
        <w:t xml:space="preserve"> to the sewerage system</w:t>
      </w:r>
      <w:r w:rsidR="0098273E">
        <w:rPr>
          <w:rFonts w:asciiTheme="minorHAnsi" w:hAnsiTheme="minorHAnsi" w:cstheme="minorHAnsi"/>
        </w:rPr>
        <w:t xml:space="preserve"> </w:t>
      </w:r>
      <w:r w:rsidR="00785C3D">
        <w:rPr>
          <w:rFonts w:asciiTheme="minorHAnsi" w:hAnsiTheme="minorHAnsi" w:cstheme="minorHAnsi"/>
        </w:rPr>
        <w:t xml:space="preserve">(refer to </w:t>
      </w:r>
      <w:r w:rsidR="00785C3D" w:rsidRPr="00116E55">
        <w:rPr>
          <w:rFonts w:asciiTheme="minorHAnsi" w:hAnsiTheme="minorHAnsi" w:cstheme="minorHAnsi"/>
          <w:i/>
          <w:iCs/>
        </w:rPr>
        <w:t xml:space="preserve">Demand Manual – </w:t>
      </w:r>
      <w:r w:rsidR="006C439B">
        <w:rPr>
          <w:rFonts w:asciiTheme="minorHAnsi" w:hAnsiTheme="minorHAnsi" w:cstheme="minorHAnsi"/>
          <w:i/>
          <w:iCs/>
        </w:rPr>
        <w:t>Forecasting methodologies</w:t>
      </w:r>
      <w:r w:rsidR="00785C3D">
        <w:rPr>
          <w:rFonts w:asciiTheme="minorHAnsi" w:hAnsiTheme="minorHAnsi" w:cstheme="minorHAnsi"/>
        </w:rPr>
        <w:t>)</w:t>
      </w:r>
      <w:r w:rsidR="00D30FF2">
        <w:rPr>
          <w:rFonts w:asciiTheme="minorHAnsi" w:hAnsiTheme="minorHAnsi" w:cstheme="minorHAnsi"/>
        </w:rPr>
        <w:t>.</w:t>
      </w:r>
      <w:r w:rsidR="00AF7B50">
        <w:rPr>
          <w:rFonts w:asciiTheme="minorHAnsi" w:hAnsiTheme="minorHAnsi" w:cstheme="minorHAnsi"/>
        </w:rPr>
        <w:t xml:space="preserve"> </w:t>
      </w:r>
      <w:r w:rsidR="00115102">
        <w:rPr>
          <w:rFonts w:asciiTheme="minorHAnsi" w:hAnsiTheme="minorHAnsi" w:cstheme="minorHAnsi"/>
        </w:rPr>
        <w:t>The total residential water demand for customers connected to the sewer network has been adjusted to account for water</w:t>
      </w:r>
      <w:r w:rsidR="00354105">
        <w:rPr>
          <w:rFonts w:asciiTheme="minorHAnsi" w:hAnsiTheme="minorHAnsi" w:cstheme="minorHAnsi"/>
        </w:rPr>
        <w:t>-</w:t>
      </w:r>
      <w:r w:rsidR="00115102">
        <w:rPr>
          <w:rFonts w:asciiTheme="minorHAnsi" w:hAnsiTheme="minorHAnsi" w:cstheme="minorHAnsi"/>
        </w:rPr>
        <w:t>only customers</w:t>
      </w:r>
      <w:r w:rsidR="00742870">
        <w:rPr>
          <w:rFonts w:asciiTheme="minorHAnsi" w:hAnsiTheme="minorHAnsi" w:cstheme="minorHAnsi"/>
        </w:rPr>
        <w:t>’</w:t>
      </w:r>
      <w:r w:rsidR="00115102">
        <w:rPr>
          <w:rFonts w:asciiTheme="minorHAnsi" w:hAnsiTheme="minorHAnsi" w:cstheme="minorHAnsi"/>
        </w:rPr>
        <w:t xml:space="preserve"> usage.</w:t>
      </w:r>
    </w:p>
    <w:p w14:paraId="2E13A7B5" w14:textId="08251570" w:rsidR="00216E4B" w:rsidRDefault="00216E4B">
      <w:pPr>
        <w:pStyle w:val="Heading2"/>
      </w:pPr>
      <w:r>
        <w:t>9.</w:t>
      </w:r>
      <w:r w:rsidR="00873836">
        <w:t>6</w:t>
      </w:r>
      <w:r>
        <w:t xml:space="preserve"> </w:t>
      </w:r>
      <w:r w:rsidRPr="00871F90">
        <w:t>Water supply and demand scenarios</w:t>
      </w:r>
    </w:p>
    <w:p w14:paraId="6887588E" w14:textId="0188ACD0" w:rsidR="003A6E60" w:rsidRDefault="003A6E60" w:rsidP="14EA01B5">
      <w:pPr>
        <w:rPr>
          <w:rFonts w:asciiTheme="minorHAnsi" w:hAnsiTheme="minorHAnsi"/>
        </w:rPr>
      </w:pPr>
      <w:r w:rsidRPr="14EA01B5">
        <w:rPr>
          <w:rFonts w:asciiTheme="minorHAnsi" w:hAnsiTheme="minorHAnsi"/>
        </w:rPr>
        <w:t>In developing our demand forecasts, we</w:t>
      </w:r>
      <w:r w:rsidR="003B3A1A">
        <w:rPr>
          <w:rFonts w:asciiTheme="minorHAnsi" w:hAnsiTheme="minorHAnsi"/>
        </w:rPr>
        <w:t xml:space="preserve"> have</w:t>
      </w:r>
      <w:r w:rsidRPr="14EA01B5">
        <w:rPr>
          <w:rFonts w:asciiTheme="minorHAnsi" w:hAnsiTheme="minorHAnsi"/>
        </w:rPr>
        <w:t xml:space="preserve"> based our approach on the following key water supply and demand assumptions including:</w:t>
      </w:r>
    </w:p>
    <w:p w14:paraId="3637D48D" w14:textId="595A128C" w:rsidR="003A6E60" w:rsidRPr="00CB0971" w:rsidRDefault="003A6E60">
      <w:pPr>
        <w:pStyle w:val="Bulletlistmultilevel"/>
        <w:numPr>
          <w:ilvl w:val="0"/>
          <w:numId w:val="102"/>
        </w:numPr>
        <w:ind w:left="426" w:hanging="426"/>
        <w:rPr>
          <w:sz w:val="24"/>
          <w:szCs w:val="24"/>
        </w:rPr>
      </w:pPr>
      <w:r w:rsidRPr="00CB0971">
        <w:rPr>
          <w:sz w:val="24"/>
          <w:szCs w:val="24"/>
        </w:rPr>
        <w:t>average weather conditions (understanding that in the short</w:t>
      </w:r>
      <w:r w:rsidR="0060630D">
        <w:rPr>
          <w:sz w:val="24"/>
          <w:szCs w:val="24"/>
        </w:rPr>
        <w:t xml:space="preserve"> </w:t>
      </w:r>
      <w:r w:rsidRPr="00CB0971">
        <w:rPr>
          <w:sz w:val="24"/>
          <w:szCs w:val="24"/>
        </w:rPr>
        <w:t xml:space="preserve">term, weather conditions influence residential outdoor water usage habits and use of evaporative coolers, as well as some </w:t>
      </w:r>
      <w:r w:rsidR="006E429A">
        <w:rPr>
          <w:sz w:val="24"/>
          <w:szCs w:val="24"/>
        </w:rPr>
        <w:t>non-residential</w:t>
      </w:r>
      <w:r w:rsidRPr="00CB0971">
        <w:rPr>
          <w:sz w:val="24"/>
          <w:szCs w:val="24"/>
        </w:rPr>
        <w:t xml:space="preserve"> uses)</w:t>
      </w:r>
    </w:p>
    <w:p w14:paraId="12C8AD31" w14:textId="2D85E2FB" w:rsidR="00251F21" w:rsidRPr="00CB0971" w:rsidRDefault="00251F21">
      <w:pPr>
        <w:pStyle w:val="Bulletlistmultilevel"/>
        <w:numPr>
          <w:ilvl w:val="0"/>
          <w:numId w:val="102"/>
        </w:numPr>
        <w:ind w:left="426" w:hanging="426"/>
        <w:rPr>
          <w:sz w:val="24"/>
          <w:szCs w:val="24"/>
        </w:rPr>
      </w:pPr>
      <w:r>
        <w:rPr>
          <w:sz w:val="24"/>
          <w:szCs w:val="24"/>
        </w:rPr>
        <w:t>water saving</w:t>
      </w:r>
      <w:r w:rsidR="00B70FA9">
        <w:rPr>
          <w:sz w:val="24"/>
          <w:szCs w:val="24"/>
        </w:rPr>
        <w:t>s</w:t>
      </w:r>
      <w:r>
        <w:rPr>
          <w:sz w:val="24"/>
          <w:szCs w:val="24"/>
        </w:rPr>
        <w:t xml:space="preserve"> due to digital meters</w:t>
      </w:r>
    </w:p>
    <w:p w14:paraId="006F6857" w14:textId="5F3C1CAA" w:rsidR="002D07E2" w:rsidRPr="00CB0971" w:rsidRDefault="003A6E60">
      <w:pPr>
        <w:pStyle w:val="Bulletlistmultilevel"/>
        <w:numPr>
          <w:ilvl w:val="0"/>
          <w:numId w:val="102"/>
        </w:numPr>
        <w:ind w:left="426" w:hanging="426"/>
        <w:rPr>
          <w:sz w:val="24"/>
          <w:szCs w:val="24"/>
        </w:rPr>
      </w:pPr>
      <w:r w:rsidRPr="00CB0971">
        <w:rPr>
          <w:sz w:val="24"/>
          <w:szCs w:val="24"/>
        </w:rPr>
        <w:t xml:space="preserve">water restrictions </w:t>
      </w:r>
      <w:r w:rsidR="00761209">
        <w:rPr>
          <w:sz w:val="24"/>
          <w:szCs w:val="24"/>
        </w:rPr>
        <w:t xml:space="preserve">are </w:t>
      </w:r>
      <w:r w:rsidRPr="00CB0971">
        <w:rPr>
          <w:sz w:val="24"/>
          <w:szCs w:val="24"/>
        </w:rPr>
        <w:t>unlikely due to the Victorian Desalination Plant providing a buffer against low storage levels</w:t>
      </w:r>
      <w:r w:rsidR="00F669D5">
        <w:rPr>
          <w:sz w:val="24"/>
          <w:szCs w:val="24"/>
        </w:rPr>
        <w:t xml:space="preserve"> and current storage </w:t>
      </w:r>
      <w:r w:rsidR="007167DB">
        <w:rPr>
          <w:sz w:val="24"/>
          <w:szCs w:val="24"/>
        </w:rPr>
        <w:t xml:space="preserve">at </w:t>
      </w:r>
      <w:r w:rsidR="00F669D5">
        <w:rPr>
          <w:sz w:val="24"/>
          <w:szCs w:val="24"/>
        </w:rPr>
        <w:t>levels the highest they have been (for this time of the year) since the mid-1990s</w:t>
      </w:r>
    </w:p>
    <w:p w14:paraId="7276824B" w14:textId="7651C1BA" w:rsidR="002D07E2" w:rsidRPr="00CB0971" w:rsidRDefault="00C37C16">
      <w:pPr>
        <w:pStyle w:val="Bulletlistmultilevel"/>
        <w:numPr>
          <w:ilvl w:val="0"/>
          <w:numId w:val="102"/>
        </w:numPr>
        <w:ind w:left="426" w:hanging="426"/>
        <w:rPr>
          <w:sz w:val="24"/>
          <w:szCs w:val="24"/>
        </w:rPr>
      </w:pPr>
      <w:r>
        <w:rPr>
          <w:sz w:val="24"/>
          <w:szCs w:val="24"/>
        </w:rPr>
        <w:t xml:space="preserve">the impacts of </w:t>
      </w:r>
      <w:r w:rsidR="003A6E60" w:rsidRPr="00CB0971">
        <w:rPr>
          <w:sz w:val="24"/>
          <w:szCs w:val="24"/>
        </w:rPr>
        <w:t>climate change</w:t>
      </w:r>
      <w:r w:rsidR="006A1419">
        <w:rPr>
          <w:sz w:val="24"/>
          <w:szCs w:val="24"/>
        </w:rPr>
        <w:t>.</w:t>
      </w:r>
    </w:p>
    <w:p w14:paraId="733E3FE8" w14:textId="4F9468EE" w:rsidR="002D07E2" w:rsidRPr="00CB0971" w:rsidRDefault="003A6E60" w:rsidP="002D07E2">
      <w:pPr>
        <w:pStyle w:val="Bulletlistmultilevel"/>
        <w:ind w:left="0" w:firstLine="0"/>
        <w:rPr>
          <w:sz w:val="24"/>
          <w:szCs w:val="24"/>
        </w:rPr>
      </w:pPr>
      <w:r w:rsidRPr="00CB0971">
        <w:rPr>
          <w:sz w:val="24"/>
          <w:szCs w:val="24"/>
        </w:rPr>
        <w:t>To enhance the robustness of our forecasts, we also considered a number of demand scenarios. These included:</w:t>
      </w:r>
    </w:p>
    <w:p w14:paraId="2531CE1D" w14:textId="7391AC99" w:rsidR="002D07E2" w:rsidRPr="00CB0971" w:rsidRDefault="003A6E60">
      <w:pPr>
        <w:pStyle w:val="Bulletlistmultilevel"/>
        <w:numPr>
          <w:ilvl w:val="0"/>
          <w:numId w:val="103"/>
        </w:numPr>
        <w:ind w:left="284" w:hanging="284"/>
        <w:rPr>
          <w:sz w:val="24"/>
          <w:szCs w:val="24"/>
        </w:rPr>
      </w:pPr>
      <w:r w:rsidRPr="00CB0971">
        <w:rPr>
          <w:sz w:val="24"/>
          <w:szCs w:val="24"/>
        </w:rPr>
        <w:t>modelling differences in population/connections growth, particularly around connections forecasts</w:t>
      </w:r>
    </w:p>
    <w:p w14:paraId="428DEB8E" w14:textId="5E06CEEF" w:rsidR="00605792" w:rsidRPr="00CB0971" w:rsidRDefault="003A6E60">
      <w:pPr>
        <w:pStyle w:val="Bulletlistmultilevel"/>
        <w:numPr>
          <w:ilvl w:val="0"/>
          <w:numId w:val="103"/>
        </w:numPr>
        <w:ind w:left="284" w:hanging="284"/>
        <w:rPr>
          <w:sz w:val="24"/>
          <w:szCs w:val="24"/>
        </w:rPr>
      </w:pPr>
      <w:r w:rsidRPr="00CB0971">
        <w:rPr>
          <w:sz w:val="24"/>
          <w:szCs w:val="24"/>
        </w:rPr>
        <w:t>analysing the possibility of alternative scenarios in growth, average temperatures and efficiency improvements including</w:t>
      </w:r>
      <w:r w:rsidR="0060630D">
        <w:rPr>
          <w:sz w:val="24"/>
          <w:szCs w:val="24"/>
        </w:rPr>
        <w:t>:</w:t>
      </w:r>
      <w:r w:rsidRPr="00CB0971">
        <w:rPr>
          <w:sz w:val="24"/>
          <w:szCs w:val="24"/>
        </w:rPr>
        <w:t xml:space="preserve"> </w:t>
      </w:r>
    </w:p>
    <w:p w14:paraId="4AF1C1DC" w14:textId="3AD3F0DB" w:rsidR="00605792" w:rsidRPr="00CB0971" w:rsidRDefault="003A6E60">
      <w:pPr>
        <w:pStyle w:val="Bulletlistmultilevel"/>
        <w:numPr>
          <w:ilvl w:val="1"/>
          <w:numId w:val="104"/>
        </w:numPr>
        <w:ind w:left="709"/>
        <w:rPr>
          <w:sz w:val="24"/>
          <w:szCs w:val="24"/>
        </w:rPr>
      </w:pPr>
      <w:r w:rsidRPr="00CB0971">
        <w:rPr>
          <w:sz w:val="24"/>
          <w:szCs w:val="24"/>
        </w:rPr>
        <w:t xml:space="preserve">a </w:t>
      </w:r>
      <w:r w:rsidR="00612583">
        <w:rPr>
          <w:sz w:val="24"/>
          <w:szCs w:val="24"/>
        </w:rPr>
        <w:t>‘</w:t>
      </w:r>
      <w:r w:rsidRPr="00CB0971">
        <w:rPr>
          <w:sz w:val="24"/>
          <w:szCs w:val="24"/>
        </w:rPr>
        <w:t>high</w:t>
      </w:r>
      <w:r w:rsidR="00612583">
        <w:rPr>
          <w:sz w:val="24"/>
          <w:szCs w:val="24"/>
        </w:rPr>
        <w:t>’</w:t>
      </w:r>
      <w:r w:rsidRPr="00CB0971">
        <w:rPr>
          <w:sz w:val="24"/>
          <w:szCs w:val="24"/>
        </w:rPr>
        <w:t xml:space="preserve"> scenario where a combination of higher growth, weak efficiency improvements, and hotter temperatures cause demand to exceed forecasts</w:t>
      </w:r>
    </w:p>
    <w:p w14:paraId="0E7C0BDA" w14:textId="6BFB308A" w:rsidR="00AE35E9" w:rsidRPr="00CB0971" w:rsidRDefault="003A6E60">
      <w:pPr>
        <w:pStyle w:val="Bulletlistmultilevel"/>
        <w:numPr>
          <w:ilvl w:val="1"/>
          <w:numId w:val="104"/>
        </w:numPr>
        <w:ind w:left="709"/>
        <w:rPr>
          <w:sz w:val="24"/>
          <w:szCs w:val="24"/>
        </w:rPr>
      </w:pPr>
      <w:r w:rsidRPr="00CB0971">
        <w:rPr>
          <w:sz w:val="24"/>
          <w:szCs w:val="24"/>
        </w:rPr>
        <w:t xml:space="preserve">a </w:t>
      </w:r>
      <w:r w:rsidR="00612583">
        <w:rPr>
          <w:sz w:val="24"/>
          <w:szCs w:val="24"/>
        </w:rPr>
        <w:t>‘</w:t>
      </w:r>
      <w:r w:rsidRPr="00CB0971">
        <w:rPr>
          <w:sz w:val="24"/>
          <w:szCs w:val="24"/>
        </w:rPr>
        <w:t>low</w:t>
      </w:r>
      <w:r w:rsidR="00612583">
        <w:rPr>
          <w:sz w:val="24"/>
          <w:szCs w:val="24"/>
        </w:rPr>
        <w:t>’</w:t>
      </w:r>
      <w:r w:rsidRPr="00CB0971">
        <w:rPr>
          <w:sz w:val="24"/>
          <w:szCs w:val="24"/>
        </w:rPr>
        <w:t xml:space="preserve"> scenario where lower growth, strong efficiencies, and fewer than expected hot and dry periods cause lower than expected demand levels.</w:t>
      </w:r>
    </w:p>
    <w:p w14:paraId="18488C01" w14:textId="5E00A47B" w:rsidR="006A1419" w:rsidRDefault="000B4F52">
      <w:r>
        <w:t>Figure 18</w:t>
      </w:r>
      <w:r w:rsidR="0094047F">
        <w:t xml:space="preserve"> shows a sample of </w:t>
      </w:r>
      <w:r w:rsidR="00DD150E">
        <w:t>residential water usage scenarios where the adopted scenario</w:t>
      </w:r>
      <w:r w:rsidR="002103E5">
        <w:t xml:space="preserve"> which incorporates savings due to digital meter savings and the impact of price elasticity</w:t>
      </w:r>
      <w:r w:rsidR="00DD150E">
        <w:t xml:space="preserve"> is highlighted in </w:t>
      </w:r>
      <w:r w:rsidR="00AB04A4">
        <w:t>dark</w:t>
      </w:r>
      <w:r w:rsidR="00E4632E">
        <w:t xml:space="preserve"> blue</w:t>
      </w:r>
      <w:r w:rsidR="00836734">
        <w:t>.</w:t>
      </w:r>
    </w:p>
    <w:p w14:paraId="59B2DB06" w14:textId="31436EB8" w:rsidR="00B76DF4" w:rsidRDefault="00B76DF4"/>
    <w:p w14:paraId="02FB4AEF" w14:textId="7D766E3D" w:rsidR="00B76DF4" w:rsidRDefault="00B76DF4"/>
    <w:p w14:paraId="43701BF0" w14:textId="77777777" w:rsidR="00B76DF4" w:rsidRDefault="00B76DF4">
      <w:pPr>
        <w:rPr>
          <w:b/>
          <w:iCs/>
          <w:szCs w:val="18"/>
        </w:rPr>
      </w:pPr>
    </w:p>
    <w:p w14:paraId="054B2D3A" w14:textId="7219D55E" w:rsidR="00AB7137" w:rsidRPr="006E5D95" w:rsidRDefault="00B76DF4" w:rsidP="00AB7137">
      <w:pPr>
        <w:pStyle w:val="Figuretitle"/>
        <w:rPr>
          <w:i/>
          <w:sz w:val="22"/>
          <w:szCs w:val="22"/>
        </w:rPr>
      </w:pPr>
      <w:r>
        <w:rPr>
          <w:noProof/>
        </w:rPr>
        <w:lastRenderedPageBreak/>
        <w:drawing>
          <wp:anchor distT="0" distB="0" distL="114300" distR="114300" simplePos="0" relativeHeight="251658310" behindDoc="0" locked="0" layoutInCell="1" allowOverlap="1" wp14:anchorId="10BC9583" wp14:editId="214E3602">
            <wp:simplePos x="0" y="0"/>
            <wp:positionH relativeFrom="column">
              <wp:posOffset>3810</wp:posOffset>
            </wp:positionH>
            <wp:positionV relativeFrom="paragraph">
              <wp:posOffset>352425</wp:posOffset>
            </wp:positionV>
            <wp:extent cx="4552950" cy="4309110"/>
            <wp:effectExtent l="0" t="0" r="6350" b="0"/>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4552950" cy="4309110"/>
                    </a:xfrm>
                    <a:prstGeom prst="rect">
                      <a:avLst/>
                    </a:prstGeom>
                    <a:noFill/>
                  </pic:spPr>
                </pic:pic>
              </a:graphicData>
            </a:graphic>
            <wp14:sizeRelH relativeFrom="page">
              <wp14:pctWidth>0</wp14:pctWidth>
            </wp14:sizeRelH>
            <wp14:sizeRelV relativeFrom="page">
              <wp14:pctHeight>0</wp14:pctHeight>
            </wp14:sizeRelV>
          </wp:anchor>
        </w:drawing>
      </w:r>
      <w:r w:rsidR="000B4F52" w:rsidRPr="000B4F52">
        <w:rPr>
          <w:i/>
          <w:sz w:val="22"/>
          <w:szCs w:val="22"/>
        </w:rPr>
        <w:t xml:space="preserve"> </w:t>
      </w:r>
      <w:r w:rsidR="000B4F52" w:rsidRPr="008407B8">
        <w:rPr>
          <w:i/>
          <w:sz w:val="22"/>
          <w:szCs w:val="22"/>
        </w:rPr>
        <w:t xml:space="preserve">Figure </w:t>
      </w:r>
      <w:r w:rsidR="00225C81">
        <w:rPr>
          <w:i/>
          <w:sz w:val="22"/>
          <w:szCs w:val="22"/>
        </w:rPr>
        <w:t>18</w:t>
      </w:r>
      <w:r w:rsidR="006E5D95" w:rsidRPr="006E5D95">
        <w:rPr>
          <w:i/>
          <w:sz w:val="22"/>
          <w:szCs w:val="22"/>
        </w:rPr>
        <w:t xml:space="preserve">: </w:t>
      </w:r>
      <w:r w:rsidR="00AB7137" w:rsidRPr="006E5D95">
        <w:rPr>
          <w:i/>
          <w:sz w:val="22"/>
          <w:szCs w:val="22"/>
        </w:rPr>
        <w:t>Residential water usage</w:t>
      </w:r>
      <w:r w:rsidR="006E5D95">
        <w:rPr>
          <w:i/>
          <w:sz w:val="22"/>
          <w:szCs w:val="22"/>
        </w:rPr>
        <w:t xml:space="preserve"> forecast</w:t>
      </w:r>
      <w:r w:rsidR="00AB7137" w:rsidRPr="006E5D95">
        <w:rPr>
          <w:i/>
          <w:sz w:val="22"/>
          <w:szCs w:val="22"/>
        </w:rPr>
        <w:t xml:space="preserve"> scenarios </w:t>
      </w:r>
    </w:p>
    <w:p w14:paraId="1696411D" w14:textId="0FC6ABE3" w:rsidR="008740C7" w:rsidRDefault="008740C7" w:rsidP="008740C7">
      <w:pPr>
        <w:pStyle w:val="Bulletlistmultilevel"/>
        <w:ind w:left="357" w:hanging="357"/>
      </w:pPr>
    </w:p>
    <w:p w14:paraId="41213012" w14:textId="0B2F056A" w:rsidR="00204B3D" w:rsidRDefault="00204B3D" w:rsidP="009272AC">
      <w:pPr>
        <w:pStyle w:val="Heading2"/>
      </w:pPr>
      <w:r>
        <w:t xml:space="preserve">9.7 </w:t>
      </w:r>
      <w:r w:rsidR="001C759B" w:rsidRPr="009272AC">
        <w:t>Demand</w:t>
      </w:r>
      <w:r w:rsidR="001C759B">
        <w:t xml:space="preserve"> forecasts and expenditure forecasts</w:t>
      </w:r>
    </w:p>
    <w:p w14:paraId="73E2C138" w14:textId="26A0284B" w:rsidR="00AA0283" w:rsidRDefault="00AA0283" w:rsidP="008F205E">
      <w:pPr>
        <w:rPr>
          <w:rFonts w:asciiTheme="minorHAnsi" w:hAnsiTheme="minorHAnsi" w:cstheme="minorHAnsi"/>
        </w:rPr>
      </w:pPr>
      <w:r>
        <w:rPr>
          <w:rFonts w:asciiTheme="minorHAnsi" w:hAnsiTheme="minorHAnsi" w:cstheme="minorHAnsi"/>
        </w:rPr>
        <w:t xml:space="preserve">The </w:t>
      </w:r>
      <w:r w:rsidR="00FE1693">
        <w:rPr>
          <w:rFonts w:asciiTheme="minorHAnsi" w:hAnsiTheme="minorHAnsi" w:cstheme="minorHAnsi"/>
        </w:rPr>
        <w:t>dwelling and population forecasts</w:t>
      </w:r>
      <w:r w:rsidR="00D51B59">
        <w:rPr>
          <w:rFonts w:asciiTheme="minorHAnsi" w:hAnsiTheme="minorHAnsi" w:cstheme="minorHAnsi"/>
        </w:rPr>
        <w:t xml:space="preserve"> (</w:t>
      </w:r>
      <w:r w:rsidR="00341008">
        <w:rPr>
          <w:rFonts w:asciiTheme="minorHAnsi" w:hAnsiTheme="minorHAnsi" w:cstheme="minorHAnsi"/>
        </w:rPr>
        <w:t>Section</w:t>
      </w:r>
      <w:r w:rsidR="00D51B59">
        <w:rPr>
          <w:rFonts w:asciiTheme="minorHAnsi" w:hAnsiTheme="minorHAnsi" w:cstheme="minorHAnsi"/>
        </w:rPr>
        <w:t xml:space="preserve"> 9.1) have informed the capital expenditure program</w:t>
      </w:r>
      <w:r w:rsidR="00445739">
        <w:rPr>
          <w:rFonts w:asciiTheme="minorHAnsi" w:hAnsiTheme="minorHAnsi" w:cstheme="minorHAnsi"/>
        </w:rPr>
        <w:t>,</w:t>
      </w:r>
      <w:r w:rsidR="002A1978">
        <w:rPr>
          <w:rFonts w:asciiTheme="minorHAnsi" w:hAnsiTheme="minorHAnsi" w:cstheme="minorHAnsi"/>
        </w:rPr>
        <w:t xml:space="preserve"> where a lower </w:t>
      </w:r>
      <w:r w:rsidR="00007CD1">
        <w:rPr>
          <w:rFonts w:asciiTheme="minorHAnsi" w:hAnsiTheme="minorHAnsi" w:cstheme="minorHAnsi"/>
        </w:rPr>
        <w:t>growth scenario has been adopted</w:t>
      </w:r>
      <w:r w:rsidR="00C41826">
        <w:rPr>
          <w:rFonts w:asciiTheme="minorHAnsi" w:hAnsiTheme="minorHAnsi" w:cstheme="minorHAnsi"/>
        </w:rPr>
        <w:t>,</w:t>
      </w:r>
      <w:r w:rsidR="00007CD1">
        <w:rPr>
          <w:rFonts w:asciiTheme="minorHAnsi" w:hAnsiTheme="minorHAnsi" w:cstheme="minorHAnsi"/>
        </w:rPr>
        <w:t xml:space="preserve"> as outlined in </w:t>
      </w:r>
      <w:r w:rsidR="00341008">
        <w:rPr>
          <w:rFonts w:asciiTheme="minorHAnsi" w:hAnsiTheme="minorHAnsi" w:cstheme="minorHAnsi"/>
        </w:rPr>
        <w:t>Section</w:t>
      </w:r>
      <w:r w:rsidR="00007CD1">
        <w:rPr>
          <w:rFonts w:asciiTheme="minorHAnsi" w:hAnsiTheme="minorHAnsi" w:cstheme="minorHAnsi"/>
        </w:rPr>
        <w:t xml:space="preserve"> 6.</w:t>
      </w:r>
      <w:r w:rsidR="008E29C2">
        <w:rPr>
          <w:rFonts w:asciiTheme="minorHAnsi" w:hAnsiTheme="minorHAnsi" w:cstheme="minorHAnsi"/>
        </w:rPr>
        <w:t>2</w:t>
      </w:r>
      <w:r w:rsidR="00007CD1">
        <w:rPr>
          <w:rFonts w:asciiTheme="minorHAnsi" w:hAnsiTheme="minorHAnsi" w:cstheme="minorHAnsi"/>
        </w:rPr>
        <w:t xml:space="preserve">. </w:t>
      </w:r>
    </w:p>
    <w:p w14:paraId="435E67F1" w14:textId="632FA065" w:rsidR="008E29C2" w:rsidRDefault="00813B1E" w:rsidP="008F205E">
      <w:pPr>
        <w:rPr>
          <w:rFonts w:asciiTheme="minorHAnsi" w:hAnsiTheme="minorHAnsi" w:cstheme="minorHAnsi"/>
        </w:rPr>
      </w:pPr>
      <w:r>
        <w:rPr>
          <w:rFonts w:asciiTheme="minorHAnsi" w:hAnsiTheme="minorHAnsi" w:cstheme="minorHAnsi"/>
        </w:rPr>
        <w:t>The dwelling forecasts have also informed the operating expenditure</w:t>
      </w:r>
      <w:r w:rsidR="002A32D4">
        <w:rPr>
          <w:rFonts w:asciiTheme="minorHAnsi" w:hAnsiTheme="minorHAnsi" w:cstheme="minorHAnsi"/>
        </w:rPr>
        <w:t xml:space="preserve"> growth </w:t>
      </w:r>
      <w:r w:rsidR="00766EFC">
        <w:rPr>
          <w:rFonts w:asciiTheme="minorHAnsi" w:hAnsiTheme="minorHAnsi" w:cstheme="minorHAnsi"/>
        </w:rPr>
        <w:t>allowance</w:t>
      </w:r>
      <w:r w:rsidR="002A32D4">
        <w:rPr>
          <w:rFonts w:asciiTheme="minorHAnsi" w:hAnsiTheme="minorHAnsi" w:cstheme="minorHAnsi"/>
        </w:rPr>
        <w:t xml:space="preserve"> </w:t>
      </w:r>
      <w:r w:rsidR="00766EFC">
        <w:rPr>
          <w:rFonts w:asciiTheme="minorHAnsi" w:hAnsiTheme="minorHAnsi" w:cstheme="minorHAnsi"/>
        </w:rPr>
        <w:t xml:space="preserve">as outlined in </w:t>
      </w:r>
      <w:r w:rsidR="00341008">
        <w:rPr>
          <w:rFonts w:asciiTheme="minorHAnsi" w:hAnsiTheme="minorHAnsi" w:cstheme="minorHAnsi"/>
        </w:rPr>
        <w:t>Section</w:t>
      </w:r>
      <w:r w:rsidR="00766EFC">
        <w:rPr>
          <w:rFonts w:asciiTheme="minorHAnsi" w:hAnsiTheme="minorHAnsi" w:cstheme="minorHAnsi"/>
        </w:rPr>
        <w:t xml:space="preserve"> </w:t>
      </w:r>
      <w:r w:rsidR="003747BB">
        <w:rPr>
          <w:rFonts w:asciiTheme="minorHAnsi" w:hAnsiTheme="minorHAnsi" w:cstheme="minorHAnsi"/>
        </w:rPr>
        <w:t>7.3.</w:t>
      </w:r>
      <w:r w:rsidR="00F35FEF">
        <w:rPr>
          <w:rFonts w:asciiTheme="minorHAnsi" w:hAnsiTheme="minorHAnsi" w:cstheme="minorHAnsi"/>
        </w:rPr>
        <w:t xml:space="preserve"> </w:t>
      </w:r>
      <w:r w:rsidR="00A7531B">
        <w:rPr>
          <w:rFonts w:asciiTheme="minorHAnsi" w:hAnsiTheme="minorHAnsi" w:cstheme="minorHAnsi"/>
        </w:rPr>
        <w:t>Digital</w:t>
      </w:r>
      <w:r w:rsidR="008578D5">
        <w:rPr>
          <w:rFonts w:asciiTheme="minorHAnsi" w:hAnsiTheme="minorHAnsi" w:cstheme="minorHAnsi"/>
        </w:rPr>
        <w:t xml:space="preserve"> metering is expecte</w:t>
      </w:r>
      <w:r w:rsidR="00601902">
        <w:rPr>
          <w:rFonts w:asciiTheme="minorHAnsi" w:hAnsiTheme="minorHAnsi" w:cstheme="minorHAnsi"/>
        </w:rPr>
        <w:t>d</w:t>
      </w:r>
      <w:r w:rsidR="005E680F">
        <w:rPr>
          <w:rFonts w:asciiTheme="minorHAnsi" w:hAnsiTheme="minorHAnsi" w:cstheme="minorHAnsi"/>
        </w:rPr>
        <w:t xml:space="preserve"> to contribute to</w:t>
      </w:r>
      <w:r w:rsidR="00445739">
        <w:rPr>
          <w:rFonts w:asciiTheme="minorHAnsi" w:hAnsiTheme="minorHAnsi" w:cstheme="minorHAnsi"/>
        </w:rPr>
        <w:t xml:space="preserve"> reducing</w:t>
      </w:r>
      <w:r w:rsidR="00E147BE">
        <w:rPr>
          <w:rFonts w:asciiTheme="minorHAnsi" w:hAnsiTheme="minorHAnsi" w:cstheme="minorHAnsi"/>
        </w:rPr>
        <w:t xml:space="preserve"> bulk water</w:t>
      </w:r>
      <w:r w:rsidR="00514157">
        <w:rPr>
          <w:rFonts w:asciiTheme="minorHAnsi" w:hAnsiTheme="minorHAnsi" w:cstheme="minorHAnsi"/>
        </w:rPr>
        <w:t xml:space="preserve"> demand and corresponding costs.</w:t>
      </w:r>
    </w:p>
    <w:p w14:paraId="6FBE860B" w14:textId="0CEC16C8" w:rsidR="003747BB" w:rsidRDefault="00AE78CB" w:rsidP="008F205E">
      <w:pPr>
        <w:rPr>
          <w:rFonts w:asciiTheme="minorHAnsi" w:hAnsiTheme="minorHAnsi" w:cstheme="minorHAnsi"/>
        </w:rPr>
      </w:pPr>
      <w:r>
        <w:rPr>
          <w:rFonts w:asciiTheme="minorHAnsi" w:hAnsiTheme="minorHAnsi" w:cstheme="minorHAnsi"/>
        </w:rPr>
        <w:t>Forecast bulk charges and volumes from Melbourne Water are consistent with</w:t>
      </w:r>
      <w:r w:rsidR="001A460B">
        <w:rPr>
          <w:rFonts w:asciiTheme="minorHAnsi" w:hAnsiTheme="minorHAnsi" w:cstheme="minorHAnsi"/>
        </w:rPr>
        <w:t xml:space="preserve"> </w:t>
      </w:r>
      <w:r w:rsidR="00445739">
        <w:rPr>
          <w:rFonts w:asciiTheme="minorHAnsi" w:hAnsiTheme="minorHAnsi" w:cstheme="minorHAnsi"/>
        </w:rPr>
        <w:t xml:space="preserve">South East Water’s </w:t>
      </w:r>
      <w:r w:rsidR="001A460B">
        <w:rPr>
          <w:rFonts w:asciiTheme="minorHAnsi" w:hAnsiTheme="minorHAnsi" w:cstheme="minorHAnsi"/>
        </w:rPr>
        <w:t>demand forecasts</w:t>
      </w:r>
      <w:r w:rsidR="002342CB">
        <w:rPr>
          <w:rFonts w:asciiTheme="minorHAnsi" w:hAnsiTheme="minorHAnsi" w:cstheme="minorHAnsi"/>
        </w:rPr>
        <w:t>.</w:t>
      </w:r>
      <w:r w:rsidR="009846A4">
        <w:rPr>
          <w:rFonts w:asciiTheme="minorHAnsi" w:hAnsiTheme="minorHAnsi" w:cstheme="minorHAnsi"/>
        </w:rPr>
        <w:t xml:space="preserve"> Bulk water</w:t>
      </w:r>
      <w:r w:rsidR="00D364E7">
        <w:rPr>
          <w:rFonts w:asciiTheme="minorHAnsi" w:hAnsiTheme="minorHAnsi" w:cstheme="minorHAnsi"/>
        </w:rPr>
        <w:t xml:space="preserve"> forecasts</w:t>
      </w:r>
      <w:r w:rsidR="009846A4">
        <w:rPr>
          <w:rFonts w:asciiTheme="minorHAnsi" w:hAnsiTheme="minorHAnsi" w:cstheme="minorHAnsi"/>
        </w:rPr>
        <w:t xml:space="preserve"> </w:t>
      </w:r>
      <w:r w:rsidR="00D364E7">
        <w:rPr>
          <w:rFonts w:asciiTheme="minorHAnsi" w:hAnsiTheme="minorHAnsi" w:cstheme="minorHAnsi"/>
        </w:rPr>
        <w:t xml:space="preserve">have been outlined in </w:t>
      </w:r>
      <w:r w:rsidR="00341008">
        <w:rPr>
          <w:rFonts w:asciiTheme="minorHAnsi" w:hAnsiTheme="minorHAnsi" w:cstheme="minorHAnsi"/>
        </w:rPr>
        <w:t>Section</w:t>
      </w:r>
      <w:r w:rsidR="00D364E7">
        <w:rPr>
          <w:rFonts w:asciiTheme="minorHAnsi" w:hAnsiTheme="minorHAnsi" w:cstheme="minorHAnsi"/>
        </w:rPr>
        <w:t xml:space="preserve"> 9.3.5. </w:t>
      </w:r>
      <w:r w:rsidR="00DB67CB">
        <w:rPr>
          <w:rFonts w:asciiTheme="minorHAnsi" w:hAnsiTheme="minorHAnsi" w:cstheme="minorHAnsi"/>
        </w:rPr>
        <w:t>Bulk s</w:t>
      </w:r>
      <w:r w:rsidR="00D364E7">
        <w:rPr>
          <w:rFonts w:asciiTheme="minorHAnsi" w:hAnsiTheme="minorHAnsi" w:cstheme="minorHAnsi"/>
        </w:rPr>
        <w:t xml:space="preserve">ewerage </w:t>
      </w:r>
      <w:r w:rsidR="00DB67CB">
        <w:rPr>
          <w:rFonts w:asciiTheme="minorHAnsi" w:hAnsiTheme="minorHAnsi" w:cstheme="minorHAnsi"/>
        </w:rPr>
        <w:t xml:space="preserve">forecasts are </w:t>
      </w:r>
      <w:r w:rsidR="00E931CB">
        <w:rPr>
          <w:rFonts w:asciiTheme="minorHAnsi" w:hAnsiTheme="minorHAnsi" w:cstheme="minorHAnsi"/>
        </w:rPr>
        <w:t xml:space="preserve">linked to bulk water forecasts and have been based on </w:t>
      </w:r>
      <w:r w:rsidR="005560E5">
        <w:rPr>
          <w:rFonts w:asciiTheme="minorHAnsi" w:hAnsiTheme="minorHAnsi" w:cstheme="minorHAnsi"/>
        </w:rPr>
        <w:t xml:space="preserve">historical analysis of the last </w:t>
      </w:r>
      <w:r w:rsidR="00584B94">
        <w:rPr>
          <w:rFonts w:asciiTheme="minorHAnsi" w:hAnsiTheme="minorHAnsi" w:cstheme="minorHAnsi"/>
        </w:rPr>
        <w:t>5</w:t>
      </w:r>
      <w:r w:rsidR="005560E5">
        <w:rPr>
          <w:rFonts w:asciiTheme="minorHAnsi" w:hAnsiTheme="minorHAnsi" w:cstheme="minorHAnsi"/>
        </w:rPr>
        <w:t xml:space="preserve"> years of sewer flows.</w:t>
      </w:r>
      <w:r w:rsidR="00B96629">
        <w:rPr>
          <w:rFonts w:asciiTheme="minorHAnsi" w:hAnsiTheme="minorHAnsi" w:cstheme="minorHAnsi"/>
        </w:rPr>
        <w:t xml:space="preserve"> </w:t>
      </w:r>
      <w:r w:rsidR="00B74C57">
        <w:rPr>
          <w:rFonts w:asciiTheme="minorHAnsi" w:hAnsiTheme="minorHAnsi" w:cstheme="minorHAnsi"/>
        </w:rPr>
        <w:t>Bulk</w:t>
      </w:r>
      <w:r w:rsidR="00B96629">
        <w:rPr>
          <w:rFonts w:asciiTheme="minorHAnsi" w:hAnsiTheme="minorHAnsi" w:cstheme="minorHAnsi"/>
        </w:rPr>
        <w:t xml:space="preserve"> trade waste forecast</w:t>
      </w:r>
      <w:r w:rsidR="00D24FF5">
        <w:rPr>
          <w:rFonts w:asciiTheme="minorHAnsi" w:hAnsiTheme="minorHAnsi" w:cstheme="minorHAnsi"/>
        </w:rPr>
        <w:t>s</w:t>
      </w:r>
      <w:r w:rsidR="00B96629">
        <w:rPr>
          <w:rFonts w:asciiTheme="minorHAnsi" w:hAnsiTheme="minorHAnsi" w:cstheme="minorHAnsi"/>
        </w:rPr>
        <w:t xml:space="preserve"> ha</w:t>
      </w:r>
      <w:r w:rsidR="0018413E">
        <w:rPr>
          <w:rFonts w:asciiTheme="minorHAnsi" w:hAnsiTheme="minorHAnsi" w:cstheme="minorHAnsi"/>
        </w:rPr>
        <w:t>ve</w:t>
      </w:r>
      <w:r w:rsidR="00B96629">
        <w:rPr>
          <w:rFonts w:asciiTheme="minorHAnsi" w:hAnsiTheme="minorHAnsi" w:cstheme="minorHAnsi"/>
        </w:rPr>
        <w:t xml:space="preserve"> been developed </w:t>
      </w:r>
      <w:r w:rsidR="00FC42A6">
        <w:rPr>
          <w:rFonts w:asciiTheme="minorHAnsi" w:hAnsiTheme="minorHAnsi" w:cstheme="minorHAnsi"/>
        </w:rPr>
        <w:t xml:space="preserve">in consultation with the trade waste team </w:t>
      </w:r>
      <w:r w:rsidR="00556952">
        <w:rPr>
          <w:rFonts w:asciiTheme="minorHAnsi" w:hAnsiTheme="minorHAnsi" w:cstheme="minorHAnsi"/>
        </w:rPr>
        <w:t>considering historical</w:t>
      </w:r>
      <w:r w:rsidR="005016E9">
        <w:rPr>
          <w:rFonts w:asciiTheme="minorHAnsi" w:hAnsiTheme="minorHAnsi" w:cstheme="minorHAnsi"/>
        </w:rPr>
        <w:t xml:space="preserve"> trade waste loads.</w:t>
      </w:r>
      <w:r w:rsidR="00D92D75">
        <w:rPr>
          <w:rFonts w:asciiTheme="minorHAnsi" w:hAnsiTheme="minorHAnsi" w:cstheme="minorHAnsi"/>
        </w:rPr>
        <w:br/>
      </w:r>
    </w:p>
    <w:p w14:paraId="47DF6E28" w14:textId="53061E6F" w:rsidR="00AE35E9" w:rsidRDefault="008740C7">
      <w:pPr>
        <w:pStyle w:val="Heading2"/>
      </w:pPr>
      <w:r>
        <w:t>9.</w:t>
      </w:r>
      <w:bookmarkStart w:id="93" w:name="_Toc103770962"/>
      <w:r w:rsidR="00204B3D">
        <w:t>8</w:t>
      </w:r>
      <w:r w:rsidR="00AE35E9">
        <w:t xml:space="preserve"> </w:t>
      </w:r>
      <w:r w:rsidR="00AE35E9" w:rsidRPr="00603FB6">
        <w:t>Summary</w:t>
      </w:r>
      <w:bookmarkEnd w:id="93"/>
    </w:p>
    <w:p w14:paraId="6191C4B4" w14:textId="5E385514" w:rsidR="00AE35E9" w:rsidRDefault="009A35C7" w:rsidP="00AE35E9">
      <w:pPr>
        <w:rPr>
          <w:rFonts w:asciiTheme="minorHAnsi" w:hAnsiTheme="minorHAnsi" w:cstheme="minorHAnsi"/>
        </w:rPr>
      </w:pPr>
      <w:r>
        <w:rPr>
          <w:rFonts w:asciiTheme="minorHAnsi" w:hAnsiTheme="minorHAnsi" w:cstheme="minorHAnsi"/>
        </w:rPr>
        <w:t>Table</w:t>
      </w:r>
      <w:r w:rsidR="00AC7927">
        <w:rPr>
          <w:rFonts w:asciiTheme="minorHAnsi" w:hAnsiTheme="minorHAnsi" w:cstheme="minorHAnsi"/>
        </w:rPr>
        <w:t>s</w:t>
      </w:r>
      <w:r>
        <w:rPr>
          <w:rFonts w:asciiTheme="minorHAnsi" w:hAnsiTheme="minorHAnsi" w:cstheme="minorHAnsi"/>
        </w:rPr>
        <w:t xml:space="preserve"> 47 and 48</w:t>
      </w:r>
      <w:r w:rsidR="00AC43CF" w:rsidRPr="00257D76">
        <w:rPr>
          <w:rFonts w:asciiTheme="minorHAnsi" w:hAnsiTheme="minorHAnsi" w:cstheme="minorHAnsi"/>
        </w:rPr>
        <w:t xml:space="preserve"> provide the total </w:t>
      </w:r>
      <w:r w:rsidR="001769A5" w:rsidRPr="00257D76">
        <w:rPr>
          <w:rFonts w:asciiTheme="minorHAnsi" w:hAnsiTheme="minorHAnsi" w:cstheme="minorHAnsi"/>
        </w:rPr>
        <w:t xml:space="preserve">forecast </w:t>
      </w:r>
      <w:r w:rsidR="00AC43CF" w:rsidRPr="00257D76">
        <w:rPr>
          <w:rFonts w:asciiTheme="minorHAnsi" w:hAnsiTheme="minorHAnsi" w:cstheme="minorHAnsi"/>
        </w:rPr>
        <w:t>number of customers who will receive water and sewerage service</w:t>
      </w:r>
      <w:r w:rsidR="00850CFF">
        <w:rPr>
          <w:rFonts w:asciiTheme="minorHAnsi" w:hAnsiTheme="minorHAnsi" w:cstheme="minorHAnsi"/>
        </w:rPr>
        <w:t>s</w:t>
      </w:r>
      <w:r w:rsidR="00AC43CF" w:rsidRPr="00257D76">
        <w:rPr>
          <w:rFonts w:asciiTheme="minorHAnsi" w:hAnsiTheme="minorHAnsi" w:cstheme="minorHAnsi"/>
        </w:rPr>
        <w:t xml:space="preserve"> charges</w:t>
      </w:r>
      <w:r w:rsidR="001A28FE">
        <w:rPr>
          <w:rFonts w:asciiTheme="minorHAnsi" w:hAnsiTheme="minorHAnsi" w:cstheme="minorHAnsi"/>
        </w:rPr>
        <w:t>,</w:t>
      </w:r>
      <w:r w:rsidR="00AC43CF" w:rsidRPr="00257D76">
        <w:rPr>
          <w:rFonts w:asciiTheme="minorHAnsi" w:hAnsiTheme="minorHAnsi" w:cstheme="minorHAnsi"/>
        </w:rPr>
        <w:t xml:space="preserve"> and forecast water, sewage, recycled water and trade waste volumes to formulate prices for the next regulatory period. </w:t>
      </w:r>
    </w:p>
    <w:p w14:paraId="3224B682" w14:textId="457A75B0" w:rsidR="00B76DF4" w:rsidRDefault="00B76DF4" w:rsidP="00AE35E9">
      <w:pPr>
        <w:rPr>
          <w:rFonts w:asciiTheme="minorHAnsi" w:hAnsiTheme="minorHAnsi" w:cstheme="minorHAnsi"/>
        </w:rPr>
      </w:pPr>
    </w:p>
    <w:p w14:paraId="303414DE" w14:textId="36C07252" w:rsidR="00AE35E9" w:rsidRPr="00837531" w:rsidRDefault="00837531" w:rsidP="00837531">
      <w:pPr>
        <w:pStyle w:val="NormalIndent"/>
        <w:ind w:left="0"/>
        <w:rPr>
          <w:rFonts w:cs="Arial"/>
          <w:b/>
          <w:i/>
        </w:rPr>
      </w:pPr>
      <w:r w:rsidRPr="00CE6C4E">
        <w:rPr>
          <w:b/>
          <w:i/>
        </w:rPr>
        <w:lastRenderedPageBreak/>
        <w:t xml:space="preserve">Table </w:t>
      </w:r>
      <w:r w:rsidR="009A35C7" w:rsidRPr="00CE6C4E">
        <w:rPr>
          <w:b/>
          <w:bCs/>
          <w:i/>
          <w:iCs/>
        </w:rPr>
        <w:fldChar w:fldCharType="begin"/>
      </w:r>
      <w:r w:rsidR="009A35C7" w:rsidRPr="00CE6C4E">
        <w:rPr>
          <w:b/>
          <w:bCs/>
          <w:i/>
          <w:iCs/>
        </w:rPr>
        <w:instrText>SEQ Table \* ARABIC</w:instrText>
      </w:r>
      <w:r w:rsidR="009A35C7" w:rsidRPr="00CE6C4E">
        <w:rPr>
          <w:b/>
          <w:bCs/>
          <w:i/>
          <w:iCs/>
        </w:rPr>
        <w:fldChar w:fldCharType="separate"/>
      </w:r>
      <w:r w:rsidR="009A35C7">
        <w:rPr>
          <w:b/>
          <w:bCs/>
          <w:i/>
          <w:iCs/>
          <w:noProof/>
        </w:rPr>
        <w:t>47</w:t>
      </w:r>
      <w:r w:rsidR="009A35C7" w:rsidRPr="00CE6C4E">
        <w:rPr>
          <w:b/>
          <w:bCs/>
          <w:i/>
          <w:iCs/>
        </w:rPr>
        <w:fldChar w:fldCharType="end"/>
      </w:r>
      <w:r w:rsidRPr="007B339F">
        <w:rPr>
          <w:rFonts w:ascii="Arial" w:hAnsi="Arial" w:cs="Arial"/>
          <w:b/>
          <w:i/>
        </w:rPr>
        <w:t>:</w:t>
      </w:r>
      <w:r>
        <w:rPr>
          <w:rFonts w:ascii="Arial" w:hAnsi="Arial" w:cs="Arial"/>
          <w:b/>
          <w:i/>
        </w:rPr>
        <w:t xml:space="preserve"> Customer number forecast</w:t>
      </w:r>
    </w:p>
    <w:tbl>
      <w:tblPr>
        <w:tblStyle w:val="MJTableStyle1default"/>
        <w:tblW w:w="4996" w:type="pct"/>
        <w:tblInd w:w="5" w:type="dxa"/>
        <w:tblLayout w:type="fixed"/>
        <w:tblLook w:val="04A0" w:firstRow="1" w:lastRow="0" w:firstColumn="1" w:lastColumn="0" w:noHBand="0" w:noVBand="1"/>
      </w:tblPr>
      <w:tblGrid>
        <w:gridCol w:w="2968"/>
        <w:gridCol w:w="1085"/>
        <w:gridCol w:w="1085"/>
        <w:gridCol w:w="1086"/>
        <w:gridCol w:w="1085"/>
        <w:gridCol w:w="1085"/>
        <w:gridCol w:w="1086"/>
      </w:tblGrid>
      <w:tr w:rsidR="00F0764D" w:rsidRPr="00BF47C7" w14:paraId="5983E1B9" w14:textId="77777777" w:rsidTr="00A62984">
        <w:trPr>
          <w:cnfStyle w:val="100000000000" w:firstRow="1" w:lastRow="0" w:firstColumn="0" w:lastColumn="0" w:oddVBand="0" w:evenVBand="0" w:oddHBand="0" w:evenHBand="0" w:firstRowFirstColumn="0" w:firstRowLastColumn="0" w:lastRowFirstColumn="0" w:lastRowLastColumn="0"/>
          <w:trHeight w:val="550"/>
        </w:trPr>
        <w:tc>
          <w:tcPr>
            <w:tcW w:w="1565" w:type="pct"/>
            <w:tcBorders>
              <w:top w:val="single" w:sz="4" w:space="0" w:color="002279"/>
              <w:left w:val="single" w:sz="4" w:space="0" w:color="002279"/>
              <w:bottom w:val="single" w:sz="2" w:space="0" w:color="002279"/>
              <w:right w:val="single" w:sz="4" w:space="0" w:color="FFFFFF" w:themeColor="background1"/>
            </w:tcBorders>
            <w:shd w:val="clear" w:color="auto" w:fill="002279"/>
            <w:noWrap/>
            <w:vAlign w:val="center"/>
            <w:hideMark/>
          </w:tcPr>
          <w:p w14:paraId="67DB3B22" w14:textId="0F4DC6CE" w:rsidR="00BF47C7" w:rsidRPr="00F66F25" w:rsidRDefault="0086297D" w:rsidP="0028547E">
            <w:pPr>
              <w:rPr>
                <w:rFonts w:asciiTheme="minorHAnsi" w:hAnsiTheme="minorHAnsi" w:cstheme="minorHAnsi"/>
                <w:b/>
              </w:rPr>
            </w:pPr>
            <w:r w:rsidRPr="00F66F25">
              <w:rPr>
                <w:rFonts w:asciiTheme="minorHAnsi" w:hAnsiTheme="minorHAnsi" w:cstheme="minorHAnsi"/>
                <w:b/>
              </w:rPr>
              <w:t>Tariff</w:t>
            </w:r>
          </w:p>
        </w:tc>
        <w:tc>
          <w:tcPr>
            <w:tcW w:w="572" w:type="pct"/>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noWrap/>
            <w:vAlign w:val="center"/>
            <w:hideMark/>
          </w:tcPr>
          <w:p w14:paraId="60787D5D" w14:textId="1CE836F1" w:rsidR="00BF47C7" w:rsidRPr="00F66F25" w:rsidRDefault="00BF47C7" w:rsidP="00360131">
            <w:pPr>
              <w:jc w:val="center"/>
              <w:rPr>
                <w:rFonts w:asciiTheme="minorHAnsi" w:hAnsiTheme="minorHAnsi" w:cstheme="minorHAnsi"/>
                <w:b/>
              </w:rPr>
            </w:pPr>
            <w:r w:rsidRPr="00F66F25">
              <w:rPr>
                <w:rFonts w:asciiTheme="minorHAnsi" w:hAnsiTheme="minorHAnsi" w:cstheme="minorHAnsi"/>
                <w:b/>
              </w:rPr>
              <w:t>2022</w:t>
            </w:r>
            <w:r w:rsidR="00D558A7" w:rsidRPr="00F66F25">
              <w:rPr>
                <w:rFonts w:asciiTheme="minorHAnsi" w:hAnsiTheme="minorHAnsi" w:cstheme="minorHAnsi"/>
                <w:b/>
              </w:rPr>
              <w:t>-</w:t>
            </w:r>
            <w:r w:rsidRPr="00F66F25">
              <w:rPr>
                <w:rFonts w:asciiTheme="minorHAnsi" w:hAnsiTheme="minorHAnsi" w:cstheme="minorHAnsi"/>
                <w:b/>
              </w:rPr>
              <w:t>23</w:t>
            </w:r>
          </w:p>
        </w:tc>
        <w:tc>
          <w:tcPr>
            <w:tcW w:w="572" w:type="pct"/>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noWrap/>
            <w:vAlign w:val="center"/>
            <w:hideMark/>
          </w:tcPr>
          <w:p w14:paraId="096E35DA" w14:textId="2847E279" w:rsidR="00BF47C7" w:rsidRPr="00F66F25" w:rsidRDefault="00BF47C7" w:rsidP="00360131">
            <w:pPr>
              <w:jc w:val="center"/>
              <w:rPr>
                <w:rFonts w:asciiTheme="minorHAnsi" w:hAnsiTheme="minorHAnsi" w:cstheme="minorHAnsi"/>
                <w:b/>
              </w:rPr>
            </w:pPr>
            <w:r w:rsidRPr="00F66F25">
              <w:rPr>
                <w:rFonts w:asciiTheme="minorHAnsi" w:hAnsiTheme="minorHAnsi" w:cstheme="minorHAnsi"/>
                <w:b/>
              </w:rPr>
              <w:t>2023</w:t>
            </w:r>
            <w:r w:rsidR="00D558A7" w:rsidRPr="00F66F25">
              <w:rPr>
                <w:rFonts w:asciiTheme="minorHAnsi" w:hAnsiTheme="minorHAnsi" w:cstheme="minorHAnsi"/>
                <w:b/>
              </w:rPr>
              <w:t>-</w:t>
            </w:r>
            <w:r w:rsidRPr="00F66F25">
              <w:rPr>
                <w:rFonts w:asciiTheme="minorHAnsi" w:hAnsiTheme="minorHAnsi" w:cstheme="minorHAnsi"/>
                <w:b/>
              </w:rPr>
              <w:t>24</w:t>
            </w:r>
          </w:p>
        </w:tc>
        <w:tc>
          <w:tcPr>
            <w:tcW w:w="573" w:type="pct"/>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noWrap/>
            <w:vAlign w:val="center"/>
            <w:hideMark/>
          </w:tcPr>
          <w:p w14:paraId="6414903C" w14:textId="5D7D95DA" w:rsidR="00BF47C7" w:rsidRPr="00F66F25" w:rsidRDefault="00BF47C7" w:rsidP="00360131">
            <w:pPr>
              <w:jc w:val="center"/>
              <w:rPr>
                <w:rFonts w:asciiTheme="minorHAnsi" w:hAnsiTheme="minorHAnsi" w:cstheme="minorHAnsi"/>
                <w:b/>
              </w:rPr>
            </w:pPr>
            <w:r w:rsidRPr="00F66F25">
              <w:rPr>
                <w:rFonts w:asciiTheme="minorHAnsi" w:hAnsiTheme="minorHAnsi" w:cstheme="minorHAnsi"/>
                <w:b/>
              </w:rPr>
              <w:t>2024</w:t>
            </w:r>
            <w:r w:rsidR="00D558A7" w:rsidRPr="00F66F25">
              <w:rPr>
                <w:rFonts w:asciiTheme="minorHAnsi" w:hAnsiTheme="minorHAnsi" w:cstheme="minorHAnsi"/>
                <w:b/>
              </w:rPr>
              <w:t>-</w:t>
            </w:r>
            <w:r w:rsidRPr="00F66F25">
              <w:rPr>
                <w:rFonts w:asciiTheme="minorHAnsi" w:hAnsiTheme="minorHAnsi" w:cstheme="minorHAnsi"/>
                <w:b/>
              </w:rPr>
              <w:t>25</w:t>
            </w:r>
          </w:p>
        </w:tc>
        <w:tc>
          <w:tcPr>
            <w:tcW w:w="572" w:type="pct"/>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noWrap/>
            <w:vAlign w:val="center"/>
            <w:hideMark/>
          </w:tcPr>
          <w:p w14:paraId="03EE35CD" w14:textId="06E7ADD3" w:rsidR="00BF47C7" w:rsidRPr="00F66F25" w:rsidRDefault="00BF47C7" w:rsidP="00360131">
            <w:pPr>
              <w:jc w:val="center"/>
              <w:rPr>
                <w:rFonts w:asciiTheme="minorHAnsi" w:hAnsiTheme="minorHAnsi" w:cstheme="minorHAnsi"/>
                <w:b/>
              </w:rPr>
            </w:pPr>
            <w:r w:rsidRPr="00F66F25">
              <w:rPr>
                <w:rFonts w:asciiTheme="minorHAnsi" w:hAnsiTheme="minorHAnsi" w:cstheme="minorHAnsi"/>
                <w:b/>
              </w:rPr>
              <w:t>2025</w:t>
            </w:r>
            <w:r w:rsidR="00D558A7" w:rsidRPr="00F66F25">
              <w:rPr>
                <w:rFonts w:asciiTheme="minorHAnsi" w:hAnsiTheme="minorHAnsi" w:cstheme="minorHAnsi"/>
                <w:b/>
              </w:rPr>
              <w:t>-</w:t>
            </w:r>
            <w:r w:rsidRPr="00F66F25">
              <w:rPr>
                <w:rFonts w:asciiTheme="minorHAnsi" w:hAnsiTheme="minorHAnsi" w:cstheme="minorHAnsi"/>
                <w:b/>
              </w:rPr>
              <w:t>26</w:t>
            </w:r>
          </w:p>
        </w:tc>
        <w:tc>
          <w:tcPr>
            <w:tcW w:w="572" w:type="pct"/>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noWrap/>
            <w:vAlign w:val="center"/>
            <w:hideMark/>
          </w:tcPr>
          <w:p w14:paraId="6492B171" w14:textId="16877337" w:rsidR="00BF47C7" w:rsidRPr="00F66F25" w:rsidRDefault="00BF47C7" w:rsidP="00360131">
            <w:pPr>
              <w:jc w:val="center"/>
              <w:rPr>
                <w:rFonts w:asciiTheme="minorHAnsi" w:hAnsiTheme="minorHAnsi" w:cstheme="minorHAnsi"/>
                <w:b/>
              </w:rPr>
            </w:pPr>
            <w:r w:rsidRPr="00F66F25">
              <w:rPr>
                <w:rFonts w:asciiTheme="minorHAnsi" w:hAnsiTheme="minorHAnsi" w:cstheme="minorHAnsi"/>
                <w:b/>
              </w:rPr>
              <w:t>2026</w:t>
            </w:r>
            <w:r w:rsidR="00D558A7" w:rsidRPr="00F66F25">
              <w:rPr>
                <w:rFonts w:asciiTheme="minorHAnsi" w:hAnsiTheme="minorHAnsi" w:cstheme="minorHAnsi"/>
                <w:b/>
              </w:rPr>
              <w:t>-</w:t>
            </w:r>
            <w:r w:rsidRPr="00F66F25">
              <w:rPr>
                <w:rFonts w:asciiTheme="minorHAnsi" w:hAnsiTheme="minorHAnsi" w:cstheme="minorHAnsi"/>
                <w:b/>
              </w:rPr>
              <w:t>27</w:t>
            </w:r>
          </w:p>
        </w:tc>
        <w:tc>
          <w:tcPr>
            <w:tcW w:w="573" w:type="pct"/>
            <w:tcBorders>
              <w:top w:val="single" w:sz="4" w:space="0" w:color="002279"/>
              <w:left w:val="single" w:sz="4" w:space="0" w:color="FFFFFF" w:themeColor="background1"/>
              <w:bottom w:val="single" w:sz="2" w:space="0" w:color="002279"/>
              <w:right w:val="single" w:sz="4" w:space="0" w:color="002279"/>
            </w:tcBorders>
            <w:shd w:val="clear" w:color="auto" w:fill="002279"/>
            <w:noWrap/>
            <w:vAlign w:val="center"/>
            <w:hideMark/>
          </w:tcPr>
          <w:p w14:paraId="6AAE3030" w14:textId="0EFECCCC" w:rsidR="00BF47C7" w:rsidRPr="00F66F25" w:rsidRDefault="00BF47C7" w:rsidP="00360131">
            <w:pPr>
              <w:jc w:val="center"/>
              <w:rPr>
                <w:rFonts w:asciiTheme="minorHAnsi" w:hAnsiTheme="minorHAnsi" w:cstheme="minorHAnsi"/>
                <w:b/>
              </w:rPr>
            </w:pPr>
            <w:r w:rsidRPr="00F66F25">
              <w:rPr>
                <w:rFonts w:asciiTheme="minorHAnsi" w:hAnsiTheme="minorHAnsi" w:cstheme="minorHAnsi"/>
                <w:b/>
              </w:rPr>
              <w:t>2027</w:t>
            </w:r>
            <w:r w:rsidR="00D558A7" w:rsidRPr="00F66F25">
              <w:rPr>
                <w:rFonts w:asciiTheme="minorHAnsi" w:hAnsiTheme="minorHAnsi" w:cstheme="minorHAnsi"/>
                <w:b/>
              </w:rPr>
              <w:t>-</w:t>
            </w:r>
            <w:r w:rsidRPr="00F66F25">
              <w:rPr>
                <w:rFonts w:asciiTheme="minorHAnsi" w:hAnsiTheme="minorHAnsi" w:cstheme="minorHAnsi"/>
                <w:b/>
              </w:rPr>
              <w:t>28</w:t>
            </w:r>
          </w:p>
        </w:tc>
      </w:tr>
      <w:tr w:rsidR="00F0764D" w:rsidRPr="00BF47C7" w14:paraId="5F607520" w14:textId="77777777" w:rsidTr="003F1732">
        <w:trPr>
          <w:cnfStyle w:val="000000100000" w:firstRow="0" w:lastRow="0" w:firstColumn="0" w:lastColumn="0" w:oddVBand="0" w:evenVBand="0" w:oddHBand="1" w:evenHBand="0" w:firstRowFirstColumn="0" w:firstRowLastColumn="0" w:lastRowFirstColumn="0" w:lastRowLastColumn="0"/>
          <w:trHeight w:val="300"/>
        </w:trPr>
        <w:tc>
          <w:tcPr>
            <w:tcW w:w="1565" w:type="pct"/>
            <w:tcBorders>
              <w:top w:val="single" w:sz="2" w:space="0" w:color="002279"/>
              <w:left w:val="single" w:sz="4" w:space="0" w:color="002279"/>
              <w:bottom w:val="single" w:sz="2" w:space="0" w:color="002279"/>
              <w:right w:val="single" w:sz="4" w:space="0" w:color="002279"/>
            </w:tcBorders>
            <w:shd w:val="clear" w:color="auto" w:fill="D4D6DF"/>
            <w:noWrap/>
            <w:hideMark/>
          </w:tcPr>
          <w:p w14:paraId="4DBC15FD" w14:textId="7B67B8CF" w:rsidR="00BF47C7" w:rsidRPr="00F66F25" w:rsidRDefault="00924054">
            <w:pPr>
              <w:rPr>
                <w:rFonts w:cstheme="minorHAnsi"/>
              </w:rPr>
            </w:pPr>
            <w:r w:rsidRPr="00F66F25">
              <w:rPr>
                <w:rFonts w:cstheme="minorHAnsi"/>
              </w:rPr>
              <w:t>Number of water service charges – residential</w:t>
            </w:r>
          </w:p>
        </w:tc>
        <w:tc>
          <w:tcPr>
            <w:tcW w:w="572" w:type="pct"/>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43A46DF7" w14:textId="420B6AFF" w:rsidR="00BF47C7" w:rsidRPr="00F66F25" w:rsidRDefault="00E328D2" w:rsidP="00F01B35">
            <w:pPr>
              <w:jc w:val="center"/>
              <w:rPr>
                <w:rFonts w:cstheme="minorHAnsi"/>
              </w:rPr>
            </w:pPr>
            <w:r w:rsidRPr="007B24B7">
              <w:t>731,383</w:t>
            </w:r>
          </w:p>
        </w:tc>
        <w:tc>
          <w:tcPr>
            <w:tcW w:w="572" w:type="pct"/>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161B7B85" w14:textId="6DC5D531" w:rsidR="00BF47C7" w:rsidRPr="00F66F25" w:rsidRDefault="00E328D2" w:rsidP="00F01B35">
            <w:pPr>
              <w:jc w:val="center"/>
              <w:rPr>
                <w:rFonts w:cstheme="minorHAnsi"/>
              </w:rPr>
            </w:pPr>
            <w:r w:rsidRPr="007B24B7">
              <w:t>740,291</w:t>
            </w:r>
          </w:p>
        </w:tc>
        <w:tc>
          <w:tcPr>
            <w:tcW w:w="573" w:type="pct"/>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375E482D" w14:textId="1BEBBD04" w:rsidR="00BF47C7" w:rsidRPr="00F66F25" w:rsidRDefault="00E328D2" w:rsidP="00F01B35">
            <w:pPr>
              <w:jc w:val="center"/>
              <w:rPr>
                <w:rFonts w:cstheme="minorHAnsi"/>
              </w:rPr>
            </w:pPr>
            <w:r w:rsidRPr="007B24B7">
              <w:t>749,199</w:t>
            </w:r>
          </w:p>
        </w:tc>
        <w:tc>
          <w:tcPr>
            <w:tcW w:w="572" w:type="pct"/>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3703BC4B" w14:textId="66C46564" w:rsidR="00BF47C7" w:rsidRPr="00F66F25" w:rsidRDefault="00E328D2" w:rsidP="00F01B35">
            <w:pPr>
              <w:jc w:val="center"/>
              <w:rPr>
                <w:rFonts w:cstheme="minorHAnsi"/>
              </w:rPr>
            </w:pPr>
            <w:r w:rsidRPr="007B24B7">
              <w:t>758,108</w:t>
            </w:r>
          </w:p>
        </w:tc>
        <w:tc>
          <w:tcPr>
            <w:tcW w:w="572" w:type="pct"/>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255B49D6" w14:textId="23AF00A5" w:rsidR="00BF47C7" w:rsidRPr="00F66F25" w:rsidRDefault="00E328D2" w:rsidP="00F01B35">
            <w:pPr>
              <w:jc w:val="center"/>
              <w:rPr>
                <w:rFonts w:cstheme="minorHAnsi"/>
              </w:rPr>
            </w:pPr>
            <w:r w:rsidRPr="007B24B7">
              <w:t>769,078</w:t>
            </w:r>
          </w:p>
        </w:tc>
        <w:tc>
          <w:tcPr>
            <w:tcW w:w="573" w:type="pct"/>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3A2C603F" w14:textId="3DAF0F04" w:rsidR="00BF47C7" w:rsidRPr="00F66F25" w:rsidRDefault="00E328D2" w:rsidP="00F01B35">
            <w:pPr>
              <w:jc w:val="center"/>
              <w:rPr>
                <w:rFonts w:cstheme="minorHAnsi"/>
              </w:rPr>
            </w:pPr>
            <w:r w:rsidRPr="007B24B7">
              <w:t>782,110</w:t>
            </w:r>
          </w:p>
        </w:tc>
      </w:tr>
      <w:tr w:rsidR="00F0764D" w:rsidRPr="00BF47C7" w14:paraId="33EA336D" w14:textId="77777777" w:rsidTr="003F1732">
        <w:trPr>
          <w:cnfStyle w:val="000000010000" w:firstRow="0" w:lastRow="0" w:firstColumn="0" w:lastColumn="0" w:oddVBand="0" w:evenVBand="0" w:oddHBand="0" w:evenHBand="1" w:firstRowFirstColumn="0" w:firstRowLastColumn="0" w:lastRowFirstColumn="0" w:lastRowLastColumn="0"/>
          <w:trHeight w:val="300"/>
        </w:trPr>
        <w:tc>
          <w:tcPr>
            <w:tcW w:w="1565" w:type="pct"/>
            <w:tcBorders>
              <w:top w:val="single" w:sz="2" w:space="0" w:color="002279"/>
              <w:left w:val="single" w:sz="4" w:space="0" w:color="002279"/>
              <w:bottom w:val="single" w:sz="2" w:space="0" w:color="002279"/>
              <w:right w:val="single" w:sz="4" w:space="0" w:color="002279"/>
            </w:tcBorders>
            <w:shd w:val="clear" w:color="auto" w:fill="FFFFFF" w:themeFill="background1"/>
            <w:noWrap/>
            <w:hideMark/>
          </w:tcPr>
          <w:p w14:paraId="7E2518B8" w14:textId="4D22301B" w:rsidR="00BF47C7" w:rsidRPr="00F66F25" w:rsidRDefault="005F5949">
            <w:pPr>
              <w:rPr>
                <w:rFonts w:cstheme="minorHAnsi"/>
              </w:rPr>
            </w:pPr>
            <w:r w:rsidRPr="00F66F25">
              <w:rPr>
                <w:rFonts w:cstheme="minorHAnsi"/>
              </w:rPr>
              <w:t>Number of water service</w:t>
            </w:r>
            <w:r w:rsidR="008B33BF" w:rsidRPr="00F66F25">
              <w:rPr>
                <w:rFonts w:cstheme="minorHAnsi"/>
              </w:rPr>
              <w:t xml:space="preserve"> </w:t>
            </w:r>
            <w:r w:rsidRPr="00F66F25">
              <w:rPr>
                <w:rFonts w:cstheme="minorHAnsi"/>
              </w:rPr>
              <w:t xml:space="preserve">charges – </w:t>
            </w:r>
            <w:r w:rsidR="00EC1B14">
              <w:rPr>
                <w:rFonts w:cstheme="minorHAnsi"/>
              </w:rPr>
              <w:t>non-residential</w:t>
            </w:r>
          </w:p>
        </w:tc>
        <w:tc>
          <w:tcPr>
            <w:tcW w:w="572"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70323E02" w14:textId="172BDAAA" w:rsidR="00BF47C7" w:rsidRPr="00F66F25" w:rsidRDefault="00E328D2" w:rsidP="00F01B35">
            <w:pPr>
              <w:jc w:val="center"/>
              <w:rPr>
                <w:rFonts w:cstheme="minorHAnsi"/>
              </w:rPr>
            </w:pPr>
            <w:r w:rsidRPr="007B24B7">
              <w:t>55,442</w:t>
            </w:r>
          </w:p>
        </w:tc>
        <w:tc>
          <w:tcPr>
            <w:tcW w:w="572"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5281B39C" w14:textId="58C620B2" w:rsidR="00BF47C7" w:rsidRPr="00F66F25" w:rsidRDefault="00E328D2" w:rsidP="00F01B35">
            <w:pPr>
              <w:jc w:val="center"/>
              <w:rPr>
                <w:rFonts w:cstheme="minorHAnsi"/>
              </w:rPr>
            </w:pPr>
            <w:r w:rsidRPr="007B24B7">
              <w:t>55,894</w:t>
            </w:r>
          </w:p>
        </w:tc>
        <w:tc>
          <w:tcPr>
            <w:tcW w:w="573"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54D43C44" w14:textId="2E6F8178" w:rsidR="00BF47C7" w:rsidRPr="00F66F25" w:rsidRDefault="00E328D2" w:rsidP="00F01B35">
            <w:pPr>
              <w:jc w:val="center"/>
              <w:rPr>
                <w:rFonts w:cstheme="minorHAnsi"/>
              </w:rPr>
            </w:pPr>
            <w:r w:rsidRPr="007B24B7">
              <w:t>56,344</w:t>
            </w:r>
          </w:p>
        </w:tc>
        <w:tc>
          <w:tcPr>
            <w:tcW w:w="572"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6D18D950" w14:textId="0E2B6FD9" w:rsidR="00BF47C7" w:rsidRPr="00F66F25" w:rsidRDefault="00E328D2" w:rsidP="00F01B35">
            <w:pPr>
              <w:jc w:val="center"/>
              <w:rPr>
                <w:rFonts w:cstheme="minorHAnsi"/>
              </w:rPr>
            </w:pPr>
            <w:r w:rsidRPr="007B24B7">
              <w:t>56,792</w:t>
            </w:r>
          </w:p>
        </w:tc>
        <w:tc>
          <w:tcPr>
            <w:tcW w:w="572"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6D55BF61" w14:textId="31CF33CA" w:rsidR="00BF47C7" w:rsidRPr="00F66F25" w:rsidRDefault="00E328D2" w:rsidP="00F01B35">
            <w:pPr>
              <w:jc w:val="center"/>
              <w:rPr>
                <w:rFonts w:cstheme="minorHAnsi"/>
              </w:rPr>
            </w:pPr>
            <w:r w:rsidRPr="007B24B7">
              <w:t>57,341</w:t>
            </w:r>
          </w:p>
        </w:tc>
        <w:tc>
          <w:tcPr>
            <w:tcW w:w="573"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0D9BED0B" w14:textId="7DAA98AD" w:rsidR="00BF47C7" w:rsidRPr="00F66F25" w:rsidRDefault="00E328D2" w:rsidP="00F01B35">
            <w:pPr>
              <w:jc w:val="center"/>
              <w:rPr>
                <w:rFonts w:cstheme="minorHAnsi"/>
              </w:rPr>
            </w:pPr>
            <w:r w:rsidRPr="007B24B7">
              <w:t>57,990</w:t>
            </w:r>
          </w:p>
        </w:tc>
      </w:tr>
      <w:tr w:rsidR="00F0764D" w:rsidRPr="00BF47C7" w14:paraId="652A9286" w14:textId="77777777" w:rsidTr="003F1732">
        <w:trPr>
          <w:cnfStyle w:val="000000100000" w:firstRow="0" w:lastRow="0" w:firstColumn="0" w:lastColumn="0" w:oddVBand="0" w:evenVBand="0" w:oddHBand="1" w:evenHBand="0" w:firstRowFirstColumn="0" w:firstRowLastColumn="0" w:lastRowFirstColumn="0" w:lastRowLastColumn="0"/>
          <w:trHeight w:val="300"/>
        </w:trPr>
        <w:tc>
          <w:tcPr>
            <w:tcW w:w="1565" w:type="pct"/>
            <w:tcBorders>
              <w:top w:val="single" w:sz="2" w:space="0" w:color="002279"/>
              <w:left w:val="single" w:sz="4" w:space="0" w:color="002279"/>
              <w:bottom w:val="single" w:sz="2" w:space="0" w:color="002279"/>
              <w:right w:val="single" w:sz="4" w:space="0" w:color="002279"/>
            </w:tcBorders>
            <w:shd w:val="clear" w:color="auto" w:fill="D4D6DF"/>
            <w:noWrap/>
            <w:hideMark/>
          </w:tcPr>
          <w:p w14:paraId="457E1619" w14:textId="4159DA33" w:rsidR="00BF47C7" w:rsidRPr="00F66F25" w:rsidRDefault="006A5118">
            <w:pPr>
              <w:rPr>
                <w:rFonts w:cstheme="minorHAnsi"/>
              </w:rPr>
            </w:pPr>
            <w:r w:rsidRPr="00F66F25">
              <w:rPr>
                <w:rFonts w:cstheme="minorHAnsi"/>
              </w:rPr>
              <w:t>Number of sewer servic</w:t>
            </w:r>
            <w:r w:rsidR="008B33BF" w:rsidRPr="00F66F25">
              <w:rPr>
                <w:rFonts w:cstheme="minorHAnsi"/>
              </w:rPr>
              <w:t xml:space="preserve">e </w:t>
            </w:r>
            <w:r w:rsidRPr="00F66F25">
              <w:rPr>
                <w:rFonts w:cstheme="minorHAnsi"/>
              </w:rPr>
              <w:t>charges – residential</w:t>
            </w:r>
          </w:p>
        </w:tc>
        <w:tc>
          <w:tcPr>
            <w:tcW w:w="572" w:type="pct"/>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11229739" w14:textId="45E48D29" w:rsidR="00BF47C7" w:rsidRPr="00F66F25" w:rsidRDefault="00E328D2" w:rsidP="00F01B35">
            <w:pPr>
              <w:jc w:val="center"/>
              <w:rPr>
                <w:rFonts w:cstheme="minorHAnsi"/>
              </w:rPr>
            </w:pPr>
            <w:r w:rsidRPr="007B24B7">
              <w:t>710,748</w:t>
            </w:r>
          </w:p>
        </w:tc>
        <w:tc>
          <w:tcPr>
            <w:tcW w:w="572" w:type="pct"/>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77102CE3" w14:textId="10A86BFC" w:rsidR="00BF47C7" w:rsidRPr="00F66F25" w:rsidRDefault="00E328D2" w:rsidP="00F01B35">
            <w:pPr>
              <w:jc w:val="center"/>
              <w:rPr>
                <w:rFonts w:cstheme="minorHAnsi"/>
              </w:rPr>
            </w:pPr>
            <w:r w:rsidRPr="007B24B7">
              <w:t>719,657</w:t>
            </w:r>
          </w:p>
        </w:tc>
        <w:tc>
          <w:tcPr>
            <w:tcW w:w="573" w:type="pct"/>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4296EFBC" w14:textId="39060456" w:rsidR="00BF47C7" w:rsidRPr="00F66F25" w:rsidRDefault="00E328D2" w:rsidP="00F01B35">
            <w:pPr>
              <w:jc w:val="center"/>
              <w:rPr>
                <w:rFonts w:cstheme="minorHAnsi"/>
              </w:rPr>
            </w:pPr>
            <w:r w:rsidRPr="007B24B7">
              <w:t>728,565</w:t>
            </w:r>
          </w:p>
        </w:tc>
        <w:tc>
          <w:tcPr>
            <w:tcW w:w="572" w:type="pct"/>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3377CF19" w14:textId="78418301" w:rsidR="00BF47C7" w:rsidRPr="00F66F25" w:rsidRDefault="00E328D2" w:rsidP="00F01B35">
            <w:pPr>
              <w:jc w:val="center"/>
              <w:rPr>
                <w:rFonts w:cstheme="minorHAnsi"/>
              </w:rPr>
            </w:pPr>
            <w:r w:rsidRPr="007B24B7">
              <w:t>737,473</w:t>
            </w:r>
          </w:p>
        </w:tc>
        <w:tc>
          <w:tcPr>
            <w:tcW w:w="572" w:type="pct"/>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1650B6B8" w14:textId="6835BB1C" w:rsidR="00BF47C7" w:rsidRPr="00F66F25" w:rsidRDefault="00E328D2" w:rsidP="00F01B35">
            <w:pPr>
              <w:jc w:val="center"/>
              <w:rPr>
                <w:rFonts w:cstheme="minorHAnsi"/>
              </w:rPr>
            </w:pPr>
            <w:r w:rsidRPr="007B24B7">
              <w:t>748,443</w:t>
            </w:r>
          </w:p>
        </w:tc>
        <w:tc>
          <w:tcPr>
            <w:tcW w:w="573" w:type="pct"/>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317E7302" w14:textId="7F6CD866" w:rsidR="00BF47C7" w:rsidRPr="00F66F25" w:rsidRDefault="00E328D2" w:rsidP="00F01B35">
            <w:pPr>
              <w:jc w:val="center"/>
              <w:rPr>
                <w:rFonts w:cstheme="minorHAnsi"/>
              </w:rPr>
            </w:pPr>
            <w:r w:rsidRPr="007B24B7">
              <w:t>761,476</w:t>
            </w:r>
          </w:p>
        </w:tc>
      </w:tr>
      <w:tr w:rsidR="00F0764D" w:rsidRPr="00BF47C7" w14:paraId="0C9A2AE4" w14:textId="77777777" w:rsidTr="003F1732">
        <w:trPr>
          <w:cnfStyle w:val="000000010000" w:firstRow="0" w:lastRow="0" w:firstColumn="0" w:lastColumn="0" w:oddVBand="0" w:evenVBand="0" w:oddHBand="0" w:evenHBand="1" w:firstRowFirstColumn="0" w:firstRowLastColumn="0" w:lastRowFirstColumn="0" w:lastRowLastColumn="0"/>
          <w:trHeight w:val="300"/>
        </w:trPr>
        <w:tc>
          <w:tcPr>
            <w:tcW w:w="1565" w:type="pct"/>
            <w:tcBorders>
              <w:top w:val="single" w:sz="2" w:space="0" w:color="002279"/>
              <w:left w:val="single" w:sz="4" w:space="0" w:color="002279"/>
              <w:bottom w:val="single" w:sz="2" w:space="0" w:color="002279"/>
              <w:right w:val="single" w:sz="4" w:space="0" w:color="002279"/>
            </w:tcBorders>
            <w:shd w:val="clear" w:color="auto" w:fill="FFFFFF" w:themeFill="background1"/>
            <w:noWrap/>
            <w:hideMark/>
          </w:tcPr>
          <w:p w14:paraId="2F3462C2" w14:textId="407F527C" w:rsidR="00BF47C7" w:rsidRPr="00F66F25" w:rsidRDefault="00B727E2">
            <w:pPr>
              <w:rPr>
                <w:rFonts w:cstheme="minorHAnsi"/>
              </w:rPr>
            </w:pPr>
            <w:r w:rsidRPr="00F66F25">
              <w:rPr>
                <w:rFonts w:cstheme="minorHAnsi"/>
              </w:rPr>
              <w:t>Number of sewer service</w:t>
            </w:r>
            <w:r w:rsidR="008B33BF" w:rsidRPr="00F66F25">
              <w:rPr>
                <w:rFonts w:cstheme="minorHAnsi"/>
              </w:rPr>
              <w:t xml:space="preserve"> </w:t>
            </w:r>
            <w:r w:rsidRPr="00F66F25">
              <w:rPr>
                <w:rFonts w:cstheme="minorHAnsi"/>
              </w:rPr>
              <w:t xml:space="preserve">charges – </w:t>
            </w:r>
            <w:r w:rsidR="00EC1B14">
              <w:rPr>
                <w:rFonts w:cstheme="minorHAnsi"/>
              </w:rPr>
              <w:t>non-residential</w:t>
            </w:r>
          </w:p>
        </w:tc>
        <w:tc>
          <w:tcPr>
            <w:tcW w:w="572"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07BD72EA" w14:textId="1B1C3AEF" w:rsidR="00BF47C7" w:rsidRPr="00F66F25" w:rsidRDefault="00E328D2" w:rsidP="00F01B35">
            <w:pPr>
              <w:jc w:val="center"/>
              <w:rPr>
                <w:rFonts w:cstheme="minorHAnsi"/>
              </w:rPr>
            </w:pPr>
            <w:r w:rsidRPr="007B24B7">
              <w:t>50,981</w:t>
            </w:r>
          </w:p>
        </w:tc>
        <w:tc>
          <w:tcPr>
            <w:tcW w:w="572"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09EE2499" w14:textId="183FD7A2" w:rsidR="00BF47C7" w:rsidRPr="00F66F25" w:rsidRDefault="00E328D2" w:rsidP="00F01B35">
            <w:pPr>
              <w:jc w:val="center"/>
              <w:rPr>
                <w:rFonts w:cstheme="minorHAnsi"/>
              </w:rPr>
            </w:pPr>
            <w:r w:rsidRPr="007B24B7">
              <w:t>51,432</w:t>
            </w:r>
          </w:p>
        </w:tc>
        <w:tc>
          <w:tcPr>
            <w:tcW w:w="573"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0FFEADCB" w14:textId="0DBAB86F" w:rsidR="00BF47C7" w:rsidRPr="00F66F25" w:rsidRDefault="00E328D2" w:rsidP="00F01B35">
            <w:pPr>
              <w:jc w:val="center"/>
              <w:rPr>
                <w:rFonts w:cstheme="minorHAnsi"/>
              </w:rPr>
            </w:pPr>
            <w:r w:rsidRPr="007B24B7">
              <w:t>51,882</w:t>
            </w:r>
          </w:p>
        </w:tc>
        <w:tc>
          <w:tcPr>
            <w:tcW w:w="572"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385DFEAB" w14:textId="3BB562AF" w:rsidR="00BF47C7" w:rsidRPr="00F66F25" w:rsidRDefault="00E328D2" w:rsidP="00F01B35">
            <w:pPr>
              <w:jc w:val="center"/>
              <w:rPr>
                <w:rFonts w:cstheme="minorHAnsi"/>
              </w:rPr>
            </w:pPr>
            <w:r w:rsidRPr="007B24B7">
              <w:t>52,330</w:t>
            </w:r>
          </w:p>
        </w:tc>
        <w:tc>
          <w:tcPr>
            <w:tcW w:w="572"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08FFA943" w14:textId="2E09EB80" w:rsidR="00BF47C7" w:rsidRPr="00F66F25" w:rsidRDefault="00E328D2" w:rsidP="00F01B35">
            <w:pPr>
              <w:jc w:val="center"/>
              <w:rPr>
                <w:rFonts w:cstheme="minorHAnsi"/>
              </w:rPr>
            </w:pPr>
            <w:r w:rsidRPr="007B24B7">
              <w:t>52,879</w:t>
            </w:r>
          </w:p>
        </w:tc>
        <w:tc>
          <w:tcPr>
            <w:tcW w:w="573"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530D1939" w14:textId="01DC814F" w:rsidR="00BF47C7" w:rsidRPr="00F66F25" w:rsidRDefault="00E328D2" w:rsidP="00F01B35">
            <w:pPr>
              <w:jc w:val="center"/>
              <w:rPr>
                <w:rFonts w:cstheme="minorHAnsi"/>
              </w:rPr>
            </w:pPr>
            <w:r w:rsidRPr="007B24B7">
              <w:t>53,529</w:t>
            </w:r>
          </w:p>
        </w:tc>
      </w:tr>
      <w:tr w:rsidR="00F0764D" w:rsidRPr="00BF47C7" w14:paraId="292D0ABE" w14:textId="77777777" w:rsidTr="003F1732">
        <w:trPr>
          <w:cnfStyle w:val="000000100000" w:firstRow="0" w:lastRow="0" w:firstColumn="0" w:lastColumn="0" w:oddVBand="0" w:evenVBand="0" w:oddHBand="1" w:evenHBand="0" w:firstRowFirstColumn="0" w:firstRowLastColumn="0" w:lastRowFirstColumn="0" w:lastRowLastColumn="0"/>
          <w:trHeight w:val="300"/>
        </w:trPr>
        <w:tc>
          <w:tcPr>
            <w:tcW w:w="1565" w:type="pct"/>
            <w:tcBorders>
              <w:top w:val="single" w:sz="2" w:space="0" w:color="002279"/>
              <w:left w:val="single" w:sz="4" w:space="0" w:color="002279"/>
              <w:bottom w:val="single" w:sz="2" w:space="0" w:color="002279"/>
              <w:right w:val="single" w:sz="4" w:space="0" w:color="002279"/>
            </w:tcBorders>
            <w:shd w:val="clear" w:color="auto" w:fill="D4D6DF"/>
            <w:noWrap/>
            <w:hideMark/>
          </w:tcPr>
          <w:p w14:paraId="3AF65D30" w14:textId="1A5EBDED" w:rsidR="00BF47C7" w:rsidRPr="00F66F25" w:rsidRDefault="00B727E2">
            <w:pPr>
              <w:rPr>
                <w:rFonts w:cstheme="minorHAnsi"/>
              </w:rPr>
            </w:pPr>
            <w:r w:rsidRPr="00F66F25">
              <w:rPr>
                <w:rFonts w:cstheme="minorHAnsi"/>
              </w:rPr>
              <w:t>Trade waste risk rank 5</w:t>
            </w:r>
          </w:p>
        </w:tc>
        <w:tc>
          <w:tcPr>
            <w:tcW w:w="572" w:type="pct"/>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1861CFA2" w14:textId="4F23016C" w:rsidR="00BF47C7" w:rsidRPr="00F66F25" w:rsidRDefault="00BF47C7" w:rsidP="00F01B35">
            <w:pPr>
              <w:jc w:val="center"/>
              <w:rPr>
                <w:rFonts w:cstheme="minorHAnsi"/>
              </w:rPr>
            </w:pPr>
            <w:r w:rsidRPr="007B24B7">
              <w:t>8,</w:t>
            </w:r>
            <w:r w:rsidR="00E328D2" w:rsidRPr="007B24B7">
              <w:t>756</w:t>
            </w:r>
          </w:p>
        </w:tc>
        <w:tc>
          <w:tcPr>
            <w:tcW w:w="572" w:type="pct"/>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7B67417B" w14:textId="00413504" w:rsidR="00BF47C7" w:rsidRPr="00F66F25" w:rsidRDefault="00BF47C7" w:rsidP="00F01B35">
            <w:pPr>
              <w:jc w:val="center"/>
              <w:rPr>
                <w:rFonts w:cstheme="minorHAnsi"/>
              </w:rPr>
            </w:pPr>
            <w:r w:rsidRPr="007B24B7">
              <w:t>8,</w:t>
            </w:r>
            <w:r w:rsidR="00D558A7" w:rsidRPr="007B24B7">
              <w:t>833</w:t>
            </w:r>
          </w:p>
        </w:tc>
        <w:tc>
          <w:tcPr>
            <w:tcW w:w="573" w:type="pct"/>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4347FE66" w14:textId="477339BC" w:rsidR="00BF47C7" w:rsidRPr="00F66F25" w:rsidRDefault="00BF47C7" w:rsidP="00F01B35">
            <w:pPr>
              <w:jc w:val="center"/>
              <w:rPr>
                <w:rFonts w:cstheme="minorHAnsi"/>
              </w:rPr>
            </w:pPr>
            <w:r w:rsidRPr="007B24B7">
              <w:t>8,</w:t>
            </w:r>
            <w:r w:rsidR="00D558A7" w:rsidRPr="007B24B7">
              <w:t>911</w:t>
            </w:r>
          </w:p>
        </w:tc>
        <w:tc>
          <w:tcPr>
            <w:tcW w:w="572" w:type="pct"/>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3BF76C7E" w14:textId="400E2F09" w:rsidR="00BF47C7" w:rsidRPr="00F66F25" w:rsidRDefault="00BF47C7" w:rsidP="00F01B35">
            <w:pPr>
              <w:jc w:val="center"/>
              <w:rPr>
                <w:rFonts w:cstheme="minorHAnsi"/>
              </w:rPr>
            </w:pPr>
            <w:r w:rsidRPr="007B24B7">
              <w:t>8,</w:t>
            </w:r>
            <w:r w:rsidR="00D558A7" w:rsidRPr="007B24B7">
              <w:t>989</w:t>
            </w:r>
          </w:p>
        </w:tc>
        <w:tc>
          <w:tcPr>
            <w:tcW w:w="572" w:type="pct"/>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1E09E4A8" w14:textId="5F8D52BF" w:rsidR="00BF47C7" w:rsidRPr="00F66F25" w:rsidRDefault="00E328D2" w:rsidP="00F01B35">
            <w:pPr>
              <w:jc w:val="center"/>
              <w:rPr>
                <w:rFonts w:cstheme="minorHAnsi"/>
              </w:rPr>
            </w:pPr>
            <w:r w:rsidRPr="007B24B7">
              <w:t>9,</w:t>
            </w:r>
            <w:r w:rsidR="00D558A7" w:rsidRPr="007B24B7">
              <w:t>103</w:t>
            </w:r>
          </w:p>
        </w:tc>
        <w:tc>
          <w:tcPr>
            <w:tcW w:w="573" w:type="pct"/>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7C95D46C" w14:textId="2EE0289A" w:rsidR="00BF47C7" w:rsidRPr="00F66F25" w:rsidRDefault="00BF47C7" w:rsidP="00F01B35">
            <w:pPr>
              <w:jc w:val="center"/>
              <w:rPr>
                <w:rFonts w:cstheme="minorHAnsi"/>
              </w:rPr>
            </w:pPr>
            <w:r w:rsidRPr="007B24B7">
              <w:t>9,</w:t>
            </w:r>
            <w:r w:rsidR="00D558A7" w:rsidRPr="007B24B7">
              <w:t>217</w:t>
            </w:r>
          </w:p>
        </w:tc>
      </w:tr>
      <w:tr w:rsidR="00F0764D" w:rsidRPr="00BF47C7" w14:paraId="49CD9357" w14:textId="77777777" w:rsidTr="003F1732">
        <w:trPr>
          <w:cnfStyle w:val="000000010000" w:firstRow="0" w:lastRow="0" w:firstColumn="0" w:lastColumn="0" w:oddVBand="0" w:evenVBand="0" w:oddHBand="0" w:evenHBand="1" w:firstRowFirstColumn="0" w:firstRowLastColumn="0" w:lastRowFirstColumn="0" w:lastRowLastColumn="0"/>
          <w:trHeight w:val="300"/>
        </w:trPr>
        <w:tc>
          <w:tcPr>
            <w:tcW w:w="1565" w:type="pct"/>
            <w:tcBorders>
              <w:top w:val="single" w:sz="2" w:space="0" w:color="002279"/>
              <w:left w:val="single" w:sz="4" w:space="0" w:color="002279"/>
              <w:bottom w:val="single" w:sz="2" w:space="0" w:color="002279"/>
              <w:right w:val="single" w:sz="4" w:space="0" w:color="002279"/>
            </w:tcBorders>
            <w:shd w:val="clear" w:color="auto" w:fill="FFFFFF" w:themeFill="background1"/>
            <w:noWrap/>
            <w:hideMark/>
          </w:tcPr>
          <w:p w14:paraId="1953414C" w14:textId="6B24E8C8" w:rsidR="00BF47C7" w:rsidRPr="00F66F25" w:rsidRDefault="00B727E2">
            <w:pPr>
              <w:rPr>
                <w:rFonts w:cstheme="minorHAnsi"/>
              </w:rPr>
            </w:pPr>
            <w:r w:rsidRPr="00F66F25">
              <w:rPr>
                <w:rFonts w:cstheme="minorHAnsi"/>
              </w:rPr>
              <w:t>Trade waste risk rank 4</w:t>
            </w:r>
          </w:p>
        </w:tc>
        <w:tc>
          <w:tcPr>
            <w:tcW w:w="572"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29FCD282" w14:textId="506C1A39" w:rsidR="00BF47C7" w:rsidRPr="00F66F25" w:rsidRDefault="00E328D2" w:rsidP="00F01B35">
            <w:pPr>
              <w:jc w:val="center"/>
              <w:rPr>
                <w:rFonts w:cstheme="minorHAnsi"/>
              </w:rPr>
            </w:pPr>
            <w:r w:rsidRPr="007B24B7">
              <w:t>196</w:t>
            </w:r>
          </w:p>
        </w:tc>
        <w:tc>
          <w:tcPr>
            <w:tcW w:w="572"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63248D28" w14:textId="785BC6D5" w:rsidR="00BF47C7" w:rsidRPr="00F66F25" w:rsidRDefault="00E328D2" w:rsidP="00F01B35">
            <w:pPr>
              <w:jc w:val="center"/>
              <w:rPr>
                <w:rFonts w:cstheme="minorHAnsi"/>
              </w:rPr>
            </w:pPr>
            <w:r w:rsidRPr="007B24B7">
              <w:t>197</w:t>
            </w:r>
          </w:p>
        </w:tc>
        <w:tc>
          <w:tcPr>
            <w:tcW w:w="573"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0C481FC3" w14:textId="2178F088" w:rsidR="00BF47C7" w:rsidRPr="00F66F25" w:rsidRDefault="00E328D2" w:rsidP="00F01B35">
            <w:pPr>
              <w:jc w:val="center"/>
              <w:rPr>
                <w:rFonts w:cstheme="minorHAnsi"/>
              </w:rPr>
            </w:pPr>
            <w:r w:rsidRPr="007B24B7">
              <w:t>197</w:t>
            </w:r>
          </w:p>
        </w:tc>
        <w:tc>
          <w:tcPr>
            <w:tcW w:w="572"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45F7225A" w14:textId="03A23D7F" w:rsidR="00BF47C7" w:rsidRPr="00F66F25" w:rsidRDefault="00BF47C7" w:rsidP="00F01B35">
            <w:pPr>
              <w:jc w:val="center"/>
              <w:rPr>
                <w:rFonts w:cstheme="minorHAnsi"/>
              </w:rPr>
            </w:pPr>
            <w:r w:rsidRPr="007B24B7">
              <w:t>198</w:t>
            </w:r>
          </w:p>
        </w:tc>
        <w:tc>
          <w:tcPr>
            <w:tcW w:w="572"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34EDBE79" w14:textId="50F1E008" w:rsidR="00BF47C7" w:rsidRPr="00F66F25" w:rsidRDefault="00E328D2" w:rsidP="00F01B35">
            <w:pPr>
              <w:jc w:val="center"/>
              <w:rPr>
                <w:rFonts w:cstheme="minorHAnsi"/>
              </w:rPr>
            </w:pPr>
            <w:r w:rsidRPr="007B24B7">
              <w:t>198</w:t>
            </w:r>
          </w:p>
        </w:tc>
        <w:tc>
          <w:tcPr>
            <w:tcW w:w="573"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1FB0F164" w14:textId="47FB258A" w:rsidR="00BF47C7" w:rsidRPr="00F66F25" w:rsidRDefault="00E328D2" w:rsidP="00F01B35">
            <w:pPr>
              <w:jc w:val="center"/>
              <w:rPr>
                <w:rFonts w:cstheme="minorHAnsi"/>
              </w:rPr>
            </w:pPr>
            <w:r w:rsidRPr="007B24B7">
              <w:t>199</w:t>
            </w:r>
          </w:p>
        </w:tc>
      </w:tr>
      <w:tr w:rsidR="00F0764D" w:rsidRPr="00BF47C7" w14:paraId="0F9AA9E4" w14:textId="77777777" w:rsidTr="003F1732">
        <w:trPr>
          <w:cnfStyle w:val="000000100000" w:firstRow="0" w:lastRow="0" w:firstColumn="0" w:lastColumn="0" w:oddVBand="0" w:evenVBand="0" w:oddHBand="1" w:evenHBand="0" w:firstRowFirstColumn="0" w:firstRowLastColumn="0" w:lastRowFirstColumn="0" w:lastRowLastColumn="0"/>
          <w:trHeight w:val="300"/>
        </w:trPr>
        <w:tc>
          <w:tcPr>
            <w:tcW w:w="1565" w:type="pct"/>
            <w:tcBorders>
              <w:top w:val="single" w:sz="2" w:space="0" w:color="002279"/>
              <w:left w:val="single" w:sz="4" w:space="0" w:color="002279"/>
              <w:bottom w:val="single" w:sz="2" w:space="0" w:color="002279"/>
              <w:right w:val="single" w:sz="4" w:space="0" w:color="002279"/>
            </w:tcBorders>
            <w:shd w:val="clear" w:color="auto" w:fill="D4D6DF"/>
            <w:noWrap/>
            <w:hideMark/>
          </w:tcPr>
          <w:p w14:paraId="3D622981" w14:textId="7C387F9D" w:rsidR="00BF47C7" w:rsidRPr="00F66F25" w:rsidRDefault="00B727E2">
            <w:pPr>
              <w:rPr>
                <w:rFonts w:cstheme="minorHAnsi"/>
              </w:rPr>
            </w:pPr>
            <w:r w:rsidRPr="00F66F25">
              <w:rPr>
                <w:rFonts w:cstheme="minorHAnsi"/>
              </w:rPr>
              <w:t>Trade waste risk rank 3</w:t>
            </w:r>
          </w:p>
        </w:tc>
        <w:tc>
          <w:tcPr>
            <w:tcW w:w="572" w:type="pct"/>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79DF0C22" w14:textId="6252DA2E" w:rsidR="00BF47C7" w:rsidRPr="00F66F25" w:rsidRDefault="00E328D2" w:rsidP="00F01B35">
            <w:pPr>
              <w:jc w:val="center"/>
              <w:rPr>
                <w:rFonts w:cstheme="minorHAnsi"/>
              </w:rPr>
            </w:pPr>
            <w:r w:rsidRPr="007B24B7">
              <w:t>99</w:t>
            </w:r>
          </w:p>
        </w:tc>
        <w:tc>
          <w:tcPr>
            <w:tcW w:w="572" w:type="pct"/>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7CE15F1F" w14:textId="6486B720" w:rsidR="00BF47C7" w:rsidRPr="00F66F25" w:rsidRDefault="00E328D2" w:rsidP="00F01B35">
            <w:pPr>
              <w:jc w:val="center"/>
              <w:rPr>
                <w:rFonts w:cstheme="minorHAnsi"/>
              </w:rPr>
            </w:pPr>
            <w:r w:rsidRPr="007B24B7">
              <w:t>101</w:t>
            </w:r>
          </w:p>
        </w:tc>
        <w:tc>
          <w:tcPr>
            <w:tcW w:w="573" w:type="pct"/>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6D0B2251" w14:textId="7C1F98CD" w:rsidR="00BF47C7" w:rsidRPr="00F66F25" w:rsidRDefault="00D558A7" w:rsidP="00F01B35">
            <w:pPr>
              <w:jc w:val="center"/>
              <w:rPr>
                <w:rFonts w:cstheme="minorHAnsi"/>
              </w:rPr>
            </w:pPr>
            <w:r w:rsidRPr="007B24B7">
              <w:t>102</w:t>
            </w:r>
          </w:p>
        </w:tc>
        <w:tc>
          <w:tcPr>
            <w:tcW w:w="572" w:type="pct"/>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5F307995" w14:textId="28F9FC2D" w:rsidR="00BF47C7" w:rsidRPr="00F66F25" w:rsidRDefault="00E328D2" w:rsidP="00F01B35">
            <w:pPr>
              <w:jc w:val="center"/>
              <w:rPr>
                <w:rFonts w:cstheme="minorHAnsi"/>
              </w:rPr>
            </w:pPr>
            <w:r w:rsidRPr="007B24B7">
              <w:t>104</w:t>
            </w:r>
          </w:p>
        </w:tc>
        <w:tc>
          <w:tcPr>
            <w:tcW w:w="572" w:type="pct"/>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61B52238" w14:textId="1906B7C2" w:rsidR="00BF47C7" w:rsidRPr="00F66F25" w:rsidRDefault="00D558A7" w:rsidP="00F01B35">
            <w:pPr>
              <w:jc w:val="center"/>
              <w:rPr>
                <w:rFonts w:cstheme="minorHAnsi"/>
              </w:rPr>
            </w:pPr>
            <w:r w:rsidRPr="007B24B7">
              <w:t>106</w:t>
            </w:r>
          </w:p>
        </w:tc>
        <w:tc>
          <w:tcPr>
            <w:tcW w:w="573" w:type="pct"/>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7CEE970E" w14:textId="5401DF86" w:rsidR="00BF47C7" w:rsidRPr="00F66F25" w:rsidRDefault="00E328D2" w:rsidP="00F01B35">
            <w:pPr>
              <w:jc w:val="center"/>
              <w:rPr>
                <w:rFonts w:cstheme="minorHAnsi"/>
              </w:rPr>
            </w:pPr>
            <w:r w:rsidRPr="007B24B7">
              <w:t>109</w:t>
            </w:r>
          </w:p>
        </w:tc>
      </w:tr>
      <w:tr w:rsidR="00F0764D" w:rsidRPr="00BF47C7" w14:paraId="1BBB981F" w14:textId="77777777" w:rsidTr="003F1732">
        <w:trPr>
          <w:cnfStyle w:val="000000010000" w:firstRow="0" w:lastRow="0" w:firstColumn="0" w:lastColumn="0" w:oddVBand="0" w:evenVBand="0" w:oddHBand="0" w:evenHBand="1" w:firstRowFirstColumn="0" w:firstRowLastColumn="0" w:lastRowFirstColumn="0" w:lastRowLastColumn="0"/>
          <w:trHeight w:val="300"/>
        </w:trPr>
        <w:tc>
          <w:tcPr>
            <w:tcW w:w="1565" w:type="pct"/>
            <w:tcBorders>
              <w:top w:val="single" w:sz="2" w:space="0" w:color="002279"/>
              <w:left w:val="single" w:sz="4" w:space="0" w:color="002279"/>
              <w:bottom w:val="single" w:sz="2" w:space="0" w:color="002279"/>
              <w:right w:val="single" w:sz="4" w:space="0" w:color="002279"/>
            </w:tcBorders>
            <w:shd w:val="clear" w:color="auto" w:fill="FFFFFF" w:themeFill="background1"/>
            <w:noWrap/>
            <w:hideMark/>
          </w:tcPr>
          <w:p w14:paraId="174DA7DD" w14:textId="120D66EA" w:rsidR="00BF47C7" w:rsidRPr="00F66F25" w:rsidRDefault="00C12E5D">
            <w:pPr>
              <w:rPr>
                <w:rFonts w:cstheme="minorHAnsi"/>
              </w:rPr>
            </w:pPr>
            <w:r w:rsidRPr="00F66F25">
              <w:rPr>
                <w:rFonts w:cstheme="minorHAnsi"/>
              </w:rPr>
              <w:t>Trade waste risk rank 2</w:t>
            </w:r>
          </w:p>
        </w:tc>
        <w:tc>
          <w:tcPr>
            <w:tcW w:w="572"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192D8335" w14:textId="3D0B94BA" w:rsidR="00BF47C7" w:rsidRPr="00F66F25" w:rsidRDefault="00BF47C7" w:rsidP="00F01B35">
            <w:pPr>
              <w:jc w:val="center"/>
              <w:rPr>
                <w:rFonts w:cstheme="minorHAnsi"/>
              </w:rPr>
            </w:pPr>
            <w:r w:rsidRPr="007B24B7">
              <w:t>32</w:t>
            </w:r>
          </w:p>
        </w:tc>
        <w:tc>
          <w:tcPr>
            <w:tcW w:w="572"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020F4B65" w14:textId="6C8D81BC" w:rsidR="00BF47C7" w:rsidRPr="00F66F25" w:rsidRDefault="00E328D2" w:rsidP="00F01B35">
            <w:pPr>
              <w:jc w:val="center"/>
              <w:rPr>
                <w:rFonts w:cstheme="minorHAnsi"/>
              </w:rPr>
            </w:pPr>
            <w:r w:rsidRPr="007B24B7">
              <w:t>32</w:t>
            </w:r>
          </w:p>
        </w:tc>
        <w:tc>
          <w:tcPr>
            <w:tcW w:w="573"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1FCC0B94" w14:textId="04F4D618" w:rsidR="00BF47C7" w:rsidRPr="00F66F25" w:rsidRDefault="00BF47C7" w:rsidP="00F01B35">
            <w:pPr>
              <w:jc w:val="center"/>
              <w:rPr>
                <w:rFonts w:cstheme="minorHAnsi"/>
              </w:rPr>
            </w:pPr>
            <w:r w:rsidRPr="007B24B7">
              <w:t>33</w:t>
            </w:r>
          </w:p>
        </w:tc>
        <w:tc>
          <w:tcPr>
            <w:tcW w:w="572"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71E4F4D9" w14:textId="28E42FF8" w:rsidR="00BF47C7" w:rsidRPr="00F66F25" w:rsidRDefault="00E328D2" w:rsidP="00F01B35">
            <w:pPr>
              <w:jc w:val="center"/>
              <w:rPr>
                <w:rFonts w:cstheme="minorHAnsi"/>
              </w:rPr>
            </w:pPr>
            <w:r w:rsidRPr="007B24B7">
              <w:t>33</w:t>
            </w:r>
          </w:p>
        </w:tc>
        <w:tc>
          <w:tcPr>
            <w:tcW w:w="572"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77920FA1" w14:textId="0BC37F56" w:rsidR="00BF47C7" w:rsidRPr="00F66F25" w:rsidRDefault="00BF47C7" w:rsidP="00F01B35">
            <w:pPr>
              <w:jc w:val="center"/>
              <w:rPr>
                <w:rFonts w:cstheme="minorHAnsi"/>
              </w:rPr>
            </w:pPr>
            <w:r w:rsidRPr="007B24B7">
              <w:t>34</w:t>
            </w:r>
          </w:p>
        </w:tc>
        <w:tc>
          <w:tcPr>
            <w:tcW w:w="573"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396E9BC9" w14:textId="12193819" w:rsidR="00BF47C7" w:rsidRPr="00F66F25" w:rsidRDefault="00E328D2" w:rsidP="00F01B35">
            <w:pPr>
              <w:jc w:val="center"/>
              <w:rPr>
                <w:rFonts w:cstheme="minorHAnsi"/>
              </w:rPr>
            </w:pPr>
            <w:r w:rsidRPr="007B24B7">
              <w:t>34</w:t>
            </w:r>
          </w:p>
        </w:tc>
      </w:tr>
      <w:tr w:rsidR="00F0764D" w:rsidRPr="00BF47C7" w14:paraId="5912EF7A" w14:textId="77777777" w:rsidTr="003F1732">
        <w:trPr>
          <w:cnfStyle w:val="000000100000" w:firstRow="0" w:lastRow="0" w:firstColumn="0" w:lastColumn="0" w:oddVBand="0" w:evenVBand="0" w:oddHBand="1" w:evenHBand="0" w:firstRowFirstColumn="0" w:firstRowLastColumn="0" w:lastRowFirstColumn="0" w:lastRowLastColumn="0"/>
          <w:trHeight w:val="300"/>
        </w:trPr>
        <w:tc>
          <w:tcPr>
            <w:tcW w:w="1565" w:type="pct"/>
            <w:tcBorders>
              <w:top w:val="single" w:sz="2" w:space="0" w:color="002279"/>
              <w:left w:val="single" w:sz="4" w:space="0" w:color="002279"/>
              <w:bottom w:val="single" w:sz="2" w:space="0" w:color="002279"/>
              <w:right w:val="single" w:sz="4" w:space="0" w:color="002279"/>
            </w:tcBorders>
            <w:shd w:val="clear" w:color="auto" w:fill="D4D6DF"/>
            <w:noWrap/>
            <w:hideMark/>
          </w:tcPr>
          <w:p w14:paraId="23EFE635" w14:textId="7C100E6C" w:rsidR="00BF47C7" w:rsidRPr="00F66F25" w:rsidRDefault="00C12E5D">
            <w:pPr>
              <w:rPr>
                <w:rFonts w:cstheme="minorHAnsi"/>
              </w:rPr>
            </w:pPr>
            <w:r w:rsidRPr="00F66F25">
              <w:rPr>
                <w:rFonts w:cstheme="minorHAnsi"/>
              </w:rPr>
              <w:t>Trade waste risk rank 1</w:t>
            </w:r>
          </w:p>
        </w:tc>
        <w:tc>
          <w:tcPr>
            <w:tcW w:w="572" w:type="pct"/>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455F39B3" w14:textId="7C7AC443" w:rsidR="00BF47C7" w:rsidRPr="00F66F25" w:rsidRDefault="00E328D2" w:rsidP="00F01B35">
            <w:pPr>
              <w:jc w:val="center"/>
              <w:rPr>
                <w:rFonts w:cstheme="minorHAnsi"/>
              </w:rPr>
            </w:pPr>
            <w:r w:rsidRPr="007B24B7">
              <w:t>25</w:t>
            </w:r>
          </w:p>
        </w:tc>
        <w:tc>
          <w:tcPr>
            <w:tcW w:w="572" w:type="pct"/>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71355593" w14:textId="77E659E5" w:rsidR="00BF47C7" w:rsidRPr="00F66F25" w:rsidRDefault="00E328D2" w:rsidP="00F01B35">
            <w:pPr>
              <w:jc w:val="center"/>
              <w:rPr>
                <w:rFonts w:cstheme="minorHAnsi"/>
              </w:rPr>
            </w:pPr>
            <w:r w:rsidRPr="007B24B7">
              <w:t>25</w:t>
            </w:r>
          </w:p>
        </w:tc>
        <w:tc>
          <w:tcPr>
            <w:tcW w:w="573" w:type="pct"/>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2620E888" w14:textId="19C3FAF5" w:rsidR="00BF47C7" w:rsidRPr="00F66F25" w:rsidRDefault="00E328D2" w:rsidP="00F01B35">
            <w:pPr>
              <w:jc w:val="center"/>
              <w:rPr>
                <w:rFonts w:cstheme="minorHAnsi"/>
              </w:rPr>
            </w:pPr>
            <w:r w:rsidRPr="007B24B7">
              <w:t>25</w:t>
            </w:r>
          </w:p>
        </w:tc>
        <w:tc>
          <w:tcPr>
            <w:tcW w:w="572" w:type="pct"/>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57857442" w14:textId="46030108" w:rsidR="00BF47C7" w:rsidRPr="00F66F25" w:rsidRDefault="00E328D2" w:rsidP="00F01B35">
            <w:pPr>
              <w:jc w:val="center"/>
              <w:rPr>
                <w:rFonts w:cstheme="minorHAnsi"/>
              </w:rPr>
            </w:pPr>
            <w:r w:rsidRPr="007B24B7">
              <w:t>25</w:t>
            </w:r>
          </w:p>
        </w:tc>
        <w:tc>
          <w:tcPr>
            <w:tcW w:w="572" w:type="pct"/>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35C9F36D" w14:textId="742775ED" w:rsidR="00BF47C7" w:rsidRPr="00F66F25" w:rsidRDefault="00E328D2" w:rsidP="00F01B35">
            <w:pPr>
              <w:jc w:val="center"/>
              <w:rPr>
                <w:rFonts w:cstheme="minorHAnsi"/>
              </w:rPr>
            </w:pPr>
            <w:r w:rsidRPr="007B24B7">
              <w:t>26</w:t>
            </w:r>
          </w:p>
        </w:tc>
        <w:tc>
          <w:tcPr>
            <w:tcW w:w="573" w:type="pct"/>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1F8C6235" w14:textId="4DFFB47A" w:rsidR="00BF47C7" w:rsidRPr="00F66F25" w:rsidRDefault="00E328D2" w:rsidP="00F01B35">
            <w:pPr>
              <w:jc w:val="center"/>
              <w:rPr>
                <w:rFonts w:cstheme="minorHAnsi"/>
              </w:rPr>
            </w:pPr>
            <w:r w:rsidRPr="007B24B7">
              <w:t>26</w:t>
            </w:r>
          </w:p>
        </w:tc>
      </w:tr>
      <w:tr w:rsidR="00F0764D" w:rsidRPr="00BF47C7" w14:paraId="327C4691" w14:textId="77777777" w:rsidTr="003F1732">
        <w:trPr>
          <w:cnfStyle w:val="000000010000" w:firstRow="0" w:lastRow="0" w:firstColumn="0" w:lastColumn="0" w:oddVBand="0" w:evenVBand="0" w:oddHBand="0" w:evenHBand="1" w:firstRowFirstColumn="0" w:firstRowLastColumn="0" w:lastRowFirstColumn="0" w:lastRowLastColumn="0"/>
          <w:trHeight w:val="300"/>
        </w:trPr>
        <w:tc>
          <w:tcPr>
            <w:tcW w:w="1565" w:type="pct"/>
            <w:tcBorders>
              <w:top w:val="single" w:sz="2" w:space="0" w:color="002279"/>
              <w:left w:val="single" w:sz="4" w:space="0" w:color="002279"/>
              <w:bottom w:val="single" w:sz="2" w:space="0" w:color="002279"/>
              <w:right w:val="single" w:sz="4" w:space="0" w:color="002279"/>
            </w:tcBorders>
            <w:shd w:val="clear" w:color="auto" w:fill="FFFFFF" w:themeFill="background1"/>
            <w:noWrap/>
            <w:hideMark/>
          </w:tcPr>
          <w:p w14:paraId="5BFA50D0" w14:textId="69A01BD4" w:rsidR="00BF47C7" w:rsidRPr="00F66F25" w:rsidRDefault="008B33BF">
            <w:pPr>
              <w:rPr>
                <w:rFonts w:cstheme="minorHAnsi"/>
              </w:rPr>
            </w:pPr>
            <w:r w:rsidRPr="00F66F25">
              <w:rPr>
                <w:rFonts w:cstheme="minorHAnsi"/>
              </w:rPr>
              <w:t>Bunyip water service charges – residential</w:t>
            </w:r>
          </w:p>
        </w:tc>
        <w:tc>
          <w:tcPr>
            <w:tcW w:w="572"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2CFB236A" w14:textId="62589245" w:rsidR="00BF47C7" w:rsidRPr="00F66F25" w:rsidRDefault="00E328D2" w:rsidP="00F01B35">
            <w:pPr>
              <w:jc w:val="center"/>
              <w:rPr>
                <w:rFonts w:cstheme="minorHAnsi"/>
              </w:rPr>
            </w:pPr>
            <w:r w:rsidRPr="007B24B7">
              <w:t>198</w:t>
            </w:r>
          </w:p>
        </w:tc>
        <w:tc>
          <w:tcPr>
            <w:tcW w:w="572"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398A69E8" w14:textId="712F987D" w:rsidR="00BF47C7" w:rsidRPr="00F66F25" w:rsidRDefault="00E328D2" w:rsidP="00F01B35">
            <w:pPr>
              <w:jc w:val="center"/>
              <w:rPr>
                <w:rFonts w:cstheme="minorHAnsi"/>
              </w:rPr>
            </w:pPr>
            <w:r w:rsidRPr="007B24B7">
              <w:t>198</w:t>
            </w:r>
          </w:p>
        </w:tc>
        <w:tc>
          <w:tcPr>
            <w:tcW w:w="573"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0E0DBF4D" w14:textId="12857C7F" w:rsidR="00BF47C7" w:rsidRPr="00F66F25" w:rsidRDefault="00E328D2" w:rsidP="00F01B35">
            <w:pPr>
              <w:jc w:val="center"/>
              <w:rPr>
                <w:rFonts w:cstheme="minorHAnsi"/>
              </w:rPr>
            </w:pPr>
            <w:r w:rsidRPr="007B24B7">
              <w:t>198</w:t>
            </w:r>
          </w:p>
        </w:tc>
        <w:tc>
          <w:tcPr>
            <w:tcW w:w="572"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4070B488" w14:textId="46E1828B" w:rsidR="00BF47C7" w:rsidRPr="00F66F25" w:rsidRDefault="00E328D2" w:rsidP="00F01B35">
            <w:pPr>
              <w:jc w:val="center"/>
              <w:rPr>
                <w:rFonts w:cstheme="minorHAnsi"/>
              </w:rPr>
            </w:pPr>
            <w:r w:rsidRPr="007B24B7">
              <w:t>198</w:t>
            </w:r>
          </w:p>
        </w:tc>
        <w:tc>
          <w:tcPr>
            <w:tcW w:w="572"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3ECA8ACA" w14:textId="18529B7F" w:rsidR="00BF47C7" w:rsidRPr="00F66F25" w:rsidRDefault="00E328D2" w:rsidP="00F01B35">
            <w:pPr>
              <w:jc w:val="center"/>
              <w:rPr>
                <w:rFonts w:cstheme="minorHAnsi"/>
              </w:rPr>
            </w:pPr>
            <w:r w:rsidRPr="007B24B7">
              <w:t>198</w:t>
            </w:r>
          </w:p>
        </w:tc>
        <w:tc>
          <w:tcPr>
            <w:tcW w:w="573"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7B3B48DC" w14:textId="649B6782" w:rsidR="00BF47C7" w:rsidRPr="00F66F25" w:rsidRDefault="00E328D2" w:rsidP="00F01B35">
            <w:pPr>
              <w:jc w:val="center"/>
              <w:rPr>
                <w:rFonts w:cstheme="minorHAnsi"/>
              </w:rPr>
            </w:pPr>
            <w:r w:rsidRPr="007B24B7">
              <w:t>198</w:t>
            </w:r>
          </w:p>
        </w:tc>
      </w:tr>
      <w:tr w:rsidR="00F0764D" w:rsidRPr="00BF47C7" w14:paraId="5D47731E" w14:textId="77777777" w:rsidTr="003F1732">
        <w:trPr>
          <w:cnfStyle w:val="000000100000" w:firstRow="0" w:lastRow="0" w:firstColumn="0" w:lastColumn="0" w:oddVBand="0" w:evenVBand="0" w:oddHBand="1" w:evenHBand="0" w:firstRowFirstColumn="0" w:firstRowLastColumn="0" w:lastRowFirstColumn="0" w:lastRowLastColumn="0"/>
          <w:trHeight w:val="300"/>
        </w:trPr>
        <w:tc>
          <w:tcPr>
            <w:tcW w:w="1565" w:type="pct"/>
            <w:tcBorders>
              <w:top w:val="single" w:sz="2" w:space="0" w:color="002279"/>
              <w:left w:val="single" w:sz="4" w:space="0" w:color="002279"/>
              <w:bottom w:val="single" w:sz="2" w:space="0" w:color="002279"/>
              <w:right w:val="single" w:sz="4" w:space="0" w:color="002279"/>
            </w:tcBorders>
            <w:shd w:val="clear" w:color="auto" w:fill="D4D6DF"/>
            <w:noWrap/>
            <w:hideMark/>
          </w:tcPr>
          <w:p w14:paraId="10B8D1F4" w14:textId="58101497" w:rsidR="00BF47C7" w:rsidRPr="00F66F25" w:rsidRDefault="008B33BF">
            <w:pPr>
              <w:rPr>
                <w:rFonts w:cstheme="minorHAnsi"/>
              </w:rPr>
            </w:pPr>
            <w:r w:rsidRPr="00F66F25">
              <w:rPr>
                <w:rFonts w:cstheme="minorHAnsi"/>
              </w:rPr>
              <w:t>Bunyip water service charges – business</w:t>
            </w:r>
          </w:p>
        </w:tc>
        <w:tc>
          <w:tcPr>
            <w:tcW w:w="572" w:type="pct"/>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1D5B3C0F" w14:textId="2EAF349E" w:rsidR="00BF47C7" w:rsidRPr="00F66F25" w:rsidRDefault="00E328D2" w:rsidP="00F01B35">
            <w:pPr>
              <w:jc w:val="center"/>
              <w:rPr>
                <w:rFonts w:cstheme="minorHAnsi"/>
              </w:rPr>
            </w:pPr>
            <w:r w:rsidRPr="007B24B7">
              <w:t>110</w:t>
            </w:r>
          </w:p>
        </w:tc>
        <w:tc>
          <w:tcPr>
            <w:tcW w:w="572" w:type="pct"/>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501BCAB0" w14:textId="2C9E7FC5" w:rsidR="00BF47C7" w:rsidRPr="00F66F25" w:rsidRDefault="00E328D2" w:rsidP="00F01B35">
            <w:pPr>
              <w:jc w:val="center"/>
              <w:rPr>
                <w:rFonts w:cstheme="minorHAnsi"/>
              </w:rPr>
            </w:pPr>
            <w:r w:rsidRPr="007B24B7">
              <w:t>110</w:t>
            </w:r>
          </w:p>
        </w:tc>
        <w:tc>
          <w:tcPr>
            <w:tcW w:w="573" w:type="pct"/>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553BA777" w14:textId="0ECFF87A" w:rsidR="00BF47C7" w:rsidRPr="00F66F25" w:rsidRDefault="00E328D2" w:rsidP="00F01B35">
            <w:pPr>
              <w:jc w:val="center"/>
              <w:rPr>
                <w:rFonts w:cstheme="minorHAnsi"/>
              </w:rPr>
            </w:pPr>
            <w:r w:rsidRPr="007B24B7">
              <w:t>110</w:t>
            </w:r>
          </w:p>
        </w:tc>
        <w:tc>
          <w:tcPr>
            <w:tcW w:w="572" w:type="pct"/>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6C945ECA" w14:textId="42B1438A" w:rsidR="00BF47C7" w:rsidRPr="00F66F25" w:rsidRDefault="00E328D2" w:rsidP="00F01B35">
            <w:pPr>
              <w:jc w:val="center"/>
              <w:rPr>
                <w:rFonts w:cstheme="minorHAnsi"/>
              </w:rPr>
            </w:pPr>
            <w:r w:rsidRPr="007B24B7">
              <w:t>110</w:t>
            </w:r>
          </w:p>
        </w:tc>
        <w:tc>
          <w:tcPr>
            <w:tcW w:w="572" w:type="pct"/>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13054E11" w14:textId="28E689F1" w:rsidR="00BF47C7" w:rsidRPr="00F66F25" w:rsidRDefault="00E328D2" w:rsidP="00F01B35">
            <w:pPr>
              <w:jc w:val="center"/>
              <w:rPr>
                <w:rFonts w:cstheme="minorHAnsi"/>
              </w:rPr>
            </w:pPr>
            <w:r w:rsidRPr="007B24B7">
              <w:t>110</w:t>
            </w:r>
          </w:p>
        </w:tc>
        <w:tc>
          <w:tcPr>
            <w:tcW w:w="573" w:type="pct"/>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4D909E31" w14:textId="44CABBA0" w:rsidR="00BF47C7" w:rsidRPr="00F66F25" w:rsidRDefault="00E328D2" w:rsidP="00F01B35">
            <w:pPr>
              <w:jc w:val="center"/>
              <w:rPr>
                <w:rFonts w:cstheme="minorHAnsi"/>
              </w:rPr>
            </w:pPr>
            <w:r w:rsidRPr="007B24B7">
              <w:t>110</w:t>
            </w:r>
          </w:p>
        </w:tc>
      </w:tr>
      <w:tr w:rsidR="00F0764D" w:rsidRPr="00BF47C7" w14:paraId="65349834" w14:textId="77777777" w:rsidTr="003F1732">
        <w:trPr>
          <w:cnfStyle w:val="000000010000" w:firstRow="0" w:lastRow="0" w:firstColumn="0" w:lastColumn="0" w:oddVBand="0" w:evenVBand="0" w:oddHBand="0" w:evenHBand="1" w:firstRowFirstColumn="0" w:firstRowLastColumn="0" w:lastRowFirstColumn="0" w:lastRowLastColumn="0"/>
          <w:trHeight w:val="300"/>
        </w:trPr>
        <w:tc>
          <w:tcPr>
            <w:tcW w:w="1565" w:type="pct"/>
            <w:tcBorders>
              <w:top w:val="single" w:sz="2" w:space="0" w:color="002279"/>
              <w:left w:val="single" w:sz="4" w:space="0" w:color="002279"/>
              <w:bottom w:val="single" w:sz="4" w:space="0" w:color="002279"/>
              <w:right w:val="single" w:sz="4" w:space="0" w:color="002279"/>
            </w:tcBorders>
            <w:shd w:val="clear" w:color="auto" w:fill="FFFFFF" w:themeFill="background1"/>
            <w:noWrap/>
            <w:hideMark/>
          </w:tcPr>
          <w:p w14:paraId="5F7A7798" w14:textId="22A794D6" w:rsidR="00BF47C7" w:rsidRPr="00F66F25" w:rsidRDefault="00A07329">
            <w:pPr>
              <w:rPr>
                <w:rFonts w:cstheme="minorHAnsi"/>
              </w:rPr>
            </w:pPr>
            <w:r w:rsidRPr="00F66F25">
              <w:rPr>
                <w:rFonts w:cstheme="minorHAnsi"/>
              </w:rPr>
              <w:t>Fire service water service charges</w:t>
            </w:r>
          </w:p>
        </w:tc>
        <w:tc>
          <w:tcPr>
            <w:tcW w:w="572" w:type="pct"/>
            <w:tcBorders>
              <w:top w:val="single" w:sz="2" w:space="0" w:color="002279"/>
              <w:left w:val="single" w:sz="4" w:space="0" w:color="002279"/>
              <w:bottom w:val="single" w:sz="4" w:space="0" w:color="002279"/>
              <w:right w:val="single" w:sz="4" w:space="0" w:color="002279"/>
            </w:tcBorders>
            <w:shd w:val="clear" w:color="auto" w:fill="FFFFFF" w:themeFill="background1"/>
            <w:noWrap/>
            <w:vAlign w:val="center"/>
            <w:hideMark/>
          </w:tcPr>
          <w:p w14:paraId="784AFA7A" w14:textId="7C4DD9E8" w:rsidR="00BF47C7" w:rsidRPr="00F66F25" w:rsidRDefault="00E328D2" w:rsidP="00F01B35">
            <w:pPr>
              <w:jc w:val="center"/>
              <w:rPr>
                <w:rFonts w:cstheme="minorHAnsi"/>
              </w:rPr>
            </w:pPr>
            <w:r w:rsidRPr="007B24B7">
              <w:t>20,078</w:t>
            </w:r>
          </w:p>
        </w:tc>
        <w:tc>
          <w:tcPr>
            <w:tcW w:w="572" w:type="pct"/>
            <w:tcBorders>
              <w:top w:val="single" w:sz="2" w:space="0" w:color="002279"/>
              <w:left w:val="single" w:sz="4" w:space="0" w:color="002279"/>
              <w:bottom w:val="single" w:sz="4" w:space="0" w:color="002279"/>
              <w:right w:val="single" w:sz="4" w:space="0" w:color="002279"/>
            </w:tcBorders>
            <w:shd w:val="clear" w:color="auto" w:fill="FFFFFF" w:themeFill="background1"/>
            <w:noWrap/>
            <w:vAlign w:val="center"/>
            <w:hideMark/>
          </w:tcPr>
          <w:p w14:paraId="6F78089D" w14:textId="08F4DDAE" w:rsidR="00BF47C7" w:rsidRPr="00F66F25" w:rsidRDefault="00BF47C7" w:rsidP="00F01B35">
            <w:pPr>
              <w:jc w:val="center"/>
              <w:rPr>
                <w:rFonts w:cstheme="minorHAnsi"/>
              </w:rPr>
            </w:pPr>
            <w:r w:rsidRPr="007B24B7">
              <w:t>20,</w:t>
            </w:r>
            <w:r w:rsidR="00E328D2" w:rsidRPr="007B24B7">
              <w:t>396</w:t>
            </w:r>
          </w:p>
        </w:tc>
        <w:tc>
          <w:tcPr>
            <w:tcW w:w="573" w:type="pct"/>
            <w:tcBorders>
              <w:top w:val="single" w:sz="2" w:space="0" w:color="002279"/>
              <w:left w:val="single" w:sz="4" w:space="0" w:color="002279"/>
              <w:bottom w:val="single" w:sz="4" w:space="0" w:color="002279"/>
              <w:right w:val="single" w:sz="4" w:space="0" w:color="002279"/>
            </w:tcBorders>
            <w:shd w:val="clear" w:color="auto" w:fill="FFFFFF" w:themeFill="background1"/>
            <w:noWrap/>
            <w:vAlign w:val="center"/>
            <w:hideMark/>
          </w:tcPr>
          <w:p w14:paraId="6AEF5742" w14:textId="6DDA6FC9" w:rsidR="00BF47C7" w:rsidRPr="00F66F25" w:rsidRDefault="00BF47C7" w:rsidP="00F01B35">
            <w:pPr>
              <w:jc w:val="center"/>
              <w:rPr>
                <w:rFonts w:cstheme="minorHAnsi"/>
              </w:rPr>
            </w:pPr>
            <w:r w:rsidRPr="007B24B7">
              <w:t>20,</w:t>
            </w:r>
            <w:r w:rsidR="00E328D2" w:rsidRPr="007B24B7">
              <w:t>719</w:t>
            </w:r>
          </w:p>
        </w:tc>
        <w:tc>
          <w:tcPr>
            <w:tcW w:w="572" w:type="pct"/>
            <w:tcBorders>
              <w:top w:val="single" w:sz="2" w:space="0" w:color="002279"/>
              <w:left w:val="single" w:sz="4" w:space="0" w:color="002279"/>
              <w:bottom w:val="single" w:sz="4" w:space="0" w:color="002279"/>
              <w:right w:val="single" w:sz="4" w:space="0" w:color="002279"/>
            </w:tcBorders>
            <w:shd w:val="clear" w:color="auto" w:fill="FFFFFF" w:themeFill="background1"/>
            <w:noWrap/>
            <w:vAlign w:val="center"/>
            <w:hideMark/>
          </w:tcPr>
          <w:p w14:paraId="7AF3724A" w14:textId="340A7AD5" w:rsidR="00BF47C7" w:rsidRPr="00F66F25" w:rsidRDefault="00E328D2" w:rsidP="00F01B35">
            <w:pPr>
              <w:jc w:val="center"/>
              <w:rPr>
                <w:rFonts w:cstheme="minorHAnsi"/>
              </w:rPr>
            </w:pPr>
            <w:r w:rsidRPr="007B24B7">
              <w:t>21,047</w:t>
            </w:r>
          </w:p>
        </w:tc>
        <w:tc>
          <w:tcPr>
            <w:tcW w:w="572" w:type="pct"/>
            <w:tcBorders>
              <w:top w:val="single" w:sz="2" w:space="0" w:color="002279"/>
              <w:left w:val="single" w:sz="4" w:space="0" w:color="002279"/>
              <w:bottom w:val="single" w:sz="4" w:space="0" w:color="002279"/>
              <w:right w:val="single" w:sz="4" w:space="0" w:color="002279"/>
            </w:tcBorders>
            <w:shd w:val="clear" w:color="auto" w:fill="FFFFFF" w:themeFill="background1"/>
            <w:noWrap/>
            <w:vAlign w:val="center"/>
            <w:hideMark/>
          </w:tcPr>
          <w:p w14:paraId="68746FB3" w14:textId="3F248288" w:rsidR="00BF47C7" w:rsidRPr="00F66F25" w:rsidRDefault="00E328D2" w:rsidP="00F01B35">
            <w:pPr>
              <w:jc w:val="center"/>
              <w:rPr>
                <w:rFonts w:cstheme="minorHAnsi"/>
              </w:rPr>
            </w:pPr>
            <w:r w:rsidRPr="007B24B7">
              <w:t>21,380</w:t>
            </w:r>
          </w:p>
        </w:tc>
        <w:tc>
          <w:tcPr>
            <w:tcW w:w="573" w:type="pct"/>
            <w:tcBorders>
              <w:top w:val="single" w:sz="2" w:space="0" w:color="002279"/>
              <w:left w:val="single" w:sz="4" w:space="0" w:color="002279"/>
              <w:bottom w:val="single" w:sz="4" w:space="0" w:color="002279"/>
              <w:right w:val="single" w:sz="4" w:space="0" w:color="002279"/>
            </w:tcBorders>
            <w:shd w:val="clear" w:color="auto" w:fill="FFFFFF" w:themeFill="background1"/>
            <w:noWrap/>
            <w:vAlign w:val="center"/>
            <w:hideMark/>
          </w:tcPr>
          <w:p w14:paraId="55EE18BE" w14:textId="6A4F8667" w:rsidR="00BF47C7" w:rsidRPr="00F66F25" w:rsidRDefault="00BF47C7" w:rsidP="00F01B35">
            <w:pPr>
              <w:jc w:val="center"/>
              <w:rPr>
                <w:rFonts w:cstheme="minorHAnsi"/>
              </w:rPr>
            </w:pPr>
            <w:r w:rsidRPr="007B24B7">
              <w:t>21,</w:t>
            </w:r>
            <w:r w:rsidR="00E328D2" w:rsidRPr="007B24B7">
              <w:t>718</w:t>
            </w:r>
          </w:p>
        </w:tc>
      </w:tr>
    </w:tbl>
    <w:p w14:paraId="6839CE3E" w14:textId="21EA0658" w:rsidR="00004BAC" w:rsidRDefault="00004BAC" w:rsidP="00A27898"/>
    <w:p w14:paraId="2A021664" w14:textId="2D21CB8D" w:rsidR="00F01B35" w:rsidRDefault="00F01B35" w:rsidP="00A27898"/>
    <w:p w14:paraId="048AB62B" w14:textId="063850E3" w:rsidR="00F01B35" w:rsidRDefault="00F01B35" w:rsidP="00A27898"/>
    <w:p w14:paraId="3983D61A" w14:textId="11B981C8" w:rsidR="00F01B35" w:rsidRDefault="00F01B35" w:rsidP="00A27898"/>
    <w:p w14:paraId="14B4A36F" w14:textId="70EEA1A1" w:rsidR="00F01B35" w:rsidRDefault="00F01B35" w:rsidP="00A27898"/>
    <w:p w14:paraId="0DBB8232" w14:textId="14AD4729" w:rsidR="00F01B35" w:rsidRDefault="00F01B35" w:rsidP="00A27898"/>
    <w:p w14:paraId="568FA970" w14:textId="64667EE6" w:rsidR="00F0764D" w:rsidRDefault="00F0764D" w:rsidP="00A27898"/>
    <w:p w14:paraId="4B1F3152" w14:textId="77777777" w:rsidR="00F0764D" w:rsidRDefault="00F0764D" w:rsidP="00A27898"/>
    <w:p w14:paraId="34A70674" w14:textId="77777777" w:rsidR="00D558A7" w:rsidRDefault="00D558A7" w:rsidP="00A27898"/>
    <w:p w14:paraId="76A7C2AE" w14:textId="77777777" w:rsidR="00D558A7" w:rsidRDefault="00D558A7" w:rsidP="00A27898"/>
    <w:p w14:paraId="0526634C" w14:textId="77777777" w:rsidR="00D558A7" w:rsidRDefault="00D558A7" w:rsidP="00A27898"/>
    <w:p w14:paraId="47833BFF" w14:textId="77777777" w:rsidR="00D558A7" w:rsidRDefault="00D558A7" w:rsidP="00A27898"/>
    <w:p w14:paraId="26AC3BFA" w14:textId="57852743" w:rsidR="00F01B35" w:rsidRDefault="00F01B35" w:rsidP="00A27898"/>
    <w:p w14:paraId="2A402C54" w14:textId="7C98927E" w:rsidR="00F01B35" w:rsidRDefault="00F01B35" w:rsidP="00A27898"/>
    <w:p w14:paraId="0438F63F" w14:textId="184B75C7" w:rsidR="00B76DF4" w:rsidRDefault="00B76DF4" w:rsidP="00A27898"/>
    <w:p w14:paraId="21F21130" w14:textId="5E8A1343" w:rsidR="00B76DF4" w:rsidRDefault="00B76DF4" w:rsidP="00A27898"/>
    <w:p w14:paraId="7211CD59" w14:textId="2FFFD1A2" w:rsidR="00B76DF4" w:rsidRDefault="00B76DF4" w:rsidP="00A27898"/>
    <w:p w14:paraId="041A08E6" w14:textId="77777777" w:rsidR="00B76DF4" w:rsidRDefault="00B76DF4" w:rsidP="00A27898"/>
    <w:p w14:paraId="5945DCBF" w14:textId="66BC8207" w:rsidR="00A858EE" w:rsidRPr="00837531" w:rsidRDefault="00837531" w:rsidP="00837531">
      <w:pPr>
        <w:pStyle w:val="NormalIndent"/>
        <w:ind w:left="0"/>
        <w:rPr>
          <w:rFonts w:cs="Arial"/>
          <w:b/>
          <w:i/>
        </w:rPr>
      </w:pPr>
      <w:r w:rsidRPr="00CE6C4E">
        <w:rPr>
          <w:b/>
          <w:i/>
        </w:rPr>
        <w:lastRenderedPageBreak/>
        <w:t xml:space="preserve">Table </w:t>
      </w:r>
      <w:r w:rsidR="009A35C7" w:rsidRPr="00CE6C4E">
        <w:rPr>
          <w:b/>
          <w:bCs/>
          <w:i/>
          <w:iCs/>
        </w:rPr>
        <w:fldChar w:fldCharType="begin"/>
      </w:r>
      <w:r w:rsidR="009A35C7" w:rsidRPr="00CE6C4E">
        <w:rPr>
          <w:b/>
          <w:bCs/>
          <w:i/>
          <w:iCs/>
        </w:rPr>
        <w:instrText>SEQ Table \* ARABIC</w:instrText>
      </w:r>
      <w:r w:rsidR="009A35C7" w:rsidRPr="00CE6C4E">
        <w:rPr>
          <w:b/>
          <w:bCs/>
          <w:i/>
          <w:iCs/>
        </w:rPr>
        <w:fldChar w:fldCharType="separate"/>
      </w:r>
      <w:r w:rsidR="009A35C7">
        <w:rPr>
          <w:b/>
          <w:bCs/>
          <w:i/>
          <w:iCs/>
          <w:noProof/>
        </w:rPr>
        <w:t>48</w:t>
      </w:r>
      <w:r w:rsidR="009A35C7" w:rsidRPr="00CE6C4E">
        <w:rPr>
          <w:b/>
          <w:bCs/>
          <w:i/>
          <w:iCs/>
        </w:rPr>
        <w:fldChar w:fldCharType="end"/>
      </w:r>
      <w:r w:rsidRPr="007B339F">
        <w:rPr>
          <w:rFonts w:ascii="Arial" w:hAnsi="Arial" w:cs="Arial"/>
          <w:b/>
          <w:i/>
        </w:rPr>
        <w:t>:</w:t>
      </w:r>
      <w:r>
        <w:rPr>
          <w:rFonts w:ascii="Arial" w:hAnsi="Arial" w:cs="Arial"/>
          <w:b/>
          <w:i/>
        </w:rPr>
        <w:t xml:space="preserve"> Volumetric forecast</w:t>
      </w:r>
    </w:p>
    <w:tbl>
      <w:tblPr>
        <w:tblStyle w:val="MJTableStyle1default"/>
        <w:tblW w:w="5005" w:type="pct"/>
        <w:tblInd w:w="-5" w:type="dxa"/>
        <w:tblLayout w:type="fixed"/>
        <w:tblLook w:val="04A0" w:firstRow="1" w:lastRow="0" w:firstColumn="1" w:lastColumn="0" w:noHBand="0" w:noVBand="1"/>
      </w:tblPr>
      <w:tblGrid>
        <w:gridCol w:w="2130"/>
        <w:gridCol w:w="1228"/>
        <w:gridCol w:w="1228"/>
        <w:gridCol w:w="1228"/>
        <w:gridCol w:w="1227"/>
        <w:gridCol w:w="1227"/>
        <w:gridCol w:w="1229"/>
      </w:tblGrid>
      <w:tr w:rsidR="00A7554B" w:rsidRPr="00BF47C7" w14:paraId="1C4DC595" w14:textId="77777777" w:rsidTr="003F1732">
        <w:trPr>
          <w:cnfStyle w:val="100000000000" w:firstRow="1" w:lastRow="0" w:firstColumn="0" w:lastColumn="0" w:oddVBand="0" w:evenVBand="0" w:oddHBand="0" w:evenHBand="0" w:firstRowFirstColumn="0" w:firstRowLastColumn="0" w:lastRowFirstColumn="0" w:lastRowLastColumn="0"/>
          <w:trHeight w:val="504"/>
        </w:trPr>
        <w:tc>
          <w:tcPr>
            <w:tcW w:w="1121" w:type="pct"/>
            <w:tcBorders>
              <w:top w:val="single" w:sz="4" w:space="0" w:color="002279"/>
              <w:left w:val="single" w:sz="4" w:space="0" w:color="002279"/>
              <w:bottom w:val="single" w:sz="2" w:space="0" w:color="002279"/>
              <w:right w:val="single" w:sz="4" w:space="0" w:color="FFFFFF" w:themeColor="background1"/>
            </w:tcBorders>
            <w:shd w:val="clear" w:color="auto" w:fill="002279"/>
            <w:noWrap/>
            <w:vAlign w:val="center"/>
          </w:tcPr>
          <w:p w14:paraId="0710AD69" w14:textId="4D54C2BF" w:rsidR="00A07329" w:rsidRPr="00116E55" w:rsidRDefault="00A07329" w:rsidP="0028547E">
            <w:pPr>
              <w:rPr>
                <w:rFonts w:asciiTheme="minorHAnsi" w:hAnsiTheme="minorHAnsi" w:cstheme="minorHAnsi"/>
                <w:b/>
                <w:bCs/>
              </w:rPr>
            </w:pPr>
            <w:r w:rsidRPr="00116E55">
              <w:rPr>
                <w:rFonts w:asciiTheme="minorHAnsi" w:hAnsiTheme="minorHAnsi" w:cstheme="minorHAnsi"/>
                <w:b/>
                <w:bCs/>
              </w:rPr>
              <w:t>Tariff</w:t>
            </w:r>
          </w:p>
        </w:tc>
        <w:tc>
          <w:tcPr>
            <w:tcW w:w="646" w:type="pct"/>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noWrap/>
            <w:vAlign w:val="center"/>
          </w:tcPr>
          <w:p w14:paraId="25D943AD" w14:textId="28789A0A" w:rsidR="00A07329" w:rsidRPr="00116E55" w:rsidRDefault="00A07329" w:rsidP="00360131">
            <w:pPr>
              <w:jc w:val="center"/>
              <w:rPr>
                <w:rFonts w:asciiTheme="minorHAnsi" w:hAnsiTheme="minorHAnsi" w:cstheme="minorHAnsi"/>
                <w:b/>
                <w:bCs/>
              </w:rPr>
            </w:pPr>
            <w:r w:rsidRPr="00116E55">
              <w:rPr>
                <w:rFonts w:asciiTheme="minorHAnsi" w:hAnsiTheme="minorHAnsi" w:cstheme="minorHAnsi"/>
                <w:b/>
                <w:bCs/>
              </w:rPr>
              <w:t>2022</w:t>
            </w:r>
            <w:r w:rsidR="002C44FE" w:rsidRPr="00F66F25">
              <w:rPr>
                <w:rFonts w:asciiTheme="minorHAnsi" w:hAnsiTheme="minorHAnsi" w:cstheme="minorHAnsi"/>
                <w:b/>
              </w:rPr>
              <w:t>-</w:t>
            </w:r>
            <w:r w:rsidRPr="00116E55">
              <w:rPr>
                <w:rFonts w:asciiTheme="minorHAnsi" w:hAnsiTheme="minorHAnsi" w:cstheme="minorHAnsi"/>
                <w:b/>
                <w:bCs/>
              </w:rPr>
              <w:t>23</w:t>
            </w:r>
          </w:p>
        </w:tc>
        <w:tc>
          <w:tcPr>
            <w:tcW w:w="646" w:type="pct"/>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noWrap/>
            <w:vAlign w:val="center"/>
          </w:tcPr>
          <w:p w14:paraId="1B0615F9" w14:textId="4430D22F" w:rsidR="00A07329" w:rsidRPr="00116E55" w:rsidRDefault="00A07329" w:rsidP="00360131">
            <w:pPr>
              <w:jc w:val="center"/>
              <w:rPr>
                <w:rFonts w:asciiTheme="minorHAnsi" w:hAnsiTheme="minorHAnsi" w:cstheme="minorHAnsi"/>
                <w:b/>
                <w:bCs/>
              </w:rPr>
            </w:pPr>
            <w:r w:rsidRPr="00116E55">
              <w:rPr>
                <w:rFonts w:asciiTheme="minorHAnsi" w:hAnsiTheme="minorHAnsi" w:cstheme="minorHAnsi"/>
                <w:b/>
                <w:bCs/>
              </w:rPr>
              <w:t>2023</w:t>
            </w:r>
            <w:r w:rsidR="002C44FE" w:rsidRPr="00F66F25">
              <w:rPr>
                <w:rFonts w:asciiTheme="minorHAnsi" w:hAnsiTheme="minorHAnsi" w:cstheme="minorHAnsi"/>
                <w:b/>
              </w:rPr>
              <w:t>-</w:t>
            </w:r>
            <w:r w:rsidRPr="00116E55">
              <w:rPr>
                <w:rFonts w:asciiTheme="minorHAnsi" w:hAnsiTheme="minorHAnsi" w:cstheme="minorHAnsi"/>
                <w:b/>
                <w:bCs/>
              </w:rPr>
              <w:t>24</w:t>
            </w:r>
          </w:p>
        </w:tc>
        <w:tc>
          <w:tcPr>
            <w:tcW w:w="646" w:type="pct"/>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noWrap/>
            <w:vAlign w:val="center"/>
          </w:tcPr>
          <w:p w14:paraId="5385A7EE" w14:textId="29C5CB7D" w:rsidR="00A07329" w:rsidRPr="00116E55" w:rsidRDefault="00A07329" w:rsidP="00360131">
            <w:pPr>
              <w:jc w:val="center"/>
              <w:rPr>
                <w:rFonts w:asciiTheme="minorHAnsi" w:hAnsiTheme="minorHAnsi" w:cstheme="minorHAnsi"/>
                <w:b/>
                <w:bCs/>
              </w:rPr>
            </w:pPr>
            <w:r w:rsidRPr="00116E55">
              <w:rPr>
                <w:rFonts w:asciiTheme="minorHAnsi" w:hAnsiTheme="minorHAnsi" w:cstheme="minorHAnsi"/>
                <w:b/>
                <w:bCs/>
              </w:rPr>
              <w:t>2024</w:t>
            </w:r>
            <w:r w:rsidR="002C44FE" w:rsidRPr="00F66F25">
              <w:rPr>
                <w:rFonts w:asciiTheme="minorHAnsi" w:hAnsiTheme="minorHAnsi" w:cstheme="minorHAnsi"/>
                <w:b/>
              </w:rPr>
              <w:t>-</w:t>
            </w:r>
            <w:r w:rsidRPr="00116E55">
              <w:rPr>
                <w:rFonts w:asciiTheme="minorHAnsi" w:hAnsiTheme="minorHAnsi" w:cstheme="minorHAnsi"/>
                <w:b/>
                <w:bCs/>
              </w:rPr>
              <w:t>25</w:t>
            </w:r>
          </w:p>
        </w:tc>
        <w:tc>
          <w:tcPr>
            <w:tcW w:w="646" w:type="pct"/>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noWrap/>
            <w:vAlign w:val="center"/>
          </w:tcPr>
          <w:p w14:paraId="49883153" w14:textId="6E06EADA" w:rsidR="00A07329" w:rsidRPr="00116E55" w:rsidRDefault="00A07329" w:rsidP="00360131">
            <w:pPr>
              <w:jc w:val="center"/>
              <w:rPr>
                <w:rFonts w:asciiTheme="minorHAnsi" w:hAnsiTheme="minorHAnsi" w:cstheme="minorHAnsi"/>
                <w:b/>
                <w:bCs/>
              </w:rPr>
            </w:pPr>
            <w:r w:rsidRPr="00116E55">
              <w:rPr>
                <w:rFonts w:asciiTheme="minorHAnsi" w:hAnsiTheme="minorHAnsi" w:cstheme="minorHAnsi"/>
                <w:b/>
                <w:bCs/>
              </w:rPr>
              <w:t>2025</w:t>
            </w:r>
            <w:r w:rsidR="002C44FE" w:rsidRPr="00F66F25">
              <w:rPr>
                <w:rFonts w:asciiTheme="minorHAnsi" w:hAnsiTheme="minorHAnsi" w:cstheme="minorHAnsi"/>
                <w:b/>
              </w:rPr>
              <w:t>-</w:t>
            </w:r>
            <w:r w:rsidRPr="00116E55">
              <w:rPr>
                <w:rFonts w:asciiTheme="minorHAnsi" w:hAnsiTheme="minorHAnsi" w:cstheme="minorHAnsi"/>
                <w:b/>
                <w:bCs/>
              </w:rPr>
              <w:t>26</w:t>
            </w:r>
          </w:p>
        </w:tc>
        <w:tc>
          <w:tcPr>
            <w:tcW w:w="646" w:type="pct"/>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noWrap/>
            <w:vAlign w:val="center"/>
          </w:tcPr>
          <w:p w14:paraId="08D90B28" w14:textId="5211E42B" w:rsidR="00A07329" w:rsidRPr="00116E55" w:rsidRDefault="00A07329" w:rsidP="00360131">
            <w:pPr>
              <w:jc w:val="center"/>
              <w:rPr>
                <w:rFonts w:asciiTheme="minorHAnsi" w:hAnsiTheme="minorHAnsi" w:cstheme="minorHAnsi"/>
                <w:b/>
                <w:bCs/>
              </w:rPr>
            </w:pPr>
            <w:r w:rsidRPr="00116E55">
              <w:rPr>
                <w:rFonts w:asciiTheme="minorHAnsi" w:hAnsiTheme="minorHAnsi" w:cstheme="minorHAnsi"/>
                <w:b/>
                <w:bCs/>
              </w:rPr>
              <w:t>2026</w:t>
            </w:r>
            <w:r w:rsidR="002C44FE" w:rsidRPr="00F66F25">
              <w:rPr>
                <w:rFonts w:asciiTheme="minorHAnsi" w:hAnsiTheme="minorHAnsi" w:cstheme="minorHAnsi"/>
                <w:b/>
              </w:rPr>
              <w:t>-</w:t>
            </w:r>
            <w:r w:rsidRPr="00116E55">
              <w:rPr>
                <w:rFonts w:asciiTheme="minorHAnsi" w:hAnsiTheme="minorHAnsi" w:cstheme="minorHAnsi"/>
                <w:b/>
                <w:bCs/>
              </w:rPr>
              <w:t>27</w:t>
            </w:r>
          </w:p>
        </w:tc>
        <w:tc>
          <w:tcPr>
            <w:tcW w:w="647" w:type="pct"/>
            <w:tcBorders>
              <w:top w:val="single" w:sz="4" w:space="0" w:color="002279"/>
              <w:left w:val="single" w:sz="4" w:space="0" w:color="FFFFFF" w:themeColor="background1"/>
              <w:bottom w:val="single" w:sz="2" w:space="0" w:color="002279"/>
              <w:right w:val="single" w:sz="4" w:space="0" w:color="002279"/>
            </w:tcBorders>
            <w:shd w:val="clear" w:color="auto" w:fill="002279"/>
            <w:noWrap/>
            <w:vAlign w:val="center"/>
          </w:tcPr>
          <w:p w14:paraId="098DB462" w14:textId="119F8CA7" w:rsidR="00A07329" w:rsidRPr="00116E55" w:rsidRDefault="00A07329" w:rsidP="00360131">
            <w:pPr>
              <w:jc w:val="center"/>
              <w:rPr>
                <w:rFonts w:asciiTheme="minorHAnsi" w:hAnsiTheme="minorHAnsi" w:cstheme="minorHAnsi"/>
                <w:b/>
                <w:bCs/>
              </w:rPr>
            </w:pPr>
            <w:r w:rsidRPr="00116E55">
              <w:rPr>
                <w:rFonts w:asciiTheme="minorHAnsi" w:hAnsiTheme="minorHAnsi" w:cstheme="minorHAnsi"/>
                <w:b/>
                <w:bCs/>
              </w:rPr>
              <w:t>2027</w:t>
            </w:r>
            <w:r w:rsidR="002C44FE" w:rsidRPr="00F66F25">
              <w:rPr>
                <w:rFonts w:asciiTheme="minorHAnsi" w:hAnsiTheme="minorHAnsi" w:cstheme="minorHAnsi"/>
                <w:b/>
              </w:rPr>
              <w:t>-</w:t>
            </w:r>
            <w:r w:rsidRPr="00116E55">
              <w:rPr>
                <w:rFonts w:asciiTheme="minorHAnsi" w:hAnsiTheme="minorHAnsi" w:cstheme="minorHAnsi"/>
                <w:b/>
                <w:bCs/>
              </w:rPr>
              <w:t>28</w:t>
            </w:r>
          </w:p>
        </w:tc>
      </w:tr>
      <w:tr w:rsidR="00011278" w:rsidRPr="00BF47C7" w14:paraId="3A87FD18" w14:textId="77777777" w:rsidTr="003F1732">
        <w:trPr>
          <w:cnfStyle w:val="000000100000" w:firstRow="0" w:lastRow="0" w:firstColumn="0" w:lastColumn="0" w:oddVBand="0" w:evenVBand="0" w:oddHBand="1" w:evenHBand="0" w:firstRowFirstColumn="0" w:firstRowLastColumn="0" w:lastRowFirstColumn="0" w:lastRowLastColumn="0"/>
          <w:trHeight w:val="300"/>
        </w:trPr>
        <w:tc>
          <w:tcPr>
            <w:tcW w:w="1121" w:type="pct"/>
            <w:tcBorders>
              <w:top w:val="single" w:sz="2" w:space="0" w:color="002279"/>
              <w:left w:val="single" w:sz="4" w:space="0" w:color="002279"/>
              <w:bottom w:val="single" w:sz="2" w:space="0" w:color="002279"/>
              <w:right w:val="single" w:sz="4" w:space="0" w:color="002279"/>
            </w:tcBorders>
            <w:shd w:val="clear" w:color="auto" w:fill="D4D6DF"/>
            <w:noWrap/>
          </w:tcPr>
          <w:p w14:paraId="7507FB30" w14:textId="25DE7CCC" w:rsidR="00A07329" w:rsidRPr="00CB0971" w:rsidRDefault="00A07329" w:rsidP="00A07329">
            <w:r w:rsidRPr="00CB0971">
              <w:t>Residential step 1 (kL)</w:t>
            </w:r>
            <w:r w:rsidR="00A92B8C" w:rsidRPr="00CB0971">
              <w:t xml:space="preserve"> – water and sewerage customer</w:t>
            </w:r>
          </w:p>
        </w:tc>
        <w:tc>
          <w:tcPr>
            <w:tcW w:w="646" w:type="pct"/>
            <w:tcBorders>
              <w:top w:val="single" w:sz="2" w:space="0" w:color="002279"/>
              <w:left w:val="single" w:sz="4" w:space="0" w:color="002279"/>
              <w:bottom w:val="single" w:sz="2" w:space="0" w:color="002279"/>
              <w:right w:val="single" w:sz="4" w:space="0" w:color="002279"/>
            </w:tcBorders>
            <w:shd w:val="clear" w:color="auto" w:fill="D4D6DF"/>
            <w:noWrap/>
            <w:vAlign w:val="center"/>
          </w:tcPr>
          <w:p w14:paraId="4E3C533A" w14:textId="4C164272" w:rsidR="00A07329" w:rsidRPr="00CB0971" w:rsidRDefault="00527196" w:rsidP="00360131">
            <w:pPr>
              <w:jc w:val="center"/>
            </w:pPr>
            <w:r>
              <w:rPr>
                <w:rFonts w:ascii="Arial" w:hAnsi="Arial" w:cs="Arial"/>
                <w:color w:val="000000"/>
              </w:rPr>
              <w:t>84,196,509</w:t>
            </w:r>
          </w:p>
        </w:tc>
        <w:tc>
          <w:tcPr>
            <w:tcW w:w="646" w:type="pct"/>
            <w:tcBorders>
              <w:top w:val="single" w:sz="2" w:space="0" w:color="002279"/>
              <w:left w:val="single" w:sz="4" w:space="0" w:color="002279"/>
              <w:bottom w:val="single" w:sz="2" w:space="0" w:color="002279"/>
              <w:right w:val="single" w:sz="4" w:space="0" w:color="002279"/>
            </w:tcBorders>
            <w:shd w:val="clear" w:color="auto" w:fill="D4D6DF"/>
            <w:noWrap/>
            <w:vAlign w:val="center"/>
          </w:tcPr>
          <w:p w14:paraId="7B51BC65" w14:textId="538CB2CA" w:rsidR="00A07329" w:rsidRPr="00CB0971" w:rsidRDefault="006406ED" w:rsidP="00360131">
            <w:pPr>
              <w:jc w:val="center"/>
            </w:pPr>
            <w:r>
              <w:rPr>
                <w:rFonts w:ascii="Arial" w:hAnsi="Arial" w:cs="Arial"/>
                <w:color w:val="000000"/>
              </w:rPr>
              <w:t>82,581,</w:t>
            </w:r>
            <w:r w:rsidR="00D035D1">
              <w:rPr>
                <w:rFonts w:ascii="Arial" w:hAnsi="Arial" w:cs="Arial"/>
                <w:color w:val="000000"/>
              </w:rPr>
              <w:t>796</w:t>
            </w:r>
          </w:p>
        </w:tc>
        <w:tc>
          <w:tcPr>
            <w:tcW w:w="646" w:type="pct"/>
            <w:tcBorders>
              <w:top w:val="single" w:sz="2" w:space="0" w:color="002279"/>
              <w:left w:val="single" w:sz="4" w:space="0" w:color="002279"/>
              <w:bottom w:val="single" w:sz="2" w:space="0" w:color="002279"/>
              <w:right w:val="single" w:sz="4" w:space="0" w:color="002279"/>
            </w:tcBorders>
            <w:shd w:val="clear" w:color="auto" w:fill="D4D6DF"/>
            <w:noWrap/>
            <w:vAlign w:val="center"/>
          </w:tcPr>
          <w:p w14:paraId="09B57737" w14:textId="282FB663" w:rsidR="00A07329" w:rsidRPr="00CB0971" w:rsidRDefault="006406ED" w:rsidP="00360131">
            <w:pPr>
              <w:jc w:val="center"/>
            </w:pPr>
            <w:r>
              <w:rPr>
                <w:rFonts w:ascii="Arial" w:hAnsi="Arial" w:cs="Arial"/>
                <w:color w:val="000000"/>
              </w:rPr>
              <w:t>83,112,</w:t>
            </w:r>
            <w:r w:rsidR="00D035D1">
              <w:rPr>
                <w:rFonts w:ascii="Arial" w:hAnsi="Arial" w:cs="Arial"/>
                <w:color w:val="000000"/>
              </w:rPr>
              <w:t>299</w:t>
            </w:r>
          </w:p>
        </w:tc>
        <w:tc>
          <w:tcPr>
            <w:tcW w:w="646" w:type="pct"/>
            <w:tcBorders>
              <w:top w:val="single" w:sz="2" w:space="0" w:color="002279"/>
              <w:left w:val="single" w:sz="4" w:space="0" w:color="002279"/>
              <w:bottom w:val="single" w:sz="2" w:space="0" w:color="002279"/>
              <w:right w:val="single" w:sz="4" w:space="0" w:color="002279"/>
            </w:tcBorders>
            <w:shd w:val="clear" w:color="auto" w:fill="D4D6DF"/>
            <w:noWrap/>
            <w:vAlign w:val="center"/>
          </w:tcPr>
          <w:p w14:paraId="11AB2AA9" w14:textId="203652F3" w:rsidR="00A07329" w:rsidRPr="00CB0971" w:rsidRDefault="006406ED" w:rsidP="00360131">
            <w:pPr>
              <w:jc w:val="center"/>
            </w:pPr>
            <w:r>
              <w:rPr>
                <w:rFonts w:ascii="Arial" w:hAnsi="Arial" w:cs="Arial"/>
                <w:color w:val="000000"/>
              </w:rPr>
              <w:t>83,663,</w:t>
            </w:r>
            <w:r w:rsidR="00D035D1">
              <w:rPr>
                <w:rFonts w:ascii="Arial" w:hAnsi="Arial" w:cs="Arial"/>
                <w:color w:val="000000"/>
              </w:rPr>
              <w:t>715</w:t>
            </w:r>
          </w:p>
        </w:tc>
        <w:tc>
          <w:tcPr>
            <w:tcW w:w="646" w:type="pct"/>
            <w:tcBorders>
              <w:top w:val="single" w:sz="2" w:space="0" w:color="002279"/>
              <w:left w:val="single" w:sz="4" w:space="0" w:color="002279"/>
              <w:bottom w:val="single" w:sz="2" w:space="0" w:color="002279"/>
              <w:right w:val="single" w:sz="4" w:space="0" w:color="002279"/>
            </w:tcBorders>
            <w:shd w:val="clear" w:color="auto" w:fill="D4D6DF"/>
            <w:noWrap/>
            <w:vAlign w:val="center"/>
          </w:tcPr>
          <w:p w14:paraId="6E905947" w14:textId="5E4551D2" w:rsidR="00A07329" w:rsidRPr="00CB0971" w:rsidRDefault="002C44FE" w:rsidP="00360131">
            <w:pPr>
              <w:jc w:val="center"/>
            </w:pPr>
            <w:r>
              <w:rPr>
                <w:rFonts w:ascii="Arial" w:hAnsi="Arial" w:cs="Arial"/>
                <w:color w:val="000000"/>
              </w:rPr>
              <w:t>84,676,</w:t>
            </w:r>
            <w:r w:rsidR="00D035D1">
              <w:rPr>
                <w:rFonts w:ascii="Arial" w:hAnsi="Arial" w:cs="Arial"/>
                <w:color w:val="000000"/>
              </w:rPr>
              <w:t>023</w:t>
            </w:r>
          </w:p>
        </w:tc>
        <w:tc>
          <w:tcPr>
            <w:tcW w:w="647" w:type="pct"/>
            <w:tcBorders>
              <w:top w:val="single" w:sz="2" w:space="0" w:color="002279"/>
              <w:left w:val="single" w:sz="4" w:space="0" w:color="002279"/>
              <w:bottom w:val="single" w:sz="2" w:space="0" w:color="002279"/>
              <w:right w:val="single" w:sz="4" w:space="0" w:color="002279"/>
            </w:tcBorders>
            <w:shd w:val="clear" w:color="auto" w:fill="D4D6DF"/>
            <w:noWrap/>
            <w:vAlign w:val="center"/>
          </w:tcPr>
          <w:p w14:paraId="32BDE85D" w14:textId="307CB08C" w:rsidR="00A07329" w:rsidRPr="00CB0971" w:rsidRDefault="002C44FE" w:rsidP="00360131">
            <w:pPr>
              <w:jc w:val="center"/>
            </w:pPr>
            <w:r>
              <w:rPr>
                <w:rFonts w:ascii="Arial" w:hAnsi="Arial" w:cs="Arial"/>
                <w:color w:val="000000"/>
              </w:rPr>
              <w:t>85,688,</w:t>
            </w:r>
            <w:r w:rsidR="00D035D1">
              <w:rPr>
                <w:rFonts w:ascii="Arial" w:hAnsi="Arial" w:cs="Arial"/>
                <w:color w:val="000000"/>
              </w:rPr>
              <w:t>185</w:t>
            </w:r>
          </w:p>
        </w:tc>
      </w:tr>
      <w:tr w:rsidR="00011278" w:rsidRPr="00BF47C7" w14:paraId="5E0626F3" w14:textId="77777777" w:rsidTr="003F1732">
        <w:trPr>
          <w:cnfStyle w:val="000000010000" w:firstRow="0" w:lastRow="0" w:firstColumn="0" w:lastColumn="0" w:oddVBand="0" w:evenVBand="0" w:oddHBand="0" w:evenHBand="1" w:firstRowFirstColumn="0" w:firstRowLastColumn="0" w:lastRowFirstColumn="0" w:lastRowLastColumn="0"/>
          <w:trHeight w:val="300"/>
        </w:trPr>
        <w:tc>
          <w:tcPr>
            <w:tcW w:w="1121" w:type="pct"/>
            <w:tcBorders>
              <w:top w:val="single" w:sz="2" w:space="0" w:color="002279"/>
              <w:left w:val="single" w:sz="4" w:space="0" w:color="002279"/>
              <w:bottom w:val="single" w:sz="2" w:space="0" w:color="002279"/>
              <w:right w:val="single" w:sz="4" w:space="0" w:color="002279"/>
            </w:tcBorders>
            <w:shd w:val="clear" w:color="auto" w:fill="FFFFFF" w:themeFill="background1"/>
            <w:noWrap/>
            <w:hideMark/>
          </w:tcPr>
          <w:p w14:paraId="6EA19E85" w14:textId="78E28BDF" w:rsidR="00A07329" w:rsidRPr="00CB0971" w:rsidRDefault="0007607A" w:rsidP="00A07329">
            <w:r w:rsidRPr="00CB0971">
              <w:t>Residential step 2 (kL)</w:t>
            </w:r>
            <w:r w:rsidR="00A92B8C" w:rsidRPr="00CB0971">
              <w:t xml:space="preserve"> – water and sewerage customer</w:t>
            </w:r>
          </w:p>
        </w:tc>
        <w:tc>
          <w:tcPr>
            <w:tcW w:w="646"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494B59C3" w14:textId="698F51EA" w:rsidR="00A07329" w:rsidRPr="00CB0971" w:rsidRDefault="00527196" w:rsidP="00360131">
            <w:pPr>
              <w:jc w:val="center"/>
            </w:pPr>
            <w:r>
              <w:rPr>
                <w:rFonts w:ascii="Arial" w:hAnsi="Arial" w:cs="Arial"/>
                <w:color w:val="000000"/>
              </w:rPr>
              <w:t>26,495,774</w:t>
            </w:r>
          </w:p>
        </w:tc>
        <w:tc>
          <w:tcPr>
            <w:tcW w:w="646"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6ABF7B02" w14:textId="3D05D38F" w:rsidR="00A07329" w:rsidRPr="00CB0971" w:rsidRDefault="006406ED" w:rsidP="00360131">
            <w:pPr>
              <w:jc w:val="center"/>
            </w:pPr>
            <w:r>
              <w:rPr>
                <w:rFonts w:ascii="Arial" w:hAnsi="Arial" w:cs="Arial"/>
                <w:color w:val="000000"/>
              </w:rPr>
              <w:t>25,497,</w:t>
            </w:r>
            <w:r w:rsidR="00D035D1">
              <w:rPr>
                <w:rFonts w:ascii="Arial" w:hAnsi="Arial" w:cs="Arial"/>
                <w:color w:val="000000"/>
              </w:rPr>
              <w:t>668</w:t>
            </w:r>
          </w:p>
        </w:tc>
        <w:tc>
          <w:tcPr>
            <w:tcW w:w="646"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4EDEEE84" w14:textId="2DD38BF7" w:rsidR="00A07329" w:rsidRPr="00CB0971" w:rsidRDefault="002C44FE" w:rsidP="00360131">
            <w:pPr>
              <w:jc w:val="center"/>
            </w:pPr>
            <w:r>
              <w:rPr>
                <w:rFonts w:ascii="Arial" w:hAnsi="Arial" w:cs="Arial"/>
                <w:color w:val="000000"/>
              </w:rPr>
              <w:t>25,700,</w:t>
            </w:r>
            <w:r w:rsidR="00D035D1">
              <w:rPr>
                <w:rFonts w:ascii="Arial" w:hAnsi="Arial" w:cs="Arial"/>
                <w:color w:val="000000"/>
              </w:rPr>
              <w:t>547</w:t>
            </w:r>
          </w:p>
        </w:tc>
        <w:tc>
          <w:tcPr>
            <w:tcW w:w="646"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59712248" w14:textId="3ED3D516" w:rsidR="00A07329" w:rsidRPr="00CB0971" w:rsidRDefault="006406ED" w:rsidP="00360131">
            <w:pPr>
              <w:jc w:val="center"/>
            </w:pPr>
            <w:r>
              <w:rPr>
                <w:rFonts w:ascii="Arial" w:hAnsi="Arial" w:cs="Arial"/>
                <w:color w:val="000000"/>
              </w:rPr>
              <w:t>25,907,</w:t>
            </w:r>
            <w:r w:rsidR="00D035D1">
              <w:rPr>
                <w:rFonts w:ascii="Arial" w:hAnsi="Arial" w:cs="Arial"/>
                <w:color w:val="000000"/>
              </w:rPr>
              <w:t>787</w:t>
            </w:r>
          </w:p>
        </w:tc>
        <w:tc>
          <w:tcPr>
            <w:tcW w:w="646"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643D064F" w14:textId="76A5E75F" w:rsidR="00A07329" w:rsidRPr="00CB0971" w:rsidRDefault="002C44FE" w:rsidP="00360131">
            <w:pPr>
              <w:jc w:val="center"/>
            </w:pPr>
            <w:r>
              <w:rPr>
                <w:rFonts w:ascii="Arial" w:hAnsi="Arial" w:cs="Arial"/>
                <w:color w:val="000000"/>
              </w:rPr>
              <w:t>26,258,</w:t>
            </w:r>
            <w:r w:rsidR="00D035D1">
              <w:rPr>
                <w:rFonts w:ascii="Arial" w:hAnsi="Arial" w:cs="Arial"/>
                <w:color w:val="000000"/>
              </w:rPr>
              <w:t>371</w:t>
            </w:r>
          </w:p>
        </w:tc>
        <w:tc>
          <w:tcPr>
            <w:tcW w:w="647"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142802F5" w14:textId="78F6A980" w:rsidR="00A07329" w:rsidRPr="00CB0971" w:rsidRDefault="006406ED" w:rsidP="00360131">
            <w:pPr>
              <w:jc w:val="center"/>
            </w:pPr>
            <w:r>
              <w:rPr>
                <w:rFonts w:ascii="Arial" w:hAnsi="Arial" w:cs="Arial"/>
                <w:color w:val="000000"/>
              </w:rPr>
              <w:t>26,606,</w:t>
            </w:r>
            <w:r w:rsidR="00D035D1">
              <w:rPr>
                <w:rFonts w:ascii="Arial" w:hAnsi="Arial" w:cs="Arial"/>
                <w:color w:val="000000"/>
              </w:rPr>
              <w:t>945</w:t>
            </w:r>
          </w:p>
        </w:tc>
      </w:tr>
      <w:tr w:rsidR="00011278" w:rsidRPr="00BF47C7" w14:paraId="0D2A43D6" w14:textId="77777777" w:rsidTr="003F1732">
        <w:trPr>
          <w:cnfStyle w:val="000000100000" w:firstRow="0" w:lastRow="0" w:firstColumn="0" w:lastColumn="0" w:oddVBand="0" w:evenVBand="0" w:oddHBand="1" w:evenHBand="0" w:firstRowFirstColumn="0" w:firstRowLastColumn="0" w:lastRowFirstColumn="0" w:lastRowLastColumn="0"/>
          <w:trHeight w:val="300"/>
        </w:trPr>
        <w:tc>
          <w:tcPr>
            <w:tcW w:w="1121" w:type="pct"/>
            <w:tcBorders>
              <w:top w:val="single" w:sz="2" w:space="0" w:color="002279"/>
              <w:left w:val="single" w:sz="4" w:space="0" w:color="002279"/>
              <w:bottom w:val="single" w:sz="2" w:space="0" w:color="002279"/>
              <w:right w:val="single" w:sz="4" w:space="0" w:color="002279"/>
            </w:tcBorders>
            <w:shd w:val="clear" w:color="auto" w:fill="D4D6DF"/>
            <w:noWrap/>
          </w:tcPr>
          <w:p w14:paraId="7EABAFF4" w14:textId="7681B372" w:rsidR="00A92B8C" w:rsidRPr="00CB0971" w:rsidRDefault="00A92B8C" w:rsidP="00A07329">
            <w:r w:rsidRPr="00CB0971">
              <w:t>Residential step 1 – water</w:t>
            </w:r>
            <w:r w:rsidR="00DB158F">
              <w:t>-</w:t>
            </w:r>
            <w:r w:rsidRPr="00CB0971">
              <w:t>only customer</w:t>
            </w:r>
          </w:p>
        </w:tc>
        <w:tc>
          <w:tcPr>
            <w:tcW w:w="646" w:type="pct"/>
            <w:tcBorders>
              <w:top w:val="single" w:sz="2" w:space="0" w:color="002279"/>
              <w:left w:val="single" w:sz="4" w:space="0" w:color="002279"/>
              <w:bottom w:val="single" w:sz="2" w:space="0" w:color="002279"/>
              <w:right w:val="single" w:sz="4" w:space="0" w:color="002279"/>
            </w:tcBorders>
            <w:shd w:val="clear" w:color="auto" w:fill="D4D6DF"/>
            <w:noWrap/>
            <w:vAlign w:val="center"/>
          </w:tcPr>
          <w:p w14:paraId="1B8A2040" w14:textId="68AECB9D" w:rsidR="00A92B8C" w:rsidRPr="00CB0971" w:rsidRDefault="007038DB" w:rsidP="00360131">
            <w:pPr>
              <w:jc w:val="center"/>
            </w:pPr>
            <w:r>
              <w:rPr>
                <w:rFonts w:ascii="Arial" w:hAnsi="Arial" w:cs="Arial"/>
                <w:color w:val="000000"/>
              </w:rPr>
              <w:t>N/A</w:t>
            </w:r>
          </w:p>
        </w:tc>
        <w:tc>
          <w:tcPr>
            <w:tcW w:w="646" w:type="pct"/>
            <w:tcBorders>
              <w:top w:val="single" w:sz="2" w:space="0" w:color="002279"/>
              <w:left w:val="single" w:sz="4" w:space="0" w:color="002279"/>
              <w:bottom w:val="single" w:sz="2" w:space="0" w:color="002279"/>
              <w:right w:val="single" w:sz="4" w:space="0" w:color="002279"/>
            </w:tcBorders>
            <w:shd w:val="clear" w:color="auto" w:fill="D4D6DF"/>
            <w:noWrap/>
            <w:vAlign w:val="center"/>
          </w:tcPr>
          <w:p w14:paraId="1D03ED6D" w14:textId="14C68C3E" w:rsidR="00A92B8C" w:rsidRPr="00CB0971" w:rsidRDefault="001B3609" w:rsidP="00360131">
            <w:pPr>
              <w:jc w:val="center"/>
            </w:pPr>
            <w:r>
              <w:rPr>
                <w:rFonts w:ascii="Arial" w:hAnsi="Arial" w:cs="Arial"/>
                <w:color w:val="000000"/>
              </w:rPr>
              <w:t>1,659,861</w:t>
            </w:r>
          </w:p>
        </w:tc>
        <w:tc>
          <w:tcPr>
            <w:tcW w:w="646" w:type="pct"/>
            <w:tcBorders>
              <w:top w:val="single" w:sz="2" w:space="0" w:color="002279"/>
              <w:left w:val="single" w:sz="4" w:space="0" w:color="002279"/>
              <w:bottom w:val="single" w:sz="2" w:space="0" w:color="002279"/>
              <w:right w:val="single" w:sz="4" w:space="0" w:color="002279"/>
            </w:tcBorders>
            <w:shd w:val="clear" w:color="auto" w:fill="D4D6DF"/>
            <w:noWrap/>
            <w:vAlign w:val="center"/>
          </w:tcPr>
          <w:p w14:paraId="3AB82E96" w14:textId="0ED2E59D" w:rsidR="00A92B8C" w:rsidRPr="00CB0971" w:rsidRDefault="001B3609" w:rsidP="00360131">
            <w:pPr>
              <w:jc w:val="center"/>
            </w:pPr>
            <w:r>
              <w:rPr>
                <w:rFonts w:ascii="Arial" w:hAnsi="Arial" w:cs="Arial"/>
                <w:color w:val="000000"/>
              </w:rPr>
              <w:t>1,555,128</w:t>
            </w:r>
          </w:p>
        </w:tc>
        <w:tc>
          <w:tcPr>
            <w:tcW w:w="646" w:type="pct"/>
            <w:tcBorders>
              <w:top w:val="single" w:sz="2" w:space="0" w:color="002279"/>
              <w:left w:val="single" w:sz="4" w:space="0" w:color="002279"/>
              <w:bottom w:val="single" w:sz="2" w:space="0" w:color="002279"/>
              <w:right w:val="single" w:sz="4" w:space="0" w:color="002279"/>
            </w:tcBorders>
            <w:shd w:val="clear" w:color="auto" w:fill="D4D6DF"/>
            <w:noWrap/>
            <w:vAlign w:val="center"/>
          </w:tcPr>
          <w:p w14:paraId="46E00EFA" w14:textId="0CFECA90" w:rsidR="00A92B8C" w:rsidRPr="00CB0971" w:rsidRDefault="001B3609" w:rsidP="00360131">
            <w:pPr>
              <w:jc w:val="center"/>
            </w:pPr>
            <w:r>
              <w:rPr>
                <w:rFonts w:ascii="Arial" w:hAnsi="Arial" w:cs="Arial"/>
                <w:color w:val="000000"/>
              </w:rPr>
              <w:t>1,457,003</w:t>
            </w:r>
          </w:p>
        </w:tc>
        <w:tc>
          <w:tcPr>
            <w:tcW w:w="646" w:type="pct"/>
            <w:tcBorders>
              <w:top w:val="single" w:sz="2" w:space="0" w:color="002279"/>
              <w:left w:val="single" w:sz="4" w:space="0" w:color="002279"/>
              <w:bottom w:val="single" w:sz="2" w:space="0" w:color="002279"/>
              <w:right w:val="single" w:sz="4" w:space="0" w:color="002279"/>
            </w:tcBorders>
            <w:shd w:val="clear" w:color="auto" w:fill="D4D6DF"/>
            <w:noWrap/>
            <w:vAlign w:val="center"/>
          </w:tcPr>
          <w:p w14:paraId="1CAB6889" w14:textId="1265DB69" w:rsidR="00A92B8C" w:rsidRPr="00CB0971" w:rsidRDefault="001B3609" w:rsidP="00360131">
            <w:pPr>
              <w:jc w:val="center"/>
            </w:pPr>
            <w:r>
              <w:rPr>
                <w:rFonts w:ascii="Arial" w:hAnsi="Arial" w:cs="Arial"/>
                <w:color w:val="000000"/>
              </w:rPr>
              <w:t>1,365,070</w:t>
            </w:r>
          </w:p>
        </w:tc>
        <w:tc>
          <w:tcPr>
            <w:tcW w:w="647" w:type="pct"/>
            <w:tcBorders>
              <w:top w:val="single" w:sz="2" w:space="0" w:color="002279"/>
              <w:left w:val="single" w:sz="4" w:space="0" w:color="002279"/>
              <w:bottom w:val="single" w:sz="2" w:space="0" w:color="002279"/>
              <w:right w:val="single" w:sz="4" w:space="0" w:color="002279"/>
            </w:tcBorders>
            <w:shd w:val="clear" w:color="auto" w:fill="D4D6DF"/>
            <w:noWrap/>
            <w:vAlign w:val="center"/>
          </w:tcPr>
          <w:p w14:paraId="76D60FD5" w14:textId="3932ED8F" w:rsidR="00A92B8C" w:rsidRPr="00CB0971" w:rsidRDefault="001B3609" w:rsidP="00360131">
            <w:pPr>
              <w:jc w:val="center"/>
            </w:pPr>
            <w:r>
              <w:rPr>
                <w:rFonts w:ascii="Arial" w:hAnsi="Arial" w:cs="Arial"/>
                <w:color w:val="000000"/>
              </w:rPr>
              <w:t>1,278,937</w:t>
            </w:r>
          </w:p>
        </w:tc>
      </w:tr>
      <w:tr w:rsidR="00011278" w:rsidRPr="00BF47C7" w14:paraId="562D22CC" w14:textId="77777777" w:rsidTr="003F1732">
        <w:trPr>
          <w:cnfStyle w:val="000000010000" w:firstRow="0" w:lastRow="0" w:firstColumn="0" w:lastColumn="0" w:oddVBand="0" w:evenVBand="0" w:oddHBand="0" w:evenHBand="1" w:firstRowFirstColumn="0" w:firstRowLastColumn="0" w:lastRowFirstColumn="0" w:lastRowLastColumn="0"/>
          <w:trHeight w:val="300"/>
        </w:trPr>
        <w:tc>
          <w:tcPr>
            <w:tcW w:w="1121" w:type="pct"/>
            <w:tcBorders>
              <w:top w:val="single" w:sz="2" w:space="0" w:color="002279"/>
              <w:left w:val="single" w:sz="4" w:space="0" w:color="002279"/>
              <w:bottom w:val="single" w:sz="2" w:space="0" w:color="002279"/>
              <w:right w:val="single" w:sz="4" w:space="0" w:color="002279"/>
            </w:tcBorders>
            <w:shd w:val="clear" w:color="auto" w:fill="FFFFFF" w:themeFill="background1"/>
            <w:noWrap/>
          </w:tcPr>
          <w:p w14:paraId="097BC9A1" w14:textId="46B0E532" w:rsidR="00A92B8C" w:rsidRPr="00CB0971" w:rsidRDefault="00A92B8C" w:rsidP="00A07329">
            <w:r w:rsidRPr="00CB0971">
              <w:t>Residential step 2 – water</w:t>
            </w:r>
            <w:r w:rsidR="00DB158F">
              <w:t>-</w:t>
            </w:r>
            <w:r w:rsidRPr="00CB0971">
              <w:t>only customer</w:t>
            </w:r>
          </w:p>
        </w:tc>
        <w:tc>
          <w:tcPr>
            <w:tcW w:w="646"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tcPr>
          <w:p w14:paraId="6CF2E9F8" w14:textId="631DCB8B" w:rsidR="00A92B8C" w:rsidRPr="00CB0971" w:rsidRDefault="007038DB" w:rsidP="00360131">
            <w:pPr>
              <w:jc w:val="center"/>
            </w:pPr>
            <w:r>
              <w:rPr>
                <w:rFonts w:ascii="Arial" w:hAnsi="Arial" w:cs="Arial"/>
                <w:color w:val="000000"/>
              </w:rPr>
              <w:t>N/A</w:t>
            </w:r>
          </w:p>
        </w:tc>
        <w:tc>
          <w:tcPr>
            <w:tcW w:w="646"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tcPr>
          <w:p w14:paraId="3E06D00C" w14:textId="3EE5B176" w:rsidR="00A92B8C" w:rsidRPr="00CB0971" w:rsidRDefault="001B3609" w:rsidP="00360131">
            <w:pPr>
              <w:jc w:val="center"/>
            </w:pPr>
            <w:r>
              <w:rPr>
                <w:rFonts w:ascii="Arial" w:hAnsi="Arial" w:cs="Arial"/>
                <w:color w:val="000000"/>
              </w:rPr>
              <w:t>1,085,959</w:t>
            </w:r>
          </w:p>
        </w:tc>
        <w:tc>
          <w:tcPr>
            <w:tcW w:w="646"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tcPr>
          <w:p w14:paraId="26682711" w14:textId="047F7AE4" w:rsidR="00A92B8C" w:rsidRPr="00CB0971" w:rsidRDefault="001B3609" w:rsidP="00360131">
            <w:pPr>
              <w:jc w:val="center"/>
            </w:pPr>
            <w:r>
              <w:rPr>
                <w:rFonts w:ascii="Arial" w:hAnsi="Arial" w:cs="Arial"/>
                <w:color w:val="000000"/>
              </w:rPr>
              <w:t>1,017,438</w:t>
            </w:r>
          </w:p>
        </w:tc>
        <w:tc>
          <w:tcPr>
            <w:tcW w:w="646"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tcPr>
          <w:p w14:paraId="04AF6E54" w14:textId="1DBFD50B" w:rsidR="00A92B8C" w:rsidRPr="00CB0971" w:rsidRDefault="001B3609" w:rsidP="00360131">
            <w:pPr>
              <w:jc w:val="center"/>
            </w:pPr>
            <w:r>
              <w:rPr>
                <w:rFonts w:ascii="Arial" w:hAnsi="Arial" w:cs="Arial"/>
                <w:color w:val="000000"/>
              </w:rPr>
              <w:t>953,240</w:t>
            </w:r>
          </w:p>
        </w:tc>
        <w:tc>
          <w:tcPr>
            <w:tcW w:w="646"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tcPr>
          <w:p w14:paraId="59283400" w14:textId="76FD4A8A" w:rsidR="00A92B8C" w:rsidRPr="00CB0971" w:rsidRDefault="001B3609" w:rsidP="00360131">
            <w:pPr>
              <w:jc w:val="center"/>
            </w:pPr>
            <w:r>
              <w:rPr>
                <w:rFonts w:ascii="Arial" w:hAnsi="Arial" w:cs="Arial"/>
                <w:color w:val="000000"/>
              </w:rPr>
              <w:t>893,093</w:t>
            </w:r>
          </w:p>
        </w:tc>
        <w:tc>
          <w:tcPr>
            <w:tcW w:w="647"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tcPr>
          <w:p w14:paraId="765FD9A2" w14:textId="19128056" w:rsidR="00A92B8C" w:rsidRPr="00CB0971" w:rsidRDefault="001B3609" w:rsidP="00360131">
            <w:pPr>
              <w:jc w:val="center"/>
            </w:pPr>
            <w:r>
              <w:rPr>
                <w:rFonts w:ascii="Arial" w:hAnsi="Arial" w:cs="Arial"/>
                <w:color w:val="000000"/>
              </w:rPr>
              <w:t>836,741</w:t>
            </w:r>
          </w:p>
        </w:tc>
      </w:tr>
      <w:tr w:rsidR="00011278" w:rsidRPr="00BF47C7" w14:paraId="39E1E1FF" w14:textId="77777777" w:rsidTr="003F1732">
        <w:trPr>
          <w:cnfStyle w:val="000000100000" w:firstRow="0" w:lastRow="0" w:firstColumn="0" w:lastColumn="0" w:oddVBand="0" w:evenVBand="0" w:oddHBand="1" w:evenHBand="0" w:firstRowFirstColumn="0" w:firstRowLastColumn="0" w:lastRowFirstColumn="0" w:lastRowLastColumn="0"/>
          <w:trHeight w:val="300"/>
        </w:trPr>
        <w:tc>
          <w:tcPr>
            <w:tcW w:w="1121" w:type="pct"/>
            <w:tcBorders>
              <w:top w:val="single" w:sz="2" w:space="0" w:color="002279"/>
              <w:left w:val="single" w:sz="4" w:space="0" w:color="002279"/>
              <w:bottom w:val="single" w:sz="2" w:space="0" w:color="002279"/>
              <w:right w:val="single" w:sz="4" w:space="0" w:color="002279"/>
            </w:tcBorders>
            <w:shd w:val="clear" w:color="auto" w:fill="D4D6DF"/>
            <w:noWrap/>
            <w:hideMark/>
          </w:tcPr>
          <w:p w14:paraId="2CA5886D" w14:textId="12F49C14" w:rsidR="00A07329" w:rsidRPr="00CB0971" w:rsidRDefault="000A28C3" w:rsidP="00A07329">
            <w:r>
              <w:t>Non-residential</w:t>
            </w:r>
            <w:r w:rsidR="00A81D67" w:rsidRPr="00CB0971">
              <w:t xml:space="preserve"> sales (kL)</w:t>
            </w:r>
          </w:p>
        </w:tc>
        <w:tc>
          <w:tcPr>
            <w:tcW w:w="646" w:type="pct"/>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656F7B90" w14:textId="197ECE58" w:rsidR="00A07329" w:rsidRPr="00CB0971" w:rsidRDefault="002C44FE" w:rsidP="00360131">
            <w:pPr>
              <w:jc w:val="center"/>
            </w:pPr>
            <w:r>
              <w:rPr>
                <w:rFonts w:ascii="Arial" w:hAnsi="Arial" w:cs="Arial"/>
                <w:color w:val="000000"/>
              </w:rPr>
              <w:t>31,515,080</w:t>
            </w:r>
          </w:p>
        </w:tc>
        <w:tc>
          <w:tcPr>
            <w:tcW w:w="646" w:type="pct"/>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00E42579" w14:textId="21360C92" w:rsidR="00A07329" w:rsidRPr="00CB0971" w:rsidRDefault="002C44FE" w:rsidP="00360131">
            <w:pPr>
              <w:jc w:val="center"/>
            </w:pPr>
            <w:r>
              <w:rPr>
                <w:rFonts w:ascii="Arial" w:hAnsi="Arial" w:cs="Arial"/>
                <w:color w:val="000000"/>
              </w:rPr>
              <w:t>33,198,</w:t>
            </w:r>
            <w:r w:rsidR="00D035D1">
              <w:rPr>
                <w:rFonts w:ascii="Arial" w:hAnsi="Arial" w:cs="Arial"/>
                <w:color w:val="000000"/>
              </w:rPr>
              <w:t>265</w:t>
            </w:r>
          </w:p>
        </w:tc>
        <w:tc>
          <w:tcPr>
            <w:tcW w:w="646" w:type="pct"/>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4B7E447C" w14:textId="0783832A" w:rsidR="00A07329" w:rsidRPr="00CB0971" w:rsidRDefault="002C44FE" w:rsidP="00360131">
            <w:pPr>
              <w:jc w:val="center"/>
            </w:pPr>
            <w:r>
              <w:rPr>
                <w:rFonts w:ascii="Arial" w:hAnsi="Arial" w:cs="Arial"/>
                <w:color w:val="000000"/>
              </w:rPr>
              <w:t>33,968,</w:t>
            </w:r>
            <w:r w:rsidR="00D035D1">
              <w:rPr>
                <w:rFonts w:ascii="Arial" w:hAnsi="Arial" w:cs="Arial"/>
                <w:color w:val="000000"/>
              </w:rPr>
              <w:t>061</w:t>
            </w:r>
          </w:p>
        </w:tc>
        <w:tc>
          <w:tcPr>
            <w:tcW w:w="646" w:type="pct"/>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4616255C" w14:textId="7B88B850" w:rsidR="00A07329" w:rsidRPr="00CB0971" w:rsidRDefault="006406ED" w:rsidP="00360131">
            <w:pPr>
              <w:jc w:val="center"/>
            </w:pPr>
            <w:r>
              <w:rPr>
                <w:rFonts w:ascii="Arial" w:hAnsi="Arial" w:cs="Arial"/>
                <w:color w:val="000000"/>
              </w:rPr>
              <w:t>34,633,</w:t>
            </w:r>
            <w:r w:rsidR="00D035D1">
              <w:rPr>
                <w:rFonts w:ascii="Arial" w:hAnsi="Arial" w:cs="Arial"/>
                <w:color w:val="000000"/>
              </w:rPr>
              <w:t>546</w:t>
            </w:r>
          </w:p>
        </w:tc>
        <w:tc>
          <w:tcPr>
            <w:tcW w:w="646" w:type="pct"/>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5AA41755" w14:textId="5F28A09A" w:rsidR="00A07329" w:rsidRPr="00CB0971" w:rsidRDefault="002C44FE" w:rsidP="00360131">
            <w:pPr>
              <w:jc w:val="center"/>
            </w:pPr>
            <w:r>
              <w:rPr>
                <w:rFonts w:ascii="Arial" w:hAnsi="Arial" w:cs="Arial"/>
                <w:color w:val="000000"/>
              </w:rPr>
              <w:t>34,849,</w:t>
            </w:r>
            <w:r w:rsidR="00D035D1">
              <w:rPr>
                <w:rFonts w:ascii="Arial" w:hAnsi="Arial" w:cs="Arial"/>
                <w:color w:val="000000"/>
              </w:rPr>
              <w:t>302</w:t>
            </w:r>
          </w:p>
        </w:tc>
        <w:tc>
          <w:tcPr>
            <w:tcW w:w="647" w:type="pct"/>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641FFAB5" w14:textId="660ED447" w:rsidR="00A07329" w:rsidRPr="00CB0971" w:rsidRDefault="006406ED" w:rsidP="00360131">
            <w:pPr>
              <w:jc w:val="center"/>
            </w:pPr>
            <w:r>
              <w:rPr>
                <w:rFonts w:ascii="Arial" w:hAnsi="Arial" w:cs="Arial"/>
                <w:color w:val="000000"/>
              </w:rPr>
              <w:t>35,023,</w:t>
            </w:r>
            <w:r w:rsidR="00D035D1">
              <w:rPr>
                <w:rFonts w:ascii="Arial" w:hAnsi="Arial" w:cs="Arial"/>
                <w:color w:val="000000"/>
              </w:rPr>
              <w:t>877</w:t>
            </w:r>
          </w:p>
        </w:tc>
      </w:tr>
      <w:tr w:rsidR="00011278" w:rsidRPr="00BF47C7" w14:paraId="6B72DE75" w14:textId="77777777" w:rsidTr="003F1732">
        <w:trPr>
          <w:cnfStyle w:val="000000010000" w:firstRow="0" w:lastRow="0" w:firstColumn="0" w:lastColumn="0" w:oddVBand="0" w:evenVBand="0" w:oddHBand="0" w:evenHBand="1" w:firstRowFirstColumn="0" w:firstRowLastColumn="0" w:lastRowFirstColumn="0" w:lastRowLastColumn="0"/>
          <w:trHeight w:val="300"/>
        </w:trPr>
        <w:tc>
          <w:tcPr>
            <w:tcW w:w="1121" w:type="pct"/>
            <w:tcBorders>
              <w:top w:val="single" w:sz="2" w:space="0" w:color="002279"/>
              <w:left w:val="single" w:sz="4" w:space="0" w:color="002279"/>
              <w:bottom w:val="single" w:sz="2" w:space="0" w:color="002279"/>
              <w:right w:val="single" w:sz="4" w:space="0" w:color="002279"/>
            </w:tcBorders>
            <w:shd w:val="clear" w:color="auto" w:fill="FFFFFF" w:themeFill="background1"/>
            <w:noWrap/>
            <w:hideMark/>
          </w:tcPr>
          <w:p w14:paraId="29A7D139" w14:textId="0B4B5D91" w:rsidR="00A07329" w:rsidRPr="00CB0971" w:rsidRDefault="00A81D67" w:rsidP="00A07329">
            <w:r w:rsidRPr="00CB0971">
              <w:t>Residential SDC (kL)</w:t>
            </w:r>
          </w:p>
        </w:tc>
        <w:tc>
          <w:tcPr>
            <w:tcW w:w="646"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26124C87" w14:textId="32F8EC45" w:rsidR="00A07329" w:rsidRPr="00CB0971" w:rsidRDefault="00527196" w:rsidP="00360131">
            <w:pPr>
              <w:jc w:val="center"/>
            </w:pPr>
            <w:r>
              <w:rPr>
                <w:rFonts w:ascii="Arial" w:hAnsi="Arial" w:cs="Arial"/>
                <w:color w:val="000000"/>
              </w:rPr>
              <w:t>83,821,511</w:t>
            </w:r>
          </w:p>
        </w:tc>
        <w:tc>
          <w:tcPr>
            <w:tcW w:w="646"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tcPr>
          <w:p w14:paraId="270EA233" w14:textId="41CE4472" w:rsidR="00A07329" w:rsidRPr="00CB0971" w:rsidRDefault="007038DB" w:rsidP="00360131">
            <w:pPr>
              <w:jc w:val="center"/>
            </w:pPr>
            <w:r>
              <w:rPr>
                <w:rFonts w:ascii="Arial" w:hAnsi="Arial" w:cs="Arial"/>
                <w:color w:val="000000"/>
              </w:rPr>
              <w:t>N/A</w:t>
            </w:r>
          </w:p>
        </w:tc>
        <w:tc>
          <w:tcPr>
            <w:tcW w:w="646"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tcPr>
          <w:p w14:paraId="7771391E" w14:textId="179A4F23" w:rsidR="00A07329" w:rsidRPr="00CB0971" w:rsidRDefault="007038DB" w:rsidP="00360131">
            <w:pPr>
              <w:jc w:val="center"/>
            </w:pPr>
            <w:r>
              <w:rPr>
                <w:rFonts w:ascii="Arial" w:hAnsi="Arial" w:cs="Arial"/>
                <w:color w:val="000000"/>
              </w:rPr>
              <w:t>N/A</w:t>
            </w:r>
          </w:p>
        </w:tc>
        <w:tc>
          <w:tcPr>
            <w:tcW w:w="646"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tcPr>
          <w:p w14:paraId="4DA935C0" w14:textId="045E482B" w:rsidR="00A07329" w:rsidRPr="00CB0971" w:rsidRDefault="007038DB" w:rsidP="00360131">
            <w:pPr>
              <w:jc w:val="center"/>
            </w:pPr>
            <w:r>
              <w:rPr>
                <w:rFonts w:ascii="Arial" w:hAnsi="Arial" w:cs="Arial"/>
                <w:color w:val="000000"/>
              </w:rPr>
              <w:t>N/A</w:t>
            </w:r>
          </w:p>
        </w:tc>
        <w:tc>
          <w:tcPr>
            <w:tcW w:w="646"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tcPr>
          <w:p w14:paraId="6F7FD858" w14:textId="0AD99C70" w:rsidR="00A07329" w:rsidRPr="00CB0971" w:rsidRDefault="007038DB" w:rsidP="00360131">
            <w:pPr>
              <w:jc w:val="center"/>
            </w:pPr>
            <w:r>
              <w:rPr>
                <w:rFonts w:ascii="Arial" w:hAnsi="Arial" w:cs="Arial"/>
                <w:color w:val="000000"/>
              </w:rPr>
              <w:t>N/A</w:t>
            </w:r>
          </w:p>
        </w:tc>
        <w:tc>
          <w:tcPr>
            <w:tcW w:w="647"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tcPr>
          <w:p w14:paraId="169BA0C2" w14:textId="65C889F9" w:rsidR="00A07329" w:rsidRPr="00CB0971" w:rsidRDefault="007038DB" w:rsidP="00360131">
            <w:pPr>
              <w:jc w:val="center"/>
            </w:pPr>
            <w:r>
              <w:rPr>
                <w:rFonts w:ascii="Arial" w:hAnsi="Arial" w:cs="Arial"/>
                <w:color w:val="000000"/>
              </w:rPr>
              <w:t>N/A</w:t>
            </w:r>
          </w:p>
        </w:tc>
      </w:tr>
      <w:tr w:rsidR="00011278" w:rsidRPr="00BF47C7" w14:paraId="6306FF67" w14:textId="77777777" w:rsidTr="003F1732">
        <w:trPr>
          <w:cnfStyle w:val="000000100000" w:firstRow="0" w:lastRow="0" w:firstColumn="0" w:lastColumn="0" w:oddVBand="0" w:evenVBand="0" w:oddHBand="1" w:evenHBand="0" w:firstRowFirstColumn="0" w:firstRowLastColumn="0" w:lastRowFirstColumn="0" w:lastRowLastColumn="0"/>
          <w:trHeight w:val="300"/>
        </w:trPr>
        <w:tc>
          <w:tcPr>
            <w:tcW w:w="1121" w:type="pct"/>
            <w:tcBorders>
              <w:top w:val="single" w:sz="2" w:space="0" w:color="002279"/>
              <w:left w:val="single" w:sz="4" w:space="0" w:color="002279"/>
              <w:bottom w:val="single" w:sz="2" w:space="0" w:color="002279"/>
              <w:right w:val="single" w:sz="4" w:space="0" w:color="002279"/>
            </w:tcBorders>
            <w:shd w:val="clear" w:color="auto" w:fill="D4D6DF"/>
            <w:noWrap/>
            <w:hideMark/>
          </w:tcPr>
          <w:p w14:paraId="30CD203F" w14:textId="27F2F9B3" w:rsidR="00A07329" w:rsidRPr="00CB0971" w:rsidRDefault="000A28C3" w:rsidP="00A07329">
            <w:r>
              <w:t>Non-residential</w:t>
            </w:r>
            <w:r w:rsidR="00A81D67" w:rsidRPr="00CB0971">
              <w:t xml:space="preserve"> SDC (kL)</w:t>
            </w:r>
          </w:p>
        </w:tc>
        <w:tc>
          <w:tcPr>
            <w:tcW w:w="646" w:type="pct"/>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485AE089" w14:textId="1E2B9C84" w:rsidR="00A07329" w:rsidRPr="00CB0971" w:rsidRDefault="002C44FE" w:rsidP="00360131">
            <w:pPr>
              <w:jc w:val="center"/>
            </w:pPr>
            <w:r>
              <w:rPr>
                <w:rFonts w:ascii="Arial" w:hAnsi="Arial" w:cs="Arial"/>
                <w:color w:val="000000"/>
              </w:rPr>
              <w:t>14,575,722</w:t>
            </w:r>
          </w:p>
        </w:tc>
        <w:tc>
          <w:tcPr>
            <w:tcW w:w="646" w:type="pct"/>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6164C4D4" w14:textId="0FCECA8A" w:rsidR="00A07329" w:rsidRPr="00CB0971" w:rsidRDefault="002C44FE" w:rsidP="00360131">
            <w:pPr>
              <w:jc w:val="center"/>
            </w:pPr>
            <w:r>
              <w:rPr>
                <w:rFonts w:ascii="Arial" w:hAnsi="Arial" w:cs="Arial"/>
                <w:color w:val="000000"/>
              </w:rPr>
              <w:t>15,354,</w:t>
            </w:r>
            <w:r w:rsidR="00D035D1">
              <w:rPr>
                <w:rFonts w:ascii="Arial" w:hAnsi="Arial" w:cs="Arial"/>
                <w:color w:val="000000"/>
              </w:rPr>
              <w:t>195</w:t>
            </w:r>
          </w:p>
        </w:tc>
        <w:tc>
          <w:tcPr>
            <w:tcW w:w="646" w:type="pct"/>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71DFE9C8" w14:textId="36C416DA" w:rsidR="00A07329" w:rsidRPr="00CB0971" w:rsidRDefault="002C44FE" w:rsidP="00360131">
            <w:pPr>
              <w:jc w:val="center"/>
            </w:pPr>
            <w:r>
              <w:rPr>
                <w:rFonts w:ascii="Arial" w:hAnsi="Arial" w:cs="Arial"/>
                <w:color w:val="000000"/>
              </w:rPr>
              <w:t>15,710,</w:t>
            </w:r>
            <w:r w:rsidR="00D035D1">
              <w:rPr>
                <w:rFonts w:ascii="Arial" w:hAnsi="Arial" w:cs="Arial"/>
                <w:color w:val="000000"/>
              </w:rPr>
              <w:t>226</w:t>
            </w:r>
          </w:p>
        </w:tc>
        <w:tc>
          <w:tcPr>
            <w:tcW w:w="646" w:type="pct"/>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361885A8" w14:textId="6863BAA4" w:rsidR="00A07329" w:rsidRPr="00CB0971" w:rsidRDefault="002C44FE" w:rsidP="00360131">
            <w:pPr>
              <w:jc w:val="center"/>
            </w:pPr>
            <w:r>
              <w:rPr>
                <w:rFonts w:ascii="Arial" w:hAnsi="Arial" w:cs="Arial"/>
                <w:color w:val="000000"/>
              </w:rPr>
              <w:t>16,018,</w:t>
            </w:r>
            <w:r w:rsidR="00D035D1">
              <w:rPr>
                <w:rFonts w:ascii="Arial" w:hAnsi="Arial" w:cs="Arial"/>
                <w:color w:val="000000"/>
              </w:rPr>
              <w:t>012</w:t>
            </w:r>
          </w:p>
        </w:tc>
        <w:tc>
          <w:tcPr>
            <w:tcW w:w="646" w:type="pct"/>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65CC5C5D" w14:textId="656AFC0C" w:rsidR="00A07329" w:rsidRPr="00CB0971" w:rsidRDefault="006406ED" w:rsidP="00360131">
            <w:pPr>
              <w:jc w:val="center"/>
            </w:pPr>
            <w:r>
              <w:rPr>
                <w:rFonts w:ascii="Arial" w:hAnsi="Arial" w:cs="Arial"/>
                <w:color w:val="000000"/>
              </w:rPr>
              <w:t>16,117,</w:t>
            </w:r>
            <w:r w:rsidR="00D035D1">
              <w:rPr>
                <w:rFonts w:ascii="Arial" w:hAnsi="Arial" w:cs="Arial"/>
                <w:color w:val="000000"/>
              </w:rPr>
              <w:t>799</w:t>
            </w:r>
          </w:p>
        </w:tc>
        <w:tc>
          <w:tcPr>
            <w:tcW w:w="647" w:type="pct"/>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6C004FEC" w14:textId="3E0AF535" w:rsidR="00A07329" w:rsidRPr="00CB0971" w:rsidRDefault="002C44FE" w:rsidP="00360131">
            <w:pPr>
              <w:jc w:val="center"/>
            </w:pPr>
            <w:r>
              <w:rPr>
                <w:rFonts w:ascii="Arial" w:hAnsi="Arial" w:cs="Arial"/>
                <w:color w:val="000000"/>
              </w:rPr>
              <w:t>16,198,</w:t>
            </w:r>
            <w:r w:rsidR="00D035D1">
              <w:rPr>
                <w:rFonts w:ascii="Arial" w:hAnsi="Arial" w:cs="Arial"/>
                <w:color w:val="000000"/>
              </w:rPr>
              <w:t>540</w:t>
            </w:r>
          </w:p>
        </w:tc>
      </w:tr>
      <w:tr w:rsidR="00011278" w:rsidRPr="00BF47C7" w14:paraId="2BF52C00" w14:textId="77777777" w:rsidTr="003F1732">
        <w:trPr>
          <w:cnfStyle w:val="000000010000" w:firstRow="0" w:lastRow="0" w:firstColumn="0" w:lastColumn="0" w:oddVBand="0" w:evenVBand="0" w:oddHBand="0" w:evenHBand="1" w:firstRowFirstColumn="0" w:firstRowLastColumn="0" w:lastRowFirstColumn="0" w:lastRowLastColumn="0"/>
          <w:trHeight w:val="300"/>
        </w:trPr>
        <w:tc>
          <w:tcPr>
            <w:tcW w:w="1121" w:type="pct"/>
            <w:tcBorders>
              <w:top w:val="single" w:sz="2" w:space="0" w:color="002279"/>
              <w:left w:val="single" w:sz="4" w:space="0" w:color="002279"/>
              <w:bottom w:val="single" w:sz="2" w:space="0" w:color="002279"/>
              <w:right w:val="single" w:sz="4" w:space="0" w:color="002279"/>
            </w:tcBorders>
            <w:shd w:val="clear" w:color="auto" w:fill="FFFFFF" w:themeFill="background1"/>
            <w:noWrap/>
            <w:hideMark/>
          </w:tcPr>
          <w:p w14:paraId="1E80F733" w14:textId="47CC02D5" w:rsidR="00A07329" w:rsidRPr="00CB0971" w:rsidRDefault="00A81D67" w:rsidP="00A07329">
            <w:r w:rsidRPr="00CB0971">
              <w:t xml:space="preserve">Trade waste </w:t>
            </w:r>
            <w:r w:rsidR="00BE72BE" w:rsidRPr="00CB0971">
              <w:t>volume</w:t>
            </w:r>
            <w:r w:rsidRPr="00CB0971">
              <w:t xml:space="preserve"> (kL)</w:t>
            </w:r>
          </w:p>
        </w:tc>
        <w:tc>
          <w:tcPr>
            <w:tcW w:w="646"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54981EC4" w14:textId="1F69AFD5" w:rsidR="00A07329" w:rsidRPr="00CB0971" w:rsidRDefault="002C44FE" w:rsidP="00360131">
            <w:pPr>
              <w:jc w:val="center"/>
            </w:pPr>
            <w:r>
              <w:rPr>
                <w:rFonts w:ascii="Arial" w:hAnsi="Arial" w:cs="Arial"/>
                <w:color w:val="000000"/>
              </w:rPr>
              <w:t>6,501,989</w:t>
            </w:r>
          </w:p>
        </w:tc>
        <w:tc>
          <w:tcPr>
            <w:tcW w:w="646"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6AE12ABB" w14:textId="5FCA1944" w:rsidR="00A07329" w:rsidRPr="00CB0971" w:rsidRDefault="002C44FE" w:rsidP="00360131">
            <w:pPr>
              <w:jc w:val="center"/>
            </w:pPr>
            <w:r>
              <w:rPr>
                <w:rFonts w:ascii="Arial" w:hAnsi="Arial" w:cs="Arial"/>
                <w:color w:val="000000"/>
              </w:rPr>
              <w:t>6,599,519</w:t>
            </w:r>
          </w:p>
        </w:tc>
        <w:tc>
          <w:tcPr>
            <w:tcW w:w="646"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5B31267E" w14:textId="710A730D" w:rsidR="00A07329" w:rsidRPr="00CB0971" w:rsidRDefault="002C44FE" w:rsidP="00360131">
            <w:pPr>
              <w:jc w:val="center"/>
            </w:pPr>
            <w:r>
              <w:rPr>
                <w:rFonts w:ascii="Arial" w:hAnsi="Arial" w:cs="Arial"/>
                <w:color w:val="000000"/>
              </w:rPr>
              <w:t>6,698,512</w:t>
            </w:r>
          </w:p>
        </w:tc>
        <w:tc>
          <w:tcPr>
            <w:tcW w:w="646"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079E929C" w14:textId="6A7503FC" w:rsidR="00A07329" w:rsidRPr="00CB0971" w:rsidRDefault="002C44FE" w:rsidP="00360131">
            <w:pPr>
              <w:jc w:val="center"/>
            </w:pPr>
            <w:r>
              <w:rPr>
                <w:rFonts w:ascii="Arial" w:hAnsi="Arial" w:cs="Arial"/>
                <w:color w:val="000000"/>
              </w:rPr>
              <w:t>6,798,989</w:t>
            </w:r>
          </w:p>
        </w:tc>
        <w:tc>
          <w:tcPr>
            <w:tcW w:w="646"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696B0E30" w14:textId="3B43EDB1" w:rsidR="00A07329" w:rsidRPr="00CB0971" w:rsidRDefault="002C44FE" w:rsidP="00360131">
            <w:pPr>
              <w:jc w:val="center"/>
            </w:pPr>
            <w:r>
              <w:rPr>
                <w:rFonts w:ascii="Arial" w:hAnsi="Arial" w:cs="Arial"/>
                <w:color w:val="000000"/>
              </w:rPr>
              <w:t>6,900,974</w:t>
            </w:r>
          </w:p>
        </w:tc>
        <w:tc>
          <w:tcPr>
            <w:tcW w:w="647"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4B0C2506" w14:textId="4F3F2AA9" w:rsidR="00A07329" w:rsidRPr="00CB0971" w:rsidRDefault="002C44FE" w:rsidP="00360131">
            <w:pPr>
              <w:jc w:val="center"/>
            </w:pPr>
            <w:r>
              <w:rPr>
                <w:rFonts w:ascii="Arial" w:hAnsi="Arial" w:cs="Arial"/>
                <w:color w:val="000000"/>
              </w:rPr>
              <w:t>7,004,489</w:t>
            </w:r>
          </w:p>
        </w:tc>
      </w:tr>
      <w:tr w:rsidR="00011278" w:rsidRPr="00BF47C7" w14:paraId="4AD43200" w14:textId="77777777" w:rsidTr="003F1732">
        <w:trPr>
          <w:cnfStyle w:val="000000100000" w:firstRow="0" w:lastRow="0" w:firstColumn="0" w:lastColumn="0" w:oddVBand="0" w:evenVBand="0" w:oddHBand="1" w:evenHBand="0" w:firstRowFirstColumn="0" w:firstRowLastColumn="0" w:lastRowFirstColumn="0" w:lastRowLastColumn="0"/>
          <w:trHeight w:val="300"/>
        </w:trPr>
        <w:tc>
          <w:tcPr>
            <w:tcW w:w="1121" w:type="pct"/>
            <w:tcBorders>
              <w:top w:val="single" w:sz="2" w:space="0" w:color="002279"/>
              <w:left w:val="single" w:sz="4" w:space="0" w:color="002279"/>
              <w:bottom w:val="single" w:sz="2" w:space="0" w:color="002279"/>
              <w:right w:val="single" w:sz="4" w:space="0" w:color="002279"/>
            </w:tcBorders>
            <w:shd w:val="clear" w:color="auto" w:fill="D4D6DF"/>
            <w:noWrap/>
            <w:hideMark/>
          </w:tcPr>
          <w:p w14:paraId="77A5C726" w14:textId="02D44CD4" w:rsidR="00A07329" w:rsidRPr="00CB0971" w:rsidRDefault="0095626B" w:rsidP="0095626B">
            <w:r w:rsidRPr="00CB0971">
              <w:t xml:space="preserve">Billable </w:t>
            </w:r>
            <w:r w:rsidR="002C44FE" w:rsidRPr="00601BA9">
              <w:t>Biochemical Oxygen Demand</w:t>
            </w:r>
            <w:r w:rsidRPr="00CB0971">
              <w:t xml:space="preserve"> (BOD) (kg)</w:t>
            </w:r>
          </w:p>
        </w:tc>
        <w:tc>
          <w:tcPr>
            <w:tcW w:w="646" w:type="pct"/>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2DD60420" w14:textId="514AD8D7" w:rsidR="00A07329" w:rsidRPr="00CB0971" w:rsidRDefault="002C44FE" w:rsidP="00360131">
            <w:pPr>
              <w:jc w:val="center"/>
            </w:pPr>
            <w:r>
              <w:rPr>
                <w:rFonts w:ascii="Arial" w:hAnsi="Arial" w:cs="Arial"/>
                <w:color w:val="000000"/>
              </w:rPr>
              <w:t>12,394,126</w:t>
            </w:r>
          </w:p>
        </w:tc>
        <w:tc>
          <w:tcPr>
            <w:tcW w:w="646" w:type="pct"/>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06691B44" w14:textId="6B9C14B1" w:rsidR="00A07329" w:rsidRPr="00CB0971" w:rsidRDefault="002C44FE" w:rsidP="00360131">
            <w:pPr>
              <w:jc w:val="center"/>
            </w:pPr>
            <w:r>
              <w:rPr>
                <w:rFonts w:ascii="Arial" w:hAnsi="Arial" w:cs="Arial"/>
                <w:color w:val="000000"/>
              </w:rPr>
              <w:t>12,530,461</w:t>
            </w:r>
          </w:p>
        </w:tc>
        <w:tc>
          <w:tcPr>
            <w:tcW w:w="646" w:type="pct"/>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0947B8CD" w14:textId="77E3C8E2" w:rsidR="00A07329" w:rsidRPr="00CB0971" w:rsidRDefault="002C44FE" w:rsidP="00360131">
            <w:pPr>
              <w:jc w:val="center"/>
            </w:pPr>
            <w:r>
              <w:rPr>
                <w:rFonts w:ascii="Arial" w:hAnsi="Arial" w:cs="Arial"/>
                <w:color w:val="000000"/>
              </w:rPr>
              <w:t>12,668,296</w:t>
            </w:r>
          </w:p>
        </w:tc>
        <w:tc>
          <w:tcPr>
            <w:tcW w:w="646" w:type="pct"/>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1F8953B0" w14:textId="7525C98F" w:rsidR="00A07329" w:rsidRPr="00CB0971" w:rsidRDefault="002C44FE" w:rsidP="00360131">
            <w:pPr>
              <w:jc w:val="center"/>
            </w:pPr>
            <w:r>
              <w:rPr>
                <w:rFonts w:ascii="Arial" w:hAnsi="Arial" w:cs="Arial"/>
                <w:color w:val="000000"/>
              </w:rPr>
              <w:t>12,807,647</w:t>
            </w:r>
          </w:p>
        </w:tc>
        <w:tc>
          <w:tcPr>
            <w:tcW w:w="646" w:type="pct"/>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725C37CA" w14:textId="69407930" w:rsidR="00A07329" w:rsidRPr="00CB0971" w:rsidRDefault="002C44FE" w:rsidP="00360131">
            <w:pPr>
              <w:jc w:val="center"/>
            </w:pPr>
            <w:r>
              <w:rPr>
                <w:rFonts w:ascii="Arial" w:hAnsi="Arial" w:cs="Arial"/>
                <w:color w:val="000000"/>
              </w:rPr>
              <w:t>12,948,532</w:t>
            </w:r>
          </w:p>
        </w:tc>
        <w:tc>
          <w:tcPr>
            <w:tcW w:w="647" w:type="pct"/>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56D52AB4" w14:textId="74F75046" w:rsidR="00A07329" w:rsidRPr="00CB0971" w:rsidRDefault="002C44FE" w:rsidP="00360131">
            <w:pPr>
              <w:jc w:val="center"/>
            </w:pPr>
            <w:r>
              <w:rPr>
                <w:rFonts w:ascii="Arial" w:hAnsi="Arial" w:cs="Arial"/>
                <w:color w:val="000000"/>
              </w:rPr>
              <w:t>13,090,965</w:t>
            </w:r>
          </w:p>
        </w:tc>
      </w:tr>
      <w:tr w:rsidR="00011278" w:rsidRPr="00BF47C7" w14:paraId="013198E6" w14:textId="77777777" w:rsidTr="003F1732">
        <w:trPr>
          <w:cnfStyle w:val="000000010000" w:firstRow="0" w:lastRow="0" w:firstColumn="0" w:lastColumn="0" w:oddVBand="0" w:evenVBand="0" w:oddHBand="0" w:evenHBand="1" w:firstRowFirstColumn="0" w:firstRowLastColumn="0" w:lastRowFirstColumn="0" w:lastRowLastColumn="0"/>
          <w:trHeight w:val="300"/>
        </w:trPr>
        <w:tc>
          <w:tcPr>
            <w:tcW w:w="1121" w:type="pct"/>
            <w:tcBorders>
              <w:top w:val="single" w:sz="2" w:space="0" w:color="002279"/>
              <w:left w:val="single" w:sz="4" w:space="0" w:color="002279"/>
              <w:bottom w:val="single" w:sz="2" w:space="0" w:color="002279"/>
              <w:right w:val="single" w:sz="4" w:space="0" w:color="002279"/>
            </w:tcBorders>
            <w:shd w:val="clear" w:color="auto" w:fill="FFFFFF" w:themeFill="background1"/>
            <w:noWrap/>
            <w:hideMark/>
          </w:tcPr>
          <w:p w14:paraId="498F1872" w14:textId="5A5B7794" w:rsidR="00A07329" w:rsidRPr="00CB0971" w:rsidRDefault="0095626B" w:rsidP="00A07329">
            <w:r w:rsidRPr="00CB0971">
              <w:t>Billable suspended solids (kg)</w:t>
            </w:r>
          </w:p>
        </w:tc>
        <w:tc>
          <w:tcPr>
            <w:tcW w:w="646"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11A99D37" w14:textId="08B35178" w:rsidR="00A07329" w:rsidRPr="00CB0971" w:rsidRDefault="002C44FE" w:rsidP="00360131">
            <w:pPr>
              <w:jc w:val="center"/>
            </w:pPr>
            <w:r>
              <w:rPr>
                <w:rFonts w:ascii="Arial" w:hAnsi="Arial" w:cs="Arial"/>
                <w:color w:val="000000"/>
              </w:rPr>
              <w:t>5,220,018</w:t>
            </w:r>
          </w:p>
        </w:tc>
        <w:tc>
          <w:tcPr>
            <w:tcW w:w="646"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33010B9E" w14:textId="2CC62DAF" w:rsidR="00A07329" w:rsidRPr="00CB0971" w:rsidRDefault="002C44FE" w:rsidP="00360131">
            <w:pPr>
              <w:jc w:val="center"/>
            </w:pPr>
            <w:r>
              <w:rPr>
                <w:rFonts w:ascii="Arial" w:hAnsi="Arial" w:cs="Arial"/>
                <w:color w:val="000000"/>
              </w:rPr>
              <w:t>5,272,218</w:t>
            </w:r>
          </w:p>
        </w:tc>
        <w:tc>
          <w:tcPr>
            <w:tcW w:w="646"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4A276E8F" w14:textId="4AF67E17" w:rsidR="00A07329" w:rsidRPr="00CB0971" w:rsidRDefault="002C44FE" w:rsidP="00360131">
            <w:pPr>
              <w:jc w:val="center"/>
            </w:pPr>
            <w:r>
              <w:rPr>
                <w:rFonts w:ascii="Arial" w:hAnsi="Arial" w:cs="Arial"/>
                <w:color w:val="000000"/>
              </w:rPr>
              <w:t>5,324,941</w:t>
            </w:r>
          </w:p>
        </w:tc>
        <w:tc>
          <w:tcPr>
            <w:tcW w:w="646"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65C94CB2" w14:textId="348BF1B0" w:rsidR="00A07329" w:rsidRPr="00CB0971" w:rsidRDefault="002C44FE" w:rsidP="00360131">
            <w:pPr>
              <w:jc w:val="center"/>
            </w:pPr>
            <w:r>
              <w:rPr>
                <w:rFonts w:ascii="Arial" w:hAnsi="Arial" w:cs="Arial"/>
                <w:color w:val="000000"/>
              </w:rPr>
              <w:t>5,378,190</w:t>
            </w:r>
          </w:p>
        </w:tc>
        <w:tc>
          <w:tcPr>
            <w:tcW w:w="646"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76904651" w14:textId="2DF54339" w:rsidR="00A07329" w:rsidRPr="00CB0971" w:rsidRDefault="002C44FE" w:rsidP="00360131">
            <w:pPr>
              <w:jc w:val="center"/>
            </w:pPr>
            <w:r>
              <w:rPr>
                <w:rFonts w:ascii="Arial" w:hAnsi="Arial" w:cs="Arial"/>
                <w:color w:val="000000"/>
              </w:rPr>
              <w:t>5,431,972</w:t>
            </w:r>
          </w:p>
        </w:tc>
        <w:tc>
          <w:tcPr>
            <w:tcW w:w="647"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17E682B8" w14:textId="424C4C9A" w:rsidR="00A07329" w:rsidRPr="00CB0971" w:rsidRDefault="002C44FE" w:rsidP="00360131">
            <w:pPr>
              <w:jc w:val="center"/>
            </w:pPr>
            <w:r>
              <w:rPr>
                <w:rFonts w:ascii="Arial" w:hAnsi="Arial" w:cs="Arial"/>
                <w:color w:val="000000"/>
              </w:rPr>
              <w:t>5,486,292</w:t>
            </w:r>
          </w:p>
        </w:tc>
      </w:tr>
      <w:tr w:rsidR="00011278" w:rsidRPr="00BF47C7" w14:paraId="7FB8E9BC" w14:textId="77777777" w:rsidTr="003F1732">
        <w:trPr>
          <w:cnfStyle w:val="000000100000" w:firstRow="0" w:lastRow="0" w:firstColumn="0" w:lastColumn="0" w:oddVBand="0" w:evenVBand="0" w:oddHBand="1" w:evenHBand="0" w:firstRowFirstColumn="0" w:firstRowLastColumn="0" w:lastRowFirstColumn="0" w:lastRowLastColumn="0"/>
          <w:trHeight w:val="300"/>
        </w:trPr>
        <w:tc>
          <w:tcPr>
            <w:tcW w:w="1121" w:type="pct"/>
            <w:tcBorders>
              <w:top w:val="single" w:sz="2" w:space="0" w:color="002279"/>
              <w:left w:val="single" w:sz="4" w:space="0" w:color="002279"/>
              <w:bottom w:val="single" w:sz="2" w:space="0" w:color="002279"/>
              <w:right w:val="single" w:sz="4" w:space="0" w:color="002279"/>
            </w:tcBorders>
            <w:shd w:val="clear" w:color="auto" w:fill="D4D6DF"/>
            <w:noWrap/>
            <w:hideMark/>
          </w:tcPr>
          <w:p w14:paraId="66C3710A" w14:textId="6111DF3D" w:rsidR="00A07329" w:rsidRPr="00CB0971" w:rsidRDefault="00AB2105" w:rsidP="00AB2105">
            <w:r w:rsidRPr="00CB0971">
              <w:t xml:space="preserve">Billable </w:t>
            </w:r>
            <w:r w:rsidR="002C44FE" w:rsidRPr="00601BA9">
              <w:t>Total</w:t>
            </w:r>
            <w:r w:rsidRPr="00CB0971">
              <w:t xml:space="preserve"> </w:t>
            </w:r>
            <w:r w:rsidR="00D5768F">
              <w:t>K</w:t>
            </w:r>
            <w:r w:rsidRPr="00CB0971">
              <w:t xml:space="preserve">jeldahl </w:t>
            </w:r>
            <w:r w:rsidR="002C44FE" w:rsidRPr="00601BA9">
              <w:t>Nitrogen (</w:t>
            </w:r>
            <w:r w:rsidR="002A1218">
              <w:t>TKN</w:t>
            </w:r>
            <w:r w:rsidRPr="00CB0971">
              <w:t>) (kg)</w:t>
            </w:r>
          </w:p>
        </w:tc>
        <w:tc>
          <w:tcPr>
            <w:tcW w:w="646" w:type="pct"/>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72D48364" w14:textId="6360EA91" w:rsidR="00A07329" w:rsidRPr="00CB0971" w:rsidRDefault="002C44FE" w:rsidP="00360131">
            <w:pPr>
              <w:jc w:val="center"/>
            </w:pPr>
            <w:r>
              <w:rPr>
                <w:rFonts w:ascii="Arial" w:hAnsi="Arial" w:cs="Arial"/>
                <w:color w:val="000000"/>
              </w:rPr>
              <w:t>636,992</w:t>
            </w:r>
          </w:p>
        </w:tc>
        <w:tc>
          <w:tcPr>
            <w:tcW w:w="646" w:type="pct"/>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5DC19B2C" w14:textId="46D1E5F7" w:rsidR="00A07329" w:rsidRPr="00CB0971" w:rsidRDefault="002C44FE" w:rsidP="00360131">
            <w:pPr>
              <w:jc w:val="center"/>
            </w:pPr>
            <w:r>
              <w:rPr>
                <w:rFonts w:ascii="Arial" w:hAnsi="Arial" w:cs="Arial"/>
                <w:color w:val="000000"/>
              </w:rPr>
              <w:t>641,451</w:t>
            </w:r>
          </w:p>
        </w:tc>
        <w:tc>
          <w:tcPr>
            <w:tcW w:w="646" w:type="pct"/>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676ACCF6" w14:textId="4D6A9A0A" w:rsidR="00A07329" w:rsidRPr="00CB0971" w:rsidRDefault="002C44FE" w:rsidP="00360131">
            <w:pPr>
              <w:jc w:val="center"/>
            </w:pPr>
            <w:r>
              <w:rPr>
                <w:rFonts w:ascii="Arial" w:hAnsi="Arial" w:cs="Arial"/>
                <w:color w:val="000000"/>
              </w:rPr>
              <w:t>645,942</w:t>
            </w:r>
          </w:p>
        </w:tc>
        <w:tc>
          <w:tcPr>
            <w:tcW w:w="646" w:type="pct"/>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0745DB61" w14:textId="75239947" w:rsidR="00A07329" w:rsidRPr="00CB0971" w:rsidRDefault="002C44FE" w:rsidP="00360131">
            <w:pPr>
              <w:jc w:val="center"/>
            </w:pPr>
            <w:r>
              <w:rPr>
                <w:rFonts w:ascii="Arial" w:hAnsi="Arial" w:cs="Arial"/>
                <w:color w:val="000000"/>
              </w:rPr>
              <w:t>650,463</w:t>
            </w:r>
          </w:p>
        </w:tc>
        <w:tc>
          <w:tcPr>
            <w:tcW w:w="646" w:type="pct"/>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1DFDBBD5" w14:textId="5C81A4C7" w:rsidR="00A07329" w:rsidRPr="00CB0971" w:rsidRDefault="002C44FE" w:rsidP="00360131">
            <w:pPr>
              <w:jc w:val="center"/>
            </w:pPr>
            <w:r>
              <w:rPr>
                <w:rFonts w:ascii="Arial" w:hAnsi="Arial" w:cs="Arial"/>
                <w:color w:val="000000"/>
              </w:rPr>
              <w:t>655,016</w:t>
            </w:r>
          </w:p>
        </w:tc>
        <w:tc>
          <w:tcPr>
            <w:tcW w:w="647" w:type="pct"/>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2A1B9892" w14:textId="07B53374" w:rsidR="00A07329" w:rsidRPr="00CB0971" w:rsidRDefault="002C44FE" w:rsidP="00360131">
            <w:pPr>
              <w:jc w:val="center"/>
            </w:pPr>
            <w:r>
              <w:rPr>
                <w:rFonts w:ascii="Arial" w:hAnsi="Arial" w:cs="Arial"/>
                <w:color w:val="000000"/>
              </w:rPr>
              <w:t>659,602</w:t>
            </w:r>
          </w:p>
        </w:tc>
      </w:tr>
      <w:tr w:rsidR="00011278" w:rsidRPr="00BF47C7" w14:paraId="303BBBE8" w14:textId="77777777" w:rsidTr="003F1732">
        <w:trPr>
          <w:cnfStyle w:val="000000010000" w:firstRow="0" w:lastRow="0" w:firstColumn="0" w:lastColumn="0" w:oddVBand="0" w:evenVBand="0" w:oddHBand="0" w:evenHBand="1" w:firstRowFirstColumn="0" w:firstRowLastColumn="0" w:lastRowFirstColumn="0" w:lastRowLastColumn="0"/>
          <w:trHeight w:val="300"/>
        </w:trPr>
        <w:tc>
          <w:tcPr>
            <w:tcW w:w="1121" w:type="pct"/>
            <w:tcBorders>
              <w:top w:val="single" w:sz="2" w:space="0" w:color="002279"/>
              <w:left w:val="single" w:sz="4" w:space="0" w:color="002279"/>
              <w:bottom w:val="single" w:sz="2" w:space="0" w:color="002279"/>
              <w:right w:val="single" w:sz="4" w:space="0" w:color="002279"/>
            </w:tcBorders>
            <w:shd w:val="clear" w:color="auto" w:fill="FFFFFF" w:themeFill="background1"/>
            <w:noWrap/>
            <w:hideMark/>
          </w:tcPr>
          <w:p w14:paraId="73EBC32F" w14:textId="76E627E4" w:rsidR="00A07329" w:rsidRPr="00CB0971" w:rsidRDefault="0090448A" w:rsidP="0090448A">
            <w:r w:rsidRPr="00CB0971">
              <w:t>Customers drawing non</w:t>
            </w:r>
            <w:r w:rsidR="002C44FE" w:rsidRPr="00601BA9">
              <w:t xml:space="preserve"> potable</w:t>
            </w:r>
            <w:r w:rsidRPr="00CB0971">
              <w:t xml:space="preserve"> water from Bunyip</w:t>
            </w:r>
            <w:r w:rsidR="002C44FE" w:rsidRPr="00601BA9">
              <w:t xml:space="preserve"> </w:t>
            </w:r>
            <w:r w:rsidRPr="00CB0971">
              <w:t>and Tarago open channels (kL)</w:t>
            </w:r>
          </w:p>
        </w:tc>
        <w:tc>
          <w:tcPr>
            <w:tcW w:w="646"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36ABE5E0" w14:textId="4B2241D5" w:rsidR="00A07329" w:rsidRPr="00CB0971" w:rsidRDefault="00527196" w:rsidP="00360131">
            <w:pPr>
              <w:jc w:val="center"/>
            </w:pPr>
            <w:r>
              <w:rPr>
                <w:rFonts w:ascii="Arial" w:hAnsi="Arial" w:cs="Arial"/>
                <w:color w:val="000000"/>
              </w:rPr>
              <w:t>61,147</w:t>
            </w:r>
          </w:p>
        </w:tc>
        <w:tc>
          <w:tcPr>
            <w:tcW w:w="646"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7B9E8954" w14:textId="65DD96FF" w:rsidR="00A07329" w:rsidRPr="00CB0971" w:rsidRDefault="00527196" w:rsidP="00360131">
            <w:pPr>
              <w:jc w:val="center"/>
            </w:pPr>
            <w:r>
              <w:rPr>
                <w:rFonts w:ascii="Arial" w:hAnsi="Arial" w:cs="Arial"/>
                <w:color w:val="000000"/>
              </w:rPr>
              <w:t>61,822</w:t>
            </w:r>
          </w:p>
        </w:tc>
        <w:tc>
          <w:tcPr>
            <w:tcW w:w="646"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0C075C3F" w14:textId="124DFBBF" w:rsidR="00A07329" w:rsidRPr="00CB0971" w:rsidRDefault="00527196" w:rsidP="00360131">
            <w:pPr>
              <w:jc w:val="center"/>
            </w:pPr>
            <w:r>
              <w:rPr>
                <w:rFonts w:ascii="Arial" w:hAnsi="Arial" w:cs="Arial"/>
                <w:color w:val="000000"/>
              </w:rPr>
              <w:t>62,505</w:t>
            </w:r>
          </w:p>
        </w:tc>
        <w:tc>
          <w:tcPr>
            <w:tcW w:w="646"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116A92C3" w14:textId="5549F167" w:rsidR="00A07329" w:rsidRPr="00CB0971" w:rsidRDefault="00527196" w:rsidP="00360131">
            <w:pPr>
              <w:jc w:val="center"/>
            </w:pPr>
            <w:r>
              <w:rPr>
                <w:rFonts w:ascii="Arial" w:hAnsi="Arial" w:cs="Arial"/>
                <w:color w:val="000000"/>
              </w:rPr>
              <w:t>63,195</w:t>
            </w:r>
          </w:p>
        </w:tc>
        <w:tc>
          <w:tcPr>
            <w:tcW w:w="646"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408D0D52" w14:textId="03C41870" w:rsidR="00A07329" w:rsidRPr="00CB0971" w:rsidRDefault="00527196" w:rsidP="00360131">
            <w:pPr>
              <w:jc w:val="center"/>
            </w:pPr>
            <w:r>
              <w:rPr>
                <w:rFonts w:ascii="Arial" w:hAnsi="Arial" w:cs="Arial"/>
                <w:color w:val="000000"/>
              </w:rPr>
              <w:t>63,893</w:t>
            </w:r>
          </w:p>
        </w:tc>
        <w:tc>
          <w:tcPr>
            <w:tcW w:w="647"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7E44CB64" w14:textId="77A96362" w:rsidR="00A07329" w:rsidRPr="00CB0971" w:rsidRDefault="00527196" w:rsidP="00360131">
            <w:pPr>
              <w:jc w:val="center"/>
            </w:pPr>
            <w:r>
              <w:rPr>
                <w:rFonts w:ascii="Arial" w:hAnsi="Arial" w:cs="Arial"/>
                <w:color w:val="000000"/>
              </w:rPr>
              <w:t>64,599</w:t>
            </w:r>
          </w:p>
        </w:tc>
      </w:tr>
      <w:tr w:rsidR="00011278" w:rsidRPr="00BF47C7" w14:paraId="65541829" w14:textId="77777777" w:rsidTr="003F1732">
        <w:trPr>
          <w:cnfStyle w:val="000000100000" w:firstRow="0" w:lastRow="0" w:firstColumn="0" w:lastColumn="0" w:oddVBand="0" w:evenVBand="0" w:oddHBand="1" w:evenHBand="0" w:firstRowFirstColumn="0" w:firstRowLastColumn="0" w:lastRowFirstColumn="0" w:lastRowLastColumn="0"/>
          <w:trHeight w:val="300"/>
        </w:trPr>
        <w:tc>
          <w:tcPr>
            <w:tcW w:w="1121" w:type="pct"/>
            <w:tcBorders>
              <w:top w:val="single" w:sz="2" w:space="0" w:color="002279"/>
              <w:left w:val="single" w:sz="4" w:space="0" w:color="002279"/>
              <w:bottom w:val="single" w:sz="4" w:space="0" w:color="002279"/>
              <w:right w:val="single" w:sz="4" w:space="0" w:color="002279"/>
            </w:tcBorders>
            <w:shd w:val="clear" w:color="auto" w:fill="D4D6DF"/>
            <w:noWrap/>
            <w:hideMark/>
          </w:tcPr>
          <w:p w14:paraId="7EA4816E" w14:textId="436375DE" w:rsidR="00A07329" w:rsidRPr="00CB0971" w:rsidRDefault="00EF71FE" w:rsidP="00EF71FE">
            <w:r w:rsidRPr="00CB0971">
              <w:t>Volume of recycled water –</w:t>
            </w:r>
            <w:r w:rsidR="002C44FE" w:rsidRPr="00601BA9">
              <w:t xml:space="preserve"> </w:t>
            </w:r>
            <w:r w:rsidRPr="00CB0971">
              <w:t>residential consumer (kL)</w:t>
            </w:r>
          </w:p>
        </w:tc>
        <w:tc>
          <w:tcPr>
            <w:tcW w:w="646" w:type="pct"/>
            <w:tcBorders>
              <w:top w:val="single" w:sz="2" w:space="0" w:color="002279"/>
              <w:left w:val="single" w:sz="4" w:space="0" w:color="002279"/>
              <w:bottom w:val="single" w:sz="4" w:space="0" w:color="002279"/>
              <w:right w:val="single" w:sz="4" w:space="0" w:color="002279"/>
            </w:tcBorders>
            <w:shd w:val="clear" w:color="auto" w:fill="D4D6DF"/>
            <w:noWrap/>
            <w:vAlign w:val="center"/>
            <w:hideMark/>
          </w:tcPr>
          <w:p w14:paraId="0806441D" w14:textId="6F751CB7" w:rsidR="00A07329" w:rsidRPr="00CB0971" w:rsidRDefault="00527196" w:rsidP="00360131">
            <w:pPr>
              <w:jc w:val="center"/>
            </w:pPr>
            <w:r>
              <w:rPr>
                <w:rFonts w:ascii="Arial" w:hAnsi="Arial" w:cs="Arial"/>
                <w:color w:val="000000"/>
              </w:rPr>
              <w:t>2,076,350</w:t>
            </w:r>
          </w:p>
        </w:tc>
        <w:tc>
          <w:tcPr>
            <w:tcW w:w="646" w:type="pct"/>
            <w:tcBorders>
              <w:top w:val="single" w:sz="2" w:space="0" w:color="002279"/>
              <w:left w:val="single" w:sz="4" w:space="0" w:color="002279"/>
              <w:bottom w:val="single" w:sz="4" w:space="0" w:color="002279"/>
              <w:right w:val="single" w:sz="4" w:space="0" w:color="002279"/>
            </w:tcBorders>
            <w:shd w:val="clear" w:color="auto" w:fill="D4D6DF"/>
            <w:noWrap/>
            <w:vAlign w:val="center"/>
            <w:hideMark/>
          </w:tcPr>
          <w:p w14:paraId="736FB66B" w14:textId="53FEF498" w:rsidR="00A07329" w:rsidRPr="00CB0971" w:rsidRDefault="00527196" w:rsidP="00360131">
            <w:pPr>
              <w:jc w:val="center"/>
            </w:pPr>
            <w:r>
              <w:rPr>
                <w:rFonts w:ascii="Arial" w:hAnsi="Arial" w:cs="Arial"/>
                <w:color w:val="000000"/>
              </w:rPr>
              <w:t>2,263,406</w:t>
            </w:r>
          </w:p>
        </w:tc>
        <w:tc>
          <w:tcPr>
            <w:tcW w:w="646" w:type="pct"/>
            <w:tcBorders>
              <w:top w:val="single" w:sz="2" w:space="0" w:color="002279"/>
              <w:left w:val="single" w:sz="4" w:space="0" w:color="002279"/>
              <w:bottom w:val="single" w:sz="4" w:space="0" w:color="002279"/>
              <w:right w:val="single" w:sz="4" w:space="0" w:color="002279"/>
            </w:tcBorders>
            <w:shd w:val="clear" w:color="auto" w:fill="D4D6DF"/>
            <w:noWrap/>
            <w:vAlign w:val="center"/>
            <w:hideMark/>
          </w:tcPr>
          <w:p w14:paraId="1FB61551" w14:textId="7DE6F7B3" w:rsidR="00A07329" w:rsidRPr="00CB0971" w:rsidRDefault="00527196" w:rsidP="00360131">
            <w:pPr>
              <w:jc w:val="center"/>
            </w:pPr>
            <w:r>
              <w:rPr>
                <w:rFonts w:ascii="Arial" w:hAnsi="Arial" w:cs="Arial"/>
                <w:color w:val="000000"/>
              </w:rPr>
              <w:t>2,451,622</w:t>
            </w:r>
          </w:p>
        </w:tc>
        <w:tc>
          <w:tcPr>
            <w:tcW w:w="646" w:type="pct"/>
            <w:tcBorders>
              <w:top w:val="single" w:sz="2" w:space="0" w:color="002279"/>
              <w:left w:val="single" w:sz="4" w:space="0" w:color="002279"/>
              <w:bottom w:val="single" w:sz="4" w:space="0" w:color="002279"/>
              <w:right w:val="single" w:sz="4" w:space="0" w:color="002279"/>
            </w:tcBorders>
            <w:shd w:val="clear" w:color="auto" w:fill="D4D6DF"/>
            <w:noWrap/>
            <w:vAlign w:val="center"/>
            <w:hideMark/>
          </w:tcPr>
          <w:p w14:paraId="275C9460" w14:textId="082DCF38" w:rsidR="00A07329" w:rsidRPr="00CB0971" w:rsidRDefault="00527196" w:rsidP="00360131">
            <w:pPr>
              <w:jc w:val="center"/>
            </w:pPr>
            <w:r>
              <w:rPr>
                <w:rFonts w:ascii="Arial" w:hAnsi="Arial" w:cs="Arial"/>
                <w:color w:val="000000"/>
              </w:rPr>
              <w:t>2,648,274</w:t>
            </w:r>
          </w:p>
        </w:tc>
        <w:tc>
          <w:tcPr>
            <w:tcW w:w="646" w:type="pct"/>
            <w:tcBorders>
              <w:top w:val="single" w:sz="2" w:space="0" w:color="002279"/>
              <w:left w:val="single" w:sz="4" w:space="0" w:color="002279"/>
              <w:bottom w:val="single" w:sz="4" w:space="0" w:color="002279"/>
              <w:right w:val="single" w:sz="4" w:space="0" w:color="002279"/>
            </w:tcBorders>
            <w:shd w:val="clear" w:color="auto" w:fill="D4D6DF"/>
            <w:noWrap/>
            <w:vAlign w:val="center"/>
            <w:hideMark/>
          </w:tcPr>
          <w:p w14:paraId="25B4F973" w14:textId="44DBAB80" w:rsidR="00A07329" w:rsidRPr="00CB0971" w:rsidRDefault="00527196" w:rsidP="00360131">
            <w:pPr>
              <w:jc w:val="center"/>
            </w:pPr>
            <w:r>
              <w:rPr>
                <w:rFonts w:ascii="Arial" w:hAnsi="Arial" w:cs="Arial"/>
                <w:color w:val="000000"/>
              </w:rPr>
              <w:t>2,846,086</w:t>
            </w:r>
          </w:p>
        </w:tc>
        <w:tc>
          <w:tcPr>
            <w:tcW w:w="647" w:type="pct"/>
            <w:tcBorders>
              <w:top w:val="single" w:sz="2" w:space="0" w:color="002279"/>
              <w:left w:val="single" w:sz="4" w:space="0" w:color="002279"/>
              <w:bottom w:val="single" w:sz="4" w:space="0" w:color="002279"/>
              <w:right w:val="single" w:sz="4" w:space="0" w:color="002279"/>
            </w:tcBorders>
            <w:shd w:val="clear" w:color="auto" w:fill="D4D6DF"/>
            <w:noWrap/>
            <w:vAlign w:val="center"/>
            <w:hideMark/>
          </w:tcPr>
          <w:p w14:paraId="2AD26AB3" w14:textId="09CA649A" w:rsidR="00A07329" w:rsidRPr="00CB0971" w:rsidRDefault="00527196" w:rsidP="00360131">
            <w:pPr>
              <w:jc w:val="center"/>
            </w:pPr>
            <w:r>
              <w:rPr>
                <w:rFonts w:ascii="Arial" w:hAnsi="Arial" w:cs="Arial"/>
                <w:color w:val="000000"/>
              </w:rPr>
              <w:t>3,045,058</w:t>
            </w:r>
          </w:p>
        </w:tc>
      </w:tr>
    </w:tbl>
    <w:p w14:paraId="4DC1A30D" w14:textId="34A6F268" w:rsidR="0069334A" w:rsidRDefault="00F01B35" w:rsidP="00A27898">
      <w:r>
        <w:rPr>
          <w:noProof/>
        </w:rPr>
        <mc:AlternateContent>
          <mc:Choice Requires="wps">
            <w:drawing>
              <wp:anchor distT="45720" distB="45720" distL="114300" distR="114300" simplePos="0" relativeHeight="251658288" behindDoc="0" locked="0" layoutInCell="1" allowOverlap="1" wp14:anchorId="0E4677FF" wp14:editId="6CB9CFC6">
                <wp:simplePos x="0" y="0"/>
                <wp:positionH relativeFrom="column">
                  <wp:posOffset>2540</wp:posOffset>
                </wp:positionH>
                <wp:positionV relativeFrom="paragraph">
                  <wp:posOffset>342053</wp:posOffset>
                </wp:positionV>
                <wp:extent cx="6059805" cy="1819910"/>
                <wp:effectExtent l="0" t="0" r="0" b="0"/>
                <wp:wrapSquare wrapText="bothSides"/>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9805" cy="1819910"/>
                        </a:xfrm>
                        <a:prstGeom prst="rect">
                          <a:avLst/>
                        </a:prstGeom>
                        <a:solidFill>
                          <a:srgbClr val="FF8D00"/>
                        </a:solidFill>
                        <a:ln w="9525">
                          <a:noFill/>
                          <a:miter lim="800000"/>
                          <a:headEnd/>
                          <a:tailEnd/>
                        </a:ln>
                      </wps:spPr>
                      <wps:txbx>
                        <w:txbxContent>
                          <w:p w14:paraId="614C6550" w14:textId="426D17F3" w:rsidR="0069334A" w:rsidRPr="00116E55" w:rsidRDefault="0069334A" w:rsidP="00116E55">
                            <w:pPr>
                              <w:pStyle w:val="Heading3"/>
                              <w:spacing w:before="0" w:after="240"/>
                              <w:rPr>
                                <w:color w:val="FFFFFF" w:themeColor="background1"/>
                                <w:sz w:val="24"/>
                              </w:rPr>
                            </w:pPr>
                            <w:r>
                              <w:rPr>
                                <w:color w:val="FFFFFF" w:themeColor="background1"/>
                                <w:sz w:val="24"/>
                              </w:rPr>
                              <w:t>Supporting documents</w:t>
                            </w:r>
                          </w:p>
                          <w:p w14:paraId="0B3B8F4D" w14:textId="38B03607" w:rsidR="0069334A" w:rsidRPr="00BA395F" w:rsidRDefault="0069334A" w:rsidP="00116E55">
                            <w:pPr>
                              <w:pStyle w:val="ListParagraph"/>
                              <w:ind w:left="426" w:hanging="349"/>
                              <w:rPr>
                                <w:rFonts w:asciiTheme="minorHAnsi" w:hAnsiTheme="minorHAnsi"/>
                                <w:b/>
                                <w:color w:val="FFFFFF" w:themeColor="background1"/>
                                <w:sz w:val="22"/>
                                <w:szCs w:val="22"/>
                              </w:rPr>
                            </w:pPr>
                            <w:r w:rsidRPr="00BA395F">
                              <w:rPr>
                                <w:rFonts w:asciiTheme="minorHAnsi" w:hAnsiTheme="minorHAnsi"/>
                                <w:b/>
                                <w:color w:val="FFFFFF" w:themeColor="background1"/>
                                <w:sz w:val="22"/>
                                <w:szCs w:val="22"/>
                              </w:rPr>
                              <w:t>Demand Manual</w:t>
                            </w:r>
                            <w:r w:rsidR="001961CF">
                              <w:rPr>
                                <w:rFonts w:asciiTheme="minorHAnsi" w:hAnsiTheme="minorHAnsi"/>
                                <w:b/>
                                <w:color w:val="FFFFFF" w:themeColor="background1"/>
                                <w:sz w:val="22"/>
                                <w:szCs w:val="22"/>
                              </w:rPr>
                              <w:t xml:space="preserve"> – F</w:t>
                            </w:r>
                            <w:r w:rsidRPr="00BA395F">
                              <w:rPr>
                                <w:rFonts w:asciiTheme="minorHAnsi" w:hAnsiTheme="minorHAnsi"/>
                                <w:b/>
                                <w:color w:val="FFFFFF" w:themeColor="background1"/>
                                <w:sz w:val="22"/>
                                <w:szCs w:val="22"/>
                              </w:rPr>
                              <w:t>orecasting methodologies</w:t>
                            </w:r>
                          </w:p>
                          <w:p w14:paraId="06F534B9" w14:textId="07E1A13A" w:rsidR="0069334A" w:rsidRPr="00BA395F" w:rsidRDefault="0069334A" w:rsidP="00116E55">
                            <w:pPr>
                              <w:pStyle w:val="ListParagraph"/>
                              <w:ind w:left="426" w:hanging="349"/>
                              <w:rPr>
                                <w:rFonts w:asciiTheme="minorHAnsi" w:hAnsiTheme="minorHAnsi"/>
                                <w:b/>
                                <w:color w:val="FFFFFF" w:themeColor="background1"/>
                                <w:sz w:val="22"/>
                                <w:szCs w:val="22"/>
                              </w:rPr>
                            </w:pPr>
                            <w:r w:rsidRPr="00BA395F">
                              <w:rPr>
                                <w:rFonts w:asciiTheme="minorHAnsi" w:hAnsiTheme="minorHAnsi"/>
                                <w:b/>
                                <w:color w:val="FFFFFF" w:themeColor="background1"/>
                                <w:sz w:val="22"/>
                                <w:szCs w:val="22"/>
                              </w:rPr>
                              <w:t xml:space="preserve">Demand Manual </w:t>
                            </w:r>
                            <w:r w:rsidR="003D6B2B">
                              <w:rPr>
                                <w:rFonts w:asciiTheme="minorHAnsi" w:hAnsiTheme="minorHAnsi"/>
                                <w:b/>
                                <w:color w:val="FFFFFF" w:themeColor="background1"/>
                                <w:sz w:val="22"/>
                                <w:szCs w:val="22"/>
                              </w:rPr>
                              <w:t>– Dwelling and population forecast</w:t>
                            </w:r>
                          </w:p>
                          <w:p w14:paraId="07F45615" w14:textId="77777777" w:rsidR="0069334A" w:rsidRPr="00BA395F" w:rsidRDefault="0069334A" w:rsidP="00116E55">
                            <w:pPr>
                              <w:pStyle w:val="ListParagraph"/>
                              <w:ind w:left="426" w:hanging="349"/>
                              <w:rPr>
                                <w:rFonts w:asciiTheme="minorHAnsi" w:hAnsiTheme="minorHAnsi"/>
                                <w:b/>
                                <w:color w:val="FFFFFF" w:themeColor="background1"/>
                                <w:sz w:val="22"/>
                                <w:szCs w:val="22"/>
                              </w:rPr>
                            </w:pPr>
                            <w:r w:rsidRPr="00BA395F">
                              <w:rPr>
                                <w:rFonts w:asciiTheme="minorHAnsi" w:hAnsiTheme="minorHAnsi"/>
                                <w:b/>
                                <w:color w:val="FFFFFF" w:themeColor="background1"/>
                                <w:sz w:val="22"/>
                                <w:szCs w:val="22"/>
                              </w:rPr>
                              <w:t>South East Water Region: Population Update (Spatial Economics, August 2022)</w:t>
                            </w:r>
                          </w:p>
                          <w:p w14:paraId="439711EF" w14:textId="670F52B7" w:rsidR="0069334A" w:rsidRPr="00BA395F" w:rsidRDefault="0069334A" w:rsidP="00116E55">
                            <w:pPr>
                              <w:pStyle w:val="ListParagraph"/>
                              <w:ind w:left="426" w:hanging="349"/>
                              <w:rPr>
                                <w:rFonts w:asciiTheme="minorHAnsi" w:hAnsiTheme="minorHAnsi"/>
                                <w:b/>
                                <w:color w:val="FFFFFF" w:themeColor="background1"/>
                                <w:sz w:val="22"/>
                                <w:szCs w:val="22"/>
                              </w:rPr>
                            </w:pPr>
                            <w:r w:rsidRPr="00BA395F">
                              <w:rPr>
                                <w:rFonts w:asciiTheme="minorHAnsi" w:hAnsiTheme="minorHAnsi"/>
                                <w:b/>
                                <w:color w:val="FFFFFF" w:themeColor="background1"/>
                                <w:sz w:val="22"/>
                                <w:szCs w:val="22"/>
                              </w:rPr>
                              <w:t>South East Water Demographic Projections: A Review of Key Assumptions (Spatial Economics, July 2022)</w:t>
                            </w:r>
                          </w:p>
                          <w:p w14:paraId="365C1E8C" w14:textId="2C3F1C29" w:rsidR="0069334A" w:rsidRPr="00116E55" w:rsidRDefault="0069334A" w:rsidP="00116E55">
                            <w:pPr>
                              <w:pStyle w:val="ListParagraph"/>
                              <w:ind w:left="426"/>
                            </w:pPr>
                          </w:p>
                        </w:txbxContent>
                      </wps:txbx>
                      <wps:bodyPr rot="0" vert="horz" wrap="square" lIns="180000" tIns="180000" rIns="180000" bIns="180000" anchor="t" anchorCtr="0">
                        <a:noAutofit/>
                      </wps:bodyPr>
                    </wps:wsp>
                  </a:graphicData>
                </a:graphic>
                <wp14:sizeRelH relativeFrom="margin">
                  <wp14:pctWidth>0</wp14:pctWidth>
                </wp14:sizeRelH>
                <wp14:sizeRelV relativeFrom="margin">
                  <wp14:pctHeight>0</wp14:pctHeight>
                </wp14:sizeRelV>
              </wp:anchor>
            </w:drawing>
          </mc:Choice>
          <mc:Fallback>
            <w:pict>
              <v:shape w14:anchorId="0E4677FF" id="Text Box 109" o:spid="_x0000_s1063" type="#_x0000_t202" style="position:absolute;margin-left:.2pt;margin-top:26.95pt;width:477.15pt;height:143.3pt;z-index:25165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" fillcolor="#ff8d00" stroked="f">
                <v:textbox inset="5mm,5mm,5mm,5mm">
                  <w:txbxContent>
                    <w:p w14:paraId="614C6550" w14:textId="426D17F3" w:rsidR="0069334A" w:rsidRPr="00116E55" w:rsidRDefault="0069334A" w:rsidP="00116E55">
                      <w:pPr>
                        <w:pStyle w:val="Heading3"/>
                        <w:spacing w:before="0" w:after="240"/>
                        <w:rPr>
                          <w:color w:val="FFFFFF" w:themeColor="background1"/>
                          <w:sz w:val="24"/>
                        </w:rPr>
                      </w:pPr>
                      <w:r>
                        <w:rPr>
                          <w:color w:val="FFFFFF" w:themeColor="background1"/>
                          <w:sz w:val="24"/>
                        </w:rPr>
                        <w:t>Supporting documents</w:t>
                      </w:r>
                    </w:p>
                    <w:p w14:paraId="0B3B8F4D" w14:textId="38B03607" w:rsidR="0069334A" w:rsidRPr="00BA395F" w:rsidRDefault="0069334A" w:rsidP="00116E55">
                      <w:pPr>
                        <w:pStyle w:val="ListParagraph"/>
                        <w:ind w:left="426" w:hanging="349"/>
                        <w:rPr>
                          <w:rFonts w:asciiTheme="minorHAnsi" w:hAnsiTheme="minorHAnsi"/>
                          <w:b/>
                          <w:color w:val="FFFFFF" w:themeColor="background1"/>
                          <w:sz w:val="22"/>
                          <w:szCs w:val="22"/>
                        </w:rPr>
                      </w:pPr>
                      <w:r w:rsidRPr="00BA395F">
                        <w:rPr>
                          <w:rFonts w:asciiTheme="minorHAnsi" w:hAnsiTheme="minorHAnsi"/>
                          <w:b/>
                          <w:color w:val="FFFFFF" w:themeColor="background1"/>
                          <w:sz w:val="22"/>
                          <w:szCs w:val="22"/>
                        </w:rPr>
                        <w:t>Demand Manual</w:t>
                      </w:r>
                      <w:r w:rsidR="001961CF">
                        <w:rPr>
                          <w:rFonts w:asciiTheme="minorHAnsi" w:hAnsiTheme="minorHAnsi"/>
                          <w:b/>
                          <w:color w:val="FFFFFF" w:themeColor="background1"/>
                          <w:sz w:val="22"/>
                          <w:szCs w:val="22"/>
                        </w:rPr>
                        <w:t xml:space="preserve"> – F</w:t>
                      </w:r>
                      <w:r w:rsidRPr="00BA395F">
                        <w:rPr>
                          <w:rFonts w:asciiTheme="minorHAnsi" w:hAnsiTheme="minorHAnsi"/>
                          <w:b/>
                          <w:color w:val="FFFFFF" w:themeColor="background1"/>
                          <w:sz w:val="22"/>
                          <w:szCs w:val="22"/>
                        </w:rPr>
                        <w:t>orecasting methodologies</w:t>
                      </w:r>
                    </w:p>
                    <w:p w14:paraId="06F534B9" w14:textId="07E1A13A" w:rsidR="0069334A" w:rsidRPr="00BA395F" w:rsidRDefault="0069334A" w:rsidP="00116E55">
                      <w:pPr>
                        <w:pStyle w:val="ListParagraph"/>
                        <w:ind w:left="426" w:hanging="349"/>
                        <w:rPr>
                          <w:rFonts w:asciiTheme="minorHAnsi" w:hAnsiTheme="minorHAnsi"/>
                          <w:b/>
                          <w:color w:val="FFFFFF" w:themeColor="background1"/>
                          <w:sz w:val="22"/>
                          <w:szCs w:val="22"/>
                        </w:rPr>
                      </w:pPr>
                      <w:r w:rsidRPr="00BA395F">
                        <w:rPr>
                          <w:rFonts w:asciiTheme="minorHAnsi" w:hAnsiTheme="minorHAnsi"/>
                          <w:b/>
                          <w:color w:val="FFFFFF" w:themeColor="background1"/>
                          <w:sz w:val="22"/>
                          <w:szCs w:val="22"/>
                        </w:rPr>
                        <w:t xml:space="preserve">Demand Manual </w:t>
                      </w:r>
                      <w:r w:rsidR="003D6B2B">
                        <w:rPr>
                          <w:rFonts w:asciiTheme="minorHAnsi" w:hAnsiTheme="minorHAnsi"/>
                          <w:b/>
                          <w:color w:val="FFFFFF" w:themeColor="background1"/>
                          <w:sz w:val="22"/>
                          <w:szCs w:val="22"/>
                        </w:rPr>
                        <w:t>– Dwelling and population forecast</w:t>
                      </w:r>
                    </w:p>
                    <w:p w14:paraId="07F45615" w14:textId="77777777" w:rsidR="0069334A" w:rsidRPr="00BA395F" w:rsidRDefault="0069334A" w:rsidP="00116E55">
                      <w:pPr>
                        <w:pStyle w:val="ListParagraph"/>
                        <w:ind w:left="426" w:hanging="349"/>
                        <w:rPr>
                          <w:rFonts w:asciiTheme="minorHAnsi" w:hAnsiTheme="minorHAnsi"/>
                          <w:b/>
                          <w:color w:val="FFFFFF" w:themeColor="background1"/>
                          <w:sz w:val="22"/>
                          <w:szCs w:val="22"/>
                        </w:rPr>
                      </w:pPr>
                      <w:proofErr w:type="gramStart"/>
                      <w:r w:rsidRPr="00BA395F">
                        <w:rPr>
                          <w:rFonts w:asciiTheme="minorHAnsi" w:hAnsiTheme="minorHAnsi"/>
                          <w:b/>
                          <w:color w:val="FFFFFF" w:themeColor="background1"/>
                          <w:sz w:val="22"/>
                          <w:szCs w:val="22"/>
                        </w:rPr>
                        <w:t>South East</w:t>
                      </w:r>
                      <w:proofErr w:type="gramEnd"/>
                      <w:r w:rsidRPr="00BA395F">
                        <w:rPr>
                          <w:rFonts w:asciiTheme="minorHAnsi" w:hAnsiTheme="minorHAnsi"/>
                          <w:b/>
                          <w:color w:val="FFFFFF" w:themeColor="background1"/>
                          <w:sz w:val="22"/>
                          <w:szCs w:val="22"/>
                        </w:rPr>
                        <w:t xml:space="preserve"> Water Region: Population Update (Spatial Economics, August 2022)</w:t>
                      </w:r>
                    </w:p>
                    <w:p w14:paraId="439711EF" w14:textId="670F52B7" w:rsidR="0069334A" w:rsidRPr="00BA395F" w:rsidRDefault="0069334A" w:rsidP="00116E55">
                      <w:pPr>
                        <w:pStyle w:val="ListParagraph"/>
                        <w:ind w:left="426" w:hanging="349"/>
                        <w:rPr>
                          <w:rFonts w:asciiTheme="minorHAnsi" w:hAnsiTheme="minorHAnsi"/>
                          <w:b/>
                          <w:color w:val="FFFFFF" w:themeColor="background1"/>
                          <w:sz w:val="22"/>
                          <w:szCs w:val="22"/>
                        </w:rPr>
                      </w:pPr>
                      <w:proofErr w:type="gramStart"/>
                      <w:r w:rsidRPr="00BA395F">
                        <w:rPr>
                          <w:rFonts w:asciiTheme="minorHAnsi" w:hAnsiTheme="minorHAnsi"/>
                          <w:b/>
                          <w:color w:val="FFFFFF" w:themeColor="background1"/>
                          <w:sz w:val="22"/>
                          <w:szCs w:val="22"/>
                        </w:rPr>
                        <w:t>South East</w:t>
                      </w:r>
                      <w:proofErr w:type="gramEnd"/>
                      <w:r w:rsidRPr="00BA395F">
                        <w:rPr>
                          <w:rFonts w:asciiTheme="minorHAnsi" w:hAnsiTheme="minorHAnsi"/>
                          <w:b/>
                          <w:color w:val="FFFFFF" w:themeColor="background1"/>
                          <w:sz w:val="22"/>
                          <w:szCs w:val="22"/>
                        </w:rPr>
                        <w:t xml:space="preserve"> Water Demographic Projections: A Review of Key Assumptions (Spatial Economics, July 2022)</w:t>
                      </w:r>
                    </w:p>
                    <w:p w14:paraId="365C1E8C" w14:textId="2C3F1C29" w:rsidR="0069334A" w:rsidRPr="00116E55" w:rsidRDefault="0069334A" w:rsidP="00116E55">
                      <w:pPr>
                        <w:pStyle w:val="ListParagraph"/>
                        <w:ind w:left="426"/>
                      </w:pPr>
                    </w:p>
                  </w:txbxContent>
                </v:textbox>
                <w10:wrap type="square"/>
              </v:shape>
            </w:pict>
          </mc:Fallback>
        </mc:AlternateContent>
      </w:r>
    </w:p>
    <w:bookmarkStart w:id="94" w:name="_Toc114644624"/>
    <w:bookmarkStart w:id="95" w:name="_Hlk114571093"/>
    <w:p w14:paraId="431D7B6D" w14:textId="7F02B982" w:rsidR="00004BAC" w:rsidRPr="00E54488" w:rsidRDefault="00BA5C6D" w:rsidP="00360131">
      <w:pPr>
        <w:pStyle w:val="NbrHeading1"/>
        <w:ind w:left="426"/>
      </w:pPr>
      <w:r>
        <w:lastRenderedPageBreak/>
        <mc:AlternateContent>
          <mc:Choice Requires="wps">
            <w:drawing>
              <wp:anchor distT="45720" distB="45720" distL="114300" distR="114300" simplePos="0" relativeHeight="251658290" behindDoc="0" locked="0" layoutInCell="1" allowOverlap="1" wp14:anchorId="22EE0962" wp14:editId="14325210">
                <wp:simplePos x="0" y="0"/>
                <wp:positionH relativeFrom="column">
                  <wp:posOffset>-18415</wp:posOffset>
                </wp:positionH>
                <wp:positionV relativeFrom="paragraph">
                  <wp:posOffset>681355</wp:posOffset>
                </wp:positionV>
                <wp:extent cx="6068695" cy="1992630"/>
                <wp:effectExtent l="0" t="0" r="8255" b="7620"/>
                <wp:wrapSquare wrapText="bothSides"/>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8695" cy="1992630"/>
                        </a:xfrm>
                        <a:prstGeom prst="rect">
                          <a:avLst/>
                        </a:prstGeom>
                        <a:solidFill>
                          <a:srgbClr val="00B1F4"/>
                        </a:solidFill>
                        <a:ln w="9525">
                          <a:noFill/>
                          <a:miter lim="800000"/>
                          <a:headEnd/>
                          <a:tailEnd/>
                        </a:ln>
                      </wps:spPr>
                      <wps:txbx>
                        <w:txbxContent>
                          <w:p w14:paraId="318E8368" w14:textId="77777777" w:rsidR="00BA5C6D" w:rsidRPr="00116E55" w:rsidRDefault="00BA5C6D" w:rsidP="00116E55">
                            <w:pPr>
                              <w:pStyle w:val="Heading3"/>
                              <w:spacing w:before="0" w:after="240"/>
                              <w:rPr>
                                <w:color w:val="FFFFFF" w:themeColor="background1"/>
                                <w:sz w:val="24"/>
                              </w:rPr>
                            </w:pPr>
                            <w:r w:rsidRPr="00116E55">
                              <w:rPr>
                                <w:color w:val="FFFFFF" w:themeColor="background1"/>
                                <w:sz w:val="24"/>
                              </w:rPr>
                              <w:t>Key points</w:t>
                            </w:r>
                          </w:p>
                          <w:p w14:paraId="564EB9FB" w14:textId="02EA5434" w:rsidR="00BA5C6D" w:rsidRPr="00116E55" w:rsidRDefault="00BA5C6D">
                            <w:pPr>
                              <w:pStyle w:val="Heading3"/>
                              <w:numPr>
                                <w:ilvl w:val="0"/>
                                <w:numId w:val="35"/>
                              </w:numPr>
                              <w:spacing w:before="0" w:after="120"/>
                              <w:rPr>
                                <w:rFonts w:eastAsiaTheme="minorHAnsi" w:cstheme="minorBidi"/>
                                <w:bCs/>
                                <w:color w:val="FFFFFF" w:themeColor="background1"/>
                                <w:sz w:val="22"/>
                                <w:szCs w:val="22"/>
                              </w:rPr>
                            </w:pPr>
                            <w:r>
                              <w:rPr>
                                <w:rFonts w:eastAsiaTheme="minorHAnsi" w:cstheme="minorBidi"/>
                                <w:bCs/>
                                <w:color w:val="FFFFFF" w:themeColor="background1"/>
                                <w:sz w:val="22"/>
                                <w:szCs w:val="22"/>
                              </w:rPr>
                              <w:t>T</w:t>
                            </w:r>
                            <w:r w:rsidRPr="00116E55">
                              <w:rPr>
                                <w:rFonts w:eastAsiaTheme="minorHAnsi" w:cstheme="minorBidi"/>
                                <w:bCs/>
                                <w:color w:val="FFFFFF" w:themeColor="background1"/>
                                <w:sz w:val="22"/>
                                <w:szCs w:val="22"/>
                              </w:rPr>
                              <w:t>he average residential customer bill will decrease by 6%</w:t>
                            </w:r>
                            <w:r w:rsidR="008A1640">
                              <w:rPr>
                                <w:rFonts w:eastAsiaTheme="minorHAnsi" w:cstheme="minorBidi"/>
                                <w:bCs/>
                                <w:color w:val="FFFFFF" w:themeColor="background1"/>
                                <w:sz w:val="22"/>
                                <w:szCs w:val="22"/>
                              </w:rPr>
                              <w:t>.</w:t>
                            </w:r>
                          </w:p>
                          <w:p w14:paraId="2541C32D" w14:textId="77777777" w:rsidR="00BA5C6D" w:rsidRPr="00116E55" w:rsidRDefault="00BA5C6D">
                            <w:pPr>
                              <w:pStyle w:val="Heading3"/>
                              <w:numPr>
                                <w:ilvl w:val="0"/>
                                <w:numId w:val="35"/>
                              </w:numPr>
                              <w:spacing w:before="0" w:after="120"/>
                              <w:rPr>
                                <w:rFonts w:eastAsiaTheme="minorHAnsi" w:cstheme="minorBidi"/>
                                <w:bCs/>
                                <w:color w:val="FFFFFF" w:themeColor="background1"/>
                                <w:sz w:val="22"/>
                                <w:szCs w:val="22"/>
                              </w:rPr>
                            </w:pPr>
                            <w:r w:rsidRPr="00116E55">
                              <w:rPr>
                                <w:rFonts w:eastAsiaTheme="minorHAnsi" w:cstheme="minorBidi"/>
                                <w:bCs/>
                                <w:color w:val="FFFFFF" w:themeColor="background1"/>
                                <w:sz w:val="22"/>
                                <w:szCs w:val="22"/>
                              </w:rPr>
                              <w:t xml:space="preserve">We propose to: </w:t>
                            </w:r>
                          </w:p>
                          <w:p w14:paraId="66E96BE3" w14:textId="77777777" w:rsidR="00BA5C6D" w:rsidRPr="00BA395F" w:rsidRDefault="00BA5C6D">
                            <w:pPr>
                              <w:pStyle w:val="Heading3"/>
                              <w:numPr>
                                <w:ilvl w:val="0"/>
                                <w:numId w:val="39"/>
                              </w:numPr>
                              <w:spacing w:before="0" w:after="120"/>
                              <w:ind w:left="709"/>
                              <w:rPr>
                                <w:rFonts w:eastAsiaTheme="minorHAnsi" w:cstheme="minorBidi"/>
                                <w:color w:val="FFFFFF" w:themeColor="background1"/>
                                <w:sz w:val="22"/>
                                <w:szCs w:val="22"/>
                              </w:rPr>
                            </w:pPr>
                            <w:r w:rsidRPr="00BA395F">
                              <w:rPr>
                                <w:rFonts w:eastAsiaTheme="minorHAnsi" w:cstheme="minorBidi"/>
                                <w:color w:val="FFFFFF" w:themeColor="background1"/>
                                <w:sz w:val="22"/>
                                <w:szCs w:val="22"/>
                              </w:rPr>
                              <w:t>remove the residential sewage disposal charge</w:t>
                            </w:r>
                          </w:p>
                          <w:p w14:paraId="23DCDBCD" w14:textId="77777777" w:rsidR="00BA5C6D" w:rsidRPr="00BA395F" w:rsidRDefault="00BA5C6D">
                            <w:pPr>
                              <w:pStyle w:val="Heading3"/>
                              <w:numPr>
                                <w:ilvl w:val="0"/>
                                <w:numId w:val="39"/>
                              </w:numPr>
                              <w:spacing w:before="0" w:after="120"/>
                              <w:ind w:left="709"/>
                              <w:rPr>
                                <w:rFonts w:eastAsiaTheme="minorHAnsi" w:cstheme="minorBidi"/>
                                <w:color w:val="FFFFFF" w:themeColor="background1"/>
                                <w:sz w:val="22"/>
                                <w:szCs w:val="22"/>
                              </w:rPr>
                            </w:pPr>
                            <w:r w:rsidRPr="00BA395F">
                              <w:rPr>
                                <w:rFonts w:eastAsiaTheme="minorHAnsi" w:cstheme="minorBidi"/>
                                <w:color w:val="FFFFFF" w:themeColor="background1"/>
                                <w:sz w:val="22"/>
                                <w:szCs w:val="22"/>
                              </w:rPr>
                              <w:t xml:space="preserve">introduce water-only customer water usage tariffs </w:t>
                            </w:r>
                          </w:p>
                          <w:p w14:paraId="6AE9165F" w14:textId="3CF452F7" w:rsidR="00BA5C6D" w:rsidRPr="00BA395F" w:rsidRDefault="00BA5C6D">
                            <w:pPr>
                              <w:pStyle w:val="Heading3"/>
                              <w:numPr>
                                <w:ilvl w:val="0"/>
                                <w:numId w:val="39"/>
                              </w:numPr>
                              <w:spacing w:before="0" w:after="120"/>
                              <w:ind w:left="709"/>
                              <w:rPr>
                                <w:rFonts w:eastAsiaTheme="minorHAnsi" w:cstheme="minorBidi"/>
                                <w:color w:val="FFFFFF" w:themeColor="background1"/>
                                <w:sz w:val="22"/>
                                <w:szCs w:val="22"/>
                              </w:rPr>
                            </w:pPr>
                            <w:r w:rsidRPr="00BA395F">
                              <w:rPr>
                                <w:rFonts w:eastAsiaTheme="minorHAnsi" w:cstheme="minorBidi"/>
                                <w:color w:val="FFFFFF" w:themeColor="background1"/>
                                <w:sz w:val="22"/>
                                <w:szCs w:val="22"/>
                              </w:rPr>
                              <w:t xml:space="preserve">introduce </w:t>
                            </w:r>
                            <w:r w:rsidR="007A24DF">
                              <w:rPr>
                                <w:rFonts w:eastAsiaTheme="minorHAnsi" w:cstheme="minorBidi"/>
                                <w:color w:val="FFFFFF" w:themeColor="background1"/>
                                <w:sz w:val="22"/>
                                <w:szCs w:val="22"/>
                              </w:rPr>
                              <w:t>a</w:t>
                            </w:r>
                            <w:r w:rsidRPr="00BA395F">
                              <w:rPr>
                                <w:rFonts w:eastAsiaTheme="minorHAnsi" w:cstheme="minorBidi"/>
                                <w:color w:val="FFFFFF" w:themeColor="background1"/>
                                <w:sz w:val="22"/>
                                <w:szCs w:val="22"/>
                              </w:rPr>
                              <w:t xml:space="preserve"> new customer contribution </w:t>
                            </w:r>
                            <w:r w:rsidR="007A24DF">
                              <w:rPr>
                                <w:rFonts w:eastAsiaTheme="minorHAnsi" w:cstheme="minorBidi"/>
                                <w:color w:val="FFFFFF" w:themeColor="background1"/>
                                <w:sz w:val="22"/>
                                <w:szCs w:val="22"/>
                              </w:rPr>
                              <w:t>regime</w:t>
                            </w:r>
                            <w:r w:rsidRPr="00BA395F">
                              <w:rPr>
                                <w:rFonts w:eastAsiaTheme="minorHAnsi" w:cstheme="minorBidi"/>
                                <w:color w:val="FFFFFF" w:themeColor="background1"/>
                                <w:sz w:val="22"/>
                                <w:szCs w:val="22"/>
                              </w:rPr>
                              <w:t xml:space="preserve"> for Fishermans Bend</w:t>
                            </w:r>
                          </w:p>
                          <w:p w14:paraId="1EB328D5" w14:textId="09F18FC9" w:rsidR="00BA5C6D" w:rsidRPr="00116E55" w:rsidRDefault="00BA5C6D" w:rsidP="00116E55">
                            <w:pPr>
                              <w:pStyle w:val="Bulletlistmultilevel"/>
                              <w:ind w:left="0" w:firstLine="0"/>
                            </w:pPr>
                          </w:p>
                        </w:txbxContent>
                      </wps:txbx>
                      <wps:bodyPr rot="0" vert="horz" wrap="square" lIns="180000" tIns="180000" rIns="180000" bIns="180000" anchor="t" anchorCtr="0">
                        <a:noAutofit/>
                      </wps:bodyPr>
                    </wps:wsp>
                  </a:graphicData>
                </a:graphic>
                <wp14:sizeRelH relativeFrom="margin">
                  <wp14:pctWidth>0</wp14:pctWidth>
                </wp14:sizeRelH>
                <wp14:sizeRelV relativeFrom="margin">
                  <wp14:pctHeight>0</wp14:pctHeight>
                </wp14:sizeRelV>
              </wp:anchor>
            </w:drawing>
          </mc:Choice>
          <mc:Fallback>
            <w:pict>
              <v:shape w14:anchorId="22EE0962" id="Text Box 112" o:spid="_x0000_s1064" type="#_x0000_t202" style="position:absolute;left:0;text-align:left;margin-left:-1.45pt;margin-top:53.65pt;width:477.85pt;height:156.9pt;z-index:25165829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" fillcolor="#00b1f4" stroked="f">
                <v:textbox inset="5mm,5mm,5mm,5mm">
                  <w:txbxContent>
                    <w:p w14:paraId="318E8368" w14:textId="77777777" w:rsidR="00BA5C6D" w:rsidRPr="00116E55" w:rsidRDefault="00BA5C6D" w:rsidP="00116E55">
                      <w:pPr>
                        <w:pStyle w:val="Heading3"/>
                        <w:spacing w:before="0" w:after="240"/>
                        <w:rPr>
                          <w:color w:val="FFFFFF" w:themeColor="background1"/>
                          <w:sz w:val="24"/>
                        </w:rPr>
                      </w:pPr>
                      <w:r w:rsidRPr="00116E55">
                        <w:rPr>
                          <w:color w:val="FFFFFF" w:themeColor="background1"/>
                          <w:sz w:val="24"/>
                        </w:rPr>
                        <w:t>Key points</w:t>
                      </w:r>
                    </w:p>
                    <w:p w14:paraId="564EB9FB" w14:textId="02EA5434" w:rsidR="00BA5C6D" w:rsidRPr="00116E55" w:rsidRDefault="00BA5C6D">
                      <w:pPr>
                        <w:pStyle w:val="Heading3"/>
                        <w:numPr>
                          <w:ilvl w:val="0"/>
                          <w:numId w:val="35"/>
                        </w:numPr>
                        <w:spacing w:before="0" w:after="120"/>
                        <w:rPr>
                          <w:rFonts w:eastAsiaTheme="minorHAnsi" w:cstheme="minorBidi"/>
                          <w:bCs/>
                          <w:color w:val="FFFFFF" w:themeColor="background1"/>
                          <w:sz w:val="22"/>
                          <w:szCs w:val="22"/>
                        </w:rPr>
                      </w:pPr>
                      <w:r>
                        <w:rPr>
                          <w:rFonts w:eastAsiaTheme="minorHAnsi" w:cstheme="minorBidi"/>
                          <w:bCs/>
                          <w:color w:val="FFFFFF" w:themeColor="background1"/>
                          <w:sz w:val="22"/>
                          <w:szCs w:val="22"/>
                        </w:rPr>
                        <w:t>T</w:t>
                      </w:r>
                      <w:r w:rsidRPr="00116E55">
                        <w:rPr>
                          <w:rFonts w:eastAsiaTheme="minorHAnsi" w:cstheme="minorBidi"/>
                          <w:bCs/>
                          <w:color w:val="FFFFFF" w:themeColor="background1"/>
                          <w:sz w:val="22"/>
                          <w:szCs w:val="22"/>
                        </w:rPr>
                        <w:t>he average residential customer bill will decrease by 6%</w:t>
                      </w:r>
                      <w:r w:rsidR="008A1640">
                        <w:rPr>
                          <w:rFonts w:eastAsiaTheme="minorHAnsi" w:cstheme="minorBidi"/>
                          <w:bCs/>
                          <w:color w:val="FFFFFF" w:themeColor="background1"/>
                          <w:sz w:val="22"/>
                          <w:szCs w:val="22"/>
                        </w:rPr>
                        <w:t>.</w:t>
                      </w:r>
                    </w:p>
                    <w:p w14:paraId="2541C32D" w14:textId="77777777" w:rsidR="00BA5C6D" w:rsidRPr="00116E55" w:rsidRDefault="00BA5C6D">
                      <w:pPr>
                        <w:pStyle w:val="Heading3"/>
                        <w:numPr>
                          <w:ilvl w:val="0"/>
                          <w:numId w:val="35"/>
                        </w:numPr>
                        <w:spacing w:before="0" w:after="120"/>
                        <w:rPr>
                          <w:rFonts w:eastAsiaTheme="minorHAnsi" w:cstheme="minorBidi"/>
                          <w:bCs/>
                          <w:color w:val="FFFFFF" w:themeColor="background1"/>
                          <w:sz w:val="22"/>
                          <w:szCs w:val="22"/>
                        </w:rPr>
                      </w:pPr>
                      <w:r w:rsidRPr="00116E55">
                        <w:rPr>
                          <w:rFonts w:eastAsiaTheme="minorHAnsi" w:cstheme="minorBidi"/>
                          <w:bCs/>
                          <w:color w:val="FFFFFF" w:themeColor="background1"/>
                          <w:sz w:val="22"/>
                          <w:szCs w:val="22"/>
                        </w:rPr>
                        <w:t xml:space="preserve">We propose to: </w:t>
                      </w:r>
                    </w:p>
                    <w:p w14:paraId="66E96BE3" w14:textId="77777777" w:rsidR="00BA5C6D" w:rsidRPr="00BA395F" w:rsidRDefault="00BA5C6D">
                      <w:pPr>
                        <w:pStyle w:val="Heading3"/>
                        <w:numPr>
                          <w:ilvl w:val="0"/>
                          <w:numId w:val="39"/>
                        </w:numPr>
                        <w:spacing w:before="0" w:after="120"/>
                        <w:ind w:left="709"/>
                        <w:rPr>
                          <w:rFonts w:eastAsiaTheme="minorHAnsi" w:cstheme="minorBidi"/>
                          <w:color w:val="FFFFFF" w:themeColor="background1"/>
                          <w:sz w:val="22"/>
                          <w:szCs w:val="22"/>
                        </w:rPr>
                      </w:pPr>
                      <w:r w:rsidRPr="00BA395F">
                        <w:rPr>
                          <w:rFonts w:eastAsiaTheme="minorHAnsi" w:cstheme="minorBidi"/>
                          <w:color w:val="FFFFFF" w:themeColor="background1"/>
                          <w:sz w:val="22"/>
                          <w:szCs w:val="22"/>
                        </w:rPr>
                        <w:t>remove the residential sewage disposal charge</w:t>
                      </w:r>
                    </w:p>
                    <w:p w14:paraId="23DCDBCD" w14:textId="77777777" w:rsidR="00BA5C6D" w:rsidRPr="00BA395F" w:rsidRDefault="00BA5C6D">
                      <w:pPr>
                        <w:pStyle w:val="Heading3"/>
                        <w:numPr>
                          <w:ilvl w:val="0"/>
                          <w:numId w:val="39"/>
                        </w:numPr>
                        <w:spacing w:before="0" w:after="120"/>
                        <w:ind w:left="709"/>
                        <w:rPr>
                          <w:rFonts w:eastAsiaTheme="minorHAnsi" w:cstheme="minorBidi"/>
                          <w:color w:val="FFFFFF" w:themeColor="background1"/>
                          <w:sz w:val="22"/>
                          <w:szCs w:val="22"/>
                        </w:rPr>
                      </w:pPr>
                      <w:r w:rsidRPr="00BA395F">
                        <w:rPr>
                          <w:rFonts w:eastAsiaTheme="minorHAnsi" w:cstheme="minorBidi"/>
                          <w:color w:val="FFFFFF" w:themeColor="background1"/>
                          <w:sz w:val="22"/>
                          <w:szCs w:val="22"/>
                        </w:rPr>
                        <w:t xml:space="preserve">introduce water-only customer water usage tariffs </w:t>
                      </w:r>
                    </w:p>
                    <w:p w14:paraId="6AE9165F" w14:textId="3CF452F7" w:rsidR="00BA5C6D" w:rsidRPr="00BA395F" w:rsidRDefault="00BA5C6D">
                      <w:pPr>
                        <w:pStyle w:val="Heading3"/>
                        <w:numPr>
                          <w:ilvl w:val="0"/>
                          <w:numId w:val="39"/>
                        </w:numPr>
                        <w:spacing w:before="0" w:after="120"/>
                        <w:ind w:left="709"/>
                        <w:rPr>
                          <w:rFonts w:eastAsiaTheme="minorHAnsi" w:cstheme="minorBidi"/>
                          <w:color w:val="FFFFFF" w:themeColor="background1"/>
                          <w:sz w:val="22"/>
                          <w:szCs w:val="22"/>
                        </w:rPr>
                      </w:pPr>
                      <w:r w:rsidRPr="00BA395F">
                        <w:rPr>
                          <w:rFonts w:eastAsiaTheme="minorHAnsi" w:cstheme="minorBidi"/>
                          <w:color w:val="FFFFFF" w:themeColor="background1"/>
                          <w:sz w:val="22"/>
                          <w:szCs w:val="22"/>
                        </w:rPr>
                        <w:t xml:space="preserve">introduce </w:t>
                      </w:r>
                      <w:r w:rsidR="007A24DF">
                        <w:rPr>
                          <w:rFonts w:eastAsiaTheme="minorHAnsi" w:cstheme="minorBidi"/>
                          <w:color w:val="FFFFFF" w:themeColor="background1"/>
                          <w:sz w:val="22"/>
                          <w:szCs w:val="22"/>
                        </w:rPr>
                        <w:t>a</w:t>
                      </w:r>
                      <w:r w:rsidRPr="00BA395F">
                        <w:rPr>
                          <w:rFonts w:eastAsiaTheme="minorHAnsi" w:cstheme="minorBidi"/>
                          <w:color w:val="FFFFFF" w:themeColor="background1"/>
                          <w:sz w:val="22"/>
                          <w:szCs w:val="22"/>
                        </w:rPr>
                        <w:t xml:space="preserve"> new customer contribution </w:t>
                      </w:r>
                      <w:r w:rsidR="007A24DF">
                        <w:rPr>
                          <w:rFonts w:eastAsiaTheme="minorHAnsi" w:cstheme="minorBidi"/>
                          <w:color w:val="FFFFFF" w:themeColor="background1"/>
                          <w:sz w:val="22"/>
                          <w:szCs w:val="22"/>
                        </w:rPr>
                        <w:t>regime</w:t>
                      </w:r>
                      <w:r w:rsidRPr="00BA395F">
                        <w:rPr>
                          <w:rFonts w:eastAsiaTheme="minorHAnsi" w:cstheme="minorBidi"/>
                          <w:color w:val="FFFFFF" w:themeColor="background1"/>
                          <w:sz w:val="22"/>
                          <w:szCs w:val="22"/>
                        </w:rPr>
                        <w:t xml:space="preserve"> for Fishermans Bend</w:t>
                      </w:r>
                    </w:p>
                    <w:p w14:paraId="1EB328D5" w14:textId="09F18FC9" w:rsidR="00BA5C6D" w:rsidRPr="00116E55" w:rsidRDefault="00BA5C6D" w:rsidP="00116E55">
                      <w:pPr>
                        <w:pStyle w:val="Bulletlistmultilevel"/>
                        <w:ind w:left="0" w:firstLine="0"/>
                      </w:pPr>
                    </w:p>
                  </w:txbxContent>
                </v:textbox>
                <w10:wrap type="square"/>
              </v:shape>
            </w:pict>
          </mc:Fallback>
        </mc:AlternateContent>
      </w:r>
      <w:r w:rsidR="002811DD">
        <w:t>1</w:t>
      </w:r>
      <w:r w:rsidR="002811DD" w:rsidRPr="00E54488">
        <w:t xml:space="preserve">0. </w:t>
      </w:r>
      <w:r w:rsidR="00AE35E9" w:rsidRPr="00E54488">
        <w:t>Prices and tariff structures</w:t>
      </w:r>
      <w:bookmarkEnd w:id="94"/>
    </w:p>
    <w:p w14:paraId="7484F386" w14:textId="33D600B1" w:rsidR="00550977" w:rsidRDefault="00550977" w:rsidP="00A27898"/>
    <w:p w14:paraId="6D3FEEDA" w14:textId="072F6BDA" w:rsidR="00AE35E9" w:rsidRDefault="00AE35E9" w:rsidP="00AE35E9">
      <w:r>
        <w:t xml:space="preserve">This section explains the prices </w:t>
      </w:r>
      <w:r w:rsidRPr="006126D9">
        <w:t>we propose</w:t>
      </w:r>
      <w:r>
        <w:t xml:space="preserve"> to recover the revenue needed to deliver </w:t>
      </w:r>
      <w:r w:rsidR="00BA5C6D">
        <w:br/>
      </w:r>
      <w:r w:rsidR="006126D9">
        <w:t>the services we provide to our customers</w:t>
      </w:r>
      <w:r w:rsidR="00896B33">
        <w:t xml:space="preserve">. In general, apart from the tariff reform </w:t>
      </w:r>
      <w:r w:rsidR="00896B33" w:rsidRPr="006126D9">
        <w:t>proposals</w:t>
      </w:r>
      <w:r w:rsidR="004B76EA" w:rsidRPr="006126D9">
        <w:t>,</w:t>
      </w:r>
      <w:r w:rsidR="004B76EA">
        <w:t xml:space="preserve"> prices have decreased by around 6% to</w:t>
      </w:r>
      <w:r w:rsidR="001270D3">
        <w:t xml:space="preserve"> pass through the reduction in the</w:t>
      </w:r>
      <w:r>
        <w:t xml:space="preserve"> </w:t>
      </w:r>
      <w:r w:rsidR="00FD5BD5">
        <w:t>revenue requirement.</w:t>
      </w:r>
    </w:p>
    <w:p w14:paraId="097F1E40" w14:textId="77777777" w:rsidR="00691855" w:rsidRDefault="00691855" w:rsidP="00AE35E9"/>
    <w:p w14:paraId="48BB14BC" w14:textId="77777777" w:rsidR="00AE35E9" w:rsidRDefault="00AE35E9" w:rsidP="00116E55">
      <w:pPr>
        <w:pStyle w:val="Heading2"/>
      </w:pPr>
      <w:bookmarkStart w:id="96" w:name="_Toc103770964"/>
      <w:r>
        <w:t>10.1 Approach and customer consultation</w:t>
      </w:r>
      <w:bookmarkEnd w:id="96"/>
    </w:p>
    <w:p w14:paraId="74552C47" w14:textId="3AF944E5" w:rsidR="00973795" w:rsidRDefault="00973795" w:rsidP="004F7DAF">
      <w:r>
        <w:t xml:space="preserve">South East Water </w:t>
      </w:r>
      <w:r w:rsidR="00001FED">
        <w:t xml:space="preserve">jointly with Yarra Valley Water and Greater Western Water undertook </w:t>
      </w:r>
      <w:r w:rsidR="001A5013">
        <w:t xml:space="preserve">tariff customer research over </w:t>
      </w:r>
      <w:r w:rsidR="00897B2A">
        <w:t>1</w:t>
      </w:r>
      <w:r w:rsidR="001A5013">
        <w:t>5 focus groups</w:t>
      </w:r>
      <w:r w:rsidR="00F5091D">
        <w:t xml:space="preserve"> </w:t>
      </w:r>
      <w:r w:rsidR="00CA68E4">
        <w:t>with</w:t>
      </w:r>
      <w:r w:rsidR="00F5091D">
        <w:t xml:space="preserve"> </w:t>
      </w:r>
      <w:r w:rsidR="008F087C">
        <w:t>each</w:t>
      </w:r>
      <w:r w:rsidR="00227F82">
        <w:t>,</w:t>
      </w:r>
      <w:r w:rsidR="00BF028D">
        <w:t xml:space="preserve"> exploring the following </w:t>
      </w:r>
      <w:r w:rsidR="00584B94">
        <w:t>4</w:t>
      </w:r>
      <w:r w:rsidR="00BF028D">
        <w:t xml:space="preserve"> questions:</w:t>
      </w:r>
    </w:p>
    <w:p w14:paraId="5A1016E1" w14:textId="6FFE565F" w:rsidR="00BF028D" w:rsidRDefault="00457682">
      <w:pPr>
        <w:pStyle w:val="ListParagraph"/>
        <w:numPr>
          <w:ilvl w:val="0"/>
          <w:numId w:val="16"/>
        </w:numPr>
        <w:ind w:left="426" w:hanging="426"/>
      </w:pPr>
      <w:r>
        <w:t>How much of the water/wastewater charges should be fixed and how much should be based on usage?</w:t>
      </w:r>
    </w:p>
    <w:p w14:paraId="5A9DCD66" w14:textId="03393490" w:rsidR="00457682" w:rsidRDefault="00457682">
      <w:pPr>
        <w:pStyle w:val="ListParagraph"/>
        <w:numPr>
          <w:ilvl w:val="0"/>
          <w:numId w:val="16"/>
        </w:numPr>
        <w:ind w:left="426" w:hanging="426"/>
      </w:pPr>
      <w:r>
        <w:t>Should a household pay the same price for every kilolitre of water they use, or should the price increase in steps?</w:t>
      </w:r>
    </w:p>
    <w:p w14:paraId="1F0338B4" w14:textId="1D97E051" w:rsidR="00457682" w:rsidRDefault="00CA4A5F">
      <w:pPr>
        <w:pStyle w:val="ListParagraph"/>
        <w:numPr>
          <w:ilvl w:val="0"/>
          <w:numId w:val="16"/>
        </w:numPr>
        <w:ind w:left="426" w:hanging="426"/>
      </w:pPr>
      <w:r>
        <w:t>Should the sewage disposal charge be removed and spread across other charges?</w:t>
      </w:r>
    </w:p>
    <w:p w14:paraId="21DCB378" w14:textId="2272827E" w:rsidR="00CA4A5F" w:rsidRDefault="00CA4A5F">
      <w:pPr>
        <w:pStyle w:val="ListParagraph"/>
        <w:numPr>
          <w:ilvl w:val="0"/>
          <w:numId w:val="16"/>
        </w:numPr>
        <w:ind w:left="426" w:hanging="426"/>
      </w:pPr>
      <w:r>
        <w:t>Should the water service charge be related to the size of the water meter at the property?</w:t>
      </w:r>
    </w:p>
    <w:p w14:paraId="38063324" w14:textId="431B9A6B" w:rsidR="004F7DAF" w:rsidRDefault="00C23C9A" w:rsidP="004F7DAF">
      <w:r>
        <w:t>To inform</w:t>
      </w:r>
      <w:r w:rsidR="00B80834">
        <w:t xml:space="preserve"> our</w:t>
      </w:r>
      <w:r>
        <w:t xml:space="preserve"> tariff proposals</w:t>
      </w:r>
      <w:r w:rsidR="00227F82">
        <w:t>,</w:t>
      </w:r>
      <w:r>
        <w:t xml:space="preserve"> </w:t>
      </w:r>
      <w:r w:rsidR="004F7DAF">
        <w:t>South East Water</w:t>
      </w:r>
      <w:r>
        <w:t xml:space="preserve"> </w:t>
      </w:r>
      <w:r w:rsidR="00BF028D">
        <w:t xml:space="preserve">further </w:t>
      </w:r>
      <w:r w:rsidR="00BC6576">
        <w:t>established a t</w:t>
      </w:r>
      <w:r w:rsidR="004F7DAF">
        <w:t xml:space="preserve">ariff </w:t>
      </w:r>
      <w:r w:rsidR="00BC6576">
        <w:t>f</w:t>
      </w:r>
      <w:r w:rsidR="004F7DAF">
        <w:t xml:space="preserve">orum </w:t>
      </w:r>
      <w:r w:rsidR="00744810">
        <w:t xml:space="preserve">that </w:t>
      </w:r>
      <w:r w:rsidR="004F7DAF">
        <w:t xml:space="preserve">took place over </w:t>
      </w:r>
      <w:r w:rsidR="00B026C4">
        <w:t>3</w:t>
      </w:r>
      <w:r w:rsidR="004F7DAF">
        <w:t xml:space="preserve"> evenings during April and May 2022. A representative group of 20 customers came together to deliberate on the following </w:t>
      </w:r>
      <w:r w:rsidR="00926BF9">
        <w:t>2</w:t>
      </w:r>
      <w:r w:rsidR="004F7DAF">
        <w:t xml:space="preserve"> questions:</w:t>
      </w:r>
      <w:r w:rsidR="00A1315F">
        <w:t xml:space="preserve"> </w:t>
      </w:r>
    </w:p>
    <w:p w14:paraId="60E4B090" w14:textId="09A6E511" w:rsidR="004F7DAF" w:rsidRDefault="004F7DAF">
      <w:pPr>
        <w:pStyle w:val="ListParagraph"/>
        <w:numPr>
          <w:ilvl w:val="0"/>
          <w:numId w:val="17"/>
        </w:numPr>
        <w:ind w:left="426" w:hanging="426"/>
      </w:pPr>
      <w:r>
        <w:t>How much of customers</w:t>
      </w:r>
      <w:r w:rsidR="00612583">
        <w:t>’</w:t>
      </w:r>
      <w:r>
        <w:t xml:space="preserve"> bills do you want to be variable? </w:t>
      </w:r>
    </w:p>
    <w:p w14:paraId="2E9623FA" w14:textId="7281C153" w:rsidR="005F409B" w:rsidRDefault="004F7DAF">
      <w:pPr>
        <w:pStyle w:val="ListParagraph"/>
        <w:numPr>
          <w:ilvl w:val="0"/>
          <w:numId w:val="17"/>
        </w:numPr>
        <w:ind w:left="426" w:hanging="426"/>
      </w:pPr>
      <w:r>
        <w:t xml:space="preserve">Should South East Water remove the </w:t>
      </w:r>
      <w:r w:rsidR="003738C2">
        <w:t>residential</w:t>
      </w:r>
      <w:r>
        <w:t xml:space="preserve"> </w:t>
      </w:r>
      <w:r w:rsidR="00FD1912">
        <w:t>s</w:t>
      </w:r>
      <w:r>
        <w:t xml:space="preserve">ewage </w:t>
      </w:r>
      <w:r w:rsidR="00FD1912">
        <w:t>d</w:t>
      </w:r>
      <w:r>
        <w:t xml:space="preserve">isposal </w:t>
      </w:r>
      <w:r w:rsidR="00FD1912">
        <w:t>c</w:t>
      </w:r>
      <w:r>
        <w:t xml:space="preserve">harge? </w:t>
      </w:r>
    </w:p>
    <w:p w14:paraId="1F08FC27" w14:textId="692B08DF" w:rsidR="005F409B" w:rsidRDefault="005F409B" w:rsidP="004F7DAF">
      <w:r>
        <w:t>The tariff forum participants</w:t>
      </w:r>
      <w:r w:rsidR="002F29BB">
        <w:t xml:space="preserve"> (20 in total)</w:t>
      </w:r>
      <w:r>
        <w:t xml:space="preserve"> were recruited by a professional recruitment firm and were provided with an incentive payment for participating in all </w:t>
      </w:r>
      <w:r w:rsidR="004F7489">
        <w:t>3</w:t>
      </w:r>
      <w:r>
        <w:t xml:space="preserve"> sessions. The </w:t>
      </w:r>
      <w:r w:rsidR="000226C0">
        <w:t>forum</w:t>
      </w:r>
      <w:r>
        <w:t xml:space="preserve"> aimed to be representative of South East Water customers in terms of age, gender, home owners/tenants, household size, financial situation</w:t>
      </w:r>
      <w:r w:rsidR="00C40C48">
        <w:t xml:space="preserve"> (where a quarter of the customers were </w:t>
      </w:r>
      <w:r w:rsidR="00237DCB">
        <w:t>identified</w:t>
      </w:r>
      <w:r w:rsidR="00C40C48">
        <w:t xml:space="preserve"> as financially vulnerable)</w:t>
      </w:r>
      <w:r>
        <w:t>, and conservative/progressive views</w:t>
      </w:r>
      <w:r w:rsidR="00AE469F">
        <w:t>.</w:t>
      </w:r>
    </w:p>
    <w:p w14:paraId="208BAC64" w14:textId="4EE80FD8" w:rsidR="004F7DAF" w:rsidRDefault="004F7DAF" w:rsidP="004F7DAF">
      <w:r>
        <w:t xml:space="preserve">The purpose of the forum was for customers to consider the </w:t>
      </w:r>
      <w:r w:rsidR="007C522C">
        <w:t>2</w:t>
      </w:r>
      <w:r>
        <w:t xml:space="preserve"> questions </w:t>
      </w:r>
      <w:r w:rsidR="0018413E">
        <w:t>whilst considering</w:t>
      </w:r>
      <w:r>
        <w:t xml:space="preserve"> what was best for the community overall. After</w:t>
      </w:r>
      <w:r w:rsidR="009C74F5">
        <w:t xml:space="preserve"> being</w:t>
      </w:r>
      <w:r>
        <w:t xml:space="preserve"> given appropriate </w:t>
      </w:r>
      <w:r>
        <w:lastRenderedPageBreak/>
        <w:t>information, time, and access to expert opinion, the panel made recommendations which reflect the community</w:t>
      </w:r>
      <w:r w:rsidR="00612583">
        <w:t>’</w:t>
      </w:r>
      <w:r>
        <w:t xml:space="preserve">s interests, concerns and priorities. </w:t>
      </w:r>
      <w:r w:rsidR="004C326A">
        <w:t>This included providing customers</w:t>
      </w:r>
      <w:r w:rsidR="002F48C4">
        <w:t xml:space="preserve"> with an indicative bill comparing the prices and bills </w:t>
      </w:r>
      <w:r w:rsidR="003738C2">
        <w:t>associated to each</w:t>
      </w:r>
      <w:r w:rsidR="002F48C4">
        <w:t xml:space="preserve"> tariff reform proposal.</w:t>
      </w:r>
    </w:p>
    <w:p w14:paraId="0FC9513F" w14:textId="6357F77C" w:rsidR="004F7DAF" w:rsidRDefault="004F7DAF" w:rsidP="004F7DAF">
      <w:r>
        <w:t xml:space="preserve">The panel was invited to participate at the Involve level on the IAP2 Spectrum of Public Participation. This meant that for both decisions, South East Water made a promise to the panel to </w:t>
      </w:r>
      <w:r w:rsidR="00612583">
        <w:t>“</w:t>
      </w:r>
      <w:r w:rsidRPr="00116E55">
        <w:rPr>
          <w:i/>
          <w:iCs/>
        </w:rPr>
        <w:t>work with you to ensure your concerns and aspirations are directly reflected in the alternatives developed and provide feedback on how public input influenced the decision</w:t>
      </w:r>
      <w:r w:rsidR="00612583">
        <w:t>”</w:t>
      </w:r>
      <w:r>
        <w:t xml:space="preserve"> (IAP2, 2018). </w:t>
      </w:r>
    </w:p>
    <w:p w14:paraId="6331892E" w14:textId="77777777" w:rsidR="004D123C" w:rsidRDefault="004F7DAF" w:rsidP="004F7DAF">
      <w:r>
        <w:t xml:space="preserve">After extensive deliberation, a consensus was reached on both decisions. </w:t>
      </w:r>
    </w:p>
    <w:p w14:paraId="74AFEE45" w14:textId="35969F34" w:rsidR="004D123C" w:rsidRDefault="004F7DAF">
      <w:pPr>
        <w:pStyle w:val="ListParagraph"/>
        <w:numPr>
          <w:ilvl w:val="0"/>
          <w:numId w:val="105"/>
        </w:numPr>
      </w:pPr>
      <w:r>
        <w:t>On the fixed</w:t>
      </w:r>
      <w:r w:rsidR="008707FD">
        <w:t xml:space="preserve"> </w:t>
      </w:r>
      <w:r>
        <w:t xml:space="preserve">variable balance, the panel came to a majority position that South East Water should increase the level of variability to </w:t>
      </w:r>
      <w:r w:rsidR="008C3266">
        <w:t xml:space="preserve">around </w:t>
      </w:r>
      <w:r>
        <w:t>50</w:t>
      </w:r>
      <w:r w:rsidR="00A4547F">
        <w:t xml:space="preserve">% </w:t>
      </w:r>
      <w:r>
        <w:t>for owner</w:t>
      </w:r>
      <w:r w:rsidR="008C5101">
        <w:t>-</w:t>
      </w:r>
      <w:r>
        <w:t>occupiers who use 120</w:t>
      </w:r>
      <w:r w:rsidR="00E03CE1">
        <w:t xml:space="preserve"> kilolitres</w:t>
      </w:r>
      <w:r>
        <w:t xml:space="preserve"> of water per year. </w:t>
      </w:r>
    </w:p>
    <w:p w14:paraId="2410B41F" w14:textId="7E94AA71" w:rsidR="004F7DAF" w:rsidRDefault="004F7DAF">
      <w:pPr>
        <w:pStyle w:val="ListParagraph"/>
        <w:numPr>
          <w:ilvl w:val="0"/>
          <w:numId w:val="105"/>
        </w:numPr>
      </w:pPr>
      <w:r>
        <w:t xml:space="preserve">The panel also reached a majority position that South East Water should remove the </w:t>
      </w:r>
      <w:r w:rsidR="00246CC1">
        <w:t>s</w:t>
      </w:r>
      <w:r>
        <w:t xml:space="preserve">ewage </w:t>
      </w:r>
      <w:r w:rsidR="00246CC1">
        <w:t>d</w:t>
      </w:r>
      <w:r>
        <w:t xml:space="preserve">isposal </w:t>
      </w:r>
      <w:r w:rsidR="004B7886">
        <w:t>c</w:t>
      </w:r>
      <w:r>
        <w:t>harge</w:t>
      </w:r>
      <w:r w:rsidR="008C3266">
        <w:t xml:space="preserve"> for residential customers</w:t>
      </w:r>
      <w:r>
        <w:t>.</w:t>
      </w:r>
      <w:r w:rsidR="00A1315F">
        <w:t xml:space="preserve"> </w:t>
      </w:r>
    </w:p>
    <w:p w14:paraId="722A741A" w14:textId="77777777" w:rsidR="00AE35E9" w:rsidRDefault="00AE35E9" w:rsidP="00AE35E9"/>
    <w:p w14:paraId="61B51004" w14:textId="77777777" w:rsidR="00AE35E9" w:rsidRDefault="00AE35E9">
      <w:pPr>
        <w:pStyle w:val="Heading2"/>
      </w:pPr>
      <w:bookmarkStart w:id="97" w:name="_Toc103770965"/>
      <w:r>
        <w:t xml:space="preserve">10.2 </w:t>
      </w:r>
      <w:r w:rsidRPr="00A63264">
        <w:t>Res</w:t>
      </w:r>
      <w:r>
        <w:t>idential prices</w:t>
      </w:r>
      <w:bookmarkEnd w:id="97"/>
    </w:p>
    <w:p w14:paraId="68CA7CC5" w14:textId="77777777" w:rsidR="00AA0335" w:rsidRPr="000145EE" w:rsidRDefault="00AA0335" w:rsidP="004F7489">
      <w:pPr>
        <w:pStyle w:val="Heading3"/>
        <w:rPr>
          <w:b w:val="0"/>
          <w:bCs/>
        </w:rPr>
      </w:pPr>
      <w:r w:rsidRPr="000145EE">
        <w:t>Current approach</w:t>
      </w:r>
    </w:p>
    <w:p w14:paraId="2F1617A9" w14:textId="5B8513AF" w:rsidR="00246AAF" w:rsidRDefault="00B1796E" w:rsidP="00AE35E9">
      <w:r>
        <w:t>South East Water has in place fixed and variable tariffs for both water</w:t>
      </w:r>
      <w:r w:rsidR="00A37CD9">
        <w:t xml:space="preserve"> </w:t>
      </w:r>
      <w:r w:rsidR="00D10A39">
        <w:t>and sewerage services and variable tariffs only for recycled water.</w:t>
      </w:r>
    </w:p>
    <w:p w14:paraId="08EBF6E1" w14:textId="2C9B882A" w:rsidR="007839F2" w:rsidRDefault="00246AAF" w:rsidP="00AE35E9">
      <w:r>
        <w:t xml:space="preserve">We collect water </w:t>
      </w:r>
      <w:r w:rsidR="00257B40">
        <w:t xml:space="preserve">and sewerage </w:t>
      </w:r>
      <w:r>
        <w:t>service</w:t>
      </w:r>
      <w:r w:rsidR="00850CFF">
        <w:t>s</w:t>
      </w:r>
      <w:r>
        <w:t xml:space="preserve"> charges </w:t>
      </w:r>
      <w:r w:rsidR="00802AA3">
        <w:t>based on</w:t>
      </w:r>
      <w:r w:rsidR="002A22B6">
        <w:t xml:space="preserve"> </w:t>
      </w:r>
      <w:r w:rsidR="00504E06">
        <w:t>property</w:t>
      </w:r>
      <w:r w:rsidR="002A22B6">
        <w:t xml:space="preserve"> titl</w:t>
      </w:r>
      <w:r w:rsidR="00AE7F11">
        <w:t>e. This means that customers with individual</w:t>
      </w:r>
      <w:r w:rsidR="009D6CCF">
        <w:t xml:space="preserve"> (or strata) </w:t>
      </w:r>
      <w:r w:rsidR="00AE7F11">
        <w:t xml:space="preserve">titles pay a service charge for each dwelling. </w:t>
      </w:r>
    </w:p>
    <w:p w14:paraId="759E1D22" w14:textId="6BA70069" w:rsidR="006C73D5" w:rsidRDefault="0089770E" w:rsidP="00AE35E9">
      <w:r>
        <w:t xml:space="preserve">For </w:t>
      </w:r>
      <w:r w:rsidR="00A23447">
        <w:t>drinking</w:t>
      </w:r>
      <w:r>
        <w:t xml:space="preserve"> water</w:t>
      </w:r>
      <w:r w:rsidR="00FF5948">
        <w:t>,</w:t>
      </w:r>
      <w:r>
        <w:t xml:space="preserve"> we </w:t>
      </w:r>
      <w:r w:rsidR="00441B1A">
        <w:t xml:space="preserve">apply a </w:t>
      </w:r>
      <w:r w:rsidR="00584B94">
        <w:t>2</w:t>
      </w:r>
      <w:r w:rsidR="00B91C09">
        <w:t>-</w:t>
      </w:r>
      <w:r w:rsidR="007F549A">
        <w:t>step inclining tar</w:t>
      </w:r>
      <w:r w:rsidR="00792007">
        <w:t xml:space="preserve">iff where water consumption greater </w:t>
      </w:r>
      <w:r w:rsidR="00B91C09">
        <w:t>than 40</w:t>
      </w:r>
      <w:r w:rsidR="00E03CE1">
        <w:t xml:space="preserve"> kilolitres</w:t>
      </w:r>
      <w:r w:rsidR="00B91C09">
        <w:t xml:space="preserve"> in the quarter is charged the second step price.</w:t>
      </w:r>
      <w:r w:rsidR="00A1315F">
        <w:t xml:space="preserve"> </w:t>
      </w:r>
    </w:p>
    <w:p w14:paraId="10AAD1DB" w14:textId="119E93DB" w:rsidR="00246AAF" w:rsidRDefault="004133C8" w:rsidP="00AE35E9">
      <w:r>
        <w:t>Residential customers currently pay a sewage disposal charge on 75</w:t>
      </w:r>
      <w:r w:rsidR="00A4547F">
        <w:t xml:space="preserve">% </w:t>
      </w:r>
      <w:r>
        <w:t xml:space="preserve">of water </w:t>
      </w:r>
      <w:r w:rsidR="00BA5C6D">
        <w:br/>
      </w:r>
      <w:r>
        <w:t xml:space="preserve">volumes (detached dwellings) </w:t>
      </w:r>
      <w:r w:rsidR="004A51DB">
        <w:t>or 85</w:t>
      </w:r>
      <w:r w:rsidR="00A4547F">
        <w:t xml:space="preserve">% </w:t>
      </w:r>
      <w:r w:rsidR="004A51DB">
        <w:t>of water volumes (multi-unit dwellings).</w:t>
      </w:r>
      <w:r w:rsidR="00A1315F">
        <w:t xml:space="preserve"> </w:t>
      </w:r>
    </w:p>
    <w:p w14:paraId="7ECC210E" w14:textId="4439D103" w:rsidR="00AA0335" w:rsidRDefault="007116DF" w:rsidP="00AE35E9">
      <w:r>
        <w:t xml:space="preserve">The recycled water usage charge is </w:t>
      </w:r>
      <w:r w:rsidR="0007275F">
        <w:t>79</w:t>
      </w:r>
      <w:r w:rsidR="00A4547F">
        <w:t>% o</w:t>
      </w:r>
      <w:r>
        <w:t xml:space="preserve">f the step 1 </w:t>
      </w:r>
      <w:r w:rsidR="00A23447">
        <w:t>drinking</w:t>
      </w:r>
      <w:r>
        <w:t xml:space="preserve"> water charge. </w:t>
      </w:r>
      <w:r w:rsidR="0007287F">
        <w:t>A residential recycled water service charge is not applied.</w:t>
      </w:r>
      <w:r w:rsidR="00A1315F">
        <w:t xml:space="preserve"> </w:t>
      </w:r>
    </w:p>
    <w:p w14:paraId="4AF74C69" w14:textId="50942362" w:rsidR="00AA0335" w:rsidRDefault="00AA0335" w:rsidP="004F7489">
      <w:pPr>
        <w:pStyle w:val="Heading3"/>
        <w:rPr>
          <w:b w:val="0"/>
        </w:rPr>
      </w:pPr>
      <w:r w:rsidRPr="00EB5963">
        <w:t>Assessment and proposed approach for 2023</w:t>
      </w:r>
      <w:r w:rsidR="004C32D1">
        <w:t>–</w:t>
      </w:r>
      <w:r w:rsidRPr="00EB5963">
        <w:t>28</w:t>
      </w:r>
    </w:p>
    <w:p w14:paraId="4353D6EB" w14:textId="21A76CD3" w:rsidR="00AE35E9" w:rsidRDefault="00F64DC3" w:rsidP="00AE35E9">
      <w:r>
        <w:t xml:space="preserve">In setting our proposed </w:t>
      </w:r>
      <w:r w:rsidR="008B78F0">
        <w:t xml:space="preserve">residential </w:t>
      </w:r>
      <w:r>
        <w:t>tariff stru</w:t>
      </w:r>
      <w:r w:rsidR="00E32EC9">
        <w:t>c</w:t>
      </w:r>
      <w:r>
        <w:t>t</w:t>
      </w:r>
      <w:r w:rsidR="00E32EC9">
        <w:t>u</w:t>
      </w:r>
      <w:r>
        <w:t>res for the next regulatory period, we have t</w:t>
      </w:r>
      <w:r w:rsidR="00E32EC9">
        <w:t xml:space="preserve">aken </w:t>
      </w:r>
      <w:r w:rsidR="001A2C8D">
        <w:t xml:space="preserve">into consideration </w:t>
      </w:r>
      <w:r w:rsidR="00362AA1">
        <w:t xml:space="preserve">the </w:t>
      </w:r>
      <w:r w:rsidR="00062A5F">
        <w:t>customer</w:t>
      </w:r>
      <w:r w:rsidR="00700823">
        <w:t xml:space="preserve"> forum </w:t>
      </w:r>
      <w:r w:rsidR="00B350BE">
        <w:t xml:space="preserve">decisions, </w:t>
      </w:r>
      <w:r w:rsidR="00F97C2C">
        <w:t>ESC</w:t>
      </w:r>
      <w:r w:rsidR="00612583">
        <w:t>’</w:t>
      </w:r>
      <w:r w:rsidR="00F97C2C">
        <w:t>s guidance paper</w:t>
      </w:r>
      <w:r w:rsidR="009D74E6">
        <w:t xml:space="preserve"> </w:t>
      </w:r>
      <w:r w:rsidR="00F97C2C">
        <w:t xml:space="preserve">requirements and </w:t>
      </w:r>
      <w:r w:rsidR="001A083E">
        <w:t xml:space="preserve">the opportunities </w:t>
      </w:r>
      <w:r w:rsidR="00460CF6">
        <w:t>digital m</w:t>
      </w:r>
      <w:r w:rsidR="009E3AA4">
        <w:t xml:space="preserve">etering provides in terms of </w:t>
      </w:r>
      <w:r w:rsidR="00934112">
        <w:t>pricing</w:t>
      </w:r>
      <w:r w:rsidR="00447AA6">
        <w:t>.</w:t>
      </w:r>
    </w:p>
    <w:p w14:paraId="3F3D4FB8" w14:textId="51D8EDA4" w:rsidR="00447AA6" w:rsidRDefault="00AE344C" w:rsidP="00AE35E9">
      <w:r>
        <w:t>Alth</w:t>
      </w:r>
      <w:r w:rsidR="00881622">
        <w:t xml:space="preserve">ough the customer </w:t>
      </w:r>
      <w:r w:rsidR="004A4760">
        <w:t>forum decided on a</w:t>
      </w:r>
      <w:r w:rsidR="00112AF6">
        <w:t>n</w:t>
      </w:r>
      <w:r w:rsidR="004A4760">
        <w:t xml:space="preserve"> increase </w:t>
      </w:r>
      <w:r w:rsidR="00562D53">
        <w:t>in</w:t>
      </w:r>
      <w:r w:rsidR="00562D53" w:rsidRPr="00562D53">
        <w:t xml:space="preserve"> the level of </w:t>
      </w:r>
      <w:r w:rsidR="00562D53">
        <w:t xml:space="preserve">billing </w:t>
      </w:r>
      <w:r w:rsidR="00562D53" w:rsidRPr="00562D53">
        <w:t>variability to around 50</w:t>
      </w:r>
      <w:r w:rsidR="00C30322">
        <w:t>%</w:t>
      </w:r>
      <w:r w:rsidR="00D371A1">
        <w:t>,</w:t>
      </w:r>
      <w:r w:rsidR="00562D53" w:rsidRPr="00562D53">
        <w:t xml:space="preserve"> </w:t>
      </w:r>
      <w:r w:rsidR="00562D53">
        <w:t>we have decided to keep bill variability constant (around 47</w:t>
      </w:r>
      <w:r w:rsidR="00C30322">
        <w:t>%</w:t>
      </w:r>
      <w:r w:rsidR="00562D53">
        <w:t>)</w:t>
      </w:r>
      <w:r w:rsidR="00BA233A">
        <w:t xml:space="preserve"> </w:t>
      </w:r>
      <w:r w:rsidR="00A00254">
        <w:t xml:space="preserve">to avoid the </w:t>
      </w:r>
      <w:r w:rsidR="00F827A6">
        <w:t>implications associated to</w:t>
      </w:r>
      <w:r w:rsidR="006C6559">
        <w:t xml:space="preserve"> </w:t>
      </w:r>
      <w:r w:rsidR="008B78F0">
        <w:t xml:space="preserve">rental </w:t>
      </w:r>
      <w:r w:rsidR="006C6559">
        <w:t>customers</w:t>
      </w:r>
      <w:r w:rsidR="00F827A6">
        <w:t xml:space="preserve"> receiving a bill increase</w:t>
      </w:r>
      <w:r w:rsidR="006C6559">
        <w:t xml:space="preserve">. </w:t>
      </w:r>
    </w:p>
    <w:p w14:paraId="04F0D89C" w14:textId="5AF056E5" w:rsidR="00DE196A" w:rsidRDefault="0061439B" w:rsidP="00AE35E9">
      <w:r>
        <w:t xml:space="preserve">We propose to retain the </w:t>
      </w:r>
      <w:r w:rsidR="00584B94">
        <w:t>2</w:t>
      </w:r>
      <w:r w:rsidR="00192E32">
        <w:t>-</w:t>
      </w:r>
      <w:r w:rsidR="00CA62CE">
        <w:t xml:space="preserve">step inclining </w:t>
      </w:r>
      <w:r w:rsidR="00BF54B6">
        <w:t>tariff</w:t>
      </w:r>
      <w:r w:rsidR="00192E32">
        <w:t xml:space="preserve"> where water consumption greater than 40</w:t>
      </w:r>
      <w:r w:rsidR="00E03CE1">
        <w:t xml:space="preserve"> kilolitres</w:t>
      </w:r>
      <w:r w:rsidR="00192E32">
        <w:t xml:space="preserve"> in the quarter will be charged the second step price. </w:t>
      </w:r>
      <w:r w:rsidR="00D622AA">
        <w:t xml:space="preserve">There was general agreement by our customers to retain the </w:t>
      </w:r>
      <w:r w:rsidR="00584B94">
        <w:t>2</w:t>
      </w:r>
      <w:r w:rsidR="00686806">
        <w:t>-</w:t>
      </w:r>
      <w:r w:rsidR="00192E32">
        <w:t xml:space="preserve">step </w:t>
      </w:r>
      <w:r w:rsidR="0001008F">
        <w:t xml:space="preserve">inclining </w:t>
      </w:r>
      <w:r w:rsidR="00322F8B">
        <w:t>tariff for the pu</w:t>
      </w:r>
      <w:r w:rsidR="002F1D40">
        <w:t>r</w:t>
      </w:r>
      <w:r w:rsidR="00322F8B">
        <w:t>poses of water conservation</w:t>
      </w:r>
      <w:r w:rsidR="002F1D40">
        <w:t xml:space="preserve">, equity and </w:t>
      </w:r>
      <w:r w:rsidR="00322F8B">
        <w:t>bill simplicity</w:t>
      </w:r>
      <w:r w:rsidR="002F1D40">
        <w:t>.</w:t>
      </w:r>
    </w:p>
    <w:p w14:paraId="610DFB4B" w14:textId="332075F0" w:rsidR="00692ED9" w:rsidRDefault="00A52294" w:rsidP="00AE35E9">
      <w:r>
        <w:t xml:space="preserve">We have proposed removing the residential sewage disposal charge. </w:t>
      </w:r>
      <w:r w:rsidR="00717540">
        <w:t>C</w:t>
      </w:r>
      <w:r w:rsidR="0061290F">
        <w:t>ustomers must have the ability to</w:t>
      </w:r>
      <w:r w:rsidR="00692ED9">
        <w:t xml:space="preserve"> </w:t>
      </w:r>
      <w:r w:rsidR="007E6339">
        <w:t>make</w:t>
      </w:r>
      <w:r w:rsidR="004567FB">
        <w:t xml:space="preserve"> decis</w:t>
      </w:r>
      <w:r w:rsidR="00717540">
        <w:t xml:space="preserve">ions </w:t>
      </w:r>
      <w:r w:rsidR="00853CFB">
        <w:t xml:space="preserve">as to how much of a particular </w:t>
      </w:r>
      <w:r w:rsidR="00B5162B">
        <w:t xml:space="preserve">service they </w:t>
      </w:r>
      <w:r w:rsidR="00B05D7B">
        <w:t>ch</w:t>
      </w:r>
      <w:r w:rsidR="00A92E14">
        <w:t>o</w:t>
      </w:r>
      <w:r w:rsidR="00B05D7B">
        <w:t xml:space="preserve">ose to </w:t>
      </w:r>
      <w:r w:rsidR="00B5162B">
        <w:lastRenderedPageBreak/>
        <w:t>c</w:t>
      </w:r>
      <w:r w:rsidR="00C90039">
        <w:t xml:space="preserve">onsume. </w:t>
      </w:r>
      <w:r w:rsidR="00B05D7B">
        <w:t>To do this</w:t>
      </w:r>
      <w:r w:rsidR="00BE4D9C">
        <w:t>,</w:t>
      </w:r>
      <w:r w:rsidR="00D56673">
        <w:t xml:space="preserve"> the service must be </w:t>
      </w:r>
      <w:r w:rsidR="00EE70EA">
        <w:t>practicable to measure</w:t>
      </w:r>
      <w:r w:rsidR="00986AB8">
        <w:t>,</w:t>
      </w:r>
      <w:r w:rsidR="00EE70EA">
        <w:t xml:space="preserve"> </w:t>
      </w:r>
      <w:r w:rsidR="004B5D0E">
        <w:t xml:space="preserve">which allows the customer </w:t>
      </w:r>
      <w:r w:rsidR="00723B84">
        <w:t xml:space="preserve">to </w:t>
      </w:r>
      <w:r w:rsidR="0055099C">
        <w:t xml:space="preserve">make decisions of how much of </w:t>
      </w:r>
      <w:r w:rsidR="004B6D02">
        <w:t xml:space="preserve">a </w:t>
      </w:r>
      <w:r w:rsidR="0055099C">
        <w:t xml:space="preserve">service </w:t>
      </w:r>
      <w:r w:rsidR="00986AB8">
        <w:t xml:space="preserve">they </w:t>
      </w:r>
      <w:r w:rsidR="00DE5719">
        <w:t xml:space="preserve">consume. </w:t>
      </w:r>
      <w:r w:rsidR="007B3160">
        <w:t>If a service cannot be measured</w:t>
      </w:r>
      <w:r w:rsidR="008B78F0">
        <w:t xml:space="preserve"> (</w:t>
      </w:r>
      <w:r w:rsidR="005E58F1">
        <w:t xml:space="preserve">which is the case for </w:t>
      </w:r>
      <w:r w:rsidR="004B6D02">
        <w:t>t</w:t>
      </w:r>
      <w:r w:rsidR="005E58F1">
        <w:t xml:space="preserve">he provision </w:t>
      </w:r>
      <w:r w:rsidR="004B6D02">
        <w:t xml:space="preserve">of </w:t>
      </w:r>
      <w:r w:rsidR="00F66656">
        <w:t xml:space="preserve">residential </w:t>
      </w:r>
      <w:r w:rsidR="00880CB1">
        <w:t>volumetric</w:t>
      </w:r>
      <w:r w:rsidR="00F66656">
        <w:t xml:space="preserve"> </w:t>
      </w:r>
      <w:r w:rsidR="005E58F1">
        <w:t>sewage services</w:t>
      </w:r>
      <w:r w:rsidR="008B78F0">
        <w:t>)</w:t>
      </w:r>
      <w:r w:rsidR="005735F1">
        <w:t>,</w:t>
      </w:r>
      <w:r w:rsidR="002B6E15">
        <w:t xml:space="preserve"> th</w:t>
      </w:r>
      <w:r w:rsidR="00F66656">
        <w:t>e</w:t>
      </w:r>
      <w:r w:rsidR="002B6E15">
        <w:t xml:space="preserve">n customers are unable to respond to any price </w:t>
      </w:r>
      <w:r w:rsidR="004B6D02">
        <w:t>signals provided through volumetric pricing.</w:t>
      </w:r>
      <w:r w:rsidR="00A1315F">
        <w:t xml:space="preserve"> </w:t>
      </w:r>
    </w:p>
    <w:p w14:paraId="40E831C6" w14:textId="1CF99865" w:rsidR="00F35CE6" w:rsidRDefault="00F66656" w:rsidP="00AE35E9">
      <w:r>
        <w:t>R</w:t>
      </w:r>
      <w:r w:rsidR="00095B10">
        <w:t>emov</w:t>
      </w:r>
      <w:r w:rsidR="008735E6">
        <w:t>ing</w:t>
      </w:r>
      <w:r w:rsidR="00095B10">
        <w:t xml:space="preserve"> the residential sewage disposal charge</w:t>
      </w:r>
      <w:r w:rsidR="000D0DDE">
        <w:t xml:space="preserve"> </w:t>
      </w:r>
      <w:r w:rsidR="004E5F64">
        <w:t>aligns to the customer tariff forum</w:t>
      </w:r>
      <w:r w:rsidR="00612583">
        <w:t>’</w:t>
      </w:r>
      <w:r w:rsidR="004E5F64">
        <w:t xml:space="preserve">s </w:t>
      </w:r>
      <w:r>
        <w:t>decision</w:t>
      </w:r>
      <w:r w:rsidR="00DB4228">
        <w:t xml:space="preserve"> which </w:t>
      </w:r>
      <w:r w:rsidR="00006300">
        <w:t xml:space="preserve">considers </w:t>
      </w:r>
      <w:r w:rsidR="00CD679D">
        <w:t>thi</w:t>
      </w:r>
      <w:r w:rsidR="00B46904">
        <w:t xml:space="preserve">s tariff proposal </w:t>
      </w:r>
      <w:r w:rsidR="00EE69DE">
        <w:t>to</w:t>
      </w:r>
      <w:r w:rsidR="00A9531F">
        <w:t xml:space="preserve"> </w:t>
      </w:r>
      <w:r w:rsidR="0032760B">
        <w:t>promote</w:t>
      </w:r>
      <w:r w:rsidR="00647A85">
        <w:t xml:space="preserve"> billing simplicity, remove the </w:t>
      </w:r>
      <w:r w:rsidR="00597947">
        <w:t>inaccuracy</w:t>
      </w:r>
      <w:r w:rsidR="00647A85">
        <w:t xml:space="preserve"> associ</w:t>
      </w:r>
      <w:r w:rsidR="00597947">
        <w:t>a</w:t>
      </w:r>
      <w:r w:rsidR="00647A85">
        <w:t xml:space="preserve">ted to sewage disposal charging and </w:t>
      </w:r>
      <w:r w:rsidR="0032760B">
        <w:t>encourage</w:t>
      </w:r>
      <w:r w:rsidR="00597947">
        <w:t xml:space="preserve"> fairness</w:t>
      </w:r>
      <w:r w:rsidR="00D4351D">
        <w:t>.</w:t>
      </w:r>
      <w:r w:rsidR="008735E6">
        <w:t xml:space="preserve"> </w:t>
      </w:r>
    </w:p>
    <w:p w14:paraId="13AFB3FA" w14:textId="483B8856" w:rsidR="00E62CFE" w:rsidRDefault="008735E6" w:rsidP="00AE35E9">
      <w:r>
        <w:t>Th</w:t>
      </w:r>
      <w:r w:rsidR="00F35CE6">
        <w:t>e</w:t>
      </w:r>
      <w:r>
        <w:t xml:space="preserve"> proposal </w:t>
      </w:r>
      <w:r w:rsidR="00EF065D">
        <w:t>is</w:t>
      </w:r>
      <w:r w:rsidR="00D371A1">
        <w:t xml:space="preserve"> also</w:t>
      </w:r>
      <w:r w:rsidR="00EF065D">
        <w:t xml:space="preserve"> favoured by the ESC</w:t>
      </w:r>
      <w:r w:rsidR="00612583">
        <w:t>’</w:t>
      </w:r>
      <w:r w:rsidR="00EF065D">
        <w:t xml:space="preserve">s </w:t>
      </w:r>
      <w:r w:rsidR="00E62CFE" w:rsidRPr="00116E55">
        <w:rPr>
          <w:i/>
          <w:iCs/>
        </w:rPr>
        <w:t xml:space="preserve">2023 </w:t>
      </w:r>
      <w:r w:rsidR="00770060" w:rsidRPr="00116E55">
        <w:rPr>
          <w:i/>
          <w:iCs/>
        </w:rPr>
        <w:t xml:space="preserve">Water </w:t>
      </w:r>
      <w:r w:rsidR="00770060">
        <w:rPr>
          <w:i/>
          <w:iCs/>
        </w:rPr>
        <w:t>P</w:t>
      </w:r>
      <w:r w:rsidR="00E62CFE" w:rsidRPr="00116E55">
        <w:rPr>
          <w:i/>
          <w:iCs/>
        </w:rPr>
        <w:t xml:space="preserve">rice </w:t>
      </w:r>
      <w:r w:rsidR="00770060" w:rsidRPr="00116E55">
        <w:rPr>
          <w:i/>
          <w:iCs/>
        </w:rPr>
        <w:t>R</w:t>
      </w:r>
      <w:r w:rsidR="00E62CFE" w:rsidRPr="00116E55">
        <w:rPr>
          <w:i/>
          <w:iCs/>
        </w:rPr>
        <w:t>eview</w:t>
      </w:r>
      <w:r w:rsidR="00E62CFE">
        <w:t xml:space="preserve"> </w:t>
      </w:r>
      <w:r w:rsidR="00EF065D">
        <w:t xml:space="preserve">guidance </w:t>
      </w:r>
      <w:r w:rsidR="00E62CFE">
        <w:t>paper which states:</w:t>
      </w:r>
    </w:p>
    <w:p w14:paraId="4A409569" w14:textId="6AA5AFBC" w:rsidR="006052BB" w:rsidRDefault="00F2770E" w:rsidP="00116E55">
      <w:pPr>
        <w:ind w:left="284"/>
      </w:pPr>
      <w:r w:rsidRPr="003D4476">
        <w:rPr>
          <w:i/>
        </w:rPr>
        <w:t>We consider</w:t>
      </w:r>
      <w:r w:rsidR="00F16F2A" w:rsidRPr="003D4476">
        <w:rPr>
          <w:i/>
        </w:rPr>
        <w:t xml:space="preserve"> the current variable sewerage tariffs for residential customers of the </w:t>
      </w:r>
      <w:r w:rsidR="001E4797" w:rsidRPr="003D4476">
        <w:rPr>
          <w:i/>
        </w:rPr>
        <w:t>metropolitan water businesses are difficult for customers to understand, and not cost reflective.</w:t>
      </w:r>
      <w:r w:rsidR="00130769" w:rsidRPr="003D4476">
        <w:rPr>
          <w:i/>
        </w:rPr>
        <w:t xml:space="preserve"> Given the low </w:t>
      </w:r>
      <w:r w:rsidR="005D2AA7" w:rsidRPr="003D4476">
        <w:rPr>
          <w:i/>
        </w:rPr>
        <w:t>marginal cost of re</w:t>
      </w:r>
      <w:r w:rsidR="002936E4" w:rsidRPr="003D4476">
        <w:rPr>
          <w:i/>
        </w:rPr>
        <w:t>s</w:t>
      </w:r>
      <w:r w:rsidR="005D2AA7" w:rsidRPr="003D4476">
        <w:rPr>
          <w:i/>
        </w:rPr>
        <w:t>i</w:t>
      </w:r>
      <w:r w:rsidR="002936E4" w:rsidRPr="003D4476">
        <w:rPr>
          <w:i/>
        </w:rPr>
        <w:t>d</w:t>
      </w:r>
      <w:r w:rsidR="005D2AA7" w:rsidRPr="003D4476">
        <w:rPr>
          <w:i/>
        </w:rPr>
        <w:t>ential sewage treatment, we will consider proposa</w:t>
      </w:r>
      <w:r w:rsidR="005708E7" w:rsidRPr="003D4476">
        <w:rPr>
          <w:i/>
        </w:rPr>
        <w:t>l</w:t>
      </w:r>
      <w:r w:rsidR="005D2AA7" w:rsidRPr="003D4476">
        <w:rPr>
          <w:i/>
        </w:rPr>
        <w:t>s for</w:t>
      </w:r>
      <w:r w:rsidR="00AD148B" w:rsidRPr="003D4476">
        <w:rPr>
          <w:i/>
        </w:rPr>
        <w:t xml:space="preserve"> a single fixed charge </w:t>
      </w:r>
      <w:r w:rsidR="00A55A44" w:rsidRPr="003D4476">
        <w:rPr>
          <w:i/>
        </w:rPr>
        <w:t>for retail sewage disposal for residential customers favourably</w:t>
      </w:r>
      <w:r w:rsidR="00A55A44">
        <w:t>.</w:t>
      </w:r>
      <w:r w:rsidR="00C31A04" w:rsidRPr="00F00E61">
        <w:rPr>
          <w:rStyle w:val="FootnoteReference"/>
          <w:color w:val="auto"/>
        </w:rPr>
        <w:footnoteReference w:id="22"/>
      </w:r>
      <w:r w:rsidR="00A1315F" w:rsidRPr="00F00E61">
        <w:t xml:space="preserve"> </w:t>
      </w:r>
    </w:p>
    <w:p w14:paraId="0268BD3B" w14:textId="5076AB26" w:rsidR="00AE35E9" w:rsidRDefault="005824D8" w:rsidP="00AE35E9">
      <w:r>
        <w:t>R</w:t>
      </w:r>
      <w:r w:rsidR="00F35CE6">
        <w:t xml:space="preserve">emoving the residential </w:t>
      </w:r>
      <w:r w:rsidR="00ED1658">
        <w:t>sewage disposal charge</w:t>
      </w:r>
      <w:r>
        <w:t xml:space="preserve"> </w:t>
      </w:r>
      <w:r w:rsidR="003076AE">
        <w:t>causes</w:t>
      </w:r>
      <w:r>
        <w:t xml:space="preserve"> a revenue shortfall</w:t>
      </w:r>
      <w:r w:rsidR="009E0BCB">
        <w:t xml:space="preserve"> that must </w:t>
      </w:r>
      <w:r w:rsidR="008B78F0">
        <w:t xml:space="preserve">be </w:t>
      </w:r>
      <w:r w:rsidR="009E0BCB">
        <w:t xml:space="preserve">recovered through </w:t>
      </w:r>
      <w:r w:rsidR="00FC5D0D">
        <w:t xml:space="preserve">other tariffs. </w:t>
      </w:r>
      <w:r w:rsidR="003076AE">
        <w:t>We</w:t>
      </w:r>
      <w:r w:rsidR="00DA3267">
        <w:t xml:space="preserve"> propose </w:t>
      </w:r>
      <w:r w:rsidR="00A1321E">
        <w:t>reallocat</w:t>
      </w:r>
      <w:r w:rsidR="003076AE">
        <w:t>ing</w:t>
      </w:r>
      <w:r w:rsidR="00A1321E">
        <w:t xml:space="preserve"> </w:t>
      </w:r>
      <w:r w:rsidR="007B4821">
        <w:t>the revenue shortfall</w:t>
      </w:r>
      <w:r w:rsidR="0006676C">
        <w:t xml:space="preserve"> to the</w:t>
      </w:r>
      <w:r w:rsidR="006052BB">
        <w:t xml:space="preserve"> </w:t>
      </w:r>
      <w:r w:rsidR="002B57BB">
        <w:t xml:space="preserve">residential </w:t>
      </w:r>
      <w:r w:rsidR="006052BB">
        <w:t xml:space="preserve">variable water step tariffs. </w:t>
      </w:r>
      <w:r w:rsidR="00E63E9E">
        <w:t>This provides a more direct price signal to customer</w:t>
      </w:r>
      <w:r w:rsidR="002B57BB">
        <w:t>s</w:t>
      </w:r>
      <w:r w:rsidR="00AC5882">
        <w:t>,</w:t>
      </w:r>
      <w:r w:rsidR="0068345C">
        <w:t xml:space="preserve"> which will be</w:t>
      </w:r>
      <w:r w:rsidR="001D1683">
        <w:t xml:space="preserve"> complemented by notifications supported through digital metering</w:t>
      </w:r>
      <w:r w:rsidR="00AC5882">
        <w:t>,</w:t>
      </w:r>
      <w:r w:rsidR="003076AE">
        <w:t xml:space="preserve"> </w:t>
      </w:r>
      <w:r w:rsidR="00A07A79">
        <w:t xml:space="preserve">which </w:t>
      </w:r>
      <w:r w:rsidR="00817AFE">
        <w:t>increases</w:t>
      </w:r>
      <w:r w:rsidR="003B538C">
        <w:t xml:space="preserve"> the ability </w:t>
      </w:r>
      <w:r w:rsidR="00002951">
        <w:t>of</w:t>
      </w:r>
      <w:r w:rsidR="003B538C">
        <w:t xml:space="preserve"> customers </w:t>
      </w:r>
      <w:r w:rsidR="00817AFE">
        <w:t>to make decisions on how much water they cho</w:t>
      </w:r>
      <w:r w:rsidR="003E5B19">
        <w:t>o</w:t>
      </w:r>
      <w:r w:rsidR="00817AFE">
        <w:t>se to consume</w:t>
      </w:r>
      <w:r w:rsidR="00DF7694">
        <w:t xml:space="preserve"> and promote</w:t>
      </w:r>
      <w:r w:rsidR="00AA21CB">
        <w:t>s</w:t>
      </w:r>
      <w:r w:rsidR="00DF7694">
        <w:t xml:space="preserve"> water conservation</w:t>
      </w:r>
      <w:r w:rsidR="001D1683">
        <w:t>.</w:t>
      </w:r>
      <w:r w:rsidR="00095B10">
        <w:t xml:space="preserve"> </w:t>
      </w:r>
      <w:r w:rsidR="00662F8A">
        <w:t>These higher water step</w:t>
      </w:r>
      <w:r w:rsidR="006B7515">
        <w:t xml:space="preserve"> </w:t>
      </w:r>
      <w:r w:rsidR="00662F8A">
        <w:t>tariffs are also in line with</w:t>
      </w:r>
      <w:r w:rsidR="00E86CF4">
        <w:t xml:space="preserve"> long</w:t>
      </w:r>
      <w:r w:rsidR="003E5B19">
        <w:t>-</w:t>
      </w:r>
      <w:r w:rsidR="00E86CF4">
        <w:t>run marginal cost estimates.</w:t>
      </w:r>
    </w:p>
    <w:p w14:paraId="62D79D62" w14:textId="46AEACED" w:rsidR="004D5306" w:rsidRDefault="00E56692" w:rsidP="00644C82">
      <w:r>
        <w:t xml:space="preserve">The bill impact of the </w:t>
      </w:r>
      <w:r w:rsidR="00742651">
        <w:t xml:space="preserve">increased residential variable water step tariffs is offset by the </w:t>
      </w:r>
      <w:r>
        <w:t>removal of the residential sewage disposal charge</w:t>
      </w:r>
      <w:r w:rsidR="00742651">
        <w:t xml:space="preserve"> and price reduction</w:t>
      </w:r>
      <w:r w:rsidR="0004156E">
        <w:t xml:space="preserve"> of the service charges</w:t>
      </w:r>
      <w:r w:rsidR="00742651">
        <w:t>.</w:t>
      </w:r>
      <w:r>
        <w:t xml:space="preserve"> </w:t>
      </w:r>
      <w:r w:rsidR="00CD6F5A">
        <w:t>W</w:t>
      </w:r>
      <w:r w:rsidR="000223DB">
        <w:t xml:space="preserve">e have sought to balance customer impacts </w:t>
      </w:r>
      <w:r w:rsidR="00F86961">
        <w:t>for our water</w:t>
      </w:r>
      <w:r w:rsidR="00676459">
        <w:t>-</w:t>
      </w:r>
      <w:r w:rsidR="00F86961">
        <w:t>only customers</w:t>
      </w:r>
      <w:r w:rsidR="000223DB">
        <w:t xml:space="preserve"> </w:t>
      </w:r>
      <w:r w:rsidR="00880CB1">
        <w:t>by</w:t>
      </w:r>
      <w:r w:rsidR="003F68BE">
        <w:t xml:space="preserve"> includ</w:t>
      </w:r>
      <w:r w:rsidR="00880CB1">
        <w:t>ing</w:t>
      </w:r>
      <w:r w:rsidR="003F68BE">
        <w:t xml:space="preserve"> the </w:t>
      </w:r>
      <w:r w:rsidR="00644C82">
        <w:t>introduction of</w:t>
      </w:r>
      <w:r w:rsidR="004917C8">
        <w:t xml:space="preserve"> a water</w:t>
      </w:r>
      <w:r w:rsidR="00354105">
        <w:t>-</w:t>
      </w:r>
      <w:r w:rsidR="004917C8">
        <w:t xml:space="preserve">only tariff that is set </w:t>
      </w:r>
      <w:r w:rsidR="00037563">
        <w:t>in line with</w:t>
      </w:r>
      <w:r w:rsidR="004917C8">
        <w:t xml:space="preserve"> </w:t>
      </w:r>
      <w:r w:rsidR="006A7ADB">
        <w:t xml:space="preserve">the </w:t>
      </w:r>
      <w:r w:rsidR="004917C8">
        <w:t xml:space="preserve">current </w:t>
      </w:r>
      <w:r w:rsidR="00584B94">
        <w:t>2</w:t>
      </w:r>
      <w:r w:rsidR="006A7ADB">
        <w:t xml:space="preserve"> </w:t>
      </w:r>
      <w:r w:rsidR="00487932">
        <w:t>consumption steps</w:t>
      </w:r>
      <w:r w:rsidR="00037563">
        <w:t xml:space="preserve"> </w:t>
      </w:r>
      <w:r w:rsidR="00487932">
        <w:t>for the residential</w:t>
      </w:r>
      <w:r w:rsidR="00037563">
        <w:t xml:space="preserve"> </w:t>
      </w:r>
      <w:r w:rsidR="004917C8">
        <w:t xml:space="preserve">variable </w:t>
      </w:r>
      <w:r w:rsidR="00037563">
        <w:t>tariff</w:t>
      </w:r>
      <w:r w:rsidR="00644C82">
        <w:t xml:space="preserve">. </w:t>
      </w:r>
      <w:r w:rsidR="00F03409">
        <w:t xml:space="preserve">We propose to </w:t>
      </w:r>
      <w:r w:rsidR="005B4457">
        <w:t>make the change in the first year of the price submission.</w:t>
      </w:r>
    </w:p>
    <w:p w14:paraId="52152FAA" w14:textId="77777777" w:rsidR="008D6BA2" w:rsidRDefault="008D6BA2" w:rsidP="008D6BA2">
      <w:r>
        <w:t>We consider that the proposed tariff structure change is consistent with each of the ESC’s tariff principles. The higher water step tariffs are in line with long-run marginal cost estimates. The proposed tariff change also seeks to better meet the principle of ‘customer focus’, as it will:</w:t>
      </w:r>
    </w:p>
    <w:p w14:paraId="11D2809A" w14:textId="5A715252" w:rsidR="008D6BA2" w:rsidRDefault="008D6BA2" w:rsidP="008D6BA2">
      <w:r>
        <w:t>•</w:t>
      </w:r>
      <w:r w:rsidR="005D2ADB">
        <w:t xml:space="preserve"> </w:t>
      </w:r>
      <w:r>
        <w:t>Have better regard to the ability of customers to understand the tariff and being able to respond to price signals</w:t>
      </w:r>
    </w:p>
    <w:p w14:paraId="539C4060" w14:textId="0A1B7E3B" w:rsidR="008D6BA2" w:rsidRDefault="008D6BA2" w:rsidP="008D6BA2">
      <w:r>
        <w:t>•</w:t>
      </w:r>
      <w:r w:rsidR="005D2ADB">
        <w:t xml:space="preserve"> </w:t>
      </w:r>
      <w:r>
        <w:t>Deliver on customer preferences for simpler tariffs.</w:t>
      </w:r>
    </w:p>
    <w:p w14:paraId="362CCD20" w14:textId="3F8A332A" w:rsidR="008D6BA2" w:rsidRDefault="0085617B" w:rsidP="008D6BA2">
      <w:r>
        <w:t>Table 49</w:t>
      </w:r>
      <w:r w:rsidR="008D6BA2">
        <w:t xml:space="preserve"> outlines how the proposed tariff structure change better meets the pricing principles included in clause 11 (d) of the WIRO.</w:t>
      </w:r>
    </w:p>
    <w:p w14:paraId="1CF91F03" w14:textId="1C276AC4" w:rsidR="008D6BA2" w:rsidRDefault="008D6BA2" w:rsidP="00644C82"/>
    <w:p w14:paraId="2F37AF48" w14:textId="064C1AFA" w:rsidR="008D6BA2" w:rsidRDefault="008D6BA2" w:rsidP="00644C82"/>
    <w:p w14:paraId="30B396AD" w14:textId="55B42CE3" w:rsidR="008D6BA2" w:rsidRDefault="008D6BA2" w:rsidP="00644C82"/>
    <w:p w14:paraId="7C2AE444" w14:textId="77777777" w:rsidR="007F20E9" w:rsidRDefault="007F20E9" w:rsidP="00644C82"/>
    <w:p w14:paraId="302FFD36" w14:textId="5652D6EA" w:rsidR="00F87F81" w:rsidRPr="00F87F81" w:rsidRDefault="00F87F81" w:rsidP="00F87F81">
      <w:pPr>
        <w:pStyle w:val="NormalIndent"/>
        <w:ind w:left="0"/>
        <w:rPr>
          <w:rFonts w:cs="Arial"/>
          <w:b/>
          <w:i/>
        </w:rPr>
      </w:pPr>
      <w:r w:rsidRPr="00B76DF4">
        <w:rPr>
          <w:b/>
          <w:i/>
        </w:rPr>
        <w:lastRenderedPageBreak/>
        <w:t xml:space="preserve">Table </w:t>
      </w:r>
      <w:r w:rsidRPr="00B76DF4">
        <w:rPr>
          <w:b/>
          <w:bCs/>
          <w:i/>
          <w:iCs/>
        </w:rPr>
        <w:fldChar w:fldCharType="begin"/>
      </w:r>
      <w:r w:rsidRPr="00B76DF4">
        <w:rPr>
          <w:b/>
          <w:bCs/>
          <w:i/>
          <w:iCs/>
        </w:rPr>
        <w:instrText>SEQ Table \* ARABIC</w:instrText>
      </w:r>
      <w:r w:rsidRPr="00B76DF4">
        <w:rPr>
          <w:b/>
          <w:bCs/>
          <w:i/>
          <w:iCs/>
        </w:rPr>
        <w:fldChar w:fldCharType="separate"/>
      </w:r>
      <w:r w:rsidRPr="00B76DF4">
        <w:rPr>
          <w:b/>
          <w:bCs/>
          <w:i/>
          <w:iCs/>
          <w:noProof/>
        </w:rPr>
        <w:t>49</w:t>
      </w:r>
      <w:r w:rsidRPr="00B76DF4">
        <w:rPr>
          <w:b/>
          <w:bCs/>
          <w:i/>
          <w:iCs/>
        </w:rPr>
        <w:fldChar w:fldCharType="end"/>
      </w:r>
      <w:r w:rsidRPr="00B76DF4">
        <w:rPr>
          <w:rFonts w:ascii="Arial" w:hAnsi="Arial" w:cs="Arial"/>
          <w:b/>
          <w:i/>
        </w:rPr>
        <w:t xml:space="preserve">: </w:t>
      </w:r>
      <w:r w:rsidRPr="00B76DF4">
        <w:rPr>
          <w:b/>
          <w:i/>
        </w:rPr>
        <w:t>WIRO pricing principle</w:t>
      </w:r>
      <w:r w:rsidR="00FE7787" w:rsidRPr="00B76DF4">
        <w:rPr>
          <w:b/>
          <w:i/>
        </w:rPr>
        <w:t>s</w:t>
      </w:r>
      <w:r w:rsidRPr="00B76DF4">
        <w:rPr>
          <w:b/>
          <w:i/>
        </w:rPr>
        <w:t xml:space="preserve"> assessment</w:t>
      </w:r>
      <w:r>
        <w:rPr>
          <w:b/>
          <w:i/>
        </w:rPr>
        <w:t xml:space="preserve"> </w:t>
      </w:r>
      <w:r w:rsidR="00ED70AE">
        <w:rPr>
          <w:b/>
          <w:i/>
        </w:rPr>
        <w:t>5</w:t>
      </w:r>
    </w:p>
    <w:tbl>
      <w:tblPr>
        <w:tblStyle w:val="MJTableStyle1default"/>
        <w:tblW w:w="9209" w:type="dxa"/>
        <w:tblInd w:w="5" w:type="dxa"/>
        <w:tblLayout w:type="fixed"/>
        <w:tblLook w:val="04A0" w:firstRow="1" w:lastRow="0" w:firstColumn="1" w:lastColumn="0" w:noHBand="0" w:noVBand="1"/>
      </w:tblPr>
      <w:tblGrid>
        <w:gridCol w:w="4106"/>
        <w:gridCol w:w="5103"/>
      </w:tblGrid>
      <w:tr w:rsidR="00DB67EC" w:rsidRPr="00360131" w14:paraId="0B707DAA" w14:textId="77777777" w:rsidTr="007F20E9">
        <w:trPr>
          <w:cnfStyle w:val="100000000000" w:firstRow="1" w:lastRow="0" w:firstColumn="0" w:lastColumn="0" w:oddVBand="0" w:evenVBand="0" w:oddHBand="0" w:evenHBand="0" w:firstRowFirstColumn="0" w:firstRowLastColumn="0" w:lastRowFirstColumn="0" w:lastRowLastColumn="0"/>
          <w:trHeight w:val="565"/>
        </w:trPr>
        <w:tc>
          <w:tcPr>
            <w:tcW w:w="4106" w:type="dxa"/>
            <w:tcBorders>
              <w:top w:val="single" w:sz="4" w:space="0" w:color="002279"/>
              <w:left w:val="single" w:sz="4" w:space="0" w:color="002279"/>
              <w:bottom w:val="single" w:sz="2" w:space="0" w:color="002279"/>
              <w:right w:val="single" w:sz="4" w:space="0" w:color="FFFFFF" w:themeColor="background1"/>
            </w:tcBorders>
            <w:shd w:val="clear" w:color="auto" w:fill="002279"/>
            <w:noWrap/>
            <w:vAlign w:val="center"/>
            <w:hideMark/>
          </w:tcPr>
          <w:p w14:paraId="60A746F7" w14:textId="27A9D165" w:rsidR="00DB67EC" w:rsidRPr="00360131" w:rsidRDefault="00DB67EC">
            <w:pPr>
              <w:rPr>
                <w:rFonts w:ascii="Arial" w:hAnsi="Arial" w:cs="Arial"/>
                <w:b/>
              </w:rPr>
            </w:pPr>
            <w:r>
              <w:rPr>
                <w:rFonts w:ascii="Arial" w:hAnsi="Arial" w:cs="Arial"/>
                <w:b/>
                <w:color w:val="FFFFFF"/>
              </w:rPr>
              <w:t>WIRO pricing principles</w:t>
            </w:r>
          </w:p>
        </w:tc>
        <w:tc>
          <w:tcPr>
            <w:tcW w:w="5103" w:type="dxa"/>
            <w:tcBorders>
              <w:top w:val="single" w:sz="4" w:space="0" w:color="002279"/>
              <w:left w:val="single" w:sz="4" w:space="0" w:color="FFFFFF" w:themeColor="background1"/>
              <w:bottom w:val="single" w:sz="2" w:space="0" w:color="002279"/>
              <w:right w:val="single" w:sz="4" w:space="0" w:color="002279"/>
            </w:tcBorders>
            <w:shd w:val="clear" w:color="auto" w:fill="002279"/>
            <w:noWrap/>
            <w:vAlign w:val="center"/>
          </w:tcPr>
          <w:p w14:paraId="38F789DC" w14:textId="3BE05748" w:rsidR="00DB67EC" w:rsidRPr="00360131" w:rsidRDefault="00E85A69">
            <w:pPr>
              <w:jc w:val="center"/>
              <w:rPr>
                <w:rFonts w:ascii="Arial" w:hAnsi="Arial" w:cs="Arial"/>
                <w:b/>
              </w:rPr>
            </w:pPr>
            <w:r>
              <w:rPr>
                <w:rFonts w:ascii="Arial" w:hAnsi="Arial" w:cs="Arial"/>
                <w:b/>
              </w:rPr>
              <w:t>How tariff structure meets WIRO pricing principles</w:t>
            </w:r>
          </w:p>
        </w:tc>
      </w:tr>
      <w:tr w:rsidR="00DB67EC" w:rsidRPr="00360131" w14:paraId="3D96E187" w14:textId="77777777" w:rsidTr="007F20E9">
        <w:trPr>
          <w:cnfStyle w:val="000000100000" w:firstRow="0" w:lastRow="0" w:firstColumn="0" w:lastColumn="0" w:oddVBand="0" w:evenVBand="0" w:oddHBand="1" w:evenHBand="0" w:firstRowFirstColumn="0" w:firstRowLastColumn="0" w:lastRowFirstColumn="0" w:lastRowLastColumn="0"/>
          <w:trHeight w:val="300"/>
        </w:trPr>
        <w:tc>
          <w:tcPr>
            <w:tcW w:w="4106" w:type="dxa"/>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759193D5" w14:textId="1D75C56E" w:rsidR="00DB67EC" w:rsidRPr="00360131" w:rsidRDefault="008D7727">
            <w:pPr>
              <w:rPr>
                <w:rFonts w:ascii="Arial" w:hAnsi="Arial" w:cs="Arial"/>
              </w:rPr>
            </w:pPr>
            <w:r w:rsidRPr="008D7727">
              <w:rPr>
                <w:rFonts w:ascii="Arial" w:hAnsi="Arial" w:cs="Arial"/>
              </w:rPr>
              <w:t>11(d) (i) enable customers or potential customers of the regulated entity to easily understand the prices charged by the regulated entity for prescribed services or the manner in which such prices are calculated, determined or otherwise regulated;</w:t>
            </w:r>
          </w:p>
        </w:tc>
        <w:tc>
          <w:tcPr>
            <w:tcW w:w="5103" w:type="dxa"/>
            <w:tcBorders>
              <w:top w:val="single" w:sz="2" w:space="0" w:color="002279"/>
              <w:left w:val="single" w:sz="4" w:space="0" w:color="002279"/>
              <w:bottom w:val="single" w:sz="2" w:space="0" w:color="002279"/>
              <w:right w:val="single" w:sz="4" w:space="0" w:color="002279"/>
            </w:tcBorders>
            <w:shd w:val="clear" w:color="auto" w:fill="D4D6DF"/>
            <w:noWrap/>
          </w:tcPr>
          <w:p w14:paraId="1953C41A" w14:textId="1875898E" w:rsidR="00DB67EC" w:rsidRPr="00360131" w:rsidRDefault="00513E3E" w:rsidP="00E85A69">
            <w:pPr>
              <w:rPr>
                <w:rFonts w:ascii="Arial" w:hAnsi="Arial" w:cs="Arial"/>
              </w:rPr>
            </w:pPr>
            <w:r w:rsidRPr="00513E3E">
              <w:rPr>
                <w:rFonts w:ascii="Arial" w:hAnsi="Arial" w:cs="Arial"/>
              </w:rPr>
              <w:t xml:space="preserve">Customer engagement findings showed the current approach to calculating the sewage disposal charge is complex and difficult to understand </w:t>
            </w:r>
            <w:r w:rsidR="007E25CD">
              <w:rPr>
                <w:rFonts w:ascii="Arial" w:hAnsi="Arial" w:cs="Arial"/>
              </w:rPr>
              <w:t xml:space="preserve">by </w:t>
            </w:r>
            <w:r w:rsidRPr="00513E3E">
              <w:rPr>
                <w:rFonts w:ascii="Arial" w:hAnsi="Arial" w:cs="Arial"/>
              </w:rPr>
              <w:t>residential customers. Removing the sewage disposal charge will simplify bills for residential customers and make the prices charged more easily understood.</w:t>
            </w:r>
          </w:p>
        </w:tc>
      </w:tr>
      <w:tr w:rsidR="00DB67EC" w:rsidRPr="00360131" w14:paraId="1AB9BAA2" w14:textId="77777777" w:rsidTr="007F20E9">
        <w:trPr>
          <w:cnfStyle w:val="000000010000" w:firstRow="0" w:lastRow="0" w:firstColumn="0" w:lastColumn="0" w:oddVBand="0" w:evenVBand="0" w:oddHBand="0" w:evenHBand="1" w:firstRowFirstColumn="0" w:firstRowLastColumn="0" w:lastRowFirstColumn="0" w:lastRowLastColumn="0"/>
          <w:trHeight w:val="300"/>
        </w:trPr>
        <w:tc>
          <w:tcPr>
            <w:tcW w:w="4106" w:type="dxa"/>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6056C7D7" w14:textId="47C858E8" w:rsidR="00DB67EC" w:rsidRPr="00360131" w:rsidRDefault="001052DF">
            <w:pPr>
              <w:rPr>
                <w:rFonts w:ascii="Arial" w:hAnsi="Arial" w:cs="Arial"/>
              </w:rPr>
            </w:pPr>
            <w:r w:rsidRPr="001052DF">
              <w:rPr>
                <w:rFonts w:ascii="Arial" w:hAnsi="Arial" w:cs="Arial"/>
              </w:rPr>
              <w:t>11(d) (ii) provide signals about the efficient costs of providing prescribed services to customers (either collectively or to an individual customer or class of customers) while avoiding price shocks where possible; and</w:t>
            </w:r>
          </w:p>
        </w:tc>
        <w:tc>
          <w:tcPr>
            <w:tcW w:w="5103" w:type="dxa"/>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tcPr>
          <w:p w14:paraId="672BE9EB" w14:textId="4B53865D" w:rsidR="00DB67EC" w:rsidRPr="00360131" w:rsidRDefault="002A7054" w:rsidP="00E85A69">
            <w:pPr>
              <w:rPr>
                <w:rFonts w:ascii="Arial" w:hAnsi="Arial" w:cs="Arial"/>
              </w:rPr>
            </w:pPr>
            <w:r w:rsidRPr="002A7054">
              <w:rPr>
                <w:rFonts w:ascii="Arial" w:hAnsi="Arial" w:cs="Arial"/>
              </w:rPr>
              <w:t>Residential customers have indicated that they will respond better to the variable price signals when the variable charges are combined into a single charge, rather than having separate variable water and sewerage charges. Additionally, the tariff structure change will not result in price shock for any group of customers, as the customer bill impact will be minimal.</w:t>
            </w:r>
          </w:p>
        </w:tc>
      </w:tr>
      <w:tr w:rsidR="00DB67EC" w:rsidRPr="00360131" w14:paraId="3B5EB8A1" w14:textId="77777777" w:rsidTr="007F20E9">
        <w:trPr>
          <w:cnfStyle w:val="000000100000" w:firstRow="0" w:lastRow="0" w:firstColumn="0" w:lastColumn="0" w:oddVBand="0" w:evenVBand="0" w:oddHBand="1" w:evenHBand="0" w:firstRowFirstColumn="0" w:firstRowLastColumn="0" w:lastRowFirstColumn="0" w:lastRowLastColumn="0"/>
          <w:trHeight w:val="300"/>
        </w:trPr>
        <w:tc>
          <w:tcPr>
            <w:tcW w:w="4106" w:type="dxa"/>
            <w:tcBorders>
              <w:top w:val="single" w:sz="2" w:space="0" w:color="002279"/>
              <w:left w:val="single" w:sz="4" w:space="0" w:color="002279"/>
              <w:bottom w:val="single" w:sz="4" w:space="0" w:color="002279"/>
              <w:right w:val="single" w:sz="4" w:space="0" w:color="002279"/>
            </w:tcBorders>
            <w:shd w:val="clear" w:color="auto" w:fill="D4D6DF"/>
            <w:noWrap/>
            <w:vAlign w:val="center"/>
            <w:hideMark/>
          </w:tcPr>
          <w:p w14:paraId="62399FA8" w14:textId="05E28A23" w:rsidR="00DB67EC" w:rsidRPr="00360131" w:rsidRDefault="009009FB">
            <w:pPr>
              <w:rPr>
                <w:rFonts w:ascii="Arial" w:hAnsi="Arial" w:cs="Arial"/>
              </w:rPr>
            </w:pPr>
            <w:r w:rsidRPr="009009FB">
              <w:rPr>
                <w:rFonts w:ascii="Arial" w:hAnsi="Arial" w:cs="Arial"/>
              </w:rPr>
              <w:t>11(d) (iii) take into account the interests of customers of the regulated entity, including low income and vulnerable customers.</w:t>
            </w:r>
          </w:p>
        </w:tc>
        <w:tc>
          <w:tcPr>
            <w:tcW w:w="5103" w:type="dxa"/>
            <w:tcBorders>
              <w:top w:val="single" w:sz="2" w:space="0" w:color="002279"/>
              <w:left w:val="single" w:sz="4" w:space="0" w:color="002279"/>
              <w:bottom w:val="single" w:sz="4" w:space="0" w:color="002279"/>
              <w:right w:val="single" w:sz="4" w:space="0" w:color="002279"/>
            </w:tcBorders>
            <w:shd w:val="clear" w:color="auto" w:fill="D4D6DF"/>
            <w:noWrap/>
          </w:tcPr>
          <w:p w14:paraId="3459B7AA" w14:textId="77777777" w:rsidR="00E85A69" w:rsidRPr="00E85A69" w:rsidRDefault="00E85A69" w:rsidP="00E85A69">
            <w:pPr>
              <w:rPr>
                <w:rFonts w:ascii="Arial" w:hAnsi="Arial" w:cs="Arial"/>
              </w:rPr>
            </w:pPr>
            <w:r w:rsidRPr="00E85A69">
              <w:rPr>
                <w:rFonts w:ascii="Arial" w:hAnsi="Arial" w:cs="Arial"/>
              </w:rPr>
              <w:t>As noted above, the tariff structure change is based on feedback from residential customers on the current tariff structure.</w:t>
            </w:r>
          </w:p>
          <w:p w14:paraId="23136D8E" w14:textId="70E7C454" w:rsidR="00DB67EC" w:rsidRPr="00360131" w:rsidRDefault="00E85A69" w:rsidP="00E85A69">
            <w:pPr>
              <w:rPr>
                <w:rFonts w:ascii="Arial" w:hAnsi="Arial" w:cs="Arial"/>
              </w:rPr>
            </w:pPr>
            <w:r w:rsidRPr="00E85A69">
              <w:rPr>
                <w:rFonts w:ascii="Arial" w:hAnsi="Arial" w:cs="Arial"/>
              </w:rPr>
              <w:t>We have also undertaken a detailed assessment of customer impacts associated with the tariff change across all SEW residential customers. We have found that there will be minimal bill impact across all residential customer segments resulting from the tariff change – see a sample of customer impacts below.</w:t>
            </w:r>
          </w:p>
        </w:tc>
      </w:tr>
    </w:tbl>
    <w:p w14:paraId="77515ABE" w14:textId="77777777" w:rsidR="008D6BA2" w:rsidRDefault="008D6BA2" w:rsidP="00644C82"/>
    <w:p w14:paraId="77BB9BE1" w14:textId="0FFA6505" w:rsidR="005D0B45" w:rsidRDefault="005D0B45" w:rsidP="005D0B45">
      <w:r>
        <w:t xml:space="preserve">We propose to retain the current price of recycled water at </w:t>
      </w:r>
      <w:r w:rsidR="00DB16A1">
        <w:t>7</w:t>
      </w:r>
      <w:r w:rsidR="002C0E2E">
        <w:t>9</w:t>
      </w:r>
      <w:r w:rsidR="004F7489">
        <w:t xml:space="preserve">% </w:t>
      </w:r>
      <w:r>
        <w:t>of the water</w:t>
      </w:r>
      <w:r w:rsidR="00354105">
        <w:t>-</w:t>
      </w:r>
      <w:r>
        <w:t xml:space="preserve">only residential step </w:t>
      </w:r>
      <w:r w:rsidR="00A04AF8">
        <w:t xml:space="preserve">1 </w:t>
      </w:r>
      <w:r>
        <w:t>usage charge in line with current prices.</w:t>
      </w:r>
      <w:r w:rsidR="00F720B8">
        <w:t xml:space="preserve"> </w:t>
      </w:r>
    </w:p>
    <w:p w14:paraId="7262E911" w14:textId="77777777" w:rsidR="00F01B35" w:rsidRDefault="00F01B35" w:rsidP="005D0B45"/>
    <w:p w14:paraId="07303B55" w14:textId="2C273B4B" w:rsidR="00AE35E9" w:rsidRPr="007448B1" w:rsidRDefault="007448B1" w:rsidP="007448B1">
      <w:pPr>
        <w:pStyle w:val="NormalIndent"/>
        <w:ind w:left="0"/>
        <w:rPr>
          <w:rFonts w:cs="Arial"/>
          <w:b/>
          <w:i/>
        </w:rPr>
      </w:pPr>
      <w:bookmarkStart w:id="98" w:name="_Hlk114493947"/>
      <w:r w:rsidRPr="00CE6C4E">
        <w:rPr>
          <w:b/>
          <w:i/>
        </w:rPr>
        <w:t xml:space="preserve">Table </w:t>
      </w:r>
      <w:r w:rsidR="00B066BA">
        <w:rPr>
          <w:b/>
          <w:i/>
        </w:rPr>
        <w:t>50</w:t>
      </w:r>
      <w:bookmarkEnd w:id="98"/>
      <w:r w:rsidRPr="007B339F">
        <w:rPr>
          <w:rFonts w:ascii="Arial" w:hAnsi="Arial" w:cs="Arial"/>
          <w:b/>
          <w:i/>
        </w:rPr>
        <w:t>:</w:t>
      </w:r>
      <w:r>
        <w:rPr>
          <w:rFonts w:ascii="Arial" w:hAnsi="Arial" w:cs="Arial"/>
          <w:b/>
          <w:i/>
        </w:rPr>
        <w:t xml:space="preserve"> </w:t>
      </w:r>
      <w:r w:rsidR="00BC279D" w:rsidRPr="00FD54FE">
        <w:rPr>
          <w:b/>
          <w:i/>
        </w:rPr>
        <w:t xml:space="preserve">Proposed </w:t>
      </w:r>
      <w:r w:rsidR="00BC279D">
        <w:rPr>
          <w:b/>
          <w:i/>
        </w:rPr>
        <w:t>residential prices</w:t>
      </w:r>
      <w:r w:rsidR="00BC279D" w:rsidRPr="00FD54FE">
        <w:rPr>
          <w:b/>
          <w:i/>
        </w:rPr>
        <w:t xml:space="preserve"> 2023</w:t>
      </w:r>
      <w:r w:rsidR="00BC279D">
        <w:rPr>
          <w:b/>
          <w:i/>
        </w:rPr>
        <w:t>–</w:t>
      </w:r>
      <w:r w:rsidR="00BC279D" w:rsidRPr="00FD54FE">
        <w:rPr>
          <w:b/>
          <w:i/>
        </w:rPr>
        <w:t>28 regulatory period</w:t>
      </w:r>
      <w:r w:rsidR="00755A07" w:rsidRPr="00FD54FE">
        <w:rPr>
          <w:b/>
          <w:i/>
        </w:rPr>
        <w:t xml:space="preserve"> </w:t>
      </w:r>
      <w:r w:rsidR="00921F48">
        <w:rPr>
          <w:b/>
          <w:i/>
        </w:rPr>
        <w:t>(</w:t>
      </w:r>
      <w:r w:rsidR="00A547A3">
        <w:rPr>
          <w:b/>
          <w:i/>
        </w:rPr>
        <w:t>$</w:t>
      </w:r>
      <w:r w:rsidR="00BC279D" w:rsidRPr="00FD54FE">
        <w:rPr>
          <w:b/>
          <w:i/>
        </w:rPr>
        <w:t>2022</w:t>
      </w:r>
      <w:r w:rsidR="00BC279D">
        <w:rPr>
          <w:b/>
          <w:i/>
        </w:rPr>
        <w:t>–</w:t>
      </w:r>
      <w:r w:rsidR="00BC279D" w:rsidRPr="00FD54FE">
        <w:rPr>
          <w:b/>
          <w:i/>
        </w:rPr>
        <w:t>23</w:t>
      </w:r>
      <w:r w:rsidR="00921F48">
        <w:rPr>
          <w:b/>
          <w:i/>
        </w:rPr>
        <w:t>)</w:t>
      </w:r>
    </w:p>
    <w:tbl>
      <w:tblPr>
        <w:tblStyle w:val="MJTableStyle1default"/>
        <w:tblW w:w="9209" w:type="dxa"/>
        <w:tblInd w:w="5" w:type="dxa"/>
        <w:tblLayout w:type="fixed"/>
        <w:tblLook w:val="04A0" w:firstRow="1" w:lastRow="0" w:firstColumn="1" w:lastColumn="0" w:noHBand="0" w:noVBand="1"/>
      </w:tblPr>
      <w:tblGrid>
        <w:gridCol w:w="4106"/>
        <w:gridCol w:w="1701"/>
        <w:gridCol w:w="1701"/>
        <w:gridCol w:w="1701"/>
      </w:tblGrid>
      <w:tr w:rsidR="00F01B35" w:rsidRPr="00F01B35" w14:paraId="4ED11C18" w14:textId="77777777" w:rsidTr="007F20E9">
        <w:trPr>
          <w:cnfStyle w:val="100000000000" w:firstRow="1" w:lastRow="0" w:firstColumn="0" w:lastColumn="0" w:oddVBand="0" w:evenVBand="0" w:oddHBand="0" w:evenHBand="0" w:firstRowFirstColumn="0" w:firstRowLastColumn="0" w:lastRowFirstColumn="0" w:lastRowLastColumn="0"/>
          <w:trHeight w:val="565"/>
        </w:trPr>
        <w:tc>
          <w:tcPr>
            <w:tcW w:w="4106" w:type="dxa"/>
            <w:tcBorders>
              <w:top w:val="single" w:sz="4" w:space="0" w:color="002279"/>
              <w:left w:val="single" w:sz="4" w:space="0" w:color="002279"/>
              <w:bottom w:val="single" w:sz="2" w:space="0" w:color="002279"/>
              <w:right w:val="single" w:sz="4" w:space="0" w:color="FFFFFF" w:themeColor="background1"/>
            </w:tcBorders>
            <w:shd w:val="clear" w:color="auto" w:fill="002279"/>
            <w:noWrap/>
            <w:vAlign w:val="center"/>
            <w:hideMark/>
          </w:tcPr>
          <w:p w14:paraId="558AFDA5" w14:textId="1BFF991E" w:rsidR="00C05302" w:rsidRPr="00360131" w:rsidRDefault="00C05302" w:rsidP="00F01B35">
            <w:pPr>
              <w:rPr>
                <w:rFonts w:ascii="Arial" w:hAnsi="Arial" w:cs="Arial"/>
                <w:b/>
              </w:rPr>
            </w:pPr>
            <w:bookmarkStart w:id="99" w:name="_Hlk114741117"/>
            <w:r w:rsidRPr="00846CD4">
              <w:rPr>
                <w:rFonts w:ascii="Arial" w:hAnsi="Arial" w:cs="Arial"/>
                <w:b/>
                <w:color w:val="FFFFFF"/>
              </w:rPr>
              <w:t>Residential tariffs</w:t>
            </w:r>
            <w:r w:rsidR="00B6439B" w:rsidRPr="00634A44">
              <w:rPr>
                <w:rFonts w:ascii="Arial" w:hAnsi="Arial" w:cs="Arial"/>
                <w:b/>
                <w:color w:val="FFFFFF"/>
                <w:vertAlign w:val="subscript"/>
              </w:rPr>
              <w:t xml:space="preserve"> </w:t>
            </w:r>
            <w:r w:rsidR="00D63C3E" w:rsidRPr="00634A44">
              <w:rPr>
                <w:rFonts w:ascii="Arial" w:hAnsi="Arial" w:cs="Arial"/>
                <w:b/>
                <w:color w:val="FFFFFF"/>
                <w:vertAlign w:val="subscript"/>
              </w:rPr>
              <w:t xml:space="preserve"> </w:t>
            </w:r>
          </w:p>
        </w:tc>
        <w:tc>
          <w:tcPr>
            <w:tcW w:w="1701"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noWrap/>
            <w:vAlign w:val="center"/>
            <w:hideMark/>
          </w:tcPr>
          <w:p w14:paraId="50317716" w14:textId="3FDB8D41" w:rsidR="00C05302" w:rsidRPr="00360131" w:rsidRDefault="00C05302" w:rsidP="00360131">
            <w:pPr>
              <w:jc w:val="center"/>
              <w:rPr>
                <w:rFonts w:ascii="Arial" w:hAnsi="Arial" w:cs="Arial"/>
                <w:b/>
              </w:rPr>
            </w:pPr>
            <w:r w:rsidRPr="00846CD4">
              <w:rPr>
                <w:rFonts w:ascii="Arial" w:hAnsi="Arial" w:cs="Arial"/>
                <w:b/>
                <w:color w:val="FFFFFF"/>
              </w:rPr>
              <w:t>2022</w:t>
            </w:r>
            <w:r w:rsidR="00846CD4" w:rsidRPr="00846CD4">
              <w:rPr>
                <w:rFonts w:ascii="Arial" w:hAnsi="Arial" w:cs="Arial"/>
                <w:b/>
                <w:bCs/>
                <w:color w:val="FFFFFF"/>
              </w:rPr>
              <w:t>-</w:t>
            </w:r>
            <w:r w:rsidRPr="00846CD4">
              <w:rPr>
                <w:rFonts w:ascii="Arial" w:hAnsi="Arial" w:cs="Arial"/>
                <w:b/>
                <w:color w:val="FFFFFF"/>
              </w:rPr>
              <w:t>23</w:t>
            </w:r>
          </w:p>
        </w:tc>
        <w:tc>
          <w:tcPr>
            <w:tcW w:w="1701"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noWrap/>
            <w:vAlign w:val="center"/>
            <w:hideMark/>
          </w:tcPr>
          <w:p w14:paraId="14B26029" w14:textId="3A548285" w:rsidR="00C05302" w:rsidRPr="00360131" w:rsidRDefault="00C05302" w:rsidP="00360131">
            <w:pPr>
              <w:jc w:val="center"/>
              <w:rPr>
                <w:rFonts w:ascii="Arial" w:hAnsi="Arial" w:cs="Arial"/>
                <w:b/>
              </w:rPr>
            </w:pPr>
            <w:r w:rsidRPr="00846CD4">
              <w:rPr>
                <w:rFonts w:ascii="Arial" w:hAnsi="Arial" w:cs="Arial"/>
                <w:b/>
                <w:color w:val="FFFFFF"/>
              </w:rPr>
              <w:t>2023</w:t>
            </w:r>
            <w:r w:rsidR="00846CD4" w:rsidRPr="00846CD4">
              <w:rPr>
                <w:rFonts w:ascii="Arial" w:hAnsi="Arial" w:cs="Arial"/>
                <w:b/>
                <w:bCs/>
                <w:color w:val="FFFFFF"/>
              </w:rPr>
              <w:t>-</w:t>
            </w:r>
            <w:r w:rsidRPr="00846CD4">
              <w:rPr>
                <w:rFonts w:ascii="Arial" w:hAnsi="Arial" w:cs="Arial"/>
                <w:b/>
                <w:color w:val="FFFFFF"/>
              </w:rPr>
              <w:t>2</w:t>
            </w:r>
            <w:r w:rsidR="004A4EDA" w:rsidRPr="00846CD4">
              <w:rPr>
                <w:rFonts w:ascii="Arial" w:hAnsi="Arial" w:cs="Arial"/>
                <w:b/>
                <w:color w:val="FFFFFF"/>
              </w:rPr>
              <w:t>8</w:t>
            </w:r>
          </w:p>
        </w:tc>
        <w:tc>
          <w:tcPr>
            <w:tcW w:w="1701" w:type="dxa"/>
            <w:tcBorders>
              <w:top w:val="single" w:sz="4" w:space="0" w:color="002279"/>
              <w:left w:val="single" w:sz="4" w:space="0" w:color="FFFFFF" w:themeColor="background1"/>
              <w:bottom w:val="single" w:sz="2" w:space="0" w:color="002279"/>
              <w:right w:val="single" w:sz="4" w:space="0" w:color="002279"/>
            </w:tcBorders>
            <w:shd w:val="clear" w:color="auto" w:fill="002279"/>
            <w:noWrap/>
            <w:vAlign w:val="center"/>
            <w:hideMark/>
          </w:tcPr>
          <w:p w14:paraId="1A1FBE38" w14:textId="01810FE6" w:rsidR="00C05302" w:rsidRPr="00360131" w:rsidRDefault="00433D44" w:rsidP="00360131">
            <w:pPr>
              <w:jc w:val="center"/>
              <w:rPr>
                <w:rFonts w:ascii="Arial" w:hAnsi="Arial" w:cs="Arial"/>
                <w:b/>
              </w:rPr>
            </w:pPr>
            <w:r w:rsidRPr="00846CD4">
              <w:rPr>
                <w:rFonts w:ascii="Arial" w:hAnsi="Arial" w:cs="Arial"/>
                <w:b/>
                <w:color w:val="FFFFFF"/>
              </w:rPr>
              <w:t xml:space="preserve">P0 </w:t>
            </w:r>
            <w:r w:rsidR="00846CD4" w:rsidRPr="00846CD4">
              <w:rPr>
                <w:rFonts w:ascii="Arial" w:hAnsi="Arial" w:cs="Arial"/>
                <w:b/>
                <w:bCs/>
                <w:color w:val="FFFFFF"/>
              </w:rPr>
              <w:t>Percentage</w:t>
            </w:r>
            <w:r w:rsidR="00C05302" w:rsidRPr="00846CD4">
              <w:rPr>
                <w:rFonts w:ascii="Arial" w:hAnsi="Arial" w:cs="Arial"/>
                <w:b/>
                <w:color w:val="FFFFFF"/>
              </w:rPr>
              <w:t xml:space="preserve"> change</w:t>
            </w:r>
          </w:p>
        </w:tc>
      </w:tr>
      <w:tr w:rsidR="00F01B35" w:rsidRPr="00F01B35" w14:paraId="7C66C591" w14:textId="77777777" w:rsidTr="007F20E9">
        <w:trPr>
          <w:cnfStyle w:val="000000100000" w:firstRow="0" w:lastRow="0" w:firstColumn="0" w:lastColumn="0" w:oddVBand="0" w:evenVBand="0" w:oddHBand="1" w:evenHBand="0" w:firstRowFirstColumn="0" w:firstRowLastColumn="0" w:lastRowFirstColumn="0" w:lastRowLastColumn="0"/>
          <w:trHeight w:val="300"/>
        </w:trPr>
        <w:tc>
          <w:tcPr>
            <w:tcW w:w="4106" w:type="dxa"/>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472FB5EF" w14:textId="2156BD77" w:rsidR="00C05302" w:rsidRPr="00360131" w:rsidRDefault="00C05302" w:rsidP="00F01B35">
            <w:pPr>
              <w:rPr>
                <w:rFonts w:ascii="Arial" w:hAnsi="Arial" w:cs="Arial"/>
              </w:rPr>
            </w:pPr>
            <w:r w:rsidRPr="00846CD4">
              <w:rPr>
                <w:rFonts w:ascii="Arial" w:hAnsi="Arial" w:cs="Arial"/>
                <w:color w:val="000000"/>
              </w:rPr>
              <w:t xml:space="preserve">Water </w:t>
            </w:r>
            <w:r w:rsidR="00CC3F32" w:rsidRPr="00846CD4">
              <w:rPr>
                <w:rFonts w:ascii="Arial" w:hAnsi="Arial" w:cs="Arial"/>
                <w:color w:val="000000"/>
              </w:rPr>
              <w:t>s</w:t>
            </w:r>
            <w:r w:rsidRPr="00846CD4">
              <w:rPr>
                <w:rFonts w:ascii="Arial" w:hAnsi="Arial" w:cs="Arial"/>
                <w:color w:val="000000"/>
              </w:rPr>
              <w:t>ervice charge</w:t>
            </w:r>
            <w:r w:rsidR="00260FAA" w:rsidRPr="00846CD4">
              <w:rPr>
                <w:rFonts w:ascii="Arial" w:hAnsi="Arial" w:cs="Arial"/>
                <w:color w:val="000000"/>
              </w:rPr>
              <w:t xml:space="preserve"> </w:t>
            </w:r>
            <w:r w:rsidR="00846CD4" w:rsidRPr="00846CD4">
              <w:rPr>
                <w:rFonts w:ascii="Arial" w:hAnsi="Arial" w:cs="Arial"/>
                <w:color w:val="000000"/>
              </w:rPr>
              <w:t>-</w:t>
            </w:r>
            <w:r w:rsidR="00260FAA" w:rsidRPr="00846CD4">
              <w:rPr>
                <w:rFonts w:ascii="Arial" w:hAnsi="Arial" w:cs="Arial"/>
                <w:color w:val="000000"/>
              </w:rPr>
              <w:t xml:space="preserve"> </w:t>
            </w:r>
            <w:r w:rsidRPr="00846CD4">
              <w:rPr>
                <w:rFonts w:ascii="Arial" w:hAnsi="Arial" w:cs="Arial"/>
                <w:color w:val="000000"/>
              </w:rPr>
              <w:t xml:space="preserve">Residential </w:t>
            </w:r>
            <w:r w:rsidR="002A5E58" w:rsidRPr="00846CD4">
              <w:rPr>
                <w:rFonts w:ascii="Arial" w:hAnsi="Arial" w:cs="Arial"/>
                <w:color w:val="000000"/>
              </w:rPr>
              <w:t>s</w:t>
            </w:r>
            <w:r w:rsidRPr="00846CD4">
              <w:rPr>
                <w:rFonts w:ascii="Arial" w:hAnsi="Arial" w:cs="Arial"/>
                <w:color w:val="000000"/>
              </w:rPr>
              <w:t xml:space="preserve">ervice </w:t>
            </w:r>
            <w:r w:rsidR="002A5E58" w:rsidRPr="00846CD4">
              <w:rPr>
                <w:rFonts w:ascii="Arial" w:hAnsi="Arial" w:cs="Arial"/>
                <w:color w:val="000000"/>
              </w:rPr>
              <w:t>c</w:t>
            </w:r>
            <w:r w:rsidRPr="00846CD4">
              <w:rPr>
                <w:rFonts w:ascii="Arial" w:hAnsi="Arial" w:cs="Arial"/>
                <w:color w:val="000000"/>
              </w:rPr>
              <w:t xml:space="preserve">harge </w:t>
            </w:r>
            <w:r w:rsidR="00846CD4" w:rsidRPr="00846CD4">
              <w:rPr>
                <w:rFonts w:ascii="Arial" w:hAnsi="Arial" w:cs="Arial"/>
                <w:color w:val="000000"/>
              </w:rPr>
              <w:t>Fixed</w:t>
            </w:r>
            <w:r w:rsidR="00880621" w:rsidRPr="00846CD4">
              <w:rPr>
                <w:rFonts w:ascii="Arial" w:hAnsi="Arial" w:cs="Arial"/>
                <w:color w:val="000000"/>
              </w:rPr>
              <w:t xml:space="preserve"> ($/year)</w:t>
            </w:r>
          </w:p>
        </w:tc>
        <w:tc>
          <w:tcPr>
            <w:tcW w:w="1701" w:type="dxa"/>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0C637D46" w14:textId="5FF5B5A1" w:rsidR="00C05302" w:rsidRPr="00360131" w:rsidRDefault="00C05302" w:rsidP="00360131">
            <w:pPr>
              <w:jc w:val="center"/>
              <w:rPr>
                <w:rFonts w:ascii="Arial" w:hAnsi="Arial" w:cs="Arial"/>
              </w:rPr>
            </w:pPr>
            <w:r w:rsidRPr="00746E83">
              <w:rPr>
                <w:rFonts w:ascii="Arial" w:hAnsi="Arial" w:cs="Arial"/>
                <w:color w:val="000000"/>
              </w:rPr>
              <w:t>83.</w:t>
            </w:r>
            <w:r w:rsidR="00846CD4" w:rsidRPr="00746E83">
              <w:rPr>
                <w:rFonts w:ascii="Arial" w:hAnsi="Arial" w:cs="Arial"/>
                <w:color w:val="000000"/>
              </w:rPr>
              <w:t>72</w:t>
            </w:r>
          </w:p>
        </w:tc>
        <w:tc>
          <w:tcPr>
            <w:tcW w:w="1701" w:type="dxa"/>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5FC9AC09" w14:textId="41A88F3A" w:rsidR="00C05302" w:rsidRPr="00360131" w:rsidRDefault="00986B3A" w:rsidP="00360131">
            <w:pPr>
              <w:jc w:val="center"/>
              <w:rPr>
                <w:rFonts w:ascii="Arial" w:hAnsi="Arial" w:cs="Arial"/>
              </w:rPr>
            </w:pPr>
            <w:r w:rsidRPr="00746E83">
              <w:rPr>
                <w:rFonts w:ascii="Arial" w:hAnsi="Arial" w:cs="Arial"/>
                <w:color w:val="000000"/>
              </w:rPr>
              <w:t>78</w:t>
            </w:r>
            <w:r w:rsidR="00C05302" w:rsidRPr="00746E83">
              <w:rPr>
                <w:rFonts w:ascii="Arial" w:hAnsi="Arial" w:cs="Arial"/>
                <w:color w:val="000000"/>
              </w:rPr>
              <w:t>.</w:t>
            </w:r>
            <w:r w:rsidR="00710415" w:rsidRPr="00746E83">
              <w:rPr>
                <w:rFonts w:ascii="Arial" w:hAnsi="Arial" w:cs="Arial"/>
                <w:color w:val="000000"/>
              </w:rPr>
              <w:t>88</w:t>
            </w:r>
          </w:p>
        </w:tc>
        <w:tc>
          <w:tcPr>
            <w:tcW w:w="1701" w:type="dxa"/>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56D9CBA8" w14:textId="533F32C4" w:rsidR="00C05302" w:rsidRPr="00360131" w:rsidRDefault="00C05302" w:rsidP="00360131">
            <w:pPr>
              <w:jc w:val="center"/>
              <w:rPr>
                <w:rFonts w:ascii="Arial" w:hAnsi="Arial" w:cs="Arial"/>
              </w:rPr>
            </w:pPr>
            <w:r w:rsidRPr="00746E83">
              <w:rPr>
                <w:rFonts w:ascii="Arial" w:hAnsi="Arial" w:cs="Arial"/>
                <w:color w:val="000000"/>
              </w:rPr>
              <w:t>-</w:t>
            </w:r>
            <w:r w:rsidR="005D5832" w:rsidRPr="00746E83">
              <w:rPr>
                <w:rFonts w:ascii="Arial" w:hAnsi="Arial" w:cs="Arial"/>
                <w:color w:val="000000"/>
              </w:rPr>
              <w:t>5</w:t>
            </w:r>
            <w:r w:rsidRPr="00746E83">
              <w:rPr>
                <w:rFonts w:ascii="Arial" w:hAnsi="Arial" w:cs="Arial"/>
                <w:color w:val="000000"/>
              </w:rPr>
              <w:t>.</w:t>
            </w:r>
            <w:r w:rsidR="00710415" w:rsidRPr="00746E83">
              <w:rPr>
                <w:rFonts w:ascii="Arial" w:hAnsi="Arial" w:cs="Arial"/>
                <w:color w:val="000000"/>
              </w:rPr>
              <w:t>79</w:t>
            </w:r>
            <w:r w:rsidRPr="00746E83">
              <w:rPr>
                <w:rFonts w:ascii="Arial" w:hAnsi="Arial" w:cs="Arial"/>
                <w:color w:val="000000"/>
              </w:rPr>
              <w:t>%</w:t>
            </w:r>
          </w:p>
        </w:tc>
      </w:tr>
      <w:tr w:rsidR="00F01B35" w:rsidRPr="00F01B35" w14:paraId="03627D3D" w14:textId="77777777" w:rsidTr="007F20E9">
        <w:trPr>
          <w:cnfStyle w:val="000000010000" w:firstRow="0" w:lastRow="0" w:firstColumn="0" w:lastColumn="0" w:oddVBand="0" w:evenVBand="0" w:oddHBand="0" w:evenHBand="1" w:firstRowFirstColumn="0" w:firstRowLastColumn="0" w:lastRowFirstColumn="0" w:lastRowLastColumn="0"/>
          <w:trHeight w:val="300"/>
        </w:trPr>
        <w:tc>
          <w:tcPr>
            <w:tcW w:w="4106" w:type="dxa"/>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0DB64E34" w14:textId="3ECDB480" w:rsidR="00C05302" w:rsidRPr="00360131" w:rsidRDefault="00C05302" w:rsidP="00F01B35">
            <w:pPr>
              <w:rPr>
                <w:rFonts w:ascii="Arial" w:hAnsi="Arial" w:cs="Arial"/>
              </w:rPr>
            </w:pPr>
            <w:r w:rsidRPr="00846CD4">
              <w:rPr>
                <w:rFonts w:ascii="Arial" w:hAnsi="Arial" w:cs="Arial"/>
                <w:color w:val="000000"/>
              </w:rPr>
              <w:t xml:space="preserve">Sewerage </w:t>
            </w:r>
            <w:r w:rsidR="00275480" w:rsidRPr="00846CD4">
              <w:rPr>
                <w:rFonts w:ascii="Arial" w:hAnsi="Arial" w:cs="Arial"/>
                <w:color w:val="000000"/>
              </w:rPr>
              <w:t>s</w:t>
            </w:r>
            <w:r w:rsidRPr="00846CD4">
              <w:rPr>
                <w:rFonts w:ascii="Arial" w:hAnsi="Arial" w:cs="Arial"/>
                <w:color w:val="000000"/>
              </w:rPr>
              <w:t>ervice charge</w:t>
            </w:r>
            <w:r w:rsidR="00260FAA" w:rsidRPr="00846CD4">
              <w:rPr>
                <w:rFonts w:ascii="Arial" w:hAnsi="Arial" w:cs="Arial"/>
                <w:color w:val="000000"/>
              </w:rPr>
              <w:t xml:space="preserve"> </w:t>
            </w:r>
            <w:r w:rsidR="00846CD4" w:rsidRPr="00846CD4">
              <w:rPr>
                <w:rFonts w:ascii="Arial" w:hAnsi="Arial" w:cs="Arial"/>
                <w:color w:val="000000"/>
              </w:rPr>
              <w:t>-</w:t>
            </w:r>
            <w:r w:rsidR="00260FAA" w:rsidRPr="00846CD4">
              <w:rPr>
                <w:rFonts w:ascii="Arial" w:hAnsi="Arial" w:cs="Arial"/>
                <w:color w:val="000000"/>
              </w:rPr>
              <w:t xml:space="preserve"> </w:t>
            </w:r>
            <w:r w:rsidRPr="00846CD4">
              <w:rPr>
                <w:rFonts w:ascii="Arial" w:hAnsi="Arial" w:cs="Arial"/>
                <w:color w:val="000000"/>
              </w:rPr>
              <w:t xml:space="preserve">Residential </w:t>
            </w:r>
            <w:r w:rsidR="002A5E58" w:rsidRPr="00846CD4">
              <w:rPr>
                <w:rFonts w:ascii="Arial" w:hAnsi="Arial" w:cs="Arial"/>
                <w:color w:val="000000"/>
              </w:rPr>
              <w:t>s</w:t>
            </w:r>
            <w:r w:rsidRPr="00846CD4">
              <w:rPr>
                <w:rFonts w:ascii="Arial" w:hAnsi="Arial" w:cs="Arial"/>
                <w:color w:val="000000"/>
              </w:rPr>
              <w:t xml:space="preserve">ervice </w:t>
            </w:r>
            <w:r w:rsidR="002A5E58" w:rsidRPr="00846CD4">
              <w:rPr>
                <w:rFonts w:ascii="Arial" w:hAnsi="Arial" w:cs="Arial"/>
                <w:color w:val="000000"/>
              </w:rPr>
              <w:t>c</w:t>
            </w:r>
            <w:r w:rsidRPr="00846CD4">
              <w:rPr>
                <w:rFonts w:ascii="Arial" w:hAnsi="Arial" w:cs="Arial"/>
                <w:color w:val="000000"/>
              </w:rPr>
              <w:t xml:space="preserve">harge </w:t>
            </w:r>
            <w:r w:rsidR="00846CD4" w:rsidRPr="00846CD4">
              <w:rPr>
                <w:rFonts w:ascii="Arial" w:hAnsi="Arial" w:cs="Arial"/>
                <w:color w:val="000000"/>
              </w:rPr>
              <w:t>Fixed</w:t>
            </w:r>
            <w:r w:rsidR="00880621" w:rsidRPr="00846CD4">
              <w:rPr>
                <w:rFonts w:ascii="Arial" w:hAnsi="Arial" w:cs="Arial"/>
                <w:color w:val="000000"/>
              </w:rPr>
              <w:t xml:space="preserve"> ($/year)</w:t>
            </w:r>
          </w:p>
        </w:tc>
        <w:tc>
          <w:tcPr>
            <w:tcW w:w="1701" w:type="dxa"/>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25E2E48E" w14:textId="1154E3CF" w:rsidR="00C05302" w:rsidRPr="00360131" w:rsidRDefault="00C05302" w:rsidP="00360131">
            <w:pPr>
              <w:jc w:val="center"/>
              <w:rPr>
                <w:rFonts w:ascii="Arial" w:hAnsi="Arial" w:cs="Arial"/>
              </w:rPr>
            </w:pPr>
            <w:r w:rsidRPr="00746E83">
              <w:rPr>
                <w:rFonts w:ascii="Arial" w:hAnsi="Arial" w:cs="Arial"/>
                <w:color w:val="000000"/>
              </w:rPr>
              <w:t>367.76</w:t>
            </w:r>
          </w:p>
        </w:tc>
        <w:tc>
          <w:tcPr>
            <w:tcW w:w="1701" w:type="dxa"/>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0C66CFE4" w14:textId="1B6213DA" w:rsidR="00C05302" w:rsidRPr="00360131" w:rsidRDefault="00C05302" w:rsidP="00360131">
            <w:pPr>
              <w:jc w:val="center"/>
              <w:rPr>
                <w:rFonts w:ascii="Arial" w:hAnsi="Arial" w:cs="Arial"/>
              </w:rPr>
            </w:pPr>
            <w:r w:rsidRPr="00746E83">
              <w:rPr>
                <w:rFonts w:ascii="Arial" w:hAnsi="Arial" w:cs="Arial"/>
                <w:color w:val="000000"/>
              </w:rPr>
              <w:t>3</w:t>
            </w:r>
            <w:r w:rsidR="00C67EB0" w:rsidRPr="00746E83">
              <w:rPr>
                <w:rFonts w:ascii="Arial" w:hAnsi="Arial" w:cs="Arial"/>
                <w:color w:val="000000"/>
              </w:rPr>
              <w:t>46</w:t>
            </w:r>
            <w:r w:rsidRPr="00746E83">
              <w:rPr>
                <w:rFonts w:ascii="Arial" w:hAnsi="Arial" w:cs="Arial"/>
                <w:color w:val="000000"/>
              </w:rPr>
              <w:t>.</w:t>
            </w:r>
            <w:r w:rsidR="00710415" w:rsidRPr="00746E83">
              <w:rPr>
                <w:rFonts w:ascii="Arial" w:hAnsi="Arial" w:cs="Arial"/>
                <w:color w:val="000000"/>
              </w:rPr>
              <w:t>48</w:t>
            </w:r>
          </w:p>
        </w:tc>
        <w:tc>
          <w:tcPr>
            <w:tcW w:w="1701" w:type="dxa"/>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5F42090F" w14:textId="4B2AB9D5" w:rsidR="00C05302" w:rsidRPr="00360131" w:rsidRDefault="00C05302" w:rsidP="00360131">
            <w:pPr>
              <w:jc w:val="center"/>
              <w:rPr>
                <w:rFonts w:ascii="Arial" w:hAnsi="Arial" w:cs="Arial"/>
              </w:rPr>
            </w:pPr>
            <w:r w:rsidRPr="00746E83">
              <w:rPr>
                <w:rFonts w:ascii="Arial" w:hAnsi="Arial" w:cs="Arial"/>
                <w:color w:val="000000"/>
              </w:rPr>
              <w:t>-</w:t>
            </w:r>
            <w:r w:rsidR="005D5832" w:rsidRPr="00746E83">
              <w:rPr>
                <w:rFonts w:ascii="Arial" w:hAnsi="Arial" w:cs="Arial"/>
                <w:color w:val="000000"/>
              </w:rPr>
              <w:t>5</w:t>
            </w:r>
            <w:r w:rsidRPr="00746E83">
              <w:rPr>
                <w:rFonts w:ascii="Arial" w:hAnsi="Arial" w:cs="Arial"/>
                <w:color w:val="000000"/>
              </w:rPr>
              <w:t>.</w:t>
            </w:r>
            <w:r w:rsidR="00710415" w:rsidRPr="00746E83">
              <w:rPr>
                <w:rFonts w:ascii="Arial" w:hAnsi="Arial" w:cs="Arial"/>
                <w:color w:val="000000"/>
              </w:rPr>
              <w:t>79</w:t>
            </w:r>
            <w:r w:rsidRPr="00746E83">
              <w:rPr>
                <w:rFonts w:ascii="Arial" w:hAnsi="Arial" w:cs="Arial"/>
                <w:color w:val="000000"/>
              </w:rPr>
              <w:t>%</w:t>
            </w:r>
          </w:p>
        </w:tc>
      </w:tr>
      <w:tr w:rsidR="00F01B35" w:rsidRPr="00F01B35" w14:paraId="467E5BA7" w14:textId="77777777" w:rsidTr="007F20E9">
        <w:trPr>
          <w:cnfStyle w:val="000000100000" w:firstRow="0" w:lastRow="0" w:firstColumn="0" w:lastColumn="0" w:oddVBand="0" w:evenVBand="0" w:oddHBand="1" w:evenHBand="0" w:firstRowFirstColumn="0" w:firstRowLastColumn="0" w:lastRowFirstColumn="0" w:lastRowLastColumn="0"/>
          <w:trHeight w:val="300"/>
        </w:trPr>
        <w:tc>
          <w:tcPr>
            <w:tcW w:w="4106" w:type="dxa"/>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746B3924" w14:textId="326F55BA" w:rsidR="00C05302" w:rsidRPr="00360131" w:rsidRDefault="00C05302" w:rsidP="00F01B35">
            <w:pPr>
              <w:rPr>
                <w:rFonts w:ascii="Arial" w:hAnsi="Arial" w:cs="Arial"/>
              </w:rPr>
            </w:pPr>
            <w:r w:rsidRPr="00846CD4">
              <w:rPr>
                <w:rFonts w:ascii="Arial" w:hAnsi="Arial" w:cs="Arial"/>
                <w:color w:val="000000"/>
              </w:rPr>
              <w:t xml:space="preserve">Water </w:t>
            </w:r>
            <w:r w:rsidR="00275480" w:rsidRPr="00846CD4">
              <w:rPr>
                <w:rFonts w:ascii="Arial" w:hAnsi="Arial" w:cs="Arial"/>
                <w:color w:val="000000"/>
              </w:rPr>
              <w:t>u</w:t>
            </w:r>
            <w:r w:rsidRPr="00846CD4">
              <w:rPr>
                <w:rFonts w:ascii="Arial" w:hAnsi="Arial" w:cs="Arial"/>
                <w:color w:val="000000"/>
              </w:rPr>
              <w:t>sage charge</w:t>
            </w:r>
            <w:r w:rsidR="00260FAA" w:rsidRPr="00846CD4">
              <w:rPr>
                <w:rFonts w:ascii="Arial" w:hAnsi="Arial" w:cs="Arial"/>
                <w:color w:val="000000"/>
              </w:rPr>
              <w:t xml:space="preserve"> </w:t>
            </w:r>
            <w:r w:rsidR="00846CD4" w:rsidRPr="00846CD4">
              <w:rPr>
                <w:rFonts w:ascii="Arial" w:hAnsi="Arial" w:cs="Arial"/>
                <w:color w:val="000000"/>
              </w:rPr>
              <w:t>-</w:t>
            </w:r>
            <w:r w:rsidR="00260FAA" w:rsidRPr="00846CD4">
              <w:rPr>
                <w:rFonts w:ascii="Arial" w:hAnsi="Arial" w:cs="Arial"/>
                <w:color w:val="000000"/>
              </w:rPr>
              <w:t xml:space="preserve"> </w:t>
            </w:r>
            <w:r w:rsidRPr="00846CD4">
              <w:rPr>
                <w:rFonts w:ascii="Arial" w:hAnsi="Arial" w:cs="Arial"/>
                <w:color w:val="000000"/>
              </w:rPr>
              <w:t xml:space="preserve">Residential block 1 </w:t>
            </w:r>
            <w:r w:rsidR="002A5E58" w:rsidRPr="00846CD4">
              <w:rPr>
                <w:rFonts w:ascii="Arial" w:hAnsi="Arial" w:cs="Arial"/>
                <w:color w:val="000000"/>
              </w:rPr>
              <w:t>v</w:t>
            </w:r>
            <w:r w:rsidRPr="00846CD4">
              <w:rPr>
                <w:rFonts w:ascii="Arial" w:hAnsi="Arial" w:cs="Arial"/>
                <w:color w:val="000000"/>
              </w:rPr>
              <w:t>ariable</w:t>
            </w:r>
            <w:r w:rsidR="00880621" w:rsidRPr="00846CD4">
              <w:rPr>
                <w:rFonts w:ascii="Arial" w:hAnsi="Arial" w:cs="Arial"/>
                <w:color w:val="000000"/>
              </w:rPr>
              <w:t xml:space="preserve"> ($/kL)</w:t>
            </w:r>
          </w:p>
        </w:tc>
        <w:tc>
          <w:tcPr>
            <w:tcW w:w="1701" w:type="dxa"/>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507C0BD2" w14:textId="33CCEE1B" w:rsidR="00C05302" w:rsidRPr="00360131" w:rsidRDefault="00C05302" w:rsidP="00360131">
            <w:pPr>
              <w:jc w:val="center"/>
              <w:rPr>
                <w:rFonts w:ascii="Arial" w:hAnsi="Arial" w:cs="Arial"/>
              </w:rPr>
            </w:pPr>
            <w:r w:rsidRPr="00746E83">
              <w:rPr>
                <w:rFonts w:ascii="Arial" w:hAnsi="Arial" w:cs="Arial"/>
                <w:color w:val="000000"/>
              </w:rPr>
              <w:t>2.7165</w:t>
            </w:r>
          </w:p>
        </w:tc>
        <w:tc>
          <w:tcPr>
            <w:tcW w:w="1701" w:type="dxa"/>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41DE46F0" w14:textId="7868A910" w:rsidR="00C05302" w:rsidRPr="00360131" w:rsidRDefault="00C05302" w:rsidP="00360131">
            <w:pPr>
              <w:jc w:val="center"/>
              <w:rPr>
                <w:rFonts w:ascii="Arial" w:hAnsi="Arial" w:cs="Arial"/>
              </w:rPr>
            </w:pPr>
            <w:r w:rsidRPr="00746E83">
              <w:rPr>
                <w:rFonts w:ascii="Arial" w:hAnsi="Arial" w:cs="Arial"/>
                <w:color w:val="000000"/>
              </w:rPr>
              <w:t>3.</w:t>
            </w:r>
            <w:r w:rsidR="00710415" w:rsidRPr="00746E83">
              <w:rPr>
                <w:rFonts w:ascii="Arial" w:hAnsi="Arial" w:cs="Arial"/>
                <w:color w:val="000000"/>
              </w:rPr>
              <w:t>2058</w:t>
            </w:r>
          </w:p>
        </w:tc>
        <w:tc>
          <w:tcPr>
            <w:tcW w:w="1701" w:type="dxa"/>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07544241" w14:textId="20649710" w:rsidR="00C05302" w:rsidRPr="00360131" w:rsidRDefault="00710415" w:rsidP="00360131">
            <w:pPr>
              <w:jc w:val="center"/>
              <w:rPr>
                <w:rFonts w:ascii="Arial" w:hAnsi="Arial" w:cs="Arial"/>
              </w:rPr>
            </w:pPr>
            <w:r w:rsidRPr="00746E83">
              <w:rPr>
                <w:rFonts w:ascii="Arial" w:hAnsi="Arial" w:cs="Arial"/>
                <w:color w:val="000000"/>
              </w:rPr>
              <w:t>18.01%</w:t>
            </w:r>
          </w:p>
        </w:tc>
      </w:tr>
      <w:bookmarkEnd w:id="99"/>
      <w:tr w:rsidR="00F01B35" w:rsidRPr="00F01B35" w14:paraId="43A89076" w14:textId="77777777" w:rsidTr="007F20E9">
        <w:trPr>
          <w:cnfStyle w:val="000000010000" w:firstRow="0" w:lastRow="0" w:firstColumn="0" w:lastColumn="0" w:oddVBand="0" w:evenVBand="0" w:oddHBand="0" w:evenHBand="1" w:firstRowFirstColumn="0" w:firstRowLastColumn="0" w:lastRowFirstColumn="0" w:lastRowLastColumn="0"/>
          <w:trHeight w:val="300"/>
        </w:trPr>
        <w:tc>
          <w:tcPr>
            <w:tcW w:w="4106" w:type="dxa"/>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788EFDAA" w14:textId="669E9D9D" w:rsidR="00C05302" w:rsidRPr="00360131" w:rsidRDefault="00C05302" w:rsidP="00F01B35">
            <w:pPr>
              <w:rPr>
                <w:rFonts w:ascii="Arial" w:hAnsi="Arial" w:cs="Arial"/>
              </w:rPr>
            </w:pPr>
            <w:r w:rsidRPr="00846CD4">
              <w:rPr>
                <w:rFonts w:ascii="Arial" w:hAnsi="Arial" w:cs="Arial"/>
                <w:color w:val="000000"/>
              </w:rPr>
              <w:t xml:space="preserve">Water </w:t>
            </w:r>
            <w:r w:rsidR="00275480" w:rsidRPr="00846CD4">
              <w:rPr>
                <w:rFonts w:ascii="Arial" w:hAnsi="Arial" w:cs="Arial"/>
                <w:color w:val="000000"/>
              </w:rPr>
              <w:t>u</w:t>
            </w:r>
            <w:r w:rsidRPr="00846CD4">
              <w:rPr>
                <w:rFonts w:ascii="Arial" w:hAnsi="Arial" w:cs="Arial"/>
                <w:color w:val="000000"/>
              </w:rPr>
              <w:t>sage charge</w:t>
            </w:r>
            <w:r w:rsidR="00260FAA" w:rsidRPr="00846CD4">
              <w:rPr>
                <w:rFonts w:ascii="Arial" w:hAnsi="Arial" w:cs="Arial"/>
                <w:color w:val="000000"/>
              </w:rPr>
              <w:t xml:space="preserve"> </w:t>
            </w:r>
            <w:r w:rsidR="00846CD4" w:rsidRPr="00846CD4">
              <w:rPr>
                <w:rFonts w:ascii="Arial" w:hAnsi="Arial" w:cs="Arial"/>
                <w:color w:val="000000"/>
              </w:rPr>
              <w:t>-</w:t>
            </w:r>
            <w:r w:rsidR="00260FAA" w:rsidRPr="00846CD4">
              <w:rPr>
                <w:rFonts w:ascii="Arial" w:hAnsi="Arial" w:cs="Arial"/>
                <w:color w:val="000000"/>
              </w:rPr>
              <w:t xml:space="preserve"> </w:t>
            </w:r>
            <w:r w:rsidRPr="00846CD4">
              <w:rPr>
                <w:rFonts w:ascii="Arial" w:hAnsi="Arial" w:cs="Arial"/>
                <w:color w:val="000000"/>
              </w:rPr>
              <w:t xml:space="preserve">Residential block 2 </w:t>
            </w:r>
            <w:r w:rsidR="002A5E58" w:rsidRPr="00846CD4">
              <w:rPr>
                <w:rFonts w:ascii="Arial" w:hAnsi="Arial" w:cs="Arial"/>
                <w:color w:val="000000"/>
              </w:rPr>
              <w:t>v</w:t>
            </w:r>
            <w:r w:rsidRPr="00846CD4">
              <w:rPr>
                <w:rFonts w:ascii="Arial" w:hAnsi="Arial" w:cs="Arial"/>
                <w:color w:val="000000"/>
              </w:rPr>
              <w:t>ariable</w:t>
            </w:r>
            <w:r w:rsidR="00880621" w:rsidRPr="00846CD4">
              <w:rPr>
                <w:rFonts w:ascii="Arial" w:hAnsi="Arial" w:cs="Arial"/>
                <w:color w:val="000000"/>
              </w:rPr>
              <w:t xml:space="preserve"> ($/kL)</w:t>
            </w:r>
          </w:p>
        </w:tc>
        <w:tc>
          <w:tcPr>
            <w:tcW w:w="1701" w:type="dxa"/>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20A66775" w14:textId="0A4F1A95" w:rsidR="00C05302" w:rsidRPr="00360131" w:rsidRDefault="00C05302" w:rsidP="00360131">
            <w:pPr>
              <w:jc w:val="center"/>
              <w:rPr>
                <w:rFonts w:ascii="Arial" w:hAnsi="Arial" w:cs="Arial"/>
              </w:rPr>
            </w:pPr>
            <w:r w:rsidRPr="00746E83">
              <w:rPr>
                <w:rFonts w:ascii="Arial" w:hAnsi="Arial" w:cs="Arial"/>
                <w:color w:val="000000"/>
              </w:rPr>
              <w:t>3.4660</w:t>
            </w:r>
          </w:p>
        </w:tc>
        <w:tc>
          <w:tcPr>
            <w:tcW w:w="1701" w:type="dxa"/>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2ADBC15B" w14:textId="0E885D3C" w:rsidR="00C05302" w:rsidRPr="00360131" w:rsidRDefault="00C05302" w:rsidP="00360131">
            <w:pPr>
              <w:jc w:val="center"/>
              <w:rPr>
                <w:rFonts w:ascii="Arial" w:hAnsi="Arial" w:cs="Arial"/>
              </w:rPr>
            </w:pPr>
            <w:r w:rsidRPr="00746E83">
              <w:rPr>
                <w:rFonts w:ascii="Arial" w:hAnsi="Arial" w:cs="Arial"/>
                <w:color w:val="000000"/>
              </w:rPr>
              <w:t>4.</w:t>
            </w:r>
            <w:r w:rsidR="00710415" w:rsidRPr="00746E83">
              <w:rPr>
                <w:rFonts w:ascii="Arial" w:hAnsi="Arial" w:cs="Arial"/>
                <w:color w:val="000000"/>
              </w:rPr>
              <w:t>0903</w:t>
            </w:r>
          </w:p>
        </w:tc>
        <w:tc>
          <w:tcPr>
            <w:tcW w:w="1701" w:type="dxa"/>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4B958F55" w14:textId="223DC983" w:rsidR="00C05302" w:rsidRPr="00360131" w:rsidRDefault="00710415" w:rsidP="00360131">
            <w:pPr>
              <w:jc w:val="center"/>
              <w:rPr>
                <w:rFonts w:ascii="Arial" w:hAnsi="Arial" w:cs="Arial"/>
              </w:rPr>
            </w:pPr>
            <w:r w:rsidRPr="00746E83">
              <w:rPr>
                <w:rFonts w:ascii="Arial" w:hAnsi="Arial" w:cs="Arial"/>
                <w:color w:val="000000"/>
              </w:rPr>
              <w:t>18.01%</w:t>
            </w:r>
          </w:p>
        </w:tc>
      </w:tr>
      <w:tr w:rsidR="00F01B35" w:rsidRPr="00F01B35" w14:paraId="0C8FD9AC" w14:textId="77777777" w:rsidTr="007F20E9">
        <w:trPr>
          <w:cnfStyle w:val="000000100000" w:firstRow="0" w:lastRow="0" w:firstColumn="0" w:lastColumn="0" w:oddVBand="0" w:evenVBand="0" w:oddHBand="1" w:evenHBand="0" w:firstRowFirstColumn="0" w:firstRowLastColumn="0" w:lastRowFirstColumn="0" w:lastRowLastColumn="0"/>
          <w:trHeight w:val="300"/>
        </w:trPr>
        <w:tc>
          <w:tcPr>
            <w:tcW w:w="4106" w:type="dxa"/>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34BADDE1" w14:textId="2A43B1B5" w:rsidR="00C05302" w:rsidRPr="00360131" w:rsidRDefault="00C05302" w:rsidP="00F01B35">
            <w:pPr>
              <w:rPr>
                <w:rFonts w:ascii="Arial" w:hAnsi="Arial" w:cs="Arial"/>
              </w:rPr>
            </w:pPr>
            <w:r w:rsidRPr="00846CD4">
              <w:rPr>
                <w:rFonts w:ascii="Arial" w:hAnsi="Arial" w:cs="Arial"/>
                <w:color w:val="000000"/>
              </w:rPr>
              <w:t>Sewerage Disposal charge</w:t>
            </w:r>
            <w:r w:rsidR="00260FAA" w:rsidRPr="00846CD4">
              <w:rPr>
                <w:rFonts w:ascii="Arial" w:hAnsi="Arial" w:cs="Arial"/>
                <w:color w:val="000000"/>
              </w:rPr>
              <w:t xml:space="preserve"> </w:t>
            </w:r>
            <w:r w:rsidR="00846CD4" w:rsidRPr="00846CD4">
              <w:rPr>
                <w:rFonts w:ascii="Arial" w:hAnsi="Arial" w:cs="Arial"/>
                <w:color w:val="000000"/>
              </w:rPr>
              <w:t>-</w:t>
            </w:r>
            <w:r w:rsidR="00260FAA" w:rsidRPr="00846CD4">
              <w:rPr>
                <w:rFonts w:ascii="Arial" w:hAnsi="Arial" w:cs="Arial"/>
                <w:color w:val="000000"/>
              </w:rPr>
              <w:t xml:space="preserve"> </w:t>
            </w:r>
            <w:r w:rsidRPr="00846CD4">
              <w:rPr>
                <w:rFonts w:ascii="Arial" w:hAnsi="Arial" w:cs="Arial"/>
                <w:color w:val="000000"/>
              </w:rPr>
              <w:t xml:space="preserve">Residential SDC </w:t>
            </w:r>
            <w:r w:rsidR="00846CD4" w:rsidRPr="00846CD4">
              <w:rPr>
                <w:rFonts w:ascii="Arial" w:hAnsi="Arial" w:cs="Arial"/>
                <w:color w:val="000000"/>
              </w:rPr>
              <w:t>Variable</w:t>
            </w:r>
            <w:r w:rsidR="00880621" w:rsidRPr="00846CD4">
              <w:rPr>
                <w:rFonts w:ascii="Arial" w:hAnsi="Arial" w:cs="Arial"/>
                <w:color w:val="000000"/>
              </w:rPr>
              <w:t xml:space="preserve"> ($/kL)</w:t>
            </w:r>
          </w:p>
        </w:tc>
        <w:tc>
          <w:tcPr>
            <w:tcW w:w="1701" w:type="dxa"/>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7FDEC080" w14:textId="3928F1CA" w:rsidR="00C05302" w:rsidRPr="00360131" w:rsidRDefault="00C05302" w:rsidP="00360131">
            <w:pPr>
              <w:jc w:val="center"/>
              <w:rPr>
                <w:rFonts w:ascii="Arial" w:hAnsi="Arial" w:cs="Arial"/>
              </w:rPr>
            </w:pPr>
            <w:r w:rsidRPr="00746E83">
              <w:rPr>
                <w:rFonts w:ascii="Arial" w:hAnsi="Arial" w:cs="Arial"/>
                <w:color w:val="000000"/>
              </w:rPr>
              <w:t>0.9444</w:t>
            </w:r>
          </w:p>
        </w:tc>
        <w:tc>
          <w:tcPr>
            <w:tcW w:w="1701" w:type="dxa"/>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1F8BDE72" w14:textId="481E92E4" w:rsidR="00C05302" w:rsidRPr="00360131" w:rsidRDefault="002640AE" w:rsidP="00360131">
            <w:pPr>
              <w:jc w:val="center"/>
              <w:rPr>
                <w:rFonts w:ascii="Arial" w:hAnsi="Arial" w:cs="Arial"/>
              </w:rPr>
            </w:pPr>
            <w:r w:rsidRPr="00746E83">
              <w:rPr>
                <w:rFonts w:ascii="Arial" w:hAnsi="Arial" w:cs="Arial"/>
                <w:color w:val="000000"/>
              </w:rPr>
              <w:t>N/A</w:t>
            </w:r>
          </w:p>
        </w:tc>
        <w:tc>
          <w:tcPr>
            <w:tcW w:w="1701" w:type="dxa"/>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53E17D46" w14:textId="15AEC705" w:rsidR="00C05302" w:rsidRPr="00360131" w:rsidRDefault="00C05302" w:rsidP="00360131">
            <w:pPr>
              <w:jc w:val="center"/>
              <w:rPr>
                <w:rFonts w:ascii="Arial" w:hAnsi="Arial" w:cs="Arial"/>
              </w:rPr>
            </w:pPr>
            <w:r w:rsidRPr="00746E83">
              <w:rPr>
                <w:rFonts w:ascii="Arial" w:hAnsi="Arial" w:cs="Arial"/>
                <w:color w:val="000000"/>
              </w:rPr>
              <w:t>-100.</w:t>
            </w:r>
            <w:r w:rsidR="00846CD4" w:rsidRPr="00746E83">
              <w:rPr>
                <w:rFonts w:ascii="Arial" w:hAnsi="Arial" w:cs="Arial"/>
                <w:color w:val="000000"/>
              </w:rPr>
              <w:t>00</w:t>
            </w:r>
            <w:r w:rsidRPr="00746E83">
              <w:rPr>
                <w:rFonts w:ascii="Arial" w:hAnsi="Arial" w:cs="Arial"/>
                <w:color w:val="000000"/>
              </w:rPr>
              <w:t>%</w:t>
            </w:r>
          </w:p>
        </w:tc>
      </w:tr>
      <w:tr w:rsidR="00F01B35" w:rsidRPr="00F01B35" w14:paraId="22F43A52" w14:textId="77777777" w:rsidTr="007F20E9">
        <w:trPr>
          <w:cnfStyle w:val="000000010000" w:firstRow="0" w:lastRow="0" w:firstColumn="0" w:lastColumn="0" w:oddVBand="0" w:evenVBand="0" w:oddHBand="0" w:evenHBand="1" w:firstRowFirstColumn="0" w:firstRowLastColumn="0" w:lastRowFirstColumn="0" w:lastRowLastColumn="0"/>
          <w:trHeight w:val="300"/>
        </w:trPr>
        <w:tc>
          <w:tcPr>
            <w:tcW w:w="4106" w:type="dxa"/>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059E5CE7" w14:textId="04BC518D" w:rsidR="00C05302" w:rsidRPr="00360131" w:rsidRDefault="00C05302" w:rsidP="00F01B35">
            <w:pPr>
              <w:rPr>
                <w:rFonts w:ascii="Arial" w:hAnsi="Arial" w:cs="Arial"/>
              </w:rPr>
            </w:pPr>
            <w:r w:rsidRPr="00846CD4">
              <w:rPr>
                <w:rFonts w:ascii="Arial" w:hAnsi="Arial" w:cs="Arial"/>
                <w:color w:val="000000"/>
              </w:rPr>
              <w:t xml:space="preserve">Water Usage charge </w:t>
            </w:r>
            <w:r w:rsidR="0021558E">
              <w:rPr>
                <w:rFonts w:ascii="Arial" w:hAnsi="Arial" w:cs="Arial"/>
                <w:color w:val="000000"/>
              </w:rPr>
              <w:t xml:space="preserve">- </w:t>
            </w:r>
            <w:r w:rsidRPr="00846CD4">
              <w:rPr>
                <w:rFonts w:ascii="Arial" w:hAnsi="Arial" w:cs="Arial"/>
                <w:color w:val="000000"/>
              </w:rPr>
              <w:t xml:space="preserve">Residential block 1 </w:t>
            </w:r>
            <w:r w:rsidR="0021558E">
              <w:rPr>
                <w:rFonts w:ascii="Arial" w:hAnsi="Arial" w:cs="Arial"/>
                <w:color w:val="000000"/>
              </w:rPr>
              <w:t xml:space="preserve">Water-only </w:t>
            </w:r>
            <w:r w:rsidR="00846CD4" w:rsidRPr="00846CD4">
              <w:rPr>
                <w:rFonts w:ascii="Arial" w:hAnsi="Arial" w:cs="Arial"/>
                <w:color w:val="000000"/>
              </w:rPr>
              <w:t>Variable</w:t>
            </w:r>
            <w:r w:rsidR="00880621" w:rsidRPr="00846CD4">
              <w:rPr>
                <w:rFonts w:ascii="Arial" w:hAnsi="Arial" w:cs="Arial"/>
                <w:color w:val="000000"/>
              </w:rPr>
              <w:t xml:space="preserve"> ($/kL)</w:t>
            </w:r>
          </w:p>
        </w:tc>
        <w:tc>
          <w:tcPr>
            <w:tcW w:w="1701" w:type="dxa"/>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275EACFC" w14:textId="782BFE27" w:rsidR="00C05302" w:rsidRPr="00360131" w:rsidRDefault="00C05302" w:rsidP="00360131">
            <w:pPr>
              <w:jc w:val="center"/>
              <w:rPr>
                <w:rFonts w:ascii="Arial" w:hAnsi="Arial" w:cs="Arial"/>
              </w:rPr>
            </w:pPr>
            <w:r w:rsidRPr="00746E83">
              <w:rPr>
                <w:rFonts w:ascii="Arial" w:hAnsi="Arial" w:cs="Arial"/>
                <w:color w:val="000000"/>
              </w:rPr>
              <w:t>2.7165</w:t>
            </w:r>
          </w:p>
        </w:tc>
        <w:tc>
          <w:tcPr>
            <w:tcW w:w="1701" w:type="dxa"/>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761F19AF" w14:textId="14926E92" w:rsidR="00C05302" w:rsidRPr="00360131" w:rsidRDefault="00C05302" w:rsidP="00360131">
            <w:pPr>
              <w:jc w:val="center"/>
              <w:rPr>
                <w:rFonts w:ascii="Arial" w:hAnsi="Arial" w:cs="Arial"/>
              </w:rPr>
            </w:pPr>
            <w:r w:rsidRPr="00746E83">
              <w:rPr>
                <w:rFonts w:ascii="Arial" w:hAnsi="Arial" w:cs="Arial"/>
                <w:color w:val="000000"/>
              </w:rPr>
              <w:t>2.</w:t>
            </w:r>
            <w:r w:rsidR="00710415" w:rsidRPr="00746E83">
              <w:rPr>
                <w:rFonts w:ascii="Arial" w:hAnsi="Arial" w:cs="Arial"/>
                <w:color w:val="000000"/>
              </w:rPr>
              <w:t>5593</w:t>
            </w:r>
          </w:p>
        </w:tc>
        <w:tc>
          <w:tcPr>
            <w:tcW w:w="1701" w:type="dxa"/>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22293C1F" w14:textId="6F633E44" w:rsidR="00C05302" w:rsidRPr="00360131" w:rsidRDefault="00C05302" w:rsidP="00360131">
            <w:pPr>
              <w:jc w:val="center"/>
              <w:rPr>
                <w:rFonts w:ascii="Arial" w:hAnsi="Arial" w:cs="Arial"/>
              </w:rPr>
            </w:pPr>
            <w:r w:rsidRPr="00746E83">
              <w:rPr>
                <w:rFonts w:ascii="Arial" w:hAnsi="Arial" w:cs="Arial"/>
                <w:color w:val="000000"/>
              </w:rPr>
              <w:t>-</w:t>
            </w:r>
            <w:r w:rsidR="003D4BE1" w:rsidRPr="00746E83">
              <w:rPr>
                <w:rFonts w:ascii="Arial" w:hAnsi="Arial" w:cs="Arial"/>
                <w:color w:val="000000"/>
              </w:rPr>
              <w:t>5</w:t>
            </w:r>
            <w:r w:rsidR="009E7EEE" w:rsidRPr="00746E83">
              <w:rPr>
                <w:rFonts w:ascii="Arial" w:hAnsi="Arial" w:cs="Arial"/>
                <w:color w:val="000000"/>
              </w:rPr>
              <w:t>.</w:t>
            </w:r>
            <w:r w:rsidR="00710415" w:rsidRPr="00746E83">
              <w:rPr>
                <w:rFonts w:ascii="Arial" w:hAnsi="Arial" w:cs="Arial"/>
                <w:color w:val="000000"/>
              </w:rPr>
              <w:t>79</w:t>
            </w:r>
            <w:r w:rsidRPr="00746E83">
              <w:rPr>
                <w:rFonts w:ascii="Arial" w:hAnsi="Arial" w:cs="Arial"/>
                <w:color w:val="000000"/>
              </w:rPr>
              <w:t>%</w:t>
            </w:r>
          </w:p>
        </w:tc>
      </w:tr>
      <w:tr w:rsidR="00F01B35" w:rsidRPr="00F01B35" w14:paraId="6CDE0908" w14:textId="77777777" w:rsidTr="007F20E9">
        <w:trPr>
          <w:cnfStyle w:val="000000100000" w:firstRow="0" w:lastRow="0" w:firstColumn="0" w:lastColumn="0" w:oddVBand="0" w:evenVBand="0" w:oddHBand="1" w:evenHBand="0" w:firstRowFirstColumn="0" w:firstRowLastColumn="0" w:lastRowFirstColumn="0" w:lastRowLastColumn="0"/>
          <w:trHeight w:val="300"/>
        </w:trPr>
        <w:tc>
          <w:tcPr>
            <w:tcW w:w="4106" w:type="dxa"/>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0E6E1317" w14:textId="2A1571C6" w:rsidR="00C05302" w:rsidRPr="00360131" w:rsidRDefault="00C05302" w:rsidP="00F01B35">
            <w:pPr>
              <w:rPr>
                <w:rFonts w:ascii="Arial" w:hAnsi="Arial" w:cs="Arial"/>
              </w:rPr>
            </w:pPr>
            <w:r w:rsidRPr="00846CD4">
              <w:rPr>
                <w:rFonts w:ascii="Arial" w:hAnsi="Arial" w:cs="Arial"/>
                <w:color w:val="000000"/>
              </w:rPr>
              <w:t xml:space="preserve">Water </w:t>
            </w:r>
            <w:r w:rsidR="00846CD4" w:rsidRPr="00846CD4">
              <w:rPr>
                <w:rFonts w:ascii="Arial" w:hAnsi="Arial" w:cs="Arial"/>
                <w:color w:val="000000"/>
              </w:rPr>
              <w:t>Usage</w:t>
            </w:r>
            <w:r w:rsidRPr="00846CD4">
              <w:rPr>
                <w:rFonts w:ascii="Arial" w:hAnsi="Arial" w:cs="Arial"/>
                <w:color w:val="000000"/>
              </w:rPr>
              <w:t xml:space="preserve"> charge </w:t>
            </w:r>
            <w:r w:rsidR="0021558E">
              <w:rPr>
                <w:rFonts w:ascii="Arial" w:hAnsi="Arial" w:cs="Arial"/>
                <w:color w:val="000000"/>
              </w:rPr>
              <w:t xml:space="preserve">- </w:t>
            </w:r>
            <w:r w:rsidRPr="00846CD4">
              <w:rPr>
                <w:rFonts w:ascii="Arial" w:hAnsi="Arial" w:cs="Arial"/>
                <w:color w:val="000000"/>
              </w:rPr>
              <w:t xml:space="preserve">Residential block 2 </w:t>
            </w:r>
            <w:r w:rsidR="0021558E">
              <w:rPr>
                <w:rFonts w:ascii="Arial" w:hAnsi="Arial" w:cs="Arial"/>
                <w:color w:val="000000"/>
              </w:rPr>
              <w:t xml:space="preserve">Water-only </w:t>
            </w:r>
            <w:r w:rsidR="00846CD4" w:rsidRPr="00846CD4">
              <w:rPr>
                <w:rFonts w:ascii="Arial" w:hAnsi="Arial" w:cs="Arial"/>
                <w:color w:val="000000"/>
              </w:rPr>
              <w:t>Variable</w:t>
            </w:r>
            <w:r w:rsidR="00880621" w:rsidRPr="00846CD4">
              <w:rPr>
                <w:rFonts w:ascii="Arial" w:hAnsi="Arial" w:cs="Arial"/>
                <w:color w:val="000000"/>
              </w:rPr>
              <w:t xml:space="preserve"> ($/kL)</w:t>
            </w:r>
          </w:p>
        </w:tc>
        <w:tc>
          <w:tcPr>
            <w:tcW w:w="1701" w:type="dxa"/>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2FDF0EC8" w14:textId="5D262E34" w:rsidR="00C05302" w:rsidRPr="00360131" w:rsidRDefault="00C05302" w:rsidP="00360131">
            <w:pPr>
              <w:jc w:val="center"/>
              <w:rPr>
                <w:rFonts w:ascii="Arial" w:hAnsi="Arial" w:cs="Arial"/>
              </w:rPr>
            </w:pPr>
            <w:r w:rsidRPr="00746E83">
              <w:rPr>
                <w:rFonts w:ascii="Arial" w:hAnsi="Arial" w:cs="Arial"/>
                <w:color w:val="000000"/>
              </w:rPr>
              <w:t>3.4660</w:t>
            </w:r>
          </w:p>
        </w:tc>
        <w:tc>
          <w:tcPr>
            <w:tcW w:w="1701" w:type="dxa"/>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1B46D5B1" w14:textId="2B8274F9" w:rsidR="00C05302" w:rsidRPr="00360131" w:rsidRDefault="00C05302" w:rsidP="00360131">
            <w:pPr>
              <w:jc w:val="center"/>
              <w:rPr>
                <w:rFonts w:ascii="Arial" w:hAnsi="Arial" w:cs="Arial"/>
              </w:rPr>
            </w:pPr>
            <w:r w:rsidRPr="00746E83">
              <w:rPr>
                <w:rFonts w:ascii="Arial" w:hAnsi="Arial" w:cs="Arial"/>
                <w:color w:val="000000"/>
              </w:rPr>
              <w:t>3.</w:t>
            </w:r>
            <w:r w:rsidR="00710415" w:rsidRPr="00746E83">
              <w:rPr>
                <w:rFonts w:ascii="Arial" w:hAnsi="Arial" w:cs="Arial"/>
                <w:color w:val="000000"/>
              </w:rPr>
              <w:t>2654</w:t>
            </w:r>
          </w:p>
        </w:tc>
        <w:tc>
          <w:tcPr>
            <w:tcW w:w="1701" w:type="dxa"/>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0780A246" w14:textId="6F689BC7" w:rsidR="00C05302" w:rsidRPr="00360131" w:rsidRDefault="00C05302" w:rsidP="00360131">
            <w:pPr>
              <w:jc w:val="center"/>
              <w:rPr>
                <w:rFonts w:ascii="Arial" w:hAnsi="Arial" w:cs="Arial"/>
              </w:rPr>
            </w:pPr>
            <w:r w:rsidRPr="00746E83">
              <w:rPr>
                <w:rFonts w:ascii="Arial" w:hAnsi="Arial" w:cs="Arial"/>
                <w:color w:val="000000"/>
              </w:rPr>
              <w:t>-</w:t>
            </w:r>
            <w:r w:rsidR="003D4BE1" w:rsidRPr="00746E83">
              <w:rPr>
                <w:rFonts w:ascii="Arial" w:hAnsi="Arial" w:cs="Arial"/>
                <w:color w:val="000000"/>
              </w:rPr>
              <w:t>5</w:t>
            </w:r>
            <w:r w:rsidR="009E7EEE" w:rsidRPr="00746E83">
              <w:rPr>
                <w:rFonts w:ascii="Arial" w:hAnsi="Arial" w:cs="Arial"/>
                <w:color w:val="000000"/>
              </w:rPr>
              <w:t>.</w:t>
            </w:r>
            <w:r w:rsidR="00710415" w:rsidRPr="00746E83">
              <w:rPr>
                <w:rFonts w:ascii="Arial" w:hAnsi="Arial" w:cs="Arial"/>
                <w:color w:val="000000"/>
              </w:rPr>
              <w:t>79</w:t>
            </w:r>
            <w:r w:rsidRPr="00746E83">
              <w:rPr>
                <w:rFonts w:ascii="Arial" w:hAnsi="Arial" w:cs="Arial"/>
                <w:color w:val="000000"/>
              </w:rPr>
              <w:t>%</w:t>
            </w:r>
          </w:p>
        </w:tc>
      </w:tr>
      <w:tr w:rsidR="00F01B35" w:rsidRPr="00F01B35" w14:paraId="4CCA769F" w14:textId="77777777" w:rsidTr="007F20E9">
        <w:trPr>
          <w:cnfStyle w:val="000000010000" w:firstRow="0" w:lastRow="0" w:firstColumn="0" w:lastColumn="0" w:oddVBand="0" w:evenVBand="0" w:oddHBand="0" w:evenHBand="1" w:firstRowFirstColumn="0" w:firstRowLastColumn="0" w:lastRowFirstColumn="0" w:lastRowLastColumn="0"/>
          <w:trHeight w:val="300"/>
        </w:trPr>
        <w:tc>
          <w:tcPr>
            <w:tcW w:w="4106" w:type="dxa"/>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tcPr>
          <w:p w14:paraId="43C29F7E" w14:textId="354F489A" w:rsidR="00C070DA" w:rsidRPr="00360131" w:rsidRDefault="003338A0" w:rsidP="00F01B35">
            <w:pPr>
              <w:rPr>
                <w:rFonts w:ascii="Arial" w:hAnsi="Arial" w:cs="Arial"/>
              </w:rPr>
            </w:pPr>
            <w:r w:rsidRPr="00846CD4">
              <w:rPr>
                <w:rFonts w:ascii="Arial" w:hAnsi="Arial" w:cs="Arial"/>
                <w:color w:val="000000"/>
              </w:rPr>
              <w:t>Volume of recycled water –</w:t>
            </w:r>
            <w:r w:rsidR="00846CD4" w:rsidRPr="00846CD4">
              <w:rPr>
                <w:rFonts w:ascii="Arial" w:hAnsi="Arial" w:cs="Arial"/>
                <w:color w:val="000000"/>
              </w:rPr>
              <w:t xml:space="preserve"> residential</w:t>
            </w:r>
            <w:r w:rsidRPr="00846CD4">
              <w:rPr>
                <w:rFonts w:ascii="Arial" w:hAnsi="Arial" w:cs="Arial"/>
                <w:color w:val="000000"/>
              </w:rPr>
              <w:t xml:space="preserve"> consumer (</w:t>
            </w:r>
            <w:r w:rsidR="00880621" w:rsidRPr="00846CD4">
              <w:rPr>
                <w:rFonts w:ascii="Arial" w:hAnsi="Arial" w:cs="Arial"/>
                <w:color w:val="000000"/>
              </w:rPr>
              <w:t>$/</w:t>
            </w:r>
            <w:r w:rsidRPr="00846CD4">
              <w:rPr>
                <w:rFonts w:ascii="Arial" w:hAnsi="Arial" w:cs="Arial"/>
                <w:color w:val="000000"/>
              </w:rPr>
              <w:t>kL)</w:t>
            </w:r>
          </w:p>
        </w:tc>
        <w:tc>
          <w:tcPr>
            <w:tcW w:w="1701" w:type="dxa"/>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tcPr>
          <w:p w14:paraId="1C6D8835" w14:textId="293AA733" w:rsidR="00C070DA" w:rsidRPr="00360131" w:rsidRDefault="003338A0" w:rsidP="00360131">
            <w:pPr>
              <w:jc w:val="center"/>
              <w:rPr>
                <w:rFonts w:ascii="Arial" w:hAnsi="Arial" w:cs="Arial"/>
              </w:rPr>
            </w:pPr>
            <w:r w:rsidRPr="00746E83">
              <w:rPr>
                <w:rFonts w:ascii="Arial" w:hAnsi="Arial" w:cs="Arial"/>
                <w:color w:val="000000"/>
              </w:rPr>
              <w:t>2.1513</w:t>
            </w:r>
          </w:p>
        </w:tc>
        <w:tc>
          <w:tcPr>
            <w:tcW w:w="1701" w:type="dxa"/>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tcPr>
          <w:p w14:paraId="310F0E28" w14:textId="3E43133B" w:rsidR="00C070DA" w:rsidRPr="00360131" w:rsidRDefault="003338A0" w:rsidP="00360131">
            <w:pPr>
              <w:jc w:val="center"/>
              <w:rPr>
                <w:rFonts w:ascii="Arial" w:hAnsi="Arial" w:cs="Arial"/>
              </w:rPr>
            </w:pPr>
            <w:r w:rsidRPr="00746E83">
              <w:rPr>
                <w:rFonts w:ascii="Arial" w:hAnsi="Arial" w:cs="Arial"/>
                <w:color w:val="000000"/>
              </w:rPr>
              <w:t>2.</w:t>
            </w:r>
            <w:r w:rsidR="00710415" w:rsidRPr="00746E83">
              <w:rPr>
                <w:rFonts w:ascii="Arial" w:hAnsi="Arial" w:cs="Arial"/>
                <w:color w:val="000000"/>
              </w:rPr>
              <w:t>0268</w:t>
            </w:r>
          </w:p>
        </w:tc>
        <w:tc>
          <w:tcPr>
            <w:tcW w:w="1701" w:type="dxa"/>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tcPr>
          <w:p w14:paraId="299ED126" w14:textId="3E516E37" w:rsidR="00C070DA" w:rsidRPr="00360131" w:rsidRDefault="003D4BE1" w:rsidP="00360131">
            <w:pPr>
              <w:jc w:val="center"/>
              <w:rPr>
                <w:rFonts w:ascii="Arial" w:hAnsi="Arial" w:cs="Arial"/>
              </w:rPr>
            </w:pPr>
            <w:r w:rsidRPr="00746E83">
              <w:rPr>
                <w:rFonts w:ascii="Arial" w:hAnsi="Arial" w:cs="Arial"/>
                <w:color w:val="000000"/>
              </w:rPr>
              <w:t>-5</w:t>
            </w:r>
            <w:r w:rsidR="009E7EEE" w:rsidRPr="00746E83">
              <w:rPr>
                <w:rFonts w:ascii="Arial" w:hAnsi="Arial" w:cs="Arial"/>
                <w:color w:val="000000"/>
              </w:rPr>
              <w:t>.</w:t>
            </w:r>
            <w:r w:rsidR="00710415" w:rsidRPr="00746E83">
              <w:rPr>
                <w:rFonts w:ascii="Arial" w:hAnsi="Arial" w:cs="Arial"/>
                <w:color w:val="000000"/>
              </w:rPr>
              <w:t>79</w:t>
            </w:r>
            <w:r w:rsidR="003338A0" w:rsidRPr="00746E83">
              <w:rPr>
                <w:rFonts w:ascii="Arial" w:hAnsi="Arial" w:cs="Arial"/>
                <w:color w:val="000000"/>
              </w:rPr>
              <w:t>%</w:t>
            </w:r>
          </w:p>
        </w:tc>
      </w:tr>
      <w:tr w:rsidR="00F01B35" w:rsidRPr="00F01B35" w14:paraId="63CA4C11" w14:textId="77777777" w:rsidTr="007F20E9">
        <w:trPr>
          <w:cnfStyle w:val="000000100000" w:firstRow="0" w:lastRow="0" w:firstColumn="0" w:lastColumn="0" w:oddVBand="0" w:evenVBand="0" w:oddHBand="1" w:evenHBand="0" w:firstRowFirstColumn="0" w:firstRowLastColumn="0" w:lastRowFirstColumn="0" w:lastRowLastColumn="0"/>
          <w:trHeight w:val="300"/>
        </w:trPr>
        <w:tc>
          <w:tcPr>
            <w:tcW w:w="4106" w:type="dxa"/>
            <w:tcBorders>
              <w:top w:val="single" w:sz="2" w:space="0" w:color="002279"/>
              <w:left w:val="single" w:sz="4" w:space="0" w:color="002279"/>
              <w:bottom w:val="single" w:sz="2" w:space="0" w:color="002279"/>
              <w:right w:val="single" w:sz="4" w:space="0" w:color="002279"/>
            </w:tcBorders>
            <w:shd w:val="clear" w:color="auto" w:fill="D4D6DF"/>
            <w:noWrap/>
            <w:vAlign w:val="center"/>
          </w:tcPr>
          <w:p w14:paraId="1103E89E" w14:textId="6ACD3A31" w:rsidR="00A418A0" w:rsidRPr="00360131" w:rsidRDefault="00A418A0" w:rsidP="00F01B35">
            <w:pPr>
              <w:rPr>
                <w:rFonts w:ascii="Arial" w:hAnsi="Arial" w:cs="Arial"/>
              </w:rPr>
            </w:pPr>
            <w:r w:rsidRPr="00846CD4">
              <w:rPr>
                <w:rFonts w:ascii="Arial" w:hAnsi="Arial" w:cs="Arial"/>
                <w:color w:val="000000"/>
              </w:rPr>
              <w:lastRenderedPageBreak/>
              <w:t>Bunyip main race</w:t>
            </w:r>
            <w:r w:rsidR="00880621" w:rsidRPr="00846CD4">
              <w:rPr>
                <w:rFonts w:ascii="Arial" w:hAnsi="Arial" w:cs="Arial"/>
                <w:color w:val="000000"/>
              </w:rPr>
              <w:t xml:space="preserve"> </w:t>
            </w:r>
            <w:r w:rsidR="004003C0" w:rsidRPr="00846CD4">
              <w:rPr>
                <w:rFonts w:ascii="Arial" w:hAnsi="Arial" w:cs="Arial"/>
                <w:color w:val="000000"/>
              </w:rPr>
              <w:t xml:space="preserve">– </w:t>
            </w:r>
            <w:r w:rsidR="00846CD4" w:rsidRPr="00846CD4">
              <w:rPr>
                <w:rFonts w:ascii="Arial" w:hAnsi="Arial" w:cs="Arial"/>
                <w:color w:val="000000"/>
              </w:rPr>
              <w:t>residential</w:t>
            </w:r>
            <w:r w:rsidR="004003C0" w:rsidRPr="00846CD4">
              <w:rPr>
                <w:rFonts w:ascii="Arial" w:hAnsi="Arial" w:cs="Arial"/>
                <w:color w:val="000000"/>
              </w:rPr>
              <w:t xml:space="preserve"> customer</w:t>
            </w:r>
            <w:r w:rsidR="00880621" w:rsidRPr="00846CD4">
              <w:rPr>
                <w:rFonts w:ascii="Arial" w:hAnsi="Arial" w:cs="Arial"/>
                <w:color w:val="000000"/>
              </w:rPr>
              <w:t xml:space="preserve"> ($/year)</w:t>
            </w:r>
          </w:p>
        </w:tc>
        <w:tc>
          <w:tcPr>
            <w:tcW w:w="1701" w:type="dxa"/>
            <w:tcBorders>
              <w:top w:val="single" w:sz="2" w:space="0" w:color="002279"/>
              <w:left w:val="single" w:sz="4" w:space="0" w:color="002279"/>
              <w:bottom w:val="single" w:sz="2" w:space="0" w:color="002279"/>
              <w:right w:val="single" w:sz="4" w:space="0" w:color="002279"/>
            </w:tcBorders>
            <w:shd w:val="clear" w:color="auto" w:fill="D4D6DF"/>
            <w:noWrap/>
            <w:vAlign w:val="center"/>
          </w:tcPr>
          <w:p w14:paraId="5DFFB636" w14:textId="30CCA9D1" w:rsidR="00A418A0" w:rsidRPr="00360131" w:rsidRDefault="00A418A0" w:rsidP="00360131">
            <w:pPr>
              <w:jc w:val="center"/>
              <w:rPr>
                <w:rFonts w:ascii="Arial" w:hAnsi="Arial" w:cs="Arial"/>
              </w:rPr>
            </w:pPr>
            <w:r w:rsidRPr="00746E83">
              <w:rPr>
                <w:rFonts w:ascii="Arial" w:hAnsi="Arial" w:cs="Arial"/>
                <w:color w:val="000000"/>
              </w:rPr>
              <w:t>120.64</w:t>
            </w:r>
          </w:p>
        </w:tc>
        <w:tc>
          <w:tcPr>
            <w:tcW w:w="1701" w:type="dxa"/>
            <w:tcBorders>
              <w:top w:val="single" w:sz="2" w:space="0" w:color="002279"/>
              <w:left w:val="single" w:sz="4" w:space="0" w:color="002279"/>
              <w:bottom w:val="single" w:sz="2" w:space="0" w:color="002279"/>
              <w:right w:val="single" w:sz="4" w:space="0" w:color="002279"/>
            </w:tcBorders>
            <w:shd w:val="clear" w:color="auto" w:fill="D4D6DF"/>
            <w:noWrap/>
            <w:vAlign w:val="center"/>
          </w:tcPr>
          <w:p w14:paraId="35FE1407" w14:textId="0738F5F5" w:rsidR="00A418A0" w:rsidRPr="00360131" w:rsidRDefault="00A418A0" w:rsidP="00360131">
            <w:pPr>
              <w:jc w:val="center"/>
              <w:rPr>
                <w:rFonts w:ascii="Arial" w:hAnsi="Arial" w:cs="Arial"/>
              </w:rPr>
            </w:pPr>
            <w:r w:rsidRPr="00746E83">
              <w:rPr>
                <w:rFonts w:ascii="Arial" w:hAnsi="Arial" w:cs="Arial"/>
                <w:color w:val="000000"/>
              </w:rPr>
              <w:t>1</w:t>
            </w:r>
            <w:r w:rsidR="00932E26" w:rsidRPr="00746E83">
              <w:rPr>
                <w:rFonts w:ascii="Arial" w:hAnsi="Arial" w:cs="Arial"/>
                <w:color w:val="000000"/>
              </w:rPr>
              <w:t>1</w:t>
            </w:r>
            <w:r w:rsidR="000E4589" w:rsidRPr="00746E83">
              <w:rPr>
                <w:rFonts w:ascii="Arial" w:hAnsi="Arial" w:cs="Arial"/>
                <w:color w:val="000000"/>
              </w:rPr>
              <w:t>3</w:t>
            </w:r>
            <w:r w:rsidRPr="00746E83">
              <w:rPr>
                <w:rFonts w:ascii="Arial" w:hAnsi="Arial" w:cs="Arial"/>
                <w:color w:val="000000"/>
              </w:rPr>
              <w:t>.</w:t>
            </w:r>
            <w:r w:rsidR="00710415" w:rsidRPr="00746E83">
              <w:rPr>
                <w:rFonts w:ascii="Arial" w:hAnsi="Arial" w:cs="Arial"/>
                <w:color w:val="000000"/>
              </w:rPr>
              <w:t>66</w:t>
            </w:r>
          </w:p>
        </w:tc>
        <w:tc>
          <w:tcPr>
            <w:tcW w:w="1701" w:type="dxa"/>
            <w:tcBorders>
              <w:top w:val="single" w:sz="2" w:space="0" w:color="002279"/>
              <w:left w:val="single" w:sz="4" w:space="0" w:color="002279"/>
              <w:bottom w:val="single" w:sz="2" w:space="0" w:color="002279"/>
              <w:right w:val="single" w:sz="4" w:space="0" w:color="002279"/>
            </w:tcBorders>
            <w:shd w:val="clear" w:color="auto" w:fill="D4D6DF"/>
            <w:noWrap/>
            <w:vAlign w:val="center"/>
          </w:tcPr>
          <w:p w14:paraId="6F532549" w14:textId="58451E60" w:rsidR="00A418A0" w:rsidRPr="00360131" w:rsidRDefault="00126BC2" w:rsidP="00360131">
            <w:pPr>
              <w:jc w:val="center"/>
              <w:rPr>
                <w:rFonts w:ascii="Arial" w:hAnsi="Arial" w:cs="Arial"/>
              </w:rPr>
            </w:pPr>
            <w:r w:rsidRPr="00746E83">
              <w:rPr>
                <w:rFonts w:ascii="Arial" w:hAnsi="Arial" w:cs="Arial"/>
                <w:color w:val="000000"/>
              </w:rPr>
              <w:t>-5</w:t>
            </w:r>
            <w:r w:rsidR="009E7EEE" w:rsidRPr="00746E83">
              <w:rPr>
                <w:rFonts w:ascii="Arial" w:hAnsi="Arial" w:cs="Arial"/>
                <w:color w:val="000000"/>
              </w:rPr>
              <w:t>.</w:t>
            </w:r>
            <w:r w:rsidR="00710415" w:rsidRPr="00746E83">
              <w:rPr>
                <w:rFonts w:ascii="Arial" w:hAnsi="Arial" w:cs="Arial"/>
                <w:color w:val="000000"/>
              </w:rPr>
              <w:t>79</w:t>
            </w:r>
            <w:r w:rsidR="00A418A0" w:rsidRPr="00746E83">
              <w:rPr>
                <w:rFonts w:ascii="Arial" w:hAnsi="Arial" w:cs="Arial"/>
                <w:color w:val="000000"/>
              </w:rPr>
              <w:t>%</w:t>
            </w:r>
          </w:p>
        </w:tc>
      </w:tr>
      <w:tr w:rsidR="00F01B35" w:rsidRPr="00F01B35" w14:paraId="501DC7A8" w14:textId="77777777" w:rsidTr="007F20E9">
        <w:trPr>
          <w:cnfStyle w:val="000000010000" w:firstRow="0" w:lastRow="0" w:firstColumn="0" w:lastColumn="0" w:oddVBand="0" w:evenVBand="0" w:oddHBand="0" w:evenHBand="1" w:firstRowFirstColumn="0" w:firstRowLastColumn="0" w:lastRowFirstColumn="0" w:lastRowLastColumn="0"/>
          <w:trHeight w:val="300"/>
        </w:trPr>
        <w:tc>
          <w:tcPr>
            <w:tcW w:w="4106" w:type="dxa"/>
            <w:tcBorders>
              <w:top w:val="single" w:sz="2" w:space="0" w:color="002279"/>
              <w:left w:val="single" w:sz="4" w:space="0" w:color="002279"/>
              <w:bottom w:val="single" w:sz="4" w:space="0" w:color="002279"/>
              <w:right w:val="single" w:sz="4" w:space="0" w:color="002279"/>
            </w:tcBorders>
            <w:shd w:val="clear" w:color="auto" w:fill="FFFFFF" w:themeFill="background1"/>
            <w:noWrap/>
            <w:vAlign w:val="center"/>
          </w:tcPr>
          <w:p w14:paraId="68445F4F" w14:textId="1BF17EA5" w:rsidR="003362C5" w:rsidRPr="00360131" w:rsidRDefault="008B389F" w:rsidP="00F01B35">
            <w:pPr>
              <w:rPr>
                <w:rFonts w:ascii="Arial" w:hAnsi="Arial" w:cs="Arial"/>
              </w:rPr>
            </w:pPr>
            <w:r w:rsidRPr="00846CD4">
              <w:rPr>
                <w:rFonts w:ascii="Arial" w:hAnsi="Arial" w:cs="Arial"/>
                <w:color w:val="000000"/>
              </w:rPr>
              <w:t>Non</w:t>
            </w:r>
            <w:r w:rsidR="00846CD4" w:rsidRPr="00846CD4">
              <w:rPr>
                <w:rFonts w:ascii="Arial" w:hAnsi="Arial" w:cs="Arial"/>
                <w:color w:val="000000"/>
              </w:rPr>
              <w:t xml:space="preserve"> potable</w:t>
            </w:r>
            <w:r w:rsidRPr="00846CD4">
              <w:rPr>
                <w:rFonts w:ascii="Arial" w:hAnsi="Arial" w:cs="Arial"/>
                <w:color w:val="000000"/>
              </w:rPr>
              <w:t xml:space="preserve"> water from Bunyip Main Race</w:t>
            </w:r>
            <w:r w:rsidR="00880621" w:rsidRPr="00846CD4">
              <w:rPr>
                <w:rFonts w:ascii="Arial" w:hAnsi="Arial" w:cs="Arial"/>
                <w:color w:val="000000"/>
              </w:rPr>
              <w:t xml:space="preserve"> ($/kL)</w:t>
            </w:r>
          </w:p>
        </w:tc>
        <w:tc>
          <w:tcPr>
            <w:tcW w:w="1701" w:type="dxa"/>
            <w:tcBorders>
              <w:top w:val="single" w:sz="2" w:space="0" w:color="002279"/>
              <w:left w:val="single" w:sz="4" w:space="0" w:color="002279"/>
              <w:bottom w:val="single" w:sz="4" w:space="0" w:color="002279"/>
              <w:right w:val="single" w:sz="4" w:space="0" w:color="002279"/>
            </w:tcBorders>
            <w:shd w:val="clear" w:color="auto" w:fill="FFFFFF" w:themeFill="background1"/>
            <w:noWrap/>
            <w:vAlign w:val="center"/>
          </w:tcPr>
          <w:p w14:paraId="22093D48" w14:textId="39CC50B5" w:rsidR="003362C5" w:rsidRPr="00360131" w:rsidRDefault="00DE17EA" w:rsidP="00360131">
            <w:pPr>
              <w:jc w:val="center"/>
              <w:rPr>
                <w:rFonts w:ascii="Arial" w:hAnsi="Arial" w:cs="Arial"/>
              </w:rPr>
            </w:pPr>
            <w:r w:rsidRPr="00746E83">
              <w:rPr>
                <w:rFonts w:ascii="Arial" w:hAnsi="Arial" w:cs="Arial"/>
                <w:color w:val="000000"/>
              </w:rPr>
              <w:t>1.6592</w:t>
            </w:r>
          </w:p>
        </w:tc>
        <w:tc>
          <w:tcPr>
            <w:tcW w:w="1701" w:type="dxa"/>
            <w:tcBorders>
              <w:top w:val="single" w:sz="2" w:space="0" w:color="002279"/>
              <w:left w:val="single" w:sz="4" w:space="0" w:color="002279"/>
              <w:bottom w:val="single" w:sz="4" w:space="0" w:color="002279"/>
              <w:right w:val="single" w:sz="4" w:space="0" w:color="002279"/>
            </w:tcBorders>
            <w:shd w:val="clear" w:color="auto" w:fill="FFFFFF" w:themeFill="background1"/>
            <w:noWrap/>
            <w:vAlign w:val="center"/>
          </w:tcPr>
          <w:p w14:paraId="5780B5FE" w14:textId="51674EE3" w:rsidR="003362C5" w:rsidRPr="00360131" w:rsidRDefault="00DE17EA" w:rsidP="00360131">
            <w:pPr>
              <w:jc w:val="center"/>
              <w:rPr>
                <w:rFonts w:ascii="Arial" w:hAnsi="Arial" w:cs="Arial"/>
              </w:rPr>
            </w:pPr>
            <w:r w:rsidRPr="00746E83">
              <w:rPr>
                <w:rFonts w:ascii="Arial" w:hAnsi="Arial" w:cs="Arial"/>
                <w:color w:val="000000"/>
              </w:rPr>
              <w:t>1.</w:t>
            </w:r>
            <w:r w:rsidR="00710415" w:rsidRPr="00746E83">
              <w:rPr>
                <w:rFonts w:ascii="Arial" w:hAnsi="Arial" w:cs="Arial"/>
                <w:color w:val="000000"/>
              </w:rPr>
              <w:t>5632</w:t>
            </w:r>
          </w:p>
        </w:tc>
        <w:tc>
          <w:tcPr>
            <w:tcW w:w="1701" w:type="dxa"/>
            <w:tcBorders>
              <w:top w:val="single" w:sz="2" w:space="0" w:color="002279"/>
              <w:left w:val="single" w:sz="4" w:space="0" w:color="002279"/>
              <w:bottom w:val="single" w:sz="4" w:space="0" w:color="002279"/>
              <w:right w:val="single" w:sz="4" w:space="0" w:color="002279"/>
            </w:tcBorders>
            <w:shd w:val="clear" w:color="auto" w:fill="FFFFFF" w:themeFill="background1"/>
            <w:noWrap/>
            <w:vAlign w:val="center"/>
          </w:tcPr>
          <w:p w14:paraId="7FD2AC02" w14:textId="53D342D5" w:rsidR="003362C5" w:rsidRPr="00360131" w:rsidRDefault="00126BC2" w:rsidP="00360131">
            <w:pPr>
              <w:jc w:val="center"/>
              <w:rPr>
                <w:rFonts w:ascii="Arial" w:hAnsi="Arial" w:cs="Arial"/>
              </w:rPr>
            </w:pPr>
            <w:r w:rsidRPr="00746E83">
              <w:rPr>
                <w:rFonts w:ascii="Arial" w:hAnsi="Arial" w:cs="Arial"/>
                <w:color w:val="000000"/>
              </w:rPr>
              <w:t>-5</w:t>
            </w:r>
            <w:r w:rsidR="009E7EEE" w:rsidRPr="00746E83">
              <w:rPr>
                <w:rFonts w:ascii="Arial" w:hAnsi="Arial" w:cs="Arial"/>
                <w:color w:val="000000"/>
              </w:rPr>
              <w:t>.</w:t>
            </w:r>
            <w:r w:rsidR="00710415" w:rsidRPr="00746E83">
              <w:rPr>
                <w:rFonts w:ascii="Arial" w:hAnsi="Arial" w:cs="Arial"/>
                <w:color w:val="000000"/>
              </w:rPr>
              <w:t>79</w:t>
            </w:r>
            <w:r w:rsidR="00DE17EA" w:rsidRPr="00746E83">
              <w:rPr>
                <w:rFonts w:ascii="Arial" w:hAnsi="Arial" w:cs="Arial"/>
                <w:color w:val="000000"/>
              </w:rPr>
              <w:t>%</w:t>
            </w:r>
          </w:p>
        </w:tc>
      </w:tr>
    </w:tbl>
    <w:p w14:paraId="6060D684" w14:textId="77777777" w:rsidR="00AE35E9" w:rsidRPr="00360131" w:rsidRDefault="00AE35E9" w:rsidP="00AE35E9">
      <w:pPr>
        <w:rPr>
          <w:rFonts w:cs="Arial"/>
          <w:sz w:val="20"/>
          <w:szCs w:val="20"/>
        </w:rPr>
      </w:pPr>
    </w:p>
    <w:p w14:paraId="334EB794" w14:textId="77777777" w:rsidR="00DB6AF3" w:rsidRDefault="00DB6AF3" w:rsidP="00AE35E9"/>
    <w:p w14:paraId="7E125DFB" w14:textId="5A1716CF" w:rsidR="00AE35E9" w:rsidRPr="001A5B51" w:rsidRDefault="00AE35E9">
      <w:pPr>
        <w:pStyle w:val="Heading2"/>
      </w:pPr>
      <w:bookmarkStart w:id="100" w:name="_Toc103770966"/>
      <w:r>
        <w:t xml:space="preserve">10.3 </w:t>
      </w:r>
      <w:r w:rsidRPr="001A5B51">
        <w:t>Non-residential prices</w:t>
      </w:r>
      <w:bookmarkEnd w:id="100"/>
      <w:r w:rsidRPr="001A5B51">
        <w:t xml:space="preserve"> </w:t>
      </w:r>
    </w:p>
    <w:p w14:paraId="21AC6783" w14:textId="435610C0" w:rsidR="00AE35E9" w:rsidRDefault="00D5425B" w:rsidP="003648DF">
      <w:pPr>
        <w:pStyle w:val="Heading3"/>
        <w:rPr>
          <w:b w:val="0"/>
        </w:rPr>
      </w:pPr>
      <w:r w:rsidRPr="19A66249">
        <w:t>Current approach</w:t>
      </w:r>
    </w:p>
    <w:p w14:paraId="1B3F0A1B" w14:textId="233F8E3A" w:rsidR="00E81248" w:rsidRPr="00BC4A47" w:rsidRDefault="00C63814" w:rsidP="00D16CAC">
      <w:pPr>
        <w:pStyle w:val="NormalIndent"/>
        <w:ind w:left="0"/>
        <w:rPr>
          <w:sz w:val="24"/>
          <w:szCs w:val="24"/>
        </w:rPr>
      </w:pPr>
      <w:r>
        <w:rPr>
          <w:sz w:val="24"/>
          <w:szCs w:val="24"/>
        </w:rPr>
        <w:t>Non-residential</w:t>
      </w:r>
      <w:r w:rsidR="00D16CAC" w:rsidRPr="00BC4A47">
        <w:rPr>
          <w:sz w:val="24"/>
          <w:szCs w:val="24"/>
        </w:rPr>
        <w:t xml:space="preserve"> customers</w:t>
      </w:r>
      <w:r w:rsidR="00973D05" w:rsidRPr="00BC4A47">
        <w:rPr>
          <w:sz w:val="24"/>
          <w:szCs w:val="24"/>
        </w:rPr>
        <w:t xml:space="preserve"> </w:t>
      </w:r>
      <w:r w:rsidR="00B9094B" w:rsidRPr="00BC4A47">
        <w:rPr>
          <w:sz w:val="24"/>
          <w:szCs w:val="24"/>
        </w:rPr>
        <w:t xml:space="preserve">are charged </w:t>
      </w:r>
      <w:r w:rsidR="00FD2819" w:rsidRPr="00BC4A47">
        <w:rPr>
          <w:sz w:val="24"/>
          <w:szCs w:val="24"/>
        </w:rPr>
        <w:t xml:space="preserve">a single water variable rate that is set to </w:t>
      </w:r>
      <w:r w:rsidR="00B9094B" w:rsidRPr="00BC4A47">
        <w:rPr>
          <w:sz w:val="24"/>
          <w:szCs w:val="24"/>
        </w:rPr>
        <w:t>the</w:t>
      </w:r>
      <w:r w:rsidR="00CE4A9D" w:rsidRPr="00BC4A47">
        <w:rPr>
          <w:sz w:val="24"/>
          <w:szCs w:val="24"/>
        </w:rPr>
        <w:t xml:space="preserve"> </w:t>
      </w:r>
      <w:r w:rsidR="00B9094B" w:rsidRPr="00BC4A47">
        <w:rPr>
          <w:sz w:val="24"/>
          <w:szCs w:val="24"/>
        </w:rPr>
        <w:t xml:space="preserve">second </w:t>
      </w:r>
      <w:r w:rsidR="009C01BD" w:rsidRPr="00BC4A47">
        <w:rPr>
          <w:sz w:val="24"/>
          <w:szCs w:val="24"/>
        </w:rPr>
        <w:t xml:space="preserve">step </w:t>
      </w:r>
      <w:r w:rsidR="00CE4A9D" w:rsidRPr="00BC4A47">
        <w:rPr>
          <w:sz w:val="24"/>
          <w:szCs w:val="24"/>
        </w:rPr>
        <w:t>of the residential</w:t>
      </w:r>
      <w:r w:rsidR="00C70C1C" w:rsidRPr="00BC4A47">
        <w:rPr>
          <w:sz w:val="24"/>
          <w:szCs w:val="24"/>
        </w:rPr>
        <w:t xml:space="preserve"> </w:t>
      </w:r>
      <w:r w:rsidR="00584B94">
        <w:rPr>
          <w:sz w:val="24"/>
          <w:szCs w:val="24"/>
        </w:rPr>
        <w:t>2</w:t>
      </w:r>
      <w:r w:rsidR="00880CB1">
        <w:rPr>
          <w:sz w:val="24"/>
          <w:szCs w:val="24"/>
        </w:rPr>
        <w:t xml:space="preserve"> </w:t>
      </w:r>
      <w:r w:rsidR="00C70C1C" w:rsidRPr="00BC4A47">
        <w:rPr>
          <w:sz w:val="24"/>
          <w:szCs w:val="24"/>
        </w:rPr>
        <w:t>step inclining tariff.</w:t>
      </w:r>
      <w:r w:rsidR="00A1315F">
        <w:rPr>
          <w:sz w:val="24"/>
          <w:szCs w:val="24"/>
        </w:rPr>
        <w:t xml:space="preserve"> </w:t>
      </w:r>
    </w:p>
    <w:p w14:paraId="78508043" w14:textId="38A05373" w:rsidR="001E25B0" w:rsidRDefault="00837FCE" w:rsidP="00AE35E9">
      <w:r>
        <w:t>Non-residential</w:t>
      </w:r>
      <w:r w:rsidR="00A20FE9">
        <w:t xml:space="preserve"> customers are charged</w:t>
      </w:r>
      <w:r w:rsidR="006E1BEE" w:rsidRPr="006E1BEE">
        <w:t xml:space="preserve"> water and sewerage service </w:t>
      </w:r>
      <w:r w:rsidR="00D33E01">
        <w:t>charges</w:t>
      </w:r>
      <w:r w:rsidR="006E1BEE" w:rsidRPr="006E1BEE">
        <w:t xml:space="preserve"> based on </w:t>
      </w:r>
      <w:r w:rsidR="00D83DFD">
        <w:t>property</w:t>
      </w:r>
      <w:r w:rsidR="006E1BEE" w:rsidRPr="006E1BEE">
        <w:t xml:space="preserve"> title. This means that customers with individual (or strata) titles pay a service charge for each dwelling.</w:t>
      </w:r>
      <w:r w:rsidR="00F24636">
        <w:t xml:space="preserve"> </w:t>
      </w:r>
      <w:r w:rsidR="00F30706">
        <w:t xml:space="preserve">Water service charges are currently the same for </w:t>
      </w:r>
      <w:r w:rsidR="00E17E4B">
        <w:t xml:space="preserve">residential and </w:t>
      </w:r>
      <w:r w:rsidR="005A2578">
        <w:t>non-</w:t>
      </w:r>
      <w:r w:rsidR="00880CB1">
        <w:t>residential</w:t>
      </w:r>
      <w:r w:rsidR="00E17E4B">
        <w:t xml:space="preserve"> customers. </w:t>
      </w:r>
    </w:p>
    <w:p w14:paraId="1B715BB2" w14:textId="78573D84" w:rsidR="006E1BEE" w:rsidRPr="00553C62" w:rsidRDefault="00837FCE" w:rsidP="00AE35E9">
      <w:r>
        <w:t xml:space="preserve">Non-residential </w:t>
      </w:r>
      <w:r w:rsidR="00E17E4B">
        <w:t xml:space="preserve">customers pay a slightly higher rate for </w:t>
      </w:r>
      <w:r w:rsidR="00F630AB">
        <w:t>sewerage service charges</w:t>
      </w:r>
      <w:r w:rsidR="001E25B0">
        <w:t xml:space="preserve"> and</w:t>
      </w:r>
      <w:r w:rsidR="00A16F00">
        <w:t xml:space="preserve"> are charged a sewage disposal </w:t>
      </w:r>
      <w:r w:rsidR="009D1BC9">
        <w:t>applied</w:t>
      </w:r>
      <w:r w:rsidR="00A16F00">
        <w:t xml:space="preserve"> based on their industry type and projected disposal. </w:t>
      </w:r>
    </w:p>
    <w:p w14:paraId="36C8447D" w14:textId="04E2404F" w:rsidR="00D5425B" w:rsidRPr="00880CB1" w:rsidRDefault="00D5425B" w:rsidP="003648DF">
      <w:pPr>
        <w:pStyle w:val="Heading3"/>
      </w:pPr>
      <w:r w:rsidRPr="19A66249">
        <w:t>Assessment and proposed appro</w:t>
      </w:r>
      <w:r w:rsidRPr="00880CB1">
        <w:t>ach for 2023</w:t>
      </w:r>
      <w:r w:rsidR="004C32D1" w:rsidRPr="00880CB1">
        <w:t>–</w:t>
      </w:r>
      <w:r w:rsidRPr="00880CB1">
        <w:t>28</w:t>
      </w:r>
    </w:p>
    <w:p w14:paraId="44A7FD4B" w14:textId="3A92ABF7" w:rsidR="00A35D36" w:rsidRDefault="00BD5DA2" w:rsidP="00AE35E9">
      <w:r w:rsidRPr="00BD5DA2">
        <w:t xml:space="preserve">We propose to retain </w:t>
      </w:r>
      <w:r>
        <w:t xml:space="preserve">a </w:t>
      </w:r>
      <w:r w:rsidR="001B5640">
        <w:t xml:space="preserve">single water variable rate </w:t>
      </w:r>
      <w:r w:rsidR="002E1E21">
        <w:t>that is set between the first and second step</w:t>
      </w:r>
      <w:r w:rsidR="00E83F51">
        <w:t>s</w:t>
      </w:r>
      <w:r w:rsidR="002E1E21">
        <w:t xml:space="preserve"> </w:t>
      </w:r>
      <w:r w:rsidR="00D74805">
        <w:t xml:space="preserve">of the </w:t>
      </w:r>
      <w:r w:rsidRPr="00BD5DA2">
        <w:t>inclining tariff</w:t>
      </w:r>
      <w:r w:rsidR="00C45E61">
        <w:t>,</w:t>
      </w:r>
      <w:r w:rsidR="009155C7">
        <w:t xml:space="preserve"> in line with current prices.</w:t>
      </w:r>
    </w:p>
    <w:p w14:paraId="42202ED1" w14:textId="1A78D762" w:rsidR="00E54DAC" w:rsidRDefault="005E14FF" w:rsidP="00AE35E9">
      <w:r w:rsidRPr="005E14FF">
        <w:t xml:space="preserve">In setting our proposed </w:t>
      </w:r>
      <w:r w:rsidR="005A2578">
        <w:t>non-</w:t>
      </w:r>
      <w:r w:rsidR="00AA16D5">
        <w:t>residential</w:t>
      </w:r>
      <w:r w:rsidRPr="005E14FF">
        <w:t xml:space="preserve"> tariff structures for the next regulatory period, we have taken into consideration customer</w:t>
      </w:r>
      <w:r w:rsidR="00B17C90">
        <w:t>s</w:t>
      </w:r>
      <w:r w:rsidR="00DC2C86">
        <w:t>’</w:t>
      </w:r>
      <w:r w:rsidR="00A95096">
        <w:t xml:space="preserve"> feedback</w:t>
      </w:r>
      <w:r w:rsidR="003D0906">
        <w:t xml:space="preserve"> around</w:t>
      </w:r>
      <w:r w:rsidR="00B17C90">
        <w:t xml:space="preserve"> want</w:t>
      </w:r>
      <w:r w:rsidR="003D0906">
        <w:t>ing</w:t>
      </w:r>
      <w:r w:rsidR="00B17C90">
        <w:t xml:space="preserve"> certainty</w:t>
      </w:r>
      <w:r w:rsidR="00596E7F">
        <w:t>. In addition,</w:t>
      </w:r>
      <w:r w:rsidR="004651B8">
        <w:t xml:space="preserve"> we are wary of</w:t>
      </w:r>
      <w:r w:rsidR="00603DD7">
        <w:t xml:space="preserve"> the impacts tariff reform </w:t>
      </w:r>
      <w:r w:rsidR="00C83C2A">
        <w:t xml:space="preserve">proposals </w:t>
      </w:r>
      <w:r w:rsidR="0079089E">
        <w:t>may</w:t>
      </w:r>
      <w:r w:rsidR="00C83C2A">
        <w:t xml:space="preserve"> have on </w:t>
      </w:r>
      <w:r w:rsidR="00385294">
        <w:t>small business customers</w:t>
      </w:r>
      <w:r w:rsidR="00596E7F">
        <w:t xml:space="preserve"> </w:t>
      </w:r>
      <w:r w:rsidR="001D4D69">
        <w:t>post the impacts caused by</w:t>
      </w:r>
      <w:r w:rsidR="00596E7F">
        <w:t xml:space="preserve"> </w:t>
      </w:r>
      <w:r w:rsidR="00B4560C">
        <w:t>COVID-19</w:t>
      </w:r>
      <w:r w:rsidR="00A96944">
        <w:t xml:space="preserve"> restrictions.</w:t>
      </w:r>
      <w:r w:rsidRPr="005E14FF">
        <w:t xml:space="preserve"> </w:t>
      </w:r>
    </w:p>
    <w:p w14:paraId="4378F7ED" w14:textId="718F4793" w:rsidR="00D5425B" w:rsidRPr="00553C62" w:rsidRDefault="00F5407F" w:rsidP="00AE35E9">
      <w:r w:rsidRPr="00F5407F">
        <w:t>During the next regulatory period, as part of Melbourne Water</w:t>
      </w:r>
      <w:r w:rsidR="00612583">
        <w:t>’</w:t>
      </w:r>
      <w:r w:rsidRPr="00F5407F">
        <w:t xml:space="preserve">s </w:t>
      </w:r>
      <w:r w:rsidR="00D03CFB">
        <w:t xml:space="preserve">bulk </w:t>
      </w:r>
      <w:r w:rsidRPr="00F5407F">
        <w:t>tariff review, which will include an assessment of its current trade waste pollutant charges, we will also assess the allocation of revenue recovery across S</w:t>
      </w:r>
      <w:r w:rsidR="009E4EFC">
        <w:t xml:space="preserve">outh East </w:t>
      </w:r>
      <w:r w:rsidR="00676ADF">
        <w:t>Water</w:t>
      </w:r>
      <w:r w:rsidR="00612583">
        <w:t>’</w:t>
      </w:r>
      <w:r w:rsidRPr="00F5407F">
        <w:t xml:space="preserve">s </w:t>
      </w:r>
      <w:r w:rsidR="00A35D36">
        <w:t xml:space="preserve">water and sewerage </w:t>
      </w:r>
      <w:r w:rsidRPr="00F5407F">
        <w:t xml:space="preserve">fixed and variable charges </w:t>
      </w:r>
      <w:r w:rsidR="00E610E3">
        <w:t xml:space="preserve">for </w:t>
      </w:r>
      <w:r w:rsidR="00880CB1">
        <w:t>non-res</w:t>
      </w:r>
      <w:r w:rsidR="00D03CFB">
        <w:t>i</w:t>
      </w:r>
      <w:r w:rsidR="00880CB1">
        <w:t>dential</w:t>
      </w:r>
      <w:r w:rsidR="00E610E3">
        <w:t xml:space="preserve"> </w:t>
      </w:r>
      <w:r w:rsidR="00A35D36">
        <w:t>customers</w:t>
      </w:r>
      <w:r w:rsidRPr="00F5407F">
        <w:t>.</w:t>
      </w:r>
    </w:p>
    <w:p w14:paraId="5F6F6FEC" w14:textId="75DC6DA6" w:rsidR="00E152FF" w:rsidRDefault="000462C7" w:rsidP="00E152FF">
      <w:r>
        <w:t>Table 5</w:t>
      </w:r>
      <w:r w:rsidR="00B066BA">
        <w:t>1</w:t>
      </w:r>
      <w:r w:rsidR="000763C3" w:rsidRPr="000763C3">
        <w:t xml:space="preserve"> outlines proposed prices for </w:t>
      </w:r>
      <w:r w:rsidR="005A2578">
        <w:t>non-</w:t>
      </w:r>
      <w:r w:rsidR="007448B1">
        <w:t>residential</w:t>
      </w:r>
      <w:r w:rsidR="000763C3" w:rsidRPr="000763C3">
        <w:t xml:space="preserve"> customers for the next regulatory period</w:t>
      </w:r>
      <w:r w:rsidR="000763C3">
        <w:t xml:space="preserve"> which </w:t>
      </w:r>
      <w:r w:rsidR="00D35951">
        <w:t>shows</w:t>
      </w:r>
      <w:r w:rsidR="000763C3" w:rsidRPr="000763C3">
        <w:t xml:space="preserve"> </w:t>
      </w:r>
      <w:r w:rsidR="00D03CFB">
        <w:t xml:space="preserve">a P0 </w:t>
      </w:r>
      <w:r w:rsidR="00D35951">
        <w:t>reduc</w:t>
      </w:r>
      <w:r w:rsidR="00D03CFB">
        <w:t>tion</w:t>
      </w:r>
      <w:r w:rsidR="000763C3" w:rsidRPr="000763C3">
        <w:t xml:space="preserve"> </w:t>
      </w:r>
      <w:r w:rsidR="00B416CF">
        <w:t xml:space="preserve">in real terms. </w:t>
      </w:r>
    </w:p>
    <w:p w14:paraId="3ECAD992" w14:textId="335A5979" w:rsidR="006128CE" w:rsidRPr="007448B1" w:rsidRDefault="008E63F2" w:rsidP="00E152FF">
      <w:pPr>
        <w:rPr>
          <w:rFonts w:cs="Arial"/>
          <w:b/>
          <w:i/>
        </w:rPr>
      </w:pPr>
      <w:r>
        <w:br/>
      </w:r>
      <w:r w:rsidR="007448B1" w:rsidRPr="00CE6C4E">
        <w:rPr>
          <w:b/>
          <w:i/>
          <w:sz w:val="22"/>
          <w:szCs w:val="22"/>
        </w:rPr>
        <w:t xml:space="preserve">Table </w:t>
      </w:r>
      <w:r w:rsidR="00B066BA">
        <w:rPr>
          <w:b/>
          <w:i/>
          <w:sz w:val="22"/>
          <w:szCs w:val="22"/>
        </w:rPr>
        <w:t>51</w:t>
      </w:r>
      <w:r w:rsidR="007448B1" w:rsidRPr="007B339F">
        <w:rPr>
          <w:rFonts w:cs="Arial"/>
          <w:b/>
          <w:i/>
        </w:rPr>
        <w:t>:</w:t>
      </w:r>
      <w:r w:rsidR="007448B1">
        <w:rPr>
          <w:rFonts w:cs="Arial"/>
          <w:b/>
          <w:i/>
        </w:rPr>
        <w:t xml:space="preserve"> </w:t>
      </w:r>
      <w:r w:rsidR="00BC279D" w:rsidRPr="00FD54FE">
        <w:rPr>
          <w:b/>
          <w:i/>
        </w:rPr>
        <w:t xml:space="preserve">Proposed </w:t>
      </w:r>
      <w:r w:rsidR="00BC279D">
        <w:rPr>
          <w:b/>
          <w:i/>
        </w:rPr>
        <w:t>non-residential prices</w:t>
      </w:r>
      <w:r w:rsidR="00BC279D" w:rsidRPr="00FD54FE">
        <w:rPr>
          <w:b/>
          <w:i/>
        </w:rPr>
        <w:t xml:space="preserve"> 2023</w:t>
      </w:r>
      <w:r w:rsidR="00BC279D">
        <w:rPr>
          <w:b/>
          <w:i/>
        </w:rPr>
        <w:t>–</w:t>
      </w:r>
      <w:r w:rsidR="00BC279D" w:rsidRPr="00FD54FE">
        <w:rPr>
          <w:b/>
          <w:i/>
        </w:rPr>
        <w:t>28 regulatory period</w:t>
      </w:r>
      <w:r w:rsidR="00921F48">
        <w:rPr>
          <w:b/>
          <w:i/>
        </w:rPr>
        <w:t xml:space="preserve"> ($</w:t>
      </w:r>
      <w:r w:rsidR="00BC279D" w:rsidRPr="00FD54FE">
        <w:rPr>
          <w:b/>
          <w:i/>
        </w:rPr>
        <w:t>2022</w:t>
      </w:r>
      <w:r w:rsidR="00BC279D">
        <w:rPr>
          <w:b/>
          <w:i/>
        </w:rPr>
        <w:t>–</w:t>
      </w:r>
      <w:r w:rsidR="00BC279D" w:rsidRPr="00FD54FE">
        <w:rPr>
          <w:b/>
          <w:i/>
        </w:rPr>
        <w:t>23</w:t>
      </w:r>
      <w:r w:rsidR="00921F48">
        <w:rPr>
          <w:b/>
          <w:i/>
        </w:rPr>
        <w:t>)</w:t>
      </w:r>
    </w:p>
    <w:tbl>
      <w:tblPr>
        <w:tblStyle w:val="MJTableStyle1default"/>
        <w:tblW w:w="9493" w:type="dxa"/>
        <w:tblInd w:w="5" w:type="dxa"/>
        <w:tblLayout w:type="fixed"/>
        <w:tblLook w:val="04A0" w:firstRow="1" w:lastRow="0" w:firstColumn="1" w:lastColumn="0" w:noHBand="0" w:noVBand="1"/>
      </w:tblPr>
      <w:tblGrid>
        <w:gridCol w:w="2373"/>
        <w:gridCol w:w="2373"/>
        <w:gridCol w:w="2373"/>
        <w:gridCol w:w="2374"/>
      </w:tblGrid>
      <w:tr w:rsidR="005278C6" w:rsidRPr="00D42D76" w14:paraId="7C884034" w14:textId="77777777" w:rsidTr="00CE61CF">
        <w:trPr>
          <w:cnfStyle w:val="100000000000" w:firstRow="1" w:lastRow="0" w:firstColumn="0" w:lastColumn="0" w:oddVBand="0" w:evenVBand="0" w:oddHBand="0" w:evenHBand="0" w:firstRowFirstColumn="0" w:firstRowLastColumn="0" w:lastRowFirstColumn="0" w:lastRowLastColumn="0"/>
          <w:trHeight w:val="770"/>
        </w:trPr>
        <w:tc>
          <w:tcPr>
            <w:tcW w:w="2373" w:type="dxa"/>
            <w:tcBorders>
              <w:top w:val="single" w:sz="4" w:space="0" w:color="002279"/>
              <w:left w:val="single" w:sz="4" w:space="0" w:color="002279"/>
              <w:bottom w:val="single" w:sz="2" w:space="0" w:color="002279"/>
              <w:right w:val="single" w:sz="4" w:space="0" w:color="FFFFFF" w:themeColor="background1"/>
            </w:tcBorders>
            <w:shd w:val="clear" w:color="auto" w:fill="002279"/>
            <w:noWrap/>
            <w:vAlign w:val="center"/>
            <w:hideMark/>
          </w:tcPr>
          <w:p w14:paraId="5B6A1BB2" w14:textId="7D7FE6E4" w:rsidR="00C05302" w:rsidRPr="00360131" w:rsidRDefault="00C05302" w:rsidP="00FF7887">
            <w:pPr>
              <w:rPr>
                <w:rFonts w:ascii="Arial" w:hAnsi="Arial" w:cs="Arial"/>
                <w:b/>
              </w:rPr>
            </w:pPr>
            <w:r w:rsidRPr="0058557D">
              <w:rPr>
                <w:rFonts w:ascii="Arial" w:hAnsi="Arial" w:cs="Arial"/>
                <w:b/>
                <w:color w:val="FFFFFF"/>
              </w:rPr>
              <w:t>Non-residential tariffs</w:t>
            </w:r>
          </w:p>
        </w:tc>
        <w:tc>
          <w:tcPr>
            <w:tcW w:w="2373"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noWrap/>
            <w:vAlign w:val="center"/>
            <w:hideMark/>
          </w:tcPr>
          <w:p w14:paraId="10B56D8F" w14:textId="0B1CE19F" w:rsidR="00C05302" w:rsidRPr="00360131" w:rsidRDefault="00C05302" w:rsidP="00360131">
            <w:pPr>
              <w:jc w:val="center"/>
              <w:rPr>
                <w:rFonts w:ascii="Arial" w:hAnsi="Arial" w:cs="Arial"/>
                <w:b/>
              </w:rPr>
            </w:pPr>
            <w:r w:rsidRPr="0058557D">
              <w:rPr>
                <w:rFonts w:ascii="Arial" w:hAnsi="Arial" w:cs="Arial"/>
                <w:b/>
                <w:color w:val="FFFFFF"/>
              </w:rPr>
              <w:t>2022</w:t>
            </w:r>
            <w:r w:rsidR="0058557D" w:rsidRPr="0058557D">
              <w:rPr>
                <w:rFonts w:ascii="Arial" w:hAnsi="Arial" w:cs="Arial"/>
                <w:b/>
                <w:bCs/>
                <w:color w:val="FFFFFF"/>
              </w:rPr>
              <w:t>-</w:t>
            </w:r>
            <w:r w:rsidRPr="0058557D">
              <w:rPr>
                <w:rFonts w:ascii="Arial" w:hAnsi="Arial" w:cs="Arial"/>
                <w:b/>
                <w:color w:val="FFFFFF"/>
              </w:rPr>
              <w:t>23</w:t>
            </w:r>
          </w:p>
        </w:tc>
        <w:tc>
          <w:tcPr>
            <w:tcW w:w="2373"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noWrap/>
            <w:vAlign w:val="center"/>
            <w:hideMark/>
          </w:tcPr>
          <w:p w14:paraId="1B38BE06" w14:textId="4DA1D02B" w:rsidR="00C05302" w:rsidRPr="00360131" w:rsidRDefault="00C05302" w:rsidP="00360131">
            <w:pPr>
              <w:jc w:val="center"/>
              <w:rPr>
                <w:rFonts w:ascii="Arial" w:hAnsi="Arial" w:cs="Arial"/>
                <w:b/>
              </w:rPr>
            </w:pPr>
            <w:r w:rsidRPr="0058557D">
              <w:rPr>
                <w:rFonts w:ascii="Arial" w:hAnsi="Arial" w:cs="Arial"/>
                <w:b/>
                <w:color w:val="FFFFFF"/>
              </w:rPr>
              <w:t>2023</w:t>
            </w:r>
            <w:r w:rsidR="0058557D" w:rsidRPr="0058557D">
              <w:rPr>
                <w:rFonts w:ascii="Arial" w:hAnsi="Arial" w:cs="Arial"/>
                <w:b/>
                <w:bCs/>
                <w:color w:val="FFFFFF"/>
              </w:rPr>
              <w:t>-</w:t>
            </w:r>
            <w:r w:rsidRPr="0058557D">
              <w:rPr>
                <w:rFonts w:ascii="Arial" w:hAnsi="Arial" w:cs="Arial"/>
                <w:b/>
                <w:color w:val="FFFFFF"/>
              </w:rPr>
              <w:t>2</w:t>
            </w:r>
            <w:r w:rsidR="004A4EDA" w:rsidRPr="0058557D">
              <w:rPr>
                <w:rFonts w:ascii="Arial" w:hAnsi="Arial" w:cs="Arial"/>
                <w:b/>
                <w:color w:val="FFFFFF"/>
              </w:rPr>
              <w:t>8</w:t>
            </w:r>
          </w:p>
        </w:tc>
        <w:tc>
          <w:tcPr>
            <w:tcW w:w="2374" w:type="dxa"/>
            <w:tcBorders>
              <w:top w:val="single" w:sz="4" w:space="0" w:color="002279"/>
              <w:left w:val="single" w:sz="4" w:space="0" w:color="FFFFFF" w:themeColor="background1"/>
              <w:bottom w:val="single" w:sz="2" w:space="0" w:color="002279"/>
              <w:right w:val="single" w:sz="4" w:space="0" w:color="002279"/>
            </w:tcBorders>
            <w:shd w:val="clear" w:color="auto" w:fill="002279"/>
            <w:noWrap/>
            <w:vAlign w:val="center"/>
            <w:hideMark/>
          </w:tcPr>
          <w:p w14:paraId="6ADEB30F" w14:textId="6A54BEB9" w:rsidR="00C05302" w:rsidRPr="00360131" w:rsidRDefault="00433D44" w:rsidP="00360131">
            <w:pPr>
              <w:jc w:val="center"/>
              <w:rPr>
                <w:rFonts w:ascii="Arial" w:hAnsi="Arial" w:cs="Arial"/>
                <w:b/>
              </w:rPr>
            </w:pPr>
            <w:r w:rsidRPr="0058557D">
              <w:rPr>
                <w:rFonts w:ascii="Arial" w:hAnsi="Arial" w:cs="Arial"/>
                <w:b/>
                <w:color w:val="FFFFFF"/>
              </w:rPr>
              <w:t>P0</w:t>
            </w:r>
            <w:r w:rsidR="0058557D" w:rsidRPr="0058557D">
              <w:rPr>
                <w:rFonts w:ascii="Arial" w:hAnsi="Arial" w:cs="Arial"/>
                <w:b/>
                <w:bCs/>
                <w:color w:val="FFFFFF"/>
              </w:rPr>
              <w:t xml:space="preserve"> Percentage</w:t>
            </w:r>
            <w:r w:rsidR="00C05302" w:rsidRPr="0058557D">
              <w:rPr>
                <w:rFonts w:ascii="Arial" w:hAnsi="Arial" w:cs="Arial"/>
                <w:b/>
                <w:color w:val="FFFFFF"/>
              </w:rPr>
              <w:t xml:space="preserve"> change</w:t>
            </w:r>
          </w:p>
        </w:tc>
      </w:tr>
      <w:tr w:rsidR="00F01B35" w:rsidRPr="00D42D76" w14:paraId="5F7CAF3A" w14:textId="77777777" w:rsidTr="00CE61CF">
        <w:trPr>
          <w:cnfStyle w:val="000000100000" w:firstRow="0" w:lastRow="0" w:firstColumn="0" w:lastColumn="0" w:oddVBand="0" w:evenVBand="0" w:oddHBand="1" w:evenHBand="0" w:firstRowFirstColumn="0" w:firstRowLastColumn="0" w:lastRowFirstColumn="0" w:lastRowLastColumn="0"/>
          <w:trHeight w:val="615"/>
        </w:trPr>
        <w:tc>
          <w:tcPr>
            <w:tcW w:w="2373" w:type="dxa"/>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1214118A" w14:textId="534F6F43" w:rsidR="00C05302" w:rsidRPr="00360131" w:rsidRDefault="00C05302" w:rsidP="003E7263">
            <w:pPr>
              <w:rPr>
                <w:rFonts w:ascii="Arial" w:hAnsi="Arial" w:cs="Arial"/>
              </w:rPr>
            </w:pPr>
            <w:r w:rsidRPr="0058557D">
              <w:rPr>
                <w:rFonts w:ascii="Arial" w:hAnsi="Arial" w:cs="Arial"/>
                <w:color w:val="000000"/>
              </w:rPr>
              <w:t xml:space="preserve">Water </w:t>
            </w:r>
            <w:r w:rsidR="006128CE" w:rsidRPr="0058557D">
              <w:rPr>
                <w:rFonts w:ascii="Arial" w:hAnsi="Arial" w:cs="Arial"/>
                <w:color w:val="000000"/>
              </w:rPr>
              <w:t>s</w:t>
            </w:r>
            <w:r w:rsidRPr="0058557D">
              <w:rPr>
                <w:rFonts w:ascii="Arial" w:hAnsi="Arial" w:cs="Arial"/>
                <w:color w:val="000000"/>
              </w:rPr>
              <w:t>ervice charge</w:t>
            </w:r>
            <w:r w:rsidR="006128CE" w:rsidRPr="0058557D">
              <w:rPr>
                <w:rFonts w:ascii="Arial" w:hAnsi="Arial" w:cs="Arial"/>
                <w:color w:val="000000"/>
              </w:rPr>
              <w:t xml:space="preserve"> </w:t>
            </w:r>
            <w:r w:rsidR="0058557D" w:rsidRPr="0058557D">
              <w:rPr>
                <w:rFonts w:ascii="Arial" w:hAnsi="Arial" w:cs="Arial"/>
                <w:color w:val="000000"/>
              </w:rPr>
              <w:t>-</w:t>
            </w:r>
            <w:r w:rsidR="006128CE" w:rsidRPr="0058557D">
              <w:rPr>
                <w:rFonts w:ascii="Arial" w:hAnsi="Arial" w:cs="Arial"/>
                <w:color w:val="000000"/>
              </w:rPr>
              <w:t xml:space="preserve"> </w:t>
            </w:r>
            <w:r w:rsidRPr="0058557D">
              <w:rPr>
                <w:rFonts w:ascii="Arial" w:hAnsi="Arial" w:cs="Arial"/>
                <w:color w:val="000000"/>
              </w:rPr>
              <w:t>Non-</w:t>
            </w:r>
            <w:r w:rsidR="006128CE" w:rsidRPr="0058557D">
              <w:rPr>
                <w:rFonts w:ascii="Arial" w:hAnsi="Arial" w:cs="Arial"/>
                <w:color w:val="000000"/>
              </w:rPr>
              <w:t>r</w:t>
            </w:r>
            <w:r w:rsidRPr="0058557D">
              <w:rPr>
                <w:rFonts w:ascii="Arial" w:hAnsi="Arial" w:cs="Arial"/>
                <w:color w:val="000000"/>
              </w:rPr>
              <w:t xml:space="preserve">esidential </w:t>
            </w:r>
            <w:r w:rsidR="006128CE" w:rsidRPr="0058557D">
              <w:rPr>
                <w:rFonts w:ascii="Arial" w:hAnsi="Arial" w:cs="Arial"/>
                <w:color w:val="000000"/>
              </w:rPr>
              <w:t>s</w:t>
            </w:r>
            <w:r w:rsidRPr="0058557D">
              <w:rPr>
                <w:rFonts w:ascii="Arial" w:hAnsi="Arial" w:cs="Arial"/>
                <w:color w:val="000000"/>
              </w:rPr>
              <w:t xml:space="preserve">ervice </w:t>
            </w:r>
            <w:r w:rsidR="006128CE" w:rsidRPr="0058557D">
              <w:rPr>
                <w:rFonts w:ascii="Arial" w:hAnsi="Arial" w:cs="Arial"/>
                <w:color w:val="000000"/>
              </w:rPr>
              <w:t>c</w:t>
            </w:r>
            <w:r w:rsidRPr="0058557D">
              <w:rPr>
                <w:rFonts w:ascii="Arial" w:hAnsi="Arial" w:cs="Arial"/>
                <w:color w:val="000000"/>
              </w:rPr>
              <w:t xml:space="preserve">harge </w:t>
            </w:r>
            <w:r w:rsidR="006128CE" w:rsidRPr="0058557D">
              <w:rPr>
                <w:rFonts w:ascii="Arial" w:hAnsi="Arial" w:cs="Arial"/>
                <w:color w:val="000000"/>
              </w:rPr>
              <w:t>f</w:t>
            </w:r>
            <w:r w:rsidRPr="0058557D">
              <w:rPr>
                <w:rFonts w:ascii="Arial" w:hAnsi="Arial" w:cs="Arial"/>
                <w:color w:val="000000"/>
              </w:rPr>
              <w:t>ixed</w:t>
            </w:r>
            <w:r w:rsidR="00880621" w:rsidRPr="0058557D">
              <w:rPr>
                <w:rFonts w:ascii="Arial" w:hAnsi="Arial" w:cs="Arial"/>
                <w:color w:val="000000"/>
              </w:rPr>
              <w:t xml:space="preserve"> ($/year)</w:t>
            </w:r>
          </w:p>
        </w:tc>
        <w:tc>
          <w:tcPr>
            <w:tcW w:w="2373" w:type="dxa"/>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26F19E58" w14:textId="566D9D3F" w:rsidR="00C05302" w:rsidRPr="00360131" w:rsidRDefault="00C05302" w:rsidP="00360131">
            <w:pPr>
              <w:jc w:val="center"/>
              <w:rPr>
                <w:rFonts w:ascii="Arial" w:hAnsi="Arial" w:cs="Arial"/>
              </w:rPr>
            </w:pPr>
            <w:r w:rsidRPr="0058557D">
              <w:rPr>
                <w:rFonts w:ascii="Arial" w:hAnsi="Arial" w:cs="Arial"/>
                <w:color w:val="000000"/>
              </w:rPr>
              <w:t>83.</w:t>
            </w:r>
            <w:r w:rsidR="0058557D" w:rsidRPr="0058557D">
              <w:rPr>
                <w:rFonts w:ascii="Arial" w:hAnsi="Arial" w:cs="Arial"/>
                <w:color w:val="000000"/>
              </w:rPr>
              <w:t>72</w:t>
            </w:r>
          </w:p>
        </w:tc>
        <w:tc>
          <w:tcPr>
            <w:tcW w:w="2373" w:type="dxa"/>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1E546D30" w14:textId="3041D532" w:rsidR="00C05302" w:rsidRPr="00360131" w:rsidRDefault="00CC15CC" w:rsidP="00360131">
            <w:pPr>
              <w:jc w:val="center"/>
              <w:rPr>
                <w:rFonts w:ascii="Arial" w:hAnsi="Arial" w:cs="Arial"/>
              </w:rPr>
            </w:pPr>
            <w:r w:rsidRPr="0058557D">
              <w:rPr>
                <w:rFonts w:ascii="Arial" w:hAnsi="Arial" w:cs="Arial"/>
                <w:color w:val="000000"/>
              </w:rPr>
              <w:t>78.</w:t>
            </w:r>
            <w:r w:rsidR="005851E8" w:rsidRPr="005851E8">
              <w:rPr>
                <w:rFonts w:ascii="Arial" w:hAnsi="Arial" w:cs="Arial"/>
                <w:color w:val="000000"/>
              </w:rPr>
              <w:t>88</w:t>
            </w:r>
          </w:p>
        </w:tc>
        <w:tc>
          <w:tcPr>
            <w:tcW w:w="2374" w:type="dxa"/>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27ED8E66" w14:textId="5EBD152E" w:rsidR="00C05302" w:rsidRPr="00360131" w:rsidRDefault="00C05302" w:rsidP="00360131">
            <w:pPr>
              <w:jc w:val="center"/>
              <w:rPr>
                <w:rFonts w:ascii="Arial" w:hAnsi="Arial" w:cs="Arial"/>
              </w:rPr>
            </w:pPr>
            <w:r w:rsidRPr="0058557D">
              <w:rPr>
                <w:rFonts w:ascii="Arial" w:hAnsi="Arial" w:cs="Arial"/>
                <w:color w:val="000000"/>
              </w:rPr>
              <w:t>-</w:t>
            </w:r>
            <w:r w:rsidR="00444330" w:rsidRPr="0058557D">
              <w:rPr>
                <w:rFonts w:ascii="Arial" w:hAnsi="Arial" w:cs="Arial"/>
                <w:color w:val="000000"/>
              </w:rPr>
              <w:t>5</w:t>
            </w:r>
            <w:r w:rsidR="0064369E" w:rsidRPr="0058557D">
              <w:rPr>
                <w:rFonts w:ascii="Arial" w:hAnsi="Arial" w:cs="Arial"/>
                <w:color w:val="000000"/>
              </w:rPr>
              <w:t>.</w:t>
            </w:r>
            <w:r w:rsidR="005851E8" w:rsidRPr="005851E8">
              <w:rPr>
                <w:rFonts w:ascii="Arial" w:hAnsi="Arial" w:cs="Arial"/>
                <w:color w:val="000000"/>
              </w:rPr>
              <w:t>79</w:t>
            </w:r>
            <w:r w:rsidRPr="0058557D">
              <w:rPr>
                <w:rFonts w:ascii="Arial" w:hAnsi="Arial" w:cs="Arial"/>
                <w:color w:val="000000"/>
              </w:rPr>
              <w:t>%</w:t>
            </w:r>
          </w:p>
        </w:tc>
      </w:tr>
      <w:tr w:rsidR="00F01B35" w:rsidRPr="00D42D76" w14:paraId="30B99614" w14:textId="77777777" w:rsidTr="00CE61CF">
        <w:trPr>
          <w:cnfStyle w:val="000000010000" w:firstRow="0" w:lastRow="0" w:firstColumn="0" w:lastColumn="0" w:oddVBand="0" w:evenVBand="0" w:oddHBand="0" w:evenHBand="1" w:firstRowFirstColumn="0" w:firstRowLastColumn="0" w:lastRowFirstColumn="0" w:lastRowLastColumn="0"/>
          <w:trHeight w:val="737"/>
        </w:trPr>
        <w:tc>
          <w:tcPr>
            <w:tcW w:w="2373" w:type="dxa"/>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4D5B2B8C" w14:textId="000A228C" w:rsidR="00C05302" w:rsidRPr="00360131" w:rsidRDefault="00C05302" w:rsidP="003E7263">
            <w:pPr>
              <w:rPr>
                <w:rFonts w:ascii="Arial" w:hAnsi="Arial" w:cs="Arial"/>
              </w:rPr>
            </w:pPr>
            <w:r w:rsidRPr="0058557D">
              <w:rPr>
                <w:rFonts w:ascii="Arial" w:hAnsi="Arial" w:cs="Arial"/>
                <w:color w:val="000000"/>
              </w:rPr>
              <w:t xml:space="preserve">Sewerage </w:t>
            </w:r>
            <w:r w:rsidR="00795F82" w:rsidRPr="0058557D">
              <w:rPr>
                <w:rFonts w:ascii="Arial" w:hAnsi="Arial" w:cs="Arial"/>
                <w:color w:val="000000"/>
              </w:rPr>
              <w:t>s</w:t>
            </w:r>
            <w:r w:rsidRPr="0058557D">
              <w:rPr>
                <w:rFonts w:ascii="Arial" w:hAnsi="Arial" w:cs="Arial"/>
                <w:color w:val="000000"/>
              </w:rPr>
              <w:t>ervice charge</w:t>
            </w:r>
            <w:r w:rsidR="00795F82" w:rsidRPr="0058557D">
              <w:rPr>
                <w:rFonts w:ascii="Arial" w:hAnsi="Arial" w:cs="Arial"/>
                <w:color w:val="000000"/>
              </w:rPr>
              <w:t xml:space="preserve"> </w:t>
            </w:r>
            <w:r w:rsidR="0058557D" w:rsidRPr="0058557D">
              <w:rPr>
                <w:rFonts w:ascii="Arial" w:hAnsi="Arial" w:cs="Arial"/>
                <w:color w:val="000000"/>
              </w:rPr>
              <w:t>-</w:t>
            </w:r>
            <w:r w:rsidR="00795F82" w:rsidRPr="0058557D">
              <w:rPr>
                <w:rFonts w:ascii="Arial" w:hAnsi="Arial" w:cs="Arial"/>
                <w:color w:val="000000"/>
              </w:rPr>
              <w:t xml:space="preserve"> </w:t>
            </w:r>
            <w:r w:rsidRPr="0058557D">
              <w:rPr>
                <w:rFonts w:ascii="Arial" w:hAnsi="Arial" w:cs="Arial"/>
                <w:color w:val="000000"/>
              </w:rPr>
              <w:t xml:space="preserve">Non-residential </w:t>
            </w:r>
            <w:r w:rsidR="00795F82" w:rsidRPr="0058557D">
              <w:rPr>
                <w:rFonts w:ascii="Arial" w:hAnsi="Arial" w:cs="Arial"/>
                <w:color w:val="000000"/>
              </w:rPr>
              <w:t>s</w:t>
            </w:r>
            <w:r w:rsidRPr="0058557D">
              <w:rPr>
                <w:rFonts w:ascii="Arial" w:hAnsi="Arial" w:cs="Arial"/>
                <w:color w:val="000000"/>
              </w:rPr>
              <w:t xml:space="preserve">ervice </w:t>
            </w:r>
            <w:r w:rsidR="00795F82" w:rsidRPr="0058557D">
              <w:rPr>
                <w:rFonts w:ascii="Arial" w:hAnsi="Arial" w:cs="Arial"/>
                <w:color w:val="000000"/>
              </w:rPr>
              <w:t>c</w:t>
            </w:r>
            <w:r w:rsidRPr="0058557D">
              <w:rPr>
                <w:rFonts w:ascii="Arial" w:hAnsi="Arial" w:cs="Arial"/>
                <w:color w:val="000000"/>
              </w:rPr>
              <w:t xml:space="preserve">harge </w:t>
            </w:r>
            <w:r w:rsidR="00795F82" w:rsidRPr="0058557D">
              <w:rPr>
                <w:rFonts w:ascii="Arial" w:hAnsi="Arial" w:cs="Arial"/>
                <w:color w:val="000000"/>
              </w:rPr>
              <w:t>f</w:t>
            </w:r>
            <w:r w:rsidRPr="0058557D">
              <w:rPr>
                <w:rFonts w:ascii="Arial" w:hAnsi="Arial" w:cs="Arial"/>
                <w:color w:val="000000"/>
              </w:rPr>
              <w:t>ixed</w:t>
            </w:r>
            <w:r w:rsidR="00880621" w:rsidRPr="0058557D">
              <w:rPr>
                <w:rFonts w:ascii="Arial" w:hAnsi="Arial" w:cs="Arial"/>
                <w:color w:val="000000"/>
              </w:rPr>
              <w:t xml:space="preserve"> ($/year)</w:t>
            </w:r>
          </w:p>
        </w:tc>
        <w:tc>
          <w:tcPr>
            <w:tcW w:w="2373" w:type="dxa"/>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3DA26DC8" w14:textId="09D0E3D9" w:rsidR="00C05302" w:rsidRPr="00360131" w:rsidRDefault="00C05302" w:rsidP="00360131">
            <w:pPr>
              <w:jc w:val="center"/>
              <w:rPr>
                <w:rFonts w:ascii="Arial" w:hAnsi="Arial" w:cs="Arial"/>
              </w:rPr>
            </w:pPr>
            <w:r w:rsidRPr="0058557D">
              <w:rPr>
                <w:rFonts w:ascii="Arial" w:hAnsi="Arial" w:cs="Arial"/>
                <w:color w:val="000000"/>
              </w:rPr>
              <w:t>436.</w:t>
            </w:r>
            <w:r w:rsidR="0058557D" w:rsidRPr="0058557D">
              <w:rPr>
                <w:rFonts w:ascii="Arial" w:hAnsi="Arial" w:cs="Arial"/>
                <w:color w:val="000000"/>
              </w:rPr>
              <w:t>72</w:t>
            </w:r>
          </w:p>
        </w:tc>
        <w:tc>
          <w:tcPr>
            <w:tcW w:w="2373" w:type="dxa"/>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1B5A55EB" w14:textId="7CD37FD2" w:rsidR="00C05302" w:rsidRPr="00360131" w:rsidRDefault="00C05302" w:rsidP="00360131">
            <w:pPr>
              <w:jc w:val="center"/>
              <w:rPr>
                <w:rFonts w:ascii="Arial" w:hAnsi="Arial" w:cs="Arial"/>
              </w:rPr>
            </w:pPr>
            <w:r w:rsidRPr="0058557D">
              <w:rPr>
                <w:rFonts w:ascii="Arial" w:hAnsi="Arial" w:cs="Arial"/>
                <w:color w:val="000000"/>
              </w:rPr>
              <w:t>4</w:t>
            </w:r>
            <w:r w:rsidR="001B28BC" w:rsidRPr="0058557D">
              <w:rPr>
                <w:rFonts w:ascii="Arial" w:hAnsi="Arial" w:cs="Arial"/>
                <w:color w:val="000000"/>
              </w:rPr>
              <w:t>11</w:t>
            </w:r>
            <w:r w:rsidRPr="0058557D">
              <w:rPr>
                <w:rFonts w:ascii="Arial" w:hAnsi="Arial" w:cs="Arial"/>
                <w:color w:val="000000"/>
              </w:rPr>
              <w:t>.</w:t>
            </w:r>
            <w:r w:rsidR="005851E8" w:rsidRPr="005851E8">
              <w:rPr>
                <w:rFonts w:ascii="Arial" w:hAnsi="Arial" w:cs="Arial"/>
                <w:color w:val="000000"/>
              </w:rPr>
              <w:t>45</w:t>
            </w:r>
          </w:p>
        </w:tc>
        <w:tc>
          <w:tcPr>
            <w:tcW w:w="2374" w:type="dxa"/>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739EDE0D" w14:textId="7C871B7B" w:rsidR="00C05302" w:rsidRPr="00360131" w:rsidRDefault="00C05302" w:rsidP="00360131">
            <w:pPr>
              <w:jc w:val="center"/>
              <w:rPr>
                <w:rFonts w:ascii="Arial" w:hAnsi="Arial" w:cs="Arial"/>
              </w:rPr>
            </w:pPr>
            <w:r w:rsidRPr="0058557D">
              <w:rPr>
                <w:rFonts w:ascii="Arial" w:hAnsi="Arial" w:cs="Arial"/>
                <w:color w:val="000000"/>
              </w:rPr>
              <w:t>-</w:t>
            </w:r>
            <w:r w:rsidR="00444330" w:rsidRPr="0058557D">
              <w:rPr>
                <w:rFonts w:ascii="Arial" w:hAnsi="Arial" w:cs="Arial"/>
                <w:color w:val="000000"/>
              </w:rPr>
              <w:t>5</w:t>
            </w:r>
            <w:r w:rsidR="0064369E" w:rsidRPr="0058557D">
              <w:rPr>
                <w:rFonts w:ascii="Arial" w:hAnsi="Arial" w:cs="Arial"/>
                <w:color w:val="000000"/>
              </w:rPr>
              <w:t>.</w:t>
            </w:r>
            <w:r w:rsidR="005851E8" w:rsidRPr="005851E8">
              <w:rPr>
                <w:rFonts w:ascii="Arial" w:hAnsi="Arial" w:cs="Arial"/>
                <w:color w:val="000000"/>
              </w:rPr>
              <w:t>79</w:t>
            </w:r>
            <w:r w:rsidRPr="0058557D">
              <w:rPr>
                <w:rFonts w:ascii="Arial" w:hAnsi="Arial" w:cs="Arial"/>
                <w:color w:val="000000"/>
              </w:rPr>
              <w:t>%</w:t>
            </w:r>
          </w:p>
        </w:tc>
      </w:tr>
      <w:tr w:rsidR="00F01B35" w:rsidRPr="00D42D76" w14:paraId="2B085D36" w14:textId="77777777" w:rsidTr="00CE61CF">
        <w:trPr>
          <w:cnfStyle w:val="000000100000" w:firstRow="0" w:lastRow="0" w:firstColumn="0" w:lastColumn="0" w:oddVBand="0" w:evenVBand="0" w:oddHBand="1" w:evenHBand="0" w:firstRowFirstColumn="0" w:firstRowLastColumn="0" w:lastRowFirstColumn="0" w:lastRowLastColumn="0"/>
          <w:trHeight w:val="705"/>
        </w:trPr>
        <w:tc>
          <w:tcPr>
            <w:tcW w:w="2373" w:type="dxa"/>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5ABF52C2" w14:textId="67CA431E" w:rsidR="00C05302" w:rsidRPr="00360131" w:rsidRDefault="00C05302" w:rsidP="003E7263">
            <w:pPr>
              <w:rPr>
                <w:rFonts w:ascii="Arial" w:hAnsi="Arial" w:cs="Arial"/>
              </w:rPr>
            </w:pPr>
            <w:r w:rsidRPr="0058557D">
              <w:rPr>
                <w:rFonts w:ascii="Arial" w:hAnsi="Arial" w:cs="Arial"/>
                <w:color w:val="000000"/>
              </w:rPr>
              <w:lastRenderedPageBreak/>
              <w:t xml:space="preserve">Water </w:t>
            </w:r>
            <w:r w:rsidR="00795F82" w:rsidRPr="0058557D">
              <w:rPr>
                <w:rFonts w:ascii="Arial" w:hAnsi="Arial" w:cs="Arial"/>
                <w:color w:val="000000"/>
              </w:rPr>
              <w:t>u</w:t>
            </w:r>
            <w:r w:rsidRPr="0058557D">
              <w:rPr>
                <w:rFonts w:ascii="Arial" w:hAnsi="Arial" w:cs="Arial"/>
                <w:color w:val="000000"/>
              </w:rPr>
              <w:t xml:space="preserve">sage charge </w:t>
            </w:r>
            <w:r w:rsidR="0058557D" w:rsidRPr="0058557D">
              <w:rPr>
                <w:rFonts w:ascii="Arial" w:hAnsi="Arial" w:cs="Arial"/>
                <w:color w:val="000000"/>
              </w:rPr>
              <w:t>-</w:t>
            </w:r>
            <w:r w:rsidR="00795F82" w:rsidRPr="0058557D">
              <w:rPr>
                <w:rFonts w:ascii="Arial" w:hAnsi="Arial" w:cs="Arial"/>
                <w:color w:val="000000"/>
              </w:rPr>
              <w:t xml:space="preserve"> </w:t>
            </w:r>
            <w:r w:rsidRPr="0058557D">
              <w:rPr>
                <w:rFonts w:ascii="Arial" w:hAnsi="Arial" w:cs="Arial"/>
                <w:color w:val="000000"/>
              </w:rPr>
              <w:t xml:space="preserve">Non-residential </w:t>
            </w:r>
            <w:r w:rsidR="00795F82" w:rsidRPr="0058557D">
              <w:rPr>
                <w:rFonts w:ascii="Arial" w:hAnsi="Arial" w:cs="Arial"/>
                <w:color w:val="000000"/>
              </w:rPr>
              <w:t>v</w:t>
            </w:r>
            <w:r w:rsidRPr="0058557D">
              <w:rPr>
                <w:rFonts w:ascii="Arial" w:hAnsi="Arial" w:cs="Arial"/>
                <w:color w:val="000000"/>
              </w:rPr>
              <w:t>ariable</w:t>
            </w:r>
            <w:r w:rsidR="00880621" w:rsidRPr="0058557D">
              <w:rPr>
                <w:rFonts w:ascii="Arial" w:hAnsi="Arial" w:cs="Arial"/>
                <w:color w:val="000000"/>
              </w:rPr>
              <w:t xml:space="preserve"> ($/kL)</w:t>
            </w:r>
          </w:p>
        </w:tc>
        <w:tc>
          <w:tcPr>
            <w:tcW w:w="2373" w:type="dxa"/>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78D6BFFA" w14:textId="46BDC425" w:rsidR="00C05302" w:rsidRPr="00360131" w:rsidRDefault="00C05302" w:rsidP="00360131">
            <w:pPr>
              <w:jc w:val="center"/>
              <w:rPr>
                <w:rFonts w:ascii="Arial" w:hAnsi="Arial" w:cs="Arial"/>
              </w:rPr>
            </w:pPr>
            <w:r w:rsidRPr="0058557D">
              <w:rPr>
                <w:rFonts w:ascii="Arial" w:hAnsi="Arial" w:cs="Arial"/>
                <w:color w:val="000000"/>
              </w:rPr>
              <w:t>3.4660</w:t>
            </w:r>
          </w:p>
        </w:tc>
        <w:tc>
          <w:tcPr>
            <w:tcW w:w="2373" w:type="dxa"/>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618FE26A" w14:textId="0C465308" w:rsidR="00C05302" w:rsidRPr="00360131" w:rsidRDefault="00C05302" w:rsidP="00360131">
            <w:pPr>
              <w:jc w:val="center"/>
              <w:rPr>
                <w:rFonts w:ascii="Arial" w:hAnsi="Arial" w:cs="Arial"/>
              </w:rPr>
            </w:pPr>
            <w:r w:rsidRPr="0058557D">
              <w:rPr>
                <w:rFonts w:ascii="Arial" w:hAnsi="Arial" w:cs="Arial"/>
                <w:color w:val="000000"/>
              </w:rPr>
              <w:t>3.</w:t>
            </w:r>
            <w:r w:rsidR="005851E8" w:rsidRPr="005851E8">
              <w:rPr>
                <w:rFonts w:ascii="Arial" w:hAnsi="Arial" w:cs="Arial"/>
                <w:color w:val="000000"/>
              </w:rPr>
              <w:t>2654</w:t>
            </w:r>
          </w:p>
        </w:tc>
        <w:tc>
          <w:tcPr>
            <w:tcW w:w="2374" w:type="dxa"/>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67EDDB71" w14:textId="79BC066D" w:rsidR="00C05302" w:rsidRPr="00360131" w:rsidRDefault="00C05302" w:rsidP="00360131">
            <w:pPr>
              <w:jc w:val="center"/>
              <w:rPr>
                <w:rFonts w:ascii="Arial" w:hAnsi="Arial" w:cs="Arial"/>
              </w:rPr>
            </w:pPr>
            <w:r w:rsidRPr="0058557D">
              <w:rPr>
                <w:rFonts w:ascii="Arial" w:hAnsi="Arial" w:cs="Arial"/>
                <w:color w:val="000000"/>
              </w:rPr>
              <w:t>-</w:t>
            </w:r>
            <w:r w:rsidR="00444330" w:rsidRPr="0058557D">
              <w:rPr>
                <w:rFonts w:ascii="Arial" w:hAnsi="Arial" w:cs="Arial"/>
                <w:color w:val="000000"/>
              </w:rPr>
              <w:t>5</w:t>
            </w:r>
            <w:r w:rsidR="0064369E" w:rsidRPr="0058557D">
              <w:rPr>
                <w:rFonts w:ascii="Arial" w:hAnsi="Arial" w:cs="Arial"/>
                <w:color w:val="000000"/>
              </w:rPr>
              <w:t>.</w:t>
            </w:r>
            <w:r w:rsidR="005851E8" w:rsidRPr="005851E8">
              <w:rPr>
                <w:rFonts w:ascii="Arial" w:hAnsi="Arial" w:cs="Arial"/>
                <w:color w:val="000000"/>
              </w:rPr>
              <w:t>79</w:t>
            </w:r>
            <w:r w:rsidRPr="0058557D">
              <w:rPr>
                <w:rFonts w:ascii="Arial" w:hAnsi="Arial" w:cs="Arial"/>
                <w:color w:val="000000"/>
              </w:rPr>
              <w:t>%</w:t>
            </w:r>
          </w:p>
        </w:tc>
      </w:tr>
      <w:tr w:rsidR="00F01B35" w:rsidRPr="00D42D76" w14:paraId="09F55172" w14:textId="77777777" w:rsidTr="00CE61CF">
        <w:trPr>
          <w:cnfStyle w:val="000000010000" w:firstRow="0" w:lastRow="0" w:firstColumn="0" w:lastColumn="0" w:oddVBand="0" w:evenVBand="0" w:oddHBand="0" w:evenHBand="1" w:firstRowFirstColumn="0" w:firstRowLastColumn="0" w:lastRowFirstColumn="0" w:lastRowLastColumn="0"/>
          <w:trHeight w:val="701"/>
        </w:trPr>
        <w:tc>
          <w:tcPr>
            <w:tcW w:w="2373" w:type="dxa"/>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7AECAE51" w14:textId="3AEB7074" w:rsidR="00C05302" w:rsidRPr="00360131" w:rsidRDefault="00C05302" w:rsidP="003E7263">
            <w:pPr>
              <w:rPr>
                <w:rFonts w:ascii="Arial" w:hAnsi="Arial" w:cs="Arial"/>
              </w:rPr>
            </w:pPr>
            <w:r w:rsidRPr="0058557D">
              <w:rPr>
                <w:rFonts w:ascii="Arial" w:hAnsi="Arial" w:cs="Arial"/>
                <w:color w:val="000000"/>
              </w:rPr>
              <w:t xml:space="preserve">Sewerage </w:t>
            </w:r>
            <w:r w:rsidR="0058557D" w:rsidRPr="0058557D">
              <w:rPr>
                <w:rFonts w:ascii="Arial" w:hAnsi="Arial" w:cs="Arial"/>
                <w:color w:val="000000"/>
              </w:rPr>
              <w:t>Disposal</w:t>
            </w:r>
            <w:r w:rsidRPr="0058557D">
              <w:rPr>
                <w:rFonts w:ascii="Arial" w:hAnsi="Arial" w:cs="Arial"/>
                <w:color w:val="000000"/>
              </w:rPr>
              <w:t xml:space="preserve"> charge</w:t>
            </w:r>
            <w:r w:rsidR="00CB77AE" w:rsidRPr="0058557D">
              <w:rPr>
                <w:rFonts w:ascii="Arial" w:hAnsi="Arial" w:cs="Arial"/>
                <w:color w:val="000000"/>
              </w:rPr>
              <w:t xml:space="preserve"> </w:t>
            </w:r>
            <w:r w:rsidR="0058557D" w:rsidRPr="0058557D">
              <w:rPr>
                <w:rFonts w:ascii="Arial" w:hAnsi="Arial" w:cs="Arial"/>
                <w:color w:val="000000"/>
              </w:rPr>
              <w:t>-</w:t>
            </w:r>
            <w:r w:rsidR="00CB77AE" w:rsidRPr="0058557D">
              <w:rPr>
                <w:rFonts w:ascii="Arial" w:hAnsi="Arial" w:cs="Arial"/>
                <w:color w:val="000000"/>
              </w:rPr>
              <w:t xml:space="preserve"> </w:t>
            </w:r>
            <w:r w:rsidRPr="0058557D">
              <w:rPr>
                <w:rFonts w:ascii="Arial" w:hAnsi="Arial" w:cs="Arial"/>
                <w:color w:val="000000"/>
              </w:rPr>
              <w:t xml:space="preserve">Non-residential SDC </w:t>
            </w:r>
            <w:r w:rsidR="00CB77AE" w:rsidRPr="0058557D">
              <w:rPr>
                <w:rFonts w:ascii="Arial" w:hAnsi="Arial" w:cs="Arial"/>
                <w:color w:val="000000"/>
              </w:rPr>
              <w:t>v</w:t>
            </w:r>
            <w:r w:rsidRPr="0058557D">
              <w:rPr>
                <w:rFonts w:ascii="Arial" w:hAnsi="Arial" w:cs="Arial"/>
                <w:color w:val="000000"/>
              </w:rPr>
              <w:t>ariable</w:t>
            </w:r>
            <w:r w:rsidR="00880621" w:rsidRPr="0058557D">
              <w:rPr>
                <w:rFonts w:ascii="Arial" w:hAnsi="Arial" w:cs="Arial"/>
                <w:color w:val="000000"/>
              </w:rPr>
              <w:t xml:space="preserve"> ($/kL</w:t>
            </w:r>
            <w:r w:rsidR="00CB77AE" w:rsidRPr="0058557D">
              <w:rPr>
                <w:rFonts w:ascii="Arial" w:hAnsi="Arial" w:cs="Arial"/>
                <w:color w:val="000000"/>
              </w:rPr>
              <w:t>)</w:t>
            </w:r>
          </w:p>
        </w:tc>
        <w:tc>
          <w:tcPr>
            <w:tcW w:w="2373" w:type="dxa"/>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64E84120" w14:textId="2EFEA712" w:rsidR="00C05302" w:rsidRPr="00360131" w:rsidRDefault="00C05302" w:rsidP="00360131">
            <w:pPr>
              <w:jc w:val="center"/>
              <w:rPr>
                <w:rFonts w:ascii="Arial" w:hAnsi="Arial" w:cs="Arial"/>
              </w:rPr>
            </w:pPr>
            <w:r w:rsidRPr="0058557D">
              <w:rPr>
                <w:rFonts w:ascii="Arial" w:hAnsi="Arial" w:cs="Arial"/>
                <w:color w:val="000000"/>
              </w:rPr>
              <w:t>1.7860</w:t>
            </w:r>
          </w:p>
        </w:tc>
        <w:tc>
          <w:tcPr>
            <w:tcW w:w="2373" w:type="dxa"/>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3D175173" w14:textId="3B69DC94" w:rsidR="00C05302" w:rsidRPr="00360131" w:rsidRDefault="00C05302" w:rsidP="00360131">
            <w:pPr>
              <w:jc w:val="center"/>
              <w:rPr>
                <w:rFonts w:ascii="Arial" w:hAnsi="Arial" w:cs="Arial"/>
              </w:rPr>
            </w:pPr>
            <w:r w:rsidRPr="0058557D">
              <w:rPr>
                <w:rFonts w:ascii="Arial" w:hAnsi="Arial" w:cs="Arial"/>
                <w:color w:val="000000"/>
              </w:rPr>
              <w:t>1.</w:t>
            </w:r>
            <w:r w:rsidR="005851E8" w:rsidRPr="005851E8">
              <w:rPr>
                <w:rFonts w:ascii="Arial" w:hAnsi="Arial" w:cs="Arial"/>
                <w:color w:val="000000"/>
              </w:rPr>
              <w:t>6827</w:t>
            </w:r>
          </w:p>
        </w:tc>
        <w:tc>
          <w:tcPr>
            <w:tcW w:w="2374" w:type="dxa"/>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429C870A" w14:textId="1C124BBE" w:rsidR="00C05302" w:rsidRPr="00360131" w:rsidRDefault="00C05302" w:rsidP="00360131">
            <w:pPr>
              <w:jc w:val="center"/>
              <w:rPr>
                <w:rFonts w:ascii="Arial" w:hAnsi="Arial" w:cs="Arial"/>
              </w:rPr>
            </w:pPr>
            <w:r w:rsidRPr="0058557D">
              <w:rPr>
                <w:rFonts w:ascii="Arial" w:hAnsi="Arial" w:cs="Arial"/>
                <w:color w:val="000000"/>
              </w:rPr>
              <w:t>-</w:t>
            </w:r>
            <w:r w:rsidR="00444330" w:rsidRPr="0058557D">
              <w:rPr>
                <w:rFonts w:ascii="Arial" w:hAnsi="Arial" w:cs="Arial"/>
                <w:color w:val="000000"/>
              </w:rPr>
              <w:t>5</w:t>
            </w:r>
            <w:r w:rsidR="0064369E" w:rsidRPr="0058557D">
              <w:rPr>
                <w:rFonts w:ascii="Arial" w:hAnsi="Arial" w:cs="Arial"/>
                <w:color w:val="000000"/>
              </w:rPr>
              <w:t>.</w:t>
            </w:r>
            <w:r w:rsidR="005851E8" w:rsidRPr="005851E8">
              <w:rPr>
                <w:rFonts w:ascii="Arial" w:hAnsi="Arial" w:cs="Arial"/>
                <w:color w:val="000000"/>
              </w:rPr>
              <w:t>79</w:t>
            </w:r>
            <w:r w:rsidRPr="0058557D">
              <w:rPr>
                <w:rFonts w:ascii="Arial" w:hAnsi="Arial" w:cs="Arial"/>
                <w:color w:val="000000"/>
              </w:rPr>
              <w:t>%</w:t>
            </w:r>
          </w:p>
        </w:tc>
      </w:tr>
      <w:tr w:rsidR="00F01B35" w:rsidRPr="00D42D76" w14:paraId="61C0F184" w14:textId="77777777" w:rsidTr="00CE61CF">
        <w:trPr>
          <w:cnfStyle w:val="000000100000" w:firstRow="0" w:lastRow="0" w:firstColumn="0" w:lastColumn="0" w:oddVBand="0" w:evenVBand="0" w:oddHBand="1" w:evenHBand="0" w:firstRowFirstColumn="0" w:firstRowLastColumn="0" w:lastRowFirstColumn="0" w:lastRowLastColumn="0"/>
          <w:trHeight w:val="556"/>
        </w:trPr>
        <w:tc>
          <w:tcPr>
            <w:tcW w:w="2373" w:type="dxa"/>
            <w:tcBorders>
              <w:top w:val="single" w:sz="2" w:space="0" w:color="002279"/>
              <w:left w:val="single" w:sz="4" w:space="0" w:color="002279"/>
              <w:bottom w:val="single" w:sz="2" w:space="0" w:color="002279"/>
              <w:right w:val="single" w:sz="4" w:space="0" w:color="002279"/>
            </w:tcBorders>
            <w:shd w:val="clear" w:color="auto" w:fill="D4D6DF"/>
            <w:noWrap/>
            <w:vAlign w:val="center"/>
          </w:tcPr>
          <w:p w14:paraId="1D728C31" w14:textId="58CCA643" w:rsidR="00EB42D0" w:rsidRPr="00360131" w:rsidRDefault="000A17BD" w:rsidP="003E7263">
            <w:pPr>
              <w:rPr>
                <w:rFonts w:ascii="Arial" w:hAnsi="Arial" w:cs="Arial"/>
              </w:rPr>
            </w:pPr>
            <w:r w:rsidRPr="0058557D">
              <w:rPr>
                <w:rFonts w:ascii="Arial" w:hAnsi="Arial" w:cs="Arial"/>
                <w:color w:val="000000"/>
              </w:rPr>
              <w:t>Fire service charge</w:t>
            </w:r>
            <w:r w:rsidR="00880621" w:rsidRPr="0058557D">
              <w:rPr>
                <w:rFonts w:ascii="Arial" w:hAnsi="Arial" w:cs="Arial"/>
                <w:color w:val="000000"/>
              </w:rPr>
              <w:t xml:space="preserve"> ($/year)</w:t>
            </w:r>
          </w:p>
        </w:tc>
        <w:tc>
          <w:tcPr>
            <w:tcW w:w="2373" w:type="dxa"/>
            <w:tcBorders>
              <w:top w:val="single" w:sz="2" w:space="0" w:color="002279"/>
              <w:left w:val="single" w:sz="4" w:space="0" w:color="002279"/>
              <w:bottom w:val="single" w:sz="2" w:space="0" w:color="002279"/>
              <w:right w:val="single" w:sz="4" w:space="0" w:color="002279"/>
            </w:tcBorders>
            <w:shd w:val="clear" w:color="auto" w:fill="D4D6DF"/>
            <w:noWrap/>
            <w:vAlign w:val="center"/>
          </w:tcPr>
          <w:p w14:paraId="4E78EACC" w14:textId="1630A0FC" w:rsidR="00EB42D0" w:rsidRPr="00360131" w:rsidRDefault="000A17BD" w:rsidP="00360131">
            <w:pPr>
              <w:jc w:val="center"/>
              <w:rPr>
                <w:rFonts w:ascii="Arial" w:hAnsi="Arial" w:cs="Arial"/>
              </w:rPr>
            </w:pPr>
            <w:r w:rsidRPr="0058557D">
              <w:rPr>
                <w:rFonts w:ascii="Arial" w:hAnsi="Arial" w:cs="Arial"/>
                <w:color w:val="000000"/>
              </w:rPr>
              <w:t>128.32</w:t>
            </w:r>
          </w:p>
        </w:tc>
        <w:tc>
          <w:tcPr>
            <w:tcW w:w="2373" w:type="dxa"/>
            <w:tcBorders>
              <w:top w:val="single" w:sz="2" w:space="0" w:color="002279"/>
              <w:left w:val="single" w:sz="4" w:space="0" w:color="002279"/>
              <w:bottom w:val="single" w:sz="2" w:space="0" w:color="002279"/>
              <w:right w:val="single" w:sz="4" w:space="0" w:color="002279"/>
            </w:tcBorders>
            <w:shd w:val="clear" w:color="auto" w:fill="D4D6DF"/>
            <w:noWrap/>
            <w:vAlign w:val="center"/>
          </w:tcPr>
          <w:p w14:paraId="0FD47A64" w14:textId="2F2EF243" w:rsidR="00EB42D0" w:rsidRPr="00360131" w:rsidRDefault="0058557D" w:rsidP="00360131">
            <w:pPr>
              <w:jc w:val="center"/>
              <w:rPr>
                <w:rFonts w:ascii="Arial" w:hAnsi="Arial" w:cs="Arial"/>
              </w:rPr>
            </w:pPr>
            <w:r w:rsidRPr="0058557D">
              <w:rPr>
                <w:rFonts w:ascii="Arial" w:hAnsi="Arial" w:cs="Arial"/>
                <w:color w:val="000000"/>
              </w:rPr>
              <w:t>120.</w:t>
            </w:r>
            <w:r w:rsidR="005851E8" w:rsidRPr="005851E8">
              <w:rPr>
                <w:rFonts w:ascii="Arial" w:hAnsi="Arial" w:cs="Arial"/>
                <w:color w:val="000000"/>
              </w:rPr>
              <w:t>89</w:t>
            </w:r>
          </w:p>
        </w:tc>
        <w:tc>
          <w:tcPr>
            <w:tcW w:w="2374" w:type="dxa"/>
            <w:tcBorders>
              <w:top w:val="single" w:sz="2" w:space="0" w:color="002279"/>
              <w:left w:val="single" w:sz="4" w:space="0" w:color="002279"/>
              <w:bottom w:val="single" w:sz="2" w:space="0" w:color="002279"/>
              <w:right w:val="single" w:sz="4" w:space="0" w:color="002279"/>
            </w:tcBorders>
            <w:shd w:val="clear" w:color="auto" w:fill="D4D6DF"/>
            <w:noWrap/>
            <w:vAlign w:val="center"/>
          </w:tcPr>
          <w:p w14:paraId="6567FF7B" w14:textId="1A49D1D1" w:rsidR="00EB42D0" w:rsidRPr="00360131" w:rsidRDefault="00444330" w:rsidP="00360131">
            <w:pPr>
              <w:jc w:val="center"/>
              <w:rPr>
                <w:rFonts w:ascii="Arial" w:hAnsi="Arial" w:cs="Arial"/>
              </w:rPr>
            </w:pPr>
            <w:r w:rsidRPr="0058557D">
              <w:rPr>
                <w:rFonts w:ascii="Arial" w:hAnsi="Arial" w:cs="Arial"/>
                <w:color w:val="000000"/>
              </w:rPr>
              <w:t>-5</w:t>
            </w:r>
            <w:r w:rsidR="0064369E" w:rsidRPr="0058557D">
              <w:rPr>
                <w:rFonts w:ascii="Arial" w:hAnsi="Arial" w:cs="Arial"/>
                <w:color w:val="000000"/>
              </w:rPr>
              <w:t>.</w:t>
            </w:r>
            <w:r w:rsidR="005851E8" w:rsidRPr="005851E8">
              <w:rPr>
                <w:rFonts w:ascii="Arial" w:hAnsi="Arial" w:cs="Arial"/>
                <w:color w:val="000000"/>
              </w:rPr>
              <w:t>79</w:t>
            </w:r>
            <w:r w:rsidR="000A17BD" w:rsidRPr="0058557D">
              <w:rPr>
                <w:rFonts w:ascii="Arial" w:hAnsi="Arial" w:cs="Arial"/>
                <w:color w:val="000000"/>
              </w:rPr>
              <w:t>%</w:t>
            </w:r>
          </w:p>
        </w:tc>
      </w:tr>
      <w:tr w:rsidR="00F01B35" w:rsidRPr="00D42D76" w14:paraId="75E4F110" w14:textId="77777777" w:rsidTr="00CE61CF">
        <w:trPr>
          <w:cnfStyle w:val="000000010000" w:firstRow="0" w:lastRow="0" w:firstColumn="0" w:lastColumn="0" w:oddVBand="0" w:evenVBand="0" w:oddHBand="0" w:evenHBand="1" w:firstRowFirstColumn="0" w:firstRowLastColumn="0" w:lastRowFirstColumn="0" w:lastRowLastColumn="0"/>
          <w:trHeight w:val="705"/>
        </w:trPr>
        <w:tc>
          <w:tcPr>
            <w:tcW w:w="2373" w:type="dxa"/>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tcPr>
          <w:p w14:paraId="5692075B" w14:textId="48978B57" w:rsidR="00EB42D0" w:rsidRPr="00360131" w:rsidRDefault="003823A3" w:rsidP="003E7263">
            <w:pPr>
              <w:rPr>
                <w:rFonts w:ascii="Arial" w:hAnsi="Arial" w:cs="Arial"/>
              </w:rPr>
            </w:pPr>
            <w:r w:rsidRPr="0058557D">
              <w:rPr>
                <w:rFonts w:ascii="Arial" w:hAnsi="Arial" w:cs="Arial"/>
                <w:color w:val="000000"/>
              </w:rPr>
              <w:t xml:space="preserve">Bunyip </w:t>
            </w:r>
            <w:r w:rsidR="0058557D" w:rsidRPr="0058557D">
              <w:rPr>
                <w:rFonts w:ascii="Arial" w:hAnsi="Arial" w:cs="Arial"/>
                <w:color w:val="000000"/>
              </w:rPr>
              <w:t>main race</w:t>
            </w:r>
            <w:r w:rsidR="00880621" w:rsidRPr="0058557D">
              <w:rPr>
                <w:rFonts w:ascii="Arial" w:hAnsi="Arial" w:cs="Arial"/>
                <w:color w:val="000000"/>
              </w:rPr>
              <w:t xml:space="preserve"> </w:t>
            </w:r>
            <w:r w:rsidR="009F4140" w:rsidRPr="0058557D">
              <w:rPr>
                <w:rFonts w:ascii="Arial" w:hAnsi="Arial" w:cs="Arial"/>
                <w:color w:val="000000"/>
              </w:rPr>
              <w:t xml:space="preserve">– Non-residential customer </w:t>
            </w:r>
            <w:r w:rsidR="00880621" w:rsidRPr="0058557D">
              <w:rPr>
                <w:rFonts w:ascii="Arial" w:hAnsi="Arial" w:cs="Arial"/>
                <w:color w:val="000000"/>
              </w:rPr>
              <w:t>($/year)</w:t>
            </w:r>
          </w:p>
        </w:tc>
        <w:tc>
          <w:tcPr>
            <w:tcW w:w="2373" w:type="dxa"/>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tcPr>
          <w:p w14:paraId="3B310726" w14:textId="17FA09FC" w:rsidR="00EB42D0" w:rsidRPr="00360131" w:rsidRDefault="00A418A0" w:rsidP="00360131">
            <w:pPr>
              <w:jc w:val="center"/>
              <w:rPr>
                <w:rFonts w:ascii="Arial" w:hAnsi="Arial" w:cs="Arial"/>
              </w:rPr>
            </w:pPr>
            <w:r w:rsidRPr="0058557D">
              <w:rPr>
                <w:rFonts w:ascii="Arial" w:hAnsi="Arial" w:cs="Arial"/>
                <w:color w:val="000000"/>
              </w:rPr>
              <w:t>120.64</w:t>
            </w:r>
          </w:p>
        </w:tc>
        <w:tc>
          <w:tcPr>
            <w:tcW w:w="2373" w:type="dxa"/>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tcPr>
          <w:p w14:paraId="62EC1585" w14:textId="1FD1A386" w:rsidR="00EB42D0" w:rsidRPr="00360131" w:rsidRDefault="00A418A0" w:rsidP="00360131">
            <w:pPr>
              <w:jc w:val="center"/>
              <w:rPr>
                <w:rFonts w:ascii="Arial" w:hAnsi="Arial" w:cs="Arial"/>
              </w:rPr>
            </w:pPr>
            <w:r w:rsidRPr="0058557D">
              <w:rPr>
                <w:rFonts w:ascii="Arial" w:hAnsi="Arial" w:cs="Arial"/>
                <w:color w:val="000000"/>
              </w:rPr>
              <w:t>1</w:t>
            </w:r>
            <w:r w:rsidR="00091DB1" w:rsidRPr="0058557D">
              <w:rPr>
                <w:rFonts w:ascii="Arial" w:hAnsi="Arial" w:cs="Arial"/>
                <w:color w:val="000000"/>
              </w:rPr>
              <w:t>1</w:t>
            </w:r>
            <w:r w:rsidR="00C853AB" w:rsidRPr="0058557D">
              <w:rPr>
                <w:rFonts w:ascii="Arial" w:hAnsi="Arial" w:cs="Arial"/>
                <w:color w:val="000000"/>
              </w:rPr>
              <w:t>3</w:t>
            </w:r>
            <w:r w:rsidRPr="0058557D">
              <w:rPr>
                <w:rFonts w:ascii="Arial" w:hAnsi="Arial" w:cs="Arial"/>
                <w:color w:val="000000"/>
              </w:rPr>
              <w:t>.</w:t>
            </w:r>
            <w:r w:rsidR="005851E8" w:rsidRPr="005851E8">
              <w:rPr>
                <w:rFonts w:ascii="Arial" w:hAnsi="Arial" w:cs="Arial"/>
                <w:color w:val="000000"/>
              </w:rPr>
              <w:t>66</w:t>
            </w:r>
          </w:p>
        </w:tc>
        <w:tc>
          <w:tcPr>
            <w:tcW w:w="2374" w:type="dxa"/>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tcPr>
          <w:p w14:paraId="16026B8E" w14:textId="325EEA69" w:rsidR="00EB42D0" w:rsidRPr="00360131" w:rsidRDefault="00444330" w:rsidP="00360131">
            <w:pPr>
              <w:jc w:val="center"/>
              <w:rPr>
                <w:rFonts w:ascii="Arial" w:hAnsi="Arial" w:cs="Arial"/>
              </w:rPr>
            </w:pPr>
            <w:r w:rsidRPr="0058557D">
              <w:rPr>
                <w:rFonts w:ascii="Arial" w:hAnsi="Arial" w:cs="Arial"/>
                <w:color w:val="000000"/>
              </w:rPr>
              <w:t>-5</w:t>
            </w:r>
            <w:r w:rsidR="0064369E" w:rsidRPr="0058557D">
              <w:rPr>
                <w:rFonts w:ascii="Arial" w:hAnsi="Arial" w:cs="Arial"/>
                <w:color w:val="000000"/>
              </w:rPr>
              <w:t>.</w:t>
            </w:r>
            <w:r w:rsidR="005851E8" w:rsidRPr="005851E8">
              <w:rPr>
                <w:rFonts w:ascii="Arial" w:hAnsi="Arial" w:cs="Arial"/>
                <w:color w:val="000000"/>
              </w:rPr>
              <w:t>79</w:t>
            </w:r>
            <w:r w:rsidR="00A418A0" w:rsidRPr="0058557D">
              <w:rPr>
                <w:rFonts w:ascii="Arial" w:hAnsi="Arial" w:cs="Arial"/>
                <w:color w:val="000000"/>
              </w:rPr>
              <w:t>%</w:t>
            </w:r>
          </w:p>
        </w:tc>
      </w:tr>
      <w:tr w:rsidR="0031510C" w:rsidRPr="00D42D76" w14:paraId="5A225A3C" w14:textId="77777777" w:rsidTr="0031510C">
        <w:trPr>
          <w:cnfStyle w:val="000000100000" w:firstRow="0" w:lastRow="0" w:firstColumn="0" w:lastColumn="0" w:oddVBand="0" w:evenVBand="0" w:oddHBand="1" w:evenHBand="0" w:firstRowFirstColumn="0" w:firstRowLastColumn="0" w:lastRowFirstColumn="0" w:lastRowLastColumn="0"/>
          <w:trHeight w:val="556"/>
        </w:trPr>
        <w:tc>
          <w:tcPr>
            <w:tcW w:w="2373" w:type="dxa"/>
            <w:tcBorders>
              <w:top w:val="single" w:sz="2" w:space="0" w:color="002279"/>
              <w:left w:val="single" w:sz="4" w:space="0" w:color="002279"/>
              <w:bottom w:val="single" w:sz="2" w:space="0" w:color="002279"/>
              <w:right w:val="single" w:sz="4" w:space="0" w:color="002279"/>
            </w:tcBorders>
            <w:shd w:val="clear" w:color="auto" w:fill="D4D6DF"/>
            <w:noWrap/>
            <w:vAlign w:val="center"/>
          </w:tcPr>
          <w:p w14:paraId="3A934E54" w14:textId="51BD3A15" w:rsidR="0031510C" w:rsidRPr="00360131" w:rsidRDefault="0031510C" w:rsidP="0031510C">
            <w:pPr>
              <w:rPr>
                <w:rFonts w:ascii="Arial" w:hAnsi="Arial" w:cs="Arial"/>
              </w:rPr>
            </w:pPr>
            <w:r w:rsidRPr="0058557D">
              <w:rPr>
                <w:rFonts w:ascii="Arial" w:hAnsi="Arial" w:cs="Arial"/>
                <w:color w:val="000000"/>
              </w:rPr>
              <w:t xml:space="preserve">Fire </w:t>
            </w:r>
            <w:r>
              <w:rPr>
                <w:rFonts w:ascii="Arial" w:hAnsi="Arial" w:cs="Arial"/>
                <w:color w:val="000000"/>
              </w:rPr>
              <w:t>usage</w:t>
            </w:r>
            <w:r w:rsidRPr="0058557D">
              <w:rPr>
                <w:rFonts w:ascii="Arial" w:hAnsi="Arial" w:cs="Arial"/>
                <w:color w:val="000000"/>
              </w:rPr>
              <w:t xml:space="preserve"> charge ($/</w:t>
            </w:r>
            <w:r>
              <w:rPr>
                <w:rFonts w:ascii="Arial" w:hAnsi="Arial" w:cs="Arial"/>
                <w:color w:val="000000"/>
              </w:rPr>
              <w:t>kL</w:t>
            </w:r>
            <w:r w:rsidRPr="0058557D">
              <w:rPr>
                <w:rFonts w:ascii="Arial" w:hAnsi="Arial" w:cs="Arial"/>
                <w:color w:val="000000"/>
              </w:rPr>
              <w:t>)</w:t>
            </w:r>
          </w:p>
        </w:tc>
        <w:tc>
          <w:tcPr>
            <w:tcW w:w="2373" w:type="dxa"/>
            <w:tcBorders>
              <w:top w:val="single" w:sz="2" w:space="0" w:color="002279"/>
              <w:left w:val="single" w:sz="4" w:space="0" w:color="002279"/>
              <w:bottom w:val="single" w:sz="2" w:space="0" w:color="002279"/>
              <w:right w:val="single" w:sz="4" w:space="0" w:color="002279"/>
            </w:tcBorders>
            <w:shd w:val="clear" w:color="auto" w:fill="D4D6DF"/>
            <w:noWrap/>
            <w:vAlign w:val="center"/>
          </w:tcPr>
          <w:p w14:paraId="4030BD10" w14:textId="655ADE98" w:rsidR="0031510C" w:rsidRPr="00360131" w:rsidRDefault="0031510C" w:rsidP="0031510C">
            <w:pPr>
              <w:jc w:val="center"/>
              <w:rPr>
                <w:rFonts w:ascii="Arial" w:hAnsi="Arial" w:cs="Arial"/>
              </w:rPr>
            </w:pPr>
            <w:r w:rsidRPr="00153FAE">
              <w:t>3.4311</w:t>
            </w:r>
          </w:p>
        </w:tc>
        <w:tc>
          <w:tcPr>
            <w:tcW w:w="2373" w:type="dxa"/>
            <w:tcBorders>
              <w:top w:val="single" w:sz="2" w:space="0" w:color="002279"/>
              <w:left w:val="single" w:sz="4" w:space="0" w:color="002279"/>
              <w:bottom w:val="single" w:sz="2" w:space="0" w:color="002279"/>
              <w:right w:val="single" w:sz="4" w:space="0" w:color="002279"/>
            </w:tcBorders>
            <w:shd w:val="clear" w:color="auto" w:fill="D4D6DF"/>
            <w:noWrap/>
            <w:vAlign w:val="center"/>
          </w:tcPr>
          <w:p w14:paraId="28D1F2C5" w14:textId="0F07C666" w:rsidR="0031510C" w:rsidRPr="00360131" w:rsidRDefault="0031510C" w:rsidP="0031510C">
            <w:pPr>
              <w:jc w:val="center"/>
              <w:rPr>
                <w:rFonts w:ascii="Arial" w:hAnsi="Arial" w:cs="Arial"/>
              </w:rPr>
            </w:pPr>
            <w:r w:rsidRPr="00153FAE">
              <w:t>3.2654</w:t>
            </w:r>
          </w:p>
        </w:tc>
        <w:tc>
          <w:tcPr>
            <w:tcW w:w="2374" w:type="dxa"/>
            <w:tcBorders>
              <w:top w:val="single" w:sz="2" w:space="0" w:color="002279"/>
              <w:left w:val="single" w:sz="4" w:space="0" w:color="002279"/>
              <w:bottom w:val="single" w:sz="2" w:space="0" w:color="002279"/>
              <w:right w:val="single" w:sz="4" w:space="0" w:color="002279"/>
            </w:tcBorders>
            <w:shd w:val="clear" w:color="auto" w:fill="D4D6DF"/>
            <w:noWrap/>
            <w:vAlign w:val="center"/>
          </w:tcPr>
          <w:p w14:paraId="195B2EE2" w14:textId="6B08B298" w:rsidR="0031510C" w:rsidRPr="00360131" w:rsidRDefault="0031510C" w:rsidP="0031510C">
            <w:pPr>
              <w:jc w:val="center"/>
              <w:rPr>
                <w:rFonts w:ascii="Arial" w:hAnsi="Arial" w:cs="Arial"/>
              </w:rPr>
            </w:pPr>
            <w:r w:rsidRPr="0058557D">
              <w:rPr>
                <w:rFonts w:ascii="Arial" w:hAnsi="Arial" w:cs="Arial"/>
                <w:color w:val="000000"/>
              </w:rPr>
              <w:t>-</w:t>
            </w:r>
            <w:r>
              <w:rPr>
                <w:rFonts w:ascii="Arial" w:hAnsi="Arial" w:cs="Arial"/>
                <w:color w:val="000000"/>
              </w:rPr>
              <w:t>4</w:t>
            </w:r>
            <w:r w:rsidRPr="0058557D">
              <w:rPr>
                <w:rFonts w:ascii="Arial" w:hAnsi="Arial" w:cs="Arial"/>
                <w:color w:val="000000"/>
              </w:rPr>
              <w:t>.</w:t>
            </w:r>
            <w:r>
              <w:rPr>
                <w:rFonts w:ascii="Arial" w:hAnsi="Arial" w:cs="Arial"/>
                <w:color w:val="000000"/>
              </w:rPr>
              <w:t>83</w:t>
            </w:r>
            <w:r w:rsidRPr="0058557D">
              <w:rPr>
                <w:rFonts w:ascii="Arial" w:hAnsi="Arial" w:cs="Arial"/>
                <w:color w:val="000000"/>
              </w:rPr>
              <w:t>%</w:t>
            </w:r>
          </w:p>
        </w:tc>
      </w:tr>
    </w:tbl>
    <w:p w14:paraId="0E07C701" w14:textId="77777777" w:rsidR="00C05302" w:rsidRDefault="00C05302" w:rsidP="00B7682D"/>
    <w:p w14:paraId="78D070C1" w14:textId="6D468D41" w:rsidR="0094041F" w:rsidRDefault="0094041F" w:rsidP="0094041F">
      <w:r>
        <w:t>The</w:t>
      </w:r>
      <w:r w:rsidR="00AA16CD">
        <w:t xml:space="preserve"> 2023-28 </w:t>
      </w:r>
      <w:r>
        <w:t>volumetric water prices</w:t>
      </w:r>
      <w:r w:rsidR="00AA16CD">
        <w:t xml:space="preserve"> </w:t>
      </w:r>
      <w:r>
        <w:t xml:space="preserve">shown in Tables </w:t>
      </w:r>
      <w:r w:rsidR="003E62D7">
        <w:t>50</w:t>
      </w:r>
      <w:r>
        <w:t xml:space="preserve"> and 5</w:t>
      </w:r>
      <w:r w:rsidR="003E62D7">
        <w:t>1</w:t>
      </w:r>
      <w:r>
        <w:t xml:space="preserve"> do not account for the costs associated </w:t>
      </w:r>
      <w:r w:rsidR="00B07D42">
        <w:t>with</w:t>
      </w:r>
      <w:r>
        <w:t xml:space="preserve"> the annual desalination water order process which is passed through to water variable tariffs for residential and non-residential customers on an annual basis through the price adjustment mechanism</w:t>
      </w:r>
      <w:r w:rsidRPr="00A13DDD">
        <w:t xml:space="preserve"> </w:t>
      </w:r>
      <w:r>
        <w:t xml:space="preserve">as outlined in </w:t>
      </w:r>
      <w:r w:rsidRPr="0018015A">
        <w:t>South East Water Price Determination 2018</w:t>
      </w:r>
      <w:r>
        <w:t xml:space="preserve"> (the 2018 Price Determination).</w:t>
      </w:r>
      <w:r w:rsidRPr="00A13DDD">
        <w:t xml:space="preserve"> </w:t>
      </w:r>
      <w:r w:rsidRPr="00A21B49">
        <w:t>The size of the annual desalination water order will determine if a customer</w:t>
      </w:r>
      <w:r>
        <w:t>’</w:t>
      </w:r>
      <w:r w:rsidRPr="00A21B49">
        <w:t xml:space="preserve">s bill </w:t>
      </w:r>
      <w:r>
        <w:t xml:space="preserve">remains stable, </w:t>
      </w:r>
      <w:r w:rsidRPr="00A21B49">
        <w:t>increases or decreases</w:t>
      </w:r>
      <w:r>
        <w:t xml:space="preserve"> </w:t>
      </w:r>
      <w:r w:rsidRPr="00A21B49">
        <w:t xml:space="preserve">over the </w:t>
      </w:r>
      <w:r>
        <w:t xml:space="preserve">2023-28 </w:t>
      </w:r>
      <w:r w:rsidRPr="00A21B49">
        <w:t>regulatory period</w:t>
      </w:r>
      <w:r>
        <w:t>.</w:t>
      </w:r>
    </w:p>
    <w:p w14:paraId="3F7F2A5A" w14:textId="77777777" w:rsidR="0094041F" w:rsidRDefault="0094041F" w:rsidP="00B7682D"/>
    <w:p w14:paraId="56CAFBB4" w14:textId="77777777" w:rsidR="00AE35E9" w:rsidRDefault="00AE35E9">
      <w:pPr>
        <w:pStyle w:val="Heading2"/>
      </w:pPr>
      <w:bookmarkStart w:id="101" w:name="_Toc103770967"/>
      <w:r>
        <w:t>10.4 Trade waste</w:t>
      </w:r>
      <w:bookmarkEnd w:id="101"/>
    </w:p>
    <w:p w14:paraId="67BB9751" w14:textId="7B07E709" w:rsidR="00581BA9" w:rsidRPr="00BC42E3" w:rsidRDefault="00581BA9" w:rsidP="003648DF">
      <w:pPr>
        <w:pStyle w:val="Heading3"/>
        <w:rPr>
          <w:b w:val="0"/>
          <w:bCs/>
        </w:rPr>
      </w:pPr>
      <w:r w:rsidRPr="00BC42E3">
        <w:t xml:space="preserve">Current approach </w:t>
      </w:r>
    </w:p>
    <w:p w14:paraId="44271A82" w14:textId="48B568AA" w:rsidR="00AE35E9" w:rsidRDefault="00C9658D" w:rsidP="00AE35E9">
      <w:r>
        <w:t>Currently, South East Water has in place a set of fixed and variable trade waste charges</w:t>
      </w:r>
      <w:r w:rsidR="00C97127">
        <w:t>. Fixed trade waste charges seek to recover the cost of admi</w:t>
      </w:r>
      <w:r w:rsidR="000303AC">
        <w:t>nistering and monitoring trade waste agreements. All trade waste custom</w:t>
      </w:r>
      <w:r w:rsidR="0004546A">
        <w:t>er</w:t>
      </w:r>
      <w:r w:rsidR="000303AC">
        <w:t>s are assigned a risk ranking from 1 to 5 based on their location to a treatment plant, volume, h</w:t>
      </w:r>
      <w:r w:rsidR="0004546A">
        <w:t xml:space="preserve">istory and activity. </w:t>
      </w:r>
    </w:p>
    <w:p w14:paraId="7DDE4745" w14:textId="10609624" w:rsidR="008566C8" w:rsidRDefault="008566C8" w:rsidP="008566C8">
      <w:r>
        <w:t xml:space="preserve">In addition to the Trade Waste Agreement charges, customers whose trade waste exceeds any of the following parameters are charged volumetric and quality charges </w:t>
      </w:r>
      <w:r w:rsidR="008E63F2">
        <w:br/>
      </w:r>
      <w:r>
        <w:t>for the following:</w:t>
      </w:r>
    </w:p>
    <w:p w14:paraId="53611BC0" w14:textId="778248B5" w:rsidR="008566C8" w:rsidRDefault="008566C8" w:rsidP="00A62984">
      <w:pPr>
        <w:ind w:left="284" w:hanging="284"/>
      </w:pPr>
      <w:r>
        <w:t>•</w:t>
      </w:r>
      <w:r>
        <w:tab/>
      </w:r>
      <w:r w:rsidR="0050323F">
        <w:t>v</w:t>
      </w:r>
      <w:r>
        <w:t>olume greater than 1,000 kL/year</w:t>
      </w:r>
    </w:p>
    <w:p w14:paraId="4F726DFD" w14:textId="3EE16904" w:rsidR="008566C8" w:rsidRDefault="008566C8" w:rsidP="00A62984">
      <w:pPr>
        <w:ind w:left="284" w:hanging="284"/>
      </w:pPr>
      <w:r>
        <w:t>•</w:t>
      </w:r>
      <w:r>
        <w:tab/>
      </w:r>
      <w:r w:rsidR="0050323F">
        <w:t>b</w:t>
      </w:r>
      <w:r>
        <w:t xml:space="preserve">iochemical </w:t>
      </w:r>
      <w:r w:rsidR="0050323F">
        <w:t>o</w:t>
      </w:r>
      <w:r>
        <w:t xml:space="preserve">xygen </w:t>
      </w:r>
      <w:r w:rsidR="0050323F">
        <w:t>d</w:t>
      </w:r>
      <w:r>
        <w:t>emand greater than 600 mg/L</w:t>
      </w:r>
    </w:p>
    <w:p w14:paraId="73F2698F" w14:textId="1059323B" w:rsidR="008566C8" w:rsidRDefault="008566C8" w:rsidP="00A62984">
      <w:pPr>
        <w:ind w:left="284" w:hanging="284"/>
      </w:pPr>
      <w:r>
        <w:t>•</w:t>
      </w:r>
      <w:r>
        <w:tab/>
      </w:r>
      <w:r w:rsidR="0050323F">
        <w:t>s</w:t>
      </w:r>
      <w:r>
        <w:t xml:space="preserve">uspended </w:t>
      </w:r>
      <w:r w:rsidR="0050323F">
        <w:t>s</w:t>
      </w:r>
      <w:r>
        <w:t>olids greater than 600 mg/L</w:t>
      </w:r>
    </w:p>
    <w:p w14:paraId="727D11EE" w14:textId="78E36BF7" w:rsidR="008566C8" w:rsidRDefault="008566C8" w:rsidP="00A62984">
      <w:pPr>
        <w:ind w:left="284" w:hanging="284"/>
      </w:pPr>
      <w:r>
        <w:t>•</w:t>
      </w:r>
      <w:r>
        <w:tab/>
      </w:r>
      <w:r w:rsidR="0050323F">
        <w:t>t</w:t>
      </w:r>
      <w:r>
        <w:t xml:space="preserve">otal Kjeldahl </w:t>
      </w:r>
      <w:r w:rsidR="0050323F">
        <w:t>n</w:t>
      </w:r>
      <w:r>
        <w:t>itrogen (greater than 50 mg/L)</w:t>
      </w:r>
      <w:r w:rsidR="0050323F">
        <w:t>.</w:t>
      </w:r>
    </w:p>
    <w:p w14:paraId="2B30B935" w14:textId="47B1D778" w:rsidR="00AE35E9" w:rsidRDefault="00EB5963" w:rsidP="0034133C">
      <w:pPr>
        <w:pStyle w:val="Heading3"/>
        <w:rPr>
          <w:b w:val="0"/>
        </w:rPr>
      </w:pPr>
      <w:r w:rsidRPr="00EB5963">
        <w:t>Assessment and proposed approach for 2023</w:t>
      </w:r>
      <w:r w:rsidR="004C32D1">
        <w:t>–</w:t>
      </w:r>
      <w:r w:rsidRPr="00EB5963">
        <w:t>28</w:t>
      </w:r>
    </w:p>
    <w:p w14:paraId="0DC6A936" w14:textId="3047FF46" w:rsidR="00A863A1" w:rsidRDefault="00A863A1" w:rsidP="00A863A1">
      <w:r>
        <w:t>To inform our assessment of trade waste price</w:t>
      </w:r>
      <w:r w:rsidR="00D03CFB">
        <w:t>s</w:t>
      </w:r>
      <w:r>
        <w:t xml:space="preserve"> for the 2023</w:t>
      </w:r>
      <w:r w:rsidR="004C32D1">
        <w:t>–</w:t>
      </w:r>
      <w:r>
        <w:t xml:space="preserve">28 regulatory period, we assessed the costs to service trade waste customers and to test whether these costs align with revenue currently being recovered from trade waste customers. </w:t>
      </w:r>
    </w:p>
    <w:p w14:paraId="19564167" w14:textId="52E4220B" w:rsidR="00A863A1" w:rsidRDefault="00A863A1" w:rsidP="00A863A1">
      <w:r>
        <w:t>To estimate the costs to service trade waste customers</w:t>
      </w:r>
      <w:r w:rsidR="00A8620E">
        <w:t>,</w:t>
      </w:r>
      <w:r>
        <w:t xml:space="preserve"> we allocated costs to trade waste services using direct trade waste costs where available, including trade waste operating costs and M</w:t>
      </w:r>
      <w:r w:rsidR="00D03CFB">
        <w:t xml:space="preserve">elbourne </w:t>
      </w:r>
      <w:r>
        <w:t>W</w:t>
      </w:r>
      <w:r w:rsidR="00D03CFB">
        <w:t>ater</w:t>
      </w:r>
      <w:r>
        <w:t xml:space="preserve"> bulk trade waste charges. Where direct trade waste costs were not </w:t>
      </w:r>
      <w:r w:rsidR="0037354D">
        <w:t>clearly separated from sewerage costs</w:t>
      </w:r>
      <w:r>
        <w:t xml:space="preserve">, we made an allocation of </w:t>
      </w:r>
      <w:r>
        <w:lastRenderedPageBreak/>
        <w:t xml:space="preserve">sewerage costs to trade waste, based on trade waste volumes as a portion of total sewage volumes. </w:t>
      </w:r>
    </w:p>
    <w:p w14:paraId="1D17DC85" w14:textId="472D9088" w:rsidR="00A863A1" w:rsidRDefault="00A863A1" w:rsidP="00A863A1">
      <w:r>
        <w:t xml:space="preserve">This assessment showed that trade waste costs are consistent with current revenue being recovered through trade waste charges. </w:t>
      </w:r>
    </w:p>
    <w:p w14:paraId="37739476" w14:textId="463C50BC" w:rsidR="00A863A1" w:rsidRDefault="00A863A1" w:rsidP="00A863A1">
      <w:r>
        <w:t>Given this</w:t>
      </w:r>
      <w:r w:rsidR="001B5D55">
        <w:t>,</w:t>
      </w:r>
      <w:r>
        <w:t xml:space="preserve"> we propose to maintain</w:t>
      </w:r>
      <w:r w:rsidR="00BB6F80">
        <w:t xml:space="preserve"> the</w:t>
      </w:r>
      <w:r>
        <w:t xml:space="preserve"> trade waste agreement, volume and load charges at current levels and apply CPI only over the 2023</w:t>
      </w:r>
      <w:r w:rsidR="004C32D1">
        <w:t>–</w:t>
      </w:r>
      <w:r>
        <w:t>28 regulatory period.</w:t>
      </w:r>
    </w:p>
    <w:p w14:paraId="1862C59F" w14:textId="4356F9C0" w:rsidR="00EB5963" w:rsidRDefault="00A863A1" w:rsidP="00A863A1">
      <w:r>
        <w:t>During the next regulatory period, as part of Melbourne Water</w:t>
      </w:r>
      <w:r w:rsidR="00612583">
        <w:t>’</w:t>
      </w:r>
      <w:r>
        <w:t xml:space="preserve">s </w:t>
      </w:r>
      <w:r w:rsidR="00D03CFB">
        <w:t xml:space="preserve">bulk </w:t>
      </w:r>
      <w:r>
        <w:t>tariff review, which will include an assessment of its current trade waste pollutant charges</w:t>
      </w:r>
      <w:r w:rsidR="00660ADF" w:rsidRPr="00F00E61">
        <w:t>,</w:t>
      </w:r>
      <w:r w:rsidR="00F37AB4" w:rsidRPr="00F00E61">
        <w:rPr>
          <w:rStyle w:val="FootnoteReference"/>
          <w:color w:val="auto"/>
        </w:rPr>
        <w:footnoteReference w:id="23"/>
      </w:r>
      <w:r w:rsidRPr="00F00E61">
        <w:t xml:space="preserve"> </w:t>
      </w:r>
      <w:r>
        <w:t xml:space="preserve">we will also assess the allocation of revenue recovery across </w:t>
      </w:r>
      <w:r w:rsidR="00FE5DDA">
        <w:t>South East Water</w:t>
      </w:r>
      <w:r w:rsidR="00612583">
        <w:t>’</w:t>
      </w:r>
      <w:r w:rsidR="00FE5DDA">
        <w:t xml:space="preserve">s </w:t>
      </w:r>
      <w:r>
        <w:t>fixed and variable charges to ensure they remain cost reflective.</w:t>
      </w:r>
    </w:p>
    <w:p w14:paraId="33BD5D61" w14:textId="77777777" w:rsidR="00B5484C" w:rsidRDefault="00B5484C" w:rsidP="00A863A1"/>
    <w:p w14:paraId="13C44424" w14:textId="699279DF" w:rsidR="00FE5DDA" w:rsidRPr="007448B1" w:rsidRDefault="007448B1" w:rsidP="007448B1">
      <w:pPr>
        <w:pStyle w:val="NormalIndent"/>
        <w:ind w:left="0"/>
        <w:rPr>
          <w:rFonts w:cs="Arial"/>
          <w:b/>
          <w:i/>
        </w:rPr>
      </w:pPr>
      <w:r w:rsidRPr="00CE6C4E">
        <w:rPr>
          <w:b/>
          <w:i/>
        </w:rPr>
        <w:t xml:space="preserve">Table </w:t>
      </w:r>
      <w:r w:rsidR="003966C3">
        <w:rPr>
          <w:b/>
          <w:i/>
        </w:rPr>
        <w:t>52</w:t>
      </w:r>
      <w:r w:rsidRPr="007B339F">
        <w:rPr>
          <w:rFonts w:ascii="Arial" w:hAnsi="Arial" w:cs="Arial"/>
          <w:b/>
          <w:i/>
        </w:rPr>
        <w:t>:</w:t>
      </w:r>
      <w:r>
        <w:rPr>
          <w:rFonts w:ascii="Arial" w:hAnsi="Arial" w:cs="Arial"/>
          <w:b/>
          <w:i/>
        </w:rPr>
        <w:t xml:space="preserve"> </w:t>
      </w:r>
      <w:r w:rsidR="00BC279D" w:rsidRPr="00FD54FE">
        <w:rPr>
          <w:b/>
          <w:i/>
        </w:rPr>
        <w:t xml:space="preserve">Proposed </w:t>
      </w:r>
      <w:r w:rsidR="00BC279D">
        <w:rPr>
          <w:b/>
          <w:i/>
        </w:rPr>
        <w:t>Trade Waste prices</w:t>
      </w:r>
      <w:r w:rsidR="00BC279D" w:rsidRPr="00FD54FE">
        <w:rPr>
          <w:b/>
          <w:i/>
        </w:rPr>
        <w:t xml:space="preserve"> 2023</w:t>
      </w:r>
      <w:r w:rsidR="00BC279D">
        <w:rPr>
          <w:b/>
          <w:i/>
        </w:rPr>
        <w:t>–</w:t>
      </w:r>
      <w:r w:rsidR="00BC279D" w:rsidRPr="00FD54FE">
        <w:rPr>
          <w:b/>
          <w:i/>
        </w:rPr>
        <w:t>28 regulatory period</w:t>
      </w:r>
      <w:r w:rsidR="00921F48">
        <w:rPr>
          <w:b/>
          <w:i/>
        </w:rPr>
        <w:t xml:space="preserve"> ($</w:t>
      </w:r>
      <w:r w:rsidR="00BC279D" w:rsidRPr="00FD54FE">
        <w:rPr>
          <w:b/>
          <w:i/>
        </w:rPr>
        <w:t>2022</w:t>
      </w:r>
      <w:r w:rsidR="00BC279D">
        <w:rPr>
          <w:b/>
          <w:i/>
        </w:rPr>
        <w:t>–</w:t>
      </w:r>
      <w:r w:rsidR="00BC279D" w:rsidRPr="00FD54FE">
        <w:rPr>
          <w:b/>
          <w:i/>
        </w:rPr>
        <w:t>23</w:t>
      </w:r>
      <w:r w:rsidR="00921F48">
        <w:rPr>
          <w:b/>
          <w:i/>
        </w:rPr>
        <w:t>)</w:t>
      </w:r>
    </w:p>
    <w:tbl>
      <w:tblPr>
        <w:tblStyle w:val="MJTableStyle1default"/>
        <w:tblW w:w="0" w:type="auto"/>
        <w:tblInd w:w="5" w:type="dxa"/>
        <w:tblLayout w:type="fixed"/>
        <w:tblLook w:val="04A0" w:firstRow="1" w:lastRow="0" w:firstColumn="1" w:lastColumn="0" w:noHBand="0" w:noVBand="1"/>
      </w:tblPr>
      <w:tblGrid>
        <w:gridCol w:w="3681"/>
        <w:gridCol w:w="1890"/>
        <w:gridCol w:w="1890"/>
        <w:gridCol w:w="1890"/>
      </w:tblGrid>
      <w:tr w:rsidR="00C070DA" w:rsidRPr="00C070DA" w14:paraId="441EAC6B" w14:textId="77777777" w:rsidTr="007F20E9">
        <w:trPr>
          <w:cnfStyle w:val="100000000000" w:firstRow="1" w:lastRow="0" w:firstColumn="0" w:lastColumn="0" w:oddVBand="0" w:evenVBand="0" w:oddHBand="0" w:evenHBand="0" w:firstRowFirstColumn="0" w:firstRowLastColumn="0" w:lastRowFirstColumn="0" w:lastRowLastColumn="0"/>
          <w:trHeight w:val="611"/>
        </w:trPr>
        <w:tc>
          <w:tcPr>
            <w:tcW w:w="3681" w:type="dxa"/>
            <w:tcBorders>
              <w:top w:val="single" w:sz="4" w:space="0" w:color="002279"/>
              <w:left w:val="single" w:sz="4" w:space="0" w:color="002279"/>
              <w:bottom w:val="single" w:sz="2" w:space="0" w:color="002279"/>
              <w:right w:val="single" w:sz="4" w:space="0" w:color="FFFFFF" w:themeColor="background1"/>
            </w:tcBorders>
            <w:shd w:val="clear" w:color="auto" w:fill="002279"/>
            <w:noWrap/>
            <w:vAlign w:val="center"/>
            <w:hideMark/>
          </w:tcPr>
          <w:p w14:paraId="06CD2375" w14:textId="6109BD5E" w:rsidR="00C070DA" w:rsidRPr="00B5484C" w:rsidRDefault="00C070DA" w:rsidP="008E63F2">
            <w:pPr>
              <w:rPr>
                <w:rFonts w:asciiTheme="minorHAnsi" w:hAnsiTheme="minorHAnsi" w:cstheme="minorHAnsi"/>
                <w:b/>
              </w:rPr>
            </w:pPr>
            <w:r w:rsidRPr="00811E49">
              <w:rPr>
                <w:rFonts w:ascii="Arial" w:hAnsi="Arial" w:cs="Arial"/>
                <w:b/>
                <w:color w:val="FFFFFF"/>
              </w:rPr>
              <w:t xml:space="preserve">Trade </w:t>
            </w:r>
            <w:r w:rsidR="00FE5DDA" w:rsidRPr="00811E49">
              <w:rPr>
                <w:rFonts w:ascii="Arial" w:hAnsi="Arial" w:cs="Arial"/>
                <w:b/>
                <w:color w:val="FFFFFF"/>
              </w:rPr>
              <w:t>w</w:t>
            </w:r>
            <w:r w:rsidRPr="00811E49">
              <w:rPr>
                <w:rFonts w:ascii="Arial" w:hAnsi="Arial" w:cs="Arial"/>
                <w:b/>
                <w:color w:val="FFFFFF"/>
              </w:rPr>
              <w:t xml:space="preserve">aste tariffs </w:t>
            </w:r>
          </w:p>
        </w:tc>
        <w:tc>
          <w:tcPr>
            <w:tcW w:w="1890"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noWrap/>
            <w:vAlign w:val="center"/>
            <w:hideMark/>
          </w:tcPr>
          <w:p w14:paraId="06D5F0BC" w14:textId="57D1F183" w:rsidR="00C070DA" w:rsidRPr="00B5484C" w:rsidRDefault="00C070DA" w:rsidP="00360131">
            <w:pPr>
              <w:jc w:val="center"/>
              <w:rPr>
                <w:rFonts w:asciiTheme="minorHAnsi" w:hAnsiTheme="minorHAnsi" w:cstheme="minorHAnsi"/>
                <w:b/>
              </w:rPr>
            </w:pPr>
            <w:r w:rsidRPr="00811E49">
              <w:rPr>
                <w:rFonts w:ascii="Arial" w:hAnsi="Arial" w:cs="Arial"/>
                <w:b/>
                <w:color w:val="FFFFFF"/>
              </w:rPr>
              <w:t>2022</w:t>
            </w:r>
            <w:r w:rsidR="00811E49" w:rsidRPr="00811E49">
              <w:rPr>
                <w:rFonts w:ascii="Arial" w:hAnsi="Arial" w:cs="Arial"/>
                <w:b/>
                <w:bCs/>
                <w:color w:val="FFFFFF"/>
              </w:rPr>
              <w:t>-</w:t>
            </w:r>
            <w:r w:rsidRPr="00811E49">
              <w:rPr>
                <w:rFonts w:ascii="Arial" w:hAnsi="Arial" w:cs="Arial"/>
                <w:b/>
                <w:color w:val="FFFFFF"/>
              </w:rPr>
              <w:t>23</w:t>
            </w:r>
          </w:p>
        </w:tc>
        <w:tc>
          <w:tcPr>
            <w:tcW w:w="1890"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noWrap/>
            <w:vAlign w:val="center"/>
            <w:hideMark/>
          </w:tcPr>
          <w:p w14:paraId="58811CBC" w14:textId="0B7BE3CA" w:rsidR="00C070DA" w:rsidRPr="00B5484C" w:rsidRDefault="00C070DA" w:rsidP="00360131">
            <w:pPr>
              <w:jc w:val="center"/>
              <w:rPr>
                <w:rFonts w:asciiTheme="minorHAnsi" w:hAnsiTheme="minorHAnsi" w:cstheme="minorHAnsi"/>
                <w:b/>
              </w:rPr>
            </w:pPr>
            <w:r w:rsidRPr="00811E49">
              <w:rPr>
                <w:rFonts w:ascii="Arial" w:hAnsi="Arial" w:cs="Arial"/>
                <w:b/>
                <w:color w:val="FFFFFF"/>
              </w:rPr>
              <w:t>2023</w:t>
            </w:r>
            <w:r w:rsidR="00811E49" w:rsidRPr="00811E49">
              <w:rPr>
                <w:rFonts w:ascii="Arial" w:hAnsi="Arial" w:cs="Arial"/>
                <w:b/>
                <w:bCs/>
                <w:color w:val="FFFFFF"/>
              </w:rPr>
              <w:t>-</w:t>
            </w:r>
            <w:r w:rsidRPr="00811E49">
              <w:rPr>
                <w:rFonts w:ascii="Arial" w:hAnsi="Arial" w:cs="Arial"/>
                <w:b/>
                <w:color w:val="FFFFFF"/>
              </w:rPr>
              <w:t>2</w:t>
            </w:r>
            <w:r w:rsidR="004A4EDA" w:rsidRPr="00811E49">
              <w:rPr>
                <w:rFonts w:ascii="Arial" w:hAnsi="Arial" w:cs="Arial"/>
                <w:b/>
                <w:color w:val="FFFFFF"/>
              </w:rPr>
              <w:t>8</w:t>
            </w:r>
          </w:p>
        </w:tc>
        <w:tc>
          <w:tcPr>
            <w:tcW w:w="1890" w:type="dxa"/>
            <w:tcBorders>
              <w:top w:val="single" w:sz="4" w:space="0" w:color="002279"/>
              <w:left w:val="single" w:sz="4" w:space="0" w:color="FFFFFF" w:themeColor="background1"/>
              <w:bottom w:val="single" w:sz="2" w:space="0" w:color="002279"/>
              <w:right w:val="single" w:sz="4" w:space="0" w:color="002279"/>
            </w:tcBorders>
            <w:shd w:val="clear" w:color="auto" w:fill="002279"/>
            <w:noWrap/>
            <w:vAlign w:val="center"/>
            <w:hideMark/>
          </w:tcPr>
          <w:p w14:paraId="6C383A3A" w14:textId="66C9B004" w:rsidR="00C070DA" w:rsidRPr="00B5484C" w:rsidRDefault="00433D44" w:rsidP="00360131">
            <w:pPr>
              <w:jc w:val="center"/>
              <w:rPr>
                <w:rFonts w:asciiTheme="minorHAnsi" w:hAnsiTheme="minorHAnsi" w:cstheme="minorHAnsi"/>
                <w:b/>
              </w:rPr>
            </w:pPr>
            <w:r w:rsidRPr="00811E49">
              <w:rPr>
                <w:rFonts w:ascii="Arial" w:hAnsi="Arial" w:cs="Arial"/>
                <w:b/>
                <w:color w:val="FFFFFF"/>
              </w:rPr>
              <w:t>P0</w:t>
            </w:r>
            <w:r w:rsidR="00A1315F" w:rsidRPr="00811E49">
              <w:rPr>
                <w:rFonts w:ascii="Arial" w:hAnsi="Arial" w:cs="Arial"/>
                <w:b/>
                <w:color w:val="FFFFFF"/>
              </w:rPr>
              <w:t xml:space="preserve"> </w:t>
            </w:r>
            <w:r w:rsidR="00811E49" w:rsidRPr="00811E49">
              <w:rPr>
                <w:rFonts w:ascii="Arial" w:hAnsi="Arial" w:cs="Arial"/>
                <w:b/>
                <w:bCs/>
                <w:color w:val="FFFFFF"/>
              </w:rPr>
              <w:t>Percentage</w:t>
            </w:r>
            <w:r w:rsidR="00C070DA" w:rsidRPr="00811E49">
              <w:rPr>
                <w:rFonts w:ascii="Arial" w:hAnsi="Arial" w:cs="Arial"/>
                <w:b/>
                <w:color w:val="FFFFFF"/>
              </w:rPr>
              <w:t xml:space="preserve"> change</w:t>
            </w:r>
          </w:p>
        </w:tc>
      </w:tr>
      <w:tr w:rsidR="00C070DA" w:rsidRPr="00C070DA" w14:paraId="503E1D15" w14:textId="77777777" w:rsidTr="007F20E9">
        <w:trPr>
          <w:cnfStyle w:val="000000100000" w:firstRow="0" w:lastRow="0" w:firstColumn="0" w:lastColumn="0" w:oddVBand="0" w:evenVBand="0" w:oddHBand="1" w:evenHBand="0" w:firstRowFirstColumn="0" w:firstRowLastColumn="0" w:lastRowFirstColumn="0" w:lastRowLastColumn="0"/>
          <w:trHeight w:val="454"/>
        </w:trPr>
        <w:tc>
          <w:tcPr>
            <w:tcW w:w="3681" w:type="dxa"/>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67C96DB2" w14:textId="0B479BEF" w:rsidR="00C070DA" w:rsidRPr="00B5484C" w:rsidRDefault="00C070DA" w:rsidP="003E7263">
            <w:pPr>
              <w:rPr>
                <w:rFonts w:cstheme="minorHAnsi"/>
              </w:rPr>
            </w:pPr>
            <w:r w:rsidRPr="00811E49">
              <w:rPr>
                <w:rFonts w:ascii="Arial" w:hAnsi="Arial" w:cs="Arial"/>
                <w:color w:val="000000"/>
              </w:rPr>
              <w:t>Trade waste risk rank 5</w:t>
            </w:r>
            <w:r w:rsidR="00880621" w:rsidRPr="00811E49">
              <w:rPr>
                <w:rFonts w:ascii="Arial" w:hAnsi="Arial" w:cs="Arial"/>
                <w:color w:val="000000"/>
              </w:rPr>
              <w:t xml:space="preserve"> ($/year)</w:t>
            </w:r>
          </w:p>
        </w:tc>
        <w:tc>
          <w:tcPr>
            <w:tcW w:w="1890" w:type="dxa"/>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358223ED" w14:textId="0C8507D2" w:rsidR="00C070DA" w:rsidRPr="00B5484C" w:rsidRDefault="00C070DA" w:rsidP="00B5484C">
            <w:pPr>
              <w:jc w:val="center"/>
              <w:rPr>
                <w:rFonts w:cstheme="minorHAnsi"/>
              </w:rPr>
            </w:pPr>
            <w:r w:rsidRPr="00811E49">
              <w:rPr>
                <w:rFonts w:ascii="Arial" w:hAnsi="Arial" w:cs="Arial"/>
                <w:color w:val="000000"/>
              </w:rPr>
              <w:t>465.04</w:t>
            </w:r>
          </w:p>
        </w:tc>
        <w:tc>
          <w:tcPr>
            <w:tcW w:w="1890" w:type="dxa"/>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5CA901E7" w14:textId="0B54D0AA" w:rsidR="00C070DA" w:rsidRPr="00B5484C" w:rsidRDefault="00C070DA" w:rsidP="00B5484C">
            <w:pPr>
              <w:jc w:val="center"/>
              <w:rPr>
                <w:rFonts w:cstheme="minorHAnsi"/>
              </w:rPr>
            </w:pPr>
            <w:r w:rsidRPr="00811E49">
              <w:rPr>
                <w:rFonts w:ascii="Arial" w:hAnsi="Arial" w:cs="Arial"/>
                <w:color w:val="000000"/>
              </w:rPr>
              <w:t>4</w:t>
            </w:r>
            <w:r w:rsidR="0088104B" w:rsidRPr="00811E49">
              <w:rPr>
                <w:rFonts w:ascii="Arial" w:hAnsi="Arial" w:cs="Arial"/>
                <w:color w:val="000000"/>
              </w:rPr>
              <w:t>38</w:t>
            </w:r>
            <w:r w:rsidRPr="00811E49">
              <w:rPr>
                <w:rFonts w:ascii="Arial" w:hAnsi="Arial" w:cs="Arial"/>
                <w:color w:val="000000"/>
              </w:rPr>
              <w:t>.</w:t>
            </w:r>
            <w:r w:rsidR="002E276C" w:rsidRPr="002E276C">
              <w:rPr>
                <w:rFonts w:ascii="Arial" w:hAnsi="Arial" w:cs="Arial"/>
                <w:color w:val="000000"/>
              </w:rPr>
              <w:t>13</w:t>
            </w:r>
          </w:p>
        </w:tc>
        <w:tc>
          <w:tcPr>
            <w:tcW w:w="1890" w:type="dxa"/>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5ABAEDB5" w14:textId="563F532A" w:rsidR="00C070DA" w:rsidRPr="00B5484C" w:rsidRDefault="00233D01" w:rsidP="00B5484C">
            <w:pPr>
              <w:jc w:val="center"/>
              <w:rPr>
                <w:rFonts w:cstheme="minorHAnsi"/>
              </w:rPr>
            </w:pPr>
            <w:r w:rsidRPr="00811E49">
              <w:rPr>
                <w:rFonts w:ascii="Arial" w:hAnsi="Arial" w:cs="Arial"/>
                <w:color w:val="000000"/>
              </w:rPr>
              <w:t>-5</w:t>
            </w:r>
            <w:r w:rsidR="00E72804" w:rsidRPr="00811E49">
              <w:rPr>
                <w:rFonts w:ascii="Arial" w:hAnsi="Arial" w:cs="Arial"/>
                <w:color w:val="000000"/>
              </w:rPr>
              <w:t>.</w:t>
            </w:r>
            <w:r w:rsidR="002E276C" w:rsidRPr="002E276C">
              <w:rPr>
                <w:rFonts w:ascii="Arial" w:hAnsi="Arial" w:cs="Arial"/>
                <w:color w:val="000000"/>
              </w:rPr>
              <w:t>79</w:t>
            </w:r>
            <w:r w:rsidR="00C070DA" w:rsidRPr="00811E49">
              <w:rPr>
                <w:rFonts w:ascii="Arial" w:hAnsi="Arial" w:cs="Arial"/>
                <w:color w:val="000000"/>
              </w:rPr>
              <w:t>%</w:t>
            </w:r>
          </w:p>
        </w:tc>
      </w:tr>
      <w:tr w:rsidR="00C070DA" w:rsidRPr="00C070DA" w14:paraId="7DFDCC83" w14:textId="77777777" w:rsidTr="007F20E9">
        <w:trPr>
          <w:cnfStyle w:val="000000010000" w:firstRow="0" w:lastRow="0" w:firstColumn="0" w:lastColumn="0" w:oddVBand="0" w:evenVBand="0" w:oddHBand="0" w:evenHBand="1" w:firstRowFirstColumn="0" w:firstRowLastColumn="0" w:lastRowFirstColumn="0" w:lastRowLastColumn="0"/>
          <w:trHeight w:val="454"/>
        </w:trPr>
        <w:tc>
          <w:tcPr>
            <w:tcW w:w="3681" w:type="dxa"/>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79EE90C8" w14:textId="349C40CD" w:rsidR="00C070DA" w:rsidRPr="00B5484C" w:rsidRDefault="00C070DA" w:rsidP="003E7263">
            <w:pPr>
              <w:rPr>
                <w:rFonts w:cstheme="minorHAnsi"/>
              </w:rPr>
            </w:pPr>
            <w:r w:rsidRPr="00811E49">
              <w:rPr>
                <w:rFonts w:ascii="Arial" w:hAnsi="Arial" w:cs="Arial"/>
                <w:color w:val="000000"/>
              </w:rPr>
              <w:t>Trade waste risk rank 4</w:t>
            </w:r>
            <w:r w:rsidR="00880621" w:rsidRPr="00811E49">
              <w:rPr>
                <w:rFonts w:ascii="Arial" w:hAnsi="Arial" w:cs="Arial"/>
                <w:color w:val="000000"/>
              </w:rPr>
              <w:t xml:space="preserve"> ($/year)</w:t>
            </w:r>
          </w:p>
        </w:tc>
        <w:tc>
          <w:tcPr>
            <w:tcW w:w="1890" w:type="dxa"/>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503546E9" w14:textId="57934642" w:rsidR="00C070DA" w:rsidRPr="00B5484C" w:rsidRDefault="00811E49" w:rsidP="00B5484C">
            <w:pPr>
              <w:jc w:val="center"/>
              <w:rPr>
                <w:rFonts w:cstheme="minorHAnsi"/>
              </w:rPr>
            </w:pPr>
            <w:r w:rsidRPr="00811E49">
              <w:rPr>
                <w:rFonts w:ascii="Arial" w:hAnsi="Arial" w:cs="Arial"/>
                <w:color w:val="000000"/>
              </w:rPr>
              <w:t>2666</w:t>
            </w:r>
            <w:r w:rsidR="00C070DA" w:rsidRPr="00811E49">
              <w:rPr>
                <w:rFonts w:ascii="Arial" w:hAnsi="Arial" w:cs="Arial"/>
                <w:color w:val="000000"/>
              </w:rPr>
              <w:t>.44</w:t>
            </w:r>
          </w:p>
        </w:tc>
        <w:tc>
          <w:tcPr>
            <w:tcW w:w="1890" w:type="dxa"/>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26EE3508" w14:textId="30DDA616" w:rsidR="00C070DA" w:rsidRPr="00B5484C" w:rsidRDefault="002E276C" w:rsidP="00B5484C">
            <w:pPr>
              <w:jc w:val="center"/>
              <w:rPr>
                <w:rFonts w:cstheme="minorHAnsi"/>
              </w:rPr>
            </w:pPr>
            <w:r w:rsidRPr="002E276C">
              <w:rPr>
                <w:rFonts w:ascii="Arial" w:hAnsi="Arial" w:cs="Arial"/>
                <w:color w:val="000000"/>
              </w:rPr>
              <w:t>2512.15</w:t>
            </w:r>
          </w:p>
        </w:tc>
        <w:tc>
          <w:tcPr>
            <w:tcW w:w="1890" w:type="dxa"/>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tcPr>
          <w:p w14:paraId="1B754C53" w14:textId="305CECB8" w:rsidR="00C070DA" w:rsidRPr="00B5484C" w:rsidRDefault="00233D01" w:rsidP="00B5484C">
            <w:pPr>
              <w:jc w:val="center"/>
              <w:rPr>
                <w:rFonts w:cstheme="minorHAnsi"/>
              </w:rPr>
            </w:pPr>
            <w:r w:rsidRPr="00811E49">
              <w:rPr>
                <w:rFonts w:ascii="Arial" w:hAnsi="Arial" w:cs="Arial"/>
                <w:color w:val="000000"/>
              </w:rPr>
              <w:t>-5</w:t>
            </w:r>
            <w:r w:rsidR="00E72804" w:rsidRPr="00811E49">
              <w:rPr>
                <w:rFonts w:ascii="Arial" w:hAnsi="Arial" w:cs="Arial"/>
                <w:color w:val="000000"/>
              </w:rPr>
              <w:t>.</w:t>
            </w:r>
            <w:r w:rsidR="002E276C" w:rsidRPr="002E276C">
              <w:rPr>
                <w:rFonts w:ascii="Arial" w:hAnsi="Arial" w:cs="Arial"/>
                <w:color w:val="000000"/>
              </w:rPr>
              <w:t>79</w:t>
            </w:r>
            <w:r w:rsidR="00C070DA" w:rsidRPr="00811E49">
              <w:rPr>
                <w:rFonts w:ascii="Arial" w:hAnsi="Arial" w:cs="Arial"/>
                <w:color w:val="000000"/>
              </w:rPr>
              <w:t>%</w:t>
            </w:r>
          </w:p>
        </w:tc>
      </w:tr>
      <w:tr w:rsidR="00C070DA" w:rsidRPr="00C070DA" w14:paraId="25BC2D5F" w14:textId="77777777" w:rsidTr="007F20E9">
        <w:trPr>
          <w:cnfStyle w:val="000000100000" w:firstRow="0" w:lastRow="0" w:firstColumn="0" w:lastColumn="0" w:oddVBand="0" w:evenVBand="0" w:oddHBand="1" w:evenHBand="0" w:firstRowFirstColumn="0" w:firstRowLastColumn="0" w:lastRowFirstColumn="0" w:lastRowLastColumn="0"/>
          <w:trHeight w:val="454"/>
        </w:trPr>
        <w:tc>
          <w:tcPr>
            <w:tcW w:w="3681" w:type="dxa"/>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0C9BBEEB" w14:textId="75605908" w:rsidR="00C070DA" w:rsidRPr="00B5484C" w:rsidRDefault="00C070DA" w:rsidP="003E7263">
            <w:pPr>
              <w:rPr>
                <w:rFonts w:cstheme="minorHAnsi"/>
              </w:rPr>
            </w:pPr>
            <w:r w:rsidRPr="00811E49">
              <w:rPr>
                <w:rFonts w:ascii="Arial" w:hAnsi="Arial" w:cs="Arial"/>
                <w:color w:val="000000"/>
              </w:rPr>
              <w:t>Trade waste risk rank 3</w:t>
            </w:r>
            <w:r w:rsidR="00880621" w:rsidRPr="00811E49">
              <w:rPr>
                <w:rFonts w:ascii="Arial" w:hAnsi="Arial" w:cs="Arial"/>
                <w:color w:val="000000"/>
              </w:rPr>
              <w:t xml:space="preserve"> ($/year)</w:t>
            </w:r>
          </w:p>
        </w:tc>
        <w:tc>
          <w:tcPr>
            <w:tcW w:w="1890" w:type="dxa"/>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4DF804A1" w14:textId="3D515E78" w:rsidR="00C070DA" w:rsidRPr="00B5484C" w:rsidRDefault="00811E49" w:rsidP="00B5484C">
            <w:pPr>
              <w:jc w:val="center"/>
              <w:rPr>
                <w:rFonts w:cstheme="minorHAnsi"/>
              </w:rPr>
            </w:pPr>
            <w:r w:rsidRPr="00811E49">
              <w:rPr>
                <w:rFonts w:ascii="Arial" w:hAnsi="Arial" w:cs="Arial"/>
                <w:color w:val="000000"/>
              </w:rPr>
              <w:t>5332.92</w:t>
            </w:r>
          </w:p>
        </w:tc>
        <w:tc>
          <w:tcPr>
            <w:tcW w:w="1890" w:type="dxa"/>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3ED6645D" w14:textId="1B60E92D" w:rsidR="00C070DA" w:rsidRPr="00B5484C" w:rsidRDefault="002E276C" w:rsidP="00B5484C">
            <w:pPr>
              <w:jc w:val="center"/>
              <w:rPr>
                <w:rFonts w:cstheme="minorHAnsi"/>
              </w:rPr>
            </w:pPr>
            <w:r w:rsidRPr="002E276C">
              <w:rPr>
                <w:rFonts w:ascii="Arial" w:hAnsi="Arial" w:cs="Arial"/>
                <w:color w:val="000000"/>
              </w:rPr>
              <w:t>5024.34</w:t>
            </w:r>
          </w:p>
        </w:tc>
        <w:tc>
          <w:tcPr>
            <w:tcW w:w="1890" w:type="dxa"/>
            <w:tcBorders>
              <w:top w:val="single" w:sz="2" w:space="0" w:color="002279"/>
              <w:left w:val="single" w:sz="4" w:space="0" w:color="002279"/>
              <w:bottom w:val="single" w:sz="2" w:space="0" w:color="002279"/>
              <w:right w:val="single" w:sz="4" w:space="0" w:color="002279"/>
            </w:tcBorders>
            <w:shd w:val="clear" w:color="auto" w:fill="D4D6DF"/>
            <w:noWrap/>
            <w:vAlign w:val="center"/>
          </w:tcPr>
          <w:p w14:paraId="41D50F63" w14:textId="3AA1FA56" w:rsidR="00C070DA" w:rsidRPr="00B5484C" w:rsidRDefault="00233D01" w:rsidP="00B5484C">
            <w:pPr>
              <w:jc w:val="center"/>
              <w:rPr>
                <w:rFonts w:cstheme="minorHAnsi"/>
              </w:rPr>
            </w:pPr>
            <w:r w:rsidRPr="00811E49">
              <w:rPr>
                <w:rFonts w:ascii="Arial" w:hAnsi="Arial" w:cs="Arial"/>
                <w:color w:val="000000"/>
              </w:rPr>
              <w:t>-5</w:t>
            </w:r>
            <w:r w:rsidR="00E72804" w:rsidRPr="00811E49">
              <w:rPr>
                <w:rFonts w:ascii="Arial" w:hAnsi="Arial" w:cs="Arial"/>
                <w:color w:val="000000"/>
              </w:rPr>
              <w:t>.</w:t>
            </w:r>
            <w:r w:rsidR="002E276C" w:rsidRPr="002E276C">
              <w:rPr>
                <w:rFonts w:ascii="Arial" w:hAnsi="Arial" w:cs="Arial"/>
                <w:color w:val="000000"/>
              </w:rPr>
              <w:t>79</w:t>
            </w:r>
            <w:r w:rsidR="00C070DA" w:rsidRPr="00811E49">
              <w:rPr>
                <w:rFonts w:ascii="Arial" w:hAnsi="Arial" w:cs="Arial"/>
                <w:color w:val="000000"/>
              </w:rPr>
              <w:t>%</w:t>
            </w:r>
          </w:p>
        </w:tc>
      </w:tr>
      <w:tr w:rsidR="00C070DA" w:rsidRPr="00C070DA" w14:paraId="4C6E4F86" w14:textId="77777777" w:rsidTr="007F20E9">
        <w:trPr>
          <w:cnfStyle w:val="000000010000" w:firstRow="0" w:lastRow="0" w:firstColumn="0" w:lastColumn="0" w:oddVBand="0" w:evenVBand="0" w:oddHBand="0" w:evenHBand="1" w:firstRowFirstColumn="0" w:firstRowLastColumn="0" w:lastRowFirstColumn="0" w:lastRowLastColumn="0"/>
          <w:trHeight w:val="454"/>
        </w:trPr>
        <w:tc>
          <w:tcPr>
            <w:tcW w:w="3681" w:type="dxa"/>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3F255846" w14:textId="084F4C11" w:rsidR="00C070DA" w:rsidRPr="00B5484C" w:rsidRDefault="00C070DA" w:rsidP="003E7263">
            <w:pPr>
              <w:rPr>
                <w:rFonts w:cstheme="minorHAnsi"/>
              </w:rPr>
            </w:pPr>
            <w:r w:rsidRPr="00811E49">
              <w:rPr>
                <w:rFonts w:ascii="Arial" w:hAnsi="Arial" w:cs="Arial"/>
                <w:color w:val="000000"/>
              </w:rPr>
              <w:t>Trade waste risk rank 2</w:t>
            </w:r>
            <w:r w:rsidR="00880621" w:rsidRPr="00811E49">
              <w:rPr>
                <w:rFonts w:ascii="Arial" w:hAnsi="Arial" w:cs="Arial"/>
                <w:color w:val="000000"/>
              </w:rPr>
              <w:t xml:space="preserve"> ($/year)</w:t>
            </w:r>
          </w:p>
        </w:tc>
        <w:tc>
          <w:tcPr>
            <w:tcW w:w="1890" w:type="dxa"/>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16B84934" w14:textId="78A7A47E" w:rsidR="00C070DA" w:rsidRPr="00B5484C" w:rsidRDefault="00811E49" w:rsidP="00B5484C">
            <w:pPr>
              <w:jc w:val="center"/>
              <w:rPr>
                <w:rFonts w:cstheme="minorHAnsi"/>
              </w:rPr>
            </w:pPr>
            <w:r w:rsidRPr="00811E49">
              <w:rPr>
                <w:rFonts w:ascii="Arial" w:hAnsi="Arial" w:cs="Arial"/>
                <w:color w:val="000000"/>
              </w:rPr>
              <w:t>7999.48</w:t>
            </w:r>
          </w:p>
        </w:tc>
        <w:tc>
          <w:tcPr>
            <w:tcW w:w="1890" w:type="dxa"/>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36DD0637" w14:textId="6917773B" w:rsidR="00C070DA" w:rsidRPr="00B5484C" w:rsidRDefault="002E276C" w:rsidP="00B5484C">
            <w:pPr>
              <w:jc w:val="center"/>
              <w:rPr>
                <w:rFonts w:cstheme="minorHAnsi"/>
              </w:rPr>
            </w:pPr>
            <w:r w:rsidRPr="002E276C">
              <w:rPr>
                <w:rFonts w:ascii="Arial" w:hAnsi="Arial" w:cs="Arial"/>
                <w:color w:val="000000"/>
              </w:rPr>
              <w:t>7536.60</w:t>
            </w:r>
          </w:p>
        </w:tc>
        <w:tc>
          <w:tcPr>
            <w:tcW w:w="1890" w:type="dxa"/>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tcPr>
          <w:p w14:paraId="584439E8" w14:textId="4DBEDA79" w:rsidR="00C070DA" w:rsidRPr="00B5484C" w:rsidRDefault="00233D01" w:rsidP="00B5484C">
            <w:pPr>
              <w:jc w:val="center"/>
              <w:rPr>
                <w:rFonts w:cstheme="minorHAnsi"/>
              </w:rPr>
            </w:pPr>
            <w:r w:rsidRPr="00811E49">
              <w:rPr>
                <w:rFonts w:ascii="Arial" w:hAnsi="Arial" w:cs="Arial"/>
                <w:color w:val="000000"/>
              </w:rPr>
              <w:t>-5</w:t>
            </w:r>
            <w:r w:rsidR="00E72804" w:rsidRPr="00811E49">
              <w:rPr>
                <w:rFonts w:ascii="Arial" w:hAnsi="Arial" w:cs="Arial"/>
                <w:color w:val="000000"/>
              </w:rPr>
              <w:t>.</w:t>
            </w:r>
            <w:r w:rsidR="002E276C" w:rsidRPr="002E276C">
              <w:rPr>
                <w:rFonts w:ascii="Arial" w:hAnsi="Arial" w:cs="Arial"/>
                <w:color w:val="000000"/>
              </w:rPr>
              <w:t>79</w:t>
            </w:r>
            <w:r w:rsidR="00C070DA" w:rsidRPr="00811E49">
              <w:rPr>
                <w:rFonts w:ascii="Arial" w:hAnsi="Arial" w:cs="Arial"/>
                <w:color w:val="000000"/>
              </w:rPr>
              <w:t>%</w:t>
            </w:r>
          </w:p>
        </w:tc>
      </w:tr>
      <w:tr w:rsidR="00C070DA" w:rsidRPr="00C070DA" w14:paraId="6F6F2131" w14:textId="77777777" w:rsidTr="007F20E9">
        <w:trPr>
          <w:cnfStyle w:val="000000100000" w:firstRow="0" w:lastRow="0" w:firstColumn="0" w:lastColumn="0" w:oddVBand="0" w:evenVBand="0" w:oddHBand="1" w:evenHBand="0" w:firstRowFirstColumn="0" w:firstRowLastColumn="0" w:lastRowFirstColumn="0" w:lastRowLastColumn="0"/>
          <w:trHeight w:val="454"/>
        </w:trPr>
        <w:tc>
          <w:tcPr>
            <w:tcW w:w="3681" w:type="dxa"/>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3EEDA424" w14:textId="61504EA7" w:rsidR="00C070DA" w:rsidRPr="00B5484C" w:rsidRDefault="00C070DA" w:rsidP="003E7263">
            <w:pPr>
              <w:rPr>
                <w:rFonts w:cstheme="minorHAnsi"/>
              </w:rPr>
            </w:pPr>
            <w:r w:rsidRPr="00811E49">
              <w:rPr>
                <w:rFonts w:ascii="Arial" w:hAnsi="Arial" w:cs="Arial"/>
                <w:color w:val="000000"/>
              </w:rPr>
              <w:t>Trade waste risk rank 1</w:t>
            </w:r>
            <w:r w:rsidR="00880621" w:rsidRPr="00811E49">
              <w:rPr>
                <w:rFonts w:ascii="Arial" w:hAnsi="Arial" w:cs="Arial"/>
                <w:color w:val="000000"/>
              </w:rPr>
              <w:t xml:space="preserve"> ($/year)</w:t>
            </w:r>
          </w:p>
        </w:tc>
        <w:tc>
          <w:tcPr>
            <w:tcW w:w="1890" w:type="dxa"/>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3DBED876" w14:textId="7BB76008" w:rsidR="00C070DA" w:rsidRPr="00B5484C" w:rsidRDefault="00811E49" w:rsidP="00B5484C">
            <w:pPr>
              <w:jc w:val="center"/>
              <w:rPr>
                <w:rFonts w:cstheme="minorHAnsi"/>
              </w:rPr>
            </w:pPr>
            <w:r w:rsidRPr="00811E49">
              <w:rPr>
                <w:rFonts w:ascii="Arial" w:hAnsi="Arial" w:cs="Arial"/>
                <w:color w:val="000000"/>
              </w:rPr>
              <w:t>15999.00</w:t>
            </w:r>
          </w:p>
        </w:tc>
        <w:tc>
          <w:tcPr>
            <w:tcW w:w="1890" w:type="dxa"/>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5D830979" w14:textId="29E95536" w:rsidR="00C070DA" w:rsidRPr="00B5484C" w:rsidRDefault="002E276C" w:rsidP="00B5484C">
            <w:pPr>
              <w:jc w:val="center"/>
              <w:rPr>
                <w:rFonts w:cstheme="minorHAnsi"/>
              </w:rPr>
            </w:pPr>
            <w:r w:rsidRPr="002E276C">
              <w:rPr>
                <w:rFonts w:ascii="Arial" w:hAnsi="Arial" w:cs="Arial"/>
                <w:color w:val="000000"/>
              </w:rPr>
              <w:t>15073.24</w:t>
            </w:r>
          </w:p>
        </w:tc>
        <w:tc>
          <w:tcPr>
            <w:tcW w:w="1890" w:type="dxa"/>
            <w:tcBorders>
              <w:top w:val="single" w:sz="2" w:space="0" w:color="002279"/>
              <w:left w:val="single" w:sz="4" w:space="0" w:color="002279"/>
              <w:bottom w:val="single" w:sz="2" w:space="0" w:color="002279"/>
              <w:right w:val="single" w:sz="4" w:space="0" w:color="002279"/>
            </w:tcBorders>
            <w:shd w:val="clear" w:color="auto" w:fill="D4D6DF"/>
            <w:noWrap/>
            <w:vAlign w:val="center"/>
          </w:tcPr>
          <w:p w14:paraId="070F424C" w14:textId="1F615EA2" w:rsidR="00C070DA" w:rsidRPr="00B5484C" w:rsidRDefault="00233D01" w:rsidP="00B5484C">
            <w:pPr>
              <w:jc w:val="center"/>
              <w:rPr>
                <w:rFonts w:cstheme="minorHAnsi"/>
              </w:rPr>
            </w:pPr>
            <w:r w:rsidRPr="00811E49">
              <w:rPr>
                <w:rFonts w:ascii="Arial" w:hAnsi="Arial" w:cs="Arial"/>
                <w:color w:val="000000"/>
              </w:rPr>
              <w:t>-5</w:t>
            </w:r>
            <w:r w:rsidR="00E72804" w:rsidRPr="00811E49">
              <w:rPr>
                <w:rFonts w:ascii="Arial" w:hAnsi="Arial" w:cs="Arial"/>
                <w:color w:val="000000"/>
              </w:rPr>
              <w:t>.</w:t>
            </w:r>
            <w:r w:rsidR="002E276C" w:rsidRPr="002E276C">
              <w:rPr>
                <w:rFonts w:ascii="Arial" w:hAnsi="Arial" w:cs="Arial"/>
                <w:color w:val="000000"/>
              </w:rPr>
              <w:t>79</w:t>
            </w:r>
            <w:r w:rsidR="00C070DA" w:rsidRPr="00811E49">
              <w:rPr>
                <w:rFonts w:ascii="Arial" w:hAnsi="Arial" w:cs="Arial"/>
                <w:color w:val="000000"/>
              </w:rPr>
              <w:t>%</w:t>
            </w:r>
          </w:p>
        </w:tc>
      </w:tr>
      <w:tr w:rsidR="00C070DA" w:rsidRPr="00C070DA" w14:paraId="1BDD6F76" w14:textId="77777777" w:rsidTr="007F20E9">
        <w:trPr>
          <w:cnfStyle w:val="000000010000" w:firstRow="0" w:lastRow="0" w:firstColumn="0" w:lastColumn="0" w:oddVBand="0" w:evenVBand="0" w:oddHBand="0" w:evenHBand="1" w:firstRowFirstColumn="0" w:firstRowLastColumn="0" w:lastRowFirstColumn="0" w:lastRowLastColumn="0"/>
          <w:trHeight w:val="454"/>
        </w:trPr>
        <w:tc>
          <w:tcPr>
            <w:tcW w:w="3681" w:type="dxa"/>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15594EDD" w14:textId="126A58FC" w:rsidR="00C070DA" w:rsidRPr="00B5484C" w:rsidRDefault="00C070DA" w:rsidP="003E7263">
            <w:pPr>
              <w:rPr>
                <w:rFonts w:cstheme="minorHAnsi"/>
              </w:rPr>
            </w:pPr>
            <w:r w:rsidRPr="00811E49">
              <w:rPr>
                <w:rFonts w:ascii="Arial" w:hAnsi="Arial" w:cs="Arial"/>
                <w:color w:val="000000"/>
              </w:rPr>
              <w:t>Trade waste volume (</w:t>
            </w:r>
            <w:r w:rsidR="00880621" w:rsidRPr="00811E49">
              <w:rPr>
                <w:rFonts w:ascii="Arial" w:hAnsi="Arial" w:cs="Arial"/>
                <w:color w:val="000000"/>
              </w:rPr>
              <w:t>$/</w:t>
            </w:r>
            <w:r w:rsidRPr="00811E49">
              <w:rPr>
                <w:rFonts w:ascii="Arial" w:hAnsi="Arial" w:cs="Arial"/>
                <w:color w:val="000000"/>
              </w:rPr>
              <w:t>kL)</w:t>
            </w:r>
          </w:p>
        </w:tc>
        <w:tc>
          <w:tcPr>
            <w:tcW w:w="1890" w:type="dxa"/>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1E3323B8" w14:textId="1930DA1D" w:rsidR="00C070DA" w:rsidRPr="00B5484C" w:rsidRDefault="00C070DA" w:rsidP="00B5484C">
            <w:pPr>
              <w:jc w:val="center"/>
              <w:rPr>
                <w:rFonts w:cstheme="minorHAnsi"/>
              </w:rPr>
            </w:pPr>
            <w:r w:rsidRPr="00811E49">
              <w:rPr>
                <w:rFonts w:ascii="Arial" w:hAnsi="Arial" w:cs="Arial"/>
                <w:color w:val="000000"/>
              </w:rPr>
              <w:t>1.0433</w:t>
            </w:r>
          </w:p>
        </w:tc>
        <w:tc>
          <w:tcPr>
            <w:tcW w:w="1890" w:type="dxa"/>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2AEDFC7F" w14:textId="1FA1E3FB" w:rsidR="00C070DA" w:rsidRPr="00B5484C" w:rsidRDefault="00E72804" w:rsidP="00B5484C">
            <w:pPr>
              <w:jc w:val="center"/>
              <w:rPr>
                <w:rFonts w:cstheme="minorHAnsi"/>
              </w:rPr>
            </w:pPr>
            <w:r w:rsidRPr="00811E49">
              <w:rPr>
                <w:rFonts w:ascii="Arial" w:hAnsi="Arial" w:cs="Arial"/>
                <w:color w:val="000000"/>
              </w:rPr>
              <w:t>0.</w:t>
            </w:r>
            <w:r w:rsidR="002E276C" w:rsidRPr="002E276C">
              <w:rPr>
                <w:rFonts w:ascii="Arial" w:hAnsi="Arial" w:cs="Arial"/>
                <w:color w:val="000000"/>
              </w:rPr>
              <w:t>9829</w:t>
            </w:r>
          </w:p>
        </w:tc>
        <w:tc>
          <w:tcPr>
            <w:tcW w:w="1890" w:type="dxa"/>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tcPr>
          <w:p w14:paraId="06FC65E3" w14:textId="2B80F5C2" w:rsidR="00C070DA" w:rsidRPr="00B5484C" w:rsidRDefault="00233D01" w:rsidP="00B5484C">
            <w:pPr>
              <w:jc w:val="center"/>
              <w:rPr>
                <w:rFonts w:cstheme="minorHAnsi"/>
              </w:rPr>
            </w:pPr>
            <w:r w:rsidRPr="00811E49">
              <w:rPr>
                <w:rFonts w:ascii="Arial" w:hAnsi="Arial" w:cs="Arial"/>
                <w:color w:val="000000"/>
              </w:rPr>
              <w:t>-5</w:t>
            </w:r>
            <w:r w:rsidR="00E72804" w:rsidRPr="00811E49">
              <w:rPr>
                <w:rFonts w:ascii="Arial" w:hAnsi="Arial" w:cs="Arial"/>
                <w:color w:val="000000"/>
              </w:rPr>
              <w:t>.</w:t>
            </w:r>
            <w:r w:rsidR="002E276C" w:rsidRPr="002E276C">
              <w:rPr>
                <w:rFonts w:ascii="Arial" w:hAnsi="Arial" w:cs="Arial"/>
                <w:color w:val="000000"/>
              </w:rPr>
              <w:t>79</w:t>
            </w:r>
            <w:r w:rsidR="00C070DA" w:rsidRPr="00811E49">
              <w:rPr>
                <w:rFonts w:ascii="Arial" w:hAnsi="Arial" w:cs="Arial"/>
                <w:color w:val="000000"/>
              </w:rPr>
              <w:t>%</w:t>
            </w:r>
          </w:p>
        </w:tc>
      </w:tr>
      <w:tr w:rsidR="00C070DA" w:rsidRPr="00C070DA" w14:paraId="61F5D4FA" w14:textId="77777777" w:rsidTr="007F20E9">
        <w:trPr>
          <w:cnfStyle w:val="000000100000" w:firstRow="0" w:lastRow="0" w:firstColumn="0" w:lastColumn="0" w:oddVBand="0" w:evenVBand="0" w:oddHBand="1" w:evenHBand="0" w:firstRowFirstColumn="0" w:firstRowLastColumn="0" w:lastRowFirstColumn="0" w:lastRowLastColumn="0"/>
          <w:trHeight w:val="454"/>
        </w:trPr>
        <w:tc>
          <w:tcPr>
            <w:tcW w:w="3681" w:type="dxa"/>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1909CBF9" w14:textId="2D2A4A47" w:rsidR="00C070DA" w:rsidRPr="00B5484C" w:rsidRDefault="00C070DA" w:rsidP="003E7263">
            <w:pPr>
              <w:rPr>
                <w:rFonts w:cstheme="minorHAnsi"/>
              </w:rPr>
            </w:pPr>
            <w:r w:rsidRPr="00811E49">
              <w:rPr>
                <w:rFonts w:ascii="Arial" w:hAnsi="Arial" w:cs="Arial"/>
                <w:color w:val="000000"/>
              </w:rPr>
              <w:t xml:space="preserve">Billable </w:t>
            </w:r>
            <w:r w:rsidR="00811E49" w:rsidRPr="00811E49">
              <w:rPr>
                <w:rFonts w:ascii="Arial" w:hAnsi="Arial" w:cs="Arial"/>
                <w:color w:val="000000"/>
              </w:rPr>
              <w:t>Biochemical Oxygen Demand</w:t>
            </w:r>
            <w:r w:rsidRPr="00811E49">
              <w:rPr>
                <w:rFonts w:ascii="Arial" w:hAnsi="Arial" w:cs="Arial"/>
                <w:color w:val="000000"/>
              </w:rPr>
              <w:t xml:space="preserve"> (BOD) (</w:t>
            </w:r>
            <w:r w:rsidR="00880621" w:rsidRPr="00811E49">
              <w:rPr>
                <w:rFonts w:ascii="Arial" w:hAnsi="Arial" w:cs="Arial"/>
                <w:color w:val="000000"/>
              </w:rPr>
              <w:t>$/</w:t>
            </w:r>
            <w:r w:rsidRPr="00811E49">
              <w:rPr>
                <w:rFonts w:ascii="Arial" w:hAnsi="Arial" w:cs="Arial"/>
                <w:color w:val="000000"/>
              </w:rPr>
              <w:t>kg)</w:t>
            </w:r>
          </w:p>
        </w:tc>
        <w:tc>
          <w:tcPr>
            <w:tcW w:w="1890" w:type="dxa"/>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27E2DB96" w14:textId="523470FE" w:rsidR="00C070DA" w:rsidRPr="00B5484C" w:rsidRDefault="00C070DA" w:rsidP="00B5484C">
            <w:pPr>
              <w:jc w:val="center"/>
              <w:rPr>
                <w:rFonts w:cstheme="minorHAnsi"/>
              </w:rPr>
            </w:pPr>
            <w:r w:rsidRPr="00811E49">
              <w:rPr>
                <w:rFonts w:ascii="Arial" w:hAnsi="Arial" w:cs="Arial"/>
                <w:color w:val="000000"/>
              </w:rPr>
              <w:t>1.0312</w:t>
            </w:r>
          </w:p>
        </w:tc>
        <w:tc>
          <w:tcPr>
            <w:tcW w:w="1890" w:type="dxa"/>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450ED1F3" w14:textId="58D960FA" w:rsidR="00C070DA" w:rsidRPr="00B5484C" w:rsidRDefault="00E72804" w:rsidP="00B5484C">
            <w:pPr>
              <w:jc w:val="center"/>
              <w:rPr>
                <w:rFonts w:cstheme="minorHAnsi"/>
              </w:rPr>
            </w:pPr>
            <w:r w:rsidRPr="00811E49">
              <w:rPr>
                <w:rFonts w:ascii="Arial" w:hAnsi="Arial" w:cs="Arial"/>
                <w:color w:val="000000"/>
              </w:rPr>
              <w:t>0.</w:t>
            </w:r>
            <w:r w:rsidR="002E276C" w:rsidRPr="002E276C">
              <w:rPr>
                <w:rFonts w:ascii="Arial" w:hAnsi="Arial" w:cs="Arial"/>
                <w:color w:val="000000"/>
              </w:rPr>
              <w:t>9715</w:t>
            </w:r>
          </w:p>
        </w:tc>
        <w:tc>
          <w:tcPr>
            <w:tcW w:w="1890" w:type="dxa"/>
            <w:tcBorders>
              <w:top w:val="single" w:sz="2" w:space="0" w:color="002279"/>
              <w:left w:val="single" w:sz="4" w:space="0" w:color="002279"/>
              <w:bottom w:val="single" w:sz="2" w:space="0" w:color="002279"/>
              <w:right w:val="single" w:sz="4" w:space="0" w:color="002279"/>
            </w:tcBorders>
            <w:shd w:val="clear" w:color="auto" w:fill="D4D6DF"/>
            <w:noWrap/>
            <w:vAlign w:val="center"/>
          </w:tcPr>
          <w:p w14:paraId="6499238D" w14:textId="56B66894" w:rsidR="00C070DA" w:rsidRPr="00B5484C" w:rsidRDefault="00233D01" w:rsidP="00B5484C">
            <w:pPr>
              <w:jc w:val="center"/>
              <w:rPr>
                <w:rFonts w:cstheme="minorHAnsi"/>
              </w:rPr>
            </w:pPr>
            <w:r w:rsidRPr="00811E49">
              <w:rPr>
                <w:rFonts w:ascii="Arial" w:hAnsi="Arial" w:cs="Arial"/>
                <w:color w:val="000000"/>
              </w:rPr>
              <w:t>-5</w:t>
            </w:r>
            <w:r w:rsidR="00E72804" w:rsidRPr="00811E49">
              <w:rPr>
                <w:rFonts w:ascii="Arial" w:hAnsi="Arial" w:cs="Arial"/>
                <w:color w:val="000000"/>
              </w:rPr>
              <w:t>.</w:t>
            </w:r>
            <w:r w:rsidR="002E276C" w:rsidRPr="002E276C">
              <w:rPr>
                <w:rFonts w:ascii="Arial" w:hAnsi="Arial" w:cs="Arial"/>
                <w:color w:val="000000"/>
              </w:rPr>
              <w:t>79</w:t>
            </w:r>
            <w:r w:rsidR="00C070DA" w:rsidRPr="00811E49">
              <w:rPr>
                <w:rFonts w:ascii="Arial" w:hAnsi="Arial" w:cs="Arial"/>
                <w:color w:val="000000"/>
              </w:rPr>
              <w:t>%</w:t>
            </w:r>
          </w:p>
        </w:tc>
      </w:tr>
      <w:tr w:rsidR="00C070DA" w:rsidRPr="00C070DA" w14:paraId="5D9B5838" w14:textId="77777777" w:rsidTr="007F20E9">
        <w:trPr>
          <w:cnfStyle w:val="000000010000" w:firstRow="0" w:lastRow="0" w:firstColumn="0" w:lastColumn="0" w:oddVBand="0" w:evenVBand="0" w:oddHBand="0" w:evenHBand="1" w:firstRowFirstColumn="0" w:firstRowLastColumn="0" w:lastRowFirstColumn="0" w:lastRowLastColumn="0"/>
          <w:trHeight w:val="454"/>
        </w:trPr>
        <w:tc>
          <w:tcPr>
            <w:tcW w:w="3681" w:type="dxa"/>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2EF86538" w14:textId="3980E289" w:rsidR="00C070DA" w:rsidRPr="00B5484C" w:rsidRDefault="00C070DA" w:rsidP="003E7263">
            <w:pPr>
              <w:rPr>
                <w:rFonts w:cstheme="minorHAnsi"/>
              </w:rPr>
            </w:pPr>
            <w:r w:rsidRPr="00811E49">
              <w:rPr>
                <w:rFonts w:ascii="Arial" w:hAnsi="Arial" w:cs="Arial"/>
                <w:color w:val="000000"/>
              </w:rPr>
              <w:t>Billable suspended solids (</w:t>
            </w:r>
            <w:r w:rsidR="00880621" w:rsidRPr="00811E49">
              <w:rPr>
                <w:rFonts w:ascii="Arial" w:hAnsi="Arial" w:cs="Arial"/>
                <w:color w:val="000000"/>
              </w:rPr>
              <w:t>$/</w:t>
            </w:r>
            <w:r w:rsidRPr="00811E49">
              <w:rPr>
                <w:rFonts w:ascii="Arial" w:hAnsi="Arial" w:cs="Arial"/>
                <w:color w:val="000000"/>
              </w:rPr>
              <w:t>kg)</w:t>
            </w:r>
          </w:p>
        </w:tc>
        <w:tc>
          <w:tcPr>
            <w:tcW w:w="1890" w:type="dxa"/>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0A4FEC7D" w14:textId="54FB09C0" w:rsidR="00C070DA" w:rsidRPr="00B5484C" w:rsidRDefault="00C070DA" w:rsidP="00B5484C">
            <w:pPr>
              <w:jc w:val="center"/>
              <w:rPr>
                <w:rFonts w:cstheme="minorHAnsi"/>
              </w:rPr>
            </w:pPr>
            <w:r w:rsidRPr="00811E49">
              <w:rPr>
                <w:rFonts w:ascii="Arial" w:hAnsi="Arial" w:cs="Arial"/>
                <w:color w:val="000000"/>
              </w:rPr>
              <w:t>0.5782</w:t>
            </w:r>
          </w:p>
        </w:tc>
        <w:tc>
          <w:tcPr>
            <w:tcW w:w="1890" w:type="dxa"/>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37303467" w14:textId="021AFCA8" w:rsidR="00C070DA" w:rsidRPr="00B5484C" w:rsidRDefault="00C070DA" w:rsidP="00B5484C">
            <w:pPr>
              <w:jc w:val="center"/>
              <w:rPr>
                <w:rFonts w:cstheme="minorHAnsi"/>
              </w:rPr>
            </w:pPr>
            <w:r w:rsidRPr="00811E49">
              <w:rPr>
                <w:rFonts w:ascii="Arial" w:hAnsi="Arial" w:cs="Arial"/>
                <w:color w:val="000000"/>
              </w:rPr>
              <w:t>0.</w:t>
            </w:r>
            <w:r w:rsidR="002E276C" w:rsidRPr="002E276C">
              <w:rPr>
                <w:rFonts w:ascii="Arial" w:hAnsi="Arial" w:cs="Arial"/>
                <w:color w:val="000000"/>
              </w:rPr>
              <w:t>5447</w:t>
            </w:r>
          </w:p>
        </w:tc>
        <w:tc>
          <w:tcPr>
            <w:tcW w:w="1890" w:type="dxa"/>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tcPr>
          <w:p w14:paraId="4F5727B6" w14:textId="2EAF0548" w:rsidR="00C070DA" w:rsidRPr="00B5484C" w:rsidRDefault="00233D01" w:rsidP="00B5484C">
            <w:pPr>
              <w:jc w:val="center"/>
              <w:rPr>
                <w:rFonts w:cstheme="minorHAnsi"/>
              </w:rPr>
            </w:pPr>
            <w:r w:rsidRPr="00811E49">
              <w:rPr>
                <w:rFonts w:ascii="Arial" w:hAnsi="Arial" w:cs="Arial"/>
                <w:color w:val="000000"/>
              </w:rPr>
              <w:t>-5</w:t>
            </w:r>
            <w:r w:rsidR="00E72804" w:rsidRPr="00811E49">
              <w:rPr>
                <w:rFonts w:ascii="Arial" w:hAnsi="Arial" w:cs="Arial"/>
                <w:color w:val="000000"/>
              </w:rPr>
              <w:t>.</w:t>
            </w:r>
            <w:r w:rsidR="002E276C" w:rsidRPr="002E276C">
              <w:rPr>
                <w:rFonts w:ascii="Arial" w:hAnsi="Arial" w:cs="Arial"/>
                <w:color w:val="000000"/>
              </w:rPr>
              <w:t>79</w:t>
            </w:r>
            <w:r w:rsidR="00C070DA" w:rsidRPr="00811E49">
              <w:rPr>
                <w:rFonts w:ascii="Arial" w:hAnsi="Arial" w:cs="Arial"/>
                <w:color w:val="000000"/>
              </w:rPr>
              <w:t>%</w:t>
            </w:r>
          </w:p>
        </w:tc>
      </w:tr>
      <w:tr w:rsidR="00C070DA" w:rsidRPr="00C070DA" w14:paraId="47696822" w14:textId="77777777" w:rsidTr="007F20E9">
        <w:trPr>
          <w:cnfStyle w:val="000000100000" w:firstRow="0" w:lastRow="0" w:firstColumn="0" w:lastColumn="0" w:oddVBand="0" w:evenVBand="0" w:oddHBand="1" w:evenHBand="0" w:firstRowFirstColumn="0" w:firstRowLastColumn="0" w:lastRowFirstColumn="0" w:lastRowLastColumn="0"/>
          <w:trHeight w:val="454"/>
        </w:trPr>
        <w:tc>
          <w:tcPr>
            <w:tcW w:w="3681" w:type="dxa"/>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2B9433C9" w14:textId="0918DC41" w:rsidR="00C070DA" w:rsidRPr="00B5484C" w:rsidRDefault="00C070DA" w:rsidP="003E7263">
            <w:pPr>
              <w:rPr>
                <w:rFonts w:cstheme="minorHAnsi"/>
              </w:rPr>
            </w:pPr>
            <w:r w:rsidRPr="00811E49">
              <w:rPr>
                <w:rFonts w:ascii="Arial" w:hAnsi="Arial" w:cs="Arial"/>
                <w:color w:val="000000"/>
              </w:rPr>
              <w:t xml:space="preserve">Billable </w:t>
            </w:r>
            <w:r w:rsidR="00811E49" w:rsidRPr="00811E49">
              <w:rPr>
                <w:rFonts w:ascii="Arial" w:hAnsi="Arial" w:cs="Arial"/>
                <w:color w:val="000000"/>
              </w:rPr>
              <w:t>Total</w:t>
            </w:r>
            <w:r w:rsidRPr="00811E49">
              <w:rPr>
                <w:rFonts w:ascii="Arial" w:hAnsi="Arial" w:cs="Arial"/>
                <w:color w:val="000000"/>
              </w:rPr>
              <w:t xml:space="preserve"> Kjeldahl </w:t>
            </w:r>
            <w:r w:rsidR="00811E49" w:rsidRPr="00811E49">
              <w:rPr>
                <w:rFonts w:ascii="Arial" w:hAnsi="Arial" w:cs="Arial"/>
                <w:color w:val="000000"/>
              </w:rPr>
              <w:t>Nitrogen (</w:t>
            </w:r>
            <w:r w:rsidR="002A1218">
              <w:rPr>
                <w:rFonts w:ascii="Arial" w:hAnsi="Arial" w:cs="Arial"/>
                <w:color w:val="000000"/>
              </w:rPr>
              <w:t>TKN</w:t>
            </w:r>
            <w:r w:rsidRPr="00811E49">
              <w:rPr>
                <w:rFonts w:ascii="Arial" w:hAnsi="Arial" w:cs="Arial"/>
                <w:color w:val="000000"/>
              </w:rPr>
              <w:t>) (</w:t>
            </w:r>
            <w:r w:rsidR="00880621" w:rsidRPr="00811E49">
              <w:rPr>
                <w:rFonts w:ascii="Arial" w:hAnsi="Arial" w:cs="Arial"/>
                <w:color w:val="000000"/>
              </w:rPr>
              <w:t>$/</w:t>
            </w:r>
            <w:r w:rsidRPr="00811E49">
              <w:rPr>
                <w:rFonts w:ascii="Arial" w:hAnsi="Arial" w:cs="Arial"/>
                <w:color w:val="000000"/>
              </w:rPr>
              <w:t>kg)</w:t>
            </w:r>
          </w:p>
        </w:tc>
        <w:tc>
          <w:tcPr>
            <w:tcW w:w="1890" w:type="dxa"/>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6F937EE2" w14:textId="70E913AE" w:rsidR="00C070DA" w:rsidRPr="00B5484C" w:rsidRDefault="00C070DA" w:rsidP="00B5484C">
            <w:pPr>
              <w:jc w:val="center"/>
              <w:rPr>
                <w:rFonts w:cstheme="minorHAnsi"/>
              </w:rPr>
            </w:pPr>
            <w:r w:rsidRPr="00811E49">
              <w:rPr>
                <w:rFonts w:ascii="Arial" w:hAnsi="Arial" w:cs="Arial"/>
                <w:color w:val="000000"/>
              </w:rPr>
              <w:t>2.2656</w:t>
            </w:r>
          </w:p>
        </w:tc>
        <w:tc>
          <w:tcPr>
            <w:tcW w:w="1890" w:type="dxa"/>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08778E47" w14:textId="0BAD281E" w:rsidR="00C070DA" w:rsidRPr="00B5484C" w:rsidRDefault="00C070DA" w:rsidP="00B5484C">
            <w:pPr>
              <w:jc w:val="center"/>
              <w:rPr>
                <w:rFonts w:cstheme="minorHAnsi"/>
              </w:rPr>
            </w:pPr>
            <w:r w:rsidRPr="00811E49">
              <w:rPr>
                <w:rFonts w:ascii="Arial" w:hAnsi="Arial" w:cs="Arial"/>
                <w:color w:val="000000"/>
              </w:rPr>
              <w:t>2.</w:t>
            </w:r>
            <w:r w:rsidR="002E276C" w:rsidRPr="002E276C">
              <w:rPr>
                <w:rFonts w:ascii="Arial" w:hAnsi="Arial" w:cs="Arial"/>
                <w:color w:val="000000"/>
              </w:rPr>
              <w:t>1345</w:t>
            </w:r>
          </w:p>
        </w:tc>
        <w:tc>
          <w:tcPr>
            <w:tcW w:w="1890" w:type="dxa"/>
            <w:tcBorders>
              <w:top w:val="single" w:sz="2" w:space="0" w:color="002279"/>
              <w:left w:val="single" w:sz="4" w:space="0" w:color="002279"/>
              <w:bottom w:val="single" w:sz="2" w:space="0" w:color="002279"/>
              <w:right w:val="single" w:sz="4" w:space="0" w:color="002279"/>
            </w:tcBorders>
            <w:shd w:val="clear" w:color="auto" w:fill="D4D6DF"/>
            <w:noWrap/>
            <w:vAlign w:val="center"/>
          </w:tcPr>
          <w:p w14:paraId="6D99FC1A" w14:textId="57BE60FC" w:rsidR="00C070DA" w:rsidRPr="00B5484C" w:rsidRDefault="00233D01" w:rsidP="00B5484C">
            <w:pPr>
              <w:jc w:val="center"/>
              <w:rPr>
                <w:rFonts w:cstheme="minorHAnsi"/>
              </w:rPr>
            </w:pPr>
            <w:r w:rsidRPr="00811E49">
              <w:rPr>
                <w:rFonts w:ascii="Arial" w:hAnsi="Arial" w:cs="Arial"/>
                <w:color w:val="000000"/>
              </w:rPr>
              <w:t>-5</w:t>
            </w:r>
            <w:r w:rsidR="00E72804" w:rsidRPr="00811E49">
              <w:rPr>
                <w:rFonts w:ascii="Arial" w:hAnsi="Arial" w:cs="Arial"/>
                <w:color w:val="000000"/>
              </w:rPr>
              <w:t>.</w:t>
            </w:r>
            <w:r w:rsidR="002E276C" w:rsidRPr="002E276C">
              <w:rPr>
                <w:rFonts w:ascii="Arial" w:hAnsi="Arial" w:cs="Arial"/>
                <w:color w:val="000000"/>
              </w:rPr>
              <w:t>79</w:t>
            </w:r>
            <w:r w:rsidR="00C070DA" w:rsidRPr="00811E49">
              <w:rPr>
                <w:rFonts w:ascii="Arial" w:hAnsi="Arial" w:cs="Arial"/>
                <w:color w:val="000000"/>
              </w:rPr>
              <w:t>%</w:t>
            </w:r>
          </w:p>
        </w:tc>
      </w:tr>
      <w:tr w:rsidR="007218B7" w:rsidRPr="00C070DA" w14:paraId="57FFC2F4" w14:textId="77777777" w:rsidTr="007F20E9">
        <w:trPr>
          <w:cnfStyle w:val="000000010000" w:firstRow="0" w:lastRow="0" w:firstColumn="0" w:lastColumn="0" w:oddVBand="0" w:evenVBand="0" w:oddHBand="0" w:evenHBand="1" w:firstRowFirstColumn="0" w:firstRowLastColumn="0" w:lastRowFirstColumn="0" w:lastRowLastColumn="0"/>
          <w:trHeight w:val="454"/>
        </w:trPr>
        <w:tc>
          <w:tcPr>
            <w:tcW w:w="3681" w:type="dxa"/>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tcPr>
          <w:p w14:paraId="2D0692B9" w14:textId="0DAD83FA" w:rsidR="007218B7" w:rsidRPr="00B5484C" w:rsidRDefault="00326E9E" w:rsidP="003E7263">
            <w:pPr>
              <w:rPr>
                <w:rFonts w:cstheme="minorHAnsi"/>
              </w:rPr>
            </w:pPr>
            <w:bookmarkStart w:id="102" w:name="_Hlk113545659"/>
            <w:r w:rsidRPr="00811E49">
              <w:rPr>
                <w:rFonts w:ascii="Arial" w:hAnsi="Arial" w:cs="Arial"/>
                <w:color w:val="000000"/>
              </w:rPr>
              <w:t>Trade waste application fee</w:t>
            </w:r>
            <w:r w:rsidR="00880621" w:rsidRPr="00811E49">
              <w:rPr>
                <w:rFonts w:ascii="Arial" w:hAnsi="Arial" w:cs="Arial"/>
                <w:color w:val="000000"/>
              </w:rPr>
              <w:t xml:space="preserve"> (per application)</w:t>
            </w:r>
          </w:p>
        </w:tc>
        <w:tc>
          <w:tcPr>
            <w:tcW w:w="1890" w:type="dxa"/>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tcPr>
          <w:p w14:paraId="70379387" w14:textId="0554B1B2" w:rsidR="007218B7" w:rsidRPr="00B5484C" w:rsidRDefault="00331F7C" w:rsidP="00B5484C">
            <w:pPr>
              <w:jc w:val="center"/>
              <w:rPr>
                <w:rFonts w:cstheme="minorHAnsi"/>
              </w:rPr>
            </w:pPr>
            <w:r w:rsidRPr="00811E49">
              <w:rPr>
                <w:rFonts w:ascii="Arial" w:hAnsi="Arial" w:cs="Arial"/>
                <w:color w:val="000000"/>
              </w:rPr>
              <w:t>62</w:t>
            </w:r>
            <w:r w:rsidR="005078CF" w:rsidRPr="00811E49">
              <w:rPr>
                <w:rFonts w:ascii="Arial" w:hAnsi="Arial" w:cs="Arial"/>
                <w:color w:val="000000"/>
              </w:rPr>
              <w:t>.00</w:t>
            </w:r>
          </w:p>
        </w:tc>
        <w:tc>
          <w:tcPr>
            <w:tcW w:w="1890" w:type="dxa"/>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tcPr>
          <w:p w14:paraId="1F239775" w14:textId="13455832" w:rsidR="007218B7" w:rsidRPr="00B5484C" w:rsidRDefault="00E72804" w:rsidP="00B5484C">
            <w:pPr>
              <w:jc w:val="center"/>
              <w:rPr>
                <w:rFonts w:cstheme="minorHAnsi"/>
              </w:rPr>
            </w:pPr>
            <w:r w:rsidRPr="00811E49">
              <w:rPr>
                <w:rFonts w:ascii="Arial" w:hAnsi="Arial" w:cs="Arial"/>
                <w:color w:val="000000"/>
              </w:rPr>
              <w:t>58.</w:t>
            </w:r>
            <w:r w:rsidR="002E276C" w:rsidRPr="002E276C">
              <w:rPr>
                <w:rFonts w:ascii="Arial" w:hAnsi="Arial" w:cs="Arial"/>
                <w:color w:val="000000"/>
              </w:rPr>
              <w:t>41</w:t>
            </w:r>
          </w:p>
        </w:tc>
        <w:tc>
          <w:tcPr>
            <w:tcW w:w="1890" w:type="dxa"/>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tcPr>
          <w:p w14:paraId="33762F42" w14:textId="701C3CDB" w:rsidR="007218B7" w:rsidRPr="00B5484C" w:rsidRDefault="00E72804" w:rsidP="00B5484C">
            <w:pPr>
              <w:jc w:val="center"/>
              <w:rPr>
                <w:rFonts w:cstheme="minorHAnsi"/>
              </w:rPr>
            </w:pPr>
            <w:r w:rsidRPr="00811E49">
              <w:rPr>
                <w:rFonts w:ascii="Arial" w:hAnsi="Arial" w:cs="Arial"/>
                <w:color w:val="000000"/>
              </w:rPr>
              <w:t>-5.</w:t>
            </w:r>
            <w:r w:rsidR="002E276C" w:rsidRPr="002E276C">
              <w:rPr>
                <w:rFonts w:ascii="Arial" w:hAnsi="Arial" w:cs="Arial"/>
                <w:color w:val="000000"/>
              </w:rPr>
              <w:t>79</w:t>
            </w:r>
            <w:r w:rsidRPr="00811E49">
              <w:rPr>
                <w:rFonts w:ascii="Arial" w:hAnsi="Arial" w:cs="Arial"/>
                <w:color w:val="000000"/>
              </w:rPr>
              <w:t>%</w:t>
            </w:r>
          </w:p>
        </w:tc>
      </w:tr>
      <w:tr w:rsidR="007218B7" w:rsidRPr="00C070DA" w14:paraId="21A949C9" w14:textId="77777777" w:rsidTr="007F20E9">
        <w:trPr>
          <w:cnfStyle w:val="000000100000" w:firstRow="0" w:lastRow="0" w:firstColumn="0" w:lastColumn="0" w:oddVBand="0" w:evenVBand="0" w:oddHBand="1" w:evenHBand="0" w:firstRowFirstColumn="0" w:firstRowLastColumn="0" w:lastRowFirstColumn="0" w:lastRowLastColumn="0"/>
          <w:trHeight w:val="454"/>
        </w:trPr>
        <w:tc>
          <w:tcPr>
            <w:tcW w:w="3681" w:type="dxa"/>
            <w:tcBorders>
              <w:top w:val="single" w:sz="2" w:space="0" w:color="002279"/>
              <w:left w:val="single" w:sz="4" w:space="0" w:color="002279"/>
              <w:bottom w:val="single" w:sz="4" w:space="0" w:color="002279"/>
              <w:right w:val="single" w:sz="4" w:space="0" w:color="002279"/>
            </w:tcBorders>
            <w:shd w:val="clear" w:color="auto" w:fill="D4D6DF"/>
            <w:noWrap/>
            <w:vAlign w:val="center"/>
          </w:tcPr>
          <w:p w14:paraId="4C4BF4EA" w14:textId="5130B543" w:rsidR="007218B7" w:rsidRPr="00B5484C" w:rsidRDefault="00326E9E" w:rsidP="003E7263">
            <w:pPr>
              <w:rPr>
                <w:rFonts w:cstheme="minorHAnsi"/>
                <w:b/>
              </w:rPr>
            </w:pPr>
            <w:r w:rsidRPr="00811E49">
              <w:rPr>
                <w:rFonts w:ascii="Arial" w:hAnsi="Arial" w:cs="Arial"/>
                <w:color w:val="000000"/>
              </w:rPr>
              <w:t>Food waste – hospital and other institutions (per bed)</w:t>
            </w:r>
          </w:p>
        </w:tc>
        <w:tc>
          <w:tcPr>
            <w:tcW w:w="1890" w:type="dxa"/>
            <w:tcBorders>
              <w:top w:val="single" w:sz="2" w:space="0" w:color="002279"/>
              <w:left w:val="single" w:sz="4" w:space="0" w:color="002279"/>
              <w:bottom w:val="single" w:sz="4" w:space="0" w:color="002279"/>
              <w:right w:val="single" w:sz="4" w:space="0" w:color="002279"/>
            </w:tcBorders>
            <w:shd w:val="clear" w:color="auto" w:fill="D4D6DF"/>
            <w:noWrap/>
            <w:vAlign w:val="center"/>
          </w:tcPr>
          <w:p w14:paraId="18FF8D5A" w14:textId="18DF1E97" w:rsidR="007218B7" w:rsidRPr="00B5484C" w:rsidRDefault="00EB42D0" w:rsidP="00B5484C">
            <w:pPr>
              <w:jc w:val="center"/>
              <w:rPr>
                <w:rFonts w:cstheme="minorHAnsi"/>
              </w:rPr>
            </w:pPr>
            <w:r w:rsidRPr="00811E49">
              <w:rPr>
                <w:rFonts w:ascii="Arial" w:hAnsi="Arial" w:cs="Arial"/>
                <w:color w:val="000000"/>
              </w:rPr>
              <w:t>55.32</w:t>
            </w:r>
          </w:p>
        </w:tc>
        <w:tc>
          <w:tcPr>
            <w:tcW w:w="1890" w:type="dxa"/>
            <w:tcBorders>
              <w:top w:val="single" w:sz="2" w:space="0" w:color="002279"/>
              <w:left w:val="single" w:sz="4" w:space="0" w:color="002279"/>
              <w:bottom w:val="single" w:sz="4" w:space="0" w:color="002279"/>
              <w:right w:val="single" w:sz="4" w:space="0" w:color="002279"/>
            </w:tcBorders>
            <w:shd w:val="clear" w:color="auto" w:fill="D4D6DF"/>
            <w:noWrap/>
            <w:vAlign w:val="center"/>
          </w:tcPr>
          <w:p w14:paraId="1EDE6F18" w14:textId="662D22F9" w:rsidR="007218B7" w:rsidRPr="00B5484C" w:rsidRDefault="00E72804" w:rsidP="00B5484C">
            <w:pPr>
              <w:jc w:val="center"/>
              <w:rPr>
                <w:rFonts w:cstheme="minorHAnsi"/>
              </w:rPr>
            </w:pPr>
            <w:r w:rsidRPr="00811E49">
              <w:rPr>
                <w:rFonts w:ascii="Arial" w:hAnsi="Arial" w:cs="Arial"/>
                <w:color w:val="000000"/>
              </w:rPr>
              <w:t>52.</w:t>
            </w:r>
            <w:r w:rsidR="002E276C" w:rsidRPr="002E276C">
              <w:rPr>
                <w:rFonts w:ascii="Arial" w:hAnsi="Arial" w:cs="Arial"/>
                <w:color w:val="000000"/>
              </w:rPr>
              <w:t>12</w:t>
            </w:r>
          </w:p>
        </w:tc>
        <w:tc>
          <w:tcPr>
            <w:tcW w:w="1890" w:type="dxa"/>
            <w:tcBorders>
              <w:top w:val="single" w:sz="2" w:space="0" w:color="002279"/>
              <w:left w:val="single" w:sz="4" w:space="0" w:color="002279"/>
              <w:bottom w:val="single" w:sz="4" w:space="0" w:color="002279"/>
              <w:right w:val="single" w:sz="4" w:space="0" w:color="002279"/>
            </w:tcBorders>
            <w:shd w:val="clear" w:color="auto" w:fill="D4D6DF"/>
            <w:noWrap/>
            <w:vAlign w:val="center"/>
          </w:tcPr>
          <w:p w14:paraId="5658A470" w14:textId="5A75ADFE" w:rsidR="007218B7" w:rsidRPr="00B5484C" w:rsidRDefault="00E72804" w:rsidP="00B5484C">
            <w:pPr>
              <w:jc w:val="center"/>
              <w:rPr>
                <w:rFonts w:cstheme="minorHAnsi"/>
              </w:rPr>
            </w:pPr>
            <w:r w:rsidRPr="00811E49">
              <w:rPr>
                <w:rFonts w:ascii="Arial" w:hAnsi="Arial" w:cs="Arial"/>
                <w:color w:val="000000"/>
              </w:rPr>
              <w:t>-5.</w:t>
            </w:r>
            <w:r w:rsidR="002E276C" w:rsidRPr="002E276C">
              <w:rPr>
                <w:rFonts w:ascii="Arial" w:hAnsi="Arial" w:cs="Arial"/>
                <w:color w:val="000000"/>
              </w:rPr>
              <w:t>79</w:t>
            </w:r>
            <w:r w:rsidRPr="00811E49">
              <w:rPr>
                <w:rFonts w:ascii="Arial" w:hAnsi="Arial" w:cs="Arial"/>
                <w:color w:val="000000"/>
              </w:rPr>
              <w:t>%</w:t>
            </w:r>
          </w:p>
        </w:tc>
      </w:tr>
      <w:bookmarkEnd w:id="102"/>
    </w:tbl>
    <w:p w14:paraId="0D3CFF42" w14:textId="77777777" w:rsidR="00EB5963" w:rsidRPr="00EB5963" w:rsidRDefault="00EB5963" w:rsidP="00AE35E9">
      <w:pPr>
        <w:rPr>
          <w:b/>
          <w:bCs/>
        </w:rPr>
      </w:pPr>
    </w:p>
    <w:p w14:paraId="073DE0C7" w14:textId="7F32FE8C" w:rsidR="00AE35E9" w:rsidRDefault="00AE35E9">
      <w:pPr>
        <w:pStyle w:val="Heading2"/>
      </w:pPr>
      <w:bookmarkStart w:id="103" w:name="_Toc103770968"/>
      <w:r>
        <w:t>10.5 New customer contributions and backlog charges</w:t>
      </w:r>
      <w:bookmarkEnd w:id="103"/>
    </w:p>
    <w:p w14:paraId="6BE4E072" w14:textId="7E2ECE16" w:rsidR="00AE35E9" w:rsidRPr="002B7F19" w:rsidRDefault="002B7F19" w:rsidP="0034133C">
      <w:pPr>
        <w:pStyle w:val="Heading3"/>
        <w:rPr>
          <w:b w:val="0"/>
        </w:rPr>
      </w:pPr>
      <w:r w:rsidRPr="002B7F19">
        <w:t xml:space="preserve">Current approach </w:t>
      </w:r>
    </w:p>
    <w:p w14:paraId="4683716C" w14:textId="3F8FCC8F" w:rsidR="00AE35E9" w:rsidRDefault="002D52F3" w:rsidP="00AE35E9">
      <w:r w:rsidRPr="002D52F3">
        <w:t xml:space="preserve">South East Water is responsible for </w:t>
      </w:r>
      <w:r w:rsidR="00EF5761">
        <w:t xml:space="preserve">the </w:t>
      </w:r>
      <w:r w:rsidRPr="002D52F3">
        <w:t xml:space="preserve">delivery of assets that cater for growth within its service area. NCCs </w:t>
      </w:r>
      <w:r w:rsidR="00303DAF">
        <w:t xml:space="preserve">(new customer contributions) </w:t>
      </w:r>
      <w:r w:rsidRPr="002D52F3">
        <w:t>are charged to developers by service on a per lot basis. These charges are intended to recover a contribution to infrastructure costs being driven by new customers. In the current regulatory period</w:t>
      </w:r>
      <w:r w:rsidR="00B42C5E">
        <w:t>,</w:t>
      </w:r>
      <w:r w:rsidRPr="002D52F3">
        <w:t xml:space="preserve"> separate NCC charges for water, sew</w:t>
      </w:r>
      <w:r w:rsidR="00810268">
        <w:t>er</w:t>
      </w:r>
      <w:r w:rsidRPr="002D52F3">
        <w:t xml:space="preserve">age and recycled water are applied to new customers in the </w:t>
      </w:r>
      <w:r w:rsidRPr="002D52F3">
        <w:lastRenderedPageBreak/>
        <w:t xml:space="preserve">Casey and Cardinia growth areas, with separate charges for </w:t>
      </w:r>
      <w:r w:rsidR="00612583">
        <w:t>‘</w:t>
      </w:r>
      <w:r w:rsidR="00ED572F">
        <w:t>o</w:t>
      </w:r>
      <w:r w:rsidRPr="002D52F3">
        <w:t>ther areas</w:t>
      </w:r>
      <w:r w:rsidR="00612583">
        <w:t>’</w:t>
      </w:r>
      <w:r w:rsidRPr="002D52F3">
        <w:t>.</w:t>
      </w:r>
      <w:r w:rsidR="005E1AC1">
        <w:t xml:space="preserve"> The </w:t>
      </w:r>
      <w:r w:rsidR="00612583">
        <w:t>‘</w:t>
      </w:r>
      <w:r w:rsidR="00ED572F">
        <w:t>o</w:t>
      </w:r>
      <w:r w:rsidR="005E1AC1">
        <w:t>ther areas</w:t>
      </w:r>
      <w:r w:rsidR="00612583">
        <w:t>’</w:t>
      </w:r>
      <w:r w:rsidR="005E1AC1">
        <w:t xml:space="preserve"> charge </w:t>
      </w:r>
      <w:r w:rsidR="00810268">
        <w:t>also extend</w:t>
      </w:r>
      <w:r w:rsidR="00727AF2">
        <w:t>s</w:t>
      </w:r>
      <w:r w:rsidR="00810268">
        <w:t xml:space="preserve"> to lots less than 300m</w:t>
      </w:r>
      <w:r w:rsidR="00810268">
        <w:rPr>
          <w:vertAlign w:val="superscript"/>
        </w:rPr>
        <w:t>2</w:t>
      </w:r>
      <w:r>
        <w:rPr>
          <w:vertAlign w:val="superscript"/>
        </w:rPr>
        <w:t xml:space="preserve"> </w:t>
      </w:r>
      <w:r w:rsidR="00810268" w:rsidRPr="00810268">
        <w:t>i</w:t>
      </w:r>
      <w:r w:rsidR="00810268">
        <w:t xml:space="preserve">n </w:t>
      </w:r>
      <w:r w:rsidR="00727AF2">
        <w:t>size</w:t>
      </w:r>
      <w:r w:rsidRPr="002D52F3">
        <w:t xml:space="preserve"> </w:t>
      </w:r>
      <w:r w:rsidR="00810268" w:rsidRPr="00810268">
        <w:t>i</w:t>
      </w:r>
      <w:r w:rsidR="00810268">
        <w:t>n the Casey and Cardinia growth areas.</w:t>
      </w:r>
      <w:r w:rsidRPr="002D52F3">
        <w:t xml:space="preserve"> South East Water</w:t>
      </w:r>
      <w:r w:rsidR="00612583">
        <w:t>’</w:t>
      </w:r>
      <w:r w:rsidRPr="002D52F3">
        <w:t xml:space="preserve">s current growth area NCCs included in the 2018 </w:t>
      </w:r>
      <w:r w:rsidR="00C83E8A">
        <w:t>P</w:t>
      </w:r>
      <w:r w:rsidRPr="002D52F3">
        <w:t xml:space="preserve">rice </w:t>
      </w:r>
      <w:r w:rsidR="003E5B19">
        <w:t>D</w:t>
      </w:r>
      <w:r w:rsidRPr="002D52F3">
        <w:t>etermination were reviewed against the ESC</w:t>
      </w:r>
      <w:r w:rsidR="00612583">
        <w:t>’</w:t>
      </w:r>
      <w:r w:rsidRPr="002D52F3">
        <w:t>s pricing principles, using the ESC</w:t>
      </w:r>
      <w:r w:rsidR="00612583">
        <w:t>’</w:t>
      </w:r>
      <w:r w:rsidRPr="002D52F3">
        <w:t>s Net Incremental Cost model.</w:t>
      </w:r>
      <w:r w:rsidR="00A1315F">
        <w:t xml:space="preserve"> </w:t>
      </w:r>
    </w:p>
    <w:p w14:paraId="3BA30763" w14:textId="32342375" w:rsidR="00AE35E9" w:rsidRPr="00360131" w:rsidRDefault="00CC5BA3" w:rsidP="00F01B35">
      <w:pPr>
        <w:pStyle w:val="Heading3"/>
      </w:pPr>
      <w:bookmarkStart w:id="104" w:name="_Hlk113019269"/>
      <w:r w:rsidRPr="00F01B35">
        <w:t>A</w:t>
      </w:r>
      <w:r w:rsidRPr="00360131">
        <w:t>ssessment and proposed approach for 2023</w:t>
      </w:r>
      <w:r w:rsidR="004C32D1" w:rsidRPr="00360131">
        <w:t>–</w:t>
      </w:r>
      <w:r w:rsidRPr="00360131">
        <w:t>28</w:t>
      </w:r>
    </w:p>
    <w:bookmarkEnd w:id="104"/>
    <w:p w14:paraId="63643F52" w14:textId="7945E6E0" w:rsidR="000575E9" w:rsidRDefault="000575E9" w:rsidP="000575E9">
      <w:r>
        <w:t xml:space="preserve">As part of its 2023 </w:t>
      </w:r>
      <w:r w:rsidR="00303DAF">
        <w:t>P</w:t>
      </w:r>
      <w:r>
        <w:t xml:space="preserve">rice </w:t>
      </w:r>
      <w:r w:rsidR="00303DAF">
        <w:t>S</w:t>
      </w:r>
      <w:r>
        <w:t>ubmission, South East Water has undertaken a review of its current NCC charges. We have used the ESC</w:t>
      </w:r>
      <w:r w:rsidR="00612583">
        <w:t>’</w:t>
      </w:r>
      <w:r>
        <w:t xml:space="preserve">s net incremental cost model to inform our assessment. </w:t>
      </w:r>
    </w:p>
    <w:p w14:paraId="17DE232E" w14:textId="4605A6CD" w:rsidR="000575E9" w:rsidRDefault="000575E9" w:rsidP="000575E9">
      <w:r>
        <w:t>For the 2023</w:t>
      </w:r>
      <w:r w:rsidR="004C32D1">
        <w:t>–</w:t>
      </w:r>
      <w:r>
        <w:t>28 regulatory period</w:t>
      </w:r>
      <w:r w:rsidR="005D5496">
        <w:t>,</w:t>
      </w:r>
      <w:r>
        <w:t xml:space="preserve"> we propose to </w:t>
      </w:r>
      <w:r w:rsidR="00DF2FD7">
        <w:t>increase</w:t>
      </w:r>
      <w:r>
        <w:t xml:space="preserve"> the growth area NCC charges for the Casey and Cardinia areas</w:t>
      </w:r>
      <w:r w:rsidR="00B97837">
        <w:t xml:space="preserve"> for sewer</w:t>
      </w:r>
      <w:r w:rsidR="002A0BC5">
        <w:t>age</w:t>
      </w:r>
      <w:r w:rsidR="00B97837">
        <w:t xml:space="preserve"> and recycled water</w:t>
      </w:r>
      <w:r>
        <w:t xml:space="preserve">. We have reviewed the net incremental cost for each service and found that overall, the net incremental cost is forecast to be materially higher than current charges in both the Casey and Cardinia areas. The increases are largely being driven by increases in recycled water </w:t>
      </w:r>
      <w:r w:rsidR="000854E5">
        <w:t xml:space="preserve">infrastructure </w:t>
      </w:r>
      <w:r>
        <w:t>costs.</w:t>
      </w:r>
    </w:p>
    <w:p w14:paraId="7E7D9EF8" w14:textId="2D086502" w:rsidR="00C44AA0" w:rsidRDefault="000575E9" w:rsidP="000575E9">
      <w:r>
        <w:t>However, to minimise price increases</w:t>
      </w:r>
      <w:r w:rsidR="007C46A3">
        <w:t>,</w:t>
      </w:r>
      <w:r>
        <w:t xml:space="preserve"> we are proposing to set 2023</w:t>
      </w:r>
      <w:r w:rsidR="004C32D1">
        <w:t>–</w:t>
      </w:r>
      <w:r>
        <w:t xml:space="preserve">28 charges below the net incremental cost to align with the current combined NCC for each area. We also note that the connection of recycled water customers in Casey and Cardinia is providing broader benefits to South East Water customers through reducing their </w:t>
      </w:r>
      <w:r w:rsidR="00A23447">
        <w:t>drinking</w:t>
      </w:r>
      <w:r>
        <w:t xml:space="preserve"> water demand. Therefore, we consider it reasonable to balance the recovery of recycled water costs between new and existing customers.</w:t>
      </w:r>
    </w:p>
    <w:p w14:paraId="3FF84EE3" w14:textId="3617C848" w:rsidR="000575E9" w:rsidRDefault="00893454" w:rsidP="000575E9">
      <w:r>
        <w:t xml:space="preserve">Currently, South East Water </w:t>
      </w:r>
      <w:r w:rsidR="006C6B86">
        <w:t xml:space="preserve">applies the </w:t>
      </w:r>
      <w:r w:rsidR="006E2701">
        <w:t xml:space="preserve">NCCs for </w:t>
      </w:r>
      <w:r w:rsidR="00612583">
        <w:t>‘</w:t>
      </w:r>
      <w:r w:rsidR="00303DAF">
        <w:t>o</w:t>
      </w:r>
      <w:r w:rsidR="001561D3">
        <w:t xml:space="preserve">ther </w:t>
      </w:r>
      <w:r w:rsidR="00303DAF">
        <w:t>a</w:t>
      </w:r>
      <w:r w:rsidR="001561D3">
        <w:t>reas</w:t>
      </w:r>
      <w:r w:rsidR="00612583">
        <w:t>’</w:t>
      </w:r>
      <w:r w:rsidR="001561D3">
        <w:t xml:space="preserve"> </w:t>
      </w:r>
      <w:r w:rsidR="002256DC">
        <w:t>to</w:t>
      </w:r>
      <w:r w:rsidR="001561D3">
        <w:t xml:space="preserve"> lot sizes </w:t>
      </w:r>
      <w:r w:rsidR="00D1757B">
        <w:t>300m</w:t>
      </w:r>
      <w:r w:rsidR="00D1757B">
        <w:rPr>
          <w:vertAlign w:val="superscript"/>
        </w:rPr>
        <w:t>2</w:t>
      </w:r>
      <w:r w:rsidR="00D1757B">
        <w:t xml:space="preserve"> </w:t>
      </w:r>
      <w:r w:rsidR="00360F68">
        <w:t xml:space="preserve">or less </w:t>
      </w:r>
      <w:r w:rsidR="006E2701">
        <w:t xml:space="preserve">that are located in the Casey and Cardinia regions. </w:t>
      </w:r>
      <w:r w:rsidR="002256DC">
        <w:t>For the 2023</w:t>
      </w:r>
      <w:r w:rsidR="004C32D1">
        <w:t>–</w:t>
      </w:r>
      <w:r w:rsidR="002256DC">
        <w:t>28 regulatory period</w:t>
      </w:r>
      <w:r w:rsidR="00C26EF0">
        <w:t>,</w:t>
      </w:r>
      <w:r w:rsidR="002256DC">
        <w:t xml:space="preserve"> we propose to remove </w:t>
      </w:r>
      <w:r w:rsidR="00814612">
        <w:t xml:space="preserve">this </w:t>
      </w:r>
      <w:r w:rsidR="000E25B9">
        <w:t xml:space="preserve">policy </w:t>
      </w:r>
      <w:r w:rsidR="00D217B1">
        <w:t>as</w:t>
      </w:r>
      <w:r w:rsidR="009E1915">
        <w:t xml:space="preserve"> </w:t>
      </w:r>
      <w:r w:rsidR="00B07E23">
        <w:t>the</w:t>
      </w:r>
      <w:r w:rsidR="00E061BE">
        <w:t xml:space="preserve"> </w:t>
      </w:r>
      <w:r w:rsidR="00500889">
        <w:t>relationship between</w:t>
      </w:r>
      <w:r w:rsidR="00D217B1">
        <w:t xml:space="preserve"> lot</w:t>
      </w:r>
      <w:r w:rsidR="007C2ADC">
        <w:t xml:space="preserve"> size</w:t>
      </w:r>
      <w:r w:rsidR="00CF108D">
        <w:t xml:space="preserve"> and the cost to connect has </w:t>
      </w:r>
      <w:r w:rsidR="00DF0FA7">
        <w:t>diminished</w:t>
      </w:r>
      <w:r w:rsidR="00CF108D">
        <w:t>.</w:t>
      </w:r>
      <w:r w:rsidR="00A1315F">
        <w:t xml:space="preserve"> </w:t>
      </w:r>
    </w:p>
    <w:p w14:paraId="78CAE446" w14:textId="77777777" w:rsidR="003F62B2" w:rsidRDefault="000575E9" w:rsidP="000575E9">
      <w:r>
        <w:t>For the next regulatory period</w:t>
      </w:r>
      <w:r w:rsidR="008E5C91">
        <w:t>,</w:t>
      </w:r>
      <w:r>
        <w:t xml:space="preserve"> we propose to introduce a new growth area NCC charge for the Fishermans Bend precinct. We have undertaken an assessment of the incremental costs and revenues for the area across water, sewerage and recycled water services which equals </w:t>
      </w:r>
      <w:r w:rsidR="009B60FB">
        <w:t>to</w:t>
      </w:r>
      <w:r>
        <w:t xml:space="preserve"> </w:t>
      </w:r>
      <w:r w:rsidR="0042539B">
        <w:t>ar</w:t>
      </w:r>
      <w:r w:rsidR="00972381">
        <w:t xml:space="preserve">ound </w:t>
      </w:r>
      <w:r w:rsidRPr="00FB63CB">
        <w:t>$</w:t>
      </w:r>
      <w:r w:rsidR="004906D4">
        <w:t>13,000</w:t>
      </w:r>
      <w:r>
        <w:t xml:space="preserve"> per lot</w:t>
      </w:r>
      <w:r w:rsidR="004906D4">
        <w:t xml:space="preserve"> w</w:t>
      </w:r>
      <w:r w:rsidR="004777AB">
        <w:t>hen you</w:t>
      </w:r>
      <w:r w:rsidR="004906D4">
        <w:t xml:space="preserve"> </w:t>
      </w:r>
      <w:r w:rsidR="004777AB">
        <w:t>include</w:t>
      </w:r>
      <w:r w:rsidR="004906D4">
        <w:t xml:space="preserve"> </w:t>
      </w:r>
      <w:r w:rsidR="00750CCF">
        <w:t>recycled water</w:t>
      </w:r>
      <w:r w:rsidR="00985DEA">
        <w:t xml:space="preserve"> assets that would otherwise be </w:t>
      </w:r>
      <w:r w:rsidR="004906D4">
        <w:t xml:space="preserve">funded </w:t>
      </w:r>
      <w:r w:rsidR="00985DEA">
        <w:t xml:space="preserve">by developers. </w:t>
      </w:r>
    </w:p>
    <w:p w14:paraId="33F736A1" w14:textId="20BEB94C" w:rsidR="000575E9" w:rsidRDefault="000575E9" w:rsidP="000575E9">
      <w:r>
        <w:t>We propose to</w:t>
      </w:r>
      <w:r w:rsidR="00D25B7A">
        <w:t xml:space="preserve"> apportion </w:t>
      </w:r>
      <w:r w:rsidR="00FA7582">
        <w:t>around</w:t>
      </w:r>
      <w:r w:rsidR="00D25B7A">
        <w:t xml:space="preserve"> </w:t>
      </w:r>
      <w:r w:rsidR="007C2ADC">
        <w:t>30</w:t>
      </w:r>
      <w:r w:rsidR="00F605FF">
        <w:t xml:space="preserve">% </w:t>
      </w:r>
      <w:r w:rsidR="00DF0860">
        <w:t xml:space="preserve">of the incremental costs </w:t>
      </w:r>
      <w:r w:rsidR="00D61EFE">
        <w:t xml:space="preserve">to </w:t>
      </w:r>
      <w:r w:rsidR="00E31759">
        <w:t>a</w:t>
      </w:r>
      <w:r>
        <w:t xml:space="preserve"> combined NCC</w:t>
      </w:r>
      <w:r w:rsidR="00FA142D">
        <w:t xml:space="preserve"> (</w:t>
      </w:r>
      <w:r w:rsidR="002F4F49">
        <w:t xml:space="preserve">titled </w:t>
      </w:r>
      <w:r w:rsidR="005A2F3C">
        <w:t>Integrated</w:t>
      </w:r>
      <w:r w:rsidR="00675750">
        <w:t xml:space="preserve"> Water)</w:t>
      </w:r>
      <w:r>
        <w:t xml:space="preserve"> </w:t>
      </w:r>
      <w:r w:rsidR="004F4CF3">
        <w:t>that</w:t>
      </w:r>
      <w:r>
        <w:t xml:space="preserve"> </w:t>
      </w:r>
      <w:r w:rsidR="00675750">
        <w:t>al</w:t>
      </w:r>
      <w:r w:rsidR="00A76714">
        <w:t xml:space="preserve">igns </w:t>
      </w:r>
      <w:r>
        <w:t xml:space="preserve">to </w:t>
      </w:r>
      <w:r w:rsidR="00FB367B">
        <w:t xml:space="preserve">the </w:t>
      </w:r>
      <w:r w:rsidR="008649E4">
        <w:t>distributional benef</w:t>
      </w:r>
      <w:r w:rsidR="00171CB3">
        <w:t>its</w:t>
      </w:r>
      <w:r w:rsidR="000A4B01">
        <w:t xml:space="preserve"> </w:t>
      </w:r>
      <w:r w:rsidR="00F65A10">
        <w:t>th</w:t>
      </w:r>
      <w:r w:rsidR="00AB0168">
        <w:t>at will be realised by</w:t>
      </w:r>
      <w:r w:rsidR="00CE25CD">
        <w:t xml:space="preserve"> </w:t>
      </w:r>
      <w:r w:rsidR="00C078B3">
        <w:t>the Fisher</w:t>
      </w:r>
      <w:r w:rsidR="003F3C2E">
        <w:t>m</w:t>
      </w:r>
      <w:r w:rsidR="00C078B3">
        <w:t>ans Bend community</w:t>
      </w:r>
      <w:r w:rsidR="00591EAD">
        <w:t>, with the remaining</w:t>
      </w:r>
      <w:r w:rsidR="008D78E7">
        <w:t xml:space="preserve"> benefits (and costs) going to the broader community</w:t>
      </w:r>
      <w:r>
        <w:t>.</w:t>
      </w:r>
      <w:r w:rsidR="003F62B2">
        <w:t xml:space="preserve"> </w:t>
      </w:r>
      <w:r w:rsidR="0001511D">
        <w:t>The NCC will be phased in over 2 regulatory periods to</w:t>
      </w:r>
      <w:r w:rsidR="00DF6F19">
        <w:t xml:space="preserve"> mitigate customer impacts and to</w:t>
      </w:r>
      <w:r w:rsidR="0001511D">
        <w:t xml:space="preserve"> </w:t>
      </w:r>
      <w:r w:rsidR="00AD51A0">
        <w:t xml:space="preserve">align with the development of the recycled water </w:t>
      </w:r>
      <w:r w:rsidR="00A16702">
        <w:t xml:space="preserve">treatment </w:t>
      </w:r>
      <w:r w:rsidR="00AD51A0">
        <w:t>plant</w:t>
      </w:r>
      <w:r w:rsidR="00A44659">
        <w:t xml:space="preserve"> and realisation of benefits</w:t>
      </w:r>
      <w:r w:rsidR="00DF6F19">
        <w:t>.</w:t>
      </w:r>
      <w:r w:rsidR="00AD51A0">
        <w:t xml:space="preserve"> </w:t>
      </w:r>
      <w:r w:rsidR="006C0A7C">
        <w:t xml:space="preserve">The proposed NCC will </w:t>
      </w:r>
      <w:r w:rsidR="00FB63CB">
        <w:t xml:space="preserve">also </w:t>
      </w:r>
      <w:r w:rsidR="006C0A7C">
        <w:t>r</w:t>
      </w:r>
      <w:r w:rsidR="00FB63CB">
        <w:t>e</w:t>
      </w:r>
      <w:r w:rsidR="006C0A7C">
        <w:t xml:space="preserve">cover the cost of </w:t>
      </w:r>
      <w:r w:rsidR="00194655">
        <w:t xml:space="preserve">recycled water assets that would </w:t>
      </w:r>
      <w:r w:rsidR="00F907CB">
        <w:t>have previously been funded by developers</w:t>
      </w:r>
      <w:r w:rsidR="00FB63CB">
        <w:t>.</w:t>
      </w:r>
      <w:r w:rsidR="00AC7365">
        <w:t xml:space="preserve"> </w:t>
      </w:r>
    </w:p>
    <w:p w14:paraId="2DF78200" w14:textId="67FCA331" w:rsidR="000575E9" w:rsidRDefault="000575E9" w:rsidP="000575E9">
      <w:r>
        <w:t xml:space="preserve">We have undertaken a net incremental cost assessment for </w:t>
      </w:r>
      <w:r w:rsidR="00612583">
        <w:t>‘</w:t>
      </w:r>
      <w:r>
        <w:t>other areas</w:t>
      </w:r>
      <w:r w:rsidR="00612583">
        <w:t>’</w:t>
      </w:r>
      <w:r w:rsidR="001A16CE">
        <w:t>.</w:t>
      </w:r>
      <w:r>
        <w:t xml:space="preserve"> As part of this assessment, we have included an allocation of </w:t>
      </w:r>
      <w:r w:rsidR="0098670D">
        <w:t xml:space="preserve">forecast </w:t>
      </w:r>
      <w:r>
        <w:t xml:space="preserve">renewals and compliance capital expenditure </w:t>
      </w:r>
      <w:r w:rsidR="00B47EB3">
        <w:t>to new customers. We have also included an allocation of historical renewals costs, ne</w:t>
      </w:r>
      <w:r w:rsidR="005E12CE">
        <w:t>t of regulatory depreciation and new customer contributions,</w:t>
      </w:r>
      <w:r>
        <w:t xml:space="preserve"> </w:t>
      </w:r>
      <w:r w:rsidR="002738C7">
        <w:t>dating back from 2013</w:t>
      </w:r>
      <w:r w:rsidR="004C32D1">
        <w:t>–</w:t>
      </w:r>
      <w:r w:rsidR="002738C7">
        <w:t>14</w:t>
      </w:r>
      <w:r>
        <w:t xml:space="preserve"> to </w:t>
      </w:r>
      <w:r w:rsidR="003C003F">
        <w:t>these</w:t>
      </w:r>
      <w:r>
        <w:t xml:space="preserve"> customers</w:t>
      </w:r>
      <w:r w:rsidR="00C2391D" w:rsidRPr="00A44659">
        <w:rPr>
          <w:rStyle w:val="FootnoteReference"/>
          <w:color w:val="auto"/>
        </w:rPr>
        <w:footnoteReference w:id="24"/>
      </w:r>
      <w:r>
        <w:t xml:space="preserve">. When assets in existing areas are renewed, they are </w:t>
      </w:r>
      <w:r>
        <w:lastRenderedPageBreak/>
        <w:t xml:space="preserve">generally augmented to cater for growth. We consider including an allocation of asset renewal costs in NCCs for </w:t>
      </w:r>
      <w:r w:rsidR="00612583">
        <w:t>‘</w:t>
      </w:r>
      <w:r w:rsidR="003C003F">
        <w:t>o</w:t>
      </w:r>
      <w:r>
        <w:t xml:space="preserve">ther </w:t>
      </w:r>
      <w:r w:rsidR="003C003F">
        <w:t>a</w:t>
      </w:r>
      <w:r>
        <w:t>reas</w:t>
      </w:r>
      <w:r w:rsidR="00612583">
        <w:t>’</w:t>
      </w:r>
      <w:r>
        <w:t>, reflect</w:t>
      </w:r>
      <w:r w:rsidR="0068291A">
        <w:t>s</w:t>
      </w:r>
      <w:r>
        <w:t xml:space="preserve"> a more equitable share of cost recovery between existing and new customers of the infrastructure required to service these areas. </w:t>
      </w:r>
    </w:p>
    <w:p w14:paraId="0B4306BB" w14:textId="7E5295F0" w:rsidR="000575E9" w:rsidRDefault="000575E9" w:rsidP="000575E9">
      <w:r>
        <w:t xml:space="preserve">Our net incremental cost assessment supports </w:t>
      </w:r>
      <w:r w:rsidR="00742E64">
        <w:t>increasing the</w:t>
      </w:r>
      <w:r>
        <w:t xml:space="preserve"> </w:t>
      </w:r>
      <w:r w:rsidR="00612583">
        <w:t>‘</w:t>
      </w:r>
      <w:r>
        <w:t>other areas</w:t>
      </w:r>
      <w:r w:rsidR="00612583">
        <w:t>’</w:t>
      </w:r>
      <w:r>
        <w:t xml:space="preserve"> NCC. We therefore propose </w:t>
      </w:r>
      <w:r w:rsidR="009A4362">
        <w:t>increasing</w:t>
      </w:r>
      <w:r>
        <w:t xml:space="preserve"> the </w:t>
      </w:r>
      <w:r w:rsidR="00612583">
        <w:t>‘</w:t>
      </w:r>
      <w:r>
        <w:t>other areas</w:t>
      </w:r>
      <w:r w:rsidR="00612583">
        <w:t>’</w:t>
      </w:r>
      <w:r>
        <w:t xml:space="preserve"> NCC charges </w:t>
      </w:r>
      <w:r w:rsidR="009A4362">
        <w:t>by 5</w:t>
      </w:r>
      <w:r w:rsidR="003C00A2">
        <w:t>%</w:t>
      </w:r>
      <w:r w:rsidR="009A4362">
        <w:t xml:space="preserve"> per annum</w:t>
      </w:r>
      <w:r>
        <w:t xml:space="preserve"> over </w:t>
      </w:r>
      <w:r w:rsidR="00303DAF">
        <w:t xml:space="preserve">the </w:t>
      </w:r>
      <w:r>
        <w:t>2023</w:t>
      </w:r>
      <w:r w:rsidR="004C32D1">
        <w:t>–</w:t>
      </w:r>
      <w:r>
        <w:t xml:space="preserve">28 regulatory period. </w:t>
      </w:r>
    </w:p>
    <w:p w14:paraId="4BE7D2E9" w14:textId="1D056190" w:rsidR="00CC5BA3" w:rsidRDefault="00B25545" w:rsidP="000575E9">
      <w:r>
        <w:t>Table 5</w:t>
      </w:r>
      <w:r w:rsidR="00DE1F78">
        <w:t>3</w:t>
      </w:r>
      <w:r w:rsidR="000575E9">
        <w:t xml:space="preserve"> outlines our proposed set of NCCs for the 2023</w:t>
      </w:r>
      <w:r w:rsidR="004C32D1">
        <w:t>–</w:t>
      </w:r>
      <w:r w:rsidR="000575E9">
        <w:t>28 regulatory period.</w:t>
      </w:r>
      <w:r w:rsidR="00A62984">
        <w:br/>
      </w:r>
    </w:p>
    <w:p w14:paraId="3187A827" w14:textId="300FCF5A" w:rsidR="00CC5BA3" w:rsidRPr="00BC279D" w:rsidRDefault="00BC279D" w:rsidP="00BC279D">
      <w:pPr>
        <w:pStyle w:val="NormalIndent"/>
        <w:ind w:left="0"/>
        <w:rPr>
          <w:rFonts w:cs="Arial"/>
          <w:b/>
          <w:i/>
        </w:rPr>
      </w:pPr>
      <w:r w:rsidRPr="00CE6C4E">
        <w:rPr>
          <w:b/>
          <w:i/>
        </w:rPr>
        <w:t xml:space="preserve">Table </w:t>
      </w:r>
      <w:r w:rsidR="00DE1F78">
        <w:rPr>
          <w:b/>
          <w:i/>
        </w:rPr>
        <w:t>53</w:t>
      </w:r>
      <w:r w:rsidRPr="007B339F">
        <w:rPr>
          <w:rFonts w:ascii="Arial" w:hAnsi="Arial" w:cs="Arial"/>
          <w:b/>
          <w:i/>
        </w:rPr>
        <w:t>:</w:t>
      </w:r>
      <w:r>
        <w:rPr>
          <w:rFonts w:ascii="Arial" w:hAnsi="Arial" w:cs="Arial"/>
          <w:b/>
          <w:i/>
        </w:rPr>
        <w:t xml:space="preserve"> </w:t>
      </w:r>
      <w:r w:rsidR="00B635FA" w:rsidRPr="00FD54FE">
        <w:rPr>
          <w:b/>
          <w:i/>
        </w:rPr>
        <w:t>Proposed NCCs 2023</w:t>
      </w:r>
      <w:r w:rsidR="004C32D1">
        <w:rPr>
          <w:b/>
          <w:i/>
        </w:rPr>
        <w:t>–</w:t>
      </w:r>
      <w:r w:rsidR="00B635FA" w:rsidRPr="00FD54FE">
        <w:rPr>
          <w:b/>
          <w:i/>
        </w:rPr>
        <w:t>28 regulatory period</w:t>
      </w:r>
      <w:r w:rsidR="00921F48">
        <w:rPr>
          <w:b/>
          <w:i/>
        </w:rPr>
        <w:t xml:space="preserve"> ($</w:t>
      </w:r>
      <w:r w:rsidR="00B635FA" w:rsidRPr="00FD54FE">
        <w:rPr>
          <w:b/>
          <w:i/>
        </w:rPr>
        <w:t>2022</w:t>
      </w:r>
      <w:r w:rsidR="004C32D1">
        <w:rPr>
          <w:b/>
          <w:i/>
        </w:rPr>
        <w:t>–</w:t>
      </w:r>
      <w:r w:rsidR="00B635FA" w:rsidRPr="00FD54FE">
        <w:rPr>
          <w:b/>
          <w:i/>
        </w:rPr>
        <w:t>23</w:t>
      </w:r>
      <w:r w:rsidR="00921F48">
        <w:rPr>
          <w:b/>
          <w:i/>
        </w:rPr>
        <w:t>)</w:t>
      </w:r>
    </w:p>
    <w:tbl>
      <w:tblPr>
        <w:tblStyle w:val="MJTableStyle1default"/>
        <w:tblW w:w="0" w:type="auto"/>
        <w:tblInd w:w="5" w:type="dxa"/>
        <w:tblLayout w:type="fixed"/>
        <w:tblLook w:val="04A0" w:firstRow="1" w:lastRow="0" w:firstColumn="1" w:lastColumn="0" w:noHBand="0" w:noVBand="1"/>
      </w:tblPr>
      <w:tblGrid>
        <w:gridCol w:w="1980"/>
        <w:gridCol w:w="1346"/>
        <w:gridCol w:w="1205"/>
        <w:gridCol w:w="1205"/>
        <w:gridCol w:w="1205"/>
        <w:gridCol w:w="1205"/>
        <w:gridCol w:w="1205"/>
      </w:tblGrid>
      <w:tr w:rsidR="00FC26ED" w14:paraId="03F6B249" w14:textId="62374A3B" w:rsidTr="00D92D75">
        <w:trPr>
          <w:cnfStyle w:val="100000000000" w:firstRow="1" w:lastRow="0" w:firstColumn="0" w:lastColumn="0" w:oddVBand="0" w:evenVBand="0" w:oddHBand="0" w:evenHBand="0" w:firstRowFirstColumn="0" w:firstRowLastColumn="0" w:lastRowFirstColumn="0" w:lastRowLastColumn="0"/>
          <w:trHeight w:val="528"/>
        </w:trPr>
        <w:tc>
          <w:tcPr>
            <w:tcW w:w="1980" w:type="dxa"/>
            <w:tcBorders>
              <w:top w:val="single" w:sz="4" w:space="0" w:color="002279"/>
              <w:left w:val="single" w:sz="4" w:space="0" w:color="002279"/>
              <w:bottom w:val="single" w:sz="2" w:space="0" w:color="002279"/>
              <w:right w:val="single" w:sz="4" w:space="0" w:color="FFFFFF" w:themeColor="background1"/>
            </w:tcBorders>
            <w:shd w:val="clear" w:color="auto" w:fill="002279"/>
            <w:vAlign w:val="center"/>
            <w:hideMark/>
          </w:tcPr>
          <w:p w14:paraId="71F7DE55" w14:textId="77777777" w:rsidR="00FC26ED" w:rsidRPr="008E63F2" w:rsidRDefault="00FC26ED" w:rsidP="008E63F2">
            <w:pPr>
              <w:spacing w:before="60" w:after="60"/>
              <w:rPr>
                <w:rFonts w:asciiTheme="minorHAnsi" w:hAnsiTheme="minorHAnsi" w:cstheme="minorHAnsi"/>
                <w:b/>
              </w:rPr>
            </w:pPr>
            <w:r w:rsidRPr="008E63F2">
              <w:rPr>
                <w:rFonts w:asciiTheme="minorHAnsi" w:hAnsiTheme="minorHAnsi" w:cstheme="minorHAnsi"/>
                <w:b/>
              </w:rPr>
              <w:t>NCC area</w:t>
            </w:r>
          </w:p>
        </w:tc>
        <w:tc>
          <w:tcPr>
            <w:tcW w:w="1346"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vAlign w:val="center"/>
            <w:hideMark/>
          </w:tcPr>
          <w:p w14:paraId="4D194782" w14:textId="77777777" w:rsidR="00FC26ED" w:rsidRPr="008E63F2" w:rsidRDefault="00FC26ED" w:rsidP="00360131">
            <w:pPr>
              <w:spacing w:before="60" w:after="60"/>
              <w:jc w:val="center"/>
              <w:rPr>
                <w:rFonts w:asciiTheme="minorHAnsi" w:hAnsiTheme="minorHAnsi" w:cstheme="minorHAnsi"/>
                <w:b/>
              </w:rPr>
            </w:pPr>
            <w:r w:rsidRPr="008E63F2">
              <w:rPr>
                <w:rFonts w:asciiTheme="minorHAnsi" w:hAnsiTheme="minorHAnsi" w:cstheme="minorHAnsi"/>
                <w:b/>
              </w:rPr>
              <w:t>Service</w:t>
            </w:r>
          </w:p>
        </w:tc>
        <w:tc>
          <w:tcPr>
            <w:tcW w:w="1205"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vAlign w:val="center"/>
            <w:hideMark/>
          </w:tcPr>
          <w:p w14:paraId="5DD91DF7" w14:textId="31225441" w:rsidR="00FC26ED" w:rsidRPr="008E63F2" w:rsidRDefault="00FC26ED" w:rsidP="00360131">
            <w:pPr>
              <w:spacing w:before="60" w:after="60"/>
              <w:jc w:val="center"/>
              <w:rPr>
                <w:rFonts w:asciiTheme="minorHAnsi" w:hAnsiTheme="minorHAnsi" w:cstheme="minorHAnsi"/>
                <w:b/>
              </w:rPr>
            </w:pPr>
            <w:r w:rsidRPr="008E63F2">
              <w:rPr>
                <w:rFonts w:asciiTheme="minorHAnsi" w:hAnsiTheme="minorHAnsi" w:cstheme="minorHAnsi"/>
                <w:b/>
              </w:rPr>
              <w:t>2022</w:t>
            </w:r>
            <w:r w:rsidR="004C32D1" w:rsidRPr="008E63F2">
              <w:rPr>
                <w:rFonts w:asciiTheme="minorHAnsi" w:hAnsiTheme="minorHAnsi" w:cstheme="minorHAnsi"/>
                <w:b/>
              </w:rPr>
              <w:t>–</w:t>
            </w:r>
            <w:r w:rsidRPr="008E63F2">
              <w:rPr>
                <w:rFonts w:asciiTheme="minorHAnsi" w:hAnsiTheme="minorHAnsi" w:cstheme="minorHAnsi"/>
                <w:b/>
              </w:rPr>
              <w:t>23</w:t>
            </w:r>
          </w:p>
        </w:tc>
        <w:tc>
          <w:tcPr>
            <w:tcW w:w="1205"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vAlign w:val="center"/>
            <w:hideMark/>
          </w:tcPr>
          <w:p w14:paraId="6D5F8177" w14:textId="0D071C21" w:rsidR="00FC26ED" w:rsidRPr="008E63F2" w:rsidRDefault="00FC26ED" w:rsidP="00360131">
            <w:pPr>
              <w:spacing w:before="60" w:after="60"/>
              <w:jc w:val="center"/>
              <w:rPr>
                <w:rFonts w:asciiTheme="minorHAnsi" w:hAnsiTheme="minorHAnsi" w:cstheme="minorHAnsi"/>
                <w:b/>
              </w:rPr>
            </w:pPr>
            <w:r w:rsidRPr="008E63F2">
              <w:rPr>
                <w:rFonts w:asciiTheme="minorHAnsi" w:hAnsiTheme="minorHAnsi" w:cstheme="minorHAnsi"/>
                <w:b/>
              </w:rPr>
              <w:t>2023</w:t>
            </w:r>
            <w:r w:rsidR="004C32D1" w:rsidRPr="008E63F2">
              <w:rPr>
                <w:rFonts w:asciiTheme="minorHAnsi" w:hAnsiTheme="minorHAnsi" w:cstheme="minorHAnsi"/>
                <w:b/>
              </w:rPr>
              <w:t>–</w:t>
            </w:r>
            <w:r w:rsidR="00265911" w:rsidRPr="008E63F2">
              <w:rPr>
                <w:rFonts w:asciiTheme="minorHAnsi" w:hAnsiTheme="minorHAnsi" w:cstheme="minorHAnsi"/>
                <w:b/>
              </w:rPr>
              <w:t>2</w:t>
            </w:r>
            <w:r w:rsidR="00385F4B" w:rsidRPr="008E63F2">
              <w:rPr>
                <w:rFonts w:asciiTheme="minorHAnsi" w:hAnsiTheme="minorHAnsi" w:cstheme="minorHAnsi"/>
                <w:b/>
              </w:rPr>
              <w:t>4</w:t>
            </w:r>
          </w:p>
        </w:tc>
        <w:tc>
          <w:tcPr>
            <w:tcW w:w="1205"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vAlign w:val="center"/>
          </w:tcPr>
          <w:p w14:paraId="3C09E55D" w14:textId="0899124A" w:rsidR="00756E6A" w:rsidRPr="008E63F2" w:rsidRDefault="00756E6A" w:rsidP="00360131">
            <w:pPr>
              <w:spacing w:before="60" w:after="60"/>
              <w:jc w:val="center"/>
              <w:rPr>
                <w:rFonts w:asciiTheme="minorHAnsi" w:hAnsiTheme="minorHAnsi" w:cstheme="minorHAnsi"/>
                <w:b/>
              </w:rPr>
            </w:pPr>
            <w:r w:rsidRPr="008E63F2">
              <w:rPr>
                <w:rFonts w:asciiTheme="minorHAnsi" w:hAnsiTheme="minorHAnsi" w:cstheme="minorHAnsi"/>
                <w:b/>
              </w:rPr>
              <w:t>P0(%)</w:t>
            </w:r>
          </w:p>
        </w:tc>
        <w:tc>
          <w:tcPr>
            <w:tcW w:w="1205"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vAlign w:val="center"/>
          </w:tcPr>
          <w:p w14:paraId="136F78CD" w14:textId="64CEE1A6" w:rsidR="00385F4B" w:rsidRPr="008E63F2" w:rsidRDefault="00385F4B" w:rsidP="00360131">
            <w:pPr>
              <w:spacing w:before="60" w:after="60"/>
              <w:jc w:val="center"/>
              <w:rPr>
                <w:rFonts w:asciiTheme="minorHAnsi" w:hAnsiTheme="minorHAnsi" w:cstheme="minorHAnsi"/>
                <w:b/>
              </w:rPr>
            </w:pPr>
            <w:r w:rsidRPr="008E63F2">
              <w:rPr>
                <w:rFonts w:asciiTheme="minorHAnsi" w:hAnsiTheme="minorHAnsi" w:cstheme="minorHAnsi"/>
                <w:b/>
              </w:rPr>
              <w:t>2027</w:t>
            </w:r>
            <w:r w:rsidR="004C32D1" w:rsidRPr="008E63F2">
              <w:rPr>
                <w:rFonts w:asciiTheme="minorHAnsi" w:hAnsiTheme="minorHAnsi" w:cstheme="minorHAnsi"/>
                <w:b/>
              </w:rPr>
              <w:t>–</w:t>
            </w:r>
            <w:r w:rsidRPr="008E63F2">
              <w:rPr>
                <w:rFonts w:asciiTheme="minorHAnsi" w:hAnsiTheme="minorHAnsi" w:cstheme="minorHAnsi"/>
                <w:b/>
              </w:rPr>
              <w:t>28</w:t>
            </w:r>
          </w:p>
        </w:tc>
        <w:tc>
          <w:tcPr>
            <w:tcW w:w="1205" w:type="dxa"/>
            <w:tcBorders>
              <w:top w:val="single" w:sz="4" w:space="0" w:color="002279"/>
              <w:left w:val="single" w:sz="4" w:space="0" w:color="FFFFFF" w:themeColor="background1"/>
              <w:bottom w:val="single" w:sz="2" w:space="0" w:color="002279"/>
              <w:right w:val="single" w:sz="4" w:space="0" w:color="002279"/>
            </w:tcBorders>
            <w:shd w:val="clear" w:color="auto" w:fill="002279"/>
            <w:vAlign w:val="center"/>
          </w:tcPr>
          <w:p w14:paraId="5ED208DA" w14:textId="39BCF18F" w:rsidR="00213CF3" w:rsidRPr="008E63F2" w:rsidRDefault="00756E6A" w:rsidP="00360131">
            <w:pPr>
              <w:spacing w:before="60" w:after="60"/>
              <w:jc w:val="center"/>
              <w:rPr>
                <w:rFonts w:asciiTheme="minorHAnsi" w:hAnsiTheme="minorHAnsi" w:cstheme="minorHAnsi"/>
                <w:b/>
              </w:rPr>
            </w:pPr>
            <w:r w:rsidRPr="008E63F2">
              <w:rPr>
                <w:rFonts w:asciiTheme="minorHAnsi" w:hAnsiTheme="minorHAnsi" w:cstheme="minorHAnsi"/>
                <w:b/>
              </w:rPr>
              <w:t>Price path (%)</w:t>
            </w:r>
            <w:r w:rsidR="004A4EDA" w:rsidRPr="008E63F2">
              <w:rPr>
                <w:rFonts w:asciiTheme="minorHAnsi" w:hAnsiTheme="minorHAnsi" w:cstheme="minorHAnsi"/>
                <w:b/>
                <w:bCs/>
              </w:rPr>
              <w:t xml:space="preserve"> p.a.</w:t>
            </w:r>
          </w:p>
        </w:tc>
      </w:tr>
      <w:tr w:rsidR="00FC26ED" w14:paraId="200EFB53" w14:textId="14ECBF18" w:rsidTr="007F20E9">
        <w:trPr>
          <w:cnfStyle w:val="000000100000" w:firstRow="0" w:lastRow="0" w:firstColumn="0" w:lastColumn="0" w:oddVBand="0" w:evenVBand="0" w:oddHBand="1" w:evenHBand="0" w:firstRowFirstColumn="0" w:firstRowLastColumn="0" w:lastRowFirstColumn="0" w:lastRowLastColumn="0"/>
          <w:trHeight w:val="304"/>
        </w:trPr>
        <w:tc>
          <w:tcPr>
            <w:tcW w:w="1980" w:type="dxa"/>
            <w:tcBorders>
              <w:top w:val="single" w:sz="2" w:space="0" w:color="002279"/>
              <w:left w:val="single" w:sz="4" w:space="0" w:color="002279"/>
              <w:bottom w:val="single" w:sz="2" w:space="0" w:color="002279"/>
              <w:right w:val="single" w:sz="4" w:space="0" w:color="002279"/>
            </w:tcBorders>
            <w:shd w:val="clear" w:color="auto" w:fill="D4D6DF"/>
            <w:hideMark/>
          </w:tcPr>
          <w:p w14:paraId="2A225E55" w14:textId="77777777" w:rsidR="00FC26ED" w:rsidRPr="008E63F2" w:rsidRDefault="00FC26ED">
            <w:pPr>
              <w:rPr>
                <w:rFonts w:cstheme="minorHAnsi"/>
              </w:rPr>
            </w:pPr>
            <w:r w:rsidRPr="008E63F2">
              <w:rPr>
                <w:rFonts w:cstheme="minorHAnsi"/>
                <w:b/>
                <w:color w:val="000000"/>
                <w:kern w:val="24"/>
              </w:rPr>
              <w:t>Casey</w:t>
            </w:r>
          </w:p>
        </w:tc>
        <w:tc>
          <w:tcPr>
            <w:tcW w:w="1346" w:type="dxa"/>
            <w:tcBorders>
              <w:top w:val="single" w:sz="2" w:space="0" w:color="002279"/>
              <w:left w:val="single" w:sz="4" w:space="0" w:color="002279"/>
              <w:bottom w:val="single" w:sz="2" w:space="0" w:color="002279"/>
              <w:right w:val="single" w:sz="4" w:space="0" w:color="002279"/>
            </w:tcBorders>
            <w:shd w:val="clear" w:color="auto" w:fill="D4D6DF"/>
            <w:vAlign w:val="center"/>
            <w:hideMark/>
          </w:tcPr>
          <w:p w14:paraId="0389A51F" w14:textId="77777777" w:rsidR="00FC26ED" w:rsidRPr="008E63F2" w:rsidRDefault="00FC26ED" w:rsidP="00360131">
            <w:pPr>
              <w:jc w:val="center"/>
              <w:rPr>
                <w:rFonts w:cstheme="minorHAnsi"/>
              </w:rPr>
            </w:pPr>
            <w:r w:rsidRPr="008E63F2">
              <w:rPr>
                <w:rFonts w:cstheme="minorHAnsi"/>
                <w:color w:val="000000"/>
                <w:kern w:val="24"/>
              </w:rPr>
              <w:t>Water</w:t>
            </w:r>
          </w:p>
        </w:tc>
        <w:tc>
          <w:tcPr>
            <w:tcW w:w="1205" w:type="dxa"/>
            <w:tcBorders>
              <w:top w:val="single" w:sz="2" w:space="0" w:color="002279"/>
              <w:left w:val="single" w:sz="4" w:space="0" w:color="002279"/>
              <w:bottom w:val="single" w:sz="2" w:space="0" w:color="002279"/>
              <w:right w:val="single" w:sz="4" w:space="0" w:color="002279"/>
            </w:tcBorders>
            <w:shd w:val="clear" w:color="auto" w:fill="D4D6DF"/>
            <w:vAlign w:val="center"/>
            <w:hideMark/>
          </w:tcPr>
          <w:p w14:paraId="52903941" w14:textId="0D540902" w:rsidR="00FC26ED" w:rsidRPr="008E63F2" w:rsidRDefault="00FC26ED" w:rsidP="00360131">
            <w:pPr>
              <w:jc w:val="center"/>
              <w:rPr>
                <w:rFonts w:cstheme="minorHAnsi"/>
              </w:rPr>
            </w:pPr>
            <w:r w:rsidRPr="008E63F2">
              <w:rPr>
                <w:rFonts w:cstheme="minorHAnsi"/>
              </w:rPr>
              <w:t>$1,214</w:t>
            </w:r>
            <w:r w:rsidR="00D65DB4" w:rsidRPr="008E63F2">
              <w:rPr>
                <w:rFonts w:cstheme="minorHAnsi"/>
              </w:rPr>
              <w:t>.47</w:t>
            </w:r>
          </w:p>
        </w:tc>
        <w:tc>
          <w:tcPr>
            <w:tcW w:w="1205" w:type="dxa"/>
            <w:tcBorders>
              <w:top w:val="single" w:sz="2" w:space="0" w:color="002279"/>
              <w:left w:val="single" w:sz="4" w:space="0" w:color="002279"/>
              <w:bottom w:val="single" w:sz="2" w:space="0" w:color="002279"/>
              <w:right w:val="single" w:sz="4" w:space="0" w:color="002279"/>
            </w:tcBorders>
            <w:shd w:val="clear" w:color="auto" w:fill="D4D6DF"/>
            <w:vAlign w:val="center"/>
            <w:hideMark/>
          </w:tcPr>
          <w:p w14:paraId="01F145CA" w14:textId="16CC5DCA" w:rsidR="00FC26ED" w:rsidRPr="008E63F2" w:rsidRDefault="00D65DB4" w:rsidP="00360131">
            <w:pPr>
              <w:jc w:val="center"/>
              <w:rPr>
                <w:rFonts w:cstheme="minorHAnsi"/>
              </w:rPr>
            </w:pPr>
            <w:r w:rsidRPr="008E63F2">
              <w:rPr>
                <w:rFonts w:cstheme="minorHAnsi"/>
              </w:rPr>
              <w:t>$813.00</w:t>
            </w:r>
          </w:p>
        </w:tc>
        <w:tc>
          <w:tcPr>
            <w:tcW w:w="1205"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114AD7D8" w14:textId="1D116E13" w:rsidR="006E5707" w:rsidRPr="008E63F2" w:rsidRDefault="006E5707" w:rsidP="00F01B35">
            <w:pPr>
              <w:jc w:val="center"/>
              <w:rPr>
                <w:rFonts w:cstheme="minorHAnsi"/>
                <w:color w:val="000000"/>
              </w:rPr>
            </w:pPr>
            <w:r w:rsidRPr="008E63F2">
              <w:rPr>
                <w:rFonts w:cstheme="minorHAnsi"/>
                <w:color w:val="000000"/>
              </w:rPr>
              <w:t>-3</w:t>
            </w:r>
            <w:r w:rsidR="00E86B3A" w:rsidRPr="008E63F2">
              <w:rPr>
                <w:rFonts w:cstheme="minorHAnsi"/>
                <w:color w:val="000000"/>
              </w:rPr>
              <w:t>3</w:t>
            </w:r>
            <w:r w:rsidRPr="008E63F2">
              <w:rPr>
                <w:rFonts w:cstheme="minorHAnsi"/>
                <w:color w:val="000000"/>
              </w:rPr>
              <w:t>%</w:t>
            </w:r>
          </w:p>
        </w:tc>
        <w:tc>
          <w:tcPr>
            <w:tcW w:w="1205"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77198FEA" w14:textId="60483D97" w:rsidR="00386B1C" w:rsidRPr="008E63F2" w:rsidRDefault="00155607" w:rsidP="00F01B35">
            <w:pPr>
              <w:jc w:val="center"/>
              <w:rPr>
                <w:rFonts w:cstheme="minorHAnsi"/>
                <w:color w:val="000000"/>
              </w:rPr>
            </w:pPr>
            <w:r w:rsidRPr="008E63F2">
              <w:rPr>
                <w:rFonts w:cstheme="minorHAnsi"/>
              </w:rPr>
              <w:t>$988.19</w:t>
            </w:r>
          </w:p>
        </w:tc>
        <w:tc>
          <w:tcPr>
            <w:tcW w:w="1205"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449CD97F" w14:textId="1E2DF04E" w:rsidR="00FE5C9F" w:rsidRPr="008E63F2" w:rsidRDefault="001B1A10" w:rsidP="00F01B35">
            <w:pPr>
              <w:jc w:val="center"/>
              <w:rPr>
                <w:rFonts w:cstheme="minorHAnsi"/>
                <w:color w:val="000000"/>
              </w:rPr>
            </w:pPr>
            <w:r w:rsidRPr="008E63F2">
              <w:rPr>
                <w:rFonts w:cstheme="minorHAnsi"/>
                <w:color w:val="000000"/>
              </w:rPr>
              <w:t>5</w:t>
            </w:r>
            <w:r w:rsidR="00FE5C9F" w:rsidRPr="008E63F2">
              <w:rPr>
                <w:rFonts w:cstheme="minorHAnsi"/>
                <w:color w:val="000000"/>
              </w:rPr>
              <w:t>%</w:t>
            </w:r>
          </w:p>
        </w:tc>
      </w:tr>
      <w:tr w:rsidR="00FC26ED" w14:paraId="199FF3DC" w14:textId="606ECF30" w:rsidTr="007F20E9">
        <w:trPr>
          <w:cnfStyle w:val="000000010000" w:firstRow="0" w:lastRow="0" w:firstColumn="0" w:lastColumn="0" w:oddVBand="0" w:evenVBand="0" w:oddHBand="0" w:evenHBand="1" w:firstRowFirstColumn="0" w:firstRowLastColumn="0" w:lastRowFirstColumn="0" w:lastRowLastColumn="0"/>
          <w:trHeight w:val="313"/>
        </w:trPr>
        <w:tc>
          <w:tcPr>
            <w:tcW w:w="1980" w:type="dxa"/>
            <w:tcBorders>
              <w:top w:val="single" w:sz="2" w:space="0" w:color="002279"/>
              <w:left w:val="single" w:sz="4" w:space="0" w:color="002279"/>
              <w:bottom w:val="single" w:sz="2" w:space="0" w:color="002279"/>
              <w:right w:val="single" w:sz="4" w:space="0" w:color="002279"/>
            </w:tcBorders>
            <w:shd w:val="clear" w:color="auto" w:fill="FFFFFF" w:themeFill="background1"/>
          </w:tcPr>
          <w:p w14:paraId="79CC67AF" w14:textId="77777777" w:rsidR="00FC26ED" w:rsidRPr="008E63F2" w:rsidRDefault="00FC26ED">
            <w:pPr>
              <w:rPr>
                <w:rFonts w:cstheme="minorHAnsi"/>
              </w:rPr>
            </w:pPr>
          </w:p>
        </w:tc>
        <w:tc>
          <w:tcPr>
            <w:tcW w:w="1346" w:type="dxa"/>
            <w:tcBorders>
              <w:top w:val="single" w:sz="2" w:space="0" w:color="002279"/>
              <w:left w:val="single" w:sz="4" w:space="0" w:color="002279"/>
              <w:bottom w:val="single" w:sz="2" w:space="0" w:color="002279"/>
              <w:right w:val="single" w:sz="4" w:space="0" w:color="002279"/>
            </w:tcBorders>
            <w:shd w:val="clear" w:color="auto" w:fill="FFFFFF" w:themeFill="background1"/>
            <w:vAlign w:val="center"/>
            <w:hideMark/>
          </w:tcPr>
          <w:p w14:paraId="31B28ED3" w14:textId="77777777" w:rsidR="00FC26ED" w:rsidRPr="008E63F2" w:rsidRDefault="00FC26ED" w:rsidP="00360131">
            <w:pPr>
              <w:jc w:val="center"/>
              <w:rPr>
                <w:rFonts w:cstheme="minorHAnsi"/>
              </w:rPr>
            </w:pPr>
            <w:r w:rsidRPr="008E63F2">
              <w:rPr>
                <w:rFonts w:cstheme="minorHAnsi"/>
                <w:color w:val="000000"/>
                <w:kern w:val="24"/>
              </w:rPr>
              <w:t>Sewer</w:t>
            </w:r>
          </w:p>
        </w:tc>
        <w:tc>
          <w:tcPr>
            <w:tcW w:w="1205" w:type="dxa"/>
            <w:tcBorders>
              <w:top w:val="single" w:sz="2" w:space="0" w:color="002279"/>
              <w:left w:val="single" w:sz="4" w:space="0" w:color="002279"/>
              <w:bottom w:val="single" w:sz="2" w:space="0" w:color="002279"/>
              <w:right w:val="single" w:sz="4" w:space="0" w:color="002279"/>
            </w:tcBorders>
            <w:shd w:val="clear" w:color="auto" w:fill="FFFFFF" w:themeFill="background1"/>
            <w:vAlign w:val="center"/>
            <w:hideMark/>
          </w:tcPr>
          <w:p w14:paraId="2A1DFE02" w14:textId="040B6E5B" w:rsidR="00FC26ED" w:rsidRPr="008E63F2" w:rsidRDefault="00FC26ED" w:rsidP="00360131">
            <w:pPr>
              <w:jc w:val="center"/>
              <w:rPr>
                <w:rFonts w:cstheme="minorHAnsi"/>
              </w:rPr>
            </w:pPr>
            <w:r w:rsidRPr="008E63F2">
              <w:rPr>
                <w:rFonts w:cstheme="minorHAnsi"/>
              </w:rPr>
              <w:t>$775</w:t>
            </w:r>
            <w:r w:rsidR="00D65DB4" w:rsidRPr="008E63F2">
              <w:rPr>
                <w:rFonts w:cstheme="minorHAnsi"/>
              </w:rPr>
              <w:t>.09</w:t>
            </w:r>
          </w:p>
        </w:tc>
        <w:tc>
          <w:tcPr>
            <w:tcW w:w="1205" w:type="dxa"/>
            <w:tcBorders>
              <w:top w:val="single" w:sz="2" w:space="0" w:color="002279"/>
              <w:left w:val="single" w:sz="4" w:space="0" w:color="002279"/>
              <w:bottom w:val="single" w:sz="2" w:space="0" w:color="002279"/>
              <w:right w:val="single" w:sz="4" w:space="0" w:color="002279"/>
            </w:tcBorders>
            <w:shd w:val="clear" w:color="auto" w:fill="FFFFFF" w:themeFill="background1"/>
            <w:vAlign w:val="center"/>
            <w:hideMark/>
          </w:tcPr>
          <w:p w14:paraId="5BA665E5" w14:textId="0E2418BC" w:rsidR="00FC26ED" w:rsidRPr="008E63F2" w:rsidRDefault="00D65DB4" w:rsidP="00360131">
            <w:pPr>
              <w:jc w:val="center"/>
              <w:rPr>
                <w:rFonts w:cstheme="minorHAnsi"/>
              </w:rPr>
            </w:pPr>
            <w:r w:rsidRPr="008E63F2">
              <w:rPr>
                <w:rFonts w:cstheme="minorHAnsi"/>
              </w:rPr>
              <w:t>$955.00</w:t>
            </w:r>
          </w:p>
        </w:tc>
        <w:tc>
          <w:tcPr>
            <w:tcW w:w="1205" w:type="dxa"/>
            <w:tcBorders>
              <w:top w:val="single" w:sz="2" w:space="0" w:color="002279"/>
              <w:left w:val="single" w:sz="4" w:space="0" w:color="002279"/>
              <w:bottom w:val="single" w:sz="2" w:space="0" w:color="002279"/>
              <w:right w:val="single" w:sz="4" w:space="0" w:color="002279"/>
            </w:tcBorders>
            <w:shd w:val="clear" w:color="auto" w:fill="FFFFFF" w:themeFill="background1"/>
            <w:vAlign w:val="center"/>
          </w:tcPr>
          <w:p w14:paraId="6CC71DC3" w14:textId="31A60E28" w:rsidR="008A6717" w:rsidRPr="008E63F2" w:rsidRDefault="008A6717" w:rsidP="00F01B35">
            <w:pPr>
              <w:jc w:val="center"/>
              <w:rPr>
                <w:rFonts w:cstheme="minorHAnsi"/>
                <w:color w:val="000000"/>
              </w:rPr>
            </w:pPr>
            <w:r w:rsidRPr="008E63F2">
              <w:rPr>
                <w:rFonts w:cstheme="minorHAnsi"/>
                <w:color w:val="000000"/>
              </w:rPr>
              <w:t>23</w:t>
            </w:r>
            <w:r w:rsidR="0054420E" w:rsidRPr="008E63F2">
              <w:rPr>
                <w:rFonts w:cstheme="minorHAnsi"/>
                <w:color w:val="000000"/>
              </w:rPr>
              <w:t>%</w:t>
            </w:r>
          </w:p>
        </w:tc>
        <w:tc>
          <w:tcPr>
            <w:tcW w:w="1205" w:type="dxa"/>
            <w:tcBorders>
              <w:top w:val="single" w:sz="2" w:space="0" w:color="002279"/>
              <w:left w:val="single" w:sz="4" w:space="0" w:color="002279"/>
              <w:bottom w:val="single" w:sz="2" w:space="0" w:color="002279"/>
              <w:right w:val="single" w:sz="4" w:space="0" w:color="002279"/>
            </w:tcBorders>
            <w:shd w:val="clear" w:color="auto" w:fill="FFFFFF" w:themeFill="background1"/>
            <w:vAlign w:val="center"/>
          </w:tcPr>
          <w:p w14:paraId="084CC6AC" w14:textId="2E297B58" w:rsidR="00537A87" w:rsidRPr="008E63F2" w:rsidRDefault="00155607" w:rsidP="00F01B35">
            <w:pPr>
              <w:jc w:val="center"/>
              <w:rPr>
                <w:rFonts w:cstheme="minorHAnsi"/>
                <w:color w:val="000000"/>
              </w:rPr>
            </w:pPr>
            <w:r w:rsidRPr="008E63F2">
              <w:rPr>
                <w:rFonts w:cstheme="minorHAnsi"/>
              </w:rPr>
              <w:t>$1,160.79</w:t>
            </w:r>
          </w:p>
        </w:tc>
        <w:tc>
          <w:tcPr>
            <w:tcW w:w="1205" w:type="dxa"/>
            <w:tcBorders>
              <w:top w:val="single" w:sz="2" w:space="0" w:color="002279"/>
              <w:left w:val="single" w:sz="4" w:space="0" w:color="002279"/>
              <w:bottom w:val="single" w:sz="2" w:space="0" w:color="002279"/>
              <w:right w:val="single" w:sz="4" w:space="0" w:color="002279"/>
            </w:tcBorders>
            <w:shd w:val="clear" w:color="auto" w:fill="FFFFFF" w:themeFill="background1"/>
            <w:vAlign w:val="center"/>
          </w:tcPr>
          <w:p w14:paraId="72FC8626" w14:textId="4A046592" w:rsidR="00FE5C9F" w:rsidRPr="008E63F2" w:rsidRDefault="008A6717" w:rsidP="00F01B35">
            <w:pPr>
              <w:jc w:val="center"/>
              <w:rPr>
                <w:rFonts w:cstheme="minorHAnsi"/>
                <w:color w:val="000000"/>
              </w:rPr>
            </w:pPr>
            <w:r w:rsidRPr="008E63F2">
              <w:rPr>
                <w:rFonts w:cstheme="minorHAnsi"/>
                <w:color w:val="000000"/>
              </w:rPr>
              <w:t>5</w:t>
            </w:r>
            <w:r w:rsidR="00FE5C9F" w:rsidRPr="008E63F2">
              <w:rPr>
                <w:rFonts w:cstheme="minorHAnsi"/>
                <w:color w:val="000000"/>
              </w:rPr>
              <w:t>%</w:t>
            </w:r>
          </w:p>
        </w:tc>
      </w:tr>
      <w:tr w:rsidR="00FC26ED" w14:paraId="0067A4AA" w14:textId="05CE7736" w:rsidTr="007F20E9">
        <w:trPr>
          <w:cnfStyle w:val="000000100000" w:firstRow="0" w:lastRow="0" w:firstColumn="0" w:lastColumn="0" w:oddVBand="0" w:evenVBand="0" w:oddHBand="1" w:evenHBand="0" w:firstRowFirstColumn="0" w:firstRowLastColumn="0" w:lastRowFirstColumn="0" w:lastRowLastColumn="0"/>
          <w:trHeight w:val="313"/>
        </w:trPr>
        <w:tc>
          <w:tcPr>
            <w:tcW w:w="1980" w:type="dxa"/>
            <w:tcBorders>
              <w:top w:val="single" w:sz="2" w:space="0" w:color="002279"/>
              <w:left w:val="single" w:sz="4" w:space="0" w:color="002279"/>
              <w:bottom w:val="single" w:sz="2" w:space="0" w:color="002279"/>
              <w:right w:val="single" w:sz="4" w:space="0" w:color="002279"/>
            </w:tcBorders>
            <w:shd w:val="clear" w:color="auto" w:fill="D4D6DF"/>
          </w:tcPr>
          <w:p w14:paraId="285B0774" w14:textId="77777777" w:rsidR="00FC26ED" w:rsidRPr="008E63F2" w:rsidRDefault="00FC26ED">
            <w:pPr>
              <w:rPr>
                <w:rFonts w:cstheme="minorHAnsi"/>
              </w:rPr>
            </w:pPr>
          </w:p>
        </w:tc>
        <w:tc>
          <w:tcPr>
            <w:tcW w:w="1346" w:type="dxa"/>
            <w:tcBorders>
              <w:top w:val="single" w:sz="2" w:space="0" w:color="002279"/>
              <w:left w:val="single" w:sz="4" w:space="0" w:color="002279"/>
              <w:bottom w:val="single" w:sz="2" w:space="0" w:color="002279"/>
              <w:right w:val="single" w:sz="4" w:space="0" w:color="002279"/>
            </w:tcBorders>
            <w:shd w:val="clear" w:color="auto" w:fill="D4D6DF"/>
            <w:vAlign w:val="center"/>
            <w:hideMark/>
          </w:tcPr>
          <w:p w14:paraId="4739C063" w14:textId="77777777" w:rsidR="00FC26ED" w:rsidRPr="008E63F2" w:rsidRDefault="00FC26ED" w:rsidP="00360131">
            <w:pPr>
              <w:jc w:val="center"/>
              <w:rPr>
                <w:rFonts w:cstheme="minorHAnsi"/>
              </w:rPr>
            </w:pPr>
            <w:r w:rsidRPr="008E63F2">
              <w:rPr>
                <w:rFonts w:cstheme="minorHAnsi"/>
                <w:color w:val="000000"/>
                <w:kern w:val="24"/>
              </w:rPr>
              <w:t>Recycled Water</w:t>
            </w:r>
          </w:p>
        </w:tc>
        <w:tc>
          <w:tcPr>
            <w:tcW w:w="1205" w:type="dxa"/>
            <w:tcBorders>
              <w:top w:val="single" w:sz="2" w:space="0" w:color="002279"/>
              <w:left w:val="single" w:sz="4" w:space="0" w:color="002279"/>
              <w:bottom w:val="single" w:sz="2" w:space="0" w:color="002279"/>
              <w:right w:val="single" w:sz="4" w:space="0" w:color="002279"/>
            </w:tcBorders>
            <w:shd w:val="clear" w:color="auto" w:fill="D4D6DF"/>
            <w:vAlign w:val="center"/>
            <w:hideMark/>
          </w:tcPr>
          <w:p w14:paraId="0D96683D" w14:textId="32FB4F4B" w:rsidR="00FC26ED" w:rsidRPr="008E63F2" w:rsidRDefault="00FC26ED" w:rsidP="00360131">
            <w:pPr>
              <w:jc w:val="center"/>
              <w:rPr>
                <w:rFonts w:cstheme="minorHAnsi"/>
              </w:rPr>
            </w:pPr>
            <w:r w:rsidRPr="008E63F2">
              <w:rPr>
                <w:rFonts w:cstheme="minorHAnsi"/>
              </w:rPr>
              <w:t>$1,750</w:t>
            </w:r>
            <w:r w:rsidR="00D65DB4" w:rsidRPr="008E63F2">
              <w:rPr>
                <w:rFonts w:cstheme="minorHAnsi"/>
              </w:rPr>
              <w:t>.07</w:t>
            </w:r>
          </w:p>
        </w:tc>
        <w:tc>
          <w:tcPr>
            <w:tcW w:w="1205" w:type="dxa"/>
            <w:tcBorders>
              <w:top w:val="single" w:sz="2" w:space="0" w:color="002279"/>
              <w:left w:val="single" w:sz="4" w:space="0" w:color="002279"/>
              <w:bottom w:val="single" w:sz="2" w:space="0" w:color="002279"/>
              <w:right w:val="single" w:sz="4" w:space="0" w:color="002279"/>
            </w:tcBorders>
            <w:shd w:val="clear" w:color="auto" w:fill="D4D6DF"/>
            <w:vAlign w:val="center"/>
            <w:hideMark/>
          </w:tcPr>
          <w:p w14:paraId="5E29B091" w14:textId="03947112" w:rsidR="00FC26ED" w:rsidRPr="008E63F2" w:rsidRDefault="00FC26ED" w:rsidP="00360131">
            <w:pPr>
              <w:jc w:val="center"/>
              <w:rPr>
                <w:rFonts w:cstheme="minorHAnsi"/>
              </w:rPr>
            </w:pPr>
            <w:r w:rsidRPr="008E63F2">
              <w:rPr>
                <w:rFonts w:cstheme="minorHAnsi"/>
              </w:rPr>
              <w:t>$2,</w:t>
            </w:r>
            <w:r w:rsidR="00D65DB4" w:rsidRPr="008E63F2">
              <w:rPr>
                <w:rFonts w:cstheme="minorHAnsi"/>
              </w:rPr>
              <w:t>157.00</w:t>
            </w:r>
          </w:p>
        </w:tc>
        <w:tc>
          <w:tcPr>
            <w:tcW w:w="1205"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22300C89" w14:textId="436E6417" w:rsidR="008A6717" w:rsidRPr="008E63F2" w:rsidRDefault="008A6717" w:rsidP="00F01B35">
            <w:pPr>
              <w:jc w:val="center"/>
              <w:rPr>
                <w:rFonts w:cstheme="minorHAnsi"/>
                <w:color w:val="000000"/>
              </w:rPr>
            </w:pPr>
            <w:r w:rsidRPr="008E63F2">
              <w:rPr>
                <w:rFonts w:cstheme="minorHAnsi"/>
                <w:color w:val="000000"/>
              </w:rPr>
              <w:t>23</w:t>
            </w:r>
            <w:r w:rsidR="00BB5939" w:rsidRPr="008E63F2">
              <w:rPr>
                <w:rFonts w:cstheme="minorHAnsi"/>
                <w:color w:val="000000"/>
              </w:rPr>
              <w:t>%</w:t>
            </w:r>
          </w:p>
        </w:tc>
        <w:tc>
          <w:tcPr>
            <w:tcW w:w="1205"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0D0E6E81" w14:textId="70DF76D5" w:rsidR="00400808" w:rsidRPr="008E63F2" w:rsidRDefault="00400808" w:rsidP="00F01B35">
            <w:pPr>
              <w:jc w:val="center"/>
              <w:rPr>
                <w:rFonts w:cstheme="minorHAnsi"/>
                <w:color w:val="000000"/>
              </w:rPr>
            </w:pPr>
            <w:r w:rsidRPr="008E63F2">
              <w:rPr>
                <w:rFonts w:cstheme="minorHAnsi"/>
              </w:rPr>
              <w:t>$2,</w:t>
            </w:r>
            <w:r w:rsidR="00155607" w:rsidRPr="008E63F2">
              <w:rPr>
                <w:rFonts w:cstheme="minorHAnsi"/>
              </w:rPr>
              <w:t>621.83</w:t>
            </w:r>
          </w:p>
        </w:tc>
        <w:tc>
          <w:tcPr>
            <w:tcW w:w="1205"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1EF3B109" w14:textId="57B10E49" w:rsidR="00FE5C9F" w:rsidRPr="008E63F2" w:rsidRDefault="008A6717" w:rsidP="00F01B35">
            <w:pPr>
              <w:jc w:val="center"/>
              <w:rPr>
                <w:rFonts w:cstheme="minorHAnsi"/>
                <w:color w:val="000000"/>
              </w:rPr>
            </w:pPr>
            <w:r w:rsidRPr="008E63F2">
              <w:rPr>
                <w:rFonts w:cstheme="minorHAnsi"/>
                <w:color w:val="000000"/>
              </w:rPr>
              <w:t>5</w:t>
            </w:r>
            <w:r w:rsidR="00FE5C9F" w:rsidRPr="008E63F2">
              <w:rPr>
                <w:rFonts w:cstheme="minorHAnsi"/>
                <w:color w:val="000000"/>
              </w:rPr>
              <w:t>%</w:t>
            </w:r>
          </w:p>
        </w:tc>
      </w:tr>
      <w:tr w:rsidR="00FC26ED" w14:paraId="60681D14" w14:textId="0581B907" w:rsidTr="007F20E9">
        <w:trPr>
          <w:cnfStyle w:val="000000010000" w:firstRow="0" w:lastRow="0" w:firstColumn="0" w:lastColumn="0" w:oddVBand="0" w:evenVBand="0" w:oddHBand="0" w:evenHBand="1" w:firstRowFirstColumn="0" w:firstRowLastColumn="0" w:lastRowFirstColumn="0" w:lastRowLastColumn="0"/>
          <w:trHeight w:val="304"/>
        </w:trPr>
        <w:tc>
          <w:tcPr>
            <w:tcW w:w="1980" w:type="dxa"/>
            <w:tcBorders>
              <w:top w:val="single" w:sz="2" w:space="0" w:color="002279"/>
              <w:left w:val="single" w:sz="4" w:space="0" w:color="002279"/>
              <w:bottom w:val="single" w:sz="2" w:space="0" w:color="002279"/>
              <w:right w:val="single" w:sz="4" w:space="0" w:color="002279"/>
            </w:tcBorders>
            <w:shd w:val="clear" w:color="auto" w:fill="FFFFFF" w:themeFill="background1"/>
          </w:tcPr>
          <w:p w14:paraId="2324B625" w14:textId="77777777" w:rsidR="00FC26ED" w:rsidRPr="008E63F2" w:rsidRDefault="00FC26ED">
            <w:pPr>
              <w:rPr>
                <w:rFonts w:cstheme="minorHAnsi"/>
              </w:rPr>
            </w:pPr>
          </w:p>
        </w:tc>
        <w:tc>
          <w:tcPr>
            <w:tcW w:w="1346" w:type="dxa"/>
            <w:tcBorders>
              <w:top w:val="single" w:sz="2" w:space="0" w:color="002279"/>
              <w:left w:val="single" w:sz="4" w:space="0" w:color="002279"/>
              <w:bottom w:val="single" w:sz="2" w:space="0" w:color="002279"/>
              <w:right w:val="single" w:sz="4" w:space="0" w:color="002279"/>
            </w:tcBorders>
            <w:shd w:val="clear" w:color="auto" w:fill="FFFFFF" w:themeFill="background1"/>
            <w:vAlign w:val="center"/>
            <w:hideMark/>
          </w:tcPr>
          <w:p w14:paraId="526C7F9C" w14:textId="77777777" w:rsidR="00FC26ED" w:rsidRPr="008E63F2" w:rsidRDefault="00FC26ED" w:rsidP="00360131">
            <w:pPr>
              <w:jc w:val="center"/>
              <w:rPr>
                <w:rFonts w:cstheme="minorHAnsi"/>
                <w:b/>
              </w:rPr>
            </w:pPr>
            <w:r w:rsidRPr="008E63F2">
              <w:rPr>
                <w:rFonts w:cstheme="minorHAnsi"/>
                <w:b/>
                <w:color w:val="000000"/>
                <w:kern w:val="24"/>
              </w:rPr>
              <w:t>Total</w:t>
            </w:r>
          </w:p>
        </w:tc>
        <w:tc>
          <w:tcPr>
            <w:tcW w:w="1205" w:type="dxa"/>
            <w:tcBorders>
              <w:top w:val="single" w:sz="2" w:space="0" w:color="002279"/>
              <w:left w:val="single" w:sz="4" w:space="0" w:color="002279"/>
              <w:bottom w:val="single" w:sz="2" w:space="0" w:color="002279"/>
              <w:right w:val="single" w:sz="4" w:space="0" w:color="002279"/>
            </w:tcBorders>
            <w:shd w:val="clear" w:color="auto" w:fill="FFFFFF" w:themeFill="background1"/>
            <w:vAlign w:val="center"/>
            <w:hideMark/>
          </w:tcPr>
          <w:p w14:paraId="2768678E" w14:textId="6EE5B092" w:rsidR="00FC26ED" w:rsidRPr="008E63F2" w:rsidRDefault="00FC26ED" w:rsidP="00360131">
            <w:pPr>
              <w:jc w:val="center"/>
              <w:rPr>
                <w:rFonts w:cstheme="minorHAnsi"/>
                <w:b/>
              </w:rPr>
            </w:pPr>
            <w:r w:rsidRPr="008E63F2">
              <w:rPr>
                <w:rFonts w:cstheme="minorHAnsi"/>
                <w:b/>
              </w:rPr>
              <w:t>$3,</w:t>
            </w:r>
            <w:r w:rsidR="00D65DB4" w:rsidRPr="008E63F2">
              <w:rPr>
                <w:rFonts w:cstheme="minorHAnsi"/>
                <w:b/>
                <w:bCs/>
              </w:rPr>
              <w:t>739.63</w:t>
            </w:r>
          </w:p>
        </w:tc>
        <w:tc>
          <w:tcPr>
            <w:tcW w:w="1205" w:type="dxa"/>
            <w:tcBorders>
              <w:top w:val="single" w:sz="2" w:space="0" w:color="002279"/>
              <w:left w:val="single" w:sz="4" w:space="0" w:color="002279"/>
              <w:bottom w:val="single" w:sz="2" w:space="0" w:color="002279"/>
              <w:right w:val="single" w:sz="4" w:space="0" w:color="002279"/>
            </w:tcBorders>
            <w:shd w:val="clear" w:color="auto" w:fill="FFFFFF" w:themeFill="background1"/>
            <w:vAlign w:val="center"/>
            <w:hideMark/>
          </w:tcPr>
          <w:p w14:paraId="6B596AEE" w14:textId="17BA1CEE" w:rsidR="00FC26ED" w:rsidRPr="008E63F2" w:rsidRDefault="00FC26ED" w:rsidP="00360131">
            <w:pPr>
              <w:jc w:val="center"/>
              <w:rPr>
                <w:rFonts w:cstheme="minorHAnsi"/>
                <w:b/>
              </w:rPr>
            </w:pPr>
            <w:r w:rsidRPr="008E63F2">
              <w:rPr>
                <w:rFonts w:cstheme="minorHAnsi"/>
                <w:b/>
              </w:rPr>
              <w:t>$3,</w:t>
            </w:r>
            <w:r w:rsidR="00D65DB4" w:rsidRPr="008E63F2">
              <w:rPr>
                <w:rFonts w:cstheme="minorHAnsi"/>
                <w:b/>
                <w:bCs/>
              </w:rPr>
              <w:t>925.00</w:t>
            </w:r>
          </w:p>
        </w:tc>
        <w:tc>
          <w:tcPr>
            <w:tcW w:w="1205" w:type="dxa"/>
            <w:tcBorders>
              <w:top w:val="single" w:sz="2" w:space="0" w:color="002279"/>
              <w:left w:val="single" w:sz="4" w:space="0" w:color="002279"/>
              <w:bottom w:val="single" w:sz="2" w:space="0" w:color="002279"/>
              <w:right w:val="single" w:sz="4" w:space="0" w:color="002279"/>
            </w:tcBorders>
            <w:shd w:val="clear" w:color="auto" w:fill="FFFFFF" w:themeFill="background1"/>
            <w:vAlign w:val="center"/>
          </w:tcPr>
          <w:p w14:paraId="175F09F9" w14:textId="6FBB5163" w:rsidR="00020574" w:rsidRPr="008E63F2" w:rsidRDefault="00020574" w:rsidP="00F01B35">
            <w:pPr>
              <w:jc w:val="center"/>
              <w:rPr>
                <w:rFonts w:cstheme="minorHAnsi"/>
                <w:b/>
                <w:color w:val="000000"/>
              </w:rPr>
            </w:pPr>
            <w:r w:rsidRPr="008E63F2">
              <w:rPr>
                <w:rFonts w:cstheme="minorHAnsi"/>
                <w:b/>
                <w:color w:val="000000"/>
              </w:rPr>
              <w:t>5%</w:t>
            </w:r>
          </w:p>
        </w:tc>
        <w:tc>
          <w:tcPr>
            <w:tcW w:w="1205" w:type="dxa"/>
            <w:tcBorders>
              <w:top w:val="single" w:sz="2" w:space="0" w:color="002279"/>
              <w:left w:val="single" w:sz="4" w:space="0" w:color="002279"/>
              <w:bottom w:val="single" w:sz="2" w:space="0" w:color="002279"/>
              <w:right w:val="single" w:sz="4" w:space="0" w:color="002279"/>
            </w:tcBorders>
            <w:shd w:val="clear" w:color="auto" w:fill="FFFFFF" w:themeFill="background1"/>
            <w:vAlign w:val="center"/>
          </w:tcPr>
          <w:p w14:paraId="4CEEAE95" w14:textId="4433C0FD" w:rsidR="00FF7BEF" w:rsidRPr="008E63F2" w:rsidRDefault="00FF7BEF" w:rsidP="00F01B35">
            <w:pPr>
              <w:jc w:val="center"/>
              <w:rPr>
                <w:rFonts w:cstheme="minorHAnsi"/>
                <w:b/>
                <w:color w:val="000000"/>
              </w:rPr>
            </w:pPr>
            <w:r w:rsidRPr="008E63F2">
              <w:rPr>
                <w:rFonts w:cstheme="minorHAnsi"/>
                <w:b/>
              </w:rPr>
              <w:t>$</w:t>
            </w:r>
            <w:r w:rsidR="00746FBE" w:rsidRPr="008E63F2">
              <w:rPr>
                <w:rFonts w:cstheme="minorHAnsi"/>
                <w:b/>
              </w:rPr>
              <w:t>4,</w:t>
            </w:r>
            <w:r w:rsidR="00155607" w:rsidRPr="008E63F2">
              <w:rPr>
                <w:rFonts w:cstheme="minorHAnsi"/>
                <w:b/>
              </w:rPr>
              <w:t>770.81</w:t>
            </w:r>
          </w:p>
        </w:tc>
        <w:tc>
          <w:tcPr>
            <w:tcW w:w="1205" w:type="dxa"/>
            <w:tcBorders>
              <w:top w:val="single" w:sz="2" w:space="0" w:color="002279"/>
              <w:left w:val="single" w:sz="4" w:space="0" w:color="002279"/>
              <w:bottom w:val="single" w:sz="2" w:space="0" w:color="002279"/>
              <w:right w:val="single" w:sz="4" w:space="0" w:color="002279"/>
            </w:tcBorders>
            <w:shd w:val="clear" w:color="auto" w:fill="FFFFFF" w:themeFill="background1"/>
            <w:vAlign w:val="center"/>
          </w:tcPr>
          <w:p w14:paraId="5656D591" w14:textId="6949CA04" w:rsidR="00FE5C9F" w:rsidRPr="008E63F2" w:rsidRDefault="008A6717" w:rsidP="00F01B35">
            <w:pPr>
              <w:jc w:val="center"/>
              <w:rPr>
                <w:rFonts w:cstheme="minorHAnsi"/>
                <w:b/>
                <w:color w:val="000000"/>
              </w:rPr>
            </w:pPr>
            <w:r w:rsidRPr="008E63F2">
              <w:rPr>
                <w:rFonts w:cstheme="minorHAnsi"/>
                <w:b/>
                <w:color w:val="000000"/>
              </w:rPr>
              <w:t>5</w:t>
            </w:r>
            <w:r w:rsidR="00FE5C9F" w:rsidRPr="008E63F2">
              <w:rPr>
                <w:rFonts w:cstheme="minorHAnsi"/>
                <w:b/>
                <w:color w:val="000000"/>
              </w:rPr>
              <w:t>%</w:t>
            </w:r>
          </w:p>
        </w:tc>
      </w:tr>
      <w:tr w:rsidR="00FC26ED" w14:paraId="57B38116" w14:textId="455A15C5" w:rsidTr="007F20E9">
        <w:trPr>
          <w:cnfStyle w:val="000000100000" w:firstRow="0" w:lastRow="0" w:firstColumn="0" w:lastColumn="0" w:oddVBand="0" w:evenVBand="0" w:oddHBand="1" w:evenHBand="0" w:firstRowFirstColumn="0" w:firstRowLastColumn="0" w:lastRowFirstColumn="0" w:lastRowLastColumn="0"/>
          <w:trHeight w:val="313"/>
        </w:trPr>
        <w:tc>
          <w:tcPr>
            <w:tcW w:w="1980" w:type="dxa"/>
            <w:tcBorders>
              <w:top w:val="single" w:sz="2" w:space="0" w:color="002279"/>
              <w:left w:val="single" w:sz="4" w:space="0" w:color="002279"/>
              <w:bottom w:val="single" w:sz="2" w:space="0" w:color="002279"/>
              <w:right w:val="single" w:sz="4" w:space="0" w:color="002279"/>
            </w:tcBorders>
            <w:shd w:val="clear" w:color="auto" w:fill="D4D6DF"/>
            <w:hideMark/>
          </w:tcPr>
          <w:p w14:paraId="15306268" w14:textId="77777777" w:rsidR="00FC26ED" w:rsidRPr="008E63F2" w:rsidRDefault="00FC26ED">
            <w:pPr>
              <w:rPr>
                <w:rFonts w:cstheme="minorHAnsi"/>
              </w:rPr>
            </w:pPr>
            <w:r w:rsidRPr="008E63F2">
              <w:rPr>
                <w:rFonts w:cstheme="minorHAnsi"/>
                <w:b/>
                <w:color w:val="000000"/>
                <w:kern w:val="24"/>
              </w:rPr>
              <w:t>Cardinia</w:t>
            </w:r>
          </w:p>
        </w:tc>
        <w:tc>
          <w:tcPr>
            <w:tcW w:w="1346" w:type="dxa"/>
            <w:tcBorders>
              <w:top w:val="single" w:sz="2" w:space="0" w:color="002279"/>
              <w:left w:val="single" w:sz="4" w:space="0" w:color="002279"/>
              <w:bottom w:val="single" w:sz="2" w:space="0" w:color="002279"/>
              <w:right w:val="single" w:sz="4" w:space="0" w:color="002279"/>
            </w:tcBorders>
            <w:shd w:val="clear" w:color="auto" w:fill="D4D6DF"/>
            <w:vAlign w:val="center"/>
            <w:hideMark/>
          </w:tcPr>
          <w:p w14:paraId="7C3BF6F6" w14:textId="77777777" w:rsidR="00FC26ED" w:rsidRPr="008E63F2" w:rsidRDefault="00FC26ED" w:rsidP="00360131">
            <w:pPr>
              <w:jc w:val="center"/>
              <w:rPr>
                <w:rFonts w:cstheme="minorHAnsi"/>
              </w:rPr>
            </w:pPr>
            <w:r w:rsidRPr="008E63F2">
              <w:rPr>
                <w:rFonts w:cstheme="minorHAnsi"/>
                <w:color w:val="000000"/>
                <w:kern w:val="24"/>
              </w:rPr>
              <w:t>Water</w:t>
            </w:r>
          </w:p>
        </w:tc>
        <w:tc>
          <w:tcPr>
            <w:tcW w:w="1205" w:type="dxa"/>
            <w:tcBorders>
              <w:top w:val="single" w:sz="2" w:space="0" w:color="002279"/>
              <w:left w:val="single" w:sz="4" w:space="0" w:color="002279"/>
              <w:bottom w:val="single" w:sz="2" w:space="0" w:color="002279"/>
              <w:right w:val="single" w:sz="4" w:space="0" w:color="002279"/>
            </w:tcBorders>
            <w:shd w:val="clear" w:color="auto" w:fill="D4D6DF"/>
            <w:vAlign w:val="center"/>
            <w:hideMark/>
          </w:tcPr>
          <w:p w14:paraId="237E2AA3" w14:textId="0B0A257E" w:rsidR="00FC26ED" w:rsidRPr="008E63F2" w:rsidRDefault="00FC26ED" w:rsidP="00360131">
            <w:pPr>
              <w:jc w:val="center"/>
              <w:rPr>
                <w:rFonts w:cstheme="minorHAnsi"/>
              </w:rPr>
            </w:pPr>
            <w:r w:rsidRPr="008E63F2">
              <w:rPr>
                <w:rFonts w:cstheme="minorHAnsi"/>
              </w:rPr>
              <w:t>$1,</w:t>
            </w:r>
            <w:r w:rsidR="004F4F14" w:rsidRPr="008E63F2">
              <w:rPr>
                <w:rFonts w:cstheme="minorHAnsi"/>
              </w:rPr>
              <w:t>710.82</w:t>
            </w:r>
          </w:p>
        </w:tc>
        <w:tc>
          <w:tcPr>
            <w:tcW w:w="1205" w:type="dxa"/>
            <w:tcBorders>
              <w:top w:val="single" w:sz="2" w:space="0" w:color="002279"/>
              <w:left w:val="single" w:sz="4" w:space="0" w:color="002279"/>
              <w:bottom w:val="single" w:sz="2" w:space="0" w:color="002279"/>
              <w:right w:val="single" w:sz="4" w:space="0" w:color="002279"/>
            </w:tcBorders>
            <w:shd w:val="clear" w:color="auto" w:fill="D4D6DF"/>
            <w:vAlign w:val="center"/>
            <w:hideMark/>
          </w:tcPr>
          <w:p w14:paraId="3A367F04" w14:textId="67DBE398" w:rsidR="00FC26ED" w:rsidRPr="008E63F2" w:rsidRDefault="004F4F14" w:rsidP="00360131">
            <w:pPr>
              <w:jc w:val="center"/>
              <w:rPr>
                <w:rFonts w:cstheme="minorHAnsi"/>
              </w:rPr>
            </w:pPr>
            <w:r w:rsidRPr="008E63F2">
              <w:rPr>
                <w:rFonts w:cstheme="minorHAnsi"/>
              </w:rPr>
              <w:t>$813.00</w:t>
            </w:r>
          </w:p>
        </w:tc>
        <w:tc>
          <w:tcPr>
            <w:tcW w:w="1205"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2B6CF55B" w14:textId="628AA540" w:rsidR="00427F75" w:rsidRPr="008E63F2" w:rsidRDefault="00427F75" w:rsidP="00F01B35">
            <w:pPr>
              <w:jc w:val="center"/>
              <w:rPr>
                <w:rFonts w:cstheme="minorHAnsi"/>
                <w:color w:val="000000"/>
              </w:rPr>
            </w:pPr>
            <w:r w:rsidRPr="008E63F2">
              <w:rPr>
                <w:rFonts w:cstheme="minorHAnsi"/>
                <w:color w:val="000000"/>
              </w:rPr>
              <w:t>-5</w:t>
            </w:r>
            <w:r w:rsidR="00B46B8B" w:rsidRPr="008E63F2">
              <w:rPr>
                <w:rFonts w:cstheme="minorHAnsi"/>
                <w:color w:val="000000"/>
              </w:rPr>
              <w:t>2</w:t>
            </w:r>
            <w:r w:rsidRPr="008E63F2">
              <w:rPr>
                <w:rFonts w:cstheme="minorHAnsi"/>
                <w:color w:val="000000"/>
              </w:rPr>
              <w:t>%</w:t>
            </w:r>
          </w:p>
        </w:tc>
        <w:tc>
          <w:tcPr>
            <w:tcW w:w="1205"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362E6C2A" w14:textId="052EFFE5" w:rsidR="00427F75" w:rsidRPr="008E63F2" w:rsidRDefault="00480A1F" w:rsidP="00F01B35">
            <w:pPr>
              <w:jc w:val="center"/>
              <w:rPr>
                <w:rFonts w:cstheme="minorHAnsi"/>
                <w:color w:val="000000"/>
              </w:rPr>
            </w:pPr>
            <w:r w:rsidRPr="008E63F2">
              <w:rPr>
                <w:rFonts w:cstheme="minorHAnsi"/>
              </w:rPr>
              <w:t>$988.19</w:t>
            </w:r>
          </w:p>
        </w:tc>
        <w:tc>
          <w:tcPr>
            <w:tcW w:w="1205"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6854E589" w14:textId="33E9F782" w:rsidR="00FE5C9F" w:rsidRPr="008E63F2" w:rsidRDefault="00514D37" w:rsidP="00F01B35">
            <w:pPr>
              <w:jc w:val="center"/>
              <w:rPr>
                <w:rFonts w:cstheme="minorHAnsi"/>
                <w:color w:val="000000"/>
              </w:rPr>
            </w:pPr>
            <w:r w:rsidRPr="008E63F2">
              <w:rPr>
                <w:rFonts w:cstheme="minorHAnsi"/>
                <w:color w:val="000000"/>
              </w:rPr>
              <w:t>5</w:t>
            </w:r>
            <w:r w:rsidR="00FE5C9F" w:rsidRPr="008E63F2">
              <w:rPr>
                <w:rFonts w:cstheme="minorHAnsi"/>
                <w:color w:val="000000"/>
              </w:rPr>
              <w:t>%</w:t>
            </w:r>
          </w:p>
        </w:tc>
      </w:tr>
      <w:tr w:rsidR="00FC26ED" w14:paraId="19EE15CA" w14:textId="49A0AC27" w:rsidTr="007F20E9">
        <w:trPr>
          <w:cnfStyle w:val="000000010000" w:firstRow="0" w:lastRow="0" w:firstColumn="0" w:lastColumn="0" w:oddVBand="0" w:evenVBand="0" w:oddHBand="0" w:evenHBand="1" w:firstRowFirstColumn="0" w:firstRowLastColumn="0" w:lastRowFirstColumn="0" w:lastRowLastColumn="0"/>
          <w:trHeight w:val="313"/>
        </w:trPr>
        <w:tc>
          <w:tcPr>
            <w:tcW w:w="1980" w:type="dxa"/>
            <w:tcBorders>
              <w:top w:val="single" w:sz="2" w:space="0" w:color="002279"/>
              <w:left w:val="single" w:sz="4" w:space="0" w:color="002279"/>
              <w:bottom w:val="single" w:sz="2" w:space="0" w:color="002279"/>
              <w:right w:val="single" w:sz="4" w:space="0" w:color="002279"/>
            </w:tcBorders>
            <w:shd w:val="clear" w:color="auto" w:fill="FFFFFF" w:themeFill="background1"/>
          </w:tcPr>
          <w:p w14:paraId="1C6C1185" w14:textId="77777777" w:rsidR="00FC26ED" w:rsidRPr="008E63F2" w:rsidRDefault="00FC26ED">
            <w:pPr>
              <w:rPr>
                <w:rFonts w:cstheme="minorHAnsi"/>
              </w:rPr>
            </w:pPr>
          </w:p>
        </w:tc>
        <w:tc>
          <w:tcPr>
            <w:tcW w:w="1346" w:type="dxa"/>
            <w:tcBorders>
              <w:top w:val="single" w:sz="2" w:space="0" w:color="002279"/>
              <w:left w:val="single" w:sz="4" w:space="0" w:color="002279"/>
              <w:bottom w:val="single" w:sz="2" w:space="0" w:color="002279"/>
              <w:right w:val="single" w:sz="4" w:space="0" w:color="002279"/>
            </w:tcBorders>
            <w:shd w:val="clear" w:color="auto" w:fill="FFFFFF" w:themeFill="background1"/>
            <w:vAlign w:val="center"/>
            <w:hideMark/>
          </w:tcPr>
          <w:p w14:paraId="78E8DDB3" w14:textId="77777777" w:rsidR="00FC26ED" w:rsidRPr="008E63F2" w:rsidRDefault="00FC26ED" w:rsidP="00360131">
            <w:pPr>
              <w:jc w:val="center"/>
              <w:rPr>
                <w:rFonts w:cstheme="minorHAnsi"/>
              </w:rPr>
            </w:pPr>
            <w:r w:rsidRPr="008E63F2">
              <w:rPr>
                <w:rFonts w:cstheme="minorHAnsi"/>
                <w:color w:val="000000"/>
                <w:kern w:val="24"/>
              </w:rPr>
              <w:t>Sewer</w:t>
            </w:r>
          </w:p>
        </w:tc>
        <w:tc>
          <w:tcPr>
            <w:tcW w:w="1205" w:type="dxa"/>
            <w:tcBorders>
              <w:top w:val="single" w:sz="2" w:space="0" w:color="002279"/>
              <w:left w:val="single" w:sz="4" w:space="0" w:color="002279"/>
              <w:bottom w:val="single" w:sz="2" w:space="0" w:color="002279"/>
              <w:right w:val="single" w:sz="4" w:space="0" w:color="002279"/>
            </w:tcBorders>
            <w:shd w:val="clear" w:color="auto" w:fill="FFFFFF" w:themeFill="background1"/>
            <w:vAlign w:val="center"/>
            <w:hideMark/>
          </w:tcPr>
          <w:p w14:paraId="188E19AF" w14:textId="0319A6FC" w:rsidR="00FC26ED" w:rsidRPr="008E63F2" w:rsidRDefault="00FC26ED" w:rsidP="00360131">
            <w:pPr>
              <w:jc w:val="center"/>
              <w:rPr>
                <w:rFonts w:cstheme="minorHAnsi"/>
              </w:rPr>
            </w:pPr>
            <w:r w:rsidRPr="008E63F2">
              <w:rPr>
                <w:rFonts w:cstheme="minorHAnsi"/>
              </w:rPr>
              <w:t>$1,224</w:t>
            </w:r>
            <w:r w:rsidR="004F4F14" w:rsidRPr="008E63F2">
              <w:rPr>
                <w:rFonts w:cstheme="minorHAnsi"/>
              </w:rPr>
              <w:t>.46</w:t>
            </w:r>
          </w:p>
        </w:tc>
        <w:tc>
          <w:tcPr>
            <w:tcW w:w="1205" w:type="dxa"/>
            <w:tcBorders>
              <w:top w:val="single" w:sz="2" w:space="0" w:color="002279"/>
              <w:left w:val="single" w:sz="4" w:space="0" w:color="002279"/>
              <w:bottom w:val="single" w:sz="2" w:space="0" w:color="002279"/>
              <w:right w:val="single" w:sz="4" w:space="0" w:color="002279"/>
            </w:tcBorders>
            <w:shd w:val="clear" w:color="auto" w:fill="FFFFFF" w:themeFill="background1"/>
            <w:vAlign w:val="center"/>
            <w:hideMark/>
          </w:tcPr>
          <w:p w14:paraId="1E7C1994" w14:textId="30A1E12B" w:rsidR="00FC26ED" w:rsidRPr="008E63F2" w:rsidRDefault="00FC26ED" w:rsidP="00360131">
            <w:pPr>
              <w:jc w:val="center"/>
              <w:rPr>
                <w:rFonts w:cstheme="minorHAnsi"/>
              </w:rPr>
            </w:pPr>
            <w:r w:rsidRPr="008E63F2">
              <w:rPr>
                <w:rFonts w:cstheme="minorHAnsi"/>
              </w:rPr>
              <w:t>$1,</w:t>
            </w:r>
            <w:r w:rsidR="002A1486" w:rsidRPr="008E63F2">
              <w:rPr>
                <w:rFonts w:cstheme="minorHAnsi"/>
              </w:rPr>
              <w:t>670</w:t>
            </w:r>
            <w:r w:rsidR="004F4F14" w:rsidRPr="008E63F2">
              <w:rPr>
                <w:rFonts w:cstheme="minorHAnsi"/>
              </w:rPr>
              <w:t>.00</w:t>
            </w:r>
          </w:p>
        </w:tc>
        <w:tc>
          <w:tcPr>
            <w:tcW w:w="1205" w:type="dxa"/>
            <w:tcBorders>
              <w:top w:val="single" w:sz="2" w:space="0" w:color="002279"/>
              <w:left w:val="single" w:sz="4" w:space="0" w:color="002279"/>
              <w:bottom w:val="single" w:sz="2" w:space="0" w:color="002279"/>
              <w:right w:val="single" w:sz="4" w:space="0" w:color="002279"/>
            </w:tcBorders>
            <w:shd w:val="clear" w:color="auto" w:fill="FFFFFF" w:themeFill="background1"/>
            <w:vAlign w:val="center"/>
          </w:tcPr>
          <w:p w14:paraId="447C2A04" w14:textId="7008028C" w:rsidR="002A1486" w:rsidRPr="008E63F2" w:rsidRDefault="002A1486" w:rsidP="00F01B35">
            <w:pPr>
              <w:jc w:val="center"/>
              <w:rPr>
                <w:rFonts w:cstheme="minorHAnsi"/>
                <w:color w:val="000000"/>
              </w:rPr>
            </w:pPr>
            <w:r w:rsidRPr="008E63F2">
              <w:rPr>
                <w:rFonts w:cstheme="minorHAnsi"/>
                <w:color w:val="000000"/>
              </w:rPr>
              <w:t>36</w:t>
            </w:r>
            <w:r w:rsidR="00574B85" w:rsidRPr="008E63F2">
              <w:rPr>
                <w:rFonts w:cstheme="minorHAnsi"/>
                <w:color w:val="000000"/>
              </w:rPr>
              <w:t>%</w:t>
            </w:r>
          </w:p>
        </w:tc>
        <w:tc>
          <w:tcPr>
            <w:tcW w:w="1205" w:type="dxa"/>
            <w:tcBorders>
              <w:top w:val="single" w:sz="2" w:space="0" w:color="002279"/>
              <w:left w:val="single" w:sz="4" w:space="0" w:color="002279"/>
              <w:bottom w:val="single" w:sz="2" w:space="0" w:color="002279"/>
              <w:right w:val="single" w:sz="4" w:space="0" w:color="002279"/>
            </w:tcBorders>
            <w:shd w:val="clear" w:color="auto" w:fill="FFFFFF" w:themeFill="background1"/>
            <w:vAlign w:val="center"/>
          </w:tcPr>
          <w:p w14:paraId="61466021" w14:textId="79F6888F" w:rsidR="003074D7" w:rsidRPr="008E63F2" w:rsidRDefault="003074D7" w:rsidP="00F01B35">
            <w:pPr>
              <w:jc w:val="center"/>
              <w:rPr>
                <w:rFonts w:cstheme="minorHAnsi"/>
                <w:color w:val="000000"/>
              </w:rPr>
            </w:pPr>
            <w:r w:rsidRPr="008E63F2">
              <w:rPr>
                <w:rFonts w:cstheme="minorHAnsi"/>
              </w:rPr>
              <w:t>$</w:t>
            </w:r>
            <w:r w:rsidR="002A1486" w:rsidRPr="008E63F2">
              <w:rPr>
                <w:rFonts w:cstheme="minorHAnsi"/>
              </w:rPr>
              <w:t>2,</w:t>
            </w:r>
            <w:r w:rsidR="00480A1F" w:rsidRPr="008E63F2">
              <w:rPr>
                <w:rFonts w:cstheme="minorHAnsi"/>
              </w:rPr>
              <w:t>029.88</w:t>
            </w:r>
          </w:p>
        </w:tc>
        <w:tc>
          <w:tcPr>
            <w:tcW w:w="1205" w:type="dxa"/>
            <w:tcBorders>
              <w:top w:val="single" w:sz="2" w:space="0" w:color="002279"/>
              <w:left w:val="single" w:sz="4" w:space="0" w:color="002279"/>
              <w:bottom w:val="single" w:sz="2" w:space="0" w:color="002279"/>
              <w:right w:val="single" w:sz="4" w:space="0" w:color="002279"/>
            </w:tcBorders>
            <w:shd w:val="clear" w:color="auto" w:fill="FFFFFF" w:themeFill="background1"/>
            <w:vAlign w:val="center"/>
          </w:tcPr>
          <w:p w14:paraId="409B48ED" w14:textId="6E1CFCD7" w:rsidR="00FE5C9F" w:rsidRPr="008E63F2" w:rsidRDefault="00FE5C9F" w:rsidP="00F01B35">
            <w:pPr>
              <w:jc w:val="center"/>
              <w:rPr>
                <w:rFonts w:cstheme="minorHAnsi"/>
                <w:color w:val="000000"/>
              </w:rPr>
            </w:pPr>
            <w:r w:rsidRPr="008E63F2">
              <w:rPr>
                <w:rFonts w:cstheme="minorHAnsi"/>
                <w:color w:val="000000"/>
              </w:rPr>
              <w:t>5%</w:t>
            </w:r>
          </w:p>
        </w:tc>
      </w:tr>
      <w:tr w:rsidR="00FC26ED" w14:paraId="4BCE7C04" w14:textId="2508D498" w:rsidTr="007F20E9">
        <w:trPr>
          <w:cnfStyle w:val="000000100000" w:firstRow="0" w:lastRow="0" w:firstColumn="0" w:lastColumn="0" w:oddVBand="0" w:evenVBand="0" w:oddHBand="1" w:evenHBand="0" w:firstRowFirstColumn="0" w:firstRowLastColumn="0" w:lastRowFirstColumn="0" w:lastRowLastColumn="0"/>
          <w:trHeight w:val="313"/>
        </w:trPr>
        <w:tc>
          <w:tcPr>
            <w:tcW w:w="1980" w:type="dxa"/>
            <w:tcBorders>
              <w:top w:val="single" w:sz="2" w:space="0" w:color="002279"/>
              <w:left w:val="single" w:sz="4" w:space="0" w:color="002279"/>
              <w:bottom w:val="single" w:sz="2" w:space="0" w:color="002279"/>
              <w:right w:val="single" w:sz="4" w:space="0" w:color="002279"/>
            </w:tcBorders>
            <w:shd w:val="clear" w:color="auto" w:fill="D4D6DF"/>
          </w:tcPr>
          <w:p w14:paraId="5DC6A3BF" w14:textId="77777777" w:rsidR="00FC26ED" w:rsidRPr="008E63F2" w:rsidRDefault="00FC26ED">
            <w:pPr>
              <w:rPr>
                <w:rFonts w:cstheme="minorHAnsi"/>
              </w:rPr>
            </w:pPr>
          </w:p>
        </w:tc>
        <w:tc>
          <w:tcPr>
            <w:tcW w:w="1346" w:type="dxa"/>
            <w:tcBorders>
              <w:top w:val="single" w:sz="2" w:space="0" w:color="002279"/>
              <w:left w:val="single" w:sz="4" w:space="0" w:color="002279"/>
              <w:bottom w:val="single" w:sz="2" w:space="0" w:color="002279"/>
              <w:right w:val="single" w:sz="4" w:space="0" w:color="002279"/>
            </w:tcBorders>
            <w:shd w:val="clear" w:color="auto" w:fill="D4D6DF"/>
            <w:vAlign w:val="center"/>
            <w:hideMark/>
          </w:tcPr>
          <w:p w14:paraId="2884CD86" w14:textId="77777777" w:rsidR="00FC26ED" w:rsidRPr="008E63F2" w:rsidRDefault="00FC26ED" w:rsidP="00360131">
            <w:pPr>
              <w:jc w:val="center"/>
              <w:rPr>
                <w:rFonts w:cstheme="minorHAnsi"/>
              </w:rPr>
            </w:pPr>
            <w:r w:rsidRPr="008E63F2">
              <w:rPr>
                <w:rFonts w:cstheme="minorHAnsi"/>
                <w:color w:val="000000"/>
                <w:kern w:val="24"/>
              </w:rPr>
              <w:t>Recycled Water</w:t>
            </w:r>
          </w:p>
        </w:tc>
        <w:tc>
          <w:tcPr>
            <w:tcW w:w="1205" w:type="dxa"/>
            <w:tcBorders>
              <w:top w:val="single" w:sz="2" w:space="0" w:color="002279"/>
              <w:left w:val="single" w:sz="4" w:space="0" w:color="002279"/>
              <w:bottom w:val="single" w:sz="2" w:space="0" w:color="002279"/>
              <w:right w:val="single" w:sz="4" w:space="0" w:color="002279"/>
            </w:tcBorders>
            <w:shd w:val="clear" w:color="auto" w:fill="D4D6DF"/>
            <w:vAlign w:val="center"/>
            <w:hideMark/>
          </w:tcPr>
          <w:p w14:paraId="09CD602E" w14:textId="5E39FAEB" w:rsidR="00FC26ED" w:rsidRPr="008E63F2" w:rsidRDefault="00FC26ED" w:rsidP="00360131">
            <w:pPr>
              <w:jc w:val="center"/>
              <w:rPr>
                <w:rFonts w:cstheme="minorHAnsi"/>
              </w:rPr>
            </w:pPr>
            <w:r w:rsidRPr="008E63F2">
              <w:rPr>
                <w:rFonts w:cstheme="minorHAnsi"/>
              </w:rPr>
              <w:t>$1,</w:t>
            </w:r>
            <w:r w:rsidR="004F4F14" w:rsidRPr="008E63F2">
              <w:rPr>
                <w:rFonts w:cstheme="minorHAnsi"/>
              </w:rPr>
              <w:t>902.75</w:t>
            </w:r>
          </w:p>
        </w:tc>
        <w:tc>
          <w:tcPr>
            <w:tcW w:w="1205" w:type="dxa"/>
            <w:tcBorders>
              <w:top w:val="single" w:sz="2" w:space="0" w:color="002279"/>
              <w:left w:val="single" w:sz="4" w:space="0" w:color="002279"/>
              <w:bottom w:val="single" w:sz="2" w:space="0" w:color="002279"/>
              <w:right w:val="single" w:sz="4" w:space="0" w:color="002279"/>
            </w:tcBorders>
            <w:shd w:val="clear" w:color="auto" w:fill="D4D6DF"/>
            <w:vAlign w:val="center"/>
            <w:hideMark/>
          </w:tcPr>
          <w:p w14:paraId="26EF77AA" w14:textId="6FBAA2AC" w:rsidR="00FC26ED" w:rsidRPr="008E63F2" w:rsidRDefault="004F4F14" w:rsidP="00360131">
            <w:pPr>
              <w:jc w:val="center"/>
              <w:rPr>
                <w:rFonts w:cstheme="minorHAnsi"/>
              </w:rPr>
            </w:pPr>
            <w:r w:rsidRPr="008E63F2">
              <w:rPr>
                <w:rFonts w:cstheme="minorHAnsi"/>
              </w:rPr>
              <w:t>$2,595.00</w:t>
            </w:r>
          </w:p>
        </w:tc>
        <w:tc>
          <w:tcPr>
            <w:tcW w:w="1205"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5A9733E3" w14:textId="35DF30E8" w:rsidR="002A1486" w:rsidRPr="008E63F2" w:rsidRDefault="002A1486" w:rsidP="00F01B35">
            <w:pPr>
              <w:jc w:val="center"/>
              <w:rPr>
                <w:rFonts w:cstheme="minorHAnsi"/>
                <w:color w:val="000000"/>
              </w:rPr>
            </w:pPr>
            <w:r w:rsidRPr="008E63F2">
              <w:rPr>
                <w:rFonts w:cstheme="minorHAnsi"/>
                <w:color w:val="000000"/>
              </w:rPr>
              <w:t>36</w:t>
            </w:r>
            <w:r w:rsidR="004A43EF" w:rsidRPr="008E63F2">
              <w:rPr>
                <w:rFonts w:cstheme="minorHAnsi"/>
                <w:color w:val="000000"/>
              </w:rPr>
              <w:t>%</w:t>
            </w:r>
          </w:p>
        </w:tc>
        <w:tc>
          <w:tcPr>
            <w:tcW w:w="1205"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186868FE" w14:textId="4E88776F" w:rsidR="00BC6878" w:rsidRPr="008E63F2" w:rsidRDefault="00BC6878" w:rsidP="00F01B35">
            <w:pPr>
              <w:jc w:val="center"/>
              <w:rPr>
                <w:rFonts w:cstheme="minorHAnsi"/>
                <w:color w:val="000000"/>
              </w:rPr>
            </w:pPr>
            <w:r w:rsidRPr="008E63F2">
              <w:rPr>
                <w:rFonts w:cstheme="minorHAnsi"/>
              </w:rPr>
              <w:t>$</w:t>
            </w:r>
            <w:r w:rsidR="002A1486" w:rsidRPr="008E63F2">
              <w:rPr>
                <w:rFonts w:cstheme="minorHAnsi"/>
              </w:rPr>
              <w:t>3</w:t>
            </w:r>
            <w:r w:rsidRPr="008E63F2">
              <w:rPr>
                <w:rFonts w:cstheme="minorHAnsi"/>
              </w:rPr>
              <w:t>,</w:t>
            </w:r>
            <w:r w:rsidR="00480A1F" w:rsidRPr="008E63F2">
              <w:rPr>
                <w:rFonts w:cstheme="minorHAnsi"/>
              </w:rPr>
              <w:t>154.22</w:t>
            </w:r>
          </w:p>
        </w:tc>
        <w:tc>
          <w:tcPr>
            <w:tcW w:w="1205"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78D178D3" w14:textId="0B0C316B" w:rsidR="00FE5C9F" w:rsidRPr="008E63F2" w:rsidRDefault="002A1486" w:rsidP="00F01B35">
            <w:pPr>
              <w:jc w:val="center"/>
              <w:rPr>
                <w:rFonts w:cstheme="minorHAnsi"/>
                <w:color w:val="000000"/>
              </w:rPr>
            </w:pPr>
            <w:r w:rsidRPr="008E63F2">
              <w:rPr>
                <w:rFonts w:cstheme="minorHAnsi"/>
                <w:color w:val="000000"/>
              </w:rPr>
              <w:t>5</w:t>
            </w:r>
            <w:r w:rsidR="00FE5C9F" w:rsidRPr="008E63F2">
              <w:rPr>
                <w:rFonts w:cstheme="minorHAnsi"/>
                <w:color w:val="000000"/>
              </w:rPr>
              <w:t>%</w:t>
            </w:r>
          </w:p>
        </w:tc>
      </w:tr>
      <w:tr w:rsidR="00FC26ED" w14:paraId="5E3B83DA" w14:textId="479BCFB3" w:rsidTr="007F20E9">
        <w:trPr>
          <w:cnfStyle w:val="000000010000" w:firstRow="0" w:lastRow="0" w:firstColumn="0" w:lastColumn="0" w:oddVBand="0" w:evenVBand="0" w:oddHBand="0" w:evenHBand="1" w:firstRowFirstColumn="0" w:firstRowLastColumn="0" w:lastRowFirstColumn="0" w:lastRowLastColumn="0"/>
          <w:trHeight w:val="313"/>
        </w:trPr>
        <w:tc>
          <w:tcPr>
            <w:tcW w:w="1980" w:type="dxa"/>
            <w:tcBorders>
              <w:top w:val="single" w:sz="2" w:space="0" w:color="002279"/>
              <w:left w:val="single" w:sz="4" w:space="0" w:color="002279"/>
              <w:bottom w:val="single" w:sz="2" w:space="0" w:color="002279"/>
              <w:right w:val="single" w:sz="4" w:space="0" w:color="002279"/>
            </w:tcBorders>
            <w:shd w:val="clear" w:color="auto" w:fill="FFFFFF" w:themeFill="background1"/>
          </w:tcPr>
          <w:p w14:paraId="4B787554" w14:textId="77777777" w:rsidR="00FC26ED" w:rsidRPr="008E63F2" w:rsidRDefault="00FC26ED">
            <w:pPr>
              <w:rPr>
                <w:rFonts w:cstheme="minorHAnsi"/>
              </w:rPr>
            </w:pPr>
          </w:p>
        </w:tc>
        <w:tc>
          <w:tcPr>
            <w:tcW w:w="1346" w:type="dxa"/>
            <w:tcBorders>
              <w:top w:val="single" w:sz="2" w:space="0" w:color="002279"/>
              <w:left w:val="single" w:sz="4" w:space="0" w:color="002279"/>
              <w:bottom w:val="single" w:sz="2" w:space="0" w:color="002279"/>
              <w:right w:val="single" w:sz="4" w:space="0" w:color="002279"/>
            </w:tcBorders>
            <w:shd w:val="clear" w:color="auto" w:fill="FFFFFF" w:themeFill="background1"/>
            <w:vAlign w:val="center"/>
            <w:hideMark/>
          </w:tcPr>
          <w:p w14:paraId="6739E31E" w14:textId="77777777" w:rsidR="00FC26ED" w:rsidRPr="008E63F2" w:rsidRDefault="00FC26ED" w:rsidP="00360131">
            <w:pPr>
              <w:jc w:val="center"/>
              <w:rPr>
                <w:rFonts w:cstheme="minorHAnsi"/>
                <w:b/>
              </w:rPr>
            </w:pPr>
            <w:r w:rsidRPr="008E63F2">
              <w:rPr>
                <w:rFonts w:cstheme="minorHAnsi"/>
                <w:b/>
                <w:color w:val="000000"/>
                <w:kern w:val="24"/>
              </w:rPr>
              <w:t>Total</w:t>
            </w:r>
          </w:p>
        </w:tc>
        <w:tc>
          <w:tcPr>
            <w:tcW w:w="1205" w:type="dxa"/>
            <w:tcBorders>
              <w:top w:val="single" w:sz="2" w:space="0" w:color="002279"/>
              <w:left w:val="single" w:sz="4" w:space="0" w:color="002279"/>
              <w:bottom w:val="single" w:sz="2" w:space="0" w:color="002279"/>
              <w:right w:val="single" w:sz="4" w:space="0" w:color="002279"/>
            </w:tcBorders>
            <w:shd w:val="clear" w:color="auto" w:fill="FFFFFF" w:themeFill="background1"/>
            <w:vAlign w:val="center"/>
            <w:hideMark/>
          </w:tcPr>
          <w:p w14:paraId="32CADA4E" w14:textId="17437A09" w:rsidR="00FC26ED" w:rsidRPr="008E63F2" w:rsidRDefault="00FC26ED" w:rsidP="00360131">
            <w:pPr>
              <w:jc w:val="center"/>
              <w:rPr>
                <w:rFonts w:cstheme="minorHAnsi"/>
                <w:b/>
              </w:rPr>
            </w:pPr>
            <w:r w:rsidRPr="008E63F2">
              <w:rPr>
                <w:rFonts w:cstheme="minorHAnsi"/>
                <w:b/>
              </w:rPr>
              <w:t>$4,838</w:t>
            </w:r>
            <w:r w:rsidR="004F4F14" w:rsidRPr="008E63F2">
              <w:rPr>
                <w:rFonts w:cstheme="minorHAnsi"/>
                <w:b/>
                <w:bCs/>
              </w:rPr>
              <w:t>.03</w:t>
            </w:r>
          </w:p>
        </w:tc>
        <w:tc>
          <w:tcPr>
            <w:tcW w:w="1205" w:type="dxa"/>
            <w:tcBorders>
              <w:top w:val="single" w:sz="2" w:space="0" w:color="002279"/>
              <w:left w:val="single" w:sz="4" w:space="0" w:color="002279"/>
              <w:bottom w:val="single" w:sz="2" w:space="0" w:color="002279"/>
              <w:right w:val="single" w:sz="4" w:space="0" w:color="002279"/>
            </w:tcBorders>
            <w:shd w:val="clear" w:color="auto" w:fill="FFFFFF" w:themeFill="background1"/>
            <w:vAlign w:val="center"/>
            <w:hideMark/>
          </w:tcPr>
          <w:p w14:paraId="2B25A519" w14:textId="240989AB" w:rsidR="00FC26ED" w:rsidRPr="008E63F2" w:rsidRDefault="00756E6A" w:rsidP="00360131">
            <w:pPr>
              <w:jc w:val="center"/>
              <w:rPr>
                <w:rFonts w:cstheme="minorHAnsi"/>
                <w:b/>
              </w:rPr>
            </w:pPr>
            <w:r w:rsidRPr="008E63F2">
              <w:rPr>
                <w:rFonts w:cstheme="minorHAnsi"/>
                <w:b/>
              </w:rPr>
              <w:t>$</w:t>
            </w:r>
            <w:r w:rsidR="00403FC0" w:rsidRPr="008E63F2">
              <w:rPr>
                <w:rFonts w:cstheme="minorHAnsi"/>
                <w:b/>
              </w:rPr>
              <w:t>5,</w:t>
            </w:r>
            <w:r w:rsidR="004F4F14" w:rsidRPr="008E63F2">
              <w:rPr>
                <w:rFonts w:cstheme="minorHAnsi"/>
                <w:b/>
                <w:bCs/>
              </w:rPr>
              <w:t>078.00</w:t>
            </w:r>
          </w:p>
        </w:tc>
        <w:tc>
          <w:tcPr>
            <w:tcW w:w="1205" w:type="dxa"/>
            <w:tcBorders>
              <w:top w:val="single" w:sz="2" w:space="0" w:color="002279"/>
              <w:left w:val="single" w:sz="4" w:space="0" w:color="002279"/>
              <w:bottom w:val="single" w:sz="2" w:space="0" w:color="002279"/>
              <w:right w:val="single" w:sz="4" w:space="0" w:color="002279"/>
            </w:tcBorders>
            <w:shd w:val="clear" w:color="auto" w:fill="FFFFFF" w:themeFill="background1"/>
            <w:vAlign w:val="center"/>
          </w:tcPr>
          <w:p w14:paraId="53EE714B" w14:textId="2AC5CB32" w:rsidR="00403FC0" w:rsidRPr="008E63F2" w:rsidRDefault="00403FC0" w:rsidP="00F01B35">
            <w:pPr>
              <w:jc w:val="center"/>
              <w:rPr>
                <w:rFonts w:cstheme="minorHAnsi"/>
                <w:b/>
                <w:color w:val="000000"/>
              </w:rPr>
            </w:pPr>
            <w:r w:rsidRPr="008E63F2">
              <w:rPr>
                <w:rFonts w:cstheme="minorHAnsi"/>
                <w:b/>
                <w:color w:val="000000"/>
              </w:rPr>
              <w:t>5%</w:t>
            </w:r>
          </w:p>
        </w:tc>
        <w:tc>
          <w:tcPr>
            <w:tcW w:w="1205" w:type="dxa"/>
            <w:tcBorders>
              <w:top w:val="single" w:sz="2" w:space="0" w:color="002279"/>
              <w:left w:val="single" w:sz="4" w:space="0" w:color="002279"/>
              <w:bottom w:val="single" w:sz="2" w:space="0" w:color="002279"/>
              <w:right w:val="single" w:sz="4" w:space="0" w:color="002279"/>
            </w:tcBorders>
            <w:shd w:val="clear" w:color="auto" w:fill="FFFFFF" w:themeFill="background1"/>
            <w:vAlign w:val="center"/>
          </w:tcPr>
          <w:p w14:paraId="40117CE0" w14:textId="078ACAED" w:rsidR="00CF0D59" w:rsidRPr="008E63F2" w:rsidRDefault="00CF0D59" w:rsidP="00F01B35">
            <w:pPr>
              <w:jc w:val="center"/>
              <w:rPr>
                <w:rFonts w:cstheme="minorHAnsi"/>
                <w:b/>
                <w:color w:val="000000"/>
              </w:rPr>
            </w:pPr>
            <w:r w:rsidRPr="008E63F2">
              <w:rPr>
                <w:rFonts w:cstheme="minorHAnsi"/>
                <w:b/>
              </w:rPr>
              <w:t>$</w:t>
            </w:r>
            <w:r w:rsidR="00746FBE" w:rsidRPr="008E63F2">
              <w:rPr>
                <w:rFonts w:cstheme="minorHAnsi"/>
                <w:b/>
              </w:rPr>
              <w:t>6</w:t>
            </w:r>
            <w:r w:rsidRPr="008E63F2">
              <w:rPr>
                <w:rFonts w:cstheme="minorHAnsi"/>
                <w:b/>
              </w:rPr>
              <w:t>,</w:t>
            </w:r>
            <w:r w:rsidR="00480A1F" w:rsidRPr="008E63F2">
              <w:rPr>
                <w:rFonts w:cstheme="minorHAnsi"/>
                <w:b/>
                <w:bCs/>
              </w:rPr>
              <w:t>172.29</w:t>
            </w:r>
          </w:p>
        </w:tc>
        <w:tc>
          <w:tcPr>
            <w:tcW w:w="1205" w:type="dxa"/>
            <w:tcBorders>
              <w:top w:val="single" w:sz="2" w:space="0" w:color="002279"/>
              <w:left w:val="single" w:sz="4" w:space="0" w:color="002279"/>
              <w:bottom w:val="single" w:sz="2" w:space="0" w:color="002279"/>
              <w:right w:val="single" w:sz="4" w:space="0" w:color="002279"/>
            </w:tcBorders>
            <w:shd w:val="clear" w:color="auto" w:fill="FFFFFF" w:themeFill="background1"/>
            <w:vAlign w:val="center"/>
          </w:tcPr>
          <w:p w14:paraId="04AAC97A" w14:textId="036AE40E" w:rsidR="00FE5C9F" w:rsidRPr="008E63F2" w:rsidRDefault="00403FC0" w:rsidP="00F01B35">
            <w:pPr>
              <w:jc w:val="center"/>
              <w:rPr>
                <w:rFonts w:cstheme="minorHAnsi"/>
                <w:b/>
                <w:color w:val="000000"/>
              </w:rPr>
            </w:pPr>
            <w:r w:rsidRPr="008E63F2">
              <w:rPr>
                <w:rFonts w:cstheme="minorHAnsi"/>
                <w:b/>
                <w:color w:val="000000"/>
              </w:rPr>
              <w:t>5</w:t>
            </w:r>
            <w:r w:rsidR="00FE5C9F" w:rsidRPr="008E63F2">
              <w:rPr>
                <w:rFonts w:cstheme="minorHAnsi"/>
                <w:b/>
                <w:color w:val="000000"/>
              </w:rPr>
              <w:t>%</w:t>
            </w:r>
          </w:p>
        </w:tc>
      </w:tr>
      <w:tr w:rsidR="00FC26ED" w14:paraId="15D0C912" w14:textId="6F15C570" w:rsidTr="007F20E9">
        <w:trPr>
          <w:cnfStyle w:val="000000100000" w:firstRow="0" w:lastRow="0" w:firstColumn="0" w:lastColumn="0" w:oddVBand="0" w:evenVBand="0" w:oddHBand="1" w:evenHBand="0" w:firstRowFirstColumn="0" w:firstRowLastColumn="0" w:lastRowFirstColumn="0" w:lastRowLastColumn="0"/>
          <w:trHeight w:val="313"/>
        </w:trPr>
        <w:tc>
          <w:tcPr>
            <w:tcW w:w="1980" w:type="dxa"/>
            <w:tcBorders>
              <w:top w:val="single" w:sz="2" w:space="0" w:color="002279"/>
              <w:left w:val="single" w:sz="4" w:space="0" w:color="002279"/>
              <w:bottom w:val="single" w:sz="2" w:space="0" w:color="002279"/>
              <w:right w:val="single" w:sz="4" w:space="0" w:color="002279"/>
            </w:tcBorders>
            <w:shd w:val="clear" w:color="auto" w:fill="D4D6DF"/>
            <w:hideMark/>
          </w:tcPr>
          <w:p w14:paraId="2C3E1EE2" w14:textId="77777777" w:rsidR="00FC26ED" w:rsidRPr="008E63F2" w:rsidRDefault="00FC26ED">
            <w:pPr>
              <w:rPr>
                <w:rFonts w:cstheme="minorHAnsi"/>
              </w:rPr>
            </w:pPr>
            <w:r w:rsidRPr="008E63F2">
              <w:rPr>
                <w:rFonts w:cstheme="minorHAnsi"/>
                <w:b/>
                <w:color w:val="000000"/>
                <w:kern w:val="24"/>
              </w:rPr>
              <w:t>Other areas</w:t>
            </w:r>
          </w:p>
        </w:tc>
        <w:tc>
          <w:tcPr>
            <w:tcW w:w="1346" w:type="dxa"/>
            <w:tcBorders>
              <w:top w:val="single" w:sz="2" w:space="0" w:color="002279"/>
              <w:left w:val="single" w:sz="4" w:space="0" w:color="002279"/>
              <w:bottom w:val="single" w:sz="2" w:space="0" w:color="002279"/>
              <w:right w:val="single" w:sz="4" w:space="0" w:color="002279"/>
            </w:tcBorders>
            <w:shd w:val="clear" w:color="auto" w:fill="D4D6DF"/>
            <w:vAlign w:val="center"/>
            <w:hideMark/>
          </w:tcPr>
          <w:p w14:paraId="66339206" w14:textId="77777777" w:rsidR="00FC26ED" w:rsidRPr="008E63F2" w:rsidRDefault="00FC26ED" w:rsidP="00360131">
            <w:pPr>
              <w:jc w:val="center"/>
              <w:rPr>
                <w:rFonts w:cstheme="minorHAnsi"/>
              </w:rPr>
            </w:pPr>
            <w:r w:rsidRPr="008E63F2">
              <w:rPr>
                <w:rFonts w:cstheme="minorHAnsi"/>
                <w:color w:val="000000"/>
                <w:kern w:val="24"/>
              </w:rPr>
              <w:t>Water</w:t>
            </w:r>
          </w:p>
        </w:tc>
        <w:tc>
          <w:tcPr>
            <w:tcW w:w="1205" w:type="dxa"/>
            <w:tcBorders>
              <w:top w:val="single" w:sz="2" w:space="0" w:color="002279"/>
              <w:left w:val="single" w:sz="4" w:space="0" w:color="002279"/>
              <w:bottom w:val="single" w:sz="2" w:space="0" w:color="002279"/>
              <w:right w:val="single" w:sz="4" w:space="0" w:color="002279"/>
            </w:tcBorders>
            <w:shd w:val="clear" w:color="auto" w:fill="D4D6DF"/>
            <w:vAlign w:val="center"/>
            <w:hideMark/>
          </w:tcPr>
          <w:p w14:paraId="6375ECC9" w14:textId="4CB71C25" w:rsidR="00FC26ED" w:rsidRPr="008E63F2" w:rsidRDefault="009D714B" w:rsidP="00360131">
            <w:pPr>
              <w:jc w:val="center"/>
              <w:rPr>
                <w:rFonts w:cstheme="minorHAnsi"/>
              </w:rPr>
            </w:pPr>
            <w:r w:rsidRPr="008E63F2">
              <w:rPr>
                <w:rFonts w:cstheme="minorHAnsi"/>
              </w:rPr>
              <w:t>$775.09</w:t>
            </w:r>
          </w:p>
        </w:tc>
        <w:tc>
          <w:tcPr>
            <w:tcW w:w="1205" w:type="dxa"/>
            <w:tcBorders>
              <w:top w:val="single" w:sz="2" w:space="0" w:color="002279"/>
              <w:left w:val="single" w:sz="4" w:space="0" w:color="002279"/>
              <w:bottom w:val="single" w:sz="2" w:space="0" w:color="002279"/>
              <w:right w:val="single" w:sz="4" w:space="0" w:color="002279"/>
            </w:tcBorders>
            <w:shd w:val="clear" w:color="auto" w:fill="D4D6DF"/>
            <w:vAlign w:val="center"/>
            <w:hideMark/>
          </w:tcPr>
          <w:p w14:paraId="3E09B77B" w14:textId="7DA22CE4" w:rsidR="00FC26ED" w:rsidRPr="008E63F2" w:rsidRDefault="009D714B" w:rsidP="00360131">
            <w:pPr>
              <w:jc w:val="center"/>
              <w:rPr>
                <w:rFonts w:cstheme="minorHAnsi"/>
              </w:rPr>
            </w:pPr>
            <w:r w:rsidRPr="008E63F2">
              <w:rPr>
                <w:rFonts w:cstheme="minorHAnsi"/>
              </w:rPr>
              <w:t>$813.00</w:t>
            </w:r>
          </w:p>
        </w:tc>
        <w:tc>
          <w:tcPr>
            <w:tcW w:w="1205"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1B155C04" w14:textId="75FA0044" w:rsidR="004A3036" w:rsidRPr="008E63F2" w:rsidRDefault="004A3036" w:rsidP="00F01B35">
            <w:pPr>
              <w:jc w:val="center"/>
              <w:rPr>
                <w:rFonts w:cstheme="minorHAnsi"/>
                <w:color w:val="000000"/>
              </w:rPr>
            </w:pPr>
            <w:r w:rsidRPr="008E63F2">
              <w:rPr>
                <w:rFonts w:cstheme="minorHAnsi"/>
                <w:color w:val="000000"/>
              </w:rPr>
              <w:t>5</w:t>
            </w:r>
            <w:r w:rsidR="003D48D6" w:rsidRPr="008E63F2">
              <w:rPr>
                <w:rFonts w:cstheme="minorHAnsi"/>
                <w:color w:val="000000"/>
              </w:rPr>
              <w:t>%</w:t>
            </w:r>
          </w:p>
        </w:tc>
        <w:tc>
          <w:tcPr>
            <w:tcW w:w="1205"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2E8E3B8C" w14:textId="786C60DB" w:rsidR="00C65445" w:rsidRPr="008E63F2" w:rsidRDefault="009D714B" w:rsidP="00F01B35">
            <w:pPr>
              <w:jc w:val="center"/>
              <w:rPr>
                <w:rFonts w:cstheme="minorHAnsi"/>
                <w:color w:val="000000"/>
              </w:rPr>
            </w:pPr>
            <w:r w:rsidRPr="008E63F2">
              <w:rPr>
                <w:rFonts w:cstheme="minorHAnsi"/>
              </w:rPr>
              <w:t>$988.19</w:t>
            </w:r>
          </w:p>
        </w:tc>
        <w:tc>
          <w:tcPr>
            <w:tcW w:w="1205"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17FEA46B" w14:textId="393DB151" w:rsidR="00FE5C9F" w:rsidRPr="008E63F2" w:rsidRDefault="003D48D6" w:rsidP="00F01B35">
            <w:pPr>
              <w:jc w:val="center"/>
              <w:rPr>
                <w:rFonts w:cstheme="minorHAnsi"/>
                <w:color w:val="000000"/>
              </w:rPr>
            </w:pPr>
            <w:r w:rsidRPr="008E63F2">
              <w:rPr>
                <w:rFonts w:cstheme="minorHAnsi"/>
                <w:color w:val="000000"/>
              </w:rPr>
              <w:t>5</w:t>
            </w:r>
            <w:r w:rsidR="00FE5C9F" w:rsidRPr="008E63F2">
              <w:rPr>
                <w:rFonts w:cstheme="minorHAnsi"/>
                <w:color w:val="000000"/>
              </w:rPr>
              <w:t>%</w:t>
            </w:r>
          </w:p>
        </w:tc>
      </w:tr>
      <w:tr w:rsidR="00FC26ED" w14:paraId="37E076E1" w14:textId="1CFDC0A2" w:rsidTr="007F20E9">
        <w:trPr>
          <w:cnfStyle w:val="000000010000" w:firstRow="0" w:lastRow="0" w:firstColumn="0" w:lastColumn="0" w:oddVBand="0" w:evenVBand="0" w:oddHBand="0" w:evenHBand="1" w:firstRowFirstColumn="0" w:firstRowLastColumn="0" w:lastRowFirstColumn="0" w:lastRowLastColumn="0"/>
          <w:trHeight w:val="313"/>
        </w:trPr>
        <w:tc>
          <w:tcPr>
            <w:tcW w:w="1980" w:type="dxa"/>
            <w:tcBorders>
              <w:top w:val="single" w:sz="2" w:space="0" w:color="002279"/>
              <w:left w:val="single" w:sz="4" w:space="0" w:color="002279"/>
              <w:bottom w:val="single" w:sz="2" w:space="0" w:color="002279"/>
              <w:right w:val="single" w:sz="4" w:space="0" w:color="002279"/>
            </w:tcBorders>
            <w:shd w:val="clear" w:color="auto" w:fill="FFFFFF" w:themeFill="background1"/>
          </w:tcPr>
          <w:p w14:paraId="05BE73C9" w14:textId="77777777" w:rsidR="00FC26ED" w:rsidRPr="008E63F2" w:rsidRDefault="00FC26ED">
            <w:pPr>
              <w:rPr>
                <w:rFonts w:cstheme="minorHAnsi"/>
              </w:rPr>
            </w:pPr>
          </w:p>
        </w:tc>
        <w:tc>
          <w:tcPr>
            <w:tcW w:w="1346" w:type="dxa"/>
            <w:tcBorders>
              <w:top w:val="single" w:sz="2" w:space="0" w:color="002279"/>
              <w:left w:val="single" w:sz="4" w:space="0" w:color="002279"/>
              <w:bottom w:val="single" w:sz="2" w:space="0" w:color="002279"/>
              <w:right w:val="single" w:sz="4" w:space="0" w:color="002279"/>
            </w:tcBorders>
            <w:shd w:val="clear" w:color="auto" w:fill="FFFFFF" w:themeFill="background1"/>
            <w:vAlign w:val="center"/>
            <w:hideMark/>
          </w:tcPr>
          <w:p w14:paraId="766C9AFE" w14:textId="77777777" w:rsidR="00FC26ED" w:rsidRPr="008E63F2" w:rsidRDefault="00FC26ED" w:rsidP="00360131">
            <w:pPr>
              <w:jc w:val="center"/>
              <w:rPr>
                <w:rFonts w:cstheme="minorHAnsi"/>
              </w:rPr>
            </w:pPr>
            <w:r w:rsidRPr="008E63F2">
              <w:rPr>
                <w:rFonts w:cstheme="minorHAnsi"/>
                <w:color w:val="000000"/>
                <w:kern w:val="24"/>
              </w:rPr>
              <w:t>Sewer</w:t>
            </w:r>
          </w:p>
        </w:tc>
        <w:tc>
          <w:tcPr>
            <w:tcW w:w="1205" w:type="dxa"/>
            <w:tcBorders>
              <w:top w:val="single" w:sz="2" w:space="0" w:color="002279"/>
              <w:left w:val="single" w:sz="4" w:space="0" w:color="002279"/>
              <w:bottom w:val="single" w:sz="2" w:space="0" w:color="002279"/>
              <w:right w:val="single" w:sz="4" w:space="0" w:color="002279"/>
            </w:tcBorders>
            <w:shd w:val="clear" w:color="auto" w:fill="FFFFFF" w:themeFill="background1"/>
            <w:vAlign w:val="center"/>
            <w:hideMark/>
          </w:tcPr>
          <w:p w14:paraId="3F82EC39" w14:textId="2D26FDE1" w:rsidR="00FC26ED" w:rsidRPr="008E63F2" w:rsidRDefault="009D714B" w:rsidP="00360131">
            <w:pPr>
              <w:jc w:val="center"/>
              <w:rPr>
                <w:rFonts w:cstheme="minorHAnsi"/>
              </w:rPr>
            </w:pPr>
            <w:r w:rsidRPr="008E63F2">
              <w:rPr>
                <w:rFonts w:cstheme="minorHAnsi"/>
              </w:rPr>
              <w:t>$775.09</w:t>
            </w:r>
          </w:p>
        </w:tc>
        <w:tc>
          <w:tcPr>
            <w:tcW w:w="1205" w:type="dxa"/>
            <w:tcBorders>
              <w:top w:val="single" w:sz="2" w:space="0" w:color="002279"/>
              <w:left w:val="single" w:sz="4" w:space="0" w:color="002279"/>
              <w:bottom w:val="single" w:sz="2" w:space="0" w:color="002279"/>
              <w:right w:val="single" w:sz="4" w:space="0" w:color="002279"/>
            </w:tcBorders>
            <w:shd w:val="clear" w:color="auto" w:fill="FFFFFF" w:themeFill="background1"/>
            <w:vAlign w:val="center"/>
            <w:hideMark/>
          </w:tcPr>
          <w:p w14:paraId="1CAD1A8E" w14:textId="63E53257" w:rsidR="00FC26ED" w:rsidRPr="008E63F2" w:rsidRDefault="009D714B" w:rsidP="00360131">
            <w:pPr>
              <w:jc w:val="center"/>
              <w:rPr>
                <w:rFonts w:cstheme="minorHAnsi"/>
              </w:rPr>
            </w:pPr>
            <w:r w:rsidRPr="008E63F2">
              <w:rPr>
                <w:rFonts w:cstheme="minorHAnsi"/>
              </w:rPr>
              <w:t>$813.00</w:t>
            </w:r>
          </w:p>
        </w:tc>
        <w:tc>
          <w:tcPr>
            <w:tcW w:w="1205" w:type="dxa"/>
            <w:tcBorders>
              <w:top w:val="single" w:sz="2" w:space="0" w:color="002279"/>
              <w:left w:val="single" w:sz="4" w:space="0" w:color="002279"/>
              <w:bottom w:val="single" w:sz="2" w:space="0" w:color="002279"/>
              <w:right w:val="single" w:sz="4" w:space="0" w:color="002279"/>
            </w:tcBorders>
            <w:shd w:val="clear" w:color="auto" w:fill="FFFFFF" w:themeFill="background1"/>
            <w:vAlign w:val="center"/>
          </w:tcPr>
          <w:p w14:paraId="4ACA2499" w14:textId="12F294E7" w:rsidR="004A3036" w:rsidRPr="008E63F2" w:rsidRDefault="004A3036" w:rsidP="00F01B35">
            <w:pPr>
              <w:jc w:val="center"/>
              <w:rPr>
                <w:rFonts w:cstheme="minorHAnsi"/>
                <w:color w:val="000000"/>
              </w:rPr>
            </w:pPr>
            <w:r w:rsidRPr="008E63F2">
              <w:rPr>
                <w:rFonts w:cstheme="minorHAnsi"/>
                <w:color w:val="000000"/>
              </w:rPr>
              <w:t>5</w:t>
            </w:r>
            <w:r w:rsidR="003D48D6" w:rsidRPr="008E63F2">
              <w:rPr>
                <w:rFonts w:cstheme="minorHAnsi"/>
                <w:color w:val="000000"/>
              </w:rPr>
              <w:t>%</w:t>
            </w:r>
          </w:p>
        </w:tc>
        <w:tc>
          <w:tcPr>
            <w:tcW w:w="1205" w:type="dxa"/>
            <w:tcBorders>
              <w:top w:val="single" w:sz="2" w:space="0" w:color="002279"/>
              <w:left w:val="single" w:sz="4" w:space="0" w:color="002279"/>
              <w:bottom w:val="single" w:sz="2" w:space="0" w:color="002279"/>
              <w:right w:val="single" w:sz="4" w:space="0" w:color="002279"/>
            </w:tcBorders>
            <w:shd w:val="clear" w:color="auto" w:fill="FFFFFF" w:themeFill="background1"/>
            <w:vAlign w:val="center"/>
          </w:tcPr>
          <w:p w14:paraId="35F42062" w14:textId="77DD96CF" w:rsidR="00C65445" w:rsidRPr="008E63F2" w:rsidRDefault="009D714B" w:rsidP="00F01B35">
            <w:pPr>
              <w:jc w:val="center"/>
              <w:rPr>
                <w:rFonts w:cstheme="minorHAnsi"/>
                <w:color w:val="000000"/>
              </w:rPr>
            </w:pPr>
            <w:r w:rsidRPr="008E63F2">
              <w:rPr>
                <w:rFonts w:cstheme="minorHAnsi"/>
              </w:rPr>
              <w:t>$988.19</w:t>
            </w:r>
          </w:p>
        </w:tc>
        <w:tc>
          <w:tcPr>
            <w:tcW w:w="1205" w:type="dxa"/>
            <w:tcBorders>
              <w:top w:val="single" w:sz="2" w:space="0" w:color="002279"/>
              <w:left w:val="single" w:sz="4" w:space="0" w:color="002279"/>
              <w:bottom w:val="single" w:sz="2" w:space="0" w:color="002279"/>
              <w:right w:val="single" w:sz="4" w:space="0" w:color="002279"/>
            </w:tcBorders>
            <w:shd w:val="clear" w:color="auto" w:fill="FFFFFF" w:themeFill="background1"/>
            <w:vAlign w:val="center"/>
          </w:tcPr>
          <w:p w14:paraId="54FAAE72" w14:textId="31FBC53A" w:rsidR="00FE5C9F" w:rsidRPr="008E63F2" w:rsidRDefault="003D48D6" w:rsidP="00F01B35">
            <w:pPr>
              <w:jc w:val="center"/>
              <w:rPr>
                <w:rFonts w:cstheme="minorHAnsi"/>
                <w:color w:val="000000"/>
              </w:rPr>
            </w:pPr>
            <w:r w:rsidRPr="008E63F2">
              <w:rPr>
                <w:rFonts w:cstheme="minorHAnsi"/>
                <w:color w:val="000000"/>
              </w:rPr>
              <w:t>5</w:t>
            </w:r>
            <w:r w:rsidR="00FE5C9F" w:rsidRPr="008E63F2">
              <w:rPr>
                <w:rFonts w:cstheme="minorHAnsi"/>
                <w:color w:val="000000"/>
              </w:rPr>
              <w:t>%</w:t>
            </w:r>
          </w:p>
        </w:tc>
      </w:tr>
      <w:tr w:rsidR="00480A1F" w14:paraId="05792A02" w14:textId="77777777" w:rsidTr="007F20E9">
        <w:trPr>
          <w:cnfStyle w:val="000000100000" w:firstRow="0" w:lastRow="0" w:firstColumn="0" w:lastColumn="0" w:oddVBand="0" w:evenVBand="0" w:oddHBand="1" w:evenHBand="0" w:firstRowFirstColumn="0" w:firstRowLastColumn="0" w:lastRowFirstColumn="0" w:lastRowLastColumn="0"/>
          <w:trHeight w:val="313"/>
        </w:trPr>
        <w:tc>
          <w:tcPr>
            <w:tcW w:w="1980" w:type="dxa"/>
            <w:tcBorders>
              <w:top w:val="single" w:sz="2" w:space="0" w:color="002279"/>
              <w:left w:val="single" w:sz="4" w:space="0" w:color="002279"/>
              <w:bottom w:val="single" w:sz="2" w:space="0" w:color="002279"/>
              <w:right w:val="single" w:sz="4" w:space="0" w:color="002279"/>
            </w:tcBorders>
            <w:shd w:val="clear" w:color="auto" w:fill="D4D6DF"/>
          </w:tcPr>
          <w:p w14:paraId="4280A6FD" w14:textId="77777777" w:rsidR="00480A1F" w:rsidRPr="008E63F2" w:rsidRDefault="00480A1F" w:rsidP="00480A1F">
            <w:pPr>
              <w:rPr>
                <w:rFonts w:cstheme="minorHAnsi"/>
              </w:rPr>
            </w:pPr>
          </w:p>
        </w:tc>
        <w:tc>
          <w:tcPr>
            <w:tcW w:w="1346"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5C931A97" w14:textId="009DE8E2" w:rsidR="00480A1F" w:rsidRPr="008E63F2" w:rsidRDefault="00480A1F" w:rsidP="00360131">
            <w:pPr>
              <w:jc w:val="center"/>
              <w:rPr>
                <w:rFonts w:cstheme="minorHAnsi"/>
                <w:color w:val="000000"/>
                <w:kern w:val="24"/>
              </w:rPr>
            </w:pPr>
            <w:r w:rsidRPr="008E63F2">
              <w:rPr>
                <w:rFonts w:cstheme="minorHAnsi"/>
                <w:color w:val="000000"/>
                <w:kern w:val="24"/>
              </w:rPr>
              <w:t>Recycled Water</w:t>
            </w:r>
          </w:p>
        </w:tc>
        <w:tc>
          <w:tcPr>
            <w:tcW w:w="1205"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126FF52A" w14:textId="42570F12" w:rsidR="00480A1F" w:rsidRPr="008E63F2" w:rsidRDefault="009D714B" w:rsidP="00360131">
            <w:pPr>
              <w:jc w:val="center"/>
              <w:rPr>
                <w:rFonts w:cstheme="minorHAnsi"/>
                <w:color w:val="000000"/>
                <w:kern w:val="24"/>
              </w:rPr>
            </w:pPr>
            <w:r w:rsidRPr="008E63F2">
              <w:rPr>
                <w:rFonts w:cstheme="minorHAnsi"/>
              </w:rPr>
              <w:t>$775.09</w:t>
            </w:r>
          </w:p>
        </w:tc>
        <w:tc>
          <w:tcPr>
            <w:tcW w:w="1205"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6C1D0BB8" w14:textId="4D8F2B8C" w:rsidR="00480A1F" w:rsidRPr="008E63F2" w:rsidRDefault="009D714B" w:rsidP="00360131">
            <w:pPr>
              <w:jc w:val="center"/>
              <w:rPr>
                <w:rFonts w:cstheme="minorHAnsi"/>
                <w:color w:val="000000"/>
                <w:kern w:val="24"/>
              </w:rPr>
            </w:pPr>
            <w:r w:rsidRPr="008E63F2">
              <w:rPr>
                <w:rFonts w:cstheme="minorHAnsi"/>
              </w:rPr>
              <w:t>$813.00</w:t>
            </w:r>
          </w:p>
        </w:tc>
        <w:tc>
          <w:tcPr>
            <w:tcW w:w="1205"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31578C47" w14:textId="670493F4" w:rsidR="00480A1F" w:rsidRPr="008E63F2" w:rsidRDefault="00480A1F" w:rsidP="00F01B35">
            <w:pPr>
              <w:jc w:val="center"/>
              <w:rPr>
                <w:rFonts w:cstheme="minorHAnsi"/>
                <w:color w:val="000000"/>
              </w:rPr>
            </w:pPr>
            <w:r w:rsidRPr="008E63F2">
              <w:rPr>
                <w:rFonts w:cstheme="minorHAnsi"/>
                <w:color w:val="000000"/>
              </w:rPr>
              <w:t>5%</w:t>
            </w:r>
          </w:p>
        </w:tc>
        <w:tc>
          <w:tcPr>
            <w:tcW w:w="1205"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06AD5225" w14:textId="0AEF7146" w:rsidR="00480A1F" w:rsidRPr="008E63F2" w:rsidRDefault="009D714B" w:rsidP="00F01B35">
            <w:pPr>
              <w:jc w:val="center"/>
              <w:rPr>
                <w:rFonts w:cstheme="minorHAnsi"/>
                <w:color w:val="000000"/>
              </w:rPr>
            </w:pPr>
            <w:r w:rsidRPr="008E63F2">
              <w:rPr>
                <w:rFonts w:cstheme="minorHAnsi"/>
              </w:rPr>
              <w:t>$988.19</w:t>
            </w:r>
          </w:p>
        </w:tc>
        <w:tc>
          <w:tcPr>
            <w:tcW w:w="1205"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4234FA75" w14:textId="74068C46" w:rsidR="00480A1F" w:rsidRPr="008E63F2" w:rsidRDefault="00480A1F" w:rsidP="00F01B35">
            <w:pPr>
              <w:jc w:val="center"/>
              <w:rPr>
                <w:rFonts w:cstheme="minorHAnsi"/>
                <w:color w:val="000000"/>
              </w:rPr>
            </w:pPr>
            <w:r w:rsidRPr="008E63F2">
              <w:rPr>
                <w:rFonts w:cstheme="minorHAnsi"/>
                <w:color w:val="000000"/>
              </w:rPr>
              <w:t>5%</w:t>
            </w:r>
          </w:p>
        </w:tc>
      </w:tr>
      <w:tr w:rsidR="00F01B35" w14:paraId="62A1DE5A" w14:textId="233A3F09" w:rsidTr="007F20E9">
        <w:trPr>
          <w:cnfStyle w:val="000000010000" w:firstRow="0" w:lastRow="0" w:firstColumn="0" w:lastColumn="0" w:oddVBand="0" w:evenVBand="0" w:oddHBand="0" w:evenHBand="1" w:firstRowFirstColumn="0" w:firstRowLastColumn="0" w:lastRowFirstColumn="0" w:lastRowLastColumn="0"/>
          <w:trHeight w:val="313"/>
        </w:trPr>
        <w:tc>
          <w:tcPr>
            <w:tcW w:w="1980" w:type="dxa"/>
            <w:tcBorders>
              <w:top w:val="single" w:sz="2" w:space="0" w:color="002279"/>
              <w:left w:val="single" w:sz="4" w:space="0" w:color="002279"/>
              <w:bottom w:val="single" w:sz="2" w:space="0" w:color="002279"/>
              <w:right w:val="single" w:sz="4" w:space="0" w:color="002279"/>
            </w:tcBorders>
            <w:shd w:val="clear" w:color="auto" w:fill="FFFFFF" w:themeFill="background1"/>
          </w:tcPr>
          <w:p w14:paraId="61BB7B56" w14:textId="77777777" w:rsidR="00FC26ED" w:rsidRPr="008E63F2" w:rsidRDefault="00FC26ED">
            <w:pPr>
              <w:rPr>
                <w:rFonts w:cstheme="minorHAnsi"/>
              </w:rPr>
            </w:pPr>
          </w:p>
        </w:tc>
        <w:tc>
          <w:tcPr>
            <w:tcW w:w="1346" w:type="dxa"/>
            <w:tcBorders>
              <w:top w:val="single" w:sz="2" w:space="0" w:color="002279"/>
              <w:left w:val="single" w:sz="4" w:space="0" w:color="002279"/>
              <w:bottom w:val="single" w:sz="2" w:space="0" w:color="002279"/>
              <w:right w:val="single" w:sz="4" w:space="0" w:color="002279"/>
            </w:tcBorders>
            <w:shd w:val="clear" w:color="auto" w:fill="FFFFFF" w:themeFill="background1"/>
            <w:vAlign w:val="center"/>
            <w:hideMark/>
          </w:tcPr>
          <w:p w14:paraId="70778913" w14:textId="77777777" w:rsidR="00FC26ED" w:rsidRPr="008E63F2" w:rsidRDefault="00FC26ED" w:rsidP="00360131">
            <w:pPr>
              <w:jc w:val="center"/>
              <w:rPr>
                <w:rFonts w:cstheme="minorHAnsi"/>
                <w:b/>
              </w:rPr>
            </w:pPr>
            <w:r w:rsidRPr="008E63F2">
              <w:rPr>
                <w:rFonts w:cstheme="minorHAnsi"/>
                <w:b/>
                <w:color w:val="000000"/>
                <w:kern w:val="24"/>
              </w:rPr>
              <w:t>Total</w:t>
            </w:r>
          </w:p>
        </w:tc>
        <w:tc>
          <w:tcPr>
            <w:tcW w:w="1205" w:type="dxa"/>
            <w:tcBorders>
              <w:top w:val="single" w:sz="2" w:space="0" w:color="002279"/>
              <w:left w:val="single" w:sz="4" w:space="0" w:color="002279"/>
              <w:bottom w:val="single" w:sz="2" w:space="0" w:color="002279"/>
              <w:right w:val="single" w:sz="4" w:space="0" w:color="002279"/>
            </w:tcBorders>
            <w:shd w:val="clear" w:color="auto" w:fill="FFFFFF" w:themeFill="background1"/>
            <w:vAlign w:val="center"/>
            <w:hideMark/>
          </w:tcPr>
          <w:p w14:paraId="34D2A141" w14:textId="278A7D4A" w:rsidR="00FC26ED" w:rsidRPr="008E63F2" w:rsidRDefault="00480A1F" w:rsidP="00360131">
            <w:pPr>
              <w:jc w:val="center"/>
              <w:rPr>
                <w:rFonts w:cstheme="minorHAnsi"/>
                <w:b/>
              </w:rPr>
            </w:pPr>
            <w:r w:rsidRPr="008E63F2">
              <w:rPr>
                <w:rFonts w:cstheme="minorHAnsi"/>
                <w:b/>
                <w:bCs/>
              </w:rPr>
              <w:t>$2,</w:t>
            </w:r>
            <w:r w:rsidR="009D714B" w:rsidRPr="008E63F2">
              <w:rPr>
                <w:rFonts w:cstheme="minorHAnsi"/>
                <w:b/>
                <w:bCs/>
              </w:rPr>
              <w:t>325.27</w:t>
            </w:r>
          </w:p>
        </w:tc>
        <w:tc>
          <w:tcPr>
            <w:tcW w:w="1205" w:type="dxa"/>
            <w:tcBorders>
              <w:top w:val="single" w:sz="2" w:space="0" w:color="002279"/>
              <w:left w:val="single" w:sz="4" w:space="0" w:color="002279"/>
              <w:bottom w:val="single" w:sz="2" w:space="0" w:color="002279"/>
              <w:right w:val="single" w:sz="4" w:space="0" w:color="002279"/>
            </w:tcBorders>
            <w:shd w:val="clear" w:color="auto" w:fill="FFFFFF" w:themeFill="background1"/>
            <w:vAlign w:val="center"/>
            <w:hideMark/>
          </w:tcPr>
          <w:p w14:paraId="0F80FE21" w14:textId="0B2FBA86" w:rsidR="00FC26ED" w:rsidRPr="008E63F2" w:rsidRDefault="00480A1F" w:rsidP="00360131">
            <w:pPr>
              <w:jc w:val="center"/>
              <w:rPr>
                <w:rFonts w:cstheme="minorHAnsi"/>
                <w:b/>
              </w:rPr>
            </w:pPr>
            <w:r w:rsidRPr="008E63F2">
              <w:rPr>
                <w:rFonts w:cstheme="minorHAnsi"/>
                <w:b/>
                <w:bCs/>
              </w:rPr>
              <w:t>$2,</w:t>
            </w:r>
            <w:r w:rsidR="009D714B" w:rsidRPr="008E63F2">
              <w:rPr>
                <w:rFonts w:cstheme="minorHAnsi"/>
                <w:b/>
                <w:bCs/>
              </w:rPr>
              <w:t>439.00</w:t>
            </w:r>
          </w:p>
        </w:tc>
        <w:tc>
          <w:tcPr>
            <w:tcW w:w="1205" w:type="dxa"/>
            <w:tcBorders>
              <w:top w:val="single" w:sz="2" w:space="0" w:color="002279"/>
              <w:left w:val="single" w:sz="4" w:space="0" w:color="002279"/>
              <w:bottom w:val="single" w:sz="2" w:space="0" w:color="002279"/>
              <w:right w:val="single" w:sz="4" w:space="0" w:color="002279"/>
            </w:tcBorders>
            <w:shd w:val="clear" w:color="auto" w:fill="FFFFFF" w:themeFill="background1"/>
            <w:vAlign w:val="center"/>
          </w:tcPr>
          <w:p w14:paraId="0ADB200B" w14:textId="2534A24F" w:rsidR="0011240C" w:rsidRPr="008E63F2" w:rsidRDefault="0011240C" w:rsidP="00F01B35">
            <w:pPr>
              <w:jc w:val="center"/>
              <w:rPr>
                <w:rFonts w:cstheme="minorHAnsi"/>
                <w:b/>
                <w:color w:val="000000"/>
              </w:rPr>
            </w:pPr>
            <w:r w:rsidRPr="008E63F2">
              <w:rPr>
                <w:rFonts w:cstheme="minorHAnsi"/>
                <w:b/>
                <w:color w:val="000000"/>
              </w:rPr>
              <w:t>5%</w:t>
            </w:r>
          </w:p>
        </w:tc>
        <w:tc>
          <w:tcPr>
            <w:tcW w:w="1205" w:type="dxa"/>
            <w:tcBorders>
              <w:top w:val="single" w:sz="2" w:space="0" w:color="002279"/>
              <w:left w:val="single" w:sz="4" w:space="0" w:color="002279"/>
              <w:bottom w:val="single" w:sz="2" w:space="0" w:color="002279"/>
              <w:right w:val="single" w:sz="4" w:space="0" w:color="002279"/>
            </w:tcBorders>
            <w:shd w:val="clear" w:color="auto" w:fill="FFFFFF" w:themeFill="background1"/>
            <w:vAlign w:val="center"/>
          </w:tcPr>
          <w:p w14:paraId="6B13EF1A" w14:textId="0E318A14" w:rsidR="00345799" w:rsidRPr="008E63F2" w:rsidRDefault="009D714B" w:rsidP="00F01B35">
            <w:pPr>
              <w:jc w:val="center"/>
              <w:rPr>
                <w:rFonts w:cstheme="minorHAnsi"/>
                <w:b/>
                <w:color w:val="000000"/>
              </w:rPr>
            </w:pPr>
            <w:r w:rsidRPr="008E63F2">
              <w:rPr>
                <w:rFonts w:cstheme="minorHAnsi"/>
                <w:b/>
                <w:bCs/>
              </w:rPr>
              <w:t>$2,964.57</w:t>
            </w:r>
          </w:p>
        </w:tc>
        <w:tc>
          <w:tcPr>
            <w:tcW w:w="1205" w:type="dxa"/>
            <w:tcBorders>
              <w:top w:val="single" w:sz="2" w:space="0" w:color="002279"/>
              <w:left w:val="single" w:sz="4" w:space="0" w:color="002279"/>
              <w:bottom w:val="single" w:sz="2" w:space="0" w:color="002279"/>
              <w:right w:val="single" w:sz="4" w:space="0" w:color="002279"/>
            </w:tcBorders>
            <w:shd w:val="clear" w:color="auto" w:fill="FFFFFF" w:themeFill="background1"/>
            <w:vAlign w:val="center"/>
          </w:tcPr>
          <w:p w14:paraId="4EFE5CAD" w14:textId="0B1E5937" w:rsidR="00FE5C9F" w:rsidRPr="008E63F2" w:rsidRDefault="0011240C" w:rsidP="00F01B35">
            <w:pPr>
              <w:jc w:val="center"/>
              <w:rPr>
                <w:rFonts w:cstheme="minorHAnsi"/>
                <w:b/>
                <w:color w:val="000000"/>
              </w:rPr>
            </w:pPr>
            <w:r w:rsidRPr="008E63F2">
              <w:rPr>
                <w:rFonts w:cstheme="minorHAnsi"/>
                <w:b/>
                <w:color w:val="000000"/>
              </w:rPr>
              <w:t>5</w:t>
            </w:r>
            <w:r w:rsidR="00FE5C9F" w:rsidRPr="008E63F2">
              <w:rPr>
                <w:rFonts w:cstheme="minorHAnsi"/>
                <w:b/>
                <w:color w:val="000000"/>
              </w:rPr>
              <w:t>%</w:t>
            </w:r>
          </w:p>
        </w:tc>
      </w:tr>
      <w:tr w:rsidR="00F01B35" w14:paraId="5D8CBC02" w14:textId="77777777" w:rsidTr="007F20E9">
        <w:trPr>
          <w:cnfStyle w:val="000000100000" w:firstRow="0" w:lastRow="0" w:firstColumn="0" w:lastColumn="0" w:oddVBand="0" w:evenVBand="0" w:oddHBand="1" w:evenHBand="0" w:firstRowFirstColumn="0" w:firstRowLastColumn="0" w:lastRowFirstColumn="0" w:lastRowLastColumn="0"/>
          <w:trHeight w:val="313"/>
        </w:trPr>
        <w:tc>
          <w:tcPr>
            <w:tcW w:w="1980" w:type="dxa"/>
            <w:tcBorders>
              <w:top w:val="single" w:sz="2" w:space="0" w:color="002279"/>
              <w:left w:val="single" w:sz="4" w:space="0" w:color="002279"/>
              <w:bottom w:val="single" w:sz="2" w:space="0" w:color="002279"/>
              <w:right w:val="single" w:sz="4" w:space="0" w:color="002279"/>
            </w:tcBorders>
            <w:shd w:val="clear" w:color="auto" w:fill="D4D6DF"/>
          </w:tcPr>
          <w:p w14:paraId="745CD85E" w14:textId="695616CF" w:rsidR="00CF5F33" w:rsidRPr="008E63F2" w:rsidRDefault="001602AD">
            <w:pPr>
              <w:rPr>
                <w:rFonts w:cstheme="minorHAnsi"/>
                <w:b/>
              </w:rPr>
            </w:pPr>
            <w:r w:rsidRPr="008E63F2">
              <w:rPr>
                <w:rFonts w:cstheme="minorHAnsi"/>
                <w:b/>
              </w:rPr>
              <w:t>Fishermans Bend</w:t>
            </w:r>
          </w:p>
        </w:tc>
        <w:tc>
          <w:tcPr>
            <w:tcW w:w="1346"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28E583B6" w14:textId="3931FAA8" w:rsidR="00CF5F33" w:rsidRPr="008E63F2" w:rsidRDefault="00CF5F33" w:rsidP="00360131">
            <w:pPr>
              <w:jc w:val="center"/>
              <w:rPr>
                <w:rFonts w:cstheme="minorHAnsi"/>
                <w:color w:val="000000"/>
                <w:kern w:val="24"/>
              </w:rPr>
            </w:pPr>
            <w:r w:rsidRPr="008E63F2">
              <w:rPr>
                <w:rFonts w:cstheme="minorHAnsi"/>
                <w:color w:val="000000"/>
                <w:kern w:val="24"/>
              </w:rPr>
              <w:t>Wate</w:t>
            </w:r>
            <w:r w:rsidR="003C1DC1" w:rsidRPr="008E63F2">
              <w:rPr>
                <w:rFonts w:cstheme="minorHAnsi"/>
                <w:color w:val="000000"/>
                <w:kern w:val="24"/>
              </w:rPr>
              <w:t>r</w:t>
            </w:r>
          </w:p>
        </w:tc>
        <w:tc>
          <w:tcPr>
            <w:tcW w:w="1205"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07FAB6CF" w14:textId="71948AB5" w:rsidR="00CF5F33" w:rsidRPr="008E63F2" w:rsidRDefault="007610C0" w:rsidP="00360131">
            <w:pPr>
              <w:jc w:val="center"/>
              <w:rPr>
                <w:rFonts w:cstheme="minorHAnsi"/>
                <w:color w:val="000000"/>
                <w:kern w:val="24"/>
              </w:rPr>
            </w:pPr>
            <w:r w:rsidRPr="008E63F2">
              <w:rPr>
                <w:rFonts w:cstheme="minorHAnsi"/>
              </w:rPr>
              <w:t>$775</w:t>
            </w:r>
            <w:r w:rsidR="00587064" w:rsidRPr="008E63F2">
              <w:rPr>
                <w:rFonts w:cstheme="minorHAnsi"/>
              </w:rPr>
              <w:t>.09</w:t>
            </w:r>
          </w:p>
        </w:tc>
        <w:tc>
          <w:tcPr>
            <w:tcW w:w="1205"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3843E6EF" w14:textId="7D143F10" w:rsidR="00CF5F33" w:rsidRPr="008E63F2" w:rsidRDefault="001602AD" w:rsidP="00360131">
            <w:pPr>
              <w:jc w:val="center"/>
              <w:rPr>
                <w:rFonts w:cstheme="minorHAnsi"/>
                <w:color w:val="000000"/>
                <w:kern w:val="24"/>
              </w:rPr>
            </w:pPr>
            <w:r w:rsidRPr="008E63F2">
              <w:rPr>
                <w:rFonts w:cstheme="minorHAnsi"/>
                <w:color w:val="000000"/>
                <w:kern w:val="24"/>
              </w:rPr>
              <w:t>N/A</w:t>
            </w:r>
          </w:p>
        </w:tc>
        <w:tc>
          <w:tcPr>
            <w:tcW w:w="1205"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1FFF4075" w14:textId="0CD3B216" w:rsidR="00CF5F33" w:rsidRPr="008E63F2" w:rsidRDefault="001602AD" w:rsidP="00F01B35">
            <w:pPr>
              <w:jc w:val="center"/>
              <w:rPr>
                <w:rFonts w:cstheme="minorHAnsi"/>
                <w:color w:val="000000"/>
              </w:rPr>
            </w:pPr>
            <w:r w:rsidRPr="008E63F2">
              <w:rPr>
                <w:rFonts w:cstheme="minorHAnsi"/>
                <w:color w:val="000000"/>
                <w:kern w:val="24"/>
              </w:rPr>
              <w:t>N/A</w:t>
            </w:r>
          </w:p>
        </w:tc>
        <w:tc>
          <w:tcPr>
            <w:tcW w:w="1205"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1E5895FB" w14:textId="4461F016" w:rsidR="00CF5F33" w:rsidRPr="008E63F2" w:rsidRDefault="001602AD" w:rsidP="00F01B35">
            <w:pPr>
              <w:jc w:val="center"/>
              <w:rPr>
                <w:rFonts w:cstheme="minorHAnsi"/>
                <w:color w:val="000000"/>
              </w:rPr>
            </w:pPr>
            <w:r w:rsidRPr="008E63F2">
              <w:rPr>
                <w:rFonts w:cstheme="minorHAnsi"/>
                <w:color w:val="000000"/>
                <w:kern w:val="24"/>
              </w:rPr>
              <w:t>N/A</w:t>
            </w:r>
          </w:p>
        </w:tc>
        <w:tc>
          <w:tcPr>
            <w:tcW w:w="1205"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477E90FB" w14:textId="2236C6D9" w:rsidR="00CF5F33" w:rsidRPr="008E63F2" w:rsidRDefault="001602AD" w:rsidP="00F01B35">
            <w:pPr>
              <w:jc w:val="center"/>
              <w:rPr>
                <w:rFonts w:cstheme="minorHAnsi"/>
                <w:color w:val="000000"/>
              </w:rPr>
            </w:pPr>
            <w:r w:rsidRPr="008E63F2">
              <w:rPr>
                <w:rFonts w:cstheme="minorHAnsi"/>
                <w:color w:val="000000"/>
                <w:kern w:val="24"/>
              </w:rPr>
              <w:t>N/A</w:t>
            </w:r>
          </w:p>
        </w:tc>
      </w:tr>
      <w:tr w:rsidR="00F01B35" w14:paraId="4D350C44" w14:textId="77777777" w:rsidTr="007F20E9">
        <w:trPr>
          <w:cnfStyle w:val="000000010000" w:firstRow="0" w:lastRow="0" w:firstColumn="0" w:lastColumn="0" w:oddVBand="0" w:evenVBand="0" w:oddHBand="0" w:evenHBand="1" w:firstRowFirstColumn="0" w:firstRowLastColumn="0" w:lastRowFirstColumn="0" w:lastRowLastColumn="0"/>
          <w:trHeight w:val="313"/>
        </w:trPr>
        <w:tc>
          <w:tcPr>
            <w:tcW w:w="1980" w:type="dxa"/>
            <w:tcBorders>
              <w:top w:val="single" w:sz="2" w:space="0" w:color="002279"/>
              <w:left w:val="single" w:sz="4" w:space="0" w:color="002279"/>
              <w:bottom w:val="single" w:sz="2" w:space="0" w:color="002279"/>
              <w:right w:val="single" w:sz="4" w:space="0" w:color="002279"/>
            </w:tcBorders>
            <w:shd w:val="clear" w:color="auto" w:fill="FFFFFF" w:themeFill="background1"/>
          </w:tcPr>
          <w:p w14:paraId="7B70DCCC" w14:textId="77777777" w:rsidR="00CF5F33" w:rsidRPr="008E63F2" w:rsidRDefault="00CF5F33">
            <w:pPr>
              <w:rPr>
                <w:rFonts w:cstheme="minorHAnsi"/>
              </w:rPr>
            </w:pPr>
          </w:p>
        </w:tc>
        <w:tc>
          <w:tcPr>
            <w:tcW w:w="1346" w:type="dxa"/>
            <w:tcBorders>
              <w:top w:val="single" w:sz="2" w:space="0" w:color="002279"/>
              <w:left w:val="single" w:sz="4" w:space="0" w:color="002279"/>
              <w:bottom w:val="single" w:sz="2" w:space="0" w:color="002279"/>
              <w:right w:val="single" w:sz="4" w:space="0" w:color="002279"/>
            </w:tcBorders>
            <w:shd w:val="clear" w:color="auto" w:fill="FFFFFF" w:themeFill="background1"/>
            <w:vAlign w:val="center"/>
          </w:tcPr>
          <w:p w14:paraId="33D37446" w14:textId="2DA7D00B" w:rsidR="00CF5F33" w:rsidRPr="008E63F2" w:rsidRDefault="003C1DC1" w:rsidP="00360131">
            <w:pPr>
              <w:jc w:val="center"/>
              <w:rPr>
                <w:rFonts w:cstheme="minorHAnsi"/>
                <w:color w:val="000000"/>
                <w:kern w:val="24"/>
              </w:rPr>
            </w:pPr>
            <w:r w:rsidRPr="008E63F2">
              <w:rPr>
                <w:rFonts w:cstheme="minorHAnsi"/>
                <w:color w:val="000000"/>
                <w:kern w:val="24"/>
              </w:rPr>
              <w:t>Sewer</w:t>
            </w:r>
          </w:p>
        </w:tc>
        <w:tc>
          <w:tcPr>
            <w:tcW w:w="1205" w:type="dxa"/>
            <w:tcBorders>
              <w:top w:val="single" w:sz="2" w:space="0" w:color="002279"/>
              <w:left w:val="single" w:sz="4" w:space="0" w:color="002279"/>
              <w:bottom w:val="single" w:sz="2" w:space="0" w:color="002279"/>
              <w:right w:val="single" w:sz="4" w:space="0" w:color="002279"/>
            </w:tcBorders>
            <w:shd w:val="clear" w:color="auto" w:fill="FFFFFF" w:themeFill="background1"/>
            <w:vAlign w:val="center"/>
          </w:tcPr>
          <w:p w14:paraId="52206623" w14:textId="37EA47E5" w:rsidR="00CF5F33" w:rsidRPr="008E63F2" w:rsidRDefault="007610C0" w:rsidP="00360131">
            <w:pPr>
              <w:jc w:val="center"/>
              <w:rPr>
                <w:rFonts w:cstheme="minorHAnsi"/>
                <w:color w:val="000000"/>
                <w:kern w:val="24"/>
              </w:rPr>
            </w:pPr>
            <w:r w:rsidRPr="008E63F2">
              <w:rPr>
                <w:rFonts w:cstheme="minorHAnsi"/>
              </w:rPr>
              <w:t>$775</w:t>
            </w:r>
            <w:r w:rsidR="00587064" w:rsidRPr="008E63F2">
              <w:rPr>
                <w:rFonts w:cstheme="minorHAnsi"/>
              </w:rPr>
              <w:t>.09</w:t>
            </w:r>
          </w:p>
        </w:tc>
        <w:tc>
          <w:tcPr>
            <w:tcW w:w="1205" w:type="dxa"/>
            <w:tcBorders>
              <w:top w:val="single" w:sz="2" w:space="0" w:color="002279"/>
              <w:left w:val="single" w:sz="4" w:space="0" w:color="002279"/>
              <w:bottom w:val="single" w:sz="2" w:space="0" w:color="002279"/>
              <w:right w:val="single" w:sz="4" w:space="0" w:color="002279"/>
            </w:tcBorders>
            <w:shd w:val="clear" w:color="auto" w:fill="FFFFFF" w:themeFill="background1"/>
            <w:vAlign w:val="center"/>
          </w:tcPr>
          <w:p w14:paraId="3FFB3C35" w14:textId="618DEC0F" w:rsidR="00CF5F33" w:rsidRPr="008E63F2" w:rsidRDefault="001602AD" w:rsidP="00360131">
            <w:pPr>
              <w:jc w:val="center"/>
              <w:rPr>
                <w:rFonts w:cstheme="minorHAnsi"/>
                <w:color w:val="000000"/>
                <w:kern w:val="24"/>
              </w:rPr>
            </w:pPr>
            <w:r w:rsidRPr="008E63F2">
              <w:rPr>
                <w:rFonts w:cstheme="minorHAnsi"/>
                <w:color w:val="000000"/>
                <w:kern w:val="24"/>
              </w:rPr>
              <w:t>N/A</w:t>
            </w:r>
          </w:p>
        </w:tc>
        <w:tc>
          <w:tcPr>
            <w:tcW w:w="1205" w:type="dxa"/>
            <w:tcBorders>
              <w:top w:val="single" w:sz="2" w:space="0" w:color="002279"/>
              <w:left w:val="single" w:sz="4" w:space="0" w:color="002279"/>
              <w:bottom w:val="single" w:sz="2" w:space="0" w:color="002279"/>
              <w:right w:val="single" w:sz="4" w:space="0" w:color="002279"/>
            </w:tcBorders>
            <w:shd w:val="clear" w:color="auto" w:fill="FFFFFF" w:themeFill="background1"/>
            <w:vAlign w:val="center"/>
          </w:tcPr>
          <w:p w14:paraId="2441A1E2" w14:textId="7B9CC46D" w:rsidR="00CF5F33" w:rsidRPr="008E63F2" w:rsidRDefault="001602AD" w:rsidP="00F01B35">
            <w:pPr>
              <w:jc w:val="center"/>
              <w:rPr>
                <w:rFonts w:cstheme="minorHAnsi"/>
                <w:color w:val="000000"/>
              </w:rPr>
            </w:pPr>
            <w:r w:rsidRPr="008E63F2">
              <w:rPr>
                <w:rFonts w:cstheme="minorHAnsi"/>
                <w:color w:val="000000"/>
                <w:kern w:val="24"/>
              </w:rPr>
              <w:t>N/A</w:t>
            </w:r>
          </w:p>
        </w:tc>
        <w:tc>
          <w:tcPr>
            <w:tcW w:w="1205" w:type="dxa"/>
            <w:tcBorders>
              <w:top w:val="single" w:sz="2" w:space="0" w:color="002279"/>
              <w:left w:val="single" w:sz="4" w:space="0" w:color="002279"/>
              <w:bottom w:val="single" w:sz="2" w:space="0" w:color="002279"/>
              <w:right w:val="single" w:sz="4" w:space="0" w:color="002279"/>
            </w:tcBorders>
            <w:shd w:val="clear" w:color="auto" w:fill="FFFFFF" w:themeFill="background1"/>
            <w:vAlign w:val="center"/>
          </w:tcPr>
          <w:p w14:paraId="04EC32C6" w14:textId="66F66305" w:rsidR="00CF5F33" w:rsidRPr="008E63F2" w:rsidRDefault="001602AD" w:rsidP="00F01B35">
            <w:pPr>
              <w:jc w:val="center"/>
              <w:rPr>
                <w:rFonts w:cstheme="minorHAnsi"/>
                <w:color w:val="000000"/>
              </w:rPr>
            </w:pPr>
            <w:r w:rsidRPr="008E63F2">
              <w:rPr>
                <w:rFonts w:cstheme="minorHAnsi"/>
                <w:color w:val="000000"/>
                <w:kern w:val="24"/>
              </w:rPr>
              <w:t>N/A</w:t>
            </w:r>
          </w:p>
        </w:tc>
        <w:tc>
          <w:tcPr>
            <w:tcW w:w="1205" w:type="dxa"/>
            <w:tcBorders>
              <w:top w:val="single" w:sz="2" w:space="0" w:color="002279"/>
              <w:left w:val="single" w:sz="4" w:space="0" w:color="002279"/>
              <w:bottom w:val="single" w:sz="2" w:space="0" w:color="002279"/>
              <w:right w:val="single" w:sz="4" w:space="0" w:color="002279"/>
            </w:tcBorders>
            <w:shd w:val="clear" w:color="auto" w:fill="FFFFFF" w:themeFill="background1"/>
            <w:vAlign w:val="center"/>
          </w:tcPr>
          <w:p w14:paraId="746476F8" w14:textId="39BA62B7" w:rsidR="00CF5F33" w:rsidRPr="008E63F2" w:rsidRDefault="001602AD" w:rsidP="00F01B35">
            <w:pPr>
              <w:jc w:val="center"/>
              <w:rPr>
                <w:rFonts w:cstheme="minorHAnsi"/>
                <w:color w:val="000000"/>
              </w:rPr>
            </w:pPr>
            <w:r w:rsidRPr="008E63F2">
              <w:rPr>
                <w:rFonts w:cstheme="minorHAnsi"/>
                <w:color w:val="000000"/>
                <w:kern w:val="24"/>
              </w:rPr>
              <w:t>N/A</w:t>
            </w:r>
          </w:p>
        </w:tc>
      </w:tr>
      <w:tr w:rsidR="00F01B35" w14:paraId="427E5EB1" w14:textId="77777777" w:rsidTr="007F20E9">
        <w:trPr>
          <w:cnfStyle w:val="000000100000" w:firstRow="0" w:lastRow="0" w:firstColumn="0" w:lastColumn="0" w:oddVBand="0" w:evenVBand="0" w:oddHBand="1" w:evenHBand="0" w:firstRowFirstColumn="0" w:firstRowLastColumn="0" w:lastRowFirstColumn="0" w:lastRowLastColumn="0"/>
          <w:trHeight w:val="313"/>
        </w:trPr>
        <w:tc>
          <w:tcPr>
            <w:tcW w:w="1980" w:type="dxa"/>
            <w:tcBorders>
              <w:top w:val="single" w:sz="2" w:space="0" w:color="002279"/>
              <w:left w:val="single" w:sz="4" w:space="0" w:color="002279"/>
              <w:bottom w:val="single" w:sz="2" w:space="0" w:color="002279"/>
              <w:right w:val="single" w:sz="4" w:space="0" w:color="002279"/>
            </w:tcBorders>
            <w:shd w:val="clear" w:color="auto" w:fill="D4D6DF"/>
          </w:tcPr>
          <w:p w14:paraId="5D0CAF81" w14:textId="77777777" w:rsidR="00CF5F33" w:rsidRPr="008E63F2" w:rsidRDefault="00CF5F33">
            <w:pPr>
              <w:rPr>
                <w:rFonts w:cstheme="minorHAnsi"/>
              </w:rPr>
            </w:pPr>
          </w:p>
        </w:tc>
        <w:tc>
          <w:tcPr>
            <w:tcW w:w="1346"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4AB5D6FB" w14:textId="33E4D2AD" w:rsidR="00CF5F33" w:rsidRPr="008E63F2" w:rsidRDefault="003C1DC1" w:rsidP="00360131">
            <w:pPr>
              <w:jc w:val="center"/>
              <w:rPr>
                <w:rFonts w:cstheme="minorHAnsi"/>
                <w:color w:val="000000"/>
                <w:kern w:val="24"/>
              </w:rPr>
            </w:pPr>
            <w:r w:rsidRPr="008E63F2">
              <w:rPr>
                <w:rFonts w:cstheme="minorHAnsi"/>
                <w:color w:val="000000"/>
                <w:kern w:val="24"/>
              </w:rPr>
              <w:t>Recycled Water</w:t>
            </w:r>
          </w:p>
        </w:tc>
        <w:tc>
          <w:tcPr>
            <w:tcW w:w="1205"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3D054356" w14:textId="4F3AA1BF" w:rsidR="00CF5F33" w:rsidRPr="008E63F2" w:rsidRDefault="00587064" w:rsidP="00360131">
            <w:pPr>
              <w:jc w:val="center"/>
              <w:rPr>
                <w:rFonts w:cstheme="minorHAnsi"/>
                <w:color w:val="000000"/>
                <w:kern w:val="24"/>
              </w:rPr>
            </w:pPr>
            <w:r w:rsidRPr="008E63F2">
              <w:rPr>
                <w:rFonts w:cstheme="minorHAnsi"/>
              </w:rPr>
              <w:t>$775.09</w:t>
            </w:r>
          </w:p>
        </w:tc>
        <w:tc>
          <w:tcPr>
            <w:tcW w:w="1205"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0DF50027" w14:textId="252A390F" w:rsidR="00CF5F33" w:rsidRPr="008E63F2" w:rsidRDefault="001602AD" w:rsidP="00360131">
            <w:pPr>
              <w:jc w:val="center"/>
              <w:rPr>
                <w:rFonts w:cstheme="minorHAnsi"/>
                <w:color w:val="000000"/>
                <w:kern w:val="24"/>
              </w:rPr>
            </w:pPr>
            <w:r w:rsidRPr="008E63F2">
              <w:rPr>
                <w:rFonts w:cstheme="minorHAnsi"/>
                <w:color w:val="000000"/>
                <w:kern w:val="24"/>
              </w:rPr>
              <w:t>N/A</w:t>
            </w:r>
          </w:p>
        </w:tc>
        <w:tc>
          <w:tcPr>
            <w:tcW w:w="1205"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0B139DB4" w14:textId="5352D0A4" w:rsidR="00CF5F33" w:rsidRPr="008E63F2" w:rsidRDefault="001602AD" w:rsidP="00F01B35">
            <w:pPr>
              <w:jc w:val="center"/>
              <w:rPr>
                <w:rFonts w:cstheme="minorHAnsi"/>
                <w:color w:val="000000"/>
              </w:rPr>
            </w:pPr>
            <w:r w:rsidRPr="008E63F2">
              <w:rPr>
                <w:rFonts w:cstheme="minorHAnsi"/>
                <w:color w:val="000000"/>
                <w:kern w:val="24"/>
              </w:rPr>
              <w:t>N/A</w:t>
            </w:r>
          </w:p>
        </w:tc>
        <w:tc>
          <w:tcPr>
            <w:tcW w:w="1205"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0A95CB73" w14:textId="1270AB03" w:rsidR="00CF5F33" w:rsidRPr="008E63F2" w:rsidRDefault="001602AD" w:rsidP="00F01B35">
            <w:pPr>
              <w:jc w:val="center"/>
              <w:rPr>
                <w:rFonts w:cstheme="minorHAnsi"/>
                <w:color w:val="000000"/>
              </w:rPr>
            </w:pPr>
            <w:r w:rsidRPr="008E63F2">
              <w:rPr>
                <w:rFonts w:cstheme="minorHAnsi"/>
                <w:color w:val="000000"/>
                <w:kern w:val="24"/>
              </w:rPr>
              <w:t>N/A</w:t>
            </w:r>
          </w:p>
        </w:tc>
        <w:tc>
          <w:tcPr>
            <w:tcW w:w="1205" w:type="dxa"/>
            <w:tcBorders>
              <w:top w:val="single" w:sz="2" w:space="0" w:color="002279"/>
              <w:left w:val="single" w:sz="4" w:space="0" w:color="002279"/>
              <w:bottom w:val="single" w:sz="2" w:space="0" w:color="002279"/>
              <w:right w:val="single" w:sz="4" w:space="0" w:color="002279"/>
            </w:tcBorders>
            <w:shd w:val="clear" w:color="auto" w:fill="D4D6DF"/>
            <w:vAlign w:val="center"/>
          </w:tcPr>
          <w:p w14:paraId="2FAAB213" w14:textId="7CDB51F6" w:rsidR="00CF5F33" w:rsidRPr="008E63F2" w:rsidRDefault="001602AD" w:rsidP="00F01B35">
            <w:pPr>
              <w:jc w:val="center"/>
              <w:rPr>
                <w:rFonts w:cstheme="minorHAnsi"/>
                <w:color w:val="000000"/>
              </w:rPr>
            </w:pPr>
            <w:r w:rsidRPr="008E63F2">
              <w:rPr>
                <w:rFonts w:cstheme="minorHAnsi"/>
                <w:color w:val="000000"/>
                <w:kern w:val="24"/>
              </w:rPr>
              <w:t>N/A</w:t>
            </w:r>
          </w:p>
        </w:tc>
      </w:tr>
      <w:tr w:rsidR="00F01B35" w14:paraId="219CA8CF" w14:textId="77777777" w:rsidTr="007F20E9">
        <w:trPr>
          <w:cnfStyle w:val="000000010000" w:firstRow="0" w:lastRow="0" w:firstColumn="0" w:lastColumn="0" w:oddVBand="0" w:evenVBand="0" w:oddHBand="0" w:evenHBand="1" w:firstRowFirstColumn="0" w:firstRowLastColumn="0" w:lastRowFirstColumn="0" w:lastRowLastColumn="0"/>
          <w:trHeight w:val="313"/>
        </w:trPr>
        <w:tc>
          <w:tcPr>
            <w:tcW w:w="1980" w:type="dxa"/>
            <w:tcBorders>
              <w:top w:val="single" w:sz="2" w:space="0" w:color="002279"/>
              <w:left w:val="single" w:sz="4" w:space="0" w:color="002279"/>
              <w:bottom w:val="single" w:sz="2" w:space="0" w:color="002279"/>
              <w:right w:val="single" w:sz="4" w:space="0" w:color="002279"/>
            </w:tcBorders>
            <w:shd w:val="clear" w:color="auto" w:fill="FFFFFF" w:themeFill="background1"/>
          </w:tcPr>
          <w:p w14:paraId="24826D66" w14:textId="77777777" w:rsidR="00CF5F33" w:rsidRPr="008E63F2" w:rsidRDefault="00CF5F33">
            <w:pPr>
              <w:rPr>
                <w:rFonts w:cstheme="minorHAnsi"/>
              </w:rPr>
            </w:pPr>
          </w:p>
        </w:tc>
        <w:tc>
          <w:tcPr>
            <w:tcW w:w="1346" w:type="dxa"/>
            <w:tcBorders>
              <w:top w:val="single" w:sz="2" w:space="0" w:color="002279"/>
              <w:left w:val="single" w:sz="4" w:space="0" w:color="002279"/>
              <w:bottom w:val="single" w:sz="2" w:space="0" w:color="002279"/>
              <w:right w:val="single" w:sz="4" w:space="0" w:color="002279"/>
            </w:tcBorders>
            <w:shd w:val="clear" w:color="auto" w:fill="FFFFFF" w:themeFill="background1"/>
            <w:vAlign w:val="center"/>
          </w:tcPr>
          <w:p w14:paraId="3AABB7A0" w14:textId="2F425198" w:rsidR="00CF5F33" w:rsidRPr="008E63F2" w:rsidRDefault="005A2F3C" w:rsidP="00360131">
            <w:pPr>
              <w:jc w:val="center"/>
              <w:rPr>
                <w:rFonts w:cstheme="minorHAnsi"/>
                <w:color w:val="000000"/>
                <w:kern w:val="24"/>
              </w:rPr>
            </w:pPr>
            <w:r w:rsidRPr="008E63F2">
              <w:rPr>
                <w:rFonts w:cstheme="minorHAnsi"/>
                <w:color w:val="000000"/>
                <w:kern w:val="24"/>
              </w:rPr>
              <w:t>Integrated</w:t>
            </w:r>
            <w:r w:rsidR="007C3946" w:rsidRPr="008E63F2">
              <w:rPr>
                <w:rFonts w:cstheme="minorHAnsi"/>
                <w:color w:val="000000"/>
                <w:kern w:val="24"/>
              </w:rPr>
              <w:t xml:space="preserve"> Water</w:t>
            </w:r>
          </w:p>
        </w:tc>
        <w:tc>
          <w:tcPr>
            <w:tcW w:w="1205" w:type="dxa"/>
            <w:tcBorders>
              <w:top w:val="single" w:sz="2" w:space="0" w:color="002279"/>
              <w:left w:val="single" w:sz="4" w:space="0" w:color="002279"/>
              <w:bottom w:val="single" w:sz="2" w:space="0" w:color="002279"/>
              <w:right w:val="single" w:sz="4" w:space="0" w:color="002279"/>
            </w:tcBorders>
            <w:shd w:val="clear" w:color="auto" w:fill="FFFFFF" w:themeFill="background1"/>
            <w:vAlign w:val="center"/>
          </w:tcPr>
          <w:p w14:paraId="68B0393C" w14:textId="487AAD57" w:rsidR="00CF5F33" w:rsidRPr="008E63F2" w:rsidRDefault="001602AD" w:rsidP="00360131">
            <w:pPr>
              <w:jc w:val="center"/>
              <w:rPr>
                <w:rFonts w:cstheme="minorHAnsi"/>
                <w:color w:val="000000"/>
                <w:kern w:val="24"/>
              </w:rPr>
            </w:pPr>
            <w:r w:rsidRPr="008E63F2">
              <w:rPr>
                <w:rFonts w:cstheme="minorHAnsi"/>
                <w:color w:val="000000"/>
                <w:kern w:val="24"/>
              </w:rPr>
              <w:t>N/A</w:t>
            </w:r>
          </w:p>
        </w:tc>
        <w:tc>
          <w:tcPr>
            <w:tcW w:w="1205" w:type="dxa"/>
            <w:tcBorders>
              <w:top w:val="single" w:sz="2" w:space="0" w:color="002279"/>
              <w:left w:val="single" w:sz="4" w:space="0" w:color="002279"/>
              <w:bottom w:val="single" w:sz="2" w:space="0" w:color="002279"/>
              <w:right w:val="single" w:sz="4" w:space="0" w:color="002279"/>
            </w:tcBorders>
            <w:shd w:val="clear" w:color="auto" w:fill="FFFFFF" w:themeFill="background1"/>
            <w:vAlign w:val="center"/>
          </w:tcPr>
          <w:p w14:paraId="4B9090E8" w14:textId="09B4310D" w:rsidR="00CF5F33" w:rsidRPr="008E63F2" w:rsidRDefault="003864B4" w:rsidP="00360131">
            <w:pPr>
              <w:jc w:val="center"/>
              <w:rPr>
                <w:rFonts w:cstheme="minorHAnsi"/>
                <w:color w:val="000000"/>
                <w:kern w:val="24"/>
              </w:rPr>
            </w:pPr>
            <w:r w:rsidRPr="008E63F2">
              <w:rPr>
                <w:rFonts w:cstheme="minorHAnsi"/>
                <w:color w:val="000000"/>
                <w:kern w:val="24"/>
              </w:rPr>
              <w:t>$</w:t>
            </w:r>
            <w:r w:rsidR="00720549" w:rsidRPr="008E63F2">
              <w:rPr>
                <w:rFonts w:cstheme="minorHAnsi"/>
                <w:color w:val="000000"/>
                <w:kern w:val="24"/>
              </w:rPr>
              <w:t>2,</w:t>
            </w:r>
            <w:r w:rsidR="00587064" w:rsidRPr="008E63F2">
              <w:rPr>
                <w:rFonts w:cstheme="minorHAnsi"/>
                <w:color w:val="000000"/>
                <w:kern w:val="24"/>
              </w:rPr>
              <w:t>439.00</w:t>
            </w:r>
          </w:p>
        </w:tc>
        <w:tc>
          <w:tcPr>
            <w:tcW w:w="1205" w:type="dxa"/>
            <w:tcBorders>
              <w:top w:val="single" w:sz="2" w:space="0" w:color="002279"/>
              <w:left w:val="single" w:sz="4" w:space="0" w:color="002279"/>
              <w:bottom w:val="single" w:sz="2" w:space="0" w:color="002279"/>
              <w:right w:val="single" w:sz="4" w:space="0" w:color="002279"/>
            </w:tcBorders>
            <w:shd w:val="clear" w:color="auto" w:fill="FFFFFF" w:themeFill="background1"/>
            <w:vAlign w:val="center"/>
          </w:tcPr>
          <w:p w14:paraId="0413F385" w14:textId="52B2CAF3" w:rsidR="00CF5F33" w:rsidRPr="008E63F2" w:rsidRDefault="00720549" w:rsidP="00F01B35">
            <w:pPr>
              <w:jc w:val="center"/>
              <w:rPr>
                <w:rFonts w:cstheme="minorHAnsi"/>
                <w:color w:val="000000"/>
              </w:rPr>
            </w:pPr>
            <w:r w:rsidRPr="008E63F2">
              <w:rPr>
                <w:rFonts w:cstheme="minorHAnsi"/>
                <w:color w:val="000000"/>
              </w:rPr>
              <w:t>5%</w:t>
            </w:r>
          </w:p>
        </w:tc>
        <w:tc>
          <w:tcPr>
            <w:tcW w:w="1205" w:type="dxa"/>
            <w:tcBorders>
              <w:top w:val="single" w:sz="2" w:space="0" w:color="002279"/>
              <w:left w:val="single" w:sz="4" w:space="0" w:color="002279"/>
              <w:bottom w:val="single" w:sz="2" w:space="0" w:color="002279"/>
              <w:right w:val="single" w:sz="4" w:space="0" w:color="002279"/>
            </w:tcBorders>
            <w:shd w:val="clear" w:color="auto" w:fill="FFFFFF" w:themeFill="background1"/>
            <w:vAlign w:val="center"/>
          </w:tcPr>
          <w:p w14:paraId="0C71E3A0" w14:textId="7FBAF12C" w:rsidR="00CF5F33" w:rsidRPr="008E63F2" w:rsidRDefault="002C06B3" w:rsidP="00F01B35">
            <w:pPr>
              <w:jc w:val="center"/>
              <w:rPr>
                <w:rFonts w:cstheme="minorHAnsi"/>
                <w:color w:val="000000"/>
              </w:rPr>
            </w:pPr>
            <w:r w:rsidRPr="008E63F2">
              <w:rPr>
                <w:rFonts w:cstheme="minorHAnsi"/>
                <w:color w:val="000000"/>
              </w:rPr>
              <w:t>$2,</w:t>
            </w:r>
            <w:r w:rsidR="00587064" w:rsidRPr="008E63F2">
              <w:rPr>
                <w:rFonts w:cstheme="minorHAnsi"/>
                <w:color w:val="000000"/>
              </w:rPr>
              <w:t>964.60</w:t>
            </w:r>
          </w:p>
        </w:tc>
        <w:tc>
          <w:tcPr>
            <w:tcW w:w="1205" w:type="dxa"/>
            <w:tcBorders>
              <w:top w:val="single" w:sz="2" w:space="0" w:color="002279"/>
              <w:left w:val="single" w:sz="4" w:space="0" w:color="002279"/>
              <w:bottom w:val="single" w:sz="2" w:space="0" w:color="002279"/>
              <w:right w:val="single" w:sz="4" w:space="0" w:color="002279"/>
            </w:tcBorders>
            <w:shd w:val="clear" w:color="auto" w:fill="FFFFFF" w:themeFill="background1"/>
            <w:vAlign w:val="center"/>
          </w:tcPr>
          <w:p w14:paraId="08362E58" w14:textId="79EDAB83" w:rsidR="00CF5F33" w:rsidRPr="008E63F2" w:rsidRDefault="002C06B3" w:rsidP="00F01B35">
            <w:pPr>
              <w:jc w:val="center"/>
              <w:rPr>
                <w:rFonts w:cstheme="minorHAnsi"/>
                <w:color w:val="000000"/>
              </w:rPr>
            </w:pPr>
            <w:r w:rsidRPr="008E63F2">
              <w:rPr>
                <w:rFonts w:cstheme="minorHAnsi"/>
                <w:color w:val="000000"/>
              </w:rPr>
              <w:t>5%</w:t>
            </w:r>
          </w:p>
        </w:tc>
      </w:tr>
      <w:tr w:rsidR="00F01B35" w14:paraId="6A76783B" w14:textId="77777777" w:rsidTr="007F20E9">
        <w:trPr>
          <w:cnfStyle w:val="000000100000" w:firstRow="0" w:lastRow="0" w:firstColumn="0" w:lastColumn="0" w:oddVBand="0" w:evenVBand="0" w:oddHBand="1" w:evenHBand="0" w:firstRowFirstColumn="0" w:firstRowLastColumn="0" w:lastRowFirstColumn="0" w:lastRowLastColumn="0"/>
          <w:trHeight w:val="468"/>
        </w:trPr>
        <w:tc>
          <w:tcPr>
            <w:tcW w:w="1980" w:type="dxa"/>
            <w:tcBorders>
              <w:top w:val="single" w:sz="2" w:space="0" w:color="002279"/>
              <w:left w:val="single" w:sz="4" w:space="0" w:color="002279"/>
              <w:bottom w:val="single" w:sz="4" w:space="0" w:color="002279"/>
              <w:right w:val="single" w:sz="4" w:space="0" w:color="002279"/>
            </w:tcBorders>
            <w:shd w:val="clear" w:color="auto" w:fill="D4D6DF"/>
          </w:tcPr>
          <w:p w14:paraId="4A4BE391" w14:textId="77777777" w:rsidR="00CF5F33" w:rsidRPr="008E63F2" w:rsidRDefault="00CF5F33">
            <w:pPr>
              <w:rPr>
                <w:rFonts w:cstheme="minorHAnsi"/>
              </w:rPr>
            </w:pPr>
          </w:p>
        </w:tc>
        <w:tc>
          <w:tcPr>
            <w:tcW w:w="1346" w:type="dxa"/>
            <w:tcBorders>
              <w:top w:val="single" w:sz="2" w:space="0" w:color="002279"/>
              <w:left w:val="single" w:sz="4" w:space="0" w:color="002279"/>
              <w:bottom w:val="single" w:sz="4" w:space="0" w:color="002279"/>
              <w:right w:val="single" w:sz="4" w:space="0" w:color="002279"/>
            </w:tcBorders>
            <w:shd w:val="clear" w:color="auto" w:fill="D4D6DF"/>
            <w:vAlign w:val="center"/>
          </w:tcPr>
          <w:p w14:paraId="5C65FF00" w14:textId="2C6E146F" w:rsidR="00CF5F33" w:rsidRPr="008E63F2" w:rsidRDefault="0013274B" w:rsidP="00360131">
            <w:pPr>
              <w:jc w:val="center"/>
              <w:rPr>
                <w:rFonts w:cstheme="minorHAnsi"/>
                <w:b/>
                <w:color w:val="000000"/>
                <w:kern w:val="24"/>
              </w:rPr>
            </w:pPr>
            <w:r w:rsidRPr="008E63F2">
              <w:rPr>
                <w:rFonts w:cstheme="minorHAnsi"/>
                <w:b/>
                <w:color w:val="000000"/>
                <w:kern w:val="24"/>
              </w:rPr>
              <w:t>Total</w:t>
            </w:r>
          </w:p>
        </w:tc>
        <w:tc>
          <w:tcPr>
            <w:tcW w:w="1205" w:type="dxa"/>
            <w:tcBorders>
              <w:top w:val="single" w:sz="2" w:space="0" w:color="002279"/>
              <w:left w:val="single" w:sz="4" w:space="0" w:color="002279"/>
              <w:bottom w:val="single" w:sz="4" w:space="0" w:color="002279"/>
              <w:right w:val="single" w:sz="4" w:space="0" w:color="002279"/>
            </w:tcBorders>
            <w:shd w:val="clear" w:color="auto" w:fill="D4D6DF"/>
            <w:vAlign w:val="center"/>
          </w:tcPr>
          <w:p w14:paraId="4FF48E39" w14:textId="6A3241F7" w:rsidR="00CF5F33" w:rsidRPr="008E63F2" w:rsidRDefault="00EF792B" w:rsidP="00360131">
            <w:pPr>
              <w:jc w:val="center"/>
              <w:rPr>
                <w:rFonts w:cstheme="minorHAnsi"/>
                <w:b/>
                <w:color w:val="000000"/>
                <w:kern w:val="24"/>
              </w:rPr>
            </w:pPr>
            <w:r w:rsidRPr="008E63F2">
              <w:rPr>
                <w:rFonts w:cstheme="minorHAnsi"/>
                <w:b/>
              </w:rPr>
              <w:t>$2,325</w:t>
            </w:r>
            <w:r w:rsidR="00587064" w:rsidRPr="008E63F2">
              <w:rPr>
                <w:rFonts w:cstheme="minorHAnsi"/>
                <w:b/>
              </w:rPr>
              <w:t>.27</w:t>
            </w:r>
          </w:p>
        </w:tc>
        <w:tc>
          <w:tcPr>
            <w:tcW w:w="1205" w:type="dxa"/>
            <w:tcBorders>
              <w:top w:val="single" w:sz="2" w:space="0" w:color="002279"/>
              <w:left w:val="single" w:sz="4" w:space="0" w:color="002279"/>
              <w:bottom w:val="single" w:sz="4" w:space="0" w:color="002279"/>
              <w:right w:val="single" w:sz="4" w:space="0" w:color="002279"/>
            </w:tcBorders>
            <w:shd w:val="clear" w:color="auto" w:fill="D4D6DF"/>
            <w:vAlign w:val="center"/>
          </w:tcPr>
          <w:p w14:paraId="7400F7C5" w14:textId="29257444" w:rsidR="00CF5F33" w:rsidRPr="008E63F2" w:rsidRDefault="00C509E7" w:rsidP="00360131">
            <w:pPr>
              <w:jc w:val="center"/>
              <w:rPr>
                <w:rFonts w:cstheme="minorHAnsi"/>
                <w:b/>
                <w:color w:val="000000"/>
                <w:kern w:val="24"/>
              </w:rPr>
            </w:pPr>
            <w:r w:rsidRPr="008E63F2">
              <w:rPr>
                <w:rFonts w:cstheme="minorHAnsi"/>
                <w:b/>
              </w:rPr>
              <w:t>$2,</w:t>
            </w:r>
            <w:r w:rsidR="00587064" w:rsidRPr="008E63F2">
              <w:rPr>
                <w:rFonts w:cstheme="minorHAnsi"/>
                <w:b/>
              </w:rPr>
              <w:t>4</w:t>
            </w:r>
            <w:r w:rsidR="00180FFC">
              <w:rPr>
                <w:rFonts w:cstheme="minorHAnsi"/>
                <w:b/>
              </w:rPr>
              <w:t>41</w:t>
            </w:r>
            <w:r w:rsidR="00587064" w:rsidRPr="008E63F2">
              <w:rPr>
                <w:rFonts w:cstheme="minorHAnsi"/>
                <w:b/>
              </w:rPr>
              <w:t>.</w:t>
            </w:r>
            <w:r w:rsidR="00180FFC">
              <w:rPr>
                <w:rFonts w:cstheme="minorHAnsi"/>
                <w:b/>
              </w:rPr>
              <w:t>53</w:t>
            </w:r>
          </w:p>
        </w:tc>
        <w:tc>
          <w:tcPr>
            <w:tcW w:w="1205" w:type="dxa"/>
            <w:tcBorders>
              <w:top w:val="single" w:sz="2" w:space="0" w:color="002279"/>
              <w:left w:val="single" w:sz="4" w:space="0" w:color="002279"/>
              <w:bottom w:val="single" w:sz="4" w:space="0" w:color="002279"/>
              <w:right w:val="single" w:sz="4" w:space="0" w:color="002279"/>
            </w:tcBorders>
            <w:shd w:val="clear" w:color="auto" w:fill="D4D6DF"/>
            <w:vAlign w:val="center"/>
          </w:tcPr>
          <w:p w14:paraId="642E4350" w14:textId="7E47D2DF" w:rsidR="00CF5F33" w:rsidRPr="008E63F2" w:rsidRDefault="00C509E7" w:rsidP="00F01B35">
            <w:pPr>
              <w:jc w:val="center"/>
              <w:rPr>
                <w:rFonts w:cstheme="minorHAnsi"/>
                <w:b/>
                <w:color w:val="000000"/>
              </w:rPr>
            </w:pPr>
            <w:r w:rsidRPr="008E63F2">
              <w:rPr>
                <w:rFonts w:cstheme="minorHAnsi"/>
                <w:b/>
                <w:color w:val="000000"/>
              </w:rPr>
              <w:t>5%</w:t>
            </w:r>
          </w:p>
        </w:tc>
        <w:tc>
          <w:tcPr>
            <w:tcW w:w="1205" w:type="dxa"/>
            <w:tcBorders>
              <w:top w:val="single" w:sz="2" w:space="0" w:color="002279"/>
              <w:left w:val="single" w:sz="4" w:space="0" w:color="002279"/>
              <w:bottom w:val="single" w:sz="4" w:space="0" w:color="002279"/>
              <w:right w:val="single" w:sz="4" w:space="0" w:color="002279"/>
            </w:tcBorders>
            <w:shd w:val="clear" w:color="auto" w:fill="D4D6DF"/>
            <w:vAlign w:val="center"/>
          </w:tcPr>
          <w:p w14:paraId="5DD952EA" w14:textId="180681FF" w:rsidR="00CF5F33" w:rsidRPr="008E63F2" w:rsidRDefault="00C509E7" w:rsidP="00F01B35">
            <w:pPr>
              <w:jc w:val="center"/>
              <w:rPr>
                <w:rFonts w:cstheme="minorHAnsi"/>
                <w:b/>
                <w:color w:val="000000"/>
              </w:rPr>
            </w:pPr>
            <w:r w:rsidRPr="008E63F2">
              <w:rPr>
                <w:rFonts w:cstheme="minorHAnsi"/>
                <w:b/>
                <w:color w:val="000000"/>
              </w:rPr>
              <w:t>$2,</w:t>
            </w:r>
            <w:r w:rsidR="00587064" w:rsidRPr="008E63F2">
              <w:rPr>
                <w:rFonts w:cstheme="minorHAnsi"/>
                <w:b/>
                <w:color w:val="000000"/>
              </w:rPr>
              <w:t>96</w:t>
            </w:r>
            <w:r w:rsidR="00180FFC">
              <w:rPr>
                <w:rFonts w:cstheme="minorHAnsi"/>
                <w:b/>
                <w:color w:val="000000"/>
              </w:rPr>
              <w:t>7</w:t>
            </w:r>
            <w:r w:rsidR="00587064" w:rsidRPr="008E63F2">
              <w:rPr>
                <w:rFonts w:cstheme="minorHAnsi"/>
                <w:b/>
                <w:color w:val="000000"/>
              </w:rPr>
              <w:t>.</w:t>
            </w:r>
            <w:r w:rsidR="00180FFC">
              <w:rPr>
                <w:rFonts w:cstheme="minorHAnsi"/>
                <w:b/>
                <w:color w:val="000000"/>
              </w:rPr>
              <w:t>7</w:t>
            </w:r>
            <w:r w:rsidR="00587064" w:rsidRPr="008E63F2">
              <w:rPr>
                <w:rFonts w:cstheme="minorHAnsi"/>
                <w:b/>
                <w:color w:val="000000"/>
              </w:rPr>
              <w:t>0</w:t>
            </w:r>
          </w:p>
        </w:tc>
        <w:tc>
          <w:tcPr>
            <w:tcW w:w="1205" w:type="dxa"/>
            <w:tcBorders>
              <w:top w:val="single" w:sz="2" w:space="0" w:color="002279"/>
              <w:left w:val="single" w:sz="4" w:space="0" w:color="002279"/>
              <w:bottom w:val="single" w:sz="4" w:space="0" w:color="002279"/>
              <w:right w:val="single" w:sz="4" w:space="0" w:color="002279"/>
            </w:tcBorders>
            <w:shd w:val="clear" w:color="auto" w:fill="D4D6DF"/>
            <w:vAlign w:val="center"/>
          </w:tcPr>
          <w:p w14:paraId="754EC8B3" w14:textId="059A8FAF" w:rsidR="00CF5F33" w:rsidRPr="008E63F2" w:rsidRDefault="00C509E7" w:rsidP="00F01B35">
            <w:pPr>
              <w:jc w:val="center"/>
              <w:rPr>
                <w:rFonts w:cstheme="minorHAnsi"/>
                <w:b/>
                <w:color w:val="000000"/>
              </w:rPr>
            </w:pPr>
            <w:r w:rsidRPr="008E63F2">
              <w:rPr>
                <w:rFonts w:cstheme="minorHAnsi"/>
                <w:b/>
                <w:color w:val="000000"/>
              </w:rPr>
              <w:t>5%</w:t>
            </w:r>
          </w:p>
        </w:tc>
      </w:tr>
    </w:tbl>
    <w:p w14:paraId="54986BD4" w14:textId="766D8DF6" w:rsidR="00590CC7" w:rsidRDefault="00590CC7" w:rsidP="00AE35E9"/>
    <w:p w14:paraId="7E46FCDC" w14:textId="64C5C05A" w:rsidR="00D77C34" w:rsidRPr="00CC5BA3" w:rsidRDefault="00D77C34" w:rsidP="00D77C34">
      <w:pPr>
        <w:pStyle w:val="Heading3"/>
        <w:rPr>
          <w:b w:val="0"/>
        </w:rPr>
      </w:pPr>
      <w:r w:rsidRPr="00FD7B83">
        <w:rPr>
          <w:b w:val="0"/>
        </w:rPr>
        <w:t>A</w:t>
      </w:r>
      <w:r>
        <w:rPr>
          <w:b w:val="0"/>
          <w:bCs/>
        </w:rPr>
        <w:t>ppl</w:t>
      </w:r>
      <w:r w:rsidR="00F070AC">
        <w:rPr>
          <w:b w:val="0"/>
          <w:bCs/>
        </w:rPr>
        <w:t xml:space="preserve">ying </w:t>
      </w:r>
      <w:r w:rsidR="00131509">
        <w:rPr>
          <w:b w:val="0"/>
          <w:bCs/>
        </w:rPr>
        <w:t>N</w:t>
      </w:r>
      <w:r w:rsidR="00791F52">
        <w:rPr>
          <w:b w:val="0"/>
          <w:bCs/>
        </w:rPr>
        <w:t xml:space="preserve">ew Customer Contributions </w:t>
      </w:r>
      <w:r w:rsidR="00631FD1">
        <w:rPr>
          <w:b w:val="0"/>
          <w:bCs/>
        </w:rPr>
        <w:t xml:space="preserve">to </w:t>
      </w:r>
      <w:r w:rsidR="005A2578">
        <w:rPr>
          <w:b w:val="0"/>
          <w:bCs/>
        </w:rPr>
        <w:t>non-</w:t>
      </w:r>
      <w:r w:rsidR="00791F52">
        <w:rPr>
          <w:b w:val="0"/>
          <w:bCs/>
        </w:rPr>
        <w:t>residential</w:t>
      </w:r>
      <w:r w:rsidR="00631FD1">
        <w:rPr>
          <w:b w:val="0"/>
          <w:bCs/>
        </w:rPr>
        <w:t xml:space="preserve"> lots</w:t>
      </w:r>
    </w:p>
    <w:p w14:paraId="49AC93CE" w14:textId="2B9018D2" w:rsidR="00631FD1" w:rsidRDefault="00CF4EAA" w:rsidP="00AE35E9">
      <w:r>
        <w:t>In recognition of the amount of capacity required to service each</w:t>
      </w:r>
      <w:r w:rsidR="008706C9">
        <w:t xml:space="preserve"> connection</w:t>
      </w:r>
      <w:r>
        <w:t xml:space="preserve"> where a new </w:t>
      </w:r>
      <w:r w:rsidR="005A2578">
        <w:t>non-</w:t>
      </w:r>
      <w:r w:rsidR="00791F52">
        <w:t>residential</w:t>
      </w:r>
      <w:r>
        <w:t xml:space="preserve"> lot is created, that</w:t>
      </w:r>
      <w:r w:rsidR="00CE0570">
        <w:t xml:space="preserve"> is</w:t>
      </w:r>
      <w:r w:rsidR="00131509">
        <w:t>,</w:t>
      </w:r>
      <w:r w:rsidR="00CE0570">
        <w:t xml:space="preserve"> 25</w:t>
      </w:r>
      <w:r w:rsidR="00131509">
        <w:t>-millimetre</w:t>
      </w:r>
      <w:r w:rsidR="00CE0570">
        <w:t xml:space="preserve"> water connection or greater, the NCCs</w:t>
      </w:r>
      <w:r w:rsidR="00D26862">
        <w:t xml:space="preserve"> </w:t>
      </w:r>
      <w:r w:rsidR="00CE0570">
        <w:t>(</w:t>
      </w:r>
      <w:r w:rsidR="00BE53A5">
        <w:t>W</w:t>
      </w:r>
      <w:r w:rsidR="00CE0570">
        <w:t xml:space="preserve">ater, </w:t>
      </w:r>
      <w:r w:rsidR="00BE53A5">
        <w:t>S</w:t>
      </w:r>
      <w:r w:rsidR="00CE0570">
        <w:t>ewer</w:t>
      </w:r>
      <w:r w:rsidR="002C2230">
        <w:t xml:space="preserve">, </w:t>
      </w:r>
      <w:r w:rsidR="00BE53A5">
        <w:t>R</w:t>
      </w:r>
      <w:r w:rsidR="002C2230">
        <w:t xml:space="preserve">ecycled </w:t>
      </w:r>
      <w:r w:rsidR="00BE53A5">
        <w:t>W</w:t>
      </w:r>
      <w:r w:rsidR="002C2230">
        <w:t>ater</w:t>
      </w:r>
      <w:r w:rsidR="00791F52">
        <w:t xml:space="preserve"> </w:t>
      </w:r>
      <w:r w:rsidR="007D0911">
        <w:t>or</w:t>
      </w:r>
      <w:r w:rsidR="002C2230">
        <w:t xml:space="preserve"> </w:t>
      </w:r>
      <w:r w:rsidR="00791F52">
        <w:t>Integrated</w:t>
      </w:r>
      <w:r w:rsidR="002C2230">
        <w:t xml:space="preserve"> Water</w:t>
      </w:r>
      <w:r w:rsidR="007D0911">
        <w:t xml:space="preserve"> if the lot is applicable to the </w:t>
      </w:r>
      <w:r w:rsidR="00E42753">
        <w:lastRenderedPageBreak/>
        <w:t xml:space="preserve">Fishermans </w:t>
      </w:r>
      <w:r w:rsidR="007D0911">
        <w:t xml:space="preserve">Bend precinct) </w:t>
      </w:r>
      <w:r w:rsidR="001D7688">
        <w:t xml:space="preserve">payable </w:t>
      </w:r>
      <w:r w:rsidR="004F1D13">
        <w:t xml:space="preserve">will be the </w:t>
      </w:r>
      <w:r w:rsidR="00552C75">
        <w:t xml:space="preserve">indicative </w:t>
      </w:r>
      <w:r w:rsidR="00E24C6B">
        <w:t>multiple of the applicable NCC and the number of equivalent 20</w:t>
      </w:r>
      <w:r w:rsidR="00131509">
        <w:t xml:space="preserve">-millimetre </w:t>
      </w:r>
      <w:r w:rsidR="00E24C6B">
        <w:t xml:space="preserve">connections. </w:t>
      </w:r>
      <w:r w:rsidR="00560D7B">
        <w:t xml:space="preserve">Table </w:t>
      </w:r>
      <w:r w:rsidR="00BC279D">
        <w:t>5</w:t>
      </w:r>
      <w:r w:rsidR="00DE1F78">
        <w:t>4</w:t>
      </w:r>
      <w:r w:rsidR="00560D7B">
        <w:t xml:space="preserve"> </w:t>
      </w:r>
      <w:r w:rsidR="0021325F">
        <w:t xml:space="preserve">shows the </w:t>
      </w:r>
      <w:r w:rsidR="00552C75">
        <w:t>indicative</w:t>
      </w:r>
      <w:r w:rsidR="0021325F">
        <w:t xml:space="preserve"> meter size relationships to maximum possible delivery volumes</w:t>
      </w:r>
      <w:r w:rsidR="00CB656A">
        <w:t xml:space="preserve"> and the relevant ratio</w:t>
      </w:r>
      <w:r w:rsidR="001F02FD">
        <w:t xml:space="preserve"> that will be applied to each meter size </w:t>
      </w:r>
      <w:r w:rsidR="002874D4">
        <w:t>connection</w:t>
      </w:r>
      <w:r w:rsidR="0021325F">
        <w:t xml:space="preserve">. </w:t>
      </w:r>
    </w:p>
    <w:p w14:paraId="162CBE10" w14:textId="2E87F006" w:rsidR="00182EC9" w:rsidRPr="00BC279D" w:rsidRDefault="00BC279D" w:rsidP="00BC279D">
      <w:pPr>
        <w:pStyle w:val="NormalIndent"/>
        <w:ind w:left="0"/>
        <w:rPr>
          <w:rFonts w:cs="Arial"/>
          <w:b/>
          <w:i/>
        </w:rPr>
      </w:pPr>
      <w:r w:rsidRPr="00CE6C4E">
        <w:rPr>
          <w:b/>
          <w:i/>
        </w:rPr>
        <w:t xml:space="preserve">Table </w:t>
      </w:r>
      <w:r w:rsidR="00DE1F78">
        <w:rPr>
          <w:b/>
          <w:i/>
        </w:rPr>
        <w:t>54</w:t>
      </w:r>
      <w:r w:rsidRPr="007B339F">
        <w:rPr>
          <w:rFonts w:ascii="Arial" w:hAnsi="Arial" w:cs="Arial"/>
          <w:b/>
          <w:i/>
        </w:rPr>
        <w:t>:</w:t>
      </w:r>
      <w:r>
        <w:rPr>
          <w:rFonts w:ascii="Arial" w:hAnsi="Arial" w:cs="Arial"/>
          <w:b/>
          <w:i/>
        </w:rPr>
        <w:t xml:space="preserve"> </w:t>
      </w:r>
      <w:r w:rsidR="00552C75">
        <w:rPr>
          <w:rFonts w:ascii="Arial" w:hAnsi="Arial" w:cs="Arial"/>
          <w:b/>
          <w:i/>
        </w:rPr>
        <w:t>Indicative m</w:t>
      </w:r>
      <w:r w:rsidR="00182EC9" w:rsidRPr="00D343E0">
        <w:rPr>
          <w:b/>
          <w:i/>
        </w:rPr>
        <w:t xml:space="preserve">eter size relationships to maximum possible delivery volumes </w:t>
      </w:r>
    </w:p>
    <w:tbl>
      <w:tblPr>
        <w:tblStyle w:val="MJTableStyle1default"/>
        <w:tblW w:w="0" w:type="auto"/>
        <w:tblInd w:w="5" w:type="dxa"/>
        <w:tblLayout w:type="fixed"/>
        <w:tblLook w:val="04A0" w:firstRow="1" w:lastRow="0" w:firstColumn="1" w:lastColumn="0" w:noHBand="0" w:noVBand="1"/>
      </w:tblPr>
      <w:tblGrid>
        <w:gridCol w:w="2263"/>
        <w:gridCol w:w="1560"/>
        <w:gridCol w:w="3190"/>
        <w:gridCol w:w="2338"/>
      </w:tblGrid>
      <w:tr w:rsidR="00057B4F" w:rsidRPr="00C070DA" w14:paraId="5E226C83" w14:textId="77777777" w:rsidTr="007F20E9">
        <w:trPr>
          <w:cnfStyle w:val="100000000000" w:firstRow="1" w:lastRow="0" w:firstColumn="0" w:lastColumn="0" w:oddVBand="0" w:evenVBand="0" w:oddHBand="0" w:evenHBand="0" w:firstRowFirstColumn="0" w:firstRowLastColumn="0" w:lastRowFirstColumn="0" w:lastRowLastColumn="0"/>
          <w:trHeight w:val="528"/>
        </w:trPr>
        <w:tc>
          <w:tcPr>
            <w:tcW w:w="2263" w:type="dxa"/>
            <w:tcBorders>
              <w:top w:val="single" w:sz="4" w:space="0" w:color="002279"/>
              <w:left w:val="single" w:sz="4" w:space="0" w:color="002279"/>
              <w:bottom w:val="single" w:sz="2" w:space="0" w:color="002279"/>
              <w:right w:val="single" w:sz="4" w:space="0" w:color="FFFFFF" w:themeColor="background1"/>
            </w:tcBorders>
            <w:shd w:val="clear" w:color="auto" w:fill="002279"/>
            <w:noWrap/>
            <w:vAlign w:val="center"/>
            <w:hideMark/>
          </w:tcPr>
          <w:p w14:paraId="78CF1CD2" w14:textId="5455EFE5" w:rsidR="00057B4F" w:rsidRPr="00FD5BD5" w:rsidRDefault="00057B4F" w:rsidP="00360131">
            <w:pPr>
              <w:jc w:val="center"/>
              <w:rPr>
                <w:rFonts w:asciiTheme="minorHAnsi" w:hAnsiTheme="minorHAnsi" w:cstheme="minorHAnsi"/>
                <w:b/>
              </w:rPr>
            </w:pPr>
            <w:r w:rsidRPr="00FD5BD5">
              <w:rPr>
                <w:rFonts w:asciiTheme="minorHAnsi" w:hAnsiTheme="minorHAnsi" w:cstheme="minorHAnsi"/>
                <w:b/>
              </w:rPr>
              <w:t xml:space="preserve">Meter </w:t>
            </w:r>
            <w:r w:rsidR="00131509">
              <w:rPr>
                <w:rFonts w:asciiTheme="minorHAnsi" w:hAnsiTheme="minorHAnsi" w:cstheme="minorHAnsi"/>
                <w:b/>
              </w:rPr>
              <w:t>d</w:t>
            </w:r>
            <w:r w:rsidRPr="00FD5BD5">
              <w:rPr>
                <w:rFonts w:asciiTheme="minorHAnsi" w:hAnsiTheme="minorHAnsi" w:cstheme="minorHAnsi"/>
                <w:b/>
              </w:rPr>
              <w:t>iameter mm</w:t>
            </w:r>
          </w:p>
        </w:tc>
        <w:tc>
          <w:tcPr>
            <w:tcW w:w="1560" w:type="dxa"/>
            <w:tcBorders>
              <w:top w:val="single" w:sz="4" w:space="0" w:color="002279"/>
              <w:left w:val="single" w:sz="4" w:space="0" w:color="FFFFFF" w:themeColor="background1"/>
              <w:bottom w:val="single" w:sz="4" w:space="0" w:color="002060"/>
              <w:right w:val="single" w:sz="4" w:space="0" w:color="FFFFFF" w:themeColor="background1"/>
            </w:tcBorders>
            <w:shd w:val="clear" w:color="auto" w:fill="002279"/>
            <w:noWrap/>
            <w:vAlign w:val="center"/>
          </w:tcPr>
          <w:p w14:paraId="3C918ACB" w14:textId="7FE100E0" w:rsidR="00057B4F" w:rsidRPr="00FD5BD5" w:rsidRDefault="005103A8" w:rsidP="00360131">
            <w:pPr>
              <w:jc w:val="center"/>
              <w:rPr>
                <w:rFonts w:asciiTheme="minorHAnsi" w:hAnsiTheme="minorHAnsi" w:cstheme="minorHAnsi"/>
                <w:b/>
              </w:rPr>
            </w:pPr>
            <w:r w:rsidRPr="00FD5BD5">
              <w:rPr>
                <w:rFonts w:asciiTheme="minorHAnsi" w:hAnsiTheme="minorHAnsi" w:cstheme="minorHAnsi"/>
                <w:b/>
              </w:rPr>
              <w:t xml:space="preserve">Pi </w:t>
            </w:r>
            <w:r w:rsidR="00131509">
              <w:rPr>
                <w:rFonts w:asciiTheme="minorHAnsi" w:hAnsiTheme="minorHAnsi" w:cstheme="minorHAnsi"/>
                <w:b/>
              </w:rPr>
              <w:t>v</w:t>
            </w:r>
            <w:r w:rsidRPr="00FD5BD5">
              <w:rPr>
                <w:rFonts w:asciiTheme="minorHAnsi" w:hAnsiTheme="minorHAnsi" w:cstheme="minorHAnsi"/>
                <w:b/>
              </w:rPr>
              <w:t>alue</w:t>
            </w:r>
          </w:p>
        </w:tc>
        <w:tc>
          <w:tcPr>
            <w:tcW w:w="3190"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noWrap/>
            <w:vAlign w:val="center"/>
          </w:tcPr>
          <w:p w14:paraId="368653CE" w14:textId="0302602F" w:rsidR="00057B4F" w:rsidRPr="00FD5BD5" w:rsidRDefault="00163688" w:rsidP="00360131">
            <w:pPr>
              <w:jc w:val="center"/>
              <w:rPr>
                <w:rFonts w:asciiTheme="minorHAnsi" w:hAnsiTheme="minorHAnsi" w:cstheme="minorHAnsi"/>
                <w:b/>
              </w:rPr>
            </w:pPr>
            <w:r w:rsidRPr="00FD5BD5">
              <w:rPr>
                <w:rFonts w:asciiTheme="minorHAnsi" w:hAnsiTheme="minorHAnsi" w:cstheme="minorHAnsi"/>
                <w:b/>
              </w:rPr>
              <w:t xml:space="preserve">Pipe </w:t>
            </w:r>
            <w:r w:rsidR="00131509">
              <w:rPr>
                <w:rFonts w:asciiTheme="minorHAnsi" w:hAnsiTheme="minorHAnsi" w:cstheme="minorHAnsi"/>
                <w:b/>
              </w:rPr>
              <w:t>a</w:t>
            </w:r>
            <w:r w:rsidRPr="00FD5BD5">
              <w:rPr>
                <w:rFonts w:asciiTheme="minorHAnsi" w:hAnsiTheme="minorHAnsi" w:cstheme="minorHAnsi"/>
                <w:b/>
              </w:rPr>
              <w:t xml:space="preserve">rea </w:t>
            </w:r>
            <w:r w:rsidR="00F01B35">
              <w:rPr>
                <w:rFonts w:asciiTheme="minorHAnsi" w:hAnsiTheme="minorHAnsi" w:cstheme="minorHAnsi"/>
                <w:b/>
              </w:rPr>
              <w:br/>
            </w:r>
            <w:r w:rsidRPr="00FD5BD5">
              <w:rPr>
                <w:rFonts w:asciiTheme="minorHAnsi" w:hAnsiTheme="minorHAnsi" w:cstheme="minorHAnsi"/>
                <w:b/>
              </w:rPr>
              <w:t xml:space="preserve">(Area = Pi r²) </w:t>
            </w:r>
            <w:r w:rsidR="00131509">
              <w:rPr>
                <w:rFonts w:asciiTheme="minorHAnsi" w:hAnsiTheme="minorHAnsi" w:cstheme="minorHAnsi"/>
                <w:b/>
              </w:rPr>
              <w:t>s</w:t>
            </w:r>
            <w:r w:rsidRPr="00FD5BD5">
              <w:rPr>
                <w:rFonts w:asciiTheme="minorHAnsi" w:hAnsiTheme="minorHAnsi" w:cstheme="minorHAnsi"/>
                <w:b/>
              </w:rPr>
              <w:t>q. mm</w:t>
            </w:r>
          </w:p>
        </w:tc>
        <w:tc>
          <w:tcPr>
            <w:tcW w:w="2338" w:type="dxa"/>
            <w:tcBorders>
              <w:top w:val="single" w:sz="4" w:space="0" w:color="002279"/>
              <w:left w:val="single" w:sz="4" w:space="0" w:color="FFFFFF" w:themeColor="background1"/>
              <w:bottom w:val="single" w:sz="2" w:space="0" w:color="002279"/>
              <w:right w:val="single" w:sz="4" w:space="0" w:color="002279"/>
            </w:tcBorders>
            <w:shd w:val="clear" w:color="auto" w:fill="002279"/>
            <w:noWrap/>
            <w:vAlign w:val="center"/>
          </w:tcPr>
          <w:p w14:paraId="5A49D94E" w14:textId="3D297032" w:rsidR="00057B4F" w:rsidRPr="00FD5BD5" w:rsidRDefault="00552C75" w:rsidP="00360131">
            <w:pPr>
              <w:jc w:val="center"/>
              <w:rPr>
                <w:rFonts w:asciiTheme="minorHAnsi" w:hAnsiTheme="minorHAnsi" w:cstheme="minorHAnsi"/>
                <w:b/>
              </w:rPr>
            </w:pPr>
            <w:r>
              <w:rPr>
                <w:rFonts w:asciiTheme="minorHAnsi" w:hAnsiTheme="minorHAnsi" w:cstheme="minorHAnsi"/>
                <w:b/>
              </w:rPr>
              <w:t>Indicative r</w:t>
            </w:r>
            <w:r w:rsidR="005103A8" w:rsidRPr="00FD5BD5">
              <w:rPr>
                <w:rFonts w:asciiTheme="minorHAnsi" w:hAnsiTheme="minorHAnsi" w:cstheme="minorHAnsi"/>
                <w:b/>
              </w:rPr>
              <w:t>atio to 20</w:t>
            </w:r>
            <w:r w:rsidR="00E03CE1">
              <w:rPr>
                <w:rFonts w:asciiTheme="minorHAnsi" w:hAnsiTheme="minorHAnsi" w:cstheme="minorHAnsi"/>
                <w:b/>
              </w:rPr>
              <w:t xml:space="preserve"> </w:t>
            </w:r>
            <w:r w:rsidR="005103A8" w:rsidRPr="00FD5BD5">
              <w:rPr>
                <w:rFonts w:asciiTheme="minorHAnsi" w:hAnsiTheme="minorHAnsi" w:cstheme="minorHAnsi"/>
                <w:b/>
              </w:rPr>
              <w:t xml:space="preserve">mm </w:t>
            </w:r>
            <w:r w:rsidR="00E03CE1">
              <w:rPr>
                <w:rFonts w:asciiTheme="minorHAnsi" w:hAnsiTheme="minorHAnsi" w:cstheme="minorHAnsi"/>
                <w:b/>
              </w:rPr>
              <w:t>m</w:t>
            </w:r>
            <w:r w:rsidR="005103A8" w:rsidRPr="00FD5BD5">
              <w:rPr>
                <w:rFonts w:asciiTheme="minorHAnsi" w:hAnsiTheme="minorHAnsi" w:cstheme="minorHAnsi"/>
                <w:b/>
              </w:rPr>
              <w:t>eter</w:t>
            </w:r>
            <w:r>
              <w:rPr>
                <w:rStyle w:val="FootnoteReference"/>
                <w:rFonts w:cstheme="minorHAnsi"/>
                <w:b w:val="0"/>
              </w:rPr>
              <w:footnoteReference w:id="25"/>
            </w:r>
          </w:p>
        </w:tc>
      </w:tr>
      <w:tr w:rsidR="00A555CC" w:rsidRPr="00C070DA" w14:paraId="35C3A303" w14:textId="77777777" w:rsidTr="007F20E9">
        <w:trPr>
          <w:cnfStyle w:val="000000100000" w:firstRow="0" w:lastRow="0" w:firstColumn="0" w:lastColumn="0" w:oddVBand="0" w:evenVBand="0" w:oddHBand="1" w:evenHBand="0" w:firstRowFirstColumn="0" w:firstRowLastColumn="0" w:lastRowFirstColumn="0" w:lastRowLastColumn="0"/>
          <w:trHeight w:val="397"/>
        </w:trPr>
        <w:tc>
          <w:tcPr>
            <w:tcW w:w="2263" w:type="dxa"/>
            <w:tcBorders>
              <w:top w:val="single" w:sz="2" w:space="0" w:color="002279"/>
              <w:left w:val="single" w:sz="4" w:space="0" w:color="002279"/>
              <w:bottom w:val="single" w:sz="2" w:space="0" w:color="002279"/>
              <w:right w:val="single" w:sz="4" w:space="0" w:color="002060"/>
            </w:tcBorders>
            <w:shd w:val="clear" w:color="auto" w:fill="D4D6DF"/>
            <w:noWrap/>
            <w:vAlign w:val="center"/>
          </w:tcPr>
          <w:p w14:paraId="69A9BBFF" w14:textId="6A9C7DAF" w:rsidR="00A555CC" w:rsidRPr="00C070DA" w:rsidRDefault="00A555CC" w:rsidP="00360131">
            <w:pPr>
              <w:jc w:val="center"/>
              <w:rPr>
                <w:b/>
              </w:rPr>
            </w:pPr>
            <w:r>
              <w:rPr>
                <w:b/>
              </w:rPr>
              <w:t>20</w:t>
            </w:r>
          </w:p>
        </w:tc>
        <w:tc>
          <w:tcPr>
            <w:tcW w:w="1560" w:type="dxa"/>
            <w:vMerge w:val="restart"/>
            <w:tcBorders>
              <w:top w:val="single" w:sz="4" w:space="0" w:color="002060"/>
              <w:left w:val="single" w:sz="4" w:space="0" w:color="002060"/>
              <w:bottom w:val="single" w:sz="4" w:space="0" w:color="002060"/>
              <w:right w:val="single" w:sz="4" w:space="0" w:color="002060"/>
            </w:tcBorders>
            <w:shd w:val="clear" w:color="auto" w:fill="D4D6DF"/>
            <w:noWrap/>
            <w:vAlign w:val="center"/>
          </w:tcPr>
          <w:p w14:paraId="2F9E20BF" w14:textId="326171B4" w:rsidR="00A555CC" w:rsidRPr="00C070DA" w:rsidRDefault="00A555CC" w:rsidP="00E54488">
            <w:pPr>
              <w:jc w:val="center"/>
            </w:pPr>
            <w:r>
              <w:t>3.1415</w:t>
            </w:r>
          </w:p>
        </w:tc>
        <w:tc>
          <w:tcPr>
            <w:tcW w:w="3190" w:type="dxa"/>
            <w:tcBorders>
              <w:top w:val="single" w:sz="2" w:space="0" w:color="002279"/>
              <w:left w:val="single" w:sz="4" w:space="0" w:color="002060"/>
              <w:bottom w:val="single" w:sz="2" w:space="0" w:color="002279"/>
              <w:right w:val="single" w:sz="4" w:space="0" w:color="002279"/>
            </w:tcBorders>
            <w:shd w:val="clear" w:color="auto" w:fill="D4D6DF"/>
            <w:noWrap/>
            <w:vAlign w:val="center"/>
          </w:tcPr>
          <w:p w14:paraId="605B0392" w14:textId="200E83CE" w:rsidR="00A555CC" w:rsidRPr="00C070DA" w:rsidRDefault="00A555CC" w:rsidP="00E54488">
            <w:pPr>
              <w:jc w:val="center"/>
            </w:pPr>
            <w:r w:rsidRPr="008C5FFB">
              <w:t>314.16</w:t>
            </w:r>
          </w:p>
        </w:tc>
        <w:tc>
          <w:tcPr>
            <w:tcW w:w="2338" w:type="dxa"/>
            <w:tcBorders>
              <w:top w:val="single" w:sz="2" w:space="0" w:color="002279"/>
              <w:left w:val="single" w:sz="4" w:space="0" w:color="002279"/>
              <w:bottom w:val="single" w:sz="2" w:space="0" w:color="002279"/>
              <w:right w:val="single" w:sz="4" w:space="0" w:color="002279"/>
            </w:tcBorders>
            <w:shd w:val="clear" w:color="auto" w:fill="D4D6DF"/>
            <w:noWrap/>
            <w:vAlign w:val="center"/>
          </w:tcPr>
          <w:p w14:paraId="1EA4DD1F" w14:textId="35C23EAA" w:rsidR="00A555CC" w:rsidRPr="00C070DA" w:rsidRDefault="00A555CC" w:rsidP="00E54488">
            <w:pPr>
              <w:jc w:val="center"/>
            </w:pPr>
            <w:r w:rsidRPr="00AC1368">
              <w:t>1.00</w:t>
            </w:r>
          </w:p>
        </w:tc>
      </w:tr>
      <w:tr w:rsidR="00A555CC" w:rsidRPr="00C070DA" w14:paraId="087FEE64" w14:textId="77777777" w:rsidTr="007F20E9">
        <w:trPr>
          <w:cnfStyle w:val="000000010000" w:firstRow="0" w:lastRow="0" w:firstColumn="0" w:lastColumn="0" w:oddVBand="0" w:evenVBand="0" w:oddHBand="0" w:evenHBand="1" w:firstRowFirstColumn="0" w:firstRowLastColumn="0" w:lastRowFirstColumn="0" w:lastRowLastColumn="0"/>
          <w:trHeight w:val="397"/>
        </w:trPr>
        <w:tc>
          <w:tcPr>
            <w:tcW w:w="2263" w:type="dxa"/>
            <w:tcBorders>
              <w:top w:val="single" w:sz="2" w:space="0" w:color="002279"/>
              <w:left w:val="single" w:sz="4" w:space="0" w:color="002279"/>
              <w:bottom w:val="single" w:sz="2" w:space="0" w:color="002279"/>
              <w:right w:val="single" w:sz="4" w:space="0" w:color="002060"/>
            </w:tcBorders>
            <w:shd w:val="clear" w:color="auto" w:fill="FFFFFF" w:themeFill="background1"/>
            <w:noWrap/>
            <w:vAlign w:val="center"/>
          </w:tcPr>
          <w:p w14:paraId="2D517F23" w14:textId="12537DFE" w:rsidR="00A555CC" w:rsidRPr="00C070DA" w:rsidRDefault="00A555CC" w:rsidP="00360131">
            <w:pPr>
              <w:jc w:val="center"/>
              <w:rPr>
                <w:b/>
              </w:rPr>
            </w:pPr>
            <w:r>
              <w:rPr>
                <w:b/>
              </w:rPr>
              <w:t>25</w:t>
            </w:r>
          </w:p>
        </w:tc>
        <w:tc>
          <w:tcPr>
            <w:tcW w:w="1560" w:type="dxa"/>
            <w:vMerge/>
            <w:tcBorders>
              <w:top w:val="single" w:sz="2" w:space="0" w:color="002279"/>
              <w:left w:val="single" w:sz="4" w:space="0" w:color="002060"/>
              <w:bottom w:val="single" w:sz="4" w:space="0" w:color="002060"/>
              <w:right w:val="single" w:sz="4" w:space="0" w:color="002060"/>
            </w:tcBorders>
            <w:shd w:val="clear" w:color="auto" w:fill="FFFFFF" w:themeFill="background1"/>
            <w:noWrap/>
            <w:vAlign w:val="center"/>
          </w:tcPr>
          <w:p w14:paraId="2A871B69" w14:textId="216A7B8F" w:rsidR="00A555CC" w:rsidRPr="00C070DA" w:rsidRDefault="00A555CC" w:rsidP="00E54488">
            <w:pPr>
              <w:jc w:val="center"/>
            </w:pPr>
          </w:p>
        </w:tc>
        <w:tc>
          <w:tcPr>
            <w:tcW w:w="3190" w:type="dxa"/>
            <w:tcBorders>
              <w:top w:val="single" w:sz="2" w:space="0" w:color="002279"/>
              <w:left w:val="single" w:sz="4" w:space="0" w:color="002060"/>
              <w:bottom w:val="single" w:sz="2" w:space="0" w:color="002279"/>
              <w:right w:val="single" w:sz="4" w:space="0" w:color="002279"/>
            </w:tcBorders>
            <w:shd w:val="clear" w:color="auto" w:fill="FFFFFF" w:themeFill="background1"/>
            <w:noWrap/>
            <w:vAlign w:val="center"/>
          </w:tcPr>
          <w:p w14:paraId="1C335FBE" w14:textId="67E328B6" w:rsidR="00A555CC" w:rsidRPr="00C070DA" w:rsidRDefault="00A555CC" w:rsidP="00E54488">
            <w:pPr>
              <w:jc w:val="center"/>
            </w:pPr>
            <w:r w:rsidRPr="008C5FFB">
              <w:t>490.87</w:t>
            </w:r>
          </w:p>
        </w:tc>
        <w:tc>
          <w:tcPr>
            <w:tcW w:w="2338" w:type="dxa"/>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tcPr>
          <w:p w14:paraId="79ECB245" w14:textId="77EAC909" w:rsidR="00A555CC" w:rsidRPr="00C070DA" w:rsidRDefault="00A555CC" w:rsidP="00E54488">
            <w:pPr>
              <w:jc w:val="center"/>
            </w:pPr>
            <w:r w:rsidRPr="00AC1368">
              <w:t>1.56</w:t>
            </w:r>
          </w:p>
        </w:tc>
      </w:tr>
      <w:tr w:rsidR="00A555CC" w:rsidRPr="00C070DA" w14:paraId="60A8C8D4" w14:textId="77777777" w:rsidTr="007F20E9">
        <w:trPr>
          <w:cnfStyle w:val="000000100000" w:firstRow="0" w:lastRow="0" w:firstColumn="0" w:lastColumn="0" w:oddVBand="0" w:evenVBand="0" w:oddHBand="1" w:evenHBand="0" w:firstRowFirstColumn="0" w:firstRowLastColumn="0" w:lastRowFirstColumn="0" w:lastRowLastColumn="0"/>
          <w:trHeight w:val="397"/>
        </w:trPr>
        <w:tc>
          <w:tcPr>
            <w:tcW w:w="2263" w:type="dxa"/>
            <w:tcBorders>
              <w:top w:val="single" w:sz="2" w:space="0" w:color="002279"/>
              <w:left w:val="single" w:sz="4" w:space="0" w:color="002279"/>
              <w:bottom w:val="single" w:sz="2" w:space="0" w:color="002279"/>
              <w:right w:val="single" w:sz="4" w:space="0" w:color="002060"/>
            </w:tcBorders>
            <w:shd w:val="clear" w:color="auto" w:fill="D4D6DF"/>
            <w:noWrap/>
            <w:vAlign w:val="center"/>
          </w:tcPr>
          <w:p w14:paraId="2EE92668" w14:textId="0CFCB7BD" w:rsidR="00A555CC" w:rsidRPr="00C070DA" w:rsidRDefault="00A555CC" w:rsidP="00360131">
            <w:pPr>
              <w:jc w:val="center"/>
              <w:rPr>
                <w:b/>
              </w:rPr>
            </w:pPr>
            <w:r>
              <w:rPr>
                <w:b/>
              </w:rPr>
              <w:t>32</w:t>
            </w:r>
          </w:p>
        </w:tc>
        <w:tc>
          <w:tcPr>
            <w:tcW w:w="1560" w:type="dxa"/>
            <w:vMerge/>
            <w:tcBorders>
              <w:top w:val="single" w:sz="2" w:space="0" w:color="002279"/>
              <w:left w:val="single" w:sz="4" w:space="0" w:color="002060"/>
              <w:bottom w:val="single" w:sz="4" w:space="0" w:color="002060"/>
              <w:right w:val="single" w:sz="4" w:space="0" w:color="002060"/>
            </w:tcBorders>
            <w:shd w:val="clear" w:color="auto" w:fill="D4D6DF"/>
            <w:noWrap/>
            <w:vAlign w:val="center"/>
          </w:tcPr>
          <w:p w14:paraId="41732079" w14:textId="4340D7AD" w:rsidR="00A555CC" w:rsidRPr="00C070DA" w:rsidRDefault="00A555CC" w:rsidP="00E54488">
            <w:pPr>
              <w:jc w:val="center"/>
            </w:pPr>
          </w:p>
        </w:tc>
        <w:tc>
          <w:tcPr>
            <w:tcW w:w="3190" w:type="dxa"/>
            <w:tcBorders>
              <w:top w:val="single" w:sz="2" w:space="0" w:color="002279"/>
              <w:left w:val="single" w:sz="4" w:space="0" w:color="002060"/>
              <w:bottom w:val="single" w:sz="2" w:space="0" w:color="002279"/>
              <w:right w:val="single" w:sz="4" w:space="0" w:color="002279"/>
            </w:tcBorders>
            <w:shd w:val="clear" w:color="auto" w:fill="D4D6DF"/>
            <w:noWrap/>
            <w:vAlign w:val="center"/>
          </w:tcPr>
          <w:p w14:paraId="78B1A0BD" w14:textId="109DB4C6" w:rsidR="00A555CC" w:rsidRPr="00C070DA" w:rsidRDefault="00A555CC" w:rsidP="00E54488">
            <w:pPr>
              <w:jc w:val="center"/>
            </w:pPr>
            <w:r w:rsidRPr="008C5FFB">
              <w:t>804.25</w:t>
            </w:r>
          </w:p>
        </w:tc>
        <w:tc>
          <w:tcPr>
            <w:tcW w:w="2338" w:type="dxa"/>
            <w:tcBorders>
              <w:top w:val="single" w:sz="2" w:space="0" w:color="002279"/>
              <w:left w:val="single" w:sz="4" w:space="0" w:color="002279"/>
              <w:bottom w:val="single" w:sz="2" w:space="0" w:color="002279"/>
              <w:right w:val="single" w:sz="4" w:space="0" w:color="002279"/>
            </w:tcBorders>
            <w:shd w:val="clear" w:color="auto" w:fill="D4D6DF"/>
            <w:noWrap/>
            <w:vAlign w:val="center"/>
          </w:tcPr>
          <w:p w14:paraId="51706A3F" w14:textId="052F50D7" w:rsidR="00A555CC" w:rsidRPr="00C070DA" w:rsidRDefault="00A555CC" w:rsidP="00E54488">
            <w:pPr>
              <w:jc w:val="center"/>
            </w:pPr>
            <w:r w:rsidRPr="00AC1368">
              <w:t>2.56</w:t>
            </w:r>
          </w:p>
        </w:tc>
      </w:tr>
      <w:tr w:rsidR="00A555CC" w:rsidRPr="00C070DA" w14:paraId="7BA07E10" w14:textId="77777777" w:rsidTr="007F20E9">
        <w:trPr>
          <w:cnfStyle w:val="000000010000" w:firstRow="0" w:lastRow="0" w:firstColumn="0" w:lastColumn="0" w:oddVBand="0" w:evenVBand="0" w:oddHBand="0" w:evenHBand="1" w:firstRowFirstColumn="0" w:firstRowLastColumn="0" w:lastRowFirstColumn="0" w:lastRowLastColumn="0"/>
          <w:trHeight w:val="397"/>
        </w:trPr>
        <w:tc>
          <w:tcPr>
            <w:tcW w:w="2263" w:type="dxa"/>
            <w:tcBorders>
              <w:top w:val="single" w:sz="2" w:space="0" w:color="002279"/>
              <w:left w:val="single" w:sz="4" w:space="0" w:color="002279"/>
              <w:bottom w:val="single" w:sz="2" w:space="0" w:color="002279"/>
              <w:right w:val="single" w:sz="4" w:space="0" w:color="002060"/>
            </w:tcBorders>
            <w:shd w:val="clear" w:color="auto" w:fill="FFFFFF" w:themeFill="background1"/>
            <w:noWrap/>
            <w:vAlign w:val="center"/>
          </w:tcPr>
          <w:p w14:paraId="462D53F8" w14:textId="61A587E1" w:rsidR="00A555CC" w:rsidRPr="00C070DA" w:rsidRDefault="00A555CC" w:rsidP="00360131">
            <w:pPr>
              <w:jc w:val="center"/>
              <w:rPr>
                <w:b/>
              </w:rPr>
            </w:pPr>
            <w:r>
              <w:rPr>
                <w:b/>
              </w:rPr>
              <w:t>40</w:t>
            </w:r>
          </w:p>
        </w:tc>
        <w:tc>
          <w:tcPr>
            <w:tcW w:w="1560" w:type="dxa"/>
            <w:vMerge/>
            <w:tcBorders>
              <w:top w:val="single" w:sz="2" w:space="0" w:color="002279"/>
              <w:left w:val="single" w:sz="4" w:space="0" w:color="002060"/>
              <w:bottom w:val="single" w:sz="4" w:space="0" w:color="002060"/>
              <w:right w:val="single" w:sz="4" w:space="0" w:color="002060"/>
            </w:tcBorders>
            <w:shd w:val="clear" w:color="auto" w:fill="FFFFFF" w:themeFill="background1"/>
            <w:noWrap/>
            <w:vAlign w:val="center"/>
          </w:tcPr>
          <w:p w14:paraId="53FB1A99" w14:textId="0F20701B" w:rsidR="00A555CC" w:rsidRPr="00C070DA" w:rsidRDefault="00A555CC" w:rsidP="00E54488">
            <w:pPr>
              <w:jc w:val="center"/>
            </w:pPr>
          </w:p>
        </w:tc>
        <w:tc>
          <w:tcPr>
            <w:tcW w:w="3190" w:type="dxa"/>
            <w:tcBorders>
              <w:top w:val="single" w:sz="2" w:space="0" w:color="002279"/>
              <w:left w:val="single" w:sz="4" w:space="0" w:color="002060"/>
              <w:bottom w:val="single" w:sz="2" w:space="0" w:color="002279"/>
              <w:right w:val="single" w:sz="4" w:space="0" w:color="002279"/>
            </w:tcBorders>
            <w:shd w:val="clear" w:color="auto" w:fill="FFFFFF" w:themeFill="background1"/>
            <w:noWrap/>
            <w:vAlign w:val="center"/>
          </w:tcPr>
          <w:p w14:paraId="633840B0" w14:textId="0D2CBD90" w:rsidR="00A555CC" w:rsidRPr="00C070DA" w:rsidRDefault="00A555CC" w:rsidP="00E54488">
            <w:pPr>
              <w:jc w:val="center"/>
            </w:pPr>
            <w:r w:rsidRPr="008C5FFB">
              <w:t>1256.64</w:t>
            </w:r>
          </w:p>
        </w:tc>
        <w:tc>
          <w:tcPr>
            <w:tcW w:w="2338" w:type="dxa"/>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tcPr>
          <w:p w14:paraId="0016895E" w14:textId="033CF13F" w:rsidR="00A555CC" w:rsidRPr="00C070DA" w:rsidRDefault="00A555CC" w:rsidP="00E54488">
            <w:pPr>
              <w:jc w:val="center"/>
            </w:pPr>
            <w:r w:rsidRPr="00AC1368">
              <w:t>4.00</w:t>
            </w:r>
          </w:p>
        </w:tc>
      </w:tr>
      <w:tr w:rsidR="00A555CC" w:rsidRPr="00C070DA" w14:paraId="25C311EA" w14:textId="77777777" w:rsidTr="007F20E9">
        <w:trPr>
          <w:cnfStyle w:val="000000100000" w:firstRow="0" w:lastRow="0" w:firstColumn="0" w:lastColumn="0" w:oddVBand="0" w:evenVBand="0" w:oddHBand="1" w:evenHBand="0" w:firstRowFirstColumn="0" w:firstRowLastColumn="0" w:lastRowFirstColumn="0" w:lastRowLastColumn="0"/>
          <w:trHeight w:val="397"/>
        </w:trPr>
        <w:tc>
          <w:tcPr>
            <w:tcW w:w="2263" w:type="dxa"/>
            <w:tcBorders>
              <w:top w:val="single" w:sz="2" w:space="0" w:color="002279"/>
              <w:left w:val="single" w:sz="4" w:space="0" w:color="002279"/>
              <w:bottom w:val="single" w:sz="2" w:space="0" w:color="002279"/>
              <w:right w:val="single" w:sz="4" w:space="0" w:color="002060"/>
            </w:tcBorders>
            <w:shd w:val="clear" w:color="auto" w:fill="D4D6DF"/>
            <w:noWrap/>
            <w:vAlign w:val="center"/>
          </w:tcPr>
          <w:p w14:paraId="57111E61" w14:textId="0203F417" w:rsidR="00A555CC" w:rsidRPr="00C070DA" w:rsidRDefault="00A555CC" w:rsidP="00360131">
            <w:pPr>
              <w:jc w:val="center"/>
              <w:rPr>
                <w:b/>
              </w:rPr>
            </w:pPr>
            <w:r>
              <w:rPr>
                <w:b/>
              </w:rPr>
              <w:t>50</w:t>
            </w:r>
          </w:p>
        </w:tc>
        <w:tc>
          <w:tcPr>
            <w:tcW w:w="1560" w:type="dxa"/>
            <w:vMerge/>
            <w:tcBorders>
              <w:top w:val="single" w:sz="2" w:space="0" w:color="002279"/>
              <w:left w:val="single" w:sz="4" w:space="0" w:color="002060"/>
              <w:bottom w:val="single" w:sz="4" w:space="0" w:color="002060"/>
              <w:right w:val="single" w:sz="4" w:space="0" w:color="002060"/>
            </w:tcBorders>
            <w:shd w:val="clear" w:color="auto" w:fill="D4D6DF"/>
            <w:noWrap/>
            <w:vAlign w:val="center"/>
          </w:tcPr>
          <w:p w14:paraId="46C74C60" w14:textId="7EE70560" w:rsidR="00A555CC" w:rsidRPr="00C070DA" w:rsidRDefault="00A555CC" w:rsidP="00E54488">
            <w:pPr>
              <w:jc w:val="center"/>
            </w:pPr>
          </w:p>
        </w:tc>
        <w:tc>
          <w:tcPr>
            <w:tcW w:w="3190" w:type="dxa"/>
            <w:tcBorders>
              <w:top w:val="single" w:sz="2" w:space="0" w:color="002279"/>
              <w:left w:val="single" w:sz="4" w:space="0" w:color="002060"/>
              <w:bottom w:val="single" w:sz="2" w:space="0" w:color="002279"/>
              <w:right w:val="single" w:sz="4" w:space="0" w:color="002279"/>
            </w:tcBorders>
            <w:shd w:val="clear" w:color="auto" w:fill="D4D6DF"/>
            <w:noWrap/>
            <w:vAlign w:val="center"/>
          </w:tcPr>
          <w:p w14:paraId="66C9D03F" w14:textId="0871088B" w:rsidR="00A555CC" w:rsidRPr="00C070DA" w:rsidRDefault="00A555CC" w:rsidP="00E54488">
            <w:pPr>
              <w:jc w:val="center"/>
            </w:pPr>
            <w:r w:rsidRPr="008C5FFB">
              <w:t>1963.50</w:t>
            </w:r>
          </w:p>
        </w:tc>
        <w:tc>
          <w:tcPr>
            <w:tcW w:w="2338" w:type="dxa"/>
            <w:tcBorders>
              <w:top w:val="single" w:sz="2" w:space="0" w:color="002279"/>
              <w:left w:val="single" w:sz="4" w:space="0" w:color="002279"/>
              <w:bottom w:val="single" w:sz="2" w:space="0" w:color="002279"/>
              <w:right w:val="single" w:sz="4" w:space="0" w:color="002279"/>
            </w:tcBorders>
            <w:shd w:val="clear" w:color="auto" w:fill="D4D6DF"/>
            <w:noWrap/>
            <w:vAlign w:val="center"/>
          </w:tcPr>
          <w:p w14:paraId="6746E4C4" w14:textId="53FFA6A6" w:rsidR="00A555CC" w:rsidRPr="00C070DA" w:rsidRDefault="00A555CC" w:rsidP="00E54488">
            <w:pPr>
              <w:jc w:val="center"/>
            </w:pPr>
            <w:r w:rsidRPr="00AC1368">
              <w:t>6.25</w:t>
            </w:r>
          </w:p>
        </w:tc>
      </w:tr>
      <w:tr w:rsidR="00A555CC" w:rsidRPr="00C070DA" w14:paraId="1AF6F8FB" w14:textId="77777777" w:rsidTr="007F20E9">
        <w:trPr>
          <w:cnfStyle w:val="000000010000" w:firstRow="0" w:lastRow="0" w:firstColumn="0" w:lastColumn="0" w:oddVBand="0" w:evenVBand="0" w:oddHBand="0" w:evenHBand="1" w:firstRowFirstColumn="0" w:firstRowLastColumn="0" w:lastRowFirstColumn="0" w:lastRowLastColumn="0"/>
          <w:trHeight w:val="397"/>
        </w:trPr>
        <w:tc>
          <w:tcPr>
            <w:tcW w:w="2263" w:type="dxa"/>
            <w:tcBorders>
              <w:top w:val="single" w:sz="2" w:space="0" w:color="002279"/>
              <w:left w:val="single" w:sz="4" w:space="0" w:color="002279"/>
              <w:bottom w:val="single" w:sz="2" w:space="0" w:color="002279"/>
              <w:right w:val="single" w:sz="4" w:space="0" w:color="002060"/>
            </w:tcBorders>
            <w:shd w:val="clear" w:color="auto" w:fill="FFFFFF" w:themeFill="background1"/>
            <w:noWrap/>
            <w:vAlign w:val="center"/>
          </w:tcPr>
          <w:p w14:paraId="47930843" w14:textId="61D80147" w:rsidR="00A555CC" w:rsidRPr="00C070DA" w:rsidRDefault="00A555CC" w:rsidP="00360131">
            <w:pPr>
              <w:jc w:val="center"/>
              <w:rPr>
                <w:b/>
              </w:rPr>
            </w:pPr>
            <w:r>
              <w:rPr>
                <w:b/>
              </w:rPr>
              <w:t>80</w:t>
            </w:r>
          </w:p>
        </w:tc>
        <w:tc>
          <w:tcPr>
            <w:tcW w:w="1560" w:type="dxa"/>
            <w:vMerge/>
            <w:tcBorders>
              <w:top w:val="single" w:sz="2" w:space="0" w:color="002279"/>
              <w:left w:val="single" w:sz="4" w:space="0" w:color="002060"/>
              <w:bottom w:val="single" w:sz="4" w:space="0" w:color="002060"/>
              <w:right w:val="single" w:sz="4" w:space="0" w:color="002060"/>
            </w:tcBorders>
            <w:shd w:val="clear" w:color="auto" w:fill="FFFFFF" w:themeFill="background1"/>
            <w:noWrap/>
            <w:vAlign w:val="center"/>
          </w:tcPr>
          <w:p w14:paraId="6EB0CC67" w14:textId="3BB3178C" w:rsidR="00A555CC" w:rsidRPr="00C070DA" w:rsidRDefault="00A555CC" w:rsidP="00E54488">
            <w:pPr>
              <w:jc w:val="center"/>
            </w:pPr>
          </w:p>
        </w:tc>
        <w:tc>
          <w:tcPr>
            <w:tcW w:w="3190" w:type="dxa"/>
            <w:tcBorders>
              <w:top w:val="single" w:sz="2" w:space="0" w:color="002279"/>
              <w:left w:val="single" w:sz="4" w:space="0" w:color="002060"/>
              <w:bottom w:val="single" w:sz="2" w:space="0" w:color="002279"/>
              <w:right w:val="single" w:sz="4" w:space="0" w:color="002279"/>
            </w:tcBorders>
            <w:shd w:val="clear" w:color="auto" w:fill="FFFFFF" w:themeFill="background1"/>
            <w:noWrap/>
            <w:vAlign w:val="center"/>
          </w:tcPr>
          <w:p w14:paraId="0F9E7200" w14:textId="73617E0E" w:rsidR="00A555CC" w:rsidRPr="00C070DA" w:rsidRDefault="00A555CC" w:rsidP="00E54488">
            <w:pPr>
              <w:jc w:val="center"/>
            </w:pPr>
            <w:r w:rsidRPr="008C5FFB">
              <w:t>5026.55</w:t>
            </w:r>
          </w:p>
        </w:tc>
        <w:tc>
          <w:tcPr>
            <w:tcW w:w="2338" w:type="dxa"/>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tcPr>
          <w:p w14:paraId="4C8810BD" w14:textId="11A900F5" w:rsidR="00A555CC" w:rsidRPr="00C070DA" w:rsidRDefault="00A555CC" w:rsidP="00E54488">
            <w:pPr>
              <w:jc w:val="center"/>
            </w:pPr>
            <w:r w:rsidRPr="00AC1368">
              <w:t>16.00</w:t>
            </w:r>
          </w:p>
        </w:tc>
      </w:tr>
      <w:tr w:rsidR="00A555CC" w:rsidRPr="00C070DA" w14:paraId="09AE4EC7" w14:textId="77777777" w:rsidTr="007F20E9">
        <w:trPr>
          <w:cnfStyle w:val="000000100000" w:firstRow="0" w:lastRow="0" w:firstColumn="0" w:lastColumn="0" w:oddVBand="0" w:evenVBand="0" w:oddHBand="1" w:evenHBand="0" w:firstRowFirstColumn="0" w:firstRowLastColumn="0" w:lastRowFirstColumn="0" w:lastRowLastColumn="0"/>
          <w:trHeight w:val="397"/>
        </w:trPr>
        <w:tc>
          <w:tcPr>
            <w:tcW w:w="2263" w:type="dxa"/>
            <w:tcBorders>
              <w:top w:val="single" w:sz="2" w:space="0" w:color="002279"/>
              <w:left w:val="single" w:sz="4" w:space="0" w:color="002279"/>
              <w:bottom w:val="single" w:sz="2" w:space="0" w:color="002279"/>
              <w:right w:val="single" w:sz="4" w:space="0" w:color="002060"/>
            </w:tcBorders>
            <w:shd w:val="clear" w:color="auto" w:fill="D4D6DF"/>
            <w:noWrap/>
            <w:vAlign w:val="center"/>
          </w:tcPr>
          <w:p w14:paraId="0FBA7241" w14:textId="46313B21" w:rsidR="00A555CC" w:rsidRPr="00C070DA" w:rsidRDefault="00A555CC" w:rsidP="00360131">
            <w:pPr>
              <w:jc w:val="center"/>
              <w:rPr>
                <w:b/>
              </w:rPr>
            </w:pPr>
            <w:r>
              <w:rPr>
                <w:b/>
              </w:rPr>
              <w:t>100</w:t>
            </w:r>
          </w:p>
        </w:tc>
        <w:tc>
          <w:tcPr>
            <w:tcW w:w="1560" w:type="dxa"/>
            <w:vMerge/>
            <w:tcBorders>
              <w:top w:val="single" w:sz="2" w:space="0" w:color="002279"/>
              <w:left w:val="single" w:sz="4" w:space="0" w:color="002060"/>
              <w:bottom w:val="single" w:sz="4" w:space="0" w:color="002060"/>
              <w:right w:val="single" w:sz="4" w:space="0" w:color="002060"/>
            </w:tcBorders>
            <w:shd w:val="clear" w:color="auto" w:fill="D4D6DF"/>
            <w:noWrap/>
            <w:vAlign w:val="center"/>
          </w:tcPr>
          <w:p w14:paraId="7EBDDC82" w14:textId="033A9289" w:rsidR="00A555CC" w:rsidRPr="00C070DA" w:rsidRDefault="00A555CC" w:rsidP="00E54488">
            <w:pPr>
              <w:jc w:val="center"/>
            </w:pPr>
          </w:p>
        </w:tc>
        <w:tc>
          <w:tcPr>
            <w:tcW w:w="3190" w:type="dxa"/>
            <w:tcBorders>
              <w:top w:val="single" w:sz="2" w:space="0" w:color="002279"/>
              <w:left w:val="single" w:sz="4" w:space="0" w:color="002060"/>
              <w:bottom w:val="single" w:sz="2" w:space="0" w:color="002279"/>
              <w:right w:val="single" w:sz="4" w:space="0" w:color="002279"/>
            </w:tcBorders>
            <w:shd w:val="clear" w:color="auto" w:fill="D4D6DF"/>
            <w:noWrap/>
            <w:vAlign w:val="center"/>
          </w:tcPr>
          <w:p w14:paraId="54C17092" w14:textId="7E2DDCD0" w:rsidR="00A555CC" w:rsidRPr="00C070DA" w:rsidRDefault="00A555CC" w:rsidP="00E54488">
            <w:pPr>
              <w:jc w:val="center"/>
            </w:pPr>
            <w:r w:rsidRPr="008C5FFB">
              <w:t>7853.98</w:t>
            </w:r>
          </w:p>
        </w:tc>
        <w:tc>
          <w:tcPr>
            <w:tcW w:w="2338" w:type="dxa"/>
            <w:tcBorders>
              <w:top w:val="single" w:sz="2" w:space="0" w:color="002279"/>
              <w:left w:val="single" w:sz="4" w:space="0" w:color="002279"/>
              <w:bottom w:val="single" w:sz="2" w:space="0" w:color="002279"/>
              <w:right w:val="single" w:sz="4" w:space="0" w:color="002279"/>
            </w:tcBorders>
            <w:shd w:val="clear" w:color="auto" w:fill="D4D6DF"/>
            <w:noWrap/>
            <w:vAlign w:val="center"/>
          </w:tcPr>
          <w:p w14:paraId="1C0868EF" w14:textId="1B966889" w:rsidR="00A555CC" w:rsidRPr="00C070DA" w:rsidRDefault="00A555CC" w:rsidP="00E54488">
            <w:pPr>
              <w:jc w:val="center"/>
            </w:pPr>
            <w:r w:rsidRPr="00AC1368">
              <w:t>25.00</w:t>
            </w:r>
          </w:p>
        </w:tc>
      </w:tr>
      <w:tr w:rsidR="00A555CC" w:rsidRPr="00C070DA" w14:paraId="6ED297FB" w14:textId="77777777" w:rsidTr="007F20E9">
        <w:trPr>
          <w:cnfStyle w:val="000000010000" w:firstRow="0" w:lastRow="0" w:firstColumn="0" w:lastColumn="0" w:oddVBand="0" w:evenVBand="0" w:oddHBand="0" w:evenHBand="1" w:firstRowFirstColumn="0" w:firstRowLastColumn="0" w:lastRowFirstColumn="0" w:lastRowLastColumn="0"/>
          <w:trHeight w:val="397"/>
        </w:trPr>
        <w:tc>
          <w:tcPr>
            <w:tcW w:w="2263" w:type="dxa"/>
            <w:tcBorders>
              <w:top w:val="single" w:sz="2" w:space="0" w:color="002279"/>
              <w:left w:val="single" w:sz="4" w:space="0" w:color="002279"/>
              <w:bottom w:val="single" w:sz="2" w:space="0" w:color="002279"/>
              <w:right w:val="single" w:sz="4" w:space="0" w:color="002060"/>
            </w:tcBorders>
            <w:shd w:val="clear" w:color="auto" w:fill="FFFFFF" w:themeFill="background1"/>
            <w:noWrap/>
            <w:vAlign w:val="center"/>
          </w:tcPr>
          <w:p w14:paraId="7F10D360" w14:textId="4F796D7E" w:rsidR="00A555CC" w:rsidRPr="00C070DA" w:rsidRDefault="00A555CC" w:rsidP="00360131">
            <w:pPr>
              <w:jc w:val="center"/>
              <w:rPr>
                <w:b/>
              </w:rPr>
            </w:pPr>
            <w:r>
              <w:rPr>
                <w:b/>
              </w:rPr>
              <w:t>150</w:t>
            </w:r>
          </w:p>
        </w:tc>
        <w:tc>
          <w:tcPr>
            <w:tcW w:w="1560" w:type="dxa"/>
            <w:vMerge/>
            <w:tcBorders>
              <w:top w:val="single" w:sz="2" w:space="0" w:color="002279"/>
              <w:left w:val="single" w:sz="4" w:space="0" w:color="002060"/>
              <w:bottom w:val="single" w:sz="4" w:space="0" w:color="002060"/>
              <w:right w:val="single" w:sz="4" w:space="0" w:color="002060"/>
            </w:tcBorders>
            <w:shd w:val="clear" w:color="auto" w:fill="FFFFFF" w:themeFill="background1"/>
            <w:noWrap/>
            <w:vAlign w:val="center"/>
          </w:tcPr>
          <w:p w14:paraId="4389F4B9" w14:textId="7FA7D7EC" w:rsidR="00A555CC" w:rsidRPr="00C070DA" w:rsidRDefault="00A555CC" w:rsidP="00E54488">
            <w:pPr>
              <w:jc w:val="center"/>
            </w:pPr>
          </w:p>
        </w:tc>
        <w:tc>
          <w:tcPr>
            <w:tcW w:w="3190" w:type="dxa"/>
            <w:tcBorders>
              <w:top w:val="single" w:sz="2" w:space="0" w:color="002279"/>
              <w:left w:val="single" w:sz="4" w:space="0" w:color="002060"/>
              <w:bottom w:val="single" w:sz="2" w:space="0" w:color="002279"/>
              <w:right w:val="single" w:sz="4" w:space="0" w:color="002279"/>
            </w:tcBorders>
            <w:shd w:val="clear" w:color="auto" w:fill="FFFFFF" w:themeFill="background1"/>
            <w:noWrap/>
            <w:vAlign w:val="center"/>
          </w:tcPr>
          <w:p w14:paraId="1E7E37F3" w14:textId="407D0FF9" w:rsidR="00A555CC" w:rsidRPr="00C070DA" w:rsidRDefault="00A555CC" w:rsidP="00E54488">
            <w:pPr>
              <w:jc w:val="center"/>
            </w:pPr>
            <w:r w:rsidRPr="008C5FFB">
              <w:t>17671.46</w:t>
            </w:r>
          </w:p>
        </w:tc>
        <w:tc>
          <w:tcPr>
            <w:tcW w:w="2338" w:type="dxa"/>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tcPr>
          <w:p w14:paraId="6B35177A" w14:textId="743505B7" w:rsidR="00A555CC" w:rsidRPr="00C070DA" w:rsidRDefault="00A555CC" w:rsidP="00E54488">
            <w:pPr>
              <w:jc w:val="center"/>
            </w:pPr>
            <w:r w:rsidRPr="00AC1368">
              <w:t>56.25</w:t>
            </w:r>
          </w:p>
        </w:tc>
      </w:tr>
      <w:tr w:rsidR="00E54488" w:rsidRPr="00C070DA" w14:paraId="4DF0A80A" w14:textId="77777777" w:rsidTr="007F20E9">
        <w:trPr>
          <w:cnfStyle w:val="000000100000" w:firstRow="0" w:lastRow="0" w:firstColumn="0" w:lastColumn="0" w:oddVBand="0" w:evenVBand="0" w:oddHBand="1" w:evenHBand="0" w:firstRowFirstColumn="0" w:firstRowLastColumn="0" w:lastRowFirstColumn="0" w:lastRowLastColumn="0"/>
          <w:trHeight w:val="397"/>
        </w:trPr>
        <w:tc>
          <w:tcPr>
            <w:tcW w:w="2263" w:type="dxa"/>
            <w:tcBorders>
              <w:top w:val="single" w:sz="2" w:space="0" w:color="002279"/>
              <w:left w:val="single" w:sz="4" w:space="0" w:color="002279"/>
              <w:bottom w:val="single" w:sz="4" w:space="0" w:color="002279"/>
              <w:right w:val="single" w:sz="4" w:space="0" w:color="002060"/>
            </w:tcBorders>
            <w:shd w:val="clear" w:color="auto" w:fill="D4D6DF"/>
            <w:noWrap/>
            <w:vAlign w:val="center"/>
          </w:tcPr>
          <w:p w14:paraId="201D7158" w14:textId="057114E1" w:rsidR="00A555CC" w:rsidRPr="00C070DA" w:rsidRDefault="00A555CC" w:rsidP="00360131">
            <w:pPr>
              <w:jc w:val="center"/>
              <w:rPr>
                <w:b/>
              </w:rPr>
            </w:pPr>
            <w:r>
              <w:rPr>
                <w:b/>
              </w:rPr>
              <w:t>200</w:t>
            </w:r>
          </w:p>
        </w:tc>
        <w:tc>
          <w:tcPr>
            <w:tcW w:w="1560" w:type="dxa"/>
            <w:vMerge/>
            <w:tcBorders>
              <w:top w:val="single" w:sz="2" w:space="0" w:color="002279"/>
              <w:left w:val="single" w:sz="4" w:space="0" w:color="002060"/>
              <w:bottom w:val="single" w:sz="4" w:space="0" w:color="002279"/>
              <w:right w:val="single" w:sz="4" w:space="0" w:color="002060"/>
            </w:tcBorders>
            <w:shd w:val="clear" w:color="auto" w:fill="D4D6DF"/>
            <w:noWrap/>
            <w:vAlign w:val="center"/>
          </w:tcPr>
          <w:p w14:paraId="24920BDF" w14:textId="3CA35C63" w:rsidR="00A555CC" w:rsidRPr="00C070DA" w:rsidRDefault="00A555CC" w:rsidP="00E54488">
            <w:pPr>
              <w:jc w:val="center"/>
            </w:pPr>
          </w:p>
        </w:tc>
        <w:tc>
          <w:tcPr>
            <w:tcW w:w="3190" w:type="dxa"/>
            <w:tcBorders>
              <w:top w:val="single" w:sz="2" w:space="0" w:color="002279"/>
              <w:left w:val="single" w:sz="4" w:space="0" w:color="002060"/>
              <w:bottom w:val="single" w:sz="4" w:space="0" w:color="002279"/>
              <w:right w:val="single" w:sz="4" w:space="0" w:color="002279"/>
            </w:tcBorders>
            <w:shd w:val="clear" w:color="auto" w:fill="D4D6DF"/>
            <w:noWrap/>
            <w:vAlign w:val="center"/>
          </w:tcPr>
          <w:p w14:paraId="11DE27C1" w14:textId="18DA9967" w:rsidR="00A555CC" w:rsidRPr="00C070DA" w:rsidRDefault="00A555CC" w:rsidP="00E54488">
            <w:pPr>
              <w:jc w:val="center"/>
            </w:pPr>
            <w:r w:rsidRPr="008C5FFB">
              <w:t>31415.93</w:t>
            </w:r>
          </w:p>
        </w:tc>
        <w:tc>
          <w:tcPr>
            <w:tcW w:w="2338" w:type="dxa"/>
            <w:tcBorders>
              <w:top w:val="single" w:sz="2" w:space="0" w:color="002279"/>
              <w:left w:val="single" w:sz="4" w:space="0" w:color="002279"/>
              <w:bottom w:val="single" w:sz="4" w:space="0" w:color="002279"/>
              <w:right w:val="single" w:sz="4" w:space="0" w:color="002279"/>
            </w:tcBorders>
            <w:shd w:val="clear" w:color="auto" w:fill="D4D6DF"/>
            <w:noWrap/>
            <w:vAlign w:val="center"/>
          </w:tcPr>
          <w:p w14:paraId="12A7E45E" w14:textId="3129354B" w:rsidR="00A555CC" w:rsidRPr="00C070DA" w:rsidRDefault="00A555CC" w:rsidP="00E54488">
            <w:pPr>
              <w:jc w:val="center"/>
            </w:pPr>
            <w:r w:rsidRPr="00AC1368">
              <w:t>100.00</w:t>
            </w:r>
          </w:p>
        </w:tc>
      </w:tr>
    </w:tbl>
    <w:p w14:paraId="38B5BAEA" w14:textId="77777777" w:rsidR="00D77C34" w:rsidRDefault="00D77C34" w:rsidP="00AE35E9"/>
    <w:p w14:paraId="63EC106C" w14:textId="69E158A7" w:rsidR="00590CC7" w:rsidRDefault="00AE35E9">
      <w:pPr>
        <w:pStyle w:val="Heading2"/>
      </w:pPr>
      <w:bookmarkStart w:id="105" w:name="_Toc103770969"/>
      <w:r>
        <w:t xml:space="preserve">10.6 </w:t>
      </w:r>
      <w:r w:rsidR="005319FE">
        <w:t xml:space="preserve">Incremental </w:t>
      </w:r>
      <w:r w:rsidR="004F62B2">
        <w:t>financing costs</w:t>
      </w:r>
    </w:p>
    <w:p w14:paraId="121A02FB" w14:textId="77777777" w:rsidR="000145EE" w:rsidRPr="00116E55" w:rsidRDefault="000145EE" w:rsidP="008E63F2">
      <w:pPr>
        <w:pStyle w:val="Heading3"/>
      </w:pPr>
      <w:r w:rsidRPr="008E63F2">
        <w:t xml:space="preserve">Current </w:t>
      </w:r>
      <w:r w:rsidRPr="00116E55">
        <w:t>approach</w:t>
      </w:r>
    </w:p>
    <w:p w14:paraId="0AF1196C" w14:textId="3CBDFE82" w:rsidR="000145EE" w:rsidRDefault="000145EE" w:rsidP="000145EE">
      <w:pPr>
        <w:pStyle w:val="BodyText"/>
      </w:pPr>
      <w:r>
        <w:t xml:space="preserve">In accordance with </w:t>
      </w:r>
      <w:r w:rsidR="003E5B19">
        <w:t>s</w:t>
      </w:r>
      <w:r w:rsidR="00341008">
        <w:t>ection</w:t>
      </w:r>
      <w:r>
        <w:t xml:space="preserve"> 4.3 of its 2018 </w:t>
      </w:r>
      <w:r w:rsidR="00C83E8A">
        <w:t>P</w:t>
      </w:r>
      <w:r>
        <w:t xml:space="preserve">rice </w:t>
      </w:r>
      <w:r w:rsidR="003E5B19">
        <w:t>D</w:t>
      </w:r>
      <w:r>
        <w:t>etermination, South East Water currently charges incremental financing costs (IFC</w:t>
      </w:r>
      <w:r w:rsidR="00131509">
        <w:t>s</w:t>
      </w:r>
      <w:r>
        <w:t>) for any development which is brought forward more than 12 months beyond its planned timeframe. These charges are in addition to any new customer contributions required for the development. Actual revenue from brought</w:t>
      </w:r>
      <w:r w:rsidR="00131509">
        <w:t>-</w:t>
      </w:r>
      <w:r>
        <w:t xml:space="preserve">forward charges is netted off the regulatory asset base as a developer contribution when prices are reset for the following regulatory period. </w:t>
      </w:r>
    </w:p>
    <w:p w14:paraId="5E690D96" w14:textId="5FD9A6AE" w:rsidR="000145EE" w:rsidRPr="00116E55" w:rsidRDefault="000145EE" w:rsidP="008E63F2">
      <w:pPr>
        <w:pStyle w:val="Heading3"/>
      </w:pPr>
      <w:r w:rsidRPr="008E63F2">
        <w:t>Assessment and pro</w:t>
      </w:r>
      <w:r w:rsidRPr="00116E55">
        <w:t>posed approach for 2023</w:t>
      </w:r>
      <w:r w:rsidR="004C32D1" w:rsidRPr="00116E55">
        <w:t>–</w:t>
      </w:r>
      <w:r w:rsidRPr="00116E55">
        <w:t>28</w:t>
      </w:r>
    </w:p>
    <w:p w14:paraId="7F3B2D06" w14:textId="79AE27DC" w:rsidR="000145EE" w:rsidRDefault="000145EE" w:rsidP="000145EE">
      <w:pPr>
        <w:pStyle w:val="BodyText"/>
      </w:pPr>
      <w:r>
        <w:t>Under the current approach, applying IFC charges to every development brought forward greater than 12 months can result in additional administrative burden to South East Water</w:t>
      </w:r>
      <w:r w:rsidR="00EB7238">
        <w:t>,</w:t>
      </w:r>
      <w:r>
        <w:t xml:space="preserve"> in some cases for little benefit, particularly for developments </w:t>
      </w:r>
      <w:r w:rsidR="000D5718">
        <w:t>that</w:t>
      </w:r>
      <w:r>
        <w:t xml:space="preserve"> are brought forward only 1</w:t>
      </w:r>
      <w:r w:rsidR="004C32D1">
        <w:t>–</w:t>
      </w:r>
      <w:r>
        <w:t>2 years. Given that there is often some movement in</w:t>
      </w:r>
      <w:r w:rsidR="00214548">
        <w:t xml:space="preserve"> the</w:t>
      </w:r>
      <w:r>
        <w:t xml:space="preserve"> timing of actual growth costs within a regulatory period compared with the timing of growth cap</w:t>
      </w:r>
      <w:r w:rsidR="00BB6661">
        <w:t xml:space="preserve">ital expenditure </w:t>
      </w:r>
      <w:r>
        <w:t>forecasts used to set prices, a development which is brought forward within a regulatory period may also not result in a material incremental financing cost shortfall for South East Water.</w:t>
      </w:r>
    </w:p>
    <w:p w14:paraId="76EBE16E" w14:textId="6AC01C78" w:rsidR="004F62B2" w:rsidRDefault="000145EE" w:rsidP="000145EE">
      <w:pPr>
        <w:pStyle w:val="BodyText"/>
      </w:pPr>
      <w:r>
        <w:t>On this basis, we propose to only charge IFCs for developments that are being brought forward from outside the 2023</w:t>
      </w:r>
      <w:r w:rsidR="004C32D1">
        <w:t>–</w:t>
      </w:r>
      <w:r>
        <w:t>28 regulatory period. This would therefore only apply to infrastructure that was not incorporated in the 2023</w:t>
      </w:r>
      <w:r w:rsidR="004C32D1">
        <w:t>–</w:t>
      </w:r>
      <w:r>
        <w:t xml:space="preserve">28 period prices. We note that this approach remains consistent with </w:t>
      </w:r>
      <w:r w:rsidR="003E5B19">
        <w:t>s</w:t>
      </w:r>
      <w:r w:rsidR="00341008">
        <w:t>ection</w:t>
      </w:r>
      <w:r>
        <w:t xml:space="preserve"> 4.3 </w:t>
      </w:r>
      <w:r w:rsidR="00131509">
        <w:t xml:space="preserve">of </w:t>
      </w:r>
      <w:r>
        <w:t xml:space="preserve">our </w:t>
      </w:r>
      <w:r w:rsidR="000D3B46">
        <w:t>2018</w:t>
      </w:r>
      <w:r>
        <w:t xml:space="preserve"> </w:t>
      </w:r>
      <w:r w:rsidR="0050135E">
        <w:t xml:space="preserve">Price </w:t>
      </w:r>
      <w:r w:rsidR="003E5B19">
        <w:t>D</w:t>
      </w:r>
      <w:r>
        <w:t xml:space="preserve">etermination and our </w:t>
      </w:r>
      <w:r>
        <w:lastRenderedPageBreak/>
        <w:t>proposed change in approach can be applied through updating our Land Development Policy.</w:t>
      </w:r>
      <w:r w:rsidR="00A1315F">
        <w:t xml:space="preserve"> </w:t>
      </w:r>
    </w:p>
    <w:p w14:paraId="0CA7351F" w14:textId="77777777" w:rsidR="00BC279D" w:rsidRDefault="00BC279D" w:rsidP="000145EE">
      <w:pPr>
        <w:pStyle w:val="BodyText"/>
      </w:pPr>
    </w:p>
    <w:p w14:paraId="602ECDE9" w14:textId="0CC93C37" w:rsidR="00590CC7" w:rsidRDefault="00C17F48">
      <w:pPr>
        <w:pStyle w:val="Heading2"/>
      </w:pPr>
      <w:r>
        <w:t xml:space="preserve">10.7 </w:t>
      </w:r>
      <w:r w:rsidR="009306F4">
        <w:t xml:space="preserve">Peninsula ECO </w:t>
      </w:r>
      <w:r w:rsidR="002C47C2">
        <w:t xml:space="preserve">backlog </w:t>
      </w:r>
      <w:r w:rsidR="009306F4">
        <w:t>charges</w:t>
      </w:r>
    </w:p>
    <w:p w14:paraId="64633552" w14:textId="77777777" w:rsidR="00927158" w:rsidRPr="00116E55" w:rsidRDefault="00927158" w:rsidP="008E63F2">
      <w:pPr>
        <w:pStyle w:val="Heading3"/>
      </w:pPr>
      <w:r w:rsidRPr="008E63F2">
        <w:t>C</w:t>
      </w:r>
      <w:r w:rsidRPr="00116E55">
        <w:t>urrent approach</w:t>
      </w:r>
    </w:p>
    <w:p w14:paraId="615BF4F9" w14:textId="3281A4EE" w:rsidR="009306F4" w:rsidRPr="009306F4" w:rsidRDefault="00927158" w:rsidP="00927158">
      <w:pPr>
        <w:pStyle w:val="BodyText"/>
      </w:pPr>
      <w:r>
        <w:t xml:space="preserve">South East Water currently charges a brought forward per connection charge for backlog sewerage connections on the Mornington Peninsula for properties </w:t>
      </w:r>
      <w:r w:rsidR="00CD247B">
        <w:t>that</w:t>
      </w:r>
      <w:r>
        <w:t xml:space="preserve"> choose to connect earlier than originally scheduled, referred to as Peninsula ECO </w:t>
      </w:r>
      <w:r w:rsidR="00131509" w:rsidRPr="00131509">
        <w:t>(</w:t>
      </w:r>
      <w:r w:rsidR="00131509">
        <w:t>e</w:t>
      </w:r>
      <w:r w:rsidR="00131509" w:rsidRPr="00131509">
        <w:t xml:space="preserve">arly </w:t>
      </w:r>
      <w:r w:rsidR="00131509">
        <w:t>c</w:t>
      </w:r>
      <w:r w:rsidR="00131509" w:rsidRPr="00131509">
        <w:t xml:space="preserve">onnection </w:t>
      </w:r>
      <w:r w:rsidR="00131509">
        <w:t>o</w:t>
      </w:r>
      <w:r w:rsidR="00131509" w:rsidRPr="00131509">
        <w:t>ption)</w:t>
      </w:r>
      <w:r w:rsidR="00131509" w:rsidRPr="009F651B">
        <w:rPr>
          <w:i/>
        </w:rPr>
        <w:t xml:space="preserve"> </w:t>
      </w:r>
      <w:r>
        <w:t xml:space="preserve">charges. Current charges are set in accordance with the pricing principles in </w:t>
      </w:r>
      <w:r w:rsidR="00131509">
        <w:t>S</w:t>
      </w:r>
      <w:r>
        <w:t xml:space="preserve">chedule 4.4 of its 2018 </w:t>
      </w:r>
      <w:r w:rsidR="003E5B19">
        <w:t>P</w:t>
      </w:r>
      <w:r>
        <w:t xml:space="preserve">rice </w:t>
      </w:r>
      <w:r w:rsidR="003E5B19">
        <w:t>D</w:t>
      </w:r>
      <w:r>
        <w:t>etermination and have been calculated as a percentage of the net incremental cost to connect backlog customers.</w:t>
      </w:r>
    </w:p>
    <w:p w14:paraId="1B90ACDF" w14:textId="0B0BD677" w:rsidR="0011353F" w:rsidRPr="00116E55" w:rsidRDefault="0011353F" w:rsidP="008E63F2">
      <w:pPr>
        <w:pStyle w:val="Heading3"/>
      </w:pPr>
      <w:r w:rsidRPr="008E63F2">
        <w:t>As</w:t>
      </w:r>
      <w:r w:rsidRPr="00116E55">
        <w:t>sessment and proposed approach for 2023</w:t>
      </w:r>
      <w:r w:rsidR="004C32D1" w:rsidRPr="00116E55">
        <w:t>–</w:t>
      </w:r>
      <w:r w:rsidRPr="00116E55">
        <w:t>28</w:t>
      </w:r>
    </w:p>
    <w:p w14:paraId="1844A49B" w14:textId="602F5624" w:rsidR="0011353F" w:rsidRDefault="0011353F" w:rsidP="0011353F">
      <w:r>
        <w:t>We have undertaken an assessment of our approach to Peninsula ECO charges for the 2023</w:t>
      </w:r>
      <w:r w:rsidR="004C32D1">
        <w:t>–</w:t>
      </w:r>
      <w:r>
        <w:t>28 regulatory period.</w:t>
      </w:r>
      <w:r w:rsidR="00A1315F">
        <w:t xml:space="preserve"> </w:t>
      </w:r>
      <w:r>
        <w:t>This has included a review of options</w:t>
      </w:r>
      <w:r w:rsidR="007818BF">
        <w:t>,</w:t>
      </w:r>
      <w:r>
        <w:t xml:space="preserve"> including updating the current charges to reflect the timing of the original connection dates, as well as options for simplifying the charging structure.</w:t>
      </w:r>
    </w:p>
    <w:p w14:paraId="1C6B8DA0" w14:textId="3C7BDED6" w:rsidR="0011353F" w:rsidRDefault="0011353F" w:rsidP="0011353F">
      <w:r>
        <w:t xml:space="preserve">For the Rye and Blairgowrie areas, as their original connection timings were 2020 and 2025, we propose to no longer apply ECO charges in these areas. These areas will be </w:t>
      </w:r>
      <w:r w:rsidR="004274AD">
        <w:t xml:space="preserve">charged the standard </w:t>
      </w:r>
      <w:r w:rsidR="00AA256C">
        <w:t>backlog charge</w:t>
      </w:r>
      <w:r w:rsidR="004D56FE">
        <w:t>,</w:t>
      </w:r>
      <w:r w:rsidR="00AA256C">
        <w:t xml:space="preserve"> resulting in a reduction in the backlog charge for Rye and Blairgowrie. </w:t>
      </w:r>
      <w:r w:rsidR="00574550">
        <w:t xml:space="preserve">South East Water </w:t>
      </w:r>
      <w:r w:rsidR="00256219">
        <w:t>will consider the declaration of these areas</w:t>
      </w:r>
      <w:r>
        <w:t xml:space="preserve"> as serviced for sewerage services under </w:t>
      </w:r>
      <w:r w:rsidR="00131509">
        <w:t xml:space="preserve">paragraph </w:t>
      </w:r>
      <w:r>
        <w:t>144(1)(b) of the Water Ac</w:t>
      </w:r>
      <w:r w:rsidR="00F1297F">
        <w:t>t</w:t>
      </w:r>
      <w:r w:rsidR="00C466BB">
        <w:t xml:space="preserve"> over the 2023</w:t>
      </w:r>
      <w:r w:rsidR="004C32D1">
        <w:t>–</w:t>
      </w:r>
      <w:r w:rsidR="00C466BB">
        <w:t xml:space="preserve">28 regulatory period </w:t>
      </w:r>
      <w:r w:rsidR="00486AE0">
        <w:t xml:space="preserve">with the option to </w:t>
      </w:r>
      <w:r w:rsidR="00F03916">
        <w:t>introduce declaration from 1 July 2028</w:t>
      </w:r>
      <w:r w:rsidR="00C466BB">
        <w:t xml:space="preserve"> to mitigate customer impacts</w:t>
      </w:r>
      <w:r>
        <w:t xml:space="preserve">. </w:t>
      </w:r>
    </w:p>
    <w:p w14:paraId="48433EFD" w14:textId="6C5A6624" w:rsidR="00042B8F" w:rsidRDefault="0011353F" w:rsidP="0011353F">
      <w:r>
        <w:t>For the remaining areas of Sorrento, Portsea, St Andrews Beach and Point Leo</w:t>
      </w:r>
      <w:r w:rsidR="004C5683">
        <w:t>,</w:t>
      </w:r>
      <w:r>
        <w:t xml:space="preserve"> we have updated the ECO charge for each of the areas to apply from 2023</w:t>
      </w:r>
      <w:r w:rsidR="004C32D1">
        <w:t>–</w:t>
      </w:r>
      <w:r>
        <w:t xml:space="preserve">28, by applying the methodology outlined in our </w:t>
      </w:r>
      <w:r w:rsidR="000D3B46">
        <w:t>2018</w:t>
      </w:r>
      <w:r>
        <w:t xml:space="preserve"> </w:t>
      </w:r>
      <w:r w:rsidR="00C83E8A">
        <w:t>P</w:t>
      </w:r>
      <w:r>
        <w:t xml:space="preserve">rice </w:t>
      </w:r>
      <w:r w:rsidR="00C83E8A">
        <w:t>D</w:t>
      </w:r>
      <w:r>
        <w:t>etermination. To simplify Peninsula ECO charges for new sewerage customers in these areas</w:t>
      </w:r>
      <w:r w:rsidR="00131509">
        <w:t>,</w:t>
      </w:r>
      <w:r>
        <w:t xml:space="preserve"> we propose to set the charge based on an average of the Sorrento area and the Portsea, St Andrews Beach and Point Leo areas. This results in a single Peninsula ECO charge of $3,971 (2022</w:t>
      </w:r>
      <w:r w:rsidR="004C32D1">
        <w:t>–</w:t>
      </w:r>
      <w:r>
        <w:t>23) to be applied across all remaining areas.</w:t>
      </w:r>
    </w:p>
    <w:p w14:paraId="6D72A73D" w14:textId="5A3A6212" w:rsidR="00853C69" w:rsidRDefault="00853C69" w:rsidP="0011353F">
      <w:r w:rsidRPr="00853C69">
        <w:t xml:space="preserve">We consider having a single Peninsula ECO charge </w:t>
      </w:r>
      <w:r w:rsidR="00252133">
        <w:t>to</w:t>
      </w:r>
      <w:r w:rsidRPr="00853C69">
        <w:t xml:space="preserve"> be simpler to communicate to customers while still providing a reasonable recovery of costs from those customers opting to connect earlier than the original connection date. This approach will also result in a reduction in the Peninsula ECO charge for the remaining areas. This may also encourage higher connections to the sewerage system</w:t>
      </w:r>
      <w:r w:rsidR="00B80549">
        <w:t>,</w:t>
      </w:r>
      <w:r w:rsidRPr="00853C69">
        <w:t xml:space="preserve"> which will deliver increased environmental benefits to the region.</w:t>
      </w:r>
    </w:p>
    <w:p w14:paraId="2CC7F09C" w14:textId="5C588572" w:rsidR="002166F2" w:rsidRDefault="002166F2" w:rsidP="0011353F"/>
    <w:p w14:paraId="4B043F5B" w14:textId="7CFF50D5" w:rsidR="00B76DF4" w:rsidRDefault="00B76DF4" w:rsidP="0011353F"/>
    <w:p w14:paraId="69CD0638" w14:textId="79748282" w:rsidR="00B76DF4" w:rsidRDefault="00B76DF4" w:rsidP="0011353F"/>
    <w:p w14:paraId="05BFB236" w14:textId="26247432" w:rsidR="00B76DF4" w:rsidRDefault="00B76DF4" w:rsidP="0011353F"/>
    <w:p w14:paraId="5F8A6CF1" w14:textId="5C823E07" w:rsidR="00B76DF4" w:rsidRDefault="00B76DF4" w:rsidP="0011353F"/>
    <w:p w14:paraId="0B9282A4" w14:textId="0EAA76DE" w:rsidR="00B76DF4" w:rsidRDefault="00B76DF4" w:rsidP="0011353F"/>
    <w:p w14:paraId="3C9ED959" w14:textId="3504F5BD" w:rsidR="00B76DF4" w:rsidRDefault="00B76DF4" w:rsidP="0011353F"/>
    <w:p w14:paraId="1A54154D" w14:textId="77777777" w:rsidR="00B76DF4" w:rsidRDefault="00B76DF4" w:rsidP="0011353F"/>
    <w:p w14:paraId="058EA349" w14:textId="38AF0CB9" w:rsidR="00014F13" w:rsidRPr="00BC279D" w:rsidRDefault="00BC279D" w:rsidP="00BC279D">
      <w:pPr>
        <w:pStyle w:val="NormalIndent"/>
        <w:ind w:left="0"/>
        <w:rPr>
          <w:rFonts w:cs="Arial"/>
          <w:b/>
          <w:i/>
        </w:rPr>
      </w:pPr>
      <w:r w:rsidRPr="00CE6C4E">
        <w:rPr>
          <w:b/>
          <w:i/>
        </w:rPr>
        <w:t xml:space="preserve">Table </w:t>
      </w:r>
      <w:r w:rsidR="00DE1F78">
        <w:rPr>
          <w:b/>
          <w:i/>
        </w:rPr>
        <w:t>55</w:t>
      </w:r>
      <w:r w:rsidRPr="007B339F">
        <w:rPr>
          <w:rFonts w:ascii="Arial" w:hAnsi="Arial" w:cs="Arial"/>
          <w:b/>
          <w:i/>
        </w:rPr>
        <w:t>:</w:t>
      </w:r>
      <w:r>
        <w:rPr>
          <w:rFonts w:ascii="Arial" w:hAnsi="Arial" w:cs="Arial"/>
          <w:b/>
          <w:i/>
        </w:rPr>
        <w:t xml:space="preserve"> </w:t>
      </w:r>
      <w:r w:rsidRPr="00BC279D">
        <w:rPr>
          <w:b/>
          <w:i/>
        </w:rPr>
        <w:t>Proposed Peninsula ECO charges</w:t>
      </w:r>
      <w:r w:rsidRPr="00FD54FE">
        <w:rPr>
          <w:b/>
          <w:i/>
        </w:rPr>
        <w:t xml:space="preserve"> 2023</w:t>
      </w:r>
      <w:r>
        <w:rPr>
          <w:b/>
          <w:i/>
        </w:rPr>
        <w:t>–</w:t>
      </w:r>
      <w:r w:rsidRPr="00FD54FE">
        <w:rPr>
          <w:b/>
          <w:i/>
        </w:rPr>
        <w:t>28 regulatory period</w:t>
      </w:r>
      <w:r w:rsidR="00921F48">
        <w:rPr>
          <w:b/>
          <w:i/>
        </w:rPr>
        <w:t xml:space="preserve"> ($</w:t>
      </w:r>
      <w:r w:rsidRPr="00FD54FE">
        <w:rPr>
          <w:b/>
          <w:i/>
        </w:rPr>
        <w:t>2022</w:t>
      </w:r>
      <w:r>
        <w:rPr>
          <w:b/>
          <w:i/>
        </w:rPr>
        <w:t>–</w:t>
      </w:r>
      <w:r w:rsidRPr="00FD54FE">
        <w:rPr>
          <w:b/>
          <w:i/>
        </w:rPr>
        <w:t>23</w:t>
      </w:r>
      <w:r w:rsidR="00921F48">
        <w:rPr>
          <w:b/>
          <w:i/>
        </w:rPr>
        <w:t>)</w:t>
      </w:r>
    </w:p>
    <w:tbl>
      <w:tblPr>
        <w:tblStyle w:val="MJTableStyle1default"/>
        <w:tblW w:w="9634" w:type="dxa"/>
        <w:tblInd w:w="5" w:type="dxa"/>
        <w:tblLayout w:type="fixed"/>
        <w:tblLook w:val="04A0" w:firstRow="1" w:lastRow="0" w:firstColumn="1" w:lastColumn="0" w:noHBand="0" w:noVBand="1"/>
      </w:tblPr>
      <w:tblGrid>
        <w:gridCol w:w="2408"/>
        <w:gridCol w:w="2409"/>
        <w:gridCol w:w="2408"/>
        <w:gridCol w:w="2409"/>
      </w:tblGrid>
      <w:tr w:rsidR="00014F13" w:rsidRPr="00B95372" w14:paraId="4AECCE8B" w14:textId="77777777" w:rsidTr="007F20E9">
        <w:trPr>
          <w:cnfStyle w:val="100000000000" w:firstRow="1" w:lastRow="0" w:firstColumn="0" w:lastColumn="0" w:oddVBand="0" w:evenVBand="0" w:oddHBand="0" w:evenHBand="0" w:firstRowFirstColumn="0" w:firstRowLastColumn="0" w:lastRowFirstColumn="0" w:lastRowLastColumn="0"/>
          <w:trHeight w:val="413"/>
        </w:trPr>
        <w:tc>
          <w:tcPr>
            <w:tcW w:w="2408" w:type="dxa"/>
            <w:tcBorders>
              <w:top w:val="single" w:sz="4" w:space="0" w:color="002279"/>
              <w:left w:val="single" w:sz="4" w:space="0" w:color="002279"/>
              <w:bottom w:val="single" w:sz="2" w:space="0" w:color="002279"/>
              <w:right w:val="single" w:sz="4" w:space="0" w:color="FFFFFF" w:themeColor="background1"/>
            </w:tcBorders>
            <w:shd w:val="clear" w:color="auto" w:fill="002279"/>
            <w:noWrap/>
            <w:vAlign w:val="center"/>
            <w:hideMark/>
          </w:tcPr>
          <w:p w14:paraId="4C1ADF31" w14:textId="77777777" w:rsidR="00014F13" w:rsidRPr="0082370E" w:rsidRDefault="00014F13" w:rsidP="004A6041">
            <w:pPr>
              <w:rPr>
                <w:rFonts w:asciiTheme="minorHAnsi" w:hAnsiTheme="minorHAnsi" w:cstheme="minorHAnsi"/>
                <w:b/>
              </w:rPr>
            </w:pPr>
            <w:r w:rsidRPr="00A84288">
              <w:rPr>
                <w:rFonts w:asciiTheme="minorHAnsi" w:hAnsiTheme="minorHAnsi" w:cstheme="minorHAnsi"/>
                <w:b/>
              </w:rPr>
              <w:t>Area</w:t>
            </w:r>
          </w:p>
        </w:tc>
        <w:tc>
          <w:tcPr>
            <w:tcW w:w="2409"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noWrap/>
            <w:vAlign w:val="center"/>
            <w:hideMark/>
          </w:tcPr>
          <w:p w14:paraId="3DF13311" w14:textId="7F5BF739" w:rsidR="00014F13" w:rsidRPr="0082370E" w:rsidRDefault="00014F13" w:rsidP="00360131">
            <w:pPr>
              <w:jc w:val="center"/>
              <w:rPr>
                <w:rFonts w:asciiTheme="minorHAnsi" w:hAnsiTheme="minorHAnsi" w:cstheme="minorHAnsi"/>
                <w:b/>
              </w:rPr>
            </w:pPr>
            <w:r w:rsidRPr="00A84288">
              <w:rPr>
                <w:rFonts w:asciiTheme="minorHAnsi" w:hAnsiTheme="minorHAnsi" w:cstheme="minorHAnsi"/>
                <w:b/>
              </w:rPr>
              <w:t>2022</w:t>
            </w:r>
            <w:r w:rsidR="00F35BC6" w:rsidRPr="00A84288">
              <w:rPr>
                <w:rFonts w:asciiTheme="minorHAnsi" w:hAnsiTheme="minorHAnsi" w:cstheme="minorHAnsi"/>
                <w:b/>
              </w:rPr>
              <w:t>-</w:t>
            </w:r>
            <w:r w:rsidRPr="00A84288">
              <w:rPr>
                <w:rFonts w:asciiTheme="minorHAnsi" w:hAnsiTheme="minorHAnsi" w:cstheme="minorHAnsi"/>
                <w:b/>
              </w:rPr>
              <w:t>23</w:t>
            </w:r>
          </w:p>
        </w:tc>
        <w:tc>
          <w:tcPr>
            <w:tcW w:w="2408"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noWrap/>
            <w:vAlign w:val="center"/>
            <w:hideMark/>
          </w:tcPr>
          <w:p w14:paraId="6940EBF7" w14:textId="51CCB04A" w:rsidR="00014F13" w:rsidRPr="0082370E" w:rsidRDefault="00014F13" w:rsidP="00360131">
            <w:pPr>
              <w:jc w:val="center"/>
              <w:rPr>
                <w:rFonts w:asciiTheme="minorHAnsi" w:hAnsiTheme="minorHAnsi" w:cstheme="minorHAnsi"/>
                <w:b/>
              </w:rPr>
            </w:pPr>
            <w:r w:rsidRPr="00A84288">
              <w:rPr>
                <w:rFonts w:asciiTheme="minorHAnsi" w:hAnsiTheme="minorHAnsi" w:cstheme="minorHAnsi"/>
                <w:b/>
              </w:rPr>
              <w:t>2023</w:t>
            </w:r>
            <w:r w:rsidR="00F35BC6" w:rsidRPr="00A84288">
              <w:rPr>
                <w:rFonts w:asciiTheme="minorHAnsi" w:hAnsiTheme="minorHAnsi" w:cstheme="minorHAnsi"/>
                <w:b/>
              </w:rPr>
              <w:t>-</w:t>
            </w:r>
            <w:r w:rsidRPr="00A84288">
              <w:rPr>
                <w:rFonts w:asciiTheme="minorHAnsi" w:hAnsiTheme="minorHAnsi" w:cstheme="minorHAnsi"/>
                <w:b/>
              </w:rPr>
              <w:t>28</w:t>
            </w:r>
          </w:p>
        </w:tc>
        <w:tc>
          <w:tcPr>
            <w:tcW w:w="2409" w:type="dxa"/>
            <w:tcBorders>
              <w:top w:val="single" w:sz="4" w:space="0" w:color="002279"/>
              <w:left w:val="single" w:sz="4" w:space="0" w:color="FFFFFF" w:themeColor="background1"/>
              <w:bottom w:val="single" w:sz="2" w:space="0" w:color="002279"/>
              <w:right w:val="single" w:sz="4" w:space="0" w:color="002279"/>
            </w:tcBorders>
            <w:shd w:val="clear" w:color="auto" w:fill="002279"/>
            <w:noWrap/>
            <w:vAlign w:val="center"/>
            <w:hideMark/>
          </w:tcPr>
          <w:p w14:paraId="7AA945EF" w14:textId="2AC46C7D" w:rsidR="00014F13" w:rsidRPr="0082370E" w:rsidRDefault="00433D44" w:rsidP="00360131">
            <w:pPr>
              <w:jc w:val="center"/>
              <w:rPr>
                <w:rFonts w:asciiTheme="minorHAnsi" w:hAnsiTheme="minorHAnsi" w:cstheme="minorHAnsi"/>
                <w:b/>
              </w:rPr>
            </w:pPr>
            <w:r w:rsidRPr="00A84288">
              <w:rPr>
                <w:rFonts w:asciiTheme="minorHAnsi" w:hAnsiTheme="minorHAnsi" w:cstheme="minorHAnsi"/>
                <w:b/>
              </w:rPr>
              <w:t xml:space="preserve">P0 </w:t>
            </w:r>
            <w:r w:rsidR="00F35BC6" w:rsidRPr="00A84288">
              <w:rPr>
                <w:rFonts w:asciiTheme="minorHAnsi" w:hAnsiTheme="minorHAnsi" w:cstheme="minorHAnsi"/>
                <w:b/>
              </w:rPr>
              <w:t>Percentage</w:t>
            </w:r>
            <w:r w:rsidR="00014F13" w:rsidRPr="00A84288">
              <w:rPr>
                <w:rFonts w:asciiTheme="minorHAnsi" w:hAnsiTheme="minorHAnsi" w:cstheme="minorHAnsi"/>
                <w:b/>
              </w:rPr>
              <w:t xml:space="preserve"> change</w:t>
            </w:r>
          </w:p>
        </w:tc>
      </w:tr>
      <w:tr w:rsidR="00014F13" w:rsidRPr="00B95372" w14:paraId="73BA10F5" w14:textId="77777777" w:rsidTr="007F20E9">
        <w:trPr>
          <w:cnfStyle w:val="000000100000" w:firstRow="0" w:lastRow="0" w:firstColumn="0" w:lastColumn="0" w:oddVBand="0" w:evenVBand="0" w:oddHBand="1" w:evenHBand="0" w:firstRowFirstColumn="0" w:firstRowLastColumn="0" w:lastRowFirstColumn="0" w:lastRowLastColumn="0"/>
          <w:trHeight w:val="432"/>
        </w:trPr>
        <w:tc>
          <w:tcPr>
            <w:tcW w:w="2408" w:type="dxa"/>
            <w:tcBorders>
              <w:top w:val="single" w:sz="2" w:space="0" w:color="002279"/>
              <w:left w:val="single" w:sz="4" w:space="0" w:color="002279"/>
              <w:bottom w:val="single" w:sz="4" w:space="0" w:color="002279"/>
              <w:right w:val="single" w:sz="4" w:space="0" w:color="002279"/>
            </w:tcBorders>
            <w:shd w:val="clear" w:color="auto" w:fill="D4D6DF"/>
            <w:noWrap/>
            <w:hideMark/>
          </w:tcPr>
          <w:p w14:paraId="79BC99E9" w14:textId="77777777" w:rsidR="00014F13" w:rsidRPr="00D92D75" w:rsidRDefault="00014F13" w:rsidP="000405B1">
            <w:pPr>
              <w:rPr>
                <w:rFonts w:cstheme="minorHAnsi"/>
              </w:rPr>
            </w:pPr>
            <w:r w:rsidRPr="00D92D75">
              <w:t>Rye</w:t>
            </w:r>
          </w:p>
        </w:tc>
        <w:tc>
          <w:tcPr>
            <w:tcW w:w="2409" w:type="dxa"/>
            <w:tcBorders>
              <w:top w:val="single" w:sz="2" w:space="0" w:color="002279"/>
              <w:left w:val="single" w:sz="4" w:space="0" w:color="002279"/>
              <w:bottom w:val="single" w:sz="4" w:space="0" w:color="002279"/>
              <w:right w:val="single" w:sz="4" w:space="0" w:color="002279"/>
            </w:tcBorders>
            <w:shd w:val="clear" w:color="auto" w:fill="D4D6DF"/>
            <w:noWrap/>
            <w:hideMark/>
          </w:tcPr>
          <w:p w14:paraId="536983AB" w14:textId="4FE84749" w:rsidR="00014F13" w:rsidRPr="00D92D75" w:rsidRDefault="00014F13" w:rsidP="00360131">
            <w:pPr>
              <w:jc w:val="center"/>
              <w:rPr>
                <w:rFonts w:cstheme="minorHAnsi"/>
              </w:rPr>
            </w:pPr>
            <w:r w:rsidRPr="00D92D75">
              <w:rPr>
                <w:rFonts w:cstheme="minorHAnsi"/>
              </w:rPr>
              <w:t>$2,749</w:t>
            </w:r>
            <w:r w:rsidR="00F35BC6" w:rsidRPr="00D92D75">
              <w:t>.00</w:t>
            </w:r>
          </w:p>
        </w:tc>
        <w:tc>
          <w:tcPr>
            <w:tcW w:w="2408" w:type="dxa"/>
            <w:tcBorders>
              <w:top w:val="single" w:sz="2" w:space="0" w:color="002279"/>
              <w:left w:val="single" w:sz="4" w:space="0" w:color="002279"/>
              <w:bottom w:val="single" w:sz="4" w:space="0" w:color="002279"/>
              <w:right w:val="single" w:sz="4" w:space="0" w:color="002279"/>
            </w:tcBorders>
            <w:shd w:val="clear" w:color="auto" w:fill="D4D6DF"/>
            <w:noWrap/>
            <w:hideMark/>
          </w:tcPr>
          <w:p w14:paraId="11ED1310" w14:textId="31515062" w:rsidR="00014F13" w:rsidRPr="00D92D75" w:rsidRDefault="00014F13" w:rsidP="00360131">
            <w:pPr>
              <w:jc w:val="center"/>
              <w:rPr>
                <w:rFonts w:cstheme="minorHAnsi"/>
              </w:rPr>
            </w:pPr>
            <w:r w:rsidRPr="00D92D75">
              <w:rPr>
                <w:rFonts w:cstheme="minorHAnsi"/>
              </w:rPr>
              <w:t>$2,500</w:t>
            </w:r>
            <w:r w:rsidR="00F35BC6" w:rsidRPr="00D92D75">
              <w:t>.00</w:t>
            </w:r>
          </w:p>
        </w:tc>
        <w:tc>
          <w:tcPr>
            <w:tcW w:w="2409" w:type="dxa"/>
            <w:tcBorders>
              <w:top w:val="single" w:sz="2" w:space="0" w:color="002279"/>
              <w:left w:val="single" w:sz="4" w:space="0" w:color="002279"/>
              <w:bottom w:val="single" w:sz="4" w:space="0" w:color="002279"/>
              <w:right w:val="single" w:sz="4" w:space="0" w:color="002279"/>
            </w:tcBorders>
            <w:shd w:val="clear" w:color="auto" w:fill="D4D6DF"/>
            <w:noWrap/>
            <w:hideMark/>
          </w:tcPr>
          <w:p w14:paraId="4F00FB6B" w14:textId="7984EAEE" w:rsidR="00014F13" w:rsidRPr="00D92D75" w:rsidRDefault="00014F13" w:rsidP="00360131">
            <w:pPr>
              <w:jc w:val="center"/>
              <w:rPr>
                <w:rFonts w:cstheme="minorHAnsi"/>
              </w:rPr>
            </w:pPr>
            <w:r w:rsidRPr="00D92D75">
              <w:rPr>
                <w:rFonts w:cstheme="minorHAnsi"/>
              </w:rPr>
              <w:t>-9</w:t>
            </w:r>
            <w:r w:rsidR="00F35BC6" w:rsidRPr="00D92D75">
              <w:t>.06</w:t>
            </w:r>
            <w:r w:rsidRPr="00D92D75">
              <w:rPr>
                <w:rFonts w:cstheme="minorHAnsi"/>
              </w:rPr>
              <w:t>%</w:t>
            </w:r>
          </w:p>
        </w:tc>
      </w:tr>
      <w:tr w:rsidR="00014F13" w:rsidRPr="00B95372" w14:paraId="11556583" w14:textId="77777777" w:rsidTr="007F20E9">
        <w:trPr>
          <w:cnfStyle w:val="000000010000" w:firstRow="0" w:lastRow="0" w:firstColumn="0" w:lastColumn="0" w:oddVBand="0" w:evenVBand="0" w:oddHBand="0" w:evenHBand="1" w:firstRowFirstColumn="0" w:firstRowLastColumn="0" w:lastRowFirstColumn="0" w:lastRowLastColumn="0"/>
          <w:trHeight w:val="432"/>
        </w:trPr>
        <w:tc>
          <w:tcPr>
            <w:tcW w:w="2408" w:type="dxa"/>
            <w:tcBorders>
              <w:top w:val="single" w:sz="4" w:space="0" w:color="002279"/>
              <w:left w:val="single" w:sz="4" w:space="0" w:color="002279"/>
              <w:bottom w:val="single" w:sz="4" w:space="0" w:color="002279"/>
              <w:right w:val="single" w:sz="4" w:space="0" w:color="002279"/>
            </w:tcBorders>
            <w:shd w:val="clear" w:color="auto" w:fill="FFFFFF" w:themeFill="background1"/>
            <w:noWrap/>
            <w:hideMark/>
          </w:tcPr>
          <w:p w14:paraId="44298615" w14:textId="77777777" w:rsidR="00014F13" w:rsidRPr="00D92D75" w:rsidRDefault="00014F13" w:rsidP="000405B1">
            <w:pPr>
              <w:rPr>
                <w:rFonts w:cstheme="minorHAnsi"/>
              </w:rPr>
            </w:pPr>
            <w:r w:rsidRPr="00D92D75">
              <w:t>Blairgowrie</w:t>
            </w:r>
          </w:p>
        </w:tc>
        <w:tc>
          <w:tcPr>
            <w:tcW w:w="2409" w:type="dxa"/>
            <w:tcBorders>
              <w:top w:val="single" w:sz="4" w:space="0" w:color="002279"/>
              <w:left w:val="single" w:sz="4" w:space="0" w:color="002279"/>
              <w:bottom w:val="single" w:sz="4" w:space="0" w:color="002279"/>
              <w:right w:val="single" w:sz="4" w:space="0" w:color="002279"/>
            </w:tcBorders>
            <w:shd w:val="clear" w:color="auto" w:fill="FFFFFF" w:themeFill="background1"/>
            <w:noWrap/>
            <w:hideMark/>
          </w:tcPr>
          <w:p w14:paraId="0809AFDF" w14:textId="494E6BB9" w:rsidR="00014F13" w:rsidRPr="00D92D75" w:rsidRDefault="00014F13" w:rsidP="00360131">
            <w:pPr>
              <w:jc w:val="center"/>
              <w:rPr>
                <w:rFonts w:cstheme="minorHAnsi"/>
              </w:rPr>
            </w:pPr>
            <w:r w:rsidRPr="00D92D75">
              <w:rPr>
                <w:rFonts w:cstheme="minorHAnsi"/>
              </w:rPr>
              <w:t>$4,352</w:t>
            </w:r>
            <w:r w:rsidR="00F35BC6" w:rsidRPr="00D92D75">
              <w:t>.00</w:t>
            </w:r>
          </w:p>
        </w:tc>
        <w:tc>
          <w:tcPr>
            <w:tcW w:w="2408" w:type="dxa"/>
            <w:tcBorders>
              <w:top w:val="single" w:sz="4" w:space="0" w:color="002279"/>
              <w:left w:val="single" w:sz="4" w:space="0" w:color="002279"/>
              <w:bottom w:val="single" w:sz="4" w:space="0" w:color="002279"/>
              <w:right w:val="single" w:sz="4" w:space="0" w:color="002279"/>
            </w:tcBorders>
            <w:shd w:val="clear" w:color="auto" w:fill="FFFFFF" w:themeFill="background1"/>
            <w:noWrap/>
            <w:hideMark/>
          </w:tcPr>
          <w:p w14:paraId="76ACA220" w14:textId="47A202DC" w:rsidR="00014F13" w:rsidRPr="00D92D75" w:rsidRDefault="00014F13" w:rsidP="00360131">
            <w:pPr>
              <w:jc w:val="center"/>
              <w:rPr>
                <w:rFonts w:cstheme="minorHAnsi"/>
              </w:rPr>
            </w:pPr>
            <w:r w:rsidRPr="00D92D75">
              <w:rPr>
                <w:rFonts w:cstheme="minorHAnsi"/>
              </w:rPr>
              <w:t>$2,500</w:t>
            </w:r>
            <w:r w:rsidR="00F35BC6" w:rsidRPr="00D92D75">
              <w:t>.00</w:t>
            </w:r>
          </w:p>
        </w:tc>
        <w:tc>
          <w:tcPr>
            <w:tcW w:w="2409" w:type="dxa"/>
            <w:tcBorders>
              <w:top w:val="single" w:sz="4" w:space="0" w:color="002279"/>
              <w:left w:val="single" w:sz="4" w:space="0" w:color="002279"/>
              <w:bottom w:val="single" w:sz="4" w:space="0" w:color="002279"/>
              <w:right w:val="single" w:sz="4" w:space="0" w:color="002279"/>
            </w:tcBorders>
            <w:shd w:val="clear" w:color="auto" w:fill="FFFFFF" w:themeFill="background1"/>
            <w:noWrap/>
            <w:hideMark/>
          </w:tcPr>
          <w:p w14:paraId="57D49498" w14:textId="1DBC5DF3" w:rsidR="00014F13" w:rsidRPr="00D92D75" w:rsidRDefault="00014F13" w:rsidP="00360131">
            <w:pPr>
              <w:jc w:val="center"/>
              <w:rPr>
                <w:rFonts w:cstheme="minorHAnsi"/>
              </w:rPr>
            </w:pPr>
            <w:r w:rsidRPr="00D92D75">
              <w:rPr>
                <w:rFonts w:cstheme="minorHAnsi"/>
              </w:rPr>
              <w:t>-</w:t>
            </w:r>
            <w:r w:rsidR="00F35BC6" w:rsidRPr="00D92D75">
              <w:t>42.56</w:t>
            </w:r>
            <w:r w:rsidRPr="00D92D75">
              <w:rPr>
                <w:rFonts w:cstheme="minorHAnsi"/>
              </w:rPr>
              <w:t>%</w:t>
            </w:r>
          </w:p>
        </w:tc>
      </w:tr>
      <w:tr w:rsidR="00014F13" w:rsidRPr="00B95372" w14:paraId="51391967" w14:textId="77777777" w:rsidTr="007F20E9">
        <w:trPr>
          <w:cnfStyle w:val="000000100000" w:firstRow="0" w:lastRow="0" w:firstColumn="0" w:lastColumn="0" w:oddVBand="0" w:evenVBand="0" w:oddHBand="1" w:evenHBand="0" w:firstRowFirstColumn="0" w:firstRowLastColumn="0" w:lastRowFirstColumn="0" w:lastRowLastColumn="0"/>
          <w:trHeight w:val="432"/>
        </w:trPr>
        <w:tc>
          <w:tcPr>
            <w:tcW w:w="2408" w:type="dxa"/>
            <w:tcBorders>
              <w:top w:val="single" w:sz="4" w:space="0" w:color="002279"/>
              <w:left w:val="single" w:sz="4" w:space="0" w:color="002279"/>
              <w:bottom w:val="single" w:sz="4" w:space="0" w:color="002279"/>
              <w:right w:val="single" w:sz="4" w:space="0" w:color="002279"/>
            </w:tcBorders>
            <w:shd w:val="clear" w:color="auto" w:fill="D4D6DF"/>
            <w:noWrap/>
            <w:hideMark/>
          </w:tcPr>
          <w:p w14:paraId="14240159" w14:textId="77777777" w:rsidR="00014F13" w:rsidRPr="00D92D75" w:rsidRDefault="00014F13" w:rsidP="000405B1">
            <w:pPr>
              <w:rPr>
                <w:rFonts w:cstheme="minorHAnsi"/>
              </w:rPr>
            </w:pPr>
            <w:r w:rsidRPr="00D92D75">
              <w:t>Portsea</w:t>
            </w:r>
          </w:p>
        </w:tc>
        <w:tc>
          <w:tcPr>
            <w:tcW w:w="2409" w:type="dxa"/>
            <w:tcBorders>
              <w:top w:val="single" w:sz="4" w:space="0" w:color="002279"/>
              <w:left w:val="single" w:sz="4" w:space="0" w:color="002279"/>
              <w:bottom w:val="single" w:sz="4" w:space="0" w:color="002279"/>
              <w:right w:val="single" w:sz="4" w:space="0" w:color="002279"/>
            </w:tcBorders>
            <w:shd w:val="clear" w:color="auto" w:fill="D4D6DF"/>
            <w:noWrap/>
            <w:hideMark/>
          </w:tcPr>
          <w:p w14:paraId="445473FF" w14:textId="3DB14151" w:rsidR="00014F13" w:rsidRPr="00D92D75" w:rsidRDefault="00014F13" w:rsidP="00360131">
            <w:pPr>
              <w:jc w:val="center"/>
              <w:rPr>
                <w:rFonts w:cstheme="minorHAnsi"/>
              </w:rPr>
            </w:pPr>
            <w:r w:rsidRPr="00D92D75">
              <w:rPr>
                <w:rFonts w:cstheme="minorHAnsi"/>
              </w:rPr>
              <w:t>$7,701</w:t>
            </w:r>
            <w:r w:rsidR="00F35BC6" w:rsidRPr="00D92D75">
              <w:t>.00</w:t>
            </w:r>
          </w:p>
        </w:tc>
        <w:tc>
          <w:tcPr>
            <w:tcW w:w="2408" w:type="dxa"/>
            <w:tcBorders>
              <w:top w:val="single" w:sz="4" w:space="0" w:color="002279"/>
              <w:left w:val="single" w:sz="4" w:space="0" w:color="002279"/>
              <w:bottom w:val="single" w:sz="4" w:space="0" w:color="002279"/>
              <w:right w:val="single" w:sz="4" w:space="0" w:color="002279"/>
            </w:tcBorders>
            <w:shd w:val="clear" w:color="auto" w:fill="D4D6DF"/>
            <w:noWrap/>
            <w:hideMark/>
          </w:tcPr>
          <w:p w14:paraId="76F2CE1B" w14:textId="71D4178D" w:rsidR="00014F13" w:rsidRPr="00D92D75" w:rsidRDefault="00014F13" w:rsidP="00360131">
            <w:pPr>
              <w:jc w:val="center"/>
              <w:rPr>
                <w:rFonts w:cstheme="minorHAnsi"/>
              </w:rPr>
            </w:pPr>
            <w:r w:rsidRPr="00D92D75">
              <w:rPr>
                <w:rFonts w:cstheme="minorHAnsi"/>
              </w:rPr>
              <w:t>$3,971</w:t>
            </w:r>
            <w:r w:rsidR="00F35BC6" w:rsidRPr="00D92D75">
              <w:t>.00</w:t>
            </w:r>
          </w:p>
        </w:tc>
        <w:tc>
          <w:tcPr>
            <w:tcW w:w="2409" w:type="dxa"/>
            <w:tcBorders>
              <w:top w:val="single" w:sz="4" w:space="0" w:color="002279"/>
              <w:left w:val="single" w:sz="4" w:space="0" w:color="002279"/>
              <w:bottom w:val="single" w:sz="4" w:space="0" w:color="002279"/>
              <w:right w:val="single" w:sz="4" w:space="0" w:color="002279"/>
            </w:tcBorders>
            <w:shd w:val="clear" w:color="auto" w:fill="D4D6DF"/>
            <w:noWrap/>
            <w:hideMark/>
          </w:tcPr>
          <w:p w14:paraId="5BD9E528" w14:textId="205B27DA" w:rsidR="00014F13" w:rsidRPr="00D92D75" w:rsidRDefault="00014F13" w:rsidP="00360131">
            <w:pPr>
              <w:jc w:val="center"/>
              <w:rPr>
                <w:rFonts w:cstheme="minorHAnsi"/>
              </w:rPr>
            </w:pPr>
            <w:r w:rsidRPr="00D92D75">
              <w:rPr>
                <w:rFonts w:cstheme="minorHAnsi"/>
              </w:rPr>
              <w:t>-48</w:t>
            </w:r>
            <w:r w:rsidR="00F35BC6" w:rsidRPr="00D92D75">
              <w:t>.44</w:t>
            </w:r>
            <w:r w:rsidRPr="00D92D75">
              <w:rPr>
                <w:rFonts w:cstheme="minorHAnsi"/>
              </w:rPr>
              <w:t>%</w:t>
            </w:r>
          </w:p>
        </w:tc>
      </w:tr>
      <w:tr w:rsidR="00014F13" w:rsidRPr="00B95372" w14:paraId="751953EE" w14:textId="77777777" w:rsidTr="007F20E9">
        <w:trPr>
          <w:cnfStyle w:val="000000010000" w:firstRow="0" w:lastRow="0" w:firstColumn="0" w:lastColumn="0" w:oddVBand="0" w:evenVBand="0" w:oddHBand="0" w:evenHBand="1" w:firstRowFirstColumn="0" w:firstRowLastColumn="0" w:lastRowFirstColumn="0" w:lastRowLastColumn="0"/>
          <w:trHeight w:val="432"/>
        </w:trPr>
        <w:tc>
          <w:tcPr>
            <w:tcW w:w="2408" w:type="dxa"/>
            <w:tcBorders>
              <w:top w:val="single" w:sz="4" w:space="0" w:color="002279"/>
              <w:left w:val="single" w:sz="4" w:space="0" w:color="002279"/>
              <w:bottom w:val="single" w:sz="4" w:space="0" w:color="002279"/>
              <w:right w:val="single" w:sz="4" w:space="0" w:color="002279"/>
            </w:tcBorders>
            <w:shd w:val="clear" w:color="auto" w:fill="FFFFFF" w:themeFill="background1"/>
            <w:noWrap/>
            <w:hideMark/>
          </w:tcPr>
          <w:p w14:paraId="16907783" w14:textId="77777777" w:rsidR="00014F13" w:rsidRPr="00D92D75" w:rsidRDefault="00014F13" w:rsidP="000405B1">
            <w:pPr>
              <w:rPr>
                <w:rFonts w:cstheme="minorHAnsi"/>
              </w:rPr>
            </w:pPr>
            <w:r w:rsidRPr="00D92D75">
              <w:t>Sorrento</w:t>
            </w:r>
          </w:p>
        </w:tc>
        <w:tc>
          <w:tcPr>
            <w:tcW w:w="2409" w:type="dxa"/>
            <w:tcBorders>
              <w:top w:val="single" w:sz="4" w:space="0" w:color="002279"/>
              <w:left w:val="single" w:sz="4" w:space="0" w:color="002279"/>
              <w:bottom w:val="single" w:sz="4" w:space="0" w:color="002279"/>
              <w:right w:val="single" w:sz="4" w:space="0" w:color="002279"/>
            </w:tcBorders>
            <w:shd w:val="clear" w:color="auto" w:fill="FFFFFF" w:themeFill="background1"/>
            <w:noWrap/>
            <w:hideMark/>
          </w:tcPr>
          <w:p w14:paraId="3F459011" w14:textId="0CBC3D7A" w:rsidR="00014F13" w:rsidRPr="00D92D75" w:rsidRDefault="00014F13" w:rsidP="00360131">
            <w:pPr>
              <w:jc w:val="center"/>
              <w:rPr>
                <w:rFonts w:cstheme="minorHAnsi"/>
              </w:rPr>
            </w:pPr>
            <w:r w:rsidRPr="00D92D75">
              <w:rPr>
                <w:rFonts w:cstheme="minorHAnsi"/>
              </w:rPr>
              <w:t>$6,293</w:t>
            </w:r>
            <w:r w:rsidR="00F35BC6" w:rsidRPr="00D92D75">
              <w:t>.00</w:t>
            </w:r>
          </w:p>
        </w:tc>
        <w:tc>
          <w:tcPr>
            <w:tcW w:w="2408" w:type="dxa"/>
            <w:tcBorders>
              <w:top w:val="single" w:sz="4" w:space="0" w:color="002279"/>
              <w:left w:val="single" w:sz="4" w:space="0" w:color="002279"/>
              <w:bottom w:val="single" w:sz="4" w:space="0" w:color="002279"/>
              <w:right w:val="single" w:sz="4" w:space="0" w:color="002279"/>
            </w:tcBorders>
            <w:shd w:val="clear" w:color="auto" w:fill="FFFFFF" w:themeFill="background1"/>
            <w:noWrap/>
            <w:hideMark/>
          </w:tcPr>
          <w:p w14:paraId="6AB4ADD8" w14:textId="08F6C9A2" w:rsidR="00014F13" w:rsidRPr="00D92D75" w:rsidRDefault="00014F13" w:rsidP="00360131">
            <w:pPr>
              <w:jc w:val="center"/>
              <w:rPr>
                <w:rFonts w:cstheme="minorHAnsi"/>
              </w:rPr>
            </w:pPr>
            <w:r w:rsidRPr="00D92D75">
              <w:rPr>
                <w:rFonts w:cstheme="minorHAnsi"/>
              </w:rPr>
              <w:t>$3,971</w:t>
            </w:r>
            <w:r w:rsidR="00F35BC6" w:rsidRPr="00D92D75">
              <w:t>.00</w:t>
            </w:r>
          </w:p>
        </w:tc>
        <w:tc>
          <w:tcPr>
            <w:tcW w:w="2409" w:type="dxa"/>
            <w:tcBorders>
              <w:top w:val="single" w:sz="4" w:space="0" w:color="002279"/>
              <w:left w:val="single" w:sz="4" w:space="0" w:color="002279"/>
              <w:bottom w:val="single" w:sz="4" w:space="0" w:color="002279"/>
              <w:right w:val="single" w:sz="4" w:space="0" w:color="002279"/>
            </w:tcBorders>
            <w:shd w:val="clear" w:color="auto" w:fill="FFFFFF" w:themeFill="background1"/>
            <w:noWrap/>
            <w:hideMark/>
          </w:tcPr>
          <w:p w14:paraId="307E3739" w14:textId="26B9179B" w:rsidR="00014F13" w:rsidRPr="00D92D75" w:rsidRDefault="00014F13" w:rsidP="00360131">
            <w:pPr>
              <w:jc w:val="center"/>
              <w:rPr>
                <w:rFonts w:cstheme="minorHAnsi"/>
              </w:rPr>
            </w:pPr>
            <w:r w:rsidRPr="00D92D75">
              <w:rPr>
                <w:rFonts w:cstheme="minorHAnsi"/>
              </w:rPr>
              <w:t>-</w:t>
            </w:r>
            <w:r w:rsidR="00F35BC6" w:rsidRPr="00D92D75">
              <w:t>36.90</w:t>
            </w:r>
            <w:r w:rsidRPr="00D92D75">
              <w:rPr>
                <w:rFonts w:cstheme="minorHAnsi"/>
              </w:rPr>
              <w:t>%</w:t>
            </w:r>
          </w:p>
        </w:tc>
      </w:tr>
      <w:tr w:rsidR="00014F13" w:rsidRPr="00B95372" w14:paraId="128E0752" w14:textId="77777777" w:rsidTr="00D92D75">
        <w:trPr>
          <w:cnfStyle w:val="000000100000" w:firstRow="0" w:lastRow="0" w:firstColumn="0" w:lastColumn="0" w:oddVBand="0" w:evenVBand="0" w:oddHBand="1" w:evenHBand="0" w:firstRowFirstColumn="0" w:firstRowLastColumn="0" w:lastRowFirstColumn="0" w:lastRowLastColumn="0"/>
          <w:trHeight w:val="432"/>
        </w:trPr>
        <w:tc>
          <w:tcPr>
            <w:tcW w:w="2408" w:type="dxa"/>
            <w:tcBorders>
              <w:top w:val="single" w:sz="4" w:space="0" w:color="002279"/>
              <w:left w:val="single" w:sz="4" w:space="0" w:color="002279"/>
              <w:bottom w:val="single" w:sz="4" w:space="0" w:color="002279"/>
              <w:right w:val="single" w:sz="4" w:space="0" w:color="002279"/>
            </w:tcBorders>
            <w:shd w:val="clear" w:color="auto" w:fill="D4D6DF"/>
            <w:noWrap/>
            <w:hideMark/>
          </w:tcPr>
          <w:p w14:paraId="67B5C393" w14:textId="77777777" w:rsidR="00014F13" w:rsidRPr="00D92D75" w:rsidRDefault="00014F13" w:rsidP="000405B1">
            <w:pPr>
              <w:rPr>
                <w:rFonts w:cstheme="minorHAnsi"/>
              </w:rPr>
            </w:pPr>
            <w:r w:rsidRPr="00D92D75">
              <w:t>St Andrews Beach</w:t>
            </w:r>
          </w:p>
        </w:tc>
        <w:tc>
          <w:tcPr>
            <w:tcW w:w="2409" w:type="dxa"/>
            <w:tcBorders>
              <w:top w:val="single" w:sz="4" w:space="0" w:color="002279"/>
              <w:left w:val="single" w:sz="4" w:space="0" w:color="002279"/>
              <w:bottom w:val="single" w:sz="4" w:space="0" w:color="002279"/>
              <w:right w:val="single" w:sz="4" w:space="0" w:color="002279"/>
            </w:tcBorders>
            <w:shd w:val="clear" w:color="auto" w:fill="D4D6DF"/>
            <w:noWrap/>
            <w:hideMark/>
          </w:tcPr>
          <w:p w14:paraId="431CD0D1" w14:textId="502E8F28" w:rsidR="00014F13" w:rsidRPr="00D92D75" w:rsidRDefault="00014F13" w:rsidP="00360131">
            <w:pPr>
              <w:jc w:val="center"/>
              <w:rPr>
                <w:rFonts w:cstheme="minorHAnsi"/>
              </w:rPr>
            </w:pPr>
            <w:r w:rsidRPr="00D92D75">
              <w:rPr>
                <w:rFonts w:cstheme="minorHAnsi"/>
              </w:rPr>
              <w:t>$7,701</w:t>
            </w:r>
            <w:r w:rsidR="00F35BC6" w:rsidRPr="00D92D75">
              <w:t>.00</w:t>
            </w:r>
          </w:p>
        </w:tc>
        <w:tc>
          <w:tcPr>
            <w:tcW w:w="2408" w:type="dxa"/>
            <w:tcBorders>
              <w:top w:val="single" w:sz="4" w:space="0" w:color="002279"/>
              <w:left w:val="single" w:sz="4" w:space="0" w:color="002279"/>
              <w:bottom w:val="single" w:sz="4" w:space="0" w:color="002279"/>
              <w:right w:val="single" w:sz="4" w:space="0" w:color="002279"/>
            </w:tcBorders>
            <w:shd w:val="clear" w:color="auto" w:fill="D4D6DF"/>
            <w:noWrap/>
            <w:hideMark/>
          </w:tcPr>
          <w:p w14:paraId="4383C9C7" w14:textId="43F0B87E" w:rsidR="00014F13" w:rsidRPr="00D92D75" w:rsidRDefault="00014F13" w:rsidP="00360131">
            <w:pPr>
              <w:jc w:val="center"/>
              <w:rPr>
                <w:rFonts w:cstheme="minorHAnsi"/>
              </w:rPr>
            </w:pPr>
            <w:r w:rsidRPr="00D92D75">
              <w:rPr>
                <w:rFonts w:cstheme="minorHAnsi"/>
              </w:rPr>
              <w:t>$3,971</w:t>
            </w:r>
            <w:r w:rsidR="00F35BC6" w:rsidRPr="00D92D75">
              <w:t>.00</w:t>
            </w:r>
          </w:p>
        </w:tc>
        <w:tc>
          <w:tcPr>
            <w:tcW w:w="2409" w:type="dxa"/>
            <w:tcBorders>
              <w:top w:val="single" w:sz="4" w:space="0" w:color="002279"/>
              <w:left w:val="single" w:sz="4" w:space="0" w:color="002279"/>
              <w:bottom w:val="single" w:sz="4" w:space="0" w:color="002279"/>
              <w:right w:val="single" w:sz="4" w:space="0" w:color="002279"/>
            </w:tcBorders>
            <w:shd w:val="clear" w:color="auto" w:fill="D4D6DF"/>
            <w:noWrap/>
            <w:hideMark/>
          </w:tcPr>
          <w:p w14:paraId="31E0A7B1" w14:textId="02208CE7" w:rsidR="00014F13" w:rsidRPr="00D92D75" w:rsidRDefault="00014F13" w:rsidP="00360131">
            <w:pPr>
              <w:jc w:val="center"/>
              <w:rPr>
                <w:rFonts w:cstheme="minorHAnsi"/>
              </w:rPr>
            </w:pPr>
            <w:r w:rsidRPr="00D92D75">
              <w:rPr>
                <w:rFonts w:cstheme="minorHAnsi"/>
              </w:rPr>
              <w:t>-48</w:t>
            </w:r>
            <w:r w:rsidR="00F35BC6" w:rsidRPr="00D92D75">
              <w:t>.44</w:t>
            </w:r>
            <w:r w:rsidRPr="00D92D75">
              <w:rPr>
                <w:rFonts w:cstheme="minorHAnsi"/>
              </w:rPr>
              <w:t>%</w:t>
            </w:r>
          </w:p>
        </w:tc>
      </w:tr>
      <w:tr w:rsidR="00014F13" w:rsidRPr="00B95372" w14:paraId="01B034E4" w14:textId="77777777" w:rsidTr="00D92D75">
        <w:trPr>
          <w:cnfStyle w:val="000000010000" w:firstRow="0" w:lastRow="0" w:firstColumn="0" w:lastColumn="0" w:oddVBand="0" w:evenVBand="0" w:oddHBand="0" w:evenHBand="1" w:firstRowFirstColumn="0" w:firstRowLastColumn="0" w:lastRowFirstColumn="0" w:lastRowLastColumn="0"/>
          <w:trHeight w:val="432"/>
        </w:trPr>
        <w:tc>
          <w:tcPr>
            <w:tcW w:w="2408" w:type="dxa"/>
            <w:tcBorders>
              <w:top w:val="single" w:sz="4" w:space="0" w:color="002279"/>
              <w:left w:val="single" w:sz="4" w:space="0" w:color="002279"/>
              <w:bottom w:val="single" w:sz="4" w:space="0" w:color="002279"/>
              <w:right w:val="single" w:sz="4" w:space="0" w:color="002279"/>
            </w:tcBorders>
            <w:shd w:val="clear" w:color="auto" w:fill="FFFFFF" w:themeFill="background1"/>
            <w:noWrap/>
            <w:hideMark/>
          </w:tcPr>
          <w:p w14:paraId="6DBB9C58" w14:textId="77777777" w:rsidR="00014F13" w:rsidRPr="00D92D75" w:rsidRDefault="00014F13" w:rsidP="000405B1">
            <w:pPr>
              <w:rPr>
                <w:rFonts w:cstheme="minorHAnsi"/>
              </w:rPr>
            </w:pPr>
            <w:r w:rsidRPr="00D92D75">
              <w:t>Point Leo</w:t>
            </w:r>
          </w:p>
        </w:tc>
        <w:tc>
          <w:tcPr>
            <w:tcW w:w="2409" w:type="dxa"/>
            <w:tcBorders>
              <w:top w:val="single" w:sz="4" w:space="0" w:color="002279"/>
              <w:left w:val="single" w:sz="4" w:space="0" w:color="002279"/>
              <w:bottom w:val="single" w:sz="4" w:space="0" w:color="002279"/>
              <w:right w:val="single" w:sz="4" w:space="0" w:color="002279"/>
            </w:tcBorders>
            <w:shd w:val="clear" w:color="auto" w:fill="FFFFFF" w:themeFill="background1"/>
            <w:noWrap/>
            <w:hideMark/>
          </w:tcPr>
          <w:p w14:paraId="5169C7B7" w14:textId="23EFB932" w:rsidR="00014F13" w:rsidRPr="00D92D75" w:rsidRDefault="00014F13" w:rsidP="00360131">
            <w:pPr>
              <w:jc w:val="center"/>
              <w:rPr>
                <w:rFonts w:cstheme="minorHAnsi"/>
              </w:rPr>
            </w:pPr>
            <w:r w:rsidRPr="00D92D75">
              <w:rPr>
                <w:rFonts w:cstheme="minorHAnsi"/>
              </w:rPr>
              <w:t>$7,701</w:t>
            </w:r>
            <w:r w:rsidR="00F35BC6" w:rsidRPr="00D92D75">
              <w:t>.00</w:t>
            </w:r>
          </w:p>
        </w:tc>
        <w:tc>
          <w:tcPr>
            <w:tcW w:w="2408" w:type="dxa"/>
            <w:tcBorders>
              <w:top w:val="single" w:sz="4" w:space="0" w:color="002279"/>
              <w:left w:val="single" w:sz="4" w:space="0" w:color="002279"/>
              <w:bottom w:val="single" w:sz="4" w:space="0" w:color="002279"/>
              <w:right w:val="single" w:sz="4" w:space="0" w:color="002279"/>
            </w:tcBorders>
            <w:shd w:val="clear" w:color="auto" w:fill="FFFFFF" w:themeFill="background1"/>
            <w:noWrap/>
            <w:hideMark/>
          </w:tcPr>
          <w:p w14:paraId="621F991C" w14:textId="2BD90461" w:rsidR="00014F13" w:rsidRPr="00D92D75" w:rsidRDefault="00014F13" w:rsidP="00360131">
            <w:pPr>
              <w:jc w:val="center"/>
              <w:rPr>
                <w:rFonts w:cstheme="minorHAnsi"/>
              </w:rPr>
            </w:pPr>
            <w:r w:rsidRPr="00D92D75">
              <w:rPr>
                <w:rFonts w:cstheme="minorHAnsi"/>
              </w:rPr>
              <w:t>$3,971</w:t>
            </w:r>
            <w:r w:rsidR="00F35BC6" w:rsidRPr="00D92D75">
              <w:t>.00</w:t>
            </w:r>
          </w:p>
        </w:tc>
        <w:tc>
          <w:tcPr>
            <w:tcW w:w="2409" w:type="dxa"/>
            <w:tcBorders>
              <w:top w:val="single" w:sz="4" w:space="0" w:color="002279"/>
              <w:left w:val="single" w:sz="4" w:space="0" w:color="002279"/>
              <w:bottom w:val="single" w:sz="4" w:space="0" w:color="002279"/>
              <w:right w:val="single" w:sz="4" w:space="0" w:color="002279"/>
            </w:tcBorders>
            <w:shd w:val="clear" w:color="auto" w:fill="FFFFFF" w:themeFill="background1"/>
            <w:noWrap/>
            <w:hideMark/>
          </w:tcPr>
          <w:p w14:paraId="7141BB02" w14:textId="23F36420" w:rsidR="00014F13" w:rsidRPr="00D92D75" w:rsidRDefault="00014F13" w:rsidP="00360131">
            <w:pPr>
              <w:jc w:val="center"/>
              <w:rPr>
                <w:rFonts w:cstheme="minorHAnsi"/>
              </w:rPr>
            </w:pPr>
            <w:r w:rsidRPr="00D92D75">
              <w:rPr>
                <w:rFonts w:cstheme="minorHAnsi"/>
              </w:rPr>
              <w:t>-48</w:t>
            </w:r>
            <w:r w:rsidR="00F35BC6" w:rsidRPr="00D92D75">
              <w:t>.44</w:t>
            </w:r>
            <w:r w:rsidRPr="00D92D75">
              <w:rPr>
                <w:rFonts w:cstheme="minorHAnsi"/>
              </w:rPr>
              <w:t>%</w:t>
            </w:r>
          </w:p>
        </w:tc>
      </w:tr>
    </w:tbl>
    <w:p w14:paraId="6211EA27" w14:textId="77777777" w:rsidR="00B76DF4" w:rsidRDefault="00B76DF4">
      <w:pPr>
        <w:pStyle w:val="Heading2"/>
      </w:pPr>
    </w:p>
    <w:p w14:paraId="24A5B830" w14:textId="2970A90C" w:rsidR="006C324E" w:rsidRDefault="00AE35E9">
      <w:pPr>
        <w:pStyle w:val="Heading2"/>
      </w:pPr>
      <w:r>
        <w:t>10.</w:t>
      </w:r>
      <w:r w:rsidR="00C17F48">
        <w:t>8</w:t>
      </w:r>
      <w:r>
        <w:t xml:space="preserve"> </w:t>
      </w:r>
      <w:r w:rsidR="006C324E">
        <w:t>Miscellaneous charges</w:t>
      </w:r>
    </w:p>
    <w:p w14:paraId="26A06324" w14:textId="77777777" w:rsidR="00CD493B" w:rsidRDefault="00CD493B" w:rsidP="00CD493B">
      <w:r>
        <w:t>We have reviewed our major miscellaneous charges to ensure these proposed prices are consistent with ESC principles.</w:t>
      </w:r>
    </w:p>
    <w:p w14:paraId="19BB62A1" w14:textId="257B85E2" w:rsidR="004269A9" w:rsidRDefault="000462C7" w:rsidP="006B5CED">
      <w:r>
        <w:t>Table 5</w:t>
      </w:r>
      <w:r w:rsidR="00DE1F78">
        <w:t>6</w:t>
      </w:r>
      <w:r w:rsidR="00CD493B">
        <w:t xml:space="preserve"> outlines the proposed </w:t>
      </w:r>
      <w:r w:rsidR="007D3F74">
        <w:t>top 10</w:t>
      </w:r>
      <w:r w:rsidR="00CD493B">
        <w:t xml:space="preserve"> miscellaneous charges </w:t>
      </w:r>
      <w:r w:rsidR="007D3F74">
        <w:t>by forecast revenue</w:t>
      </w:r>
      <w:r w:rsidR="00CD493B">
        <w:t xml:space="preserve"> for the next regulatory period</w:t>
      </w:r>
      <w:r w:rsidR="0009559C">
        <w:t xml:space="preserve"> </w:t>
      </w:r>
      <w:r w:rsidR="00FA75B4">
        <w:t>which have</w:t>
      </w:r>
      <w:r w:rsidR="0009559C">
        <w:t xml:space="preserve"> been separately forecast</w:t>
      </w:r>
      <w:r w:rsidR="00457780">
        <w:t>ed</w:t>
      </w:r>
      <w:r w:rsidR="0009559C">
        <w:t xml:space="preserve"> in the regulatory model</w:t>
      </w:r>
      <w:r w:rsidR="00CD493B">
        <w:t>.</w:t>
      </w:r>
      <w:r w:rsidR="00494153">
        <w:t xml:space="preserve"> </w:t>
      </w:r>
      <w:r w:rsidR="002819EA">
        <w:br/>
      </w:r>
    </w:p>
    <w:p w14:paraId="3DCFC5AE" w14:textId="22C69E2E" w:rsidR="003566EA" w:rsidRPr="00BC279D" w:rsidRDefault="003566EA" w:rsidP="002819EA">
      <w:pPr>
        <w:pStyle w:val="NormalIndent"/>
        <w:spacing w:after="120"/>
        <w:ind w:left="0"/>
        <w:rPr>
          <w:rFonts w:cs="Arial"/>
          <w:b/>
          <w:i/>
        </w:rPr>
      </w:pPr>
      <w:r w:rsidRPr="00CE6C4E">
        <w:rPr>
          <w:b/>
          <w:i/>
        </w:rPr>
        <w:t xml:space="preserve">Table </w:t>
      </w:r>
      <w:r w:rsidR="00DE1F78">
        <w:rPr>
          <w:b/>
          <w:i/>
        </w:rPr>
        <w:t>56</w:t>
      </w:r>
      <w:r w:rsidRPr="007B339F">
        <w:rPr>
          <w:rFonts w:ascii="Arial" w:hAnsi="Arial" w:cs="Arial"/>
          <w:b/>
          <w:i/>
        </w:rPr>
        <w:t>:</w:t>
      </w:r>
      <w:r>
        <w:rPr>
          <w:rFonts w:ascii="Arial" w:hAnsi="Arial" w:cs="Arial"/>
          <w:b/>
          <w:i/>
        </w:rPr>
        <w:t xml:space="preserve"> Miscellaneous charges</w:t>
      </w:r>
      <w:r w:rsidR="00921F48">
        <w:rPr>
          <w:b/>
          <w:i/>
        </w:rPr>
        <w:t xml:space="preserve"> ($</w:t>
      </w:r>
      <w:r w:rsidRPr="00FD54FE">
        <w:rPr>
          <w:b/>
          <w:i/>
        </w:rPr>
        <w:t>2022</w:t>
      </w:r>
      <w:r>
        <w:rPr>
          <w:b/>
          <w:i/>
        </w:rPr>
        <w:t>–</w:t>
      </w:r>
      <w:r w:rsidRPr="00FD54FE">
        <w:rPr>
          <w:b/>
          <w:i/>
        </w:rPr>
        <w:t>23</w:t>
      </w:r>
      <w:r w:rsidR="00921F48">
        <w:rPr>
          <w:b/>
          <w:i/>
        </w:rPr>
        <w:t>)</w:t>
      </w:r>
    </w:p>
    <w:tbl>
      <w:tblPr>
        <w:tblStyle w:val="MJTableStyle1default"/>
        <w:tblW w:w="5000" w:type="pct"/>
        <w:tblInd w:w="0" w:type="dxa"/>
        <w:tblLook w:val="04A0" w:firstRow="1" w:lastRow="0" w:firstColumn="1" w:lastColumn="0" w:noHBand="0" w:noVBand="1"/>
      </w:tblPr>
      <w:tblGrid>
        <w:gridCol w:w="1745"/>
        <w:gridCol w:w="1194"/>
        <w:gridCol w:w="1199"/>
        <w:gridCol w:w="1070"/>
        <w:gridCol w:w="1070"/>
        <w:gridCol w:w="1070"/>
        <w:gridCol w:w="1070"/>
        <w:gridCol w:w="1070"/>
      </w:tblGrid>
      <w:tr w:rsidR="00D67A64" w:rsidRPr="008E63F2" w14:paraId="438BB094" w14:textId="7003432E" w:rsidTr="007F20E9">
        <w:trPr>
          <w:cnfStyle w:val="100000000000" w:firstRow="1" w:lastRow="0" w:firstColumn="0" w:lastColumn="0" w:oddVBand="0" w:evenVBand="0" w:oddHBand="0" w:evenHBand="0" w:firstRowFirstColumn="0" w:firstRowLastColumn="0" w:lastRowFirstColumn="0" w:lastRowLastColumn="0"/>
          <w:trHeight w:val="557"/>
        </w:trPr>
        <w:tc>
          <w:tcPr>
            <w:tcW w:w="919" w:type="pct"/>
            <w:tcBorders>
              <w:top w:val="single" w:sz="4" w:space="0" w:color="002279"/>
              <w:left w:val="single" w:sz="4" w:space="0" w:color="002279"/>
              <w:bottom w:val="single" w:sz="2" w:space="0" w:color="002279"/>
              <w:right w:val="single" w:sz="4" w:space="0" w:color="FFFFFF" w:themeColor="background1"/>
            </w:tcBorders>
            <w:shd w:val="clear" w:color="auto" w:fill="002279"/>
            <w:vAlign w:val="center"/>
          </w:tcPr>
          <w:p w14:paraId="50B21B07" w14:textId="7754724A" w:rsidR="00D67A64" w:rsidRPr="008E63F2" w:rsidRDefault="00D67A64" w:rsidP="00D67A64">
            <w:pPr>
              <w:rPr>
                <w:rFonts w:asciiTheme="minorHAnsi" w:hAnsiTheme="minorHAnsi" w:cstheme="minorHAnsi"/>
                <w:b/>
              </w:rPr>
            </w:pPr>
            <w:r w:rsidRPr="00D67A64">
              <w:rPr>
                <w:rFonts w:asciiTheme="minorHAnsi" w:hAnsiTheme="minorHAnsi" w:cstheme="minorHAnsi"/>
                <w:b/>
              </w:rPr>
              <w:t>Miscellaneous Charge</w:t>
            </w:r>
          </w:p>
        </w:tc>
        <w:tc>
          <w:tcPr>
            <w:tcW w:w="629" w:type="pct"/>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vAlign w:val="center"/>
          </w:tcPr>
          <w:p w14:paraId="5BC3BDFF" w14:textId="7DB1692E" w:rsidR="00D67A64" w:rsidRPr="008E63F2" w:rsidRDefault="00D67A64" w:rsidP="00D67A64">
            <w:pPr>
              <w:jc w:val="center"/>
              <w:rPr>
                <w:rFonts w:asciiTheme="minorHAnsi" w:hAnsiTheme="minorHAnsi" w:cstheme="minorHAnsi"/>
                <w:b/>
              </w:rPr>
            </w:pPr>
            <w:r w:rsidRPr="00D67A64">
              <w:rPr>
                <w:rFonts w:asciiTheme="minorHAnsi" w:hAnsiTheme="minorHAnsi" w:cstheme="minorHAnsi"/>
                <w:b/>
              </w:rPr>
              <w:t>2022-23</w:t>
            </w:r>
          </w:p>
        </w:tc>
        <w:tc>
          <w:tcPr>
            <w:tcW w:w="632" w:type="pct"/>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vAlign w:val="center"/>
          </w:tcPr>
          <w:p w14:paraId="7F5CD366" w14:textId="1A1D03EC" w:rsidR="00D67A64" w:rsidRPr="008E63F2" w:rsidRDefault="00D67A64" w:rsidP="00D67A64">
            <w:pPr>
              <w:jc w:val="center"/>
              <w:rPr>
                <w:rFonts w:asciiTheme="minorHAnsi" w:hAnsiTheme="minorHAnsi" w:cstheme="minorHAnsi"/>
                <w:b/>
              </w:rPr>
            </w:pPr>
            <w:r w:rsidRPr="00D67A64">
              <w:rPr>
                <w:rFonts w:asciiTheme="minorHAnsi" w:hAnsiTheme="minorHAnsi" w:cstheme="minorHAnsi"/>
                <w:b/>
              </w:rPr>
              <w:t>2023-24</w:t>
            </w:r>
          </w:p>
        </w:tc>
        <w:tc>
          <w:tcPr>
            <w:tcW w:w="564" w:type="pct"/>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vAlign w:val="center"/>
          </w:tcPr>
          <w:p w14:paraId="2726E23F" w14:textId="662C3219" w:rsidR="00D67A64" w:rsidRPr="008E63F2" w:rsidRDefault="00D67A64" w:rsidP="00D67A64">
            <w:pPr>
              <w:jc w:val="center"/>
              <w:rPr>
                <w:rFonts w:asciiTheme="minorHAnsi" w:hAnsiTheme="minorHAnsi" w:cstheme="minorHAnsi"/>
                <w:b/>
              </w:rPr>
            </w:pPr>
            <w:r w:rsidRPr="00D67A64">
              <w:rPr>
                <w:rFonts w:asciiTheme="minorHAnsi" w:hAnsiTheme="minorHAnsi" w:cstheme="minorHAnsi"/>
                <w:b/>
              </w:rPr>
              <w:t>P0 (%)</w:t>
            </w:r>
          </w:p>
        </w:tc>
        <w:tc>
          <w:tcPr>
            <w:tcW w:w="564" w:type="pct"/>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vAlign w:val="center"/>
          </w:tcPr>
          <w:p w14:paraId="19C25DD6" w14:textId="488AE038" w:rsidR="00D67A64" w:rsidRPr="008E63F2" w:rsidRDefault="00D67A64" w:rsidP="00D67A64">
            <w:pPr>
              <w:jc w:val="center"/>
              <w:rPr>
                <w:rFonts w:asciiTheme="minorHAnsi" w:hAnsiTheme="minorHAnsi" w:cstheme="minorHAnsi"/>
                <w:b/>
              </w:rPr>
            </w:pPr>
            <w:r w:rsidRPr="00D67A64">
              <w:rPr>
                <w:rFonts w:asciiTheme="minorHAnsi" w:hAnsiTheme="minorHAnsi" w:cstheme="minorHAnsi"/>
                <w:b/>
              </w:rPr>
              <w:t>PPM Year 2</w:t>
            </w:r>
          </w:p>
        </w:tc>
        <w:tc>
          <w:tcPr>
            <w:tcW w:w="564" w:type="pct"/>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vAlign w:val="center"/>
          </w:tcPr>
          <w:p w14:paraId="50969124" w14:textId="12C896D8" w:rsidR="00D67A64" w:rsidRPr="008E63F2" w:rsidRDefault="00D67A64" w:rsidP="00D67A64">
            <w:pPr>
              <w:jc w:val="center"/>
              <w:rPr>
                <w:rFonts w:asciiTheme="minorHAnsi" w:hAnsiTheme="minorHAnsi" w:cstheme="minorHAnsi"/>
                <w:b/>
              </w:rPr>
            </w:pPr>
            <w:r w:rsidRPr="00D67A64">
              <w:rPr>
                <w:rFonts w:asciiTheme="minorHAnsi" w:hAnsiTheme="minorHAnsi" w:cstheme="minorHAnsi"/>
                <w:b/>
              </w:rPr>
              <w:t>PPM Year 3</w:t>
            </w:r>
          </w:p>
        </w:tc>
        <w:tc>
          <w:tcPr>
            <w:tcW w:w="564" w:type="pct"/>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vAlign w:val="center"/>
          </w:tcPr>
          <w:p w14:paraId="3B4AE6F9" w14:textId="344F8F6C" w:rsidR="00D67A64" w:rsidRPr="008E63F2" w:rsidRDefault="00D67A64" w:rsidP="00D67A64">
            <w:pPr>
              <w:jc w:val="center"/>
              <w:rPr>
                <w:rFonts w:asciiTheme="minorHAnsi" w:hAnsiTheme="minorHAnsi" w:cstheme="minorHAnsi"/>
                <w:b/>
              </w:rPr>
            </w:pPr>
            <w:r w:rsidRPr="00D67A64">
              <w:rPr>
                <w:rFonts w:asciiTheme="minorHAnsi" w:hAnsiTheme="minorHAnsi" w:cstheme="minorHAnsi"/>
                <w:b/>
              </w:rPr>
              <w:t>PPM Year 4</w:t>
            </w:r>
          </w:p>
        </w:tc>
        <w:tc>
          <w:tcPr>
            <w:tcW w:w="565" w:type="pct"/>
            <w:tcBorders>
              <w:top w:val="single" w:sz="4" w:space="0" w:color="002279"/>
              <w:left w:val="single" w:sz="4" w:space="0" w:color="FFFFFF" w:themeColor="background1"/>
              <w:bottom w:val="single" w:sz="2" w:space="0" w:color="002279"/>
              <w:right w:val="single" w:sz="4" w:space="0" w:color="002279"/>
            </w:tcBorders>
            <w:shd w:val="clear" w:color="auto" w:fill="002279"/>
            <w:vAlign w:val="center"/>
          </w:tcPr>
          <w:p w14:paraId="48353146" w14:textId="6B3DE97D" w:rsidR="00D67A64" w:rsidRPr="008E63F2" w:rsidRDefault="00D67A64" w:rsidP="00D67A64">
            <w:pPr>
              <w:jc w:val="center"/>
              <w:rPr>
                <w:rFonts w:asciiTheme="minorHAnsi" w:hAnsiTheme="minorHAnsi" w:cstheme="minorHAnsi"/>
                <w:b/>
              </w:rPr>
            </w:pPr>
            <w:r w:rsidRPr="00D67A64">
              <w:rPr>
                <w:rFonts w:asciiTheme="minorHAnsi" w:hAnsiTheme="minorHAnsi" w:cstheme="minorHAnsi"/>
                <w:b/>
              </w:rPr>
              <w:t>PPM Year 5</w:t>
            </w:r>
          </w:p>
        </w:tc>
      </w:tr>
      <w:tr w:rsidR="00F62DB2" w:rsidRPr="008E63F2" w14:paraId="457B16C9" w14:textId="49D62445" w:rsidTr="007F20E9">
        <w:trPr>
          <w:cnfStyle w:val="000000100000" w:firstRow="0" w:lastRow="0" w:firstColumn="0" w:lastColumn="0" w:oddVBand="0" w:evenVBand="0" w:oddHBand="1" w:evenHBand="0" w:firstRowFirstColumn="0" w:firstRowLastColumn="0" w:lastRowFirstColumn="0" w:lastRowLastColumn="0"/>
          <w:trHeight w:val="304"/>
        </w:trPr>
        <w:tc>
          <w:tcPr>
            <w:tcW w:w="919" w:type="pct"/>
            <w:tcBorders>
              <w:top w:val="single" w:sz="2" w:space="0" w:color="002279"/>
              <w:left w:val="single" w:sz="4" w:space="0" w:color="002279"/>
              <w:bottom w:val="single" w:sz="2" w:space="0" w:color="002279"/>
              <w:right w:val="single" w:sz="4" w:space="0" w:color="002279"/>
            </w:tcBorders>
            <w:shd w:val="clear" w:color="auto" w:fill="D4D6DF"/>
          </w:tcPr>
          <w:p w14:paraId="6101FA9A" w14:textId="2E414009" w:rsidR="00F62DB2" w:rsidRPr="008E63F2" w:rsidRDefault="00F62DB2" w:rsidP="00F62DB2">
            <w:pPr>
              <w:rPr>
                <w:rFonts w:cstheme="minorHAnsi"/>
              </w:rPr>
            </w:pPr>
            <w:r w:rsidRPr="002F0FEB">
              <w:t>Dry tapping - drinking water 20mm</w:t>
            </w:r>
          </w:p>
        </w:tc>
        <w:tc>
          <w:tcPr>
            <w:tcW w:w="629" w:type="pct"/>
            <w:tcBorders>
              <w:top w:val="single" w:sz="2" w:space="0" w:color="002279"/>
              <w:left w:val="single" w:sz="4" w:space="0" w:color="002279"/>
              <w:bottom w:val="single" w:sz="2" w:space="0" w:color="002279"/>
              <w:right w:val="single" w:sz="4" w:space="0" w:color="002279"/>
            </w:tcBorders>
            <w:shd w:val="clear" w:color="auto" w:fill="D4D6DF"/>
            <w:vAlign w:val="center"/>
          </w:tcPr>
          <w:p w14:paraId="23F7C1CF" w14:textId="18426673" w:rsidR="00F62DB2" w:rsidRPr="008E63F2" w:rsidRDefault="00F62DB2" w:rsidP="003566EA">
            <w:pPr>
              <w:jc w:val="center"/>
              <w:rPr>
                <w:rFonts w:cstheme="minorHAnsi"/>
              </w:rPr>
            </w:pPr>
            <w:r w:rsidRPr="002F0FEB">
              <w:t>$455.13</w:t>
            </w:r>
          </w:p>
        </w:tc>
        <w:tc>
          <w:tcPr>
            <w:tcW w:w="632" w:type="pct"/>
            <w:tcBorders>
              <w:top w:val="single" w:sz="2" w:space="0" w:color="002279"/>
              <w:left w:val="single" w:sz="4" w:space="0" w:color="002279"/>
              <w:bottom w:val="single" w:sz="2" w:space="0" w:color="002279"/>
              <w:right w:val="single" w:sz="4" w:space="0" w:color="002279"/>
            </w:tcBorders>
            <w:shd w:val="clear" w:color="auto" w:fill="D4D6DF"/>
            <w:vAlign w:val="center"/>
          </w:tcPr>
          <w:p w14:paraId="72D2F032" w14:textId="466100B3" w:rsidR="00F62DB2" w:rsidRPr="008E63F2" w:rsidRDefault="00F62DB2" w:rsidP="003566EA">
            <w:pPr>
              <w:jc w:val="center"/>
              <w:rPr>
                <w:rFonts w:cstheme="minorHAnsi"/>
              </w:rPr>
            </w:pPr>
            <w:r w:rsidRPr="002F0FEB">
              <w:t>$444.38</w:t>
            </w:r>
          </w:p>
        </w:tc>
        <w:tc>
          <w:tcPr>
            <w:tcW w:w="564" w:type="pct"/>
            <w:tcBorders>
              <w:top w:val="single" w:sz="2" w:space="0" w:color="002279"/>
              <w:left w:val="single" w:sz="4" w:space="0" w:color="002279"/>
              <w:bottom w:val="single" w:sz="2" w:space="0" w:color="002279"/>
              <w:right w:val="single" w:sz="4" w:space="0" w:color="002279"/>
            </w:tcBorders>
            <w:shd w:val="clear" w:color="auto" w:fill="D4D6DF"/>
            <w:vAlign w:val="center"/>
          </w:tcPr>
          <w:p w14:paraId="2155B1BE" w14:textId="1264B257" w:rsidR="00F62DB2" w:rsidRPr="008E63F2" w:rsidRDefault="00F62DB2" w:rsidP="003566EA">
            <w:pPr>
              <w:jc w:val="center"/>
              <w:rPr>
                <w:rFonts w:cstheme="minorHAnsi"/>
              </w:rPr>
            </w:pPr>
            <w:r w:rsidRPr="002F0FEB">
              <w:t>-2.36%</w:t>
            </w:r>
          </w:p>
        </w:tc>
        <w:tc>
          <w:tcPr>
            <w:tcW w:w="564" w:type="pct"/>
            <w:tcBorders>
              <w:top w:val="single" w:sz="2" w:space="0" w:color="002279"/>
              <w:left w:val="single" w:sz="4" w:space="0" w:color="002279"/>
              <w:bottom w:val="single" w:sz="2" w:space="0" w:color="002279"/>
              <w:right w:val="single" w:sz="4" w:space="0" w:color="002279"/>
            </w:tcBorders>
            <w:shd w:val="clear" w:color="auto" w:fill="D4D6DF"/>
            <w:vAlign w:val="center"/>
          </w:tcPr>
          <w:p w14:paraId="6F9077FF" w14:textId="3C1A68E1" w:rsidR="00F62DB2" w:rsidRPr="008E63F2" w:rsidRDefault="00F62DB2" w:rsidP="003566EA">
            <w:pPr>
              <w:jc w:val="center"/>
              <w:rPr>
                <w:rFonts w:cstheme="minorHAnsi"/>
                <w:color w:val="000000"/>
              </w:rPr>
            </w:pPr>
            <w:r w:rsidRPr="002F0FEB">
              <w:t>0.00%</w:t>
            </w:r>
          </w:p>
        </w:tc>
        <w:tc>
          <w:tcPr>
            <w:tcW w:w="564" w:type="pct"/>
            <w:tcBorders>
              <w:top w:val="single" w:sz="2" w:space="0" w:color="002279"/>
              <w:left w:val="single" w:sz="4" w:space="0" w:color="002279"/>
              <w:bottom w:val="single" w:sz="2" w:space="0" w:color="002279"/>
              <w:right w:val="single" w:sz="4" w:space="0" w:color="002279"/>
            </w:tcBorders>
            <w:shd w:val="clear" w:color="auto" w:fill="D4D6DF"/>
            <w:vAlign w:val="center"/>
          </w:tcPr>
          <w:p w14:paraId="145877C3" w14:textId="5C365F32" w:rsidR="00F62DB2" w:rsidRPr="008E63F2" w:rsidRDefault="00F62DB2" w:rsidP="003566EA">
            <w:pPr>
              <w:jc w:val="center"/>
              <w:rPr>
                <w:rFonts w:cstheme="minorHAnsi"/>
                <w:color w:val="000000"/>
              </w:rPr>
            </w:pPr>
            <w:r w:rsidRPr="002F0FEB">
              <w:t>-15.19%</w:t>
            </w:r>
          </w:p>
        </w:tc>
        <w:tc>
          <w:tcPr>
            <w:tcW w:w="564" w:type="pct"/>
            <w:tcBorders>
              <w:top w:val="single" w:sz="2" w:space="0" w:color="002279"/>
              <w:left w:val="single" w:sz="4" w:space="0" w:color="002279"/>
              <w:bottom w:val="single" w:sz="2" w:space="0" w:color="002279"/>
              <w:right w:val="single" w:sz="4" w:space="0" w:color="002279"/>
            </w:tcBorders>
            <w:shd w:val="clear" w:color="auto" w:fill="D4D6DF"/>
            <w:vAlign w:val="center"/>
          </w:tcPr>
          <w:p w14:paraId="20F72CB6" w14:textId="2CEEEABD" w:rsidR="00F62DB2" w:rsidRPr="008E63F2" w:rsidRDefault="00F62DB2" w:rsidP="003566EA">
            <w:pPr>
              <w:jc w:val="center"/>
              <w:rPr>
                <w:rFonts w:cstheme="minorHAnsi"/>
                <w:color w:val="000000"/>
              </w:rPr>
            </w:pPr>
            <w:r w:rsidRPr="002F0FEB">
              <w:t>0.00%</w:t>
            </w:r>
          </w:p>
        </w:tc>
        <w:tc>
          <w:tcPr>
            <w:tcW w:w="565" w:type="pct"/>
            <w:tcBorders>
              <w:top w:val="single" w:sz="2" w:space="0" w:color="002279"/>
              <w:left w:val="single" w:sz="4" w:space="0" w:color="002279"/>
              <w:bottom w:val="single" w:sz="2" w:space="0" w:color="002279"/>
              <w:right w:val="single" w:sz="4" w:space="0" w:color="002279"/>
            </w:tcBorders>
            <w:shd w:val="clear" w:color="auto" w:fill="D4D6DF"/>
            <w:vAlign w:val="center"/>
          </w:tcPr>
          <w:p w14:paraId="373A389E" w14:textId="64B02BE0" w:rsidR="00F62DB2" w:rsidRPr="008E63F2" w:rsidRDefault="00F62DB2" w:rsidP="003566EA">
            <w:pPr>
              <w:jc w:val="center"/>
              <w:rPr>
                <w:rFonts w:cstheme="minorHAnsi"/>
                <w:color w:val="000000"/>
              </w:rPr>
            </w:pPr>
            <w:r w:rsidRPr="002F0FEB">
              <w:t>0.00%</w:t>
            </w:r>
          </w:p>
        </w:tc>
      </w:tr>
      <w:tr w:rsidR="00F62DB2" w:rsidRPr="008E63F2" w14:paraId="02D83CB5" w14:textId="7E7A72E0" w:rsidTr="007F20E9">
        <w:trPr>
          <w:cnfStyle w:val="000000010000" w:firstRow="0" w:lastRow="0" w:firstColumn="0" w:lastColumn="0" w:oddVBand="0" w:evenVBand="0" w:oddHBand="0" w:evenHBand="1" w:firstRowFirstColumn="0" w:firstRowLastColumn="0" w:lastRowFirstColumn="0" w:lastRowLastColumn="0"/>
          <w:trHeight w:val="313"/>
        </w:trPr>
        <w:tc>
          <w:tcPr>
            <w:tcW w:w="919" w:type="pct"/>
            <w:tcBorders>
              <w:top w:val="single" w:sz="2" w:space="0" w:color="002279"/>
              <w:left w:val="single" w:sz="4" w:space="0" w:color="002279"/>
              <w:bottom w:val="single" w:sz="2" w:space="0" w:color="002279"/>
              <w:right w:val="single" w:sz="4" w:space="0" w:color="002279"/>
            </w:tcBorders>
            <w:shd w:val="clear" w:color="auto" w:fill="FFFFFF" w:themeFill="background1"/>
          </w:tcPr>
          <w:p w14:paraId="1E26009A" w14:textId="55901AB2" w:rsidR="00F62DB2" w:rsidRPr="008E63F2" w:rsidRDefault="00F62DB2" w:rsidP="00F62DB2">
            <w:pPr>
              <w:rPr>
                <w:rFonts w:cstheme="minorHAnsi"/>
              </w:rPr>
            </w:pPr>
            <w:r w:rsidRPr="002F0FEB">
              <w:t>Dry tapping - drinking &amp; Recycled 20mm (installed in the same visit)</w:t>
            </w:r>
          </w:p>
        </w:tc>
        <w:tc>
          <w:tcPr>
            <w:tcW w:w="629" w:type="pct"/>
            <w:tcBorders>
              <w:top w:val="single" w:sz="2" w:space="0" w:color="002279"/>
              <w:left w:val="single" w:sz="4" w:space="0" w:color="002279"/>
              <w:bottom w:val="single" w:sz="2" w:space="0" w:color="002279"/>
              <w:right w:val="single" w:sz="4" w:space="0" w:color="002279"/>
            </w:tcBorders>
            <w:shd w:val="clear" w:color="auto" w:fill="FFFFFF" w:themeFill="background1"/>
            <w:vAlign w:val="center"/>
          </w:tcPr>
          <w:p w14:paraId="32F1D6C8" w14:textId="145D1534" w:rsidR="00F62DB2" w:rsidRPr="008E63F2" w:rsidRDefault="00F62DB2" w:rsidP="003566EA">
            <w:pPr>
              <w:jc w:val="center"/>
              <w:rPr>
                <w:rFonts w:cstheme="minorHAnsi"/>
              </w:rPr>
            </w:pPr>
            <w:r w:rsidRPr="002F0FEB">
              <w:t>N/A</w:t>
            </w:r>
          </w:p>
        </w:tc>
        <w:tc>
          <w:tcPr>
            <w:tcW w:w="632" w:type="pct"/>
            <w:tcBorders>
              <w:top w:val="single" w:sz="2" w:space="0" w:color="002279"/>
              <w:left w:val="single" w:sz="4" w:space="0" w:color="002279"/>
              <w:bottom w:val="single" w:sz="2" w:space="0" w:color="002279"/>
              <w:right w:val="single" w:sz="4" w:space="0" w:color="002279"/>
            </w:tcBorders>
            <w:shd w:val="clear" w:color="auto" w:fill="FFFFFF" w:themeFill="background1"/>
            <w:vAlign w:val="center"/>
          </w:tcPr>
          <w:p w14:paraId="02C99166" w14:textId="52032D01" w:rsidR="00F62DB2" w:rsidRPr="008E63F2" w:rsidRDefault="00F62DB2" w:rsidP="003566EA">
            <w:pPr>
              <w:jc w:val="center"/>
              <w:rPr>
                <w:rFonts w:cstheme="minorHAnsi"/>
              </w:rPr>
            </w:pPr>
            <w:r w:rsidRPr="002F0FEB">
              <w:t>$866.25</w:t>
            </w:r>
          </w:p>
        </w:tc>
        <w:tc>
          <w:tcPr>
            <w:tcW w:w="564" w:type="pct"/>
            <w:tcBorders>
              <w:top w:val="single" w:sz="2" w:space="0" w:color="002279"/>
              <w:left w:val="single" w:sz="4" w:space="0" w:color="002279"/>
              <w:bottom w:val="single" w:sz="2" w:space="0" w:color="002279"/>
              <w:right w:val="single" w:sz="4" w:space="0" w:color="002279"/>
            </w:tcBorders>
            <w:shd w:val="clear" w:color="auto" w:fill="FFFFFF" w:themeFill="background1"/>
            <w:vAlign w:val="center"/>
          </w:tcPr>
          <w:p w14:paraId="09DBA843" w14:textId="5EE25348" w:rsidR="00F62DB2" w:rsidRPr="008E63F2" w:rsidRDefault="00F62DB2" w:rsidP="003566EA">
            <w:pPr>
              <w:jc w:val="center"/>
              <w:rPr>
                <w:rFonts w:cstheme="minorHAnsi"/>
              </w:rPr>
            </w:pPr>
            <w:r w:rsidRPr="002F0FEB">
              <w:t>N/A</w:t>
            </w:r>
          </w:p>
        </w:tc>
        <w:tc>
          <w:tcPr>
            <w:tcW w:w="564" w:type="pct"/>
            <w:tcBorders>
              <w:top w:val="single" w:sz="2" w:space="0" w:color="002279"/>
              <w:left w:val="single" w:sz="4" w:space="0" w:color="002279"/>
              <w:bottom w:val="single" w:sz="2" w:space="0" w:color="002279"/>
              <w:right w:val="single" w:sz="4" w:space="0" w:color="002279"/>
            </w:tcBorders>
            <w:shd w:val="clear" w:color="auto" w:fill="FFFFFF" w:themeFill="background1"/>
            <w:vAlign w:val="center"/>
          </w:tcPr>
          <w:p w14:paraId="4AD2BA47" w14:textId="2BA1DBC8" w:rsidR="00F62DB2" w:rsidRPr="008E63F2" w:rsidRDefault="00F62DB2" w:rsidP="003566EA">
            <w:pPr>
              <w:jc w:val="center"/>
              <w:rPr>
                <w:rFonts w:cstheme="minorHAnsi"/>
                <w:color w:val="000000"/>
              </w:rPr>
            </w:pPr>
            <w:r w:rsidRPr="002F0FEB">
              <w:t>0.00%</w:t>
            </w:r>
          </w:p>
        </w:tc>
        <w:tc>
          <w:tcPr>
            <w:tcW w:w="564" w:type="pct"/>
            <w:tcBorders>
              <w:top w:val="single" w:sz="2" w:space="0" w:color="002279"/>
              <w:left w:val="single" w:sz="4" w:space="0" w:color="002279"/>
              <w:bottom w:val="single" w:sz="2" w:space="0" w:color="002279"/>
              <w:right w:val="single" w:sz="4" w:space="0" w:color="002279"/>
            </w:tcBorders>
            <w:shd w:val="clear" w:color="auto" w:fill="FFFFFF" w:themeFill="background1"/>
            <w:vAlign w:val="center"/>
          </w:tcPr>
          <w:p w14:paraId="11411F83" w14:textId="7B794D56" w:rsidR="00F62DB2" w:rsidRPr="008E63F2" w:rsidRDefault="00F62DB2" w:rsidP="003566EA">
            <w:pPr>
              <w:jc w:val="center"/>
              <w:rPr>
                <w:rFonts w:cstheme="minorHAnsi"/>
                <w:color w:val="000000"/>
              </w:rPr>
            </w:pPr>
            <w:r w:rsidRPr="002F0FEB">
              <w:t>-22.73%</w:t>
            </w:r>
          </w:p>
        </w:tc>
        <w:tc>
          <w:tcPr>
            <w:tcW w:w="564" w:type="pct"/>
            <w:tcBorders>
              <w:top w:val="single" w:sz="2" w:space="0" w:color="002279"/>
              <w:left w:val="single" w:sz="4" w:space="0" w:color="002279"/>
              <w:bottom w:val="single" w:sz="2" w:space="0" w:color="002279"/>
              <w:right w:val="single" w:sz="4" w:space="0" w:color="002279"/>
            </w:tcBorders>
            <w:shd w:val="clear" w:color="auto" w:fill="FFFFFF" w:themeFill="background1"/>
            <w:vAlign w:val="center"/>
          </w:tcPr>
          <w:p w14:paraId="0A629419" w14:textId="7798D998" w:rsidR="00F62DB2" w:rsidRPr="008E63F2" w:rsidRDefault="00F62DB2" w:rsidP="003566EA">
            <w:pPr>
              <w:jc w:val="center"/>
              <w:rPr>
                <w:rFonts w:cstheme="minorHAnsi"/>
                <w:color w:val="000000"/>
              </w:rPr>
            </w:pPr>
            <w:r w:rsidRPr="002F0FEB">
              <w:t>0.00%</w:t>
            </w:r>
          </w:p>
        </w:tc>
        <w:tc>
          <w:tcPr>
            <w:tcW w:w="565" w:type="pct"/>
            <w:tcBorders>
              <w:top w:val="single" w:sz="2" w:space="0" w:color="002279"/>
              <w:left w:val="single" w:sz="4" w:space="0" w:color="002279"/>
              <w:bottom w:val="single" w:sz="2" w:space="0" w:color="002279"/>
              <w:right w:val="single" w:sz="4" w:space="0" w:color="002279"/>
            </w:tcBorders>
            <w:shd w:val="clear" w:color="auto" w:fill="FFFFFF" w:themeFill="background1"/>
            <w:vAlign w:val="center"/>
          </w:tcPr>
          <w:p w14:paraId="3A95EF97" w14:textId="3DE09813" w:rsidR="00F62DB2" w:rsidRPr="008E63F2" w:rsidRDefault="00F62DB2" w:rsidP="003566EA">
            <w:pPr>
              <w:jc w:val="center"/>
              <w:rPr>
                <w:rFonts w:cstheme="minorHAnsi"/>
                <w:color w:val="000000"/>
              </w:rPr>
            </w:pPr>
            <w:r w:rsidRPr="002F0FEB">
              <w:t>0.00%</w:t>
            </w:r>
          </w:p>
        </w:tc>
      </w:tr>
      <w:tr w:rsidR="00F62DB2" w:rsidRPr="008E63F2" w14:paraId="76C25906" w14:textId="77777777" w:rsidTr="007F20E9">
        <w:trPr>
          <w:cnfStyle w:val="000000100000" w:firstRow="0" w:lastRow="0" w:firstColumn="0" w:lastColumn="0" w:oddVBand="0" w:evenVBand="0" w:oddHBand="1" w:evenHBand="0" w:firstRowFirstColumn="0" w:firstRowLastColumn="0" w:lastRowFirstColumn="0" w:lastRowLastColumn="0"/>
          <w:trHeight w:val="304"/>
        </w:trPr>
        <w:tc>
          <w:tcPr>
            <w:tcW w:w="919" w:type="pct"/>
            <w:tcBorders>
              <w:top w:val="single" w:sz="2" w:space="0" w:color="002279"/>
              <w:left w:val="single" w:sz="4" w:space="0" w:color="002279"/>
              <w:bottom w:val="single" w:sz="2" w:space="0" w:color="002279"/>
              <w:right w:val="single" w:sz="4" w:space="0" w:color="002279"/>
            </w:tcBorders>
            <w:shd w:val="clear" w:color="auto" w:fill="D4D6DF"/>
          </w:tcPr>
          <w:p w14:paraId="1C4B5DC2" w14:textId="6C36F47B" w:rsidR="00F62DB2" w:rsidRPr="008E63F2" w:rsidRDefault="00F62DB2" w:rsidP="00F62DB2">
            <w:pPr>
              <w:rPr>
                <w:rFonts w:cstheme="minorHAnsi"/>
              </w:rPr>
            </w:pPr>
            <w:r w:rsidRPr="002F0FEB">
              <w:t>20mm digital meter (including installation)</w:t>
            </w:r>
          </w:p>
        </w:tc>
        <w:tc>
          <w:tcPr>
            <w:tcW w:w="629" w:type="pct"/>
            <w:tcBorders>
              <w:top w:val="single" w:sz="2" w:space="0" w:color="002279"/>
              <w:left w:val="single" w:sz="4" w:space="0" w:color="002279"/>
              <w:bottom w:val="single" w:sz="2" w:space="0" w:color="002279"/>
              <w:right w:val="single" w:sz="4" w:space="0" w:color="002279"/>
            </w:tcBorders>
            <w:shd w:val="clear" w:color="auto" w:fill="D4D6DF"/>
            <w:vAlign w:val="center"/>
          </w:tcPr>
          <w:p w14:paraId="1258A835" w14:textId="134DFBE3" w:rsidR="00F62DB2" w:rsidRPr="008E63F2" w:rsidRDefault="00F62DB2" w:rsidP="003566EA">
            <w:pPr>
              <w:jc w:val="center"/>
              <w:rPr>
                <w:rFonts w:cstheme="minorHAnsi"/>
              </w:rPr>
            </w:pPr>
            <w:r w:rsidRPr="002F0FEB">
              <w:t>N/A</w:t>
            </w:r>
          </w:p>
        </w:tc>
        <w:tc>
          <w:tcPr>
            <w:tcW w:w="632" w:type="pct"/>
            <w:tcBorders>
              <w:top w:val="single" w:sz="2" w:space="0" w:color="002279"/>
              <w:left w:val="single" w:sz="4" w:space="0" w:color="002279"/>
              <w:bottom w:val="single" w:sz="2" w:space="0" w:color="002279"/>
              <w:right w:val="single" w:sz="4" w:space="0" w:color="002279"/>
            </w:tcBorders>
            <w:shd w:val="clear" w:color="auto" w:fill="D4D6DF"/>
            <w:vAlign w:val="center"/>
          </w:tcPr>
          <w:p w14:paraId="6E39ACBA" w14:textId="31C4E7D7" w:rsidR="00F62DB2" w:rsidRPr="008E63F2" w:rsidRDefault="00F62DB2" w:rsidP="003566EA">
            <w:pPr>
              <w:jc w:val="center"/>
              <w:rPr>
                <w:rFonts w:cstheme="minorHAnsi"/>
              </w:rPr>
            </w:pPr>
            <w:r w:rsidRPr="002F0FEB">
              <w:t>$210.42</w:t>
            </w:r>
          </w:p>
        </w:tc>
        <w:tc>
          <w:tcPr>
            <w:tcW w:w="564" w:type="pct"/>
            <w:tcBorders>
              <w:top w:val="single" w:sz="2" w:space="0" w:color="002279"/>
              <w:left w:val="single" w:sz="4" w:space="0" w:color="002279"/>
              <w:bottom w:val="single" w:sz="2" w:space="0" w:color="002279"/>
              <w:right w:val="single" w:sz="4" w:space="0" w:color="002279"/>
            </w:tcBorders>
            <w:shd w:val="clear" w:color="auto" w:fill="D4D6DF"/>
            <w:vAlign w:val="center"/>
          </w:tcPr>
          <w:p w14:paraId="35A4539B" w14:textId="69FEFBAB" w:rsidR="00F62DB2" w:rsidRPr="008E63F2" w:rsidRDefault="00F62DB2" w:rsidP="003566EA">
            <w:pPr>
              <w:jc w:val="center"/>
              <w:rPr>
                <w:rFonts w:cstheme="minorHAnsi"/>
              </w:rPr>
            </w:pPr>
            <w:r w:rsidRPr="002F0FEB">
              <w:t>N/A</w:t>
            </w:r>
          </w:p>
        </w:tc>
        <w:tc>
          <w:tcPr>
            <w:tcW w:w="564" w:type="pct"/>
            <w:tcBorders>
              <w:top w:val="single" w:sz="2" w:space="0" w:color="002279"/>
              <w:left w:val="single" w:sz="4" w:space="0" w:color="002279"/>
              <w:bottom w:val="single" w:sz="2" w:space="0" w:color="002279"/>
              <w:right w:val="single" w:sz="4" w:space="0" w:color="002279"/>
            </w:tcBorders>
            <w:shd w:val="clear" w:color="auto" w:fill="D4D6DF"/>
            <w:vAlign w:val="center"/>
          </w:tcPr>
          <w:p w14:paraId="7C283AD8" w14:textId="7609C3C8" w:rsidR="00F62DB2" w:rsidRPr="008E63F2" w:rsidRDefault="00F62DB2" w:rsidP="003566EA">
            <w:pPr>
              <w:jc w:val="center"/>
              <w:rPr>
                <w:rFonts w:cstheme="minorHAnsi"/>
                <w:color w:val="000000"/>
              </w:rPr>
            </w:pPr>
            <w:r w:rsidRPr="002F0FEB">
              <w:t>0.00%</w:t>
            </w:r>
          </w:p>
        </w:tc>
        <w:tc>
          <w:tcPr>
            <w:tcW w:w="564" w:type="pct"/>
            <w:tcBorders>
              <w:top w:val="single" w:sz="2" w:space="0" w:color="002279"/>
              <w:left w:val="single" w:sz="4" w:space="0" w:color="002279"/>
              <w:bottom w:val="single" w:sz="2" w:space="0" w:color="002279"/>
              <w:right w:val="single" w:sz="4" w:space="0" w:color="002279"/>
            </w:tcBorders>
            <w:shd w:val="clear" w:color="auto" w:fill="D4D6DF"/>
            <w:vAlign w:val="center"/>
          </w:tcPr>
          <w:p w14:paraId="2E6672FF" w14:textId="6FA8C8BD" w:rsidR="00F62DB2" w:rsidRPr="008E63F2" w:rsidRDefault="00F62DB2" w:rsidP="003566EA">
            <w:pPr>
              <w:jc w:val="center"/>
              <w:rPr>
                <w:rFonts w:cstheme="minorHAnsi"/>
                <w:color w:val="000000"/>
              </w:rPr>
            </w:pPr>
            <w:r w:rsidRPr="002F0FEB">
              <w:t>0.00%</w:t>
            </w:r>
          </w:p>
        </w:tc>
        <w:tc>
          <w:tcPr>
            <w:tcW w:w="564" w:type="pct"/>
            <w:tcBorders>
              <w:top w:val="single" w:sz="2" w:space="0" w:color="002279"/>
              <w:left w:val="single" w:sz="4" w:space="0" w:color="002279"/>
              <w:bottom w:val="single" w:sz="2" w:space="0" w:color="002279"/>
              <w:right w:val="single" w:sz="4" w:space="0" w:color="002279"/>
            </w:tcBorders>
            <w:shd w:val="clear" w:color="auto" w:fill="D4D6DF"/>
            <w:vAlign w:val="center"/>
          </w:tcPr>
          <w:p w14:paraId="2B56644C" w14:textId="3929E8E1" w:rsidR="00F62DB2" w:rsidRPr="008E63F2" w:rsidRDefault="00F62DB2" w:rsidP="003566EA">
            <w:pPr>
              <w:jc w:val="center"/>
              <w:rPr>
                <w:rFonts w:cstheme="minorHAnsi"/>
                <w:color w:val="000000"/>
              </w:rPr>
            </w:pPr>
            <w:r w:rsidRPr="002F0FEB">
              <w:t>0.00%</w:t>
            </w:r>
          </w:p>
        </w:tc>
        <w:tc>
          <w:tcPr>
            <w:tcW w:w="565" w:type="pct"/>
            <w:tcBorders>
              <w:top w:val="single" w:sz="2" w:space="0" w:color="002279"/>
              <w:left w:val="single" w:sz="4" w:space="0" w:color="002279"/>
              <w:bottom w:val="single" w:sz="2" w:space="0" w:color="002279"/>
              <w:right w:val="single" w:sz="4" w:space="0" w:color="002279"/>
            </w:tcBorders>
            <w:shd w:val="clear" w:color="auto" w:fill="D4D6DF"/>
            <w:vAlign w:val="center"/>
          </w:tcPr>
          <w:p w14:paraId="2C529246" w14:textId="17D7E113" w:rsidR="00F62DB2" w:rsidRPr="008E63F2" w:rsidRDefault="00F62DB2" w:rsidP="003566EA">
            <w:pPr>
              <w:jc w:val="center"/>
              <w:rPr>
                <w:rFonts w:cstheme="minorHAnsi"/>
                <w:color w:val="000000"/>
              </w:rPr>
            </w:pPr>
            <w:r w:rsidRPr="002F0FEB">
              <w:t>0.00%</w:t>
            </w:r>
          </w:p>
        </w:tc>
      </w:tr>
      <w:tr w:rsidR="00F62DB2" w:rsidRPr="008E63F2" w14:paraId="2C59B531" w14:textId="77777777" w:rsidTr="007F20E9">
        <w:trPr>
          <w:cnfStyle w:val="000000010000" w:firstRow="0" w:lastRow="0" w:firstColumn="0" w:lastColumn="0" w:oddVBand="0" w:evenVBand="0" w:oddHBand="0" w:evenHBand="1" w:firstRowFirstColumn="0" w:firstRowLastColumn="0" w:lastRowFirstColumn="0" w:lastRowLastColumn="0"/>
          <w:trHeight w:val="313"/>
        </w:trPr>
        <w:tc>
          <w:tcPr>
            <w:tcW w:w="919" w:type="pct"/>
            <w:tcBorders>
              <w:top w:val="single" w:sz="2" w:space="0" w:color="002279"/>
              <w:left w:val="single" w:sz="4" w:space="0" w:color="002279"/>
              <w:bottom w:val="single" w:sz="2" w:space="0" w:color="002279"/>
              <w:right w:val="single" w:sz="4" w:space="0" w:color="002279"/>
            </w:tcBorders>
            <w:shd w:val="clear" w:color="auto" w:fill="FFFFFF" w:themeFill="background1"/>
          </w:tcPr>
          <w:p w14:paraId="6430080B" w14:textId="4FE24781" w:rsidR="00F62DB2" w:rsidRPr="008E63F2" w:rsidRDefault="00F62DB2" w:rsidP="00F62DB2">
            <w:pPr>
              <w:rPr>
                <w:rFonts w:cstheme="minorHAnsi"/>
              </w:rPr>
            </w:pPr>
            <w:r w:rsidRPr="002F0FEB">
              <w:t>20mm main to meter - short side</w:t>
            </w:r>
          </w:p>
        </w:tc>
        <w:tc>
          <w:tcPr>
            <w:tcW w:w="629" w:type="pct"/>
            <w:tcBorders>
              <w:top w:val="single" w:sz="2" w:space="0" w:color="002279"/>
              <w:left w:val="single" w:sz="4" w:space="0" w:color="002279"/>
              <w:bottom w:val="single" w:sz="2" w:space="0" w:color="002279"/>
              <w:right w:val="single" w:sz="4" w:space="0" w:color="002279"/>
            </w:tcBorders>
            <w:shd w:val="clear" w:color="auto" w:fill="FFFFFF" w:themeFill="background1"/>
            <w:vAlign w:val="center"/>
          </w:tcPr>
          <w:p w14:paraId="21B1679D" w14:textId="36DE0325" w:rsidR="00F62DB2" w:rsidRPr="008E63F2" w:rsidRDefault="00F62DB2" w:rsidP="003566EA">
            <w:pPr>
              <w:jc w:val="center"/>
              <w:rPr>
                <w:rFonts w:cstheme="minorHAnsi"/>
                <w:color w:val="000000"/>
                <w:kern w:val="24"/>
              </w:rPr>
            </w:pPr>
            <w:r w:rsidRPr="002F0FEB">
              <w:t>N/A</w:t>
            </w:r>
          </w:p>
        </w:tc>
        <w:tc>
          <w:tcPr>
            <w:tcW w:w="632" w:type="pct"/>
            <w:tcBorders>
              <w:top w:val="single" w:sz="2" w:space="0" w:color="002279"/>
              <w:left w:val="single" w:sz="4" w:space="0" w:color="002279"/>
              <w:bottom w:val="single" w:sz="2" w:space="0" w:color="002279"/>
              <w:right w:val="single" w:sz="4" w:space="0" w:color="002279"/>
            </w:tcBorders>
            <w:shd w:val="clear" w:color="auto" w:fill="FFFFFF" w:themeFill="background1"/>
            <w:vAlign w:val="center"/>
          </w:tcPr>
          <w:p w14:paraId="2DE0AECE" w14:textId="7E2B6FC4" w:rsidR="00F62DB2" w:rsidRPr="008E63F2" w:rsidRDefault="00F62DB2" w:rsidP="003566EA">
            <w:pPr>
              <w:jc w:val="center"/>
              <w:rPr>
                <w:rFonts w:cstheme="minorHAnsi"/>
              </w:rPr>
            </w:pPr>
            <w:r w:rsidRPr="002F0FEB">
              <w:t>$2,233.63</w:t>
            </w:r>
          </w:p>
        </w:tc>
        <w:tc>
          <w:tcPr>
            <w:tcW w:w="564" w:type="pct"/>
            <w:tcBorders>
              <w:top w:val="single" w:sz="2" w:space="0" w:color="002279"/>
              <w:left w:val="single" w:sz="4" w:space="0" w:color="002279"/>
              <w:bottom w:val="single" w:sz="2" w:space="0" w:color="002279"/>
              <w:right w:val="single" w:sz="4" w:space="0" w:color="002279"/>
            </w:tcBorders>
            <w:shd w:val="clear" w:color="auto" w:fill="FFFFFF" w:themeFill="background1"/>
            <w:vAlign w:val="center"/>
          </w:tcPr>
          <w:p w14:paraId="1F9ED43A" w14:textId="636B9D6C" w:rsidR="00F62DB2" w:rsidRPr="008E63F2" w:rsidRDefault="00F62DB2" w:rsidP="003566EA">
            <w:pPr>
              <w:jc w:val="center"/>
              <w:rPr>
                <w:rFonts w:cstheme="minorHAnsi"/>
              </w:rPr>
            </w:pPr>
            <w:r w:rsidRPr="002F0FEB">
              <w:t>N/A</w:t>
            </w:r>
          </w:p>
        </w:tc>
        <w:tc>
          <w:tcPr>
            <w:tcW w:w="564" w:type="pct"/>
            <w:tcBorders>
              <w:top w:val="single" w:sz="2" w:space="0" w:color="002279"/>
              <w:left w:val="single" w:sz="4" w:space="0" w:color="002279"/>
              <w:bottom w:val="single" w:sz="2" w:space="0" w:color="002279"/>
              <w:right w:val="single" w:sz="4" w:space="0" w:color="002279"/>
            </w:tcBorders>
            <w:shd w:val="clear" w:color="auto" w:fill="FFFFFF" w:themeFill="background1"/>
            <w:vAlign w:val="center"/>
          </w:tcPr>
          <w:p w14:paraId="2B40822C" w14:textId="328335BE" w:rsidR="00F62DB2" w:rsidRPr="008E63F2" w:rsidRDefault="00F62DB2" w:rsidP="003566EA">
            <w:pPr>
              <w:jc w:val="center"/>
              <w:rPr>
                <w:rFonts w:cstheme="minorHAnsi"/>
                <w:color w:val="000000"/>
              </w:rPr>
            </w:pPr>
            <w:r w:rsidRPr="002F0FEB">
              <w:t>0.00%</w:t>
            </w:r>
          </w:p>
        </w:tc>
        <w:tc>
          <w:tcPr>
            <w:tcW w:w="564" w:type="pct"/>
            <w:tcBorders>
              <w:top w:val="single" w:sz="2" w:space="0" w:color="002279"/>
              <w:left w:val="single" w:sz="4" w:space="0" w:color="002279"/>
              <w:bottom w:val="single" w:sz="2" w:space="0" w:color="002279"/>
              <w:right w:val="single" w:sz="4" w:space="0" w:color="002279"/>
            </w:tcBorders>
            <w:shd w:val="clear" w:color="auto" w:fill="FFFFFF" w:themeFill="background1"/>
            <w:vAlign w:val="center"/>
          </w:tcPr>
          <w:p w14:paraId="64CEA84D" w14:textId="6EB17703" w:rsidR="00F62DB2" w:rsidRPr="008E63F2" w:rsidRDefault="00F62DB2" w:rsidP="003566EA">
            <w:pPr>
              <w:jc w:val="center"/>
              <w:rPr>
                <w:rFonts w:cstheme="minorHAnsi"/>
              </w:rPr>
            </w:pPr>
            <w:r w:rsidRPr="002F0FEB">
              <w:t>0.00%</w:t>
            </w:r>
          </w:p>
        </w:tc>
        <w:tc>
          <w:tcPr>
            <w:tcW w:w="564" w:type="pct"/>
            <w:tcBorders>
              <w:top w:val="single" w:sz="2" w:space="0" w:color="002279"/>
              <w:left w:val="single" w:sz="4" w:space="0" w:color="002279"/>
              <w:bottom w:val="single" w:sz="2" w:space="0" w:color="002279"/>
              <w:right w:val="single" w:sz="4" w:space="0" w:color="002279"/>
            </w:tcBorders>
            <w:shd w:val="clear" w:color="auto" w:fill="FFFFFF" w:themeFill="background1"/>
            <w:vAlign w:val="center"/>
          </w:tcPr>
          <w:p w14:paraId="671B7567" w14:textId="292FA8C0" w:rsidR="00F62DB2" w:rsidRPr="008E63F2" w:rsidRDefault="00F62DB2" w:rsidP="003566EA">
            <w:pPr>
              <w:jc w:val="center"/>
              <w:rPr>
                <w:rFonts w:cstheme="minorHAnsi"/>
                <w:color w:val="000000"/>
              </w:rPr>
            </w:pPr>
            <w:r w:rsidRPr="002F0FEB">
              <w:t>0.00%</w:t>
            </w:r>
          </w:p>
        </w:tc>
        <w:tc>
          <w:tcPr>
            <w:tcW w:w="565" w:type="pct"/>
            <w:tcBorders>
              <w:top w:val="single" w:sz="2" w:space="0" w:color="002279"/>
              <w:left w:val="single" w:sz="4" w:space="0" w:color="002279"/>
              <w:bottom w:val="single" w:sz="2" w:space="0" w:color="002279"/>
              <w:right w:val="single" w:sz="4" w:space="0" w:color="002279"/>
            </w:tcBorders>
            <w:shd w:val="clear" w:color="auto" w:fill="FFFFFF" w:themeFill="background1"/>
            <w:vAlign w:val="center"/>
          </w:tcPr>
          <w:p w14:paraId="2373CBAF" w14:textId="24698E91" w:rsidR="00F62DB2" w:rsidRPr="008E63F2" w:rsidRDefault="00F62DB2" w:rsidP="003566EA">
            <w:pPr>
              <w:jc w:val="center"/>
              <w:rPr>
                <w:rFonts w:cstheme="minorHAnsi"/>
                <w:color w:val="000000"/>
              </w:rPr>
            </w:pPr>
            <w:r w:rsidRPr="002F0FEB">
              <w:t>0.00%</w:t>
            </w:r>
          </w:p>
        </w:tc>
      </w:tr>
      <w:tr w:rsidR="00F62DB2" w:rsidRPr="008E63F2" w14:paraId="16A11B03" w14:textId="77777777" w:rsidTr="007F20E9">
        <w:trPr>
          <w:cnfStyle w:val="000000100000" w:firstRow="0" w:lastRow="0" w:firstColumn="0" w:lastColumn="0" w:oddVBand="0" w:evenVBand="0" w:oddHBand="1" w:evenHBand="0" w:firstRowFirstColumn="0" w:firstRowLastColumn="0" w:lastRowFirstColumn="0" w:lastRowLastColumn="0"/>
          <w:trHeight w:val="304"/>
        </w:trPr>
        <w:tc>
          <w:tcPr>
            <w:tcW w:w="919" w:type="pct"/>
            <w:tcBorders>
              <w:top w:val="single" w:sz="2" w:space="0" w:color="002279"/>
              <w:left w:val="single" w:sz="4" w:space="0" w:color="002279"/>
              <w:bottom w:val="single" w:sz="2" w:space="0" w:color="002279"/>
              <w:right w:val="single" w:sz="4" w:space="0" w:color="002279"/>
            </w:tcBorders>
            <w:shd w:val="clear" w:color="auto" w:fill="D4D6DF"/>
          </w:tcPr>
          <w:p w14:paraId="23954548" w14:textId="008F08BA" w:rsidR="00F62DB2" w:rsidRPr="008E63F2" w:rsidRDefault="00F62DB2" w:rsidP="00F62DB2">
            <w:pPr>
              <w:rPr>
                <w:rFonts w:cstheme="minorHAnsi"/>
              </w:rPr>
            </w:pPr>
            <w:r w:rsidRPr="002F0FEB">
              <w:t>Information Statements - Electronic / Manual lodgement</w:t>
            </w:r>
          </w:p>
        </w:tc>
        <w:tc>
          <w:tcPr>
            <w:tcW w:w="629" w:type="pct"/>
            <w:tcBorders>
              <w:top w:val="single" w:sz="2" w:space="0" w:color="002279"/>
              <w:left w:val="single" w:sz="4" w:space="0" w:color="002279"/>
              <w:bottom w:val="single" w:sz="2" w:space="0" w:color="002279"/>
              <w:right w:val="single" w:sz="4" w:space="0" w:color="002279"/>
            </w:tcBorders>
            <w:shd w:val="clear" w:color="auto" w:fill="D4D6DF"/>
            <w:vAlign w:val="center"/>
          </w:tcPr>
          <w:p w14:paraId="308F9BF8" w14:textId="0A4E75F4" w:rsidR="00F62DB2" w:rsidRPr="008E63F2" w:rsidRDefault="00F62DB2" w:rsidP="003566EA">
            <w:pPr>
              <w:jc w:val="center"/>
              <w:rPr>
                <w:rFonts w:cstheme="minorHAnsi"/>
              </w:rPr>
            </w:pPr>
            <w:r w:rsidRPr="002F0FEB">
              <w:t>$34.77</w:t>
            </w:r>
          </w:p>
        </w:tc>
        <w:tc>
          <w:tcPr>
            <w:tcW w:w="632" w:type="pct"/>
            <w:tcBorders>
              <w:top w:val="single" w:sz="2" w:space="0" w:color="002279"/>
              <w:left w:val="single" w:sz="4" w:space="0" w:color="002279"/>
              <w:bottom w:val="single" w:sz="2" w:space="0" w:color="002279"/>
              <w:right w:val="single" w:sz="4" w:space="0" w:color="002279"/>
            </w:tcBorders>
            <w:shd w:val="clear" w:color="auto" w:fill="D4D6DF"/>
            <w:vAlign w:val="center"/>
          </w:tcPr>
          <w:p w14:paraId="105F5782" w14:textId="7F0FD5D3" w:rsidR="00F62DB2" w:rsidRPr="008E63F2" w:rsidRDefault="00F62DB2" w:rsidP="003566EA">
            <w:pPr>
              <w:jc w:val="center"/>
              <w:rPr>
                <w:rFonts w:cstheme="minorHAnsi"/>
              </w:rPr>
            </w:pPr>
            <w:r w:rsidRPr="002F0FEB">
              <w:t>$27.70</w:t>
            </w:r>
          </w:p>
        </w:tc>
        <w:tc>
          <w:tcPr>
            <w:tcW w:w="564" w:type="pct"/>
            <w:tcBorders>
              <w:top w:val="single" w:sz="2" w:space="0" w:color="002279"/>
              <w:left w:val="single" w:sz="4" w:space="0" w:color="002279"/>
              <w:bottom w:val="single" w:sz="2" w:space="0" w:color="002279"/>
              <w:right w:val="single" w:sz="4" w:space="0" w:color="002279"/>
            </w:tcBorders>
            <w:shd w:val="clear" w:color="auto" w:fill="D4D6DF"/>
            <w:vAlign w:val="center"/>
          </w:tcPr>
          <w:p w14:paraId="34ACC49C" w14:textId="1D8AF03C" w:rsidR="00F62DB2" w:rsidRPr="008E63F2" w:rsidRDefault="00F62DB2" w:rsidP="003566EA">
            <w:pPr>
              <w:jc w:val="center"/>
              <w:rPr>
                <w:rFonts w:cstheme="minorHAnsi"/>
              </w:rPr>
            </w:pPr>
            <w:r w:rsidRPr="002F0FEB">
              <w:t>-20.34%</w:t>
            </w:r>
          </w:p>
        </w:tc>
        <w:tc>
          <w:tcPr>
            <w:tcW w:w="564" w:type="pct"/>
            <w:tcBorders>
              <w:top w:val="single" w:sz="2" w:space="0" w:color="002279"/>
              <w:left w:val="single" w:sz="4" w:space="0" w:color="002279"/>
              <w:bottom w:val="single" w:sz="2" w:space="0" w:color="002279"/>
              <w:right w:val="single" w:sz="4" w:space="0" w:color="002279"/>
            </w:tcBorders>
            <w:shd w:val="clear" w:color="auto" w:fill="D4D6DF"/>
            <w:vAlign w:val="center"/>
          </w:tcPr>
          <w:p w14:paraId="62FF58DB" w14:textId="762EF14E" w:rsidR="00F62DB2" w:rsidRPr="008E63F2" w:rsidRDefault="00F62DB2" w:rsidP="003566EA">
            <w:pPr>
              <w:jc w:val="center"/>
              <w:rPr>
                <w:rFonts w:cstheme="minorHAnsi"/>
                <w:color w:val="000000"/>
              </w:rPr>
            </w:pPr>
            <w:r w:rsidRPr="002F0FEB">
              <w:t>0.00%</w:t>
            </w:r>
          </w:p>
        </w:tc>
        <w:tc>
          <w:tcPr>
            <w:tcW w:w="564" w:type="pct"/>
            <w:tcBorders>
              <w:top w:val="single" w:sz="2" w:space="0" w:color="002279"/>
              <w:left w:val="single" w:sz="4" w:space="0" w:color="002279"/>
              <w:bottom w:val="single" w:sz="2" w:space="0" w:color="002279"/>
              <w:right w:val="single" w:sz="4" w:space="0" w:color="002279"/>
            </w:tcBorders>
            <w:shd w:val="clear" w:color="auto" w:fill="D4D6DF"/>
            <w:vAlign w:val="center"/>
          </w:tcPr>
          <w:p w14:paraId="7900AEA2" w14:textId="01EC306E" w:rsidR="00F62DB2" w:rsidRPr="008E63F2" w:rsidRDefault="00F62DB2" w:rsidP="003566EA">
            <w:pPr>
              <w:jc w:val="center"/>
              <w:rPr>
                <w:rFonts w:cstheme="minorHAnsi"/>
                <w:color w:val="000000"/>
              </w:rPr>
            </w:pPr>
            <w:r w:rsidRPr="002F0FEB">
              <w:t>0.00%</w:t>
            </w:r>
          </w:p>
        </w:tc>
        <w:tc>
          <w:tcPr>
            <w:tcW w:w="564" w:type="pct"/>
            <w:tcBorders>
              <w:top w:val="single" w:sz="2" w:space="0" w:color="002279"/>
              <w:left w:val="single" w:sz="4" w:space="0" w:color="002279"/>
              <w:bottom w:val="single" w:sz="2" w:space="0" w:color="002279"/>
              <w:right w:val="single" w:sz="4" w:space="0" w:color="002279"/>
            </w:tcBorders>
            <w:shd w:val="clear" w:color="auto" w:fill="D4D6DF"/>
            <w:vAlign w:val="center"/>
          </w:tcPr>
          <w:p w14:paraId="2A387E54" w14:textId="5D0A9F6F" w:rsidR="00F62DB2" w:rsidRPr="008E63F2" w:rsidRDefault="00F62DB2" w:rsidP="003566EA">
            <w:pPr>
              <w:jc w:val="center"/>
              <w:rPr>
                <w:rFonts w:cstheme="minorHAnsi"/>
                <w:color w:val="000000"/>
              </w:rPr>
            </w:pPr>
            <w:r w:rsidRPr="002F0FEB">
              <w:t>0.00%</w:t>
            </w:r>
          </w:p>
        </w:tc>
        <w:tc>
          <w:tcPr>
            <w:tcW w:w="565" w:type="pct"/>
            <w:tcBorders>
              <w:top w:val="single" w:sz="2" w:space="0" w:color="002279"/>
              <w:left w:val="single" w:sz="4" w:space="0" w:color="002279"/>
              <w:bottom w:val="single" w:sz="2" w:space="0" w:color="002279"/>
              <w:right w:val="single" w:sz="4" w:space="0" w:color="002279"/>
            </w:tcBorders>
            <w:shd w:val="clear" w:color="auto" w:fill="D4D6DF"/>
            <w:vAlign w:val="center"/>
          </w:tcPr>
          <w:p w14:paraId="5453318F" w14:textId="7B935D5C" w:rsidR="00F62DB2" w:rsidRPr="008E63F2" w:rsidRDefault="00F62DB2" w:rsidP="003566EA">
            <w:pPr>
              <w:jc w:val="center"/>
              <w:rPr>
                <w:rFonts w:cstheme="minorHAnsi"/>
                <w:color w:val="000000"/>
              </w:rPr>
            </w:pPr>
            <w:r w:rsidRPr="002F0FEB">
              <w:t>0.00%</w:t>
            </w:r>
          </w:p>
        </w:tc>
      </w:tr>
      <w:tr w:rsidR="00F62DB2" w:rsidRPr="008E63F2" w14:paraId="7E1D8105" w14:textId="77777777" w:rsidTr="007F20E9">
        <w:trPr>
          <w:cnfStyle w:val="000000010000" w:firstRow="0" w:lastRow="0" w:firstColumn="0" w:lastColumn="0" w:oddVBand="0" w:evenVBand="0" w:oddHBand="0" w:evenHBand="1" w:firstRowFirstColumn="0" w:firstRowLastColumn="0" w:lastRowFirstColumn="0" w:lastRowLastColumn="0"/>
          <w:trHeight w:val="313"/>
        </w:trPr>
        <w:tc>
          <w:tcPr>
            <w:tcW w:w="919" w:type="pct"/>
            <w:tcBorders>
              <w:top w:val="single" w:sz="2" w:space="0" w:color="002279"/>
              <w:left w:val="single" w:sz="4" w:space="0" w:color="002279"/>
              <w:bottom w:val="single" w:sz="2" w:space="0" w:color="002279"/>
              <w:right w:val="single" w:sz="4" w:space="0" w:color="002279"/>
            </w:tcBorders>
            <w:shd w:val="clear" w:color="auto" w:fill="FFFFFF" w:themeFill="background1"/>
          </w:tcPr>
          <w:p w14:paraId="0888F09F" w14:textId="5F7182D0" w:rsidR="00F62DB2" w:rsidRPr="008E63F2" w:rsidRDefault="00F62DB2" w:rsidP="00F62DB2">
            <w:pPr>
              <w:rPr>
                <w:rFonts w:cstheme="minorHAnsi"/>
              </w:rPr>
            </w:pPr>
            <w:r w:rsidRPr="002F0FEB">
              <w:t>Single residential recycled water plumbing inspection fee</w:t>
            </w:r>
          </w:p>
        </w:tc>
        <w:tc>
          <w:tcPr>
            <w:tcW w:w="629" w:type="pct"/>
            <w:tcBorders>
              <w:top w:val="single" w:sz="2" w:space="0" w:color="002279"/>
              <w:left w:val="single" w:sz="4" w:space="0" w:color="002279"/>
              <w:bottom w:val="single" w:sz="2" w:space="0" w:color="002279"/>
              <w:right w:val="single" w:sz="4" w:space="0" w:color="002279"/>
            </w:tcBorders>
            <w:shd w:val="clear" w:color="auto" w:fill="FFFFFF" w:themeFill="background1"/>
            <w:vAlign w:val="center"/>
          </w:tcPr>
          <w:p w14:paraId="0883B2BF" w14:textId="20B45116" w:rsidR="00F62DB2" w:rsidRPr="008E63F2" w:rsidRDefault="00F62DB2" w:rsidP="003566EA">
            <w:pPr>
              <w:jc w:val="center"/>
              <w:rPr>
                <w:rFonts w:cstheme="minorHAnsi"/>
                <w:color w:val="000000"/>
                <w:kern w:val="24"/>
              </w:rPr>
            </w:pPr>
            <w:r w:rsidRPr="002F0FEB">
              <w:t>$375.14</w:t>
            </w:r>
          </w:p>
        </w:tc>
        <w:tc>
          <w:tcPr>
            <w:tcW w:w="632" w:type="pct"/>
            <w:tcBorders>
              <w:top w:val="single" w:sz="2" w:space="0" w:color="002279"/>
              <w:left w:val="single" w:sz="4" w:space="0" w:color="002279"/>
              <w:bottom w:val="single" w:sz="2" w:space="0" w:color="002279"/>
              <w:right w:val="single" w:sz="4" w:space="0" w:color="002279"/>
            </w:tcBorders>
            <w:shd w:val="clear" w:color="auto" w:fill="FFFFFF" w:themeFill="background1"/>
            <w:vAlign w:val="center"/>
          </w:tcPr>
          <w:p w14:paraId="3F6CF898" w14:textId="40978592" w:rsidR="00F62DB2" w:rsidRPr="008E63F2" w:rsidRDefault="00F62DB2" w:rsidP="003566EA">
            <w:pPr>
              <w:jc w:val="center"/>
              <w:rPr>
                <w:rFonts w:cstheme="minorHAnsi"/>
              </w:rPr>
            </w:pPr>
            <w:r w:rsidRPr="002F0FEB">
              <w:t>$377.12</w:t>
            </w:r>
          </w:p>
        </w:tc>
        <w:tc>
          <w:tcPr>
            <w:tcW w:w="564" w:type="pct"/>
            <w:tcBorders>
              <w:top w:val="single" w:sz="2" w:space="0" w:color="002279"/>
              <w:left w:val="single" w:sz="4" w:space="0" w:color="002279"/>
              <w:bottom w:val="single" w:sz="2" w:space="0" w:color="002279"/>
              <w:right w:val="single" w:sz="4" w:space="0" w:color="002279"/>
            </w:tcBorders>
            <w:shd w:val="clear" w:color="auto" w:fill="FFFFFF" w:themeFill="background1"/>
            <w:vAlign w:val="center"/>
          </w:tcPr>
          <w:p w14:paraId="5289A354" w14:textId="0FEBFDF2" w:rsidR="00F62DB2" w:rsidRPr="008E63F2" w:rsidRDefault="00F62DB2" w:rsidP="003566EA">
            <w:pPr>
              <w:jc w:val="center"/>
              <w:rPr>
                <w:rFonts w:cstheme="minorHAnsi"/>
              </w:rPr>
            </w:pPr>
            <w:r w:rsidRPr="002F0FEB">
              <w:t>0.53%</w:t>
            </w:r>
          </w:p>
        </w:tc>
        <w:tc>
          <w:tcPr>
            <w:tcW w:w="564" w:type="pct"/>
            <w:tcBorders>
              <w:top w:val="single" w:sz="2" w:space="0" w:color="002279"/>
              <w:left w:val="single" w:sz="4" w:space="0" w:color="002279"/>
              <w:bottom w:val="single" w:sz="2" w:space="0" w:color="002279"/>
              <w:right w:val="single" w:sz="4" w:space="0" w:color="002279"/>
            </w:tcBorders>
            <w:shd w:val="clear" w:color="auto" w:fill="FFFFFF" w:themeFill="background1"/>
            <w:vAlign w:val="center"/>
          </w:tcPr>
          <w:p w14:paraId="054BABA1" w14:textId="6B79E076" w:rsidR="00F62DB2" w:rsidRPr="008E63F2" w:rsidRDefault="00F62DB2" w:rsidP="003566EA">
            <w:pPr>
              <w:jc w:val="center"/>
              <w:rPr>
                <w:rFonts w:cstheme="minorHAnsi"/>
                <w:color w:val="000000"/>
              </w:rPr>
            </w:pPr>
            <w:r w:rsidRPr="002F0FEB">
              <w:t>0.00%</w:t>
            </w:r>
          </w:p>
        </w:tc>
        <w:tc>
          <w:tcPr>
            <w:tcW w:w="564" w:type="pct"/>
            <w:tcBorders>
              <w:top w:val="single" w:sz="2" w:space="0" w:color="002279"/>
              <w:left w:val="single" w:sz="4" w:space="0" w:color="002279"/>
              <w:bottom w:val="single" w:sz="2" w:space="0" w:color="002279"/>
              <w:right w:val="single" w:sz="4" w:space="0" w:color="002279"/>
            </w:tcBorders>
            <w:shd w:val="clear" w:color="auto" w:fill="FFFFFF" w:themeFill="background1"/>
            <w:vAlign w:val="center"/>
          </w:tcPr>
          <w:p w14:paraId="4303F85C" w14:textId="3DA50DDF" w:rsidR="00F62DB2" w:rsidRPr="008E63F2" w:rsidRDefault="00F62DB2" w:rsidP="003566EA">
            <w:pPr>
              <w:jc w:val="center"/>
              <w:rPr>
                <w:rFonts w:cstheme="minorHAnsi"/>
              </w:rPr>
            </w:pPr>
            <w:r w:rsidRPr="002F0FEB">
              <w:t>0.00%</w:t>
            </w:r>
          </w:p>
        </w:tc>
        <w:tc>
          <w:tcPr>
            <w:tcW w:w="564" w:type="pct"/>
            <w:tcBorders>
              <w:top w:val="single" w:sz="2" w:space="0" w:color="002279"/>
              <w:left w:val="single" w:sz="4" w:space="0" w:color="002279"/>
              <w:bottom w:val="single" w:sz="2" w:space="0" w:color="002279"/>
              <w:right w:val="single" w:sz="4" w:space="0" w:color="002279"/>
            </w:tcBorders>
            <w:shd w:val="clear" w:color="auto" w:fill="FFFFFF" w:themeFill="background1"/>
            <w:vAlign w:val="center"/>
          </w:tcPr>
          <w:p w14:paraId="0A5BB618" w14:textId="0011F95C" w:rsidR="00F62DB2" w:rsidRPr="008E63F2" w:rsidRDefault="00F62DB2" w:rsidP="003566EA">
            <w:pPr>
              <w:jc w:val="center"/>
              <w:rPr>
                <w:rFonts w:cstheme="minorHAnsi"/>
                <w:color w:val="000000"/>
              </w:rPr>
            </w:pPr>
            <w:r w:rsidRPr="002F0FEB">
              <w:t>0.00%</w:t>
            </w:r>
          </w:p>
        </w:tc>
        <w:tc>
          <w:tcPr>
            <w:tcW w:w="565" w:type="pct"/>
            <w:tcBorders>
              <w:top w:val="single" w:sz="2" w:space="0" w:color="002279"/>
              <w:left w:val="single" w:sz="4" w:space="0" w:color="002279"/>
              <w:bottom w:val="single" w:sz="2" w:space="0" w:color="002279"/>
              <w:right w:val="single" w:sz="4" w:space="0" w:color="002279"/>
            </w:tcBorders>
            <w:shd w:val="clear" w:color="auto" w:fill="FFFFFF" w:themeFill="background1"/>
            <w:vAlign w:val="center"/>
          </w:tcPr>
          <w:p w14:paraId="7B6573EF" w14:textId="4C97EDA0" w:rsidR="00F62DB2" w:rsidRPr="008E63F2" w:rsidRDefault="00F62DB2" w:rsidP="003566EA">
            <w:pPr>
              <w:jc w:val="center"/>
              <w:rPr>
                <w:rFonts w:cstheme="minorHAnsi"/>
                <w:color w:val="000000"/>
              </w:rPr>
            </w:pPr>
            <w:r w:rsidRPr="002F0FEB">
              <w:t>0.00%</w:t>
            </w:r>
          </w:p>
        </w:tc>
      </w:tr>
      <w:tr w:rsidR="00F62DB2" w:rsidRPr="008E63F2" w14:paraId="33358671" w14:textId="77777777" w:rsidTr="007F20E9">
        <w:trPr>
          <w:cnfStyle w:val="000000100000" w:firstRow="0" w:lastRow="0" w:firstColumn="0" w:lastColumn="0" w:oddVBand="0" w:evenVBand="0" w:oddHBand="1" w:evenHBand="0" w:firstRowFirstColumn="0" w:firstRowLastColumn="0" w:lastRowFirstColumn="0" w:lastRowLastColumn="0"/>
          <w:trHeight w:val="304"/>
        </w:trPr>
        <w:tc>
          <w:tcPr>
            <w:tcW w:w="919" w:type="pct"/>
            <w:tcBorders>
              <w:top w:val="single" w:sz="2" w:space="0" w:color="002279"/>
              <w:left w:val="single" w:sz="4" w:space="0" w:color="002279"/>
              <w:bottom w:val="single" w:sz="2" w:space="0" w:color="002279"/>
              <w:right w:val="single" w:sz="4" w:space="0" w:color="002279"/>
            </w:tcBorders>
            <w:shd w:val="clear" w:color="auto" w:fill="D4D6DF"/>
          </w:tcPr>
          <w:p w14:paraId="313F047E" w14:textId="7B83FD99" w:rsidR="00F62DB2" w:rsidRPr="008E63F2" w:rsidRDefault="00F62DB2" w:rsidP="00F62DB2">
            <w:pPr>
              <w:rPr>
                <w:rFonts w:cstheme="minorHAnsi"/>
              </w:rPr>
            </w:pPr>
            <w:r w:rsidRPr="002F0FEB">
              <w:lastRenderedPageBreak/>
              <w:t>20mm main to meter - long side</w:t>
            </w:r>
          </w:p>
        </w:tc>
        <w:tc>
          <w:tcPr>
            <w:tcW w:w="629" w:type="pct"/>
            <w:tcBorders>
              <w:top w:val="single" w:sz="2" w:space="0" w:color="002279"/>
              <w:left w:val="single" w:sz="4" w:space="0" w:color="002279"/>
              <w:bottom w:val="single" w:sz="2" w:space="0" w:color="002279"/>
              <w:right w:val="single" w:sz="4" w:space="0" w:color="002279"/>
            </w:tcBorders>
            <w:shd w:val="clear" w:color="auto" w:fill="D4D6DF"/>
            <w:vAlign w:val="center"/>
          </w:tcPr>
          <w:p w14:paraId="599C3262" w14:textId="11A4C255" w:rsidR="00F62DB2" w:rsidRPr="008E63F2" w:rsidRDefault="00F62DB2" w:rsidP="003566EA">
            <w:pPr>
              <w:jc w:val="center"/>
              <w:rPr>
                <w:rFonts w:cstheme="minorHAnsi"/>
              </w:rPr>
            </w:pPr>
            <w:r w:rsidRPr="002F0FEB">
              <w:t>N/A</w:t>
            </w:r>
          </w:p>
        </w:tc>
        <w:tc>
          <w:tcPr>
            <w:tcW w:w="632" w:type="pct"/>
            <w:tcBorders>
              <w:top w:val="single" w:sz="2" w:space="0" w:color="002279"/>
              <w:left w:val="single" w:sz="4" w:space="0" w:color="002279"/>
              <w:bottom w:val="single" w:sz="2" w:space="0" w:color="002279"/>
              <w:right w:val="single" w:sz="4" w:space="0" w:color="002279"/>
            </w:tcBorders>
            <w:shd w:val="clear" w:color="auto" w:fill="D4D6DF"/>
            <w:vAlign w:val="center"/>
          </w:tcPr>
          <w:p w14:paraId="5845C6EC" w14:textId="78BFF225" w:rsidR="00F62DB2" w:rsidRPr="008E63F2" w:rsidRDefault="00F62DB2" w:rsidP="003566EA">
            <w:pPr>
              <w:jc w:val="center"/>
              <w:rPr>
                <w:rFonts w:cstheme="minorHAnsi"/>
              </w:rPr>
            </w:pPr>
            <w:r w:rsidRPr="002F0FEB">
              <w:t>$3,049.37</w:t>
            </w:r>
          </w:p>
        </w:tc>
        <w:tc>
          <w:tcPr>
            <w:tcW w:w="564" w:type="pct"/>
            <w:tcBorders>
              <w:top w:val="single" w:sz="2" w:space="0" w:color="002279"/>
              <w:left w:val="single" w:sz="4" w:space="0" w:color="002279"/>
              <w:bottom w:val="single" w:sz="2" w:space="0" w:color="002279"/>
              <w:right w:val="single" w:sz="4" w:space="0" w:color="002279"/>
            </w:tcBorders>
            <w:shd w:val="clear" w:color="auto" w:fill="D4D6DF"/>
            <w:vAlign w:val="center"/>
          </w:tcPr>
          <w:p w14:paraId="07ED261A" w14:textId="76B96947" w:rsidR="00F62DB2" w:rsidRPr="008E63F2" w:rsidRDefault="00F62DB2" w:rsidP="003566EA">
            <w:pPr>
              <w:jc w:val="center"/>
              <w:rPr>
                <w:rFonts w:cstheme="minorHAnsi"/>
              </w:rPr>
            </w:pPr>
            <w:r w:rsidRPr="002F0FEB">
              <w:t>N/A</w:t>
            </w:r>
          </w:p>
        </w:tc>
        <w:tc>
          <w:tcPr>
            <w:tcW w:w="564" w:type="pct"/>
            <w:tcBorders>
              <w:top w:val="single" w:sz="2" w:space="0" w:color="002279"/>
              <w:left w:val="single" w:sz="4" w:space="0" w:color="002279"/>
              <w:bottom w:val="single" w:sz="2" w:space="0" w:color="002279"/>
              <w:right w:val="single" w:sz="4" w:space="0" w:color="002279"/>
            </w:tcBorders>
            <w:shd w:val="clear" w:color="auto" w:fill="D4D6DF"/>
            <w:vAlign w:val="center"/>
          </w:tcPr>
          <w:p w14:paraId="2FDB692C" w14:textId="4208C21A" w:rsidR="00F62DB2" w:rsidRPr="008E63F2" w:rsidRDefault="00F62DB2" w:rsidP="003566EA">
            <w:pPr>
              <w:jc w:val="center"/>
              <w:rPr>
                <w:rFonts w:cstheme="minorHAnsi"/>
                <w:color w:val="000000"/>
              </w:rPr>
            </w:pPr>
            <w:r w:rsidRPr="002F0FEB">
              <w:t>0.00%</w:t>
            </w:r>
          </w:p>
        </w:tc>
        <w:tc>
          <w:tcPr>
            <w:tcW w:w="564" w:type="pct"/>
            <w:tcBorders>
              <w:top w:val="single" w:sz="2" w:space="0" w:color="002279"/>
              <w:left w:val="single" w:sz="4" w:space="0" w:color="002279"/>
              <w:bottom w:val="single" w:sz="2" w:space="0" w:color="002279"/>
              <w:right w:val="single" w:sz="4" w:space="0" w:color="002279"/>
            </w:tcBorders>
            <w:shd w:val="clear" w:color="auto" w:fill="D4D6DF"/>
            <w:vAlign w:val="center"/>
          </w:tcPr>
          <w:p w14:paraId="0F5E7988" w14:textId="650B3C48" w:rsidR="00F62DB2" w:rsidRPr="008E63F2" w:rsidRDefault="00F62DB2" w:rsidP="003566EA">
            <w:pPr>
              <w:jc w:val="center"/>
              <w:rPr>
                <w:rFonts w:cstheme="minorHAnsi"/>
                <w:color w:val="000000"/>
              </w:rPr>
            </w:pPr>
            <w:r w:rsidRPr="002F0FEB">
              <w:t>0.00%</w:t>
            </w:r>
          </w:p>
        </w:tc>
        <w:tc>
          <w:tcPr>
            <w:tcW w:w="564" w:type="pct"/>
            <w:tcBorders>
              <w:top w:val="single" w:sz="2" w:space="0" w:color="002279"/>
              <w:left w:val="single" w:sz="4" w:space="0" w:color="002279"/>
              <w:bottom w:val="single" w:sz="2" w:space="0" w:color="002279"/>
              <w:right w:val="single" w:sz="4" w:space="0" w:color="002279"/>
            </w:tcBorders>
            <w:shd w:val="clear" w:color="auto" w:fill="D4D6DF"/>
            <w:vAlign w:val="center"/>
          </w:tcPr>
          <w:p w14:paraId="366900E4" w14:textId="7B147204" w:rsidR="00F62DB2" w:rsidRPr="008E63F2" w:rsidRDefault="00F62DB2" w:rsidP="003566EA">
            <w:pPr>
              <w:jc w:val="center"/>
              <w:rPr>
                <w:rFonts w:cstheme="minorHAnsi"/>
                <w:color w:val="000000"/>
              </w:rPr>
            </w:pPr>
            <w:r w:rsidRPr="002F0FEB">
              <w:t>0.00%</w:t>
            </w:r>
          </w:p>
        </w:tc>
        <w:tc>
          <w:tcPr>
            <w:tcW w:w="565" w:type="pct"/>
            <w:tcBorders>
              <w:top w:val="single" w:sz="2" w:space="0" w:color="002279"/>
              <w:left w:val="single" w:sz="4" w:space="0" w:color="002279"/>
              <w:bottom w:val="single" w:sz="2" w:space="0" w:color="002279"/>
              <w:right w:val="single" w:sz="4" w:space="0" w:color="002279"/>
            </w:tcBorders>
            <w:shd w:val="clear" w:color="auto" w:fill="D4D6DF"/>
            <w:vAlign w:val="center"/>
          </w:tcPr>
          <w:p w14:paraId="7554044A" w14:textId="5A66F7D1" w:rsidR="00F62DB2" w:rsidRPr="008E63F2" w:rsidRDefault="00F62DB2" w:rsidP="003566EA">
            <w:pPr>
              <w:jc w:val="center"/>
              <w:rPr>
                <w:rFonts w:cstheme="minorHAnsi"/>
                <w:color w:val="000000"/>
              </w:rPr>
            </w:pPr>
            <w:r w:rsidRPr="002F0FEB">
              <w:t>0.00%</w:t>
            </w:r>
          </w:p>
        </w:tc>
      </w:tr>
      <w:tr w:rsidR="00F62DB2" w:rsidRPr="008E63F2" w14:paraId="58EE7F9D" w14:textId="77777777" w:rsidTr="007F20E9">
        <w:trPr>
          <w:cnfStyle w:val="000000010000" w:firstRow="0" w:lastRow="0" w:firstColumn="0" w:lastColumn="0" w:oddVBand="0" w:evenVBand="0" w:oddHBand="0" w:evenHBand="1" w:firstRowFirstColumn="0" w:firstRowLastColumn="0" w:lastRowFirstColumn="0" w:lastRowLastColumn="0"/>
          <w:trHeight w:val="313"/>
        </w:trPr>
        <w:tc>
          <w:tcPr>
            <w:tcW w:w="919" w:type="pct"/>
            <w:tcBorders>
              <w:top w:val="single" w:sz="2" w:space="0" w:color="002279"/>
              <w:left w:val="single" w:sz="4" w:space="0" w:color="002279"/>
              <w:bottom w:val="single" w:sz="2" w:space="0" w:color="002279"/>
              <w:right w:val="single" w:sz="4" w:space="0" w:color="002279"/>
            </w:tcBorders>
            <w:shd w:val="clear" w:color="auto" w:fill="FFFFFF" w:themeFill="background1"/>
          </w:tcPr>
          <w:p w14:paraId="2970C3C4" w14:textId="3B3DEA36" w:rsidR="00F62DB2" w:rsidRPr="008E63F2" w:rsidRDefault="00F62DB2" w:rsidP="00F62DB2">
            <w:pPr>
              <w:rPr>
                <w:rFonts w:cstheme="minorHAnsi"/>
              </w:rPr>
            </w:pPr>
            <w:r w:rsidRPr="002F0FEB">
              <w:t>Plumbing application fee</w:t>
            </w:r>
          </w:p>
        </w:tc>
        <w:tc>
          <w:tcPr>
            <w:tcW w:w="629" w:type="pct"/>
            <w:tcBorders>
              <w:top w:val="single" w:sz="2" w:space="0" w:color="002279"/>
              <w:left w:val="single" w:sz="4" w:space="0" w:color="002279"/>
              <w:bottom w:val="single" w:sz="2" w:space="0" w:color="002279"/>
              <w:right w:val="single" w:sz="4" w:space="0" w:color="002279"/>
            </w:tcBorders>
            <w:shd w:val="clear" w:color="auto" w:fill="FFFFFF" w:themeFill="background1"/>
            <w:vAlign w:val="center"/>
          </w:tcPr>
          <w:p w14:paraId="661309E5" w14:textId="514EF8ED" w:rsidR="00F62DB2" w:rsidRPr="008E63F2" w:rsidRDefault="00F62DB2" w:rsidP="003566EA">
            <w:pPr>
              <w:jc w:val="center"/>
              <w:rPr>
                <w:rFonts w:cstheme="minorHAnsi"/>
                <w:color w:val="000000"/>
                <w:kern w:val="24"/>
              </w:rPr>
            </w:pPr>
            <w:r w:rsidRPr="002F0FEB">
              <w:t>N/A</w:t>
            </w:r>
          </w:p>
        </w:tc>
        <w:tc>
          <w:tcPr>
            <w:tcW w:w="632" w:type="pct"/>
            <w:tcBorders>
              <w:top w:val="single" w:sz="2" w:space="0" w:color="002279"/>
              <w:left w:val="single" w:sz="4" w:space="0" w:color="002279"/>
              <w:bottom w:val="single" w:sz="2" w:space="0" w:color="002279"/>
              <w:right w:val="single" w:sz="4" w:space="0" w:color="002279"/>
            </w:tcBorders>
            <w:shd w:val="clear" w:color="auto" w:fill="FFFFFF" w:themeFill="background1"/>
            <w:vAlign w:val="center"/>
          </w:tcPr>
          <w:p w14:paraId="036F9247" w14:textId="5DB077BC" w:rsidR="00F62DB2" w:rsidRPr="008E63F2" w:rsidRDefault="00F62DB2" w:rsidP="003566EA">
            <w:pPr>
              <w:jc w:val="center"/>
              <w:rPr>
                <w:rFonts w:cstheme="minorHAnsi"/>
              </w:rPr>
            </w:pPr>
            <w:r w:rsidRPr="002F0FEB">
              <w:t>$296.41</w:t>
            </w:r>
          </w:p>
        </w:tc>
        <w:tc>
          <w:tcPr>
            <w:tcW w:w="564" w:type="pct"/>
            <w:tcBorders>
              <w:top w:val="single" w:sz="2" w:space="0" w:color="002279"/>
              <w:left w:val="single" w:sz="4" w:space="0" w:color="002279"/>
              <w:bottom w:val="single" w:sz="2" w:space="0" w:color="002279"/>
              <w:right w:val="single" w:sz="4" w:space="0" w:color="002279"/>
            </w:tcBorders>
            <w:shd w:val="clear" w:color="auto" w:fill="FFFFFF" w:themeFill="background1"/>
            <w:vAlign w:val="center"/>
          </w:tcPr>
          <w:p w14:paraId="6A4B5979" w14:textId="55EE46C1" w:rsidR="00F62DB2" w:rsidRPr="008E63F2" w:rsidRDefault="00F62DB2" w:rsidP="003566EA">
            <w:pPr>
              <w:jc w:val="center"/>
              <w:rPr>
                <w:rFonts w:cstheme="minorHAnsi"/>
              </w:rPr>
            </w:pPr>
            <w:r w:rsidRPr="002F0FEB">
              <w:t>N/A</w:t>
            </w:r>
          </w:p>
        </w:tc>
        <w:tc>
          <w:tcPr>
            <w:tcW w:w="564" w:type="pct"/>
            <w:tcBorders>
              <w:top w:val="single" w:sz="2" w:space="0" w:color="002279"/>
              <w:left w:val="single" w:sz="4" w:space="0" w:color="002279"/>
              <w:bottom w:val="single" w:sz="2" w:space="0" w:color="002279"/>
              <w:right w:val="single" w:sz="4" w:space="0" w:color="002279"/>
            </w:tcBorders>
            <w:shd w:val="clear" w:color="auto" w:fill="FFFFFF" w:themeFill="background1"/>
            <w:vAlign w:val="center"/>
          </w:tcPr>
          <w:p w14:paraId="67B47330" w14:textId="311D43B0" w:rsidR="00F62DB2" w:rsidRPr="008E63F2" w:rsidRDefault="00F62DB2" w:rsidP="003566EA">
            <w:pPr>
              <w:jc w:val="center"/>
              <w:rPr>
                <w:rFonts w:cstheme="minorHAnsi"/>
                <w:color w:val="000000"/>
              </w:rPr>
            </w:pPr>
            <w:r w:rsidRPr="002F0FEB">
              <w:t>0.00%</w:t>
            </w:r>
          </w:p>
        </w:tc>
        <w:tc>
          <w:tcPr>
            <w:tcW w:w="564" w:type="pct"/>
            <w:tcBorders>
              <w:top w:val="single" w:sz="2" w:space="0" w:color="002279"/>
              <w:left w:val="single" w:sz="4" w:space="0" w:color="002279"/>
              <w:bottom w:val="single" w:sz="2" w:space="0" w:color="002279"/>
              <w:right w:val="single" w:sz="4" w:space="0" w:color="002279"/>
            </w:tcBorders>
            <w:shd w:val="clear" w:color="auto" w:fill="FFFFFF" w:themeFill="background1"/>
            <w:vAlign w:val="center"/>
          </w:tcPr>
          <w:p w14:paraId="10B3D86D" w14:textId="4ABA8E27" w:rsidR="00F62DB2" w:rsidRPr="008E63F2" w:rsidRDefault="00F62DB2" w:rsidP="003566EA">
            <w:pPr>
              <w:jc w:val="center"/>
              <w:rPr>
                <w:rFonts w:cstheme="minorHAnsi"/>
              </w:rPr>
            </w:pPr>
            <w:r w:rsidRPr="002F0FEB">
              <w:t>0.00%</w:t>
            </w:r>
          </w:p>
        </w:tc>
        <w:tc>
          <w:tcPr>
            <w:tcW w:w="564" w:type="pct"/>
            <w:tcBorders>
              <w:top w:val="single" w:sz="2" w:space="0" w:color="002279"/>
              <w:left w:val="single" w:sz="4" w:space="0" w:color="002279"/>
              <w:bottom w:val="single" w:sz="2" w:space="0" w:color="002279"/>
              <w:right w:val="single" w:sz="4" w:space="0" w:color="002279"/>
            </w:tcBorders>
            <w:shd w:val="clear" w:color="auto" w:fill="FFFFFF" w:themeFill="background1"/>
            <w:vAlign w:val="center"/>
          </w:tcPr>
          <w:p w14:paraId="5E8274DC" w14:textId="71EC587D" w:rsidR="00F62DB2" w:rsidRPr="008E63F2" w:rsidRDefault="00F62DB2" w:rsidP="003566EA">
            <w:pPr>
              <w:jc w:val="center"/>
              <w:rPr>
                <w:rFonts w:cstheme="minorHAnsi"/>
                <w:color w:val="000000"/>
              </w:rPr>
            </w:pPr>
            <w:r w:rsidRPr="002F0FEB">
              <w:t>0.00%</w:t>
            </w:r>
          </w:p>
        </w:tc>
        <w:tc>
          <w:tcPr>
            <w:tcW w:w="565" w:type="pct"/>
            <w:tcBorders>
              <w:top w:val="single" w:sz="2" w:space="0" w:color="002279"/>
              <w:left w:val="single" w:sz="4" w:space="0" w:color="002279"/>
              <w:bottom w:val="single" w:sz="2" w:space="0" w:color="002279"/>
              <w:right w:val="single" w:sz="4" w:space="0" w:color="002279"/>
            </w:tcBorders>
            <w:shd w:val="clear" w:color="auto" w:fill="FFFFFF" w:themeFill="background1"/>
            <w:vAlign w:val="center"/>
          </w:tcPr>
          <w:p w14:paraId="4DC9FCA7" w14:textId="130BA9F3" w:rsidR="00F62DB2" w:rsidRPr="008E63F2" w:rsidRDefault="00F62DB2" w:rsidP="003566EA">
            <w:pPr>
              <w:jc w:val="center"/>
              <w:rPr>
                <w:rFonts w:cstheme="minorHAnsi"/>
                <w:color w:val="000000"/>
              </w:rPr>
            </w:pPr>
            <w:r w:rsidRPr="002F0FEB">
              <w:t>0.00%</w:t>
            </w:r>
          </w:p>
        </w:tc>
      </w:tr>
      <w:tr w:rsidR="00F62DB2" w:rsidRPr="008E63F2" w14:paraId="20B03D5A" w14:textId="77777777" w:rsidTr="007F20E9">
        <w:trPr>
          <w:cnfStyle w:val="000000100000" w:firstRow="0" w:lastRow="0" w:firstColumn="0" w:lastColumn="0" w:oddVBand="0" w:evenVBand="0" w:oddHBand="1" w:evenHBand="0" w:firstRowFirstColumn="0" w:firstRowLastColumn="0" w:lastRowFirstColumn="0" w:lastRowLastColumn="0"/>
          <w:trHeight w:val="304"/>
        </w:trPr>
        <w:tc>
          <w:tcPr>
            <w:tcW w:w="919" w:type="pct"/>
            <w:tcBorders>
              <w:top w:val="single" w:sz="2" w:space="0" w:color="002279"/>
              <w:left w:val="single" w:sz="4" w:space="0" w:color="002279"/>
              <w:bottom w:val="single" w:sz="2" w:space="0" w:color="002279"/>
              <w:right w:val="single" w:sz="4" w:space="0" w:color="002279"/>
            </w:tcBorders>
            <w:shd w:val="clear" w:color="auto" w:fill="D4D6DF"/>
          </w:tcPr>
          <w:p w14:paraId="277364C2" w14:textId="4183908A" w:rsidR="00F62DB2" w:rsidRPr="008E63F2" w:rsidRDefault="00F62DB2" w:rsidP="00F62DB2">
            <w:pPr>
              <w:rPr>
                <w:rFonts w:cstheme="minorHAnsi"/>
              </w:rPr>
            </w:pPr>
            <w:r w:rsidRPr="002F0FEB">
              <w:t>80mm-150mm wet tapping on mains ≤ 150mm</w:t>
            </w:r>
          </w:p>
        </w:tc>
        <w:tc>
          <w:tcPr>
            <w:tcW w:w="629" w:type="pct"/>
            <w:tcBorders>
              <w:top w:val="single" w:sz="2" w:space="0" w:color="002279"/>
              <w:left w:val="single" w:sz="4" w:space="0" w:color="002279"/>
              <w:bottom w:val="single" w:sz="2" w:space="0" w:color="002279"/>
              <w:right w:val="single" w:sz="4" w:space="0" w:color="002279"/>
            </w:tcBorders>
            <w:shd w:val="clear" w:color="auto" w:fill="D4D6DF"/>
            <w:vAlign w:val="center"/>
          </w:tcPr>
          <w:p w14:paraId="10ED39CD" w14:textId="6F4CDFFD" w:rsidR="00F62DB2" w:rsidRPr="008E63F2" w:rsidRDefault="00F62DB2" w:rsidP="003566EA">
            <w:pPr>
              <w:jc w:val="center"/>
              <w:rPr>
                <w:rFonts w:cstheme="minorHAnsi"/>
              </w:rPr>
            </w:pPr>
            <w:r w:rsidRPr="002F0FEB">
              <w:t>$2,139.37</w:t>
            </w:r>
          </w:p>
        </w:tc>
        <w:tc>
          <w:tcPr>
            <w:tcW w:w="632" w:type="pct"/>
            <w:tcBorders>
              <w:top w:val="single" w:sz="2" w:space="0" w:color="002279"/>
              <w:left w:val="single" w:sz="4" w:space="0" w:color="002279"/>
              <w:bottom w:val="single" w:sz="2" w:space="0" w:color="002279"/>
              <w:right w:val="single" w:sz="4" w:space="0" w:color="002279"/>
            </w:tcBorders>
            <w:shd w:val="clear" w:color="auto" w:fill="D4D6DF"/>
            <w:vAlign w:val="center"/>
          </w:tcPr>
          <w:p w14:paraId="77CF2059" w14:textId="7339CF4A" w:rsidR="00F62DB2" w:rsidRPr="008E63F2" w:rsidRDefault="00F62DB2" w:rsidP="003566EA">
            <w:pPr>
              <w:jc w:val="center"/>
              <w:rPr>
                <w:rFonts w:cstheme="minorHAnsi"/>
              </w:rPr>
            </w:pPr>
            <w:r w:rsidRPr="002F0FEB">
              <w:t>$2,247.69</w:t>
            </w:r>
          </w:p>
        </w:tc>
        <w:tc>
          <w:tcPr>
            <w:tcW w:w="564" w:type="pct"/>
            <w:tcBorders>
              <w:top w:val="single" w:sz="2" w:space="0" w:color="002279"/>
              <w:left w:val="single" w:sz="4" w:space="0" w:color="002279"/>
              <w:bottom w:val="single" w:sz="2" w:space="0" w:color="002279"/>
              <w:right w:val="single" w:sz="4" w:space="0" w:color="002279"/>
            </w:tcBorders>
            <w:shd w:val="clear" w:color="auto" w:fill="D4D6DF"/>
            <w:vAlign w:val="center"/>
          </w:tcPr>
          <w:p w14:paraId="6018DCFB" w14:textId="0BD236C2" w:rsidR="00F62DB2" w:rsidRPr="008E63F2" w:rsidRDefault="00F62DB2" w:rsidP="003566EA">
            <w:pPr>
              <w:jc w:val="center"/>
              <w:rPr>
                <w:rFonts w:cstheme="minorHAnsi"/>
              </w:rPr>
            </w:pPr>
            <w:r w:rsidRPr="002F0FEB">
              <w:t>5.06%</w:t>
            </w:r>
          </w:p>
        </w:tc>
        <w:tc>
          <w:tcPr>
            <w:tcW w:w="564" w:type="pct"/>
            <w:tcBorders>
              <w:top w:val="single" w:sz="2" w:space="0" w:color="002279"/>
              <w:left w:val="single" w:sz="4" w:space="0" w:color="002279"/>
              <w:bottom w:val="single" w:sz="2" w:space="0" w:color="002279"/>
              <w:right w:val="single" w:sz="4" w:space="0" w:color="002279"/>
            </w:tcBorders>
            <w:shd w:val="clear" w:color="auto" w:fill="D4D6DF"/>
            <w:vAlign w:val="center"/>
          </w:tcPr>
          <w:p w14:paraId="34E283B1" w14:textId="1A8B611C" w:rsidR="00F62DB2" w:rsidRPr="008E63F2" w:rsidRDefault="00F62DB2" w:rsidP="003566EA">
            <w:pPr>
              <w:jc w:val="center"/>
              <w:rPr>
                <w:rFonts w:cstheme="minorHAnsi"/>
                <w:color w:val="000000"/>
              </w:rPr>
            </w:pPr>
            <w:r w:rsidRPr="002F0FEB">
              <w:t>0.00%</w:t>
            </w:r>
          </w:p>
        </w:tc>
        <w:tc>
          <w:tcPr>
            <w:tcW w:w="564" w:type="pct"/>
            <w:tcBorders>
              <w:top w:val="single" w:sz="2" w:space="0" w:color="002279"/>
              <w:left w:val="single" w:sz="4" w:space="0" w:color="002279"/>
              <w:bottom w:val="single" w:sz="2" w:space="0" w:color="002279"/>
              <w:right w:val="single" w:sz="4" w:space="0" w:color="002279"/>
            </w:tcBorders>
            <w:shd w:val="clear" w:color="auto" w:fill="D4D6DF"/>
            <w:vAlign w:val="center"/>
          </w:tcPr>
          <w:p w14:paraId="70E2F676" w14:textId="70191E39" w:rsidR="00F62DB2" w:rsidRPr="008E63F2" w:rsidRDefault="00F62DB2" w:rsidP="003566EA">
            <w:pPr>
              <w:jc w:val="center"/>
              <w:rPr>
                <w:rFonts w:cstheme="minorHAnsi"/>
                <w:color w:val="000000"/>
              </w:rPr>
            </w:pPr>
            <w:r w:rsidRPr="002F0FEB">
              <w:t>0.00%</w:t>
            </w:r>
          </w:p>
        </w:tc>
        <w:tc>
          <w:tcPr>
            <w:tcW w:w="564" w:type="pct"/>
            <w:tcBorders>
              <w:top w:val="single" w:sz="2" w:space="0" w:color="002279"/>
              <w:left w:val="single" w:sz="4" w:space="0" w:color="002279"/>
              <w:bottom w:val="single" w:sz="2" w:space="0" w:color="002279"/>
              <w:right w:val="single" w:sz="4" w:space="0" w:color="002279"/>
            </w:tcBorders>
            <w:shd w:val="clear" w:color="auto" w:fill="D4D6DF"/>
            <w:vAlign w:val="center"/>
          </w:tcPr>
          <w:p w14:paraId="4E1612EA" w14:textId="0EA9739C" w:rsidR="00F62DB2" w:rsidRPr="008E63F2" w:rsidRDefault="00F62DB2" w:rsidP="003566EA">
            <w:pPr>
              <w:jc w:val="center"/>
              <w:rPr>
                <w:rFonts w:cstheme="minorHAnsi"/>
                <w:color w:val="000000"/>
              </w:rPr>
            </w:pPr>
            <w:r w:rsidRPr="002F0FEB">
              <w:t>0.00%</w:t>
            </w:r>
          </w:p>
        </w:tc>
        <w:tc>
          <w:tcPr>
            <w:tcW w:w="565" w:type="pct"/>
            <w:tcBorders>
              <w:top w:val="single" w:sz="2" w:space="0" w:color="002279"/>
              <w:left w:val="single" w:sz="4" w:space="0" w:color="002279"/>
              <w:bottom w:val="single" w:sz="2" w:space="0" w:color="002279"/>
              <w:right w:val="single" w:sz="4" w:space="0" w:color="002279"/>
            </w:tcBorders>
            <w:shd w:val="clear" w:color="auto" w:fill="D4D6DF"/>
            <w:vAlign w:val="center"/>
          </w:tcPr>
          <w:p w14:paraId="3FE07333" w14:textId="15C4E7BD" w:rsidR="00F62DB2" w:rsidRPr="008E63F2" w:rsidRDefault="00F62DB2" w:rsidP="003566EA">
            <w:pPr>
              <w:jc w:val="center"/>
              <w:rPr>
                <w:rFonts w:cstheme="minorHAnsi"/>
                <w:color w:val="000000"/>
              </w:rPr>
            </w:pPr>
            <w:r w:rsidRPr="002F0FEB">
              <w:t>0.00%</w:t>
            </w:r>
          </w:p>
        </w:tc>
      </w:tr>
      <w:tr w:rsidR="00F62DB2" w:rsidRPr="008E63F2" w14:paraId="1EDCBC06" w14:textId="77777777" w:rsidTr="007F20E9">
        <w:trPr>
          <w:cnfStyle w:val="000000010000" w:firstRow="0" w:lastRow="0" w:firstColumn="0" w:lastColumn="0" w:oddVBand="0" w:evenVBand="0" w:oddHBand="0" w:evenHBand="1" w:firstRowFirstColumn="0" w:firstRowLastColumn="0" w:lastRowFirstColumn="0" w:lastRowLastColumn="0"/>
          <w:trHeight w:val="313"/>
        </w:trPr>
        <w:tc>
          <w:tcPr>
            <w:tcW w:w="919" w:type="pct"/>
            <w:tcBorders>
              <w:top w:val="single" w:sz="2" w:space="0" w:color="002279"/>
              <w:left w:val="single" w:sz="4" w:space="0" w:color="002279"/>
              <w:bottom w:val="single" w:sz="2" w:space="0" w:color="002279"/>
              <w:right w:val="single" w:sz="4" w:space="0" w:color="002279"/>
            </w:tcBorders>
            <w:shd w:val="clear" w:color="auto" w:fill="FFFFFF" w:themeFill="background1"/>
          </w:tcPr>
          <w:p w14:paraId="2B42D60C" w14:textId="3DFAFCC0" w:rsidR="00F62DB2" w:rsidRPr="008E63F2" w:rsidRDefault="00F62DB2" w:rsidP="00F62DB2">
            <w:pPr>
              <w:rPr>
                <w:rFonts w:cstheme="minorHAnsi"/>
              </w:rPr>
            </w:pPr>
            <w:r w:rsidRPr="002F0FEB">
              <w:t>Sewerage application fee</w:t>
            </w:r>
          </w:p>
        </w:tc>
        <w:tc>
          <w:tcPr>
            <w:tcW w:w="629" w:type="pct"/>
            <w:tcBorders>
              <w:top w:val="single" w:sz="2" w:space="0" w:color="002279"/>
              <w:left w:val="single" w:sz="4" w:space="0" w:color="002279"/>
              <w:bottom w:val="single" w:sz="2" w:space="0" w:color="002279"/>
              <w:right w:val="single" w:sz="4" w:space="0" w:color="002279"/>
            </w:tcBorders>
            <w:shd w:val="clear" w:color="auto" w:fill="FFFFFF" w:themeFill="background1"/>
            <w:vAlign w:val="center"/>
          </w:tcPr>
          <w:p w14:paraId="3E1A5E21" w14:textId="60BF2957" w:rsidR="00F62DB2" w:rsidRPr="008E63F2" w:rsidRDefault="00F62DB2" w:rsidP="003566EA">
            <w:pPr>
              <w:jc w:val="center"/>
              <w:rPr>
                <w:rFonts w:cstheme="minorHAnsi"/>
                <w:color w:val="000000"/>
                <w:kern w:val="24"/>
              </w:rPr>
            </w:pPr>
            <w:r w:rsidRPr="002F0FEB">
              <w:t>$62.00</w:t>
            </w:r>
          </w:p>
        </w:tc>
        <w:tc>
          <w:tcPr>
            <w:tcW w:w="632" w:type="pct"/>
            <w:tcBorders>
              <w:top w:val="single" w:sz="2" w:space="0" w:color="002279"/>
              <w:left w:val="single" w:sz="4" w:space="0" w:color="002279"/>
              <w:bottom w:val="single" w:sz="2" w:space="0" w:color="002279"/>
              <w:right w:val="single" w:sz="4" w:space="0" w:color="002279"/>
            </w:tcBorders>
            <w:shd w:val="clear" w:color="auto" w:fill="FFFFFF" w:themeFill="background1"/>
            <w:vAlign w:val="center"/>
          </w:tcPr>
          <w:p w14:paraId="1499F4AD" w14:textId="20A1D569" w:rsidR="00F62DB2" w:rsidRPr="008E63F2" w:rsidRDefault="00F62DB2" w:rsidP="003566EA">
            <w:pPr>
              <w:jc w:val="center"/>
              <w:rPr>
                <w:rFonts w:cstheme="minorHAnsi"/>
              </w:rPr>
            </w:pPr>
            <w:r w:rsidRPr="002F0FEB">
              <w:t>$71.05</w:t>
            </w:r>
          </w:p>
        </w:tc>
        <w:tc>
          <w:tcPr>
            <w:tcW w:w="564" w:type="pct"/>
            <w:tcBorders>
              <w:top w:val="single" w:sz="2" w:space="0" w:color="002279"/>
              <w:left w:val="single" w:sz="4" w:space="0" w:color="002279"/>
              <w:bottom w:val="single" w:sz="2" w:space="0" w:color="002279"/>
              <w:right w:val="single" w:sz="4" w:space="0" w:color="002279"/>
            </w:tcBorders>
            <w:shd w:val="clear" w:color="auto" w:fill="FFFFFF" w:themeFill="background1"/>
            <w:vAlign w:val="center"/>
          </w:tcPr>
          <w:p w14:paraId="714C5EC5" w14:textId="7B84D8B6" w:rsidR="00F62DB2" w:rsidRPr="008E63F2" w:rsidRDefault="00F62DB2" w:rsidP="003566EA">
            <w:pPr>
              <w:jc w:val="center"/>
              <w:rPr>
                <w:rFonts w:cstheme="minorHAnsi"/>
              </w:rPr>
            </w:pPr>
            <w:r w:rsidRPr="002F0FEB">
              <w:t>14.59%</w:t>
            </w:r>
          </w:p>
        </w:tc>
        <w:tc>
          <w:tcPr>
            <w:tcW w:w="564" w:type="pct"/>
            <w:tcBorders>
              <w:top w:val="single" w:sz="2" w:space="0" w:color="002279"/>
              <w:left w:val="single" w:sz="4" w:space="0" w:color="002279"/>
              <w:bottom w:val="single" w:sz="2" w:space="0" w:color="002279"/>
              <w:right w:val="single" w:sz="4" w:space="0" w:color="002279"/>
            </w:tcBorders>
            <w:shd w:val="clear" w:color="auto" w:fill="FFFFFF" w:themeFill="background1"/>
            <w:vAlign w:val="center"/>
          </w:tcPr>
          <w:p w14:paraId="19DCA82D" w14:textId="327AA778" w:rsidR="00F62DB2" w:rsidRPr="008E63F2" w:rsidRDefault="00F62DB2" w:rsidP="003566EA">
            <w:pPr>
              <w:jc w:val="center"/>
              <w:rPr>
                <w:rFonts w:cstheme="minorHAnsi"/>
                <w:color w:val="000000"/>
              </w:rPr>
            </w:pPr>
            <w:r w:rsidRPr="002F0FEB">
              <w:t>0.00%</w:t>
            </w:r>
          </w:p>
        </w:tc>
        <w:tc>
          <w:tcPr>
            <w:tcW w:w="564" w:type="pct"/>
            <w:tcBorders>
              <w:top w:val="single" w:sz="2" w:space="0" w:color="002279"/>
              <w:left w:val="single" w:sz="4" w:space="0" w:color="002279"/>
              <w:bottom w:val="single" w:sz="2" w:space="0" w:color="002279"/>
              <w:right w:val="single" w:sz="4" w:space="0" w:color="002279"/>
            </w:tcBorders>
            <w:shd w:val="clear" w:color="auto" w:fill="FFFFFF" w:themeFill="background1"/>
            <w:vAlign w:val="center"/>
          </w:tcPr>
          <w:p w14:paraId="412C7C85" w14:textId="2677690F" w:rsidR="00F62DB2" w:rsidRPr="008E63F2" w:rsidRDefault="00F62DB2" w:rsidP="003566EA">
            <w:pPr>
              <w:jc w:val="center"/>
              <w:rPr>
                <w:rFonts w:cstheme="minorHAnsi"/>
              </w:rPr>
            </w:pPr>
            <w:r w:rsidRPr="002F0FEB">
              <w:t>0.00%</w:t>
            </w:r>
          </w:p>
        </w:tc>
        <w:tc>
          <w:tcPr>
            <w:tcW w:w="564" w:type="pct"/>
            <w:tcBorders>
              <w:top w:val="single" w:sz="2" w:space="0" w:color="002279"/>
              <w:left w:val="single" w:sz="4" w:space="0" w:color="002279"/>
              <w:bottom w:val="single" w:sz="2" w:space="0" w:color="002279"/>
              <w:right w:val="single" w:sz="4" w:space="0" w:color="002279"/>
            </w:tcBorders>
            <w:shd w:val="clear" w:color="auto" w:fill="FFFFFF" w:themeFill="background1"/>
            <w:vAlign w:val="center"/>
          </w:tcPr>
          <w:p w14:paraId="62B1E0AB" w14:textId="4E061C58" w:rsidR="00F62DB2" w:rsidRPr="008E63F2" w:rsidRDefault="00F62DB2" w:rsidP="003566EA">
            <w:pPr>
              <w:jc w:val="center"/>
              <w:rPr>
                <w:rFonts w:cstheme="minorHAnsi"/>
                <w:color w:val="000000"/>
              </w:rPr>
            </w:pPr>
            <w:r w:rsidRPr="002F0FEB">
              <w:t>0.00%</w:t>
            </w:r>
          </w:p>
        </w:tc>
        <w:tc>
          <w:tcPr>
            <w:tcW w:w="565" w:type="pct"/>
            <w:tcBorders>
              <w:top w:val="single" w:sz="2" w:space="0" w:color="002279"/>
              <w:left w:val="single" w:sz="4" w:space="0" w:color="002279"/>
              <w:bottom w:val="single" w:sz="2" w:space="0" w:color="002279"/>
              <w:right w:val="single" w:sz="4" w:space="0" w:color="002279"/>
            </w:tcBorders>
            <w:shd w:val="clear" w:color="auto" w:fill="FFFFFF" w:themeFill="background1"/>
            <w:vAlign w:val="center"/>
          </w:tcPr>
          <w:p w14:paraId="5D04DE9B" w14:textId="5B7A4923" w:rsidR="00F62DB2" w:rsidRPr="008E63F2" w:rsidRDefault="00F62DB2" w:rsidP="003566EA">
            <w:pPr>
              <w:jc w:val="center"/>
              <w:rPr>
                <w:rFonts w:cstheme="minorHAnsi"/>
                <w:color w:val="000000"/>
              </w:rPr>
            </w:pPr>
            <w:r w:rsidRPr="002F0FEB">
              <w:t>0.00%</w:t>
            </w:r>
          </w:p>
        </w:tc>
      </w:tr>
      <w:tr w:rsidR="00F62DB2" w:rsidRPr="008E63F2" w14:paraId="400B8CB5" w14:textId="77777777" w:rsidTr="007F20E9">
        <w:trPr>
          <w:cnfStyle w:val="000000100000" w:firstRow="0" w:lastRow="0" w:firstColumn="0" w:lastColumn="0" w:oddVBand="0" w:evenVBand="0" w:oddHBand="1" w:evenHBand="0" w:firstRowFirstColumn="0" w:firstRowLastColumn="0" w:lastRowFirstColumn="0" w:lastRowLastColumn="0"/>
          <w:trHeight w:val="304"/>
        </w:trPr>
        <w:tc>
          <w:tcPr>
            <w:tcW w:w="919" w:type="pct"/>
            <w:tcBorders>
              <w:top w:val="single" w:sz="2" w:space="0" w:color="002279"/>
              <w:left w:val="single" w:sz="4" w:space="0" w:color="002279"/>
              <w:bottom w:val="single" w:sz="4" w:space="0" w:color="002279"/>
              <w:right w:val="single" w:sz="4" w:space="0" w:color="002279"/>
            </w:tcBorders>
            <w:shd w:val="clear" w:color="auto" w:fill="D4D6DF"/>
          </w:tcPr>
          <w:p w14:paraId="242E66A9" w14:textId="56192211" w:rsidR="00F62DB2" w:rsidRPr="008E63F2" w:rsidRDefault="00F62DB2" w:rsidP="00F62DB2">
            <w:pPr>
              <w:rPr>
                <w:rFonts w:cstheme="minorHAnsi"/>
              </w:rPr>
            </w:pPr>
            <w:r w:rsidRPr="00195476">
              <w:t>Non-core miscellaneous services</w:t>
            </w:r>
          </w:p>
        </w:tc>
        <w:tc>
          <w:tcPr>
            <w:tcW w:w="4081" w:type="pct"/>
            <w:gridSpan w:val="7"/>
            <w:tcBorders>
              <w:top w:val="single" w:sz="2" w:space="0" w:color="002279"/>
              <w:left w:val="single" w:sz="4" w:space="0" w:color="002279"/>
              <w:bottom w:val="single" w:sz="4" w:space="0" w:color="002279"/>
              <w:right w:val="single" w:sz="4" w:space="0" w:color="002279"/>
            </w:tcBorders>
            <w:shd w:val="clear" w:color="auto" w:fill="D4D6DF"/>
            <w:vAlign w:val="center"/>
          </w:tcPr>
          <w:p w14:paraId="0847A82D" w14:textId="32647BAE" w:rsidR="00F62DB2" w:rsidRPr="008E63F2" w:rsidRDefault="00F62DB2" w:rsidP="003566EA">
            <w:pPr>
              <w:jc w:val="center"/>
              <w:rPr>
                <w:rFonts w:cstheme="minorHAnsi"/>
                <w:color w:val="000000"/>
              </w:rPr>
            </w:pPr>
            <w:r w:rsidRPr="00195476">
              <w:t>Actual cost reflective of pricing principles</w:t>
            </w:r>
          </w:p>
        </w:tc>
      </w:tr>
    </w:tbl>
    <w:p w14:paraId="2050A40C" w14:textId="77777777" w:rsidR="006B5CED" w:rsidRDefault="006B5CED" w:rsidP="006B5CED"/>
    <w:p w14:paraId="785F41EB" w14:textId="5C76E636" w:rsidR="00AE35E9" w:rsidRDefault="00AE35E9">
      <w:pPr>
        <w:pStyle w:val="Heading2"/>
      </w:pPr>
      <w:r>
        <w:t>10.</w:t>
      </w:r>
      <w:r w:rsidR="006C324E">
        <w:t>9</w:t>
      </w:r>
      <w:r>
        <w:t xml:space="preserve"> </w:t>
      </w:r>
      <w:r w:rsidR="00E2360F">
        <w:t>C</w:t>
      </w:r>
      <w:r w:rsidRPr="002C245B">
        <w:t xml:space="preserve">ustomer </w:t>
      </w:r>
      <w:r w:rsidR="00E2360F">
        <w:t>bill</w:t>
      </w:r>
      <w:r w:rsidRPr="002C245B">
        <w:t xml:space="preserve"> impacts</w:t>
      </w:r>
      <w:bookmarkEnd w:id="105"/>
    </w:p>
    <w:p w14:paraId="32C33CA7" w14:textId="38124E6C" w:rsidR="00E2360F" w:rsidRDefault="000462C7" w:rsidP="00AE35E9">
      <w:r>
        <w:t>Tables 5</w:t>
      </w:r>
      <w:r w:rsidR="00DE1F78">
        <w:t>7</w:t>
      </w:r>
      <w:r>
        <w:t xml:space="preserve"> and 5</w:t>
      </w:r>
      <w:r w:rsidR="00DE1F78">
        <w:t>8</w:t>
      </w:r>
      <w:r w:rsidR="00E2360F">
        <w:t xml:space="preserve"> provide a sample of residential and</w:t>
      </w:r>
      <w:r w:rsidR="00693FD4">
        <w:t xml:space="preserve"> </w:t>
      </w:r>
      <w:r w:rsidR="00A55E59">
        <w:t>non-residential</w:t>
      </w:r>
      <w:r w:rsidR="00693FD4">
        <w:t xml:space="preserve"> customer impacts proposed for the next regulatory period, with the average residential customer receiving a </w:t>
      </w:r>
      <w:r w:rsidR="00E651C9">
        <w:t>6</w:t>
      </w:r>
      <w:r w:rsidR="00927BDF" w:rsidRPr="00CB0971">
        <w:t>.</w:t>
      </w:r>
      <w:r w:rsidR="00E651C9">
        <w:t>0</w:t>
      </w:r>
      <w:r w:rsidR="00D14C73">
        <w:t>7</w:t>
      </w:r>
      <w:r w:rsidR="006E4B96">
        <w:t>%</w:t>
      </w:r>
      <w:r w:rsidR="00927BDF">
        <w:t xml:space="preserve"> real bill reduction</w:t>
      </w:r>
      <w:r w:rsidR="00F73BE0">
        <w:t xml:space="preserve"> excluding the </w:t>
      </w:r>
      <w:r w:rsidR="00182D19">
        <w:t>impacts associated to future desalination water order costs</w:t>
      </w:r>
      <w:r w:rsidR="00927BDF">
        <w:t>.</w:t>
      </w:r>
      <w:r w:rsidR="00A1315F">
        <w:t xml:space="preserve"> </w:t>
      </w:r>
      <w:r w:rsidR="00513CA8">
        <w:t xml:space="preserve">To help </w:t>
      </w:r>
      <w:r w:rsidR="003C1121" w:rsidRPr="003C1121">
        <w:t>manag</w:t>
      </w:r>
      <w:r w:rsidR="00513CA8">
        <w:t>e</w:t>
      </w:r>
      <w:r w:rsidR="003C1121" w:rsidRPr="003C1121">
        <w:t xml:space="preserve"> </w:t>
      </w:r>
      <w:r w:rsidR="00513CA8">
        <w:t>bill</w:t>
      </w:r>
      <w:r w:rsidR="003C1121" w:rsidRPr="003C1121">
        <w:t xml:space="preserve"> impacts for customers </w:t>
      </w:r>
      <w:r w:rsidR="00513CA8">
        <w:t>we</w:t>
      </w:r>
      <w:r w:rsidR="00F34280">
        <w:t xml:space="preserve"> have increased our debt management </w:t>
      </w:r>
      <w:r w:rsidR="000C285F">
        <w:t>strategy by $1.5</w:t>
      </w:r>
      <w:r w:rsidR="00640E47">
        <w:t>m</w:t>
      </w:r>
      <w:r w:rsidR="000C285F">
        <w:t xml:space="preserve"> per annum</w:t>
      </w:r>
      <w:r w:rsidR="00F1510D">
        <w:t xml:space="preserve"> for the next regulatory period</w:t>
      </w:r>
      <w:r w:rsidR="007204D5">
        <w:t xml:space="preserve">. This is accounted for in the revenue not collected </w:t>
      </w:r>
      <w:r w:rsidR="00F1510D">
        <w:t>allowance.</w:t>
      </w:r>
      <w:r w:rsidR="007204D5">
        <w:t xml:space="preserve"> </w:t>
      </w:r>
      <w:r w:rsidR="000C285F">
        <w:t xml:space="preserve"> </w:t>
      </w:r>
    </w:p>
    <w:p w14:paraId="0B049523" w14:textId="77777777" w:rsidR="00B76DF4" w:rsidRDefault="00B76DF4" w:rsidP="00AE35E9"/>
    <w:p w14:paraId="05549E16" w14:textId="53814F28" w:rsidR="00F42EE2" w:rsidRPr="0067099E" w:rsidRDefault="0067099E" w:rsidP="002819EA">
      <w:pPr>
        <w:pStyle w:val="NormalIndent"/>
        <w:spacing w:after="120"/>
        <w:ind w:left="0"/>
        <w:rPr>
          <w:rFonts w:cs="Arial"/>
          <w:b/>
          <w:i/>
        </w:rPr>
      </w:pPr>
      <w:r w:rsidRPr="00CE6C4E">
        <w:rPr>
          <w:b/>
          <w:i/>
        </w:rPr>
        <w:t>Table</w:t>
      </w:r>
      <w:r w:rsidR="00DE1F78">
        <w:rPr>
          <w:b/>
          <w:i/>
        </w:rPr>
        <w:t xml:space="preserve"> 57</w:t>
      </w:r>
      <w:r w:rsidRPr="007B339F">
        <w:rPr>
          <w:rFonts w:ascii="Arial" w:hAnsi="Arial" w:cs="Arial"/>
          <w:b/>
          <w:i/>
        </w:rPr>
        <w:t>:</w:t>
      </w:r>
      <w:r>
        <w:rPr>
          <w:rFonts w:ascii="Arial" w:hAnsi="Arial" w:cs="Arial"/>
          <w:b/>
          <w:i/>
        </w:rPr>
        <w:t xml:space="preserve"> Residential c</w:t>
      </w:r>
      <w:r>
        <w:rPr>
          <w:b/>
          <w:i/>
        </w:rPr>
        <w:t>ustomer bill impacts</w:t>
      </w:r>
      <w:r w:rsidR="000462C7">
        <w:rPr>
          <w:b/>
          <w:i/>
        </w:rPr>
        <w:t xml:space="preserve"> ($</w:t>
      </w:r>
      <w:r w:rsidR="000462C7" w:rsidRPr="00FD54FE">
        <w:rPr>
          <w:b/>
          <w:i/>
        </w:rPr>
        <w:t>2022</w:t>
      </w:r>
      <w:r w:rsidR="000462C7">
        <w:rPr>
          <w:b/>
          <w:i/>
        </w:rPr>
        <w:t>–</w:t>
      </w:r>
      <w:r w:rsidR="000462C7" w:rsidRPr="00FD54FE">
        <w:rPr>
          <w:b/>
          <w:i/>
        </w:rPr>
        <w:t>23</w:t>
      </w:r>
      <w:r w:rsidR="000462C7">
        <w:rPr>
          <w:b/>
          <w:i/>
        </w:rPr>
        <w:t>)</w:t>
      </w:r>
    </w:p>
    <w:tbl>
      <w:tblPr>
        <w:tblStyle w:val="MJTableStyle1default"/>
        <w:tblW w:w="5000" w:type="pct"/>
        <w:tblInd w:w="5" w:type="dxa"/>
        <w:tblLayout w:type="fixed"/>
        <w:tblLook w:val="04A0" w:firstRow="1" w:lastRow="0" w:firstColumn="1" w:lastColumn="0" w:noHBand="0" w:noVBand="1"/>
      </w:tblPr>
      <w:tblGrid>
        <w:gridCol w:w="1582"/>
        <w:gridCol w:w="1582"/>
        <w:gridCol w:w="1581"/>
        <w:gridCol w:w="1581"/>
        <w:gridCol w:w="1581"/>
        <w:gridCol w:w="1581"/>
      </w:tblGrid>
      <w:tr w:rsidR="00B8686A" w:rsidRPr="005278C6" w14:paraId="29B9534C" w14:textId="77777777" w:rsidTr="007F20E9">
        <w:trPr>
          <w:cnfStyle w:val="100000000000" w:firstRow="1" w:lastRow="0" w:firstColumn="0" w:lastColumn="0" w:oddVBand="0" w:evenVBand="0" w:oddHBand="0" w:evenHBand="0" w:firstRowFirstColumn="0" w:firstRowLastColumn="0" w:lastRowFirstColumn="0" w:lastRowLastColumn="0"/>
          <w:trHeight w:val="567"/>
        </w:trPr>
        <w:tc>
          <w:tcPr>
            <w:tcW w:w="833" w:type="pct"/>
            <w:tcBorders>
              <w:top w:val="single" w:sz="4" w:space="0" w:color="002279"/>
              <w:left w:val="single" w:sz="4" w:space="0" w:color="002279"/>
              <w:bottom w:val="single" w:sz="2" w:space="0" w:color="002279"/>
              <w:right w:val="single" w:sz="4" w:space="0" w:color="FFFFFF" w:themeColor="background1"/>
            </w:tcBorders>
            <w:shd w:val="clear" w:color="auto" w:fill="002279"/>
            <w:noWrap/>
            <w:vAlign w:val="center"/>
            <w:hideMark/>
          </w:tcPr>
          <w:p w14:paraId="268A8C55" w14:textId="77777777" w:rsidR="00B8686A" w:rsidRPr="00360131" w:rsidRDefault="00B8686A" w:rsidP="004A6041">
            <w:pPr>
              <w:rPr>
                <w:rFonts w:asciiTheme="minorHAnsi" w:hAnsiTheme="minorHAnsi" w:cstheme="minorHAnsi"/>
                <w:b/>
              </w:rPr>
            </w:pPr>
            <w:r w:rsidRPr="00360131">
              <w:rPr>
                <w:rFonts w:asciiTheme="minorHAnsi" w:hAnsiTheme="minorHAnsi" w:cstheme="minorHAnsi"/>
                <w:b/>
              </w:rPr>
              <w:t>Residential customer</w:t>
            </w:r>
          </w:p>
        </w:tc>
        <w:tc>
          <w:tcPr>
            <w:tcW w:w="833" w:type="pct"/>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noWrap/>
            <w:vAlign w:val="center"/>
            <w:hideMark/>
          </w:tcPr>
          <w:p w14:paraId="2C365054" w14:textId="5D186027" w:rsidR="00B8686A" w:rsidRPr="00360131" w:rsidRDefault="00B8686A" w:rsidP="00360131">
            <w:pPr>
              <w:jc w:val="center"/>
              <w:rPr>
                <w:rFonts w:asciiTheme="minorHAnsi" w:hAnsiTheme="minorHAnsi" w:cstheme="minorHAnsi"/>
                <w:b/>
              </w:rPr>
            </w:pPr>
            <w:r w:rsidRPr="00360131">
              <w:rPr>
                <w:rFonts w:asciiTheme="minorHAnsi" w:hAnsiTheme="minorHAnsi" w:cstheme="minorHAnsi"/>
                <w:b/>
              </w:rPr>
              <w:t>Usage per year (</w:t>
            </w:r>
            <w:r w:rsidR="00F876D4" w:rsidRPr="00F876D4">
              <w:rPr>
                <w:rFonts w:asciiTheme="minorHAnsi" w:hAnsiTheme="minorHAnsi" w:cstheme="minorHAnsi"/>
                <w:b/>
              </w:rPr>
              <w:t>kl</w:t>
            </w:r>
            <w:r w:rsidRPr="00360131">
              <w:rPr>
                <w:rFonts w:asciiTheme="minorHAnsi" w:hAnsiTheme="minorHAnsi" w:cstheme="minorHAnsi"/>
                <w:b/>
              </w:rPr>
              <w:t>)</w:t>
            </w:r>
          </w:p>
        </w:tc>
        <w:tc>
          <w:tcPr>
            <w:tcW w:w="833" w:type="pct"/>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noWrap/>
            <w:vAlign w:val="center"/>
            <w:hideMark/>
          </w:tcPr>
          <w:p w14:paraId="3AB469E0" w14:textId="730431D2" w:rsidR="00B8686A" w:rsidRPr="00360131" w:rsidRDefault="00B8686A" w:rsidP="00360131">
            <w:pPr>
              <w:jc w:val="center"/>
              <w:rPr>
                <w:rFonts w:asciiTheme="minorHAnsi" w:hAnsiTheme="minorHAnsi" w:cstheme="minorHAnsi"/>
                <w:b/>
              </w:rPr>
            </w:pPr>
            <w:r w:rsidRPr="00360131">
              <w:rPr>
                <w:rFonts w:asciiTheme="minorHAnsi" w:hAnsiTheme="minorHAnsi" w:cstheme="minorHAnsi"/>
                <w:b/>
              </w:rPr>
              <w:t>2022</w:t>
            </w:r>
            <w:r w:rsidR="00F876D4" w:rsidRPr="00F876D4">
              <w:rPr>
                <w:rFonts w:asciiTheme="minorHAnsi" w:hAnsiTheme="minorHAnsi" w:cstheme="minorHAnsi"/>
                <w:b/>
              </w:rPr>
              <w:t>-</w:t>
            </w:r>
            <w:r w:rsidRPr="00360131">
              <w:rPr>
                <w:rFonts w:asciiTheme="minorHAnsi" w:hAnsiTheme="minorHAnsi" w:cstheme="minorHAnsi"/>
                <w:b/>
              </w:rPr>
              <w:t>23 annual bill</w:t>
            </w:r>
          </w:p>
        </w:tc>
        <w:tc>
          <w:tcPr>
            <w:tcW w:w="833" w:type="pct"/>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vAlign w:val="center"/>
            <w:hideMark/>
          </w:tcPr>
          <w:p w14:paraId="364E9B87" w14:textId="0794DB49" w:rsidR="00B8686A" w:rsidRPr="00360131" w:rsidRDefault="00B8686A" w:rsidP="00360131">
            <w:pPr>
              <w:jc w:val="center"/>
              <w:rPr>
                <w:rFonts w:asciiTheme="minorHAnsi" w:hAnsiTheme="minorHAnsi" w:cstheme="minorHAnsi"/>
                <w:b/>
              </w:rPr>
            </w:pPr>
            <w:r w:rsidRPr="00360131">
              <w:rPr>
                <w:rFonts w:asciiTheme="minorHAnsi" w:hAnsiTheme="minorHAnsi" w:cstheme="minorHAnsi"/>
                <w:b/>
              </w:rPr>
              <w:t>2023</w:t>
            </w:r>
            <w:r w:rsidR="00F876D4" w:rsidRPr="00F876D4">
              <w:rPr>
                <w:rFonts w:asciiTheme="minorHAnsi" w:hAnsiTheme="minorHAnsi" w:cstheme="minorHAnsi"/>
                <w:b/>
              </w:rPr>
              <w:t>-</w:t>
            </w:r>
            <w:r w:rsidRPr="00360131">
              <w:rPr>
                <w:rFonts w:asciiTheme="minorHAnsi" w:hAnsiTheme="minorHAnsi" w:cstheme="minorHAnsi"/>
                <w:b/>
              </w:rPr>
              <w:t>24 annual bill</w:t>
            </w:r>
            <w:r w:rsidR="00F876D4" w:rsidRPr="00F876D4">
              <w:rPr>
                <w:rFonts w:asciiTheme="minorHAnsi" w:hAnsiTheme="minorHAnsi" w:cstheme="minorHAnsi"/>
                <w:b/>
              </w:rPr>
              <w:t xml:space="preserve"> </w:t>
            </w:r>
          </w:p>
        </w:tc>
        <w:tc>
          <w:tcPr>
            <w:tcW w:w="833" w:type="pct"/>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vAlign w:val="center"/>
            <w:hideMark/>
          </w:tcPr>
          <w:p w14:paraId="00B16C21" w14:textId="33FA6442" w:rsidR="00B8686A" w:rsidRPr="00360131" w:rsidRDefault="00B8686A" w:rsidP="00360131">
            <w:pPr>
              <w:jc w:val="center"/>
              <w:rPr>
                <w:rFonts w:asciiTheme="minorHAnsi" w:hAnsiTheme="minorHAnsi" w:cstheme="minorHAnsi"/>
                <w:b/>
              </w:rPr>
            </w:pPr>
            <w:r w:rsidRPr="00360131">
              <w:rPr>
                <w:rFonts w:asciiTheme="minorHAnsi" w:hAnsiTheme="minorHAnsi" w:cstheme="minorHAnsi"/>
                <w:b/>
              </w:rPr>
              <w:t>$ change</w:t>
            </w:r>
            <w:r w:rsidR="00F876D4" w:rsidRPr="00F876D4">
              <w:rPr>
                <w:rFonts w:asciiTheme="minorHAnsi" w:hAnsiTheme="minorHAnsi" w:cstheme="minorHAnsi"/>
                <w:b/>
              </w:rPr>
              <w:t xml:space="preserve"> </w:t>
            </w:r>
          </w:p>
        </w:tc>
        <w:tc>
          <w:tcPr>
            <w:tcW w:w="833" w:type="pct"/>
            <w:tcBorders>
              <w:top w:val="single" w:sz="4" w:space="0" w:color="002279"/>
              <w:left w:val="single" w:sz="4" w:space="0" w:color="FFFFFF" w:themeColor="background1"/>
              <w:bottom w:val="single" w:sz="2" w:space="0" w:color="002279"/>
              <w:right w:val="single" w:sz="4" w:space="0" w:color="002279"/>
            </w:tcBorders>
            <w:shd w:val="clear" w:color="auto" w:fill="002279"/>
            <w:vAlign w:val="center"/>
            <w:hideMark/>
          </w:tcPr>
          <w:p w14:paraId="318DD88C" w14:textId="1AE0857A" w:rsidR="00B8686A" w:rsidRPr="00360131" w:rsidRDefault="00B8686A" w:rsidP="00360131">
            <w:pPr>
              <w:jc w:val="center"/>
              <w:rPr>
                <w:rFonts w:asciiTheme="minorHAnsi" w:hAnsiTheme="minorHAnsi" w:cstheme="minorHAnsi"/>
                <w:b/>
              </w:rPr>
            </w:pPr>
            <w:r w:rsidRPr="00360131">
              <w:rPr>
                <w:rFonts w:asciiTheme="minorHAnsi" w:hAnsiTheme="minorHAnsi" w:cstheme="minorHAnsi"/>
                <w:b/>
              </w:rPr>
              <w:t>% change</w:t>
            </w:r>
            <w:r w:rsidR="00F876D4" w:rsidRPr="00F876D4">
              <w:rPr>
                <w:rFonts w:asciiTheme="minorHAnsi" w:hAnsiTheme="minorHAnsi" w:cstheme="minorHAnsi"/>
                <w:b/>
              </w:rPr>
              <w:t xml:space="preserve"> </w:t>
            </w:r>
          </w:p>
        </w:tc>
      </w:tr>
      <w:tr w:rsidR="00B8686A" w:rsidRPr="005278C6" w14:paraId="16F3C9B8" w14:textId="77777777" w:rsidTr="007F20E9">
        <w:trPr>
          <w:cnfStyle w:val="000000100000" w:firstRow="0" w:lastRow="0" w:firstColumn="0" w:lastColumn="0" w:oddVBand="0" w:evenVBand="0" w:oddHBand="1" w:evenHBand="0" w:firstRowFirstColumn="0" w:firstRowLastColumn="0" w:lastRowFirstColumn="0" w:lastRowLastColumn="0"/>
          <w:trHeight w:val="300"/>
        </w:trPr>
        <w:tc>
          <w:tcPr>
            <w:tcW w:w="833" w:type="pct"/>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45BD40D2" w14:textId="2A77CE1F" w:rsidR="00B8686A" w:rsidRPr="00360131" w:rsidRDefault="00B8686A" w:rsidP="000D6114">
            <w:pPr>
              <w:rPr>
                <w:rFonts w:cstheme="minorHAnsi"/>
              </w:rPr>
            </w:pPr>
            <w:r w:rsidRPr="0097263A">
              <w:rPr>
                <w:rFonts w:cstheme="minorHAnsi"/>
              </w:rPr>
              <w:t>Owner</w:t>
            </w:r>
            <w:r w:rsidR="00F876D4" w:rsidRPr="003417CD">
              <w:t xml:space="preserve"> </w:t>
            </w:r>
            <w:r w:rsidRPr="0097263A">
              <w:rPr>
                <w:rFonts w:cstheme="minorHAnsi"/>
              </w:rPr>
              <w:t xml:space="preserve">occupier </w:t>
            </w:r>
            <w:r w:rsidR="00F876D4" w:rsidRPr="003417CD">
              <w:t>- Small</w:t>
            </w:r>
            <w:r w:rsidRPr="0097263A">
              <w:rPr>
                <w:rFonts w:cstheme="minorHAnsi"/>
              </w:rPr>
              <w:t xml:space="preserve"> user</w:t>
            </w:r>
          </w:p>
        </w:tc>
        <w:tc>
          <w:tcPr>
            <w:tcW w:w="833" w:type="pct"/>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086C8EF3" w14:textId="77777777" w:rsidR="00B8686A" w:rsidRPr="00360131" w:rsidRDefault="00B8686A" w:rsidP="00360131">
            <w:pPr>
              <w:jc w:val="center"/>
              <w:rPr>
                <w:rFonts w:cstheme="minorHAnsi"/>
              </w:rPr>
            </w:pPr>
            <w:r w:rsidRPr="0097263A">
              <w:rPr>
                <w:rFonts w:cstheme="minorHAnsi"/>
              </w:rPr>
              <w:t>76</w:t>
            </w:r>
          </w:p>
        </w:tc>
        <w:tc>
          <w:tcPr>
            <w:tcW w:w="833" w:type="pct"/>
            <w:tcBorders>
              <w:top w:val="single" w:sz="2" w:space="0" w:color="002279"/>
              <w:left w:val="single" w:sz="4" w:space="0" w:color="002279"/>
              <w:bottom w:val="single" w:sz="2" w:space="0" w:color="002279"/>
              <w:right w:val="single" w:sz="4" w:space="0" w:color="002279"/>
            </w:tcBorders>
            <w:shd w:val="clear" w:color="auto" w:fill="D4D6DF"/>
            <w:noWrap/>
            <w:vAlign w:val="center"/>
          </w:tcPr>
          <w:p w14:paraId="47B4A332" w14:textId="68FE39EF" w:rsidR="00B8686A" w:rsidRPr="00360131" w:rsidRDefault="00B8686A" w:rsidP="00360131">
            <w:pPr>
              <w:jc w:val="center"/>
              <w:rPr>
                <w:rFonts w:cstheme="minorHAnsi"/>
              </w:rPr>
            </w:pPr>
            <w:r w:rsidRPr="0097263A">
              <w:rPr>
                <w:rFonts w:cstheme="minorHAnsi"/>
              </w:rPr>
              <w:t>$711.</w:t>
            </w:r>
            <w:r w:rsidR="00F876D4" w:rsidRPr="003417CD">
              <w:t>76</w:t>
            </w:r>
          </w:p>
        </w:tc>
        <w:tc>
          <w:tcPr>
            <w:tcW w:w="833" w:type="pct"/>
            <w:tcBorders>
              <w:top w:val="single" w:sz="2" w:space="0" w:color="002279"/>
              <w:left w:val="single" w:sz="4" w:space="0" w:color="002279"/>
              <w:bottom w:val="single" w:sz="2" w:space="0" w:color="002279"/>
              <w:right w:val="single" w:sz="4" w:space="0" w:color="002279"/>
            </w:tcBorders>
            <w:shd w:val="clear" w:color="auto" w:fill="D4D6DF"/>
            <w:noWrap/>
            <w:vAlign w:val="center"/>
          </w:tcPr>
          <w:p w14:paraId="77E5815D" w14:textId="76A3F42F" w:rsidR="00B8686A" w:rsidRPr="00360131" w:rsidRDefault="00C37010" w:rsidP="00360131">
            <w:pPr>
              <w:jc w:val="center"/>
              <w:rPr>
                <w:rFonts w:cstheme="minorHAnsi"/>
              </w:rPr>
            </w:pPr>
            <w:r w:rsidRPr="003637EB">
              <w:t>$669.00</w:t>
            </w:r>
          </w:p>
        </w:tc>
        <w:tc>
          <w:tcPr>
            <w:tcW w:w="833" w:type="pct"/>
            <w:tcBorders>
              <w:top w:val="single" w:sz="2" w:space="0" w:color="002279"/>
              <w:left w:val="single" w:sz="4" w:space="0" w:color="002279"/>
              <w:bottom w:val="single" w:sz="2" w:space="0" w:color="002279"/>
              <w:right w:val="single" w:sz="4" w:space="0" w:color="002279"/>
            </w:tcBorders>
            <w:shd w:val="clear" w:color="auto" w:fill="D4D6DF"/>
            <w:noWrap/>
            <w:vAlign w:val="center"/>
          </w:tcPr>
          <w:p w14:paraId="3AA0C293" w14:textId="2978619D" w:rsidR="00B8686A" w:rsidRPr="00360131" w:rsidRDefault="00B8686A" w:rsidP="00360131">
            <w:pPr>
              <w:jc w:val="center"/>
              <w:rPr>
                <w:rFonts w:cstheme="minorHAnsi"/>
              </w:rPr>
            </w:pPr>
            <w:r w:rsidRPr="003637EB">
              <w:t>-$</w:t>
            </w:r>
            <w:r w:rsidR="00F876D4" w:rsidRPr="003417CD">
              <w:t>42.</w:t>
            </w:r>
            <w:r w:rsidR="00C37010" w:rsidRPr="003637EB">
              <w:t>77</w:t>
            </w:r>
          </w:p>
        </w:tc>
        <w:tc>
          <w:tcPr>
            <w:tcW w:w="833" w:type="pct"/>
            <w:tcBorders>
              <w:top w:val="single" w:sz="2" w:space="0" w:color="002279"/>
              <w:left w:val="single" w:sz="4" w:space="0" w:color="002279"/>
              <w:bottom w:val="single" w:sz="2" w:space="0" w:color="002279"/>
              <w:right w:val="single" w:sz="4" w:space="0" w:color="002279"/>
            </w:tcBorders>
            <w:shd w:val="clear" w:color="auto" w:fill="D4D6DF"/>
            <w:noWrap/>
            <w:vAlign w:val="center"/>
          </w:tcPr>
          <w:p w14:paraId="4455498F" w14:textId="27B8BABC" w:rsidR="00B8686A" w:rsidRPr="00360131" w:rsidRDefault="00B8686A" w:rsidP="00360131">
            <w:pPr>
              <w:jc w:val="center"/>
              <w:rPr>
                <w:rFonts w:cstheme="minorHAnsi"/>
              </w:rPr>
            </w:pPr>
            <w:r w:rsidRPr="003637EB">
              <w:t>-</w:t>
            </w:r>
            <w:r w:rsidR="00F876D4" w:rsidRPr="003417CD">
              <w:t>6.</w:t>
            </w:r>
            <w:r w:rsidR="00C37010" w:rsidRPr="003637EB">
              <w:t>01</w:t>
            </w:r>
            <w:r w:rsidRPr="003637EB">
              <w:t>%</w:t>
            </w:r>
          </w:p>
        </w:tc>
      </w:tr>
      <w:tr w:rsidR="00B8686A" w:rsidRPr="005278C6" w14:paraId="23325839" w14:textId="77777777" w:rsidTr="007F20E9">
        <w:trPr>
          <w:cnfStyle w:val="000000010000" w:firstRow="0" w:lastRow="0" w:firstColumn="0" w:lastColumn="0" w:oddVBand="0" w:evenVBand="0" w:oddHBand="0" w:evenHBand="1" w:firstRowFirstColumn="0" w:firstRowLastColumn="0" w:lastRowFirstColumn="0" w:lastRowLastColumn="0"/>
          <w:trHeight w:val="300"/>
        </w:trPr>
        <w:tc>
          <w:tcPr>
            <w:tcW w:w="833"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218E585C" w14:textId="28D75D99" w:rsidR="00B8686A" w:rsidRPr="00360131" w:rsidRDefault="00B8686A" w:rsidP="000D6114">
            <w:pPr>
              <w:rPr>
                <w:rFonts w:cstheme="minorHAnsi"/>
              </w:rPr>
            </w:pPr>
            <w:r w:rsidRPr="0097263A">
              <w:rPr>
                <w:rFonts w:cstheme="minorHAnsi"/>
              </w:rPr>
              <w:t>Owner</w:t>
            </w:r>
            <w:r w:rsidR="00F876D4" w:rsidRPr="003417CD">
              <w:t xml:space="preserve"> </w:t>
            </w:r>
            <w:r w:rsidRPr="0097263A">
              <w:rPr>
                <w:rFonts w:cstheme="minorHAnsi"/>
              </w:rPr>
              <w:t xml:space="preserve">occupier </w:t>
            </w:r>
            <w:r w:rsidR="00F876D4" w:rsidRPr="003417CD">
              <w:t>- Average</w:t>
            </w:r>
            <w:r w:rsidRPr="0097263A">
              <w:rPr>
                <w:rFonts w:cstheme="minorHAnsi"/>
              </w:rPr>
              <w:t xml:space="preserve"> user</w:t>
            </w:r>
          </w:p>
        </w:tc>
        <w:tc>
          <w:tcPr>
            <w:tcW w:w="833"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6CE083F5" w14:textId="77777777" w:rsidR="00B8686A" w:rsidRPr="00360131" w:rsidRDefault="00B8686A" w:rsidP="00360131">
            <w:pPr>
              <w:jc w:val="center"/>
              <w:rPr>
                <w:rFonts w:cstheme="minorHAnsi"/>
              </w:rPr>
            </w:pPr>
            <w:r w:rsidRPr="0097263A">
              <w:rPr>
                <w:rFonts w:cstheme="minorHAnsi"/>
              </w:rPr>
              <w:t>150</w:t>
            </w:r>
          </w:p>
        </w:tc>
        <w:tc>
          <w:tcPr>
            <w:tcW w:w="833"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tcPr>
          <w:p w14:paraId="7C33333B" w14:textId="15B5FA94" w:rsidR="00B8686A" w:rsidRPr="00360131" w:rsidRDefault="00B8686A" w:rsidP="00360131">
            <w:pPr>
              <w:jc w:val="center"/>
              <w:rPr>
                <w:rFonts w:cstheme="minorHAnsi"/>
              </w:rPr>
            </w:pPr>
            <w:r w:rsidRPr="0097263A">
              <w:rPr>
                <w:rFonts w:cstheme="minorHAnsi"/>
              </w:rPr>
              <w:t>$966.</w:t>
            </w:r>
            <w:r w:rsidR="00F876D4" w:rsidRPr="003417CD">
              <w:t>95</w:t>
            </w:r>
          </w:p>
        </w:tc>
        <w:tc>
          <w:tcPr>
            <w:tcW w:w="833"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tcPr>
          <w:p w14:paraId="5341478F" w14:textId="65E337C6" w:rsidR="00B8686A" w:rsidRPr="00360131" w:rsidRDefault="00F876D4" w:rsidP="00360131">
            <w:pPr>
              <w:jc w:val="center"/>
              <w:rPr>
                <w:rFonts w:cstheme="minorHAnsi"/>
              </w:rPr>
            </w:pPr>
            <w:r w:rsidRPr="003417CD">
              <w:t>$908.</w:t>
            </w:r>
            <w:r w:rsidR="00C37010" w:rsidRPr="003637EB">
              <w:t>28</w:t>
            </w:r>
          </w:p>
        </w:tc>
        <w:tc>
          <w:tcPr>
            <w:tcW w:w="833"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tcPr>
          <w:p w14:paraId="0A630CCC" w14:textId="15CE2407" w:rsidR="00B8686A" w:rsidRPr="00360131" w:rsidRDefault="00B8686A" w:rsidP="00360131">
            <w:pPr>
              <w:jc w:val="center"/>
              <w:rPr>
                <w:rFonts w:cstheme="minorHAnsi"/>
              </w:rPr>
            </w:pPr>
            <w:r w:rsidRPr="003637EB">
              <w:t>-$</w:t>
            </w:r>
            <w:r w:rsidR="00F876D4" w:rsidRPr="003417CD">
              <w:t>58.</w:t>
            </w:r>
            <w:r w:rsidR="00C37010" w:rsidRPr="003637EB">
              <w:t>66</w:t>
            </w:r>
          </w:p>
        </w:tc>
        <w:tc>
          <w:tcPr>
            <w:tcW w:w="833"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tcPr>
          <w:p w14:paraId="14EEAB67" w14:textId="278FB7BF" w:rsidR="00B8686A" w:rsidRPr="00360131" w:rsidRDefault="00B8686A" w:rsidP="00360131">
            <w:pPr>
              <w:jc w:val="center"/>
              <w:rPr>
                <w:rFonts w:cstheme="minorHAnsi"/>
              </w:rPr>
            </w:pPr>
            <w:r w:rsidRPr="003637EB">
              <w:t>-6.</w:t>
            </w:r>
            <w:r w:rsidR="00C37010" w:rsidRPr="003637EB">
              <w:t>07</w:t>
            </w:r>
            <w:r w:rsidRPr="003637EB">
              <w:t>%</w:t>
            </w:r>
          </w:p>
        </w:tc>
      </w:tr>
      <w:tr w:rsidR="00B8686A" w:rsidRPr="005278C6" w14:paraId="3F248B47" w14:textId="77777777" w:rsidTr="007F20E9">
        <w:trPr>
          <w:cnfStyle w:val="000000100000" w:firstRow="0" w:lastRow="0" w:firstColumn="0" w:lastColumn="0" w:oddVBand="0" w:evenVBand="0" w:oddHBand="1" w:evenHBand="0" w:firstRowFirstColumn="0" w:firstRowLastColumn="0" w:lastRowFirstColumn="0" w:lastRowLastColumn="0"/>
          <w:trHeight w:val="300"/>
        </w:trPr>
        <w:tc>
          <w:tcPr>
            <w:tcW w:w="833" w:type="pct"/>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5D6F5953" w14:textId="2EEF3612" w:rsidR="00B8686A" w:rsidRPr="00360131" w:rsidRDefault="00B8686A" w:rsidP="000D6114">
            <w:pPr>
              <w:rPr>
                <w:rFonts w:cstheme="minorHAnsi"/>
              </w:rPr>
            </w:pPr>
            <w:r w:rsidRPr="0097263A">
              <w:rPr>
                <w:rFonts w:cstheme="minorHAnsi"/>
              </w:rPr>
              <w:t>Owner</w:t>
            </w:r>
            <w:r w:rsidR="00F876D4" w:rsidRPr="003417CD">
              <w:t xml:space="preserve"> </w:t>
            </w:r>
            <w:r w:rsidRPr="0097263A">
              <w:rPr>
                <w:rFonts w:cstheme="minorHAnsi"/>
              </w:rPr>
              <w:t xml:space="preserve">occupier </w:t>
            </w:r>
            <w:r w:rsidR="00F876D4" w:rsidRPr="003417CD">
              <w:t>- Large</w:t>
            </w:r>
            <w:r w:rsidRPr="0097263A">
              <w:rPr>
                <w:rFonts w:cstheme="minorHAnsi"/>
              </w:rPr>
              <w:t xml:space="preserve"> user</w:t>
            </w:r>
          </w:p>
        </w:tc>
        <w:tc>
          <w:tcPr>
            <w:tcW w:w="833" w:type="pct"/>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13C29E18" w14:textId="77777777" w:rsidR="00B8686A" w:rsidRPr="00360131" w:rsidRDefault="00B8686A" w:rsidP="00360131">
            <w:pPr>
              <w:jc w:val="center"/>
              <w:rPr>
                <w:rFonts w:cstheme="minorHAnsi"/>
              </w:rPr>
            </w:pPr>
            <w:r w:rsidRPr="0097263A">
              <w:rPr>
                <w:rFonts w:cstheme="minorHAnsi"/>
              </w:rPr>
              <w:t>300</w:t>
            </w:r>
          </w:p>
        </w:tc>
        <w:tc>
          <w:tcPr>
            <w:tcW w:w="833" w:type="pct"/>
            <w:tcBorders>
              <w:top w:val="single" w:sz="2" w:space="0" w:color="002279"/>
              <w:left w:val="single" w:sz="4" w:space="0" w:color="002279"/>
              <w:bottom w:val="single" w:sz="2" w:space="0" w:color="002279"/>
              <w:right w:val="single" w:sz="4" w:space="0" w:color="002279"/>
            </w:tcBorders>
            <w:shd w:val="clear" w:color="auto" w:fill="D4D6DF"/>
            <w:noWrap/>
            <w:vAlign w:val="center"/>
          </w:tcPr>
          <w:p w14:paraId="2C37C980" w14:textId="69AA6D56" w:rsidR="00B8686A" w:rsidRPr="00360131" w:rsidRDefault="00B8686A" w:rsidP="00360131">
            <w:pPr>
              <w:jc w:val="center"/>
              <w:rPr>
                <w:rFonts w:cstheme="minorHAnsi"/>
              </w:rPr>
            </w:pPr>
            <w:r w:rsidRPr="0097263A">
              <w:rPr>
                <w:rFonts w:cstheme="minorHAnsi"/>
              </w:rPr>
              <w:t>$1,</w:t>
            </w:r>
            <w:r w:rsidR="00F876D4" w:rsidRPr="003417CD">
              <w:t>583.85</w:t>
            </w:r>
          </w:p>
        </w:tc>
        <w:tc>
          <w:tcPr>
            <w:tcW w:w="833" w:type="pct"/>
            <w:tcBorders>
              <w:top w:val="single" w:sz="2" w:space="0" w:color="002279"/>
              <w:left w:val="single" w:sz="4" w:space="0" w:color="002279"/>
              <w:bottom w:val="single" w:sz="2" w:space="0" w:color="002279"/>
              <w:right w:val="single" w:sz="4" w:space="0" w:color="002279"/>
            </w:tcBorders>
            <w:shd w:val="clear" w:color="auto" w:fill="D4D6DF"/>
            <w:noWrap/>
            <w:vAlign w:val="center"/>
          </w:tcPr>
          <w:p w14:paraId="7339F19D" w14:textId="4FEC5655" w:rsidR="00B8686A" w:rsidRPr="00360131" w:rsidRDefault="00B8686A" w:rsidP="00360131">
            <w:pPr>
              <w:jc w:val="center"/>
              <w:rPr>
                <w:rFonts w:cstheme="minorHAnsi"/>
              </w:rPr>
            </w:pPr>
            <w:r w:rsidRPr="003637EB">
              <w:t>$1,</w:t>
            </w:r>
            <w:r w:rsidR="00F876D4" w:rsidRPr="003417CD">
              <w:t>510.</w:t>
            </w:r>
            <w:r w:rsidR="00C37010" w:rsidRPr="003637EB">
              <w:t>92</w:t>
            </w:r>
          </w:p>
        </w:tc>
        <w:tc>
          <w:tcPr>
            <w:tcW w:w="833" w:type="pct"/>
            <w:tcBorders>
              <w:top w:val="single" w:sz="2" w:space="0" w:color="002279"/>
              <w:left w:val="single" w:sz="4" w:space="0" w:color="002279"/>
              <w:bottom w:val="single" w:sz="2" w:space="0" w:color="002279"/>
              <w:right w:val="single" w:sz="4" w:space="0" w:color="002279"/>
            </w:tcBorders>
            <w:shd w:val="clear" w:color="auto" w:fill="D4D6DF"/>
            <w:noWrap/>
            <w:vAlign w:val="center"/>
          </w:tcPr>
          <w:p w14:paraId="10F70422" w14:textId="28C2061E" w:rsidR="00B8686A" w:rsidRPr="00360131" w:rsidRDefault="00B8686A" w:rsidP="00360131">
            <w:pPr>
              <w:jc w:val="center"/>
              <w:rPr>
                <w:rFonts w:cstheme="minorHAnsi"/>
              </w:rPr>
            </w:pPr>
            <w:r w:rsidRPr="003637EB">
              <w:t>-$</w:t>
            </w:r>
            <w:r w:rsidR="00C37010" w:rsidRPr="003637EB">
              <w:t>72.93</w:t>
            </w:r>
          </w:p>
        </w:tc>
        <w:tc>
          <w:tcPr>
            <w:tcW w:w="833" w:type="pct"/>
            <w:tcBorders>
              <w:top w:val="single" w:sz="2" w:space="0" w:color="002279"/>
              <w:left w:val="single" w:sz="4" w:space="0" w:color="002279"/>
              <w:bottom w:val="single" w:sz="2" w:space="0" w:color="002279"/>
              <w:right w:val="single" w:sz="4" w:space="0" w:color="002279"/>
            </w:tcBorders>
            <w:shd w:val="clear" w:color="auto" w:fill="D4D6DF"/>
            <w:noWrap/>
            <w:vAlign w:val="center"/>
          </w:tcPr>
          <w:p w14:paraId="6F6635A2" w14:textId="38EC7921" w:rsidR="00B8686A" w:rsidRPr="00360131" w:rsidRDefault="00B8686A" w:rsidP="00360131">
            <w:pPr>
              <w:jc w:val="center"/>
              <w:rPr>
                <w:rFonts w:cstheme="minorHAnsi"/>
              </w:rPr>
            </w:pPr>
            <w:r w:rsidRPr="003637EB">
              <w:t>-4.</w:t>
            </w:r>
            <w:r w:rsidR="00C37010" w:rsidRPr="003637EB">
              <w:t>60</w:t>
            </w:r>
            <w:r w:rsidRPr="003637EB">
              <w:t>%</w:t>
            </w:r>
          </w:p>
        </w:tc>
      </w:tr>
      <w:tr w:rsidR="00B8686A" w:rsidRPr="005278C6" w14:paraId="31F8E34C" w14:textId="77777777" w:rsidTr="007F20E9">
        <w:trPr>
          <w:cnfStyle w:val="000000010000" w:firstRow="0" w:lastRow="0" w:firstColumn="0" w:lastColumn="0" w:oddVBand="0" w:evenVBand="0" w:oddHBand="0" w:evenHBand="1" w:firstRowFirstColumn="0" w:firstRowLastColumn="0" w:lastRowFirstColumn="0" w:lastRowLastColumn="0"/>
          <w:trHeight w:val="300"/>
        </w:trPr>
        <w:tc>
          <w:tcPr>
            <w:tcW w:w="833"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77FFED58" w14:textId="1BFD895E" w:rsidR="00B8686A" w:rsidRPr="00360131" w:rsidRDefault="00B8686A" w:rsidP="000D6114">
            <w:pPr>
              <w:rPr>
                <w:rFonts w:cstheme="minorHAnsi"/>
              </w:rPr>
            </w:pPr>
            <w:r w:rsidRPr="0097263A">
              <w:rPr>
                <w:rFonts w:cstheme="minorHAnsi"/>
              </w:rPr>
              <w:t xml:space="preserve">Tenant </w:t>
            </w:r>
            <w:r w:rsidR="00F876D4" w:rsidRPr="003417CD">
              <w:t>- Small</w:t>
            </w:r>
            <w:r w:rsidRPr="0097263A">
              <w:rPr>
                <w:rFonts w:cstheme="minorHAnsi"/>
              </w:rPr>
              <w:t xml:space="preserve"> user</w:t>
            </w:r>
          </w:p>
        </w:tc>
        <w:tc>
          <w:tcPr>
            <w:tcW w:w="833"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30413EE8" w14:textId="77777777" w:rsidR="00B8686A" w:rsidRPr="00360131" w:rsidRDefault="00B8686A" w:rsidP="00360131">
            <w:pPr>
              <w:jc w:val="center"/>
              <w:rPr>
                <w:rFonts w:cstheme="minorHAnsi"/>
              </w:rPr>
            </w:pPr>
            <w:r w:rsidRPr="0097263A">
              <w:rPr>
                <w:rFonts w:cstheme="minorHAnsi"/>
              </w:rPr>
              <w:t>76</w:t>
            </w:r>
          </w:p>
        </w:tc>
        <w:tc>
          <w:tcPr>
            <w:tcW w:w="833"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tcPr>
          <w:p w14:paraId="52172086" w14:textId="77777777" w:rsidR="00B8686A" w:rsidRPr="00360131" w:rsidRDefault="00B8686A" w:rsidP="00360131">
            <w:pPr>
              <w:jc w:val="center"/>
              <w:rPr>
                <w:rFonts w:cstheme="minorHAnsi"/>
              </w:rPr>
            </w:pPr>
            <w:r w:rsidRPr="0097263A">
              <w:rPr>
                <w:rFonts w:cstheme="minorHAnsi"/>
              </w:rPr>
              <w:t>$260.28</w:t>
            </w:r>
          </w:p>
        </w:tc>
        <w:tc>
          <w:tcPr>
            <w:tcW w:w="833"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tcPr>
          <w:p w14:paraId="5C479124" w14:textId="24018877" w:rsidR="00B8686A" w:rsidRPr="00360131" w:rsidRDefault="00B8686A" w:rsidP="00360131">
            <w:pPr>
              <w:jc w:val="center"/>
              <w:rPr>
                <w:rFonts w:cstheme="minorHAnsi"/>
              </w:rPr>
            </w:pPr>
            <w:r w:rsidRPr="003637EB">
              <w:t>$243.</w:t>
            </w:r>
            <w:r w:rsidR="00C37010" w:rsidRPr="003637EB">
              <w:t>64</w:t>
            </w:r>
          </w:p>
        </w:tc>
        <w:tc>
          <w:tcPr>
            <w:tcW w:w="833"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tcPr>
          <w:p w14:paraId="4097F176" w14:textId="5D08160B" w:rsidR="00B8686A" w:rsidRPr="00360131" w:rsidRDefault="00B8686A" w:rsidP="00360131">
            <w:pPr>
              <w:jc w:val="center"/>
              <w:rPr>
                <w:rFonts w:cstheme="minorHAnsi"/>
              </w:rPr>
            </w:pPr>
            <w:r w:rsidRPr="003637EB">
              <w:t>-$16.</w:t>
            </w:r>
            <w:r w:rsidR="00C37010" w:rsidRPr="003637EB">
              <w:t>64</w:t>
            </w:r>
          </w:p>
        </w:tc>
        <w:tc>
          <w:tcPr>
            <w:tcW w:w="833"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tcPr>
          <w:p w14:paraId="20171E7A" w14:textId="06F5E8FC" w:rsidR="00B8686A" w:rsidRPr="00360131" w:rsidRDefault="00B8686A" w:rsidP="00360131">
            <w:pPr>
              <w:jc w:val="center"/>
              <w:rPr>
                <w:rFonts w:cstheme="minorHAnsi"/>
              </w:rPr>
            </w:pPr>
            <w:r w:rsidRPr="003637EB">
              <w:t>-6.</w:t>
            </w:r>
            <w:r w:rsidR="00C37010" w:rsidRPr="003637EB">
              <w:t>39</w:t>
            </w:r>
            <w:r w:rsidRPr="003637EB">
              <w:t>%</w:t>
            </w:r>
          </w:p>
        </w:tc>
      </w:tr>
      <w:tr w:rsidR="00B8686A" w:rsidRPr="005278C6" w14:paraId="3042299B" w14:textId="77777777" w:rsidTr="007F20E9">
        <w:trPr>
          <w:cnfStyle w:val="000000100000" w:firstRow="0" w:lastRow="0" w:firstColumn="0" w:lastColumn="0" w:oddVBand="0" w:evenVBand="0" w:oddHBand="1" w:evenHBand="0" w:firstRowFirstColumn="0" w:firstRowLastColumn="0" w:lastRowFirstColumn="0" w:lastRowLastColumn="0"/>
          <w:trHeight w:val="300"/>
        </w:trPr>
        <w:tc>
          <w:tcPr>
            <w:tcW w:w="833" w:type="pct"/>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34349E32" w14:textId="5BDE368B" w:rsidR="00B8686A" w:rsidRPr="00360131" w:rsidRDefault="00B8686A" w:rsidP="000D6114">
            <w:pPr>
              <w:rPr>
                <w:rFonts w:cstheme="minorHAnsi"/>
              </w:rPr>
            </w:pPr>
            <w:r w:rsidRPr="0097263A">
              <w:rPr>
                <w:rFonts w:cstheme="minorHAnsi"/>
              </w:rPr>
              <w:t xml:space="preserve">Tenant </w:t>
            </w:r>
            <w:r w:rsidR="00F876D4" w:rsidRPr="003417CD">
              <w:t>- Average</w:t>
            </w:r>
            <w:r w:rsidRPr="0097263A">
              <w:rPr>
                <w:rFonts w:cstheme="minorHAnsi"/>
              </w:rPr>
              <w:t xml:space="preserve"> user</w:t>
            </w:r>
          </w:p>
        </w:tc>
        <w:tc>
          <w:tcPr>
            <w:tcW w:w="833" w:type="pct"/>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61A5B7DB" w14:textId="77777777" w:rsidR="00B8686A" w:rsidRPr="00360131" w:rsidRDefault="00B8686A" w:rsidP="00360131">
            <w:pPr>
              <w:jc w:val="center"/>
              <w:rPr>
                <w:rFonts w:cstheme="minorHAnsi"/>
              </w:rPr>
            </w:pPr>
            <w:r w:rsidRPr="0097263A">
              <w:rPr>
                <w:rFonts w:cstheme="minorHAnsi"/>
              </w:rPr>
              <w:t>150</w:t>
            </w:r>
          </w:p>
        </w:tc>
        <w:tc>
          <w:tcPr>
            <w:tcW w:w="833" w:type="pct"/>
            <w:tcBorders>
              <w:top w:val="single" w:sz="2" w:space="0" w:color="002279"/>
              <w:left w:val="single" w:sz="4" w:space="0" w:color="002279"/>
              <w:bottom w:val="single" w:sz="2" w:space="0" w:color="002279"/>
              <w:right w:val="single" w:sz="4" w:space="0" w:color="002279"/>
            </w:tcBorders>
            <w:shd w:val="clear" w:color="auto" w:fill="D4D6DF"/>
            <w:noWrap/>
            <w:vAlign w:val="center"/>
          </w:tcPr>
          <w:p w14:paraId="2D8B48A4" w14:textId="77777777" w:rsidR="00B8686A" w:rsidRPr="00360131" w:rsidRDefault="00B8686A" w:rsidP="00360131">
            <w:pPr>
              <w:jc w:val="center"/>
              <w:rPr>
                <w:rFonts w:cstheme="minorHAnsi"/>
              </w:rPr>
            </w:pPr>
            <w:r w:rsidRPr="0097263A">
              <w:rPr>
                <w:rFonts w:cstheme="minorHAnsi"/>
              </w:rPr>
              <w:t>$515.47</w:t>
            </w:r>
          </w:p>
        </w:tc>
        <w:tc>
          <w:tcPr>
            <w:tcW w:w="833" w:type="pct"/>
            <w:tcBorders>
              <w:top w:val="single" w:sz="2" w:space="0" w:color="002279"/>
              <w:left w:val="single" w:sz="4" w:space="0" w:color="002279"/>
              <w:bottom w:val="single" w:sz="2" w:space="0" w:color="002279"/>
              <w:right w:val="single" w:sz="4" w:space="0" w:color="002279"/>
            </w:tcBorders>
            <w:shd w:val="clear" w:color="auto" w:fill="D4D6DF"/>
            <w:noWrap/>
            <w:vAlign w:val="center"/>
          </w:tcPr>
          <w:p w14:paraId="536E8DA0" w14:textId="12D8B857" w:rsidR="00B8686A" w:rsidRPr="00360131" w:rsidRDefault="00F876D4" w:rsidP="00360131">
            <w:pPr>
              <w:jc w:val="center"/>
              <w:rPr>
                <w:rFonts w:cstheme="minorHAnsi"/>
              </w:rPr>
            </w:pPr>
            <w:r w:rsidRPr="003417CD">
              <w:t>$482.</w:t>
            </w:r>
            <w:r w:rsidR="00C37010" w:rsidRPr="003637EB">
              <w:t>93</w:t>
            </w:r>
          </w:p>
        </w:tc>
        <w:tc>
          <w:tcPr>
            <w:tcW w:w="833" w:type="pct"/>
            <w:tcBorders>
              <w:top w:val="single" w:sz="2" w:space="0" w:color="002279"/>
              <w:left w:val="single" w:sz="4" w:space="0" w:color="002279"/>
              <w:bottom w:val="single" w:sz="2" w:space="0" w:color="002279"/>
              <w:right w:val="single" w:sz="4" w:space="0" w:color="002279"/>
            </w:tcBorders>
            <w:shd w:val="clear" w:color="auto" w:fill="D4D6DF"/>
            <w:noWrap/>
            <w:vAlign w:val="center"/>
          </w:tcPr>
          <w:p w14:paraId="533C08FE" w14:textId="5C3B387C" w:rsidR="00B8686A" w:rsidRPr="00360131" w:rsidRDefault="00B8686A" w:rsidP="00360131">
            <w:pPr>
              <w:jc w:val="center"/>
              <w:rPr>
                <w:rFonts w:cstheme="minorHAnsi"/>
              </w:rPr>
            </w:pPr>
            <w:r w:rsidRPr="003637EB">
              <w:t>-$</w:t>
            </w:r>
            <w:r w:rsidR="00F876D4" w:rsidRPr="003417CD">
              <w:t>32.</w:t>
            </w:r>
            <w:r w:rsidR="00C37010" w:rsidRPr="003637EB">
              <w:t>54</w:t>
            </w:r>
          </w:p>
        </w:tc>
        <w:tc>
          <w:tcPr>
            <w:tcW w:w="833" w:type="pct"/>
            <w:tcBorders>
              <w:top w:val="single" w:sz="2" w:space="0" w:color="002279"/>
              <w:left w:val="single" w:sz="4" w:space="0" w:color="002279"/>
              <w:bottom w:val="single" w:sz="2" w:space="0" w:color="002279"/>
              <w:right w:val="single" w:sz="4" w:space="0" w:color="002279"/>
            </w:tcBorders>
            <w:shd w:val="clear" w:color="auto" w:fill="D4D6DF"/>
            <w:noWrap/>
            <w:vAlign w:val="center"/>
          </w:tcPr>
          <w:p w14:paraId="4131D842" w14:textId="0E009EE5" w:rsidR="00B8686A" w:rsidRPr="00360131" w:rsidRDefault="00B8686A" w:rsidP="00360131">
            <w:pPr>
              <w:jc w:val="center"/>
              <w:rPr>
                <w:rFonts w:cstheme="minorHAnsi"/>
              </w:rPr>
            </w:pPr>
            <w:r w:rsidRPr="003637EB">
              <w:t>-6.</w:t>
            </w:r>
            <w:r w:rsidR="00C37010" w:rsidRPr="003637EB">
              <w:t>31</w:t>
            </w:r>
            <w:r w:rsidRPr="003637EB">
              <w:t>%</w:t>
            </w:r>
          </w:p>
        </w:tc>
      </w:tr>
      <w:tr w:rsidR="00B8686A" w:rsidRPr="005278C6" w14:paraId="61C0AAD2" w14:textId="77777777" w:rsidTr="007F20E9">
        <w:trPr>
          <w:cnfStyle w:val="000000010000" w:firstRow="0" w:lastRow="0" w:firstColumn="0" w:lastColumn="0" w:oddVBand="0" w:evenVBand="0" w:oddHBand="0" w:evenHBand="1" w:firstRowFirstColumn="0" w:firstRowLastColumn="0" w:lastRowFirstColumn="0" w:lastRowLastColumn="0"/>
          <w:trHeight w:val="300"/>
        </w:trPr>
        <w:tc>
          <w:tcPr>
            <w:tcW w:w="833"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7542D9AD" w14:textId="7F6F33EF" w:rsidR="00B8686A" w:rsidRPr="00360131" w:rsidRDefault="00B8686A" w:rsidP="000D6114">
            <w:pPr>
              <w:rPr>
                <w:rFonts w:cstheme="minorHAnsi"/>
              </w:rPr>
            </w:pPr>
            <w:r w:rsidRPr="0097263A">
              <w:rPr>
                <w:rFonts w:cstheme="minorHAnsi"/>
              </w:rPr>
              <w:t xml:space="preserve">Tenant </w:t>
            </w:r>
            <w:r w:rsidR="00F876D4" w:rsidRPr="003417CD">
              <w:t>- Large</w:t>
            </w:r>
            <w:r w:rsidRPr="0097263A">
              <w:rPr>
                <w:rFonts w:cstheme="minorHAnsi"/>
              </w:rPr>
              <w:t xml:space="preserve"> user</w:t>
            </w:r>
          </w:p>
        </w:tc>
        <w:tc>
          <w:tcPr>
            <w:tcW w:w="833"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20A5AECC" w14:textId="77777777" w:rsidR="00B8686A" w:rsidRPr="00360131" w:rsidRDefault="00B8686A" w:rsidP="00360131">
            <w:pPr>
              <w:jc w:val="center"/>
              <w:rPr>
                <w:rFonts w:cstheme="minorHAnsi"/>
              </w:rPr>
            </w:pPr>
            <w:r w:rsidRPr="0097263A">
              <w:rPr>
                <w:rFonts w:cstheme="minorHAnsi"/>
              </w:rPr>
              <w:t>300</w:t>
            </w:r>
          </w:p>
        </w:tc>
        <w:tc>
          <w:tcPr>
            <w:tcW w:w="833"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tcPr>
          <w:p w14:paraId="0F2F7FC9" w14:textId="6CA499A5" w:rsidR="00B8686A" w:rsidRPr="00360131" w:rsidRDefault="00B8686A" w:rsidP="00360131">
            <w:pPr>
              <w:jc w:val="center"/>
              <w:rPr>
                <w:rFonts w:cstheme="minorHAnsi"/>
              </w:rPr>
            </w:pPr>
            <w:r w:rsidRPr="0097263A">
              <w:rPr>
                <w:rFonts w:cstheme="minorHAnsi"/>
              </w:rPr>
              <w:t>$1,</w:t>
            </w:r>
            <w:r w:rsidR="00F876D4" w:rsidRPr="003417CD">
              <w:t>132.37</w:t>
            </w:r>
          </w:p>
        </w:tc>
        <w:tc>
          <w:tcPr>
            <w:tcW w:w="833"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tcPr>
          <w:p w14:paraId="2C45F3EC" w14:textId="4B3FB06E" w:rsidR="00B8686A" w:rsidRPr="00360131" w:rsidRDefault="00B8686A" w:rsidP="00360131">
            <w:pPr>
              <w:jc w:val="center"/>
              <w:rPr>
                <w:rFonts w:cstheme="minorHAnsi"/>
              </w:rPr>
            </w:pPr>
            <w:r w:rsidRPr="003637EB">
              <w:t>$1,</w:t>
            </w:r>
            <w:r w:rsidR="00F876D4" w:rsidRPr="003417CD">
              <w:t>085.</w:t>
            </w:r>
            <w:r w:rsidR="00C37010" w:rsidRPr="003637EB">
              <w:t>57</w:t>
            </w:r>
          </w:p>
        </w:tc>
        <w:tc>
          <w:tcPr>
            <w:tcW w:w="833"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tcPr>
          <w:p w14:paraId="12AB7D87" w14:textId="3A820E36" w:rsidR="00B8686A" w:rsidRPr="00360131" w:rsidRDefault="00B8686A" w:rsidP="00360131">
            <w:pPr>
              <w:jc w:val="center"/>
              <w:rPr>
                <w:rFonts w:cstheme="minorHAnsi"/>
              </w:rPr>
            </w:pPr>
            <w:r w:rsidRPr="003637EB">
              <w:t>-$</w:t>
            </w:r>
            <w:r w:rsidR="00C37010" w:rsidRPr="003637EB">
              <w:t>46.80</w:t>
            </w:r>
          </w:p>
        </w:tc>
        <w:tc>
          <w:tcPr>
            <w:tcW w:w="833" w:type="pct"/>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tcPr>
          <w:p w14:paraId="57FB60E2" w14:textId="755D14E1" w:rsidR="00B8686A" w:rsidRPr="00360131" w:rsidRDefault="00B8686A" w:rsidP="00360131">
            <w:pPr>
              <w:jc w:val="center"/>
              <w:rPr>
                <w:rFonts w:cstheme="minorHAnsi"/>
              </w:rPr>
            </w:pPr>
            <w:r w:rsidRPr="003637EB">
              <w:t>-</w:t>
            </w:r>
            <w:r w:rsidR="00F876D4" w:rsidRPr="003417CD">
              <w:t>4.</w:t>
            </w:r>
            <w:r w:rsidR="00C37010" w:rsidRPr="003637EB">
              <w:t>13</w:t>
            </w:r>
            <w:r w:rsidRPr="003637EB">
              <w:t>%</w:t>
            </w:r>
          </w:p>
        </w:tc>
      </w:tr>
      <w:tr w:rsidR="00B8686A" w:rsidRPr="005278C6" w14:paraId="30D4B131" w14:textId="77777777" w:rsidTr="007F20E9">
        <w:trPr>
          <w:cnfStyle w:val="000000100000" w:firstRow="0" w:lastRow="0" w:firstColumn="0" w:lastColumn="0" w:oddVBand="0" w:evenVBand="0" w:oddHBand="1" w:evenHBand="0" w:firstRowFirstColumn="0" w:firstRowLastColumn="0" w:lastRowFirstColumn="0" w:lastRowLastColumn="0"/>
          <w:trHeight w:val="300"/>
        </w:trPr>
        <w:tc>
          <w:tcPr>
            <w:tcW w:w="833" w:type="pct"/>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376629A2" w14:textId="723986F1" w:rsidR="00B8686A" w:rsidRPr="00360131" w:rsidRDefault="00EB5551" w:rsidP="000D6114">
            <w:pPr>
              <w:rPr>
                <w:rFonts w:cstheme="minorHAnsi"/>
              </w:rPr>
            </w:pPr>
            <w:r>
              <w:rPr>
                <w:rFonts w:cstheme="minorHAnsi"/>
              </w:rPr>
              <w:t xml:space="preserve">Owner occupier </w:t>
            </w:r>
            <w:r w:rsidR="002F4F4F">
              <w:rPr>
                <w:rFonts w:cstheme="minorHAnsi"/>
              </w:rPr>
              <w:t>-</w:t>
            </w:r>
            <w:r w:rsidR="00B8686A" w:rsidRPr="0097263A">
              <w:rPr>
                <w:rFonts w:cstheme="minorHAnsi"/>
              </w:rPr>
              <w:t xml:space="preserve"> </w:t>
            </w:r>
            <w:r w:rsidR="00F876D4" w:rsidRPr="003417CD">
              <w:t>Water</w:t>
            </w:r>
            <w:r w:rsidR="00E66278">
              <w:t>-</w:t>
            </w:r>
            <w:r w:rsidR="00B8686A" w:rsidRPr="0097263A">
              <w:rPr>
                <w:rFonts w:cstheme="minorHAnsi"/>
              </w:rPr>
              <w:t>only customer</w:t>
            </w:r>
          </w:p>
        </w:tc>
        <w:tc>
          <w:tcPr>
            <w:tcW w:w="833" w:type="pct"/>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6558028B" w14:textId="77777777" w:rsidR="00B8686A" w:rsidRPr="00360131" w:rsidRDefault="00B8686A" w:rsidP="00360131">
            <w:pPr>
              <w:jc w:val="center"/>
              <w:rPr>
                <w:rFonts w:cstheme="minorHAnsi"/>
              </w:rPr>
            </w:pPr>
            <w:r w:rsidRPr="0097263A">
              <w:rPr>
                <w:rFonts w:cstheme="minorHAnsi"/>
              </w:rPr>
              <w:t>150</w:t>
            </w:r>
          </w:p>
        </w:tc>
        <w:tc>
          <w:tcPr>
            <w:tcW w:w="833" w:type="pct"/>
            <w:tcBorders>
              <w:top w:val="single" w:sz="2" w:space="0" w:color="002279"/>
              <w:left w:val="single" w:sz="4" w:space="0" w:color="002279"/>
              <w:bottom w:val="single" w:sz="2" w:space="0" w:color="002279"/>
              <w:right w:val="single" w:sz="4" w:space="0" w:color="002279"/>
            </w:tcBorders>
            <w:shd w:val="clear" w:color="auto" w:fill="D4D6DF"/>
            <w:noWrap/>
            <w:vAlign w:val="center"/>
          </w:tcPr>
          <w:p w14:paraId="7C666E67" w14:textId="77777777" w:rsidR="00B8686A" w:rsidRPr="00360131" w:rsidRDefault="00B8686A" w:rsidP="00360131">
            <w:pPr>
              <w:jc w:val="center"/>
              <w:rPr>
                <w:rFonts w:cstheme="minorHAnsi"/>
              </w:rPr>
            </w:pPr>
            <w:r w:rsidRPr="0097263A">
              <w:rPr>
                <w:rFonts w:cstheme="minorHAnsi"/>
              </w:rPr>
              <w:t>$492.94</w:t>
            </w:r>
          </w:p>
        </w:tc>
        <w:tc>
          <w:tcPr>
            <w:tcW w:w="833" w:type="pct"/>
            <w:tcBorders>
              <w:top w:val="single" w:sz="2" w:space="0" w:color="002279"/>
              <w:left w:val="single" w:sz="4" w:space="0" w:color="002279"/>
              <w:bottom w:val="single" w:sz="2" w:space="0" w:color="002279"/>
              <w:right w:val="single" w:sz="4" w:space="0" w:color="002279"/>
            </w:tcBorders>
            <w:shd w:val="clear" w:color="auto" w:fill="D4D6DF"/>
            <w:noWrap/>
            <w:vAlign w:val="center"/>
          </w:tcPr>
          <w:p w14:paraId="00A65271" w14:textId="31074283" w:rsidR="00B8686A" w:rsidRPr="00360131" w:rsidRDefault="00B8686A" w:rsidP="00360131">
            <w:pPr>
              <w:jc w:val="center"/>
              <w:rPr>
                <w:rFonts w:cstheme="minorHAnsi"/>
              </w:rPr>
            </w:pPr>
            <w:r w:rsidRPr="003637EB">
              <w:t>$464.</w:t>
            </w:r>
            <w:r w:rsidR="00C37010" w:rsidRPr="003637EB">
              <w:t>42</w:t>
            </w:r>
          </w:p>
        </w:tc>
        <w:tc>
          <w:tcPr>
            <w:tcW w:w="833" w:type="pct"/>
            <w:tcBorders>
              <w:top w:val="single" w:sz="2" w:space="0" w:color="002279"/>
              <w:left w:val="single" w:sz="4" w:space="0" w:color="002279"/>
              <w:bottom w:val="single" w:sz="2" w:space="0" w:color="002279"/>
              <w:right w:val="single" w:sz="4" w:space="0" w:color="002279"/>
            </w:tcBorders>
            <w:shd w:val="clear" w:color="auto" w:fill="D4D6DF"/>
            <w:noWrap/>
            <w:vAlign w:val="center"/>
          </w:tcPr>
          <w:p w14:paraId="07B5779F" w14:textId="5C46206C" w:rsidR="00B8686A" w:rsidRPr="00360131" w:rsidRDefault="00B8686A" w:rsidP="00360131">
            <w:pPr>
              <w:jc w:val="center"/>
              <w:rPr>
                <w:rFonts w:cstheme="minorHAnsi"/>
              </w:rPr>
            </w:pPr>
            <w:r w:rsidRPr="003637EB">
              <w:t>-$</w:t>
            </w:r>
            <w:r w:rsidR="00F876D4" w:rsidRPr="003417CD">
              <w:t>28.</w:t>
            </w:r>
            <w:r w:rsidR="00C37010" w:rsidRPr="003637EB">
              <w:t>52</w:t>
            </w:r>
          </w:p>
        </w:tc>
        <w:tc>
          <w:tcPr>
            <w:tcW w:w="833" w:type="pct"/>
            <w:tcBorders>
              <w:top w:val="single" w:sz="2" w:space="0" w:color="002279"/>
              <w:left w:val="single" w:sz="4" w:space="0" w:color="002279"/>
              <w:bottom w:val="single" w:sz="2" w:space="0" w:color="002279"/>
              <w:right w:val="single" w:sz="4" w:space="0" w:color="002279"/>
            </w:tcBorders>
            <w:shd w:val="clear" w:color="auto" w:fill="D4D6DF"/>
            <w:noWrap/>
            <w:vAlign w:val="center"/>
          </w:tcPr>
          <w:p w14:paraId="57BAB593" w14:textId="5EA0B88D" w:rsidR="00B8686A" w:rsidRPr="00360131" w:rsidRDefault="00B8686A" w:rsidP="00360131">
            <w:pPr>
              <w:jc w:val="center"/>
              <w:rPr>
                <w:rFonts w:cstheme="minorHAnsi"/>
              </w:rPr>
            </w:pPr>
            <w:r w:rsidRPr="003637EB">
              <w:t>-5.</w:t>
            </w:r>
            <w:r w:rsidR="00C37010" w:rsidRPr="003637EB">
              <w:t>79</w:t>
            </w:r>
            <w:r w:rsidRPr="003637EB">
              <w:t>%</w:t>
            </w:r>
          </w:p>
        </w:tc>
      </w:tr>
      <w:tr w:rsidR="00B8686A" w:rsidRPr="005278C6" w14:paraId="02B440BB" w14:textId="77777777" w:rsidTr="007F20E9">
        <w:trPr>
          <w:cnfStyle w:val="000000010000" w:firstRow="0" w:lastRow="0" w:firstColumn="0" w:lastColumn="0" w:oddVBand="0" w:evenVBand="0" w:oddHBand="0" w:evenHBand="1" w:firstRowFirstColumn="0" w:firstRowLastColumn="0" w:lastRowFirstColumn="0" w:lastRowLastColumn="0"/>
          <w:trHeight w:val="561"/>
        </w:trPr>
        <w:tc>
          <w:tcPr>
            <w:tcW w:w="833" w:type="pct"/>
            <w:tcBorders>
              <w:top w:val="single" w:sz="2" w:space="0" w:color="002279"/>
              <w:left w:val="single" w:sz="4" w:space="0" w:color="002279"/>
              <w:bottom w:val="single" w:sz="4" w:space="0" w:color="002279"/>
              <w:right w:val="single" w:sz="4" w:space="0" w:color="002279"/>
            </w:tcBorders>
            <w:shd w:val="clear" w:color="auto" w:fill="FFFFFF" w:themeFill="background1"/>
            <w:noWrap/>
            <w:vAlign w:val="center"/>
            <w:hideMark/>
          </w:tcPr>
          <w:p w14:paraId="6A9E6C6E" w14:textId="4FBDC9B3" w:rsidR="00B8686A" w:rsidRPr="00360131" w:rsidRDefault="00F876D4" w:rsidP="000D6114">
            <w:pPr>
              <w:rPr>
                <w:rFonts w:cstheme="minorHAnsi"/>
              </w:rPr>
            </w:pPr>
            <w:r w:rsidRPr="003417CD">
              <w:t>Landlord</w:t>
            </w:r>
          </w:p>
        </w:tc>
        <w:tc>
          <w:tcPr>
            <w:tcW w:w="833" w:type="pct"/>
            <w:tcBorders>
              <w:top w:val="single" w:sz="2" w:space="0" w:color="002279"/>
              <w:left w:val="single" w:sz="4" w:space="0" w:color="002279"/>
              <w:bottom w:val="single" w:sz="4" w:space="0" w:color="002279"/>
              <w:right w:val="single" w:sz="4" w:space="0" w:color="002279"/>
            </w:tcBorders>
            <w:shd w:val="clear" w:color="auto" w:fill="FFFFFF" w:themeFill="background1"/>
            <w:noWrap/>
            <w:vAlign w:val="center"/>
            <w:hideMark/>
          </w:tcPr>
          <w:p w14:paraId="5AB2AAAD" w14:textId="77777777" w:rsidR="00B8686A" w:rsidRPr="00360131" w:rsidRDefault="00B8686A" w:rsidP="00F876D4">
            <w:pPr>
              <w:jc w:val="center"/>
              <w:rPr>
                <w:rFonts w:cstheme="minorHAnsi"/>
              </w:rPr>
            </w:pPr>
            <w:r w:rsidRPr="0097263A">
              <w:rPr>
                <w:rFonts w:cstheme="minorHAnsi"/>
              </w:rPr>
              <w:t>N/A</w:t>
            </w:r>
          </w:p>
        </w:tc>
        <w:tc>
          <w:tcPr>
            <w:tcW w:w="833" w:type="pct"/>
            <w:tcBorders>
              <w:top w:val="single" w:sz="2" w:space="0" w:color="002279"/>
              <w:left w:val="single" w:sz="4" w:space="0" w:color="002279"/>
              <w:bottom w:val="single" w:sz="4" w:space="0" w:color="002279"/>
              <w:right w:val="single" w:sz="4" w:space="0" w:color="002279"/>
            </w:tcBorders>
            <w:shd w:val="clear" w:color="auto" w:fill="FFFFFF" w:themeFill="background1"/>
            <w:noWrap/>
            <w:vAlign w:val="center"/>
          </w:tcPr>
          <w:p w14:paraId="134A8C36" w14:textId="5870D6EB" w:rsidR="00B8686A" w:rsidRPr="00360131" w:rsidRDefault="00B8686A" w:rsidP="00F876D4">
            <w:pPr>
              <w:jc w:val="center"/>
              <w:rPr>
                <w:rFonts w:cstheme="minorHAnsi"/>
              </w:rPr>
            </w:pPr>
            <w:r w:rsidRPr="0097263A">
              <w:rPr>
                <w:rFonts w:cstheme="minorHAnsi"/>
              </w:rPr>
              <w:t>$451.</w:t>
            </w:r>
            <w:r w:rsidR="00F876D4" w:rsidRPr="003417CD">
              <w:t>48</w:t>
            </w:r>
          </w:p>
        </w:tc>
        <w:tc>
          <w:tcPr>
            <w:tcW w:w="833" w:type="pct"/>
            <w:tcBorders>
              <w:top w:val="single" w:sz="2" w:space="0" w:color="002279"/>
              <w:left w:val="single" w:sz="4" w:space="0" w:color="002279"/>
              <w:bottom w:val="single" w:sz="4" w:space="0" w:color="002279"/>
              <w:right w:val="single" w:sz="4" w:space="0" w:color="002279"/>
            </w:tcBorders>
            <w:shd w:val="clear" w:color="auto" w:fill="FFFFFF" w:themeFill="background1"/>
            <w:noWrap/>
            <w:vAlign w:val="center"/>
          </w:tcPr>
          <w:p w14:paraId="2DF1B388" w14:textId="42AE2510" w:rsidR="00B8686A" w:rsidRPr="00360131" w:rsidRDefault="00B8686A" w:rsidP="00F876D4">
            <w:pPr>
              <w:jc w:val="center"/>
              <w:rPr>
                <w:rFonts w:cstheme="minorHAnsi"/>
              </w:rPr>
            </w:pPr>
            <w:r w:rsidRPr="003637EB">
              <w:t>$425.</w:t>
            </w:r>
            <w:r w:rsidR="00C37010" w:rsidRPr="003637EB">
              <w:t>36</w:t>
            </w:r>
          </w:p>
        </w:tc>
        <w:tc>
          <w:tcPr>
            <w:tcW w:w="833" w:type="pct"/>
            <w:tcBorders>
              <w:top w:val="single" w:sz="2" w:space="0" w:color="002279"/>
              <w:left w:val="single" w:sz="4" w:space="0" w:color="002279"/>
              <w:bottom w:val="single" w:sz="4" w:space="0" w:color="002279"/>
              <w:right w:val="single" w:sz="4" w:space="0" w:color="002279"/>
            </w:tcBorders>
            <w:shd w:val="clear" w:color="auto" w:fill="FFFFFF" w:themeFill="background1"/>
            <w:noWrap/>
            <w:vAlign w:val="center"/>
          </w:tcPr>
          <w:p w14:paraId="2C813FED" w14:textId="3BC4F4F1" w:rsidR="00B8686A" w:rsidRPr="00360131" w:rsidRDefault="00B8686A" w:rsidP="00F876D4">
            <w:pPr>
              <w:jc w:val="center"/>
              <w:rPr>
                <w:rFonts w:cstheme="minorHAnsi"/>
              </w:rPr>
            </w:pPr>
            <w:r w:rsidRPr="003637EB">
              <w:t>-$</w:t>
            </w:r>
            <w:r w:rsidR="00F876D4" w:rsidRPr="003417CD">
              <w:t>26.</w:t>
            </w:r>
            <w:r w:rsidR="00C37010" w:rsidRPr="003637EB">
              <w:t>12</w:t>
            </w:r>
          </w:p>
        </w:tc>
        <w:tc>
          <w:tcPr>
            <w:tcW w:w="833" w:type="pct"/>
            <w:tcBorders>
              <w:top w:val="single" w:sz="2" w:space="0" w:color="002279"/>
              <w:left w:val="single" w:sz="4" w:space="0" w:color="002279"/>
              <w:bottom w:val="single" w:sz="4" w:space="0" w:color="002279"/>
              <w:right w:val="single" w:sz="4" w:space="0" w:color="002279"/>
            </w:tcBorders>
            <w:shd w:val="clear" w:color="auto" w:fill="FFFFFF" w:themeFill="background1"/>
            <w:noWrap/>
            <w:vAlign w:val="center"/>
          </w:tcPr>
          <w:p w14:paraId="757E2091" w14:textId="219F2547" w:rsidR="00B8686A" w:rsidRPr="00360131" w:rsidRDefault="00B8686A" w:rsidP="00F876D4">
            <w:pPr>
              <w:jc w:val="center"/>
              <w:rPr>
                <w:rFonts w:cstheme="minorHAnsi"/>
              </w:rPr>
            </w:pPr>
            <w:r w:rsidRPr="003637EB">
              <w:t>-5.</w:t>
            </w:r>
            <w:r w:rsidR="00C37010" w:rsidRPr="003637EB">
              <w:t>79</w:t>
            </w:r>
            <w:r w:rsidRPr="003637EB">
              <w:t>%</w:t>
            </w:r>
          </w:p>
        </w:tc>
      </w:tr>
    </w:tbl>
    <w:p w14:paraId="582408B2" w14:textId="3FCA857B" w:rsidR="002A2444" w:rsidRDefault="002A2444" w:rsidP="002A2444">
      <w:pPr>
        <w:rPr>
          <w:rFonts w:asciiTheme="minorHAnsi" w:hAnsiTheme="minorHAnsi" w:cstheme="minorHAnsi"/>
          <w:sz w:val="20"/>
          <w:szCs w:val="20"/>
        </w:rPr>
      </w:pPr>
    </w:p>
    <w:p w14:paraId="576F8C1C" w14:textId="6D5EF280" w:rsidR="00B76DF4" w:rsidRDefault="00B76DF4" w:rsidP="002A2444">
      <w:pPr>
        <w:rPr>
          <w:rFonts w:asciiTheme="minorHAnsi" w:hAnsiTheme="minorHAnsi" w:cstheme="minorHAnsi"/>
          <w:sz w:val="20"/>
          <w:szCs w:val="20"/>
        </w:rPr>
      </w:pPr>
    </w:p>
    <w:p w14:paraId="6E89FAA7" w14:textId="3E61D713" w:rsidR="00B76DF4" w:rsidRDefault="00B76DF4" w:rsidP="002A2444">
      <w:pPr>
        <w:rPr>
          <w:rFonts w:asciiTheme="minorHAnsi" w:hAnsiTheme="minorHAnsi" w:cstheme="minorHAnsi"/>
          <w:sz w:val="20"/>
          <w:szCs w:val="20"/>
        </w:rPr>
      </w:pPr>
    </w:p>
    <w:p w14:paraId="4A84B7DD" w14:textId="608E6975" w:rsidR="00B76DF4" w:rsidRDefault="00B76DF4" w:rsidP="002A2444">
      <w:pPr>
        <w:rPr>
          <w:rFonts w:asciiTheme="minorHAnsi" w:hAnsiTheme="minorHAnsi" w:cstheme="minorHAnsi"/>
          <w:sz w:val="20"/>
          <w:szCs w:val="20"/>
        </w:rPr>
      </w:pPr>
    </w:p>
    <w:p w14:paraId="527094FB" w14:textId="4410351A" w:rsidR="00B76DF4" w:rsidRDefault="00B76DF4" w:rsidP="002A2444">
      <w:pPr>
        <w:rPr>
          <w:rFonts w:asciiTheme="minorHAnsi" w:hAnsiTheme="minorHAnsi" w:cstheme="minorHAnsi"/>
          <w:sz w:val="20"/>
          <w:szCs w:val="20"/>
        </w:rPr>
      </w:pPr>
    </w:p>
    <w:p w14:paraId="3CD21112" w14:textId="61E5A538" w:rsidR="00B76DF4" w:rsidRDefault="00B76DF4" w:rsidP="002A2444">
      <w:pPr>
        <w:rPr>
          <w:rFonts w:asciiTheme="minorHAnsi" w:hAnsiTheme="minorHAnsi" w:cstheme="minorHAnsi"/>
          <w:sz w:val="20"/>
          <w:szCs w:val="20"/>
        </w:rPr>
      </w:pPr>
    </w:p>
    <w:p w14:paraId="420052B3" w14:textId="77777777" w:rsidR="00B76DF4" w:rsidRDefault="00B76DF4" w:rsidP="002A2444">
      <w:pPr>
        <w:rPr>
          <w:rFonts w:asciiTheme="minorHAnsi" w:hAnsiTheme="minorHAnsi" w:cstheme="minorHAnsi"/>
          <w:sz w:val="20"/>
          <w:szCs w:val="20"/>
        </w:rPr>
      </w:pPr>
    </w:p>
    <w:p w14:paraId="5E0E341D" w14:textId="0AF48D8D" w:rsidR="0067099E" w:rsidRPr="0067099E" w:rsidRDefault="0067099E" w:rsidP="002819EA">
      <w:pPr>
        <w:pStyle w:val="NormalIndent"/>
        <w:spacing w:after="120"/>
        <w:ind w:left="0"/>
        <w:rPr>
          <w:rFonts w:cs="Arial"/>
          <w:b/>
          <w:i/>
        </w:rPr>
      </w:pPr>
      <w:r w:rsidRPr="00CE6C4E">
        <w:rPr>
          <w:b/>
          <w:i/>
        </w:rPr>
        <w:t>Table</w:t>
      </w:r>
      <w:r w:rsidR="00DE1F78">
        <w:rPr>
          <w:b/>
          <w:i/>
        </w:rPr>
        <w:t xml:space="preserve"> 58</w:t>
      </w:r>
      <w:r w:rsidRPr="007B339F">
        <w:rPr>
          <w:rFonts w:ascii="Arial" w:hAnsi="Arial" w:cs="Arial"/>
          <w:b/>
          <w:i/>
        </w:rPr>
        <w:t>:</w:t>
      </w:r>
      <w:r>
        <w:rPr>
          <w:rFonts w:ascii="Arial" w:hAnsi="Arial" w:cs="Arial"/>
          <w:b/>
          <w:i/>
        </w:rPr>
        <w:t xml:space="preserve"> Non-residential c</w:t>
      </w:r>
      <w:r>
        <w:rPr>
          <w:b/>
          <w:i/>
        </w:rPr>
        <w:t>ustomer bill impacts</w:t>
      </w:r>
      <w:r w:rsidR="000462C7">
        <w:rPr>
          <w:b/>
          <w:i/>
        </w:rPr>
        <w:t xml:space="preserve"> ($</w:t>
      </w:r>
      <w:r w:rsidR="000462C7" w:rsidRPr="00FD54FE">
        <w:rPr>
          <w:b/>
          <w:i/>
        </w:rPr>
        <w:t>2022</w:t>
      </w:r>
      <w:r w:rsidR="000462C7">
        <w:rPr>
          <w:b/>
          <w:i/>
        </w:rPr>
        <w:t>–</w:t>
      </w:r>
      <w:r w:rsidR="000462C7" w:rsidRPr="00FD54FE">
        <w:rPr>
          <w:b/>
          <w:i/>
        </w:rPr>
        <w:t>23</w:t>
      </w:r>
      <w:r w:rsidR="000462C7">
        <w:rPr>
          <w:b/>
          <w:i/>
        </w:rPr>
        <w:t>)</w:t>
      </w:r>
    </w:p>
    <w:tbl>
      <w:tblPr>
        <w:tblStyle w:val="MJTableStyle1default"/>
        <w:tblW w:w="9634" w:type="dxa"/>
        <w:tblInd w:w="5" w:type="dxa"/>
        <w:tblLayout w:type="fixed"/>
        <w:tblLook w:val="04A0" w:firstRow="1" w:lastRow="0" w:firstColumn="1" w:lastColumn="0" w:noHBand="0" w:noVBand="1"/>
      </w:tblPr>
      <w:tblGrid>
        <w:gridCol w:w="1605"/>
        <w:gridCol w:w="1605"/>
        <w:gridCol w:w="1606"/>
        <w:gridCol w:w="1606"/>
        <w:gridCol w:w="1606"/>
        <w:gridCol w:w="1606"/>
      </w:tblGrid>
      <w:tr w:rsidR="005278C6" w:rsidRPr="0082370E" w14:paraId="577B129C" w14:textId="77777777" w:rsidTr="007F20E9">
        <w:trPr>
          <w:cnfStyle w:val="100000000000" w:firstRow="1" w:lastRow="0" w:firstColumn="0" w:lastColumn="0" w:oddVBand="0" w:evenVBand="0" w:oddHBand="0" w:evenHBand="0" w:firstRowFirstColumn="0" w:firstRowLastColumn="0" w:lastRowFirstColumn="0" w:lastRowLastColumn="0"/>
          <w:trHeight w:val="567"/>
        </w:trPr>
        <w:tc>
          <w:tcPr>
            <w:tcW w:w="1605" w:type="dxa"/>
            <w:tcBorders>
              <w:top w:val="single" w:sz="4" w:space="0" w:color="002279"/>
              <w:left w:val="single" w:sz="4" w:space="0" w:color="002279"/>
              <w:bottom w:val="single" w:sz="2" w:space="0" w:color="002279"/>
              <w:right w:val="single" w:sz="4" w:space="0" w:color="FFFFFF" w:themeColor="background1"/>
            </w:tcBorders>
            <w:shd w:val="clear" w:color="auto" w:fill="002279"/>
            <w:noWrap/>
            <w:vAlign w:val="center"/>
            <w:hideMark/>
          </w:tcPr>
          <w:p w14:paraId="796E686F" w14:textId="2E7E9056" w:rsidR="00B8686A" w:rsidRPr="005278C6" w:rsidRDefault="00C438C8" w:rsidP="00AC3B85">
            <w:pPr>
              <w:rPr>
                <w:rFonts w:asciiTheme="minorHAnsi" w:hAnsiTheme="minorHAnsi" w:cstheme="minorHAnsi"/>
                <w:b/>
              </w:rPr>
            </w:pPr>
            <w:r>
              <w:rPr>
                <w:rFonts w:asciiTheme="minorHAnsi" w:hAnsiTheme="minorHAnsi" w:cstheme="minorHAnsi"/>
                <w:b/>
              </w:rPr>
              <w:t>Non-residential</w:t>
            </w:r>
            <w:r w:rsidR="00B8686A" w:rsidRPr="005278C6">
              <w:rPr>
                <w:rFonts w:asciiTheme="minorHAnsi" w:hAnsiTheme="minorHAnsi" w:cstheme="minorHAnsi"/>
                <w:b/>
              </w:rPr>
              <w:t xml:space="preserve"> customer</w:t>
            </w:r>
          </w:p>
        </w:tc>
        <w:tc>
          <w:tcPr>
            <w:tcW w:w="1605"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noWrap/>
            <w:vAlign w:val="center"/>
            <w:hideMark/>
          </w:tcPr>
          <w:p w14:paraId="1BA95E04" w14:textId="279F6ADF" w:rsidR="00B8686A" w:rsidRPr="005278C6" w:rsidRDefault="00B8686A" w:rsidP="00360131">
            <w:pPr>
              <w:jc w:val="center"/>
              <w:rPr>
                <w:rFonts w:asciiTheme="minorHAnsi" w:hAnsiTheme="minorHAnsi" w:cstheme="minorHAnsi"/>
                <w:b/>
              </w:rPr>
            </w:pPr>
            <w:r w:rsidRPr="005278C6">
              <w:rPr>
                <w:rFonts w:asciiTheme="minorHAnsi" w:hAnsiTheme="minorHAnsi" w:cstheme="minorHAnsi"/>
                <w:b/>
              </w:rPr>
              <w:t>Usage per year (</w:t>
            </w:r>
            <w:r w:rsidR="00C438C8" w:rsidRPr="00FD5BD5">
              <w:rPr>
                <w:rFonts w:asciiTheme="minorHAnsi" w:hAnsiTheme="minorHAnsi" w:cstheme="minorHAnsi"/>
                <w:b/>
              </w:rPr>
              <w:t>kl</w:t>
            </w:r>
            <w:r w:rsidRPr="005278C6">
              <w:rPr>
                <w:rFonts w:asciiTheme="minorHAnsi" w:hAnsiTheme="minorHAnsi" w:cstheme="minorHAnsi"/>
                <w:b/>
              </w:rPr>
              <w:t>)</w:t>
            </w:r>
          </w:p>
        </w:tc>
        <w:tc>
          <w:tcPr>
            <w:tcW w:w="1606"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noWrap/>
            <w:vAlign w:val="center"/>
            <w:hideMark/>
          </w:tcPr>
          <w:p w14:paraId="4B888450" w14:textId="397E0D87" w:rsidR="00B8686A" w:rsidRPr="005278C6" w:rsidRDefault="00B8686A" w:rsidP="00360131">
            <w:pPr>
              <w:jc w:val="center"/>
              <w:rPr>
                <w:rFonts w:asciiTheme="minorHAnsi" w:hAnsiTheme="minorHAnsi" w:cstheme="minorHAnsi"/>
                <w:b/>
              </w:rPr>
            </w:pPr>
            <w:r w:rsidRPr="005278C6">
              <w:rPr>
                <w:rFonts w:asciiTheme="minorHAnsi" w:hAnsiTheme="minorHAnsi" w:cstheme="minorHAnsi"/>
                <w:b/>
              </w:rPr>
              <w:t>2022</w:t>
            </w:r>
            <w:r w:rsidR="00C438C8" w:rsidRPr="00FD5BD5">
              <w:rPr>
                <w:rFonts w:asciiTheme="minorHAnsi" w:hAnsiTheme="minorHAnsi" w:cstheme="minorHAnsi"/>
                <w:b/>
              </w:rPr>
              <w:t>-</w:t>
            </w:r>
            <w:r w:rsidRPr="005278C6">
              <w:rPr>
                <w:rFonts w:asciiTheme="minorHAnsi" w:hAnsiTheme="minorHAnsi" w:cstheme="minorHAnsi"/>
                <w:b/>
              </w:rPr>
              <w:t>23 annual bill</w:t>
            </w:r>
            <w:r w:rsidR="00C438C8" w:rsidRPr="00FD5BD5">
              <w:rPr>
                <w:rFonts w:asciiTheme="minorHAnsi" w:hAnsiTheme="minorHAnsi" w:cstheme="minorHAnsi"/>
                <w:b/>
              </w:rPr>
              <w:t xml:space="preserve"> </w:t>
            </w:r>
          </w:p>
        </w:tc>
        <w:tc>
          <w:tcPr>
            <w:tcW w:w="1606"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vAlign w:val="center"/>
            <w:hideMark/>
          </w:tcPr>
          <w:p w14:paraId="4F48C821" w14:textId="44747784" w:rsidR="00B8686A" w:rsidRPr="005278C6" w:rsidRDefault="00B8686A" w:rsidP="00360131">
            <w:pPr>
              <w:jc w:val="center"/>
              <w:rPr>
                <w:rFonts w:asciiTheme="minorHAnsi" w:hAnsiTheme="minorHAnsi" w:cstheme="minorHAnsi"/>
                <w:b/>
              </w:rPr>
            </w:pPr>
            <w:r w:rsidRPr="005278C6">
              <w:rPr>
                <w:rFonts w:asciiTheme="minorHAnsi" w:hAnsiTheme="minorHAnsi" w:cstheme="minorHAnsi"/>
                <w:b/>
              </w:rPr>
              <w:t>2023</w:t>
            </w:r>
            <w:r w:rsidR="00C438C8" w:rsidRPr="00FD5BD5">
              <w:rPr>
                <w:rFonts w:asciiTheme="minorHAnsi" w:hAnsiTheme="minorHAnsi" w:cstheme="minorHAnsi"/>
                <w:b/>
              </w:rPr>
              <w:t>-</w:t>
            </w:r>
            <w:r w:rsidRPr="005278C6">
              <w:rPr>
                <w:rFonts w:asciiTheme="minorHAnsi" w:hAnsiTheme="minorHAnsi" w:cstheme="minorHAnsi"/>
                <w:b/>
              </w:rPr>
              <w:t>24 annual bill</w:t>
            </w:r>
            <w:r w:rsidR="00C438C8" w:rsidRPr="00FD5BD5">
              <w:rPr>
                <w:rFonts w:asciiTheme="minorHAnsi" w:hAnsiTheme="minorHAnsi" w:cstheme="minorHAnsi"/>
                <w:b/>
              </w:rPr>
              <w:t xml:space="preserve"> </w:t>
            </w:r>
          </w:p>
        </w:tc>
        <w:tc>
          <w:tcPr>
            <w:tcW w:w="1606"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vAlign w:val="center"/>
            <w:hideMark/>
          </w:tcPr>
          <w:p w14:paraId="36327660" w14:textId="539119E6" w:rsidR="00B8686A" w:rsidRPr="005278C6" w:rsidRDefault="00B8686A" w:rsidP="00360131">
            <w:pPr>
              <w:jc w:val="center"/>
              <w:rPr>
                <w:rFonts w:asciiTheme="minorHAnsi" w:hAnsiTheme="minorHAnsi" w:cstheme="minorHAnsi"/>
                <w:b/>
              </w:rPr>
            </w:pPr>
            <w:r w:rsidRPr="005278C6">
              <w:rPr>
                <w:rFonts w:asciiTheme="minorHAnsi" w:hAnsiTheme="minorHAnsi" w:cstheme="minorHAnsi"/>
                <w:b/>
              </w:rPr>
              <w:t>$ change</w:t>
            </w:r>
            <w:r w:rsidR="00C438C8" w:rsidRPr="00FD5BD5">
              <w:rPr>
                <w:rFonts w:asciiTheme="minorHAnsi" w:hAnsiTheme="minorHAnsi" w:cstheme="minorHAnsi"/>
                <w:b/>
              </w:rPr>
              <w:t xml:space="preserve"> </w:t>
            </w:r>
          </w:p>
        </w:tc>
        <w:tc>
          <w:tcPr>
            <w:tcW w:w="1606" w:type="dxa"/>
            <w:tcBorders>
              <w:top w:val="single" w:sz="4" w:space="0" w:color="002279"/>
              <w:left w:val="single" w:sz="4" w:space="0" w:color="FFFFFF" w:themeColor="background1"/>
              <w:bottom w:val="single" w:sz="2" w:space="0" w:color="002279"/>
              <w:right w:val="single" w:sz="4" w:space="0" w:color="002279"/>
            </w:tcBorders>
            <w:shd w:val="clear" w:color="auto" w:fill="002279"/>
            <w:vAlign w:val="center"/>
            <w:hideMark/>
          </w:tcPr>
          <w:p w14:paraId="48F4194A" w14:textId="6543BBE5" w:rsidR="00B8686A" w:rsidRPr="005278C6" w:rsidRDefault="00B8686A" w:rsidP="00360131">
            <w:pPr>
              <w:jc w:val="center"/>
              <w:rPr>
                <w:rFonts w:asciiTheme="minorHAnsi" w:hAnsiTheme="minorHAnsi" w:cstheme="minorHAnsi"/>
                <w:b/>
              </w:rPr>
            </w:pPr>
            <w:r w:rsidRPr="005278C6">
              <w:rPr>
                <w:rFonts w:asciiTheme="minorHAnsi" w:hAnsiTheme="minorHAnsi" w:cstheme="minorHAnsi"/>
                <w:b/>
              </w:rPr>
              <w:t>% change</w:t>
            </w:r>
          </w:p>
        </w:tc>
      </w:tr>
      <w:tr w:rsidR="005278C6" w:rsidRPr="0082370E" w14:paraId="69D3EB5A" w14:textId="77777777" w:rsidTr="007F20E9">
        <w:trPr>
          <w:cnfStyle w:val="000000100000" w:firstRow="0" w:lastRow="0" w:firstColumn="0" w:lastColumn="0" w:oddVBand="0" w:evenVBand="0" w:oddHBand="1" w:evenHBand="0" w:firstRowFirstColumn="0" w:firstRowLastColumn="0" w:lastRowFirstColumn="0" w:lastRowLastColumn="0"/>
          <w:trHeight w:val="300"/>
        </w:trPr>
        <w:tc>
          <w:tcPr>
            <w:tcW w:w="1605" w:type="dxa"/>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2785C5A3" w14:textId="075BD92E" w:rsidR="00B8686A" w:rsidRPr="005278C6" w:rsidRDefault="00C438C8" w:rsidP="000D6114">
            <w:pPr>
              <w:rPr>
                <w:rFonts w:cstheme="minorHAnsi"/>
              </w:rPr>
            </w:pPr>
            <w:r w:rsidRPr="0054057C">
              <w:t>Non-residential customer - Small</w:t>
            </w:r>
          </w:p>
        </w:tc>
        <w:tc>
          <w:tcPr>
            <w:tcW w:w="1605" w:type="dxa"/>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51FBC552" w14:textId="562326F9" w:rsidR="00B8686A" w:rsidRPr="005278C6" w:rsidRDefault="00B8686A" w:rsidP="00360131">
            <w:pPr>
              <w:jc w:val="center"/>
              <w:rPr>
                <w:rFonts w:cstheme="minorHAnsi"/>
              </w:rPr>
            </w:pPr>
            <w:r w:rsidRPr="0054057C">
              <w:t>150</w:t>
            </w:r>
          </w:p>
        </w:tc>
        <w:tc>
          <w:tcPr>
            <w:tcW w:w="1606" w:type="dxa"/>
            <w:tcBorders>
              <w:top w:val="single" w:sz="2" w:space="0" w:color="002279"/>
              <w:left w:val="single" w:sz="4" w:space="0" w:color="002279"/>
              <w:bottom w:val="single" w:sz="2" w:space="0" w:color="002279"/>
              <w:right w:val="single" w:sz="4" w:space="0" w:color="002279"/>
            </w:tcBorders>
            <w:shd w:val="clear" w:color="auto" w:fill="D4D6DF"/>
            <w:noWrap/>
            <w:vAlign w:val="center"/>
            <w:hideMark/>
          </w:tcPr>
          <w:p w14:paraId="42CDC317" w14:textId="5D458C81" w:rsidR="00B8686A" w:rsidRPr="005278C6" w:rsidRDefault="00B8686A" w:rsidP="00360131">
            <w:pPr>
              <w:jc w:val="center"/>
              <w:rPr>
                <w:rFonts w:cstheme="minorHAnsi"/>
              </w:rPr>
            </w:pPr>
            <w:r w:rsidRPr="0054057C">
              <w:t>$1,281.45</w:t>
            </w:r>
          </w:p>
        </w:tc>
        <w:tc>
          <w:tcPr>
            <w:tcW w:w="1606" w:type="dxa"/>
            <w:tcBorders>
              <w:top w:val="single" w:sz="2" w:space="0" w:color="002279"/>
              <w:left w:val="single" w:sz="4" w:space="0" w:color="002279"/>
              <w:bottom w:val="single" w:sz="2" w:space="0" w:color="002279"/>
              <w:right w:val="single" w:sz="4" w:space="0" w:color="002279"/>
            </w:tcBorders>
            <w:shd w:val="clear" w:color="auto" w:fill="D4D6DF"/>
            <w:noWrap/>
            <w:vAlign w:val="center"/>
          </w:tcPr>
          <w:p w14:paraId="6AC21D33" w14:textId="134AC99F" w:rsidR="00B8686A" w:rsidRPr="005278C6" w:rsidRDefault="00B8686A" w:rsidP="00360131">
            <w:pPr>
              <w:jc w:val="center"/>
              <w:rPr>
                <w:rFonts w:cstheme="minorHAnsi"/>
              </w:rPr>
            </w:pPr>
            <w:r w:rsidRPr="0054057C">
              <w:t>$1,</w:t>
            </w:r>
            <w:r w:rsidR="00C438C8" w:rsidRPr="0054057C">
              <w:t>207.</w:t>
            </w:r>
            <w:r w:rsidR="00244331" w:rsidRPr="00D0680F">
              <w:t>30</w:t>
            </w:r>
          </w:p>
        </w:tc>
        <w:tc>
          <w:tcPr>
            <w:tcW w:w="1606" w:type="dxa"/>
            <w:tcBorders>
              <w:top w:val="single" w:sz="2" w:space="0" w:color="002279"/>
              <w:left w:val="single" w:sz="4" w:space="0" w:color="002279"/>
              <w:bottom w:val="single" w:sz="2" w:space="0" w:color="002279"/>
              <w:right w:val="single" w:sz="4" w:space="0" w:color="002279"/>
            </w:tcBorders>
            <w:shd w:val="clear" w:color="auto" w:fill="D4D6DF"/>
            <w:noWrap/>
            <w:vAlign w:val="center"/>
          </w:tcPr>
          <w:p w14:paraId="33E7112F" w14:textId="377906B6" w:rsidR="00B8686A" w:rsidRPr="005278C6" w:rsidRDefault="00B8686A" w:rsidP="00360131">
            <w:pPr>
              <w:jc w:val="center"/>
              <w:rPr>
                <w:rFonts w:cstheme="minorHAnsi"/>
              </w:rPr>
            </w:pPr>
            <w:r w:rsidRPr="0054057C">
              <w:t>-$</w:t>
            </w:r>
            <w:r w:rsidR="00C438C8" w:rsidRPr="0054057C">
              <w:t>74.</w:t>
            </w:r>
            <w:r w:rsidR="00244331" w:rsidRPr="00D0680F">
              <w:t>15</w:t>
            </w:r>
          </w:p>
        </w:tc>
        <w:tc>
          <w:tcPr>
            <w:tcW w:w="1606" w:type="dxa"/>
            <w:tcBorders>
              <w:top w:val="single" w:sz="2" w:space="0" w:color="002279"/>
              <w:left w:val="single" w:sz="4" w:space="0" w:color="002279"/>
              <w:bottom w:val="single" w:sz="2" w:space="0" w:color="002279"/>
              <w:right w:val="single" w:sz="4" w:space="0" w:color="002279"/>
            </w:tcBorders>
            <w:shd w:val="clear" w:color="auto" w:fill="D4D6DF"/>
            <w:noWrap/>
            <w:vAlign w:val="center"/>
          </w:tcPr>
          <w:p w14:paraId="428B01E1" w14:textId="4D62923B" w:rsidR="00B8686A" w:rsidRPr="005278C6" w:rsidRDefault="00B8686A" w:rsidP="00360131">
            <w:pPr>
              <w:jc w:val="center"/>
              <w:rPr>
                <w:rFonts w:cstheme="minorHAnsi"/>
              </w:rPr>
            </w:pPr>
            <w:r w:rsidRPr="0054057C">
              <w:t>-5.</w:t>
            </w:r>
            <w:r w:rsidR="00244331" w:rsidRPr="00D0680F">
              <w:t>79</w:t>
            </w:r>
            <w:r w:rsidRPr="0054057C">
              <w:t>%</w:t>
            </w:r>
          </w:p>
        </w:tc>
      </w:tr>
      <w:tr w:rsidR="005278C6" w:rsidRPr="0082370E" w14:paraId="341AF7FE" w14:textId="77777777" w:rsidTr="007F20E9">
        <w:trPr>
          <w:cnfStyle w:val="000000010000" w:firstRow="0" w:lastRow="0" w:firstColumn="0" w:lastColumn="0" w:oddVBand="0" w:evenVBand="0" w:oddHBand="0" w:evenHBand="1" w:firstRowFirstColumn="0" w:firstRowLastColumn="0" w:lastRowFirstColumn="0" w:lastRowLastColumn="0"/>
          <w:trHeight w:val="300"/>
        </w:trPr>
        <w:tc>
          <w:tcPr>
            <w:tcW w:w="1605" w:type="dxa"/>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01F8DB01" w14:textId="4DA73C61" w:rsidR="00B8686A" w:rsidRPr="005278C6" w:rsidRDefault="00C438C8" w:rsidP="000D6114">
            <w:pPr>
              <w:rPr>
                <w:rFonts w:cstheme="minorHAnsi"/>
              </w:rPr>
            </w:pPr>
            <w:r w:rsidRPr="0054057C">
              <w:t>Non-residential customer - Medium</w:t>
            </w:r>
          </w:p>
        </w:tc>
        <w:tc>
          <w:tcPr>
            <w:tcW w:w="1605" w:type="dxa"/>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42F659C7" w14:textId="386BA2A5" w:rsidR="00B8686A" w:rsidRPr="005278C6" w:rsidRDefault="00B8686A" w:rsidP="00360131">
            <w:pPr>
              <w:jc w:val="center"/>
              <w:rPr>
                <w:rFonts w:cstheme="minorHAnsi"/>
              </w:rPr>
            </w:pPr>
            <w:r w:rsidRPr="0054057C">
              <w:t>1,000</w:t>
            </w:r>
          </w:p>
        </w:tc>
        <w:tc>
          <w:tcPr>
            <w:tcW w:w="1606" w:type="dxa"/>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hideMark/>
          </w:tcPr>
          <w:p w14:paraId="7FDF0BC5" w14:textId="2C40E905" w:rsidR="00B8686A" w:rsidRPr="005278C6" w:rsidRDefault="00B8686A" w:rsidP="00360131">
            <w:pPr>
              <w:jc w:val="center"/>
              <w:rPr>
                <w:rFonts w:cstheme="minorHAnsi"/>
              </w:rPr>
            </w:pPr>
            <w:r w:rsidRPr="0054057C">
              <w:t>$5,593.84</w:t>
            </w:r>
          </w:p>
        </w:tc>
        <w:tc>
          <w:tcPr>
            <w:tcW w:w="1606" w:type="dxa"/>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tcPr>
          <w:p w14:paraId="2AD38BAA" w14:textId="1EEC0F6F" w:rsidR="00B8686A" w:rsidRPr="005278C6" w:rsidRDefault="00B8686A" w:rsidP="00360131">
            <w:pPr>
              <w:jc w:val="center"/>
              <w:rPr>
                <w:rFonts w:cstheme="minorHAnsi"/>
              </w:rPr>
            </w:pPr>
            <w:r w:rsidRPr="0054057C">
              <w:t>$5,</w:t>
            </w:r>
            <w:r w:rsidR="00244331" w:rsidRPr="00D0680F">
              <w:t>270.16</w:t>
            </w:r>
          </w:p>
        </w:tc>
        <w:tc>
          <w:tcPr>
            <w:tcW w:w="1606" w:type="dxa"/>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tcPr>
          <w:p w14:paraId="10A1BF6B" w14:textId="110F98CD" w:rsidR="00B8686A" w:rsidRPr="005278C6" w:rsidRDefault="00244331" w:rsidP="00360131">
            <w:pPr>
              <w:jc w:val="center"/>
              <w:rPr>
                <w:rFonts w:cstheme="minorHAnsi"/>
              </w:rPr>
            </w:pPr>
            <w:r w:rsidRPr="00D0680F">
              <w:t>-$323.68</w:t>
            </w:r>
          </w:p>
        </w:tc>
        <w:tc>
          <w:tcPr>
            <w:tcW w:w="1606" w:type="dxa"/>
            <w:tcBorders>
              <w:top w:val="single" w:sz="2" w:space="0" w:color="002279"/>
              <w:left w:val="single" w:sz="4" w:space="0" w:color="002279"/>
              <w:bottom w:val="single" w:sz="2" w:space="0" w:color="002279"/>
              <w:right w:val="single" w:sz="4" w:space="0" w:color="002279"/>
            </w:tcBorders>
            <w:shd w:val="clear" w:color="auto" w:fill="FFFFFF" w:themeFill="background1"/>
            <w:noWrap/>
            <w:vAlign w:val="center"/>
          </w:tcPr>
          <w:p w14:paraId="28392A5D" w14:textId="3BEDB759" w:rsidR="00B8686A" w:rsidRPr="005278C6" w:rsidRDefault="00B8686A" w:rsidP="00360131">
            <w:pPr>
              <w:jc w:val="center"/>
              <w:rPr>
                <w:rFonts w:cstheme="minorHAnsi"/>
              </w:rPr>
            </w:pPr>
            <w:r w:rsidRPr="0054057C">
              <w:t>-5.</w:t>
            </w:r>
            <w:r w:rsidR="00244331" w:rsidRPr="00D0680F">
              <w:t>79</w:t>
            </w:r>
            <w:r w:rsidRPr="0054057C">
              <w:t>%</w:t>
            </w:r>
          </w:p>
        </w:tc>
      </w:tr>
      <w:tr w:rsidR="005278C6" w:rsidRPr="0082370E" w14:paraId="16B387AE" w14:textId="77777777" w:rsidTr="007F20E9">
        <w:trPr>
          <w:cnfStyle w:val="000000100000" w:firstRow="0" w:lastRow="0" w:firstColumn="0" w:lastColumn="0" w:oddVBand="0" w:evenVBand="0" w:oddHBand="1" w:evenHBand="0" w:firstRowFirstColumn="0" w:firstRowLastColumn="0" w:lastRowFirstColumn="0" w:lastRowLastColumn="0"/>
          <w:trHeight w:val="300"/>
        </w:trPr>
        <w:tc>
          <w:tcPr>
            <w:tcW w:w="1605" w:type="dxa"/>
            <w:tcBorders>
              <w:top w:val="single" w:sz="2" w:space="0" w:color="002279"/>
              <w:left w:val="single" w:sz="4" w:space="0" w:color="002279"/>
              <w:bottom w:val="single" w:sz="4" w:space="0" w:color="002279"/>
              <w:right w:val="single" w:sz="4" w:space="0" w:color="002279"/>
            </w:tcBorders>
            <w:shd w:val="clear" w:color="auto" w:fill="D4D6DF"/>
            <w:noWrap/>
            <w:vAlign w:val="center"/>
            <w:hideMark/>
          </w:tcPr>
          <w:p w14:paraId="09A8ACAF" w14:textId="54BB48F4" w:rsidR="00B8686A" w:rsidRPr="005278C6" w:rsidRDefault="00C438C8" w:rsidP="000D6114">
            <w:pPr>
              <w:rPr>
                <w:rFonts w:cstheme="minorHAnsi"/>
              </w:rPr>
            </w:pPr>
            <w:r w:rsidRPr="0054057C">
              <w:t>Non-residential customer - Large</w:t>
            </w:r>
          </w:p>
        </w:tc>
        <w:tc>
          <w:tcPr>
            <w:tcW w:w="1605" w:type="dxa"/>
            <w:tcBorders>
              <w:top w:val="single" w:sz="2" w:space="0" w:color="002279"/>
              <w:left w:val="single" w:sz="4" w:space="0" w:color="002279"/>
              <w:bottom w:val="single" w:sz="4" w:space="0" w:color="002279"/>
              <w:right w:val="single" w:sz="4" w:space="0" w:color="002279"/>
            </w:tcBorders>
            <w:shd w:val="clear" w:color="auto" w:fill="D4D6DF"/>
            <w:noWrap/>
            <w:vAlign w:val="center"/>
            <w:hideMark/>
          </w:tcPr>
          <w:p w14:paraId="26F56E26" w14:textId="53F6F662" w:rsidR="00B8686A" w:rsidRPr="005278C6" w:rsidRDefault="00B8686A" w:rsidP="00360131">
            <w:pPr>
              <w:jc w:val="center"/>
              <w:rPr>
                <w:rFonts w:cstheme="minorHAnsi"/>
              </w:rPr>
            </w:pPr>
            <w:r w:rsidRPr="0054057C">
              <w:t>10,000</w:t>
            </w:r>
          </w:p>
        </w:tc>
        <w:tc>
          <w:tcPr>
            <w:tcW w:w="1606" w:type="dxa"/>
            <w:tcBorders>
              <w:top w:val="single" w:sz="2" w:space="0" w:color="002279"/>
              <w:left w:val="single" w:sz="4" w:space="0" w:color="002279"/>
              <w:bottom w:val="single" w:sz="4" w:space="0" w:color="002279"/>
              <w:right w:val="single" w:sz="4" w:space="0" w:color="002279"/>
            </w:tcBorders>
            <w:shd w:val="clear" w:color="auto" w:fill="D4D6DF"/>
            <w:noWrap/>
            <w:vAlign w:val="center"/>
            <w:hideMark/>
          </w:tcPr>
          <w:p w14:paraId="308F609A" w14:textId="54DA0D25" w:rsidR="00B8686A" w:rsidRPr="005278C6" w:rsidRDefault="00B8686A" w:rsidP="00360131">
            <w:pPr>
              <w:jc w:val="center"/>
              <w:rPr>
                <w:rFonts w:cstheme="minorHAnsi"/>
              </w:rPr>
            </w:pPr>
            <w:r w:rsidRPr="0054057C">
              <w:t>$51,254.</w:t>
            </w:r>
            <w:r w:rsidR="00C438C8" w:rsidRPr="0054057C">
              <w:t>44</w:t>
            </w:r>
          </w:p>
        </w:tc>
        <w:tc>
          <w:tcPr>
            <w:tcW w:w="1606" w:type="dxa"/>
            <w:tcBorders>
              <w:top w:val="single" w:sz="2" w:space="0" w:color="002279"/>
              <w:left w:val="single" w:sz="4" w:space="0" w:color="002279"/>
              <w:bottom w:val="single" w:sz="4" w:space="0" w:color="002279"/>
              <w:right w:val="single" w:sz="4" w:space="0" w:color="002279"/>
            </w:tcBorders>
            <w:shd w:val="clear" w:color="auto" w:fill="D4D6DF"/>
            <w:noWrap/>
            <w:vAlign w:val="center"/>
          </w:tcPr>
          <w:p w14:paraId="0779C1A6" w14:textId="6B65A073" w:rsidR="00B8686A" w:rsidRPr="005278C6" w:rsidRDefault="00B8686A" w:rsidP="00360131">
            <w:pPr>
              <w:jc w:val="center"/>
              <w:rPr>
                <w:rFonts w:cstheme="minorHAnsi"/>
              </w:rPr>
            </w:pPr>
            <w:r w:rsidRPr="0054057C">
              <w:t>$48,</w:t>
            </w:r>
            <w:r w:rsidR="00244331" w:rsidRPr="00D0680F">
              <w:t>288.68</w:t>
            </w:r>
          </w:p>
        </w:tc>
        <w:tc>
          <w:tcPr>
            <w:tcW w:w="1606" w:type="dxa"/>
            <w:tcBorders>
              <w:top w:val="single" w:sz="2" w:space="0" w:color="002279"/>
              <w:left w:val="single" w:sz="4" w:space="0" w:color="002279"/>
              <w:bottom w:val="single" w:sz="4" w:space="0" w:color="002279"/>
              <w:right w:val="single" w:sz="4" w:space="0" w:color="002279"/>
            </w:tcBorders>
            <w:shd w:val="clear" w:color="auto" w:fill="D4D6DF"/>
            <w:noWrap/>
            <w:vAlign w:val="center"/>
          </w:tcPr>
          <w:p w14:paraId="6506BEA4" w14:textId="2A704E3A" w:rsidR="00B8686A" w:rsidRPr="005278C6" w:rsidRDefault="00B8686A" w:rsidP="00360131">
            <w:pPr>
              <w:jc w:val="center"/>
              <w:rPr>
                <w:rFonts w:cstheme="minorHAnsi"/>
              </w:rPr>
            </w:pPr>
            <w:r w:rsidRPr="0054057C">
              <w:t>-$2,</w:t>
            </w:r>
            <w:r w:rsidR="00244331" w:rsidRPr="00D0680F">
              <w:t>965.76</w:t>
            </w:r>
          </w:p>
        </w:tc>
        <w:tc>
          <w:tcPr>
            <w:tcW w:w="1606" w:type="dxa"/>
            <w:tcBorders>
              <w:top w:val="single" w:sz="2" w:space="0" w:color="002279"/>
              <w:left w:val="single" w:sz="4" w:space="0" w:color="002279"/>
              <w:bottom w:val="single" w:sz="4" w:space="0" w:color="002279"/>
              <w:right w:val="single" w:sz="4" w:space="0" w:color="002279"/>
            </w:tcBorders>
            <w:shd w:val="clear" w:color="auto" w:fill="D4D6DF"/>
            <w:noWrap/>
            <w:vAlign w:val="center"/>
          </w:tcPr>
          <w:p w14:paraId="4ECC8267" w14:textId="10900FD9" w:rsidR="00B8686A" w:rsidRPr="005278C6" w:rsidRDefault="00B8686A" w:rsidP="00360131">
            <w:pPr>
              <w:jc w:val="center"/>
              <w:rPr>
                <w:rFonts w:cstheme="minorHAnsi"/>
              </w:rPr>
            </w:pPr>
            <w:r w:rsidRPr="0054057C">
              <w:t>-5.</w:t>
            </w:r>
            <w:r w:rsidR="00244331" w:rsidRPr="00D0680F">
              <w:t>79</w:t>
            </w:r>
            <w:r w:rsidRPr="0054057C">
              <w:t>%</w:t>
            </w:r>
          </w:p>
        </w:tc>
      </w:tr>
    </w:tbl>
    <w:p w14:paraId="0068E506" w14:textId="3B113A9E" w:rsidR="00B8686A" w:rsidRDefault="00E674C5" w:rsidP="00B8686A">
      <w:pPr>
        <w:pStyle w:val="NormalIndent"/>
        <w:ind w:left="0"/>
      </w:pPr>
      <w:r>
        <w:rPr>
          <w:noProof/>
        </w:rPr>
        <mc:AlternateContent>
          <mc:Choice Requires="wps">
            <w:drawing>
              <wp:anchor distT="45720" distB="45720" distL="114300" distR="114300" simplePos="0" relativeHeight="251658291" behindDoc="0" locked="0" layoutInCell="1" allowOverlap="1" wp14:anchorId="7CA0E462" wp14:editId="7AF399AE">
                <wp:simplePos x="0" y="0"/>
                <wp:positionH relativeFrom="column">
                  <wp:posOffset>635</wp:posOffset>
                </wp:positionH>
                <wp:positionV relativeFrom="paragraph">
                  <wp:posOffset>473710</wp:posOffset>
                </wp:positionV>
                <wp:extent cx="6059805" cy="1236980"/>
                <wp:effectExtent l="0" t="0" r="0" b="0"/>
                <wp:wrapSquare wrapText="bothSides"/>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9805" cy="1236980"/>
                        </a:xfrm>
                        <a:prstGeom prst="rect">
                          <a:avLst/>
                        </a:prstGeom>
                        <a:solidFill>
                          <a:srgbClr val="FF8D00"/>
                        </a:solidFill>
                        <a:ln w="9525">
                          <a:noFill/>
                          <a:miter lim="800000"/>
                          <a:headEnd/>
                          <a:tailEnd/>
                        </a:ln>
                      </wps:spPr>
                      <wps:txbx>
                        <w:txbxContent>
                          <w:p w14:paraId="1B3E131C" w14:textId="1325CF2A" w:rsidR="00E674C5" w:rsidRPr="00116E55" w:rsidRDefault="00E674C5" w:rsidP="00116E55">
                            <w:pPr>
                              <w:pStyle w:val="Heading3"/>
                              <w:spacing w:before="0" w:after="240"/>
                              <w:rPr>
                                <w:color w:val="FFFFFF" w:themeColor="background1"/>
                                <w:sz w:val="24"/>
                              </w:rPr>
                            </w:pPr>
                            <w:r>
                              <w:rPr>
                                <w:color w:val="FFFFFF" w:themeColor="background1"/>
                                <w:sz w:val="24"/>
                              </w:rPr>
                              <w:t>Supporting documents</w:t>
                            </w:r>
                          </w:p>
                          <w:p w14:paraId="6181BB12" w14:textId="348CE8E3" w:rsidR="00E674C5" w:rsidRPr="00BA395F" w:rsidRDefault="00E674C5">
                            <w:pPr>
                              <w:pStyle w:val="ListParagraph"/>
                              <w:numPr>
                                <w:ilvl w:val="0"/>
                                <w:numId w:val="133"/>
                              </w:numPr>
                              <w:ind w:left="426"/>
                              <w:rPr>
                                <w:rFonts w:asciiTheme="minorHAnsi" w:hAnsiTheme="minorHAnsi"/>
                                <w:b/>
                                <w:color w:val="FFFFFF" w:themeColor="background1"/>
                                <w:sz w:val="22"/>
                                <w:szCs w:val="22"/>
                              </w:rPr>
                            </w:pPr>
                            <w:r w:rsidRPr="00BA395F">
                              <w:rPr>
                                <w:rFonts w:asciiTheme="minorHAnsi" w:hAnsiTheme="minorHAnsi"/>
                                <w:b/>
                                <w:color w:val="FFFFFF" w:themeColor="background1"/>
                                <w:sz w:val="22"/>
                                <w:szCs w:val="22"/>
                              </w:rPr>
                              <w:t>Melbourne Metropolitan Water Tariff Review Focus Group Report, February 2022</w:t>
                            </w:r>
                          </w:p>
                          <w:p w14:paraId="48F28E69" w14:textId="77777777" w:rsidR="00E674C5" w:rsidRPr="00BA395F" w:rsidRDefault="00E674C5">
                            <w:pPr>
                              <w:pStyle w:val="ListParagraph"/>
                              <w:numPr>
                                <w:ilvl w:val="0"/>
                                <w:numId w:val="133"/>
                              </w:numPr>
                              <w:ind w:left="426"/>
                              <w:rPr>
                                <w:rFonts w:asciiTheme="minorHAnsi" w:hAnsiTheme="minorHAnsi"/>
                                <w:b/>
                                <w:color w:val="FFFFFF" w:themeColor="background1"/>
                                <w:sz w:val="22"/>
                                <w:szCs w:val="22"/>
                              </w:rPr>
                            </w:pPr>
                            <w:r w:rsidRPr="00BA395F">
                              <w:rPr>
                                <w:rFonts w:asciiTheme="minorHAnsi" w:hAnsiTheme="minorHAnsi"/>
                                <w:b/>
                                <w:color w:val="FFFFFF" w:themeColor="background1"/>
                                <w:sz w:val="22"/>
                                <w:szCs w:val="22"/>
                              </w:rPr>
                              <w:t>South East Water Tariff Forum Report, May 2022</w:t>
                            </w:r>
                          </w:p>
                          <w:p w14:paraId="29EB37CE" w14:textId="15F9C4CF" w:rsidR="00E674C5" w:rsidRPr="00116E55" w:rsidRDefault="00E674C5" w:rsidP="00116E55">
                            <w:pPr>
                              <w:pStyle w:val="ListParagraph"/>
                              <w:ind w:left="426"/>
                            </w:pPr>
                          </w:p>
                        </w:txbxContent>
                      </wps:txbx>
                      <wps:bodyPr rot="0" vert="horz" wrap="square" lIns="180000" tIns="180000" rIns="180000" bIns="180000" anchor="t" anchorCtr="0">
                        <a:noAutofit/>
                      </wps:bodyPr>
                    </wps:wsp>
                  </a:graphicData>
                </a:graphic>
                <wp14:sizeRelH relativeFrom="margin">
                  <wp14:pctWidth>0</wp14:pctWidth>
                </wp14:sizeRelH>
                <wp14:sizeRelV relativeFrom="margin">
                  <wp14:pctHeight>0</wp14:pctHeight>
                </wp14:sizeRelV>
              </wp:anchor>
            </w:drawing>
          </mc:Choice>
          <mc:Fallback>
            <w:pict>
              <v:shape w14:anchorId="7CA0E462" id="Text Box 115" o:spid="_x0000_s1065" type="#_x0000_t202" style="position:absolute;margin-left:.05pt;margin-top:37.3pt;width:477.15pt;height:97.4pt;z-index:25165829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" fillcolor="#ff8d00" stroked="f">
                <v:textbox inset="5mm,5mm,5mm,5mm">
                  <w:txbxContent>
                    <w:p w14:paraId="1B3E131C" w14:textId="1325CF2A" w:rsidR="00E674C5" w:rsidRPr="00116E55" w:rsidRDefault="00E674C5" w:rsidP="00116E55">
                      <w:pPr>
                        <w:pStyle w:val="Heading3"/>
                        <w:spacing w:before="0" w:after="240"/>
                        <w:rPr>
                          <w:color w:val="FFFFFF" w:themeColor="background1"/>
                          <w:sz w:val="24"/>
                        </w:rPr>
                      </w:pPr>
                      <w:r>
                        <w:rPr>
                          <w:color w:val="FFFFFF" w:themeColor="background1"/>
                          <w:sz w:val="24"/>
                        </w:rPr>
                        <w:t>Supporting documents</w:t>
                      </w:r>
                    </w:p>
                    <w:p w14:paraId="6181BB12" w14:textId="348CE8E3" w:rsidR="00E674C5" w:rsidRPr="00BA395F" w:rsidRDefault="00E674C5">
                      <w:pPr>
                        <w:pStyle w:val="ListParagraph"/>
                        <w:numPr>
                          <w:ilvl w:val="0"/>
                          <w:numId w:val="133"/>
                        </w:numPr>
                        <w:ind w:left="426"/>
                        <w:rPr>
                          <w:rFonts w:asciiTheme="minorHAnsi" w:hAnsiTheme="minorHAnsi"/>
                          <w:b/>
                          <w:color w:val="FFFFFF" w:themeColor="background1"/>
                          <w:sz w:val="22"/>
                          <w:szCs w:val="22"/>
                        </w:rPr>
                      </w:pPr>
                      <w:r w:rsidRPr="00BA395F">
                        <w:rPr>
                          <w:rFonts w:asciiTheme="minorHAnsi" w:hAnsiTheme="minorHAnsi"/>
                          <w:b/>
                          <w:color w:val="FFFFFF" w:themeColor="background1"/>
                          <w:sz w:val="22"/>
                          <w:szCs w:val="22"/>
                        </w:rPr>
                        <w:t>Melbourne Metropolitan Water Tariff Review Focus Group Report, February 2022</w:t>
                      </w:r>
                    </w:p>
                    <w:p w14:paraId="48F28E69" w14:textId="77777777" w:rsidR="00E674C5" w:rsidRPr="00BA395F" w:rsidRDefault="00E674C5">
                      <w:pPr>
                        <w:pStyle w:val="ListParagraph"/>
                        <w:numPr>
                          <w:ilvl w:val="0"/>
                          <w:numId w:val="133"/>
                        </w:numPr>
                        <w:ind w:left="426"/>
                        <w:rPr>
                          <w:rFonts w:asciiTheme="minorHAnsi" w:hAnsiTheme="minorHAnsi"/>
                          <w:b/>
                          <w:color w:val="FFFFFF" w:themeColor="background1"/>
                          <w:sz w:val="22"/>
                          <w:szCs w:val="22"/>
                        </w:rPr>
                      </w:pPr>
                      <w:proofErr w:type="gramStart"/>
                      <w:r w:rsidRPr="00BA395F">
                        <w:rPr>
                          <w:rFonts w:asciiTheme="minorHAnsi" w:hAnsiTheme="minorHAnsi"/>
                          <w:b/>
                          <w:color w:val="FFFFFF" w:themeColor="background1"/>
                          <w:sz w:val="22"/>
                          <w:szCs w:val="22"/>
                        </w:rPr>
                        <w:t>South East</w:t>
                      </w:r>
                      <w:proofErr w:type="gramEnd"/>
                      <w:r w:rsidRPr="00BA395F">
                        <w:rPr>
                          <w:rFonts w:asciiTheme="minorHAnsi" w:hAnsiTheme="minorHAnsi"/>
                          <w:b/>
                          <w:color w:val="FFFFFF" w:themeColor="background1"/>
                          <w:sz w:val="22"/>
                          <w:szCs w:val="22"/>
                        </w:rPr>
                        <w:t xml:space="preserve"> Water Tariff Forum Report, May 2022</w:t>
                      </w:r>
                    </w:p>
                    <w:p w14:paraId="29EB37CE" w14:textId="15F9C4CF" w:rsidR="00E674C5" w:rsidRPr="00116E55" w:rsidRDefault="00E674C5" w:rsidP="00116E55">
                      <w:pPr>
                        <w:pStyle w:val="ListParagraph"/>
                        <w:ind w:left="426"/>
                      </w:pPr>
                    </w:p>
                  </w:txbxContent>
                </v:textbox>
                <w10:wrap type="square"/>
              </v:shape>
            </w:pict>
          </mc:Fallback>
        </mc:AlternateContent>
      </w:r>
    </w:p>
    <w:p w14:paraId="4B8B92B9" w14:textId="6BEE9684" w:rsidR="00AE35E9" w:rsidRDefault="00AE35E9" w:rsidP="00AE35E9"/>
    <w:p w14:paraId="2F544E1D" w14:textId="3110D512" w:rsidR="00004BAC" w:rsidRDefault="00004BAC" w:rsidP="00A27898"/>
    <w:p w14:paraId="11F8D151" w14:textId="6DCADBB1" w:rsidR="00004BAC" w:rsidRDefault="00004BAC" w:rsidP="00A27898"/>
    <w:p w14:paraId="6C27140D" w14:textId="3890A4DE" w:rsidR="00004BAC" w:rsidRDefault="00004BAC">
      <w:r>
        <w:br w:type="page"/>
      </w:r>
      <w:bookmarkEnd w:id="95"/>
    </w:p>
    <w:bookmarkStart w:id="106" w:name="_Toc114644625"/>
    <w:p w14:paraId="53BE64BB" w14:textId="6F58F7AE" w:rsidR="00004BAC" w:rsidRDefault="00AB08EA" w:rsidP="00D11C2D">
      <w:pPr>
        <w:pStyle w:val="NbrHeading1"/>
      </w:pPr>
      <w:r>
        <w:lastRenderedPageBreak/>
        <mc:AlternateContent>
          <mc:Choice Requires="wps">
            <w:drawing>
              <wp:anchor distT="45720" distB="45720" distL="114300" distR="114300" simplePos="0" relativeHeight="251658292" behindDoc="0" locked="0" layoutInCell="1" allowOverlap="1" wp14:anchorId="15BA747B" wp14:editId="7C2041B1">
                <wp:simplePos x="0" y="0"/>
                <wp:positionH relativeFrom="column">
                  <wp:posOffset>-17145</wp:posOffset>
                </wp:positionH>
                <wp:positionV relativeFrom="paragraph">
                  <wp:posOffset>609414</wp:posOffset>
                </wp:positionV>
                <wp:extent cx="6068695" cy="2240915"/>
                <wp:effectExtent l="0" t="0" r="1905" b="0"/>
                <wp:wrapSquare wrapText="bothSides"/>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8695" cy="2240915"/>
                        </a:xfrm>
                        <a:prstGeom prst="rect">
                          <a:avLst/>
                        </a:prstGeom>
                        <a:solidFill>
                          <a:srgbClr val="00B1F4"/>
                        </a:solidFill>
                        <a:ln w="9525">
                          <a:noFill/>
                          <a:miter lim="800000"/>
                          <a:headEnd/>
                          <a:tailEnd/>
                        </a:ln>
                      </wps:spPr>
                      <wps:txbx>
                        <w:txbxContent>
                          <w:p w14:paraId="6FABC943" w14:textId="77777777" w:rsidR="00AB08EA" w:rsidRPr="00116E55" w:rsidRDefault="00AB08EA" w:rsidP="00116E55">
                            <w:pPr>
                              <w:pStyle w:val="Heading3"/>
                              <w:spacing w:before="0" w:after="240"/>
                              <w:rPr>
                                <w:color w:val="FFFFFF" w:themeColor="background1"/>
                                <w:sz w:val="24"/>
                              </w:rPr>
                            </w:pPr>
                            <w:r w:rsidRPr="00116E55">
                              <w:rPr>
                                <w:color w:val="FFFFFF" w:themeColor="background1"/>
                                <w:sz w:val="24"/>
                              </w:rPr>
                              <w:t>Key points</w:t>
                            </w:r>
                          </w:p>
                          <w:p w14:paraId="155BE450" w14:textId="77777777" w:rsidR="008A1640" w:rsidRPr="00116E55" w:rsidRDefault="008A1640" w:rsidP="00DE51AB">
                            <w:pPr>
                              <w:pStyle w:val="Heading3"/>
                              <w:spacing w:before="0" w:after="120"/>
                              <w:rPr>
                                <w:rFonts w:eastAsiaTheme="minorHAnsi" w:cstheme="minorBidi"/>
                                <w:bCs/>
                                <w:color w:val="FFFFFF" w:themeColor="background1"/>
                                <w:sz w:val="22"/>
                                <w:szCs w:val="22"/>
                              </w:rPr>
                            </w:pPr>
                            <w:r w:rsidRPr="00116E55">
                              <w:rPr>
                                <w:rFonts w:eastAsiaTheme="minorHAnsi" w:cstheme="minorBidi"/>
                                <w:bCs/>
                                <w:color w:val="FFFFFF" w:themeColor="background1"/>
                                <w:sz w:val="22"/>
                                <w:szCs w:val="22"/>
                              </w:rPr>
                              <w:t xml:space="preserve">We propose to: </w:t>
                            </w:r>
                          </w:p>
                          <w:p w14:paraId="17AC7AE7" w14:textId="0E59DBEF" w:rsidR="008A1640" w:rsidRDefault="008A1640">
                            <w:pPr>
                              <w:pStyle w:val="Heading3"/>
                              <w:numPr>
                                <w:ilvl w:val="0"/>
                                <w:numId w:val="38"/>
                              </w:numPr>
                              <w:spacing w:before="0" w:after="120"/>
                              <w:ind w:left="426"/>
                              <w:rPr>
                                <w:rFonts w:eastAsiaTheme="minorHAnsi" w:cstheme="minorBidi"/>
                                <w:color w:val="FFFFFF" w:themeColor="background1"/>
                                <w:sz w:val="22"/>
                                <w:szCs w:val="22"/>
                              </w:rPr>
                            </w:pPr>
                            <w:r w:rsidRPr="00BA395F">
                              <w:rPr>
                                <w:rFonts w:eastAsiaTheme="minorHAnsi" w:cstheme="minorBidi"/>
                                <w:color w:val="FFFFFF" w:themeColor="background1"/>
                                <w:sz w:val="22"/>
                                <w:szCs w:val="22"/>
                              </w:rPr>
                              <w:t xml:space="preserve">retain </w:t>
                            </w:r>
                            <w:r>
                              <w:rPr>
                                <w:rFonts w:eastAsiaTheme="minorHAnsi" w:cstheme="minorBidi"/>
                                <w:color w:val="FFFFFF" w:themeColor="background1"/>
                                <w:sz w:val="22"/>
                                <w:szCs w:val="22"/>
                              </w:rPr>
                              <w:t>the</w:t>
                            </w:r>
                            <w:r w:rsidRPr="00BA395F">
                              <w:rPr>
                                <w:rFonts w:eastAsiaTheme="minorHAnsi" w:cstheme="minorBidi"/>
                                <w:color w:val="FFFFFF" w:themeColor="background1"/>
                                <w:sz w:val="22"/>
                                <w:szCs w:val="22"/>
                              </w:rPr>
                              <w:t xml:space="preserve"> current tariff basket price control for core water, sewerage and trade waste charges</w:t>
                            </w:r>
                            <w:r w:rsidRPr="008A1640">
                              <w:rPr>
                                <w:rFonts w:eastAsiaTheme="minorHAnsi" w:cstheme="minorBidi"/>
                                <w:color w:val="FFFFFF" w:themeColor="background1"/>
                                <w:sz w:val="22"/>
                                <w:szCs w:val="22"/>
                              </w:rPr>
                              <w:t xml:space="preserve"> </w:t>
                            </w:r>
                          </w:p>
                          <w:p w14:paraId="0152910E" w14:textId="75DC67D4" w:rsidR="008A1640" w:rsidRDefault="008A1640">
                            <w:pPr>
                              <w:pStyle w:val="Heading3"/>
                              <w:numPr>
                                <w:ilvl w:val="0"/>
                                <w:numId w:val="38"/>
                              </w:numPr>
                              <w:spacing w:before="0" w:after="120"/>
                              <w:ind w:left="426"/>
                              <w:rPr>
                                <w:rFonts w:eastAsiaTheme="minorHAnsi" w:cstheme="minorBidi"/>
                                <w:color w:val="FFFFFF" w:themeColor="background1"/>
                                <w:sz w:val="22"/>
                                <w:szCs w:val="22"/>
                              </w:rPr>
                            </w:pPr>
                            <w:r w:rsidRPr="00BA395F">
                              <w:rPr>
                                <w:rFonts w:eastAsiaTheme="minorHAnsi" w:cstheme="minorBidi"/>
                                <w:color w:val="FFFFFF" w:themeColor="background1"/>
                                <w:sz w:val="22"/>
                                <w:szCs w:val="22"/>
                              </w:rPr>
                              <w:t xml:space="preserve">retain </w:t>
                            </w:r>
                            <w:r>
                              <w:rPr>
                                <w:rFonts w:eastAsiaTheme="minorHAnsi" w:cstheme="minorBidi"/>
                                <w:color w:val="FFFFFF" w:themeColor="background1"/>
                                <w:sz w:val="22"/>
                                <w:szCs w:val="22"/>
                              </w:rPr>
                              <w:t xml:space="preserve">the </w:t>
                            </w:r>
                            <w:r w:rsidRPr="00BA395F">
                              <w:rPr>
                                <w:rFonts w:eastAsiaTheme="minorHAnsi" w:cstheme="minorBidi"/>
                                <w:color w:val="FFFFFF" w:themeColor="background1"/>
                                <w:sz w:val="22"/>
                                <w:szCs w:val="22"/>
                              </w:rPr>
                              <w:t>current price cap for new customer contributions and miscellaneous charges</w:t>
                            </w:r>
                          </w:p>
                          <w:p w14:paraId="322B2DC7" w14:textId="651C87D9" w:rsidR="00196E36" w:rsidRDefault="00514B84">
                            <w:pPr>
                              <w:pStyle w:val="Heading3"/>
                              <w:numPr>
                                <w:ilvl w:val="0"/>
                                <w:numId w:val="38"/>
                              </w:numPr>
                              <w:spacing w:before="0" w:after="120"/>
                              <w:ind w:left="426"/>
                              <w:rPr>
                                <w:rFonts w:eastAsiaTheme="minorHAnsi" w:cstheme="minorBidi"/>
                                <w:color w:val="FFFFFF" w:themeColor="background1"/>
                                <w:sz w:val="22"/>
                                <w:szCs w:val="22"/>
                              </w:rPr>
                            </w:pPr>
                            <w:r w:rsidRPr="00BA395F">
                              <w:rPr>
                                <w:rFonts w:eastAsiaTheme="minorHAnsi" w:cstheme="minorBidi"/>
                                <w:color w:val="FFFFFF" w:themeColor="background1"/>
                                <w:sz w:val="22"/>
                                <w:szCs w:val="22"/>
                              </w:rPr>
                              <w:t>retain</w:t>
                            </w:r>
                            <w:r>
                              <w:rPr>
                                <w:rFonts w:eastAsiaTheme="minorHAnsi" w:cstheme="minorBidi"/>
                                <w:color w:val="FFFFFF" w:themeColor="background1"/>
                                <w:sz w:val="22"/>
                                <w:szCs w:val="22"/>
                              </w:rPr>
                              <w:t xml:space="preserve"> </w:t>
                            </w:r>
                            <w:r w:rsidRPr="00BA395F">
                              <w:rPr>
                                <w:rFonts w:eastAsiaTheme="minorHAnsi" w:cstheme="minorBidi"/>
                                <w:color w:val="FFFFFF" w:themeColor="background1"/>
                                <w:sz w:val="22"/>
                                <w:szCs w:val="22"/>
                              </w:rPr>
                              <w:t>a 5-year regulatory period</w:t>
                            </w:r>
                          </w:p>
                          <w:p w14:paraId="78E878CA" w14:textId="1DE1CD52" w:rsidR="000F6544" w:rsidRPr="00814609" w:rsidRDefault="000F6544">
                            <w:pPr>
                              <w:pStyle w:val="BodyText"/>
                              <w:numPr>
                                <w:ilvl w:val="0"/>
                                <w:numId w:val="38"/>
                              </w:numPr>
                              <w:ind w:left="426"/>
                              <w:rPr>
                                <w:b/>
                                <w:bCs/>
                                <w:color w:val="FFFFFF" w:themeColor="background1"/>
                                <w:sz w:val="22"/>
                                <w:szCs w:val="22"/>
                              </w:rPr>
                            </w:pPr>
                            <w:r w:rsidRPr="00814609">
                              <w:rPr>
                                <w:b/>
                                <w:bCs/>
                                <w:color w:val="FFFFFF" w:themeColor="background1"/>
                                <w:sz w:val="22"/>
                                <w:szCs w:val="22"/>
                              </w:rPr>
                              <w:t xml:space="preserve">retain the annual </w:t>
                            </w:r>
                            <w:r w:rsidR="001A668C" w:rsidRPr="00814609">
                              <w:rPr>
                                <w:b/>
                                <w:bCs/>
                                <w:color w:val="FFFFFF" w:themeColor="background1"/>
                                <w:sz w:val="22"/>
                                <w:szCs w:val="22"/>
                              </w:rPr>
                              <w:t>price adjustment mec</w:t>
                            </w:r>
                            <w:r w:rsidR="000962C7" w:rsidRPr="00814609">
                              <w:rPr>
                                <w:b/>
                                <w:bCs/>
                                <w:color w:val="FFFFFF" w:themeColor="background1"/>
                                <w:sz w:val="22"/>
                                <w:szCs w:val="22"/>
                              </w:rPr>
                              <w:t xml:space="preserve">hanisms. </w:t>
                            </w:r>
                          </w:p>
                          <w:p w14:paraId="46AA144F" w14:textId="77777777" w:rsidR="000F6544" w:rsidRDefault="000F6544" w:rsidP="000F6544">
                            <w:pPr>
                              <w:pStyle w:val="BodyText"/>
                            </w:pPr>
                          </w:p>
                        </w:txbxContent>
                      </wps:txbx>
                      <wps:bodyPr rot="0" vert="horz" wrap="square" lIns="180000" tIns="180000" rIns="180000" bIns="180000" anchor="t" anchorCtr="0">
                        <a:noAutofit/>
                      </wps:bodyPr>
                    </wps:wsp>
                  </a:graphicData>
                </a:graphic>
                <wp14:sizeRelH relativeFrom="margin">
                  <wp14:pctWidth>0</wp14:pctWidth>
                </wp14:sizeRelH>
                <wp14:sizeRelV relativeFrom="margin">
                  <wp14:pctHeight>0</wp14:pctHeight>
                </wp14:sizeRelV>
              </wp:anchor>
            </w:drawing>
          </mc:Choice>
          <mc:Fallback>
            <w:pict>
              <v:shape w14:anchorId="15BA747B" id="Text Box 116" o:spid="_x0000_s1066" type="#_x0000_t202" style="position:absolute;left:0;text-align:left;margin-left:-1.35pt;margin-top:48pt;width:477.85pt;height:176.45pt;z-index:2516582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" fillcolor="#00b1f4" stroked="f">
                <v:textbox inset="5mm,5mm,5mm,5mm">
                  <w:txbxContent>
                    <w:p w14:paraId="6FABC943" w14:textId="77777777" w:rsidR="00AB08EA" w:rsidRPr="00116E55" w:rsidRDefault="00AB08EA" w:rsidP="00116E55">
                      <w:pPr>
                        <w:pStyle w:val="Heading3"/>
                        <w:spacing w:before="0" w:after="240"/>
                        <w:rPr>
                          <w:color w:val="FFFFFF" w:themeColor="background1"/>
                          <w:sz w:val="24"/>
                        </w:rPr>
                      </w:pPr>
                      <w:r w:rsidRPr="00116E55">
                        <w:rPr>
                          <w:color w:val="FFFFFF" w:themeColor="background1"/>
                          <w:sz w:val="24"/>
                        </w:rPr>
                        <w:t>Key points</w:t>
                      </w:r>
                    </w:p>
                    <w:p w14:paraId="155BE450" w14:textId="77777777" w:rsidR="008A1640" w:rsidRPr="00116E55" w:rsidRDefault="008A1640" w:rsidP="00DE51AB">
                      <w:pPr>
                        <w:pStyle w:val="Heading3"/>
                        <w:spacing w:before="0" w:after="120"/>
                        <w:rPr>
                          <w:rFonts w:eastAsiaTheme="minorHAnsi" w:cstheme="minorBidi"/>
                          <w:bCs/>
                          <w:color w:val="FFFFFF" w:themeColor="background1"/>
                          <w:sz w:val="22"/>
                          <w:szCs w:val="22"/>
                        </w:rPr>
                      </w:pPr>
                      <w:r w:rsidRPr="00116E55">
                        <w:rPr>
                          <w:rFonts w:eastAsiaTheme="minorHAnsi" w:cstheme="minorBidi"/>
                          <w:bCs/>
                          <w:color w:val="FFFFFF" w:themeColor="background1"/>
                          <w:sz w:val="22"/>
                          <w:szCs w:val="22"/>
                        </w:rPr>
                        <w:t xml:space="preserve">We propose to: </w:t>
                      </w:r>
                    </w:p>
                    <w:p w14:paraId="17AC7AE7" w14:textId="0E59DBEF" w:rsidR="008A1640" w:rsidRDefault="008A1640">
                      <w:pPr>
                        <w:pStyle w:val="Heading3"/>
                        <w:numPr>
                          <w:ilvl w:val="0"/>
                          <w:numId w:val="38"/>
                        </w:numPr>
                        <w:spacing w:before="0" w:after="120"/>
                        <w:ind w:left="426"/>
                        <w:rPr>
                          <w:rFonts w:eastAsiaTheme="minorHAnsi" w:cstheme="minorBidi"/>
                          <w:color w:val="FFFFFF" w:themeColor="background1"/>
                          <w:sz w:val="22"/>
                          <w:szCs w:val="22"/>
                        </w:rPr>
                      </w:pPr>
                      <w:r w:rsidRPr="00BA395F">
                        <w:rPr>
                          <w:rFonts w:eastAsiaTheme="minorHAnsi" w:cstheme="minorBidi"/>
                          <w:color w:val="FFFFFF" w:themeColor="background1"/>
                          <w:sz w:val="22"/>
                          <w:szCs w:val="22"/>
                        </w:rPr>
                        <w:t xml:space="preserve">retain </w:t>
                      </w:r>
                      <w:r>
                        <w:rPr>
                          <w:rFonts w:eastAsiaTheme="minorHAnsi" w:cstheme="minorBidi"/>
                          <w:color w:val="FFFFFF" w:themeColor="background1"/>
                          <w:sz w:val="22"/>
                          <w:szCs w:val="22"/>
                        </w:rPr>
                        <w:t>the</w:t>
                      </w:r>
                      <w:r w:rsidRPr="00BA395F">
                        <w:rPr>
                          <w:rFonts w:eastAsiaTheme="minorHAnsi" w:cstheme="minorBidi"/>
                          <w:color w:val="FFFFFF" w:themeColor="background1"/>
                          <w:sz w:val="22"/>
                          <w:szCs w:val="22"/>
                        </w:rPr>
                        <w:t xml:space="preserve"> current tariff basket price control for core water, </w:t>
                      </w:r>
                      <w:proofErr w:type="gramStart"/>
                      <w:r w:rsidRPr="00BA395F">
                        <w:rPr>
                          <w:rFonts w:eastAsiaTheme="minorHAnsi" w:cstheme="minorBidi"/>
                          <w:color w:val="FFFFFF" w:themeColor="background1"/>
                          <w:sz w:val="22"/>
                          <w:szCs w:val="22"/>
                        </w:rPr>
                        <w:t>sewerage</w:t>
                      </w:r>
                      <w:proofErr w:type="gramEnd"/>
                      <w:r w:rsidRPr="00BA395F">
                        <w:rPr>
                          <w:rFonts w:eastAsiaTheme="minorHAnsi" w:cstheme="minorBidi"/>
                          <w:color w:val="FFFFFF" w:themeColor="background1"/>
                          <w:sz w:val="22"/>
                          <w:szCs w:val="22"/>
                        </w:rPr>
                        <w:t xml:space="preserve"> and trade waste charges</w:t>
                      </w:r>
                      <w:r w:rsidRPr="008A1640">
                        <w:rPr>
                          <w:rFonts w:eastAsiaTheme="minorHAnsi" w:cstheme="minorBidi"/>
                          <w:color w:val="FFFFFF" w:themeColor="background1"/>
                          <w:sz w:val="22"/>
                          <w:szCs w:val="22"/>
                        </w:rPr>
                        <w:t xml:space="preserve"> </w:t>
                      </w:r>
                    </w:p>
                    <w:p w14:paraId="0152910E" w14:textId="75DC67D4" w:rsidR="008A1640" w:rsidRDefault="008A1640">
                      <w:pPr>
                        <w:pStyle w:val="Heading3"/>
                        <w:numPr>
                          <w:ilvl w:val="0"/>
                          <w:numId w:val="38"/>
                        </w:numPr>
                        <w:spacing w:before="0" w:after="120"/>
                        <w:ind w:left="426"/>
                        <w:rPr>
                          <w:rFonts w:eastAsiaTheme="minorHAnsi" w:cstheme="minorBidi"/>
                          <w:color w:val="FFFFFF" w:themeColor="background1"/>
                          <w:sz w:val="22"/>
                          <w:szCs w:val="22"/>
                        </w:rPr>
                      </w:pPr>
                      <w:r w:rsidRPr="00BA395F">
                        <w:rPr>
                          <w:rFonts w:eastAsiaTheme="minorHAnsi" w:cstheme="minorBidi"/>
                          <w:color w:val="FFFFFF" w:themeColor="background1"/>
                          <w:sz w:val="22"/>
                          <w:szCs w:val="22"/>
                        </w:rPr>
                        <w:t xml:space="preserve">retain </w:t>
                      </w:r>
                      <w:r>
                        <w:rPr>
                          <w:rFonts w:eastAsiaTheme="minorHAnsi" w:cstheme="minorBidi"/>
                          <w:color w:val="FFFFFF" w:themeColor="background1"/>
                          <w:sz w:val="22"/>
                          <w:szCs w:val="22"/>
                        </w:rPr>
                        <w:t xml:space="preserve">the </w:t>
                      </w:r>
                      <w:r w:rsidRPr="00BA395F">
                        <w:rPr>
                          <w:rFonts w:eastAsiaTheme="minorHAnsi" w:cstheme="minorBidi"/>
                          <w:color w:val="FFFFFF" w:themeColor="background1"/>
                          <w:sz w:val="22"/>
                          <w:szCs w:val="22"/>
                        </w:rPr>
                        <w:t>current price cap for new customer contributions and miscellaneous charges</w:t>
                      </w:r>
                    </w:p>
                    <w:p w14:paraId="322B2DC7" w14:textId="651C87D9" w:rsidR="00196E36" w:rsidRDefault="00514B84">
                      <w:pPr>
                        <w:pStyle w:val="Heading3"/>
                        <w:numPr>
                          <w:ilvl w:val="0"/>
                          <w:numId w:val="38"/>
                        </w:numPr>
                        <w:spacing w:before="0" w:after="120"/>
                        <w:ind w:left="426"/>
                        <w:rPr>
                          <w:rFonts w:eastAsiaTheme="minorHAnsi" w:cstheme="minorBidi"/>
                          <w:color w:val="FFFFFF" w:themeColor="background1"/>
                          <w:sz w:val="22"/>
                          <w:szCs w:val="22"/>
                        </w:rPr>
                      </w:pPr>
                      <w:r w:rsidRPr="00BA395F">
                        <w:rPr>
                          <w:rFonts w:eastAsiaTheme="minorHAnsi" w:cstheme="minorBidi"/>
                          <w:color w:val="FFFFFF" w:themeColor="background1"/>
                          <w:sz w:val="22"/>
                          <w:szCs w:val="22"/>
                        </w:rPr>
                        <w:t>retain</w:t>
                      </w:r>
                      <w:r>
                        <w:rPr>
                          <w:rFonts w:eastAsiaTheme="minorHAnsi" w:cstheme="minorBidi"/>
                          <w:color w:val="FFFFFF" w:themeColor="background1"/>
                          <w:sz w:val="22"/>
                          <w:szCs w:val="22"/>
                        </w:rPr>
                        <w:t xml:space="preserve"> </w:t>
                      </w:r>
                      <w:r w:rsidRPr="00BA395F">
                        <w:rPr>
                          <w:rFonts w:eastAsiaTheme="minorHAnsi" w:cstheme="minorBidi"/>
                          <w:color w:val="FFFFFF" w:themeColor="background1"/>
                          <w:sz w:val="22"/>
                          <w:szCs w:val="22"/>
                        </w:rPr>
                        <w:t>a 5-year regulatory period</w:t>
                      </w:r>
                    </w:p>
                    <w:p w14:paraId="78E878CA" w14:textId="1DE1CD52" w:rsidR="000F6544" w:rsidRPr="00814609" w:rsidRDefault="000F6544">
                      <w:pPr>
                        <w:pStyle w:val="BodyText"/>
                        <w:numPr>
                          <w:ilvl w:val="0"/>
                          <w:numId w:val="38"/>
                        </w:numPr>
                        <w:ind w:left="426"/>
                        <w:rPr>
                          <w:b/>
                          <w:bCs/>
                          <w:color w:val="FFFFFF" w:themeColor="background1"/>
                          <w:sz w:val="22"/>
                          <w:szCs w:val="22"/>
                        </w:rPr>
                      </w:pPr>
                      <w:r w:rsidRPr="00814609">
                        <w:rPr>
                          <w:b/>
                          <w:bCs/>
                          <w:color w:val="FFFFFF" w:themeColor="background1"/>
                          <w:sz w:val="22"/>
                          <w:szCs w:val="22"/>
                        </w:rPr>
                        <w:t xml:space="preserve">retain the annual </w:t>
                      </w:r>
                      <w:r w:rsidR="001A668C" w:rsidRPr="00814609">
                        <w:rPr>
                          <w:b/>
                          <w:bCs/>
                          <w:color w:val="FFFFFF" w:themeColor="background1"/>
                          <w:sz w:val="22"/>
                          <w:szCs w:val="22"/>
                        </w:rPr>
                        <w:t>price adjustment mec</w:t>
                      </w:r>
                      <w:r w:rsidR="000962C7" w:rsidRPr="00814609">
                        <w:rPr>
                          <w:b/>
                          <w:bCs/>
                          <w:color w:val="FFFFFF" w:themeColor="background1"/>
                          <w:sz w:val="22"/>
                          <w:szCs w:val="22"/>
                        </w:rPr>
                        <w:t xml:space="preserve">hanisms. </w:t>
                      </w:r>
                    </w:p>
                    <w:p w14:paraId="46AA144F" w14:textId="77777777" w:rsidR="000F6544" w:rsidRDefault="000F6544" w:rsidP="000F6544">
                      <w:pPr>
                        <w:pStyle w:val="BodyText"/>
                      </w:pPr>
                    </w:p>
                  </w:txbxContent>
                </v:textbox>
                <w10:wrap type="square"/>
              </v:shape>
            </w:pict>
          </mc:Fallback>
        </mc:AlternateContent>
      </w:r>
      <w:r w:rsidR="002811DD">
        <w:t xml:space="preserve">11. </w:t>
      </w:r>
      <w:r w:rsidR="00AE35E9">
        <w:t>Regulatory settings</w:t>
      </w:r>
      <w:bookmarkEnd w:id="106"/>
    </w:p>
    <w:p w14:paraId="03FC12C3" w14:textId="77777777" w:rsidR="00AB08EA" w:rsidRDefault="00AB08EA" w:rsidP="00A27898"/>
    <w:p w14:paraId="64F6D035" w14:textId="0A697A46" w:rsidR="00C450F9" w:rsidRDefault="00C450F9" w:rsidP="00D11C2D">
      <w:pPr>
        <w:pStyle w:val="Heading2"/>
      </w:pPr>
      <w:r>
        <w:t>11.1 Form of price control</w:t>
      </w:r>
    </w:p>
    <w:p w14:paraId="7C606A5B" w14:textId="2D367662" w:rsidR="007B7246" w:rsidRDefault="00670A94" w:rsidP="00670A94">
      <w:r>
        <w:t xml:space="preserve">South East Water proposes to retain its current tariff basket for </w:t>
      </w:r>
      <w:r w:rsidR="00792507">
        <w:t xml:space="preserve">core </w:t>
      </w:r>
      <w:r>
        <w:t>wate</w:t>
      </w:r>
      <w:r w:rsidR="00792507">
        <w:t>r,</w:t>
      </w:r>
      <w:r>
        <w:t xml:space="preserve"> </w:t>
      </w:r>
      <w:r w:rsidR="00792507">
        <w:t xml:space="preserve">sewerage and trade waste charges, </w:t>
      </w:r>
      <w:r w:rsidR="006803A2">
        <w:t xml:space="preserve">and </w:t>
      </w:r>
      <w:r w:rsidR="00792507">
        <w:t xml:space="preserve">its </w:t>
      </w:r>
      <w:r w:rsidR="006803A2">
        <w:t>price cap for new customer contributions and</w:t>
      </w:r>
      <w:r w:rsidR="00792507">
        <w:t xml:space="preserve"> miscellaneous charges for the 2023</w:t>
      </w:r>
      <w:r w:rsidR="00F33731">
        <w:t>–</w:t>
      </w:r>
      <w:r w:rsidR="00792507">
        <w:t>28 regulatory period</w:t>
      </w:r>
      <w:r>
        <w:t xml:space="preserve">. </w:t>
      </w:r>
    </w:p>
    <w:p w14:paraId="1FC3A6C7" w14:textId="2D0BB611" w:rsidR="00A365F0" w:rsidRDefault="00670A94" w:rsidP="00670A94">
      <w:r>
        <w:t xml:space="preserve">Under the tariff basket, </w:t>
      </w:r>
      <w:r w:rsidRPr="00964C69">
        <w:t xml:space="preserve">price increases for individual tariffs </w:t>
      </w:r>
      <w:r>
        <w:t xml:space="preserve">will be </w:t>
      </w:r>
      <w:r w:rsidRPr="00964C69">
        <w:t xml:space="preserve">limited to </w:t>
      </w:r>
      <w:r>
        <w:t>3%</w:t>
      </w:r>
      <w:r w:rsidRPr="00964C69">
        <w:t xml:space="preserve"> per annum</w:t>
      </w:r>
      <w:r>
        <w:t xml:space="preserve"> in real terms (</w:t>
      </w:r>
      <w:r w:rsidR="00960122">
        <w:t xml:space="preserve">that is, </w:t>
      </w:r>
      <w:r>
        <w:t>excluding</w:t>
      </w:r>
      <w:r w:rsidRPr="00964C69">
        <w:t xml:space="preserve"> inflation)</w:t>
      </w:r>
      <w:r>
        <w:t xml:space="preserve">. If we seek to increase individual prices above the 3% constraint, it is proposed that </w:t>
      </w:r>
      <w:r w:rsidR="000D3B46">
        <w:t>the 2018 Price Determination</w:t>
      </w:r>
      <w:r>
        <w:t xml:space="preserve"> requirements apply, including ESC approval and further justification of the proposal, supported by a new tariff strategy.</w:t>
      </w:r>
      <w:r w:rsidR="007B7246">
        <w:t xml:space="preserve"> </w:t>
      </w:r>
    </w:p>
    <w:p w14:paraId="34723D47" w14:textId="79142864" w:rsidR="00BA5B33" w:rsidRDefault="00670A94" w:rsidP="00670A94">
      <w:r>
        <w:t>The tariff basket approach</w:t>
      </w:r>
      <w:r w:rsidR="0092518A">
        <w:t xml:space="preserve"> during the current regulatory period </w:t>
      </w:r>
      <w:r w:rsidR="00310ADB">
        <w:t>provided</w:t>
      </w:r>
      <w:r w:rsidR="00A75C68">
        <w:t xml:space="preserve"> </w:t>
      </w:r>
      <w:r w:rsidR="0092518A">
        <w:t>South</w:t>
      </w:r>
      <w:r w:rsidR="000F3DD8">
        <w:t> </w:t>
      </w:r>
      <w:r w:rsidR="0092518A">
        <w:t>East</w:t>
      </w:r>
      <w:r w:rsidR="000F3DD8">
        <w:t> </w:t>
      </w:r>
      <w:r w:rsidR="0092518A">
        <w:t xml:space="preserve">Water </w:t>
      </w:r>
      <w:r w:rsidR="00310ADB">
        <w:t xml:space="preserve">the flexibility </w:t>
      </w:r>
      <w:r w:rsidR="0092518A">
        <w:t xml:space="preserve">to rebalance </w:t>
      </w:r>
      <w:r w:rsidR="00FB6357">
        <w:t xml:space="preserve">prices </w:t>
      </w:r>
      <w:r w:rsidR="00310ADB">
        <w:t>without</w:t>
      </w:r>
      <w:r w:rsidR="00FB6357">
        <w:t xml:space="preserve"> </w:t>
      </w:r>
      <w:r w:rsidR="00BA5B33">
        <w:t>over</w:t>
      </w:r>
      <w:r w:rsidR="001062BE">
        <w:t>-</w:t>
      </w:r>
      <w:r w:rsidR="00BA5B33">
        <w:t xml:space="preserve">collecting revenue. </w:t>
      </w:r>
      <w:r w:rsidR="00A75C68">
        <w:br/>
      </w:r>
      <w:r w:rsidR="00BA5B33">
        <w:t xml:space="preserve">In particular, it allowed South East Water to: </w:t>
      </w:r>
    </w:p>
    <w:p w14:paraId="6B8FF787" w14:textId="2046C1D9" w:rsidR="00BA5B33" w:rsidRDefault="001062BE">
      <w:pPr>
        <w:pStyle w:val="ListParagraph"/>
        <w:numPr>
          <w:ilvl w:val="0"/>
          <w:numId w:val="31"/>
        </w:numPr>
      </w:pPr>
      <w:r>
        <w:t>r</w:t>
      </w:r>
      <w:r w:rsidR="00BA5B33">
        <w:t>ebalance</w:t>
      </w:r>
      <w:r w:rsidR="006B2FD3">
        <w:t xml:space="preserve"> prices</w:t>
      </w:r>
      <w:r w:rsidR="00BA5B33">
        <w:t xml:space="preserve"> between </w:t>
      </w:r>
      <w:r w:rsidR="00E314FF">
        <w:t>homeowners</w:t>
      </w:r>
      <w:r w:rsidR="006B2FD3">
        <w:t xml:space="preserve"> and tenants when homeowners </w:t>
      </w:r>
      <w:r w:rsidR="00B225AE">
        <w:t xml:space="preserve">saw </w:t>
      </w:r>
      <w:r w:rsidR="006B2FD3">
        <w:t>a bill decrease due to the decreasing cost of debt and tenants were seeing a bill increase due to the desalination water order</w:t>
      </w:r>
    </w:p>
    <w:p w14:paraId="71B40CB1" w14:textId="461A80C2" w:rsidR="006B2FD3" w:rsidRDefault="001062BE">
      <w:pPr>
        <w:pStyle w:val="ListParagraph"/>
        <w:numPr>
          <w:ilvl w:val="0"/>
          <w:numId w:val="31"/>
        </w:numPr>
      </w:pPr>
      <w:r>
        <w:t>r</w:t>
      </w:r>
      <w:r w:rsidR="001D4FF6">
        <w:t xml:space="preserve">ecover revenue </w:t>
      </w:r>
      <w:r w:rsidR="00FB0EEF">
        <w:t>through fixed prices</w:t>
      </w:r>
      <w:r w:rsidR="001D4FF6">
        <w:t xml:space="preserve"> when South East Water decided to keep variable prices flat during 2020</w:t>
      </w:r>
      <w:r w:rsidR="00F33731">
        <w:t>–</w:t>
      </w:r>
      <w:r w:rsidR="001D4FF6">
        <w:t>21</w:t>
      </w:r>
      <w:r w:rsidR="00A74ACA">
        <w:t xml:space="preserve"> to protect vulnerable customer</w:t>
      </w:r>
      <w:r w:rsidR="00F31668">
        <w:t>s</w:t>
      </w:r>
      <w:r w:rsidR="00A74ACA">
        <w:t xml:space="preserve"> during </w:t>
      </w:r>
      <w:r w:rsidR="00A75C68">
        <w:br/>
      </w:r>
      <w:r w:rsidR="00A74ACA">
        <w:t>COVID-19</w:t>
      </w:r>
    </w:p>
    <w:p w14:paraId="2864AB44" w14:textId="241D4798" w:rsidR="00A74ACA" w:rsidRDefault="001062BE">
      <w:pPr>
        <w:pStyle w:val="ListParagraph"/>
        <w:numPr>
          <w:ilvl w:val="0"/>
          <w:numId w:val="31"/>
        </w:numPr>
      </w:pPr>
      <w:r>
        <w:t>p</w:t>
      </w:r>
      <w:r w:rsidR="00A74ACA">
        <w:t xml:space="preserve">ass through changes </w:t>
      </w:r>
      <w:r w:rsidR="00817C90">
        <w:t>of</w:t>
      </w:r>
      <w:r w:rsidR="00A74ACA">
        <w:t xml:space="preserve"> Melbourne Water</w:t>
      </w:r>
      <w:r w:rsidR="00612583">
        <w:t>’</w:t>
      </w:r>
      <w:r w:rsidR="00A74ACA">
        <w:t>s variable bulk costs</w:t>
      </w:r>
      <w:r w:rsidR="00817C90">
        <w:t xml:space="preserve"> due to Melbourne Water</w:t>
      </w:r>
      <w:r w:rsidR="00612583">
        <w:t>’</w:t>
      </w:r>
      <w:r w:rsidR="00817C90">
        <w:t xml:space="preserve">s </w:t>
      </w:r>
      <w:r w:rsidR="004F7AB7">
        <w:t>2021 price review</w:t>
      </w:r>
      <w:r>
        <w:t>.</w:t>
      </w:r>
    </w:p>
    <w:p w14:paraId="0AC137EA" w14:textId="71B537C9" w:rsidR="00670A94" w:rsidRDefault="0092518A" w:rsidP="00670A94">
      <w:r>
        <w:t>T</w:t>
      </w:r>
      <w:r w:rsidR="00670A94">
        <w:t>he tariff basket approach, combined with our demand forecasts, balances demand and revenue risk more to South East Water</w:t>
      </w:r>
      <w:r w:rsidR="005D2340">
        <w:t>,</w:t>
      </w:r>
      <w:r w:rsidR="00670A94">
        <w:t xml:space="preserve"> rather than customers</w:t>
      </w:r>
      <w:r w:rsidR="005D2340">
        <w:t>,</w:t>
      </w:r>
      <w:r w:rsidR="00670A94">
        <w:t xml:space="preserve"> and provides price certainty to customers.</w:t>
      </w:r>
    </w:p>
    <w:p w14:paraId="51294ABC" w14:textId="63B71990" w:rsidR="007B7246" w:rsidRDefault="001E769A" w:rsidP="00670A94">
      <w:r>
        <w:t>The price cap approach provides customers</w:t>
      </w:r>
      <w:r w:rsidR="00B0162F">
        <w:t xml:space="preserve"> with</w:t>
      </w:r>
      <w:r>
        <w:t xml:space="preserve"> the certainty of prices</w:t>
      </w:r>
      <w:r w:rsidR="00032B19">
        <w:t xml:space="preserve"> for new customer contributions and miscellaneous charges</w:t>
      </w:r>
      <w:r>
        <w:t>.</w:t>
      </w:r>
    </w:p>
    <w:p w14:paraId="401E8EEA" w14:textId="3E34992D" w:rsidR="00F10AFF" w:rsidRDefault="00F33EA8" w:rsidP="00670A94">
      <w:r>
        <w:t xml:space="preserve">The following tariffs will be </w:t>
      </w:r>
      <w:r w:rsidR="005E2966">
        <w:t xml:space="preserve">under the tariff basket </w:t>
      </w:r>
      <w:r w:rsidR="001170AB">
        <w:t>services</w:t>
      </w:r>
      <w:r w:rsidR="005E2966">
        <w:t xml:space="preserve"> as per </w:t>
      </w:r>
      <w:r w:rsidR="00E25E4A">
        <w:t xml:space="preserve">Part A of Schedule 2 </w:t>
      </w:r>
      <w:r w:rsidR="00A75C68">
        <w:br/>
      </w:r>
      <w:r w:rsidR="00E25E4A">
        <w:t xml:space="preserve">in the </w:t>
      </w:r>
      <w:r w:rsidR="000D3B46">
        <w:t>2018</w:t>
      </w:r>
      <w:r w:rsidR="00E25E4A">
        <w:t xml:space="preserve"> </w:t>
      </w:r>
      <w:r w:rsidR="00C83E8A">
        <w:t>P</w:t>
      </w:r>
      <w:r w:rsidR="00403E4F">
        <w:t xml:space="preserve">rice </w:t>
      </w:r>
      <w:r w:rsidR="00C83E8A">
        <w:t>D</w:t>
      </w:r>
      <w:r w:rsidR="00CA7969">
        <w:t>etermination:</w:t>
      </w:r>
    </w:p>
    <w:p w14:paraId="3301D0C4" w14:textId="4E9FD0AB" w:rsidR="00D26E7C" w:rsidRDefault="00D26E7C">
      <w:pPr>
        <w:pStyle w:val="ListParagraph"/>
        <w:numPr>
          <w:ilvl w:val="0"/>
          <w:numId w:val="30"/>
        </w:numPr>
      </w:pPr>
      <w:r>
        <w:t xml:space="preserve">Water service charge </w:t>
      </w:r>
      <w:r w:rsidR="00F33731">
        <w:t>–</w:t>
      </w:r>
      <w:r>
        <w:t xml:space="preserve"> Residential service charge </w:t>
      </w:r>
      <w:r w:rsidR="001062BE">
        <w:t>f</w:t>
      </w:r>
      <w:r>
        <w:t>ixed ($/year)</w:t>
      </w:r>
    </w:p>
    <w:p w14:paraId="67B2BFC0" w14:textId="14D8C34D" w:rsidR="00D26E7C" w:rsidRDefault="00D26E7C">
      <w:pPr>
        <w:pStyle w:val="ListParagraph"/>
        <w:numPr>
          <w:ilvl w:val="0"/>
          <w:numId w:val="30"/>
        </w:numPr>
      </w:pPr>
      <w:r>
        <w:lastRenderedPageBreak/>
        <w:t xml:space="preserve">Sewerage service charge </w:t>
      </w:r>
      <w:r w:rsidR="00F33731">
        <w:t>–</w:t>
      </w:r>
      <w:r>
        <w:t xml:space="preserve"> Residential service charge </w:t>
      </w:r>
      <w:r w:rsidR="001062BE">
        <w:t>f</w:t>
      </w:r>
      <w:r>
        <w:t>ixed ($/year)</w:t>
      </w:r>
    </w:p>
    <w:p w14:paraId="4F730CB4" w14:textId="5AC92DEC" w:rsidR="00D26E7C" w:rsidRDefault="00D26E7C">
      <w:pPr>
        <w:pStyle w:val="ListParagraph"/>
        <w:numPr>
          <w:ilvl w:val="0"/>
          <w:numId w:val="30"/>
        </w:numPr>
      </w:pPr>
      <w:r>
        <w:t xml:space="preserve">Water usage charge </w:t>
      </w:r>
      <w:r w:rsidR="00F33731">
        <w:t>–</w:t>
      </w:r>
      <w:r>
        <w:t xml:space="preserve"> Residential block 1 variable ($/kL)</w:t>
      </w:r>
    </w:p>
    <w:p w14:paraId="0BBB3B12" w14:textId="72F3A57A" w:rsidR="00D26E7C" w:rsidRDefault="00D26E7C">
      <w:pPr>
        <w:pStyle w:val="ListParagraph"/>
        <w:numPr>
          <w:ilvl w:val="0"/>
          <w:numId w:val="30"/>
        </w:numPr>
      </w:pPr>
      <w:r>
        <w:t xml:space="preserve">Water usage charge </w:t>
      </w:r>
      <w:r w:rsidR="00F33731">
        <w:t>–</w:t>
      </w:r>
      <w:r>
        <w:t xml:space="preserve"> Residential block 2 variable ($/kL)</w:t>
      </w:r>
    </w:p>
    <w:p w14:paraId="31258BED" w14:textId="1A93DFF3" w:rsidR="00D26E7C" w:rsidRDefault="00D26E7C">
      <w:pPr>
        <w:pStyle w:val="ListParagraph"/>
        <w:numPr>
          <w:ilvl w:val="0"/>
          <w:numId w:val="30"/>
        </w:numPr>
      </w:pPr>
      <w:r>
        <w:t xml:space="preserve">Water </w:t>
      </w:r>
      <w:r w:rsidR="001062BE">
        <w:t>u</w:t>
      </w:r>
      <w:r>
        <w:t xml:space="preserve">sage charge </w:t>
      </w:r>
      <w:r w:rsidR="00F648C4">
        <w:t>–</w:t>
      </w:r>
      <w:r>
        <w:t xml:space="preserve"> </w:t>
      </w:r>
      <w:r w:rsidR="00F648C4">
        <w:t>R</w:t>
      </w:r>
      <w:r>
        <w:t xml:space="preserve">esidential block 1 </w:t>
      </w:r>
      <w:r w:rsidR="00F648C4">
        <w:t>water-only</w:t>
      </w:r>
      <w:r>
        <w:t xml:space="preserve"> </w:t>
      </w:r>
      <w:r w:rsidR="001062BE">
        <w:t>v</w:t>
      </w:r>
      <w:r>
        <w:t>ariable ($/kL)</w:t>
      </w:r>
    </w:p>
    <w:p w14:paraId="1A5F3CCD" w14:textId="189C6AF4" w:rsidR="00F648C4" w:rsidRDefault="00F648C4">
      <w:pPr>
        <w:pStyle w:val="ListParagraph"/>
        <w:numPr>
          <w:ilvl w:val="0"/>
          <w:numId w:val="30"/>
        </w:numPr>
      </w:pPr>
      <w:r>
        <w:t xml:space="preserve">Water usage charge – Residential block 2 water-only variable ($/kL) </w:t>
      </w:r>
    </w:p>
    <w:p w14:paraId="284B872B" w14:textId="77777777" w:rsidR="00D26E7C" w:rsidRDefault="00D26E7C">
      <w:pPr>
        <w:pStyle w:val="ListParagraph"/>
        <w:numPr>
          <w:ilvl w:val="0"/>
          <w:numId w:val="30"/>
        </w:numPr>
      </w:pPr>
      <w:r>
        <w:t>Volume of recycled water – Residential consumer ($/kL)</w:t>
      </w:r>
    </w:p>
    <w:p w14:paraId="748D4DD7" w14:textId="4BEBF536" w:rsidR="00D26E7C" w:rsidRDefault="00D26E7C">
      <w:pPr>
        <w:pStyle w:val="ListParagraph"/>
        <w:numPr>
          <w:ilvl w:val="0"/>
          <w:numId w:val="30"/>
        </w:numPr>
      </w:pPr>
      <w:r>
        <w:t xml:space="preserve">Bunyip </w:t>
      </w:r>
      <w:r w:rsidR="00A9005C">
        <w:t>M</w:t>
      </w:r>
      <w:r>
        <w:t xml:space="preserve">ain </w:t>
      </w:r>
      <w:r w:rsidR="00A9005C">
        <w:t>R</w:t>
      </w:r>
      <w:r>
        <w:t>ace – Residential customer ($/year)</w:t>
      </w:r>
    </w:p>
    <w:p w14:paraId="6BF02D69" w14:textId="28708681" w:rsidR="00D26E7C" w:rsidRDefault="00D26E7C">
      <w:pPr>
        <w:pStyle w:val="ListParagraph"/>
        <w:numPr>
          <w:ilvl w:val="0"/>
          <w:numId w:val="30"/>
        </w:numPr>
      </w:pPr>
      <w:r>
        <w:t>Non</w:t>
      </w:r>
      <w:r w:rsidR="00A9005C">
        <w:t>-</w:t>
      </w:r>
      <w:r w:rsidR="00A23447">
        <w:t>drinking</w:t>
      </w:r>
      <w:r>
        <w:t xml:space="preserve"> water from Bunyip Main Race ($/kL)</w:t>
      </w:r>
    </w:p>
    <w:p w14:paraId="780AFC2B" w14:textId="7FE4D9B4" w:rsidR="00D26E7C" w:rsidRDefault="00D26E7C">
      <w:pPr>
        <w:pStyle w:val="ListParagraph"/>
        <w:numPr>
          <w:ilvl w:val="0"/>
          <w:numId w:val="30"/>
        </w:numPr>
      </w:pPr>
      <w:r>
        <w:t xml:space="preserve">Water service charge </w:t>
      </w:r>
      <w:r w:rsidR="00F33731">
        <w:t>–</w:t>
      </w:r>
      <w:r>
        <w:t xml:space="preserve"> Non-residential service charge fixed ($/year)</w:t>
      </w:r>
    </w:p>
    <w:p w14:paraId="5878F488" w14:textId="0980BC3D" w:rsidR="00D26E7C" w:rsidRDefault="00D26E7C">
      <w:pPr>
        <w:pStyle w:val="ListParagraph"/>
        <w:numPr>
          <w:ilvl w:val="0"/>
          <w:numId w:val="30"/>
        </w:numPr>
      </w:pPr>
      <w:r>
        <w:t xml:space="preserve">Sewerage service charge </w:t>
      </w:r>
      <w:r w:rsidR="00F33731">
        <w:t>–</w:t>
      </w:r>
      <w:r>
        <w:t xml:space="preserve"> Non-residential service charge fixed ($/year)</w:t>
      </w:r>
    </w:p>
    <w:p w14:paraId="3349E970" w14:textId="2AC22EBA" w:rsidR="00D26E7C" w:rsidRDefault="00D26E7C">
      <w:pPr>
        <w:pStyle w:val="ListParagraph"/>
        <w:numPr>
          <w:ilvl w:val="0"/>
          <w:numId w:val="30"/>
        </w:numPr>
      </w:pPr>
      <w:r>
        <w:t xml:space="preserve">Water usage charge </w:t>
      </w:r>
      <w:r w:rsidR="00F33731">
        <w:t>–</w:t>
      </w:r>
      <w:r>
        <w:t xml:space="preserve"> Non-residential variable ($/kL)</w:t>
      </w:r>
    </w:p>
    <w:p w14:paraId="358D33F9" w14:textId="42E416AC" w:rsidR="00D26E7C" w:rsidRDefault="00D26E7C">
      <w:pPr>
        <w:pStyle w:val="ListParagraph"/>
        <w:numPr>
          <w:ilvl w:val="0"/>
          <w:numId w:val="30"/>
        </w:numPr>
      </w:pPr>
      <w:r>
        <w:t xml:space="preserve">Sewerage </w:t>
      </w:r>
      <w:r w:rsidR="0050323F">
        <w:t>d</w:t>
      </w:r>
      <w:r>
        <w:t xml:space="preserve">isposal charge </w:t>
      </w:r>
      <w:r w:rsidR="00F33731">
        <w:t>–</w:t>
      </w:r>
      <w:r>
        <w:t xml:space="preserve"> Non-residential SDC variable ($/kL)</w:t>
      </w:r>
    </w:p>
    <w:p w14:paraId="050F9979" w14:textId="09CD3E37" w:rsidR="00D26E7C" w:rsidRDefault="00D26E7C">
      <w:pPr>
        <w:pStyle w:val="ListParagraph"/>
        <w:numPr>
          <w:ilvl w:val="0"/>
          <w:numId w:val="30"/>
        </w:numPr>
      </w:pPr>
      <w:r>
        <w:t>Fire service charge</w:t>
      </w:r>
      <w:r w:rsidR="00481A49">
        <w:t xml:space="preserve"> </w:t>
      </w:r>
      <w:r w:rsidR="00481A49" w:rsidRPr="00481A49">
        <w:t>– All declared serviced properties</w:t>
      </w:r>
      <w:r w:rsidR="00481A49">
        <w:t xml:space="preserve"> </w:t>
      </w:r>
      <w:r>
        <w:t>($/year)</w:t>
      </w:r>
    </w:p>
    <w:p w14:paraId="427F6B68" w14:textId="08095E42" w:rsidR="00D26E7C" w:rsidRDefault="00D26E7C">
      <w:pPr>
        <w:pStyle w:val="ListParagraph"/>
        <w:numPr>
          <w:ilvl w:val="0"/>
          <w:numId w:val="30"/>
        </w:numPr>
      </w:pPr>
      <w:r>
        <w:t xml:space="preserve">Bunyip </w:t>
      </w:r>
      <w:r w:rsidR="00A9005C">
        <w:t>M</w:t>
      </w:r>
      <w:r>
        <w:t xml:space="preserve">ain </w:t>
      </w:r>
      <w:r w:rsidR="00A9005C">
        <w:t>R</w:t>
      </w:r>
      <w:r>
        <w:t>ace – Non-residential customer ($/year)</w:t>
      </w:r>
    </w:p>
    <w:p w14:paraId="61EB1C56" w14:textId="3DC8887C" w:rsidR="003938CA" w:rsidRDefault="003938CA">
      <w:pPr>
        <w:pStyle w:val="ListParagraph"/>
        <w:numPr>
          <w:ilvl w:val="0"/>
          <w:numId w:val="30"/>
        </w:numPr>
      </w:pPr>
      <w:r w:rsidRPr="003938CA">
        <w:t>Fire Service – Metered Customer Usage Charge (per kL)</w:t>
      </w:r>
    </w:p>
    <w:p w14:paraId="2D485451" w14:textId="77777777" w:rsidR="00D26E7C" w:rsidRDefault="00D26E7C">
      <w:pPr>
        <w:pStyle w:val="ListParagraph"/>
        <w:numPr>
          <w:ilvl w:val="0"/>
          <w:numId w:val="30"/>
        </w:numPr>
      </w:pPr>
      <w:r>
        <w:t>Trade waste risk rank 5 ($/year)</w:t>
      </w:r>
    </w:p>
    <w:p w14:paraId="4AD7719B" w14:textId="77777777" w:rsidR="00D26E7C" w:rsidRDefault="00D26E7C">
      <w:pPr>
        <w:pStyle w:val="ListParagraph"/>
        <w:numPr>
          <w:ilvl w:val="0"/>
          <w:numId w:val="30"/>
        </w:numPr>
      </w:pPr>
      <w:r>
        <w:t>Trade waste risk rank 4 ($/year)</w:t>
      </w:r>
    </w:p>
    <w:p w14:paraId="462E1A67" w14:textId="77777777" w:rsidR="00D26E7C" w:rsidRDefault="00D26E7C">
      <w:pPr>
        <w:pStyle w:val="ListParagraph"/>
        <w:numPr>
          <w:ilvl w:val="0"/>
          <w:numId w:val="30"/>
        </w:numPr>
      </w:pPr>
      <w:r>
        <w:t>Trade waste risk rank 3 ($/year)</w:t>
      </w:r>
    </w:p>
    <w:p w14:paraId="71B7CC1D" w14:textId="77777777" w:rsidR="00D26E7C" w:rsidRDefault="00D26E7C">
      <w:pPr>
        <w:pStyle w:val="ListParagraph"/>
        <w:numPr>
          <w:ilvl w:val="0"/>
          <w:numId w:val="30"/>
        </w:numPr>
      </w:pPr>
      <w:r>
        <w:t>Trade waste risk rank 2 ($/year)</w:t>
      </w:r>
    </w:p>
    <w:p w14:paraId="331E678D" w14:textId="77777777" w:rsidR="00D26E7C" w:rsidRDefault="00D26E7C">
      <w:pPr>
        <w:pStyle w:val="ListParagraph"/>
        <w:numPr>
          <w:ilvl w:val="0"/>
          <w:numId w:val="30"/>
        </w:numPr>
      </w:pPr>
      <w:r>
        <w:t>Trade waste risk rank 1 ($/year)</w:t>
      </w:r>
    </w:p>
    <w:p w14:paraId="30775F2B" w14:textId="77777777" w:rsidR="00D26E7C" w:rsidRDefault="00D26E7C">
      <w:pPr>
        <w:pStyle w:val="ListParagraph"/>
        <w:numPr>
          <w:ilvl w:val="0"/>
          <w:numId w:val="30"/>
        </w:numPr>
      </w:pPr>
      <w:r>
        <w:t>Trade waste volume ($/kL)</w:t>
      </w:r>
    </w:p>
    <w:p w14:paraId="6E8AD161" w14:textId="267F57FE" w:rsidR="00D26E7C" w:rsidRDefault="00D26E7C">
      <w:pPr>
        <w:pStyle w:val="ListParagraph"/>
        <w:numPr>
          <w:ilvl w:val="0"/>
          <w:numId w:val="30"/>
        </w:numPr>
      </w:pPr>
      <w:r>
        <w:t xml:space="preserve">Billable </w:t>
      </w:r>
      <w:r w:rsidR="000B6831">
        <w:t>B</w:t>
      </w:r>
      <w:r>
        <w:t xml:space="preserve">iochemical </w:t>
      </w:r>
      <w:r w:rsidR="000B6831">
        <w:t>O</w:t>
      </w:r>
      <w:r>
        <w:t xml:space="preserve">xygen </w:t>
      </w:r>
      <w:r w:rsidR="000B6831">
        <w:t>D</w:t>
      </w:r>
      <w:r>
        <w:t>emand (BOD) ($/kg)</w:t>
      </w:r>
    </w:p>
    <w:p w14:paraId="5E8F717E" w14:textId="77777777" w:rsidR="00D26E7C" w:rsidRDefault="00D26E7C">
      <w:pPr>
        <w:pStyle w:val="ListParagraph"/>
        <w:numPr>
          <w:ilvl w:val="0"/>
          <w:numId w:val="30"/>
        </w:numPr>
      </w:pPr>
      <w:r>
        <w:t>Billable suspended solids ($/kg)</w:t>
      </w:r>
    </w:p>
    <w:p w14:paraId="27E46084" w14:textId="1643248F" w:rsidR="00CA7969" w:rsidRDefault="00D26E7C">
      <w:pPr>
        <w:pStyle w:val="ListParagraph"/>
        <w:numPr>
          <w:ilvl w:val="0"/>
          <w:numId w:val="30"/>
        </w:numPr>
      </w:pPr>
      <w:r>
        <w:t xml:space="preserve">Billable </w:t>
      </w:r>
      <w:r w:rsidR="000B6831">
        <w:t>T</w:t>
      </w:r>
      <w:r>
        <w:t xml:space="preserve">otal Kjeldahl </w:t>
      </w:r>
      <w:r w:rsidR="000B6831">
        <w:t>N</w:t>
      </w:r>
      <w:r>
        <w:t>itrogen (</w:t>
      </w:r>
      <w:r w:rsidR="00E03CE1">
        <w:t>TKN</w:t>
      </w:r>
      <w:r>
        <w:t>) ($/kg)</w:t>
      </w:r>
    </w:p>
    <w:p w14:paraId="5A57A336" w14:textId="636AE640" w:rsidR="00CA7969" w:rsidRDefault="00CA7969" w:rsidP="00670A94">
      <w:r>
        <w:t xml:space="preserve">The following tariffs will be under the price cap </w:t>
      </w:r>
      <w:r w:rsidR="001170AB">
        <w:t xml:space="preserve">services as per Part B of Schedule 2 in the </w:t>
      </w:r>
      <w:r w:rsidR="000D3B46">
        <w:t>2018</w:t>
      </w:r>
      <w:r w:rsidR="001170AB">
        <w:t xml:space="preserve"> </w:t>
      </w:r>
      <w:r w:rsidR="00C83E8A">
        <w:t>P</w:t>
      </w:r>
      <w:r w:rsidR="00403E4F">
        <w:t>rice</w:t>
      </w:r>
      <w:r w:rsidR="001170AB">
        <w:t xml:space="preserve"> </w:t>
      </w:r>
      <w:r w:rsidR="00C83E8A">
        <w:t>D</w:t>
      </w:r>
      <w:r w:rsidR="001170AB">
        <w:t>etermination:</w:t>
      </w:r>
    </w:p>
    <w:p w14:paraId="3273F620" w14:textId="7D2EE5AF" w:rsidR="001170AB" w:rsidRDefault="00605362">
      <w:pPr>
        <w:pStyle w:val="ListParagraph"/>
        <w:numPr>
          <w:ilvl w:val="0"/>
          <w:numId w:val="30"/>
        </w:numPr>
      </w:pPr>
      <w:r>
        <w:t>New customer contributions</w:t>
      </w:r>
    </w:p>
    <w:p w14:paraId="0F9E8498" w14:textId="77777777" w:rsidR="00605362" w:rsidRDefault="00605362">
      <w:pPr>
        <w:pStyle w:val="ListParagraph"/>
        <w:numPr>
          <w:ilvl w:val="0"/>
          <w:numId w:val="30"/>
        </w:numPr>
      </w:pPr>
      <w:r>
        <w:t>Trade waste application fee (per application)</w:t>
      </w:r>
    </w:p>
    <w:p w14:paraId="4CC4EB4B" w14:textId="77777777" w:rsidR="00605362" w:rsidRDefault="00605362">
      <w:pPr>
        <w:pStyle w:val="ListParagraph"/>
        <w:numPr>
          <w:ilvl w:val="0"/>
          <w:numId w:val="30"/>
        </w:numPr>
      </w:pPr>
      <w:r>
        <w:t>Food waste – hospital and other institutions (per bed)</w:t>
      </w:r>
    </w:p>
    <w:p w14:paraId="66A447BE" w14:textId="77777777" w:rsidR="00520EBC" w:rsidRDefault="00520EBC">
      <w:pPr>
        <w:pStyle w:val="ListParagraph"/>
        <w:numPr>
          <w:ilvl w:val="0"/>
          <w:numId w:val="30"/>
        </w:numPr>
      </w:pPr>
      <w:r>
        <w:t>Dry tapping - drinking water 20mm</w:t>
      </w:r>
    </w:p>
    <w:p w14:paraId="476142CD" w14:textId="38132DF9" w:rsidR="00520EBC" w:rsidRDefault="00520EBC">
      <w:pPr>
        <w:pStyle w:val="ListParagraph"/>
        <w:numPr>
          <w:ilvl w:val="0"/>
          <w:numId w:val="30"/>
        </w:numPr>
      </w:pPr>
      <w:r>
        <w:t>Dry tapping - drinking &amp; recycled water 20mm (installed in the same visit)</w:t>
      </w:r>
    </w:p>
    <w:p w14:paraId="794C9932" w14:textId="77777777" w:rsidR="00520EBC" w:rsidRDefault="00520EBC">
      <w:pPr>
        <w:pStyle w:val="ListParagraph"/>
        <w:numPr>
          <w:ilvl w:val="0"/>
          <w:numId w:val="30"/>
        </w:numPr>
      </w:pPr>
      <w:r>
        <w:t>20mm digital meter (including installation)</w:t>
      </w:r>
    </w:p>
    <w:p w14:paraId="0A9E147E" w14:textId="77777777" w:rsidR="00520EBC" w:rsidRDefault="00520EBC">
      <w:pPr>
        <w:pStyle w:val="ListParagraph"/>
        <w:numPr>
          <w:ilvl w:val="0"/>
          <w:numId w:val="30"/>
        </w:numPr>
      </w:pPr>
      <w:r>
        <w:t>20mm main to meter - short side</w:t>
      </w:r>
    </w:p>
    <w:p w14:paraId="6D84ED07" w14:textId="77777777" w:rsidR="00520EBC" w:rsidRDefault="00520EBC">
      <w:pPr>
        <w:pStyle w:val="ListParagraph"/>
        <w:numPr>
          <w:ilvl w:val="0"/>
          <w:numId w:val="30"/>
        </w:numPr>
      </w:pPr>
      <w:r>
        <w:t>Information Statements - Electronic / Manual lodgement</w:t>
      </w:r>
    </w:p>
    <w:p w14:paraId="1F861BC8" w14:textId="77777777" w:rsidR="00605362" w:rsidRDefault="00605362">
      <w:pPr>
        <w:pStyle w:val="ListParagraph"/>
        <w:numPr>
          <w:ilvl w:val="0"/>
          <w:numId w:val="30"/>
        </w:numPr>
      </w:pPr>
      <w:r>
        <w:t>Single residential recycled water plumbing inspection fee</w:t>
      </w:r>
    </w:p>
    <w:p w14:paraId="76E49368" w14:textId="77777777" w:rsidR="00520EBC" w:rsidRDefault="00520EBC">
      <w:pPr>
        <w:pStyle w:val="ListParagraph"/>
        <w:numPr>
          <w:ilvl w:val="0"/>
          <w:numId w:val="30"/>
        </w:numPr>
      </w:pPr>
      <w:r>
        <w:lastRenderedPageBreak/>
        <w:t>20mm main to meter - long side</w:t>
      </w:r>
    </w:p>
    <w:p w14:paraId="39F7EF1F" w14:textId="77777777" w:rsidR="00605362" w:rsidRDefault="00605362">
      <w:pPr>
        <w:pStyle w:val="ListParagraph"/>
        <w:numPr>
          <w:ilvl w:val="0"/>
          <w:numId w:val="30"/>
        </w:numPr>
      </w:pPr>
      <w:r>
        <w:t>Plumbing application fee</w:t>
      </w:r>
    </w:p>
    <w:p w14:paraId="779D594A" w14:textId="77777777" w:rsidR="00520EBC" w:rsidRDefault="00520EBC">
      <w:pPr>
        <w:pStyle w:val="ListParagraph"/>
        <w:numPr>
          <w:ilvl w:val="0"/>
          <w:numId w:val="30"/>
        </w:numPr>
      </w:pPr>
      <w:r>
        <w:t>80mm-150mm wet tapping on mains ≤ 150mm</w:t>
      </w:r>
    </w:p>
    <w:p w14:paraId="6642EE99" w14:textId="6A7774B3" w:rsidR="00605362" w:rsidRDefault="00605362">
      <w:pPr>
        <w:pStyle w:val="ListParagraph"/>
        <w:numPr>
          <w:ilvl w:val="0"/>
          <w:numId w:val="30"/>
        </w:numPr>
      </w:pPr>
      <w:r>
        <w:t>Sewerage application fee</w:t>
      </w:r>
    </w:p>
    <w:p w14:paraId="555CAD84" w14:textId="76896B27" w:rsidR="00FC4247" w:rsidRDefault="00FC4247">
      <w:pPr>
        <w:pStyle w:val="ListParagraph"/>
        <w:numPr>
          <w:ilvl w:val="0"/>
          <w:numId w:val="30"/>
        </w:numPr>
      </w:pPr>
      <w:r>
        <w:t>Non-core miscellaneous charges at actual cost</w:t>
      </w:r>
      <w:r w:rsidR="00917E90">
        <w:t>,</w:t>
      </w:r>
      <w:r>
        <w:t xml:space="preserve"> reflective of pricing principles</w:t>
      </w:r>
    </w:p>
    <w:p w14:paraId="2D28D692" w14:textId="77777777" w:rsidR="00520EBC" w:rsidRDefault="00520EBC" w:rsidP="00520EBC"/>
    <w:p w14:paraId="2AB13804" w14:textId="26EE1214" w:rsidR="00C450F9" w:rsidRDefault="00C450F9">
      <w:pPr>
        <w:pStyle w:val="Heading2"/>
      </w:pPr>
      <w:r>
        <w:t>11.2 Length of regulatory period</w:t>
      </w:r>
    </w:p>
    <w:p w14:paraId="1088A4D5" w14:textId="3B4821CB" w:rsidR="00C65747" w:rsidRDefault="00C65747" w:rsidP="00C65747">
      <w:r>
        <w:t>South East Water propose</w:t>
      </w:r>
      <w:r w:rsidR="009C0AA4">
        <w:t>s</w:t>
      </w:r>
      <w:r>
        <w:t xml:space="preserve"> a </w:t>
      </w:r>
      <w:r w:rsidR="005D2340">
        <w:t>5-</w:t>
      </w:r>
      <w:r>
        <w:t>year regulatory period from 1 July 2023 to 30 June 2028. This is consistent with the ESC</w:t>
      </w:r>
      <w:r w:rsidR="00612583">
        <w:t>’</w:t>
      </w:r>
      <w:r>
        <w:t>s default regulatory period.</w:t>
      </w:r>
    </w:p>
    <w:p w14:paraId="4B1D5192" w14:textId="77777777" w:rsidR="00F10AFF" w:rsidRDefault="00F10AFF" w:rsidP="00C65747"/>
    <w:p w14:paraId="69946F2D" w14:textId="5AF20063" w:rsidR="00C450F9" w:rsidRDefault="00C450F9">
      <w:pPr>
        <w:pStyle w:val="Heading2"/>
      </w:pPr>
      <w:r>
        <w:t>11.3 Price adjustments</w:t>
      </w:r>
    </w:p>
    <w:p w14:paraId="3E25D5AA" w14:textId="43383300" w:rsidR="00E759AE" w:rsidRDefault="003250B9" w:rsidP="00E759AE">
      <w:r>
        <w:t>Consistent with the current period</w:t>
      </w:r>
      <w:r w:rsidR="00284CE5">
        <w:t>,</w:t>
      </w:r>
      <w:r>
        <w:t xml:space="preserve"> we proposed to retain </w:t>
      </w:r>
      <w:r w:rsidR="00666B5A">
        <w:t>our a</w:t>
      </w:r>
      <w:r w:rsidR="00E759AE">
        <w:t xml:space="preserve">nnual price adjustments </w:t>
      </w:r>
      <w:r w:rsidR="00666B5A">
        <w:t>contained in South East Water</w:t>
      </w:r>
      <w:r w:rsidR="00612583">
        <w:t>’</w:t>
      </w:r>
      <w:r w:rsidR="00666B5A">
        <w:t xml:space="preserve">s 2018 </w:t>
      </w:r>
      <w:r w:rsidR="00C83E8A">
        <w:t>P</w:t>
      </w:r>
      <w:r w:rsidR="00666B5A">
        <w:t xml:space="preserve">rice </w:t>
      </w:r>
      <w:r w:rsidR="00C83E8A">
        <w:t>D</w:t>
      </w:r>
      <w:r w:rsidR="00666B5A">
        <w:t>etermination, which allows for</w:t>
      </w:r>
      <w:r w:rsidR="00E759AE">
        <w:t>:</w:t>
      </w:r>
    </w:p>
    <w:p w14:paraId="4C82B4D2" w14:textId="7A557828" w:rsidR="00E759AE" w:rsidRPr="00147E67" w:rsidRDefault="00E759AE" w:rsidP="00702250">
      <w:pPr>
        <w:pStyle w:val="Bulletlistmultilevel"/>
        <w:numPr>
          <w:ilvl w:val="0"/>
          <w:numId w:val="4"/>
        </w:numPr>
        <w:rPr>
          <w:sz w:val="24"/>
          <w:szCs w:val="24"/>
        </w:rPr>
      </w:pPr>
      <w:r w:rsidRPr="00147E67">
        <w:rPr>
          <w:sz w:val="24"/>
          <w:szCs w:val="24"/>
        </w:rPr>
        <w:t>annual desalination water orders and changes to the security charge</w:t>
      </w:r>
    </w:p>
    <w:p w14:paraId="4D5FC2DE" w14:textId="6A8C0700" w:rsidR="00E759AE" w:rsidRPr="00147E67" w:rsidRDefault="00E759AE" w:rsidP="00702250">
      <w:pPr>
        <w:pStyle w:val="Bulletlistmultilevel"/>
        <w:numPr>
          <w:ilvl w:val="0"/>
          <w:numId w:val="4"/>
        </w:numPr>
        <w:rPr>
          <w:sz w:val="24"/>
          <w:szCs w:val="24"/>
        </w:rPr>
      </w:pPr>
      <w:r w:rsidRPr="00147E67">
        <w:rPr>
          <w:sz w:val="24"/>
          <w:szCs w:val="24"/>
        </w:rPr>
        <w:t>pass through of other annual changes to Melbourne Water</w:t>
      </w:r>
      <w:r w:rsidR="00612583">
        <w:rPr>
          <w:sz w:val="24"/>
          <w:szCs w:val="24"/>
        </w:rPr>
        <w:t>’</w:t>
      </w:r>
      <w:r w:rsidRPr="00147E67">
        <w:rPr>
          <w:sz w:val="24"/>
          <w:szCs w:val="24"/>
        </w:rPr>
        <w:t>s bulk water and sewerage prices, including its cost of debt adjustments</w:t>
      </w:r>
    </w:p>
    <w:p w14:paraId="6DC38BAC" w14:textId="302A225F" w:rsidR="00E759AE" w:rsidRPr="0046397F" w:rsidRDefault="009C6DC1" w:rsidP="00DA5028">
      <w:pPr>
        <w:pStyle w:val="Bulletlistmultilevel"/>
        <w:numPr>
          <w:ilvl w:val="0"/>
          <w:numId w:val="4"/>
        </w:numPr>
        <w:rPr>
          <w:sz w:val="24"/>
          <w:szCs w:val="24"/>
        </w:rPr>
      </w:pPr>
      <w:r w:rsidRPr="0046397F">
        <w:rPr>
          <w:sz w:val="24"/>
          <w:szCs w:val="24"/>
        </w:rPr>
        <w:t>an adjustment for South East Water</w:t>
      </w:r>
      <w:r w:rsidR="00612583">
        <w:rPr>
          <w:sz w:val="24"/>
          <w:szCs w:val="24"/>
        </w:rPr>
        <w:t>’</w:t>
      </w:r>
      <w:r w:rsidRPr="0046397F">
        <w:rPr>
          <w:sz w:val="24"/>
          <w:szCs w:val="24"/>
        </w:rPr>
        <w:t>s rolling 10</w:t>
      </w:r>
      <w:r w:rsidR="00A7421B" w:rsidRPr="0046397F">
        <w:rPr>
          <w:sz w:val="24"/>
          <w:szCs w:val="24"/>
        </w:rPr>
        <w:t>-</w:t>
      </w:r>
      <w:r w:rsidRPr="0046397F">
        <w:rPr>
          <w:sz w:val="24"/>
          <w:szCs w:val="24"/>
        </w:rPr>
        <w:t>year average cost of debt</w:t>
      </w:r>
      <w:r w:rsidR="00DA5028">
        <w:rPr>
          <w:sz w:val="24"/>
          <w:szCs w:val="24"/>
        </w:rPr>
        <w:t>.</w:t>
      </w:r>
    </w:p>
    <w:p w14:paraId="34D4D8FC" w14:textId="77777777" w:rsidR="00DC6746" w:rsidRDefault="00DC6746" w:rsidP="00C450F9"/>
    <w:p w14:paraId="57758F03" w14:textId="64E33251" w:rsidR="001739A6" w:rsidRDefault="00DC6746" w:rsidP="00C450F9">
      <w:pPr>
        <w:sectPr w:rsidR="001739A6" w:rsidSect="00ED1414">
          <w:pgSz w:w="11906" w:h="16838" w:code="9"/>
          <w:pgMar w:top="1440" w:right="1252" w:bottom="1440" w:left="1156" w:header="567" w:footer="283" w:gutter="0"/>
          <w:cols w:space="708"/>
          <w:docGrid w:linePitch="360"/>
        </w:sectPr>
      </w:pPr>
      <w:r>
        <w:t>In addition to these annual price adjustment mechanisms</w:t>
      </w:r>
      <w:r w:rsidR="00062B9A">
        <w:t>,</w:t>
      </w:r>
      <w:r>
        <w:t xml:space="preserve"> we propose that section 4 </w:t>
      </w:r>
      <w:r w:rsidR="00922B8A">
        <w:t>of South East Water</w:t>
      </w:r>
      <w:r w:rsidR="00612583">
        <w:t>’</w:t>
      </w:r>
      <w:r w:rsidR="00922B8A">
        <w:t xml:space="preserve">s </w:t>
      </w:r>
      <w:r w:rsidR="0050135E">
        <w:t xml:space="preserve">2018 </w:t>
      </w:r>
      <w:r w:rsidR="00C83E8A">
        <w:t>P</w:t>
      </w:r>
      <w:r w:rsidR="00922B8A">
        <w:t xml:space="preserve">rice </w:t>
      </w:r>
      <w:r w:rsidR="00C83E8A">
        <w:t>D</w:t>
      </w:r>
      <w:r w:rsidR="00922B8A">
        <w:t>etermination</w:t>
      </w:r>
      <w:r w:rsidR="0050135E">
        <w:t xml:space="preserve"> </w:t>
      </w:r>
      <w:r w:rsidR="00922B8A">
        <w:t>be retained to mitigate any material financial imp</w:t>
      </w:r>
      <w:r w:rsidR="00DA5028">
        <w:t>acts</w:t>
      </w:r>
      <w:r w:rsidR="00922B8A">
        <w:t xml:space="preserve"> that result from events which </w:t>
      </w:r>
      <w:r w:rsidR="00DA5028">
        <w:t>are</w:t>
      </w:r>
      <w:r w:rsidR="00922B8A">
        <w:t xml:space="preserve"> uncertain or unforeseen</w:t>
      </w:r>
      <w:r w:rsidR="00703A3D">
        <w:t>.</w:t>
      </w:r>
      <w:r w:rsidR="00A1315F">
        <w:t xml:space="preserve"> </w:t>
      </w:r>
    </w:p>
    <w:p w14:paraId="0AA42269" w14:textId="63A0E6DC" w:rsidR="007F1846" w:rsidRDefault="00AC3B85" w:rsidP="00D11C2D">
      <w:pPr>
        <w:pStyle w:val="Heading1"/>
      </w:pPr>
      <w:bookmarkStart w:id="107" w:name="_Toc114644626"/>
      <w:r>
        <w:lastRenderedPageBreak/>
        <w:drawing>
          <wp:anchor distT="0" distB="0" distL="114300" distR="114300" simplePos="0" relativeHeight="251658247" behindDoc="1" locked="0" layoutInCell="1" allowOverlap="1" wp14:anchorId="2270B06C" wp14:editId="469AEC92">
            <wp:simplePos x="0" y="0"/>
            <wp:positionH relativeFrom="column">
              <wp:posOffset>-672278</wp:posOffset>
            </wp:positionH>
            <wp:positionV relativeFrom="paragraph">
              <wp:posOffset>-991235</wp:posOffset>
            </wp:positionV>
            <wp:extent cx="7574915" cy="7613015"/>
            <wp:effectExtent l="0" t="0" r="0" b="0"/>
            <wp:wrapNone/>
            <wp:docPr id="105" name="Picture 10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Picture 484" descr="A picture containing shap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7574915" cy="7613015"/>
                    </a:xfrm>
                    <a:prstGeom prst="rect">
                      <a:avLst/>
                    </a:prstGeom>
                  </pic:spPr>
                </pic:pic>
              </a:graphicData>
            </a:graphic>
            <wp14:sizeRelH relativeFrom="page">
              <wp14:pctWidth>0</wp14:pctWidth>
            </wp14:sizeRelH>
            <wp14:sizeRelV relativeFrom="page">
              <wp14:pctHeight>0</wp14:pctHeight>
            </wp14:sizeRelV>
          </wp:anchor>
        </w:drawing>
      </w:r>
      <w:r w:rsidR="009272AC" w:rsidRPr="00984070">
        <w:rPr>
          <w:color w:val="2B579A"/>
          <w:shd w:val="clear" w:color="auto" w:fill="E6E6E6"/>
        </w:rPr>
        <mc:AlternateContent>
          <mc:Choice Requires="wps">
            <w:drawing>
              <wp:anchor distT="0" distB="0" distL="114300" distR="114300" simplePos="0" relativeHeight="251658246" behindDoc="0" locked="1" layoutInCell="1" allowOverlap="1" wp14:anchorId="2F02CFEF" wp14:editId="68CBEF07">
                <wp:simplePos x="0" y="0"/>
                <wp:positionH relativeFrom="page">
                  <wp:posOffset>-17780</wp:posOffset>
                </wp:positionH>
                <wp:positionV relativeFrom="page">
                  <wp:posOffset>5053965</wp:posOffset>
                </wp:positionV>
                <wp:extent cx="7563485" cy="5633720"/>
                <wp:effectExtent l="0" t="0" r="5715" b="5080"/>
                <wp:wrapNone/>
                <wp:docPr id="103" name="Freeform: Shape 13"/>
                <wp:cNvGraphicFramePr/>
                <a:graphic xmlns:a="http://schemas.openxmlformats.org/drawingml/2006/main">
                  <a:graphicData uri="http://schemas.microsoft.com/office/word/2010/wordprocessingShape">
                    <wps:wsp>
                      <wps:cNvSpPr/>
                      <wps:spPr>
                        <a:xfrm>
                          <a:off x="0" y="0"/>
                          <a:ext cx="7563485" cy="5633720"/>
                        </a:xfrm>
                        <a:custGeom>
                          <a:avLst/>
                          <a:gdLst>
                            <a:gd name="connsiteX0" fmla="*/ 630218 w 7564209"/>
                            <a:gd name="connsiteY0" fmla="*/ 0 h 5635379"/>
                            <a:gd name="connsiteX1" fmla="*/ 779510 w 7564209"/>
                            <a:gd name="connsiteY1" fmla="*/ 44612 h 5635379"/>
                            <a:gd name="connsiteX2" fmla="*/ 1111141 w 7564209"/>
                            <a:gd name="connsiteY2" fmla="*/ 44612 h 5635379"/>
                            <a:gd name="connsiteX3" fmla="*/ 1409726 w 7564209"/>
                            <a:gd name="connsiteY3" fmla="*/ 44612 h 5635379"/>
                            <a:gd name="connsiteX4" fmla="*/ 1741358 w 7564209"/>
                            <a:gd name="connsiteY4" fmla="*/ 44612 h 5635379"/>
                            <a:gd name="connsiteX5" fmla="*/ 2039943 w 7564209"/>
                            <a:gd name="connsiteY5" fmla="*/ 44612 h 5635379"/>
                            <a:gd name="connsiteX6" fmla="*/ 2371721 w 7564209"/>
                            <a:gd name="connsiteY6" fmla="*/ 44612 h 5635379"/>
                            <a:gd name="connsiteX7" fmla="*/ 2670160 w 7564209"/>
                            <a:gd name="connsiteY7" fmla="*/ 44612 h 5635379"/>
                            <a:gd name="connsiteX8" fmla="*/ 3001938 w 7564209"/>
                            <a:gd name="connsiteY8" fmla="*/ 44612 h 5635379"/>
                            <a:gd name="connsiteX9" fmla="*/ 3151084 w 7564209"/>
                            <a:gd name="connsiteY9" fmla="*/ 746 h 5635379"/>
                            <a:gd name="connsiteX10" fmla="*/ 3300377 w 7564209"/>
                            <a:gd name="connsiteY10" fmla="*/ 44612 h 5635379"/>
                            <a:gd name="connsiteX11" fmla="*/ 3632447 w 7564209"/>
                            <a:gd name="connsiteY11" fmla="*/ 44612 h 5635379"/>
                            <a:gd name="connsiteX12" fmla="*/ 3931178 w 7564209"/>
                            <a:gd name="connsiteY12" fmla="*/ 44612 h 5635379"/>
                            <a:gd name="connsiteX13" fmla="*/ 4262956 w 7564209"/>
                            <a:gd name="connsiteY13" fmla="*/ 44612 h 5635379"/>
                            <a:gd name="connsiteX14" fmla="*/ 4561687 w 7564209"/>
                            <a:gd name="connsiteY14" fmla="*/ 44612 h 5635379"/>
                            <a:gd name="connsiteX15" fmla="*/ 4893465 w 7564209"/>
                            <a:gd name="connsiteY15" fmla="*/ 44612 h 5635379"/>
                            <a:gd name="connsiteX16" fmla="*/ 5192050 w 7564209"/>
                            <a:gd name="connsiteY16" fmla="*/ 44612 h 5635379"/>
                            <a:gd name="connsiteX17" fmla="*/ 5523827 w 7564209"/>
                            <a:gd name="connsiteY17" fmla="*/ 44612 h 5635379"/>
                            <a:gd name="connsiteX18" fmla="*/ 5822413 w 7564209"/>
                            <a:gd name="connsiteY18" fmla="*/ 44612 h 5635379"/>
                            <a:gd name="connsiteX19" fmla="*/ 6154191 w 7564209"/>
                            <a:gd name="connsiteY19" fmla="*/ 44612 h 5635379"/>
                            <a:gd name="connsiteX20" fmla="*/ 6452776 w 7564209"/>
                            <a:gd name="connsiteY20" fmla="*/ 44612 h 5635379"/>
                            <a:gd name="connsiteX21" fmla="*/ 6784553 w 7564209"/>
                            <a:gd name="connsiteY21" fmla="*/ 44612 h 5635379"/>
                            <a:gd name="connsiteX22" fmla="*/ 7083138 w 7564209"/>
                            <a:gd name="connsiteY22" fmla="*/ 44612 h 5635379"/>
                            <a:gd name="connsiteX23" fmla="*/ 7414916 w 7564209"/>
                            <a:gd name="connsiteY23" fmla="*/ 44612 h 5635379"/>
                            <a:gd name="connsiteX24" fmla="*/ 7564209 w 7564209"/>
                            <a:gd name="connsiteY24" fmla="*/ 746 h 5635379"/>
                            <a:gd name="connsiteX25" fmla="*/ 7564209 w 7564209"/>
                            <a:gd name="connsiteY25" fmla="*/ 5635379 h 5635379"/>
                            <a:gd name="connsiteX26" fmla="*/ 0 w 7564209"/>
                            <a:gd name="connsiteY26" fmla="*/ 5635379 h 5635379"/>
                            <a:gd name="connsiteX27" fmla="*/ 0 w 7564209"/>
                            <a:gd name="connsiteY27" fmla="*/ 746 h 5635379"/>
                            <a:gd name="connsiteX28" fmla="*/ 149293 w 7564209"/>
                            <a:gd name="connsiteY28" fmla="*/ 44612 h 5635379"/>
                            <a:gd name="connsiteX29" fmla="*/ 480925 w 7564209"/>
                            <a:gd name="connsiteY29" fmla="*/ 44612 h 5635379"/>
                            <a:gd name="connsiteX30" fmla="*/ 630218 w 7564209"/>
                            <a:gd name="connsiteY30" fmla="*/ 0 h 56353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7564209" h="5635379">
                              <a:moveTo>
                                <a:pt x="630218" y="0"/>
                              </a:moveTo>
                              <a:cubicBezTo>
                                <a:pt x="682203" y="0"/>
                                <a:pt x="734189" y="14870"/>
                                <a:pt x="779510" y="44612"/>
                              </a:cubicBezTo>
                              <a:cubicBezTo>
                                <a:pt x="880462" y="109740"/>
                                <a:pt x="1010189" y="109740"/>
                                <a:pt x="1111141" y="44612"/>
                              </a:cubicBezTo>
                              <a:cubicBezTo>
                                <a:pt x="1201785" y="-14871"/>
                                <a:pt x="1319083" y="-14871"/>
                                <a:pt x="1409726" y="44612"/>
                              </a:cubicBezTo>
                              <a:cubicBezTo>
                                <a:pt x="1510678" y="109740"/>
                                <a:pt x="1640406" y="109740"/>
                                <a:pt x="1741358" y="44612"/>
                              </a:cubicBezTo>
                              <a:cubicBezTo>
                                <a:pt x="1832001" y="-14871"/>
                                <a:pt x="1949300" y="-14871"/>
                                <a:pt x="2039943" y="44612"/>
                              </a:cubicBezTo>
                              <a:cubicBezTo>
                                <a:pt x="2140953" y="109725"/>
                                <a:pt x="2270711" y="109725"/>
                                <a:pt x="2371721" y="44612"/>
                              </a:cubicBezTo>
                              <a:cubicBezTo>
                                <a:pt x="2462320" y="-14841"/>
                                <a:pt x="2579561" y="-14841"/>
                                <a:pt x="2670160" y="44612"/>
                              </a:cubicBezTo>
                              <a:cubicBezTo>
                                <a:pt x="2771170" y="109725"/>
                                <a:pt x="2900927" y="109725"/>
                                <a:pt x="3001938" y="44612"/>
                              </a:cubicBezTo>
                              <a:cubicBezTo>
                                <a:pt x="3045819" y="14695"/>
                                <a:pt x="3097991" y="-643"/>
                                <a:pt x="3151084" y="746"/>
                              </a:cubicBezTo>
                              <a:cubicBezTo>
                                <a:pt x="3204221" y="-658"/>
                                <a:pt x="3256452" y="14695"/>
                                <a:pt x="3300377" y="44612"/>
                              </a:cubicBezTo>
                              <a:cubicBezTo>
                                <a:pt x="3401518" y="109623"/>
                                <a:pt x="3531305" y="109623"/>
                                <a:pt x="3632447" y="44612"/>
                              </a:cubicBezTo>
                              <a:cubicBezTo>
                                <a:pt x="3723148" y="-14856"/>
                                <a:pt x="3840476" y="-14856"/>
                                <a:pt x="3931178" y="44612"/>
                              </a:cubicBezTo>
                              <a:cubicBezTo>
                                <a:pt x="4032188" y="109725"/>
                                <a:pt x="4161945" y="109725"/>
                                <a:pt x="4262956" y="44612"/>
                              </a:cubicBezTo>
                              <a:cubicBezTo>
                                <a:pt x="4353657" y="-14856"/>
                                <a:pt x="4470986" y="-14856"/>
                                <a:pt x="4561687" y="44612"/>
                              </a:cubicBezTo>
                              <a:cubicBezTo>
                                <a:pt x="4662697" y="109725"/>
                                <a:pt x="4792454" y="109725"/>
                                <a:pt x="4893465" y="44612"/>
                              </a:cubicBezTo>
                              <a:cubicBezTo>
                                <a:pt x="4984108" y="-14871"/>
                                <a:pt x="5101407" y="-14871"/>
                                <a:pt x="5192050" y="44612"/>
                              </a:cubicBezTo>
                              <a:cubicBezTo>
                                <a:pt x="5293060" y="109725"/>
                                <a:pt x="5422818" y="109725"/>
                                <a:pt x="5523827" y="44612"/>
                              </a:cubicBezTo>
                              <a:cubicBezTo>
                                <a:pt x="5614471" y="-14871"/>
                                <a:pt x="5731770" y="-14871"/>
                                <a:pt x="5822413" y="44612"/>
                              </a:cubicBezTo>
                              <a:cubicBezTo>
                                <a:pt x="5923423" y="109725"/>
                                <a:pt x="6053180" y="109725"/>
                                <a:pt x="6154191" y="44612"/>
                              </a:cubicBezTo>
                              <a:cubicBezTo>
                                <a:pt x="6244833" y="-14871"/>
                                <a:pt x="6362132" y="-14871"/>
                                <a:pt x="6452776" y="44612"/>
                              </a:cubicBezTo>
                              <a:cubicBezTo>
                                <a:pt x="6553786" y="109725"/>
                                <a:pt x="6683543" y="109725"/>
                                <a:pt x="6784553" y="44612"/>
                              </a:cubicBezTo>
                              <a:cubicBezTo>
                                <a:pt x="6875196" y="-14871"/>
                                <a:pt x="6992496" y="-14871"/>
                                <a:pt x="7083138" y="44612"/>
                              </a:cubicBezTo>
                              <a:cubicBezTo>
                                <a:pt x="7184149" y="109725"/>
                                <a:pt x="7313906" y="109725"/>
                                <a:pt x="7414916" y="44612"/>
                              </a:cubicBezTo>
                              <a:cubicBezTo>
                                <a:pt x="7458842" y="14681"/>
                                <a:pt x="7511071" y="-672"/>
                                <a:pt x="7564209" y="746"/>
                              </a:cubicBezTo>
                              <a:lnTo>
                                <a:pt x="7564209" y="5635379"/>
                              </a:lnTo>
                              <a:lnTo>
                                <a:pt x="0" y="5635379"/>
                              </a:lnTo>
                              <a:lnTo>
                                <a:pt x="0" y="746"/>
                              </a:lnTo>
                              <a:cubicBezTo>
                                <a:pt x="53123" y="-629"/>
                                <a:pt x="105354" y="14725"/>
                                <a:pt x="149293" y="44612"/>
                              </a:cubicBezTo>
                              <a:cubicBezTo>
                                <a:pt x="250245" y="109740"/>
                                <a:pt x="379973" y="109740"/>
                                <a:pt x="480925" y="44612"/>
                              </a:cubicBezTo>
                              <a:cubicBezTo>
                                <a:pt x="526247" y="14870"/>
                                <a:pt x="578232" y="0"/>
                                <a:pt x="630218" y="0"/>
                              </a:cubicBez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47614A" w14:textId="305BDEE3" w:rsidR="009272AC" w:rsidRPr="002D3159" w:rsidRDefault="009272AC" w:rsidP="009272AC">
                            <w:pPr>
                              <w:pStyle w:val="Divider"/>
                            </w:pPr>
                            <w:r>
                              <w:t>Appendices</w:t>
                            </w:r>
                          </w:p>
                        </w:txbxContent>
                      </wps:txbx>
                      <wps:bodyPr wrap="square" lIns="720000" tIns="0" bIns="2700000" rtlCol="0" anchor="ctr">
                        <a:noAutofit/>
                      </wps:bodyPr>
                    </wps:wsp>
                  </a:graphicData>
                </a:graphic>
                <wp14:sizeRelH relativeFrom="margin">
                  <wp14:pctWidth>0</wp14:pctWidth>
                </wp14:sizeRelH>
                <wp14:sizeRelV relativeFrom="margin">
                  <wp14:pctHeight>0</wp14:pctHeight>
                </wp14:sizeRelV>
              </wp:anchor>
            </w:drawing>
          </mc:Choice>
          <mc:Fallback>
            <w:pict>
              <v:shape w14:anchorId="2F02CFEF" id="_x0000_s1067" style="position:absolute;margin-left:-1.4pt;margin-top:397.95pt;width:595.55pt;height:443.6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4209,563537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" adj="-11796480,,5400" path="m630218,v51985,,103971,14870,149292,44612c880462,109740,1010189,109740,1111141,44612v90644,-59483,207942,-59483,298585,c1510678,109740,1640406,109740,1741358,44612v90643,-59483,207942,-59483,298585,c2140953,109725,2270711,109725,2371721,44612v90599,-59453,207840,-59453,298439,c2771170,109725,2900927,109725,3001938,44612,3045819,14695,3097991,-643,3151084,746v53137,-1404,105368,13949,149293,43866c3401518,109623,3531305,109623,3632447,44612v90701,-59468,208029,-59468,298731,c4032188,109725,4161945,109725,4262956,44612v90701,-59468,208030,-59468,298731,c4662697,109725,4792454,109725,4893465,44612v90643,-59483,207942,-59483,298585,c5293060,109725,5422818,109725,5523827,44612v90644,-59483,207943,-59483,298586,c5923423,109725,6053180,109725,6154191,44612v90642,-59483,207941,-59483,298585,c6553786,109725,6683543,109725,6784553,44612v90643,-59483,207943,-59483,298585,c7184149,109725,7313906,109725,7414916,44612,7458842,14681,7511071,-672,7564209,746r,5634633l,5635379,,746c53123,-629,105354,14725,149293,44612v100952,65128,230680,65128,331632,c526247,14870,578232,,630218,xe" fillcolor="#0075e3 [3204]" stroked="f" strokeweight="1pt">
                <v:stroke joinstyle="miter"/>
                <v:formulas/>
                <v:path arrowok="t" o:connecttype="custom" o:connectlocs="630158,0;779435,44599;1111035,44599;1409591,44599;1741191,44599;2039748,44599;2371494,44599;2669904,44599;3001651,44599;3150782,746;3300061,44599;3632099,44599;3930802,44599;4262548,44599;4561250,44599;4892997,44599;5191553,44599;5523298,44599;5821856,44599;6153602,44599;6452158,44599;6783904,44599;7082460,44599;7414206,44599;7563485,746;7563485,5633720;0,5633720;0,746;149279,44599;480879,44599;630158,0" o:connectangles="0,0,0,0,0,0,0,0,0,0,0,0,0,0,0,0,0,0,0,0,0,0,0,0,0,0,0,0,0,0,0" textboxrect="0,0,7564209,5635379"/>
                <v:textbox inset="20mm,0,,75mm">
                  <w:txbxContent>
                    <w:p w14:paraId="4947614A" w14:textId="305BDEE3" w:rsidR="009272AC" w:rsidRPr="002D3159" w:rsidRDefault="009272AC" w:rsidP="009272AC">
                      <w:pPr>
                        <w:pStyle w:val="Divider"/>
                      </w:pPr>
                      <w:r>
                        <w:t>Appendices</w:t>
                      </w:r>
                    </w:p>
                  </w:txbxContent>
                </v:textbox>
                <w10:wrap anchorx="page" anchory="page"/>
                <w10:anchorlock/>
              </v:shape>
            </w:pict>
          </mc:Fallback>
        </mc:AlternateContent>
      </w:r>
      <w:bookmarkEnd w:id="107"/>
    </w:p>
    <w:p w14:paraId="12B22D06" w14:textId="100CB9F8" w:rsidR="007F1846" w:rsidRDefault="007F1846">
      <w:pPr>
        <w:rPr>
          <w:rFonts w:asciiTheme="majorHAnsi" w:eastAsiaTheme="majorEastAsia" w:hAnsiTheme="majorHAnsi" w:cstheme="majorBidi"/>
          <w:b/>
          <w:color w:val="0075E3" w:themeColor="accent1"/>
          <w:sz w:val="40"/>
          <w:szCs w:val="32"/>
        </w:rPr>
      </w:pPr>
      <w:r>
        <w:br w:type="page"/>
      </w:r>
    </w:p>
    <w:p w14:paraId="1AB3CD91" w14:textId="2A01232B" w:rsidR="00C91DCF" w:rsidRDefault="00C24B1F" w:rsidP="00D11C2D">
      <w:pPr>
        <w:pStyle w:val="Heading1"/>
      </w:pPr>
      <w:bookmarkStart w:id="108" w:name="_Appendix_1:_Operating"/>
      <w:bookmarkStart w:id="109" w:name="_Toc114644627"/>
      <w:bookmarkEnd w:id="108"/>
      <w:r>
        <w:lastRenderedPageBreak/>
        <w:t>Appendix 1: Ope</w:t>
      </w:r>
      <w:r w:rsidR="00624D71">
        <w:t>rating expenditure</w:t>
      </w:r>
      <w:r>
        <w:t xml:space="preserve"> step changes</w:t>
      </w:r>
      <w:bookmarkEnd w:id="109"/>
    </w:p>
    <w:bookmarkEnd w:id="6"/>
    <w:p w14:paraId="37C32FF3" w14:textId="534706A8" w:rsidR="00A012C6" w:rsidRPr="0067099E" w:rsidRDefault="00181FA7" w:rsidP="00AC3B85">
      <w:pPr>
        <w:pStyle w:val="BodyText"/>
        <w:spacing w:line="240" w:lineRule="auto"/>
        <w:rPr>
          <w:bCs/>
        </w:rPr>
      </w:pPr>
      <w:r>
        <w:rPr>
          <w:bCs/>
        </w:rPr>
        <w:t>The proposed step changes reflect the outcome of an</w:t>
      </w:r>
      <w:r w:rsidR="00C24B1F" w:rsidRPr="00C24B1F">
        <w:rPr>
          <w:bCs/>
        </w:rPr>
        <w:t xml:space="preserve"> extensive review of South</w:t>
      </w:r>
      <w:r w:rsidR="000F3DD8">
        <w:rPr>
          <w:bCs/>
        </w:rPr>
        <w:t> </w:t>
      </w:r>
      <w:r w:rsidR="00C24B1F" w:rsidRPr="00C24B1F">
        <w:rPr>
          <w:bCs/>
        </w:rPr>
        <w:t xml:space="preserve">East </w:t>
      </w:r>
      <w:r w:rsidR="00C24B1F" w:rsidRPr="0067099E">
        <w:rPr>
          <w:bCs/>
        </w:rPr>
        <w:t>Water</w:t>
      </w:r>
      <w:r w:rsidR="00612583" w:rsidRPr="0067099E">
        <w:rPr>
          <w:bCs/>
        </w:rPr>
        <w:t>’</w:t>
      </w:r>
      <w:r w:rsidR="00C24B1F" w:rsidRPr="0067099E">
        <w:rPr>
          <w:bCs/>
        </w:rPr>
        <w:t xml:space="preserve">s operating cost requirements for the next regulatory period. </w:t>
      </w:r>
    </w:p>
    <w:p w14:paraId="10F5284C" w14:textId="2AE45208" w:rsidR="0067099E" w:rsidRPr="0067099E" w:rsidRDefault="00C24B1F" w:rsidP="0067099E">
      <w:pPr>
        <w:pStyle w:val="NormalIndent"/>
        <w:ind w:left="0"/>
        <w:rPr>
          <w:rFonts w:ascii="Arial" w:hAnsi="Arial" w:cs="Arial"/>
          <w:b/>
          <w:i/>
          <w:sz w:val="24"/>
          <w:szCs w:val="24"/>
        </w:rPr>
      </w:pPr>
      <w:r w:rsidRPr="0067099E">
        <w:rPr>
          <w:bCs/>
          <w:sz w:val="24"/>
          <w:szCs w:val="24"/>
        </w:rPr>
        <w:t xml:space="preserve">A critical part of this review was to </w:t>
      </w:r>
      <w:r w:rsidR="007A2B93" w:rsidRPr="0067099E">
        <w:rPr>
          <w:bCs/>
          <w:sz w:val="24"/>
          <w:szCs w:val="24"/>
        </w:rPr>
        <w:t xml:space="preserve">align expenditure to delivering the </w:t>
      </w:r>
      <w:r w:rsidR="005A574D" w:rsidRPr="0067099E">
        <w:rPr>
          <w:bCs/>
          <w:sz w:val="24"/>
          <w:szCs w:val="24"/>
        </w:rPr>
        <w:t xml:space="preserve">outcomes that we have agreed with </w:t>
      </w:r>
      <w:r w:rsidR="008E24CB" w:rsidRPr="0067099E">
        <w:rPr>
          <w:bCs/>
          <w:sz w:val="24"/>
          <w:szCs w:val="24"/>
        </w:rPr>
        <w:t xml:space="preserve">customers, and which </w:t>
      </w:r>
      <w:r w:rsidR="003F155C" w:rsidRPr="0067099E">
        <w:rPr>
          <w:bCs/>
          <w:sz w:val="24"/>
          <w:szCs w:val="24"/>
        </w:rPr>
        <w:t xml:space="preserve">we know </w:t>
      </w:r>
      <w:r w:rsidR="00C06F64" w:rsidRPr="0067099E">
        <w:rPr>
          <w:bCs/>
          <w:sz w:val="24"/>
          <w:szCs w:val="24"/>
        </w:rPr>
        <w:t xml:space="preserve">are highly valued. </w:t>
      </w:r>
      <w:r w:rsidR="000462C7">
        <w:rPr>
          <w:bCs/>
          <w:sz w:val="24"/>
          <w:szCs w:val="24"/>
        </w:rPr>
        <w:t>Table 5</w:t>
      </w:r>
      <w:r w:rsidR="00313F30">
        <w:rPr>
          <w:bCs/>
          <w:sz w:val="24"/>
          <w:szCs w:val="24"/>
        </w:rPr>
        <w:t>9</w:t>
      </w:r>
      <w:r w:rsidR="00C06F64" w:rsidRPr="0067099E">
        <w:rPr>
          <w:bCs/>
          <w:sz w:val="24"/>
          <w:szCs w:val="24"/>
        </w:rPr>
        <w:t xml:space="preserve"> shows the alignment between </w:t>
      </w:r>
      <w:r w:rsidR="00644A4E" w:rsidRPr="0067099E">
        <w:rPr>
          <w:bCs/>
          <w:sz w:val="24"/>
          <w:szCs w:val="24"/>
        </w:rPr>
        <w:t xml:space="preserve">proposed step changes and </w:t>
      </w:r>
      <w:r w:rsidR="0072244E" w:rsidRPr="0067099E">
        <w:rPr>
          <w:bCs/>
          <w:sz w:val="24"/>
          <w:szCs w:val="24"/>
        </w:rPr>
        <w:t>meeting agreed customer outcomes.</w:t>
      </w:r>
      <w:r w:rsidR="00AB08EA" w:rsidRPr="0067099E">
        <w:rPr>
          <w:bCs/>
          <w:sz w:val="24"/>
          <w:szCs w:val="24"/>
        </w:rPr>
        <w:br/>
      </w:r>
    </w:p>
    <w:p w14:paraId="42C58A98" w14:textId="49FDEE88" w:rsidR="00C24B1F" w:rsidRPr="0067099E" w:rsidRDefault="0067099E" w:rsidP="002819EA">
      <w:pPr>
        <w:pStyle w:val="NormalIndent"/>
        <w:spacing w:after="120"/>
        <w:ind w:left="0"/>
        <w:rPr>
          <w:rFonts w:cs="Arial"/>
          <w:b/>
          <w:i/>
        </w:rPr>
      </w:pPr>
      <w:r w:rsidRPr="00CE6C4E">
        <w:rPr>
          <w:b/>
          <w:i/>
        </w:rPr>
        <w:t>Table</w:t>
      </w:r>
      <w:r w:rsidR="00313F30">
        <w:rPr>
          <w:b/>
          <w:i/>
        </w:rPr>
        <w:t xml:space="preserve"> 59</w:t>
      </w:r>
      <w:r w:rsidRPr="007B339F">
        <w:rPr>
          <w:rFonts w:ascii="Arial" w:hAnsi="Arial" w:cs="Arial"/>
          <w:b/>
          <w:i/>
        </w:rPr>
        <w:t>:</w:t>
      </w:r>
      <w:r>
        <w:rPr>
          <w:rFonts w:ascii="Arial" w:hAnsi="Arial" w:cs="Arial"/>
          <w:b/>
          <w:i/>
        </w:rPr>
        <w:t xml:space="preserve"> Operating expenditure step changes overview </w:t>
      </w:r>
    </w:p>
    <w:tbl>
      <w:tblPr>
        <w:tblStyle w:val="GridTable4-Accent2"/>
        <w:tblW w:w="9495" w:type="dxa"/>
        <w:tblBorders>
          <w:top w:val="single" w:sz="4" w:space="0" w:color="002279"/>
          <w:left w:val="single" w:sz="4" w:space="0" w:color="002279"/>
          <w:bottom w:val="single" w:sz="4" w:space="0" w:color="002279"/>
          <w:right w:val="single" w:sz="4" w:space="0" w:color="002279"/>
          <w:insideH w:val="single" w:sz="4" w:space="0" w:color="002279"/>
          <w:insideV w:val="single" w:sz="4" w:space="0" w:color="002279"/>
        </w:tblBorders>
        <w:tblLook w:val="04A0" w:firstRow="1" w:lastRow="0" w:firstColumn="1" w:lastColumn="0" w:noHBand="0" w:noVBand="1"/>
      </w:tblPr>
      <w:tblGrid>
        <w:gridCol w:w="3052"/>
        <w:gridCol w:w="3464"/>
        <w:gridCol w:w="2979"/>
      </w:tblGrid>
      <w:tr w:rsidR="00196E36" w:rsidRPr="00C24B1F" w14:paraId="4DF0CA23" w14:textId="77777777" w:rsidTr="0055582C">
        <w:trPr>
          <w:cnfStyle w:val="100000000000" w:firstRow="1" w:lastRow="0" w:firstColumn="0" w:lastColumn="0" w:oddVBand="0" w:evenVBand="0" w:oddHBand="0" w:evenHBand="0" w:firstRowFirstColumn="0" w:firstRowLastColumn="0" w:lastRowFirstColumn="0" w:lastRowLastColumn="0"/>
          <w:trHeight w:val="358"/>
          <w:tblHeader/>
        </w:trPr>
        <w:tc>
          <w:tcPr>
            <w:cnfStyle w:val="001000000000" w:firstRow="0" w:lastRow="0" w:firstColumn="1" w:lastColumn="0" w:oddVBand="0" w:evenVBand="0" w:oddHBand="0" w:evenHBand="0" w:firstRowFirstColumn="0" w:firstRowLastColumn="0" w:lastRowFirstColumn="0" w:lastRowLastColumn="0"/>
            <w:tcW w:w="3052" w:type="dxa"/>
            <w:tcBorders>
              <w:top w:val="single" w:sz="4" w:space="0" w:color="002279"/>
              <w:left w:val="single" w:sz="4" w:space="0" w:color="002279"/>
              <w:bottom w:val="single" w:sz="4" w:space="0" w:color="002279"/>
              <w:right w:val="single" w:sz="4" w:space="0" w:color="FFFFFF" w:themeColor="background1"/>
            </w:tcBorders>
            <w:shd w:val="clear" w:color="auto" w:fill="002279"/>
          </w:tcPr>
          <w:p w14:paraId="2F62B400" w14:textId="5582B045" w:rsidR="00C24B1F" w:rsidRPr="00116E55" w:rsidRDefault="00C24B1F" w:rsidP="00ED308F">
            <w:pPr>
              <w:pStyle w:val="BodyText"/>
              <w:spacing w:line="240" w:lineRule="auto"/>
              <w:rPr>
                <w:rFonts w:ascii="Arial" w:hAnsi="Arial" w:cs="Arial"/>
                <w:sz w:val="20"/>
                <w:szCs w:val="20"/>
              </w:rPr>
            </w:pPr>
            <w:r w:rsidRPr="00116E55">
              <w:rPr>
                <w:rFonts w:cs="Arial"/>
                <w:sz w:val="20"/>
                <w:szCs w:val="20"/>
              </w:rPr>
              <w:t xml:space="preserve">Step </w:t>
            </w:r>
            <w:r w:rsidR="00793BA0" w:rsidRPr="00116E55">
              <w:rPr>
                <w:rFonts w:cs="Arial"/>
                <w:sz w:val="20"/>
                <w:szCs w:val="20"/>
              </w:rPr>
              <w:t>c</w:t>
            </w:r>
            <w:r w:rsidRPr="00116E55">
              <w:rPr>
                <w:rFonts w:cs="Arial"/>
                <w:sz w:val="20"/>
                <w:szCs w:val="20"/>
              </w:rPr>
              <w:t>hange</w:t>
            </w:r>
          </w:p>
        </w:tc>
        <w:tc>
          <w:tcPr>
            <w:tcW w:w="3464" w:type="dxa"/>
            <w:tcBorders>
              <w:top w:val="single" w:sz="4" w:space="0" w:color="002279"/>
              <w:left w:val="single" w:sz="4" w:space="0" w:color="FFFFFF" w:themeColor="background1"/>
              <w:bottom w:val="single" w:sz="4" w:space="0" w:color="002279"/>
              <w:right w:val="single" w:sz="4" w:space="0" w:color="FFFFFF" w:themeColor="background1"/>
            </w:tcBorders>
            <w:shd w:val="clear" w:color="auto" w:fill="002279"/>
          </w:tcPr>
          <w:p w14:paraId="78A0221D" w14:textId="53FDEC12" w:rsidR="00C24B1F" w:rsidRPr="00116E55" w:rsidRDefault="00C24B1F" w:rsidP="00ED308F">
            <w:pPr>
              <w:pStyle w:val="BodyText"/>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116E55">
              <w:rPr>
                <w:rFonts w:cs="Arial"/>
                <w:sz w:val="20"/>
                <w:szCs w:val="20"/>
              </w:rPr>
              <w:t xml:space="preserve">Customer </w:t>
            </w:r>
            <w:r w:rsidR="00793BA0" w:rsidRPr="00116E55">
              <w:rPr>
                <w:rFonts w:cs="Arial"/>
                <w:sz w:val="20"/>
                <w:szCs w:val="20"/>
              </w:rPr>
              <w:t>o</w:t>
            </w:r>
            <w:r w:rsidRPr="00116E55">
              <w:rPr>
                <w:rFonts w:cs="Arial"/>
                <w:sz w:val="20"/>
                <w:szCs w:val="20"/>
              </w:rPr>
              <w:t>utcome</w:t>
            </w:r>
          </w:p>
        </w:tc>
        <w:tc>
          <w:tcPr>
            <w:tcW w:w="2979" w:type="dxa"/>
            <w:tcBorders>
              <w:top w:val="single" w:sz="4" w:space="0" w:color="002279"/>
              <w:left w:val="single" w:sz="4" w:space="0" w:color="FFFFFF" w:themeColor="background1"/>
              <w:bottom w:val="single" w:sz="4" w:space="0" w:color="002279"/>
              <w:right w:val="single" w:sz="4" w:space="0" w:color="002279"/>
            </w:tcBorders>
            <w:shd w:val="clear" w:color="auto" w:fill="002279"/>
          </w:tcPr>
          <w:p w14:paraId="3249A2A1" w14:textId="28F008BA" w:rsidR="00C24B1F" w:rsidRPr="00116E55" w:rsidRDefault="00C24B1F" w:rsidP="00ED308F">
            <w:pPr>
              <w:pStyle w:val="BodyText"/>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116E55">
              <w:rPr>
                <w:rFonts w:cs="Arial"/>
                <w:sz w:val="20"/>
                <w:szCs w:val="20"/>
              </w:rPr>
              <w:t xml:space="preserve">Community </w:t>
            </w:r>
            <w:r w:rsidR="00793BA0" w:rsidRPr="00116E55">
              <w:rPr>
                <w:rFonts w:cs="Arial"/>
                <w:sz w:val="20"/>
                <w:szCs w:val="20"/>
              </w:rPr>
              <w:t>p</w:t>
            </w:r>
            <w:r w:rsidRPr="00116E55">
              <w:rPr>
                <w:rFonts w:cs="Arial"/>
                <w:sz w:val="20"/>
                <w:szCs w:val="20"/>
              </w:rPr>
              <w:t>anel Recommendation</w:t>
            </w:r>
          </w:p>
        </w:tc>
      </w:tr>
      <w:tr w:rsidR="00196E36" w:rsidRPr="00C24B1F" w14:paraId="1002AB7F" w14:textId="77777777" w:rsidTr="00555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2" w:type="dxa"/>
            <w:tcBorders>
              <w:top w:val="single" w:sz="4" w:space="0" w:color="002279"/>
            </w:tcBorders>
            <w:shd w:val="clear" w:color="auto" w:fill="D4D6DF"/>
            <w:vAlign w:val="top"/>
          </w:tcPr>
          <w:p w14:paraId="29877DC7" w14:textId="77777777" w:rsidR="00C24B1F" w:rsidRPr="00116E55" w:rsidRDefault="00C24B1F" w:rsidP="00150FE5">
            <w:pPr>
              <w:pStyle w:val="BodyText"/>
              <w:spacing w:line="240" w:lineRule="auto"/>
              <w:rPr>
                <w:rFonts w:cs="Arial"/>
                <w:sz w:val="20"/>
                <w:szCs w:val="20"/>
              </w:rPr>
            </w:pPr>
            <w:r w:rsidRPr="00116E55">
              <w:rPr>
                <w:rFonts w:cs="Arial"/>
                <w:sz w:val="20"/>
                <w:szCs w:val="20"/>
              </w:rPr>
              <w:t>Digital Metering</w:t>
            </w:r>
          </w:p>
        </w:tc>
        <w:tc>
          <w:tcPr>
            <w:tcW w:w="3464" w:type="dxa"/>
            <w:tcBorders>
              <w:top w:val="single" w:sz="4" w:space="0" w:color="002279"/>
            </w:tcBorders>
            <w:shd w:val="clear" w:color="auto" w:fill="D4D6DF"/>
            <w:vAlign w:val="top"/>
          </w:tcPr>
          <w:p w14:paraId="4DF105B2" w14:textId="77777777" w:rsidR="00C24B1F" w:rsidRPr="00116E55" w:rsidRDefault="00C24B1F">
            <w:pPr>
              <w:pStyle w:val="BodyText"/>
              <w:numPr>
                <w:ilvl w:val="0"/>
                <w:numId w:val="106"/>
              </w:numPr>
              <w:spacing w:line="240" w:lineRule="auto"/>
              <w:ind w:left="240" w:hanging="240"/>
              <w:cnfStyle w:val="000000100000" w:firstRow="0" w:lastRow="0" w:firstColumn="0" w:lastColumn="0" w:oddVBand="0" w:evenVBand="0" w:oddHBand="1" w:evenHBand="0" w:firstRowFirstColumn="0" w:firstRowLastColumn="0" w:lastRowFirstColumn="0" w:lastRowLastColumn="0"/>
              <w:rPr>
                <w:rFonts w:cs="Arial"/>
                <w:i/>
                <w:iCs/>
                <w:sz w:val="20"/>
                <w:szCs w:val="20"/>
              </w:rPr>
            </w:pPr>
            <w:r w:rsidRPr="00116E55">
              <w:rPr>
                <w:rFonts w:cs="Arial"/>
                <w:i/>
                <w:iCs/>
                <w:sz w:val="20"/>
                <w:szCs w:val="20"/>
              </w:rPr>
              <w:t>Warn me, inform me</w:t>
            </w:r>
          </w:p>
          <w:p w14:paraId="327465AA" w14:textId="77777777" w:rsidR="00C24B1F" w:rsidRPr="00116E55" w:rsidRDefault="00C24B1F">
            <w:pPr>
              <w:pStyle w:val="BodyText"/>
              <w:numPr>
                <w:ilvl w:val="0"/>
                <w:numId w:val="106"/>
              </w:numPr>
              <w:spacing w:line="240" w:lineRule="auto"/>
              <w:ind w:left="240" w:hanging="240"/>
              <w:cnfStyle w:val="000000100000" w:firstRow="0" w:lastRow="0" w:firstColumn="0" w:lastColumn="0" w:oddVBand="0" w:evenVBand="0" w:oddHBand="1" w:evenHBand="0" w:firstRowFirstColumn="0" w:firstRowLastColumn="0" w:lastRowFirstColumn="0" w:lastRowLastColumn="0"/>
              <w:rPr>
                <w:rFonts w:cs="Arial"/>
                <w:i/>
                <w:iCs/>
                <w:sz w:val="20"/>
                <w:szCs w:val="20"/>
              </w:rPr>
            </w:pPr>
            <w:r w:rsidRPr="00116E55">
              <w:rPr>
                <w:rFonts w:cs="Arial"/>
                <w:i/>
                <w:iCs/>
                <w:sz w:val="20"/>
                <w:szCs w:val="20"/>
              </w:rPr>
              <w:t>Make my experience better</w:t>
            </w:r>
          </w:p>
        </w:tc>
        <w:tc>
          <w:tcPr>
            <w:tcW w:w="2979" w:type="dxa"/>
            <w:tcBorders>
              <w:top w:val="single" w:sz="4" w:space="0" w:color="002279"/>
            </w:tcBorders>
            <w:shd w:val="clear" w:color="auto" w:fill="D4D6DF"/>
            <w:vAlign w:val="top"/>
          </w:tcPr>
          <w:p w14:paraId="366D0918" w14:textId="17959A57" w:rsidR="00C24B1F" w:rsidRPr="00116E55" w:rsidRDefault="0055582C" w:rsidP="0055582C">
            <w:pPr>
              <w:pStyle w:val="BodyText"/>
              <w:spacing w:line="240" w:lineRule="auto"/>
              <w:ind w:left="251" w:hanging="251"/>
              <w:cnfStyle w:val="000000100000" w:firstRow="0" w:lastRow="0" w:firstColumn="0" w:lastColumn="0" w:oddVBand="0" w:evenVBand="0" w:oddHBand="1" w:evenHBand="0" w:firstRowFirstColumn="0" w:firstRowLastColumn="0" w:lastRowFirstColumn="0" w:lastRowLastColumn="0"/>
              <w:rPr>
                <w:rFonts w:cs="Arial"/>
                <w:sz w:val="20"/>
                <w:szCs w:val="20"/>
              </w:rPr>
            </w:pPr>
            <w:r w:rsidRPr="0055582C">
              <w:rPr>
                <w:rFonts w:cs="Arial"/>
                <w:sz w:val="20"/>
                <w:szCs w:val="20"/>
              </w:rPr>
              <w:t>5.</w:t>
            </w:r>
            <w:r>
              <w:rPr>
                <w:rFonts w:cs="Arial"/>
                <w:sz w:val="20"/>
                <w:szCs w:val="20"/>
              </w:rPr>
              <w:t xml:space="preserve"> </w:t>
            </w:r>
            <w:r w:rsidR="00C24B1F" w:rsidRPr="00116E55">
              <w:rPr>
                <w:rFonts w:cs="Arial"/>
                <w:sz w:val="20"/>
                <w:szCs w:val="20"/>
              </w:rPr>
              <w:t xml:space="preserve">Digital </w:t>
            </w:r>
            <w:r w:rsidR="00C17A65" w:rsidRPr="00116E55">
              <w:rPr>
                <w:rFonts w:cs="Arial"/>
                <w:sz w:val="20"/>
                <w:szCs w:val="20"/>
              </w:rPr>
              <w:t>m</w:t>
            </w:r>
            <w:r w:rsidR="00C24B1F" w:rsidRPr="00116E55">
              <w:rPr>
                <w:rFonts w:cs="Arial"/>
                <w:sz w:val="20"/>
                <w:szCs w:val="20"/>
              </w:rPr>
              <w:t xml:space="preserve">eter </w:t>
            </w:r>
            <w:r w:rsidR="00C17A65" w:rsidRPr="00116E55">
              <w:rPr>
                <w:rFonts w:cs="Arial"/>
                <w:sz w:val="20"/>
                <w:szCs w:val="20"/>
              </w:rPr>
              <w:t>r</w:t>
            </w:r>
            <w:r w:rsidR="00C24B1F" w:rsidRPr="00116E55">
              <w:rPr>
                <w:rFonts w:cs="Arial"/>
                <w:sz w:val="20"/>
                <w:szCs w:val="20"/>
              </w:rPr>
              <w:t>ollout</w:t>
            </w:r>
          </w:p>
        </w:tc>
      </w:tr>
      <w:tr w:rsidR="004A4FCB" w:rsidRPr="00C24B1F" w14:paraId="388ED475" w14:textId="77777777" w:rsidTr="0055582C">
        <w:tc>
          <w:tcPr>
            <w:cnfStyle w:val="001000000000" w:firstRow="0" w:lastRow="0" w:firstColumn="1" w:lastColumn="0" w:oddVBand="0" w:evenVBand="0" w:oddHBand="0" w:evenHBand="0" w:firstRowFirstColumn="0" w:firstRowLastColumn="0" w:lastRowFirstColumn="0" w:lastRowLastColumn="0"/>
            <w:tcW w:w="3052" w:type="dxa"/>
            <w:vAlign w:val="top"/>
          </w:tcPr>
          <w:p w14:paraId="5179EF71" w14:textId="77777777" w:rsidR="00C24B1F" w:rsidRPr="00116E55" w:rsidRDefault="00C24B1F" w:rsidP="00150FE5">
            <w:pPr>
              <w:pStyle w:val="BodyText"/>
              <w:spacing w:line="240" w:lineRule="auto"/>
              <w:rPr>
                <w:rFonts w:cs="Arial"/>
                <w:sz w:val="20"/>
                <w:szCs w:val="20"/>
              </w:rPr>
            </w:pPr>
            <w:r w:rsidRPr="00116E55">
              <w:rPr>
                <w:rFonts w:cs="Arial"/>
                <w:sz w:val="20"/>
                <w:szCs w:val="20"/>
              </w:rPr>
              <w:t>Maintenance Model</w:t>
            </w:r>
          </w:p>
        </w:tc>
        <w:tc>
          <w:tcPr>
            <w:tcW w:w="3464" w:type="dxa"/>
            <w:vAlign w:val="top"/>
          </w:tcPr>
          <w:p w14:paraId="4DE3A6C1" w14:textId="77777777" w:rsidR="00C24B1F" w:rsidRPr="00116E55" w:rsidRDefault="00C24B1F">
            <w:pPr>
              <w:pStyle w:val="BodyText"/>
              <w:numPr>
                <w:ilvl w:val="0"/>
                <w:numId w:val="106"/>
              </w:numPr>
              <w:spacing w:line="240" w:lineRule="auto"/>
              <w:ind w:left="240" w:hanging="240"/>
              <w:cnfStyle w:val="000000000000" w:firstRow="0" w:lastRow="0" w:firstColumn="0" w:lastColumn="0" w:oddVBand="0" w:evenVBand="0" w:oddHBand="0" w:evenHBand="0" w:firstRowFirstColumn="0" w:firstRowLastColumn="0" w:lastRowFirstColumn="0" w:lastRowLastColumn="0"/>
              <w:rPr>
                <w:rFonts w:cs="Arial"/>
                <w:i/>
                <w:iCs/>
                <w:sz w:val="20"/>
                <w:szCs w:val="20"/>
              </w:rPr>
            </w:pPr>
            <w:r w:rsidRPr="00116E55">
              <w:rPr>
                <w:rFonts w:cs="Arial"/>
                <w:i/>
                <w:iCs/>
                <w:sz w:val="20"/>
                <w:szCs w:val="20"/>
              </w:rPr>
              <w:t>Get the basics right, always</w:t>
            </w:r>
          </w:p>
          <w:p w14:paraId="318118C0" w14:textId="77777777" w:rsidR="00C24B1F" w:rsidRPr="00116E55" w:rsidRDefault="00C24B1F">
            <w:pPr>
              <w:pStyle w:val="BodyText"/>
              <w:numPr>
                <w:ilvl w:val="0"/>
                <w:numId w:val="106"/>
              </w:numPr>
              <w:spacing w:line="240" w:lineRule="auto"/>
              <w:ind w:left="240" w:hanging="240"/>
              <w:cnfStyle w:val="000000000000" w:firstRow="0" w:lastRow="0" w:firstColumn="0" w:lastColumn="0" w:oddVBand="0" w:evenVBand="0" w:oddHBand="0" w:evenHBand="0" w:firstRowFirstColumn="0" w:firstRowLastColumn="0" w:lastRowFirstColumn="0" w:lastRowLastColumn="0"/>
              <w:rPr>
                <w:rFonts w:cs="Arial"/>
                <w:i/>
                <w:iCs/>
                <w:sz w:val="20"/>
                <w:szCs w:val="20"/>
              </w:rPr>
            </w:pPr>
            <w:r w:rsidRPr="00116E55">
              <w:rPr>
                <w:rFonts w:cs="Arial"/>
                <w:i/>
                <w:iCs/>
                <w:sz w:val="20"/>
                <w:szCs w:val="20"/>
              </w:rPr>
              <w:t>Warn me, inform me</w:t>
            </w:r>
          </w:p>
        </w:tc>
        <w:tc>
          <w:tcPr>
            <w:tcW w:w="2979" w:type="dxa"/>
            <w:vAlign w:val="top"/>
          </w:tcPr>
          <w:p w14:paraId="409F4109" w14:textId="27D58CE7" w:rsidR="00C24B1F" w:rsidRPr="00116E55" w:rsidRDefault="0055582C" w:rsidP="0055582C">
            <w:pPr>
              <w:pStyle w:val="BodyText"/>
              <w:spacing w:line="240" w:lineRule="auto"/>
              <w:ind w:left="251" w:hanging="251"/>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xml:space="preserve">2. </w:t>
            </w:r>
            <w:r w:rsidR="00C24B1F" w:rsidRPr="00116E55">
              <w:rPr>
                <w:rFonts w:cs="Arial"/>
                <w:sz w:val="20"/>
                <w:szCs w:val="20"/>
              </w:rPr>
              <w:t xml:space="preserve">Reliable service across </w:t>
            </w:r>
            <w:r>
              <w:rPr>
                <w:rFonts w:cs="Arial"/>
                <w:sz w:val="20"/>
                <w:szCs w:val="20"/>
              </w:rPr>
              <w:br/>
            </w:r>
            <w:r w:rsidR="00C24B1F" w:rsidRPr="00116E55">
              <w:rPr>
                <w:rFonts w:cs="Arial"/>
                <w:sz w:val="20"/>
                <w:szCs w:val="20"/>
              </w:rPr>
              <w:t>the whole network</w:t>
            </w:r>
          </w:p>
        </w:tc>
      </w:tr>
      <w:tr w:rsidR="00196E36" w:rsidRPr="00C24B1F" w14:paraId="7498451B" w14:textId="77777777" w:rsidTr="00555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2" w:type="dxa"/>
            <w:shd w:val="clear" w:color="auto" w:fill="D4D6DF"/>
            <w:vAlign w:val="top"/>
          </w:tcPr>
          <w:p w14:paraId="5A794C57" w14:textId="77777777" w:rsidR="00C24B1F" w:rsidRPr="00116E55" w:rsidRDefault="00C24B1F" w:rsidP="00150FE5">
            <w:pPr>
              <w:pStyle w:val="BodyText"/>
              <w:spacing w:line="240" w:lineRule="auto"/>
              <w:rPr>
                <w:rFonts w:cs="Arial"/>
                <w:sz w:val="20"/>
                <w:szCs w:val="20"/>
              </w:rPr>
            </w:pPr>
            <w:r w:rsidRPr="00116E55">
              <w:rPr>
                <w:rFonts w:cs="Arial"/>
                <w:sz w:val="20"/>
                <w:szCs w:val="20"/>
              </w:rPr>
              <w:t>Water Quality</w:t>
            </w:r>
          </w:p>
        </w:tc>
        <w:tc>
          <w:tcPr>
            <w:tcW w:w="3464" w:type="dxa"/>
            <w:shd w:val="clear" w:color="auto" w:fill="D4D6DF"/>
            <w:vAlign w:val="top"/>
          </w:tcPr>
          <w:p w14:paraId="7A729C83" w14:textId="77777777" w:rsidR="00C24B1F" w:rsidRPr="00116E55" w:rsidRDefault="00C24B1F">
            <w:pPr>
              <w:pStyle w:val="BodyText"/>
              <w:numPr>
                <w:ilvl w:val="0"/>
                <w:numId w:val="106"/>
              </w:numPr>
              <w:spacing w:line="240" w:lineRule="auto"/>
              <w:ind w:left="240" w:hanging="240"/>
              <w:cnfStyle w:val="000000100000" w:firstRow="0" w:lastRow="0" w:firstColumn="0" w:lastColumn="0" w:oddVBand="0" w:evenVBand="0" w:oddHBand="1" w:evenHBand="0" w:firstRowFirstColumn="0" w:firstRowLastColumn="0" w:lastRowFirstColumn="0" w:lastRowLastColumn="0"/>
              <w:rPr>
                <w:rFonts w:cs="Arial"/>
                <w:i/>
                <w:iCs/>
                <w:sz w:val="20"/>
                <w:szCs w:val="20"/>
              </w:rPr>
            </w:pPr>
            <w:r w:rsidRPr="00116E55">
              <w:rPr>
                <w:rFonts w:cs="Arial"/>
                <w:i/>
                <w:iCs/>
                <w:sz w:val="20"/>
                <w:szCs w:val="20"/>
              </w:rPr>
              <w:t>Get the basics right, always</w:t>
            </w:r>
          </w:p>
        </w:tc>
        <w:tc>
          <w:tcPr>
            <w:tcW w:w="2979" w:type="dxa"/>
            <w:shd w:val="clear" w:color="auto" w:fill="D4D6DF"/>
            <w:vAlign w:val="top"/>
          </w:tcPr>
          <w:p w14:paraId="19EB57E9" w14:textId="197B3CBB" w:rsidR="00C24B1F" w:rsidRPr="00116E55" w:rsidRDefault="0055582C" w:rsidP="0055582C">
            <w:pPr>
              <w:pStyle w:val="BodyText"/>
              <w:spacing w:line="240" w:lineRule="auto"/>
              <w:ind w:left="251" w:hanging="251"/>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 xml:space="preserve">1. </w:t>
            </w:r>
            <w:r w:rsidR="00C24B1F" w:rsidRPr="00116E55">
              <w:rPr>
                <w:rFonts w:cs="Arial"/>
                <w:sz w:val="20"/>
                <w:szCs w:val="20"/>
              </w:rPr>
              <w:t xml:space="preserve">Water security </w:t>
            </w:r>
            <w:r>
              <w:rPr>
                <w:rFonts w:cs="Arial"/>
                <w:sz w:val="20"/>
                <w:szCs w:val="20"/>
              </w:rPr>
              <w:br/>
            </w:r>
            <w:r w:rsidR="00C24B1F" w:rsidRPr="00116E55">
              <w:rPr>
                <w:rFonts w:cs="Arial"/>
                <w:sz w:val="20"/>
                <w:szCs w:val="20"/>
              </w:rPr>
              <w:t>(quality and quantity)</w:t>
            </w:r>
          </w:p>
        </w:tc>
      </w:tr>
      <w:tr w:rsidR="004A4FCB" w:rsidRPr="00C24B1F" w14:paraId="186E93BA" w14:textId="77777777" w:rsidTr="0055582C">
        <w:tc>
          <w:tcPr>
            <w:cnfStyle w:val="001000000000" w:firstRow="0" w:lastRow="0" w:firstColumn="1" w:lastColumn="0" w:oddVBand="0" w:evenVBand="0" w:oddHBand="0" w:evenHBand="0" w:firstRowFirstColumn="0" w:firstRowLastColumn="0" w:lastRowFirstColumn="0" w:lastRowLastColumn="0"/>
            <w:tcW w:w="3052" w:type="dxa"/>
            <w:vAlign w:val="top"/>
          </w:tcPr>
          <w:p w14:paraId="10A0173F" w14:textId="77777777" w:rsidR="00C24B1F" w:rsidRPr="00116E55" w:rsidRDefault="00C24B1F" w:rsidP="00150FE5">
            <w:pPr>
              <w:pStyle w:val="BodyText"/>
              <w:spacing w:line="240" w:lineRule="auto"/>
              <w:rPr>
                <w:rFonts w:cs="Arial"/>
                <w:sz w:val="20"/>
                <w:szCs w:val="20"/>
              </w:rPr>
            </w:pPr>
            <w:r w:rsidRPr="00116E55">
              <w:rPr>
                <w:rFonts w:cs="Arial"/>
                <w:sz w:val="20"/>
                <w:szCs w:val="20"/>
              </w:rPr>
              <w:t>Information Technology</w:t>
            </w:r>
          </w:p>
        </w:tc>
        <w:tc>
          <w:tcPr>
            <w:tcW w:w="3464" w:type="dxa"/>
            <w:vAlign w:val="top"/>
          </w:tcPr>
          <w:p w14:paraId="68A877DE" w14:textId="77777777" w:rsidR="00C24B1F" w:rsidRPr="00116E55" w:rsidRDefault="00C24B1F">
            <w:pPr>
              <w:pStyle w:val="BodyText"/>
              <w:numPr>
                <w:ilvl w:val="0"/>
                <w:numId w:val="106"/>
              </w:numPr>
              <w:spacing w:line="240" w:lineRule="auto"/>
              <w:ind w:left="240" w:hanging="240"/>
              <w:cnfStyle w:val="000000000000" w:firstRow="0" w:lastRow="0" w:firstColumn="0" w:lastColumn="0" w:oddVBand="0" w:evenVBand="0" w:oddHBand="0" w:evenHBand="0" w:firstRowFirstColumn="0" w:firstRowLastColumn="0" w:lastRowFirstColumn="0" w:lastRowLastColumn="0"/>
              <w:rPr>
                <w:rFonts w:cs="Arial"/>
                <w:i/>
                <w:iCs/>
                <w:sz w:val="20"/>
                <w:szCs w:val="20"/>
              </w:rPr>
            </w:pPr>
            <w:r w:rsidRPr="00116E55">
              <w:rPr>
                <w:rFonts w:cs="Arial"/>
                <w:i/>
                <w:iCs/>
                <w:sz w:val="20"/>
                <w:szCs w:val="20"/>
              </w:rPr>
              <w:t>Get the basics right, always</w:t>
            </w:r>
          </w:p>
          <w:p w14:paraId="220B7164" w14:textId="77777777" w:rsidR="00C24B1F" w:rsidRPr="00116E55" w:rsidRDefault="00C24B1F">
            <w:pPr>
              <w:pStyle w:val="BodyText"/>
              <w:numPr>
                <w:ilvl w:val="0"/>
                <w:numId w:val="106"/>
              </w:numPr>
              <w:spacing w:line="240" w:lineRule="auto"/>
              <w:ind w:left="240" w:hanging="240"/>
              <w:cnfStyle w:val="000000000000" w:firstRow="0" w:lastRow="0" w:firstColumn="0" w:lastColumn="0" w:oddVBand="0" w:evenVBand="0" w:oddHBand="0" w:evenHBand="0" w:firstRowFirstColumn="0" w:firstRowLastColumn="0" w:lastRowFirstColumn="0" w:lastRowLastColumn="0"/>
              <w:rPr>
                <w:rFonts w:cs="Arial"/>
                <w:sz w:val="20"/>
                <w:szCs w:val="20"/>
              </w:rPr>
            </w:pPr>
            <w:r w:rsidRPr="00116E55">
              <w:rPr>
                <w:rFonts w:cs="Arial"/>
                <w:i/>
                <w:iCs/>
                <w:sz w:val="20"/>
                <w:szCs w:val="20"/>
              </w:rPr>
              <w:t>Make my experience better</w:t>
            </w:r>
          </w:p>
        </w:tc>
        <w:tc>
          <w:tcPr>
            <w:tcW w:w="2979" w:type="dxa"/>
            <w:vAlign w:val="top"/>
          </w:tcPr>
          <w:p w14:paraId="2C09D8D4" w14:textId="1FAD5FF3" w:rsidR="00C24B1F" w:rsidRPr="00116E55" w:rsidRDefault="00C24B1F" w:rsidP="0055582C">
            <w:pPr>
              <w:pStyle w:val="BodyText"/>
              <w:spacing w:line="240" w:lineRule="auto"/>
              <w:ind w:left="251" w:hanging="251"/>
              <w:cnfStyle w:val="000000000000" w:firstRow="0" w:lastRow="0" w:firstColumn="0" w:lastColumn="0" w:oddVBand="0" w:evenVBand="0" w:oddHBand="0" w:evenHBand="0" w:firstRowFirstColumn="0" w:firstRowLastColumn="0" w:lastRowFirstColumn="0" w:lastRowLastColumn="0"/>
              <w:rPr>
                <w:rFonts w:cs="Arial"/>
                <w:sz w:val="20"/>
                <w:szCs w:val="20"/>
              </w:rPr>
            </w:pPr>
            <w:r w:rsidRPr="00116E55">
              <w:rPr>
                <w:rFonts w:cs="Arial"/>
                <w:sz w:val="20"/>
                <w:szCs w:val="20"/>
              </w:rPr>
              <w:t xml:space="preserve">2. Reliable service across </w:t>
            </w:r>
            <w:r w:rsidR="00AC3B85">
              <w:rPr>
                <w:rFonts w:cs="Arial"/>
                <w:sz w:val="20"/>
                <w:szCs w:val="20"/>
              </w:rPr>
              <w:br/>
            </w:r>
            <w:r w:rsidRPr="00116E55">
              <w:rPr>
                <w:rFonts w:cs="Arial"/>
                <w:sz w:val="20"/>
                <w:szCs w:val="20"/>
              </w:rPr>
              <w:t xml:space="preserve">the whole network </w:t>
            </w:r>
          </w:p>
          <w:p w14:paraId="10D00C25" w14:textId="241B743C" w:rsidR="00C24B1F" w:rsidRPr="00116E55" w:rsidRDefault="00C24B1F" w:rsidP="0055582C">
            <w:pPr>
              <w:pStyle w:val="BodyText"/>
              <w:spacing w:line="240" w:lineRule="auto"/>
              <w:ind w:left="251" w:hanging="251"/>
              <w:cnfStyle w:val="000000000000" w:firstRow="0" w:lastRow="0" w:firstColumn="0" w:lastColumn="0" w:oddVBand="0" w:evenVBand="0" w:oddHBand="0" w:evenHBand="0" w:firstRowFirstColumn="0" w:firstRowLastColumn="0" w:lastRowFirstColumn="0" w:lastRowLastColumn="0"/>
              <w:rPr>
                <w:rFonts w:cs="Arial"/>
                <w:sz w:val="20"/>
                <w:szCs w:val="20"/>
              </w:rPr>
            </w:pPr>
            <w:r w:rsidRPr="00116E55">
              <w:rPr>
                <w:rFonts w:cs="Arial"/>
                <w:sz w:val="20"/>
                <w:szCs w:val="20"/>
              </w:rPr>
              <w:t xml:space="preserve">7. Delivery of innovative and </w:t>
            </w:r>
            <w:r w:rsidR="00AC3B85">
              <w:rPr>
                <w:rFonts w:cs="Arial"/>
                <w:sz w:val="20"/>
                <w:szCs w:val="20"/>
              </w:rPr>
              <w:br/>
            </w:r>
            <w:r w:rsidRPr="00116E55">
              <w:rPr>
                <w:rFonts w:cs="Arial"/>
                <w:sz w:val="20"/>
                <w:szCs w:val="20"/>
              </w:rPr>
              <w:t>best service methodology</w:t>
            </w:r>
          </w:p>
        </w:tc>
      </w:tr>
      <w:tr w:rsidR="00196E36" w:rsidRPr="00C24B1F" w14:paraId="05E6DD8C" w14:textId="77777777" w:rsidTr="00555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2" w:type="dxa"/>
            <w:shd w:val="clear" w:color="auto" w:fill="D4D6DF"/>
            <w:vAlign w:val="top"/>
          </w:tcPr>
          <w:p w14:paraId="65260775" w14:textId="53D5572B" w:rsidR="00C24B1F" w:rsidRPr="000C50D5" w:rsidRDefault="00C24B1F" w:rsidP="00150FE5">
            <w:pPr>
              <w:pStyle w:val="BodyText"/>
              <w:spacing w:line="240" w:lineRule="auto"/>
              <w:rPr>
                <w:rFonts w:cs="Arial"/>
                <w:sz w:val="20"/>
                <w:szCs w:val="20"/>
              </w:rPr>
            </w:pPr>
            <w:r w:rsidRPr="000C50D5">
              <w:rPr>
                <w:rFonts w:cs="Arial"/>
                <w:sz w:val="20"/>
                <w:szCs w:val="20"/>
              </w:rPr>
              <w:t xml:space="preserve">Aquarevo </w:t>
            </w:r>
            <w:r w:rsidR="000C50D5" w:rsidRPr="000C50D5">
              <w:rPr>
                <w:rFonts w:cs="Arial"/>
                <w:sz w:val="20"/>
                <w:szCs w:val="20"/>
              </w:rPr>
              <w:t xml:space="preserve">Water Recycling Plant </w:t>
            </w:r>
            <w:r w:rsidRPr="000C50D5">
              <w:rPr>
                <w:rFonts w:cs="Arial"/>
                <w:sz w:val="20"/>
                <w:szCs w:val="20"/>
              </w:rPr>
              <w:t>operating costs</w:t>
            </w:r>
          </w:p>
        </w:tc>
        <w:tc>
          <w:tcPr>
            <w:tcW w:w="3464" w:type="dxa"/>
            <w:shd w:val="clear" w:color="auto" w:fill="D4D6DF"/>
            <w:vAlign w:val="top"/>
          </w:tcPr>
          <w:p w14:paraId="7EF8F8E1" w14:textId="3CCC1A2B" w:rsidR="00C24B1F" w:rsidRPr="00116E55" w:rsidRDefault="00C24B1F">
            <w:pPr>
              <w:pStyle w:val="BodyText"/>
              <w:numPr>
                <w:ilvl w:val="0"/>
                <w:numId w:val="106"/>
              </w:numPr>
              <w:spacing w:line="240" w:lineRule="auto"/>
              <w:ind w:left="240" w:hanging="240"/>
              <w:cnfStyle w:val="000000100000" w:firstRow="0" w:lastRow="0" w:firstColumn="0" w:lastColumn="0" w:oddVBand="0" w:evenVBand="0" w:oddHBand="1" w:evenHBand="0" w:firstRowFirstColumn="0" w:firstRowLastColumn="0" w:lastRowFirstColumn="0" w:lastRowLastColumn="0"/>
              <w:rPr>
                <w:rFonts w:cs="Arial"/>
                <w:i/>
                <w:iCs/>
                <w:sz w:val="20"/>
                <w:szCs w:val="20"/>
              </w:rPr>
            </w:pPr>
            <w:r w:rsidRPr="00116E55">
              <w:rPr>
                <w:rFonts w:cs="Arial"/>
                <w:i/>
                <w:iCs/>
                <w:sz w:val="20"/>
                <w:szCs w:val="20"/>
              </w:rPr>
              <w:t xml:space="preserve">Support my community, </w:t>
            </w:r>
            <w:r w:rsidR="0055582C">
              <w:rPr>
                <w:rFonts w:cs="Arial"/>
                <w:i/>
                <w:iCs/>
                <w:sz w:val="20"/>
                <w:szCs w:val="20"/>
              </w:rPr>
              <w:br/>
            </w:r>
            <w:r w:rsidRPr="00116E55">
              <w:rPr>
                <w:rFonts w:cs="Arial"/>
                <w:i/>
                <w:iCs/>
                <w:sz w:val="20"/>
                <w:szCs w:val="20"/>
              </w:rPr>
              <w:t>protect my environment</w:t>
            </w:r>
          </w:p>
        </w:tc>
        <w:tc>
          <w:tcPr>
            <w:tcW w:w="2979" w:type="dxa"/>
            <w:shd w:val="clear" w:color="auto" w:fill="D4D6DF"/>
            <w:vAlign w:val="top"/>
          </w:tcPr>
          <w:p w14:paraId="3070C6BA" w14:textId="468B51E2" w:rsidR="00C24B1F" w:rsidRPr="00116E55" w:rsidRDefault="00C24B1F" w:rsidP="0055582C">
            <w:pPr>
              <w:pStyle w:val="BodyText"/>
              <w:spacing w:line="240" w:lineRule="auto"/>
              <w:ind w:left="251" w:hanging="251"/>
              <w:cnfStyle w:val="000000100000" w:firstRow="0" w:lastRow="0" w:firstColumn="0" w:lastColumn="0" w:oddVBand="0" w:evenVBand="0" w:oddHBand="1" w:evenHBand="0" w:firstRowFirstColumn="0" w:firstRowLastColumn="0" w:lastRowFirstColumn="0" w:lastRowLastColumn="0"/>
              <w:rPr>
                <w:rFonts w:cs="Arial"/>
                <w:sz w:val="20"/>
                <w:szCs w:val="20"/>
              </w:rPr>
            </w:pPr>
            <w:r w:rsidRPr="00116E55">
              <w:rPr>
                <w:rFonts w:cs="Arial"/>
                <w:sz w:val="20"/>
                <w:szCs w:val="20"/>
              </w:rPr>
              <w:t>1.</w:t>
            </w:r>
            <w:r w:rsidR="008707FD" w:rsidRPr="00116E55">
              <w:rPr>
                <w:rFonts w:cs="Arial"/>
                <w:sz w:val="20"/>
                <w:szCs w:val="20"/>
              </w:rPr>
              <w:t xml:space="preserve"> </w:t>
            </w:r>
            <w:r w:rsidRPr="00116E55">
              <w:rPr>
                <w:rFonts w:cs="Arial"/>
                <w:sz w:val="20"/>
                <w:szCs w:val="20"/>
              </w:rPr>
              <w:t xml:space="preserve">Water security </w:t>
            </w:r>
            <w:r w:rsidR="0055582C">
              <w:rPr>
                <w:rFonts w:cs="Arial"/>
                <w:sz w:val="20"/>
                <w:szCs w:val="20"/>
              </w:rPr>
              <w:br/>
            </w:r>
            <w:r w:rsidRPr="00116E55">
              <w:rPr>
                <w:rFonts w:cs="Arial"/>
                <w:sz w:val="20"/>
                <w:szCs w:val="20"/>
              </w:rPr>
              <w:t>(quality and quantity)</w:t>
            </w:r>
          </w:p>
          <w:p w14:paraId="71849221" w14:textId="4FCEC250" w:rsidR="00C24B1F" w:rsidRPr="00116E55" w:rsidRDefault="00C24B1F" w:rsidP="0055582C">
            <w:pPr>
              <w:pStyle w:val="BodyText"/>
              <w:spacing w:line="240" w:lineRule="auto"/>
              <w:ind w:left="251" w:hanging="251"/>
              <w:cnfStyle w:val="000000100000" w:firstRow="0" w:lastRow="0" w:firstColumn="0" w:lastColumn="0" w:oddVBand="0" w:evenVBand="0" w:oddHBand="1" w:evenHBand="0" w:firstRowFirstColumn="0" w:firstRowLastColumn="0" w:lastRowFirstColumn="0" w:lastRowLastColumn="0"/>
              <w:rPr>
                <w:rFonts w:cs="Arial"/>
                <w:sz w:val="20"/>
                <w:szCs w:val="20"/>
              </w:rPr>
            </w:pPr>
            <w:r w:rsidRPr="00116E55">
              <w:rPr>
                <w:rFonts w:cs="Arial"/>
                <w:sz w:val="20"/>
                <w:szCs w:val="20"/>
              </w:rPr>
              <w:t xml:space="preserve">7. Delivery of innovative and </w:t>
            </w:r>
            <w:r w:rsidR="00AC3B85">
              <w:rPr>
                <w:rFonts w:cs="Arial"/>
                <w:sz w:val="20"/>
                <w:szCs w:val="20"/>
              </w:rPr>
              <w:br/>
            </w:r>
            <w:r w:rsidRPr="00116E55">
              <w:rPr>
                <w:rFonts w:cs="Arial"/>
                <w:sz w:val="20"/>
                <w:szCs w:val="20"/>
              </w:rPr>
              <w:t>best service methodology</w:t>
            </w:r>
          </w:p>
        </w:tc>
      </w:tr>
      <w:tr w:rsidR="004A4FCB" w:rsidRPr="00C24B1F" w14:paraId="3199143E" w14:textId="77777777" w:rsidTr="0055582C">
        <w:tc>
          <w:tcPr>
            <w:cnfStyle w:val="001000000000" w:firstRow="0" w:lastRow="0" w:firstColumn="1" w:lastColumn="0" w:oddVBand="0" w:evenVBand="0" w:oddHBand="0" w:evenHBand="0" w:firstRowFirstColumn="0" w:firstRowLastColumn="0" w:lastRowFirstColumn="0" w:lastRowLastColumn="0"/>
            <w:tcW w:w="3052" w:type="dxa"/>
            <w:vAlign w:val="top"/>
          </w:tcPr>
          <w:p w14:paraId="04CE0A85" w14:textId="77777777" w:rsidR="00C24B1F" w:rsidRPr="00116E55" w:rsidRDefault="00C24B1F" w:rsidP="00150FE5">
            <w:pPr>
              <w:pStyle w:val="BodyText"/>
              <w:spacing w:line="240" w:lineRule="auto"/>
              <w:rPr>
                <w:rFonts w:cs="Arial"/>
                <w:sz w:val="20"/>
                <w:szCs w:val="20"/>
              </w:rPr>
            </w:pPr>
            <w:r w:rsidRPr="00116E55">
              <w:rPr>
                <w:rFonts w:cs="Arial"/>
                <w:sz w:val="20"/>
                <w:szCs w:val="20"/>
              </w:rPr>
              <w:t>General Environmental Duty</w:t>
            </w:r>
          </w:p>
        </w:tc>
        <w:tc>
          <w:tcPr>
            <w:tcW w:w="3464" w:type="dxa"/>
            <w:vAlign w:val="top"/>
          </w:tcPr>
          <w:p w14:paraId="6F764ECE" w14:textId="7D14C2C7" w:rsidR="00C24B1F" w:rsidRPr="00116E55" w:rsidRDefault="00C24B1F">
            <w:pPr>
              <w:pStyle w:val="BodyText"/>
              <w:numPr>
                <w:ilvl w:val="0"/>
                <w:numId w:val="106"/>
              </w:numPr>
              <w:spacing w:line="240" w:lineRule="auto"/>
              <w:ind w:left="240" w:hanging="240"/>
              <w:cnfStyle w:val="000000000000" w:firstRow="0" w:lastRow="0" w:firstColumn="0" w:lastColumn="0" w:oddVBand="0" w:evenVBand="0" w:oddHBand="0" w:evenHBand="0" w:firstRowFirstColumn="0" w:firstRowLastColumn="0" w:lastRowFirstColumn="0" w:lastRowLastColumn="0"/>
              <w:rPr>
                <w:rFonts w:cs="Arial"/>
                <w:i/>
                <w:iCs/>
                <w:sz w:val="20"/>
                <w:szCs w:val="20"/>
              </w:rPr>
            </w:pPr>
            <w:r w:rsidRPr="00116E55">
              <w:rPr>
                <w:rFonts w:cs="Arial"/>
                <w:i/>
                <w:iCs/>
                <w:sz w:val="20"/>
                <w:szCs w:val="20"/>
              </w:rPr>
              <w:t xml:space="preserve">Support my community, </w:t>
            </w:r>
            <w:r w:rsidR="0055582C">
              <w:rPr>
                <w:rFonts w:cs="Arial"/>
                <w:i/>
                <w:iCs/>
                <w:sz w:val="20"/>
                <w:szCs w:val="20"/>
              </w:rPr>
              <w:br/>
            </w:r>
            <w:r w:rsidRPr="00116E55">
              <w:rPr>
                <w:rFonts w:cs="Arial"/>
                <w:i/>
                <w:iCs/>
                <w:sz w:val="20"/>
                <w:szCs w:val="20"/>
              </w:rPr>
              <w:t>protect my environment</w:t>
            </w:r>
          </w:p>
        </w:tc>
        <w:tc>
          <w:tcPr>
            <w:tcW w:w="2979" w:type="dxa"/>
            <w:vAlign w:val="top"/>
          </w:tcPr>
          <w:p w14:paraId="28BA2169" w14:textId="5A3F1254" w:rsidR="00C24B1F" w:rsidRPr="00116E55" w:rsidRDefault="0055582C" w:rsidP="0055582C">
            <w:pPr>
              <w:pStyle w:val="BodyText"/>
              <w:spacing w:line="240" w:lineRule="auto"/>
              <w:ind w:left="251" w:hanging="251"/>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xml:space="preserve">1. </w:t>
            </w:r>
            <w:r w:rsidR="00C24B1F" w:rsidRPr="00116E55">
              <w:rPr>
                <w:rFonts w:cs="Arial"/>
                <w:sz w:val="20"/>
                <w:szCs w:val="20"/>
              </w:rPr>
              <w:t xml:space="preserve">Reliable service across </w:t>
            </w:r>
            <w:r>
              <w:rPr>
                <w:rFonts w:cs="Arial"/>
                <w:sz w:val="20"/>
                <w:szCs w:val="20"/>
              </w:rPr>
              <w:br/>
            </w:r>
            <w:r w:rsidR="00C24B1F" w:rsidRPr="00116E55">
              <w:rPr>
                <w:rFonts w:cs="Arial"/>
                <w:sz w:val="20"/>
                <w:szCs w:val="20"/>
              </w:rPr>
              <w:t>the whole network</w:t>
            </w:r>
          </w:p>
          <w:p w14:paraId="07A07444" w14:textId="77777777" w:rsidR="00C24B1F" w:rsidRPr="00116E55" w:rsidRDefault="00C24B1F" w:rsidP="0055582C">
            <w:pPr>
              <w:pStyle w:val="BodyText"/>
              <w:spacing w:line="240" w:lineRule="auto"/>
              <w:ind w:left="251" w:hanging="251"/>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196E36" w:rsidRPr="00C24B1F" w14:paraId="6F9E6386" w14:textId="77777777" w:rsidTr="00555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2" w:type="dxa"/>
            <w:shd w:val="clear" w:color="auto" w:fill="D4D6DF"/>
            <w:vAlign w:val="top"/>
          </w:tcPr>
          <w:p w14:paraId="58AA698F" w14:textId="18D11FF3" w:rsidR="00C24B1F" w:rsidRPr="00116E55" w:rsidRDefault="00C24B1F" w:rsidP="00150FE5">
            <w:pPr>
              <w:pStyle w:val="BodyText"/>
              <w:spacing w:line="240" w:lineRule="auto"/>
              <w:rPr>
                <w:rFonts w:cs="Arial"/>
                <w:sz w:val="20"/>
                <w:szCs w:val="20"/>
              </w:rPr>
            </w:pPr>
            <w:r w:rsidRPr="00116E55">
              <w:rPr>
                <w:rFonts w:cs="Arial"/>
                <w:sz w:val="20"/>
                <w:szCs w:val="20"/>
              </w:rPr>
              <w:t xml:space="preserve">Water </w:t>
            </w:r>
            <w:r w:rsidR="00743F34" w:rsidRPr="00116E55">
              <w:rPr>
                <w:rFonts w:cs="Arial"/>
                <w:sz w:val="20"/>
                <w:szCs w:val="20"/>
              </w:rPr>
              <w:t>r</w:t>
            </w:r>
            <w:r w:rsidRPr="00116E55">
              <w:rPr>
                <w:rFonts w:cs="Arial"/>
                <w:sz w:val="20"/>
                <w:szCs w:val="20"/>
              </w:rPr>
              <w:t xml:space="preserve">ecycling </w:t>
            </w:r>
            <w:r w:rsidR="00743F34" w:rsidRPr="00116E55">
              <w:rPr>
                <w:rFonts w:cs="Arial"/>
                <w:sz w:val="20"/>
                <w:szCs w:val="20"/>
              </w:rPr>
              <w:t>p</w:t>
            </w:r>
            <w:r w:rsidRPr="00116E55">
              <w:rPr>
                <w:rFonts w:cs="Arial"/>
                <w:sz w:val="20"/>
                <w:szCs w:val="20"/>
              </w:rPr>
              <w:t>lants</w:t>
            </w:r>
          </w:p>
        </w:tc>
        <w:tc>
          <w:tcPr>
            <w:tcW w:w="3464" w:type="dxa"/>
            <w:shd w:val="clear" w:color="auto" w:fill="D4D6DF"/>
            <w:vAlign w:val="top"/>
          </w:tcPr>
          <w:p w14:paraId="1CA08764" w14:textId="77777777" w:rsidR="00C24B1F" w:rsidRPr="00116E55" w:rsidRDefault="00C24B1F">
            <w:pPr>
              <w:pStyle w:val="BodyText"/>
              <w:numPr>
                <w:ilvl w:val="0"/>
                <w:numId w:val="106"/>
              </w:numPr>
              <w:spacing w:line="240" w:lineRule="auto"/>
              <w:ind w:left="240" w:hanging="240"/>
              <w:cnfStyle w:val="000000100000" w:firstRow="0" w:lastRow="0" w:firstColumn="0" w:lastColumn="0" w:oddVBand="0" w:evenVBand="0" w:oddHBand="1" w:evenHBand="0" w:firstRowFirstColumn="0" w:firstRowLastColumn="0" w:lastRowFirstColumn="0" w:lastRowLastColumn="0"/>
              <w:rPr>
                <w:rFonts w:cs="Arial"/>
                <w:i/>
                <w:iCs/>
                <w:sz w:val="20"/>
                <w:szCs w:val="20"/>
              </w:rPr>
            </w:pPr>
            <w:r w:rsidRPr="00116E55">
              <w:rPr>
                <w:rFonts w:cs="Arial"/>
                <w:i/>
                <w:iCs/>
                <w:sz w:val="20"/>
                <w:szCs w:val="20"/>
              </w:rPr>
              <w:t>Get the basics right, always</w:t>
            </w:r>
          </w:p>
        </w:tc>
        <w:tc>
          <w:tcPr>
            <w:tcW w:w="2979" w:type="dxa"/>
            <w:shd w:val="clear" w:color="auto" w:fill="D4D6DF"/>
            <w:vAlign w:val="top"/>
          </w:tcPr>
          <w:p w14:paraId="5576C525" w14:textId="40AF073E" w:rsidR="00C24B1F" w:rsidRPr="00116E55" w:rsidRDefault="00C24B1F" w:rsidP="0055582C">
            <w:pPr>
              <w:pStyle w:val="BodyText"/>
              <w:spacing w:line="240" w:lineRule="auto"/>
              <w:ind w:left="251" w:hanging="251"/>
              <w:cnfStyle w:val="000000100000" w:firstRow="0" w:lastRow="0" w:firstColumn="0" w:lastColumn="0" w:oddVBand="0" w:evenVBand="0" w:oddHBand="1" w:evenHBand="0" w:firstRowFirstColumn="0" w:firstRowLastColumn="0" w:lastRowFirstColumn="0" w:lastRowLastColumn="0"/>
              <w:rPr>
                <w:rFonts w:cs="Arial"/>
                <w:sz w:val="20"/>
                <w:szCs w:val="20"/>
              </w:rPr>
            </w:pPr>
            <w:r w:rsidRPr="00116E55">
              <w:rPr>
                <w:rFonts w:cs="Arial"/>
                <w:sz w:val="20"/>
                <w:szCs w:val="20"/>
              </w:rPr>
              <w:t xml:space="preserve">2. Reliable service across </w:t>
            </w:r>
            <w:r w:rsidR="0055582C">
              <w:rPr>
                <w:rFonts w:cs="Arial"/>
                <w:sz w:val="20"/>
                <w:szCs w:val="20"/>
              </w:rPr>
              <w:br/>
            </w:r>
            <w:r w:rsidRPr="00116E55">
              <w:rPr>
                <w:rFonts w:cs="Arial"/>
                <w:sz w:val="20"/>
                <w:szCs w:val="20"/>
              </w:rPr>
              <w:t xml:space="preserve">the whole network </w:t>
            </w:r>
          </w:p>
          <w:p w14:paraId="4875F0A9" w14:textId="77777777" w:rsidR="00C24B1F" w:rsidRPr="00116E55" w:rsidRDefault="00C24B1F" w:rsidP="0055582C">
            <w:pPr>
              <w:pStyle w:val="BodyText"/>
              <w:spacing w:line="240" w:lineRule="auto"/>
              <w:ind w:left="251" w:hanging="251"/>
              <w:cnfStyle w:val="000000100000" w:firstRow="0" w:lastRow="0" w:firstColumn="0" w:lastColumn="0" w:oddVBand="0" w:evenVBand="0" w:oddHBand="1" w:evenHBand="0" w:firstRowFirstColumn="0" w:firstRowLastColumn="0" w:lastRowFirstColumn="0" w:lastRowLastColumn="0"/>
              <w:rPr>
                <w:rFonts w:cs="Arial"/>
                <w:sz w:val="20"/>
                <w:szCs w:val="20"/>
              </w:rPr>
            </w:pPr>
          </w:p>
        </w:tc>
      </w:tr>
      <w:tr w:rsidR="004A4FCB" w:rsidRPr="00C24B1F" w14:paraId="625EEA2C" w14:textId="77777777" w:rsidTr="0055582C">
        <w:tc>
          <w:tcPr>
            <w:cnfStyle w:val="001000000000" w:firstRow="0" w:lastRow="0" w:firstColumn="1" w:lastColumn="0" w:oddVBand="0" w:evenVBand="0" w:oddHBand="0" w:evenHBand="0" w:firstRowFirstColumn="0" w:firstRowLastColumn="0" w:lastRowFirstColumn="0" w:lastRowLastColumn="0"/>
            <w:tcW w:w="3052" w:type="dxa"/>
            <w:vAlign w:val="top"/>
          </w:tcPr>
          <w:p w14:paraId="2A5D0D9B" w14:textId="77777777" w:rsidR="00C24B1F" w:rsidRPr="00116E55" w:rsidRDefault="00C24B1F" w:rsidP="00150FE5">
            <w:pPr>
              <w:pStyle w:val="BodyText"/>
              <w:spacing w:line="240" w:lineRule="auto"/>
              <w:rPr>
                <w:rFonts w:cs="Arial"/>
                <w:sz w:val="20"/>
                <w:szCs w:val="20"/>
              </w:rPr>
            </w:pPr>
            <w:r w:rsidRPr="00116E55">
              <w:rPr>
                <w:rFonts w:cs="Arial"/>
                <w:sz w:val="20"/>
                <w:szCs w:val="20"/>
              </w:rPr>
              <w:t>New Assets</w:t>
            </w:r>
          </w:p>
        </w:tc>
        <w:tc>
          <w:tcPr>
            <w:tcW w:w="3464" w:type="dxa"/>
            <w:vAlign w:val="top"/>
          </w:tcPr>
          <w:p w14:paraId="4EDFCBF3" w14:textId="77777777" w:rsidR="00C24B1F" w:rsidRPr="00116E55" w:rsidRDefault="00C24B1F">
            <w:pPr>
              <w:pStyle w:val="BodyText"/>
              <w:numPr>
                <w:ilvl w:val="0"/>
                <w:numId w:val="106"/>
              </w:numPr>
              <w:spacing w:line="240" w:lineRule="auto"/>
              <w:ind w:left="240" w:hanging="240"/>
              <w:cnfStyle w:val="000000000000" w:firstRow="0" w:lastRow="0" w:firstColumn="0" w:lastColumn="0" w:oddVBand="0" w:evenVBand="0" w:oddHBand="0" w:evenHBand="0" w:firstRowFirstColumn="0" w:firstRowLastColumn="0" w:lastRowFirstColumn="0" w:lastRowLastColumn="0"/>
              <w:rPr>
                <w:rFonts w:cs="Arial"/>
                <w:i/>
                <w:iCs/>
                <w:sz w:val="20"/>
                <w:szCs w:val="20"/>
              </w:rPr>
            </w:pPr>
            <w:r w:rsidRPr="00116E55">
              <w:rPr>
                <w:rFonts w:cs="Arial"/>
                <w:i/>
                <w:iCs/>
                <w:sz w:val="20"/>
                <w:szCs w:val="20"/>
              </w:rPr>
              <w:t>Get the basics right, always</w:t>
            </w:r>
          </w:p>
        </w:tc>
        <w:tc>
          <w:tcPr>
            <w:tcW w:w="2979" w:type="dxa"/>
            <w:vAlign w:val="top"/>
          </w:tcPr>
          <w:p w14:paraId="7A9FFE8B" w14:textId="05610C1F" w:rsidR="00C24B1F" w:rsidRPr="00116E55" w:rsidRDefault="00C24B1F" w:rsidP="0055582C">
            <w:pPr>
              <w:pStyle w:val="BodyText"/>
              <w:spacing w:line="240" w:lineRule="auto"/>
              <w:ind w:left="251" w:hanging="251"/>
              <w:cnfStyle w:val="000000000000" w:firstRow="0" w:lastRow="0" w:firstColumn="0" w:lastColumn="0" w:oddVBand="0" w:evenVBand="0" w:oddHBand="0" w:evenHBand="0" w:firstRowFirstColumn="0" w:firstRowLastColumn="0" w:lastRowFirstColumn="0" w:lastRowLastColumn="0"/>
              <w:rPr>
                <w:rFonts w:cs="Arial"/>
                <w:sz w:val="20"/>
                <w:szCs w:val="20"/>
              </w:rPr>
            </w:pPr>
            <w:r w:rsidRPr="00116E55">
              <w:rPr>
                <w:rFonts w:cs="Arial"/>
                <w:sz w:val="20"/>
                <w:szCs w:val="20"/>
              </w:rPr>
              <w:t xml:space="preserve">2. Reliable service across </w:t>
            </w:r>
            <w:r w:rsidR="00AC3B85">
              <w:rPr>
                <w:rFonts w:cs="Arial"/>
                <w:sz w:val="20"/>
                <w:szCs w:val="20"/>
              </w:rPr>
              <w:br/>
            </w:r>
            <w:r w:rsidRPr="00116E55">
              <w:rPr>
                <w:rFonts w:cs="Arial"/>
                <w:sz w:val="20"/>
                <w:szCs w:val="20"/>
              </w:rPr>
              <w:t xml:space="preserve">the whole network </w:t>
            </w:r>
          </w:p>
          <w:p w14:paraId="66F50F75" w14:textId="77777777" w:rsidR="00C24B1F" w:rsidRPr="00116E55" w:rsidRDefault="00C24B1F" w:rsidP="0055582C">
            <w:pPr>
              <w:pStyle w:val="BodyText"/>
              <w:spacing w:line="240" w:lineRule="auto"/>
              <w:ind w:left="251" w:hanging="251"/>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196E36" w:rsidRPr="00C24B1F" w14:paraId="76FA58FA" w14:textId="77777777" w:rsidTr="00555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2" w:type="dxa"/>
            <w:shd w:val="clear" w:color="auto" w:fill="D4D6DF"/>
            <w:vAlign w:val="top"/>
          </w:tcPr>
          <w:p w14:paraId="6E4A7EAF" w14:textId="29C35A9C" w:rsidR="00C24B1F" w:rsidRPr="00116E55" w:rsidRDefault="00C24B1F" w:rsidP="00150FE5">
            <w:pPr>
              <w:pStyle w:val="BodyText"/>
              <w:spacing w:line="240" w:lineRule="auto"/>
              <w:rPr>
                <w:rFonts w:cs="Arial"/>
                <w:sz w:val="20"/>
                <w:szCs w:val="20"/>
              </w:rPr>
            </w:pPr>
            <w:r w:rsidRPr="00116E55">
              <w:rPr>
                <w:rFonts w:cs="Arial"/>
                <w:sz w:val="20"/>
                <w:szCs w:val="20"/>
              </w:rPr>
              <w:t xml:space="preserve">IWM </w:t>
            </w:r>
            <w:r w:rsidR="00F33731" w:rsidRPr="00116E55">
              <w:rPr>
                <w:rFonts w:cs="Arial"/>
                <w:sz w:val="20"/>
                <w:szCs w:val="20"/>
              </w:rPr>
              <w:t>–</w:t>
            </w:r>
            <w:r w:rsidRPr="00116E55">
              <w:rPr>
                <w:rFonts w:cs="Arial"/>
                <w:sz w:val="20"/>
                <w:szCs w:val="20"/>
              </w:rPr>
              <w:t xml:space="preserve"> Dingley</w:t>
            </w:r>
          </w:p>
        </w:tc>
        <w:tc>
          <w:tcPr>
            <w:tcW w:w="3464" w:type="dxa"/>
            <w:shd w:val="clear" w:color="auto" w:fill="D4D6DF"/>
            <w:vAlign w:val="top"/>
          </w:tcPr>
          <w:p w14:paraId="3AEB0493" w14:textId="77777777" w:rsidR="00C24B1F" w:rsidRPr="00116E55" w:rsidRDefault="00C24B1F">
            <w:pPr>
              <w:pStyle w:val="BodyText"/>
              <w:numPr>
                <w:ilvl w:val="0"/>
                <w:numId w:val="106"/>
              </w:numPr>
              <w:spacing w:line="240" w:lineRule="auto"/>
              <w:ind w:left="240" w:hanging="240"/>
              <w:cnfStyle w:val="000000100000" w:firstRow="0" w:lastRow="0" w:firstColumn="0" w:lastColumn="0" w:oddVBand="0" w:evenVBand="0" w:oddHBand="1" w:evenHBand="0" w:firstRowFirstColumn="0" w:firstRowLastColumn="0" w:lastRowFirstColumn="0" w:lastRowLastColumn="0"/>
              <w:rPr>
                <w:rFonts w:cs="Arial"/>
                <w:i/>
                <w:iCs/>
                <w:sz w:val="20"/>
                <w:szCs w:val="20"/>
              </w:rPr>
            </w:pPr>
            <w:r w:rsidRPr="00116E55">
              <w:rPr>
                <w:rFonts w:cs="Arial"/>
                <w:i/>
                <w:iCs/>
                <w:sz w:val="20"/>
                <w:szCs w:val="20"/>
              </w:rPr>
              <w:t>Get the basics right, always</w:t>
            </w:r>
          </w:p>
          <w:p w14:paraId="651B3EC3" w14:textId="77777777" w:rsidR="00C24B1F" w:rsidRPr="00116E55" w:rsidRDefault="00C24B1F">
            <w:pPr>
              <w:pStyle w:val="BodyText"/>
              <w:numPr>
                <w:ilvl w:val="0"/>
                <w:numId w:val="106"/>
              </w:numPr>
              <w:spacing w:line="240" w:lineRule="auto"/>
              <w:ind w:left="240" w:hanging="240"/>
              <w:cnfStyle w:val="000000100000" w:firstRow="0" w:lastRow="0" w:firstColumn="0" w:lastColumn="0" w:oddVBand="0" w:evenVBand="0" w:oddHBand="1" w:evenHBand="0" w:firstRowFirstColumn="0" w:firstRowLastColumn="0" w:lastRowFirstColumn="0" w:lastRowLastColumn="0"/>
              <w:rPr>
                <w:rFonts w:cs="Arial"/>
                <w:i/>
                <w:iCs/>
                <w:sz w:val="20"/>
                <w:szCs w:val="20"/>
              </w:rPr>
            </w:pPr>
            <w:r w:rsidRPr="00116E55">
              <w:rPr>
                <w:rFonts w:cs="Arial"/>
                <w:i/>
                <w:iCs/>
                <w:sz w:val="20"/>
                <w:szCs w:val="20"/>
              </w:rPr>
              <w:t>Support my community, protect my environment</w:t>
            </w:r>
          </w:p>
        </w:tc>
        <w:tc>
          <w:tcPr>
            <w:tcW w:w="2979" w:type="dxa"/>
            <w:shd w:val="clear" w:color="auto" w:fill="D4D6DF"/>
            <w:vAlign w:val="top"/>
          </w:tcPr>
          <w:p w14:paraId="6143A3FE" w14:textId="15B5B07D" w:rsidR="00C24B1F" w:rsidRPr="00116E55" w:rsidRDefault="0055582C" w:rsidP="0055582C">
            <w:pPr>
              <w:pStyle w:val="BodyText"/>
              <w:spacing w:line="240" w:lineRule="auto"/>
              <w:ind w:left="251" w:hanging="251"/>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 xml:space="preserve">1. </w:t>
            </w:r>
            <w:r w:rsidR="00C24B1F" w:rsidRPr="00116E55">
              <w:rPr>
                <w:rFonts w:cs="Arial"/>
                <w:sz w:val="20"/>
                <w:szCs w:val="20"/>
              </w:rPr>
              <w:t xml:space="preserve">Water security </w:t>
            </w:r>
            <w:r>
              <w:rPr>
                <w:rFonts w:cs="Arial"/>
                <w:sz w:val="20"/>
                <w:szCs w:val="20"/>
              </w:rPr>
              <w:br/>
            </w:r>
            <w:r w:rsidR="00C24B1F" w:rsidRPr="00116E55">
              <w:rPr>
                <w:rFonts w:cs="Arial"/>
                <w:sz w:val="20"/>
                <w:szCs w:val="20"/>
              </w:rPr>
              <w:t>(quality and quantity)</w:t>
            </w:r>
          </w:p>
          <w:p w14:paraId="7AF7295A" w14:textId="77777777" w:rsidR="00C24B1F" w:rsidRPr="00116E55" w:rsidRDefault="00C24B1F" w:rsidP="0055582C">
            <w:pPr>
              <w:pStyle w:val="BodyText"/>
              <w:spacing w:line="240" w:lineRule="auto"/>
              <w:ind w:left="251" w:hanging="251"/>
              <w:cnfStyle w:val="000000100000" w:firstRow="0" w:lastRow="0" w:firstColumn="0" w:lastColumn="0" w:oddVBand="0" w:evenVBand="0" w:oddHBand="1" w:evenHBand="0" w:firstRowFirstColumn="0" w:firstRowLastColumn="0" w:lastRowFirstColumn="0" w:lastRowLastColumn="0"/>
              <w:rPr>
                <w:rFonts w:cs="Arial"/>
                <w:sz w:val="20"/>
                <w:szCs w:val="20"/>
              </w:rPr>
            </w:pPr>
          </w:p>
        </w:tc>
      </w:tr>
      <w:tr w:rsidR="004A4FCB" w:rsidRPr="00C24B1F" w14:paraId="575E9731" w14:textId="77777777" w:rsidTr="0055582C">
        <w:tc>
          <w:tcPr>
            <w:cnfStyle w:val="001000000000" w:firstRow="0" w:lastRow="0" w:firstColumn="1" w:lastColumn="0" w:oddVBand="0" w:evenVBand="0" w:oddHBand="0" w:evenHBand="0" w:firstRowFirstColumn="0" w:firstRowLastColumn="0" w:lastRowFirstColumn="0" w:lastRowLastColumn="0"/>
            <w:tcW w:w="3052" w:type="dxa"/>
            <w:vAlign w:val="top"/>
          </w:tcPr>
          <w:p w14:paraId="7D34759D" w14:textId="77777777" w:rsidR="00C24B1F" w:rsidRPr="00116E55" w:rsidRDefault="00C24B1F" w:rsidP="00150FE5">
            <w:pPr>
              <w:pStyle w:val="BodyText"/>
              <w:spacing w:line="240" w:lineRule="auto"/>
              <w:rPr>
                <w:rFonts w:cs="Arial"/>
                <w:sz w:val="20"/>
                <w:szCs w:val="20"/>
              </w:rPr>
            </w:pPr>
            <w:r w:rsidRPr="00116E55">
              <w:rPr>
                <w:rFonts w:cs="Arial"/>
                <w:sz w:val="20"/>
                <w:szCs w:val="20"/>
              </w:rPr>
              <w:t>Climate Adapt</w:t>
            </w:r>
          </w:p>
        </w:tc>
        <w:tc>
          <w:tcPr>
            <w:tcW w:w="3464" w:type="dxa"/>
            <w:vAlign w:val="top"/>
          </w:tcPr>
          <w:p w14:paraId="6090FF8B" w14:textId="77777777" w:rsidR="00C24B1F" w:rsidRPr="00116E55" w:rsidRDefault="00C24B1F">
            <w:pPr>
              <w:pStyle w:val="BodyText"/>
              <w:numPr>
                <w:ilvl w:val="0"/>
                <w:numId w:val="106"/>
              </w:numPr>
              <w:spacing w:line="240" w:lineRule="auto"/>
              <w:ind w:left="240" w:hanging="240"/>
              <w:cnfStyle w:val="000000000000" w:firstRow="0" w:lastRow="0" w:firstColumn="0" w:lastColumn="0" w:oddVBand="0" w:evenVBand="0" w:oddHBand="0" w:evenHBand="0" w:firstRowFirstColumn="0" w:firstRowLastColumn="0" w:lastRowFirstColumn="0" w:lastRowLastColumn="0"/>
              <w:rPr>
                <w:rFonts w:cs="Arial"/>
                <w:i/>
                <w:iCs/>
                <w:sz w:val="20"/>
                <w:szCs w:val="20"/>
              </w:rPr>
            </w:pPr>
            <w:r w:rsidRPr="00116E55">
              <w:rPr>
                <w:rFonts w:cs="Arial"/>
                <w:i/>
                <w:iCs/>
                <w:sz w:val="20"/>
                <w:szCs w:val="20"/>
              </w:rPr>
              <w:t>Get the basics right, always</w:t>
            </w:r>
          </w:p>
          <w:p w14:paraId="35A86CE9" w14:textId="77777777" w:rsidR="00C24B1F" w:rsidRPr="00116E55" w:rsidRDefault="00C24B1F">
            <w:pPr>
              <w:pStyle w:val="BodyText"/>
              <w:numPr>
                <w:ilvl w:val="0"/>
                <w:numId w:val="106"/>
              </w:numPr>
              <w:spacing w:line="240" w:lineRule="auto"/>
              <w:ind w:left="240" w:hanging="240"/>
              <w:cnfStyle w:val="000000000000" w:firstRow="0" w:lastRow="0" w:firstColumn="0" w:lastColumn="0" w:oddVBand="0" w:evenVBand="0" w:oddHBand="0" w:evenHBand="0" w:firstRowFirstColumn="0" w:firstRowLastColumn="0" w:lastRowFirstColumn="0" w:lastRowLastColumn="0"/>
              <w:rPr>
                <w:rFonts w:cs="Arial"/>
                <w:i/>
                <w:iCs/>
                <w:sz w:val="20"/>
                <w:szCs w:val="20"/>
              </w:rPr>
            </w:pPr>
            <w:r w:rsidRPr="00116E55">
              <w:rPr>
                <w:rFonts w:cs="Arial"/>
                <w:i/>
                <w:iCs/>
                <w:sz w:val="20"/>
                <w:szCs w:val="20"/>
              </w:rPr>
              <w:t>Support my community, protect my environment</w:t>
            </w:r>
          </w:p>
        </w:tc>
        <w:tc>
          <w:tcPr>
            <w:tcW w:w="2979" w:type="dxa"/>
            <w:vAlign w:val="top"/>
          </w:tcPr>
          <w:p w14:paraId="1966F253" w14:textId="76407284" w:rsidR="00C24B1F" w:rsidRPr="00116E55" w:rsidRDefault="00C24B1F" w:rsidP="0055582C">
            <w:pPr>
              <w:pStyle w:val="BodyText"/>
              <w:spacing w:line="240" w:lineRule="auto"/>
              <w:ind w:left="251" w:hanging="251"/>
              <w:cnfStyle w:val="000000000000" w:firstRow="0" w:lastRow="0" w:firstColumn="0" w:lastColumn="0" w:oddVBand="0" w:evenVBand="0" w:oddHBand="0" w:evenHBand="0" w:firstRowFirstColumn="0" w:firstRowLastColumn="0" w:lastRowFirstColumn="0" w:lastRowLastColumn="0"/>
              <w:rPr>
                <w:rFonts w:cs="Arial"/>
                <w:sz w:val="20"/>
                <w:szCs w:val="20"/>
              </w:rPr>
            </w:pPr>
            <w:r w:rsidRPr="00116E55">
              <w:rPr>
                <w:rFonts w:cs="Arial"/>
                <w:sz w:val="20"/>
                <w:szCs w:val="20"/>
              </w:rPr>
              <w:t>1.</w:t>
            </w:r>
            <w:r w:rsidR="008707FD" w:rsidRPr="00116E55">
              <w:rPr>
                <w:rFonts w:cs="Arial"/>
                <w:sz w:val="20"/>
                <w:szCs w:val="20"/>
              </w:rPr>
              <w:t xml:space="preserve"> </w:t>
            </w:r>
            <w:r w:rsidRPr="00116E55">
              <w:rPr>
                <w:rFonts w:cs="Arial"/>
                <w:sz w:val="20"/>
                <w:szCs w:val="20"/>
              </w:rPr>
              <w:t xml:space="preserve">Water security </w:t>
            </w:r>
            <w:r w:rsidR="0055582C">
              <w:rPr>
                <w:rFonts w:cs="Arial"/>
                <w:sz w:val="20"/>
                <w:szCs w:val="20"/>
              </w:rPr>
              <w:br/>
            </w:r>
            <w:r w:rsidRPr="00116E55">
              <w:rPr>
                <w:rFonts w:cs="Arial"/>
                <w:sz w:val="20"/>
                <w:szCs w:val="20"/>
              </w:rPr>
              <w:t>(quality and quantity)</w:t>
            </w:r>
          </w:p>
          <w:p w14:paraId="1D6B1F2A" w14:textId="21761A41" w:rsidR="00C24B1F" w:rsidRPr="00116E55" w:rsidRDefault="00C24B1F" w:rsidP="0055582C">
            <w:pPr>
              <w:pStyle w:val="BodyText"/>
              <w:spacing w:line="240" w:lineRule="auto"/>
              <w:ind w:left="251" w:hanging="251"/>
              <w:cnfStyle w:val="000000000000" w:firstRow="0" w:lastRow="0" w:firstColumn="0" w:lastColumn="0" w:oddVBand="0" w:evenVBand="0" w:oddHBand="0" w:evenHBand="0" w:firstRowFirstColumn="0" w:firstRowLastColumn="0" w:lastRowFirstColumn="0" w:lastRowLastColumn="0"/>
              <w:rPr>
                <w:rFonts w:cs="Arial"/>
                <w:sz w:val="20"/>
                <w:szCs w:val="20"/>
              </w:rPr>
            </w:pPr>
            <w:r w:rsidRPr="00116E55">
              <w:rPr>
                <w:rFonts w:cs="Arial"/>
                <w:sz w:val="20"/>
                <w:szCs w:val="20"/>
              </w:rPr>
              <w:t xml:space="preserve">2. Reliable service across </w:t>
            </w:r>
            <w:r w:rsidR="0055582C">
              <w:rPr>
                <w:rFonts w:cs="Arial"/>
                <w:sz w:val="20"/>
                <w:szCs w:val="20"/>
              </w:rPr>
              <w:br/>
            </w:r>
            <w:r w:rsidRPr="00116E55">
              <w:rPr>
                <w:rFonts w:cs="Arial"/>
                <w:sz w:val="20"/>
                <w:szCs w:val="20"/>
              </w:rPr>
              <w:t xml:space="preserve">the whole network </w:t>
            </w:r>
          </w:p>
          <w:p w14:paraId="31974CE6" w14:textId="77777777" w:rsidR="00C24B1F" w:rsidRPr="00116E55" w:rsidRDefault="00C24B1F" w:rsidP="0055582C">
            <w:pPr>
              <w:pStyle w:val="BodyText"/>
              <w:spacing w:line="240" w:lineRule="auto"/>
              <w:ind w:left="251" w:hanging="251"/>
              <w:cnfStyle w:val="000000000000" w:firstRow="0" w:lastRow="0" w:firstColumn="0" w:lastColumn="0" w:oddVBand="0" w:evenVBand="0" w:oddHBand="0" w:evenHBand="0" w:firstRowFirstColumn="0" w:firstRowLastColumn="0" w:lastRowFirstColumn="0" w:lastRowLastColumn="0"/>
              <w:rPr>
                <w:rFonts w:cs="Arial"/>
                <w:sz w:val="20"/>
                <w:szCs w:val="20"/>
              </w:rPr>
            </w:pPr>
          </w:p>
          <w:p w14:paraId="146DE7B4" w14:textId="77777777" w:rsidR="00C24B1F" w:rsidRPr="00116E55" w:rsidRDefault="00C24B1F" w:rsidP="0055582C">
            <w:pPr>
              <w:pStyle w:val="BodyText"/>
              <w:spacing w:line="240" w:lineRule="auto"/>
              <w:ind w:left="251" w:hanging="251"/>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196E36" w:rsidRPr="00C24B1F" w14:paraId="42C13B5F" w14:textId="77777777" w:rsidTr="00555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2" w:type="dxa"/>
            <w:shd w:val="clear" w:color="auto" w:fill="D4D6DF"/>
            <w:vAlign w:val="top"/>
          </w:tcPr>
          <w:p w14:paraId="62DB127B" w14:textId="77777777" w:rsidR="00C24B1F" w:rsidRPr="00116E55" w:rsidRDefault="00C24B1F" w:rsidP="00150FE5">
            <w:pPr>
              <w:pStyle w:val="BodyText"/>
              <w:spacing w:line="240" w:lineRule="auto"/>
              <w:rPr>
                <w:rFonts w:cs="Arial"/>
                <w:sz w:val="20"/>
                <w:szCs w:val="20"/>
              </w:rPr>
            </w:pPr>
            <w:r w:rsidRPr="00116E55">
              <w:rPr>
                <w:rFonts w:cs="Arial"/>
                <w:sz w:val="20"/>
                <w:szCs w:val="20"/>
              </w:rPr>
              <w:lastRenderedPageBreak/>
              <w:t>Water Literacy</w:t>
            </w:r>
          </w:p>
        </w:tc>
        <w:tc>
          <w:tcPr>
            <w:tcW w:w="3464" w:type="dxa"/>
            <w:shd w:val="clear" w:color="auto" w:fill="D4D6DF"/>
            <w:vAlign w:val="top"/>
          </w:tcPr>
          <w:p w14:paraId="0960F72B" w14:textId="77777777" w:rsidR="00C24B1F" w:rsidRPr="00116E55" w:rsidRDefault="00C24B1F">
            <w:pPr>
              <w:pStyle w:val="BodyText"/>
              <w:numPr>
                <w:ilvl w:val="0"/>
                <w:numId w:val="107"/>
              </w:numPr>
              <w:spacing w:line="240" w:lineRule="auto"/>
              <w:ind w:left="240" w:hanging="240"/>
              <w:cnfStyle w:val="000000100000" w:firstRow="0" w:lastRow="0" w:firstColumn="0" w:lastColumn="0" w:oddVBand="0" w:evenVBand="0" w:oddHBand="1" w:evenHBand="0" w:firstRowFirstColumn="0" w:firstRowLastColumn="0" w:lastRowFirstColumn="0" w:lastRowLastColumn="0"/>
              <w:rPr>
                <w:rFonts w:cs="Arial"/>
                <w:i/>
                <w:iCs/>
                <w:sz w:val="20"/>
                <w:szCs w:val="20"/>
              </w:rPr>
            </w:pPr>
            <w:r w:rsidRPr="00116E55">
              <w:rPr>
                <w:rFonts w:cs="Arial"/>
                <w:i/>
                <w:iCs/>
                <w:sz w:val="20"/>
                <w:szCs w:val="20"/>
              </w:rPr>
              <w:t>Make my experience better</w:t>
            </w:r>
          </w:p>
        </w:tc>
        <w:tc>
          <w:tcPr>
            <w:tcW w:w="2979" w:type="dxa"/>
            <w:shd w:val="clear" w:color="auto" w:fill="D4D6DF"/>
            <w:vAlign w:val="top"/>
          </w:tcPr>
          <w:p w14:paraId="02C10AA0" w14:textId="515FE9B7" w:rsidR="00C24B1F" w:rsidRPr="00116E55" w:rsidRDefault="00C24B1F" w:rsidP="0055582C">
            <w:pPr>
              <w:pStyle w:val="BodyText"/>
              <w:spacing w:line="240" w:lineRule="auto"/>
              <w:ind w:left="311" w:hanging="283"/>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16E55">
              <w:rPr>
                <w:rFonts w:cs="Arial"/>
                <w:sz w:val="20"/>
                <w:szCs w:val="20"/>
              </w:rPr>
              <w:t>3. Water Security Awareness</w:t>
            </w:r>
          </w:p>
        </w:tc>
      </w:tr>
      <w:tr w:rsidR="004A4FCB" w:rsidRPr="00C24B1F" w14:paraId="6E1D5C15" w14:textId="77777777" w:rsidTr="0055582C">
        <w:tc>
          <w:tcPr>
            <w:cnfStyle w:val="001000000000" w:firstRow="0" w:lastRow="0" w:firstColumn="1" w:lastColumn="0" w:oddVBand="0" w:evenVBand="0" w:oddHBand="0" w:evenHBand="0" w:firstRowFirstColumn="0" w:firstRowLastColumn="0" w:lastRowFirstColumn="0" w:lastRowLastColumn="0"/>
            <w:tcW w:w="3052" w:type="dxa"/>
            <w:vAlign w:val="top"/>
          </w:tcPr>
          <w:p w14:paraId="0A0F7B8B" w14:textId="77777777" w:rsidR="00C24B1F" w:rsidRPr="00116E55" w:rsidRDefault="00C24B1F" w:rsidP="00150FE5">
            <w:pPr>
              <w:pStyle w:val="BodyText"/>
              <w:spacing w:line="240" w:lineRule="auto"/>
              <w:rPr>
                <w:rFonts w:cs="Arial"/>
                <w:sz w:val="20"/>
                <w:szCs w:val="20"/>
              </w:rPr>
            </w:pPr>
            <w:r w:rsidRPr="00116E55">
              <w:rPr>
                <w:rFonts w:cs="Arial"/>
                <w:sz w:val="20"/>
                <w:szCs w:val="20"/>
              </w:rPr>
              <w:t>Traditional Owner Engagement</w:t>
            </w:r>
          </w:p>
        </w:tc>
        <w:tc>
          <w:tcPr>
            <w:tcW w:w="3464" w:type="dxa"/>
            <w:vAlign w:val="top"/>
          </w:tcPr>
          <w:p w14:paraId="0F032751" w14:textId="77777777" w:rsidR="00C24B1F" w:rsidRPr="00116E55" w:rsidRDefault="00C24B1F">
            <w:pPr>
              <w:pStyle w:val="BodyText"/>
              <w:numPr>
                <w:ilvl w:val="0"/>
                <w:numId w:val="107"/>
              </w:numPr>
              <w:spacing w:line="240" w:lineRule="auto"/>
              <w:ind w:left="240" w:hanging="240"/>
              <w:cnfStyle w:val="000000000000" w:firstRow="0" w:lastRow="0" w:firstColumn="0" w:lastColumn="0" w:oddVBand="0" w:evenVBand="0" w:oddHBand="0" w:evenHBand="0" w:firstRowFirstColumn="0" w:firstRowLastColumn="0" w:lastRowFirstColumn="0" w:lastRowLastColumn="0"/>
              <w:rPr>
                <w:rFonts w:cs="Arial"/>
                <w:i/>
                <w:iCs/>
                <w:sz w:val="20"/>
                <w:szCs w:val="20"/>
              </w:rPr>
            </w:pPr>
            <w:r w:rsidRPr="00116E55">
              <w:rPr>
                <w:rFonts w:cs="Arial"/>
                <w:i/>
                <w:iCs/>
                <w:sz w:val="20"/>
                <w:szCs w:val="20"/>
              </w:rPr>
              <w:t>Support my community, protect my environment</w:t>
            </w:r>
          </w:p>
        </w:tc>
        <w:tc>
          <w:tcPr>
            <w:tcW w:w="2979" w:type="dxa"/>
            <w:vAlign w:val="top"/>
          </w:tcPr>
          <w:p w14:paraId="0707FB29" w14:textId="77777777" w:rsidR="00C24B1F" w:rsidRPr="00116E55" w:rsidRDefault="00C24B1F" w:rsidP="0055582C">
            <w:pPr>
              <w:pStyle w:val="BodyText"/>
              <w:spacing w:line="240" w:lineRule="auto"/>
              <w:ind w:left="311" w:hanging="283"/>
              <w:cnfStyle w:val="000000000000" w:firstRow="0" w:lastRow="0" w:firstColumn="0" w:lastColumn="0" w:oddVBand="0" w:evenVBand="0" w:oddHBand="0" w:evenHBand="0" w:firstRowFirstColumn="0" w:firstRowLastColumn="0" w:lastRowFirstColumn="0" w:lastRowLastColumn="0"/>
              <w:rPr>
                <w:rFonts w:cs="Arial"/>
                <w:sz w:val="20"/>
                <w:szCs w:val="20"/>
              </w:rPr>
            </w:pPr>
            <w:r w:rsidRPr="00116E55">
              <w:rPr>
                <w:rFonts w:cs="Arial"/>
                <w:sz w:val="20"/>
                <w:szCs w:val="20"/>
              </w:rPr>
              <w:t>3. Water Security Awareness</w:t>
            </w:r>
          </w:p>
          <w:p w14:paraId="583B183A" w14:textId="77777777" w:rsidR="00C24B1F" w:rsidRPr="00116E55" w:rsidRDefault="00C24B1F" w:rsidP="0055582C">
            <w:pPr>
              <w:pStyle w:val="BodyText"/>
              <w:spacing w:line="240" w:lineRule="auto"/>
              <w:ind w:left="311" w:hanging="283"/>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196E36" w14:paraId="056E0D8F" w14:textId="77777777" w:rsidTr="00555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2" w:type="dxa"/>
            <w:shd w:val="clear" w:color="auto" w:fill="D4D6DF"/>
            <w:vAlign w:val="top"/>
          </w:tcPr>
          <w:p w14:paraId="77628ADC" w14:textId="011B1661" w:rsidR="00C24B1F" w:rsidRPr="00116E55" w:rsidRDefault="00C24B1F" w:rsidP="00150FE5">
            <w:pPr>
              <w:pStyle w:val="BodyText"/>
              <w:spacing w:line="240" w:lineRule="auto"/>
              <w:rPr>
                <w:rFonts w:cs="Arial"/>
                <w:sz w:val="20"/>
                <w:szCs w:val="20"/>
              </w:rPr>
            </w:pPr>
            <w:r w:rsidRPr="00116E55">
              <w:rPr>
                <w:rFonts w:cs="Arial"/>
                <w:sz w:val="20"/>
                <w:szCs w:val="20"/>
              </w:rPr>
              <w:t xml:space="preserve">Payroll tax </w:t>
            </w:r>
            <w:r w:rsidR="00C17A65" w:rsidRPr="00116E55">
              <w:rPr>
                <w:rFonts w:cs="Arial"/>
                <w:sz w:val="20"/>
                <w:szCs w:val="20"/>
              </w:rPr>
              <w:t>and</w:t>
            </w:r>
            <w:r w:rsidRPr="00116E55">
              <w:rPr>
                <w:rFonts w:cs="Arial"/>
                <w:sz w:val="20"/>
                <w:szCs w:val="20"/>
              </w:rPr>
              <w:t xml:space="preserve"> superannuation guarantee</w:t>
            </w:r>
          </w:p>
        </w:tc>
        <w:tc>
          <w:tcPr>
            <w:tcW w:w="3464" w:type="dxa"/>
            <w:shd w:val="clear" w:color="auto" w:fill="D4D6DF"/>
            <w:vAlign w:val="top"/>
          </w:tcPr>
          <w:p w14:paraId="1A76163B" w14:textId="77777777" w:rsidR="00C24B1F" w:rsidRPr="00116E55" w:rsidRDefault="00C24B1F">
            <w:pPr>
              <w:pStyle w:val="BodyText"/>
              <w:numPr>
                <w:ilvl w:val="0"/>
                <w:numId w:val="107"/>
              </w:numPr>
              <w:spacing w:line="240" w:lineRule="auto"/>
              <w:ind w:left="240" w:hanging="240"/>
              <w:cnfStyle w:val="000000100000" w:firstRow="0" w:lastRow="0" w:firstColumn="0" w:lastColumn="0" w:oddVBand="0" w:evenVBand="0" w:oddHBand="1" w:evenHBand="0" w:firstRowFirstColumn="0" w:firstRowLastColumn="0" w:lastRowFirstColumn="0" w:lastRowLastColumn="0"/>
              <w:rPr>
                <w:rFonts w:cs="Arial"/>
                <w:i/>
                <w:iCs/>
                <w:sz w:val="20"/>
                <w:szCs w:val="20"/>
              </w:rPr>
            </w:pPr>
            <w:r w:rsidRPr="00116E55">
              <w:rPr>
                <w:rFonts w:cs="Arial"/>
                <w:i/>
                <w:iCs/>
                <w:sz w:val="20"/>
                <w:szCs w:val="20"/>
              </w:rPr>
              <w:t>Get the basics right, always</w:t>
            </w:r>
          </w:p>
        </w:tc>
        <w:tc>
          <w:tcPr>
            <w:tcW w:w="2979" w:type="dxa"/>
            <w:shd w:val="clear" w:color="auto" w:fill="D4D6DF"/>
            <w:vAlign w:val="top"/>
          </w:tcPr>
          <w:p w14:paraId="3F3F9619" w14:textId="3FC45546" w:rsidR="00C24B1F" w:rsidRPr="00116E55" w:rsidRDefault="00C24B1F" w:rsidP="0055582C">
            <w:pPr>
              <w:pStyle w:val="BodyText"/>
              <w:spacing w:line="240" w:lineRule="auto"/>
              <w:ind w:left="311" w:hanging="283"/>
              <w:cnfStyle w:val="000000100000" w:firstRow="0" w:lastRow="0" w:firstColumn="0" w:lastColumn="0" w:oddVBand="0" w:evenVBand="0" w:oddHBand="1" w:evenHBand="0" w:firstRowFirstColumn="0" w:firstRowLastColumn="0" w:lastRowFirstColumn="0" w:lastRowLastColumn="0"/>
              <w:rPr>
                <w:rFonts w:cs="Arial"/>
                <w:sz w:val="20"/>
                <w:szCs w:val="20"/>
              </w:rPr>
            </w:pPr>
            <w:r w:rsidRPr="00116E55">
              <w:rPr>
                <w:rFonts w:cs="Arial"/>
                <w:sz w:val="20"/>
                <w:szCs w:val="20"/>
              </w:rPr>
              <w:t xml:space="preserve">2. Reliable service across </w:t>
            </w:r>
            <w:r w:rsidR="0055582C">
              <w:rPr>
                <w:rFonts w:cs="Arial"/>
                <w:sz w:val="20"/>
                <w:szCs w:val="20"/>
              </w:rPr>
              <w:br/>
            </w:r>
            <w:r w:rsidRPr="00116E55">
              <w:rPr>
                <w:rFonts w:cs="Arial"/>
                <w:sz w:val="20"/>
                <w:szCs w:val="20"/>
              </w:rPr>
              <w:t>the whole network</w:t>
            </w:r>
          </w:p>
        </w:tc>
      </w:tr>
    </w:tbl>
    <w:p w14:paraId="6A0ADD92" w14:textId="77777777" w:rsidR="00C24B1F" w:rsidRDefault="00C24B1F" w:rsidP="00C24B1F">
      <w:pPr>
        <w:pStyle w:val="BodyText"/>
        <w:spacing w:line="240" w:lineRule="auto"/>
        <w:rPr>
          <w:bCs/>
        </w:rPr>
      </w:pPr>
      <w:r>
        <w:rPr>
          <w:bCs/>
        </w:rPr>
        <w:t xml:space="preserve"> </w:t>
      </w:r>
    </w:p>
    <w:p w14:paraId="3DE313D7" w14:textId="77777777" w:rsidR="00C24B1F" w:rsidRPr="00BE2AD2" w:rsidRDefault="00C24B1F" w:rsidP="00C24B1F">
      <w:pPr>
        <w:pStyle w:val="BodyText"/>
        <w:spacing w:line="240" w:lineRule="auto"/>
        <w:rPr>
          <w:bCs/>
        </w:rPr>
      </w:pPr>
      <w:r w:rsidRPr="00C83D9B">
        <w:rPr>
          <w:bCs/>
        </w:rPr>
        <w:t>We consider that the following items meet the criteria for a step change for the next regulatory period.</w:t>
      </w:r>
      <w:r>
        <w:rPr>
          <w:bCs/>
        </w:rPr>
        <w:t xml:space="preserve"> </w:t>
      </w:r>
      <w:r w:rsidRPr="00BE2AD2">
        <w:rPr>
          <w:rStyle w:val="normaltextrun"/>
          <w:rFonts w:cs="Arial"/>
          <w:shd w:val="clear" w:color="auto" w:fill="FFFFFF"/>
        </w:rPr>
        <w:t>Further details for each of the step changes are provided in individual step change supporting documents.</w:t>
      </w:r>
      <w:r w:rsidRPr="00BE2AD2">
        <w:rPr>
          <w:rStyle w:val="eop"/>
          <w:rFonts w:cs="Arial"/>
          <w:shd w:val="clear" w:color="auto" w:fill="FFFFFF"/>
        </w:rPr>
        <w:t> </w:t>
      </w:r>
    </w:p>
    <w:p w14:paraId="1164D040" w14:textId="196C9467" w:rsidR="00C24B1F" w:rsidRDefault="00C24B1F" w:rsidP="004B3AE2">
      <w:pPr>
        <w:pStyle w:val="Heading3"/>
      </w:pPr>
      <w:r>
        <w:t xml:space="preserve">Digital </w:t>
      </w:r>
      <w:r w:rsidR="007E145D">
        <w:t>m</w:t>
      </w:r>
      <w:r>
        <w:t>etering</w:t>
      </w:r>
    </w:p>
    <w:p w14:paraId="7D2DC588" w14:textId="1904AAB3" w:rsidR="00B83C03" w:rsidRDefault="00C24B1F" w:rsidP="00C24B1F">
      <w:r w:rsidRPr="00BE2AD2">
        <w:t>The introduction of digital meters</w:t>
      </w:r>
      <w:r w:rsidRPr="00BE2AD2">
        <w:rPr>
          <w:color w:val="002379" w:themeColor="text2"/>
        </w:rPr>
        <w:t xml:space="preserve"> </w:t>
      </w:r>
      <w:r w:rsidRPr="00BE2AD2">
        <w:t xml:space="preserve">will </w:t>
      </w:r>
      <w:r>
        <w:t>improve the provision of services</w:t>
      </w:r>
      <w:r w:rsidRPr="00BE2AD2">
        <w:t xml:space="preserve"> by South East</w:t>
      </w:r>
      <w:r w:rsidR="000F3DD8">
        <w:t> </w:t>
      </w:r>
      <w:r w:rsidRPr="00BE2AD2">
        <w:t>Water</w:t>
      </w:r>
      <w:r>
        <w:rPr>
          <w:bCs/>
        </w:rPr>
        <w:t xml:space="preserve"> while providing tangible benefits</w:t>
      </w:r>
      <w:r w:rsidR="00A1765E">
        <w:rPr>
          <w:bCs/>
        </w:rPr>
        <w:t>,</w:t>
      </w:r>
      <w:r>
        <w:rPr>
          <w:bCs/>
        </w:rPr>
        <w:t xml:space="preserve"> which will drive lower prices for customers over the longer term, as demonstrated in the business case. This project is forecast to increase operating costs over the next regulatory period as detailed </w:t>
      </w:r>
      <w:r w:rsidRPr="0067099E">
        <w:rPr>
          <w:bCs/>
        </w:rPr>
        <w:t xml:space="preserve">in </w:t>
      </w:r>
      <w:r w:rsidR="00AB774C" w:rsidRPr="0067099E">
        <w:t>T</w:t>
      </w:r>
      <w:r w:rsidRPr="0067099E">
        <w:t xml:space="preserve">able </w:t>
      </w:r>
      <w:r w:rsidR="00313F30">
        <w:t>60</w:t>
      </w:r>
      <w:r w:rsidR="0067099E">
        <w:t xml:space="preserve"> </w:t>
      </w:r>
      <w:r>
        <w:rPr>
          <w:bCs/>
        </w:rPr>
        <w:t>below</w:t>
      </w:r>
      <w:r w:rsidRPr="005353DF">
        <w:t xml:space="preserve">. </w:t>
      </w:r>
    </w:p>
    <w:p w14:paraId="6395D22F" w14:textId="0AF562AA" w:rsidR="00C24B1F" w:rsidRDefault="00C24B1F" w:rsidP="00C24B1F">
      <w:pPr>
        <w:rPr>
          <w:bCs/>
        </w:rPr>
      </w:pPr>
      <w:r w:rsidRPr="005353DF">
        <w:rPr>
          <w:bCs/>
        </w:rPr>
        <w:t xml:space="preserve">Cost increases </w:t>
      </w:r>
      <w:r>
        <w:rPr>
          <w:bCs/>
        </w:rPr>
        <w:t xml:space="preserve">are expected in areas such as telecommunication service provider costs, IoT and data analytics platforms and customer engagement to provide education and drive behaviour change. This will be </w:t>
      </w:r>
      <w:r w:rsidR="00096934" w:rsidRPr="00DA7B10">
        <w:t>largely</w:t>
      </w:r>
      <w:r>
        <w:rPr>
          <w:bCs/>
        </w:rPr>
        <w:t xml:space="preserve"> offset by savings achieved by reducing labour costs in manual meter reading, billing and accounts, efficiencies realised in network maintenance due to more planned rather than unplanned maintenance and a reduction in non-revenue water losses due to early leak detection. </w:t>
      </w:r>
    </w:p>
    <w:p w14:paraId="4281E54D" w14:textId="6B48316B" w:rsidR="00B83C03" w:rsidRDefault="00B83C03">
      <w:pPr>
        <w:rPr>
          <w:b/>
          <w:bCs/>
        </w:rPr>
      </w:pPr>
    </w:p>
    <w:p w14:paraId="6A0133E6" w14:textId="3718B5A9" w:rsidR="00B83C03" w:rsidRPr="00507B63" w:rsidRDefault="0067099E" w:rsidP="002819EA">
      <w:pPr>
        <w:pStyle w:val="NormalIndent"/>
        <w:spacing w:after="120"/>
        <w:ind w:left="0"/>
        <w:rPr>
          <w:rFonts w:ascii="Arial" w:hAnsi="Arial" w:cs="Arial"/>
          <w:b/>
          <w:i/>
        </w:rPr>
      </w:pPr>
      <w:r w:rsidRPr="00CE6C4E">
        <w:rPr>
          <w:b/>
          <w:i/>
        </w:rPr>
        <w:t>Table</w:t>
      </w:r>
      <w:r w:rsidR="00313F30">
        <w:rPr>
          <w:b/>
          <w:i/>
        </w:rPr>
        <w:t xml:space="preserve"> 60</w:t>
      </w:r>
      <w:r w:rsidRPr="007B339F">
        <w:rPr>
          <w:rFonts w:ascii="Arial" w:hAnsi="Arial" w:cs="Arial"/>
          <w:b/>
          <w:i/>
        </w:rPr>
        <w:t>:</w:t>
      </w:r>
      <w:r>
        <w:rPr>
          <w:rFonts w:ascii="Arial" w:hAnsi="Arial" w:cs="Arial"/>
          <w:b/>
          <w:i/>
        </w:rPr>
        <w:t xml:space="preserve"> </w:t>
      </w:r>
      <w:r w:rsidR="00B83C03" w:rsidRPr="006B40B4">
        <w:rPr>
          <w:rFonts w:cs="Arial"/>
          <w:b/>
          <w:i/>
        </w:rPr>
        <w:t xml:space="preserve">Digital </w:t>
      </w:r>
      <w:r w:rsidR="006B40B4" w:rsidRPr="006B40B4">
        <w:rPr>
          <w:rFonts w:cs="Arial"/>
          <w:b/>
          <w:bCs/>
          <w:i/>
          <w:iCs/>
        </w:rPr>
        <w:t>m</w:t>
      </w:r>
      <w:r w:rsidR="00B83C03" w:rsidRPr="006B40B4">
        <w:rPr>
          <w:rFonts w:cs="Arial"/>
          <w:b/>
          <w:bCs/>
          <w:i/>
          <w:iCs/>
        </w:rPr>
        <w:t>etering</w:t>
      </w:r>
      <w:r w:rsidR="00B83C03" w:rsidRPr="006B40B4">
        <w:rPr>
          <w:rFonts w:cs="Arial"/>
          <w:b/>
          <w:i/>
        </w:rPr>
        <w:t xml:space="preserve"> </w:t>
      </w:r>
      <w:r w:rsidR="00507B63" w:rsidRPr="006D1620">
        <w:rPr>
          <w:rFonts w:cs="Arial"/>
          <w:b/>
          <w:i/>
        </w:rPr>
        <w:t>(</w:t>
      </w:r>
      <w:r w:rsidR="00507B63">
        <w:rPr>
          <w:rFonts w:cs="Arial"/>
          <w:b/>
          <w:i/>
        </w:rPr>
        <w:t>$</w:t>
      </w:r>
      <w:r w:rsidR="00B83C03" w:rsidRPr="006B40B4">
        <w:rPr>
          <w:rFonts w:cs="Arial"/>
          <w:b/>
          <w:i/>
        </w:rPr>
        <w:t>million 2022</w:t>
      </w:r>
      <w:r w:rsidR="00F33731">
        <w:rPr>
          <w:rFonts w:cs="Arial"/>
          <w:b/>
          <w:i/>
        </w:rPr>
        <w:t>–</w:t>
      </w:r>
      <w:r w:rsidR="00B83C03" w:rsidRPr="006B40B4">
        <w:rPr>
          <w:rFonts w:cs="Arial"/>
          <w:b/>
          <w:i/>
        </w:rPr>
        <w:t>23)</w:t>
      </w:r>
    </w:p>
    <w:tbl>
      <w:tblPr>
        <w:tblStyle w:val="MJTableStyle1default"/>
        <w:tblW w:w="0" w:type="auto"/>
        <w:tblInd w:w="0" w:type="dxa"/>
        <w:tblLook w:val="04A0" w:firstRow="1" w:lastRow="0" w:firstColumn="1" w:lastColumn="0" w:noHBand="0" w:noVBand="1"/>
      </w:tblPr>
      <w:tblGrid>
        <w:gridCol w:w="1559"/>
        <w:gridCol w:w="1559"/>
        <w:gridCol w:w="1560"/>
        <w:gridCol w:w="1559"/>
        <w:gridCol w:w="1559"/>
        <w:gridCol w:w="1560"/>
      </w:tblGrid>
      <w:tr w:rsidR="00D91F3A" w14:paraId="2BC58360" w14:textId="4D7E8F7B" w:rsidTr="00F8713B">
        <w:trPr>
          <w:cnfStyle w:val="100000000000" w:firstRow="1" w:lastRow="0" w:firstColumn="0" w:lastColumn="0" w:oddVBand="0" w:evenVBand="0" w:oddHBand="0" w:evenHBand="0" w:firstRowFirstColumn="0" w:firstRowLastColumn="0" w:lastRowFirstColumn="0" w:lastRowLastColumn="0"/>
          <w:trHeight w:val="478"/>
        </w:trPr>
        <w:tc>
          <w:tcPr>
            <w:tcW w:w="1559" w:type="dxa"/>
            <w:tcBorders>
              <w:top w:val="single" w:sz="4" w:space="0" w:color="002279"/>
              <w:left w:val="single" w:sz="4" w:space="0" w:color="002279"/>
              <w:bottom w:val="single" w:sz="2" w:space="0" w:color="002279"/>
              <w:right w:val="single" w:sz="4" w:space="0" w:color="FFFFFF" w:themeColor="background1"/>
            </w:tcBorders>
            <w:shd w:val="clear" w:color="auto" w:fill="002279"/>
            <w:vAlign w:val="center"/>
          </w:tcPr>
          <w:p w14:paraId="694CCE7B" w14:textId="4303BC90" w:rsidR="00D91F3A" w:rsidRPr="00116E55" w:rsidRDefault="00D91F3A" w:rsidP="00360131">
            <w:pPr>
              <w:jc w:val="center"/>
              <w:rPr>
                <w:rFonts w:asciiTheme="minorHAnsi" w:hAnsiTheme="minorHAnsi" w:cstheme="minorHAnsi"/>
                <w:b/>
                <w:bCs/>
              </w:rPr>
            </w:pPr>
            <w:r w:rsidRPr="00116E55">
              <w:rPr>
                <w:rFonts w:asciiTheme="minorHAnsi" w:hAnsiTheme="minorHAnsi" w:cstheme="minorHAnsi"/>
                <w:b/>
                <w:bCs/>
              </w:rPr>
              <w:t>2023</w:t>
            </w:r>
            <w:r w:rsidR="00F33731" w:rsidRPr="00116E55">
              <w:rPr>
                <w:rFonts w:asciiTheme="minorHAnsi" w:hAnsiTheme="minorHAnsi" w:cstheme="minorHAnsi"/>
                <w:b/>
                <w:bCs/>
              </w:rPr>
              <w:t>–</w:t>
            </w:r>
            <w:r w:rsidRPr="00116E55">
              <w:rPr>
                <w:rFonts w:asciiTheme="minorHAnsi" w:hAnsiTheme="minorHAnsi" w:cstheme="minorHAnsi"/>
                <w:b/>
                <w:bCs/>
              </w:rPr>
              <w:t>24</w:t>
            </w:r>
          </w:p>
        </w:tc>
        <w:tc>
          <w:tcPr>
            <w:tcW w:w="1559"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vAlign w:val="center"/>
          </w:tcPr>
          <w:p w14:paraId="429A3FDE" w14:textId="0165A6F9" w:rsidR="00D91F3A" w:rsidRPr="00116E55" w:rsidRDefault="00D91F3A" w:rsidP="00360131">
            <w:pPr>
              <w:jc w:val="center"/>
              <w:rPr>
                <w:rFonts w:asciiTheme="minorHAnsi" w:hAnsiTheme="minorHAnsi" w:cstheme="minorHAnsi"/>
                <w:b/>
                <w:bCs/>
              </w:rPr>
            </w:pPr>
            <w:r w:rsidRPr="00116E55">
              <w:rPr>
                <w:rFonts w:asciiTheme="minorHAnsi" w:hAnsiTheme="minorHAnsi" w:cstheme="minorHAnsi"/>
                <w:b/>
                <w:bCs/>
              </w:rPr>
              <w:t>2024</w:t>
            </w:r>
            <w:r w:rsidR="00F33731" w:rsidRPr="00116E55">
              <w:rPr>
                <w:rFonts w:asciiTheme="minorHAnsi" w:hAnsiTheme="minorHAnsi" w:cstheme="minorHAnsi"/>
                <w:b/>
                <w:bCs/>
              </w:rPr>
              <w:t>–</w:t>
            </w:r>
            <w:r w:rsidRPr="00116E55">
              <w:rPr>
                <w:rFonts w:asciiTheme="minorHAnsi" w:hAnsiTheme="minorHAnsi" w:cstheme="minorHAnsi"/>
                <w:b/>
                <w:bCs/>
              </w:rPr>
              <w:t>25</w:t>
            </w:r>
          </w:p>
        </w:tc>
        <w:tc>
          <w:tcPr>
            <w:tcW w:w="1560"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vAlign w:val="center"/>
          </w:tcPr>
          <w:p w14:paraId="3290F2CD" w14:textId="33C35CF3" w:rsidR="00D91F3A" w:rsidRPr="00116E55" w:rsidRDefault="00D91F3A" w:rsidP="00360131">
            <w:pPr>
              <w:jc w:val="center"/>
              <w:rPr>
                <w:rFonts w:asciiTheme="minorHAnsi" w:hAnsiTheme="minorHAnsi" w:cstheme="minorHAnsi"/>
                <w:b/>
                <w:bCs/>
              </w:rPr>
            </w:pPr>
            <w:r w:rsidRPr="00116E55">
              <w:rPr>
                <w:rFonts w:asciiTheme="minorHAnsi" w:hAnsiTheme="minorHAnsi" w:cstheme="minorHAnsi"/>
                <w:b/>
                <w:bCs/>
              </w:rPr>
              <w:t>2025</w:t>
            </w:r>
            <w:r w:rsidR="00F33731" w:rsidRPr="00116E55">
              <w:rPr>
                <w:rFonts w:asciiTheme="minorHAnsi" w:hAnsiTheme="minorHAnsi" w:cstheme="minorHAnsi"/>
                <w:b/>
                <w:bCs/>
              </w:rPr>
              <w:t>–</w:t>
            </w:r>
            <w:r w:rsidRPr="00116E55">
              <w:rPr>
                <w:rFonts w:asciiTheme="minorHAnsi" w:hAnsiTheme="minorHAnsi" w:cstheme="minorHAnsi"/>
                <w:b/>
                <w:bCs/>
              </w:rPr>
              <w:t>26</w:t>
            </w:r>
          </w:p>
        </w:tc>
        <w:tc>
          <w:tcPr>
            <w:tcW w:w="1559"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vAlign w:val="center"/>
          </w:tcPr>
          <w:p w14:paraId="7DBF836D" w14:textId="68D19C7C" w:rsidR="00D91F3A" w:rsidRPr="00116E55" w:rsidRDefault="00D91F3A" w:rsidP="00360131">
            <w:pPr>
              <w:jc w:val="center"/>
              <w:rPr>
                <w:rFonts w:asciiTheme="minorHAnsi" w:hAnsiTheme="minorHAnsi" w:cstheme="minorHAnsi"/>
                <w:b/>
                <w:bCs/>
              </w:rPr>
            </w:pPr>
            <w:r w:rsidRPr="00116E55">
              <w:rPr>
                <w:rFonts w:asciiTheme="minorHAnsi" w:hAnsiTheme="minorHAnsi" w:cstheme="minorHAnsi"/>
                <w:b/>
                <w:bCs/>
              </w:rPr>
              <w:t>2026</w:t>
            </w:r>
            <w:r w:rsidR="00F33731" w:rsidRPr="00116E55">
              <w:rPr>
                <w:rFonts w:asciiTheme="minorHAnsi" w:hAnsiTheme="minorHAnsi" w:cstheme="minorHAnsi"/>
                <w:b/>
                <w:bCs/>
              </w:rPr>
              <w:t>–</w:t>
            </w:r>
            <w:r w:rsidRPr="00116E55">
              <w:rPr>
                <w:rFonts w:asciiTheme="minorHAnsi" w:hAnsiTheme="minorHAnsi" w:cstheme="minorHAnsi"/>
                <w:b/>
                <w:bCs/>
              </w:rPr>
              <w:t>27</w:t>
            </w:r>
          </w:p>
        </w:tc>
        <w:tc>
          <w:tcPr>
            <w:tcW w:w="1559"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vAlign w:val="center"/>
          </w:tcPr>
          <w:p w14:paraId="3721EE73" w14:textId="4C6D2DF4" w:rsidR="00D91F3A" w:rsidRPr="00116E55" w:rsidRDefault="00D91F3A" w:rsidP="00360131">
            <w:pPr>
              <w:jc w:val="center"/>
              <w:rPr>
                <w:rFonts w:asciiTheme="minorHAnsi" w:hAnsiTheme="minorHAnsi" w:cstheme="minorHAnsi"/>
                <w:b/>
                <w:bCs/>
              </w:rPr>
            </w:pPr>
            <w:r w:rsidRPr="00116E55">
              <w:rPr>
                <w:rFonts w:asciiTheme="minorHAnsi" w:hAnsiTheme="minorHAnsi" w:cstheme="minorHAnsi"/>
                <w:b/>
                <w:bCs/>
              </w:rPr>
              <w:t>2027</w:t>
            </w:r>
            <w:r w:rsidR="00F33731" w:rsidRPr="00116E55">
              <w:rPr>
                <w:rFonts w:asciiTheme="minorHAnsi" w:hAnsiTheme="minorHAnsi" w:cstheme="minorHAnsi"/>
                <w:b/>
                <w:bCs/>
              </w:rPr>
              <w:t>–</w:t>
            </w:r>
            <w:r w:rsidRPr="00116E55">
              <w:rPr>
                <w:rFonts w:asciiTheme="minorHAnsi" w:hAnsiTheme="minorHAnsi" w:cstheme="minorHAnsi"/>
                <w:b/>
                <w:bCs/>
              </w:rPr>
              <w:t>28</w:t>
            </w:r>
          </w:p>
        </w:tc>
        <w:tc>
          <w:tcPr>
            <w:tcW w:w="1560" w:type="dxa"/>
            <w:tcBorders>
              <w:top w:val="single" w:sz="4" w:space="0" w:color="002279"/>
              <w:left w:val="single" w:sz="4" w:space="0" w:color="FFFFFF" w:themeColor="background1"/>
              <w:bottom w:val="single" w:sz="2" w:space="0" w:color="002279"/>
              <w:right w:val="single" w:sz="4" w:space="0" w:color="002279"/>
            </w:tcBorders>
            <w:shd w:val="clear" w:color="auto" w:fill="002279"/>
            <w:vAlign w:val="center"/>
          </w:tcPr>
          <w:p w14:paraId="0B533A2D" w14:textId="60328BBE" w:rsidR="00D91F3A" w:rsidRPr="00116E55" w:rsidRDefault="00D91F3A" w:rsidP="00360131">
            <w:pPr>
              <w:jc w:val="center"/>
              <w:rPr>
                <w:rFonts w:asciiTheme="minorHAnsi" w:hAnsiTheme="minorHAnsi" w:cstheme="minorHAnsi"/>
                <w:b/>
                <w:bCs/>
              </w:rPr>
            </w:pPr>
            <w:r w:rsidRPr="00116E55">
              <w:rPr>
                <w:rFonts w:asciiTheme="minorHAnsi" w:hAnsiTheme="minorHAnsi" w:cstheme="minorHAnsi"/>
                <w:b/>
                <w:bCs/>
              </w:rPr>
              <w:t>Total</w:t>
            </w:r>
          </w:p>
        </w:tc>
      </w:tr>
      <w:tr w:rsidR="00D91F3A" w14:paraId="437E15D3" w14:textId="31627192" w:rsidTr="00F8713B">
        <w:trPr>
          <w:cnfStyle w:val="000000100000" w:firstRow="0" w:lastRow="0" w:firstColumn="0" w:lastColumn="0" w:oddVBand="0" w:evenVBand="0" w:oddHBand="1" w:evenHBand="0" w:firstRowFirstColumn="0" w:firstRowLastColumn="0" w:lastRowFirstColumn="0" w:lastRowLastColumn="0"/>
        </w:trPr>
        <w:tc>
          <w:tcPr>
            <w:tcW w:w="1559" w:type="dxa"/>
            <w:tcBorders>
              <w:top w:val="single" w:sz="2" w:space="0" w:color="002279"/>
              <w:left w:val="single" w:sz="4" w:space="0" w:color="002279"/>
              <w:bottom w:val="single" w:sz="4" w:space="0" w:color="002279"/>
              <w:right w:val="single" w:sz="4" w:space="0" w:color="002279"/>
            </w:tcBorders>
            <w:shd w:val="clear" w:color="auto" w:fill="FFFFFF" w:themeFill="background1"/>
            <w:vAlign w:val="center"/>
          </w:tcPr>
          <w:p w14:paraId="6AA351F4" w14:textId="77777777" w:rsidR="00D91F3A" w:rsidRDefault="00D91F3A" w:rsidP="00B07CD0">
            <w:pPr>
              <w:jc w:val="center"/>
            </w:pPr>
            <w:r>
              <w:t>3.17</w:t>
            </w:r>
          </w:p>
        </w:tc>
        <w:tc>
          <w:tcPr>
            <w:tcW w:w="1559" w:type="dxa"/>
            <w:tcBorders>
              <w:top w:val="single" w:sz="2" w:space="0" w:color="002279"/>
              <w:left w:val="single" w:sz="4" w:space="0" w:color="002279"/>
              <w:bottom w:val="single" w:sz="4" w:space="0" w:color="002279"/>
              <w:right w:val="single" w:sz="4" w:space="0" w:color="002279"/>
            </w:tcBorders>
            <w:shd w:val="clear" w:color="auto" w:fill="FFFFFF" w:themeFill="background1"/>
            <w:vAlign w:val="center"/>
          </w:tcPr>
          <w:p w14:paraId="168BEF62" w14:textId="77777777" w:rsidR="00D91F3A" w:rsidRDefault="00D91F3A" w:rsidP="00B07CD0">
            <w:pPr>
              <w:jc w:val="center"/>
            </w:pPr>
            <w:r>
              <w:t>2.67</w:t>
            </w:r>
          </w:p>
        </w:tc>
        <w:tc>
          <w:tcPr>
            <w:tcW w:w="1560" w:type="dxa"/>
            <w:tcBorders>
              <w:top w:val="single" w:sz="2" w:space="0" w:color="002279"/>
              <w:left w:val="single" w:sz="4" w:space="0" w:color="002279"/>
              <w:bottom w:val="single" w:sz="4" w:space="0" w:color="002279"/>
              <w:right w:val="single" w:sz="4" w:space="0" w:color="002279"/>
            </w:tcBorders>
            <w:shd w:val="clear" w:color="auto" w:fill="FFFFFF" w:themeFill="background1"/>
            <w:vAlign w:val="center"/>
          </w:tcPr>
          <w:p w14:paraId="116B521B" w14:textId="77777777" w:rsidR="00D91F3A" w:rsidRDefault="00D91F3A" w:rsidP="00B07CD0">
            <w:pPr>
              <w:jc w:val="center"/>
            </w:pPr>
            <w:r>
              <w:t>2.06</w:t>
            </w:r>
          </w:p>
        </w:tc>
        <w:tc>
          <w:tcPr>
            <w:tcW w:w="1559" w:type="dxa"/>
            <w:tcBorders>
              <w:top w:val="single" w:sz="2" w:space="0" w:color="002279"/>
              <w:left w:val="single" w:sz="4" w:space="0" w:color="002279"/>
              <w:bottom w:val="single" w:sz="4" w:space="0" w:color="002279"/>
              <w:right w:val="single" w:sz="4" w:space="0" w:color="002279"/>
            </w:tcBorders>
            <w:shd w:val="clear" w:color="auto" w:fill="FFFFFF" w:themeFill="background1"/>
            <w:vAlign w:val="center"/>
          </w:tcPr>
          <w:p w14:paraId="5D397E91" w14:textId="77777777" w:rsidR="00D91F3A" w:rsidRDefault="00D91F3A" w:rsidP="00B07CD0">
            <w:pPr>
              <w:jc w:val="center"/>
            </w:pPr>
            <w:r>
              <w:t>1.48</w:t>
            </w:r>
          </w:p>
        </w:tc>
        <w:tc>
          <w:tcPr>
            <w:tcW w:w="1559" w:type="dxa"/>
            <w:tcBorders>
              <w:top w:val="single" w:sz="2" w:space="0" w:color="002279"/>
              <w:left w:val="single" w:sz="4" w:space="0" w:color="002279"/>
              <w:bottom w:val="single" w:sz="4" w:space="0" w:color="002279"/>
              <w:right w:val="single" w:sz="4" w:space="0" w:color="002279"/>
            </w:tcBorders>
            <w:shd w:val="clear" w:color="auto" w:fill="FFFFFF" w:themeFill="background1"/>
            <w:vAlign w:val="center"/>
          </w:tcPr>
          <w:p w14:paraId="01B979B0" w14:textId="77777777" w:rsidR="00D91F3A" w:rsidRDefault="00D91F3A" w:rsidP="00B07CD0">
            <w:pPr>
              <w:jc w:val="center"/>
            </w:pPr>
            <w:r>
              <w:t>0.56</w:t>
            </w:r>
          </w:p>
        </w:tc>
        <w:tc>
          <w:tcPr>
            <w:tcW w:w="1560" w:type="dxa"/>
            <w:tcBorders>
              <w:top w:val="single" w:sz="2" w:space="0" w:color="002279"/>
              <w:left w:val="single" w:sz="4" w:space="0" w:color="002279"/>
              <w:bottom w:val="single" w:sz="4" w:space="0" w:color="002279"/>
              <w:right w:val="single" w:sz="4" w:space="0" w:color="002279"/>
            </w:tcBorders>
            <w:shd w:val="clear" w:color="auto" w:fill="FFFFFF" w:themeFill="background1"/>
            <w:vAlign w:val="center"/>
          </w:tcPr>
          <w:p w14:paraId="28ABAC9B" w14:textId="0100E8E6" w:rsidR="00D91F3A" w:rsidRPr="003030D3" w:rsidRDefault="003030D3" w:rsidP="00360131">
            <w:pPr>
              <w:jc w:val="center"/>
              <w:rPr>
                <w:b/>
                <w:bCs/>
              </w:rPr>
            </w:pPr>
            <w:r w:rsidRPr="003030D3">
              <w:rPr>
                <w:b/>
                <w:bCs/>
              </w:rPr>
              <w:t>9.94</w:t>
            </w:r>
          </w:p>
        </w:tc>
      </w:tr>
    </w:tbl>
    <w:p w14:paraId="57182508" w14:textId="77777777" w:rsidR="00C24B1F" w:rsidRDefault="00C24B1F" w:rsidP="00C24B1F">
      <w:pPr>
        <w:pStyle w:val="BodyText"/>
        <w:spacing w:line="240" w:lineRule="auto"/>
      </w:pPr>
    </w:p>
    <w:p w14:paraId="54518B88" w14:textId="609BC014" w:rsidR="00C24B1F" w:rsidRDefault="00C24B1F" w:rsidP="00B83C03">
      <w:pPr>
        <w:pStyle w:val="Heading3"/>
      </w:pPr>
      <w:r>
        <w:t xml:space="preserve">Maintenance </w:t>
      </w:r>
      <w:r w:rsidR="00857420">
        <w:t>m</w:t>
      </w:r>
      <w:r>
        <w:t>odel</w:t>
      </w:r>
    </w:p>
    <w:p w14:paraId="18860344" w14:textId="77777777" w:rsidR="00991EAC" w:rsidRDefault="00C24B1F" w:rsidP="00C24B1F">
      <w:pPr>
        <w:rPr>
          <w:bCs/>
        </w:rPr>
      </w:pPr>
      <w:r>
        <w:rPr>
          <w:bCs/>
        </w:rPr>
        <w:t xml:space="preserve">Following a competitive tender process, South East Water has entered into a contract for </w:t>
      </w:r>
      <w:r w:rsidR="00E271D7">
        <w:rPr>
          <w:bCs/>
        </w:rPr>
        <w:t>m</w:t>
      </w:r>
      <w:r>
        <w:rPr>
          <w:bCs/>
        </w:rPr>
        <w:t xml:space="preserve">aintenance </w:t>
      </w:r>
      <w:r w:rsidR="00E271D7">
        <w:rPr>
          <w:bCs/>
        </w:rPr>
        <w:t>s</w:t>
      </w:r>
      <w:r>
        <w:rPr>
          <w:bCs/>
        </w:rPr>
        <w:t>ervices, effective in October 2022</w:t>
      </w:r>
      <w:r w:rsidR="00E271D7">
        <w:rPr>
          <w:bCs/>
        </w:rPr>
        <w:t>,</w:t>
      </w:r>
      <w:r>
        <w:rPr>
          <w:bCs/>
        </w:rPr>
        <w:t xml:space="preserve"> for a period of 5 years. This will replace the current contract</w:t>
      </w:r>
      <w:r w:rsidR="00E271D7">
        <w:rPr>
          <w:bCs/>
        </w:rPr>
        <w:t>,</w:t>
      </w:r>
      <w:r>
        <w:rPr>
          <w:bCs/>
        </w:rPr>
        <w:t xml:space="preserve"> which has been in operation since 2013. </w:t>
      </w:r>
    </w:p>
    <w:p w14:paraId="45899272" w14:textId="03B41559" w:rsidR="00991EAC" w:rsidRDefault="00991EAC" w:rsidP="00C24B1F">
      <w:pPr>
        <w:rPr>
          <w:bCs/>
        </w:rPr>
      </w:pPr>
      <w:r>
        <w:rPr>
          <w:bCs/>
        </w:rPr>
        <w:t>The maintenance model step change reflects the incremental cost to South</w:t>
      </w:r>
      <w:r w:rsidR="000F3DD8">
        <w:rPr>
          <w:bCs/>
        </w:rPr>
        <w:t> </w:t>
      </w:r>
      <w:r>
        <w:rPr>
          <w:bCs/>
        </w:rPr>
        <w:t>East</w:t>
      </w:r>
      <w:r w:rsidR="000F3DD8">
        <w:rPr>
          <w:bCs/>
        </w:rPr>
        <w:t> </w:t>
      </w:r>
      <w:r>
        <w:rPr>
          <w:bCs/>
        </w:rPr>
        <w:t xml:space="preserve">Water of the maintenance services </w:t>
      </w:r>
      <w:r w:rsidR="009265C4">
        <w:rPr>
          <w:bCs/>
        </w:rPr>
        <w:t xml:space="preserve">provided </w:t>
      </w:r>
      <w:r>
        <w:rPr>
          <w:bCs/>
        </w:rPr>
        <w:t>under the new contract.</w:t>
      </w:r>
    </w:p>
    <w:p w14:paraId="5762C243" w14:textId="5C2FFE45" w:rsidR="00C24B1F" w:rsidRDefault="00C24B1F" w:rsidP="00C24B1F">
      <w:r>
        <w:t>The new maintenance model enables improved future performance of South</w:t>
      </w:r>
      <w:r w:rsidR="000F3DD8">
        <w:t> </w:t>
      </w:r>
      <w:r>
        <w:t>East</w:t>
      </w:r>
      <w:r w:rsidR="000F3DD8">
        <w:t> </w:t>
      </w:r>
      <w:r>
        <w:t>Water through both the competition elements of the model (the higher performing partner in a workstream has the opportunity to win more work) and the collaboration elements of the model (partners working together and with South</w:t>
      </w:r>
      <w:r w:rsidR="000F3DD8">
        <w:t> </w:t>
      </w:r>
      <w:r>
        <w:t>East</w:t>
      </w:r>
      <w:r w:rsidR="000F3DD8">
        <w:t> </w:t>
      </w:r>
      <w:r>
        <w:t>Water to improve performance).</w:t>
      </w:r>
    </w:p>
    <w:p w14:paraId="02C366BA" w14:textId="383A77E1" w:rsidR="00C24B1F" w:rsidRDefault="00C24B1F" w:rsidP="00C24B1F">
      <w:pPr>
        <w:pStyle w:val="BodyText"/>
      </w:pPr>
      <w:r>
        <w:t>South East Water ha</w:t>
      </w:r>
      <w:r w:rsidR="00C8419D">
        <w:t>s</w:t>
      </w:r>
      <w:r>
        <w:t xml:space="preserve"> refined and streamlined the workstreams, increasing scopes of work to better align with the capability of its partners and provide improved economies </w:t>
      </w:r>
      <w:r w:rsidR="00AC3B85">
        <w:br/>
      </w:r>
      <w:r>
        <w:t xml:space="preserve">of scale. An example of this is the combining of water and sewer into one stream, effectively reducing management and administrative levels. Further, the increased scope </w:t>
      </w:r>
      <w:r>
        <w:lastRenderedPageBreak/>
        <w:t>will effectively reduce South East Water</w:t>
      </w:r>
      <w:r w:rsidR="00612583">
        <w:t>’</w:t>
      </w:r>
      <w:r>
        <w:t>s reliance on small, independent contractors, leading to further economies of scale.</w:t>
      </w:r>
    </w:p>
    <w:p w14:paraId="1D488DA4" w14:textId="7DBD012A" w:rsidR="00C24B1F" w:rsidRDefault="00C24B1F" w:rsidP="00C24B1F">
      <w:pPr>
        <w:pStyle w:val="BodyText"/>
      </w:pPr>
      <w:r>
        <w:t xml:space="preserve">The </w:t>
      </w:r>
      <w:r w:rsidR="00857420">
        <w:t>m</w:t>
      </w:r>
      <w:r>
        <w:t xml:space="preserve">aintenance </w:t>
      </w:r>
      <w:r w:rsidR="00857420">
        <w:t>m</w:t>
      </w:r>
      <w:r>
        <w:t xml:space="preserve">odel tendering process delivers the least cost outcome over the </w:t>
      </w:r>
      <w:r w:rsidR="00AC3B85">
        <w:br/>
      </w:r>
      <w:r w:rsidR="00857420">
        <w:t>5</w:t>
      </w:r>
      <w:r>
        <w:t>-year contract period and the highest value for money proposition.</w:t>
      </w:r>
    </w:p>
    <w:p w14:paraId="036E9C88" w14:textId="77777777" w:rsidR="00B83C03" w:rsidRDefault="00B83C03" w:rsidP="00C24B1F">
      <w:pPr>
        <w:pStyle w:val="BodyText"/>
      </w:pPr>
    </w:p>
    <w:p w14:paraId="1CC21919" w14:textId="63330376" w:rsidR="00B83C03" w:rsidRPr="0067099E" w:rsidRDefault="0067099E" w:rsidP="002819EA">
      <w:pPr>
        <w:pStyle w:val="NormalIndent"/>
        <w:spacing w:after="120"/>
        <w:ind w:left="0"/>
        <w:rPr>
          <w:rFonts w:cs="Arial"/>
          <w:b/>
          <w:i/>
        </w:rPr>
      </w:pPr>
      <w:r w:rsidRPr="00CE6C4E">
        <w:rPr>
          <w:b/>
          <w:i/>
        </w:rPr>
        <w:t>Table</w:t>
      </w:r>
      <w:r w:rsidR="00313F30">
        <w:rPr>
          <w:b/>
          <w:i/>
        </w:rPr>
        <w:t xml:space="preserve"> 61</w:t>
      </w:r>
      <w:r w:rsidRPr="007B339F">
        <w:rPr>
          <w:rFonts w:ascii="Arial" w:hAnsi="Arial" w:cs="Arial"/>
          <w:b/>
          <w:i/>
        </w:rPr>
        <w:t>:</w:t>
      </w:r>
      <w:r>
        <w:rPr>
          <w:rFonts w:ascii="Arial" w:hAnsi="Arial" w:cs="Arial"/>
          <w:b/>
          <w:i/>
        </w:rPr>
        <w:t xml:space="preserve"> </w:t>
      </w:r>
      <w:r w:rsidR="00B83C03" w:rsidRPr="00454103">
        <w:rPr>
          <w:rFonts w:cs="Arial"/>
          <w:b/>
          <w:i/>
        </w:rPr>
        <w:t xml:space="preserve">Maintenance </w:t>
      </w:r>
      <w:r w:rsidR="00C12C5A" w:rsidRPr="00454103">
        <w:rPr>
          <w:rFonts w:cs="Arial"/>
          <w:b/>
          <w:i/>
        </w:rPr>
        <w:t>m</w:t>
      </w:r>
      <w:r w:rsidR="00B83C03" w:rsidRPr="00454103">
        <w:rPr>
          <w:rFonts w:cs="Arial"/>
          <w:b/>
          <w:i/>
        </w:rPr>
        <w:t xml:space="preserve">odel </w:t>
      </w:r>
      <w:r w:rsidR="00507B63" w:rsidRPr="006D1620">
        <w:rPr>
          <w:rFonts w:cs="Arial"/>
          <w:b/>
          <w:i/>
        </w:rPr>
        <w:t>(</w:t>
      </w:r>
      <w:r w:rsidR="00507B63">
        <w:rPr>
          <w:rFonts w:cs="Arial"/>
          <w:b/>
          <w:i/>
        </w:rPr>
        <w:t>$</w:t>
      </w:r>
      <w:r w:rsidR="00B83C03" w:rsidRPr="00454103">
        <w:rPr>
          <w:rFonts w:cs="Arial"/>
          <w:b/>
          <w:i/>
        </w:rPr>
        <w:t>million 2022</w:t>
      </w:r>
      <w:r w:rsidR="00F33731">
        <w:rPr>
          <w:rFonts w:cs="Arial"/>
          <w:b/>
          <w:i/>
        </w:rPr>
        <w:t>–</w:t>
      </w:r>
      <w:r w:rsidR="00B83C03" w:rsidRPr="00454103">
        <w:rPr>
          <w:rFonts w:cs="Arial"/>
          <w:b/>
          <w:i/>
        </w:rPr>
        <w:t>23)</w:t>
      </w:r>
    </w:p>
    <w:tbl>
      <w:tblPr>
        <w:tblStyle w:val="MJTableStyle1default"/>
        <w:tblW w:w="0" w:type="auto"/>
        <w:tblInd w:w="0" w:type="dxa"/>
        <w:tblLook w:val="04A0" w:firstRow="1" w:lastRow="0" w:firstColumn="1" w:lastColumn="0" w:noHBand="0" w:noVBand="1"/>
      </w:tblPr>
      <w:tblGrid>
        <w:gridCol w:w="1559"/>
        <w:gridCol w:w="1559"/>
        <w:gridCol w:w="1560"/>
        <w:gridCol w:w="1559"/>
        <w:gridCol w:w="1559"/>
        <w:gridCol w:w="1560"/>
      </w:tblGrid>
      <w:tr w:rsidR="003030D3" w14:paraId="372497DF" w14:textId="09DA6C08" w:rsidTr="00F8713B">
        <w:trPr>
          <w:cnfStyle w:val="100000000000" w:firstRow="1" w:lastRow="0" w:firstColumn="0" w:lastColumn="0" w:oddVBand="0" w:evenVBand="0" w:oddHBand="0" w:evenHBand="0" w:firstRowFirstColumn="0" w:firstRowLastColumn="0" w:lastRowFirstColumn="0" w:lastRowLastColumn="0"/>
          <w:trHeight w:val="463"/>
        </w:trPr>
        <w:tc>
          <w:tcPr>
            <w:tcW w:w="1559" w:type="dxa"/>
            <w:tcBorders>
              <w:top w:val="single" w:sz="4" w:space="0" w:color="002279"/>
              <w:left w:val="single" w:sz="4" w:space="0" w:color="002279"/>
              <w:bottom w:val="single" w:sz="2" w:space="0" w:color="002279"/>
              <w:right w:val="single" w:sz="4" w:space="0" w:color="FFFFFF" w:themeColor="background1"/>
            </w:tcBorders>
            <w:shd w:val="clear" w:color="auto" w:fill="002279"/>
            <w:vAlign w:val="center"/>
          </w:tcPr>
          <w:p w14:paraId="12A2B55D" w14:textId="7511A9F9" w:rsidR="003030D3" w:rsidRPr="00116E55" w:rsidRDefault="003030D3" w:rsidP="00360131">
            <w:pPr>
              <w:jc w:val="center"/>
              <w:rPr>
                <w:rFonts w:asciiTheme="minorHAnsi" w:hAnsiTheme="minorHAnsi" w:cstheme="minorHAnsi"/>
                <w:b/>
                <w:bCs/>
              </w:rPr>
            </w:pPr>
            <w:r w:rsidRPr="00116E55">
              <w:rPr>
                <w:rFonts w:asciiTheme="minorHAnsi" w:hAnsiTheme="minorHAnsi" w:cstheme="minorHAnsi"/>
                <w:b/>
                <w:bCs/>
              </w:rPr>
              <w:t>2023</w:t>
            </w:r>
            <w:r w:rsidR="00F33731" w:rsidRPr="00116E55">
              <w:rPr>
                <w:rFonts w:asciiTheme="minorHAnsi" w:hAnsiTheme="minorHAnsi" w:cstheme="minorHAnsi"/>
                <w:b/>
                <w:bCs/>
              </w:rPr>
              <w:t>–</w:t>
            </w:r>
            <w:r w:rsidRPr="00116E55">
              <w:rPr>
                <w:rFonts w:asciiTheme="minorHAnsi" w:hAnsiTheme="minorHAnsi" w:cstheme="minorHAnsi"/>
                <w:b/>
                <w:bCs/>
              </w:rPr>
              <w:t>24</w:t>
            </w:r>
          </w:p>
        </w:tc>
        <w:tc>
          <w:tcPr>
            <w:tcW w:w="1559"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vAlign w:val="center"/>
          </w:tcPr>
          <w:p w14:paraId="07145A99" w14:textId="41B2AF71" w:rsidR="003030D3" w:rsidRPr="00116E55" w:rsidRDefault="003030D3" w:rsidP="00360131">
            <w:pPr>
              <w:jc w:val="center"/>
              <w:rPr>
                <w:rFonts w:asciiTheme="minorHAnsi" w:hAnsiTheme="minorHAnsi" w:cstheme="minorHAnsi"/>
                <w:b/>
                <w:bCs/>
              </w:rPr>
            </w:pPr>
            <w:r w:rsidRPr="00116E55">
              <w:rPr>
                <w:rFonts w:asciiTheme="minorHAnsi" w:hAnsiTheme="minorHAnsi" w:cstheme="minorHAnsi"/>
                <w:b/>
                <w:bCs/>
              </w:rPr>
              <w:t>2024</w:t>
            </w:r>
            <w:r w:rsidR="00F33731" w:rsidRPr="00116E55">
              <w:rPr>
                <w:rFonts w:asciiTheme="minorHAnsi" w:hAnsiTheme="minorHAnsi" w:cstheme="minorHAnsi"/>
                <w:b/>
                <w:bCs/>
              </w:rPr>
              <w:t>–</w:t>
            </w:r>
            <w:r w:rsidRPr="00116E55">
              <w:rPr>
                <w:rFonts w:asciiTheme="minorHAnsi" w:hAnsiTheme="minorHAnsi" w:cstheme="minorHAnsi"/>
                <w:b/>
                <w:bCs/>
              </w:rPr>
              <w:t>25</w:t>
            </w:r>
          </w:p>
        </w:tc>
        <w:tc>
          <w:tcPr>
            <w:tcW w:w="1560"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vAlign w:val="center"/>
          </w:tcPr>
          <w:p w14:paraId="32E460B2" w14:textId="7F0150CC" w:rsidR="003030D3" w:rsidRPr="00116E55" w:rsidRDefault="003030D3" w:rsidP="00360131">
            <w:pPr>
              <w:jc w:val="center"/>
              <w:rPr>
                <w:rFonts w:asciiTheme="minorHAnsi" w:hAnsiTheme="minorHAnsi" w:cstheme="minorHAnsi"/>
                <w:b/>
                <w:bCs/>
              </w:rPr>
            </w:pPr>
            <w:r w:rsidRPr="00116E55">
              <w:rPr>
                <w:rFonts w:asciiTheme="minorHAnsi" w:hAnsiTheme="minorHAnsi" w:cstheme="minorHAnsi"/>
                <w:b/>
                <w:bCs/>
              </w:rPr>
              <w:t>2025</w:t>
            </w:r>
            <w:r w:rsidR="00F33731" w:rsidRPr="00116E55">
              <w:rPr>
                <w:rFonts w:asciiTheme="minorHAnsi" w:hAnsiTheme="minorHAnsi" w:cstheme="minorHAnsi"/>
                <w:b/>
                <w:bCs/>
              </w:rPr>
              <w:t>–</w:t>
            </w:r>
            <w:r w:rsidRPr="00116E55">
              <w:rPr>
                <w:rFonts w:asciiTheme="minorHAnsi" w:hAnsiTheme="minorHAnsi" w:cstheme="minorHAnsi"/>
                <w:b/>
                <w:bCs/>
              </w:rPr>
              <w:t>26</w:t>
            </w:r>
          </w:p>
        </w:tc>
        <w:tc>
          <w:tcPr>
            <w:tcW w:w="1559"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vAlign w:val="center"/>
          </w:tcPr>
          <w:p w14:paraId="7E5E6095" w14:textId="70859EA3" w:rsidR="003030D3" w:rsidRPr="00116E55" w:rsidRDefault="003030D3" w:rsidP="00360131">
            <w:pPr>
              <w:jc w:val="center"/>
              <w:rPr>
                <w:rFonts w:asciiTheme="minorHAnsi" w:hAnsiTheme="minorHAnsi" w:cstheme="minorHAnsi"/>
                <w:b/>
                <w:bCs/>
              </w:rPr>
            </w:pPr>
            <w:r w:rsidRPr="00116E55">
              <w:rPr>
                <w:rFonts w:asciiTheme="minorHAnsi" w:hAnsiTheme="minorHAnsi" w:cstheme="minorHAnsi"/>
                <w:b/>
                <w:bCs/>
              </w:rPr>
              <w:t>2026</w:t>
            </w:r>
            <w:r w:rsidR="00F33731" w:rsidRPr="00116E55">
              <w:rPr>
                <w:rFonts w:asciiTheme="minorHAnsi" w:hAnsiTheme="minorHAnsi" w:cstheme="minorHAnsi"/>
                <w:b/>
                <w:bCs/>
              </w:rPr>
              <w:t>–</w:t>
            </w:r>
            <w:r w:rsidRPr="00116E55">
              <w:rPr>
                <w:rFonts w:asciiTheme="minorHAnsi" w:hAnsiTheme="minorHAnsi" w:cstheme="minorHAnsi"/>
                <w:b/>
                <w:bCs/>
              </w:rPr>
              <w:t>27</w:t>
            </w:r>
          </w:p>
        </w:tc>
        <w:tc>
          <w:tcPr>
            <w:tcW w:w="1559"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vAlign w:val="center"/>
          </w:tcPr>
          <w:p w14:paraId="05AC1EC1" w14:textId="5123CF38" w:rsidR="003030D3" w:rsidRPr="00116E55" w:rsidRDefault="003030D3" w:rsidP="00360131">
            <w:pPr>
              <w:jc w:val="center"/>
              <w:rPr>
                <w:rFonts w:asciiTheme="minorHAnsi" w:hAnsiTheme="minorHAnsi" w:cstheme="minorHAnsi"/>
                <w:b/>
                <w:bCs/>
              </w:rPr>
            </w:pPr>
            <w:r w:rsidRPr="00116E55">
              <w:rPr>
                <w:rFonts w:asciiTheme="minorHAnsi" w:hAnsiTheme="minorHAnsi" w:cstheme="minorHAnsi"/>
                <w:b/>
                <w:bCs/>
              </w:rPr>
              <w:t>2027</w:t>
            </w:r>
            <w:r w:rsidR="00F33731" w:rsidRPr="00116E55">
              <w:rPr>
                <w:rFonts w:asciiTheme="minorHAnsi" w:hAnsiTheme="minorHAnsi" w:cstheme="minorHAnsi"/>
                <w:b/>
                <w:bCs/>
              </w:rPr>
              <w:t>–</w:t>
            </w:r>
            <w:r w:rsidRPr="00116E55">
              <w:rPr>
                <w:rFonts w:asciiTheme="minorHAnsi" w:hAnsiTheme="minorHAnsi" w:cstheme="minorHAnsi"/>
                <w:b/>
                <w:bCs/>
              </w:rPr>
              <w:t>28</w:t>
            </w:r>
          </w:p>
        </w:tc>
        <w:tc>
          <w:tcPr>
            <w:tcW w:w="1560" w:type="dxa"/>
            <w:tcBorders>
              <w:top w:val="single" w:sz="4" w:space="0" w:color="002279"/>
              <w:left w:val="single" w:sz="4" w:space="0" w:color="FFFFFF" w:themeColor="background1"/>
              <w:bottom w:val="single" w:sz="2" w:space="0" w:color="002279"/>
              <w:right w:val="single" w:sz="4" w:space="0" w:color="002279"/>
            </w:tcBorders>
            <w:shd w:val="clear" w:color="auto" w:fill="002279"/>
            <w:vAlign w:val="center"/>
          </w:tcPr>
          <w:p w14:paraId="1B6F28AE" w14:textId="480FCC15" w:rsidR="003030D3" w:rsidRPr="00116E55" w:rsidRDefault="003030D3" w:rsidP="00360131">
            <w:pPr>
              <w:jc w:val="center"/>
              <w:rPr>
                <w:rFonts w:asciiTheme="minorHAnsi" w:hAnsiTheme="minorHAnsi" w:cstheme="minorHAnsi"/>
                <w:b/>
                <w:bCs/>
              </w:rPr>
            </w:pPr>
            <w:r w:rsidRPr="00116E55">
              <w:rPr>
                <w:rFonts w:asciiTheme="minorHAnsi" w:hAnsiTheme="minorHAnsi" w:cstheme="minorHAnsi"/>
                <w:b/>
                <w:bCs/>
              </w:rPr>
              <w:t>Total</w:t>
            </w:r>
          </w:p>
        </w:tc>
      </w:tr>
      <w:tr w:rsidR="00C90C43" w14:paraId="2A998D08" w14:textId="3605C88C" w:rsidTr="00F8713B">
        <w:trPr>
          <w:cnfStyle w:val="000000100000" w:firstRow="0" w:lastRow="0" w:firstColumn="0" w:lastColumn="0" w:oddVBand="0" w:evenVBand="0" w:oddHBand="1" w:evenHBand="0" w:firstRowFirstColumn="0" w:firstRowLastColumn="0" w:lastRowFirstColumn="0" w:lastRowLastColumn="0"/>
        </w:trPr>
        <w:tc>
          <w:tcPr>
            <w:tcW w:w="1559" w:type="dxa"/>
            <w:tcBorders>
              <w:top w:val="single" w:sz="2" w:space="0" w:color="002279"/>
              <w:left w:val="single" w:sz="4" w:space="0" w:color="002279"/>
              <w:bottom w:val="single" w:sz="4" w:space="0" w:color="002279"/>
              <w:right w:val="single" w:sz="4" w:space="0" w:color="002279"/>
            </w:tcBorders>
            <w:shd w:val="clear" w:color="auto" w:fill="FFFFFF" w:themeFill="background2"/>
            <w:vAlign w:val="center"/>
          </w:tcPr>
          <w:p w14:paraId="51E7D8C1" w14:textId="5850888A" w:rsidR="003030D3" w:rsidRDefault="003030D3" w:rsidP="00201812">
            <w:pPr>
              <w:jc w:val="center"/>
            </w:pPr>
            <w:r>
              <w:t>4.</w:t>
            </w:r>
            <w:r w:rsidR="00962831">
              <w:t>47</w:t>
            </w:r>
          </w:p>
        </w:tc>
        <w:tc>
          <w:tcPr>
            <w:tcW w:w="1559" w:type="dxa"/>
            <w:tcBorders>
              <w:top w:val="single" w:sz="2" w:space="0" w:color="002279"/>
              <w:left w:val="single" w:sz="4" w:space="0" w:color="002279"/>
              <w:bottom w:val="single" w:sz="4" w:space="0" w:color="002279"/>
              <w:right w:val="single" w:sz="4" w:space="0" w:color="002279"/>
            </w:tcBorders>
            <w:shd w:val="clear" w:color="auto" w:fill="FFFFFF" w:themeFill="background2"/>
            <w:vAlign w:val="center"/>
          </w:tcPr>
          <w:p w14:paraId="46734106" w14:textId="4FD6AA9E" w:rsidR="003030D3" w:rsidRDefault="003030D3" w:rsidP="00201812">
            <w:pPr>
              <w:jc w:val="center"/>
            </w:pPr>
            <w:r>
              <w:t>4.</w:t>
            </w:r>
            <w:r w:rsidR="00962831">
              <w:t>47</w:t>
            </w:r>
          </w:p>
        </w:tc>
        <w:tc>
          <w:tcPr>
            <w:tcW w:w="1560" w:type="dxa"/>
            <w:tcBorders>
              <w:top w:val="single" w:sz="2" w:space="0" w:color="002279"/>
              <w:left w:val="single" w:sz="4" w:space="0" w:color="002279"/>
              <w:bottom w:val="single" w:sz="4" w:space="0" w:color="002279"/>
              <w:right w:val="single" w:sz="4" w:space="0" w:color="002279"/>
            </w:tcBorders>
            <w:shd w:val="clear" w:color="auto" w:fill="FFFFFF" w:themeFill="background1"/>
            <w:vAlign w:val="center"/>
          </w:tcPr>
          <w:p w14:paraId="4E926602" w14:textId="50392EA8" w:rsidR="003030D3" w:rsidRDefault="003030D3" w:rsidP="00201812">
            <w:pPr>
              <w:jc w:val="center"/>
            </w:pPr>
            <w:r>
              <w:t>4.</w:t>
            </w:r>
            <w:r w:rsidR="00962831">
              <w:t>47</w:t>
            </w:r>
          </w:p>
        </w:tc>
        <w:tc>
          <w:tcPr>
            <w:tcW w:w="1559" w:type="dxa"/>
            <w:tcBorders>
              <w:top w:val="single" w:sz="2" w:space="0" w:color="002279"/>
              <w:left w:val="single" w:sz="4" w:space="0" w:color="002279"/>
              <w:bottom w:val="single" w:sz="4" w:space="0" w:color="002279"/>
              <w:right w:val="single" w:sz="4" w:space="0" w:color="002279"/>
            </w:tcBorders>
            <w:shd w:val="clear" w:color="auto" w:fill="FFFFFF" w:themeFill="background1"/>
            <w:vAlign w:val="center"/>
          </w:tcPr>
          <w:p w14:paraId="61604AF8" w14:textId="5578F9DA" w:rsidR="003030D3" w:rsidRDefault="003030D3" w:rsidP="00201812">
            <w:pPr>
              <w:jc w:val="center"/>
            </w:pPr>
            <w:r>
              <w:t>4.</w:t>
            </w:r>
            <w:r w:rsidR="00962831">
              <w:t>47</w:t>
            </w:r>
          </w:p>
        </w:tc>
        <w:tc>
          <w:tcPr>
            <w:tcW w:w="1559" w:type="dxa"/>
            <w:tcBorders>
              <w:top w:val="single" w:sz="2" w:space="0" w:color="002279"/>
              <w:left w:val="single" w:sz="4" w:space="0" w:color="002279"/>
              <w:bottom w:val="single" w:sz="4" w:space="0" w:color="002279"/>
              <w:right w:val="single" w:sz="4" w:space="0" w:color="002279"/>
            </w:tcBorders>
            <w:shd w:val="clear" w:color="auto" w:fill="FFFFFF" w:themeFill="background1"/>
            <w:vAlign w:val="center"/>
          </w:tcPr>
          <w:p w14:paraId="4628E9AE" w14:textId="52107078" w:rsidR="003030D3" w:rsidRDefault="003030D3" w:rsidP="00201812">
            <w:pPr>
              <w:jc w:val="center"/>
            </w:pPr>
            <w:r>
              <w:t>4.</w:t>
            </w:r>
            <w:r w:rsidR="00962831">
              <w:t>47</w:t>
            </w:r>
          </w:p>
        </w:tc>
        <w:tc>
          <w:tcPr>
            <w:tcW w:w="1560" w:type="dxa"/>
            <w:tcBorders>
              <w:top w:val="single" w:sz="2" w:space="0" w:color="002279"/>
              <w:left w:val="single" w:sz="4" w:space="0" w:color="002279"/>
              <w:bottom w:val="single" w:sz="4" w:space="0" w:color="002279"/>
              <w:right w:val="single" w:sz="4" w:space="0" w:color="002279"/>
            </w:tcBorders>
            <w:shd w:val="clear" w:color="auto" w:fill="FFFFFF" w:themeFill="background1"/>
            <w:vAlign w:val="center"/>
          </w:tcPr>
          <w:p w14:paraId="16EB79B4" w14:textId="678FE237" w:rsidR="003030D3" w:rsidRPr="0061510D" w:rsidRDefault="0061510D" w:rsidP="00360131">
            <w:pPr>
              <w:jc w:val="center"/>
              <w:rPr>
                <w:b/>
                <w:bCs/>
              </w:rPr>
            </w:pPr>
            <w:r w:rsidRPr="0061510D">
              <w:rPr>
                <w:b/>
                <w:bCs/>
              </w:rPr>
              <w:t>22.</w:t>
            </w:r>
            <w:r w:rsidR="00962831">
              <w:rPr>
                <w:b/>
                <w:bCs/>
              </w:rPr>
              <w:t>35</w:t>
            </w:r>
          </w:p>
        </w:tc>
      </w:tr>
    </w:tbl>
    <w:p w14:paraId="5FC4370F" w14:textId="77777777" w:rsidR="00C24B1F" w:rsidRDefault="00C24B1F" w:rsidP="00C24B1F">
      <w:pPr>
        <w:pStyle w:val="BodyText"/>
        <w:spacing w:line="222" w:lineRule="exact"/>
      </w:pPr>
    </w:p>
    <w:p w14:paraId="05811B69" w14:textId="46E7B2CE" w:rsidR="00C24B1F" w:rsidRDefault="00C24B1F" w:rsidP="00B83C03">
      <w:pPr>
        <w:pStyle w:val="Heading3"/>
      </w:pPr>
      <w:r>
        <w:t xml:space="preserve">Water </w:t>
      </w:r>
      <w:r w:rsidR="00C12C5A">
        <w:t>q</w:t>
      </w:r>
      <w:r>
        <w:t>uality</w:t>
      </w:r>
    </w:p>
    <w:p w14:paraId="45054045" w14:textId="65D188DC" w:rsidR="00C24B1F" w:rsidRDefault="00C24B1F" w:rsidP="00C24B1F">
      <w:pPr>
        <w:rPr>
          <w:bCs/>
        </w:rPr>
      </w:pPr>
      <w:r>
        <w:rPr>
          <w:bCs/>
        </w:rPr>
        <w:t xml:space="preserve">Following </w:t>
      </w:r>
      <w:r w:rsidR="00584B94">
        <w:rPr>
          <w:bCs/>
        </w:rPr>
        <w:t>3</w:t>
      </w:r>
      <w:r>
        <w:rPr>
          <w:bCs/>
        </w:rPr>
        <w:t xml:space="preserve"> water quality incidents in 2020 and 2021, South East Water has been working closely with the Department of Health to address any gaps in water quality management. Increased expenditure is required to implement the following actions:</w:t>
      </w:r>
    </w:p>
    <w:p w14:paraId="757F6896" w14:textId="77777777" w:rsidR="00C24B1F" w:rsidRDefault="00C24B1F">
      <w:pPr>
        <w:pStyle w:val="ListParagraph"/>
        <w:numPr>
          <w:ilvl w:val="0"/>
          <w:numId w:val="108"/>
        </w:numPr>
        <w:rPr>
          <w:bCs/>
        </w:rPr>
      </w:pPr>
      <w:r>
        <w:rPr>
          <w:bCs/>
        </w:rPr>
        <w:t>an expedited tank cleaning process</w:t>
      </w:r>
    </w:p>
    <w:p w14:paraId="33DC344F" w14:textId="327C40E1" w:rsidR="00C24B1F" w:rsidRDefault="00C24B1F">
      <w:pPr>
        <w:pStyle w:val="ListParagraph"/>
        <w:numPr>
          <w:ilvl w:val="0"/>
          <w:numId w:val="108"/>
        </w:numPr>
        <w:rPr>
          <w:bCs/>
        </w:rPr>
      </w:pPr>
      <w:r>
        <w:rPr>
          <w:bCs/>
        </w:rPr>
        <w:t xml:space="preserve">chlorination strategy to achieve a minimum residual level of chlorine in the network which includes doubling the chlorination units in the network, increased sampling and improved monitoring via the installation of new technology capable of monitoring chlorine at all </w:t>
      </w:r>
      <w:r w:rsidR="00A23447">
        <w:rPr>
          <w:bCs/>
        </w:rPr>
        <w:t>drinking</w:t>
      </w:r>
      <w:r>
        <w:rPr>
          <w:bCs/>
        </w:rPr>
        <w:t xml:space="preserve"> tanks in the network</w:t>
      </w:r>
    </w:p>
    <w:p w14:paraId="21CF913E" w14:textId="40FA4652" w:rsidR="00C24B1F" w:rsidRDefault="00C24B1F">
      <w:pPr>
        <w:pStyle w:val="ListParagraph"/>
        <w:numPr>
          <w:ilvl w:val="0"/>
          <w:numId w:val="108"/>
        </w:numPr>
        <w:rPr>
          <w:bCs/>
        </w:rPr>
      </w:pPr>
      <w:r>
        <w:rPr>
          <w:bCs/>
        </w:rPr>
        <w:t>reinstatement of water mains cleaning and flushing</w:t>
      </w:r>
      <w:r w:rsidRPr="00FC3679">
        <w:rPr>
          <w:bCs/>
        </w:rPr>
        <w:t xml:space="preserve"> </w:t>
      </w:r>
      <w:r>
        <w:rPr>
          <w:bCs/>
        </w:rPr>
        <w:t>program</w:t>
      </w:r>
    </w:p>
    <w:p w14:paraId="55A0326B" w14:textId="77777777" w:rsidR="00AC3B85" w:rsidRPr="009E360D" w:rsidRDefault="00AC3B85" w:rsidP="00116E55">
      <w:pPr>
        <w:rPr>
          <w:bCs/>
        </w:rPr>
      </w:pPr>
    </w:p>
    <w:p w14:paraId="0B136A29" w14:textId="580F6F70" w:rsidR="00B83C03" w:rsidRPr="0067099E" w:rsidRDefault="0067099E" w:rsidP="002819EA">
      <w:pPr>
        <w:pStyle w:val="NormalIndent"/>
        <w:spacing w:after="120"/>
        <w:ind w:left="0"/>
        <w:rPr>
          <w:rFonts w:cs="Arial"/>
          <w:b/>
          <w:i/>
        </w:rPr>
      </w:pPr>
      <w:r w:rsidRPr="00CE6C4E">
        <w:rPr>
          <w:b/>
          <w:i/>
        </w:rPr>
        <w:t>Table</w:t>
      </w:r>
      <w:r w:rsidR="00313F30">
        <w:rPr>
          <w:b/>
          <w:i/>
        </w:rPr>
        <w:t xml:space="preserve"> 62</w:t>
      </w:r>
      <w:r w:rsidRPr="007B339F">
        <w:rPr>
          <w:rFonts w:ascii="Arial" w:hAnsi="Arial" w:cs="Arial"/>
          <w:b/>
          <w:i/>
        </w:rPr>
        <w:t>:</w:t>
      </w:r>
      <w:r>
        <w:rPr>
          <w:rFonts w:ascii="Arial" w:hAnsi="Arial" w:cs="Arial"/>
          <w:b/>
          <w:i/>
        </w:rPr>
        <w:t xml:space="preserve"> </w:t>
      </w:r>
      <w:r w:rsidR="00B83C03" w:rsidRPr="00A47590">
        <w:rPr>
          <w:rFonts w:cs="Arial"/>
          <w:b/>
          <w:i/>
        </w:rPr>
        <w:t xml:space="preserve">Water </w:t>
      </w:r>
      <w:r w:rsidR="008D78EA" w:rsidRPr="00A47590">
        <w:rPr>
          <w:rFonts w:cs="Arial"/>
          <w:b/>
          <w:i/>
        </w:rPr>
        <w:t>q</w:t>
      </w:r>
      <w:r w:rsidR="00B83C03" w:rsidRPr="00A47590">
        <w:rPr>
          <w:rFonts w:cs="Arial"/>
          <w:b/>
          <w:i/>
        </w:rPr>
        <w:t xml:space="preserve">uality </w:t>
      </w:r>
      <w:r w:rsidR="00507B63" w:rsidRPr="006D1620">
        <w:rPr>
          <w:rFonts w:cs="Arial"/>
          <w:b/>
          <w:i/>
        </w:rPr>
        <w:t>(</w:t>
      </w:r>
      <w:r w:rsidR="00507B63">
        <w:rPr>
          <w:rFonts w:cs="Arial"/>
          <w:b/>
          <w:i/>
        </w:rPr>
        <w:t>$</w:t>
      </w:r>
      <w:r w:rsidR="00B83C03" w:rsidRPr="00A47590">
        <w:rPr>
          <w:rFonts w:cs="Arial"/>
          <w:b/>
          <w:i/>
        </w:rPr>
        <w:t>million 2022</w:t>
      </w:r>
      <w:r w:rsidR="00F33731">
        <w:rPr>
          <w:rFonts w:cs="Arial"/>
          <w:b/>
          <w:i/>
        </w:rPr>
        <w:t>–</w:t>
      </w:r>
      <w:r w:rsidR="00B83C03" w:rsidRPr="00A47590">
        <w:rPr>
          <w:rFonts w:cs="Arial"/>
          <w:b/>
          <w:i/>
        </w:rPr>
        <w:t>23)</w:t>
      </w:r>
    </w:p>
    <w:tbl>
      <w:tblPr>
        <w:tblStyle w:val="MJTableStyle1default"/>
        <w:tblW w:w="0" w:type="auto"/>
        <w:tblInd w:w="0" w:type="dxa"/>
        <w:tblLook w:val="04A0" w:firstRow="1" w:lastRow="0" w:firstColumn="1" w:lastColumn="0" w:noHBand="0" w:noVBand="1"/>
      </w:tblPr>
      <w:tblGrid>
        <w:gridCol w:w="1559"/>
        <w:gridCol w:w="1559"/>
        <w:gridCol w:w="1560"/>
        <w:gridCol w:w="1559"/>
        <w:gridCol w:w="1559"/>
        <w:gridCol w:w="1560"/>
      </w:tblGrid>
      <w:tr w:rsidR="0061510D" w:rsidRPr="00AC3B85" w14:paraId="043A7051" w14:textId="05A4EEDF" w:rsidTr="00F8713B">
        <w:trPr>
          <w:cnfStyle w:val="100000000000" w:firstRow="1" w:lastRow="0" w:firstColumn="0" w:lastColumn="0" w:oddVBand="0" w:evenVBand="0" w:oddHBand="0" w:evenHBand="0" w:firstRowFirstColumn="0" w:firstRowLastColumn="0" w:lastRowFirstColumn="0" w:lastRowLastColumn="0"/>
          <w:trHeight w:val="455"/>
        </w:trPr>
        <w:tc>
          <w:tcPr>
            <w:tcW w:w="1559" w:type="dxa"/>
            <w:tcBorders>
              <w:top w:val="single" w:sz="4" w:space="0" w:color="002279"/>
              <w:left w:val="single" w:sz="4" w:space="0" w:color="002279"/>
              <w:bottom w:val="single" w:sz="2" w:space="0" w:color="002279"/>
              <w:right w:val="single" w:sz="4" w:space="0" w:color="FFFFFF" w:themeColor="background1"/>
            </w:tcBorders>
            <w:shd w:val="clear" w:color="auto" w:fill="002279"/>
            <w:vAlign w:val="center"/>
          </w:tcPr>
          <w:p w14:paraId="7FE7295F" w14:textId="2A8CD7F4" w:rsidR="0061510D" w:rsidRPr="00116E55" w:rsidRDefault="0061510D" w:rsidP="00360131">
            <w:pPr>
              <w:jc w:val="center"/>
              <w:rPr>
                <w:rFonts w:asciiTheme="minorHAnsi" w:hAnsiTheme="minorHAnsi" w:cstheme="minorHAnsi"/>
                <w:b/>
                <w:bCs/>
              </w:rPr>
            </w:pPr>
            <w:r w:rsidRPr="00116E55">
              <w:rPr>
                <w:rFonts w:asciiTheme="minorHAnsi" w:hAnsiTheme="minorHAnsi" w:cstheme="minorHAnsi"/>
                <w:b/>
                <w:bCs/>
              </w:rPr>
              <w:t>2023</w:t>
            </w:r>
            <w:r w:rsidR="00F33731" w:rsidRPr="00116E55">
              <w:rPr>
                <w:rFonts w:asciiTheme="minorHAnsi" w:hAnsiTheme="minorHAnsi" w:cstheme="minorHAnsi"/>
                <w:b/>
                <w:bCs/>
              </w:rPr>
              <w:t>–</w:t>
            </w:r>
            <w:r w:rsidRPr="00116E55">
              <w:rPr>
                <w:rFonts w:asciiTheme="minorHAnsi" w:hAnsiTheme="minorHAnsi" w:cstheme="minorHAnsi"/>
                <w:b/>
                <w:bCs/>
              </w:rPr>
              <w:t>24</w:t>
            </w:r>
          </w:p>
        </w:tc>
        <w:tc>
          <w:tcPr>
            <w:tcW w:w="1559"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vAlign w:val="center"/>
          </w:tcPr>
          <w:p w14:paraId="622B1520" w14:textId="784576A4" w:rsidR="0061510D" w:rsidRPr="00116E55" w:rsidRDefault="0061510D" w:rsidP="00360131">
            <w:pPr>
              <w:jc w:val="center"/>
              <w:rPr>
                <w:rFonts w:asciiTheme="minorHAnsi" w:hAnsiTheme="minorHAnsi" w:cstheme="minorHAnsi"/>
                <w:b/>
                <w:bCs/>
              </w:rPr>
            </w:pPr>
            <w:r w:rsidRPr="00116E55">
              <w:rPr>
                <w:rFonts w:asciiTheme="minorHAnsi" w:hAnsiTheme="minorHAnsi" w:cstheme="minorHAnsi"/>
                <w:b/>
                <w:bCs/>
              </w:rPr>
              <w:t>2024</w:t>
            </w:r>
            <w:r w:rsidR="00F33731" w:rsidRPr="00116E55">
              <w:rPr>
                <w:rFonts w:asciiTheme="minorHAnsi" w:hAnsiTheme="minorHAnsi" w:cstheme="minorHAnsi"/>
                <w:b/>
                <w:bCs/>
              </w:rPr>
              <w:t>–</w:t>
            </w:r>
            <w:r w:rsidRPr="00116E55">
              <w:rPr>
                <w:rFonts w:asciiTheme="minorHAnsi" w:hAnsiTheme="minorHAnsi" w:cstheme="minorHAnsi"/>
                <w:b/>
                <w:bCs/>
              </w:rPr>
              <w:t>25</w:t>
            </w:r>
          </w:p>
        </w:tc>
        <w:tc>
          <w:tcPr>
            <w:tcW w:w="1560"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vAlign w:val="center"/>
          </w:tcPr>
          <w:p w14:paraId="29D650F5" w14:textId="1BE56AF7" w:rsidR="0061510D" w:rsidRPr="00116E55" w:rsidRDefault="0061510D" w:rsidP="00360131">
            <w:pPr>
              <w:jc w:val="center"/>
              <w:rPr>
                <w:rFonts w:asciiTheme="minorHAnsi" w:hAnsiTheme="minorHAnsi" w:cstheme="minorHAnsi"/>
                <w:b/>
                <w:bCs/>
              </w:rPr>
            </w:pPr>
            <w:r w:rsidRPr="00116E55">
              <w:rPr>
                <w:rFonts w:asciiTheme="minorHAnsi" w:hAnsiTheme="minorHAnsi" w:cstheme="minorHAnsi"/>
                <w:b/>
                <w:bCs/>
              </w:rPr>
              <w:t>2025</w:t>
            </w:r>
            <w:r w:rsidR="00F33731" w:rsidRPr="00116E55">
              <w:rPr>
                <w:rFonts w:asciiTheme="minorHAnsi" w:hAnsiTheme="minorHAnsi" w:cstheme="minorHAnsi"/>
                <w:b/>
                <w:bCs/>
              </w:rPr>
              <w:t>–</w:t>
            </w:r>
            <w:r w:rsidRPr="00116E55">
              <w:rPr>
                <w:rFonts w:asciiTheme="minorHAnsi" w:hAnsiTheme="minorHAnsi" w:cstheme="minorHAnsi"/>
                <w:b/>
                <w:bCs/>
              </w:rPr>
              <w:t>26</w:t>
            </w:r>
          </w:p>
        </w:tc>
        <w:tc>
          <w:tcPr>
            <w:tcW w:w="1559"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vAlign w:val="center"/>
          </w:tcPr>
          <w:p w14:paraId="1DEC82CD" w14:textId="4B454319" w:rsidR="0061510D" w:rsidRPr="00116E55" w:rsidRDefault="0061510D" w:rsidP="00360131">
            <w:pPr>
              <w:jc w:val="center"/>
              <w:rPr>
                <w:rFonts w:asciiTheme="minorHAnsi" w:hAnsiTheme="minorHAnsi" w:cstheme="minorHAnsi"/>
                <w:b/>
                <w:bCs/>
              </w:rPr>
            </w:pPr>
            <w:r w:rsidRPr="00116E55">
              <w:rPr>
                <w:rFonts w:asciiTheme="minorHAnsi" w:hAnsiTheme="minorHAnsi" w:cstheme="minorHAnsi"/>
                <w:b/>
                <w:bCs/>
              </w:rPr>
              <w:t>2026</w:t>
            </w:r>
            <w:r w:rsidR="00F33731" w:rsidRPr="00116E55">
              <w:rPr>
                <w:rFonts w:asciiTheme="minorHAnsi" w:hAnsiTheme="minorHAnsi" w:cstheme="minorHAnsi"/>
                <w:b/>
                <w:bCs/>
              </w:rPr>
              <w:t>–</w:t>
            </w:r>
            <w:r w:rsidRPr="00116E55">
              <w:rPr>
                <w:rFonts w:asciiTheme="minorHAnsi" w:hAnsiTheme="minorHAnsi" w:cstheme="minorHAnsi"/>
                <w:b/>
                <w:bCs/>
              </w:rPr>
              <w:t>27</w:t>
            </w:r>
          </w:p>
        </w:tc>
        <w:tc>
          <w:tcPr>
            <w:tcW w:w="1559"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vAlign w:val="center"/>
          </w:tcPr>
          <w:p w14:paraId="1562A401" w14:textId="3B2BE6DB" w:rsidR="0061510D" w:rsidRPr="00116E55" w:rsidRDefault="0061510D" w:rsidP="00360131">
            <w:pPr>
              <w:jc w:val="center"/>
              <w:rPr>
                <w:rFonts w:asciiTheme="minorHAnsi" w:hAnsiTheme="minorHAnsi" w:cstheme="minorHAnsi"/>
                <w:b/>
                <w:bCs/>
              </w:rPr>
            </w:pPr>
            <w:r w:rsidRPr="00116E55">
              <w:rPr>
                <w:rFonts w:asciiTheme="minorHAnsi" w:hAnsiTheme="minorHAnsi" w:cstheme="minorHAnsi"/>
                <w:b/>
                <w:bCs/>
              </w:rPr>
              <w:t>2027</w:t>
            </w:r>
            <w:r w:rsidR="00F33731" w:rsidRPr="00116E55">
              <w:rPr>
                <w:rFonts w:asciiTheme="minorHAnsi" w:hAnsiTheme="minorHAnsi" w:cstheme="minorHAnsi"/>
                <w:b/>
                <w:bCs/>
              </w:rPr>
              <w:t>–</w:t>
            </w:r>
            <w:r w:rsidRPr="00116E55">
              <w:rPr>
                <w:rFonts w:asciiTheme="minorHAnsi" w:hAnsiTheme="minorHAnsi" w:cstheme="minorHAnsi"/>
                <w:b/>
                <w:bCs/>
              </w:rPr>
              <w:t>28</w:t>
            </w:r>
          </w:p>
        </w:tc>
        <w:tc>
          <w:tcPr>
            <w:tcW w:w="1560" w:type="dxa"/>
            <w:tcBorders>
              <w:top w:val="single" w:sz="4" w:space="0" w:color="002279"/>
              <w:left w:val="single" w:sz="4" w:space="0" w:color="FFFFFF" w:themeColor="background1"/>
              <w:bottom w:val="single" w:sz="2" w:space="0" w:color="002279"/>
              <w:right w:val="single" w:sz="4" w:space="0" w:color="002279"/>
            </w:tcBorders>
            <w:shd w:val="clear" w:color="auto" w:fill="002279"/>
            <w:vAlign w:val="center"/>
          </w:tcPr>
          <w:p w14:paraId="236CA0ED" w14:textId="1D042956" w:rsidR="0061510D" w:rsidRPr="00116E55" w:rsidRDefault="0061510D" w:rsidP="00360131">
            <w:pPr>
              <w:jc w:val="center"/>
              <w:rPr>
                <w:rFonts w:asciiTheme="minorHAnsi" w:hAnsiTheme="minorHAnsi" w:cstheme="minorHAnsi"/>
                <w:b/>
                <w:bCs/>
              </w:rPr>
            </w:pPr>
            <w:r w:rsidRPr="00116E55">
              <w:rPr>
                <w:rFonts w:asciiTheme="minorHAnsi" w:hAnsiTheme="minorHAnsi" w:cstheme="minorHAnsi"/>
                <w:b/>
                <w:bCs/>
              </w:rPr>
              <w:t>Total</w:t>
            </w:r>
          </w:p>
        </w:tc>
      </w:tr>
      <w:tr w:rsidR="0061510D" w:rsidRPr="00AC3B85" w14:paraId="4225D381" w14:textId="3DD0CBB4" w:rsidTr="00F8713B">
        <w:trPr>
          <w:cnfStyle w:val="000000100000" w:firstRow="0" w:lastRow="0" w:firstColumn="0" w:lastColumn="0" w:oddVBand="0" w:evenVBand="0" w:oddHBand="1" w:evenHBand="0" w:firstRowFirstColumn="0" w:firstRowLastColumn="0" w:lastRowFirstColumn="0" w:lastRowLastColumn="0"/>
        </w:trPr>
        <w:tc>
          <w:tcPr>
            <w:tcW w:w="1559" w:type="dxa"/>
            <w:tcBorders>
              <w:top w:val="single" w:sz="2" w:space="0" w:color="002279"/>
              <w:left w:val="single" w:sz="4" w:space="0" w:color="002279"/>
              <w:bottom w:val="single" w:sz="4" w:space="0" w:color="002279"/>
              <w:right w:val="single" w:sz="4" w:space="0" w:color="002279"/>
            </w:tcBorders>
            <w:shd w:val="clear" w:color="auto" w:fill="FFFFFF" w:themeFill="background1"/>
            <w:vAlign w:val="center"/>
          </w:tcPr>
          <w:p w14:paraId="28492C13" w14:textId="7657CCF4" w:rsidR="0061510D" w:rsidRPr="009E360D" w:rsidRDefault="0061510D" w:rsidP="00201812">
            <w:pPr>
              <w:jc w:val="center"/>
              <w:rPr>
                <w:rFonts w:cstheme="minorHAnsi"/>
              </w:rPr>
            </w:pPr>
            <w:r w:rsidRPr="009E360D">
              <w:rPr>
                <w:rFonts w:cstheme="minorHAnsi"/>
              </w:rPr>
              <w:t>3.1</w:t>
            </w:r>
            <w:r w:rsidR="001367E9">
              <w:rPr>
                <w:rFonts w:cstheme="minorHAnsi"/>
              </w:rPr>
              <w:t>3</w:t>
            </w:r>
          </w:p>
        </w:tc>
        <w:tc>
          <w:tcPr>
            <w:tcW w:w="1559" w:type="dxa"/>
            <w:tcBorders>
              <w:top w:val="single" w:sz="2" w:space="0" w:color="002279"/>
              <w:left w:val="single" w:sz="4" w:space="0" w:color="002279"/>
              <w:bottom w:val="single" w:sz="4" w:space="0" w:color="002279"/>
              <w:right w:val="single" w:sz="4" w:space="0" w:color="002279"/>
            </w:tcBorders>
            <w:shd w:val="clear" w:color="auto" w:fill="FFFFFF" w:themeFill="background1"/>
            <w:vAlign w:val="center"/>
          </w:tcPr>
          <w:p w14:paraId="1A2CAF7E" w14:textId="47227756" w:rsidR="0061510D" w:rsidRPr="009E360D" w:rsidRDefault="0061510D" w:rsidP="00201812">
            <w:pPr>
              <w:jc w:val="center"/>
              <w:rPr>
                <w:rFonts w:cstheme="minorHAnsi"/>
              </w:rPr>
            </w:pPr>
            <w:r w:rsidRPr="009E360D">
              <w:rPr>
                <w:rFonts w:cstheme="minorHAnsi"/>
              </w:rPr>
              <w:t>3.1</w:t>
            </w:r>
            <w:r w:rsidR="001367E9">
              <w:rPr>
                <w:rFonts w:cstheme="minorHAnsi"/>
              </w:rPr>
              <w:t>8</w:t>
            </w:r>
          </w:p>
        </w:tc>
        <w:tc>
          <w:tcPr>
            <w:tcW w:w="1560" w:type="dxa"/>
            <w:tcBorders>
              <w:top w:val="single" w:sz="2" w:space="0" w:color="002279"/>
              <w:left w:val="single" w:sz="4" w:space="0" w:color="002279"/>
              <w:bottom w:val="single" w:sz="4" w:space="0" w:color="002279"/>
              <w:right w:val="single" w:sz="4" w:space="0" w:color="002279"/>
            </w:tcBorders>
            <w:shd w:val="clear" w:color="auto" w:fill="FFFFFF" w:themeFill="background1"/>
            <w:vAlign w:val="center"/>
          </w:tcPr>
          <w:p w14:paraId="3F553F67" w14:textId="5CBAD445" w:rsidR="0061510D" w:rsidRPr="009E360D" w:rsidRDefault="0061510D" w:rsidP="00201812">
            <w:pPr>
              <w:jc w:val="center"/>
              <w:rPr>
                <w:rFonts w:cstheme="minorHAnsi"/>
              </w:rPr>
            </w:pPr>
            <w:r w:rsidRPr="009E360D">
              <w:rPr>
                <w:rFonts w:cstheme="minorHAnsi"/>
              </w:rPr>
              <w:t>3.2</w:t>
            </w:r>
            <w:r w:rsidR="001367E9">
              <w:rPr>
                <w:rFonts w:cstheme="minorHAnsi"/>
              </w:rPr>
              <w:t>1</w:t>
            </w:r>
          </w:p>
        </w:tc>
        <w:tc>
          <w:tcPr>
            <w:tcW w:w="1559" w:type="dxa"/>
            <w:tcBorders>
              <w:top w:val="single" w:sz="2" w:space="0" w:color="002279"/>
              <w:left w:val="single" w:sz="4" w:space="0" w:color="002279"/>
              <w:bottom w:val="single" w:sz="4" w:space="0" w:color="002279"/>
              <w:right w:val="single" w:sz="4" w:space="0" w:color="002279"/>
            </w:tcBorders>
            <w:shd w:val="clear" w:color="auto" w:fill="FFFFFF" w:themeFill="background1"/>
            <w:vAlign w:val="center"/>
          </w:tcPr>
          <w:p w14:paraId="446E28F6" w14:textId="5006F663" w:rsidR="0061510D" w:rsidRPr="009E360D" w:rsidRDefault="0061510D" w:rsidP="00201812">
            <w:pPr>
              <w:jc w:val="center"/>
              <w:rPr>
                <w:rFonts w:cstheme="minorHAnsi"/>
              </w:rPr>
            </w:pPr>
            <w:r w:rsidRPr="009E360D">
              <w:rPr>
                <w:rFonts w:cstheme="minorHAnsi"/>
              </w:rPr>
              <w:t>3.2</w:t>
            </w:r>
            <w:r w:rsidR="001367E9">
              <w:rPr>
                <w:rFonts w:cstheme="minorHAnsi"/>
              </w:rPr>
              <w:t>4</w:t>
            </w:r>
          </w:p>
        </w:tc>
        <w:tc>
          <w:tcPr>
            <w:tcW w:w="1559" w:type="dxa"/>
            <w:tcBorders>
              <w:top w:val="single" w:sz="2" w:space="0" w:color="002279"/>
              <w:left w:val="single" w:sz="4" w:space="0" w:color="002279"/>
              <w:bottom w:val="single" w:sz="4" w:space="0" w:color="002279"/>
              <w:right w:val="single" w:sz="4" w:space="0" w:color="002279"/>
            </w:tcBorders>
            <w:shd w:val="clear" w:color="auto" w:fill="FFFFFF" w:themeFill="background1"/>
            <w:vAlign w:val="center"/>
          </w:tcPr>
          <w:p w14:paraId="51263757" w14:textId="15DBABE5" w:rsidR="0061510D" w:rsidRPr="009E360D" w:rsidRDefault="0061510D" w:rsidP="00201812">
            <w:pPr>
              <w:jc w:val="center"/>
              <w:rPr>
                <w:rFonts w:cstheme="minorHAnsi"/>
              </w:rPr>
            </w:pPr>
            <w:r w:rsidRPr="009E360D">
              <w:rPr>
                <w:rFonts w:cstheme="minorHAnsi"/>
              </w:rPr>
              <w:t>3.2</w:t>
            </w:r>
            <w:r w:rsidR="001367E9">
              <w:rPr>
                <w:rFonts w:cstheme="minorHAnsi"/>
              </w:rPr>
              <w:t>7</w:t>
            </w:r>
          </w:p>
        </w:tc>
        <w:tc>
          <w:tcPr>
            <w:tcW w:w="1560" w:type="dxa"/>
            <w:tcBorders>
              <w:top w:val="single" w:sz="2" w:space="0" w:color="002279"/>
              <w:left w:val="single" w:sz="4" w:space="0" w:color="002279"/>
              <w:bottom w:val="single" w:sz="4" w:space="0" w:color="002279"/>
              <w:right w:val="single" w:sz="4" w:space="0" w:color="002279"/>
            </w:tcBorders>
            <w:shd w:val="clear" w:color="auto" w:fill="FFFFFF" w:themeFill="background1"/>
            <w:vAlign w:val="center"/>
          </w:tcPr>
          <w:p w14:paraId="0E237B01" w14:textId="63C72F0E" w:rsidR="0061510D" w:rsidRPr="009E360D" w:rsidRDefault="00B850D5" w:rsidP="00360131">
            <w:pPr>
              <w:jc w:val="center"/>
              <w:rPr>
                <w:rFonts w:cstheme="minorHAnsi"/>
                <w:b/>
                <w:bCs/>
              </w:rPr>
            </w:pPr>
            <w:r w:rsidRPr="009E360D">
              <w:rPr>
                <w:rFonts w:cstheme="minorHAnsi"/>
                <w:b/>
                <w:bCs/>
              </w:rPr>
              <w:t>16.0</w:t>
            </w:r>
            <w:r w:rsidR="001367E9">
              <w:rPr>
                <w:rFonts w:cstheme="minorHAnsi"/>
                <w:b/>
                <w:bCs/>
              </w:rPr>
              <w:t>3</w:t>
            </w:r>
          </w:p>
        </w:tc>
      </w:tr>
    </w:tbl>
    <w:p w14:paraId="402FDFF8" w14:textId="77777777" w:rsidR="00C24B1F" w:rsidRDefault="00C24B1F" w:rsidP="00C24B1F">
      <w:pPr>
        <w:pStyle w:val="BodyText"/>
        <w:spacing w:line="222" w:lineRule="exact"/>
        <w:ind w:left="720"/>
      </w:pPr>
    </w:p>
    <w:p w14:paraId="07AFFA59" w14:textId="77777777" w:rsidR="00C24B1F" w:rsidRDefault="00C24B1F" w:rsidP="00B83C03">
      <w:pPr>
        <w:pStyle w:val="Heading3"/>
      </w:pPr>
      <w:r>
        <w:t>Information Technology</w:t>
      </w:r>
    </w:p>
    <w:p w14:paraId="7154C008" w14:textId="5FC6E33E" w:rsidR="00B83C03" w:rsidRDefault="00C24B1F" w:rsidP="00C24B1F">
      <w:pPr>
        <w:rPr>
          <w:bCs/>
        </w:rPr>
      </w:pPr>
      <w:r>
        <w:rPr>
          <w:bCs/>
        </w:rPr>
        <w:t>The proposed step change</w:t>
      </w:r>
      <w:r w:rsidRPr="00BC6550">
        <w:rPr>
          <w:bCs/>
        </w:rPr>
        <w:t xml:space="preserve"> is a result of investment in new technologies that require new licen</w:t>
      </w:r>
      <w:r w:rsidR="005B1587">
        <w:rPr>
          <w:bCs/>
        </w:rPr>
        <w:t>s</w:t>
      </w:r>
      <w:r w:rsidRPr="00BC6550">
        <w:rPr>
          <w:bCs/>
        </w:rPr>
        <w:t>ing agreements, whereas current systems have no licen</w:t>
      </w:r>
      <w:r w:rsidR="005B1587">
        <w:rPr>
          <w:bCs/>
        </w:rPr>
        <w:t>s</w:t>
      </w:r>
      <w:r w:rsidRPr="00BC6550">
        <w:rPr>
          <w:bCs/>
        </w:rPr>
        <w:t xml:space="preserve">ing obligations due to them being built inhouse and on premise. </w:t>
      </w:r>
    </w:p>
    <w:p w14:paraId="0523E63A" w14:textId="35161B76" w:rsidR="00C24B1F" w:rsidRDefault="00C24B1F" w:rsidP="00C24B1F">
      <w:pPr>
        <w:rPr>
          <w:bCs/>
        </w:rPr>
      </w:pPr>
      <w:r w:rsidRPr="00BC6550">
        <w:rPr>
          <w:bCs/>
        </w:rPr>
        <w:t>The requirement for new technology stems from ag</w:t>
      </w:r>
      <w:r w:rsidR="00803E02">
        <w:rPr>
          <w:bCs/>
        </w:rPr>
        <w:t>e</w:t>
      </w:r>
      <w:r w:rsidRPr="00BC6550">
        <w:rPr>
          <w:bCs/>
        </w:rPr>
        <w:t>ing systems that necessitate replacement, an increase in the security threat landscape, an increase in cloud computing and to allow South East Water to achieve efficiency through removal of manual processes.</w:t>
      </w:r>
      <w:r>
        <w:rPr>
          <w:bCs/>
        </w:rPr>
        <w:t xml:space="preserve"> The step changes also include additional allowance for IT security to continue to monitor and manage cyber security threat</w:t>
      </w:r>
      <w:r w:rsidR="00694663">
        <w:rPr>
          <w:bCs/>
        </w:rPr>
        <w:t>s</w:t>
      </w:r>
      <w:r>
        <w:rPr>
          <w:bCs/>
        </w:rPr>
        <w:t>.</w:t>
      </w:r>
    </w:p>
    <w:p w14:paraId="5FDCAF5B" w14:textId="77777777" w:rsidR="002819EA" w:rsidRDefault="002819EA" w:rsidP="0067099E">
      <w:pPr>
        <w:pStyle w:val="NormalIndent"/>
        <w:ind w:left="0"/>
        <w:rPr>
          <w:b/>
          <w:i/>
        </w:rPr>
      </w:pPr>
    </w:p>
    <w:p w14:paraId="0468B442" w14:textId="3A6BE3D0" w:rsidR="00696C67" w:rsidRPr="0067099E" w:rsidRDefault="0067099E" w:rsidP="002819EA">
      <w:pPr>
        <w:pStyle w:val="NormalIndent"/>
        <w:spacing w:after="120"/>
        <w:ind w:left="0"/>
        <w:rPr>
          <w:rFonts w:cs="Arial"/>
          <w:b/>
          <w:i/>
        </w:rPr>
      </w:pPr>
      <w:r w:rsidRPr="00CE6C4E">
        <w:rPr>
          <w:b/>
          <w:i/>
        </w:rPr>
        <w:t>Table</w:t>
      </w:r>
      <w:r w:rsidR="00313F30">
        <w:rPr>
          <w:b/>
          <w:i/>
        </w:rPr>
        <w:t xml:space="preserve"> 63</w:t>
      </w:r>
      <w:r w:rsidRPr="007B339F">
        <w:rPr>
          <w:rFonts w:ascii="Arial" w:hAnsi="Arial" w:cs="Arial"/>
          <w:b/>
          <w:i/>
        </w:rPr>
        <w:t>:</w:t>
      </w:r>
      <w:r>
        <w:rPr>
          <w:rFonts w:ascii="Arial" w:hAnsi="Arial" w:cs="Arial"/>
          <w:b/>
          <w:i/>
        </w:rPr>
        <w:t xml:space="preserve"> </w:t>
      </w:r>
      <w:r w:rsidR="00696C67" w:rsidRPr="009E4105">
        <w:rPr>
          <w:rFonts w:cs="Arial"/>
          <w:b/>
          <w:i/>
        </w:rPr>
        <w:t xml:space="preserve">Information Technology </w:t>
      </w:r>
      <w:r w:rsidR="00507B63" w:rsidRPr="006D1620">
        <w:rPr>
          <w:rFonts w:cs="Arial"/>
          <w:b/>
          <w:i/>
        </w:rPr>
        <w:t>(</w:t>
      </w:r>
      <w:r w:rsidR="00507B63">
        <w:rPr>
          <w:rFonts w:cs="Arial"/>
          <w:b/>
          <w:i/>
        </w:rPr>
        <w:t>$</w:t>
      </w:r>
      <w:r w:rsidR="00696C67" w:rsidRPr="009E4105">
        <w:rPr>
          <w:rFonts w:cs="Arial"/>
          <w:b/>
          <w:i/>
        </w:rPr>
        <w:t>million 2022</w:t>
      </w:r>
      <w:r w:rsidR="00F33731">
        <w:rPr>
          <w:rFonts w:cs="Arial"/>
          <w:b/>
          <w:i/>
        </w:rPr>
        <w:t>–</w:t>
      </w:r>
      <w:r w:rsidR="00696C67" w:rsidRPr="009E4105">
        <w:rPr>
          <w:rFonts w:cs="Arial"/>
          <w:b/>
          <w:i/>
        </w:rPr>
        <w:t>23)</w:t>
      </w:r>
    </w:p>
    <w:tbl>
      <w:tblPr>
        <w:tblStyle w:val="MJTableStyle1default"/>
        <w:tblW w:w="0" w:type="auto"/>
        <w:tblInd w:w="0" w:type="dxa"/>
        <w:tblLook w:val="04A0" w:firstRow="1" w:lastRow="0" w:firstColumn="1" w:lastColumn="0" w:noHBand="0" w:noVBand="1"/>
      </w:tblPr>
      <w:tblGrid>
        <w:gridCol w:w="1559"/>
        <w:gridCol w:w="1559"/>
        <w:gridCol w:w="1560"/>
        <w:gridCol w:w="1559"/>
        <w:gridCol w:w="1559"/>
        <w:gridCol w:w="1560"/>
      </w:tblGrid>
      <w:tr w:rsidR="00B850D5" w:rsidRPr="009E4105" w14:paraId="21766F82" w14:textId="7F2AB514" w:rsidTr="00F8713B">
        <w:trPr>
          <w:cnfStyle w:val="100000000000" w:firstRow="1" w:lastRow="0" w:firstColumn="0" w:lastColumn="0" w:oddVBand="0" w:evenVBand="0" w:oddHBand="0" w:evenHBand="0" w:firstRowFirstColumn="0" w:firstRowLastColumn="0" w:lastRowFirstColumn="0" w:lastRowLastColumn="0"/>
          <w:trHeight w:val="406"/>
        </w:trPr>
        <w:tc>
          <w:tcPr>
            <w:tcW w:w="1559" w:type="dxa"/>
            <w:tcBorders>
              <w:top w:val="single" w:sz="4" w:space="0" w:color="002279"/>
              <w:left w:val="single" w:sz="4" w:space="0" w:color="002279"/>
              <w:bottom w:val="single" w:sz="2" w:space="0" w:color="002279"/>
              <w:right w:val="single" w:sz="4" w:space="0" w:color="FFFFFF" w:themeColor="background1"/>
            </w:tcBorders>
            <w:shd w:val="clear" w:color="auto" w:fill="002279"/>
            <w:vAlign w:val="center"/>
          </w:tcPr>
          <w:p w14:paraId="1DA6CAD4" w14:textId="2EDA639B" w:rsidR="00B850D5" w:rsidRPr="00116E55" w:rsidRDefault="00B850D5" w:rsidP="00360131">
            <w:pPr>
              <w:jc w:val="center"/>
              <w:rPr>
                <w:rFonts w:asciiTheme="minorHAnsi" w:hAnsiTheme="minorHAnsi" w:cstheme="minorHAnsi"/>
                <w:b/>
                <w:bCs/>
                <w:szCs w:val="22"/>
              </w:rPr>
            </w:pPr>
            <w:r w:rsidRPr="00116E55">
              <w:rPr>
                <w:rFonts w:asciiTheme="minorHAnsi" w:hAnsiTheme="minorHAnsi" w:cstheme="minorHAnsi"/>
                <w:b/>
                <w:bCs/>
                <w:szCs w:val="22"/>
              </w:rPr>
              <w:t>2023</w:t>
            </w:r>
            <w:r w:rsidR="00F33731" w:rsidRPr="00116E55">
              <w:rPr>
                <w:rFonts w:asciiTheme="minorHAnsi" w:hAnsiTheme="minorHAnsi" w:cstheme="minorHAnsi"/>
                <w:b/>
                <w:bCs/>
                <w:szCs w:val="22"/>
              </w:rPr>
              <w:t>–</w:t>
            </w:r>
            <w:r w:rsidRPr="00116E55">
              <w:rPr>
                <w:rFonts w:asciiTheme="minorHAnsi" w:hAnsiTheme="minorHAnsi" w:cstheme="minorHAnsi"/>
                <w:b/>
                <w:bCs/>
                <w:szCs w:val="22"/>
              </w:rPr>
              <w:t>24</w:t>
            </w:r>
          </w:p>
        </w:tc>
        <w:tc>
          <w:tcPr>
            <w:tcW w:w="1559"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vAlign w:val="center"/>
          </w:tcPr>
          <w:p w14:paraId="22BFFBFD" w14:textId="0B2BF413" w:rsidR="00B850D5" w:rsidRPr="00116E55" w:rsidRDefault="00B850D5" w:rsidP="00360131">
            <w:pPr>
              <w:jc w:val="center"/>
              <w:rPr>
                <w:rFonts w:asciiTheme="minorHAnsi" w:hAnsiTheme="minorHAnsi" w:cstheme="minorHAnsi"/>
                <w:b/>
                <w:bCs/>
                <w:szCs w:val="22"/>
              </w:rPr>
            </w:pPr>
            <w:r w:rsidRPr="00116E55">
              <w:rPr>
                <w:rFonts w:asciiTheme="minorHAnsi" w:hAnsiTheme="minorHAnsi" w:cstheme="minorHAnsi"/>
                <w:b/>
                <w:bCs/>
                <w:szCs w:val="22"/>
              </w:rPr>
              <w:t>2024</w:t>
            </w:r>
            <w:r w:rsidR="00F33731" w:rsidRPr="00116E55">
              <w:rPr>
                <w:rFonts w:asciiTheme="minorHAnsi" w:hAnsiTheme="minorHAnsi" w:cstheme="minorHAnsi"/>
                <w:b/>
                <w:bCs/>
                <w:szCs w:val="22"/>
              </w:rPr>
              <w:t>–</w:t>
            </w:r>
            <w:r w:rsidRPr="00116E55">
              <w:rPr>
                <w:rFonts w:asciiTheme="minorHAnsi" w:hAnsiTheme="minorHAnsi" w:cstheme="minorHAnsi"/>
                <w:b/>
                <w:bCs/>
                <w:szCs w:val="22"/>
              </w:rPr>
              <w:t>25</w:t>
            </w:r>
          </w:p>
        </w:tc>
        <w:tc>
          <w:tcPr>
            <w:tcW w:w="1560"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vAlign w:val="center"/>
          </w:tcPr>
          <w:p w14:paraId="3A32CBA3" w14:textId="303F2A4F" w:rsidR="00B850D5" w:rsidRPr="00116E55" w:rsidRDefault="00B850D5" w:rsidP="00360131">
            <w:pPr>
              <w:jc w:val="center"/>
              <w:rPr>
                <w:rFonts w:asciiTheme="minorHAnsi" w:hAnsiTheme="minorHAnsi" w:cstheme="minorHAnsi"/>
                <w:b/>
                <w:bCs/>
                <w:szCs w:val="22"/>
              </w:rPr>
            </w:pPr>
            <w:r w:rsidRPr="00116E55">
              <w:rPr>
                <w:rFonts w:asciiTheme="minorHAnsi" w:hAnsiTheme="minorHAnsi" w:cstheme="minorHAnsi"/>
                <w:b/>
                <w:bCs/>
                <w:szCs w:val="22"/>
              </w:rPr>
              <w:t>2025</w:t>
            </w:r>
            <w:r w:rsidR="00F33731" w:rsidRPr="00116E55">
              <w:rPr>
                <w:rFonts w:asciiTheme="minorHAnsi" w:hAnsiTheme="minorHAnsi" w:cstheme="minorHAnsi"/>
                <w:b/>
                <w:bCs/>
                <w:szCs w:val="22"/>
              </w:rPr>
              <w:t>–</w:t>
            </w:r>
            <w:r w:rsidRPr="00116E55">
              <w:rPr>
                <w:rFonts w:asciiTheme="minorHAnsi" w:hAnsiTheme="minorHAnsi" w:cstheme="minorHAnsi"/>
                <w:b/>
                <w:bCs/>
                <w:szCs w:val="22"/>
              </w:rPr>
              <w:t>26</w:t>
            </w:r>
          </w:p>
        </w:tc>
        <w:tc>
          <w:tcPr>
            <w:tcW w:w="1559"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vAlign w:val="center"/>
          </w:tcPr>
          <w:p w14:paraId="49BB04EE" w14:textId="0246F564" w:rsidR="00B850D5" w:rsidRPr="00116E55" w:rsidRDefault="00B850D5" w:rsidP="00360131">
            <w:pPr>
              <w:jc w:val="center"/>
              <w:rPr>
                <w:rFonts w:asciiTheme="minorHAnsi" w:hAnsiTheme="minorHAnsi" w:cstheme="minorHAnsi"/>
                <w:b/>
                <w:bCs/>
                <w:szCs w:val="22"/>
              </w:rPr>
            </w:pPr>
            <w:r w:rsidRPr="00116E55">
              <w:rPr>
                <w:rFonts w:asciiTheme="minorHAnsi" w:hAnsiTheme="minorHAnsi" w:cstheme="minorHAnsi"/>
                <w:b/>
                <w:bCs/>
                <w:szCs w:val="22"/>
              </w:rPr>
              <w:t>2026</w:t>
            </w:r>
            <w:r w:rsidR="00F33731" w:rsidRPr="00116E55">
              <w:rPr>
                <w:rFonts w:asciiTheme="minorHAnsi" w:hAnsiTheme="minorHAnsi" w:cstheme="minorHAnsi"/>
                <w:b/>
                <w:bCs/>
                <w:szCs w:val="22"/>
              </w:rPr>
              <w:t>–</w:t>
            </w:r>
            <w:r w:rsidRPr="00116E55">
              <w:rPr>
                <w:rFonts w:asciiTheme="minorHAnsi" w:hAnsiTheme="minorHAnsi" w:cstheme="minorHAnsi"/>
                <w:b/>
                <w:bCs/>
                <w:szCs w:val="22"/>
              </w:rPr>
              <w:t>27</w:t>
            </w:r>
          </w:p>
        </w:tc>
        <w:tc>
          <w:tcPr>
            <w:tcW w:w="1559"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vAlign w:val="center"/>
          </w:tcPr>
          <w:p w14:paraId="26B8FAB3" w14:textId="7740A4E3" w:rsidR="00B850D5" w:rsidRPr="00116E55" w:rsidRDefault="00B850D5" w:rsidP="00360131">
            <w:pPr>
              <w:jc w:val="center"/>
              <w:rPr>
                <w:rFonts w:asciiTheme="minorHAnsi" w:hAnsiTheme="minorHAnsi" w:cstheme="minorHAnsi"/>
                <w:b/>
                <w:bCs/>
                <w:szCs w:val="22"/>
              </w:rPr>
            </w:pPr>
            <w:r w:rsidRPr="00116E55">
              <w:rPr>
                <w:rFonts w:asciiTheme="minorHAnsi" w:hAnsiTheme="minorHAnsi" w:cstheme="minorHAnsi"/>
                <w:b/>
                <w:bCs/>
                <w:szCs w:val="22"/>
              </w:rPr>
              <w:t>2027</w:t>
            </w:r>
            <w:r w:rsidR="00F33731" w:rsidRPr="00116E55">
              <w:rPr>
                <w:rFonts w:asciiTheme="minorHAnsi" w:hAnsiTheme="minorHAnsi" w:cstheme="minorHAnsi"/>
                <w:b/>
                <w:bCs/>
                <w:szCs w:val="22"/>
              </w:rPr>
              <w:t>–</w:t>
            </w:r>
            <w:r w:rsidRPr="00116E55">
              <w:rPr>
                <w:rFonts w:asciiTheme="minorHAnsi" w:hAnsiTheme="minorHAnsi" w:cstheme="minorHAnsi"/>
                <w:b/>
                <w:bCs/>
                <w:szCs w:val="22"/>
              </w:rPr>
              <w:t>28</w:t>
            </w:r>
          </w:p>
        </w:tc>
        <w:tc>
          <w:tcPr>
            <w:tcW w:w="1560" w:type="dxa"/>
            <w:tcBorders>
              <w:top w:val="single" w:sz="4" w:space="0" w:color="002279"/>
              <w:left w:val="single" w:sz="4" w:space="0" w:color="FFFFFF" w:themeColor="background1"/>
              <w:bottom w:val="single" w:sz="2" w:space="0" w:color="002279"/>
              <w:right w:val="single" w:sz="4" w:space="0" w:color="002279"/>
            </w:tcBorders>
            <w:shd w:val="clear" w:color="auto" w:fill="002279"/>
            <w:vAlign w:val="center"/>
          </w:tcPr>
          <w:p w14:paraId="2471C185" w14:textId="547B2BEC" w:rsidR="00B850D5" w:rsidRPr="00116E55" w:rsidRDefault="00B850D5" w:rsidP="00360131">
            <w:pPr>
              <w:jc w:val="center"/>
              <w:rPr>
                <w:rFonts w:asciiTheme="minorHAnsi" w:hAnsiTheme="minorHAnsi" w:cstheme="minorHAnsi"/>
                <w:b/>
                <w:bCs/>
                <w:szCs w:val="22"/>
              </w:rPr>
            </w:pPr>
            <w:r w:rsidRPr="00116E55">
              <w:rPr>
                <w:rFonts w:asciiTheme="minorHAnsi" w:hAnsiTheme="minorHAnsi" w:cstheme="minorHAnsi"/>
                <w:b/>
                <w:bCs/>
                <w:szCs w:val="22"/>
              </w:rPr>
              <w:t>Total</w:t>
            </w:r>
          </w:p>
        </w:tc>
      </w:tr>
      <w:tr w:rsidR="00C90C43" w:rsidRPr="009E4105" w14:paraId="0B447E54" w14:textId="4A1E8AAC" w:rsidTr="00F8713B">
        <w:trPr>
          <w:cnfStyle w:val="000000100000" w:firstRow="0" w:lastRow="0" w:firstColumn="0" w:lastColumn="0" w:oddVBand="0" w:evenVBand="0" w:oddHBand="1" w:evenHBand="0" w:firstRowFirstColumn="0" w:firstRowLastColumn="0" w:lastRowFirstColumn="0" w:lastRowLastColumn="0"/>
        </w:trPr>
        <w:tc>
          <w:tcPr>
            <w:tcW w:w="1559" w:type="dxa"/>
            <w:tcBorders>
              <w:top w:val="single" w:sz="2" w:space="0" w:color="002279"/>
              <w:left w:val="single" w:sz="4" w:space="0" w:color="002279"/>
              <w:bottom w:val="single" w:sz="4" w:space="0" w:color="002279"/>
              <w:right w:val="single" w:sz="4" w:space="0" w:color="002279"/>
            </w:tcBorders>
            <w:shd w:val="clear" w:color="auto" w:fill="FFFFFF" w:themeFill="background1"/>
            <w:vAlign w:val="center"/>
          </w:tcPr>
          <w:p w14:paraId="46C74398" w14:textId="77777777" w:rsidR="00B850D5" w:rsidRPr="009E360D" w:rsidRDefault="00B850D5" w:rsidP="00201812">
            <w:pPr>
              <w:jc w:val="center"/>
              <w:rPr>
                <w:rFonts w:cstheme="minorHAnsi"/>
                <w:szCs w:val="22"/>
              </w:rPr>
            </w:pPr>
            <w:r w:rsidRPr="009E360D">
              <w:rPr>
                <w:rFonts w:cstheme="minorHAnsi"/>
                <w:szCs w:val="22"/>
              </w:rPr>
              <w:t>2.63</w:t>
            </w:r>
          </w:p>
        </w:tc>
        <w:tc>
          <w:tcPr>
            <w:tcW w:w="1559" w:type="dxa"/>
            <w:tcBorders>
              <w:top w:val="single" w:sz="2" w:space="0" w:color="002279"/>
              <w:left w:val="single" w:sz="4" w:space="0" w:color="002279"/>
              <w:bottom w:val="single" w:sz="4" w:space="0" w:color="002279"/>
              <w:right w:val="single" w:sz="4" w:space="0" w:color="002279"/>
            </w:tcBorders>
            <w:shd w:val="clear" w:color="auto" w:fill="FFFFFF" w:themeFill="background1"/>
            <w:vAlign w:val="center"/>
          </w:tcPr>
          <w:p w14:paraId="6578EC5E" w14:textId="77777777" w:rsidR="00B850D5" w:rsidRPr="009E360D" w:rsidRDefault="00B850D5" w:rsidP="00201812">
            <w:pPr>
              <w:jc w:val="center"/>
              <w:rPr>
                <w:rFonts w:cstheme="minorHAnsi"/>
                <w:szCs w:val="22"/>
              </w:rPr>
            </w:pPr>
            <w:r w:rsidRPr="009E360D">
              <w:rPr>
                <w:rFonts w:cstheme="minorHAnsi"/>
                <w:szCs w:val="22"/>
              </w:rPr>
              <w:t>3.68</w:t>
            </w:r>
          </w:p>
        </w:tc>
        <w:tc>
          <w:tcPr>
            <w:tcW w:w="1560" w:type="dxa"/>
            <w:tcBorders>
              <w:top w:val="single" w:sz="2" w:space="0" w:color="002279"/>
              <w:left w:val="single" w:sz="4" w:space="0" w:color="002279"/>
              <w:bottom w:val="single" w:sz="4" w:space="0" w:color="002279"/>
              <w:right w:val="single" w:sz="4" w:space="0" w:color="002279"/>
            </w:tcBorders>
            <w:shd w:val="clear" w:color="auto" w:fill="FFFFFF" w:themeFill="background1"/>
            <w:vAlign w:val="center"/>
          </w:tcPr>
          <w:p w14:paraId="6B10BD4B" w14:textId="77777777" w:rsidR="00B850D5" w:rsidRPr="009E360D" w:rsidRDefault="00B850D5" w:rsidP="00201812">
            <w:pPr>
              <w:jc w:val="center"/>
              <w:rPr>
                <w:rFonts w:cstheme="minorHAnsi"/>
                <w:szCs w:val="22"/>
              </w:rPr>
            </w:pPr>
            <w:r w:rsidRPr="009E360D">
              <w:rPr>
                <w:rFonts w:cstheme="minorHAnsi"/>
                <w:szCs w:val="22"/>
              </w:rPr>
              <w:t>4.52</w:t>
            </w:r>
          </w:p>
        </w:tc>
        <w:tc>
          <w:tcPr>
            <w:tcW w:w="1559" w:type="dxa"/>
            <w:tcBorders>
              <w:top w:val="single" w:sz="2" w:space="0" w:color="002279"/>
              <w:left w:val="single" w:sz="4" w:space="0" w:color="002279"/>
              <w:bottom w:val="single" w:sz="4" w:space="0" w:color="002279"/>
              <w:right w:val="single" w:sz="4" w:space="0" w:color="002279"/>
            </w:tcBorders>
            <w:shd w:val="clear" w:color="auto" w:fill="FFFFFF" w:themeFill="background1"/>
            <w:vAlign w:val="center"/>
          </w:tcPr>
          <w:p w14:paraId="7C3ADCB4" w14:textId="77777777" w:rsidR="00B850D5" w:rsidRPr="009E360D" w:rsidRDefault="00B850D5" w:rsidP="00201812">
            <w:pPr>
              <w:jc w:val="center"/>
              <w:rPr>
                <w:rFonts w:cstheme="minorHAnsi"/>
                <w:szCs w:val="22"/>
              </w:rPr>
            </w:pPr>
            <w:r w:rsidRPr="009E360D">
              <w:rPr>
                <w:rFonts w:cstheme="minorHAnsi"/>
                <w:szCs w:val="22"/>
              </w:rPr>
              <w:t>4.52</w:t>
            </w:r>
          </w:p>
        </w:tc>
        <w:tc>
          <w:tcPr>
            <w:tcW w:w="1559" w:type="dxa"/>
            <w:tcBorders>
              <w:top w:val="single" w:sz="2" w:space="0" w:color="002279"/>
              <w:left w:val="single" w:sz="4" w:space="0" w:color="002279"/>
              <w:bottom w:val="single" w:sz="4" w:space="0" w:color="002279"/>
              <w:right w:val="single" w:sz="4" w:space="0" w:color="002279"/>
            </w:tcBorders>
            <w:shd w:val="clear" w:color="auto" w:fill="FFFFFF" w:themeFill="background1"/>
            <w:vAlign w:val="center"/>
          </w:tcPr>
          <w:p w14:paraId="7931EC55" w14:textId="77777777" w:rsidR="00B850D5" w:rsidRPr="009E360D" w:rsidRDefault="00B850D5" w:rsidP="00201812">
            <w:pPr>
              <w:jc w:val="center"/>
              <w:rPr>
                <w:rFonts w:cstheme="minorHAnsi"/>
                <w:szCs w:val="22"/>
              </w:rPr>
            </w:pPr>
            <w:r w:rsidRPr="009E360D">
              <w:rPr>
                <w:rFonts w:cstheme="minorHAnsi"/>
                <w:szCs w:val="22"/>
              </w:rPr>
              <w:t>4.62</w:t>
            </w:r>
          </w:p>
        </w:tc>
        <w:tc>
          <w:tcPr>
            <w:tcW w:w="1560" w:type="dxa"/>
            <w:tcBorders>
              <w:top w:val="single" w:sz="2" w:space="0" w:color="002279"/>
              <w:left w:val="single" w:sz="4" w:space="0" w:color="002279"/>
              <w:bottom w:val="single" w:sz="4" w:space="0" w:color="002279"/>
              <w:right w:val="single" w:sz="4" w:space="0" w:color="002279"/>
            </w:tcBorders>
            <w:shd w:val="clear" w:color="auto" w:fill="FFFFFF" w:themeFill="background1"/>
            <w:vAlign w:val="center"/>
          </w:tcPr>
          <w:p w14:paraId="10BAD00A" w14:textId="24B7CEAA" w:rsidR="00B850D5" w:rsidRPr="009E360D" w:rsidRDefault="00F37697" w:rsidP="00360131">
            <w:pPr>
              <w:jc w:val="center"/>
              <w:rPr>
                <w:rFonts w:cstheme="minorHAnsi"/>
                <w:b/>
                <w:szCs w:val="22"/>
              </w:rPr>
            </w:pPr>
            <w:r w:rsidRPr="009E360D">
              <w:rPr>
                <w:rFonts w:cstheme="minorHAnsi"/>
                <w:b/>
                <w:szCs w:val="22"/>
              </w:rPr>
              <w:t>19.97</w:t>
            </w:r>
          </w:p>
        </w:tc>
      </w:tr>
    </w:tbl>
    <w:p w14:paraId="5DAF2352" w14:textId="77777777" w:rsidR="00C24B1F" w:rsidRDefault="00C24B1F" w:rsidP="00C24B1F">
      <w:pPr>
        <w:pStyle w:val="BodyText"/>
        <w:spacing w:line="222" w:lineRule="exact"/>
      </w:pPr>
    </w:p>
    <w:p w14:paraId="22EAF395" w14:textId="676F198F" w:rsidR="00C24B1F" w:rsidRPr="008743F7" w:rsidRDefault="00C24B1F" w:rsidP="00F37697">
      <w:pPr>
        <w:pStyle w:val="Heading3"/>
      </w:pPr>
      <w:r>
        <w:lastRenderedPageBreak/>
        <w:t xml:space="preserve">Aquarevo </w:t>
      </w:r>
      <w:r w:rsidR="00E14DE5" w:rsidRPr="00C55987">
        <w:rPr>
          <w:rFonts w:cs="Arial"/>
          <w:szCs w:val="28"/>
        </w:rPr>
        <w:t xml:space="preserve">Water Recycling Plant </w:t>
      </w:r>
      <w:r w:rsidRPr="00C55987">
        <w:rPr>
          <w:szCs w:val="28"/>
        </w:rPr>
        <w:t>operating</w:t>
      </w:r>
      <w:r>
        <w:t xml:space="preserve"> costs</w:t>
      </w:r>
    </w:p>
    <w:p w14:paraId="2A8F5919" w14:textId="21A8E6B3" w:rsidR="00C24B1F" w:rsidRDefault="00C24B1F" w:rsidP="00C24B1F">
      <w:pPr>
        <w:pStyle w:val="BodyText"/>
        <w:spacing w:line="240" w:lineRule="auto"/>
      </w:pPr>
      <w:r>
        <w:t>Currently</w:t>
      </w:r>
      <w:r w:rsidR="00645C09">
        <w:t>,</w:t>
      </w:r>
      <w:r>
        <w:t xml:space="preserve"> Aquarevo is supplied with recycled water from the nearby Eastern Irrigation Scheme pipeline, but i</w:t>
      </w:r>
      <w:r w:rsidRPr="00DE6ED2">
        <w:t xml:space="preserve">t is proposed to construct a local water recycling plant within </w:t>
      </w:r>
      <w:r>
        <w:t>the estate. This will</w:t>
      </w:r>
      <w:r w:rsidRPr="00DE6ED2">
        <w:t xml:space="preserve"> collect all the wastewater from the estate via a pressure sewer network</w:t>
      </w:r>
      <w:r>
        <w:t xml:space="preserve">, </w:t>
      </w:r>
      <w:r w:rsidR="00200FAF">
        <w:t xml:space="preserve">and </w:t>
      </w:r>
      <w:r>
        <w:t>treat it</w:t>
      </w:r>
      <w:r w:rsidRPr="00DE6ED2">
        <w:t xml:space="preserve"> to produce Class A recycled water, </w:t>
      </w:r>
      <w:r>
        <w:t>which will</w:t>
      </w:r>
      <w:r w:rsidRPr="00DE6ED2">
        <w:t xml:space="preserve"> be returned to the houses where it can be used for toilet flushing, irrigation and in washing machines.</w:t>
      </w:r>
      <w:r>
        <w:t xml:space="preserve"> </w:t>
      </w:r>
      <w:r w:rsidRPr="00E933C7">
        <w:t>The plant is required to be constructed following a commitment to customers as part of the land sales process and to enable the enclosing of the water cycle within the development.</w:t>
      </w:r>
      <w:r>
        <w:t xml:space="preserve"> </w:t>
      </w:r>
    </w:p>
    <w:p w14:paraId="130873E1" w14:textId="77777777" w:rsidR="00F37697" w:rsidRDefault="00F37697" w:rsidP="00C24B1F">
      <w:pPr>
        <w:pStyle w:val="BodyText"/>
        <w:spacing w:line="240" w:lineRule="auto"/>
      </w:pPr>
    </w:p>
    <w:p w14:paraId="32140B10" w14:textId="45ED448E" w:rsidR="00F37697" w:rsidRPr="000C5D88" w:rsidRDefault="000C5D88" w:rsidP="002819EA">
      <w:pPr>
        <w:pStyle w:val="NormalIndent"/>
        <w:spacing w:after="120"/>
        <w:ind w:left="0"/>
        <w:rPr>
          <w:rFonts w:cs="Arial"/>
          <w:b/>
          <w:i/>
        </w:rPr>
      </w:pPr>
      <w:r w:rsidRPr="00CE6C4E">
        <w:rPr>
          <w:b/>
          <w:i/>
        </w:rPr>
        <w:t>Table</w:t>
      </w:r>
      <w:r w:rsidR="00BE5DE7">
        <w:rPr>
          <w:b/>
          <w:i/>
        </w:rPr>
        <w:t xml:space="preserve"> 64</w:t>
      </w:r>
      <w:r w:rsidRPr="007B339F">
        <w:rPr>
          <w:rFonts w:ascii="Arial" w:hAnsi="Arial" w:cs="Arial"/>
          <w:b/>
          <w:i/>
        </w:rPr>
        <w:t>:</w:t>
      </w:r>
      <w:r>
        <w:rPr>
          <w:rFonts w:ascii="Arial" w:hAnsi="Arial" w:cs="Arial"/>
          <w:b/>
          <w:i/>
        </w:rPr>
        <w:t xml:space="preserve"> </w:t>
      </w:r>
      <w:r w:rsidR="00F37697" w:rsidRPr="006F6206">
        <w:rPr>
          <w:rFonts w:cs="Arial"/>
          <w:b/>
          <w:i/>
        </w:rPr>
        <w:t xml:space="preserve">Aquarevo </w:t>
      </w:r>
      <w:r w:rsidR="00E14DE5" w:rsidRPr="00E14DE5">
        <w:rPr>
          <w:rFonts w:cs="Arial"/>
          <w:b/>
          <w:bCs/>
          <w:i/>
          <w:iCs/>
          <w:szCs w:val="24"/>
        </w:rPr>
        <w:t>Water Recycling Plant</w:t>
      </w:r>
      <w:r w:rsidR="00E14DE5">
        <w:rPr>
          <w:rFonts w:cs="Arial"/>
          <w:szCs w:val="24"/>
        </w:rPr>
        <w:t xml:space="preserve"> </w:t>
      </w:r>
      <w:r w:rsidR="00F37697" w:rsidRPr="006F6206">
        <w:rPr>
          <w:rFonts w:cs="Arial"/>
          <w:b/>
          <w:i/>
        </w:rPr>
        <w:t xml:space="preserve">operating costs </w:t>
      </w:r>
      <w:r w:rsidR="00507B63" w:rsidRPr="006D1620">
        <w:rPr>
          <w:rFonts w:cs="Arial"/>
          <w:b/>
          <w:i/>
        </w:rPr>
        <w:t>(</w:t>
      </w:r>
      <w:r w:rsidR="00507B63">
        <w:rPr>
          <w:rFonts w:cs="Arial"/>
          <w:b/>
          <w:i/>
        </w:rPr>
        <w:t>$</w:t>
      </w:r>
      <w:r w:rsidR="00F37697" w:rsidRPr="006F6206">
        <w:rPr>
          <w:rFonts w:cs="Arial"/>
          <w:b/>
          <w:i/>
        </w:rPr>
        <w:t>million 2022</w:t>
      </w:r>
      <w:r w:rsidR="00F33731">
        <w:rPr>
          <w:rFonts w:cs="Arial"/>
          <w:b/>
          <w:i/>
        </w:rPr>
        <w:t>–</w:t>
      </w:r>
      <w:r w:rsidR="00F37697" w:rsidRPr="006F6206">
        <w:rPr>
          <w:rFonts w:cs="Arial"/>
          <w:b/>
          <w:i/>
        </w:rPr>
        <w:t>23)</w:t>
      </w:r>
    </w:p>
    <w:tbl>
      <w:tblPr>
        <w:tblStyle w:val="MJTableStyle1default"/>
        <w:tblW w:w="0" w:type="auto"/>
        <w:tblInd w:w="0" w:type="dxa"/>
        <w:tblLook w:val="04A0" w:firstRow="1" w:lastRow="0" w:firstColumn="1" w:lastColumn="0" w:noHBand="0" w:noVBand="1"/>
      </w:tblPr>
      <w:tblGrid>
        <w:gridCol w:w="1559"/>
        <w:gridCol w:w="1559"/>
        <w:gridCol w:w="1560"/>
        <w:gridCol w:w="1559"/>
        <w:gridCol w:w="1559"/>
        <w:gridCol w:w="1560"/>
      </w:tblGrid>
      <w:tr w:rsidR="00F37697" w:rsidRPr="006F6206" w14:paraId="0B7AF7E2" w14:textId="6C62D6EE" w:rsidTr="00D92D75">
        <w:trPr>
          <w:cnfStyle w:val="100000000000" w:firstRow="1" w:lastRow="0" w:firstColumn="0" w:lastColumn="0" w:oddVBand="0" w:evenVBand="0" w:oddHBand="0" w:evenHBand="0" w:firstRowFirstColumn="0" w:firstRowLastColumn="0" w:lastRowFirstColumn="0" w:lastRowLastColumn="0"/>
          <w:trHeight w:val="459"/>
        </w:trPr>
        <w:tc>
          <w:tcPr>
            <w:tcW w:w="1559" w:type="dxa"/>
            <w:tcBorders>
              <w:top w:val="single" w:sz="4" w:space="0" w:color="002279"/>
              <w:left w:val="single" w:sz="4" w:space="0" w:color="002279"/>
              <w:bottom w:val="single" w:sz="2" w:space="0" w:color="002279"/>
              <w:right w:val="single" w:sz="4" w:space="0" w:color="FFFFFF" w:themeColor="background1"/>
            </w:tcBorders>
            <w:shd w:val="clear" w:color="auto" w:fill="002279"/>
            <w:vAlign w:val="center"/>
          </w:tcPr>
          <w:p w14:paraId="7BDFB903" w14:textId="7492C1A3" w:rsidR="00F37697" w:rsidRPr="00360131" w:rsidRDefault="00F37697" w:rsidP="00360131">
            <w:pPr>
              <w:jc w:val="center"/>
              <w:rPr>
                <w:rFonts w:asciiTheme="minorHAnsi" w:hAnsiTheme="minorHAnsi" w:cstheme="minorHAnsi"/>
                <w:b/>
                <w:bCs/>
              </w:rPr>
            </w:pPr>
            <w:r w:rsidRPr="00360131">
              <w:rPr>
                <w:rFonts w:asciiTheme="minorHAnsi" w:hAnsiTheme="minorHAnsi" w:cstheme="minorHAnsi"/>
                <w:b/>
                <w:bCs/>
              </w:rPr>
              <w:t>2023</w:t>
            </w:r>
            <w:r w:rsidR="00F33731" w:rsidRPr="00360131">
              <w:rPr>
                <w:rFonts w:asciiTheme="minorHAnsi" w:hAnsiTheme="minorHAnsi" w:cstheme="minorHAnsi"/>
                <w:b/>
                <w:bCs/>
              </w:rPr>
              <w:t>–</w:t>
            </w:r>
            <w:r w:rsidRPr="00360131">
              <w:rPr>
                <w:rFonts w:asciiTheme="minorHAnsi" w:hAnsiTheme="minorHAnsi" w:cstheme="minorHAnsi"/>
                <w:b/>
                <w:bCs/>
              </w:rPr>
              <w:t>24</w:t>
            </w:r>
          </w:p>
        </w:tc>
        <w:tc>
          <w:tcPr>
            <w:tcW w:w="1559"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vAlign w:val="center"/>
          </w:tcPr>
          <w:p w14:paraId="50C99FE6" w14:textId="3D1B8BD7" w:rsidR="00F37697" w:rsidRPr="00360131" w:rsidRDefault="00F37697" w:rsidP="00360131">
            <w:pPr>
              <w:jc w:val="center"/>
              <w:rPr>
                <w:rFonts w:asciiTheme="minorHAnsi" w:hAnsiTheme="minorHAnsi" w:cstheme="minorHAnsi"/>
                <w:b/>
                <w:bCs/>
              </w:rPr>
            </w:pPr>
            <w:r w:rsidRPr="00360131">
              <w:rPr>
                <w:rFonts w:asciiTheme="minorHAnsi" w:hAnsiTheme="minorHAnsi" w:cstheme="minorHAnsi"/>
                <w:b/>
                <w:bCs/>
              </w:rPr>
              <w:t>2024</w:t>
            </w:r>
            <w:r w:rsidR="00F33731" w:rsidRPr="00360131">
              <w:rPr>
                <w:rFonts w:asciiTheme="minorHAnsi" w:hAnsiTheme="minorHAnsi" w:cstheme="minorHAnsi"/>
                <w:b/>
                <w:bCs/>
              </w:rPr>
              <w:t>–</w:t>
            </w:r>
            <w:r w:rsidRPr="00360131">
              <w:rPr>
                <w:rFonts w:asciiTheme="minorHAnsi" w:hAnsiTheme="minorHAnsi" w:cstheme="minorHAnsi"/>
                <w:b/>
                <w:bCs/>
              </w:rPr>
              <w:t>25</w:t>
            </w:r>
          </w:p>
        </w:tc>
        <w:tc>
          <w:tcPr>
            <w:tcW w:w="1560"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vAlign w:val="center"/>
          </w:tcPr>
          <w:p w14:paraId="6208257A" w14:textId="64D09A3C" w:rsidR="00F37697" w:rsidRPr="00360131" w:rsidRDefault="00F37697" w:rsidP="00360131">
            <w:pPr>
              <w:jc w:val="center"/>
              <w:rPr>
                <w:rFonts w:asciiTheme="minorHAnsi" w:hAnsiTheme="minorHAnsi" w:cstheme="minorHAnsi"/>
                <w:b/>
                <w:bCs/>
              </w:rPr>
            </w:pPr>
            <w:r w:rsidRPr="00360131">
              <w:rPr>
                <w:rFonts w:asciiTheme="minorHAnsi" w:hAnsiTheme="minorHAnsi" w:cstheme="minorHAnsi"/>
                <w:b/>
                <w:bCs/>
              </w:rPr>
              <w:t>2025</w:t>
            </w:r>
            <w:r w:rsidR="00F33731" w:rsidRPr="00360131">
              <w:rPr>
                <w:rFonts w:asciiTheme="minorHAnsi" w:hAnsiTheme="minorHAnsi" w:cstheme="minorHAnsi"/>
                <w:b/>
                <w:bCs/>
              </w:rPr>
              <w:t>–</w:t>
            </w:r>
            <w:r w:rsidRPr="00360131">
              <w:rPr>
                <w:rFonts w:asciiTheme="minorHAnsi" w:hAnsiTheme="minorHAnsi" w:cstheme="minorHAnsi"/>
                <w:b/>
                <w:bCs/>
              </w:rPr>
              <w:t>26</w:t>
            </w:r>
          </w:p>
        </w:tc>
        <w:tc>
          <w:tcPr>
            <w:tcW w:w="1559"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vAlign w:val="center"/>
          </w:tcPr>
          <w:p w14:paraId="6D929AE0" w14:textId="31B9D58D" w:rsidR="00F37697" w:rsidRPr="00360131" w:rsidRDefault="00F37697" w:rsidP="00360131">
            <w:pPr>
              <w:jc w:val="center"/>
              <w:rPr>
                <w:rFonts w:asciiTheme="minorHAnsi" w:hAnsiTheme="minorHAnsi" w:cstheme="minorHAnsi"/>
                <w:b/>
                <w:bCs/>
              </w:rPr>
            </w:pPr>
            <w:r w:rsidRPr="00360131">
              <w:rPr>
                <w:rFonts w:asciiTheme="minorHAnsi" w:hAnsiTheme="minorHAnsi" w:cstheme="minorHAnsi"/>
                <w:b/>
                <w:bCs/>
              </w:rPr>
              <w:t>2026</w:t>
            </w:r>
            <w:r w:rsidR="00F33731" w:rsidRPr="00360131">
              <w:rPr>
                <w:rFonts w:asciiTheme="minorHAnsi" w:hAnsiTheme="minorHAnsi" w:cstheme="minorHAnsi"/>
                <w:b/>
                <w:bCs/>
              </w:rPr>
              <w:t>–</w:t>
            </w:r>
            <w:r w:rsidRPr="00360131">
              <w:rPr>
                <w:rFonts w:asciiTheme="minorHAnsi" w:hAnsiTheme="minorHAnsi" w:cstheme="minorHAnsi"/>
                <w:b/>
                <w:bCs/>
              </w:rPr>
              <w:t>27</w:t>
            </w:r>
          </w:p>
        </w:tc>
        <w:tc>
          <w:tcPr>
            <w:tcW w:w="1559"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vAlign w:val="center"/>
          </w:tcPr>
          <w:p w14:paraId="2C4C703F" w14:textId="41424F53" w:rsidR="00F37697" w:rsidRPr="00360131" w:rsidRDefault="00F37697" w:rsidP="00360131">
            <w:pPr>
              <w:jc w:val="center"/>
              <w:rPr>
                <w:rFonts w:asciiTheme="minorHAnsi" w:hAnsiTheme="minorHAnsi" w:cstheme="minorHAnsi"/>
                <w:b/>
                <w:bCs/>
              </w:rPr>
            </w:pPr>
            <w:r w:rsidRPr="00360131">
              <w:rPr>
                <w:rFonts w:asciiTheme="minorHAnsi" w:hAnsiTheme="minorHAnsi" w:cstheme="minorHAnsi"/>
                <w:b/>
                <w:bCs/>
              </w:rPr>
              <w:t>2027</w:t>
            </w:r>
            <w:r w:rsidR="00F33731" w:rsidRPr="00360131">
              <w:rPr>
                <w:rFonts w:asciiTheme="minorHAnsi" w:hAnsiTheme="minorHAnsi" w:cstheme="minorHAnsi"/>
                <w:b/>
                <w:bCs/>
              </w:rPr>
              <w:t>–</w:t>
            </w:r>
            <w:r w:rsidRPr="00360131">
              <w:rPr>
                <w:rFonts w:asciiTheme="minorHAnsi" w:hAnsiTheme="minorHAnsi" w:cstheme="minorHAnsi"/>
                <w:b/>
                <w:bCs/>
              </w:rPr>
              <w:t>28</w:t>
            </w:r>
          </w:p>
        </w:tc>
        <w:tc>
          <w:tcPr>
            <w:tcW w:w="1560" w:type="dxa"/>
            <w:tcBorders>
              <w:top w:val="single" w:sz="4" w:space="0" w:color="002279"/>
              <w:left w:val="single" w:sz="4" w:space="0" w:color="FFFFFF" w:themeColor="background1"/>
              <w:bottom w:val="single" w:sz="2" w:space="0" w:color="002279"/>
              <w:right w:val="single" w:sz="4" w:space="0" w:color="002279"/>
            </w:tcBorders>
            <w:shd w:val="clear" w:color="auto" w:fill="002279"/>
            <w:vAlign w:val="center"/>
          </w:tcPr>
          <w:p w14:paraId="26DC69F0" w14:textId="103743C9" w:rsidR="00F37697" w:rsidRPr="00360131" w:rsidRDefault="00F37697" w:rsidP="00360131">
            <w:pPr>
              <w:jc w:val="center"/>
              <w:rPr>
                <w:rFonts w:asciiTheme="minorHAnsi" w:hAnsiTheme="minorHAnsi" w:cstheme="minorHAnsi"/>
                <w:b/>
                <w:bCs/>
              </w:rPr>
            </w:pPr>
            <w:r w:rsidRPr="00360131">
              <w:rPr>
                <w:rFonts w:asciiTheme="minorHAnsi" w:hAnsiTheme="minorHAnsi" w:cstheme="minorHAnsi"/>
                <w:b/>
                <w:bCs/>
              </w:rPr>
              <w:t>Total</w:t>
            </w:r>
          </w:p>
        </w:tc>
      </w:tr>
      <w:tr w:rsidR="00F37697" w:rsidRPr="006F6206" w14:paraId="47AB19FE" w14:textId="3E6F6A85" w:rsidTr="00F8713B">
        <w:trPr>
          <w:cnfStyle w:val="000000100000" w:firstRow="0" w:lastRow="0" w:firstColumn="0" w:lastColumn="0" w:oddVBand="0" w:evenVBand="0" w:oddHBand="1" w:evenHBand="0" w:firstRowFirstColumn="0" w:firstRowLastColumn="0" w:lastRowFirstColumn="0" w:lastRowLastColumn="0"/>
          <w:trHeight w:val="426"/>
        </w:trPr>
        <w:tc>
          <w:tcPr>
            <w:tcW w:w="1559" w:type="dxa"/>
            <w:tcBorders>
              <w:top w:val="single" w:sz="2" w:space="0" w:color="002279"/>
              <w:left w:val="single" w:sz="4" w:space="0" w:color="002279"/>
              <w:bottom w:val="single" w:sz="4" w:space="0" w:color="002279"/>
              <w:right w:val="single" w:sz="4" w:space="0" w:color="002279"/>
            </w:tcBorders>
            <w:shd w:val="clear" w:color="auto" w:fill="FFFFFF" w:themeFill="background1"/>
            <w:vAlign w:val="center"/>
          </w:tcPr>
          <w:p w14:paraId="78D10311" w14:textId="2C738BC1" w:rsidR="00F37697" w:rsidRPr="00360131" w:rsidRDefault="00F37697" w:rsidP="0075675D">
            <w:pPr>
              <w:jc w:val="center"/>
              <w:rPr>
                <w:rFonts w:cstheme="minorHAnsi"/>
              </w:rPr>
            </w:pPr>
            <w:r w:rsidRPr="0097263A">
              <w:rPr>
                <w:rFonts w:cstheme="minorHAnsi"/>
              </w:rPr>
              <w:t>0.1</w:t>
            </w:r>
            <w:r w:rsidR="00107945">
              <w:rPr>
                <w:rFonts w:cstheme="minorHAnsi"/>
              </w:rPr>
              <w:t>3</w:t>
            </w:r>
          </w:p>
        </w:tc>
        <w:tc>
          <w:tcPr>
            <w:tcW w:w="1559" w:type="dxa"/>
            <w:tcBorders>
              <w:top w:val="single" w:sz="2" w:space="0" w:color="002279"/>
              <w:left w:val="single" w:sz="4" w:space="0" w:color="002279"/>
              <w:bottom w:val="single" w:sz="4" w:space="0" w:color="002279"/>
              <w:right w:val="single" w:sz="4" w:space="0" w:color="002279"/>
            </w:tcBorders>
            <w:shd w:val="clear" w:color="auto" w:fill="FFFFFF" w:themeFill="background1"/>
            <w:vAlign w:val="center"/>
          </w:tcPr>
          <w:p w14:paraId="056F8988" w14:textId="7981BE76" w:rsidR="00F37697" w:rsidRPr="00360131" w:rsidRDefault="00F37697" w:rsidP="0075675D">
            <w:pPr>
              <w:jc w:val="center"/>
              <w:rPr>
                <w:rFonts w:cstheme="minorHAnsi"/>
              </w:rPr>
            </w:pPr>
            <w:r w:rsidRPr="0097263A">
              <w:rPr>
                <w:rFonts w:cstheme="minorHAnsi"/>
              </w:rPr>
              <w:t>0.2</w:t>
            </w:r>
            <w:r w:rsidR="00107945">
              <w:rPr>
                <w:rFonts w:cstheme="minorHAnsi"/>
              </w:rPr>
              <w:t>3</w:t>
            </w:r>
          </w:p>
        </w:tc>
        <w:tc>
          <w:tcPr>
            <w:tcW w:w="1560" w:type="dxa"/>
            <w:tcBorders>
              <w:top w:val="single" w:sz="2" w:space="0" w:color="002279"/>
              <w:left w:val="single" w:sz="4" w:space="0" w:color="002279"/>
              <w:bottom w:val="single" w:sz="4" w:space="0" w:color="002279"/>
              <w:right w:val="single" w:sz="4" w:space="0" w:color="002279"/>
            </w:tcBorders>
            <w:shd w:val="clear" w:color="auto" w:fill="FFFFFF" w:themeFill="background1"/>
            <w:vAlign w:val="center"/>
          </w:tcPr>
          <w:p w14:paraId="22FBDEAE" w14:textId="73C69721" w:rsidR="00F37697" w:rsidRPr="00360131" w:rsidRDefault="00F37697" w:rsidP="0075675D">
            <w:pPr>
              <w:jc w:val="center"/>
              <w:rPr>
                <w:rFonts w:cstheme="minorHAnsi"/>
              </w:rPr>
            </w:pPr>
            <w:r w:rsidRPr="0097263A">
              <w:rPr>
                <w:rFonts w:cstheme="minorHAnsi"/>
              </w:rPr>
              <w:t>0.2</w:t>
            </w:r>
            <w:r w:rsidR="00107945">
              <w:rPr>
                <w:rFonts w:cstheme="minorHAnsi"/>
              </w:rPr>
              <w:t>3</w:t>
            </w:r>
          </w:p>
        </w:tc>
        <w:tc>
          <w:tcPr>
            <w:tcW w:w="1559" w:type="dxa"/>
            <w:tcBorders>
              <w:top w:val="single" w:sz="2" w:space="0" w:color="002279"/>
              <w:left w:val="single" w:sz="4" w:space="0" w:color="002279"/>
              <w:bottom w:val="single" w:sz="4" w:space="0" w:color="002279"/>
              <w:right w:val="single" w:sz="4" w:space="0" w:color="002279"/>
            </w:tcBorders>
            <w:shd w:val="clear" w:color="auto" w:fill="FFFFFF" w:themeFill="background1"/>
            <w:vAlign w:val="center"/>
          </w:tcPr>
          <w:p w14:paraId="339A7C7F" w14:textId="47E40E66" w:rsidR="00F37697" w:rsidRPr="00360131" w:rsidRDefault="00F37697" w:rsidP="0075675D">
            <w:pPr>
              <w:jc w:val="center"/>
              <w:rPr>
                <w:rFonts w:cstheme="minorHAnsi"/>
              </w:rPr>
            </w:pPr>
            <w:r w:rsidRPr="0097263A">
              <w:rPr>
                <w:rFonts w:cstheme="minorHAnsi"/>
              </w:rPr>
              <w:t>0.2</w:t>
            </w:r>
            <w:r w:rsidR="00107945">
              <w:rPr>
                <w:rFonts w:cstheme="minorHAnsi"/>
              </w:rPr>
              <w:t>3</w:t>
            </w:r>
          </w:p>
        </w:tc>
        <w:tc>
          <w:tcPr>
            <w:tcW w:w="1559" w:type="dxa"/>
            <w:tcBorders>
              <w:top w:val="single" w:sz="2" w:space="0" w:color="002279"/>
              <w:left w:val="single" w:sz="4" w:space="0" w:color="002279"/>
              <w:bottom w:val="single" w:sz="4" w:space="0" w:color="002279"/>
              <w:right w:val="single" w:sz="4" w:space="0" w:color="002279"/>
            </w:tcBorders>
            <w:shd w:val="clear" w:color="auto" w:fill="FFFFFF" w:themeFill="background1"/>
            <w:vAlign w:val="center"/>
          </w:tcPr>
          <w:p w14:paraId="48A6F252" w14:textId="6579481C" w:rsidR="00F37697" w:rsidRPr="00360131" w:rsidRDefault="00F37697" w:rsidP="0075675D">
            <w:pPr>
              <w:jc w:val="center"/>
              <w:rPr>
                <w:rFonts w:cstheme="minorHAnsi"/>
              </w:rPr>
            </w:pPr>
            <w:r w:rsidRPr="0097263A">
              <w:rPr>
                <w:rFonts w:cstheme="minorHAnsi"/>
              </w:rPr>
              <w:t>0.2</w:t>
            </w:r>
            <w:r w:rsidR="00107945">
              <w:rPr>
                <w:rFonts w:cstheme="minorHAnsi"/>
              </w:rPr>
              <w:t>3</w:t>
            </w:r>
          </w:p>
        </w:tc>
        <w:tc>
          <w:tcPr>
            <w:tcW w:w="1560" w:type="dxa"/>
            <w:tcBorders>
              <w:top w:val="single" w:sz="2" w:space="0" w:color="002279"/>
              <w:left w:val="single" w:sz="4" w:space="0" w:color="002279"/>
              <w:bottom w:val="single" w:sz="4" w:space="0" w:color="002279"/>
              <w:right w:val="single" w:sz="4" w:space="0" w:color="002279"/>
            </w:tcBorders>
            <w:shd w:val="clear" w:color="auto" w:fill="FFFFFF" w:themeFill="background1"/>
            <w:vAlign w:val="center"/>
          </w:tcPr>
          <w:p w14:paraId="53563480" w14:textId="15429251" w:rsidR="00F37697" w:rsidRPr="00360131" w:rsidRDefault="007505D6" w:rsidP="00360131">
            <w:pPr>
              <w:jc w:val="center"/>
              <w:rPr>
                <w:rFonts w:cstheme="minorHAnsi"/>
                <w:b/>
              </w:rPr>
            </w:pPr>
            <w:r w:rsidRPr="0097263A">
              <w:rPr>
                <w:rFonts w:cstheme="minorHAnsi"/>
                <w:b/>
              </w:rPr>
              <w:t>1.</w:t>
            </w:r>
            <w:r w:rsidR="00107945">
              <w:rPr>
                <w:rFonts w:cstheme="minorHAnsi"/>
                <w:b/>
              </w:rPr>
              <w:t>04</w:t>
            </w:r>
          </w:p>
        </w:tc>
      </w:tr>
    </w:tbl>
    <w:p w14:paraId="0A10F5D3" w14:textId="77777777" w:rsidR="00C24B1F" w:rsidRDefault="00C24B1F" w:rsidP="00C24B1F">
      <w:pPr>
        <w:pStyle w:val="BodyText"/>
        <w:spacing w:line="222" w:lineRule="exact"/>
        <w:ind w:left="720"/>
      </w:pPr>
    </w:p>
    <w:p w14:paraId="47B35D3E" w14:textId="56145406" w:rsidR="00C24B1F" w:rsidRDefault="00C24B1F" w:rsidP="007505D6">
      <w:pPr>
        <w:pStyle w:val="Heading3"/>
      </w:pPr>
      <w:r>
        <w:t xml:space="preserve">General </w:t>
      </w:r>
      <w:r w:rsidR="006B06E8">
        <w:t>e</w:t>
      </w:r>
      <w:r>
        <w:t xml:space="preserve">nvironmental </w:t>
      </w:r>
      <w:r w:rsidR="006B06E8">
        <w:t>d</w:t>
      </w:r>
      <w:r>
        <w:t>uty</w:t>
      </w:r>
    </w:p>
    <w:p w14:paraId="470CF933" w14:textId="4E931D26" w:rsidR="00C24B1F" w:rsidRDefault="00C24B1F" w:rsidP="00C24B1F">
      <w:pPr>
        <w:rPr>
          <w:bCs/>
        </w:rPr>
      </w:pPr>
      <w:r>
        <w:rPr>
          <w:bCs/>
        </w:rPr>
        <w:t xml:space="preserve">New environmental protection regulations came into effect in 2021 (Environment Protection Regulations 2021 </w:t>
      </w:r>
      <w:r w:rsidR="005B1587">
        <w:rPr>
          <w:bCs/>
        </w:rPr>
        <w:t>(</w:t>
      </w:r>
      <w:r>
        <w:rPr>
          <w:bCs/>
        </w:rPr>
        <w:t>Vic</w:t>
      </w:r>
      <w:r w:rsidR="005B1587">
        <w:rPr>
          <w:bCs/>
        </w:rPr>
        <w:t>)</w:t>
      </w:r>
      <w:r>
        <w:rPr>
          <w:bCs/>
        </w:rPr>
        <w:t>) which impose a greater duty upon South</w:t>
      </w:r>
      <w:r w:rsidR="000F3DD8">
        <w:rPr>
          <w:bCs/>
        </w:rPr>
        <w:t> </w:t>
      </w:r>
      <w:r>
        <w:rPr>
          <w:bCs/>
        </w:rPr>
        <w:t>East</w:t>
      </w:r>
      <w:r w:rsidR="000F3DD8">
        <w:rPr>
          <w:bCs/>
        </w:rPr>
        <w:t> </w:t>
      </w:r>
      <w:r>
        <w:rPr>
          <w:bCs/>
        </w:rPr>
        <w:t>Water in respect of its risk management approach to the environment. The financial impact of this duty has been calculated in accordance with the Regulatory Impact Statement</w:t>
      </w:r>
      <w:r w:rsidR="008D78EA">
        <w:rPr>
          <w:bCs/>
        </w:rPr>
        <w:t>,</w:t>
      </w:r>
      <w:r>
        <w:rPr>
          <w:bCs/>
        </w:rPr>
        <w:t xml:space="preserve"> commissioned by EPA Victoria. The costs associated with the new regulations are mainly comprised of compliance and reporting activities, permits and licences which will be allocated to relevant capital projects. The step change sought is to fund an additional FTE to manage and oversee compliance with the new regulations.</w:t>
      </w:r>
    </w:p>
    <w:p w14:paraId="7CD222E0" w14:textId="77777777" w:rsidR="00150FE5" w:rsidRPr="00FC3679" w:rsidRDefault="00150FE5" w:rsidP="00C24B1F">
      <w:pPr>
        <w:rPr>
          <w:bCs/>
        </w:rPr>
      </w:pPr>
    </w:p>
    <w:p w14:paraId="5B612985" w14:textId="3D0D6520" w:rsidR="002F0A2D" w:rsidRPr="000C5D88" w:rsidRDefault="000C5D88" w:rsidP="002819EA">
      <w:pPr>
        <w:pStyle w:val="NormalIndent"/>
        <w:spacing w:after="120"/>
        <w:ind w:left="0"/>
        <w:rPr>
          <w:rFonts w:cs="Arial"/>
          <w:b/>
          <w:i/>
        </w:rPr>
      </w:pPr>
      <w:r w:rsidRPr="00CE6C4E">
        <w:rPr>
          <w:b/>
          <w:i/>
        </w:rPr>
        <w:t>Table</w:t>
      </w:r>
      <w:r w:rsidR="00BE5DE7">
        <w:rPr>
          <w:b/>
          <w:i/>
        </w:rPr>
        <w:t xml:space="preserve"> 65</w:t>
      </w:r>
      <w:r w:rsidRPr="007B339F">
        <w:rPr>
          <w:rFonts w:ascii="Arial" w:hAnsi="Arial" w:cs="Arial"/>
          <w:b/>
          <w:i/>
        </w:rPr>
        <w:t>:</w:t>
      </w:r>
      <w:r>
        <w:rPr>
          <w:rFonts w:ascii="Arial" w:hAnsi="Arial" w:cs="Arial"/>
          <w:b/>
          <w:i/>
        </w:rPr>
        <w:t xml:space="preserve"> </w:t>
      </w:r>
      <w:r w:rsidR="002F0A2D" w:rsidRPr="001105D5">
        <w:rPr>
          <w:rFonts w:cs="Arial"/>
          <w:b/>
          <w:i/>
        </w:rPr>
        <w:t>General Environmental Duty</w:t>
      </w:r>
      <w:r w:rsidR="00507B63">
        <w:rPr>
          <w:rFonts w:cs="Arial"/>
          <w:b/>
          <w:i/>
        </w:rPr>
        <w:t xml:space="preserve"> </w:t>
      </w:r>
      <w:r w:rsidR="00507B63" w:rsidRPr="006D1620">
        <w:rPr>
          <w:rFonts w:cs="Arial"/>
          <w:b/>
          <w:i/>
        </w:rPr>
        <w:t>(</w:t>
      </w:r>
      <w:r w:rsidR="00507B63">
        <w:rPr>
          <w:rFonts w:cs="Arial"/>
          <w:b/>
          <w:i/>
        </w:rPr>
        <w:t>$</w:t>
      </w:r>
      <w:r w:rsidR="002F0A2D" w:rsidRPr="001105D5">
        <w:rPr>
          <w:rFonts w:cs="Arial"/>
          <w:b/>
          <w:i/>
        </w:rPr>
        <w:t>million 2022</w:t>
      </w:r>
      <w:r w:rsidR="00F33731">
        <w:rPr>
          <w:rFonts w:cs="Arial"/>
          <w:b/>
          <w:i/>
        </w:rPr>
        <w:t>–</w:t>
      </w:r>
      <w:r w:rsidR="002F0A2D" w:rsidRPr="001105D5">
        <w:rPr>
          <w:rFonts w:cs="Arial"/>
          <w:b/>
          <w:i/>
        </w:rPr>
        <w:t>23)</w:t>
      </w:r>
    </w:p>
    <w:tbl>
      <w:tblPr>
        <w:tblStyle w:val="MJTableStyle1default"/>
        <w:tblW w:w="0" w:type="auto"/>
        <w:tblInd w:w="0" w:type="dxa"/>
        <w:tblLook w:val="04A0" w:firstRow="1" w:lastRow="0" w:firstColumn="1" w:lastColumn="0" w:noHBand="0" w:noVBand="1"/>
      </w:tblPr>
      <w:tblGrid>
        <w:gridCol w:w="1559"/>
        <w:gridCol w:w="1559"/>
        <w:gridCol w:w="1560"/>
        <w:gridCol w:w="1559"/>
        <w:gridCol w:w="1559"/>
        <w:gridCol w:w="1560"/>
      </w:tblGrid>
      <w:tr w:rsidR="002F0A2D" w:rsidRPr="001105D5" w14:paraId="1BC4B1B4" w14:textId="5EEF940F" w:rsidTr="00F8713B">
        <w:trPr>
          <w:cnfStyle w:val="100000000000" w:firstRow="1" w:lastRow="0" w:firstColumn="0" w:lastColumn="0" w:oddVBand="0" w:evenVBand="0" w:oddHBand="0" w:evenHBand="0" w:firstRowFirstColumn="0" w:firstRowLastColumn="0" w:lastRowFirstColumn="0" w:lastRowLastColumn="0"/>
          <w:trHeight w:val="478"/>
        </w:trPr>
        <w:tc>
          <w:tcPr>
            <w:tcW w:w="1559" w:type="dxa"/>
            <w:tcBorders>
              <w:top w:val="single" w:sz="4" w:space="0" w:color="002279"/>
              <w:left w:val="single" w:sz="4" w:space="0" w:color="002279"/>
              <w:bottom w:val="single" w:sz="2" w:space="0" w:color="002279"/>
              <w:right w:val="single" w:sz="4" w:space="0" w:color="FFFFFF" w:themeColor="background1"/>
            </w:tcBorders>
            <w:shd w:val="clear" w:color="auto" w:fill="002279"/>
            <w:vAlign w:val="center"/>
          </w:tcPr>
          <w:p w14:paraId="7EC76EEC" w14:textId="3A5390DB" w:rsidR="002F0A2D" w:rsidRPr="007058B6" w:rsidRDefault="002F0A2D" w:rsidP="00360131">
            <w:pPr>
              <w:jc w:val="center"/>
              <w:rPr>
                <w:rFonts w:asciiTheme="minorHAnsi" w:hAnsiTheme="minorHAnsi" w:cstheme="minorHAnsi"/>
                <w:b/>
                <w:bCs/>
              </w:rPr>
            </w:pPr>
            <w:r w:rsidRPr="007058B6">
              <w:rPr>
                <w:rFonts w:asciiTheme="minorHAnsi" w:hAnsiTheme="minorHAnsi" w:cstheme="minorHAnsi"/>
                <w:b/>
                <w:bCs/>
              </w:rPr>
              <w:t>2023</w:t>
            </w:r>
            <w:r w:rsidR="00F33731" w:rsidRPr="007058B6">
              <w:rPr>
                <w:rFonts w:asciiTheme="minorHAnsi" w:hAnsiTheme="minorHAnsi" w:cstheme="minorHAnsi"/>
                <w:b/>
                <w:bCs/>
              </w:rPr>
              <w:t>–</w:t>
            </w:r>
            <w:r w:rsidRPr="007058B6">
              <w:rPr>
                <w:rFonts w:asciiTheme="minorHAnsi" w:hAnsiTheme="minorHAnsi" w:cstheme="minorHAnsi"/>
                <w:b/>
                <w:bCs/>
              </w:rPr>
              <w:t>24</w:t>
            </w:r>
          </w:p>
        </w:tc>
        <w:tc>
          <w:tcPr>
            <w:tcW w:w="1559"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vAlign w:val="center"/>
          </w:tcPr>
          <w:p w14:paraId="43F74B52" w14:textId="32E8FFBF" w:rsidR="002F0A2D" w:rsidRPr="007058B6" w:rsidRDefault="002F0A2D" w:rsidP="00360131">
            <w:pPr>
              <w:jc w:val="center"/>
              <w:rPr>
                <w:rFonts w:asciiTheme="minorHAnsi" w:hAnsiTheme="minorHAnsi" w:cstheme="minorHAnsi"/>
                <w:b/>
                <w:bCs/>
              </w:rPr>
            </w:pPr>
            <w:r w:rsidRPr="007058B6">
              <w:rPr>
                <w:rFonts w:asciiTheme="minorHAnsi" w:hAnsiTheme="minorHAnsi" w:cstheme="minorHAnsi"/>
                <w:b/>
                <w:bCs/>
              </w:rPr>
              <w:t>2024</w:t>
            </w:r>
            <w:r w:rsidR="00F33731" w:rsidRPr="007058B6">
              <w:rPr>
                <w:rFonts w:asciiTheme="minorHAnsi" w:hAnsiTheme="minorHAnsi" w:cstheme="minorHAnsi"/>
                <w:b/>
                <w:bCs/>
              </w:rPr>
              <w:t>–</w:t>
            </w:r>
            <w:r w:rsidRPr="007058B6">
              <w:rPr>
                <w:rFonts w:asciiTheme="minorHAnsi" w:hAnsiTheme="minorHAnsi" w:cstheme="minorHAnsi"/>
                <w:b/>
                <w:bCs/>
              </w:rPr>
              <w:t>25</w:t>
            </w:r>
          </w:p>
        </w:tc>
        <w:tc>
          <w:tcPr>
            <w:tcW w:w="1560"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vAlign w:val="center"/>
          </w:tcPr>
          <w:p w14:paraId="01115EBC" w14:textId="2FA8023A" w:rsidR="002F0A2D" w:rsidRPr="007058B6" w:rsidRDefault="002F0A2D" w:rsidP="00360131">
            <w:pPr>
              <w:jc w:val="center"/>
              <w:rPr>
                <w:rFonts w:asciiTheme="minorHAnsi" w:hAnsiTheme="minorHAnsi" w:cstheme="minorHAnsi"/>
                <w:b/>
                <w:bCs/>
              </w:rPr>
            </w:pPr>
            <w:r w:rsidRPr="007058B6">
              <w:rPr>
                <w:rFonts w:asciiTheme="minorHAnsi" w:hAnsiTheme="minorHAnsi" w:cstheme="minorHAnsi"/>
                <w:b/>
                <w:bCs/>
              </w:rPr>
              <w:t>2025</w:t>
            </w:r>
            <w:r w:rsidR="00F33731" w:rsidRPr="007058B6">
              <w:rPr>
                <w:rFonts w:asciiTheme="minorHAnsi" w:hAnsiTheme="minorHAnsi" w:cstheme="minorHAnsi"/>
                <w:b/>
                <w:bCs/>
              </w:rPr>
              <w:t>–</w:t>
            </w:r>
            <w:r w:rsidRPr="007058B6">
              <w:rPr>
                <w:rFonts w:asciiTheme="minorHAnsi" w:hAnsiTheme="minorHAnsi" w:cstheme="minorHAnsi"/>
                <w:b/>
                <w:bCs/>
              </w:rPr>
              <w:t>26</w:t>
            </w:r>
          </w:p>
        </w:tc>
        <w:tc>
          <w:tcPr>
            <w:tcW w:w="1559"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vAlign w:val="center"/>
          </w:tcPr>
          <w:p w14:paraId="126C12E3" w14:textId="5B6A3B9E" w:rsidR="002F0A2D" w:rsidRPr="007058B6" w:rsidRDefault="002F0A2D" w:rsidP="00360131">
            <w:pPr>
              <w:jc w:val="center"/>
              <w:rPr>
                <w:rFonts w:asciiTheme="minorHAnsi" w:hAnsiTheme="minorHAnsi" w:cstheme="minorHAnsi"/>
                <w:b/>
                <w:bCs/>
              </w:rPr>
            </w:pPr>
            <w:r w:rsidRPr="007058B6">
              <w:rPr>
                <w:rFonts w:asciiTheme="minorHAnsi" w:hAnsiTheme="minorHAnsi" w:cstheme="minorHAnsi"/>
                <w:b/>
                <w:bCs/>
              </w:rPr>
              <w:t>2026</w:t>
            </w:r>
            <w:r w:rsidR="00F33731" w:rsidRPr="007058B6">
              <w:rPr>
                <w:rFonts w:asciiTheme="minorHAnsi" w:hAnsiTheme="minorHAnsi" w:cstheme="minorHAnsi"/>
                <w:b/>
                <w:bCs/>
              </w:rPr>
              <w:t>–</w:t>
            </w:r>
            <w:r w:rsidRPr="007058B6">
              <w:rPr>
                <w:rFonts w:asciiTheme="minorHAnsi" w:hAnsiTheme="minorHAnsi" w:cstheme="minorHAnsi"/>
                <w:b/>
                <w:bCs/>
              </w:rPr>
              <w:t>27</w:t>
            </w:r>
          </w:p>
        </w:tc>
        <w:tc>
          <w:tcPr>
            <w:tcW w:w="1559"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vAlign w:val="center"/>
          </w:tcPr>
          <w:p w14:paraId="571D57F8" w14:textId="157E005B" w:rsidR="002F0A2D" w:rsidRPr="007058B6" w:rsidRDefault="002F0A2D" w:rsidP="00360131">
            <w:pPr>
              <w:jc w:val="center"/>
              <w:rPr>
                <w:rFonts w:asciiTheme="minorHAnsi" w:hAnsiTheme="minorHAnsi" w:cstheme="minorHAnsi"/>
                <w:b/>
                <w:bCs/>
              </w:rPr>
            </w:pPr>
            <w:r w:rsidRPr="007058B6">
              <w:rPr>
                <w:rFonts w:asciiTheme="minorHAnsi" w:hAnsiTheme="minorHAnsi" w:cstheme="minorHAnsi"/>
                <w:b/>
                <w:bCs/>
              </w:rPr>
              <w:t>2027</w:t>
            </w:r>
            <w:r w:rsidR="00F33731" w:rsidRPr="007058B6">
              <w:rPr>
                <w:rFonts w:asciiTheme="minorHAnsi" w:hAnsiTheme="minorHAnsi" w:cstheme="minorHAnsi"/>
                <w:b/>
                <w:bCs/>
              </w:rPr>
              <w:t>–</w:t>
            </w:r>
            <w:r w:rsidRPr="007058B6">
              <w:rPr>
                <w:rFonts w:asciiTheme="minorHAnsi" w:hAnsiTheme="minorHAnsi" w:cstheme="minorHAnsi"/>
                <w:b/>
                <w:bCs/>
              </w:rPr>
              <w:t>28</w:t>
            </w:r>
          </w:p>
        </w:tc>
        <w:tc>
          <w:tcPr>
            <w:tcW w:w="1560" w:type="dxa"/>
            <w:tcBorders>
              <w:top w:val="single" w:sz="4" w:space="0" w:color="002279"/>
              <w:left w:val="single" w:sz="4" w:space="0" w:color="FFFFFF" w:themeColor="background1"/>
              <w:bottom w:val="single" w:sz="2" w:space="0" w:color="002279"/>
              <w:right w:val="single" w:sz="4" w:space="0" w:color="002279"/>
            </w:tcBorders>
            <w:shd w:val="clear" w:color="auto" w:fill="002279"/>
            <w:vAlign w:val="center"/>
          </w:tcPr>
          <w:p w14:paraId="280FFAE3" w14:textId="075E93EE" w:rsidR="002F0A2D" w:rsidRPr="007058B6" w:rsidRDefault="002F0A2D" w:rsidP="00360131">
            <w:pPr>
              <w:jc w:val="center"/>
              <w:rPr>
                <w:rFonts w:asciiTheme="minorHAnsi" w:hAnsiTheme="minorHAnsi" w:cstheme="minorHAnsi"/>
                <w:b/>
                <w:bCs/>
              </w:rPr>
            </w:pPr>
            <w:r w:rsidRPr="007058B6">
              <w:rPr>
                <w:rFonts w:asciiTheme="minorHAnsi" w:hAnsiTheme="minorHAnsi" w:cstheme="minorHAnsi"/>
                <w:b/>
                <w:bCs/>
              </w:rPr>
              <w:t>Total</w:t>
            </w:r>
          </w:p>
        </w:tc>
      </w:tr>
      <w:tr w:rsidR="002F0A2D" w:rsidRPr="001105D5" w14:paraId="702FB710" w14:textId="761C1E23" w:rsidTr="00F8713B">
        <w:trPr>
          <w:cnfStyle w:val="000000100000" w:firstRow="0" w:lastRow="0" w:firstColumn="0" w:lastColumn="0" w:oddVBand="0" w:evenVBand="0" w:oddHBand="1" w:evenHBand="0" w:firstRowFirstColumn="0" w:firstRowLastColumn="0" w:lastRowFirstColumn="0" w:lastRowLastColumn="0"/>
        </w:trPr>
        <w:tc>
          <w:tcPr>
            <w:tcW w:w="1559" w:type="dxa"/>
            <w:tcBorders>
              <w:top w:val="single" w:sz="2" w:space="0" w:color="002279"/>
              <w:left w:val="single" w:sz="4" w:space="0" w:color="002279"/>
              <w:bottom w:val="single" w:sz="4" w:space="0" w:color="002279"/>
              <w:right w:val="single" w:sz="4" w:space="0" w:color="002279"/>
            </w:tcBorders>
            <w:shd w:val="clear" w:color="auto" w:fill="FFFFFF" w:themeFill="background1"/>
            <w:vAlign w:val="center"/>
          </w:tcPr>
          <w:p w14:paraId="73C1F733" w14:textId="46DDD23F" w:rsidR="002F0A2D" w:rsidRPr="007058B6" w:rsidRDefault="002F0A2D" w:rsidP="007058B6">
            <w:pPr>
              <w:jc w:val="center"/>
              <w:rPr>
                <w:rFonts w:cstheme="minorHAnsi"/>
              </w:rPr>
            </w:pPr>
            <w:r w:rsidRPr="007058B6">
              <w:rPr>
                <w:rFonts w:cstheme="minorHAnsi"/>
              </w:rPr>
              <w:t>0.</w:t>
            </w:r>
            <w:r w:rsidR="006E21FE">
              <w:rPr>
                <w:rFonts w:cstheme="minorHAnsi"/>
              </w:rPr>
              <w:t>18</w:t>
            </w:r>
          </w:p>
        </w:tc>
        <w:tc>
          <w:tcPr>
            <w:tcW w:w="1559" w:type="dxa"/>
            <w:tcBorders>
              <w:top w:val="single" w:sz="2" w:space="0" w:color="002279"/>
              <w:left w:val="single" w:sz="4" w:space="0" w:color="002279"/>
              <w:bottom w:val="single" w:sz="4" w:space="0" w:color="002279"/>
              <w:right w:val="single" w:sz="4" w:space="0" w:color="002279"/>
            </w:tcBorders>
            <w:shd w:val="clear" w:color="auto" w:fill="FFFFFF" w:themeFill="background1"/>
            <w:vAlign w:val="center"/>
          </w:tcPr>
          <w:p w14:paraId="7335541D" w14:textId="7C2EA454" w:rsidR="002F0A2D" w:rsidRPr="007058B6" w:rsidRDefault="002F0A2D" w:rsidP="007058B6">
            <w:pPr>
              <w:jc w:val="center"/>
              <w:rPr>
                <w:rFonts w:cstheme="minorHAnsi"/>
              </w:rPr>
            </w:pPr>
            <w:r w:rsidRPr="007058B6">
              <w:rPr>
                <w:rFonts w:cstheme="minorHAnsi"/>
              </w:rPr>
              <w:t>0.</w:t>
            </w:r>
            <w:r w:rsidR="006E21FE">
              <w:rPr>
                <w:rFonts w:cstheme="minorHAnsi"/>
              </w:rPr>
              <w:t>18</w:t>
            </w:r>
          </w:p>
        </w:tc>
        <w:tc>
          <w:tcPr>
            <w:tcW w:w="1560" w:type="dxa"/>
            <w:tcBorders>
              <w:top w:val="single" w:sz="2" w:space="0" w:color="002279"/>
              <w:left w:val="single" w:sz="4" w:space="0" w:color="002279"/>
              <w:bottom w:val="single" w:sz="4" w:space="0" w:color="002279"/>
              <w:right w:val="single" w:sz="4" w:space="0" w:color="002279"/>
            </w:tcBorders>
            <w:shd w:val="clear" w:color="auto" w:fill="FFFFFF" w:themeFill="background1"/>
            <w:vAlign w:val="center"/>
          </w:tcPr>
          <w:p w14:paraId="5FE8CEA6" w14:textId="1E162935" w:rsidR="002F0A2D" w:rsidRPr="007058B6" w:rsidRDefault="002F0A2D" w:rsidP="007058B6">
            <w:pPr>
              <w:jc w:val="center"/>
              <w:rPr>
                <w:rFonts w:cstheme="minorHAnsi"/>
              </w:rPr>
            </w:pPr>
            <w:r w:rsidRPr="007058B6">
              <w:rPr>
                <w:rFonts w:cstheme="minorHAnsi"/>
              </w:rPr>
              <w:t>0.</w:t>
            </w:r>
            <w:r w:rsidR="006E21FE">
              <w:rPr>
                <w:rFonts w:cstheme="minorHAnsi"/>
              </w:rPr>
              <w:t>18</w:t>
            </w:r>
          </w:p>
        </w:tc>
        <w:tc>
          <w:tcPr>
            <w:tcW w:w="1559" w:type="dxa"/>
            <w:tcBorders>
              <w:top w:val="single" w:sz="2" w:space="0" w:color="002279"/>
              <w:left w:val="single" w:sz="4" w:space="0" w:color="002279"/>
              <w:bottom w:val="single" w:sz="4" w:space="0" w:color="002279"/>
              <w:right w:val="single" w:sz="4" w:space="0" w:color="002279"/>
            </w:tcBorders>
            <w:shd w:val="clear" w:color="auto" w:fill="FFFFFF" w:themeFill="background1"/>
            <w:vAlign w:val="center"/>
          </w:tcPr>
          <w:p w14:paraId="014CA8B9" w14:textId="1E460B93" w:rsidR="002F0A2D" w:rsidRPr="007058B6" w:rsidRDefault="002F0A2D" w:rsidP="007058B6">
            <w:pPr>
              <w:jc w:val="center"/>
              <w:rPr>
                <w:rFonts w:cstheme="minorHAnsi"/>
              </w:rPr>
            </w:pPr>
            <w:r w:rsidRPr="007058B6">
              <w:rPr>
                <w:rFonts w:cstheme="minorHAnsi"/>
              </w:rPr>
              <w:t>0.</w:t>
            </w:r>
            <w:r w:rsidR="006E21FE">
              <w:rPr>
                <w:rFonts w:cstheme="minorHAnsi"/>
              </w:rPr>
              <w:t>18</w:t>
            </w:r>
          </w:p>
        </w:tc>
        <w:tc>
          <w:tcPr>
            <w:tcW w:w="1559" w:type="dxa"/>
            <w:tcBorders>
              <w:top w:val="single" w:sz="2" w:space="0" w:color="002279"/>
              <w:left w:val="single" w:sz="4" w:space="0" w:color="002279"/>
              <w:bottom w:val="single" w:sz="4" w:space="0" w:color="002279"/>
              <w:right w:val="single" w:sz="4" w:space="0" w:color="002279"/>
            </w:tcBorders>
            <w:shd w:val="clear" w:color="auto" w:fill="FFFFFF" w:themeFill="background1"/>
            <w:vAlign w:val="center"/>
          </w:tcPr>
          <w:p w14:paraId="74F182B1" w14:textId="5989EB4A" w:rsidR="002F0A2D" w:rsidRPr="007058B6" w:rsidRDefault="002F0A2D" w:rsidP="007058B6">
            <w:pPr>
              <w:jc w:val="center"/>
              <w:rPr>
                <w:rFonts w:cstheme="minorHAnsi"/>
              </w:rPr>
            </w:pPr>
            <w:r w:rsidRPr="007058B6">
              <w:rPr>
                <w:rFonts w:cstheme="minorHAnsi"/>
              </w:rPr>
              <w:t>0.</w:t>
            </w:r>
            <w:r w:rsidR="006E21FE">
              <w:rPr>
                <w:rFonts w:cstheme="minorHAnsi"/>
              </w:rPr>
              <w:t>18</w:t>
            </w:r>
          </w:p>
        </w:tc>
        <w:tc>
          <w:tcPr>
            <w:tcW w:w="1560" w:type="dxa"/>
            <w:tcBorders>
              <w:top w:val="single" w:sz="2" w:space="0" w:color="002279"/>
              <w:left w:val="single" w:sz="4" w:space="0" w:color="002279"/>
              <w:bottom w:val="single" w:sz="4" w:space="0" w:color="002279"/>
              <w:right w:val="single" w:sz="4" w:space="0" w:color="002279"/>
            </w:tcBorders>
            <w:shd w:val="clear" w:color="auto" w:fill="FFFFFF" w:themeFill="background1"/>
            <w:vAlign w:val="center"/>
          </w:tcPr>
          <w:p w14:paraId="2FBD0CDE" w14:textId="3714DADB" w:rsidR="002F0A2D" w:rsidRPr="007058B6" w:rsidRDefault="006B20C9" w:rsidP="00360131">
            <w:pPr>
              <w:jc w:val="center"/>
              <w:rPr>
                <w:rFonts w:cstheme="minorHAnsi"/>
                <w:b/>
              </w:rPr>
            </w:pPr>
            <w:r>
              <w:rPr>
                <w:rFonts w:cstheme="minorHAnsi"/>
                <w:b/>
              </w:rPr>
              <w:t>0.90</w:t>
            </w:r>
          </w:p>
        </w:tc>
      </w:tr>
    </w:tbl>
    <w:p w14:paraId="718EC271" w14:textId="77777777" w:rsidR="00C24B1F" w:rsidRDefault="00C24B1F" w:rsidP="00C24B1F">
      <w:pPr>
        <w:pStyle w:val="BodyText"/>
        <w:spacing w:line="222" w:lineRule="exact"/>
      </w:pPr>
    </w:p>
    <w:p w14:paraId="0CC65CF8" w14:textId="202154BE" w:rsidR="00C24B1F" w:rsidRDefault="00C24B1F" w:rsidP="0018204C">
      <w:pPr>
        <w:pStyle w:val="Heading3"/>
      </w:pPr>
      <w:r>
        <w:t xml:space="preserve">Water </w:t>
      </w:r>
      <w:r w:rsidR="00BC5987">
        <w:t>r</w:t>
      </w:r>
      <w:r>
        <w:t xml:space="preserve">ecycling </w:t>
      </w:r>
      <w:r w:rsidR="00BC5987">
        <w:t>p</w:t>
      </w:r>
      <w:r>
        <w:t>lants</w:t>
      </w:r>
    </w:p>
    <w:p w14:paraId="30E94992" w14:textId="0B9FC6D1" w:rsidR="00C24B1F" w:rsidRDefault="00C24B1F" w:rsidP="00C24B1F">
      <w:pPr>
        <w:rPr>
          <w:bCs/>
        </w:rPr>
      </w:pPr>
      <w:r>
        <w:rPr>
          <w:bCs/>
        </w:rPr>
        <w:t xml:space="preserve">South East Water manages </w:t>
      </w:r>
      <w:r w:rsidR="005A3548">
        <w:rPr>
          <w:bCs/>
        </w:rPr>
        <w:t>8</w:t>
      </w:r>
      <w:r>
        <w:rPr>
          <w:bCs/>
        </w:rPr>
        <w:t xml:space="preserve"> water recycling plants. A detailed review of existing infrastructure and capacity alongside growth forecasts indicates the need to upgrade assets to continue to meet customer service levels and regulatory compliance requirements. Upgrades will take place at Lang Lang, Longwarry, Mount Martha and Somers water recycling plants. These capital upgrades will in turn have an impact on ongoing operational costs. The step change is comprised of costs associated with sludge management, mechanical and electrical maintenance, laboratory sampling and testing, chemicals, energy and labour.</w:t>
      </w:r>
    </w:p>
    <w:p w14:paraId="04363F9E" w14:textId="2A331A8A" w:rsidR="0018204C" w:rsidRDefault="0018204C" w:rsidP="00C24B1F">
      <w:pPr>
        <w:rPr>
          <w:bCs/>
        </w:rPr>
      </w:pPr>
    </w:p>
    <w:p w14:paraId="058DDC14" w14:textId="2E40AABB" w:rsidR="002819EA" w:rsidRDefault="002819EA" w:rsidP="00C24B1F">
      <w:pPr>
        <w:rPr>
          <w:bCs/>
        </w:rPr>
      </w:pPr>
    </w:p>
    <w:p w14:paraId="01E29C02" w14:textId="6D87A48F" w:rsidR="002819EA" w:rsidRDefault="002819EA" w:rsidP="00C24B1F">
      <w:pPr>
        <w:rPr>
          <w:bCs/>
        </w:rPr>
      </w:pPr>
    </w:p>
    <w:p w14:paraId="07C0E5C3" w14:textId="77777777" w:rsidR="002819EA" w:rsidRDefault="002819EA" w:rsidP="00C24B1F">
      <w:pPr>
        <w:rPr>
          <w:bCs/>
        </w:rPr>
      </w:pPr>
    </w:p>
    <w:p w14:paraId="6CFC83B3" w14:textId="3D9FF882" w:rsidR="0018204C" w:rsidRPr="000C5D88" w:rsidRDefault="000C5D88" w:rsidP="002819EA">
      <w:pPr>
        <w:pStyle w:val="NormalIndent"/>
        <w:spacing w:after="120"/>
        <w:ind w:left="0"/>
        <w:rPr>
          <w:rFonts w:cs="Arial"/>
          <w:b/>
          <w:i/>
        </w:rPr>
      </w:pPr>
      <w:r w:rsidRPr="00CE6C4E">
        <w:rPr>
          <w:b/>
          <w:i/>
        </w:rPr>
        <w:lastRenderedPageBreak/>
        <w:t>Table</w:t>
      </w:r>
      <w:r w:rsidR="00BE5DE7">
        <w:rPr>
          <w:b/>
          <w:i/>
        </w:rPr>
        <w:t xml:space="preserve"> 66</w:t>
      </w:r>
      <w:r w:rsidRPr="007B339F">
        <w:rPr>
          <w:rFonts w:ascii="Arial" w:hAnsi="Arial" w:cs="Arial"/>
          <w:b/>
          <w:i/>
        </w:rPr>
        <w:t>:</w:t>
      </w:r>
      <w:r>
        <w:rPr>
          <w:rFonts w:ascii="Arial" w:hAnsi="Arial" w:cs="Arial"/>
          <w:b/>
          <w:i/>
        </w:rPr>
        <w:t xml:space="preserve"> </w:t>
      </w:r>
      <w:r w:rsidR="0018204C" w:rsidRPr="002474E8">
        <w:rPr>
          <w:rFonts w:cs="Arial"/>
          <w:b/>
          <w:i/>
        </w:rPr>
        <w:t xml:space="preserve">Water </w:t>
      </w:r>
      <w:r w:rsidR="002474E8" w:rsidRPr="002474E8">
        <w:rPr>
          <w:rFonts w:cs="Arial"/>
          <w:b/>
          <w:bCs/>
          <w:i/>
          <w:iCs/>
        </w:rPr>
        <w:t>r</w:t>
      </w:r>
      <w:r w:rsidR="0018204C" w:rsidRPr="002474E8">
        <w:rPr>
          <w:rFonts w:cs="Arial"/>
          <w:b/>
          <w:bCs/>
          <w:i/>
          <w:iCs/>
        </w:rPr>
        <w:t xml:space="preserve">ecycling </w:t>
      </w:r>
      <w:r w:rsidR="002474E8" w:rsidRPr="002474E8">
        <w:rPr>
          <w:rFonts w:cs="Arial"/>
          <w:b/>
          <w:bCs/>
          <w:i/>
          <w:iCs/>
        </w:rPr>
        <w:t>p</w:t>
      </w:r>
      <w:r w:rsidR="0018204C" w:rsidRPr="002474E8">
        <w:rPr>
          <w:rFonts w:cs="Arial"/>
          <w:b/>
          <w:bCs/>
          <w:i/>
          <w:iCs/>
        </w:rPr>
        <w:t>lants</w:t>
      </w:r>
      <w:r w:rsidR="0018204C" w:rsidRPr="002474E8">
        <w:rPr>
          <w:rFonts w:cs="Arial"/>
          <w:b/>
          <w:i/>
        </w:rPr>
        <w:t xml:space="preserve"> </w:t>
      </w:r>
      <w:r w:rsidR="00507B63" w:rsidRPr="006D1620">
        <w:rPr>
          <w:rFonts w:cs="Arial"/>
          <w:b/>
          <w:i/>
        </w:rPr>
        <w:t>(</w:t>
      </w:r>
      <w:r w:rsidR="00507B63">
        <w:rPr>
          <w:rFonts w:cs="Arial"/>
          <w:b/>
          <w:i/>
        </w:rPr>
        <w:t>$</w:t>
      </w:r>
      <w:r w:rsidR="0018204C" w:rsidRPr="002474E8">
        <w:rPr>
          <w:rFonts w:cs="Arial"/>
          <w:b/>
          <w:i/>
        </w:rPr>
        <w:t>million 2022</w:t>
      </w:r>
      <w:r w:rsidR="00F33731">
        <w:rPr>
          <w:rFonts w:cs="Arial"/>
          <w:b/>
          <w:i/>
        </w:rPr>
        <w:t>–</w:t>
      </w:r>
      <w:r w:rsidR="0018204C" w:rsidRPr="002474E8">
        <w:rPr>
          <w:rFonts w:cs="Arial"/>
          <w:b/>
          <w:i/>
        </w:rPr>
        <w:t>23)</w:t>
      </w:r>
    </w:p>
    <w:tbl>
      <w:tblPr>
        <w:tblStyle w:val="MJTableStyle1default"/>
        <w:tblW w:w="0" w:type="auto"/>
        <w:tblInd w:w="0" w:type="dxa"/>
        <w:tblLook w:val="04A0" w:firstRow="1" w:lastRow="0" w:firstColumn="1" w:lastColumn="0" w:noHBand="0" w:noVBand="1"/>
      </w:tblPr>
      <w:tblGrid>
        <w:gridCol w:w="1559"/>
        <w:gridCol w:w="1559"/>
        <w:gridCol w:w="1560"/>
        <w:gridCol w:w="1559"/>
        <w:gridCol w:w="1559"/>
        <w:gridCol w:w="1560"/>
      </w:tblGrid>
      <w:tr w:rsidR="0018204C" w:rsidRPr="002D368F" w14:paraId="319CCD99" w14:textId="36E7270F" w:rsidTr="00F8713B">
        <w:trPr>
          <w:cnfStyle w:val="100000000000" w:firstRow="1" w:lastRow="0" w:firstColumn="0" w:lastColumn="0" w:oddVBand="0" w:evenVBand="0" w:oddHBand="0" w:evenHBand="0" w:firstRowFirstColumn="0" w:firstRowLastColumn="0" w:lastRowFirstColumn="0" w:lastRowLastColumn="0"/>
          <w:trHeight w:val="523"/>
        </w:trPr>
        <w:tc>
          <w:tcPr>
            <w:tcW w:w="1559" w:type="dxa"/>
            <w:tcBorders>
              <w:top w:val="single" w:sz="4" w:space="0" w:color="002279"/>
              <w:left w:val="single" w:sz="4" w:space="0" w:color="002279"/>
              <w:bottom w:val="single" w:sz="2" w:space="0" w:color="002279"/>
              <w:right w:val="single" w:sz="4" w:space="0" w:color="FFFFFF" w:themeColor="background1"/>
            </w:tcBorders>
            <w:shd w:val="clear" w:color="auto" w:fill="002279"/>
            <w:vAlign w:val="center"/>
          </w:tcPr>
          <w:p w14:paraId="16A3285C" w14:textId="772E744F" w:rsidR="0018204C" w:rsidRPr="003C7B1A" w:rsidRDefault="0018204C" w:rsidP="00360131">
            <w:pPr>
              <w:jc w:val="center"/>
              <w:rPr>
                <w:rFonts w:asciiTheme="minorHAnsi" w:hAnsiTheme="minorHAnsi" w:cstheme="minorHAnsi"/>
                <w:b/>
                <w:bCs/>
              </w:rPr>
            </w:pPr>
            <w:r w:rsidRPr="003C7B1A">
              <w:rPr>
                <w:rFonts w:asciiTheme="minorHAnsi" w:hAnsiTheme="minorHAnsi" w:cstheme="minorHAnsi"/>
                <w:b/>
                <w:bCs/>
              </w:rPr>
              <w:t>2023</w:t>
            </w:r>
            <w:r w:rsidR="00F33731" w:rsidRPr="003C7B1A">
              <w:rPr>
                <w:rFonts w:asciiTheme="minorHAnsi" w:hAnsiTheme="minorHAnsi" w:cstheme="minorHAnsi"/>
                <w:b/>
                <w:bCs/>
              </w:rPr>
              <w:t>–</w:t>
            </w:r>
            <w:r w:rsidRPr="003C7B1A">
              <w:rPr>
                <w:rFonts w:asciiTheme="minorHAnsi" w:hAnsiTheme="minorHAnsi" w:cstheme="minorHAnsi"/>
                <w:b/>
                <w:bCs/>
              </w:rPr>
              <w:t>24</w:t>
            </w:r>
          </w:p>
        </w:tc>
        <w:tc>
          <w:tcPr>
            <w:tcW w:w="1559"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vAlign w:val="center"/>
          </w:tcPr>
          <w:p w14:paraId="0C501563" w14:textId="4C30FFD9" w:rsidR="0018204C" w:rsidRPr="003C7B1A" w:rsidRDefault="0018204C" w:rsidP="00360131">
            <w:pPr>
              <w:jc w:val="center"/>
              <w:rPr>
                <w:rFonts w:asciiTheme="minorHAnsi" w:hAnsiTheme="minorHAnsi" w:cstheme="minorHAnsi"/>
                <w:b/>
                <w:bCs/>
              </w:rPr>
            </w:pPr>
            <w:r w:rsidRPr="003C7B1A">
              <w:rPr>
                <w:rFonts w:asciiTheme="minorHAnsi" w:hAnsiTheme="minorHAnsi" w:cstheme="minorHAnsi"/>
                <w:b/>
                <w:bCs/>
              </w:rPr>
              <w:t>2024</w:t>
            </w:r>
            <w:r w:rsidR="00F33731" w:rsidRPr="003C7B1A">
              <w:rPr>
                <w:rFonts w:asciiTheme="minorHAnsi" w:hAnsiTheme="minorHAnsi" w:cstheme="minorHAnsi"/>
                <w:b/>
                <w:bCs/>
              </w:rPr>
              <w:t>–</w:t>
            </w:r>
            <w:r w:rsidRPr="003C7B1A">
              <w:rPr>
                <w:rFonts w:asciiTheme="minorHAnsi" w:hAnsiTheme="minorHAnsi" w:cstheme="minorHAnsi"/>
                <w:b/>
                <w:bCs/>
              </w:rPr>
              <w:t>25</w:t>
            </w:r>
          </w:p>
        </w:tc>
        <w:tc>
          <w:tcPr>
            <w:tcW w:w="1560"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vAlign w:val="center"/>
          </w:tcPr>
          <w:p w14:paraId="775120C6" w14:textId="0ED3F922" w:rsidR="0018204C" w:rsidRPr="003C7B1A" w:rsidRDefault="0018204C" w:rsidP="00360131">
            <w:pPr>
              <w:jc w:val="center"/>
              <w:rPr>
                <w:rFonts w:asciiTheme="minorHAnsi" w:hAnsiTheme="minorHAnsi" w:cstheme="minorHAnsi"/>
                <w:b/>
                <w:bCs/>
              </w:rPr>
            </w:pPr>
            <w:r w:rsidRPr="003C7B1A">
              <w:rPr>
                <w:rFonts w:asciiTheme="minorHAnsi" w:hAnsiTheme="minorHAnsi" w:cstheme="minorHAnsi"/>
                <w:b/>
                <w:bCs/>
              </w:rPr>
              <w:t>2025</w:t>
            </w:r>
            <w:r w:rsidR="00F33731" w:rsidRPr="003C7B1A">
              <w:rPr>
                <w:rFonts w:asciiTheme="minorHAnsi" w:hAnsiTheme="minorHAnsi" w:cstheme="minorHAnsi"/>
                <w:b/>
                <w:bCs/>
              </w:rPr>
              <w:t>–</w:t>
            </w:r>
            <w:r w:rsidRPr="003C7B1A">
              <w:rPr>
                <w:rFonts w:asciiTheme="minorHAnsi" w:hAnsiTheme="minorHAnsi" w:cstheme="minorHAnsi"/>
                <w:b/>
                <w:bCs/>
              </w:rPr>
              <w:t>26</w:t>
            </w:r>
          </w:p>
        </w:tc>
        <w:tc>
          <w:tcPr>
            <w:tcW w:w="1559"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vAlign w:val="center"/>
          </w:tcPr>
          <w:p w14:paraId="7E633367" w14:textId="750943E5" w:rsidR="0018204C" w:rsidRPr="003C7B1A" w:rsidRDefault="0018204C" w:rsidP="00360131">
            <w:pPr>
              <w:jc w:val="center"/>
              <w:rPr>
                <w:rFonts w:asciiTheme="minorHAnsi" w:hAnsiTheme="minorHAnsi" w:cstheme="minorHAnsi"/>
                <w:b/>
                <w:bCs/>
              </w:rPr>
            </w:pPr>
            <w:r w:rsidRPr="003C7B1A">
              <w:rPr>
                <w:rFonts w:asciiTheme="minorHAnsi" w:hAnsiTheme="minorHAnsi" w:cstheme="minorHAnsi"/>
                <w:b/>
                <w:bCs/>
              </w:rPr>
              <w:t>2026</w:t>
            </w:r>
            <w:r w:rsidR="00F33731" w:rsidRPr="003C7B1A">
              <w:rPr>
                <w:rFonts w:asciiTheme="minorHAnsi" w:hAnsiTheme="minorHAnsi" w:cstheme="minorHAnsi"/>
                <w:b/>
                <w:bCs/>
              </w:rPr>
              <w:t>–</w:t>
            </w:r>
            <w:r w:rsidRPr="003C7B1A">
              <w:rPr>
                <w:rFonts w:asciiTheme="minorHAnsi" w:hAnsiTheme="minorHAnsi" w:cstheme="minorHAnsi"/>
                <w:b/>
                <w:bCs/>
              </w:rPr>
              <w:t>27</w:t>
            </w:r>
          </w:p>
        </w:tc>
        <w:tc>
          <w:tcPr>
            <w:tcW w:w="1559"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vAlign w:val="center"/>
          </w:tcPr>
          <w:p w14:paraId="3EB7F0C7" w14:textId="7F7EB162" w:rsidR="0018204C" w:rsidRPr="003C7B1A" w:rsidRDefault="0018204C" w:rsidP="00360131">
            <w:pPr>
              <w:jc w:val="center"/>
              <w:rPr>
                <w:rFonts w:asciiTheme="minorHAnsi" w:hAnsiTheme="minorHAnsi" w:cstheme="minorHAnsi"/>
                <w:b/>
                <w:bCs/>
              </w:rPr>
            </w:pPr>
            <w:r w:rsidRPr="003C7B1A">
              <w:rPr>
                <w:rFonts w:asciiTheme="minorHAnsi" w:hAnsiTheme="minorHAnsi" w:cstheme="minorHAnsi"/>
                <w:b/>
                <w:bCs/>
              </w:rPr>
              <w:t>2027</w:t>
            </w:r>
            <w:r w:rsidR="00F33731" w:rsidRPr="003C7B1A">
              <w:rPr>
                <w:rFonts w:asciiTheme="minorHAnsi" w:hAnsiTheme="minorHAnsi" w:cstheme="minorHAnsi"/>
                <w:b/>
                <w:bCs/>
              </w:rPr>
              <w:t>–</w:t>
            </w:r>
            <w:r w:rsidRPr="003C7B1A">
              <w:rPr>
                <w:rFonts w:asciiTheme="minorHAnsi" w:hAnsiTheme="minorHAnsi" w:cstheme="minorHAnsi"/>
                <w:b/>
                <w:bCs/>
              </w:rPr>
              <w:t>28</w:t>
            </w:r>
          </w:p>
        </w:tc>
        <w:tc>
          <w:tcPr>
            <w:tcW w:w="1560" w:type="dxa"/>
            <w:tcBorders>
              <w:top w:val="single" w:sz="4" w:space="0" w:color="002279"/>
              <w:left w:val="single" w:sz="4" w:space="0" w:color="FFFFFF" w:themeColor="background1"/>
              <w:bottom w:val="single" w:sz="2" w:space="0" w:color="002279"/>
              <w:right w:val="single" w:sz="4" w:space="0" w:color="002279"/>
            </w:tcBorders>
            <w:shd w:val="clear" w:color="auto" w:fill="002279"/>
            <w:vAlign w:val="center"/>
          </w:tcPr>
          <w:p w14:paraId="5CD23500" w14:textId="578FCEC9" w:rsidR="0018204C" w:rsidRPr="003C7B1A" w:rsidRDefault="0018204C" w:rsidP="00360131">
            <w:pPr>
              <w:jc w:val="center"/>
              <w:rPr>
                <w:rFonts w:asciiTheme="minorHAnsi" w:hAnsiTheme="minorHAnsi" w:cstheme="minorHAnsi"/>
                <w:b/>
                <w:bCs/>
              </w:rPr>
            </w:pPr>
            <w:r w:rsidRPr="003C7B1A">
              <w:rPr>
                <w:rFonts w:asciiTheme="minorHAnsi" w:hAnsiTheme="minorHAnsi" w:cstheme="minorHAnsi"/>
                <w:b/>
                <w:bCs/>
              </w:rPr>
              <w:t>Total</w:t>
            </w:r>
          </w:p>
        </w:tc>
      </w:tr>
      <w:tr w:rsidR="0018204C" w:rsidRPr="002474E8" w14:paraId="7B7A0F42" w14:textId="0BD077AF" w:rsidTr="00F8713B">
        <w:trPr>
          <w:cnfStyle w:val="000000100000" w:firstRow="0" w:lastRow="0" w:firstColumn="0" w:lastColumn="0" w:oddVBand="0" w:evenVBand="0" w:oddHBand="1" w:evenHBand="0" w:firstRowFirstColumn="0" w:firstRowLastColumn="0" w:lastRowFirstColumn="0" w:lastRowLastColumn="0"/>
        </w:trPr>
        <w:tc>
          <w:tcPr>
            <w:tcW w:w="1559" w:type="dxa"/>
            <w:tcBorders>
              <w:top w:val="single" w:sz="2" w:space="0" w:color="002279"/>
              <w:left w:val="single" w:sz="4" w:space="0" w:color="002279"/>
              <w:bottom w:val="single" w:sz="4" w:space="0" w:color="002279"/>
              <w:right w:val="single" w:sz="4" w:space="0" w:color="002279"/>
            </w:tcBorders>
            <w:shd w:val="clear" w:color="auto" w:fill="FFFFFF" w:themeFill="background1"/>
            <w:vAlign w:val="center"/>
          </w:tcPr>
          <w:p w14:paraId="6E843EC7" w14:textId="4A230F53" w:rsidR="0018204C" w:rsidRPr="003C7B1A" w:rsidRDefault="0018204C" w:rsidP="003C7B1A">
            <w:pPr>
              <w:jc w:val="center"/>
              <w:rPr>
                <w:rFonts w:cstheme="minorHAnsi"/>
              </w:rPr>
            </w:pPr>
            <w:r w:rsidRPr="003C7B1A">
              <w:rPr>
                <w:rFonts w:cstheme="minorHAnsi"/>
              </w:rPr>
              <w:t>1.3</w:t>
            </w:r>
            <w:r w:rsidR="00FE40D2">
              <w:rPr>
                <w:rFonts w:cstheme="minorHAnsi"/>
              </w:rPr>
              <w:t>4</w:t>
            </w:r>
          </w:p>
        </w:tc>
        <w:tc>
          <w:tcPr>
            <w:tcW w:w="1559" w:type="dxa"/>
            <w:tcBorders>
              <w:top w:val="single" w:sz="2" w:space="0" w:color="002279"/>
              <w:left w:val="single" w:sz="4" w:space="0" w:color="002279"/>
              <w:bottom w:val="single" w:sz="4" w:space="0" w:color="002279"/>
              <w:right w:val="single" w:sz="4" w:space="0" w:color="002279"/>
            </w:tcBorders>
            <w:shd w:val="clear" w:color="auto" w:fill="FFFFFF" w:themeFill="background1"/>
            <w:vAlign w:val="center"/>
          </w:tcPr>
          <w:p w14:paraId="626950ED" w14:textId="7AB5C641" w:rsidR="0018204C" w:rsidRPr="003C7B1A" w:rsidRDefault="0018204C" w:rsidP="003C7B1A">
            <w:pPr>
              <w:jc w:val="center"/>
              <w:rPr>
                <w:rFonts w:cstheme="minorHAnsi"/>
              </w:rPr>
            </w:pPr>
            <w:r w:rsidRPr="003C7B1A">
              <w:rPr>
                <w:rFonts w:cstheme="minorHAnsi"/>
              </w:rPr>
              <w:t>1.7</w:t>
            </w:r>
            <w:r w:rsidR="00FE40D2">
              <w:rPr>
                <w:rFonts w:cstheme="minorHAnsi"/>
              </w:rPr>
              <w:t>8</w:t>
            </w:r>
          </w:p>
        </w:tc>
        <w:tc>
          <w:tcPr>
            <w:tcW w:w="1560" w:type="dxa"/>
            <w:tcBorders>
              <w:top w:val="single" w:sz="2" w:space="0" w:color="002279"/>
              <w:left w:val="single" w:sz="4" w:space="0" w:color="002279"/>
              <w:bottom w:val="single" w:sz="4" w:space="0" w:color="002279"/>
              <w:right w:val="single" w:sz="4" w:space="0" w:color="002279"/>
            </w:tcBorders>
            <w:shd w:val="clear" w:color="auto" w:fill="FFFFFF" w:themeFill="background1"/>
            <w:vAlign w:val="center"/>
          </w:tcPr>
          <w:p w14:paraId="7D527F04" w14:textId="19717685" w:rsidR="0018204C" w:rsidRPr="003C7B1A" w:rsidRDefault="0018204C" w:rsidP="003C7B1A">
            <w:pPr>
              <w:jc w:val="center"/>
              <w:rPr>
                <w:rFonts w:cstheme="minorHAnsi"/>
              </w:rPr>
            </w:pPr>
            <w:r w:rsidRPr="003C7B1A">
              <w:rPr>
                <w:rFonts w:cstheme="minorHAnsi"/>
              </w:rPr>
              <w:t>2.9</w:t>
            </w:r>
            <w:r w:rsidR="00FE40D2">
              <w:rPr>
                <w:rFonts w:cstheme="minorHAnsi"/>
              </w:rPr>
              <w:t>5</w:t>
            </w:r>
          </w:p>
        </w:tc>
        <w:tc>
          <w:tcPr>
            <w:tcW w:w="1559" w:type="dxa"/>
            <w:tcBorders>
              <w:top w:val="single" w:sz="2" w:space="0" w:color="002279"/>
              <w:left w:val="single" w:sz="4" w:space="0" w:color="002279"/>
              <w:bottom w:val="single" w:sz="4" w:space="0" w:color="002279"/>
              <w:right w:val="single" w:sz="4" w:space="0" w:color="002279"/>
            </w:tcBorders>
            <w:shd w:val="clear" w:color="auto" w:fill="FFFFFF" w:themeFill="background1"/>
            <w:vAlign w:val="center"/>
          </w:tcPr>
          <w:p w14:paraId="60DFC45F" w14:textId="1689BBA3" w:rsidR="0018204C" w:rsidRPr="003C7B1A" w:rsidRDefault="0018204C" w:rsidP="003C7B1A">
            <w:pPr>
              <w:jc w:val="center"/>
              <w:rPr>
                <w:rFonts w:cstheme="minorHAnsi"/>
              </w:rPr>
            </w:pPr>
            <w:r w:rsidRPr="003C7B1A">
              <w:rPr>
                <w:rFonts w:cstheme="minorHAnsi"/>
              </w:rPr>
              <w:t>2.4</w:t>
            </w:r>
            <w:r w:rsidR="00FE40D2">
              <w:rPr>
                <w:rFonts w:cstheme="minorHAnsi"/>
              </w:rPr>
              <w:t>2</w:t>
            </w:r>
          </w:p>
        </w:tc>
        <w:tc>
          <w:tcPr>
            <w:tcW w:w="1559" w:type="dxa"/>
            <w:tcBorders>
              <w:top w:val="single" w:sz="2" w:space="0" w:color="002279"/>
              <w:left w:val="single" w:sz="4" w:space="0" w:color="002279"/>
              <w:bottom w:val="single" w:sz="4" w:space="0" w:color="002279"/>
              <w:right w:val="single" w:sz="4" w:space="0" w:color="002279"/>
            </w:tcBorders>
            <w:shd w:val="clear" w:color="auto" w:fill="FFFFFF" w:themeFill="background1"/>
            <w:vAlign w:val="center"/>
          </w:tcPr>
          <w:p w14:paraId="037D5D89" w14:textId="77777777" w:rsidR="0018204C" w:rsidRPr="003C7B1A" w:rsidRDefault="0018204C" w:rsidP="003C7B1A">
            <w:pPr>
              <w:jc w:val="center"/>
              <w:rPr>
                <w:rFonts w:cstheme="minorHAnsi"/>
              </w:rPr>
            </w:pPr>
            <w:r w:rsidRPr="003C7B1A">
              <w:rPr>
                <w:rFonts w:cstheme="minorHAnsi"/>
              </w:rPr>
              <w:t>2.69</w:t>
            </w:r>
          </w:p>
        </w:tc>
        <w:tc>
          <w:tcPr>
            <w:tcW w:w="1560" w:type="dxa"/>
            <w:tcBorders>
              <w:top w:val="single" w:sz="2" w:space="0" w:color="002279"/>
              <w:left w:val="single" w:sz="4" w:space="0" w:color="002279"/>
              <w:bottom w:val="single" w:sz="4" w:space="0" w:color="002279"/>
              <w:right w:val="single" w:sz="4" w:space="0" w:color="002279"/>
            </w:tcBorders>
            <w:shd w:val="clear" w:color="auto" w:fill="FFFFFF" w:themeFill="background1"/>
            <w:vAlign w:val="center"/>
          </w:tcPr>
          <w:p w14:paraId="578C35D6" w14:textId="65190379" w:rsidR="0018204C" w:rsidRPr="003C7B1A" w:rsidRDefault="0059326D" w:rsidP="00360131">
            <w:pPr>
              <w:jc w:val="center"/>
              <w:rPr>
                <w:rFonts w:cstheme="minorHAnsi"/>
                <w:b/>
              </w:rPr>
            </w:pPr>
            <w:r w:rsidRPr="003C7B1A">
              <w:rPr>
                <w:rFonts w:cstheme="minorHAnsi"/>
                <w:b/>
              </w:rPr>
              <w:t>11.</w:t>
            </w:r>
            <w:r w:rsidR="00FE40D2">
              <w:rPr>
                <w:rFonts w:cstheme="minorHAnsi"/>
                <w:b/>
              </w:rPr>
              <w:t>18</w:t>
            </w:r>
          </w:p>
        </w:tc>
      </w:tr>
    </w:tbl>
    <w:p w14:paraId="14A8438D" w14:textId="77777777" w:rsidR="00C24B1F" w:rsidRDefault="00C24B1F" w:rsidP="00C24B1F">
      <w:pPr>
        <w:pStyle w:val="BodyText"/>
        <w:spacing w:line="222" w:lineRule="exact"/>
        <w:ind w:left="720"/>
      </w:pPr>
    </w:p>
    <w:p w14:paraId="16343358" w14:textId="7FF03A97" w:rsidR="00C24B1F" w:rsidRDefault="00C24B1F" w:rsidP="00FD7B4B">
      <w:pPr>
        <w:pStyle w:val="Heading3"/>
      </w:pPr>
      <w:r>
        <w:t xml:space="preserve">New </w:t>
      </w:r>
      <w:r w:rsidR="005A3548">
        <w:t>a</w:t>
      </w:r>
      <w:r>
        <w:t>ssets</w:t>
      </w:r>
    </w:p>
    <w:p w14:paraId="6BA27681" w14:textId="3A67ECEB" w:rsidR="00C24B1F" w:rsidRDefault="00C24B1F" w:rsidP="00C24B1F">
      <w:pPr>
        <w:rPr>
          <w:bCs/>
        </w:rPr>
      </w:pPr>
      <w:r>
        <w:rPr>
          <w:bCs/>
        </w:rPr>
        <w:t>This step change is to allow for the additional operating expenditure associated with the development of 10 new pumping stations</w:t>
      </w:r>
      <w:r w:rsidR="005A3548">
        <w:rPr>
          <w:bCs/>
        </w:rPr>
        <w:t>,</w:t>
      </w:r>
      <w:r>
        <w:rPr>
          <w:bCs/>
        </w:rPr>
        <w:t xml:space="preserve"> planned to service growth within </w:t>
      </w:r>
      <w:r w:rsidR="005A3548">
        <w:rPr>
          <w:bCs/>
        </w:rPr>
        <w:t>the</w:t>
      </w:r>
      <w:r>
        <w:rPr>
          <w:bCs/>
        </w:rPr>
        <w:t xml:space="preserve"> 2023</w:t>
      </w:r>
      <w:r w:rsidR="00F33731">
        <w:rPr>
          <w:bCs/>
        </w:rPr>
        <w:t>–</w:t>
      </w:r>
      <w:r>
        <w:rPr>
          <w:bCs/>
        </w:rPr>
        <w:t>28</w:t>
      </w:r>
      <w:r w:rsidR="005A3548">
        <w:rPr>
          <w:bCs/>
        </w:rPr>
        <w:t xml:space="preserve"> price period</w:t>
      </w:r>
      <w:r>
        <w:rPr>
          <w:bCs/>
        </w:rPr>
        <w:t xml:space="preserve">. The operating expenditure is comprised of electricity and mechanical and electrical maintenance costs over that period. </w:t>
      </w:r>
    </w:p>
    <w:p w14:paraId="3E6F43E0" w14:textId="77777777" w:rsidR="00FD7B4B" w:rsidRDefault="00FD7B4B" w:rsidP="00C24B1F">
      <w:pPr>
        <w:rPr>
          <w:bCs/>
        </w:rPr>
      </w:pPr>
    </w:p>
    <w:p w14:paraId="2177EE26" w14:textId="670ECB73" w:rsidR="00FD7B4B" w:rsidRPr="000C5D88" w:rsidRDefault="000C5D88" w:rsidP="002819EA">
      <w:pPr>
        <w:pStyle w:val="NormalIndent"/>
        <w:spacing w:after="120"/>
        <w:ind w:left="0"/>
        <w:rPr>
          <w:rFonts w:cs="Arial"/>
          <w:b/>
          <w:i/>
        </w:rPr>
      </w:pPr>
      <w:r w:rsidRPr="00CE6C4E">
        <w:rPr>
          <w:b/>
          <w:i/>
        </w:rPr>
        <w:t>Table</w:t>
      </w:r>
      <w:r w:rsidR="00BE5DE7">
        <w:rPr>
          <w:b/>
          <w:i/>
        </w:rPr>
        <w:t xml:space="preserve"> 67</w:t>
      </w:r>
      <w:r w:rsidRPr="007B339F">
        <w:rPr>
          <w:rFonts w:ascii="Arial" w:hAnsi="Arial" w:cs="Arial"/>
          <w:b/>
          <w:i/>
        </w:rPr>
        <w:t>:</w:t>
      </w:r>
      <w:r>
        <w:rPr>
          <w:rFonts w:ascii="Arial" w:hAnsi="Arial" w:cs="Arial"/>
          <w:b/>
          <w:i/>
        </w:rPr>
        <w:t xml:space="preserve"> </w:t>
      </w:r>
      <w:r w:rsidR="00FD7B4B" w:rsidRPr="001879E6">
        <w:rPr>
          <w:rFonts w:cs="Arial"/>
          <w:b/>
          <w:i/>
        </w:rPr>
        <w:t xml:space="preserve">New </w:t>
      </w:r>
      <w:r w:rsidR="001879E6" w:rsidRPr="001879E6">
        <w:rPr>
          <w:rFonts w:cs="Arial"/>
          <w:b/>
          <w:bCs/>
          <w:i/>
          <w:iCs/>
        </w:rPr>
        <w:t>a</w:t>
      </w:r>
      <w:r w:rsidR="00FD7B4B" w:rsidRPr="001879E6">
        <w:rPr>
          <w:rFonts w:cs="Arial"/>
          <w:b/>
          <w:bCs/>
          <w:i/>
          <w:iCs/>
        </w:rPr>
        <w:t>ssets</w:t>
      </w:r>
      <w:r w:rsidR="00FD7B4B" w:rsidRPr="001879E6">
        <w:rPr>
          <w:rFonts w:cs="Arial"/>
          <w:b/>
          <w:i/>
        </w:rPr>
        <w:t xml:space="preserve"> </w:t>
      </w:r>
      <w:r w:rsidR="00507B63" w:rsidRPr="006D1620">
        <w:rPr>
          <w:rFonts w:cs="Arial"/>
          <w:b/>
          <w:i/>
        </w:rPr>
        <w:t>(</w:t>
      </w:r>
      <w:r w:rsidR="00507B63">
        <w:rPr>
          <w:rFonts w:cs="Arial"/>
          <w:b/>
          <w:i/>
        </w:rPr>
        <w:t>$</w:t>
      </w:r>
      <w:r w:rsidR="00FD7B4B" w:rsidRPr="001879E6">
        <w:rPr>
          <w:rFonts w:cs="Arial"/>
          <w:b/>
          <w:i/>
        </w:rPr>
        <w:t>million 2022</w:t>
      </w:r>
      <w:r w:rsidR="00F33731">
        <w:rPr>
          <w:rFonts w:cs="Arial"/>
          <w:b/>
          <w:i/>
        </w:rPr>
        <w:t>–</w:t>
      </w:r>
      <w:r w:rsidR="00FD7B4B" w:rsidRPr="001879E6">
        <w:rPr>
          <w:rFonts w:cs="Arial"/>
          <w:b/>
          <w:i/>
        </w:rPr>
        <w:t>23)</w:t>
      </w:r>
    </w:p>
    <w:tbl>
      <w:tblPr>
        <w:tblStyle w:val="MJTableStyle1default"/>
        <w:tblW w:w="0" w:type="auto"/>
        <w:tblInd w:w="0" w:type="dxa"/>
        <w:tblLook w:val="04A0" w:firstRow="1" w:lastRow="0" w:firstColumn="1" w:lastColumn="0" w:noHBand="0" w:noVBand="1"/>
      </w:tblPr>
      <w:tblGrid>
        <w:gridCol w:w="1559"/>
        <w:gridCol w:w="1559"/>
        <w:gridCol w:w="1560"/>
        <w:gridCol w:w="1559"/>
        <w:gridCol w:w="1559"/>
        <w:gridCol w:w="1560"/>
      </w:tblGrid>
      <w:tr w:rsidR="00FD7B4B" w:rsidRPr="002D368F" w14:paraId="54F21B2C" w14:textId="2862CEEC" w:rsidTr="00F8713B">
        <w:trPr>
          <w:cnfStyle w:val="100000000000" w:firstRow="1" w:lastRow="0" w:firstColumn="0" w:lastColumn="0" w:oddVBand="0" w:evenVBand="0" w:oddHBand="0" w:evenHBand="0" w:firstRowFirstColumn="0" w:firstRowLastColumn="0" w:lastRowFirstColumn="0" w:lastRowLastColumn="0"/>
          <w:trHeight w:val="503"/>
        </w:trPr>
        <w:tc>
          <w:tcPr>
            <w:tcW w:w="1559" w:type="dxa"/>
            <w:tcBorders>
              <w:top w:val="single" w:sz="4" w:space="0" w:color="002279"/>
              <w:left w:val="single" w:sz="4" w:space="0" w:color="002279"/>
              <w:bottom w:val="single" w:sz="2" w:space="0" w:color="002279"/>
              <w:right w:val="single" w:sz="4" w:space="0" w:color="FFFFFF" w:themeColor="background1"/>
            </w:tcBorders>
            <w:shd w:val="clear" w:color="auto" w:fill="002279"/>
            <w:vAlign w:val="center"/>
          </w:tcPr>
          <w:p w14:paraId="296EF012" w14:textId="7CCA8ADA" w:rsidR="00FD7B4B" w:rsidRPr="00116E55" w:rsidRDefault="00FD7B4B" w:rsidP="00360131">
            <w:pPr>
              <w:jc w:val="center"/>
              <w:rPr>
                <w:rFonts w:asciiTheme="minorHAnsi" w:hAnsiTheme="minorHAnsi" w:cstheme="minorHAnsi"/>
                <w:b/>
                <w:bCs/>
                <w:szCs w:val="22"/>
              </w:rPr>
            </w:pPr>
            <w:r w:rsidRPr="00116E55">
              <w:rPr>
                <w:rFonts w:asciiTheme="minorHAnsi" w:hAnsiTheme="minorHAnsi" w:cstheme="minorHAnsi"/>
                <w:b/>
                <w:bCs/>
                <w:szCs w:val="22"/>
              </w:rPr>
              <w:t>2023</w:t>
            </w:r>
            <w:r w:rsidR="00F33731" w:rsidRPr="00116E55">
              <w:rPr>
                <w:rFonts w:asciiTheme="minorHAnsi" w:hAnsiTheme="minorHAnsi" w:cstheme="minorHAnsi"/>
                <w:b/>
                <w:bCs/>
                <w:szCs w:val="22"/>
              </w:rPr>
              <w:t>–</w:t>
            </w:r>
            <w:r w:rsidRPr="00116E55">
              <w:rPr>
                <w:rFonts w:asciiTheme="minorHAnsi" w:hAnsiTheme="minorHAnsi" w:cstheme="minorHAnsi"/>
                <w:b/>
                <w:bCs/>
                <w:szCs w:val="22"/>
              </w:rPr>
              <w:t>24</w:t>
            </w:r>
          </w:p>
        </w:tc>
        <w:tc>
          <w:tcPr>
            <w:tcW w:w="1559"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vAlign w:val="center"/>
          </w:tcPr>
          <w:p w14:paraId="1FFC9CC3" w14:textId="013DB6EC" w:rsidR="00FD7B4B" w:rsidRPr="00116E55" w:rsidRDefault="00FD7B4B" w:rsidP="00360131">
            <w:pPr>
              <w:jc w:val="center"/>
              <w:rPr>
                <w:rFonts w:asciiTheme="minorHAnsi" w:hAnsiTheme="minorHAnsi" w:cstheme="minorHAnsi"/>
                <w:b/>
                <w:bCs/>
                <w:szCs w:val="22"/>
              </w:rPr>
            </w:pPr>
            <w:r w:rsidRPr="00116E55">
              <w:rPr>
                <w:rFonts w:asciiTheme="minorHAnsi" w:hAnsiTheme="minorHAnsi" w:cstheme="minorHAnsi"/>
                <w:b/>
                <w:bCs/>
                <w:szCs w:val="22"/>
              </w:rPr>
              <w:t>2024</w:t>
            </w:r>
            <w:r w:rsidR="00F33731" w:rsidRPr="00116E55">
              <w:rPr>
                <w:rFonts w:asciiTheme="minorHAnsi" w:hAnsiTheme="minorHAnsi" w:cstheme="minorHAnsi"/>
                <w:b/>
                <w:bCs/>
                <w:szCs w:val="22"/>
              </w:rPr>
              <w:t>–</w:t>
            </w:r>
            <w:r w:rsidRPr="00116E55">
              <w:rPr>
                <w:rFonts w:asciiTheme="minorHAnsi" w:hAnsiTheme="minorHAnsi" w:cstheme="minorHAnsi"/>
                <w:b/>
                <w:bCs/>
                <w:szCs w:val="22"/>
              </w:rPr>
              <w:t>25</w:t>
            </w:r>
          </w:p>
        </w:tc>
        <w:tc>
          <w:tcPr>
            <w:tcW w:w="1560"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vAlign w:val="center"/>
          </w:tcPr>
          <w:p w14:paraId="39169D7D" w14:textId="379F3A9A" w:rsidR="00FD7B4B" w:rsidRPr="00116E55" w:rsidRDefault="00FD7B4B" w:rsidP="00360131">
            <w:pPr>
              <w:jc w:val="center"/>
              <w:rPr>
                <w:rFonts w:asciiTheme="minorHAnsi" w:hAnsiTheme="minorHAnsi" w:cstheme="minorHAnsi"/>
                <w:b/>
                <w:bCs/>
                <w:szCs w:val="22"/>
              </w:rPr>
            </w:pPr>
            <w:r w:rsidRPr="00116E55">
              <w:rPr>
                <w:rFonts w:asciiTheme="minorHAnsi" w:hAnsiTheme="minorHAnsi" w:cstheme="minorHAnsi"/>
                <w:b/>
                <w:bCs/>
                <w:szCs w:val="22"/>
              </w:rPr>
              <w:t>2025</w:t>
            </w:r>
            <w:r w:rsidR="00F33731" w:rsidRPr="00116E55">
              <w:rPr>
                <w:rFonts w:asciiTheme="minorHAnsi" w:hAnsiTheme="minorHAnsi" w:cstheme="minorHAnsi"/>
                <w:b/>
                <w:bCs/>
                <w:szCs w:val="22"/>
              </w:rPr>
              <w:t>–</w:t>
            </w:r>
            <w:r w:rsidRPr="00116E55">
              <w:rPr>
                <w:rFonts w:asciiTheme="minorHAnsi" w:hAnsiTheme="minorHAnsi" w:cstheme="minorHAnsi"/>
                <w:b/>
                <w:bCs/>
                <w:szCs w:val="22"/>
              </w:rPr>
              <w:t>26</w:t>
            </w:r>
          </w:p>
        </w:tc>
        <w:tc>
          <w:tcPr>
            <w:tcW w:w="1559"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vAlign w:val="center"/>
          </w:tcPr>
          <w:p w14:paraId="33A4842D" w14:textId="7297E8A1" w:rsidR="00FD7B4B" w:rsidRPr="00116E55" w:rsidRDefault="00FD7B4B" w:rsidP="00360131">
            <w:pPr>
              <w:jc w:val="center"/>
              <w:rPr>
                <w:rFonts w:asciiTheme="minorHAnsi" w:hAnsiTheme="minorHAnsi" w:cstheme="minorHAnsi"/>
                <w:b/>
                <w:bCs/>
                <w:szCs w:val="22"/>
              </w:rPr>
            </w:pPr>
            <w:r w:rsidRPr="00116E55">
              <w:rPr>
                <w:rFonts w:asciiTheme="minorHAnsi" w:hAnsiTheme="minorHAnsi" w:cstheme="minorHAnsi"/>
                <w:b/>
                <w:bCs/>
                <w:szCs w:val="22"/>
              </w:rPr>
              <w:t>2026</w:t>
            </w:r>
            <w:r w:rsidR="00F33731" w:rsidRPr="00116E55">
              <w:rPr>
                <w:rFonts w:asciiTheme="minorHAnsi" w:hAnsiTheme="minorHAnsi" w:cstheme="minorHAnsi"/>
                <w:b/>
                <w:bCs/>
                <w:szCs w:val="22"/>
              </w:rPr>
              <w:t>–</w:t>
            </w:r>
            <w:r w:rsidRPr="00116E55">
              <w:rPr>
                <w:rFonts w:asciiTheme="minorHAnsi" w:hAnsiTheme="minorHAnsi" w:cstheme="minorHAnsi"/>
                <w:b/>
                <w:bCs/>
                <w:szCs w:val="22"/>
              </w:rPr>
              <w:t>27</w:t>
            </w:r>
          </w:p>
        </w:tc>
        <w:tc>
          <w:tcPr>
            <w:tcW w:w="1559"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vAlign w:val="center"/>
          </w:tcPr>
          <w:p w14:paraId="496F7BED" w14:textId="48C4671E" w:rsidR="00FD7B4B" w:rsidRPr="00116E55" w:rsidRDefault="00FD7B4B" w:rsidP="00360131">
            <w:pPr>
              <w:jc w:val="center"/>
              <w:rPr>
                <w:rFonts w:asciiTheme="minorHAnsi" w:hAnsiTheme="minorHAnsi" w:cstheme="minorHAnsi"/>
                <w:b/>
                <w:bCs/>
                <w:szCs w:val="22"/>
              </w:rPr>
            </w:pPr>
            <w:r w:rsidRPr="00116E55">
              <w:rPr>
                <w:rFonts w:asciiTheme="minorHAnsi" w:hAnsiTheme="minorHAnsi" w:cstheme="minorHAnsi"/>
                <w:b/>
                <w:bCs/>
                <w:szCs w:val="22"/>
              </w:rPr>
              <w:t>2027</w:t>
            </w:r>
            <w:r w:rsidR="00F33731" w:rsidRPr="00116E55">
              <w:rPr>
                <w:rFonts w:asciiTheme="minorHAnsi" w:hAnsiTheme="minorHAnsi" w:cstheme="minorHAnsi"/>
                <w:b/>
                <w:bCs/>
                <w:szCs w:val="22"/>
              </w:rPr>
              <w:t>–</w:t>
            </w:r>
            <w:r w:rsidRPr="00116E55">
              <w:rPr>
                <w:rFonts w:asciiTheme="minorHAnsi" w:hAnsiTheme="minorHAnsi" w:cstheme="minorHAnsi"/>
                <w:b/>
                <w:bCs/>
                <w:szCs w:val="22"/>
              </w:rPr>
              <w:t>28</w:t>
            </w:r>
          </w:p>
        </w:tc>
        <w:tc>
          <w:tcPr>
            <w:tcW w:w="1560" w:type="dxa"/>
            <w:tcBorders>
              <w:top w:val="single" w:sz="4" w:space="0" w:color="002279"/>
              <w:left w:val="single" w:sz="4" w:space="0" w:color="FFFFFF" w:themeColor="background1"/>
              <w:bottom w:val="single" w:sz="2" w:space="0" w:color="002279"/>
              <w:right w:val="single" w:sz="4" w:space="0" w:color="002279"/>
            </w:tcBorders>
            <w:shd w:val="clear" w:color="auto" w:fill="002279"/>
            <w:vAlign w:val="center"/>
          </w:tcPr>
          <w:p w14:paraId="71A8F1C6" w14:textId="0ADD6CAE" w:rsidR="00FD7B4B" w:rsidRPr="00116E55" w:rsidRDefault="00FD7B4B" w:rsidP="00360131">
            <w:pPr>
              <w:jc w:val="center"/>
              <w:rPr>
                <w:rFonts w:asciiTheme="minorHAnsi" w:hAnsiTheme="minorHAnsi" w:cstheme="minorHAnsi"/>
                <w:b/>
                <w:bCs/>
                <w:szCs w:val="22"/>
              </w:rPr>
            </w:pPr>
            <w:r w:rsidRPr="00116E55">
              <w:rPr>
                <w:rFonts w:asciiTheme="minorHAnsi" w:hAnsiTheme="minorHAnsi" w:cstheme="minorHAnsi"/>
                <w:b/>
                <w:bCs/>
                <w:szCs w:val="22"/>
              </w:rPr>
              <w:t>Total</w:t>
            </w:r>
          </w:p>
        </w:tc>
      </w:tr>
      <w:tr w:rsidR="00FD7B4B" w:rsidRPr="001879E6" w14:paraId="0FB20E60" w14:textId="6DA8FC30" w:rsidTr="00F8713B">
        <w:trPr>
          <w:cnfStyle w:val="000000100000" w:firstRow="0" w:lastRow="0" w:firstColumn="0" w:lastColumn="0" w:oddVBand="0" w:evenVBand="0" w:oddHBand="1" w:evenHBand="0" w:firstRowFirstColumn="0" w:firstRowLastColumn="0" w:lastRowFirstColumn="0" w:lastRowLastColumn="0"/>
        </w:trPr>
        <w:tc>
          <w:tcPr>
            <w:tcW w:w="1559" w:type="dxa"/>
            <w:tcBorders>
              <w:top w:val="single" w:sz="2" w:space="0" w:color="002279"/>
              <w:left w:val="single" w:sz="4" w:space="0" w:color="002279"/>
              <w:bottom w:val="single" w:sz="4" w:space="0" w:color="002279"/>
              <w:right w:val="single" w:sz="4" w:space="0" w:color="002279"/>
            </w:tcBorders>
            <w:shd w:val="clear" w:color="auto" w:fill="FFFFFF" w:themeFill="background1"/>
            <w:vAlign w:val="center"/>
          </w:tcPr>
          <w:p w14:paraId="6AC07C89" w14:textId="77777777" w:rsidR="00FD7B4B" w:rsidRPr="001B178C" w:rsidRDefault="00FD7B4B" w:rsidP="003C7B1A">
            <w:pPr>
              <w:jc w:val="center"/>
              <w:rPr>
                <w:rFonts w:cstheme="minorHAnsi"/>
                <w:szCs w:val="22"/>
              </w:rPr>
            </w:pPr>
            <w:r w:rsidRPr="001B178C">
              <w:rPr>
                <w:rFonts w:cstheme="minorHAnsi"/>
                <w:szCs w:val="22"/>
              </w:rPr>
              <w:t>0.03</w:t>
            </w:r>
          </w:p>
        </w:tc>
        <w:tc>
          <w:tcPr>
            <w:tcW w:w="1559" w:type="dxa"/>
            <w:tcBorders>
              <w:top w:val="single" w:sz="2" w:space="0" w:color="002279"/>
              <w:left w:val="single" w:sz="4" w:space="0" w:color="002279"/>
              <w:bottom w:val="single" w:sz="4" w:space="0" w:color="002279"/>
              <w:right w:val="single" w:sz="4" w:space="0" w:color="002279"/>
            </w:tcBorders>
            <w:shd w:val="clear" w:color="auto" w:fill="FFFFFF" w:themeFill="background1"/>
            <w:vAlign w:val="center"/>
          </w:tcPr>
          <w:p w14:paraId="757682CF" w14:textId="77777777" w:rsidR="00FD7B4B" w:rsidRPr="001B178C" w:rsidRDefault="00FD7B4B" w:rsidP="003C7B1A">
            <w:pPr>
              <w:jc w:val="center"/>
              <w:rPr>
                <w:rFonts w:cstheme="minorHAnsi"/>
                <w:szCs w:val="22"/>
              </w:rPr>
            </w:pPr>
            <w:r w:rsidRPr="001B178C">
              <w:rPr>
                <w:rFonts w:cstheme="minorHAnsi"/>
                <w:szCs w:val="22"/>
              </w:rPr>
              <w:t>0.05</w:t>
            </w:r>
          </w:p>
        </w:tc>
        <w:tc>
          <w:tcPr>
            <w:tcW w:w="1560" w:type="dxa"/>
            <w:tcBorders>
              <w:top w:val="single" w:sz="2" w:space="0" w:color="002279"/>
              <w:left w:val="single" w:sz="4" w:space="0" w:color="002279"/>
              <w:bottom w:val="single" w:sz="4" w:space="0" w:color="002279"/>
              <w:right w:val="single" w:sz="4" w:space="0" w:color="002279"/>
            </w:tcBorders>
            <w:shd w:val="clear" w:color="auto" w:fill="FFFFFF" w:themeFill="background1"/>
            <w:vAlign w:val="center"/>
          </w:tcPr>
          <w:p w14:paraId="5E8546BE" w14:textId="77777777" w:rsidR="00FD7B4B" w:rsidRPr="001B178C" w:rsidRDefault="00FD7B4B" w:rsidP="003C7B1A">
            <w:pPr>
              <w:jc w:val="center"/>
              <w:rPr>
                <w:rFonts w:cstheme="minorHAnsi"/>
                <w:szCs w:val="22"/>
              </w:rPr>
            </w:pPr>
            <w:r w:rsidRPr="001B178C">
              <w:rPr>
                <w:rFonts w:cstheme="minorHAnsi"/>
                <w:szCs w:val="22"/>
              </w:rPr>
              <w:t>0.05</w:t>
            </w:r>
          </w:p>
        </w:tc>
        <w:tc>
          <w:tcPr>
            <w:tcW w:w="1559" w:type="dxa"/>
            <w:tcBorders>
              <w:top w:val="single" w:sz="2" w:space="0" w:color="002279"/>
              <w:left w:val="single" w:sz="4" w:space="0" w:color="002279"/>
              <w:bottom w:val="single" w:sz="4" w:space="0" w:color="002279"/>
              <w:right w:val="single" w:sz="4" w:space="0" w:color="002279"/>
            </w:tcBorders>
            <w:shd w:val="clear" w:color="auto" w:fill="FFFFFF" w:themeFill="background1"/>
            <w:vAlign w:val="center"/>
          </w:tcPr>
          <w:p w14:paraId="39F7D77E" w14:textId="77777777" w:rsidR="00FD7B4B" w:rsidRPr="001B178C" w:rsidRDefault="00FD7B4B" w:rsidP="003C7B1A">
            <w:pPr>
              <w:jc w:val="center"/>
              <w:rPr>
                <w:rFonts w:cstheme="minorHAnsi"/>
                <w:szCs w:val="22"/>
              </w:rPr>
            </w:pPr>
            <w:r w:rsidRPr="001B178C">
              <w:rPr>
                <w:rFonts w:cstheme="minorHAnsi"/>
                <w:szCs w:val="22"/>
              </w:rPr>
              <w:t>0.18</w:t>
            </w:r>
          </w:p>
        </w:tc>
        <w:tc>
          <w:tcPr>
            <w:tcW w:w="1559" w:type="dxa"/>
            <w:tcBorders>
              <w:top w:val="single" w:sz="2" w:space="0" w:color="002279"/>
              <w:left w:val="single" w:sz="4" w:space="0" w:color="002279"/>
              <w:bottom w:val="single" w:sz="4" w:space="0" w:color="002279"/>
              <w:right w:val="single" w:sz="4" w:space="0" w:color="002279"/>
            </w:tcBorders>
            <w:shd w:val="clear" w:color="auto" w:fill="FFFFFF" w:themeFill="background1"/>
            <w:vAlign w:val="center"/>
          </w:tcPr>
          <w:p w14:paraId="7412C8E6" w14:textId="77777777" w:rsidR="00FD7B4B" w:rsidRPr="001B178C" w:rsidRDefault="00FD7B4B" w:rsidP="003C7B1A">
            <w:pPr>
              <w:jc w:val="center"/>
              <w:rPr>
                <w:rFonts w:cstheme="minorHAnsi"/>
                <w:szCs w:val="22"/>
              </w:rPr>
            </w:pPr>
            <w:r w:rsidRPr="001B178C">
              <w:rPr>
                <w:rFonts w:cstheme="minorHAnsi"/>
                <w:szCs w:val="22"/>
              </w:rPr>
              <w:t>0.32</w:t>
            </w:r>
          </w:p>
        </w:tc>
        <w:tc>
          <w:tcPr>
            <w:tcW w:w="1560" w:type="dxa"/>
            <w:tcBorders>
              <w:top w:val="single" w:sz="2" w:space="0" w:color="002279"/>
              <w:left w:val="single" w:sz="4" w:space="0" w:color="002279"/>
              <w:bottom w:val="single" w:sz="4" w:space="0" w:color="002279"/>
              <w:right w:val="single" w:sz="4" w:space="0" w:color="002279"/>
            </w:tcBorders>
            <w:shd w:val="clear" w:color="auto" w:fill="FFFFFF" w:themeFill="background1"/>
            <w:vAlign w:val="center"/>
          </w:tcPr>
          <w:p w14:paraId="06DFB494" w14:textId="0DF9B753" w:rsidR="00FD7B4B" w:rsidRPr="001B178C" w:rsidRDefault="00A21207" w:rsidP="00360131">
            <w:pPr>
              <w:jc w:val="center"/>
              <w:rPr>
                <w:rFonts w:cstheme="minorHAnsi"/>
                <w:b/>
                <w:szCs w:val="22"/>
              </w:rPr>
            </w:pPr>
            <w:r w:rsidRPr="001B178C">
              <w:rPr>
                <w:rFonts w:cstheme="minorHAnsi"/>
                <w:b/>
                <w:szCs w:val="22"/>
              </w:rPr>
              <w:t>0.63</w:t>
            </w:r>
          </w:p>
        </w:tc>
      </w:tr>
    </w:tbl>
    <w:p w14:paraId="3CDE453A" w14:textId="77777777" w:rsidR="00C24B1F" w:rsidRDefault="00C24B1F" w:rsidP="00C24B1F">
      <w:pPr>
        <w:pStyle w:val="BodyText"/>
        <w:spacing w:line="222" w:lineRule="exact"/>
        <w:ind w:left="720"/>
      </w:pPr>
    </w:p>
    <w:p w14:paraId="36129F6F" w14:textId="77777777" w:rsidR="00C24B1F" w:rsidRDefault="00C24B1F" w:rsidP="00A21207">
      <w:pPr>
        <w:pStyle w:val="Heading3"/>
      </w:pPr>
      <w:r>
        <w:t>Integrated Water Management – Dingley Recycled Water Scheme</w:t>
      </w:r>
    </w:p>
    <w:p w14:paraId="037B253E" w14:textId="7EA37CE1" w:rsidR="00C24B1F" w:rsidRDefault="00C24B1F" w:rsidP="00C24B1F">
      <w:pPr>
        <w:rPr>
          <w:bCs/>
        </w:rPr>
      </w:pPr>
      <w:r>
        <w:rPr>
          <w:bCs/>
        </w:rPr>
        <w:t xml:space="preserve">In their 2022 </w:t>
      </w:r>
      <w:r w:rsidR="002F5289">
        <w:rPr>
          <w:bCs/>
        </w:rPr>
        <w:t>b</w:t>
      </w:r>
      <w:r>
        <w:rPr>
          <w:bCs/>
        </w:rPr>
        <w:t xml:space="preserve">udget, the </w:t>
      </w:r>
      <w:r w:rsidR="002F5289">
        <w:rPr>
          <w:bCs/>
        </w:rPr>
        <w:t>Victorian</w:t>
      </w:r>
      <w:r>
        <w:rPr>
          <w:bCs/>
        </w:rPr>
        <w:t xml:space="preserve"> Government has allocated funding to partner with South East Water to deliver the Dingley Recycled Water Scheme</w:t>
      </w:r>
      <w:r w:rsidR="004A27AF">
        <w:rPr>
          <w:bCs/>
        </w:rPr>
        <w:t>. The scheme</w:t>
      </w:r>
      <w:r>
        <w:rPr>
          <w:bCs/>
        </w:rPr>
        <w:t xml:space="preserve"> will bring recycled water from the Eastern </w:t>
      </w:r>
      <w:r w:rsidR="002C12B1">
        <w:rPr>
          <w:bCs/>
        </w:rPr>
        <w:t>t</w:t>
      </w:r>
      <w:r>
        <w:rPr>
          <w:bCs/>
        </w:rPr>
        <w:t xml:space="preserve">reatment </w:t>
      </w:r>
      <w:r w:rsidR="002C12B1">
        <w:rPr>
          <w:bCs/>
        </w:rPr>
        <w:t>p</w:t>
      </w:r>
      <w:r>
        <w:rPr>
          <w:bCs/>
        </w:rPr>
        <w:t xml:space="preserve">lant to </w:t>
      </w:r>
      <w:r w:rsidR="00BF32F5">
        <w:rPr>
          <w:bCs/>
        </w:rPr>
        <w:t>4</w:t>
      </w:r>
      <w:r>
        <w:rPr>
          <w:bCs/>
        </w:rPr>
        <w:t xml:space="preserve"> local government areas within the South East water service area. This step change represents the operating costs associated with this project</w:t>
      </w:r>
      <w:r w:rsidR="00F2752D">
        <w:rPr>
          <w:bCs/>
        </w:rPr>
        <w:t>,</w:t>
      </w:r>
      <w:r>
        <w:rPr>
          <w:bCs/>
        </w:rPr>
        <w:t xml:space="preserve"> from the time of trunk main construction. </w:t>
      </w:r>
    </w:p>
    <w:p w14:paraId="3920211E" w14:textId="77777777" w:rsidR="001B178C" w:rsidRDefault="001B178C" w:rsidP="00C24B1F">
      <w:pPr>
        <w:rPr>
          <w:bCs/>
        </w:rPr>
      </w:pPr>
    </w:p>
    <w:p w14:paraId="1C75BCAA" w14:textId="1DE14B34" w:rsidR="00A21207" w:rsidRPr="000C5D88" w:rsidRDefault="000C5D88" w:rsidP="002819EA">
      <w:pPr>
        <w:pStyle w:val="NormalIndent"/>
        <w:spacing w:after="120"/>
        <w:ind w:left="0"/>
        <w:rPr>
          <w:rFonts w:cs="Arial"/>
          <w:b/>
          <w:i/>
        </w:rPr>
      </w:pPr>
      <w:bookmarkStart w:id="110" w:name="_Hlk114233913"/>
      <w:r w:rsidRPr="00CE6C4E">
        <w:rPr>
          <w:b/>
          <w:i/>
        </w:rPr>
        <w:t>Table</w:t>
      </w:r>
      <w:r w:rsidR="002D4331">
        <w:rPr>
          <w:b/>
          <w:i/>
        </w:rPr>
        <w:t xml:space="preserve"> 68</w:t>
      </w:r>
      <w:r w:rsidRPr="007B339F">
        <w:rPr>
          <w:rFonts w:ascii="Arial" w:hAnsi="Arial" w:cs="Arial"/>
          <w:b/>
          <w:i/>
        </w:rPr>
        <w:t>:</w:t>
      </w:r>
      <w:r>
        <w:rPr>
          <w:rFonts w:ascii="Arial" w:hAnsi="Arial" w:cs="Arial"/>
          <w:b/>
          <w:i/>
        </w:rPr>
        <w:t xml:space="preserve"> </w:t>
      </w:r>
      <w:r w:rsidR="00A21207" w:rsidRPr="00C90C43">
        <w:rPr>
          <w:rFonts w:cs="Arial"/>
          <w:b/>
          <w:i/>
        </w:rPr>
        <w:t xml:space="preserve">IWM </w:t>
      </w:r>
      <w:r w:rsidR="00F33731">
        <w:rPr>
          <w:rFonts w:cs="Arial"/>
          <w:b/>
          <w:i/>
        </w:rPr>
        <w:t>–</w:t>
      </w:r>
      <w:r w:rsidR="00A21207" w:rsidRPr="00C90C43">
        <w:rPr>
          <w:rFonts w:cs="Arial"/>
          <w:b/>
          <w:i/>
        </w:rPr>
        <w:t xml:space="preserve"> Dingley </w:t>
      </w:r>
      <w:r w:rsidR="00507B63" w:rsidRPr="006D1620">
        <w:rPr>
          <w:rFonts w:cs="Arial"/>
          <w:b/>
          <w:i/>
        </w:rPr>
        <w:t>(</w:t>
      </w:r>
      <w:r w:rsidR="00507B63">
        <w:rPr>
          <w:rFonts w:cs="Arial"/>
          <w:b/>
          <w:i/>
        </w:rPr>
        <w:t>$</w:t>
      </w:r>
      <w:r w:rsidR="00A21207" w:rsidRPr="00C90C43">
        <w:rPr>
          <w:rFonts w:cs="Arial"/>
          <w:b/>
          <w:i/>
        </w:rPr>
        <w:t>million 2022</w:t>
      </w:r>
      <w:r w:rsidR="00F33731">
        <w:rPr>
          <w:rFonts w:cs="Arial"/>
          <w:b/>
          <w:i/>
        </w:rPr>
        <w:t>–</w:t>
      </w:r>
      <w:r w:rsidR="00A21207" w:rsidRPr="00C90C43">
        <w:rPr>
          <w:rFonts w:cs="Arial"/>
          <w:b/>
          <w:i/>
        </w:rPr>
        <w:t>23)</w:t>
      </w:r>
    </w:p>
    <w:tbl>
      <w:tblPr>
        <w:tblStyle w:val="MJTableStyle1default"/>
        <w:tblW w:w="0" w:type="auto"/>
        <w:tblInd w:w="0" w:type="dxa"/>
        <w:tblLook w:val="04A0" w:firstRow="1" w:lastRow="0" w:firstColumn="1" w:lastColumn="0" w:noHBand="0" w:noVBand="1"/>
      </w:tblPr>
      <w:tblGrid>
        <w:gridCol w:w="1559"/>
        <w:gridCol w:w="1559"/>
        <w:gridCol w:w="1560"/>
        <w:gridCol w:w="1559"/>
        <w:gridCol w:w="1559"/>
        <w:gridCol w:w="1560"/>
      </w:tblGrid>
      <w:tr w:rsidR="00A21207" w:rsidRPr="001B178C" w14:paraId="574921CF" w14:textId="56510D3D" w:rsidTr="00F8713B">
        <w:trPr>
          <w:cnfStyle w:val="100000000000" w:firstRow="1" w:lastRow="0" w:firstColumn="0" w:lastColumn="0" w:oddVBand="0" w:evenVBand="0" w:oddHBand="0" w:evenHBand="0" w:firstRowFirstColumn="0" w:firstRowLastColumn="0" w:lastRowFirstColumn="0" w:lastRowLastColumn="0"/>
          <w:trHeight w:val="481"/>
        </w:trPr>
        <w:tc>
          <w:tcPr>
            <w:tcW w:w="1559" w:type="dxa"/>
            <w:tcBorders>
              <w:top w:val="single" w:sz="4" w:space="0" w:color="002279"/>
              <w:left w:val="single" w:sz="4" w:space="0" w:color="002279"/>
              <w:bottom w:val="single" w:sz="2" w:space="0" w:color="002279"/>
              <w:right w:val="single" w:sz="4" w:space="0" w:color="FFFFFF" w:themeColor="background1"/>
            </w:tcBorders>
            <w:shd w:val="clear" w:color="auto" w:fill="002279"/>
            <w:vAlign w:val="center"/>
          </w:tcPr>
          <w:bookmarkEnd w:id="110"/>
          <w:p w14:paraId="0339B078" w14:textId="7108040D" w:rsidR="00A21207" w:rsidRPr="00116E55" w:rsidRDefault="00A21207" w:rsidP="00360131">
            <w:pPr>
              <w:jc w:val="center"/>
              <w:rPr>
                <w:rFonts w:asciiTheme="minorHAnsi" w:hAnsiTheme="minorHAnsi" w:cstheme="minorHAnsi"/>
                <w:b/>
                <w:bCs/>
                <w:szCs w:val="22"/>
              </w:rPr>
            </w:pPr>
            <w:r w:rsidRPr="00116E55">
              <w:rPr>
                <w:rFonts w:asciiTheme="minorHAnsi" w:hAnsiTheme="minorHAnsi" w:cstheme="minorHAnsi"/>
                <w:b/>
                <w:bCs/>
                <w:szCs w:val="22"/>
              </w:rPr>
              <w:t>2023</w:t>
            </w:r>
            <w:r w:rsidR="00F33731" w:rsidRPr="00116E55">
              <w:rPr>
                <w:rFonts w:asciiTheme="minorHAnsi" w:hAnsiTheme="minorHAnsi" w:cstheme="minorHAnsi"/>
                <w:b/>
                <w:bCs/>
                <w:szCs w:val="22"/>
              </w:rPr>
              <w:t>–</w:t>
            </w:r>
            <w:r w:rsidRPr="00116E55">
              <w:rPr>
                <w:rFonts w:asciiTheme="minorHAnsi" w:hAnsiTheme="minorHAnsi" w:cstheme="minorHAnsi"/>
                <w:b/>
                <w:bCs/>
                <w:szCs w:val="22"/>
              </w:rPr>
              <w:t>24</w:t>
            </w:r>
          </w:p>
        </w:tc>
        <w:tc>
          <w:tcPr>
            <w:tcW w:w="1559"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vAlign w:val="center"/>
          </w:tcPr>
          <w:p w14:paraId="57339900" w14:textId="5B904B33" w:rsidR="00A21207" w:rsidRPr="00116E55" w:rsidRDefault="00A21207" w:rsidP="00360131">
            <w:pPr>
              <w:jc w:val="center"/>
              <w:rPr>
                <w:rFonts w:asciiTheme="minorHAnsi" w:hAnsiTheme="minorHAnsi" w:cstheme="minorHAnsi"/>
                <w:b/>
                <w:bCs/>
                <w:szCs w:val="22"/>
              </w:rPr>
            </w:pPr>
            <w:r w:rsidRPr="00116E55">
              <w:rPr>
                <w:rFonts w:asciiTheme="minorHAnsi" w:hAnsiTheme="minorHAnsi" w:cstheme="minorHAnsi"/>
                <w:b/>
                <w:bCs/>
                <w:szCs w:val="22"/>
              </w:rPr>
              <w:t>2024</w:t>
            </w:r>
            <w:r w:rsidR="00F33731" w:rsidRPr="00116E55">
              <w:rPr>
                <w:rFonts w:asciiTheme="minorHAnsi" w:hAnsiTheme="minorHAnsi" w:cstheme="minorHAnsi"/>
                <w:b/>
                <w:bCs/>
                <w:szCs w:val="22"/>
              </w:rPr>
              <w:t>–</w:t>
            </w:r>
            <w:r w:rsidRPr="00116E55">
              <w:rPr>
                <w:rFonts w:asciiTheme="minorHAnsi" w:hAnsiTheme="minorHAnsi" w:cstheme="minorHAnsi"/>
                <w:b/>
                <w:bCs/>
                <w:szCs w:val="22"/>
              </w:rPr>
              <w:t>25</w:t>
            </w:r>
          </w:p>
        </w:tc>
        <w:tc>
          <w:tcPr>
            <w:tcW w:w="1560"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vAlign w:val="center"/>
          </w:tcPr>
          <w:p w14:paraId="718171B0" w14:textId="49A1D3B2" w:rsidR="00A21207" w:rsidRPr="00116E55" w:rsidRDefault="00A21207" w:rsidP="00360131">
            <w:pPr>
              <w:jc w:val="center"/>
              <w:rPr>
                <w:rFonts w:asciiTheme="minorHAnsi" w:hAnsiTheme="minorHAnsi" w:cstheme="minorHAnsi"/>
                <w:b/>
                <w:bCs/>
                <w:szCs w:val="22"/>
              </w:rPr>
            </w:pPr>
            <w:r w:rsidRPr="00116E55">
              <w:rPr>
                <w:rFonts w:asciiTheme="minorHAnsi" w:hAnsiTheme="minorHAnsi" w:cstheme="minorHAnsi"/>
                <w:b/>
                <w:bCs/>
                <w:szCs w:val="22"/>
              </w:rPr>
              <w:t>2025</w:t>
            </w:r>
            <w:r w:rsidR="00F33731" w:rsidRPr="00116E55">
              <w:rPr>
                <w:rFonts w:asciiTheme="minorHAnsi" w:hAnsiTheme="minorHAnsi" w:cstheme="minorHAnsi"/>
                <w:b/>
                <w:bCs/>
                <w:szCs w:val="22"/>
              </w:rPr>
              <w:t>–</w:t>
            </w:r>
            <w:r w:rsidRPr="00116E55">
              <w:rPr>
                <w:rFonts w:asciiTheme="minorHAnsi" w:hAnsiTheme="minorHAnsi" w:cstheme="minorHAnsi"/>
                <w:b/>
                <w:bCs/>
                <w:szCs w:val="22"/>
              </w:rPr>
              <w:t>26</w:t>
            </w:r>
          </w:p>
        </w:tc>
        <w:tc>
          <w:tcPr>
            <w:tcW w:w="1559"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vAlign w:val="center"/>
          </w:tcPr>
          <w:p w14:paraId="0DF351DF" w14:textId="60432A48" w:rsidR="00A21207" w:rsidRPr="00116E55" w:rsidRDefault="00A21207" w:rsidP="00360131">
            <w:pPr>
              <w:jc w:val="center"/>
              <w:rPr>
                <w:rFonts w:asciiTheme="minorHAnsi" w:hAnsiTheme="minorHAnsi" w:cstheme="minorHAnsi"/>
                <w:b/>
                <w:bCs/>
                <w:szCs w:val="22"/>
              </w:rPr>
            </w:pPr>
            <w:r w:rsidRPr="00116E55">
              <w:rPr>
                <w:rFonts w:asciiTheme="minorHAnsi" w:hAnsiTheme="minorHAnsi" w:cstheme="minorHAnsi"/>
                <w:b/>
                <w:bCs/>
                <w:szCs w:val="22"/>
              </w:rPr>
              <w:t>2026</w:t>
            </w:r>
            <w:r w:rsidR="00F33731" w:rsidRPr="00116E55">
              <w:rPr>
                <w:rFonts w:asciiTheme="minorHAnsi" w:hAnsiTheme="minorHAnsi" w:cstheme="minorHAnsi"/>
                <w:b/>
                <w:bCs/>
                <w:szCs w:val="22"/>
              </w:rPr>
              <w:t>–</w:t>
            </w:r>
            <w:r w:rsidRPr="00116E55">
              <w:rPr>
                <w:rFonts w:asciiTheme="minorHAnsi" w:hAnsiTheme="minorHAnsi" w:cstheme="minorHAnsi"/>
                <w:b/>
                <w:bCs/>
                <w:szCs w:val="22"/>
              </w:rPr>
              <w:t>27</w:t>
            </w:r>
          </w:p>
        </w:tc>
        <w:tc>
          <w:tcPr>
            <w:tcW w:w="1559"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vAlign w:val="center"/>
          </w:tcPr>
          <w:p w14:paraId="4A987EE6" w14:textId="0BB9E51A" w:rsidR="00A21207" w:rsidRPr="00116E55" w:rsidRDefault="00A21207" w:rsidP="00360131">
            <w:pPr>
              <w:jc w:val="center"/>
              <w:rPr>
                <w:rFonts w:asciiTheme="minorHAnsi" w:hAnsiTheme="minorHAnsi" w:cstheme="minorHAnsi"/>
                <w:b/>
                <w:bCs/>
                <w:szCs w:val="22"/>
              </w:rPr>
            </w:pPr>
            <w:r w:rsidRPr="00116E55">
              <w:rPr>
                <w:rFonts w:asciiTheme="minorHAnsi" w:hAnsiTheme="minorHAnsi" w:cstheme="minorHAnsi"/>
                <w:b/>
                <w:bCs/>
                <w:szCs w:val="22"/>
              </w:rPr>
              <w:t>2027</w:t>
            </w:r>
            <w:r w:rsidR="00F33731" w:rsidRPr="00116E55">
              <w:rPr>
                <w:rFonts w:asciiTheme="minorHAnsi" w:hAnsiTheme="minorHAnsi" w:cstheme="minorHAnsi"/>
                <w:b/>
                <w:bCs/>
                <w:szCs w:val="22"/>
              </w:rPr>
              <w:t>–</w:t>
            </w:r>
            <w:r w:rsidRPr="00116E55">
              <w:rPr>
                <w:rFonts w:asciiTheme="minorHAnsi" w:hAnsiTheme="minorHAnsi" w:cstheme="minorHAnsi"/>
                <w:b/>
                <w:bCs/>
                <w:szCs w:val="22"/>
              </w:rPr>
              <w:t>28</w:t>
            </w:r>
          </w:p>
        </w:tc>
        <w:tc>
          <w:tcPr>
            <w:tcW w:w="1560" w:type="dxa"/>
            <w:tcBorders>
              <w:top w:val="single" w:sz="4" w:space="0" w:color="002279"/>
              <w:left w:val="single" w:sz="4" w:space="0" w:color="FFFFFF" w:themeColor="background1"/>
              <w:bottom w:val="single" w:sz="2" w:space="0" w:color="002279"/>
              <w:right w:val="single" w:sz="4" w:space="0" w:color="002279"/>
            </w:tcBorders>
            <w:shd w:val="clear" w:color="auto" w:fill="002279"/>
            <w:vAlign w:val="center"/>
          </w:tcPr>
          <w:p w14:paraId="7E75B01A" w14:textId="623B1051" w:rsidR="00A21207" w:rsidRPr="00116E55" w:rsidRDefault="00A21207" w:rsidP="00360131">
            <w:pPr>
              <w:jc w:val="center"/>
              <w:rPr>
                <w:rFonts w:asciiTheme="minorHAnsi" w:hAnsiTheme="minorHAnsi" w:cstheme="minorHAnsi"/>
                <w:b/>
                <w:bCs/>
                <w:szCs w:val="22"/>
              </w:rPr>
            </w:pPr>
            <w:r w:rsidRPr="00116E55">
              <w:rPr>
                <w:rFonts w:asciiTheme="minorHAnsi" w:hAnsiTheme="minorHAnsi" w:cstheme="minorHAnsi"/>
                <w:b/>
                <w:bCs/>
                <w:szCs w:val="22"/>
              </w:rPr>
              <w:t>Total</w:t>
            </w:r>
          </w:p>
        </w:tc>
      </w:tr>
      <w:tr w:rsidR="00A21207" w:rsidRPr="001B178C" w14:paraId="0EB9DBA8" w14:textId="6B0ABBAF" w:rsidTr="00F8713B">
        <w:trPr>
          <w:cnfStyle w:val="000000100000" w:firstRow="0" w:lastRow="0" w:firstColumn="0" w:lastColumn="0" w:oddVBand="0" w:evenVBand="0" w:oddHBand="1" w:evenHBand="0" w:firstRowFirstColumn="0" w:firstRowLastColumn="0" w:lastRowFirstColumn="0" w:lastRowLastColumn="0"/>
        </w:trPr>
        <w:tc>
          <w:tcPr>
            <w:tcW w:w="1559" w:type="dxa"/>
            <w:tcBorders>
              <w:top w:val="single" w:sz="2" w:space="0" w:color="002279"/>
              <w:left w:val="single" w:sz="4" w:space="0" w:color="002279"/>
              <w:bottom w:val="single" w:sz="4" w:space="0" w:color="002279"/>
              <w:right w:val="single" w:sz="4" w:space="0" w:color="002279"/>
            </w:tcBorders>
            <w:shd w:val="clear" w:color="auto" w:fill="FFFFFF" w:themeFill="background1"/>
            <w:vAlign w:val="center"/>
          </w:tcPr>
          <w:p w14:paraId="2213FAFB" w14:textId="28CAAACB" w:rsidR="00A21207" w:rsidRPr="001B178C" w:rsidRDefault="00D471E0" w:rsidP="003C7B1A">
            <w:pPr>
              <w:jc w:val="center"/>
              <w:rPr>
                <w:rFonts w:cstheme="minorHAnsi"/>
                <w:szCs w:val="22"/>
              </w:rPr>
            </w:pPr>
            <w:r>
              <w:rPr>
                <w:rFonts w:cstheme="minorHAnsi"/>
                <w:szCs w:val="22"/>
              </w:rPr>
              <w:t>-</w:t>
            </w:r>
          </w:p>
        </w:tc>
        <w:tc>
          <w:tcPr>
            <w:tcW w:w="1559" w:type="dxa"/>
            <w:tcBorders>
              <w:top w:val="single" w:sz="2" w:space="0" w:color="002279"/>
              <w:left w:val="single" w:sz="4" w:space="0" w:color="002279"/>
              <w:bottom w:val="single" w:sz="4" w:space="0" w:color="002279"/>
              <w:right w:val="single" w:sz="4" w:space="0" w:color="002279"/>
            </w:tcBorders>
            <w:shd w:val="clear" w:color="auto" w:fill="FFFFFF" w:themeFill="background1"/>
            <w:vAlign w:val="center"/>
          </w:tcPr>
          <w:p w14:paraId="739024C1" w14:textId="51DE5663" w:rsidR="00A21207" w:rsidRPr="001B178C" w:rsidRDefault="00D471E0" w:rsidP="003C7B1A">
            <w:pPr>
              <w:jc w:val="center"/>
              <w:rPr>
                <w:rFonts w:cstheme="minorHAnsi"/>
                <w:szCs w:val="22"/>
              </w:rPr>
            </w:pPr>
            <w:r>
              <w:rPr>
                <w:rFonts w:cstheme="minorHAnsi"/>
                <w:szCs w:val="22"/>
              </w:rPr>
              <w:t>-</w:t>
            </w:r>
          </w:p>
        </w:tc>
        <w:tc>
          <w:tcPr>
            <w:tcW w:w="1560" w:type="dxa"/>
            <w:tcBorders>
              <w:top w:val="single" w:sz="2" w:space="0" w:color="002279"/>
              <w:left w:val="single" w:sz="4" w:space="0" w:color="002279"/>
              <w:bottom w:val="single" w:sz="4" w:space="0" w:color="002279"/>
              <w:right w:val="single" w:sz="4" w:space="0" w:color="002279"/>
            </w:tcBorders>
            <w:shd w:val="clear" w:color="auto" w:fill="FFFFFF" w:themeFill="background1"/>
            <w:vAlign w:val="center"/>
          </w:tcPr>
          <w:p w14:paraId="7BDEFB71" w14:textId="77777777" w:rsidR="00A21207" w:rsidRPr="001B178C" w:rsidRDefault="00A21207" w:rsidP="003C7B1A">
            <w:pPr>
              <w:jc w:val="center"/>
              <w:rPr>
                <w:rFonts w:cstheme="minorHAnsi"/>
                <w:szCs w:val="22"/>
              </w:rPr>
            </w:pPr>
            <w:r w:rsidRPr="001B178C">
              <w:rPr>
                <w:rFonts w:cstheme="minorHAnsi"/>
                <w:szCs w:val="22"/>
              </w:rPr>
              <w:t>0.32</w:t>
            </w:r>
          </w:p>
        </w:tc>
        <w:tc>
          <w:tcPr>
            <w:tcW w:w="1559" w:type="dxa"/>
            <w:tcBorders>
              <w:top w:val="single" w:sz="2" w:space="0" w:color="002279"/>
              <w:left w:val="single" w:sz="4" w:space="0" w:color="002279"/>
              <w:bottom w:val="single" w:sz="4" w:space="0" w:color="002279"/>
              <w:right w:val="single" w:sz="4" w:space="0" w:color="002279"/>
            </w:tcBorders>
            <w:shd w:val="clear" w:color="auto" w:fill="FFFFFF" w:themeFill="background1"/>
            <w:vAlign w:val="center"/>
          </w:tcPr>
          <w:p w14:paraId="34611DA8" w14:textId="77777777" w:rsidR="00A21207" w:rsidRPr="001B178C" w:rsidRDefault="00A21207" w:rsidP="003C7B1A">
            <w:pPr>
              <w:jc w:val="center"/>
              <w:rPr>
                <w:rFonts w:cstheme="minorHAnsi"/>
                <w:szCs w:val="22"/>
              </w:rPr>
            </w:pPr>
            <w:r w:rsidRPr="001B178C">
              <w:rPr>
                <w:rFonts w:cstheme="minorHAnsi"/>
                <w:szCs w:val="22"/>
              </w:rPr>
              <w:t>0.32</w:t>
            </w:r>
          </w:p>
        </w:tc>
        <w:tc>
          <w:tcPr>
            <w:tcW w:w="1559" w:type="dxa"/>
            <w:tcBorders>
              <w:top w:val="single" w:sz="2" w:space="0" w:color="002279"/>
              <w:left w:val="single" w:sz="4" w:space="0" w:color="002279"/>
              <w:bottom w:val="single" w:sz="4" w:space="0" w:color="002279"/>
              <w:right w:val="single" w:sz="4" w:space="0" w:color="002279"/>
            </w:tcBorders>
            <w:shd w:val="clear" w:color="auto" w:fill="FFFFFF" w:themeFill="background1"/>
            <w:vAlign w:val="center"/>
          </w:tcPr>
          <w:p w14:paraId="0CBB7666" w14:textId="77777777" w:rsidR="00A21207" w:rsidRPr="001B178C" w:rsidRDefault="00A21207" w:rsidP="003C7B1A">
            <w:pPr>
              <w:jc w:val="center"/>
              <w:rPr>
                <w:rFonts w:cstheme="minorHAnsi"/>
                <w:szCs w:val="22"/>
              </w:rPr>
            </w:pPr>
            <w:r w:rsidRPr="001B178C">
              <w:rPr>
                <w:rFonts w:cstheme="minorHAnsi"/>
                <w:szCs w:val="22"/>
              </w:rPr>
              <w:t>0.32</w:t>
            </w:r>
          </w:p>
        </w:tc>
        <w:tc>
          <w:tcPr>
            <w:tcW w:w="1560" w:type="dxa"/>
            <w:tcBorders>
              <w:top w:val="single" w:sz="2" w:space="0" w:color="002279"/>
              <w:left w:val="single" w:sz="4" w:space="0" w:color="002279"/>
              <w:bottom w:val="single" w:sz="4" w:space="0" w:color="002279"/>
              <w:right w:val="single" w:sz="4" w:space="0" w:color="002279"/>
            </w:tcBorders>
            <w:shd w:val="clear" w:color="auto" w:fill="FFFFFF" w:themeFill="background1"/>
            <w:vAlign w:val="center"/>
          </w:tcPr>
          <w:p w14:paraId="15CF23AF" w14:textId="68FA9446" w:rsidR="00A21207" w:rsidRPr="001B178C" w:rsidRDefault="00FE6C2E" w:rsidP="00360131">
            <w:pPr>
              <w:jc w:val="center"/>
              <w:rPr>
                <w:rFonts w:cstheme="minorHAnsi"/>
                <w:b/>
                <w:szCs w:val="22"/>
              </w:rPr>
            </w:pPr>
            <w:r w:rsidRPr="001B178C">
              <w:rPr>
                <w:rFonts w:cstheme="minorHAnsi"/>
                <w:b/>
                <w:szCs w:val="22"/>
              </w:rPr>
              <w:t>0.9</w:t>
            </w:r>
            <w:r w:rsidR="008415D1">
              <w:rPr>
                <w:rFonts w:cstheme="minorHAnsi"/>
                <w:b/>
                <w:szCs w:val="22"/>
              </w:rPr>
              <w:t>5</w:t>
            </w:r>
          </w:p>
        </w:tc>
      </w:tr>
    </w:tbl>
    <w:p w14:paraId="0B2C8324" w14:textId="77777777" w:rsidR="00C24B1F" w:rsidRDefault="00C24B1F" w:rsidP="00C24B1F">
      <w:pPr>
        <w:pStyle w:val="BodyText"/>
        <w:spacing w:line="222" w:lineRule="exact"/>
        <w:ind w:left="720"/>
      </w:pPr>
    </w:p>
    <w:p w14:paraId="45AFBE04" w14:textId="77777777" w:rsidR="00C24B1F" w:rsidRDefault="00C24B1F" w:rsidP="00FE6C2E">
      <w:pPr>
        <w:pStyle w:val="Heading3"/>
      </w:pPr>
      <w:r>
        <w:t>Climate Adapt</w:t>
      </w:r>
    </w:p>
    <w:p w14:paraId="0219734D" w14:textId="57B5BEC9" w:rsidR="00C24B1F" w:rsidRDefault="00C24B1F" w:rsidP="00C24B1F">
      <w:pPr>
        <w:rPr>
          <w:rFonts w:eastAsia="Times New Roman" w:cs="Arial"/>
          <w:lang w:eastAsia="en-AU"/>
        </w:rPr>
      </w:pPr>
      <w:r w:rsidRPr="00A54B9B">
        <w:rPr>
          <w:rFonts w:eastAsia="Times New Roman" w:cs="Arial"/>
          <w:shd w:val="clear" w:color="auto" w:fill="FFFFFF"/>
          <w:lang w:eastAsia="en-AU"/>
        </w:rPr>
        <w:t xml:space="preserve">In 2019, significantly improved </w:t>
      </w:r>
      <w:r>
        <w:rPr>
          <w:rFonts w:eastAsia="Times New Roman" w:cs="Arial"/>
          <w:shd w:val="clear" w:color="auto" w:fill="FFFFFF"/>
          <w:lang w:eastAsia="en-AU"/>
        </w:rPr>
        <w:t xml:space="preserve">climate </w:t>
      </w:r>
      <w:r w:rsidRPr="00A54B9B">
        <w:rPr>
          <w:rFonts w:eastAsia="Times New Roman" w:cs="Arial"/>
          <w:shd w:val="clear" w:color="auto" w:fill="FFFFFF"/>
          <w:lang w:eastAsia="en-AU"/>
        </w:rPr>
        <w:t>data became available</w:t>
      </w:r>
      <w:r>
        <w:rPr>
          <w:bCs/>
        </w:rPr>
        <w:t xml:space="preserve"> </w:t>
      </w:r>
      <w:r w:rsidRPr="00A54B9B">
        <w:rPr>
          <w:rFonts w:eastAsia="Times New Roman" w:cs="Arial"/>
          <w:shd w:val="clear" w:color="auto" w:fill="FFFFFF"/>
          <w:lang w:eastAsia="en-AU"/>
        </w:rPr>
        <w:t xml:space="preserve">and </w:t>
      </w:r>
      <w:r>
        <w:rPr>
          <w:rFonts w:eastAsia="Times New Roman" w:cs="Arial"/>
          <w:shd w:val="clear" w:color="auto" w:fill="FFFFFF"/>
          <w:lang w:eastAsia="en-AU"/>
        </w:rPr>
        <w:t xml:space="preserve">more comprehensive </w:t>
      </w:r>
      <w:r w:rsidRPr="00A54B9B">
        <w:rPr>
          <w:rFonts w:eastAsia="Times New Roman" w:cs="Arial"/>
          <w:shd w:val="clear" w:color="auto" w:fill="FFFFFF"/>
          <w:lang w:eastAsia="en-AU"/>
        </w:rPr>
        <w:t xml:space="preserve">governance guidance </w:t>
      </w:r>
      <w:r>
        <w:rPr>
          <w:rFonts w:eastAsia="Times New Roman" w:cs="Arial"/>
          <w:shd w:val="clear" w:color="auto" w:fill="FFFFFF"/>
          <w:lang w:eastAsia="en-AU"/>
        </w:rPr>
        <w:t xml:space="preserve">was issued by </w:t>
      </w:r>
      <w:r w:rsidR="006D62BB">
        <w:rPr>
          <w:rFonts w:eastAsia="Times New Roman" w:cs="Arial"/>
          <w:shd w:val="clear" w:color="auto" w:fill="FFFFFF"/>
          <w:lang w:eastAsia="en-AU"/>
        </w:rPr>
        <w:t>DELWP</w:t>
      </w:r>
      <w:r>
        <w:rPr>
          <w:rFonts w:eastAsia="Times New Roman" w:cs="Arial"/>
          <w:shd w:val="clear" w:color="auto" w:fill="FFFFFF"/>
          <w:lang w:eastAsia="en-AU"/>
        </w:rPr>
        <w:t xml:space="preserve"> to </w:t>
      </w:r>
      <w:r w:rsidR="006D62BB">
        <w:rPr>
          <w:rFonts w:eastAsia="Times New Roman" w:cs="Arial"/>
          <w:shd w:val="clear" w:color="auto" w:fill="FFFFFF"/>
          <w:lang w:eastAsia="en-AU"/>
        </w:rPr>
        <w:t>water corporations</w:t>
      </w:r>
      <w:r w:rsidRPr="00CE6421">
        <w:rPr>
          <w:rFonts w:eastAsia="Times New Roman" w:cs="Arial"/>
          <w:shd w:val="clear" w:color="auto" w:fill="FFFFFF"/>
          <w:lang w:eastAsia="en-AU"/>
        </w:rPr>
        <w:t xml:space="preserve"> which charged </w:t>
      </w:r>
      <w:r w:rsidR="00E42753">
        <w:rPr>
          <w:rFonts w:eastAsia="Times New Roman" w:cs="Arial"/>
          <w:shd w:val="clear" w:color="auto" w:fill="FFFFFF"/>
          <w:lang w:eastAsia="en-AU"/>
        </w:rPr>
        <w:t>board</w:t>
      </w:r>
      <w:r w:rsidRPr="00CE6421">
        <w:rPr>
          <w:rFonts w:eastAsia="Times New Roman" w:cs="Arial"/>
          <w:shd w:val="clear" w:color="auto" w:fill="FFFFFF"/>
          <w:lang w:eastAsia="en-AU"/>
        </w:rPr>
        <w:t xml:space="preserve"> members with a duty of care in relation to climate change</w:t>
      </w:r>
      <w:r>
        <w:rPr>
          <w:rFonts w:eastAsia="Times New Roman" w:cs="Arial"/>
          <w:shd w:val="clear" w:color="auto" w:fill="FFFFFF"/>
          <w:lang w:eastAsia="en-AU"/>
        </w:rPr>
        <w:t>.</w:t>
      </w:r>
      <w:r w:rsidR="008D0585" w:rsidRPr="00BE275A">
        <w:rPr>
          <w:rStyle w:val="FootnoteReference"/>
          <w:rFonts w:eastAsia="Times New Roman" w:cs="Arial"/>
          <w:color w:val="auto"/>
          <w:shd w:val="clear" w:color="auto" w:fill="FFFFFF"/>
          <w:lang w:eastAsia="en-AU"/>
        </w:rPr>
        <w:footnoteReference w:id="26"/>
      </w:r>
      <w:r>
        <w:rPr>
          <w:rFonts w:eastAsia="Times New Roman" w:cs="Arial"/>
          <w:shd w:val="clear" w:color="auto" w:fill="FFFFFF"/>
          <w:lang w:eastAsia="en-AU"/>
        </w:rPr>
        <w:t xml:space="preserve"> Utilising this data and acting upon the guidance, </w:t>
      </w:r>
      <w:r w:rsidRPr="00A54B9B">
        <w:rPr>
          <w:rFonts w:eastAsia="Times New Roman" w:cs="Arial"/>
          <w:lang w:eastAsia="en-AU"/>
        </w:rPr>
        <w:t>South East Water completed a comprehensive climate risk identification and assessment project built on South</w:t>
      </w:r>
      <w:r w:rsidR="000F3DD8">
        <w:rPr>
          <w:rFonts w:eastAsia="Times New Roman" w:cs="Arial"/>
          <w:lang w:eastAsia="en-AU"/>
        </w:rPr>
        <w:t> </w:t>
      </w:r>
      <w:r w:rsidRPr="00A54B9B">
        <w:rPr>
          <w:rFonts w:eastAsia="Times New Roman" w:cs="Arial"/>
          <w:lang w:eastAsia="en-AU"/>
        </w:rPr>
        <w:t>East</w:t>
      </w:r>
      <w:r w:rsidR="000F3DD8">
        <w:rPr>
          <w:rFonts w:eastAsia="Times New Roman" w:cs="Arial"/>
          <w:lang w:eastAsia="en-AU"/>
        </w:rPr>
        <w:t> </w:t>
      </w:r>
      <w:r w:rsidRPr="00A54B9B">
        <w:rPr>
          <w:rFonts w:eastAsia="Times New Roman" w:cs="Arial"/>
          <w:lang w:eastAsia="en-AU"/>
        </w:rPr>
        <w:t>Water</w:t>
      </w:r>
      <w:r w:rsidR="00612583">
        <w:rPr>
          <w:rFonts w:eastAsia="Times New Roman" w:cs="Arial"/>
          <w:lang w:eastAsia="en-AU"/>
        </w:rPr>
        <w:t>’</w:t>
      </w:r>
      <w:r w:rsidRPr="00A54B9B">
        <w:rPr>
          <w:rFonts w:eastAsia="Times New Roman" w:cs="Arial"/>
          <w:lang w:eastAsia="en-AU"/>
        </w:rPr>
        <w:t>s previous risk assessments</w:t>
      </w:r>
      <w:r>
        <w:rPr>
          <w:rFonts w:eastAsia="Times New Roman" w:cs="Arial"/>
          <w:lang w:eastAsia="en-AU"/>
        </w:rPr>
        <w:t>. The proposed step change pertains to costs associated with actions from that assessment</w:t>
      </w:r>
      <w:r w:rsidR="00F54F18">
        <w:rPr>
          <w:rFonts w:eastAsia="Times New Roman" w:cs="Arial"/>
          <w:lang w:eastAsia="en-AU"/>
        </w:rPr>
        <w:t>,</w:t>
      </w:r>
      <w:r>
        <w:rPr>
          <w:rFonts w:eastAsia="Times New Roman" w:cs="Arial"/>
          <w:lang w:eastAsia="en-AU"/>
        </w:rPr>
        <w:t xml:space="preserve"> in the areas of strategic asset management, strategic water resource management</w:t>
      </w:r>
      <w:r w:rsidR="00706BDB">
        <w:rPr>
          <w:rFonts w:eastAsia="Times New Roman" w:cs="Arial"/>
          <w:lang w:eastAsia="en-AU"/>
        </w:rPr>
        <w:t>,</w:t>
      </w:r>
      <w:r>
        <w:rPr>
          <w:rFonts w:eastAsia="Times New Roman" w:cs="Arial"/>
          <w:lang w:eastAsia="en-AU"/>
        </w:rPr>
        <w:t xml:space="preserve"> and business resilience and emergency response planning.</w:t>
      </w:r>
    </w:p>
    <w:p w14:paraId="724AF840" w14:textId="77777777" w:rsidR="00FE6C2E" w:rsidRDefault="00FE6C2E" w:rsidP="00C24B1F">
      <w:pPr>
        <w:rPr>
          <w:rFonts w:eastAsia="Times New Roman" w:cs="Arial"/>
          <w:lang w:eastAsia="en-AU"/>
        </w:rPr>
      </w:pPr>
    </w:p>
    <w:p w14:paraId="471A953E" w14:textId="5CB16E4C" w:rsidR="00FE6C2E" w:rsidRPr="000C5D88" w:rsidRDefault="000C5D88" w:rsidP="002819EA">
      <w:pPr>
        <w:pStyle w:val="NormalIndent"/>
        <w:spacing w:after="120"/>
        <w:ind w:left="0"/>
        <w:rPr>
          <w:rFonts w:cs="Arial"/>
          <w:b/>
          <w:i/>
        </w:rPr>
      </w:pPr>
      <w:r w:rsidRPr="00CE6C4E">
        <w:rPr>
          <w:b/>
          <w:i/>
        </w:rPr>
        <w:lastRenderedPageBreak/>
        <w:t>Table</w:t>
      </w:r>
      <w:r w:rsidR="002D4331">
        <w:rPr>
          <w:b/>
          <w:i/>
        </w:rPr>
        <w:t xml:space="preserve"> 69</w:t>
      </w:r>
      <w:r w:rsidRPr="007B339F">
        <w:rPr>
          <w:rFonts w:ascii="Arial" w:hAnsi="Arial" w:cs="Arial"/>
          <w:b/>
          <w:i/>
        </w:rPr>
        <w:t>:</w:t>
      </w:r>
      <w:r>
        <w:rPr>
          <w:rFonts w:ascii="Arial" w:hAnsi="Arial" w:cs="Arial"/>
          <w:b/>
          <w:i/>
        </w:rPr>
        <w:t xml:space="preserve"> </w:t>
      </w:r>
      <w:r w:rsidR="00FE6C2E" w:rsidRPr="00C865F9">
        <w:rPr>
          <w:rFonts w:cs="Arial"/>
          <w:b/>
          <w:i/>
        </w:rPr>
        <w:t xml:space="preserve">Climate Adapt </w:t>
      </w:r>
      <w:r w:rsidR="00507B63" w:rsidRPr="006D1620">
        <w:rPr>
          <w:rFonts w:cs="Arial"/>
          <w:b/>
          <w:i/>
        </w:rPr>
        <w:t>(</w:t>
      </w:r>
      <w:r w:rsidR="00507B63">
        <w:rPr>
          <w:rFonts w:cs="Arial"/>
          <w:b/>
          <w:i/>
        </w:rPr>
        <w:t>$</w:t>
      </w:r>
      <w:r w:rsidR="00FE6C2E" w:rsidRPr="00C865F9">
        <w:rPr>
          <w:rFonts w:cs="Arial"/>
          <w:b/>
          <w:i/>
        </w:rPr>
        <w:t>million 2022</w:t>
      </w:r>
      <w:r w:rsidR="00F33731">
        <w:rPr>
          <w:rFonts w:cs="Arial"/>
          <w:b/>
          <w:i/>
        </w:rPr>
        <w:t>–</w:t>
      </w:r>
      <w:r w:rsidR="00FE6C2E" w:rsidRPr="00C865F9">
        <w:rPr>
          <w:rFonts w:cs="Arial"/>
          <w:b/>
          <w:i/>
        </w:rPr>
        <w:t>23)</w:t>
      </w:r>
    </w:p>
    <w:tbl>
      <w:tblPr>
        <w:tblStyle w:val="MJTableStyle1default"/>
        <w:tblW w:w="0" w:type="auto"/>
        <w:tblInd w:w="0" w:type="dxa"/>
        <w:tblLook w:val="04A0" w:firstRow="1" w:lastRow="0" w:firstColumn="1" w:lastColumn="0" w:noHBand="0" w:noVBand="1"/>
      </w:tblPr>
      <w:tblGrid>
        <w:gridCol w:w="1559"/>
        <w:gridCol w:w="1559"/>
        <w:gridCol w:w="1560"/>
        <w:gridCol w:w="1559"/>
        <w:gridCol w:w="1559"/>
        <w:gridCol w:w="1560"/>
      </w:tblGrid>
      <w:tr w:rsidR="00FE6C2E" w:rsidRPr="003C7B1A" w14:paraId="1B3E9FAF" w14:textId="6EFFFF49" w:rsidTr="00F8713B">
        <w:trPr>
          <w:cnfStyle w:val="100000000000" w:firstRow="1" w:lastRow="0" w:firstColumn="0" w:lastColumn="0" w:oddVBand="0" w:evenVBand="0" w:oddHBand="0" w:evenHBand="0" w:firstRowFirstColumn="0" w:firstRowLastColumn="0" w:lastRowFirstColumn="0" w:lastRowLastColumn="0"/>
          <w:trHeight w:val="480"/>
        </w:trPr>
        <w:tc>
          <w:tcPr>
            <w:tcW w:w="1559" w:type="dxa"/>
            <w:tcBorders>
              <w:top w:val="single" w:sz="4" w:space="0" w:color="002279"/>
              <w:left w:val="single" w:sz="4" w:space="0" w:color="002279"/>
              <w:bottom w:val="single" w:sz="2" w:space="0" w:color="002279"/>
              <w:right w:val="single" w:sz="4" w:space="0" w:color="FFFFFF" w:themeColor="background1"/>
            </w:tcBorders>
            <w:shd w:val="clear" w:color="auto" w:fill="002279"/>
            <w:vAlign w:val="center"/>
          </w:tcPr>
          <w:p w14:paraId="5EFCACB4" w14:textId="3D6F34A3" w:rsidR="00FE6C2E" w:rsidRPr="003C7B1A" w:rsidRDefault="00FE6C2E" w:rsidP="00360131">
            <w:pPr>
              <w:jc w:val="center"/>
              <w:rPr>
                <w:rFonts w:asciiTheme="minorHAnsi" w:hAnsiTheme="minorHAnsi" w:cstheme="minorHAnsi"/>
                <w:b/>
                <w:bCs/>
              </w:rPr>
            </w:pPr>
            <w:r w:rsidRPr="003C7B1A">
              <w:rPr>
                <w:rFonts w:asciiTheme="minorHAnsi" w:hAnsiTheme="minorHAnsi" w:cstheme="minorHAnsi"/>
                <w:b/>
                <w:bCs/>
              </w:rPr>
              <w:t>2023</w:t>
            </w:r>
            <w:r w:rsidR="00F33731" w:rsidRPr="003C7B1A">
              <w:rPr>
                <w:rFonts w:asciiTheme="minorHAnsi" w:hAnsiTheme="minorHAnsi" w:cstheme="minorHAnsi"/>
                <w:b/>
                <w:bCs/>
              </w:rPr>
              <w:t>–</w:t>
            </w:r>
            <w:r w:rsidRPr="003C7B1A">
              <w:rPr>
                <w:rFonts w:asciiTheme="minorHAnsi" w:hAnsiTheme="minorHAnsi" w:cstheme="minorHAnsi"/>
                <w:b/>
                <w:bCs/>
              </w:rPr>
              <w:t>24</w:t>
            </w:r>
          </w:p>
        </w:tc>
        <w:tc>
          <w:tcPr>
            <w:tcW w:w="1559"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vAlign w:val="center"/>
          </w:tcPr>
          <w:p w14:paraId="1E7A675C" w14:textId="6E432E46" w:rsidR="00FE6C2E" w:rsidRPr="003C7B1A" w:rsidRDefault="00FE6C2E" w:rsidP="00360131">
            <w:pPr>
              <w:jc w:val="center"/>
              <w:rPr>
                <w:rFonts w:asciiTheme="minorHAnsi" w:hAnsiTheme="minorHAnsi" w:cstheme="minorHAnsi"/>
                <w:b/>
                <w:bCs/>
              </w:rPr>
            </w:pPr>
            <w:r w:rsidRPr="003C7B1A">
              <w:rPr>
                <w:rFonts w:asciiTheme="minorHAnsi" w:hAnsiTheme="minorHAnsi" w:cstheme="minorHAnsi"/>
                <w:b/>
                <w:bCs/>
              </w:rPr>
              <w:t>2024</w:t>
            </w:r>
            <w:r w:rsidR="00F33731" w:rsidRPr="003C7B1A">
              <w:rPr>
                <w:rFonts w:asciiTheme="minorHAnsi" w:hAnsiTheme="minorHAnsi" w:cstheme="minorHAnsi"/>
                <w:b/>
                <w:bCs/>
              </w:rPr>
              <w:t>–</w:t>
            </w:r>
            <w:r w:rsidRPr="003C7B1A">
              <w:rPr>
                <w:rFonts w:asciiTheme="minorHAnsi" w:hAnsiTheme="minorHAnsi" w:cstheme="minorHAnsi"/>
                <w:b/>
                <w:bCs/>
              </w:rPr>
              <w:t>25</w:t>
            </w:r>
          </w:p>
        </w:tc>
        <w:tc>
          <w:tcPr>
            <w:tcW w:w="1560"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vAlign w:val="center"/>
          </w:tcPr>
          <w:p w14:paraId="58DBF276" w14:textId="22532433" w:rsidR="00FE6C2E" w:rsidRPr="003C7B1A" w:rsidRDefault="00FE6C2E" w:rsidP="00360131">
            <w:pPr>
              <w:jc w:val="center"/>
              <w:rPr>
                <w:rFonts w:asciiTheme="minorHAnsi" w:hAnsiTheme="minorHAnsi" w:cstheme="minorHAnsi"/>
                <w:b/>
                <w:bCs/>
              </w:rPr>
            </w:pPr>
            <w:r w:rsidRPr="003C7B1A">
              <w:rPr>
                <w:rFonts w:asciiTheme="minorHAnsi" w:hAnsiTheme="minorHAnsi" w:cstheme="minorHAnsi"/>
                <w:b/>
                <w:bCs/>
              </w:rPr>
              <w:t>2025</w:t>
            </w:r>
            <w:r w:rsidR="00F33731" w:rsidRPr="003C7B1A">
              <w:rPr>
                <w:rFonts w:asciiTheme="minorHAnsi" w:hAnsiTheme="minorHAnsi" w:cstheme="minorHAnsi"/>
                <w:b/>
                <w:bCs/>
              </w:rPr>
              <w:t>–</w:t>
            </w:r>
            <w:r w:rsidRPr="003C7B1A">
              <w:rPr>
                <w:rFonts w:asciiTheme="minorHAnsi" w:hAnsiTheme="minorHAnsi" w:cstheme="minorHAnsi"/>
                <w:b/>
                <w:bCs/>
              </w:rPr>
              <w:t>26</w:t>
            </w:r>
          </w:p>
        </w:tc>
        <w:tc>
          <w:tcPr>
            <w:tcW w:w="1559"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vAlign w:val="center"/>
          </w:tcPr>
          <w:p w14:paraId="08F181FF" w14:textId="6AA07A3D" w:rsidR="00FE6C2E" w:rsidRPr="003C7B1A" w:rsidRDefault="00FE6C2E" w:rsidP="00360131">
            <w:pPr>
              <w:jc w:val="center"/>
              <w:rPr>
                <w:rFonts w:asciiTheme="minorHAnsi" w:hAnsiTheme="minorHAnsi" w:cstheme="minorHAnsi"/>
                <w:b/>
                <w:bCs/>
              </w:rPr>
            </w:pPr>
            <w:r w:rsidRPr="003C7B1A">
              <w:rPr>
                <w:rFonts w:asciiTheme="minorHAnsi" w:hAnsiTheme="minorHAnsi" w:cstheme="minorHAnsi"/>
                <w:b/>
                <w:bCs/>
              </w:rPr>
              <w:t>2026</w:t>
            </w:r>
            <w:r w:rsidR="00F33731" w:rsidRPr="003C7B1A">
              <w:rPr>
                <w:rFonts w:asciiTheme="minorHAnsi" w:hAnsiTheme="minorHAnsi" w:cstheme="minorHAnsi"/>
                <w:b/>
                <w:bCs/>
              </w:rPr>
              <w:t>–</w:t>
            </w:r>
            <w:r w:rsidRPr="003C7B1A">
              <w:rPr>
                <w:rFonts w:asciiTheme="minorHAnsi" w:hAnsiTheme="minorHAnsi" w:cstheme="minorHAnsi"/>
                <w:b/>
                <w:bCs/>
              </w:rPr>
              <w:t>27</w:t>
            </w:r>
          </w:p>
        </w:tc>
        <w:tc>
          <w:tcPr>
            <w:tcW w:w="1559"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vAlign w:val="center"/>
          </w:tcPr>
          <w:p w14:paraId="3414C10B" w14:textId="297E5B77" w:rsidR="00FE6C2E" w:rsidRPr="003C7B1A" w:rsidRDefault="00FE6C2E" w:rsidP="00360131">
            <w:pPr>
              <w:jc w:val="center"/>
              <w:rPr>
                <w:rFonts w:asciiTheme="minorHAnsi" w:hAnsiTheme="minorHAnsi" w:cstheme="minorHAnsi"/>
                <w:b/>
                <w:bCs/>
              </w:rPr>
            </w:pPr>
            <w:r w:rsidRPr="003C7B1A">
              <w:rPr>
                <w:rFonts w:asciiTheme="minorHAnsi" w:hAnsiTheme="minorHAnsi" w:cstheme="minorHAnsi"/>
                <w:b/>
                <w:bCs/>
              </w:rPr>
              <w:t>2027</w:t>
            </w:r>
            <w:r w:rsidR="00F33731" w:rsidRPr="003C7B1A">
              <w:rPr>
                <w:rFonts w:asciiTheme="minorHAnsi" w:hAnsiTheme="minorHAnsi" w:cstheme="minorHAnsi"/>
                <w:b/>
                <w:bCs/>
              </w:rPr>
              <w:t>–</w:t>
            </w:r>
            <w:r w:rsidRPr="003C7B1A">
              <w:rPr>
                <w:rFonts w:asciiTheme="minorHAnsi" w:hAnsiTheme="minorHAnsi" w:cstheme="minorHAnsi"/>
                <w:b/>
                <w:bCs/>
              </w:rPr>
              <w:t>28</w:t>
            </w:r>
          </w:p>
        </w:tc>
        <w:tc>
          <w:tcPr>
            <w:tcW w:w="1560" w:type="dxa"/>
            <w:tcBorders>
              <w:top w:val="single" w:sz="4" w:space="0" w:color="002279"/>
              <w:left w:val="single" w:sz="4" w:space="0" w:color="FFFFFF" w:themeColor="background1"/>
              <w:bottom w:val="single" w:sz="2" w:space="0" w:color="002279"/>
              <w:right w:val="single" w:sz="4" w:space="0" w:color="002279"/>
            </w:tcBorders>
            <w:shd w:val="clear" w:color="auto" w:fill="002279"/>
            <w:vAlign w:val="center"/>
          </w:tcPr>
          <w:p w14:paraId="6DF1960B" w14:textId="48BBB5B2" w:rsidR="00FE6C2E" w:rsidRPr="003C7B1A" w:rsidRDefault="00FE6C2E" w:rsidP="00360131">
            <w:pPr>
              <w:jc w:val="center"/>
              <w:rPr>
                <w:rFonts w:asciiTheme="minorHAnsi" w:hAnsiTheme="minorHAnsi" w:cstheme="minorHAnsi"/>
                <w:b/>
                <w:bCs/>
              </w:rPr>
            </w:pPr>
            <w:r w:rsidRPr="003C7B1A">
              <w:rPr>
                <w:rFonts w:asciiTheme="minorHAnsi" w:hAnsiTheme="minorHAnsi" w:cstheme="minorHAnsi"/>
                <w:b/>
                <w:bCs/>
              </w:rPr>
              <w:t>Total</w:t>
            </w:r>
          </w:p>
        </w:tc>
      </w:tr>
      <w:tr w:rsidR="00FE6C2E" w:rsidRPr="003C7B1A" w14:paraId="3DCCC00A" w14:textId="67961026" w:rsidTr="00F8713B">
        <w:trPr>
          <w:cnfStyle w:val="000000100000" w:firstRow="0" w:lastRow="0" w:firstColumn="0" w:lastColumn="0" w:oddVBand="0" w:evenVBand="0" w:oddHBand="1" w:evenHBand="0" w:firstRowFirstColumn="0" w:firstRowLastColumn="0" w:lastRowFirstColumn="0" w:lastRowLastColumn="0"/>
        </w:trPr>
        <w:tc>
          <w:tcPr>
            <w:tcW w:w="1559" w:type="dxa"/>
            <w:tcBorders>
              <w:top w:val="single" w:sz="2" w:space="0" w:color="002279"/>
              <w:left w:val="single" w:sz="4" w:space="0" w:color="002279"/>
              <w:bottom w:val="single" w:sz="4" w:space="0" w:color="002279"/>
              <w:right w:val="single" w:sz="4" w:space="0" w:color="002279"/>
            </w:tcBorders>
            <w:shd w:val="clear" w:color="auto" w:fill="FFFFFF" w:themeFill="background1"/>
            <w:vAlign w:val="center"/>
          </w:tcPr>
          <w:p w14:paraId="03E566BF" w14:textId="09FA81C2" w:rsidR="00FE6C2E" w:rsidRPr="003C7B1A" w:rsidRDefault="00FE6C2E" w:rsidP="003C7B1A">
            <w:pPr>
              <w:jc w:val="center"/>
              <w:rPr>
                <w:rFonts w:cstheme="minorHAnsi"/>
              </w:rPr>
            </w:pPr>
            <w:r w:rsidRPr="003C7B1A">
              <w:rPr>
                <w:rFonts w:cstheme="minorHAnsi"/>
              </w:rPr>
              <w:t>0.5</w:t>
            </w:r>
            <w:r w:rsidR="00F13289">
              <w:rPr>
                <w:rFonts w:cstheme="minorHAnsi"/>
              </w:rPr>
              <w:t>9</w:t>
            </w:r>
          </w:p>
        </w:tc>
        <w:tc>
          <w:tcPr>
            <w:tcW w:w="1559" w:type="dxa"/>
            <w:tcBorders>
              <w:top w:val="single" w:sz="2" w:space="0" w:color="002279"/>
              <w:left w:val="single" w:sz="4" w:space="0" w:color="002279"/>
              <w:bottom w:val="single" w:sz="4" w:space="0" w:color="002279"/>
              <w:right w:val="single" w:sz="4" w:space="0" w:color="002279"/>
            </w:tcBorders>
            <w:shd w:val="clear" w:color="auto" w:fill="FFFFFF" w:themeFill="background1"/>
            <w:vAlign w:val="center"/>
          </w:tcPr>
          <w:p w14:paraId="12A3637D" w14:textId="77777777" w:rsidR="00FE6C2E" w:rsidRPr="003C7B1A" w:rsidRDefault="00FE6C2E" w:rsidP="003C7B1A">
            <w:pPr>
              <w:jc w:val="center"/>
              <w:rPr>
                <w:rFonts w:cstheme="minorHAnsi"/>
              </w:rPr>
            </w:pPr>
            <w:r w:rsidRPr="003C7B1A">
              <w:rPr>
                <w:rFonts w:cstheme="minorHAnsi"/>
              </w:rPr>
              <w:t>0.29</w:t>
            </w:r>
          </w:p>
        </w:tc>
        <w:tc>
          <w:tcPr>
            <w:tcW w:w="1560" w:type="dxa"/>
            <w:tcBorders>
              <w:top w:val="single" w:sz="2" w:space="0" w:color="002279"/>
              <w:left w:val="single" w:sz="4" w:space="0" w:color="002279"/>
              <w:bottom w:val="single" w:sz="4" w:space="0" w:color="002279"/>
              <w:right w:val="single" w:sz="4" w:space="0" w:color="002279"/>
            </w:tcBorders>
            <w:shd w:val="clear" w:color="auto" w:fill="FFFFFF" w:themeFill="background1"/>
            <w:vAlign w:val="center"/>
          </w:tcPr>
          <w:p w14:paraId="212C6B6F" w14:textId="77777777" w:rsidR="00FE6C2E" w:rsidRPr="003C7B1A" w:rsidRDefault="00FE6C2E" w:rsidP="003C7B1A">
            <w:pPr>
              <w:jc w:val="center"/>
              <w:rPr>
                <w:rFonts w:cstheme="minorHAnsi"/>
              </w:rPr>
            </w:pPr>
            <w:r w:rsidRPr="003C7B1A">
              <w:rPr>
                <w:rFonts w:cstheme="minorHAnsi"/>
              </w:rPr>
              <w:t>0.29</w:t>
            </w:r>
          </w:p>
        </w:tc>
        <w:tc>
          <w:tcPr>
            <w:tcW w:w="1559" w:type="dxa"/>
            <w:tcBorders>
              <w:top w:val="single" w:sz="2" w:space="0" w:color="002279"/>
              <w:left w:val="single" w:sz="4" w:space="0" w:color="002279"/>
              <w:bottom w:val="single" w:sz="4" w:space="0" w:color="002279"/>
              <w:right w:val="single" w:sz="4" w:space="0" w:color="002279"/>
            </w:tcBorders>
            <w:shd w:val="clear" w:color="auto" w:fill="FFFFFF" w:themeFill="background1"/>
            <w:vAlign w:val="center"/>
          </w:tcPr>
          <w:p w14:paraId="40223D91" w14:textId="77777777" w:rsidR="00FE6C2E" w:rsidRPr="003C7B1A" w:rsidRDefault="00FE6C2E" w:rsidP="003C7B1A">
            <w:pPr>
              <w:jc w:val="center"/>
              <w:rPr>
                <w:rFonts w:cstheme="minorHAnsi"/>
              </w:rPr>
            </w:pPr>
            <w:r w:rsidRPr="003C7B1A">
              <w:rPr>
                <w:rFonts w:cstheme="minorHAnsi"/>
              </w:rPr>
              <w:t>0.29</w:t>
            </w:r>
          </w:p>
        </w:tc>
        <w:tc>
          <w:tcPr>
            <w:tcW w:w="1559" w:type="dxa"/>
            <w:tcBorders>
              <w:top w:val="single" w:sz="2" w:space="0" w:color="002279"/>
              <w:left w:val="single" w:sz="4" w:space="0" w:color="002279"/>
              <w:bottom w:val="single" w:sz="4" w:space="0" w:color="002279"/>
              <w:right w:val="single" w:sz="4" w:space="0" w:color="002279"/>
            </w:tcBorders>
            <w:shd w:val="clear" w:color="auto" w:fill="FFFFFF" w:themeFill="background1"/>
            <w:vAlign w:val="center"/>
          </w:tcPr>
          <w:p w14:paraId="7CA0BF03" w14:textId="77777777" w:rsidR="00FE6C2E" w:rsidRPr="003C7B1A" w:rsidRDefault="00FE6C2E" w:rsidP="003C7B1A">
            <w:pPr>
              <w:jc w:val="center"/>
              <w:rPr>
                <w:rFonts w:cstheme="minorHAnsi"/>
              </w:rPr>
            </w:pPr>
            <w:r w:rsidRPr="003C7B1A">
              <w:rPr>
                <w:rFonts w:cstheme="minorHAnsi"/>
              </w:rPr>
              <w:t>0.29</w:t>
            </w:r>
          </w:p>
        </w:tc>
        <w:tc>
          <w:tcPr>
            <w:tcW w:w="1560" w:type="dxa"/>
            <w:tcBorders>
              <w:top w:val="single" w:sz="2" w:space="0" w:color="002279"/>
              <w:left w:val="single" w:sz="4" w:space="0" w:color="002279"/>
              <w:bottom w:val="single" w:sz="4" w:space="0" w:color="002279"/>
              <w:right w:val="single" w:sz="4" w:space="0" w:color="002279"/>
            </w:tcBorders>
            <w:shd w:val="clear" w:color="auto" w:fill="FFFFFF" w:themeFill="background1"/>
            <w:vAlign w:val="center"/>
          </w:tcPr>
          <w:p w14:paraId="02F67679" w14:textId="12D10D11" w:rsidR="00FE6C2E" w:rsidRPr="003C7B1A" w:rsidRDefault="004C39E9" w:rsidP="00360131">
            <w:pPr>
              <w:jc w:val="center"/>
              <w:rPr>
                <w:rFonts w:cstheme="minorHAnsi"/>
                <w:b/>
              </w:rPr>
            </w:pPr>
            <w:r w:rsidRPr="003C7B1A">
              <w:rPr>
                <w:rFonts w:cstheme="minorHAnsi"/>
                <w:b/>
              </w:rPr>
              <w:t>1.7</w:t>
            </w:r>
            <w:r w:rsidR="00F13289">
              <w:rPr>
                <w:rFonts w:cstheme="minorHAnsi"/>
                <w:b/>
              </w:rPr>
              <w:t>5</w:t>
            </w:r>
          </w:p>
        </w:tc>
      </w:tr>
    </w:tbl>
    <w:p w14:paraId="72F0137A" w14:textId="77777777" w:rsidR="00C24B1F" w:rsidRDefault="00C24B1F" w:rsidP="00C24B1F">
      <w:pPr>
        <w:pStyle w:val="BodyText"/>
        <w:spacing w:line="222" w:lineRule="exact"/>
        <w:ind w:left="720"/>
      </w:pPr>
    </w:p>
    <w:p w14:paraId="7F2812F9" w14:textId="77777777" w:rsidR="00C24B1F" w:rsidRDefault="00C24B1F" w:rsidP="004C39E9">
      <w:pPr>
        <w:pStyle w:val="Heading3"/>
      </w:pPr>
      <w:r>
        <w:t>Payroll tax surcharge and Superannuation Guarantee</w:t>
      </w:r>
    </w:p>
    <w:p w14:paraId="3F6CCAC6" w14:textId="31280D21" w:rsidR="00C24B1F" w:rsidRDefault="00C24B1F" w:rsidP="00C24B1F">
      <w:pPr>
        <w:pStyle w:val="BodyText"/>
        <w:spacing w:line="240" w:lineRule="auto"/>
      </w:pPr>
      <w:r>
        <w:t>Following the Royal Commission into Victoria</w:t>
      </w:r>
      <w:r w:rsidR="00612583">
        <w:t>’</w:t>
      </w:r>
      <w:r>
        <w:t xml:space="preserve">s mental health system, a mental health </w:t>
      </w:r>
      <w:r w:rsidR="00DB730F">
        <w:t>and</w:t>
      </w:r>
      <w:r>
        <w:t xml:space="preserve"> wellbeing surcharge </w:t>
      </w:r>
      <w:r w:rsidR="00E12FEB">
        <w:t>was</w:t>
      </w:r>
      <w:r>
        <w:t xml:space="preserve"> implemented as </w:t>
      </w:r>
      <w:r w:rsidRPr="00195630">
        <w:t>a revenue mechanism t</w:t>
      </w:r>
      <w:r w:rsidR="00BF7803">
        <w:t>o</w:t>
      </w:r>
      <w:r w:rsidRPr="00195630">
        <w:t xml:space="preserve"> provide a stable and dedicated form of additional funding for the mental health system.</w:t>
      </w:r>
      <w:r>
        <w:t xml:space="preserve"> The surcharge is 0.5% of Victorian taxable wages over $10 million</w:t>
      </w:r>
      <w:r w:rsidRPr="005A73A8">
        <w:t>.</w:t>
      </w:r>
    </w:p>
    <w:p w14:paraId="4BABF28F" w14:textId="2AD3BA73" w:rsidR="00C24B1F" w:rsidRDefault="00C24B1F" w:rsidP="00C24B1F">
      <w:r>
        <w:t>Additionally, the rate of superannuation payable to employees in South East Water</w:t>
      </w:r>
      <w:r w:rsidR="00612583">
        <w:t>’</w:t>
      </w:r>
      <w:r>
        <w:t>s base year is 10%. The superannuation guarantee rate is proposed to increase to 12% by the end of the regulatory period.</w:t>
      </w:r>
    </w:p>
    <w:p w14:paraId="1A8AE96B" w14:textId="77777777" w:rsidR="004C39E9" w:rsidRDefault="004C39E9" w:rsidP="00C24B1F"/>
    <w:p w14:paraId="20D3EFF4" w14:textId="544B02A6" w:rsidR="004C39E9" w:rsidRPr="000C5D88" w:rsidRDefault="000C5D88" w:rsidP="002819EA">
      <w:pPr>
        <w:pStyle w:val="NormalIndent"/>
        <w:spacing w:after="120"/>
        <w:ind w:left="0"/>
        <w:rPr>
          <w:rFonts w:cs="Arial"/>
          <w:b/>
          <w:i/>
        </w:rPr>
      </w:pPr>
      <w:r w:rsidRPr="00CE6C4E">
        <w:rPr>
          <w:b/>
          <w:i/>
        </w:rPr>
        <w:t>Table</w:t>
      </w:r>
      <w:r w:rsidR="002D4331">
        <w:rPr>
          <w:b/>
          <w:i/>
        </w:rPr>
        <w:t xml:space="preserve"> 70</w:t>
      </w:r>
      <w:r w:rsidRPr="007B339F">
        <w:rPr>
          <w:rFonts w:ascii="Arial" w:hAnsi="Arial" w:cs="Arial"/>
          <w:b/>
          <w:i/>
        </w:rPr>
        <w:t>:</w:t>
      </w:r>
      <w:r>
        <w:rPr>
          <w:rFonts w:ascii="Arial" w:hAnsi="Arial" w:cs="Arial"/>
          <w:b/>
          <w:i/>
        </w:rPr>
        <w:t xml:space="preserve"> </w:t>
      </w:r>
      <w:r w:rsidR="004C39E9" w:rsidRPr="000905F5">
        <w:rPr>
          <w:rFonts w:cs="Arial"/>
          <w:b/>
          <w:i/>
        </w:rPr>
        <w:t xml:space="preserve">Payroll tax surcharge and Superannuation Guarantee </w:t>
      </w:r>
      <w:r w:rsidR="00507B63" w:rsidRPr="006D1620">
        <w:rPr>
          <w:rFonts w:cs="Arial"/>
          <w:b/>
          <w:i/>
        </w:rPr>
        <w:t>(</w:t>
      </w:r>
      <w:r w:rsidR="00507B63">
        <w:rPr>
          <w:rFonts w:cs="Arial"/>
          <w:b/>
          <w:i/>
        </w:rPr>
        <w:t>$</w:t>
      </w:r>
      <w:r w:rsidR="004C39E9" w:rsidRPr="000905F5">
        <w:rPr>
          <w:rFonts w:cs="Arial"/>
          <w:b/>
          <w:i/>
        </w:rPr>
        <w:t>million 2022</w:t>
      </w:r>
      <w:r w:rsidR="00F33731">
        <w:rPr>
          <w:rFonts w:cs="Arial"/>
          <w:b/>
          <w:i/>
        </w:rPr>
        <w:t>–</w:t>
      </w:r>
      <w:r w:rsidR="004C39E9" w:rsidRPr="000905F5">
        <w:rPr>
          <w:rFonts w:cs="Arial"/>
          <w:b/>
          <w:i/>
        </w:rPr>
        <w:t>23)</w:t>
      </w:r>
    </w:p>
    <w:tbl>
      <w:tblPr>
        <w:tblStyle w:val="MJTableStyle1default"/>
        <w:tblW w:w="0" w:type="auto"/>
        <w:tblInd w:w="0" w:type="dxa"/>
        <w:tblLook w:val="04A0" w:firstRow="1" w:lastRow="0" w:firstColumn="1" w:lastColumn="0" w:noHBand="0" w:noVBand="1"/>
      </w:tblPr>
      <w:tblGrid>
        <w:gridCol w:w="1559"/>
        <w:gridCol w:w="1559"/>
        <w:gridCol w:w="1560"/>
        <w:gridCol w:w="1559"/>
        <w:gridCol w:w="1559"/>
        <w:gridCol w:w="1560"/>
      </w:tblGrid>
      <w:tr w:rsidR="004C39E9" w:rsidRPr="000905F5" w14:paraId="3376E214" w14:textId="0E931FD4" w:rsidTr="00D92D75">
        <w:trPr>
          <w:cnfStyle w:val="100000000000" w:firstRow="1" w:lastRow="0" w:firstColumn="0" w:lastColumn="0" w:oddVBand="0" w:evenVBand="0" w:oddHBand="0" w:evenHBand="0" w:firstRowFirstColumn="0" w:firstRowLastColumn="0" w:lastRowFirstColumn="0" w:lastRowLastColumn="0"/>
          <w:trHeight w:val="462"/>
        </w:trPr>
        <w:tc>
          <w:tcPr>
            <w:tcW w:w="1559" w:type="dxa"/>
            <w:tcBorders>
              <w:top w:val="single" w:sz="4" w:space="0" w:color="002279"/>
              <w:left w:val="single" w:sz="4" w:space="0" w:color="002279"/>
              <w:bottom w:val="single" w:sz="2" w:space="0" w:color="002279"/>
              <w:right w:val="single" w:sz="4" w:space="0" w:color="FFFFFF" w:themeColor="background1"/>
            </w:tcBorders>
            <w:shd w:val="clear" w:color="auto" w:fill="002279"/>
            <w:vAlign w:val="center"/>
          </w:tcPr>
          <w:p w14:paraId="3BE6C7A6" w14:textId="48CA15E5" w:rsidR="004C39E9" w:rsidRPr="00116E55" w:rsidRDefault="004C39E9" w:rsidP="00360131">
            <w:pPr>
              <w:jc w:val="center"/>
              <w:rPr>
                <w:rFonts w:asciiTheme="minorHAnsi" w:hAnsiTheme="minorHAnsi" w:cstheme="minorHAnsi"/>
                <w:b/>
                <w:bCs/>
                <w:szCs w:val="22"/>
              </w:rPr>
            </w:pPr>
            <w:r w:rsidRPr="00116E55">
              <w:rPr>
                <w:rFonts w:asciiTheme="minorHAnsi" w:hAnsiTheme="minorHAnsi" w:cstheme="minorHAnsi"/>
                <w:b/>
                <w:bCs/>
                <w:szCs w:val="22"/>
              </w:rPr>
              <w:t>2023</w:t>
            </w:r>
            <w:r w:rsidR="00F33731" w:rsidRPr="00116E55">
              <w:rPr>
                <w:rFonts w:asciiTheme="minorHAnsi" w:hAnsiTheme="minorHAnsi" w:cstheme="minorHAnsi"/>
                <w:b/>
                <w:bCs/>
                <w:szCs w:val="22"/>
              </w:rPr>
              <w:t>–</w:t>
            </w:r>
            <w:r w:rsidRPr="00116E55">
              <w:rPr>
                <w:rFonts w:asciiTheme="minorHAnsi" w:hAnsiTheme="minorHAnsi" w:cstheme="minorHAnsi"/>
                <w:b/>
                <w:bCs/>
                <w:szCs w:val="22"/>
              </w:rPr>
              <w:t>24</w:t>
            </w:r>
          </w:p>
        </w:tc>
        <w:tc>
          <w:tcPr>
            <w:tcW w:w="1559"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vAlign w:val="center"/>
          </w:tcPr>
          <w:p w14:paraId="1F85EEAB" w14:textId="0BB6D57A" w:rsidR="004C39E9" w:rsidRPr="00116E55" w:rsidRDefault="004C39E9" w:rsidP="00360131">
            <w:pPr>
              <w:jc w:val="center"/>
              <w:rPr>
                <w:rFonts w:asciiTheme="minorHAnsi" w:hAnsiTheme="minorHAnsi" w:cstheme="minorHAnsi"/>
                <w:b/>
                <w:bCs/>
                <w:szCs w:val="22"/>
              </w:rPr>
            </w:pPr>
            <w:r w:rsidRPr="00116E55">
              <w:rPr>
                <w:rFonts w:asciiTheme="minorHAnsi" w:hAnsiTheme="minorHAnsi" w:cstheme="minorHAnsi"/>
                <w:b/>
                <w:bCs/>
                <w:szCs w:val="22"/>
              </w:rPr>
              <w:t>2024</w:t>
            </w:r>
            <w:r w:rsidR="00F33731" w:rsidRPr="00116E55">
              <w:rPr>
                <w:rFonts w:asciiTheme="minorHAnsi" w:hAnsiTheme="minorHAnsi" w:cstheme="minorHAnsi"/>
                <w:b/>
                <w:bCs/>
                <w:szCs w:val="22"/>
              </w:rPr>
              <w:t>–</w:t>
            </w:r>
            <w:r w:rsidRPr="00116E55">
              <w:rPr>
                <w:rFonts w:asciiTheme="minorHAnsi" w:hAnsiTheme="minorHAnsi" w:cstheme="minorHAnsi"/>
                <w:b/>
                <w:bCs/>
                <w:szCs w:val="22"/>
              </w:rPr>
              <w:t>25</w:t>
            </w:r>
          </w:p>
        </w:tc>
        <w:tc>
          <w:tcPr>
            <w:tcW w:w="1560"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vAlign w:val="center"/>
          </w:tcPr>
          <w:p w14:paraId="7021D4E9" w14:textId="0028504A" w:rsidR="004C39E9" w:rsidRPr="00116E55" w:rsidRDefault="004C39E9" w:rsidP="00360131">
            <w:pPr>
              <w:jc w:val="center"/>
              <w:rPr>
                <w:rFonts w:asciiTheme="minorHAnsi" w:hAnsiTheme="minorHAnsi" w:cstheme="minorHAnsi"/>
                <w:b/>
                <w:bCs/>
                <w:szCs w:val="22"/>
              </w:rPr>
            </w:pPr>
            <w:r w:rsidRPr="00116E55">
              <w:rPr>
                <w:rFonts w:asciiTheme="minorHAnsi" w:hAnsiTheme="minorHAnsi" w:cstheme="minorHAnsi"/>
                <w:b/>
                <w:bCs/>
                <w:szCs w:val="22"/>
              </w:rPr>
              <w:t>2025</w:t>
            </w:r>
            <w:r w:rsidR="00F33731" w:rsidRPr="00116E55">
              <w:rPr>
                <w:rFonts w:asciiTheme="minorHAnsi" w:hAnsiTheme="minorHAnsi" w:cstheme="minorHAnsi"/>
                <w:b/>
                <w:bCs/>
                <w:szCs w:val="22"/>
              </w:rPr>
              <w:t>–</w:t>
            </w:r>
            <w:r w:rsidRPr="00116E55">
              <w:rPr>
                <w:rFonts w:asciiTheme="minorHAnsi" w:hAnsiTheme="minorHAnsi" w:cstheme="minorHAnsi"/>
                <w:b/>
                <w:bCs/>
                <w:szCs w:val="22"/>
              </w:rPr>
              <w:t>26</w:t>
            </w:r>
          </w:p>
        </w:tc>
        <w:tc>
          <w:tcPr>
            <w:tcW w:w="1559"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vAlign w:val="center"/>
          </w:tcPr>
          <w:p w14:paraId="5CF1D0B9" w14:textId="259CC561" w:rsidR="004C39E9" w:rsidRPr="00116E55" w:rsidRDefault="004C39E9" w:rsidP="00360131">
            <w:pPr>
              <w:jc w:val="center"/>
              <w:rPr>
                <w:rFonts w:asciiTheme="minorHAnsi" w:hAnsiTheme="minorHAnsi" w:cstheme="minorHAnsi"/>
                <w:b/>
                <w:bCs/>
                <w:szCs w:val="22"/>
              </w:rPr>
            </w:pPr>
            <w:r w:rsidRPr="00116E55">
              <w:rPr>
                <w:rFonts w:asciiTheme="minorHAnsi" w:hAnsiTheme="minorHAnsi" w:cstheme="minorHAnsi"/>
                <w:b/>
                <w:bCs/>
                <w:szCs w:val="22"/>
              </w:rPr>
              <w:t>2026</w:t>
            </w:r>
            <w:r w:rsidR="00F33731" w:rsidRPr="00116E55">
              <w:rPr>
                <w:rFonts w:asciiTheme="minorHAnsi" w:hAnsiTheme="minorHAnsi" w:cstheme="minorHAnsi"/>
                <w:b/>
                <w:bCs/>
                <w:szCs w:val="22"/>
              </w:rPr>
              <w:t>–</w:t>
            </w:r>
            <w:r w:rsidRPr="00116E55">
              <w:rPr>
                <w:rFonts w:asciiTheme="minorHAnsi" w:hAnsiTheme="minorHAnsi" w:cstheme="minorHAnsi"/>
                <w:b/>
                <w:bCs/>
                <w:szCs w:val="22"/>
              </w:rPr>
              <w:t>27</w:t>
            </w:r>
          </w:p>
        </w:tc>
        <w:tc>
          <w:tcPr>
            <w:tcW w:w="1559"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vAlign w:val="center"/>
          </w:tcPr>
          <w:p w14:paraId="43E14091" w14:textId="0A4CF14F" w:rsidR="004C39E9" w:rsidRPr="00116E55" w:rsidRDefault="004C39E9" w:rsidP="00360131">
            <w:pPr>
              <w:jc w:val="center"/>
              <w:rPr>
                <w:rFonts w:asciiTheme="minorHAnsi" w:hAnsiTheme="minorHAnsi" w:cstheme="minorHAnsi"/>
                <w:b/>
                <w:bCs/>
                <w:szCs w:val="22"/>
              </w:rPr>
            </w:pPr>
            <w:r w:rsidRPr="00116E55">
              <w:rPr>
                <w:rFonts w:asciiTheme="minorHAnsi" w:hAnsiTheme="minorHAnsi" w:cstheme="minorHAnsi"/>
                <w:b/>
                <w:bCs/>
                <w:szCs w:val="22"/>
              </w:rPr>
              <w:t>2027</w:t>
            </w:r>
            <w:r w:rsidR="00F33731" w:rsidRPr="00116E55">
              <w:rPr>
                <w:rFonts w:asciiTheme="minorHAnsi" w:hAnsiTheme="minorHAnsi" w:cstheme="minorHAnsi"/>
                <w:b/>
                <w:bCs/>
                <w:szCs w:val="22"/>
              </w:rPr>
              <w:t>–</w:t>
            </w:r>
            <w:r w:rsidRPr="00116E55">
              <w:rPr>
                <w:rFonts w:asciiTheme="minorHAnsi" w:hAnsiTheme="minorHAnsi" w:cstheme="minorHAnsi"/>
                <w:b/>
                <w:bCs/>
                <w:szCs w:val="22"/>
              </w:rPr>
              <w:t>28</w:t>
            </w:r>
          </w:p>
        </w:tc>
        <w:tc>
          <w:tcPr>
            <w:tcW w:w="1560" w:type="dxa"/>
            <w:tcBorders>
              <w:top w:val="single" w:sz="4" w:space="0" w:color="002279"/>
              <w:left w:val="single" w:sz="4" w:space="0" w:color="FFFFFF" w:themeColor="background1"/>
              <w:bottom w:val="single" w:sz="2" w:space="0" w:color="002279"/>
              <w:right w:val="single" w:sz="4" w:space="0" w:color="002279"/>
            </w:tcBorders>
            <w:shd w:val="clear" w:color="auto" w:fill="002279"/>
            <w:vAlign w:val="center"/>
          </w:tcPr>
          <w:p w14:paraId="3D38C0BD" w14:textId="7FB2FA23" w:rsidR="004C39E9" w:rsidRPr="00116E55" w:rsidRDefault="004C39E9" w:rsidP="00360131">
            <w:pPr>
              <w:jc w:val="center"/>
              <w:rPr>
                <w:rFonts w:asciiTheme="minorHAnsi" w:hAnsiTheme="minorHAnsi" w:cstheme="minorHAnsi"/>
                <w:b/>
                <w:bCs/>
                <w:szCs w:val="22"/>
              </w:rPr>
            </w:pPr>
            <w:r w:rsidRPr="00116E55">
              <w:rPr>
                <w:rFonts w:asciiTheme="minorHAnsi" w:hAnsiTheme="minorHAnsi" w:cstheme="minorHAnsi"/>
                <w:b/>
                <w:bCs/>
                <w:szCs w:val="22"/>
              </w:rPr>
              <w:t>Total</w:t>
            </w:r>
          </w:p>
        </w:tc>
      </w:tr>
      <w:tr w:rsidR="00146DA9" w:rsidRPr="000905F5" w14:paraId="439B4A0E" w14:textId="327B4342" w:rsidTr="00F8713B">
        <w:trPr>
          <w:cnfStyle w:val="000000100000" w:firstRow="0" w:lastRow="0" w:firstColumn="0" w:lastColumn="0" w:oddVBand="0" w:evenVBand="0" w:oddHBand="1" w:evenHBand="0" w:firstRowFirstColumn="0" w:firstRowLastColumn="0" w:lastRowFirstColumn="0" w:lastRowLastColumn="0"/>
        </w:trPr>
        <w:tc>
          <w:tcPr>
            <w:tcW w:w="1559" w:type="dxa"/>
            <w:tcBorders>
              <w:top w:val="single" w:sz="2" w:space="0" w:color="002279"/>
              <w:left w:val="single" w:sz="4" w:space="0" w:color="002279"/>
              <w:bottom w:val="single" w:sz="4" w:space="0" w:color="002279"/>
              <w:right w:val="single" w:sz="4" w:space="0" w:color="002279"/>
            </w:tcBorders>
            <w:shd w:val="clear" w:color="auto" w:fill="FFFFFF" w:themeFill="background1"/>
            <w:vAlign w:val="center"/>
          </w:tcPr>
          <w:p w14:paraId="134BBABA" w14:textId="5352BCF0" w:rsidR="004C39E9" w:rsidRPr="000905F5" w:rsidRDefault="004C39E9" w:rsidP="003C7B1A">
            <w:pPr>
              <w:jc w:val="center"/>
              <w:rPr>
                <w:szCs w:val="22"/>
              </w:rPr>
            </w:pPr>
            <w:r w:rsidRPr="000905F5">
              <w:rPr>
                <w:szCs w:val="22"/>
              </w:rPr>
              <w:t>1.</w:t>
            </w:r>
            <w:r w:rsidR="00787B3D">
              <w:rPr>
                <w:szCs w:val="22"/>
              </w:rPr>
              <w:t>0</w:t>
            </w:r>
            <w:r w:rsidRPr="000905F5">
              <w:rPr>
                <w:szCs w:val="22"/>
              </w:rPr>
              <w:t>6</w:t>
            </w:r>
          </w:p>
        </w:tc>
        <w:tc>
          <w:tcPr>
            <w:tcW w:w="1559" w:type="dxa"/>
            <w:tcBorders>
              <w:top w:val="single" w:sz="2" w:space="0" w:color="002279"/>
              <w:left w:val="single" w:sz="4" w:space="0" w:color="002279"/>
              <w:bottom w:val="single" w:sz="4" w:space="0" w:color="002279"/>
              <w:right w:val="single" w:sz="4" w:space="0" w:color="002279"/>
            </w:tcBorders>
            <w:shd w:val="clear" w:color="auto" w:fill="FFFFFF" w:themeFill="background1"/>
            <w:vAlign w:val="center"/>
          </w:tcPr>
          <w:p w14:paraId="5B473707" w14:textId="72F004C1" w:rsidR="004C39E9" w:rsidRPr="000905F5" w:rsidRDefault="004C39E9" w:rsidP="003C7B1A">
            <w:pPr>
              <w:jc w:val="center"/>
              <w:rPr>
                <w:szCs w:val="22"/>
              </w:rPr>
            </w:pPr>
            <w:r w:rsidRPr="000905F5">
              <w:rPr>
                <w:szCs w:val="22"/>
              </w:rPr>
              <w:t>1.</w:t>
            </w:r>
            <w:r w:rsidR="00787B3D">
              <w:rPr>
                <w:szCs w:val="22"/>
              </w:rPr>
              <w:t>44</w:t>
            </w:r>
          </w:p>
        </w:tc>
        <w:tc>
          <w:tcPr>
            <w:tcW w:w="1560" w:type="dxa"/>
            <w:tcBorders>
              <w:top w:val="single" w:sz="2" w:space="0" w:color="002279"/>
              <w:left w:val="single" w:sz="4" w:space="0" w:color="002279"/>
              <w:bottom w:val="single" w:sz="4" w:space="0" w:color="002279"/>
              <w:right w:val="single" w:sz="4" w:space="0" w:color="002279"/>
            </w:tcBorders>
            <w:shd w:val="clear" w:color="auto" w:fill="FFFFFF" w:themeFill="background1"/>
            <w:vAlign w:val="center"/>
          </w:tcPr>
          <w:p w14:paraId="5616EFFE" w14:textId="1DECDA48" w:rsidR="004C39E9" w:rsidRPr="000905F5" w:rsidRDefault="004C39E9" w:rsidP="003C7B1A">
            <w:pPr>
              <w:jc w:val="center"/>
              <w:rPr>
                <w:szCs w:val="22"/>
              </w:rPr>
            </w:pPr>
            <w:r w:rsidRPr="000905F5">
              <w:rPr>
                <w:szCs w:val="22"/>
              </w:rPr>
              <w:t>1.8</w:t>
            </w:r>
            <w:r w:rsidR="00787B3D">
              <w:rPr>
                <w:szCs w:val="22"/>
              </w:rPr>
              <w:t>3</w:t>
            </w:r>
          </w:p>
        </w:tc>
        <w:tc>
          <w:tcPr>
            <w:tcW w:w="1559" w:type="dxa"/>
            <w:tcBorders>
              <w:top w:val="single" w:sz="2" w:space="0" w:color="002279"/>
              <w:left w:val="single" w:sz="4" w:space="0" w:color="002279"/>
              <w:bottom w:val="single" w:sz="4" w:space="0" w:color="002279"/>
              <w:right w:val="single" w:sz="4" w:space="0" w:color="002279"/>
            </w:tcBorders>
            <w:shd w:val="clear" w:color="auto" w:fill="FFFFFF" w:themeFill="background1"/>
            <w:vAlign w:val="center"/>
          </w:tcPr>
          <w:p w14:paraId="4901C50E" w14:textId="525D53B0" w:rsidR="004C39E9" w:rsidRPr="000905F5" w:rsidRDefault="00787B3D" w:rsidP="003C7B1A">
            <w:pPr>
              <w:jc w:val="center"/>
              <w:rPr>
                <w:szCs w:val="22"/>
              </w:rPr>
            </w:pPr>
            <w:r>
              <w:rPr>
                <w:szCs w:val="22"/>
              </w:rPr>
              <w:t>1.83</w:t>
            </w:r>
          </w:p>
        </w:tc>
        <w:tc>
          <w:tcPr>
            <w:tcW w:w="1559" w:type="dxa"/>
            <w:tcBorders>
              <w:top w:val="single" w:sz="2" w:space="0" w:color="002279"/>
              <w:left w:val="single" w:sz="4" w:space="0" w:color="002279"/>
              <w:bottom w:val="single" w:sz="4" w:space="0" w:color="002279"/>
              <w:right w:val="single" w:sz="4" w:space="0" w:color="002279"/>
            </w:tcBorders>
            <w:shd w:val="clear" w:color="auto" w:fill="FFFFFF" w:themeFill="background1"/>
            <w:vAlign w:val="center"/>
          </w:tcPr>
          <w:p w14:paraId="63F1857F" w14:textId="09672BB4" w:rsidR="004C39E9" w:rsidRPr="000905F5" w:rsidRDefault="00787B3D" w:rsidP="003C7B1A">
            <w:pPr>
              <w:jc w:val="center"/>
              <w:rPr>
                <w:szCs w:val="22"/>
              </w:rPr>
            </w:pPr>
            <w:r>
              <w:rPr>
                <w:szCs w:val="22"/>
              </w:rPr>
              <w:t>1.83</w:t>
            </w:r>
          </w:p>
        </w:tc>
        <w:tc>
          <w:tcPr>
            <w:tcW w:w="1560" w:type="dxa"/>
            <w:tcBorders>
              <w:top w:val="single" w:sz="2" w:space="0" w:color="002279"/>
              <w:left w:val="single" w:sz="4" w:space="0" w:color="002279"/>
              <w:bottom w:val="single" w:sz="4" w:space="0" w:color="002279"/>
              <w:right w:val="single" w:sz="4" w:space="0" w:color="002279"/>
            </w:tcBorders>
            <w:shd w:val="clear" w:color="auto" w:fill="FFFFFF" w:themeFill="background1"/>
            <w:vAlign w:val="center"/>
          </w:tcPr>
          <w:p w14:paraId="3DCFF665" w14:textId="724E3322" w:rsidR="004C39E9" w:rsidRPr="000905F5" w:rsidRDefault="00787B3D" w:rsidP="003C7B1A">
            <w:pPr>
              <w:jc w:val="center"/>
              <w:rPr>
                <w:b/>
                <w:szCs w:val="22"/>
              </w:rPr>
            </w:pPr>
            <w:r>
              <w:rPr>
                <w:b/>
                <w:szCs w:val="22"/>
              </w:rPr>
              <w:t>7.99</w:t>
            </w:r>
          </w:p>
        </w:tc>
      </w:tr>
    </w:tbl>
    <w:p w14:paraId="3774CAA9" w14:textId="77777777" w:rsidR="00C24B1F" w:rsidRDefault="00C24B1F" w:rsidP="00C24B1F">
      <w:pPr>
        <w:pStyle w:val="BodyText"/>
        <w:spacing w:line="222" w:lineRule="exact"/>
        <w:ind w:left="720"/>
      </w:pPr>
    </w:p>
    <w:p w14:paraId="168F8B7D" w14:textId="77777777" w:rsidR="00C24B1F" w:rsidRDefault="00C24B1F" w:rsidP="006023E2">
      <w:pPr>
        <w:pStyle w:val="Heading3"/>
      </w:pPr>
      <w:r>
        <w:t>Water literacy</w:t>
      </w:r>
    </w:p>
    <w:p w14:paraId="3BA36856" w14:textId="4A8BD56E" w:rsidR="00F54F18" w:rsidRDefault="00C24B1F" w:rsidP="006023E2">
      <w:r>
        <w:t>This step change is proposed to support the development and execution of our water literacy strategy</w:t>
      </w:r>
      <w:r w:rsidR="00702952">
        <w:t>,</w:t>
      </w:r>
      <w:r>
        <w:t xml:space="preserve"> to build community water knowledge, as agreed with our </w:t>
      </w:r>
      <w:r w:rsidR="00331928">
        <w:t>community p</w:t>
      </w:r>
      <w:r>
        <w:t>anel.</w:t>
      </w:r>
    </w:p>
    <w:p w14:paraId="7187A9FC" w14:textId="77777777" w:rsidR="000C5D88" w:rsidRPr="000C5D88" w:rsidRDefault="000C5D88" w:rsidP="006023E2"/>
    <w:p w14:paraId="4C96AE31" w14:textId="2EBAEE0C" w:rsidR="006023E2" w:rsidRPr="000C5D88" w:rsidRDefault="000C5D88" w:rsidP="002819EA">
      <w:pPr>
        <w:pStyle w:val="NormalIndent"/>
        <w:spacing w:after="120"/>
        <w:ind w:left="0"/>
        <w:rPr>
          <w:rFonts w:cs="Arial"/>
          <w:b/>
          <w:i/>
        </w:rPr>
      </w:pPr>
      <w:r w:rsidRPr="00CE6C4E">
        <w:rPr>
          <w:b/>
          <w:i/>
        </w:rPr>
        <w:t>Table</w:t>
      </w:r>
      <w:r w:rsidR="002D4331">
        <w:rPr>
          <w:b/>
          <w:i/>
        </w:rPr>
        <w:t xml:space="preserve"> 71</w:t>
      </w:r>
      <w:r w:rsidRPr="007B339F">
        <w:rPr>
          <w:rFonts w:ascii="Arial" w:hAnsi="Arial" w:cs="Arial"/>
          <w:b/>
          <w:i/>
        </w:rPr>
        <w:t>:</w:t>
      </w:r>
      <w:r>
        <w:rPr>
          <w:rFonts w:ascii="Arial" w:hAnsi="Arial" w:cs="Arial"/>
          <w:b/>
          <w:i/>
        </w:rPr>
        <w:t xml:space="preserve"> </w:t>
      </w:r>
      <w:r w:rsidR="006023E2" w:rsidRPr="00187FDC">
        <w:rPr>
          <w:rFonts w:cs="Arial"/>
          <w:b/>
          <w:i/>
        </w:rPr>
        <w:t xml:space="preserve">Water </w:t>
      </w:r>
      <w:r w:rsidR="00814336" w:rsidRPr="00187FDC">
        <w:rPr>
          <w:rFonts w:cs="Arial"/>
          <w:b/>
          <w:bCs/>
          <w:i/>
          <w:iCs/>
        </w:rPr>
        <w:t>l</w:t>
      </w:r>
      <w:r w:rsidR="006023E2" w:rsidRPr="00187FDC">
        <w:rPr>
          <w:rFonts w:cs="Arial"/>
          <w:b/>
          <w:bCs/>
          <w:i/>
          <w:iCs/>
        </w:rPr>
        <w:t>iteracy</w:t>
      </w:r>
      <w:r w:rsidR="006023E2" w:rsidRPr="00187FDC">
        <w:rPr>
          <w:rFonts w:cs="Arial"/>
          <w:b/>
          <w:i/>
        </w:rPr>
        <w:t xml:space="preserve"> </w:t>
      </w:r>
      <w:r w:rsidR="00507B63" w:rsidRPr="006D1620">
        <w:rPr>
          <w:rFonts w:cs="Arial"/>
          <w:b/>
          <w:i/>
        </w:rPr>
        <w:t>(</w:t>
      </w:r>
      <w:r w:rsidR="00507B63">
        <w:rPr>
          <w:rFonts w:cs="Arial"/>
          <w:b/>
          <w:i/>
        </w:rPr>
        <w:t>$</w:t>
      </w:r>
      <w:r w:rsidR="006023E2" w:rsidRPr="00187FDC">
        <w:rPr>
          <w:rFonts w:cs="Arial"/>
          <w:b/>
          <w:i/>
        </w:rPr>
        <w:t>million 2022</w:t>
      </w:r>
      <w:r w:rsidR="00F33731">
        <w:rPr>
          <w:rFonts w:cs="Arial"/>
          <w:b/>
          <w:i/>
        </w:rPr>
        <w:t>–</w:t>
      </w:r>
      <w:r w:rsidR="006023E2" w:rsidRPr="00187FDC">
        <w:rPr>
          <w:rFonts w:cs="Arial"/>
          <w:b/>
          <w:i/>
        </w:rPr>
        <w:t>23)</w:t>
      </w:r>
    </w:p>
    <w:tbl>
      <w:tblPr>
        <w:tblStyle w:val="MJTableStyle1default"/>
        <w:tblW w:w="0" w:type="auto"/>
        <w:tblInd w:w="0" w:type="dxa"/>
        <w:tblLook w:val="04A0" w:firstRow="1" w:lastRow="0" w:firstColumn="1" w:lastColumn="0" w:noHBand="0" w:noVBand="1"/>
      </w:tblPr>
      <w:tblGrid>
        <w:gridCol w:w="1559"/>
        <w:gridCol w:w="1559"/>
        <w:gridCol w:w="1560"/>
        <w:gridCol w:w="1559"/>
        <w:gridCol w:w="1559"/>
        <w:gridCol w:w="1560"/>
      </w:tblGrid>
      <w:tr w:rsidR="006023E2" w:rsidRPr="001B178C" w14:paraId="5EE8F533" w14:textId="150CAF5A" w:rsidTr="00F8713B">
        <w:trPr>
          <w:cnfStyle w:val="100000000000" w:firstRow="1" w:lastRow="0" w:firstColumn="0" w:lastColumn="0" w:oddVBand="0" w:evenVBand="0" w:oddHBand="0" w:evenHBand="0" w:firstRowFirstColumn="0" w:firstRowLastColumn="0" w:lastRowFirstColumn="0" w:lastRowLastColumn="0"/>
          <w:trHeight w:val="478"/>
        </w:trPr>
        <w:tc>
          <w:tcPr>
            <w:tcW w:w="1559" w:type="dxa"/>
            <w:tcBorders>
              <w:top w:val="single" w:sz="4" w:space="0" w:color="002279"/>
              <w:left w:val="single" w:sz="4" w:space="0" w:color="002279"/>
              <w:bottom w:val="single" w:sz="2" w:space="0" w:color="002279"/>
              <w:right w:val="single" w:sz="4" w:space="0" w:color="FFFFFF" w:themeColor="background1"/>
            </w:tcBorders>
            <w:shd w:val="clear" w:color="auto" w:fill="002279"/>
            <w:vAlign w:val="center"/>
          </w:tcPr>
          <w:p w14:paraId="283F523C" w14:textId="6FD8A54D" w:rsidR="006023E2" w:rsidRPr="00116E55" w:rsidRDefault="006023E2" w:rsidP="00360131">
            <w:pPr>
              <w:jc w:val="center"/>
              <w:rPr>
                <w:rFonts w:asciiTheme="minorHAnsi" w:hAnsiTheme="minorHAnsi" w:cstheme="minorHAnsi"/>
                <w:b/>
                <w:bCs/>
                <w:szCs w:val="22"/>
              </w:rPr>
            </w:pPr>
            <w:r w:rsidRPr="00116E55">
              <w:rPr>
                <w:rFonts w:asciiTheme="minorHAnsi" w:hAnsiTheme="minorHAnsi" w:cstheme="minorHAnsi"/>
                <w:b/>
                <w:bCs/>
                <w:szCs w:val="22"/>
              </w:rPr>
              <w:t>2023</w:t>
            </w:r>
            <w:r w:rsidR="00F33731" w:rsidRPr="00116E55">
              <w:rPr>
                <w:rFonts w:asciiTheme="minorHAnsi" w:hAnsiTheme="minorHAnsi" w:cstheme="minorHAnsi"/>
                <w:b/>
                <w:bCs/>
                <w:szCs w:val="22"/>
              </w:rPr>
              <w:t>–</w:t>
            </w:r>
            <w:r w:rsidRPr="00116E55">
              <w:rPr>
                <w:rFonts w:asciiTheme="minorHAnsi" w:hAnsiTheme="minorHAnsi" w:cstheme="minorHAnsi"/>
                <w:b/>
                <w:bCs/>
                <w:szCs w:val="22"/>
              </w:rPr>
              <w:t>24</w:t>
            </w:r>
          </w:p>
        </w:tc>
        <w:tc>
          <w:tcPr>
            <w:tcW w:w="1559"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vAlign w:val="center"/>
          </w:tcPr>
          <w:p w14:paraId="20428E3B" w14:textId="654A76FA" w:rsidR="006023E2" w:rsidRPr="00116E55" w:rsidRDefault="006023E2" w:rsidP="00360131">
            <w:pPr>
              <w:jc w:val="center"/>
              <w:rPr>
                <w:rFonts w:asciiTheme="minorHAnsi" w:hAnsiTheme="minorHAnsi" w:cstheme="minorHAnsi"/>
                <w:b/>
                <w:bCs/>
                <w:szCs w:val="22"/>
              </w:rPr>
            </w:pPr>
            <w:r w:rsidRPr="00116E55">
              <w:rPr>
                <w:rFonts w:asciiTheme="minorHAnsi" w:hAnsiTheme="minorHAnsi" w:cstheme="minorHAnsi"/>
                <w:b/>
                <w:bCs/>
                <w:szCs w:val="22"/>
              </w:rPr>
              <w:t>2024</w:t>
            </w:r>
            <w:r w:rsidR="00F33731" w:rsidRPr="00116E55">
              <w:rPr>
                <w:rFonts w:asciiTheme="minorHAnsi" w:hAnsiTheme="minorHAnsi" w:cstheme="minorHAnsi"/>
                <w:b/>
                <w:bCs/>
                <w:szCs w:val="22"/>
              </w:rPr>
              <w:t>–</w:t>
            </w:r>
            <w:r w:rsidRPr="00116E55">
              <w:rPr>
                <w:rFonts w:asciiTheme="minorHAnsi" w:hAnsiTheme="minorHAnsi" w:cstheme="minorHAnsi"/>
                <w:b/>
                <w:bCs/>
                <w:szCs w:val="22"/>
              </w:rPr>
              <w:t>25</w:t>
            </w:r>
          </w:p>
        </w:tc>
        <w:tc>
          <w:tcPr>
            <w:tcW w:w="1560"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vAlign w:val="center"/>
          </w:tcPr>
          <w:p w14:paraId="34573D62" w14:textId="74C34655" w:rsidR="006023E2" w:rsidRPr="00116E55" w:rsidRDefault="006023E2" w:rsidP="00360131">
            <w:pPr>
              <w:jc w:val="center"/>
              <w:rPr>
                <w:rFonts w:asciiTheme="minorHAnsi" w:hAnsiTheme="minorHAnsi" w:cstheme="minorHAnsi"/>
                <w:b/>
                <w:bCs/>
                <w:szCs w:val="22"/>
              </w:rPr>
            </w:pPr>
            <w:r w:rsidRPr="00116E55">
              <w:rPr>
                <w:rFonts w:asciiTheme="minorHAnsi" w:hAnsiTheme="minorHAnsi" w:cstheme="minorHAnsi"/>
                <w:b/>
                <w:bCs/>
                <w:szCs w:val="22"/>
              </w:rPr>
              <w:t>2025</w:t>
            </w:r>
            <w:r w:rsidR="00F33731" w:rsidRPr="00116E55">
              <w:rPr>
                <w:rFonts w:asciiTheme="minorHAnsi" w:hAnsiTheme="minorHAnsi" w:cstheme="minorHAnsi"/>
                <w:b/>
                <w:bCs/>
                <w:szCs w:val="22"/>
              </w:rPr>
              <w:t>–</w:t>
            </w:r>
            <w:r w:rsidRPr="00116E55">
              <w:rPr>
                <w:rFonts w:asciiTheme="minorHAnsi" w:hAnsiTheme="minorHAnsi" w:cstheme="minorHAnsi"/>
                <w:b/>
                <w:bCs/>
                <w:szCs w:val="22"/>
              </w:rPr>
              <w:t>26</w:t>
            </w:r>
          </w:p>
        </w:tc>
        <w:tc>
          <w:tcPr>
            <w:tcW w:w="1559"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vAlign w:val="center"/>
          </w:tcPr>
          <w:p w14:paraId="11DAAB2D" w14:textId="026E3234" w:rsidR="006023E2" w:rsidRPr="00116E55" w:rsidRDefault="006023E2" w:rsidP="00360131">
            <w:pPr>
              <w:jc w:val="center"/>
              <w:rPr>
                <w:rFonts w:asciiTheme="minorHAnsi" w:hAnsiTheme="minorHAnsi" w:cstheme="minorHAnsi"/>
                <w:b/>
                <w:bCs/>
                <w:szCs w:val="22"/>
              </w:rPr>
            </w:pPr>
            <w:r w:rsidRPr="00116E55">
              <w:rPr>
                <w:rFonts w:asciiTheme="minorHAnsi" w:hAnsiTheme="minorHAnsi" w:cstheme="minorHAnsi"/>
                <w:b/>
                <w:bCs/>
                <w:szCs w:val="22"/>
              </w:rPr>
              <w:t>2026</w:t>
            </w:r>
            <w:r w:rsidR="00F33731" w:rsidRPr="00116E55">
              <w:rPr>
                <w:rFonts w:asciiTheme="minorHAnsi" w:hAnsiTheme="minorHAnsi" w:cstheme="minorHAnsi"/>
                <w:b/>
                <w:bCs/>
                <w:szCs w:val="22"/>
              </w:rPr>
              <w:t>–</w:t>
            </w:r>
            <w:r w:rsidRPr="00116E55">
              <w:rPr>
                <w:rFonts w:asciiTheme="minorHAnsi" w:hAnsiTheme="minorHAnsi" w:cstheme="minorHAnsi"/>
                <w:b/>
                <w:bCs/>
                <w:szCs w:val="22"/>
              </w:rPr>
              <w:t>27</w:t>
            </w:r>
          </w:p>
        </w:tc>
        <w:tc>
          <w:tcPr>
            <w:tcW w:w="1559"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vAlign w:val="center"/>
          </w:tcPr>
          <w:p w14:paraId="0CE59745" w14:textId="5888AA2A" w:rsidR="006023E2" w:rsidRPr="00116E55" w:rsidRDefault="006023E2" w:rsidP="00360131">
            <w:pPr>
              <w:jc w:val="center"/>
              <w:rPr>
                <w:rFonts w:asciiTheme="minorHAnsi" w:hAnsiTheme="minorHAnsi" w:cstheme="minorHAnsi"/>
                <w:b/>
                <w:bCs/>
                <w:szCs w:val="22"/>
              </w:rPr>
            </w:pPr>
            <w:r w:rsidRPr="00116E55">
              <w:rPr>
                <w:rFonts w:asciiTheme="minorHAnsi" w:hAnsiTheme="minorHAnsi" w:cstheme="minorHAnsi"/>
                <w:b/>
                <w:bCs/>
                <w:szCs w:val="22"/>
              </w:rPr>
              <w:t>2027</w:t>
            </w:r>
            <w:r w:rsidR="00F33731" w:rsidRPr="00116E55">
              <w:rPr>
                <w:rFonts w:asciiTheme="minorHAnsi" w:hAnsiTheme="minorHAnsi" w:cstheme="minorHAnsi"/>
                <w:b/>
                <w:bCs/>
                <w:szCs w:val="22"/>
              </w:rPr>
              <w:t>–</w:t>
            </w:r>
            <w:r w:rsidRPr="00116E55">
              <w:rPr>
                <w:rFonts w:asciiTheme="minorHAnsi" w:hAnsiTheme="minorHAnsi" w:cstheme="minorHAnsi"/>
                <w:b/>
                <w:bCs/>
                <w:szCs w:val="22"/>
              </w:rPr>
              <w:t>28</w:t>
            </w:r>
          </w:p>
        </w:tc>
        <w:tc>
          <w:tcPr>
            <w:tcW w:w="1560" w:type="dxa"/>
            <w:tcBorders>
              <w:top w:val="single" w:sz="4" w:space="0" w:color="002279"/>
              <w:left w:val="single" w:sz="4" w:space="0" w:color="FFFFFF" w:themeColor="background1"/>
              <w:bottom w:val="single" w:sz="2" w:space="0" w:color="002279"/>
              <w:right w:val="single" w:sz="4" w:space="0" w:color="002279"/>
            </w:tcBorders>
            <w:shd w:val="clear" w:color="auto" w:fill="002279"/>
            <w:vAlign w:val="center"/>
          </w:tcPr>
          <w:p w14:paraId="22AFD275" w14:textId="4F53596F" w:rsidR="006023E2" w:rsidRPr="00116E55" w:rsidRDefault="006023E2" w:rsidP="00360131">
            <w:pPr>
              <w:jc w:val="center"/>
              <w:rPr>
                <w:rFonts w:asciiTheme="minorHAnsi" w:hAnsiTheme="minorHAnsi" w:cstheme="minorHAnsi"/>
                <w:b/>
                <w:bCs/>
                <w:szCs w:val="22"/>
              </w:rPr>
            </w:pPr>
            <w:r w:rsidRPr="00116E55">
              <w:rPr>
                <w:rFonts w:asciiTheme="minorHAnsi" w:hAnsiTheme="minorHAnsi" w:cstheme="minorHAnsi"/>
                <w:b/>
                <w:bCs/>
                <w:szCs w:val="22"/>
              </w:rPr>
              <w:t>Total</w:t>
            </w:r>
          </w:p>
        </w:tc>
      </w:tr>
      <w:tr w:rsidR="006023E2" w:rsidRPr="00187FDC" w14:paraId="522D13BC" w14:textId="622A54D2" w:rsidTr="00F8713B">
        <w:trPr>
          <w:cnfStyle w:val="000000100000" w:firstRow="0" w:lastRow="0" w:firstColumn="0" w:lastColumn="0" w:oddVBand="0" w:evenVBand="0" w:oddHBand="1" w:evenHBand="0" w:firstRowFirstColumn="0" w:firstRowLastColumn="0" w:lastRowFirstColumn="0" w:lastRowLastColumn="0"/>
        </w:trPr>
        <w:tc>
          <w:tcPr>
            <w:tcW w:w="1559" w:type="dxa"/>
            <w:tcBorders>
              <w:top w:val="single" w:sz="2" w:space="0" w:color="002279"/>
              <w:left w:val="single" w:sz="4" w:space="0" w:color="002279"/>
              <w:bottom w:val="single" w:sz="4" w:space="0" w:color="002279"/>
              <w:right w:val="single" w:sz="4" w:space="0" w:color="002279"/>
            </w:tcBorders>
            <w:shd w:val="clear" w:color="auto" w:fill="FFFFFF" w:themeFill="background1"/>
            <w:vAlign w:val="center"/>
          </w:tcPr>
          <w:p w14:paraId="4D59D929" w14:textId="77777777" w:rsidR="006023E2" w:rsidRPr="001B178C" w:rsidRDefault="006023E2" w:rsidP="003C7B1A">
            <w:pPr>
              <w:jc w:val="center"/>
              <w:rPr>
                <w:rFonts w:cstheme="minorHAnsi"/>
                <w:szCs w:val="22"/>
              </w:rPr>
            </w:pPr>
            <w:r w:rsidRPr="001B178C">
              <w:rPr>
                <w:rFonts w:cstheme="minorHAnsi"/>
                <w:szCs w:val="22"/>
              </w:rPr>
              <w:t>0.34</w:t>
            </w:r>
          </w:p>
        </w:tc>
        <w:tc>
          <w:tcPr>
            <w:tcW w:w="1559" w:type="dxa"/>
            <w:tcBorders>
              <w:top w:val="single" w:sz="2" w:space="0" w:color="002279"/>
              <w:left w:val="single" w:sz="4" w:space="0" w:color="002279"/>
              <w:bottom w:val="single" w:sz="4" w:space="0" w:color="002279"/>
              <w:right w:val="single" w:sz="4" w:space="0" w:color="002279"/>
            </w:tcBorders>
            <w:shd w:val="clear" w:color="auto" w:fill="FFFFFF" w:themeFill="background1"/>
            <w:vAlign w:val="center"/>
          </w:tcPr>
          <w:p w14:paraId="0AECC9B2" w14:textId="77777777" w:rsidR="006023E2" w:rsidRPr="001B178C" w:rsidRDefault="006023E2" w:rsidP="003C7B1A">
            <w:pPr>
              <w:jc w:val="center"/>
              <w:rPr>
                <w:rFonts w:cstheme="minorHAnsi"/>
                <w:szCs w:val="22"/>
              </w:rPr>
            </w:pPr>
            <w:r w:rsidRPr="001B178C">
              <w:rPr>
                <w:rFonts w:cstheme="minorHAnsi"/>
                <w:szCs w:val="22"/>
              </w:rPr>
              <w:t>0.34</w:t>
            </w:r>
          </w:p>
        </w:tc>
        <w:tc>
          <w:tcPr>
            <w:tcW w:w="1560" w:type="dxa"/>
            <w:tcBorders>
              <w:top w:val="single" w:sz="2" w:space="0" w:color="002279"/>
              <w:left w:val="single" w:sz="4" w:space="0" w:color="002279"/>
              <w:bottom w:val="single" w:sz="4" w:space="0" w:color="002279"/>
              <w:right w:val="single" w:sz="4" w:space="0" w:color="002279"/>
            </w:tcBorders>
            <w:shd w:val="clear" w:color="auto" w:fill="FFFFFF" w:themeFill="background1"/>
            <w:vAlign w:val="center"/>
          </w:tcPr>
          <w:p w14:paraId="3902764D" w14:textId="77777777" w:rsidR="006023E2" w:rsidRPr="001B178C" w:rsidRDefault="006023E2" w:rsidP="003C7B1A">
            <w:pPr>
              <w:jc w:val="center"/>
              <w:rPr>
                <w:rFonts w:cstheme="minorHAnsi"/>
                <w:szCs w:val="22"/>
              </w:rPr>
            </w:pPr>
            <w:r w:rsidRPr="001B178C">
              <w:rPr>
                <w:rFonts w:cstheme="minorHAnsi"/>
                <w:szCs w:val="22"/>
              </w:rPr>
              <w:t>0.34</w:t>
            </w:r>
          </w:p>
        </w:tc>
        <w:tc>
          <w:tcPr>
            <w:tcW w:w="1559" w:type="dxa"/>
            <w:tcBorders>
              <w:top w:val="single" w:sz="2" w:space="0" w:color="002279"/>
              <w:left w:val="single" w:sz="4" w:space="0" w:color="002279"/>
              <w:bottom w:val="single" w:sz="4" w:space="0" w:color="002279"/>
              <w:right w:val="single" w:sz="4" w:space="0" w:color="002279"/>
            </w:tcBorders>
            <w:shd w:val="clear" w:color="auto" w:fill="FFFFFF" w:themeFill="background1"/>
            <w:vAlign w:val="center"/>
          </w:tcPr>
          <w:p w14:paraId="2E812A23" w14:textId="77777777" w:rsidR="006023E2" w:rsidRPr="001B178C" w:rsidRDefault="006023E2" w:rsidP="003C7B1A">
            <w:pPr>
              <w:jc w:val="center"/>
              <w:rPr>
                <w:rFonts w:cstheme="minorHAnsi"/>
                <w:szCs w:val="22"/>
              </w:rPr>
            </w:pPr>
            <w:r w:rsidRPr="001B178C">
              <w:rPr>
                <w:rFonts w:cstheme="minorHAnsi"/>
                <w:szCs w:val="22"/>
              </w:rPr>
              <w:t>0.34</w:t>
            </w:r>
          </w:p>
        </w:tc>
        <w:tc>
          <w:tcPr>
            <w:tcW w:w="1559" w:type="dxa"/>
            <w:tcBorders>
              <w:top w:val="single" w:sz="2" w:space="0" w:color="002279"/>
              <w:left w:val="single" w:sz="4" w:space="0" w:color="002279"/>
              <w:bottom w:val="single" w:sz="4" w:space="0" w:color="002279"/>
              <w:right w:val="single" w:sz="4" w:space="0" w:color="002279"/>
            </w:tcBorders>
            <w:shd w:val="clear" w:color="auto" w:fill="FFFFFF" w:themeFill="background1"/>
            <w:vAlign w:val="center"/>
          </w:tcPr>
          <w:p w14:paraId="2C3A431A" w14:textId="77777777" w:rsidR="006023E2" w:rsidRPr="001B178C" w:rsidRDefault="006023E2" w:rsidP="003C7B1A">
            <w:pPr>
              <w:jc w:val="center"/>
              <w:rPr>
                <w:rFonts w:cstheme="minorHAnsi"/>
                <w:szCs w:val="22"/>
              </w:rPr>
            </w:pPr>
            <w:r w:rsidRPr="001B178C">
              <w:rPr>
                <w:rFonts w:cstheme="minorHAnsi"/>
                <w:szCs w:val="22"/>
              </w:rPr>
              <w:t>0.34</w:t>
            </w:r>
          </w:p>
        </w:tc>
        <w:tc>
          <w:tcPr>
            <w:tcW w:w="1560" w:type="dxa"/>
            <w:tcBorders>
              <w:top w:val="single" w:sz="2" w:space="0" w:color="002279"/>
              <w:left w:val="single" w:sz="4" w:space="0" w:color="002279"/>
              <w:bottom w:val="single" w:sz="4" w:space="0" w:color="002279"/>
              <w:right w:val="single" w:sz="4" w:space="0" w:color="002279"/>
            </w:tcBorders>
            <w:shd w:val="clear" w:color="auto" w:fill="FFFFFF" w:themeFill="background1"/>
            <w:vAlign w:val="center"/>
          </w:tcPr>
          <w:p w14:paraId="0D04F8E6" w14:textId="612B9373" w:rsidR="006023E2" w:rsidRPr="001B178C" w:rsidRDefault="00484630" w:rsidP="00360131">
            <w:pPr>
              <w:jc w:val="center"/>
              <w:rPr>
                <w:rFonts w:cstheme="minorHAnsi"/>
                <w:b/>
                <w:szCs w:val="22"/>
              </w:rPr>
            </w:pPr>
            <w:r w:rsidRPr="001B178C">
              <w:rPr>
                <w:rFonts w:cstheme="minorHAnsi"/>
                <w:b/>
                <w:szCs w:val="22"/>
              </w:rPr>
              <w:t>1.</w:t>
            </w:r>
            <w:r w:rsidR="002F195C">
              <w:rPr>
                <w:rFonts w:cstheme="minorHAnsi"/>
                <w:b/>
                <w:szCs w:val="22"/>
              </w:rPr>
              <w:t>68</w:t>
            </w:r>
          </w:p>
        </w:tc>
      </w:tr>
    </w:tbl>
    <w:p w14:paraId="265B0497" w14:textId="77777777" w:rsidR="00C24B1F" w:rsidRDefault="00C24B1F" w:rsidP="005F592A">
      <w:pPr>
        <w:pStyle w:val="BodyText"/>
        <w:spacing w:line="222" w:lineRule="exact"/>
      </w:pPr>
    </w:p>
    <w:p w14:paraId="0CCBE0E9" w14:textId="77777777" w:rsidR="00C24B1F" w:rsidRDefault="00C24B1F" w:rsidP="00484630">
      <w:pPr>
        <w:pStyle w:val="Heading3"/>
      </w:pPr>
      <w:r>
        <w:t>Traditional Owners engagement</w:t>
      </w:r>
    </w:p>
    <w:p w14:paraId="7AB88B3A" w14:textId="7E281152" w:rsidR="00223CCC" w:rsidRDefault="00223CCC" w:rsidP="00223CCC">
      <w:r>
        <w:t xml:space="preserve">Legal and policy requirements to formally engage Traditional Owners (TOs) have increased since </w:t>
      </w:r>
      <w:r w:rsidR="00612583">
        <w:t>‘</w:t>
      </w:r>
      <w:r>
        <w:t>Water for Victoria</w:t>
      </w:r>
      <w:r w:rsidR="00612583">
        <w:t>’</w:t>
      </w:r>
      <w:r>
        <w:t xml:space="preserve"> was introduced in 2016 and amendments to the Water Act in 2019, and are continuing to increase over the medium term. </w:t>
      </w:r>
      <w:r w:rsidR="002F3C4D" w:rsidRPr="002F3C4D">
        <w:t xml:space="preserve">South East Water recognises the knowledge and the rights of Traditional Owners and </w:t>
      </w:r>
      <w:r w:rsidR="002F3C4D">
        <w:t>is</w:t>
      </w:r>
      <w:r w:rsidR="002F3C4D" w:rsidRPr="002F3C4D">
        <w:t xml:space="preserve"> keen to better learn from and work with them to realise self determination.</w:t>
      </w:r>
    </w:p>
    <w:p w14:paraId="75B4E25A" w14:textId="69D919BA" w:rsidR="00223CCC" w:rsidRDefault="00223CCC" w:rsidP="00223CCC">
      <w:r>
        <w:t>An Aboriginal Employment and Engagement external review undertaken in early 2022 identified investment required to increase internal Cultural Competency and additional resourcing for guidance on engaging Traditional Owner and Community groups and provide greater consistency in our First Nations community engagement.</w:t>
      </w:r>
      <w:r w:rsidR="00A1315F">
        <w:t xml:space="preserve"> </w:t>
      </w:r>
      <w:r>
        <w:t>The ESC</w:t>
      </w:r>
      <w:r w:rsidR="00612583">
        <w:t>’</w:t>
      </w:r>
      <w:r>
        <w:t xml:space="preserve">s </w:t>
      </w:r>
      <w:r w:rsidRPr="005E044C">
        <w:rPr>
          <w:i/>
        </w:rPr>
        <w:t>Getting to Fair</w:t>
      </w:r>
      <w:r>
        <w:t xml:space="preserve"> strategy has raised the importance of providing support for First Nations </w:t>
      </w:r>
      <w:r>
        <w:lastRenderedPageBreak/>
        <w:t>customers who are among the most vulnerable members of our community and can often experience financial difficulties.</w:t>
      </w:r>
    </w:p>
    <w:p w14:paraId="72920FDA" w14:textId="6DD4F4BB" w:rsidR="00223CCC" w:rsidRDefault="00223CCC" w:rsidP="00223CCC">
      <w:r>
        <w:t xml:space="preserve">The Yoorrook Justice Commission </w:t>
      </w:r>
      <w:r w:rsidR="00050D69">
        <w:t>i</w:t>
      </w:r>
      <w:r>
        <w:t>nterim report in June 2022 identified the water sector needs to continue to address Traditional Owner rights and amplify their voices in land and water management</w:t>
      </w:r>
      <w:r w:rsidR="00B95F83">
        <w:t>,</w:t>
      </w:r>
      <w:r>
        <w:t xml:space="preserve"> and for all Victorian </w:t>
      </w:r>
      <w:r w:rsidR="00E42753">
        <w:t>G</w:t>
      </w:r>
      <w:r>
        <w:t>overnment bodies to increase the cultural competency of their employees dealing with First Nations community members and Traditional Owners.</w:t>
      </w:r>
    </w:p>
    <w:p w14:paraId="282E7C0F" w14:textId="7CC61C10" w:rsidR="00A14509" w:rsidRDefault="00223CCC" w:rsidP="00484630">
      <w:r>
        <w:t xml:space="preserve">The </w:t>
      </w:r>
      <w:r w:rsidRPr="000E0831">
        <w:rPr>
          <w:i/>
        </w:rPr>
        <w:t>Central and Gippsland Region Sustainable Water Strategy</w:t>
      </w:r>
      <w:r>
        <w:t xml:space="preserve"> (CGRSWS) and the </w:t>
      </w:r>
      <w:r w:rsidRPr="000E0831">
        <w:rPr>
          <w:i/>
        </w:rPr>
        <w:t>Water is Life</w:t>
      </w:r>
      <w:r>
        <w:t xml:space="preserve"> draft roadmap provide policy guidance for the water sector to strengthen the role of Traditional Owners.</w:t>
      </w:r>
      <w:r w:rsidR="00A1315F">
        <w:t xml:space="preserve"> </w:t>
      </w:r>
      <w:r>
        <w:t>To achieve these objectives</w:t>
      </w:r>
      <w:r w:rsidR="00A629F9">
        <w:t>,</w:t>
      </w:r>
      <w:r>
        <w:t xml:space="preserve"> funding is required to support the capacity of Traditional Owner groups to collaborate in land and water decision managing and to work on water and land management project opportunities.</w:t>
      </w:r>
      <w:r w:rsidR="00A1315F">
        <w:t xml:space="preserve"> </w:t>
      </w:r>
      <w:r w:rsidRPr="000E0831">
        <w:rPr>
          <w:i/>
        </w:rPr>
        <w:t>The Greater Melbourne Urban Water and System Strategy</w:t>
      </w:r>
      <w:r>
        <w:t xml:space="preserve"> (GMUWSS) </w:t>
      </w:r>
      <w:r w:rsidR="00F33731">
        <w:t>–</w:t>
      </w:r>
      <w:r>
        <w:t xml:space="preserve"> Water for Life, responds to the policy in the CGRSWS and among the priority actions, one of our top priorities is to engage Traditional Owners in water and land planning and management.</w:t>
      </w:r>
    </w:p>
    <w:p w14:paraId="6F9AE527" w14:textId="309DBF26" w:rsidR="00484630" w:rsidRPr="000C5D88" w:rsidRDefault="001B55D0" w:rsidP="002819EA">
      <w:pPr>
        <w:pStyle w:val="NormalIndent"/>
        <w:spacing w:after="120"/>
        <w:ind w:left="0"/>
        <w:rPr>
          <w:rFonts w:cs="Arial"/>
          <w:b/>
          <w:i/>
        </w:rPr>
      </w:pPr>
      <w:r>
        <w:br/>
      </w:r>
      <w:r w:rsidR="000C5D88" w:rsidRPr="00CE6C4E">
        <w:rPr>
          <w:b/>
          <w:i/>
        </w:rPr>
        <w:t>Table</w:t>
      </w:r>
      <w:r w:rsidR="002D4331">
        <w:rPr>
          <w:b/>
          <w:i/>
        </w:rPr>
        <w:t xml:space="preserve"> 72</w:t>
      </w:r>
      <w:r w:rsidR="000C5D88" w:rsidRPr="007B339F">
        <w:rPr>
          <w:rFonts w:ascii="Arial" w:hAnsi="Arial" w:cs="Arial"/>
          <w:b/>
          <w:i/>
        </w:rPr>
        <w:t>:</w:t>
      </w:r>
      <w:r w:rsidR="000C5D88">
        <w:rPr>
          <w:rFonts w:ascii="Arial" w:hAnsi="Arial" w:cs="Arial"/>
          <w:b/>
          <w:i/>
        </w:rPr>
        <w:t xml:space="preserve"> </w:t>
      </w:r>
      <w:r w:rsidR="00484630" w:rsidRPr="008022F7">
        <w:rPr>
          <w:rFonts w:cs="Arial"/>
          <w:b/>
          <w:i/>
        </w:rPr>
        <w:t xml:space="preserve">Traditional Owners </w:t>
      </w:r>
      <w:r w:rsidR="008022F7" w:rsidRPr="008022F7">
        <w:rPr>
          <w:rFonts w:cs="Arial"/>
          <w:b/>
          <w:bCs/>
          <w:i/>
          <w:iCs/>
        </w:rPr>
        <w:t>e</w:t>
      </w:r>
      <w:r w:rsidR="00484630" w:rsidRPr="008022F7">
        <w:rPr>
          <w:rFonts w:cs="Arial"/>
          <w:b/>
          <w:bCs/>
          <w:i/>
          <w:iCs/>
        </w:rPr>
        <w:t>ngagement</w:t>
      </w:r>
      <w:r w:rsidR="00484630" w:rsidRPr="008022F7">
        <w:rPr>
          <w:rFonts w:cs="Arial"/>
          <w:b/>
          <w:i/>
        </w:rPr>
        <w:t xml:space="preserve"> </w:t>
      </w:r>
      <w:r w:rsidR="00507B63" w:rsidRPr="006D1620">
        <w:rPr>
          <w:rFonts w:cs="Arial"/>
          <w:b/>
          <w:i/>
        </w:rPr>
        <w:t>(</w:t>
      </w:r>
      <w:r w:rsidR="00507B63">
        <w:rPr>
          <w:rFonts w:cs="Arial"/>
          <w:b/>
          <w:i/>
        </w:rPr>
        <w:t>$</w:t>
      </w:r>
      <w:r w:rsidR="00484630" w:rsidRPr="008022F7">
        <w:rPr>
          <w:rFonts w:cs="Arial"/>
          <w:b/>
          <w:i/>
        </w:rPr>
        <w:t>million 2022</w:t>
      </w:r>
      <w:r w:rsidR="00F33731">
        <w:rPr>
          <w:rFonts w:cs="Arial"/>
          <w:b/>
          <w:i/>
        </w:rPr>
        <w:t>–</w:t>
      </w:r>
      <w:r w:rsidR="00484630" w:rsidRPr="008022F7">
        <w:rPr>
          <w:rFonts w:cs="Arial"/>
          <w:b/>
          <w:i/>
        </w:rPr>
        <w:t>23)</w:t>
      </w:r>
    </w:p>
    <w:tbl>
      <w:tblPr>
        <w:tblStyle w:val="MJTableStyle1default"/>
        <w:tblW w:w="0" w:type="auto"/>
        <w:tblInd w:w="0" w:type="dxa"/>
        <w:tblLook w:val="04A0" w:firstRow="1" w:lastRow="0" w:firstColumn="1" w:lastColumn="0" w:noHBand="0" w:noVBand="1"/>
      </w:tblPr>
      <w:tblGrid>
        <w:gridCol w:w="1559"/>
        <w:gridCol w:w="1559"/>
        <w:gridCol w:w="1560"/>
        <w:gridCol w:w="1559"/>
        <w:gridCol w:w="1559"/>
        <w:gridCol w:w="1560"/>
      </w:tblGrid>
      <w:tr w:rsidR="00484630" w:rsidRPr="001B55D0" w14:paraId="7C5AFAED" w14:textId="64CEA85C" w:rsidTr="00F8713B">
        <w:trPr>
          <w:cnfStyle w:val="100000000000" w:firstRow="1" w:lastRow="0" w:firstColumn="0" w:lastColumn="0" w:oddVBand="0" w:evenVBand="0" w:oddHBand="0" w:evenHBand="0" w:firstRowFirstColumn="0" w:firstRowLastColumn="0" w:lastRowFirstColumn="0" w:lastRowLastColumn="0"/>
          <w:trHeight w:val="402"/>
        </w:trPr>
        <w:tc>
          <w:tcPr>
            <w:tcW w:w="1559" w:type="dxa"/>
            <w:tcBorders>
              <w:top w:val="single" w:sz="4" w:space="0" w:color="002279"/>
              <w:left w:val="single" w:sz="4" w:space="0" w:color="002279"/>
              <w:bottom w:val="single" w:sz="2" w:space="0" w:color="002279"/>
              <w:right w:val="single" w:sz="4" w:space="0" w:color="FFFFFF" w:themeColor="background1"/>
            </w:tcBorders>
            <w:shd w:val="clear" w:color="auto" w:fill="002279"/>
            <w:vAlign w:val="center"/>
          </w:tcPr>
          <w:p w14:paraId="5EEE9102" w14:textId="3751F21C" w:rsidR="00484630" w:rsidRPr="00116E55" w:rsidRDefault="00484630" w:rsidP="00360131">
            <w:pPr>
              <w:jc w:val="center"/>
              <w:rPr>
                <w:rFonts w:asciiTheme="minorHAnsi" w:hAnsiTheme="minorHAnsi" w:cstheme="minorHAnsi"/>
                <w:b/>
                <w:bCs/>
                <w:szCs w:val="22"/>
              </w:rPr>
            </w:pPr>
            <w:r w:rsidRPr="00116E55">
              <w:rPr>
                <w:rFonts w:asciiTheme="minorHAnsi" w:hAnsiTheme="minorHAnsi" w:cstheme="minorHAnsi"/>
                <w:b/>
                <w:bCs/>
                <w:szCs w:val="22"/>
              </w:rPr>
              <w:t>2023</w:t>
            </w:r>
            <w:r w:rsidR="00F33731" w:rsidRPr="00116E55">
              <w:rPr>
                <w:rFonts w:asciiTheme="minorHAnsi" w:hAnsiTheme="minorHAnsi" w:cstheme="minorHAnsi"/>
                <w:b/>
                <w:bCs/>
                <w:szCs w:val="22"/>
              </w:rPr>
              <w:t>–</w:t>
            </w:r>
            <w:r w:rsidRPr="00116E55">
              <w:rPr>
                <w:rFonts w:asciiTheme="minorHAnsi" w:hAnsiTheme="minorHAnsi" w:cstheme="minorHAnsi"/>
                <w:b/>
                <w:bCs/>
                <w:szCs w:val="22"/>
              </w:rPr>
              <w:t>24</w:t>
            </w:r>
          </w:p>
        </w:tc>
        <w:tc>
          <w:tcPr>
            <w:tcW w:w="1559"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vAlign w:val="center"/>
          </w:tcPr>
          <w:p w14:paraId="013DDB36" w14:textId="5DC1E560" w:rsidR="00484630" w:rsidRPr="00116E55" w:rsidRDefault="00484630" w:rsidP="00360131">
            <w:pPr>
              <w:jc w:val="center"/>
              <w:rPr>
                <w:rFonts w:asciiTheme="minorHAnsi" w:hAnsiTheme="minorHAnsi" w:cstheme="minorHAnsi"/>
                <w:b/>
                <w:bCs/>
                <w:szCs w:val="22"/>
              </w:rPr>
            </w:pPr>
            <w:r w:rsidRPr="00116E55">
              <w:rPr>
                <w:rFonts w:asciiTheme="minorHAnsi" w:hAnsiTheme="minorHAnsi" w:cstheme="minorHAnsi"/>
                <w:b/>
                <w:bCs/>
                <w:szCs w:val="22"/>
              </w:rPr>
              <w:t>2024</w:t>
            </w:r>
            <w:r w:rsidR="00F33731" w:rsidRPr="00116E55">
              <w:rPr>
                <w:rFonts w:asciiTheme="minorHAnsi" w:hAnsiTheme="minorHAnsi" w:cstheme="minorHAnsi"/>
                <w:b/>
                <w:bCs/>
                <w:szCs w:val="22"/>
              </w:rPr>
              <w:t>–</w:t>
            </w:r>
            <w:r w:rsidRPr="00116E55">
              <w:rPr>
                <w:rFonts w:asciiTheme="minorHAnsi" w:hAnsiTheme="minorHAnsi" w:cstheme="minorHAnsi"/>
                <w:b/>
                <w:bCs/>
                <w:szCs w:val="22"/>
              </w:rPr>
              <w:t>25</w:t>
            </w:r>
          </w:p>
        </w:tc>
        <w:tc>
          <w:tcPr>
            <w:tcW w:w="1560"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vAlign w:val="center"/>
          </w:tcPr>
          <w:p w14:paraId="3D0F6628" w14:textId="72897F78" w:rsidR="00484630" w:rsidRPr="00116E55" w:rsidRDefault="00484630" w:rsidP="00360131">
            <w:pPr>
              <w:jc w:val="center"/>
              <w:rPr>
                <w:rFonts w:asciiTheme="minorHAnsi" w:hAnsiTheme="minorHAnsi" w:cstheme="minorHAnsi"/>
                <w:b/>
                <w:bCs/>
                <w:szCs w:val="22"/>
              </w:rPr>
            </w:pPr>
            <w:r w:rsidRPr="00116E55">
              <w:rPr>
                <w:rFonts w:asciiTheme="minorHAnsi" w:hAnsiTheme="minorHAnsi" w:cstheme="minorHAnsi"/>
                <w:b/>
                <w:bCs/>
                <w:szCs w:val="22"/>
              </w:rPr>
              <w:t>2025</w:t>
            </w:r>
            <w:r w:rsidR="00F33731" w:rsidRPr="00116E55">
              <w:rPr>
                <w:rFonts w:asciiTheme="minorHAnsi" w:hAnsiTheme="minorHAnsi" w:cstheme="minorHAnsi"/>
                <w:b/>
                <w:bCs/>
                <w:szCs w:val="22"/>
              </w:rPr>
              <w:t>–</w:t>
            </w:r>
            <w:r w:rsidRPr="00116E55">
              <w:rPr>
                <w:rFonts w:asciiTheme="minorHAnsi" w:hAnsiTheme="minorHAnsi" w:cstheme="minorHAnsi"/>
                <w:b/>
                <w:bCs/>
                <w:szCs w:val="22"/>
              </w:rPr>
              <w:t>26</w:t>
            </w:r>
          </w:p>
        </w:tc>
        <w:tc>
          <w:tcPr>
            <w:tcW w:w="1559"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vAlign w:val="center"/>
          </w:tcPr>
          <w:p w14:paraId="12CEE793" w14:textId="1FEC1881" w:rsidR="00484630" w:rsidRPr="00116E55" w:rsidRDefault="00484630" w:rsidP="00360131">
            <w:pPr>
              <w:jc w:val="center"/>
              <w:rPr>
                <w:rFonts w:asciiTheme="minorHAnsi" w:hAnsiTheme="minorHAnsi" w:cstheme="minorHAnsi"/>
                <w:b/>
                <w:bCs/>
                <w:szCs w:val="22"/>
              </w:rPr>
            </w:pPr>
            <w:r w:rsidRPr="00116E55">
              <w:rPr>
                <w:rFonts w:asciiTheme="minorHAnsi" w:hAnsiTheme="minorHAnsi" w:cstheme="minorHAnsi"/>
                <w:b/>
                <w:bCs/>
                <w:szCs w:val="22"/>
              </w:rPr>
              <w:t>2026</w:t>
            </w:r>
            <w:r w:rsidR="00F33731" w:rsidRPr="00116E55">
              <w:rPr>
                <w:rFonts w:asciiTheme="minorHAnsi" w:hAnsiTheme="minorHAnsi" w:cstheme="minorHAnsi"/>
                <w:b/>
                <w:bCs/>
                <w:szCs w:val="22"/>
              </w:rPr>
              <w:t>–</w:t>
            </w:r>
            <w:r w:rsidRPr="00116E55">
              <w:rPr>
                <w:rFonts w:asciiTheme="minorHAnsi" w:hAnsiTheme="minorHAnsi" w:cstheme="minorHAnsi"/>
                <w:b/>
                <w:bCs/>
                <w:szCs w:val="22"/>
              </w:rPr>
              <w:t>27</w:t>
            </w:r>
          </w:p>
        </w:tc>
        <w:tc>
          <w:tcPr>
            <w:tcW w:w="1559"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vAlign w:val="center"/>
          </w:tcPr>
          <w:p w14:paraId="2696A595" w14:textId="3F74D4B8" w:rsidR="00484630" w:rsidRPr="00116E55" w:rsidRDefault="00484630" w:rsidP="00360131">
            <w:pPr>
              <w:jc w:val="center"/>
              <w:rPr>
                <w:rFonts w:asciiTheme="minorHAnsi" w:hAnsiTheme="minorHAnsi" w:cstheme="minorHAnsi"/>
                <w:b/>
                <w:bCs/>
                <w:szCs w:val="22"/>
              </w:rPr>
            </w:pPr>
            <w:r w:rsidRPr="00116E55">
              <w:rPr>
                <w:rFonts w:asciiTheme="minorHAnsi" w:hAnsiTheme="minorHAnsi" w:cstheme="minorHAnsi"/>
                <w:b/>
                <w:bCs/>
                <w:szCs w:val="22"/>
              </w:rPr>
              <w:t>2027</w:t>
            </w:r>
            <w:r w:rsidR="00F33731" w:rsidRPr="00116E55">
              <w:rPr>
                <w:rFonts w:asciiTheme="minorHAnsi" w:hAnsiTheme="minorHAnsi" w:cstheme="minorHAnsi"/>
                <w:b/>
                <w:bCs/>
                <w:szCs w:val="22"/>
              </w:rPr>
              <w:t>–</w:t>
            </w:r>
            <w:r w:rsidRPr="00116E55">
              <w:rPr>
                <w:rFonts w:asciiTheme="minorHAnsi" w:hAnsiTheme="minorHAnsi" w:cstheme="minorHAnsi"/>
                <w:b/>
                <w:bCs/>
                <w:szCs w:val="22"/>
              </w:rPr>
              <w:t>28</w:t>
            </w:r>
          </w:p>
        </w:tc>
        <w:tc>
          <w:tcPr>
            <w:tcW w:w="1560" w:type="dxa"/>
            <w:tcBorders>
              <w:top w:val="single" w:sz="4" w:space="0" w:color="002279"/>
              <w:left w:val="single" w:sz="4" w:space="0" w:color="FFFFFF" w:themeColor="background1"/>
              <w:bottom w:val="single" w:sz="2" w:space="0" w:color="002279"/>
              <w:right w:val="single" w:sz="4" w:space="0" w:color="002279"/>
            </w:tcBorders>
            <w:shd w:val="clear" w:color="auto" w:fill="002279"/>
            <w:vAlign w:val="center"/>
          </w:tcPr>
          <w:p w14:paraId="671DAE7B" w14:textId="7C209974" w:rsidR="00484630" w:rsidRPr="00116E55" w:rsidRDefault="00484630" w:rsidP="00360131">
            <w:pPr>
              <w:jc w:val="center"/>
              <w:rPr>
                <w:rFonts w:asciiTheme="minorHAnsi" w:hAnsiTheme="minorHAnsi" w:cstheme="minorHAnsi"/>
                <w:b/>
                <w:bCs/>
                <w:szCs w:val="22"/>
              </w:rPr>
            </w:pPr>
            <w:r w:rsidRPr="00116E55">
              <w:rPr>
                <w:rFonts w:asciiTheme="minorHAnsi" w:hAnsiTheme="minorHAnsi" w:cstheme="minorHAnsi"/>
                <w:b/>
                <w:bCs/>
                <w:szCs w:val="22"/>
              </w:rPr>
              <w:t>Total</w:t>
            </w:r>
          </w:p>
        </w:tc>
      </w:tr>
      <w:tr w:rsidR="00484630" w:rsidRPr="008022F7" w14:paraId="1FEA9AA5" w14:textId="619864A0" w:rsidTr="00F8713B">
        <w:trPr>
          <w:cnfStyle w:val="000000100000" w:firstRow="0" w:lastRow="0" w:firstColumn="0" w:lastColumn="0" w:oddVBand="0" w:evenVBand="0" w:oddHBand="1" w:evenHBand="0" w:firstRowFirstColumn="0" w:firstRowLastColumn="0" w:lastRowFirstColumn="0" w:lastRowLastColumn="0"/>
        </w:trPr>
        <w:tc>
          <w:tcPr>
            <w:tcW w:w="1559" w:type="dxa"/>
            <w:tcBorders>
              <w:top w:val="single" w:sz="2" w:space="0" w:color="002279"/>
              <w:left w:val="single" w:sz="4" w:space="0" w:color="002279"/>
              <w:bottom w:val="single" w:sz="4" w:space="0" w:color="002279"/>
              <w:right w:val="single" w:sz="4" w:space="0" w:color="002279"/>
            </w:tcBorders>
            <w:shd w:val="clear" w:color="auto" w:fill="FFFFFF" w:themeFill="background1"/>
            <w:vAlign w:val="center"/>
          </w:tcPr>
          <w:p w14:paraId="7FF80041" w14:textId="1AEEB768" w:rsidR="00484630" w:rsidRPr="001B55D0" w:rsidRDefault="00484630" w:rsidP="003C7B1A">
            <w:pPr>
              <w:jc w:val="center"/>
              <w:rPr>
                <w:rFonts w:cstheme="minorHAnsi"/>
                <w:szCs w:val="22"/>
              </w:rPr>
            </w:pPr>
            <w:r w:rsidRPr="001B55D0">
              <w:rPr>
                <w:rFonts w:cstheme="minorHAnsi"/>
                <w:szCs w:val="22"/>
              </w:rPr>
              <w:t>0.</w:t>
            </w:r>
            <w:r w:rsidR="00D70038" w:rsidRPr="001B55D0">
              <w:rPr>
                <w:rFonts w:cstheme="minorHAnsi"/>
                <w:szCs w:val="22"/>
              </w:rPr>
              <w:t>43</w:t>
            </w:r>
          </w:p>
        </w:tc>
        <w:tc>
          <w:tcPr>
            <w:tcW w:w="1559" w:type="dxa"/>
            <w:tcBorders>
              <w:top w:val="single" w:sz="2" w:space="0" w:color="002279"/>
              <w:left w:val="single" w:sz="4" w:space="0" w:color="002279"/>
              <w:bottom w:val="single" w:sz="4" w:space="0" w:color="002279"/>
              <w:right w:val="single" w:sz="4" w:space="0" w:color="002279"/>
            </w:tcBorders>
            <w:shd w:val="clear" w:color="auto" w:fill="FFFFFF" w:themeFill="background1"/>
            <w:vAlign w:val="center"/>
          </w:tcPr>
          <w:p w14:paraId="682EC4C8" w14:textId="4C245F53" w:rsidR="00484630" w:rsidRPr="001B55D0" w:rsidRDefault="00484630" w:rsidP="003C7B1A">
            <w:pPr>
              <w:jc w:val="center"/>
              <w:rPr>
                <w:rFonts w:cstheme="minorHAnsi"/>
                <w:szCs w:val="22"/>
              </w:rPr>
            </w:pPr>
            <w:r w:rsidRPr="001B55D0">
              <w:rPr>
                <w:rFonts w:cstheme="minorHAnsi"/>
                <w:szCs w:val="22"/>
              </w:rPr>
              <w:t>0.</w:t>
            </w:r>
            <w:r w:rsidR="00D70038" w:rsidRPr="001B55D0">
              <w:rPr>
                <w:rFonts w:cstheme="minorHAnsi"/>
                <w:szCs w:val="22"/>
              </w:rPr>
              <w:t>43</w:t>
            </w:r>
          </w:p>
        </w:tc>
        <w:tc>
          <w:tcPr>
            <w:tcW w:w="1560" w:type="dxa"/>
            <w:tcBorders>
              <w:top w:val="single" w:sz="2" w:space="0" w:color="002279"/>
              <w:left w:val="single" w:sz="4" w:space="0" w:color="002279"/>
              <w:bottom w:val="single" w:sz="4" w:space="0" w:color="002279"/>
              <w:right w:val="single" w:sz="4" w:space="0" w:color="002279"/>
            </w:tcBorders>
            <w:shd w:val="clear" w:color="auto" w:fill="FFFFFF" w:themeFill="background1"/>
            <w:vAlign w:val="center"/>
          </w:tcPr>
          <w:p w14:paraId="65402092" w14:textId="22B8A46A" w:rsidR="00484630" w:rsidRPr="001B55D0" w:rsidRDefault="00484630" w:rsidP="003C7B1A">
            <w:pPr>
              <w:jc w:val="center"/>
              <w:rPr>
                <w:rFonts w:cstheme="minorHAnsi"/>
                <w:szCs w:val="22"/>
              </w:rPr>
            </w:pPr>
            <w:r w:rsidRPr="001B55D0">
              <w:rPr>
                <w:rFonts w:cstheme="minorHAnsi"/>
                <w:szCs w:val="22"/>
              </w:rPr>
              <w:t>0.</w:t>
            </w:r>
            <w:r w:rsidR="00D70038" w:rsidRPr="001B55D0">
              <w:rPr>
                <w:rFonts w:cstheme="minorHAnsi"/>
                <w:szCs w:val="22"/>
              </w:rPr>
              <w:t>50</w:t>
            </w:r>
          </w:p>
        </w:tc>
        <w:tc>
          <w:tcPr>
            <w:tcW w:w="1559" w:type="dxa"/>
            <w:tcBorders>
              <w:top w:val="single" w:sz="2" w:space="0" w:color="002279"/>
              <w:left w:val="single" w:sz="4" w:space="0" w:color="002279"/>
              <w:bottom w:val="single" w:sz="4" w:space="0" w:color="002279"/>
              <w:right w:val="single" w:sz="4" w:space="0" w:color="002279"/>
            </w:tcBorders>
            <w:shd w:val="clear" w:color="auto" w:fill="FFFFFF" w:themeFill="background1"/>
            <w:vAlign w:val="center"/>
          </w:tcPr>
          <w:p w14:paraId="682E5ACD" w14:textId="19C0A178" w:rsidR="00484630" w:rsidRPr="001B55D0" w:rsidRDefault="00484630" w:rsidP="003C7B1A">
            <w:pPr>
              <w:jc w:val="center"/>
              <w:rPr>
                <w:rFonts w:cstheme="minorHAnsi"/>
                <w:szCs w:val="22"/>
              </w:rPr>
            </w:pPr>
            <w:r w:rsidRPr="001B55D0">
              <w:rPr>
                <w:rFonts w:cstheme="minorHAnsi"/>
                <w:szCs w:val="22"/>
              </w:rPr>
              <w:t>0.</w:t>
            </w:r>
            <w:r w:rsidR="00D70038" w:rsidRPr="001B55D0">
              <w:rPr>
                <w:rFonts w:cstheme="minorHAnsi"/>
                <w:szCs w:val="22"/>
              </w:rPr>
              <w:t>50</w:t>
            </w:r>
          </w:p>
        </w:tc>
        <w:tc>
          <w:tcPr>
            <w:tcW w:w="1559" w:type="dxa"/>
            <w:tcBorders>
              <w:top w:val="single" w:sz="2" w:space="0" w:color="002279"/>
              <w:left w:val="single" w:sz="4" w:space="0" w:color="002279"/>
              <w:bottom w:val="single" w:sz="4" w:space="0" w:color="002279"/>
              <w:right w:val="single" w:sz="4" w:space="0" w:color="002279"/>
            </w:tcBorders>
            <w:shd w:val="clear" w:color="auto" w:fill="FFFFFF" w:themeFill="background1"/>
            <w:vAlign w:val="center"/>
          </w:tcPr>
          <w:p w14:paraId="555E5B8A" w14:textId="4E02A9A6" w:rsidR="00484630" w:rsidRPr="001B55D0" w:rsidRDefault="00484630" w:rsidP="003C7B1A">
            <w:pPr>
              <w:jc w:val="center"/>
              <w:rPr>
                <w:rFonts w:cstheme="minorHAnsi"/>
                <w:szCs w:val="22"/>
              </w:rPr>
            </w:pPr>
            <w:r w:rsidRPr="001B55D0">
              <w:rPr>
                <w:rFonts w:cstheme="minorHAnsi"/>
                <w:szCs w:val="22"/>
              </w:rPr>
              <w:t>0.</w:t>
            </w:r>
            <w:r w:rsidR="00D70038" w:rsidRPr="001B55D0">
              <w:rPr>
                <w:rFonts w:cstheme="minorHAnsi"/>
                <w:szCs w:val="22"/>
              </w:rPr>
              <w:t>50</w:t>
            </w:r>
          </w:p>
        </w:tc>
        <w:tc>
          <w:tcPr>
            <w:tcW w:w="1560" w:type="dxa"/>
            <w:tcBorders>
              <w:top w:val="single" w:sz="2" w:space="0" w:color="002279"/>
              <w:left w:val="single" w:sz="4" w:space="0" w:color="002279"/>
              <w:bottom w:val="single" w:sz="4" w:space="0" w:color="002279"/>
              <w:right w:val="single" w:sz="4" w:space="0" w:color="002279"/>
            </w:tcBorders>
            <w:shd w:val="clear" w:color="auto" w:fill="FFFFFF" w:themeFill="background1"/>
            <w:vAlign w:val="center"/>
          </w:tcPr>
          <w:p w14:paraId="2E594244" w14:textId="458ADB2C" w:rsidR="00484630" w:rsidRPr="001B55D0" w:rsidRDefault="00591166" w:rsidP="00360131">
            <w:pPr>
              <w:jc w:val="center"/>
              <w:rPr>
                <w:rFonts w:cstheme="minorHAnsi"/>
                <w:b/>
                <w:szCs w:val="22"/>
              </w:rPr>
            </w:pPr>
            <w:r w:rsidRPr="001B55D0">
              <w:rPr>
                <w:rFonts w:cstheme="minorHAnsi"/>
                <w:b/>
                <w:szCs w:val="22"/>
              </w:rPr>
              <w:t>2</w:t>
            </w:r>
            <w:r w:rsidR="006A45FA" w:rsidRPr="001B55D0">
              <w:rPr>
                <w:rFonts w:cstheme="minorHAnsi"/>
                <w:b/>
                <w:szCs w:val="22"/>
              </w:rPr>
              <w:t>.</w:t>
            </w:r>
            <w:r w:rsidRPr="001B55D0">
              <w:rPr>
                <w:rFonts w:cstheme="minorHAnsi"/>
                <w:b/>
                <w:szCs w:val="22"/>
              </w:rPr>
              <w:t>35</w:t>
            </w:r>
          </w:p>
        </w:tc>
      </w:tr>
    </w:tbl>
    <w:p w14:paraId="6564B077" w14:textId="77777777" w:rsidR="00484630" w:rsidRDefault="00484630" w:rsidP="00484630">
      <w:pPr>
        <w:pStyle w:val="BodyText"/>
        <w:spacing w:line="222" w:lineRule="exact"/>
      </w:pPr>
    </w:p>
    <w:p w14:paraId="063B79CC" w14:textId="77777777" w:rsidR="00C24B1F" w:rsidRDefault="00C24B1F" w:rsidP="00484630">
      <w:pPr>
        <w:pStyle w:val="Heading3"/>
      </w:pPr>
      <w:r>
        <w:t>Removal of GSL costs</w:t>
      </w:r>
    </w:p>
    <w:p w14:paraId="32BC3005" w14:textId="37882B53" w:rsidR="00C24B1F" w:rsidRPr="00B952E1" w:rsidRDefault="00C24B1F" w:rsidP="00C24B1F">
      <w:r>
        <w:rPr>
          <w:rFonts w:eastAsia="Arial" w:cs="Arial"/>
        </w:rPr>
        <w:t xml:space="preserve">As discussed in the </w:t>
      </w:r>
      <w:r w:rsidR="00612583">
        <w:rPr>
          <w:rFonts w:eastAsia="Arial" w:cs="Arial"/>
        </w:rPr>
        <w:t>‘</w:t>
      </w:r>
      <w:r>
        <w:rPr>
          <w:rFonts w:eastAsia="Arial" w:cs="Arial"/>
        </w:rPr>
        <w:t>Outcomes</w:t>
      </w:r>
      <w:r w:rsidR="00612583">
        <w:rPr>
          <w:rFonts w:eastAsia="Arial" w:cs="Arial"/>
        </w:rPr>
        <w:t>’</w:t>
      </w:r>
      <w:r>
        <w:rPr>
          <w:rFonts w:eastAsia="Arial" w:cs="Arial"/>
        </w:rPr>
        <w:t xml:space="preserve"> section, we are proposing to absorb costs associated with the proposed GSL scheme and not include this in our revenue requirement allowance, resulting in a negative step change as outlined in </w:t>
      </w:r>
      <w:r w:rsidR="00D471E0">
        <w:rPr>
          <w:rFonts w:eastAsia="Arial" w:cs="Arial"/>
        </w:rPr>
        <w:t>Table 7</w:t>
      </w:r>
      <w:r w:rsidR="002D4331">
        <w:rPr>
          <w:rFonts w:eastAsia="Arial" w:cs="Arial"/>
        </w:rPr>
        <w:t>3</w:t>
      </w:r>
      <w:r>
        <w:rPr>
          <w:rFonts w:eastAsia="Arial" w:cs="Arial"/>
        </w:rPr>
        <w:t>.</w:t>
      </w:r>
      <w:r w:rsidR="002819EA">
        <w:rPr>
          <w:rFonts w:eastAsia="Arial" w:cs="Arial"/>
        </w:rPr>
        <w:br/>
      </w:r>
    </w:p>
    <w:p w14:paraId="1457955B" w14:textId="7A47D405" w:rsidR="006A45FA" w:rsidRPr="000C5D88" w:rsidRDefault="000C5D88" w:rsidP="002819EA">
      <w:pPr>
        <w:pStyle w:val="NormalIndent"/>
        <w:spacing w:after="120"/>
        <w:ind w:left="0"/>
        <w:rPr>
          <w:rFonts w:cs="Arial"/>
          <w:b/>
          <w:i/>
        </w:rPr>
      </w:pPr>
      <w:r w:rsidRPr="00CE6C4E">
        <w:rPr>
          <w:b/>
          <w:i/>
        </w:rPr>
        <w:t>Table</w:t>
      </w:r>
      <w:r w:rsidR="002D4331">
        <w:rPr>
          <w:b/>
          <w:i/>
        </w:rPr>
        <w:t xml:space="preserve"> 73</w:t>
      </w:r>
      <w:r w:rsidRPr="007B339F">
        <w:rPr>
          <w:rFonts w:ascii="Arial" w:hAnsi="Arial" w:cs="Arial"/>
          <w:b/>
          <w:i/>
        </w:rPr>
        <w:t>:</w:t>
      </w:r>
      <w:r>
        <w:rPr>
          <w:rFonts w:ascii="Arial" w:hAnsi="Arial" w:cs="Arial"/>
          <w:b/>
          <w:i/>
        </w:rPr>
        <w:t xml:space="preserve"> </w:t>
      </w:r>
      <w:r w:rsidR="006A45FA" w:rsidRPr="00023F89">
        <w:rPr>
          <w:rFonts w:cs="Arial"/>
          <w:b/>
          <w:i/>
        </w:rPr>
        <w:t xml:space="preserve">Removal of GSLs </w:t>
      </w:r>
      <w:r w:rsidR="00507B63" w:rsidRPr="006D1620">
        <w:rPr>
          <w:rFonts w:cs="Arial"/>
          <w:b/>
          <w:i/>
        </w:rPr>
        <w:t>(</w:t>
      </w:r>
      <w:r w:rsidR="00507B63">
        <w:rPr>
          <w:rFonts w:cs="Arial"/>
          <w:b/>
          <w:i/>
        </w:rPr>
        <w:t>$</w:t>
      </w:r>
      <w:r w:rsidR="006A45FA" w:rsidRPr="00023F89">
        <w:rPr>
          <w:rFonts w:cs="Arial"/>
          <w:b/>
          <w:i/>
        </w:rPr>
        <w:t xml:space="preserve">million </w:t>
      </w:r>
      <w:r w:rsidR="00507B63" w:rsidRPr="006D1620">
        <w:rPr>
          <w:rFonts w:cs="Arial"/>
          <w:b/>
          <w:i/>
        </w:rPr>
        <w:t>2022</w:t>
      </w:r>
      <w:r w:rsidR="00F33731">
        <w:rPr>
          <w:rFonts w:cs="Arial"/>
          <w:b/>
          <w:i/>
        </w:rPr>
        <w:t>–</w:t>
      </w:r>
      <w:r w:rsidR="006A45FA" w:rsidRPr="00023F89">
        <w:rPr>
          <w:rFonts w:cs="Arial"/>
          <w:b/>
          <w:i/>
        </w:rPr>
        <w:t>23)</w:t>
      </w:r>
    </w:p>
    <w:tbl>
      <w:tblPr>
        <w:tblStyle w:val="MJTableStyle1default"/>
        <w:tblW w:w="0" w:type="auto"/>
        <w:tblInd w:w="0" w:type="dxa"/>
        <w:tblLook w:val="04A0" w:firstRow="1" w:lastRow="0" w:firstColumn="1" w:lastColumn="0" w:noHBand="0" w:noVBand="1"/>
      </w:tblPr>
      <w:tblGrid>
        <w:gridCol w:w="1559"/>
        <w:gridCol w:w="1559"/>
        <w:gridCol w:w="1560"/>
        <w:gridCol w:w="1559"/>
        <w:gridCol w:w="1559"/>
        <w:gridCol w:w="1560"/>
      </w:tblGrid>
      <w:tr w:rsidR="006A45FA" w:rsidRPr="001B55D0" w14:paraId="44D59B44" w14:textId="7B578E55" w:rsidTr="00F8713B">
        <w:trPr>
          <w:cnfStyle w:val="100000000000" w:firstRow="1" w:lastRow="0" w:firstColumn="0" w:lastColumn="0" w:oddVBand="0" w:evenVBand="0" w:oddHBand="0" w:evenHBand="0" w:firstRowFirstColumn="0" w:firstRowLastColumn="0" w:lastRowFirstColumn="0" w:lastRowLastColumn="0"/>
          <w:trHeight w:val="437"/>
        </w:trPr>
        <w:tc>
          <w:tcPr>
            <w:tcW w:w="1559" w:type="dxa"/>
            <w:tcBorders>
              <w:top w:val="single" w:sz="4" w:space="0" w:color="002279"/>
              <w:left w:val="single" w:sz="4" w:space="0" w:color="002279"/>
              <w:bottom w:val="single" w:sz="2" w:space="0" w:color="002279"/>
              <w:right w:val="single" w:sz="4" w:space="0" w:color="FFFFFF" w:themeColor="background1"/>
            </w:tcBorders>
            <w:shd w:val="clear" w:color="auto" w:fill="002279"/>
            <w:vAlign w:val="center"/>
          </w:tcPr>
          <w:p w14:paraId="623963F0" w14:textId="514D38BA" w:rsidR="006A45FA" w:rsidRPr="003C7B1A" w:rsidRDefault="006A45FA" w:rsidP="00360131">
            <w:pPr>
              <w:jc w:val="center"/>
              <w:rPr>
                <w:rFonts w:asciiTheme="minorHAnsi" w:hAnsiTheme="minorHAnsi" w:cstheme="minorHAnsi"/>
                <w:b/>
                <w:bCs/>
              </w:rPr>
            </w:pPr>
            <w:r w:rsidRPr="003C7B1A">
              <w:rPr>
                <w:rFonts w:asciiTheme="minorHAnsi" w:hAnsiTheme="minorHAnsi" w:cstheme="minorHAnsi"/>
                <w:b/>
                <w:bCs/>
              </w:rPr>
              <w:t>2023</w:t>
            </w:r>
            <w:r w:rsidR="00F33731" w:rsidRPr="003C7B1A">
              <w:rPr>
                <w:rFonts w:asciiTheme="minorHAnsi" w:hAnsiTheme="minorHAnsi" w:cstheme="minorHAnsi"/>
                <w:b/>
                <w:bCs/>
              </w:rPr>
              <w:t>–</w:t>
            </w:r>
            <w:r w:rsidRPr="003C7B1A">
              <w:rPr>
                <w:rFonts w:asciiTheme="minorHAnsi" w:hAnsiTheme="minorHAnsi" w:cstheme="minorHAnsi"/>
                <w:b/>
                <w:bCs/>
              </w:rPr>
              <w:t>24</w:t>
            </w:r>
          </w:p>
        </w:tc>
        <w:tc>
          <w:tcPr>
            <w:tcW w:w="1559"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vAlign w:val="center"/>
          </w:tcPr>
          <w:p w14:paraId="4EBBDE21" w14:textId="1A862891" w:rsidR="006A45FA" w:rsidRPr="003C7B1A" w:rsidRDefault="006A45FA" w:rsidP="00360131">
            <w:pPr>
              <w:jc w:val="center"/>
              <w:rPr>
                <w:rFonts w:asciiTheme="minorHAnsi" w:hAnsiTheme="minorHAnsi" w:cstheme="minorHAnsi"/>
                <w:b/>
                <w:bCs/>
              </w:rPr>
            </w:pPr>
            <w:r w:rsidRPr="003C7B1A">
              <w:rPr>
                <w:rFonts w:asciiTheme="minorHAnsi" w:hAnsiTheme="minorHAnsi" w:cstheme="minorHAnsi"/>
                <w:b/>
                <w:bCs/>
              </w:rPr>
              <w:t>2024</w:t>
            </w:r>
            <w:r w:rsidR="00F33731" w:rsidRPr="003C7B1A">
              <w:rPr>
                <w:rFonts w:asciiTheme="minorHAnsi" w:hAnsiTheme="minorHAnsi" w:cstheme="minorHAnsi"/>
                <w:b/>
                <w:bCs/>
              </w:rPr>
              <w:t>–</w:t>
            </w:r>
            <w:r w:rsidRPr="003C7B1A">
              <w:rPr>
                <w:rFonts w:asciiTheme="minorHAnsi" w:hAnsiTheme="minorHAnsi" w:cstheme="minorHAnsi"/>
                <w:b/>
                <w:bCs/>
              </w:rPr>
              <w:t>25</w:t>
            </w:r>
          </w:p>
        </w:tc>
        <w:tc>
          <w:tcPr>
            <w:tcW w:w="1560"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vAlign w:val="center"/>
          </w:tcPr>
          <w:p w14:paraId="18458011" w14:textId="27CEF2DB" w:rsidR="006A45FA" w:rsidRPr="003C7B1A" w:rsidRDefault="006A45FA" w:rsidP="00360131">
            <w:pPr>
              <w:jc w:val="center"/>
              <w:rPr>
                <w:rFonts w:asciiTheme="minorHAnsi" w:hAnsiTheme="minorHAnsi" w:cstheme="minorHAnsi"/>
                <w:b/>
                <w:bCs/>
              </w:rPr>
            </w:pPr>
            <w:r w:rsidRPr="003C7B1A">
              <w:rPr>
                <w:rFonts w:asciiTheme="minorHAnsi" w:hAnsiTheme="minorHAnsi" w:cstheme="minorHAnsi"/>
                <w:b/>
                <w:bCs/>
              </w:rPr>
              <w:t>2025</w:t>
            </w:r>
            <w:r w:rsidR="00F33731" w:rsidRPr="003C7B1A">
              <w:rPr>
                <w:rFonts w:asciiTheme="minorHAnsi" w:hAnsiTheme="minorHAnsi" w:cstheme="minorHAnsi"/>
                <w:b/>
                <w:bCs/>
              </w:rPr>
              <w:t>–</w:t>
            </w:r>
            <w:r w:rsidRPr="003C7B1A">
              <w:rPr>
                <w:rFonts w:asciiTheme="minorHAnsi" w:hAnsiTheme="minorHAnsi" w:cstheme="minorHAnsi"/>
                <w:b/>
                <w:bCs/>
              </w:rPr>
              <w:t>26</w:t>
            </w:r>
          </w:p>
        </w:tc>
        <w:tc>
          <w:tcPr>
            <w:tcW w:w="1559"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vAlign w:val="center"/>
          </w:tcPr>
          <w:p w14:paraId="3D4ECB1E" w14:textId="49478D88" w:rsidR="006A45FA" w:rsidRPr="003C7B1A" w:rsidRDefault="006A45FA" w:rsidP="00360131">
            <w:pPr>
              <w:jc w:val="center"/>
              <w:rPr>
                <w:rFonts w:asciiTheme="minorHAnsi" w:hAnsiTheme="minorHAnsi" w:cstheme="minorHAnsi"/>
                <w:b/>
                <w:bCs/>
              </w:rPr>
            </w:pPr>
            <w:r w:rsidRPr="003C7B1A">
              <w:rPr>
                <w:rFonts w:asciiTheme="minorHAnsi" w:hAnsiTheme="minorHAnsi" w:cstheme="minorHAnsi"/>
                <w:b/>
                <w:bCs/>
              </w:rPr>
              <w:t>2026</w:t>
            </w:r>
            <w:r w:rsidR="00F33731" w:rsidRPr="003C7B1A">
              <w:rPr>
                <w:rFonts w:asciiTheme="minorHAnsi" w:hAnsiTheme="minorHAnsi" w:cstheme="minorHAnsi"/>
                <w:b/>
                <w:bCs/>
              </w:rPr>
              <w:t>–</w:t>
            </w:r>
            <w:r w:rsidRPr="003C7B1A">
              <w:rPr>
                <w:rFonts w:asciiTheme="minorHAnsi" w:hAnsiTheme="minorHAnsi" w:cstheme="minorHAnsi"/>
                <w:b/>
                <w:bCs/>
              </w:rPr>
              <w:t>27</w:t>
            </w:r>
          </w:p>
        </w:tc>
        <w:tc>
          <w:tcPr>
            <w:tcW w:w="1559" w:type="dxa"/>
            <w:tcBorders>
              <w:top w:val="single" w:sz="4" w:space="0" w:color="002279"/>
              <w:left w:val="single" w:sz="4" w:space="0" w:color="FFFFFF" w:themeColor="background1"/>
              <w:bottom w:val="single" w:sz="2" w:space="0" w:color="002279"/>
              <w:right w:val="single" w:sz="4" w:space="0" w:color="FFFFFF" w:themeColor="background1"/>
            </w:tcBorders>
            <w:shd w:val="clear" w:color="auto" w:fill="002279"/>
            <w:vAlign w:val="center"/>
          </w:tcPr>
          <w:p w14:paraId="12D3078E" w14:textId="590D694E" w:rsidR="006A45FA" w:rsidRPr="003C7B1A" w:rsidRDefault="006A45FA" w:rsidP="00360131">
            <w:pPr>
              <w:jc w:val="center"/>
              <w:rPr>
                <w:rFonts w:asciiTheme="minorHAnsi" w:hAnsiTheme="minorHAnsi" w:cstheme="minorHAnsi"/>
                <w:b/>
                <w:bCs/>
              </w:rPr>
            </w:pPr>
            <w:r w:rsidRPr="003C7B1A">
              <w:rPr>
                <w:rFonts w:asciiTheme="minorHAnsi" w:hAnsiTheme="minorHAnsi" w:cstheme="minorHAnsi"/>
                <w:b/>
                <w:bCs/>
              </w:rPr>
              <w:t>2027</w:t>
            </w:r>
            <w:r w:rsidR="00F33731" w:rsidRPr="003C7B1A">
              <w:rPr>
                <w:rFonts w:asciiTheme="minorHAnsi" w:hAnsiTheme="minorHAnsi" w:cstheme="minorHAnsi"/>
                <w:b/>
                <w:bCs/>
              </w:rPr>
              <w:t>–</w:t>
            </w:r>
            <w:r w:rsidRPr="003C7B1A">
              <w:rPr>
                <w:rFonts w:asciiTheme="minorHAnsi" w:hAnsiTheme="minorHAnsi" w:cstheme="minorHAnsi"/>
                <w:b/>
                <w:bCs/>
              </w:rPr>
              <w:t>28</w:t>
            </w:r>
          </w:p>
        </w:tc>
        <w:tc>
          <w:tcPr>
            <w:tcW w:w="1560" w:type="dxa"/>
            <w:tcBorders>
              <w:top w:val="single" w:sz="4" w:space="0" w:color="002279"/>
              <w:left w:val="single" w:sz="4" w:space="0" w:color="FFFFFF" w:themeColor="background1"/>
              <w:bottom w:val="single" w:sz="2" w:space="0" w:color="002279"/>
              <w:right w:val="single" w:sz="4" w:space="0" w:color="002279"/>
            </w:tcBorders>
            <w:shd w:val="clear" w:color="auto" w:fill="002279"/>
            <w:vAlign w:val="center"/>
          </w:tcPr>
          <w:p w14:paraId="68FC58A0" w14:textId="42C56EDF" w:rsidR="006A45FA" w:rsidRPr="003C7B1A" w:rsidRDefault="006A45FA" w:rsidP="00360131">
            <w:pPr>
              <w:jc w:val="center"/>
              <w:rPr>
                <w:rFonts w:asciiTheme="minorHAnsi" w:hAnsiTheme="minorHAnsi" w:cstheme="minorHAnsi"/>
                <w:b/>
                <w:bCs/>
              </w:rPr>
            </w:pPr>
            <w:r w:rsidRPr="003C7B1A">
              <w:rPr>
                <w:rFonts w:asciiTheme="minorHAnsi" w:hAnsiTheme="minorHAnsi" w:cstheme="minorHAnsi"/>
                <w:b/>
                <w:bCs/>
              </w:rPr>
              <w:t>Total</w:t>
            </w:r>
          </w:p>
        </w:tc>
      </w:tr>
      <w:tr w:rsidR="006A45FA" w:rsidRPr="00023F89" w14:paraId="762745F4" w14:textId="5CA7DBE7" w:rsidTr="00F8713B">
        <w:trPr>
          <w:cnfStyle w:val="000000100000" w:firstRow="0" w:lastRow="0" w:firstColumn="0" w:lastColumn="0" w:oddVBand="0" w:evenVBand="0" w:oddHBand="1" w:evenHBand="0" w:firstRowFirstColumn="0" w:firstRowLastColumn="0" w:lastRowFirstColumn="0" w:lastRowLastColumn="0"/>
        </w:trPr>
        <w:tc>
          <w:tcPr>
            <w:tcW w:w="1559" w:type="dxa"/>
            <w:tcBorders>
              <w:top w:val="single" w:sz="2" w:space="0" w:color="002279"/>
              <w:left w:val="single" w:sz="4" w:space="0" w:color="002279"/>
              <w:bottom w:val="single" w:sz="4" w:space="0" w:color="002279"/>
              <w:right w:val="single" w:sz="4" w:space="0" w:color="002279"/>
            </w:tcBorders>
            <w:shd w:val="clear" w:color="auto" w:fill="FFFFFF" w:themeFill="background1"/>
            <w:vAlign w:val="center"/>
          </w:tcPr>
          <w:p w14:paraId="433BAE7E" w14:textId="4542B18F" w:rsidR="006A45FA" w:rsidRPr="003C7B1A" w:rsidRDefault="00652722" w:rsidP="003C7B1A">
            <w:pPr>
              <w:jc w:val="center"/>
            </w:pPr>
            <w:r>
              <w:t>-</w:t>
            </w:r>
            <w:r w:rsidR="006A45FA" w:rsidRPr="003C7B1A">
              <w:t>0.15</w:t>
            </w:r>
          </w:p>
        </w:tc>
        <w:tc>
          <w:tcPr>
            <w:tcW w:w="1559" w:type="dxa"/>
            <w:tcBorders>
              <w:top w:val="single" w:sz="2" w:space="0" w:color="002279"/>
              <w:left w:val="single" w:sz="4" w:space="0" w:color="002279"/>
              <w:bottom w:val="single" w:sz="4" w:space="0" w:color="002279"/>
              <w:right w:val="single" w:sz="4" w:space="0" w:color="002279"/>
            </w:tcBorders>
            <w:shd w:val="clear" w:color="auto" w:fill="FFFFFF" w:themeFill="background1"/>
            <w:vAlign w:val="center"/>
          </w:tcPr>
          <w:p w14:paraId="63A2034B" w14:textId="77193DF2" w:rsidR="006A45FA" w:rsidRPr="003C7B1A" w:rsidRDefault="00652722" w:rsidP="003C7B1A">
            <w:pPr>
              <w:jc w:val="center"/>
            </w:pPr>
            <w:r>
              <w:t>-</w:t>
            </w:r>
            <w:r w:rsidR="006A45FA" w:rsidRPr="003C7B1A">
              <w:t>0.15</w:t>
            </w:r>
          </w:p>
        </w:tc>
        <w:tc>
          <w:tcPr>
            <w:tcW w:w="1560" w:type="dxa"/>
            <w:tcBorders>
              <w:top w:val="single" w:sz="2" w:space="0" w:color="002279"/>
              <w:left w:val="single" w:sz="4" w:space="0" w:color="002279"/>
              <w:bottom w:val="single" w:sz="4" w:space="0" w:color="002279"/>
              <w:right w:val="single" w:sz="4" w:space="0" w:color="002279"/>
            </w:tcBorders>
            <w:shd w:val="clear" w:color="auto" w:fill="FFFFFF" w:themeFill="background1"/>
            <w:vAlign w:val="center"/>
          </w:tcPr>
          <w:p w14:paraId="5965472F" w14:textId="4F2EE878" w:rsidR="006A45FA" w:rsidRPr="003C7B1A" w:rsidRDefault="00652722" w:rsidP="003C7B1A">
            <w:pPr>
              <w:jc w:val="center"/>
            </w:pPr>
            <w:r>
              <w:t>-</w:t>
            </w:r>
            <w:r w:rsidR="006A45FA" w:rsidRPr="003C7B1A">
              <w:t>0.15</w:t>
            </w:r>
          </w:p>
        </w:tc>
        <w:tc>
          <w:tcPr>
            <w:tcW w:w="1559" w:type="dxa"/>
            <w:tcBorders>
              <w:top w:val="single" w:sz="2" w:space="0" w:color="002279"/>
              <w:left w:val="single" w:sz="4" w:space="0" w:color="002279"/>
              <w:bottom w:val="single" w:sz="4" w:space="0" w:color="002279"/>
              <w:right w:val="single" w:sz="4" w:space="0" w:color="002279"/>
            </w:tcBorders>
            <w:shd w:val="clear" w:color="auto" w:fill="FFFFFF" w:themeFill="background1"/>
            <w:vAlign w:val="center"/>
          </w:tcPr>
          <w:p w14:paraId="1D68C858" w14:textId="0964C147" w:rsidR="006A45FA" w:rsidRPr="003C7B1A" w:rsidRDefault="00652722" w:rsidP="003C7B1A">
            <w:pPr>
              <w:jc w:val="center"/>
            </w:pPr>
            <w:r>
              <w:t>-</w:t>
            </w:r>
            <w:r w:rsidR="006A45FA" w:rsidRPr="003C7B1A">
              <w:t>0.15</w:t>
            </w:r>
          </w:p>
        </w:tc>
        <w:tc>
          <w:tcPr>
            <w:tcW w:w="1559" w:type="dxa"/>
            <w:tcBorders>
              <w:top w:val="single" w:sz="2" w:space="0" w:color="002279"/>
              <w:left w:val="single" w:sz="4" w:space="0" w:color="002279"/>
              <w:bottom w:val="single" w:sz="4" w:space="0" w:color="002279"/>
              <w:right w:val="single" w:sz="4" w:space="0" w:color="002279"/>
            </w:tcBorders>
            <w:shd w:val="clear" w:color="auto" w:fill="FFFFFF" w:themeFill="background1"/>
            <w:vAlign w:val="center"/>
          </w:tcPr>
          <w:p w14:paraId="57DA8B85" w14:textId="333F0536" w:rsidR="006A45FA" w:rsidRPr="003C7B1A" w:rsidRDefault="00652722" w:rsidP="003C7B1A">
            <w:pPr>
              <w:jc w:val="center"/>
            </w:pPr>
            <w:r>
              <w:t>-</w:t>
            </w:r>
            <w:r w:rsidR="006A45FA" w:rsidRPr="003C7B1A">
              <w:t>0.15</w:t>
            </w:r>
          </w:p>
        </w:tc>
        <w:tc>
          <w:tcPr>
            <w:tcW w:w="1560" w:type="dxa"/>
            <w:tcBorders>
              <w:top w:val="single" w:sz="2" w:space="0" w:color="002279"/>
              <w:left w:val="single" w:sz="4" w:space="0" w:color="002279"/>
              <w:bottom w:val="single" w:sz="4" w:space="0" w:color="002279"/>
              <w:right w:val="single" w:sz="4" w:space="0" w:color="002279"/>
            </w:tcBorders>
            <w:shd w:val="clear" w:color="auto" w:fill="FFFFFF" w:themeFill="background1"/>
            <w:vAlign w:val="center"/>
          </w:tcPr>
          <w:p w14:paraId="2EAC275A" w14:textId="3BE3F457" w:rsidR="006A45FA" w:rsidRPr="003C7B1A" w:rsidRDefault="00652722" w:rsidP="00360131">
            <w:pPr>
              <w:jc w:val="center"/>
            </w:pPr>
            <w:r>
              <w:rPr>
                <w:b/>
              </w:rPr>
              <w:t>-</w:t>
            </w:r>
            <w:r w:rsidR="00133C32" w:rsidRPr="003C7B1A">
              <w:rPr>
                <w:b/>
              </w:rPr>
              <w:t>0.7</w:t>
            </w:r>
            <w:r w:rsidR="00A93905">
              <w:rPr>
                <w:b/>
              </w:rPr>
              <w:t>3</w:t>
            </w:r>
          </w:p>
        </w:tc>
      </w:tr>
    </w:tbl>
    <w:p w14:paraId="3CF7CCFF" w14:textId="728DB970" w:rsidR="00207B67" w:rsidRDefault="00657F69" w:rsidP="00D11C2D">
      <w:pPr>
        <w:pStyle w:val="Heading1"/>
      </w:pPr>
      <w:bookmarkStart w:id="111" w:name="_Toc114644628"/>
      <w:r>
        <w:lastRenderedPageBreak/>
        <w:t xml:space="preserve">Appendix 2 </w:t>
      </w:r>
      <w:r w:rsidR="00356B6B">
        <w:t>–</w:t>
      </w:r>
      <w:r>
        <w:t xml:space="preserve"> </w:t>
      </w:r>
      <w:r w:rsidR="00993390">
        <w:t>Major projects (2018</w:t>
      </w:r>
      <w:r w:rsidR="00F33731">
        <w:t>–</w:t>
      </w:r>
      <w:r w:rsidR="00993390">
        <w:t xml:space="preserve">23) </w:t>
      </w:r>
      <w:r w:rsidR="0058143E">
        <w:t>summary report</w:t>
      </w:r>
      <w:bookmarkEnd w:id="111"/>
      <w:r w:rsidR="0058143E">
        <w:t xml:space="preserve"> </w:t>
      </w:r>
    </w:p>
    <w:tbl>
      <w:tblPr>
        <w:tblStyle w:val="MJTableStyle1default"/>
        <w:tblW w:w="9214" w:type="dxa"/>
        <w:tblInd w:w="0" w:type="dxa"/>
        <w:tblLook w:val="06A0" w:firstRow="1" w:lastRow="0" w:firstColumn="1" w:lastColumn="0" w:noHBand="1" w:noVBand="1"/>
      </w:tblPr>
      <w:tblGrid>
        <w:gridCol w:w="9214"/>
      </w:tblGrid>
      <w:tr w:rsidR="00001F33" w:rsidRPr="003B1534" w14:paraId="36676F9B" w14:textId="77777777" w:rsidTr="00360131">
        <w:trPr>
          <w:cnfStyle w:val="100000000000" w:firstRow="1" w:lastRow="0" w:firstColumn="0" w:lastColumn="0" w:oddVBand="0" w:evenVBand="0" w:oddHBand="0" w:evenHBand="0" w:firstRowFirstColumn="0" w:firstRowLastColumn="0" w:lastRowFirstColumn="0" w:lastRowLastColumn="0"/>
          <w:trHeight w:val="426"/>
          <w:tblHeader/>
        </w:trPr>
        <w:tc>
          <w:tcPr>
            <w:tcW w:w="9214" w:type="dxa"/>
            <w:tcBorders>
              <w:top w:val="single" w:sz="2" w:space="0" w:color="002279"/>
              <w:bottom w:val="single" w:sz="2" w:space="0" w:color="002279"/>
            </w:tcBorders>
            <w:shd w:val="clear" w:color="auto" w:fill="002279"/>
            <w:vAlign w:val="center"/>
          </w:tcPr>
          <w:p w14:paraId="36ECD300" w14:textId="6C54977C" w:rsidR="00001F33" w:rsidRPr="00DD0824" w:rsidRDefault="00001F33" w:rsidP="001B55D0">
            <w:pPr>
              <w:spacing w:before="60" w:after="60" w:line="259" w:lineRule="auto"/>
              <w:rPr>
                <w:rFonts w:asciiTheme="minorHAnsi" w:hAnsiTheme="minorHAnsi" w:cstheme="minorHAnsi"/>
                <w:b/>
                <w:sz w:val="22"/>
                <w:szCs w:val="22"/>
              </w:rPr>
            </w:pPr>
            <w:r w:rsidRPr="00DD0824">
              <w:rPr>
                <w:rFonts w:asciiTheme="minorHAnsi" w:hAnsiTheme="minorHAnsi" w:cstheme="minorHAnsi"/>
                <w:b/>
                <w:sz w:val="22"/>
                <w:szCs w:val="22"/>
              </w:rPr>
              <w:t xml:space="preserve">PROJECT </w:t>
            </w:r>
            <w:r w:rsidR="00E747BD">
              <w:rPr>
                <w:rFonts w:asciiTheme="minorHAnsi" w:hAnsiTheme="minorHAnsi" w:cstheme="minorHAnsi"/>
                <w:b/>
                <w:sz w:val="22"/>
                <w:szCs w:val="22"/>
              </w:rPr>
              <w:t xml:space="preserve">1: Ballarto Road East </w:t>
            </w:r>
            <w:r w:rsidR="004D26BC">
              <w:rPr>
                <w:rFonts w:asciiTheme="minorHAnsi" w:hAnsiTheme="minorHAnsi" w:cstheme="minorHAnsi"/>
                <w:b/>
                <w:sz w:val="22"/>
                <w:szCs w:val="22"/>
              </w:rPr>
              <w:t xml:space="preserve">Sewer Pump Station </w:t>
            </w:r>
            <w:r w:rsidR="00222CCD">
              <w:rPr>
                <w:rFonts w:asciiTheme="minorHAnsi" w:hAnsiTheme="minorHAnsi" w:cstheme="minorHAnsi"/>
                <w:b/>
                <w:sz w:val="22"/>
                <w:szCs w:val="22"/>
              </w:rPr>
              <w:t>D</w:t>
            </w:r>
            <w:r w:rsidR="004D26BC">
              <w:rPr>
                <w:rFonts w:asciiTheme="minorHAnsi" w:hAnsiTheme="minorHAnsi" w:cstheme="minorHAnsi"/>
                <w:b/>
                <w:sz w:val="22"/>
                <w:szCs w:val="22"/>
              </w:rPr>
              <w:t xml:space="preserve">elivery </w:t>
            </w:r>
            <w:r w:rsidR="00222CCD">
              <w:rPr>
                <w:rFonts w:asciiTheme="minorHAnsi" w:hAnsiTheme="minorHAnsi" w:cstheme="minorHAnsi"/>
                <w:b/>
                <w:sz w:val="22"/>
                <w:szCs w:val="22"/>
              </w:rPr>
              <w:t>P</w:t>
            </w:r>
            <w:r w:rsidR="004D26BC">
              <w:rPr>
                <w:rFonts w:asciiTheme="minorHAnsi" w:hAnsiTheme="minorHAnsi" w:cstheme="minorHAnsi"/>
                <w:b/>
                <w:sz w:val="22"/>
                <w:szCs w:val="22"/>
              </w:rPr>
              <w:t>erformance</w:t>
            </w:r>
            <w:r w:rsidR="00A1315F">
              <w:rPr>
                <w:rFonts w:asciiTheme="minorHAnsi" w:hAnsiTheme="minorHAnsi" w:cstheme="minorHAnsi"/>
                <w:b/>
                <w:sz w:val="22"/>
                <w:szCs w:val="22"/>
              </w:rPr>
              <w:t xml:space="preserve"> </w:t>
            </w:r>
          </w:p>
        </w:tc>
      </w:tr>
      <w:tr w:rsidR="00001F33" w:rsidRPr="003B1534" w14:paraId="6A20BE23" w14:textId="77777777" w:rsidTr="00360131">
        <w:tc>
          <w:tcPr>
            <w:tcW w:w="9214" w:type="dxa"/>
            <w:tcBorders>
              <w:top w:val="single" w:sz="2" w:space="0" w:color="002279"/>
              <w:bottom w:val="single" w:sz="2" w:space="0" w:color="002279"/>
            </w:tcBorders>
          </w:tcPr>
          <w:p w14:paraId="2B9ABBBB" w14:textId="7D87CC05" w:rsidR="00001F33" w:rsidRPr="00DD0824" w:rsidRDefault="00F92E6D" w:rsidP="00C96C46">
            <w:pPr>
              <w:spacing w:line="259" w:lineRule="auto"/>
              <w:rPr>
                <w:rFonts w:cstheme="minorHAnsi"/>
                <w:sz w:val="22"/>
              </w:rPr>
            </w:pPr>
            <w:r>
              <w:rPr>
                <w:rFonts w:cstheme="minorHAnsi"/>
                <w:b/>
                <w:sz w:val="22"/>
              </w:rPr>
              <w:t xml:space="preserve">Major service: </w:t>
            </w:r>
            <w:r w:rsidR="00001F33" w:rsidRPr="00DD0824">
              <w:rPr>
                <w:rFonts w:cstheme="minorHAnsi"/>
                <w:sz w:val="22"/>
              </w:rPr>
              <w:t>Sewerage</w:t>
            </w:r>
          </w:p>
        </w:tc>
      </w:tr>
      <w:tr w:rsidR="00001F33" w:rsidRPr="003B1534" w14:paraId="64E9409B" w14:textId="77777777" w:rsidTr="00360131">
        <w:tc>
          <w:tcPr>
            <w:tcW w:w="9214" w:type="dxa"/>
            <w:tcBorders>
              <w:top w:val="single" w:sz="2" w:space="0" w:color="002279"/>
              <w:bottom w:val="single" w:sz="4" w:space="0" w:color="auto"/>
            </w:tcBorders>
          </w:tcPr>
          <w:p w14:paraId="052B3051" w14:textId="407E8EAA" w:rsidR="00001F33" w:rsidRPr="00DD0824" w:rsidRDefault="00001F33" w:rsidP="00C96C46">
            <w:pPr>
              <w:spacing w:line="259" w:lineRule="auto"/>
              <w:rPr>
                <w:rFonts w:cstheme="minorHAnsi"/>
                <w:sz w:val="22"/>
              </w:rPr>
            </w:pPr>
            <w:r w:rsidRPr="00DD0824">
              <w:rPr>
                <w:rFonts w:cstheme="minorHAnsi"/>
                <w:b/>
                <w:sz w:val="22"/>
              </w:rPr>
              <w:t>Asset</w:t>
            </w:r>
            <w:r w:rsidR="00A14509">
              <w:rPr>
                <w:rFonts w:cstheme="minorHAnsi"/>
                <w:b/>
                <w:sz w:val="22"/>
              </w:rPr>
              <w:t xml:space="preserve"> category: </w:t>
            </w:r>
            <w:r w:rsidR="00A14509" w:rsidRPr="00360131">
              <w:rPr>
                <w:rFonts w:cstheme="minorHAnsi"/>
                <w:bCs/>
                <w:sz w:val="22"/>
              </w:rPr>
              <w:t>Pipelines/network</w:t>
            </w:r>
            <w:r w:rsidRPr="00DD0824">
              <w:rPr>
                <w:rFonts w:cstheme="minorHAnsi"/>
                <w:b/>
                <w:sz w:val="22"/>
              </w:rPr>
              <w:t xml:space="preserve"> </w:t>
            </w:r>
          </w:p>
        </w:tc>
      </w:tr>
      <w:tr w:rsidR="00001F33" w:rsidRPr="003B1534" w14:paraId="0494046F" w14:textId="77777777" w:rsidTr="00360131">
        <w:tc>
          <w:tcPr>
            <w:tcW w:w="9214" w:type="dxa"/>
            <w:tcBorders>
              <w:top w:val="single" w:sz="4" w:space="0" w:color="auto"/>
              <w:bottom w:val="single" w:sz="2" w:space="0" w:color="002279"/>
            </w:tcBorders>
          </w:tcPr>
          <w:p w14:paraId="63606874" w14:textId="13EDF046" w:rsidR="00001F33" w:rsidRPr="00DD0824" w:rsidRDefault="00607F9A" w:rsidP="00C96C46">
            <w:pPr>
              <w:spacing w:line="259" w:lineRule="auto"/>
              <w:rPr>
                <w:rFonts w:cstheme="minorHAnsi"/>
                <w:b/>
                <w:sz w:val="22"/>
              </w:rPr>
            </w:pPr>
            <w:r>
              <w:rPr>
                <w:rFonts w:cstheme="minorHAnsi"/>
                <w:b/>
                <w:sz w:val="22"/>
              </w:rPr>
              <w:t>Driver</w:t>
            </w:r>
            <w:r w:rsidR="00001F33" w:rsidRPr="00DD0824">
              <w:rPr>
                <w:rFonts w:cstheme="minorHAnsi"/>
                <w:b/>
                <w:sz w:val="22"/>
              </w:rPr>
              <w:t xml:space="preserve">: </w:t>
            </w:r>
            <w:r w:rsidR="00001F33" w:rsidRPr="00DD0824">
              <w:rPr>
                <w:rFonts w:cstheme="minorHAnsi"/>
                <w:sz w:val="22"/>
              </w:rPr>
              <w:t>Growth</w:t>
            </w:r>
          </w:p>
        </w:tc>
      </w:tr>
      <w:tr w:rsidR="00001F33" w:rsidRPr="003B1534" w14:paraId="29E7774B" w14:textId="77777777" w:rsidTr="00360131">
        <w:tc>
          <w:tcPr>
            <w:tcW w:w="9214" w:type="dxa"/>
            <w:tcBorders>
              <w:top w:val="single" w:sz="2" w:space="0" w:color="002279"/>
              <w:bottom w:val="single" w:sz="2" w:space="0" w:color="002279"/>
            </w:tcBorders>
          </w:tcPr>
          <w:p w14:paraId="65BE57B6" w14:textId="77777777" w:rsidR="002A7BD5" w:rsidRPr="00325074" w:rsidRDefault="00001F33" w:rsidP="00C96C46">
            <w:pPr>
              <w:spacing w:after="0"/>
              <w:textAlignment w:val="baseline"/>
              <w:rPr>
                <w:rFonts w:ascii="Times New Roman" w:eastAsia="Times New Roman" w:hAnsi="Times New Roman" w:cs="Times New Roman"/>
                <w:sz w:val="22"/>
                <w:lang w:eastAsia="en-AU"/>
              </w:rPr>
            </w:pPr>
            <w:r w:rsidRPr="00DD0824">
              <w:rPr>
                <w:rFonts w:cstheme="minorHAnsi"/>
                <w:b/>
                <w:sz w:val="22"/>
              </w:rPr>
              <w:t xml:space="preserve">Description: </w:t>
            </w:r>
            <w:r w:rsidR="002A7BD5" w:rsidRPr="00325074">
              <w:rPr>
                <w:rFonts w:eastAsia="Times New Roman" w:cs="Arial"/>
                <w:sz w:val="22"/>
                <w:lang w:eastAsia="en-AU"/>
              </w:rPr>
              <w:t>The project includes a new sewer pump station, a new gravity sewer and new/extended rising mains, as follows: </w:t>
            </w:r>
          </w:p>
          <w:p w14:paraId="5237C957" w14:textId="353026AB" w:rsidR="002A7BD5" w:rsidRPr="00325074" w:rsidRDefault="002A7BD5">
            <w:pPr>
              <w:pStyle w:val="ListParagraph"/>
              <w:numPr>
                <w:ilvl w:val="0"/>
                <w:numId w:val="109"/>
              </w:numPr>
              <w:spacing w:after="0"/>
              <w:textAlignment w:val="baseline"/>
              <w:rPr>
                <w:rFonts w:eastAsia="Times New Roman" w:cs="Arial"/>
                <w:sz w:val="22"/>
                <w:lang w:eastAsia="en-AU"/>
              </w:rPr>
            </w:pPr>
            <w:r w:rsidRPr="00325074">
              <w:rPr>
                <w:rFonts w:eastAsia="Times New Roman" w:cs="Arial"/>
                <w:sz w:val="22"/>
                <w:lang w:eastAsia="en-AU"/>
              </w:rPr>
              <w:t>Construction of a new sewer pump station at Ballarto Rd East</w:t>
            </w:r>
            <w:r w:rsidR="00A1315F">
              <w:rPr>
                <w:rFonts w:eastAsia="Times New Roman" w:cs="Arial"/>
                <w:sz w:val="22"/>
                <w:lang w:eastAsia="en-AU"/>
              </w:rPr>
              <w:t xml:space="preserve"> </w:t>
            </w:r>
          </w:p>
          <w:p w14:paraId="413401D8" w14:textId="44840FB6" w:rsidR="002A7BD5" w:rsidRPr="00325074" w:rsidRDefault="002A7BD5">
            <w:pPr>
              <w:pStyle w:val="ListParagraph"/>
              <w:numPr>
                <w:ilvl w:val="0"/>
                <w:numId w:val="109"/>
              </w:numPr>
              <w:spacing w:after="0"/>
              <w:textAlignment w:val="baseline"/>
              <w:rPr>
                <w:rFonts w:eastAsia="Times New Roman" w:cs="Arial"/>
                <w:sz w:val="22"/>
                <w:lang w:eastAsia="en-AU"/>
              </w:rPr>
            </w:pPr>
            <w:r w:rsidRPr="00325074">
              <w:rPr>
                <w:rFonts w:eastAsia="Times New Roman" w:cs="Arial"/>
                <w:sz w:val="22"/>
                <w:lang w:eastAsia="en-AU"/>
              </w:rPr>
              <w:t>Construction of a 525/675</w:t>
            </w:r>
            <w:r w:rsidR="00E03CE1">
              <w:rPr>
                <w:rFonts w:eastAsia="Times New Roman" w:cs="Arial"/>
                <w:sz w:val="22"/>
                <w:lang w:eastAsia="en-AU"/>
              </w:rPr>
              <w:t xml:space="preserve"> </w:t>
            </w:r>
            <w:r w:rsidRPr="00325074">
              <w:rPr>
                <w:rFonts w:eastAsia="Times New Roman" w:cs="Arial"/>
                <w:sz w:val="22"/>
                <w:lang w:eastAsia="en-AU"/>
              </w:rPr>
              <w:t>mm dia. gravity sewer from McCormacks Rd down to the new Ballarto Rd East sewer pump station </w:t>
            </w:r>
          </w:p>
          <w:p w14:paraId="0337A340" w14:textId="13DDB238" w:rsidR="002A7BD5" w:rsidRPr="00325074" w:rsidRDefault="002A7BD5">
            <w:pPr>
              <w:pStyle w:val="ListParagraph"/>
              <w:numPr>
                <w:ilvl w:val="0"/>
                <w:numId w:val="109"/>
              </w:numPr>
              <w:spacing w:after="0"/>
              <w:textAlignment w:val="baseline"/>
              <w:rPr>
                <w:rFonts w:eastAsia="Times New Roman" w:cs="Arial"/>
                <w:sz w:val="22"/>
                <w:lang w:eastAsia="en-AU"/>
              </w:rPr>
            </w:pPr>
            <w:r w:rsidRPr="00325074">
              <w:rPr>
                <w:rFonts w:eastAsia="Times New Roman" w:cs="Arial"/>
                <w:sz w:val="22"/>
                <w:lang w:eastAsia="en-AU"/>
              </w:rPr>
              <w:t>Construction of a 300</w:t>
            </w:r>
            <w:r w:rsidR="00E03CE1">
              <w:rPr>
                <w:rFonts w:eastAsia="Times New Roman" w:cs="Arial"/>
                <w:sz w:val="22"/>
                <w:lang w:eastAsia="en-AU"/>
              </w:rPr>
              <w:t xml:space="preserve"> </w:t>
            </w:r>
            <w:r w:rsidRPr="00325074">
              <w:rPr>
                <w:rFonts w:eastAsia="Times New Roman" w:cs="Arial"/>
                <w:sz w:val="22"/>
                <w:lang w:eastAsia="en-AU"/>
              </w:rPr>
              <w:t>mm dia</w:t>
            </w:r>
            <w:r w:rsidR="00F74AB1">
              <w:rPr>
                <w:rFonts w:eastAsia="Times New Roman" w:cs="Arial"/>
                <w:sz w:val="22"/>
                <w:lang w:eastAsia="en-AU"/>
              </w:rPr>
              <w:t>meter</w:t>
            </w:r>
            <w:r w:rsidRPr="00325074">
              <w:rPr>
                <w:rFonts w:eastAsia="Times New Roman" w:cs="Arial"/>
                <w:sz w:val="22"/>
                <w:lang w:eastAsia="en-AU"/>
              </w:rPr>
              <w:t xml:space="preserve"> rising main connecting the new Ballarto Rd East sewer pump station to the existing Clyde Creek sewer pump station </w:t>
            </w:r>
          </w:p>
          <w:p w14:paraId="3D7AC514" w14:textId="145C8FF0" w:rsidR="00001F33" w:rsidRPr="00DD0824" w:rsidRDefault="002A7BD5" w:rsidP="00C96C46">
            <w:pPr>
              <w:spacing w:line="259" w:lineRule="auto"/>
              <w:rPr>
                <w:rFonts w:cstheme="minorHAnsi"/>
                <w:sz w:val="22"/>
              </w:rPr>
            </w:pPr>
            <w:r w:rsidRPr="00325074">
              <w:rPr>
                <w:rFonts w:eastAsia="Times New Roman" w:cs="Arial"/>
                <w:sz w:val="22"/>
                <w:lang w:eastAsia="en-AU"/>
              </w:rPr>
              <w:t>Construction of a 450</w:t>
            </w:r>
            <w:r w:rsidR="00E03CE1">
              <w:rPr>
                <w:rFonts w:eastAsia="Times New Roman" w:cs="Arial"/>
                <w:sz w:val="22"/>
                <w:lang w:eastAsia="en-AU"/>
              </w:rPr>
              <w:t xml:space="preserve"> </w:t>
            </w:r>
            <w:r w:rsidRPr="00325074">
              <w:rPr>
                <w:rFonts w:eastAsia="Times New Roman" w:cs="Arial"/>
                <w:sz w:val="22"/>
                <w:lang w:eastAsia="en-AU"/>
              </w:rPr>
              <w:t>mm dia. Clyde Creek rising main extension along Berwick Cranbourne Road to maintenance hole TTE9.</w:t>
            </w:r>
            <w:r w:rsidR="00A1315F">
              <w:rPr>
                <w:rFonts w:eastAsia="Times New Roman" w:cs="Arial"/>
                <w:szCs w:val="20"/>
                <w:lang w:eastAsia="en-AU"/>
              </w:rPr>
              <w:t xml:space="preserve"> </w:t>
            </w:r>
          </w:p>
        </w:tc>
      </w:tr>
      <w:tr w:rsidR="00001F33" w:rsidRPr="003B1534" w14:paraId="176A97D5" w14:textId="77777777" w:rsidTr="00360131">
        <w:tc>
          <w:tcPr>
            <w:tcW w:w="9214" w:type="dxa"/>
            <w:tcBorders>
              <w:top w:val="single" w:sz="2" w:space="0" w:color="002279"/>
              <w:bottom w:val="single" w:sz="2" w:space="0" w:color="002279"/>
            </w:tcBorders>
          </w:tcPr>
          <w:p w14:paraId="2FD848B8" w14:textId="1424F7EF" w:rsidR="00001F33" w:rsidRPr="00DD0824" w:rsidRDefault="00001F33" w:rsidP="00C96C46">
            <w:pPr>
              <w:rPr>
                <w:rFonts w:cstheme="minorHAnsi"/>
                <w:sz w:val="22"/>
              </w:rPr>
            </w:pPr>
            <w:r>
              <w:rPr>
                <w:rFonts w:cstheme="minorHAnsi"/>
                <w:b/>
                <w:sz w:val="22"/>
              </w:rPr>
              <w:t>Customer o</w:t>
            </w:r>
            <w:r w:rsidRPr="00DD0824">
              <w:rPr>
                <w:rFonts w:cstheme="minorHAnsi"/>
                <w:b/>
                <w:sz w:val="22"/>
              </w:rPr>
              <w:t>utcome:</w:t>
            </w:r>
            <w:r w:rsidRPr="00DD0824">
              <w:rPr>
                <w:rFonts w:cstheme="minorHAnsi"/>
                <w:sz w:val="22"/>
              </w:rPr>
              <w:t xml:space="preserve"> </w:t>
            </w:r>
            <w:r w:rsidRPr="00690B86">
              <w:rPr>
                <w:rFonts w:cstheme="minorHAnsi"/>
                <w:i/>
                <w:sz w:val="22"/>
              </w:rPr>
              <w:t>Get the basics right, always</w:t>
            </w:r>
            <w:r w:rsidR="00AE1AE9">
              <w:rPr>
                <w:rFonts w:cstheme="minorHAnsi"/>
                <w:i/>
                <w:sz w:val="22"/>
              </w:rPr>
              <w:t xml:space="preserve"> </w:t>
            </w:r>
          </w:p>
        </w:tc>
      </w:tr>
      <w:tr w:rsidR="00A63B92" w:rsidRPr="003B1534" w14:paraId="65A1AF7E" w14:textId="77777777" w:rsidTr="00360131">
        <w:tc>
          <w:tcPr>
            <w:tcW w:w="9214" w:type="dxa"/>
            <w:tcBorders>
              <w:top w:val="single" w:sz="2" w:space="0" w:color="002279"/>
              <w:bottom w:val="single" w:sz="2" w:space="0" w:color="002279"/>
            </w:tcBorders>
          </w:tcPr>
          <w:p w14:paraId="5FFC1AEC" w14:textId="424CBFA5" w:rsidR="00A63B92" w:rsidRPr="00A63B92" w:rsidRDefault="00A63B92" w:rsidP="00C96C46">
            <w:pPr>
              <w:spacing w:line="259" w:lineRule="auto"/>
              <w:rPr>
                <w:rFonts w:eastAsia="Times New Roman" w:cs="Arial"/>
                <w:b/>
                <w:bCs/>
                <w:sz w:val="22"/>
                <w:lang w:eastAsia="en-AU"/>
              </w:rPr>
            </w:pPr>
            <w:r w:rsidRPr="00A63B92">
              <w:rPr>
                <w:rFonts w:eastAsia="Times New Roman" w:cs="Arial"/>
                <w:b/>
                <w:bCs/>
                <w:sz w:val="22"/>
                <w:lang w:eastAsia="en-AU"/>
              </w:rPr>
              <w:t>Objective:</w:t>
            </w:r>
            <w:r w:rsidRPr="00A63B92">
              <w:rPr>
                <w:rFonts w:eastAsia="Times New Roman" w:cs="Arial"/>
                <w:sz w:val="22"/>
                <w:lang w:eastAsia="en-AU"/>
              </w:rPr>
              <w:t xml:space="preserve"> The Ballarto Road East Sewer Pump Station is required to provide sewerage services to the majority of the McPherson Precinct within the Clyde sewerage catchment.</w:t>
            </w:r>
            <w:r w:rsidR="00A1315F">
              <w:rPr>
                <w:rFonts w:eastAsia="Times New Roman" w:cs="Arial"/>
                <w:sz w:val="22"/>
                <w:lang w:eastAsia="en-AU"/>
              </w:rPr>
              <w:t xml:space="preserve"> </w:t>
            </w:r>
          </w:p>
        </w:tc>
      </w:tr>
      <w:tr w:rsidR="00D108F6" w:rsidRPr="003B1534" w14:paraId="7068DC48" w14:textId="77777777" w:rsidTr="00360131">
        <w:tc>
          <w:tcPr>
            <w:tcW w:w="9214" w:type="dxa"/>
            <w:tcBorders>
              <w:top w:val="single" w:sz="2" w:space="0" w:color="002279"/>
              <w:bottom w:val="single" w:sz="2" w:space="0" w:color="002279"/>
            </w:tcBorders>
          </w:tcPr>
          <w:p w14:paraId="2350DE32" w14:textId="131EC2E4" w:rsidR="00D108F6" w:rsidRPr="00D108F6" w:rsidRDefault="00D108F6" w:rsidP="00C96C46">
            <w:pPr>
              <w:spacing w:line="259" w:lineRule="auto"/>
              <w:rPr>
                <w:rFonts w:cstheme="minorHAnsi"/>
                <w:b/>
                <w:sz w:val="22"/>
              </w:rPr>
            </w:pPr>
            <w:r w:rsidRPr="00D108F6">
              <w:rPr>
                <w:rFonts w:eastAsia="Times New Roman" w:cs="Arial"/>
                <w:b/>
                <w:bCs/>
                <w:sz w:val="22"/>
                <w:lang w:eastAsia="en-AU"/>
              </w:rPr>
              <w:t>Benefits:</w:t>
            </w:r>
            <w:r w:rsidRPr="00D108F6">
              <w:rPr>
                <w:rFonts w:eastAsia="Times New Roman" w:cs="Arial"/>
                <w:sz w:val="22"/>
                <w:lang w:eastAsia="en-AU"/>
              </w:rPr>
              <w:t xml:space="preserve"> This project will ensure that new development can be connected to safe and reliable sewerage services, protecting human health and the environment. </w:t>
            </w:r>
          </w:p>
        </w:tc>
      </w:tr>
      <w:tr w:rsidR="00211869" w:rsidRPr="003B1534" w14:paraId="7DC2158D" w14:textId="77777777" w:rsidTr="00360131">
        <w:tc>
          <w:tcPr>
            <w:tcW w:w="9214" w:type="dxa"/>
            <w:tcBorders>
              <w:top w:val="single" w:sz="2" w:space="0" w:color="002279"/>
              <w:bottom w:val="single" w:sz="2" w:space="0" w:color="002279"/>
            </w:tcBorders>
          </w:tcPr>
          <w:p w14:paraId="5E5F014F" w14:textId="19A733F4" w:rsidR="00211869" w:rsidRPr="005265C3" w:rsidRDefault="00211869" w:rsidP="00C96C46">
            <w:pPr>
              <w:pStyle w:val="BodyText"/>
              <w:rPr>
                <w:rFonts w:eastAsia="Times New Roman" w:cs="Arial"/>
                <w:b/>
                <w:bCs/>
                <w:sz w:val="22"/>
                <w:lang w:eastAsia="en-AU"/>
              </w:rPr>
            </w:pPr>
            <w:r w:rsidRPr="005265C3">
              <w:rPr>
                <w:rFonts w:eastAsia="Times New Roman" w:cs="Arial"/>
                <w:b/>
                <w:bCs/>
                <w:sz w:val="22"/>
                <w:lang w:eastAsia="en-AU"/>
              </w:rPr>
              <w:t>2018</w:t>
            </w:r>
            <w:r w:rsidR="00F33731">
              <w:rPr>
                <w:rFonts w:eastAsia="Times New Roman" w:cs="Arial"/>
                <w:b/>
                <w:bCs/>
                <w:sz w:val="22"/>
                <w:lang w:eastAsia="en-AU"/>
              </w:rPr>
              <w:t>–</w:t>
            </w:r>
            <w:r w:rsidRPr="005265C3">
              <w:rPr>
                <w:rFonts w:eastAsia="Times New Roman" w:cs="Arial"/>
                <w:b/>
                <w:bCs/>
                <w:sz w:val="22"/>
                <w:lang w:eastAsia="en-AU"/>
              </w:rPr>
              <w:t>2023 estimate $ submitted to ESC</w:t>
            </w:r>
            <w:r w:rsidR="005265C3">
              <w:rPr>
                <w:rFonts w:eastAsia="Times New Roman" w:cs="Arial"/>
                <w:b/>
                <w:bCs/>
                <w:sz w:val="22"/>
                <w:lang w:eastAsia="en-AU"/>
              </w:rPr>
              <w:t xml:space="preserve">: </w:t>
            </w:r>
            <w:r w:rsidRPr="005265C3">
              <w:rPr>
                <w:rFonts w:eastAsia="Times New Roman" w:cs="Arial"/>
                <w:sz w:val="22"/>
                <w:lang w:eastAsia="en-AU"/>
              </w:rPr>
              <w:t>$23.8</w:t>
            </w:r>
            <w:r w:rsidR="009F21F0">
              <w:rPr>
                <w:rFonts w:eastAsia="Times New Roman" w:cs="Arial"/>
                <w:sz w:val="22"/>
                <w:lang w:eastAsia="en-AU"/>
              </w:rPr>
              <w:t>m</w:t>
            </w:r>
            <w:r w:rsidRPr="005265C3">
              <w:rPr>
                <w:rFonts w:eastAsia="Times New Roman" w:cs="Arial"/>
                <w:sz w:val="22"/>
                <w:lang w:eastAsia="en-AU"/>
              </w:rPr>
              <w:t xml:space="preserve"> </w:t>
            </w:r>
            <w:r w:rsidR="00F33731">
              <w:rPr>
                <w:rFonts w:eastAsia="Times New Roman" w:cs="Arial"/>
                <w:sz w:val="22"/>
                <w:lang w:eastAsia="en-AU"/>
              </w:rPr>
              <w:t>–</w:t>
            </w:r>
            <w:r w:rsidRPr="005265C3">
              <w:rPr>
                <w:rFonts w:eastAsia="Times New Roman" w:cs="Arial"/>
                <w:sz w:val="22"/>
                <w:lang w:eastAsia="en-AU"/>
              </w:rPr>
              <w:t xml:space="preserve"> $13.8</w:t>
            </w:r>
            <w:r w:rsidR="009F21F0">
              <w:rPr>
                <w:rFonts w:eastAsia="Times New Roman" w:cs="Arial"/>
                <w:sz w:val="22"/>
                <w:lang w:eastAsia="en-AU"/>
              </w:rPr>
              <w:t>m</w:t>
            </w:r>
            <w:r w:rsidRPr="005265C3">
              <w:rPr>
                <w:rFonts w:eastAsia="Times New Roman" w:cs="Arial"/>
                <w:sz w:val="22"/>
                <w:lang w:eastAsia="en-AU"/>
              </w:rPr>
              <w:t xml:space="preserve"> within 2018</w:t>
            </w:r>
            <w:r w:rsidR="00F33731">
              <w:rPr>
                <w:rFonts w:eastAsia="Times New Roman" w:cs="Arial"/>
                <w:sz w:val="22"/>
                <w:lang w:eastAsia="en-AU"/>
              </w:rPr>
              <w:t>–</w:t>
            </w:r>
            <w:r w:rsidRPr="005265C3">
              <w:rPr>
                <w:rFonts w:eastAsia="Times New Roman" w:cs="Arial"/>
                <w:sz w:val="22"/>
                <w:lang w:eastAsia="en-AU"/>
              </w:rPr>
              <w:t>23 ($26.3</w:t>
            </w:r>
            <w:r w:rsidR="009F21F0">
              <w:rPr>
                <w:rFonts w:eastAsia="Times New Roman" w:cs="Arial"/>
                <w:sz w:val="22"/>
                <w:lang w:eastAsia="en-AU"/>
              </w:rPr>
              <w:t>m</w:t>
            </w:r>
            <w:r w:rsidRPr="005265C3">
              <w:rPr>
                <w:rFonts w:eastAsia="Times New Roman" w:cs="Arial"/>
                <w:sz w:val="22"/>
                <w:lang w:eastAsia="en-AU"/>
              </w:rPr>
              <w:t xml:space="preserve"> P95) </w:t>
            </w:r>
          </w:p>
        </w:tc>
      </w:tr>
      <w:tr w:rsidR="00211869" w:rsidRPr="003B1534" w14:paraId="3A94529A" w14:textId="77777777" w:rsidTr="00360131">
        <w:tc>
          <w:tcPr>
            <w:tcW w:w="9214" w:type="dxa"/>
            <w:tcBorders>
              <w:top w:val="single" w:sz="2" w:space="0" w:color="002279"/>
              <w:bottom w:val="single" w:sz="2" w:space="0" w:color="002279"/>
            </w:tcBorders>
          </w:tcPr>
          <w:p w14:paraId="19C1CAF8" w14:textId="70A650EB" w:rsidR="00211869" w:rsidRPr="005265C3" w:rsidRDefault="00211869" w:rsidP="00C96C46">
            <w:pPr>
              <w:spacing w:after="0"/>
              <w:textAlignment w:val="baseline"/>
              <w:rPr>
                <w:rFonts w:eastAsia="Times New Roman" w:cs="Arial"/>
                <w:b/>
                <w:bCs/>
                <w:sz w:val="22"/>
                <w:lang w:eastAsia="en-AU"/>
              </w:rPr>
            </w:pPr>
            <w:r w:rsidRPr="005265C3">
              <w:rPr>
                <w:rFonts w:eastAsia="Times New Roman" w:cs="Arial"/>
                <w:b/>
                <w:bCs/>
                <w:sz w:val="22"/>
                <w:lang w:eastAsia="en-AU"/>
              </w:rPr>
              <w:t>What estimate was based on</w:t>
            </w:r>
            <w:r w:rsidR="005265C3">
              <w:rPr>
                <w:rFonts w:eastAsia="Times New Roman" w:cs="Arial"/>
                <w:b/>
                <w:bCs/>
                <w:sz w:val="22"/>
                <w:lang w:eastAsia="en-AU"/>
              </w:rPr>
              <w:t xml:space="preserve">: </w:t>
            </w:r>
            <w:r w:rsidRPr="005265C3">
              <w:rPr>
                <w:rFonts w:eastAsia="Times New Roman" w:cs="Arial"/>
                <w:sz w:val="22"/>
                <w:lang w:eastAsia="en-AU"/>
              </w:rPr>
              <w:t>Business Case approved in May 2017, expressed in Real $s as of 1 January 2018, with $23.8</w:t>
            </w:r>
            <w:r w:rsidR="009F21F0">
              <w:rPr>
                <w:rFonts w:eastAsia="Times New Roman" w:cs="Arial"/>
                <w:sz w:val="22"/>
                <w:lang w:eastAsia="en-AU"/>
              </w:rPr>
              <w:t>m</w:t>
            </w:r>
            <w:r w:rsidRPr="005265C3">
              <w:rPr>
                <w:rFonts w:eastAsia="Times New Roman" w:cs="Arial"/>
                <w:sz w:val="22"/>
                <w:lang w:eastAsia="en-AU"/>
              </w:rPr>
              <w:t xml:space="preserve"> expected to be incurred within the 2018</w:t>
            </w:r>
            <w:r w:rsidR="00F33731">
              <w:rPr>
                <w:rFonts w:eastAsia="Times New Roman" w:cs="Arial"/>
                <w:sz w:val="22"/>
                <w:lang w:eastAsia="en-AU"/>
              </w:rPr>
              <w:t>–</w:t>
            </w:r>
            <w:r w:rsidRPr="005265C3">
              <w:rPr>
                <w:rFonts w:eastAsia="Times New Roman" w:cs="Arial"/>
                <w:sz w:val="22"/>
                <w:lang w:eastAsia="en-AU"/>
              </w:rPr>
              <w:t xml:space="preserve">23 price period </w:t>
            </w:r>
          </w:p>
        </w:tc>
      </w:tr>
      <w:tr w:rsidR="00211869" w:rsidRPr="003B1534" w14:paraId="78F450BB" w14:textId="77777777" w:rsidTr="00360131">
        <w:tc>
          <w:tcPr>
            <w:tcW w:w="9214" w:type="dxa"/>
            <w:tcBorders>
              <w:top w:val="single" w:sz="2" w:space="0" w:color="002279"/>
              <w:bottom w:val="single" w:sz="2" w:space="0" w:color="002279"/>
            </w:tcBorders>
          </w:tcPr>
          <w:p w14:paraId="6731B4DC" w14:textId="0783409A" w:rsidR="00211869" w:rsidRPr="005265C3" w:rsidRDefault="00211869" w:rsidP="00C96C46">
            <w:pPr>
              <w:pStyle w:val="BodyText"/>
              <w:rPr>
                <w:rFonts w:eastAsia="Times New Roman" w:cs="Arial"/>
                <w:b/>
                <w:bCs/>
                <w:sz w:val="22"/>
                <w:lang w:eastAsia="en-AU"/>
              </w:rPr>
            </w:pPr>
            <w:r w:rsidRPr="005265C3">
              <w:rPr>
                <w:rFonts w:eastAsia="Times New Roman" w:cs="Arial"/>
                <w:b/>
                <w:bCs/>
                <w:sz w:val="22"/>
                <w:lang w:eastAsia="en-AU"/>
              </w:rPr>
              <w:t>Estimate confidence</w:t>
            </w:r>
            <w:r w:rsidR="005265C3">
              <w:rPr>
                <w:rFonts w:eastAsia="Times New Roman" w:cs="Arial"/>
                <w:b/>
                <w:bCs/>
                <w:sz w:val="22"/>
                <w:lang w:eastAsia="en-AU"/>
              </w:rPr>
              <w:t xml:space="preserve">: </w:t>
            </w:r>
            <w:r w:rsidRPr="005265C3">
              <w:rPr>
                <w:rFonts w:eastAsia="Times New Roman" w:cs="Arial"/>
                <w:sz w:val="22"/>
                <w:lang w:eastAsia="en-AU"/>
              </w:rPr>
              <w:t>P50 </w:t>
            </w:r>
          </w:p>
        </w:tc>
      </w:tr>
      <w:tr w:rsidR="00211869" w:rsidRPr="003B1534" w14:paraId="17C5A2C5" w14:textId="77777777" w:rsidTr="00360131">
        <w:tc>
          <w:tcPr>
            <w:tcW w:w="9214" w:type="dxa"/>
            <w:tcBorders>
              <w:top w:val="single" w:sz="2" w:space="0" w:color="002279"/>
              <w:bottom w:val="single" w:sz="2" w:space="0" w:color="002279"/>
            </w:tcBorders>
          </w:tcPr>
          <w:p w14:paraId="4FCA1CF4" w14:textId="2334E992" w:rsidR="00211869" w:rsidRPr="005265C3" w:rsidRDefault="0032024D" w:rsidP="00C96C46">
            <w:pPr>
              <w:pStyle w:val="BodyText"/>
              <w:rPr>
                <w:rFonts w:eastAsia="Times New Roman" w:cs="Arial"/>
                <w:b/>
                <w:bCs/>
                <w:sz w:val="22"/>
                <w:lang w:eastAsia="en-AU"/>
              </w:rPr>
            </w:pPr>
            <w:r w:rsidRPr="005265C3">
              <w:rPr>
                <w:rFonts w:eastAsia="Times New Roman" w:cs="Arial"/>
                <w:b/>
                <w:bCs/>
                <w:sz w:val="22"/>
                <w:lang w:eastAsia="en-AU"/>
              </w:rPr>
              <w:t>2018</w:t>
            </w:r>
            <w:r w:rsidR="00F33731">
              <w:rPr>
                <w:rFonts w:eastAsia="Times New Roman" w:cs="Arial"/>
                <w:b/>
                <w:bCs/>
                <w:sz w:val="22"/>
                <w:lang w:eastAsia="en-AU"/>
              </w:rPr>
              <w:t>–</w:t>
            </w:r>
            <w:r w:rsidRPr="005265C3">
              <w:rPr>
                <w:rFonts w:eastAsia="Times New Roman" w:cs="Arial"/>
                <w:b/>
                <w:bCs/>
                <w:sz w:val="22"/>
                <w:lang w:eastAsia="en-AU"/>
              </w:rPr>
              <w:t xml:space="preserve">2023 ESC </w:t>
            </w:r>
            <w:r w:rsidR="00C83E8A">
              <w:rPr>
                <w:rFonts w:eastAsia="Times New Roman" w:cs="Arial"/>
                <w:b/>
                <w:bCs/>
                <w:sz w:val="22"/>
                <w:lang w:eastAsia="en-AU"/>
              </w:rPr>
              <w:t>D</w:t>
            </w:r>
            <w:r w:rsidRPr="005265C3">
              <w:rPr>
                <w:rFonts w:eastAsia="Times New Roman" w:cs="Arial"/>
                <w:b/>
                <w:bCs/>
                <w:sz w:val="22"/>
                <w:lang w:eastAsia="en-AU"/>
              </w:rPr>
              <w:t>etermination $</w:t>
            </w:r>
            <w:r w:rsidR="005265C3">
              <w:rPr>
                <w:rFonts w:eastAsia="Times New Roman" w:cs="Arial"/>
                <w:b/>
                <w:bCs/>
                <w:sz w:val="22"/>
                <w:lang w:eastAsia="en-AU"/>
              </w:rPr>
              <w:t xml:space="preserve">: </w:t>
            </w:r>
            <w:r w:rsidRPr="005265C3">
              <w:rPr>
                <w:rFonts w:eastAsia="Times New Roman" w:cs="Arial"/>
                <w:sz w:val="22"/>
                <w:lang w:eastAsia="en-AU"/>
              </w:rPr>
              <w:t>$13.8</w:t>
            </w:r>
            <w:r w:rsidR="009F21F0">
              <w:rPr>
                <w:rFonts w:eastAsia="Times New Roman" w:cs="Arial"/>
                <w:sz w:val="22"/>
                <w:lang w:eastAsia="en-AU"/>
              </w:rPr>
              <w:t>m</w:t>
            </w:r>
            <w:r w:rsidRPr="005265C3">
              <w:rPr>
                <w:rFonts w:eastAsia="Times New Roman" w:cs="Arial"/>
                <w:sz w:val="22"/>
                <w:lang w:eastAsia="en-AU"/>
              </w:rPr>
              <w:t xml:space="preserve"> within</w:t>
            </w:r>
            <w:r w:rsidR="00224EC8">
              <w:rPr>
                <w:rFonts w:eastAsia="Times New Roman" w:cs="Arial"/>
                <w:sz w:val="22"/>
                <w:lang w:eastAsia="en-AU"/>
              </w:rPr>
              <w:t xml:space="preserve"> </w:t>
            </w:r>
            <w:r w:rsidR="00D976B9" w:rsidRPr="00D976B9">
              <w:rPr>
                <w:rFonts w:eastAsia="Times New Roman" w:cstheme="minorHAnsi"/>
                <w:sz w:val="22"/>
                <w:lang w:eastAsia="en-AU"/>
              </w:rPr>
              <w:t>2018–23</w:t>
            </w:r>
            <w:r w:rsidRPr="005265C3">
              <w:rPr>
                <w:rFonts w:eastAsia="Times New Roman" w:cs="Arial"/>
                <w:sz w:val="22"/>
                <w:lang w:eastAsia="en-AU"/>
              </w:rPr>
              <w:t>, $10</w:t>
            </w:r>
            <w:r w:rsidR="009F21F0">
              <w:rPr>
                <w:rFonts w:eastAsia="Times New Roman" w:cs="Arial"/>
                <w:sz w:val="22"/>
                <w:lang w:eastAsia="en-AU"/>
              </w:rPr>
              <w:t>m</w:t>
            </w:r>
            <w:r w:rsidRPr="005265C3">
              <w:rPr>
                <w:rFonts w:eastAsia="Times New Roman" w:cs="Arial"/>
                <w:sz w:val="22"/>
                <w:lang w:eastAsia="en-AU"/>
              </w:rPr>
              <w:t xml:space="preserve"> within </w:t>
            </w:r>
            <w:r w:rsidR="00D976B9" w:rsidRPr="00D976B9">
              <w:rPr>
                <w:rFonts w:eastAsia="Times New Roman" w:cstheme="minorHAnsi"/>
                <w:sz w:val="22"/>
                <w:lang w:eastAsia="en-AU"/>
              </w:rPr>
              <w:t>201</w:t>
            </w:r>
            <w:r w:rsidR="00D976B9">
              <w:rPr>
                <w:rFonts w:eastAsia="Times New Roman" w:cstheme="minorHAnsi"/>
                <w:sz w:val="22"/>
                <w:lang w:eastAsia="en-AU"/>
              </w:rPr>
              <w:t>3</w:t>
            </w:r>
            <w:r w:rsidR="00D976B9" w:rsidRPr="00D976B9">
              <w:rPr>
                <w:rFonts w:eastAsia="Times New Roman" w:cstheme="minorHAnsi"/>
                <w:sz w:val="22"/>
                <w:lang w:eastAsia="en-AU"/>
              </w:rPr>
              <w:t>–</w:t>
            </w:r>
            <w:r w:rsidR="00D976B9">
              <w:rPr>
                <w:rFonts w:eastAsia="Times New Roman" w:cstheme="minorHAnsi"/>
                <w:sz w:val="22"/>
                <w:lang w:eastAsia="en-AU"/>
              </w:rPr>
              <w:t>18</w:t>
            </w:r>
          </w:p>
        </w:tc>
      </w:tr>
      <w:tr w:rsidR="0032024D" w:rsidRPr="003B1534" w14:paraId="6C5AE7E4" w14:textId="77777777" w:rsidTr="00360131">
        <w:tc>
          <w:tcPr>
            <w:tcW w:w="9214" w:type="dxa"/>
            <w:tcBorders>
              <w:top w:val="single" w:sz="2" w:space="0" w:color="002279"/>
              <w:bottom w:val="single" w:sz="2" w:space="0" w:color="002279"/>
            </w:tcBorders>
          </w:tcPr>
          <w:p w14:paraId="1795E410" w14:textId="46A71631" w:rsidR="0032024D" w:rsidRPr="005265C3" w:rsidRDefault="0032024D" w:rsidP="00C96C46">
            <w:pPr>
              <w:pStyle w:val="BodyText"/>
              <w:rPr>
                <w:rFonts w:eastAsia="Times New Roman" w:cs="Arial"/>
                <w:b/>
                <w:bCs/>
                <w:sz w:val="22"/>
                <w:lang w:eastAsia="en-AU"/>
              </w:rPr>
            </w:pPr>
            <w:r w:rsidRPr="005265C3">
              <w:rPr>
                <w:rFonts w:eastAsia="Times New Roman" w:cs="Arial"/>
                <w:b/>
                <w:bCs/>
                <w:sz w:val="22"/>
                <w:lang w:eastAsia="en-AU"/>
              </w:rPr>
              <w:t>Business case $</w:t>
            </w:r>
            <w:r w:rsidR="005265C3">
              <w:rPr>
                <w:rFonts w:eastAsia="Times New Roman" w:cs="Arial"/>
                <w:b/>
                <w:bCs/>
                <w:sz w:val="22"/>
                <w:lang w:eastAsia="en-AU"/>
              </w:rPr>
              <w:t xml:space="preserve">: </w:t>
            </w:r>
            <w:r w:rsidRPr="005265C3">
              <w:rPr>
                <w:rFonts w:eastAsia="Times New Roman" w:cs="Arial"/>
                <w:sz w:val="22"/>
                <w:lang w:eastAsia="en-AU"/>
              </w:rPr>
              <w:t>$26.3</w:t>
            </w:r>
            <w:r w:rsidR="009F21F0">
              <w:rPr>
                <w:rFonts w:eastAsia="Times New Roman" w:cs="Arial"/>
                <w:sz w:val="22"/>
                <w:lang w:eastAsia="en-AU"/>
              </w:rPr>
              <w:t>m</w:t>
            </w:r>
            <w:r w:rsidRPr="005265C3">
              <w:rPr>
                <w:rFonts w:eastAsia="Times New Roman" w:cs="Arial"/>
                <w:sz w:val="22"/>
                <w:lang w:eastAsia="en-AU"/>
              </w:rPr>
              <w:t xml:space="preserve"> </w:t>
            </w:r>
            <w:r w:rsidR="00F33731">
              <w:rPr>
                <w:rFonts w:eastAsia="Times New Roman" w:cs="Arial"/>
                <w:sz w:val="22"/>
                <w:lang w:eastAsia="en-AU"/>
              </w:rPr>
              <w:t>–</w:t>
            </w:r>
            <w:r w:rsidRPr="005265C3">
              <w:rPr>
                <w:rFonts w:eastAsia="Times New Roman" w:cs="Arial"/>
                <w:sz w:val="22"/>
                <w:lang w:eastAsia="en-AU"/>
              </w:rPr>
              <w:t xml:space="preserve"> P95, </w:t>
            </w:r>
            <w:r w:rsidR="00E42753">
              <w:rPr>
                <w:rFonts w:eastAsia="Times New Roman" w:cs="Arial"/>
                <w:sz w:val="22"/>
                <w:lang w:eastAsia="en-AU"/>
              </w:rPr>
              <w:t>board</w:t>
            </w:r>
            <w:r w:rsidRPr="005265C3">
              <w:rPr>
                <w:rFonts w:eastAsia="Times New Roman" w:cs="Arial"/>
                <w:sz w:val="22"/>
                <w:lang w:eastAsia="en-AU"/>
              </w:rPr>
              <w:t xml:space="preserve"> Approved May 2017</w:t>
            </w:r>
            <w:r w:rsidR="00A1315F">
              <w:rPr>
                <w:rFonts w:eastAsia="Times New Roman" w:cs="Arial"/>
                <w:sz w:val="22"/>
                <w:lang w:eastAsia="en-AU"/>
              </w:rPr>
              <w:t xml:space="preserve"> </w:t>
            </w:r>
          </w:p>
        </w:tc>
      </w:tr>
      <w:tr w:rsidR="0032024D" w:rsidRPr="003B1534" w14:paraId="02D0B600" w14:textId="77777777" w:rsidTr="00360131">
        <w:tc>
          <w:tcPr>
            <w:tcW w:w="9214" w:type="dxa"/>
            <w:tcBorders>
              <w:top w:val="single" w:sz="2" w:space="0" w:color="002279"/>
              <w:bottom w:val="single" w:sz="2" w:space="0" w:color="002279"/>
            </w:tcBorders>
          </w:tcPr>
          <w:p w14:paraId="767F0ADD" w14:textId="632EDC79" w:rsidR="0032024D" w:rsidRPr="005265C3" w:rsidRDefault="0032024D" w:rsidP="00C96C46">
            <w:pPr>
              <w:pStyle w:val="BodyText"/>
              <w:rPr>
                <w:rFonts w:eastAsia="Times New Roman" w:cs="Arial"/>
                <w:b/>
                <w:bCs/>
                <w:sz w:val="22"/>
                <w:lang w:eastAsia="en-AU"/>
              </w:rPr>
            </w:pPr>
            <w:r w:rsidRPr="005265C3">
              <w:rPr>
                <w:rFonts w:eastAsia="Times New Roman" w:cs="Arial"/>
                <w:b/>
                <w:bCs/>
                <w:sz w:val="22"/>
                <w:lang w:eastAsia="en-AU"/>
              </w:rPr>
              <w:t>Reason for change</w:t>
            </w:r>
            <w:r w:rsidR="00E27178">
              <w:rPr>
                <w:rFonts w:eastAsia="Times New Roman" w:cs="Arial"/>
                <w:b/>
                <w:bCs/>
                <w:sz w:val="22"/>
                <w:lang w:eastAsia="en-AU"/>
              </w:rPr>
              <w:t>/</w:t>
            </w:r>
            <w:r w:rsidRPr="005265C3">
              <w:rPr>
                <w:rFonts w:eastAsia="Times New Roman" w:cs="Arial"/>
                <w:b/>
                <w:bCs/>
                <w:sz w:val="22"/>
                <w:lang w:eastAsia="en-AU"/>
              </w:rPr>
              <w:t>difference between 2018</w:t>
            </w:r>
            <w:r w:rsidR="00FE7457">
              <w:rPr>
                <w:rFonts w:eastAsia="Times New Roman" w:cs="Arial"/>
                <w:b/>
                <w:bCs/>
                <w:sz w:val="22"/>
                <w:lang w:eastAsia="en-AU"/>
              </w:rPr>
              <w:t xml:space="preserve"> and </w:t>
            </w:r>
            <w:r w:rsidRPr="005265C3">
              <w:rPr>
                <w:rFonts w:eastAsia="Times New Roman" w:cs="Arial"/>
                <w:b/>
                <w:bCs/>
                <w:sz w:val="22"/>
                <w:lang w:eastAsia="en-AU"/>
              </w:rPr>
              <w:t xml:space="preserve">2023 ESC </w:t>
            </w:r>
            <w:r w:rsidR="00C83E8A">
              <w:rPr>
                <w:rFonts w:eastAsia="Times New Roman" w:cs="Arial"/>
                <w:b/>
                <w:bCs/>
                <w:sz w:val="22"/>
                <w:lang w:eastAsia="en-AU"/>
              </w:rPr>
              <w:t>D</w:t>
            </w:r>
            <w:r w:rsidRPr="005265C3">
              <w:rPr>
                <w:rFonts w:eastAsia="Times New Roman" w:cs="Arial"/>
                <w:b/>
                <w:bCs/>
                <w:sz w:val="22"/>
                <w:lang w:eastAsia="en-AU"/>
              </w:rPr>
              <w:t>etermination $ and business case $</w:t>
            </w:r>
            <w:r w:rsidR="005265C3">
              <w:rPr>
                <w:rFonts w:eastAsia="Times New Roman" w:cs="Arial"/>
                <w:b/>
                <w:bCs/>
                <w:sz w:val="22"/>
                <w:lang w:eastAsia="en-AU"/>
              </w:rPr>
              <w:t xml:space="preserve">: </w:t>
            </w:r>
            <w:r w:rsidRPr="005265C3">
              <w:rPr>
                <w:rFonts w:eastAsia="Times New Roman" w:cs="Arial"/>
                <w:sz w:val="22"/>
                <w:lang w:eastAsia="en-AU"/>
              </w:rPr>
              <w:t>No change </w:t>
            </w:r>
          </w:p>
        </w:tc>
      </w:tr>
      <w:tr w:rsidR="0032024D" w:rsidRPr="003B1534" w14:paraId="699BEF32" w14:textId="77777777" w:rsidTr="00360131">
        <w:tc>
          <w:tcPr>
            <w:tcW w:w="9214" w:type="dxa"/>
            <w:tcBorders>
              <w:top w:val="single" w:sz="2" w:space="0" w:color="002279"/>
              <w:bottom w:val="single" w:sz="2" w:space="0" w:color="002279"/>
            </w:tcBorders>
          </w:tcPr>
          <w:p w14:paraId="5B67B70D" w14:textId="2E29C926" w:rsidR="00497864" w:rsidRDefault="0032024D" w:rsidP="00C96C46">
            <w:pPr>
              <w:spacing w:after="0"/>
              <w:textAlignment w:val="baseline"/>
              <w:rPr>
                <w:rFonts w:eastAsia="Times New Roman" w:cs="Arial"/>
                <w:b/>
                <w:bCs/>
                <w:sz w:val="22"/>
                <w:lang w:eastAsia="en-AU"/>
              </w:rPr>
            </w:pPr>
            <w:r w:rsidRPr="005265C3">
              <w:rPr>
                <w:rFonts w:eastAsia="Times New Roman" w:cs="Arial"/>
                <w:b/>
                <w:bCs/>
                <w:sz w:val="22"/>
                <w:lang w:eastAsia="en-AU"/>
              </w:rPr>
              <w:t>Actuals</w:t>
            </w:r>
            <w:r w:rsidR="00E27178">
              <w:rPr>
                <w:rFonts w:eastAsia="Times New Roman" w:cs="Arial"/>
                <w:b/>
                <w:bCs/>
                <w:sz w:val="22"/>
                <w:lang w:eastAsia="en-AU"/>
              </w:rPr>
              <w:t>/</w:t>
            </w:r>
            <w:r w:rsidRPr="005265C3">
              <w:rPr>
                <w:rFonts w:eastAsia="Times New Roman" w:cs="Arial"/>
                <w:b/>
                <w:bCs/>
                <w:sz w:val="22"/>
                <w:lang w:eastAsia="en-AU"/>
              </w:rPr>
              <w:t>Forecast $ (30 June 2023)</w:t>
            </w:r>
            <w:r w:rsidRPr="005265C3">
              <w:rPr>
                <w:rFonts w:eastAsia="Times New Roman" w:cs="Arial"/>
                <w:sz w:val="22"/>
                <w:lang w:eastAsia="en-AU"/>
              </w:rPr>
              <w:t> </w:t>
            </w:r>
            <w:r w:rsidRPr="005265C3">
              <w:rPr>
                <w:rFonts w:eastAsia="Times New Roman" w:cs="Arial"/>
                <w:b/>
                <w:bCs/>
                <w:sz w:val="22"/>
                <w:lang w:eastAsia="en-AU"/>
              </w:rPr>
              <w:t>expenditure within 2018</w:t>
            </w:r>
            <w:r w:rsidR="00F33731">
              <w:rPr>
                <w:rFonts w:eastAsia="Times New Roman" w:cs="Arial"/>
                <w:b/>
                <w:bCs/>
                <w:sz w:val="22"/>
                <w:lang w:eastAsia="en-AU"/>
              </w:rPr>
              <w:t>–</w:t>
            </w:r>
            <w:r w:rsidRPr="005265C3">
              <w:rPr>
                <w:rFonts w:eastAsia="Times New Roman" w:cs="Arial"/>
                <w:b/>
                <w:bCs/>
                <w:sz w:val="22"/>
                <w:lang w:eastAsia="en-AU"/>
              </w:rPr>
              <w:t>23</w:t>
            </w:r>
            <w:r w:rsidR="005265C3">
              <w:rPr>
                <w:rFonts w:eastAsia="Times New Roman" w:cs="Arial"/>
                <w:b/>
                <w:bCs/>
                <w:sz w:val="22"/>
                <w:lang w:eastAsia="en-AU"/>
              </w:rPr>
              <w:t xml:space="preserve">: </w:t>
            </w:r>
          </w:p>
          <w:p w14:paraId="5593D8D1" w14:textId="052E6AA4" w:rsidR="0032024D" w:rsidRPr="005265C3" w:rsidRDefault="0032024D" w:rsidP="00C96C46">
            <w:pPr>
              <w:spacing w:after="0"/>
              <w:textAlignment w:val="baseline"/>
              <w:rPr>
                <w:rFonts w:ascii="Times New Roman" w:eastAsia="Times New Roman" w:hAnsi="Times New Roman" w:cs="Times New Roman"/>
                <w:sz w:val="22"/>
                <w:lang w:eastAsia="en-AU"/>
              </w:rPr>
            </w:pPr>
            <w:r w:rsidRPr="005265C3">
              <w:rPr>
                <w:rFonts w:eastAsia="Times New Roman" w:cs="Arial"/>
                <w:sz w:val="22"/>
                <w:lang w:eastAsia="en-AU"/>
              </w:rPr>
              <w:t xml:space="preserve">Pound Road South (McPherson) </w:t>
            </w:r>
            <w:r w:rsidR="00F33731">
              <w:rPr>
                <w:rFonts w:eastAsia="Times New Roman" w:cs="Arial"/>
                <w:sz w:val="22"/>
                <w:lang w:eastAsia="en-AU"/>
              </w:rPr>
              <w:t>–</w:t>
            </w:r>
            <w:r w:rsidRPr="005265C3">
              <w:rPr>
                <w:rFonts w:eastAsia="Times New Roman" w:cs="Arial"/>
                <w:sz w:val="22"/>
                <w:lang w:eastAsia="en-AU"/>
              </w:rPr>
              <w:t xml:space="preserve"> $14.2</w:t>
            </w:r>
            <w:r w:rsidR="009F21F0">
              <w:rPr>
                <w:rFonts w:eastAsia="Times New Roman" w:cs="Arial"/>
                <w:sz w:val="22"/>
                <w:lang w:eastAsia="en-AU"/>
              </w:rPr>
              <w:t>m</w:t>
            </w:r>
            <w:r w:rsidRPr="005265C3">
              <w:rPr>
                <w:rFonts w:eastAsia="Times New Roman" w:cs="Arial"/>
                <w:sz w:val="22"/>
                <w:lang w:eastAsia="en-AU"/>
              </w:rPr>
              <w:t xml:space="preserve"> (plus $2.2</w:t>
            </w:r>
            <w:r w:rsidR="009F21F0">
              <w:rPr>
                <w:rFonts w:eastAsia="Times New Roman" w:cs="Arial"/>
                <w:sz w:val="22"/>
                <w:lang w:eastAsia="en-AU"/>
              </w:rPr>
              <w:t>m</w:t>
            </w:r>
            <w:r w:rsidRPr="005265C3">
              <w:rPr>
                <w:rFonts w:eastAsia="Times New Roman" w:cs="Arial"/>
                <w:sz w:val="22"/>
                <w:lang w:eastAsia="en-AU"/>
              </w:rPr>
              <w:t xml:space="preserve"> completed in 2023</w:t>
            </w:r>
            <w:r w:rsidR="00F33731">
              <w:rPr>
                <w:rFonts w:eastAsia="Times New Roman" w:cs="Arial"/>
                <w:sz w:val="22"/>
                <w:lang w:eastAsia="en-AU"/>
              </w:rPr>
              <w:t>–</w:t>
            </w:r>
            <w:r w:rsidRPr="005265C3">
              <w:rPr>
                <w:rFonts w:eastAsia="Times New Roman" w:cs="Arial"/>
                <w:sz w:val="22"/>
                <w:lang w:eastAsia="en-AU"/>
              </w:rPr>
              <w:t>28) </w:t>
            </w:r>
            <w:r w:rsidRPr="005265C3">
              <w:rPr>
                <w:rFonts w:eastAsia="Times New Roman" w:cs="Arial"/>
                <w:sz w:val="22"/>
                <w:lang w:eastAsia="en-AU"/>
              </w:rPr>
              <w:br/>
              <w:t>including gravity sewers, pump station and rising main to Clyde Creek PS </w:t>
            </w:r>
          </w:p>
          <w:p w14:paraId="23F1BC58" w14:textId="6E18B5C3" w:rsidR="0032024D" w:rsidRPr="005265C3" w:rsidRDefault="0032024D" w:rsidP="00C96C46">
            <w:pPr>
              <w:spacing w:after="0"/>
              <w:textAlignment w:val="baseline"/>
              <w:rPr>
                <w:rFonts w:ascii="Times New Roman" w:eastAsia="Times New Roman" w:hAnsi="Times New Roman" w:cs="Times New Roman"/>
                <w:sz w:val="22"/>
                <w:lang w:eastAsia="en-AU"/>
              </w:rPr>
            </w:pPr>
            <w:r w:rsidRPr="005265C3">
              <w:rPr>
                <w:rFonts w:eastAsia="Times New Roman" w:cs="Arial"/>
                <w:sz w:val="22"/>
                <w:lang w:eastAsia="en-AU"/>
              </w:rPr>
              <w:t xml:space="preserve">Land Acquisition and other costs </w:t>
            </w:r>
            <w:r w:rsidR="00F33731">
              <w:rPr>
                <w:rFonts w:eastAsia="Times New Roman" w:cs="Arial"/>
                <w:sz w:val="22"/>
                <w:lang w:eastAsia="en-AU"/>
              </w:rPr>
              <w:t>–</w:t>
            </w:r>
            <w:r w:rsidRPr="005265C3">
              <w:rPr>
                <w:rFonts w:eastAsia="Times New Roman" w:cs="Arial"/>
                <w:sz w:val="22"/>
                <w:lang w:eastAsia="en-AU"/>
              </w:rPr>
              <w:t xml:space="preserve"> $1.4</w:t>
            </w:r>
            <w:r w:rsidR="009F21F0">
              <w:rPr>
                <w:rFonts w:eastAsia="Times New Roman" w:cs="Arial"/>
                <w:sz w:val="22"/>
                <w:lang w:eastAsia="en-AU"/>
              </w:rPr>
              <w:t>m</w:t>
            </w:r>
            <w:r w:rsidRPr="005265C3">
              <w:rPr>
                <w:rFonts w:eastAsia="Times New Roman" w:cs="Arial"/>
                <w:sz w:val="22"/>
                <w:lang w:eastAsia="en-AU"/>
              </w:rPr>
              <w:t> </w:t>
            </w:r>
          </w:p>
          <w:p w14:paraId="0BD33D76" w14:textId="3710BB18" w:rsidR="0032024D" w:rsidRPr="005265C3" w:rsidRDefault="0032024D" w:rsidP="00C96C46">
            <w:pPr>
              <w:spacing w:after="0"/>
              <w:textAlignment w:val="baseline"/>
              <w:rPr>
                <w:rFonts w:ascii="Times New Roman" w:eastAsia="Times New Roman" w:hAnsi="Times New Roman" w:cs="Times New Roman"/>
                <w:sz w:val="22"/>
                <w:lang w:eastAsia="en-AU"/>
              </w:rPr>
            </w:pPr>
            <w:r w:rsidRPr="005265C3">
              <w:rPr>
                <w:rFonts w:eastAsia="Times New Roman" w:cs="Arial"/>
                <w:sz w:val="22"/>
                <w:lang w:eastAsia="en-AU"/>
              </w:rPr>
              <w:t xml:space="preserve">Clyde Creek Stage 2 rising main </w:t>
            </w:r>
            <w:r w:rsidR="00F33731">
              <w:rPr>
                <w:rFonts w:eastAsia="Times New Roman" w:cs="Arial"/>
                <w:sz w:val="22"/>
                <w:lang w:eastAsia="en-AU"/>
              </w:rPr>
              <w:t>–</w:t>
            </w:r>
            <w:r w:rsidRPr="005265C3">
              <w:rPr>
                <w:rFonts w:eastAsia="Times New Roman" w:cs="Arial"/>
                <w:sz w:val="22"/>
                <w:lang w:eastAsia="en-AU"/>
              </w:rPr>
              <w:t xml:space="preserve"> $0.7</w:t>
            </w:r>
            <w:r w:rsidR="009F21F0">
              <w:rPr>
                <w:rFonts w:eastAsia="Times New Roman" w:cs="Arial"/>
                <w:sz w:val="22"/>
                <w:lang w:eastAsia="en-AU"/>
              </w:rPr>
              <w:t>m</w:t>
            </w:r>
            <w:r w:rsidRPr="005265C3">
              <w:rPr>
                <w:rFonts w:eastAsia="Times New Roman" w:cs="Arial"/>
                <w:sz w:val="22"/>
                <w:lang w:eastAsia="en-AU"/>
              </w:rPr>
              <w:t xml:space="preserve"> (plus $3.3</w:t>
            </w:r>
            <w:r w:rsidR="009F21F0">
              <w:rPr>
                <w:rFonts w:eastAsia="Times New Roman" w:cs="Arial"/>
                <w:sz w:val="22"/>
                <w:lang w:eastAsia="en-AU"/>
              </w:rPr>
              <w:t>m</w:t>
            </w:r>
            <w:r w:rsidRPr="005265C3">
              <w:rPr>
                <w:rFonts w:eastAsia="Times New Roman" w:cs="Arial"/>
                <w:sz w:val="22"/>
                <w:lang w:eastAsia="en-AU"/>
              </w:rPr>
              <w:t xml:space="preserve"> completed in 2013</w:t>
            </w:r>
            <w:r w:rsidR="00F33731">
              <w:rPr>
                <w:rFonts w:eastAsia="Times New Roman" w:cs="Arial"/>
                <w:sz w:val="22"/>
                <w:lang w:eastAsia="en-AU"/>
              </w:rPr>
              <w:t>–</w:t>
            </w:r>
            <w:r w:rsidRPr="005265C3">
              <w:rPr>
                <w:rFonts w:eastAsia="Times New Roman" w:cs="Arial"/>
                <w:sz w:val="22"/>
                <w:lang w:eastAsia="en-AU"/>
              </w:rPr>
              <w:t>18) </w:t>
            </w:r>
          </w:p>
          <w:p w14:paraId="1BE2DF44" w14:textId="51428B1E" w:rsidR="0032024D" w:rsidRPr="005265C3" w:rsidRDefault="0032024D" w:rsidP="00C96C46">
            <w:pPr>
              <w:pStyle w:val="BodyText"/>
              <w:rPr>
                <w:rFonts w:eastAsia="Times New Roman" w:cs="Arial"/>
                <w:b/>
                <w:bCs/>
                <w:sz w:val="22"/>
                <w:lang w:eastAsia="en-AU"/>
              </w:rPr>
            </w:pPr>
            <w:r w:rsidRPr="005265C3">
              <w:rPr>
                <w:rFonts w:eastAsia="Times New Roman" w:cs="Arial"/>
                <w:sz w:val="22"/>
                <w:lang w:eastAsia="en-AU"/>
              </w:rPr>
              <w:t>2018</w:t>
            </w:r>
            <w:r w:rsidR="00F33731">
              <w:rPr>
                <w:rFonts w:eastAsia="Times New Roman" w:cs="Arial"/>
                <w:sz w:val="22"/>
                <w:lang w:eastAsia="en-AU"/>
              </w:rPr>
              <w:t>–</w:t>
            </w:r>
            <w:r w:rsidRPr="005265C3">
              <w:rPr>
                <w:rFonts w:eastAsia="Times New Roman" w:cs="Arial"/>
                <w:sz w:val="22"/>
                <w:lang w:eastAsia="en-AU"/>
              </w:rPr>
              <w:t xml:space="preserve">23 total </w:t>
            </w:r>
            <w:r w:rsidR="00F33731">
              <w:rPr>
                <w:rFonts w:eastAsia="Times New Roman" w:cs="Arial"/>
                <w:sz w:val="22"/>
                <w:lang w:eastAsia="en-AU"/>
              </w:rPr>
              <w:t>–</w:t>
            </w:r>
            <w:r w:rsidRPr="005265C3">
              <w:rPr>
                <w:rFonts w:eastAsia="Times New Roman" w:cs="Arial"/>
                <w:sz w:val="22"/>
                <w:lang w:eastAsia="en-AU"/>
              </w:rPr>
              <w:t xml:space="preserve"> $16.3</w:t>
            </w:r>
            <w:r w:rsidR="009F21F0">
              <w:rPr>
                <w:rFonts w:eastAsia="Times New Roman" w:cs="Arial"/>
                <w:sz w:val="22"/>
                <w:lang w:eastAsia="en-AU"/>
              </w:rPr>
              <w:t>m</w:t>
            </w:r>
            <w:r w:rsidRPr="005265C3">
              <w:rPr>
                <w:rFonts w:eastAsia="Times New Roman" w:cs="Arial"/>
                <w:sz w:val="22"/>
                <w:lang w:eastAsia="en-AU"/>
              </w:rPr>
              <w:t xml:space="preserve"> (plus $5.5</w:t>
            </w:r>
            <w:r w:rsidR="009F21F0">
              <w:rPr>
                <w:rFonts w:eastAsia="Times New Roman" w:cs="Arial"/>
                <w:sz w:val="22"/>
                <w:lang w:eastAsia="en-AU"/>
              </w:rPr>
              <w:t>m</w:t>
            </w:r>
            <w:r w:rsidRPr="005265C3">
              <w:rPr>
                <w:rFonts w:eastAsia="Times New Roman" w:cs="Arial"/>
                <w:sz w:val="22"/>
                <w:lang w:eastAsia="en-AU"/>
              </w:rPr>
              <w:t xml:space="preserve"> in PS3) </w:t>
            </w:r>
          </w:p>
        </w:tc>
      </w:tr>
      <w:tr w:rsidR="0032024D" w:rsidRPr="003B1534" w14:paraId="7F493602" w14:textId="77777777" w:rsidTr="00360131">
        <w:trPr>
          <w:trHeight w:val="697"/>
        </w:trPr>
        <w:tc>
          <w:tcPr>
            <w:tcW w:w="9214" w:type="dxa"/>
            <w:tcBorders>
              <w:top w:val="single" w:sz="2" w:space="0" w:color="002279"/>
              <w:bottom w:val="single" w:sz="2" w:space="0" w:color="002279"/>
            </w:tcBorders>
          </w:tcPr>
          <w:p w14:paraId="362950F0" w14:textId="6AA675B4" w:rsidR="0032024D" w:rsidRPr="00EF1C27" w:rsidRDefault="0032024D" w:rsidP="00C96C46">
            <w:pPr>
              <w:spacing w:after="0"/>
              <w:textAlignment w:val="baseline"/>
              <w:rPr>
                <w:rFonts w:ascii="Times New Roman" w:eastAsia="Times New Roman" w:hAnsi="Times New Roman" w:cs="Times New Roman"/>
                <w:sz w:val="22"/>
                <w:lang w:eastAsia="en-AU"/>
              </w:rPr>
            </w:pPr>
            <w:r w:rsidRPr="00EF1C27">
              <w:rPr>
                <w:rFonts w:eastAsia="Times New Roman" w:cs="Arial"/>
                <w:b/>
                <w:bCs/>
                <w:sz w:val="22"/>
                <w:lang w:eastAsia="en-AU"/>
              </w:rPr>
              <w:t>Reason for change</w:t>
            </w:r>
            <w:r w:rsidR="00E27178">
              <w:rPr>
                <w:rFonts w:eastAsia="Times New Roman" w:cs="Arial"/>
                <w:b/>
                <w:bCs/>
                <w:sz w:val="22"/>
                <w:lang w:eastAsia="en-AU"/>
              </w:rPr>
              <w:t>/</w:t>
            </w:r>
            <w:r w:rsidRPr="00EF1C27">
              <w:rPr>
                <w:rFonts w:eastAsia="Times New Roman" w:cs="Arial"/>
                <w:b/>
                <w:bCs/>
                <w:sz w:val="22"/>
                <w:lang w:eastAsia="en-AU"/>
              </w:rPr>
              <w:t>difference between business case $ and Actuals</w:t>
            </w:r>
            <w:r w:rsidR="00E27178">
              <w:rPr>
                <w:rFonts w:eastAsia="Times New Roman" w:cs="Arial"/>
                <w:b/>
                <w:bCs/>
                <w:sz w:val="22"/>
                <w:lang w:eastAsia="en-AU"/>
              </w:rPr>
              <w:t>/</w:t>
            </w:r>
            <w:r w:rsidRPr="00EF1C27">
              <w:rPr>
                <w:rFonts w:eastAsia="Times New Roman" w:cs="Arial"/>
                <w:b/>
                <w:bCs/>
                <w:sz w:val="22"/>
                <w:lang w:eastAsia="en-AU"/>
              </w:rPr>
              <w:t>Forecast $ (30 June 2023)</w:t>
            </w:r>
            <w:r w:rsidR="00EF1C27">
              <w:rPr>
                <w:rFonts w:eastAsia="Times New Roman" w:cs="Arial"/>
                <w:b/>
                <w:bCs/>
                <w:sz w:val="22"/>
                <w:lang w:eastAsia="en-AU"/>
              </w:rPr>
              <w:t>:</w:t>
            </w:r>
            <w:r w:rsidRPr="00EF1C27">
              <w:rPr>
                <w:rFonts w:eastAsia="Times New Roman" w:cs="Arial"/>
                <w:sz w:val="22"/>
                <w:lang w:eastAsia="en-AU"/>
              </w:rPr>
              <w:t> The delayed Clyde Creek South PSP approval resulted in all spend occurring in 2018</w:t>
            </w:r>
            <w:r w:rsidR="00F33731">
              <w:rPr>
                <w:rFonts w:eastAsia="Times New Roman" w:cs="Arial"/>
                <w:sz w:val="22"/>
                <w:lang w:eastAsia="en-AU"/>
              </w:rPr>
              <w:t>–</w:t>
            </w:r>
            <w:r w:rsidRPr="00EF1C27">
              <w:rPr>
                <w:rFonts w:eastAsia="Times New Roman" w:cs="Arial"/>
                <w:sz w:val="22"/>
                <w:lang w:eastAsia="en-AU"/>
              </w:rPr>
              <w:t xml:space="preserve">23 </w:t>
            </w:r>
            <w:r w:rsidR="00EF1C27" w:rsidRPr="00EF1C27">
              <w:rPr>
                <w:rFonts w:eastAsia="Times New Roman" w:cs="Arial"/>
                <w:sz w:val="22"/>
                <w:lang w:eastAsia="en-AU"/>
              </w:rPr>
              <w:t>r</w:t>
            </w:r>
            <w:r w:rsidRPr="00EF1C27">
              <w:rPr>
                <w:rFonts w:eastAsia="Times New Roman" w:cs="Arial"/>
                <w:sz w:val="22"/>
                <w:lang w:eastAsia="en-AU"/>
              </w:rPr>
              <w:t>ather than being spread between 2013</w:t>
            </w:r>
            <w:r w:rsidR="00F33731">
              <w:rPr>
                <w:rFonts w:eastAsia="Times New Roman" w:cs="Arial"/>
                <w:sz w:val="22"/>
                <w:lang w:eastAsia="en-AU"/>
              </w:rPr>
              <w:t>–</w:t>
            </w:r>
            <w:r w:rsidRPr="00EF1C27">
              <w:rPr>
                <w:rFonts w:eastAsia="Times New Roman" w:cs="Arial"/>
                <w:sz w:val="22"/>
                <w:lang w:eastAsia="en-AU"/>
              </w:rPr>
              <w:t>18 and 2018</w:t>
            </w:r>
            <w:r w:rsidR="00F33731">
              <w:rPr>
                <w:rFonts w:eastAsia="Times New Roman" w:cs="Arial"/>
                <w:sz w:val="22"/>
                <w:lang w:eastAsia="en-AU"/>
              </w:rPr>
              <w:t>–</w:t>
            </w:r>
            <w:r w:rsidRPr="00EF1C27">
              <w:rPr>
                <w:rFonts w:eastAsia="Times New Roman" w:cs="Arial"/>
                <w:sz w:val="22"/>
                <w:lang w:eastAsia="en-AU"/>
              </w:rPr>
              <w:t>23</w:t>
            </w:r>
            <w:r w:rsidR="00A1315F">
              <w:rPr>
                <w:rFonts w:eastAsia="Times New Roman" w:cs="Arial"/>
                <w:sz w:val="22"/>
                <w:lang w:eastAsia="en-AU"/>
              </w:rPr>
              <w:t xml:space="preserve"> </w:t>
            </w:r>
            <w:r w:rsidRPr="00EF1C27">
              <w:rPr>
                <w:rFonts w:eastAsia="Times New Roman" w:cs="Arial"/>
                <w:sz w:val="22"/>
                <w:lang w:eastAsia="en-AU"/>
              </w:rPr>
              <w:t>planned.</w:t>
            </w:r>
            <w:r w:rsidR="00A1315F">
              <w:rPr>
                <w:rFonts w:eastAsia="Times New Roman" w:cs="Arial"/>
                <w:sz w:val="22"/>
                <w:lang w:eastAsia="en-AU"/>
              </w:rPr>
              <w:t xml:space="preserve"> </w:t>
            </w:r>
          </w:p>
          <w:p w14:paraId="259C7BE1" w14:textId="6EEFF4E5" w:rsidR="0032024D" w:rsidRPr="003F6016" w:rsidRDefault="0032024D" w:rsidP="00C96C46">
            <w:pPr>
              <w:spacing w:after="0"/>
              <w:textAlignment w:val="baseline"/>
              <w:rPr>
                <w:rFonts w:eastAsia="Times New Roman" w:cs="Arial"/>
                <w:b/>
                <w:bCs/>
                <w:sz w:val="22"/>
                <w:lang w:eastAsia="en-AU"/>
              </w:rPr>
            </w:pPr>
            <w:r w:rsidRPr="00EF1C27">
              <w:rPr>
                <w:rFonts w:eastAsia="Times New Roman" w:cs="Arial"/>
                <w:sz w:val="22"/>
                <w:lang w:eastAsia="en-AU"/>
              </w:rPr>
              <w:t xml:space="preserve">Overall savings due to alternate Clyde SRM alignment </w:t>
            </w:r>
            <w:r w:rsidRPr="00EF1C27">
              <w:rPr>
                <w:rFonts w:eastAsia="Times New Roman" w:cs="Arial"/>
                <w:sz w:val="22"/>
                <w:lang w:eastAsia="en-AU"/>
              </w:rPr>
              <w:br/>
              <w:t>Negotiated alignment along MWC drainage easement</w:t>
            </w:r>
            <w:r w:rsidRPr="00D6336B">
              <w:rPr>
                <w:rFonts w:eastAsia="Times New Roman" w:cs="Arial"/>
                <w:szCs w:val="20"/>
                <w:lang w:eastAsia="en-AU"/>
              </w:rPr>
              <w:t> </w:t>
            </w:r>
          </w:p>
        </w:tc>
      </w:tr>
      <w:tr w:rsidR="0032024D" w:rsidRPr="003B1534" w14:paraId="30A93292" w14:textId="77777777" w:rsidTr="00360131">
        <w:trPr>
          <w:trHeight w:val="690"/>
        </w:trPr>
        <w:tc>
          <w:tcPr>
            <w:tcW w:w="9214" w:type="dxa"/>
            <w:tcBorders>
              <w:top w:val="single" w:sz="2" w:space="0" w:color="002279"/>
              <w:bottom w:val="single" w:sz="2" w:space="0" w:color="002279"/>
            </w:tcBorders>
          </w:tcPr>
          <w:p w14:paraId="36A9F1AC" w14:textId="0A391283" w:rsidR="0032024D" w:rsidRPr="007B67CA" w:rsidRDefault="00EF1C27" w:rsidP="0032024D">
            <w:pPr>
              <w:pStyle w:val="BodyText"/>
              <w:rPr>
                <w:rFonts w:eastAsia="Times New Roman" w:cs="Arial"/>
                <w:b/>
                <w:bCs/>
                <w:sz w:val="22"/>
                <w:lang w:eastAsia="en-AU"/>
              </w:rPr>
            </w:pPr>
            <w:r w:rsidRPr="007B67CA">
              <w:rPr>
                <w:rFonts w:eastAsia="Times New Roman" w:cs="Arial"/>
                <w:b/>
                <w:bCs/>
                <w:sz w:val="22"/>
                <w:lang w:eastAsia="en-AU"/>
              </w:rPr>
              <w:lastRenderedPageBreak/>
              <w:t xml:space="preserve">Actuals </w:t>
            </w:r>
            <w:r w:rsidR="00F94FAB">
              <w:rPr>
                <w:rFonts w:eastAsia="Times New Roman" w:cs="Arial"/>
                <w:b/>
                <w:bCs/>
                <w:sz w:val="22"/>
                <w:lang w:eastAsia="en-AU"/>
              </w:rPr>
              <w:t xml:space="preserve">at </w:t>
            </w:r>
            <w:r w:rsidRPr="007B67CA">
              <w:rPr>
                <w:rFonts w:eastAsia="Times New Roman" w:cs="Arial"/>
                <w:b/>
                <w:bCs/>
                <w:sz w:val="22"/>
                <w:lang w:eastAsia="en-AU"/>
              </w:rPr>
              <w:t>2022/23 (Q1)</w:t>
            </w:r>
            <w:r w:rsidR="007B67CA">
              <w:rPr>
                <w:rFonts w:eastAsia="Times New Roman" w:cs="Arial"/>
                <w:b/>
                <w:bCs/>
                <w:sz w:val="22"/>
                <w:lang w:eastAsia="en-AU"/>
              </w:rPr>
              <w:t>:</w:t>
            </w:r>
            <w:r w:rsidRPr="007B67CA">
              <w:rPr>
                <w:rFonts w:eastAsia="Times New Roman" w:cs="Arial"/>
                <w:sz w:val="22"/>
                <w:lang w:eastAsia="en-AU"/>
              </w:rPr>
              <w:t> Within 2018</w:t>
            </w:r>
            <w:r w:rsidR="00F33731">
              <w:rPr>
                <w:rFonts w:eastAsia="Times New Roman" w:cs="Arial"/>
                <w:sz w:val="22"/>
                <w:lang w:eastAsia="en-AU"/>
              </w:rPr>
              <w:t>–</w:t>
            </w:r>
            <w:r w:rsidRPr="007B67CA">
              <w:rPr>
                <w:rFonts w:eastAsia="Times New Roman" w:cs="Arial"/>
                <w:sz w:val="22"/>
                <w:lang w:eastAsia="en-AU"/>
              </w:rPr>
              <w:t>23 = $16.8</w:t>
            </w:r>
            <w:r w:rsidR="009F21F0">
              <w:rPr>
                <w:rFonts w:eastAsia="Times New Roman" w:cs="Arial"/>
                <w:sz w:val="22"/>
                <w:lang w:eastAsia="en-AU"/>
              </w:rPr>
              <w:t>m</w:t>
            </w:r>
            <w:r w:rsidRPr="007B67CA">
              <w:rPr>
                <w:rFonts w:eastAsia="Times New Roman" w:cs="Arial"/>
                <w:sz w:val="22"/>
                <w:lang w:eastAsia="en-AU"/>
              </w:rPr>
              <w:t>, with a total project expenditure including 2013</w:t>
            </w:r>
            <w:r w:rsidR="00F33731">
              <w:rPr>
                <w:rFonts w:eastAsia="Times New Roman" w:cs="Arial"/>
                <w:sz w:val="22"/>
                <w:lang w:eastAsia="en-AU"/>
              </w:rPr>
              <w:t>–</w:t>
            </w:r>
            <w:r w:rsidRPr="007B67CA">
              <w:rPr>
                <w:rFonts w:eastAsia="Times New Roman" w:cs="Arial"/>
                <w:sz w:val="22"/>
                <w:lang w:eastAsia="en-AU"/>
              </w:rPr>
              <w:t>18 of $21.8</w:t>
            </w:r>
            <w:r w:rsidR="009F21F0">
              <w:rPr>
                <w:rFonts w:eastAsia="Times New Roman" w:cs="Arial"/>
                <w:sz w:val="22"/>
                <w:lang w:eastAsia="en-AU"/>
              </w:rPr>
              <w:t>m</w:t>
            </w:r>
            <w:r w:rsidRPr="007B67CA">
              <w:rPr>
                <w:rFonts w:eastAsia="Times New Roman" w:cs="Arial"/>
                <w:sz w:val="22"/>
                <w:lang w:eastAsia="en-AU"/>
              </w:rPr>
              <w:t> </w:t>
            </w:r>
          </w:p>
        </w:tc>
      </w:tr>
      <w:tr w:rsidR="0032024D" w:rsidRPr="003B1534" w14:paraId="79BDD93A" w14:textId="77777777" w:rsidTr="00360131">
        <w:trPr>
          <w:trHeight w:val="755"/>
        </w:trPr>
        <w:tc>
          <w:tcPr>
            <w:tcW w:w="9214" w:type="dxa"/>
            <w:tcBorders>
              <w:top w:val="single" w:sz="2" w:space="0" w:color="002279"/>
              <w:bottom w:val="single" w:sz="2" w:space="0" w:color="002279"/>
            </w:tcBorders>
          </w:tcPr>
          <w:p w14:paraId="16594522" w14:textId="287EC18E" w:rsidR="0032024D" w:rsidRPr="007B67CA" w:rsidRDefault="007B67CA" w:rsidP="0032024D">
            <w:pPr>
              <w:pStyle w:val="BodyText"/>
              <w:rPr>
                <w:rFonts w:eastAsia="Times New Roman" w:cs="Arial"/>
                <w:b/>
                <w:bCs/>
                <w:sz w:val="22"/>
                <w:lang w:eastAsia="en-AU"/>
              </w:rPr>
            </w:pPr>
            <w:r w:rsidRPr="007B67CA">
              <w:rPr>
                <w:rFonts w:eastAsia="Times New Roman" w:cs="Arial"/>
                <w:b/>
                <w:bCs/>
                <w:sz w:val="22"/>
                <w:lang w:eastAsia="en-AU"/>
              </w:rPr>
              <w:t>Project spend end date</w:t>
            </w:r>
            <w:r>
              <w:rPr>
                <w:rFonts w:eastAsia="Times New Roman" w:cs="Arial"/>
                <w:b/>
                <w:bCs/>
                <w:sz w:val="22"/>
                <w:lang w:eastAsia="en-AU"/>
              </w:rPr>
              <w:t>:</w:t>
            </w:r>
            <w:r w:rsidRPr="007B67CA">
              <w:rPr>
                <w:rFonts w:eastAsia="Times New Roman" w:cs="Arial"/>
                <w:sz w:val="22"/>
                <w:lang w:eastAsia="en-AU"/>
              </w:rPr>
              <w:t xml:space="preserve"> 2021/2022 – with a total expenditure of $21.8</w:t>
            </w:r>
            <w:r w:rsidR="009F21F0">
              <w:rPr>
                <w:rFonts w:eastAsia="Times New Roman" w:cs="Arial"/>
                <w:sz w:val="22"/>
                <w:lang w:eastAsia="en-AU"/>
              </w:rPr>
              <w:t>m</w:t>
            </w:r>
            <w:r w:rsidRPr="007B67CA">
              <w:rPr>
                <w:rFonts w:eastAsia="Times New Roman" w:cs="Arial"/>
                <w:sz w:val="22"/>
                <w:lang w:eastAsia="en-AU"/>
              </w:rPr>
              <w:t>, $4.5</w:t>
            </w:r>
            <w:r w:rsidR="009F21F0">
              <w:rPr>
                <w:rFonts w:eastAsia="Times New Roman" w:cs="Arial"/>
                <w:sz w:val="22"/>
                <w:lang w:eastAsia="en-AU"/>
              </w:rPr>
              <w:t>m</w:t>
            </w:r>
            <w:r w:rsidRPr="007B67CA">
              <w:rPr>
                <w:rFonts w:eastAsia="Times New Roman" w:cs="Arial"/>
                <w:sz w:val="22"/>
                <w:lang w:eastAsia="en-AU"/>
              </w:rPr>
              <w:t xml:space="preserve"> below the approved business case </w:t>
            </w:r>
          </w:p>
        </w:tc>
      </w:tr>
      <w:tr w:rsidR="0032024D" w:rsidRPr="003B1534" w14:paraId="6C34549E" w14:textId="77777777" w:rsidTr="00360131">
        <w:trPr>
          <w:trHeight w:val="807"/>
        </w:trPr>
        <w:tc>
          <w:tcPr>
            <w:tcW w:w="9214" w:type="dxa"/>
            <w:tcBorders>
              <w:top w:val="single" w:sz="2" w:space="0" w:color="002279"/>
              <w:bottom w:val="single" w:sz="2" w:space="0" w:color="002279"/>
            </w:tcBorders>
          </w:tcPr>
          <w:p w14:paraId="7EF0853C" w14:textId="21D42AA5" w:rsidR="0032024D" w:rsidRPr="00B73F6B" w:rsidRDefault="0032024D" w:rsidP="007B67CA">
            <w:pPr>
              <w:pStyle w:val="BodyText"/>
              <w:rPr>
                <w:rFonts w:eastAsia="Times New Roman" w:cs="Arial"/>
                <w:b/>
                <w:bCs/>
                <w:sz w:val="22"/>
                <w:lang w:eastAsia="en-AU"/>
              </w:rPr>
            </w:pPr>
            <w:r w:rsidRPr="003F6016">
              <w:rPr>
                <w:rFonts w:eastAsia="Times New Roman" w:cs="Arial"/>
                <w:b/>
                <w:bCs/>
                <w:sz w:val="22"/>
                <w:lang w:eastAsia="en-AU"/>
              </w:rPr>
              <w:t xml:space="preserve">Project status: </w:t>
            </w:r>
            <w:r w:rsidRPr="003F6016">
              <w:rPr>
                <w:sz w:val="22"/>
                <w:lang w:eastAsia="en-AU"/>
              </w:rPr>
              <w:t xml:space="preserve">Completed late, </w:t>
            </w:r>
            <w:r w:rsidR="00960122">
              <w:rPr>
                <w:sz w:val="22"/>
                <w:lang w:eastAsia="en-AU"/>
              </w:rPr>
              <w:t xml:space="preserve">that is, </w:t>
            </w:r>
            <w:r w:rsidRPr="003F6016">
              <w:rPr>
                <w:sz w:val="22"/>
                <w:lang w:eastAsia="en-AU"/>
              </w:rPr>
              <w:t>project was completed within period but later than original scheduled completion date.</w:t>
            </w:r>
          </w:p>
        </w:tc>
      </w:tr>
      <w:tr w:rsidR="0032024D" w:rsidRPr="003B1534" w14:paraId="5F4396E6" w14:textId="77777777" w:rsidTr="00360131">
        <w:trPr>
          <w:trHeight w:val="9945"/>
        </w:trPr>
        <w:tc>
          <w:tcPr>
            <w:tcW w:w="9214" w:type="dxa"/>
            <w:tcBorders>
              <w:top w:val="single" w:sz="2" w:space="0" w:color="002279"/>
              <w:bottom w:val="single" w:sz="2" w:space="0" w:color="002279"/>
            </w:tcBorders>
          </w:tcPr>
          <w:p w14:paraId="026AC0BC" w14:textId="06E073C1" w:rsidR="0032024D" w:rsidRPr="00B73F6B" w:rsidRDefault="0032024D" w:rsidP="0032024D">
            <w:pPr>
              <w:spacing w:after="0"/>
              <w:textAlignment w:val="baseline"/>
              <w:rPr>
                <w:rFonts w:ascii="Segoe UI" w:eastAsia="Times New Roman" w:hAnsi="Segoe UI" w:cs="Segoe UI"/>
                <w:sz w:val="22"/>
                <w:lang w:eastAsia="en-AU"/>
              </w:rPr>
            </w:pPr>
            <w:r w:rsidRPr="00B73F6B">
              <w:rPr>
                <w:rFonts w:eastAsia="Times New Roman" w:cs="Arial"/>
                <w:b/>
                <w:bCs/>
                <w:sz w:val="22"/>
                <w:lang w:eastAsia="en-AU"/>
              </w:rPr>
              <w:t>Project update:</w:t>
            </w:r>
            <w:r w:rsidRPr="00B73F6B">
              <w:rPr>
                <w:rFonts w:eastAsia="Times New Roman" w:cs="Arial"/>
                <w:sz w:val="22"/>
                <w:lang w:eastAsia="en-AU"/>
              </w:rPr>
              <w:t xml:space="preserve"> The Ballarto Rd East sewer pump station and gravity sewers are located within the McPherson Precinct Structure Plan (PSP) which was scheduled for release in mid to late 2017. However, the PSP was ultimately not approved until December 2018 at which point it was renamed Cardinia Creek PSP. This delayed PSP approval by the Victorian Planning Authority (VPA) limited the amount of work that could be completed prior to the start of </w:t>
            </w:r>
            <w:r w:rsidR="00224EC8" w:rsidRPr="00D976B9">
              <w:rPr>
                <w:rFonts w:eastAsia="Times New Roman" w:cstheme="minorHAnsi"/>
                <w:sz w:val="22"/>
                <w:lang w:eastAsia="en-AU"/>
              </w:rPr>
              <w:t>2018–23</w:t>
            </w:r>
            <w:r w:rsidR="00224EC8" w:rsidRPr="00B73F6B">
              <w:rPr>
                <w:rFonts w:eastAsia="Times New Roman" w:cs="Arial"/>
                <w:sz w:val="22"/>
                <w:lang w:eastAsia="en-AU"/>
              </w:rPr>
              <w:t xml:space="preserve"> </w:t>
            </w:r>
            <w:r w:rsidRPr="00B73F6B">
              <w:rPr>
                <w:rFonts w:eastAsia="Times New Roman" w:cs="Arial"/>
                <w:sz w:val="22"/>
                <w:lang w:eastAsia="en-AU"/>
              </w:rPr>
              <w:t>to the Clyde Creek stage 2 rising main and investigation works, design and tendering for the rest to the scheme, increasing the proportion of works within</w:t>
            </w:r>
            <w:r w:rsidR="00224EC8">
              <w:rPr>
                <w:rFonts w:eastAsia="Times New Roman" w:cs="Arial"/>
                <w:sz w:val="22"/>
                <w:lang w:eastAsia="en-AU"/>
              </w:rPr>
              <w:t xml:space="preserve"> </w:t>
            </w:r>
            <w:r w:rsidR="00224EC8" w:rsidRPr="00D976B9">
              <w:rPr>
                <w:rFonts w:eastAsia="Times New Roman" w:cstheme="minorHAnsi"/>
                <w:sz w:val="22"/>
                <w:lang w:eastAsia="en-AU"/>
              </w:rPr>
              <w:t>2018–23</w:t>
            </w:r>
            <w:r w:rsidRPr="00B73F6B">
              <w:rPr>
                <w:rFonts w:eastAsia="Times New Roman" w:cs="Arial"/>
                <w:sz w:val="22"/>
                <w:lang w:eastAsia="en-AU"/>
              </w:rPr>
              <w:t>.</w:t>
            </w:r>
            <w:r w:rsidR="00A1315F">
              <w:rPr>
                <w:rFonts w:eastAsia="Times New Roman" w:cs="Arial"/>
                <w:sz w:val="22"/>
                <w:lang w:eastAsia="en-AU"/>
              </w:rPr>
              <w:t xml:space="preserve"> </w:t>
            </w:r>
          </w:p>
          <w:p w14:paraId="0226A428" w14:textId="0217BE03" w:rsidR="0032024D" w:rsidRPr="00B73F6B" w:rsidRDefault="0032024D" w:rsidP="0032024D">
            <w:pPr>
              <w:spacing w:after="0"/>
              <w:textAlignment w:val="baseline"/>
              <w:rPr>
                <w:rFonts w:ascii="Segoe UI" w:eastAsia="Times New Roman" w:hAnsi="Segoe UI" w:cs="Segoe UI"/>
                <w:sz w:val="22"/>
                <w:lang w:eastAsia="en-AU"/>
              </w:rPr>
            </w:pPr>
            <w:r w:rsidRPr="00B73F6B">
              <w:rPr>
                <w:rFonts w:eastAsia="Times New Roman" w:cs="Arial"/>
                <w:sz w:val="22"/>
                <w:lang w:eastAsia="en-AU"/>
              </w:rPr>
              <w:t>The project overcame several challenges including delays resulting from Cultural Heritage Management Plan approvals, land acquisition for the pump station site, negotiations with developers about pipeline alignments and challenging ground conditions.</w:t>
            </w:r>
            <w:r w:rsidR="00A1315F">
              <w:rPr>
                <w:rFonts w:eastAsia="Times New Roman" w:cs="Arial"/>
                <w:sz w:val="22"/>
                <w:lang w:eastAsia="en-AU"/>
              </w:rPr>
              <w:t xml:space="preserve"> </w:t>
            </w:r>
          </w:p>
          <w:p w14:paraId="4A6C6F60" w14:textId="4EC85BC0" w:rsidR="0032024D" w:rsidRPr="00B73F6B" w:rsidRDefault="0032024D" w:rsidP="0032024D">
            <w:pPr>
              <w:spacing w:after="0"/>
              <w:textAlignment w:val="baseline"/>
              <w:rPr>
                <w:rFonts w:ascii="Segoe UI" w:eastAsia="Times New Roman" w:hAnsi="Segoe UI" w:cs="Segoe UI"/>
                <w:sz w:val="22"/>
                <w:lang w:eastAsia="en-AU"/>
              </w:rPr>
            </w:pPr>
            <w:r w:rsidRPr="00B73F6B">
              <w:rPr>
                <w:rFonts w:eastAsia="Times New Roman" w:cs="Arial"/>
                <w:sz w:val="22"/>
                <w:lang w:eastAsia="en-AU"/>
              </w:rPr>
              <w:t>The ultimate success of the project was in significant part due to comprehensive engagement with industry including the key developers in the precinct and other authorities including the VPA. A number of workshops were held with the developers and their consultants to agree access and alignments through various land holdings. This allowed issues to be resolved collectively to the benefit of all parties.</w:t>
            </w:r>
            <w:r w:rsidR="00A1315F">
              <w:rPr>
                <w:rFonts w:eastAsia="Times New Roman" w:cs="Arial"/>
                <w:sz w:val="22"/>
                <w:lang w:eastAsia="en-AU"/>
              </w:rPr>
              <w:t xml:space="preserve"> </w:t>
            </w:r>
          </w:p>
          <w:p w14:paraId="4D616D46" w14:textId="13FC3656" w:rsidR="0032024D" w:rsidRPr="00B73F6B" w:rsidRDefault="0032024D" w:rsidP="0032024D">
            <w:pPr>
              <w:spacing w:after="0"/>
              <w:textAlignment w:val="baseline"/>
              <w:rPr>
                <w:rFonts w:ascii="Segoe UI" w:eastAsia="Times New Roman" w:hAnsi="Segoe UI" w:cs="Segoe UI"/>
                <w:sz w:val="22"/>
                <w:lang w:eastAsia="en-AU"/>
              </w:rPr>
            </w:pPr>
            <w:r w:rsidRPr="00B73F6B">
              <w:rPr>
                <w:rFonts w:eastAsia="Times New Roman" w:cs="Arial"/>
                <w:sz w:val="22"/>
                <w:lang w:eastAsia="en-AU"/>
              </w:rPr>
              <w:t xml:space="preserve">Challenging geotechnical conditions were identified as a key risk on the project. To mitigate this risk South East Water undertook significant geotechnical investigations during the tender phase in collaboration with the tenderers. Of significant concern was unstable and waterlogged </w:t>
            </w:r>
            <w:r w:rsidR="00A46FA6">
              <w:rPr>
                <w:rFonts w:eastAsia="Times New Roman" w:cs="Arial"/>
                <w:sz w:val="22"/>
                <w:lang w:eastAsia="en-AU"/>
              </w:rPr>
              <w:t>ground conditions</w:t>
            </w:r>
            <w:r w:rsidRPr="00B73F6B">
              <w:rPr>
                <w:rFonts w:eastAsia="Times New Roman" w:cs="Arial"/>
                <w:sz w:val="22"/>
                <w:lang w:eastAsia="en-AU"/>
              </w:rPr>
              <w:t xml:space="preserve"> spanning the works area. This detailed investigation allowed the design and construct tenderers to optimise the sewer design. Reducing sewer grades and upsizing the sewer allowed the sewer to be </w:t>
            </w:r>
            <w:r w:rsidR="00FD35F6">
              <w:rPr>
                <w:rFonts w:eastAsia="Times New Roman" w:cs="Arial"/>
                <w:sz w:val="22"/>
                <w:lang w:eastAsia="en-AU"/>
              </w:rPr>
              <w:t xml:space="preserve">constructed at a </w:t>
            </w:r>
            <w:r w:rsidRPr="00B73F6B">
              <w:rPr>
                <w:rFonts w:eastAsia="Times New Roman" w:cs="Arial"/>
                <w:sz w:val="22"/>
                <w:lang w:eastAsia="en-AU"/>
              </w:rPr>
              <w:t>shallowe</w:t>
            </w:r>
            <w:r w:rsidR="00FD35F6">
              <w:rPr>
                <w:rFonts w:eastAsia="Times New Roman" w:cs="Arial"/>
                <w:sz w:val="22"/>
                <w:lang w:eastAsia="en-AU"/>
              </w:rPr>
              <w:t>r depth</w:t>
            </w:r>
            <w:r w:rsidRPr="00B73F6B">
              <w:rPr>
                <w:rFonts w:eastAsia="Times New Roman" w:cs="Arial"/>
                <w:sz w:val="22"/>
                <w:lang w:eastAsia="en-AU"/>
              </w:rPr>
              <w:t>. This resulted in significant savings on the project and removed the risk of geotechnical latent conditions.</w:t>
            </w:r>
            <w:r w:rsidR="00A1315F">
              <w:rPr>
                <w:rFonts w:eastAsia="Times New Roman" w:cs="Arial"/>
                <w:sz w:val="22"/>
                <w:lang w:eastAsia="en-AU"/>
              </w:rPr>
              <w:t xml:space="preserve"> </w:t>
            </w:r>
          </w:p>
          <w:p w14:paraId="6A1A6841" w14:textId="55B68D65" w:rsidR="0032024D" w:rsidRPr="00B73F6B" w:rsidRDefault="0032024D" w:rsidP="0032024D">
            <w:pPr>
              <w:spacing w:after="0"/>
              <w:textAlignment w:val="baseline"/>
              <w:rPr>
                <w:rFonts w:ascii="Segoe UI" w:eastAsia="Times New Roman" w:hAnsi="Segoe UI" w:cs="Segoe UI"/>
                <w:sz w:val="22"/>
                <w:lang w:eastAsia="en-AU"/>
              </w:rPr>
            </w:pPr>
            <w:r w:rsidRPr="00B73F6B">
              <w:rPr>
                <w:rFonts w:eastAsia="Times New Roman" w:cs="Arial"/>
                <w:sz w:val="22"/>
                <w:lang w:eastAsia="en-AU"/>
              </w:rPr>
              <w:t>Significant savings (~$1m) were also achieved on the Clyde Creek Stage 2 rising main by realigning the rising main through the Meridian Estate. This opportunity only arose following the detailed engagement during the developer workshops.</w:t>
            </w:r>
            <w:r w:rsidR="00A1315F">
              <w:rPr>
                <w:rFonts w:eastAsia="Times New Roman" w:cs="Arial"/>
                <w:sz w:val="22"/>
                <w:lang w:eastAsia="en-AU"/>
              </w:rPr>
              <w:t xml:space="preserve"> </w:t>
            </w:r>
          </w:p>
          <w:p w14:paraId="5A0C1C09" w14:textId="4F02FD73" w:rsidR="0032024D" w:rsidRPr="00B73F6B" w:rsidRDefault="0032024D" w:rsidP="0032024D">
            <w:pPr>
              <w:spacing w:after="0"/>
              <w:textAlignment w:val="baseline"/>
              <w:rPr>
                <w:rFonts w:ascii="Segoe UI" w:eastAsia="Times New Roman" w:hAnsi="Segoe UI" w:cs="Segoe UI"/>
                <w:sz w:val="22"/>
                <w:lang w:eastAsia="en-AU"/>
              </w:rPr>
            </w:pPr>
            <w:r w:rsidRPr="00B73F6B">
              <w:rPr>
                <w:rFonts w:eastAsia="Times New Roman" w:cs="Arial"/>
                <w:sz w:val="22"/>
                <w:lang w:eastAsia="en-AU"/>
              </w:rPr>
              <w:t xml:space="preserve">The pump station and rising main </w:t>
            </w:r>
            <w:r w:rsidR="00266CC3">
              <w:rPr>
                <w:rFonts w:eastAsia="Times New Roman" w:cs="Arial"/>
                <w:sz w:val="22"/>
                <w:lang w:eastAsia="en-AU"/>
              </w:rPr>
              <w:t>were</w:t>
            </w:r>
            <w:r w:rsidRPr="00B73F6B">
              <w:rPr>
                <w:rFonts w:eastAsia="Times New Roman" w:cs="Arial"/>
                <w:sz w:val="22"/>
                <w:lang w:eastAsia="en-AU"/>
              </w:rPr>
              <w:t xml:space="preserve"> commissioned during the 2019</w:t>
            </w:r>
            <w:r w:rsidR="00F33731">
              <w:rPr>
                <w:rFonts w:eastAsia="Times New Roman" w:cs="Arial"/>
                <w:sz w:val="22"/>
                <w:lang w:eastAsia="en-AU"/>
              </w:rPr>
              <w:t>–</w:t>
            </w:r>
            <w:r w:rsidRPr="00B73F6B">
              <w:rPr>
                <w:rFonts w:eastAsia="Times New Roman" w:cs="Arial"/>
                <w:sz w:val="22"/>
                <w:lang w:eastAsia="en-AU"/>
              </w:rPr>
              <w:t>20 year. Note that some defect rectification works occurred in the following year. The delayed commissioning reflected the delayed PSP approval.</w:t>
            </w:r>
            <w:r w:rsidR="00A1315F">
              <w:rPr>
                <w:rFonts w:eastAsia="Times New Roman" w:cs="Arial"/>
                <w:sz w:val="22"/>
                <w:lang w:eastAsia="en-AU"/>
              </w:rPr>
              <w:t xml:space="preserve"> </w:t>
            </w:r>
          </w:p>
          <w:p w14:paraId="75A89406" w14:textId="793BE632" w:rsidR="0032024D" w:rsidRPr="00B73F6B" w:rsidRDefault="0032024D" w:rsidP="00DE1C49">
            <w:pPr>
              <w:spacing w:after="0"/>
              <w:textAlignment w:val="baseline"/>
              <w:rPr>
                <w:rFonts w:eastAsiaTheme="minorEastAsia" w:cs="Arial"/>
                <w:sz w:val="22"/>
                <w:highlight w:val="yellow"/>
              </w:rPr>
            </w:pPr>
            <w:r w:rsidRPr="00B73F6B">
              <w:rPr>
                <w:rFonts w:eastAsia="Times New Roman" w:cs="Arial"/>
                <w:sz w:val="22"/>
                <w:lang w:eastAsia="en-AU"/>
              </w:rPr>
              <w:t xml:space="preserve">Ultimately the design, construction and commissioning of this critical infrastructure was completed within the period without significant delay to development both within this PSP and the adjacent Clyde Creek PSP which was approved in advance of Cardinia Creek PSP. The project achieved that aim despite some issues achieving final completion and defect rectification due to wet ground and contractor resource constraints during the </w:t>
            </w:r>
            <w:r w:rsidR="008A781C">
              <w:rPr>
                <w:rFonts w:eastAsia="Times New Roman" w:cs="Arial"/>
                <w:sz w:val="22"/>
                <w:lang w:eastAsia="en-AU"/>
              </w:rPr>
              <w:t>COVID</w:t>
            </w:r>
            <w:r w:rsidRPr="00B73F6B">
              <w:rPr>
                <w:rFonts w:eastAsia="Times New Roman" w:cs="Arial"/>
                <w:sz w:val="22"/>
                <w:lang w:eastAsia="en-AU"/>
              </w:rPr>
              <w:t xml:space="preserve">-19 </w:t>
            </w:r>
            <w:r w:rsidR="008A781C">
              <w:rPr>
                <w:rFonts w:eastAsia="Times New Roman" w:cs="Arial"/>
                <w:sz w:val="22"/>
                <w:lang w:eastAsia="en-AU"/>
              </w:rPr>
              <w:t>p</w:t>
            </w:r>
            <w:r w:rsidRPr="00B73F6B">
              <w:rPr>
                <w:rFonts w:eastAsia="Times New Roman" w:cs="Arial"/>
                <w:sz w:val="22"/>
                <w:lang w:eastAsia="en-AU"/>
              </w:rPr>
              <w:t>andemic. The land development industry have highlighted this project as a benchmark of proactive engagement with industry to achieve outcomes.</w:t>
            </w:r>
            <w:r w:rsidR="00A1315F">
              <w:rPr>
                <w:rFonts w:eastAsia="Times New Roman" w:cs="Arial"/>
                <w:sz w:val="22"/>
                <w:lang w:eastAsia="en-AU"/>
              </w:rPr>
              <w:t xml:space="preserve"> </w:t>
            </w:r>
          </w:p>
        </w:tc>
      </w:tr>
      <w:tr w:rsidR="005D49CF" w:rsidRPr="003B1534" w14:paraId="610B63B5" w14:textId="77777777" w:rsidTr="00360131">
        <w:tc>
          <w:tcPr>
            <w:tcW w:w="9214" w:type="dxa"/>
            <w:tcBorders>
              <w:top w:val="single" w:sz="2" w:space="0" w:color="002279"/>
              <w:bottom w:val="single" w:sz="2" w:space="0" w:color="002279"/>
            </w:tcBorders>
          </w:tcPr>
          <w:p w14:paraId="5288B16C" w14:textId="7E52CCB0" w:rsidR="005D49CF" w:rsidRPr="003E224C" w:rsidRDefault="005D49CF" w:rsidP="0032024D">
            <w:pPr>
              <w:spacing w:after="0"/>
              <w:textAlignment w:val="baseline"/>
              <w:rPr>
                <w:rFonts w:eastAsia="Times New Roman" w:cs="Arial"/>
                <w:b/>
                <w:bCs/>
                <w:sz w:val="22"/>
                <w:lang w:eastAsia="en-AU"/>
              </w:rPr>
            </w:pPr>
            <w:r w:rsidRPr="003E224C">
              <w:rPr>
                <w:rFonts w:eastAsia="Times New Roman" w:cs="Arial"/>
                <w:b/>
                <w:bCs/>
                <w:sz w:val="22"/>
                <w:lang w:eastAsia="en-AU"/>
              </w:rPr>
              <w:t xml:space="preserve">Indicative self-assessment score: </w:t>
            </w:r>
            <w:r w:rsidRPr="003E224C">
              <w:rPr>
                <w:rFonts w:eastAsia="Times New Roman" w:cs="Arial"/>
                <w:sz w:val="22"/>
                <w:lang w:eastAsia="en-AU"/>
              </w:rPr>
              <w:t xml:space="preserve">3 </w:t>
            </w:r>
            <w:r w:rsidR="00F33731">
              <w:rPr>
                <w:rFonts w:eastAsia="Times New Roman" w:cs="Arial"/>
                <w:sz w:val="22"/>
                <w:lang w:eastAsia="en-AU"/>
              </w:rPr>
              <w:t>–</w:t>
            </w:r>
            <w:r w:rsidRPr="003E224C">
              <w:rPr>
                <w:rFonts w:eastAsia="Times New Roman" w:cs="Arial"/>
                <w:sz w:val="22"/>
                <w:lang w:eastAsia="en-AU"/>
              </w:rPr>
              <w:t xml:space="preserve"> Largely consistent with or exceeded the 2018</w:t>
            </w:r>
            <w:r w:rsidR="00F33731">
              <w:rPr>
                <w:rFonts w:eastAsia="Times New Roman" w:cs="Arial"/>
                <w:sz w:val="22"/>
                <w:lang w:eastAsia="en-AU"/>
              </w:rPr>
              <w:t>–</w:t>
            </w:r>
            <w:r w:rsidRPr="003E224C">
              <w:rPr>
                <w:rFonts w:eastAsia="Times New Roman" w:cs="Arial"/>
                <w:sz w:val="22"/>
                <w:lang w:eastAsia="en-AU"/>
              </w:rPr>
              <w:t>23 commitment </w:t>
            </w:r>
          </w:p>
        </w:tc>
      </w:tr>
      <w:tr w:rsidR="003E224C" w:rsidRPr="003B1534" w14:paraId="62FBCDC7" w14:textId="77777777" w:rsidTr="00360131">
        <w:trPr>
          <w:trHeight w:val="4809"/>
        </w:trPr>
        <w:tc>
          <w:tcPr>
            <w:tcW w:w="9214" w:type="dxa"/>
            <w:tcBorders>
              <w:top w:val="single" w:sz="2" w:space="0" w:color="002279"/>
              <w:bottom w:val="single" w:sz="2" w:space="0" w:color="002279"/>
            </w:tcBorders>
          </w:tcPr>
          <w:p w14:paraId="6880ADF7" w14:textId="65C3558A" w:rsidR="003E224C" w:rsidRPr="003E224C" w:rsidRDefault="003E224C" w:rsidP="003E224C">
            <w:pPr>
              <w:spacing w:after="0"/>
              <w:textAlignment w:val="baseline"/>
              <w:rPr>
                <w:rFonts w:ascii="Segoe UI" w:eastAsia="Times New Roman" w:hAnsi="Segoe UI" w:cs="Segoe UI"/>
                <w:sz w:val="22"/>
                <w:lang w:eastAsia="en-AU"/>
              </w:rPr>
            </w:pPr>
            <w:r w:rsidRPr="003E224C">
              <w:rPr>
                <w:rFonts w:eastAsia="Times New Roman" w:cs="Arial"/>
                <w:b/>
                <w:bCs/>
                <w:sz w:val="22"/>
                <w:lang w:eastAsia="en-AU"/>
              </w:rPr>
              <w:lastRenderedPageBreak/>
              <w:t xml:space="preserve">Assessment rationale: </w:t>
            </w:r>
            <w:r w:rsidRPr="003E224C">
              <w:rPr>
                <w:rFonts w:eastAsia="Times New Roman" w:cs="Arial"/>
                <w:sz w:val="22"/>
                <w:lang w:eastAsia="en-AU"/>
              </w:rPr>
              <w:t>The project was delivered within the required timeframe at a cost saving of $4.5</w:t>
            </w:r>
            <w:r w:rsidR="009F21F0">
              <w:rPr>
                <w:rFonts w:eastAsia="Times New Roman" w:cs="Arial"/>
                <w:sz w:val="22"/>
                <w:lang w:eastAsia="en-AU"/>
              </w:rPr>
              <w:t>m</w:t>
            </w:r>
            <w:r w:rsidRPr="003E224C">
              <w:rPr>
                <w:rFonts w:eastAsia="Times New Roman" w:cs="Arial"/>
                <w:sz w:val="22"/>
                <w:lang w:eastAsia="en-AU"/>
              </w:rPr>
              <w:t>. The actual 2018</w:t>
            </w:r>
            <w:r w:rsidR="00F33731">
              <w:rPr>
                <w:rFonts w:eastAsia="Times New Roman" w:cs="Arial"/>
                <w:sz w:val="22"/>
                <w:lang w:eastAsia="en-AU"/>
              </w:rPr>
              <w:t>–</w:t>
            </w:r>
            <w:r w:rsidRPr="003E224C">
              <w:rPr>
                <w:rFonts w:eastAsia="Times New Roman" w:cs="Arial"/>
                <w:sz w:val="22"/>
                <w:lang w:eastAsia="en-AU"/>
              </w:rPr>
              <w:t>23 expenditure was slightly higher than planned ($16.8</w:t>
            </w:r>
            <w:r w:rsidR="009F21F0">
              <w:rPr>
                <w:rFonts w:eastAsia="Times New Roman" w:cs="Arial"/>
                <w:sz w:val="22"/>
                <w:lang w:eastAsia="en-AU"/>
              </w:rPr>
              <w:t>m</w:t>
            </w:r>
            <w:r w:rsidRPr="003E224C">
              <w:rPr>
                <w:rFonts w:eastAsia="Times New Roman" w:cs="Arial"/>
                <w:sz w:val="22"/>
                <w:lang w:eastAsia="en-AU"/>
              </w:rPr>
              <w:t xml:space="preserve"> compared to a P50 allowance of $13.8</w:t>
            </w:r>
            <w:r w:rsidR="009F21F0">
              <w:rPr>
                <w:rFonts w:eastAsia="Times New Roman" w:cs="Arial"/>
                <w:sz w:val="22"/>
                <w:lang w:eastAsia="en-AU"/>
              </w:rPr>
              <w:t>m</w:t>
            </w:r>
            <w:r w:rsidRPr="003E224C">
              <w:rPr>
                <w:rFonts w:eastAsia="Times New Roman" w:cs="Arial"/>
                <w:sz w:val="22"/>
                <w:lang w:eastAsia="en-AU"/>
              </w:rPr>
              <w:t>) due to the delayed PSP approval.</w:t>
            </w:r>
            <w:r w:rsidR="00A1315F">
              <w:rPr>
                <w:rFonts w:eastAsia="Times New Roman" w:cs="Arial"/>
                <w:sz w:val="22"/>
                <w:lang w:eastAsia="en-AU"/>
              </w:rPr>
              <w:t xml:space="preserve"> </w:t>
            </w:r>
          </w:p>
          <w:p w14:paraId="2B9EBF7D" w14:textId="11B5763D" w:rsidR="003E224C" w:rsidRPr="003E224C" w:rsidRDefault="003E224C" w:rsidP="003E224C">
            <w:pPr>
              <w:spacing w:after="0"/>
              <w:textAlignment w:val="baseline"/>
              <w:rPr>
                <w:rFonts w:ascii="Segoe UI" w:eastAsia="Times New Roman" w:hAnsi="Segoe UI" w:cs="Segoe UI"/>
                <w:sz w:val="22"/>
                <w:lang w:eastAsia="en-AU"/>
              </w:rPr>
            </w:pPr>
            <w:r w:rsidRPr="003E224C">
              <w:rPr>
                <w:rFonts w:eastAsia="Times New Roman" w:cs="Arial"/>
                <w:sz w:val="22"/>
                <w:lang w:eastAsia="en-AU"/>
              </w:rPr>
              <w:t xml:space="preserve">The additional expenditure within the period was able to be funded from savings within </w:t>
            </w:r>
            <w:r w:rsidR="001B55D0">
              <w:rPr>
                <w:rFonts w:eastAsia="Times New Roman" w:cs="Arial"/>
                <w:sz w:val="22"/>
                <w:lang w:eastAsia="en-AU"/>
              </w:rPr>
              <w:br/>
            </w:r>
            <w:r w:rsidRPr="003E224C">
              <w:rPr>
                <w:rFonts w:eastAsia="Times New Roman" w:cs="Arial"/>
                <w:sz w:val="22"/>
                <w:lang w:eastAsia="en-AU"/>
              </w:rPr>
              <w:t xml:space="preserve">the Sewer Growth program. An assessment of </w:t>
            </w:r>
            <w:r w:rsidRPr="003E224C">
              <w:rPr>
                <w:rFonts w:eastAsia="Times New Roman" w:cs="Arial"/>
                <w:b/>
                <w:bCs/>
                <w:sz w:val="22"/>
                <w:lang w:eastAsia="en-AU"/>
              </w:rPr>
              <w:t>largely consistent with or exceeding the 2018</w:t>
            </w:r>
            <w:r w:rsidR="00F33731">
              <w:rPr>
                <w:rFonts w:eastAsia="Times New Roman" w:cs="Arial"/>
                <w:b/>
                <w:bCs/>
                <w:sz w:val="22"/>
                <w:lang w:eastAsia="en-AU"/>
              </w:rPr>
              <w:t>–</w:t>
            </w:r>
            <w:r w:rsidRPr="003E224C">
              <w:rPr>
                <w:rFonts w:eastAsia="Times New Roman" w:cs="Arial"/>
                <w:b/>
                <w:bCs/>
                <w:sz w:val="22"/>
                <w:lang w:eastAsia="en-AU"/>
              </w:rPr>
              <w:t>23 commitment</w:t>
            </w:r>
            <w:r w:rsidRPr="003E224C">
              <w:rPr>
                <w:rFonts w:eastAsia="Times New Roman" w:cs="Arial"/>
                <w:sz w:val="22"/>
                <w:lang w:eastAsia="en-AU"/>
              </w:rPr>
              <w:t xml:space="preserve"> was applied in consideration of:   </w:t>
            </w:r>
          </w:p>
          <w:p w14:paraId="15E4E880" w14:textId="53D1C71B" w:rsidR="003E224C" w:rsidRPr="003E224C" w:rsidRDefault="003E224C">
            <w:pPr>
              <w:pStyle w:val="ListParagraph"/>
              <w:numPr>
                <w:ilvl w:val="0"/>
                <w:numId w:val="111"/>
              </w:numPr>
              <w:spacing w:after="0"/>
              <w:ind w:left="738"/>
              <w:textAlignment w:val="baseline"/>
              <w:rPr>
                <w:rFonts w:eastAsia="Times New Roman" w:cs="Arial"/>
                <w:sz w:val="22"/>
                <w:lang w:eastAsia="en-AU"/>
              </w:rPr>
            </w:pPr>
            <w:r w:rsidRPr="003E224C">
              <w:rPr>
                <w:rFonts w:eastAsia="Times New Roman" w:cs="Arial"/>
                <w:sz w:val="22"/>
                <w:lang w:eastAsia="en-AU"/>
              </w:rPr>
              <w:t>The extent of industry engagement, providing real cost savings to our customers demonstrating our commitment to get the basics right, always.</w:t>
            </w:r>
            <w:r w:rsidR="00A1315F">
              <w:rPr>
                <w:rFonts w:eastAsia="Times New Roman" w:cs="Arial"/>
                <w:sz w:val="22"/>
                <w:lang w:eastAsia="en-AU"/>
              </w:rPr>
              <w:t xml:space="preserve"> </w:t>
            </w:r>
          </w:p>
          <w:p w14:paraId="09B82496" w14:textId="2826B986" w:rsidR="003E224C" w:rsidRPr="003E224C" w:rsidRDefault="003E224C">
            <w:pPr>
              <w:pStyle w:val="ListParagraph"/>
              <w:numPr>
                <w:ilvl w:val="0"/>
                <w:numId w:val="111"/>
              </w:numPr>
              <w:spacing w:after="0"/>
              <w:ind w:left="738"/>
              <w:textAlignment w:val="baseline"/>
              <w:rPr>
                <w:rFonts w:eastAsia="Times New Roman" w:cs="Arial"/>
                <w:sz w:val="22"/>
                <w:lang w:eastAsia="en-AU"/>
              </w:rPr>
            </w:pPr>
            <w:r w:rsidRPr="003E224C">
              <w:rPr>
                <w:rFonts w:eastAsia="Times New Roman" w:cs="Arial"/>
                <w:sz w:val="22"/>
                <w:lang w:eastAsia="en-AU"/>
              </w:rPr>
              <w:t xml:space="preserve">The delivered infrastructure achieved the objective to provide sewerage services </w:t>
            </w:r>
            <w:r w:rsidR="001B55D0">
              <w:rPr>
                <w:rFonts w:eastAsia="Times New Roman" w:cs="Arial"/>
                <w:sz w:val="22"/>
                <w:lang w:eastAsia="en-AU"/>
              </w:rPr>
              <w:br/>
            </w:r>
            <w:r w:rsidRPr="003E224C">
              <w:rPr>
                <w:rFonts w:eastAsia="Times New Roman" w:cs="Arial"/>
                <w:sz w:val="22"/>
                <w:lang w:eastAsia="en-AU"/>
              </w:rPr>
              <w:t>to the majority of the McPherson Precinct within the Clyde sewerage catchment and ensuring that new development can be connected to safe and reliable sewerage services, protecting human health and the environment </w:t>
            </w:r>
          </w:p>
          <w:p w14:paraId="786036CD" w14:textId="161E49E2" w:rsidR="003E224C" w:rsidRPr="003E224C" w:rsidRDefault="003E224C">
            <w:pPr>
              <w:pStyle w:val="ListParagraph"/>
              <w:numPr>
                <w:ilvl w:val="0"/>
                <w:numId w:val="111"/>
              </w:numPr>
              <w:spacing w:after="0"/>
              <w:ind w:left="738"/>
              <w:textAlignment w:val="baseline"/>
              <w:rPr>
                <w:rFonts w:eastAsia="Times New Roman" w:cs="Arial"/>
                <w:sz w:val="22"/>
                <w:lang w:eastAsia="en-AU"/>
              </w:rPr>
            </w:pPr>
            <w:r w:rsidRPr="003E224C">
              <w:rPr>
                <w:rFonts w:eastAsia="Times New Roman" w:cs="Arial"/>
                <w:sz w:val="22"/>
                <w:lang w:eastAsia="en-AU"/>
              </w:rPr>
              <w:t xml:space="preserve">The unfunded </w:t>
            </w:r>
            <w:r w:rsidR="00224EC8" w:rsidRPr="00D976B9">
              <w:rPr>
                <w:rFonts w:eastAsia="Times New Roman" w:cstheme="minorHAnsi"/>
                <w:sz w:val="22"/>
                <w:lang w:eastAsia="en-AU"/>
              </w:rPr>
              <w:t>2018–23</w:t>
            </w:r>
            <w:r w:rsidR="00224EC8" w:rsidRPr="003E224C">
              <w:rPr>
                <w:rFonts w:eastAsia="Times New Roman" w:cs="Arial"/>
                <w:sz w:val="22"/>
                <w:lang w:eastAsia="en-AU"/>
              </w:rPr>
              <w:t xml:space="preserve"> </w:t>
            </w:r>
            <w:r w:rsidRPr="003E224C">
              <w:rPr>
                <w:rFonts w:eastAsia="Times New Roman" w:cs="Arial"/>
                <w:sz w:val="22"/>
                <w:lang w:eastAsia="en-AU"/>
              </w:rPr>
              <w:t>expenditure resulting from the delayed PSP approval was accommodated within the sewer growth budget  </w:t>
            </w:r>
          </w:p>
          <w:p w14:paraId="0B5BFCBE" w14:textId="6282FD9C" w:rsidR="003E224C" w:rsidRPr="003E224C" w:rsidRDefault="003E224C">
            <w:pPr>
              <w:pStyle w:val="ListParagraph"/>
              <w:numPr>
                <w:ilvl w:val="0"/>
                <w:numId w:val="111"/>
              </w:numPr>
              <w:spacing w:after="0"/>
              <w:ind w:left="738"/>
              <w:textAlignment w:val="baseline"/>
              <w:rPr>
                <w:rFonts w:eastAsia="Times New Roman" w:cs="Arial"/>
                <w:b/>
                <w:bCs/>
                <w:sz w:val="22"/>
                <w:lang w:eastAsia="en-AU"/>
              </w:rPr>
            </w:pPr>
            <w:r w:rsidRPr="003E224C">
              <w:rPr>
                <w:rFonts w:eastAsia="Times New Roman" w:cs="Arial"/>
                <w:sz w:val="22"/>
                <w:lang w:eastAsia="en-AU"/>
              </w:rPr>
              <w:t>The project was delivered under budget within the period without significant delay to development (resulted in a 17% saving on the approved business case).</w:t>
            </w:r>
          </w:p>
        </w:tc>
      </w:tr>
    </w:tbl>
    <w:p w14:paraId="453B6173" w14:textId="581194A4" w:rsidR="00AC6A48" w:rsidRPr="00D6336B" w:rsidRDefault="003C0372" w:rsidP="005D49CF">
      <w:pPr>
        <w:spacing w:after="0"/>
        <w:textAlignment w:val="baseline"/>
        <w:rPr>
          <w:rFonts w:eastAsia="Times New Roman" w:cs="Arial"/>
          <w:b/>
          <w:bCs/>
          <w:color w:val="0082BB"/>
          <w:sz w:val="20"/>
          <w:szCs w:val="20"/>
          <w:lang w:eastAsia="en-AU"/>
        </w:rPr>
      </w:pPr>
      <w:r w:rsidRPr="00D6336B">
        <w:rPr>
          <w:rFonts w:eastAsia="Times New Roman" w:cs="Arial"/>
          <w:sz w:val="20"/>
          <w:szCs w:val="20"/>
          <w:lang w:eastAsia="en-AU"/>
        </w:rPr>
        <w:t> </w:t>
      </w:r>
    </w:p>
    <w:p w14:paraId="377E3239" w14:textId="77777777" w:rsidR="003C0372" w:rsidRPr="003C0372" w:rsidRDefault="003C0372" w:rsidP="003C0372">
      <w:pPr>
        <w:spacing w:after="0"/>
        <w:textAlignment w:val="baseline"/>
        <w:rPr>
          <w:rFonts w:ascii="Segoe UI" w:eastAsia="Times New Roman" w:hAnsi="Segoe UI" w:cs="Segoe UI"/>
          <w:sz w:val="18"/>
          <w:szCs w:val="18"/>
          <w:lang w:eastAsia="en-AU"/>
        </w:rPr>
      </w:pPr>
      <w:r w:rsidRPr="003C0372">
        <w:rPr>
          <w:rFonts w:eastAsia="Times New Roman" w:cs="Arial"/>
          <w:sz w:val="20"/>
          <w:szCs w:val="20"/>
          <w:lang w:eastAsia="en-AU"/>
        </w:rPr>
        <w:t> </w:t>
      </w:r>
    </w:p>
    <w:tbl>
      <w:tblPr>
        <w:tblStyle w:val="MJTableStyle1default"/>
        <w:tblW w:w="9016" w:type="dxa"/>
        <w:tblInd w:w="0" w:type="dxa"/>
        <w:tblLook w:val="06A0" w:firstRow="1" w:lastRow="0" w:firstColumn="1" w:lastColumn="0" w:noHBand="1" w:noVBand="1"/>
      </w:tblPr>
      <w:tblGrid>
        <w:gridCol w:w="9016"/>
      </w:tblGrid>
      <w:tr w:rsidR="00DE1C49" w:rsidRPr="003B1534" w14:paraId="7D71A4DC" w14:textId="77777777" w:rsidTr="00116E55">
        <w:trPr>
          <w:cnfStyle w:val="100000000000" w:firstRow="1" w:lastRow="0" w:firstColumn="0" w:lastColumn="0" w:oddVBand="0" w:evenVBand="0" w:oddHBand="0" w:evenHBand="0" w:firstRowFirstColumn="0" w:firstRowLastColumn="0" w:lastRowFirstColumn="0" w:lastRowLastColumn="0"/>
          <w:trHeight w:val="383"/>
          <w:tblHeader/>
        </w:trPr>
        <w:tc>
          <w:tcPr>
            <w:tcW w:w="0" w:type="dxa"/>
            <w:tcBorders>
              <w:top w:val="single" w:sz="2" w:space="0" w:color="002279"/>
              <w:bottom w:val="single" w:sz="2" w:space="0" w:color="002279"/>
            </w:tcBorders>
            <w:shd w:val="clear" w:color="auto" w:fill="002279"/>
            <w:vAlign w:val="center"/>
          </w:tcPr>
          <w:p w14:paraId="373B6A81" w14:textId="1B85D90A" w:rsidR="00DE1C49" w:rsidRPr="00DD0824" w:rsidRDefault="00DE1C49" w:rsidP="001B55D0">
            <w:pPr>
              <w:spacing w:before="60" w:after="60" w:line="259" w:lineRule="auto"/>
              <w:rPr>
                <w:rFonts w:asciiTheme="minorHAnsi" w:hAnsiTheme="minorHAnsi" w:cstheme="minorHAnsi"/>
                <w:b/>
                <w:sz w:val="22"/>
                <w:szCs w:val="22"/>
              </w:rPr>
            </w:pPr>
            <w:r w:rsidRPr="00DD0824">
              <w:rPr>
                <w:rFonts w:asciiTheme="minorHAnsi" w:hAnsiTheme="minorHAnsi" w:cstheme="minorHAnsi"/>
                <w:b/>
                <w:sz w:val="22"/>
                <w:szCs w:val="22"/>
              </w:rPr>
              <w:t xml:space="preserve">PROJECT </w:t>
            </w:r>
            <w:r w:rsidR="006A6A8B">
              <w:rPr>
                <w:rFonts w:asciiTheme="minorHAnsi" w:hAnsiTheme="minorHAnsi" w:cstheme="minorHAnsi"/>
                <w:b/>
                <w:sz w:val="22"/>
                <w:szCs w:val="22"/>
              </w:rPr>
              <w:t>2</w:t>
            </w:r>
            <w:r>
              <w:rPr>
                <w:rFonts w:asciiTheme="minorHAnsi" w:hAnsiTheme="minorHAnsi" w:cstheme="minorHAnsi"/>
                <w:b/>
                <w:sz w:val="22"/>
                <w:szCs w:val="22"/>
              </w:rPr>
              <w:t>: B</w:t>
            </w:r>
            <w:r w:rsidR="006A6A8B">
              <w:rPr>
                <w:rFonts w:asciiTheme="minorHAnsi" w:hAnsiTheme="minorHAnsi" w:cstheme="minorHAnsi"/>
                <w:b/>
                <w:sz w:val="22"/>
                <w:szCs w:val="22"/>
              </w:rPr>
              <w:t>on</w:t>
            </w:r>
            <w:r w:rsidR="002A19CE">
              <w:rPr>
                <w:rFonts w:asciiTheme="minorHAnsi" w:hAnsiTheme="minorHAnsi" w:cstheme="minorHAnsi"/>
                <w:b/>
                <w:sz w:val="22"/>
                <w:szCs w:val="22"/>
              </w:rPr>
              <w:t xml:space="preserve">eo </w:t>
            </w:r>
            <w:r w:rsidR="001876A5">
              <w:rPr>
                <w:rFonts w:asciiTheme="minorHAnsi" w:hAnsiTheme="minorHAnsi" w:cstheme="minorHAnsi"/>
                <w:b/>
                <w:sz w:val="22"/>
                <w:szCs w:val="22"/>
              </w:rPr>
              <w:t>T</w:t>
            </w:r>
            <w:r w:rsidR="002A19CE">
              <w:rPr>
                <w:rFonts w:asciiTheme="minorHAnsi" w:hAnsiTheme="minorHAnsi" w:cstheme="minorHAnsi"/>
                <w:b/>
                <w:sz w:val="22"/>
                <w:szCs w:val="22"/>
              </w:rPr>
              <w:t xml:space="preserve">reatment </w:t>
            </w:r>
            <w:r w:rsidR="001876A5">
              <w:rPr>
                <w:rFonts w:asciiTheme="minorHAnsi" w:hAnsiTheme="minorHAnsi" w:cstheme="minorHAnsi"/>
                <w:b/>
                <w:sz w:val="22"/>
                <w:szCs w:val="22"/>
              </w:rPr>
              <w:t>P</w:t>
            </w:r>
            <w:r w:rsidR="002A19CE">
              <w:rPr>
                <w:rFonts w:asciiTheme="minorHAnsi" w:hAnsiTheme="minorHAnsi" w:cstheme="minorHAnsi"/>
                <w:b/>
                <w:sz w:val="22"/>
                <w:szCs w:val="22"/>
              </w:rPr>
              <w:t xml:space="preserve">lant </w:t>
            </w:r>
            <w:r w:rsidR="001876A5">
              <w:rPr>
                <w:rFonts w:asciiTheme="minorHAnsi" w:hAnsiTheme="minorHAnsi" w:cstheme="minorHAnsi"/>
                <w:b/>
                <w:sz w:val="22"/>
                <w:szCs w:val="22"/>
              </w:rPr>
              <w:t>D</w:t>
            </w:r>
            <w:r w:rsidR="002A19CE">
              <w:rPr>
                <w:rFonts w:asciiTheme="minorHAnsi" w:hAnsiTheme="minorHAnsi" w:cstheme="minorHAnsi"/>
                <w:b/>
                <w:sz w:val="22"/>
                <w:szCs w:val="22"/>
              </w:rPr>
              <w:t xml:space="preserve">elivery </w:t>
            </w:r>
            <w:r w:rsidR="001876A5">
              <w:rPr>
                <w:rFonts w:asciiTheme="minorHAnsi" w:hAnsiTheme="minorHAnsi" w:cstheme="minorHAnsi"/>
                <w:b/>
                <w:sz w:val="22"/>
                <w:szCs w:val="22"/>
              </w:rPr>
              <w:t>P</w:t>
            </w:r>
            <w:r w:rsidR="002A19CE">
              <w:rPr>
                <w:rFonts w:asciiTheme="minorHAnsi" w:hAnsiTheme="minorHAnsi" w:cstheme="minorHAnsi"/>
                <w:b/>
                <w:sz w:val="22"/>
                <w:szCs w:val="22"/>
              </w:rPr>
              <w:t>erformance</w:t>
            </w:r>
            <w:r w:rsidR="00A1315F">
              <w:rPr>
                <w:rFonts w:asciiTheme="minorHAnsi" w:hAnsiTheme="minorHAnsi" w:cstheme="minorHAnsi"/>
                <w:b/>
                <w:sz w:val="22"/>
                <w:szCs w:val="22"/>
              </w:rPr>
              <w:t xml:space="preserve"> </w:t>
            </w:r>
          </w:p>
        </w:tc>
      </w:tr>
      <w:tr w:rsidR="00DE1C49" w:rsidRPr="003B1534" w14:paraId="0179115B" w14:textId="77777777" w:rsidTr="00116E55">
        <w:tc>
          <w:tcPr>
            <w:tcW w:w="0" w:type="dxa"/>
            <w:tcBorders>
              <w:top w:val="single" w:sz="2" w:space="0" w:color="002279"/>
              <w:bottom w:val="single" w:sz="2" w:space="0" w:color="002279"/>
            </w:tcBorders>
          </w:tcPr>
          <w:p w14:paraId="26B4CF15" w14:textId="66959FF6" w:rsidR="00DE1C49" w:rsidRPr="005126D7" w:rsidRDefault="00DE1C49" w:rsidP="00BD7775">
            <w:pPr>
              <w:spacing w:line="259" w:lineRule="auto"/>
              <w:rPr>
                <w:rFonts w:cstheme="minorHAnsi"/>
                <w:sz w:val="22"/>
              </w:rPr>
            </w:pPr>
            <w:r w:rsidRPr="005126D7">
              <w:rPr>
                <w:rFonts w:cstheme="minorHAnsi"/>
                <w:b/>
                <w:sz w:val="22"/>
              </w:rPr>
              <w:t xml:space="preserve">Major service: </w:t>
            </w:r>
            <w:r w:rsidRPr="005126D7">
              <w:rPr>
                <w:rFonts w:cstheme="minorHAnsi"/>
                <w:sz w:val="22"/>
              </w:rPr>
              <w:t>Sewerage</w:t>
            </w:r>
          </w:p>
        </w:tc>
      </w:tr>
      <w:tr w:rsidR="00DE1C49" w:rsidRPr="003B1534" w14:paraId="1234F16C" w14:textId="77777777" w:rsidTr="00116E55">
        <w:tc>
          <w:tcPr>
            <w:tcW w:w="0" w:type="dxa"/>
            <w:tcBorders>
              <w:top w:val="single" w:sz="2" w:space="0" w:color="002279"/>
              <w:bottom w:val="single" w:sz="2" w:space="0" w:color="002279"/>
            </w:tcBorders>
          </w:tcPr>
          <w:p w14:paraId="1C9B706E" w14:textId="0693E8A7" w:rsidR="00DE1C49" w:rsidRPr="005126D7" w:rsidRDefault="00DE1C49" w:rsidP="00BD7775">
            <w:pPr>
              <w:spacing w:line="259" w:lineRule="auto"/>
              <w:rPr>
                <w:rFonts w:cstheme="minorHAnsi"/>
                <w:sz w:val="22"/>
              </w:rPr>
            </w:pPr>
            <w:r w:rsidRPr="005126D7">
              <w:rPr>
                <w:rFonts w:cstheme="minorHAnsi"/>
                <w:b/>
                <w:sz w:val="22"/>
              </w:rPr>
              <w:t xml:space="preserve">Asset category: </w:t>
            </w:r>
            <w:r w:rsidR="00FA04A2" w:rsidRPr="005126D7">
              <w:rPr>
                <w:rFonts w:cstheme="minorHAnsi"/>
                <w:bCs/>
                <w:sz w:val="22"/>
              </w:rPr>
              <w:t>Treatment</w:t>
            </w:r>
            <w:r w:rsidR="00A1315F">
              <w:rPr>
                <w:rFonts w:cstheme="minorHAnsi"/>
                <w:b/>
                <w:sz w:val="22"/>
              </w:rPr>
              <w:t xml:space="preserve"> </w:t>
            </w:r>
          </w:p>
        </w:tc>
      </w:tr>
      <w:tr w:rsidR="00DE1C49" w:rsidRPr="003B1534" w14:paraId="729A2DB7" w14:textId="77777777" w:rsidTr="00116E55">
        <w:tc>
          <w:tcPr>
            <w:tcW w:w="0" w:type="dxa"/>
            <w:tcBorders>
              <w:top w:val="single" w:sz="2" w:space="0" w:color="002279"/>
              <w:bottom w:val="single" w:sz="2" w:space="0" w:color="002279"/>
            </w:tcBorders>
          </w:tcPr>
          <w:p w14:paraId="141E89D3" w14:textId="05F5750D" w:rsidR="00DE1C49" w:rsidRPr="005126D7" w:rsidRDefault="00DE1C49" w:rsidP="00BD7775">
            <w:pPr>
              <w:spacing w:line="259" w:lineRule="auto"/>
              <w:rPr>
                <w:rFonts w:cstheme="minorHAnsi"/>
                <w:b/>
                <w:sz w:val="22"/>
              </w:rPr>
            </w:pPr>
            <w:r w:rsidRPr="005126D7">
              <w:rPr>
                <w:rFonts w:cstheme="minorHAnsi"/>
                <w:b/>
                <w:sz w:val="22"/>
              </w:rPr>
              <w:t xml:space="preserve">Driver: </w:t>
            </w:r>
            <w:r w:rsidRPr="005126D7">
              <w:rPr>
                <w:rFonts w:cstheme="minorHAnsi"/>
                <w:sz w:val="22"/>
              </w:rPr>
              <w:t>Growth</w:t>
            </w:r>
            <w:r w:rsidR="00FA04A2" w:rsidRPr="005126D7">
              <w:rPr>
                <w:rFonts w:cstheme="minorHAnsi"/>
                <w:sz w:val="22"/>
              </w:rPr>
              <w:t xml:space="preserve">. </w:t>
            </w:r>
            <w:r w:rsidR="00FA04A2" w:rsidRPr="005126D7">
              <w:rPr>
                <w:rFonts w:eastAsia="Times New Roman" w:cs="Arial"/>
                <w:sz w:val="22"/>
                <w:lang w:eastAsia="en-AU"/>
              </w:rPr>
              <w:t>Significant growth in the catchment, particularly due to the Peninsula ECO backlog sewerage program, necessitates an increase in treatment plant capacity </w:t>
            </w:r>
          </w:p>
        </w:tc>
      </w:tr>
      <w:tr w:rsidR="00DE1C49" w:rsidRPr="003B1534" w14:paraId="580FD4B8" w14:textId="77777777" w:rsidTr="00116E55">
        <w:tc>
          <w:tcPr>
            <w:tcW w:w="0" w:type="dxa"/>
            <w:tcBorders>
              <w:top w:val="single" w:sz="2" w:space="0" w:color="002279"/>
              <w:bottom w:val="single" w:sz="2" w:space="0" w:color="002279"/>
            </w:tcBorders>
          </w:tcPr>
          <w:p w14:paraId="3E838EF3" w14:textId="3D243809" w:rsidR="00DE1C49" w:rsidRPr="005126D7" w:rsidRDefault="00DE1C49" w:rsidP="005126D7">
            <w:pPr>
              <w:spacing w:after="0"/>
              <w:textAlignment w:val="baseline"/>
              <w:rPr>
                <w:rFonts w:cstheme="minorHAnsi"/>
                <w:sz w:val="22"/>
              </w:rPr>
            </w:pPr>
            <w:r w:rsidRPr="005126D7">
              <w:rPr>
                <w:rFonts w:cstheme="minorHAnsi"/>
                <w:b/>
                <w:sz w:val="22"/>
              </w:rPr>
              <w:t xml:space="preserve">Description: </w:t>
            </w:r>
            <w:r w:rsidR="00FA04A2" w:rsidRPr="005126D7">
              <w:rPr>
                <w:rFonts w:eastAsia="Times New Roman" w:cs="Arial"/>
                <w:sz w:val="22"/>
                <w:lang w:eastAsia="en-AU"/>
              </w:rPr>
              <w:t>The project is a major upgrade of the Boneo</w:t>
            </w:r>
            <w:r w:rsidR="00E14DE5" w:rsidRPr="005126D7">
              <w:rPr>
                <w:rFonts w:eastAsia="Times New Roman" w:cs="Arial"/>
                <w:sz w:val="22"/>
                <w:lang w:eastAsia="en-AU"/>
              </w:rPr>
              <w:t xml:space="preserve"> </w:t>
            </w:r>
            <w:r w:rsidR="00E14DE5">
              <w:rPr>
                <w:rFonts w:cs="Arial"/>
                <w:sz w:val="22"/>
                <w:szCs w:val="24"/>
              </w:rPr>
              <w:t>Water Recycling Plant</w:t>
            </w:r>
            <w:r w:rsidR="00FA04A2" w:rsidRPr="005126D7">
              <w:rPr>
                <w:rFonts w:eastAsia="Times New Roman" w:cs="Arial"/>
                <w:sz w:val="22"/>
                <w:lang w:eastAsia="en-AU"/>
              </w:rPr>
              <w:t>. It addresses current and projected capacity constraints arising from growth in the number of properties connected to the sewer network. The upgrade is required to augment both the solid and liquid treatment processes.</w:t>
            </w:r>
            <w:r w:rsidR="00A1315F">
              <w:rPr>
                <w:rFonts w:eastAsia="Times New Roman" w:cs="Arial"/>
                <w:sz w:val="22"/>
                <w:lang w:eastAsia="en-AU"/>
              </w:rPr>
              <w:t xml:space="preserve"> </w:t>
            </w:r>
          </w:p>
        </w:tc>
      </w:tr>
      <w:tr w:rsidR="00DE1C49" w:rsidRPr="003B1534" w14:paraId="7CE32C4C" w14:textId="77777777" w:rsidTr="00116E55">
        <w:tc>
          <w:tcPr>
            <w:tcW w:w="0" w:type="dxa"/>
            <w:tcBorders>
              <w:top w:val="single" w:sz="2" w:space="0" w:color="002279"/>
              <w:bottom w:val="single" w:sz="2" w:space="0" w:color="002279"/>
            </w:tcBorders>
          </w:tcPr>
          <w:p w14:paraId="72608BE1" w14:textId="15268FDD" w:rsidR="00DE1C49" w:rsidRPr="005126D7" w:rsidRDefault="00DE1C49" w:rsidP="00BD7775">
            <w:pPr>
              <w:rPr>
                <w:rFonts w:cstheme="minorHAnsi"/>
                <w:sz w:val="22"/>
              </w:rPr>
            </w:pPr>
            <w:r w:rsidRPr="005126D7">
              <w:rPr>
                <w:rFonts w:cstheme="minorHAnsi"/>
                <w:b/>
                <w:sz w:val="22"/>
              </w:rPr>
              <w:t>Customer outcome:</w:t>
            </w:r>
            <w:r w:rsidRPr="005126D7">
              <w:rPr>
                <w:rFonts w:cstheme="minorHAnsi"/>
                <w:sz w:val="22"/>
              </w:rPr>
              <w:t xml:space="preserve"> </w:t>
            </w:r>
            <w:r w:rsidRPr="005126D7">
              <w:rPr>
                <w:rFonts w:cstheme="minorHAnsi"/>
                <w:i/>
                <w:sz w:val="22"/>
              </w:rPr>
              <w:t xml:space="preserve">Get the basics right, always </w:t>
            </w:r>
          </w:p>
        </w:tc>
      </w:tr>
      <w:tr w:rsidR="00DC4FB9" w:rsidRPr="003B1534" w14:paraId="2B8DC092" w14:textId="77777777" w:rsidTr="00116E55">
        <w:tc>
          <w:tcPr>
            <w:tcW w:w="0" w:type="dxa"/>
            <w:tcBorders>
              <w:top w:val="single" w:sz="2" w:space="0" w:color="002279"/>
              <w:bottom w:val="single" w:sz="2" w:space="0" w:color="002279"/>
            </w:tcBorders>
            <w:vAlign w:val="center"/>
          </w:tcPr>
          <w:p w14:paraId="32275FAA" w14:textId="6B6A69B7" w:rsidR="00DC4FB9" w:rsidRPr="005126D7" w:rsidRDefault="005126D7" w:rsidP="00DC4FB9">
            <w:pPr>
              <w:spacing w:line="259" w:lineRule="auto"/>
              <w:rPr>
                <w:rFonts w:eastAsia="Times New Roman" w:cs="Arial"/>
                <w:b/>
                <w:bCs/>
                <w:sz w:val="22"/>
                <w:lang w:eastAsia="en-AU"/>
              </w:rPr>
            </w:pPr>
            <w:r w:rsidRPr="005126D7">
              <w:rPr>
                <w:rFonts w:eastAsia="Times New Roman" w:cs="Arial"/>
                <w:b/>
                <w:bCs/>
                <w:sz w:val="22"/>
                <w:lang w:eastAsia="en-AU"/>
              </w:rPr>
              <w:t>Objective</w:t>
            </w:r>
            <w:r w:rsidR="00DC4FB9" w:rsidRPr="005126D7">
              <w:rPr>
                <w:rFonts w:eastAsia="Times New Roman" w:cs="Arial"/>
                <w:b/>
                <w:bCs/>
                <w:sz w:val="22"/>
                <w:lang w:eastAsia="en-AU"/>
              </w:rPr>
              <w:t>:</w:t>
            </w:r>
            <w:r w:rsidR="00DC4FB9" w:rsidRPr="005126D7">
              <w:rPr>
                <w:rFonts w:eastAsia="Times New Roman" w:cs="Arial"/>
                <w:sz w:val="22"/>
                <w:lang w:eastAsia="en-AU"/>
              </w:rPr>
              <w:t xml:space="preserve"> To provide sufficient treatment capacity to accommodate growth cost effectively and ensure compliance with the plant</w:t>
            </w:r>
            <w:r w:rsidR="00612583">
              <w:rPr>
                <w:rFonts w:eastAsia="Times New Roman" w:cs="Arial"/>
                <w:sz w:val="22"/>
                <w:lang w:eastAsia="en-AU"/>
              </w:rPr>
              <w:t>’</w:t>
            </w:r>
            <w:r w:rsidR="00DC4FB9" w:rsidRPr="005126D7">
              <w:rPr>
                <w:rFonts w:eastAsia="Times New Roman" w:cs="Arial"/>
                <w:sz w:val="22"/>
                <w:lang w:eastAsia="en-AU"/>
              </w:rPr>
              <w:t>s EPA licence. </w:t>
            </w:r>
          </w:p>
        </w:tc>
      </w:tr>
      <w:tr w:rsidR="00DC4FB9" w:rsidRPr="003B1534" w14:paraId="33EA6426" w14:textId="77777777" w:rsidTr="00116E55">
        <w:tc>
          <w:tcPr>
            <w:tcW w:w="0" w:type="dxa"/>
            <w:tcBorders>
              <w:top w:val="single" w:sz="2" w:space="0" w:color="002279"/>
              <w:bottom w:val="single" w:sz="2" w:space="0" w:color="002279"/>
            </w:tcBorders>
          </w:tcPr>
          <w:p w14:paraId="78216346" w14:textId="566C0DFD" w:rsidR="00DC4FB9" w:rsidRPr="005126D7" w:rsidRDefault="00DC4FB9" w:rsidP="00DC4FB9">
            <w:pPr>
              <w:spacing w:line="259" w:lineRule="auto"/>
              <w:rPr>
                <w:rFonts w:cstheme="minorHAnsi"/>
                <w:b/>
                <w:sz w:val="22"/>
              </w:rPr>
            </w:pPr>
            <w:r w:rsidRPr="005126D7">
              <w:rPr>
                <w:rFonts w:eastAsia="Times New Roman" w:cs="Arial"/>
                <w:b/>
                <w:bCs/>
                <w:sz w:val="22"/>
                <w:lang w:eastAsia="en-AU"/>
              </w:rPr>
              <w:t>Benefits:</w:t>
            </w:r>
            <w:r w:rsidRPr="005126D7">
              <w:rPr>
                <w:rFonts w:eastAsia="Times New Roman" w:cs="Arial"/>
                <w:sz w:val="22"/>
                <w:lang w:eastAsia="en-AU"/>
              </w:rPr>
              <w:t xml:space="preserve"> </w:t>
            </w:r>
            <w:r w:rsidR="005126D7" w:rsidRPr="005126D7">
              <w:rPr>
                <w:rFonts w:eastAsia="Times New Roman" w:cs="Arial"/>
                <w:sz w:val="22"/>
                <w:lang w:eastAsia="en-AU"/>
              </w:rPr>
              <w:t>The works will provide adequate treatment capacity to 2035 with only moderate works required to provide capacity to ultimate catchment development in 2050. </w:t>
            </w:r>
          </w:p>
        </w:tc>
      </w:tr>
      <w:tr w:rsidR="00DC4FB9" w:rsidRPr="003B1534" w14:paraId="1B6399FF" w14:textId="77777777" w:rsidTr="00116E55">
        <w:tc>
          <w:tcPr>
            <w:tcW w:w="0" w:type="dxa"/>
            <w:tcBorders>
              <w:top w:val="single" w:sz="2" w:space="0" w:color="002279"/>
              <w:bottom w:val="single" w:sz="2" w:space="0" w:color="002279"/>
            </w:tcBorders>
            <w:vAlign w:val="center"/>
          </w:tcPr>
          <w:p w14:paraId="4210D90D" w14:textId="6123144E" w:rsidR="00DC4FB9" w:rsidRPr="00E62E92" w:rsidRDefault="00DC4FB9" w:rsidP="00DC4FB9">
            <w:pPr>
              <w:pStyle w:val="BodyText"/>
              <w:rPr>
                <w:rFonts w:eastAsia="Times New Roman" w:cs="Arial"/>
                <w:b/>
                <w:bCs/>
                <w:sz w:val="22"/>
                <w:lang w:eastAsia="en-AU"/>
              </w:rPr>
            </w:pPr>
            <w:r w:rsidRPr="00E62E92">
              <w:rPr>
                <w:rFonts w:eastAsia="Times New Roman" w:cs="Arial"/>
                <w:b/>
                <w:bCs/>
                <w:sz w:val="22"/>
                <w:lang w:eastAsia="en-AU"/>
              </w:rPr>
              <w:t>2018</w:t>
            </w:r>
            <w:r w:rsidR="00F33731">
              <w:rPr>
                <w:rFonts w:eastAsia="Times New Roman" w:cs="Arial"/>
                <w:b/>
                <w:bCs/>
                <w:sz w:val="22"/>
                <w:lang w:eastAsia="en-AU"/>
              </w:rPr>
              <w:t>–</w:t>
            </w:r>
            <w:r w:rsidRPr="00E62E92">
              <w:rPr>
                <w:rFonts w:eastAsia="Times New Roman" w:cs="Arial"/>
                <w:b/>
                <w:bCs/>
                <w:sz w:val="22"/>
                <w:lang w:eastAsia="en-AU"/>
              </w:rPr>
              <w:t xml:space="preserve">2023 estimate $ submitted to ESC: </w:t>
            </w:r>
            <w:r w:rsidR="00F34743" w:rsidRPr="00E62E92">
              <w:rPr>
                <w:rFonts w:eastAsia="Times New Roman" w:cs="Arial"/>
                <w:sz w:val="22"/>
                <w:lang w:eastAsia="en-AU"/>
              </w:rPr>
              <w:t>$103.5m</w:t>
            </w:r>
            <w:r w:rsidR="00A1315F">
              <w:rPr>
                <w:rFonts w:eastAsia="Times New Roman" w:cs="Arial"/>
                <w:sz w:val="22"/>
                <w:lang w:eastAsia="en-AU"/>
              </w:rPr>
              <w:t xml:space="preserve"> </w:t>
            </w:r>
          </w:p>
        </w:tc>
      </w:tr>
      <w:tr w:rsidR="00DC4FB9" w:rsidRPr="003B1534" w14:paraId="3DFDEFFB" w14:textId="77777777" w:rsidTr="00116E55">
        <w:tc>
          <w:tcPr>
            <w:tcW w:w="0" w:type="dxa"/>
            <w:tcBorders>
              <w:top w:val="single" w:sz="2" w:space="0" w:color="002279"/>
              <w:bottom w:val="single" w:sz="2" w:space="0" w:color="002279"/>
            </w:tcBorders>
            <w:vAlign w:val="center"/>
          </w:tcPr>
          <w:p w14:paraId="5717900C" w14:textId="19CEDEF6" w:rsidR="00DC4FB9" w:rsidRPr="00E62E92" w:rsidRDefault="00DC4FB9" w:rsidP="00DC4FB9">
            <w:pPr>
              <w:spacing w:after="0"/>
              <w:textAlignment w:val="baseline"/>
              <w:rPr>
                <w:rFonts w:eastAsia="Times New Roman" w:cs="Arial"/>
                <w:b/>
                <w:bCs/>
                <w:sz w:val="22"/>
                <w:lang w:eastAsia="en-AU"/>
              </w:rPr>
            </w:pPr>
            <w:r w:rsidRPr="00E62E92">
              <w:rPr>
                <w:rFonts w:eastAsia="Times New Roman" w:cs="Arial"/>
                <w:b/>
                <w:bCs/>
                <w:sz w:val="22"/>
                <w:lang w:eastAsia="en-AU"/>
              </w:rPr>
              <w:t xml:space="preserve">What estimate was based on: </w:t>
            </w:r>
            <w:r w:rsidR="00F34743" w:rsidRPr="00E62E92">
              <w:rPr>
                <w:rFonts w:eastAsia="Times New Roman" w:cs="Arial"/>
                <w:sz w:val="22"/>
                <w:lang w:eastAsia="en-AU"/>
              </w:rPr>
              <w:t xml:space="preserve">Estimate was based on reference design utilising </w:t>
            </w:r>
            <w:r w:rsidR="006B2DCC" w:rsidRPr="00E62E92">
              <w:rPr>
                <w:rFonts w:eastAsia="Times New Roman" w:cs="Arial"/>
                <w:sz w:val="22"/>
                <w:lang w:eastAsia="en-AU"/>
              </w:rPr>
              <w:t>high-rate</w:t>
            </w:r>
            <w:r w:rsidR="00F34743" w:rsidRPr="00E62E92">
              <w:rPr>
                <w:rFonts w:eastAsia="Times New Roman" w:cs="Arial"/>
                <w:sz w:val="22"/>
                <w:lang w:eastAsia="en-AU"/>
              </w:rPr>
              <w:t xml:space="preserve"> anaerobic activated lagoon (HRAL) technology (similar to that used at WTP) which includes construction of a large ponds (with an embankment level of 6</w:t>
            </w:r>
            <w:r w:rsidR="00F33731">
              <w:rPr>
                <w:rFonts w:eastAsia="Times New Roman" w:cs="Arial"/>
                <w:sz w:val="22"/>
                <w:lang w:eastAsia="en-AU"/>
              </w:rPr>
              <w:t>–</w:t>
            </w:r>
            <w:r w:rsidR="00F34743" w:rsidRPr="00E62E92">
              <w:rPr>
                <w:rFonts w:eastAsia="Times New Roman" w:cs="Arial"/>
                <w:sz w:val="22"/>
                <w:lang w:eastAsia="en-AU"/>
              </w:rPr>
              <w:t xml:space="preserve">8m), which had the design capacity to service flows up to 2035 from which point additional works would be required potentially including a further large pond. </w:t>
            </w:r>
          </w:p>
        </w:tc>
      </w:tr>
      <w:tr w:rsidR="00DC4FB9" w:rsidRPr="003B1534" w14:paraId="6F372CFD" w14:textId="77777777" w:rsidTr="00116E55">
        <w:tc>
          <w:tcPr>
            <w:tcW w:w="0" w:type="dxa"/>
            <w:tcBorders>
              <w:top w:val="single" w:sz="2" w:space="0" w:color="002279"/>
              <w:bottom w:val="single" w:sz="2" w:space="0" w:color="002279"/>
            </w:tcBorders>
            <w:vAlign w:val="center"/>
          </w:tcPr>
          <w:p w14:paraId="51EC3EEF" w14:textId="77777777" w:rsidR="00DC4FB9" w:rsidRPr="00E62E92" w:rsidRDefault="00DC4FB9" w:rsidP="00DC4FB9">
            <w:pPr>
              <w:pStyle w:val="BodyText"/>
              <w:rPr>
                <w:rFonts w:eastAsia="Times New Roman" w:cs="Arial"/>
                <w:b/>
                <w:bCs/>
                <w:sz w:val="22"/>
                <w:lang w:eastAsia="en-AU"/>
              </w:rPr>
            </w:pPr>
            <w:r w:rsidRPr="00E62E92">
              <w:rPr>
                <w:rFonts w:eastAsia="Times New Roman" w:cs="Arial"/>
                <w:b/>
                <w:bCs/>
                <w:sz w:val="22"/>
                <w:lang w:eastAsia="en-AU"/>
              </w:rPr>
              <w:t xml:space="preserve">Estimate confidence: </w:t>
            </w:r>
            <w:r w:rsidRPr="00E62E92">
              <w:rPr>
                <w:rFonts w:eastAsia="Times New Roman" w:cs="Arial"/>
                <w:sz w:val="22"/>
                <w:lang w:eastAsia="en-AU"/>
              </w:rPr>
              <w:t>P50 </w:t>
            </w:r>
          </w:p>
        </w:tc>
      </w:tr>
      <w:tr w:rsidR="00DC4FB9" w:rsidRPr="003B1534" w14:paraId="6C72FFC8" w14:textId="77777777" w:rsidTr="00116E55">
        <w:tc>
          <w:tcPr>
            <w:tcW w:w="0" w:type="dxa"/>
            <w:tcBorders>
              <w:top w:val="single" w:sz="2" w:space="0" w:color="002279"/>
              <w:bottom w:val="single" w:sz="2" w:space="0" w:color="002279"/>
            </w:tcBorders>
          </w:tcPr>
          <w:p w14:paraId="32C5E1C5" w14:textId="304C490D" w:rsidR="00DC4FB9" w:rsidRPr="00E62E92" w:rsidRDefault="00DC4FB9" w:rsidP="00DC4FB9">
            <w:pPr>
              <w:pStyle w:val="BodyText"/>
              <w:rPr>
                <w:rFonts w:eastAsia="Times New Roman" w:cs="Arial"/>
                <w:b/>
                <w:bCs/>
                <w:sz w:val="22"/>
                <w:lang w:eastAsia="en-AU"/>
              </w:rPr>
            </w:pPr>
            <w:r w:rsidRPr="00E62E92">
              <w:rPr>
                <w:rFonts w:eastAsia="Times New Roman" w:cs="Arial"/>
                <w:b/>
                <w:bCs/>
                <w:sz w:val="22"/>
                <w:lang w:eastAsia="en-AU"/>
              </w:rPr>
              <w:t>2018</w:t>
            </w:r>
            <w:r w:rsidR="00F33731">
              <w:rPr>
                <w:rFonts w:eastAsia="Times New Roman" w:cs="Arial"/>
                <w:b/>
                <w:bCs/>
                <w:sz w:val="22"/>
                <w:lang w:eastAsia="en-AU"/>
              </w:rPr>
              <w:t>–</w:t>
            </w:r>
            <w:r w:rsidRPr="00E62E92">
              <w:rPr>
                <w:rFonts w:eastAsia="Times New Roman" w:cs="Arial"/>
                <w:b/>
                <w:bCs/>
                <w:sz w:val="22"/>
                <w:lang w:eastAsia="en-AU"/>
              </w:rPr>
              <w:t xml:space="preserve">2023 ESC determination $: </w:t>
            </w:r>
            <w:r w:rsidR="00FD2282" w:rsidRPr="00E62E92">
              <w:rPr>
                <w:rFonts w:eastAsia="Times New Roman" w:cs="Arial"/>
                <w:sz w:val="22"/>
                <w:lang w:eastAsia="en-AU"/>
              </w:rPr>
              <w:t>$103.5m</w:t>
            </w:r>
            <w:r w:rsidR="00A1315F">
              <w:rPr>
                <w:rFonts w:eastAsia="Times New Roman" w:cs="Arial"/>
                <w:sz w:val="22"/>
                <w:lang w:eastAsia="en-AU"/>
              </w:rPr>
              <w:t xml:space="preserve"> </w:t>
            </w:r>
          </w:p>
        </w:tc>
      </w:tr>
      <w:tr w:rsidR="00DC4FB9" w:rsidRPr="003B1534" w14:paraId="24B4A04C" w14:textId="77777777" w:rsidTr="00116E55">
        <w:tc>
          <w:tcPr>
            <w:tcW w:w="0" w:type="dxa"/>
            <w:tcBorders>
              <w:top w:val="single" w:sz="2" w:space="0" w:color="002279"/>
              <w:bottom w:val="single" w:sz="2" w:space="0" w:color="002279"/>
            </w:tcBorders>
            <w:vAlign w:val="center"/>
          </w:tcPr>
          <w:p w14:paraId="12CB84DC" w14:textId="17A9F7CD" w:rsidR="00DC4FB9" w:rsidRPr="00E62E92" w:rsidRDefault="00DC4FB9" w:rsidP="00DC4FB9">
            <w:pPr>
              <w:pStyle w:val="BodyText"/>
              <w:rPr>
                <w:rFonts w:eastAsia="Times New Roman" w:cs="Arial"/>
                <w:b/>
                <w:bCs/>
                <w:sz w:val="22"/>
                <w:lang w:eastAsia="en-AU"/>
              </w:rPr>
            </w:pPr>
            <w:r w:rsidRPr="00E62E92">
              <w:rPr>
                <w:rFonts w:eastAsia="Times New Roman" w:cs="Arial"/>
                <w:b/>
                <w:bCs/>
                <w:sz w:val="22"/>
                <w:lang w:eastAsia="en-AU"/>
              </w:rPr>
              <w:t xml:space="preserve">Business case $: </w:t>
            </w:r>
            <w:r w:rsidR="00FD2282" w:rsidRPr="00E62E92">
              <w:rPr>
                <w:rFonts w:eastAsia="Times New Roman" w:cs="Arial"/>
                <w:sz w:val="22"/>
                <w:lang w:eastAsia="en-AU"/>
              </w:rPr>
              <w:t>$135m</w:t>
            </w:r>
          </w:p>
        </w:tc>
      </w:tr>
      <w:tr w:rsidR="00DC4FB9" w:rsidRPr="003B1534" w14:paraId="17BAF8A7" w14:textId="77777777" w:rsidTr="00116E55">
        <w:tc>
          <w:tcPr>
            <w:tcW w:w="0" w:type="dxa"/>
            <w:tcBorders>
              <w:top w:val="single" w:sz="2" w:space="0" w:color="002279"/>
              <w:bottom w:val="single" w:sz="2" w:space="0" w:color="002279"/>
            </w:tcBorders>
            <w:vAlign w:val="center"/>
          </w:tcPr>
          <w:p w14:paraId="40765C2D" w14:textId="0A4A6BB6" w:rsidR="00DC4FB9" w:rsidRPr="00E62E92" w:rsidRDefault="00DC4FB9" w:rsidP="00DC4FB9">
            <w:pPr>
              <w:pStyle w:val="BodyText"/>
              <w:rPr>
                <w:rFonts w:eastAsia="Times New Roman" w:cs="Arial"/>
                <w:b/>
                <w:bCs/>
                <w:sz w:val="22"/>
                <w:lang w:eastAsia="en-AU"/>
              </w:rPr>
            </w:pPr>
            <w:r w:rsidRPr="00E62E92">
              <w:rPr>
                <w:rFonts w:eastAsia="Times New Roman" w:cs="Arial"/>
                <w:b/>
                <w:bCs/>
                <w:sz w:val="22"/>
                <w:lang w:eastAsia="en-AU"/>
              </w:rPr>
              <w:t>Reason for change</w:t>
            </w:r>
            <w:r w:rsidR="00E27178">
              <w:rPr>
                <w:rFonts w:eastAsia="Times New Roman" w:cs="Arial"/>
                <w:b/>
                <w:bCs/>
                <w:sz w:val="22"/>
                <w:lang w:eastAsia="en-AU"/>
              </w:rPr>
              <w:t>/</w:t>
            </w:r>
            <w:r w:rsidRPr="00E62E92">
              <w:rPr>
                <w:rFonts w:eastAsia="Times New Roman" w:cs="Arial"/>
                <w:b/>
                <w:bCs/>
                <w:sz w:val="22"/>
                <w:lang w:eastAsia="en-AU"/>
              </w:rPr>
              <w:t>difference between 2018</w:t>
            </w:r>
            <w:r w:rsidR="00FE7457">
              <w:rPr>
                <w:rFonts w:eastAsia="Times New Roman" w:cs="Arial"/>
                <w:b/>
                <w:bCs/>
                <w:sz w:val="22"/>
                <w:lang w:eastAsia="en-AU"/>
              </w:rPr>
              <w:t xml:space="preserve"> and </w:t>
            </w:r>
            <w:r w:rsidRPr="00E62E92">
              <w:rPr>
                <w:rFonts w:eastAsia="Times New Roman" w:cs="Arial"/>
                <w:b/>
                <w:bCs/>
                <w:sz w:val="22"/>
                <w:lang w:eastAsia="en-AU"/>
              </w:rPr>
              <w:t xml:space="preserve">2023 ESC determination $ and business case $: </w:t>
            </w:r>
            <w:r w:rsidR="008561A5" w:rsidRPr="00E62E92">
              <w:rPr>
                <w:rFonts w:eastAsia="Times New Roman" w:cs="Arial"/>
                <w:sz w:val="22"/>
                <w:lang w:eastAsia="en-AU"/>
              </w:rPr>
              <w:t xml:space="preserve">The challenges associated to geotechnical conditions and COVID </w:t>
            </w:r>
            <w:r w:rsidR="008561A5" w:rsidRPr="00E62E92">
              <w:rPr>
                <w:rFonts w:eastAsia="Times New Roman" w:cs="Arial"/>
                <w:sz w:val="22"/>
                <w:lang w:eastAsia="en-AU"/>
              </w:rPr>
              <w:lastRenderedPageBreak/>
              <w:t xml:space="preserve">restrictions led to a total construction cost of around $150m to complete the Boneo </w:t>
            </w:r>
            <w:r w:rsidR="001876A5">
              <w:rPr>
                <w:rFonts w:eastAsia="Times New Roman" w:cs="Arial"/>
                <w:sz w:val="22"/>
                <w:lang w:eastAsia="en-AU"/>
              </w:rPr>
              <w:t>T</w:t>
            </w:r>
            <w:r w:rsidR="008561A5" w:rsidRPr="00E62E92">
              <w:rPr>
                <w:rFonts w:eastAsia="Times New Roman" w:cs="Arial"/>
                <w:sz w:val="22"/>
                <w:lang w:eastAsia="en-AU"/>
              </w:rPr>
              <w:t xml:space="preserve">reatment </w:t>
            </w:r>
            <w:r w:rsidR="001876A5">
              <w:rPr>
                <w:rFonts w:eastAsia="Times New Roman" w:cs="Arial"/>
                <w:sz w:val="22"/>
                <w:lang w:eastAsia="en-AU"/>
              </w:rPr>
              <w:t>P</w:t>
            </w:r>
            <w:r w:rsidR="008561A5" w:rsidRPr="00E62E92">
              <w:rPr>
                <w:rFonts w:eastAsia="Times New Roman" w:cs="Arial"/>
                <w:sz w:val="22"/>
                <w:lang w:eastAsia="en-AU"/>
              </w:rPr>
              <w:t>lant.</w:t>
            </w:r>
            <w:r w:rsidR="00A1315F">
              <w:rPr>
                <w:rFonts w:eastAsia="Times New Roman" w:cs="Arial"/>
                <w:sz w:val="22"/>
                <w:lang w:eastAsia="en-AU"/>
              </w:rPr>
              <w:t xml:space="preserve"> </w:t>
            </w:r>
          </w:p>
        </w:tc>
      </w:tr>
      <w:tr w:rsidR="00DC4FB9" w:rsidRPr="003B1534" w14:paraId="563E2959" w14:textId="77777777" w:rsidTr="00360131">
        <w:trPr>
          <w:trHeight w:val="435"/>
        </w:trPr>
        <w:tc>
          <w:tcPr>
            <w:tcW w:w="0" w:type="dxa"/>
            <w:tcBorders>
              <w:top w:val="single" w:sz="2" w:space="0" w:color="002279"/>
              <w:bottom w:val="single" w:sz="2" w:space="0" w:color="002279"/>
            </w:tcBorders>
            <w:vAlign w:val="center"/>
          </w:tcPr>
          <w:p w14:paraId="15F43FBE" w14:textId="42BE48DF" w:rsidR="00DC4FB9" w:rsidRPr="00E62E92" w:rsidRDefault="00DC4FB9" w:rsidP="00E62E92">
            <w:pPr>
              <w:spacing w:after="0"/>
              <w:textAlignment w:val="baseline"/>
              <w:rPr>
                <w:rFonts w:eastAsia="Times New Roman" w:cs="Arial"/>
                <w:b/>
                <w:bCs/>
                <w:sz w:val="22"/>
                <w:lang w:eastAsia="en-AU"/>
              </w:rPr>
            </w:pPr>
            <w:r w:rsidRPr="00E62E92">
              <w:rPr>
                <w:rFonts w:eastAsia="Times New Roman" w:cs="Arial"/>
                <w:b/>
                <w:bCs/>
                <w:sz w:val="22"/>
                <w:lang w:eastAsia="en-AU"/>
              </w:rPr>
              <w:lastRenderedPageBreak/>
              <w:t>Actuals</w:t>
            </w:r>
            <w:r w:rsidR="00E27178">
              <w:rPr>
                <w:rFonts w:eastAsia="Times New Roman" w:cs="Arial"/>
                <w:b/>
                <w:bCs/>
                <w:sz w:val="22"/>
                <w:lang w:eastAsia="en-AU"/>
              </w:rPr>
              <w:t>/</w:t>
            </w:r>
            <w:r w:rsidRPr="00E62E92">
              <w:rPr>
                <w:rFonts w:eastAsia="Times New Roman" w:cs="Arial"/>
                <w:b/>
                <w:bCs/>
                <w:sz w:val="22"/>
                <w:lang w:eastAsia="en-AU"/>
              </w:rPr>
              <w:t>Forecast $ (30 June 2023)</w:t>
            </w:r>
            <w:r w:rsidRPr="00E62E92">
              <w:rPr>
                <w:rFonts w:eastAsia="Times New Roman" w:cs="Arial"/>
                <w:sz w:val="22"/>
                <w:lang w:eastAsia="en-AU"/>
              </w:rPr>
              <w:t> </w:t>
            </w:r>
            <w:r w:rsidRPr="00E62E92">
              <w:rPr>
                <w:rFonts w:eastAsia="Times New Roman" w:cs="Arial"/>
                <w:b/>
                <w:bCs/>
                <w:sz w:val="22"/>
                <w:lang w:eastAsia="en-AU"/>
              </w:rPr>
              <w:t>expenditure within 2018</w:t>
            </w:r>
            <w:r w:rsidR="00F33731">
              <w:rPr>
                <w:rFonts w:eastAsia="Times New Roman" w:cs="Arial"/>
                <w:b/>
                <w:bCs/>
                <w:sz w:val="22"/>
                <w:lang w:eastAsia="en-AU"/>
              </w:rPr>
              <w:t>–</w:t>
            </w:r>
            <w:r w:rsidRPr="00E62E92">
              <w:rPr>
                <w:rFonts w:eastAsia="Times New Roman" w:cs="Arial"/>
                <w:b/>
                <w:bCs/>
                <w:sz w:val="22"/>
                <w:lang w:eastAsia="en-AU"/>
              </w:rPr>
              <w:t>23:</w:t>
            </w:r>
            <w:r w:rsidR="00A1315F">
              <w:rPr>
                <w:rFonts w:eastAsia="Times New Roman" w:cs="Arial"/>
                <w:b/>
                <w:bCs/>
                <w:sz w:val="22"/>
                <w:lang w:eastAsia="en-AU"/>
              </w:rPr>
              <w:t xml:space="preserve"> </w:t>
            </w:r>
            <w:r w:rsidR="00981E65" w:rsidRPr="00E62E92">
              <w:rPr>
                <w:rFonts w:eastAsia="Times New Roman" w:cs="Arial"/>
                <w:sz w:val="22"/>
                <w:lang w:eastAsia="en-AU"/>
              </w:rPr>
              <w:t>$150.3</w:t>
            </w:r>
          </w:p>
        </w:tc>
      </w:tr>
      <w:tr w:rsidR="00DC4FB9" w:rsidRPr="003B1534" w14:paraId="7BEFFD60" w14:textId="77777777" w:rsidTr="00116E55">
        <w:tc>
          <w:tcPr>
            <w:tcW w:w="0" w:type="dxa"/>
            <w:tcBorders>
              <w:top w:val="single" w:sz="2" w:space="0" w:color="002279"/>
              <w:bottom w:val="single" w:sz="2" w:space="0" w:color="002279"/>
            </w:tcBorders>
          </w:tcPr>
          <w:p w14:paraId="70F18108" w14:textId="4197BE2F" w:rsidR="00DC4FB9" w:rsidRPr="00E62E92" w:rsidRDefault="00DC4FB9" w:rsidP="00DC4FB9">
            <w:pPr>
              <w:pStyle w:val="BodyText"/>
              <w:rPr>
                <w:rFonts w:eastAsia="Times New Roman" w:cs="Arial"/>
                <w:b/>
                <w:bCs/>
                <w:sz w:val="22"/>
                <w:lang w:eastAsia="en-AU"/>
              </w:rPr>
            </w:pPr>
            <w:r w:rsidRPr="00E62E92">
              <w:rPr>
                <w:rFonts w:eastAsia="Times New Roman" w:cs="Arial"/>
                <w:b/>
                <w:bCs/>
                <w:sz w:val="22"/>
                <w:lang w:eastAsia="en-AU"/>
              </w:rPr>
              <w:t>Project spend end date:</w:t>
            </w:r>
            <w:r w:rsidRPr="00E62E92">
              <w:rPr>
                <w:rFonts w:eastAsia="Times New Roman" w:cs="Arial"/>
                <w:sz w:val="22"/>
                <w:lang w:eastAsia="en-AU"/>
              </w:rPr>
              <w:t xml:space="preserve"> </w:t>
            </w:r>
            <w:r w:rsidR="00D16038" w:rsidRPr="00E62E92">
              <w:rPr>
                <w:rFonts w:eastAsia="Times New Roman" w:cs="Arial"/>
                <w:sz w:val="22"/>
                <w:lang w:eastAsia="en-AU"/>
              </w:rPr>
              <w:t>2021/22</w:t>
            </w:r>
            <w:r w:rsidR="00A1315F">
              <w:rPr>
                <w:rFonts w:eastAsia="Times New Roman" w:cs="Arial"/>
                <w:sz w:val="22"/>
                <w:lang w:eastAsia="en-AU"/>
              </w:rPr>
              <w:t xml:space="preserve"> </w:t>
            </w:r>
          </w:p>
        </w:tc>
      </w:tr>
      <w:tr w:rsidR="00DC4FB9" w:rsidRPr="003B1534" w14:paraId="41595623" w14:textId="77777777" w:rsidTr="00116E55">
        <w:tc>
          <w:tcPr>
            <w:tcW w:w="0" w:type="dxa"/>
            <w:tcBorders>
              <w:top w:val="single" w:sz="2" w:space="0" w:color="002279"/>
              <w:bottom w:val="single" w:sz="2" w:space="0" w:color="002279"/>
            </w:tcBorders>
          </w:tcPr>
          <w:p w14:paraId="40D83440" w14:textId="18FE7971" w:rsidR="00DC4FB9" w:rsidRPr="00E62E92" w:rsidRDefault="00DC4FB9" w:rsidP="00DC4FB9">
            <w:pPr>
              <w:pStyle w:val="BodyText"/>
              <w:rPr>
                <w:rFonts w:eastAsia="Times New Roman" w:cs="Arial"/>
                <w:b/>
                <w:bCs/>
                <w:sz w:val="22"/>
                <w:lang w:eastAsia="en-AU"/>
              </w:rPr>
            </w:pPr>
            <w:r w:rsidRPr="00E62E92">
              <w:rPr>
                <w:rFonts w:eastAsia="Times New Roman" w:cs="Arial"/>
                <w:b/>
                <w:bCs/>
                <w:sz w:val="22"/>
                <w:lang w:eastAsia="en-AU"/>
              </w:rPr>
              <w:t xml:space="preserve">Project status: </w:t>
            </w:r>
            <w:r w:rsidRPr="00E62E92">
              <w:rPr>
                <w:sz w:val="22"/>
                <w:lang w:eastAsia="en-AU"/>
              </w:rPr>
              <w:t xml:space="preserve">Completed late, </w:t>
            </w:r>
            <w:r w:rsidR="00960122">
              <w:rPr>
                <w:sz w:val="22"/>
                <w:lang w:eastAsia="en-AU"/>
              </w:rPr>
              <w:t xml:space="preserve">that is, </w:t>
            </w:r>
            <w:r w:rsidRPr="00E62E92">
              <w:rPr>
                <w:sz w:val="22"/>
                <w:lang w:eastAsia="en-AU"/>
              </w:rPr>
              <w:t>project was completed within period but later than original scheduled completion date.</w:t>
            </w:r>
          </w:p>
        </w:tc>
      </w:tr>
      <w:tr w:rsidR="00DC4FB9" w:rsidRPr="003B1534" w14:paraId="502D80EC" w14:textId="77777777" w:rsidTr="00116E55">
        <w:trPr>
          <w:trHeight w:val="1995"/>
        </w:trPr>
        <w:tc>
          <w:tcPr>
            <w:tcW w:w="0" w:type="dxa"/>
            <w:tcBorders>
              <w:top w:val="single" w:sz="2" w:space="0" w:color="002279"/>
              <w:bottom w:val="single" w:sz="2" w:space="0" w:color="002279"/>
            </w:tcBorders>
          </w:tcPr>
          <w:p w14:paraId="6A592D89" w14:textId="31F24E00" w:rsidR="008B44B0" w:rsidRPr="00E62E92" w:rsidRDefault="008B44B0" w:rsidP="008B44B0">
            <w:pPr>
              <w:spacing w:after="0"/>
              <w:textAlignment w:val="baseline"/>
              <w:rPr>
                <w:rFonts w:ascii="Segoe UI" w:eastAsia="Times New Roman" w:hAnsi="Segoe UI" w:cs="Segoe UI"/>
                <w:sz w:val="22"/>
                <w:lang w:eastAsia="en-AU"/>
              </w:rPr>
            </w:pPr>
            <w:r w:rsidRPr="00E62E92">
              <w:rPr>
                <w:rFonts w:eastAsiaTheme="minorEastAsia" w:cs="Arial"/>
                <w:b/>
                <w:bCs/>
                <w:sz w:val="22"/>
              </w:rPr>
              <w:t>Project update:</w:t>
            </w:r>
            <w:r w:rsidRPr="00E62E92">
              <w:rPr>
                <w:rFonts w:eastAsiaTheme="minorEastAsia" w:cs="Arial"/>
                <w:sz w:val="22"/>
              </w:rPr>
              <w:t xml:space="preserve"> </w:t>
            </w:r>
            <w:r w:rsidRPr="00E62E92">
              <w:rPr>
                <w:rFonts w:eastAsia="Times New Roman" w:cs="Arial"/>
                <w:sz w:val="22"/>
                <w:lang w:eastAsia="en-AU"/>
              </w:rPr>
              <w:t xml:space="preserve">The project was initially scheduled for completion by December 2020 but was extended to March 2021 due to geotechnical risks and some </w:t>
            </w:r>
            <w:r w:rsidR="008A781C">
              <w:rPr>
                <w:rFonts w:eastAsia="Times New Roman" w:cs="Arial"/>
                <w:sz w:val="22"/>
                <w:lang w:eastAsia="en-AU"/>
              </w:rPr>
              <w:t>COVID-19</w:t>
            </w:r>
            <w:r w:rsidRPr="00E62E92">
              <w:rPr>
                <w:rFonts w:eastAsia="Times New Roman" w:cs="Arial"/>
                <w:sz w:val="22"/>
                <w:lang w:eastAsia="en-AU"/>
              </w:rPr>
              <w:t xml:space="preserve"> implications. This extension was prior to the full realisation of the implications associated to </w:t>
            </w:r>
            <w:r w:rsidR="008A781C">
              <w:rPr>
                <w:rFonts w:eastAsia="Times New Roman" w:cs="Arial"/>
                <w:sz w:val="22"/>
                <w:lang w:eastAsia="en-AU"/>
              </w:rPr>
              <w:t>COVID-19</w:t>
            </w:r>
            <w:r w:rsidRPr="00E62E92">
              <w:rPr>
                <w:rFonts w:eastAsia="Times New Roman" w:cs="Arial"/>
                <w:sz w:val="22"/>
                <w:lang w:eastAsia="en-AU"/>
              </w:rPr>
              <w:t xml:space="preserve">. Because of </w:t>
            </w:r>
            <w:r w:rsidR="008A781C">
              <w:rPr>
                <w:rFonts w:eastAsia="Times New Roman" w:cs="Arial"/>
                <w:sz w:val="22"/>
                <w:lang w:eastAsia="en-AU"/>
              </w:rPr>
              <w:t>COVID-19</w:t>
            </w:r>
            <w:r w:rsidRPr="00E62E92">
              <w:rPr>
                <w:rFonts w:eastAsia="Times New Roman" w:cs="Arial"/>
                <w:sz w:val="22"/>
                <w:lang w:eastAsia="en-AU"/>
              </w:rPr>
              <w:t xml:space="preserve"> restrictions the construction phase was extended again by a further 12 months with the project being delivered in March 2022.</w:t>
            </w:r>
            <w:r w:rsidR="00A1315F">
              <w:rPr>
                <w:rFonts w:eastAsia="Times New Roman" w:cs="Arial"/>
                <w:sz w:val="22"/>
                <w:lang w:eastAsia="en-AU"/>
              </w:rPr>
              <w:t xml:space="preserve"> </w:t>
            </w:r>
          </w:p>
          <w:p w14:paraId="7A34CF96" w14:textId="20652500" w:rsidR="008B44B0" w:rsidRDefault="008B44B0" w:rsidP="008B44B0">
            <w:pPr>
              <w:spacing w:after="0"/>
              <w:textAlignment w:val="baseline"/>
              <w:rPr>
                <w:rFonts w:eastAsia="Times New Roman" w:cs="Arial"/>
                <w:sz w:val="22"/>
                <w:lang w:eastAsia="en-AU"/>
              </w:rPr>
            </w:pPr>
            <w:r w:rsidRPr="00E62E92">
              <w:rPr>
                <w:rFonts w:eastAsia="Times New Roman" w:cs="Arial"/>
                <w:sz w:val="22"/>
                <w:lang w:eastAsia="en-AU"/>
              </w:rPr>
              <w:t xml:space="preserve">The additional costs required to construct the Boneo treatment upgrade has been offset by the installation of greater capacity that has deferred the need for additional works by 15 years and the growth program </w:t>
            </w:r>
            <w:r w:rsidR="00BC2911">
              <w:rPr>
                <w:rFonts w:eastAsia="Times New Roman" w:cs="Arial"/>
                <w:sz w:val="22"/>
                <w:lang w:eastAsia="en-AU"/>
              </w:rPr>
              <w:t>‘</w:t>
            </w:r>
            <w:r w:rsidRPr="00E62E92">
              <w:rPr>
                <w:rFonts w:eastAsia="Times New Roman" w:cs="Arial"/>
                <w:sz w:val="22"/>
                <w:lang w:eastAsia="en-AU"/>
              </w:rPr>
              <w:t>risk bank</w:t>
            </w:r>
            <w:r w:rsidR="00BC2911">
              <w:rPr>
                <w:rFonts w:eastAsia="Times New Roman" w:cs="Arial"/>
                <w:sz w:val="22"/>
                <w:lang w:eastAsia="en-AU"/>
              </w:rPr>
              <w:t>’</w:t>
            </w:r>
            <w:r w:rsidRPr="00E62E92">
              <w:rPr>
                <w:rFonts w:eastAsia="Times New Roman" w:cs="Arial"/>
                <w:sz w:val="22"/>
                <w:lang w:eastAsia="en-AU"/>
              </w:rPr>
              <w:t xml:space="preserve"> savings (calculated at a P95 estimate) realised from South East Water</w:t>
            </w:r>
            <w:r w:rsidR="00612583">
              <w:rPr>
                <w:rFonts w:eastAsia="Times New Roman" w:cs="Arial"/>
                <w:sz w:val="22"/>
                <w:lang w:eastAsia="en-AU"/>
              </w:rPr>
              <w:t>’</w:t>
            </w:r>
            <w:r w:rsidRPr="00E62E92">
              <w:rPr>
                <w:rFonts w:eastAsia="Times New Roman" w:cs="Arial"/>
                <w:sz w:val="22"/>
                <w:lang w:eastAsia="en-AU"/>
              </w:rPr>
              <w:t>s management of portfolio investments at the program level.</w:t>
            </w:r>
            <w:r w:rsidR="00957616">
              <w:rPr>
                <w:rFonts w:eastAsia="Times New Roman" w:cs="Arial"/>
                <w:sz w:val="22"/>
                <w:lang w:eastAsia="en-AU"/>
              </w:rPr>
              <w:t xml:space="preserve"> </w:t>
            </w:r>
          </w:p>
          <w:p w14:paraId="1A680EE5" w14:textId="42B1F808" w:rsidR="008B44B0" w:rsidRPr="00E62E92" w:rsidRDefault="008B44B0" w:rsidP="008B44B0">
            <w:pPr>
              <w:spacing w:after="0"/>
              <w:textAlignment w:val="baseline"/>
              <w:rPr>
                <w:rFonts w:eastAsia="Times New Roman" w:cs="Arial"/>
                <w:sz w:val="22"/>
                <w:lang w:eastAsia="en-AU"/>
              </w:rPr>
            </w:pPr>
            <w:r w:rsidRPr="00E62E92">
              <w:rPr>
                <w:rFonts w:eastAsia="Times New Roman" w:cs="Arial"/>
                <w:sz w:val="22"/>
                <w:lang w:eastAsia="en-AU"/>
              </w:rPr>
              <w:t>During construction, the project encountered geotechnical issues associated to soft ground and water table issues. These geotechnical issues led to a reopening of the contract which caused ambient claims of around $14m.</w:t>
            </w:r>
            <w:r w:rsidR="00A1315F">
              <w:rPr>
                <w:rFonts w:eastAsia="Times New Roman" w:cs="Arial"/>
                <w:sz w:val="22"/>
                <w:lang w:eastAsia="en-AU"/>
              </w:rPr>
              <w:t xml:space="preserve"> </w:t>
            </w:r>
          </w:p>
          <w:p w14:paraId="1FF33463" w14:textId="634933AF" w:rsidR="00DC4FB9" w:rsidRPr="00E62E92" w:rsidRDefault="008B44B0" w:rsidP="00E62E92">
            <w:pPr>
              <w:spacing w:after="0"/>
              <w:textAlignment w:val="baseline"/>
              <w:rPr>
                <w:rFonts w:eastAsiaTheme="minorEastAsia" w:cs="Arial"/>
                <w:sz w:val="22"/>
                <w:highlight w:val="yellow"/>
              </w:rPr>
            </w:pPr>
            <w:r w:rsidRPr="00E62E92">
              <w:rPr>
                <w:rFonts w:eastAsia="Times New Roman" w:cs="Arial"/>
                <w:sz w:val="22"/>
                <w:lang w:eastAsia="en-AU"/>
              </w:rPr>
              <w:t xml:space="preserve">The project was further constrained by implications associated to </w:t>
            </w:r>
            <w:r w:rsidR="008A781C">
              <w:rPr>
                <w:rFonts w:eastAsia="Times New Roman" w:cs="Arial"/>
                <w:sz w:val="22"/>
                <w:lang w:eastAsia="en-AU"/>
              </w:rPr>
              <w:t>COVID-19</w:t>
            </w:r>
            <w:r w:rsidRPr="00E62E92">
              <w:rPr>
                <w:rFonts w:eastAsia="Times New Roman" w:cs="Arial"/>
                <w:sz w:val="22"/>
                <w:lang w:eastAsia="en-AU"/>
              </w:rPr>
              <w:t xml:space="preserve"> restrictions which included the issuing of public health orders that led to changes in work site work practices and international labour and equipment challenges. These changes caused time delays that increased the project costs by around $5m. </w:t>
            </w:r>
          </w:p>
        </w:tc>
      </w:tr>
      <w:tr w:rsidR="00DC4FB9" w:rsidRPr="003B1534" w14:paraId="2F1E732C" w14:textId="77777777" w:rsidTr="00116E55">
        <w:tc>
          <w:tcPr>
            <w:tcW w:w="0" w:type="dxa"/>
            <w:tcBorders>
              <w:top w:val="single" w:sz="2" w:space="0" w:color="002279"/>
              <w:bottom w:val="single" w:sz="2" w:space="0" w:color="002279"/>
            </w:tcBorders>
          </w:tcPr>
          <w:p w14:paraId="7CB7B818" w14:textId="550C3A77" w:rsidR="00DC4FB9" w:rsidRPr="00E62E92" w:rsidRDefault="00DC4FB9" w:rsidP="00DC4FB9">
            <w:pPr>
              <w:spacing w:after="0"/>
              <w:textAlignment w:val="baseline"/>
              <w:rPr>
                <w:rFonts w:eastAsia="Times New Roman" w:cs="Arial"/>
                <w:b/>
                <w:bCs/>
                <w:sz w:val="22"/>
                <w:lang w:eastAsia="en-AU"/>
              </w:rPr>
            </w:pPr>
            <w:r w:rsidRPr="00E62E92">
              <w:rPr>
                <w:rFonts w:eastAsia="Times New Roman" w:cs="Arial"/>
                <w:b/>
                <w:bCs/>
                <w:sz w:val="22"/>
                <w:lang w:eastAsia="en-AU"/>
              </w:rPr>
              <w:t xml:space="preserve">Indicative self-assessment score: </w:t>
            </w:r>
            <w:r w:rsidR="00E62E92" w:rsidRPr="00957616">
              <w:rPr>
                <w:rFonts w:eastAsia="Times New Roman" w:cs="Arial"/>
                <w:sz w:val="22"/>
                <w:lang w:eastAsia="en-AU"/>
              </w:rPr>
              <w:t xml:space="preserve">2 </w:t>
            </w:r>
            <w:r w:rsidR="00F33731">
              <w:rPr>
                <w:rFonts w:eastAsia="Times New Roman" w:cs="Arial"/>
                <w:sz w:val="22"/>
                <w:lang w:eastAsia="en-AU"/>
              </w:rPr>
              <w:t>–</w:t>
            </w:r>
            <w:r w:rsidR="00E62E92" w:rsidRPr="00957616">
              <w:rPr>
                <w:rFonts w:eastAsia="Times New Roman" w:cs="Arial"/>
                <w:sz w:val="22"/>
                <w:lang w:eastAsia="en-AU"/>
              </w:rPr>
              <w:t xml:space="preserve"> </w:t>
            </w:r>
            <w:r w:rsidR="008B44B0" w:rsidRPr="00957616">
              <w:rPr>
                <w:rFonts w:eastAsia="Times New Roman" w:cs="Arial"/>
                <w:sz w:val="22"/>
                <w:lang w:eastAsia="en-AU"/>
              </w:rPr>
              <w:t xml:space="preserve">Generally consistent with the </w:t>
            </w:r>
            <w:r w:rsidR="00E62E92" w:rsidRPr="00957616">
              <w:rPr>
                <w:rFonts w:eastAsia="Times New Roman" w:cs="Arial"/>
                <w:sz w:val="22"/>
                <w:lang w:eastAsia="en-AU"/>
              </w:rPr>
              <w:t>2018</w:t>
            </w:r>
            <w:r w:rsidR="00F33731">
              <w:rPr>
                <w:rFonts w:eastAsia="Times New Roman" w:cs="Arial"/>
                <w:sz w:val="22"/>
                <w:lang w:eastAsia="en-AU"/>
              </w:rPr>
              <w:t>–</w:t>
            </w:r>
            <w:r w:rsidR="00E62E92" w:rsidRPr="00957616">
              <w:rPr>
                <w:rFonts w:eastAsia="Times New Roman" w:cs="Arial"/>
                <w:sz w:val="22"/>
                <w:lang w:eastAsia="en-AU"/>
              </w:rPr>
              <w:t xml:space="preserve">23 </w:t>
            </w:r>
            <w:r w:rsidR="008B44B0" w:rsidRPr="00957616">
              <w:rPr>
                <w:rFonts w:eastAsia="Times New Roman" w:cs="Arial"/>
                <w:sz w:val="22"/>
                <w:lang w:eastAsia="en-AU"/>
              </w:rPr>
              <w:t>commitment</w:t>
            </w:r>
            <w:r w:rsidR="00A1315F">
              <w:rPr>
                <w:rFonts w:eastAsia="Times New Roman" w:cs="Arial"/>
                <w:sz w:val="22"/>
                <w:lang w:eastAsia="en-AU"/>
              </w:rPr>
              <w:t xml:space="preserve"> </w:t>
            </w:r>
          </w:p>
        </w:tc>
      </w:tr>
    </w:tbl>
    <w:p w14:paraId="04C846B4" w14:textId="77777777" w:rsidR="00766CB4" w:rsidRDefault="00766CB4" w:rsidP="000D6005">
      <w:pPr>
        <w:pStyle w:val="BodyText"/>
        <w:rPr>
          <w:rStyle w:val="normaltextrun"/>
          <w:rFonts w:cs="Arial"/>
          <w:b/>
          <w:bCs/>
          <w:color w:val="0082BB"/>
          <w:sz w:val="20"/>
          <w:szCs w:val="20"/>
          <w:shd w:val="clear" w:color="auto" w:fill="FFFFFF"/>
        </w:rPr>
      </w:pPr>
    </w:p>
    <w:tbl>
      <w:tblPr>
        <w:tblStyle w:val="MJTableStyle1default"/>
        <w:tblW w:w="9016" w:type="dxa"/>
        <w:tblInd w:w="0" w:type="dxa"/>
        <w:tblCellMar>
          <w:top w:w="57" w:type="dxa"/>
        </w:tblCellMar>
        <w:tblLook w:val="06A0" w:firstRow="1" w:lastRow="0" w:firstColumn="1" w:lastColumn="0" w:noHBand="1" w:noVBand="1"/>
      </w:tblPr>
      <w:tblGrid>
        <w:gridCol w:w="9016"/>
      </w:tblGrid>
      <w:tr w:rsidR="00D33224" w:rsidRPr="00DD0824" w14:paraId="0843DB5F" w14:textId="77777777" w:rsidTr="00360131">
        <w:trPr>
          <w:cnfStyle w:val="100000000000" w:firstRow="1" w:lastRow="0" w:firstColumn="0" w:lastColumn="0" w:oddVBand="0" w:evenVBand="0" w:oddHBand="0" w:evenHBand="0" w:firstRowFirstColumn="0" w:firstRowLastColumn="0" w:lastRowFirstColumn="0" w:lastRowLastColumn="0"/>
          <w:trHeight w:val="655"/>
          <w:tblHeader/>
        </w:trPr>
        <w:tc>
          <w:tcPr>
            <w:tcW w:w="0" w:type="dxa"/>
            <w:tcBorders>
              <w:top w:val="single" w:sz="2" w:space="0" w:color="002279"/>
              <w:bottom w:val="single" w:sz="2" w:space="0" w:color="002279"/>
            </w:tcBorders>
            <w:shd w:val="clear" w:color="auto" w:fill="002279"/>
            <w:vAlign w:val="center"/>
          </w:tcPr>
          <w:p w14:paraId="2AFEB3C8" w14:textId="437076A8" w:rsidR="00D33224" w:rsidRPr="00116E55" w:rsidRDefault="00D33224" w:rsidP="003B68B5">
            <w:pPr>
              <w:pStyle w:val="Heading2"/>
              <w:outlineLvl w:val="1"/>
              <w:rPr>
                <w:rFonts w:cstheme="minorHAnsi"/>
                <w:b w:val="0"/>
                <w:color w:val="FFFFFF" w:themeColor="background1"/>
                <w:sz w:val="22"/>
                <w:szCs w:val="22"/>
              </w:rPr>
            </w:pPr>
            <w:r w:rsidRPr="00116E55">
              <w:rPr>
                <w:color w:val="FFFFFF" w:themeColor="background1"/>
                <w:sz w:val="22"/>
                <w:szCs w:val="22"/>
              </w:rPr>
              <w:t xml:space="preserve">PROJECT </w:t>
            </w:r>
            <w:r w:rsidR="00790BE3" w:rsidRPr="00116E55">
              <w:rPr>
                <w:color w:val="FFFFFF" w:themeColor="background1"/>
                <w:sz w:val="22"/>
                <w:szCs w:val="22"/>
              </w:rPr>
              <w:t>3</w:t>
            </w:r>
            <w:r w:rsidRPr="00116E55">
              <w:rPr>
                <w:color w:val="FFFFFF" w:themeColor="background1"/>
                <w:sz w:val="22"/>
                <w:szCs w:val="22"/>
              </w:rPr>
              <w:t xml:space="preserve">: </w:t>
            </w:r>
            <w:r w:rsidR="005A3870" w:rsidRPr="003B68B5">
              <w:rPr>
                <w:rStyle w:val="normaltextrun"/>
                <w:rFonts w:ascii="Arial" w:hAnsi="Arial" w:cs="Arial"/>
                <w:color w:val="FFFFFF" w:themeColor="background1"/>
                <w:sz w:val="22"/>
                <w:szCs w:val="22"/>
              </w:rPr>
              <w:t>Clayton East and West Catchment Capacity Improvement Works delivery performance</w:t>
            </w:r>
            <w:r w:rsidR="005A3870" w:rsidRPr="003B68B5">
              <w:rPr>
                <w:rStyle w:val="eop"/>
                <w:rFonts w:ascii="Arial" w:hAnsi="Arial" w:cs="Arial"/>
                <w:color w:val="FFFFFF" w:themeColor="background1"/>
                <w:sz w:val="22"/>
                <w:szCs w:val="22"/>
              </w:rPr>
              <w:t> </w:t>
            </w:r>
          </w:p>
        </w:tc>
      </w:tr>
      <w:tr w:rsidR="00D33224" w:rsidRPr="005126D7" w14:paraId="295000AF" w14:textId="77777777" w:rsidTr="00360131">
        <w:tc>
          <w:tcPr>
            <w:tcW w:w="0" w:type="dxa"/>
            <w:tcBorders>
              <w:top w:val="single" w:sz="2" w:space="0" w:color="002279"/>
              <w:bottom w:val="single" w:sz="2" w:space="0" w:color="002279"/>
            </w:tcBorders>
          </w:tcPr>
          <w:p w14:paraId="0B8C8827" w14:textId="77777777" w:rsidR="00D33224" w:rsidRPr="00601368" w:rsidRDefault="00D33224" w:rsidP="00BD7775">
            <w:pPr>
              <w:spacing w:line="259" w:lineRule="auto"/>
              <w:rPr>
                <w:rFonts w:cstheme="minorHAnsi"/>
                <w:sz w:val="22"/>
              </w:rPr>
            </w:pPr>
            <w:r w:rsidRPr="00601368">
              <w:rPr>
                <w:rFonts w:cstheme="minorHAnsi"/>
                <w:b/>
                <w:sz w:val="22"/>
              </w:rPr>
              <w:t xml:space="preserve">Major service: </w:t>
            </w:r>
            <w:r w:rsidRPr="00601368">
              <w:rPr>
                <w:rFonts w:cstheme="minorHAnsi"/>
                <w:sz w:val="22"/>
              </w:rPr>
              <w:t>Sewerage</w:t>
            </w:r>
          </w:p>
        </w:tc>
      </w:tr>
      <w:tr w:rsidR="00D33224" w:rsidRPr="005126D7" w14:paraId="4172A366" w14:textId="77777777" w:rsidTr="00360131">
        <w:tc>
          <w:tcPr>
            <w:tcW w:w="0" w:type="dxa"/>
            <w:tcBorders>
              <w:top w:val="single" w:sz="2" w:space="0" w:color="002279"/>
              <w:bottom w:val="single" w:sz="2" w:space="0" w:color="002279"/>
            </w:tcBorders>
          </w:tcPr>
          <w:p w14:paraId="7D36FC1B" w14:textId="512BDB25" w:rsidR="00D33224" w:rsidRPr="00601368" w:rsidRDefault="00D33224" w:rsidP="00BD7775">
            <w:pPr>
              <w:spacing w:line="259" w:lineRule="auto"/>
              <w:rPr>
                <w:rFonts w:cstheme="minorHAnsi"/>
                <w:sz w:val="22"/>
              </w:rPr>
            </w:pPr>
            <w:r w:rsidRPr="00601368">
              <w:rPr>
                <w:rFonts w:cstheme="minorHAnsi"/>
                <w:b/>
                <w:sz w:val="22"/>
              </w:rPr>
              <w:t xml:space="preserve">Asset category: </w:t>
            </w:r>
            <w:r w:rsidR="00EE438F" w:rsidRPr="00601368">
              <w:rPr>
                <w:rFonts w:cstheme="minorHAnsi"/>
                <w:bCs/>
                <w:sz w:val="22"/>
              </w:rPr>
              <w:t>Pipelines</w:t>
            </w:r>
            <w:r w:rsidR="00E27178">
              <w:rPr>
                <w:rFonts w:cstheme="minorHAnsi"/>
                <w:bCs/>
                <w:sz w:val="22"/>
              </w:rPr>
              <w:t>/</w:t>
            </w:r>
            <w:r w:rsidR="00EE438F" w:rsidRPr="00601368">
              <w:rPr>
                <w:rFonts w:cstheme="minorHAnsi"/>
                <w:bCs/>
                <w:sz w:val="22"/>
              </w:rPr>
              <w:t>network</w:t>
            </w:r>
            <w:r w:rsidR="00A1315F">
              <w:rPr>
                <w:rFonts w:cstheme="minorHAnsi"/>
                <w:b/>
                <w:sz w:val="22"/>
              </w:rPr>
              <w:t xml:space="preserve"> </w:t>
            </w:r>
          </w:p>
        </w:tc>
      </w:tr>
      <w:tr w:rsidR="00D33224" w:rsidRPr="005126D7" w14:paraId="4616DD7B" w14:textId="77777777" w:rsidTr="00360131">
        <w:tc>
          <w:tcPr>
            <w:tcW w:w="0" w:type="dxa"/>
            <w:tcBorders>
              <w:top w:val="single" w:sz="2" w:space="0" w:color="002279"/>
              <w:bottom w:val="single" w:sz="2" w:space="0" w:color="002279"/>
            </w:tcBorders>
          </w:tcPr>
          <w:p w14:paraId="65F3692D" w14:textId="41D54A7B" w:rsidR="00D33224" w:rsidRPr="00601368" w:rsidRDefault="00D33224" w:rsidP="00BD7775">
            <w:pPr>
              <w:spacing w:line="259" w:lineRule="auto"/>
              <w:rPr>
                <w:rFonts w:cstheme="minorHAnsi"/>
                <w:b/>
                <w:sz w:val="22"/>
              </w:rPr>
            </w:pPr>
            <w:r w:rsidRPr="00601368">
              <w:rPr>
                <w:rFonts w:cstheme="minorHAnsi"/>
                <w:b/>
                <w:sz w:val="22"/>
              </w:rPr>
              <w:t xml:space="preserve">Driver: </w:t>
            </w:r>
            <w:r w:rsidRPr="00601368">
              <w:rPr>
                <w:rFonts w:cstheme="minorHAnsi"/>
                <w:sz w:val="22"/>
              </w:rPr>
              <w:t>Growth</w:t>
            </w:r>
          </w:p>
        </w:tc>
      </w:tr>
      <w:tr w:rsidR="00D33224" w:rsidRPr="005126D7" w14:paraId="66B7CE6F" w14:textId="77777777" w:rsidTr="00360131">
        <w:tc>
          <w:tcPr>
            <w:tcW w:w="0" w:type="dxa"/>
            <w:tcBorders>
              <w:top w:val="single" w:sz="2" w:space="0" w:color="002279"/>
              <w:bottom w:val="single" w:sz="2" w:space="0" w:color="002279"/>
            </w:tcBorders>
          </w:tcPr>
          <w:p w14:paraId="48489FE8" w14:textId="1A82F435" w:rsidR="003A26A9" w:rsidRPr="00601368" w:rsidRDefault="00D33224" w:rsidP="00C96C46">
            <w:pPr>
              <w:spacing w:after="0"/>
              <w:textAlignment w:val="baseline"/>
              <w:rPr>
                <w:rFonts w:ascii="Times New Roman" w:eastAsia="Times New Roman" w:hAnsi="Times New Roman" w:cs="Times New Roman"/>
                <w:sz w:val="22"/>
                <w:lang w:eastAsia="en-AU"/>
              </w:rPr>
            </w:pPr>
            <w:r w:rsidRPr="00601368">
              <w:rPr>
                <w:rFonts w:cstheme="minorHAnsi"/>
                <w:b/>
                <w:sz w:val="22"/>
              </w:rPr>
              <w:t xml:space="preserve">Description: </w:t>
            </w:r>
            <w:r w:rsidR="003A26A9" w:rsidRPr="00601368">
              <w:rPr>
                <w:rFonts w:eastAsia="Times New Roman" w:cs="Arial"/>
                <w:sz w:val="22"/>
                <w:lang w:eastAsia="en-AU"/>
              </w:rPr>
              <w:t xml:space="preserve">Hydraulic modelling had identified that the Clayton and Clayton West branch sewers experience significant surcharging and predicted spills in the network during wet weather events. Without upgrade, the network was considered at risk of uncontrolled spills during wet weather from various manholes within the upstream catchments of the </w:t>
            </w:r>
            <w:r w:rsidR="00584B94">
              <w:rPr>
                <w:rFonts w:eastAsia="Times New Roman" w:cs="Arial"/>
                <w:sz w:val="22"/>
                <w:lang w:eastAsia="en-AU"/>
              </w:rPr>
              <w:t>2</w:t>
            </w:r>
            <w:r w:rsidR="003A26A9" w:rsidRPr="00601368">
              <w:rPr>
                <w:rFonts w:eastAsia="Times New Roman" w:cs="Arial"/>
                <w:sz w:val="22"/>
                <w:lang w:eastAsia="en-AU"/>
              </w:rPr>
              <w:t xml:space="preserve"> branch sewers.  This risk was forecast to increase overtime. </w:t>
            </w:r>
          </w:p>
          <w:p w14:paraId="252B6013" w14:textId="2CDF5FF5" w:rsidR="003A26A9" w:rsidRPr="00601368" w:rsidRDefault="003A26A9" w:rsidP="00C96C46">
            <w:pPr>
              <w:spacing w:after="0"/>
              <w:textAlignment w:val="baseline"/>
              <w:rPr>
                <w:rFonts w:ascii="Times New Roman" w:eastAsia="Times New Roman" w:hAnsi="Times New Roman" w:cs="Times New Roman"/>
                <w:sz w:val="22"/>
                <w:lang w:eastAsia="en-AU"/>
              </w:rPr>
            </w:pPr>
            <w:r w:rsidRPr="00601368">
              <w:rPr>
                <w:rFonts w:eastAsia="Times New Roman" w:cs="Arial"/>
                <w:sz w:val="22"/>
                <w:lang w:eastAsia="en-AU"/>
              </w:rPr>
              <w:t>The following capacity upgrade of the Clayton East and West sewer network was identified and included in Price Submission 2018</w:t>
            </w:r>
            <w:r w:rsidR="00F33731">
              <w:rPr>
                <w:rFonts w:eastAsia="Times New Roman" w:cs="Arial"/>
                <w:sz w:val="22"/>
                <w:lang w:eastAsia="en-AU"/>
              </w:rPr>
              <w:t>–</w:t>
            </w:r>
            <w:r w:rsidRPr="00601368">
              <w:rPr>
                <w:rFonts w:eastAsia="Times New Roman" w:cs="Arial"/>
                <w:sz w:val="22"/>
                <w:lang w:eastAsia="en-AU"/>
              </w:rPr>
              <w:t>23.</w:t>
            </w:r>
            <w:r w:rsidR="00A1315F">
              <w:rPr>
                <w:rFonts w:eastAsia="Times New Roman" w:cs="Arial"/>
                <w:sz w:val="22"/>
                <w:lang w:eastAsia="en-AU"/>
              </w:rPr>
              <w:t xml:space="preserve"> </w:t>
            </w:r>
          </w:p>
          <w:p w14:paraId="0C1175BF" w14:textId="5BE5DE1C" w:rsidR="003A26A9" w:rsidRPr="00601368" w:rsidRDefault="003A26A9">
            <w:pPr>
              <w:pStyle w:val="ListParagraph"/>
              <w:numPr>
                <w:ilvl w:val="0"/>
                <w:numId w:val="112"/>
              </w:numPr>
              <w:spacing w:after="0"/>
              <w:ind w:left="738"/>
              <w:textAlignment w:val="baseline"/>
              <w:rPr>
                <w:rFonts w:eastAsia="Times New Roman" w:cs="Arial"/>
                <w:sz w:val="22"/>
                <w:lang w:eastAsia="en-AU"/>
              </w:rPr>
            </w:pPr>
            <w:r w:rsidRPr="00601368">
              <w:rPr>
                <w:rFonts w:eastAsia="Times New Roman" w:cs="Arial"/>
                <w:sz w:val="22"/>
                <w:lang w:eastAsia="en-AU"/>
              </w:rPr>
              <w:t xml:space="preserve">Clayton West </w:t>
            </w:r>
            <w:r w:rsidR="004C72E9">
              <w:rPr>
                <w:rFonts w:eastAsia="Times New Roman" w:cs="Arial"/>
                <w:sz w:val="22"/>
                <w:lang w:eastAsia="en-AU"/>
              </w:rPr>
              <w:t>b</w:t>
            </w:r>
            <w:r w:rsidRPr="00601368">
              <w:rPr>
                <w:rFonts w:eastAsia="Times New Roman" w:cs="Arial"/>
                <w:sz w:val="22"/>
                <w:lang w:eastAsia="en-AU"/>
              </w:rPr>
              <w:t xml:space="preserve">ranch </w:t>
            </w:r>
            <w:r w:rsidR="00F33731">
              <w:rPr>
                <w:rFonts w:eastAsia="Times New Roman" w:cs="Arial"/>
                <w:sz w:val="22"/>
                <w:lang w:eastAsia="en-AU"/>
              </w:rPr>
              <w:t>–</w:t>
            </w:r>
            <w:r w:rsidRPr="00601368">
              <w:rPr>
                <w:rFonts w:eastAsia="Times New Roman" w:cs="Arial"/>
                <w:sz w:val="22"/>
                <w:lang w:eastAsia="en-AU"/>
              </w:rPr>
              <w:t xml:space="preserve"> 800kL wet weather storage ($4.9</w:t>
            </w:r>
            <w:r w:rsidR="009F21F0">
              <w:rPr>
                <w:rFonts w:eastAsia="Times New Roman" w:cs="Arial"/>
                <w:sz w:val="22"/>
                <w:lang w:eastAsia="en-AU"/>
              </w:rPr>
              <w:t>m</w:t>
            </w:r>
            <w:r w:rsidRPr="00601368">
              <w:rPr>
                <w:rFonts w:eastAsia="Times New Roman" w:cs="Arial"/>
                <w:sz w:val="22"/>
                <w:lang w:eastAsia="en-AU"/>
              </w:rPr>
              <w:t>) </w:t>
            </w:r>
          </w:p>
          <w:p w14:paraId="14DEE6BF" w14:textId="5100C263" w:rsidR="003A26A9" w:rsidRPr="00601368" w:rsidRDefault="003A26A9">
            <w:pPr>
              <w:pStyle w:val="ListParagraph"/>
              <w:numPr>
                <w:ilvl w:val="0"/>
                <w:numId w:val="112"/>
              </w:numPr>
              <w:spacing w:after="0"/>
              <w:ind w:left="738"/>
              <w:textAlignment w:val="baseline"/>
              <w:rPr>
                <w:rFonts w:eastAsia="Times New Roman" w:cs="Arial"/>
                <w:sz w:val="22"/>
                <w:lang w:eastAsia="en-AU"/>
              </w:rPr>
            </w:pPr>
            <w:r w:rsidRPr="00601368">
              <w:rPr>
                <w:rFonts w:eastAsia="Times New Roman" w:cs="Arial"/>
                <w:sz w:val="22"/>
                <w:lang w:eastAsia="en-AU"/>
              </w:rPr>
              <w:t xml:space="preserve">Clayton </w:t>
            </w:r>
            <w:r w:rsidR="004C72E9">
              <w:rPr>
                <w:rFonts w:eastAsia="Times New Roman" w:cs="Arial"/>
                <w:sz w:val="22"/>
                <w:lang w:eastAsia="en-AU"/>
              </w:rPr>
              <w:t>b</w:t>
            </w:r>
            <w:r w:rsidRPr="00601368">
              <w:rPr>
                <w:rFonts w:eastAsia="Times New Roman" w:cs="Arial"/>
                <w:sz w:val="22"/>
                <w:lang w:eastAsia="en-AU"/>
              </w:rPr>
              <w:t>ranch </w:t>
            </w:r>
            <w:r w:rsidR="00F33731">
              <w:rPr>
                <w:rFonts w:eastAsia="Times New Roman" w:cs="Arial"/>
                <w:sz w:val="22"/>
                <w:lang w:eastAsia="en-AU"/>
              </w:rPr>
              <w:t>–</w:t>
            </w:r>
            <w:r w:rsidRPr="00601368">
              <w:rPr>
                <w:rFonts w:eastAsia="Times New Roman" w:cs="Arial"/>
                <w:sz w:val="22"/>
                <w:lang w:eastAsia="en-AU"/>
              </w:rPr>
              <w:t xml:space="preserve"> 1,850 DN375 gravity Monash Uni BS duplication ($12.6</w:t>
            </w:r>
            <w:r w:rsidR="009F21F0">
              <w:rPr>
                <w:rFonts w:eastAsia="Times New Roman" w:cs="Arial"/>
                <w:sz w:val="22"/>
                <w:lang w:eastAsia="en-AU"/>
              </w:rPr>
              <w:t>m</w:t>
            </w:r>
            <w:r w:rsidRPr="00601368">
              <w:rPr>
                <w:rFonts w:eastAsia="Times New Roman" w:cs="Arial"/>
                <w:sz w:val="22"/>
                <w:lang w:eastAsia="en-AU"/>
              </w:rPr>
              <w:t>) </w:t>
            </w:r>
          </w:p>
          <w:p w14:paraId="763B945E" w14:textId="252E3FFC" w:rsidR="00D33224" w:rsidRPr="00601368" w:rsidRDefault="003A26A9" w:rsidP="00C96C46">
            <w:pPr>
              <w:spacing w:after="0"/>
              <w:textAlignment w:val="baseline"/>
              <w:rPr>
                <w:rFonts w:cstheme="minorHAnsi"/>
                <w:sz w:val="22"/>
              </w:rPr>
            </w:pPr>
            <w:r w:rsidRPr="00601368">
              <w:rPr>
                <w:rFonts w:eastAsia="Times New Roman" w:cs="Arial"/>
                <w:sz w:val="22"/>
                <w:lang w:eastAsia="en-AU"/>
              </w:rPr>
              <w:t xml:space="preserve">However, through the Price Submission review process, South East Water made the decision that cost recovery of the Clayton East </w:t>
            </w:r>
            <w:r w:rsidR="00BC55B8">
              <w:rPr>
                <w:rFonts w:eastAsia="Times New Roman" w:cs="Arial"/>
                <w:sz w:val="22"/>
                <w:lang w:eastAsia="en-AU"/>
              </w:rPr>
              <w:t>and</w:t>
            </w:r>
            <w:r w:rsidRPr="00601368">
              <w:rPr>
                <w:rFonts w:eastAsia="Times New Roman" w:cs="Arial"/>
                <w:sz w:val="22"/>
                <w:lang w:eastAsia="en-AU"/>
              </w:rPr>
              <w:t xml:space="preserve"> West Capacity Improvement Works would not be included in the 2018</w:t>
            </w:r>
            <w:r w:rsidR="00F33731">
              <w:rPr>
                <w:rFonts w:eastAsia="Times New Roman" w:cs="Arial"/>
                <w:sz w:val="22"/>
                <w:lang w:eastAsia="en-AU"/>
              </w:rPr>
              <w:t>–</w:t>
            </w:r>
            <w:r w:rsidRPr="00601368">
              <w:rPr>
                <w:rFonts w:eastAsia="Times New Roman" w:cs="Arial"/>
                <w:sz w:val="22"/>
                <w:lang w:eastAsia="en-AU"/>
              </w:rPr>
              <w:t>23 price period. Further investigation works would be undertaken, and a lower cost alternative was to be sought.</w:t>
            </w:r>
            <w:r w:rsidR="00A1315F">
              <w:rPr>
                <w:rFonts w:eastAsia="Times New Roman" w:cs="Arial"/>
                <w:sz w:val="22"/>
                <w:lang w:eastAsia="en-AU"/>
              </w:rPr>
              <w:t xml:space="preserve"> </w:t>
            </w:r>
            <w:r w:rsidRPr="00601368">
              <w:rPr>
                <w:rFonts w:eastAsia="Times New Roman" w:cs="Arial"/>
                <w:sz w:val="22"/>
                <w:lang w:eastAsia="en-AU"/>
              </w:rPr>
              <w:t xml:space="preserve">If the project was confirmed to be required within the price submission, cost recovery would either start in the following </w:t>
            </w:r>
            <w:r w:rsidRPr="00601368">
              <w:rPr>
                <w:rFonts w:eastAsia="Times New Roman" w:cs="Arial"/>
                <w:sz w:val="22"/>
                <w:lang w:eastAsia="en-AU"/>
              </w:rPr>
              <w:lastRenderedPageBreak/>
              <w:t>regulatory period or be achieved from cost efficiencies from within the Sewer Growth program.   </w:t>
            </w:r>
          </w:p>
        </w:tc>
      </w:tr>
      <w:tr w:rsidR="00D33224" w:rsidRPr="005126D7" w14:paraId="65CDAAEC" w14:textId="77777777" w:rsidTr="00360131">
        <w:tc>
          <w:tcPr>
            <w:tcW w:w="0" w:type="dxa"/>
            <w:tcBorders>
              <w:top w:val="single" w:sz="2" w:space="0" w:color="002279"/>
              <w:bottom w:val="single" w:sz="2" w:space="0" w:color="002279"/>
            </w:tcBorders>
          </w:tcPr>
          <w:p w14:paraId="347774EE" w14:textId="77777777" w:rsidR="00D33224" w:rsidRPr="00601368" w:rsidRDefault="00D33224" w:rsidP="00C96C46">
            <w:pPr>
              <w:rPr>
                <w:rFonts w:cstheme="minorHAnsi"/>
                <w:sz w:val="22"/>
              </w:rPr>
            </w:pPr>
            <w:r w:rsidRPr="00601368">
              <w:rPr>
                <w:rFonts w:cstheme="minorHAnsi"/>
                <w:b/>
                <w:sz w:val="22"/>
              </w:rPr>
              <w:lastRenderedPageBreak/>
              <w:t>Customer outcome:</w:t>
            </w:r>
            <w:r w:rsidRPr="00601368">
              <w:rPr>
                <w:rFonts w:cstheme="minorHAnsi"/>
                <w:sz w:val="22"/>
              </w:rPr>
              <w:t xml:space="preserve"> </w:t>
            </w:r>
            <w:r w:rsidRPr="00601368">
              <w:rPr>
                <w:rFonts w:cstheme="minorHAnsi"/>
                <w:i/>
                <w:sz w:val="22"/>
              </w:rPr>
              <w:t xml:space="preserve">Get the basics right, always </w:t>
            </w:r>
          </w:p>
        </w:tc>
      </w:tr>
      <w:tr w:rsidR="00D33224" w:rsidRPr="005126D7" w14:paraId="3FA20481" w14:textId="77777777" w:rsidTr="00360131">
        <w:tc>
          <w:tcPr>
            <w:tcW w:w="0" w:type="dxa"/>
            <w:tcBorders>
              <w:top w:val="single" w:sz="2" w:space="0" w:color="002279"/>
              <w:bottom w:val="single" w:sz="2" w:space="0" w:color="002279"/>
            </w:tcBorders>
          </w:tcPr>
          <w:p w14:paraId="1E22FF1F" w14:textId="2035EE35" w:rsidR="00D33224" w:rsidRPr="00601368" w:rsidRDefault="00D33224" w:rsidP="00C96C46">
            <w:pPr>
              <w:spacing w:line="259" w:lineRule="auto"/>
              <w:rPr>
                <w:rFonts w:eastAsia="Times New Roman" w:cs="Arial"/>
                <w:b/>
                <w:bCs/>
                <w:sz w:val="22"/>
                <w:lang w:eastAsia="en-AU"/>
              </w:rPr>
            </w:pPr>
            <w:r w:rsidRPr="00601368">
              <w:rPr>
                <w:rFonts w:eastAsia="Times New Roman" w:cs="Arial"/>
                <w:b/>
                <w:bCs/>
                <w:sz w:val="22"/>
                <w:lang w:eastAsia="en-AU"/>
              </w:rPr>
              <w:t>Objective:</w:t>
            </w:r>
            <w:r w:rsidRPr="00601368">
              <w:rPr>
                <w:rFonts w:eastAsia="Times New Roman" w:cs="Arial"/>
                <w:sz w:val="22"/>
                <w:lang w:eastAsia="en-AU"/>
              </w:rPr>
              <w:t xml:space="preserve"> </w:t>
            </w:r>
            <w:r w:rsidR="008C06EA" w:rsidRPr="00601368">
              <w:rPr>
                <w:rFonts w:eastAsia="Times New Roman" w:cs="Arial"/>
                <w:sz w:val="22"/>
                <w:lang w:eastAsia="en-AU"/>
              </w:rPr>
              <w:t>Prevent future wet weather spills. Ensure safe and reliable sewerage services. </w:t>
            </w:r>
          </w:p>
        </w:tc>
      </w:tr>
      <w:tr w:rsidR="00D33224" w:rsidRPr="005126D7" w14:paraId="4C0F227A" w14:textId="77777777" w:rsidTr="00360131">
        <w:tc>
          <w:tcPr>
            <w:tcW w:w="0" w:type="dxa"/>
            <w:tcBorders>
              <w:top w:val="single" w:sz="2" w:space="0" w:color="002279"/>
              <w:bottom w:val="single" w:sz="2" w:space="0" w:color="002279"/>
            </w:tcBorders>
          </w:tcPr>
          <w:p w14:paraId="4593A433" w14:textId="01337813" w:rsidR="00D33224" w:rsidRPr="00601368" w:rsidRDefault="00D33224" w:rsidP="00C96C46">
            <w:pPr>
              <w:spacing w:line="259" w:lineRule="auto"/>
              <w:rPr>
                <w:rFonts w:cstheme="minorHAnsi"/>
                <w:b/>
                <w:sz w:val="22"/>
              </w:rPr>
            </w:pPr>
            <w:r w:rsidRPr="00601368">
              <w:rPr>
                <w:rFonts w:eastAsia="Times New Roman" w:cs="Arial"/>
                <w:b/>
                <w:bCs/>
                <w:sz w:val="22"/>
                <w:lang w:eastAsia="en-AU"/>
              </w:rPr>
              <w:t>Benefits:</w:t>
            </w:r>
            <w:r w:rsidRPr="00601368">
              <w:rPr>
                <w:rFonts w:eastAsia="Times New Roman" w:cs="Arial"/>
                <w:sz w:val="22"/>
                <w:lang w:eastAsia="en-AU"/>
              </w:rPr>
              <w:t xml:space="preserve"> </w:t>
            </w:r>
            <w:r w:rsidR="00A23D22" w:rsidRPr="00601368">
              <w:rPr>
                <w:rFonts w:eastAsia="Times New Roman" w:cs="Arial"/>
                <w:sz w:val="22"/>
                <w:lang w:eastAsia="en-AU"/>
              </w:rPr>
              <w:t>Protect human health and the environment </w:t>
            </w:r>
          </w:p>
        </w:tc>
      </w:tr>
      <w:tr w:rsidR="00D33224" w:rsidRPr="00E62E92" w14:paraId="557E4D2C" w14:textId="77777777" w:rsidTr="00360131">
        <w:tc>
          <w:tcPr>
            <w:tcW w:w="0" w:type="dxa"/>
            <w:tcBorders>
              <w:top w:val="single" w:sz="2" w:space="0" w:color="002279"/>
              <w:bottom w:val="single" w:sz="2" w:space="0" w:color="002279"/>
            </w:tcBorders>
          </w:tcPr>
          <w:p w14:paraId="7BAA7603" w14:textId="540CE540" w:rsidR="00D33224" w:rsidRPr="00601368" w:rsidRDefault="00D33224" w:rsidP="00C96C46">
            <w:pPr>
              <w:pStyle w:val="BodyText"/>
              <w:rPr>
                <w:rFonts w:eastAsia="Times New Roman" w:cs="Arial"/>
                <w:b/>
                <w:bCs/>
                <w:sz w:val="22"/>
                <w:lang w:eastAsia="en-AU"/>
              </w:rPr>
            </w:pPr>
            <w:r w:rsidRPr="00601368">
              <w:rPr>
                <w:rFonts w:eastAsia="Times New Roman" w:cs="Arial"/>
                <w:b/>
                <w:bCs/>
                <w:sz w:val="22"/>
                <w:lang w:eastAsia="en-AU"/>
              </w:rPr>
              <w:t>2018</w:t>
            </w:r>
            <w:r w:rsidR="00F33731">
              <w:rPr>
                <w:rFonts w:eastAsia="Times New Roman" w:cs="Arial"/>
                <w:b/>
                <w:bCs/>
                <w:sz w:val="22"/>
                <w:lang w:eastAsia="en-AU"/>
              </w:rPr>
              <w:t>–</w:t>
            </w:r>
            <w:r w:rsidRPr="00601368">
              <w:rPr>
                <w:rFonts w:eastAsia="Times New Roman" w:cs="Arial"/>
                <w:b/>
                <w:bCs/>
                <w:sz w:val="22"/>
                <w:lang w:eastAsia="en-AU"/>
              </w:rPr>
              <w:t xml:space="preserve">2023 estimate $ submitted to ESC: </w:t>
            </w:r>
            <w:r w:rsidR="00457825" w:rsidRPr="00601368">
              <w:rPr>
                <w:rFonts w:eastAsia="Times New Roman" w:cs="Arial"/>
                <w:sz w:val="22"/>
                <w:lang w:eastAsia="en-AU"/>
              </w:rPr>
              <w:t>$0 recovery of the $17.5</w:t>
            </w:r>
            <w:r w:rsidR="009F21F0">
              <w:rPr>
                <w:rFonts w:eastAsia="Times New Roman" w:cs="Arial"/>
                <w:sz w:val="22"/>
                <w:lang w:eastAsia="en-AU"/>
              </w:rPr>
              <w:t>m</w:t>
            </w:r>
            <w:r w:rsidR="00457825" w:rsidRPr="00601368">
              <w:rPr>
                <w:rFonts w:eastAsia="Times New Roman" w:cs="Arial"/>
                <w:sz w:val="22"/>
                <w:lang w:eastAsia="en-AU"/>
              </w:rPr>
              <w:t xml:space="preserve"> estimate </w:t>
            </w:r>
          </w:p>
        </w:tc>
      </w:tr>
      <w:tr w:rsidR="00D33224" w:rsidRPr="00E62E92" w14:paraId="24DAFFC7" w14:textId="77777777" w:rsidTr="00360131">
        <w:tc>
          <w:tcPr>
            <w:tcW w:w="0" w:type="dxa"/>
            <w:tcBorders>
              <w:top w:val="single" w:sz="2" w:space="0" w:color="002279"/>
              <w:bottom w:val="single" w:sz="2" w:space="0" w:color="002279"/>
            </w:tcBorders>
          </w:tcPr>
          <w:p w14:paraId="69636307" w14:textId="0DC3B8B9" w:rsidR="00D33224" w:rsidRPr="00601368" w:rsidRDefault="00D33224" w:rsidP="00C96C46">
            <w:pPr>
              <w:spacing w:after="0"/>
              <w:textAlignment w:val="baseline"/>
              <w:rPr>
                <w:rFonts w:eastAsia="Times New Roman" w:cs="Arial"/>
                <w:b/>
                <w:bCs/>
                <w:sz w:val="22"/>
                <w:lang w:eastAsia="en-AU"/>
              </w:rPr>
            </w:pPr>
            <w:r w:rsidRPr="00601368">
              <w:rPr>
                <w:rFonts w:eastAsia="Times New Roman" w:cs="Arial"/>
                <w:b/>
                <w:bCs/>
                <w:sz w:val="22"/>
                <w:lang w:eastAsia="en-AU"/>
              </w:rPr>
              <w:t xml:space="preserve">What estimate was based on: </w:t>
            </w:r>
            <w:r w:rsidR="00A22273" w:rsidRPr="00601368">
              <w:rPr>
                <w:rFonts w:eastAsia="Times New Roman" w:cs="Arial"/>
                <w:sz w:val="22"/>
                <w:lang w:eastAsia="en-AU"/>
              </w:rPr>
              <w:t>The original cost estimate was based on a concept design in real dollars as of 1 January 2018. It was expected to be incurred wholly within the 2018</w:t>
            </w:r>
            <w:r w:rsidR="00F33731">
              <w:rPr>
                <w:rFonts w:eastAsia="Times New Roman" w:cs="Arial"/>
                <w:sz w:val="22"/>
                <w:lang w:eastAsia="en-AU"/>
              </w:rPr>
              <w:t>–</w:t>
            </w:r>
            <w:r w:rsidR="00A22273" w:rsidRPr="00601368">
              <w:rPr>
                <w:rFonts w:eastAsia="Times New Roman" w:cs="Arial"/>
                <w:sz w:val="22"/>
                <w:lang w:eastAsia="en-AU"/>
              </w:rPr>
              <w:t>23 period prior to South East Water</w:t>
            </w:r>
            <w:r w:rsidR="00612583">
              <w:rPr>
                <w:rFonts w:eastAsia="Times New Roman" w:cs="Arial"/>
                <w:sz w:val="22"/>
                <w:lang w:eastAsia="en-AU"/>
              </w:rPr>
              <w:t>’</w:t>
            </w:r>
            <w:r w:rsidR="00A22273" w:rsidRPr="00601368">
              <w:rPr>
                <w:rFonts w:eastAsia="Times New Roman" w:cs="Arial"/>
                <w:sz w:val="22"/>
                <w:lang w:eastAsia="en-AU"/>
              </w:rPr>
              <w:t>s decision not to seek cost recovery. </w:t>
            </w:r>
          </w:p>
        </w:tc>
      </w:tr>
      <w:tr w:rsidR="00D33224" w:rsidRPr="00E62E92" w14:paraId="297B94A3" w14:textId="77777777" w:rsidTr="00360131">
        <w:tc>
          <w:tcPr>
            <w:tcW w:w="0" w:type="dxa"/>
            <w:tcBorders>
              <w:top w:val="single" w:sz="2" w:space="0" w:color="002279"/>
              <w:bottom w:val="single" w:sz="2" w:space="0" w:color="002279"/>
            </w:tcBorders>
          </w:tcPr>
          <w:p w14:paraId="00932EEB" w14:textId="6DF1743C" w:rsidR="00D33224" w:rsidRPr="00601368" w:rsidRDefault="00D33224" w:rsidP="00C96C46">
            <w:pPr>
              <w:pStyle w:val="BodyText"/>
              <w:rPr>
                <w:rFonts w:eastAsia="Times New Roman" w:cs="Arial"/>
                <w:b/>
                <w:bCs/>
                <w:sz w:val="22"/>
                <w:lang w:eastAsia="en-AU"/>
              </w:rPr>
            </w:pPr>
            <w:r w:rsidRPr="00601368">
              <w:rPr>
                <w:rFonts w:eastAsia="Times New Roman" w:cs="Arial"/>
                <w:b/>
                <w:bCs/>
                <w:sz w:val="22"/>
                <w:lang w:eastAsia="en-AU"/>
              </w:rPr>
              <w:t xml:space="preserve">Estimate confidence: </w:t>
            </w:r>
            <w:r w:rsidRPr="00601368">
              <w:rPr>
                <w:rFonts w:eastAsia="Times New Roman" w:cs="Arial"/>
                <w:sz w:val="22"/>
                <w:lang w:eastAsia="en-AU"/>
              </w:rPr>
              <w:t>P50 </w:t>
            </w:r>
            <w:r w:rsidR="00A22273" w:rsidRPr="00601368">
              <w:rPr>
                <w:rFonts w:eastAsia="Times New Roman" w:cs="Arial"/>
                <w:sz w:val="22"/>
                <w:lang w:eastAsia="en-AU"/>
              </w:rPr>
              <w:t>(2018)</w:t>
            </w:r>
          </w:p>
        </w:tc>
      </w:tr>
      <w:tr w:rsidR="00D33224" w:rsidRPr="00E62E92" w14:paraId="35B7AB94" w14:textId="77777777" w:rsidTr="00360131">
        <w:tc>
          <w:tcPr>
            <w:tcW w:w="0" w:type="dxa"/>
            <w:tcBorders>
              <w:top w:val="single" w:sz="2" w:space="0" w:color="002279"/>
              <w:bottom w:val="single" w:sz="2" w:space="0" w:color="002279"/>
            </w:tcBorders>
          </w:tcPr>
          <w:p w14:paraId="0501EB97" w14:textId="289236F9" w:rsidR="00D33224" w:rsidRPr="00601368" w:rsidRDefault="00D33224" w:rsidP="00C96C46">
            <w:pPr>
              <w:pStyle w:val="BodyText"/>
              <w:rPr>
                <w:rFonts w:eastAsia="Times New Roman" w:cs="Arial"/>
                <w:b/>
                <w:bCs/>
                <w:sz w:val="22"/>
                <w:lang w:eastAsia="en-AU"/>
              </w:rPr>
            </w:pPr>
            <w:r w:rsidRPr="00601368">
              <w:rPr>
                <w:rFonts w:eastAsia="Times New Roman" w:cs="Arial"/>
                <w:b/>
                <w:bCs/>
                <w:sz w:val="22"/>
                <w:lang w:eastAsia="en-AU"/>
              </w:rPr>
              <w:t>2018</w:t>
            </w:r>
            <w:r w:rsidR="00F33731">
              <w:rPr>
                <w:rFonts w:eastAsia="Times New Roman" w:cs="Arial"/>
                <w:b/>
                <w:bCs/>
                <w:sz w:val="22"/>
                <w:lang w:eastAsia="en-AU"/>
              </w:rPr>
              <w:t>–</w:t>
            </w:r>
            <w:r w:rsidRPr="00601368">
              <w:rPr>
                <w:rFonts w:eastAsia="Times New Roman" w:cs="Arial"/>
                <w:b/>
                <w:bCs/>
                <w:sz w:val="22"/>
                <w:lang w:eastAsia="en-AU"/>
              </w:rPr>
              <w:t xml:space="preserve">2023 ESC determination $: </w:t>
            </w:r>
            <w:r w:rsidR="002A2979" w:rsidRPr="002A2979">
              <w:rPr>
                <w:rFonts w:eastAsia="Times New Roman" w:cs="Arial"/>
                <w:sz w:val="22"/>
                <w:lang w:eastAsia="en-AU"/>
              </w:rPr>
              <w:t>$</w:t>
            </w:r>
            <w:r w:rsidR="00B70FDF" w:rsidRPr="002A2979">
              <w:rPr>
                <w:rFonts w:eastAsia="Times New Roman" w:cs="Arial"/>
                <w:sz w:val="22"/>
                <w:lang w:eastAsia="en-AU"/>
              </w:rPr>
              <w:t>0</w:t>
            </w:r>
          </w:p>
        </w:tc>
      </w:tr>
      <w:tr w:rsidR="00D33224" w:rsidRPr="00E62E92" w14:paraId="02694BF8" w14:textId="77777777" w:rsidTr="00360131">
        <w:tc>
          <w:tcPr>
            <w:tcW w:w="0" w:type="dxa"/>
            <w:tcBorders>
              <w:top w:val="single" w:sz="2" w:space="0" w:color="002279"/>
              <w:bottom w:val="single" w:sz="2" w:space="0" w:color="002279"/>
            </w:tcBorders>
          </w:tcPr>
          <w:p w14:paraId="623E12EF" w14:textId="0C53B6EB" w:rsidR="00D33224" w:rsidRPr="00601368" w:rsidRDefault="00D33224" w:rsidP="00C96C46">
            <w:pPr>
              <w:pStyle w:val="BodyText"/>
              <w:rPr>
                <w:rFonts w:eastAsia="Times New Roman" w:cs="Arial"/>
                <w:b/>
                <w:bCs/>
                <w:sz w:val="22"/>
                <w:lang w:eastAsia="en-AU"/>
              </w:rPr>
            </w:pPr>
            <w:r w:rsidRPr="00601368">
              <w:rPr>
                <w:rFonts w:eastAsia="Times New Roman" w:cs="Arial"/>
                <w:b/>
                <w:bCs/>
                <w:sz w:val="22"/>
                <w:lang w:eastAsia="en-AU"/>
              </w:rPr>
              <w:t xml:space="preserve">Business case $: </w:t>
            </w:r>
            <w:r w:rsidR="008B7FB4" w:rsidRPr="00601368">
              <w:rPr>
                <w:rFonts w:eastAsia="Times New Roman" w:cs="Arial"/>
                <w:sz w:val="22"/>
                <w:lang w:eastAsia="en-AU"/>
              </w:rPr>
              <w:t>$0.22</w:t>
            </w:r>
            <w:r w:rsidR="009F21F0">
              <w:rPr>
                <w:rFonts w:eastAsia="Times New Roman" w:cs="Arial"/>
                <w:sz w:val="22"/>
                <w:lang w:eastAsia="en-AU"/>
              </w:rPr>
              <w:t>m</w:t>
            </w:r>
            <w:r w:rsidR="008B7FB4" w:rsidRPr="00601368">
              <w:rPr>
                <w:rFonts w:eastAsia="Times New Roman" w:cs="Arial"/>
                <w:sz w:val="22"/>
                <w:lang w:eastAsia="en-AU"/>
              </w:rPr>
              <w:t xml:space="preserve"> (P95) </w:t>
            </w:r>
          </w:p>
        </w:tc>
      </w:tr>
      <w:tr w:rsidR="00D33224" w:rsidRPr="00E62E92" w14:paraId="7AB10C59" w14:textId="77777777" w:rsidTr="00360131">
        <w:tc>
          <w:tcPr>
            <w:tcW w:w="0" w:type="dxa"/>
            <w:tcBorders>
              <w:top w:val="single" w:sz="2" w:space="0" w:color="002279"/>
              <w:bottom w:val="single" w:sz="2" w:space="0" w:color="002279"/>
            </w:tcBorders>
          </w:tcPr>
          <w:p w14:paraId="1C942736" w14:textId="31C6D60C" w:rsidR="00D33224" w:rsidRPr="00601368" w:rsidRDefault="00D33224" w:rsidP="00C96C46">
            <w:pPr>
              <w:pStyle w:val="BodyText"/>
              <w:rPr>
                <w:rFonts w:eastAsia="Times New Roman" w:cs="Arial"/>
                <w:b/>
                <w:bCs/>
                <w:sz w:val="22"/>
                <w:lang w:eastAsia="en-AU"/>
              </w:rPr>
            </w:pPr>
            <w:r w:rsidRPr="00601368">
              <w:rPr>
                <w:rFonts w:eastAsia="Times New Roman" w:cs="Arial"/>
                <w:b/>
                <w:bCs/>
                <w:sz w:val="22"/>
                <w:lang w:eastAsia="en-AU"/>
              </w:rPr>
              <w:t>Reason for change</w:t>
            </w:r>
            <w:r w:rsidR="00E27178">
              <w:rPr>
                <w:rFonts w:eastAsia="Times New Roman" w:cs="Arial"/>
                <w:b/>
                <w:bCs/>
                <w:sz w:val="22"/>
                <w:lang w:eastAsia="en-AU"/>
              </w:rPr>
              <w:t>/</w:t>
            </w:r>
            <w:r w:rsidRPr="00601368">
              <w:rPr>
                <w:rFonts w:eastAsia="Times New Roman" w:cs="Arial"/>
                <w:b/>
                <w:bCs/>
                <w:sz w:val="22"/>
                <w:lang w:eastAsia="en-AU"/>
              </w:rPr>
              <w:t>difference between 2018</w:t>
            </w:r>
            <w:r w:rsidR="00FE7457">
              <w:rPr>
                <w:rFonts w:eastAsia="Times New Roman" w:cs="Arial"/>
                <w:b/>
                <w:bCs/>
                <w:sz w:val="22"/>
                <w:lang w:eastAsia="en-AU"/>
              </w:rPr>
              <w:t xml:space="preserve"> and </w:t>
            </w:r>
            <w:r w:rsidRPr="00601368">
              <w:rPr>
                <w:rFonts w:eastAsia="Times New Roman" w:cs="Arial"/>
                <w:b/>
                <w:bCs/>
                <w:sz w:val="22"/>
                <w:lang w:eastAsia="en-AU"/>
              </w:rPr>
              <w:t xml:space="preserve">2023 ESC determination $ and business case $: </w:t>
            </w:r>
            <w:r w:rsidR="00122A2F" w:rsidRPr="00601368">
              <w:rPr>
                <w:rFonts w:eastAsia="Times New Roman" w:cs="Arial"/>
                <w:sz w:val="22"/>
                <w:lang w:eastAsia="en-AU"/>
              </w:rPr>
              <w:t>Funding was provided from the 2018</w:t>
            </w:r>
            <w:r w:rsidR="00F33731">
              <w:rPr>
                <w:rFonts w:eastAsia="Times New Roman" w:cs="Arial"/>
                <w:sz w:val="22"/>
                <w:lang w:eastAsia="en-AU"/>
              </w:rPr>
              <w:t>–</w:t>
            </w:r>
            <w:r w:rsidR="00122A2F" w:rsidRPr="00601368">
              <w:rPr>
                <w:rFonts w:eastAsia="Times New Roman" w:cs="Arial"/>
                <w:sz w:val="22"/>
                <w:lang w:eastAsia="en-AU"/>
              </w:rPr>
              <w:t>23 sewer growth modelling budget to update and recalibrate the hydraulic model, install additional BlokAid flow monitoring devices and complete options assessments.</w:t>
            </w:r>
            <w:r w:rsidR="00A1315F">
              <w:rPr>
                <w:rFonts w:eastAsia="Times New Roman" w:cs="Arial"/>
                <w:sz w:val="22"/>
                <w:lang w:eastAsia="en-AU"/>
              </w:rPr>
              <w:t xml:space="preserve"> </w:t>
            </w:r>
          </w:p>
        </w:tc>
      </w:tr>
      <w:tr w:rsidR="00D33224" w:rsidRPr="00E62E92" w14:paraId="5780CFB1" w14:textId="77777777" w:rsidTr="00360131">
        <w:trPr>
          <w:trHeight w:val="389"/>
        </w:trPr>
        <w:tc>
          <w:tcPr>
            <w:tcW w:w="0" w:type="dxa"/>
            <w:tcBorders>
              <w:top w:val="single" w:sz="2" w:space="0" w:color="002279"/>
              <w:bottom w:val="single" w:sz="2" w:space="0" w:color="002279"/>
            </w:tcBorders>
          </w:tcPr>
          <w:p w14:paraId="753398FB" w14:textId="2472095E" w:rsidR="00D33224" w:rsidRPr="00601368" w:rsidRDefault="00D33224" w:rsidP="00C96C46">
            <w:pPr>
              <w:spacing w:after="0"/>
              <w:textAlignment w:val="baseline"/>
              <w:rPr>
                <w:rFonts w:eastAsia="Times New Roman" w:cs="Arial"/>
                <w:b/>
                <w:bCs/>
                <w:sz w:val="22"/>
                <w:lang w:eastAsia="en-AU"/>
              </w:rPr>
            </w:pPr>
            <w:r w:rsidRPr="00601368">
              <w:rPr>
                <w:rFonts w:eastAsia="Times New Roman" w:cs="Arial"/>
                <w:b/>
                <w:bCs/>
                <w:sz w:val="22"/>
                <w:lang w:eastAsia="en-AU"/>
              </w:rPr>
              <w:t>Actuals</w:t>
            </w:r>
            <w:r w:rsidR="00E27178">
              <w:rPr>
                <w:rFonts w:eastAsia="Times New Roman" w:cs="Arial"/>
                <w:b/>
                <w:bCs/>
                <w:sz w:val="22"/>
                <w:lang w:eastAsia="en-AU"/>
              </w:rPr>
              <w:t>/</w:t>
            </w:r>
            <w:r w:rsidRPr="00601368">
              <w:rPr>
                <w:rFonts w:eastAsia="Times New Roman" w:cs="Arial"/>
                <w:b/>
                <w:bCs/>
                <w:sz w:val="22"/>
                <w:lang w:eastAsia="en-AU"/>
              </w:rPr>
              <w:t>Forecast $ (30 June 2023)</w:t>
            </w:r>
            <w:r w:rsidR="00EF0970" w:rsidRPr="00601368">
              <w:rPr>
                <w:rFonts w:eastAsia="Times New Roman" w:cs="Arial"/>
                <w:b/>
                <w:bCs/>
                <w:sz w:val="22"/>
                <w:lang w:eastAsia="en-AU"/>
              </w:rPr>
              <w:t xml:space="preserve">: </w:t>
            </w:r>
            <w:r w:rsidR="00CB03CC" w:rsidRPr="00601368">
              <w:rPr>
                <w:rFonts w:eastAsia="Times New Roman" w:cs="Arial"/>
                <w:sz w:val="22"/>
                <w:lang w:eastAsia="en-AU"/>
              </w:rPr>
              <w:t>$0.18</w:t>
            </w:r>
            <w:r w:rsidR="009F21F0">
              <w:rPr>
                <w:rFonts w:eastAsia="Times New Roman" w:cs="Arial"/>
                <w:sz w:val="22"/>
                <w:lang w:eastAsia="en-AU"/>
              </w:rPr>
              <w:t>m</w:t>
            </w:r>
            <w:r w:rsidR="00CB03CC" w:rsidRPr="00601368">
              <w:rPr>
                <w:rFonts w:eastAsia="Times New Roman" w:cs="Arial"/>
                <w:sz w:val="22"/>
                <w:lang w:eastAsia="en-AU"/>
              </w:rPr>
              <w:t xml:space="preserve"> (P95) </w:t>
            </w:r>
          </w:p>
        </w:tc>
      </w:tr>
      <w:tr w:rsidR="003A4E24" w:rsidRPr="00E62E92" w14:paraId="060D21E7" w14:textId="77777777" w:rsidTr="00360131">
        <w:tc>
          <w:tcPr>
            <w:tcW w:w="0" w:type="dxa"/>
            <w:tcBorders>
              <w:top w:val="single" w:sz="2" w:space="0" w:color="002279"/>
              <w:bottom w:val="single" w:sz="2" w:space="0" w:color="002279"/>
            </w:tcBorders>
          </w:tcPr>
          <w:p w14:paraId="187971BD" w14:textId="77EE87BA" w:rsidR="003A4E24" w:rsidRPr="00601368" w:rsidRDefault="006121C2" w:rsidP="00C96C46">
            <w:pPr>
              <w:pStyle w:val="BodyText"/>
              <w:rPr>
                <w:rFonts w:eastAsia="Times New Roman" w:cs="Arial"/>
                <w:b/>
                <w:bCs/>
                <w:sz w:val="22"/>
                <w:lang w:eastAsia="en-AU"/>
              </w:rPr>
            </w:pPr>
            <w:r w:rsidRPr="00601368">
              <w:rPr>
                <w:rFonts w:eastAsia="Times New Roman" w:cs="Arial"/>
                <w:b/>
                <w:bCs/>
                <w:sz w:val="22"/>
                <w:lang w:eastAsia="en-AU"/>
              </w:rPr>
              <w:t>Reason for change</w:t>
            </w:r>
            <w:r w:rsidR="00E27178">
              <w:rPr>
                <w:rFonts w:eastAsia="Times New Roman" w:cs="Arial"/>
                <w:b/>
                <w:bCs/>
                <w:sz w:val="22"/>
                <w:lang w:eastAsia="en-AU"/>
              </w:rPr>
              <w:t>/</w:t>
            </w:r>
            <w:r w:rsidRPr="00601368">
              <w:rPr>
                <w:rFonts w:eastAsia="Times New Roman" w:cs="Arial"/>
                <w:b/>
                <w:bCs/>
                <w:sz w:val="22"/>
                <w:lang w:eastAsia="en-AU"/>
              </w:rPr>
              <w:t xml:space="preserve">difference between </w:t>
            </w:r>
            <w:r w:rsidR="00850237" w:rsidRPr="00601368">
              <w:rPr>
                <w:rFonts w:eastAsia="Times New Roman" w:cs="Arial"/>
                <w:b/>
                <w:bCs/>
                <w:sz w:val="22"/>
                <w:lang w:eastAsia="en-AU"/>
              </w:rPr>
              <w:t xml:space="preserve">business case $ and </w:t>
            </w:r>
            <w:r w:rsidR="004D1865" w:rsidRPr="00601368">
              <w:rPr>
                <w:rFonts w:eastAsia="Times New Roman" w:cs="Arial"/>
                <w:b/>
                <w:bCs/>
                <w:sz w:val="22"/>
                <w:lang w:eastAsia="en-AU"/>
              </w:rPr>
              <w:t>Actuals</w:t>
            </w:r>
            <w:r w:rsidR="00E27178">
              <w:rPr>
                <w:rFonts w:eastAsia="Times New Roman" w:cs="Arial"/>
                <w:b/>
                <w:bCs/>
                <w:sz w:val="22"/>
                <w:lang w:eastAsia="en-AU"/>
              </w:rPr>
              <w:t>/</w:t>
            </w:r>
            <w:r w:rsidR="004D1865" w:rsidRPr="00601368">
              <w:rPr>
                <w:rFonts w:eastAsia="Times New Roman" w:cs="Arial"/>
                <w:b/>
                <w:bCs/>
                <w:sz w:val="22"/>
                <w:lang w:eastAsia="en-AU"/>
              </w:rPr>
              <w:t xml:space="preserve">Forecast </w:t>
            </w:r>
            <w:r w:rsidR="003A3B9C" w:rsidRPr="00601368">
              <w:rPr>
                <w:rFonts w:eastAsia="Times New Roman" w:cs="Arial"/>
                <w:b/>
                <w:bCs/>
                <w:sz w:val="22"/>
                <w:lang w:eastAsia="en-AU"/>
              </w:rPr>
              <w:t xml:space="preserve">$ (30 June 2023): </w:t>
            </w:r>
            <w:r w:rsidR="005C6C63" w:rsidRPr="00601368">
              <w:rPr>
                <w:rFonts w:eastAsia="Times New Roman" w:cs="Arial"/>
                <w:sz w:val="22"/>
                <w:lang w:eastAsia="en-AU"/>
              </w:rPr>
              <w:t>Investigation works completed within budget </w:t>
            </w:r>
          </w:p>
        </w:tc>
      </w:tr>
      <w:tr w:rsidR="005C6C63" w:rsidRPr="00E62E92" w14:paraId="1AFBCCA4" w14:textId="77777777" w:rsidTr="00360131">
        <w:tc>
          <w:tcPr>
            <w:tcW w:w="0" w:type="dxa"/>
            <w:tcBorders>
              <w:top w:val="single" w:sz="2" w:space="0" w:color="002279"/>
              <w:bottom w:val="single" w:sz="2" w:space="0" w:color="002279"/>
            </w:tcBorders>
          </w:tcPr>
          <w:p w14:paraId="47156621" w14:textId="05A92FEC" w:rsidR="005C6C63" w:rsidRPr="00601368" w:rsidRDefault="005C6C63" w:rsidP="00C96C46">
            <w:pPr>
              <w:pStyle w:val="BodyText"/>
              <w:rPr>
                <w:rFonts w:eastAsia="Times New Roman" w:cs="Arial"/>
                <w:b/>
                <w:bCs/>
                <w:sz w:val="22"/>
                <w:lang w:eastAsia="en-AU"/>
              </w:rPr>
            </w:pPr>
            <w:r w:rsidRPr="00601368">
              <w:rPr>
                <w:rFonts w:eastAsia="Times New Roman" w:cs="Arial"/>
                <w:b/>
                <w:bCs/>
                <w:sz w:val="22"/>
                <w:lang w:eastAsia="en-AU"/>
              </w:rPr>
              <w:t xml:space="preserve">Actuals </w:t>
            </w:r>
            <w:r w:rsidR="00F94FAB">
              <w:rPr>
                <w:rFonts w:eastAsia="Times New Roman" w:cs="Arial"/>
                <w:b/>
                <w:bCs/>
                <w:sz w:val="22"/>
                <w:lang w:eastAsia="en-AU"/>
              </w:rPr>
              <w:t xml:space="preserve">at </w:t>
            </w:r>
            <w:r w:rsidR="00877A4C" w:rsidRPr="00601368">
              <w:rPr>
                <w:rFonts w:eastAsia="Times New Roman" w:cs="Arial"/>
                <w:b/>
                <w:bCs/>
                <w:sz w:val="22"/>
                <w:lang w:eastAsia="en-AU"/>
              </w:rPr>
              <w:t xml:space="preserve">2022/23 (Q1): </w:t>
            </w:r>
            <w:r w:rsidR="00D338FD" w:rsidRPr="00601368">
              <w:rPr>
                <w:rFonts w:eastAsia="Times New Roman" w:cs="Arial"/>
                <w:sz w:val="22"/>
                <w:lang w:eastAsia="en-AU"/>
              </w:rPr>
              <w:t>$0.18</w:t>
            </w:r>
            <w:r w:rsidR="009F21F0">
              <w:rPr>
                <w:rFonts w:eastAsia="Times New Roman" w:cs="Arial"/>
                <w:sz w:val="22"/>
                <w:lang w:eastAsia="en-AU"/>
              </w:rPr>
              <w:t>m</w:t>
            </w:r>
            <w:r w:rsidR="00D338FD" w:rsidRPr="00601368">
              <w:rPr>
                <w:rFonts w:eastAsia="Times New Roman" w:cs="Arial"/>
                <w:sz w:val="22"/>
                <w:lang w:eastAsia="en-AU"/>
              </w:rPr>
              <w:t xml:space="preserve"> (P95) </w:t>
            </w:r>
          </w:p>
        </w:tc>
      </w:tr>
      <w:tr w:rsidR="00D33224" w:rsidRPr="00E62E92" w14:paraId="0E7E9ECA" w14:textId="77777777" w:rsidTr="00360131">
        <w:tc>
          <w:tcPr>
            <w:tcW w:w="0" w:type="dxa"/>
            <w:tcBorders>
              <w:top w:val="single" w:sz="2" w:space="0" w:color="002279"/>
              <w:bottom w:val="single" w:sz="2" w:space="0" w:color="002279"/>
            </w:tcBorders>
          </w:tcPr>
          <w:p w14:paraId="03AC928B" w14:textId="185DB6AE" w:rsidR="00D33224" w:rsidRPr="00601368" w:rsidRDefault="00D33224" w:rsidP="00C96C46">
            <w:pPr>
              <w:pStyle w:val="BodyText"/>
              <w:rPr>
                <w:rFonts w:eastAsia="Times New Roman" w:cs="Arial"/>
                <w:b/>
                <w:bCs/>
                <w:sz w:val="22"/>
                <w:lang w:eastAsia="en-AU"/>
              </w:rPr>
            </w:pPr>
            <w:r w:rsidRPr="00601368">
              <w:rPr>
                <w:rFonts w:eastAsia="Times New Roman" w:cs="Arial"/>
                <w:b/>
                <w:bCs/>
                <w:sz w:val="22"/>
                <w:lang w:eastAsia="en-AU"/>
              </w:rPr>
              <w:t>Project spend end date:</w:t>
            </w:r>
            <w:r w:rsidRPr="00601368">
              <w:rPr>
                <w:rFonts w:eastAsia="Times New Roman" w:cs="Arial"/>
                <w:sz w:val="22"/>
                <w:lang w:eastAsia="en-AU"/>
              </w:rPr>
              <w:t xml:space="preserve"> 2021</w:t>
            </w:r>
          </w:p>
        </w:tc>
      </w:tr>
      <w:tr w:rsidR="00D33224" w:rsidRPr="00E62E92" w14:paraId="17C9B9AF" w14:textId="77777777" w:rsidTr="00360131">
        <w:tc>
          <w:tcPr>
            <w:tcW w:w="0" w:type="dxa"/>
            <w:tcBorders>
              <w:top w:val="single" w:sz="2" w:space="0" w:color="002279"/>
              <w:bottom w:val="single" w:sz="2" w:space="0" w:color="002279"/>
            </w:tcBorders>
          </w:tcPr>
          <w:p w14:paraId="2A9E5904" w14:textId="46A01BBE" w:rsidR="00D33224" w:rsidRPr="00601368" w:rsidRDefault="00D33224" w:rsidP="00C96C46">
            <w:pPr>
              <w:pStyle w:val="BodyText"/>
              <w:rPr>
                <w:rFonts w:eastAsia="Times New Roman" w:cs="Arial"/>
                <w:b/>
                <w:bCs/>
                <w:sz w:val="22"/>
                <w:lang w:eastAsia="en-AU"/>
              </w:rPr>
            </w:pPr>
            <w:r w:rsidRPr="00601368">
              <w:rPr>
                <w:rFonts w:eastAsia="Times New Roman" w:cs="Arial"/>
                <w:b/>
                <w:bCs/>
                <w:sz w:val="22"/>
                <w:lang w:eastAsia="en-AU"/>
              </w:rPr>
              <w:t xml:space="preserve">Project status: </w:t>
            </w:r>
            <w:r w:rsidR="00202631" w:rsidRPr="00601368">
              <w:rPr>
                <w:sz w:val="22"/>
              </w:rPr>
              <w:t xml:space="preserve">Deferred, </w:t>
            </w:r>
            <w:r w:rsidR="00960122">
              <w:rPr>
                <w:sz w:val="22"/>
              </w:rPr>
              <w:t xml:space="preserve">that is, </w:t>
            </w:r>
            <w:r w:rsidR="00202631" w:rsidRPr="00601368">
              <w:rPr>
                <w:sz w:val="22"/>
              </w:rPr>
              <w:t xml:space="preserve">the entire project has been rescheduled, either within the current pricing period or a future period </w:t>
            </w:r>
          </w:p>
        </w:tc>
      </w:tr>
      <w:tr w:rsidR="00CA4DD1" w:rsidRPr="00E62E92" w14:paraId="5315CBBE" w14:textId="77777777" w:rsidTr="00360131">
        <w:trPr>
          <w:trHeight w:val="4016"/>
        </w:trPr>
        <w:tc>
          <w:tcPr>
            <w:tcW w:w="0" w:type="dxa"/>
            <w:tcBorders>
              <w:top w:val="single" w:sz="2" w:space="0" w:color="002279"/>
              <w:bottom w:val="single" w:sz="2" w:space="0" w:color="002279"/>
            </w:tcBorders>
          </w:tcPr>
          <w:p w14:paraId="3810F28B" w14:textId="4D35102D" w:rsidR="00CA4DD1" w:rsidRPr="00601368" w:rsidRDefault="00CA4DD1" w:rsidP="00C96C46">
            <w:pPr>
              <w:spacing w:after="0"/>
              <w:textAlignment w:val="baseline"/>
              <w:rPr>
                <w:rFonts w:ascii="Segoe UI" w:eastAsia="Times New Roman" w:hAnsi="Segoe UI" w:cs="Segoe UI"/>
                <w:sz w:val="22"/>
                <w:lang w:eastAsia="en-AU"/>
              </w:rPr>
            </w:pPr>
            <w:r w:rsidRPr="00601368">
              <w:rPr>
                <w:rFonts w:eastAsia="Times New Roman" w:cs="Arial"/>
                <w:b/>
                <w:bCs/>
                <w:sz w:val="22"/>
                <w:lang w:eastAsia="en-AU"/>
              </w:rPr>
              <w:t xml:space="preserve">Project update: </w:t>
            </w:r>
            <w:r w:rsidRPr="00601368">
              <w:rPr>
                <w:rFonts w:eastAsia="Times New Roman" w:cs="Arial"/>
                <w:color w:val="000000"/>
                <w:sz w:val="22"/>
                <w:lang w:eastAsia="en-AU"/>
              </w:rPr>
              <w:t>One of the main drivers of the decision to not seek funding was the uncertainty of system performance during wet weather. The previous model was calibrated using rainfall events less than 1 in 5-year average recurrence interval, thereby requiring a higher degree of extrapolation of wet weather response. As such it was decided that although the highlighted deficiencies were noted, due to uncertainty, further work was to be conducted prior to committing to capital works.</w:t>
            </w:r>
            <w:r w:rsidR="00A1315F">
              <w:rPr>
                <w:rFonts w:eastAsia="Times New Roman" w:cs="Arial"/>
                <w:color w:val="000000"/>
                <w:sz w:val="22"/>
                <w:lang w:eastAsia="en-AU"/>
              </w:rPr>
              <w:t xml:space="preserve"> </w:t>
            </w:r>
          </w:p>
          <w:p w14:paraId="0A02A55C" w14:textId="3F6AB9BE" w:rsidR="00CA4DD1" w:rsidRPr="00601368" w:rsidRDefault="00CA4DD1" w:rsidP="00C96C46">
            <w:pPr>
              <w:spacing w:after="0"/>
              <w:textAlignment w:val="baseline"/>
              <w:rPr>
                <w:rFonts w:ascii="Segoe UI" w:eastAsia="Times New Roman" w:hAnsi="Segoe UI" w:cs="Segoe UI"/>
                <w:sz w:val="22"/>
                <w:lang w:eastAsia="en-AU"/>
              </w:rPr>
            </w:pPr>
            <w:r w:rsidRPr="00601368">
              <w:rPr>
                <w:rFonts w:eastAsia="Times New Roman" w:cs="Arial"/>
                <w:color w:val="000000"/>
                <w:sz w:val="22"/>
                <w:lang w:eastAsia="en-AU"/>
              </w:rPr>
              <w:t>Funding was allocated from the Sewer Growth modelling budget to update the hydraulic model, forecast catchment growth and apply the rainfall model. Field monitoring captured a wide range of wet weather events providing improved confidence in the model</w:t>
            </w:r>
            <w:r w:rsidR="00612583">
              <w:rPr>
                <w:rFonts w:eastAsia="Times New Roman" w:cs="Arial"/>
                <w:color w:val="000000"/>
                <w:sz w:val="22"/>
                <w:lang w:eastAsia="en-AU"/>
              </w:rPr>
              <w:t>’</w:t>
            </w:r>
            <w:r w:rsidRPr="00601368">
              <w:rPr>
                <w:rFonts w:eastAsia="Times New Roman" w:cs="Arial"/>
                <w:color w:val="000000"/>
                <w:sz w:val="22"/>
                <w:lang w:eastAsia="en-AU"/>
              </w:rPr>
              <w:t xml:space="preserve">s wet weather calibration. Added to this revised Australian Rainfall </w:t>
            </w:r>
            <w:r w:rsidR="00D74BEF">
              <w:rPr>
                <w:rFonts w:eastAsia="Times New Roman" w:cs="Arial"/>
                <w:color w:val="000000"/>
                <w:sz w:val="22"/>
                <w:lang w:eastAsia="en-AU"/>
              </w:rPr>
              <w:t>and</w:t>
            </w:r>
            <w:r w:rsidRPr="00601368">
              <w:rPr>
                <w:rFonts w:eastAsia="Times New Roman" w:cs="Arial"/>
                <w:color w:val="000000"/>
                <w:sz w:val="22"/>
                <w:lang w:eastAsia="en-AU"/>
              </w:rPr>
              <w:t xml:space="preserve"> Runoff (ARR) 2016</w:t>
            </w:r>
            <w:r w:rsidR="00F33731">
              <w:rPr>
                <w:rFonts w:eastAsia="Times New Roman" w:cs="Arial"/>
                <w:color w:val="000000"/>
                <w:sz w:val="22"/>
                <w:lang w:eastAsia="en-AU"/>
              </w:rPr>
              <w:t>–</w:t>
            </w:r>
            <w:r w:rsidRPr="00601368">
              <w:rPr>
                <w:rFonts w:eastAsia="Times New Roman" w:cs="Arial"/>
                <w:color w:val="000000"/>
                <w:sz w:val="22"/>
                <w:lang w:eastAsia="en-AU"/>
              </w:rPr>
              <w:t>19 data resulted in a significant change to wet weather performance in comparison with ARR 1987. As a result, analysis of the updated model showed a significant reduction of deficiencies across the sewer network.</w:t>
            </w:r>
            <w:r w:rsidR="00A1315F">
              <w:rPr>
                <w:rFonts w:eastAsia="Times New Roman" w:cs="Arial"/>
                <w:color w:val="000000"/>
                <w:sz w:val="22"/>
                <w:lang w:eastAsia="en-AU"/>
              </w:rPr>
              <w:t xml:space="preserve"> </w:t>
            </w:r>
            <w:r w:rsidRPr="00601368">
              <w:rPr>
                <w:rFonts w:eastAsia="Times New Roman" w:cs="Arial"/>
                <w:color w:val="000000"/>
                <w:sz w:val="22"/>
                <w:lang w:eastAsia="en-AU"/>
              </w:rPr>
              <w:t xml:space="preserve">The investigations determined the overall scope of works required to ensure the catchment complies with the 18.13 </w:t>
            </w:r>
            <w:r w:rsidR="00D74BEF">
              <w:rPr>
                <w:rFonts w:eastAsia="Times New Roman" w:cs="Arial"/>
                <w:color w:val="000000"/>
                <w:sz w:val="22"/>
                <w:lang w:eastAsia="en-AU"/>
              </w:rPr>
              <w:t>%</w:t>
            </w:r>
            <w:r w:rsidRPr="00601368">
              <w:rPr>
                <w:rFonts w:eastAsia="Times New Roman" w:cs="Arial"/>
                <w:color w:val="000000"/>
                <w:sz w:val="22"/>
                <w:lang w:eastAsia="en-AU"/>
              </w:rPr>
              <w:t xml:space="preserve"> Annual Exceedance Probability (AEP) containment standard, as stipulated in the State Environment Protection Policy (Waters for Victoria) 2018, to have reduced significantly. A </w:t>
            </w:r>
            <w:r w:rsidR="00612583">
              <w:rPr>
                <w:rFonts w:eastAsia="Times New Roman" w:cs="Arial"/>
                <w:color w:val="000000"/>
                <w:sz w:val="22"/>
                <w:lang w:eastAsia="en-AU"/>
              </w:rPr>
              <w:t>‘</w:t>
            </w:r>
            <w:r w:rsidRPr="00601368">
              <w:rPr>
                <w:rFonts w:eastAsia="Times New Roman" w:cs="Arial"/>
                <w:color w:val="000000"/>
                <w:sz w:val="22"/>
                <w:lang w:eastAsia="en-AU"/>
              </w:rPr>
              <w:t>do nothing</w:t>
            </w:r>
            <w:r w:rsidR="00612583">
              <w:rPr>
                <w:rFonts w:eastAsia="Times New Roman" w:cs="Arial"/>
                <w:color w:val="000000"/>
                <w:sz w:val="22"/>
                <w:lang w:eastAsia="en-AU"/>
              </w:rPr>
              <w:t>’</w:t>
            </w:r>
            <w:r w:rsidRPr="00601368">
              <w:rPr>
                <w:rFonts w:eastAsia="Times New Roman" w:cs="Arial"/>
                <w:color w:val="000000"/>
                <w:sz w:val="22"/>
                <w:lang w:eastAsia="en-AU"/>
              </w:rPr>
              <w:t xml:space="preserve"> option was </w:t>
            </w:r>
            <w:r w:rsidRPr="00601368">
              <w:rPr>
                <w:rFonts w:eastAsia="Times New Roman" w:cs="Arial"/>
                <w:color w:val="000000"/>
                <w:sz w:val="22"/>
                <w:lang w:eastAsia="en-AU"/>
              </w:rPr>
              <w:lastRenderedPageBreak/>
              <w:t>explored, however due to the predicted spills being uncontrolled, this option was discounted.</w:t>
            </w:r>
            <w:r w:rsidR="00A1315F">
              <w:rPr>
                <w:rFonts w:eastAsia="Times New Roman" w:cs="Arial"/>
                <w:color w:val="000000"/>
                <w:sz w:val="22"/>
                <w:lang w:eastAsia="en-AU"/>
              </w:rPr>
              <w:t xml:space="preserve"> </w:t>
            </w:r>
          </w:p>
          <w:p w14:paraId="4ECA0ED4" w14:textId="37C59A92" w:rsidR="00CA4DD1" w:rsidRDefault="00CA4DD1" w:rsidP="00C96C46">
            <w:pPr>
              <w:spacing w:after="0"/>
              <w:textAlignment w:val="baseline"/>
              <w:rPr>
                <w:rFonts w:eastAsia="Times New Roman" w:cs="Arial"/>
                <w:color w:val="000000"/>
                <w:sz w:val="22"/>
                <w:lang w:eastAsia="en-AU"/>
              </w:rPr>
            </w:pPr>
            <w:r w:rsidRPr="00601368">
              <w:rPr>
                <w:rFonts w:eastAsia="Times New Roman" w:cs="Arial"/>
                <w:color w:val="000000"/>
                <w:sz w:val="22"/>
                <w:lang w:eastAsia="en-AU"/>
              </w:rPr>
              <w:t>An options assessment was conducted to determine the optimal solution.</w:t>
            </w:r>
            <w:r w:rsidR="00A1315F">
              <w:rPr>
                <w:rFonts w:eastAsia="Times New Roman" w:cs="Arial"/>
                <w:color w:val="000000"/>
                <w:sz w:val="22"/>
                <w:lang w:eastAsia="en-AU"/>
              </w:rPr>
              <w:t xml:space="preserve"> </w:t>
            </w:r>
            <w:r w:rsidRPr="00601368">
              <w:rPr>
                <w:rFonts w:eastAsia="Times New Roman" w:cs="Arial"/>
                <w:color w:val="000000"/>
                <w:sz w:val="22"/>
                <w:lang w:eastAsia="en-AU"/>
              </w:rPr>
              <w:t xml:space="preserve">During this phase, it was re-confirmed that works in Clayton would need to be shortly followed by augmentation works in the Westall catchment due to the proposed diversion of flows along the Clayton </w:t>
            </w:r>
            <w:r w:rsidR="004C72E9">
              <w:rPr>
                <w:rFonts w:eastAsia="Times New Roman" w:cs="Arial"/>
                <w:color w:val="000000"/>
                <w:sz w:val="22"/>
                <w:lang w:eastAsia="en-AU"/>
              </w:rPr>
              <w:t>b</w:t>
            </w:r>
            <w:r w:rsidRPr="00601368">
              <w:rPr>
                <w:rFonts w:eastAsia="Times New Roman" w:cs="Arial"/>
                <w:color w:val="000000"/>
                <w:sz w:val="22"/>
                <w:lang w:eastAsia="en-AU"/>
              </w:rPr>
              <w:t xml:space="preserve">ranch </w:t>
            </w:r>
            <w:r w:rsidR="004C72E9">
              <w:rPr>
                <w:rFonts w:eastAsia="Times New Roman" w:cs="Arial"/>
                <w:color w:val="000000"/>
                <w:sz w:val="22"/>
                <w:lang w:eastAsia="en-AU"/>
              </w:rPr>
              <w:t>s</w:t>
            </w:r>
            <w:r w:rsidRPr="00601368">
              <w:rPr>
                <w:rFonts w:eastAsia="Times New Roman" w:cs="Arial"/>
                <w:color w:val="000000"/>
                <w:sz w:val="22"/>
                <w:lang w:eastAsia="en-AU"/>
              </w:rPr>
              <w:t>ewer.</w:t>
            </w:r>
            <w:r w:rsidR="00A1315F">
              <w:rPr>
                <w:rFonts w:eastAsia="Times New Roman" w:cs="Arial"/>
                <w:color w:val="000000"/>
                <w:sz w:val="22"/>
                <w:lang w:eastAsia="en-AU"/>
              </w:rPr>
              <w:t xml:space="preserve"> </w:t>
            </w:r>
          </w:p>
          <w:p w14:paraId="44C5C91A" w14:textId="2BE92187" w:rsidR="00133FA5" w:rsidRDefault="00CA4DD1" w:rsidP="00C96C46">
            <w:pPr>
              <w:spacing w:after="0"/>
              <w:textAlignment w:val="baseline"/>
              <w:rPr>
                <w:rFonts w:eastAsia="Times New Roman" w:cs="Arial"/>
                <w:color w:val="000000"/>
                <w:sz w:val="22"/>
                <w:lang w:eastAsia="en-AU"/>
              </w:rPr>
            </w:pPr>
            <w:r w:rsidRPr="00601368">
              <w:rPr>
                <w:rFonts w:eastAsia="Times New Roman" w:cs="Arial"/>
                <w:color w:val="000000"/>
                <w:sz w:val="22"/>
                <w:lang w:eastAsia="en-AU"/>
              </w:rPr>
              <w:t xml:space="preserve">Concurrently an options assessment was completed for the Mile Creek and Westall catchments. This provided the opportunity to consider a more </w:t>
            </w:r>
            <w:r w:rsidR="00612583">
              <w:rPr>
                <w:rFonts w:eastAsia="Times New Roman" w:cs="Arial"/>
                <w:color w:val="000000"/>
                <w:sz w:val="22"/>
                <w:lang w:eastAsia="en-AU"/>
              </w:rPr>
              <w:t>‘</w:t>
            </w:r>
            <w:r w:rsidRPr="00601368">
              <w:rPr>
                <w:rFonts w:eastAsia="Times New Roman" w:cs="Arial"/>
                <w:color w:val="000000"/>
                <w:sz w:val="22"/>
                <w:lang w:eastAsia="en-AU"/>
              </w:rPr>
              <w:t>Regional Strategy</w:t>
            </w:r>
            <w:r w:rsidR="00612583">
              <w:rPr>
                <w:rFonts w:eastAsia="Times New Roman" w:cs="Arial"/>
                <w:color w:val="000000"/>
                <w:sz w:val="22"/>
                <w:lang w:eastAsia="en-AU"/>
              </w:rPr>
              <w:t>’</w:t>
            </w:r>
            <w:r w:rsidRPr="00601368">
              <w:rPr>
                <w:rFonts w:eastAsia="Times New Roman" w:cs="Arial"/>
                <w:color w:val="000000"/>
                <w:sz w:val="22"/>
                <w:lang w:eastAsia="en-AU"/>
              </w:rPr>
              <w:t xml:space="preserve"> for the </w:t>
            </w:r>
            <w:r w:rsidR="00584B94">
              <w:rPr>
                <w:rFonts w:eastAsia="Times New Roman" w:cs="Arial"/>
                <w:color w:val="000000"/>
                <w:sz w:val="22"/>
                <w:lang w:eastAsia="en-AU"/>
              </w:rPr>
              <w:t>3</w:t>
            </w:r>
            <w:r w:rsidRPr="00601368">
              <w:rPr>
                <w:rFonts w:eastAsia="Times New Roman" w:cs="Arial"/>
                <w:color w:val="000000"/>
                <w:sz w:val="22"/>
                <w:lang w:eastAsia="en-AU"/>
              </w:rPr>
              <w:t xml:space="preserve"> catchments, which would include staged works delivered in such a way to minimise the overall scope of works and in turn the financial obligation, </w:t>
            </w:r>
            <w:r w:rsidR="00E705EB">
              <w:rPr>
                <w:rFonts w:eastAsia="Times New Roman" w:cs="Arial"/>
                <w:color w:val="000000"/>
                <w:sz w:val="22"/>
                <w:lang w:eastAsia="en-AU"/>
              </w:rPr>
              <w:t>while</w:t>
            </w:r>
            <w:r w:rsidRPr="00601368">
              <w:rPr>
                <w:rFonts w:eastAsia="Times New Roman" w:cs="Arial"/>
                <w:color w:val="000000"/>
                <w:sz w:val="22"/>
                <w:lang w:eastAsia="en-AU"/>
              </w:rPr>
              <w:t xml:space="preserve"> also maximising the capacity and operation of existing and proposed assets (deferment of works).</w:t>
            </w:r>
            <w:r w:rsidR="00A1315F">
              <w:rPr>
                <w:rFonts w:eastAsia="Times New Roman" w:cs="Arial"/>
                <w:color w:val="000000"/>
                <w:sz w:val="22"/>
                <w:lang w:eastAsia="en-AU"/>
              </w:rPr>
              <w:t xml:space="preserve"> </w:t>
            </w:r>
            <w:r w:rsidRPr="00601368">
              <w:rPr>
                <w:rFonts w:eastAsia="Times New Roman" w:cs="Arial"/>
                <w:color w:val="000000"/>
                <w:sz w:val="22"/>
                <w:lang w:eastAsia="en-AU"/>
              </w:rPr>
              <w:t xml:space="preserve">This </w:t>
            </w:r>
            <w:r w:rsidR="00612583">
              <w:rPr>
                <w:rFonts w:eastAsia="Times New Roman" w:cs="Arial"/>
                <w:color w:val="000000"/>
                <w:sz w:val="22"/>
                <w:lang w:eastAsia="en-AU"/>
              </w:rPr>
              <w:t>‘</w:t>
            </w:r>
            <w:r w:rsidRPr="00601368">
              <w:rPr>
                <w:rFonts w:eastAsia="Times New Roman" w:cs="Arial"/>
                <w:color w:val="000000"/>
                <w:sz w:val="22"/>
                <w:lang w:eastAsia="en-AU"/>
              </w:rPr>
              <w:t>Regional Strategy</w:t>
            </w:r>
            <w:r w:rsidR="00612583">
              <w:rPr>
                <w:rFonts w:eastAsia="Times New Roman" w:cs="Arial"/>
                <w:color w:val="000000"/>
                <w:sz w:val="22"/>
                <w:lang w:eastAsia="en-AU"/>
              </w:rPr>
              <w:t>’</w:t>
            </w:r>
            <w:r w:rsidRPr="00601368">
              <w:rPr>
                <w:rFonts w:eastAsia="Times New Roman" w:cs="Arial"/>
                <w:color w:val="000000"/>
                <w:sz w:val="22"/>
                <w:lang w:eastAsia="en-AU"/>
              </w:rPr>
              <w:t xml:space="preserve"> and the resulting works in each of the </w:t>
            </w:r>
            <w:r w:rsidR="00584B94">
              <w:rPr>
                <w:rFonts w:eastAsia="Times New Roman" w:cs="Arial"/>
                <w:color w:val="000000"/>
                <w:sz w:val="22"/>
                <w:lang w:eastAsia="en-AU"/>
              </w:rPr>
              <w:t>3</w:t>
            </w:r>
            <w:r w:rsidRPr="00601368">
              <w:rPr>
                <w:rFonts w:eastAsia="Times New Roman" w:cs="Arial"/>
                <w:color w:val="000000"/>
                <w:sz w:val="22"/>
                <w:lang w:eastAsia="en-AU"/>
              </w:rPr>
              <w:t xml:space="preserve"> catchments were workshopped with numerous internal and external stakeholders via Multi Criteria Assessments, culminating in a preferred option for each of the </w:t>
            </w:r>
            <w:r w:rsidR="00584B94">
              <w:rPr>
                <w:rFonts w:eastAsia="Times New Roman" w:cs="Arial"/>
                <w:color w:val="000000"/>
                <w:sz w:val="22"/>
                <w:lang w:eastAsia="en-AU"/>
              </w:rPr>
              <w:t>3</w:t>
            </w:r>
            <w:r w:rsidRPr="00601368">
              <w:rPr>
                <w:rFonts w:eastAsia="Times New Roman" w:cs="Arial"/>
                <w:color w:val="000000"/>
                <w:sz w:val="22"/>
                <w:lang w:eastAsia="en-AU"/>
              </w:rPr>
              <w:t xml:space="preserve"> catchments.</w:t>
            </w:r>
            <w:r w:rsidR="00A1315F">
              <w:rPr>
                <w:rFonts w:eastAsia="Times New Roman" w:cs="Arial"/>
                <w:color w:val="000000"/>
                <w:sz w:val="22"/>
                <w:lang w:eastAsia="en-AU"/>
              </w:rPr>
              <w:t xml:space="preserve"> </w:t>
            </w:r>
          </w:p>
          <w:p w14:paraId="141A0F83" w14:textId="5AAD4891" w:rsidR="00CA4DD1" w:rsidRPr="00601368" w:rsidRDefault="00CA4DD1" w:rsidP="00C96C46">
            <w:pPr>
              <w:spacing w:after="0"/>
              <w:textAlignment w:val="baseline"/>
              <w:rPr>
                <w:rFonts w:ascii="Segoe UI" w:eastAsia="Times New Roman" w:hAnsi="Segoe UI" w:cs="Segoe UI"/>
                <w:sz w:val="22"/>
                <w:lang w:eastAsia="en-AU"/>
              </w:rPr>
            </w:pPr>
            <w:r w:rsidRPr="00601368">
              <w:rPr>
                <w:rFonts w:eastAsia="Times New Roman" w:cs="Arial"/>
                <w:color w:val="000000"/>
                <w:sz w:val="22"/>
                <w:lang w:eastAsia="en-AU"/>
              </w:rPr>
              <w:t> </w:t>
            </w:r>
          </w:p>
          <w:p w14:paraId="782BCEE6" w14:textId="764B6C32" w:rsidR="00CA4DD1" w:rsidRPr="00601368" w:rsidRDefault="00CA4DD1" w:rsidP="00C96C46">
            <w:pPr>
              <w:spacing w:after="0"/>
              <w:textAlignment w:val="baseline"/>
              <w:rPr>
                <w:rFonts w:ascii="Segoe UI" w:eastAsia="Times New Roman" w:hAnsi="Segoe UI" w:cs="Segoe UI"/>
                <w:sz w:val="22"/>
                <w:lang w:eastAsia="en-AU"/>
              </w:rPr>
            </w:pPr>
            <w:r w:rsidRPr="00601368">
              <w:rPr>
                <w:rFonts w:eastAsia="Times New Roman" w:cs="Arial"/>
                <w:color w:val="000000"/>
                <w:sz w:val="22"/>
                <w:lang w:eastAsia="en-AU"/>
              </w:rPr>
              <w:t>A review in network flow monitoring utilising BlokAids found that although surcharging during wet weather was observed, the flows in the sewer did not reach overflow levels.</w:t>
            </w:r>
            <w:r w:rsidR="00A1315F">
              <w:rPr>
                <w:rFonts w:eastAsia="Times New Roman" w:cs="Arial"/>
                <w:color w:val="000000"/>
                <w:sz w:val="22"/>
                <w:lang w:eastAsia="en-AU"/>
              </w:rPr>
              <w:t xml:space="preserve"> </w:t>
            </w:r>
          </w:p>
          <w:p w14:paraId="496C195C" w14:textId="29B7F4A9" w:rsidR="004145AD" w:rsidRPr="00601368" w:rsidRDefault="00CA4DD1" w:rsidP="00C96C46">
            <w:pPr>
              <w:spacing w:after="0"/>
              <w:textAlignment w:val="baseline"/>
              <w:rPr>
                <w:rFonts w:eastAsia="Times New Roman" w:cs="Arial"/>
                <w:b/>
                <w:bCs/>
                <w:sz w:val="22"/>
                <w:lang w:eastAsia="en-AU"/>
              </w:rPr>
            </w:pPr>
            <w:r w:rsidRPr="00601368">
              <w:rPr>
                <w:rFonts w:eastAsia="Times New Roman" w:cs="Arial"/>
                <w:color w:val="000000"/>
                <w:sz w:val="22"/>
                <w:lang w:eastAsia="en-AU"/>
              </w:rPr>
              <w:t>As such, the Price Submission 2018</w:t>
            </w:r>
            <w:r w:rsidR="00F33731">
              <w:rPr>
                <w:rFonts w:eastAsia="Times New Roman" w:cs="Arial"/>
                <w:color w:val="000000"/>
                <w:sz w:val="22"/>
                <w:lang w:eastAsia="en-AU"/>
              </w:rPr>
              <w:t>–</w:t>
            </w:r>
            <w:r w:rsidRPr="00601368">
              <w:rPr>
                <w:rFonts w:eastAsia="Times New Roman" w:cs="Arial"/>
                <w:color w:val="000000"/>
                <w:sz w:val="22"/>
                <w:lang w:eastAsia="en-AU"/>
              </w:rPr>
              <w:t>23 Clayton East and West scope of works has been amended and successfully deferred. The area will continue to be continuously monitored using BlokAids. </w:t>
            </w:r>
          </w:p>
        </w:tc>
      </w:tr>
      <w:tr w:rsidR="00344962" w:rsidRPr="00E62E92" w14:paraId="39529D49" w14:textId="77777777" w:rsidTr="00360131">
        <w:trPr>
          <w:trHeight w:val="685"/>
        </w:trPr>
        <w:tc>
          <w:tcPr>
            <w:tcW w:w="0" w:type="dxa"/>
            <w:tcBorders>
              <w:top w:val="single" w:sz="2" w:space="0" w:color="002279"/>
              <w:bottom w:val="single" w:sz="2" w:space="0" w:color="002279"/>
            </w:tcBorders>
          </w:tcPr>
          <w:p w14:paraId="7C2883BB" w14:textId="3EE71FF6" w:rsidR="00344962" w:rsidRPr="008F6103" w:rsidRDefault="00344962" w:rsidP="00CA4DD1">
            <w:pPr>
              <w:spacing w:after="0"/>
              <w:textAlignment w:val="baseline"/>
              <w:rPr>
                <w:rFonts w:eastAsia="Times New Roman" w:cs="Arial"/>
                <w:b/>
                <w:bCs/>
                <w:sz w:val="22"/>
                <w:lang w:eastAsia="en-AU"/>
              </w:rPr>
            </w:pPr>
            <w:r w:rsidRPr="008F6103">
              <w:rPr>
                <w:rFonts w:eastAsia="Times New Roman" w:cs="Arial"/>
                <w:b/>
                <w:bCs/>
                <w:sz w:val="22"/>
                <w:lang w:eastAsia="en-AU"/>
              </w:rPr>
              <w:lastRenderedPageBreak/>
              <w:t xml:space="preserve">Indicative self-assessment score: </w:t>
            </w:r>
            <w:r w:rsidRPr="008F6103">
              <w:rPr>
                <w:rFonts w:eastAsia="Times New Roman" w:cs="Arial"/>
                <w:sz w:val="22"/>
                <w:lang w:eastAsia="en-AU"/>
              </w:rPr>
              <w:t xml:space="preserve">2 </w:t>
            </w:r>
            <w:r w:rsidR="00F33731">
              <w:rPr>
                <w:rFonts w:eastAsia="Times New Roman" w:cs="Arial"/>
                <w:sz w:val="22"/>
                <w:lang w:eastAsia="en-AU"/>
              </w:rPr>
              <w:t>–</w:t>
            </w:r>
            <w:r w:rsidRPr="008F6103">
              <w:rPr>
                <w:rFonts w:eastAsia="Times New Roman" w:cs="Arial"/>
                <w:sz w:val="22"/>
                <w:lang w:eastAsia="en-AU"/>
              </w:rPr>
              <w:t xml:space="preserve"> </w:t>
            </w:r>
            <w:r w:rsidRPr="008F6103">
              <w:rPr>
                <w:rStyle w:val="normaltextrun"/>
                <w:rFonts w:cs="Arial"/>
                <w:sz w:val="22"/>
                <w:bdr w:val="none" w:sz="0" w:space="0" w:color="auto" w:frame="1"/>
              </w:rPr>
              <w:t>Largely consistent with or exceeded the 2018</w:t>
            </w:r>
            <w:r w:rsidR="00F33731">
              <w:rPr>
                <w:rStyle w:val="normaltextrun"/>
                <w:rFonts w:cs="Arial"/>
                <w:sz w:val="22"/>
                <w:bdr w:val="none" w:sz="0" w:space="0" w:color="auto" w:frame="1"/>
              </w:rPr>
              <w:t>–</w:t>
            </w:r>
            <w:r w:rsidRPr="008F6103">
              <w:rPr>
                <w:rStyle w:val="normaltextrun"/>
                <w:rFonts w:cs="Arial"/>
                <w:sz w:val="22"/>
                <w:bdr w:val="none" w:sz="0" w:space="0" w:color="auto" w:frame="1"/>
              </w:rPr>
              <w:t>23 commitment</w:t>
            </w:r>
            <w:r w:rsidRPr="008F6103">
              <w:rPr>
                <w:sz w:val="22"/>
              </w:rPr>
              <w:t> </w:t>
            </w:r>
          </w:p>
        </w:tc>
      </w:tr>
      <w:tr w:rsidR="00B86A3C" w:rsidRPr="00E62E92" w14:paraId="7047712D" w14:textId="77777777" w:rsidTr="00360131">
        <w:trPr>
          <w:trHeight w:val="4408"/>
        </w:trPr>
        <w:tc>
          <w:tcPr>
            <w:tcW w:w="0" w:type="dxa"/>
            <w:tcBorders>
              <w:top w:val="single" w:sz="2" w:space="0" w:color="002279"/>
              <w:bottom w:val="single" w:sz="2" w:space="0" w:color="002279"/>
            </w:tcBorders>
          </w:tcPr>
          <w:p w14:paraId="71279FC5" w14:textId="43C1F5EF" w:rsidR="00C0262A" w:rsidRPr="00C0262A" w:rsidRDefault="00C0262A" w:rsidP="00C0262A">
            <w:pPr>
              <w:pStyle w:val="paragraph"/>
              <w:spacing w:before="0" w:beforeAutospacing="0" w:after="0" w:afterAutospacing="0"/>
              <w:textAlignment w:val="baseline"/>
              <w:rPr>
                <w:rFonts w:ascii="Arial" w:hAnsi="Arial" w:cs="Arial"/>
                <w:sz w:val="22"/>
              </w:rPr>
            </w:pPr>
            <w:r w:rsidRPr="00C0262A">
              <w:rPr>
                <w:rFonts w:ascii="Arial" w:hAnsi="Arial" w:cs="Arial"/>
                <w:b/>
                <w:bCs/>
                <w:sz w:val="22"/>
              </w:rPr>
              <w:t xml:space="preserve">Assessment rationale: </w:t>
            </w:r>
            <w:r w:rsidRPr="00C0262A">
              <w:rPr>
                <w:rStyle w:val="normaltextrun"/>
                <w:rFonts w:ascii="Arial" w:hAnsi="Arial" w:cs="Arial"/>
                <w:color w:val="000000"/>
                <w:sz w:val="22"/>
              </w:rPr>
              <w:t>South East Water</w:t>
            </w:r>
            <w:r w:rsidR="00612583">
              <w:rPr>
                <w:rStyle w:val="normaltextrun"/>
                <w:rFonts w:ascii="Arial" w:hAnsi="Arial" w:cs="Arial"/>
                <w:color w:val="000000"/>
                <w:sz w:val="22"/>
              </w:rPr>
              <w:t>’</w:t>
            </w:r>
            <w:r w:rsidRPr="00C0262A">
              <w:rPr>
                <w:rStyle w:val="normaltextrun"/>
                <w:rFonts w:ascii="Arial" w:hAnsi="Arial" w:cs="Arial"/>
                <w:color w:val="000000"/>
                <w:sz w:val="22"/>
              </w:rPr>
              <w:t>s decision not to seek funding for the scope of works proposed in price submission 2018</w:t>
            </w:r>
            <w:r w:rsidR="00F33731">
              <w:rPr>
                <w:rStyle w:val="normaltextrun"/>
                <w:rFonts w:ascii="Arial" w:hAnsi="Arial" w:cs="Arial"/>
                <w:color w:val="000000"/>
                <w:sz w:val="22"/>
              </w:rPr>
              <w:t>–</w:t>
            </w:r>
            <w:r w:rsidRPr="00C0262A">
              <w:rPr>
                <w:rStyle w:val="normaltextrun"/>
                <w:rFonts w:ascii="Arial" w:hAnsi="Arial" w:cs="Arial"/>
                <w:color w:val="000000"/>
                <w:sz w:val="22"/>
              </w:rPr>
              <w:t>23 proved to be a sound decision. The following investigations were successfully completed within the period:</w:t>
            </w:r>
            <w:r w:rsidRPr="00C0262A">
              <w:rPr>
                <w:rStyle w:val="eop"/>
                <w:rFonts w:ascii="Arial" w:hAnsi="Arial" w:cs="Arial"/>
                <w:color w:val="000000"/>
                <w:sz w:val="22"/>
              </w:rPr>
              <w:t> </w:t>
            </w:r>
          </w:p>
          <w:p w14:paraId="18292A47" w14:textId="3BA4316B" w:rsidR="00C0262A" w:rsidRPr="00C0262A" w:rsidRDefault="00C0262A">
            <w:pPr>
              <w:pStyle w:val="paragraph"/>
              <w:numPr>
                <w:ilvl w:val="0"/>
                <w:numId w:val="113"/>
              </w:numPr>
              <w:spacing w:before="0" w:beforeAutospacing="0" w:after="0" w:afterAutospacing="0"/>
              <w:ind w:left="738"/>
              <w:textAlignment w:val="baseline"/>
              <w:rPr>
                <w:rFonts w:ascii="Arial" w:hAnsi="Arial" w:cs="Arial"/>
                <w:sz w:val="22"/>
              </w:rPr>
            </w:pPr>
            <w:r w:rsidRPr="00C0262A">
              <w:rPr>
                <w:rStyle w:val="normaltextrun"/>
                <w:rFonts w:ascii="Arial" w:hAnsi="Arial" w:cs="Arial"/>
                <w:color w:val="000000"/>
                <w:sz w:val="22"/>
              </w:rPr>
              <w:t>updated and calibrated hydraulic model with high wet weather performance</w:t>
            </w:r>
            <w:r w:rsidRPr="00C0262A">
              <w:rPr>
                <w:rStyle w:val="eop"/>
                <w:rFonts w:ascii="Arial" w:hAnsi="Arial" w:cs="Arial"/>
                <w:color w:val="000000"/>
                <w:sz w:val="22"/>
              </w:rPr>
              <w:t> </w:t>
            </w:r>
          </w:p>
          <w:p w14:paraId="7E4793DF" w14:textId="77777777" w:rsidR="00C0262A" w:rsidRPr="00C0262A" w:rsidRDefault="00C0262A">
            <w:pPr>
              <w:pStyle w:val="paragraph"/>
              <w:numPr>
                <w:ilvl w:val="0"/>
                <w:numId w:val="113"/>
              </w:numPr>
              <w:spacing w:before="0" w:beforeAutospacing="0" w:after="0" w:afterAutospacing="0"/>
              <w:ind w:left="738"/>
              <w:textAlignment w:val="baseline"/>
              <w:rPr>
                <w:rFonts w:ascii="Arial" w:hAnsi="Arial" w:cs="Arial"/>
                <w:sz w:val="22"/>
              </w:rPr>
            </w:pPr>
            <w:r w:rsidRPr="00C0262A">
              <w:rPr>
                <w:rStyle w:val="normaltextrun"/>
                <w:rFonts w:ascii="Arial" w:hAnsi="Arial" w:cs="Arial"/>
                <w:color w:val="000000"/>
                <w:sz w:val="22"/>
              </w:rPr>
              <w:t>application of the revised ARR rainfall model, including climate change scenarios</w:t>
            </w:r>
            <w:r w:rsidRPr="00C0262A">
              <w:rPr>
                <w:rStyle w:val="eop"/>
                <w:rFonts w:ascii="Arial" w:hAnsi="Arial" w:cs="Arial"/>
                <w:color w:val="000000"/>
                <w:sz w:val="22"/>
              </w:rPr>
              <w:t> </w:t>
            </w:r>
          </w:p>
          <w:p w14:paraId="1B00C70D" w14:textId="709B7A28" w:rsidR="00C0262A" w:rsidRPr="00C0262A" w:rsidRDefault="00C0262A">
            <w:pPr>
              <w:pStyle w:val="paragraph"/>
              <w:numPr>
                <w:ilvl w:val="0"/>
                <w:numId w:val="113"/>
              </w:numPr>
              <w:spacing w:before="0" w:beforeAutospacing="0" w:after="0" w:afterAutospacing="0"/>
              <w:ind w:left="738"/>
              <w:textAlignment w:val="baseline"/>
              <w:rPr>
                <w:rFonts w:ascii="Arial" w:hAnsi="Arial" w:cs="Arial"/>
                <w:sz w:val="22"/>
              </w:rPr>
            </w:pPr>
            <w:r w:rsidRPr="00C0262A">
              <w:rPr>
                <w:rStyle w:val="normaltextrun"/>
                <w:rFonts w:ascii="Arial" w:hAnsi="Arial" w:cs="Arial"/>
                <w:color w:val="000000"/>
                <w:sz w:val="22"/>
              </w:rPr>
              <w:t>installation of additional BlokAid devices and continuous flow monitoring</w:t>
            </w:r>
            <w:r w:rsidR="00A1315F">
              <w:rPr>
                <w:rStyle w:val="normaltextrun"/>
                <w:rFonts w:ascii="Arial" w:hAnsi="Arial" w:cs="Arial"/>
                <w:color w:val="000000"/>
                <w:sz w:val="22"/>
              </w:rPr>
              <w:t xml:space="preserve"> </w:t>
            </w:r>
          </w:p>
          <w:p w14:paraId="07E10D13" w14:textId="77777777" w:rsidR="00C0262A" w:rsidRPr="00C0262A" w:rsidRDefault="00C0262A">
            <w:pPr>
              <w:pStyle w:val="paragraph"/>
              <w:numPr>
                <w:ilvl w:val="0"/>
                <w:numId w:val="113"/>
              </w:numPr>
              <w:spacing w:before="0" w:beforeAutospacing="0" w:after="0" w:afterAutospacing="0"/>
              <w:ind w:left="738"/>
              <w:textAlignment w:val="baseline"/>
              <w:rPr>
                <w:rFonts w:ascii="Arial" w:hAnsi="Arial" w:cs="Arial"/>
                <w:sz w:val="22"/>
              </w:rPr>
            </w:pPr>
            <w:r w:rsidRPr="00C0262A">
              <w:rPr>
                <w:rStyle w:val="normaltextrun"/>
                <w:rFonts w:ascii="Arial" w:hAnsi="Arial" w:cs="Arial"/>
                <w:color w:val="000000"/>
                <w:sz w:val="22"/>
              </w:rPr>
              <w:t>implementation of a revised regional strategy for the Clayton, Mile Creek and Westall Catchments</w:t>
            </w:r>
            <w:r w:rsidRPr="00C0262A">
              <w:rPr>
                <w:rStyle w:val="normaltextrun"/>
                <w:rFonts w:ascii="Arial" w:hAnsi="Arial" w:cs="Arial"/>
                <w:sz w:val="22"/>
              </w:rPr>
              <w:t>.</w:t>
            </w:r>
            <w:r w:rsidRPr="00C0262A">
              <w:rPr>
                <w:rStyle w:val="eop"/>
                <w:rFonts w:ascii="Arial" w:hAnsi="Arial" w:cs="Arial"/>
                <w:sz w:val="22"/>
              </w:rPr>
              <w:t> </w:t>
            </w:r>
          </w:p>
          <w:p w14:paraId="5FBF5317" w14:textId="7A27A237" w:rsidR="00C0262A" w:rsidRPr="00C0262A" w:rsidRDefault="00C0262A" w:rsidP="00C0262A">
            <w:pPr>
              <w:pStyle w:val="paragraph"/>
              <w:spacing w:before="0" w:beforeAutospacing="0" w:after="0" w:afterAutospacing="0"/>
              <w:textAlignment w:val="baseline"/>
              <w:rPr>
                <w:rFonts w:ascii="Arial" w:hAnsi="Arial" w:cs="Arial"/>
                <w:sz w:val="22"/>
              </w:rPr>
            </w:pPr>
            <w:r w:rsidRPr="00C0262A">
              <w:rPr>
                <w:rStyle w:val="normaltextrun"/>
                <w:rFonts w:ascii="Arial" w:hAnsi="Arial" w:cs="Arial"/>
                <w:color w:val="000000"/>
                <w:sz w:val="22"/>
              </w:rPr>
              <w:t>The regional servicing strategy has allowed the deferral of significant upgrade works. In the Clayton catchment these are now not required until Price Submission 6 (2032).</w:t>
            </w:r>
            <w:r w:rsidR="00A1315F">
              <w:rPr>
                <w:rStyle w:val="normaltextrun"/>
                <w:rFonts w:ascii="Arial" w:hAnsi="Arial" w:cs="Arial"/>
                <w:color w:val="000000"/>
                <w:sz w:val="22"/>
              </w:rPr>
              <w:t xml:space="preserve"> </w:t>
            </w:r>
            <w:r w:rsidRPr="00C0262A">
              <w:rPr>
                <w:rStyle w:val="normaltextrun"/>
                <w:rFonts w:ascii="Arial" w:hAnsi="Arial" w:cs="Arial"/>
                <w:color w:val="000000"/>
                <w:sz w:val="22"/>
              </w:rPr>
              <w:t>This catchment will continue to be monitored to ensure performance reflects that predicted in the modelling.</w:t>
            </w:r>
            <w:r w:rsidRPr="00C0262A">
              <w:rPr>
                <w:rStyle w:val="eop"/>
                <w:rFonts w:ascii="Arial" w:hAnsi="Arial" w:cs="Arial"/>
                <w:color w:val="000000"/>
                <w:sz w:val="22"/>
              </w:rPr>
              <w:t> </w:t>
            </w:r>
          </w:p>
          <w:p w14:paraId="49E3743E" w14:textId="2159ACB5" w:rsidR="00C0262A" w:rsidRPr="00AA4461" w:rsidRDefault="00C0262A" w:rsidP="00C0262A">
            <w:pPr>
              <w:pStyle w:val="paragraph"/>
              <w:spacing w:before="0" w:beforeAutospacing="0" w:after="0" w:afterAutospacing="0"/>
              <w:textAlignment w:val="baseline"/>
              <w:rPr>
                <w:rFonts w:ascii="Arial" w:hAnsi="Arial" w:cs="Arial"/>
                <w:sz w:val="22"/>
              </w:rPr>
            </w:pPr>
            <w:r w:rsidRPr="00AA4461">
              <w:rPr>
                <w:rStyle w:val="normaltextrun"/>
                <w:rFonts w:ascii="Arial" w:hAnsi="Arial" w:cs="Arial"/>
                <w:color w:val="000000"/>
                <w:sz w:val="22"/>
              </w:rPr>
              <w:t xml:space="preserve">The customer outcome of </w:t>
            </w:r>
            <w:r w:rsidRPr="0049083E">
              <w:rPr>
                <w:rStyle w:val="normaltextrun"/>
                <w:rFonts w:ascii="Arial" w:hAnsi="Arial" w:cs="Arial"/>
                <w:i/>
                <w:color w:val="000000"/>
                <w:sz w:val="22"/>
              </w:rPr>
              <w:t xml:space="preserve">Get the basics right, </w:t>
            </w:r>
            <w:r w:rsidRPr="0049083E">
              <w:rPr>
                <w:rStyle w:val="normaltextrun"/>
                <w:rFonts w:ascii="Arial" w:hAnsi="Arial" w:cs="Arial"/>
                <w:i/>
                <w:iCs/>
                <w:color w:val="000000"/>
                <w:sz w:val="22"/>
              </w:rPr>
              <w:t>always</w:t>
            </w:r>
            <w:r w:rsidRPr="00AA4461">
              <w:rPr>
                <w:rStyle w:val="normaltextrun"/>
                <w:rFonts w:ascii="Arial" w:hAnsi="Arial" w:cs="Arial"/>
                <w:color w:val="000000"/>
                <w:sz w:val="22"/>
              </w:rPr>
              <w:t xml:space="preserve"> was successfully achieved by undertaking comprehensive investigation works, applying a revised regional strategy and installing additional BlokAid devices.</w:t>
            </w:r>
            <w:r w:rsidR="00A1315F">
              <w:rPr>
                <w:rStyle w:val="normaltextrun"/>
                <w:rFonts w:ascii="Arial" w:hAnsi="Arial" w:cs="Arial"/>
                <w:color w:val="000000"/>
                <w:sz w:val="22"/>
              </w:rPr>
              <w:t xml:space="preserve"> </w:t>
            </w:r>
          </w:p>
          <w:p w14:paraId="63F95BE6" w14:textId="422860F9" w:rsidR="00B86A3C" w:rsidRPr="00E62E92" w:rsidRDefault="00C0262A" w:rsidP="00AA4461">
            <w:pPr>
              <w:pStyle w:val="paragraph"/>
              <w:spacing w:before="0" w:beforeAutospacing="0" w:after="0" w:afterAutospacing="0"/>
              <w:textAlignment w:val="baseline"/>
              <w:rPr>
                <w:rFonts w:cs="Arial"/>
                <w:b/>
                <w:bCs/>
                <w:sz w:val="22"/>
              </w:rPr>
            </w:pPr>
            <w:r w:rsidRPr="00AA4461">
              <w:rPr>
                <w:rStyle w:val="normaltextrun"/>
                <w:rFonts w:ascii="Arial" w:hAnsi="Arial" w:cs="Arial"/>
                <w:color w:val="000000"/>
                <w:sz w:val="22"/>
              </w:rPr>
              <w:t>The objective to prevent future wet weather spills and ensure safe and reliable sewerage services was achieved, protecting human health and the environment.</w:t>
            </w:r>
            <w:r w:rsidRPr="00AA4461">
              <w:rPr>
                <w:rStyle w:val="eop"/>
                <w:rFonts w:ascii="Arial" w:hAnsi="Arial" w:cs="Arial"/>
                <w:color w:val="000000"/>
                <w:sz w:val="22"/>
              </w:rPr>
              <w:t> </w:t>
            </w:r>
          </w:p>
        </w:tc>
      </w:tr>
    </w:tbl>
    <w:p w14:paraId="4D133527" w14:textId="04D885B4" w:rsidR="009C0D6F" w:rsidRDefault="009C0D6F" w:rsidP="009C0D6F">
      <w:pPr>
        <w:pStyle w:val="BodyText"/>
      </w:pPr>
    </w:p>
    <w:p w14:paraId="018E02F7" w14:textId="20A66DE3" w:rsidR="00C96C46" w:rsidRDefault="00C96C46" w:rsidP="009C0D6F">
      <w:pPr>
        <w:pStyle w:val="BodyText"/>
      </w:pPr>
    </w:p>
    <w:p w14:paraId="2BD25523" w14:textId="3F18F7FB" w:rsidR="00C96C46" w:rsidRDefault="00C96C46" w:rsidP="009C0D6F">
      <w:pPr>
        <w:pStyle w:val="BodyText"/>
      </w:pPr>
    </w:p>
    <w:p w14:paraId="3BEE30F9" w14:textId="6F09A666" w:rsidR="00C96C46" w:rsidRDefault="00C96C46" w:rsidP="009C0D6F">
      <w:pPr>
        <w:pStyle w:val="BodyText"/>
      </w:pPr>
    </w:p>
    <w:p w14:paraId="604182E0" w14:textId="77777777" w:rsidR="00C96C46" w:rsidRDefault="00C96C46" w:rsidP="009C0D6F">
      <w:pPr>
        <w:pStyle w:val="BodyText"/>
      </w:pPr>
    </w:p>
    <w:tbl>
      <w:tblPr>
        <w:tblStyle w:val="MJTableStyle1default"/>
        <w:tblW w:w="9016" w:type="dxa"/>
        <w:tblInd w:w="0" w:type="dxa"/>
        <w:tblCellMar>
          <w:top w:w="57" w:type="dxa"/>
        </w:tblCellMar>
        <w:tblLook w:val="06A0" w:firstRow="1" w:lastRow="0" w:firstColumn="1" w:lastColumn="0" w:noHBand="1" w:noVBand="1"/>
      </w:tblPr>
      <w:tblGrid>
        <w:gridCol w:w="9016"/>
      </w:tblGrid>
      <w:tr w:rsidR="007D5F37" w:rsidRPr="00DD0824" w14:paraId="3E525DF5" w14:textId="77777777" w:rsidTr="00360131">
        <w:trPr>
          <w:cnfStyle w:val="100000000000" w:firstRow="1" w:lastRow="0" w:firstColumn="0" w:lastColumn="0" w:oddVBand="0" w:evenVBand="0" w:oddHBand="0" w:evenHBand="0" w:firstRowFirstColumn="0" w:firstRowLastColumn="0" w:lastRowFirstColumn="0" w:lastRowLastColumn="0"/>
          <w:trHeight w:val="789"/>
          <w:tblHeader/>
        </w:trPr>
        <w:tc>
          <w:tcPr>
            <w:tcW w:w="0" w:type="dxa"/>
            <w:tcBorders>
              <w:top w:val="single" w:sz="2" w:space="0" w:color="002279"/>
              <w:bottom w:val="single" w:sz="2" w:space="0" w:color="002279"/>
            </w:tcBorders>
            <w:shd w:val="clear" w:color="auto" w:fill="002279"/>
            <w:vAlign w:val="center"/>
          </w:tcPr>
          <w:p w14:paraId="335E28DC" w14:textId="4DBE266A" w:rsidR="007D5F37" w:rsidRPr="00116E55" w:rsidRDefault="007D5F37" w:rsidP="00410F9F">
            <w:pPr>
              <w:pStyle w:val="Heading2"/>
              <w:outlineLvl w:val="1"/>
              <w:rPr>
                <w:rFonts w:cstheme="minorHAnsi"/>
                <w:sz w:val="22"/>
                <w:szCs w:val="22"/>
              </w:rPr>
            </w:pPr>
            <w:r w:rsidRPr="00116E55">
              <w:rPr>
                <w:color w:val="FFFFFF" w:themeColor="background1"/>
                <w:sz w:val="22"/>
                <w:szCs w:val="22"/>
              </w:rPr>
              <w:lastRenderedPageBreak/>
              <w:t xml:space="preserve">PROJECT 4: Digital Utility program (including digital capability pilot) delivery performance </w:t>
            </w:r>
          </w:p>
        </w:tc>
      </w:tr>
      <w:tr w:rsidR="007D5F37" w:rsidRPr="005126D7" w14:paraId="78BF0881" w14:textId="77777777" w:rsidTr="00360131">
        <w:tc>
          <w:tcPr>
            <w:tcW w:w="0" w:type="dxa"/>
            <w:tcBorders>
              <w:top w:val="single" w:sz="2" w:space="0" w:color="002279"/>
              <w:bottom w:val="single" w:sz="2" w:space="0" w:color="002279"/>
            </w:tcBorders>
          </w:tcPr>
          <w:p w14:paraId="3C53DFD7" w14:textId="334E84DB" w:rsidR="007D5F37" w:rsidRPr="00200D6F" w:rsidRDefault="007D5F37" w:rsidP="000C0D03">
            <w:pPr>
              <w:spacing w:line="259" w:lineRule="auto"/>
              <w:rPr>
                <w:rFonts w:cstheme="minorHAnsi"/>
                <w:sz w:val="22"/>
              </w:rPr>
            </w:pPr>
            <w:r w:rsidRPr="00200D6F">
              <w:rPr>
                <w:rFonts w:cstheme="minorHAnsi"/>
                <w:b/>
                <w:sz w:val="22"/>
              </w:rPr>
              <w:t xml:space="preserve">Major service: </w:t>
            </w:r>
            <w:r w:rsidRPr="00200D6F">
              <w:rPr>
                <w:rFonts w:cstheme="minorHAnsi"/>
                <w:bCs/>
                <w:sz w:val="22"/>
              </w:rPr>
              <w:t xml:space="preserve">Water </w:t>
            </w:r>
          </w:p>
        </w:tc>
      </w:tr>
      <w:tr w:rsidR="007D5F37" w:rsidRPr="005126D7" w14:paraId="0F37FF09" w14:textId="77777777" w:rsidTr="00360131">
        <w:tc>
          <w:tcPr>
            <w:tcW w:w="0" w:type="dxa"/>
            <w:tcBorders>
              <w:top w:val="single" w:sz="2" w:space="0" w:color="002279"/>
              <w:bottom w:val="single" w:sz="2" w:space="0" w:color="002279"/>
            </w:tcBorders>
          </w:tcPr>
          <w:p w14:paraId="53B62F0E" w14:textId="1A7CAE03" w:rsidR="007D5F37" w:rsidRPr="00200D6F" w:rsidRDefault="007D5F37" w:rsidP="000C0D03">
            <w:pPr>
              <w:spacing w:line="259" w:lineRule="auto"/>
              <w:rPr>
                <w:rFonts w:cstheme="minorHAnsi"/>
                <w:sz w:val="22"/>
              </w:rPr>
            </w:pPr>
            <w:r w:rsidRPr="00200D6F">
              <w:rPr>
                <w:rFonts w:cstheme="minorHAnsi"/>
                <w:b/>
                <w:sz w:val="22"/>
              </w:rPr>
              <w:t xml:space="preserve">Asset category: </w:t>
            </w:r>
            <w:r w:rsidRPr="00200D6F">
              <w:rPr>
                <w:rFonts w:cstheme="minorHAnsi"/>
                <w:bCs/>
                <w:sz w:val="22"/>
              </w:rPr>
              <w:t>Corporate</w:t>
            </w:r>
            <w:r w:rsidR="00A1315F">
              <w:rPr>
                <w:rFonts w:cstheme="minorHAnsi"/>
                <w:bCs/>
                <w:sz w:val="22"/>
              </w:rPr>
              <w:t xml:space="preserve"> </w:t>
            </w:r>
          </w:p>
        </w:tc>
      </w:tr>
      <w:tr w:rsidR="007D5F37" w:rsidRPr="005126D7" w14:paraId="10B61F05" w14:textId="77777777" w:rsidTr="00360131">
        <w:tc>
          <w:tcPr>
            <w:tcW w:w="0" w:type="dxa"/>
            <w:tcBorders>
              <w:top w:val="single" w:sz="2" w:space="0" w:color="002279"/>
              <w:bottom w:val="single" w:sz="2" w:space="0" w:color="002279"/>
            </w:tcBorders>
          </w:tcPr>
          <w:p w14:paraId="3D090B96" w14:textId="0AB4D1EB" w:rsidR="00174E2A" w:rsidRPr="00200D6F" w:rsidRDefault="007D5F37" w:rsidP="00174E2A">
            <w:pPr>
              <w:spacing w:after="0"/>
              <w:textAlignment w:val="baseline"/>
              <w:rPr>
                <w:rFonts w:ascii="Segoe UI" w:eastAsia="Times New Roman" w:hAnsi="Segoe UI" w:cs="Segoe UI"/>
                <w:sz w:val="22"/>
                <w:lang w:eastAsia="en-AU"/>
              </w:rPr>
            </w:pPr>
            <w:r w:rsidRPr="00200D6F">
              <w:rPr>
                <w:rFonts w:cstheme="minorHAnsi"/>
                <w:b/>
                <w:sz w:val="22"/>
              </w:rPr>
              <w:t>Driver</w:t>
            </w:r>
            <w:r w:rsidR="00174E2A" w:rsidRPr="00200D6F">
              <w:rPr>
                <w:rFonts w:cstheme="minorHAnsi"/>
                <w:b/>
                <w:sz w:val="22"/>
              </w:rPr>
              <w:t>s</w:t>
            </w:r>
            <w:r w:rsidRPr="00200D6F">
              <w:rPr>
                <w:rFonts w:cstheme="minorHAnsi"/>
                <w:b/>
                <w:sz w:val="22"/>
              </w:rPr>
              <w:t xml:space="preserve">: </w:t>
            </w:r>
          </w:p>
          <w:p w14:paraId="3145F20C" w14:textId="6CC0D71B" w:rsidR="00174E2A" w:rsidRPr="00200D6F" w:rsidRDefault="00174E2A">
            <w:pPr>
              <w:pStyle w:val="ListParagraph"/>
              <w:numPr>
                <w:ilvl w:val="0"/>
                <w:numId w:val="114"/>
              </w:numPr>
              <w:spacing w:after="0"/>
              <w:ind w:left="738"/>
              <w:textAlignment w:val="baseline"/>
              <w:rPr>
                <w:rFonts w:ascii="Segoe UI" w:eastAsia="Times New Roman" w:hAnsi="Segoe UI" w:cs="Segoe UI"/>
                <w:sz w:val="22"/>
                <w:lang w:eastAsia="en-AU"/>
              </w:rPr>
            </w:pPr>
            <w:r w:rsidRPr="00200D6F">
              <w:rPr>
                <w:rFonts w:eastAsia="Times New Roman" w:cs="Arial"/>
                <w:sz w:val="22"/>
                <w:lang w:eastAsia="en-AU"/>
              </w:rPr>
              <w:t>Improvements/compliance </w:t>
            </w:r>
          </w:p>
          <w:p w14:paraId="63638050" w14:textId="77777777" w:rsidR="00174E2A" w:rsidRPr="00200D6F" w:rsidRDefault="00174E2A">
            <w:pPr>
              <w:pStyle w:val="ListParagraph"/>
              <w:numPr>
                <w:ilvl w:val="0"/>
                <w:numId w:val="114"/>
              </w:numPr>
              <w:spacing w:after="0"/>
              <w:ind w:left="738"/>
              <w:textAlignment w:val="baseline"/>
              <w:rPr>
                <w:rFonts w:eastAsia="Times New Roman" w:cs="Arial"/>
                <w:sz w:val="22"/>
                <w:lang w:eastAsia="en-AU"/>
              </w:rPr>
            </w:pPr>
            <w:r w:rsidRPr="00200D6F">
              <w:rPr>
                <w:rFonts w:eastAsia="Times New Roman" w:cs="Arial"/>
                <w:sz w:val="22"/>
                <w:lang w:eastAsia="en-AU"/>
              </w:rPr>
              <w:t>Customer water saving efforts are recognised and rewarded </w:t>
            </w:r>
          </w:p>
          <w:p w14:paraId="7B3E619D" w14:textId="38F799E9" w:rsidR="00174E2A" w:rsidRPr="00200D6F" w:rsidRDefault="00174E2A">
            <w:pPr>
              <w:pStyle w:val="ListParagraph"/>
              <w:numPr>
                <w:ilvl w:val="0"/>
                <w:numId w:val="114"/>
              </w:numPr>
              <w:spacing w:after="0"/>
              <w:ind w:left="738"/>
              <w:textAlignment w:val="baseline"/>
              <w:rPr>
                <w:rFonts w:eastAsia="Times New Roman" w:cs="Arial"/>
                <w:sz w:val="22"/>
                <w:lang w:eastAsia="en-AU"/>
              </w:rPr>
            </w:pPr>
            <w:r w:rsidRPr="00200D6F">
              <w:rPr>
                <w:rFonts w:eastAsia="Times New Roman" w:cs="Arial"/>
                <w:sz w:val="22"/>
                <w:lang w:eastAsia="en-AU"/>
              </w:rPr>
              <w:t>Clarity of billing for the customer and avoidance of bill shock</w:t>
            </w:r>
            <w:r w:rsidR="00A1315F">
              <w:rPr>
                <w:rFonts w:eastAsia="Times New Roman" w:cs="Arial"/>
                <w:sz w:val="22"/>
                <w:lang w:eastAsia="en-AU"/>
              </w:rPr>
              <w:t xml:space="preserve"> </w:t>
            </w:r>
          </w:p>
          <w:p w14:paraId="2333BB19" w14:textId="77777777" w:rsidR="00174E2A" w:rsidRPr="00200D6F" w:rsidRDefault="00174E2A">
            <w:pPr>
              <w:pStyle w:val="ListParagraph"/>
              <w:numPr>
                <w:ilvl w:val="0"/>
                <w:numId w:val="114"/>
              </w:numPr>
              <w:spacing w:after="0"/>
              <w:ind w:left="738"/>
              <w:textAlignment w:val="baseline"/>
              <w:rPr>
                <w:rFonts w:eastAsia="Times New Roman" w:cs="Arial"/>
                <w:sz w:val="22"/>
                <w:lang w:eastAsia="en-AU"/>
              </w:rPr>
            </w:pPr>
            <w:r w:rsidRPr="00200D6F">
              <w:rPr>
                <w:rFonts w:eastAsia="Times New Roman" w:cs="Arial"/>
                <w:sz w:val="22"/>
                <w:lang w:eastAsia="en-AU"/>
              </w:rPr>
              <w:t>Responsive access to information for customers </w:t>
            </w:r>
          </w:p>
          <w:p w14:paraId="129D79B0" w14:textId="77777777" w:rsidR="00174E2A" w:rsidRPr="00200D6F" w:rsidRDefault="00174E2A">
            <w:pPr>
              <w:pStyle w:val="ListParagraph"/>
              <w:numPr>
                <w:ilvl w:val="0"/>
                <w:numId w:val="114"/>
              </w:numPr>
              <w:spacing w:after="0"/>
              <w:ind w:left="738"/>
              <w:textAlignment w:val="baseline"/>
              <w:rPr>
                <w:rFonts w:eastAsia="Times New Roman" w:cs="Arial"/>
                <w:sz w:val="22"/>
                <w:lang w:eastAsia="en-AU"/>
              </w:rPr>
            </w:pPr>
            <w:r w:rsidRPr="00200D6F">
              <w:rPr>
                <w:rFonts w:eastAsia="Times New Roman" w:cs="Arial"/>
                <w:sz w:val="22"/>
                <w:lang w:eastAsia="en-AU"/>
              </w:rPr>
              <w:t>Provision of information and control </w:t>
            </w:r>
          </w:p>
          <w:p w14:paraId="3E5212FB" w14:textId="3D053D37" w:rsidR="00174E2A" w:rsidRPr="00200D6F" w:rsidRDefault="00174E2A">
            <w:pPr>
              <w:pStyle w:val="ListParagraph"/>
              <w:numPr>
                <w:ilvl w:val="0"/>
                <w:numId w:val="114"/>
              </w:numPr>
              <w:spacing w:after="0"/>
              <w:ind w:left="738"/>
              <w:textAlignment w:val="baseline"/>
              <w:rPr>
                <w:rFonts w:eastAsia="Times New Roman" w:cs="Arial"/>
                <w:sz w:val="22"/>
                <w:lang w:eastAsia="en-AU"/>
              </w:rPr>
            </w:pPr>
            <w:r w:rsidRPr="00200D6F">
              <w:rPr>
                <w:rFonts w:eastAsia="Times New Roman" w:cs="Arial"/>
                <w:sz w:val="22"/>
                <w:lang w:eastAsia="en-AU"/>
              </w:rPr>
              <w:t>Digital Transformation of the Utility which algins to customer expectations</w:t>
            </w:r>
            <w:r w:rsidR="00A1315F">
              <w:rPr>
                <w:rFonts w:eastAsia="Times New Roman" w:cs="Arial"/>
                <w:sz w:val="22"/>
                <w:lang w:eastAsia="en-AU"/>
              </w:rPr>
              <w:t xml:space="preserve"> </w:t>
            </w:r>
          </w:p>
          <w:p w14:paraId="6DAEE9F1" w14:textId="25187C34" w:rsidR="00174E2A" w:rsidRPr="00200D6F" w:rsidRDefault="00174E2A">
            <w:pPr>
              <w:pStyle w:val="ListParagraph"/>
              <w:numPr>
                <w:ilvl w:val="0"/>
                <w:numId w:val="114"/>
              </w:numPr>
              <w:spacing w:after="0"/>
              <w:ind w:left="738"/>
              <w:textAlignment w:val="baseline"/>
              <w:rPr>
                <w:rFonts w:eastAsia="Times New Roman" w:cs="Arial"/>
                <w:sz w:val="22"/>
                <w:lang w:eastAsia="en-AU"/>
              </w:rPr>
            </w:pPr>
            <w:r w:rsidRPr="00200D6F">
              <w:rPr>
                <w:rFonts w:eastAsia="Times New Roman" w:cs="Arial"/>
                <w:sz w:val="22"/>
                <w:lang w:eastAsia="en-AU"/>
              </w:rPr>
              <w:t>Manage supply and demand of water, meet Melbourne</w:t>
            </w:r>
            <w:r w:rsidR="00612583">
              <w:rPr>
                <w:rFonts w:eastAsia="Times New Roman" w:cs="Arial"/>
                <w:sz w:val="22"/>
                <w:lang w:eastAsia="en-AU"/>
              </w:rPr>
              <w:t>’</w:t>
            </w:r>
            <w:r w:rsidRPr="00200D6F">
              <w:rPr>
                <w:rFonts w:eastAsia="Times New Roman" w:cs="Arial"/>
                <w:sz w:val="22"/>
                <w:lang w:eastAsia="en-AU"/>
              </w:rPr>
              <w:t>s population growth, cope with drier climates and climate change</w:t>
            </w:r>
            <w:r w:rsidR="00A1315F">
              <w:rPr>
                <w:rFonts w:eastAsia="Times New Roman" w:cs="Arial"/>
                <w:sz w:val="22"/>
                <w:lang w:eastAsia="en-AU"/>
              </w:rPr>
              <w:t xml:space="preserve"> </w:t>
            </w:r>
          </w:p>
          <w:p w14:paraId="6A51BCAF" w14:textId="77777777" w:rsidR="00174E2A" w:rsidRPr="00200D6F" w:rsidRDefault="00174E2A">
            <w:pPr>
              <w:pStyle w:val="ListParagraph"/>
              <w:numPr>
                <w:ilvl w:val="0"/>
                <w:numId w:val="114"/>
              </w:numPr>
              <w:spacing w:after="0"/>
              <w:ind w:left="738"/>
              <w:textAlignment w:val="baseline"/>
              <w:rPr>
                <w:rFonts w:eastAsia="Times New Roman" w:cs="Arial"/>
                <w:sz w:val="22"/>
                <w:lang w:eastAsia="en-AU"/>
              </w:rPr>
            </w:pPr>
            <w:r w:rsidRPr="00200D6F">
              <w:rPr>
                <w:rFonts w:eastAsia="Times New Roman" w:cs="Arial"/>
                <w:sz w:val="22"/>
                <w:lang w:eastAsia="en-AU"/>
              </w:rPr>
              <w:t>Reduce wastage and losses </w:t>
            </w:r>
          </w:p>
          <w:p w14:paraId="5CC06269" w14:textId="77777777" w:rsidR="00174E2A" w:rsidRPr="00200D6F" w:rsidRDefault="00174E2A">
            <w:pPr>
              <w:pStyle w:val="ListParagraph"/>
              <w:numPr>
                <w:ilvl w:val="0"/>
                <w:numId w:val="114"/>
              </w:numPr>
              <w:spacing w:after="0"/>
              <w:ind w:left="738"/>
              <w:textAlignment w:val="baseline"/>
              <w:rPr>
                <w:rFonts w:eastAsia="Times New Roman" w:cs="Arial"/>
                <w:sz w:val="22"/>
                <w:lang w:eastAsia="en-AU"/>
              </w:rPr>
            </w:pPr>
            <w:r w:rsidRPr="00200D6F">
              <w:rPr>
                <w:rFonts w:eastAsia="Times New Roman" w:cs="Arial"/>
                <w:sz w:val="22"/>
                <w:lang w:eastAsia="en-AU"/>
              </w:rPr>
              <w:t>Adoption of emerging technologies, innovation and renewal of outdated infrastructure </w:t>
            </w:r>
          </w:p>
          <w:p w14:paraId="723FB2AA" w14:textId="6970D57E" w:rsidR="007D5F37" w:rsidRPr="00200D6F" w:rsidRDefault="00174E2A">
            <w:pPr>
              <w:pStyle w:val="ListParagraph"/>
              <w:numPr>
                <w:ilvl w:val="0"/>
                <w:numId w:val="114"/>
              </w:numPr>
              <w:spacing w:line="259" w:lineRule="auto"/>
              <w:ind w:left="738"/>
              <w:rPr>
                <w:rFonts w:cstheme="minorHAnsi"/>
                <w:b/>
                <w:sz w:val="22"/>
              </w:rPr>
            </w:pPr>
            <w:r w:rsidRPr="00200D6F">
              <w:rPr>
                <w:rFonts w:eastAsia="Times New Roman" w:cs="Arial"/>
                <w:sz w:val="22"/>
                <w:lang w:eastAsia="en-AU"/>
              </w:rPr>
              <w:t>Informed strategic asset management of utility assets</w:t>
            </w:r>
            <w:r w:rsidR="00A1315F">
              <w:rPr>
                <w:rFonts w:eastAsia="Times New Roman" w:cs="Arial"/>
                <w:sz w:val="22"/>
                <w:lang w:eastAsia="en-AU"/>
              </w:rPr>
              <w:t xml:space="preserve"> </w:t>
            </w:r>
          </w:p>
        </w:tc>
      </w:tr>
      <w:tr w:rsidR="007D5F37" w:rsidRPr="005126D7" w14:paraId="0EAF23FC" w14:textId="77777777" w:rsidTr="00360131">
        <w:tc>
          <w:tcPr>
            <w:tcW w:w="0" w:type="dxa"/>
            <w:tcBorders>
              <w:top w:val="single" w:sz="2" w:space="0" w:color="002279"/>
              <w:bottom w:val="single" w:sz="2" w:space="0" w:color="002279"/>
            </w:tcBorders>
          </w:tcPr>
          <w:p w14:paraId="01586E20" w14:textId="77777777" w:rsidR="007D5F37" w:rsidRDefault="007D5F37" w:rsidP="00AC00D1">
            <w:pPr>
              <w:spacing w:after="0"/>
              <w:textAlignment w:val="baseline"/>
              <w:rPr>
                <w:rFonts w:eastAsia="Times New Roman" w:cs="Arial"/>
                <w:sz w:val="22"/>
                <w:lang w:eastAsia="en-AU"/>
              </w:rPr>
            </w:pPr>
            <w:r w:rsidRPr="00200D6F">
              <w:rPr>
                <w:rFonts w:cstheme="minorHAnsi"/>
                <w:b/>
                <w:sz w:val="22"/>
              </w:rPr>
              <w:t xml:space="preserve">Description: </w:t>
            </w:r>
            <w:r w:rsidR="00FE3D39" w:rsidRPr="00200D6F">
              <w:rPr>
                <w:rFonts w:eastAsia="Times New Roman" w:cs="Arial"/>
                <w:sz w:val="22"/>
                <w:lang w:eastAsia="en-AU"/>
              </w:rPr>
              <w:t>The digital platform is the seamless integration of Internet of Things enabled devices inclusive of digital water meters, communications card, Internet of Things carrier services and end to end Digital IT solution. From a customer perspective, the integrated solution provides customers with water, billing and other related information including high usage alerts via a variety of digital and traditional communication channels. From a utility perspective, the solution integrates with utility systems such as meter data management, analytics platform and other enterprise level systems to provide data on the water network. The preferred option reduces water loss, improves customer information and network efficiency. </w:t>
            </w:r>
          </w:p>
          <w:p w14:paraId="5BDB7F4A" w14:textId="2D751FF9" w:rsidR="006D47E0" w:rsidRPr="00200D6F" w:rsidRDefault="006D47E0" w:rsidP="00AC00D1">
            <w:pPr>
              <w:spacing w:after="0"/>
              <w:textAlignment w:val="baseline"/>
              <w:rPr>
                <w:rFonts w:cstheme="minorHAnsi"/>
                <w:sz w:val="22"/>
              </w:rPr>
            </w:pPr>
          </w:p>
        </w:tc>
      </w:tr>
      <w:tr w:rsidR="007D5F37" w:rsidRPr="005126D7" w14:paraId="6C916066" w14:textId="77777777" w:rsidTr="00360131">
        <w:tc>
          <w:tcPr>
            <w:tcW w:w="0" w:type="dxa"/>
            <w:tcBorders>
              <w:top w:val="single" w:sz="2" w:space="0" w:color="002279"/>
              <w:bottom w:val="single" w:sz="2" w:space="0" w:color="002279"/>
            </w:tcBorders>
          </w:tcPr>
          <w:p w14:paraId="700435D0" w14:textId="2FD7C718" w:rsidR="007D5F37" w:rsidRPr="00200D6F" w:rsidRDefault="007D5F37" w:rsidP="000C0D03">
            <w:pPr>
              <w:rPr>
                <w:rFonts w:cstheme="minorHAnsi"/>
                <w:sz w:val="22"/>
              </w:rPr>
            </w:pPr>
            <w:r w:rsidRPr="00200D6F">
              <w:rPr>
                <w:rFonts w:cstheme="minorHAnsi"/>
                <w:b/>
                <w:sz w:val="22"/>
              </w:rPr>
              <w:t>Customer outcome:</w:t>
            </w:r>
            <w:r w:rsidRPr="00200D6F">
              <w:rPr>
                <w:rFonts w:cstheme="minorHAnsi"/>
                <w:sz w:val="22"/>
              </w:rPr>
              <w:t xml:space="preserve"> </w:t>
            </w:r>
            <w:r w:rsidR="00C07BCD" w:rsidRPr="00200D6F">
              <w:rPr>
                <w:rFonts w:cstheme="minorHAnsi"/>
                <w:sz w:val="22"/>
              </w:rPr>
              <w:t>Supports all 5 customer outcomes</w:t>
            </w:r>
            <w:r w:rsidR="00A1315F">
              <w:rPr>
                <w:rFonts w:cstheme="minorHAnsi"/>
                <w:sz w:val="22"/>
              </w:rPr>
              <w:t xml:space="preserve"> </w:t>
            </w:r>
          </w:p>
        </w:tc>
      </w:tr>
      <w:tr w:rsidR="007D5F37" w:rsidRPr="005126D7" w14:paraId="582F269F" w14:textId="77777777" w:rsidTr="00360131">
        <w:tc>
          <w:tcPr>
            <w:tcW w:w="0" w:type="dxa"/>
            <w:tcBorders>
              <w:top w:val="single" w:sz="2" w:space="0" w:color="002279"/>
              <w:bottom w:val="single" w:sz="2" w:space="0" w:color="002279"/>
            </w:tcBorders>
            <w:vAlign w:val="center"/>
          </w:tcPr>
          <w:p w14:paraId="42D94B0E" w14:textId="77777777" w:rsidR="007D5F37" w:rsidRPr="00200D6F" w:rsidRDefault="007D5F37" w:rsidP="000C0D03">
            <w:pPr>
              <w:spacing w:line="259" w:lineRule="auto"/>
              <w:rPr>
                <w:rFonts w:eastAsia="Times New Roman" w:cs="Arial"/>
                <w:sz w:val="22"/>
                <w:lang w:eastAsia="en-AU"/>
              </w:rPr>
            </w:pPr>
            <w:r w:rsidRPr="00200D6F">
              <w:rPr>
                <w:rFonts w:eastAsia="Times New Roman" w:cs="Arial"/>
                <w:b/>
                <w:bCs/>
                <w:sz w:val="22"/>
                <w:lang w:eastAsia="en-AU"/>
              </w:rPr>
              <w:t>Objective</w:t>
            </w:r>
            <w:r w:rsidR="00DD62FA" w:rsidRPr="00200D6F">
              <w:rPr>
                <w:rFonts w:eastAsia="Times New Roman" w:cs="Arial"/>
                <w:b/>
                <w:bCs/>
                <w:sz w:val="22"/>
                <w:lang w:eastAsia="en-AU"/>
              </w:rPr>
              <w:t>s</w:t>
            </w:r>
            <w:r w:rsidRPr="00200D6F">
              <w:rPr>
                <w:rFonts w:eastAsia="Times New Roman" w:cs="Arial"/>
                <w:b/>
                <w:bCs/>
                <w:sz w:val="22"/>
                <w:lang w:eastAsia="en-AU"/>
              </w:rPr>
              <w:t>:</w:t>
            </w:r>
            <w:r w:rsidRPr="00200D6F">
              <w:rPr>
                <w:rFonts w:eastAsia="Times New Roman" w:cs="Arial"/>
                <w:sz w:val="22"/>
                <w:lang w:eastAsia="en-AU"/>
              </w:rPr>
              <w:t xml:space="preserve"> </w:t>
            </w:r>
          </w:p>
          <w:p w14:paraId="25213B4B" w14:textId="77777777" w:rsidR="00DD62FA" w:rsidRPr="00200D6F" w:rsidRDefault="00DD62FA">
            <w:pPr>
              <w:pStyle w:val="ListParagraph"/>
              <w:numPr>
                <w:ilvl w:val="0"/>
                <w:numId w:val="115"/>
              </w:numPr>
              <w:spacing w:after="0"/>
              <w:ind w:left="738"/>
              <w:textAlignment w:val="baseline"/>
              <w:rPr>
                <w:rFonts w:eastAsia="Times New Roman" w:cs="Arial"/>
                <w:sz w:val="22"/>
                <w:lang w:eastAsia="en-AU"/>
              </w:rPr>
            </w:pPr>
            <w:r w:rsidRPr="00200D6F">
              <w:rPr>
                <w:rFonts w:eastAsia="Times New Roman" w:cs="Arial"/>
                <w:sz w:val="22"/>
                <w:lang w:eastAsia="en-AU"/>
              </w:rPr>
              <w:t>Deliver customer value through digital self-service, real-time alerts, customer analytics, Smart billing and predictive demand forecasting </w:t>
            </w:r>
          </w:p>
          <w:p w14:paraId="06EC729C" w14:textId="77777777" w:rsidR="00DD62FA" w:rsidRPr="00200D6F" w:rsidRDefault="00DD62FA">
            <w:pPr>
              <w:pStyle w:val="ListParagraph"/>
              <w:numPr>
                <w:ilvl w:val="0"/>
                <w:numId w:val="115"/>
              </w:numPr>
              <w:spacing w:after="0"/>
              <w:ind w:left="738"/>
              <w:textAlignment w:val="baseline"/>
              <w:rPr>
                <w:rFonts w:eastAsia="Times New Roman" w:cs="Arial"/>
                <w:sz w:val="22"/>
                <w:lang w:eastAsia="en-AU"/>
              </w:rPr>
            </w:pPr>
            <w:r w:rsidRPr="00200D6F">
              <w:rPr>
                <w:rFonts w:eastAsia="Times New Roman" w:cs="Arial"/>
                <w:sz w:val="22"/>
                <w:lang w:eastAsia="en-AU"/>
              </w:rPr>
              <w:t>Enable improved environmental sustainability inclusive of leak detection, Integrated water management, IoT-enabled data, energy management and support carbon emission neutrality </w:t>
            </w:r>
          </w:p>
          <w:p w14:paraId="202C225E" w14:textId="37F56D4A" w:rsidR="00DD62FA" w:rsidRPr="00200D6F" w:rsidRDefault="00DD62FA">
            <w:pPr>
              <w:pStyle w:val="ListParagraph"/>
              <w:numPr>
                <w:ilvl w:val="0"/>
                <w:numId w:val="115"/>
              </w:numPr>
              <w:spacing w:line="259" w:lineRule="auto"/>
              <w:ind w:left="738"/>
              <w:rPr>
                <w:rFonts w:eastAsia="Times New Roman" w:cs="Arial"/>
                <w:b/>
                <w:bCs/>
                <w:sz w:val="22"/>
                <w:lang w:eastAsia="en-AU"/>
              </w:rPr>
            </w:pPr>
            <w:r w:rsidRPr="00200D6F">
              <w:rPr>
                <w:rFonts w:eastAsia="Times New Roman" w:cs="Arial"/>
                <w:sz w:val="22"/>
                <w:lang w:eastAsia="en-AU"/>
              </w:rPr>
              <w:t>Improve network operation and capital efficiency through a digital platform suite of enabling tools inclusive of asset analytics, ubiquitous IoT communications coverage, mobile workforce, digital metering, machine learning and a safer workplace. </w:t>
            </w:r>
          </w:p>
        </w:tc>
      </w:tr>
      <w:tr w:rsidR="007D5F37" w:rsidRPr="005126D7" w14:paraId="4F853120" w14:textId="77777777" w:rsidTr="00360131">
        <w:tc>
          <w:tcPr>
            <w:tcW w:w="0" w:type="dxa"/>
            <w:tcBorders>
              <w:top w:val="single" w:sz="2" w:space="0" w:color="002279"/>
              <w:bottom w:val="single" w:sz="2" w:space="0" w:color="002279"/>
            </w:tcBorders>
          </w:tcPr>
          <w:p w14:paraId="17271CC8" w14:textId="77777777" w:rsidR="007D5F37" w:rsidRPr="00200D6F" w:rsidRDefault="007D5F37" w:rsidP="000C0D03">
            <w:pPr>
              <w:spacing w:line="259" w:lineRule="auto"/>
              <w:rPr>
                <w:rFonts w:eastAsia="Times New Roman" w:cs="Arial"/>
                <w:sz w:val="22"/>
                <w:lang w:eastAsia="en-AU"/>
              </w:rPr>
            </w:pPr>
            <w:r w:rsidRPr="00200D6F">
              <w:rPr>
                <w:rFonts w:eastAsia="Times New Roman" w:cs="Arial"/>
                <w:b/>
                <w:bCs/>
                <w:sz w:val="22"/>
                <w:lang w:eastAsia="en-AU"/>
              </w:rPr>
              <w:t>Benefits:</w:t>
            </w:r>
            <w:r w:rsidRPr="00200D6F">
              <w:rPr>
                <w:rFonts w:eastAsia="Times New Roman" w:cs="Arial"/>
                <w:sz w:val="22"/>
                <w:lang w:eastAsia="en-AU"/>
              </w:rPr>
              <w:t xml:space="preserve"> </w:t>
            </w:r>
          </w:p>
          <w:p w14:paraId="5287D3A3" w14:textId="77777777" w:rsidR="00DA20AA" w:rsidRPr="00200D6F" w:rsidRDefault="00DA20AA">
            <w:pPr>
              <w:pStyle w:val="ListParagraph"/>
              <w:numPr>
                <w:ilvl w:val="0"/>
                <w:numId w:val="116"/>
              </w:numPr>
              <w:spacing w:after="0"/>
              <w:ind w:left="738"/>
              <w:textAlignment w:val="baseline"/>
              <w:rPr>
                <w:rFonts w:eastAsia="Times New Roman" w:cs="Arial"/>
                <w:sz w:val="22"/>
                <w:lang w:eastAsia="en-AU"/>
              </w:rPr>
            </w:pPr>
            <w:r w:rsidRPr="00200D6F">
              <w:rPr>
                <w:rFonts w:eastAsia="Times New Roman" w:cs="Arial"/>
                <w:sz w:val="22"/>
                <w:lang w:eastAsia="en-AU"/>
              </w:rPr>
              <w:t>Minimise the impact of high-water usage costs on customers </w:t>
            </w:r>
          </w:p>
          <w:p w14:paraId="3FCEE9C9" w14:textId="77777777" w:rsidR="00DA20AA" w:rsidRPr="00200D6F" w:rsidRDefault="00DA20AA">
            <w:pPr>
              <w:pStyle w:val="ListParagraph"/>
              <w:numPr>
                <w:ilvl w:val="0"/>
                <w:numId w:val="116"/>
              </w:numPr>
              <w:spacing w:after="0"/>
              <w:ind w:left="738"/>
              <w:textAlignment w:val="baseline"/>
              <w:rPr>
                <w:rFonts w:eastAsia="Times New Roman" w:cs="Arial"/>
                <w:sz w:val="22"/>
                <w:lang w:eastAsia="en-AU"/>
              </w:rPr>
            </w:pPr>
            <w:r w:rsidRPr="00200D6F">
              <w:rPr>
                <w:rFonts w:eastAsia="Times New Roman" w:cs="Arial"/>
                <w:sz w:val="22"/>
                <w:lang w:eastAsia="en-AU"/>
              </w:rPr>
              <w:t>Improved customer satisfaction </w:t>
            </w:r>
          </w:p>
          <w:p w14:paraId="23E97DA0" w14:textId="7FEB8820" w:rsidR="00DA20AA" w:rsidRPr="00200D6F" w:rsidRDefault="00DA20AA">
            <w:pPr>
              <w:pStyle w:val="ListParagraph"/>
              <w:numPr>
                <w:ilvl w:val="0"/>
                <w:numId w:val="116"/>
              </w:numPr>
              <w:spacing w:line="259" w:lineRule="auto"/>
              <w:ind w:left="738"/>
              <w:rPr>
                <w:rFonts w:cstheme="minorHAnsi"/>
                <w:b/>
                <w:sz w:val="22"/>
              </w:rPr>
            </w:pPr>
            <w:r w:rsidRPr="00200D6F">
              <w:rPr>
                <w:rFonts w:eastAsia="Times New Roman" w:cs="Arial"/>
                <w:sz w:val="22"/>
                <w:lang w:eastAsia="en-AU"/>
              </w:rPr>
              <w:t>Minimise upward pressure on water prices </w:t>
            </w:r>
          </w:p>
        </w:tc>
      </w:tr>
      <w:tr w:rsidR="007D5F37" w:rsidRPr="00E62E92" w14:paraId="008DD023" w14:textId="77777777" w:rsidTr="00360131">
        <w:tc>
          <w:tcPr>
            <w:tcW w:w="0" w:type="dxa"/>
            <w:tcBorders>
              <w:top w:val="single" w:sz="2" w:space="0" w:color="002279"/>
              <w:bottom w:val="single" w:sz="2" w:space="0" w:color="002279"/>
            </w:tcBorders>
          </w:tcPr>
          <w:p w14:paraId="71DE847E" w14:textId="0304BC4D" w:rsidR="007D5F37" w:rsidRPr="00200D6F" w:rsidRDefault="007D5F37" w:rsidP="000C0D03">
            <w:pPr>
              <w:pStyle w:val="BodyText"/>
              <w:rPr>
                <w:rFonts w:eastAsia="Times New Roman" w:cs="Arial"/>
                <w:b/>
                <w:bCs/>
                <w:sz w:val="22"/>
                <w:lang w:eastAsia="en-AU"/>
              </w:rPr>
            </w:pPr>
            <w:r w:rsidRPr="00200D6F">
              <w:rPr>
                <w:rFonts w:eastAsia="Times New Roman" w:cs="Arial"/>
                <w:b/>
                <w:bCs/>
                <w:sz w:val="22"/>
                <w:lang w:eastAsia="en-AU"/>
              </w:rPr>
              <w:lastRenderedPageBreak/>
              <w:t xml:space="preserve">Project status: </w:t>
            </w:r>
            <w:r w:rsidR="003021DA" w:rsidRPr="00200D6F">
              <w:rPr>
                <w:rFonts w:eastAsia="Times New Roman" w:cs="Arial"/>
                <w:sz w:val="22"/>
                <w:lang w:eastAsia="en-AU"/>
              </w:rPr>
              <w:t xml:space="preserve">Completed late, </w:t>
            </w:r>
            <w:r w:rsidR="00960122">
              <w:rPr>
                <w:rFonts w:eastAsia="Times New Roman" w:cs="Arial"/>
                <w:sz w:val="22"/>
                <w:lang w:eastAsia="en-AU"/>
              </w:rPr>
              <w:t xml:space="preserve">that is, </w:t>
            </w:r>
            <w:r w:rsidR="003021DA" w:rsidRPr="00200D6F">
              <w:rPr>
                <w:rFonts w:eastAsia="Times New Roman" w:cs="Arial"/>
                <w:sz w:val="22"/>
                <w:lang w:eastAsia="en-AU"/>
              </w:rPr>
              <w:t>project was completed within period, but later than original scheduled completion date</w:t>
            </w:r>
          </w:p>
        </w:tc>
      </w:tr>
      <w:tr w:rsidR="007D5F37" w:rsidRPr="00E62E92" w14:paraId="3AED433C" w14:textId="77777777" w:rsidTr="00360131">
        <w:tc>
          <w:tcPr>
            <w:tcW w:w="0" w:type="dxa"/>
            <w:tcBorders>
              <w:top w:val="single" w:sz="2" w:space="0" w:color="002279"/>
              <w:bottom w:val="single" w:sz="2" w:space="0" w:color="002279"/>
            </w:tcBorders>
          </w:tcPr>
          <w:p w14:paraId="31B1D9FD" w14:textId="777D75FE" w:rsidR="00F36380" w:rsidRPr="00200D6F" w:rsidRDefault="00F36380" w:rsidP="00F36380">
            <w:pPr>
              <w:spacing w:after="0"/>
              <w:textAlignment w:val="baseline"/>
              <w:rPr>
                <w:rFonts w:ascii="Segoe UI" w:eastAsia="Times New Roman" w:hAnsi="Segoe UI" w:cs="Segoe UI"/>
                <w:sz w:val="22"/>
                <w:lang w:eastAsia="en-AU"/>
              </w:rPr>
            </w:pPr>
            <w:r w:rsidRPr="00200D6F">
              <w:rPr>
                <w:rFonts w:eastAsia="Times New Roman" w:cs="Arial"/>
                <w:sz w:val="22"/>
                <w:lang w:eastAsia="en-AU"/>
              </w:rPr>
              <w:t xml:space="preserve">The Digital Utility program and its </w:t>
            </w:r>
            <w:r w:rsidR="00612583">
              <w:rPr>
                <w:rFonts w:eastAsia="Times New Roman" w:cs="Arial"/>
                <w:sz w:val="22"/>
                <w:lang w:eastAsia="en-AU"/>
              </w:rPr>
              <w:t>‘</w:t>
            </w:r>
            <w:r w:rsidRPr="00200D6F">
              <w:rPr>
                <w:rFonts w:eastAsia="Times New Roman" w:cs="Arial"/>
                <w:sz w:val="22"/>
                <w:lang w:eastAsia="en-AU"/>
              </w:rPr>
              <w:t>Core Capability</w:t>
            </w:r>
            <w:r w:rsidR="00612583">
              <w:rPr>
                <w:rFonts w:eastAsia="Times New Roman" w:cs="Arial"/>
                <w:sz w:val="22"/>
                <w:lang w:eastAsia="en-AU"/>
              </w:rPr>
              <w:t>’</w:t>
            </w:r>
            <w:r w:rsidRPr="00200D6F">
              <w:rPr>
                <w:rFonts w:eastAsia="Times New Roman" w:cs="Arial"/>
                <w:sz w:val="22"/>
                <w:lang w:eastAsia="en-AU"/>
              </w:rPr>
              <w:t xml:space="preserve"> phase (the </w:t>
            </w:r>
            <w:r w:rsidR="00612583">
              <w:rPr>
                <w:rFonts w:eastAsia="Times New Roman" w:cs="Arial"/>
                <w:sz w:val="22"/>
                <w:lang w:eastAsia="en-AU"/>
              </w:rPr>
              <w:t>‘</w:t>
            </w:r>
            <w:r w:rsidRPr="00200D6F">
              <w:rPr>
                <w:rFonts w:eastAsia="Times New Roman" w:cs="Arial"/>
                <w:sz w:val="22"/>
                <w:lang w:eastAsia="en-AU"/>
              </w:rPr>
              <w:t>pilot</w:t>
            </w:r>
            <w:r w:rsidR="00612583">
              <w:rPr>
                <w:rFonts w:eastAsia="Times New Roman" w:cs="Arial"/>
                <w:sz w:val="22"/>
                <w:lang w:eastAsia="en-AU"/>
              </w:rPr>
              <w:t>’</w:t>
            </w:r>
            <w:r w:rsidRPr="00200D6F">
              <w:rPr>
                <w:rFonts w:eastAsia="Times New Roman" w:cs="Arial"/>
                <w:sz w:val="22"/>
                <w:lang w:eastAsia="en-AU"/>
              </w:rPr>
              <w:t>) were approved as part of the 2018</w:t>
            </w:r>
            <w:r w:rsidR="00F33731">
              <w:rPr>
                <w:rFonts w:eastAsia="Times New Roman" w:cs="Arial"/>
                <w:sz w:val="22"/>
                <w:lang w:eastAsia="en-AU"/>
              </w:rPr>
              <w:t>–</w:t>
            </w:r>
            <w:r w:rsidRPr="00200D6F">
              <w:rPr>
                <w:rFonts w:eastAsia="Times New Roman" w:cs="Arial"/>
                <w:sz w:val="22"/>
                <w:lang w:eastAsia="en-AU"/>
              </w:rPr>
              <w:t>23 price determination.</w:t>
            </w:r>
            <w:r w:rsidR="00A1315F">
              <w:rPr>
                <w:rFonts w:eastAsia="Times New Roman" w:cs="Arial"/>
                <w:sz w:val="22"/>
                <w:lang w:eastAsia="en-AU"/>
              </w:rPr>
              <w:t xml:space="preserve"> </w:t>
            </w:r>
            <w:r w:rsidRPr="00200D6F">
              <w:rPr>
                <w:rFonts w:eastAsia="Times New Roman" w:cs="Arial"/>
                <w:sz w:val="22"/>
                <w:lang w:eastAsia="en-AU"/>
              </w:rPr>
              <w:t xml:space="preserve">A </w:t>
            </w:r>
            <w:r w:rsidR="00A34B7A">
              <w:rPr>
                <w:rFonts w:eastAsia="Times New Roman" w:cs="Arial"/>
                <w:sz w:val="22"/>
                <w:lang w:eastAsia="en-AU"/>
              </w:rPr>
              <w:t>capital expenditure</w:t>
            </w:r>
            <w:r w:rsidR="00963910" w:rsidRPr="00200D6F">
              <w:rPr>
                <w:rFonts w:eastAsia="Times New Roman" w:cs="Arial"/>
                <w:sz w:val="22"/>
                <w:lang w:eastAsia="en-AU"/>
              </w:rPr>
              <w:t xml:space="preserve"> </w:t>
            </w:r>
            <w:r w:rsidRPr="00200D6F">
              <w:rPr>
                <w:rFonts w:eastAsia="Times New Roman" w:cs="Arial"/>
                <w:sz w:val="22"/>
                <w:lang w:eastAsia="en-AU"/>
              </w:rPr>
              <w:t>budget of $10.1 million (2018 dollars) was included for the pilot which provided for the necessary IT infrastructure and labour as well as the purchase and deployment of 10,000 digital meters. A series of success criteria were developed for this program, which included efforts to de-risk the technology and to demonstrate that digital metering was a mature and viable solution that could be scaled in the future.</w:t>
            </w:r>
            <w:r w:rsidR="00A1315F">
              <w:rPr>
                <w:rFonts w:eastAsia="Times New Roman" w:cs="Arial"/>
                <w:sz w:val="22"/>
                <w:lang w:eastAsia="en-AU"/>
              </w:rPr>
              <w:t xml:space="preserve"> </w:t>
            </w:r>
          </w:p>
          <w:p w14:paraId="35A94C9F" w14:textId="756316B3" w:rsidR="00AC00D1" w:rsidRPr="00200D6F" w:rsidRDefault="00F36380" w:rsidP="00AC00D1">
            <w:pPr>
              <w:spacing w:after="0"/>
              <w:textAlignment w:val="baseline"/>
              <w:rPr>
                <w:rFonts w:eastAsia="Times New Roman" w:cs="Arial"/>
                <w:b/>
                <w:bCs/>
                <w:sz w:val="22"/>
                <w:lang w:eastAsia="en-AU"/>
              </w:rPr>
            </w:pPr>
            <w:r w:rsidRPr="00200D6F">
              <w:rPr>
                <w:rFonts w:eastAsia="Times New Roman" w:cs="Arial"/>
                <w:sz w:val="22"/>
                <w:lang w:eastAsia="en-AU"/>
              </w:rPr>
              <w:t>The actual expenditure of the pilot was $13.1 million in nominal terms, giving an overspend of ~ $3 million. This could be accounted for due to the slightly expanded scope (an additional 3,000 meters for direct replacement of failing legacy meters in high-rise buildings) as well as some initial supply chain delays that resulted in higher project/resource costs. While some of this could not be controlled (</w:t>
            </w:r>
            <w:r w:rsidR="008707FD">
              <w:rPr>
                <w:rFonts w:eastAsia="Times New Roman" w:cs="Arial"/>
                <w:sz w:val="22"/>
                <w:lang w:eastAsia="en-AU"/>
              </w:rPr>
              <w:t>that is,</w:t>
            </w:r>
            <w:r w:rsidRPr="00200D6F">
              <w:rPr>
                <w:rFonts w:eastAsia="Times New Roman" w:cs="Arial"/>
                <w:sz w:val="22"/>
                <w:lang w:eastAsia="en-AU"/>
              </w:rPr>
              <w:t xml:space="preserve"> coronavirus (COVID-19) causing supply chain issues), measures were taken to minimise the impact including for example the strategy to have a multi-vendor approach. The pilot was otherwise </w:t>
            </w:r>
            <w:r w:rsidRPr="00200D6F">
              <w:rPr>
                <w:rStyle w:val="normaltextrun"/>
                <w:rFonts w:cs="Arial"/>
                <w:color w:val="000000"/>
                <w:sz w:val="22"/>
                <w:bdr w:val="none" w:sz="0" w:space="0" w:color="auto" w:frame="1"/>
              </w:rPr>
              <w:t>completed on time and met or exceeded the agreed success criteria.</w:t>
            </w:r>
          </w:p>
        </w:tc>
      </w:tr>
      <w:tr w:rsidR="007D5F37" w:rsidRPr="00E62E92" w14:paraId="17FEE016" w14:textId="77777777" w:rsidTr="00360131">
        <w:trPr>
          <w:trHeight w:val="484"/>
        </w:trPr>
        <w:tc>
          <w:tcPr>
            <w:tcW w:w="0" w:type="dxa"/>
            <w:tcBorders>
              <w:top w:val="single" w:sz="2" w:space="0" w:color="002279"/>
              <w:bottom w:val="single" w:sz="2" w:space="0" w:color="002279"/>
            </w:tcBorders>
          </w:tcPr>
          <w:p w14:paraId="3B39159C" w14:textId="756ABB0C" w:rsidR="007D5F37" w:rsidRPr="00200D6F" w:rsidRDefault="007D5F37" w:rsidP="000C0D03">
            <w:pPr>
              <w:spacing w:after="0"/>
              <w:textAlignment w:val="baseline"/>
              <w:rPr>
                <w:rFonts w:eastAsia="Times New Roman" w:cs="Arial"/>
                <w:b/>
                <w:bCs/>
                <w:sz w:val="22"/>
                <w:lang w:eastAsia="en-AU"/>
              </w:rPr>
            </w:pPr>
            <w:r w:rsidRPr="00200D6F">
              <w:rPr>
                <w:rFonts w:eastAsia="Times New Roman" w:cs="Arial"/>
                <w:b/>
                <w:bCs/>
                <w:sz w:val="22"/>
                <w:lang w:eastAsia="en-AU"/>
              </w:rPr>
              <w:t xml:space="preserve">Indicative self-assessment score: </w:t>
            </w:r>
            <w:r w:rsidR="00D17832" w:rsidRPr="00200D6F">
              <w:rPr>
                <w:rFonts w:eastAsia="Times New Roman" w:cs="Arial"/>
                <w:sz w:val="22"/>
                <w:lang w:eastAsia="en-AU"/>
              </w:rPr>
              <w:t>Generally consistent with the 2018</w:t>
            </w:r>
            <w:r w:rsidR="00F33731">
              <w:rPr>
                <w:rFonts w:eastAsia="Times New Roman" w:cs="Arial"/>
                <w:sz w:val="22"/>
                <w:lang w:eastAsia="en-AU"/>
              </w:rPr>
              <w:t>–</w:t>
            </w:r>
            <w:r w:rsidR="00D17832" w:rsidRPr="00200D6F">
              <w:rPr>
                <w:rFonts w:eastAsia="Times New Roman" w:cs="Arial"/>
                <w:sz w:val="22"/>
                <w:lang w:eastAsia="en-AU"/>
              </w:rPr>
              <w:t>23 commitment</w:t>
            </w:r>
          </w:p>
        </w:tc>
      </w:tr>
      <w:tr w:rsidR="007D5F37" w:rsidRPr="00E62E92" w14:paraId="35D2B170" w14:textId="77777777" w:rsidTr="00360131">
        <w:tc>
          <w:tcPr>
            <w:tcW w:w="0" w:type="dxa"/>
            <w:tcBorders>
              <w:top w:val="single" w:sz="2" w:space="0" w:color="002279"/>
              <w:bottom w:val="single" w:sz="2" w:space="0" w:color="002279"/>
            </w:tcBorders>
          </w:tcPr>
          <w:p w14:paraId="7A32D0A2" w14:textId="1A96BC77" w:rsidR="00584035" w:rsidRPr="00200D6F" w:rsidRDefault="007D5F37" w:rsidP="00584035">
            <w:pPr>
              <w:pStyle w:val="paragraph"/>
              <w:spacing w:before="0" w:beforeAutospacing="0" w:after="0" w:afterAutospacing="0"/>
              <w:textAlignment w:val="baseline"/>
              <w:rPr>
                <w:rFonts w:ascii="Segoe UI" w:hAnsi="Segoe UI" w:cs="Segoe UI"/>
                <w:sz w:val="22"/>
              </w:rPr>
            </w:pPr>
            <w:r w:rsidRPr="00200D6F">
              <w:rPr>
                <w:rFonts w:ascii="Arial" w:hAnsi="Arial" w:cs="Arial"/>
                <w:b/>
                <w:bCs/>
                <w:sz w:val="22"/>
              </w:rPr>
              <w:t xml:space="preserve">Assessment rationale: </w:t>
            </w:r>
            <w:r w:rsidR="00584035" w:rsidRPr="00200D6F">
              <w:rPr>
                <w:rStyle w:val="normaltextrun"/>
                <w:rFonts w:ascii="Arial" w:hAnsi="Arial" w:cs="Arial"/>
                <w:sz w:val="22"/>
              </w:rPr>
              <w:t>The 2018</w:t>
            </w:r>
            <w:r w:rsidR="00F33731">
              <w:rPr>
                <w:rStyle w:val="normaltextrun"/>
                <w:rFonts w:ascii="Arial" w:hAnsi="Arial" w:cs="Arial"/>
                <w:sz w:val="22"/>
              </w:rPr>
              <w:t>–</w:t>
            </w:r>
            <w:r w:rsidR="00584035" w:rsidRPr="00200D6F">
              <w:rPr>
                <w:rStyle w:val="normaltextrun"/>
                <w:rFonts w:ascii="Arial" w:hAnsi="Arial" w:cs="Arial"/>
                <w:sz w:val="22"/>
              </w:rPr>
              <w:t>23 customer outcomes that were aligned to this project were delivered and quantifiable in the form of:</w:t>
            </w:r>
            <w:r w:rsidR="00584035" w:rsidRPr="00200D6F">
              <w:rPr>
                <w:rStyle w:val="eop"/>
                <w:rFonts w:ascii="Arial" w:hAnsi="Arial" w:cs="Arial"/>
                <w:sz w:val="22"/>
              </w:rPr>
              <w:t> </w:t>
            </w:r>
          </w:p>
          <w:p w14:paraId="0A7ACDEB" w14:textId="77777777" w:rsidR="00584035" w:rsidRPr="00200D6F" w:rsidRDefault="00584035">
            <w:pPr>
              <w:pStyle w:val="paragraph"/>
              <w:numPr>
                <w:ilvl w:val="0"/>
                <w:numId w:val="110"/>
              </w:numPr>
              <w:spacing w:before="0" w:beforeAutospacing="0" w:after="0" w:afterAutospacing="0"/>
              <w:ind w:left="738"/>
              <w:textAlignment w:val="baseline"/>
              <w:rPr>
                <w:rFonts w:ascii="Arial" w:hAnsi="Arial" w:cs="Arial"/>
                <w:sz w:val="22"/>
              </w:rPr>
            </w:pPr>
            <w:r w:rsidRPr="0049083E">
              <w:rPr>
                <w:rStyle w:val="normaltextrun"/>
                <w:rFonts w:ascii="Arial" w:hAnsi="Arial" w:cs="Arial"/>
                <w:b/>
                <w:i/>
                <w:sz w:val="22"/>
              </w:rPr>
              <w:t>Warn me, inform me</w:t>
            </w:r>
            <w:r w:rsidRPr="00200D6F">
              <w:rPr>
                <w:rStyle w:val="normaltextrun"/>
                <w:rFonts w:ascii="Arial" w:hAnsi="Arial" w:cs="Arial"/>
                <w:b/>
                <w:bCs/>
                <w:sz w:val="22"/>
              </w:rPr>
              <w:t>:</w:t>
            </w:r>
            <w:r w:rsidRPr="00200D6F">
              <w:rPr>
                <w:rStyle w:val="normaltextrun"/>
                <w:rFonts w:ascii="Arial" w:hAnsi="Arial" w:cs="Arial"/>
                <w:sz w:val="22"/>
              </w:rPr>
              <w:t xml:space="preserve"> Customers with digital meters that had internal leaks were notified electronically, allowing fast rectification of the issue and the prevention of bill shock and wasted water.</w:t>
            </w:r>
            <w:r w:rsidRPr="00200D6F">
              <w:rPr>
                <w:rStyle w:val="eop"/>
                <w:rFonts w:ascii="Arial" w:hAnsi="Arial" w:cs="Arial"/>
                <w:sz w:val="22"/>
              </w:rPr>
              <w:t> </w:t>
            </w:r>
          </w:p>
          <w:p w14:paraId="243A559D" w14:textId="77777777" w:rsidR="00584035" w:rsidRPr="00200D6F" w:rsidRDefault="00584035">
            <w:pPr>
              <w:pStyle w:val="paragraph"/>
              <w:numPr>
                <w:ilvl w:val="0"/>
                <w:numId w:val="110"/>
              </w:numPr>
              <w:spacing w:before="0" w:beforeAutospacing="0" w:after="0" w:afterAutospacing="0"/>
              <w:ind w:left="738"/>
              <w:textAlignment w:val="baseline"/>
              <w:rPr>
                <w:rFonts w:ascii="Arial" w:hAnsi="Arial" w:cs="Arial"/>
                <w:sz w:val="22"/>
              </w:rPr>
            </w:pPr>
            <w:r w:rsidRPr="0049083E">
              <w:rPr>
                <w:rStyle w:val="normaltextrun"/>
                <w:rFonts w:ascii="Arial" w:hAnsi="Arial" w:cs="Arial"/>
                <w:b/>
                <w:i/>
                <w:sz w:val="22"/>
              </w:rPr>
              <w:t>Make my experience better:</w:t>
            </w:r>
            <w:r w:rsidRPr="00200D6F">
              <w:rPr>
                <w:rStyle w:val="normaltextrun"/>
                <w:rFonts w:ascii="Arial" w:hAnsi="Arial" w:cs="Arial"/>
                <w:sz w:val="22"/>
              </w:rPr>
              <w:t xml:space="preserve"> Abnormal water usage increases (that were not related to leaks) were also alerted to customers, prompting them to improve the management of their household water usage.</w:t>
            </w:r>
            <w:r w:rsidRPr="00200D6F">
              <w:rPr>
                <w:rStyle w:val="eop"/>
                <w:rFonts w:ascii="Arial" w:hAnsi="Arial" w:cs="Arial"/>
                <w:sz w:val="22"/>
              </w:rPr>
              <w:t> </w:t>
            </w:r>
          </w:p>
          <w:p w14:paraId="6CF32613" w14:textId="77777777" w:rsidR="00584035" w:rsidRPr="00200D6F" w:rsidRDefault="00584035">
            <w:pPr>
              <w:pStyle w:val="paragraph"/>
              <w:numPr>
                <w:ilvl w:val="0"/>
                <w:numId w:val="110"/>
              </w:numPr>
              <w:spacing w:before="0" w:beforeAutospacing="0" w:after="0" w:afterAutospacing="0"/>
              <w:ind w:left="738"/>
              <w:textAlignment w:val="baseline"/>
              <w:rPr>
                <w:rFonts w:ascii="Arial" w:hAnsi="Arial" w:cs="Arial"/>
                <w:sz w:val="22"/>
              </w:rPr>
            </w:pPr>
            <w:r w:rsidRPr="0049083E">
              <w:rPr>
                <w:rStyle w:val="normaltextrun"/>
                <w:rFonts w:ascii="Arial" w:hAnsi="Arial" w:cs="Arial"/>
                <w:b/>
                <w:i/>
                <w:sz w:val="22"/>
              </w:rPr>
              <w:t>Get the basics right, always:</w:t>
            </w:r>
            <w:r w:rsidRPr="00200D6F">
              <w:rPr>
                <w:rStyle w:val="normaltextrun"/>
                <w:rFonts w:ascii="Arial" w:hAnsi="Arial" w:cs="Arial"/>
                <w:sz w:val="22"/>
              </w:rPr>
              <w:t xml:space="preserve"> Accurate, automated billing meant less estimated reads (and subsequently less contact centre calls for queries/complaints)</w:t>
            </w:r>
            <w:r w:rsidRPr="00200D6F">
              <w:rPr>
                <w:rStyle w:val="eop"/>
                <w:rFonts w:ascii="Arial" w:hAnsi="Arial" w:cs="Arial"/>
                <w:sz w:val="22"/>
              </w:rPr>
              <w:t> </w:t>
            </w:r>
          </w:p>
          <w:p w14:paraId="47089007" w14:textId="77777777" w:rsidR="00584035" w:rsidRPr="00200D6F" w:rsidRDefault="00584035">
            <w:pPr>
              <w:pStyle w:val="paragraph"/>
              <w:numPr>
                <w:ilvl w:val="0"/>
                <w:numId w:val="110"/>
              </w:numPr>
              <w:spacing w:before="0" w:beforeAutospacing="0" w:after="0" w:afterAutospacing="0"/>
              <w:ind w:left="738"/>
              <w:textAlignment w:val="baseline"/>
              <w:rPr>
                <w:rFonts w:ascii="Arial" w:hAnsi="Arial" w:cs="Arial"/>
                <w:sz w:val="22"/>
              </w:rPr>
            </w:pPr>
            <w:r w:rsidRPr="0049083E">
              <w:rPr>
                <w:rStyle w:val="normaltextrun"/>
                <w:rFonts w:ascii="Arial" w:hAnsi="Arial" w:cs="Arial"/>
                <w:b/>
                <w:i/>
                <w:sz w:val="22"/>
              </w:rPr>
              <w:t>Support my community, protect our environment:</w:t>
            </w:r>
            <w:r w:rsidRPr="00200D6F">
              <w:rPr>
                <w:rStyle w:val="normaltextrun"/>
                <w:rFonts w:ascii="Arial" w:hAnsi="Arial" w:cs="Arial"/>
                <w:sz w:val="22"/>
              </w:rPr>
              <w:t xml:space="preserve"> The water savings achieved through (i) customer behaviour change and leak identification and (ii) non-revenue (wasted) water due to network losses both demonstrated efficient water resource management.</w:t>
            </w:r>
            <w:r w:rsidRPr="00200D6F">
              <w:rPr>
                <w:rStyle w:val="eop"/>
                <w:rFonts w:ascii="Arial" w:hAnsi="Arial" w:cs="Arial"/>
                <w:sz w:val="22"/>
              </w:rPr>
              <w:t> </w:t>
            </w:r>
          </w:p>
          <w:p w14:paraId="2E8A3064" w14:textId="23C8D382" w:rsidR="00584035" w:rsidRPr="00200D6F" w:rsidRDefault="00584035">
            <w:pPr>
              <w:pStyle w:val="paragraph"/>
              <w:numPr>
                <w:ilvl w:val="0"/>
                <w:numId w:val="110"/>
              </w:numPr>
              <w:spacing w:before="0" w:beforeAutospacing="0" w:after="0" w:afterAutospacing="0"/>
              <w:ind w:left="738"/>
              <w:textAlignment w:val="baseline"/>
              <w:rPr>
                <w:rFonts w:ascii="Arial" w:hAnsi="Arial" w:cs="Arial"/>
                <w:sz w:val="22"/>
              </w:rPr>
            </w:pPr>
            <w:r w:rsidRPr="0049083E">
              <w:rPr>
                <w:rStyle w:val="normaltextrun"/>
                <w:rFonts w:ascii="Arial" w:hAnsi="Arial" w:cs="Arial"/>
                <w:b/>
                <w:i/>
                <w:sz w:val="22"/>
              </w:rPr>
              <w:t>Fair and affordable for all:</w:t>
            </w:r>
            <w:r w:rsidRPr="00200D6F">
              <w:rPr>
                <w:rStyle w:val="normaltextrun"/>
                <w:rFonts w:ascii="Arial" w:hAnsi="Arial" w:cs="Arial"/>
                <w:sz w:val="22"/>
              </w:rPr>
              <w:t xml:space="preserve"> The pilot led to a better understanding of the vendor landscape for meters, telecommunications and IT infrastructure. With each of these services market tested during the pilot, future procurement strategies will allow the best customer value to be obtained.</w:t>
            </w:r>
            <w:r w:rsidRPr="00200D6F">
              <w:rPr>
                <w:rStyle w:val="eop"/>
                <w:rFonts w:ascii="Arial" w:hAnsi="Arial" w:cs="Arial"/>
                <w:sz w:val="22"/>
              </w:rPr>
              <w:t> </w:t>
            </w:r>
          </w:p>
          <w:p w14:paraId="066F29A0" w14:textId="77777777" w:rsidR="00584035" w:rsidRPr="00200D6F" w:rsidRDefault="00584035" w:rsidP="00584035">
            <w:pPr>
              <w:pStyle w:val="paragraph"/>
              <w:spacing w:before="0" w:beforeAutospacing="0" w:after="0" w:afterAutospacing="0"/>
              <w:textAlignment w:val="baseline"/>
              <w:rPr>
                <w:rFonts w:ascii="Segoe UI" w:hAnsi="Segoe UI" w:cs="Segoe UI"/>
                <w:sz w:val="22"/>
              </w:rPr>
            </w:pPr>
            <w:r w:rsidRPr="00200D6F">
              <w:rPr>
                <w:rStyle w:val="normaltextrun"/>
                <w:rFonts w:ascii="Arial" w:hAnsi="Arial" w:cs="Arial"/>
                <w:sz w:val="22"/>
              </w:rPr>
              <w:t>Other direct benefits of the pilot included:</w:t>
            </w:r>
            <w:r w:rsidRPr="00200D6F">
              <w:rPr>
                <w:rStyle w:val="eop"/>
                <w:rFonts w:ascii="Arial" w:hAnsi="Arial" w:cs="Arial"/>
                <w:sz w:val="22"/>
              </w:rPr>
              <w:t> </w:t>
            </w:r>
          </w:p>
          <w:p w14:paraId="719C8290" w14:textId="07A3A8AE" w:rsidR="00584035" w:rsidRPr="00200D6F" w:rsidRDefault="0049083E">
            <w:pPr>
              <w:pStyle w:val="paragraph"/>
              <w:numPr>
                <w:ilvl w:val="0"/>
                <w:numId w:val="117"/>
              </w:numPr>
              <w:spacing w:before="0" w:beforeAutospacing="0" w:after="0" w:afterAutospacing="0"/>
              <w:ind w:left="738"/>
              <w:textAlignment w:val="baseline"/>
              <w:rPr>
                <w:rFonts w:ascii="Arial" w:hAnsi="Arial" w:cs="Arial"/>
                <w:sz w:val="22"/>
              </w:rPr>
            </w:pPr>
            <w:r>
              <w:rPr>
                <w:rStyle w:val="normaltextrun"/>
                <w:rFonts w:ascii="Arial" w:hAnsi="Arial" w:cs="Arial"/>
                <w:sz w:val="22"/>
              </w:rPr>
              <w:t>de</w:t>
            </w:r>
            <w:r w:rsidR="00584035" w:rsidRPr="00200D6F">
              <w:rPr>
                <w:rStyle w:val="normaltextrun"/>
                <w:rFonts w:ascii="Arial" w:hAnsi="Arial" w:cs="Arial"/>
                <w:sz w:val="22"/>
              </w:rPr>
              <w:t>monstrating a viable end-to-end solution for digital metering</w:t>
            </w:r>
            <w:r w:rsidR="00A1315F">
              <w:rPr>
                <w:rStyle w:val="normaltextrun"/>
                <w:rFonts w:ascii="Arial" w:hAnsi="Arial" w:cs="Arial"/>
                <w:sz w:val="22"/>
              </w:rPr>
              <w:t xml:space="preserve"> </w:t>
            </w:r>
          </w:p>
          <w:p w14:paraId="1C49CB4C" w14:textId="63956E34" w:rsidR="00584035" w:rsidRPr="00200D6F" w:rsidRDefault="0049083E">
            <w:pPr>
              <w:pStyle w:val="paragraph"/>
              <w:numPr>
                <w:ilvl w:val="0"/>
                <w:numId w:val="117"/>
              </w:numPr>
              <w:spacing w:before="0" w:beforeAutospacing="0" w:after="0" w:afterAutospacing="0"/>
              <w:ind w:left="738"/>
              <w:textAlignment w:val="baseline"/>
              <w:rPr>
                <w:rFonts w:ascii="Arial" w:hAnsi="Arial" w:cs="Arial"/>
                <w:sz w:val="22"/>
              </w:rPr>
            </w:pPr>
            <w:r>
              <w:rPr>
                <w:rStyle w:val="normaltextrun"/>
                <w:rFonts w:ascii="Arial" w:hAnsi="Arial" w:cs="Arial"/>
                <w:sz w:val="22"/>
              </w:rPr>
              <w:t>r</w:t>
            </w:r>
            <w:r w:rsidR="00584035" w:rsidRPr="00200D6F">
              <w:rPr>
                <w:rStyle w:val="normaltextrun"/>
                <w:rFonts w:ascii="Arial" w:hAnsi="Arial" w:cs="Arial"/>
                <w:sz w:val="22"/>
              </w:rPr>
              <w:t>educing risks across a range of areas including technology and supply chain</w:t>
            </w:r>
            <w:r w:rsidR="00A1315F">
              <w:rPr>
                <w:rStyle w:val="normaltextrun"/>
                <w:rFonts w:ascii="Arial" w:hAnsi="Arial" w:cs="Arial"/>
                <w:sz w:val="22"/>
              </w:rPr>
              <w:t xml:space="preserve"> </w:t>
            </w:r>
          </w:p>
          <w:p w14:paraId="5608D52F" w14:textId="53625EDB" w:rsidR="00584035" w:rsidRPr="00200D6F" w:rsidRDefault="0049083E">
            <w:pPr>
              <w:pStyle w:val="paragraph"/>
              <w:numPr>
                <w:ilvl w:val="0"/>
                <w:numId w:val="117"/>
              </w:numPr>
              <w:spacing w:before="0" w:beforeAutospacing="0" w:after="0" w:afterAutospacing="0"/>
              <w:ind w:left="738"/>
              <w:textAlignment w:val="baseline"/>
              <w:rPr>
                <w:rFonts w:ascii="Arial" w:hAnsi="Arial" w:cs="Arial"/>
                <w:sz w:val="22"/>
              </w:rPr>
            </w:pPr>
            <w:r>
              <w:rPr>
                <w:rStyle w:val="normaltextrun"/>
                <w:rFonts w:ascii="Arial" w:hAnsi="Arial" w:cs="Arial"/>
                <w:sz w:val="22"/>
              </w:rPr>
              <w:t>d</w:t>
            </w:r>
            <w:r w:rsidR="00584035" w:rsidRPr="00200D6F">
              <w:rPr>
                <w:rStyle w:val="normaltextrun"/>
                <w:rFonts w:ascii="Arial" w:hAnsi="Arial" w:cs="Arial"/>
                <w:sz w:val="22"/>
              </w:rPr>
              <w:t>evelopment of more efficient back-office processes that will ultimately reduce costs and improve customer satisfaction</w:t>
            </w:r>
            <w:r w:rsidR="00584035" w:rsidRPr="00200D6F">
              <w:rPr>
                <w:rStyle w:val="eop"/>
                <w:rFonts w:ascii="Arial" w:hAnsi="Arial" w:cs="Arial"/>
                <w:sz w:val="22"/>
              </w:rPr>
              <w:t> </w:t>
            </w:r>
          </w:p>
          <w:p w14:paraId="2BE75D38" w14:textId="7E23EBCA" w:rsidR="00584035" w:rsidRPr="00200D6F" w:rsidRDefault="0049083E">
            <w:pPr>
              <w:pStyle w:val="paragraph"/>
              <w:numPr>
                <w:ilvl w:val="0"/>
                <w:numId w:val="117"/>
              </w:numPr>
              <w:spacing w:before="0" w:beforeAutospacing="0" w:after="0" w:afterAutospacing="0"/>
              <w:ind w:left="738"/>
              <w:textAlignment w:val="baseline"/>
              <w:rPr>
                <w:rFonts w:ascii="Arial" w:hAnsi="Arial" w:cs="Arial"/>
                <w:sz w:val="22"/>
              </w:rPr>
            </w:pPr>
            <w:r>
              <w:rPr>
                <w:rStyle w:val="normaltextrun"/>
                <w:rFonts w:ascii="Arial" w:hAnsi="Arial" w:cs="Arial"/>
                <w:sz w:val="22"/>
              </w:rPr>
              <w:t>r</w:t>
            </w:r>
            <w:r w:rsidR="00584035" w:rsidRPr="00200D6F">
              <w:rPr>
                <w:rStyle w:val="normaltextrun"/>
                <w:rFonts w:ascii="Arial" w:hAnsi="Arial" w:cs="Arial"/>
                <w:sz w:val="22"/>
              </w:rPr>
              <w:t>efining cost and benefit assumptions that will ultimately underpin any future meter deployment business cases</w:t>
            </w:r>
            <w:r w:rsidR="00584035" w:rsidRPr="00200D6F">
              <w:rPr>
                <w:rStyle w:val="eop"/>
                <w:rFonts w:ascii="Arial" w:hAnsi="Arial" w:cs="Arial"/>
                <w:sz w:val="22"/>
              </w:rPr>
              <w:t> </w:t>
            </w:r>
          </w:p>
          <w:p w14:paraId="65EFEB75" w14:textId="77777777" w:rsidR="00584035" w:rsidRPr="00200D6F" w:rsidRDefault="00584035" w:rsidP="00584035">
            <w:pPr>
              <w:pStyle w:val="paragraph"/>
              <w:spacing w:before="0" w:beforeAutospacing="0" w:after="0" w:afterAutospacing="0"/>
              <w:textAlignment w:val="baseline"/>
              <w:rPr>
                <w:rStyle w:val="normaltextrun"/>
                <w:rFonts w:ascii="Arial" w:hAnsi="Arial" w:cs="Arial"/>
                <w:sz w:val="22"/>
              </w:rPr>
            </w:pPr>
          </w:p>
          <w:p w14:paraId="10DAD2B9" w14:textId="09A5B17E" w:rsidR="007D5F37" w:rsidRPr="00200D6F" w:rsidRDefault="00584035" w:rsidP="000C0D03">
            <w:pPr>
              <w:pStyle w:val="paragraph"/>
              <w:spacing w:before="0" w:beforeAutospacing="0" w:after="0" w:afterAutospacing="0"/>
              <w:textAlignment w:val="baseline"/>
              <w:rPr>
                <w:rFonts w:cs="Arial"/>
                <w:b/>
                <w:bCs/>
                <w:sz w:val="22"/>
              </w:rPr>
            </w:pPr>
            <w:r w:rsidRPr="00200D6F">
              <w:rPr>
                <w:rStyle w:val="normaltextrun"/>
                <w:rFonts w:ascii="Arial" w:hAnsi="Arial" w:cs="Arial"/>
                <w:sz w:val="22"/>
              </w:rPr>
              <w:t xml:space="preserve">With the success of the pilot, and due to approximately 40% of our existing mechanical meter fleet being end-of-life, the decision was taken to bring forward the next phase of the Digital Metering program (the </w:t>
            </w:r>
            <w:r w:rsidR="00612583">
              <w:rPr>
                <w:rStyle w:val="normaltextrun"/>
                <w:rFonts w:ascii="Arial" w:hAnsi="Arial" w:cs="Arial"/>
                <w:sz w:val="22"/>
              </w:rPr>
              <w:t>‘</w:t>
            </w:r>
            <w:r w:rsidRPr="00200D6F">
              <w:rPr>
                <w:rStyle w:val="normaltextrun"/>
                <w:rFonts w:ascii="Arial" w:hAnsi="Arial" w:cs="Arial"/>
                <w:sz w:val="22"/>
              </w:rPr>
              <w:t>Build and Scale</w:t>
            </w:r>
            <w:r w:rsidR="00612583">
              <w:rPr>
                <w:rStyle w:val="normaltextrun"/>
                <w:rFonts w:ascii="Arial" w:hAnsi="Arial" w:cs="Arial"/>
                <w:sz w:val="22"/>
              </w:rPr>
              <w:t>’</w:t>
            </w:r>
            <w:r w:rsidRPr="00200D6F">
              <w:rPr>
                <w:rStyle w:val="normaltextrun"/>
                <w:rFonts w:ascii="Arial" w:hAnsi="Arial" w:cs="Arial"/>
                <w:sz w:val="22"/>
              </w:rPr>
              <w:t xml:space="preserve"> phase). The fundamental technology was already in place from the </w:t>
            </w:r>
            <w:r w:rsidR="00350FB3">
              <w:rPr>
                <w:rStyle w:val="normaltextrun"/>
                <w:rFonts w:ascii="Arial" w:hAnsi="Arial" w:cs="Arial"/>
                <w:sz w:val="22"/>
              </w:rPr>
              <w:t>p</w:t>
            </w:r>
            <w:r w:rsidRPr="00200D6F">
              <w:rPr>
                <w:rStyle w:val="normaltextrun"/>
                <w:rFonts w:ascii="Arial" w:hAnsi="Arial" w:cs="Arial"/>
                <w:sz w:val="22"/>
              </w:rPr>
              <w:t xml:space="preserve">ilot phase, so the increased scope would primarily relate to </w:t>
            </w:r>
            <w:r w:rsidRPr="00200D6F">
              <w:rPr>
                <w:rStyle w:val="normaltextrun"/>
                <w:rFonts w:ascii="Arial" w:hAnsi="Arial" w:cs="Arial"/>
                <w:sz w:val="22"/>
              </w:rPr>
              <w:lastRenderedPageBreak/>
              <w:t xml:space="preserve">increasing the deployment from 10,000 meters to ~ 100,000 meters. The bring forward of the </w:t>
            </w:r>
            <w:r w:rsidR="00612583">
              <w:rPr>
                <w:rStyle w:val="normaltextrun"/>
                <w:rFonts w:ascii="Arial" w:hAnsi="Arial" w:cs="Arial"/>
                <w:sz w:val="22"/>
              </w:rPr>
              <w:t>‘</w:t>
            </w:r>
            <w:r w:rsidRPr="00200D6F">
              <w:rPr>
                <w:rStyle w:val="normaltextrun"/>
                <w:rFonts w:ascii="Arial" w:hAnsi="Arial" w:cs="Arial"/>
                <w:sz w:val="22"/>
              </w:rPr>
              <w:t>Build and Scale</w:t>
            </w:r>
            <w:r w:rsidR="00612583">
              <w:rPr>
                <w:rStyle w:val="normaltextrun"/>
                <w:rFonts w:ascii="Arial" w:hAnsi="Arial" w:cs="Arial"/>
                <w:sz w:val="22"/>
              </w:rPr>
              <w:t>’</w:t>
            </w:r>
            <w:r w:rsidRPr="00200D6F">
              <w:rPr>
                <w:rStyle w:val="normaltextrun"/>
                <w:rFonts w:ascii="Arial" w:hAnsi="Arial" w:cs="Arial"/>
                <w:sz w:val="22"/>
              </w:rPr>
              <w:t xml:space="preserve"> phase supports the realisation of the benefits provided by digital metering which includes the deferral of major water supply augmentations.</w:t>
            </w:r>
            <w:r w:rsidR="00A1315F">
              <w:rPr>
                <w:rStyle w:val="normaltextrun"/>
                <w:rFonts w:ascii="Arial" w:hAnsi="Arial" w:cs="Arial"/>
                <w:sz w:val="22"/>
              </w:rPr>
              <w:t xml:space="preserve"> </w:t>
            </w:r>
          </w:p>
        </w:tc>
      </w:tr>
    </w:tbl>
    <w:p w14:paraId="71D76D21" w14:textId="77777777" w:rsidR="00771C7E" w:rsidRDefault="00771C7E" w:rsidP="00771C7E">
      <w:pPr>
        <w:pStyle w:val="BodyText"/>
      </w:pPr>
    </w:p>
    <w:tbl>
      <w:tblPr>
        <w:tblStyle w:val="MJTableStyle1default"/>
        <w:tblW w:w="9246" w:type="dxa"/>
        <w:tblInd w:w="0" w:type="dxa"/>
        <w:tblLayout w:type="fixed"/>
        <w:tblLook w:val="06A0" w:firstRow="1" w:lastRow="0" w:firstColumn="1" w:lastColumn="0" w:noHBand="1" w:noVBand="1"/>
      </w:tblPr>
      <w:tblGrid>
        <w:gridCol w:w="9246"/>
      </w:tblGrid>
      <w:tr w:rsidR="00BA6E50" w:rsidRPr="00601368" w14:paraId="533DB35F" w14:textId="77777777" w:rsidTr="00360131">
        <w:trPr>
          <w:cnfStyle w:val="100000000000" w:firstRow="1" w:lastRow="0" w:firstColumn="0" w:lastColumn="0" w:oddVBand="0" w:evenVBand="0" w:oddHBand="0" w:evenHBand="0" w:firstRowFirstColumn="0" w:firstRowLastColumn="0" w:lastRowFirstColumn="0" w:lastRowLastColumn="0"/>
          <w:trHeight w:val="472"/>
          <w:tblHeader/>
        </w:trPr>
        <w:tc>
          <w:tcPr>
            <w:tcW w:w="9246" w:type="dxa"/>
            <w:tcBorders>
              <w:top w:val="single" w:sz="2" w:space="0" w:color="002279"/>
              <w:bottom w:val="single" w:sz="2" w:space="0" w:color="002279"/>
            </w:tcBorders>
            <w:shd w:val="clear" w:color="auto" w:fill="002279"/>
            <w:vAlign w:val="center"/>
          </w:tcPr>
          <w:p w14:paraId="707F005C" w14:textId="77777777" w:rsidR="00BA6E50" w:rsidRPr="007A4910" w:rsidRDefault="00BA6E50" w:rsidP="00116E55">
            <w:pPr>
              <w:pStyle w:val="Heading2"/>
              <w:ind w:left="720" w:hanging="720"/>
              <w:outlineLvl w:val="1"/>
              <w:rPr>
                <w:rFonts w:cstheme="minorHAnsi"/>
                <w:sz w:val="22"/>
                <w:szCs w:val="22"/>
              </w:rPr>
            </w:pPr>
            <w:r w:rsidRPr="007A4910">
              <w:rPr>
                <w:color w:val="FFFFFF" w:themeColor="background1"/>
                <w:sz w:val="22"/>
                <w:szCs w:val="22"/>
              </w:rPr>
              <w:t xml:space="preserve">PROJECT 5: Elster Creek Catchment improvements </w:t>
            </w:r>
            <w:r w:rsidRPr="007A4910">
              <w:rPr>
                <w:rStyle w:val="normaltextrun"/>
                <w:rFonts w:ascii="Arial" w:hAnsi="Arial" w:cs="Arial"/>
                <w:color w:val="FFFFFF" w:themeColor="background1"/>
                <w:sz w:val="22"/>
                <w:szCs w:val="22"/>
              </w:rPr>
              <w:t>delivery performance</w:t>
            </w:r>
            <w:r w:rsidRPr="007A4910">
              <w:rPr>
                <w:rStyle w:val="eop"/>
                <w:rFonts w:ascii="Arial" w:hAnsi="Arial" w:cs="Arial"/>
                <w:color w:val="FFFFFF" w:themeColor="background1"/>
                <w:sz w:val="22"/>
                <w:szCs w:val="22"/>
              </w:rPr>
              <w:t> </w:t>
            </w:r>
          </w:p>
        </w:tc>
      </w:tr>
      <w:tr w:rsidR="005029CB" w:rsidRPr="00601368" w14:paraId="37E5F09F" w14:textId="77777777" w:rsidTr="00360131">
        <w:tc>
          <w:tcPr>
            <w:tcW w:w="9246" w:type="dxa"/>
            <w:tcBorders>
              <w:top w:val="single" w:sz="2" w:space="0" w:color="002279"/>
              <w:bottom w:val="single" w:sz="2" w:space="0" w:color="002279"/>
            </w:tcBorders>
          </w:tcPr>
          <w:p w14:paraId="30C2AFFB" w14:textId="77777777" w:rsidR="005029CB" w:rsidRPr="00C85E81" w:rsidRDefault="005029CB" w:rsidP="000C0D03">
            <w:pPr>
              <w:spacing w:line="259" w:lineRule="auto"/>
              <w:rPr>
                <w:rFonts w:cstheme="minorHAnsi"/>
                <w:sz w:val="22"/>
              </w:rPr>
            </w:pPr>
            <w:r w:rsidRPr="00C85E81">
              <w:rPr>
                <w:rFonts w:cstheme="minorHAnsi"/>
                <w:b/>
                <w:sz w:val="22"/>
              </w:rPr>
              <w:t xml:space="preserve">Major service: </w:t>
            </w:r>
            <w:r w:rsidRPr="00C85E81">
              <w:rPr>
                <w:rFonts w:cstheme="minorHAnsi"/>
                <w:sz w:val="22"/>
              </w:rPr>
              <w:t>Sewerage</w:t>
            </w:r>
          </w:p>
        </w:tc>
      </w:tr>
      <w:tr w:rsidR="005029CB" w:rsidRPr="00601368" w14:paraId="2014A0A7" w14:textId="77777777" w:rsidTr="00360131">
        <w:tc>
          <w:tcPr>
            <w:tcW w:w="9246" w:type="dxa"/>
            <w:tcBorders>
              <w:top w:val="single" w:sz="2" w:space="0" w:color="002279"/>
              <w:bottom w:val="single" w:sz="2" w:space="0" w:color="002279"/>
            </w:tcBorders>
          </w:tcPr>
          <w:p w14:paraId="0B4CE5B2" w14:textId="6A66F77E" w:rsidR="005029CB" w:rsidRPr="00C85E81" w:rsidRDefault="005029CB" w:rsidP="00116E55">
            <w:pPr>
              <w:spacing w:line="259" w:lineRule="auto"/>
              <w:ind w:left="720" w:hanging="720"/>
              <w:rPr>
                <w:rFonts w:cstheme="minorHAnsi"/>
                <w:sz w:val="22"/>
              </w:rPr>
            </w:pPr>
            <w:r w:rsidRPr="00C85E81">
              <w:rPr>
                <w:rFonts w:cstheme="minorHAnsi"/>
                <w:b/>
                <w:sz w:val="22"/>
              </w:rPr>
              <w:t xml:space="preserve">Asset category: </w:t>
            </w:r>
            <w:r w:rsidRPr="00C85E81">
              <w:rPr>
                <w:rFonts w:cstheme="minorHAnsi"/>
                <w:bCs/>
                <w:sz w:val="22"/>
              </w:rPr>
              <w:t>Pipelines</w:t>
            </w:r>
            <w:r w:rsidR="00E27178">
              <w:rPr>
                <w:rFonts w:cstheme="minorHAnsi"/>
                <w:bCs/>
                <w:sz w:val="22"/>
              </w:rPr>
              <w:t>/</w:t>
            </w:r>
            <w:r w:rsidRPr="00C85E81">
              <w:rPr>
                <w:rFonts w:cstheme="minorHAnsi"/>
                <w:bCs/>
                <w:sz w:val="22"/>
              </w:rPr>
              <w:t>network</w:t>
            </w:r>
            <w:r w:rsidR="00A1315F">
              <w:rPr>
                <w:rFonts w:cstheme="minorHAnsi"/>
                <w:b/>
                <w:sz w:val="22"/>
              </w:rPr>
              <w:t xml:space="preserve"> </w:t>
            </w:r>
          </w:p>
        </w:tc>
      </w:tr>
      <w:tr w:rsidR="005029CB" w:rsidRPr="00601368" w14:paraId="5DEDB581" w14:textId="77777777" w:rsidTr="00360131">
        <w:tc>
          <w:tcPr>
            <w:tcW w:w="9246" w:type="dxa"/>
            <w:tcBorders>
              <w:top w:val="single" w:sz="2" w:space="0" w:color="002279"/>
              <w:bottom w:val="single" w:sz="2" w:space="0" w:color="002279"/>
            </w:tcBorders>
          </w:tcPr>
          <w:p w14:paraId="5263E8FB" w14:textId="77777777" w:rsidR="005029CB" w:rsidRPr="00C85E81" w:rsidRDefault="005029CB" w:rsidP="00116E55">
            <w:pPr>
              <w:spacing w:line="259" w:lineRule="auto"/>
              <w:ind w:left="1440" w:hanging="1440"/>
              <w:rPr>
                <w:rFonts w:cstheme="minorHAnsi"/>
                <w:b/>
                <w:sz w:val="22"/>
              </w:rPr>
            </w:pPr>
            <w:r w:rsidRPr="00C85E81">
              <w:rPr>
                <w:rFonts w:cstheme="minorHAnsi"/>
                <w:b/>
                <w:sz w:val="22"/>
              </w:rPr>
              <w:t xml:space="preserve">Driver: </w:t>
            </w:r>
            <w:r w:rsidRPr="00C85E81">
              <w:rPr>
                <w:rFonts w:cstheme="minorHAnsi"/>
                <w:sz w:val="22"/>
              </w:rPr>
              <w:t>Growth</w:t>
            </w:r>
          </w:p>
        </w:tc>
      </w:tr>
      <w:tr w:rsidR="005029CB" w:rsidRPr="00601368" w14:paraId="7A124A99" w14:textId="77777777" w:rsidTr="00360131">
        <w:tc>
          <w:tcPr>
            <w:tcW w:w="9246" w:type="dxa"/>
            <w:tcBorders>
              <w:top w:val="single" w:sz="2" w:space="0" w:color="002279"/>
              <w:bottom w:val="single" w:sz="2" w:space="0" w:color="002279"/>
            </w:tcBorders>
          </w:tcPr>
          <w:p w14:paraId="45063889" w14:textId="0B3191BD" w:rsidR="001756BF" w:rsidRPr="00C85E81" w:rsidRDefault="005029CB" w:rsidP="001756BF">
            <w:pPr>
              <w:spacing w:after="0"/>
              <w:textAlignment w:val="baseline"/>
              <w:rPr>
                <w:rFonts w:eastAsia="Times New Roman" w:cstheme="minorHAnsi"/>
                <w:sz w:val="22"/>
                <w:lang w:eastAsia="en-AU"/>
              </w:rPr>
            </w:pPr>
            <w:r w:rsidRPr="00C85E81">
              <w:rPr>
                <w:rFonts w:cstheme="minorHAnsi"/>
                <w:b/>
                <w:sz w:val="22"/>
              </w:rPr>
              <w:t xml:space="preserve">Description: </w:t>
            </w:r>
            <w:r w:rsidR="001756BF" w:rsidRPr="00C85E81">
              <w:rPr>
                <w:rFonts w:eastAsia="Times New Roman" w:cstheme="minorHAnsi"/>
                <w:color w:val="000000"/>
                <w:sz w:val="22"/>
                <w:shd w:val="clear" w:color="auto" w:fill="FFFFFF"/>
                <w:lang w:eastAsia="en-AU"/>
              </w:rPr>
              <w:t>The following upgrades were identified within the catchment totalling $33.2</w:t>
            </w:r>
            <w:r w:rsidR="009F21F0">
              <w:rPr>
                <w:rFonts w:eastAsia="Times New Roman" w:cstheme="minorHAnsi"/>
                <w:color w:val="000000"/>
                <w:sz w:val="22"/>
                <w:shd w:val="clear" w:color="auto" w:fill="FFFFFF"/>
                <w:lang w:eastAsia="en-AU"/>
              </w:rPr>
              <w:t>m</w:t>
            </w:r>
            <w:r w:rsidR="001756BF" w:rsidRPr="00C85E81">
              <w:rPr>
                <w:rFonts w:eastAsia="Times New Roman" w:cstheme="minorHAnsi"/>
                <w:color w:val="000000"/>
                <w:sz w:val="22"/>
                <w:shd w:val="clear" w:color="auto" w:fill="FFFFFF"/>
                <w:lang w:eastAsia="en-AU"/>
              </w:rPr>
              <w:t>:</w:t>
            </w:r>
            <w:r w:rsidR="00A1315F">
              <w:rPr>
                <w:rFonts w:eastAsia="Times New Roman" w:cstheme="minorHAnsi"/>
                <w:color w:val="000000"/>
                <w:sz w:val="22"/>
                <w:shd w:val="clear" w:color="auto" w:fill="FFFFFF"/>
                <w:lang w:eastAsia="en-AU"/>
              </w:rPr>
              <w:t xml:space="preserve"> </w:t>
            </w:r>
          </w:p>
          <w:p w14:paraId="1AB3B75D" w14:textId="7C1F9E11" w:rsidR="001756BF" w:rsidRPr="00C85E81" w:rsidRDefault="001756BF">
            <w:pPr>
              <w:pStyle w:val="ListParagraph"/>
              <w:numPr>
                <w:ilvl w:val="0"/>
                <w:numId w:val="118"/>
              </w:numPr>
              <w:spacing w:after="0"/>
              <w:ind w:left="738"/>
              <w:textAlignment w:val="baseline"/>
              <w:rPr>
                <w:rFonts w:eastAsia="Times New Roman" w:cstheme="minorHAnsi"/>
                <w:sz w:val="22"/>
                <w:lang w:eastAsia="en-AU"/>
              </w:rPr>
            </w:pPr>
            <w:r w:rsidRPr="00C85E81">
              <w:rPr>
                <w:rFonts w:eastAsia="Times New Roman" w:cstheme="minorHAnsi"/>
                <w:color w:val="000000"/>
                <w:sz w:val="22"/>
                <w:shd w:val="clear" w:color="auto" w:fill="FFFFFF"/>
                <w:lang w:eastAsia="en-AU"/>
              </w:rPr>
              <w:t xml:space="preserve">Elster Creek </w:t>
            </w:r>
            <w:r w:rsidR="004C72E9">
              <w:rPr>
                <w:rFonts w:eastAsia="Times New Roman" w:cstheme="minorHAnsi"/>
                <w:color w:val="000000"/>
                <w:sz w:val="22"/>
                <w:shd w:val="clear" w:color="auto" w:fill="FFFFFF"/>
                <w:lang w:eastAsia="en-AU"/>
              </w:rPr>
              <w:t>branch</w:t>
            </w:r>
            <w:r w:rsidRPr="00C85E81">
              <w:rPr>
                <w:rFonts w:eastAsia="Times New Roman" w:cstheme="minorHAnsi"/>
                <w:color w:val="000000"/>
                <w:sz w:val="22"/>
                <w:shd w:val="clear" w:color="auto" w:fill="FFFFFF"/>
                <w:lang w:eastAsia="en-AU"/>
              </w:rPr>
              <w:t xml:space="preserve"> and Allnut Park </w:t>
            </w:r>
            <w:r w:rsidR="004C72E9">
              <w:rPr>
                <w:rFonts w:eastAsia="Times New Roman" w:cstheme="minorHAnsi"/>
                <w:color w:val="000000"/>
                <w:sz w:val="22"/>
                <w:shd w:val="clear" w:color="auto" w:fill="FFFFFF"/>
                <w:lang w:eastAsia="en-AU"/>
              </w:rPr>
              <w:t>branch</w:t>
            </w:r>
            <w:r w:rsidRPr="00C85E81">
              <w:rPr>
                <w:rFonts w:eastAsia="Times New Roman" w:cstheme="minorHAnsi"/>
                <w:color w:val="000000"/>
                <w:sz w:val="22"/>
                <w:shd w:val="clear" w:color="auto" w:fill="FFFFFF"/>
                <w:lang w:eastAsia="en-AU"/>
              </w:rPr>
              <w:t xml:space="preserve"> Upgrade $9.3</w:t>
            </w:r>
            <w:r w:rsidR="009F21F0">
              <w:rPr>
                <w:rFonts w:eastAsia="Times New Roman" w:cstheme="minorHAnsi"/>
                <w:color w:val="000000"/>
                <w:sz w:val="22"/>
                <w:shd w:val="clear" w:color="auto" w:fill="FFFFFF"/>
                <w:lang w:eastAsia="en-AU"/>
              </w:rPr>
              <w:t>m</w:t>
            </w:r>
            <w:r w:rsidR="00A1315F">
              <w:rPr>
                <w:rFonts w:eastAsia="Times New Roman" w:cstheme="minorHAnsi"/>
                <w:color w:val="000000"/>
                <w:sz w:val="22"/>
                <w:shd w:val="clear" w:color="auto" w:fill="FFFFFF"/>
                <w:lang w:eastAsia="en-AU"/>
              </w:rPr>
              <w:t xml:space="preserve"> </w:t>
            </w:r>
          </w:p>
          <w:p w14:paraId="7B8E2B38" w14:textId="6992AC8E" w:rsidR="001756BF" w:rsidRPr="00C85E81" w:rsidRDefault="001756BF">
            <w:pPr>
              <w:pStyle w:val="ListParagraph"/>
              <w:numPr>
                <w:ilvl w:val="0"/>
                <w:numId w:val="118"/>
              </w:numPr>
              <w:spacing w:after="0"/>
              <w:ind w:left="738"/>
              <w:textAlignment w:val="baseline"/>
              <w:rPr>
                <w:rFonts w:eastAsia="Times New Roman" w:cstheme="minorHAnsi"/>
                <w:sz w:val="22"/>
                <w:lang w:eastAsia="en-AU"/>
              </w:rPr>
            </w:pPr>
            <w:r w:rsidRPr="00C85E81">
              <w:rPr>
                <w:rFonts w:eastAsia="Times New Roman" w:cstheme="minorHAnsi"/>
                <w:color w:val="000000"/>
                <w:sz w:val="22"/>
                <w:shd w:val="clear" w:color="auto" w:fill="FFFFFF"/>
                <w:lang w:eastAsia="en-AU"/>
              </w:rPr>
              <w:t xml:space="preserve">Centre Road </w:t>
            </w:r>
            <w:r w:rsidR="004C72E9">
              <w:rPr>
                <w:rFonts w:eastAsia="Times New Roman" w:cstheme="minorHAnsi"/>
                <w:color w:val="000000"/>
                <w:sz w:val="22"/>
                <w:shd w:val="clear" w:color="auto" w:fill="FFFFFF"/>
                <w:lang w:eastAsia="en-AU"/>
              </w:rPr>
              <w:t>branch</w:t>
            </w:r>
            <w:r w:rsidRPr="00C85E81">
              <w:rPr>
                <w:rFonts w:eastAsia="Times New Roman" w:cstheme="minorHAnsi"/>
                <w:color w:val="000000"/>
                <w:sz w:val="22"/>
                <w:shd w:val="clear" w:color="auto" w:fill="FFFFFF"/>
                <w:lang w:eastAsia="en-AU"/>
              </w:rPr>
              <w:t xml:space="preserve"> and Higgins Road SPS Upgrade $12.4</w:t>
            </w:r>
            <w:r w:rsidR="009F21F0">
              <w:rPr>
                <w:rFonts w:eastAsia="Times New Roman" w:cstheme="minorHAnsi"/>
                <w:color w:val="000000"/>
                <w:sz w:val="22"/>
                <w:shd w:val="clear" w:color="auto" w:fill="FFFFFF"/>
                <w:lang w:eastAsia="en-AU"/>
              </w:rPr>
              <w:t>m</w:t>
            </w:r>
            <w:r w:rsidR="00A1315F">
              <w:rPr>
                <w:rFonts w:eastAsia="Times New Roman" w:cstheme="minorHAnsi"/>
                <w:color w:val="000000"/>
                <w:sz w:val="22"/>
                <w:shd w:val="clear" w:color="auto" w:fill="FFFFFF"/>
                <w:lang w:eastAsia="en-AU"/>
              </w:rPr>
              <w:t xml:space="preserve"> </w:t>
            </w:r>
          </w:p>
          <w:p w14:paraId="181D0BA4" w14:textId="0E8A4B58" w:rsidR="001756BF" w:rsidRPr="00C85E81" w:rsidRDefault="001756BF">
            <w:pPr>
              <w:pStyle w:val="ListParagraph"/>
              <w:numPr>
                <w:ilvl w:val="0"/>
                <w:numId w:val="118"/>
              </w:numPr>
              <w:spacing w:after="0"/>
              <w:ind w:left="738"/>
              <w:textAlignment w:val="baseline"/>
              <w:rPr>
                <w:rFonts w:eastAsia="Times New Roman" w:cstheme="minorHAnsi"/>
                <w:sz w:val="22"/>
                <w:lang w:eastAsia="en-AU"/>
              </w:rPr>
            </w:pPr>
            <w:r w:rsidRPr="00C85E81">
              <w:rPr>
                <w:rFonts w:eastAsia="Times New Roman" w:cstheme="minorHAnsi"/>
                <w:color w:val="000000"/>
                <w:sz w:val="22"/>
                <w:shd w:val="clear" w:color="auto" w:fill="FFFFFF"/>
                <w:lang w:eastAsia="en-AU"/>
              </w:rPr>
              <w:t xml:space="preserve">Tucker Road </w:t>
            </w:r>
            <w:r w:rsidR="004C72E9">
              <w:rPr>
                <w:rFonts w:eastAsia="Times New Roman" w:cstheme="minorHAnsi"/>
                <w:color w:val="000000"/>
                <w:sz w:val="22"/>
                <w:shd w:val="clear" w:color="auto" w:fill="FFFFFF"/>
                <w:lang w:eastAsia="en-AU"/>
              </w:rPr>
              <w:t>branch</w:t>
            </w:r>
            <w:r w:rsidRPr="00C85E81">
              <w:rPr>
                <w:rFonts w:eastAsia="Times New Roman" w:cstheme="minorHAnsi"/>
                <w:color w:val="000000"/>
                <w:sz w:val="22"/>
                <w:shd w:val="clear" w:color="auto" w:fill="FFFFFF"/>
                <w:lang w:eastAsia="en-AU"/>
              </w:rPr>
              <w:t xml:space="preserve"> Upgrade $7.4</w:t>
            </w:r>
            <w:r w:rsidR="009F21F0">
              <w:rPr>
                <w:rFonts w:eastAsia="Times New Roman" w:cstheme="minorHAnsi"/>
                <w:color w:val="000000"/>
                <w:sz w:val="22"/>
                <w:shd w:val="clear" w:color="auto" w:fill="FFFFFF"/>
                <w:lang w:eastAsia="en-AU"/>
              </w:rPr>
              <w:t>m</w:t>
            </w:r>
            <w:r w:rsidR="00A1315F">
              <w:rPr>
                <w:rFonts w:eastAsia="Times New Roman" w:cstheme="minorHAnsi"/>
                <w:color w:val="000000"/>
                <w:sz w:val="22"/>
                <w:shd w:val="clear" w:color="auto" w:fill="FFFFFF"/>
                <w:lang w:eastAsia="en-AU"/>
              </w:rPr>
              <w:t xml:space="preserve"> </w:t>
            </w:r>
          </w:p>
          <w:p w14:paraId="2D5455A4" w14:textId="6A79182D" w:rsidR="001756BF" w:rsidRPr="00C85E81" w:rsidRDefault="001756BF">
            <w:pPr>
              <w:pStyle w:val="ListParagraph"/>
              <w:numPr>
                <w:ilvl w:val="0"/>
                <w:numId w:val="118"/>
              </w:numPr>
              <w:spacing w:after="0"/>
              <w:ind w:left="738"/>
              <w:textAlignment w:val="baseline"/>
              <w:rPr>
                <w:rFonts w:eastAsia="Times New Roman" w:cstheme="minorHAnsi"/>
                <w:sz w:val="22"/>
                <w:lang w:eastAsia="en-AU"/>
              </w:rPr>
            </w:pPr>
            <w:r w:rsidRPr="00C85E81">
              <w:rPr>
                <w:rFonts w:eastAsia="Times New Roman" w:cstheme="minorHAnsi"/>
                <w:color w:val="000000"/>
                <w:sz w:val="22"/>
                <w:shd w:val="clear" w:color="auto" w:fill="FFFFFF"/>
                <w:lang w:eastAsia="en-AU"/>
              </w:rPr>
              <w:t>Tucker Road SPS Catchment Upgrade $4.1</w:t>
            </w:r>
            <w:r w:rsidR="009F21F0">
              <w:rPr>
                <w:rFonts w:eastAsia="Times New Roman" w:cstheme="minorHAnsi"/>
                <w:color w:val="000000"/>
                <w:sz w:val="22"/>
                <w:shd w:val="clear" w:color="auto" w:fill="FFFFFF"/>
                <w:lang w:eastAsia="en-AU"/>
              </w:rPr>
              <w:t>m</w:t>
            </w:r>
            <w:r w:rsidRPr="00C85E81">
              <w:rPr>
                <w:rFonts w:eastAsia="Times New Roman" w:cstheme="minorHAnsi"/>
                <w:color w:val="000000"/>
                <w:sz w:val="22"/>
                <w:lang w:eastAsia="en-AU"/>
              </w:rPr>
              <w:t> </w:t>
            </w:r>
          </w:p>
          <w:p w14:paraId="17663DDC" w14:textId="027D2BEF" w:rsidR="001756BF" w:rsidRPr="00C85E81" w:rsidRDefault="001756BF" w:rsidP="00410F9F">
            <w:pPr>
              <w:spacing w:after="0"/>
              <w:textAlignment w:val="baseline"/>
              <w:rPr>
                <w:rFonts w:eastAsia="Times New Roman" w:cstheme="minorHAnsi"/>
                <w:sz w:val="22"/>
                <w:lang w:eastAsia="en-AU"/>
              </w:rPr>
            </w:pPr>
            <w:r w:rsidRPr="00C85E81">
              <w:rPr>
                <w:rFonts w:eastAsia="Times New Roman" w:cstheme="minorHAnsi"/>
                <w:color w:val="000000"/>
                <w:sz w:val="22"/>
                <w:shd w:val="clear" w:color="auto" w:fill="FFFFFF"/>
                <w:lang w:eastAsia="en-AU"/>
              </w:rPr>
              <w:t xml:space="preserve">However, through the </w:t>
            </w:r>
            <w:r w:rsidR="00E81043">
              <w:rPr>
                <w:rFonts w:eastAsia="Times New Roman" w:cstheme="minorHAnsi"/>
                <w:color w:val="000000"/>
                <w:sz w:val="22"/>
                <w:shd w:val="clear" w:color="auto" w:fill="FFFFFF"/>
                <w:lang w:eastAsia="en-AU"/>
              </w:rPr>
              <w:t>p</w:t>
            </w:r>
            <w:r w:rsidRPr="00C85E81">
              <w:rPr>
                <w:rFonts w:eastAsia="Times New Roman" w:cstheme="minorHAnsi"/>
                <w:color w:val="000000"/>
                <w:sz w:val="22"/>
                <w:shd w:val="clear" w:color="auto" w:fill="FFFFFF"/>
                <w:lang w:eastAsia="en-AU"/>
              </w:rPr>
              <w:t xml:space="preserve">rice </w:t>
            </w:r>
            <w:r w:rsidR="00E81043">
              <w:rPr>
                <w:rFonts w:eastAsia="Times New Roman" w:cstheme="minorHAnsi"/>
                <w:color w:val="000000"/>
                <w:sz w:val="22"/>
                <w:shd w:val="clear" w:color="auto" w:fill="FFFFFF"/>
                <w:lang w:eastAsia="en-AU"/>
              </w:rPr>
              <w:t>s</w:t>
            </w:r>
            <w:r w:rsidRPr="00C85E81">
              <w:rPr>
                <w:rFonts w:eastAsia="Times New Roman" w:cstheme="minorHAnsi"/>
                <w:color w:val="000000"/>
                <w:sz w:val="22"/>
                <w:shd w:val="clear" w:color="auto" w:fill="FFFFFF"/>
                <w:lang w:eastAsia="en-AU"/>
              </w:rPr>
              <w:t>ubmission review process South East Water made the decision that:</w:t>
            </w:r>
            <w:r w:rsidRPr="00C85E81">
              <w:rPr>
                <w:rFonts w:eastAsia="Times New Roman" w:cstheme="minorHAnsi"/>
                <w:color w:val="000000"/>
                <w:sz w:val="22"/>
                <w:lang w:eastAsia="en-AU"/>
              </w:rPr>
              <w:t> </w:t>
            </w:r>
          </w:p>
          <w:p w14:paraId="485FED20" w14:textId="42A172CE" w:rsidR="001756BF" w:rsidRPr="00C85E81" w:rsidRDefault="00E81043">
            <w:pPr>
              <w:pStyle w:val="ListParagraph"/>
              <w:numPr>
                <w:ilvl w:val="0"/>
                <w:numId w:val="119"/>
              </w:numPr>
              <w:pBdr>
                <w:top w:val="single" w:sz="2" w:space="1" w:color="002279"/>
              </w:pBdr>
              <w:spacing w:after="0"/>
              <w:ind w:left="313"/>
              <w:textAlignment w:val="baseline"/>
              <w:rPr>
                <w:rFonts w:eastAsia="Times New Roman" w:cstheme="minorHAnsi"/>
                <w:sz w:val="22"/>
                <w:lang w:eastAsia="en-AU"/>
              </w:rPr>
            </w:pPr>
            <w:r>
              <w:rPr>
                <w:rFonts w:eastAsia="Times New Roman" w:cstheme="minorHAnsi"/>
                <w:color w:val="000000"/>
                <w:sz w:val="22"/>
                <w:shd w:val="clear" w:color="auto" w:fill="FFFFFF"/>
                <w:lang w:eastAsia="en-AU"/>
              </w:rPr>
              <w:t>c</w:t>
            </w:r>
            <w:r w:rsidR="001756BF" w:rsidRPr="00C85E81">
              <w:rPr>
                <w:rFonts w:eastAsia="Times New Roman" w:cstheme="minorHAnsi"/>
                <w:color w:val="000000"/>
                <w:sz w:val="22"/>
                <w:shd w:val="clear" w:color="auto" w:fill="FFFFFF"/>
                <w:lang w:eastAsia="en-AU"/>
              </w:rPr>
              <w:t>ost recovery of the Elster Creek Capacity Improvement Works would not be included in Price Submission 2018</w:t>
            </w:r>
            <w:r w:rsidR="00F33731">
              <w:rPr>
                <w:rFonts w:eastAsia="Times New Roman" w:cstheme="minorHAnsi"/>
                <w:color w:val="000000"/>
                <w:sz w:val="22"/>
                <w:shd w:val="clear" w:color="auto" w:fill="FFFFFF"/>
                <w:lang w:eastAsia="en-AU"/>
              </w:rPr>
              <w:t>–</w:t>
            </w:r>
            <w:r w:rsidR="001756BF" w:rsidRPr="00C85E81">
              <w:rPr>
                <w:rFonts w:eastAsia="Times New Roman" w:cstheme="minorHAnsi"/>
                <w:color w:val="000000"/>
                <w:sz w:val="22"/>
                <w:shd w:val="clear" w:color="auto" w:fill="FFFFFF"/>
                <w:lang w:eastAsia="en-AU"/>
              </w:rPr>
              <w:t>23</w:t>
            </w:r>
            <w:r w:rsidR="00A1315F">
              <w:rPr>
                <w:rFonts w:eastAsia="Times New Roman" w:cstheme="minorHAnsi"/>
                <w:color w:val="000000"/>
                <w:sz w:val="22"/>
                <w:shd w:val="clear" w:color="auto" w:fill="FFFFFF"/>
                <w:lang w:eastAsia="en-AU"/>
              </w:rPr>
              <w:t xml:space="preserve"> </w:t>
            </w:r>
          </w:p>
          <w:p w14:paraId="2318B40D" w14:textId="1C64724A" w:rsidR="001756BF" w:rsidRPr="00C85E81" w:rsidRDefault="00E81043">
            <w:pPr>
              <w:pStyle w:val="ListParagraph"/>
              <w:numPr>
                <w:ilvl w:val="0"/>
                <w:numId w:val="119"/>
              </w:numPr>
              <w:spacing w:after="0"/>
              <w:ind w:left="313"/>
              <w:textAlignment w:val="baseline"/>
              <w:rPr>
                <w:rFonts w:eastAsia="Times New Roman" w:cstheme="minorHAnsi"/>
                <w:sz w:val="22"/>
                <w:lang w:eastAsia="en-AU"/>
              </w:rPr>
            </w:pPr>
            <w:r>
              <w:rPr>
                <w:rFonts w:eastAsia="Times New Roman" w:cstheme="minorHAnsi"/>
                <w:color w:val="000000"/>
                <w:sz w:val="22"/>
                <w:shd w:val="clear" w:color="auto" w:fill="FFFFFF"/>
                <w:lang w:eastAsia="en-AU"/>
              </w:rPr>
              <w:t>f</w:t>
            </w:r>
            <w:r w:rsidR="001756BF" w:rsidRPr="00C85E81">
              <w:rPr>
                <w:rFonts w:eastAsia="Times New Roman" w:cstheme="minorHAnsi"/>
                <w:color w:val="000000"/>
                <w:sz w:val="22"/>
                <w:shd w:val="clear" w:color="auto" w:fill="FFFFFF"/>
                <w:lang w:eastAsia="en-AU"/>
              </w:rPr>
              <w:t>urther investigation works would be undertaken, and a lower cost alternative was to be sought.</w:t>
            </w:r>
            <w:r w:rsidR="00A1315F">
              <w:rPr>
                <w:rFonts w:eastAsia="Times New Roman" w:cstheme="minorHAnsi"/>
                <w:color w:val="000000"/>
                <w:sz w:val="22"/>
                <w:shd w:val="clear" w:color="auto" w:fill="FFFFFF"/>
                <w:lang w:eastAsia="en-AU"/>
              </w:rPr>
              <w:t xml:space="preserve"> </w:t>
            </w:r>
          </w:p>
          <w:p w14:paraId="5C170471" w14:textId="2A1C4F32" w:rsidR="005029CB" w:rsidRPr="00C85E81" w:rsidRDefault="001756BF" w:rsidP="000C0D03">
            <w:pPr>
              <w:spacing w:after="0"/>
              <w:textAlignment w:val="baseline"/>
              <w:rPr>
                <w:rFonts w:cstheme="minorHAnsi"/>
                <w:sz w:val="22"/>
              </w:rPr>
            </w:pPr>
            <w:r w:rsidRPr="00C85E81">
              <w:rPr>
                <w:rFonts w:eastAsia="Times New Roman" w:cstheme="minorHAnsi"/>
                <w:color w:val="000000"/>
                <w:sz w:val="22"/>
                <w:shd w:val="clear" w:color="auto" w:fill="FFFFFF"/>
                <w:lang w:eastAsia="en-AU"/>
              </w:rPr>
              <w:t xml:space="preserve">If the project was confirmed to be required within the </w:t>
            </w:r>
            <w:r w:rsidR="00E322F1">
              <w:rPr>
                <w:rFonts w:eastAsia="Times New Roman" w:cstheme="minorHAnsi"/>
                <w:color w:val="000000"/>
                <w:sz w:val="22"/>
                <w:shd w:val="clear" w:color="auto" w:fill="FFFFFF"/>
                <w:lang w:eastAsia="en-AU"/>
              </w:rPr>
              <w:t>p</w:t>
            </w:r>
            <w:r w:rsidRPr="00C85E81">
              <w:rPr>
                <w:rFonts w:eastAsia="Times New Roman" w:cstheme="minorHAnsi"/>
                <w:color w:val="000000"/>
                <w:sz w:val="22"/>
                <w:shd w:val="clear" w:color="auto" w:fill="FFFFFF"/>
                <w:lang w:eastAsia="en-AU"/>
              </w:rPr>
              <w:t xml:space="preserve">rice </w:t>
            </w:r>
            <w:r w:rsidR="00E322F1">
              <w:rPr>
                <w:rFonts w:eastAsia="Times New Roman" w:cstheme="minorHAnsi"/>
                <w:color w:val="000000"/>
                <w:sz w:val="22"/>
                <w:shd w:val="clear" w:color="auto" w:fill="FFFFFF"/>
                <w:lang w:eastAsia="en-AU"/>
              </w:rPr>
              <w:t>s</w:t>
            </w:r>
            <w:r w:rsidRPr="00C85E81">
              <w:rPr>
                <w:rFonts w:eastAsia="Times New Roman" w:cstheme="minorHAnsi"/>
                <w:color w:val="000000"/>
                <w:sz w:val="22"/>
                <w:shd w:val="clear" w:color="auto" w:fill="FFFFFF"/>
                <w:lang w:eastAsia="en-AU"/>
              </w:rPr>
              <w:t>ubmission, cost recovery would either start in the following regulatory period or be achieved from cost efficiencies from within the Sewer Growth program</w:t>
            </w:r>
          </w:p>
        </w:tc>
      </w:tr>
      <w:tr w:rsidR="005029CB" w:rsidRPr="00601368" w14:paraId="5B8C61F4" w14:textId="77777777" w:rsidTr="00360131">
        <w:tc>
          <w:tcPr>
            <w:tcW w:w="9246" w:type="dxa"/>
            <w:tcBorders>
              <w:top w:val="single" w:sz="2" w:space="0" w:color="002279"/>
              <w:bottom w:val="single" w:sz="2" w:space="0" w:color="002279"/>
            </w:tcBorders>
          </w:tcPr>
          <w:p w14:paraId="2AC4D0D6" w14:textId="77777777" w:rsidR="005029CB" w:rsidRPr="00C85E81" w:rsidRDefault="005029CB" w:rsidP="000C0D03">
            <w:pPr>
              <w:rPr>
                <w:rFonts w:cstheme="minorHAnsi"/>
                <w:sz w:val="22"/>
              </w:rPr>
            </w:pPr>
            <w:r w:rsidRPr="00C85E81">
              <w:rPr>
                <w:rFonts w:cstheme="minorHAnsi"/>
                <w:b/>
                <w:sz w:val="22"/>
              </w:rPr>
              <w:t>Customer outcome:</w:t>
            </w:r>
            <w:r w:rsidRPr="00C85E81">
              <w:rPr>
                <w:rFonts w:cstheme="minorHAnsi"/>
                <w:sz w:val="22"/>
              </w:rPr>
              <w:t xml:space="preserve"> </w:t>
            </w:r>
            <w:r w:rsidRPr="00C85E81">
              <w:rPr>
                <w:rFonts w:cstheme="minorHAnsi"/>
                <w:i/>
                <w:sz w:val="22"/>
              </w:rPr>
              <w:t xml:space="preserve">Get the basics right, always </w:t>
            </w:r>
          </w:p>
        </w:tc>
      </w:tr>
      <w:tr w:rsidR="005029CB" w:rsidRPr="00601368" w14:paraId="39781F42" w14:textId="77777777" w:rsidTr="00360131">
        <w:tc>
          <w:tcPr>
            <w:tcW w:w="9246" w:type="dxa"/>
            <w:tcBorders>
              <w:top w:val="single" w:sz="2" w:space="0" w:color="002279"/>
              <w:bottom w:val="single" w:sz="2" w:space="0" w:color="002279"/>
            </w:tcBorders>
            <w:vAlign w:val="center"/>
          </w:tcPr>
          <w:p w14:paraId="0D0420BC" w14:textId="77777777" w:rsidR="00940595" w:rsidRPr="00C85E81" w:rsidRDefault="005029CB" w:rsidP="00940595">
            <w:pPr>
              <w:spacing w:after="0"/>
              <w:textAlignment w:val="baseline"/>
              <w:rPr>
                <w:rFonts w:eastAsia="Times New Roman" w:cstheme="minorHAnsi"/>
                <w:sz w:val="22"/>
                <w:lang w:eastAsia="en-AU"/>
              </w:rPr>
            </w:pPr>
            <w:r w:rsidRPr="00C85E81">
              <w:rPr>
                <w:rFonts w:eastAsia="Times New Roman" w:cstheme="minorHAnsi"/>
                <w:b/>
                <w:bCs/>
                <w:sz w:val="22"/>
                <w:lang w:eastAsia="en-AU"/>
              </w:rPr>
              <w:t>Objective:</w:t>
            </w:r>
            <w:r w:rsidRPr="00C85E81">
              <w:rPr>
                <w:rFonts w:eastAsia="Times New Roman" w:cstheme="minorHAnsi"/>
                <w:sz w:val="22"/>
                <w:lang w:eastAsia="en-AU"/>
              </w:rPr>
              <w:t xml:space="preserve"> </w:t>
            </w:r>
            <w:r w:rsidR="00940595" w:rsidRPr="00C85E81">
              <w:rPr>
                <w:rFonts w:eastAsia="Times New Roman" w:cstheme="minorHAnsi"/>
                <w:color w:val="000000"/>
                <w:sz w:val="22"/>
                <w:shd w:val="clear" w:color="auto" w:fill="FFFFFF"/>
                <w:lang w:eastAsia="en-AU"/>
              </w:rPr>
              <w:t>To improve the sewer network capacity of the Elster Creek catchment to cater for the expected &gt;50% increase in residential households to 2051.</w:t>
            </w:r>
            <w:r w:rsidR="00940595" w:rsidRPr="00C85E81">
              <w:rPr>
                <w:rFonts w:eastAsia="Times New Roman" w:cstheme="minorHAnsi"/>
                <w:color w:val="000000"/>
                <w:sz w:val="22"/>
                <w:lang w:eastAsia="en-AU"/>
              </w:rPr>
              <w:t> </w:t>
            </w:r>
          </w:p>
          <w:p w14:paraId="3396C108" w14:textId="7DB3C8B8" w:rsidR="005029CB" w:rsidRPr="00C85E81" w:rsidRDefault="00940595" w:rsidP="00940595">
            <w:pPr>
              <w:spacing w:line="259" w:lineRule="auto"/>
              <w:rPr>
                <w:rFonts w:eastAsia="Times New Roman" w:cstheme="minorHAnsi"/>
                <w:b/>
                <w:bCs/>
                <w:sz w:val="22"/>
                <w:lang w:eastAsia="en-AU"/>
              </w:rPr>
            </w:pPr>
            <w:r w:rsidRPr="00C85E81">
              <w:rPr>
                <w:rFonts w:eastAsia="Times New Roman" w:cstheme="minorHAnsi"/>
                <w:color w:val="000000"/>
                <w:sz w:val="22"/>
                <w:shd w:val="clear" w:color="auto" w:fill="FFFFFF"/>
                <w:lang w:eastAsia="en-AU"/>
              </w:rPr>
              <w:t>Prevent future wet weather spills. Ensure safe and reliable sewerage services.</w:t>
            </w:r>
            <w:r w:rsidR="00A1315F">
              <w:rPr>
                <w:rFonts w:eastAsia="Times New Roman" w:cstheme="minorHAnsi"/>
                <w:color w:val="000000"/>
                <w:sz w:val="22"/>
                <w:shd w:val="clear" w:color="auto" w:fill="FFFFFF"/>
                <w:lang w:eastAsia="en-AU"/>
              </w:rPr>
              <w:t xml:space="preserve"> </w:t>
            </w:r>
          </w:p>
        </w:tc>
      </w:tr>
      <w:tr w:rsidR="005029CB" w:rsidRPr="00601368" w14:paraId="3DFE6E25" w14:textId="77777777" w:rsidTr="00360131">
        <w:tc>
          <w:tcPr>
            <w:tcW w:w="9246" w:type="dxa"/>
            <w:tcBorders>
              <w:top w:val="single" w:sz="2" w:space="0" w:color="002279"/>
              <w:bottom w:val="single" w:sz="2" w:space="0" w:color="002279"/>
            </w:tcBorders>
          </w:tcPr>
          <w:p w14:paraId="5053E82A" w14:textId="77777777" w:rsidR="005029CB" w:rsidRPr="00C85E81" w:rsidRDefault="005029CB" w:rsidP="000C0D03">
            <w:pPr>
              <w:spacing w:line="259" w:lineRule="auto"/>
              <w:rPr>
                <w:rFonts w:cstheme="minorHAnsi"/>
                <w:b/>
                <w:sz w:val="22"/>
              </w:rPr>
            </w:pPr>
            <w:r w:rsidRPr="00C85E81">
              <w:rPr>
                <w:rFonts w:eastAsia="Times New Roman" w:cstheme="minorHAnsi"/>
                <w:b/>
                <w:bCs/>
                <w:sz w:val="22"/>
                <w:lang w:eastAsia="en-AU"/>
              </w:rPr>
              <w:t>Benefits:</w:t>
            </w:r>
            <w:r w:rsidRPr="00C85E81">
              <w:rPr>
                <w:rFonts w:eastAsia="Times New Roman" w:cstheme="minorHAnsi"/>
                <w:sz w:val="22"/>
                <w:lang w:eastAsia="en-AU"/>
              </w:rPr>
              <w:t xml:space="preserve"> Protect human health and the environment </w:t>
            </w:r>
          </w:p>
        </w:tc>
      </w:tr>
      <w:tr w:rsidR="005029CB" w:rsidRPr="00601368" w14:paraId="43A474F9" w14:textId="77777777" w:rsidTr="00360131">
        <w:tc>
          <w:tcPr>
            <w:tcW w:w="9246" w:type="dxa"/>
            <w:tcBorders>
              <w:top w:val="single" w:sz="2" w:space="0" w:color="002279"/>
              <w:bottom w:val="single" w:sz="2" w:space="0" w:color="002279"/>
            </w:tcBorders>
            <w:vAlign w:val="center"/>
          </w:tcPr>
          <w:p w14:paraId="64D467F1" w14:textId="05930C0D" w:rsidR="005029CB" w:rsidRPr="00C85E81" w:rsidRDefault="005029CB" w:rsidP="000C0D03">
            <w:pPr>
              <w:pStyle w:val="BodyText"/>
              <w:rPr>
                <w:rFonts w:eastAsia="Times New Roman" w:cstheme="minorHAnsi"/>
                <w:b/>
                <w:bCs/>
                <w:sz w:val="22"/>
                <w:lang w:eastAsia="en-AU"/>
              </w:rPr>
            </w:pPr>
            <w:r w:rsidRPr="00C85E81">
              <w:rPr>
                <w:rFonts w:eastAsia="Times New Roman" w:cstheme="minorHAnsi"/>
                <w:b/>
                <w:bCs/>
                <w:sz w:val="22"/>
                <w:lang w:eastAsia="en-AU"/>
              </w:rPr>
              <w:t>2018</w:t>
            </w:r>
            <w:r w:rsidR="00F33731">
              <w:rPr>
                <w:rFonts w:eastAsia="Times New Roman" w:cstheme="minorHAnsi"/>
                <w:b/>
                <w:bCs/>
                <w:sz w:val="22"/>
                <w:lang w:eastAsia="en-AU"/>
              </w:rPr>
              <w:t>–</w:t>
            </w:r>
            <w:r w:rsidRPr="00C85E81">
              <w:rPr>
                <w:rFonts w:eastAsia="Times New Roman" w:cstheme="minorHAnsi"/>
                <w:b/>
                <w:bCs/>
                <w:sz w:val="22"/>
                <w:lang w:eastAsia="en-AU"/>
              </w:rPr>
              <w:t xml:space="preserve">2023 estimate $ submitted to ESC: </w:t>
            </w:r>
            <w:r w:rsidR="00F4391F" w:rsidRPr="00C85E81">
              <w:rPr>
                <w:rFonts w:eastAsia="Times New Roman" w:cstheme="minorHAnsi"/>
                <w:sz w:val="22"/>
                <w:lang w:eastAsia="en-AU"/>
              </w:rPr>
              <w:t>$0 recovery of the $33.2</w:t>
            </w:r>
            <w:r w:rsidR="009F21F0">
              <w:rPr>
                <w:rFonts w:eastAsia="Times New Roman" w:cstheme="minorHAnsi"/>
                <w:sz w:val="22"/>
                <w:lang w:eastAsia="en-AU"/>
              </w:rPr>
              <w:t>m</w:t>
            </w:r>
            <w:r w:rsidR="00F4391F" w:rsidRPr="00C85E81">
              <w:rPr>
                <w:rFonts w:eastAsia="Times New Roman" w:cstheme="minorHAnsi"/>
                <w:sz w:val="22"/>
                <w:lang w:eastAsia="en-AU"/>
              </w:rPr>
              <w:t xml:space="preserve"> estimate</w:t>
            </w:r>
            <w:r w:rsidR="00A1315F">
              <w:rPr>
                <w:rFonts w:eastAsia="Times New Roman" w:cstheme="minorHAnsi"/>
                <w:sz w:val="22"/>
                <w:lang w:eastAsia="en-AU"/>
              </w:rPr>
              <w:t xml:space="preserve"> </w:t>
            </w:r>
          </w:p>
        </w:tc>
      </w:tr>
      <w:tr w:rsidR="005029CB" w:rsidRPr="00601368" w14:paraId="7F5C3645" w14:textId="77777777" w:rsidTr="00360131">
        <w:tc>
          <w:tcPr>
            <w:tcW w:w="9246" w:type="dxa"/>
            <w:tcBorders>
              <w:top w:val="single" w:sz="2" w:space="0" w:color="002279"/>
              <w:bottom w:val="single" w:sz="2" w:space="0" w:color="002279"/>
            </w:tcBorders>
            <w:vAlign w:val="center"/>
          </w:tcPr>
          <w:p w14:paraId="172847EE" w14:textId="75420A36" w:rsidR="005029CB" w:rsidRPr="00C85E81" w:rsidRDefault="005029CB" w:rsidP="000C0D03">
            <w:pPr>
              <w:spacing w:after="0"/>
              <w:textAlignment w:val="baseline"/>
              <w:rPr>
                <w:rFonts w:eastAsia="Times New Roman" w:cstheme="minorHAnsi"/>
                <w:b/>
                <w:bCs/>
                <w:sz w:val="22"/>
                <w:lang w:eastAsia="en-AU"/>
              </w:rPr>
            </w:pPr>
            <w:r w:rsidRPr="00C85E81">
              <w:rPr>
                <w:rFonts w:eastAsia="Times New Roman" w:cstheme="minorHAnsi"/>
                <w:b/>
                <w:bCs/>
                <w:sz w:val="22"/>
                <w:lang w:eastAsia="en-AU"/>
              </w:rPr>
              <w:t xml:space="preserve">What estimate was based on: </w:t>
            </w:r>
            <w:r w:rsidR="00FB1116" w:rsidRPr="00C85E81">
              <w:rPr>
                <w:rFonts w:eastAsia="Times New Roman" w:cstheme="minorHAnsi"/>
                <w:color w:val="000000"/>
                <w:sz w:val="22"/>
                <w:shd w:val="clear" w:color="auto" w:fill="FFFFFF"/>
                <w:lang w:eastAsia="en-AU"/>
              </w:rPr>
              <w:t>The original estimate was based on a concept design in real dollars as of 1 January 2018 and was expected to be incurred wholly within the Price Submission 2018</w:t>
            </w:r>
            <w:r w:rsidR="00F33731">
              <w:rPr>
                <w:rFonts w:eastAsia="Times New Roman" w:cstheme="minorHAnsi"/>
                <w:color w:val="000000"/>
                <w:sz w:val="22"/>
                <w:shd w:val="clear" w:color="auto" w:fill="FFFFFF"/>
                <w:lang w:eastAsia="en-AU"/>
              </w:rPr>
              <w:t>–</w:t>
            </w:r>
            <w:r w:rsidR="00FB1116" w:rsidRPr="00C85E81">
              <w:rPr>
                <w:rFonts w:eastAsia="Times New Roman" w:cstheme="minorHAnsi"/>
                <w:color w:val="000000"/>
                <w:sz w:val="22"/>
                <w:shd w:val="clear" w:color="auto" w:fill="FFFFFF"/>
                <w:lang w:eastAsia="en-AU"/>
              </w:rPr>
              <w:t>23 period prior to South East Water</w:t>
            </w:r>
            <w:r w:rsidR="00612583">
              <w:rPr>
                <w:rFonts w:eastAsia="Times New Roman" w:cstheme="minorHAnsi"/>
                <w:color w:val="000000"/>
                <w:sz w:val="22"/>
                <w:shd w:val="clear" w:color="auto" w:fill="FFFFFF"/>
                <w:lang w:eastAsia="en-AU"/>
              </w:rPr>
              <w:t>’</w:t>
            </w:r>
            <w:r w:rsidR="00FB1116" w:rsidRPr="00C85E81">
              <w:rPr>
                <w:rFonts w:eastAsia="Times New Roman" w:cstheme="minorHAnsi"/>
                <w:color w:val="000000"/>
                <w:sz w:val="22"/>
                <w:shd w:val="clear" w:color="auto" w:fill="FFFFFF"/>
                <w:lang w:eastAsia="en-AU"/>
              </w:rPr>
              <w:t>s decision not to seek cost recovery.</w:t>
            </w:r>
            <w:r w:rsidR="00FB1116" w:rsidRPr="00C85E81">
              <w:rPr>
                <w:rFonts w:eastAsia="Times New Roman" w:cstheme="minorHAnsi"/>
                <w:color w:val="000000"/>
                <w:sz w:val="22"/>
                <w:lang w:eastAsia="en-AU"/>
              </w:rPr>
              <w:t> </w:t>
            </w:r>
          </w:p>
        </w:tc>
      </w:tr>
      <w:tr w:rsidR="005029CB" w:rsidRPr="00601368" w14:paraId="476F81D9" w14:textId="77777777" w:rsidTr="00360131">
        <w:tc>
          <w:tcPr>
            <w:tcW w:w="9246" w:type="dxa"/>
            <w:tcBorders>
              <w:top w:val="single" w:sz="2" w:space="0" w:color="002279"/>
              <w:bottom w:val="single" w:sz="2" w:space="0" w:color="002279"/>
            </w:tcBorders>
            <w:vAlign w:val="center"/>
          </w:tcPr>
          <w:p w14:paraId="0F9AF9D8" w14:textId="1A29B8EB" w:rsidR="005029CB" w:rsidRPr="00C85E81" w:rsidRDefault="005029CB" w:rsidP="000C0D03">
            <w:pPr>
              <w:pStyle w:val="BodyText"/>
              <w:rPr>
                <w:rFonts w:eastAsia="Times New Roman" w:cstheme="minorHAnsi"/>
                <w:b/>
                <w:bCs/>
                <w:sz w:val="22"/>
                <w:lang w:eastAsia="en-AU"/>
              </w:rPr>
            </w:pPr>
            <w:r w:rsidRPr="00C85E81">
              <w:rPr>
                <w:rFonts w:eastAsia="Times New Roman" w:cstheme="minorHAnsi"/>
                <w:b/>
                <w:bCs/>
                <w:sz w:val="22"/>
                <w:lang w:eastAsia="en-AU"/>
              </w:rPr>
              <w:t xml:space="preserve">Estimate confidence: </w:t>
            </w:r>
            <w:r w:rsidRPr="00C85E81">
              <w:rPr>
                <w:rFonts w:eastAsia="Times New Roman" w:cstheme="minorHAnsi"/>
                <w:sz w:val="22"/>
                <w:lang w:eastAsia="en-AU"/>
              </w:rPr>
              <w:t>P50 </w:t>
            </w:r>
          </w:p>
        </w:tc>
      </w:tr>
      <w:tr w:rsidR="005029CB" w:rsidRPr="00601368" w14:paraId="60E00A51" w14:textId="77777777" w:rsidTr="00360131">
        <w:tc>
          <w:tcPr>
            <w:tcW w:w="9246" w:type="dxa"/>
            <w:tcBorders>
              <w:top w:val="single" w:sz="2" w:space="0" w:color="002279"/>
              <w:bottom w:val="single" w:sz="2" w:space="0" w:color="002279"/>
            </w:tcBorders>
          </w:tcPr>
          <w:p w14:paraId="1BD54C62" w14:textId="018EC25E" w:rsidR="005029CB" w:rsidRPr="00C85E81" w:rsidRDefault="005029CB" w:rsidP="000C0D03">
            <w:pPr>
              <w:pStyle w:val="BodyText"/>
              <w:rPr>
                <w:rFonts w:eastAsia="Times New Roman" w:cstheme="minorHAnsi"/>
                <w:b/>
                <w:bCs/>
                <w:sz w:val="22"/>
                <w:lang w:eastAsia="en-AU"/>
              </w:rPr>
            </w:pPr>
            <w:r w:rsidRPr="00C85E81">
              <w:rPr>
                <w:rFonts w:eastAsia="Times New Roman" w:cstheme="minorHAnsi"/>
                <w:b/>
                <w:bCs/>
                <w:sz w:val="22"/>
                <w:lang w:eastAsia="en-AU"/>
              </w:rPr>
              <w:t>2018</w:t>
            </w:r>
            <w:r w:rsidR="00F33731">
              <w:rPr>
                <w:rFonts w:eastAsia="Times New Roman" w:cstheme="minorHAnsi"/>
                <w:b/>
                <w:bCs/>
                <w:sz w:val="22"/>
                <w:lang w:eastAsia="en-AU"/>
              </w:rPr>
              <w:t>–</w:t>
            </w:r>
            <w:r w:rsidRPr="00C85E81">
              <w:rPr>
                <w:rFonts w:eastAsia="Times New Roman" w:cstheme="minorHAnsi"/>
                <w:b/>
                <w:bCs/>
                <w:sz w:val="22"/>
                <w:lang w:eastAsia="en-AU"/>
              </w:rPr>
              <w:t xml:space="preserve">2023 ESC determination $: </w:t>
            </w:r>
            <w:r w:rsidRPr="00C85E81">
              <w:rPr>
                <w:rFonts w:eastAsia="Times New Roman" w:cstheme="minorHAnsi"/>
                <w:sz w:val="22"/>
                <w:lang w:eastAsia="en-AU"/>
              </w:rPr>
              <w:t>$0</w:t>
            </w:r>
          </w:p>
        </w:tc>
      </w:tr>
      <w:tr w:rsidR="005029CB" w:rsidRPr="00601368" w14:paraId="1633A32E" w14:textId="77777777" w:rsidTr="00360131">
        <w:tc>
          <w:tcPr>
            <w:tcW w:w="9246" w:type="dxa"/>
            <w:tcBorders>
              <w:top w:val="single" w:sz="2" w:space="0" w:color="002279"/>
              <w:bottom w:val="single" w:sz="2" w:space="0" w:color="002279"/>
            </w:tcBorders>
            <w:vAlign w:val="center"/>
          </w:tcPr>
          <w:p w14:paraId="0DF8A08B" w14:textId="457B192C" w:rsidR="005029CB" w:rsidRPr="00C85E81" w:rsidRDefault="005029CB" w:rsidP="000C0D03">
            <w:pPr>
              <w:pStyle w:val="BodyText"/>
              <w:rPr>
                <w:rFonts w:eastAsia="Times New Roman" w:cstheme="minorHAnsi"/>
                <w:b/>
                <w:bCs/>
                <w:sz w:val="22"/>
                <w:lang w:eastAsia="en-AU"/>
              </w:rPr>
            </w:pPr>
            <w:r w:rsidRPr="00C85E81">
              <w:rPr>
                <w:rFonts w:eastAsia="Times New Roman" w:cstheme="minorHAnsi"/>
                <w:b/>
                <w:bCs/>
                <w:sz w:val="22"/>
                <w:lang w:eastAsia="en-AU"/>
              </w:rPr>
              <w:t xml:space="preserve">Business case $: </w:t>
            </w:r>
            <w:r w:rsidR="00710512" w:rsidRPr="00C85E81">
              <w:rPr>
                <w:rFonts w:eastAsia="Times New Roman" w:cstheme="minorHAnsi"/>
                <w:sz w:val="22"/>
                <w:lang w:eastAsia="en-AU"/>
              </w:rPr>
              <w:t>$14.1</w:t>
            </w:r>
            <w:r w:rsidR="009F21F0">
              <w:rPr>
                <w:rFonts w:eastAsia="Times New Roman" w:cstheme="minorHAnsi"/>
                <w:sz w:val="22"/>
                <w:lang w:eastAsia="en-AU"/>
              </w:rPr>
              <w:t>m</w:t>
            </w:r>
            <w:r w:rsidR="00710512" w:rsidRPr="00C85E81">
              <w:rPr>
                <w:rFonts w:eastAsia="Times New Roman" w:cstheme="minorHAnsi"/>
                <w:sz w:val="22"/>
                <w:lang w:eastAsia="en-AU"/>
              </w:rPr>
              <w:t xml:space="preserve"> </w:t>
            </w:r>
            <w:r w:rsidR="00F33731">
              <w:rPr>
                <w:rFonts w:eastAsia="Times New Roman" w:cstheme="minorHAnsi"/>
                <w:sz w:val="22"/>
                <w:lang w:eastAsia="en-AU"/>
              </w:rPr>
              <w:t>–</w:t>
            </w:r>
            <w:r w:rsidR="00710512" w:rsidRPr="00C85E81">
              <w:rPr>
                <w:rFonts w:eastAsia="Times New Roman" w:cstheme="minorHAnsi"/>
                <w:sz w:val="22"/>
                <w:lang w:eastAsia="en-AU"/>
              </w:rPr>
              <w:t xml:space="preserve"> P95 </w:t>
            </w:r>
            <w:r w:rsidR="00E42753">
              <w:rPr>
                <w:rFonts w:eastAsia="Times New Roman" w:cstheme="minorHAnsi"/>
                <w:sz w:val="22"/>
                <w:lang w:eastAsia="en-AU"/>
              </w:rPr>
              <w:t>board</w:t>
            </w:r>
            <w:r w:rsidR="00710512" w:rsidRPr="00C85E81">
              <w:rPr>
                <w:rFonts w:eastAsia="Times New Roman" w:cstheme="minorHAnsi"/>
                <w:sz w:val="22"/>
                <w:lang w:eastAsia="en-AU"/>
              </w:rPr>
              <w:t xml:space="preserve"> Approval, July 2021 </w:t>
            </w:r>
          </w:p>
        </w:tc>
      </w:tr>
      <w:tr w:rsidR="005029CB" w:rsidRPr="00601368" w14:paraId="0592CB61" w14:textId="77777777" w:rsidTr="00360131">
        <w:tc>
          <w:tcPr>
            <w:tcW w:w="9246" w:type="dxa"/>
            <w:tcBorders>
              <w:top w:val="single" w:sz="2" w:space="0" w:color="002279"/>
              <w:bottom w:val="single" w:sz="2" w:space="0" w:color="002279"/>
            </w:tcBorders>
            <w:vAlign w:val="center"/>
          </w:tcPr>
          <w:p w14:paraId="5607D568" w14:textId="69F02064" w:rsidR="005029CB" w:rsidRPr="00C85E81" w:rsidRDefault="005029CB" w:rsidP="000C0D03">
            <w:pPr>
              <w:pStyle w:val="BodyText"/>
              <w:rPr>
                <w:rFonts w:eastAsia="Times New Roman" w:cstheme="minorHAnsi"/>
                <w:b/>
                <w:bCs/>
                <w:sz w:val="22"/>
                <w:lang w:eastAsia="en-AU"/>
              </w:rPr>
            </w:pPr>
            <w:r w:rsidRPr="00C85E81">
              <w:rPr>
                <w:rFonts w:eastAsia="Times New Roman" w:cstheme="minorHAnsi"/>
                <w:b/>
                <w:bCs/>
                <w:sz w:val="22"/>
                <w:lang w:eastAsia="en-AU"/>
              </w:rPr>
              <w:t>Reason for change</w:t>
            </w:r>
            <w:r w:rsidR="00E27178">
              <w:rPr>
                <w:rFonts w:eastAsia="Times New Roman" w:cstheme="minorHAnsi"/>
                <w:b/>
                <w:bCs/>
                <w:sz w:val="22"/>
                <w:lang w:eastAsia="en-AU"/>
              </w:rPr>
              <w:t>/</w:t>
            </w:r>
            <w:r w:rsidRPr="00C85E81">
              <w:rPr>
                <w:rFonts w:eastAsia="Times New Roman" w:cstheme="minorHAnsi"/>
                <w:b/>
                <w:bCs/>
                <w:sz w:val="22"/>
                <w:lang w:eastAsia="en-AU"/>
              </w:rPr>
              <w:t>difference between 2018</w:t>
            </w:r>
            <w:r w:rsidR="00FE7457">
              <w:rPr>
                <w:rFonts w:eastAsia="Times New Roman" w:cstheme="minorHAnsi"/>
                <w:b/>
                <w:bCs/>
                <w:sz w:val="22"/>
                <w:lang w:eastAsia="en-AU"/>
              </w:rPr>
              <w:t xml:space="preserve"> and </w:t>
            </w:r>
            <w:r w:rsidRPr="00C85E81">
              <w:rPr>
                <w:rFonts w:eastAsia="Times New Roman" w:cstheme="minorHAnsi"/>
                <w:b/>
                <w:bCs/>
                <w:sz w:val="22"/>
                <w:lang w:eastAsia="en-AU"/>
              </w:rPr>
              <w:t xml:space="preserve">2023 ESC determination $ and business case $: </w:t>
            </w:r>
            <w:r w:rsidR="00282201" w:rsidRPr="00C85E81">
              <w:rPr>
                <w:rFonts w:eastAsia="Times New Roman" w:cstheme="minorHAnsi"/>
                <w:sz w:val="22"/>
                <w:lang w:eastAsia="en-AU"/>
              </w:rPr>
              <w:t>Revised scope and servicing strategy developed as detailed in the Project Update to ESC section below.</w:t>
            </w:r>
            <w:r w:rsidR="00A1315F">
              <w:rPr>
                <w:rFonts w:eastAsia="Times New Roman" w:cstheme="minorHAnsi"/>
                <w:sz w:val="22"/>
                <w:lang w:eastAsia="en-AU"/>
              </w:rPr>
              <w:t xml:space="preserve"> </w:t>
            </w:r>
          </w:p>
        </w:tc>
      </w:tr>
      <w:tr w:rsidR="005029CB" w:rsidRPr="00601368" w14:paraId="347FC85E" w14:textId="77777777" w:rsidTr="00360131">
        <w:trPr>
          <w:trHeight w:val="436"/>
        </w:trPr>
        <w:tc>
          <w:tcPr>
            <w:tcW w:w="9246" w:type="dxa"/>
            <w:tcBorders>
              <w:top w:val="single" w:sz="2" w:space="0" w:color="002279"/>
              <w:bottom w:val="single" w:sz="2" w:space="0" w:color="002279"/>
            </w:tcBorders>
            <w:vAlign w:val="center"/>
          </w:tcPr>
          <w:p w14:paraId="6B90FE7C" w14:textId="6F2DB279" w:rsidR="005029CB" w:rsidRPr="00C85E81" w:rsidRDefault="005029CB" w:rsidP="000C0D03">
            <w:pPr>
              <w:spacing w:after="0"/>
              <w:textAlignment w:val="baseline"/>
              <w:rPr>
                <w:rFonts w:eastAsia="Times New Roman" w:cstheme="minorHAnsi"/>
                <w:b/>
                <w:bCs/>
                <w:sz w:val="22"/>
                <w:lang w:eastAsia="en-AU"/>
              </w:rPr>
            </w:pPr>
            <w:r w:rsidRPr="00C85E81">
              <w:rPr>
                <w:rFonts w:eastAsia="Times New Roman" w:cstheme="minorHAnsi"/>
                <w:b/>
                <w:bCs/>
                <w:sz w:val="22"/>
                <w:lang w:eastAsia="en-AU"/>
              </w:rPr>
              <w:t>Actuals</w:t>
            </w:r>
            <w:r w:rsidR="00E27178">
              <w:rPr>
                <w:rFonts w:eastAsia="Times New Roman" w:cstheme="minorHAnsi"/>
                <w:b/>
                <w:bCs/>
                <w:sz w:val="22"/>
                <w:lang w:eastAsia="en-AU"/>
              </w:rPr>
              <w:t>/</w:t>
            </w:r>
            <w:r w:rsidRPr="00C85E81">
              <w:rPr>
                <w:rFonts w:eastAsia="Times New Roman" w:cstheme="minorHAnsi"/>
                <w:b/>
                <w:bCs/>
                <w:sz w:val="22"/>
                <w:lang w:eastAsia="en-AU"/>
              </w:rPr>
              <w:t xml:space="preserve">Forecast $ (30 June 2023): </w:t>
            </w:r>
            <w:r w:rsidR="00B81AD9" w:rsidRPr="00C85E81">
              <w:rPr>
                <w:rFonts w:eastAsia="Times New Roman" w:cstheme="minorHAnsi"/>
                <w:sz w:val="22"/>
                <w:lang w:eastAsia="en-AU"/>
              </w:rPr>
              <w:t>$9.8</w:t>
            </w:r>
            <w:r w:rsidR="009F21F0">
              <w:rPr>
                <w:rFonts w:eastAsia="Times New Roman" w:cstheme="minorHAnsi"/>
                <w:sz w:val="22"/>
                <w:lang w:eastAsia="en-AU"/>
              </w:rPr>
              <w:t>m</w:t>
            </w:r>
            <w:r w:rsidR="00B81AD9" w:rsidRPr="00C85E81">
              <w:rPr>
                <w:rFonts w:eastAsia="Times New Roman" w:cstheme="minorHAnsi"/>
                <w:sz w:val="22"/>
                <w:lang w:eastAsia="en-AU"/>
              </w:rPr>
              <w:t> </w:t>
            </w:r>
          </w:p>
        </w:tc>
      </w:tr>
      <w:tr w:rsidR="005029CB" w:rsidRPr="00601368" w14:paraId="3A88958C" w14:textId="77777777" w:rsidTr="00360131">
        <w:tc>
          <w:tcPr>
            <w:tcW w:w="9246" w:type="dxa"/>
            <w:tcBorders>
              <w:top w:val="single" w:sz="2" w:space="0" w:color="002279"/>
              <w:bottom w:val="single" w:sz="2" w:space="0" w:color="002279"/>
            </w:tcBorders>
          </w:tcPr>
          <w:p w14:paraId="25369897" w14:textId="625A8040" w:rsidR="005029CB" w:rsidRPr="00C85E81" w:rsidRDefault="005029CB" w:rsidP="000C0D03">
            <w:pPr>
              <w:pStyle w:val="BodyText"/>
              <w:rPr>
                <w:rFonts w:eastAsia="Times New Roman" w:cstheme="minorHAnsi"/>
                <w:b/>
                <w:bCs/>
                <w:sz w:val="22"/>
                <w:lang w:eastAsia="en-AU"/>
              </w:rPr>
            </w:pPr>
            <w:r w:rsidRPr="00C85E81">
              <w:rPr>
                <w:rFonts w:eastAsia="Times New Roman" w:cstheme="minorHAnsi"/>
                <w:b/>
                <w:bCs/>
                <w:sz w:val="22"/>
                <w:lang w:eastAsia="en-AU"/>
              </w:rPr>
              <w:t>Reason for change</w:t>
            </w:r>
            <w:r w:rsidR="00E27178">
              <w:rPr>
                <w:rFonts w:eastAsia="Times New Roman" w:cstheme="minorHAnsi"/>
                <w:b/>
                <w:bCs/>
                <w:sz w:val="22"/>
                <w:lang w:eastAsia="en-AU"/>
              </w:rPr>
              <w:t>/</w:t>
            </w:r>
            <w:r w:rsidRPr="00C85E81">
              <w:rPr>
                <w:rFonts w:eastAsia="Times New Roman" w:cstheme="minorHAnsi"/>
                <w:b/>
                <w:bCs/>
                <w:sz w:val="22"/>
                <w:lang w:eastAsia="en-AU"/>
              </w:rPr>
              <w:t>difference between business case $ and Actuals</w:t>
            </w:r>
            <w:r w:rsidR="00E27178">
              <w:rPr>
                <w:rFonts w:eastAsia="Times New Roman" w:cstheme="minorHAnsi"/>
                <w:b/>
                <w:bCs/>
                <w:sz w:val="22"/>
                <w:lang w:eastAsia="en-AU"/>
              </w:rPr>
              <w:t>/</w:t>
            </w:r>
            <w:r w:rsidRPr="00C85E81">
              <w:rPr>
                <w:rFonts w:eastAsia="Times New Roman" w:cstheme="minorHAnsi"/>
                <w:b/>
                <w:bCs/>
                <w:sz w:val="22"/>
                <w:lang w:eastAsia="en-AU"/>
              </w:rPr>
              <w:t xml:space="preserve">Forecast $ (30 June 2023): </w:t>
            </w:r>
            <w:r w:rsidR="00EC1077" w:rsidRPr="00C85E81">
              <w:rPr>
                <w:rFonts w:eastAsia="Times New Roman" w:cstheme="minorHAnsi"/>
                <w:sz w:val="22"/>
                <w:lang w:eastAsia="en-AU"/>
              </w:rPr>
              <w:t xml:space="preserve">Extensive investigation works completed within the Price Submission period </w:t>
            </w:r>
            <w:r w:rsidR="00EC1077" w:rsidRPr="00C85E81">
              <w:rPr>
                <w:rFonts w:eastAsia="Times New Roman" w:cstheme="minorHAnsi"/>
                <w:sz w:val="22"/>
                <w:lang w:eastAsia="en-AU"/>
              </w:rPr>
              <w:lastRenderedPageBreak/>
              <w:t>resolved that some works were required within the period to achieve the objective. The scope of works however was significantly optimised and reduced. As a zero-cost recovery was approved this project was funded through savings in the sewer growth program. Further details are provided in the project update below. The project is scheduled to be 90% complete at the completion of 2018</w:t>
            </w:r>
            <w:r w:rsidR="00F33731">
              <w:rPr>
                <w:rFonts w:eastAsia="Times New Roman" w:cstheme="minorHAnsi"/>
                <w:sz w:val="22"/>
                <w:lang w:eastAsia="en-AU"/>
              </w:rPr>
              <w:t>–</w:t>
            </w:r>
            <w:r w:rsidR="00EC1077" w:rsidRPr="00C85E81">
              <w:rPr>
                <w:rFonts w:eastAsia="Times New Roman" w:cstheme="minorHAnsi"/>
                <w:sz w:val="22"/>
                <w:lang w:eastAsia="en-AU"/>
              </w:rPr>
              <w:t>23.</w:t>
            </w:r>
            <w:r w:rsidR="00A1315F">
              <w:rPr>
                <w:rFonts w:eastAsia="Times New Roman" w:cstheme="minorHAnsi"/>
                <w:sz w:val="22"/>
                <w:lang w:eastAsia="en-AU"/>
              </w:rPr>
              <w:t xml:space="preserve"> </w:t>
            </w:r>
          </w:p>
        </w:tc>
      </w:tr>
      <w:tr w:rsidR="005029CB" w:rsidRPr="00601368" w14:paraId="72E55D29" w14:textId="77777777" w:rsidTr="00360131">
        <w:tc>
          <w:tcPr>
            <w:tcW w:w="9246" w:type="dxa"/>
            <w:tcBorders>
              <w:top w:val="single" w:sz="2" w:space="0" w:color="002279"/>
              <w:bottom w:val="single" w:sz="2" w:space="0" w:color="002279"/>
            </w:tcBorders>
          </w:tcPr>
          <w:p w14:paraId="24DDFAA5" w14:textId="511B8A8F" w:rsidR="005029CB" w:rsidRPr="00C85E81" w:rsidRDefault="005029CB" w:rsidP="000C0D03">
            <w:pPr>
              <w:pStyle w:val="BodyText"/>
              <w:rPr>
                <w:rFonts w:eastAsia="Times New Roman" w:cstheme="minorHAnsi"/>
                <w:b/>
                <w:bCs/>
                <w:sz w:val="22"/>
                <w:lang w:eastAsia="en-AU"/>
              </w:rPr>
            </w:pPr>
            <w:r w:rsidRPr="00C85E81">
              <w:rPr>
                <w:rFonts w:eastAsia="Times New Roman" w:cstheme="minorHAnsi"/>
                <w:b/>
                <w:bCs/>
                <w:sz w:val="22"/>
                <w:lang w:eastAsia="en-AU"/>
              </w:rPr>
              <w:lastRenderedPageBreak/>
              <w:t xml:space="preserve">Actuals </w:t>
            </w:r>
            <w:r w:rsidR="00F94FAB">
              <w:rPr>
                <w:rFonts w:eastAsia="Times New Roman" w:cstheme="minorHAnsi"/>
                <w:b/>
                <w:bCs/>
                <w:sz w:val="22"/>
                <w:lang w:eastAsia="en-AU"/>
              </w:rPr>
              <w:t xml:space="preserve">at </w:t>
            </w:r>
            <w:r w:rsidRPr="00C85E81">
              <w:rPr>
                <w:rFonts w:eastAsia="Times New Roman" w:cstheme="minorHAnsi"/>
                <w:b/>
                <w:bCs/>
                <w:sz w:val="22"/>
                <w:lang w:eastAsia="en-AU"/>
              </w:rPr>
              <w:t xml:space="preserve">2022/23 (Q1): </w:t>
            </w:r>
            <w:r w:rsidR="00BD386C" w:rsidRPr="00C85E81">
              <w:rPr>
                <w:rFonts w:eastAsia="Times New Roman" w:cstheme="minorHAnsi"/>
                <w:sz w:val="22"/>
                <w:lang w:eastAsia="en-AU"/>
              </w:rPr>
              <w:t>$1.4</w:t>
            </w:r>
            <w:r w:rsidR="009F21F0">
              <w:rPr>
                <w:rFonts w:eastAsia="Times New Roman" w:cstheme="minorHAnsi"/>
                <w:sz w:val="22"/>
                <w:lang w:eastAsia="en-AU"/>
              </w:rPr>
              <w:t>m</w:t>
            </w:r>
          </w:p>
        </w:tc>
      </w:tr>
      <w:tr w:rsidR="005029CB" w:rsidRPr="00601368" w14:paraId="36AC8D8E" w14:textId="77777777" w:rsidTr="00360131">
        <w:tc>
          <w:tcPr>
            <w:tcW w:w="9246" w:type="dxa"/>
            <w:tcBorders>
              <w:top w:val="single" w:sz="2" w:space="0" w:color="002279"/>
              <w:bottom w:val="single" w:sz="2" w:space="0" w:color="002279"/>
            </w:tcBorders>
          </w:tcPr>
          <w:p w14:paraId="6433EA33" w14:textId="0A369331" w:rsidR="005029CB" w:rsidRPr="00C85E81" w:rsidRDefault="005029CB" w:rsidP="000C0D03">
            <w:pPr>
              <w:pStyle w:val="BodyText"/>
              <w:rPr>
                <w:rFonts w:eastAsia="Times New Roman" w:cstheme="minorHAnsi"/>
                <w:b/>
                <w:bCs/>
                <w:sz w:val="22"/>
                <w:lang w:eastAsia="en-AU"/>
              </w:rPr>
            </w:pPr>
            <w:r w:rsidRPr="00C85E81">
              <w:rPr>
                <w:rFonts w:eastAsia="Times New Roman" w:cstheme="minorHAnsi"/>
                <w:b/>
                <w:bCs/>
                <w:sz w:val="22"/>
                <w:lang w:eastAsia="en-AU"/>
              </w:rPr>
              <w:t>Project spend end date:</w:t>
            </w:r>
            <w:r w:rsidRPr="00C85E81">
              <w:rPr>
                <w:rFonts w:eastAsia="Times New Roman" w:cstheme="minorHAnsi"/>
                <w:sz w:val="22"/>
                <w:lang w:eastAsia="en-AU"/>
              </w:rPr>
              <w:t xml:space="preserve"> </w:t>
            </w:r>
            <w:r w:rsidR="005716F1" w:rsidRPr="00C85E81">
              <w:rPr>
                <w:rFonts w:eastAsia="Times New Roman" w:cstheme="minorHAnsi"/>
                <w:sz w:val="22"/>
                <w:lang w:eastAsia="en-AU"/>
              </w:rPr>
              <w:t xml:space="preserve">2023/2024 (Q1) </w:t>
            </w:r>
            <w:r w:rsidR="00F33731">
              <w:rPr>
                <w:rFonts w:eastAsia="Times New Roman" w:cstheme="minorHAnsi"/>
                <w:sz w:val="22"/>
                <w:lang w:eastAsia="en-AU"/>
              </w:rPr>
              <w:t>–</w:t>
            </w:r>
            <w:r w:rsidR="005716F1" w:rsidRPr="00C85E81">
              <w:rPr>
                <w:rFonts w:eastAsia="Times New Roman" w:cstheme="minorHAnsi"/>
                <w:sz w:val="22"/>
                <w:lang w:eastAsia="en-AU"/>
              </w:rPr>
              <w:t xml:space="preserve"> $10.95</w:t>
            </w:r>
            <w:r w:rsidR="009F21F0">
              <w:rPr>
                <w:rFonts w:eastAsia="Times New Roman" w:cstheme="minorHAnsi"/>
                <w:sz w:val="22"/>
                <w:lang w:eastAsia="en-AU"/>
              </w:rPr>
              <w:t>m</w:t>
            </w:r>
            <w:r w:rsidR="005716F1" w:rsidRPr="00C85E81">
              <w:rPr>
                <w:rFonts w:eastAsia="Times New Roman" w:cstheme="minorHAnsi"/>
                <w:sz w:val="22"/>
                <w:lang w:eastAsia="en-AU"/>
              </w:rPr>
              <w:t xml:space="preserve"> forecast final cost (33% below approved BC) </w:t>
            </w:r>
          </w:p>
        </w:tc>
      </w:tr>
      <w:tr w:rsidR="005029CB" w:rsidRPr="00601368" w14:paraId="0A958970" w14:textId="77777777" w:rsidTr="00360131">
        <w:tc>
          <w:tcPr>
            <w:tcW w:w="9246" w:type="dxa"/>
            <w:tcBorders>
              <w:top w:val="single" w:sz="2" w:space="0" w:color="002279"/>
              <w:bottom w:val="single" w:sz="2" w:space="0" w:color="002279"/>
            </w:tcBorders>
          </w:tcPr>
          <w:p w14:paraId="14BF5110" w14:textId="6AB973EC" w:rsidR="005029CB" w:rsidRPr="00C85E81" w:rsidRDefault="005029CB" w:rsidP="000C0D03">
            <w:pPr>
              <w:pStyle w:val="BodyText"/>
              <w:rPr>
                <w:rFonts w:eastAsia="Times New Roman" w:cstheme="minorHAnsi"/>
                <w:b/>
                <w:bCs/>
                <w:sz w:val="22"/>
                <w:lang w:eastAsia="en-AU"/>
              </w:rPr>
            </w:pPr>
            <w:r w:rsidRPr="00C85E81">
              <w:rPr>
                <w:rFonts w:eastAsia="Times New Roman" w:cstheme="minorHAnsi"/>
                <w:b/>
                <w:bCs/>
                <w:sz w:val="22"/>
                <w:lang w:eastAsia="en-AU"/>
              </w:rPr>
              <w:t xml:space="preserve">Project status: </w:t>
            </w:r>
            <w:r w:rsidRPr="00C85E81">
              <w:rPr>
                <w:rFonts w:cstheme="minorHAnsi"/>
                <w:sz w:val="22"/>
              </w:rPr>
              <w:t xml:space="preserve">Deferred, </w:t>
            </w:r>
            <w:r w:rsidR="00960122">
              <w:rPr>
                <w:rFonts w:cstheme="minorHAnsi"/>
                <w:sz w:val="22"/>
              </w:rPr>
              <w:t xml:space="preserve">that is, </w:t>
            </w:r>
            <w:r w:rsidRPr="00C85E81">
              <w:rPr>
                <w:rFonts w:cstheme="minorHAnsi"/>
                <w:sz w:val="22"/>
              </w:rPr>
              <w:t xml:space="preserve">the entire project has been rescheduled, either within the current pricing period or a future period </w:t>
            </w:r>
          </w:p>
        </w:tc>
      </w:tr>
      <w:tr w:rsidR="005029CB" w:rsidRPr="00601368" w14:paraId="38D42C6A" w14:textId="77777777" w:rsidTr="00360131">
        <w:trPr>
          <w:trHeight w:val="12703"/>
        </w:trPr>
        <w:tc>
          <w:tcPr>
            <w:tcW w:w="9246" w:type="dxa"/>
            <w:tcBorders>
              <w:top w:val="single" w:sz="2" w:space="0" w:color="002279"/>
              <w:bottom w:val="single" w:sz="2" w:space="0" w:color="002279"/>
            </w:tcBorders>
          </w:tcPr>
          <w:p w14:paraId="6E2EB4B2" w14:textId="3E92351C" w:rsidR="00ED20E7" w:rsidRDefault="00ED20E7" w:rsidP="00ED20E7">
            <w:pPr>
              <w:spacing w:after="0"/>
              <w:textAlignment w:val="baseline"/>
              <w:rPr>
                <w:rFonts w:eastAsia="Times New Roman" w:cstheme="minorHAnsi"/>
                <w:sz w:val="22"/>
                <w:lang w:eastAsia="en-AU"/>
              </w:rPr>
            </w:pPr>
            <w:r w:rsidRPr="001E61A0">
              <w:rPr>
                <w:rFonts w:eastAsia="Times New Roman" w:cstheme="minorHAnsi"/>
                <w:b/>
                <w:sz w:val="22"/>
                <w:lang w:eastAsia="en-AU"/>
              </w:rPr>
              <w:lastRenderedPageBreak/>
              <w:t>Project update:</w:t>
            </w:r>
            <w:r w:rsidRPr="00C85E81">
              <w:rPr>
                <w:rFonts w:eastAsia="Times New Roman" w:cstheme="minorHAnsi"/>
                <w:sz w:val="22"/>
                <w:lang w:eastAsia="en-AU"/>
              </w:rPr>
              <w:t xml:space="preserve"> Hydraulic modelling completed prior to Price Submission 2018</w:t>
            </w:r>
            <w:r w:rsidR="00F33731">
              <w:rPr>
                <w:rFonts w:eastAsia="Times New Roman" w:cstheme="minorHAnsi"/>
                <w:sz w:val="22"/>
                <w:lang w:eastAsia="en-AU"/>
              </w:rPr>
              <w:t>–</w:t>
            </w:r>
            <w:r w:rsidRPr="00C85E81">
              <w:rPr>
                <w:rFonts w:eastAsia="Times New Roman" w:cstheme="minorHAnsi"/>
                <w:sz w:val="22"/>
                <w:lang w:eastAsia="en-AU"/>
              </w:rPr>
              <w:t>23 had identified that sewers within the Murray Road, Tucker Road, Higgins Road and Mortimore Street sub-catchments of the wider Elster Creek sewerage catchment, experience significant surcharging and predicted spills in the current network during wet weather events. Without upgrade, the network was at risk of uncontrolled spills during wet weather events from various manholes. The level of risk increasing over time, as customer connections are expected to grow to approximately 49,000 by 2056.  </w:t>
            </w:r>
          </w:p>
          <w:p w14:paraId="24DD0FEA" w14:textId="2AD3CB37" w:rsidR="00ED20E7" w:rsidRPr="00C85E81" w:rsidRDefault="00ED20E7" w:rsidP="00ED20E7">
            <w:pPr>
              <w:spacing w:after="0"/>
              <w:textAlignment w:val="baseline"/>
              <w:rPr>
                <w:rFonts w:eastAsia="Times New Roman" w:cstheme="minorHAnsi"/>
                <w:sz w:val="22"/>
                <w:lang w:eastAsia="en-AU"/>
              </w:rPr>
            </w:pPr>
            <w:r w:rsidRPr="00C85E81">
              <w:rPr>
                <w:rFonts w:eastAsia="Times New Roman" w:cstheme="minorHAnsi"/>
                <w:sz w:val="22"/>
                <w:lang w:eastAsia="en-AU"/>
              </w:rPr>
              <w:t xml:space="preserve">Field observations supported the hydraulic modelling that the system is nearing capacity. Consequently, a capacity upgrade of the Elster Creek sewer network was deemed to be required and was included as a Top </w:t>
            </w:r>
            <w:r w:rsidR="001E61A0">
              <w:rPr>
                <w:rFonts w:eastAsia="Times New Roman" w:cstheme="minorHAnsi"/>
                <w:sz w:val="22"/>
                <w:lang w:eastAsia="en-AU"/>
              </w:rPr>
              <w:t>10</w:t>
            </w:r>
            <w:r w:rsidRPr="00C85E81">
              <w:rPr>
                <w:rFonts w:eastAsia="Times New Roman" w:cstheme="minorHAnsi"/>
                <w:sz w:val="22"/>
                <w:lang w:eastAsia="en-AU"/>
              </w:rPr>
              <w:t xml:space="preserve"> project in Price Submission 2018</w:t>
            </w:r>
            <w:r w:rsidR="00F33731">
              <w:rPr>
                <w:rFonts w:eastAsia="Times New Roman" w:cstheme="minorHAnsi"/>
                <w:sz w:val="22"/>
                <w:lang w:eastAsia="en-AU"/>
              </w:rPr>
              <w:t>–</w:t>
            </w:r>
            <w:r w:rsidRPr="00C85E81">
              <w:rPr>
                <w:rFonts w:eastAsia="Times New Roman" w:cstheme="minorHAnsi"/>
                <w:sz w:val="22"/>
                <w:lang w:eastAsia="en-AU"/>
              </w:rPr>
              <w:t>23. </w:t>
            </w:r>
            <w:r w:rsidR="00A1315F">
              <w:rPr>
                <w:rFonts w:eastAsia="Times New Roman" w:cstheme="minorHAnsi"/>
                <w:sz w:val="22"/>
                <w:lang w:eastAsia="en-AU"/>
              </w:rPr>
              <w:t xml:space="preserve"> </w:t>
            </w:r>
          </w:p>
          <w:p w14:paraId="6A51F4EA" w14:textId="1A27D373" w:rsidR="00ED20E7" w:rsidRPr="00C85E81" w:rsidRDefault="00ED20E7" w:rsidP="00ED20E7">
            <w:pPr>
              <w:spacing w:after="0"/>
              <w:textAlignment w:val="baseline"/>
              <w:rPr>
                <w:rFonts w:eastAsia="Times New Roman" w:cstheme="minorHAnsi"/>
                <w:sz w:val="22"/>
                <w:lang w:eastAsia="en-AU"/>
              </w:rPr>
            </w:pPr>
            <w:r w:rsidRPr="00C85E81">
              <w:rPr>
                <w:rFonts w:eastAsia="Times New Roman" w:cstheme="minorHAnsi"/>
                <w:sz w:val="22"/>
                <w:lang w:eastAsia="en-AU"/>
              </w:rPr>
              <w:t xml:space="preserve">Through the </w:t>
            </w:r>
            <w:r w:rsidR="001E61A0">
              <w:rPr>
                <w:rFonts w:eastAsia="Times New Roman" w:cstheme="minorHAnsi"/>
                <w:sz w:val="22"/>
                <w:lang w:eastAsia="en-AU"/>
              </w:rPr>
              <w:t>p</w:t>
            </w:r>
            <w:r w:rsidRPr="00C85E81">
              <w:rPr>
                <w:rFonts w:eastAsia="Times New Roman" w:cstheme="minorHAnsi"/>
                <w:sz w:val="22"/>
                <w:lang w:eastAsia="en-AU"/>
              </w:rPr>
              <w:t xml:space="preserve">rice </w:t>
            </w:r>
            <w:r w:rsidR="001E61A0">
              <w:rPr>
                <w:rFonts w:eastAsia="Times New Roman" w:cstheme="minorHAnsi"/>
                <w:sz w:val="22"/>
                <w:lang w:eastAsia="en-AU"/>
              </w:rPr>
              <w:t>s</w:t>
            </w:r>
            <w:r w:rsidRPr="00C85E81">
              <w:rPr>
                <w:rFonts w:eastAsia="Times New Roman" w:cstheme="minorHAnsi"/>
                <w:sz w:val="22"/>
                <w:lang w:eastAsia="en-AU"/>
              </w:rPr>
              <w:t>ubmission review process South East Water made the decision that cost recovery of the Elster Creek Sewer Capacity Upgrade Works would not be included in Price Submission 2018</w:t>
            </w:r>
            <w:r w:rsidR="00F33731">
              <w:rPr>
                <w:rFonts w:eastAsia="Times New Roman" w:cstheme="minorHAnsi"/>
                <w:sz w:val="22"/>
                <w:lang w:eastAsia="en-AU"/>
              </w:rPr>
              <w:t>–</w:t>
            </w:r>
            <w:r w:rsidRPr="00C85E81">
              <w:rPr>
                <w:rFonts w:eastAsia="Times New Roman" w:cstheme="minorHAnsi"/>
                <w:sz w:val="22"/>
                <w:lang w:eastAsia="en-AU"/>
              </w:rPr>
              <w:t xml:space="preserve">23. A lower cost alternative was to be sought and if the project were confirmed to be required within the </w:t>
            </w:r>
            <w:r w:rsidR="001E61A0">
              <w:rPr>
                <w:rFonts w:eastAsia="Times New Roman" w:cstheme="minorHAnsi"/>
                <w:sz w:val="22"/>
                <w:lang w:eastAsia="en-AU"/>
              </w:rPr>
              <w:t>p</w:t>
            </w:r>
            <w:r w:rsidRPr="00C85E81">
              <w:rPr>
                <w:rFonts w:eastAsia="Times New Roman" w:cstheme="minorHAnsi"/>
                <w:sz w:val="22"/>
                <w:lang w:eastAsia="en-AU"/>
              </w:rPr>
              <w:t xml:space="preserve">rice </w:t>
            </w:r>
            <w:r w:rsidR="001E61A0">
              <w:rPr>
                <w:rFonts w:eastAsia="Times New Roman" w:cstheme="minorHAnsi"/>
                <w:sz w:val="22"/>
                <w:lang w:eastAsia="en-AU"/>
              </w:rPr>
              <w:t>s</w:t>
            </w:r>
            <w:r w:rsidRPr="00C85E81">
              <w:rPr>
                <w:rFonts w:eastAsia="Times New Roman" w:cstheme="minorHAnsi"/>
                <w:sz w:val="22"/>
                <w:lang w:eastAsia="en-AU"/>
              </w:rPr>
              <w:t>ubmission, cost recovery would either start in the following regulatory period or be achieved from cost efficiencies from within the Sewer Growth program. </w:t>
            </w:r>
            <w:r w:rsidR="00A1315F">
              <w:rPr>
                <w:rFonts w:eastAsia="Times New Roman" w:cstheme="minorHAnsi"/>
                <w:sz w:val="22"/>
                <w:lang w:eastAsia="en-AU"/>
              </w:rPr>
              <w:t xml:space="preserve"> </w:t>
            </w:r>
          </w:p>
          <w:p w14:paraId="21D63519" w14:textId="4B746494" w:rsidR="00ED20E7" w:rsidRPr="00C85E81" w:rsidRDefault="00ED20E7" w:rsidP="00ED20E7">
            <w:pPr>
              <w:spacing w:after="0"/>
              <w:textAlignment w:val="baseline"/>
              <w:rPr>
                <w:rFonts w:eastAsia="Times New Roman" w:cstheme="minorHAnsi"/>
                <w:sz w:val="22"/>
                <w:lang w:eastAsia="en-AU"/>
              </w:rPr>
            </w:pPr>
            <w:r w:rsidRPr="00C85E81">
              <w:rPr>
                <w:rFonts w:eastAsia="Times New Roman" w:cstheme="minorHAnsi"/>
                <w:sz w:val="22"/>
                <w:lang w:eastAsia="en-AU"/>
              </w:rPr>
              <w:t>Funding was allocated within the Price Submission 2018</w:t>
            </w:r>
            <w:r w:rsidR="00F33731">
              <w:rPr>
                <w:rFonts w:eastAsia="Times New Roman" w:cstheme="minorHAnsi"/>
                <w:sz w:val="22"/>
                <w:lang w:eastAsia="en-AU"/>
              </w:rPr>
              <w:t>–</w:t>
            </w:r>
            <w:r w:rsidRPr="00C85E81">
              <w:rPr>
                <w:rFonts w:eastAsia="Times New Roman" w:cstheme="minorHAnsi"/>
                <w:sz w:val="22"/>
                <w:lang w:eastAsia="en-AU"/>
              </w:rPr>
              <w:t>23 budget to revise the Elster Creek hydraulic model and undertake further investigation. The revised Australian Rainfall and Runoff (ARR) 2016</w:t>
            </w:r>
            <w:r w:rsidR="00F33731">
              <w:rPr>
                <w:rFonts w:eastAsia="Times New Roman" w:cstheme="minorHAnsi"/>
                <w:sz w:val="22"/>
                <w:lang w:eastAsia="en-AU"/>
              </w:rPr>
              <w:t>–</w:t>
            </w:r>
            <w:r w:rsidRPr="00C85E81">
              <w:rPr>
                <w:rFonts w:eastAsia="Times New Roman" w:cstheme="minorHAnsi"/>
                <w:sz w:val="22"/>
                <w:lang w:eastAsia="en-AU"/>
              </w:rPr>
              <w:t>19 data was applied to the model, including climate change scenarios which resulted in a significant change to wet weather performance in comparison with ARR 1987. Field monitoring also captured a wide range of wet weather events providing improved confidence in the model</w:t>
            </w:r>
            <w:r w:rsidR="00612583">
              <w:rPr>
                <w:rFonts w:eastAsia="Times New Roman" w:cstheme="minorHAnsi"/>
                <w:sz w:val="22"/>
                <w:lang w:eastAsia="en-AU"/>
              </w:rPr>
              <w:t>’</w:t>
            </w:r>
            <w:r w:rsidRPr="00C85E81">
              <w:rPr>
                <w:rFonts w:eastAsia="Times New Roman" w:cstheme="minorHAnsi"/>
                <w:sz w:val="22"/>
                <w:lang w:eastAsia="en-AU"/>
              </w:rPr>
              <w:t>s wet weather calibration. Analysis of the updated model showed a significant reduction of deficiencies across the sewer network, when compared to analysis of the model used for Price Submission 2018</w:t>
            </w:r>
            <w:r w:rsidR="00F33731">
              <w:rPr>
                <w:rFonts w:eastAsia="Times New Roman" w:cstheme="minorHAnsi"/>
                <w:sz w:val="22"/>
                <w:lang w:eastAsia="en-AU"/>
              </w:rPr>
              <w:t>–</w:t>
            </w:r>
            <w:r w:rsidRPr="00C85E81">
              <w:rPr>
                <w:rFonts w:eastAsia="Times New Roman" w:cstheme="minorHAnsi"/>
                <w:sz w:val="22"/>
                <w:lang w:eastAsia="en-AU"/>
              </w:rPr>
              <w:t>23.</w:t>
            </w:r>
            <w:r w:rsidR="00A1315F">
              <w:rPr>
                <w:rFonts w:eastAsia="Times New Roman" w:cstheme="minorHAnsi"/>
                <w:sz w:val="22"/>
                <w:lang w:eastAsia="en-AU"/>
              </w:rPr>
              <w:t xml:space="preserve"> </w:t>
            </w:r>
          </w:p>
          <w:p w14:paraId="257A428B" w14:textId="3CDC63E1" w:rsidR="00ED20E7" w:rsidRPr="00C85E81" w:rsidRDefault="00ED20E7" w:rsidP="00ED20E7">
            <w:pPr>
              <w:spacing w:after="0"/>
              <w:textAlignment w:val="baseline"/>
              <w:rPr>
                <w:rFonts w:eastAsia="Times New Roman" w:cstheme="minorHAnsi"/>
                <w:sz w:val="22"/>
                <w:lang w:eastAsia="en-AU"/>
              </w:rPr>
            </w:pPr>
            <w:r w:rsidRPr="00C85E81">
              <w:rPr>
                <w:rFonts w:eastAsia="Times New Roman" w:cstheme="minorHAnsi"/>
                <w:sz w:val="22"/>
                <w:lang w:eastAsia="en-AU"/>
              </w:rPr>
              <w:t>Investigations completed within the period determined and optimised the revised scope of works required to ensure the catchment complies with the 18.13% Annual Exceedance Probability (AEP) containment standard, as stipulated in the State Environment Protection Policy (Waters for Victoria) 2018.</w:t>
            </w:r>
            <w:r w:rsidR="00A1315F">
              <w:rPr>
                <w:rFonts w:eastAsia="Times New Roman" w:cstheme="minorHAnsi"/>
                <w:sz w:val="22"/>
                <w:lang w:eastAsia="en-AU"/>
              </w:rPr>
              <w:t xml:space="preserve"> </w:t>
            </w:r>
          </w:p>
          <w:p w14:paraId="5E3BDDF7" w14:textId="4DEBDA8A" w:rsidR="00ED20E7" w:rsidRPr="00C85E81" w:rsidRDefault="000B4F52" w:rsidP="00ED20E7">
            <w:pPr>
              <w:spacing w:after="0"/>
              <w:textAlignment w:val="baseline"/>
              <w:rPr>
                <w:rFonts w:eastAsia="Times New Roman" w:cstheme="minorHAnsi"/>
                <w:sz w:val="22"/>
                <w:lang w:eastAsia="en-AU"/>
              </w:rPr>
            </w:pPr>
            <w:r>
              <w:rPr>
                <w:rFonts w:eastAsia="Times New Roman" w:cstheme="minorHAnsi"/>
                <w:sz w:val="22"/>
                <w:lang w:eastAsia="en-AU"/>
              </w:rPr>
              <w:t>Figure 19</w:t>
            </w:r>
            <w:r w:rsidR="00ED20E7" w:rsidRPr="00C85E81">
              <w:rPr>
                <w:rFonts w:eastAsia="Times New Roman" w:cstheme="minorHAnsi"/>
                <w:sz w:val="22"/>
                <w:lang w:eastAsia="en-AU"/>
              </w:rPr>
              <w:t xml:space="preserve"> below shows the original scope ($33.2</w:t>
            </w:r>
            <w:r w:rsidR="009F21F0">
              <w:rPr>
                <w:rFonts w:eastAsia="Times New Roman" w:cstheme="minorHAnsi"/>
                <w:sz w:val="22"/>
                <w:lang w:eastAsia="en-AU"/>
              </w:rPr>
              <w:t>m</w:t>
            </w:r>
            <w:r w:rsidR="00ED20E7" w:rsidRPr="00C85E81">
              <w:rPr>
                <w:rFonts w:eastAsia="Times New Roman" w:cstheme="minorHAnsi"/>
                <w:sz w:val="22"/>
                <w:lang w:eastAsia="en-AU"/>
              </w:rPr>
              <w:t xml:space="preserve"> </w:t>
            </w:r>
            <w:r w:rsidR="00F33731">
              <w:rPr>
                <w:rFonts w:eastAsia="Times New Roman" w:cstheme="minorHAnsi"/>
                <w:sz w:val="22"/>
                <w:lang w:eastAsia="en-AU"/>
              </w:rPr>
              <w:t>–</w:t>
            </w:r>
            <w:r w:rsidR="00ED20E7" w:rsidRPr="00C85E81">
              <w:rPr>
                <w:rFonts w:eastAsia="Times New Roman" w:cstheme="minorHAnsi"/>
                <w:sz w:val="22"/>
                <w:lang w:eastAsia="en-AU"/>
              </w:rPr>
              <w:t xml:space="preserve"> P50) proposed to be delivered in Price Submission 2018</w:t>
            </w:r>
            <w:r w:rsidR="00F33731">
              <w:rPr>
                <w:rFonts w:eastAsia="Times New Roman" w:cstheme="minorHAnsi"/>
                <w:sz w:val="22"/>
                <w:lang w:eastAsia="en-AU"/>
              </w:rPr>
              <w:t>–</w:t>
            </w:r>
            <w:r w:rsidR="00ED20E7" w:rsidRPr="00C85E81">
              <w:rPr>
                <w:rFonts w:eastAsia="Times New Roman" w:cstheme="minorHAnsi"/>
                <w:sz w:val="22"/>
                <w:lang w:eastAsia="en-AU"/>
              </w:rPr>
              <w:t>23 in blue. The revised scope of upgrades required in the catchment are shown in red and green with timings noted. These represent a significant reduction in the required works. Stage 1 works (red) are required within the period. Board approval was sought in July of 2021 to complete these works at a cost of $14.1</w:t>
            </w:r>
            <w:r w:rsidR="009F21F0">
              <w:rPr>
                <w:rFonts w:eastAsia="Times New Roman" w:cstheme="minorHAnsi"/>
                <w:sz w:val="22"/>
                <w:lang w:eastAsia="en-AU"/>
              </w:rPr>
              <w:t>m</w:t>
            </w:r>
            <w:r w:rsidR="00ED20E7" w:rsidRPr="00C85E81">
              <w:rPr>
                <w:rFonts w:eastAsia="Times New Roman" w:cstheme="minorHAnsi"/>
                <w:sz w:val="22"/>
                <w:lang w:eastAsia="en-AU"/>
              </w:rPr>
              <w:t xml:space="preserve"> (P95). Stage 2, Murray Rd is required in Price Submission 2023</w:t>
            </w:r>
            <w:r w:rsidR="00F33731">
              <w:rPr>
                <w:rFonts w:eastAsia="Times New Roman" w:cstheme="minorHAnsi"/>
                <w:sz w:val="22"/>
                <w:lang w:eastAsia="en-AU"/>
              </w:rPr>
              <w:t>–</w:t>
            </w:r>
            <w:r w:rsidR="00ED20E7" w:rsidRPr="00C85E81">
              <w:rPr>
                <w:rFonts w:eastAsia="Times New Roman" w:cstheme="minorHAnsi"/>
                <w:sz w:val="22"/>
                <w:lang w:eastAsia="en-AU"/>
              </w:rPr>
              <w:t>28. Stage 3, Mortimore St is not required until 2035.</w:t>
            </w:r>
            <w:r w:rsidR="00A1315F">
              <w:rPr>
                <w:rFonts w:eastAsia="Times New Roman" w:cstheme="minorHAnsi"/>
                <w:sz w:val="22"/>
                <w:lang w:eastAsia="en-AU"/>
              </w:rPr>
              <w:t xml:space="preserve"> </w:t>
            </w:r>
          </w:p>
          <w:p w14:paraId="39BF2765" w14:textId="366944FF" w:rsidR="00ED20E7" w:rsidRPr="00C85E81" w:rsidRDefault="00ED20E7" w:rsidP="00ED20E7">
            <w:pPr>
              <w:spacing w:after="0"/>
              <w:textAlignment w:val="baseline"/>
              <w:rPr>
                <w:rFonts w:eastAsia="Times New Roman" w:cstheme="minorHAnsi"/>
                <w:sz w:val="22"/>
                <w:lang w:eastAsia="en-AU"/>
              </w:rPr>
            </w:pPr>
            <w:r w:rsidRPr="00C85E81">
              <w:rPr>
                <w:rFonts w:eastAsia="Times New Roman" w:cstheme="minorHAnsi"/>
                <w:sz w:val="22"/>
                <w:lang w:eastAsia="en-AU"/>
              </w:rPr>
              <w:t>The revised scope was achieved by applying the revised rainfall standard, which was released in 2020, extensive field monitoring providing improved confidence in the model</w:t>
            </w:r>
            <w:r w:rsidR="00612583">
              <w:rPr>
                <w:rFonts w:eastAsia="Times New Roman" w:cstheme="minorHAnsi"/>
                <w:sz w:val="22"/>
                <w:lang w:eastAsia="en-AU"/>
              </w:rPr>
              <w:t>’</w:t>
            </w:r>
            <w:r w:rsidRPr="00C85E81">
              <w:rPr>
                <w:rFonts w:eastAsia="Times New Roman" w:cstheme="minorHAnsi"/>
                <w:sz w:val="22"/>
                <w:lang w:eastAsia="en-AU"/>
              </w:rPr>
              <w:t>s wet weather calibration, and optimisation of the proposed works. The revised scope represents a significant saving to our customers.</w:t>
            </w:r>
          </w:p>
          <w:p w14:paraId="621D4549" w14:textId="319F6909" w:rsidR="003F5C6C" w:rsidRPr="00C85E81" w:rsidRDefault="000B4F52" w:rsidP="000C0D03">
            <w:pPr>
              <w:spacing w:after="0"/>
              <w:textAlignment w:val="baseline"/>
              <w:rPr>
                <w:rFonts w:eastAsia="Times New Roman" w:cstheme="minorHAnsi"/>
                <w:b/>
                <w:bCs/>
                <w:sz w:val="22"/>
                <w:lang w:eastAsia="en-AU"/>
              </w:rPr>
            </w:pPr>
            <w:r w:rsidRPr="000B4F52">
              <w:rPr>
                <w:b/>
                <w:bCs/>
                <w:i/>
                <w:sz w:val="22"/>
              </w:rPr>
              <w:lastRenderedPageBreak/>
              <w:t xml:space="preserve">Figure </w:t>
            </w:r>
            <w:r w:rsidR="006C3B67">
              <w:rPr>
                <w:b/>
                <w:bCs/>
                <w:i/>
                <w:sz w:val="22"/>
              </w:rPr>
              <w:t>19</w:t>
            </w:r>
            <w:r w:rsidRPr="000B4F52">
              <w:rPr>
                <w:b/>
                <w:bCs/>
                <w:i/>
                <w:sz w:val="22"/>
              </w:rPr>
              <w:t>:</w:t>
            </w:r>
            <w:r w:rsidRPr="00C85E81">
              <w:rPr>
                <w:rFonts w:cstheme="minorHAnsi"/>
                <w:b/>
                <w:i/>
                <w:sz w:val="22"/>
              </w:rPr>
              <w:t xml:space="preserve"> </w:t>
            </w:r>
            <w:r w:rsidR="00812694" w:rsidRPr="000B4F52">
              <w:rPr>
                <w:rFonts w:cstheme="minorHAnsi"/>
                <w:b/>
                <w:bCs/>
                <w:i/>
                <w:iCs/>
                <w:sz w:val="22"/>
              </w:rPr>
              <w:t xml:space="preserve">Elster Creek Sewer Capacity Upgrade Works with </w:t>
            </w:r>
            <w:r w:rsidR="001E61A0" w:rsidRPr="000B4F52">
              <w:rPr>
                <w:rFonts w:cstheme="minorHAnsi"/>
                <w:b/>
                <w:bCs/>
                <w:i/>
                <w:iCs/>
                <w:sz w:val="22"/>
              </w:rPr>
              <w:t>2018</w:t>
            </w:r>
            <w:r w:rsidR="00F33731" w:rsidRPr="000B4F52">
              <w:rPr>
                <w:rFonts w:cstheme="minorHAnsi"/>
                <w:b/>
                <w:bCs/>
                <w:i/>
                <w:iCs/>
                <w:sz w:val="22"/>
              </w:rPr>
              <w:t>–</w:t>
            </w:r>
            <w:r w:rsidR="001E61A0" w:rsidRPr="000B4F52">
              <w:rPr>
                <w:rFonts w:cstheme="minorHAnsi"/>
                <w:b/>
                <w:bCs/>
                <w:i/>
                <w:iCs/>
                <w:sz w:val="22"/>
              </w:rPr>
              <w:t>23</w:t>
            </w:r>
            <w:r w:rsidR="00812694" w:rsidRPr="000B4F52">
              <w:rPr>
                <w:rFonts w:cstheme="minorHAnsi"/>
                <w:b/>
                <w:bCs/>
                <w:i/>
                <w:iCs/>
                <w:sz w:val="22"/>
              </w:rPr>
              <w:t xml:space="preserve"> proposed upgrades versus those now assessed as required</w:t>
            </w:r>
            <w:r w:rsidR="003F5C6C" w:rsidRPr="00C85E81">
              <w:rPr>
                <w:rFonts w:cstheme="minorHAnsi"/>
                <w:noProof/>
                <w:sz w:val="22"/>
              </w:rPr>
              <w:drawing>
                <wp:inline distT="0" distB="0" distL="0" distR="0" wp14:anchorId="550587BA" wp14:editId="5034CCF3">
                  <wp:extent cx="5731510" cy="4429125"/>
                  <wp:effectExtent l="0" t="0" r="2540" b="9525"/>
                  <wp:docPr id="29" name="Picture 2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application&#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1510" cy="4429125"/>
                          </a:xfrm>
                          <a:prstGeom prst="rect">
                            <a:avLst/>
                          </a:prstGeom>
                          <a:noFill/>
                          <a:ln>
                            <a:noFill/>
                          </a:ln>
                        </pic:spPr>
                      </pic:pic>
                    </a:graphicData>
                  </a:graphic>
                </wp:inline>
              </w:drawing>
            </w:r>
          </w:p>
          <w:p w14:paraId="1ABB4931" w14:textId="0558F462" w:rsidR="00C96342" w:rsidRPr="00C85E81" w:rsidRDefault="00C96342" w:rsidP="00C96342">
            <w:pPr>
              <w:spacing w:after="0"/>
              <w:textAlignment w:val="baseline"/>
              <w:rPr>
                <w:rFonts w:eastAsia="Times New Roman" w:cstheme="minorHAnsi"/>
                <w:sz w:val="22"/>
                <w:lang w:eastAsia="en-AU"/>
              </w:rPr>
            </w:pPr>
            <w:r w:rsidRPr="00C85E81">
              <w:rPr>
                <w:rFonts w:eastAsia="Times New Roman" w:cstheme="minorHAnsi"/>
                <w:sz w:val="22"/>
                <w:lang w:eastAsia="en-AU"/>
              </w:rPr>
              <w:t xml:space="preserve">A </w:t>
            </w:r>
            <w:r w:rsidR="00612583">
              <w:rPr>
                <w:rFonts w:eastAsia="Times New Roman" w:cstheme="minorHAnsi"/>
                <w:sz w:val="22"/>
                <w:lang w:eastAsia="en-AU"/>
              </w:rPr>
              <w:t>‘</w:t>
            </w:r>
            <w:r w:rsidRPr="00C85E81">
              <w:rPr>
                <w:rFonts w:eastAsia="Times New Roman" w:cstheme="minorHAnsi"/>
                <w:sz w:val="22"/>
                <w:lang w:eastAsia="en-AU"/>
              </w:rPr>
              <w:t>do nothing</w:t>
            </w:r>
            <w:r w:rsidR="00612583">
              <w:rPr>
                <w:rFonts w:eastAsia="Times New Roman" w:cstheme="minorHAnsi"/>
                <w:sz w:val="22"/>
                <w:lang w:eastAsia="en-AU"/>
              </w:rPr>
              <w:t>’</w:t>
            </w:r>
            <w:r w:rsidRPr="00C85E81">
              <w:rPr>
                <w:rFonts w:eastAsia="Times New Roman" w:cstheme="minorHAnsi"/>
                <w:sz w:val="22"/>
                <w:lang w:eastAsia="en-AU"/>
              </w:rPr>
              <w:t xml:space="preserve"> option was also explored, however due to the majority of predicted spills being uncontrolled, this option was discounted. </w:t>
            </w:r>
            <w:r w:rsidR="00A1315F">
              <w:rPr>
                <w:rFonts w:eastAsia="Times New Roman" w:cstheme="minorHAnsi"/>
                <w:sz w:val="22"/>
                <w:lang w:eastAsia="en-AU"/>
              </w:rPr>
              <w:t xml:space="preserve"> </w:t>
            </w:r>
          </w:p>
          <w:p w14:paraId="1DF39958" w14:textId="6EA5B39B" w:rsidR="00C96342" w:rsidRPr="00C85E81" w:rsidRDefault="00C96342" w:rsidP="00C96342">
            <w:pPr>
              <w:spacing w:after="0"/>
              <w:textAlignment w:val="baseline"/>
              <w:rPr>
                <w:rFonts w:eastAsia="Times New Roman" w:cstheme="minorHAnsi"/>
                <w:sz w:val="22"/>
                <w:lang w:eastAsia="en-AU"/>
              </w:rPr>
            </w:pPr>
            <w:r w:rsidRPr="00C85E81">
              <w:rPr>
                <w:rFonts w:eastAsia="Times New Roman" w:cstheme="minorHAnsi"/>
                <w:sz w:val="22"/>
                <w:lang w:eastAsia="en-AU"/>
              </w:rPr>
              <w:t xml:space="preserve">The capacity upgrades are to be delivered in </w:t>
            </w:r>
            <w:r w:rsidR="00C85E81">
              <w:rPr>
                <w:rFonts w:eastAsia="Times New Roman" w:cstheme="minorHAnsi"/>
                <w:sz w:val="22"/>
                <w:lang w:eastAsia="en-AU"/>
              </w:rPr>
              <w:t xml:space="preserve">3 </w:t>
            </w:r>
            <w:r w:rsidRPr="00C85E81">
              <w:rPr>
                <w:rFonts w:eastAsia="Times New Roman" w:cstheme="minorHAnsi"/>
                <w:sz w:val="22"/>
                <w:lang w:eastAsia="en-AU"/>
              </w:rPr>
              <w:t>stages</w:t>
            </w:r>
            <w:r w:rsidR="006C439B">
              <w:rPr>
                <w:rFonts w:eastAsia="Times New Roman" w:cstheme="minorHAnsi"/>
                <w:sz w:val="22"/>
                <w:lang w:eastAsia="en-AU"/>
              </w:rPr>
              <w:t xml:space="preserve">: </w:t>
            </w:r>
            <w:r w:rsidRPr="00C85E81">
              <w:rPr>
                <w:rFonts w:eastAsia="Times New Roman" w:cstheme="minorHAnsi"/>
                <w:sz w:val="22"/>
                <w:lang w:eastAsia="en-AU"/>
              </w:rPr>
              <w:t>  </w:t>
            </w:r>
          </w:p>
          <w:p w14:paraId="254E95D1" w14:textId="77777777" w:rsidR="00C96342" w:rsidRPr="00C85E81" w:rsidRDefault="00C96342" w:rsidP="00C96342">
            <w:pPr>
              <w:spacing w:after="0"/>
              <w:textAlignment w:val="baseline"/>
              <w:rPr>
                <w:rFonts w:eastAsia="Times New Roman" w:cstheme="minorHAnsi"/>
                <w:sz w:val="22"/>
                <w:lang w:eastAsia="en-AU"/>
              </w:rPr>
            </w:pPr>
            <w:r w:rsidRPr="00C85E81">
              <w:rPr>
                <w:rFonts w:eastAsia="Times New Roman" w:cstheme="minorHAnsi"/>
                <w:sz w:val="22"/>
                <w:lang w:eastAsia="en-AU"/>
              </w:rPr>
              <w:t> </w:t>
            </w:r>
          </w:p>
          <w:p w14:paraId="52D64C64" w14:textId="13F28C71" w:rsidR="00C96342" w:rsidRPr="00C85E81" w:rsidRDefault="00C96342" w:rsidP="00C96342">
            <w:pPr>
              <w:spacing w:after="0"/>
              <w:textAlignment w:val="baseline"/>
              <w:rPr>
                <w:rFonts w:eastAsia="Times New Roman" w:cstheme="minorHAnsi"/>
                <w:sz w:val="22"/>
                <w:lang w:eastAsia="en-AU"/>
              </w:rPr>
            </w:pPr>
            <w:r w:rsidRPr="00C85E81">
              <w:rPr>
                <w:rFonts w:eastAsia="Times New Roman" w:cstheme="minorHAnsi"/>
                <w:b/>
                <w:bCs/>
                <w:sz w:val="22"/>
                <w:lang w:eastAsia="en-AU"/>
              </w:rPr>
              <w:t xml:space="preserve">Stage 1 Works </w:t>
            </w:r>
            <w:r w:rsidRPr="00224EC8">
              <w:rPr>
                <w:rFonts w:eastAsia="Times New Roman" w:cstheme="minorHAnsi"/>
                <w:b/>
                <w:bCs/>
                <w:sz w:val="22"/>
                <w:lang w:eastAsia="en-AU"/>
              </w:rPr>
              <w:t>(</w:t>
            </w:r>
            <w:r w:rsidR="00224EC8" w:rsidRPr="00224EC8">
              <w:rPr>
                <w:rFonts w:eastAsia="Times New Roman" w:cstheme="minorHAnsi"/>
                <w:b/>
                <w:bCs/>
                <w:sz w:val="22"/>
                <w:lang w:eastAsia="en-AU"/>
              </w:rPr>
              <w:t>2018–23</w:t>
            </w:r>
            <w:r w:rsidRPr="00224EC8">
              <w:rPr>
                <w:rFonts w:eastAsia="Times New Roman" w:cstheme="minorHAnsi"/>
                <w:b/>
                <w:bCs/>
                <w:sz w:val="22"/>
                <w:lang w:eastAsia="en-AU"/>
              </w:rPr>
              <w:t>):</w:t>
            </w:r>
            <w:r w:rsidRPr="00C85E81">
              <w:rPr>
                <w:rFonts w:eastAsia="Times New Roman" w:cstheme="minorHAnsi"/>
                <w:b/>
                <w:bCs/>
                <w:sz w:val="22"/>
                <w:lang w:eastAsia="en-AU"/>
              </w:rPr>
              <w:t xml:space="preserve"> </w:t>
            </w:r>
            <w:r w:rsidRPr="00C85E81">
              <w:rPr>
                <w:rFonts w:eastAsia="Times New Roman" w:cstheme="minorHAnsi"/>
                <w:sz w:val="22"/>
                <w:lang w:eastAsia="en-AU"/>
              </w:rPr>
              <w:t>Tucker &amp; Higgins </w:t>
            </w:r>
          </w:p>
          <w:p w14:paraId="023D6D87" w14:textId="32AC8B5E" w:rsidR="00C96342" w:rsidRPr="00C85E81" w:rsidRDefault="00C96342">
            <w:pPr>
              <w:pStyle w:val="ListParagraph"/>
              <w:numPr>
                <w:ilvl w:val="0"/>
                <w:numId w:val="20"/>
              </w:numPr>
              <w:spacing w:after="0"/>
              <w:textAlignment w:val="baseline"/>
              <w:rPr>
                <w:rFonts w:eastAsia="Times New Roman" w:cstheme="minorHAnsi"/>
                <w:sz w:val="22"/>
                <w:lang w:eastAsia="en-AU"/>
              </w:rPr>
            </w:pPr>
            <w:r w:rsidRPr="00C85E81">
              <w:rPr>
                <w:rFonts w:eastAsia="Times New Roman" w:cstheme="minorHAnsi"/>
                <w:sz w:val="22"/>
                <w:lang w:eastAsia="en-AU"/>
              </w:rPr>
              <w:t>Installation of 900</w:t>
            </w:r>
            <w:r w:rsidR="00BA1C93">
              <w:rPr>
                <w:rFonts w:eastAsia="Times New Roman" w:cstheme="minorHAnsi"/>
                <w:sz w:val="22"/>
                <w:lang w:eastAsia="en-AU"/>
              </w:rPr>
              <w:t>-</w:t>
            </w:r>
            <w:r w:rsidRPr="00C85E81">
              <w:rPr>
                <w:rFonts w:eastAsia="Times New Roman" w:cstheme="minorHAnsi"/>
                <w:sz w:val="22"/>
                <w:lang w:eastAsia="en-AU"/>
              </w:rPr>
              <w:t>metre DN300 relief sewer between East Boundary Road and Tucker Road  </w:t>
            </w:r>
          </w:p>
          <w:p w14:paraId="099F7551" w14:textId="5500AC68" w:rsidR="00C96342" w:rsidRPr="00C85E81" w:rsidRDefault="00C96342">
            <w:pPr>
              <w:pStyle w:val="ListParagraph"/>
              <w:numPr>
                <w:ilvl w:val="0"/>
                <w:numId w:val="20"/>
              </w:numPr>
              <w:spacing w:after="0"/>
              <w:textAlignment w:val="baseline"/>
              <w:rPr>
                <w:rFonts w:eastAsia="Times New Roman" w:cstheme="minorHAnsi"/>
                <w:sz w:val="22"/>
                <w:lang w:eastAsia="en-AU"/>
              </w:rPr>
            </w:pPr>
            <w:r w:rsidRPr="00C85E81">
              <w:rPr>
                <w:rFonts w:eastAsia="Times New Roman" w:cstheme="minorHAnsi"/>
                <w:sz w:val="22"/>
                <w:lang w:eastAsia="en-AU"/>
              </w:rPr>
              <w:t>Installation of a 320</w:t>
            </w:r>
            <w:r w:rsidR="00BA1C93">
              <w:rPr>
                <w:rFonts w:eastAsia="Times New Roman" w:cstheme="minorHAnsi"/>
                <w:sz w:val="22"/>
                <w:lang w:eastAsia="en-AU"/>
              </w:rPr>
              <w:t>-k</w:t>
            </w:r>
            <w:r w:rsidRPr="00C85E81">
              <w:rPr>
                <w:rFonts w:eastAsia="Times New Roman" w:cstheme="minorHAnsi"/>
                <w:sz w:val="22"/>
                <w:lang w:eastAsia="en-AU"/>
              </w:rPr>
              <w:t>ilolitre detention storage at the Tucker Road Pump Station.  </w:t>
            </w:r>
          </w:p>
          <w:p w14:paraId="45644A6B" w14:textId="15E30626" w:rsidR="00C96342" w:rsidRPr="00C85E81" w:rsidRDefault="00C96342">
            <w:pPr>
              <w:pStyle w:val="ListParagraph"/>
              <w:numPr>
                <w:ilvl w:val="0"/>
                <w:numId w:val="20"/>
              </w:numPr>
              <w:spacing w:after="0"/>
              <w:textAlignment w:val="baseline"/>
              <w:rPr>
                <w:rFonts w:eastAsia="Times New Roman" w:cstheme="minorHAnsi"/>
                <w:sz w:val="22"/>
                <w:lang w:eastAsia="en-AU"/>
              </w:rPr>
            </w:pPr>
            <w:r w:rsidRPr="00C85E81">
              <w:rPr>
                <w:rFonts w:eastAsia="Times New Roman" w:cstheme="minorHAnsi"/>
                <w:sz w:val="22"/>
                <w:lang w:eastAsia="en-AU"/>
              </w:rPr>
              <w:t>Installation of 525</w:t>
            </w:r>
            <w:r w:rsidR="00BA1C93">
              <w:rPr>
                <w:rFonts w:eastAsia="Times New Roman" w:cstheme="minorHAnsi"/>
                <w:sz w:val="22"/>
                <w:lang w:eastAsia="en-AU"/>
              </w:rPr>
              <w:t>-</w:t>
            </w:r>
            <w:r w:rsidRPr="00C85E81">
              <w:rPr>
                <w:rFonts w:eastAsia="Times New Roman" w:cstheme="minorHAnsi"/>
                <w:sz w:val="22"/>
                <w:lang w:eastAsia="en-AU"/>
              </w:rPr>
              <w:t>metre DN300 relief sewer along Hobart Street and Higgins Road.  </w:t>
            </w:r>
          </w:p>
          <w:p w14:paraId="3387B8DD" w14:textId="77777777" w:rsidR="00C96342" w:rsidRPr="00C85E81" w:rsidRDefault="00C96342" w:rsidP="00C96342">
            <w:pPr>
              <w:spacing w:after="0"/>
              <w:textAlignment w:val="baseline"/>
              <w:rPr>
                <w:rFonts w:eastAsia="Times New Roman" w:cstheme="minorHAnsi"/>
                <w:sz w:val="22"/>
                <w:lang w:eastAsia="en-AU"/>
              </w:rPr>
            </w:pPr>
            <w:r w:rsidRPr="00C85E81">
              <w:rPr>
                <w:rFonts w:eastAsia="Times New Roman" w:cstheme="minorHAnsi"/>
                <w:sz w:val="22"/>
                <w:lang w:eastAsia="en-AU"/>
              </w:rPr>
              <w:t>These works have been awarded; detailed designs are complete with works commencing onsite. Expected completion 2022/23 (Q1)  </w:t>
            </w:r>
          </w:p>
          <w:p w14:paraId="78CBC435" w14:textId="77777777" w:rsidR="00C96342" w:rsidRPr="00C85E81" w:rsidRDefault="00C96342" w:rsidP="00C96342">
            <w:pPr>
              <w:spacing w:after="0"/>
              <w:textAlignment w:val="baseline"/>
              <w:rPr>
                <w:rFonts w:eastAsia="Times New Roman" w:cstheme="minorHAnsi"/>
                <w:sz w:val="22"/>
                <w:lang w:eastAsia="en-AU"/>
              </w:rPr>
            </w:pPr>
            <w:r w:rsidRPr="00C85E81">
              <w:rPr>
                <w:rFonts w:eastAsia="Times New Roman" w:cstheme="minorHAnsi"/>
                <w:sz w:val="22"/>
                <w:lang w:eastAsia="en-AU"/>
              </w:rPr>
              <w:t> </w:t>
            </w:r>
          </w:p>
          <w:p w14:paraId="3C3321DC" w14:textId="3502B9AE" w:rsidR="00C96342" w:rsidRPr="00C85E81" w:rsidRDefault="00C96342" w:rsidP="00C96342">
            <w:pPr>
              <w:spacing w:after="0"/>
              <w:textAlignment w:val="baseline"/>
              <w:rPr>
                <w:rFonts w:eastAsia="Times New Roman" w:cstheme="minorHAnsi"/>
                <w:sz w:val="22"/>
                <w:lang w:eastAsia="en-AU"/>
              </w:rPr>
            </w:pPr>
            <w:r w:rsidRPr="00C85E81">
              <w:rPr>
                <w:rFonts w:eastAsia="Times New Roman" w:cstheme="minorHAnsi"/>
                <w:b/>
                <w:bCs/>
                <w:sz w:val="22"/>
                <w:lang w:eastAsia="en-AU"/>
              </w:rPr>
              <w:t>Stage 2 Works (</w:t>
            </w:r>
            <w:r w:rsidR="00224EC8">
              <w:rPr>
                <w:rFonts w:eastAsia="Times New Roman" w:cstheme="minorHAnsi"/>
                <w:b/>
                <w:bCs/>
                <w:sz w:val="22"/>
                <w:lang w:eastAsia="en-AU"/>
              </w:rPr>
              <w:t>2028-33</w:t>
            </w:r>
            <w:r w:rsidRPr="00C85E81">
              <w:rPr>
                <w:rFonts w:eastAsia="Times New Roman" w:cstheme="minorHAnsi"/>
                <w:b/>
                <w:bCs/>
                <w:sz w:val="22"/>
                <w:lang w:eastAsia="en-AU"/>
              </w:rPr>
              <w:t>)</w:t>
            </w:r>
            <w:r w:rsidR="00A26E1C">
              <w:rPr>
                <w:rFonts w:eastAsia="Times New Roman" w:cstheme="minorHAnsi"/>
                <w:b/>
                <w:bCs/>
                <w:sz w:val="22"/>
                <w:lang w:eastAsia="en-AU"/>
              </w:rPr>
              <w:t xml:space="preserve">: </w:t>
            </w:r>
            <w:r w:rsidRPr="00C85E81">
              <w:rPr>
                <w:rFonts w:eastAsia="Times New Roman" w:cstheme="minorHAnsi"/>
                <w:sz w:val="22"/>
                <w:lang w:eastAsia="en-AU"/>
              </w:rPr>
              <w:t>Murray Rd  </w:t>
            </w:r>
          </w:p>
          <w:p w14:paraId="10A6D176" w14:textId="416F96A7" w:rsidR="00C96342" w:rsidRPr="00A26E1C" w:rsidRDefault="00C96342" w:rsidP="00A26E1C">
            <w:pPr>
              <w:spacing w:after="0"/>
              <w:textAlignment w:val="baseline"/>
              <w:rPr>
                <w:rFonts w:eastAsia="Times New Roman" w:cstheme="minorHAnsi"/>
                <w:sz w:val="22"/>
                <w:lang w:eastAsia="en-AU"/>
              </w:rPr>
            </w:pPr>
            <w:r w:rsidRPr="00A26E1C">
              <w:rPr>
                <w:rFonts w:eastAsia="Times New Roman" w:cstheme="minorHAnsi"/>
                <w:sz w:val="22"/>
                <w:lang w:eastAsia="en-AU"/>
              </w:rPr>
              <w:t>Installation of 450</w:t>
            </w:r>
            <w:r w:rsidR="00BA1C93" w:rsidRPr="00A26E1C">
              <w:rPr>
                <w:rFonts w:eastAsia="Times New Roman" w:cstheme="minorHAnsi"/>
                <w:sz w:val="22"/>
                <w:lang w:eastAsia="en-AU"/>
              </w:rPr>
              <w:t>-</w:t>
            </w:r>
            <w:r w:rsidRPr="00A26E1C">
              <w:rPr>
                <w:rFonts w:eastAsia="Times New Roman" w:cstheme="minorHAnsi"/>
                <w:sz w:val="22"/>
                <w:lang w:eastAsia="en-AU"/>
              </w:rPr>
              <w:t>metre DN450 diversion sewer between Murray Road and North Road, discharging into Melbourne Water</w:t>
            </w:r>
            <w:r w:rsidR="00612583" w:rsidRPr="00A26E1C">
              <w:rPr>
                <w:rFonts w:eastAsia="Times New Roman" w:cstheme="minorHAnsi"/>
                <w:sz w:val="22"/>
                <w:lang w:eastAsia="en-AU"/>
              </w:rPr>
              <w:t>’</w:t>
            </w:r>
            <w:r w:rsidRPr="00A26E1C">
              <w:rPr>
                <w:rFonts w:eastAsia="Times New Roman" w:cstheme="minorHAnsi"/>
                <w:sz w:val="22"/>
                <w:lang w:eastAsia="en-AU"/>
              </w:rPr>
              <w:t>s CIS. </w:t>
            </w:r>
          </w:p>
          <w:p w14:paraId="6ABE5BDB" w14:textId="77777777" w:rsidR="00C96342" w:rsidRPr="00C85E81" w:rsidRDefault="00C96342" w:rsidP="00C96342">
            <w:pPr>
              <w:spacing w:after="0"/>
              <w:textAlignment w:val="baseline"/>
              <w:rPr>
                <w:rFonts w:eastAsia="Times New Roman" w:cstheme="minorHAnsi"/>
                <w:sz w:val="22"/>
                <w:lang w:eastAsia="en-AU"/>
              </w:rPr>
            </w:pPr>
            <w:r w:rsidRPr="00C85E81">
              <w:rPr>
                <w:rFonts w:eastAsia="Times New Roman" w:cstheme="minorHAnsi"/>
                <w:sz w:val="22"/>
                <w:lang w:eastAsia="en-AU"/>
              </w:rPr>
              <w:t> </w:t>
            </w:r>
          </w:p>
          <w:p w14:paraId="177684DF" w14:textId="70F35D01" w:rsidR="00C96342" w:rsidRPr="00C85E81" w:rsidRDefault="00C96342" w:rsidP="000C0D03">
            <w:pPr>
              <w:spacing w:after="0"/>
              <w:textAlignment w:val="baseline"/>
              <w:rPr>
                <w:rFonts w:eastAsia="Times New Roman" w:cstheme="minorHAnsi"/>
                <w:b/>
                <w:bCs/>
                <w:sz w:val="22"/>
                <w:lang w:eastAsia="en-AU"/>
              </w:rPr>
            </w:pPr>
            <w:r w:rsidRPr="00C85E81">
              <w:rPr>
                <w:rFonts w:eastAsia="Times New Roman" w:cstheme="minorHAnsi"/>
                <w:b/>
                <w:bCs/>
                <w:sz w:val="22"/>
                <w:lang w:eastAsia="en-AU"/>
              </w:rPr>
              <w:t>Future Works (2035):</w:t>
            </w:r>
            <w:r w:rsidRPr="00C85E81">
              <w:rPr>
                <w:rFonts w:eastAsia="Times New Roman" w:cstheme="minorHAnsi"/>
                <w:sz w:val="22"/>
                <w:lang w:eastAsia="en-AU"/>
              </w:rPr>
              <w:t xml:space="preserve"> The Mortimore Street Pump Station Sub-Catchment requires the installation of 140</w:t>
            </w:r>
            <w:r w:rsidR="00BA1C93">
              <w:rPr>
                <w:rFonts w:eastAsia="Times New Roman" w:cstheme="minorHAnsi"/>
                <w:sz w:val="22"/>
                <w:lang w:eastAsia="en-AU"/>
              </w:rPr>
              <w:t>-</w:t>
            </w:r>
            <w:r w:rsidRPr="00C85E81">
              <w:rPr>
                <w:rFonts w:eastAsia="Times New Roman" w:cstheme="minorHAnsi"/>
                <w:sz w:val="22"/>
                <w:lang w:eastAsia="en-AU"/>
              </w:rPr>
              <w:t>metre DN300 relief sewer between Fromer Street and Mortimore Street. This upgrade has been assessed as being required by 2035 and as such has been deferred. System performance will continue to be monitored using BlokAids. </w:t>
            </w:r>
          </w:p>
        </w:tc>
      </w:tr>
      <w:tr w:rsidR="005029CB" w14:paraId="4D6B7830" w14:textId="77777777" w:rsidTr="00360131">
        <w:tc>
          <w:tcPr>
            <w:tcW w:w="9246" w:type="dxa"/>
            <w:tcBorders>
              <w:top w:val="single" w:sz="2" w:space="0" w:color="002279"/>
              <w:bottom w:val="single" w:sz="2" w:space="0" w:color="002279"/>
            </w:tcBorders>
          </w:tcPr>
          <w:p w14:paraId="3EB8AA56" w14:textId="4343F57C" w:rsidR="005029CB" w:rsidRPr="00C85E81" w:rsidRDefault="005029CB" w:rsidP="000C0D03">
            <w:pPr>
              <w:spacing w:after="0"/>
              <w:textAlignment w:val="baseline"/>
              <w:rPr>
                <w:rFonts w:eastAsia="Times New Roman" w:cstheme="minorHAnsi"/>
                <w:b/>
                <w:bCs/>
                <w:sz w:val="22"/>
                <w:lang w:eastAsia="en-AU"/>
              </w:rPr>
            </w:pPr>
            <w:r w:rsidRPr="00C85E81">
              <w:rPr>
                <w:rFonts w:eastAsia="Times New Roman" w:cstheme="minorHAnsi"/>
                <w:b/>
                <w:bCs/>
                <w:sz w:val="22"/>
                <w:lang w:eastAsia="en-AU"/>
              </w:rPr>
              <w:lastRenderedPageBreak/>
              <w:t xml:space="preserve">Indicative self-assessment score: </w:t>
            </w:r>
            <w:r w:rsidR="00B6159C" w:rsidRPr="00C85E81">
              <w:rPr>
                <w:rFonts w:eastAsia="Times New Roman" w:cstheme="minorHAnsi"/>
                <w:sz w:val="22"/>
                <w:lang w:eastAsia="en-AU"/>
              </w:rPr>
              <w:t>Generally consistent with Price Submission 2018</w:t>
            </w:r>
            <w:r w:rsidR="00F33731">
              <w:rPr>
                <w:rFonts w:eastAsia="Times New Roman" w:cstheme="minorHAnsi"/>
                <w:sz w:val="22"/>
                <w:lang w:eastAsia="en-AU"/>
              </w:rPr>
              <w:t>–</w:t>
            </w:r>
            <w:r w:rsidR="00B6159C" w:rsidRPr="00C85E81">
              <w:rPr>
                <w:rFonts w:eastAsia="Times New Roman" w:cstheme="minorHAnsi"/>
                <w:sz w:val="22"/>
                <w:lang w:eastAsia="en-AU"/>
              </w:rPr>
              <w:t>23</w:t>
            </w:r>
          </w:p>
        </w:tc>
      </w:tr>
      <w:tr w:rsidR="005029CB" w:rsidRPr="00E62E92" w14:paraId="5EB95E31" w14:textId="77777777" w:rsidTr="00360131">
        <w:tc>
          <w:tcPr>
            <w:tcW w:w="9246" w:type="dxa"/>
            <w:tcBorders>
              <w:top w:val="single" w:sz="2" w:space="0" w:color="002279"/>
              <w:bottom w:val="single" w:sz="2" w:space="0" w:color="002279"/>
            </w:tcBorders>
          </w:tcPr>
          <w:p w14:paraId="6596F42F" w14:textId="450951A2" w:rsidR="00C85E81" w:rsidRPr="00C85E81" w:rsidRDefault="005029CB" w:rsidP="00C85E81">
            <w:pPr>
              <w:spacing w:after="0"/>
              <w:textAlignment w:val="baseline"/>
              <w:rPr>
                <w:rFonts w:eastAsia="Times New Roman" w:cstheme="minorHAnsi"/>
                <w:sz w:val="22"/>
                <w:lang w:eastAsia="en-AU"/>
              </w:rPr>
            </w:pPr>
            <w:r w:rsidRPr="00C85E81">
              <w:rPr>
                <w:rFonts w:eastAsia="Times New Roman" w:cstheme="minorHAnsi"/>
                <w:b/>
                <w:bCs/>
                <w:sz w:val="22"/>
                <w:lang w:eastAsia="en-AU"/>
              </w:rPr>
              <w:t xml:space="preserve">Assessment rationale: </w:t>
            </w:r>
            <w:r w:rsidR="00C85E81" w:rsidRPr="00C85E81">
              <w:rPr>
                <w:rFonts w:eastAsia="Times New Roman" w:cstheme="minorHAnsi"/>
                <w:sz w:val="22"/>
                <w:lang w:eastAsia="en-AU"/>
              </w:rPr>
              <w:t>Through the planning investigations South East Water have been able to reduce the required 2018</w:t>
            </w:r>
            <w:r w:rsidR="00F33731">
              <w:rPr>
                <w:rFonts w:eastAsia="Times New Roman" w:cstheme="minorHAnsi"/>
                <w:sz w:val="22"/>
                <w:lang w:eastAsia="en-AU"/>
              </w:rPr>
              <w:t>–</w:t>
            </w:r>
            <w:r w:rsidR="00C85E81" w:rsidRPr="00C85E81">
              <w:rPr>
                <w:rFonts w:eastAsia="Times New Roman" w:cstheme="minorHAnsi"/>
                <w:sz w:val="22"/>
                <w:lang w:eastAsia="en-AU"/>
              </w:rPr>
              <w:t>23</w:t>
            </w:r>
            <w:r w:rsidR="00A1315F">
              <w:rPr>
                <w:rFonts w:eastAsia="Times New Roman" w:cstheme="minorHAnsi"/>
                <w:sz w:val="22"/>
                <w:lang w:eastAsia="en-AU"/>
              </w:rPr>
              <w:t xml:space="preserve"> </w:t>
            </w:r>
            <w:r w:rsidR="00C85E81" w:rsidRPr="00C85E81">
              <w:rPr>
                <w:rFonts w:eastAsia="Times New Roman" w:cstheme="minorHAnsi"/>
                <w:sz w:val="22"/>
                <w:lang w:eastAsia="en-AU"/>
              </w:rPr>
              <w:t>scope from a P50 of $33.5 million (5.5</w:t>
            </w:r>
            <w:r w:rsidR="004B1926">
              <w:rPr>
                <w:rFonts w:eastAsia="Times New Roman" w:cstheme="minorHAnsi"/>
                <w:sz w:val="22"/>
                <w:lang w:eastAsia="en-AU"/>
              </w:rPr>
              <w:t xml:space="preserve"> </w:t>
            </w:r>
            <w:r w:rsidR="00C85E81" w:rsidRPr="00C85E81">
              <w:rPr>
                <w:rFonts w:eastAsia="Times New Roman" w:cstheme="minorHAnsi"/>
                <w:sz w:val="22"/>
                <w:lang w:eastAsia="en-AU"/>
              </w:rPr>
              <w:t>km) to a P50 of $12.2 million (1.5</w:t>
            </w:r>
            <w:r w:rsidR="00192A70">
              <w:rPr>
                <w:rFonts w:eastAsia="Times New Roman" w:cstheme="minorHAnsi"/>
                <w:sz w:val="22"/>
                <w:lang w:eastAsia="en-AU"/>
              </w:rPr>
              <w:t xml:space="preserve"> </w:t>
            </w:r>
            <w:r w:rsidR="002A08A6">
              <w:rPr>
                <w:rFonts w:eastAsia="Times New Roman" w:cstheme="minorHAnsi"/>
                <w:sz w:val="22"/>
                <w:lang w:eastAsia="en-AU"/>
              </w:rPr>
              <w:t>k</w:t>
            </w:r>
            <w:r w:rsidR="00192A70">
              <w:rPr>
                <w:rFonts w:eastAsia="Times New Roman" w:cstheme="minorHAnsi"/>
                <w:sz w:val="22"/>
                <w:lang w:eastAsia="en-AU"/>
              </w:rPr>
              <w:t>m</w:t>
            </w:r>
            <w:r w:rsidR="00C85E81" w:rsidRPr="00C85E81">
              <w:rPr>
                <w:rFonts w:eastAsia="Times New Roman" w:cstheme="minorHAnsi"/>
                <w:sz w:val="22"/>
                <w:lang w:eastAsia="en-AU"/>
              </w:rPr>
              <w:t>) with Murray Road works deferred until PS6. Capacity upgrades in the Mortimore Street sub-catchment were assessed to not be required until 2035.</w:t>
            </w:r>
            <w:r w:rsidR="00A1315F">
              <w:rPr>
                <w:rFonts w:eastAsia="Times New Roman" w:cstheme="minorHAnsi"/>
                <w:sz w:val="22"/>
                <w:lang w:eastAsia="en-AU"/>
              </w:rPr>
              <w:t xml:space="preserve"> </w:t>
            </w:r>
          </w:p>
          <w:p w14:paraId="28CB5515" w14:textId="118D8E98" w:rsidR="00C85E81" w:rsidRPr="00C85E81" w:rsidRDefault="00C85E81" w:rsidP="00C85E81">
            <w:pPr>
              <w:spacing w:after="0"/>
              <w:textAlignment w:val="baseline"/>
              <w:rPr>
                <w:rFonts w:eastAsia="Times New Roman" w:cstheme="minorHAnsi"/>
                <w:sz w:val="22"/>
                <w:lang w:eastAsia="en-AU"/>
              </w:rPr>
            </w:pPr>
            <w:r w:rsidRPr="00C85E81">
              <w:rPr>
                <w:rFonts w:eastAsia="Times New Roman" w:cstheme="minorHAnsi"/>
                <w:sz w:val="22"/>
                <w:lang w:eastAsia="en-AU"/>
              </w:rPr>
              <w:t>South East Water</w:t>
            </w:r>
            <w:r w:rsidR="00612583">
              <w:rPr>
                <w:rFonts w:eastAsia="Times New Roman" w:cstheme="minorHAnsi"/>
                <w:sz w:val="22"/>
                <w:lang w:eastAsia="en-AU"/>
              </w:rPr>
              <w:t>’</w:t>
            </w:r>
            <w:r w:rsidRPr="00C85E81">
              <w:rPr>
                <w:rFonts w:eastAsia="Times New Roman" w:cstheme="minorHAnsi"/>
                <w:sz w:val="22"/>
                <w:lang w:eastAsia="en-AU"/>
              </w:rPr>
              <w:t>s decision to not seek funding for the scope of works proposed in Price Submission 2018</w:t>
            </w:r>
            <w:r w:rsidR="00F33731">
              <w:rPr>
                <w:rFonts w:eastAsia="Times New Roman" w:cstheme="minorHAnsi"/>
                <w:sz w:val="22"/>
                <w:lang w:eastAsia="en-AU"/>
              </w:rPr>
              <w:t>–</w:t>
            </w:r>
            <w:r w:rsidRPr="00C85E81">
              <w:rPr>
                <w:rFonts w:eastAsia="Times New Roman" w:cstheme="minorHAnsi"/>
                <w:sz w:val="22"/>
                <w:lang w:eastAsia="en-AU"/>
              </w:rPr>
              <w:t>23 but instead seek a lower cost alternative has proved to be a sound decision resulting in reduced capital expenditure to address the system deficiencies. </w:t>
            </w:r>
            <w:r w:rsidR="00A1315F">
              <w:rPr>
                <w:rFonts w:eastAsia="Times New Roman" w:cstheme="minorHAnsi"/>
                <w:sz w:val="22"/>
                <w:lang w:eastAsia="en-AU"/>
              </w:rPr>
              <w:t xml:space="preserve"> </w:t>
            </w:r>
          </w:p>
          <w:p w14:paraId="6079E9E7" w14:textId="76F07088" w:rsidR="00C85E81" w:rsidRPr="00C85E81" w:rsidRDefault="00C85E81" w:rsidP="00C85E81">
            <w:pPr>
              <w:spacing w:after="0"/>
              <w:textAlignment w:val="baseline"/>
              <w:rPr>
                <w:rFonts w:eastAsia="Times New Roman" w:cstheme="minorHAnsi"/>
                <w:sz w:val="22"/>
                <w:lang w:eastAsia="en-AU"/>
              </w:rPr>
            </w:pPr>
            <w:r w:rsidRPr="00C85E81">
              <w:rPr>
                <w:rFonts w:eastAsia="Times New Roman" w:cstheme="minorHAnsi"/>
                <w:sz w:val="22"/>
                <w:lang w:eastAsia="en-AU"/>
              </w:rPr>
              <w:t>The $14.1</w:t>
            </w:r>
            <w:r w:rsidR="009F21F0">
              <w:rPr>
                <w:rFonts w:eastAsia="Times New Roman" w:cstheme="minorHAnsi"/>
                <w:sz w:val="22"/>
                <w:lang w:eastAsia="en-AU"/>
              </w:rPr>
              <w:t>m</w:t>
            </w:r>
            <w:r w:rsidRPr="00C85E81">
              <w:rPr>
                <w:rFonts w:eastAsia="Times New Roman" w:cstheme="minorHAnsi"/>
                <w:sz w:val="22"/>
                <w:lang w:eastAsia="en-AU"/>
              </w:rPr>
              <w:t xml:space="preserve"> P95 budget to complete the works was allocated from savings within the Sewer Growth program. An assessment of generally consistent with the 2018</w:t>
            </w:r>
            <w:r w:rsidR="00F33731">
              <w:rPr>
                <w:rFonts w:eastAsia="Times New Roman" w:cstheme="minorHAnsi"/>
                <w:sz w:val="22"/>
                <w:lang w:eastAsia="en-AU"/>
              </w:rPr>
              <w:t>–</w:t>
            </w:r>
            <w:r w:rsidRPr="00C85E81">
              <w:rPr>
                <w:rFonts w:eastAsia="Times New Roman" w:cstheme="minorHAnsi"/>
                <w:sz w:val="22"/>
                <w:lang w:eastAsia="en-AU"/>
              </w:rPr>
              <w:t>23 commitment was applied in consideration of:</w:t>
            </w:r>
            <w:r w:rsidR="00A1315F">
              <w:rPr>
                <w:rFonts w:eastAsia="Times New Roman" w:cstheme="minorHAnsi"/>
                <w:sz w:val="22"/>
                <w:lang w:eastAsia="en-AU"/>
              </w:rPr>
              <w:t xml:space="preserve"> </w:t>
            </w:r>
          </w:p>
          <w:p w14:paraId="400F2440" w14:textId="327CDEC2" w:rsidR="00C85E81" w:rsidRPr="00C85E81" w:rsidRDefault="00C85E81">
            <w:pPr>
              <w:pStyle w:val="ListParagraph"/>
              <w:numPr>
                <w:ilvl w:val="0"/>
                <w:numId w:val="120"/>
              </w:numPr>
              <w:spacing w:after="0"/>
              <w:ind w:left="738"/>
              <w:textAlignment w:val="baseline"/>
              <w:rPr>
                <w:rFonts w:eastAsia="Times New Roman" w:cstheme="minorHAnsi"/>
                <w:sz w:val="22"/>
                <w:lang w:eastAsia="en-AU"/>
              </w:rPr>
            </w:pPr>
            <w:r w:rsidRPr="00C85E81">
              <w:rPr>
                <w:rFonts w:eastAsia="Times New Roman" w:cstheme="minorHAnsi"/>
                <w:sz w:val="22"/>
                <w:lang w:eastAsia="en-AU"/>
              </w:rPr>
              <w:t>The extent of investigations demonstrating our commitment to get the basics right, always.</w:t>
            </w:r>
            <w:r w:rsidR="00A1315F">
              <w:rPr>
                <w:rFonts w:eastAsia="Times New Roman" w:cstheme="minorHAnsi"/>
                <w:sz w:val="22"/>
                <w:lang w:eastAsia="en-AU"/>
              </w:rPr>
              <w:t xml:space="preserve"> </w:t>
            </w:r>
          </w:p>
          <w:p w14:paraId="1FEE8338" w14:textId="25694056" w:rsidR="00C85E81" w:rsidRPr="00C85E81" w:rsidRDefault="00C85E81">
            <w:pPr>
              <w:pStyle w:val="ListParagraph"/>
              <w:numPr>
                <w:ilvl w:val="0"/>
                <w:numId w:val="120"/>
              </w:numPr>
              <w:spacing w:after="0"/>
              <w:ind w:left="738"/>
              <w:textAlignment w:val="baseline"/>
              <w:rPr>
                <w:rFonts w:eastAsia="Times New Roman" w:cstheme="minorHAnsi"/>
                <w:sz w:val="22"/>
                <w:lang w:eastAsia="en-AU"/>
              </w:rPr>
            </w:pPr>
            <w:r w:rsidRPr="00C85E81">
              <w:rPr>
                <w:rFonts w:eastAsia="Times New Roman" w:cstheme="minorHAnsi"/>
                <w:sz w:val="22"/>
                <w:lang w:eastAsia="en-AU"/>
              </w:rPr>
              <w:t>The revised and significantly reduced solution achieves the objective to improve network capacity, prevent future wet weather spills and ensure safe and reliable sewerage services with a high degree of confidence including under climate change scenarios.</w:t>
            </w:r>
            <w:r w:rsidR="00A1315F">
              <w:rPr>
                <w:rFonts w:eastAsia="Times New Roman" w:cstheme="minorHAnsi"/>
                <w:sz w:val="22"/>
                <w:lang w:eastAsia="en-AU"/>
              </w:rPr>
              <w:t xml:space="preserve"> </w:t>
            </w:r>
          </w:p>
          <w:p w14:paraId="1C2CB843" w14:textId="011A0A92" w:rsidR="00C85E81" w:rsidRPr="00C85E81" w:rsidRDefault="00C85E81">
            <w:pPr>
              <w:pStyle w:val="ListParagraph"/>
              <w:numPr>
                <w:ilvl w:val="0"/>
                <w:numId w:val="120"/>
              </w:numPr>
              <w:spacing w:after="0"/>
              <w:ind w:left="738"/>
              <w:textAlignment w:val="baseline"/>
              <w:rPr>
                <w:rFonts w:eastAsia="Times New Roman" w:cstheme="minorHAnsi"/>
                <w:sz w:val="22"/>
                <w:lang w:eastAsia="en-AU"/>
              </w:rPr>
            </w:pPr>
            <w:r w:rsidRPr="00C85E81">
              <w:rPr>
                <w:rFonts w:eastAsia="Times New Roman" w:cstheme="minorHAnsi"/>
                <w:sz w:val="22"/>
                <w:lang w:eastAsia="en-AU"/>
              </w:rPr>
              <w:t>The unfunded 2018</w:t>
            </w:r>
            <w:r w:rsidR="00F33731">
              <w:rPr>
                <w:rFonts w:eastAsia="Times New Roman" w:cstheme="minorHAnsi"/>
                <w:sz w:val="22"/>
                <w:lang w:eastAsia="en-AU"/>
              </w:rPr>
              <w:t>–</w:t>
            </w:r>
            <w:r w:rsidRPr="00C85E81">
              <w:rPr>
                <w:rFonts w:eastAsia="Times New Roman" w:cstheme="minorHAnsi"/>
                <w:sz w:val="22"/>
                <w:lang w:eastAsia="en-AU"/>
              </w:rPr>
              <w:t>23 expenditure was accommodated within the sewer growth budget </w:t>
            </w:r>
          </w:p>
          <w:p w14:paraId="7AA5AFAA" w14:textId="170ABAF2" w:rsidR="00C85E81" w:rsidRPr="00C85E81" w:rsidRDefault="00C85E81">
            <w:pPr>
              <w:pStyle w:val="ListParagraph"/>
              <w:numPr>
                <w:ilvl w:val="0"/>
                <w:numId w:val="120"/>
              </w:numPr>
              <w:spacing w:after="0"/>
              <w:ind w:left="738"/>
              <w:textAlignment w:val="baseline"/>
              <w:rPr>
                <w:rFonts w:eastAsia="Times New Roman" w:cstheme="minorHAnsi"/>
                <w:sz w:val="22"/>
                <w:lang w:eastAsia="en-AU"/>
              </w:rPr>
            </w:pPr>
            <w:r w:rsidRPr="00C85E81">
              <w:rPr>
                <w:rFonts w:eastAsia="Times New Roman" w:cstheme="minorHAnsi"/>
                <w:sz w:val="22"/>
                <w:lang w:eastAsia="en-AU"/>
              </w:rPr>
              <w:t>The project is forecast to be 90% complete within the period, this delay was triggered by the need to apply the revised rainfall standard which was not available till 2020.</w:t>
            </w:r>
            <w:r w:rsidR="00A1315F">
              <w:rPr>
                <w:rFonts w:eastAsia="Times New Roman" w:cstheme="minorHAnsi"/>
                <w:sz w:val="22"/>
                <w:lang w:eastAsia="en-AU"/>
              </w:rPr>
              <w:t xml:space="preserve"> </w:t>
            </w:r>
          </w:p>
          <w:p w14:paraId="4150F7FB" w14:textId="5F142B93" w:rsidR="00C85E81" w:rsidRPr="00C85E81" w:rsidRDefault="00C85E81">
            <w:pPr>
              <w:pStyle w:val="ListParagraph"/>
              <w:numPr>
                <w:ilvl w:val="0"/>
                <w:numId w:val="120"/>
              </w:numPr>
              <w:spacing w:after="0"/>
              <w:ind w:left="738"/>
              <w:textAlignment w:val="baseline"/>
              <w:rPr>
                <w:rFonts w:eastAsia="Times New Roman" w:cstheme="minorHAnsi"/>
                <w:sz w:val="22"/>
                <w:lang w:eastAsia="en-AU"/>
              </w:rPr>
            </w:pPr>
            <w:r w:rsidRPr="00C85E81">
              <w:rPr>
                <w:rFonts w:eastAsia="Times New Roman" w:cstheme="minorHAnsi"/>
                <w:sz w:val="22"/>
                <w:lang w:eastAsia="en-AU"/>
              </w:rPr>
              <w:t>The project is forecast to be completed in Q1 2023/24 at a forecast cost of $10.95</w:t>
            </w:r>
            <w:r w:rsidR="009F21F0">
              <w:rPr>
                <w:rFonts w:eastAsia="Times New Roman" w:cstheme="minorHAnsi"/>
                <w:sz w:val="22"/>
                <w:lang w:eastAsia="en-AU"/>
              </w:rPr>
              <w:t>m</w:t>
            </w:r>
            <w:r w:rsidRPr="00C85E81">
              <w:rPr>
                <w:rFonts w:eastAsia="Times New Roman" w:cstheme="minorHAnsi"/>
                <w:sz w:val="22"/>
                <w:lang w:eastAsia="en-AU"/>
              </w:rPr>
              <w:t xml:space="preserve"> (representing a 33% saving on the approved business case).</w:t>
            </w:r>
            <w:r w:rsidR="00A1315F">
              <w:rPr>
                <w:rFonts w:eastAsia="Times New Roman" w:cstheme="minorHAnsi"/>
                <w:sz w:val="22"/>
                <w:lang w:eastAsia="en-AU"/>
              </w:rPr>
              <w:t xml:space="preserve"> </w:t>
            </w:r>
          </w:p>
          <w:p w14:paraId="49C9D33B" w14:textId="55715F75" w:rsidR="005029CB" w:rsidRPr="00C85E81" w:rsidRDefault="005029CB" w:rsidP="000C0D03">
            <w:pPr>
              <w:pStyle w:val="paragraph"/>
              <w:spacing w:before="0" w:beforeAutospacing="0" w:after="0" w:afterAutospacing="0"/>
              <w:textAlignment w:val="baseline"/>
              <w:rPr>
                <w:rFonts w:asciiTheme="minorHAnsi" w:hAnsiTheme="minorHAnsi" w:cstheme="minorHAnsi"/>
                <w:b/>
                <w:bCs/>
                <w:sz w:val="22"/>
              </w:rPr>
            </w:pPr>
          </w:p>
        </w:tc>
      </w:tr>
    </w:tbl>
    <w:p w14:paraId="7ADE6CC5" w14:textId="5A2081EB" w:rsidR="000E04A7" w:rsidRDefault="000E04A7" w:rsidP="002B124D">
      <w:pPr>
        <w:spacing w:after="0"/>
        <w:textAlignment w:val="baseline"/>
        <w:rPr>
          <w:rFonts w:ascii="Segoe UI" w:eastAsia="Times New Roman" w:hAnsi="Segoe UI" w:cs="Segoe UI"/>
          <w:sz w:val="18"/>
          <w:szCs w:val="18"/>
          <w:lang w:eastAsia="en-AU"/>
        </w:rPr>
      </w:pPr>
    </w:p>
    <w:p w14:paraId="2C250165" w14:textId="77777777" w:rsidR="00691855" w:rsidRPr="002B124D" w:rsidRDefault="00691855" w:rsidP="002B124D">
      <w:pPr>
        <w:spacing w:after="0"/>
        <w:textAlignment w:val="baseline"/>
        <w:rPr>
          <w:rFonts w:ascii="Segoe UI" w:eastAsia="Times New Roman" w:hAnsi="Segoe UI" w:cs="Segoe UI"/>
          <w:sz w:val="18"/>
          <w:szCs w:val="18"/>
          <w:lang w:eastAsia="en-AU"/>
        </w:rPr>
      </w:pPr>
    </w:p>
    <w:tbl>
      <w:tblPr>
        <w:tblStyle w:val="MJTableStyle1default"/>
        <w:tblW w:w="9246" w:type="dxa"/>
        <w:tblInd w:w="0" w:type="dxa"/>
        <w:tblCellMar>
          <w:top w:w="57" w:type="dxa"/>
        </w:tblCellMar>
        <w:tblLook w:val="06A0" w:firstRow="1" w:lastRow="0" w:firstColumn="1" w:lastColumn="0" w:noHBand="1" w:noVBand="1"/>
      </w:tblPr>
      <w:tblGrid>
        <w:gridCol w:w="9246"/>
      </w:tblGrid>
      <w:tr w:rsidR="00B40C06" w:rsidRPr="00601368" w14:paraId="4441FDE3" w14:textId="77777777" w:rsidTr="00360131">
        <w:trPr>
          <w:cnfStyle w:val="100000000000" w:firstRow="1" w:lastRow="0" w:firstColumn="0" w:lastColumn="0" w:oddVBand="0" w:evenVBand="0" w:oddHBand="0" w:evenHBand="0" w:firstRowFirstColumn="0" w:firstRowLastColumn="0" w:lastRowFirstColumn="0" w:lastRowLastColumn="0"/>
          <w:trHeight w:val="531"/>
          <w:tblHeader/>
        </w:trPr>
        <w:tc>
          <w:tcPr>
            <w:tcW w:w="0" w:type="dxa"/>
            <w:tcBorders>
              <w:top w:val="single" w:sz="2" w:space="0" w:color="002279"/>
              <w:bottom w:val="single" w:sz="2" w:space="0" w:color="002279"/>
            </w:tcBorders>
            <w:shd w:val="clear" w:color="auto" w:fill="002279"/>
            <w:vAlign w:val="center"/>
          </w:tcPr>
          <w:p w14:paraId="6ABF3430" w14:textId="5D4ED6B8" w:rsidR="00B40C06" w:rsidRPr="00116E55" w:rsidRDefault="00B40C06" w:rsidP="00825A9C">
            <w:pPr>
              <w:pStyle w:val="Heading2"/>
              <w:outlineLvl w:val="1"/>
              <w:rPr>
                <w:rFonts w:cstheme="minorHAnsi"/>
                <w:sz w:val="22"/>
                <w:szCs w:val="22"/>
              </w:rPr>
            </w:pPr>
            <w:r w:rsidRPr="00116E55">
              <w:rPr>
                <w:color w:val="FFFFFF" w:themeColor="background1"/>
                <w:sz w:val="22"/>
                <w:szCs w:val="22"/>
              </w:rPr>
              <w:t>PROJECT 6: Fishermans Bend land purchase</w:t>
            </w:r>
            <w:r w:rsidR="00A1315F" w:rsidRPr="00116E55">
              <w:rPr>
                <w:color w:val="FFFFFF" w:themeColor="background1"/>
                <w:sz w:val="22"/>
                <w:szCs w:val="22"/>
              </w:rPr>
              <w:t xml:space="preserve"> </w:t>
            </w:r>
          </w:p>
        </w:tc>
      </w:tr>
      <w:tr w:rsidR="00B40C06" w:rsidRPr="00601368" w14:paraId="2252459E" w14:textId="77777777" w:rsidTr="00360131">
        <w:tc>
          <w:tcPr>
            <w:tcW w:w="0" w:type="dxa"/>
            <w:tcBorders>
              <w:top w:val="single" w:sz="2" w:space="0" w:color="002279"/>
              <w:bottom w:val="single" w:sz="2" w:space="0" w:color="002279"/>
            </w:tcBorders>
          </w:tcPr>
          <w:p w14:paraId="3D0C7787" w14:textId="6A558F86" w:rsidR="00B40C06" w:rsidRPr="006E6D43" w:rsidRDefault="00B40C06" w:rsidP="000C0D03">
            <w:pPr>
              <w:spacing w:line="259" w:lineRule="auto"/>
              <w:rPr>
                <w:rFonts w:cstheme="minorHAnsi"/>
                <w:sz w:val="22"/>
              </w:rPr>
            </w:pPr>
            <w:r w:rsidRPr="006E6D43">
              <w:rPr>
                <w:rFonts w:cstheme="minorHAnsi"/>
                <w:b/>
                <w:sz w:val="22"/>
              </w:rPr>
              <w:t xml:space="preserve">Major service: </w:t>
            </w:r>
            <w:r w:rsidRPr="006E6D43">
              <w:rPr>
                <w:rFonts w:cstheme="minorHAnsi"/>
                <w:bCs/>
                <w:sz w:val="22"/>
              </w:rPr>
              <w:t>Recycled water</w:t>
            </w:r>
            <w:r w:rsidRPr="006E6D43">
              <w:rPr>
                <w:rFonts w:cstheme="minorHAnsi"/>
                <w:b/>
                <w:sz w:val="22"/>
              </w:rPr>
              <w:t xml:space="preserve"> </w:t>
            </w:r>
          </w:p>
        </w:tc>
      </w:tr>
      <w:tr w:rsidR="00B40C06" w:rsidRPr="00601368" w14:paraId="0D5E744D" w14:textId="77777777" w:rsidTr="00360131">
        <w:tc>
          <w:tcPr>
            <w:tcW w:w="0" w:type="dxa"/>
            <w:tcBorders>
              <w:top w:val="single" w:sz="2" w:space="0" w:color="002279"/>
              <w:bottom w:val="single" w:sz="2" w:space="0" w:color="002279"/>
            </w:tcBorders>
          </w:tcPr>
          <w:p w14:paraId="4945947E" w14:textId="0B88A251" w:rsidR="00B40C06" w:rsidRPr="006E6D43" w:rsidRDefault="00B40C06" w:rsidP="000C0D03">
            <w:pPr>
              <w:spacing w:line="259" w:lineRule="auto"/>
              <w:rPr>
                <w:rFonts w:cstheme="minorHAnsi"/>
                <w:sz w:val="22"/>
              </w:rPr>
            </w:pPr>
            <w:r w:rsidRPr="006E6D43">
              <w:rPr>
                <w:rFonts w:cstheme="minorHAnsi"/>
                <w:b/>
                <w:sz w:val="22"/>
              </w:rPr>
              <w:t xml:space="preserve">Asset category: </w:t>
            </w:r>
            <w:r w:rsidRPr="006E6D43">
              <w:rPr>
                <w:rFonts w:cstheme="minorHAnsi"/>
                <w:bCs/>
                <w:sz w:val="22"/>
              </w:rPr>
              <w:t>Corporate</w:t>
            </w:r>
            <w:r w:rsidR="00A1315F">
              <w:rPr>
                <w:rFonts w:cstheme="minorHAnsi"/>
                <w:bCs/>
                <w:sz w:val="22"/>
              </w:rPr>
              <w:t xml:space="preserve"> </w:t>
            </w:r>
          </w:p>
        </w:tc>
      </w:tr>
      <w:tr w:rsidR="00B40C06" w:rsidRPr="00601368" w14:paraId="54D832A7" w14:textId="77777777" w:rsidTr="00360131">
        <w:tc>
          <w:tcPr>
            <w:tcW w:w="0" w:type="dxa"/>
            <w:tcBorders>
              <w:top w:val="single" w:sz="2" w:space="0" w:color="002279"/>
              <w:bottom w:val="single" w:sz="2" w:space="0" w:color="002279"/>
            </w:tcBorders>
          </w:tcPr>
          <w:p w14:paraId="7BA06F3B" w14:textId="23D88A82" w:rsidR="00B40C06" w:rsidRPr="006E6D43" w:rsidRDefault="00B40C06" w:rsidP="000C0D03">
            <w:pPr>
              <w:spacing w:line="259" w:lineRule="auto"/>
              <w:rPr>
                <w:rFonts w:cstheme="minorHAnsi"/>
                <w:b/>
                <w:sz w:val="22"/>
              </w:rPr>
            </w:pPr>
            <w:r w:rsidRPr="006E6D43">
              <w:rPr>
                <w:rFonts w:cstheme="minorHAnsi"/>
                <w:b/>
                <w:sz w:val="22"/>
              </w:rPr>
              <w:t xml:space="preserve">Driver: </w:t>
            </w:r>
            <w:r w:rsidRPr="006E6D43">
              <w:rPr>
                <w:rFonts w:cstheme="minorHAnsi"/>
                <w:bCs/>
                <w:sz w:val="22"/>
              </w:rPr>
              <w:t>Improvement</w:t>
            </w:r>
            <w:r w:rsidR="00E27178">
              <w:rPr>
                <w:rFonts w:cstheme="minorHAnsi"/>
                <w:bCs/>
                <w:sz w:val="22"/>
              </w:rPr>
              <w:t>/</w:t>
            </w:r>
            <w:r w:rsidRPr="006E6D43">
              <w:rPr>
                <w:rFonts w:cstheme="minorHAnsi"/>
                <w:bCs/>
                <w:sz w:val="22"/>
              </w:rPr>
              <w:t>compliance</w:t>
            </w:r>
            <w:r w:rsidRPr="006E6D43">
              <w:rPr>
                <w:rFonts w:cstheme="minorHAnsi"/>
                <w:b/>
                <w:sz w:val="22"/>
              </w:rPr>
              <w:t xml:space="preserve"> </w:t>
            </w:r>
          </w:p>
        </w:tc>
      </w:tr>
      <w:tr w:rsidR="00B40C06" w:rsidRPr="00601368" w14:paraId="01916BE0" w14:textId="77777777" w:rsidTr="00360131">
        <w:trPr>
          <w:trHeight w:val="654"/>
        </w:trPr>
        <w:tc>
          <w:tcPr>
            <w:tcW w:w="0" w:type="dxa"/>
            <w:tcBorders>
              <w:top w:val="single" w:sz="2" w:space="0" w:color="002279"/>
              <w:bottom w:val="single" w:sz="2" w:space="0" w:color="002279"/>
            </w:tcBorders>
          </w:tcPr>
          <w:p w14:paraId="59BB4D4D" w14:textId="08FA3F28" w:rsidR="00B40C06" w:rsidRPr="006E6D43" w:rsidRDefault="00B40C06" w:rsidP="007E6BAC">
            <w:pPr>
              <w:spacing w:after="0"/>
              <w:textAlignment w:val="baseline"/>
              <w:rPr>
                <w:rFonts w:cstheme="minorHAnsi"/>
                <w:sz w:val="22"/>
              </w:rPr>
            </w:pPr>
            <w:r w:rsidRPr="006E6D43">
              <w:rPr>
                <w:rFonts w:cstheme="minorHAnsi"/>
                <w:b/>
                <w:sz w:val="22"/>
              </w:rPr>
              <w:t xml:space="preserve">Description: </w:t>
            </w:r>
            <w:r w:rsidR="007E6BAC" w:rsidRPr="006E6D43">
              <w:rPr>
                <w:rFonts w:eastAsia="Times New Roman" w:cs="Arial"/>
                <w:sz w:val="22"/>
                <w:lang w:eastAsia="en-AU"/>
              </w:rPr>
              <w:t>Purchase land to build a future water recycling plant to service the Fishermans Bend redevelopment area and meet the needs of the Fishermans Bend Framework Plan</w:t>
            </w:r>
          </w:p>
        </w:tc>
      </w:tr>
      <w:tr w:rsidR="00B40C06" w:rsidRPr="00601368" w14:paraId="46F52036" w14:textId="77777777" w:rsidTr="00360131">
        <w:tc>
          <w:tcPr>
            <w:tcW w:w="0" w:type="dxa"/>
            <w:tcBorders>
              <w:top w:val="single" w:sz="2" w:space="0" w:color="002279"/>
              <w:bottom w:val="single" w:sz="2" w:space="0" w:color="002279"/>
            </w:tcBorders>
          </w:tcPr>
          <w:p w14:paraId="42E42F3D" w14:textId="71AEB707" w:rsidR="00B40C06" w:rsidRPr="006E6D43" w:rsidRDefault="00B40C06" w:rsidP="000C0D03">
            <w:pPr>
              <w:rPr>
                <w:rFonts w:cstheme="minorHAnsi"/>
                <w:sz w:val="22"/>
              </w:rPr>
            </w:pPr>
            <w:r w:rsidRPr="006E6D43">
              <w:rPr>
                <w:rFonts w:cstheme="minorHAnsi"/>
                <w:b/>
                <w:sz w:val="22"/>
              </w:rPr>
              <w:t>Customer outcome:</w:t>
            </w:r>
            <w:r w:rsidRPr="006E6D43">
              <w:rPr>
                <w:rFonts w:cstheme="minorHAnsi"/>
                <w:sz w:val="22"/>
              </w:rPr>
              <w:t xml:space="preserve"> </w:t>
            </w:r>
            <w:r w:rsidR="007E6BAC" w:rsidRPr="006E6D43">
              <w:rPr>
                <w:rFonts w:cstheme="minorHAnsi"/>
                <w:sz w:val="22"/>
              </w:rPr>
              <w:t>Support my community, protect our environment</w:t>
            </w:r>
            <w:r w:rsidR="00A1315F">
              <w:rPr>
                <w:rFonts w:cstheme="minorHAnsi"/>
                <w:sz w:val="22"/>
              </w:rPr>
              <w:t xml:space="preserve"> </w:t>
            </w:r>
          </w:p>
        </w:tc>
      </w:tr>
      <w:tr w:rsidR="00B40C06" w:rsidRPr="00601368" w14:paraId="36D77309" w14:textId="77777777" w:rsidTr="00360131">
        <w:trPr>
          <w:trHeight w:val="993"/>
        </w:trPr>
        <w:tc>
          <w:tcPr>
            <w:tcW w:w="0" w:type="dxa"/>
            <w:tcBorders>
              <w:top w:val="single" w:sz="2" w:space="0" w:color="002279"/>
              <w:bottom w:val="single" w:sz="2" w:space="0" w:color="002279"/>
            </w:tcBorders>
            <w:vAlign w:val="center"/>
          </w:tcPr>
          <w:p w14:paraId="1C59A9E5" w14:textId="23B20F76" w:rsidR="00B40C06" w:rsidRPr="006E6D43" w:rsidRDefault="00B40C06" w:rsidP="00C7419B">
            <w:pPr>
              <w:spacing w:after="0"/>
              <w:textAlignment w:val="baseline"/>
              <w:rPr>
                <w:rFonts w:eastAsia="Times New Roman" w:cstheme="minorHAnsi"/>
                <w:b/>
                <w:bCs/>
                <w:sz w:val="22"/>
                <w:lang w:eastAsia="en-AU"/>
              </w:rPr>
            </w:pPr>
            <w:r w:rsidRPr="006E6D43">
              <w:rPr>
                <w:rFonts w:eastAsia="Times New Roman" w:cstheme="minorHAnsi"/>
                <w:b/>
                <w:bCs/>
                <w:sz w:val="22"/>
                <w:lang w:eastAsia="en-AU"/>
              </w:rPr>
              <w:t>Objective:</w:t>
            </w:r>
            <w:r w:rsidRPr="006E6D43">
              <w:rPr>
                <w:rFonts w:eastAsia="Times New Roman" w:cstheme="minorHAnsi"/>
                <w:sz w:val="22"/>
                <w:lang w:eastAsia="en-AU"/>
              </w:rPr>
              <w:t xml:space="preserve"> </w:t>
            </w:r>
            <w:r w:rsidR="00C7419B" w:rsidRPr="006E6D43">
              <w:rPr>
                <w:rFonts w:eastAsia="Times New Roman" w:cs="Arial"/>
                <w:sz w:val="22"/>
                <w:lang w:eastAsia="en-AU"/>
              </w:rPr>
              <w:t>The land purchase is a key enabler of the IWM servicing strategy. Government policy through Water for Victoria and more specifically the draft Fishermans Bend Framework Plan supports this approach. </w:t>
            </w:r>
          </w:p>
        </w:tc>
      </w:tr>
      <w:tr w:rsidR="00B40C06" w:rsidRPr="00601368" w14:paraId="73F07777" w14:textId="77777777" w:rsidTr="00360131">
        <w:tc>
          <w:tcPr>
            <w:tcW w:w="0" w:type="dxa"/>
            <w:tcBorders>
              <w:top w:val="single" w:sz="2" w:space="0" w:color="002279"/>
              <w:bottom w:val="single" w:sz="2" w:space="0" w:color="002279"/>
            </w:tcBorders>
          </w:tcPr>
          <w:p w14:paraId="0264E6A2" w14:textId="113D46BA" w:rsidR="00B40C06" w:rsidRPr="006E6D43" w:rsidRDefault="00B40C06" w:rsidP="000C0D03">
            <w:pPr>
              <w:spacing w:line="259" w:lineRule="auto"/>
              <w:rPr>
                <w:rFonts w:cstheme="minorHAnsi"/>
                <w:b/>
                <w:sz w:val="22"/>
              </w:rPr>
            </w:pPr>
            <w:r w:rsidRPr="006E6D43">
              <w:rPr>
                <w:rFonts w:eastAsia="Times New Roman" w:cstheme="minorHAnsi"/>
                <w:b/>
                <w:bCs/>
                <w:sz w:val="22"/>
                <w:lang w:eastAsia="en-AU"/>
              </w:rPr>
              <w:t>Benefits:</w:t>
            </w:r>
            <w:r w:rsidRPr="006E6D43">
              <w:rPr>
                <w:rFonts w:eastAsia="Times New Roman" w:cstheme="minorHAnsi"/>
                <w:sz w:val="22"/>
                <w:lang w:eastAsia="en-AU"/>
              </w:rPr>
              <w:t xml:space="preserve"> </w:t>
            </w:r>
            <w:r w:rsidR="000A7108" w:rsidRPr="006E6D43">
              <w:rPr>
                <w:rFonts w:eastAsia="Times New Roman" w:cs="Arial"/>
                <w:sz w:val="22"/>
                <w:lang w:eastAsia="en-AU"/>
              </w:rPr>
              <w:t>The land will provide the location for the proposed Fishermans Bend</w:t>
            </w:r>
            <w:r w:rsidR="002546C6">
              <w:rPr>
                <w:rFonts w:eastAsia="Times New Roman" w:cs="Arial"/>
                <w:sz w:val="22"/>
                <w:lang w:eastAsia="en-AU"/>
              </w:rPr>
              <w:t xml:space="preserve"> </w:t>
            </w:r>
            <w:r w:rsidR="00E14DE5">
              <w:rPr>
                <w:rFonts w:cs="Arial"/>
                <w:sz w:val="22"/>
                <w:szCs w:val="24"/>
              </w:rPr>
              <w:t>Water Recycling Plant</w:t>
            </w:r>
          </w:p>
        </w:tc>
      </w:tr>
      <w:tr w:rsidR="00B40C06" w:rsidRPr="00601368" w14:paraId="611EA06E" w14:textId="77777777" w:rsidTr="00360131">
        <w:tc>
          <w:tcPr>
            <w:tcW w:w="0" w:type="dxa"/>
            <w:tcBorders>
              <w:top w:val="single" w:sz="2" w:space="0" w:color="002279"/>
              <w:bottom w:val="single" w:sz="2" w:space="0" w:color="002279"/>
            </w:tcBorders>
            <w:vAlign w:val="center"/>
          </w:tcPr>
          <w:p w14:paraId="6B240D49" w14:textId="3B277ACA" w:rsidR="00B40C06" w:rsidRPr="006E6D43" w:rsidRDefault="00B40C06" w:rsidP="000C0D03">
            <w:pPr>
              <w:pStyle w:val="BodyText"/>
              <w:rPr>
                <w:rFonts w:eastAsia="Times New Roman" w:cstheme="minorHAnsi"/>
                <w:b/>
                <w:bCs/>
                <w:sz w:val="22"/>
                <w:lang w:eastAsia="en-AU"/>
              </w:rPr>
            </w:pPr>
            <w:r w:rsidRPr="006E6D43">
              <w:rPr>
                <w:rFonts w:eastAsia="Times New Roman" w:cstheme="minorHAnsi"/>
                <w:b/>
                <w:bCs/>
                <w:sz w:val="22"/>
                <w:lang w:eastAsia="en-AU"/>
              </w:rPr>
              <w:t>2018</w:t>
            </w:r>
            <w:r w:rsidR="00F33731">
              <w:rPr>
                <w:rFonts w:eastAsia="Times New Roman" w:cstheme="minorHAnsi"/>
                <w:b/>
                <w:bCs/>
                <w:sz w:val="22"/>
                <w:lang w:eastAsia="en-AU"/>
              </w:rPr>
              <w:t>–</w:t>
            </w:r>
            <w:r w:rsidRPr="006E6D43">
              <w:rPr>
                <w:rFonts w:eastAsia="Times New Roman" w:cstheme="minorHAnsi"/>
                <w:b/>
                <w:bCs/>
                <w:sz w:val="22"/>
                <w:lang w:eastAsia="en-AU"/>
              </w:rPr>
              <w:t xml:space="preserve">2023 estimate $ submitted to ESC: </w:t>
            </w:r>
            <w:r w:rsidR="00580524" w:rsidRPr="006E6D43">
              <w:rPr>
                <w:rFonts w:eastAsia="Times New Roman" w:cs="Arial"/>
                <w:sz w:val="22"/>
                <w:lang w:eastAsia="en-AU"/>
              </w:rPr>
              <w:t>$30.5m </w:t>
            </w:r>
          </w:p>
        </w:tc>
      </w:tr>
      <w:tr w:rsidR="00B40C06" w:rsidRPr="00601368" w14:paraId="0E23F98F" w14:textId="77777777" w:rsidTr="00360131">
        <w:tc>
          <w:tcPr>
            <w:tcW w:w="0" w:type="dxa"/>
            <w:tcBorders>
              <w:top w:val="single" w:sz="2" w:space="0" w:color="002279"/>
              <w:bottom w:val="single" w:sz="2" w:space="0" w:color="002279"/>
            </w:tcBorders>
            <w:vAlign w:val="center"/>
          </w:tcPr>
          <w:p w14:paraId="6EFD7FFD" w14:textId="777EE4B6" w:rsidR="00B40C06" w:rsidRPr="006E6D43" w:rsidRDefault="00B40C06" w:rsidP="000C0D03">
            <w:pPr>
              <w:spacing w:after="0"/>
              <w:textAlignment w:val="baseline"/>
              <w:rPr>
                <w:rFonts w:eastAsia="Times New Roman" w:cstheme="minorHAnsi"/>
                <w:b/>
                <w:bCs/>
                <w:sz w:val="22"/>
                <w:lang w:eastAsia="en-AU"/>
              </w:rPr>
            </w:pPr>
            <w:r w:rsidRPr="006E6D43">
              <w:rPr>
                <w:rFonts w:eastAsia="Times New Roman" w:cstheme="minorHAnsi"/>
                <w:b/>
                <w:bCs/>
                <w:sz w:val="22"/>
                <w:lang w:eastAsia="en-AU"/>
              </w:rPr>
              <w:t>What estimate was based on:</w:t>
            </w:r>
            <w:r w:rsidR="0048460A" w:rsidRPr="006E6D43">
              <w:rPr>
                <w:rFonts w:eastAsia="Times New Roman" w:cs="Arial"/>
                <w:sz w:val="22"/>
                <w:lang w:eastAsia="en-AU"/>
              </w:rPr>
              <w:t xml:space="preserve"> The estimate was based on recent sales values (2018) in the Fishermans Bend employment area of approximately $2000 per square meter for a minimum land area of 1.5 Ha</w:t>
            </w:r>
            <w:r w:rsidRPr="006E6D43">
              <w:rPr>
                <w:rFonts w:eastAsia="Times New Roman" w:cstheme="minorHAnsi"/>
                <w:color w:val="000000"/>
                <w:sz w:val="22"/>
                <w:lang w:eastAsia="en-AU"/>
              </w:rPr>
              <w:t> </w:t>
            </w:r>
          </w:p>
        </w:tc>
      </w:tr>
      <w:tr w:rsidR="00B40C06" w:rsidRPr="00601368" w14:paraId="79B00BEB" w14:textId="77777777" w:rsidTr="00360131">
        <w:tc>
          <w:tcPr>
            <w:tcW w:w="0" w:type="dxa"/>
            <w:tcBorders>
              <w:top w:val="single" w:sz="2" w:space="0" w:color="002279"/>
              <w:bottom w:val="single" w:sz="2" w:space="0" w:color="002279"/>
            </w:tcBorders>
            <w:vAlign w:val="center"/>
          </w:tcPr>
          <w:p w14:paraId="1529A51D" w14:textId="77777777" w:rsidR="00B40C06" w:rsidRPr="006E6D43" w:rsidRDefault="00B40C06" w:rsidP="000C0D03">
            <w:pPr>
              <w:pStyle w:val="BodyText"/>
              <w:rPr>
                <w:rFonts w:eastAsia="Times New Roman" w:cstheme="minorHAnsi"/>
                <w:b/>
                <w:bCs/>
                <w:sz w:val="22"/>
                <w:lang w:eastAsia="en-AU"/>
              </w:rPr>
            </w:pPr>
            <w:r w:rsidRPr="006E6D43">
              <w:rPr>
                <w:rFonts w:eastAsia="Times New Roman" w:cstheme="minorHAnsi"/>
                <w:b/>
                <w:bCs/>
                <w:sz w:val="22"/>
                <w:lang w:eastAsia="en-AU"/>
              </w:rPr>
              <w:lastRenderedPageBreak/>
              <w:t xml:space="preserve">Estimate confidence: </w:t>
            </w:r>
            <w:r w:rsidRPr="006E6D43">
              <w:rPr>
                <w:rFonts w:eastAsia="Times New Roman" w:cstheme="minorHAnsi"/>
                <w:sz w:val="22"/>
                <w:lang w:eastAsia="en-AU"/>
              </w:rPr>
              <w:t>P50 </w:t>
            </w:r>
          </w:p>
        </w:tc>
      </w:tr>
      <w:tr w:rsidR="00B40C06" w:rsidRPr="00601368" w14:paraId="5BC6BB8B" w14:textId="77777777" w:rsidTr="00360131">
        <w:tc>
          <w:tcPr>
            <w:tcW w:w="0" w:type="dxa"/>
            <w:tcBorders>
              <w:top w:val="single" w:sz="2" w:space="0" w:color="002279"/>
              <w:bottom w:val="single" w:sz="2" w:space="0" w:color="002279"/>
            </w:tcBorders>
          </w:tcPr>
          <w:p w14:paraId="71C63406" w14:textId="7B1D23E3" w:rsidR="00B40C06" w:rsidRPr="006E6D43" w:rsidRDefault="00B40C06" w:rsidP="000C0D03">
            <w:pPr>
              <w:pStyle w:val="BodyText"/>
              <w:rPr>
                <w:rFonts w:eastAsia="Times New Roman" w:cstheme="minorHAnsi"/>
                <w:b/>
                <w:bCs/>
                <w:sz w:val="22"/>
                <w:lang w:eastAsia="en-AU"/>
              </w:rPr>
            </w:pPr>
            <w:r w:rsidRPr="006E6D43">
              <w:rPr>
                <w:rFonts w:eastAsia="Times New Roman" w:cstheme="minorHAnsi"/>
                <w:b/>
                <w:bCs/>
                <w:sz w:val="22"/>
                <w:lang w:eastAsia="en-AU"/>
              </w:rPr>
              <w:t>2018</w:t>
            </w:r>
            <w:r w:rsidR="00F33731">
              <w:rPr>
                <w:rFonts w:eastAsia="Times New Roman" w:cstheme="minorHAnsi"/>
                <w:b/>
                <w:bCs/>
                <w:sz w:val="22"/>
                <w:lang w:eastAsia="en-AU"/>
              </w:rPr>
              <w:t>–</w:t>
            </w:r>
            <w:r w:rsidRPr="006E6D43">
              <w:rPr>
                <w:rFonts w:eastAsia="Times New Roman" w:cstheme="minorHAnsi"/>
                <w:b/>
                <w:bCs/>
                <w:sz w:val="22"/>
                <w:lang w:eastAsia="en-AU"/>
              </w:rPr>
              <w:t xml:space="preserve">2023 ESC determination $: </w:t>
            </w:r>
            <w:r w:rsidRPr="006E6D43">
              <w:rPr>
                <w:rFonts w:eastAsia="Times New Roman" w:cstheme="minorHAnsi"/>
                <w:sz w:val="22"/>
                <w:lang w:eastAsia="en-AU"/>
              </w:rPr>
              <w:t>$</w:t>
            </w:r>
            <w:r w:rsidR="0048460A" w:rsidRPr="006E6D43">
              <w:rPr>
                <w:rFonts w:eastAsia="Times New Roman" w:cstheme="minorHAnsi"/>
                <w:sz w:val="22"/>
                <w:lang w:eastAsia="en-AU"/>
              </w:rPr>
              <w:t>30.5</w:t>
            </w:r>
            <w:r w:rsidR="009F21F0">
              <w:rPr>
                <w:rFonts w:eastAsia="Times New Roman" w:cstheme="minorHAnsi"/>
                <w:sz w:val="22"/>
                <w:lang w:eastAsia="en-AU"/>
              </w:rPr>
              <w:t>m</w:t>
            </w:r>
          </w:p>
        </w:tc>
      </w:tr>
      <w:tr w:rsidR="00B40C06" w:rsidRPr="00601368" w14:paraId="46FEC757" w14:textId="77777777" w:rsidTr="00360131">
        <w:tc>
          <w:tcPr>
            <w:tcW w:w="0" w:type="dxa"/>
            <w:tcBorders>
              <w:top w:val="single" w:sz="2" w:space="0" w:color="002279"/>
              <w:bottom w:val="single" w:sz="2" w:space="0" w:color="002279"/>
            </w:tcBorders>
            <w:vAlign w:val="center"/>
          </w:tcPr>
          <w:p w14:paraId="7215BCF4" w14:textId="27F6BC1E" w:rsidR="00B40C06" w:rsidRPr="006E6D43" w:rsidRDefault="00B40C06" w:rsidP="000C0D03">
            <w:pPr>
              <w:pStyle w:val="BodyText"/>
              <w:rPr>
                <w:rFonts w:eastAsia="Times New Roman" w:cstheme="minorHAnsi"/>
                <w:b/>
                <w:bCs/>
                <w:sz w:val="22"/>
                <w:lang w:eastAsia="en-AU"/>
              </w:rPr>
            </w:pPr>
            <w:r w:rsidRPr="006E6D43">
              <w:rPr>
                <w:rFonts w:eastAsia="Times New Roman" w:cstheme="minorHAnsi"/>
                <w:b/>
                <w:bCs/>
                <w:sz w:val="22"/>
                <w:lang w:eastAsia="en-AU"/>
              </w:rPr>
              <w:t xml:space="preserve">Business case $: </w:t>
            </w:r>
            <w:r w:rsidR="001E00CB" w:rsidRPr="006E6D43">
              <w:rPr>
                <w:rFonts w:eastAsia="Times New Roman" w:cs="Arial"/>
                <w:sz w:val="22"/>
                <w:lang w:eastAsia="en-AU"/>
              </w:rPr>
              <w:t xml:space="preserve">$35m (up to $38 </w:t>
            </w:r>
            <w:r w:rsidR="009F21F0">
              <w:rPr>
                <w:rFonts w:eastAsia="Times New Roman" w:cs="Arial"/>
                <w:sz w:val="22"/>
                <w:lang w:eastAsia="en-AU"/>
              </w:rPr>
              <w:t>m</w:t>
            </w:r>
            <w:r w:rsidR="001E00CB" w:rsidRPr="006E6D43">
              <w:rPr>
                <w:rFonts w:eastAsia="Times New Roman" w:cs="Arial"/>
                <w:sz w:val="22"/>
                <w:lang w:eastAsia="en-AU"/>
              </w:rPr>
              <w:t>illion) </w:t>
            </w:r>
          </w:p>
        </w:tc>
      </w:tr>
      <w:tr w:rsidR="00B40C06" w:rsidRPr="00601368" w14:paraId="1932B3DA" w14:textId="77777777" w:rsidTr="00360131">
        <w:tc>
          <w:tcPr>
            <w:tcW w:w="0" w:type="dxa"/>
            <w:tcBorders>
              <w:top w:val="single" w:sz="2" w:space="0" w:color="002279"/>
              <w:bottom w:val="single" w:sz="2" w:space="0" w:color="002279"/>
            </w:tcBorders>
            <w:vAlign w:val="center"/>
          </w:tcPr>
          <w:p w14:paraId="5E24BA34" w14:textId="7F9E6D0F" w:rsidR="009E658A" w:rsidRPr="006E6D43" w:rsidRDefault="00B40C06" w:rsidP="009E658A">
            <w:pPr>
              <w:spacing w:after="0"/>
              <w:textAlignment w:val="baseline"/>
              <w:rPr>
                <w:rFonts w:ascii="Times New Roman" w:eastAsia="Times New Roman" w:hAnsi="Times New Roman" w:cs="Times New Roman"/>
                <w:sz w:val="22"/>
                <w:lang w:eastAsia="en-AU"/>
              </w:rPr>
            </w:pPr>
            <w:r w:rsidRPr="006E6D43">
              <w:rPr>
                <w:rFonts w:eastAsia="Times New Roman" w:cstheme="minorHAnsi"/>
                <w:b/>
                <w:bCs/>
                <w:sz w:val="22"/>
                <w:lang w:eastAsia="en-AU"/>
              </w:rPr>
              <w:t>Reason for change</w:t>
            </w:r>
            <w:r w:rsidR="00E27178">
              <w:rPr>
                <w:rFonts w:eastAsia="Times New Roman" w:cstheme="minorHAnsi"/>
                <w:b/>
                <w:bCs/>
                <w:sz w:val="22"/>
                <w:lang w:eastAsia="en-AU"/>
              </w:rPr>
              <w:t>/</w:t>
            </w:r>
            <w:r w:rsidRPr="006E6D43">
              <w:rPr>
                <w:rFonts w:eastAsia="Times New Roman" w:cstheme="minorHAnsi"/>
                <w:b/>
                <w:bCs/>
                <w:sz w:val="22"/>
                <w:lang w:eastAsia="en-AU"/>
              </w:rPr>
              <w:t>difference between 2018</w:t>
            </w:r>
            <w:r w:rsidR="00FE7457">
              <w:rPr>
                <w:rFonts w:eastAsia="Times New Roman" w:cstheme="minorHAnsi"/>
                <w:b/>
                <w:bCs/>
                <w:sz w:val="22"/>
                <w:lang w:eastAsia="en-AU"/>
              </w:rPr>
              <w:t xml:space="preserve"> and </w:t>
            </w:r>
            <w:r w:rsidRPr="006E6D43">
              <w:rPr>
                <w:rFonts w:eastAsia="Times New Roman" w:cstheme="minorHAnsi"/>
                <w:b/>
                <w:bCs/>
                <w:sz w:val="22"/>
                <w:lang w:eastAsia="en-AU"/>
              </w:rPr>
              <w:t xml:space="preserve">2023 ESC determination $ and business case $: </w:t>
            </w:r>
            <w:r w:rsidR="009E658A" w:rsidRPr="006E6D43">
              <w:rPr>
                <w:rFonts w:eastAsia="Times New Roman" w:cs="Arial"/>
                <w:sz w:val="22"/>
                <w:lang w:eastAsia="en-AU"/>
              </w:rPr>
              <w:t xml:space="preserve">The </w:t>
            </w:r>
            <w:r w:rsidR="00E42753">
              <w:rPr>
                <w:rFonts w:eastAsia="Times New Roman" w:cs="Arial"/>
                <w:sz w:val="22"/>
                <w:lang w:eastAsia="en-AU"/>
              </w:rPr>
              <w:t>board</w:t>
            </w:r>
            <w:r w:rsidR="009E658A" w:rsidRPr="006E6D43">
              <w:rPr>
                <w:rFonts w:eastAsia="Times New Roman" w:cs="Arial"/>
                <w:sz w:val="22"/>
                <w:lang w:eastAsia="en-AU"/>
              </w:rPr>
              <w:t xml:space="preserve"> approved that up to $38 </w:t>
            </w:r>
            <w:r w:rsidR="009F21F0">
              <w:rPr>
                <w:rFonts w:eastAsia="Times New Roman" w:cs="Arial"/>
                <w:sz w:val="22"/>
                <w:lang w:eastAsia="en-AU"/>
              </w:rPr>
              <w:t>m</w:t>
            </w:r>
            <w:r w:rsidR="009E658A" w:rsidRPr="006E6D43">
              <w:rPr>
                <w:rFonts w:eastAsia="Times New Roman" w:cs="Arial"/>
                <w:sz w:val="22"/>
                <w:lang w:eastAsia="en-AU"/>
              </w:rPr>
              <w:t xml:space="preserve">illion (subject to Government Land Monitor approval) would be appropriate to secure the preferred site for the Fishermans Bend </w:t>
            </w:r>
            <w:r w:rsidR="00E14DE5">
              <w:rPr>
                <w:rFonts w:cs="Arial"/>
                <w:sz w:val="22"/>
                <w:szCs w:val="24"/>
              </w:rPr>
              <w:t>Water Recycling Plant</w:t>
            </w:r>
            <w:r w:rsidR="00E14DE5" w:rsidRPr="006E6D43">
              <w:rPr>
                <w:rFonts w:eastAsia="Times New Roman" w:cs="Arial"/>
                <w:sz w:val="22"/>
                <w:lang w:eastAsia="en-AU"/>
              </w:rPr>
              <w:t xml:space="preserve"> </w:t>
            </w:r>
            <w:r w:rsidR="009E658A" w:rsidRPr="006E6D43">
              <w:rPr>
                <w:rFonts w:eastAsia="Times New Roman" w:cs="Arial"/>
                <w:sz w:val="22"/>
                <w:lang w:eastAsia="en-AU"/>
              </w:rPr>
              <w:t>at 10-28 and 21-51 Sardine Street Port Melbourne. </w:t>
            </w:r>
          </w:p>
          <w:p w14:paraId="37322142" w14:textId="40D9AF1F" w:rsidR="00B40C06" w:rsidRPr="006E6D43" w:rsidRDefault="009E658A" w:rsidP="009E658A">
            <w:pPr>
              <w:pStyle w:val="BodyText"/>
              <w:rPr>
                <w:rFonts w:eastAsia="Times New Roman" w:cstheme="minorHAnsi"/>
                <w:b/>
                <w:bCs/>
                <w:sz w:val="22"/>
                <w:lang w:eastAsia="en-AU"/>
              </w:rPr>
            </w:pPr>
            <w:r w:rsidRPr="006E6D43">
              <w:rPr>
                <w:rFonts w:eastAsia="Times New Roman" w:cs="Arial"/>
                <w:sz w:val="22"/>
                <w:lang w:eastAsia="en-AU"/>
              </w:rPr>
              <w:t xml:space="preserve">Suitable land is limited within the Fishermans Bend Employment Precinct. The increase beyond $35 </w:t>
            </w:r>
            <w:r w:rsidR="009F21F0">
              <w:rPr>
                <w:rFonts w:eastAsia="Times New Roman" w:cs="Arial"/>
                <w:sz w:val="22"/>
                <w:lang w:eastAsia="en-AU"/>
              </w:rPr>
              <w:t>m</w:t>
            </w:r>
            <w:r w:rsidRPr="006E6D43">
              <w:rPr>
                <w:rFonts w:eastAsia="Times New Roman" w:cs="Arial"/>
                <w:sz w:val="22"/>
                <w:lang w:eastAsia="en-AU"/>
              </w:rPr>
              <w:t>illion was necessitated to remain competitive in a supply constrained market</w:t>
            </w:r>
          </w:p>
        </w:tc>
      </w:tr>
      <w:tr w:rsidR="00B40C06" w:rsidRPr="00601368" w14:paraId="79F01023" w14:textId="77777777" w:rsidTr="00360131">
        <w:trPr>
          <w:trHeight w:val="505"/>
        </w:trPr>
        <w:tc>
          <w:tcPr>
            <w:tcW w:w="0" w:type="dxa"/>
            <w:tcBorders>
              <w:top w:val="single" w:sz="2" w:space="0" w:color="002279"/>
              <w:bottom w:val="single" w:sz="2" w:space="0" w:color="002279"/>
            </w:tcBorders>
            <w:vAlign w:val="center"/>
          </w:tcPr>
          <w:p w14:paraId="492A61A0" w14:textId="7A200FC6" w:rsidR="00B40C06" w:rsidRPr="006E6D43" w:rsidRDefault="00B40C06" w:rsidP="000C0D03">
            <w:pPr>
              <w:spacing w:after="0"/>
              <w:textAlignment w:val="baseline"/>
              <w:rPr>
                <w:rFonts w:eastAsia="Times New Roman" w:cstheme="minorHAnsi"/>
                <w:b/>
                <w:bCs/>
                <w:sz w:val="22"/>
                <w:lang w:eastAsia="en-AU"/>
              </w:rPr>
            </w:pPr>
            <w:r w:rsidRPr="006E6D43">
              <w:rPr>
                <w:rFonts w:eastAsia="Times New Roman" w:cstheme="minorHAnsi"/>
                <w:b/>
                <w:bCs/>
                <w:sz w:val="22"/>
                <w:lang w:eastAsia="en-AU"/>
              </w:rPr>
              <w:t>Actuals</w:t>
            </w:r>
            <w:r w:rsidR="00E27178">
              <w:rPr>
                <w:rFonts w:eastAsia="Times New Roman" w:cstheme="minorHAnsi"/>
                <w:b/>
                <w:bCs/>
                <w:sz w:val="22"/>
                <w:lang w:eastAsia="en-AU"/>
              </w:rPr>
              <w:t>/</w:t>
            </w:r>
            <w:r w:rsidRPr="006E6D43">
              <w:rPr>
                <w:rFonts w:eastAsia="Times New Roman" w:cstheme="minorHAnsi"/>
                <w:b/>
                <w:bCs/>
                <w:sz w:val="22"/>
                <w:lang w:eastAsia="en-AU"/>
              </w:rPr>
              <w:t xml:space="preserve">Forecast $ (30 June 2023): </w:t>
            </w:r>
            <w:r w:rsidR="00712E3A" w:rsidRPr="006E6D43">
              <w:rPr>
                <w:rFonts w:eastAsia="Times New Roman" w:cs="Arial"/>
                <w:sz w:val="22"/>
                <w:lang w:eastAsia="en-AU"/>
              </w:rPr>
              <w:t>$46.5m </w:t>
            </w:r>
          </w:p>
        </w:tc>
      </w:tr>
      <w:tr w:rsidR="00B40C06" w:rsidRPr="00601368" w14:paraId="0E1AAD17" w14:textId="77777777" w:rsidTr="00360131">
        <w:tc>
          <w:tcPr>
            <w:tcW w:w="0" w:type="dxa"/>
            <w:tcBorders>
              <w:top w:val="single" w:sz="2" w:space="0" w:color="002279"/>
              <w:bottom w:val="single" w:sz="2" w:space="0" w:color="002279"/>
            </w:tcBorders>
          </w:tcPr>
          <w:p w14:paraId="06391537" w14:textId="04250FB2" w:rsidR="008D1037" w:rsidRPr="006E6D43" w:rsidRDefault="00B40C06" w:rsidP="008D1037">
            <w:pPr>
              <w:spacing w:after="0"/>
              <w:textAlignment w:val="baseline"/>
              <w:rPr>
                <w:rFonts w:ascii="Times New Roman" w:eastAsia="Times New Roman" w:hAnsi="Times New Roman" w:cs="Times New Roman"/>
                <w:sz w:val="22"/>
                <w:lang w:eastAsia="en-AU"/>
              </w:rPr>
            </w:pPr>
            <w:r w:rsidRPr="006E6D43">
              <w:rPr>
                <w:rFonts w:eastAsia="Times New Roman" w:cstheme="minorHAnsi"/>
                <w:b/>
                <w:bCs/>
                <w:sz w:val="22"/>
                <w:lang w:eastAsia="en-AU"/>
              </w:rPr>
              <w:t>Reason for change</w:t>
            </w:r>
            <w:r w:rsidR="00E27178">
              <w:rPr>
                <w:rFonts w:eastAsia="Times New Roman" w:cstheme="minorHAnsi"/>
                <w:b/>
                <w:bCs/>
                <w:sz w:val="22"/>
                <w:lang w:eastAsia="en-AU"/>
              </w:rPr>
              <w:t>/</w:t>
            </w:r>
            <w:r w:rsidRPr="006E6D43">
              <w:rPr>
                <w:rFonts w:eastAsia="Times New Roman" w:cstheme="minorHAnsi"/>
                <w:b/>
                <w:bCs/>
                <w:sz w:val="22"/>
                <w:lang w:eastAsia="en-AU"/>
              </w:rPr>
              <w:t>difference between business case $ and Actuals</w:t>
            </w:r>
            <w:r w:rsidR="00E27178">
              <w:rPr>
                <w:rFonts w:eastAsia="Times New Roman" w:cstheme="minorHAnsi"/>
                <w:b/>
                <w:bCs/>
                <w:sz w:val="22"/>
                <w:lang w:eastAsia="en-AU"/>
              </w:rPr>
              <w:t>/</w:t>
            </w:r>
            <w:r w:rsidRPr="006E6D43">
              <w:rPr>
                <w:rFonts w:eastAsia="Times New Roman" w:cstheme="minorHAnsi"/>
                <w:b/>
                <w:bCs/>
                <w:sz w:val="22"/>
                <w:lang w:eastAsia="en-AU"/>
              </w:rPr>
              <w:t xml:space="preserve">Forecast $ (30 June 2023): </w:t>
            </w:r>
            <w:r w:rsidR="008D1037" w:rsidRPr="006E6D43">
              <w:rPr>
                <w:rFonts w:eastAsia="Times New Roman" w:cs="Arial"/>
                <w:sz w:val="22"/>
                <w:lang w:eastAsia="en-AU"/>
              </w:rPr>
              <w:t xml:space="preserve">The anticipated cost to secure our preferred site at Sardine Street via compulsory acquisition is estimated at $38 </w:t>
            </w:r>
            <w:r w:rsidR="009F21F0">
              <w:rPr>
                <w:rFonts w:eastAsia="Times New Roman" w:cs="Arial"/>
                <w:sz w:val="22"/>
                <w:lang w:eastAsia="en-AU"/>
              </w:rPr>
              <w:t>m</w:t>
            </w:r>
            <w:r w:rsidR="008D1037" w:rsidRPr="006E6D43">
              <w:rPr>
                <w:rFonts w:eastAsia="Times New Roman" w:cs="Arial"/>
                <w:sz w:val="22"/>
                <w:lang w:eastAsia="en-AU"/>
              </w:rPr>
              <w:t>illion. </w:t>
            </w:r>
          </w:p>
          <w:p w14:paraId="09A806D4" w14:textId="30B3F090" w:rsidR="00B40C06" w:rsidRPr="006E6D43" w:rsidRDefault="008D1037" w:rsidP="008D1037">
            <w:pPr>
              <w:pStyle w:val="BodyText"/>
              <w:rPr>
                <w:rFonts w:eastAsia="Times New Roman" w:cstheme="minorHAnsi"/>
                <w:b/>
                <w:bCs/>
                <w:sz w:val="22"/>
                <w:lang w:eastAsia="en-AU"/>
              </w:rPr>
            </w:pPr>
            <w:r w:rsidRPr="006E6D43">
              <w:rPr>
                <w:rFonts w:eastAsia="Times New Roman" w:cs="Arial"/>
                <w:sz w:val="22"/>
                <w:lang w:eastAsia="en-AU"/>
              </w:rPr>
              <w:t xml:space="preserve">A site adjacent to Sardine Street has been offered for sale. Strategic procurement of this site to support the development of the </w:t>
            </w:r>
            <w:r w:rsidR="00E14DE5">
              <w:rPr>
                <w:rFonts w:eastAsia="Times New Roman" w:cs="Arial"/>
                <w:sz w:val="22"/>
                <w:lang w:eastAsia="en-AU"/>
              </w:rPr>
              <w:t xml:space="preserve">water recycling plant </w:t>
            </w:r>
            <w:r w:rsidRPr="006E6D43">
              <w:rPr>
                <w:rFonts w:eastAsia="Times New Roman" w:cs="Arial"/>
                <w:sz w:val="22"/>
                <w:lang w:eastAsia="en-AU"/>
              </w:rPr>
              <w:t xml:space="preserve">has been endorsed. The estimated cost of securing this site is $8.5 </w:t>
            </w:r>
            <w:r w:rsidR="009F21F0">
              <w:rPr>
                <w:rFonts w:eastAsia="Times New Roman" w:cs="Arial"/>
                <w:sz w:val="22"/>
                <w:lang w:eastAsia="en-AU"/>
              </w:rPr>
              <w:t>m</w:t>
            </w:r>
            <w:r w:rsidRPr="006E6D43">
              <w:rPr>
                <w:rFonts w:eastAsia="Times New Roman" w:cs="Arial"/>
                <w:sz w:val="22"/>
                <w:lang w:eastAsia="en-AU"/>
              </w:rPr>
              <w:t>illion.</w:t>
            </w:r>
            <w:r w:rsidR="00A1315F">
              <w:rPr>
                <w:rFonts w:eastAsia="Times New Roman" w:cs="Arial"/>
                <w:sz w:val="22"/>
                <w:lang w:eastAsia="en-AU"/>
              </w:rPr>
              <w:t xml:space="preserve"> </w:t>
            </w:r>
          </w:p>
        </w:tc>
      </w:tr>
      <w:tr w:rsidR="00B40C06" w:rsidRPr="00601368" w14:paraId="2BE2B22F" w14:textId="77777777" w:rsidTr="00360131">
        <w:tc>
          <w:tcPr>
            <w:tcW w:w="0" w:type="dxa"/>
            <w:tcBorders>
              <w:top w:val="single" w:sz="2" w:space="0" w:color="002279"/>
              <w:bottom w:val="single" w:sz="2" w:space="0" w:color="002279"/>
            </w:tcBorders>
          </w:tcPr>
          <w:p w14:paraId="306EF611" w14:textId="20EE052E" w:rsidR="00B40C06" w:rsidRPr="006E6D43" w:rsidRDefault="00B40C06" w:rsidP="000C0D03">
            <w:pPr>
              <w:pStyle w:val="BodyText"/>
              <w:rPr>
                <w:rFonts w:eastAsia="Times New Roman" w:cstheme="minorHAnsi"/>
                <w:b/>
                <w:bCs/>
                <w:sz w:val="22"/>
                <w:lang w:eastAsia="en-AU"/>
              </w:rPr>
            </w:pPr>
            <w:r w:rsidRPr="006E6D43">
              <w:rPr>
                <w:rFonts w:eastAsia="Times New Roman" w:cstheme="minorHAnsi"/>
                <w:b/>
                <w:bCs/>
                <w:sz w:val="22"/>
                <w:lang w:eastAsia="en-AU"/>
              </w:rPr>
              <w:t xml:space="preserve">Actuals </w:t>
            </w:r>
            <w:r w:rsidR="00F94FAB">
              <w:rPr>
                <w:rFonts w:eastAsia="Times New Roman" w:cstheme="minorHAnsi"/>
                <w:b/>
                <w:bCs/>
                <w:sz w:val="22"/>
                <w:lang w:eastAsia="en-AU"/>
              </w:rPr>
              <w:t xml:space="preserve">at </w:t>
            </w:r>
            <w:r w:rsidRPr="006E6D43">
              <w:rPr>
                <w:rFonts w:eastAsia="Times New Roman" w:cstheme="minorHAnsi"/>
                <w:b/>
                <w:bCs/>
                <w:sz w:val="22"/>
                <w:lang w:eastAsia="en-AU"/>
              </w:rPr>
              <w:t xml:space="preserve">2022/23 (Q1): </w:t>
            </w:r>
            <w:r w:rsidRPr="006E6D43">
              <w:rPr>
                <w:rFonts w:eastAsia="Times New Roman" w:cstheme="minorHAnsi"/>
                <w:sz w:val="22"/>
                <w:lang w:eastAsia="en-AU"/>
              </w:rPr>
              <w:t>$</w:t>
            </w:r>
            <w:r w:rsidR="008D1037" w:rsidRPr="006E6D43">
              <w:rPr>
                <w:rFonts w:eastAsia="Times New Roman" w:cstheme="minorHAnsi"/>
                <w:sz w:val="22"/>
                <w:lang w:eastAsia="en-AU"/>
              </w:rPr>
              <w:t xml:space="preserve">0 </w:t>
            </w:r>
          </w:p>
        </w:tc>
      </w:tr>
      <w:tr w:rsidR="00B40C06" w:rsidRPr="00601368" w14:paraId="031CF60A" w14:textId="77777777" w:rsidTr="00360131">
        <w:tc>
          <w:tcPr>
            <w:tcW w:w="0" w:type="dxa"/>
            <w:tcBorders>
              <w:top w:val="single" w:sz="2" w:space="0" w:color="002279"/>
              <w:bottom w:val="single" w:sz="2" w:space="0" w:color="002279"/>
            </w:tcBorders>
          </w:tcPr>
          <w:p w14:paraId="32DA7DE8" w14:textId="0B0F165A" w:rsidR="00B40C06" w:rsidRPr="006E6D43" w:rsidRDefault="00B40C06" w:rsidP="000C0D03">
            <w:pPr>
              <w:pStyle w:val="BodyText"/>
              <w:rPr>
                <w:rFonts w:eastAsia="Times New Roman" w:cstheme="minorHAnsi"/>
                <w:b/>
                <w:bCs/>
                <w:sz w:val="22"/>
                <w:lang w:eastAsia="en-AU"/>
              </w:rPr>
            </w:pPr>
            <w:r w:rsidRPr="006E6D43">
              <w:rPr>
                <w:rFonts w:eastAsia="Times New Roman" w:cstheme="minorHAnsi"/>
                <w:b/>
                <w:bCs/>
                <w:sz w:val="22"/>
                <w:lang w:eastAsia="en-AU"/>
              </w:rPr>
              <w:t>Project spend end date:</w:t>
            </w:r>
            <w:r w:rsidRPr="006E6D43">
              <w:rPr>
                <w:rFonts w:eastAsia="Times New Roman" w:cstheme="minorHAnsi"/>
                <w:sz w:val="22"/>
                <w:lang w:eastAsia="en-AU"/>
              </w:rPr>
              <w:t xml:space="preserve"> </w:t>
            </w:r>
            <w:r w:rsidR="007E6632" w:rsidRPr="006E6D43">
              <w:rPr>
                <w:rFonts w:eastAsia="Times New Roman" w:cs="Arial"/>
                <w:sz w:val="22"/>
                <w:lang w:eastAsia="en-AU"/>
              </w:rPr>
              <w:t>Q4 2022/23 </w:t>
            </w:r>
          </w:p>
        </w:tc>
      </w:tr>
      <w:tr w:rsidR="00B40C06" w:rsidRPr="00601368" w14:paraId="6A4BB824" w14:textId="77777777" w:rsidTr="00360131">
        <w:tc>
          <w:tcPr>
            <w:tcW w:w="0" w:type="dxa"/>
            <w:tcBorders>
              <w:top w:val="single" w:sz="2" w:space="0" w:color="002279"/>
              <w:bottom w:val="single" w:sz="2" w:space="0" w:color="002279"/>
            </w:tcBorders>
          </w:tcPr>
          <w:p w14:paraId="09179F6C" w14:textId="66497F5D" w:rsidR="00B40C06" w:rsidRPr="006E6D43" w:rsidRDefault="00B40C06" w:rsidP="000C0D03">
            <w:pPr>
              <w:pStyle w:val="BodyText"/>
              <w:rPr>
                <w:rFonts w:eastAsia="Times New Roman" w:cstheme="minorHAnsi"/>
                <w:b/>
                <w:bCs/>
                <w:sz w:val="22"/>
                <w:lang w:eastAsia="en-AU"/>
              </w:rPr>
            </w:pPr>
            <w:r w:rsidRPr="006E6D43">
              <w:rPr>
                <w:rFonts w:eastAsia="Times New Roman" w:cstheme="minorHAnsi"/>
                <w:b/>
                <w:bCs/>
                <w:sz w:val="22"/>
                <w:lang w:eastAsia="en-AU"/>
              </w:rPr>
              <w:t xml:space="preserve">Project status: </w:t>
            </w:r>
            <w:r w:rsidR="00D01590" w:rsidRPr="006E6D43">
              <w:rPr>
                <w:rFonts w:eastAsia="Times New Roman" w:cs="Arial"/>
                <w:sz w:val="22"/>
                <w:lang w:eastAsia="en-AU"/>
              </w:rPr>
              <w:t xml:space="preserve">Delayed, </w:t>
            </w:r>
            <w:r w:rsidR="00960122">
              <w:rPr>
                <w:rFonts w:eastAsia="Times New Roman" w:cs="Arial"/>
                <w:sz w:val="22"/>
                <w:lang w:eastAsia="en-AU"/>
              </w:rPr>
              <w:t xml:space="preserve">that is, </w:t>
            </w:r>
            <w:r w:rsidR="00D01590" w:rsidRPr="006E6D43">
              <w:rPr>
                <w:rFonts w:eastAsia="Times New Roman" w:cs="Arial"/>
                <w:sz w:val="22"/>
                <w:lang w:eastAsia="en-AU"/>
              </w:rPr>
              <w:t>either the project start was delayed, or completion will be later than scheduled</w:t>
            </w:r>
          </w:p>
        </w:tc>
      </w:tr>
      <w:tr w:rsidR="00B40C06" w:rsidRPr="00601368" w14:paraId="30BF7F4A" w14:textId="77777777" w:rsidTr="00360131">
        <w:trPr>
          <w:trHeight w:val="5588"/>
        </w:trPr>
        <w:tc>
          <w:tcPr>
            <w:tcW w:w="0" w:type="dxa"/>
            <w:tcBorders>
              <w:top w:val="single" w:sz="2" w:space="0" w:color="002279"/>
              <w:bottom w:val="single" w:sz="2" w:space="0" w:color="002279"/>
            </w:tcBorders>
          </w:tcPr>
          <w:p w14:paraId="71696E08" w14:textId="7296858E" w:rsidR="005F6E46" w:rsidRPr="006E6D43" w:rsidRDefault="00943F86" w:rsidP="005F6E46">
            <w:pPr>
              <w:spacing w:after="0"/>
              <w:textAlignment w:val="baseline"/>
              <w:rPr>
                <w:rFonts w:ascii="Segoe UI" w:eastAsia="Times New Roman" w:hAnsi="Segoe UI" w:cs="Segoe UI"/>
                <w:sz w:val="22"/>
                <w:lang w:eastAsia="en-AU"/>
              </w:rPr>
            </w:pPr>
            <w:r w:rsidRPr="006E6D43">
              <w:rPr>
                <w:rFonts w:eastAsia="Times New Roman" w:cstheme="minorHAnsi"/>
                <w:b/>
                <w:bCs/>
                <w:sz w:val="22"/>
                <w:lang w:eastAsia="en-AU"/>
              </w:rPr>
              <w:t xml:space="preserve">Project update: </w:t>
            </w:r>
            <w:r w:rsidR="005F6E46" w:rsidRPr="006E6D43">
              <w:rPr>
                <w:rFonts w:eastAsia="Times New Roman" w:cs="Arial"/>
                <w:sz w:val="22"/>
                <w:lang w:eastAsia="en-AU"/>
              </w:rPr>
              <w:t>South East Water</w:t>
            </w:r>
            <w:r w:rsidR="00612583">
              <w:rPr>
                <w:rFonts w:eastAsia="Times New Roman" w:cs="Arial"/>
                <w:sz w:val="22"/>
                <w:lang w:eastAsia="en-AU"/>
              </w:rPr>
              <w:t>’</w:t>
            </w:r>
            <w:r w:rsidR="005F6E46" w:rsidRPr="006E6D43">
              <w:rPr>
                <w:rFonts w:eastAsia="Times New Roman" w:cs="Arial"/>
                <w:sz w:val="22"/>
                <w:lang w:eastAsia="en-AU"/>
              </w:rPr>
              <w:t xml:space="preserve">s IWM servicing strategy was approved by board in 2017. It includes an 18 ML/day water recycling plant (sewer mining plant) to treat extracted sewage to Class A recycled water with the first stage due to commence operation in 2030. In conjunction with the Fishermans Bend Taskforce (Department Jobs, Precincts and Regions), Melbourne Water, City of Melbourne, City of Port Phillip and the Cooperative Research Centre for Water Sensitive Cities, South East Water developed a joint Water Sensitive City (WSC) strategy for Fishermans Bend. The WSC strategy includes our IWM servicing strategy which includes a water recycling plant within the precincts. The WSC strategy has been released by the Victorian </w:t>
            </w:r>
            <w:r w:rsidR="00E42753">
              <w:rPr>
                <w:rFonts w:eastAsia="Times New Roman" w:cs="Arial"/>
                <w:sz w:val="22"/>
                <w:lang w:eastAsia="en-AU"/>
              </w:rPr>
              <w:t>G</w:t>
            </w:r>
            <w:r w:rsidR="005F6E46" w:rsidRPr="006E6D43">
              <w:rPr>
                <w:rFonts w:eastAsia="Times New Roman" w:cs="Arial"/>
                <w:sz w:val="22"/>
                <w:lang w:eastAsia="en-AU"/>
              </w:rPr>
              <w:t>overnment.</w:t>
            </w:r>
            <w:r w:rsidR="00A1315F">
              <w:rPr>
                <w:rFonts w:eastAsia="Times New Roman" w:cs="Arial"/>
                <w:sz w:val="22"/>
                <w:lang w:eastAsia="en-AU"/>
              </w:rPr>
              <w:t xml:space="preserve"> </w:t>
            </w:r>
          </w:p>
          <w:p w14:paraId="74AF1613" w14:textId="138E841C" w:rsidR="005F6E46" w:rsidRPr="006E6D43" w:rsidRDefault="005F6E46" w:rsidP="005F6E46">
            <w:pPr>
              <w:spacing w:after="0"/>
              <w:textAlignment w:val="baseline"/>
              <w:rPr>
                <w:rFonts w:ascii="Segoe UI" w:eastAsia="Times New Roman" w:hAnsi="Segoe UI" w:cs="Segoe UI"/>
                <w:sz w:val="22"/>
                <w:lang w:eastAsia="en-AU"/>
              </w:rPr>
            </w:pPr>
            <w:r w:rsidRPr="006E6D43">
              <w:rPr>
                <w:rFonts w:eastAsia="Times New Roman" w:cs="Arial"/>
                <w:sz w:val="22"/>
                <w:lang w:eastAsia="en-AU"/>
              </w:rPr>
              <w:t>The expected timing for land purchase to house the water recycling plant was in the fourth year of the current pricing period (2018</w:t>
            </w:r>
            <w:r w:rsidR="00F243DC">
              <w:rPr>
                <w:rFonts w:eastAsia="Times New Roman" w:cs="Arial"/>
                <w:sz w:val="22"/>
                <w:lang w:eastAsia="en-AU"/>
              </w:rPr>
              <w:t>–</w:t>
            </w:r>
            <w:r w:rsidRPr="006E6D43">
              <w:rPr>
                <w:rFonts w:eastAsia="Times New Roman" w:cs="Arial"/>
                <w:sz w:val="22"/>
                <w:lang w:eastAsia="en-AU"/>
              </w:rPr>
              <w:t>2023) with the sewage extraction works, main recycled water network and the initial construction of water recycling plant scheduled to commence from 2026.  </w:t>
            </w:r>
            <w:r w:rsidR="00A1315F">
              <w:rPr>
                <w:rFonts w:eastAsia="Times New Roman" w:cs="Arial"/>
                <w:sz w:val="22"/>
                <w:lang w:eastAsia="en-AU"/>
              </w:rPr>
              <w:t xml:space="preserve"> </w:t>
            </w:r>
          </w:p>
          <w:p w14:paraId="7BEEC9C4" w14:textId="1636E274" w:rsidR="005F6E46" w:rsidRPr="006E6D43" w:rsidRDefault="005F6E46" w:rsidP="005F6E46">
            <w:pPr>
              <w:spacing w:after="0"/>
              <w:textAlignment w:val="baseline"/>
              <w:rPr>
                <w:rFonts w:eastAsia="Times New Roman" w:cs="Arial"/>
                <w:sz w:val="22"/>
                <w:lang w:eastAsia="en-AU"/>
              </w:rPr>
            </w:pPr>
            <w:r w:rsidRPr="006E6D43">
              <w:rPr>
                <w:rFonts w:eastAsia="Times New Roman" w:cs="Arial"/>
                <w:sz w:val="22"/>
                <w:lang w:eastAsia="en-AU"/>
              </w:rPr>
              <w:t>In 2017 specialist consultant support to buy land via negotiation commenced but due to a shortage of land for sale, was unsuccessful. The land acquisition process was expanded by a targeted Expression of Interest (EoI) campaign in 2020. The EoI process identified parcels of land within the National Employment and Innovation Cluster (NEIC) at 10-28 and 21-51 Sardine Street Port Melbourne as the preferred location to establish the water recycling plant. The preferred site is close to the sewage extraction location and meets all water recycling plant site requirements and is endorsed by the Fishermans Bend Taskforce.</w:t>
            </w:r>
            <w:r w:rsidR="00A1315F">
              <w:rPr>
                <w:rFonts w:eastAsia="Times New Roman" w:cs="Arial"/>
                <w:sz w:val="22"/>
                <w:lang w:eastAsia="en-AU"/>
              </w:rPr>
              <w:t xml:space="preserve"> </w:t>
            </w:r>
          </w:p>
          <w:p w14:paraId="0C5F0CCD" w14:textId="00CB2A72" w:rsidR="005F6E46" w:rsidRPr="006E6D43" w:rsidRDefault="005F6E46" w:rsidP="005F6E46">
            <w:pPr>
              <w:spacing w:after="0"/>
              <w:textAlignment w:val="baseline"/>
              <w:rPr>
                <w:rFonts w:ascii="Segoe UI" w:eastAsia="Times New Roman" w:hAnsi="Segoe UI" w:cs="Segoe UI"/>
                <w:sz w:val="22"/>
                <w:lang w:eastAsia="en-AU"/>
              </w:rPr>
            </w:pPr>
            <w:r w:rsidRPr="006E6D43">
              <w:rPr>
                <w:rFonts w:eastAsia="Times New Roman" w:cs="Arial"/>
                <w:sz w:val="22"/>
                <w:lang w:eastAsia="en-AU"/>
              </w:rPr>
              <w:t xml:space="preserve">At the end of 2021, after obtaining all necessary approvals to transact with the vendor of our preferred site, the land was sold to another party. The South East Water Board approved on 17 December 2021 to progress to compulsory acquisition of the preferred site to enable </w:t>
            </w:r>
            <w:r w:rsidRPr="006E6D43">
              <w:rPr>
                <w:rFonts w:eastAsia="Times New Roman" w:cs="Arial"/>
                <w:sz w:val="22"/>
                <w:lang w:eastAsia="en-AU"/>
              </w:rPr>
              <w:lastRenderedPageBreak/>
              <w:t>timely land acquisition. The anticipated timeframe to complete the compulsory acquisition is to have the Planning Scheme Amendment gazetted in January 2023, serve Notice of Intention to Acquire to the landowner in February and publish the notice of Acquisition (South East Water owns the land) in April 2023.</w:t>
            </w:r>
            <w:r w:rsidR="00A1315F">
              <w:rPr>
                <w:rFonts w:eastAsia="Times New Roman" w:cs="Arial"/>
                <w:sz w:val="22"/>
                <w:lang w:eastAsia="en-AU"/>
              </w:rPr>
              <w:t xml:space="preserve"> </w:t>
            </w:r>
          </w:p>
          <w:p w14:paraId="357AC327" w14:textId="4109D64E" w:rsidR="005F6E46" w:rsidRPr="006E6D43" w:rsidRDefault="005F6E46" w:rsidP="005F6E46">
            <w:pPr>
              <w:spacing w:after="0"/>
              <w:textAlignment w:val="baseline"/>
              <w:rPr>
                <w:rFonts w:ascii="Segoe UI" w:eastAsia="Times New Roman" w:hAnsi="Segoe UI" w:cs="Segoe UI"/>
                <w:sz w:val="22"/>
                <w:lang w:eastAsia="en-AU"/>
              </w:rPr>
            </w:pPr>
            <w:r w:rsidRPr="006E6D43">
              <w:rPr>
                <w:rFonts w:eastAsia="Times New Roman" w:cs="Arial"/>
                <w:sz w:val="22"/>
                <w:lang w:eastAsia="en-AU"/>
              </w:rPr>
              <w:t xml:space="preserve">In June 2022, a property that is directly next to our preferred site </w:t>
            </w:r>
            <w:r w:rsidR="002F3C4D">
              <w:rPr>
                <w:rFonts w:eastAsia="Times New Roman" w:cs="Arial"/>
                <w:sz w:val="22"/>
                <w:lang w:eastAsia="en-AU"/>
              </w:rPr>
              <w:t>became</w:t>
            </w:r>
            <w:r w:rsidRPr="006E6D43">
              <w:rPr>
                <w:rFonts w:eastAsia="Times New Roman" w:cs="Arial"/>
                <w:sz w:val="22"/>
                <w:lang w:eastAsia="en-AU"/>
              </w:rPr>
              <w:t xml:space="preserve"> available. The property is located at 30-32 and 34-38 Network Drive and has a combined land area of 2141 m2 (the preferred site has a land area of 20,779 m2 for comparison). Although the Network Drive property is too small to accommodate the ultimate water recycling plant, there is significant strategic benefit to acquiring this property as well. The key benefits to acquiring the property to support the development of the water recycling plant is the opportunity to square up the overall land holding with the preferred site for more efficient water recycling plant development and avoiding the significant risk of establishing a sensitive use within the current building or sensitive use development adjacent to our proposed water recycling plant.  Securing this site will have further benefit to South East Water by preventing the new owner of our preferred site procuring this site as well, thereby increasing the costs and risk of us procuring the preferred site via compulsory acquisition.  </w:t>
            </w:r>
          </w:p>
          <w:p w14:paraId="419D8F3A" w14:textId="523415A6" w:rsidR="005F6E46" w:rsidRPr="006E6D43" w:rsidRDefault="005F6E46" w:rsidP="005F6E46">
            <w:pPr>
              <w:spacing w:after="0"/>
              <w:textAlignment w:val="baseline"/>
              <w:rPr>
                <w:rFonts w:ascii="Segoe UI" w:eastAsia="Times New Roman" w:hAnsi="Segoe UI" w:cs="Segoe UI"/>
                <w:sz w:val="22"/>
                <w:lang w:eastAsia="en-AU"/>
              </w:rPr>
            </w:pPr>
            <w:r w:rsidRPr="006E6D43">
              <w:rPr>
                <w:rFonts w:eastAsia="Times New Roman" w:cs="Arial"/>
                <w:sz w:val="22"/>
                <w:lang w:eastAsia="en-AU"/>
              </w:rPr>
              <w:t>Further, South East Water procuring land in Fishermans Bend will demonstrate our eagerness and commitment to realising the Fishermans Bend Integrated Water Management (IWM) objectives and will send a strong signal to the local community, developers and other landowners. </w:t>
            </w:r>
            <w:r w:rsidR="00A1315F">
              <w:rPr>
                <w:rFonts w:eastAsia="Times New Roman" w:cs="Arial"/>
                <w:sz w:val="22"/>
                <w:lang w:eastAsia="en-AU"/>
              </w:rPr>
              <w:t xml:space="preserve"> </w:t>
            </w:r>
          </w:p>
          <w:p w14:paraId="2D299ED8" w14:textId="0CA1E7D1" w:rsidR="00B40C06" w:rsidRPr="006E6D43" w:rsidRDefault="005F6E46" w:rsidP="000C0D03">
            <w:pPr>
              <w:spacing w:after="0"/>
              <w:textAlignment w:val="baseline"/>
              <w:rPr>
                <w:rFonts w:eastAsia="Times New Roman" w:cstheme="minorHAnsi"/>
                <w:b/>
                <w:bCs/>
                <w:sz w:val="22"/>
                <w:lang w:eastAsia="en-AU"/>
              </w:rPr>
            </w:pPr>
            <w:r w:rsidRPr="006E6D43">
              <w:rPr>
                <w:rFonts w:eastAsia="Times New Roman" w:cs="Arial"/>
                <w:sz w:val="22"/>
                <w:lang w:eastAsia="en-AU"/>
              </w:rPr>
              <w:t>The acquisition of the Network Drive sites is anticipated to be completed by October 2022. </w:t>
            </w:r>
          </w:p>
        </w:tc>
      </w:tr>
      <w:tr w:rsidR="00B40C06" w14:paraId="6639ED2A" w14:textId="77777777" w:rsidTr="00360131">
        <w:trPr>
          <w:trHeight w:val="506"/>
        </w:trPr>
        <w:tc>
          <w:tcPr>
            <w:tcW w:w="0" w:type="dxa"/>
            <w:tcBorders>
              <w:top w:val="single" w:sz="2" w:space="0" w:color="002279"/>
              <w:bottom w:val="single" w:sz="2" w:space="0" w:color="002279"/>
            </w:tcBorders>
          </w:tcPr>
          <w:p w14:paraId="3D8303EA" w14:textId="5D6EF2D2" w:rsidR="00B40C06" w:rsidRPr="006E6D43" w:rsidRDefault="00B40C06" w:rsidP="000C0D03">
            <w:pPr>
              <w:spacing w:after="0"/>
              <w:textAlignment w:val="baseline"/>
              <w:rPr>
                <w:rFonts w:eastAsia="Times New Roman" w:cstheme="minorHAnsi"/>
                <w:b/>
                <w:bCs/>
                <w:sz w:val="22"/>
                <w:lang w:eastAsia="en-AU"/>
              </w:rPr>
            </w:pPr>
            <w:r w:rsidRPr="006E6D43">
              <w:rPr>
                <w:rFonts w:eastAsia="Times New Roman" w:cstheme="minorHAnsi"/>
                <w:b/>
                <w:bCs/>
                <w:sz w:val="22"/>
                <w:lang w:eastAsia="en-AU"/>
              </w:rPr>
              <w:lastRenderedPageBreak/>
              <w:t xml:space="preserve">Indicative self-assessment score: </w:t>
            </w:r>
            <w:r w:rsidRPr="006E6D43">
              <w:rPr>
                <w:rFonts w:eastAsia="Times New Roman" w:cstheme="minorHAnsi"/>
                <w:sz w:val="22"/>
                <w:lang w:eastAsia="en-AU"/>
              </w:rPr>
              <w:t>Generally consistent with Price Submission 2018</w:t>
            </w:r>
            <w:r w:rsidR="00F243DC">
              <w:rPr>
                <w:rFonts w:eastAsia="Times New Roman" w:cstheme="minorHAnsi"/>
                <w:sz w:val="22"/>
                <w:lang w:eastAsia="en-AU"/>
              </w:rPr>
              <w:t>–</w:t>
            </w:r>
            <w:r w:rsidRPr="006E6D43">
              <w:rPr>
                <w:rFonts w:eastAsia="Times New Roman" w:cstheme="minorHAnsi"/>
                <w:sz w:val="22"/>
                <w:lang w:eastAsia="en-AU"/>
              </w:rPr>
              <w:t>23</w:t>
            </w:r>
          </w:p>
        </w:tc>
      </w:tr>
      <w:tr w:rsidR="006E6D43" w14:paraId="460C7366" w14:textId="77777777" w:rsidTr="00360131">
        <w:trPr>
          <w:trHeight w:val="3719"/>
        </w:trPr>
        <w:tc>
          <w:tcPr>
            <w:tcW w:w="0" w:type="dxa"/>
            <w:tcBorders>
              <w:top w:val="single" w:sz="2" w:space="0" w:color="002279"/>
              <w:bottom w:val="single" w:sz="2" w:space="0" w:color="002279"/>
            </w:tcBorders>
          </w:tcPr>
          <w:p w14:paraId="021F7B07" w14:textId="435C6FF9" w:rsidR="006E6D43" w:rsidRPr="006E6D43" w:rsidRDefault="006E6D43" w:rsidP="006E6D43">
            <w:pPr>
              <w:spacing w:after="0"/>
              <w:textAlignment w:val="baseline"/>
              <w:rPr>
                <w:rFonts w:ascii="Segoe UI" w:eastAsia="Times New Roman" w:hAnsi="Segoe UI" w:cs="Segoe UI"/>
                <w:sz w:val="22"/>
                <w:lang w:eastAsia="en-AU"/>
              </w:rPr>
            </w:pPr>
            <w:r w:rsidRPr="006E6D43">
              <w:rPr>
                <w:rFonts w:eastAsia="Times New Roman" w:cstheme="minorHAnsi"/>
                <w:b/>
                <w:bCs/>
                <w:sz w:val="22"/>
                <w:lang w:eastAsia="en-AU"/>
              </w:rPr>
              <w:t xml:space="preserve">Assessment rationale: </w:t>
            </w:r>
            <w:r w:rsidRPr="006E6D43">
              <w:rPr>
                <w:rFonts w:eastAsia="Times New Roman" w:cs="Arial"/>
                <w:sz w:val="22"/>
                <w:lang w:eastAsia="en-AU"/>
              </w:rPr>
              <w:t xml:space="preserve">Securing land in the Fishermans Bend employment area has remained challenging. Despite using several acquisition strategies to secure land such as by stealth and an open Expression of Interest campaign. South East Water selected a preferred site for the </w:t>
            </w:r>
            <w:r w:rsidR="00412A22">
              <w:rPr>
                <w:rFonts w:eastAsia="Times New Roman" w:cs="Arial"/>
                <w:sz w:val="22"/>
                <w:lang w:eastAsia="en-AU"/>
              </w:rPr>
              <w:t>water recycling plant</w:t>
            </w:r>
            <w:r w:rsidRPr="006E6D43">
              <w:rPr>
                <w:rFonts w:eastAsia="Times New Roman" w:cs="Arial"/>
                <w:sz w:val="22"/>
                <w:lang w:eastAsia="en-AU"/>
              </w:rPr>
              <w:t xml:space="preserve"> at 10-28 and 21-51 Sardine Street Port Melbourne and entered into negotiations with the vendor. Unfortunately, South East Water was unsuccessful and in late 2021 the site was sold to another party. After several unsuccessful attempts to communicate with the new owners South East Water is now progressing with compulsory Acquisition of 10-28 and 21-51 sardine Street with an aim to take possession of the land in 2023. This would be approximately twelve months after the initial scheduled date of Q4 2021</w:t>
            </w:r>
            <w:r w:rsidR="00F243DC">
              <w:rPr>
                <w:rFonts w:eastAsia="Times New Roman" w:cs="Arial"/>
                <w:sz w:val="22"/>
                <w:lang w:eastAsia="en-AU"/>
              </w:rPr>
              <w:t>–</w:t>
            </w:r>
            <w:r w:rsidRPr="006E6D43">
              <w:rPr>
                <w:rFonts w:eastAsia="Times New Roman" w:cs="Arial"/>
                <w:sz w:val="22"/>
                <w:lang w:eastAsia="en-AU"/>
              </w:rPr>
              <w:t>22. </w:t>
            </w:r>
          </w:p>
          <w:p w14:paraId="19755A0D" w14:textId="7C344464" w:rsidR="006E6D43" w:rsidRPr="006E6D43" w:rsidRDefault="006E6D43" w:rsidP="000C0D03">
            <w:pPr>
              <w:spacing w:after="0"/>
              <w:textAlignment w:val="baseline"/>
              <w:rPr>
                <w:rFonts w:eastAsia="Times New Roman" w:cstheme="minorHAnsi"/>
                <w:b/>
                <w:bCs/>
                <w:sz w:val="22"/>
                <w:lang w:eastAsia="en-AU"/>
              </w:rPr>
            </w:pPr>
            <w:r w:rsidRPr="006E6D43">
              <w:rPr>
                <w:rFonts w:eastAsia="Times New Roman" w:cs="Arial"/>
                <w:sz w:val="22"/>
                <w:lang w:eastAsia="en-AU"/>
              </w:rPr>
              <w:t xml:space="preserve">More recently a site adjacent to our preferred site </w:t>
            </w:r>
            <w:r w:rsidR="002F3C4D">
              <w:rPr>
                <w:rFonts w:eastAsia="Times New Roman" w:cs="Arial"/>
                <w:sz w:val="22"/>
                <w:lang w:eastAsia="en-AU"/>
              </w:rPr>
              <w:t>became</w:t>
            </w:r>
            <w:r w:rsidRPr="006E6D43">
              <w:rPr>
                <w:rFonts w:eastAsia="Times New Roman" w:cs="Arial"/>
                <w:sz w:val="22"/>
                <w:lang w:eastAsia="en-AU"/>
              </w:rPr>
              <w:t xml:space="preserve"> available. South East Water is undertaking to procure this site for strategic reasons to support the development of the</w:t>
            </w:r>
            <w:r w:rsidR="00E14DE5">
              <w:rPr>
                <w:rFonts w:eastAsia="Times New Roman" w:cs="Arial"/>
                <w:sz w:val="22"/>
                <w:lang w:eastAsia="en-AU"/>
              </w:rPr>
              <w:t xml:space="preserve"> water recycling plant</w:t>
            </w:r>
            <w:r w:rsidRPr="006E6D43">
              <w:rPr>
                <w:rFonts w:eastAsia="Times New Roman" w:cs="Arial"/>
                <w:sz w:val="22"/>
                <w:lang w:eastAsia="en-AU"/>
              </w:rPr>
              <w:t>. Acquisition of this site will avoid establishment of potentially sensitive use and will allow for more efficient development of our preferred site. </w:t>
            </w:r>
          </w:p>
        </w:tc>
      </w:tr>
    </w:tbl>
    <w:p w14:paraId="28901AD6" w14:textId="77777777" w:rsidR="00B40C06" w:rsidRDefault="00B40C06" w:rsidP="00116E55">
      <w:pPr>
        <w:pStyle w:val="Heading2"/>
        <w:rPr>
          <w:rStyle w:val="normaltextrun"/>
          <w:rFonts w:ascii="Arial" w:eastAsiaTheme="minorHAnsi" w:hAnsi="Arial" w:cstheme="minorBidi"/>
          <w:b w:val="0"/>
          <w:bCs w:val="0"/>
          <w:color w:val="auto"/>
          <w:sz w:val="24"/>
          <w:szCs w:val="24"/>
        </w:rPr>
      </w:pPr>
    </w:p>
    <w:tbl>
      <w:tblPr>
        <w:tblStyle w:val="MJTableStyle1default"/>
        <w:tblW w:w="9246" w:type="dxa"/>
        <w:tblInd w:w="0" w:type="dxa"/>
        <w:tblLook w:val="06A0" w:firstRow="1" w:lastRow="0" w:firstColumn="1" w:lastColumn="0" w:noHBand="1" w:noVBand="1"/>
      </w:tblPr>
      <w:tblGrid>
        <w:gridCol w:w="9246"/>
      </w:tblGrid>
      <w:tr w:rsidR="00710D4A" w:rsidRPr="00601368" w14:paraId="1820B6ED" w14:textId="77777777" w:rsidTr="00116E55">
        <w:trPr>
          <w:cnfStyle w:val="100000000000" w:firstRow="1" w:lastRow="0" w:firstColumn="0" w:lastColumn="0" w:oddVBand="0" w:evenVBand="0" w:oddHBand="0" w:evenHBand="0" w:firstRowFirstColumn="0" w:firstRowLastColumn="0" w:lastRowFirstColumn="0" w:lastRowLastColumn="0"/>
          <w:trHeight w:val="454"/>
          <w:tblHeader/>
        </w:trPr>
        <w:tc>
          <w:tcPr>
            <w:tcW w:w="0" w:type="dxa"/>
            <w:tcBorders>
              <w:top w:val="single" w:sz="2" w:space="0" w:color="002279"/>
              <w:bottom w:val="single" w:sz="2" w:space="0" w:color="002279"/>
            </w:tcBorders>
            <w:shd w:val="clear" w:color="auto" w:fill="002279"/>
            <w:vAlign w:val="center"/>
          </w:tcPr>
          <w:p w14:paraId="560EFD85" w14:textId="3DC0B9DF" w:rsidR="00710D4A" w:rsidRPr="00116E55" w:rsidRDefault="00710D4A" w:rsidP="00825A9C">
            <w:pPr>
              <w:pStyle w:val="Heading2"/>
              <w:outlineLvl w:val="1"/>
              <w:rPr>
                <w:rFonts w:cstheme="minorHAnsi"/>
                <w:sz w:val="22"/>
                <w:szCs w:val="22"/>
              </w:rPr>
            </w:pPr>
            <w:r w:rsidRPr="00116E55">
              <w:rPr>
                <w:color w:val="FFFFFF" w:themeColor="background1"/>
                <w:sz w:val="22"/>
                <w:szCs w:val="22"/>
              </w:rPr>
              <w:t xml:space="preserve">PROJECT </w:t>
            </w:r>
            <w:r w:rsidR="007A3E2C" w:rsidRPr="00116E55">
              <w:rPr>
                <w:color w:val="FFFFFF" w:themeColor="background1"/>
                <w:sz w:val="22"/>
                <w:szCs w:val="22"/>
              </w:rPr>
              <w:t>7</w:t>
            </w:r>
            <w:r w:rsidRPr="00116E55">
              <w:rPr>
                <w:color w:val="FFFFFF" w:themeColor="background1"/>
                <w:sz w:val="22"/>
                <w:szCs w:val="22"/>
              </w:rPr>
              <w:t xml:space="preserve">: </w:t>
            </w:r>
            <w:r w:rsidR="00C40788" w:rsidRPr="00116E55">
              <w:rPr>
                <w:color w:val="FFFFFF" w:themeColor="background1"/>
                <w:sz w:val="22"/>
                <w:szCs w:val="22"/>
              </w:rPr>
              <w:t xml:space="preserve">Hanna </w:t>
            </w:r>
            <w:r w:rsidR="00E04663" w:rsidRPr="00116E55">
              <w:rPr>
                <w:color w:val="FFFFFF" w:themeColor="background1"/>
                <w:sz w:val="22"/>
                <w:szCs w:val="22"/>
              </w:rPr>
              <w:t>Street Catchment improvement delivery performance</w:t>
            </w:r>
            <w:r w:rsidR="00A1315F" w:rsidRPr="00116E55">
              <w:rPr>
                <w:color w:val="FFFFFF" w:themeColor="background1"/>
                <w:sz w:val="22"/>
                <w:szCs w:val="22"/>
              </w:rPr>
              <w:t xml:space="preserve"> </w:t>
            </w:r>
          </w:p>
        </w:tc>
      </w:tr>
      <w:tr w:rsidR="00710D4A" w:rsidRPr="00601368" w14:paraId="71ACCFC4" w14:textId="77777777" w:rsidTr="00116E55">
        <w:tc>
          <w:tcPr>
            <w:tcW w:w="0" w:type="dxa"/>
            <w:tcBorders>
              <w:top w:val="single" w:sz="2" w:space="0" w:color="002279"/>
              <w:bottom w:val="single" w:sz="2" w:space="0" w:color="002279"/>
            </w:tcBorders>
          </w:tcPr>
          <w:p w14:paraId="3B2410FF" w14:textId="22039403" w:rsidR="00710D4A" w:rsidRPr="00237E27" w:rsidRDefault="00710D4A" w:rsidP="000C0D03">
            <w:pPr>
              <w:spacing w:line="259" w:lineRule="auto"/>
              <w:rPr>
                <w:rFonts w:cstheme="minorHAnsi"/>
                <w:sz w:val="22"/>
              </w:rPr>
            </w:pPr>
            <w:r w:rsidRPr="00237E27">
              <w:rPr>
                <w:rFonts w:cstheme="minorHAnsi"/>
                <w:b/>
                <w:sz w:val="22"/>
              </w:rPr>
              <w:t xml:space="preserve">Major service: </w:t>
            </w:r>
            <w:r w:rsidR="00E04663" w:rsidRPr="00237E27">
              <w:rPr>
                <w:rFonts w:cstheme="minorHAnsi"/>
                <w:bCs/>
                <w:sz w:val="22"/>
              </w:rPr>
              <w:t>Sewerage</w:t>
            </w:r>
            <w:r w:rsidR="00A1315F">
              <w:rPr>
                <w:rFonts w:cstheme="minorHAnsi"/>
                <w:b/>
                <w:sz w:val="22"/>
              </w:rPr>
              <w:t xml:space="preserve"> </w:t>
            </w:r>
          </w:p>
        </w:tc>
      </w:tr>
      <w:tr w:rsidR="00710D4A" w:rsidRPr="00601368" w14:paraId="05FAA120" w14:textId="77777777" w:rsidTr="00116E55">
        <w:tc>
          <w:tcPr>
            <w:tcW w:w="0" w:type="dxa"/>
            <w:tcBorders>
              <w:top w:val="single" w:sz="2" w:space="0" w:color="002279"/>
              <w:bottom w:val="single" w:sz="2" w:space="0" w:color="002279"/>
            </w:tcBorders>
          </w:tcPr>
          <w:p w14:paraId="0DAB76D6" w14:textId="4C407534" w:rsidR="00710D4A" w:rsidRPr="00237E27" w:rsidRDefault="00710D4A" w:rsidP="000C0D03">
            <w:pPr>
              <w:spacing w:line="259" w:lineRule="auto"/>
              <w:rPr>
                <w:rFonts w:cstheme="minorHAnsi"/>
                <w:sz w:val="22"/>
              </w:rPr>
            </w:pPr>
            <w:r w:rsidRPr="00237E27">
              <w:rPr>
                <w:rFonts w:cstheme="minorHAnsi"/>
                <w:b/>
                <w:sz w:val="22"/>
              </w:rPr>
              <w:t xml:space="preserve">Asset category: </w:t>
            </w:r>
            <w:r w:rsidR="00E04663" w:rsidRPr="00237E27">
              <w:rPr>
                <w:rFonts w:cstheme="minorHAnsi"/>
                <w:bCs/>
                <w:sz w:val="22"/>
              </w:rPr>
              <w:t>Pipelines</w:t>
            </w:r>
            <w:r w:rsidR="00E27178">
              <w:rPr>
                <w:rFonts w:cstheme="minorHAnsi"/>
                <w:bCs/>
                <w:sz w:val="22"/>
              </w:rPr>
              <w:t>/</w:t>
            </w:r>
            <w:r w:rsidR="00E04663" w:rsidRPr="00237E27">
              <w:rPr>
                <w:rFonts w:cstheme="minorHAnsi"/>
                <w:bCs/>
                <w:sz w:val="22"/>
              </w:rPr>
              <w:t>network</w:t>
            </w:r>
            <w:r w:rsidR="00A1315F">
              <w:rPr>
                <w:rFonts w:cstheme="minorHAnsi"/>
                <w:bCs/>
                <w:sz w:val="22"/>
              </w:rPr>
              <w:t xml:space="preserve"> </w:t>
            </w:r>
          </w:p>
        </w:tc>
      </w:tr>
      <w:tr w:rsidR="00710D4A" w:rsidRPr="00601368" w14:paraId="613376E7" w14:textId="77777777" w:rsidTr="00116E55">
        <w:tc>
          <w:tcPr>
            <w:tcW w:w="0" w:type="dxa"/>
            <w:tcBorders>
              <w:top w:val="single" w:sz="2" w:space="0" w:color="002279"/>
              <w:bottom w:val="single" w:sz="2" w:space="0" w:color="002279"/>
            </w:tcBorders>
          </w:tcPr>
          <w:p w14:paraId="7B03F0A2" w14:textId="399ADC86" w:rsidR="00710D4A" w:rsidRPr="00237E27" w:rsidRDefault="00710D4A" w:rsidP="000C0D03">
            <w:pPr>
              <w:spacing w:line="259" w:lineRule="auto"/>
              <w:rPr>
                <w:rFonts w:cstheme="minorHAnsi"/>
                <w:b/>
                <w:sz w:val="22"/>
              </w:rPr>
            </w:pPr>
            <w:r w:rsidRPr="00237E27">
              <w:rPr>
                <w:rFonts w:cstheme="minorHAnsi"/>
                <w:b/>
                <w:sz w:val="22"/>
              </w:rPr>
              <w:t xml:space="preserve">Driver: </w:t>
            </w:r>
            <w:r w:rsidR="00E04663" w:rsidRPr="00237E27">
              <w:rPr>
                <w:rFonts w:cstheme="minorHAnsi"/>
                <w:bCs/>
                <w:sz w:val="22"/>
              </w:rPr>
              <w:t>Growth</w:t>
            </w:r>
            <w:r w:rsidR="00A1315F">
              <w:rPr>
                <w:rFonts w:cstheme="minorHAnsi"/>
                <w:b/>
                <w:sz w:val="22"/>
              </w:rPr>
              <w:t xml:space="preserve"> </w:t>
            </w:r>
          </w:p>
        </w:tc>
      </w:tr>
      <w:tr w:rsidR="00710D4A" w:rsidRPr="00601368" w14:paraId="630A68F4" w14:textId="77777777" w:rsidTr="00360131">
        <w:trPr>
          <w:trHeight w:val="682"/>
        </w:trPr>
        <w:tc>
          <w:tcPr>
            <w:tcW w:w="0" w:type="dxa"/>
            <w:tcBorders>
              <w:top w:val="single" w:sz="2" w:space="0" w:color="002279"/>
              <w:bottom w:val="single" w:sz="2" w:space="0" w:color="002279"/>
            </w:tcBorders>
          </w:tcPr>
          <w:p w14:paraId="07E5D9CC" w14:textId="0E1D3599" w:rsidR="006E53AF" w:rsidRPr="00237E27" w:rsidRDefault="00710D4A" w:rsidP="006E53AF">
            <w:pPr>
              <w:spacing w:after="0"/>
              <w:textAlignment w:val="baseline"/>
              <w:rPr>
                <w:rFonts w:ascii="Times New Roman" w:eastAsia="Times New Roman" w:hAnsi="Times New Roman" w:cs="Times New Roman"/>
                <w:sz w:val="22"/>
                <w:lang w:eastAsia="en-AU"/>
              </w:rPr>
            </w:pPr>
            <w:r w:rsidRPr="00237E27">
              <w:rPr>
                <w:rFonts w:cstheme="minorHAnsi"/>
                <w:b/>
                <w:sz w:val="22"/>
              </w:rPr>
              <w:t xml:space="preserve">Description: </w:t>
            </w:r>
            <w:r w:rsidR="006E53AF" w:rsidRPr="00237E27">
              <w:rPr>
                <w:rFonts w:eastAsia="Times New Roman" w:cs="Arial"/>
                <w:sz w:val="22"/>
                <w:lang w:eastAsia="en-AU"/>
              </w:rPr>
              <w:t>The project includes new sewerage assets to improve the capacity of the Hanna Street and Wells Street branch sewers including:</w:t>
            </w:r>
            <w:r w:rsidR="00A1315F">
              <w:rPr>
                <w:rFonts w:eastAsia="Times New Roman" w:cs="Arial"/>
                <w:sz w:val="22"/>
                <w:lang w:eastAsia="en-AU"/>
              </w:rPr>
              <w:t xml:space="preserve"> </w:t>
            </w:r>
          </w:p>
          <w:p w14:paraId="17E11F4F" w14:textId="6EE2630B" w:rsidR="006E53AF" w:rsidRPr="00237E27" w:rsidRDefault="00BB39B5">
            <w:pPr>
              <w:pStyle w:val="ListParagraph"/>
              <w:numPr>
                <w:ilvl w:val="0"/>
                <w:numId w:val="121"/>
              </w:numPr>
              <w:spacing w:after="0"/>
              <w:ind w:left="738"/>
              <w:textAlignment w:val="baseline"/>
              <w:rPr>
                <w:rFonts w:eastAsia="Times New Roman" w:cs="Arial"/>
                <w:sz w:val="22"/>
                <w:lang w:eastAsia="en-AU"/>
              </w:rPr>
            </w:pPr>
            <w:r w:rsidRPr="00BB39B5">
              <w:rPr>
                <w:rFonts w:eastAsia="Times New Roman" w:cs="Arial"/>
                <w:sz w:val="22"/>
                <w:lang w:eastAsia="en-AU"/>
              </w:rPr>
              <w:t>d</w:t>
            </w:r>
            <w:r w:rsidR="006E53AF" w:rsidRPr="00BB39B5">
              <w:rPr>
                <w:rFonts w:eastAsia="Times New Roman" w:cs="Arial"/>
                <w:sz w:val="22"/>
                <w:lang w:eastAsia="en-AU"/>
              </w:rPr>
              <w:t>uplication</w:t>
            </w:r>
            <w:r w:rsidR="006E53AF" w:rsidRPr="00237E27">
              <w:rPr>
                <w:rFonts w:eastAsia="Times New Roman" w:cs="Arial"/>
                <w:sz w:val="22"/>
                <w:lang w:eastAsia="en-AU"/>
              </w:rPr>
              <w:t xml:space="preserve"> of 130m of 570mmID gravity sewer along Palmerston Crescent and Stead Street with connection to Melbourne Water South Yarra Main</w:t>
            </w:r>
            <w:r w:rsidR="00A1315F">
              <w:rPr>
                <w:rFonts w:eastAsia="Times New Roman" w:cs="Arial"/>
                <w:sz w:val="22"/>
                <w:lang w:eastAsia="en-AU"/>
              </w:rPr>
              <w:t xml:space="preserve"> </w:t>
            </w:r>
          </w:p>
          <w:p w14:paraId="0E656618" w14:textId="2B156862" w:rsidR="00710D4A" w:rsidRPr="00237E27" w:rsidRDefault="00BB39B5">
            <w:pPr>
              <w:pStyle w:val="ListParagraph"/>
              <w:numPr>
                <w:ilvl w:val="0"/>
                <w:numId w:val="121"/>
              </w:numPr>
              <w:spacing w:after="0"/>
              <w:ind w:left="738"/>
              <w:textAlignment w:val="baseline"/>
              <w:rPr>
                <w:rFonts w:cstheme="minorHAnsi"/>
                <w:sz w:val="22"/>
              </w:rPr>
            </w:pPr>
            <w:r w:rsidRPr="00BB39B5">
              <w:rPr>
                <w:rFonts w:eastAsia="Times New Roman" w:cs="Arial"/>
                <w:sz w:val="22"/>
                <w:lang w:eastAsia="en-AU"/>
              </w:rPr>
              <w:lastRenderedPageBreak/>
              <w:t>e</w:t>
            </w:r>
            <w:r w:rsidR="006E53AF" w:rsidRPr="00BB39B5">
              <w:rPr>
                <w:rFonts w:eastAsia="Times New Roman" w:cs="Arial"/>
                <w:sz w:val="22"/>
                <w:lang w:eastAsia="en-AU"/>
              </w:rPr>
              <w:t>xtension</w:t>
            </w:r>
            <w:r w:rsidR="006E53AF" w:rsidRPr="00237E27">
              <w:rPr>
                <w:rFonts w:eastAsia="Times New Roman" w:cs="Arial"/>
                <w:sz w:val="22"/>
                <w:lang w:eastAsia="en-AU"/>
              </w:rPr>
              <w:t xml:space="preserve"> of duplication across Kings Way to provide future connection point for subsequent Hanna Street project stages.</w:t>
            </w:r>
            <w:r w:rsidR="00A1315F">
              <w:rPr>
                <w:rFonts w:eastAsia="Times New Roman" w:cs="Arial"/>
                <w:sz w:val="22"/>
                <w:lang w:eastAsia="en-AU"/>
              </w:rPr>
              <w:t xml:space="preserve"> </w:t>
            </w:r>
          </w:p>
        </w:tc>
      </w:tr>
      <w:tr w:rsidR="00710D4A" w:rsidRPr="00601368" w14:paraId="5F09C497" w14:textId="77777777" w:rsidTr="00116E55">
        <w:tc>
          <w:tcPr>
            <w:tcW w:w="0" w:type="dxa"/>
            <w:tcBorders>
              <w:top w:val="single" w:sz="2" w:space="0" w:color="002279"/>
              <w:bottom w:val="single" w:sz="2" w:space="0" w:color="002279"/>
            </w:tcBorders>
          </w:tcPr>
          <w:p w14:paraId="2169485C" w14:textId="157AA948" w:rsidR="00710D4A" w:rsidRPr="00237E27" w:rsidRDefault="00710D4A" w:rsidP="000C0D03">
            <w:pPr>
              <w:rPr>
                <w:rFonts w:cstheme="minorHAnsi"/>
                <w:sz w:val="22"/>
              </w:rPr>
            </w:pPr>
            <w:r w:rsidRPr="00237E27">
              <w:rPr>
                <w:rFonts w:cstheme="minorHAnsi"/>
                <w:b/>
                <w:sz w:val="22"/>
              </w:rPr>
              <w:lastRenderedPageBreak/>
              <w:t>Customer outcome:</w:t>
            </w:r>
            <w:r w:rsidRPr="00237E27">
              <w:rPr>
                <w:rFonts w:cstheme="minorHAnsi"/>
                <w:sz w:val="22"/>
              </w:rPr>
              <w:t xml:space="preserve"> </w:t>
            </w:r>
            <w:r w:rsidR="006E53AF" w:rsidRPr="00237E27">
              <w:rPr>
                <w:rFonts w:cstheme="minorHAnsi"/>
                <w:i/>
                <w:iCs/>
                <w:sz w:val="22"/>
              </w:rPr>
              <w:t>Get the basics right, always</w:t>
            </w:r>
            <w:r w:rsidR="006E53AF" w:rsidRPr="00237E27">
              <w:rPr>
                <w:rFonts w:cstheme="minorHAnsi"/>
                <w:sz w:val="22"/>
              </w:rPr>
              <w:t xml:space="preserve"> </w:t>
            </w:r>
          </w:p>
        </w:tc>
      </w:tr>
      <w:tr w:rsidR="00710D4A" w:rsidRPr="00601368" w14:paraId="4F17CB36" w14:textId="77777777" w:rsidTr="00360131">
        <w:trPr>
          <w:trHeight w:val="710"/>
        </w:trPr>
        <w:tc>
          <w:tcPr>
            <w:tcW w:w="0" w:type="dxa"/>
            <w:tcBorders>
              <w:top w:val="single" w:sz="2" w:space="0" w:color="002279"/>
              <w:bottom w:val="single" w:sz="2" w:space="0" w:color="002279"/>
            </w:tcBorders>
            <w:vAlign w:val="center"/>
          </w:tcPr>
          <w:p w14:paraId="14C7C686" w14:textId="7372C123" w:rsidR="00710D4A" w:rsidRPr="00237E27" w:rsidRDefault="00710D4A" w:rsidP="000C0D03">
            <w:pPr>
              <w:spacing w:after="0"/>
              <w:textAlignment w:val="baseline"/>
              <w:rPr>
                <w:rFonts w:eastAsia="Times New Roman" w:cstheme="minorHAnsi"/>
                <w:b/>
                <w:bCs/>
                <w:sz w:val="22"/>
                <w:lang w:eastAsia="en-AU"/>
              </w:rPr>
            </w:pPr>
            <w:r w:rsidRPr="00237E27">
              <w:rPr>
                <w:rFonts w:eastAsia="Times New Roman" w:cstheme="minorHAnsi"/>
                <w:b/>
                <w:bCs/>
                <w:sz w:val="22"/>
                <w:lang w:eastAsia="en-AU"/>
              </w:rPr>
              <w:t>Objective:</w:t>
            </w:r>
            <w:r w:rsidRPr="00237E27">
              <w:rPr>
                <w:rFonts w:eastAsia="Times New Roman" w:cstheme="minorHAnsi"/>
                <w:sz w:val="22"/>
                <w:lang w:eastAsia="en-AU"/>
              </w:rPr>
              <w:t xml:space="preserve"> </w:t>
            </w:r>
            <w:r w:rsidR="000A1359" w:rsidRPr="00237E27">
              <w:rPr>
                <w:rFonts w:eastAsia="Times New Roman" w:cs="Arial"/>
                <w:sz w:val="22"/>
                <w:lang w:eastAsia="en-AU"/>
              </w:rPr>
              <w:t>Prevent wet weather spills and decrease dry weather surcharging in the Hanna Street and Wells Street branch sewers </w:t>
            </w:r>
          </w:p>
        </w:tc>
      </w:tr>
      <w:tr w:rsidR="00710D4A" w:rsidRPr="00601368" w14:paraId="2C10558F" w14:textId="77777777" w:rsidTr="00116E55">
        <w:tc>
          <w:tcPr>
            <w:tcW w:w="0" w:type="dxa"/>
            <w:tcBorders>
              <w:top w:val="single" w:sz="2" w:space="0" w:color="002279"/>
              <w:bottom w:val="single" w:sz="2" w:space="0" w:color="002279"/>
            </w:tcBorders>
          </w:tcPr>
          <w:p w14:paraId="5EDBA9DC" w14:textId="5CB92114" w:rsidR="00710D4A" w:rsidRPr="00237E27" w:rsidRDefault="00710D4A" w:rsidP="000C0D03">
            <w:pPr>
              <w:spacing w:line="259" w:lineRule="auto"/>
              <w:rPr>
                <w:rFonts w:cstheme="minorHAnsi"/>
                <w:b/>
                <w:sz w:val="22"/>
              </w:rPr>
            </w:pPr>
            <w:r w:rsidRPr="00237E27">
              <w:rPr>
                <w:rFonts w:eastAsia="Times New Roman" w:cstheme="minorHAnsi"/>
                <w:b/>
                <w:bCs/>
                <w:sz w:val="22"/>
                <w:lang w:eastAsia="en-AU"/>
              </w:rPr>
              <w:t>Benefits:</w:t>
            </w:r>
            <w:r w:rsidRPr="00237E27">
              <w:rPr>
                <w:rFonts w:eastAsia="Times New Roman" w:cstheme="minorHAnsi"/>
                <w:sz w:val="22"/>
                <w:lang w:eastAsia="en-AU"/>
              </w:rPr>
              <w:t xml:space="preserve"> </w:t>
            </w:r>
            <w:r w:rsidR="00E13A8C" w:rsidRPr="00237E27">
              <w:rPr>
                <w:rFonts w:eastAsia="Times New Roman" w:cs="Arial"/>
                <w:color w:val="000000"/>
                <w:sz w:val="22"/>
                <w:shd w:val="clear" w:color="auto" w:fill="FFFFFF"/>
                <w:lang w:eastAsia="en-AU"/>
              </w:rPr>
              <w:t>Protect human health and the environment  </w:t>
            </w:r>
            <w:r w:rsidR="00E13A8C" w:rsidRPr="00237E27">
              <w:rPr>
                <w:rFonts w:eastAsia="Times New Roman" w:cs="Arial"/>
                <w:color w:val="000000"/>
                <w:sz w:val="22"/>
                <w:lang w:eastAsia="en-AU"/>
              </w:rPr>
              <w:t> </w:t>
            </w:r>
          </w:p>
        </w:tc>
      </w:tr>
      <w:tr w:rsidR="00710D4A" w:rsidRPr="00601368" w14:paraId="1C86840B" w14:textId="77777777" w:rsidTr="00116E55">
        <w:tc>
          <w:tcPr>
            <w:tcW w:w="0" w:type="dxa"/>
            <w:tcBorders>
              <w:top w:val="single" w:sz="2" w:space="0" w:color="002279"/>
              <w:bottom w:val="single" w:sz="2" w:space="0" w:color="002279"/>
            </w:tcBorders>
            <w:vAlign w:val="center"/>
          </w:tcPr>
          <w:p w14:paraId="09AF135D" w14:textId="5FDD2C3F" w:rsidR="00710D4A" w:rsidRPr="00237E27" w:rsidRDefault="00710D4A" w:rsidP="000C0D03">
            <w:pPr>
              <w:pStyle w:val="BodyText"/>
              <w:rPr>
                <w:rFonts w:eastAsia="Times New Roman" w:cstheme="minorHAnsi"/>
                <w:b/>
                <w:bCs/>
                <w:sz w:val="22"/>
                <w:lang w:eastAsia="en-AU"/>
              </w:rPr>
            </w:pPr>
            <w:r w:rsidRPr="00237E27">
              <w:rPr>
                <w:rFonts w:eastAsia="Times New Roman" w:cstheme="minorHAnsi"/>
                <w:b/>
                <w:bCs/>
                <w:sz w:val="22"/>
                <w:lang w:eastAsia="en-AU"/>
              </w:rPr>
              <w:t>2018</w:t>
            </w:r>
            <w:r w:rsidR="00F243DC">
              <w:rPr>
                <w:rFonts w:eastAsia="Times New Roman" w:cstheme="minorHAnsi"/>
                <w:b/>
                <w:bCs/>
                <w:sz w:val="22"/>
                <w:lang w:eastAsia="en-AU"/>
              </w:rPr>
              <w:t>–</w:t>
            </w:r>
            <w:r w:rsidRPr="00237E27">
              <w:rPr>
                <w:rFonts w:eastAsia="Times New Roman" w:cstheme="minorHAnsi"/>
                <w:b/>
                <w:bCs/>
                <w:sz w:val="22"/>
                <w:lang w:eastAsia="en-AU"/>
              </w:rPr>
              <w:t xml:space="preserve">2023 estimate $ submitted to ESC: </w:t>
            </w:r>
            <w:r w:rsidRPr="00237E27">
              <w:rPr>
                <w:rFonts w:eastAsia="Times New Roman" w:cs="Arial"/>
                <w:sz w:val="22"/>
                <w:lang w:eastAsia="en-AU"/>
              </w:rPr>
              <w:t>$</w:t>
            </w:r>
            <w:r w:rsidR="00E13A8C" w:rsidRPr="00237E27">
              <w:rPr>
                <w:rFonts w:eastAsia="Times New Roman" w:cs="Arial"/>
                <w:sz w:val="22"/>
                <w:lang w:eastAsia="en-AU"/>
              </w:rPr>
              <w:t>11</w:t>
            </w:r>
            <w:r w:rsidRPr="00237E27">
              <w:rPr>
                <w:rFonts w:eastAsia="Times New Roman" w:cs="Arial"/>
                <w:sz w:val="22"/>
                <w:lang w:eastAsia="en-AU"/>
              </w:rPr>
              <w:t>m </w:t>
            </w:r>
          </w:p>
        </w:tc>
      </w:tr>
      <w:tr w:rsidR="00710D4A" w:rsidRPr="00601368" w14:paraId="45B33D8E" w14:textId="77777777" w:rsidTr="00360131">
        <w:trPr>
          <w:trHeight w:val="661"/>
        </w:trPr>
        <w:tc>
          <w:tcPr>
            <w:tcW w:w="0" w:type="dxa"/>
            <w:tcBorders>
              <w:top w:val="single" w:sz="2" w:space="0" w:color="002279"/>
              <w:bottom w:val="single" w:sz="2" w:space="0" w:color="002279"/>
            </w:tcBorders>
            <w:vAlign w:val="center"/>
          </w:tcPr>
          <w:p w14:paraId="6F8468BE" w14:textId="42F75D5B" w:rsidR="00710D4A" w:rsidRPr="00237E27" w:rsidRDefault="00710D4A" w:rsidP="000C0D03">
            <w:pPr>
              <w:spacing w:after="0"/>
              <w:textAlignment w:val="baseline"/>
              <w:rPr>
                <w:rFonts w:eastAsia="Times New Roman" w:cstheme="minorHAnsi"/>
                <w:b/>
                <w:bCs/>
                <w:sz w:val="22"/>
                <w:lang w:eastAsia="en-AU"/>
              </w:rPr>
            </w:pPr>
            <w:r w:rsidRPr="00237E27">
              <w:rPr>
                <w:rFonts w:eastAsia="Times New Roman" w:cstheme="minorHAnsi"/>
                <w:b/>
                <w:bCs/>
                <w:sz w:val="22"/>
                <w:lang w:eastAsia="en-AU"/>
              </w:rPr>
              <w:t>What estimate was based on:</w:t>
            </w:r>
            <w:r w:rsidRPr="00237E27">
              <w:rPr>
                <w:rFonts w:eastAsia="Times New Roman" w:cs="Arial"/>
                <w:sz w:val="22"/>
                <w:lang w:eastAsia="en-AU"/>
              </w:rPr>
              <w:t xml:space="preserve"> </w:t>
            </w:r>
            <w:r w:rsidR="006B26BF" w:rsidRPr="00237E27">
              <w:rPr>
                <w:rFonts w:eastAsia="Times New Roman" w:cs="Arial"/>
                <w:sz w:val="22"/>
                <w:lang w:eastAsia="en-AU"/>
              </w:rPr>
              <w:t>This cost is stated in Real $ as of 1 January 2018 and is expected to be incurred wholly within the Price Submission 2018</w:t>
            </w:r>
            <w:r w:rsidR="00F243DC">
              <w:rPr>
                <w:rFonts w:eastAsia="Times New Roman" w:cs="Arial"/>
                <w:sz w:val="22"/>
                <w:lang w:eastAsia="en-AU"/>
              </w:rPr>
              <w:t>–</w:t>
            </w:r>
            <w:r w:rsidR="006B26BF" w:rsidRPr="00237E27">
              <w:rPr>
                <w:rFonts w:eastAsia="Times New Roman" w:cs="Arial"/>
                <w:sz w:val="22"/>
                <w:lang w:eastAsia="en-AU"/>
              </w:rPr>
              <w:t>23 period. </w:t>
            </w:r>
          </w:p>
        </w:tc>
      </w:tr>
      <w:tr w:rsidR="00710D4A" w:rsidRPr="00601368" w14:paraId="178C1084" w14:textId="77777777" w:rsidTr="00116E55">
        <w:tc>
          <w:tcPr>
            <w:tcW w:w="0" w:type="dxa"/>
            <w:tcBorders>
              <w:top w:val="single" w:sz="2" w:space="0" w:color="002279"/>
              <w:bottom w:val="single" w:sz="2" w:space="0" w:color="002279"/>
            </w:tcBorders>
            <w:vAlign w:val="center"/>
          </w:tcPr>
          <w:p w14:paraId="084D463C" w14:textId="77777777" w:rsidR="00710D4A" w:rsidRPr="00237E27" w:rsidRDefault="00710D4A" w:rsidP="000C0D03">
            <w:pPr>
              <w:pStyle w:val="BodyText"/>
              <w:rPr>
                <w:rFonts w:eastAsia="Times New Roman" w:cstheme="minorHAnsi"/>
                <w:b/>
                <w:bCs/>
                <w:sz w:val="22"/>
                <w:lang w:eastAsia="en-AU"/>
              </w:rPr>
            </w:pPr>
            <w:r w:rsidRPr="00237E27">
              <w:rPr>
                <w:rFonts w:eastAsia="Times New Roman" w:cstheme="minorHAnsi"/>
                <w:b/>
                <w:bCs/>
                <w:sz w:val="22"/>
                <w:lang w:eastAsia="en-AU"/>
              </w:rPr>
              <w:t xml:space="preserve">Estimate confidence: </w:t>
            </w:r>
            <w:r w:rsidRPr="00237E27">
              <w:rPr>
                <w:rFonts w:eastAsia="Times New Roman" w:cstheme="minorHAnsi"/>
                <w:sz w:val="22"/>
                <w:lang w:eastAsia="en-AU"/>
              </w:rPr>
              <w:t>P50 </w:t>
            </w:r>
          </w:p>
        </w:tc>
      </w:tr>
      <w:tr w:rsidR="00710D4A" w:rsidRPr="00601368" w14:paraId="1CFA4C60" w14:textId="77777777" w:rsidTr="00116E55">
        <w:tc>
          <w:tcPr>
            <w:tcW w:w="0" w:type="dxa"/>
            <w:tcBorders>
              <w:top w:val="single" w:sz="2" w:space="0" w:color="002279"/>
              <w:bottom w:val="single" w:sz="2" w:space="0" w:color="002279"/>
            </w:tcBorders>
          </w:tcPr>
          <w:p w14:paraId="73624B93" w14:textId="770951E4" w:rsidR="00710D4A" w:rsidRPr="00237E27" w:rsidRDefault="00710D4A" w:rsidP="000C0D03">
            <w:pPr>
              <w:pStyle w:val="BodyText"/>
              <w:rPr>
                <w:rFonts w:eastAsia="Times New Roman" w:cstheme="minorHAnsi"/>
                <w:b/>
                <w:bCs/>
                <w:sz w:val="22"/>
                <w:lang w:eastAsia="en-AU"/>
              </w:rPr>
            </w:pPr>
            <w:r w:rsidRPr="00237E27">
              <w:rPr>
                <w:rFonts w:eastAsia="Times New Roman" w:cstheme="minorHAnsi"/>
                <w:b/>
                <w:bCs/>
                <w:sz w:val="22"/>
                <w:lang w:eastAsia="en-AU"/>
              </w:rPr>
              <w:t>2018</w:t>
            </w:r>
            <w:r w:rsidR="00F243DC">
              <w:rPr>
                <w:rFonts w:eastAsia="Times New Roman" w:cstheme="minorHAnsi"/>
                <w:b/>
                <w:bCs/>
                <w:sz w:val="22"/>
                <w:lang w:eastAsia="en-AU"/>
              </w:rPr>
              <w:t>–</w:t>
            </w:r>
            <w:r w:rsidRPr="00237E27">
              <w:rPr>
                <w:rFonts w:eastAsia="Times New Roman" w:cstheme="minorHAnsi"/>
                <w:b/>
                <w:bCs/>
                <w:sz w:val="22"/>
                <w:lang w:eastAsia="en-AU"/>
              </w:rPr>
              <w:t xml:space="preserve">2023 ESC determination $: </w:t>
            </w:r>
            <w:r w:rsidRPr="00237E27">
              <w:rPr>
                <w:rFonts w:eastAsia="Times New Roman" w:cstheme="minorHAnsi"/>
                <w:sz w:val="22"/>
                <w:lang w:eastAsia="en-AU"/>
              </w:rPr>
              <w:t>$</w:t>
            </w:r>
            <w:r w:rsidR="006B26BF" w:rsidRPr="00237E27">
              <w:rPr>
                <w:rFonts w:eastAsia="Times New Roman" w:cstheme="minorHAnsi"/>
                <w:sz w:val="22"/>
                <w:lang w:eastAsia="en-AU"/>
              </w:rPr>
              <w:t>11</w:t>
            </w:r>
            <w:r w:rsidR="00A933AB">
              <w:rPr>
                <w:rFonts w:eastAsia="Times New Roman" w:cstheme="minorHAnsi"/>
                <w:sz w:val="22"/>
                <w:lang w:eastAsia="en-AU"/>
              </w:rPr>
              <w:t>m</w:t>
            </w:r>
          </w:p>
        </w:tc>
      </w:tr>
      <w:tr w:rsidR="00710D4A" w:rsidRPr="00601368" w14:paraId="3C494528" w14:textId="77777777" w:rsidTr="00116E55">
        <w:tc>
          <w:tcPr>
            <w:tcW w:w="0" w:type="dxa"/>
            <w:tcBorders>
              <w:top w:val="single" w:sz="2" w:space="0" w:color="002279"/>
              <w:bottom w:val="single" w:sz="2" w:space="0" w:color="002279"/>
            </w:tcBorders>
            <w:vAlign w:val="center"/>
          </w:tcPr>
          <w:p w14:paraId="4950D006" w14:textId="6122FFD8" w:rsidR="00710D4A" w:rsidRPr="00237E27" w:rsidRDefault="00710D4A" w:rsidP="000C0D03">
            <w:pPr>
              <w:pStyle w:val="BodyText"/>
              <w:rPr>
                <w:rFonts w:eastAsia="Times New Roman" w:cstheme="minorHAnsi"/>
                <w:b/>
                <w:bCs/>
                <w:sz w:val="22"/>
                <w:lang w:eastAsia="en-AU"/>
              </w:rPr>
            </w:pPr>
            <w:r w:rsidRPr="00237E27">
              <w:rPr>
                <w:rFonts w:eastAsia="Times New Roman" w:cstheme="minorHAnsi"/>
                <w:b/>
                <w:bCs/>
                <w:sz w:val="22"/>
                <w:lang w:eastAsia="en-AU"/>
              </w:rPr>
              <w:t xml:space="preserve">Business case $: </w:t>
            </w:r>
            <w:r w:rsidR="00A128DA" w:rsidRPr="00237E27">
              <w:rPr>
                <w:rFonts w:eastAsia="Times New Roman" w:cs="Arial"/>
                <w:sz w:val="22"/>
                <w:lang w:eastAsia="en-AU"/>
              </w:rPr>
              <w:t>$14.4</w:t>
            </w:r>
            <w:r w:rsidR="00A933AB">
              <w:rPr>
                <w:rFonts w:eastAsia="Times New Roman" w:cs="Arial"/>
                <w:sz w:val="22"/>
                <w:lang w:eastAsia="en-AU"/>
              </w:rPr>
              <w:t>m</w:t>
            </w:r>
            <w:r w:rsidR="00A128DA" w:rsidRPr="00237E27">
              <w:rPr>
                <w:rFonts w:eastAsia="Times New Roman" w:cs="Arial"/>
                <w:sz w:val="22"/>
                <w:lang w:eastAsia="en-AU"/>
              </w:rPr>
              <w:t xml:space="preserve"> </w:t>
            </w:r>
            <w:r w:rsidR="00F243DC">
              <w:rPr>
                <w:rFonts w:eastAsia="Times New Roman" w:cs="Arial"/>
                <w:sz w:val="22"/>
                <w:lang w:eastAsia="en-AU"/>
              </w:rPr>
              <w:t>–</w:t>
            </w:r>
            <w:r w:rsidR="00A128DA" w:rsidRPr="00237E27">
              <w:rPr>
                <w:rFonts w:eastAsia="Times New Roman" w:cs="Arial"/>
                <w:sz w:val="22"/>
                <w:lang w:eastAsia="en-AU"/>
              </w:rPr>
              <w:t xml:space="preserve"> P95 </w:t>
            </w:r>
            <w:r w:rsidR="00E42753">
              <w:rPr>
                <w:rFonts w:eastAsia="Times New Roman" w:cs="Arial"/>
                <w:sz w:val="22"/>
                <w:lang w:eastAsia="en-AU"/>
              </w:rPr>
              <w:t>board</w:t>
            </w:r>
            <w:r w:rsidR="00A128DA" w:rsidRPr="00237E27">
              <w:rPr>
                <w:rFonts w:eastAsia="Times New Roman" w:cs="Arial"/>
                <w:sz w:val="22"/>
                <w:lang w:eastAsia="en-AU"/>
              </w:rPr>
              <w:t xml:space="preserve"> Approval, March 2021 ($13.1</w:t>
            </w:r>
            <w:r w:rsidR="00A933AB">
              <w:rPr>
                <w:rFonts w:eastAsia="Times New Roman" w:cs="Arial"/>
                <w:sz w:val="22"/>
                <w:lang w:eastAsia="en-AU"/>
              </w:rPr>
              <w:t>m</w:t>
            </w:r>
            <w:r w:rsidR="00A128DA" w:rsidRPr="00237E27">
              <w:rPr>
                <w:rFonts w:eastAsia="Times New Roman" w:cs="Arial"/>
                <w:sz w:val="22"/>
                <w:lang w:eastAsia="en-AU"/>
              </w:rPr>
              <w:t xml:space="preserve"> </w:t>
            </w:r>
            <w:r w:rsidR="00F243DC">
              <w:rPr>
                <w:rFonts w:eastAsia="Times New Roman" w:cs="Arial"/>
                <w:sz w:val="22"/>
                <w:lang w:eastAsia="en-AU"/>
              </w:rPr>
              <w:t>–</w:t>
            </w:r>
            <w:r w:rsidR="00A128DA" w:rsidRPr="00237E27">
              <w:rPr>
                <w:rFonts w:eastAsia="Times New Roman" w:cs="Arial"/>
                <w:sz w:val="22"/>
                <w:lang w:eastAsia="en-AU"/>
              </w:rPr>
              <w:t xml:space="preserve"> P50) </w:t>
            </w:r>
          </w:p>
        </w:tc>
      </w:tr>
      <w:tr w:rsidR="00710D4A" w:rsidRPr="00601368" w14:paraId="1C05464D" w14:textId="77777777" w:rsidTr="00360131">
        <w:trPr>
          <w:trHeight w:val="2188"/>
        </w:trPr>
        <w:tc>
          <w:tcPr>
            <w:tcW w:w="0" w:type="dxa"/>
            <w:tcBorders>
              <w:top w:val="single" w:sz="2" w:space="0" w:color="002279"/>
              <w:bottom w:val="single" w:sz="2" w:space="0" w:color="002279"/>
            </w:tcBorders>
            <w:vAlign w:val="center"/>
          </w:tcPr>
          <w:p w14:paraId="7197064C" w14:textId="7FE101E4" w:rsidR="00442D0A" w:rsidRPr="00237E27" w:rsidRDefault="00710D4A" w:rsidP="00442D0A">
            <w:pPr>
              <w:spacing w:after="0"/>
              <w:textAlignment w:val="baseline"/>
              <w:rPr>
                <w:rFonts w:ascii="Times New Roman" w:eastAsia="Times New Roman" w:hAnsi="Times New Roman" w:cs="Times New Roman"/>
                <w:sz w:val="22"/>
                <w:lang w:eastAsia="en-AU"/>
              </w:rPr>
            </w:pPr>
            <w:r w:rsidRPr="00237E27">
              <w:rPr>
                <w:rFonts w:eastAsia="Times New Roman" w:cstheme="minorHAnsi"/>
                <w:b/>
                <w:bCs/>
                <w:sz w:val="22"/>
                <w:lang w:eastAsia="en-AU"/>
              </w:rPr>
              <w:t>Reason for change</w:t>
            </w:r>
            <w:r w:rsidR="00E27178">
              <w:rPr>
                <w:rFonts w:eastAsia="Times New Roman" w:cstheme="minorHAnsi"/>
                <w:b/>
                <w:bCs/>
                <w:sz w:val="22"/>
                <w:lang w:eastAsia="en-AU"/>
              </w:rPr>
              <w:t>/</w:t>
            </w:r>
            <w:r w:rsidRPr="00237E27">
              <w:rPr>
                <w:rFonts w:eastAsia="Times New Roman" w:cstheme="minorHAnsi"/>
                <w:b/>
                <w:bCs/>
                <w:sz w:val="22"/>
                <w:lang w:eastAsia="en-AU"/>
              </w:rPr>
              <w:t>difference between 2018</w:t>
            </w:r>
            <w:r w:rsidR="00FE7457">
              <w:rPr>
                <w:rFonts w:eastAsia="Times New Roman" w:cstheme="minorHAnsi"/>
                <w:b/>
                <w:bCs/>
                <w:sz w:val="22"/>
                <w:lang w:eastAsia="en-AU"/>
              </w:rPr>
              <w:t xml:space="preserve"> and </w:t>
            </w:r>
            <w:r w:rsidRPr="00237E27">
              <w:rPr>
                <w:rFonts w:eastAsia="Times New Roman" w:cstheme="minorHAnsi"/>
                <w:b/>
                <w:bCs/>
                <w:sz w:val="22"/>
                <w:lang w:eastAsia="en-AU"/>
              </w:rPr>
              <w:t xml:space="preserve">2023 ESC determination $ and business case $: </w:t>
            </w:r>
            <w:r w:rsidR="00442D0A" w:rsidRPr="00237E27">
              <w:rPr>
                <w:rFonts w:eastAsia="Times New Roman" w:cs="Arial"/>
                <w:sz w:val="22"/>
                <w:lang w:eastAsia="en-AU"/>
              </w:rPr>
              <w:t>The increased scope, complexity and necessary sequencing of the works within the catchment have resulted in Stage 1 ($14.4</w:t>
            </w:r>
            <w:r w:rsidR="00A933AB">
              <w:rPr>
                <w:rFonts w:eastAsia="Times New Roman" w:cs="Arial"/>
                <w:sz w:val="22"/>
                <w:lang w:eastAsia="en-AU"/>
              </w:rPr>
              <w:t>m</w:t>
            </w:r>
            <w:r w:rsidR="00442D0A" w:rsidRPr="00237E27">
              <w:rPr>
                <w:rFonts w:eastAsia="Times New Roman" w:cs="Arial"/>
                <w:sz w:val="22"/>
                <w:lang w:eastAsia="en-AU"/>
              </w:rPr>
              <w:t>) being the only works to be delivered within the catchment in Price Submission 2018</w:t>
            </w:r>
            <w:r w:rsidR="00F243DC">
              <w:rPr>
                <w:rFonts w:eastAsia="Times New Roman" w:cs="Arial"/>
                <w:sz w:val="22"/>
                <w:lang w:eastAsia="en-AU"/>
              </w:rPr>
              <w:t>–</w:t>
            </w:r>
            <w:r w:rsidR="00442D0A" w:rsidRPr="00237E27">
              <w:rPr>
                <w:rFonts w:eastAsia="Times New Roman" w:cs="Arial"/>
                <w:sz w:val="22"/>
                <w:lang w:eastAsia="en-AU"/>
              </w:rPr>
              <w:t>23.</w:t>
            </w:r>
            <w:r w:rsidR="00A1315F">
              <w:rPr>
                <w:rFonts w:eastAsia="Times New Roman" w:cs="Arial"/>
                <w:sz w:val="22"/>
                <w:lang w:eastAsia="en-AU"/>
              </w:rPr>
              <w:t xml:space="preserve"> </w:t>
            </w:r>
          </w:p>
          <w:p w14:paraId="225117A8" w14:textId="6E7DB809" w:rsidR="00710D4A" w:rsidRPr="00237E27" w:rsidRDefault="00442D0A" w:rsidP="00442D0A">
            <w:pPr>
              <w:spacing w:after="0"/>
              <w:textAlignment w:val="baseline"/>
              <w:rPr>
                <w:rFonts w:eastAsia="Times New Roman" w:cstheme="minorHAnsi"/>
                <w:b/>
                <w:bCs/>
                <w:sz w:val="22"/>
                <w:lang w:eastAsia="en-AU"/>
              </w:rPr>
            </w:pPr>
            <w:r w:rsidRPr="00237E27">
              <w:rPr>
                <w:rFonts w:eastAsia="Times New Roman" w:cs="Arial"/>
                <w:sz w:val="22"/>
                <w:lang w:eastAsia="en-AU"/>
              </w:rPr>
              <w:t>The increase was funded from the total 2018</w:t>
            </w:r>
            <w:r w:rsidR="00F243DC">
              <w:rPr>
                <w:rFonts w:eastAsia="Times New Roman" w:cs="Arial"/>
                <w:sz w:val="22"/>
                <w:lang w:eastAsia="en-AU"/>
              </w:rPr>
              <w:t>–</w:t>
            </w:r>
            <w:r w:rsidRPr="00237E27">
              <w:rPr>
                <w:rFonts w:eastAsia="Times New Roman" w:cs="Arial"/>
                <w:sz w:val="22"/>
                <w:lang w:eastAsia="en-AU"/>
              </w:rPr>
              <w:t>23 allocation of $15.4</w:t>
            </w:r>
            <w:r w:rsidR="00A933AB">
              <w:rPr>
                <w:rFonts w:eastAsia="Times New Roman" w:cs="Arial"/>
                <w:sz w:val="22"/>
                <w:lang w:eastAsia="en-AU"/>
              </w:rPr>
              <w:t>m</w:t>
            </w:r>
            <w:r w:rsidRPr="00237E27">
              <w:rPr>
                <w:rFonts w:eastAsia="Times New Roman" w:cs="Arial"/>
                <w:sz w:val="22"/>
                <w:lang w:eastAsia="en-AU"/>
              </w:rPr>
              <w:t xml:space="preserve"> for the Hanna/Wells St catchments.</w:t>
            </w:r>
            <w:r w:rsidR="00A1315F">
              <w:rPr>
                <w:rFonts w:eastAsia="Times New Roman" w:cs="Arial"/>
                <w:sz w:val="22"/>
                <w:lang w:eastAsia="en-AU"/>
              </w:rPr>
              <w:t xml:space="preserve"> </w:t>
            </w:r>
            <w:r w:rsidRPr="00237E27">
              <w:rPr>
                <w:rFonts w:eastAsia="Times New Roman" w:cs="Arial"/>
                <w:sz w:val="22"/>
                <w:lang w:eastAsia="en-AU"/>
              </w:rPr>
              <w:t>The revised Stage 1 scope is necessary to facilitate future stages safely and practically in 2023</w:t>
            </w:r>
            <w:r w:rsidR="00F243DC">
              <w:rPr>
                <w:rFonts w:eastAsia="Times New Roman" w:cs="Arial"/>
                <w:sz w:val="22"/>
                <w:lang w:eastAsia="en-AU"/>
              </w:rPr>
              <w:t>–</w:t>
            </w:r>
            <w:r w:rsidRPr="00237E27">
              <w:rPr>
                <w:rFonts w:eastAsia="Times New Roman" w:cs="Arial"/>
                <w:sz w:val="22"/>
                <w:lang w:eastAsia="en-AU"/>
              </w:rPr>
              <w:t>28.</w:t>
            </w:r>
            <w:r w:rsidR="00A1315F">
              <w:rPr>
                <w:rFonts w:eastAsia="Times New Roman" w:cs="Arial"/>
                <w:sz w:val="22"/>
                <w:lang w:eastAsia="en-AU"/>
              </w:rPr>
              <w:t xml:space="preserve"> </w:t>
            </w:r>
          </w:p>
        </w:tc>
      </w:tr>
      <w:tr w:rsidR="00710D4A" w:rsidRPr="00601368" w14:paraId="2A78D034" w14:textId="77777777" w:rsidTr="00360131">
        <w:trPr>
          <w:trHeight w:val="477"/>
        </w:trPr>
        <w:tc>
          <w:tcPr>
            <w:tcW w:w="0" w:type="dxa"/>
            <w:tcBorders>
              <w:top w:val="single" w:sz="2" w:space="0" w:color="002279"/>
              <w:bottom w:val="single" w:sz="2" w:space="0" w:color="002279"/>
            </w:tcBorders>
            <w:vAlign w:val="center"/>
          </w:tcPr>
          <w:p w14:paraId="1166A947" w14:textId="6A5ADDCD" w:rsidR="00710D4A" w:rsidRPr="00237E27" w:rsidRDefault="00710D4A" w:rsidP="000C0D03">
            <w:pPr>
              <w:spacing w:after="0"/>
              <w:textAlignment w:val="baseline"/>
              <w:rPr>
                <w:rFonts w:eastAsia="Times New Roman" w:cstheme="minorHAnsi"/>
                <w:b/>
                <w:bCs/>
                <w:sz w:val="22"/>
                <w:lang w:eastAsia="en-AU"/>
              </w:rPr>
            </w:pPr>
            <w:r w:rsidRPr="00237E27">
              <w:rPr>
                <w:rFonts w:eastAsia="Times New Roman" w:cstheme="minorHAnsi"/>
                <w:b/>
                <w:bCs/>
                <w:sz w:val="22"/>
                <w:lang w:eastAsia="en-AU"/>
              </w:rPr>
              <w:t>Actuals</w:t>
            </w:r>
            <w:r w:rsidR="00E27178">
              <w:rPr>
                <w:rFonts w:eastAsia="Times New Roman" w:cstheme="minorHAnsi"/>
                <w:b/>
                <w:bCs/>
                <w:sz w:val="22"/>
                <w:lang w:eastAsia="en-AU"/>
              </w:rPr>
              <w:t>/</w:t>
            </w:r>
            <w:r w:rsidRPr="00237E27">
              <w:rPr>
                <w:rFonts w:eastAsia="Times New Roman" w:cstheme="minorHAnsi"/>
                <w:b/>
                <w:bCs/>
                <w:sz w:val="22"/>
                <w:lang w:eastAsia="en-AU"/>
              </w:rPr>
              <w:t xml:space="preserve">Forecast $ (30 June 2023): </w:t>
            </w:r>
            <w:r w:rsidR="00113F4D" w:rsidRPr="00237E27">
              <w:rPr>
                <w:rFonts w:eastAsia="Times New Roman" w:cs="Arial"/>
                <w:sz w:val="22"/>
                <w:lang w:eastAsia="en-AU"/>
              </w:rPr>
              <w:t>$12.0</w:t>
            </w:r>
            <w:r w:rsidR="00A933AB">
              <w:rPr>
                <w:rFonts w:eastAsia="Times New Roman" w:cs="Arial"/>
                <w:sz w:val="22"/>
                <w:lang w:eastAsia="en-AU"/>
              </w:rPr>
              <w:t>m</w:t>
            </w:r>
            <w:r w:rsidR="00A1315F">
              <w:rPr>
                <w:rFonts w:eastAsia="Times New Roman" w:cs="Arial"/>
                <w:sz w:val="22"/>
                <w:lang w:eastAsia="en-AU"/>
              </w:rPr>
              <w:t xml:space="preserve"> </w:t>
            </w:r>
          </w:p>
        </w:tc>
      </w:tr>
      <w:tr w:rsidR="00710D4A" w:rsidRPr="00601368" w14:paraId="53C926F5" w14:textId="77777777" w:rsidTr="00360131">
        <w:trPr>
          <w:trHeight w:val="943"/>
        </w:trPr>
        <w:tc>
          <w:tcPr>
            <w:tcW w:w="0" w:type="dxa"/>
            <w:tcBorders>
              <w:top w:val="single" w:sz="2" w:space="0" w:color="002279"/>
              <w:bottom w:val="single" w:sz="2" w:space="0" w:color="002279"/>
            </w:tcBorders>
          </w:tcPr>
          <w:p w14:paraId="0D6181E5" w14:textId="7029C368" w:rsidR="00470C48" w:rsidRPr="00237E27" w:rsidRDefault="00710D4A" w:rsidP="00470C48">
            <w:pPr>
              <w:spacing w:after="0"/>
              <w:textAlignment w:val="baseline"/>
              <w:rPr>
                <w:rFonts w:ascii="Times New Roman" w:eastAsia="Times New Roman" w:hAnsi="Times New Roman" w:cs="Times New Roman"/>
                <w:sz w:val="22"/>
                <w:lang w:eastAsia="en-AU"/>
              </w:rPr>
            </w:pPr>
            <w:r w:rsidRPr="00237E27">
              <w:rPr>
                <w:rFonts w:eastAsia="Times New Roman" w:cstheme="minorHAnsi"/>
                <w:b/>
                <w:bCs/>
                <w:sz w:val="22"/>
                <w:lang w:eastAsia="en-AU"/>
              </w:rPr>
              <w:t>Reason for change</w:t>
            </w:r>
            <w:r w:rsidR="00E27178">
              <w:rPr>
                <w:rFonts w:eastAsia="Times New Roman" w:cstheme="minorHAnsi"/>
                <w:b/>
                <w:bCs/>
                <w:sz w:val="22"/>
                <w:lang w:eastAsia="en-AU"/>
              </w:rPr>
              <w:t>/</w:t>
            </w:r>
            <w:r w:rsidRPr="00237E27">
              <w:rPr>
                <w:rFonts w:eastAsia="Times New Roman" w:cstheme="minorHAnsi"/>
                <w:b/>
                <w:bCs/>
                <w:sz w:val="22"/>
                <w:lang w:eastAsia="en-AU"/>
              </w:rPr>
              <w:t>difference between business case $ and Actuals</w:t>
            </w:r>
            <w:r w:rsidR="00E27178">
              <w:rPr>
                <w:rFonts w:eastAsia="Times New Roman" w:cstheme="minorHAnsi"/>
                <w:b/>
                <w:bCs/>
                <w:sz w:val="22"/>
                <w:lang w:eastAsia="en-AU"/>
              </w:rPr>
              <w:t>/</w:t>
            </w:r>
            <w:r w:rsidRPr="00237E27">
              <w:rPr>
                <w:rFonts w:eastAsia="Times New Roman" w:cstheme="minorHAnsi"/>
                <w:b/>
                <w:bCs/>
                <w:sz w:val="22"/>
                <w:lang w:eastAsia="en-AU"/>
              </w:rPr>
              <w:t xml:space="preserve">Forecast $ (30 June 2023): </w:t>
            </w:r>
            <w:r w:rsidR="00470C48" w:rsidRPr="00237E27">
              <w:rPr>
                <w:rFonts w:eastAsia="Times New Roman" w:cs="Arial"/>
                <w:sz w:val="22"/>
                <w:lang w:eastAsia="en-AU"/>
              </w:rPr>
              <w:t>Project is forecast to be completed within the Business Case approval </w:t>
            </w:r>
          </w:p>
          <w:p w14:paraId="374456F8" w14:textId="59419818" w:rsidR="00710D4A" w:rsidRPr="00237E27" w:rsidRDefault="00470C48" w:rsidP="00237E27">
            <w:pPr>
              <w:spacing w:after="0"/>
              <w:textAlignment w:val="baseline"/>
              <w:rPr>
                <w:rFonts w:eastAsia="Times New Roman" w:cstheme="minorHAnsi"/>
                <w:b/>
                <w:bCs/>
                <w:sz w:val="22"/>
                <w:lang w:eastAsia="en-AU"/>
              </w:rPr>
            </w:pPr>
            <w:r w:rsidRPr="00237E27">
              <w:rPr>
                <w:rFonts w:eastAsia="Times New Roman" w:cs="Arial"/>
                <w:sz w:val="22"/>
                <w:lang w:eastAsia="en-AU"/>
              </w:rPr>
              <w:t>Stage 1 works will be completed in 2023/2024 (Q2) </w:t>
            </w:r>
          </w:p>
        </w:tc>
      </w:tr>
      <w:tr w:rsidR="00710D4A" w:rsidRPr="00601368" w14:paraId="7DD2DBE2" w14:textId="77777777" w:rsidTr="00116E55">
        <w:tc>
          <w:tcPr>
            <w:tcW w:w="0" w:type="dxa"/>
            <w:tcBorders>
              <w:top w:val="single" w:sz="2" w:space="0" w:color="002279"/>
              <w:bottom w:val="single" w:sz="2" w:space="0" w:color="002279"/>
            </w:tcBorders>
          </w:tcPr>
          <w:p w14:paraId="66E86E0D" w14:textId="12D04F9D" w:rsidR="00710D4A" w:rsidRPr="00237E27" w:rsidRDefault="00710D4A" w:rsidP="000C0D03">
            <w:pPr>
              <w:pStyle w:val="BodyText"/>
              <w:rPr>
                <w:rFonts w:eastAsia="Times New Roman" w:cstheme="minorHAnsi"/>
                <w:b/>
                <w:bCs/>
                <w:sz w:val="22"/>
                <w:lang w:eastAsia="en-AU"/>
              </w:rPr>
            </w:pPr>
            <w:r w:rsidRPr="00237E27">
              <w:rPr>
                <w:rFonts w:eastAsia="Times New Roman" w:cstheme="minorHAnsi"/>
                <w:b/>
                <w:bCs/>
                <w:sz w:val="22"/>
                <w:lang w:eastAsia="en-AU"/>
              </w:rPr>
              <w:t xml:space="preserve">Actuals </w:t>
            </w:r>
            <w:r w:rsidR="00F94FAB">
              <w:rPr>
                <w:rFonts w:eastAsia="Times New Roman" w:cstheme="minorHAnsi"/>
                <w:b/>
                <w:bCs/>
                <w:sz w:val="22"/>
                <w:lang w:eastAsia="en-AU"/>
              </w:rPr>
              <w:t>at</w:t>
            </w:r>
            <w:r w:rsidRPr="00237E27">
              <w:rPr>
                <w:rFonts w:eastAsia="Times New Roman" w:cstheme="minorHAnsi"/>
                <w:b/>
                <w:bCs/>
                <w:sz w:val="22"/>
                <w:lang w:eastAsia="en-AU"/>
              </w:rPr>
              <w:t xml:space="preserve">2022/23 (Q1): </w:t>
            </w:r>
            <w:r w:rsidRPr="00237E27">
              <w:rPr>
                <w:rFonts w:eastAsia="Times New Roman" w:cstheme="minorHAnsi"/>
                <w:sz w:val="22"/>
                <w:lang w:eastAsia="en-AU"/>
              </w:rPr>
              <w:t>$</w:t>
            </w:r>
            <w:r w:rsidR="00470C48" w:rsidRPr="00237E27">
              <w:rPr>
                <w:rFonts w:eastAsia="Times New Roman" w:cstheme="minorHAnsi"/>
                <w:sz w:val="22"/>
                <w:lang w:eastAsia="en-AU"/>
              </w:rPr>
              <w:t>1.48</w:t>
            </w:r>
            <w:r w:rsidR="00A933AB">
              <w:rPr>
                <w:rFonts w:eastAsia="Times New Roman" w:cstheme="minorHAnsi"/>
                <w:sz w:val="22"/>
                <w:lang w:eastAsia="en-AU"/>
              </w:rPr>
              <w:t>m</w:t>
            </w:r>
          </w:p>
        </w:tc>
      </w:tr>
      <w:tr w:rsidR="00710D4A" w:rsidRPr="00601368" w14:paraId="4C5B6EFB" w14:textId="77777777" w:rsidTr="00116E55">
        <w:tc>
          <w:tcPr>
            <w:tcW w:w="0" w:type="dxa"/>
            <w:tcBorders>
              <w:top w:val="single" w:sz="2" w:space="0" w:color="002279"/>
              <w:bottom w:val="single" w:sz="2" w:space="0" w:color="002279"/>
            </w:tcBorders>
          </w:tcPr>
          <w:p w14:paraId="1D4A7446" w14:textId="5A1C9CDF" w:rsidR="00710D4A" w:rsidRPr="00237E27" w:rsidRDefault="00710D4A" w:rsidP="000C0D03">
            <w:pPr>
              <w:pStyle w:val="BodyText"/>
              <w:rPr>
                <w:rFonts w:eastAsia="Times New Roman" w:cstheme="minorHAnsi"/>
                <w:b/>
                <w:bCs/>
                <w:sz w:val="22"/>
                <w:lang w:eastAsia="en-AU"/>
              </w:rPr>
            </w:pPr>
            <w:r w:rsidRPr="00237E27">
              <w:rPr>
                <w:rFonts w:eastAsia="Times New Roman" w:cstheme="minorHAnsi"/>
                <w:b/>
                <w:bCs/>
                <w:sz w:val="22"/>
                <w:lang w:eastAsia="en-AU"/>
              </w:rPr>
              <w:t>Project spend end date:</w:t>
            </w:r>
            <w:r w:rsidRPr="00237E27">
              <w:rPr>
                <w:rFonts w:eastAsia="Times New Roman" w:cstheme="minorHAnsi"/>
                <w:sz w:val="22"/>
                <w:lang w:eastAsia="en-AU"/>
              </w:rPr>
              <w:t xml:space="preserve"> </w:t>
            </w:r>
            <w:r w:rsidR="0095525E" w:rsidRPr="00237E27">
              <w:rPr>
                <w:rFonts w:eastAsia="Times New Roman" w:cs="Arial"/>
                <w:sz w:val="22"/>
                <w:lang w:eastAsia="en-AU"/>
              </w:rPr>
              <w:t xml:space="preserve">2023/2024 (Q2) </w:t>
            </w:r>
            <w:r w:rsidR="00F243DC">
              <w:rPr>
                <w:rFonts w:eastAsia="Times New Roman" w:cs="Arial"/>
                <w:sz w:val="22"/>
                <w:lang w:eastAsia="en-AU"/>
              </w:rPr>
              <w:t>–</w:t>
            </w:r>
            <w:r w:rsidR="0095525E" w:rsidRPr="00237E27">
              <w:rPr>
                <w:rFonts w:eastAsia="Times New Roman" w:cs="Arial"/>
                <w:sz w:val="22"/>
                <w:lang w:eastAsia="en-AU"/>
              </w:rPr>
              <w:t xml:space="preserve"> $13.9</w:t>
            </w:r>
            <w:r w:rsidR="00A933AB">
              <w:rPr>
                <w:rFonts w:eastAsia="Times New Roman" w:cs="Arial"/>
                <w:sz w:val="22"/>
                <w:lang w:eastAsia="en-AU"/>
              </w:rPr>
              <w:t>m</w:t>
            </w:r>
            <w:r w:rsidR="00A1315F">
              <w:rPr>
                <w:rFonts w:eastAsia="Times New Roman" w:cs="Arial"/>
                <w:sz w:val="22"/>
                <w:lang w:eastAsia="en-AU"/>
              </w:rPr>
              <w:t xml:space="preserve"> </w:t>
            </w:r>
          </w:p>
        </w:tc>
      </w:tr>
      <w:tr w:rsidR="00710D4A" w:rsidRPr="00601368" w14:paraId="000970FC" w14:textId="77777777" w:rsidTr="00116E55">
        <w:tc>
          <w:tcPr>
            <w:tcW w:w="0" w:type="dxa"/>
            <w:tcBorders>
              <w:top w:val="single" w:sz="2" w:space="0" w:color="002279"/>
              <w:bottom w:val="single" w:sz="2" w:space="0" w:color="002279"/>
            </w:tcBorders>
          </w:tcPr>
          <w:p w14:paraId="6ABD6CF2" w14:textId="16BAF8B9" w:rsidR="00710D4A" w:rsidRPr="00237E27" w:rsidRDefault="00710D4A" w:rsidP="000C0D03">
            <w:pPr>
              <w:pStyle w:val="BodyText"/>
              <w:rPr>
                <w:rFonts w:eastAsia="Times New Roman" w:cstheme="minorHAnsi"/>
                <w:b/>
                <w:bCs/>
                <w:sz w:val="22"/>
                <w:lang w:eastAsia="en-AU"/>
              </w:rPr>
            </w:pPr>
            <w:r w:rsidRPr="00237E27">
              <w:rPr>
                <w:rFonts w:eastAsia="Times New Roman" w:cstheme="minorHAnsi"/>
                <w:b/>
                <w:bCs/>
                <w:sz w:val="22"/>
                <w:lang w:eastAsia="en-AU"/>
              </w:rPr>
              <w:t xml:space="preserve">Project status: </w:t>
            </w:r>
            <w:r w:rsidRPr="00237E27">
              <w:rPr>
                <w:rFonts w:eastAsia="Times New Roman" w:cs="Arial"/>
                <w:sz w:val="22"/>
                <w:lang w:eastAsia="en-AU"/>
              </w:rPr>
              <w:t xml:space="preserve">Delayed, </w:t>
            </w:r>
            <w:r w:rsidR="00960122">
              <w:rPr>
                <w:rFonts w:eastAsia="Times New Roman" w:cs="Arial"/>
                <w:sz w:val="22"/>
                <w:lang w:eastAsia="en-AU"/>
              </w:rPr>
              <w:t xml:space="preserve">that is, </w:t>
            </w:r>
            <w:r w:rsidRPr="00237E27">
              <w:rPr>
                <w:rFonts w:eastAsia="Times New Roman" w:cs="Arial"/>
                <w:sz w:val="22"/>
                <w:lang w:eastAsia="en-AU"/>
              </w:rPr>
              <w:t>either the project start was delayed, or completion will be later than scheduled</w:t>
            </w:r>
          </w:p>
        </w:tc>
      </w:tr>
      <w:tr w:rsidR="00710D4A" w:rsidRPr="00601368" w14:paraId="0BA70329" w14:textId="77777777" w:rsidTr="00116E55">
        <w:trPr>
          <w:trHeight w:val="954"/>
        </w:trPr>
        <w:tc>
          <w:tcPr>
            <w:tcW w:w="0" w:type="dxa"/>
            <w:tcBorders>
              <w:top w:val="single" w:sz="2" w:space="0" w:color="002279"/>
              <w:bottom w:val="single" w:sz="2" w:space="0" w:color="002279"/>
            </w:tcBorders>
          </w:tcPr>
          <w:p w14:paraId="42ABAC50" w14:textId="658849D8" w:rsidR="00676CDD" w:rsidRPr="00237E27" w:rsidRDefault="00676CDD" w:rsidP="00676CDD">
            <w:pPr>
              <w:spacing w:after="0"/>
              <w:textAlignment w:val="baseline"/>
              <w:rPr>
                <w:rFonts w:ascii="Segoe UI" w:eastAsia="Times New Roman" w:hAnsi="Segoe UI" w:cs="Segoe UI"/>
                <w:sz w:val="22"/>
                <w:lang w:eastAsia="en-AU"/>
              </w:rPr>
            </w:pPr>
            <w:r w:rsidRPr="00237E27">
              <w:rPr>
                <w:rFonts w:eastAsia="Times New Roman" w:cstheme="minorHAnsi"/>
                <w:b/>
                <w:bCs/>
                <w:sz w:val="22"/>
                <w:lang w:eastAsia="en-AU"/>
              </w:rPr>
              <w:t xml:space="preserve">Project update: </w:t>
            </w:r>
            <w:r w:rsidRPr="00237E27">
              <w:rPr>
                <w:rFonts w:eastAsia="Times New Roman" w:cs="Arial"/>
                <w:sz w:val="22"/>
                <w:lang w:eastAsia="en-AU"/>
              </w:rPr>
              <w:t>The scope of works identified during the preparation for Price Submission 2018</w:t>
            </w:r>
            <w:r w:rsidR="00F243DC">
              <w:rPr>
                <w:rFonts w:eastAsia="Times New Roman" w:cs="Arial"/>
                <w:sz w:val="22"/>
                <w:lang w:eastAsia="en-AU"/>
              </w:rPr>
              <w:t>–</w:t>
            </w:r>
            <w:r w:rsidRPr="00237E27">
              <w:rPr>
                <w:rFonts w:eastAsia="Times New Roman" w:cs="Arial"/>
                <w:sz w:val="22"/>
                <w:lang w:eastAsia="en-AU"/>
              </w:rPr>
              <w:t>23 included the construction of 130m of 570mmID sewer under Kingsway service road connecting to existing Melbourne Water maintenance hole in addition to installing a pumping station which would discharge into the existing Casino rising main within 2018</w:t>
            </w:r>
            <w:r w:rsidR="00F243DC">
              <w:rPr>
                <w:rFonts w:eastAsia="Times New Roman" w:cs="Arial"/>
                <w:sz w:val="22"/>
                <w:lang w:eastAsia="en-AU"/>
              </w:rPr>
              <w:t>–</w:t>
            </w:r>
            <w:r w:rsidRPr="00237E27">
              <w:rPr>
                <w:rFonts w:eastAsia="Times New Roman" w:cs="Arial"/>
                <w:sz w:val="22"/>
                <w:lang w:eastAsia="en-AU"/>
              </w:rPr>
              <w:t>23.</w:t>
            </w:r>
            <w:r w:rsidR="00A1315F">
              <w:rPr>
                <w:rFonts w:eastAsia="Times New Roman" w:cs="Arial"/>
                <w:sz w:val="22"/>
                <w:lang w:eastAsia="en-AU"/>
              </w:rPr>
              <w:t xml:space="preserve"> </w:t>
            </w:r>
          </w:p>
          <w:p w14:paraId="0BB9D0DF" w14:textId="6F59507D" w:rsidR="00676CDD" w:rsidRPr="00237E27" w:rsidRDefault="00676CDD" w:rsidP="00676CDD">
            <w:pPr>
              <w:spacing w:after="0"/>
              <w:textAlignment w:val="baseline"/>
              <w:rPr>
                <w:rFonts w:ascii="Segoe UI" w:eastAsia="Times New Roman" w:hAnsi="Segoe UI" w:cs="Segoe UI"/>
                <w:sz w:val="22"/>
                <w:lang w:eastAsia="en-AU"/>
              </w:rPr>
            </w:pPr>
            <w:r w:rsidRPr="00237E27">
              <w:rPr>
                <w:rFonts w:eastAsia="Times New Roman" w:cs="Arial"/>
                <w:sz w:val="22"/>
                <w:lang w:eastAsia="en-AU"/>
              </w:rPr>
              <w:t>Detailed investigations undertaken between 2018 and 2020 to develop a functional design established that both of the short-listed options were in fact not viable due to a combination of updated growth forecasts, the adoption of revised rainfall and runoff models and clashes with Melbourne Water</w:t>
            </w:r>
            <w:r w:rsidR="00612583">
              <w:rPr>
                <w:rFonts w:eastAsia="Times New Roman" w:cs="Arial"/>
                <w:sz w:val="22"/>
                <w:lang w:eastAsia="en-AU"/>
              </w:rPr>
              <w:t>’</w:t>
            </w:r>
            <w:r w:rsidRPr="00237E27">
              <w:rPr>
                <w:rFonts w:eastAsia="Times New Roman" w:cs="Arial"/>
                <w:sz w:val="22"/>
                <w:lang w:eastAsia="en-AU"/>
              </w:rPr>
              <w:t>s drainage network.</w:t>
            </w:r>
            <w:r w:rsidR="00A1315F">
              <w:rPr>
                <w:rFonts w:eastAsia="Times New Roman" w:cs="Arial"/>
                <w:sz w:val="22"/>
                <w:lang w:eastAsia="en-AU"/>
              </w:rPr>
              <w:t xml:space="preserve"> </w:t>
            </w:r>
          </w:p>
          <w:p w14:paraId="728EBAEC" w14:textId="69F92525" w:rsidR="00676CDD" w:rsidRPr="00237E27" w:rsidRDefault="00676CDD" w:rsidP="00676CDD">
            <w:pPr>
              <w:spacing w:after="0"/>
              <w:textAlignment w:val="baseline"/>
              <w:rPr>
                <w:rFonts w:ascii="Segoe UI" w:eastAsia="Times New Roman" w:hAnsi="Segoe UI" w:cs="Segoe UI"/>
                <w:sz w:val="22"/>
                <w:lang w:eastAsia="en-AU"/>
              </w:rPr>
            </w:pPr>
            <w:r w:rsidRPr="00237E27">
              <w:rPr>
                <w:rFonts w:eastAsia="Times New Roman" w:cs="Arial"/>
                <w:sz w:val="22"/>
                <w:lang w:eastAsia="en-AU"/>
              </w:rPr>
              <w:t>A significant update and calibration of the network hydraulic model has led to improved confidence in the model</w:t>
            </w:r>
            <w:r w:rsidR="00612583">
              <w:rPr>
                <w:rFonts w:eastAsia="Times New Roman" w:cs="Arial"/>
                <w:sz w:val="22"/>
                <w:lang w:eastAsia="en-AU"/>
              </w:rPr>
              <w:t>’</w:t>
            </w:r>
            <w:r w:rsidRPr="00237E27">
              <w:rPr>
                <w:rFonts w:eastAsia="Times New Roman" w:cs="Arial"/>
                <w:sz w:val="22"/>
                <w:lang w:eastAsia="en-AU"/>
              </w:rPr>
              <w:t>s wet weather calibration due to the wide range of wet weather events captured during the field monitoring as well as provided the opportunity to ensure compliance across the network when taking into consideration the new rainfall standards and climate change scenarios. The system performance has also been supported by operational knowledge and Blok</w:t>
            </w:r>
            <w:r w:rsidR="008707FD">
              <w:rPr>
                <w:rFonts w:eastAsia="Times New Roman" w:cs="Arial"/>
                <w:sz w:val="22"/>
                <w:lang w:eastAsia="en-AU"/>
              </w:rPr>
              <w:t>A</w:t>
            </w:r>
            <w:r w:rsidRPr="00237E27">
              <w:rPr>
                <w:rFonts w:eastAsia="Times New Roman" w:cs="Arial"/>
                <w:sz w:val="22"/>
                <w:lang w:eastAsia="en-AU"/>
              </w:rPr>
              <w:t xml:space="preserve">id data in the region providing additional confidence in its </w:t>
            </w:r>
            <w:r w:rsidRPr="00237E27">
              <w:rPr>
                <w:rFonts w:eastAsia="Times New Roman" w:cs="Arial"/>
                <w:sz w:val="22"/>
                <w:lang w:eastAsia="en-AU"/>
              </w:rPr>
              <w:lastRenderedPageBreak/>
              <w:t>outputs. This has resulted in a revised scope of works to be undertaken in a staged approach.</w:t>
            </w:r>
            <w:r w:rsidR="00A1315F">
              <w:rPr>
                <w:rFonts w:eastAsia="Times New Roman" w:cs="Arial"/>
                <w:sz w:val="22"/>
                <w:lang w:eastAsia="en-AU"/>
              </w:rPr>
              <w:t xml:space="preserve"> </w:t>
            </w:r>
          </w:p>
          <w:p w14:paraId="40997FDE" w14:textId="119273FA" w:rsidR="00676CDD" w:rsidRPr="00237E27" w:rsidRDefault="00676CDD" w:rsidP="00676CDD">
            <w:pPr>
              <w:spacing w:after="0"/>
              <w:textAlignment w:val="baseline"/>
              <w:rPr>
                <w:rFonts w:ascii="Segoe UI" w:eastAsia="Times New Roman" w:hAnsi="Segoe UI" w:cs="Segoe UI"/>
                <w:sz w:val="22"/>
                <w:lang w:eastAsia="en-AU"/>
              </w:rPr>
            </w:pPr>
            <w:r w:rsidRPr="00237E27">
              <w:rPr>
                <w:rFonts w:eastAsia="Times New Roman" w:cs="Arial"/>
                <w:b/>
                <w:bCs/>
                <w:sz w:val="22"/>
                <w:lang w:eastAsia="en-AU"/>
              </w:rPr>
              <w:t>Stage 1 (</w:t>
            </w:r>
            <w:r w:rsidR="00D976B9" w:rsidRPr="00D976B9">
              <w:rPr>
                <w:rFonts w:eastAsia="Times New Roman" w:cstheme="minorHAnsi"/>
                <w:b/>
                <w:bCs/>
                <w:sz w:val="22"/>
                <w:lang w:eastAsia="en-AU"/>
              </w:rPr>
              <w:t>2018–23</w:t>
            </w:r>
            <w:r w:rsidR="00D976B9">
              <w:rPr>
                <w:rFonts w:eastAsia="Times New Roman" w:cstheme="minorHAnsi"/>
                <w:sz w:val="22"/>
                <w:lang w:eastAsia="en-AU"/>
              </w:rPr>
              <w:t xml:space="preserve"> </w:t>
            </w:r>
            <w:r w:rsidRPr="00237E27">
              <w:rPr>
                <w:rFonts w:eastAsia="Times New Roman" w:cs="Arial"/>
                <w:b/>
                <w:bCs/>
                <w:sz w:val="22"/>
                <w:lang w:eastAsia="en-AU"/>
              </w:rPr>
              <w:t xml:space="preserve">top 10) </w:t>
            </w:r>
            <w:r w:rsidR="00F243DC">
              <w:rPr>
                <w:rFonts w:eastAsia="Times New Roman" w:cs="Arial"/>
                <w:b/>
                <w:bCs/>
                <w:sz w:val="22"/>
                <w:lang w:eastAsia="en-AU"/>
              </w:rPr>
              <w:t>–</w:t>
            </w:r>
            <w:r w:rsidRPr="00237E27">
              <w:rPr>
                <w:rFonts w:eastAsia="Times New Roman" w:cs="Arial"/>
                <w:b/>
                <w:bCs/>
                <w:sz w:val="22"/>
                <w:lang w:eastAsia="en-AU"/>
              </w:rPr>
              <w:t xml:space="preserve"> $14.4</w:t>
            </w:r>
            <w:r w:rsidR="00A933AB">
              <w:rPr>
                <w:rFonts w:eastAsia="Times New Roman" w:cs="Arial"/>
                <w:b/>
                <w:bCs/>
                <w:sz w:val="22"/>
                <w:lang w:eastAsia="en-AU"/>
              </w:rPr>
              <w:t>m</w:t>
            </w:r>
            <w:r w:rsidRPr="00237E27">
              <w:rPr>
                <w:rFonts w:eastAsia="Times New Roman" w:cs="Arial"/>
                <w:b/>
                <w:bCs/>
                <w:sz w:val="22"/>
                <w:lang w:eastAsia="en-AU"/>
              </w:rPr>
              <w:t xml:space="preserve"> P95, </w:t>
            </w:r>
            <w:r w:rsidR="00E42753">
              <w:rPr>
                <w:rFonts w:eastAsia="Times New Roman" w:cs="Arial"/>
                <w:b/>
                <w:bCs/>
                <w:sz w:val="22"/>
                <w:lang w:eastAsia="en-AU"/>
              </w:rPr>
              <w:t>board</w:t>
            </w:r>
            <w:r w:rsidRPr="00237E27">
              <w:rPr>
                <w:rFonts w:eastAsia="Times New Roman" w:cs="Arial"/>
                <w:b/>
                <w:bCs/>
                <w:sz w:val="22"/>
                <w:lang w:eastAsia="en-AU"/>
              </w:rPr>
              <w:t xml:space="preserve"> Approved</w:t>
            </w:r>
            <w:r w:rsidRPr="00237E27">
              <w:rPr>
                <w:rFonts w:eastAsia="Times New Roman" w:cs="Arial"/>
                <w:sz w:val="22"/>
                <w:lang w:eastAsia="en-AU"/>
              </w:rPr>
              <w:t> </w:t>
            </w:r>
          </w:p>
          <w:p w14:paraId="5BCB4DB3" w14:textId="2537E76E" w:rsidR="00676CDD" w:rsidRPr="00237E27" w:rsidRDefault="00676CDD" w:rsidP="00C932F2">
            <w:pPr>
              <w:spacing w:after="0"/>
              <w:textAlignment w:val="baseline"/>
              <w:rPr>
                <w:rFonts w:ascii="Segoe UI" w:eastAsia="Times New Roman" w:hAnsi="Segoe UI" w:cs="Segoe UI"/>
                <w:sz w:val="22"/>
                <w:lang w:eastAsia="en-AU"/>
              </w:rPr>
            </w:pPr>
            <w:r w:rsidRPr="00237E27">
              <w:rPr>
                <w:rFonts w:eastAsia="Times New Roman" w:cs="Arial"/>
                <w:sz w:val="22"/>
                <w:lang w:eastAsia="en-AU"/>
              </w:rPr>
              <w:t>Construction of a new 4.8m diameter maintenance hole 13.2m deep on Melbourne Water</w:t>
            </w:r>
            <w:r w:rsidR="00612583">
              <w:rPr>
                <w:rFonts w:eastAsia="Times New Roman" w:cs="Arial"/>
                <w:sz w:val="22"/>
                <w:lang w:eastAsia="en-AU"/>
              </w:rPr>
              <w:t>’</w:t>
            </w:r>
            <w:r w:rsidRPr="00237E27">
              <w:rPr>
                <w:rFonts w:eastAsia="Times New Roman" w:cs="Arial"/>
                <w:sz w:val="22"/>
                <w:lang w:eastAsia="en-AU"/>
              </w:rPr>
              <w:t>s South Yarra Main, largely due to safety concerns with connecting to the existing brick structure and constructing 280m of DN900mm sewer to divert flows away from the heavily congested King</w:t>
            </w:r>
            <w:r w:rsidR="00612583">
              <w:rPr>
                <w:rFonts w:eastAsia="Times New Roman" w:cs="Arial"/>
                <w:sz w:val="22"/>
                <w:lang w:eastAsia="en-AU"/>
              </w:rPr>
              <w:t>’</w:t>
            </w:r>
            <w:r w:rsidRPr="00237E27">
              <w:rPr>
                <w:rFonts w:eastAsia="Times New Roman" w:cs="Arial"/>
                <w:sz w:val="22"/>
                <w:lang w:eastAsia="en-AU"/>
              </w:rPr>
              <w:t>s Way.</w:t>
            </w:r>
            <w:r w:rsidR="00A1315F">
              <w:rPr>
                <w:rFonts w:eastAsia="Times New Roman" w:cs="Arial"/>
                <w:sz w:val="22"/>
                <w:lang w:eastAsia="en-AU"/>
              </w:rPr>
              <w:t xml:space="preserve"> </w:t>
            </w:r>
          </w:p>
          <w:p w14:paraId="2170B501" w14:textId="2FE3244B" w:rsidR="00676CDD" w:rsidRPr="00237E27" w:rsidRDefault="00676CDD" w:rsidP="00676CDD">
            <w:pPr>
              <w:spacing w:after="0"/>
              <w:textAlignment w:val="baseline"/>
              <w:rPr>
                <w:rFonts w:ascii="Segoe UI" w:eastAsia="Times New Roman" w:hAnsi="Segoe UI" w:cs="Segoe UI"/>
                <w:sz w:val="22"/>
                <w:lang w:eastAsia="en-AU"/>
              </w:rPr>
            </w:pPr>
            <w:r w:rsidRPr="00237E27">
              <w:rPr>
                <w:rFonts w:eastAsia="Times New Roman" w:cs="Arial"/>
                <w:b/>
                <w:bCs/>
                <w:sz w:val="22"/>
                <w:lang w:eastAsia="en-AU"/>
              </w:rPr>
              <w:t>Stage 2 (</w:t>
            </w:r>
            <w:r w:rsidR="00D976B9" w:rsidRPr="00D976B9">
              <w:rPr>
                <w:rFonts w:eastAsia="Times New Roman" w:cstheme="minorHAnsi"/>
                <w:b/>
                <w:bCs/>
                <w:sz w:val="22"/>
                <w:lang w:eastAsia="en-AU"/>
              </w:rPr>
              <w:t>20</w:t>
            </w:r>
            <w:r w:rsidR="00D976B9">
              <w:rPr>
                <w:rFonts w:eastAsia="Times New Roman" w:cstheme="minorHAnsi"/>
                <w:b/>
                <w:bCs/>
                <w:sz w:val="22"/>
                <w:lang w:eastAsia="en-AU"/>
              </w:rPr>
              <w:t>23</w:t>
            </w:r>
            <w:r w:rsidR="00D976B9" w:rsidRPr="00D976B9">
              <w:rPr>
                <w:rFonts w:eastAsia="Times New Roman" w:cstheme="minorHAnsi"/>
                <w:b/>
                <w:bCs/>
                <w:sz w:val="22"/>
                <w:lang w:eastAsia="en-AU"/>
              </w:rPr>
              <w:t>–2</w:t>
            </w:r>
            <w:r w:rsidR="00D976B9">
              <w:rPr>
                <w:rFonts w:eastAsia="Times New Roman" w:cstheme="minorHAnsi"/>
                <w:b/>
                <w:bCs/>
                <w:sz w:val="22"/>
                <w:lang w:eastAsia="en-AU"/>
              </w:rPr>
              <w:t>8</w:t>
            </w:r>
            <w:r w:rsidR="00D976B9">
              <w:rPr>
                <w:rFonts w:eastAsia="Times New Roman" w:cstheme="minorHAnsi"/>
                <w:sz w:val="22"/>
                <w:lang w:eastAsia="en-AU"/>
              </w:rPr>
              <w:t xml:space="preserve"> </w:t>
            </w:r>
            <w:r w:rsidRPr="00237E27">
              <w:rPr>
                <w:rFonts w:eastAsia="Times New Roman" w:cs="Arial"/>
                <w:b/>
                <w:bCs/>
                <w:sz w:val="22"/>
                <w:lang w:eastAsia="en-AU"/>
              </w:rPr>
              <w:t xml:space="preserve">top 10) </w:t>
            </w:r>
            <w:r w:rsidR="00F243DC">
              <w:rPr>
                <w:rFonts w:eastAsia="Times New Roman" w:cs="Arial"/>
                <w:b/>
                <w:bCs/>
                <w:sz w:val="22"/>
                <w:lang w:eastAsia="en-AU"/>
              </w:rPr>
              <w:t>–</w:t>
            </w:r>
            <w:r w:rsidRPr="00237E27">
              <w:rPr>
                <w:rFonts w:eastAsia="Times New Roman" w:cs="Arial"/>
                <w:b/>
                <w:bCs/>
                <w:sz w:val="22"/>
                <w:lang w:eastAsia="en-AU"/>
              </w:rPr>
              <w:t xml:space="preserve"> $70.3</w:t>
            </w:r>
            <w:r w:rsidR="00A933AB">
              <w:rPr>
                <w:rFonts w:eastAsia="Times New Roman" w:cs="Arial"/>
                <w:b/>
                <w:bCs/>
                <w:sz w:val="22"/>
                <w:lang w:eastAsia="en-AU"/>
              </w:rPr>
              <w:t>m</w:t>
            </w:r>
            <w:r w:rsidRPr="00237E27">
              <w:rPr>
                <w:rFonts w:eastAsia="Times New Roman" w:cs="Arial"/>
                <w:b/>
                <w:bCs/>
                <w:sz w:val="22"/>
                <w:lang w:eastAsia="en-AU"/>
              </w:rPr>
              <w:t xml:space="preserve"> P95, </w:t>
            </w:r>
            <w:r w:rsidR="00E42753">
              <w:rPr>
                <w:rFonts w:eastAsia="Times New Roman" w:cs="Arial"/>
                <w:b/>
                <w:bCs/>
                <w:sz w:val="22"/>
                <w:lang w:eastAsia="en-AU"/>
              </w:rPr>
              <w:t>board</w:t>
            </w:r>
            <w:r w:rsidRPr="00237E27">
              <w:rPr>
                <w:rFonts w:eastAsia="Times New Roman" w:cs="Arial"/>
                <w:b/>
                <w:bCs/>
                <w:sz w:val="22"/>
                <w:lang w:eastAsia="en-AU"/>
              </w:rPr>
              <w:t xml:space="preserve"> Approved</w:t>
            </w:r>
            <w:r w:rsidRPr="00237E27">
              <w:rPr>
                <w:rFonts w:eastAsia="Times New Roman" w:cs="Arial"/>
                <w:sz w:val="22"/>
                <w:lang w:eastAsia="en-AU"/>
              </w:rPr>
              <w:t> </w:t>
            </w:r>
          </w:p>
          <w:p w14:paraId="7BDCAD31" w14:textId="710879E8" w:rsidR="00676CDD" w:rsidRPr="00237E27" w:rsidRDefault="00676CDD" w:rsidP="00C932F2">
            <w:pPr>
              <w:spacing w:after="0"/>
              <w:textAlignment w:val="baseline"/>
              <w:rPr>
                <w:rFonts w:ascii="Segoe UI" w:eastAsia="Times New Roman" w:hAnsi="Segoe UI" w:cs="Segoe UI"/>
                <w:sz w:val="22"/>
                <w:lang w:eastAsia="en-AU"/>
              </w:rPr>
            </w:pPr>
            <w:r w:rsidRPr="00237E27">
              <w:rPr>
                <w:rFonts w:eastAsia="Times New Roman" w:cs="Arial"/>
                <w:sz w:val="22"/>
                <w:lang w:eastAsia="en-AU"/>
              </w:rPr>
              <w:t>The second stage requires a 220l/s pumping station to be installed along with 1.9</w:t>
            </w:r>
            <w:r w:rsidR="00192A70">
              <w:rPr>
                <w:rFonts w:eastAsia="Times New Roman" w:cs="Arial"/>
                <w:sz w:val="22"/>
                <w:lang w:eastAsia="en-AU"/>
              </w:rPr>
              <w:t xml:space="preserve"> </w:t>
            </w:r>
            <w:r w:rsidR="002A08A6">
              <w:rPr>
                <w:rFonts w:eastAsia="Times New Roman" w:cs="Arial"/>
                <w:sz w:val="22"/>
                <w:lang w:eastAsia="en-AU"/>
              </w:rPr>
              <w:t>kilometre</w:t>
            </w:r>
            <w:r w:rsidR="00192A70">
              <w:rPr>
                <w:rFonts w:eastAsia="Times New Roman" w:cs="Arial"/>
                <w:sz w:val="22"/>
                <w:lang w:eastAsia="en-AU"/>
              </w:rPr>
              <w:t>s</w:t>
            </w:r>
            <w:r w:rsidRPr="00237E27">
              <w:rPr>
                <w:rFonts w:eastAsia="Times New Roman" w:cs="Arial"/>
                <w:sz w:val="22"/>
                <w:lang w:eastAsia="en-AU"/>
              </w:rPr>
              <w:t xml:space="preserve"> of DN450</w:t>
            </w:r>
            <w:r w:rsidR="00F243DC">
              <w:rPr>
                <w:rFonts w:eastAsia="Times New Roman" w:cs="Arial"/>
                <w:sz w:val="22"/>
                <w:lang w:eastAsia="en-AU"/>
              </w:rPr>
              <w:t>–</w:t>
            </w:r>
            <w:r w:rsidRPr="00237E27">
              <w:rPr>
                <w:rFonts w:eastAsia="Times New Roman" w:cs="Arial"/>
                <w:sz w:val="22"/>
                <w:lang w:eastAsia="en-AU"/>
              </w:rPr>
              <w:t>DN750mm sewers to cater for the high growth proposed in the upper reaches of the system in the Southbank area.</w:t>
            </w:r>
            <w:r w:rsidR="00A1315F">
              <w:rPr>
                <w:rFonts w:eastAsia="Times New Roman" w:cs="Arial"/>
                <w:sz w:val="22"/>
                <w:lang w:eastAsia="en-AU"/>
              </w:rPr>
              <w:t xml:space="preserve"> </w:t>
            </w:r>
          </w:p>
          <w:p w14:paraId="5F604795" w14:textId="59D2C446" w:rsidR="00710D4A" w:rsidRPr="00237E27" w:rsidRDefault="00676CDD" w:rsidP="000C0D03">
            <w:pPr>
              <w:spacing w:after="0"/>
              <w:textAlignment w:val="baseline"/>
              <w:rPr>
                <w:rFonts w:eastAsia="Times New Roman" w:cstheme="minorHAnsi"/>
                <w:b/>
                <w:bCs/>
                <w:sz w:val="22"/>
                <w:lang w:eastAsia="en-AU"/>
              </w:rPr>
            </w:pPr>
            <w:r w:rsidRPr="00237E27">
              <w:rPr>
                <w:rFonts w:eastAsia="Times New Roman" w:cs="Arial"/>
                <w:sz w:val="22"/>
                <w:lang w:eastAsia="en-AU"/>
              </w:rPr>
              <w:t xml:space="preserve">An additional advantage of the updated works is that they also provide the ability for the future cross connection with downstream portions of the 125-year-old Hanna Street </w:t>
            </w:r>
            <w:r w:rsidR="004C72E9">
              <w:rPr>
                <w:rFonts w:eastAsia="Times New Roman" w:cs="Arial"/>
                <w:sz w:val="22"/>
                <w:lang w:eastAsia="en-AU"/>
              </w:rPr>
              <w:t>branch</w:t>
            </w:r>
            <w:r w:rsidRPr="00237E27">
              <w:rPr>
                <w:rFonts w:eastAsia="Times New Roman" w:cs="Arial"/>
                <w:sz w:val="22"/>
                <w:lang w:eastAsia="en-AU"/>
              </w:rPr>
              <w:t xml:space="preserve"> </w:t>
            </w:r>
            <w:r w:rsidR="004C72E9">
              <w:rPr>
                <w:rFonts w:eastAsia="Times New Roman" w:cs="Arial"/>
                <w:sz w:val="22"/>
                <w:lang w:eastAsia="en-AU"/>
              </w:rPr>
              <w:t>sewer</w:t>
            </w:r>
            <w:r w:rsidRPr="00237E27">
              <w:rPr>
                <w:rFonts w:eastAsia="Times New Roman" w:cs="Arial"/>
                <w:sz w:val="22"/>
                <w:lang w:eastAsia="en-AU"/>
              </w:rPr>
              <w:t xml:space="preserve"> if required due to its deteriorating conditions.</w:t>
            </w:r>
            <w:r w:rsidR="00A1315F">
              <w:rPr>
                <w:rFonts w:eastAsia="Times New Roman" w:cs="Arial"/>
                <w:sz w:val="22"/>
                <w:lang w:eastAsia="en-AU"/>
              </w:rPr>
              <w:t xml:space="preserve"> </w:t>
            </w:r>
          </w:p>
        </w:tc>
      </w:tr>
      <w:tr w:rsidR="00710D4A" w14:paraId="702D60B8" w14:textId="77777777" w:rsidTr="00116E55">
        <w:trPr>
          <w:trHeight w:val="412"/>
        </w:trPr>
        <w:tc>
          <w:tcPr>
            <w:tcW w:w="0" w:type="dxa"/>
            <w:tcBorders>
              <w:top w:val="single" w:sz="2" w:space="0" w:color="002279"/>
              <w:bottom w:val="single" w:sz="2" w:space="0" w:color="002279"/>
            </w:tcBorders>
          </w:tcPr>
          <w:p w14:paraId="2131022E" w14:textId="05C09829" w:rsidR="00710D4A" w:rsidRPr="00237E27" w:rsidRDefault="00710D4A" w:rsidP="000C0D03">
            <w:pPr>
              <w:spacing w:after="0"/>
              <w:textAlignment w:val="baseline"/>
              <w:rPr>
                <w:rFonts w:eastAsia="Times New Roman" w:cstheme="minorHAnsi"/>
                <w:b/>
                <w:bCs/>
                <w:sz w:val="22"/>
                <w:lang w:eastAsia="en-AU"/>
              </w:rPr>
            </w:pPr>
            <w:r w:rsidRPr="00237E27">
              <w:rPr>
                <w:rFonts w:eastAsia="Times New Roman" w:cstheme="minorHAnsi"/>
                <w:b/>
                <w:bCs/>
                <w:sz w:val="22"/>
                <w:lang w:eastAsia="en-AU"/>
              </w:rPr>
              <w:lastRenderedPageBreak/>
              <w:t xml:space="preserve">Indicative self-assessment score: </w:t>
            </w:r>
            <w:r w:rsidRPr="00237E27">
              <w:rPr>
                <w:rFonts w:eastAsia="Times New Roman" w:cstheme="minorHAnsi"/>
                <w:sz w:val="22"/>
                <w:lang w:eastAsia="en-AU"/>
              </w:rPr>
              <w:t>Generally consistent with Price Submission 2018</w:t>
            </w:r>
            <w:r w:rsidR="00F243DC">
              <w:rPr>
                <w:rFonts w:eastAsia="Times New Roman" w:cstheme="minorHAnsi"/>
                <w:sz w:val="22"/>
                <w:lang w:eastAsia="en-AU"/>
              </w:rPr>
              <w:t>–</w:t>
            </w:r>
            <w:r w:rsidRPr="00237E27">
              <w:rPr>
                <w:rFonts w:eastAsia="Times New Roman" w:cstheme="minorHAnsi"/>
                <w:sz w:val="22"/>
                <w:lang w:eastAsia="en-AU"/>
              </w:rPr>
              <w:t>23</w:t>
            </w:r>
          </w:p>
        </w:tc>
      </w:tr>
      <w:tr w:rsidR="00710D4A" w14:paraId="5548ED78" w14:textId="77777777" w:rsidTr="00116E55">
        <w:trPr>
          <w:trHeight w:val="8737"/>
        </w:trPr>
        <w:tc>
          <w:tcPr>
            <w:tcW w:w="0" w:type="dxa"/>
            <w:tcBorders>
              <w:top w:val="single" w:sz="2" w:space="0" w:color="002279"/>
              <w:bottom w:val="single" w:sz="2" w:space="0" w:color="002279"/>
            </w:tcBorders>
          </w:tcPr>
          <w:p w14:paraId="1BB9D003" w14:textId="546E92A8" w:rsidR="005A273C" w:rsidRPr="00237E27" w:rsidRDefault="00710D4A" w:rsidP="005A273C">
            <w:pPr>
              <w:spacing w:after="0"/>
              <w:textAlignment w:val="baseline"/>
              <w:rPr>
                <w:rFonts w:ascii="Segoe UI" w:eastAsia="Times New Roman" w:hAnsi="Segoe UI" w:cs="Segoe UI"/>
                <w:sz w:val="22"/>
                <w:lang w:eastAsia="en-AU"/>
              </w:rPr>
            </w:pPr>
            <w:r w:rsidRPr="00237E27">
              <w:rPr>
                <w:rFonts w:eastAsia="Times New Roman" w:cstheme="minorHAnsi"/>
                <w:b/>
                <w:bCs/>
                <w:sz w:val="22"/>
                <w:lang w:eastAsia="en-AU"/>
              </w:rPr>
              <w:t xml:space="preserve">Assessment rationale: </w:t>
            </w:r>
            <w:r w:rsidR="005A273C" w:rsidRPr="00237E27">
              <w:rPr>
                <w:rFonts w:eastAsia="Times New Roman" w:cs="Arial"/>
                <w:sz w:val="22"/>
                <w:lang w:eastAsia="en-AU"/>
              </w:rPr>
              <w:t>Planning investigations have been undertaken by South East Water within the period to confirm the revised strategy which has had to accommodate increased forecast growth and resulting flows in the upper reaches of the catchment.</w:t>
            </w:r>
            <w:r w:rsidR="00A1315F">
              <w:rPr>
                <w:rFonts w:eastAsia="Times New Roman" w:cs="Arial"/>
                <w:sz w:val="22"/>
                <w:lang w:eastAsia="en-AU"/>
              </w:rPr>
              <w:t xml:space="preserve"> </w:t>
            </w:r>
            <w:r w:rsidR="005A273C" w:rsidRPr="00237E27">
              <w:rPr>
                <w:rFonts w:eastAsia="Times New Roman" w:cs="Arial"/>
                <w:sz w:val="22"/>
                <w:lang w:eastAsia="en-AU"/>
              </w:rPr>
              <w:t>This increased infrastructure requirement has necessitated a staged approach to the delivery of this scheme to ensure upgrades can be completed prudently and safely.</w:t>
            </w:r>
            <w:r w:rsidR="00A1315F">
              <w:rPr>
                <w:rFonts w:eastAsia="Times New Roman" w:cs="Arial"/>
                <w:sz w:val="22"/>
                <w:lang w:eastAsia="en-AU"/>
              </w:rPr>
              <w:t xml:space="preserve"> </w:t>
            </w:r>
            <w:r w:rsidR="005A273C" w:rsidRPr="00237E27">
              <w:rPr>
                <w:rFonts w:eastAsia="Times New Roman" w:cs="Arial"/>
                <w:sz w:val="22"/>
                <w:lang w:eastAsia="en-AU"/>
              </w:rPr>
              <w:t>   </w:t>
            </w:r>
          </w:p>
          <w:p w14:paraId="426DB332" w14:textId="78F2BBDE" w:rsidR="005A273C" w:rsidRPr="00237E27" w:rsidRDefault="005A273C" w:rsidP="005A273C">
            <w:pPr>
              <w:shd w:val="clear" w:color="auto" w:fill="FFFFFF"/>
              <w:spacing w:after="0"/>
              <w:textAlignment w:val="baseline"/>
              <w:rPr>
                <w:rFonts w:ascii="Segoe UI" w:eastAsia="Times New Roman" w:hAnsi="Segoe UI" w:cs="Segoe UI"/>
                <w:sz w:val="22"/>
                <w:lang w:eastAsia="en-AU"/>
              </w:rPr>
            </w:pPr>
            <w:r w:rsidRPr="00237E27">
              <w:rPr>
                <w:rFonts w:eastAsia="Times New Roman" w:cs="Arial"/>
                <w:sz w:val="22"/>
                <w:lang w:val="en-US" w:eastAsia="en-AU"/>
              </w:rPr>
              <w:t xml:space="preserve">The complexities of Stages 1 and 2 of the project has required </w:t>
            </w:r>
            <w:r w:rsidRPr="00237E27">
              <w:rPr>
                <w:rFonts w:eastAsia="Times New Roman" w:cs="Arial"/>
                <w:sz w:val="22"/>
                <w:lang w:eastAsia="en-AU"/>
              </w:rPr>
              <w:t>significant investigation works to develop functional designs considering community impacts as well as the safety and constructability of the proposed assets.</w:t>
            </w:r>
            <w:r w:rsidR="00A1315F">
              <w:rPr>
                <w:rFonts w:eastAsia="Times New Roman" w:cs="Arial"/>
                <w:sz w:val="22"/>
                <w:lang w:eastAsia="en-AU"/>
              </w:rPr>
              <w:t xml:space="preserve"> </w:t>
            </w:r>
          </w:p>
          <w:p w14:paraId="269054A5" w14:textId="41BF787F" w:rsidR="005A273C" w:rsidRPr="00237E27" w:rsidRDefault="005A273C" w:rsidP="005A273C">
            <w:pPr>
              <w:spacing w:after="0"/>
              <w:textAlignment w:val="baseline"/>
              <w:rPr>
                <w:rFonts w:ascii="Segoe UI" w:eastAsia="Times New Roman" w:hAnsi="Segoe UI" w:cs="Segoe UI"/>
                <w:sz w:val="22"/>
                <w:lang w:eastAsia="en-AU"/>
              </w:rPr>
            </w:pPr>
            <w:r w:rsidRPr="00237E27">
              <w:rPr>
                <w:rFonts w:eastAsia="Times New Roman" w:cs="Arial"/>
                <w:sz w:val="22"/>
                <w:lang w:eastAsia="en-AU"/>
              </w:rPr>
              <w:t>The $15.4</w:t>
            </w:r>
            <w:r w:rsidR="00A933AB">
              <w:rPr>
                <w:rFonts w:eastAsia="Times New Roman" w:cs="Arial"/>
                <w:sz w:val="22"/>
                <w:lang w:eastAsia="en-AU"/>
              </w:rPr>
              <w:t>m</w:t>
            </w:r>
            <w:r w:rsidRPr="00237E27">
              <w:rPr>
                <w:rFonts w:eastAsia="Times New Roman" w:cs="Arial"/>
                <w:sz w:val="22"/>
                <w:lang w:eastAsia="en-AU"/>
              </w:rPr>
              <w:t xml:space="preserve"> Hanna and Wells St catchment 2018</w:t>
            </w:r>
            <w:r w:rsidR="00F243DC">
              <w:rPr>
                <w:rFonts w:eastAsia="Times New Roman" w:cs="Arial"/>
                <w:sz w:val="22"/>
                <w:lang w:eastAsia="en-AU"/>
              </w:rPr>
              <w:t>–</w:t>
            </w:r>
            <w:r w:rsidRPr="00237E27">
              <w:rPr>
                <w:rFonts w:eastAsia="Times New Roman" w:cs="Arial"/>
                <w:sz w:val="22"/>
                <w:lang w:eastAsia="en-AU"/>
              </w:rPr>
              <w:t>23 budget was prioritised to deliver Stage 1 of the Hanna St scheme at a value of $14.1</w:t>
            </w:r>
            <w:r w:rsidR="00A933AB">
              <w:rPr>
                <w:rFonts w:eastAsia="Times New Roman" w:cs="Arial"/>
                <w:sz w:val="22"/>
                <w:lang w:eastAsia="en-AU"/>
              </w:rPr>
              <w:t>m</w:t>
            </w:r>
            <w:r w:rsidRPr="00237E27">
              <w:rPr>
                <w:rFonts w:eastAsia="Times New Roman" w:cs="Arial"/>
                <w:sz w:val="22"/>
                <w:lang w:eastAsia="en-AU"/>
              </w:rPr>
              <w:t xml:space="preserve"> (P95).</w:t>
            </w:r>
            <w:r w:rsidR="00A1315F">
              <w:rPr>
                <w:rFonts w:eastAsia="Times New Roman" w:cs="Arial"/>
                <w:sz w:val="22"/>
                <w:lang w:eastAsia="en-AU"/>
              </w:rPr>
              <w:t xml:space="preserve"> </w:t>
            </w:r>
            <w:r w:rsidRPr="00237E27">
              <w:rPr>
                <w:rFonts w:eastAsia="Times New Roman" w:cs="Arial"/>
                <w:sz w:val="22"/>
                <w:lang w:eastAsia="en-AU"/>
              </w:rPr>
              <w:t>Stage 2 has been approved by the South East Water Board and is included as a top 10 project for delivery in Price Submission 2023</w:t>
            </w:r>
            <w:r w:rsidR="00F243DC">
              <w:rPr>
                <w:rFonts w:eastAsia="Times New Roman" w:cs="Arial"/>
                <w:sz w:val="22"/>
                <w:lang w:eastAsia="en-AU"/>
              </w:rPr>
              <w:t>–</w:t>
            </w:r>
            <w:r w:rsidRPr="00237E27">
              <w:rPr>
                <w:rFonts w:eastAsia="Times New Roman" w:cs="Arial"/>
                <w:sz w:val="22"/>
                <w:lang w:eastAsia="en-AU"/>
              </w:rPr>
              <w:t>28.</w:t>
            </w:r>
            <w:r w:rsidR="00A1315F">
              <w:rPr>
                <w:rFonts w:eastAsia="Times New Roman" w:cs="Arial"/>
                <w:sz w:val="22"/>
                <w:lang w:eastAsia="en-AU"/>
              </w:rPr>
              <w:t xml:space="preserve"> </w:t>
            </w:r>
          </w:p>
          <w:p w14:paraId="0A0BFB50" w14:textId="77777777" w:rsidR="005A273C" w:rsidRPr="00237E27" w:rsidRDefault="005A273C" w:rsidP="005A273C">
            <w:pPr>
              <w:spacing w:after="0"/>
              <w:textAlignment w:val="baseline"/>
              <w:rPr>
                <w:rFonts w:ascii="Segoe UI" w:eastAsia="Times New Roman" w:hAnsi="Segoe UI" w:cs="Segoe UI"/>
                <w:sz w:val="22"/>
                <w:lang w:eastAsia="en-AU"/>
              </w:rPr>
            </w:pPr>
            <w:r w:rsidRPr="00237E27">
              <w:rPr>
                <w:rFonts w:eastAsia="Times New Roman" w:cs="Arial"/>
                <w:sz w:val="22"/>
                <w:lang w:eastAsia="en-AU"/>
              </w:rPr>
              <w:t>The Stage 1 upgrade not only alleviates the dry weather surcharging in the lower reaches of the network, and thus reduces the likelihood of asset failure within Kings Way but also provides the outlet for Stage 2 which addresses the wet weather spill deficiencies. The location of the existing sewer within Kings Way means that a collapse as a result of daily surcharging would result in extremely high cost to repair and significant disruption to the community. </w:t>
            </w:r>
          </w:p>
          <w:p w14:paraId="1C94B275" w14:textId="697E83CA" w:rsidR="005A273C" w:rsidRPr="00237E27" w:rsidRDefault="005A273C" w:rsidP="005A273C">
            <w:pPr>
              <w:spacing w:after="0"/>
              <w:textAlignment w:val="baseline"/>
              <w:rPr>
                <w:rFonts w:ascii="Segoe UI" w:eastAsia="Times New Roman" w:hAnsi="Segoe UI" w:cs="Segoe UI"/>
                <w:sz w:val="22"/>
                <w:lang w:eastAsia="en-AU"/>
              </w:rPr>
            </w:pPr>
            <w:r w:rsidRPr="00237E27">
              <w:rPr>
                <w:rFonts w:eastAsia="Times New Roman" w:cs="Arial"/>
                <w:sz w:val="22"/>
                <w:lang w:eastAsia="en-AU"/>
              </w:rPr>
              <w:t xml:space="preserve">An assessment of </w:t>
            </w:r>
            <w:r w:rsidRPr="00237E27">
              <w:rPr>
                <w:rFonts w:eastAsia="Times New Roman" w:cs="Arial"/>
                <w:b/>
                <w:bCs/>
                <w:sz w:val="22"/>
                <w:lang w:eastAsia="en-AU"/>
              </w:rPr>
              <w:t>generally consistent with the 2018</w:t>
            </w:r>
            <w:r w:rsidR="00F243DC">
              <w:rPr>
                <w:rFonts w:eastAsia="Times New Roman" w:cs="Arial"/>
                <w:b/>
                <w:bCs/>
                <w:sz w:val="22"/>
                <w:lang w:eastAsia="en-AU"/>
              </w:rPr>
              <w:t>–</w:t>
            </w:r>
            <w:r w:rsidRPr="00237E27">
              <w:rPr>
                <w:rFonts w:eastAsia="Times New Roman" w:cs="Arial"/>
                <w:b/>
                <w:bCs/>
                <w:sz w:val="22"/>
                <w:lang w:eastAsia="en-AU"/>
              </w:rPr>
              <w:t>23 commitment</w:t>
            </w:r>
            <w:r w:rsidRPr="00237E27">
              <w:rPr>
                <w:rFonts w:eastAsia="Times New Roman" w:cs="Arial"/>
                <w:sz w:val="22"/>
                <w:lang w:eastAsia="en-AU"/>
              </w:rPr>
              <w:t xml:space="preserve"> was applied in consideration of:     </w:t>
            </w:r>
          </w:p>
          <w:p w14:paraId="0F8EE575" w14:textId="2AF8CEB6" w:rsidR="005A273C" w:rsidRPr="00237E27" w:rsidRDefault="00652406">
            <w:pPr>
              <w:pStyle w:val="ListParagraph"/>
              <w:numPr>
                <w:ilvl w:val="0"/>
                <w:numId w:val="122"/>
              </w:numPr>
              <w:spacing w:after="0"/>
              <w:ind w:left="738"/>
              <w:textAlignment w:val="baseline"/>
              <w:rPr>
                <w:rFonts w:eastAsia="Times New Roman" w:cs="Arial"/>
                <w:sz w:val="22"/>
                <w:lang w:eastAsia="en-AU"/>
              </w:rPr>
            </w:pPr>
            <w:r w:rsidRPr="00652406">
              <w:rPr>
                <w:rFonts w:eastAsia="Times New Roman" w:cs="Arial"/>
                <w:sz w:val="22"/>
                <w:lang w:eastAsia="en-AU"/>
              </w:rPr>
              <w:t>t</w:t>
            </w:r>
            <w:r w:rsidR="005A273C" w:rsidRPr="00652406">
              <w:rPr>
                <w:rFonts w:eastAsia="Times New Roman" w:cs="Arial"/>
                <w:sz w:val="22"/>
                <w:lang w:eastAsia="en-AU"/>
              </w:rPr>
              <w:t>he</w:t>
            </w:r>
            <w:r w:rsidR="005A273C" w:rsidRPr="00237E27">
              <w:rPr>
                <w:rFonts w:eastAsia="Times New Roman" w:cs="Arial"/>
                <w:sz w:val="22"/>
                <w:lang w:eastAsia="en-AU"/>
              </w:rPr>
              <w:t xml:space="preserve"> extent of investigations demonstrating our commitment to get the basics right, always.    </w:t>
            </w:r>
          </w:p>
          <w:p w14:paraId="780580C2" w14:textId="143B8F86" w:rsidR="005A273C" w:rsidRPr="00237E27" w:rsidRDefault="00652406">
            <w:pPr>
              <w:pStyle w:val="ListParagraph"/>
              <w:numPr>
                <w:ilvl w:val="0"/>
                <w:numId w:val="122"/>
              </w:numPr>
              <w:spacing w:after="0"/>
              <w:ind w:left="738"/>
              <w:textAlignment w:val="baseline"/>
              <w:rPr>
                <w:rFonts w:eastAsia="Times New Roman" w:cs="Arial"/>
                <w:sz w:val="22"/>
                <w:lang w:eastAsia="en-AU"/>
              </w:rPr>
            </w:pPr>
            <w:r w:rsidRPr="00652406">
              <w:rPr>
                <w:rFonts w:eastAsia="Times New Roman" w:cs="Arial"/>
                <w:sz w:val="22"/>
                <w:lang w:eastAsia="en-AU"/>
              </w:rPr>
              <w:t>t</w:t>
            </w:r>
            <w:r w:rsidR="005A273C" w:rsidRPr="00652406">
              <w:rPr>
                <w:rFonts w:eastAsia="Times New Roman" w:cs="Arial"/>
                <w:sz w:val="22"/>
                <w:lang w:eastAsia="en-AU"/>
              </w:rPr>
              <w:t>he</w:t>
            </w:r>
            <w:r w:rsidR="005A273C" w:rsidRPr="00237E27">
              <w:rPr>
                <w:rFonts w:eastAsia="Times New Roman" w:cs="Arial"/>
                <w:sz w:val="22"/>
                <w:lang w:eastAsia="en-AU"/>
              </w:rPr>
              <w:t xml:space="preserve"> stage 1 project will achieve the objective to decrease dry weather surcharging in the Hanna Street and Wells Street branch sewers.</w:t>
            </w:r>
            <w:r w:rsidR="00A1315F">
              <w:rPr>
                <w:rFonts w:eastAsia="Times New Roman" w:cs="Arial"/>
                <w:sz w:val="22"/>
                <w:lang w:eastAsia="en-AU"/>
              </w:rPr>
              <w:t xml:space="preserve"> </w:t>
            </w:r>
          </w:p>
          <w:p w14:paraId="062988B8" w14:textId="6BA0FCEB" w:rsidR="005A273C" w:rsidRPr="00237E27" w:rsidRDefault="00652406">
            <w:pPr>
              <w:pStyle w:val="ListParagraph"/>
              <w:numPr>
                <w:ilvl w:val="0"/>
                <w:numId w:val="122"/>
              </w:numPr>
              <w:spacing w:after="0"/>
              <w:ind w:left="738"/>
              <w:textAlignment w:val="baseline"/>
              <w:rPr>
                <w:rFonts w:eastAsia="Times New Roman" w:cs="Arial"/>
                <w:sz w:val="22"/>
                <w:lang w:eastAsia="en-AU"/>
              </w:rPr>
            </w:pPr>
            <w:r w:rsidRPr="00652406">
              <w:rPr>
                <w:rFonts w:eastAsia="Times New Roman" w:cs="Arial"/>
                <w:sz w:val="22"/>
                <w:lang w:eastAsia="en-AU"/>
              </w:rPr>
              <w:t>even though</w:t>
            </w:r>
            <w:r w:rsidR="005A273C" w:rsidRPr="00237E27">
              <w:rPr>
                <w:rFonts w:eastAsia="Times New Roman" w:cs="Arial"/>
                <w:sz w:val="22"/>
                <w:lang w:eastAsia="en-AU"/>
              </w:rPr>
              <w:t xml:space="preserve"> Stage 2 is required to prevent wet weather spills, it must be proceeded by Stage 1.    </w:t>
            </w:r>
          </w:p>
          <w:p w14:paraId="026EA03D" w14:textId="612F919F" w:rsidR="005A273C" w:rsidRPr="00237E27" w:rsidRDefault="00652406">
            <w:pPr>
              <w:pStyle w:val="ListParagraph"/>
              <w:numPr>
                <w:ilvl w:val="0"/>
                <w:numId w:val="122"/>
              </w:numPr>
              <w:spacing w:after="0"/>
              <w:ind w:left="738"/>
              <w:textAlignment w:val="baseline"/>
              <w:rPr>
                <w:rFonts w:eastAsia="Times New Roman" w:cs="Arial"/>
                <w:sz w:val="22"/>
                <w:lang w:eastAsia="en-AU"/>
              </w:rPr>
            </w:pPr>
            <w:r w:rsidRPr="00652406">
              <w:rPr>
                <w:rFonts w:eastAsia="Times New Roman" w:cs="Arial"/>
                <w:sz w:val="22"/>
                <w:lang w:eastAsia="en-AU"/>
              </w:rPr>
              <w:t>t</w:t>
            </w:r>
            <w:r w:rsidR="005A273C" w:rsidRPr="00652406">
              <w:rPr>
                <w:rFonts w:eastAsia="Times New Roman" w:cs="Arial"/>
                <w:sz w:val="22"/>
                <w:lang w:eastAsia="en-AU"/>
              </w:rPr>
              <w:t>he</w:t>
            </w:r>
            <w:r w:rsidR="005A273C" w:rsidRPr="00237E27">
              <w:rPr>
                <w:rFonts w:eastAsia="Times New Roman" w:cs="Arial"/>
                <w:sz w:val="22"/>
                <w:lang w:eastAsia="en-AU"/>
              </w:rPr>
              <w:t xml:space="preserve"> project is forecast to be 85% complete within the period</w:t>
            </w:r>
            <w:r w:rsidRPr="00652406">
              <w:rPr>
                <w:rFonts w:eastAsia="Times New Roman" w:cs="Arial"/>
                <w:sz w:val="22"/>
                <w:lang w:eastAsia="en-AU"/>
              </w:rPr>
              <w:t>. T</w:t>
            </w:r>
            <w:r w:rsidR="005A273C" w:rsidRPr="00652406">
              <w:rPr>
                <w:rFonts w:eastAsia="Times New Roman" w:cs="Arial"/>
                <w:sz w:val="22"/>
                <w:lang w:eastAsia="en-AU"/>
              </w:rPr>
              <w:t>his</w:t>
            </w:r>
            <w:r w:rsidR="005A273C" w:rsidRPr="00237E27">
              <w:rPr>
                <w:rFonts w:eastAsia="Times New Roman" w:cs="Arial"/>
                <w:sz w:val="22"/>
                <w:lang w:eastAsia="en-AU"/>
              </w:rPr>
              <w:t xml:space="preserve"> delay was a result of the need to verify the revised scheme, complete extensive geotechnical investigations and service proving to de-risk the tender phase and to obtain the necessary stakeholder approvals and customer engagement.</w:t>
            </w:r>
            <w:r w:rsidR="00A1315F">
              <w:rPr>
                <w:rFonts w:eastAsia="Times New Roman" w:cs="Arial"/>
                <w:sz w:val="22"/>
                <w:lang w:eastAsia="en-AU"/>
              </w:rPr>
              <w:t xml:space="preserve"> </w:t>
            </w:r>
          </w:p>
          <w:p w14:paraId="6CAA1DDF" w14:textId="6905E9C6" w:rsidR="00710D4A" w:rsidRPr="00237E27" w:rsidRDefault="005A273C" w:rsidP="005A273C">
            <w:pPr>
              <w:spacing w:after="0"/>
              <w:textAlignment w:val="baseline"/>
              <w:rPr>
                <w:rFonts w:eastAsia="Times New Roman" w:cstheme="minorHAnsi"/>
                <w:b/>
                <w:bCs/>
                <w:sz w:val="22"/>
                <w:lang w:eastAsia="en-AU"/>
              </w:rPr>
            </w:pPr>
            <w:r w:rsidRPr="00237E27">
              <w:rPr>
                <w:rFonts w:eastAsia="Times New Roman" w:cs="Arial"/>
                <w:sz w:val="22"/>
                <w:lang w:eastAsia="en-AU"/>
              </w:rPr>
              <w:t>The project is forecast to be completed within the Business Case budget in Q2 2023/24.    </w:t>
            </w:r>
          </w:p>
        </w:tc>
      </w:tr>
    </w:tbl>
    <w:p w14:paraId="352A99AB" w14:textId="77777777" w:rsidR="00C00525" w:rsidRDefault="00C00525" w:rsidP="00C00525">
      <w:pPr>
        <w:pStyle w:val="BodyText"/>
      </w:pPr>
    </w:p>
    <w:tbl>
      <w:tblPr>
        <w:tblStyle w:val="MJTableStyle1default"/>
        <w:tblW w:w="9246" w:type="dxa"/>
        <w:tblInd w:w="0" w:type="dxa"/>
        <w:tblLook w:val="06A0" w:firstRow="1" w:lastRow="0" w:firstColumn="1" w:lastColumn="0" w:noHBand="1" w:noVBand="1"/>
      </w:tblPr>
      <w:tblGrid>
        <w:gridCol w:w="9246"/>
      </w:tblGrid>
      <w:tr w:rsidR="005209DF" w:rsidRPr="00601368" w14:paraId="09535496" w14:textId="77777777" w:rsidTr="00116E55">
        <w:trPr>
          <w:cnfStyle w:val="100000000000" w:firstRow="1" w:lastRow="0" w:firstColumn="0" w:lastColumn="0" w:oddVBand="0" w:evenVBand="0" w:oddHBand="0" w:evenHBand="0" w:firstRowFirstColumn="0" w:firstRowLastColumn="0" w:lastRowFirstColumn="0" w:lastRowLastColumn="0"/>
          <w:trHeight w:val="491"/>
          <w:tblHeader/>
        </w:trPr>
        <w:tc>
          <w:tcPr>
            <w:tcW w:w="0" w:type="dxa"/>
            <w:tcBorders>
              <w:top w:val="single" w:sz="2" w:space="0" w:color="002279"/>
              <w:bottom w:val="single" w:sz="2" w:space="0" w:color="002279"/>
            </w:tcBorders>
            <w:shd w:val="clear" w:color="auto" w:fill="002279"/>
            <w:vAlign w:val="center"/>
          </w:tcPr>
          <w:p w14:paraId="76CBF3C2" w14:textId="5BBE13D7" w:rsidR="005209DF" w:rsidRPr="00116E55" w:rsidRDefault="005209DF" w:rsidP="00825A9C">
            <w:pPr>
              <w:pStyle w:val="Heading2"/>
              <w:outlineLvl w:val="1"/>
              <w:rPr>
                <w:rFonts w:cstheme="minorHAnsi"/>
                <w:color w:val="FFFFFF" w:themeColor="background1"/>
                <w:sz w:val="22"/>
                <w:szCs w:val="22"/>
              </w:rPr>
            </w:pPr>
            <w:r w:rsidRPr="00116E55">
              <w:rPr>
                <w:color w:val="FFFFFF" w:themeColor="background1"/>
                <w:sz w:val="22"/>
                <w:szCs w:val="22"/>
              </w:rPr>
              <w:lastRenderedPageBreak/>
              <w:t xml:space="preserve">PROJECT </w:t>
            </w:r>
            <w:r w:rsidR="0012257D" w:rsidRPr="00116E55">
              <w:rPr>
                <w:color w:val="FFFFFF" w:themeColor="background1"/>
                <w:sz w:val="22"/>
                <w:szCs w:val="22"/>
              </w:rPr>
              <w:t>8</w:t>
            </w:r>
            <w:r w:rsidRPr="00116E55">
              <w:rPr>
                <w:color w:val="FFFFFF" w:themeColor="background1"/>
                <w:sz w:val="22"/>
                <w:szCs w:val="22"/>
              </w:rPr>
              <w:t xml:space="preserve">: </w:t>
            </w:r>
            <w:r w:rsidR="001B7A52" w:rsidRPr="00116E55">
              <w:rPr>
                <w:color w:val="FFFFFF" w:themeColor="background1"/>
                <w:sz w:val="22"/>
                <w:szCs w:val="22"/>
              </w:rPr>
              <w:t xml:space="preserve">Pakenham East </w:t>
            </w:r>
            <w:r w:rsidR="004C72E9" w:rsidRPr="00116E55">
              <w:rPr>
                <w:color w:val="FFFFFF" w:themeColor="background1"/>
                <w:sz w:val="22"/>
                <w:szCs w:val="22"/>
              </w:rPr>
              <w:t>branch</w:t>
            </w:r>
            <w:r w:rsidR="001B7A52" w:rsidRPr="00116E55">
              <w:rPr>
                <w:color w:val="FFFFFF" w:themeColor="background1"/>
                <w:sz w:val="22"/>
                <w:szCs w:val="22"/>
              </w:rPr>
              <w:t xml:space="preserve"> </w:t>
            </w:r>
            <w:r w:rsidR="004C72E9" w:rsidRPr="00116E55">
              <w:rPr>
                <w:color w:val="FFFFFF" w:themeColor="background1"/>
                <w:sz w:val="22"/>
                <w:szCs w:val="22"/>
              </w:rPr>
              <w:t>sewer</w:t>
            </w:r>
            <w:r w:rsidR="001B7A52" w:rsidRPr="00116E55">
              <w:rPr>
                <w:color w:val="FFFFFF" w:themeColor="background1"/>
                <w:sz w:val="22"/>
                <w:szCs w:val="22"/>
              </w:rPr>
              <w:t xml:space="preserve"> de</w:t>
            </w:r>
            <w:r w:rsidRPr="00116E55">
              <w:rPr>
                <w:color w:val="FFFFFF" w:themeColor="background1"/>
                <w:sz w:val="22"/>
                <w:szCs w:val="22"/>
              </w:rPr>
              <w:t>livery performance</w:t>
            </w:r>
            <w:r w:rsidR="00A1315F" w:rsidRPr="00116E55">
              <w:rPr>
                <w:color w:val="FFFFFF" w:themeColor="background1"/>
                <w:sz w:val="22"/>
                <w:szCs w:val="22"/>
              </w:rPr>
              <w:t xml:space="preserve"> </w:t>
            </w:r>
          </w:p>
        </w:tc>
      </w:tr>
      <w:tr w:rsidR="005209DF" w:rsidRPr="00601368" w14:paraId="63C8A2DD" w14:textId="77777777" w:rsidTr="00116E55">
        <w:tc>
          <w:tcPr>
            <w:tcW w:w="0" w:type="dxa"/>
            <w:tcBorders>
              <w:top w:val="single" w:sz="2" w:space="0" w:color="002279"/>
              <w:bottom w:val="single" w:sz="2" w:space="0" w:color="002279"/>
            </w:tcBorders>
          </w:tcPr>
          <w:p w14:paraId="4349081A" w14:textId="1BD7EA16" w:rsidR="005209DF" w:rsidRPr="00F122D9" w:rsidRDefault="005209DF" w:rsidP="000C0D03">
            <w:pPr>
              <w:spacing w:line="259" w:lineRule="auto"/>
              <w:rPr>
                <w:rFonts w:cstheme="minorHAnsi"/>
                <w:sz w:val="22"/>
              </w:rPr>
            </w:pPr>
            <w:r w:rsidRPr="00F122D9">
              <w:rPr>
                <w:rFonts w:cstheme="minorHAnsi"/>
                <w:b/>
                <w:sz w:val="22"/>
              </w:rPr>
              <w:t xml:space="preserve">Major service: </w:t>
            </w:r>
            <w:r w:rsidRPr="00F122D9">
              <w:rPr>
                <w:rFonts w:cstheme="minorHAnsi"/>
                <w:bCs/>
                <w:sz w:val="22"/>
              </w:rPr>
              <w:t>Sewerage</w:t>
            </w:r>
            <w:r w:rsidR="00A1315F">
              <w:rPr>
                <w:rFonts w:cstheme="minorHAnsi"/>
                <w:b/>
                <w:sz w:val="22"/>
              </w:rPr>
              <w:t xml:space="preserve"> </w:t>
            </w:r>
          </w:p>
        </w:tc>
      </w:tr>
      <w:tr w:rsidR="005209DF" w:rsidRPr="00601368" w14:paraId="241D62A5" w14:textId="77777777" w:rsidTr="00116E55">
        <w:tc>
          <w:tcPr>
            <w:tcW w:w="0" w:type="dxa"/>
            <w:tcBorders>
              <w:top w:val="single" w:sz="2" w:space="0" w:color="002279"/>
              <w:bottom w:val="single" w:sz="2" w:space="0" w:color="002279"/>
            </w:tcBorders>
          </w:tcPr>
          <w:p w14:paraId="231CD4D3" w14:textId="260BF80C" w:rsidR="005209DF" w:rsidRPr="00F122D9" w:rsidRDefault="005209DF" w:rsidP="000C0D03">
            <w:pPr>
              <w:spacing w:line="259" w:lineRule="auto"/>
              <w:rPr>
                <w:rFonts w:cstheme="minorHAnsi"/>
                <w:sz w:val="22"/>
              </w:rPr>
            </w:pPr>
            <w:r w:rsidRPr="00F122D9">
              <w:rPr>
                <w:rFonts w:cstheme="minorHAnsi"/>
                <w:b/>
                <w:sz w:val="22"/>
              </w:rPr>
              <w:t xml:space="preserve">Asset category: </w:t>
            </w:r>
            <w:r w:rsidRPr="00F122D9">
              <w:rPr>
                <w:rFonts w:cstheme="minorHAnsi"/>
                <w:bCs/>
                <w:sz w:val="22"/>
              </w:rPr>
              <w:t>Pipelines</w:t>
            </w:r>
            <w:r w:rsidR="00E27178">
              <w:rPr>
                <w:rFonts w:cstheme="minorHAnsi"/>
                <w:bCs/>
                <w:sz w:val="22"/>
              </w:rPr>
              <w:t>/</w:t>
            </w:r>
            <w:r w:rsidRPr="00F122D9">
              <w:rPr>
                <w:rFonts w:cstheme="minorHAnsi"/>
                <w:bCs/>
                <w:sz w:val="22"/>
              </w:rPr>
              <w:t>network</w:t>
            </w:r>
            <w:r w:rsidR="00A1315F">
              <w:rPr>
                <w:rFonts w:cstheme="minorHAnsi"/>
                <w:bCs/>
                <w:sz w:val="22"/>
              </w:rPr>
              <w:t xml:space="preserve"> </w:t>
            </w:r>
          </w:p>
        </w:tc>
      </w:tr>
      <w:tr w:rsidR="005209DF" w:rsidRPr="00601368" w14:paraId="31019D87" w14:textId="77777777" w:rsidTr="00116E55">
        <w:tc>
          <w:tcPr>
            <w:tcW w:w="0" w:type="dxa"/>
            <w:tcBorders>
              <w:top w:val="single" w:sz="2" w:space="0" w:color="002279"/>
              <w:bottom w:val="single" w:sz="2" w:space="0" w:color="002279"/>
            </w:tcBorders>
          </w:tcPr>
          <w:p w14:paraId="165E0C11" w14:textId="3E679808" w:rsidR="005209DF" w:rsidRPr="00F122D9" w:rsidRDefault="005209DF" w:rsidP="000C0D03">
            <w:pPr>
              <w:spacing w:line="259" w:lineRule="auto"/>
              <w:rPr>
                <w:rFonts w:cstheme="minorHAnsi"/>
                <w:b/>
                <w:sz w:val="22"/>
              </w:rPr>
            </w:pPr>
            <w:r w:rsidRPr="00F122D9">
              <w:rPr>
                <w:rFonts w:cstheme="minorHAnsi"/>
                <w:b/>
                <w:sz w:val="22"/>
              </w:rPr>
              <w:t xml:space="preserve">Driver: </w:t>
            </w:r>
            <w:r w:rsidRPr="00F122D9">
              <w:rPr>
                <w:rFonts w:cstheme="minorHAnsi"/>
                <w:bCs/>
                <w:sz w:val="22"/>
              </w:rPr>
              <w:t>Growth</w:t>
            </w:r>
            <w:r w:rsidR="00A1315F">
              <w:rPr>
                <w:rFonts w:cstheme="minorHAnsi"/>
                <w:b/>
                <w:sz w:val="22"/>
              </w:rPr>
              <w:t xml:space="preserve"> </w:t>
            </w:r>
          </w:p>
        </w:tc>
      </w:tr>
      <w:tr w:rsidR="005209DF" w:rsidRPr="00601368" w14:paraId="5E599B43" w14:textId="77777777" w:rsidTr="00360131">
        <w:trPr>
          <w:trHeight w:val="1422"/>
        </w:trPr>
        <w:tc>
          <w:tcPr>
            <w:tcW w:w="0" w:type="dxa"/>
            <w:tcBorders>
              <w:top w:val="single" w:sz="2" w:space="0" w:color="002279"/>
              <w:bottom w:val="single" w:sz="2" w:space="0" w:color="002279"/>
            </w:tcBorders>
          </w:tcPr>
          <w:p w14:paraId="7DE892ED" w14:textId="74BD0E75" w:rsidR="005209DF" w:rsidRPr="00F122D9" w:rsidRDefault="005209DF" w:rsidP="00F122D9">
            <w:pPr>
              <w:spacing w:after="0"/>
              <w:textAlignment w:val="baseline"/>
              <w:rPr>
                <w:rFonts w:cstheme="minorHAnsi"/>
                <w:sz w:val="22"/>
              </w:rPr>
            </w:pPr>
            <w:r w:rsidRPr="00F122D9">
              <w:rPr>
                <w:rFonts w:cstheme="minorHAnsi"/>
                <w:b/>
                <w:sz w:val="22"/>
              </w:rPr>
              <w:t xml:space="preserve">Description: </w:t>
            </w:r>
            <w:r w:rsidR="007171ED" w:rsidRPr="00F122D9">
              <w:rPr>
                <w:rFonts w:eastAsia="Times New Roman" w:cs="Arial"/>
                <w:sz w:val="22"/>
                <w:lang w:eastAsia="en-AU"/>
              </w:rPr>
              <w:t>The preferred option to service the Pakenham East Growth Area is a new DN300 5.2</w:t>
            </w:r>
            <w:r w:rsidR="00192A70">
              <w:rPr>
                <w:rFonts w:eastAsia="Times New Roman" w:cs="Arial"/>
                <w:sz w:val="22"/>
                <w:lang w:eastAsia="en-AU"/>
              </w:rPr>
              <w:t>-</w:t>
            </w:r>
            <w:r w:rsidR="002A08A6">
              <w:rPr>
                <w:rFonts w:eastAsia="Times New Roman" w:cs="Arial"/>
                <w:sz w:val="22"/>
                <w:lang w:eastAsia="en-AU"/>
              </w:rPr>
              <w:t>kilometre</w:t>
            </w:r>
            <w:r w:rsidR="007171ED" w:rsidRPr="00F122D9">
              <w:rPr>
                <w:rFonts w:eastAsia="Times New Roman" w:cs="Arial"/>
                <w:sz w:val="22"/>
                <w:lang w:eastAsia="en-AU"/>
              </w:rPr>
              <w:t xml:space="preserve"> gravity branch sewer starting at Princes Freeway on the southern boundary of the growth area and connecting to the existing Peet Street </w:t>
            </w:r>
            <w:r w:rsidR="004C72E9">
              <w:rPr>
                <w:rFonts w:eastAsia="Times New Roman" w:cs="Arial"/>
                <w:sz w:val="22"/>
                <w:lang w:eastAsia="en-AU"/>
              </w:rPr>
              <w:t>branch</w:t>
            </w:r>
            <w:r w:rsidR="007171ED" w:rsidRPr="00F122D9">
              <w:rPr>
                <w:rFonts w:eastAsia="Times New Roman" w:cs="Arial"/>
                <w:sz w:val="22"/>
                <w:lang w:eastAsia="en-AU"/>
              </w:rPr>
              <w:t xml:space="preserve"> </w:t>
            </w:r>
            <w:r w:rsidR="004C72E9">
              <w:rPr>
                <w:rFonts w:eastAsia="Times New Roman" w:cs="Arial"/>
                <w:sz w:val="22"/>
                <w:lang w:eastAsia="en-AU"/>
              </w:rPr>
              <w:t>sewer</w:t>
            </w:r>
            <w:r w:rsidR="007171ED" w:rsidRPr="00F122D9">
              <w:rPr>
                <w:rFonts w:eastAsia="Times New Roman" w:cs="Arial"/>
                <w:sz w:val="22"/>
                <w:lang w:eastAsia="en-AU"/>
              </w:rPr>
              <w:t xml:space="preserve"> at maintenance hole PEE10 for onward transmission to the Pakenham </w:t>
            </w:r>
            <w:r w:rsidR="00E14DE5">
              <w:rPr>
                <w:rFonts w:cs="Arial"/>
                <w:sz w:val="22"/>
                <w:szCs w:val="24"/>
              </w:rPr>
              <w:t>Water Recycling Plant</w:t>
            </w:r>
            <w:r w:rsidR="00E14DE5">
              <w:rPr>
                <w:rFonts w:eastAsia="Times New Roman" w:cs="Arial"/>
                <w:sz w:val="22"/>
                <w:lang w:eastAsia="en-AU"/>
              </w:rPr>
              <w:t xml:space="preserve"> </w:t>
            </w:r>
            <w:r w:rsidR="007171ED" w:rsidRPr="00F122D9">
              <w:rPr>
                <w:rFonts w:eastAsia="Times New Roman" w:cs="Arial"/>
                <w:sz w:val="22"/>
                <w:lang w:eastAsia="en-AU"/>
              </w:rPr>
              <w:t>as shown in the Drawing Plan.</w:t>
            </w:r>
            <w:r w:rsidR="00A1315F">
              <w:rPr>
                <w:rFonts w:eastAsia="Times New Roman" w:cs="Arial"/>
                <w:sz w:val="22"/>
                <w:lang w:eastAsia="en-AU"/>
              </w:rPr>
              <w:t xml:space="preserve"> </w:t>
            </w:r>
          </w:p>
        </w:tc>
      </w:tr>
      <w:tr w:rsidR="005209DF" w:rsidRPr="00601368" w14:paraId="3A3CAF6B" w14:textId="77777777" w:rsidTr="00116E55">
        <w:tc>
          <w:tcPr>
            <w:tcW w:w="0" w:type="dxa"/>
            <w:tcBorders>
              <w:top w:val="single" w:sz="2" w:space="0" w:color="002279"/>
              <w:bottom w:val="single" w:sz="2" w:space="0" w:color="002279"/>
            </w:tcBorders>
          </w:tcPr>
          <w:p w14:paraId="2EA63B46" w14:textId="77777777" w:rsidR="005209DF" w:rsidRPr="00F122D9" w:rsidRDefault="005209DF" w:rsidP="000C0D03">
            <w:pPr>
              <w:rPr>
                <w:rFonts w:cstheme="minorHAnsi"/>
                <w:sz w:val="22"/>
              </w:rPr>
            </w:pPr>
            <w:r w:rsidRPr="00F122D9">
              <w:rPr>
                <w:rFonts w:cstheme="minorHAnsi"/>
                <w:b/>
                <w:sz w:val="22"/>
              </w:rPr>
              <w:t>Customer outcome:</w:t>
            </w:r>
            <w:r w:rsidRPr="00F122D9">
              <w:rPr>
                <w:rFonts w:cstheme="minorHAnsi"/>
                <w:sz w:val="22"/>
              </w:rPr>
              <w:t xml:space="preserve"> </w:t>
            </w:r>
            <w:r w:rsidRPr="00F122D9">
              <w:rPr>
                <w:rFonts w:cstheme="minorHAnsi"/>
                <w:i/>
                <w:iCs/>
                <w:sz w:val="22"/>
              </w:rPr>
              <w:t>Get the basics right, always</w:t>
            </w:r>
            <w:r w:rsidRPr="00F122D9">
              <w:rPr>
                <w:rFonts w:cstheme="minorHAnsi"/>
                <w:sz w:val="22"/>
              </w:rPr>
              <w:t xml:space="preserve"> </w:t>
            </w:r>
          </w:p>
        </w:tc>
      </w:tr>
      <w:tr w:rsidR="005209DF" w:rsidRPr="00601368" w14:paraId="52840166" w14:textId="77777777" w:rsidTr="00360131">
        <w:trPr>
          <w:trHeight w:val="709"/>
        </w:trPr>
        <w:tc>
          <w:tcPr>
            <w:tcW w:w="0" w:type="dxa"/>
            <w:tcBorders>
              <w:top w:val="single" w:sz="2" w:space="0" w:color="002279"/>
              <w:bottom w:val="single" w:sz="2" w:space="0" w:color="002279"/>
            </w:tcBorders>
            <w:vAlign w:val="center"/>
          </w:tcPr>
          <w:p w14:paraId="45225E2F" w14:textId="6107EBEB" w:rsidR="005209DF" w:rsidRPr="00F122D9" w:rsidRDefault="005209DF" w:rsidP="000C0D03">
            <w:pPr>
              <w:spacing w:after="0"/>
              <w:textAlignment w:val="baseline"/>
              <w:rPr>
                <w:rFonts w:eastAsia="Times New Roman" w:cstheme="minorHAnsi"/>
                <w:b/>
                <w:bCs/>
                <w:sz w:val="22"/>
                <w:lang w:eastAsia="en-AU"/>
              </w:rPr>
            </w:pPr>
            <w:r w:rsidRPr="00F122D9">
              <w:rPr>
                <w:rFonts w:eastAsia="Times New Roman" w:cstheme="minorHAnsi"/>
                <w:b/>
                <w:bCs/>
                <w:sz w:val="22"/>
                <w:lang w:eastAsia="en-AU"/>
              </w:rPr>
              <w:t>Objective:</w:t>
            </w:r>
            <w:r w:rsidRPr="00F122D9">
              <w:rPr>
                <w:rFonts w:eastAsia="Times New Roman" w:cstheme="minorHAnsi"/>
                <w:sz w:val="22"/>
                <w:lang w:eastAsia="en-AU"/>
              </w:rPr>
              <w:t xml:space="preserve"> </w:t>
            </w:r>
            <w:r w:rsidR="00731CD7" w:rsidRPr="00F122D9">
              <w:rPr>
                <w:rFonts w:eastAsia="Times New Roman" w:cs="Arial"/>
                <w:sz w:val="22"/>
                <w:lang w:eastAsia="en-AU"/>
              </w:rPr>
              <w:t xml:space="preserve">The objective of the Pakenham East </w:t>
            </w:r>
            <w:r w:rsidR="004C72E9">
              <w:rPr>
                <w:rFonts w:eastAsia="Times New Roman" w:cs="Arial"/>
                <w:sz w:val="22"/>
                <w:lang w:eastAsia="en-AU"/>
              </w:rPr>
              <w:t>branch</w:t>
            </w:r>
            <w:r w:rsidR="00731CD7" w:rsidRPr="00F122D9">
              <w:rPr>
                <w:rFonts w:eastAsia="Times New Roman" w:cs="Arial"/>
                <w:sz w:val="22"/>
                <w:lang w:eastAsia="en-AU"/>
              </w:rPr>
              <w:t xml:space="preserve"> </w:t>
            </w:r>
            <w:r w:rsidR="004C72E9">
              <w:rPr>
                <w:rFonts w:eastAsia="Times New Roman" w:cs="Arial"/>
                <w:sz w:val="22"/>
                <w:lang w:eastAsia="en-AU"/>
              </w:rPr>
              <w:t>sewer</w:t>
            </w:r>
            <w:r w:rsidR="00731CD7" w:rsidRPr="00F122D9">
              <w:rPr>
                <w:rFonts w:eastAsia="Times New Roman" w:cs="Arial"/>
                <w:sz w:val="22"/>
                <w:lang w:eastAsia="en-AU"/>
              </w:rPr>
              <w:t xml:space="preserve"> is to provide sewerage services to the majority of the Pakenham East Growth Area. </w:t>
            </w:r>
          </w:p>
        </w:tc>
      </w:tr>
      <w:tr w:rsidR="005209DF" w:rsidRPr="00601368" w14:paraId="1D37587D" w14:textId="77777777" w:rsidTr="00116E55">
        <w:tc>
          <w:tcPr>
            <w:tcW w:w="0" w:type="dxa"/>
            <w:tcBorders>
              <w:top w:val="single" w:sz="2" w:space="0" w:color="002279"/>
              <w:bottom w:val="single" w:sz="2" w:space="0" w:color="002279"/>
            </w:tcBorders>
          </w:tcPr>
          <w:p w14:paraId="2D36751B" w14:textId="5E1048CB" w:rsidR="005209DF" w:rsidRPr="00F122D9" w:rsidRDefault="005209DF" w:rsidP="000C0D03">
            <w:pPr>
              <w:spacing w:line="259" w:lineRule="auto"/>
              <w:rPr>
                <w:rFonts w:cstheme="minorHAnsi"/>
                <w:b/>
                <w:sz w:val="22"/>
              </w:rPr>
            </w:pPr>
            <w:r w:rsidRPr="00F122D9">
              <w:rPr>
                <w:rFonts w:eastAsia="Times New Roman" w:cstheme="minorHAnsi"/>
                <w:b/>
                <w:bCs/>
                <w:sz w:val="22"/>
                <w:lang w:eastAsia="en-AU"/>
              </w:rPr>
              <w:t>Benefits:</w:t>
            </w:r>
            <w:r w:rsidRPr="00F122D9">
              <w:rPr>
                <w:rFonts w:eastAsia="Times New Roman" w:cstheme="minorHAnsi"/>
                <w:sz w:val="22"/>
                <w:lang w:eastAsia="en-AU"/>
              </w:rPr>
              <w:t xml:space="preserve"> </w:t>
            </w:r>
            <w:r w:rsidR="005103D5" w:rsidRPr="00F122D9">
              <w:rPr>
                <w:rFonts w:eastAsia="Times New Roman" w:cs="Arial"/>
                <w:sz w:val="22"/>
                <w:lang w:eastAsia="en-AU"/>
              </w:rPr>
              <w:t>This project will ensure that new development can be connected to safe and reliable sewerage services, protecting human health and the environment. </w:t>
            </w:r>
          </w:p>
        </w:tc>
      </w:tr>
      <w:tr w:rsidR="005209DF" w:rsidRPr="00601368" w14:paraId="16FA85E1" w14:textId="77777777" w:rsidTr="00116E55">
        <w:tc>
          <w:tcPr>
            <w:tcW w:w="0" w:type="dxa"/>
            <w:tcBorders>
              <w:top w:val="single" w:sz="2" w:space="0" w:color="002279"/>
              <w:bottom w:val="single" w:sz="2" w:space="0" w:color="002279"/>
            </w:tcBorders>
            <w:vAlign w:val="center"/>
          </w:tcPr>
          <w:p w14:paraId="6F4A786B" w14:textId="7FF79D89" w:rsidR="005209DF" w:rsidRPr="00F122D9" w:rsidRDefault="005209DF" w:rsidP="000C0D03">
            <w:pPr>
              <w:pStyle w:val="BodyText"/>
              <w:rPr>
                <w:rFonts w:eastAsia="Times New Roman" w:cstheme="minorHAnsi"/>
                <w:b/>
                <w:bCs/>
                <w:sz w:val="22"/>
                <w:lang w:eastAsia="en-AU"/>
              </w:rPr>
            </w:pPr>
            <w:r w:rsidRPr="00F122D9">
              <w:rPr>
                <w:rFonts w:eastAsia="Times New Roman" w:cstheme="minorHAnsi"/>
                <w:b/>
                <w:bCs/>
                <w:sz w:val="22"/>
                <w:lang w:eastAsia="en-AU"/>
              </w:rPr>
              <w:t>2018</w:t>
            </w:r>
            <w:r w:rsidR="00F243DC">
              <w:rPr>
                <w:rFonts w:eastAsia="Times New Roman" w:cstheme="minorHAnsi"/>
                <w:b/>
                <w:bCs/>
                <w:sz w:val="22"/>
                <w:lang w:eastAsia="en-AU"/>
              </w:rPr>
              <w:t>–</w:t>
            </w:r>
            <w:r w:rsidRPr="00F122D9">
              <w:rPr>
                <w:rFonts w:eastAsia="Times New Roman" w:cstheme="minorHAnsi"/>
                <w:b/>
                <w:bCs/>
                <w:sz w:val="22"/>
                <w:lang w:eastAsia="en-AU"/>
              </w:rPr>
              <w:t xml:space="preserve">2023 estimate $ submitted to ESC: </w:t>
            </w:r>
            <w:r w:rsidRPr="00F122D9">
              <w:rPr>
                <w:rFonts w:eastAsia="Times New Roman" w:cs="Arial"/>
                <w:sz w:val="22"/>
                <w:lang w:eastAsia="en-AU"/>
              </w:rPr>
              <w:t>$1</w:t>
            </w:r>
            <w:r w:rsidR="005103D5" w:rsidRPr="00F122D9">
              <w:rPr>
                <w:rFonts w:eastAsia="Times New Roman" w:cs="Arial"/>
                <w:sz w:val="22"/>
                <w:lang w:eastAsia="en-AU"/>
              </w:rPr>
              <w:t>5.2</w:t>
            </w:r>
            <w:r w:rsidR="00A933AB">
              <w:rPr>
                <w:rFonts w:eastAsia="Times New Roman" w:cs="Arial"/>
                <w:sz w:val="22"/>
                <w:lang w:eastAsia="en-AU"/>
              </w:rPr>
              <w:t>m</w:t>
            </w:r>
            <w:r w:rsidR="00A1315F">
              <w:rPr>
                <w:rFonts w:eastAsia="Times New Roman" w:cs="Arial"/>
                <w:sz w:val="22"/>
                <w:lang w:eastAsia="en-AU"/>
              </w:rPr>
              <w:t xml:space="preserve"> </w:t>
            </w:r>
          </w:p>
        </w:tc>
      </w:tr>
      <w:tr w:rsidR="005209DF" w:rsidRPr="00601368" w14:paraId="17DCE57C" w14:textId="77777777" w:rsidTr="00360131">
        <w:trPr>
          <w:trHeight w:val="679"/>
        </w:trPr>
        <w:tc>
          <w:tcPr>
            <w:tcW w:w="0" w:type="dxa"/>
            <w:tcBorders>
              <w:top w:val="single" w:sz="2" w:space="0" w:color="002279"/>
              <w:bottom w:val="single" w:sz="2" w:space="0" w:color="002279"/>
            </w:tcBorders>
            <w:vAlign w:val="center"/>
          </w:tcPr>
          <w:p w14:paraId="23EEB686" w14:textId="59639EC2" w:rsidR="005209DF" w:rsidRPr="00F122D9" w:rsidRDefault="005209DF" w:rsidP="000C0D03">
            <w:pPr>
              <w:spacing w:after="0"/>
              <w:textAlignment w:val="baseline"/>
              <w:rPr>
                <w:rFonts w:eastAsia="Times New Roman" w:cstheme="minorHAnsi"/>
                <w:b/>
                <w:bCs/>
                <w:sz w:val="22"/>
                <w:lang w:eastAsia="en-AU"/>
              </w:rPr>
            </w:pPr>
            <w:r w:rsidRPr="00F122D9">
              <w:rPr>
                <w:rFonts w:eastAsia="Times New Roman" w:cstheme="minorHAnsi"/>
                <w:b/>
                <w:bCs/>
                <w:sz w:val="22"/>
                <w:lang w:eastAsia="en-AU"/>
              </w:rPr>
              <w:t>What estimate was based on:</w:t>
            </w:r>
            <w:r w:rsidRPr="00F122D9">
              <w:rPr>
                <w:rFonts w:eastAsia="Times New Roman" w:cs="Arial"/>
                <w:sz w:val="22"/>
                <w:lang w:eastAsia="en-AU"/>
              </w:rPr>
              <w:t xml:space="preserve"> </w:t>
            </w:r>
            <w:r w:rsidR="006B1E58" w:rsidRPr="00F122D9">
              <w:rPr>
                <w:rFonts w:eastAsia="Times New Roman" w:cs="Arial"/>
                <w:sz w:val="22"/>
                <w:lang w:eastAsia="en-AU"/>
              </w:rPr>
              <w:t>This cost is stated at the P50 level, in Real dollars as of 1 January 2018, and is expected to be incurred wholly within the Price Submission 2018</w:t>
            </w:r>
            <w:r w:rsidR="00F243DC">
              <w:rPr>
                <w:rFonts w:eastAsia="Times New Roman" w:cs="Arial"/>
                <w:sz w:val="22"/>
                <w:lang w:eastAsia="en-AU"/>
              </w:rPr>
              <w:t>–</w:t>
            </w:r>
            <w:r w:rsidR="006B1E58" w:rsidRPr="00F122D9">
              <w:rPr>
                <w:rFonts w:eastAsia="Times New Roman" w:cs="Arial"/>
                <w:sz w:val="22"/>
                <w:lang w:eastAsia="en-AU"/>
              </w:rPr>
              <w:t>23.</w:t>
            </w:r>
            <w:r w:rsidR="00A1315F">
              <w:rPr>
                <w:rFonts w:eastAsia="Times New Roman" w:cs="Arial"/>
                <w:sz w:val="22"/>
                <w:lang w:eastAsia="en-AU"/>
              </w:rPr>
              <w:t xml:space="preserve"> </w:t>
            </w:r>
          </w:p>
        </w:tc>
      </w:tr>
      <w:tr w:rsidR="005209DF" w:rsidRPr="00601368" w14:paraId="478F1144" w14:textId="77777777" w:rsidTr="00116E55">
        <w:tc>
          <w:tcPr>
            <w:tcW w:w="0" w:type="dxa"/>
            <w:tcBorders>
              <w:top w:val="single" w:sz="2" w:space="0" w:color="002279"/>
              <w:bottom w:val="single" w:sz="2" w:space="0" w:color="002279"/>
            </w:tcBorders>
            <w:vAlign w:val="center"/>
          </w:tcPr>
          <w:p w14:paraId="105C7F5F" w14:textId="77777777" w:rsidR="005209DF" w:rsidRPr="00F122D9" w:rsidRDefault="005209DF" w:rsidP="000C0D03">
            <w:pPr>
              <w:pStyle w:val="BodyText"/>
              <w:rPr>
                <w:rFonts w:eastAsia="Times New Roman" w:cstheme="minorHAnsi"/>
                <w:b/>
                <w:bCs/>
                <w:sz w:val="22"/>
                <w:lang w:eastAsia="en-AU"/>
              </w:rPr>
            </w:pPr>
            <w:r w:rsidRPr="00F122D9">
              <w:rPr>
                <w:rFonts w:eastAsia="Times New Roman" w:cstheme="minorHAnsi"/>
                <w:b/>
                <w:bCs/>
                <w:sz w:val="22"/>
                <w:lang w:eastAsia="en-AU"/>
              </w:rPr>
              <w:t xml:space="preserve">Estimate confidence: </w:t>
            </w:r>
            <w:r w:rsidRPr="00F122D9">
              <w:rPr>
                <w:rFonts w:eastAsia="Times New Roman" w:cstheme="minorHAnsi"/>
                <w:sz w:val="22"/>
                <w:lang w:eastAsia="en-AU"/>
              </w:rPr>
              <w:t>P50 </w:t>
            </w:r>
          </w:p>
        </w:tc>
      </w:tr>
      <w:tr w:rsidR="005209DF" w:rsidRPr="00601368" w14:paraId="599EBB08" w14:textId="77777777" w:rsidTr="00116E55">
        <w:tc>
          <w:tcPr>
            <w:tcW w:w="0" w:type="dxa"/>
            <w:tcBorders>
              <w:top w:val="single" w:sz="2" w:space="0" w:color="002279"/>
              <w:bottom w:val="single" w:sz="2" w:space="0" w:color="002279"/>
            </w:tcBorders>
          </w:tcPr>
          <w:p w14:paraId="5696288E" w14:textId="506F3121" w:rsidR="005209DF" w:rsidRPr="00F122D9" w:rsidRDefault="005209DF" w:rsidP="000C0D03">
            <w:pPr>
              <w:pStyle w:val="BodyText"/>
              <w:rPr>
                <w:rFonts w:eastAsia="Times New Roman" w:cstheme="minorHAnsi"/>
                <w:b/>
                <w:bCs/>
                <w:sz w:val="22"/>
                <w:lang w:eastAsia="en-AU"/>
              </w:rPr>
            </w:pPr>
            <w:r w:rsidRPr="00F122D9">
              <w:rPr>
                <w:rFonts w:eastAsia="Times New Roman" w:cstheme="minorHAnsi"/>
                <w:b/>
                <w:bCs/>
                <w:sz w:val="22"/>
                <w:lang w:eastAsia="en-AU"/>
              </w:rPr>
              <w:t>2018</w:t>
            </w:r>
            <w:r w:rsidR="00F243DC">
              <w:rPr>
                <w:rFonts w:eastAsia="Times New Roman" w:cstheme="minorHAnsi"/>
                <w:b/>
                <w:bCs/>
                <w:sz w:val="22"/>
                <w:lang w:eastAsia="en-AU"/>
              </w:rPr>
              <w:t>–</w:t>
            </w:r>
            <w:r w:rsidRPr="00F122D9">
              <w:rPr>
                <w:rFonts w:eastAsia="Times New Roman" w:cstheme="minorHAnsi"/>
                <w:b/>
                <w:bCs/>
                <w:sz w:val="22"/>
                <w:lang w:eastAsia="en-AU"/>
              </w:rPr>
              <w:t xml:space="preserve">2023 ESC determination $: </w:t>
            </w:r>
            <w:r w:rsidRPr="00F122D9">
              <w:rPr>
                <w:rFonts w:eastAsia="Times New Roman" w:cstheme="minorHAnsi"/>
                <w:sz w:val="22"/>
                <w:lang w:eastAsia="en-AU"/>
              </w:rPr>
              <w:t>$1</w:t>
            </w:r>
            <w:r w:rsidR="00381F4A" w:rsidRPr="00F122D9">
              <w:rPr>
                <w:rFonts w:eastAsia="Times New Roman" w:cstheme="minorHAnsi"/>
                <w:sz w:val="22"/>
                <w:lang w:eastAsia="en-AU"/>
              </w:rPr>
              <w:t>5.</w:t>
            </w:r>
            <w:r w:rsidR="00826FE5" w:rsidRPr="00F122D9">
              <w:rPr>
                <w:rFonts w:eastAsia="Times New Roman" w:cstheme="minorHAnsi"/>
                <w:sz w:val="22"/>
                <w:lang w:eastAsia="en-AU"/>
              </w:rPr>
              <w:t>2</w:t>
            </w:r>
            <w:r w:rsidR="00A933AB">
              <w:rPr>
                <w:rFonts w:eastAsia="Times New Roman" w:cstheme="minorHAnsi"/>
                <w:sz w:val="22"/>
                <w:lang w:eastAsia="en-AU"/>
              </w:rPr>
              <w:t>m</w:t>
            </w:r>
            <w:r w:rsidR="00826FE5" w:rsidRPr="00F122D9">
              <w:rPr>
                <w:rFonts w:eastAsia="Times New Roman" w:cstheme="minorHAnsi"/>
                <w:sz w:val="22"/>
                <w:lang w:eastAsia="en-AU"/>
              </w:rPr>
              <w:t xml:space="preserve"> (P50)</w:t>
            </w:r>
          </w:p>
        </w:tc>
      </w:tr>
      <w:tr w:rsidR="005209DF" w:rsidRPr="00601368" w14:paraId="1A7340C4" w14:textId="77777777" w:rsidTr="00116E55">
        <w:tc>
          <w:tcPr>
            <w:tcW w:w="0" w:type="dxa"/>
            <w:tcBorders>
              <w:top w:val="single" w:sz="2" w:space="0" w:color="002279"/>
              <w:bottom w:val="single" w:sz="2" w:space="0" w:color="002279"/>
            </w:tcBorders>
            <w:vAlign w:val="center"/>
          </w:tcPr>
          <w:p w14:paraId="397A0DE1" w14:textId="6478F514" w:rsidR="005209DF" w:rsidRPr="00F122D9" w:rsidRDefault="005209DF" w:rsidP="000C0D03">
            <w:pPr>
              <w:pStyle w:val="BodyText"/>
              <w:rPr>
                <w:rFonts w:eastAsia="Times New Roman" w:cstheme="minorHAnsi"/>
                <w:b/>
                <w:bCs/>
                <w:sz w:val="22"/>
                <w:lang w:eastAsia="en-AU"/>
              </w:rPr>
            </w:pPr>
            <w:r w:rsidRPr="00F122D9">
              <w:rPr>
                <w:rFonts w:eastAsia="Times New Roman" w:cstheme="minorHAnsi"/>
                <w:b/>
                <w:bCs/>
                <w:sz w:val="22"/>
                <w:lang w:eastAsia="en-AU"/>
              </w:rPr>
              <w:t xml:space="preserve">Business case $: </w:t>
            </w:r>
            <w:r w:rsidR="00562C42" w:rsidRPr="00F122D9">
              <w:rPr>
                <w:rFonts w:eastAsia="Times New Roman" w:cs="Arial"/>
                <w:sz w:val="22"/>
                <w:lang w:eastAsia="en-AU"/>
              </w:rPr>
              <w:t>$21.9</w:t>
            </w:r>
            <w:r w:rsidR="00A933AB">
              <w:rPr>
                <w:rFonts w:eastAsia="Times New Roman" w:cs="Arial"/>
                <w:sz w:val="22"/>
                <w:lang w:eastAsia="en-AU"/>
              </w:rPr>
              <w:t>m</w:t>
            </w:r>
            <w:r w:rsidR="00562C42" w:rsidRPr="00F122D9">
              <w:rPr>
                <w:rFonts w:eastAsia="Times New Roman" w:cs="Arial"/>
                <w:sz w:val="22"/>
                <w:lang w:eastAsia="en-AU"/>
              </w:rPr>
              <w:t xml:space="preserve"> (P95), </w:t>
            </w:r>
            <w:r w:rsidR="00E42753">
              <w:rPr>
                <w:rFonts w:eastAsia="Times New Roman" w:cs="Arial"/>
                <w:sz w:val="22"/>
                <w:lang w:eastAsia="en-AU"/>
              </w:rPr>
              <w:t>board</w:t>
            </w:r>
            <w:r w:rsidR="00562C42" w:rsidRPr="00F122D9">
              <w:rPr>
                <w:rFonts w:eastAsia="Times New Roman" w:cs="Arial"/>
                <w:sz w:val="22"/>
                <w:lang w:eastAsia="en-AU"/>
              </w:rPr>
              <w:t xml:space="preserve"> approved September 2019 </w:t>
            </w:r>
          </w:p>
        </w:tc>
      </w:tr>
      <w:tr w:rsidR="005209DF" w:rsidRPr="00601368" w14:paraId="24A045EE" w14:textId="77777777" w:rsidTr="00116E55">
        <w:trPr>
          <w:trHeight w:val="1224"/>
        </w:trPr>
        <w:tc>
          <w:tcPr>
            <w:tcW w:w="0" w:type="dxa"/>
            <w:tcBorders>
              <w:top w:val="single" w:sz="2" w:space="0" w:color="002279"/>
              <w:bottom w:val="single" w:sz="2" w:space="0" w:color="002279"/>
            </w:tcBorders>
            <w:vAlign w:val="center"/>
          </w:tcPr>
          <w:p w14:paraId="52CD2F66" w14:textId="4903DFE3" w:rsidR="005209DF" w:rsidRPr="00F122D9" w:rsidRDefault="005209DF" w:rsidP="003A798A">
            <w:pPr>
              <w:spacing w:after="0"/>
              <w:textAlignment w:val="baseline"/>
              <w:rPr>
                <w:rFonts w:eastAsia="Times New Roman" w:cstheme="minorHAnsi"/>
                <w:b/>
                <w:bCs/>
                <w:sz w:val="22"/>
                <w:lang w:eastAsia="en-AU"/>
              </w:rPr>
            </w:pPr>
            <w:r w:rsidRPr="00F122D9">
              <w:rPr>
                <w:rFonts w:eastAsia="Times New Roman" w:cstheme="minorHAnsi"/>
                <w:b/>
                <w:bCs/>
                <w:sz w:val="22"/>
                <w:lang w:eastAsia="en-AU"/>
              </w:rPr>
              <w:t>Reason for change</w:t>
            </w:r>
            <w:r w:rsidR="00E27178">
              <w:rPr>
                <w:rFonts w:eastAsia="Times New Roman" w:cstheme="minorHAnsi"/>
                <w:b/>
                <w:bCs/>
                <w:sz w:val="22"/>
                <w:lang w:eastAsia="en-AU"/>
              </w:rPr>
              <w:t>/</w:t>
            </w:r>
            <w:r w:rsidRPr="00F122D9">
              <w:rPr>
                <w:rFonts w:eastAsia="Times New Roman" w:cstheme="minorHAnsi"/>
                <w:b/>
                <w:bCs/>
                <w:sz w:val="22"/>
                <w:lang w:eastAsia="en-AU"/>
              </w:rPr>
              <w:t>difference between 2018</w:t>
            </w:r>
            <w:r w:rsidR="00FE7457">
              <w:rPr>
                <w:rFonts w:eastAsia="Times New Roman" w:cstheme="minorHAnsi"/>
                <w:b/>
                <w:bCs/>
                <w:sz w:val="22"/>
                <w:lang w:eastAsia="en-AU"/>
              </w:rPr>
              <w:t xml:space="preserve"> and </w:t>
            </w:r>
            <w:r w:rsidRPr="00F122D9">
              <w:rPr>
                <w:rFonts w:eastAsia="Times New Roman" w:cstheme="minorHAnsi"/>
                <w:b/>
                <w:bCs/>
                <w:sz w:val="22"/>
                <w:lang w:eastAsia="en-AU"/>
              </w:rPr>
              <w:t xml:space="preserve">2023 ESC determination $ and business case $: </w:t>
            </w:r>
            <w:r w:rsidR="003A798A" w:rsidRPr="00F122D9">
              <w:rPr>
                <w:rFonts w:eastAsia="Times New Roman" w:cs="Arial"/>
                <w:sz w:val="22"/>
                <w:lang w:eastAsia="en-AU"/>
              </w:rPr>
              <w:t>The Pakenham East PSP lot forecast was 3,980 at the time of the submission, this increased to 7150 lots before PSP approval requiring an increase to the proposed branch sewer diameter.</w:t>
            </w:r>
            <w:r w:rsidR="00A1315F">
              <w:rPr>
                <w:rFonts w:eastAsia="Times New Roman" w:cs="Arial"/>
                <w:sz w:val="22"/>
                <w:lang w:eastAsia="en-AU"/>
              </w:rPr>
              <w:t xml:space="preserve"> </w:t>
            </w:r>
          </w:p>
        </w:tc>
      </w:tr>
      <w:tr w:rsidR="005209DF" w:rsidRPr="00601368" w14:paraId="3D207347" w14:textId="77777777" w:rsidTr="00116E55">
        <w:trPr>
          <w:trHeight w:val="417"/>
        </w:trPr>
        <w:tc>
          <w:tcPr>
            <w:tcW w:w="0" w:type="dxa"/>
            <w:tcBorders>
              <w:top w:val="single" w:sz="2" w:space="0" w:color="002279"/>
              <w:bottom w:val="single" w:sz="2" w:space="0" w:color="002279"/>
            </w:tcBorders>
            <w:vAlign w:val="center"/>
          </w:tcPr>
          <w:p w14:paraId="33A78830" w14:textId="0360E0C0" w:rsidR="005209DF" w:rsidRPr="00F122D9" w:rsidRDefault="005209DF" w:rsidP="000C0D03">
            <w:pPr>
              <w:spacing w:after="0"/>
              <w:textAlignment w:val="baseline"/>
              <w:rPr>
                <w:rFonts w:eastAsia="Times New Roman" w:cstheme="minorHAnsi"/>
                <w:b/>
                <w:bCs/>
                <w:sz w:val="22"/>
                <w:lang w:eastAsia="en-AU"/>
              </w:rPr>
            </w:pPr>
            <w:r w:rsidRPr="00F122D9">
              <w:rPr>
                <w:rFonts w:eastAsia="Times New Roman" w:cstheme="minorHAnsi"/>
                <w:b/>
                <w:bCs/>
                <w:sz w:val="22"/>
                <w:lang w:eastAsia="en-AU"/>
              </w:rPr>
              <w:t>Actuals</w:t>
            </w:r>
            <w:r w:rsidR="00E27178">
              <w:rPr>
                <w:rFonts w:eastAsia="Times New Roman" w:cstheme="minorHAnsi"/>
                <w:b/>
                <w:bCs/>
                <w:sz w:val="22"/>
                <w:lang w:eastAsia="en-AU"/>
              </w:rPr>
              <w:t>/</w:t>
            </w:r>
            <w:r w:rsidRPr="00F122D9">
              <w:rPr>
                <w:rFonts w:eastAsia="Times New Roman" w:cstheme="minorHAnsi"/>
                <w:b/>
                <w:bCs/>
                <w:sz w:val="22"/>
                <w:lang w:eastAsia="en-AU"/>
              </w:rPr>
              <w:t xml:space="preserve">Forecast $ (30 June 2023): </w:t>
            </w:r>
            <w:r w:rsidRPr="00F122D9">
              <w:rPr>
                <w:rFonts w:eastAsia="Times New Roman" w:cs="Arial"/>
                <w:sz w:val="22"/>
                <w:lang w:eastAsia="en-AU"/>
              </w:rPr>
              <w:t>$1</w:t>
            </w:r>
            <w:r w:rsidR="006E3C4A" w:rsidRPr="00F122D9">
              <w:rPr>
                <w:rFonts w:eastAsia="Times New Roman" w:cs="Arial"/>
                <w:sz w:val="22"/>
                <w:lang w:eastAsia="en-AU"/>
              </w:rPr>
              <w:t>6.8</w:t>
            </w:r>
            <w:r w:rsidR="00A933AB">
              <w:rPr>
                <w:rFonts w:eastAsia="Times New Roman" w:cs="Arial"/>
                <w:sz w:val="22"/>
                <w:lang w:eastAsia="en-AU"/>
              </w:rPr>
              <w:t>m</w:t>
            </w:r>
            <w:r w:rsidR="00A1315F">
              <w:rPr>
                <w:rFonts w:eastAsia="Times New Roman" w:cs="Arial"/>
                <w:sz w:val="22"/>
                <w:lang w:eastAsia="en-AU"/>
              </w:rPr>
              <w:t xml:space="preserve"> </w:t>
            </w:r>
          </w:p>
        </w:tc>
      </w:tr>
      <w:tr w:rsidR="005209DF" w:rsidRPr="00601368" w14:paraId="3963F3FD" w14:textId="77777777" w:rsidTr="00360131">
        <w:trPr>
          <w:trHeight w:val="1635"/>
        </w:trPr>
        <w:tc>
          <w:tcPr>
            <w:tcW w:w="0" w:type="dxa"/>
            <w:tcBorders>
              <w:top w:val="single" w:sz="2" w:space="0" w:color="002279"/>
              <w:bottom w:val="single" w:sz="2" w:space="0" w:color="002279"/>
            </w:tcBorders>
          </w:tcPr>
          <w:p w14:paraId="2E637A9F" w14:textId="30AED4D2" w:rsidR="005209DF" w:rsidRPr="00F122D9" w:rsidRDefault="005209DF" w:rsidP="00F122D9">
            <w:pPr>
              <w:spacing w:after="0"/>
              <w:textAlignment w:val="baseline"/>
              <w:rPr>
                <w:rFonts w:eastAsia="Times New Roman" w:cstheme="minorHAnsi"/>
                <w:b/>
                <w:bCs/>
                <w:sz w:val="22"/>
                <w:lang w:eastAsia="en-AU"/>
              </w:rPr>
            </w:pPr>
            <w:r w:rsidRPr="00F122D9">
              <w:rPr>
                <w:rFonts w:eastAsia="Times New Roman" w:cstheme="minorHAnsi"/>
                <w:b/>
                <w:bCs/>
                <w:sz w:val="22"/>
                <w:lang w:eastAsia="en-AU"/>
              </w:rPr>
              <w:t>Reason for change</w:t>
            </w:r>
            <w:r w:rsidR="00E27178">
              <w:rPr>
                <w:rFonts w:eastAsia="Times New Roman" w:cstheme="minorHAnsi"/>
                <w:b/>
                <w:bCs/>
                <w:sz w:val="22"/>
                <w:lang w:eastAsia="en-AU"/>
              </w:rPr>
              <w:t>/</w:t>
            </w:r>
            <w:r w:rsidRPr="00F122D9">
              <w:rPr>
                <w:rFonts w:eastAsia="Times New Roman" w:cstheme="minorHAnsi"/>
                <w:b/>
                <w:bCs/>
                <w:sz w:val="22"/>
                <w:lang w:eastAsia="en-AU"/>
              </w:rPr>
              <w:t>difference between business case $ and Actuals</w:t>
            </w:r>
            <w:r w:rsidR="00E27178">
              <w:rPr>
                <w:rFonts w:eastAsia="Times New Roman" w:cstheme="minorHAnsi"/>
                <w:b/>
                <w:bCs/>
                <w:sz w:val="22"/>
                <w:lang w:eastAsia="en-AU"/>
              </w:rPr>
              <w:t>/</w:t>
            </w:r>
            <w:r w:rsidRPr="00F122D9">
              <w:rPr>
                <w:rFonts w:eastAsia="Times New Roman" w:cstheme="minorHAnsi"/>
                <w:b/>
                <w:bCs/>
                <w:sz w:val="22"/>
                <w:lang w:eastAsia="en-AU"/>
              </w:rPr>
              <w:t xml:space="preserve">Forecast $ (30 June 2023): </w:t>
            </w:r>
            <w:r w:rsidR="002A003B" w:rsidRPr="00F122D9">
              <w:rPr>
                <w:rFonts w:eastAsia="Times New Roman" w:cs="Arial"/>
                <w:sz w:val="22"/>
                <w:lang w:eastAsia="en-AU"/>
              </w:rPr>
              <w:t xml:space="preserve">Delayed PSP approval resulted in a later start to the project, the project will not be completed until the first year of </w:t>
            </w:r>
            <w:r w:rsidR="00224EC8">
              <w:rPr>
                <w:rFonts w:eastAsia="Times New Roman" w:cs="Arial"/>
                <w:sz w:val="22"/>
                <w:lang w:eastAsia="en-AU"/>
              </w:rPr>
              <w:t>2023</w:t>
            </w:r>
            <w:r w:rsidR="00224EC8" w:rsidRPr="00D976B9">
              <w:rPr>
                <w:rFonts w:eastAsia="Times New Roman" w:cstheme="minorHAnsi"/>
                <w:sz w:val="22"/>
                <w:lang w:eastAsia="en-AU"/>
              </w:rPr>
              <w:t>–</w:t>
            </w:r>
            <w:r w:rsidR="00224EC8">
              <w:rPr>
                <w:rFonts w:eastAsia="Times New Roman" w:cs="Arial"/>
                <w:sz w:val="22"/>
                <w:lang w:eastAsia="en-AU"/>
              </w:rPr>
              <w:t>28</w:t>
            </w:r>
            <w:r w:rsidR="002A003B" w:rsidRPr="00F122D9">
              <w:rPr>
                <w:rFonts w:eastAsia="Times New Roman" w:cs="Arial"/>
                <w:sz w:val="22"/>
                <w:lang w:eastAsia="en-AU"/>
              </w:rPr>
              <w:t xml:space="preserve">. Land access issues are also contributing to the extended project duration. The costs increase from the P50 </w:t>
            </w:r>
            <w:r w:rsidR="00D976B9" w:rsidRPr="00D976B9">
              <w:rPr>
                <w:rFonts w:eastAsia="Times New Roman" w:cstheme="minorHAnsi"/>
                <w:sz w:val="22"/>
                <w:lang w:eastAsia="en-AU"/>
              </w:rPr>
              <w:t>2018–23</w:t>
            </w:r>
            <w:r w:rsidR="00D976B9" w:rsidRPr="00F122D9">
              <w:rPr>
                <w:rFonts w:eastAsia="Times New Roman" w:cs="Arial"/>
                <w:sz w:val="22"/>
                <w:lang w:eastAsia="en-AU"/>
              </w:rPr>
              <w:t xml:space="preserve"> </w:t>
            </w:r>
            <w:r w:rsidR="002A003B" w:rsidRPr="00F122D9">
              <w:rPr>
                <w:rFonts w:eastAsia="Times New Roman" w:cs="Arial"/>
                <w:sz w:val="22"/>
                <w:lang w:eastAsia="en-AU"/>
              </w:rPr>
              <w:t>allowance to the approve business case is largely attributable to the upsize of the main from DN300 to DN500 and above.</w:t>
            </w:r>
            <w:r w:rsidR="00A1315F">
              <w:rPr>
                <w:rFonts w:eastAsia="Times New Roman" w:cs="Arial"/>
                <w:sz w:val="22"/>
                <w:lang w:eastAsia="en-AU"/>
              </w:rPr>
              <w:t xml:space="preserve"> </w:t>
            </w:r>
          </w:p>
        </w:tc>
      </w:tr>
      <w:tr w:rsidR="005209DF" w:rsidRPr="00601368" w14:paraId="2A50D1BD" w14:textId="77777777" w:rsidTr="00116E55">
        <w:tc>
          <w:tcPr>
            <w:tcW w:w="0" w:type="dxa"/>
            <w:tcBorders>
              <w:top w:val="single" w:sz="2" w:space="0" w:color="002279"/>
              <w:bottom w:val="single" w:sz="2" w:space="0" w:color="002279"/>
            </w:tcBorders>
          </w:tcPr>
          <w:p w14:paraId="4A93FCAA" w14:textId="290EFA66" w:rsidR="005209DF" w:rsidRPr="00F122D9" w:rsidRDefault="005209DF" w:rsidP="000C0D03">
            <w:pPr>
              <w:pStyle w:val="BodyText"/>
              <w:rPr>
                <w:rFonts w:eastAsia="Times New Roman" w:cstheme="minorHAnsi"/>
                <w:b/>
                <w:bCs/>
                <w:sz w:val="22"/>
                <w:lang w:eastAsia="en-AU"/>
              </w:rPr>
            </w:pPr>
            <w:r w:rsidRPr="00F122D9">
              <w:rPr>
                <w:rFonts w:eastAsia="Times New Roman" w:cstheme="minorHAnsi"/>
                <w:b/>
                <w:bCs/>
                <w:sz w:val="22"/>
                <w:lang w:eastAsia="en-AU"/>
              </w:rPr>
              <w:t xml:space="preserve">Actuals </w:t>
            </w:r>
            <w:r w:rsidR="00F94FAB">
              <w:rPr>
                <w:rFonts w:eastAsia="Times New Roman" w:cstheme="minorHAnsi"/>
                <w:b/>
                <w:bCs/>
                <w:sz w:val="22"/>
                <w:lang w:eastAsia="en-AU"/>
              </w:rPr>
              <w:t xml:space="preserve">at </w:t>
            </w:r>
            <w:r w:rsidRPr="00F122D9">
              <w:rPr>
                <w:rFonts w:eastAsia="Times New Roman" w:cstheme="minorHAnsi"/>
                <w:b/>
                <w:bCs/>
                <w:sz w:val="22"/>
                <w:lang w:eastAsia="en-AU"/>
              </w:rPr>
              <w:t xml:space="preserve">2022/23 (Q1): </w:t>
            </w:r>
            <w:r w:rsidR="00A816AA" w:rsidRPr="00F122D9">
              <w:rPr>
                <w:rFonts w:eastAsia="Times New Roman" w:cs="Arial"/>
                <w:sz w:val="22"/>
                <w:lang w:eastAsia="en-AU"/>
              </w:rPr>
              <w:t>$2.84</w:t>
            </w:r>
            <w:r w:rsidR="00A933AB">
              <w:rPr>
                <w:rFonts w:eastAsia="Times New Roman" w:cs="Arial"/>
                <w:sz w:val="22"/>
                <w:lang w:eastAsia="en-AU"/>
              </w:rPr>
              <w:t>m</w:t>
            </w:r>
            <w:r w:rsidR="00A816AA" w:rsidRPr="00F122D9">
              <w:rPr>
                <w:rFonts w:eastAsia="Times New Roman" w:cs="Arial"/>
                <w:sz w:val="22"/>
                <w:lang w:eastAsia="en-AU"/>
              </w:rPr>
              <w:t> </w:t>
            </w:r>
          </w:p>
        </w:tc>
      </w:tr>
      <w:tr w:rsidR="005209DF" w:rsidRPr="00601368" w14:paraId="63AC8B3A" w14:textId="77777777" w:rsidTr="00116E55">
        <w:tc>
          <w:tcPr>
            <w:tcW w:w="0" w:type="dxa"/>
            <w:tcBorders>
              <w:top w:val="single" w:sz="2" w:space="0" w:color="002279"/>
              <w:bottom w:val="single" w:sz="2" w:space="0" w:color="002279"/>
            </w:tcBorders>
          </w:tcPr>
          <w:p w14:paraId="798AFA2D" w14:textId="4BFD0D44" w:rsidR="005209DF" w:rsidRPr="00F122D9" w:rsidRDefault="005209DF" w:rsidP="000C0D03">
            <w:pPr>
              <w:pStyle w:val="BodyText"/>
              <w:rPr>
                <w:rFonts w:eastAsia="Times New Roman" w:cstheme="minorHAnsi"/>
                <w:b/>
                <w:bCs/>
                <w:sz w:val="22"/>
                <w:lang w:eastAsia="en-AU"/>
              </w:rPr>
            </w:pPr>
            <w:r w:rsidRPr="00F122D9">
              <w:rPr>
                <w:rFonts w:eastAsia="Times New Roman" w:cstheme="minorHAnsi"/>
                <w:b/>
                <w:bCs/>
                <w:sz w:val="22"/>
                <w:lang w:eastAsia="en-AU"/>
              </w:rPr>
              <w:t>Project spend end date:</w:t>
            </w:r>
            <w:r w:rsidRPr="00F122D9">
              <w:rPr>
                <w:rFonts w:eastAsia="Times New Roman" w:cstheme="minorHAnsi"/>
                <w:sz w:val="22"/>
                <w:lang w:eastAsia="en-AU"/>
              </w:rPr>
              <w:t xml:space="preserve"> </w:t>
            </w:r>
            <w:r w:rsidR="000A1933" w:rsidRPr="00F122D9">
              <w:rPr>
                <w:rFonts w:eastAsia="Times New Roman" w:cs="Arial"/>
                <w:sz w:val="22"/>
                <w:lang w:eastAsia="en-AU"/>
              </w:rPr>
              <w:t xml:space="preserve">2023/2024 (Q2) </w:t>
            </w:r>
            <w:r w:rsidR="00F243DC">
              <w:rPr>
                <w:rFonts w:eastAsia="Times New Roman" w:cs="Arial"/>
                <w:sz w:val="22"/>
                <w:lang w:eastAsia="en-AU"/>
              </w:rPr>
              <w:t>–</w:t>
            </w:r>
            <w:r w:rsidR="000A1933" w:rsidRPr="00F122D9">
              <w:rPr>
                <w:rFonts w:eastAsia="Times New Roman" w:cs="Arial"/>
                <w:sz w:val="22"/>
                <w:lang w:eastAsia="en-AU"/>
              </w:rPr>
              <w:t xml:space="preserve"> $18.65</w:t>
            </w:r>
            <w:r w:rsidR="00A933AB">
              <w:rPr>
                <w:rFonts w:eastAsia="Times New Roman" w:cs="Arial"/>
                <w:sz w:val="22"/>
                <w:lang w:eastAsia="en-AU"/>
              </w:rPr>
              <w:t>m</w:t>
            </w:r>
            <w:r w:rsidR="000A1933" w:rsidRPr="00F122D9">
              <w:rPr>
                <w:rFonts w:eastAsia="Times New Roman" w:cs="Arial"/>
                <w:sz w:val="22"/>
                <w:lang w:eastAsia="en-AU"/>
              </w:rPr>
              <w:t> </w:t>
            </w:r>
            <w:r w:rsidR="000A1933" w:rsidRPr="00F122D9">
              <w:rPr>
                <w:rFonts w:eastAsia="Times New Roman" w:cs="Arial"/>
                <w:sz w:val="22"/>
                <w:lang w:eastAsia="en-AU"/>
              </w:rPr>
              <w:br/>
              <w:t>The project is currently forecast to be delivered at a $3.2</w:t>
            </w:r>
            <w:r w:rsidR="00A933AB">
              <w:rPr>
                <w:rFonts w:eastAsia="Times New Roman" w:cs="Arial"/>
                <w:sz w:val="22"/>
                <w:lang w:eastAsia="en-AU"/>
              </w:rPr>
              <w:t>m</w:t>
            </w:r>
            <w:r w:rsidR="000A1933" w:rsidRPr="00F122D9">
              <w:rPr>
                <w:rFonts w:eastAsia="Times New Roman" w:cs="Arial"/>
                <w:sz w:val="22"/>
                <w:lang w:eastAsia="en-AU"/>
              </w:rPr>
              <w:t xml:space="preserve"> saving from the approved business case</w:t>
            </w:r>
            <w:r w:rsidR="00F122D9">
              <w:rPr>
                <w:rFonts w:eastAsia="Times New Roman" w:cs="Arial"/>
                <w:sz w:val="22"/>
                <w:lang w:eastAsia="en-AU"/>
              </w:rPr>
              <w:t>.</w:t>
            </w:r>
            <w:r w:rsidR="000A1933" w:rsidRPr="00F122D9">
              <w:rPr>
                <w:rFonts w:eastAsia="Times New Roman" w:cs="Arial"/>
                <w:sz w:val="22"/>
                <w:lang w:eastAsia="en-AU"/>
              </w:rPr>
              <w:t> </w:t>
            </w:r>
          </w:p>
        </w:tc>
      </w:tr>
      <w:tr w:rsidR="005209DF" w:rsidRPr="00601368" w14:paraId="03B5C659" w14:textId="77777777" w:rsidTr="00116E55">
        <w:tc>
          <w:tcPr>
            <w:tcW w:w="0" w:type="dxa"/>
            <w:tcBorders>
              <w:top w:val="single" w:sz="2" w:space="0" w:color="002279"/>
              <w:bottom w:val="single" w:sz="2" w:space="0" w:color="002279"/>
            </w:tcBorders>
          </w:tcPr>
          <w:p w14:paraId="6D662C13" w14:textId="45F2B6A8" w:rsidR="005209DF" w:rsidRPr="00F122D9" w:rsidRDefault="005209DF" w:rsidP="000C0D03">
            <w:pPr>
              <w:pStyle w:val="BodyText"/>
              <w:rPr>
                <w:rFonts w:eastAsia="Times New Roman" w:cstheme="minorHAnsi"/>
                <w:b/>
                <w:bCs/>
                <w:sz w:val="22"/>
                <w:lang w:eastAsia="en-AU"/>
              </w:rPr>
            </w:pPr>
            <w:r w:rsidRPr="00F122D9">
              <w:rPr>
                <w:rFonts w:eastAsia="Times New Roman" w:cstheme="minorHAnsi"/>
                <w:b/>
                <w:bCs/>
                <w:sz w:val="22"/>
                <w:lang w:eastAsia="en-AU"/>
              </w:rPr>
              <w:t xml:space="preserve">Project status: </w:t>
            </w:r>
            <w:r w:rsidRPr="00F122D9">
              <w:rPr>
                <w:rFonts w:eastAsia="Times New Roman" w:cs="Arial"/>
                <w:sz w:val="22"/>
                <w:lang w:eastAsia="en-AU"/>
              </w:rPr>
              <w:t xml:space="preserve">Delayed, </w:t>
            </w:r>
            <w:r w:rsidR="00960122">
              <w:rPr>
                <w:rFonts w:eastAsia="Times New Roman" w:cs="Arial"/>
                <w:sz w:val="22"/>
                <w:lang w:eastAsia="en-AU"/>
              </w:rPr>
              <w:t xml:space="preserve">that is, </w:t>
            </w:r>
            <w:r w:rsidRPr="00F122D9">
              <w:rPr>
                <w:rFonts w:eastAsia="Times New Roman" w:cs="Arial"/>
                <w:sz w:val="22"/>
                <w:lang w:eastAsia="en-AU"/>
              </w:rPr>
              <w:t>either the project start was delayed, or completion will be later than scheduled</w:t>
            </w:r>
          </w:p>
        </w:tc>
      </w:tr>
      <w:tr w:rsidR="005209DF" w:rsidRPr="00601368" w14:paraId="0A7C9FDF" w14:textId="77777777" w:rsidTr="00360131">
        <w:trPr>
          <w:trHeight w:val="3192"/>
        </w:trPr>
        <w:tc>
          <w:tcPr>
            <w:tcW w:w="0" w:type="dxa"/>
            <w:tcBorders>
              <w:top w:val="single" w:sz="2" w:space="0" w:color="002279"/>
              <w:bottom w:val="single" w:sz="2" w:space="0" w:color="002279"/>
            </w:tcBorders>
          </w:tcPr>
          <w:p w14:paraId="44DA70FE" w14:textId="424D4B9A" w:rsidR="00DD7B20" w:rsidRPr="00F122D9" w:rsidRDefault="00DD7B20" w:rsidP="00DD7B20">
            <w:pPr>
              <w:spacing w:after="0"/>
              <w:textAlignment w:val="baseline"/>
              <w:rPr>
                <w:rFonts w:eastAsia="Times New Roman" w:cs="Arial"/>
                <w:sz w:val="22"/>
                <w:lang w:eastAsia="en-AU"/>
              </w:rPr>
            </w:pPr>
            <w:r w:rsidRPr="00F122D9">
              <w:rPr>
                <w:rFonts w:eastAsia="Times New Roman" w:cstheme="minorHAnsi"/>
                <w:b/>
                <w:bCs/>
                <w:sz w:val="22"/>
                <w:lang w:eastAsia="en-AU"/>
              </w:rPr>
              <w:lastRenderedPageBreak/>
              <w:t xml:space="preserve">Project update: </w:t>
            </w:r>
            <w:r w:rsidRPr="00F122D9">
              <w:rPr>
                <w:rFonts w:eastAsia="Times New Roman" w:cs="Arial"/>
                <w:sz w:val="22"/>
                <w:lang w:eastAsia="en-AU"/>
              </w:rPr>
              <w:t xml:space="preserve">At the time of the </w:t>
            </w:r>
            <w:r w:rsidR="00D976B9" w:rsidRPr="00D976B9">
              <w:rPr>
                <w:rFonts w:eastAsia="Times New Roman" w:cstheme="minorHAnsi"/>
                <w:sz w:val="22"/>
                <w:lang w:eastAsia="en-AU"/>
              </w:rPr>
              <w:t>2018–23</w:t>
            </w:r>
            <w:r w:rsidR="00D976B9" w:rsidRPr="00F122D9">
              <w:rPr>
                <w:rFonts w:eastAsia="Times New Roman" w:cs="Arial"/>
                <w:sz w:val="22"/>
                <w:lang w:eastAsia="en-AU"/>
              </w:rPr>
              <w:t xml:space="preserve"> </w:t>
            </w:r>
            <w:r w:rsidRPr="00F122D9">
              <w:rPr>
                <w:rFonts w:eastAsia="Times New Roman" w:cs="Arial"/>
                <w:sz w:val="22"/>
                <w:lang w:eastAsia="en-AU"/>
              </w:rPr>
              <w:t>submission the Victorian Planning Authority</w:t>
            </w:r>
            <w:r w:rsidR="00E27178">
              <w:rPr>
                <w:rFonts w:eastAsia="Times New Roman" w:cs="Arial"/>
                <w:sz w:val="22"/>
                <w:lang w:eastAsia="en-AU"/>
              </w:rPr>
              <w:t>/</w:t>
            </w:r>
            <w:r w:rsidRPr="00F122D9">
              <w:rPr>
                <w:rFonts w:eastAsia="Times New Roman" w:cs="Arial"/>
                <w:sz w:val="22"/>
                <w:lang w:eastAsia="en-AU"/>
              </w:rPr>
              <w:t>Cardinia Council were forecasting the release of the Precinct Structure Plan (PSP) for Pakenham East by December 2018. The project investment timing reflected this timeframe. The Pakenham East PSP was however not approved until January 2021 after lengthy delays which have pushed the completion of this project outside the current regulatory period. The official award of the tender was issued in late April 2021. Construction works are progressing well and is scheduled to be completed during the first year of Price Submission 5.</w:t>
            </w:r>
            <w:r w:rsidR="00A1315F">
              <w:rPr>
                <w:rFonts w:eastAsia="Times New Roman" w:cs="Arial"/>
                <w:sz w:val="22"/>
                <w:lang w:eastAsia="en-AU"/>
              </w:rPr>
              <w:t xml:space="preserve"> </w:t>
            </w:r>
          </w:p>
          <w:p w14:paraId="0B2D93F9" w14:textId="7411AE21" w:rsidR="00DD7B20" w:rsidRPr="00F122D9" w:rsidRDefault="00DD7B20" w:rsidP="00DD7B20">
            <w:pPr>
              <w:spacing w:after="0"/>
              <w:textAlignment w:val="baseline"/>
              <w:rPr>
                <w:rFonts w:eastAsia="Times New Roman" w:cs="Arial"/>
                <w:sz w:val="22"/>
                <w:lang w:eastAsia="en-AU"/>
              </w:rPr>
            </w:pPr>
            <w:r w:rsidRPr="00F122D9">
              <w:rPr>
                <w:rFonts w:eastAsia="Times New Roman" w:cs="Arial"/>
                <w:sz w:val="22"/>
                <w:lang w:eastAsia="en-AU"/>
              </w:rPr>
              <w:t>To mitigate some of the delays caused by the PSP approval South East Water undertook on a comprehensive engagement with industry including the key developers in the precinct and other authorities including the VPA using the same approach that was successfully employed on the Ballarto Rd East SPS project. An optimised delivery strategy was developed, functional designs prepared, and the project tendered in readiness for PSP approval. This allowed South East Water to reduce some of the schedule impacts from the late PSP approval. The project was awarded in early 2021.</w:t>
            </w:r>
            <w:r w:rsidR="00A1315F">
              <w:rPr>
                <w:rFonts w:eastAsia="Times New Roman" w:cs="Arial"/>
                <w:sz w:val="22"/>
                <w:lang w:eastAsia="en-AU"/>
              </w:rPr>
              <w:t xml:space="preserve"> </w:t>
            </w:r>
          </w:p>
          <w:p w14:paraId="05E3AD51" w14:textId="38309095" w:rsidR="00224EC8" w:rsidRPr="00F122D9" w:rsidRDefault="00DD7B20" w:rsidP="00224EC8">
            <w:pPr>
              <w:spacing w:after="0"/>
              <w:textAlignment w:val="baseline"/>
              <w:rPr>
                <w:rFonts w:eastAsia="Times New Roman" w:cstheme="minorHAnsi"/>
                <w:b/>
                <w:bCs/>
                <w:sz w:val="22"/>
                <w:lang w:eastAsia="en-AU"/>
              </w:rPr>
            </w:pPr>
            <w:r w:rsidRPr="00F122D9">
              <w:rPr>
                <w:rFonts w:eastAsia="Times New Roman" w:cs="Arial"/>
                <w:sz w:val="22"/>
                <w:lang w:eastAsia="en-AU"/>
              </w:rPr>
              <w:t xml:space="preserve">The design, construction and commissioning of this critical infrastructure although extending beyond is expected to be completed without delay to development. Works are currently scheduled for completion in the first year of </w:t>
            </w:r>
            <w:r w:rsidR="00224EC8">
              <w:rPr>
                <w:rFonts w:eastAsia="Times New Roman" w:cs="Arial"/>
                <w:sz w:val="22"/>
                <w:lang w:eastAsia="en-AU"/>
              </w:rPr>
              <w:t>2023</w:t>
            </w:r>
            <w:r w:rsidR="00224EC8" w:rsidRPr="00D976B9">
              <w:rPr>
                <w:rFonts w:eastAsia="Times New Roman" w:cstheme="minorHAnsi"/>
                <w:sz w:val="22"/>
                <w:lang w:eastAsia="en-AU"/>
              </w:rPr>
              <w:t>–</w:t>
            </w:r>
            <w:r w:rsidR="00224EC8">
              <w:rPr>
                <w:rFonts w:eastAsia="Times New Roman" w:cs="Arial"/>
                <w:sz w:val="22"/>
                <w:lang w:eastAsia="en-AU"/>
              </w:rPr>
              <w:t xml:space="preserve">28. </w:t>
            </w:r>
          </w:p>
        </w:tc>
      </w:tr>
      <w:tr w:rsidR="005209DF" w14:paraId="3114AFA5" w14:textId="77777777" w:rsidTr="00116E55">
        <w:tc>
          <w:tcPr>
            <w:tcW w:w="0" w:type="dxa"/>
            <w:tcBorders>
              <w:top w:val="single" w:sz="2" w:space="0" w:color="002279"/>
              <w:bottom w:val="single" w:sz="2" w:space="0" w:color="002279"/>
            </w:tcBorders>
          </w:tcPr>
          <w:p w14:paraId="6A0DDE43" w14:textId="00338ED2" w:rsidR="005209DF" w:rsidRPr="00F122D9" w:rsidRDefault="005209DF" w:rsidP="000C0D03">
            <w:pPr>
              <w:spacing w:after="0"/>
              <w:textAlignment w:val="baseline"/>
              <w:rPr>
                <w:rFonts w:eastAsia="Times New Roman" w:cstheme="minorHAnsi"/>
                <w:b/>
                <w:bCs/>
                <w:sz w:val="22"/>
                <w:lang w:eastAsia="en-AU"/>
              </w:rPr>
            </w:pPr>
            <w:r w:rsidRPr="00F122D9">
              <w:rPr>
                <w:rFonts w:eastAsia="Times New Roman" w:cstheme="minorHAnsi"/>
                <w:b/>
                <w:bCs/>
                <w:sz w:val="22"/>
                <w:lang w:eastAsia="en-AU"/>
              </w:rPr>
              <w:t xml:space="preserve">Indicative self-assessment score: </w:t>
            </w:r>
            <w:r w:rsidRPr="00F122D9">
              <w:rPr>
                <w:rFonts w:eastAsia="Times New Roman" w:cstheme="minorHAnsi"/>
                <w:sz w:val="22"/>
                <w:lang w:eastAsia="en-AU"/>
              </w:rPr>
              <w:t>Generally consistent with Price Submission 2018</w:t>
            </w:r>
            <w:r w:rsidR="00F243DC">
              <w:rPr>
                <w:rFonts w:eastAsia="Times New Roman" w:cstheme="minorHAnsi"/>
                <w:sz w:val="22"/>
                <w:lang w:eastAsia="en-AU"/>
              </w:rPr>
              <w:t>–</w:t>
            </w:r>
            <w:r w:rsidRPr="00F122D9">
              <w:rPr>
                <w:rFonts w:eastAsia="Times New Roman" w:cstheme="minorHAnsi"/>
                <w:sz w:val="22"/>
                <w:lang w:eastAsia="en-AU"/>
              </w:rPr>
              <w:t>23</w:t>
            </w:r>
          </w:p>
        </w:tc>
      </w:tr>
      <w:tr w:rsidR="005209DF" w14:paraId="7227C44B" w14:textId="77777777" w:rsidTr="00116E55">
        <w:trPr>
          <w:trHeight w:val="3604"/>
        </w:trPr>
        <w:tc>
          <w:tcPr>
            <w:tcW w:w="0" w:type="dxa"/>
            <w:tcBorders>
              <w:top w:val="single" w:sz="2" w:space="0" w:color="002279"/>
              <w:bottom w:val="single" w:sz="2" w:space="0" w:color="002279"/>
            </w:tcBorders>
          </w:tcPr>
          <w:p w14:paraId="2436C9E1" w14:textId="54FAC270" w:rsidR="00F122D9" w:rsidRPr="00F122D9" w:rsidRDefault="005209DF" w:rsidP="00F122D9">
            <w:pPr>
              <w:spacing w:after="0"/>
              <w:textAlignment w:val="baseline"/>
              <w:rPr>
                <w:rFonts w:eastAsia="Times New Roman" w:cs="Arial"/>
                <w:sz w:val="22"/>
                <w:lang w:eastAsia="en-AU"/>
              </w:rPr>
            </w:pPr>
            <w:r w:rsidRPr="00F122D9">
              <w:rPr>
                <w:rFonts w:eastAsia="Times New Roman" w:cstheme="minorHAnsi"/>
                <w:b/>
                <w:bCs/>
                <w:sz w:val="22"/>
                <w:lang w:eastAsia="en-AU"/>
              </w:rPr>
              <w:t>Assessment rationale:</w:t>
            </w:r>
            <w:r w:rsidR="00F122D9" w:rsidRPr="00F122D9">
              <w:rPr>
                <w:rFonts w:eastAsia="Times New Roman" w:cstheme="minorHAnsi"/>
                <w:b/>
                <w:bCs/>
                <w:sz w:val="22"/>
                <w:lang w:eastAsia="en-AU"/>
              </w:rPr>
              <w:t xml:space="preserve"> </w:t>
            </w:r>
            <w:r w:rsidR="00F122D9" w:rsidRPr="00F122D9">
              <w:rPr>
                <w:rFonts w:eastAsia="Times New Roman" w:cs="Arial"/>
                <w:sz w:val="22"/>
                <w:lang w:eastAsia="en-AU"/>
              </w:rPr>
              <w:t>The project though delayed is forecast to be delivered at a cost saving of $3.2</w:t>
            </w:r>
            <w:r w:rsidR="00A933AB">
              <w:rPr>
                <w:rFonts w:eastAsia="Times New Roman" w:cs="Arial"/>
                <w:sz w:val="22"/>
                <w:lang w:eastAsia="en-AU"/>
              </w:rPr>
              <w:t>m</w:t>
            </w:r>
            <w:r w:rsidR="00F122D9" w:rsidRPr="00F122D9">
              <w:rPr>
                <w:rFonts w:eastAsia="Times New Roman" w:cs="Arial"/>
                <w:sz w:val="22"/>
                <w:lang w:eastAsia="en-AU"/>
              </w:rPr>
              <w:t>.</w:t>
            </w:r>
            <w:r w:rsidR="00A1315F">
              <w:rPr>
                <w:rFonts w:eastAsia="Times New Roman" w:cs="Arial"/>
                <w:sz w:val="22"/>
                <w:lang w:eastAsia="en-AU"/>
              </w:rPr>
              <w:t xml:space="preserve"> </w:t>
            </w:r>
          </w:p>
          <w:p w14:paraId="39B52334" w14:textId="053D2BD9" w:rsidR="00F122D9" w:rsidRPr="00F122D9" w:rsidRDefault="00F122D9" w:rsidP="00F122D9">
            <w:pPr>
              <w:spacing w:after="0"/>
              <w:textAlignment w:val="baseline"/>
              <w:rPr>
                <w:rFonts w:eastAsia="Times New Roman" w:cs="Arial"/>
                <w:sz w:val="22"/>
                <w:lang w:eastAsia="en-AU"/>
              </w:rPr>
            </w:pPr>
            <w:r w:rsidRPr="00F122D9">
              <w:rPr>
                <w:rFonts w:eastAsia="Times New Roman" w:cs="Arial"/>
                <w:sz w:val="22"/>
                <w:lang w:eastAsia="en-AU"/>
              </w:rPr>
              <w:t xml:space="preserve">The additional forecast expenditure has been funded from savings within the Sewer Growth program. An assessment of </w:t>
            </w:r>
            <w:r w:rsidRPr="00F122D9">
              <w:rPr>
                <w:rFonts w:eastAsia="Times New Roman" w:cs="Arial"/>
                <w:b/>
                <w:bCs/>
                <w:sz w:val="22"/>
                <w:lang w:eastAsia="en-AU"/>
              </w:rPr>
              <w:t>generally consistent with the PS18 commitment</w:t>
            </w:r>
            <w:r w:rsidRPr="00F122D9">
              <w:rPr>
                <w:rFonts w:eastAsia="Times New Roman" w:cs="Arial"/>
                <w:sz w:val="22"/>
                <w:lang w:eastAsia="en-AU"/>
              </w:rPr>
              <w:t xml:space="preserve"> was applied in consideration of:       </w:t>
            </w:r>
          </w:p>
          <w:p w14:paraId="75144300" w14:textId="468DB593" w:rsidR="00F122D9" w:rsidRPr="00F122D9" w:rsidRDefault="007557D6">
            <w:pPr>
              <w:pStyle w:val="ListParagraph"/>
              <w:numPr>
                <w:ilvl w:val="0"/>
                <w:numId w:val="123"/>
              </w:numPr>
              <w:spacing w:after="0"/>
              <w:ind w:left="738"/>
              <w:textAlignment w:val="baseline"/>
              <w:rPr>
                <w:rFonts w:eastAsia="Times New Roman" w:cs="Arial"/>
                <w:sz w:val="22"/>
                <w:lang w:eastAsia="en-AU"/>
              </w:rPr>
            </w:pPr>
            <w:r w:rsidRPr="007557D6">
              <w:rPr>
                <w:rFonts w:eastAsia="Times New Roman" w:cs="Arial"/>
                <w:sz w:val="22"/>
                <w:lang w:eastAsia="en-AU"/>
              </w:rPr>
              <w:t>t</w:t>
            </w:r>
            <w:r w:rsidR="00F122D9" w:rsidRPr="007557D6">
              <w:rPr>
                <w:rFonts w:eastAsia="Times New Roman" w:cs="Arial"/>
                <w:sz w:val="22"/>
                <w:lang w:eastAsia="en-AU"/>
              </w:rPr>
              <w:t>he</w:t>
            </w:r>
            <w:r w:rsidR="00F122D9" w:rsidRPr="00F122D9">
              <w:rPr>
                <w:rFonts w:eastAsia="Times New Roman" w:cs="Arial"/>
                <w:sz w:val="22"/>
                <w:lang w:eastAsia="en-AU"/>
              </w:rPr>
              <w:t xml:space="preserve"> extent of industry engagement completed to streamline the approval process and ensure all requirements are met demonstrating to our customers demonstrating our commitment to get the basics right, always.     </w:t>
            </w:r>
          </w:p>
          <w:p w14:paraId="255B5149" w14:textId="324B5EDC" w:rsidR="00F122D9" w:rsidRPr="00F122D9" w:rsidRDefault="007557D6">
            <w:pPr>
              <w:pStyle w:val="ListParagraph"/>
              <w:numPr>
                <w:ilvl w:val="0"/>
                <w:numId w:val="123"/>
              </w:numPr>
              <w:spacing w:after="0"/>
              <w:ind w:left="738"/>
              <w:textAlignment w:val="baseline"/>
              <w:rPr>
                <w:rFonts w:eastAsia="Times New Roman" w:cs="Arial"/>
                <w:sz w:val="22"/>
                <w:lang w:eastAsia="en-AU"/>
              </w:rPr>
            </w:pPr>
            <w:r w:rsidRPr="007557D6">
              <w:rPr>
                <w:rFonts w:eastAsia="Times New Roman" w:cs="Arial"/>
                <w:sz w:val="22"/>
                <w:lang w:eastAsia="en-AU"/>
              </w:rPr>
              <w:t>t</w:t>
            </w:r>
            <w:r w:rsidR="00F122D9" w:rsidRPr="007557D6">
              <w:rPr>
                <w:rFonts w:eastAsia="Times New Roman" w:cs="Arial"/>
                <w:sz w:val="22"/>
                <w:lang w:eastAsia="en-AU"/>
              </w:rPr>
              <w:t>he</w:t>
            </w:r>
            <w:r w:rsidR="00F122D9" w:rsidRPr="00F122D9">
              <w:rPr>
                <w:rFonts w:eastAsia="Times New Roman" w:cs="Arial"/>
                <w:sz w:val="22"/>
                <w:lang w:eastAsia="en-AU"/>
              </w:rPr>
              <w:t xml:space="preserve"> delivered infrastructure will achieve the objective to provide sewerage services to the majority of the Pakenham East growth area and ensuring that new development can be connected to safe and reliable sewerage services, protecting human health and the environment  </w:t>
            </w:r>
          </w:p>
          <w:p w14:paraId="3B4A21C8" w14:textId="3C435CD2" w:rsidR="00F122D9" w:rsidRPr="00F122D9" w:rsidRDefault="007557D6">
            <w:pPr>
              <w:pStyle w:val="ListParagraph"/>
              <w:numPr>
                <w:ilvl w:val="0"/>
                <w:numId w:val="123"/>
              </w:numPr>
              <w:spacing w:after="0"/>
              <w:ind w:left="738"/>
              <w:textAlignment w:val="baseline"/>
              <w:rPr>
                <w:rFonts w:eastAsia="Times New Roman" w:cs="Arial"/>
                <w:sz w:val="22"/>
                <w:lang w:eastAsia="en-AU"/>
              </w:rPr>
            </w:pPr>
            <w:r w:rsidRPr="007557D6">
              <w:rPr>
                <w:rFonts w:eastAsia="Times New Roman" w:cs="Arial"/>
                <w:sz w:val="22"/>
                <w:lang w:eastAsia="en-AU"/>
              </w:rPr>
              <w:t>t</w:t>
            </w:r>
            <w:r w:rsidR="00F122D9" w:rsidRPr="007557D6">
              <w:rPr>
                <w:rFonts w:eastAsia="Times New Roman" w:cs="Arial"/>
                <w:sz w:val="22"/>
                <w:lang w:eastAsia="en-AU"/>
              </w:rPr>
              <w:t>he</w:t>
            </w:r>
            <w:r w:rsidR="00F122D9" w:rsidRPr="00F122D9">
              <w:rPr>
                <w:rFonts w:eastAsia="Times New Roman" w:cs="Arial"/>
                <w:sz w:val="22"/>
                <w:lang w:eastAsia="en-AU"/>
              </w:rPr>
              <w:t xml:space="preserve"> unfunded </w:t>
            </w:r>
            <w:r w:rsidR="00D976B9" w:rsidRPr="00D976B9">
              <w:rPr>
                <w:rFonts w:eastAsia="Times New Roman" w:cstheme="minorHAnsi"/>
                <w:sz w:val="22"/>
                <w:lang w:eastAsia="en-AU"/>
              </w:rPr>
              <w:t>2018–23</w:t>
            </w:r>
            <w:r w:rsidR="00D976B9" w:rsidRPr="00F122D9">
              <w:rPr>
                <w:rFonts w:eastAsia="Times New Roman" w:cs="Arial"/>
                <w:sz w:val="22"/>
                <w:lang w:eastAsia="en-AU"/>
              </w:rPr>
              <w:t xml:space="preserve"> </w:t>
            </w:r>
            <w:r w:rsidR="00F122D9" w:rsidRPr="00F122D9">
              <w:rPr>
                <w:rFonts w:eastAsia="Times New Roman" w:cs="Arial"/>
                <w:sz w:val="22"/>
                <w:lang w:eastAsia="en-AU"/>
              </w:rPr>
              <w:t>expenditure resulting from significantly increased lot densities was accommodated within the sewer growth budget   </w:t>
            </w:r>
          </w:p>
          <w:p w14:paraId="01A317B9" w14:textId="33022CB7" w:rsidR="00F122D9" w:rsidRPr="00F122D9" w:rsidRDefault="007557D6">
            <w:pPr>
              <w:pStyle w:val="ListParagraph"/>
              <w:numPr>
                <w:ilvl w:val="0"/>
                <w:numId w:val="123"/>
              </w:numPr>
              <w:spacing w:after="0"/>
              <w:ind w:left="738"/>
              <w:textAlignment w:val="baseline"/>
              <w:rPr>
                <w:rFonts w:eastAsia="Times New Roman" w:cs="Arial"/>
                <w:sz w:val="22"/>
                <w:lang w:eastAsia="en-AU"/>
              </w:rPr>
            </w:pPr>
            <w:r w:rsidRPr="007557D6">
              <w:rPr>
                <w:rFonts w:eastAsia="Times New Roman" w:cs="Arial"/>
                <w:sz w:val="22"/>
                <w:lang w:eastAsia="en-AU"/>
              </w:rPr>
              <w:t>t</w:t>
            </w:r>
            <w:r w:rsidR="00F122D9" w:rsidRPr="007557D6">
              <w:rPr>
                <w:rFonts w:eastAsia="Times New Roman" w:cs="Arial"/>
                <w:sz w:val="22"/>
                <w:lang w:eastAsia="en-AU"/>
              </w:rPr>
              <w:t>he</w:t>
            </w:r>
            <w:r w:rsidR="00F122D9" w:rsidRPr="00F122D9">
              <w:rPr>
                <w:rFonts w:eastAsia="Times New Roman" w:cs="Arial"/>
                <w:sz w:val="22"/>
                <w:lang w:eastAsia="en-AU"/>
              </w:rPr>
              <w:t xml:space="preserve"> project is forecast to be delivered under budget without significant delay to development (resulted in a 15% saving on the approved business case).    </w:t>
            </w:r>
          </w:p>
          <w:p w14:paraId="7A2B8204" w14:textId="32F8DF3B" w:rsidR="005209DF" w:rsidRPr="00F122D9" w:rsidRDefault="005209DF" w:rsidP="000C0D03">
            <w:pPr>
              <w:spacing w:after="0"/>
              <w:textAlignment w:val="baseline"/>
              <w:rPr>
                <w:rFonts w:eastAsia="Times New Roman" w:cstheme="minorHAnsi"/>
                <w:b/>
                <w:bCs/>
                <w:sz w:val="22"/>
                <w:lang w:eastAsia="en-AU"/>
              </w:rPr>
            </w:pPr>
            <w:r w:rsidRPr="00F122D9">
              <w:rPr>
                <w:rFonts w:eastAsia="Times New Roman" w:cs="Arial"/>
                <w:sz w:val="22"/>
                <w:lang w:eastAsia="en-AU"/>
              </w:rPr>
              <w:t> </w:t>
            </w:r>
          </w:p>
        </w:tc>
      </w:tr>
    </w:tbl>
    <w:p w14:paraId="6F143F44" w14:textId="77777777" w:rsidR="005209DF" w:rsidRDefault="005209DF" w:rsidP="00116E55">
      <w:pPr>
        <w:pStyle w:val="Heading2"/>
        <w:rPr>
          <w:rStyle w:val="normaltextrun"/>
          <w:rFonts w:ascii="Arial" w:eastAsiaTheme="minorHAnsi" w:hAnsi="Arial" w:cstheme="minorBidi"/>
          <w:b w:val="0"/>
          <w:bCs w:val="0"/>
          <w:color w:val="auto"/>
          <w:sz w:val="24"/>
          <w:szCs w:val="24"/>
        </w:rPr>
      </w:pPr>
    </w:p>
    <w:tbl>
      <w:tblPr>
        <w:tblStyle w:val="MJTableStyle1default"/>
        <w:tblW w:w="9246" w:type="dxa"/>
        <w:tblInd w:w="0" w:type="dxa"/>
        <w:tblLook w:val="06A0" w:firstRow="1" w:lastRow="0" w:firstColumn="1" w:lastColumn="0" w:noHBand="1" w:noVBand="1"/>
      </w:tblPr>
      <w:tblGrid>
        <w:gridCol w:w="9246"/>
      </w:tblGrid>
      <w:tr w:rsidR="00F9044D" w:rsidRPr="00601368" w14:paraId="3A46C9AA" w14:textId="77777777" w:rsidTr="00116E55">
        <w:trPr>
          <w:cnfStyle w:val="100000000000" w:firstRow="1" w:lastRow="0" w:firstColumn="0" w:lastColumn="0" w:oddVBand="0" w:evenVBand="0" w:oddHBand="0" w:evenHBand="0" w:firstRowFirstColumn="0" w:firstRowLastColumn="0" w:lastRowFirstColumn="0" w:lastRowLastColumn="0"/>
          <w:trHeight w:val="513"/>
          <w:tblHeader/>
        </w:trPr>
        <w:tc>
          <w:tcPr>
            <w:tcW w:w="0" w:type="dxa"/>
            <w:tcBorders>
              <w:top w:val="single" w:sz="2" w:space="0" w:color="002279"/>
              <w:bottom w:val="single" w:sz="2" w:space="0" w:color="002279"/>
            </w:tcBorders>
            <w:shd w:val="clear" w:color="auto" w:fill="002279"/>
            <w:vAlign w:val="center"/>
          </w:tcPr>
          <w:p w14:paraId="628242BA" w14:textId="57F245AE" w:rsidR="00F9044D" w:rsidRPr="00116E55" w:rsidRDefault="00F9044D" w:rsidP="00825A9C">
            <w:pPr>
              <w:pStyle w:val="Heading2"/>
              <w:outlineLvl w:val="1"/>
              <w:rPr>
                <w:rFonts w:cstheme="minorHAnsi"/>
                <w:color w:val="FFFFFF" w:themeColor="background1"/>
                <w:sz w:val="22"/>
                <w:szCs w:val="22"/>
              </w:rPr>
            </w:pPr>
            <w:r w:rsidRPr="00116E55">
              <w:rPr>
                <w:color w:val="FFFFFF" w:themeColor="background1"/>
                <w:sz w:val="22"/>
                <w:szCs w:val="22"/>
              </w:rPr>
              <w:t>PROJECT 9: Pakenham Regional Plant – land purchase</w:t>
            </w:r>
            <w:r w:rsidR="00A1315F" w:rsidRPr="00116E55">
              <w:rPr>
                <w:color w:val="FFFFFF" w:themeColor="background1"/>
                <w:sz w:val="22"/>
                <w:szCs w:val="22"/>
              </w:rPr>
              <w:t xml:space="preserve"> </w:t>
            </w:r>
          </w:p>
        </w:tc>
      </w:tr>
      <w:tr w:rsidR="00F9044D" w:rsidRPr="00601368" w14:paraId="5075E303" w14:textId="77777777" w:rsidTr="00116E55">
        <w:tc>
          <w:tcPr>
            <w:tcW w:w="0" w:type="dxa"/>
            <w:tcBorders>
              <w:top w:val="single" w:sz="2" w:space="0" w:color="002279"/>
              <w:bottom w:val="single" w:sz="2" w:space="0" w:color="002279"/>
            </w:tcBorders>
          </w:tcPr>
          <w:p w14:paraId="54CCD0DF" w14:textId="17982439" w:rsidR="00F9044D" w:rsidRPr="00AA614B" w:rsidRDefault="00F9044D" w:rsidP="000C0D03">
            <w:pPr>
              <w:spacing w:line="259" w:lineRule="auto"/>
              <w:rPr>
                <w:rFonts w:cstheme="minorHAnsi"/>
                <w:sz w:val="22"/>
              </w:rPr>
            </w:pPr>
            <w:r w:rsidRPr="00AA614B">
              <w:rPr>
                <w:rFonts w:cstheme="minorHAnsi"/>
                <w:b/>
                <w:sz w:val="22"/>
              </w:rPr>
              <w:t xml:space="preserve">Major service: </w:t>
            </w:r>
            <w:r w:rsidRPr="00AA614B">
              <w:rPr>
                <w:rFonts w:cstheme="minorHAnsi"/>
                <w:bCs/>
                <w:sz w:val="22"/>
              </w:rPr>
              <w:t>Sewerage</w:t>
            </w:r>
            <w:r w:rsidR="00A1315F">
              <w:rPr>
                <w:rFonts w:cstheme="minorHAnsi"/>
                <w:b/>
                <w:sz w:val="22"/>
              </w:rPr>
              <w:t xml:space="preserve"> </w:t>
            </w:r>
          </w:p>
        </w:tc>
      </w:tr>
      <w:tr w:rsidR="00F9044D" w:rsidRPr="00601368" w14:paraId="7B1FCB5F" w14:textId="77777777" w:rsidTr="00116E55">
        <w:tc>
          <w:tcPr>
            <w:tcW w:w="0" w:type="dxa"/>
            <w:tcBorders>
              <w:top w:val="single" w:sz="2" w:space="0" w:color="002279"/>
              <w:bottom w:val="single" w:sz="2" w:space="0" w:color="002279"/>
            </w:tcBorders>
          </w:tcPr>
          <w:p w14:paraId="5592C86C" w14:textId="27DCE41E" w:rsidR="00F9044D" w:rsidRPr="00AA614B" w:rsidRDefault="00F9044D" w:rsidP="000C0D03">
            <w:pPr>
              <w:spacing w:line="259" w:lineRule="auto"/>
              <w:rPr>
                <w:rFonts w:cstheme="minorHAnsi"/>
                <w:sz w:val="22"/>
              </w:rPr>
            </w:pPr>
            <w:r w:rsidRPr="00AA614B">
              <w:rPr>
                <w:rFonts w:cstheme="minorHAnsi"/>
                <w:b/>
                <w:sz w:val="22"/>
              </w:rPr>
              <w:t xml:space="preserve">Asset category: </w:t>
            </w:r>
            <w:r w:rsidRPr="00AA614B">
              <w:rPr>
                <w:rFonts w:cstheme="minorHAnsi"/>
                <w:bCs/>
                <w:sz w:val="22"/>
              </w:rPr>
              <w:t xml:space="preserve">Sewer </w:t>
            </w:r>
            <w:r w:rsidR="003320E9" w:rsidRPr="00AA614B">
              <w:rPr>
                <w:rFonts w:cstheme="minorHAnsi"/>
                <w:bCs/>
                <w:sz w:val="22"/>
              </w:rPr>
              <w:t>t</w:t>
            </w:r>
            <w:r w:rsidRPr="00AA614B">
              <w:rPr>
                <w:rFonts w:cstheme="minorHAnsi"/>
                <w:bCs/>
                <w:sz w:val="22"/>
              </w:rPr>
              <w:t>reatment</w:t>
            </w:r>
            <w:r w:rsidR="00A1315F">
              <w:rPr>
                <w:rFonts w:cstheme="minorHAnsi"/>
                <w:b/>
                <w:sz w:val="22"/>
              </w:rPr>
              <w:t xml:space="preserve"> </w:t>
            </w:r>
          </w:p>
        </w:tc>
      </w:tr>
      <w:tr w:rsidR="00F9044D" w:rsidRPr="00601368" w14:paraId="1629CB7E" w14:textId="77777777" w:rsidTr="00116E55">
        <w:tc>
          <w:tcPr>
            <w:tcW w:w="0" w:type="dxa"/>
            <w:tcBorders>
              <w:top w:val="single" w:sz="2" w:space="0" w:color="002279"/>
              <w:bottom w:val="single" w:sz="2" w:space="0" w:color="002279"/>
            </w:tcBorders>
          </w:tcPr>
          <w:p w14:paraId="0DC9EA2F" w14:textId="767F4B60" w:rsidR="00F9044D" w:rsidRPr="00AA614B" w:rsidRDefault="00F9044D" w:rsidP="000C0D03">
            <w:pPr>
              <w:spacing w:line="259" w:lineRule="auto"/>
              <w:rPr>
                <w:rFonts w:cstheme="minorHAnsi"/>
                <w:b/>
                <w:sz w:val="22"/>
              </w:rPr>
            </w:pPr>
            <w:r w:rsidRPr="00AA614B">
              <w:rPr>
                <w:rFonts w:cstheme="minorHAnsi"/>
                <w:b/>
                <w:sz w:val="22"/>
              </w:rPr>
              <w:t xml:space="preserve">Driver: </w:t>
            </w:r>
            <w:r w:rsidRPr="00AA614B">
              <w:rPr>
                <w:rFonts w:cstheme="minorHAnsi"/>
                <w:bCs/>
                <w:sz w:val="22"/>
              </w:rPr>
              <w:t>Growth</w:t>
            </w:r>
            <w:r w:rsidR="00A1315F">
              <w:rPr>
                <w:rFonts w:cstheme="minorHAnsi"/>
                <w:b/>
                <w:sz w:val="22"/>
              </w:rPr>
              <w:t xml:space="preserve"> </w:t>
            </w:r>
          </w:p>
        </w:tc>
      </w:tr>
      <w:tr w:rsidR="00F9044D" w:rsidRPr="00601368" w14:paraId="5E20389E" w14:textId="77777777" w:rsidTr="00116E55">
        <w:tc>
          <w:tcPr>
            <w:tcW w:w="0" w:type="dxa"/>
            <w:tcBorders>
              <w:top w:val="single" w:sz="2" w:space="0" w:color="002279"/>
              <w:bottom w:val="single" w:sz="2" w:space="0" w:color="002279"/>
            </w:tcBorders>
          </w:tcPr>
          <w:p w14:paraId="5C706003" w14:textId="273DB363" w:rsidR="00F9044D" w:rsidRPr="00AA614B" w:rsidRDefault="00F9044D" w:rsidP="000C0D03">
            <w:pPr>
              <w:spacing w:after="0"/>
              <w:textAlignment w:val="baseline"/>
              <w:rPr>
                <w:rFonts w:cstheme="minorHAnsi"/>
                <w:sz w:val="22"/>
              </w:rPr>
            </w:pPr>
            <w:r w:rsidRPr="00AA614B">
              <w:rPr>
                <w:rFonts w:cstheme="minorHAnsi"/>
                <w:b/>
                <w:sz w:val="22"/>
              </w:rPr>
              <w:t xml:space="preserve">Description: </w:t>
            </w:r>
            <w:r w:rsidR="00E178EB" w:rsidRPr="00AA614B">
              <w:rPr>
                <w:rFonts w:eastAsia="Times New Roman" w:cs="Arial"/>
                <w:sz w:val="22"/>
                <w:lang w:eastAsia="en-AU"/>
              </w:rPr>
              <w:t>Purchase land in the Pakenham East Growth area </w:t>
            </w:r>
          </w:p>
        </w:tc>
      </w:tr>
      <w:tr w:rsidR="00F9044D" w:rsidRPr="00601368" w14:paraId="5CBE10AF" w14:textId="77777777" w:rsidTr="00116E55">
        <w:tc>
          <w:tcPr>
            <w:tcW w:w="0" w:type="dxa"/>
            <w:tcBorders>
              <w:top w:val="single" w:sz="2" w:space="0" w:color="002279"/>
              <w:bottom w:val="single" w:sz="2" w:space="0" w:color="002279"/>
            </w:tcBorders>
          </w:tcPr>
          <w:p w14:paraId="1528E3F6" w14:textId="77777777" w:rsidR="00F9044D" w:rsidRPr="00AA614B" w:rsidRDefault="00F9044D" w:rsidP="000C0D03">
            <w:pPr>
              <w:rPr>
                <w:rFonts w:cstheme="minorHAnsi"/>
                <w:sz w:val="22"/>
              </w:rPr>
            </w:pPr>
            <w:r w:rsidRPr="00AA614B">
              <w:rPr>
                <w:rFonts w:cstheme="minorHAnsi"/>
                <w:b/>
                <w:sz w:val="22"/>
              </w:rPr>
              <w:t>Customer outcome:</w:t>
            </w:r>
            <w:r w:rsidRPr="00AA614B">
              <w:rPr>
                <w:rFonts w:cstheme="minorHAnsi"/>
                <w:sz w:val="22"/>
              </w:rPr>
              <w:t xml:space="preserve"> </w:t>
            </w:r>
            <w:r w:rsidRPr="00AA614B">
              <w:rPr>
                <w:rFonts w:cstheme="minorHAnsi"/>
                <w:i/>
                <w:iCs/>
                <w:sz w:val="22"/>
              </w:rPr>
              <w:t>Get the basics right, always</w:t>
            </w:r>
            <w:r w:rsidRPr="00AA614B">
              <w:rPr>
                <w:rFonts w:cstheme="minorHAnsi"/>
                <w:sz w:val="22"/>
              </w:rPr>
              <w:t xml:space="preserve"> </w:t>
            </w:r>
          </w:p>
        </w:tc>
      </w:tr>
      <w:tr w:rsidR="00F9044D" w:rsidRPr="00601368" w14:paraId="596FFC91" w14:textId="77777777" w:rsidTr="00116E55">
        <w:tc>
          <w:tcPr>
            <w:tcW w:w="0" w:type="dxa"/>
            <w:tcBorders>
              <w:top w:val="single" w:sz="2" w:space="0" w:color="002279"/>
              <w:bottom w:val="single" w:sz="2" w:space="0" w:color="002279"/>
            </w:tcBorders>
            <w:vAlign w:val="center"/>
          </w:tcPr>
          <w:p w14:paraId="0292EBE2" w14:textId="6AD6DD6C" w:rsidR="00F9044D" w:rsidRPr="00AA614B" w:rsidRDefault="00F9044D" w:rsidP="000C0D03">
            <w:pPr>
              <w:spacing w:after="0"/>
              <w:textAlignment w:val="baseline"/>
              <w:rPr>
                <w:rFonts w:eastAsia="Times New Roman" w:cstheme="minorHAnsi"/>
                <w:b/>
                <w:bCs/>
                <w:sz w:val="22"/>
                <w:lang w:eastAsia="en-AU"/>
              </w:rPr>
            </w:pPr>
            <w:r w:rsidRPr="00AA614B">
              <w:rPr>
                <w:rFonts w:eastAsia="Times New Roman" w:cstheme="minorHAnsi"/>
                <w:b/>
                <w:bCs/>
                <w:sz w:val="22"/>
                <w:lang w:eastAsia="en-AU"/>
              </w:rPr>
              <w:lastRenderedPageBreak/>
              <w:t>Objective:</w:t>
            </w:r>
            <w:r w:rsidRPr="00AA614B">
              <w:rPr>
                <w:rFonts w:eastAsia="Times New Roman" w:cstheme="minorHAnsi"/>
                <w:sz w:val="22"/>
                <w:lang w:eastAsia="en-AU"/>
              </w:rPr>
              <w:t xml:space="preserve"> </w:t>
            </w:r>
            <w:r w:rsidR="006B7B44" w:rsidRPr="00AA614B">
              <w:rPr>
                <w:rFonts w:eastAsia="Times New Roman" w:cs="Arial"/>
                <w:sz w:val="22"/>
                <w:lang w:eastAsia="en-AU"/>
              </w:rPr>
              <w:t>To ensure there is sufficient land to provide cost</w:t>
            </w:r>
            <w:r w:rsidR="00D50ACA">
              <w:rPr>
                <w:rFonts w:eastAsia="Times New Roman" w:cs="Arial"/>
                <w:sz w:val="22"/>
                <w:lang w:eastAsia="en-AU"/>
              </w:rPr>
              <w:t>-</w:t>
            </w:r>
            <w:r w:rsidR="006B7B44" w:rsidRPr="00AA614B">
              <w:rPr>
                <w:rFonts w:eastAsia="Times New Roman" w:cs="Arial"/>
                <w:sz w:val="22"/>
                <w:lang w:eastAsia="en-AU"/>
              </w:rPr>
              <w:t xml:space="preserve">effective future treatment services to the rapidly growing area </w:t>
            </w:r>
            <w:r w:rsidR="00E705EB">
              <w:rPr>
                <w:rFonts w:eastAsia="Times New Roman" w:cs="Arial"/>
                <w:sz w:val="22"/>
                <w:lang w:eastAsia="en-AU"/>
              </w:rPr>
              <w:t>while</w:t>
            </w:r>
            <w:r w:rsidR="006B7B44" w:rsidRPr="00AA614B">
              <w:rPr>
                <w:rFonts w:eastAsia="Times New Roman" w:cs="Arial"/>
                <w:sz w:val="22"/>
                <w:lang w:eastAsia="en-AU"/>
              </w:rPr>
              <w:t xml:space="preserve"> not creating unacceptable amenity issues associated with noise and/or odour </w:t>
            </w:r>
          </w:p>
        </w:tc>
      </w:tr>
      <w:tr w:rsidR="00F9044D" w:rsidRPr="00601368" w14:paraId="4DFADB00" w14:textId="77777777" w:rsidTr="00116E55">
        <w:tc>
          <w:tcPr>
            <w:tcW w:w="0" w:type="dxa"/>
            <w:tcBorders>
              <w:top w:val="single" w:sz="2" w:space="0" w:color="002279"/>
              <w:bottom w:val="single" w:sz="2" w:space="0" w:color="002279"/>
            </w:tcBorders>
            <w:vAlign w:val="center"/>
          </w:tcPr>
          <w:p w14:paraId="5671273B" w14:textId="2BDCA87E" w:rsidR="00F9044D" w:rsidRPr="00AA614B" w:rsidRDefault="00F9044D" w:rsidP="000C0D03">
            <w:pPr>
              <w:pStyle w:val="BodyText"/>
              <w:rPr>
                <w:rFonts w:eastAsia="Times New Roman" w:cstheme="minorHAnsi"/>
                <w:b/>
                <w:bCs/>
                <w:sz w:val="22"/>
                <w:lang w:eastAsia="en-AU"/>
              </w:rPr>
            </w:pPr>
            <w:r w:rsidRPr="00AA614B">
              <w:rPr>
                <w:rFonts w:eastAsia="Times New Roman" w:cstheme="minorHAnsi"/>
                <w:b/>
                <w:bCs/>
                <w:sz w:val="22"/>
                <w:lang w:eastAsia="en-AU"/>
              </w:rPr>
              <w:t>2018</w:t>
            </w:r>
            <w:r w:rsidR="00F243DC">
              <w:rPr>
                <w:rFonts w:eastAsia="Times New Roman" w:cstheme="minorHAnsi"/>
                <w:b/>
                <w:bCs/>
                <w:sz w:val="22"/>
                <w:lang w:eastAsia="en-AU"/>
              </w:rPr>
              <w:t>–</w:t>
            </w:r>
            <w:r w:rsidRPr="00AA614B">
              <w:rPr>
                <w:rFonts w:eastAsia="Times New Roman" w:cstheme="minorHAnsi"/>
                <w:b/>
                <w:bCs/>
                <w:sz w:val="22"/>
                <w:lang w:eastAsia="en-AU"/>
              </w:rPr>
              <w:t xml:space="preserve">2023 estimate $ submitted to ESC: </w:t>
            </w:r>
            <w:r w:rsidRPr="00AA614B">
              <w:rPr>
                <w:rFonts w:eastAsia="Times New Roman" w:cs="Arial"/>
                <w:sz w:val="22"/>
                <w:lang w:eastAsia="en-AU"/>
              </w:rPr>
              <w:t>$1</w:t>
            </w:r>
            <w:r w:rsidR="006B7B44" w:rsidRPr="00AA614B">
              <w:rPr>
                <w:rFonts w:eastAsia="Times New Roman" w:cs="Arial"/>
                <w:sz w:val="22"/>
                <w:lang w:eastAsia="en-AU"/>
              </w:rPr>
              <w:t>1</w:t>
            </w:r>
            <w:r w:rsidR="00A933AB">
              <w:rPr>
                <w:rFonts w:eastAsia="Times New Roman" w:cs="Arial"/>
                <w:sz w:val="22"/>
                <w:lang w:eastAsia="en-AU"/>
              </w:rPr>
              <w:t>m</w:t>
            </w:r>
            <w:r w:rsidR="00A1315F">
              <w:rPr>
                <w:rFonts w:eastAsia="Times New Roman" w:cs="Arial"/>
                <w:sz w:val="22"/>
                <w:lang w:eastAsia="en-AU"/>
              </w:rPr>
              <w:t xml:space="preserve"> </w:t>
            </w:r>
          </w:p>
        </w:tc>
      </w:tr>
      <w:tr w:rsidR="00F9044D" w:rsidRPr="00601368" w14:paraId="2B6A9DFE" w14:textId="77777777" w:rsidTr="00360131">
        <w:trPr>
          <w:trHeight w:val="2797"/>
        </w:trPr>
        <w:tc>
          <w:tcPr>
            <w:tcW w:w="0" w:type="dxa"/>
            <w:tcBorders>
              <w:top w:val="single" w:sz="2" w:space="0" w:color="002279"/>
              <w:bottom w:val="single" w:sz="2" w:space="0" w:color="002279"/>
            </w:tcBorders>
            <w:vAlign w:val="center"/>
          </w:tcPr>
          <w:p w14:paraId="66972E3D" w14:textId="1E3B653E" w:rsidR="004110BE" w:rsidRPr="00AA614B" w:rsidRDefault="00F9044D" w:rsidP="004110BE">
            <w:pPr>
              <w:spacing w:after="0"/>
              <w:textAlignment w:val="baseline"/>
              <w:rPr>
                <w:rFonts w:ascii="Times New Roman" w:eastAsia="Times New Roman" w:hAnsi="Times New Roman" w:cs="Times New Roman"/>
                <w:sz w:val="22"/>
                <w:lang w:eastAsia="en-AU"/>
              </w:rPr>
            </w:pPr>
            <w:r w:rsidRPr="00AA614B">
              <w:rPr>
                <w:rFonts w:eastAsia="Times New Roman" w:cstheme="minorHAnsi"/>
                <w:b/>
                <w:bCs/>
                <w:sz w:val="22"/>
                <w:lang w:eastAsia="en-AU"/>
              </w:rPr>
              <w:t>What estimate was based on:</w:t>
            </w:r>
            <w:r w:rsidRPr="00AA614B">
              <w:rPr>
                <w:rFonts w:eastAsia="Times New Roman" w:cs="Arial"/>
                <w:sz w:val="22"/>
                <w:lang w:eastAsia="en-AU"/>
              </w:rPr>
              <w:t xml:space="preserve"> </w:t>
            </w:r>
            <w:r w:rsidR="004110BE" w:rsidRPr="00AA614B">
              <w:rPr>
                <w:rFonts w:eastAsia="Times New Roman" w:cs="Arial"/>
                <w:sz w:val="22"/>
                <w:lang w:eastAsia="en-AU"/>
              </w:rPr>
              <w:t xml:space="preserve">A Strategic Review was completed by South East Water to support the servicing of the Casey Clyde Region. This was presented and approved by the South East Water Board in 2017. It identified </w:t>
            </w:r>
            <w:r w:rsidR="007557D6">
              <w:rPr>
                <w:rFonts w:eastAsia="Times New Roman" w:cs="Arial"/>
                <w:sz w:val="22"/>
                <w:lang w:eastAsia="en-AU"/>
              </w:rPr>
              <w:t>3</w:t>
            </w:r>
            <w:r w:rsidR="004110BE" w:rsidRPr="00AA614B">
              <w:rPr>
                <w:rFonts w:eastAsia="Times New Roman" w:cs="Arial"/>
                <w:sz w:val="22"/>
                <w:lang w:eastAsia="en-AU"/>
              </w:rPr>
              <w:t xml:space="preserve"> options including: </w:t>
            </w:r>
          </w:p>
          <w:p w14:paraId="50D5C90E" w14:textId="71F3DB22" w:rsidR="004110BE" w:rsidRPr="00AA614B" w:rsidRDefault="004110BE">
            <w:pPr>
              <w:pStyle w:val="ListParagraph"/>
              <w:numPr>
                <w:ilvl w:val="0"/>
                <w:numId w:val="124"/>
              </w:numPr>
              <w:spacing w:after="0"/>
              <w:ind w:left="738"/>
              <w:textAlignment w:val="baseline"/>
              <w:rPr>
                <w:rFonts w:eastAsia="Times New Roman" w:cs="Arial"/>
                <w:sz w:val="22"/>
                <w:lang w:eastAsia="en-AU"/>
              </w:rPr>
            </w:pPr>
            <w:r w:rsidRPr="00AA614B">
              <w:rPr>
                <w:rFonts w:eastAsia="Times New Roman" w:cs="Arial"/>
                <w:sz w:val="22"/>
                <w:lang w:eastAsia="en-AU"/>
              </w:rPr>
              <w:t>Full centralised treatment</w:t>
            </w:r>
            <w:r w:rsidR="00A1315F">
              <w:rPr>
                <w:rFonts w:eastAsia="Times New Roman" w:cs="Arial"/>
                <w:sz w:val="22"/>
                <w:lang w:eastAsia="en-AU"/>
              </w:rPr>
              <w:t xml:space="preserve"> </w:t>
            </w:r>
          </w:p>
          <w:p w14:paraId="348EF155" w14:textId="77777777" w:rsidR="004110BE" w:rsidRPr="00AA614B" w:rsidRDefault="004110BE">
            <w:pPr>
              <w:pStyle w:val="ListParagraph"/>
              <w:numPr>
                <w:ilvl w:val="0"/>
                <w:numId w:val="124"/>
              </w:numPr>
              <w:spacing w:after="0"/>
              <w:ind w:left="738"/>
              <w:textAlignment w:val="baseline"/>
              <w:rPr>
                <w:rFonts w:eastAsia="Times New Roman" w:cs="Arial"/>
                <w:sz w:val="22"/>
                <w:lang w:eastAsia="en-AU"/>
              </w:rPr>
            </w:pPr>
            <w:r w:rsidRPr="00AA614B">
              <w:rPr>
                <w:rFonts w:eastAsia="Times New Roman" w:cs="Arial"/>
                <w:sz w:val="22"/>
                <w:lang w:eastAsia="en-AU"/>
              </w:rPr>
              <w:t>Regional treatment built on a new site </w:t>
            </w:r>
          </w:p>
          <w:p w14:paraId="6ACD1C26" w14:textId="04BE77AE" w:rsidR="004110BE" w:rsidRPr="00AA614B" w:rsidRDefault="004110BE">
            <w:pPr>
              <w:pStyle w:val="ListParagraph"/>
              <w:numPr>
                <w:ilvl w:val="0"/>
                <w:numId w:val="124"/>
              </w:numPr>
              <w:spacing w:after="0"/>
              <w:ind w:left="738"/>
              <w:textAlignment w:val="baseline"/>
              <w:rPr>
                <w:rFonts w:eastAsia="Times New Roman" w:cs="Arial"/>
                <w:sz w:val="22"/>
                <w:lang w:eastAsia="en-AU"/>
              </w:rPr>
            </w:pPr>
            <w:r w:rsidRPr="00AA614B">
              <w:rPr>
                <w:rFonts w:eastAsia="Times New Roman" w:cs="Arial"/>
                <w:sz w:val="22"/>
                <w:lang w:eastAsia="en-AU"/>
              </w:rPr>
              <w:t>Local treatment plant built in the Casey Clyde Region</w:t>
            </w:r>
            <w:r w:rsidR="00A1315F">
              <w:rPr>
                <w:rFonts w:eastAsia="Times New Roman" w:cs="Arial"/>
                <w:sz w:val="22"/>
                <w:lang w:eastAsia="en-AU"/>
              </w:rPr>
              <w:t xml:space="preserve"> </w:t>
            </w:r>
          </w:p>
          <w:p w14:paraId="59BDC894" w14:textId="5C1F8AEC" w:rsidR="004110BE" w:rsidRPr="00AA614B" w:rsidRDefault="004110BE" w:rsidP="004110BE">
            <w:pPr>
              <w:spacing w:after="0"/>
              <w:textAlignment w:val="baseline"/>
              <w:rPr>
                <w:rFonts w:ascii="Times New Roman" w:eastAsia="Times New Roman" w:hAnsi="Times New Roman" w:cs="Times New Roman"/>
                <w:sz w:val="22"/>
                <w:lang w:eastAsia="en-AU"/>
              </w:rPr>
            </w:pPr>
            <w:r w:rsidRPr="00AA614B">
              <w:rPr>
                <w:rFonts w:eastAsia="Times New Roman" w:cs="Arial"/>
                <w:sz w:val="22"/>
                <w:lang w:eastAsia="en-AU"/>
              </w:rPr>
              <w:t xml:space="preserve">The whole of community costs were considered, and an MCA completed. The option for purchasing the new site and building a Regional </w:t>
            </w:r>
            <w:r w:rsidR="002C12B1">
              <w:rPr>
                <w:rFonts w:eastAsia="Times New Roman" w:cs="Arial"/>
                <w:sz w:val="22"/>
                <w:lang w:eastAsia="en-AU"/>
              </w:rPr>
              <w:t>t</w:t>
            </w:r>
            <w:r w:rsidRPr="00AA614B">
              <w:rPr>
                <w:rFonts w:eastAsia="Times New Roman" w:cs="Arial"/>
                <w:sz w:val="22"/>
                <w:lang w:eastAsia="en-AU"/>
              </w:rPr>
              <w:t xml:space="preserve">reatment </w:t>
            </w:r>
            <w:r w:rsidR="002C12B1">
              <w:rPr>
                <w:rFonts w:eastAsia="Times New Roman" w:cs="Arial"/>
                <w:sz w:val="22"/>
                <w:lang w:eastAsia="en-AU"/>
              </w:rPr>
              <w:t>p</w:t>
            </w:r>
            <w:r w:rsidRPr="00AA614B">
              <w:rPr>
                <w:rFonts w:eastAsia="Times New Roman" w:cs="Arial"/>
                <w:sz w:val="22"/>
                <w:lang w:eastAsia="en-AU"/>
              </w:rPr>
              <w:t>lant.</w:t>
            </w:r>
            <w:r w:rsidR="00A1315F">
              <w:rPr>
                <w:rFonts w:eastAsia="Times New Roman" w:cs="Arial"/>
                <w:sz w:val="22"/>
                <w:lang w:eastAsia="en-AU"/>
              </w:rPr>
              <w:t xml:space="preserve"> </w:t>
            </w:r>
          </w:p>
          <w:p w14:paraId="2BB0744E" w14:textId="69261924" w:rsidR="00F9044D" w:rsidRPr="00AA614B" w:rsidRDefault="004110BE" w:rsidP="004110BE">
            <w:pPr>
              <w:spacing w:after="0"/>
              <w:textAlignment w:val="baseline"/>
              <w:rPr>
                <w:rFonts w:eastAsia="Times New Roman" w:cstheme="minorHAnsi"/>
                <w:b/>
                <w:bCs/>
                <w:sz w:val="22"/>
                <w:lang w:eastAsia="en-AU"/>
              </w:rPr>
            </w:pPr>
            <w:r w:rsidRPr="00AA614B">
              <w:rPr>
                <w:rFonts w:eastAsia="Times New Roman" w:cs="Arial"/>
                <w:sz w:val="22"/>
                <w:lang w:eastAsia="en-AU"/>
              </w:rPr>
              <w:t>The original land estimate was based on recent sales at the time.</w:t>
            </w:r>
            <w:r w:rsidR="00A1315F">
              <w:rPr>
                <w:rFonts w:eastAsia="Times New Roman" w:cs="Arial"/>
                <w:sz w:val="22"/>
                <w:lang w:eastAsia="en-AU"/>
              </w:rPr>
              <w:t xml:space="preserve"> </w:t>
            </w:r>
          </w:p>
        </w:tc>
      </w:tr>
      <w:tr w:rsidR="00F9044D" w:rsidRPr="00601368" w14:paraId="78582ED2" w14:textId="77777777" w:rsidTr="00116E55">
        <w:tc>
          <w:tcPr>
            <w:tcW w:w="0" w:type="dxa"/>
            <w:tcBorders>
              <w:top w:val="single" w:sz="2" w:space="0" w:color="002279"/>
              <w:bottom w:val="single" w:sz="2" w:space="0" w:color="002279"/>
            </w:tcBorders>
            <w:vAlign w:val="center"/>
          </w:tcPr>
          <w:p w14:paraId="343BE1F4" w14:textId="77777777" w:rsidR="00F9044D" w:rsidRPr="00AA614B" w:rsidRDefault="00F9044D" w:rsidP="000C0D03">
            <w:pPr>
              <w:pStyle w:val="BodyText"/>
              <w:rPr>
                <w:rFonts w:eastAsia="Times New Roman" w:cstheme="minorHAnsi"/>
                <w:b/>
                <w:bCs/>
                <w:sz w:val="22"/>
                <w:lang w:eastAsia="en-AU"/>
              </w:rPr>
            </w:pPr>
            <w:r w:rsidRPr="00AA614B">
              <w:rPr>
                <w:rFonts w:eastAsia="Times New Roman" w:cstheme="minorHAnsi"/>
                <w:b/>
                <w:bCs/>
                <w:sz w:val="22"/>
                <w:lang w:eastAsia="en-AU"/>
              </w:rPr>
              <w:t xml:space="preserve">Estimate confidence: </w:t>
            </w:r>
            <w:r w:rsidRPr="00AA614B">
              <w:rPr>
                <w:rFonts w:eastAsia="Times New Roman" w:cstheme="minorHAnsi"/>
                <w:sz w:val="22"/>
                <w:lang w:eastAsia="en-AU"/>
              </w:rPr>
              <w:t>P50 </w:t>
            </w:r>
          </w:p>
        </w:tc>
      </w:tr>
      <w:tr w:rsidR="00F9044D" w:rsidRPr="00601368" w14:paraId="7AEAE4BB" w14:textId="77777777" w:rsidTr="00116E55">
        <w:tc>
          <w:tcPr>
            <w:tcW w:w="0" w:type="dxa"/>
            <w:tcBorders>
              <w:top w:val="single" w:sz="2" w:space="0" w:color="002279"/>
              <w:bottom w:val="single" w:sz="2" w:space="0" w:color="002279"/>
            </w:tcBorders>
          </w:tcPr>
          <w:p w14:paraId="6A091EAE" w14:textId="378A4D2B" w:rsidR="00F9044D" w:rsidRPr="00AA614B" w:rsidRDefault="00F9044D" w:rsidP="000C0D03">
            <w:pPr>
              <w:pStyle w:val="BodyText"/>
              <w:rPr>
                <w:rFonts w:eastAsia="Times New Roman" w:cstheme="minorHAnsi"/>
                <w:b/>
                <w:bCs/>
                <w:sz w:val="22"/>
                <w:lang w:eastAsia="en-AU"/>
              </w:rPr>
            </w:pPr>
            <w:r w:rsidRPr="00AA614B">
              <w:rPr>
                <w:rFonts w:eastAsia="Times New Roman" w:cstheme="minorHAnsi"/>
                <w:b/>
                <w:bCs/>
                <w:sz w:val="22"/>
                <w:lang w:eastAsia="en-AU"/>
              </w:rPr>
              <w:t>2018</w:t>
            </w:r>
            <w:r w:rsidR="00F243DC">
              <w:rPr>
                <w:rFonts w:eastAsia="Times New Roman" w:cstheme="minorHAnsi"/>
                <w:b/>
                <w:bCs/>
                <w:sz w:val="22"/>
                <w:lang w:eastAsia="en-AU"/>
              </w:rPr>
              <w:t>–</w:t>
            </w:r>
            <w:r w:rsidRPr="00AA614B">
              <w:rPr>
                <w:rFonts w:eastAsia="Times New Roman" w:cstheme="minorHAnsi"/>
                <w:b/>
                <w:bCs/>
                <w:sz w:val="22"/>
                <w:lang w:eastAsia="en-AU"/>
              </w:rPr>
              <w:t xml:space="preserve">2023 ESC determination $: </w:t>
            </w:r>
            <w:r w:rsidRPr="00AA614B">
              <w:rPr>
                <w:rFonts w:eastAsia="Times New Roman" w:cstheme="minorHAnsi"/>
                <w:sz w:val="22"/>
                <w:lang w:eastAsia="en-AU"/>
              </w:rPr>
              <w:t>$15.2</w:t>
            </w:r>
            <w:r w:rsidR="00A933AB">
              <w:rPr>
                <w:rFonts w:eastAsia="Times New Roman" w:cstheme="minorHAnsi"/>
                <w:sz w:val="22"/>
                <w:lang w:eastAsia="en-AU"/>
              </w:rPr>
              <w:t>m</w:t>
            </w:r>
            <w:r w:rsidRPr="00AA614B">
              <w:rPr>
                <w:rFonts w:eastAsia="Times New Roman" w:cstheme="minorHAnsi"/>
                <w:sz w:val="22"/>
                <w:lang w:eastAsia="en-AU"/>
              </w:rPr>
              <w:t xml:space="preserve"> </w:t>
            </w:r>
          </w:p>
        </w:tc>
      </w:tr>
      <w:tr w:rsidR="00F9044D" w:rsidRPr="00601368" w14:paraId="0DE8362E" w14:textId="77777777" w:rsidTr="00360131">
        <w:trPr>
          <w:trHeight w:val="3756"/>
        </w:trPr>
        <w:tc>
          <w:tcPr>
            <w:tcW w:w="0" w:type="dxa"/>
            <w:tcBorders>
              <w:top w:val="single" w:sz="2" w:space="0" w:color="002279"/>
              <w:bottom w:val="single" w:sz="2" w:space="0" w:color="002279"/>
            </w:tcBorders>
            <w:vAlign w:val="center"/>
          </w:tcPr>
          <w:p w14:paraId="5D708363" w14:textId="790E04E3" w:rsidR="00F9722E" w:rsidRPr="00AA614B" w:rsidRDefault="00F9044D" w:rsidP="00F9722E">
            <w:pPr>
              <w:spacing w:after="0"/>
              <w:textAlignment w:val="baseline"/>
              <w:rPr>
                <w:rFonts w:ascii="Times New Roman" w:eastAsia="Times New Roman" w:hAnsi="Times New Roman" w:cs="Times New Roman"/>
                <w:sz w:val="22"/>
                <w:lang w:eastAsia="en-AU"/>
              </w:rPr>
            </w:pPr>
            <w:r w:rsidRPr="00AA614B">
              <w:rPr>
                <w:rFonts w:eastAsia="Times New Roman" w:cstheme="minorHAnsi"/>
                <w:b/>
                <w:bCs/>
                <w:sz w:val="22"/>
                <w:lang w:eastAsia="en-AU"/>
              </w:rPr>
              <w:t>Reason for change</w:t>
            </w:r>
            <w:r w:rsidR="00E27178">
              <w:rPr>
                <w:rFonts w:eastAsia="Times New Roman" w:cstheme="minorHAnsi"/>
                <w:b/>
                <w:bCs/>
                <w:sz w:val="22"/>
                <w:lang w:eastAsia="en-AU"/>
              </w:rPr>
              <w:t>/</w:t>
            </w:r>
            <w:r w:rsidRPr="00AA614B">
              <w:rPr>
                <w:rFonts w:eastAsia="Times New Roman" w:cstheme="minorHAnsi"/>
                <w:b/>
                <w:bCs/>
                <w:sz w:val="22"/>
                <w:lang w:eastAsia="en-AU"/>
              </w:rPr>
              <w:t>difference between 2018</w:t>
            </w:r>
            <w:r w:rsidR="00FE7457">
              <w:rPr>
                <w:rFonts w:eastAsia="Times New Roman" w:cstheme="minorHAnsi"/>
                <w:b/>
                <w:bCs/>
                <w:sz w:val="22"/>
                <w:lang w:eastAsia="en-AU"/>
              </w:rPr>
              <w:t xml:space="preserve"> and </w:t>
            </w:r>
            <w:r w:rsidRPr="00AA614B">
              <w:rPr>
                <w:rFonts w:eastAsia="Times New Roman" w:cstheme="minorHAnsi"/>
                <w:b/>
                <w:bCs/>
                <w:sz w:val="22"/>
                <w:lang w:eastAsia="en-AU"/>
              </w:rPr>
              <w:t xml:space="preserve">2023 ESC determination $ and business case $: </w:t>
            </w:r>
            <w:r w:rsidR="00F9722E" w:rsidRPr="00AA614B">
              <w:rPr>
                <w:rFonts w:eastAsia="Times New Roman" w:cs="Arial"/>
                <w:sz w:val="22"/>
                <w:lang w:eastAsia="en-AU"/>
              </w:rPr>
              <w:t>The landowner was approached in 2018/19 to discuss the purchase of the land. This offer was rejected, and negotiations stalled.</w:t>
            </w:r>
            <w:r w:rsidR="00A1315F">
              <w:rPr>
                <w:rFonts w:eastAsia="Times New Roman" w:cs="Arial"/>
                <w:sz w:val="22"/>
                <w:lang w:eastAsia="en-AU"/>
              </w:rPr>
              <w:t xml:space="preserve"> </w:t>
            </w:r>
          </w:p>
          <w:p w14:paraId="406D50B2" w14:textId="4AD71DA5" w:rsidR="00F9722E" w:rsidRPr="00AA614B" w:rsidRDefault="00F9722E" w:rsidP="00F9722E">
            <w:pPr>
              <w:spacing w:after="0"/>
              <w:textAlignment w:val="baseline"/>
              <w:rPr>
                <w:rFonts w:ascii="Times New Roman" w:eastAsia="Times New Roman" w:hAnsi="Times New Roman" w:cs="Times New Roman"/>
                <w:sz w:val="22"/>
                <w:lang w:eastAsia="en-AU"/>
              </w:rPr>
            </w:pPr>
            <w:r w:rsidRPr="00AA614B">
              <w:rPr>
                <w:rFonts w:eastAsia="Times New Roman" w:cs="Arial"/>
                <w:sz w:val="22"/>
                <w:lang w:eastAsia="en-AU"/>
              </w:rPr>
              <w:t>A kerbside land valuation was undertaken in 2020 which confirmed the purchase price of $10.7m.</w:t>
            </w:r>
            <w:r w:rsidR="00A1315F">
              <w:rPr>
                <w:rFonts w:eastAsia="Times New Roman" w:cs="Arial"/>
                <w:sz w:val="22"/>
                <w:lang w:eastAsia="en-AU"/>
              </w:rPr>
              <w:t xml:space="preserve"> </w:t>
            </w:r>
          </w:p>
          <w:p w14:paraId="3CBD8D70" w14:textId="2BD2386D" w:rsidR="00F9722E" w:rsidRPr="00AA614B" w:rsidRDefault="00F9722E" w:rsidP="00F9722E">
            <w:pPr>
              <w:spacing w:after="0"/>
              <w:textAlignment w:val="baseline"/>
              <w:rPr>
                <w:rFonts w:ascii="Times New Roman" w:eastAsia="Times New Roman" w:hAnsi="Times New Roman" w:cs="Times New Roman"/>
                <w:sz w:val="22"/>
                <w:lang w:eastAsia="en-AU"/>
              </w:rPr>
            </w:pPr>
            <w:r w:rsidRPr="00AA614B">
              <w:rPr>
                <w:rFonts w:eastAsia="Times New Roman" w:cs="Arial"/>
                <w:sz w:val="22"/>
                <w:lang w:eastAsia="en-AU"/>
              </w:rPr>
              <w:t xml:space="preserve">South East Water undertook a detailed Master Planning for the Regional Plant. This process considered building on the existing Pakenham </w:t>
            </w:r>
            <w:r w:rsidR="002C12B1">
              <w:rPr>
                <w:rFonts w:eastAsia="Times New Roman" w:cs="Arial"/>
                <w:sz w:val="22"/>
                <w:lang w:eastAsia="en-AU"/>
              </w:rPr>
              <w:t>t</w:t>
            </w:r>
            <w:r w:rsidRPr="00AA614B">
              <w:rPr>
                <w:rFonts w:eastAsia="Times New Roman" w:cs="Arial"/>
                <w:sz w:val="22"/>
                <w:lang w:eastAsia="en-AU"/>
              </w:rPr>
              <w:t xml:space="preserve">reatment </w:t>
            </w:r>
            <w:r w:rsidR="002C12B1">
              <w:rPr>
                <w:rFonts w:eastAsia="Times New Roman" w:cs="Arial"/>
                <w:sz w:val="22"/>
                <w:lang w:eastAsia="en-AU"/>
              </w:rPr>
              <w:t>p</w:t>
            </w:r>
            <w:r w:rsidRPr="00AA614B">
              <w:rPr>
                <w:rFonts w:eastAsia="Times New Roman" w:cs="Arial"/>
                <w:sz w:val="22"/>
                <w:lang w:eastAsia="en-AU"/>
              </w:rPr>
              <w:t>lant or building the facility on the land. This highlighted a potential saving of $145</w:t>
            </w:r>
            <w:r w:rsidR="00A933AB">
              <w:rPr>
                <w:rFonts w:eastAsia="Times New Roman" w:cs="Arial"/>
                <w:sz w:val="22"/>
                <w:lang w:eastAsia="en-AU"/>
              </w:rPr>
              <w:t>m</w:t>
            </w:r>
            <w:r w:rsidRPr="00AA614B">
              <w:rPr>
                <w:rFonts w:eastAsia="Times New Roman" w:cs="Arial"/>
                <w:sz w:val="22"/>
                <w:lang w:eastAsia="en-AU"/>
              </w:rPr>
              <w:t xml:space="preserve"> and support the pursuit of the land purchase.</w:t>
            </w:r>
            <w:r w:rsidR="00A1315F">
              <w:rPr>
                <w:rFonts w:eastAsia="Times New Roman" w:cs="Arial"/>
                <w:sz w:val="22"/>
                <w:lang w:eastAsia="en-AU"/>
              </w:rPr>
              <w:t xml:space="preserve"> </w:t>
            </w:r>
          </w:p>
          <w:p w14:paraId="4EE7D42F" w14:textId="3ADB84FB" w:rsidR="00F9722E" w:rsidRPr="00AA614B" w:rsidRDefault="00F9722E" w:rsidP="00F9722E">
            <w:pPr>
              <w:spacing w:after="0"/>
              <w:textAlignment w:val="baseline"/>
              <w:rPr>
                <w:rFonts w:ascii="Times New Roman" w:eastAsia="Times New Roman" w:hAnsi="Times New Roman" w:cs="Times New Roman"/>
                <w:sz w:val="22"/>
                <w:lang w:eastAsia="en-AU"/>
              </w:rPr>
            </w:pPr>
            <w:r w:rsidRPr="00AA614B">
              <w:rPr>
                <w:rFonts w:eastAsia="Times New Roman" w:cs="Arial"/>
                <w:sz w:val="22"/>
                <w:lang w:eastAsia="en-AU"/>
              </w:rPr>
              <w:t>DARMS Property have been engaged to pursue the purchase of the land on behalf of South East Water.</w:t>
            </w:r>
            <w:r w:rsidR="00A1315F">
              <w:rPr>
                <w:rFonts w:eastAsia="Times New Roman" w:cs="Arial"/>
                <w:sz w:val="22"/>
                <w:lang w:eastAsia="en-AU"/>
              </w:rPr>
              <w:t xml:space="preserve"> </w:t>
            </w:r>
          </w:p>
          <w:p w14:paraId="4BBC3273" w14:textId="3A16E356" w:rsidR="00F9044D" w:rsidRPr="00AA614B" w:rsidRDefault="00F9722E" w:rsidP="00F9722E">
            <w:pPr>
              <w:spacing w:after="0"/>
              <w:textAlignment w:val="baseline"/>
              <w:rPr>
                <w:rFonts w:eastAsia="Times New Roman" w:cstheme="minorHAnsi"/>
                <w:b/>
                <w:bCs/>
                <w:sz w:val="22"/>
                <w:lang w:eastAsia="en-AU"/>
              </w:rPr>
            </w:pPr>
            <w:r w:rsidRPr="00AA614B">
              <w:rPr>
                <w:rFonts w:eastAsia="Times New Roman" w:cs="Arial"/>
                <w:sz w:val="22"/>
                <w:lang w:eastAsia="en-AU"/>
              </w:rPr>
              <w:t>There is potential for the land to be purchased in</w:t>
            </w:r>
            <w:r w:rsidR="00D976B9">
              <w:rPr>
                <w:rFonts w:eastAsia="Times New Roman" w:cs="Arial"/>
                <w:sz w:val="22"/>
                <w:lang w:eastAsia="en-AU"/>
              </w:rPr>
              <w:t xml:space="preserve"> </w:t>
            </w:r>
            <w:r w:rsidR="00D976B9" w:rsidRPr="00D976B9">
              <w:rPr>
                <w:rFonts w:eastAsia="Times New Roman" w:cstheme="minorHAnsi"/>
                <w:sz w:val="22"/>
                <w:lang w:eastAsia="en-AU"/>
              </w:rPr>
              <w:t>2018–23</w:t>
            </w:r>
            <w:r w:rsidRPr="00AA614B">
              <w:rPr>
                <w:rFonts w:eastAsia="Times New Roman" w:cs="Arial"/>
                <w:sz w:val="22"/>
                <w:lang w:eastAsia="en-AU"/>
              </w:rPr>
              <w:t>. However, if compulsory acquisition is required then the land purchase will be pushed out to 2023</w:t>
            </w:r>
            <w:r w:rsidR="00D976B9" w:rsidRPr="00D976B9">
              <w:rPr>
                <w:rFonts w:eastAsia="Times New Roman" w:cstheme="minorHAnsi"/>
                <w:sz w:val="22"/>
                <w:lang w:eastAsia="en-AU"/>
              </w:rPr>
              <w:t>–</w:t>
            </w:r>
            <w:r w:rsidRPr="00AA614B">
              <w:rPr>
                <w:rFonts w:eastAsia="Times New Roman" w:cs="Arial"/>
                <w:sz w:val="22"/>
                <w:lang w:eastAsia="en-AU"/>
              </w:rPr>
              <w:t>24.</w:t>
            </w:r>
            <w:r w:rsidR="00A1315F">
              <w:rPr>
                <w:rFonts w:eastAsia="Times New Roman" w:cs="Arial"/>
                <w:sz w:val="22"/>
                <w:lang w:eastAsia="en-AU"/>
              </w:rPr>
              <w:t xml:space="preserve"> </w:t>
            </w:r>
          </w:p>
        </w:tc>
      </w:tr>
      <w:tr w:rsidR="00F9044D" w:rsidRPr="00601368" w14:paraId="7E6007B4" w14:textId="77777777" w:rsidTr="00116E55">
        <w:tc>
          <w:tcPr>
            <w:tcW w:w="0" w:type="dxa"/>
            <w:tcBorders>
              <w:top w:val="single" w:sz="2" w:space="0" w:color="002279"/>
              <w:bottom w:val="single" w:sz="2" w:space="0" w:color="002279"/>
            </w:tcBorders>
            <w:vAlign w:val="center"/>
          </w:tcPr>
          <w:p w14:paraId="2073325E" w14:textId="3ACB71B5" w:rsidR="00F9044D" w:rsidRPr="00AA614B" w:rsidRDefault="00F9044D" w:rsidP="000C0D03">
            <w:pPr>
              <w:spacing w:after="0"/>
              <w:textAlignment w:val="baseline"/>
              <w:rPr>
                <w:rFonts w:eastAsia="Times New Roman" w:cstheme="minorHAnsi"/>
                <w:b/>
                <w:bCs/>
                <w:sz w:val="22"/>
                <w:lang w:eastAsia="en-AU"/>
              </w:rPr>
            </w:pPr>
            <w:r w:rsidRPr="00AA614B">
              <w:rPr>
                <w:rFonts w:eastAsia="Times New Roman" w:cstheme="minorHAnsi"/>
                <w:b/>
                <w:bCs/>
                <w:sz w:val="22"/>
                <w:lang w:eastAsia="en-AU"/>
              </w:rPr>
              <w:t>Actuals</w:t>
            </w:r>
            <w:r w:rsidR="00E27178">
              <w:rPr>
                <w:rFonts w:eastAsia="Times New Roman" w:cstheme="minorHAnsi"/>
                <w:b/>
                <w:bCs/>
                <w:sz w:val="22"/>
                <w:lang w:eastAsia="en-AU"/>
              </w:rPr>
              <w:t>/</w:t>
            </w:r>
            <w:r w:rsidRPr="00AA614B">
              <w:rPr>
                <w:rFonts w:eastAsia="Times New Roman" w:cstheme="minorHAnsi"/>
                <w:b/>
                <w:bCs/>
                <w:sz w:val="22"/>
                <w:lang w:eastAsia="en-AU"/>
              </w:rPr>
              <w:t xml:space="preserve">Forecast $ (30 June 2023): </w:t>
            </w:r>
            <w:r w:rsidR="00F9722E" w:rsidRPr="00AA614B">
              <w:rPr>
                <w:rFonts w:eastAsia="Times New Roman" w:cstheme="minorHAnsi"/>
                <w:sz w:val="22"/>
                <w:lang w:eastAsia="en-AU"/>
              </w:rPr>
              <w:t>$210</w:t>
            </w:r>
            <w:r w:rsidR="00A54EB7" w:rsidRPr="00AA614B">
              <w:rPr>
                <w:rFonts w:eastAsia="Times New Roman" w:cstheme="minorHAnsi"/>
                <w:sz w:val="22"/>
                <w:lang w:eastAsia="en-AU"/>
              </w:rPr>
              <w:t>,000</w:t>
            </w:r>
          </w:p>
        </w:tc>
      </w:tr>
      <w:tr w:rsidR="00F9044D" w:rsidRPr="00601368" w14:paraId="3C1ED059" w14:textId="77777777" w:rsidTr="00360131">
        <w:trPr>
          <w:trHeight w:val="964"/>
        </w:trPr>
        <w:tc>
          <w:tcPr>
            <w:tcW w:w="0" w:type="dxa"/>
            <w:tcBorders>
              <w:top w:val="single" w:sz="2" w:space="0" w:color="002279"/>
              <w:bottom w:val="single" w:sz="2" w:space="0" w:color="002279"/>
            </w:tcBorders>
          </w:tcPr>
          <w:p w14:paraId="45147023" w14:textId="136B9F86" w:rsidR="00F9044D" w:rsidRPr="00AA614B" w:rsidRDefault="00F9044D" w:rsidP="000C0D03">
            <w:pPr>
              <w:spacing w:after="0"/>
              <w:textAlignment w:val="baseline"/>
              <w:rPr>
                <w:rFonts w:eastAsia="Times New Roman" w:cstheme="minorHAnsi"/>
                <w:b/>
                <w:bCs/>
                <w:sz w:val="22"/>
                <w:lang w:eastAsia="en-AU"/>
              </w:rPr>
            </w:pPr>
            <w:r w:rsidRPr="00AA614B">
              <w:rPr>
                <w:rFonts w:eastAsia="Times New Roman" w:cstheme="minorHAnsi"/>
                <w:b/>
                <w:bCs/>
                <w:sz w:val="22"/>
                <w:lang w:eastAsia="en-AU"/>
              </w:rPr>
              <w:t>Reason for change</w:t>
            </w:r>
            <w:r w:rsidR="00E27178">
              <w:rPr>
                <w:rFonts w:eastAsia="Times New Roman" w:cstheme="minorHAnsi"/>
                <w:b/>
                <w:bCs/>
                <w:sz w:val="22"/>
                <w:lang w:eastAsia="en-AU"/>
              </w:rPr>
              <w:t>/</w:t>
            </w:r>
            <w:r w:rsidRPr="00AA614B">
              <w:rPr>
                <w:rFonts w:eastAsia="Times New Roman" w:cstheme="minorHAnsi"/>
                <w:b/>
                <w:bCs/>
                <w:sz w:val="22"/>
                <w:lang w:eastAsia="en-AU"/>
              </w:rPr>
              <w:t>difference between business case $ and Actuals</w:t>
            </w:r>
            <w:r w:rsidR="00E27178">
              <w:rPr>
                <w:rFonts w:eastAsia="Times New Roman" w:cstheme="minorHAnsi"/>
                <w:b/>
                <w:bCs/>
                <w:sz w:val="22"/>
                <w:lang w:eastAsia="en-AU"/>
              </w:rPr>
              <w:t>/</w:t>
            </w:r>
            <w:r w:rsidRPr="00AA614B">
              <w:rPr>
                <w:rFonts w:eastAsia="Times New Roman" w:cstheme="minorHAnsi"/>
                <w:b/>
                <w:bCs/>
                <w:sz w:val="22"/>
                <w:lang w:eastAsia="en-AU"/>
              </w:rPr>
              <w:t xml:space="preserve">Forecast $ (30 June 2023): </w:t>
            </w:r>
            <w:r w:rsidR="00587AE0" w:rsidRPr="00AA614B">
              <w:rPr>
                <w:rFonts w:eastAsia="Times New Roman" w:cs="Arial"/>
                <w:sz w:val="22"/>
                <w:lang w:eastAsia="en-AU"/>
              </w:rPr>
              <w:t>The money forecast to be spent is the engagement of the consultant to support the purchase of the property.</w:t>
            </w:r>
            <w:r w:rsidR="00A1315F">
              <w:rPr>
                <w:rFonts w:eastAsia="Times New Roman" w:cs="Arial"/>
                <w:sz w:val="22"/>
                <w:lang w:eastAsia="en-AU"/>
              </w:rPr>
              <w:t xml:space="preserve"> </w:t>
            </w:r>
          </w:p>
        </w:tc>
      </w:tr>
      <w:tr w:rsidR="00F9044D" w:rsidRPr="00601368" w14:paraId="789DDEFE" w14:textId="77777777" w:rsidTr="00116E55">
        <w:tc>
          <w:tcPr>
            <w:tcW w:w="0" w:type="dxa"/>
            <w:tcBorders>
              <w:top w:val="single" w:sz="2" w:space="0" w:color="002279"/>
              <w:bottom w:val="single" w:sz="2" w:space="0" w:color="002279"/>
            </w:tcBorders>
          </w:tcPr>
          <w:p w14:paraId="052BB3D0" w14:textId="22D385FD" w:rsidR="00F9044D" w:rsidRPr="00AA614B" w:rsidRDefault="00F9044D" w:rsidP="000C0D03">
            <w:pPr>
              <w:pStyle w:val="BodyText"/>
              <w:rPr>
                <w:rFonts w:eastAsia="Times New Roman" w:cstheme="minorHAnsi"/>
                <w:b/>
                <w:bCs/>
                <w:sz w:val="22"/>
                <w:lang w:eastAsia="en-AU"/>
              </w:rPr>
            </w:pPr>
            <w:r w:rsidRPr="00AA614B">
              <w:rPr>
                <w:rFonts w:eastAsia="Times New Roman" w:cstheme="minorHAnsi"/>
                <w:b/>
                <w:bCs/>
                <w:sz w:val="22"/>
                <w:lang w:eastAsia="en-AU"/>
              </w:rPr>
              <w:t xml:space="preserve">Actuals </w:t>
            </w:r>
            <w:r w:rsidR="00F94FAB">
              <w:rPr>
                <w:rFonts w:eastAsia="Times New Roman" w:cstheme="minorHAnsi"/>
                <w:b/>
                <w:bCs/>
                <w:sz w:val="22"/>
                <w:lang w:eastAsia="en-AU"/>
              </w:rPr>
              <w:t xml:space="preserve">at </w:t>
            </w:r>
            <w:r w:rsidRPr="00AA614B">
              <w:rPr>
                <w:rFonts w:eastAsia="Times New Roman" w:cstheme="minorHAnsi"/>
                <w:b/>
                <w:bCs/>
                <w:sz w:val="22"/>
                <w:lang w:eastAsia="en-AU"/>
              </w:rPr>
              <w:t xml:space="preserve">2022/23 (Q1): </w:t>
            </w:r>
            <w:r w:rsidR="00587AE0" w:rsidRPr="00AA614B">
              <w:rPr>
                <w:rFonts w:eastAsia="Times New Roman" w:cs="Arial"/>
                <w:sz w:val="22"/>
                <w:lang w:eastAsia="en-AU"/>
              </w:rPr>
              <w:t>$</w:t>
            </w:r>
            <w:r w:rsidR="00587AE0" w:rsidRPr="00AA614B">
              <w:rPr>
                <w:rFonts w:eastAsia="Times New Roman" w:cstheme="minorHAnsi"/>
                <w:sz w:val="22"/>
                <w:lang w:eastAsia="en-AU"/>
              </w:rPr>
              <w:t>50,000</w:t>
            </w:r>
          </w:p>
        </w:tc>
      </w:tr>
      <w:tr w:rsidR="00F9044D" w:rsidRPr="00601368" w14:paraId="723EAB00" w14:textId="77777777" w:rsidTr="00116E55">
        <w:tc>
          <w:tcPr>
            <w:tcW w:w="0" w:type="dxa"/>
            <w:tcBorders>
              <w:top w:val="single" w:sz="2" w:space="0" w:color="002279"/>
              <w:bottom w:val="single" w:sz="2" w:space="0" w:color="002279"/>
            </w:tcBorders>
          </w:tcPr>
          <w:p w14:paraId="5B80AB76" w14:textId="4BA167D1" w:rsidR="00F9044D" w:rsidRPr="00AA614B" w:rsidRDefault="00F9044D" w:rsidP="000C0D03">
            <w:pPr>
              <w:pStyle w:val="BodyText"/>
              <w:rPr>
                <w:rFonts w:eastAsia="Times New Roman" w:cstheme="minorHAnsi"/>
                <w:b/>
                <w:bCs/>
                <w:sz w:val="22"/>
                <w:lang w:eastAsia="en-AU"/>
              </w:rPr>
            </w:pPr>
            <w:r w:rsidRPr="00AA614B">
              <w:rPr>
                <w:rFonts w:eastAsia="Times New Roman" w:cstheme="minorHAnsi"/>
                <w:b/>
                <w:bCs/>
                <w:sz w:val="22"/>
                <w:lang w:eastAsia="en-AU"/>
              </w:rPr>
              <w:t>Project spend end date:</w:t>
            </w:r>
            <w:r w:rsidRPr="00AA614B">
              <w:rPr>
                <w:rFonts w:eastAsia="Times New Roman" w:cstheme="minorHAnsi"/>
                <w:sz w:val="22"/>
                <w:lang w:eastAsia="en-AU"/>
              </w:rPr>
              <w:t xml:space="preserve"> </w:t>
            </w:r>
            <w:r w:rsidRPr="00AA614B">
              <w:rPr>
                <w:rFonts w:eastAsia="Times New Roman" w:cs="Arial"/>
                <w:sz w:val="22"/>
                <w:lang w:eastAsia="en-AU"/>
              </w:rPr>
              <w:t>2023/2024 (Q</w:t>
            </w:r>
            <w:r w:rsidR="00587AE0" w:rsidRPr="00AA614B">
              <w:rPr>
                <w:rFonts w:eastAsia="Times New Roman" w:cs="Arial"/>
                <w:sz w:val="22"/>
                <w:lang w:eastAsia="en-AU"/>
              </w:rPr>
              <w:t>4</w:t>
            </w:r>
            <w:r w:rsidRPr="00AA614B">
              <w:rPr>
                <w:rFonts w:eastAsia="Times New Roman" w:cs="Arial"/>
                <w:sz w:val="22"/>
                <w:lang w:eastAsia="en-AU"/>
              </w:rPr>
              <w:t xml:space="preserve">) </w:t>
            </w:r>
          </w:p>
        </w:tc>
      </w:tr>
      <w:tr w:rsidR="00F9044D" w:rsidRPr="00601368" w14:paraId="67FC0E53" w14:textId="77777777" w:rsidTr="00116E55">
        <w:tc>
          <w:tcPr>
            <w:tcW w:w="0" w:type="dxa"/>
            <w:tcBorders>
              <w:top w:val="single" w:sz="2" w:space="0" w:color="002279"/>
              <w:bottom w:val="single" w:sz="2" w:space="0" w:color="002279"/>
            </w:tcBorders>
          </w:tcPr>
          <w:p w14:paraId="693316BC" w14:textId="27C7F821" w:rsidR="00F9044D" w:rsidRPr="00AA614B" w:rsidRDefault="00F9044D" w:rsidP="000C0D03">
            <w:pPr>
              <w:pStyle w:val="BodyText"/>
              <w:rPr>
                <w:rFonts w:eastAsia="Times New Roman" w:cstheme="minorHAnsi"/>
                <w:b/>
                <w:bCs/>
                <w:sz w:val="22"/>
                <w:lang w:eastAsia="en-AU"/>
              </w:rPr>
            </w:pPr>
            <w:r w:rsidRPr="00AA614B">
              <w:rPr>
                <w:rFonts w:eastAsia="Times New Roman" w:cstheme="minorHAnsi"/>
                <w:b/>
                <w:bCs/>
                <w:sz w:val="22"/>
                <w:lang w:eastAsia="en-AU"/>
              </w:rPr>
              <w:t xml:space="preserve">Project status: </w:t>
            </w:r>
            <w:r w:rsidRPr="00AA614B">
              <w:rPr>
                <w:rFonts w:eastAsia="Times New Roman" w:cs="Arial"/>
                <w:sz w:val="22"/>
                <w:lang w:eastAsia="en-AU"/>
              </w:rPr>
              <w:t xml:space="preserve">Delayed, </w:t>
            </w:r>
            <w:r w:rsidR="00960122">
              <w:rPr>
                <w:rFonts w:eastAsia="Times New Roman" w:cs="Arial"/>
                <w:sz w:val="22"/>
                <w:lang w:eastAsia="en-AU"/>
              </w:rPr>
              <w:t xml:space="preserve">that is, </w:t>
            </w:r>
            <w:r w:rsidRPr="00AA614B">
              <w:rPr>
                <w:rFonts w:eastAsia="Times New Roman" w:cs="Arial"/>
                <w:sz w:val="22"/>
                <w:lang w:eastAsia="en-AU"/>
              </w:rPr>
              <w:t>either the project start was delayed, or completion will be later than scheduled</w:t>
            </w:r>
          </w:p>
        </w:tc>
      </w:tr>
      <w:tr w:rsidR="00F9044D" w:rsidRPr="00601368" w14:paraId="4E102E74" w14:textId="77777777" w:rsidTr="00360131">
        <w:trPr>
          <w:trHeight w:val="1424"/>
        </w:trPr>
        <w:tc>
          <w:tcPr>
            <w:tcW w:w="0" w:type="dxa"/>
            <w:tcBorders>
              <w:top w:val="single" w:sz="2" w:space="0" w:color="002279"/>
              <w:bottom w:val="single" w:sz="2" w:space="0" w:color="002279"/>
            </w:tcBorders>
          </w:tcPr>
          <w:p w14:paraId="0EB843DD" w14:textId="1A1FD85F" w:rsidR="00F9044D" w:rsidRPr="00AA614B" w:rsidRDefault="00F9044D" w:rsidP="00AA614B">
            <w:pPr>
              <w:spacing w:after="0"/>
              <w:textAlignment w:val="baseline"/>
              <w:rPr>
                <w:rFonts w:eastAsia="Times New Roman" w:cstheme="minorHAnsi"/>
                <w:b/>
                <w:bCs/>
                <w:sz w:val="22"/>
                <w:lang w:eastAsia="en-AU"/>
              </w:rPr>
            </w:pPr>
            <w:r w:rsidRPr="00AA614B">
              <w:rPr>
                <w:rFonts w:eastAsia="Times New Roman" w:cstheme="minorHAnsi"/>
                <w:b/>
                <w:bCs/>
                <w:sz w:val="22"/>
                <w:lang w:eastAsia="en-AU"/>
              </w:rPr>
              <w:t xml:space="preserve">Project update: </w:t>
            </w:r>
            <w:r w:rsidR="006E0B15" w:rsidRPr="00AA614B">
              <w:rPr>
                <w:rFonts w:eastAsia="Times New Roman" w:cs="Arial"/>
                <w:sz w:val="22"/>
                <w:lang w:eastAsia="en-AU"/>
              </w:rPr>
              <w:t>South East Water has confirmed that master planning for the site and the need for purchase of the site. A strategy is being developed to purchase the land. If this is unsuccessful then compulsory accusation will be required. This delay has occurred due to the need to validate the strategic direction with the master planning work for the South East Regional Biofactory.</w:t>
            </w:r>
            <w:r w:rsidR="00A1315F">
              <w:rPr>
                <w:rFonts w:eastAsia="Times New Roman" w:cs="Arial"/>
                <w:sz w:val="22"/>
                <w:lang w:eastAsia="en-AU"/>
              </w:rPr>
              <w:t xml:space="preserve"> </w:t>
            </w:r>
          </w:p>
        </w:tc>
      </w:tr>
      <w:tr w:rsidR="00F9044D" w14:paraId="0400F4AC" w14:textId="77777777" w:rsidTr="00116E55">
        <w:trPr>
          <w:trHeight w:val="492"/>
        </w:trPr>
        <w:tc>
          <w:tcPr>
            <w:tcW w:w="0" w:type="dxa"/>
            <w:tcBorders>
              <w:top w:val="single" w:sz="2" w:space="0" w:color="002279"/>
              <w:bottom w:val="single" w:sz="2" w:space="0" w:color="002279"/>
            </w:tcBorders>
          </w:tcPr>
          <w:p w14:paraId="5DD308AE" w14:textId="3D86CCD3" w:rsidR="00F9044D" w:rsidRPr="00AA614B" w:rsidRDefault="00F9044D" w:rsidP="000C0D03">
            <w:pPr>
              <w:spacing w:after="0"/>
              <w:textAlignment w:val="baseline"/>
              <w:rPr>
                <w:rFonts w:eastAsia="Times New Roman" w:cstheme="minorHAnsi"/>
                <w:b/>
                <w:bCs/>
                <w:sz w:val="22"/>
                <w:lang w:eastAsia="en-AU"/>
              </w:rPr>
            </w:pPr>
            <w:r w:rsidRPr="00AA614B">
              <w:rPr>
                <w:rFonts w:eastAsia="Times New Roman" w:cstheme="minorHAnsi"/>
                <w:b/>
                <w:bCs/>
                <w:sz w:val="22"/>
                <w:lang w:eastAsia="en-AU"/>
              </w:rPr>
              <w:t xml:space="preserve">Indicative self-assessment score: </w:t>
            </w:r>
            <w:r w:rsidR="00AA614B" w:rsidRPr="00AA614B">
              <w:rPr>
                <w:rFonts w:eastAsia="Times New Roman" w:cs="Arial"/>
                <w:sz w:val="22"/>
                <w:lang w:eastAsia="en-AU"/>
              </w:rPr>
              <w:t>Not</w:t>
            </w:r>
            <w:r w:rsidR="00AA614B" w:rsidRPr="00F122D9">
              <w:rPr>
                <w:rFonts w:eastAsia="Times New Roman" w:cstheme="minorHAnsi"/>
                <w:sz w:val="22"/>
                <w:lang w:eastAsia="en-AU"/>
              </w:rPr>
              <w:t xml:space="preserve"> consistent with </w:t>
            </w:r>
            <w:r w:rsidR="00AA614B" w:rsidRPr="00AA614B">
              <w:rPr>
                <w:rFonts w:eastAsia="Times New Roman" w:cs="Arial"/>
                <w:sz w:val="22"/>
                <w:lang w:eastAsia="en-AU"/>
              </w:rPr>
              <w:t>the</w:t>
            </w:r>
            <w:r w:rsidR="00AA614B" w:rsidRPr="00F122D9">
              <w:rPr>
                <w:rFonts w:eastAsia="Times New Roman" w:cstheme="minorHAnsi"/>
                <w:sz w:val="22"/>
                <w:lang w:eastAsia="en-AU"/>
              </w:rPr>
              <w:t xml:space="preserve"> 2018</w:t>
            </w:r>
            <w:r w:rsidR="00F243DC">
              <w:rPr>
                <w:rFonts w:eastAsia="Times New Roman" w:cstheme="minorHAnsi"/>
                <w:sz w:val="22"/>
                <w:lang w:eastAsia="en-AU"/>
              </w:rPr>
              <w:t>–</w:t>
            </w:r>
            <w:r w:rsidR="00AA614B" w:rsidRPr="00F122D9">
              <w:rPr>
                <w:rFonts w:eastAsia="Times New Roman" w:cstheme="minorHAnsi"/>
                <w:sz w:val="22"/>
                <w:lang w:eastAsia="en-AU"/>
              </w:rPr>
              <w:t>23</w:t>
            </w:r>
            <w:r w:rsidR="00AA614B" w:rsidRPr="00AA614B">
              <w:rPr>
                <w:rFonts w:eastAsia="Times New Roman" w:cs="Arial"/>
                <w:sz w:val="22"/>
                <w:lang w:eastAsia="en-AU"/>
              </w:rPr>
              <w:t xml:space="preserve"> commitment</w:t>
            </w:r>
          </w:p>
        </w:tc>
      </w:tr>
    </w:tbl>
    <w:p w14:paraId="2A5A3F5F" w14:textId="77777777" w:rsidR="00193C6B" w:rsidRDefault="00193C6B" w:rsidP="002E2F37">
      <w:pPr>
        <w:spacing w:after="0"/>
        <w:textAlignment w:val="baseline"/>
        <w:rPr>
          <w:rFonts w:eastAsia="Times New Roman" w:cs="Arial"/>
          <w:sz w:val="20"/>
          <w:szCs w:val="20"/>
          <w:lang w:eastAsia="en-AU"/>
        </w:rPr>
      </w:pPr>
    </w:p>
    <w:tbl>
      <w:tblPr>
        <w:tblStyle w:val="MJTableStyle1default"/>
        <w:tblW w:w="9246" w:type="dxa"/>
        <w:tblInd w:w="0" w:type="dxa"/>
        <w:tblLook w:val="06A0" w:firstRow="1" w:lastRow="0" w:firstColumn="1" w:lastColumn="0" w:noHBand="1" w:noVBand="1"/>
      </w:tblPr>
      <w:tblGrid>
        <w:gridCol w:w="9246"/>
      </w:tblGrid>
      <w:tr w:rsidR="00573EF0" w:rsidRPr="00601368" w14:paraId="798A9C60" w14:textId="77777777" w:rsidTr="00116E55">
        <w:trPr>
          <w:cnfStyle w:val="100000000000" w:firstRow="1" w:lastRow="0" w:firstColumn="0" w:lastColumn="0" w:oddVBand="0" w:evenVBand="0" w:oddHBand="0" w:evenHBand="0" w:firstRowFirstColumn="0" w:firstRowLastColumn="0" w:lastRowFirstColumn="0" w:lastRowLastColumn="0"/>
          <w:trHeight w:val="629"/>
          <w:tblHeader/>
        </w:trPr>
        <w:tc>
          <w:tcPr>
            <w:tcW w:w="0" w:type="dxa"/>
            <w:tcBorders>
              <w:top w:val="single" w:sz="2" w:space="0" w:color="002279"/>
              <w:bottom w:val="single" w:sz="2" w:space="0" w:color="002279"/>
            </w:tcBorders>
            <w:shd w:val="clear" w:color="auto" w:fill="002279"/>
            <w:vAlign w:val="center"/>
          </w:tcPr>
          <w:p w14:paraId="53297C19" w14:textId="4007C6DA" w:rsidR="00573EF0" w:rsidRPr="00116E55" w:rsidRDefault="00573EF0" w:rsidP="00825A9C">
            <w:pPr>
              <w:pStyle w:val="Heading2"/>
              <w:outlineLvl w:val="1"/>
              <w:rPr>
                <w:rFonts w:cstheme="minorHAnsi"/>
                <w:sz w:val="22"/>
                <w:szCs w:val="22"/>
              </w:rPr>
            </w:pPr>
            <w:r w:rsidRPr="00116E55">
              <w:rPr>
                <w:color w:val="FFFFFF" w:themeColor="background1"/>
                <w:sz w:val="22"/>
                <w:szCs w:val="22"/>
              </w:rPr>
              <w:lastRenderedPageBreak/>
              <w:t>PROJECT 10: Water Recycling Plants</w:t>
            </w:r>
            <w:r w:rsidR="00EE79A0">
              <w:rPr>
                <w:color w:val="FFFFFF" w:themeColor="background1"/>
                <w:sz w:val="22"/>
                <w:szCs w:val="22"/>
              </w:rPr>
              <w:t xml:space="preserve"> </w:t>
            </w:r>
            <w:r w:rsidRPr="00116E55">
              <w:rPr>
                <w:color w:val="FFFFFF" w:themeColor="background1"/>
                <w:sz w:val="22"/>
                <w:szCs w:val="22"/>
              </w:rPr>
              <w:t>Sludge Drying Pans and Stockpile Areas upgrades delivery per</w:t>
            </w:r>
            <w:r w:rsidR="00222E90" w:rsidRPr="00116E55">
              <w:rPr>
                <w:color w:val="FFFFFF" w:themeColor="background1"/>
                <w:sz w:val="22"/>
                <w:szCs w:val="22"/>
              </w:rPr>
              <w:t xml:space="preserve">formance </w:t>
            </w:r>
          </w:p>
        </w:tc>
      </w:tr>
      <w:tr w:rsidR="00573EF0" w:rsidRPr="00601368" w14:paraId="62BFFF4D" w14:textId="77777777" w:rsidTr="00116E55">
        <w:tc>
          <w:tcPr>
            <w:tcW w:w="0" w:type="dxa"/>
            <w:tcBorders>
              <w:top w:val="single" w:sz="2" w:space="0" w:color="002279"/>
              <w:bottom w:val="single" w:sz="2" w:space="0" w:color="002279"/>
            </w:tcBorders>
          </w:tcPr>
          <w:p w14:paraId="0D431D19" w14:textId="64907A0D" w:rsidR="00573EF0" w:rsidRPr="00AA193E" w:rsidRDefault="00573EF0" w:rsidP="000C0D03">
            <w:pPr>
              <w:spacing w:line="259" w:lineRule="auto"/>
              <w:rPr>
                <w:rFonts w:cstheme="minorHAnsi"/>
                <w:sz w:val="22"/>
              </w:rPr>
            </w:pPr>
            <w:r w:rsidRPr="00AA193E">
              <w:rPr>
                <w:rFonts w:cstheme="minorHAnsi"/>
                <w:b/>
                <w:sz w:val="22"/>
              </w:rPr>
              <w:t xml:space="preserve">Major service: </w:t>
            </w:r>
            <w:r w:rsidRPr="00AA193E">
              <w:rPr>
                <w:rFonts w:cstheme="minorHAnsi"/>
                <w:bCs/>
                <w:sz w:val="22"/>
              </w:rPr>
              <w:t>Sewerage</w:t>
            </w:r>
            <w:r w:rsidR="00A1315F">
              <w:rPr>
                <w:rFonts w:cstheme="minorHAnsi"/>
                <w:b/>
                <w:sz w:val="22"/>
              </w:rPr>
              <w:t xml:space="preserve"> </w:t>
            </w:r>
          </w:p>
        </w:tc>
      </w:tr>
      <w:tr w:rsidR="00573EF0" w:rsidRPr="00601368" w14:paraId="1FBB51B0" w14:textId="77777777" w:rsidTr="00116E55">
        <w:tc>
          <w:tcPr>
            <w:tcW w:w="0" w:type="dxa"/>
            <w:tcBorders>
              <w:top w:val="single" w:sz="2" w:space="0" w:color="002279"/>
              <w:bottom w:val="single" w:sz="2" w:space="0" w:color="002279"/>
            </w:tcBorders>
          </w:tcPr>
          <w:p w14:paraId="7AB22827" w14:textId="7BA315DF" w:rsidR="00573EF0" w:rsidRPr="00AA193E" w:rsidRDefault="00573EF0" w:rsidP="000C0D03">
            <w:pPr>
              <w:spacing w:line="259" w:lineRule="auto"/>
              <w:rPr>
                <w:rFonts w:cstheme="minorHAnsi"/>
                <w:sz w:val="22"/>
              </w:rPr>
            </w:pPr>
            <w:r w:rsidRPr="00AA193E">
              <w:rPr>
                <w:rFonts w:cstheme="minorHAnsi"/>
                <w:b/>
                <w:sz w:val="22"/>
              </w:rPr>
              <w:t xml:space="preserve">Asset category: </w:t>
            </w:r>
            <w:r w:rsidR="00222E90" w:rsidRPr="00AA193E">
              <w:rPr>
                <w:rFonts w:cstheme="minorHAnsi"/>
                <w:bCs/>
                <w:sz w:val="22"/>
              </w:rPr>
              <w:t>T</w:t>
            </w:r>
            <w:r w:rsidRPr="00AA193E">
              <w:rPr>
                <w:rFonts w:cstheme="minorHAnsi"/>
                <w:bCs/>
                <w:sz w:val="22"/>
              </w:rPr>
              <w:t>reatment</w:t>
            </w:r>
            <w:r w:rsidR="00A1315F">
              <w:rPr>
                <w:rFonts w:cstheme="minorHAnsi"/>
                <w:b/>
                <w:sz w:val="22"/>
              </w:rPr>
              <w:t xml:space="preserve"> </w:t>
            </w:r>
          </w:p>
        </w:tc>
      </w:tr>
      <w:tr w:rsidR="00573EF0" w:rsidRPr="00601368" w14:paraId="6A1427C3" w14:textId="77777777" w:rsidTr="00116E55">
        <w:tc>
          <w:tcPr>
            <w:tcW w:w="0" w:type="dxa"/>
            <w:tcBorders>
              <w:top w:val="single" w:sz="2" w:space="0" w:color="002279"/>
              <w:bottom w:val="single" w:sz="2" w:space="0" w:color="002279"/>
            </w:tcBorders>
          </w:tcPr>
          <w:p w14:paraId="45E3E75B" w14:textId="15C9E04A" w:rsidR="00F94F7A" w:rsidRPr="00AA193E" w:rsidRDefault="00573EF0" w:rsidP="00F94F7A">
            <w:pPr>
              <w:spacing w:after="0"/>
              <w:textAlignment w:val="baseline"/>
              <w:rPr>
                <w:rFonts w:ascii="Times New Roman" w:eastAsia="Times New Roman" w:hAnsi="Times New Roman" w:cs="Times New Roman"/>
                <w:sz w:val="22"/>
                <w:lang w:eastAsia="en-AU"/>
              </w:rPr>
            </w:pPr>
            <w:r w:rsidRPr="00AA193E">
              <w:rPr>
                <w:rFonts w:cstheme="minorHAnsi"/>
                <w:b/>
                <w:sz w:val="22"/>
              </w:rPr>
              <w:t xml:space="preserve">Driver: </w:t>
            </w:r>
            <w:r w:rsidR="00F94F7A" w:rsidRPr="00AA193E">
              <w:rPr>
                <w:rFonts w:eastAsia="Times New Roman" w:cs="Arial"/>
                <w:sz w:val="22"/>
                <w:lang w:eastAsia="en-AU"/>
              </w:rPr>
              <w:t>Renewals (Reliability)</w:t>
            </w:r>
            <w:r w:rsidR="00A1315F">
              <w:rPr>
                <w:rFonts w:eastAsia="Times New Roman" w:cs="Arial"/>
                <w:sz w:val="22"/>
                <w:lang w:eastAsia="en-AU"/>
              </w:rPr>
              <w:t xml:space="preserve"> </w:t>
            </w:r>
          </w:p>
          <w:p w14:paraId="7039879B" w14:textId="776C9563" w:rsidR="00573EF0" w:rsidRPr="00AA193E" w:rsidRDefault="00F94F7A" w:rsidP="00F94F7A">
            <w:pPr>
              <w:spacing w:line="259" w:lineRule="auto"/>
              <w:rPr>
                <w:rFonts w:cstheme="minorHAnsi"/>
                <w:b/>
                <w:sz w:val="22"/>
              </w:rPr>
            </w:pPr>
            <w:r w:rsidRPr="00AA193E">
              <w:rPr>
                <w:rFonts w:eastAsia="Times New Roman" w:cs="Arial"/>
                <w:sz w:val="22"/>
                <w:lang w:eastAsia="en-AU"/>
              </w:rPr>
              <w:t xml:space="preserve">The sludge drying and stockpile areas at a number of </w:t>
            </w:r>
            <w:r w:rsidR="00412A22">
              <w:rPr>
                <w:rFonts w:eastAsia="Times New Roman" w:cs="Arial"/>
                <w:sz w:val="22"/>
                <w:lang w:eastAsia="en-AU"/>
              </w:rPr>
              <w:t>water recycling plant</w:t>
            </w:r>
            <w:r w:rsidRPr="00AA193E">
              <w:rPr>
                <w:rFonts w:eastAsia="Times New Roman" w:cs="Arial"/>
                <w:sz w:val="22"/>
                <w:lang w:eastAsia="en-AU"/>
              </w:rPr>
              <w:t>s require relining on a regular basis to minimise possible environmental contamination. </w:t>
            </w:r>
          </w:p>
        </w:tc>
      </w:tr>
      <w:tr w:rsidR="00573EF0" w:rsidRPr="00601368" w14:paraId="7FA160E0" w14:textId="77777777" w:rsidTr="00360131">
        <w:trPr>
          <w:trHeight w:val="1546"/>
        </w:trPr>
        <w:tc>
          <w:tcPr>
            <w:tcW w:w="0" w:type="dxa"/>
            <w:tcBorders>
              <w:top w:val="single" w:sz="2" w:space="0" w:color="002279"/>
              <w:bottom w:val="single" w:sz="2" w:space="0" w:color="002279"/>
            </w:tcBorders>
          </w:tcPr>
          <w:p w14:paraId="6AA1936D" w14:textId="67FA5F17" w:rsidR="006A2AF7" w:rsidRPr="00AA193E" w:rsidRDefault="00573EF0" w:rsidP="006A2AF7">
            <w:pPr>
              <w:spacing w:after="0"/>
              <w:textAlignment w:val="baseline"/>
              <w:rPr>
                <w:rFonts w:ascii="Times New Roman" w:eastAsia="Times New Roman" w:hAnsi="Times New Roman" w:cs="Times New Roman"/>
                <w:sz w:val="22"/>
                <w:lang w:eastAsia="en-AU"/>
              </w:rPr>
            </w:pPr>
            <w:r w:rsidRPr="00AA193E">
              <w:rPr>
                <w:rFonts w:cstheme="minorHAnsi"/>
                <w:b/>
                <w:sz w:val="22"/>
              </w:rPr>
              <w:t xml:space="preserve">Description: </w:t>
            </w:r>
            <w:r w:rsidR="006A2AF7" w:rsidRPr="00AA193E">
              <w:rPr>
                <w:rFonts w:eastAsia="Times New Roman" w:cs="Arial"/>
                <w:sz w:val="22"/>
                <w:lang w:eastAsia="en-AU"/>
              </w:rPr>
              <w:t>The project encompasses the development and implementation of a relining strategy for the sludge drying pans (SDP) and sludge stockpile areas (SSA) at South East Water</w:t>
            </w:r>
            <w:r w:rsidR="00612583">
              <w:rPr>
                <w:rFonts w:eastAsia="Times New Roman" w:cs="Arial"/>
                <w:sz w:val="22"/>
                <w:lang w:eastAsia="en-AU"/>
              </w:rPr>
              <w:t>’</w:t>
            </w:r>
            <w:r w:rsidR="006A2AF7" w:rsidRPr="00AA193E">
              <w:rPr>
                <w:rFonts w:eastAsia="Times New Roman" w:cs="Arial"/>
                <w:sz w:val="22"/>
                <w:lang w:eastAsia="en-AU"/>
              </w:rPr>
              <w:t xml:space="preserve">s </w:t>
            </w:r>
            <w:r w:rsidR="00EE79A0">
              <w:rPr>
                <w:rFonts w:eastAsia="Times New Roman" w:cs="Arial"/>
                <w:sz w:val="22"/>
                <w:lang w:eastAsia="en-AU"/>
              </w:rPr>
              <w:t xml:space="preserve">water recycling plants </w:t>
            </w:r>
            <w:r w:rsidR="006A2AF7" w:rsidRPr="00AA193E">
              <w:rPr>
                <w:rFonts w:eastAsia="Times New Roman" w:cs="Arial"/>
                <w:sz w:val="22"/>
                <w:lang w:eastAsia="en-AU"/>
              </w:rPr>
              <w:t>over the next 5 years.  </w:t>
            </w:r>
          </w:p>
          <w:p w14:paraId="224657C2" w14:textId="2F0520A5" w:rsidR="00573EF0" w:rsidRPr="00AA193E" w:rsidRDefault="006A2AF7" w:rsidP="006A2AF7">
            <w:pPr>
              <w:spacing w:after="0"/>
              <w:textAlignment w:val="baseline"/>
              <w:rPr>
                <w:rFonts w:cstheme="minorHAnsi"/>
                <w:sz w:val="22"/>
              </w:rPr>
            </w:pPr>
            <w:r w:rsidRPr="00AA193E">
              <w:rPr>
                <w:rFonts w:eastAsia="Times New Roman" w:cs="Arial"/>
                <w:sz w:val="22"/>
                <w:lang w:eastAsia="en-AU"/>
              </w:rPr>
              <w:t xml:space="preserve">This project included cement treated crushed rock (CTCR) lining of the drying pans and stockpile areas at Boneo, </w:t>
            </w:r>
            <w:r w:rsidR="00FA522F">
              <w:rPr>
                <w:rFonts w:eastAsia="Times New Roman" w:cs="Arial"/>
                <w:sz w:val="22"/>
                <w:lang w:eastAsia="en-AU"/>
              </w:rPr>
              <w:t>Mount</w:t>
            </w:r>
            <w:r w:rsidRPr="00AA193E">
              <w:rPr>
                <w:rFonts w:eastAsia="Times New Roman" w:cs="Arial"/>
                <w:sz w:val="22"/>
                <w:lang w:eastAsia="en-AU"/>
              </w:rPr>
              <w:t xml:space="preserve"> Martha, Somers and Pakenham. </w:t>
            </w:r>
          </w:p>
        </w:tc>
      </w:tr>
      <w:tr w:rsidR="00573EF0" w:rsidRPr="00601368" w14:paraId="5BE366A3" w14:textId="77777777" w:rsidTr="00116E55">
        <w:tc>
          <w:tcPr>
            <w:tcW w:w="0" w:type="dxa"/>
            <w:tcBorders>
              <w:top w:val="single" w:sz="2" w:space="0" w:color="002279"/>
              <w:bottom w:val="single" w:sz="2" w:space="0" w:color="002279"/>
            </w:tcBorders>
          </w:tcPr>
          <w:p w14:paraId="6D0E6270" w14:textId="77777777" w:rsidR="00573EF0" w:rsidRPr="00AA193E" w:rsidRDefault="00573EF0" w:rsidP="000C0D03">
            <w:pPr>
              <w:rPr>
                <w:rFonts w:cstheme="minorHAnsi"/>
                <w:sz w:val="22"/>
              </w:rPr>
            </w:pPr>
            <w:r w:rsidRPr="00AA193E">
              <w:rPr>
                <w:rFonts w:cstheme="minorHAnsi"/>
                <w:b/>
                <w:sz w:val="22"/>
              </w:rPr>
              <w:t>Customer outcome:</w:t>
            </w:r>
            <w:r w:rsidRPr="00AA193E">
              <w:rPr>
                <w:rFonts w:cstheme="minorHAnsi"/>
                <w:sz w:val="22"/>
              </w:rPr>
              <w:t xml:space="preserve"> </w:t>
            </w:r>
            <w:r w:rsidRPr="00AA193E">
              <w:rPr>
                <w:rFonts w:cstheme="minorHAnsi"/>
                <w:i/>
                <w:iCs/>
                <w:sz w:val="22"/>
              </w:rPr>
              <w:t>Get the basics right, always</w:t>
            </w:r>
            <w:r w:rsidRPr="00AA193E">
              <w:rPr>
                <w:rFonts w:cstheme="minorHAnsi"/>
                <w:sz w:val="22"/>
              </w:rPr>
              <w:t xml:space="preserve"> </w:t>
            </w:r>
          </w:p>
        </w:tc>
      </w:tr>
      <w:tr w:rsidR="00573EF0" w:rsidRPr="00601368" w14:paraId="213F144C" w14:textId="77777777" w:rsidTr="00360131">
        <w:trPr>
          <w:trHeight w:val="752"/>
        </w:trPr>
        <w:tc>
          <w:tcPr>
            <w:tcW w:w="0" w:type="dxa"/>
            <w:tcBorders>
              <w:top w:val="single" w:sz="2" w:space="0" w:color="002279"/>
              <w:bottom w:val="single" w:sz="2" w:space="0" w:color="002279"/>
            </w:tcBorders>
            <w:vAlign w:val="center"/>
          </w:tcPr>
          <w:p w14:paraId="3DE5501C" w14:textId="43475D44" w:rsidR="00573EF0" w:rsidRPr="00AA193E" w:rsidRDefault="00573EF0" w:rsidP="000C0D03">
            <w:pPr>
              <w:spacing w:after="0"/>
              <w:textAlignment w:val="baseline"/>
              <w:rPr>
                <w:rFonts w:eastAsia="Times New Roman" w:cstheme="minorHAnsi"/>
                <w:b/>
                <w:bCs/>
                <w:sz w:val="22"/>
                <w:lang w:eastAsia="en-AU"/>
              </w:rPr>
            </w:pPr>
            <w:r w:rsidRPr="00AA193E">
              <w:rPr>
                <w:rFonts w:eastAsia="Times New Roman" w:cstheme="minorHAnsi"/>
                <w:b/>
                <w:bCs/>
                <w:sz w:val="22"/>
                <w:lang w:eastAsia="en-AU"/>
              </w:rPr>
              <w:t>Objective:</w:t>
            </w:r>
            <w:r w:rsidRPr="00AA193E">
              <w:rPr>
                <w:rFonts w:eastAsia="Times New Roman" w:cstheme="minorHAnsi"/>
                <w:sz w:val="22"/>
                <w:lang w:eastAsia="en-AU"/>
              </w:rPr>
              <w:t xml:space="preserve"> </w:t>
            </w:r>
            <w:r w:rsidR="006F7C3E" w:rsidRPr="00AA193E">
              <w:rPr>
                <w:rFonts w:eastAsia="Times New Roman" w:cs="Arial"/>
                <w:sz w:val="22"/>
                <w:lang w:eastAsia="en-AU"/>
              </w:rPr>
              <w:t>To implement the optimal strategy for relining the sludge drying pans and sludge storage areas across South East Water</w:t>
            </w:r>
            <w:r w:rsidR="00612583">
              <w:rPr>
                <w:rFonts w:eastAsia="Times New Roman" w:cs="Arial"/>
                <w:sz w:val="22"/>
                <w:lang w:eastAsia="en-AU"/>
              </w:rPr>
              <w:t>’</w:t>
            </w:r>
            <w:r w:rsidR="006F7C3E" w:rsidRPr="00AA193E">
              <w:rPr>
                <w:rFonts w:eastAsia="Times New Roman" w:cs="Arial"/>
                <w:sz w:val="22"/>
                <w:lang w:eastAsia="en-AU"/>
              </w:rPr>
              <w:t xml:space="preserve">s </w:t>
            </w:r>
            <w:r w:rsidR="00D976B9">
              <w:rPr>
                <w:rFonts w:eastAsia="Times New Roman" w:cs="Arial"/>
                <w:sz w:val="22"/>
                <w:lang w:eastAsia="en-AU"/>
              </w:rPr>
              <w:t xml:space="preserve">water recycling </w:t>
            </w:r>
            <w:r w:rsidR="006F7C3E" w:rsidRPr="00AA193E">
              <w:rPr>
                <w:rFonts w:eastAsia="Times New Roman" w:cs="Arial"/>
                <w:sz w:val="22"/>
                <w:lang w:eastAsia="en-AU"/>
              </w:rPr>
              <w:t>plants. </w:t>
            </w:r>
          </w:p>
        </w:tc>
      </w:tr>
      <w:tr w:rsidR="00573EF0" w:rsidRPr="00601368" w14:paraId="1EF8277E" w14:textId="77777777" w:rsidTr="00116E55">
        <w:tc>
          <w:tcPr>
            <w:tcW w:w="0" w:type="dxa"/>
            <w:tcBorders>
              <w:top w:val="single" w:sz="2" w:space="0" w:color="002279"/>
              <w:bottom w:val="single" w:sz="2" w:space="0" w:color="002279"/>
            </w:tcBorders>
            <w:vAlign w:val="center"/>
          </w:tcPr>
          <w:p w14:paraId="0BFA5E16" w14:textId="48F28C52" w:rsidR="00573EF0" w:rsidRPr="00AA193E" w:rsidRDefault="00573EF0" w:rsidP="000C0D03">
            <w:pPr>
              <w:pStyle w:val="BodyText"/>
              <w:rPr>
                <w:rFonts w:eastAsia="Times New Roman" w:cstheme="minorHAnsi"/>
                <w:b/>
                <w:bCs/>
                <w:sz w:val="22"/>
                <w:lang w:eastAsia="en-AU"/>
              </w:rPr>
            </w:pPr>
            <w:r w:rsidRPr="00AA193E">
              <w:rPr>
                <w:rFonts w:eastAsia="Times New Roman" w:cstheme="minorHAnsi"/>
                <w:b/>
                <w:bCs/>
                <w:sz w:val="22"/>
                <w:lang w:eastAsia="en-AU"/>
              </w:rPr>
              <w:t>2018</w:t>
            </w:r>
            <w:r w:rsidR="00F243DC">
              <w:rPr>
                <w:rFonts w:eastAsia="Times New Roman" w:cstheme="minorHAnsi"/>
                <w:b/>
                <w:bCs/>
                <w:sz w:val="22"/>
                <w:lang w:eastAsia="en-AU"/>
              </w:rPr>
              <w:t>–</w:t>
            </w:r>
            <w:r w:rsidRPr="00AA193E">
              <w:rPr>
                <w:rFonts w:eastAsia="Times New Roman" w:cstheme="minorHAnsi"/>
                <w:b/>
                <w:bCs/>
                <w:sz w:val="22"/>
                <w:lang w:eastAsia="en-AU"/>
              </w:rPr>
              <w:t xml:space="preserve">2023 estimate $ submitted to ESC: </w:t>
            </w:r>
            <w:r w:rsidR="00650E79" w:rsidRPr="00AA193E">
              <w:rPr>
                <w:rFonts w:eastAsia="Times New Roman" w:cs="Arial"/>
                <w:sz w:val="22"/>
                <w:lang w:eastAsia="en-AU"/>
              </w:rPr>
              <w:t>$10.2</w:t>
            </w:r>
            <w:r w:rsidR="00A933AB">
              <w:rPr>
                <w:rFonts w:eastAsia="Times New Roman" w:cs="Arial"/>
                <w:sz w:val="22"/>
                <w:lang w:eastAsia="en-AU"/>
              </w:rPr>
              <w:t>m</w:t>
            </w:r>
            <w:r w:rsidR="00650E79" w:rsidRPr="00AA193E">
              <w:rPr>
                <w:rFonts w:eastAsia="Times New Roman" w:cs="Arial"/>
                <w:sz w:val="22"/>
                <w:lang w:eastAsia="en-AU"/>
              </w:rPr>
              <w:t xml:space="preserve"> in </w:t>
            </w:r>
            <w:r w:rsidR="00D976B9" w:rsidRPr="00D976B9">
              <w:rPr>
                <w:rFonts w:eastAsia="Times New Roman" w:cstheme="minorHAnsi"/>
                <w:sz w:val="22"/>
                <w:lang w:eastAsia="en-AU"/>
              </w:rPr>
              <w:t>–</w:t>
            </w:r>
            <w:r w:rsidR="00650E79" w:rsidRPr="00AA193E">
              <w:rPr>
                <w:rFonts w:eastAsia="Times New Roman" w:cs="Arial"/>
                <w:sz w:val="22"/>
                <w:lang w:eastAsia="en-AU"/>
              </w:rPr>
              <w:t>of a total of $11.8</w:t>
            </w:r>
            <w:r w:rsidR="00A933AB">
              <w:rPr>
                <w:rFonts w:eastAsia="Times New Roman" w:cs="Arial"/>
                <w:sz w:val="22"/>
                <w:lang w:eastAsia="en-AU"/>
              </w:rPr>
              <w:t>m</w:t>
            </w:r>
            <w:r w:rsidR="00650E79" w:rsidRPr="00AA193E">
              <w:rPr>
                <w:rFonts w:eastAsia="Times New Roman" w:cs="Arial"/>
                <w:sz w:val="22"/>
                <w:lang w:eastAsia="en-AU"/>
              </w:rPr>
              <w:t xml:space="preserve"> completed over </w:t>
            </w:r>
            <w:r w:rsidR="00D976B9" w:rsidRPr="00D976B9">
              <w:rPr>
                <w:rFonts w:eastAsia="Times New Roman" w:cstheme="minorHAnsi"/>
                <w:sz w:val="22"/>
                <w:lang w:eastAsia="en-AU"/>
              </w:rPr>
              <w:t>201</w:t>
            </w:r>
            <w:r w:rsidR="00D976B9">
              <w:rPr>
                <w:rFonts w:eastAsia="Times New Roman" w:cstheme="minorHAnsi"/>
                <w:sz w:val="22"/>
                <w:lang w:eastAsia="en-AU"/>
              </w:rPr>
              <w:t>3</w:t>
            </w:r>
            <w:r w:rsidR="00D976B9" w:rsidRPr="00D976B9">
              <w:rPr>
                <w:rFonts w:eastAsia="Times New Roman" w:cstheme="minorHAnsi"/>
                <w:sz w:val="22"/>
                <w:lang w:eastAsia="en-AU"/>
              </w:rPr>
              <w:t>–</w:t>
            </w:r>
            <w:r w:rsidR="00D976B9">
              <w:rPr>
                <w:rFonts w:eastAsia="Times New Roman" w:cstheme="minorHAnsi"/>
                <w:sz w:val="22"/>
                <w:lang w:eastAsia="en-AU"/>
              </w:rPr>
              <w:t>18</w:t>
            </w:r>
            <w:r w:rsidR="00650E79" w:rsidRPr="00AA193E">
              <w:rPr>
                <w:rFonts w:eastAsia="Times New Roman" w:cs="Arial"/>
                <w:sz w:val="22"/>
                <w:lang w:eastAsia="en-AU"/>
              </w:rPr>
              <w:t xml:space="preserve"> and</w:t>
            </w:r>
            <w:r w:rsidR="00D976B9">
              <w:rPr>
                <w:rFonts w:eastAsia="Times New Roman" w:cs="Arial"/>
                <w:sz w:val="22"/>
                <w:lang w:eastAsia="en-AU"/>
              </w:rPr>
              <w:t xml:space="preserve"> </w:t>
            </w:r>
            <w:r w:rsidR="00D976B9" w:rsidRPr="00D976B9">
              <w:rPr>
                <w:rFonts w:eastAsia="Times New Roman" w:cstheme="minorHAnsi"/>
                <w:sz w:val="22"/>
                <w:lang w:eastAsia="en-AU"/>
              </w:rPr>
              <w:t>2018–23</w:t>
            </w:r>
            <w:r w:rsidR="00650E79" w:rsidRPr="00AA193E">
              <w:rPr>
                <w:rFonts w:eastAsia="Times New Roman" w:cs="Arial"/>
                <w:sz w:val="22"/>
                <w:lang w:eastAsia="en-AU"/>
              </w:rPr>
              <w:t>. </w:t>
            </w:r>
          </w:p>
        </w:tc>
      </w:tr>
      <w:tr w:rsidR="00573EF0" w:rsidRPr="00601368" w14:paraId="5682852C" w14:textId="77777777" w:rsidTr="00360131">
        <w:trPr>
          <w:trHeight w:val="1055"/>
        </w:trPr>
        <w:tc>
          <w:tcPr>
            <w:tcW w:w="0" w:type="dxa"/>
            <w:tcBorders>
              <w:top w:val="single" w:sz="2" w:space="0" w:color="002279"/>
              <w:bottom w:val="single" w:sz="2" w:space="0" w:color="002279"/>
            </w:tcBorders>
            <w:vAlign w:val="center"/>
          </w:tcPr>
          <w:p w14:paraId="63087522" w14:textId="13898F7A" w:rsidR="00573EF0" w:rsidRPr="00AA193E" w:rsidRDefault="00573EF0" w:rsidP="00AD14A8">
            <w:pPr>
              <w:spacing w:after="0"/>
              <w:textAlignment w:val="baseline"/>
              <w:rPr>
                <w:rFonts w:eastAsia="Times New Roman" w:cstheme="minorHAnsi"/>
                <w:b/>
                <w:bCs/>
                <w:sz w:val="22"/>
                <w:lang w:eastAsia="en-AU"/>
              </w:rPr>
            </w:pPr>
            <w:r w:rsidRPr="00AA193E">
              <w:rPr>
                <w:rFonts w:eastAsia="Times New Roman" w:cstheme="minorHAnsi"/>
                <w:b/>
                <w:bCs/>
                <w:sz w:val="22"/>
                <w:lang w:eastAsia="en-AU"/>
              </w:rPr>
              <w:t>What estimate was based on:</w:t>
            </w:r>
            <w:r w:rsidRPr="00AA193E">
              <w:rPr>
                <w:rFonts w:eastAsia="Times New Roman" w:cs="Arial"/>
                <w:sz w:val="22"/>
                <w:lang w:eastAsia="en-AU"/>
              </w:rPr>
              <w:t xml:space="preserve"> </w:t>
            </w:r>
            <w:r w:rsidR="00AD14A8" w:rsidRPr="00AA193E">
              <w:rPr>
                <w:rFonts w:eastAsia="Times New Roman" w:cs="Arial"/>
                <w:sz w:val="22"/>
                <w:lang w:eastAsia="en-AU"/>
              </w:rPr>
              <w:t>Business Case approved May 2018. This cost is stated at the P50 level, in Real $ as of 1 January 2018, and of this amount</w:t>
            </w:r>
            <w:r w:rsidR="00F61362">
              <w:rPr>
                <w:rFonts w:eastAsia="Times New Roman" w:cs="Arial"/>
                <w:sz w:val="22"/>
                <w:lang w:eastAsia="en-AU"/>
              </w:rPr>
              <w:t>,</w:t>
            </w:r>
            <w:r w:rsidR="00AD14A8" w:rsidRPr="00AA193E">
              <w:rPr>
                <w:rFonts w:eastAsia="Times New Roman" w:cs="Arial"/>
                <w:sz w:val="22"/>
                <w:lang w:eastAsia="en-AU"/>
              </w:rPr>
              <w:t xml:space="preserve"> $10.2</w:t>
            </w:r>
            <w:r w:rsidR="00A933AB">
              <w:rPr>
                <w:rFonts w:eastAsia="Times New Roman" w:cs="Arial"/>
                <w:sz w:val="22"/>
                <w:lang w:eastAsia="en-AU"/>
              </w:rPr>
              <w:t>m</w:t>
            </w:r>
            <w:r w:rsidR="00AD14A8" w:rsidRPr="00AA193E">
              <w:rPr>
                <w:rFonts w:eastAsia="Times New Roman" w:cs="Arial"/>
                <w:sz w:val="22"/>
                <w:lang w:eastAsia="en-AU"/>
              </w:rPr>
              <w:t xml:space="preserve"> was expected to be incurred within</w:t>
            </w:r>
            <w:r w:rsidR="00D976B9">
              <w:rPr>
                <w:rFonts w:eastAsia="Times New Roman" w:cs="Arial"/>
                <w:sz w:val="22"/>
                <w:lang w:eastAsia="en-AU"/>
              </w:rPr>
              <w:t xml:space="preserve"> the </w:t>
            </w:r>
            <w:r w:rsidR="00D976B9" w:rsidRPr="00D976B9">
              <w:rPr>
                <w:rFonts w:eastAsia="Times New Roman" w:cstheme="minorHAnsi"/>
                <w:sz w:val="22"/>
                <w:lang w:eastAsia="en-AU"/>
              </w:rPr>
              <w:t>2018–23</w:t>
            </w:r>
            <w:r w:rsidR="00D976B9">
              <w:rPr>
                <w:rFonts w:eastAsia="Times New Roman" w:cstheme="minorHAnsi"/>
                <w:sz w:val="22"/>
                <w:lang w:eastAsia="en-AU"/>
              </w:rPr>
              <w:t xml:space="preserve"> regulatory period</w:t>
            </w:r>
            <w:r w:rsidR="00AD14A8" w:rsidRPr="00AA193E">
              <w:rPr>
                <w:rFonts w:eastAsia="Times New Roman" w:cs="Arial"/>
                <w:sz w:val="22"/>
                <w:lang w:eastAsia="en-AU"/>
              </w:rPr>
              <w:t>. </w:t>
            </w:r>
          </w:p>
        </w:tc>
      </w:tr>
      <w:tr w:rsidR="00573EF0" w:rsidRPr="00601368" w14:paraId="59DE711B" w14:textId="77777777" w:rsidTr="00116E55">
        <w:tc>
          <w:tcPr>
            <w:tcW w:w="0" w:type="dxa"/>
            <w:tcBorders>
              <w:top w:val="single" w:sz="2" w:space="0" w:color="002279"/>
              <w:bottom w:val="single" w:sz="2" w:space="0" w:color="002279"/>
            </w:tcBorders>
            <w:vAlign w:val="center"/>
          </w:tcPr>
          <w:p w14:paraId="683BD16F" w14:textId="77777777" w:rsidR="00573EF0" w:rsidRPr="00AA193E" w:rsidRDefault="00573EF0" w:rsidP="000C0D03">
            <w:pPr>
              <w:pStyle w:val="BodyText"/>
              <w:rPr>
                <w:rFonts w:eastAsia="Times New Roman" w:cstheme="minorHAnsi"/>
                <w:b/>
                <w:bCs/>
                <w:sz w:val="22"/>
                <w:lang w:eastAsia="en-AU"/>
              </w:rPr>
            </w:pPr>
            <w:r w:rsidRPr="00AA193E">
              <w:rPr>
                <w:rFonts w:eastAsia="Times New Roman" w:cstheme="minorHAnsi"/>
                <w:b/>
                <w:bCs/>
                <w:sz w:val="22"/>
                <w:lang w:eastAsia="en-AU"/>
              </w:rPr>
              <w:t xml:space="preserve">Estimate confidence: </w:t>
            </w:r>
            <w:r w:rsidRPr="00AA193E">
              <w:rPr>
                <w:rFonts w:eastAsia="Times New Roman" w:cstheme="minorHAnsi"/>
                <w:sz w:val="22"/>
                <w:lang w:eastAsia="en-AU"/>
              </w:rPr>
              <w:t>P50 </w:t>
            </w:r>
          </w:p>
        </w:tc>
      </w:tr>
      <w:tr w:rsidR="00573EF0" w:rsidRPr="00601368" w14:paraId="0A96F944" w14:textId="77777777" w:rsidTr="00116E55">
        <w:tc>
          <w:tcPr>
            <w:tcW w:w="0" w:type="dxa"/>
            <w:tcBorders>
              <w:top w:val="single" w:sz="2" w:space="0" w:color="002279"/>
              <w:bottom w:val="single" w:sz="2" w:space="0" w:color="002279"/>
            </w:tcBorders>
          </w:tcPr>
          <w:p w14:paraId="45A5F439" w14:textId="263D195E" w:rsidR="00573EF0" w:rsidRPr="00AA193E" w:rsidRDefault="00573EF0" w:rsidP="000C0D03">
            <w:pPr>
              <w:pStyle w:val="BodyText"/>
              <w:rPr>
                <w:rFonts w:eastAsia="Times New Roman" w:cstheme="minorHAnsi"/>
                <w:b/>
                <w:bCs/>
                <w:sz w:val="22"/>
                <w:lang w:eastAsia="en-AU"/>
              </w:rPr>
            </w:pPr>
            <w:r w:rsidRPr="00AA193E">
              <w:rPr>
                <w:rFonts w:eastAsia="Times New Roman" w:cstheme="minorHAnsi"/>
                <w:b/>
                <w:bCs/>
                <w:sz w:val="22"/>
                <w:lang w:eastAsia="en-AU"/>
              </w:rPr>
              <w:t>2018</w:t>
            </w:r>
            <w:r w:rsidR="00F243DC">
              <w:rPr>
                <w:rFonts w:eastAsia="Times New Roman" w:cstheme="minorHAnsi"/>
                <w:b/>
                <w:bCs/>
                <w:sz w:val="22"/>
                <w:lang w:eastAsia="en-AU"/>
              </w:rPr>
              <w:t>–</w:t>
            </w:r>
            <w:r w:rsidRPr="00AA193E">
              <w:rPr>
                <w:rFonts w:eastAsia="Times New Roman" w:cstheme="minorHAnsi"/>
                <w:b/>
                <w:bCs/>
                <w:sz w:val="22"/>
                <w:lang w:eastAsia="en-AU"/>
              </w:rPr>
              <w:t xml:space="preserve">2023 ESC determination $: </w:t>
            </w:r>
            <w:r w:rsidRPr="00AA193E">
              <w:rPr>
                <w:rFonts w:eastAsia="Times New Roman" w:cstheme="minorHAnsi"/>
                <w:sz w:val="22"/>
                <w:lang w:eastAsia="en-AU"/>
              </w:rPr>
              <w:t>$1</w:t>
            </w:r>
            <w:r w:rsidR="00AD14A8" w:rsidRPr="00AA193E">
              <w:rPr>
                <w:rFonts w:eastAsia="Times New Roman" w:cstheme="minorHAnsi"/>
                <w:sz w:val="22"/>
                <w:lang w:eastAsia="en-AU"/>
              </w:rPr>
              <w:t>0</w:t>
            </w:r>
            <w:r w:rsidRPr="00AA193E">
              <w:rPr>
                <w:rFonts w:eastAsia="Times New Roman" w:cstheme="minorHAnsi"/>
                <w:sz w:val="22"/>
                <w:lang w:eastAsia="en-AU"/>
              </w:rPr>
              <w:t>.2</w:t>
            </w:r>
            <w:r w:rsidR="00A933AB">
              <w:rPr>
                <w:rFonts w:eastAsia="Times New Roman" w:cstheme="minorHAnsi"/>
                <w:sz w:val="22"/>
                <w:lang w:eastAsia="en-AU"/>
              </w:rPr>
              <w:t>m</w:t>
            </w:r>
            <w:r w:rsidRPr="00AA193E">
              <w:rPr>
                <w:rFonts w:eastAsia="Times New Roman" w:cstheme="minorHAnsi"/>
                <w:sz w:val="22"/>
                <w:lang w:eastAsia="en-AU"/>
              </w:rPr>
              <w:t xml:space="preserve"> </w:t>
            </w:r>
          </w:p>
        </w:tc>
      </w:tr>
      <w:tr w:rsidR="008244AF" w:rsidRPr="00601368" w14:paraId="7A7B98D0" w14:textId="77777777" w:rsidTr="00360131">
        <w:trPr>
          <w:trHeight w:val="653"/>
        </w:trPr>
        <w:tc>
          <w:tcPr>
            <w:tcW w:w="0" w:type="dxa"/>
            <w:tcBorders>
              <w:top w:val="single" w:sz="2" w:space="0" w:color="002279"/>
              <w:bottom w:val="single" w:sz="2" w:space="0" w:color="002279"/>
            </w:tcBorders>
            <w:vAlign w:val="center"/>
          </w:tcPr>
          <w:p w14:paraId="5A61F186" w14:textId="7DFE49E9" w:rsidR="008244AF" w:rsidRPr="00AA193E" w:rsidRDefault="005018A9" w:rsidP="008244AF">
            <w:pPr>
              <w:spacing w:after="0"/>
              <w:textAlignment w:val="baseline"/>
              <w:rPr>
                <w:rFonts w:eastAsia="Times New Roman" w:cstheme="minorHAnsi"/>
                <w:b/>
                <w:bCs/>
                <w:sz w:val="22"/>
                <w:lang w:eastAsia="en-AU"/>
              </w:rPr>
            </w:pPr>
            <w:r w:rsidRPr="00AA193E">
              <w:rPr>
                <w:rFonts w:eastAsia="Times New Roman" w:cstheme="minorHAnsi"/>
                <w:b/>
                <w:bCs/>
                <w:sz w:val="22"/>
                <w:lang w:eastAsia="en-AU"/>
              </w:rPr>
              <w:t>Business case</w:t>
            </w:r>
            <w:r w:rsidR="001F0327" w:rsidRPr="00AA193E">
              <w:rPr>
                <w:rFonts w:eastAsia="Times New Roman" w:cstheme="minorHAnsi"/>
                <w:b/>
                <w:bCs/>
                <w:sz w:val="22"/>
                <w:lang w:eastAsia="en-AU"/>
              </w:rPr>
              <w:t xml:space="preserve">: </w:t>
            </w:r>
            <w:r w:rsidR="00754894" w:rsidRPr="00AA193E">
              <w:rPr>
                <w:rFonts w:eastAsia="Times New Roman" w:cs="Arial"/>
                <w:sz w:val="22"/>
                <w:lang w:eastAsia="en-AU"/>
              </w:rPr>
              <w:t>$11.8</w:t>
            </w:r>
            <w:r w:rsidR="00A933AB">
              <w:rPr>
                <w:rFonts w:eastAsia="Times New Roman" w:cs="Arial"/>
                <w:sz w:val="22"/>
                <w:lang w:eastAsia="en-AU"/>
              </w:rPr>
              <w:t>m</w:t>
            </w:r>
            <w:r w:rsidR="00754894" w:rsidRPr="00AA193E">
              <w:rPr>
                <w:rFonts w:eastAsia="Times New Roman" w:cs="Arial"/>
                <w:sz w:val="22"/>
                <w:lang w:eastAsia="en-AU"/>
              </w:rPr>
              <w:t xml:space="preserve"> (P50) of which $10.2</w:t>
            </w:r>
            <w:r w:rsidR="00A933AB">
              <w:rPr>
                <w:rFonts w:eastAsia="Times New Roman" w:cs="Arial"/>
                <w:sz w:val="22"/>
                <w:lang w:eastAsia="en-AU"/>
              </w:rPr>
              <w:t>m</w:t>
            </w:r>
            <w:r w:rsidR="00754894" w:rsidRPr="00AA193E">
              <w:rPr>
                <w:rFonts w:eastAsia="Times New Roman" w:cs="Arial"/>
                <w:sz w:val="22"/>
                <w:lang w:eastAsia="en-AU"/>
              </w:rPr>
              <w:t xml:space="preserve"> was expected within </w:t>
            </w:r>
            <w:r w:rsidR="00D976B9" w:rsidRPr="00D976B9">
              <w:rPr>
                <w:rFonts w:eastAsia="Times New Roman" w:cstheme="minorHAnsi"/>
                <w:sz w:val="22"/>
                <w:lang w:eastAsia="en-AU"/>
              </w:rPr>
              <w:t>2018–23</w:t>
            </w:r>
            <w:r w:rsidR="00754894" w:rsidRPr="00AA193E">
              <w:rPr>
                <w:rFonts w:eastAsia="Times New Roman" w:cs="Arial"/>
                <w:sz w:val="22"/>
                <w:lang w:eastAsia="en-AU"/>
              </w:rPr>
              <w:br/>
              <w:t>$12.5</w:t>
            </w:r>
            <w:r w:rsidR="00A933AB">
              <w:rPr>
                <w:rFonts w:eastAsia="Times New Roman" w:cs="Arial"/>
                <w:sz w:val="22"/>
                <w:lang w:eastAsia="en-AU"/>
              </w:rPr>
              <w:t>m</w:t>
            </w:r>
            <w:r w:rsidR="00754894" w:rsidRPr="00AA193E">
              <w:rPr>
                <w:rFonts w:eastAsia="Times New Roman" w:cs="Arial"/>
                <w:sz w:val="22"/>
                <w:lang w:eastAsia="en-AU"/>
              </w:rPr>
              <w:t xml:space="preserve"> (P95) </w:t>
            </w:r>
          </w:p>
        </w:tc>
      </w:tr>
      <w:tr w:rsidR="00573EF0" w:rsidRPr="00601368" w14:paraId="57B77E68" w14:textId="77777777" w:rsidTr="00360131">
        <w:trPr>
          <w:trHeight w:val="693"/>
        </w:trPr>
        <w:tc>
          <w:tcPr>
            <w:tcW w:w="0" w:type="dxa"/>
            <w:tcBorders>
              <w:top w:val="single" w:sz="2" w:space="0" w:color="002279"/>
              <w:bottom w:val="single" w:sz="2" w:space="0" w:color="002279"/>
            </w:tcBorders>
            <w:vAlign w:val="center"/>
          </w:tcPr>
          <w:p w14:paraId="3F205DB3" w14:textId="73076893" w:rsidR="00573EF0" w:rsidRPr="00AA193E" w:rsidRDefault="00573EF0" w:rsidP="00AA193E">
            <w:pPr>
              <w:spacing w:after="0"/>
              <w:textAlignment w:val="baseline"/>
              <w:rPr>
                <w:rFonts w:eastAsia="Times New Roman" w:cstheme="minorHAnsi"/>
                <w:b/>
                <w:bCs/>
                <w:sz w:val="22"/>
                <w:lang w:eastAsia="en-AU"/>
              </w:rPr>
            </w:pPr>
            <w:r w:rsidRPr="00AA193E">
              <w:rPr>
                <w:rFonts w:eastAsia="Times New Roman" w:cstheme="minorHAnsi"/>
                <w:b/>
                <w:bCs/>
                <w:sz w:val="22"/>
                <w:lang w:eastAsia="en-AU"/>
              </w:rPr>
              <w:t>Reason for change</w:t>
            </w:r>
            <w:r w:rsidR="00E27178">
              <w:rPr>
                <w:rFonts w:eastAsia="Times New Roman" w:cstheme="minorHAnsi"/>
                <w:b/>
                <w:bCs/>
                <w:sz w:val="22"/>
                <w:lang w:eastAsia="en-AU"/>
              </w:rPr>
              <w:t>/</w:t>
            </w:r>
            <w:r w:rsidRPr="00AA193E">
              <w:rPr>
                <w:rFonts w:eastAsia="Times New Roman" w:cstheme="minorHAnsi"/>
                <w:b/>
                <w:bCs/>
                <w:sz w:val="22"/>
                <w:lang w:eastAsia="en-AU"/>
              </w:rPr>
              <w:t>difference between 2018</w:t>
            </w:r>
            <w:r w:rsidR="00FE7457">
              <w:rPr>
                <w:rFonts w:eastAsia="Times New Roman" w:cstheme="minorHAnsi"/>
                <w:b/>
                <w:bCs/>
                <w:sz w:val="22"/>
                <w:lang w:eastAsia="en-AU"/>
              </w:rPr>
              <w:t xml:space="preserve"> and </w:t>
            </w:r>
            <w:r w:rsidRPr="00AA193E">
              <w:rPr>
                <w:rFonts w:eastAsia="Times New Roman" w:cstheme="minorHAnsi"/>
                <w:b/>
                <w:bCs/>
                <w:sz w:val="22"/>
                <w:lang w:eastAsia="en-AU"/>
              </w:rPr>
              <w:t xml:space="preserve">2023 ESC determination $ and business case $: </w:t>
            </w:r>
            <w:r w:rsidR="008244AF" w:rsidRPr="00AA193E">
              <w:rPr>
                <w:rFonts w:eastAsia="Times New Roman" w:cstheme="minorHAnsi"/>
                <w:sz w:val="22"/>
                <w:lang w:eastAsia="en-AU"/>
              </w:rPr>
              <w:t>No change</w:t>
            </w:r>
          </w:p>
        </w:tc>
      </w:tr>
      <w:tr w:rsidR="00573EF0" w:rsidRPr="00601368" w14:paraId="08E225B8" w14:textId="77777777" w:rsidTr="00360131">
        <w:trPr>
          <w:trHeight w:val="420"/>
        </w:trPr>
        <w:tc>
          <w:tcPr>
            <w:tcW w:w="0" w:type="dxa"/>
            <w:tcBorders>
              <w:top w:val="single" w:sz="2" w:space="0" w:color="002279"/>
              <w:bottom w:val="single" w:sz="2" w:space="0" w:color="002279"/>
            </w:tcBorders>
            <w:vAlign w:val="center"/>
          </w:tcPr>
          <w:p w14:paraId="35794894" w14:textId="0AB9BC79" w:rsidR="00573EF0" w:rsidRPr="00AA193E" w:rsidRDefault="00573EF0" w:rsidP="000C0D03">
            <w:pPr>
              <w:spacing w:after="0"/>
              <w:textAlignment w:val="baseline"/>
              <w:rPr>
                <w:rFonts w:eastAsia="Times New Roman" w:cstheme="minorHAnsi"/>
                <w:b/>
                <w:bCs/>
                <w:sz w:val="22"/>
                <w:lang w:eastAsia="en-AU"/>
              </w:rPr>
            </w:pPr>
            <w:r w:rsidRPr="00AA193E">
              <w:rPr>
                <w:rFonts w:eastAsia="Times New Roman" w:cstheme="minorHAnsi"/>
                <w:b/>
                <w:bCs/>
                <w:sz w:val="22"/>
                <w:lang w:eastAsia="en-AU"/>
              </w:rPr>
              <w:t>Actuals</w:t>
            </w:r>
            <w:r w:rsidR="00E27178">
              <w:rPr>
                <w:rFonts w:eastAsia="Times New Roman" w:cstheme="minorHAnsi"/>
                <w:b/>
                <w:bCs/>
                <w:sz w:val="22"/>
                <w:lang w:eastAsia="en-AU"/>
              </w:rPr>
              <w:t>/</w:t>
            </w:r>
            <w:r w:rsidRPr="00AA193E">
              <w:rPr>
                <w:rFonts w:eastAsia="Times New Roman" w:cstheme="minorHAnsi"/>
                <w:b/>
                <w:bCs/>
                <w:sz w:val="22"/>
                <w:lang w:eastAsia="en-AU"/>
              </w:rPr>
              <w:t xml:space="preserve">Forecast $ (30 June 2023): </w:t>
            </w:r>
            <w:r w:rsidRPr="00AA193E">
              <w:rPr>
                <w:rFonts w:eastAsia="Times New Roman" w:cstheme="minorHAnsi"/>
                <w:sz w:val="22"/>
                <w:lang w:eastAsia="en-AU"/>
              </w:rPr>
              <w:t>$</w:t>
            </w:r>
            <w:r w:rsidR="00665D1B" w:rsidRPr="00AA193E">
              <w:rPr>
                <w:rFonts w:eastAsia="Times New Roman" w:cstheme="minorHAnsi"/>
                <w:sz w:val="22"/>
                <w:lang w:eastAsia="en-AU"/>
              </w:rPr>
              <w:t>8.4</w:t>
            </w:r>
            <w:r w:rsidR="00A933AB">
              <w:rPr>
                <w:rFonts w:eastAsia="Times New Roman" w:cstheme="minorHAnsi"/>
                <w:sz w:val="22"/>
                <w:lang w:eastAsia="en-AU"/>
              </w:rPr>
              <w:t>m</w:t>
            </w:r>
          </w:p>
        </w:tc>
      </w:tr>
      <w:tr w:rsidR="00573EF0" w:rsidRPr="00601368" w14:paraId="7BE7C301" w14:textId="77777777" w:rsidTr="00360131">
        <w:trPr>
          <w:trHeight w:val="945"/>
        </w:trPr>
        <w:tc>
          <w:tcPr>
            <w:tcW w:w="0" w:type="dxa"/>
            <w:tcBorders>
              <w:top w:val="single" w:sz="2" w:space="0" w:color="002279"/>
              <w:bottom w:val="single" w:sz="2" w:space="0" w:color="002279"/>
            </w:tcBorders>
          </w:tcPr>
          <w:p w14:paraId="66CDB00D" w14:textId="32E04A96" w:rsidR="00573EF0" w:rsidRPr="00AA193E" w:rsidRDefault="00573EF0" w:rsidP="000C0D03">
            <w:pPr>
              <w:spacing w:after="0"/>
              <w:textAlignment w:val="baseline"/>
              <w:rPr>
                <w:rFonts w:eastAsia="Times New Roman" w:cstheme="minorHAnsi"/>
                <w:b/>
                <w:bCs/>
                <w:sz w:val="22"/>
                <w:lang w:eastAsia="en-AU"/>
              </w:rPr>
            </w:pPr>
            <w:r w:rsidRPr="00AA193E">
              <w:rPr>
                <w:rFonts w:eastAsia="Times New Roman" w:cstheme="minorHAnsi"/>
                <w:b/>
                <w:bCs/>
                <w:sz w:val="22"/>
                <w:lang w:eastAsia="en-AU"/>
              </w:rPr>
              <w:t>Reason for change</w:t>
            </w:r>
            <w:r w:rsidR="00E27178">
              <w:rPr>
                <w:rFonts w:eastAsia="Times New Roman" w:cstheme="minorHAnsi"/>
                <w:b/>
                <w:bCs/>
                <w:sz w:val="22"/>
                <w:lang w:eastAsia="en-AU"/>
              </w:rPr>
              <w:t>/</w:t>
            </w:r>
            <w:r w:rsidRPr="00AA193E">
              <w:rPr>
                <w:rFonts w:eastAsia="Times New Roman" w:cstheme="minorHAnsi"/>
                <w:b/>
                <w:bCs/>
                <w:sz w:val="22"/>
                <w:lang w:eastAsia="en-AU"/>
              </w:rPr>
              <w:t>difference between business case $ and Actuals</w:t>
            </w:r>
            <w:r w:rsidR="00E27178">
              <w:rPr>
                <w:rFonts w:eastAsia="Times New Roman" w:cstheme="minorHAnsi"/>
                <w:b/>
                <w:bCs/>
                <w:sz w:val="22"/>
                <w:lang w:eastAsia="en-AU"/>
              </w:rPr>
              <w:t>/</w:t>
            </w:r>
            <w:r w:rsidRPr="00AA193E">
              <w:rPr>
                <w:rFonts w:eastAsia="Times New Roman" w:cstheme="minorHAnsi"/>
                <w:b/>
                <w:bCs/>
                <w:sz w:val="22"/>
                <w:lang w:eastAsia="en-AU"/>
              </w:rPr>
              <w:t xml:space="preserve">Forecast $ (30 June 2023): </w:t>
            </w:r>
            <w:r w:rsidR="00E705EB">
              <w:rPr>
                <w:rFonts w:eastAsia="Times New Roman" w:cs="Arial"/>
                <w:sz w:val="22"/>
                <w:lang w:eastAsia="en-AU"/>
              </w:rPr>
              <w:t>While</w:t>
            </w:r>
            <w:r w:rsidR="00BB3A1D" w:rsidRPr="00AA193E">
              <w:rPr>
                <w:rFonts w:eastAsia="Times New Roman" w:cs="Arial"/>
                <w:sz w:val="22"/>
                <w:lang w:eastAsia="en-AU"/>
              </w:rPr>
              <w:t xml:space="preserve"> the original program was optimised to reduce impact to </w:t>
            </w:r>
            <w:r w:rsidR="00E14DE5">
              <w:rPr>
                <w:rFonts w:eastAsia="Times New Roman" w:cs="Arial"/>
                <w:sz w:val="22"/>
                <w:lang w:eastAsia="en-AU"/>
              </w:rPr>
              <w:t xml:space="preserve">water recycling plant </w:t>
            </w:r>
            <w:r w:rsidR="00BB3A1D" w:rsidRPr="00AA193E">
              <w:rPr>
                <w:rFonts w:eastAsia="Times New Roman" w:cs="Arial"/>
                <w:sz w:val="22"/>
                <w:lang w:eastAsia="en-AU"/>
              </w:rPr>
              <w:t>operations and achieve delivery efficiencies</w:t>
            </w:r>
            <w:r w:rsidR="00C2378A">
              <w:rPr>
                <w:rFonts w:eastAsia="Times New Roman" w:cs="Arial"/>
                <w:sz w:val="22"/>
                <w:lang w:eastAsia="en-AU"/>
              </w:rPr>
              <w:t>,</w:t>
            </w:r>
            <w:r w:rsidR="00BB3A1D" w:rsidRPr="00AA193E">
              <w:rPr>
                <w:rFonts w:eastAsia="Times New Roman" w:cs="Arial"/>
                <w:sz w:val="22"/>
                <w:lang w:eastAsia="en-AU"/>
              </w:rPr>
              <w:t xml:space="preserve"> the overall program was achieved</w:t>
            </w:r>
            <w:r w:rsidR="00C2378A">
              <w:rPr>
                <w:rFonts w:eastAsia="Times New Roman" w:cs="Arial"/>
                <w:sz w:val="22"/>
                <w:lang w:eastAsia="en-AU"/>
              </w:rPr>
              <w:t>.</w:t>
            </w:r>
            <w:r w:rsidR="00BB3A1D" w:rsidRPr="00AA193E">
              <w:rPr>
                <w:rFonts w:eastAsia="Times New Roman" w:cs="Arial"/>
                <w:sz w:val="22"/>
                <w:lang w:eastAsia="en-AU"/>
              </w:rPr>
              <w:t> </w:t>
            </w:r>
          </w:p>
        </w:tc>
      </w:tr>
      <w:tr w:rsidR="00573EF0" w:rsidRPr="00601368" w14:paraId="40157C89" w14:textId="77777777" w:rsidTr="00116E55">
        <w:tc>
          <w:tcPr>
            <w:tcW w:w="0" w:type="dxa"/>
            <w:tcBorders>
              <w:top w:val="single" w:sz="2" w:space="0" w:color="002279"/>
              <w:bottom w:val="single" w:sz="2" w:space="0" w:color="002279"/>
            </w:tcBorders>
          </w:tcPr>
          <w:p w14:paraId="02810568" w14:textId="36DD5D34" w:rsidR="00483896" w:rsidRPr="00AA193E" w:rsidRDefault="00573EF0" w:rsidP="00483896">
            <w:pPr>
              <w:spacing w:after="0"/>
              <w:textAlignment w:val="baseline"/>
              <w:rPr>
                <w:rFonts w:eastAsia="Times New Roman" w:cstheme="minorHAnsi"/>
                <w:b/>
                <w:bCs/>
                <w:sz w:val="22"/>
                <w:lang w:eastAsia="en-AU"/>
              </w:rPr>
            </w:pPr>
            <w:r w:rsidRPr="00AA193E">
              <w:rPr>
                <w:rFonts w:eastAsia="Times New Roman" w:cstheme="minorHAnsi"/>
                <w:b/>
                <w:bCs/>
                <w:sz w:val="22"/>
                <w:lang w:eastAsia="en-AU"/>
              </w:rPr>
              <w:t xml:space="preserve">Actuals </w:t>
            </w:r>
            <w:r w:rsidR="00F94FAB">
              <w:rPr>
                <w:rFonts w:eastAsia="Times New Roman" w:cstheme="minorHAnsi"/>
                <w:b/>
                <w:bCs/>
                <w:sz w:val="22"/>
                <w:lang w:eastAsia="en-AU"/>
              </w:rPr>
              <w:t xml:space="preserve">at </w:t>
            </w:r>
            <w:r w:rsidRPr="00AA193E">
              <w:rPr>
                <w:rFonts w:eastAsia="Times New Roman" w:cstheme="minorHAnsi"/>
                <w:b/>
                <w:bCs/>
                <w:sz w:val="22"/>
                <w:lang w:eastAsia="en-AU"/>
              </w:rPr>
              <w:t xml:space="preserve">2022/23 (Q1): </w:t>
            </w:r>
          </w:p>
          <w:p w14:paraId="00BAFF86" w14:textId="654D5BBF" w:rsidR="00483896" w:rsidRPr="00AA193E" w:rsidRDefault="00483896" w:rsidP="00483896">
            <w:pPr>
              <w:spacing w:after="0"/>
              <w:textAlignment w:val="baseline"/>
              <w:rPr>
                <w:rFonts w:ascii="Times New Roman" w:eastAsia="Times New Roman" w:hAnsi="Times New Roman" w:cs="Times New Roman"/>
                <w:sz w:val="22"/>
                <w:lang w:eastAsia="en-AU"/>
              </w:rPr>
            </w:pPr>
            <w:r w:rsidRPr="00AA193E">
              <w:rPr>
                <w:rFonts w:eastAsia="Times New Roman" w:cs="Arial"/>
                <w:sz w:val="22"/>
                <w:lang w:eastAsia="en-AU"/>
              </w:rPr>
              <w:t xml:space="preserve">Boneo </w:t>
            </w:r>
            <w:r w:rsidR="00F243DC">
              <w:rPr>
                <w:rFonts w:eastAsia="Times New Roman" w:cs="Arial"/>
                <w:sz w:val="22"/>
                <w:lang w:eastAsia="en-AU"/>
              </w:rPr>
              <w:t>–</w:t>
            </w:r>
            <w:r w:rsidRPr="00AA193E">
              <w:rPr>
                <w:rFonts w:eastAsia="Times New Roman" w:cs="Arial"/>
                <w:sz w:val="22"/>
                <w:lang w:eastAsia="en-AU"/>
              </w:rPr>
              <w:t xml:space="preserve"> $140,000</w:t>
            </w:r>
            <w:r w:rsidR="00A1315F">
              <w:rPr>
                <w:rFonts w:eastAsia="Times New Roman" w:cs="Arial"/>
                <w:sz w:val="22"/>
                <w:lang w:eastAsia="en-AU"/>
              </w:rPr>
              <w:t xml:space="preserve"> </w:t>
            </w:r>
          </w:p>
          <w:p w14:paraId="20E95E0C" w14:textId="6C004796" w:rsidR="00483896" w:rsidRPr="00AA193E" w:rsidRDefault="00FA522F" w:rsidP="00483896">
            <w:pPr>
              <w:spacing w:after="0"/>
              <w:textAlignment w:val="baseline"/>
              <w:rPr>
                <w:rFonts w:ascii="Times New Roman" w:eastAsia="Times New Roman" w:hAnsi="Times New Roman" w:cs="Times New Roman"/>
                <w:sz w:val="22"/>
                <w:lang w:eastAsia="en-AU"/>
              </w:rPr>
            </w:pPr>
            <w:r>
              <w:rPr>
                <w:rFonts w:eastAsia="Times New Roman" w:cs="Arial"/>
                <w:sz w:val="22"/>
                <w:lang w:eastAsia="en-AU"/>
              </w:rPr>
              <w:t>Mount</w:t>
            </w:r>
            <w:r w:rsidR="00483896" w:rsidRPr="00AA193E">
              <w:rPr>
                <w:rFonts w:eastAsia="Times New Roman" w:cs="Arial"/>
                <w:sz w:val="22"/>
                <w:lang w:eastAsia="en-AU"/>
              </w:rPr>
              <w:t xml:space="preserve"> Martha </w:t>
            </w:r>
            <w:r w:rsidR="00F243DC">
              <w:rPr>
                <w:rFonts w:eastAsia="Times New Roman" w:cs="Arial"/>
                <w:sz w:val="22"/>
                <w:lang w:eastAsia="en-AU"/>
              </w:rPr>
              <w:t>–</w:t>
            </w:r>
            <w:r w:rsidR="00483896" w:rsidRPr="00AA193E">
              <w:rPr>
                <w:rFonts w:eastAsia="Times New Roman" w:cs="Arial"/>
                <w:sz w:val="22"/>
                <w:lang w:eastAsia="en-AU"/>
              </w:rPr>
              <w:t xml:space="preserve"> $4.94</w:t>
            </w:r>
            <w:r w:rsidR="00A933AB">
              <w:rPr>
                <w:rFonts w:eastAsia="Times New Roman" w:cs="Arial"/>
                <w:sz w:val="22"/>
                <w:lang w:eastAsia="en-AU"/>
              </w:rPr>
              <w:t>m</w:t>
            </w:r>
            <w:r w:rsidR="00483896" w:rsidRPr="00AA193E">
              <w:rPr>
                <w:rFonts w:eastAsia="Times New Roman" w:cs="Arial"/>
                <w:sz w:val="22"/>
                <w:lang w:eastAsia="en-AU"/>
              </w:rPr>
              <w:t> </w:t>
            </w:r>
          </w:p>
          <w:p w14:paraId="33C9A5D6" w14:textId="61C738CE" w:rsidR="00483896" w:rsidRPr="00AA193E" w:rsidRDefault="00483896" w:rsidP="00483896">
            <w:pPr>
              <w:spacing w:after="0"/>
              <w:textAlignment w:val="baseline"/>
              <w:rPr>
                <w:rFonts w:ascii="Times New Roman" w:eastAsia="Times New Roman" w:hAnsi="Times New Roman" w:cs="Times New Roman"/>
                <w:sz w:val="22"/>
                <w:lang w:eastAsia="en-AU"/>
              </w:rPr>
            </w:pPr>
            <w:r w:rsidRPr="00AA193E">
              <w:rPr>
                <w:rFonts w:eastAsia="Times New Roman" w:cs="Arial"/>
                <w:sz w:val="22"/>
                <w:lang w:eastAsia="en-AU"/>
              </w:rPr>
              <w:t xml:space="preserve">Pakenham </w:t>
            </w:r>
            <w:r w:rsidR="00F243DC">
              <w:rPr>
                <w:rFonts w:eastAsia="Times New Roman" w:cs="Arial"/>
                <w:sz w:val="22"/>
                <w:lang w:eastAsia="en-AU"/>
              </w:rPr>
              <w:t>–</w:t>
            </w:r>
            <w:r w:rsidRPr="00AA193E">
              <w:rPr>
                <w:rFonts w:eastAsia="Times New Roman" w:cs="Arial"/>
                <w:sz w:val="22"/>
                <w:lang w:eastAsia="en-AU"/>
              </w:rPr>
              <w:t xml:space="preserve"> $805,000 </w:t>
            </w:r>
          </w:p>
          <w:p w14:paraId="59EBDFEA" w14:textId="1C406A50" w:rsidR="00483896" w:rsidRPr="00AA193E" w:rsidRDefault="00483896" w:rsidP="00483896">
            <w:pPr>
              <w:spacing w:after="0"/>
              <w:textAlignment w:val="baseline"/>
              <w:rPr>
                <w:rFonts w:ascii="Times New Roman" w:eastAsia="Times New Roman" w:hAnsi="Times New Roman" w:cs="Times New Roman"/>
                <w:sz w:val="22"/>
                <w:lang w:eastAsia="en-AU"/>
              </w:rPr>
            </w:pPr>
            <w:r w:rsidRPr="00AA193E">
              <w:rPr>
                <w:rFonts w:eastAsia="Times New Roman" w:cs="Arial"/>
                <w:sz w:val="22"/>
                <w:lang w:eastAsia="en-AU"/>
              </w:rPr>
              <w:t xml:space="preserve">Somers </w:t>
            </w:r>
            <w:r w:rsidR="00F243DC">
              <w:rPr>
                <w:rFonts w:eastAsia="Times New Roman" w:cs="Arial"/>
                <w:sz w:val="22"/>
                <w:lang w:eastAsia="en-AU"/>
              </w:rPr>
              <w:t>–</w:t>
            </w:r>
            <w:r w:rsidRPr="00AA193E">
              <w:rPr>
                <w:rFonts w:eastAsia="Times New Roman" w:cs="Arial"/>
                <w:sz w:val="22"/>
                <w:lang w:eastAsia="en-AU"/>
              </w:rPr>
              <w:t xml:space="preserve"> $2.5</w:t>
            </w:r>
            <w:r w:rsidR="00A933AB">
              <w:rPr>
                <w:rFonts w:eastAsia="Times New Roman" w:cs="Arial"/>
                <w:sz w:val="22"/>
                <w:lang w:eastAsia="en-AU"/>
              </w:rPr>
              <w:t>m</w:t>
            </w:r>
            <w:r w:rsidRPr="00AA193E">
              <w:rPr>
                <w:rFonts w:eastAsia="Times New Roman" w:cs="Arial"/>
                <w:sz w:val="22"/>
                <w:lang w:eastAsia="en-AU"/>
              </w:rPr>
              <w:t> </w:t>
            </w:r>
          </w:p>
          <w:p w14:paraId="0530E6DE" w14:textId="6E3B2F17" w:rsidR="00573EF0" w:rsidRPr="00AA193E" w:rsidRDefault="00483896" w:rsidP="00483896">
            <w:pPr>
              <w:pStyle w:val="BodyText"/>
              <w:rPr>
                <w:rFonts w:eastAsia="Times New Roman" w:cstheme="minorHAnsi"/>
                <w:b/>
                <w:bCs/>
                <w:sz w:val="22"/>
                <w:lang w:eastAsia="en-AU"/>
              </w:rPr>
            </w:pPr>
            <w:r w:rsidRPr="00AA193E">
              <w:rPr>
                <w:rFonts w:eastAsia="Times New Roman" w:cs="Arial"/>
                <w:sz w:val="22"/>
                <w:lang w:eastAsia="en-AU"/>
              </w:rPr>
              <w:t>Total $8.4</w:t>
            </w:r>
            <w:r w:rsidR="00A933AB">
              <w:rPr>
                <w:rFonts w:eastAsia="Times New Roman" w:cs="Arial"/>
                <w:sz w:val="22"/>
                <w:lang w:eastAsia="en-AU"/>
              </w:rPr>
              <w:t>m</w:t>
            </w:r>
            <w:r w:rsidRPr="00AA193E">
              <w:rPr>
                <w:rFonts w:eastAsia="Times New Roman" w:cs="Arial"/>
                <w:sz w:val="22"/>
                <w:lang w:eastAsia="en-AU"/>
              </w:rPr>
              <w:t> </w:t>
            </w:r>
          </w:p>
        </w:tc>
      </w:tr>
      <w:tr w:rsidR="00573EF0" w:rsidRPr="00601368" w14:paraId="196B89FF" w14:textId="77777777" w:rsidTr="00116E55">
        <w:tc>
          <w:tcPr>
            <w:tcW w:w="0" w:type="dxa"/>
            <w:tcBorders>
              <w:top w:val="single" w:sz="2" w:space="0" w:color="002279"/>
              <w:bottom w:val="single" w:sz="2" w:space="0" w:color="002279"/>
            </w:tcBorders>
          </w:tcPr>
          <w:p w14:paraId="13575BDB" w14:textId="44D89F0B" w:rsidR="00573EF0" w:rsidRPr="00AA193E" w:rsidRDefault="00573EF0" w:rsidP="000C0D03">
            <w:pPr>
              <w:pStyle w:val="BodyText"/>
              <w:rPr>
                <w:rFonts w:eastAsia="Times New Roman" w:cstheme="minorHAnsi"/>
                <w:b/>
                <w:bCs/>
                <w:sz w:val="22"/>
                <w:lang w:eastAsia="en-AU"/>
              </w:rPr>
            </w:pPr>
            <w:r w:rsidRPr="00AA193E">
              <w:rPr>
                <w:rFonts w:eastAsia="Times New Roman" w:cstheme="minorHAnsi"/>
                <w:b/>
                <w:bCs/>
                <w:sz w:val="22"/>
                <w:lang w:eastAsia="en-AU"/>
              </w:rPr>
              <w:t>Project spend end date:</w:t>
            </w:r>
            <w:r w:rsidRPr="00AA193E">
              <w:rPr>
                <w:rFonts w:eastAsia="Times New Roman" w:cstheme="minorHAnsi"/>
                <w:sz w:val="22"/>
                <w:lang w:eastAsia="en-AU"/>
              </w:rPr>
              <w:t xml:space="preserve"> </w:t>
            </w:r>
            <w:r w:rsidR="004E6AE9" w:rsidRPr="00AA193E">
              <w:rPr>
                <w:rFonts w:eastAsia="Times New Roman" w:cs="Arial"/>
                <w:sz w:val="22"/>
                <w:lang w:eastAsia="en-AU"/>
              </w:rPr>
              <w:t xml:space="preserve">2022/2023 (Q1) </w:t>
            </w:r>
            <w:r w:rsidR="00F243DC">
              <w:rPr>
                <w:rFonts w:eastAsia="Times New Roman" w:cs="Arial"/>
                <w:sz w:val="22"/>
                <w:lang w:eastAsia="en-AU"/>
              </w:rPr>
              <w:t>–</w:t>
            </w:r>
            <w:r w:rsidR="004E6AE9" w:rsidRPr="00AA193E">
              <w:rPr>
                <w:rFonts w:eastAsia="Times New Roman" w:cs="Arial"/>
                <w:sz w:val="22"/>
                <w:lang w:eastAsia="en-AU"/>
              </w:rPr>
              <w:t xml:space="preserve"> $8.4</w:t>
            </w:r>
            <w:r w:rsidR="00A933AB">
              <w:rPr>
                <w:rFonts w:eastAsia="Times New Roman" w:cs="Arial"/>
                <w:sz w:val="22"/>
                <w:lang w:eastAsia="en-AU"/>
              </w:rPr>
              <w:t>m</w:t>
            </w:r>
            <w:r w:rsidR="004E6AE9" w:rsidRPr="00AA193E">
              <w:rPr>
                <w:rFonts w:eastAsia="Times New Roman" w:cs="Arial"/>
                <w:sz w:val="22"/>
                <w:lang w:eastAsia="en-AU"/>
              </w:rPr>
              <w:t xml:space="preserve"> actual costs within the period of the $10.2</w:t>
            </w:r>
            <w:r w:rsidR="00A933AB">
              <w:rPr>
                <w:rFonts w:eastAsia="Times New Roman" w:cs="Arial"/>
                <w:sz w:val="22"/>
                <w:lang w:eastAsia="en-AU"/>
              </w:rPr>
              <w:t>m</w:t>
            </w:r>
            <w:r w:rsidR="004E6AE9" w:rsidRPr="00AA193E">
              <w:rPr>
                <w:rFonts w:eastAsia="Times New Roman" w:cs="Arial"/>
                <w:sz w:val="22"/>
                <w:lang w:eastAsia="en-AU"/>
              </w:rPr>
              <w:t xml:space="preserve"> P50 allowance.</w:t>
            </w:r>
            <w:r w:rsidR="00A1315F">
              <w:rPr>
                <w:rFonts w:eastAsia="Times New Roman" w:cs="Arial"/>
                <w:sz w:val="22"/>
                <w:lang w:eastAsia="en-AU"/>
              </w:rPr>
              <w:t xml:space="preserve"> </w:t>
            </w:r>
          </w:p>
        </w:tc>
      </w:tr>
      <w:tr w:rsidR="00573EF0" w:rsidRPr="00601368" w14:paraId="1E71FF98" w14:textId="77777777" w:rsidTr="00116E55">
        <w:tc>
          <w:tcPr>
            <w:tcW w:w="0" w:type="dxa"/>
            <w:tcBorders>
              <w:top w:val="single" w:sz="2" w:space="0" w:color="002279"/>
              <w:bottom w:val="single" w:sz="2" w:space="0" w:color="002279"/>
            </w:tcBorders>
          </w:tcPr>
          <w:p w14:paraId="4D99C045" w14:textId="32F97AF5" w:rsidR="00573EF0" w:rsidRPr="00AA193E" w:rsidRDefault="00573EF0" w:rsidP="000C0D03">
            <w:pPr>
              <w:pStyle w:val="BodyText"/>
              <w:rPr>
                <w:rFonts w:eastAsia="Times New Roman" w:cstheme="minorHAnsi"/>
                <w:b/>
                <w:bCs/>
                <w:sz w:val="22"/>
                <w:lang w:eastAsia="en-AU"/>
              </w:rPr>
            </w:pPr>
            <w:r w:rsidRPr="00AA193E">
              <w:rPr>
                <w:rFonts w:eastAsia="Times New Roman" w:cstheme="minorHAnsi"/>
                <w:b/>
                <w:bCs/>
                <w:sz w:val="22"/>
                <w:lang w:eastAsia="en-AU"/>
              </w:rPr>
              <w:t xml:space="preserve">Project status: </w:t>
            </w:r>
            <w:r w:rsidR="004E6AE9" w:rsidRPr="00AA193E">
              <w:rPr>
                <w:rFonts w:eastAsia="Times New Roman" w:cstheme="minorHAnsi"/>
                <w:sz w:val="22"/>
                <w:lang w:eastAsia="en-AU"/>
              </w:rPr>
              <w:t xml:space="preserve">Completed on time, </w:t>
            </w:r>
            <w:r w:rsidR="00960122">
              <w:rPr>
                <w:rFonts w:eastAsia="Times New Roman" w:cstheme="minorHAnsi"/>
                <w:sz w:val="22"/>
                <w:lang w:eastAsia="en-AU"/>
              </w:rPr>
              <w:t xml:space="preserve">that is, </w:t>
            </w:r>
            <w:r w:rsidRPr="00AA193E">
              <w:rPr>
                <w:rFonts w:eastAsia="Times New Roman" w:cs="Arial"/>
                <w:sz w:val="22"/>
                <w:lang w:eastAsia="en-AU"/>
              </w:rPr>
              <w:t xml:space="preserve">the project </w:t>
            </w:r>
            <w:r w:rsidR="004E6AE9" w:rsidRPr="00AA193E">
              <w:rPr>
                <w:rFonts w:eastAsia="Times New Roman" w:cs="Arial"/>
                <w:sz w:val="22"/>
                <w:lang w:eastAsia="en-AU"/>
              </w:rPr>
              <w:t>was completed by original schedule</w:t>
            </w:r>
            <w:r w:rsidR="00B25697" w:rsidRPr="00AA193E">
              <w:rPr>
                <w:rFonts w:eastAsia="Times New Roman" w:cs="Arial"/>
                <w:sz w:val="22"/>
                <w:lang w:eastAsia="en-AU"/>
              </w:rPr>
              <w:t xml:space="preserve">d completion date (incl. early completion). </w:t>
            </w:r>
          </w:p>
        </w:tc>
      </w:tr>
      <w:tr w:rsidR="00573EF0" w:rsidRPr="00601368" w14:paraId="0F270D9A" w14:textId="77777777" w:rsidTr="00360131">
        <w:trPr>
          <w:trHeight w:val="8850"/>
        </w:trPr>
        <w:tc>
          <w:tcPr>
            <w:tcW w:w="0" w:type="dxa"/>
            <w:tcBorders>
              <w:top w:val="single" w:sz="2" w:space="0" w:color="002279"/>
              <w:bottom w:val="single" w:sz="2" w:space="0" w:color="002279"/>
            </w:tcBorders>
          </w:tcPr>
          <w:p w14:paraId="598C0D1A" w14:textId="7ED85EAC" w:rsidR="005E65A8" w:rsidRPr="00AA193E" w:rsidRDefault="00573EF0" w:rsidP="005E65A8">
            <w:pPr>
              <w:spacing w:after="0"/>
              <w:textAlignment w:val="baseline"/>
              <w:rPr>
                <w:rFonts w:ascii="Segoe UI" w:eastAsia="Times New Roman" w:hAnsi="Segoe UI" w:cs="Segoe UI"/>
                <w:sz w:val="22"/>
                <w:lang w:eastAsia="en-AU"/>
              </w:rPr>
            </w:pPr>
            <w:r w:rsidRPr="00AA193E">
              <w:rPr>
                <w:rFonts w:eastAsia="Times New Roman" w:cstheme="minorHAnsi"/>
                <w:b/>
                <w:bCs/>
                <w:sz w:val="22"/>
                <w:lang w:eastAsia="en-AU"/>
              </w:rPr>
              <w:lastRenderedPageBreak/>
              <w:t xml:space="preserve">Project update: </w:t>
            </w:r>
            <w:r w:rsidR="005E65A8" w:rsidRPr="00AA193E">
              <w:rPr>
                <w:rFonts w:eastAsia="Times New Roman" w:cs="Arial"/>
                <w:sz w:val="22"/>
                <w:lang w:eastAsia="en-AU"/>
              </w:rPr>
              <w:t>The program has encountered significant challenges including:</w:t>
            </w:r>
            <w:r w:rsidR="00A1315F">
              <w:rPr>
                <w:rFonts w:eastAsia="Times New Roman" w:cs="Arial"/>
                <w:sz w:val="22"/>
                <w:lang w:eastAsia="en-AU"/>
              </w:rPr>
              <w:t xml:space="preserve"> </w:t>
            </w:r>
          </w:p>
          <w:p w14:paraId="6CDF835F" w14:textId="15281259" w:rsidR="005E65A8" w:rsidRPr="00AA193E" w:rsidRDefault="00226EED">
            <w:pPr>
              <w:pStyle w:val="ListParagraph"/>
              <w:numPr>
                <w:ilvl w:val="0"/>
                <w:numId w:val="125"/>
              </w:numPr>
              <w:spacing w:after="0"/>
              <w:ind w:left="738"/>
              <w:textAlignment w:val="baseline"/>
              <w:rPr>
                <w:rFonts w:eastAsia="Times New Roman" w:cs="Arial"/>
                <w:sz w:val="22"/>
                <w:lang w:eastAsia="en-AU"/>
              </w:rPr>
            </w:pPr>
            <w:r w:rsidRPr="007432EB">
              <w:rPr>
                <w:rFonts w:eastAsia="Times New Roman" w:cs="Arial"/>
                <w:sz w:val="22"/>
                <w:lang w:eastAsia="en-AU"/>
              </w:rPr>
              <w:t>H</w:t>
            </w:r>
            <w:r w:rsidR="005E65A8" w:rsidRPr="007432EB">
              <w:rPr>
                <w:rFonts w:eastAsia="Times New Roman" w:cs="Arial"/>
                <w:sz w:val="22"/>
                <w:lang w:eastAsia="en-AU"/>
              </w:rPr>
              <w:t>igher</w:t>
            </w:r>
            <w:r w:rsidRPr="007432EB">
              <w:rPr>
                <w:rFonts w:eastAsia="Times New Roman" w:cs="Arial"/>
                <w:sz w:val="22"/>
                <w:lang w:eastAsia="en-AU"/>
              </w:rPr>
              <w:t>-</w:t>
            </w:r>
            <w:r w:rsidR="005E65A8" w:rsidRPr="00AA193E">
              <w:rPr>
                <w:rFonts w:eastAsia="Times New Roman" w:cs="Arial"/>
                <w:sz w:val="22"/>
                <w:lang w:eastAsia="en-AU"/>
              </w:rPr>
              <w:t>than</w:t>
            </w:r>
            <w:r w:rsidRPr="007432EB">
              <w:rPr>
                <w:rFonts w:eastAsia="Times New Roman" w:cs="Arial"/>
                <w:sz w:val="22"/>
                <w:lang w:eastAsia="en-AU"/>
              </w:rPr>
              <w:t>-</w:t>
            </w:r>
            <w:r w:rsidR="005E65A8" w:rsidRPr="00AA193E">
              <w:rPr>
                <w:rFonts w:eastAsia="Times New Roman" w:cs="Arial"/>
                <w:sz w:val="22"/>
                <w:lang w:eastAsia="en-AU"/>
              </w:rPr>
              <w:t>average rainfall periods extending into the drier months </w:t>
            </w:r>
          </w:p>
          <w:p w14:paraId="55BFC70D" w14:textId="33409235" w:rsidR="005E65A8" w:rsidRPr="00AA193E" w:rsidRDefault="005E65A8">
            <w:pPr>
              <w:pStyle w:val="ListParagraph"/>
              <w:numPr>
                <w:ilvl w:val="0"/>
                <w:numId w:val="125"/>
              </w:numPr>
              <w:spacing w:after="0"/>
              <w:ind w:left="738"/>
              <w:textAlignment w:val="baseline"/>
              <w:rPr>
                <w:rFonts w:eastAsia="Times New Roman" w:cs="Arial"/>
                <w:sz w:val="22"/>
                <w:lang w:eastAsia="en-AU"/>
              </w:rPr>
            </w:pPr>
            <w:r w:rsidRPr="00AA193E">
              <w:rPr>
                <w:rFonts w:eastAsia="Times New Roman" w:cs="Arial"/>
                <w:sz w:val="22"/>
                <w:lang w:eastAsia="en-AU"/>
              </w:rPr>
              <w:t>W</w:t>
            </w:r>
            <w:r w:rsidR="00E14DE5">
              <w:rPr>
                <w:rFonts w:eastAsia="Times New Roman" w:cs="Arial"/>
                <w:sz w:val="22"/>
                <w:lang w:eastAsia="en-AU"/>
              </w:rPr>
              <w:t xml:space="preserve">ater recycling plants </w:t>
            </w:r>
            <w:r w:rsidRPr="00AA193E">
              <w:rPr>
                <w:rFonts w:eastAsia="Times New Roman" w:cs="Arial"/>
                <w:sz w:val="22"/>
                <w:lang w:eastAsia="en-AU"/>
              </w:rPr>
              <w:t xml:space="preserve">lockdowns to protect critical functions during the </w:t>
            </w:r>
            <w:r w:rsidR="007432EB" w:rsidRPr="007432EB">
              <w:rPr>
                <w:rFonts w:eastAsia="Times New Roman" w:cs="Arial"/>
                <w:sz w:val="22"/>
                <w:lang w:eastAsia="en-AU"/>
              </w:rPr>
              <w:t>coronavirus (</w:t>
            </w:r>
            <w:r w:rsidRPr="007432EB">
              <w:rPr>
                <w:rFonts w:eastAsia="Times New Roman" w:cs="Arial"/>
                <w:sz w:val="22"/>
                <w:lang w:eastAsia="en-AU"/>
              </w:rPr>
              <w:t>C</w:t>
            </w:r>
            <w:r w:rsidR="008707FD">
              <w:rPr>
                <w:rFonts w:eastAsia="Times New Roman" w:cs="Arial"/>
                <w:sz w:val="22"/>
                <w:lang w:eastAsia="en-AU"/>
              </w:rPr>
              <w:t>O</w:t>
            </w:r>
            <w:r w:rsidR="007432EB" w:rsidRPr="007432EB">
              <w:rPr>
                <w:rFonts w:eastAsia="Times New Roman" w:cs="Arial"/>
                <w:sz w:val="22"/>
                <w:lang w:eastAsia="en-AU"/>
              </w:rPr>
              <w:t>VID</w:t>
            </w:r>
            <w:r w:rsidRPr="00AA193E">
              <w:rPr>
                <w:rFonts w:eastAsia="Times New Roman" w:cs="Arial"/>
                <w:sz w:val="22"/>
                <w:lang w:eastAsia="en-AU"/>
              </w:rPr>
              <w:t>-19</w:t>
            </w:r>
            <w:r w:rsidR="007432EB" w:rsidRPr="007432EB">
              <w:rPr>
                <w:rFonts w:eastAsia="Times New Roman" w:cs="Arial"/>
                <w:sz w:val="22"/>
                <w:lang w:eastAsia="en-AU"/>
              </w:rPr>
              <w:t>)</w:t>
            </w:r>
            <w:r w:rsidRPr="00AA193E">
              <w:rPr>
                <w:rFonts w:eastAsia="Times New Roman" w:cs="Arial"/>
                <w:sz w:val="22"/>
                <w:lang w:eastAsia="en-AU"/>
              </w:rPr>
              <w:t xml:space="preserve"> pandemic </w:t>
            </w:r>
          </w:p>
          <w:p w14:paraId="39441B29" w14:textId="77777777" w:rsidR="005E65A8" w:rsidRPr="00AA193E" w:rsidRDefault="005E65A8">
            <w:pPr>
              <w:pStyle w:val="ListParagraph"/>
              <w:numPr>
                <w:ilvl w:val="0"/>
                <w:numId w:val="125"/>
              </w:numPr>
              <w:spacing w:after="0"/>
              <w:ind w:left="738"/>
              <w:textAlignment w:val="baseline"/>
              <w:rPr>
                <w:rFonts w:eastAsia="Times New Roman" w:cs="Arial"/>
                <w:sz w:val="22"/>
                <w:lang w:eastAsia="en-AU"/>
              </w:rPr>
            </w:pPr>
            <w:r w:rsidRPr="00AA193E">
              <w:rPr>
                <w:rFonts w:eastAsia="Times New Roman" w:cs="Arial"/>
                <w:sz w:val="22"/>
                <w:lang w:eastAsia="en-AU"/>
              </w:rPr>
              <w:t>Changing EPA regulations relating to the disposal of contaminated spoil </w:t>
            </w:r>
          </w:p>
          <w:p w14:paraId="04D2BAC8" w14:textId="631757DF" w:rsidR="005E65A8" w:rsidRPr="00AA193E" w:rsidRDefault="005E65A8" w:rsidP="005E65A8">
            <w:pPr>
              <w:spacing w:after="0"/>
              <w:textAlignment w:val="baseline"/>
              <w:rPr>
                <w:rFonts w:ascii="Segoe UI" w:eastAsia="Times New Roman" w:hAnsi="Segoe UI" w:cs="Segoe UI"/>
                <w:sz w:val="22"/>
                <w:lang w:eastAsia="en-AU"/>
              </w:rPr>
            </w:pPr>
            <w:r w:rsidRPr="00AA193E">
              <w:rPr>
                <w:rFonts w:eastAsia="Times New Roman" w:cs="Arial"/>
                <w:sz w:val="22"/>
                <w:lang w:eastAsia="en-AU"/>
              </w:rPr>
              <w:t xml:space="preserve">The works schedule was modified to ensure optimised delivery efficiencies and critically to avoid impact the safe operation of the </w:t>
            </w:r>
            <w:r w:rsidR="00EE79A0">
              <w:rPr>
                <w:rFonts w:eastAsia="Times New Roman" w:cs="Arial"/>
                <w:sz w:val="22"/>
                <w:lang w:eastAsia="en-AU"/>
              </w:rPr>
              <w:t xml:space="preserve">water recycling plants. </w:t>
            </w:r>
            <w:r w:rsidRPr="00AA193E">
              <w:rPr>
                <w:rFonts w:eastAsia="Times New Roman" w:cs="Arial"/>
                <w:sz w:val="22"/>
                <w:lang w:eastAsia="en-AU"/>
              </w:rPr>
              <w:t xml:space="preserve">Ground contamination and revised EPA regulations and EPA waste classification have created some challenges in classifying and disposing of excavated materials. This required design optimisation to minimise offsite disposal by reducing cut to fill ratios across the program. The program has delivered high quality infrastructure without impact to the </w:t>
            </w:r>
            <w:r w:rsidR="00EE79A0">
              <w:rPr>
                <w:rFonts w:eastAsia="Times New Roman" w:cs="Arial"/>
                <w:sz w:val="22"/>
                <w:lang w:eastAsia="en-AU"/>
              </w:rPr>
              <w:t>water recycling plants</w:t>
            </w:r>
            <w:r w:rsidR="00EE79A0" w:rsidRPr="00AA193E">
              <w:rPr>
                <w:rFonts w:eastAsia="Times New Roman" w:cs="Arial"/>
                <w:sz w:val="22"/>
                <w:lang w:eastAsia="en-AU"/>
              </w:rPr>
              <w:t xml:space="preserve"> </w:t>
            </w:r>
            <w:r w:rsidRPr="00AA193E">
              <w:rPr>
                <w:rFonts w:eastAsia="Times New Roman" w:cs="Arial"/>
                <w:sz w:val="22"/>
                <w:lang w:eastAsia="en-AU"/>
              </w:rPr>
              <w:t xml:space="preserve">despite access constraints during the </w:t>
            </w:r>
            <w:r w:rsidR="008A781C">
              <w:rPr>
                <w:rFonts w:eastAsia="Times New Roman" w:cs="Arial"/>
                <w:sz w:val="22"/>
                <w:lang w:eastAsia="en-AU"/>
              </w:rPr>
              <w:t>COVID-19</w:t>
            </w:r>
            <w:r w:rsidRPr="00AA193E">
              <w:rPr>
                <w:rFonts w:eastAsia="Times New Roman" w:cs="Arial"/>
                <w:sz w:val="22"/>
                <w:lang w:eastAsia="en-AU"/>
              </w:rPr>
              <w:t xml:space="preserve"> pandemic.</w:t>
            </w:r>
            <w:r w:rsidR="00A1315F">
              <w:rPr>
                <w:rFonts w:eastAsia="Times New Roman" w:cs="Arial"/>
                <w:sz w:val="22"/>
                <w:lang w:eastAsia="en-AU"/>
              </w:rPr>
              <w:t xml:space="preserve"> </w:t>
            </w:r>
          </w:p>
          <w:p w14:paraId="235437B1" w14:textId="69FAE567" w:rsidR="005E65A8" w:rsidRPr="00AA193E" w:rsidRDefault="005E65A8" w:rsidP="005E65A8">
            <w:pPr>
              <w:spacing w:after="0"/>
              <w:textAlignment w:val="baseline"/>
              <w:rPr>
                <w:rFonts w:ascii="Segoe UI" w:eastAsia="Times New Roman" w:hAnsi="Segoe UI" w:cs="Segoe UI"/>
                <w:sz w:val="22"/>
                <w:lang w:eastAsia="en-AU"/>
              </w:rPr>
            </w:pPr>
            <w:r w:rsidRPr="00AA193E">
              <w:rPr>
                <w:rFonts w:eastAsia="Times New Roman" w:cs="Arial"/>
                <w:sz w:val="22"/>
                <w:lang w:eastAsia="en-AU"/>
              </w:rPr>
              <w:t>The challenges have been successfully overcome with the program delivered on schedule and within budget. Budget savings were achieved in part due to the optimisation of the delivery program.</w:t>
            </w:r>
            <w:r w:rsidR="00A1315F">
              <w:rPr>
                <w:rFonts w:eastAsia="Times New Roman" w:cs="Arial"/>
                <w:sz w:val="22"/>
                <w:lang w:eastAsia="en-AU"/>
              </w:rPr>
              <w:t xml:space="preserve"> </w:t>
            </w:r>
          </w:p>
          <w:p w14:paraId="70E93B25" w14:textId="2F0EF55C" w:rsidR="005E65A8" w:rsidRPr="00AA193E" w:rsidRDefault="007432EB" w:rsidP="005E65A8">
            <w:pPr>
              <w:spacing w:after="0"/>
              <w:textAlignment w:val="baseline"/>
              <w:rPr>
                <w:rFonts w:ascii="Segoe UI" w:eastAsia="Times New Roman" w:hAnsi="Segoe UI" w:cs="Segoe UI"/>
                <w:sz w:val="22"/>
                <w:lang w:eastAsia="en-AU"/>
              </w:rPr>
            </w:pPr>
            <w:r>
              <w:rPr>
                <w:rFonts w:eastAsia="Times New Roman" w:cs="Arial"/>
                <w:sz w:val="22"/>
                <w:lang w:eastAsia="en-AU"/>
              </w:rPr>
              <w:t>South East Water</w:t>
            </w:r>
            <w:r w:rsidR="00612583">
              <w:rPr>
                <w:rFonts w:eastAsia="Times New Roman" w:cs="Arial"/>
                <w:sz w:val="22"/>
                <w:lang w:eastAsia="en-AU"/>
              </w:rPr>
              <w:t>’</w:t>
            </w:r>
            <w:r>
              <w:rPr>
                <w:rFonts w:eastAsia="Times New Roman" w:cs="Arial"/>
                <w:sz w:val="22"/>
                <w:lang w:eastAsia="en-AU"/>
              </w:rPr>
              <w:t>s</w:t>
            </w:r>
            <w:r w:rsidR="005E65A8" w:rsidRPr="00AA193E">
              <w:rPr>
                <w:rFonts w:eastAsia="Times New Roman" w:cs="Arial"/>
                <w:sz w:val="22"/>
                <w:lang w:eastAsia="en-AU"/>
              </w:rPr>
              <w:t xml:space="preserve"> </w:t>
            </w:r>
            <w:r w:rsidR="00EE79A0">
              <w:rPr>
                <w:rFonts w:eastAsia="Times New Roman" w:cs="Arial"/>
                <w:sz w:val="22"/>
                <w:lang w:eastAsia="en-AU"/>
              </w:rPr>
              <w:t>water recycling plant r</w:t>
            </w:r>
            <w:r w:rsidR="005E65A8" w:rsidRPr="00AA193E">
              <w:rPr>
                <w:rFonts w:eastAsia="Times New Roman" w:cs="Arial"/>
                <w:sz w:val="22"/>
                <w:lang w:eastAsia="en-AU"/>
              </w:rPr>
              <w:t>eliability engineer assessed the performance of the upgrades as follows:</w:t>
            </w:r>
            <w:r w:rsidR="00A1315F">
              <w:rPr>
                <w:rFonts w:eastAsia="Times New Roman" w:cs="Arial"/>
                <w:sz w:val="22"/>
                <w:lang w:eastAsia="en-AU"/>
              </w:rPr>
              <w:t xml:space="preserve"> </w:t>
            </w:r>
          </w:p>
          <w:p w14:paraId="3E8EDCF9" w14:textId="6398F56B" w:rsidR="005E65A8" w:rsidRPr="00AA193E" w:rsidRDefault="005E65A8">
            <w:pPr>
              <w:pStyle w:val="ListParagraph"/>
              <w:numPr>
                <w:ilvl w:val="0"/>
                <w:numId w:val="126"/>
              </w:numPr>
              <w:spacing w:after="0"/>
              <w:ind w:left="738"/>
              <w:textAlignment w:val="baseline"/>
              <w:rPr>
                <w:rFonts w:eastAsia="Times New Roman" w:cs="Arial"/>
                <w:sz w:val="22"/>
                <w:lang w:eastAsia="en-AU"/>
              </w:rPr>
            </w:pPr>
            <w:r w:rsidRPr="00AA193E">
              <w:rPr>
                <w:rFonts w:eastAsia="Times New Roman" w:cs="Arial"/>
                <w:sz w:val="22"/>
                <w:lang w:eastAsia="en-AU"/>
              </w:rPr>
              <w:t xml:space="preserve">CTCR linings are performing well as expected, for example the pans at Blind Bight have negligible wear after harvesting and Pakenham pan5 has had </w:t>
            </w:r>
            <w:r w:rsidR="00584B94">
              <w:rPr>
                <w:rFonts w:eastAsia="Times New Roman" w:cs="Arial"/>
                <w:sz w:val="22"/>
                <w:lang w:eastAsia="en-AU"/>
              </w:rPr>
              <w:t>3</w:t>
            </w:r>
            <w:r w:rsidRPr="00AA193E">
              <w:rPr>
                <w:rFonts w:eastAsia="Times New Roman" w:cs="Arial"/>
                <w:sz w:val="22"/>
                <w:lang w:eastAsia="en-AU"/>
              </w:rPr>
              <w:t xml:space="preserve"> harvests now exhibiting only a few minor potholes which can be easily patched. Overall CTCR wear is minimal which seems to suggest at this relatively early stage that the expectant CTCR liner life of 20 years should be met</w:t>
            </w:r>
            <w:r w:rsidR="00A1315F">
              <w:rPr>
                <w:rFonts w:eastAsia="Times New Roman" w:cs="Arial"/>
                <w:sz w:val="22"/>
                <w:lang w:eastAsia="en-AU"/>
              </w:rPr>
              <w:t xml:space="preserve"> </w:t>
            </w:r>
          </w:p>
          <w:p w14:paraId="09C010E8" w14:textId="7E0BF457" w:rsidR="005E65A8" w:rsidRPr="00AA193E" w:rsidRDefault="005E65A8">
            <w:pPr>
              <w:pStyle w:val="ListParagraph"/>
              <w:numPr>
                <w:ilvl w:val="0"/>
                <w:numId w:val="126"/>
              </w:numPr>
              <w:spacing w:after="0"/>
              <w:ind w:left="738"/>
              <w:textAlignment w:val="baseline"/>
              <w:rPr>
                <w:rFonts w:eastAsia="Times New Roman" w:cs="Arial"/>
                <w:sz w:val="22"/>
                <w:lang w:eastAsia="en-AU"/>
              </w:rPr>
            </w:pPr>
            <w:r w:rsidRPr="00AA193E">
              <w:rPr>
                <w:rFonts w:eastAsia="Times New Roman" w:cs="Arial"/>
                <w:sz w:val="22"/>
                <w:lang w:eastAsia="en-AU"/>
              </w:rPr>
              <w:t xml:space="preserve">This is in comparison to the previous state of excessive clay layer losses </w:t>
            </w:r>
            <w:r w:rsidR="00D74BEF">
              <w:rPr>
                <w:rFonts w:eastAsia="Times New Roman" w:cs="Arial"/>
                <w:sz w:val="22"/>
                <w:lang w:eastAsia="en-AU"/>
              </w:rPr>
              <w:t>and</w:t>
            </w:r>
            <w:r w:rsidRPr="00AA193E">
              <w:rPr>
                <w:rFonts w:eastAsia="Times New Roman" w:cs="Arial"/>
                <w:sz w:val="22"/>
                <w:lang w:eastAsia="en-AU"/>
              </w:rPr>
              <w:t xml:space="preserve"> high repair cost</w:t>
            </w:r>
            <w:r w:rsidR="00A1315F">
              <w:rPr>
                <w:rFonts w:eastAsia="Times New Roman" w:cs="Arial"/>
                <w:sz w:val="22"/>
                <w:lang w:eastAsia="en-AU"/>
              </w:rPr>
              <w:t xml:space="preserve"> </w:t>
            </w:r>
          </w:p>
          <w:p w14:paraId="28553C98" w14:textId="7C8D6F9E" w:rsidR="005E65A8" w:rsidRPr="00AA193E" w:rsidRDefault="005E65A8">
            <w:pPr>
              <w:pStyle w:val="ListParagraph"/>
              <w:numPr>
                <w:ilvl w:val="0"/>
                <w:numId w:val="126"/>
              </w:numPr>
              <w:spacing w:after="0"/>
              <w:ind w:left="738"/>
              <w:textAlignment w:val="baseline"/>
              <w:rPr>
                <w:rFonts w:eastAsia="Times New Roman" w:cs="Arial"/>
                <w:sz w:val="22"/>
                <w:lang w:eastAsia="en-AU"/>
              </w:rPr>
            </w:pPr>
            <w:r w:rsidRPr="00AA193E">
              <w:rPr>
                <w:rFonts w:eastAsia="Times New Roman" w:cs="Arial"/>
                <w:sz w:val="22"/>
                <w:lang w:eastAsia="en-AU"/>
              </w:rPr>
              <w:t>Clay integrity (underneath the CTCR wearing layer) is now protected preventing contamination to environment</w:t>
            </w:r>
            <w:r w:rsidR="00A1315F">
              <w:rPr>
                <w:rFonts w:eastAsia="Times New Roman" w:cs="Arial"/>
                <w:sz w:val="22"/>
                <w:lang w:eastAsia="en-AU"/>
              </w:rPr>
              <w:t xml:space="preserve"> </w:t>
            </w:r>
          </w:p>
          <w:p w14:paraId="6902626A" w14:textId="6F99EBE6" w:rsidR="005E65A8" w:rsidRPr="00AA193E" w:rsidRDefault="005E65A8">
            <w:pPr>
              <w:pStyle w:val="ListParagraph"/>
              <w:numPr>
                <w:ilvl w:val="0"/>
                <w:numId w:val="126"/>
              </w:numPr>
              <w:spacing w:after="0"/>
              <w:ind w:left="738"/>
              <w:textAlignment w:val="baseline"/>
              <w:rPr>
                <w:rFonts w:eastAsia="Times New Roman" w:cs="Arial"/>
                <w:sz w:val="22"/>
                <w:lang w:eastAsia="en-AU"/>
              </w:rPr>
            </w:pPr>
            <w:r w:rsidRPr="00AA193E">
              <w:rPr>
                <w:rFonts w:eastAsia="Times New Roman" w:cs="Arial"/>
                <w:sz w:val="22"/>
                <w:lang w:eastAsia="en-AU"/>
              </w:rPr>
              <w:t>Biosolids volume has been reduced by 30% as it can be harvested without contamination by the clay liner</w:t>
            </w:r>
            <w:r w:rsidR="00A1315F">
              <w:rPr>
                <w:rFonts w:eastAsia="Times New Roman" w:cs="Arial"/>
                <w:sz w:val="22"/>
                <w:lang w:eastAsia="en-AU"/>
              </w:rPr>
              <w:t xml:space="preserve"> </w:t>
            </w:r>
          </w:p>
          <w:p w14:paraId="1B867C7D" w14:textId="77777777" w:rsidR="005E65A8" w:rsidRPr="00AA193E" w:rsidRDefault="005E65A8">
            <w:pPr>
              <w:pStyle w:val="ListParagraph"/>
              <w:numPr>
                <w:ilvl w:val="0"/>
                <w:numId w:val="126"/>
              </w:numPr>
              <w:spacing w:after="0"/>
              <w:ind w:left="738"/>
              <w:textAlignment w:val="baseline"/>
              <w:rPr>
                <w:rFonts w:eastAsia="Times New Roman" w:cs="Arial"/>
                <w:sz w:val="22"/>
                <w:lang w:eastAsia="en-AU"/>
              </w:rPr>
            </w:pPr>
            <w:r w:rsidRPr="00AA193E">
              <w:rPr>
                <w:rFonts w:eastAsia="Times New Roman" w:cs="Arial"/>
                <w:sz w:val="22"/>
                <w:lang w:eastAsia="en-AU"/>
              </w:rPr>
              <w:t>Reduced volumes results in reduced transport and re-use costs </w:t>
            </w:r>
          </w:p>
          <w:p w14:paraId="16672C9C" w14:textId="00470F6D" w:rsidR="00573EF0" w:rsidRPr="00AA193E" w:rsidRDefault="005E65A8" w:rsidP="005E65A8">
            <w:pPr>
              <w:spacing w:after="0"/>
              <w:textAlignment w:val="baseline"/>
              <w:rPr>
                <w:rFonts w:eastAsia="Times New Roman" w:cstheme="minorHAnsi"/>
                <w:b/>
                <w:bCs/>
                <w:sz w:val="22"/>
                <w:lang w:eastAsia="en-AU"/>
              </w:rPr>
            </w:pPr>
            <w:r w:rsidRPr="00AA193E">
              <w:rPr>
                <w:rFonts w:eastAsia="Times New Roman" w:cs="Arial"/>
                <w:sz w:val="22"/>
                <w:lang w:eastAsia="en-AU"/>
              </w:rPr>
              <w:t>Sludge drying time appears to be faster than the old clay linings due to the heat from the CTCR surface and improved booming and turning</w:t>
            </w:r>
            <w:r w:rsidR="00A1315F">
              <w:rPr>
                <w:rFonts w:eastAsia="Times New Roman" w:cs="Arial"/>
                <w:sz w:val="22"/>
                <w:lang w:eastAsia="en-AU"/>
              </w:rPr>
              <w:t xml:space="preserve"> </w:t>
            </w:r>
          </w:p>
        </w:tc>
      </w:tr>
      <w:tr w:rsidR="00573EF0" w14:paraId="376C386E" w14:textId="77777777" w:rsidTr="00116E55">
        <w:trPr>
          <w:trHeight w:val="693"/>
        </w:trPr>
        <w:tc>
          <w:tcPr>
            <w:tcW w:w="0" w:type="dxa"/>
            <w:tcBorders>
              <w:top w:val="single" w:sz="2" w:space="0" w:color="002279"/>
              <w:bottom w:val="single" w:sz="2" w:space="0" w:color="002279"/>
            </w:tcBorders>
          </w:tcPr>
          <w:p w14:paraId="684197DF" w14:textId="2BA9B215" w:rsidR="00573EF0" w:rsidRPr="00AA193E" w:rsidRDefault="00573EF0" w:rsidP="000C0D03">
            <w:pPr>
              <w:spacing w:after="0"/>
              <w:textAlignment w:val="baseline"/>
              <w:rPr>
                <w:rFonts w:eastAsia="Times New Roman" w:cstheme="minorHAnsi"/>
                <w:b/>
                <w:bCs/>
                <w:sz w:val="22"/>
                <w:lang w:eastAsia="en-AU"/>
              </w:rPr>
            </w:pPr>
            <w:r w:rsidRPr="00AA193E">
              <w:rPr>
                <w:rFonts w:eastAsia="Times New Roman" w:cstheme="minorHAnsi"/>
                <w:b/>
                <w:bCs/>
                <w:sz w:val="22"/>
                <w:lang w:eastAsia="en-AU"/>
              </w:rPr>
              <w:t xml:space="preserve">Indicative self-assessment score: </w:t>
            </w:r>
            <w:r w:rsidR="000B39C1" w:rsidRPr="00AA193E">
              <w:rPr>
                <w:rFonts w:eastAsia="Times New Roman" w:cstheme="minorHAnsi"/>
                <w:sz w:val="22"/>
                <w:lang w:eastAsia="en-AU"/>
              </w:rPr>
              <w:t>Largely</w:t>
            </w:r>
            <w:r w:rsidR="000B39C1" w:rsidRPr="00AA193E">
              <w:rPr>
                <w:rFonts w:eastAsia="Times New Roman" w:cs="Arial"/>
                <w:sz w:val="22"/>
                <w:lang w:eastAsia="en-AU"/>
              </w:rPr>
              <w:t xml:space="preserve"> </w:t>
            </w:r>
            <w:r w:rsidR="006B377A" w:rsidRPr="00AA193E">
              <w:rPr>
                <w:rFonts w:eastAsia="Times New Roman" w:cs="Arial"/>
                <w:sz w:val="22"/>
                <w:lang w:eastAsia="en-AU"/>
              </w:rPr>
              <w:t xml:space="preserve">consistent with </w:t>
            </w:r>
            <w:r w:rsidR="006B377A" w:rsidRPr="00AA193E">
              <w:rPr>
                <w:rFonts w:eastAsia="Times New Roman" w:cstheme="minorHAnsi"/>
                <w:sz w:val="22"/>
                <w:lang w:eastAsia="en-AU"/>
              </w:rPr>
              <w:t xml:space="preserve">or exceeded </w:t>
            </w:r>
            <w:r w:rsidR="006B377A" w:rsidRPr="00AA193E">
              <w:rPr>
                <w:rFonts w:eastAsia="Times New Roman" w:cs="Arial"/>
                <w:sz w:val="22"/>
                <w:lang w:eastAsia="en-AU"/>
              </w:rPr>
              <w:t xml:space="preserve">the </w:t>
            </w:r>
            <w:r w:rsidRPr="00AA193E">
              <w:rPr>
                <w:rFonts w:eastAsia="Times New Roman" w:cs="Arial"/>
                <w:sz w:val="22"/>
                <w:lang w:eastAsia="en-AU"/>
              </w:rPr>
              <w:t>2018</w:t>
            </w:r>
            <w:r w:rsidR="00F243DC">
              <w:rPr>
                <w:rFonts w:eastAsia="Times New Roman" w:cs="Arial"/>
                <w:sz w:val="22"/>
                <w:lang w:eastAsia="en-AU"/>
              </w:rPr>
              <w:t>–</w:t>
            </w:r>
            <w:r w:rsidRPr="00AA193E">
              <w:rPr>
                <w:rFonts w:eastAsia="Times New Roman" w:cs="Arial"/>
                <w:sz w:val="22"/>
                <w:lang w:eastAsia="en-AU"/>
              </w:rPr>
              <w:t>23 commitment</w:t>
            </w:r>
          </w:p>
        </w:tc>
      </w:tr>
      <w:tr w:rsidR="006B377A" w14:paraId="30683D88" w14:textId="77777777" w:rsidTr="00116E55">
        <w:tc>
          <w:tcPr>
            <w:tcW w:w="0" w:type="dxa"/>
            <w:tcBorders>
              <w:top w:val="single" w:sz="2" w:space="0" w:color="002279"/>
              <w:bottom w:val="single" w:sz="2" w:space="0" w:color="002279"/>
            </w:tcBorders>
          </w:tcPr>
          <w:p w14:paraId="3CFBC8C2" w14:textId="157D9B17" w:rsidR="004438F8" w:rsidRPr="00AA193E" w:rsidRDefault="006B377A" w:rsidP="004438F8">
            <w:pPr>
              <w:spacing w:after="0"/>
              <w:textAlignment w:val="baseline"/>
              <w:rPr>
                <w:rFonts w:ascii="Segoe UI" w:eastAsia="Times New Roman" w:hAnsi="Segoe UI" w:cs="Segoe UI"/>
                <w:sz w:val="22"/>
                <w:lang w:eastAsia="en-AU"/>
              </w:rPr>
            </w:pPr>
            <w:r w:rsidRPr="00AA193E">
              <w:rPr>
                <w:rFonts w:eastAsia="Times New Roman" w:cstheme="minorHAnsi"/>
                <w:b/>
                <w:bCs/>
                <w:sz w:val="22"/>
                <w:lang w:eastAsia="en-AU"/>
              </w:rPr>
              <w:t xml:space="preserve">Assessment rationale: </w:t>
            </w:r>
            <w:r w:rsidR="004438F8" w:rsidRPr="00AA193E">
              <w:rPr>
                <w:rFonts w:eastAsia="Times New Roman" w:cs="Arial"/>
                <w:sz w:val="22"/>
                <w:lang w:eastAsia="en-AU"/>
              </w:rPr>
              <w:t>The project was delivered ahead of schedule and within the allocated P50 budget.</w:t>
            </w:r>
            <w:r w:rsidR="00A1315F">
              <w:rPr>
                <w:rFonts w:eastAsia="Times New Roman" w:cs="Arial"/>
                <w:sz w:val="22"/>
                <w:lang w:eastAsia="en-AU"/>
              </w:rPr>
              <w:t xml:space="preserve"> </w:t>
            </w:r>
          </w:p>
          <w:p w14:paraId="22519B83" w14:textId="28218880" w:rsidR="004438F8" w:rsidRPr="00AA193E" w:rsidRDefault="004438F8" w:rsidP="004438F8">
            <w:pPr>
              <w:spacing w:after="0"/>
              <w:textAlignment w:val="baseline"/>
              <w:rPr>
                <w:rFonts w:ascii="Segoe UI" w:eastAsia="Times New Roman" w:hAnsi="Segoe UI" w:cs="Segoe UI"/>
                <w:sz w:val="22"/>
                <w:lang w:eastAsia="en-AU"/>
              </w:rPr>
            </w:pPr>
            <w:r w:rsidRPr="00AA193E">
              <w:rPr>
                <w:rFonts w:eastAsia="Times New Roman" w:cs="Arial"/>
                <w:sz w:val="22"/>
                <w:lang w:eastAsia="en-AU"/>
              </w:rPr>
              <w:t xml:space="preserve">An assessment of </w:t>
            </w:r>
            <w:r w:rsidRPr="00AA193E">
              <w:rPr>
                <w:rFonts w:eastAsia="Times New Roman" w:cs="Arial"/>
                <w:b/>
                <w:sz w:val="22"/>
                <w:lang w:eastAsia="en-AU"/>
              </w:rPr>
              <w:t xml:space="preserve">largely consistent with or exceeding the </w:t>
            </w:r>
            <w:r w:rsidR="007432EB">
              <w:rPr>
                <w:rFonts w:eastAsia="Times New Roman" w:cs="Arial"/>
                <w:b/>
                <w:bCs/>
                <w:sz w:val="22"/>
                <w:lang w:eastAsia="en-AU"/>
              </w:rPr>
              <w:t>2018</w:t>
            </w:r>
            <w:r w:rsidR="00F243DC">
              <w:rPr>
                <w:rFonts w:eastAsia="Times New Roman" w:cs="Arial"/>
                <w:b/>
                <w:bCs/>
                <w:sz w:val="22"/>
                <w:lang w:eastAsia="en-AU"/>
              </w:rPr>
              <w:t>–</w:t>
            </w:r>
            <w:r w:rsidR="007432EB">
              <w:rPr>
                <w:rFonts w:eastAsia="Times New Roman" w:cs="Arial"/>
                <w:b/>
                <w:bCs/>
                <w:sz w:val="22"/>
                <w:lang w:eastAsia="en-AU"/>
              </w:rPr>
              <w:t>23</w:t>
            </w:r>
            <w:r w:rsidRPr="00AA193E">
              <w:rPr>
                <w:rFonts w:eastAsia="Times New Roman" w:cs="Arial"/>
                <w:b/>
                <w:sz w:val="22"/>
                <w:lang w:eastAsia="en-AU"/>
              </w:rPr>
              <w:t xml:space="preserve"> commitment</w:t>
            </w:r>
            <w:r w:rsidRPr="00AA193E">
              <w:rPr>
                <w:rFonts w:eastAsia="Times New Roman" w:cs="Arial"/>
                <w:sz w:val="22"/>
                <w:lang w:eastAsia="en-AU"/>
              </w:rPr>
              <w:t xml:space="preserve"> was applied in consideration of:   </w:t>
            </w:r>
          </w:p>
          <w:p w14:paraId="1A3882FA" w14:textId="2A2C1726" w:rsidR="004438F8" w:rsidRPr="00AA193E" w:rsidRDefault="004438F8">
            <w:pPr>
              <w:pStyle w:val="ListParagraph"/>
              <w:numPr>
                <w:ilvl w:val="0"/>
                <w:numId w:val="127"/>
              </w:numPr>
              <w:spacing w:after="0"/>
              <w:ind w:left="738"/>
              <w:textAlignment w:val="baseline"/>
              <w:rPr>
                <w:rFonts w:eastAsia="Times New Roman" w:cs="Arial"/>
                <w:sz w:val="22"/>
                <w:lang w:eastAsia="en-AU"/>
              </w:rPr>
            </w:pPr>
            <w:r w:rsidRPr="00AA193E">
              <w:rPr>
                <w:rFonts w:eastAsia="Times New Roman" w:cs="Arial"/>
                <w:sz w:val="22"/>
                <w:lang w:eastAsia="en-AU"/>
              </w:rPr>
              <w:t xml:space="preserve">The program of upgrades has been delivered on time, under the P50 budget and to </w:t>
            </w:r>
            <w:r w:rsidR="00C96C46">
              <w:rPr>
                <w:rFonts w:eastAsia="Times New Roman" w:cs="Arial"/>
                <w:sz w:val="22"/>
                <w:lang w:eastAsia="en-AU"/>
              </w:rPr>
              <w:br/>
            </w:r>
            <w:r w:rsidRPr="00AA193E">
              <w:rPr>
                <w:rFonts w:eastAsia="Times New Roman" w:cs="Arial"/>
                <w:sz w:val="22"/>
                <w:lang w:eastAsia="en-AU"/>
              </w:rPr>
              <w:t>a high standard demonstrating our commitment to get the basics right, always.</w:t>
            </w:r>
            <w:r w:rsidR="00A1315F">
              <w:rPr>
                <w:rFonts w:eastAsia="Times New Roman" w:cs="Arial"/>
                <w:sz w:val="22"/>
                <w:lang w:eastAsia="en-AU"/>
              </w:rPr>
              <w:t xml:space="preserve"> </w:t>
            </w:r>
          </w:p>
          <w:p w14:paraId="05057CA7" w14:textId="6A5A13BF" w:rsidR="004438F8" w:rsidRPr="00AA193E" w:rsidRDefault="004438F8">
            <w:pPr>
              <w:pStyle w:val="ListParagraph"/>
              <w:numPr>
                <w:ilvl w:val="0"/>
                <w:numId w:val="127"/>
              </w:numPr>
              <w:spacing w:after="0"/>
              <w:ind w:left="738"/>
              <w:textAlignment w:val="baseline"/>
              <w:rPr>
                <w:rFonts w:eastAsia="Times New Roman" w:cs="Arial"/>
                <w:sz w:val="22"/>
                <w:lang w:eastAsia="en-AU"/>
              </w:rPr>
            </w:pPr>
            <w:r w:rsidRPr="00AA193E">
              <w:rPr>
                <w:rFonts w:eastAsia="Times New Roman" w:cs="Arial"/>
                <w:sz w:val="22"/>
                <w:lang w:eastAsia="en-AU"/>
              </w:rPr>
              <w:t>The objective to implement the optimal strategy for relining the SDPs and SSAs across South East Water</w:t>
            </w:r>
            <w:r w:rsidR="00612583">
              <w:rPr>
                <w:rFonts w:eastAsia="Times New Roman" w:cs="Arial"/>
                <w:sz w:val="22"/>
                <w:lang w:eastAsia="en-AU"/>
              </w:rPr>
              <w:t>’</w:t>
            </w:r>
            <w:r w:rsidRPr="00AA193E">
              <w:rPr>
                <w:rFonts w:eastAsia="Times New Roman" w:cs="Arial"/>
                <w:sz w:val="22"/>
                <w:lang w:eastAsia="en-AU"/>
              </w:rPr>
              <w:t>s treatment plants has been achieved </w:t>
            </w:r>
          </w:p>
          <w:p w14:paraId="3E8BBF40" w14:textId="297E6B2C" w:rsidR="004438F8" w:rsidRPr="00AA193E" w:rsidRDefault="004438F8">
            <w:pPr>
              <w:pStyle w:val="ListParagraph"/>
              <w:numPr>
                <w:ilvl w:val="0"/>
                <w:numId w:val="127"/>
              </w:numPr>
              <w:spacing w:after="0"/>
              <w:ind w:left="738"/>
              <w:textAlignment w:val="baseline"/>
              <w:rPr>
                <w:rFonts w:eastAsia="Times New Roman" w:cs="Arial"/>
                <w:sz w:val="22"/>
                <w:lang w:eastAsia="en-AU"/>
              </w:rPr>
            </w:pPr>
            <w:r w:rsidRPr="00AA193E">
              <w:rPr>
                <w:rFonts w:eastAsia="Times New Roman" w:cs="Arial"/>
                <w:sz w:val="22"/>
                <w:lang w:eastAsia="en-AU"/>
              </w:rPr>
              <w:t xml:space="preserve">Investigations suggest that benefits have been realised with upgrades allowing the SDP and SSA assets to be maintained in a </w:t>
            </w:r>
            <w:r w:rsidR="00923856" w:rsidRPr="00AA193E">
              <w:rPr>
                <w:rFonts w:eastAsia="Times New Roman" w:cs="Arial"/>
                <w:sz w:val="22"/>
                <w:lang w:eastAsia="en-AU"/>
              </w:rPr>
              <w:t>cost-effective</w:t>
            </w:r>
            <w:r w:rsidRPr="00AA193E">
              <w:rPr>
                <w:rFonts w:eastAsia="Times New Roman" w:cs="Arial"/>
                <w:sz w:val="22"/>
                <w:lang w:eastAsia="en-AU"/>
              </w:rPr>
              <w:t xml:space="preserve"> manner </w:t>
            </w:r>
            <w:r w:rsidR="00E705EB">
              <w:rPr>
                <w:rFonts w:eastAsia="Times New Roman" w:cs="Arial"/>
                <w:sz w:val="22"/>
                <w:lang w:eastAsia="en-AU"/>
              </w:rPr>
              <w:t>while</w:t>
            </w:r>
            <w:r w:rsidRPr="00AA193E">
              <w:rPr>
                <w:rFonts w:eastAsia="Times New Roman" w:cs="Arial"/>
                <w:sz w:val="22"/>
                <w:lang w:eastAsia="en-AU"/>
              </w:rPr>
              <w:t xml:space="preserve"> minimising environmental impacts. </w:t>
            </w:r>
          </w:p>
          <w:p w14:paraId="52D78077" w14:textId="1234D704" w:rsidR="006B377A" w:rsidRPr="00AA193E" w:rsidRDefault="006B377A" w:rsidP="000C0D03">
            <w:pPr>
              <w:spacing w:after="0"/>
              <w:textAlignment w:val="baseline"/>
              <w:rPr>
                <w:rFonts w:eastAsia="Times New Roman" w:cstheme="minorHAnsi"/>
                <w:b/>
                <w:bCs/>
                <w:sz w:val="22"/>
                <w:lang w:eastAsia="en-AU"/>
              </w:rPr>
            </w:pPr>
          </w:p>
        </w:tc>
      </w:tr>
    </w:tbl>
    <w:p w14:paraId="6495B375" w14:textId="225D1E3C" w:rsidR="00A94386" w:rsidRDefault="00A94386" w:rsidP="002E2F37">
      <w:pPr>
        <w:spacing w:after="0"/>
        <w:textAlignment w:val="baseline"/>
        <w:rPr>
          <w:rFonts w:eastAsia="Times New Roman" w:cs="Arial"/>
          <w:sz w:val="20"/>
          <w:szCs w:val="20"/>
          <w:lang w:eastAsia="en-AU"/>
        </w:rPr>
      </w:pPr>
    </w:p>
    <w:p w14:paraId="29865EC1" w14:textId="77777777" w:rsidR="0060747E" w:rsidRDefault="0060747E" w:rsidP="00D11C2D">
      <w:pPr>
        <w:pStyle w:val="Heading1"/>
        <w:rPr>
          <w:lang w:eastAsia="en-AU"/>
        </w:rPr>
        <w:sectPr w:rsidR="0060747E" w:rsidSect="00116E55">
          <w:pgSz w:w="11906" w:h="16838" w:code="9"/>
          <w:pgMar w:top="1440" w:right="1440" w:bottom="1440" w:left="1014" w:header="567" w:footer="283" w:gutter="0"/>
          <w:cols w:space="708"/>
          <w:docGrid w:linePitch="360"/>
        </w:sectPr>
      </w:pPr>
    </w:p>
    <w:p w14:paraId="2F210F85" w14:textId="2B605414" w:rsidR="00573EF0" w:rsidRDefault="00CE2AC1" w:rsidP="00D11C2D">
      <w:pPr>
        <w:pStyle w:val="Heading1"/>
        <w:rPr>
          <w:lang w:eastAsia="en-AU"/>
        </w:rPr>
      </w:pPr>
      <w:bookmarkStart w:id="112" w:name="_Toc114644629"/>
      <w:r>
        <w:rPr>
          <w:lang w:eastAsia="en-AU"/>
        </w:rPr>
        <w:lastRenderedPageBreak/>
        <w:t xml:space="preserve">Appendix 3 – </w:t>
      </w:r>
      <w:r w:rsidR="00030CB6">
        <w:rPr>
          <w:lang w:eastAsia="en-AU"/>
        </w:rPr>
        <w:t>Performance</w:t>
      </w:r>
      <w:r w:rsidR="00B43B6C">
        <w:rPr>
          <w:lang w:eastAsia="en-AU"/>
        </w:rPr>
        <w:t xml:space="preserve"> s</w:t>
      </w:r>
      <w:r>
        <w:rPr>
          <w:lang w:eastAsia="en-AU"/>
        </w:rPr>
        <w:t>elf-assessment framework</w:t>
      </w:r>
      <w:bookmarkEnd w:id="112"/>
      <w:r>
        <w:rPr>
          <w:lang w:eastAsia="en-AU"/>
        </w:rPr>
        <w:t xml:space="preserve"> </w:t>
      </w:r>
    </w:p>
    <w:p w14:paraId="508635E0" w14:textId="17DCFDE5" w:rsidR="00FA47A6" w:rsidRDefault="00713615" w:rsidP="00D11C2D">
      <w:pPr>
        <w:pStyle w:val="Heading2"/>
        <w:rPr>
          <w:lang w:eastAsia="en-AU"/>
        </w:rPr>
      </w:pPr>
      <w:r>
        <w:rPr>
          <w:lang w:eastAsia="en-AU"/>
        </w:rPr>
        <w:t xml:space="preserve">Our approach </w:t>
      </w:r>
    </w:p>
    <w:p w14:paraId="34898CD5" w14:textId="77777777" w:rsidR="00390759" w:rsidRDefault="00595FC3" w:rsidP="00390759">
      <w:pPr>
        <w:pStyle w:val="BodyText"/>
        <w:rPr>
          <w:b/>
          <w:i/>
          <w:sz w:val="22"/>
        </w:rPr>
      </w:pPr>
      <w:r>
        <w:rPr>
          <w:lang w:eastAsia="en-AU"/>
        </w:rPr>
        <w:t xml:space="preserve">This framework </w:t>
      </w:r>
      <w:r w:rsidR="00AC78BB">
        <w:rPr>
          <w:lang w:eastAsia="en-AU"/>
        </w:rPr>
        <w:t>was designed to build upon the existing customer outcomes and major pro</w:t>
      </w:r>
      <w:r w:rsidR="00072A97">
        <w:rPr>
          <w:lang w:eastAsia="en-AU"/>
        </w:rPr>
        <w:t>jects reporting</w:t>
      </w:r>
      <w:r w:rsidR="006E2C62">
        <w:rPr>
          <w:lang w:eastAsia="en-AU"/>
        </w:rPr>
        <w:t xml:space="preserve">, in order to provide a </w:t>
      </w:r>
      <w:r w:rsidR="00C96C46">
        <w:rPr>
          <w:lang w:eastAsia="en-AU"/>
        </w:rPr>
        <w:br/>
      </w:r>
      <w:r w:rsidR="006E2C62">
        <w:rPr>
          <w:lang w:eastAsia="en-AU"/>
        </w:rPr>
        <w:t xml:space="preserve">true and robust reflection of our performance and the overall value we deliver to customers. </w:t>
      </w:r>
      <w:r w:rsidR="00DC6437">
        <w:rPr>
          <w:lang w:eastAsia="en-AU"/>
        </w:rPr>
        <w:t xml:space="preserve">It consists of </w:t>
      </w:r>
      <w:r w:rsidR="007C5F3E">
        <w:rPr>
          <w:lang w:eastAsia="en-AU"/>
        </w:rPr>
        <w:t>5 pe</w:t>
      </w:r>
      <w:r w:rsidR="005B1C4F">
        <w:rPr>
          <w:lang w:eastAsia="en-AU"/>
        </w:rPr>
        <w:t xml:space="preserve">rformance elements, identified in response to the guiding questions provided in the ESC final guidance paper for the </w:t>
      </w:r>
      <w:r w:rsidR="005B1C4F" w:rsidRPr="00BA1C93">
        <w:rPr>
          <w:lang w:eastAsia="en-AU"/>
        </w:rPr>
        <w:t>2023</w:t>
      </w:r>
      <w:r w:rsidR="00F243DC" w:rsidRPr="00BA1C93">
        <w:rPr>
          <w:lang w:eastAsia="en-AU"/>
        </w:rPr>
        <w:t>–</w:t>
      </w:r>
      <w:r w:rsidR="005B1C4F" w:rsidRPr="00BA1C93">
        <w:rPr>
          <w:lang w:eastAsia="en-AU"/>
        </w:rPr>
        <w:t xml:space="preserve">28 </w:t>
      </w:r>
      <w:r w:rsidR="00487CE8" w:rsidRPr="00BA1C93">
        <w:rPr>
          <w:lang w:eastAsia="en-AU"/>
        </w:rPr>
        <w:t>P</w:t>
      </w:r>
      <w:r w:rsidR="005B1C4F" w:rsidRPr="00BA1C93">
        <w:rPr>
          <w:lang w:eastAsia="en-AU"/>
        </w:rPr>
        <w:t xml:space="preserve">rice </w:t>
      </w:r>
      <w:r w:rsidR="00487CE8" w:rsidRPr="00BA1C93">
        <w:rPr>
          <w:lang w:eastAsia="en-AU"/>
        </w:rPr>
        <w:t>S</w:t>
      </w:r>
      <w:r w:rsidR="005B1C4F" w:rsidRPr="00BA1C93">
        <w:rPr>
          <w:lang w:eastAsia="en-AU"/>
        </w:rPr>
        <w:t>ubmission</w:t>
      </w:r>
      <w:r w:rsidR="00A134CE">
        <w:rPr>
          <w:lang w:eastAsia="en-AU"/>
        </w:rPr>
        <w:t xml:space="preserve"> as shown below in figure 20.</w:t>
      </w:r>
      <w:r w:rsidR="00390759" w:rsidRPr="00390759">
        <w:rPr>
          <w:b/>
          <w:i/>
          <w:sz w:val="22"/>
        </w:rPr>
        <w:t xml:space="preserve"> </w:t>
      </w:r>
    </w:p>
    <w:p w14:paraId="32F5DC22" w14:textId="77777777" w:rsidR="00FE2913" w:rsidRDefault="00FE2913" w:rsidP="00390759">
      <w:pPr>
        <w:pStyle w:val="BodyText"/>
        <w:rPr>
          <w:b/>
          <w:i/>
          <w:sz w:val="22"/>
        </w:rPr>
      </w:pPr>
    </w:p>
    <w:p w14:paraId="334C9DB1" w14:textId="152F2321" w:rsidR="00390759" w:rsidRDefault="00F8713B" w:rsidP="00FE2913">
      <w:pPr>
        <w:pStyle w:val="BodyText"/>
        <w:rPr>
          <w:rFonts w:eastAsia="Times New Roman" w:cs="Arial"/>
          <w:position w:val="-1"/>
          <w:lang w:val="en-US" w:eastAsia="en-AU"/>
        </w:rPr>
      </w:pPr>
      <w:r>
        <w:rPr>
          <w:noProof/>
          <w:lang w:eastAsia="en-AU"/>
        </w:rPr>
        <w:drawing>
          <wp:anchor distT="0" distB="0" distL="114300" distR="114300" simplePos="0" relativeHeight="251658300" behindDoc="0" locked="0" layoutInCell="1" allowOverlap="1" wp14:anchorId="4A825DD2" wp14:editId="08047D3E">
            <wp:simplePos x="0" y="0"/>
            <wp:positionH relativeFrom="column">
              <wp:posOffset>0</wp:posOffset>
            </wp:positionH>
            <wp:positionV relativeFrom="paragraph">
              <wp:posOffset>310403</wp:posOffset>
            </wp:positionV>
            <wp:extent cx="6903085" cy="1978025"/>
            <wp:effectExtent l="0" t="0" r="5715" b="3175"/>
            <wp:wrapTopAndBottom/>
            <wp:docPr id="20" name="Picture 20"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chart&#10;&#10;Description automatically generated"/>
                    <pic:cNvPicPr/>
                  </pic:nvPicPr>
                  <pic:blipFill rotWithShape="1">
                    <a:blip r:embed="rId46" cstate="print">
                      <a:extLst>
                        <a:ext uri="{28A0092B-C50C-407E-A947-70E740481C1C}">
                          <a14:useLocalDpi xmlns:a14="http://schemas.microsoft.com/office/drawing/2010/main" val="0"/>
                        </a:ext>
                      </a:extLst>
                    </a:blip>
                    <a:srcRect l="5404" t="14463" r="5404" b="14463"/>
                    <a:stretch/>
                  </pic:blipFill>
                  <pic:spPr bwMode="auto">
                    <a:xfrm>
                      <a:off x="0" y="0"/>
                      <a:ext cx="6903085" cy="1978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0759" w:rsidRPr="000B4F52">
        <w:rPr>
          <w:b/>
          <w:i/>
          <w:sz w:val="22"/>
        </w:rPr>
        <w:t xml:space="preserve">Figure </w:t>
      </w:r>
      <w:r w:rsidR="00390759">
        <w:rPr>
          <w:b/>
          <w:i/>
          <w:sz w:val="22"/>
        </w:rPr>
        <w:t>2</w:t>
      </w:r>
      <w:r w:rsidR="00390759">
        <w:rPr>
          <w:b/>
          <w:bCs/>
          <w:i/>
          <w:sz w:val="22"/>
        </w:rPr>
        <w:t>0</w:t>
      </w:r>
      <w:r w:rsidR="00390759" w:rsidRPr="000B4F52">
        <w:rPr>
          <w:b/>
          <w:bCs/>
          <w:i/>
          <w:sz w:val="22"/>
        </w:rPr>
        <w:t>:</w:t>
      </w:r>
      <w:r w:rsidR="00390759" w:rsidRPr="00C85E81">
        <w:rPr>
          <w:rFonts w:cstheme="minorHAnsi"/>
          <w:b/>
          <w:bCs/>
          <w:i/>
          <w:iCs/>
          <w:sz w:val="22"/>
        </w:rPr>
        <w:t xml:space="preserve"> </w:t>
      </w:r>
      <w:r w:rsidR="00390759">
        <w:rPr>
          <w:rFonts w:cstheme="minorHAnsi"/>
          <w:b/>
          <w:bCs/>
          <w:i/>
          <w:iCs/>
          <w:sz w:val="22"/>
        </w:rPr>
        <w:t>ESC guiding questions (performance)</w:t>
      </w:r>
    </w:p>
    <w:p w14:paraId="4BA7B932" w14:textId="620A0F77" w:rsidR="00A134CE" w:rsidRDefault="00A134CE" w:rsidP="00A7438B">
      <w:pPr>
        <w:pStyle w:val="BodyText"/>
        <w:rPr>
          <w:lang w:eastAsia="en-AU"/>
        </w:rPr>
      </w:pPr>
    </w:p>
    <w:p w14:paraId="38E09366" w14:textId="5545E6EE" w:rsidR="004D64DC" w:rsidRDefault="006A4821" w:rsidP="001E6EC6">
      <w:pPr>
        <w:pStyle w:val="Heading2"/>
        <w:rPr>
          <w:lang w:eastAsia="en-AU"/>
        </w:rPr>
      </w:pPr>
      <w:r w:rsidRPr="00063F5B">
        <w:rPr>
          <w:lang w:eastAsia="en-AU"/>
        </w:rPr>
        <w:t>Scoring methodology</w:t>
      </w:r>
      <w:r w:rsidR="004D64DC">
        <w:rPr>
          <w:lang w:eastAsia="en-AU"/>
        </w:rPr>
        <w:t xml:space="preserve"> </w:t>
      </w:r>
    </w:p>
    <w:p w14:paraId="663B735E" w14:textId="79F28CF4" w:rsidR="007F27DA" w:rsidRDefault="007F27DA" w:rsidP="00DF2E18">
      <w:pPr>
        <w:textAlignment w:val="baseline"/>
        <w:rPr>
          <w:rFonts w:eastAsia="Times New Roman" w:cs="Arial"/>
          <w:position w:val="-1"/>
          <w:lang w:val="en-US" w:eastAsia="en-AU"/>
        </w:rPr>
      </w:pPr>
      <w:r w:rsidRPr="007F27DA">
        <w:rPr>
          <w:rFonts w:eastAsia="Times New Roman" w:cs="Arial"/>
          <w:position w:val="-1"/>
          <w:lang w:val="en-US" w:eastAsia="en-AU"/>
        </w:rPr>
        <w:t xml:space="preserve">Each of the </w:t>
      </w:r>
      <w:r w:rsidR="00230DD7">
        <w:rPr>
          <w:rFonts w:eastAsia="Times New Roman" w:cs="Arial"/>
          <w:position w:val="-1"/>
          <w:lang w:val="en-US" w:eastAsia="en-AU"/>
        </w:rPr>
        <w:t xml:space="preserve">5 </w:t>
      </w:r>
      <w:r w:rsidRPr="007F27DA">
        <w:rPr>
          <w:rFonts w:eastAsia="Times New Roman" w:cs="Arial"/>
          <w:position w:val="-1"/>
          <w:lang w:val="en-US" w:eastAsia="en-AU"/>
        </w:rPr>
        <w:t>performance elements covered in this self-assessment framework ha</w:t>
      </w:r>
      <w:r w:rsidR="0000048D">
        <w:rPr>
          <w:rFonts w:eastAsia="Times New Roman" w:cs="Arial"/>
          <w:position w:val="-1"/>
          <w:lang w:val="en-US" w:eastAsia="en-AU"/>
        </w:rPr>
        <w:t>s</w:t>
      </w:r>
      <w:r w:rsidRPr="007F27DA">
        <w:rPr>
          <w:rFonts w:eastAsia="Times New Roman" w:cs="Arial"/>
          <w:position w:val="-1"/>
          <w:lang w:val="en-US" w:eastAsia="en-AU"/>
        </w:rPr>
        <w:t xml:space="preserve"> been scored using the ESC Scoring Methodology</w:t>
      </w:r>
      <w:r w:rsidR="00D90A78">
        <w:rPr>
          <w:rFonts w:eastAsia="Times New Roman" w:cs="Arial"/>
          <w:position w:val="-1"/>
          <w:lang w:val="en-US" w:eastAsia="en-AU"/>
        </w:rPr>
        <w:t xml:space="preserve"> shown in </w:t>
      </w:r>
      <w:r w:rsidR="00820175">
        <w:rPr>
          <w:rFonts w:eastAsia="Times New Roman" w:cs="Arial"/>
          <w:position w:val="-1"/>
          <w:lang w:val="en-US" w:eastAsia="en-AU"/>
        </w:rPr>
        <w:t>T</w:t>
      </w:r>
      <w:r w:rsidR="00902663">
        <w:rPr>
          <w:rFonts w:eastAsia="Times New Roman" w:cs="Arial"/>
          <w:position w:val="-1"/>
          <w:lang w:val="en-US" w:eastAsia="en-AU"/>
        </w:rPr>
        <w:t>able 7</w:t>
      </w:r>
      <w:r w:rsidR="00BF2D39">
        <w:rPr>
          <w:rFonts w:eastAsia="Times New Roman" w:cs="Arial"/>
          <w:position w:val="-1"/>
          <w:lang w:val="en-US" w:eastAsia="en-AU"/>
        </w:rPr>
        <w:t>4</w:t>
      </w:r>
      <w:r w:rsidR="00D90A78">
        <w:rPr>
          <w:rFonts w:eastAsia="Times New Roman" w:cs="Arial"/>
          <w:position w:val="-1"/>
          <w:lang w:val="en-US" w:eastAsia="en-AU"/>
        </w:rPr>
        <w:t>,</w:t>
      </w:r>
      <w:r w:rsidR="00D61CE3">
        <w:rPr>
          <w:rFonts w:eastAsia="Times New Roman" w:cs="Arial"/>
          <w:position w:val="-1"/>
          <w:lang w:val="en-US" w:eastAsia="en-AU"/>
        </w:rPr>
        <w:t xml:space="preserve"> </w:t>
      </w:r>
      <w:r w:rsidRPr="007F27DA">
        <w:rPr>
          <w:rFonts w:eastAsia="Times New Roman" w:cs="Arial"/>
          <w:position w:val="-1"/>
          <w:lang w:val="en-US" w:eastAsia="en-AU"/>
        </w:rPr>
        <w:t>as detailed in the guidance paper.</w:t>
      </w:r>
      <w:r w:rsidRPr="007F27DA">
        <w:rPr>
          <w:rFonts w:eastAsia="Times New Roman" w:cs="Arial"/>
          <w:lang w:val="en-US" w:eastAsia="en-AU"/>
        </w:rPr>
        <w:t>​</w:t>
      </w:r>
      <w:r w:rsidR="00DF2E18">
        <w:rPr>
          <w:rFonts w:eastAsia="Times New Roman" w:cs="Arial"/>
          <w:lang w:val="en-US" w:eastAsia="en-AU"/>
        </w:rPr>
        <w:t xml:space="preserve"> </w:t>
      </w:r>
      <w:r w:rsidRPr="007F27DA">
        <w:rPr>
          <w:rFonts w:eastAsia="Times New Roman" w:cs="Arial"/>
          <w:position w:val="-1"/>
          <w:lang w:val="en-US" w:eastAsia="en-AU"/>
        </w:rPr>
        <w:t>Using the scoring system outlined for each element, a PREMO rating is assigned by converting the element result to a percentage and referencing the table pictured to convert the percentage to an ESC score and thereby a Rating. </w:t>
      </w:r>
      <w:r w:rsidRPr="007F27DA">
        <w:rPr>
          <w:rFonts w:eastAsia="Times New Roman" w:cs="Arial"/>
          <w:lang w:val="en-US" w:eastAsia="en-AU"/>
        </w:rPr>
        <w:t>​</w:t>
      </w:r>
      <w:r w:rsidRPr="007F27DA">
        <w:rPr>
          <w:rFonts w:eastAsia="Times New Roman" w:cs="Arial"/>
          <w:position w:val="-1"/>
          <w:lang w:val="en-US" w:eastAsia="en-AU"/>
        </w:rPr>
        <w:t>The individual element rating scores are then </w:t>
      </w:r>
      <w:r w:rsidR="00BF2D39" w:rsidRPr="007F27DA">
        <w:rPr>
          <w:rFonts w:eastAsia="Times New Roman" w:cs="Arial"/>
          <w:position w:val="-1"/>
          <w:lang w:val="en-US" w:eastAsia="en-AU"/>
        </w:rPr>
        <w:t>tota</w:t>
      </w:r>
      <w:r w:rsidR="00BF2D39">
        <w:rPr>
          <w:rFonts w:eastAsia="Times New Roman" w:cs="Arial"/>
          <w:position w:val="-1"/>
          <w:lang w:val="en-US" w:eastAsia="en-AU"/>
        </w:rPr>
        <w:t>l</w:t>
      </w:r>
      <w:r w:rsidR="00BF2D39" w:rsidRPr="007F27DA">
        <w:rPr>
          <w:rFonts w:eastAsia="Times New Roman" w:cs="Arial"/>
          <w:position w:val="-1"/>
          <w:lang w:val="en-US" w:eastAsia="en-AU"/>
        </w:rPr>
        <w:t>e</w:t>
      </w:r>
      <w:r w:rsidR="00BF2D39">
        <w:rPr>
          <w:rFonts w:eastAsia="Times New Roman" w:cs="Arial"/>
          <w:position w:val="-1"/>
          <w:lang w:val="en-US" w:eastAsia="en-AU"/>
        </w:rPr>
        <w:t>d</w:t>
      </w:r>
      <w:r w:rsidR="00EE4DC4">
        <w:rPr>
          <w:rFonts w:eastAsia="Times New Roman" w:cs="Arial"/>
          <w:position w:val="-1"/>
          <w:lang w:val="en-US" w:eastAsia="en-AU"/>
        </w:rPr>
        <w:t xml:space="preserve"> </w:t>
      </w:r>
      <w:r w:rsidRPr="007F27DA">
        <w:rPr>
          <w:rFonts w:eastAsia="Times New Roman" w:cs="Arial"/>
          <w:position w:val="-1"/>
          <w:lang w:val="en-US" w:eastAsia="en-AU"/>
        </w:rPr>
        <w:t xml:space="preserve">to determine which </w:t>
      </w:r>
      <w:r w:rsidR="00EE4DC4">
        <w:rPr>
          <w:rFonts w:eastAsia="Times New Roman" w:cs="Arial"/>
          <w:position w:val="-1"/>
          <w:lang w:val="en-US" w:eastAsia="en-AU"/>
        </w:rPr>
        <w:t xml:space="preserve">range </w:t>
      </w:r>
      <w:r w:rsidRPr="007F27DA">
        <w:rPr>
          <w:rFonts w:eastAsia="Times New Roman" w:cs="Arial"/>
          <w:position w:val="-1"/>
          <w:lang w:val="en-US" w:eastAsia="en-AU"/>
        </w:rPr>
        <w:t>the result falls into. It is this range that assigns our indicative overall rating for this element of </w:t>
      </w:r>
      <w:r w:rsidR="00C603AD">
        <w:rPr>
          <w:rFonts w:eastAsia="Times New Roman" w:cs="Arial"/>
          <w:position w:val="-1"/>
          <w:lang w:val="en-US" w:eastAsia="en-AU"/>
        </w:rPr>
        <w:t>(</w:t>
      </w:r>
      <w:r w:rsidRPr="00C603AD">
        <w:rPr>
          <w:rFonts w:eastAsia="Times New Roman" w:cs="Arial"/>
          <w:position w:val="-1"/>
          <w:lang w:val="en-US" w:eastAsia="en-AU"/>
        </w:rPr>
        <w:t>P</w:t>
      </w:r>
      <w:r w:rsidR="00C603AD">
        <w:rPr>
          <w:rFonts w:eastAsia="Times New Roman" w:cs="Arial"/>
          <w:position w:val="-1"/>
          <w:lang w:val="en-US" w:eastAsia="en-AU"/>
        </w:rPr>
        <w:t>)</w:t>
      </w:r>
      <w:r w:rsidRPr="007F27DA">
        <w:rPr>
          <w:rFonts w:eastAsia="Times New Roman" w:cs="Arial"/>
          <w:position w:val="-1"/>
          <w:lang w:val="en-US" w:eastAsia="en-AU"/>
        </w:rPr>
        <w:t>REMO.</w:t>
      </w:r>
    </w:p>
    <w:p w14:paraId="217489E6" w14:textId="4B8D393D" w:rsidR="00A3358A" w:rsidRDefault="0038166C" w:rsidP="002819EA">
      <w:pPr>
        <w:textAlignment w:val="baseline"/>
      </w:pPr>
      <w:r w:rsidRPr="00CE6C4E">
        <w:rPr>
          <w:b/>
          <w:bCs/>
          <w:i/>
          <w:iCs/>
          <w:sz w:val="22"/>
          <w:szCs w:val="22"/>
        </w:rPr>
        <w:lastRenderedPageBreak/>
        <w:t>Table</w:t>
      </w:r>
      <w:r w:rsidR="00BF2D39">
        <w:rPr>
          <w:b/>
          <w:bCs/>
          <w:i/>
          <w:iCs/>
          <w:sz w:val="22"/>
          <w:szCs w:val="22"/>
        </w:rPr>
        <w:t xml:space="preserve"> 74</w:t>
      </w:r>
      <w:r w:rsidRPr="00CE6C4E">
        <w:rPr>
          <w:b/>
          <w:bCs/>
          <w:i/>
          <w:iCs/>
          <w:sz w:val="22"/>
          <w:szCs w:val="22"/>
        </w:rPr>
        <w:t xml:space="preserve">: </w:t>
      </w:r>
      <w:r w:rsidR="00A3358A">
        <w:rPr>
          <w:b/>
          <w:bCs/>
          <w:i/>
          <w:iCs/>
          <w:sz w:val="22"/>
          <w:szCs w:val="22"/>
        </w:rPr>
        <w:t>E</w:t>
      </w:r>
      <w:r w:rsidR="00544D21">
        <w:rPr>
          <w:b/>
          <w:bCs/>
          <w:i/>
          <w:iCs/>
          <w:sz w:val="22"/>
          <w:szCs w:val="22"/>
        </w:rPr>
        <w:t>SC</w:t>
      </w:r>
      <w:r w:rsidR="00A3358A">
        <w:rPr>
          <w:b/>
          <w:bCs/>
          <w:i/>
          <w:iCs/>
          <w:sz w:val="22"/>
          <w:szCs w:val="22"/>
        </w:rPr>
        <w:t xml:space="preserve"> scoring methodology</w:t>
      </w:r>
    </w:p>
    <w:tbl>
      <w:tblPr>
        <w:tblW w:w="4980" w:type="pct"/>
        <w:tblInd w:w="-5" w:type="dxa"/>
        <w:tblLook w:val="04A0" w:firstRow="1" w:lastRow="0" w:firstColumn="1" w:lastColumn="0" w:noHBand="0" w:noVBand="1"/>
      </w:tblPr>
      <w:tblGrid>
        <w:gridCol w:w="1560"/>
        <w:gridCol w:w="1417"/>
        <w:gridCol w:w="9072"/>
        <w:gridCol w:w="1843"/>
      </w:tblGrid>
      <w:tr w:rsidR="002A4B0E" w:rsidRPr="00C75902" w14:paraId="26CBF949" w14:textId="77777777" w:rsidTr="00E36EA1">
        <w:trPr>
          <w:trHeight w:val="396"/>
        </w:trPr>
        <w:tc>
          <w:tcPr>
            <w:tcW w:w="1560" w:type="dxa"/>
            <w:vMerge w:val="restart"/>
            <w:tcBorders>
              <w:top w:val="single" w:sz="4" w:space="0" w:color="002279"/>
              <w:left w:val="single" w:sz="4" w:space="0" w:color="002279"/>
              <w:bottom w:val="single" w:sz="4" w:space="0" w:color="002279"/>
              <w:right w:val="single" w:sz="4" w:space="0" w:color="FFFFFF" w:themeColor="background1"/>
            </w:tcBorders>
            <w:shd w:val="clear" w:color="auto" w:fill="002279"/>
            <w:vAlign w:val="center"/>
            <w:hideMark/>
          </w:tcPr>
          <w:p w14:paraId="6A2197BB" w14:textId="77777777" w:rsidR="009F3E41" w:rsidRPr="009F3E41" w:rsidRDefault="009F3E41" w:rsidP="009F3E41">
            <w:pPr>
              <w:spacing w:after="0"/>
              <w:jc w:val="center"/>
              <w:rPr>
                <w:rFonts w:asciiTheme="minorHAnsi" w:eastAsia="Times New Roman" w:hAnsiTheme="minorHAnsi" w:cstheme="minorHAnsi"/>
                <w:b/>
                <w:bCs/>
                <w:color w:val="FFFFFF" w:themeColor="background1"/>
                <w:sz w:val="20"/>
                <w:szCs w:val="20"/>
                <w:lang w:eastAsia="en-AU"/>
              </w:rPr>
            </w:pPr>
            <w:r w:rsidRPr="009F3E41">
              <w:rPr>
                <w:rFonts w:asciiTheme="minorHAnsi" w:eastAsia="Times New Roman" w:hAnsiTheme="minorHAnsi" w:cstheme="minorHAnsi"/>
                <w:b/>
                <w:bCs/>
                <w:color w:val="FFFFFF" w:themeColor="background1"/>
                <w:sz w:val="20"/>
                <w:szCs w:val="20"/>
                <w:lang w:eastAsia="en-AU"/>
              </w:rPr>
              <w:t>Range</w:t>
            </w:r>
          </w:p>
        </w:tc>
        <w:tc>
          <w:tcPr>
            <w:tcW w:w="1417" w:type="dxa"/>
            <w:vMerge w:val="restart"/>
            <w:tcBorders>
              <w:top w:val="single" w:sz="4" w:space="0" w:color="002279"/>
              <w:left w:val="single" w:sz="4" w:space="0" w:color="FFFFFF" w:themeColor="background1"/>
              <w:bottom w:val="single" w:sz="4" w:space="0" w:color="002279"/>
              <w:right w:val="single" w:sz="4" w:space="0" w:color="FFFFFF" w:themeColor="background1"/>
            </w:tcBorders>
            <w:shd w:val="clear" w:color="auto" w:fill="002279"/>
            <w:vAlign w:val="center"/>
            <w:hideMark/>
          </w:tcPr>
          <w:p w14:paraId="25C6E123" w14:textId="12949F46" w:rsidR="009F3E41" w:rsidRPr="009F3E41" w:rsidRDefault="00D90A78" w:rsidP="009F3E41">
            <w:pPr>
              <w:spacing w:after="0"/>
              <w:jc w:val="center"/>
              <w:rPr>
                <w:rFonts w:asciiTheme="minorHAnsi" w:eastAsia="Times New Roman" w:hAnsiTheme="minorHAnsi" w:cstheme="minorHAnsi"/>
                <w:b/>
                <w:bCs/>
                <w:color w:val="FFFFFF" w:themeColor="background1"/>
                <w:sz w:val="20"/>
                <w:szCs w:val="20"/>
                <w:lang w:eastAsia="en-AU"/>
              </w:rPr>
            </w:pPr>
            <w:r w:rsidRPr="00C75902">
              <w:rPr>
                <w:rFonts w:asciiTheme="minorHAnsi" w:eastAsia="Times New Roman" w:hAnsiTheme="minorHAnsi" w:cstheme="minorHAnsi"/>
                <w:b/>
                <w:bCs/>
                <w:color w:val="FFFFFF" w:themeColor="background1"/>
                <w:sz w:val="20"/>
                <w:szCs w:val="20"/>
                <w:lang w:eastAsia="en-AU"/>
              </w:rPr>
              <w:t>S</w:t>
            </w:r>
            <w:r w:rsidR="009F3E41" w:rsidRPr="009F3E41">
              <w:rPr>
                <w:rFonts w:asciiTheme="minorHAnsi" w:eastAsia="Times New Roman" w:hAnsiTheme="minorHAnsi" w:cstheme="minorHAnsi"/>
                <w:b/>
                <w:bCs/>
                <w:color w:val="FFFFFF" w:themeColor="background1"/>
                <w:sz w:val="20"/>
                <w:szCs w:val="20"/>
                <w:lang w:eastAsia="en-AU"/>
              </w:rPr>
              <w:t>core</w:t>
            </w:r>
          </w:p>
        </w:tc>
        <w:tc>
          <w:tcPr>
            <w:tcW w:w="9072" w:type="dxa"/>
            <w:vMerge w:val="restart"/>
            <w:tcBorders>
              <w:top w:val="single" w:sz="4" w:space="0" w:color="002279"/>
              <w:left w:val="single" w:sz="4" w:space="0" w:color="FFFFFF" w:themeColor="background1"/>
              <w:bottom w:val="single" w:sz="4" w:space="0" w:color="002279"/>
              <w:right w:val="single" w:sz="4" w:space="0" w:color="FFFFFF" w:themeColor="background1"/>
            </w:tcBorders>
            <w:shd w:val="clear" w:color="auto" w:fill="002279"/>
            <w:vAlign w:val="center"/>
            <w:hideMark/>
          </w:tcPr>
          <w:p w14:paraId="59B7CD63" w14:textId="04952163" w:rsidR="009F3E41" w:rsidRPr="009F3E41" w:rsidRDefault="000478F3" w:rsidP="000478F3">
            <w:pPr>
              <w:spacing w:after="0"/>
              <w:rPr>
                <w:rFonts w:asciiTheme="minorHAnsi" w:eastAsia="Times New Roman" w:hAnsiTheme="minorHAnsi" w:cstheme="minorHAnsi"/>
                <w:b/>
                <w:bCs/>
                <w:color w:val="FFFFFF" w:themeColor="background1"/>
                <w:sz w:val="20"/>
                <w:szCs w:val="20"/>
                <w:lang w:eastAsia="en-AU"/>
              </w:rPr>
            </w:pPr>
            <w:r>
              <w:rPr>
                <w:rFonts w:asciiTheme="minorHAnsi" w:eastAsia="Times New Roman" w:hAnsiTheme="minorHAnsi" w:cstheme="minorHAnsi"/>
                <w:b/>
                <w:bCs/>
                <w:color w:val="FFFFFF" w:themeColor="background1"/>
                <w:sz w:val="20"/>
                <w:szCs w:val="20"/>
                <w:lang w:eastAsia="en-AU"/>
              </w:rPr>
              <w:t>Rating</w:t>
            </w:r>
          </w:p>
        </w:tc>
        <w:tc>
          <w:tcPr>
            <w:tcW w:w="1843" w:type="dxa"/>
            <w:vMerge w:val="restart"/>
            <w:tcBorders>
              <w:top w:val="single" w:sz="4" w:space="0" w:color="002279"/>
              <w:left w:val="single" w:sz="4" w:space="0" w:color="FFFFFF" w:themeColor="background1"/>
              <w:bottom w:val="single" w:sz="4" w:space="0" w:color="002279"/>
              <w:right w:val="single" w:sz="4" w:space="0" w:color="002279"/>
            </w:tcBorders>
            <w:shd w:val="clear" w:color="auto" w:fill="002279"/>
            <w:vAlign w:val="center"/>
            <w:hideMark/>
          </w:tcPr>
          <w:p w14:paraId="7B4F285A" w14:textId="77777777" w:rsidR="009F3E41" w:rsidRPr="009F3E41" w:rsidRDefault="009F3E41" w:rsidP="00754450">
            <w:pPr>
              <w:spacing w:after="0"/>
              <w:jc w:val="center"/>
              <w:rPr>
                <w:rFonts w:asciiTheme="minorHAnsi" w:eastAsia="Times New Roman" w:hAnsiTheme="minorHAnsi" w:cstheme="minorHAnsi"/>
                <w:b/>
                <w:bCs/>
                <w:color w:val="FFFFFF" w:themeColor="background1"/>
                <w:sz w:val="20"/>
                <w:szCs w:val="20"/>
                <w:lang w:eastAsia="en-AU"/>
              </w:rPr>
            </w:pPr>
            <w:r w:rsidRPr="009F3E41">
              <w:rPr>
                <w:rFonts w:asciiTheme="minorHAnsi" w:eastAsia="Times New Roman" w:hAnsiTheme="minorHAnsi" w:cstheme="minorHAnsi"/>
                <w:b/>
                <w:bCs/>
                <w:color w:val="FFFFFF" w:themeColor="background1"/>
                <w:sz w:val="20"/>
                <w:szCs w:val="20"/>
                <w:lang w:eastAsia="en-AU"/>
              </w:rPr>
              <w:t>%</w:t>
            </w:r>
          </w:p>
        </w:tc>
      </w:tr>
      <w:tr w:rsidR="00011278" w:rsidRPr="009F3E41" w14:paraId="61F669CD" w14:textId="77777777" w:rsidTr="00D92D75">
        <w:trPr>
          <w:trHeight w:val="396"/>
        </w:trPr>
        <w:tc>
          <w:tcPr>
            <w:tcW w:w="1560" w:type="dxa"/>
            <w:vMerge/>
            <w:tcBorders>
              <w:top w:val="single" w:sz="4" w:space="0" w:color="002279"/>
              <w:left w:val="single" w:sz="4" w:space="0" w:color="002279"/>
              <w:bottom w:val="single" w:sz="4" w:space="0" w:color="002279"/>
              <w:right w:val="single" w:sz="4" w:space="0" w:color="FFFFFF" w:themeColor="background1"/>
            </w:tcBorders>
            <w:vAlign w:val="center"/>
            <w:hideMark/>
          </w:tcPr>
          <w:p w14:paraId="4C9A1668" w14:textId="77777777" w:rsidR="009F3E41" w:rsidRPr="009F3E41" w:rsidRDefault="009F3E41" w:rsidP="009F3E41">
            <w:pPr>
              <w:spacing w:after="0"/>
              <w:rPr>
                <w:rFonts w:asciiTheme="minorHAnsi" w:eastAsia="Times New Roman" w:hAnsiTheme="minorHAnsi" w:cstheme="minorHAnsi"/>
                <w:color w:val="0070C0"/>
                <w:sz w:val="20"/>
                <w:szCs w:val="20"/>
                <w:lang w:eastAsia="en-AU"/>
              </w:rPr>
            </w:pPr>
          </w:p>
        </w:tc>
        <w:tc>
          <w:tcPr>
            <w:tcW w:w="1417" w:type="dxa"/>
            <w:vMerge/>
            <w:tcBorders>
              <w:top w:val="single" w:sz="4" w:space="0" w:color="002279"/>
              <w:left w:val="single" w:sz="4" w:space="0" w:color="FFFFFF" w:themeColor="background1"/>
              <w:bottom w:val="single" w:sz="4" w:space="0" w:color="002279"/>
              <w:right w:val="single" w:sz="4" w:space="0" w:color="FFFFFF" w:themeColor="background1"/>
            </w:tcBorders>
            <w:vAlign w:val="center"/>
            <w:hideMark/>
          </w:tcPr>
          <w:p w14:paraId="4E5A74D0" w14:textId="77777777" w:rsidR="009F3E41" w:rsidRPr="009F3E41" w:rsidRDefault="009F3E41" w:rsidP="009F3E41">
            <w:pPr>
              <w:spacing w:after="0"/>
              <w:rPr>
                <w:rFonts w:asciiTheme="minorHAnsi" w:eastAsia="Times New Roman" w:hAnsiTheme="minorHAnsi" w:cstheme="minorHAnsi"/>
                <w:color w:val="0070C0"/>
                <w:sz w:val="20"/>
                <w:szCs w:val="20"/>
                <w:lang w:eastAsia="en-AU"/>
              </w:rPr>
            </w:pPr>
          </w:p>
        </w:tc>
        <w:tc>
          <w:tcPr>
            <w:tcW w:w="9072" w:type="dxa"/>
            <w:vMerge/>
            <w:tcBorders>
              <w:top w:val="single" w:sz="4" w:space="0" w:color="002279"/>
              <w:left w:val="single" w:sz="4" w:space="0" w:color="FFFFFF" w:themeColor="background1"/>
              <w:bottom w:val="single" w:sz="4" w:space="0" w:color="002279"/>
              <w:right w:val="single" w:sz="4" w:space="0" w:color="FFFFFF" w:themeColor="background1"/>
            </w:tcBorders>
            <w:vAlign w:val="center"/>
            <w:hideMark/>
          </w:tcPr>
          <w:p w14:paraId="7F403204" w14:textId="77777777" w:rsidR="009F3E41" w:rsidRPr="009F3E41" w:rsidRDefault="009F3E41" w:rsidP="009F3E41">
            <w:pPr>
              <w:spacing w:after="0"/>
              <w:rPr>
                <w:rFonts w:asciiTheme="minorHAnsi" w:eastAsia="Times New Roman" w:hAnsiTheme="minorHAnsi" w:cstheme="minorHAnsi"/>
                <w:color w:val="0070C0"/>
                <w:sz w:val="20"/>
                <w:szCs w:val="20"/>
                <w:lang w:eastAsia="en-AU"/>
              </w:rPr>
            </w:pPr>
          </w:p>
        </w:tc>
        <w:tc>
          <w:tcPr>
            <w:tcW w:w="1843" w:type="dxa"/>
            <w:vMerge/>
            <w:tcBorders>
              <w:top w:val="single" w:sz="4" w:space="0" w:color="002279"/>
              <w:left w:val="single" w:sz="4" w:space="0" w:color="FFFFFF" w:themeColor="background1"/>
              <w:bottom w:val="single" w:sz="4" w:space="0" w:color="002279"/>
              <w:right w:val="single" w:sz="4" w:space="0" w:color="002279"/>
            </w:tcBorders>
            <w:vAlign w:val="center"/>
            <w:hideMark/>
          </w:tcPr>
          <w:p w14:paraId="5CCBB737" w14:textId="77777777" w:rsidR="009F3E41" w:rsidRPr="009F3E41" w:rsidRDefault="009F3E41" w:rsidP="009F3E41">
            <w:pPr>
              <w:spacing w:after="0"/>
              <w:rPr>
                <w:rFonts w:asciiTheme="minorHAnsi" w:eastAsia="Times New Roman" w:hAnsiTheme="minorHAnsi" w:cstheme="minorHAnsi"/>
                <w:color w:val="0070C0"/>
                <w:sz w:val="20"/>
                <w:szCs w:val="20"/>
                <w:lang w:eastAsia="en-AU"/>
              </w:rPr>
            </w:pPr>
          </w:p>
        </w:tc>
      </w:tr>
      <w:tr w:rsidR="002818B5" w:rsidRPr="009F3E41" w14:paraId="7619E8A6" w14:textId="77777777" w:rsidTr="00A35FEB">
        <w:trPr>
          <w:trHeight w:val="369"/>
        </w:trPr>
        <w:tc>
          <w:tcPr>
            <w:tcW w:w="13892" w:type="dxa"/>
            <w:gridSpan w:val="4"/>
            <w:tcBorders>
              <w:top w:val="single" w:sz="4" w:space="0" w:color="002279"/>
              <w:left w:val="single" w:sz="4" w:space="0" w:color="002279"/>
              <w:bottom w:val="single" w:sz="4" w:space="0" w:color="002279"/>
              <w:right w:val="single" w:sz="4" w:space="0" w:color="002279"/>
            </w:tcBorders>
            <w:shd w:val="clear" w:color="auto" w:fill="D4D6DF"/>
            <w:noWrap/>
            <w:vAlign w:val="center"/>
          </w:tcPr>
          <w:p w14:paraId="5ED2E331" w14:textId="4F8F308C" w:rsidR="00BB0A6F" w:rsidRPr="00327BD1" w:rsidRDefault="00BB0A6F" w:rsidP="00C04B58">
            <w:pPr>
              <w:spacing w:after="0"/>
              <w:ind w:firstLineChars="100" w:firstLine="201"/>
              <w:rPr>
                <w:rFonts w:asciiTheme="minorHAnsi" w:eastAsia="Times New Roman" w:hAnsiTheme="minorHAnsi" w:cstheme="minorHAnsi"/>
                <w:b/>
                <w:bCs/>
                <w:color w:val="000000"/>
                <w:sz w:val="20"/>
                <w:szCs w:val="20"/>
                <w:lang w:eastAsia="en-AU"/>
              </w:rPr>
            </w:pPr>
            <w:r w:rsidRPr="00327BD1">
              <w:rPr>
                <w:rFonts w:asciiTheme="minorHAnsi" w:eastAsia="Times New Roman" w:hAnsiTheme="minorHAnsi" w:cstheme="minorHAnsi"/>
                <w:b/>
                <w:bCs/>
                <w:color w:val="000000"/>
                <w:sz w:val="20"/>
                <w:szCs w:val="20"/>
                <w:lang w:eastAsia="en-AU"/>
              </w:rPr>
              <w:t>Leading</w:t>
            </w:r>
          </w:p>
        </w:tc>
      </w:tr>
      <w:tr w:rsidR="00233BF9" w:rsidRPr="009F3E41" w14:paraId="5FD6EC96" w14:textId="77777777" w:rsidTr="00A35FEB">
        <w:trPr>
          <w:trHeight w:val="369"/>
        </w:trPr>
        <w:tc>
          <w:tcPr>
            <w:tcW w:w="1560" w:type="dxa"/>
            <w:tcBorders>
              <w:top w:val="single" w:sz="4" w:space="0" w:color="002279"/>
              <w:left w:val="single" w:sz="4" w:space="0" w:color="002279"/>
              <w:bottom w:val="single" w:sz="4" w:space="0" w:color="002279"/>
              <w:right w:val="single" w:sz="4" w:space="0" w:color="002279"/>
            </w:tcBorders>
            <w:shd w:val="clear" w:color="auto" w:fill="auto"/>
            <w:noWrap/>
            <w:vAlign w:val="center"/>
            <w:hideMark/>
          </w:tcPr>
          <w:p w14:paraId="1E684BCE" w14:textId="77777777" w:rsidR="009F3E41" w:rsidRPr="009F3E41" w:rsidRDefault="009F3E41" w:rsidP="009F3E41">
            <w:pPr>
              <w:spacing w:after="0"/>
              <w:jc w:val="center"/>
              <w:rPr>
                <w:rFonts w:asciiTheme="minorHAnsi" w:eastAsia="Times New Roman" w:hAnsiTheme="minorHAnsi" w:cstheme="minorHAnsi"/>
                <w:color w:val="000000"/>
                <w:sz w:val="20"/>
                <w:szCs w:val="20"/>
                <w:lang w:eastAsia="en-AU"/>
              </w:rPr>
            </w:pPr>
            <w:r w:rsidRPr="009F3E41">
              <w:rPr>
                <w:rFonts w:asciiTheme="minorHAnsi" w:eastAsia="Times New Roman" w:hAnsiTheme="minorHAnsi" w:cstheme="minorHAnsi"/>
                <w:color w:val="000000"/>
                <w:sz w:val="20"/>
                <w:szCs w:val="20"/>
                <w:lang w:eastAsia="en-AU"/>
              </w:rPr>
              <w:t>20</w:t>
            </w:r>
          </w:p>
        </w:tc>
        <w:tc>
          <w:tcPr>
            <w:tcW w:w="1417" w:type="dxa"/>
            <w:tcBorders>
              <w:top w:val="single" w:sz="4" w:space="0" w:color="002279"/>
              <w:left w:val="single" w:sz="4" w:space="0" w:color="002279"/>
              <w:bottom w:val="single" w:sz="4" w:space="0" w:color="002279"/>
              <w:right w:val="single" w:sz="4" w:space="0" w:color="002279"/>
            </w:tcBorders>
            <w:shd w:val="clear" w:color="auto" w:fill="auto"/>
            <w:noWrap/>
            <w:vAlign w:val="center"/>
            <w:hideMark/>
          </w:tcPr>
          <w:p w14:paraId="2230EC70" w14:textId="77777777" w:rsidR="009F3E41" w:rsidRPr="009F3E41" w:rsidRDefault="009F3E41" w:rsidP="009F3E41">
            <w:pPr>
              <w:spacing w:after="0"/>
              <w:jc w:val="center"/>
              <w:rPr>
                <w:rFonts w:asciiTheme="minorHAnsi" w:eastAsia="Times New Roman" w:hAnsiTheme="minorHAnsi" w:cstheme="minorHAnsi"/>
                <w:color w:val="000000"/>
                <w:sz w:val="20"/>
                <w:szCs w:val="20"/>
                <w:lang w:eastAsia="en-AU"/>
              </w:rPr>
            </w:pPr>
            <w:r w:rsidRPr="009F3E41">
              <w:rPr>
                <w:rFonts w:asciiTheme="minorHAnsi" w:eastAsia="Times New Roman" w:hAnsiTheme="minorHAnsi" w:cstheme="minorHAnsi"/>
                <w:color w:val="000000"/>
                <w:sz w:val="20"/>
                <w:szCs w:val="20"/>
                <w:lang w:eastAsia="en-AU"/>
              </w:rPr>
              <w:t>4</w:t>
            </w:r>
          </w:p>
        </w:tc>
        <w:tc>
          <w:tcPr>
            <w:tcW w:w="9072" w:type="dxa"/>
            <w:tcBorders>
              <w:top w:val="single" w:sz="4" w:space="0" w:color="002279"/>
              <w:left w:val="single" w:sz="4" w:space="0" w:color="002279"/>
              <w:bottom w:val="single" w:sz="4" w:space="0" w:color="002279"/>
              <w:right w:val="single" w:sz="4" w:space="0" w:color="002279"/>
            </w:tcBorders>
            <w:shd w:val="clear" w:color="auto" w:fill="auto"/>
            <w:noWrap/>
            <w:vAlign w:val="center"/>
            <w:hideMark/>
          </w:tcPr>
          <w:p w14:paraId="49EB4CEB" w14:textId="77777777" w:rsidR="009F3E41" w:rsidRPr="009F3E41" w:rsidRDefault="009F3E41" w:rsidP="00F358AA">
            <w:pPr>
              <w:spacing w:after="0"/>
              <w:rPr>
                <w:rFonts w:asciiTheme="minorHAnsi" w:eastAsia="Times New Roman" w:hAnsiTheme="minorHAnsi" w:cstheme="minorHAnsi"/>
                <w:color w:val="000000"/>
                <w:sz w:val="20"/>
                <w:szCs w:val="20"/>
                <w:lang w:eastAsia="en-AU"/>
              </w:rPr>
            </w:pPr>
            <w:r w:rsidRPr="009F3E41">
              <w:rPr>
                <w:rFonts w:asciiTheme="minorHAnsi" w:eastAsia="Times New Roman" w:hAnsiTheme="minorHAnsi" w:cstheme="minorHAnsi"/>
                <w:color w:val="000000"/>
                <w:sz w:val="20"/>
                <w:szCs w:val="20"/>
                <w:lang w:eastAsia="en-AU"/>
              </w:rPr>
              <w:t>Very confident the element is 'Leading'</w:t>
            </w:r>
          </w:p>
        </w:tc>
        <w:tc>
          <w:tcPr>
            <w:tcW w:w="1843" w:type="dxa"/>
            <w:tcBorders>
              <w:top w:val="single" w:sz="4" w:space="0" w:color="002279"/>
              <w:left w:val="single" w:sz="4" w:space="0" w:color="002279"/>
              <w:bottom w:val="single" w:sz="4" w:space="0" w:color="002279"/>
              <w:right w:val="single" w:sz="4" w:space="0" w:color="002279"/>
            </w:tcBorders>
            <w:shd w:val="clear" w:color="auto" w:fill="auto"/>
            <w:noWrap/>
            <w:vAlign w:val="center"/>
            <w:hideMark/>
          </w:tcPr>
          <w:p w14:paraId="62F2B11B" w14:textId="77777777" w:rsidR="009F3E41" w:rsidRPr="009F3E41" w:rsidRDefault="009F3E41" w:rsidP="00754450">
            <w:pPr>
              <w:spacing w:after="0"/>
              <w:ind w:firstLineChars="100" w:firstLine="200"/>
              <w:jc w:val="center"/>
              <w:rPr>
                <w:rFonts w:asciiTheme="minorHAnsi" w:eastAsia="Times New Roman" w:hAnsiTheme="minorHAnsi" w:cstheme="minorHAnsi"/>
                <w:color w:val="000000"/>
                <w:sz w:val="20"/>
                <w:szCs w:val="20"/>
                <w:lang w:eastAsia="en-AU"/>
              </w:rPr>
            </w:pPr>
            <w:r w:rsidRPr="009F3E41">
              <w:rPr>
                <w:rFonts w:asciiTheme="minorHAnsi" w:eastAsia="Times New Roman" w:hAnsiTheme="minorHAnsi" w:cstheme="minorHAnsi"/>
                <w:color w:val="000000"/>
                <w:sz w:val="20"/>
                <w:szCs w:val="20"/>
                <w:lang w:eastAsia="en-AU"/>
              </w:rPr>
              <w:t>100%</w:t>
            </w:r>
          </w:p>
        </w:tc>
      </w:tr>
      <w:tr w:rsidR="00233BF9" w:rsidRPr="009F3E41" w14:paraId="3DEC80C4" w14:textId="77777777" w:rsidTr="00A35FEB">
        <w:trPr>
          <w:trHeight w:val="369"/>
        </w:trPr>
        <w:tc>
          <w:tcPr>
            <w:tcW w:w="1560" w:type="dxa"/>
            <w:tcBorders>
              <w:top w:val="single" w:sz="4" w:space="0" w:color="002279"/>
              <w:left w:val="single" w:sz="4" w:space="0" w:color="002279"/>
              <w:bottom w:val="single" w:sz="4" w:space="0" w:color="002279"/>
              <w:right w:val="single" w:sz="4" w:space="0" w:color="002279"/>
            </w:tcBorders>
            <w:shd w:val="clear" w:color="auto" w:fill="auto"/>
            <w:noWrap/>
            <w:vAlign w:val="center"/>
            <w:hideMark/>
          </w:tcPr>
          <w:p w14:paraId="369030F9" w14:textId="77777777" w:rsidR="009F3E41" w:rsidRPr="009F3E41" w:rsidRDefault="009F3E41" w:rsidP="009F3E41">
            <w:pPr>
              <w:spacing w:after="0"/>
              <w:jc w:val="center"/>
              <w:rPr>
                <w:rFonts w:asciiTheme="minorHAnsi" w:eastAsia="Times New Roman" w:hAnsiTheme="minorHAnsi" w:cstheme="minorHAnsi"/>
                <w:color w:val="000000"/>
                <w:sz w:val="20"/>
                <w:szCs w:val="20"/>
                <w:lang w:eastAsia="en-AU"/>
              </w:rPr>
            </w:pPr>
            <w:r w:rsidRPr="009F3E41">
              <w:rPr>
                <w:rFonts w:asciiTheme="minorHAnsi" w:eastAsia="Times New Roman" w:hAnsiTheme="minorHAnsi" w:cstheme="minorHAnsi"/>
                <w:color w:val="000000"/>
                <w:sz w:val="20"/>
                <w:szCs w:val="20"/>
                <w:lang w:eastAsia="en-AU"/>
              </w:rPr>
              <w:t>19</w:t>
            </w:r>
          </w:p>
        </w:tc>
        <w:tc>
          <w:tcPr>
            <w:tcW w:w="1417" w:type="dxa"/>
            <w:tcBorders>
              <w:top w:val="single" w:sz="4" w:space="0" w:color="002279"/>
              <w:left w:val="single" w:sz="4" w:space="0" w:color="002279"/>
              <w:bottom w:val="single" w:sz="4" w:space="0" w:color="002279"/>
              <w:right w:val="single" w:sz="4" w:space="0" w:color="002279"/>
            </w:tcBorders>
            <w:shd w:val="clear" w:color="auto" w:fill="auto"/>
            <w:noWrap/>
            <w:vAlign w:val="center"/>
            <w:hideMark/>
          </w:tcPr>
          <w:p w14:paraId="54B38F21" w14:textId="77777777" w:rsidR="009F3E41" w:rsidRPr="009F3E41" w:rsidRDefault="009F3E41" w:rsidP="009F3E41">
            <w:pPr>
              <w:spacing w:after="0"/>
              <w:jc w:val="center"/>
              <w:rPr>
                <w:rFonts w:asciiTheme="minorHAnsi" w:eastAsia="Times New Roman" w:hAnsiTheme="minorHAnsi" w:cstheme="minorHAnsi"/>
                <w:color w:val="000000"/>
                <w:sz w:val="20"/>
                <w:szCs w:val="20"/>
                <w:lang w:eastAsia="en-AU"/>
              </w:rPr>
            </w:pPr>
            <w:r w:rsidRPr="009F3E41">
              <w:rPr>
                <w:rFonts w:asciiTheme="minorHAnsi" w:eastAsia="Times New Roman" w:hAnsiTheme="minorHAnsi" w:cstheme="minorHAnsi"/>
                <w:color w:val="000000"/>
                <w:sz w:val="20"/>
                <w:szCs w:val="20"/>
                <w:lang w:eastAsia="en-AU"/>
              </w:rPr>
              <w:t>3.75</w:t>
            </w:r>
          </w:p>
        </w:tc>
        <w:tc>
          <w:tcPr>
            <w:tcW w:w="9072" w:type="dxa"/>
            <w:tcBorders>
              <w:top w:val="single" w:sz="4" w:space="0" w:color="002279"/>
              <w:left w:val="single" w:sz="4" w:space="0" w:color="002279"/>
              <w:bottom w:val="single" w:sz="4" w:space="0" w:color="002279"/>
              <w:right w:val="single" w:sz="4" w:space="0" w:color="002279"/>
            </w:tcBorders>
            <w:shd w:val="clear" w:color="auto" w:fill="auto"/>
            <w:noWrap/>
            <w:vAlign w:val="center"/>
            <w:hideMark/>
          </w:tcPr>
          <w:p w14:paraId="0786DA8E" w14:textId="77777777" w:rsidR="009F3E41" w:rsidRPr="009F3E41" w:rsidRDefault="009F3E41" w:rsidP="00F358AA">
            <w:pPr>
              <w:spacing w:after="0"/>
              <w:rPr>
                <w:rFonts w:asciiTheme="minorHAnsi" w:eastAsia="Times New Roman" w:hAnsiTheme="minorHAnsi" w:cstheme="minorHAnsi"/>
                <w:color w:val="000000"/>
                <w:sz w:val="20"/>
                <w:szCs w:val="20"/>
                <w:lang w:eastAsia="en-AU"/>
              </w:rPr>
            </w:pPr>
            <w:r w:rsidRPr="009F3E41">
              <w:rPr>
                <w:rFonts w:asciiTheme="minorHAnsi" w:eastAsia="Times New Roman" w:hAnsiTheme="minorHAnsi" w:cstheme="minorHAnsi"/>
                <w:color w:val="000000"/>
                <w:sz w:val="20"/>
                <w:szCs w:val="20"/>
                <w:lang w:eastAsia="en-AU"/>
              </w:rPr>
              <w:t>Confident the element is 'Leading'</w:t>
            </w:r>
          </w:p>
        </w:tc>
        <w:tc>
          <w:tcPr>
            <w:tcW w:w="1843" w:type="dxa"/>
            <w:tcBorders>
              <w:top w:val="single" w:sz="4" w:space="0" w:color="002279"/>
              <w:left w:val="single" w:sz="4" w:space="0" w:color="002279"/>
              <w:bottom w:val="single" w:sz="4" w:space="0" w:color="002279"/>
              <w:right w:val="single" w:sz="4" w:space="0" w:color="002279"/>
            </w:tcBorders>
            <w:shd w:val="clear" w:color="auto" w:fill="auto"/>
            <w:noWrap/>
            <w:vAlign w:val="center"/>
            <w:hideMark/>
          </w:tcPr>
          <w:p w14:paraId="5B7B2CD6" w14:textId="77777777" w:rsidR="009F3E41" w:rsidRPr="009F3E41" w:rsidRDefault="009F3E41" w:rsidP="00754450">
            <w:pPr>
              <w:spacing w:after="0"/>
              <w:ind w:firstLineChars="100" w:firstLine="200"/>
              <w:jc w:val="center"/>
              <w:rPr>
                <w:rFonts w:asciiTheme="minorHAnsi" w:eastAsia="Times New Roman" w:hAnsiTheme="minorHAnsi" w:cstheme="minorHAnsi"/>
                <w:color w:val="000000"/>
                <w:sz w:val="20"/>
                <w:szCs w:val="20"/>
                <w:lang w:eastAsia="en-AU"/>
              </w:rPr>
            </w:pPr>
            <w:r w:rsidRPr="009F3E41">
              <w:rPr>
                <w:rFonts w:asciiTheme="minorHAnsi" w:eastAsia="Times New Roman" w:hAnsiTheme="minorHAnsi" w:cstheme="minorHAnsi"/>
                <w:color w:val="000000"/>
                <w:sz w:val="20"/>
                <w:szCs w:val="20"/>
                <w:lang w:eastAsia="en-AU"/>
              </w:rPr>
              <w:t>94%</w:t>
            </w:r>
          </w:p>
        </w:tc>
      </w:tr>
      <w:tr w:rsidR="002818B5" w:rsidRPr="009F3E41" w14:paraId="438CBECF" w14:textId="77777777" w:rsidTr="00A35FEB">
        <w:trPr>
          <w:trHeight w:val="369"/>
        </w:trPr>
        <w:tc>
          <w:tcPr>
            <w:tcW w:w="13892" w:type="dxa"/>
            <w:gridSpan w:val="4"/>
            <w:tcBorders>
              <w:top w:val="single" w:sz="4" w:space="0" w:color="002279"/>
              <w:left w:val="single" w:sz="4" w:space="0" w:color="002279"/>
              <w:bottom w:val="single" w:sz="4" w:space="0" w:color="002279"/>
              <w:right w:val="single" w:sz="4" w:space="0" w:color="002279"/>
            </w:tcBorders>
            <w:shd w:val="clear" w:color="auto" w:fill="D4D6DF"/>
            <w:noWrap/>
            <w:vAlign w:val="center"/>
          </w:tcPr>
          <w:p w14:paraId="73B307FC" w14:textId="260C15C5" w:rsidR="00BB0A6F" w:rsidRPr="00327BD1" w:rsidRDefault="00BB0A6F" w:rsidP="00327BD1">
            <w:pPr>
              <w:spacing w:after="0"/>
              <w:ind w:firstLineChars="100" w:firstLine="201"/>
              <w:rPr>
                <w:rFonts w:asciiTheme="minorHAnsi" w:eastAsia="Times New Roman" w:hAnsiTheme="minorHAnsi" w:cstheme="minorHAnsi"/>
                <w:b/>
                <w:bCs/>
                <w:color w:val="000000"/>
                <w:sz w:val="20"/>
                <w:szCs w:val="20"/>
                <w:lang w:eastAsia="en-AU"/>
              </w:rPr>
            </w:pPr>
            <w:r w:rsidRPr="00327BD1">
              <w:rPr>
                <w:rFonts w:asciiTheme="minorHAnsi" w:eastAsia="Times New Roman" w:hAnsiTheme="minorHAnsi" w:cstheme="minorHAnsi"/>
                <w:b/>
                <w:bCs/>
                <w:color w:val="000000"/>
                <w:sz w:val="20"/>
                <w:szCs w:val="20"/>
                <w:lang w:eastAsia="en-AU"/>
              </w:rPr>
              <w:t>Advanced</w:t>
            </w:r>
          </w:p>
        </w:tc>
      </w:tr>
      <w:tr w:rsidR="0085617B" w:rsidRPr="009F3E41" w14:paraId="5F6DC043" w14:textId="77777777" w:rsidTr="00A35FEB">
        <w:trPr>
          <w:trHeight w:val="369"/>
        </w:trPr>
        <w:tc>
          <w:tcPr>
            <w:tcW w:w="1560" w:type="dxa"/>
            <w:vMerge w:val="restart"/>
            <w:tcBorders>
              <w:top w:val="single" w:sz="4" w:space="0" w:color="002279"/>
              <w:left w:val="single" w:sz="4" w:space="0" w:color="002279"/>
              <w:bottom w:val="single" w:sz="4" w:space="0" w:color="002279"/>
              <w:right w:val="single" w:sz="4" w:space="0" w:color="002279"/>
            </w:tcBorders>
            <w:shd w:val="clear" w:color="auto" w:fill="auto"/>
            <w:noWrap/>
            <w:vAlign w:val="center"/>
            <w:hideMark/>
          </w:tcPr>
          <w:p w14:paraId="752302A7" w14:textId="77777777" w:rsidR="009F3E41" w:rsidRPr="009F3E41" w:rsidRDefault="009F3E41" w:rsidP="009F3E41">
            <w:pPr>
              <w:spacing w:after="0"/>
              <w:jc w:val="center"/>
              <w:rPr>
                <w:rFonts w:asciiTheme="minorHAnsi" w:eastAsia="Times New Roman" w:hAnsiTheme="minorHAnsi" w:cstheme="minorHAnsi"/>
                <w:color w:val="000000"/>
                <w:sz w:val="20"/>
                <w:szCs w:val="20"/>
                <w:lang w:eastAsia="en-AU"/>
              </w:rPr>
            </w:pPr>
            <w:r w:rsidRPr="009F3E41">
              <w:rPr>
                <w:rFonts w:asciiTheme="minorHAnsi" w:eastAsia="Times New Roman" w:hAnsiTheme="minorHAnsi" w:cstheme="minorHAnsi"/>
                <w:color w:val="000000"/>
                <w:sz w:val="20"/>
                <w:szCs w:val="20"/>
                <w:lang w:eastAsia="en-AU"/>
              </w:rPr>
              <w:t>18.75</w:t>
            </w:r>
          </w:p>
        </w:tc>
        <w:tc>
          <w:tcPr>
            <w:tcW w:w="1417" w:type="dxa"/>
            <w:tcBorders>
              <w:top w:val="single" w:sz="4" w:space="0" w:color="002279"/>
              <w:left w:val="single" w:sz="4" w:space="0" w:color="002279"/>
              <w:bottom w:val="single" w:sz="4" w:space="0" w:color="002279"/>
              <w:right w:val="single" w:sz="4" w:space="0" w:color="002279"/>
            </w:tcBorders>
            <w:shd w:val="clear" w:color="auto" w:fill="auto"/>
            <w:noWrap/>
            <w:vAlign w:val="center"/>
            <w:hideMark/>
          </w:tcPr>
          <w:p w14:paraId="5B29A419" w14:textId="77777777" w:rsidR="009F3E41" w:rsidRPr="009F3E41" w:rsidRDefault="009F3E41" w:rsidP="009F3E41">
            <w:pPr>
              <w:spacing w:after="0"/>
              <w:jc w:val="center"/>
              <w:rPr>
                <w:rFonts w:asciiTheme="minorHAnsi" w:eastAsia="Times New Roman" w:hAnsiTheme="minorHAnsi" w:cstheme="minorHAnsi"/>
                <w:color w:val="000000"/>
                <w:sz w:val="20"/>
                <w:szCs w:val="20"/>
                <w:lang w:eastAsia="en-AU"/>
              </w:rPr>
            </w:pPr>
            <w:r w:rsidRPr="009F3E41">
              <w:rPr>
                <w:rFonts w:asciiTheme="minorHAnsi" w:eastAsia="Times New Roman" w:hAnsiTheme="minorHAnsi" w:cstheme="minorHAnsi"/>
                <w:color w:val="000000"/>
                <w:sz w:val="20"/>
                <w:szCs w:val="20"/>
                <w:lang w:eastAsia="en-AU"/>
              </w:rPr>
              <w:t>3.5</w:t>
            </w:r>
          </w:p>
        </w:tc>
        <w:tc>
          <w:tcPr>
            <w:tcW w:w="9072" w:type="dxa"/>
            <w:tcBorders>
              <w:top w:val="single" w:sz="4" w:space="0" w:color="002279"/>
              <w:left w:val="single" w:sz="4" w:space="0" w:color="002279"/>
              <w:bottom w:val="single" w:sz="4" w:space="0" w:color="002279"/>
              <w:right w:val="single" w:sz="4" w:space="0" w:color="002279"/>
            </w:tcBorders>
            <w:shd w:val="clear" w:color="auto" w:fill="auto"/>
            <w:noWrap/>
            <w:vAlign w:val="center"/>
            <w:hideMark/>
          </w:tcPr>
          <w:p w14:paraId="67892E6B" w14:textId="77777777" w:rsidR="009F3E41" w:rsidRPr="009F3E41" w:rsidRDefault="009F3E41" w:rsidP="00F358AA">
            <w:pPr>
              <w:spacing w:after="0"/>
              <w:rPr>
                <w:rFonts w:asciiTheme="minorHAnsi" w:eastAsia="Times New Roman" w:hAnsiTheme="minorHAnsi" w:cstheme="minorHAnsi"/>
                <w:color w:val="000000"/>
                <w:sz w:val="20"/>
                <w:szCs w:val="20"/>
                <w:lang w:eastAsia="en-AU"/>
              </w:rPr>
            </w:pPr>
            <w:r w:rsidRPr="009F3E41">
              <w:rPr>
                <w:rFonts w:asciiTheme="minorHAnsi" w:eastAsia="Times New Roman" w:hAnsiTheme="minorHAnsi" w:cstheme="minorHAnsi"/>
                <w:color w:val="000000"/>
                <w:sz w:val="20"/>
                <w:szCs w:val="20"/>
                <w:lang w:eastAsia="en-AU"/>
              </w:rPr>
              <w:t>Very confident the element is 'Advanced'</w:t>
            </w:r>
          </w:p>
        </w:tc>
        <w:tc>
          <w:tcPr>
            <w:tcW w:w="1843" w:type="dxa"/>
            <w:tcBorders>
              <w:top w:val="single" w:sz="4" w:space="0" w:color="002279"/>
              <w:left w:val="single" w:sz="4" w:space="0" w:color="002279"/>
              <w:bottom w:val="single" w:sz="4" w:space="0" w:color="002279"/>
              <w:right w:val="single" w:sz="4" w:space="0" w:color="002279"/>
            </w:tcBorders>
            <w:shd w:val="clear" w:color="auto" w:fill="auto"/>
            <w:noWrap/>
            <w:vAlign w:val="center"/>
            <w:hideMark/>
          </w:tcPr>
          <w:p w14:paraId="14C6A8D3" w14:textId="77777777" w:rsidR="009F3E41" w:rsidRPr="009F3E41" w:rsidRDefault="009F3E41" w:rsidP="00754450">
            <w:pPr>
              <w:spacing w:after="0"/>
              <w:ind w:firstLineChars="100" w:firstLine="200"/>
              <w:jc w:val="center"/>
              <w:rPr>
                <w:rFonts w:asciiTheme="minorHAnsi" w:eastAsia="Times New Roman" w:hAnsiTheme="minorHAnsi" w:cstheme="minorHAnsi"/>
                <w:color w:val="000000"/>
                <w:sz w:val="20"/>
                <w:szCs w:val="20"/>
                <w:lang w:eastAsia="en-AU"/>
              </w:rPr>
            </w:pPr>
            <w:r w:rsidRPr="009F3E41">
              <w:rPr>
                <w:rFonts w:asciiTheme="minorHAnsi" w:eastAsia="Times New Roman" w:hAnsiTheme="minorHAnsi" w:cstheme="minorHAnsi"/>
                <w:color w:val="000000"/>
                <w:sz w:val="20"/>
                <w:szCs w:val="20"/>
                <w:lang w:eastAsia="en-AU"/>
              </w:rPr>
              <w:t>88%</w:t>
            </w:r>
          </w:p>
        </w:tc>
      </w:tr>
      <w:tr w:rsidR="0085617B" w:rsidRPr="009F3E41" w14:paraId="79ADAFC1" w14:textId="77777777" w:rsidTr="00A35FEB">
        <w:trPr>
          <w:trHeight w:val="369"/>
        </w:trPr>
        <w:tc>
          <w:tcPr>
            <w:tcW w:w="1560" w:type="dxa"/>
            <w:vMerge/>
            <w:tcBorders>
              <w:top w:val="single" w:sz="4" w:space="0" w:color="002279"/>
              <w:left w:val="single" w:sz="4" w:space="0" w:color="002279"/>
              <w:bottom w:val="single" w:sz="4" w:space="0" w:color="002279"/>
              <w:right w:val="single" w:sz="4" w:space="0" w:color="002279"/>
            </w:tcBorders>
            <w:shd w:val="clear" w:color="auto" w:fill="auto"/>
            <w:vAlign w:val="center"/>
            <w:hideMark/>
          </w:tcPr>
          <w:p w14:paraId="10BD159F" w14:textId="77777777" w:rsidR="009F3E41" w:rsidRPr="009F3E41" w:rsidRDefault="009F3E41" w:rsidP="009F3E41">
            <w:pPr>
              <w:spacing w:after="0"/>
              <w:rPr>
                <w:rFonts w:asciiTheme="minorHAnsi" w:eastAsia="Times New Roman" w:hAnsiTheme="minorHAnsi" w:cstheme="minorHAnsi"/>
                <w:color w:val="000000"/>
                <w:sz w:val="20"/>
                <w:szCs w:val="20"/>
                <w:lang w:eastAsia="en-AU"/>
              </w:rPr>
            </w:pPr>
          </w:p>
        </w:tc>
        <w:tc>
          <w:tcPr>
            <w:tcW w:w="1417" w:type="dxa"/>
            <w:tcBorders>
              <w:top w:val="single" w:sz="4" w:space="0" w:color="002279"/>
              <w:left w:val="single" w:sz="4" w:space="0" w:color="002279"/>
              <w:bottom w:val="single" w:sz="4" w:space="0" w:color="002279"/>
              <w:right w:val="single" w:sz="4" w:space="0" w:color="002279"/>
            </w:tcBorders>
            <w:shd w:val="clear" w:color="auto" w:fill="auto"/>
            <w:noWrap/>
            <w:vAlign w:val="center"/>
            <w:hideMark/>
          </w:tcPr>
          <w:p w14:paraId="40F32E62" w14:textId="77777777" w:rsidR="009F3E41" w:rsidRPr="009F3E41" w:rsidRDefault="009F3E41" w:rsidP="009F3E41">
            <w:pPr>
              <w:spacing w:after="0"/>
              <w:jc w:val="center"/>
              <w:rPr>
                <w:rFonts w:asciiTheme="minorHAnsi" w:eastAsia="Times New Roman" w:hAnsiTheme="minorHAnsi" w:cstheme="minorHAnsi"/>
                <w:color w:val="000000"/>
                <w:sz w:val="20"/>
                <w:szCs w:val="20"/>
                <w:lang w:eastAsia="en-AU"/>
              </w:rPr>
            </w:pPr>
            <w:r w:rsidRPr="009F3E41">
              <w:rPr>
                <w:rFonts w:asciiTheme="minorHAnsi" w:eastAsia="Times New Roman" w:hAnsiTheme="minorHAnsi" w:cstheme="minorHAnsi"/>
                <w:color w:val="000000"/>
                <w:sz w:val="20"/>
                <w:szCs w:val="20"/>
                <w:lang w:eastAsia="en-AU"/>
              </w:rPr>
              <w:t>3.25</w:t>
            </w:r>
          </w:p>
        </w:tc>
        <w:tc>
          <w:tcPr>
            <w:tcW w:w="9072" w:type="dxa"/>
            <w:tcBorders>
              <w:top w:val="single" w:sz="4" w:space="0" w:color="002279"/>
              <w:left w:val="single" w:sz="4" w:space="0" w:color="002279"/>
              <w:bottom w:val="single" w:sz="4" w:space="0" w:color="002279"/>
              <w:right w:val="single" w:sz="4" w:space="0" w:color="002279"/>
            </w:tcBorders>
            <w:shd w:val="clear" w:color="auto" w:fill="auto"/>
            <w:noWrap/>
            <w:vAlign w:val="center"/>
            <w:hideMark/>
          </w:tcPr>
          <w:p w14:paraId="4C47333A" w14:textId="77777777" w:rsidR="009F3E41" w:rsidRPr="009F3E41" w:rsidRDefault="009F3E41" w:rsidP="00F358AA">
            <w:pPr>
              <w:spacing w:after="0"/>
              <w:rPr>
                <w:rFonts w:asciiTheme="minorHAnsi" w:eastAsia="Times New Roman" w:hAnsiTheme="minorHAnsi" w:cstheme="minorHAnsi"/>
                <w:color w:val="000000"/>
                <w:sz w:val="20"/>
                <w:szCs w:val="20"/>
                <w:lang w:eastAsia="en-AU"/>
              </w:rPr>
            </w:pPr>
            <w:r w:rsidRPr="009F3E41">
              <w:rPr>
                <w:rFonts w:asciiTheme="minorHAnsi" w:eastAsia="Times New Roman" w:hAnsiTheme="minorHAnsi" w:cstheme="minorHAnsi"/>
                <w:color w:val="000000"/>
                <w:sz w:val="20"/>
                <w:szCs w:val="20"/>
                <w:lang w:eastAsia="en-AU"/>
              </w:rPr>
              <w:t>Confident the element is 'Advanced'</w:t>
            </w:r>
          </w:p>
        </w:tc>
        <w:tc>
          <w:tcPr>
            <w:tcW w:w="1843" w:type="dxa"/>
            <w:tcBorders>
              <w:top w:val="single" w:sz="4" w:space="0" w:color="002279"/>
              <w:left w:val="single" w:sz="4" w:space="0" w:color="002279"/>
              <w:bottom w:val="single" w:sz="4" w:space="0" w:color="002279"/>
              <w:right w:val="single" w:sz="4" w:space="0" w:color="002279"/>
            </w:tcBorders>
            <w:shd w:val="clear" w:color="auto" w:fill="auto"/>
            <w:noWrap/>
            <w:vAlign w:val="center"/>
            <w:hideMark/>
          </w:tcPr>
          <w:p w14:paraId="628518CD" w14:textId="77777777" w:rsidR="009F3E41" w:rsidRPr="009F3E41" w:rsidRDefault="009F3E41" w:rsidP="00754450">
            <w:pPr>
              <w:spacing w:after="0"/>
              <w:ind w:firstLineChars="100" w:firstLine="200"/>
              <w:jc w:val="center"/>
              <w:rPr>
                <w:rFonts w:asciiTheme="minorHAnsi" w:eastAsia="Times New Roman" w:hAnsiTheme="minorHAnsi" w:cstheme="minorHAnsi"/>
                <w:color w:val="000000"/>
                <w:sz w:val="20"/>
                <w:szCs w:val="20"/>
                <w:lang w:eastAsia="en-AU"/>
              </w:rPr>
            </w:pPr>
            <w:r w:rsidRPr="009F3E41">
              <w:rPr>
                <w:rFonts w:asciiTheme="minorHAnsi" w:eastAsia="Times New Roman" w:hAnsiTheme="minorHAnsi" w:cstheme="minorHAnsi"/>
                <w:color w:val="000000"/>
                <w:sz w:val="20"/>
                <w:szCs w:val="20"/>
                <w:lang w:eastAsia="en-AU"/>
              </w:rPr>
              <w:t>81%</w:t>
            </w:r>
          </w:p>
        </w:tc>
      </w:tr>
      <w:tr w:rsidR="0085617B" w:rsidRPr="009F3E41" w14:paraId="437AE72F" w14:textId="77777777" w:rsidTr="00A35FEB">
        <w:trPr>
          <w:trHeight w:val="369"/>
        </w:trPr>
        <w:tc>
          <w:tcPr>
            <w:tcW w:w="1560" w:type="dxa"/>
            <w:vMerge w:val="restart"/>
            <w:tcBorders>
              <w:top w:val="single" w:sz="4" w:space="0" w:color="002279"/>
              <w:left w:val="single" w:sz="4" w:space="0" w:color="002279"/>
              <w:bottom w:val="single" w:sz="4" w:space="0" w:color="002279"/>
              <w:right w:val="single" w:sz="4" w:space="0" w:color="002279"/>
            </w:tcBorders>
            <w:shd w:val="clear" w:color="auto" w:fill="auto"/>
            <w:noWrap/>
            <w:vAlign w:val="center"/>
            <w:hideMark/>
          </w:tcPr>
          <w:p w14:paraId="049A12DF" w14:textId="77777777" w:rsidR="009F3E41" w:rsidRPr="009F3E41" w:rsidRDefault="009F3E41" w:rsidP="009F3E41">
            <w:pPr>
              <w:spacing w:after="0"/>
              <w:jc w:val="center"/>
              <w:rPr>
                <w:rFonts w:asciiTheme="minorHAnsi" w:eastAsia="Times New Roman" w:hAnsiTheme="minorHAnsi" w:cstheme="minorHAnsi"/>
                <w:color w:val="000000"/>
                <w:sz w:val="20"/>
                <w:szCs w:val="20"/>
                <w:lang w:eastAsia="en-AU"/>
              </w:rPr>
            </w:pPr>
            <w:r w:rsidRPr="009F3E41">
              <w:rPr>
                <w:rFonts w:asciiTheme="minorHAnsi" w:eastAsia="Times New Roman" w:hAnsiTheme="minorHAnsi" w:cstheme="minorHAnsi"/>
                <w:color w:val="000000"/>
                <w:sz w:val="20"/>
                <w:szCs w:val="20"/>
                <w:lang w:eastAsia="en-AU"/>
              </w:rPr>
              <w:t>14.5</w:t>
            </w:r>
          </w:p>
        </w:tc>
        <w:tc>
          <w:tcPr>
            <w:tcW w:w="1417" w:type="dxa"/>
            <w:tcBorders>
              <w:top w:val="single" w:sz="4" w:space="0" w:color="002279"/>
              <w:left w:val="single" w:sz="4" w:space="0" w:color="002279"/>
              <w:bottom w:val="single" w:sz="4" w:space="0" w:color="002279"/>
              <w:right w:val="single" w:sz="4" w:space="0" w:color="002279"/>
            </w:tcBorders>
            <w:shd w:val="clear" w:color="auto" w:fill="auto"/>
            <w:noWrap/>
            <w:vAlign w:val="center"/>
            <w:hideMark/>
          </w:tcPr>
          <w:p w14:paraId="25D2B11B" w14:textId="77777777" w:rsidR="009F3E41" w:rsidRPr="009F3E41" w:rsidRDefault="009F3E41" w:rsidP="009F3E41">
            <w:pPr>
              <w:spacing w:after="0"/>
              <w:jc w:val="center"/>
              <w:rPr>
                <w:rFonts w:asciiTheme="minorHAnsi" w:eastAsia="Times New Roman" w:hAnsiTheme="minorHAnsi" w:cstheme="minorHAnsi"/>
                <w:color w:val="000000"/>
                <w:sz w:val="20"/>
                <w:szCs w:val="20"/>
                <w:lang w:eastAsia="en-AU"/>
              </w:rPr>
            </w:pPr>
            <w:r w:rsidRPr="009F3E41">
              <w:rPr>
                <w:rFonts w:asciiTheme="minorHAnsi" w:eastAsia="Times New Roman" w:hAnsiTheme="minorHAnsi" w:cstheme="minorHAnsi"/>
                <w:color w:val="000000"/>
                <w:sz w:val="20"/>
                <w:szCs w:val="20"/>
                <w:lang w:eastAsia="en-AU"/>
              </w:rPr>
              <w:t>3</w:t>
            </w:r>
          </w:p>
        </w:tc>
        <w:tc>
          <w:tcPr>
            <w:tcW w:w="9072" w:type="dxa"/>
            <w:tcBorders>
              <w:top w:val="single" w:sz="4" w:space="0" w:color="002279"/>
              <w:left w:val="single" w:sz="4" w:space="0" w:color="002279"/>
              <w:bottom w:val="single" w:sz="4" w:space="0" w:color="002279"/>
              <w:right w:val="single" w:sz="4" w:space="0" w:color="002279"/>
            </w:tcBorders>
            <w:shd w:val="clear" w:color="auto" w:fill="auto"/>
            <w:noWrap/>
            <w:vAlign w:val="center"/>
            <w:hideMark/>
          </w:tcPr>
          <w:p w14:paraId="1EE12636" w14:textId="77777777" w:rsidR="009F3E41" w:rsidRPr="009F3E41" w:rsidRDefault="009F3E41" w:rsidP="00F358AA">
            <w:pPr>
              <w:spacing w:after="0"/>
              <w:rPr>
                <w:rFonts w:asciiTheme="minorHAnsi" w:eastAsia="Times New Roman" w:hAnsiTheme="minorHAnsi" w:cstheme="minorHAnsi"/>
                <w:color w:val="000000"/>
                <w:sz w:val="20"/>
                <w:szCs w:val="20"/>
                <w:lang w:eastAsia="en-AU"/>
              </w:rPr>
            </w:pPr>
            <w:r w:rsidRPr="009F3E41">
              <w:rPr>
                <w:rFonts w:asciiTheme="minorHAnsi" w:eastAsia="Times New Roman" w:hAnsiTheme="minorHAnsi" w:cstheme="minorHAnsi"/>
                <w:color w:val="000000"/>
                <w:sz w:val="20"/>
                <w:szCs w:val="20"/>
                <w:lang w:eastAsia="en-AU"/>
              </w:rPr>
              <w:t>Satisfied the element is 'Advanced'</w:t>
            </w:r>
          </w:p>
        </w:tc>
        <w:tc>
          <w:tcPr>
            <w:tcW w:w="1843" w:type="dxa"/>
            <w:tcBorders>
              <w:top w:val="single" w:sz="4" w:space="0" w:color="002279"/>
              <w:left w:val="single" w:sz="4" w:space="0" w:color="002279"/>
              <w:bottom w:val="single" w:sz="4" w:space="0" w:color="002279"/>
              <w:right w:val="single" w:sz="4" w:space="0" w:color="002279"/>
            </w:tcBorders>
            <w:shd w:val="clear" w:color="auto" w:fill="auto"/>
            <w:noWrap/>
            <w:vAlign w:val="center"/>
            <w:hideMark/>
          </w:tcPr>
          <w:p w14:paraId="3E83B172" w14:textId="77777777" w:rsidR="009F3E41" w:rsidRPr="009F3E41" w:rsidRDefault="009F3E41" w:rsidP="00754450">
            <w:pPr>
              <w:spacing w:after="0"/>
              <w:ind w:firstLineChars="100" w:firstLine="200"/>
              <w:jc w:val="center"/>
              <w:rPr>
                <w:rFonts w:asciiTheme="minorHAnsi" w:eastAsia="Times New Roman" w:hAnsiTheme="minorHAnsi" w:cstheme="minorHAnsi"/>
                <w:color w:val="000000"/>
                <w:sz w:val="20"/>
                <w:szCs w:val="20"/>
                <w:lang w:eastAsia="en-AU"/>
              </w:rPr>
            </w:pPr>
            <w:r w:rsidRPr="009F3E41">
              <w:rPr>
                <w:rFonts w:asciiTheme="minorHAnsi" w:eastAsia="Times New Roman" w:hAnsiTheme="minorHAnsi" w:cstheme="minorHAnsi"/>
                <w:color w:val="000000"/>
                <w:sz w:val="20"/>
                <w:szCs w:val="20"/>
                <w:lang w:eastAsia="en-AU"/>
              </w:rPr>
              <w:t>75%</w:t>
            </w:r>
          </w:p>
        </w:tc>
      </w:tr>
      <w:tr w:rsidR="0085617B" w:rsidRPr="009F3E41" w14:paraId="0CEBA600" w14:textId="77777777" w:rsidTr="00A35FEB">
        <w:trPr>
          <w:trHeight w:val="369"/>
        </w:trPr>
        <w:tc>
          <w:tcPr>
            <w:tcW w:w="1560" w:type="dxa"/>
            <w:vMerge/>
            <w:tcBorders>
              <w:top w:val="single" w:sz="4" w:space="0" w:color="002279"/>
              <w:left w:val="single" w:sz="4" w:space="0" w:color="002279"/>
              <w:bottom w:val="single" w:sz="4" w:space="0" w:color="002279"/>
              <w:right w:val="single" w:sz="4" w:space="0" w:color="002279"/>
            </w:tcBorders>
            <w:shd w:val="clear" w:color="auto" w:fill="auto"/>
            <w:vAlign w:val="center"/>
            <w:hideMark/>
          </w:tcPr>
          <w:p w14:paraId="758E5E36" w14:textId="77777777" w:rsidR="009F3E41" w:rsidRPr="009F3E41" w:rsidRDefault="009F3E41" w:rsidP="009F3E41">
            <w:pPr>
              <w:spacing w:after="0"/>
              <w:rPr>
                <w:rFonts w:asciiTheme="minorHAnsi" w:eastAsia="Times New Roman" w:hAnsiTheme="minorHAnsi" w:cstheme="minorHAnsi"/>
                <w:color w:val="000000"/>
                <w:sz w:val="20"/>
                <w:szCs w:val="20"/>
                <w:lang w:eastAsia="en-AU"/>
              </w:rPr>
            </w:pPr>
          </w:p>
        </w:tc>
        <w:tc>
          <w:tcPr>
            <w:tcW w:w="1417" w:type="dxa"/>
            <w:tcBorders>
              <w:top w:val="single" w:sz="4" w:space="0" w:color="002279"/>
              <w:left w:val="single" w:sz="4" w:space="0" w:color="002279"/>
              <w:bottom w:val="single" w:sz="4" w:space="0" w:color="002279"/>
              <w:right w:val="single" w:sz="4" w:space="0" w:color="002279"/>
            </w:tcBorders>
            <w:shd w:val="clear" w:color="auto" w:fill="auto"/>
            <w:noWrap/>
            <w:vAlign w:val="center"/>
            <w:hideMark/>
          </w:tcPr>
          <w:p w14:paraId="71C140D0" w14:textId="77777777" w:rsidR="009F3E41" w:rsidRPr="009F3E41" w:rsidRDefault="009F3E41" w:rsidP="009F3E41">
            <w:pPr>
              <w:spacing w:after="0"/>
              <w:jc w:val="center"/>
              <w:rPr>
                <w:rFonts w:asciiTheme="minorHAnsi" w:eastAsia="Times New Roman" w:hAnsiTheme="minorHAnsi" w:cstheme="minorHAnsi"/>
                <w:color w:val="000000"/>
                <w:sz w:val="20"/>
                <w:szCs w:val="20"/>
                <w:lang w:eastAsia="en-AU"/>
              </w:rPr>
            </w:pPr>
            <w:r w:rsidRPr="009F3E41">
              <w:rPr>
                <w:rFonts w:asciiTheme="minorHAnsi" w:eastAsia="Times New Roman" w:hAnsiTheme="minorHAnsi" w:cstheme="minorHAnsi"/>
                <w:color w:val="000000"/>
                <w:sz w:val="20"/>
                <w:szCs w:val="20"/>
                <w:lang w:eastAsia="en-AU"/>
              </w:rPr>
              <w:t>2.75</w:t>
            </w:r>
          </w:p>
        </w:tc>
        <w:tc>
          <w:tcPr>
            <w:tcW w:w="9072" w:type="dxa"/>
            <w:tcBorders>
              <w:top w:val="single" w:sz="4" w:space="0" w:color="002279"/>
              <w:left w:val="single" w:sz="4" w:space="0" w:color="002279"/>
              <w:bottom w:val="single" w:sz="4" w:space="0" w:color="002279"/>
              <w:right w:val="single" w:sz="4" w:space="0" w:color="002279"/>
            </w:tcBorders>
            <w:shd w:val="clear" w:color="auto" w:fill="auto"/>
            <w:noWrap/>
            <w:vAlign w:val="center"/>
            <w:hideMark/>
          </w:tcPr>
          <w:p w14:paraId="1DE06DDD" w14:textId="77777777" w:rsidR="009F3E41" w:rsidRPr="009F3E41" w:rsidRDefault="009F3E41" w:rsidP="00F358AA">
            <w:pPr>
              <w:spacing w:after="0"/>
              <w:rPr>
                <w:rFonts w:asciiTheme="minorHAnsi" w:eastAsia="Times New Roman" w:hAnsiTheme="minorHAnsi" w:cstheme="minorHAnsi"/>
                <w:color w:val="000000"/>
                <w:sz w:val="20"/>
                <w:szCs w:val="20"/>
                <w:lang w:eastAsia="en-AU"/>
              </w:rPr>
            </w:pPr>
            <w:r w:rsidRPr="009F3E41">
              <w:rPr>
                <w:rFonts w:asciiTheme="minorHAnsi" w:eastAsia="Times New Roman" w:hAnsiTheme="minorHAnsi" w:cstheme="minorHAnsi"/>
                <w:color w:val="000000"/>
                <w:sz w:val="20"/>
                <w:szCs w:val="20"/>
                <w:lang w:eastAsia="en-AU"/>
              </w:rPr>
              <w:t>Reasonably confident the element is 'Advanced'</w:t>
            </w:r>
          </w:p>
        </w:tc>
        <w:tc>
          <w:tcPr>
            <w:tcW w:w="1843" w:type="dxa"/>
            <w:tcBorders>
              <w:top w:val="single" w:sz="4" w:space="0" w:color="002279"/>
              <w:left w:val="single" w:sz="4" w:space="0" w:color="002279"/>
              <w:bottom w:val="single" w:sz="4" w:space="0" w:color="002279"/>
              <w:right w:val="single" w:sz="4" w:space="0" w:color="002279"/>
            </w:tcBorders>
            <w:shd w:val="clear" w:color="auto" w:fill="auto"/>
            <w:noWrap/>
            <w:vAlign w:val="center"/>
            <w:hideMark/>
          </w:tcPr>
          <w:p w14:paraId="45E38C54" w14:textId="77777777" w:rsidR="009F3E41" w:rsidRPr="009F3E41" w:rsidRDefault="009F3E41" w:rsidP="00754450">
            <w:pPr>
              <w:spacing w:after="0"/>
              <w:ind w:firstLineChars="100" w:firstLine="200"/>
              <w:jc w:val="center"/>
              <w:rPr>
                <w:rFonts w:asciiTheme="minorHAnsi" w:eastAsia="Times New Roman" w:hAnsiTheme="minorHAnsi" w:cstheme="minorHAnsi"/>
                <w:color w:val="000000"/>
                <w:sz w:val="20"/>
                <w:szCs w:val="20"/>
                <w:lang w:eastAsia="en-AU"/>
              </w:rPr>
            </w:pPr>
            <w:r w:rsidRPr="009F3E41">
              <w:rPr>
                <w:rFonts w:asciiTheme="minorHAnsi" w:eastAsia="Times New Roman" w:hAnsiTheme="minorHAnsi" w:cstheme="minorHAnsi"/>
                <w:color w:val="000000"/>
                <w:sz w:val="20"/>
                <w:szCs w:val="20"/>
                <w:lang w:eastAsia="en-AU"/>
              </w:rPr>
              <w:t>69%</w:t>
            </w:r>
          </w:p>
        </w:tc>
      </w:tr>
      <w:tr w:rsidR="002818B5" w:rsidRPr="009F3E41" w14:paraId="70EE3777" w14:textId="77777777" w:rsidTr="00A35FEB">
        <w:trPr>
          <w:trHeight w:val="369"/>
        </w:trPr>
        <w:tc>
          <w:tcPr>
            <w:tcW w:w="13892" w:type="dxa"/>
            <w:gridSpan w:val="4"/>
            <w:tcBorders>
              <w:top w:val="single" w:sz="4" w:space="0" w:color="002279"/>
              <w:left w:val="single" w:sz="4" w:space="0" w:color="002279"/>
              <w:bottom w:val="single" w:sz="4" w:space="0" w:color="002279"/>
              <w:right w:val="single" w:sz="4" w:space="0" w:color="002279"/>
            </w:tcBorders>
            <w:shd w:val="clear" w:color="auto" w:fill="D4D6DF"/>
            <w:noWrap/>
            <w:vAlign w:val="center"/>
          </w:tcPr>
          <w:p w14:paraId="36C792D7" w14:textId="54B25C91" w:rsidR="00BB0A6F" w:rsidRPr="00327BD1" w:rsidRDefault="00BB0A6F" w:rsidP="00327BD1">
            <w:pPr>
              <w:spacing w:after="0"/>
              <w:ind w:firstLineChars="100" w:firstLine="201"/>
              <w:rPr>
                <w:rFonts w:asciiTheme="minorHAnsi" w:eastAsia="Times New Roman" w:hAnsiTheme="minorHAnsi" w:cstheme="minorHAnsi"/>
                <w:b/>
                <w:bCs/>
                <w:color w:val="000000"/>
                <w:sz w:val="20"/>
                <w:szCs w:val="20"/>
                <w:lang w:eastAsia="en-AU"/>
              </w:rPr>
            </w:pPr>
            <w:r w:rsidRPr="00327BD1">
              <w:rPr>
                <w:rFonts w:asciiTheme="minorHAnsi" w:eastAsia="Times New Roman" w:hAnsiTheme="minorHAnsi" w:cstheme="minorHAnsi"/>
                <w:b/>
                <w:bCs/>
                <w:color w:val="000000"/>
                <w:sz w:val="20"/>
                <w:szCs w:val="20"/>
                <w:lang w:eastAsia="en-AU"/>
              </w:rPr>
              <w:t>Standard</w:t>
            </w:r>
          </w:p>
        </w:tc>
      </w:tr>
      <w:tr w:rsidR="0085617B" w:rsidRPr="009F3E41" w14:paraId="29D412E0" w14:textId="77777777" w:rsidTr="00A35FEB">
        <w:trPr>
          <w:trHeight w:val="369"/>
        </w:trPr>
        <w:tc>
          <w:tcPr>
            <w:tcW w:w="1560" w:type="dxa"/>
            <w:vMerge w:val="restart"/>
            <w:tcBorders>
              <w:top w:val="single" w:sz="4" w:space="0" w:color="002279"/>
              <w:left w:val="single" w:sz="4" w:space="0" w:color="002279"/>
              <w:bottom w:val="single" w:sz="4" w:space="0" w:color="002279"/>
              <w:right w:val="single" w:sz="4" w:space="0" w:color="002279"/>
            </w:tcBorders>
            <w:shd w:val="clear" w:color="auto" w:fill="auto"/>
            <w:noWrap/>
            <w:vAlign w:val="center"/>
            <w:hideMark/>
          </w:tcPr>
          <w:p w14:paraId="4A4BD235" w14:textId="77777777" w:rsidR="009F3E41" w:rsidRPr="009F3E41" w:rsidRDefault="009F3E41" w:rsidP="009F3E41">
            <w:pPr>
              <w:spacing w:after="0"/>
              <w:jc w:val="center"/>
              <w:rPr>
                <w:rFonts w:asciiTheme="minorHAnsi" w:eastAsia="Times New Roman" w:hAnsiTheme="minorHAnsi" w:cstheme="minorHAnsi"/>
                <w:color w:val="000000"/>
                <w:sz w:val="20"/>
                <w:szCs w:val="20"/>
                <w:lang w:eastAsia="en-AU"/>
              </w:rPr>
            </w:pPr>
            <w:r w:rsidRPr="009F3E41">
              <w:rPr>
                <w:rFonts w:asciiTheme="minorHAnsi" w:eastAsia="Times New Roman" w:hAnsiTheme="minorHAnsi" w:cstheme="minorHAnsi"/>
                <w:color w:val="000000"/>
                <w:sz w:val="20"/>
                <w:szCs w:val="20"/>
                <w:lang w:eastAsia="en-AU"/>
              </w:rPr>
              <w:t>14.25</w:t>
            </w:r>
          </w:p>
        </w:tc>
        <w:tc>
          <w:tcPr>
            <w:tcW w:w="1417" w:type="dxa"/>
            <w:tcBorders>
              <w:top w:val="single" w:sz="4" w:space="0" w:color="002279"/>
              <w:left w:val="single" w:sz="4" w:space="0" w:color="002279"/>
              <w:bottom w:val="single" w:sz="4" w:space="0" w:color="002279"/>
              <w:right w:val="single" w:sz="4" w:space="0" w:color="002279"/>
            </w:tcBorders>
            <w:shd w:val="clear" w:color="auto" w:fill="auto"/>
            <w:noWrap/>
            <w:vAlign w:val="center"/>
            <w:hideMark/>
          </w:tcPr>
          <w:p w14:paraId="59CC159E" w14:textId="77777777" w:rsidR="009F3E41" w:rsidRPr="009F3E41" w:rsidRDefault="009F3E41" w:rsidP="009F3E41">
            <w:pPr>
              <w:spacing w:after="0"/>
              <w:jc w:val="center"/>
              <w:rPr>
                <w:rFonts w:asciiTheme="minorHAnsi" w:eastAsia="Times New Roman" w:hAnsiTheme="minorHAnsi" w:cstheme="minorHAnsi"/>
                <w:color w:val="000000"/>
                <w:sz w:val="20"/>
                <w:szCs w:val="20"/>
                <w:lang w:eastAsia="en-AU"/>
              </w:rPr>
            </w:pPr>
            <w:r w:rsidRPr="009F3E41">
              <w:rPr>
                <w:rFonts w:asciiTheme="minorHAnsi" w:eastAsia="Times New Roman" w:hAnsiTheme="minorHAnsi" w:cstheme="minorHAnsi"/>
                <w:color w:val="000000"/>
                <w:sz w:val="20"/>
                <w:szCs w:val="20"/>
                <w:lang w:eastAsia="en-AU"/>
              </w:rPr>
              <w:t>2.5</w:t>
            </w:r>
          </w:p>
        </w:tc>
        <w:tc>
          <w:tcPr>
            <w:tcW w:w="9072" w:type="dxa"/>
            <w:tcBorders>
              <w:top w:val="single" w:sz="4" w:space="0" w:color="002279"/>
              <w:left w:val="single" w:sz="4" w:space="0" w:color="002279"/>
              <w:bottom w:val="single" w:sz="4" w:space="0" w:color="002279"/>
              <w:right w:val="single" w:sz="4" w:space="0" w:color="002279"/>
            </w:tcBorders>
            <w:shd w:val="clear" w:color="auto" w:fill="auto"/>
            <w:noWrap/>
            <w:vAlign w:val="center"/>
            <w:hideMark/>
          </w:tcPr>
          <w:p w14:paraId="05662A7D" w14:textId="3ED80649" w:rsidR="009F3E41" w:rsidRPr="009F3E41" w:rsidRDefault="009F3E41" w:rsidP="00F358AA">
            <w:pPr>
              <w:spacing w:after="0"/>
              <w:rPr>
                <w:rFonts w:asciiTheme="minorHAnsi" w:eastAsia="Times New Roman" w:hAnsiTheme="minorHAnsi" w:cstheme="minorHAnsi"/>
                <w:color w:val="000000"/>
                <w:sz w:val="20"/>
                <w:szCs w:val="20"/>
                <w:lang w:eastAsia="en-AU"/>
              </w:rPr>
            </w:pPr>
            <w:r w:rsidRPr="009F3E41">
              <w:rPr>
                <w:rFonts w:asciiTheme="minorHAnsi" w:eastAsia="Times New Roman" w:hAnsiTheme="minorHAnsi" w:cstheme="minorHAnsi"/>
                <w:color w:val="000000"/>
                <w:sz w:val="20"/>
                <w:szCs w:val="20"/>
                <w:lang w:eastAsia="en-AU"/>
              </w:rPr>
              <w:t>Very confident the element is 'Standard'</w:t>
            </w:r>
          </w:p>
        </w:tc>
        <w:tc>
          <w:tcPr>
            <w:tcW w:w="1843" w:type="dxa"/>
            <w:tcBorders>
              <w:top w:val="single" w:sz="4" w:space="0" w:color="002279"/>
              <w:left w:val="single" w:sz="4" w:space="0" w:color="002279"/>
              <w:bottom w:val="single" w:sz="4" w:space="0" w:color="002279"/>
              <w:right w:val="single" w:sz="4" w:space="0" w:color="002279"/>
            </w:tcBorders>
            <w:shd w:val="clear" w:color="auto" w:fill="auto"/>
            <w:noWrap/>
            <w:vAlign w:val="center"/>
            <w:hideMark/>
          </w:tcPr>
          <w:p w14:paraId="3B78B9F4" w14:textId="77777777" w:rsidR="009F3E41" w:rsidRPr="009F3E41" w:rsidRDefault="009F3E41" w:rsidP="00754450">
            <w:pPr>
              <w:spacing w:after="0"/>
              <w:ind w:firstLineChars="100" w:firstLine="200"/>
              <w:jc w:val="center"/>
              <w:rPr>
                <w:rFonts w:asciiTheme="minorHAnsi" w:eastAsia="Times New Roman" w:hAnsiTheme="minorHAnsi" w:cstheme="minorHAnsi"/>
                <w:color w:val="000000"/>
                <w:sz w:val="20"/>
                <w:szCs w:val="20"/>
                <w:lang w:eastAsia="en-AU"/>
              </w:rPr>
            </w:pPr>
            <w:r w:rsidRPr="009F3E41">
              <w:rPr>
                <w:rFonts w:asciiTheme="minorHAnsi" w:eastAsia="Times New Roman" w:hAnsiTheme="minorHAnsi" w:cstheme="minorHAnsi"/>
                <w:color w:val="000000"/>
                <w:sz w:val="20"/>
                <w:szCs w:val="20"/>
                <w:lang w:eastAsia="en-AU"/>
              </w:rPr>
              <w:t>63%</w:t>
            </w:r>
          </w:p>
        </w:tc>
      </w:tr>
      <w:tr w:rsidR="0085617B" w:rsidRPr="009F3E41" w14:paraId="22F82C82" w14:textId="77777777" w:rsidTr="00A35FEB">
        <w:trPr>
          <w:trHeight w:val="369"/>
        </w:trPr>
        <w:tc>
          <w:tcPr>
            <w:tcW w:w="1560" w:type="dxa"/>
            <w:vMerge/>
            <w:tcBorders>
              <w:top w:val="single" w:sz="4" w:space="0" w:color="002279"/>
              <w:left w:val="single" w:sz="4" w:space="0" w:color="002279"/>
              <w:bottom w:val="single" w:sz="4" w:space="0" w:color="002279"/>
              <w:right w:val="single" w:sz="4" w:space="0" w:color="002279"/>
            </w:tcBorders>
            <w:shd w:val="clear" w:color="auto" w:fill="auto"/>
            <w:vAlign w:val="center"/>
            <w:hideMark/>
          </w:tcPr>
          <w:p w14:paraId="34EDD8AC" w14:textId="77777777" w:rsidR="009F3E41" w:rsidRPr="009F3E41" w:rsidRDefault="009F3E41" w:rsidP="009F3E41">
            <w:pPr>
              <w:spacing w:after="0"/>
              <w:rPr>
                <w:rFonts w:asciiTheme="minorHAnsi" w:eastAsia="Times New Roman" w:hAnsiTheme="minorHAnsi" w:cstheme="minorHAnsi"/>
                <w:color w:val="000000"/>
                <w:sz w:val="20"/>
                <w:szCs w:val="20"/>
                <w:lang w:eastAsia="en-AU"/>
              </w:rPr>
            </w:pPr>
          </w:p>
        </w:tc>
        <w:tc>
          <w:tcPr>
            <w:tcW w:w="1417" w:type="dxa"/>
            <w:tcBorders>
              <w:top w:val="single" w:sz="4" w:space="0" w:color="002279"/>
              <w:left w:val="single" w:sz="4" w:space="0" w:color="002279"/>
              <w:bottom w:val="single" w:sz="4" w:space="0" w:color="002279"/>
              <w:right w:val="single" w:sz="4" w:space="0" w:color="002279"/>
            </w:tcBorders>
            <w:shd w:val="clear" w:color="auto" w:fill="auto"/>
            <w:noWrap/>
            <w:vAlign w:val="center"/>
            <w:hideMark/>
          </w:tcPr>
          <w:p w14:paraId="239E0AD7" w14:textId="77777777" w:rsidR="009F3E41" w:rsidRPr="009F3E41" w:rsidRDefault="009F3E41" w:rsidP="009F3E41">
            <w:pPr>
              <w:spacing w:after="0"/>
              <w:jc w:val="center"/>
              <w:rPr>
                <w:rFonts w:asciiTheme="minorHAnsi" w:eastAsia="Times New Roman" w:hAnsiTheme="minorHAnsi" w:cstheme="minorHAnsi"/>
                <w:color w:val="000000"/>
                <w:sz w:val="20"/>
                <w:szCs w:val="20"/>
                <w:lang w:eastAsia="en-AU"/>
              </w:rPr>
            </w:pPr>
            <w:r w:rsidRPr="009F3E41">
              <w:rPr>
                <w:rFonts w:asciiTheme="minorHAnsi" w:eastAsia="Times New Roman" w:hAnsiTheme="minorHAnsi" w:cstheme="minorHAnsi"/>
                <w:color w:val="000000"/>
                <w:sz w:val="20"/>
                <w:szCs w:val="20"/>
                <w:lang w:eastAsia="en-AU"/>
              </w:rPr>
              <w:t>2.25</w:t>
            </w:r>
          </w:p>
        </w:tc>
        <w:tc>
          <w:tcPr>
            <w:tcW w:w="9072" w:type="dxa"/>
            <w:tcBorders>
              <w:top w:val="single" w:sz="4" w:space="0" w:color="002279"/>
              <w:left w:val="single" w:sz="4" w:space="0" w:color="002279"/>
              <w:bottom w:val="single" w:sz="4" w:space="0" w:color="002279"/>
              <w:right w:val="single" w:sz="4" w:space="0" w:color="002279"/>
            </w:tcBorders>
            <w:shd w:val="clear" w:color="auto" w:fill="auto"/>
            <w:noWrap/>
            <w:vAlign w:val="center"/>
            <w:hideMark/>
          </w:tcPr>
          <w:p w14:paraId="0112911B" w14:textId="77777777" w:rsidR="009F3E41" w:rsidRPr="009F3E41" w:rsidRDefault="009F3E41" w:rsidP="00F358AA">
            <w:pPr>
              <w:spacing w:after="0"/>
              <w:rPr>
                <w:rFonts w:asciiTheme="minorHAnsi" w:eastAsia="Times New Roman" w:hAnsiTheme="minorHAnsi" w:cstheme="minorHAnsi"/>
                <w:color w:val="000000"/>
                <w:sz w:val="20"/>
                <w:szCs w:val="20"/>
                <w:lang w:eastAsia="en-AU"/>
              </w:rPr>
            </w:pPr>
            <w:r w:rsidRPr="009F3E41">
              <w:rPr>
                <w:rFonts w:asciiTheme="minorHAnsi" w:eastAsia="Times New Roman" w:hAnsiTheme="minorHAnsi" w:cstheme="minorHAnsi"/>
                <w:color w:val="000000"/>
                <w:sz w:val="20"/>
                <w:szCs w:val="20"/>
                <w:lang w:eastAsia="en-AU"/>
              </w:rPr>
              <w:t>Confident the element is 'Standard'</w:t>
            </w:r>
          </w:p>
        </w:tc>
        <w:tc>
          <w:tcPr>
            <w:tcW w:w="1843" w:type="dxa"/>
            <w:tcBorders>
              <w:top w:val="single" w:sz="4" w:space="0" w:color="002279"/>
              <w:left w:val="single" w:sz="4" w:space="0" w:color="002279"/>
              <w:bottom w:val="single" w:sz="4" w:space="0" w:color="002279"/>
              <w:right w:val="single" w:sz="4" w:space="0" w:color="002279"/>
            </w:tcBorders>
            <w:shd w:val="clear" w:color="auto" w:fill="auto"/>
            <w:noWrap/>
            <w:vAlign w:val="center"/>
            <w:hideMark/>
          </w:tcPr>
          <w:p w14:paraId="405578B9" w14:textId="77777777" w:rsidR="009F3E41" w:rsidRPr="009F3E41" w:rsidRDefault="009F3E41" w:rsidP="00754450">
            <w:pPr>
              <w:spacing w:after="0"/>
              <w:ind w:firstLineChars="100" w:firstLine="200"/>
              <w:jc w:val="center"/>
              <w:rPr>
                <w:rFonts w:asciiTheme="minorHAnsi" w:eastAsia="Times New Roman" w:hAnsiTheme="minorHAnsi" w:cstheme="minorHAnsi"/>
                <w:color w:val="000000"/>
                <w:sz w:val="20"/>
                <w:szCs w:val="20"/>
                <w:lang w:eastAsia="en-AU"/>
              </w:rPr>
            </w:pPr>
            <w:r w:rsidRPr="009F3E41">
              <w:rPr>
                <w:rFonts w:asciiTheme="minorHAnsi" w:eastAsia="Times New Roman" w:hAnsiTheme="minorHAnsi" w:cstheme="minorHAnsi"/>
                <w:color w:val="000000"/>
                <w:sz w:val="20"/>
                <w:szCs w:val="20"/>
                <w:lang w:eastAsia="en-AU"/>
              </w:rPr>
              <w:t>56%</w:t>
            </w:r>
          </w:p>
        </w:tc>
      </w:tr>
      <w:tr w:rsidR="0085617B" w:rsidRPr="009F3E41" w14:paraId="0BE77C7A" w14:textId="77777777" w:rsidTr="00A35FEB">
        <w:trPr>
          <w:trHeight w:val="369"/>
        </w:trPr>
        <w:tc>
          <w:tcPr>
            <w:tcW w:w="1560" w:type="dxa"/>
            <w:vMerge w:val="restart"/>
            <w:tcBorders>
              <w:top w:val="single" w:sz="4" w:space="0" w:color="002279"/>
              <w:left w:val="single" w:sz="4" w:space="0" w:color="002279"/>
              <w:bottom w:val="single" w:sz="4" w:space="0" w:color="002279"/>
              <w:right w:val="single" w:sz="4" w:space="0" w:color="002279"/>
            </w:tcBorders>
            <w:shd w:val="clear" w:color="auto" w:fill="auto"/>
            <w:noWrap/>
            <w:vAlign w:val="center"/>
            <w:hideMark/>
          </w:tcPr>
          <w:p w14:paraId="3EA405D2" w14:textId="77777777" w:rsidR="009F3E41" w:rsidRPr="009F3E41" w:rsidRDefault="009F3E41" w:rsidP="009F3E41">
            <w:pPr>
              <w:spacing w:after="0"/>
              <w:jc w:val="center"/>
              <w:rPr>
                <w:rFonts w:asciiTheme="minorHAnsi" w:eastAsia="Times New Roman" w:hAnsiTheme="minorHAnsi" w:cstheme="minorHAnsi"/>
                <w:color w:val="000000"/>
                <w:sz w:val="20"/>
                <w:szCs w:val="20"/>
                <w:lang w:eastAsia="en-AU"/>
              </w:rPr>
            </w:pPr>
            <w:r w:rsidRPr="009F3E41">
              <w:rPr>
                <w:rFonts w:asciiTheme="minorHAnsi" w:eastAsia="Times New Roman" w:hAnsiTheme="minorHAnsi" w:cstheme="minorHAnsi"/>
                <w:color w:val="000000"/>
                <w:sz w:val="20"/>
                <w:szCs w:val="20"/>
                <w:lang w:eastAsia="en-AU"/>
              </w:rPr>
              <w:t>9.5</w:t>
            </w:r>
          </w:p>
        </w:tc>
        <w:tc>
          <w:tcPr>
            <w:tcW w:w="1417" w:type="dxa"/>
            <w:tcBorders>
              <w:top w:val="single" w:sz="4" w:space="0" w:color="002279"/>
              <w:left w:val="single" w:sz="4" w:space="0" w:color="002279"/>
              <w:bottom w:val="single" w:sz="4" w:space="0" w:color="002279"/>
              <w:right w:val="single" w:sz="4" w:space="0" w:color="002279"/>
            </w:tcBorders>
            <w:shd w:val="clear" w:color="auto" w:fill="auto"/>
            <w:noWrap/>
            <w:vAlign w:val="center"/>
            <w:hideMark/>
          </w:tcPr>
          <w:p w14:paraId="35802214" w14:textId="77777777" w:rsidR="009F3E41" w:rsidRPr="009F3E41" w:rsidRDefault="009F3E41" w:rsidP="009F3E41">
            <w:pPr>
              <w:spacing w:after="0"/>
              <w:jc w:val="center"/>
              <w:rPr>
                <w:rFonts w:asciiTheme="minorHAnsi" w:eastAsia="Times New Roman" w:hAnsiTheme="minorHAnsi" w:cstheme="minorHAnsi"/>
                <w:color w:val="000000"/>
                <w:sz w:val="20"/>
                <w:szCs w:val="20"/>
                <w:lang w:eastAsia="en-AU"/>
              </w:rPr>
            </w:pPr>
            <w:r w:rsidRPr="009F3E41">
              <w:rPr>
                <w:rFonts w:asciiTheme="minorHAnsi" w:eastAsia="Times New Roman" w:hAnsiTheme="minorHAnsi" w:cstheme="minorHAnsi"/>
                <w:color w:val="000000"/>
                <w:sz w:val="20"/>
                <w:szCs w:val="20"/>
                <w:lang w:eastAsia="en-AU"/>
              </w:rPr>
              <w:t>2</w:t>
            </w:r>
          </w:p>
        </w:tc>
        <w:tc>
          <w:tcPr>
            <w:tcW w:w="9072" w:type="dxa"/>
            <w:tcBorders>
              <w:top w:val="single" w:sz="4" w:space="0" w:color="002279"/>
              <w:left w:val="single" w:sz="4" w:space="0" w:color="002279"/>
              <w:bottom w:val="single" w:sz="4" w:space="0" w:color="002279"/>
              <w:right w:val="single" w:sz="4" w:space="0" w:color="002279"/>
            </w:tcBorders>
            <w:shd w:val="clear" w:color="auto" w:fill="auto"/>
            <w:noWrap/>
            <w:vAlign w:val="center"/>
            <w:hideMark/>
          </w:tcPr>
          <w:p w14:paraId="0FA83C79" w14:textId="77777777" w:rsidR="009F3E41" w:rsidRPr="009F3E41" w:rsidRDefault="009F3E41" w:rsidP="00F358AA">
            <w:pPr>
              <w:spacing w:after="0"/>
              <w:rPr>
                <w:rFonts w:asciiTheme="minorHAnsi" w:eastAsia="Times New Roman" w:hAnsiTheme="minorHAnsi" w:cstheme="minorHAnsi"/>
                <w:color w:val="000000"/>
                <w:sz w:val="20"/>
                <w:szCs w:val="20"/>
                <w:lang w:eastAsia="en-AU"/>
              </w:rPr>
            </w:pPr>
            <w:r w:rsidRPr="009F3E41">
              <w:rPr>
                <w:rFonts w:asciiTheme="minorHAnsi" w:eastAsia="Times New Roman" w:hAnsiTheme="minorHAnsi" w:cstheme="minorHAnsi"/>
                <w:color w:val="000000"/>
                <w:sz w:val="20"/>
                <w:szCs w:val="20"/>
                <w:lang w:eastAsia="en-AU"/>
              </w:rPr>
              <w:t>Satisfied the element is 'Standard'</w:t>
            </w:r>
          </w:p>
        </w:tc>
        <w:tc>
          <w:tcPr>
            <w:tcW w:w="1843" w:type="dxa"/>
            <w:tcBorders>
              <w:top w:val="single" w:sz="4" w:space="0" w:color="002279"/>
              <w:left w:val="single" w:sz="4" w:space="0" w:color="002279"/>
              <w:bottom w:val="single" w:sz="4" w:space="0" w:color="002279"/>
              <w:right w:val="single" w:sz="4" w:space="0" w:color="002279"/>
            </w:tcBorders>
            <w:shd w:val="clear" w:color="auto" w:fill="auto"/>
            <w:noWrap/>
            <w:vAlign w:val="center"/>
            <w:hideMark/>
          </w:tcPr>
          <w:p w14:paraId="4424B451" w14:textId="77777777" w:rsidR="009F3E41" w:rsidRPr="009F3E41" w:rsidRDefault="009F3E41" w:rsidP="00754450">
            <w:pPr>
              <w:spacing w:after="0"/>
              <w:ind w:firstLineChars="100" w:firstLine="200"/>
              <w:jc w:val="center"/>
              <w:rPr>
                <w:rFonts w:asciiTheme="minorHAnsi" w:eastAsia="Times New Roman" w:hAnsiTheme="minorHAnsi" w:cstheme="minorHAnsi"/>
                <w:color w:val="000000"/>
                <w:sz w:val="20"/>
                <w:szCs w:val="20"/>
                <w:lang w:eastAsia="en-AU"/>
              </w:rPr>
            </w:pPr>
            <w:r w:rsidRPr="009F3E41">
              <w:rPr>
                <w:rFonts w:asciiTheme="minorHAnsi" w:eastAsia="Times New Roman" w:hAnsiTheme="minorHAnsi" w:cstheme="minorHAnsi"/>
                <w:color w:val="000000"/>
                <w:sz w:val="20"/>
                <w:szCs w:val="20"/>
                <w:lang w:eastAsia="en-AU"/>
              </w:rPr>
              <w:t>50%</w:t>
            </w:r>
          </w:p>
        </w:tc>
      </w:tr>
      <w:tr w:rsidR="0085617B" w:rsidRPr="009F3E41" w14:paraId="3A3D57AE" w14:textId="77777777" w:rsidTr="00A35FEB">
        <w:trPr>
          <w:trHeight w:val="369"/>
        </w:trPr>
        <w:tc>
          <w:tcPr>
            <w:tcW w:w="1560" w:type="dxa"/>
            <w:vMerge/>
            <w:tcBorders>
              <w:top w:val="single" w:sz="4" w:space="0" w:color="002279"/>
              <w:left w:val="single" w:sz="4" w:space="0" w:color="002279"/>
              <w:bottom w:val="single" w:sz="4" w:space="0" w:color="002279"/>
              <w:right w:val="single" w:sz="4" w:space="0" w:color="002279"/>
            </w:tcBorders>
            <w:shd w:val="clear" w:color="auto" w:fill="auto"/>
            <w:vAlign w:val="center"/>
            <w:hideMark/>
          </w:tcPr>
          <w:p w14:paraId="52E3C44E" w14:textId="77777777" w:rsidR="009F3E41" w:rsidRPr="009F3E41" w:rsidRDefault="009F3E41" w:rsidP="009F3E41">
            <w:pPr>
              <w:spacing w:after="0"/>
              <w:rPr>
                <w:rFonts w:asciiTheme="minorHAnsi" w:eastAsia="Times New Roman" w:hAnsiTheme="minorHAnsi" w:cstheme="minorHAnsi"/>
                <w:color w:val="000000"/>
                <w:sz w:val="20"/>
                <w:szCs w:val="20"/>
                <w:lang w:eastAsia="en-AU"/>
              </w:rPr>
            </w:pPr>
          </w:p>
        </w:tc>
        <w:tc>
          <w:tcPr>
            <w:tcW w:w="1417" w:type="dxa"/>
            <w:tcBorders>
              <w:top w:val="single" w:sz="4" w:space="0" w:color="002279"/>
              <w:left w:val="single" w:sz="4" w:space="0" w:color="002279"/>
              <w:bottom w:val="single" w:sz="4" w:space="0" w:color="002279"/>
              <w:right w:val="single" w:sz="4" w:space="0" w:color="002279"/>
            </w:tcBorders>
            <w:shd w:val="clear" w:color="auto" w:fill="auto"/>
            <w:noWrap/>
            <w:vAlign w:val="center"/>
            <w:hideMark/>
          </w:tcPr>
          <w:p w14:paraId="06EEC931" w14:textId="77777777" w:rsidR="009F3E41" w:rsidRPr="009F3E41" w:rsidRDefault="009F3E41" w:rsidP="009F3E41">
            <w:pPr>
              <w:spacing w:after="0"/>
              <w:ind w:firstLineChars="100" w:firstLine="200"/>
              <w:jc w:val="right"/>
              <w:rPr>
                <w:rFonts w:asciiTheme="minorHAnsi" w:eastAsia="Times New Roman" w:hAnsiTheme="minorHAnsi" w:cstheme="minorHAnsi"/>
                <w:color w:val="000000"/>
                <w:sz w:val="20"/>
                <w:szCs w:val="20"/>
                <w:lang w:eastAsia="en-AU"/>
              </w:rPr>
            </w:pPr>
            <w:r w:rsidRPr="009F3E41">
              <w:rPr>
                <w:rFonts w:asciiTheme="minorHAnsi" w:eastAsia="Times New Roman" w:hAnsiTheme="minorHAnsi" w:cstheme="minorHAnsi"/>
                <w:color w:val="000000"/>
                <w:sz w:val="20"/>
                <w:szCs w:val="20"/>
                <w:lang w:eastAsia="en-AU"/>
              </w:rPr>
              <w:t>1.75</w:t>
            </w:r>
          </w:p>
        </w:tc>
        <w:tc>
          <w:tcPr>
            <w:tcW w:w="9072" w:type="dxa"/>
            <w:tcBorders>
              <w:top w:val="single" w:sz="4" w:space="0" w:color="002279"/>
              <w:left w:val="single" w:sz="4" w:space="0" w:color="002279"/>
              <w:bottom w:val="single" w:sz="4" w:space="0" w:color="002279"/>
              <w:right w:val="single" w:sz="4" w:space="0" w:color="002279"/>
            </w:tcBorders>
            <w:shd w:val="clear" w:color="auto" w:fill="auto"/>
            <w:noWrap/>
            <w:vAlign w:val="center"/>
            <w:hideMark/>
          </w:tcPr>
          <w:p w14:paraId="11A92303" w14:textId="77777777" w:rsidR="009F3E41" w:rsidRPr="009F3E41" w:rsidRDefault="009F3E41" w:rsidP="00F358AA">
            <w:pPr>
              <w:spacing w:after="0"/>
              <w:rPr>
                <w:rFonts w:asciiTheme="minorHAnsi" w:eastAsia="Times New Roman" w:hAnsiTheme="minorHAnsi" w:cstheme="minorHAnsi"/>
                <w:color w:val="000000"/>
                <w:sz w:val="20"/>
                <w:szCs w:val="20"/>
                <w:lang w:eastAsia="en-AU"/>
              </w:rPr>
            </w:pPr>
            <w:r w:rsidRPr="009F3E41">
              <w:rPr>
                <w:rFonts w:asciiTheme="minorHAnsi" w:eastAsia="Times New Roman" w:hAnsiTheme="minorHAnsi" w:cstheme="minorHAnsi"/>
                <w:color w:val="000000"/>
                <w:sz w:val="20"/>
                <w:szCs w:val="20"/>
                <w:lang w:eastAsia="en-AU"/>
              </w:rPr>
              <w:t>Reasonably confident the element is 'Standard'</w:t>
            </w:r>
          </w:p>
        </w:tc>
        <w:tc>
          <w:tcPr>
            <w:tcW w:w="1843" w:type="dxa"/>
            <w:tcBorders>
              <w:top w:val="single" w:sz="4" w:space="0" w:color="002279"/>
              <w:left w:val="single" w:sz="4" w:space="0" w:color="002279"/>
              <w:bottom w:val="single" w:sz="4" w:space="0" w:color="002279"/>
              <w:right w:val="single" w:sz="4" w:space="0" w:color="002279"/>
            </w:tcBorders>
            <w:shd w:val="clear" w:color="auto" w:fill="auto"/>
            <w:noWrap/>
            <w:vAlign w:val="center"/>
            <w:hideMark/>
          </w:tcPr>
          <w:p w14:paraId="20B0E523" w14:textId="77777777" w:rsidR="009F3E41" w:rsidRPr="009F3E41" w:rsidRDefault="009F3E41" w:rsidP="00754450">
            <w:pPr>
              <w:spacing w:after="0"/>
              <w:ind w:firstLineChars="100" w:firstLine="200"/>
              <w:jc w:val="center"/>
              <w:rPr>
                <w:rFonts w:asciiTheme="minorHAnsi" w:eastAsia="Times New Roman" w:hAnsiTheme="minorHAnsi" w:cstheme="minorHAnsi"/>
                <w:color w:val="000000"/>
                <w:sz w:val="20"/>
                <w:szCs w:val="20"/>
                <w:lang w:eastAsia="en-AU"/>
              </w:rPr>
            </w:pPr>
            <w:r w:rsidRPr="009F3E41">
              <w:rPr>
                <w:rFonts w:asciiTheme="minorHAnsi" w:eastAsia="Times New Roman" w:hAnsiTheme="minorHAnsi" w:cstheme="minorHAnsi"/>
                <w:color w:val="000000"/>
                <w:sz w:val="20"/>
                <w:szCs w:val="20"/>
                <w:lang w:eastAsia="en-AU"/>
              </w:rPr>
              <w:t>44%</w:t>
            </w:r>
          </w:p>
        </w:tc>
      </w:tr>
      <w:tr w:rsidR="002818B5" w:rsidRPr="009F3E41" w14:paraId="51B80DDF" w14:textId="77777777" w:rsidTr="00A35FEB">
        <w:trPr>
          <w:trHeight w:val="369"/>
        </w:trPr>
        <w:tc>
          <w:tcPr>
            <w:tcW w:w="13892" w:type="dxa"/>
            <w:gridSpan w:val="4"/>
            <w:tcBorders>
              <w:top w:val="single" w:sz="4" w:space="0" w:color="002279"/>
              <w:left w:val="single" w:sz="4" w:space="0" w:color="002279"/>
              <w:bottom w:val="single" w:sz="4" w:space="0" w:color="002279"/>
              <w:right w:val="single" w:sz="4" w:space="0" w:color="002279"/>
            </w:tcBorders>
            <w:shd w:val="clear" w:color="auto" w:fill="D4D6DF"/>
            <w:noWrap/>
            <w:vAlign w:val="center"/>
          </w:tcPr>
          <w:p w14:paraId="611F8336" w14:textId="4A6E413C" w:rsidR="00BB0A6F" w:rsidRPr="00E87963" w:rsidRDefault="00BB0A6F" w:rsidP="00E87963">
            <w:pPr>
              <w:spacing w:after="0"/>
              <w:ind w:firstLineChars="100" w:firstLine="201"/>
              <w:rPr>
                <w:rFonts w:asciiTheme="minorHAnsi" w:eastAsia="Times New Roman" w:hAnsiTheme="minorHAnsi" w:cstheme="minorHAnsi"/>
                <w:b/>
                <w:bCs/>
                <w:color w:val="000000"/>
                <w:sz w:val="20"/>
                <w:szCs w:val="20"/>
                <w:lang w:eastAsia="en-AU"/>
              </w:rPr>
            </w:pPr>
            <w:r w:rsidRPr="00E87963">
              <w:rPr>
                <w:rFonts w:asciiTheme="minorHAnsi" w:eastAsia="Times New Roman" w:hAnsiTheme="minorHAnsi" w:cstheme="minorHAnsi"/>
                <w:b/>
                <w:bCs/>
                <w:color w:val="000000"/>
                <w:sz w:val="20"/>
                <w:szCs w:val="20"/>
                <w:lang w:eastAsia="en-AU"/>
              </w:rPr>
              <w:t>Basic</w:t>
            </w:r>
          </w:p>
        </w:tc>
      </w:tr>
      <w:tr w:rsidR="0085617B" w:rsidRPr="009F3E41" w14:paraId="25481C47" w14:textId="77777777" w:rsidTr="00A35FEB">
        <w:trPr>
          <w:trHeight w:val="369"/>
        </w:trPr>
        <w:tc>
          <w:tcPr>
            <w:tcW w:w="1560" w:type="dxa"/>
            <w:vMerge w:val="restart"/>
            <w:tcBorders>
              <w:top w:val="single" w:sz="4" w:space="0" w:color="002279"/>
              <w:left w:val="single" w:sz="4" w:space="0" w:color="002279"/>
              <w:bottom w:val="single" w:sz="4" w:space="0" w:color="002279"/>
              <w:right w:val="single" w:sz="4" w:space="0" w:color="002279"/>
            </w:tcBorders>
            <w:shd w:val="clear" w:color="auto" w:fill="auto"/>
            <w:noWrap/>
            <w:vAlign w:val="center"/>
            <w:hideMark/>
          </w:tcPr>
          <w:p w14:paraId="29F38159" w14:textId="77777777" w:rsidR="009F3E41" w:rsidRPr="009F3E41" w:rsidRDefault="009F3E41" w:rsidP="009F3E41">
            <w:pPr>
              <w:spacing w:after="0"/>
              <w:jc w:val="center"/>
              <w:rPr>
                <w:rFonts w:asciiTheme="minorHAnsi" w:eastAsia="Times New Roman" w:hAnsiTheme="minorHAnsi" w:cstheme="minorHAnsi"/>
                <w:color w:val="000000"/>
                <w:sz w:val="20"/>
                <w:szCs w:val="20"/>
                <w:lang w:eastAsia="en-AU"/>
              </w:rPr>
            </w:pPr>
            <w:r w:rsidRPr="009F3E41">
              <w:rPr>
                <w:rFonts w:asciiTheme="minorHAnsi" w:eastAsia="Times New Roman" w:hAnsiTheme="minorHAnsi" w:cstheme="minorHAnsi"/>
                <w:color w:val="000000"/>
                <w:sz w:val="20"/>
                <w:szCs w:val="20"/>
                <w:lang w:eastAsia="en-AU"/>
              </w:rPr>
              <w:t>9.25</w:t>
            </w:r>
          </w:p>
        </w:tc>
        <w:tc>
          <w:tcPr>
            <w:tcW w:w="1417" w:type="dxa"/>
            <w:tcBorders>
              <w:top w:val="single" w:sz="4" w:space="0" w:color="002279"/>
              <w:left w:val="single" w:sz="4" w:space="0" w:color="002279"/>
              <w:bottom w:val="single" w:sz="4" w:space="0" w:color="002279"/>
              <w:right w:val="single" w:sz="4" w:space="0" w:color="002279"/>
            </w:tcBorders>
            <w:shd w:val="clear" w:color="auto" w:fill="auto"/>
            <w:noWrap/>
            <w:vAlign w:val="center"/>
            <w:hideMark/>
          </w:tcPr>
          <w:p w14:paraId="7DB5F5CA" w14:textId="77777777" w:rsidR="009F3E41" w:rsidRPr="009F3E41" w:rsidRDefault="009F3E41" w:rsidP="009F3E41">
            <w:pPr>
              <w:spacing w:after="0"/>
              <w:jc w:val="center"/>
              <w:rPr>
                <w:rFonts w:asciiTheme="minorHAnsi" w:eastAsia="Times New Roman" w:hAnsiTheme="minorHAnsi" w:cstheme="minorHAnsi"/>
                <w:color w:val="000000"/>
                <w:sz w:val="20"/>
                <w:szCs w:val="20"/>
                <w:lang w:eastAsia="en-AU"/>
              </w:rPr>
            </w:pPr>
            <w:r w:rsidRPr="009F3E41">
              <w:rPr>
                <w:rFonts w:asciiTheme="minorHAnsi" w:eastAsia="Times New Roman" w:hAnsiTheme="minorHAnsi" w:cstheme="minorHAnsi"/>
                <w:color w:val="000000"/>
                <w:sz w:val="20"/>
                <w:szCs w:val="20"/>
                <w:lang w:eastAsia="en-AU"/>
              </w:rPr>
              <w:t>1.5</w:t>
            </w:r>
          </w:p>
        </w:tc>
        <w:tc>
          <w:tcPr>
            <w:tcW w:w="9072" w:type="dxa"/>
            <w:tcBorders>
              <w:top w:val="single" w:sz="4" w:space="0" w:color="002279"/>
              <w:left w:val="single" w:sz="4" w:space="0" w:color="002279"/>
              <w:bottom w:val="single" w:sz="4" w:space="0" w:color="002279"/>
              <w:right w:val="single" w:sz="4" w:space="0" w:color="002279"/>
            </w:tcBorders>
            <w:shd w:val="clear" w:color="auto" w:fill="auto"/>
            <w:noWrap/>
            <w:vAlign w:val="center"/>
            <w:hideMark/>
          </w:tcPr>
          <w:p w14:paraId="48A34B01" w14:textId="77777777" w:rsidR="009F3E41" w:rsidRPr="009F3E41" w:rsidRDefault="009F3E41" w:rsidP="00F358AA">
            <w:pPr>
              <w:spacing w:after="0"/>
              <w:rPr>
                <w:rFonts w:asciiTheme="minorHAnsi" w:eastAsia="Times New Roman" w:hAnsiTheme="minorHAnsi" w:cstheme="minorHAnsi"/>
                <w:color w:val="000000"/>
                <w:sz w:val="20"/>
                <w:szCs w:val="20"/>
                <w:lang w:eastAsia="en-AU"/>
              </w:rPr>
            </w:pPr>
            <w:r w:rsidRPr="009F3E41">
              <w:rPr>
                <w:rFonts w:asciiTheme="minorHAnsi" w:eastAsia="Times New Roman" w:hAnsiTheme="minorHAnsi" w:cstheme="minorHAnsi"/>
                <w:color w:val="000000"/>
                <w:sz w:val="20"/>
                <w:szCs w:val="20"/>
                <w:lang w:eastAsia="en-AU"/>
              </w:rPr>
              <w:t>Very confident the element is 'Basic'</w:t>
            </w:r>
          </w:p>
        </w:tc>
        <w:tc>
          <w:tcPr>
            <w:tcW w:w="1843" w:type="dxa"/>
            <w:tcBorders>
              <w:top w:val="single" w:sz="4" w:space="0" w:color="002279"/>
              <w:left w:val="single" w:sz="4" w:space="0" w:color="002279"/>
              <w:bottom w:val="single" w:sz="4" w:space="0" w:color="002279"/>
              <w:right w:val="single" w:sz="4" w:space="0" w:color="002279"/>
            </w:tcBorders>
            <w:shd w:val="clear" w:color="auto" w:fill="auto"/>
            <w:noWrap/>
            <w:vAlign w:val="center"/>
            <w:hideMark/>
          </w:tcPr>
          <w:p w14:paraId="3B8152AF" w14:textId="77777777" w:rsidR="009F3E41" w:rsidRPr="009F3E41" w:rsidRDefault="009F3E41" w:rsidP="00754450">
            <w:pPr>
              <w:spacing w:after="0"/>
              <w:ind w:firstLineChars="100" w:firstLine="200"/>
              <w:jc w:val="center"/>
              <w:rPr>
                <w:rFonts w:asciiTheme="minorHAnsi" w:eastAsia="Times New Roman" w:hAnsiTheme="minorHAnsi" w:cstheme="minorHAnsi"/>
                <w:color w:val="000000"/>
                <w:sz w:val="20"/>
                <w:szCs w:val="20"/>
                <w:lang w:eastAsia="en-AU"/>
              </w:rPr>
            </w:pPr>
            <w:r w:rsidRPr="009F3E41">
              <w:rPr>
                <w:rFonts w:asciiTheme="minorHAnsi" w:eastAsia="Times New Roman" w:hAnsiTheme="minorHAnsi" w:cstheme="minorHAnsi"/>
                <w:color w:val="000000"/>
                <w:sz w:val="20"/>
                <w:szCs w:val="20"/>
                <w:lang w:eastAsia="en-AU"/>
              </w:rPr>
              <w:t>38%</w:t>
            </w:r>
          </w:p>
        </w:tc>
      </w:tr>
      <w:tr w:rsidR="0085617B" w:rsidRPr="009F3E41" w14:paraId="6EDA509B" w14:textId="77777777" w:rsidTr="00A35FEB">
        <w:trPr>
          <w:trHeight w:val="369"/>
        </w:trPr>
        <w:tc>
          <w:tcPr>
            <w:tcW w:w="1560" w:type="dxa"/>
            <w:vMerge/>
            <w:tcBorders>
              <w:top w:val="single" w:sz="4" w:space="0" w:color="002279"/>
              <w:left w:val="single" w:sz="4" w:space="0" w:color="002279"/>
              <w:bottom w:val="single" w:sz="4" w:space="0" w:color="002279"/>
              <w:right w:val="single" w:sz="4" w:space="0" w:color="002279"/>
            </w:tcBorders>
            <w:shd w:val="clear" w:color="auto" w:fill="auto"/>
            <w:vAlign w:val="center"/>
            <w:hideMark/>
          </w:tcPr>
          <w:p w14:paraId="51246FF6" w14:textId="77777777" w:rsidR="009F3E41" w:rsidRPr="009F3E41" w:rsidRDefault="009F3E41" w:rsidP="009F3E41">
            <w:pPr>
              <w:spacing w:after="0"/>
              <w:rPr>
                <w:rFonts w:asciiTheme="minorHAnsi" w:eastAsia="Times New Roman" w:hAnsiTheme="minorHAnsi" w:cstheme="minorHAnsi"/>
                <w:color w:val="000000"/>
                <w:sz w:val="20"/>
                <w:szCs w:val="20"/>
                <w:lang w:eastAsia="en-AU"/>
              </w:rPr>
            </w:pPr>
          </w:p>
        </w:tc>
        <w:tc>
          <w:tcPr>
            <w:tcW w:w="1417" w:type="dxa"/>
            <w:tcBorders>
              <w:top w:val="single" w:sz="4" w:space="0" w:color="002279"/>
              <w:left w:val="single" w:sz="4" w:space="0" w:color="002279"/>
              <w:bottom w:val="single" w:sz="4" w:space="0" w:color="002279"/>
              <w:right w:val="single" w:sz="4" w:space="0" w:color="002279"/>
            </w:tcBorders>
            <w:shd w:val="clear" w:color="auto" w:fill="auto"/>
            <w:noWrap/>
            <w:vAlign w:val="center"/>
            <w:hideMark/>
          </w:tcPr>
          <w:p w14:paraId="7DE805B5" w14:textId="77777777" w:rsidR="009F3E41" w:rsidRPr="009F3E41" w:rsidRDefault="009F3E41" w:rsidP="009F3E41">
            <w:pPr>
              <w:spacing w:after="0"/>
              <w:jc w:val="center"/>
              <w:rPr>
                <w:rFonts w:asciiTheme="minorHAnsi" w:eastAsia="Times New Roman" w:hAnsiTheme="minorHAnsi" w:cstheme="minorHAnsi"/>
                <w:color w:val="000000"/>
                <w:sz w:val="20"/>
                <w:szCs w:val="20"/>
                <w:lang w:eastAsia="en-AU"/>
              </w:rPr>
            </w:pPr>
            <w:r w:rsidRPr="009F3E41">
              <w:rPr>
                <w:rFonts w:asciiTheme="minorHAnsi" w:eastAsia="Times New Roman" w:hAnsiTheme="minorHAnsi" w:cstheme="minorHAnsi"/>
                <w:color w:val="000000"/>
                <w:sz w:val="20"/>
                <w:szCs w:val="20"/>
                <w:lang w:eastAsia="en-AU"/>
              </w:rPr>
              <w:t>1.25</w:t>
            </w:r>
          </w:p>
        </w:tc>
        <w:tc>
          <w:tcPr>
            <w:tcW w:w="9072" w:type="dxa"/>
            <w:tcBorders>
              <w:top w:val="single" w:sz="4" w:space="0" w:color="002279"/>
              <w:left w:val="single" w:sz="4" w:space="0" w:color="002279"/>
              <w:bottom w:val="single" w:sz="4" w:space="0" w:color="002279"/>
              <w:right w:val="single" w:sz="4" w:space="0" w:color="002279"/>
            </w:tcBorders>
            <w:shd w:val="clear" w:color="auto" w:fill="auto"/>
            <w:noWrap/>
            <w:vAlign w:val="center"/>
            <w:hideMark/>
          </w:tcPr>
          <w:p w14:paraId="492FECAF" w14:textId="77777777" w:rsidR="009F3E41" w:rsidRPr="009F3E41" w:rsidRDefault="009F3E41" w:rsidP="00F358AA">
            <w:pPr>
              <w:spacing w:after="0"/>
              <w:rPr>
                <w:rFonts w:asciiTheme="minorHAnsi" w:eastAsia="Times New Roman" w:hAnsiTheme="minorHAnsi" w:cstheme="minorHAnsi"/>
                <w:color w:val="000000"/>
                <w:sz w:val="20"/>
                <w:szCs w:val="20"/>
                <w:lang w:eastAsia="en-AU"/>
              </w:rPr>
            </w:pPr>
            <w:r w:rsidRPr="009F3E41">
              <w:rPr>
                <w:rFonts w:asciiTheme="minorHAnsi" w:eastAsia="Times New Roman" w:hAnsiTheme="minorHAnsi" w:cstheme="minorHAnsi"/>
                <w:color w:val="000000"/>
                <w:sz w:val="20"/>
                <w:szCs w:val="20"/>
                <w:lang w:eastAsia="en-AU"/>
              </w:rPr>
              <w:t>Confident the element is 'Basic'</w:t>
            </w:r>
          </w:p>
        </w:tc>
        <w:tc>
          <w:tcPr>
            <w:tcW w:w="1843" w:type="dxa"/>
            <w:tcBorders>
              <w:top w:val="single" w:sz="4" w:space="0" w:color="002279"/>
              <w:left w:val="single" w:sz="4" w:space="0" w:color="002279"/>
              <w:bottom w:val="single" w:sz="4" w:space="0" w:color="002279"/>
              <w:right w:val="single" w:sz="4" w:space="0" w:color="002279"/>
            </w:tcBorders>
            <w:shd w:val="clear" w:color="auto" w:fill="auto"/>
            <w:noWrap/>
            <w:vAlign w:val="center"/>
            <w:hideMark/>
          </w:tcPr>
          <w:p w14:paraId="4E97E032" w14:textId="77777777" w:rsidR="009F3E41" w:rsidRPr="009F3E41" w:rsidRDefault="009F3E41" w:rsidP="00754450">
            <w:pPr>
              <w:spacing w:after="0"/>
              <w:ind w:firstLineChars="100" w:firstLine="200"/>
              <w:jc w:val="center"/>
              <w:rPr>
                <w:rFonts w:asciiTheme="minorHAnsi" w:eastAsia="Times New Roman" w:hAnsiTheme="minorHAnsi" w:cstheme="minorHAnsi"/>
                <w:color w:val="000000"/>
                <w:sz w:val="20"/>
                <w:szCs w:val="20"/>
                <w:lang w:eastAsia="en-AU"/>
              </w:rPr>
            </w:pPr>
            <w:r w:rsidRPr="009F3E41">
              <w:rPr>
                <w:rFonts w:asciiTheme="minorHAnsi" w:eastAsia="Times New Roman" w:hAnsiTheme="minorHAnsi" w:cstheme="minorHAnsi"/>
                <w:color w:val="000000"/>
                <w:sz w:val="20"/>
                <w:szCs w:val="20"/>
                <w:lang w:eastAsia="en-AU"/>
              </w:rPr>
              <w:t>31%</w:t>
            </w:r>
          </w:p>
        </w:tc>
      </w:tr>
      <w:tr w:rsidR="00233BF9" w:rsidRPr="009F3E41" w14:paraId="24C675EE" w14:textId="77777777" w:rsidTr="00A35FEB">
        <w:trPr>
          <w:trHeight w:val="369"/>
        </w:trPr>
        <w:tc>
          <w:tcPr>
            <w:tcW w:w="1560" w:type="dxa"/>
            <w:tcBorders>
              <w:top w:val="single" w:sz="4" w:space="0" w:color="002279"/>
              <w:left w:val="single" w:sz="4" w:space="0" w:color="002279"/>
              <w:bottom w:val="single" w:sz="4" w:space="0" w:color="002279"/>
              <w:right w:val="single" w:sz="4" w:space="0" w:color="002279"/>
            </w:tcBorders>
            <w:shd w:val="clear" w:color="auto" w:fill="auto"/>
            <w:noWrap/>
            <w:vAlign w:val="center"/>
            <w:hideMark/>
          </w:tcPr>
          <w:p w14:paraId="3DB4BCE4" w14:textId="77777777" w:rsidR="009F3E41" w:rsidRPr="009F3E41" w:rsidRDefault="009F3E41" w:rsidP="009F3E41">
            <w:pPr>
              <w:spacing w:after="0"/>
              <w:jc w:val="center"/>
              <w:rPr>
                <w:rFonts w:asciiTheme="minorHAnsi" w:eastAsia="Times New Roman" w:hAnsiTheme="minorHAnsi" w:cstheme="minorHAnsi"/>
                <w:color w:val="000000"/>
                <w:sz w:val="20"/>
                <w:szCs w:val="20"/>
                <w:lang w:eastAsia="en-AU"/>
              </w:rPr>
            </w:pPr>
            <w:r w:rsidRPr="009F3E41">
              <w:rPr>
                <w:rFonts w:asciiTheme="minorHAnsi" w:eastAsia="Times New Roman" w:hAnsiTheme="minorHAnsi" w:cstheme="minorHAnsi"/>
                <w:color w:val="000000"/>
                <w:sz w:val="20"/>
                <w:szCs w:val="20"/>
                <w:lang w:eastAsia="en-AU"/>
              </w:rPr>
              <w:t>5</w:t>
            </w:r>
          </w:p>
        </w:tc>
        <w:tc>
          <w:tcPr>
            <w:tcW w:w="1417" w:type="dxa"/>
            <w:tcBorders>
              <w:top w:val="single" w:sz="4" w:space="0" w:color="002279"/>
              <w:left w:val="single" w:sz="4" w:space="0" w:color="002279"/>
              <w:bottom w:val="single" w:sz="4" w:space="0" w:color="002279"/>
              <w:right w:val="single" w:sz="4" w:space="0" w:color="002279"/>
            </w:tcBorders>
            <w:shd w:val="clear" w:color="auto" w:fill="auto"/>
            <w:noWrap/>
            <w:vAlign w:val="center"/>
            <w:hideMark/>
          </w:tcPr>
          <w:p w14:paraId="59BF5D2E" w14:textId="77777777" w:rsidR="009F3E41" w:rsidRPr="009F3E41" w:rsidRDefault="009F3E41" w:rsidP="009F3E41">
            <w:pPr>
              <w:spacing w:after="0"/>
              <w:jc w:val="center"/>
              <w:rPr>
                <w:rFonts w:asciiTheme="minorHAnsi" w:eastAsia="Times New Roman" w:hAnsiTheme="minorHAnsi" w:cstheme="minorHAnsi"/>
                <w:color w:val="000000"/>
                <w:sz w:val="20"/>
                <w:szCs w:val="20"/>
                <w:lang w:eastAsia="en-AU"/>
              </w:rPr>
            </w:pPr>
            <w:r w:rsidRPr="009F3E41">
              <w:rPr>
                <w:rFonts w:asciiTheme="minorHAnsi" w:eastAsia="Times New Roman" w:hAnsiTheme="minorHAnsi" w:cstheme="minorHAnsi"/>
                <w:color w:val="000000"/>
                <w:sz w:val="20"/>
                <w:szCs w:val="20"/>
                <w:lang w:eastAsia="en-AU"/>
              </w:rPr>
              <w:t>1</w:t>
            </w:r>
          </w:p>
        </w:tc>
        <w:tc>
          <w:tcPr>
            <w:tcW w:w="9072" w:type="dxa"/>
            <w:tcBorders>
              <w:top w:val="single" w:sz="4" w:space="0" w:color="002279"/>
              <w:left w:val="single" w:sz="4" w:space="0" w:color="002279"/>
              <w:bottom w:val="single" w:sz="4" w:space="0" w:color="002279"/>
              <w:right w:val="single" w:sz="4" w:space="0" w:color="002279"/>
            </w:tcBorders>
            <w:shd w:val="clear" w:color="auto" w:fill="auto"/>
            <w:noWrap/>
            <w:vAlign w:val="center"/>
            <w:hideMark/>
          </w:tcPr>
          <w:p w14:paraId="1D668C33" w14:textId="77777777" w:rsidR="009F3E41" w:rsidRPr="009F3E41" w:rsidRDefault="009F3E41" w:rsidP="00F358AA">
            <w:pPr>
              <w:spacing w:after="0"/>
              <w:rPr>
                <w:rFonts w:asciiTheme="minorHAnsi" w:eastAsia="Times New Roman" w:hAnsiTheme="minorHAnsi" w:cstheme="minorHAnsi"/>
                <w:color w:val="000000"/>
                <w:sz w:val="20"/>
                <w:szCs w:val="20"/>
                <w:lang w:eastAsia="en-AU"/>
              </w:rPr>
            </w:pPr>
            <w:r w:rsidRPr="009F3E41">
              <w:rPr>
                <w:rFonts w:asciiTheme="minorHAnsi" w:eastAsia="Times New Roman" w:hAnsiTheme="minorHAnsi" w:cstheme="minorHAnsi"/>
                <w:color w:val="000000"/>
                <w:sz w:val="20"/>
                <w:szCs w:val="20"/>
                <w:lang w:eastAsia="en-AU"/>
              </w:rPr>
              <w:t>Satisfied the element is 'Basic'</w:t>
            </w:r>
          </w:p>
        </w:tc>
        <w:tc>
          <w:tcPr>
            <w:tcW w:w="1843" w:type="dxa"/>
            <w:tcBorders>
              <w:top w:val="single" w:sz="4" w:space="0" w:color="002279"/>
              <w:left w:val="single" w:sz="4" w:space="0" w:color="002279"/>
              <w:bottom w:val="single" w:sz="4" w:space="0" w:color="002279"/>
              <w:right w:val="single" w:sz="4" w:space="0" w:color="002279"/>
            </w:tcBorders>
            <w:shd w:val="clear" w:color="auto" w:fill="auto"/>
            <w:noWrap/>
            <w:vAlign w:val="center"/>
            <w:hideMark/>
          </w:tcPr>
          <w:p w14:paraId="021D35E1" w14:textId="77777777" w:rsidR="009F3E41" w:rsidRPr="009F3E41" w:rsidRDefault="009F3E41" w:rsidP="00754450">
            <w:pPr>
              <w:spacing w:after="0"/>
              <w:ind w:firstLineChars="100" w:firstLine="200"/>
              <w:jc w:val="center"/>
              <w:rPr>
                <w:rFonts w:asciiTheme="minorHAnsi" w:eastAsia="Times New Roman" w:hAnsiTheme="minorHAnsi" w:cstheme="minorHAnsi"/>
                <w:color w:val="000000"/>
                <w:sz w:val="20"/>
                <w:szCs w:val="20"/>
                <w:lang w:eastAsia="en-AU"/>
              </w:rPr>
            </w:pPr>
            <w:r w:rsidRPr="009F3E41">
              <w:rPr>
                <w:rFonts w:asciiTheme="minorHAnsi" w:eastAsia="Times New Roman" w:hAnsiTheme="minorHAnsi" w:cstheme="minorHAnsi"/>
                <w:color w:val="000000"/>
                <w:sz w:val="20"/>
                <w:szCs w:val="20"/>
                <w:lang w:eastAsia="en-AU"/>
              </w:rPr>
              <w:t>25%</w:t>
            </w:r>
          </w:p>
        </w:tc>
      </w:tr>
    </w:tbl>
    <w:p w14:paraId="278D8E20" w14:textId="781ECA51" w:rsidR="002607DF" w:rsidRDefault="002607DF" w:rsidP="007F27DA">
      <w:pPr>
        <w:spacing w:after="0"/>
        <w:textAlignment w:val="baseline"/>
      </w:pPr>
    </w:p>
    <w:p w14:paraId="4C600FEE" w14:textId="77777777" w:rsidR="00825A9C" w:rsidRPr="007F27DA" w:rsidRDefault="00825A9C" w:rsidP="007F27DA">
      <w:pPr>
        <w:spacing w:after="0"/>
        <w:textAlignment w:val="baseline"/>
        <w:rPr>
          <w:rFonts w:ascii="Segoe UI" w:eastAsia="Times New Roman" w:hAnsi="Segoe UI" w:cs="Segoe UI"/>
          <w:lang w:val="en-US" w:eastAsia="en-AU"/>
        </w:rPr>
      </w:pPr>
    </w:p>
    <w:p w14:paraId="4839FE89" w14:textId="0F7F5026" w:rsidR="00C10121" w:rsidRDefault="00F974BE">
      <w:pPr>
        <w:pStyle w:val="Heading2"/>
        <w:numPr>
          <w:ilvl w:val="1"/>
          <w:numId w:val="28"/>
        </w:numPr>
        <w:ind w:left="426" w:hanging="426"/>
        <w:rPr>
          <w:lang w:eastAsia="en-AU"/>
        </w:rPr>
      </w:pPr>
      <w:r>
        <w:rPr>
          <w:lang w:eastAsia="en-AU"/>
        </w:rPr>
        <w:lastRenderedPageBreak/>
        <w:t>2018</w:t>
      </w:r>
      <w:r w:rsidR="00F243DC">
        <w:rPr>
          <w:lang w:eastAsia="en-AU"/>
        </w:rPr>
        <w:t>–</w:t>
      </w:r>
      <w:r>
        <w:rPr>
          <w:lang w:eastAsia="en-AU"/>
        </w:rPr>
        <w:t xml:space="preserve">23 </w:t>
      </w:r>
      <w:r w:rsidR="00822610">
        <w:rPr>
          <w:lang w:eastAsia="en-AU"/>
        </w:rPr>
        <w:t>c</w:t>
      </w:r>
      <w:r w:rsidR="00C603AD">
        <w:rPr>
          <w:lang w:eastAsia="en-AU"/>
        </w:rPr>
        <w:t xml:space="preserve">ustomer </w:t>
      </w:r>
      <w:r>
        <w:rPr>
          <w:lang w:eastAsia="en-AU"/>
        </w:rPr>
        <w:t xml:space="preserve">outcomes </w:t>
      </w:r>
    </w:p>
    <w:p w14:paraId="33628FB5" w14:textId="5566CD83" w:rsidR="00543BE1" w:rsidRPr="00B110F3" w:rsidRDefault="00543BE1" w:rsidP="00F06D36">
      <w:pPr>
        <w:spacing w:after="0"/>
        <w:textAlignment w:val="baseline"/>
        <w:rPr>
          <w:rFonts w:ascii="Segoe UI" w:eastAsia="Times New Roman" w:hAnsi="Segoe UI" w:cs="Segoe UI"/>
          <w:lang w:val="en-US" w:eastAsia="en-AU"/>
        </w:rPr>
      </w:pPr>
      <w:r w:rsidRPr="00B110F3">
        <w:rPr>
          <w:rFonts w:eastAsia="Times New Roman" w:cs="Arial"/>
          <w:position w:val="-1"/>
          <w:lang w:eastAsia="en-AU"/>
        </w:rPr>
        <w:t xml:space="preserve">The first element </w:t>
      </w:r>
      <w:r w:rsidR="00E705EB">
        <w:rPr>
          <w:rFonts w:eastAsia="Times New Roman" w:cs="Arial"/>
          <w:position w:val="-1"/>
          <w:lang w:eastAsia="en-AU"/>
        </w:rPr>
        <w:t>use</w:t>
      </w:r>
      <w:r w:rsidRPr="00B110F3">
        <w:rPr>
          <w:rFonts w:eastAsia="Times New Roman" w:cs="Arial"/>
          <w:position w:val="-1"/>
          <w:lang w:eastAsia="en-AU"/>
        </w:rPr>
        <w:t xml:space="preserve">s the existing Customer Outcomes Reporting Framework that was established as part of the 2018 submission. The framework consists of annual targets and tolerance bands assigned to each output measure that are </w:t>
      </w:r>
      <w:r w:rsidR="00E705EB">
        <w:rPr>
          <w:rFonts w:eastAsia="Times New Roman" w:cs="Arial"/>
          <w:position w:val="-1"/>
          <w:lang w:eastAsia="en-AU"/>
        </w:rPr>
        <w:t>use</w:t>
      </w:r>
      <w:r w:rsidRPr="00B110F3">
        <w:rPr>
          <w:rFonts w:eastAsia="Times New Roman" w:cs="Arial"/>
          <w:position w:val="-1"/>
          <w:lang w:eastAsia="en-AU"/>
        </w:rPr>
        <w:t>d to assess performance individually, as well as collectively at the overall customer outcome level. </w:t>
      </w:r>
      <w:r w:rsidRPr="00B110F3">
        <w:rPr>
          <w:rFonts w:eastAsia="Times New Roman" w:cs="Arial"/>
          <w:lang w:val="en-US" w:eastAsia="en-AU"/>
        </w:rPr>
        <w:t>​</w:t>
      </w:r>
    </w:p>
    <w:p w14:paraId="672FD909" w14:textId="3530B030" w:rsidR="00543BE1" w:rsidRPr="00B110F3" w:rsidRDefault="00543BE1" w:rsidP="00D65B10">
      <w:pPr>
        <w:pStyle w:val="ListParagraph"/>
        <w:spacing w:after="0"/>
        <w:ind w:left="720"/>
        <w:textAlignment w:val="baseline"/>
        <w:rPr>
          <w:rFonts w:ascii="Segoe UI" w:eastAsia="Times New Roman" w:hAnsi="Segoe UI" w:cs="Segoe UI"/>
          <w:lang w:eastAsia="en-AU"/>
        </w:rPr>
      </w:pPr>
    </w:p>
    <w:p w14:paraId="31A616A5" w14:textId="4093CD77" w:rsidR="00543BE1" w:rsidRDefault="00543BE1" w:rsidP="00F06D36">
      <w:pPr>
        <w:spacing w:after="0"/>
        <w:textAlignment w:val="baseline"/>
        <w:rPr>
          <w:rFonts w:eastAsia="Times New Roman" w:cs="Arial"/>
          <w:position w:val="-1"/>
          <w:lang w:eastAsia="en-AU"/>
        </w:rPr>
      </w:pPr>
      <w:r w:rsidRPr="00D65B10">
        <w:rPr>
          <w:rFonts w:eastAsia="Times New Roman" w:cs="Arial"/>
          <w:position w:val="-1"/>
          <w:lang w:eastAsia="en-AU"/>
        </w:rPr>
        <w:t>Each output measure was assessed for performance during the 2021</w:t>
      </w:r>
      <w:r w:rsidR="00F243DC">
        <w:rPr>
          <w:rFonts w:eastAsia="Times New Roman" w:cs="Arial"/>
          <w:position w:val="-1"/>
          <w:lang w:eastAsia="en-AU"/>
        </w:rPr>
        <w:t>–</w:t>
      </w:r>
      <w:r w:rsidRPr="00D65B10">
        <w:rPr>
          <w:rFonts w:eastAsia="Times New Roman" w:cs="Arial"/>
          <w:position w:val="-1"/>
          <w:lang w:eastAsia="en-AU"/>
        </w:rPr>
        <w:t xml:space="preserve">22 financial year using </w:t>
      </w:r>
      <w:r w:rsidR="006D1822">
        <w:rPr>
          <w:rFonts w:eastAsia="Times New Roman" w:cs="Arial"/>
          <w:position w:val="-1"/>
          <w:lang w:eastAsia="en-AU"/>
        </w:rPr>
        <w:t xml:space="preserve">a </w:t>
      </w:r>
      <w:r w:rsidR="00D65B10">
        <w:rPr>
          <w:rFonts w:eastAsia="Times New Roman" w:cs="Arial"/>
          <w:position w:val="-1"/>
          <w:lang w:eastAsia="en-AU"/>
        </w:rPr>
        <w:t>3</w:t>
      </w:r>
      <w:r w:rsidRPr="00D65B10">
        <w:rPr>
          <w:rFonts w:eastAsia="Times New Roman" w:cs="Arial"/>
          <w:position w:val="-1"/>
          <w:lang w:eastAsia="en-AU"/>
        </w:rPr>
        <w:t>-tiered scoring system</w:t>
      </w:r>
      <w:r w:rsidR="006D1822">
        <w:rPr>
          <w:rFonts w:eastAsia="Times New Roman" w:cs="Arial"/>
          <w:position w:val="-1"/>
          <w:lang w:eastAsia="en-AU"/>
        </w:rPr>
        <w:t>:</w:t>
      </w:r>
      <w:r w:rsidR="00A1315F">
        <w:rPr>
          <w:rFonts w:eastAsia="Times New Roman" w:cs="Arial"/>
          <w:position w:val="-1"/>
          <w:lang w:eastAsia="en-AU"/>
        </w:rPr>
        <w:t xml:space="preserve"> </w:t>
      </w:r>
    </w:p>
    <w:p w14:paraId="049BC96E" w14:textId="77777777" w:rsidR="005155A3" w:rsidRDefault="005155A3" w:rsidP="00D65B10">
      <w:pPr>
        <w:spacing w:after="0"/>
        <w:ind w:left="720" w:hanging="360"/>
        <w:textAlignment w:val="baseline"/>
        <w:rPr>
          <w:rFonts w:eastAsia="Times New Roman" w:cs="Arial"/>
          <w:position w:val="-1"/>
          <w:lang w:eastAsia="en-AU"/>
        </w:rPr>
      </w:pPr>
    </w:p>
    <w:p w14:paraId="25136A3E" w14:textId="013E2CF2" w:rsidR="005155A3" w:rsidRPr="005155A3" w:rsidRDefault="005155A3" w:rsidP="00160380">
      <w:pPr>
        <w:spacing w:after="0"/>
        <w:ind w:left="720"/>
        <w:textAlignment w:val="baseline"/>
        <w:rPr>
          <w:rFonts w:ascii="Segoe UI" w:eastAsia="Times New Roman" w:hAnsi="Segoe UI" w:cs="Segoe UI"/>
          <w:lang w:val="en-US" w:eastAsia="en-AU"/>
        </w:rPr>
      </w:pPr>
      <w:r w:rsidRPr="005155A3">
        <w:rPr>
          <w:rFonts w:eastAsia="Times New Roman" w:cs="Arial"/>
          <w:b/>
          <w:position w:val="-1"/>
          <w:lang w:eastAsia="en-AU"/>
        </w:rPr>
        <w:t>1</w:t>
      </w:r>
      <w:r w:rsidRPr="005155A3">
        <w:rPr>
          <w:rFonts w:eastAsia="Times New Roman" w:cs="Arial"/>
          <w:position w:val="-1"/>
          <w:lang w:eastAsia="en-AU"/>
        </w:rPr>
        <w:t> </w:t>
      </w:r>
      <w:r w:rsidR="00F243DC">
        <w:rPr>
          <w:rFonts w:eastAsia="Times New Roman" w:cs="Arial"/>
          <w:position w:val="-1"/>
          <w:lang w:eastAsia="en-AU"/>
        </w:rPr>
        <w:t>–</w:t>
      </w:r>
      <w:r w:rsidRPr="005155A3">
        <w:rPr>
          <w:rFonts w:eastAsia="Times New Roman" w:cs="Arial"/>
          <w:position w:val="-1"/>
          <w:lang w:eastAsia="en-AU"/>
        </w:rPr>
        <w:t xml:space="preserve"> outside both the target and the tolerance band</w:t>
      </w:r>
    </w:p>
    <w:p w14:paraId="3DDF4A6E" w14:textId="494EE3CE" w:rsidR="005155A3" w:rsidRPr="005155A3" w:rsidRDefault="005155A3" w:rsidP="00160380">
      <w:pPr>
        <w:spacing w:after="0"/>
        <w:ind w:left="720"/>
        <w:textAlignment w:val="baseline"/>
        <w:rPr>
          <w:rFonts w:ascii="Segoe UI" w:eastAsia="Times New Roman" w:hAnsi="Segoe UI" w:cs="Segoe UI"/>
          <w:lang w:val="en-US" w:eastAsia="en-AU"/>
        </w:rPr>
      </w:pPr>
      <w:r w:rsidRPr="005155A3">
        <w:rPr>
          <w:rFonts w:eastAsia="Times New Roman" w:cs="Arial"/>
          <w:lang w:eastAsia="en-AU"/>
        </w:rPr>
        <w:t>​</w:t>
      </w:r>
      <w:r w:rsidRPr="005155A3">
        <w:rPr>
          <w:rFonts w:eastAsia="Times New Roman" w:cs="Arial"/>
          <w:b/>
          <w:position w:val="-1"/>
          <w:lang w:eastAsia="en-AU"/>
        </w:rPr>
        <w:t>2</w:t>
      </w:r>
      <w:r w:rsidRPr="005155A3">
        <w:rPr>
          <w:rFonts w:eastAsia="Times New Roman" w:cs="Arial"/>
          <w:position w:val="-1"/>
          <w:lang w:eastAsia="en-AU"/>
        </w:rPr>
        <w:t> </w:t>
      </w:r>
      <w:r w:rsidR="00F243DC">
        <w:rPr>
          <w:rFonts w:eastAsia="Times New Roman" w:cs="Arial"/>
          <w:position w:val="-1"/>
          <w:lang w:eastAsia="en-AU"/>
        </w:rPr>
        <w:t>–</w:t>
      </w:r>
      <w:r w:rsidRPr="005155A3">
        <w:rPr>
          <w:rFonts w:eastAsia="Times New Roman" w:cs="Arial"/>
          <w:position w:val="-1"/>
          <w:lang w:eastAsia="en-AU"/>
        </w:rPr>
        <w:t xml:space="preserve"> outside the target but within the tolerance band </w:t>
      </w:r>
      <w:r w:rsidRPr="005155A3">
        <w:rPr>
          <w:rFonts w:eastAsia="Times New Roman" w:cs="Arial"/>
          <w:lang w:val="en-US" w:eastAsia="en-AU"/>
        </w:rPr>
        <w:t>​</w:t>
      </w:r>
    </w:p>
    <w:p w14:paraId="734206B2" w14:textId="72862FE6" w:rsidR="005155A3" w:rsidRPr="005155A3" w:rsidRDefault="005155A3" w:rsidP="00160380">
      <w:pPr>
        <w:spacing w:after="0"/>
        <w:ind w:left="720"/>
        <w:textAlignment w:val="baseline"/>
        <w:rPr>
          <w:rFonts w:ascii="Segoe UI" w:eastAsia="Times New Roman" w:hAnsi="Segoe UI" w:cs="Segoe UI"/>
          <w:lang w:val="en-US" w:eastAsia="en-AU"/>
        </w:rPr>
      </w:pPr>
      <w:r w:rsidRPr="005155A3">
        <w:rPr>
          <w:rFonts w:eastAsia="Times New Roman" w:cs="Arial"/>
          <w:lang w:eastAsia="en-AU"/>
        </w:rPr>
        <w:t>​</w:t>
      </w:r>
      <w:r w:rsidRPr="005155A3">
        <w:rPr>
          <w:rFonts w:eastAsia="Times New Roman" w:cs="Arial"/>
          <w:b/>
          <w:position w:val="-1"/>
          <w:lang w:eastAsia="en-AU"/>
        </w:rPr>
        <w:t>3</w:t>
      </w:r>
      <w:r w:rsidRPr="005155A3">
        <w:rPr>
          <w:rFonts w:eastAsia="Times New Roman" w:cs="Arial"/>
          <w:position w:val="-1"/>
          <w:lang w:eastAsia="en-AU"/>
        </w:rPr>
        <w:t> </w:t>
      </w:r>
      <w:r w:rsidR="00F243DC">
        <w:rPr>
          <w:rFonts w:eastAsia="Times New Roman" w:cs="Arial"/>
          <w:position w:val="-1"/>
          <w:lang w:eastAsia="en-AU"/>
        </w:rPr>
        <w:t>–</w:t>
      </w:r>
      <w:r w:rsidRPr="005155A3">
        <w:rPr>
          <w:rFonts w:eastAsia="Times New Roman" w:cs="Arial"/>
          <w:position w:val="-1"/>
          <w:lang w:eastAsia="en-AU"/>
        </w:rPr>
        <w:t xml:space="preserve"> within the target.</w:t>
      </w:r>
    </w:p>
    <w:p w14:paraId="652D7E6A" w14:textId="77777777" w:rsidR="005155A3" w:rsidRPr="00D65B10" w:rsidRDefault="005155A3" w:rsidP="00D65B10">
      <w:pPr>
        <w:spacing w:after="0"/>
        <w:ind w:left="720" w:hanging="360"/>
        <w:textAlignment w:val="baseline"/>
        <w:rPr>
          <w:rFonts w:ascii="Segoe UI" w:eastAsia="Times New Roman" w:hAnsi="Segoe UI" w:cs="Segoe UI"/>
          <w:lang w:val="en-US" w:eastAsia="en-AU"/>
        </w:rPr>
      </w:pPr>
    </w:p>
    <w:p w14:paraId="515153DE" w14:textId="310B173C" w:rsidR="00F06D36" w:rsidRDefault="00F06D36" w:rsidP="00F06D36">
      <w:pPr>
        <w:spacing w:after="0"/>
        <w:textAlignment w:val="baseline"/>
        <w:rPr>
          <w:rFonts w:eastAsia="Times New Roman" w:cs="Arial"/>
          <w:position w:val="-1"/>
          <w:lang w:eastAsia="en-AU"/>
        </w:rPr>
      </w:pPr>
      <w:r>
        <w:rPr>
          <w:rFonts w:eastAsia="Times New Roman" w:cs="Arial"/>
          <w:position w:val="-1"/>
          <w:lang w:eastAsia="en-AU"/>
        </w:rPr>
        <w:t xml:space="preserve">The element is individually rated 3.5 out of 4: </w:t>
      </w:r>
      <w:r w:rsidRPr="00155498">
        <w:rPr>
          <w:rFonts w:eastAsia="Times New Roman" w:cs="Arial"/>
          <w:b/>
          <w:bCs/>
          <w:position w:val="-1"/>
          <w:lang w:eastAsia="en-AU"/>
        </w:rPr>
        <w:t xml:space="preserve">Very confident the element is </w:t>
      </w:r>
      <w:r w:rsidRPr="00155498">
        <w:rPr>
          <w:rFonts w:eastAsia="Times New Roman" w:cs="Arial"/>
          <w:b/>
          <w:bCs/>
          <w:i/>
          <w:iCs/>
          <w:position w:val="-1"/>
          <w:lang w:eastAsia="en-AU"/>
        </w:rPr>
        <w:t>‘</w:t>
      </w:r>
      <w:r>
        <w:rPr>
          <w:rFonts w:eastAsia="Times New Roman" w:cs="Arial"/>
          <w:b/>
          <w:bCs/>
          <w:i/>
          <w:iCs/>
          <w:position w:val="-1"/>
          <w:lang w:eastAsia="en-AU"/>
        </w:rPr>
        <w:t>Advanced’</w:t>
      </w:r>
      <w:r w:rsidR="004F0714">
        <w:rPr>
          <w:rFonts w:eastAsia="Times New Roman" w:cs="Arial"/>
          <w:b/>
          <w:bCs/>
          <w:position w:val="-1"/>
          <w:lang w:eastAsia="en-AU"/>
        </w:rPr>
        <w:t>.</w:t>
      </w:r>
    </w:p>
    <w:p w14:paraId="70218752" w14:textId="77777777" w:rsidR="00F06D36" w:rsidRPr="00225B64" w:rsidRDefault="00F06D36" w:rsidP="00543BE1">
      <w:pPr>
        <w:pStyle w:val="BodyText"/>
        <w:rPr>
          <w:rStyle w:val="normaltextrun"/>
          <w:rFonts w:cs="Arial"/>
          <w:color w:val="0075E3"/>
          <w:position w:val="-1"/>
          <w:shd w:val="clear" w:color="auto" w:fill="EDEBE9"/>
        </w:rPr>
      </w:pPr>
    </w:p>
    <w:p w14:paraId="5A38E00F" w14:textId="516CFBE7" w:rsidR="00B34174" w:rsidRDefault="00B34174" w:rsidP="002819EA">
      <w:pPr>
        <w:textAlignment w:val="baseline"/>
        <w:rPr>
          <w:b/>
          <w:bCs/>
          <w:i/>
          <w:iCs/>
          <w:sz w:val="22"/>
          <w:szCs w:val="22"/>
        </w:rPr>
      </w:pPr>
      <w:r w:rsidRPr="00CE6C4E">
        <w:rPr>
          <w:b/>
          <w:bCs/>
          <w:i/>
          <w:iCs/>
          <w:sz w:val="22"/>
          <w:szCs w:val="22"/>
        </w:rPr>
        <w:t>Table</w:t>
      </w:r>
      <w:r w:rsidR="00BF2D39">
        <w:rPr>
          <w:b/>
          <w:bCs/>
          <w:i/>
          <w:iCs/>
          <w:sz w:val="22"/>
          <w:szCs w:val="22"/>
        </w:rPr>
        <w:t xml:space="preserve"> 75</w:t>
      </w:r>
      <w:r w:rsidRPr="00CE6C4E">
        <w:rPr>
          <w:b/>
          <w:bCs/>
          <w:i/>
          <w:iCs/>
          <w:sz w:val="22"/>
          <w:szCs w:val="22"/>
        </w:rPr>
        <w:t xml:space="preserve">: </w:t>
      </w:r>
      <w:r>
        <w:rPr>
          <w:b/>
          <w:bCs/>
          <w:i/>
          <w:iCs/>
          <w:sz w:val="22"/>
          <w:szCs w:val="22"/>
        </w:rPr>
        <w:t xml:space="preserve">Customer </w:t>
      </w:r>
      <w:r w:rsidR="001412B5">
        <w:rPr>
          <w:b/>
          <w:bCs/>
          <w:i/>
          <w:iCs/>
          <w:sz w:val="22"/>
          <w:szCs w:val="22"/>
        </w:rPr>
        <w:t>outcomes performance</w:t>
      </w:r>
    </w:p>
    <w:tbl>
      <w:tblPr>
        <w:tblW w:w="4963" w:type="pct"/>
        <w:tblBorders>
          <w:top w:val="single" w:sz="4" w:space="0" w:color="002279"/>
          <w:left w:val="single" w:sz="4" w:space="0" w:color="002279"/>
          <w:bottom w:val="single" w:sz="4" w:space="0" w:color="002279"/>
          <w:right w:val="single" w:sz="4" w:space="0" w:color="002279"/>
          <w:insideH w:val="single" w:sz="4" w:space="0" w:color="002279"/>
          <w:insideV w:val="single" w:sz="4" w:space="0" w:color="002279"/>
        </w:tblBorders>
        <w:tblLook w:val="04A0" w:firstRow="1" w:lastRow="0" w:firstColumn="1" w:lastColumn="0" w:noHBand="0" w:noVBand="1"/>
      </w:tblPr>
      <w:tblGrid>
        <w:gridCol w:w="9493"/>
        <w:gridCol w:w="1028"/>
        <w:gridCol w:w="1087"/>
        <w:gridCol w:w="1086"/>
        <w:gridCol w:w="1151"/>
      </w:tblGrid>
      <w:tr w:rsidR="009F391A" w:rsidRPr="001C4772" w14:paraId="58DBBF6F" w14:textId="77777777" w:rsidTr="00A35FEB">
        <w:trPr>
          <w:trHeight w:val="529"/>
        </w:trPr>
        <w:tc>
          <w:tcPr>
            <w:tcW w:w="9493" w:type="dxa"/>
            <w:tcBorders>
              <w:bottom w:val="single" w:sz="4" w:space="0" w:color="002279"/>
              <w:right w:val="single" w:sz="4" w:space="0" w:color="FFFFFF" w:themeColor="background1"/>
            </w:tcBorders>
            <w:shd w:val="clear" w:color="auto" w:fill="002279"/>
            <w:vAlign w:val="center"/>
            <w:hideMark/>
          </w:tcPr>
          <w:p w14:paraId="4EED6CF5" w14:textId="55A0BDF8" w:rsidR="009F391A" w:rsidRPr="001C4772" w:rsidRDefault="00680017" w:rsidP="001C4772">
            <w:pPr>
              <w:spacing w:after="0"/>
              <w:rPr>
                <w:rFonts w:asciiTheme="minorHAnsi" w:eastAsia="Times New Roman" w:hAnsiTheme="minorHAnsi" w:cstheme="minorHAnsi"/>
                <w:b/>
                <w:color w:val="FFFFFF" w:themeColor="background1"/>
                <w:sz w:val="20"/>
                <w:szCs w:val="20"/>
                <w:lang w:eastAsia="en-AU"/>
              </w:rPr>
            </w:pPr>
            <w:r w:rsidRPr="001C4772">
              <w:rPr>
                <w:rFonts w:asciiTheme="minorHAnsi" w:eastAsia="Times New Roman" w:hAnsiTheme="minorHAnsi" w:cstheme="minorHAnsi"/>
                <w:b/>
                <w:bCs/>
                <w:color w:val="FFFFFF" w:themeColor="background1"/>
                <w:sz w:val="20"/>
                <w:szCs w:val="20"/>
                <w:lang w:eastAsia="en-AU"/>
              </w:rPr>
              <w:t>Measure</w:t>
            </w:r>
          </w:p>
        </w:tc>
        <w:tc>
          <w:tcPr>
            <w:tcW w:w="1028" w:type="dxa"/>
            <w:tcBorders>
              <w:left w:val="single" w:sz="4" w:space="0" w:color="FFFFFF" w:themeColor="background1"/>
              <w:bottom w:val="single" w:sz="4" w:space="0" w:color="002279"/>
              <w:right w:val="single" w:sz="4" w:space="0" w:color="FFFFFF" w:themeColor="background1"/>
            </w:tcBorders>
            <w:shd w:val="clear" w:color="auto" w:fill="002279"/>
            <w:vAlign w:val="center"/>
            <w:hideMark/>
          </w:tcPr>
          <w:p w14:paraId="2F2E755E" w14:textId="77777777" w:rsidR="009F391A" w:rsidRPr="001C4772" w:rsidRDefault="009F391A" w:rsidP="00A35FEB">
            <w:pPr>
              <w:spacing w:after="0"/>
              <w:ind w:left="-102"/>
              <w:jc w:val="center"/>
              <w:rPr>
                <w:rFonts w:asciiTheme="minorHAnsi" w:eastAsia="Times New Roman" w:hAnsiTheme="minorHAnsi" w:cstheme="minorHAnsi"/>
                <w:b/>
                <w:color w:val="FFFFFF" w:themeColor="background1"/>
                <w:sz w:val="20"/>
                <w:szCs w:val="20"/>
                <w:lang w:eastAsia="en-AU"/>
              </w:rPr>
            </w:pPr>
            <w:r w:rsidRPr="001C4772">
              <w:rPr>
                <w:rFonts w:asciiTheme="minorHAnsi" w:eastAsia="Times New Roman" w:hAnsiTheme="minorHAnsi" w:cstheme="minorHAnsi"/>
                <w:b/>
                <w:color w:val="FFFFFF" w:themeColor="background1"/>
                <w:sz w:val="20"/>
                <w:szCs w:val="20"/>
                <w:lang w:eastAsia="en-AU"/>
              </w:rPr>
              <w:t>Target</w:t>
            </w:r>
          </w:p>
        </w:tc>
        <w:tc>
          <w:tcPr>
            <w:tcW w:w="1087" w:type="dxa"/>
            <w:tcBorders>
              <w:left w:val="single" w:sz="4" w:space="0" w:color="FFFFFF" w:themeColor="background1"/>
              <w:bottom w:val="single" w:sz="4" w:space="0" w:color="002279"/>
              <w:right w:val="single" w:sz="4" w:space="0" w:color="FFFFFF" w:themeColor="background1"/>
            </w:tcBorders>
            <w:shd w:val="clear" w:color="auto" w:fill="002279"/>
            <w:vAlign w:val="center"/>
            <w:hideMark/>
          </w:tcPr>
          <w:p w14:paraId="24597389" w14:textId="77777777" w:rsidR="009F391A" w:rsidRPr="001C4772" w:rsidRDefault="009F391A" w:rsidP="00A35FEB">
            <w:pPr>
              <w:spacing w:after="0"/>
              <w:jc w:val="center"/>
              <w:rPr>
                <w:rFonts w:asciiTheme="minorHAnsi" w:eastAsia="Times New Roman" w:hAnsiTheme="minorHAnsi" w:cstheme="minorHAnsi"/>
                <w:b/>
                <w:color w:val="FFFFFF" w:themeColor="background1"/>
                <w:sz w:val="20"/>
                <w:szCs w:val="20"/>
                <w:lang w:eastAsia="en-AU"/>
              </w:rPr>
            </w:pPr>
            <w:r w:rsidRPr="001C4772">
              <w:rPr>
                <w:rFonts w:asciiTheme="minorHAnsi" w:eastAsia="Times New Roman" w:hAnsiTheme="minorHAnsi" w:cstheme="minorHAnsi"/>
                <w:b/>
                <w:color w:val="FFFFFF" w:themeColor="background1"/>
                <w:sz w:val="20"/>
                <w:szCs w:val="20"/>
                <w:lang w:eastAsia="en-AU"/>
              </w:rPr>
              <w:t>T 'Band</w:t>
            </w:r>
          </w:p>
        </w:tc>
        <w:tc>
          <w:tcPr>
            <w:tcW w:w="1086" w:type="dxa"/>
            <w:tcBorders>
              <w:left w:val="single" w:sz="4" w:space="0" w:color="FFFFFF" w:themeColor="background1"/>
              <w:bottom w:val="single" w:sz="4" w:space="0" w:color="002279"/>
              <w:right w:val="single" w:sz="4" w:space="0" w:color="FFFFFF" w:themeColor="background1"/>
            </w:tcBorders>
            <w:shd w:val="clear" w:color="auto" w:fill="002279"/>
            <w:vAlign w:val="center"/>
            <w:hideMark/>
          </w:tcPr>
          <w:p w14:paraId="16B22730" w14:textId="77777777" w:rsidR="009F391A" w:rsidRPr="001C4772" w:rsidRDefault="009F391A" w:rsidP="00A35FEB">
            <w:pPr>
              <w:spacing w:after="0"/>
              <w:jc w:val="center"/>
              <w:rPr>
                <w:rFonts w:asciiTheme="minorHAnsi" w:eastAsia="Times New Roman" w:hAnsiTheme="minorHAnsi" w:cstheme="minorHAnsi"/>
                <w:b/>
                <w:color w:val="FFFFFF" w:themeColor="background1"/>
                <w:sz w:val="20"/>
                <w:szCs w:val="20"/>
                <w:lang w:eastAsia="en-AU"/>
              </w:rPr>
            </w:pPr>
            <w:r w:rsidRPr="001C4772">
              <w:rPr>
                <w:rFonts w:asciiTheme="minorHAnsi" w:eastAsia="Times New Roman" w:hAnsiTheme="minorHAnsi" w:cstheme="minorHAnsi"/>
                <w:b/>
                <w:color w:val="FFFFFF" w:themeColor="background1"/>
                <w:sz w:val="20"/>
                <w:szCs w:val="20"/>
                <w:lang w:eastAsia="en-AU"/>
              </w:rPr>
              <w:t>Result</w:t>
            </w:r>
          </w:p>
        </w:tc>
        <w:tc>
          <w:tcPr>
            <w:tcW w:w="1151" w:type="dxa"/>
            <w:tcBorders>
              <w:left w:val="single" w:sz="4" w:space="0" w:color="FFFFFF" w:themeColor="background1"/>
              <w:bottom w:val="single" w:sz="4" w:space="0" w:color="002279"/>
            </w:tcBorders>
            <w:shd w:val="clear" w:color="auto" w:fill="002279"/>
            <w:noWrap/>
            <w:vAlign w:val="center"/>
            <w:hideMark/>
          </w:tcPr>
          <w:p w14:paraId="4B961CCD" w14:textId="77777777" w:rsidR="009F391A" w:rsidRPr="001C4772" w:rsidRDefault="009F391A" w:rsidP="00A35FEB">
            <w:pPr>
              <w:spacing w:after="0"/>
              <w:jc w:val="center"/>
              <w:rPr>
                <w:rFonts w:asciiTheme="minorHAnsi" w:eastAsia="Times New Roman" w:hAnsiTheme="minorHAnsi" w:cstheme="minorHAnsi"/>
                <w:b/>
                <w:color w:val="FFFFFF" w:themeColor="background1"/>
                <w:sz w:val="20"/>
                <w:szCs w:val="20"/>
                <w:lang w:eastAsia="en-AU"/>
              </w:rPr>
            </w:pPr>
            <w:r w:rsidRPr="001C4772">
              <w:rPr>
                <w:rFonts w:asciiTheme="minorHAnsi" w:eastAsia="Times New Roman" w:hAnsiTheme="minorHAnsi" w:cstheme="minorHAnsi"/>
                <w:b/>
                <w:color w:val="FFFFFF" w:themeColor="background1"/>
                <w:sz w:val="20"/>
                <w:szCs w:val="20"/>
                <w:lang w:eastAsia="en-AU"/>
              </w:rPr>
              <w:t>Score</w:t>
            </w:r>
          </w:p>
        </w:tc>
      </w:tr>
      <w:tr w:rsidR="0034037B" w:rsidRPr="001C4772" w14:paraId="6B478C0C" w14:textId="77777777" w:rsidTr="00A35FEB">
        <w:trPr>
          <w:trHeight w:val="369"/>
        </w:trPr>
        <w:tc>
          <w:tcPr>
            <w:tcW w:w="13845" w:type="dxa"/>
            <w:gridSpan w:val="5"/>
            <w:shd w:val="clear" w:color="auto" w:fill="D4D6DF"/>
            <w:vAlign w:val="center"/>
          </w:tcPr>
          <w:p w14:paraId="5C740DF0" w14:textId="1650A4EF" w:rsidR="0034037B" w:rsidRPr="0034037B" w:rsidRDefault="0034037B" w:rsidP="0034037B">
            <w:pPr>
              <w:spacing w:after="0"/>
              <w:rPr>
                <w:rFonts w:asciiTheme="minorHAnsi" w:eastAsia="Times New Roman" w:hAnsiTheme="minorHAnsi" w:cstheme="minorHAnsi"/>
                <w:b/>
                <w:bCs/>
                <w:color w:val="000000"/>
                <w:sz w:val="20"/>
                <w:szCs w:val="20"/>
                <w:lang w:eastAsia="en-AU"/>
              </w:rPr>
            </w:pPr>
            <w:r w:rsidRPr="001C4772">
              <w:rPr>
                <w:rFonts w:asciiTheme="minorHAnsi" w:eastAsia="Times New Roman" w:hAnsiTheme="minorHAnsi" w:cstheme="minorHAnsi"/>
                <w:b/>
                <w:bCs/>
                <w:color w:val="000000"/>
                <w:sz w:val="20"/>
                <w:szCs w:val="20"/>
                <w:lang w:eastAsia="en-AU"/>
              </w:rPr>
              <w:t>Get the basics right, always</w:t>
            </w:r>
          </w:p>
        </w:tc>
      </w:tr>
      <w:tr w:rsidR="009F391A" w:rsidRPr="001C4772" w14:paraId="6F535885" w14:textId="77777777" w:rsidTr="00A35FEB">
        <w:trPr>
          <w:trHeight w:val="369"/>
        </w:trPr>
        <w:tc>
          <w:tcPr>
            <w:tcW w:w="9493" w:type="dxa"/>
            <w:shd w:val="clear" w:color="auto" w:fill="auto"/>
            <w:vAlign w:val="center"/>
            <w:hideMark/>
          </w:tcPr>
          <w:p w14:paraId="59AE3E0C" w14:textId="77777777" w:rsidR="009F391A" w:rsidRPr="001C4772" w:rsidRDefault="009F391A" w:rsidP="006C2FD8">
            <w:pPr>
              <w:spacing w:after="0"/>
              <w:rPr>
                <w:rFonts w:asciiTheme="minorHAnsi" w:eastAsia="Times New Roman" w:hAnsiTheme="minorHAnsi" w:cstheme="minorHAnsi"/>
                <w:sz w:val="20"/>
                <w:szCs w:val="20"/>
                <w:lang w:eastAsia="en-AU"/>
              </w:rPr>
            </w:pPr>
            <w:r w:rsidRPr="001C4772">
              <w:rPr>
                <w:rFonts w:asciiTheme="minorHAnsi" w:eastAsia="Times New Roman" w:hAnsiTheme="minorHAnsi" w:cstheme="minorHAnsi"/>
                <w:sz w:val="20"/>
                <w:szCs w:val="20"/>
                <w:lang w:eastAsia="en-AU"/>
              </w:rPr>
              <w:t>Number of Safe Drinking Water Regulations non-compliance incidents (water sampling and audits)</w:t>
            </w:r>
          </w:p>
        </w:tc>
        <w:tc>
          <w:tcPr>
            <w:tcW w:w="1028" w:type="dxa"/>
            <w:shd w:val="clear" w:color="auto" w:fill="auto"/>
            <w:vAlign w:val="center"/>
            <w:hideMark/>
          </w:tcPr>
          <w:p w14:paraId="21C629A6" w14:textId="77777777" w:rsidR="009F391A" w:rsidRPr="001C4772" w:rsidRDefault="009F391A" w:rsidP="00A35FEB">
            <w:pPr>
              <w:spacing w:after="0"/>
              <w:ind w:left="-244" w:firstLineChars="100" w:firstLine="200"/>
              <w:jc w:val="center"/>
              <w:rPr>
                <w:rFonts w:asciiTheme="minorHAnsi" w:eastAsia="Times New Roman" w:hAnsiTheme="minorHAnsi" w:cstheme="minorHAnsi"/>
                <w:sz w:val="20"/>
                <w:szCs w:val="20"/>
                <w:lang w:eastAsia="en-AU"/>
              </w:rPr>
            </w:pPr>
            <w:r w:rsidRPr="001C4772">
              <w:rPr>
                <w:rFonts w:asciiTheme="minorHAnsi" w:eastAsia="Times New Roman" w:hAnsiTheme="minorHAnsi" w:cstheme="minorHAnsi"/>
                <w:sz w:val="20"/>
                <w:szCs w:val="20"/>
                <w:lang w:eastAsia="en-AU"/>
              </w:rPr>
              <w:t>0</w:t>
            </w:r>
          </w:p>
        </w:tc>
        <w:tc>
          <w:tcPr>
            <w:tcW w:w="1087" w:type="dxa"/>
            <w:shd w:val="clear" w:color="auto" w:fill="auto"/>
            <w:vAlign w:val="center"/>
            <w:hideMark/>
          </w:tcPr>
          <w:p w14:paraId="4A388AD6" w14:textId="77777777" w:rsidR="009F391A" w:rsidRPr="001C4772" w:rsidRDefault="009F391A" w:rsidP="00A35FEB">
            <w:pPr>
              <w:spacing w:after="0"/>
              <w:ind w:left="-283" w:firstLineChars="100" w:firstLine="200"/>
              <w:jc w:val="center"/>
              <w:rPr>
                <w:rFonts w:asciiTheme="minorHAnsi" w:eastAsia="Times New Roman" w:hAnsiTheme="minorHAnsi" w:cstheme="minorHAnsi"/>
                <w:sz w:val="20"/>
                <w:szCs w:val="20"/>
                <w:lang w:eastAsia="en-AU"/>
              </w:rPr>
            </w:pPr>
            <w:r w:rsidRPr="001C4772">
              <w:rPr>
                <w:rFonts w:asciiTheme="minorHAnsi" w:eastAsia="Times New Roman" w:hAnsiTheme="minorHAnsi" w:cstheme="minorHAnsi"/>
                <w:sz w:val="20"/>
                <w:szCs w:val="20"/>
                <w:lang w:eastAsia="en-AU"/>
              </w:rPr>
              <w:t>5</w:t>
            </w:r>
          </w:p>
        </w:tc>
        <w:tc>
          <w:tcPr>
            <w:tcW w:w="1086" w:type="dxa"/>
            <w:shd w:val="clear" w:color="auto" w:fill="auto"/>
            <w:vAlign w:val="center"/>
            <w:hideMark/>
          </w:tcPr>
          <w:p w14:paraId="76332328" w14:textId="77777777" w:rsidR="009F391A" w:rsidRPr="001C4772" w:rsidRDefault="009F391A" w:rsidP="00A35FEB">
            <w:pPr>
              <w:spacing w:after="0"/>
              <w:ind w:left="-283" w:firstLineChars="100" w:firstLine="200"/>
              <w:jc w:val="center"/>
              <w:rPr>
                <w:rFonts w:asciiTheme="minorHAnsi" w:eastAsia="Times New Roman" w:hAnsiTheme="minorHAnsi" w:cstheme="minorHAnsi"/>
                <w:sz w:val="20"/>
                <w:szCs w:val="20"/>
                <w:lang w:eastAsia="en-AU"/>
              </w:rPr>
            </w:pPr>
            <w:r w:rsidRPr="001C4772">
              <w:rPr>
                <w:rFonts w:asciiTheme="minorHAnsi" w:eastAsia="Times New Roman" w:hAnsiTheme="minorHAnsi" w:cstheme="minorHAnsi"/>
                <w:sz w:val="20"/>
                <w:szCs w:val="20"/>
                <w:lang w:eastAsia="en-AU"/>
              </w:rPr>
              <w:t>0</w:t>
            </w:r>
          </w:p>
        </w:tc>
        <w:tc>
          <w:tcPr>
            <w:tcW w:w="1151" w:type="dxa"/>
            <w:shd w:val="clear" w:color="auto" w:fill="auto"/>
            <w:vAlign w:val="center"/>
            <w:hideMark/>
          </w:tcPr>
          <w:p w14:paraId="22D8B98F" w14:textId="77777777" w:rsidR="009F391A" w:rsidRPr="001C4772" w:rsidRDefault="009F391A" w:rsidP="00A35FEB">
            <w:pPr>
              <w:spacing w:after="0"/>
              <w:ind w:left="-472" w:firstLine="483"/>
              <w:jc w:val="center"/>
              <w:rPr>
                <w:rFonts w:asciiTheme="minorHAnsi" w:eastAsia="Times New Roman" w:hAnsiTheme="minorHAnsi" w:cstheme="minorHAnsi"/>
                <w:color w:val="000000"/>
                <w:sz w:val="20"/>
                <w:szCs w:val="20"/>
                <w:lang w:eastAsia="en-AU"/>
              </w:rPr>
            </w:pPr>
            <w:r w:rsidRPr="001C4772">
              <w:rPr>
                <w:rFonts w:asciiTheme="minorHAnsi" w:eastAsia="Times New Roman" w:hAnsiTheme="minorHAnsi" w:cstheme="minorHAnsi"/>
                <w:color w:val="000000"/>
                <w:sz w:val="20"/>
                <w:szCs w:val="20"/>
                <w:lang w:eastAsia="en-AU"/>
              </w:rPr>
              <w:t>3</w:t>
            </w:r>
          </w:p>
        </w:tc>
      </w:tr>
      <w:tr w:rsidR="009F391A" w:rsidRPr="001C4772" w14:paraId="0EA1E37C" w14:textId="77777777" w:rsidTr="00A35FEB">
        <w:trPr>
          <w:trHeight w:val="369"/>
        </w:trPr>
        <w:tc>
          <w:tcPr>
            <w:tcW w:w="9493" w:type="dxa"/>
            <w:shd w:val="clear" w:color="auto" w:fill="auto"/>
            <w:vAlign w:val="center"/>
            <w:hideMark/>
          </w:tcPr>
          <w:p w14:paraId="7118768B" w14:textId="77777777" w:rsidR="009F391A" w:rsidRPr="001C4772" w:rsidRDefault="009F391A" w:rsidP="006C2FD8">
            <w:pPr>
              <w:spacing w:after="0"/>
              <w:rPr>
                <w:rFonts w:asciiTheme="minorHAnsi" w:eastAsia="Times New Roman" w:hAnsiTheme="minorHAnsi" w:cstheme="minorHAnsi"/>
                <w:sz w:val="20"/>
                <w:szCs w:val="20"/>
                <w:lang w:eastAsia="en-AU"/>
              </w:rPr>
            </w:pPr>
            <w:r w:rsidRPr="001C4772">
              <w:rPr>
                <w:rFonts w:asciiTheme="minorHAnsi" w:eastAsia="Times New Roman" w:hAnsiTheme="minorHAnsi" w:cstheme="minorHAnsi"/>
                <w:sz w:val="20"/>
                <w:szCs w:val="20"/>
                <w:lang w:eastAsia="en-AU"/>
              </w:rPr>
              <w:t>Number of water quality complaints per 100 customers</w:t>
            </w:r>
          </w:p>
        </w:tc>
        <w:tc>
          <w:tcPr>
            <w:tcW w:w="1028" w:type="dxa"/>
            <w:shd w:val="clear" w:color="auto" w:fill="auto"/>
            <w:vAlign w:val="center"/>
            <w:hideMark/>
          </w:tcPr>
          <w:p w14:paraId="78E9760B" w14:textId="77777777" w:rsidR="009F391A" w:rsidRPr="001C4772" w:rsidRDefault="009F391A" w:rsidP="00A35FEB">
            <w:pPr>
              <w:spacing w:after="0"/>
              <w:ind w:left="-244" w:firstLineChars="100" w:firstLine="200"/>
              <w:jc w:val="center"/>
              <w:rPr>
                <w:rFonts w:asciiTheme="minorHAnsi" w:eastAsia="Times New Roman" w:hAnsiTheme="minorHAnsi" w:cstheme="minorHAnsi"/>
                <w:sz w:val="20"/>
                <w:szCs w:val="20"/>
                <w:lang w:eastAsia="en-AU"/>
              </w:rPr>
            </w:pPr>
            <w:r w:rsidRPr="001C4772">
              <w:rPr>
                <w:rFonts w:asciiTheme="minorHAnsi" w:eastAsia="Times New Roman" w:hAnsiTheme="minorHAnsi" w:cstheme="minorHAnsi"/>
                <w:sz w:val="20"/>
                <w:szCs w:val="20"/>
                <w:lang w:eastAsia="en-AU"/>
              </w:rPr>
              <w:t>0.18</w:t>
            </w:r>
          </w:p>
        </w:tc>
        <w:tc>
          <w:tcPr>
            <w:tcW w:w="1087" w:type="dxa"/>
            <w:shd w:val="clear" w:color="auto" w:fill="auto"/>
            <w:vAlign w:val="center"/>
            <w:hideMark/>
          </w:tcPr>
          <w:p w14:paraId="2F627EA8" w14:textId="77777777" w:rsidR="009F391A" w:rsidRPr="001C4772" w:rsidRDefault="009F391A" w:rsidP="00A35FEB">
            <w:pPr>
              <w:spacing w:after="0"/>
              <w:ind w:left="-283" w:firstLineChars="100" w:firstLine="200"/>
              <w:jc w:val="center"/>
              <w:rPr>
                <w:rFonts w:asciiTheme="minorHAnsi" w:eastAsia="Times New Roman" w:hAnsiTheme="minorHAnsi" w:cstheme="minorHAnsi"/>
                <w:sz w:val="20"/>
                <w:szCs w:val="20"/>
                <w:lang w:eastAsia="en-AU"/>
              </w:rPr>
            </w:pPr>
            <w:r w:rsidRPr="001C4772">
              <w:rPr>
                <w:rFonts w:asciiTheme="minorHAnsi" w:eastAsia="Times New Roman" w:hAnsiTheme="minorHAnsi" w:cstheme="minorHAnsi"/>
                <w:sz w:val="20"/>
                <w:szCs w:val="20"/>
                <w:lang w:eastAsia="en-AU"/>
              </w:rPr>
              <w:t>0.20</w:t>
            </w:r>
          </w:p>
        </w:tc>
        <w:tc>
          <w:tcPr>
            <w:tcW w:w="1086" w:type="dxa"/>
            <w:shd w:val="clear" w:color="auto" w:fill="auto"/>
            <w:vAlign w:val="center"/>
            <w:hideMark/>
          </w:tcPr>
          <w:p w14:paraId="70A1B3D7" w14:textId="77777777" w:rsidR="009F391A" w:rsidRPr="001C4772" w:rsidRDefault="009F391A" w:rsidP="00A35FEB">
            <w:pPr>
              <w:spacing w:after="0"/>
              <w:ind w:left="-283" w:firstLineChars="100" w:firstLine="200"/>
              <w:jc w:val="center"/>
              <w:rPr>
                <w:rFonts w:asciiTheme="minorHAnsi" w:eastAsia="Times New Roman" w:hAnsiTheme="minorHAnsi" w:cstheme="minorHAnsi"/>
                <w:sz w:val="20"/>
                <w:szCs w:val="20"/>
                <w:lang w:eastAsia="en-AU"/>
              </w:rPr>
            </w:pPr>
            <w:r w:rsidRPr="001C4772">
              <w:rPr>
                <w:rFonts w:asciiTheme="minorHAnsi" w:eastAsia="Times New Roman" w:hAnsiTheme="minorHAnsi" w:cstheme="minorHAnsi"/>
                <w:sz w:val="20"/>
                <w:szCs w:val="20"/>
                <w:lang w:eastAsia="en-AU"/>
              </w:rPr>
              <w:t>0.12</w:t>
            </w:r>
          </w:p>
        </w:tc>
        <w:tc>
          <w:tcPr>
            <w:tcW w:w="1151" w:type="dxa"/>
            <w:shd w:val="clear" w:color="auto" w:fill="auto"/>
            <w:vAlign w:val="center"/>
            <w:hideMark/>
          </w:tcPr>
          <w:p w14:paraId="067D43E2" w14:textId="77777777" w:rsidR="009F391A" w:rsidRPr="001C4772" w:rsidRDefault="009F391A" w:rsidP="00A35FEB">
            <w:pPr>
              <w:spacing w:after="0"/>
              <w:ind w:left="-472" w:firstLine="483"/>
              <w:jc w:val="center"/>
              <w:rPr>
                <w:rFonts w:asciiTheme="minorHAnsi" w:eastAsia="Times New Roman" w:hAnsiTheme="minorHAnsi" w:cstheme="minorHAnsi"/>
                <w:color w:val="000000"/>
                <w:sz w:val="20"/>
                <w:szCs w:val="20"/>
                <w:lang w:eastAsia="en-AU"/>
              </w:rPr>
            </w:pPr>
            <w:r w:rsidRPr="001C4772">
              <w:rPr>
                <w:rFonts w:asciiTheme="minorHAnsi" w:eastAsia="Times New Roman" w:hAnsiTheme="minorHAnsi" w:cstheme="minorHAnsi"/>
                <w:color w:val="000000"/>
                <w:sz w:val="20"/>
                <w:szCs w:val="20"/>
                <w:lang w:eastAsia="en-AU"/>
              </w:rPr>
              <w:t>3</w:t>
            </w:r>
          </w:p>
        </w:tc>
      </w:tr>
      <w:tr w:rsidR="009F391A" w:rsidRPr="001C4772" w14:paraId="4D30F433" w14:textId="77777777" w:rsidTr="00A35FEB">
        <w:trPr>
          <w:trHeight w:val="369"/>
        </w:trPr>
        <w:tc>
          <w:tcPr>
            <w:tcW w:w="9493" w:type="dxa"/>
            <w:shd w:val="clear" w:color="auto" w:fill="auto"/>
            <w:vAlign w:val="center"/>
            <w:hideMark/>
          </w:tcPr>
          <w:p w14:paraId="7B614C82" w14:textId="77777777" w:rsidR="009F391A" w:rsidRPr="001C4772" w:rsidRDefault="009F391A" w:rsidP="006C2FD8">
            <w:pPr>
              <w:spacing w:after="0"/>
              <w:rPr>
                <w:rFonts w:asciiTheme="minorHAnsi" w:eastAsia="Times New Roman" w:hAnsiTheme="minorHAnsi" w:cstheme="minorHAnsi"/>
                <w:sz w:val="20"/>
                <w:szCs w:val="20"/>
                <w:lang w:eastAsia="en-AU"/>
              </w:rPr>
            </w:pPr>
            <w:r w:rsidRPr="001C4772">
              <w:rPr>
                <w:rFonts w:asciiTheme="minorHAnsi" w:eastAsia="Times New Roman" w:hAnsiTheme="minorHAnsi" w:cstheme="minorHAnsi"/>
                <w:sz w:val="20"/>
                <w:szCs w:val="20"/>
                <w:lang w:eastAsia="en-AU"/>
              </w:rPr>
              <w:t>Number of customers receiving greater than 5 unplanned water supply interruptions</w:t>
            </w:r>
          </w:p>
        </w:tc>
        <w:tc>
          <w:tcPr>
            <w:tcW w:w="1028" w:type="dxa"/>
            <w:shd w:val="clear" w:color="auto" w:fill="auto"/>
            <w:vAlign w:val="center"/>
            <w:hideMark/>
          </w:tcPr>
          <w:p w14:paraId="2B8EAE4A" w14:textId="77777777" w:rsidR="009F391A" w:rsidRPr="001C4772" w:rsidRDefault="009F391A" w:rsidP="00A35FEB">
            <w:pPr>
              <w:spacing w:after="0"/>
              <w:ind w:left="-244" w:firstLineChars="100" w:firstLine="200"/>
              <w:jc w:val="center"/>
              <w:rPr>
                <w:rFonts w:asciiTheme="minorHAnsi" w:eastAsia="Times New Roman" w:hAnsiTheme="minorHAnsi" w:cstheme="minorHAnsi"/>
                <w:sz w:val="20"/>
                <w:szCs w:val="20"/>
                <w:lang w:eastAsia="en-AU"/>
              </w:rPr>
            </w:pPr>
            <w:r w:rsidRPr="001C4772">
              <w:rPr>
                <w:rFonts w:asciiTheme="minorHAnsi" w:eastAsia="Times New Roman" w:hAnsiTheme="minorHAnsi" w:cstheme="minorHAnsi"/>
                <w:sz w:val="20"/>
                <w:szCs w:val="20"/>
                <w:lang w:eastAsia="en-AU"/>
              </w:rPr>
              <w:t>532</w:t>
            </w:r>
          </w:p>
        </w:tc>
        <w:tc>
          <w:tcPr>
            <w:tcW w:w="1087" w:type="dxa"/>
            <w:shd w:val="clear" w:color="auto" w:fill="auto"/>
            <w:vAlign w:val="center"/>
            <w:hideMark/>
          </w:tcPr>
          <w:p w14:paraId="1BC1265A" w14:textId="77777777" w:rsidR="009F391A" w:rsidRPr="001C4772" w:rsidRDefault="009F391A" w:rsidP="00A35FEB">
            <w:pPr>
              <w:spacing w:after="0"/>
              <w:ind w:left="-283" w:firstLineChars="100" w:firstLine="200"/>
              <w:jc w:val="center"/>
              <w:rPr>
                <w:rFonts w:asciiTheme="minorHAnsi" w:eastAsia="Times New Roman" w:hAnsiTheme="minorHAnsi" w:cstheme="minorHAnsi"/>
                <w:sz w:val="20"/>
                <w:szCs w:val="20"/>
                <w:lang w:eastAsia="en-AU"/>
              </w:rPr>
            </w:pPr>
            <w:r w:rsidRPr="001C4772">
              <w:rPr>
                <w:rFonts w:asciiTheme="minorHAnsi" w:eastAsia="Times New Roman" w:hAnsiTheme="minorHAnsi" w:cstheme="minorHAnsi"/>
                <w:sz w:val="20"/>
                <w:szCs w:val="20"/>
                <w:lang w:eastAsia="en-AU"/>
              </w:rPr>
              <w:t>559</w:t>
            </w:r>
          </w:p>
        </w:tc>
        <w:tc>
          <w:tcPr>
            <w:tcW w:w="1086" w:type="dxa"/>
            <w:shd w:val="clear" w:color="auto" w:fill="auto"/>
            <w:vAlign w:val="center"/>
            <w:hideMark/>
          </w:tcPr>
          <w:p w14:paraId="5BE8F986" w14:textId="77777777" w:rsidR="009F391A" w:rsidRPr="001C4772" w:rsidRDefault="009F391A" w:rsidP="00A35FEB">
            <w:pPr>
              <w:spacing w:after="0"/>
              <w:ind w:left="-283" w:firstLineChars="100" w:firstLine="200"/>
              <w:jc w:val="center"/>
              <w:rPr>
                <w:rFonts w:asciiTheme="minorHAnsi" w:eastAsia="Times New Roman" w:hAnsiTheme="minorHAnsi" w:cstheme="minorHAnsi"/>
                <w:sz w:val="20"/>
                <w:szCs w:val="20"/>
                <w:lang w:eastAsia="en-AU"/>
              </w:rPr>
            </w:pPr>
            <w:r w:rsidRPr="001C4772">
              <w:rPr>
                <w:rFonts w:asciiTheme="minorHAnsi" w:eastAsia="Times New Roman" w:hAnsiTheme="minorHAnsi" w:cstheme="minorHAnsi"/>
                <w:sz w:val="20"/>
                <w:szCs w:val="20"/>
                <w:lang w:eastAsia="en-AU"/>
              </w:rPr>
              <w:t>0</w:t>
            </w:r>
          </w:p>
        </w:tc>
        <w:tc>
          <w:tcPr>
            <w:tcW w:w="1151" w:type="dxa"/>
            <w:shd w:val="clear" w:color="auto" w:fill="auto"/>
            <w:vAlign w:val="center"/>
            <w:hideMark/>
          </w:tcPr>
          <w:p w14:paraId="13B977AD" w14:textId="77777777" w:rsidR="009F391A" w:rsidRPr="001C4772" w:rsidRDefault="009F391A" w:rsidP="00A35FEB">
            <w:pPr>
              <w:spacing w:after="0"/>
              <w:ind w:left="-472" w:firstLine="483"/>
              <w:jc w:val="center"/>
              <w:rPr>
                <w:rFonts w:asciiTheme="minorHAnsi" w:eastAsia="Times New Roman" w:hAnsiTheme="minorHAnsi" w:cstheme="minorHAnsi"/>
                <w:color w:val="000000"/>
                <w:sz w:val="20"/>
                <w:szCs w:val="20"/>
                <w:lang w:eastAsia="en-AU"/>
              </w:rPr>
            </w:pPr>
            <w:r w:rsidRPr="001C4772">
              <w:rPr>
                <w:rFonts w:asciiTheme="minorHAnsi" w:eastAsia="Times New Roman" w:hAnsiTheme="minorHAnsi" w:cstheme="minorHAnsi"/>
                <w:color w:val="000000"/>
                <w:sz w:val="20"/>
                <w:szCs w:val="20"/>
                <w:lang w:eastAsia="en-AU"/>
              </w:rPr>
              <w:t>3</w:t>
            </w:r>
          </w:p>
        </w:tc>
      </w:tr>
      <w:tr w:rsidR="009F391A" w:rsidRPr="001C4772" w14:paraId="1322B9D4" w14:textId="77777777" w:rsidTr="00A35FEB">
        <w:trPr>
          <w:trHeight w:val="369"/>
        </w:trPr>
        <w:tc>
          <w:tcPr>
            <w:tcW w:w="9493" w:type="dxa"/>
            <w:shd w:val="clear" w:color="auto" w:fill="auto"/>
            <w:vAlign w:val="center"/>
            <w:hideMark/>
          </w:tcPr>
          <w:p w14:paraId="485B5BBE" w14:textId="77777777" w:rsidR="009F391A" w:rsidRPr="001C4772" w:rsidRDefault="009F391A" w:rsidP="006C2FD8">
            <w:pPr>
              <w:spacing w:after="0"/>
              <w:rPr>
                <w:rFonts w:asciiTheme="minorHAnsi" w:eastAsia="Times New Roman" w:hAnsiTheme="minorHAnsi" w:cstheme="minorHAnsi"/>
                <w:sz w:val="20"/>
                <w:szCs w:val="20"/>
                <w:lang w:eastAsia="en-AU"/>
              </w:rPr>
            </w:pPr>
            <w:r w:rsidRPr="001C4772">
              <w:rPr>
                <w:rFonts w:asciiTheme="minorHAnsi" w:eastAsia="Times New Roman" w:hAnsiTheme="minorHAnsi" w:cstheme="minorHAnsi"/>
                <w:sz w:val="20"/>
                <w:szCs w:val="20"/>
                <w:lang w:eastAsia="en-AU"/>
              </w:rPr>
              <w:t>Number of customers receiving 3 or more sewerage blockages</w:t>
            </w:r>
          </w:p>
        </w:tc>
        <w:tc>
          <w:tcPr>
            <w:tcW w:w="1028" w:type="dxa"/>
            <w:shd w:val="clear" w:color="auto" w:fill="auto"/>
            <w:vAlign w:val="center"/>
            <w:hideMark/>
          </w:tcPr>
          <w:p w14:paraId="1CD6F681" w14:textId="77777777" w:rsidR="009F391A" w:rsidRPr="001C4772" w:rsidRDefault="009F391A" w:rsidP="00A35FEB">
            <w:pPr>
              <w:spacing w:after="0"/>
              <w:ind w:left="-244" w:firstLineChars="100" w:firstLine="200"/>
              <w:jc w:val="center"/>
              <w:rPr>
                <w:rFonts w:asciiTheme="minorHAnsi" w:eastAsia="Times New Roman" w:hAnsiTheme="minorHAnsi" w:cstheme="minorHAnsi"/>
                <w:sz w:val="20"/>
                <w:szCs w:val="20"/>
                <w:lang w:eastAsia="en-AU"/>
              </w:rPr>
            </w:pPr>
            <w:r w:rsidRPr="001C4772">
              <w:rPr>
                <w:rFonts w:asciiTheme="minorHAnsi" w:eastAsia="Times New Roman" w:hAnsiTheme="minorHAnsi" w:cstheme="minorHAnsi"/>
                <w:sz w:val="20"/>
                <w:szCs w:val="20"/>
                <w:lang w:eastAsia="en-AU"/>
              </w:rPr>
              <w:t>17</w:t>
            </w:r>
          </w:p>
        </w:tc>
        <w:tc>
          <w:tcPr>
            <w:tcW w:w="1087" w:type="dxa"/>
            <w:shd w:val="clear" w:color="auto" w:fill="auto"/>
            <w:vAlign w:val="center"/>
            <w:hideMark/>
          </w:tcPr>
          <w:p w14:paraId="7DBB7492" w14:textId="77777777" w:rsidR="009F391A" w:rsidRPr="001C4772" w:rsidRDefault="009F391A" w:rsidP="00A35FEB">
            <w:pPr>
              <w:spacing w:after="0"/>
              <w:ind w:left="-283" w:firstLineChars="100" w:firstLine="200"/>
              <w:jc w:val="center"/>
              <w:rPr>
                <w:rFonts w:asciiTheme="minorHAnsi" w:eastAsia="Times New Roman" w:hAnsiTheme="minorHAnsi" w:cstheme="minorHAnsi"/>
                <w:sz w:val="20"/>
                <w:szCs w:val="20"/>
                <w:lang w:eastAsia="en-AU"/>
              </w:rPr>
            </w:pPr>
            <w:r w:rsidRPr="001C4772">
              <w:rPr>
                <w:rFonts w:asciiTheme="minorHAnsi" w:eastAsia="Times New Roman" w:hAnsiTheme="minorHAnsi" w:cstheme="minorHAnsi"/>
                <w:sz w:val="20"/>
                <w:szCs w:val="20"/>
                <w:lang w:eastAsia="en-AU"/>
              </w:rPr>
              <w:t>46</w:t>
            </w:r>
          </w:p>
        </w:tc>
        <w:tc>
          <w:tcPr>
            <w:tcW w:w="1086" w:type="dxa"/>
            <w:shd w:val="clear" w:color="auto" w:fill="auto"/>
            <w:vAlign w:val="center"/>
            <w:hideMark/>
          </w:tcPr>
          <w:p w14:paraId="1B7410B5" w14:textId="77777777" w:rsidR="009F391A" w:rsidRPr="001C4772" w:rsidRDefault="009F391A" w:rsidP="00A35FEB">
            <w:pPr>
              <w:spacing w:after="0"/>
              <w:ind w:left="-283" w:firstLineChars="100" w:firstLine="200"/>
              <w:jc w:val="center"/>
              <w:rPr>
                <w:rFonts w:asciiTheme="minorHAnsi" w:eastAsia="Times New Roman" w:hAnsiTheme="minorHAnsi" w:cstheme="minorHAnsi"/>
                <w:sz w:val="20"/>
                <w:szCs w:val="20"/>
                <w:lang w:eastAsia="en-AU"/>
              </w:rPr>
            </w:pPr>
            <w:r w:rsidRPr="001C4772">
              <w:rPr>
                <w:rFonts w:asciiTheme="minorHAnsi" w:eastAsia="Times New Roman" w:hAnsiTheme="minorHAnsi" w:cstheme="minorHAnsi"/>
                <w:sz w:val="20"/>
                <w:szCs w:val="20"/>
                <w:lang w:eastAsia="en-AU"/>
              </w:rPr>
              <w:t>21</w:t>
            </w:r>
          </w:p>
        </w:tc>
        <w:tc>
          <w:tcPr>
            <w:tcW w:w="1151" w:type="dxa"/>
            <w:shd w:val="clear" w:color="auto" w:fill="auto"/>
            <w:vAlign w:val="center"/>
            <w:hideMark/>
          </w:tcPr>
          <w:p w14:paraId="4EB1B968" w14:textId="77777777" w:rsidR="009F391A" w:rsidRPr="001C4772" w:rsidRDefault="009F391A" w:rsidP="00A35FEB">
            <w:pPr>
              <w:spacing w:after="0"/>
              <w:ind w:left="-472" w:firstLine="483"/>
              <w:jc w:val="center"/>
              <w:rPr>
                <w:rFonts w:asciiTheme="minorHAnsi" w:eastAsia="Times New Roman" w:hAnsiTheme="minorHAnsi" w:cstheme="minorHAnsi"/>
                <w:color w:val="000000"/>
                <w:sz w:val="20"/>
                <w:szCs w:val="20"/>
                <w:lang w:eastAsia="en-AU"/>
              </w:rPr>
            </w:pPr>
            <w:r w:rsidRPr="001C4772">
              <w:rPr>
                <w:rFonts w:asciiTheme="minorHAnsi" w:eastAsia="Times New Roman" w:hAnsiTheme="minorHAnsi" w:cstheme="minorHAnsi"/>
                <w:color w:val="000000"/>
                <w:sz w:val="20"/>
                <w:szCs w:val="20"/>
                <w:lang w:eastAsia="en-AU"/>
              </w:rPr>
              <w:t>2</w:t>
            </w:r>
          </w:p>
        </w:tc>
      </w:tr>
      <w:tr w:rsidR="0034037B" w:rsidRPr="001C4772" w14:paraId="6385A8CD" w14:textId="77777777" w:rsidTr="00A35FEB">
        <w:trPr>
          <w:trHeight w:val="369"/>
        </w:trPr>
        <w:tc>
          <w:tcPr>
            <w:tcW w:w="13845" w:type="dxa"/>
            <w:gridSpan w:val="5"/>
            <w:shd w:val="clear" w:color="auto" w:fill="D4D6DF"/>
            <w:vAlign w:val="center"/>
          </w:tcPr>
          <w:p w14:paraId="5D96213A" w14:textId="1BDE2D76" w:rsidR="0034037B" w:rsidRPr="0034037B" w:rsidRDefault="0034037B" w:rsidP="0034037B">
            <w:pPr>
              <w:spacing w:after="0"/>
              <w:rPr>
                <w:rFonts w:asciiTheme="minorHAnsi" w:eastAsia="Times New Roman" w:hAnsiTheme="minorHAnsi" w:cstheme="minorHAnsi"/>
                <w:b/>
                <w:bCs/>
                <w:color w:val="000000"/>
                <w:sz w:val="20"/>
                <w:szCs w:val="20"/>
                <w:lang w:eastAsia="en-AU"/>
              </w:rPr>
            </w:pPr>
            <w:r w:rsidRPr="001C4772">
              <w:rPr>
                <w:rFonts w:asciiTheme="minorHAnsi" w:eastAsia="Times New Roman" w:hAnsiTheme="minorHAnsi" w:cstheme="minorHAnsi"/>
                <w:b/>
                <w:bCs/>
                <w:color w:val="000000"/>
                <w:sz w:val="20"/>
                <w:szCs w:val="20"/>
                <w:lang w:eastAsia="en-AU"/>
              </w:rPr>
              <w:t>Warn me, inform me</w:t>
            </w:r>
          </w:p>
        </w:tc>
      </w:tr>
      <w:tr w:rsidR="009F391A" w:rsidRPr="001C4772" w14:paraId="438D8BAE" w14:textId="77777777" w:rsidTr="00A35FEB">
        <w:trPr>
          <w:trHeight w:val="369"/>
        </w:trPr>
        <w:tc>
          <w:tcPr>
            <w:tcW w:w="9493" w:type="dxa"/>
            <w:shd w:val="clear" w:color="auto" w:fill="auto"/>
            <w:vAlign w:val="center"/>
            <w:hideMark/>
          </w:tcPr>
          <w:p w14:paraId="45093FC5" w14:textId="77777777" w:rsidR="009F391A" w:rsidRPr="001C4772" w:rsidRDefault="009F391A" w:rsidP="006C2FD8">
            <w:pPr>
              <w:spacing w:after="0"/>
              <w:rPr>
                <w:rFonts w:asciiTheme="minorHAnsi" w:eastAsia="Times New Roman" w:hAnsiTheme="minorHAnsi" w:cstheme="minorHAnsi"/>
                <w:sz w:val="20"/>
                <w:szCs w:val="20"/>
                <w:lang w:eastAsia="en-AU"/>
              </w:rPr>
            </w:pPr>
            <w:r w:rsidRPr="001C4772">
              <w:rPr>
                <w:rFonts w:asciiTheme="minorHAnsi" w:eastAsia="Times New Roman" w:hAnsiTheme="minorHAnsi" w:cstheme="minorHAnsi"/>
                <w:sz w:val="20"/>
                <w:szCs w:val="20"/>
                <w:lang w:eastAsia="en-AU"/>
              </w:rPr>
              <w:t xml:space="preserve">Percentage of customers notified per unplanned water supply interruption (as a percentage of total customer affected) </w:t>
            </w:r>
          </w:p>
        </w:tc>
        <w:tc>
          <w:tcPr>
            <w:tcW w:w="1028" w:type="dxa"/>
            <w:shd w:val="clear" w:color="auto" w:fill="auto"/>
            <w:vAlign w:val="center"/>
            <w:hideMark/>
          </w:tcPr>
          <w:p w14:paraId="7A81B77B" w14:textId="77777777" w:rsidR="009F391A" w:rsidRPr="001C4772" w:rsidRDefault="009F391A" w:rsidP="00A35FEB">
            <w:pPr>
              <w:spacing w:after="0"/>
              <w:ind w:left="-244" w:firstLineChars="100" w:firstLine="200"/>
              <w:jc w:val="center"/>
              <w:rPr>
                <w:rFonts w:asciiTheme="minorHAnsi" w:eastAsia="Times New Roman" w:hAnsiTheme="minorHAnsi" w:cstheme="minorHAnsi"/>
                <w:sz w:val="20"/>
                <w:szCs w:val="20"/>
                <w:lang w:eastAsia="en-AU"/>
              </w:rPr>
            </w:pPr>
            <w:r w:rsidRPr="001C4772">
              <w:rPr>
                <w:rFonts w:asciiTheme="minorHAnsi" w:eastAsia="Times New Roman" w:hAnsiTheme="minorHAnsi" w:cstheme="minorHAnsi"/>
                <w:sz w:val="20"/>
                <w:szCs w:val="20"/>
                <w:lang w:eastAsia="en-AU"/>
              </w:rPr>
              <w:t>59%</w:t>
            </w:r>
          </w:p>
        </w:tc>
        <w:tc>
          <w:tcPr>
            <w:tcW w:w="1087" w:type="dxa"/>
            <w:shd w:val="clear" w:color="auto" w:fill="auto"/>
            <w:vAlign w:val="center"/>
            <w:hideMark/>
          </w:tcPr>
          <w:p w14:paraId="5D68E8B0" w14:textId="77777777" w:rsidR="009F391A" w:rsidRPr="001C4772" w:rsidRDefault="009F391A" w:rsidP="00A35FEB">
            <w:pPr>
              <w:spacing w:after="0"/>
              <w:ind w:left="-145" w:firstLineChars="100" w:firstLine="200"/>
              <w:jc w:val="center"/>
              <w:rPr>
                <w:rFonts w:asciiTheme="minorHAnsi" w:eastAsia="Times New Roman" w:hAnsiTheme="minorHAnsi" w:cstheme="minorHAnsi"/>
                <w:sz w:val="20"/>
                <w:szCs w:val="20"/>
                <w:lang w:eastAsia="en-AU"/>
              </w:rPr>
            </w:pPr>
            <w:r w:rsidRPr="001C4772">
              <w:rPr>
                <w:rFonts w:asciiTheme="minorHAnsi" w:eastAsia="Times New Roman" w:hAnsiTheme="minorHAnsi" w:cstheme="minorHAnsi"/>
                <w:sz w:val="20"/>
                <w:szCs w:val="20"/>
                <w:lang w:eastAsia="en-AU"/>
              </w:rPr>
              <w:t>54%</w:t>
            </w:r>
          </w:p>
        </w:tc>
        <w:tc>
          <w:tcPr>
            <w:tcW w:w="1086" w:type="dxa"/>
            <w:shd w:val="clear" w:color="auto" w:fill="auto"/>
            <w:vAlign w:val="center"/>
            <w:hideMark/>
          </w:tcPr>
          <w:p w14:paraId="1CB37D49" w14:textId="77777777" w:rsidR="009F391A" w:rsidRPr="001C4772" w:rsidRDefault="009F391A" w:rsidP="00A35FEB">
            <w:pPr>
              <w:spacing w:after="0"/>
              <w:ind w:left="-145" w:firstLineChars="100" w:firstLine="200"/>
              <w:jc w:val="center"/>
              <w:rPr>
                <w:rFonts w:asciiTheme="minorHAnsi" w:eastAsia="Times New Roman" w:hAnsiTheme="minorHAnsi" w:cstheme="minorHAnsi"/>
                <w:sz w:val="20"/>
                <w:szCs w:val="20"/>
                <w:lang w:eastAsia="en-AU"/>
              </w:rPr>
            </w:pPr>
            <w:r w:rsidRPr="001C4772">
              <w:rPr>
                <w:rFonts w:asciiTheme="minorHAnsi" w:eastAsia="Times New Roman" w:hAnsiTheme="minorHAnsi" w:cstheme="minorHAnsi"/>
                <w:sz w:val="20"/>
                <w:szCs w:val="20"/>
                <w:lang w:eastAsia="en-AU"/>
              </w:rPr>
              <w:t>72%</w:t>
            </w:r>
          </w:p>
        </w:tc>
        <w:tc>
          <w:tcPr>
            <w:tcW w:w="1151" w:type="dxa"/>
            <w:shd w:val="clear" w:color="auto" w:fill="auto"/>
            <w:vAlign w:val="center"/>
            <w:hideMark/>
          </w:tcPr>
          <w:p w14:paraId="2CDA08BA" w14:textId="77777777" w:rsidR="009F391A" w:rsidRPr="001C4772" w:rsidRDefault="009F391A" w:rsidP="00A35FEB">
            <w:pPr>
              <w:spacing w:after="0"/>
              <w:jc w:val="center"/>
              <w:rPr>
                <w:rFonts w:asciiTheme="minorHAnsi" w:eastAsia="Times New Roman" w:hAnsiTheme="minorHAnsi" w:cstheme="minorHAnsi"/>
                <w:color w:val="000000"/>
                <w:sz w:val="20"/>
                <w:szCs w:val="20"/>
                <w:lang w:eastAsia="en-AU"/>
              </w:rPr>
            </w:pPr>
            <w:r w:rsidRPr="001C4772">
              <w:rPr>
                <w:rFonts w:asciiTheme="minorHAnsi" w:eastAsia="Times New Roman" w:hAnsiTheme="minorHAnsi" w:cstheme="minorHAnsi"/>
                <w:color w:val="000000"/>
                <w:sz w:val="20"/>
                <w:szCs w:val="20"/>
                <w:lang w:eastAsia="en-AU"/>
              </w:rPr>
              <w:t>3</w:t>
            </w:r>
          </w:p>
        </w:tc>
      </w:tr>
      <w:tr w:rsidR="009F391A" w:rsidRPr="001C4772" w14:paraId="0289852C" w14:textId="77777777" w:rsidTr="00A35FEB">
        <w:trPr>
          <w:trHeight w:val="369"/>
        </w:trPr>
        <w:tc>
          <w:tcPr>
            <w:tcW w:w="9493" w:type="dxa"/>
            <w:shd w:val="clear" w:color="auto" w:fill="auto"/>
            <w:vAlign w:val="center"/>
            <w:hideMark/>
          </w:tcPr>
          <w:p w14:paraId="7EC5D905" w14:textId="77777777" w:rsidR="009F391A" w:rsidRPr="001C4772" w:rsidRDefault="009F391A" w:rsidP="006C2FD8">
            <w:pPr>
              <w:spacing w:after="0"/>
              <w:rPr>
                <w:rFonts w:asciiTheme="minorHAnsi" w:eastAsia="Times New Roman" w:hAnsiTheme="minorHAnsi" w:cstheme="minorHAnsi"/>
                <w:sz w:val="20"/>
                <w:szCs w:val="20"/>
                <w:lang w:eastAsia="en-AU"/>
              </w:rPr>
            </w:pPr>
            <w:r w:rsidRPr="001C4772">
              <w:rPr>
                <w:rFonts w:asciiTheme="minorHAnsi" w:eastAsia="Times New Roman" w:hAnsiTheme="minorHAnsi" w:cstheme="minorHAnsi"/>
                <w:sz w:val="20"/>
                <w:szCs w:val="20"/>
                <w:lang w:eastAsia="en-AU"/>
              </w:rPr>
              <w:t>Average duration of unplanned water supply interruptions</w:t>
            </w:r>
          </w:p>
        </w:tc>
        <w:tc>
          <w:tcPr>
            <w:tcW w:w="1028" w:type="dxa"/>
            <w:shd w:val="clear" w:color="auto" w:fill="auto"/>
            <w:vAlign w:val="center"/>
            <w:hideMark/>
          </w:tcPr>
          <w:p w14:paraId="4E6542A3" w14:textId="77777777" w:rsidR="009F391A" w:rsidRPr="001C4772" w:rsidRDefault="009F391A" w:rsidP="00A35FEB">
            <w:pPr>
              <w:spacing w:after="0"/>
              <w:ind w:left="-244" w:firstLineChars="100" w:firstLine="200"/>
              <w:jc w:val="center"/>
              <w:rPr>
                <w:rFonts w:asciiTheme="minorHAnsi" w:eastAsia="Times New Roman" w:hAnsiTheme="minorHAnsi" w:cstheme="minorHAnsi"/>
                <w:sz w:val="20"/>
                <w:szCs w:val="20"/>
                <w:lang w:eastAsia="en-AU"/>
              </w:rPr>
            </w:pPr>
            <w:r w:rsidRPr="001C4772">
              <w:rPr>
                <w:rFonts w:asciiTheme="minorHAnsi" w:eastAsia="Times New Roman" w:hAnsiTheme="minorHAnsi" w:cstheme="minorHAnsi"/>
                <w:sz w:val="20"/>
                <w:szCs w:val="20"/>
                <w:lang w:eastAsia="en-AU"/>
              </w:rPr>
              <w:t>88</w:t>
            </w:r>
          </w:p>
        </w:tc>
        <w:tc>
          <w:tcPr>
            <w:tcW w:w="1087" w:type="dxa"/>
            <w:shd w:val="clear" w:color="auto" w:fill="auto"/>
            <w:vAlign w:val="center"/>
            <w:hideMark/>
          </w:tcPr>
          <w:p w14:paraId="1DBA4E78" w14:textId="77777777" w:rsidR="009F391A" w:rsidRPr="001C4772" w:rsidRDefault="009F391A" w:rsidP="00A35FEB">
            <w:pPr>
              <w:spacing w:after="0"/>
              <w:ind w:left="-145" w:firstLineChars="100" w:firstLine="200"/>
              <w:jc w:val="center"/>
              <w:rPr>
                <w:rFonts w:asciiTheme="minorHAnsi" w:eastAsia="Times New Roman" w:hAnsiTheme="minorHAnsi" w:cstheme="minorHAnsi"/>
                <w:sz w:val="20"/>
                <w:szCs w:val="20"/>
                <w:lang w:eastAsia="en-AU"/>
              </w:rPr>
            </w:pPr>
            <w:r w:rsidRPr="001C4772">
              <w:rPr>
                <w:rFonts w:asciiTheme="minorHAnsi" w:eastAsia="Times New Roman" w:hAnsiTheme="minorHAnsi" w:cstheme="minorHAnsi"/>
                <w:sz w:val="20"/>
                <w:szCs w:val="20"/>
                <w:lang w:eastAsia="en-AU"/>
              </w:rPr>
              <w:t>92.9</w:t>
            </w:r>
          </w:p>
        </w:tc>
        <w:tc>
          <w:tcPr>
            <w:tcW w:w="1086" w:type="dxa"/>
            <w:shd w:val="clear" w:color="auto" w:fill="auto"/>
            <w:vAlign w:val="center"/>
            <w:hideMark/>
          </w:tcPr>
          <w:p w14:paraId="0F61109D" w14:textId="77777777" w:rsidR="009F391A" w:rsidRPr="001C4772" w:rsidRDefault="009F391A" w:rsidP="00A35FEB">
            <w:pPr>
              <w:spacing w:after="0"/>
              <w:ind w:left="-145" w:firstLineChars="100" w:firstLine="200"/>
              <w:jc w:val="center"/>
              <w:rPr>
                <w:rFonts w:asciiTheme="minorHAnsi" w:eastAsia="Times New Roman" w:hAnsiTheme="minorHAnsi" w:cstheme="minorHAnsi"/>
                <w:sz w:val="20"/>
                <w:szCs w:val="20"/>
                <w:lang w:eastAsia="en-AU"/>
              </w:rPr>
            </w:pPr>
            <w:r w:rsidRPr="001C4772">
              <w:rPr>
                <w:rFonts w:asciiTheme="minorHAnsi" w:eastAsia="Times New Roman" w:hAnsiTheme="minorHAnsi" w:cstheme="minorHAnsi"/>
                <w:sz w:val="20"/>
                <w:szCs w:val="20"/>
                <w:lang w:eastAsia="en-AU"/>
              </w:rPr>
              <w:t>79.2</w:t>
            </w:r>
          </w:p>
        </w:tc>
        <w:tc>
          <w:tcPr>
            <w:tcW w:w="1151" w:type="dxa"/>
            <w:shd w:val="clear" w:color="auto" w:fill="auto"/>
            <w:vAlign w:val="center"/>
            <w:hideMark/>
          </w:tcPr>
          <w:p w14:paraId="19C7014C" w14:textId="77777777" w:rsidR="009F391A" w:rsidRPr="001C4772" w:rsidRDefault="009F391A" w:rsidP="00A35FEB">
            <w:pPr>
              <w:spacing w:after="0"/>
              <w:jc w:val="center"/>
              <w:rPr>
                <w:rFonts w:asciiTheme="minorHAnsi" w:eastAsia="Times New Roman" w:hAnsiTheme="minorHAnsi" w:cstheme="minorHAnsi"/>
                <w:color w:val="000000"/>
                <w:sz w:val="20"/>
                <w:szCs w:val="20"/>
                <w:lang w:eastAsia="en-AU"/>
              </w:rPr>
            </w:pPr>
            <w:r w:rsidRPr="001C4772">
              <w:rPr>
                <w:rFonts w:asciiTheme="minorHAnsi" w:eastAsia="Times New Roman" w:hAnsiTheme="minorHAnsi" w:cstheme="minorHAnsi"/>
                <w:color w:val="000000"/>
                <w:sz w:val="20"/>
                <w:szCs w:val="20"/>
                <w:lang w:eastAsia="en-AU"/>
              </w:rPr>
              <w:t>3</w:t>
            </w:r>
          </w:p>
        </w:tc>
      </w:tr>
      <w:tr w:rsidR="009F391A" w:rsidRPr="001C4772" w14:paraId="0598F478" w14:textId="77777777" w:rsidTr="00A35FEB">
        <w:trPr>
          <w:trHeight w:val="369"/>
        </w:trPr>
        <w:tc>
          <w:tcPr>
            <w:tcW w:w="9493" w:type="dxa"/>
            <w:shd w:val="clear" w:color="auto" w:fill="auto"/>
            <w:vAlign w:val="center"/>
            <w:hideMark/>
          </w:tcPr>
          <w:p w14:paraId="0F953F39" w14:textId="77777777" w:rsidR="009F391A" w:rsidRPr="001C4772" w:rsidRDefault="009F391A" w:rsidP="006C2FD8">
            <w:pPr>
              <w:spacing w:after="0"/>
              <w:rPr>
                <w:rFonts w:asciiTheme="minorHAnsi" w:eastAsia="Times New Roman" w:hAnsiTheme="minorHAnsi" w:cstheme="minorHAnsi"/>
                <w:sz w:val="20"/>
                <w:szCs w:val="20"/>
                <w:lang w:eastAsia="en-AU"/>
              </w:rPr>
            </w:pPr>
            <w:r w:rsidRPr="001C4772">
              <w:rPr>
                <w:rFonts w:asciiTheme="minorHAnsi" w:eastAsia="Times New Roman" w:hAnsiTheme="minorHAnsi" w:cstheme="minorHAnsi"/>
                <w:sz w:val="20"/>
                <w:szCs w:val="20"/>
                <w:lang w:eastAsia="en-AU"/>
              </w:rPr>
              <w:t>Percentage of unplanned customer interruptions that are in peak hours</w:t>
            </w:r>
          </w:p>
        </w:tc>
        <w:tc>
          <w:tcPr>
            <w:tcW w:w="1028" w:type="dxa"/>
            <w:shd w:val="clear" w:color="auto" w:fill="auto"/>
            <w:vAlign w:val="center"/>
            <w:hideMark/>
          </w:tcPr>
          <w:p w14:paraId="04044F9B" w14:textId="77777777" w:rsidR="009F391A" w:rsidRPr="001C4772" w:rsidRDefault="009F391A" w:rsidP="00A35FEB">
            <w:pPr>
              <w:spacing w:after="0"/>
              <w:ind w:left="-244" w:firstLineChars="100" w:firstLine="200"/>
              <w:jc w:val="center"/>
              <w:rPr>
                <w:rFonts w:asciiTheme="minorHAnsi" w:eastAsia="Times New Roman" w:hAnsiTheme="minorHAnsi" w:cstheme="minorHAnsi"/>
                <w:sz w:val="20"/>
                <w:szCs w:val="20"/>
                <w:lang w:eastAsia="en-AU"/>
              </w:rPr>
            </w:pPr>
            <w:r w:rsidRPr="001C4772">
              <w:rPr>
                <w:rFonts w:asciiTheme="minorHAnsi" w:eastAsia="Times New Roman" w:hAnsiTheme="minorHAnsi" w:cstheme="minorHAnsi"/>
                <w:sz w:val="20"/>
                <w:szCs w:val="20"/>
                <w:lang w:eastAsia="en-AU"/>
              </w:rPr>
              <w:t>27.6%</w:t>
            </w:r>
          </w:p>
        </w:tc>
        <w:tc>
          <w:tcPr>
            <w:tcW w:w="1087" w:type="dxa"/>
            <w:shd w:val="clear" w:color="auto" w:fill="auto"/>
            <w:vAlign w:val="center"/>
            <w:hideMark/>
          </w:tcPr>
          <w:p w14:paraId="346E99BE" w14:textId="77777777" w:rsidR="009F391A" w:rsidRPr="001C4772" w:rsidRDefault="009F391A" w:rsidP="00A35FEB">
            <w:pPr>
              <w:spacing w:after="0"/>
              <w:ind w:left="-145" w:firstLineChars="100" w:firstLine="200"/>
              <w:jc w:val="center"/>
              <w:rPr>
                <w:rFonts w:asciiTheme="minorHAnsi" w:eastAsia="Times New Roman" w:hAnsiTheme="minorHAnsi" w:cstheme="minorHAnsi"/>
                <w:sz w:val="20"/>
                <w:szCs w:val="20"/>
                <w:lang w:eastAsia="en-AU"/>
              </w:rPr>
            </w:pPr>
            <w:r w:rsidRPr="001C4772">
              <w:rPr>
                <w:rFonts w:asciiTheme="minorHAnsi" w:eastAsia="Times New Roman" w:hAnsiTheme="minorHAnsi" w:cstheme="minorHAnsi"/>
                <w:sz w:val="20"/>
                <w:szCs w:val="20"/>
                <w:lang w:eastAsia="en-AU"/>
              </w:rPr>
              <w:t>30.5%</w:t>
            </w:r>
          </w:p>
        </w:tc>
        <w:tc>
          <w:tcPr>
            <w:tcW w:w="1086" w:type="dxa"/>
            <w:shd w:val="clear" w:color="auto" w:fill="auto"/>
            <w:vAlign w:val="center"/>
            <w:hideMark/>
          </w:tcPr>
          <w:p w14:paraId="120CDCDA" w14:textId="77777777" w:rsidR="009F391A" w:rsidRPr="001C4772" w:rsidRDefault="009F391A" w:rsidP="00A35FEB">
            <w:pPr>
              <w:spacing w:after="0"/>
              <w:ind w:left="-145" w:firstLineChars="100" w:firstLine="200"/>
              <w:jc w:val="center"/>
              <w:rPr>
                <w:rFonts w:asciiTheme="minorHAnsi" w:eastAsia="Times New Roman" w:hAnsiTheme="minorHAnsi" w:cstheme="minorHAnsi"/>
                <w:sz w:val="20"/>
                <w:szCs w:val="20"/>
                <w:lang w:eastAsia="en-AU"/>
              </w:rPr>
            </w:pPr>
            <w:r w:rsidRPr="001C4772">
              <w:rPr>
                <w:rFonts w:asciiTheme="minorHAnsi" w:eastAsia="Times New Roman" w:hAnsiTheme="minorHAnsi" w:cstheme="minorHAnsi"/>
                <w:sz w:val="20"/>
                <w:szCs w:val="20"/>
                <w:lang w:eastAsia="en-AU"/>
              </w:rPr>
              <w:t>26.6%</w:t>
            </w:r>
          </w:p>
        </w:tc>
        <w:tc>
          <w:tcPr>
            <w:tcW w:w="1151" w:type="dxa"/>
            <w:shd w:val="clear" w:color="auto" w:fill="auto"/>
            <w:vAlign w:val="center"/>
            <w:hideMark/>
          </w:tcPr>
          <w:p w14:paraId="12814DF9" w14:textId="77777777" w:rsidR="009F391A" w:rsidRPr="001C4772" w:rsidRDefault="009F391A" w:rsidP="00A35FEB">
            <w:pPr>
              <w:spacing w:after="0"/>
              <w:jc w:val="center"/>
              <w:rPr>
                <w:rFonts w:asciiTheme="minorHAnsi" w:eastAsia="Times New Roman" w:hAnsiTheme="minorHAnsi" w:cstheme="minorHAnsi"/>
                <w:color w:val="000000"/>
                <w:sz w:val="20"/>
                <w:szCs w:val="20"/>
                <w:lang w:eastAsia="en-AU"/>
              </w:rPr>
            </w:pPr>
            <w:r w:rsidRPr="001C4772">
              <w:rPr>
                <w:rFonts w:asciiTheme="minorHAnsi" w:eastAsia="Times New Roman" w:hAnsiTheme="minorHAnsi" w:cstheme="minorHAnsi"/>
                <w:color w:val="000000"/>
                <w:sz w:val="20"/>
                <w:szCs w:val="20"/>
                <w:lang w:eastAsia="en-AU"/>
              </w:rPr>
              <w:t>3</w:t>
            </w:r>
          </w:p>
        </w:tc>
      </w:tr>
      <w:tr w:rsidR="009F391A" w:rsidRPr="001C4772" w14:paraId="19B79C2C" w14:textId="77777777" w:rsidTr="00A35FEB">
        <w:trPr>
          <w:trHeight w:val="369"/>
        </w:trPr>
        <w:tc>
          <w:tcPr>
            <w:tcW w:w="9493" w:type="dxa"/>
            <w:shd w:val="clear" w:color="auto" w:fill="auto"/>
            <w:vAlign w:val="center"/>
            <w:hideMark/>
          </w:tcPr>
          <w:p w14:paraId="61EBD9E1" w14:textId="77777777" w:rsidR="009F391A" w:rsidRPr="001C4772" w:rsidRDefault="009F391A" w:rsidP="006C2FD8">
            <w:pPr>
              <w:spacing w:after="0"/>
              <w:rPr>
                <w:rFonts w:asciiTheme="minorHAnsi" w:eastAsia="Times New Roman" w:hAnsiTheme="minorHAnsi" w:cstheme="minorHAnsi"/>
                <w:sz w:val="20"/>
                <w:szCs w:val="20"/>
                <w:lang w:eastAsia="en-AU"/>
              </w:rPr>
            </w:pPr>
            <w:r w:rsidRPr="001C4772">
              <w:rPr>
                <w:rFonts w:asciiTheme="minorHAnsi" w:eastAsia="Times New Roman" w:hAnsiTheme="minorHAnsi" w:cstheme="minorHAnsi"/>
                <w:sz w:val="20"/>
                <w:szCs w:val="20"/>
                <w:lang w:eastAsia="en-AU"/>
              </w:rPr>
              <w:t>Planned water interruptions restored within notification period</w:t>
            </w:r>
          </w:p>
        </w:tc>
        <w:tc>
          <w:tcPr>
            <w:tcW w:w="1028" w:type="dxa"/>
            <w:shd w:val="clear" w:color="auto" w:fill="auto"/>
            <w:vAlign w:val="center"/>
            <w:hideMark/>
          </w:tcPr>
          <w:p w14:paraId="0D481A23" w14:textId="77777777" w:rsidR="009F391A" w:rsidRPr="001C4772" w:rsidRDefault="009F391A" w:rsidP="00A35FEB">
            <w:pPr>
              <w:spacing w:after="0"/>
              <w:ind w:left="-244" w:firstLineChars="100" w:firstLine="200"/>
              <w:jc w:val="center"/>
              <w:rPr>
                <w:rFonts w:asciiTheme="minorHAnsi" w:eastAsia="Times New Roman" w:hAnsiTheme="minorHAnsi" w:cstheme="minorHAnsi"/>
                <w:sz w:val="20"/>
                <w:szCs w:val="20"/>
                <w:lang w:eastAsia="en-AU"/>
              </w:rPr>
            </w:pPr>
            <w:r w:rsidRPr="001C4772">
              <w:rPr>
                <w:rFonts w:asciiTheme="minorHAnsi" w:eastAsia="Times New Roman" w:hAnsiTheme="minorHAnsi" w:cstheme="minorHAnsi"/>
                <w:sz w:val="20"/>
                <w:szCs w:val="20"/>
                <w:lang w:eastAsia="en-AU"/>
              </w:rPr>
              <w:t>98%</w:t>
            </w:r>
          </w:p>
        </w:tc>
        <w:tc>
          <w:tcPr>
            <w:tcW w:w="1087" w:type="dxa"/>
            <w:shd w:val="clear" w:color="auto" w:fill="auto"/>
            <w:vAlign w:val="center"/>
            <w:hideMark/>
          </w:tcPr>
          <w:p w14:paraId="221F59B4" w14:textId="77777777" w:rsidR="009F391A" w:rsidRPr="001C4772" w:rsidRDefault="009F391A" w:rsidP="00A35FEB">
            <w:pPr>
              <w:spacing w:after="0"/>
              <w:ind w:left="-145" w:firstLineChars="100" w:firstLine="200"/>
              <w:jc w:val="center"/>
              <w:rPr>
                <w:rFonts w:asciiTheme="minorHAnsi" w:eastAsia="Times New Roman" w:hAnsiTheme="minorHAnsi" w:cstheme="minorHAnsi"/>
                <w:sz w:val="20"/>
                <w:szCs w:val="20"/>
                <w:lang w:eastAsia="en-AU"/>
              </w:rPr>
            </w:pPr>
            <w:r w:rsidRPr="001C4772">
              <w:rPr>
                <w:rFonts w:asciiTheme="minorHAnsi" w:eastAsia="Times New Roman" w:hAnsiTheme="minorHAnsi" w:cstheme="minorHAnsi"/>
                <w:sz w:val="20"/>
                <w:szCs w:val="20"/>
                <w:lang w:eastAsia="en-AU"/>
              </w:rPr>
              <w:t>96%</w:t>
            </w:r>
          </w:p>
        </w:tc>
        <w:tc>
          <w:tcPr>
            <w:tcW w:w="1086" w:type="dxa"/>
            <w:shd w:val="clear" w:color="auto" w:fill="auto"/>
            <w:vAlign w:val="center"/>
            <w:hideMark/>
          </w:tcPr>
          <w:p w14:paraId="27C10F94" w14:textId="77777777" w:rsidR="009F391A" w:rsidRPr="001C4772" w:rsidRDefault="009F391A" w:rsidP="00A35FEB">
            <w:pPr>
              <w:spacing w:after="0"/>
              <w:ind w:left="-145" w:firstLineChars="100" w:firstLine="200"/>
              <w:jc w:val="center"/>
              <w:rPr>
                <w:rFonts w:asciiTheme="minorHAnsi" w:eastAsia="Times New Roman" w:hAnsiTheme="minorHAnsi" w:cstheme="minorHAnsi"/>
                <w:sz w:val="20"/>
                <w:szCs w:val="20"/>
                <w:lang w:eastAsia="en-AU"/>
              </w:rPr>
            </w:pPr>
            <w:r w:rsidRPr="001C4772">
              <w:rPr>
                <w:rFonts w:asciiTheme="minorHAnsi" w:eastAsia="Times New Roman" w:hAnsiTheme="minorHAnsi" w:cstheme="minorHAnsi"/>
                <w:sz w:val="20"/>
                <w:szCs w:val="20"/>
                <w:lang w:eastAsia="en-AU"/>
              </w:rPr>
              <w:t>99%</w:t>
            </w:r>
          </w:p>
        </w:tc>
        <w:tc>
          <w:tcPr>
            <w:tcW w:w="1151" w:type="dxa"/>
            <w:shd w:val="clear" w:color="auto" w:fill="auto"/>
            <w:vAlign w:val="center"/>
            <w:hideMark/>
          </w:tcPr>
          <w:p w14:paraId="347F7BA8" w14:textId="77777777" w:rsidR="009F391A" w:rsidRPr="001C4772" w:rsidRDefault="009F391A" w:rsidP="00A35FEB">
            <w:pPr>
              <w:spacing w:after="0"/>
              <w:jc w:val="center"/>
              <w:rPr>
                <w:rFonts w:asciiTheme="minorHAnsi" w:eastAsia="Times New Roman" w:hAnsiTheme="minorHAnsi" w:cstheme="minorHAnsi"/>
                <w:color w:val="000000"/>
                <w:sz w:val="20"/>
                <w:szCs w:val="20"/>
                <w:lang w:eastAsia="en-AU"/>
              </w:rPr>
            </w:pPr>
            <w:r w:rsidRPr="001C4772">
              <w:rPr>
                <w:rFonts w:asciiTheme="minorHAnsi" w:eastAsia="Times New Roman" w:hAnsiTheme="minorHAnsi" w:cstheme="minorHAnsi"/>
                <w:color w:val="000000"/>
                <w:sz w:val="20"/>
                <w:szCs w:val="20"/>
                <w:lang w:eastAsia="en-AU"/>
              </w:rPr>
              <w:t>3</w:t>
            </w:r>
          </w:p>
        </w:tc>
      </w:tr>
      <w:tr w:rsidR="0034037B" w:rsidRPr="001C4772" w14:paraId="26040FF3" w14:textId="77777777" w:rsidTr="00A35FEB">
        <w:trPr>
          <w:trHeight w:val="369"/>
        </w:trPr>
        <w:tc>
          <w:tcPr>
            <w:tcW w:w="13845" w:type="dxa"/>
            <w:gridSpan w:val="5"/>
            <w:shd w:val="clear" w:color="auto" w:fill="D4D6DF"/>
            <w:vAlign w:val="center"/>
          </w:tcPr>
          <w:p w14:paraId="0861ABAF" w14:textId="0F6D7575" w:rsidR="0034037B" w:rsidRPr="001C4772" w:rsidRDefault="0034037B" w:rsidP="0034037B">
            <w:pPr>
              <w:spacing w:after="0"/>
              <w:rPr>
                <w:rFonts w:asciiTheme="minorHAnsi" w:eastAsia="Times New Roman" w:hAnsiTheme="minorHAnsi" w:cstheme="minorHAnsi"/>
                <w:color w:val="000000"/>
                <w:sz w:val="20"/>
                <w:szCs w:val="20"/>
                <w:lang w:eastAsia="en-AU"/>
              </w:rPr>
            </w:pPr>
            <w:r w:rsidRPr="001C4772">
              <w:rPr>
                <w:rFonts w:asciiTheme="minorHAnsi" w:eastAsia="Times New Roman" w:hAnsiTheme="minorHAnsi" w:cstheme="minorHAnsi"/>
                <w:b/>
                <w:bCs/>
                <w:color w:val="000000"/>
                <w:sz w:val="20"/>
                <w:szCs w:val="20"/>
                <w:lang w:eastAsia="en-AU"/>
              </w:rPr>
              <w:lastRenderedPageBreak/>
              <w:t>Fair and affordable for all</w:t>
            </w:r>
          </w:p>
        </w:tc>
      </w:tr>
      <w:tr w:rsidR="009F391A" w:rsidRPr="001C4772" w14:paraId="25500F5A" w14:textId="77777777" w:rsidTr="00A35FEB">
        <w:trPr>
          <w:trHeight w:val="369"/>
        </w:trPr>
        <w:tc>
          <w:tcPr>
            <w:tcW w:w="9493" w:type="dxa"/>
            <w:shd w:val="clear" w:color="auto" w:fill="auto"/>
            <w:vAlign w:val="center"/>
            <w:hideMark/>
          </w:tcPr>
          <w:p w14:paraId="74611B77" w14:textId="77777777" w:rsidR="009F391A" w:rsidRPr="001C4772" w:rsidRDefault="009F391A" w:rsidP="006C2FD8">
            <w:pPr>
              <w:spacing w:after="0"/>
              <w:rPr>
                <w:rFonts w:asciiTheme="minorHAnsi" w:eastAsia="Times New Roman" w:hAnsiTheme="minorHAnsi" w:cstheme="minorHAnsi"/>
                <w:sz w:val="20"/>
                <w:szCs w:val="20"/>
                <w:lang w:eastAsia="en-AU"/>
              </w:rPr>
            </w:pPr>
            <w:r w:rsidRPr="001C4772">
              <w:rPr>
                <w:rFonts w:asciiTheme="minorHAnsi" w:eastAsia="Times New Roman" w:hAnsiTheme="minorHAnsi" w:cstheme="minorHAnsi"/>
                <w:sz w:val="20"/>
                <w:szCs w:val="20"/>
                <w:lang w:eastAsia="en-AU"/>
              </w:rPr>
              <w:t xml:space="preserve">Operating cost per property (residential and non-residential). </w:t>
            </w:r>
          </w:p>
        </w:tc>
        <w:tc>
          <w:tcPr>
            <w:tcW w:w="1028" w:type="dxa"/>
            <w:shd w:val="clear" w:color="auto" w:fill="auto"/>
            <w:vAlign w:val="center"/>
            <w:hideMark/>
          </w:tcPr>
          <w:p w14:paraId="28DCEFF0" w14:textId="77777777" w:rsidR="009F391A" w:rsidRPr="001C4772" w:rsidRDefault="009F391A" w:rsidP="00A35FEB">
            <w:pPr>
              <w:spacing w:after="0"/>
              <w:ind w:left="-201" w:firstLineChars="100" w:firstLine="200"/>
              <w:jc w:val="center"/>
              <w:rPr>
                <w:rFonts w:asciiTheme="minorHAnsi" w:eastAsia="Times New Roman" w:hAnsiTheme="minorHAnsi" w:cstheme="minorHAnsi"/>
                <w:sz w:val="20"/>
                <w:szCs w:val="20"/>
                <w:lang w:eastAsia="en-AU"/>
              </w:rPr>
            </w:pPr>
            <w:r w:rsidRPr="001C4772">
              <w:rPr>
                <w:rFonts w:asciiTheme="minorHAnsi" w:eastAsia="Times New Roman" w:hAnsiTheme="minorHAnsi" w:cstheme="minorHAnsi"/>
                <w:sz w:val="20"/>
                <w:szCs w:val="20"/>
                <w:lang w:eastAsia="en-AU"/>
              </w:rPr>
              <w:t>$150</w:t>
            </w:r>
          </w:p>
        </w:tc>
        <w:tc>
          <w:tcPr>
            <w:tcW w:w="1087" w:type="dxa"/>
            <w:shd w:val="clear" w:color="auto" w:fill="auto"/>
            <w:vAlign w:val="center"/>
            <w:hideMark/>
          </w:tcPr>
          <w:p w14:paraId="3EED8947" w14:textId="77777777" w:rsidR="009F391A" w:rsidRPr="001C4772" w:rsidRDefault="009F391A" w:rsidP="00A35FEB">
            <w:pPr>
              <w:spacing w:after="0"/>
              <w:ind w:left="-145" w:firstLineChars="100" w:firstLine="200"/>
              <w:jc w:val="center"/>
              <w:rPr>
                <w:rFonts w:asciiTheme="minorHAnsi" w:eastAsia="Times New Roman" w:hAnsiTheme="minorHAnsi" w:cstheme="minorHAnsi"/>
                <w:sz w:val="20"/>
                <w:szCs w:val="20"/>
                <w:lang w:eastAsia="en-AU"/>
              </w:rPr>
            </w:pPr>
            <w:r w:rsidRPr="001C4772">
              <w:rPr>
                <w:rFonts w:asciiTheme="minorHAnsi" w:eastAsia="Times New Roman" w:hAnsiTheme="minorHAnsi" w:cstheme="minorHAnsi"/>
                <w:sz w:val="20"/>
                <w:szCs w:val="20"/>
                <w:lang w:eastAsia="en-AU"/>
              </w:rPr>
              <w:t>$154</w:t>
            </w:r>
          </w:p>
        </w:tc>
        <w:tc>
          <w:tcPr>
            <w:tcW w:w="1086" w:type="dxa"/>
            <w:shd w:val="clear" w:color="auto" w:fill="auto"/>
            <w:vAlign w:val="center"/>
            <w:hideMark/>
          </w:tcPr>
          <w:p w14:paraId="39B84063" w14:textId="77777777" w:rsidR="009F391A" w:rsidRPr="001C4772" w:rsidRDefault="009F391A" w:rsidP="00A35FEB">
            <w:pPr>
              <w:spacing w:after="0"/>
              <w:ind w:left="-145" w:firstLineChars="100" w:firstLine="200"/>
              <w:jc w:val="center"/>
              <w:rPr>
                <w:rFonts w:asciiTheme="minorHAnsi" w:eastAsia="Times New Roman" w:hAnsiTheme="minorHAnsi" w:cstheme="minorHAnsi"/>
                <w:sz w:val="20"/>
                <w:szCs w:val="20"/>
                <w:lang w:eastAsia="en-AU"/>
              </w:rPr>
            </w:pPr>
            <w:r w:rsidRPr="001C4772">
              <w:rPr>
                <w:rFonts w:asciiTheme="minorHAnsi" w:eastAsia="Times New Roman" w:hAnsiTheme="minorHAnsi" w:cstheme="minorHAnsi"/>
                <w:sz w:val="20"/>
                <w:szCs w:val="20"/>
                <w:lang w:eastAsia="en-AU"/>
              </w:rPr>
              <w:t>$151</w:t>
            </w:r>
          </w:p>
        </w:tc>
        <w:tc>
          <w:tcPr>
            <w:tcW w:w="1151" w:type="dxa"/>
            <w:shd w:val="clear" w:color="auto" w:fill="auto"/>
            <w:vAlign w:val="center"/>
            <w:hideMark/>
          </w:tcPr>
          <w:p w14:paraId="6C8AD667" w14:textId="77777777" w:rsidR="009F391A" w:rsidRPr="001C4772" w:rsidRDefault="009F391A" w:rsidP="00A35FEB">
            <w:pPr>
              <w:spacing w:after="0"/>
              <w:ind w:left="-47"/>
              <w:jc w:val="center"/>
              <w:rPr>
                <w:rFonts w:asciiTheme="minorHAnsi" w:eastAsia="Times New Roman" w:hAnsiTheme="minorHAnsi" w:cstheme="minorHAnsi"/>
                <w:color w:val="000000"/>
                <w:sz w:val="20"/>
                <w:szCs w:val="20"/>
                <w:lang w:eastAsia="en-AU"/>
              </w:rPr>
            </w:pPr>
            <w:r w:rsidRPr="001C4772">
              <w:rPr>
                <w:rFonts w:asciiTheme="minorHAnsi" w:eastAsia="Times New Roman" w:hAnsiTheme="minorHAnsi" w:cstheme="minorHAnsi"/>
                <w:color w:val="000000"/>
                <w:sz w:val="20"/>
                <w:szCs w:val="20"/>
                <w:lang w:eastAsia="en-AU"/>
              </w:rPr>
              <w:t>2</w:t>
            </w:r>
          </w:p>
        </w:tc>
      </w:tr>
      <w:tr w:rsidR="009F391A" w:rsidRPr="001C4772" w14:paraId="0F8A471C" w14:textId="77777777" w:rsidTr="00A35FEB">
        <w:trPr>
          <w:trHeight w:val="369"/>
        </w:trPr>
        <w:tc>
          <w:tcPr>
            <w:tcW w:w="9493" w:type="dxa"/>
            <w:shd w:val="clear" w:color="auto" w:fill="auto"/>
            <w:vAlign w:val="center"/>
            <w:hideMark/>
          </w:tcPr>
          <w:p w14:paraId="70FB85C1" w14:textId="77777777" w:rsidR="009F391A" w:rsidRPr="001C4772" w:rsidRDefault="009F391A" w:rsidP="006C2FD8">
            <w:pPr>
              <w:spacing w:after="0"/>
              <w:rPr>
                <w:rFonts w:asciiTheme="minorHAnsi" w:eastAsia="Times New Roman" w:hAnsiTheme="minorHAnsi" w:cstheme="minorHAnsi"/>
                <w:sz w:val="20"/>
                <w:szCs w:val="20"/>
                <w:lang w:eastAsia="en-AU"/>
              </w:rPr>
            </w:pPr>
            <w:r w:rsidRPr="001C4772">
              <w:rPr>
                <w:rFonts w:asciiTheme="minorHAnsi" w:eastAsia="Times New Roman" w:hAnsiTheme="minorHAnsi" w:cstheme="minorHAnsi"/>
                <w:sz w:val="20"/>
                <w:szCs w:val="20"/>
                <w:lang w:eastAsia="en-AU"/>
              </w:rPr>
              <w:t xml:space="preserve">Customers supported by South East Water Assist program </w:t>
            </w:r>
          </w:p>
        </w:tc>
        <w:tc>
          <w:tcPr>
            <w:tcW w:w="1028" w:type="dxa"/>
            <w:shd w:val="clear" w:color="auto" w:fill="auto"/>
            <w:vAlign w:val="center"/>
            <w:hideMark/>
          </w:tcPr>
          <w:p w14:paraId="5743FB0A" w14:textId="77777777" w:rsidR="009F391A" w:rsidRPr="001C4772" w:rsidRDefault="009F391A" w:rsidP="00A35FEB">
            <w:pPr>
              <w:spacing w:after="0"/>
              <w:ind w:left="-201" w:firstLineChars="100" w:firstLine="200"/>
              <w:jc w:val="center"/>
              <w:rPr>
                <w:rFonts w:asciiTheme="minorHAnsi" w:eastAsia="Times New Roman" w:hAnsiTheme="minorHAnsi" w:cstheme="minorHAnsi"/>
                <w:sz w:val="20"/>
                <w:szCs w:val="20"/>
                <w:lang w:eastAsia="en-AU"/>
              </w:rPr>
            </w:pPr>
            <w:r w:rsidRPr="001C4772">
              <w:rPr>
                <w:rFonts w:asciiTheme="minorHAnsi" w:eastAsia="Times New Roman" w:hAnsiTheme="minorHAnsi" w:cstheme="minorHAnsi"/>
                <w:sz w:val="20"/>
                <w:szCs w:val="20"/>
                <w:lang w:eastAsia="en-AU"/>
              </w:rPr>
              <w:t>6,147</w:t>
            </w:r>
          </w:p>
        </w:tc>
        <w:tc>
          <w:tcPr>
            <w:tcW w:w="1087" w:type="dxa"/>
            <w:shd w:val="clear" w:color="auto" w:fill="auto"/>
            <w:vAlign w:val="center"/>
            <w:hideMark/>
          </w:tcPr>
          <w:p w14:paraId="660291C3" w14:textId="77777777" w:rsidR="009F391A" w:rsidRPr="001C4772" w:rsidRDefault="009F391A" w:rsidP="00A35FEB">
            <w:pPr>
              <w:spacing w:after="0"/>
              <w:ind w:left="-145" w:firstLineChars="100" w:firstLine="200"/>
              <w:jc w:val="center"/>
              <w:rPr>
                <w:rFonts w:asciiTheme="minorHAnsi" w:eastAsia="Times New Roman" w:hAnsiTheme="minorHAnsi" w:cstheme="minorHAnsi"/>
                <w:sz w:val="20"/>
                <w:szCs w:val="20"/>
                <w:lang w:eastAsia="en-AU"/>
              </w:rPr>
            </w:pPr>
            <w:r w:rsidRPr="001C4772">
              <w:rPr>
                <w:rFonts w:asciiTheme="minorHAnsi" w:eastAsia="Times New Roman" w:hAnsiTheme="minorHAnsi" w:cstheme="minorHAnsi"/>
                <w:sz w:val="20"/>
                <w:szCs w:val="20"/>
                <w:lang w:eastAsia="en-AU"/>
              </w:rPr>
              <w:t>5,993</w:t>
            </w:r>
          </w:p>
        </w:tc>
        <w:tc>
          <w:tcPr>
            <w:tcW w:w="1086" w:type="dxa"/>
            <w:shd w:val="clear" w:color="auto" w:fill="auto"/>
            <w:vAlign w:val="center"/>
            <w:hideMark/>
          </w:tcPr>
          <w:p w14:paraId="0B9ECB99" w14:textId="77777777" w:rsidR="009F391A" w:rsidRPr="001C4772" w:rsidRDefault="009F391A" w:rsidP="00A35FEB">
            <w:pPr>
              <w:spacing w:after="0"/>
              <w:ind w:left="-145" w:firstLineChars="100" w:firstLine="200"/>
              <w:jc w:val="center"/>
              <w:rPr>
                <w:rFonts w:asciiTheme="minorHAnsi" w:eastAsia="Times New Roman" w:hAnsiTheme="minorHAnsi" w:cstheme="minorHAnsi"/>
                <w:sz w:val="20"/>
                <w:szCs w:val="20"/>
                <w:lang w:eastAsia="en-AU"/>
              </w:rPr>
            </w:pPr>
            <w:r w:rsidRPr="001C4772">
              <w:rPr>
                <w:rFonts w:asciiTheme="minorHAnsi" w:eastAsia="Times New Roman" w:hAnsiTheme="minorHAnsi" w:cstheme="minorHAnsi"/>
                <w:sz w:val="20"/>
                <w:szCs w:val="20"/>
                <w:lang w:eastAsia="en-AU"/>
              </w:rPr>
              <w:t>7,102</w:t>
            </w:r>
          </w:p>
        </w:tc>
        <w:tc>
          <w:tcPr>
            <w:tcW w:w="1151" w:type="dxa"/>
            <w:shd w:val="clear" w:color="auto" w:fill="auto"/>
            <w:vAlign w:val="center"/>
            <w:hideMark/>
          </w:tcPr>
          <w:p w14:paraId="65F55351" w14:textId="77777777" w:rsidR="009F391A" w:rsidRPr="001C4772" w:rsidRDefault="009F391A" w:rsidP="00A35FEB">
            <w:pPr>
              <w:spacing w:after="0"/>
              <w:ind w:left="-47"/>
              <w:jc w:val="center"/>
              <w:rPr>
                <w:rFonts w:asciiTheme="minorHAnsi" w:eastAsia="Times New Roman" w:hAnsiTheme="minorHAnsi" w:cstheme="minorHAnsi"/>
                <w:color w:val="000000"/>
                <w:sz w:val="20"/>
                <w:szCs w:val="20"/>
                <w:lang w:eastAsia="en-AU"/>
              </w:rPr>
            </w:pPr>
            <w:r w:rsidRPr="001C4772">
              <w:rPr>
                <w:rFonts w:asciiTheme="minorHAnsi" w:eastAsia="Times New Roman" w:hAnsiTheme="minorHAnsi" w:cstheme="minorHAnsi"/>
                <w:color w:val="000000"/>
                <w:sz w:val="20"/>
                <w:szCs w:val="20"/>
                <w:lang w:eastAsia="en-AU"/>
              </w:rPr>
              <w:t>3</w:t>
            </w:r>
          </w:p>
        </w:tc>
      </w:tr>
      <w:tr w:rsidR="009F391A" w:rsidRPr="001C4772" w14:paraId="3BFE39F4" w14:textId="77777777" w:rsidTr="00A35FEB">
        <w:trPr>
          <w:trHeight w:val="369"/>
        </w:trPr>
        <w:tc>
          <w:tcPr>
            <w:tcW w:w="9493" w:type="dxa"/>
            <w:shd w:val="clear" w:color="auto" w:fill="auto"/>
            <w:vAlign w:val="center"/>
            <w:hideMark/>
          </w:tcPr>
          <w:p w14:paraId="36B3916C" w14:textId="77777777" w:rsidR="009F391A" w:rsidRPr="001C4772" w:rsidRDefault="009F391A" w:rsidP="006C2FD8">
            <w:pPr>
              <w:spacing w:after="0"/>
              <w:rPr>
                <w:rFonts w:asciiTheme="minorHAnsi" w:eastAsia="Times New Roman" w:hAnsiTheme="minorHAnsi" w:cstheme="minorHAnsi"/>
                <w:sz w:val="20"/>
                <w:szCs w:val="20"/>
                <w:lang w:eastAsia="en-AU"/>
              </w:rPr>
            </w:pPr>
            <w:r w:rsidRPr="001C4772">
              <w:rPr>
                <w:rFonts w:asciiTheme="minorHAnsi" w:eastAsia="Times New Roman" w:hAnsiTheme="minorHAnsi" w:cstheme="minorHAnsi"/>
                <w:sz w:val="20"/>
                <w:szCs w:val="20"/>
                <w:lang w:eastAsia="en-AU"/>
              </w:rPr>
              <w:t>Average level of debt upon entry to South East Water Assist program</w:t>
            </w:r>
          </w:p>
        </w:tc>
        <w:tc>
          <w:tcPr>
            <w:tcW w:w="1028" w:type="dxa"/>
            <w:shd w:val="clear" w:color="auto" w:fill="auto"/>
            <w:vAlign w:val="center"/>
            <w:hideMark/>
          </w:tcPr>
          <w:p w14:paraId="05CCDACA" w14:textId="77777777" w:rsidR="009F391A" w:rsidRPr="001C4772" w:rsidRDefault="009F391A" w:rsidP="00A35FEB">
            <w:pPr>
              <w:spacing w:after="0"/>
              <w:ind w:left="-201" w:firstLineChars="100" w:firstLine="200"/>
              <w:jc w:val="center"/>
              <w:rPr>
                <w:rFonts w:asciiTheme="minorHAnsi" w:eastAsia="Times New Roman" w:hAnsiTheme="minorHAnsi" w:cstheme="minorHAnsi"/>
                <w:sz w:val="20"/>
                <w:szCs w:val="20"/>
                <w:lang w:eastAsia="en-AU"/>
              </w:rPr>
            </w:pPr>
            <w:r w:rsidRPr="001C4772">
              <w:rPr>
                <w:rFonts w:asciiTheme="minorHAnsi" w:eastAsia="Times New Roman" w:hAnsiTheme="minorHAnsi" w:cstheme="minorHAnsi"/>
                <w:sz w:val="20"/>
                <w:szCs w:val="20"/>
                <w:lang w:eastAsia="en-AU"/>
              </w:rPr>
              <w:t>$800</w:t>
            </w:r>
          </w:p>
        </w:tc>
        <w:tc>
          <w:tcPr>
            <w:tcW w:w="1087" w:type="dxa"/>
            <w:shd w:val="clear" w:color="auto" w:fill="auto"/>
            <w:vAlign w:val="center"/>
            <w:hideMark/>
          </w:tcPr>
          <w:p w14:paraId="1EF21C1A" w14:textId="77777777" w:rsidR="009F391A" w:rsidRPr="001C4772" w:rsidRDefault="009F391A" w:rsidP="00A35FEB">
            <w:pPr>
              <w:spacing w:after="0"/>
              <w:ind w:left="-145" w:firstLineChars="100" w:firstLine="200"/>
              <w:jc w:val="center"/>
              <w:rPr>
                <w:rFonts w:asciiTheme="minorHAnsi" w:eastAsia="Times New Roman" w:hAnsiTheme="minorHAnsi" w:cstheme="minorHAnsi"/>
                <w:sz w:val="20"/>
                <w:szCs w:val="20"/>
                <w:lang w:eastAsia="en-AU"/>
              </w:rPr>
            </w:pPr>
            <w:r w:rsidRPr="001C4772">
              <w:rPr>
                <w:rFonts w:asciiTheme="minorHAnsi" w:eastAsia="Times New Roman" w:hAnsiTheme="minorHAnsi" w:cstheme="minorHAnsi"/>
                <w:sz w:val="20"/>
                <w:szCs w:val="20"/>
                <w:lang w:eastAsia="en-AU"/>
              </w:rPr>
              <w:t>$900</w:t>
            </w:r>
          </w:p>
        </w:tc>
        <w:tc>
          <w:tcPr>
            <w:tcW w:w="1086" w:type="dxa"/>
            <w:shd w:val="clear" w:color="auto" w:fill="auto"/>
            <w:vAlign w:val="center"/>
            <w:hideMark/>
          </w:tcPr>
          <w:p w14:paraId="492CC512" w14:textId="77777777" w:rsidR="009F391A" w:rsidRPr="001C4772" w:rsidRDefault="009F391A" w:rsidP="00A35FEB">
            <w:pPr>
              <w:spacing w:after="0"/>
              <w:ind w:left="-145" w:firstLineChars="100" w:firstLine="200"/>
              <w:jc w:val="center"/>
              <w:rPr>
                <w:rFonts w:asciiTheme="minorHAnsi" w:eastAsia="Times New Roman" w:hAnsiTheme="minorHAnsi" w:cstheme="minorHAnsi"/>
                <w:sz w:val="20"/>
                <w:szCs w:val="20"/>
                <w:lang w:eastAsia="en-AU"/>
              </w:rPr>
            </w:pPr>
            <w:r w:rsidRPr="001C4772">
              <w:rPr>
                <w:rFonts w:asciiTheme="minorHAnsi" w:eastAsia="Times New Roman" w:hAnsiTheme="minorHAnsi" w:cstheme="minorHAnsi"/>
                <w:sz w:val="20"/>
                <w:szCs w:val="20"/>
                <w:lang w:eastAsia="en-AU"/>
              </w:rPr>
              <w:t>$650</w:t>
            </w:r>
          </w:p>
        </w:tc>
        <w:tc>
          <w:tcPr>
            <w:tcW w:w="1151" w:type="dxa"/>
            <w:shd w:val="clear" w:color="auto" w:fill="auto"/>
            <w:vAlign w:val="center"/>
            <w:hideMark/>
          </w:tcPr>
          <w:p w14:paraId="55912326" w14:textId="77777777" w:rsidR="009F391A" w:rsidRPr="001C4772" w:rsidRDefault="009F391A" w:rsidP="00A35FEB">
            <w:pPr>
              <w:spacing w:after="0"/>
              <w:ind w:left="-47"/>
              <w:jc w:val="center"/>
              <w:rPr>
                <w:rFonts w:asciiTheme="minorHAnsi" w:eastAsia="Times New Roman" w:hAnsiTheme="minorHAnsi" w:cstheme="minorHAnsi"/>
                <w:color w:val="000000"/>
                <w:sz w:val="20"/>
                <w:szCs w:val="20"/>
                <w:lang w:eastAsia="en-AU"/>
              </w:rPr>
            </w:pPr>
            <w:r w:rsidRPr="001C4772">
              <w:rPr>
                <w:rFonts w:asciiTheme="minorHAnsi" w:eastAsia="Times New Roman" w:hAnsiTheme="minorHAnsi" w:cstheme="minorHAnsi"/>
                <w:color w:val="000000"/>
                <w:sz w:val="20"/>
                <w:szCs w:val="20"/>
                <w:lang w:eastAsia="en-AU"/>
              </w:rPr>
              <w:t>3</w:t>
            </w:r>
          </w:p>
        </w:tc>
      </w:tr>
      <w:tr w:rsidR="0034037B" w:rsidRPr="001C4772" w14:paraId="4DEC6A94" w14:textId="77777777" w:rsidTr="00A35FEB">
        <w:trPr>
          <w:trHeight w:val="369"/>
        </w:trPr>
        <w:tc>
          <w:tcPr>
            <w:tcW w:w="13845" w:type="dxa"/>
            <w:gridSpan w:val="5"/>
            <w:shd w:val="clear" w:color="auto" w:fill="D4D6DF"/>
            <w:vAlign w:val="center"/>
          </w:tcPr>
          <w:p w14:paraId="0C7A611E" w14:textId="5D8032EC" w:rsidR="0034037B" w:rsidRPr="001C4772" w:rsidRDefault="0034037B" w:rsidP="0034037B">
            <w:pPr>
              <w:spacing w:after="0"/>
              <w:rPr>
                <w:rFonts w:asciiTheme="minorHAnsi" w:eastAsia="Times New Roman" w:hAnsiTheme="minorHAnsi" w:cstheme="minorHAnsi"/>
                <w:color w:val="000000"/>
                <w:sz w:val="20"/>
                <w:szCs w:val="20"/>
                <w:lang w:eastAsia="en-AU"/>
              </w:rPr>
            </w:pPr>
            <w:r w:rsidRPr="001C4772">
              <w:rPr>
                <w:rFonts w:asciiTheme="minorHAnsi" w:eastAsia="Times New Roman" w:hAnsiTheme="minorHAnsi" w:cstheme="minorHAnsi"/>
                <w:b/>
                <w:bCs/>
                <w:color w:val="000000"/>
                <w:sz w:val="20"/>
                <w:szCs w:val="20"/>
                <w:lang w:eastAsia="en-AU"/>
              </w:rPr>
              <w:t>Make my experience better</w:t>
            </w:r>
          </w:p>
        </w:tc>
      </w:tr>
      <w:tr w:rsidR="009F391A" w:rsidRPr="001C4772" w14:paraId="12E5CAAC" w14:textId="77777777" w:rsidTr="00A35FEB">
        <w:trPr>
          <w:trHeight w:val="369"/>
        </w:trPr>
        <w:tc>
          <w:tcPr>
            <w:tcW w:w="9493" w:type="dxa"/>
            <w:shd w:val="clear" w:color="auto" w:fill="auto"/>
            <w:vAlign w:val="center"/>
            <w:hideMark/>
          </w:tcPr>
          <w:p w14:paraId="21DDB61C" w14:textId="77777777" w:rsidR="009F391A" w:rsidRPr="001C4772" w:rsidRDefault="009F391A" w:rsidP="006C2FD8">
            <w:pPr>
              <w:spacing w:after="0"/>
              <w:rPr>
                <w:rFonts w:asciiTheme="minorHAnsi" w:eastAsia="Times New Roman" w:hAnsiTheme="minorHAnsi" w:cstheme="minorHAnsi"/>
                <w:sz w:val="20"/>
                <w:szCs w:val="20"/>
                <w:lang w:eastAsia="en-AU"/>
              </w:rPr>
            </w:pPr>
            <w:r w:rsidRPr="001C4772">
              <w:rPr>
                <w:rFonts w:asciiTheme="minorHAnsi" w:eastAsia="Times New Roman" w:hAnsiTheme="minorHAnsi" w:cstheme="minorHAnsi"/>
                <w:sz w:val="20"/>
                <w:szCs w:val="20"/>
                <w:lang w:eastAsia="en-AU"/>
              </w:rPr>
              <w:t>Customers satisfied (rating of 6 or above out of 10) via SEW's post-interaction survey</w:t>
            </w:r>
          </w:p>
        </w:tc>
        <w:tc>
          <w:tcPr>
            <w:tcW w:w="1028" w:type="dxa"/>
            <w:shd w:val="clear" w:color="auto" w:fill="auto"/>
            <w:vAlign w:val="center"/>
            <w:hideMark/>
          </w:tcPr>
          <w:p w14:paraId="741F8870" w14:textId="77777777" w:rsidR="009F391A" w:rsidRPr="001C4772" w:rsidRDefault="009F391A" w:rsidP="00A35FEB">
            <w:pPr>
              <w:spacing w:after="0"/>
              <w:ind w:left="-201" w:firstLineChars="100" w:firstLine="200"/>
              <w:jc w:val="center"/>
              <w:rPr>
                <w:rFonts w:asciiTheme="minorHAnsi" w:eastAsia="Times New Roman" w:hAnsiTheme="minorHAnsi" w:cstheme="minorHAnsi"/>
                <w:sz w:val="20"/>
                <w:szCs w:val="20"/>
                <w:lang w:eastAsia="en-AU"/>
              </w:rPr>
            </w:pPr>
            <w:r w:rsidRPr="001C4772">
              <w:rPr>
                <w:rFonts w:asciiTheme="minorHAnsi" w:eastAsia="Times New Roman" w:hAnsiTheme="minorHAnsi" w:cstheme="minorHAnsi"/>
                <w:sz w:val="20"/>
                <w:szCs w:val="20"/>
                <w:lang w:eastAsia="en-AU"/>
              </w:rPr>
              <w:t>85%</w:t>
            </w:r>
          </w:p>
        </w:tc>
        <w:tc>
          <w:tcPr>
            <w:tcW w:w="1087" w:type="dxa"/>
            <w:shd w:val="clear" w:color="auto" w:fill="auto"/>
            <w:vAlign w:val="center"/>
            <w:hideMark/>
          </w:tcPr>
          <w:p w14:paraId="78C234DC" w14:textId="77777777" w:rsidR="009F391A" w:rsidRPr="001C4772" w:rsidRDefault="009F391A" w:rsidP="00A35FEB">
            <w:pPr>
              <w:spacing w:after="0"/>
              <w:ind w:left="-145" w:firstLineChars="100" w:firstLine="200"/>
              <w:jc w:val="center"/>
              <w:rPr>
                <w:rFonts w:asciiTheme="minorHAnsi" w:eastAsia="Times New Roman" w:hAnsiTheme="minorHAnsi" w:cstheme="minorHAnsi"/>
                <w:sz w:val="20"/>
                <w:szCs w:val="20"/>
                <w:lang w:eastAsia="en-AU"/>
              </w:rPr>
            </w:pPr>
            <w:r w:rsidRPr="001C4772">
              <w:rPr>
                <w:rFonts w:asciiTheme="minorHAnsi" w:eastAsia="Times New Roman" w:hAnsiTheme="minorHAnsi" w:cstheme="minorHAnsi"/>
                <w:sz w:val="20"/>
                <w:szCs w:val="20"/>
                <w:lang w:eastAsia="en-AU"/>
              </w:rPr>
              <w:t>80%</w:t>
            </w:r>
          </w:p>
        </w:tc>
        <w:tc>
          <w:tcPr>
            <w:tcW w:w="1086" w:type="dxa"/>
            <w:shd w:val="clear" w:color="auto" w:fill="auto"/>
            <w:vAlign w:val="center"/>
            <w:hideMark/>
          </w:tcPr>
          <w:p w14:paraId="4D72C5A5" w14:textId="77777777" w:rsidR="009F391A" w:rsidRPr="001C4772" w:rsidRDefault="009F391A" w:rsidP="00A35FEB">
            <w:pPr>
              <w:spacing w:after="0"/>
              <w:ind w:left="-145" w:firstLineChars="100" w:firstLine="200"/>
              <w:jc w:val="center"/>
              <w:rPr>
                <w:rFonts w:asciiTheme="minorHAnsi" w:eastAsia="Times New Roman" w:hAnsiTheme="minorHAnsi" w:cstheme="minorHAnsi"/>
                <w:sz w:val="20"/>
                <w:szCs w:val="20"/>
                <w:lang w:eastAsia="en-AU"/>
              </w:rPr>
            </w:pPr>
            <w:r w:rsidRPr="001C4772">
              <w:rPr>
                <w:rFonts w:asciiTheme="minorHAnsi" w:eastAsia="Times New Roman" w:hAnsiTheme="minorHAnsi" w:cstheme="minorHAnsi"/>
                <w:sz w:val="20"/>
                <w:szCs w:val="20"/>
                <w:lang w:eastAsia="en-AU"/>
              </w:rPr>
              <w:t>82%</w:t>
            </w:r>
          </w:p>
        </w:tc>
        <w:tc>
          <w:tcPr>
            <w:tcW w:w="1151" w:type="dxa"/>
            <w:shd w:val="clear" w:color="auto" w:fill="auto"/>
            <w:vAlign w:val="center"/>
            <w:hideMark/>
          </w:tcPr>
          <w:p w14:paraId="4715302B" w14:textId="77777777" w:rsidR="009F391A" w:rsidRPr="001C4772" w:rsidRDefault="009F391A" w:rsidP="00A35FEB">
            <w:pPr>
              <w:spacing w:after="0"/>
              <w:ind w:left="-47"/>
              <w:jc w:val="center"/>
              <w:rPr>
                <w:rFonts w:asciiTheme="minorHAnsi" w:eastAsia="Times New Roman" w:hAnsiTheme="minorHAnsi" w:cstheme="minorHAnsi"/>
                <w:color w:val="000000"/>
                <w:sz w:val="20"/>
                <w:szCs w:val="20"/>
                <w:lang w:eastAsia="en-AU"/>
              </w:rPr>
            </w:pPr>
            <w:r w:rsidRPr="001C4772">
              <w:rPr>
                <w:rFonts w:asciiTheme="minorHAnsi" w:eastAsia="Times New Roman" w:hAnsiTheme="minorHAnsi" w:cstheme="minorHAnsi"/>
                <w:color w:val="000000"/>
                <w:sz w:val="20"/>
                <w:szCs w:val="20"/>
                <w:lang w:eastAsia="en-AU"/>
              </w:rPr>
              <w:t>2</w:t>
            </w:r>
          </w:p>
        </w:tc>
      </w:tr>
      <w:tr w:rsidR="009F391A" w:rsidRPr="001C4772" w14:paraId="72397BB8" w14:textId="77777777" w:rsidTr="00A35FEB">
        <w:trPr>
          <w:trHeight w:val="369"/>
        </w:trPr>
        <w:tc>
          <w:tcPr>
            <w:tcW w:w="9493" w:type="dxa"/>
            <w:shd w:val="clear" w:color="auto" w:fill="auto"/>
            <w:vAlign w:val="center"/>
            <w:hideMark/>
          </w:tcPr>
          <w:p w14:paraId="647AD253" w14:textId="77777777" w:rsidR="009F391A" w:rsidRPr="001C4772" w:rsidRDefault="009F391A" w:rsidP="006C2FD8">
            <w:pPr>
              <w:spacing w:after="0"/>
              <w:rPr>
                <w:rFonts w:asciiTheme="minorHAnsi" w:eastAsia="Times New Roman" w:hAnsiTheme="minorHAnsi" w:cstheme="minorHAnsi"/>
                <w:sz w:val="20"/>
                <w:szCs w:val="20"/>
                <w:lang w:eastAsia="en-AU"/>
              </w:rPr>
            </w:pPr>
            <w:r w:rsidRPr="001C4772">
              <w:rPr>
                <w:rFonts w:asciiTheme="minorHAnsi" w:eastAsia="Times New Roman" w:hAnsiTheme="minorHAnsi" w:cstheme="minorHAnsi"/>
                <w:sz w:val="20"/>
                <w:szCs w:val="20"/>
                <w:lang w:eastAsia="en-AU"/>
              </w:rPr>
              <w:t>Customers who consider SEW provides value for money (rating of 6 or above out of 10) via SEW's post interaction survey</w:t>
            </w:r>
          </w:p>
        </w:tc>
        <w:tc>
          <w:tcPr>
            <w:tcW w:w="1028" w:type="dxa"/>
            <w:shd w:val="clear" w:color="auto" w:fill="auto"/>
            <w:vAlign w:val="center"/>
            <w:hideMark/>
          </w:tcPr>
          <w:p w14:paraId="32549633" w14:textId="77777777" w:rsidR="009F391A" w:rsidRPr="001C4772" w:rsidRDefault="009F391A" w:rsidP="00A35FEB">
            <w:pPr>
              <w:spacing w:after="0"/>
              <w:ind w:left="-201" w:firstLineChars="100" w:firstLine="200"/>
              <w:jc w:val="center"/>
              <w:rPr>
                <w:rFonts w:asciiTheme="minorHAnsi" w:eastAsia="Times New Roman" w:hAnsiTheme="minorHAnsi" w:cstheme="minorHAnsi"/>
                <w:sz w:val="20"/>
                <w:szCs w:val="20"/>
                <w:lang w:eastAsia="en-AU"/>
              </w:rPr>
            </w:pPr>
            <w:r w:rsidRPr="001C4772">
              <w:rPr>
                <w:rFonts w:asciiTheme="minorHAnsi" w:eastAsia="Times New Roman" w:hAnsiTheme="minorHAnsi" w:cstheme="minorHAnsi"/>
                <w:sz w:val="20"/>
                <w:szCs w:val="20"/>
                <w:lang w:eastAsia="en-AU"/>
              </w:rPr>
              <w:t>71%</w:t>
            </w:r>
          </w:p>
        </w:tc>
        <w:tc>
          <w:tcPr>
            <w:tcW w:w="1087" w:type="dxa"/>
            <w:shd w:val="clear" w:color="auto" w:fill="auto"/>
            <w:vAlign w:val="center"/>
            <w:hideMark/>
          </w:tcPr>
          <w:p w14:paraId="7212F758" w14:textId="77777777" w:rsidR="009F391A" w:rsidRPr="001C4772" w:rsidRDefault="009F391A" w:rsidP="00A35FEB">
            <w:pPr>
              <w:spacing w:after="0"/>
              <w:ind w:left="-145" w:firstLineChars="100" w:firstLine="200"/>
              <w:jc w:val="center"/>
              <w:rPr>
                <w:rFonts w:asciiTheme="minorHAnsi" w:eastAsia="Times New Roman" w:hAnsiTheme="minorHAnsi" w:cstheme="minorHAnsi"/>
                <w:sz w:val="20"/>
                <w:szCs w:val="20"/>
                <w:lang w:eastAsia="en-AU"/>
              </w:rPr>
            </w:pPr>
            <w:r w:rsidRPr="001C4772">
              <w:rPr>
                <w:rFonts w:asciiTheme="minorHAnsi" w:eastAsia="Times New Roman" w:hAnsiTheme="minorHAnsi" w:cstheme="minorHAnsi"/>
                <w:sz w:val="20"/>
                <w:szCs w:val="20"/>
                <w:lang w:eastAsia="en-AU"/>
              </w:rPr>
              <w:t>66%</w:t>
            </w:r>
          </w:p>
        </w:tc>
        <w:tc>
          <w:tcPr>
            <w:tcW w:w="1086" w:type="dxa"/>
            <w:shd w:val="clear" w:color="auto" w:fill="auto"/>
            <w:vAlign w:val="center"/>
            <w:hideMark/>
          </w:tcPr>
          <w:p w14:paraId="5CA7DC7C" w14:textId="77777777" w:rsidR="009F391A" w:rsidRPr="001C4772" w:rsidRDefault="009F391A" w:rsidP="00A35FEB">
            <w:pPr>
              <w:spacing w:after="0"/>
              <w:ind w:left="-145" w:firstLineChars="100" w:firstLine="200"/>
              <w:jc w:val="center"/>
              <w:rPr>
                <w:rFonts w:asciiTheme="minorHAnsi" w:eastAsia="Times New Roman" w:hAnsiTheme="minorHAnsi" w:cstheme="minorHAnsi"/>
                <w:sz w:val="20"/>
                <w:szCs w:val="20"/>
                <w:lang w:eastAsia="en-AU"/>
              </w:rPr>
            </w:pPr>
            <w:r w:rsidRPr="001C4772">
              <w:rPr>
                <w:rFonts w:asciiTheme="minorHAnsi" w:eastAsia="Times New Roman" w:hAnsiTheme="minorHAnsi" w:cstheme="minorHAnsi"/>
                <w:sz w:val="20"/>
                <w:szCs w:val="20"/>
                <w:lang w:eastAsia="en-AU"/>
              </w:rPr>
              <w:t>72%</w:t>
            </w:r>
          </w:p>
        </w:tc>
        <w:tc>
          <w:tcPr>
            <w:tcW w:w="1151" w:type="dxa"/>
            <w:shd w:val="clear" w:color="auto" w:fill="auto"/>
            <w:vAlign w:val="center"/>
            <w:hideMark/>
          </w:tcPr>
          <w:p w14:paraId="2EC26215" w14:textId="77777777" w:rsidR="009F391A" w:rsidRPr="001C4772" w:rsidRDefault="009F391A" w:rsidP="00A35FEB">
            <w:pPr>
              <w:spacing w:after="0"/>
              <w:ind w:left="-47"/>
              <w:jc w:val="center"/>
              <w:rPr>
                <w:rFonts w:asciiTheme="minorHAnsi" w:eastAsia="Times New Roman" w:hAnsiTheme="minorHAnsi" w:cstheme="minorHAnsi"/>
                <w:color w:val="000000"/>
                <w:sz w:val="20"/>
                <w:szCs w:val="20"/>
                <w:lang w:eastAsia="en-AU"/>
              </w:rPr>
            </w:pPr>
            <w:r w:rsidRPr="001C4772">
              <w:rPr>
                <w:rFonts w:asciiTheme="minorHAnsi" w:eastAsia="Times New Roman" w:hAnsiTheme="minorHAnsi" w:cstheme="minorHAnsi"/>
                <w:color w:val="000000"/>
                <w:sz w:val="20"/>
                <w:szCs w:val="20"/>
                <w:lang w:eastAsia="en-AU"/>
              </w:rPr>
              <w:t>3</w:t>
            </w:r>
          </w:p>
        </w:tc>
      </w:tr>
      <w:tr w:rsidR="009F391A" w:rsidRPr="001C4772" w14:paraId="1B3853B2" w14:textId="77777777" w:rsidTr="00A35FEB">
        <w:trPr>
          <w:trHeight w:val="369"/>
        </w:trPr>
        <w:tc>
          <w:tcPr>
            <w:tcW w:w="9493" w:type="dxa"/>
            <w:shd w:val="clear" w:color="auto" w:fill="auto"/>
            <w:vAlign w:val="center"/>
            <w:hideMark/>
          </w:tcPr>
          <w:p w14:paraId="60B16D93" w14:textId="77777777" w:rsidR="009F391A" w:rsidRPr="001C4772" w:rsidRDefault="009F391A" w:rsidP="006C2FD8">
            <w:pPr>
              <w:spacing w:after="0"/>
              <w:rPr>
                <w:rFonts w:asciiTheme="minorHAnsi" w:eastAsia="Times New Roman" w:hAnsiTheme="minorHAnsi" w:cstheme="minorHAnsi"/>
                <w:sz w:val="20"/>
                <w:szCs w:val="20"/>
                <w:lang w:eastAsia="en-AU"/>
              </w:rPr>
            </w:pPr>
            <w:r w:rsidRPr="001C4772">
              <w:rPr>
                <w:rFonts w:asciiTheme="minorHAnsi" w:eastAsia="Times New Roman" w:hAnsiTheme="minorHAnsi" w:cstheme="minorHAnsi"/>
                <w:sz w:val="20"/>
                <w:szCs w:val="20"/>
                <w:lang w:eastAsia="en-AU"/>
              </w:rPr>
              <w:t>Total complaints per 100 customers</w:t>
            </w:r>
          </w:p>
        </w:tc>
        <w:tc>
          <w:tcPr>
            <w:tcW w:w="1028" w:type="dxa"/>
            <w:shd w:val="clear" w:color="auto" w:fill="auto"/>
            <w:vAlign w:val="center"/>
            <w:hideMark/>
          </w:tcPr>
          <w:p w14:paraId="22EF5F04" w14:textId="77777777" w:rsidR="009F391A" w:rsidRPr="001C4772" w:rsidRDefault="009F391A" w:rsidP="00A35FEB">
            <w:pPr>
              <w:spacing w:after="0"/>
              <w:ind w:left="-201" w:firstLineChars="100" w:firstLine="200"/>
              <w:jc w:val="center"/>
              <w:rPr>
                <w:rFonts w:asciiTheme="minorHAnsi" w:eastAsia="Times New Roman" w:hAnsiTheme="minorHAnsi" w:cstheme="minorHAnsi"/>
                <w:sz w:val="20"/>
                <w:szCs w:val="20"/>
                <w:lang w:eastAsia="en-AU"/>
              </w:rPr>
            </w:pPr>
            <w:r w:rsidRPr="001C4772">
              <w:rPr>
                <w:rFonts w:asciiTheme="minorHAnsi" w:eastAsia="Times New Roman" w:hAnsiTheme="minorHAnsi" w:cstheme="minorHAnsi"/>
                <w:sz w:val="20"/>
                <w:szCs w:val="20"/>
                <w:lang w:eastAsia="en-AU"/>
              </w:rPr>
              <w:t>0.38</w:t>
            </w:r>
          </w:p>
        </w:tc>
        <w:tc>
          <w:tcPr>
            <w:tcW w:w="1087" w:type="dxa"/>
            <w:shd w:val="clear" w:color="auto" w:fill="auto"/>
            <w:vAlign w:val="center"/>
            <w:hideMark/>
          </w:tcPr>
          <w:p w14:paraId="541CE4C2" w14:textId="77777777" w:rsidR="009F391A" w:rsidRPr="001C4772" w:rsidRDefault="009F391A" w:rsidP="00A35FEB">
            <w:pPr>
              <w:spacing w:after="0"/>
              <w:ind w:left="-145" w:firstLineChars="100" w:firstLine="200"/>
              <w:jc w:val="center"/>
              <w:rPr>
                <w:rFonts w:asciiTheme="minorHAnsi" w:eastAsia="Times New Roman" w:hAnsiTheme="minorHAnsi" w:cstheme="minorHAnsi"/>
                <w:sz w:val="20"/>
                <w:szCs w:val="20"/>
                <w:lang w:eastAsia="en-AU"/>
              </w:rPr>
            </w:pPr>
            <w:r w:rsidRPr="001C4772">
              <w:rPr>
                <w:rFonts w:asciiTheme="minorHAnsi" w:eastAsia="Times New Roman" w:hAnsiTheme="minorHAnsi" w:cstheme="minorHAnsi"/>
                <w:sz w:val="20"/>
                <w:szCs w:val="20"/>
                <w:lang w:eastAsia="en-AU"/>
              </w:rPr>
              <w:t>0.42</w:t>
            </w:r>
          </w:p>
        </w:tc>
        <w:tc>
          <w:tcPr>
            <w:tcW w:w="1086" w:type="dxa"/>
            <w:shd w:val="clear" w:color="auto" w:fill="auto"/>
            <w:vAlign w:val="center"/>
            <w:hideMark/>
          </w:tcPr>
          <w:p w14:paraId="7380CB2D" w14:textId="77777777" w:rsidR="009F391A" w:rsidRPr="001C4772" w:rsidRDefault="009F391A" w:rsidP="00A35FEB">
            <w:pPr>
              <w:spacing w:after="0"/>
              <w:ind w:left="-145" w:firstLineChars="100" w:firstLine="200"/>
              <w:jc w:val="center"/>
              <w:rPr>
                <w:rFonts w:asciiTheme="minorHAnsi" w:eastAsia="Times New Roman" w:hAnsiTheme="minorHAnsi" w:cstheme="minorHAnsi"/>
                <w:sz w:val="20"/>
                <w:szCs w:val="20"/>
                <w:lang w:eastAsia="en-AU"/>
              </w:rPr>
            </w:pPr>
            <w:r w:rsidRPr="001C4772">
              <w:rPr>
                <w:rFonts w:asciiTheme="minorHAnsi" w:eastAsia="Times New Roman" w:hAnsiTheme="minorHAnsi" w:cstheme="minorHAnsi"/>
                <w:sz w:val="20"/>
                <w:szCs w:val="20"/>
                <w:lang w:eastAsia="en-AU"/>
              </w:rPr>
              <w:t>0.57</w:t>
            </w:r>
          </w:p>
        </w:tc>
        <w:tc>
          <w:tcPr>
            <w:tcW w:w="1151" w:type="dxa"/>
            <w:shd w:val="clear" w:color="auto" w:fill="auto"/>
            <w:vAlign w:val="center"/>
            <w:hideMark/>
          </w:tcPr>
          <w:p w14:paraId="2EFF8259" w14:textId="77777777" w:rsidR="009F391A" w:rsidRPr="001C4772" w:rsidRDefault="009F391A" w:rsidP="00A35FEB">
            <w:pPr>
              <w:spacing w:after="0"/>
              <w:ind w:left="-47"/>
              <w:jc w:val="center"/>
              <w:rPr>
                <w:rFonts w:asciiTheme="minorHAnsi" w:eastAsia="Times New Roman" w:hAnsiTheme="minorHAnsi" w:cstheme="minorHAnsi"/>
                <w:color w:val="000000"/>
                <w:sz w:val="20"/>
                <w:szCs w:val="20"/>
                <w:lang w:eastAsia="en-AU"/>
              </w:rPr>
            </w:pPr>
            <w:r w:rsidRPr="001C4772">
              <w:rPr>
                <w:rFonts w:asciiTheme="minorHAnsi" w:eastAsia="Times New Roman" w:hAnsiTheme="minorHAnsi" w:cstheme="minorHAnsi"/>
                <w:color w:val="000000"/>
                <w:sz w:val="20"/>
                <w:szCs w:val="20"/>
                <w:lang w:eastAsia="en-AU"/>
              </w:rPr>
              <w:t>1</w:t>
            </w:r>
          </w:p>
        </w:tc>
      </w:tr>
      <w:tr w:rsidR="0034037B" w:rsidRPr="001C4772" w14:paraId="6B259CEE" w14:textId="77777777" w:rsidTr="00A35FEB">
        <w:trPr>
          <w:trHeight w:val="369"/>
        </w:trPr>
        <w:tc>
          <w:tcPr>
            <w:tcW w:w="13845" w:type="dxa"/>
            <w:gridSpan w:val="5"/>
            <w:shd w:val="clear" w:color="auto" w:fill="D4D6DF"/>
            <w:vAlign w:val="center"/>
          </w:tcPr>
          <w:p w14:paraId="62E0F50B" w14:textId="33DAEE5C" w:rsidR="0034037B" w:rsidRPr="001C4772" w:rsidRDefault="0034037B" w:rsidP="0034037B">
            <w:pPr>
              <w:spacing w:after="0"/>
              <w:rPr>
                <w:rFonts w:asciiTheme="minorHAnsi" w:eastAsia="Times New Roman" w:hAnsiTheme="minorHAnsi" w:cstheme="minorHAnsi"/>
                <w:color w:val="000000"/>
                <w:sz w:val="20"/>
                <w:szCs w:val="20"/>
                <w:lang w:eastAsia="en-AU"/>
              </w:rPr>
            </w:pPr>
            <w:r w:rsidRPr="001C4772">
              <w:rPr>
                <w:rFonts w:asciiTheme="minorHAnsi" w:eastAsia="Times New Roman" w:hAnsiTheme="minorHAnsi" w:cstheme="minorHAnsi"/>
                <w:b/>
                <w:bCs/>
                <w:color w:val="000000"/>
                <w:sz w:val="20"/>
                <w:szCs w:val="20"/>
                <w:lang w:eastAsia="en-AU"/>
              </w:rPr>
              <w:t>Support my community, protect my environment</w:t>
            </w:r>
          </w:p>
        </w:tc>
      </w:tr>
      <w:tr w:rsidR="009F391A" w:rsidRPr="001C4772" w14:paraId="24CE9D3F" w14:textId="77777777" w:rsidTr="00A35FEB">
        <w:trPr>
          <w:trHeight w:val="369"/>
        </w:trPr>
        <w:tc>
          <w:tcPr>
            <w:tcW w:w="9493" w:type="dxa"/>
            <w:shd w:val="clear" w:color="auto" w:fill="auto"/>
            <w:vAlign w:val="center"/>
            <w:hideMark/>
          </w:tcPr>
          <w:p w14:paraId="33D24E39" w14:textId="0EB41A0A" w:rsidR="009F391A" w:rsidRPr="001C4772" w:rsidRDefault="009F391A" w:rsidP="006C2FD8">
            <w:pPr>
              <w:spacing w:after="0"/>
              <w:rPr>
                <w:rFonts w:asciiTheme="minorHAnsi" w:eastAsia="Times New Roman" w:hAnsiTheme="minorHAnsi" w:cstheme="minorHAnsi"/>
                <w:sz w:val="20"/>
                <w:szCs w:val="20"/>
                <w:lang w:eastAsia="en-AU"/>
              </w:rPr>
            </w:pPr>
            <w:r w:rsidRPr="001C4772">
              <w:rPr>
                <w:rFonts w:asciiTheme="minorHAnsi" w:eastAsia="Times New Roman" w:hAnsiTheme="minorHAnsi" w:cstheme="minorHAnsi"/>
                <w:sz w:val="20"/>
                <w:szCs w:val="20"/>
                <w:lang w:eastAsia="en-AU"/>
              </w:rPr>
              <w:t>Total net CO2 emissions</w:t>
            </w:r>
          </w:p>
        </w:tc>
        <w:tc>
          <w:tcPr>
            <w:tcW w:w="1028" w:type="dxa"/>
            <w:shd w:val="clear" w:color="auto" w:fill="auto"/>
            <w:vAlign w:val="center"/>
            <w:hideMark/>
          </w:tcPr>
          <w:p w14:paraId="2723F835" w14:textId="77777777" w:rsidR="009F391A" w:rsidRPr="001C4772" w:rsidRDefault="009F391A" w:rsidP="00A35FEB">
            <w:pPr>
              <w:spacing w:after="0"/>
              <w:ind w:left="-201" w:firstLineChars="100" w:firstLine="200"/>
              <w:jc w:val="center"/>
              <w:rPr>
                <w:rFonts w:asciiTheme="minorHAnsi" w:eastAsia="Times New Roman" w:hAnsiTheme="minorHAnsi" w:cstheme="minorHAnsi"/>
                <w:sz w:val="20"/>
                <w:szCs w:val="20"/>
                <w:lang w:eastAsia="en-AU"/>
              </w:rPr>
            </w:pPr>
            <w:r w:rsidRPr="001C4772">
              <w:rPr>
                <w:rFonts w:asciiTheme="minorHAnsi" w:eastAsia="Times New Roman" w:hAnsiTheme="minorHAnsi" w:cstheme="minorHAnsi"/>
                <w:sz w:val="20"/>
                <w:szCs w:val="20"/>
                <w:lang w:eastAsia="en-AU"/>
              </w:rPr>
              <w:t>28,609</w:t>
            </w:r>
          </w:p>
        </w:tc>
        <w:tc>
          <w:tcPr>
            <w:tcW w:w="1087" w:type="dxa"/>
            <w:shd w:val="clear" w:color="auto" w:fill="auto"/>
            <w:vAlign w:val="center"/>
            <w:hideMark/>
          </w:tcPr>
          <w:p w14:paraId="29F5D229" w14:textId="77777777" w:rsidR="009F391A" w:rsidRPr="001C4772" w:rsidRDefault="009F391A" w:rsidP="00A35FEB">
            <w:pPr>
              <w:spacing w:after="0"/>
              <w:ind w:left="-145" w:firstLineChars="100" w:firstLine="200"/>
              <w:jc w:val="center"/>
              <w:rPr>
                <w:rFonts w:asciiTheme="minorHAnsi" w:eastAsia="Times New Roman" w:hAnsiTheme="minorHAnsi" w:cstheme="minorHAnsi"/>
                <w:sz w:val="20"/>
                <w:szCs w:val="20"/>
                <w:lang w:eastAsia="en-AU"/>
              </w:rPr>
            </w:pPr>
            <w:r w:rsidRPr="001C4772">
              <w:rPr>
                <w:rFonts w:asciiTheme="minorHAnsi" w:eastAsia="Times New Roman" w:hAnsiTheme="minorHAnsi" w:cstheme="minorHAnsi"/>
                <w:sz w:val="20"/>
                <w:szCs w:val="20"/>
                <w:lang w:eastAsia="en-AU"/>
              </w:rPr>
              <w:t>32,900</w:t>
            </w:r>
          </w:p>
        </w:tc>
        <w:tc>
          <w:tcPr>
            <w:tcW w:w="1086" w:type="dxa"/>
            <w:shd w:val="clear" w:color="auto" w:fill="auto"/>
            <w:vAlign w:val="center"/>
            <w:hideMark/>
          </w:tcPr>
          <w:p w14:paraId="568C3E9E" w14:textId="77777777" w:rsidR="009F391A" w:rsidRPr="001C4772" w:rsidRDefault="009F391A" w:rsidP="00A35FEB">
            <w:pPr>
              <w:spacing w:after="0"/>
              <w:ind w:left="-145" w:firstLineChars="100" w:firstLine="200"/>
              <w:jc w:val="center"/>
              <w:rPr>
                <w:rFonts w:asciiTheme="minorHAnsi" w:eastAsia="Times New Roman" w:hAnsiTheme="minorHAnsi" w:cstheme="minorHAnsi"/>
                <w:sz w:val="20"/>
                <w:szCs w:val="20"/>
                <w:lang w:eastAsia="en-AU"/>
              </w:rPr>
            </w:pPr>
            <w:r w:rsidRPr="001C4772">
              <w:rPr>
                <w:rFonts w:asciiTheme="minorHAnsi" w:eastAsia="Times New Roman" w:hAnsiTheme="minorHAnsi" w:cstheme="minorHAnsi"/>
                <w:sz w:val="20"/>
                <w:szCs w:val="20"/>
                <w:lang w:eastAsia="en-AU"/>
              </w:rPr>
              <w:t>27,556</w:t>
            </w:r>
          </w:p>
        </w:tc>
        <w:tc>
          <w:tcPr>
            <w:tcW w:w="1151" w:type="dxa"/>
            <w:shd w:val="clear" w:color="auto" w:fill="auto"/>
            <w:vAlign w:val="center"/>
            <w:hideMark/>
          </w:tcPr>
          <w:p w14:paraId="5D4B176D" w14:textId="77777777" w:rsidR="009F391A" w:rsidRPr="001C4772" w:rsidRDefault="009F391A" w:rsidP="00A35FEB">
            <w:pPr>
              <w:spacing w:after="0"/>
              <w:ind w:left="-47"/>
              <w:jc w:val="center"/>
              <w:rPr>
                <w:rFonts w:asciiTheme="minorHAnsi" w:eastAsia="Times New Roman" w:hAnsiTheme="minorHAnsi" w:cstheme="minorHAnsi"/>
                <w:color w:val="000000"/>
                <w:sz w:val="20"/>
                <w:szCs w:val="20"/>
                <w:lang w:eastAsia="en-AU"/>
              </w:rPr>
            </w:pPr>
            <w:r w:rsidRPr="001C4772">
              <w:rPr>
                <w:rFonts w:asciiTheme="minorHAnsi" w:eastAsia="Times New Roman" w:hAnsiTheme="minorHAnsi" w:cstheme="minorHAnsi"/>
                <w:color w:val="000000"/>
                <w:sz w:val="20"/>
                <w:szCs w:val="20"/>
                <w:lang w:eastAsia="en-AU"/>
              </w:rPr>
              <w:t>3</w:t>
            </w:r>
          </w:p>
        </w:tc>
      </w:tr>
      <w:tr w:rsidR="009F391A" w:rsidRPr="001C4772" w14:paraId="2ABB5EC6" w14:textId="77777777" w:rsidTr="00A35FEB">
        <w:trPr>
          <w:trHeight w:val="369"/>
        </w:trPr>
        <w:tc>
          <w:tcPr>
            <w:tcW w:w="9493" w:type="dxa"/>
            <w:shd w:val="clear" w:color="auto" w:fill="auto"/>
            <w:vAlign w:val="center"/>
            <w:hideMark/>
          </w:tcPr>
          <w:p w14:paraId="50CDC15E" w14:textId="77777777" w:rsidR="009F391A" w:rsidRPr="001C4772" w:rsidRDefault="009F391A" w:rsidP="006C2FD8">
            <w:pPr>
              <w:spacing w:after="0"/>
              <w:rPr>
                <w:rFonts w:asciiTheme="minorHAnsi" w:eastAsia="Times New Roman" w:hAnsiTheme="minorHAnsi" w:cstheme="minorHAnsi"/>
                <w:sz w:val="20"/>
                <w:szCs w:val="20"/>
                <w:lang w:eastAsia="en-AU"/>
              </w:rPr>
            </w:pPr>
            <w:r w:rsidRPr="001C4772">
              <w:rPr>
                <w:rFonts w:asciiTheme="minorHAnsi" w:eastAsia="Times New Roman" w:hAnsiTheme="minorHAnsi" w:cstheme="minorHAnsi"/>
                <w:sz w:val="20"/>
                <w:szCs w:val="20"/>
                <w:lang w:eastAsia="en-AU"/>
              </w:rPr>
              <w:t xml:space="preserve">Number of EPA reportable sewer spills </w:t>
            </w:r>
          </w:p>
        </w:tc>
        <w:tc>
          <w:tcPr>
            <w:tcW w:w="1028" w:type="dxa"/>
            <w:shd w:val="clear" w:color="auto" w:fill="auto"/>
            <w:vAlign w:val="center"/>
            <w:hideMark/>
          </w:tcPr>
          <w:p w14:paraId="6E01FF6A" w14:textId="77777777" w:rsidR="009F391A" w:rsidRPr="001C4772" w:rsidRDefault="009F391A" w:rsidP="00A35FEB">
            <w:pPr>
              <w:spacing w:after="0"/>
              <w:ind w:left="-201" w:firstLineChars="100" w:firstLine="200"/>
              <w:jc w:val="center"/>
              <w:rPr>
                <w:rFonts w:asciiTheme="minorHAnsi" w:eastAsia="Times New Roman" w:hAnsiTheme="minorHAnsi" w:cstheme="minorHAnsi"/>
                <w:sz w:val="20"/>
                <w:szCs w:val="20"/>
                <w:lang w:eastAsia="en-AU"/>
              </w:rPr>
            </w:pPr>
            <w:r w:rsidRPr="001C4772">
              <w:rPr>
                <w:rFonts w:asciiTheme="minorHAnsi" w:eastAsia="Times New Roman" w:hAnsiTheme="minorHAnsi" w:cstheme="minorHAnsi"/>
                <w:sz w:val="20"/>
                <w:szCs w:val="20"/>
                <w:lang w:eastAsia="en-AU"/>
              </w:rPr>
              <w:t>20</w:t>
            </w:r>
          </w:p>
        </w:tc>
        <w:tc>
          <w:tcPr>
            <w:tcW w:w="1087" w:type="dxa"/>
            <w:shd w:val="clear" w:color="auto" w:fill="auto"/>
            <w:vAlign w:val="center"/>
            <w:hideMark/>
          </w:tcPr>
          <w:p w14:paraId="5DB07081" w14:textId="77777777" w:rsidR="009F391A" w:rsidRPr="001C4772" w:rsidRDefault="009F391A" w:rsidP="00A35FEB">
            <w:pPr>
              <w:spacing w:after="0"/>
              <w:ind w:left="-145" w:firstLineChars="100" w:firstLine="200"/>
              <w:jc w:val="center"/>
              <w:rPr>
                <w:rFonts w:asciiTheme="minorHAnsi" w:eastAsia="Times New Roman" w:hAnsiTheme="minorHAnsi" w:cstheme="minorHAnsi"/>
                <w:sz w:val="20"/>
                <w:szCs w:val="20"/>
                <w:lang w:eastAsia="en-AU"/>
              </w:rPr>
            </w:pPr>
            <w:r w:rsidRPr="001C4772">
              <w:rPr>
                <w:rFonts w:asciiTheme="minorHAnsi" w:eastAsia="Times New Roman" w:hAnsiTheme="minorHAnsi" w:cstheme="minorHAnsi"/>
                <w:sz w:val="20"/>
                <w:szCs w:val="20"/>
                <w:lang w:eastAsia="en-AU"/>
              </w:rPr>
              <w:t>23</w:t>
            </w:r>
          </w:p>
        </w:tc>
        <w:tc>
          <w:tcPr>
            <w:tcW w:w="1086" w:type="dxa"/>
            <w:shd w:val="clear" w:color="auto" w:fill="auto"/>
            <w:vAlign w:val="center"/>
            <w:hideMark/>
          </w:tcPr>
          <w:p w14:paraId="54D8ED63" w14:textId="77777777" w:rsidR="009F391A" w:rsidRPr="001C4772" w:rsidRDefault="009F391A" w:rsidP="00A35FEB">
            <w:pPr>
              <w:spacing w:after="0"/>
              <w:ind w:left="-145" w:firstLineChars="100" w:firstLine="200"/>
              <w:jc w:val="center"/>
              <w:rPr>
                <w:rFonts w:asciiTheme="minorHAnsi" w:eastAsia="Times New Roman" w:hAnsiTheme="minorHAnsi" w:cstheme="minorHAnsi"/>
                <w:sz w:val="20"/>
                <w:szCs w:val="20"/>
                <w:lang w:eastAsia="en-AU"/>
              </w:rPr>
            </w:pPr>
            <w:r w:rsidRPr="001C4772">
              <w:rPr>
                <w:rFonts w:asciiTheme="minorHAnsi" w:eastAsia="Times New Roman" w:hAnsiTheme="minorHAnsi" w:cstheme="minorHAnsi"/>
                <w:sz w:val="20"/>
                <w:szCs w:val="20"/>
                <w:lang w:eastAsia="en-AU"/>
              </w:rPr>
              <w:t>11</w:t>
            </w:r>
          </w:p>
        </w:tc>
        <w:tc>
          <w:tcPr>
            <w:tcW w:w="1151" w:type="dxa"/>
            <w:shd w:val="clear" w:color="auto" w:fill="auto"/>
            <w:vAlign w:val="center"/>
            <w:hideMark/>
          </w:tcPr>
          <w:p w14:paraId="2117D7B8" w14:textId="77777777" w:rsidR="009F391A" w:rsidRPr="001C4772" w:rsidRDefault="009F391A" w:rsidP="00A35FEB">
            <w:pPr>
              <w:spacing w:after="0"/>
              <w:ind w:left="-47"/>
              <w:jc w:val="center"/>
              <w:rPr>
                <w:rFonts w:asciiTheme="minorHAnsi" w:eastAsia="Times New Roman" w:hAnsiTheme="minorHAnsi" w:cstheme="minorHAnsi"/>
                <w:color w:val="000000"/>
                <w:sz w:val="20"/>
                <w:szCs w:val="20"/>
                <w:lang w:eastAsia="en-AU"/>
              </w:rPr>
            </w:pPr>
            <w:r w:rsidRPr="001C4772">
              <w:rPr>
                <w:rFonts w:asciiTheme="minorHAnsi" w:eastAsia="Times New Roman" w:hAnsiTheme="minorHAnsi" w:cstheme="minorHAnsi"/>
                <w:color w:val="000000"/>
                <w:sz w:val="20"/>
                <w:szCs w:val="20"/>
                <w:lang w:eastAsia="en-AU"/>
              </w:rPr>
              <w:t>3</w:t>
            </w:r>
          </w:p>
        </w:tc>
      </w:tr>
      <w:tr w:rsidR="009F391A" w:rsidRPr="001C4772" w14:paraId="3DCCE62F" w14:textId="77777777" w:rsidTr="00A35FEB">
        <w:trPr>
          <w:trHeight w:val="369"/>
        </w:trPr>
        <w:tc>
          <w:tcPr>
            <w:tcW w:w="9493" w:type="dxa"/>
            <w:shd w:val="clear" w:color="auto" w:fill="auto"/>
            <w:vAlign w:val="center"/>
            <w:hideMark/>
          </w:tcPr>
          <w:p w14:paraId="4AA16FF9" w14:textId="77777777" w:rsidR="009F391A" w:rsidRPr="001C4772" w:rsidRDefault="009F391A" w:rsidP="006C2FD8">
            <w:pPr>
              <w:spacing w:after="0"/>
              <w:rPr>
                <w:rFonts w:asciiTheme="minorHAnsi" w:eastAsia="Times New Roman" w:hAnsiTheme="minorHAnsi" w:cstheme="minorHAnsi"/>
                <w:sz w:val="20"/>
                <w:szCs w:val="20"/>
                <w:lang w:eastAsia="en-AU"/>
              </w:rPr>
            </w:pPr>
            <w:r w:rsidRPr="001C4772">
              <w:rPr>
                <w:rFonts w:asciiTheme="minorHAnsi" w:eastAsia="Times New Roman" w:hAnsiTheme="minorHAnsi" w:cstheme="minorHAnsi"/>
                <w:sz w:val="20"/>
                <w:szCs w:val="20"/>
                <w:lang w:eastAsia="en-AU"/>
              </w:rPr>
              <w:t>Percentage of customers in designated greenfield areas receiving recycled water (residential only)</w:t>
            </w:r>
          </w:p>
        </w:tc>
        <w:tc>
          <w:tcPr>
            <w:tcW w:w="1028" w:type="dxa"/>
            <w:shd w:val="clear" w:color="auto" w:fill="auto"/>
            <w:vAlign w:val="center"/>
            <w:hideMark/>
          </w:tcPr>
          <w:p w14:paraId="2956F435" w14:textId="77777777" w:rsidR="009F391A" w:rsidRPr="001C4772" w:rsidRDefault="009F391A" w:rsidP="00A35FEB">
            <w:pPr>
              <w:spacing w:after="0"/>
              <w:ind w:left="-201" w:firstLineChars="100" w:firstLine="200"/>
              <w:jc w:val="center"/>
              <w:rPr>
                <w:rFonts w:asciiTheme="minorHAnsi" w:eastAsia="Times New Roman" w:hAnsiTheme="minorHAnsi" w:cstheme="minorHAnsi"/>
                <w:sz w:val="20"/>
                <w:szCs w:val="20"/>
                <w:lang w:eastAsia="en-AU"/>
              </w:rPr>
            </w:pPr>
            <w:r w:rsidRPr="001C4772">
              <w:rPr>
                <w:rFonts w:asciiTheme="minorHAnsi" w:eastAsia="Times New Roman" w:hAnsiTheme="minorHAnsi" w:cstheme="minorHAnsi"/>
                <w:sz w:val="20"/>
                <w:szCs w:val="20"/>
                <w:lang w:eastAsia="en-AU"/>
              </w:rPr>
              <w:t>78%</w:t>
            </w:r>
          </w:p>
        </w:tc>
        <w:tc>
          <w:tcPr>
            <w:tcW w:w="1087" w:type="dxa"/>
            <w:shd w:val="clear" w:color="auto" w:fill="auto"/>
            <w:vAlign w:val="center"/>
            <w:hideMark/>
          </w:tcPr>
          <w:p w14:paraId="07E3571F" w14:textId="77777777" w:rsidR="009F391A" w:rsidRPr="001C4772" w:rsidRDefault="009F391A" w:rsidP="00A35FEB">
            <w:pPr>
              <w:spacing w:after="0"/>
              <w:ind w:left="-145" w:firstLineChars="100" w:firstLine="200"/>
              <w:jc w:val="center"/>
              <w:rPr>
                <w:rFonts w:asciiTheme="minorHAnsi" w:eastAsia="Times New Roman" w:hAnsiTheme="minorHAnsi" w:cstheme="minorHAnsi"/>
                <w:sz w:val="20"/>
                <w:szCs w:val="20"/>
                <w:lang w:eastAsia="en-AU"/>
              </w:rPr>
            </w:pPr>
            <w:r w:rsidRPr="001C4772">
              <w:rPr>
                <w:rFonts w:asciiTheme="minorHAnsi" w:eastAsia="Times New Roman" w:hAnsiTheme="minorHAnsi" w:cstheme="minorHAnsi"/>
                <w:sz w:val="20"/>
                <w:szCs w:val="20"/>
                <w:lang w:eastAsia="en-AU"/>
              </w:rPr>
              <w:t>70%</w:t>
            </w:r>
          </w:p>
        </w:tc>
        <w:tc>
          <w:tcPr>
            <w:tcW w:w="1086" w:type="dxa"/>
            <w:shd w:val="clear" w:color="auto" w:fill="auto"/>
            <w:vAlign w:val="center"/>
            <w:hideMark/>
          </w:tcPr>
          <w:p w14:paraId="3791E6C7" w14:textId="77777777" w:rsidR="009F391A" w:rsidRPr="001C4772" w:rsidRDefault="009F391A" w:rsidP="00A35FEB">
            <w:pPr>
              <w:spacing w:after="0"/>
              <w:ind w:left="-145" w:firstLineChars="100" w:firstLine="200"/>
              <w:jc w:val="center"/>
              <w:rPr>
                <w:rFonts w:asciiTheme="minorHAnsi" w:eastAsia="Times New Roman" w:hAnsiTheme="minorHAnsi" w:cstheme="minorHAnsi"/>
                <w:sz w:val="20"/>
                <w:szCs w:val="20"/>
                <w:lang w:eastAsia="en-AU"/>
              </w:rPr>
            </w:pPr>
            <w:r w:rsidRPr="001C4772">
              <w:rPr>
                <w:rFonts w:asciiTheme="minorHAnsi" w:eastAsia="Times New Roman" w:hAnsiTheme="minorHAnsi" w:cstheme="minorHAnsi"/>
                <w:sz w:val="20"/>
                <w:szCs w:val="20"/>
                <w:lang w:eastAsia="en-AU"/>
              </w:rPr>
              <w:t>74%</w:t>
            </w:r>
          </w:p>
        </w:tc>
        <w:tc>
          <w:tcPr>
            <w:tcW w:w="1151" w:type="dxa"/>
            <w:shd w:val="clear" w:color="auto" w:fill="auto"/>
            <w:vAlign w:val="center"/>
            <w:hideMark/>
          </w:tcPr>
          <w:p w14:paraId="734F21B4" w14:textId="77777777" w:rsidR="009F391A" w:rsidRPr="001C4772" w:rsidRDefault="009F391A" w:rsidP="00A35FEB">
            <w:pPr>
              <w:spacing w:after="0"/>
              <w:ind w:left="-47"/>
              <w:jc w:val="center"/>
              <w:rPr>
                <w:rFonts w:asciiTheme="minorHAnsi" w:eastAsia="Times New Roman" w:hAnsiTheme="minorHAnsi" w:cstheme="minorHAnsi"/>
                <w:color w:val="000000"/>
                <w:sz w:val="20"/>
                <w:szCs w:val="20"/>
                <w:lang w:eastAsia="en-AU"/>
              </w:rPr>
            </w:pPr>
            <w:r w:rsidRPr="001C4772">
              <w:rPr>
                <w:rFonts w:asciiTheme="minorHAnsi" w:eastAsia="Times New Roman" w:hAnsiTheme="minorHAnsi" w:cstheme="minorHAnsi"/>
                <w:color w:val="000000"/>
                <w:sz w:val="20"/>
                <w:szCs w:val="20"/>
                <w:lang w:eastAsia="en-AU"/>
              </w:rPr>
              <w:t>2</w:t>
            </w:r>
          </w:p>
        </w:tc>
      </w:tr>
      <w:tr w:rsidR="009F391A" w:rsidRPr="001C4772" w14:paraId="6338ECAE" w14:textId="77777777" w:rsidTr="00A35FEB">
        <w:trPr>
          <w:trHeight w:val="369"/>
        </w:trPr>
        <w:tc>
          <w:tcPr>
            <w:tcW w:w="9493" w:type="dxa"/>
            <w:shd w:val="clear" w:color="auto" w:fill="auto"/>
            <w:vAlign w:val="center"/>
            <w:hideMark/>
          </w:tcPr>
          <w:p w14:paraId="4AFBCC29" w14:textId="77777777" w:rsidR="009F391A" w:rsidRPr="001C4772" w:rsidRDefault="009F391A" w:rsidP="006C2FD8">
            <w:pPr>
              <w:spacing w:after="0"/>
              <w:rPr>
                <w:rFonts w:asciiTheme="minorHAnsi" w:eastAsia="Times New Roman" w:hAnsiTheme="minorHAnsi" w:cstheme="minorHAnsi"/>
                <w:sz w:val="20"/>
                <w:szCs w:val="20"/>
                <w:lang w:eastAsia="en-AU"/>
              </w:rPr>
            </w:pPr>
            <w:r w:rsidRPr="001C4772">
              <w:rPr>
                <w:rFonts w:asciiTheme="minorHAnsi" w:eastAsia="Times New Roman" w:hAnsiTheme="minorHAnsi" w:cstheme="minorHAnsi"/>
                <w:sz w:val="20"/>
                <w:szCs w:val="20"/>
                <w:lang w:eastAsia="en-AU"/>
              </w:rPr>
              <w:t>Volume of recycled water as a percentage of total water supplied to designated greenfield areas</w:t>
            </w:r>
          </w:p>
        </w:tc>
        <w:tc>
          <w:tcPr>
            <w:tcW w:w="1028" w:type="dxa"/>
            <w:shd w:val="clear" w:color="auto" w:fill="auto"/>
            <w:vAlign w:val="center"/>
            <w:hideMark/>
          </w:tcPr>
          <w:p w14:paraId="3602DBAB" w14:textId="77777777" w:rsidR="009F391A" w:rsidRPr="001C4772" w:rsidRDefault="009F391A" w:rsidP="00A35FEB">
            <w:pPr>
              <w:spacing w:after="0"/>
              <w:ind w:left="-201" w:firstLineChars="100" w:firstLine="200"/>
              <w:jc w:val="center"/>
              <w:rPr>
                <w:rFonts w:asciiTheme="minorHAnsi" w:eastAsia="Times New Roman" w:hAnsiTheme="minorHAnsi" w:cstheme="minorHAnsi"/>
                <w:sz w:val="20"/>
                <w:szCs w:val="20"/>
                <w:lang w:eastAsia="en-AU"/>
              </w:rPr>
            </w:pPr>
            <w:r w:rsidRPr="001C4772">
              <w:rPr>
                <w:rFonts w:asciiTheme="minorHAnsi" w:eastAsia="Times New Roman" w:hAnsiTheme="minorHAnsi" w:cstheme="minorHAnsi"/>
                <w:sz w:val="20"/>
                <w:szCs w:val="20"/>
                <w:lang w:eastAsia="en-AU"/>
              </w:rPr>
              <w:t>18%</w:t>
            </w:r>
          </w:p>
        </w:tc>
        <w:tc>
          <w:tcPr>
            <w:tcW w:w="1087" w:type="dxa"/>
            <w:shd w:val="clear" w:color="auto" w:fill="auto"/>
            <w:vAlign w:val="center"/>
            <w:hideMark/>
          </w:tcPr>
          <w:p w14:paraId="26B21074" w14:textId="77777777" w:rsidR="009F391A" w:rsidRPr="001C4772" w:rsidRDefault="009F391A" w:rsidP="00A35FEB">
            <w:pPr>
              <w:spacing w:after="0"/>
              <w:ind w:left="-145" w:firstLineChars="100" w:firstLine="200"/>
              <w:jc w:val="center"/>
              <w:rPr>
                <w:rFonts w:asciiTheme="minorHAnsi" w:eastAsia="Times New Roman" w:hAnsiTheme="minorHAnsi" w:cstheme="minorHAnsi"/>
                <w:sz w:val="20"/>
                <w:szCs w:val="20"/>
                <w:lang w:eastAsia="en-AU"/>
              </w:rPr>
            </w:pPr>
            <w:r w:rsidRPr="001C4772">
              <w:rPr>
                <w:rFonts w:asciiTheme="minorHAnsi" w:eastAsia="Times New Roman" w:hAnsiTheme="minorHAnsi" w:cstheme="minorHAnsi"/>
                <w:sz w:val="20"/>
                <w:szCs w:val="20"/>
                <w:lang w:eastAsia="en-AU"/>
              </w:rPr>
              <w:t>16%</w:t>
            </w:r>
          </w:p>
        </w:tc>
        <w:tc>
          <w:tcPr>
            <w:tcW w:w="1086" w:type="dxa"/>
            <w:shd w:val="clear" w:color="auto" w:fill="auto"/>
            <w:vAlign w:val="center"/>
            <w:hideMark/>
          </w:tcPr>
          <w:p w14:paraId="182E0A1C" w14:textId="77777777" w:rsidR="009F391A" w:rsidRPr="001C4772" w:rsidRDefault="009F391A" w:rsidP="00A35FEB">
            <w:pPr>
              <w:spacing w:after="0"/>
              <w:ind w:left="-145" w:firstLineChars="100" w:firstLine="200"/>
              <w:jc w:val="center"/>
              <w:rPr>
                <w:rFonts w:asciiTheme="minorHAnsi" w:eastAsia="Times New Roman" w:hAnsiTheme="minorHAnsi" w:cstheme="minorHAnsi"/>
                <w:sz w:val="20"/>
                <w:szCs w:val="20"/>
                <w:lang w:eastAsia="en-AU"/>
              </w:rPr>
            </w:pPr>
            <w:r w:rsidRPr="001C4772">
              <w:rPr>
                <w:rFonts w:asciiTheme="minorHAnsi" w:eastAsia="Times New Roman" w:hAnsiTheme="minorHAnsi" w:cstheme="minorHAnsi"/>
                <w:sz w:val="20"/>
                <w:szCs w:val="20"/>
                <w:lang w:eastAsia="en-AU"/>
              </w:rPr>
              <w:t>16%</w:t>
            </w:r>
          </w:p>
        </w:tc>
        <w:tc>
          <w:tcPr>
            <w:tcW w:w="1151" w:type="dxa"/>
            <w:shd w:val="clear" w:color="auto" w:fill="auto"/>
            <w:vAlign w:val="center"/>
            <w:hideMark/>
          </w:tcPr>
          <w:p w14:paraId="39469117" w14:textId="77777777" w:rsidR="009F391A" w:rsidRPr="001C4772" w:rsidRDefault="009F391A" w:rsidP="00A35FEB">
            <w:pPr>
              <w:spacing w:after="0"/>
              <w:ind w:left="-47"/>
              <w:jc w:val="center"/>
              <w:rPr>
                <w:rFonts w:asciiTheme="minorHAnsi" w:eastAsia="Times New Roman" w:hAnsiTheme="minorHAnsi" w:cstheme="minorHAnsi"/>
                <w:color w:val="000000"/>
                <w:sz w:val="20"/>
                <w:szCs w:val="20"/>
                <w:lang w:eastAsia="en-AU"/>
              </w:rPr>
            </w:pPr>
            <w:r w:rsidRPr="001C4772">
              <w:rPr>
                <w:rFonts w:asciiTheme="minorHAnsi" w:eastAsia="Times New Roman" w:hAnsiTheme="minorHAnsi" w:cstheme="minorHAnsi"/>
                <w:color w:val="000000"/>
                <w:sz w:val="20"/>
                <w:szCs w:val="20"/>
                <w:lang w:eastAsia="en-AU"/>
              </w:rPr>
              <w:t>2</w:t>
            </w:r>
          </w:p>
        </w:tc>
      </w:tr>
    </w:tbl>
    <w:p w14:paraId="2E7B4710" w14:textId="77777777" w:rsidR="000B4D18" w:rsidRDefault="000B4D18" w:rsidP="00543BE1">
      <w:pPr>
        <w:pStyle w:val="BodyText"/>
      </w:pPr>
    </w:p>
    <w:p w14:paraId="2C53F075" w14:textId="69589766" w:rsidR="000B4D18" w:rsidRDefault="000B4D18">
      <w:pPr>
        <w:pStyle w:val="Heading2"/>
        <w:numPr>
          <w:ilvl w:val="1"/>
          <w:numId w:val="28"/>
        </w:numPr>
        <w:ind w:left="426" w:hanging="426"/>
      </w:pPr>
      <w:r>
        <w:t xml:space="preserve">Industry benchmark </w:t>
      </w:r>
    </w:p>
    <w:p w14:paraId="5B76B5C8" w14:textId="13E31F7F" w:rsidR="003A415F" w:rsidRPr="001B3061" w:rsidRDefault="00385F4C" w:rsidP="00F06D36">
      <w:pPr>
        <w:tabs>
          <w:tab w:val="left" w:pos="3402"/>
        </w:tabs>
        <w:spacing w:after="0"/>
        <w:textAlignment w:val="baseline"/>
        <w:rPr>
          <w:rFonts w:eastAsia="Times New Roman" w:cs="Arial"/>
          <w:position w:val="-1"/>
          <w:lang w:eastAsia="en-AU"/>
        </w:rPr>
      </w:pPr>
      <w:r w:rsidRPr="001B3061">
        <w:rPr>
          <w:rFonts w:eastAsia="Times New Roman" w:cs="Arial"/>
          <w:position w:val="-1"/>
          <w:lang w:eastAsia="en-AU"/>
        </w:rPr>
        <w:t xml:space="preserve">The second element </w:t>
      </w:r>
      <w:r w:rsidR="00E705EB">
        <w:rPr>
          <w:rFonts w:eastAsia="Times New Roman" w:cs="Arial"/>
          <w:position w:val="-1"/>
          <w:lang w:eastAsia="en-AU"/>
        </w:rPr>
        <w:t>use</w:t>
      </w:r>
      <w:r w:rsidRPr="001B3061">
        <w:rPr>
          <w:rFonts w:eastAsia="Times New Roman" w:cs="Arial"/>
          <w:position w:val="-1"/>
          <w:lang w:eastAsia="en-AU"/>
        </w:rPr>
        <w:t>s the ESC Water Performance Report and the</w:t>
      </w:r>
      <w:r w:rsidR="002E5359" w:rsidRPr="001B3061">
        <w:rPr>
          <w:rFonts w:eastAsia="Times New Roman" w:cs="Arial"/>
          <w:position w:val="-1"/>
          <w:lang w:eastAsia="en-AU"/>
        </w:rPr>
        <w:t xml:space="preserve"> </w:t>
      </w:r>
      <w:r w:rsidRPr="001B3061">
        <w:rPr>
          <w:rFonts w:eastAsia="Times New Roman" w:cs="Arial"/>
          <w:position w:val="-1"/>
          <w:lang w:eastAsia="en-AU"/>
        </w:rPr>
        <w:t xml:space="preserve">independent customer perception surveys conducted </w:t>
      </w:r>
      <w:r w:rsidR="00A35FEB">
        <w:rPr>
          <w:rFonts w:eastAsia="Times New Roman" w:cs="Arial"/>
          <w:position w:val="-1"/>
          <w:lang w:eastAsia="en-AU"/>
        </w:rPr>
        <w:br/>
      </w:r>
      <w:r w:rsidRPr="001B3061">
        <w:rPr>
          <w:rFonts w:eastAsia="Times New Roman" w:cs="Arial"/>
          <w:position w:val="-1"/>
          <w:lang w:eastAsia="en-AU"/>
        </w:rPr>
        <w:t>each year across all Victorian water retailers. Sixteen metrics were selected from the report</w:t>
      </w:r>
      <w:r w:rsidR="00EB7F85" w:rsidRPr="001B3061">
        <w:rPr>
          <w:rFonts w:eastAsia="Times New Roman" w:cs="Arial"/>
          <w:position w:val="-1"/>
          <w:lang w:eastAsia="en-AU"/>
        </w:rPr>
        <w:t>,</w:t>
      </w:r>
      <w:r w:rsidRPr="001B3061">
        <w:rPr>
          <w:rFonts w:eastAsia="Times New Roman" w:cs="Arial"/>
          <w:position w:val="-1"/>
          <w:lang w:eastAsia="en-AU"/>
        </w:rPr>
        <w:t xml:space="preserve"> based on alignment with our customer outcomes, plus the </w:t>
      </w:r>
      <w:r w:rsidR="00EB7F85" w:rsidRPr="001B3061">
        <w:rPr>
          <w:rFonts w:eastAsia="Times New Roman" w:cs="Arial"/>
          <w:position w:val="-1"/>
          <w:lang w:eastAsia="en-AU"/>
        </w:rPr>
        <w:t xml:space="preserve">4 </w:t>
      </w:r>
      <w:r w:rsidRPr="001B3061">
        <w:rPr>
          <w:rFonts w:eastAsia="Times New Roman" w:cs="Arial"/>
          <w:position w:val="-1"/>
          <w:lang w:eastAsia="en-AU"/>
        </w:rPr>
        <w:t xml:space="preserve">customer perception measures, to allow us to assess our performance against the industry in a </w:t>
      </w:r>
      <w:r w:rsidR="00CD5F04" w:rsidRPr="001B3061">
        <w:rPr>
          <w:rFonts w:eastAsia="Times New Roman" w:cs="Arial"/>
          <w:position w:val="-1"/>
          <w:lang w:eastAsia="en-AU"/>
        </w:rPr>
        <w:t>consistent and independently</w:t>
      </w:r>
      <w:r w:rsidR="004E114F" w:rsidRPr="001B3061">
        <w:rPr>
          <w:rFonts w:eastAsia="Times New Roman" w:cs="Arial"/>
          <w:position w:val="-1"/>
          <w:lang w:eastAsia="en-AU"/>
        </w:rPr>
        <w:t xml:space="preserve"> </w:t>
      </w:r>
      <w:r w:rsidR="00CD5F04" w:rsidRPr="001B3061">
        <w:rPr>
          <w:rFonts w:eastAsia="Times New Roman" w:cs="Arial"/>
          <w:position w:val="-1"/>
          <w:lang w:eastAsia="en-AU"/>
        </w:rPr>
        <w:t xml:space="preserve">audited </w:t>
      </w:r>
      <w:r w:rsidR="003A415F" w:rsidRPr="001B3061">
        <w:rPr>
          <w:rFonts w:eastAsia="Times New Roman" w:cs="Arial"/>
          <w:position w:val="-1"/>
          <w:lang w:eastAsia="en-AU"/>
        </w:rPr>
        <w:t xml:space="preserve">manner. </w:t>
      </w:r>
    </w:p>
    <w:p w14:paraId="531F8746" w14:textId="77777777" w:rsidR="003A415F" w:rsidRPr="001B3061" w:rsidRDefault="003A415F" w:rsidP="00116E55">
      <w:pPr>
        <w:pStyle w:val="ListParagraph"/>
        <w:spacing w:after="0"/>
        <w:ind w:left="426" w:hanging="426"/>
        <w:textAlignment w:val="baseline"/>
        <w:rPr>
          <w:rFonts w:eastAsia="Times New Roman" w:cs="Arial"/>
          <w:position w:val="-1"/>
          <w:lang w:eastAsia="en-AU"/>
        </w:rPr>
      </w:pPr>
    </w:p>
    <w:p w14:paraId="40282825" w14:textId="5D0249E7" w:rsidR="00385F4C" w:rsidRDefault="003A415F" w:rsidP="00F06D36">
      <w:pPr>
        <w:spacing w:after="0"/>
        <w:textAlignment w:val="baseline"/>
        <w:rPr>
          <w:rFonts w:eastAsia="Times New Roman" w:cs="Arial"/>
          <w:sz w:val="36"/>
          <w:szCs w:val="36"/>
          <w:lang w:val="en-US" w:eastAsia="en-AU"/>
        </w:rPr>
      </w:pPr>
      <w:r w:rsidRPr="001B3061">
        <w:rPr>
          <w:rFonts w:eastAsia="Times New Roman" w:cs="Arial"/>
          <w:position w:val="-1"/>
          <w:lang w:eastAsia="en-AU"/>
        </w:rPr>
        <w:t>Given the ava</w:t>
      </w:r>
      <w:r w:rsidR="00CD2B30" w:rsidRPr="001B3061">
        <w:rPr>
          <w:rFonts w:eastAsia="Times New Roman" w:cs="Arial"/>
          <w:position w:val="-1"/>
          <w:lang w:eastAsia="en-AU"/>
        </w:rPr>
        <w:t>ilability and consistency of these metrics, a 5-year av</w:t>
      </w:r>
      <w:r w:rsidR="00014906" w:rsidRPr="001B3061">
        <w:rPr>
          <w:rFonts w:eastAsia="Times New Roman" w:cs="Arial"/>
          <w:position w:val="-1"/>
          <w:lang w:eastAsia="en-AU"/>
        </w:rPr>
        <w:t>erage was calculated from all Vic</w:t>
      </w:r>
      <w:r w:rsidR="006C2F35" w:rsidRPr="001B3061">
        <w:rPr>
          <w:rFonts w:eastAsia="Times New Roman" w:cs="Arial"/>
          <w:position w:val="-1"/>
          <w:lang w:eastAsia="en-AU"/>
        </w:rPr>
        <w:t>torian water business</w:t>
      </w:r>
      <w:r w:rsidR="00AB2C73" w:rsidRPr="001B3061">
        <w:rPr>
          <w:rFonts w:eastAsia="Times New Roman" w:cs="Arial"/>
          <w:position w:val="-1"/>
          <w:lang w:eastAsia="en-AU"/>
        </w:rPr>
        <w:t xml:space="preserve">es </w:t>
      </w:r>
      <w:r w:rsidR="00794E81" w:rsidRPr="001B3061">
        <w:rPr>
          <w:rFonts w:eastAsia="Times New Roman" w:cs="Arial"/>
          <w:position w:val="-1"/>
          <w:lang w:eastAsia="en-AU"/>
        </w:rPr>
        <w:t xml:space="preserve">and used to gauge our performance </w:t>
      </w:r>
      <w:r w:rsidR="00836E8F" w:rsidRPr="001B3061">
        <w:rPr>
          <w:rFonts w:eastAsia="Times New Roman" w:cs="Arial"/>
          <w:position w:val="-1"/>
          <w:lang w:eastAsia="en-AU"/>
        </w:rPr>
        <w:t>over the same period, using a 2-tier</w:t>
      </w:r>
      <w:r w:rsidR="00282DE9" w:rsidRPr="001B3061">
        <w:rPr>
          <w:rFonts w:eastAsia="Times New Roman" w:cs="Arial"/>
          <w:position w:val="-1"/>
          <w:lang w:eastAsia="en-AU"/>
        </w:rPr>
        <w:t>ed scoring system:</w:t>
      </w:r>
      <w:r w:rsidR="00A1315F">
        <w:rPr>
          <w:rFonts w:eastAsia="Times New Roman" w:cs="Arial"/>
          <w:position w:val="-1"/>
          <w:lang w:eastAsia="en-AU"/>
        </w:rPr>
        <w:t xml:space="preserve"> </w:t>
      </w:r>
      <w:r w:rsidR="00385F4C" w:rsidRPr="00E25C16">
        <w:rPr>
          <w:rFonts w:eastAsia="Times New Roman" w:cs="Arial"/>
          <w:sz w:val="36"/>
          <w:szCs w:val="36"/>
          <w:lang w:val="en-US" w:eastAsia="en-AU"/>
        </w:rPr>
        <w:t>​</w:t>
      </w:r>
    </w:p>
    <w:p w14:paraId="5F98E4A9" w14:textId="77777777" w:rsidR="00506227" w:rsidRPr="00506227" w:rsidRDefault="00506227" w:rsidP="00116E55">
      <w:pPr>
        <w:spacing w:after="0"/>
        <w:ind w:left="426" w:hanging="426"/>
        <w:textAlignment w:val="baseline"/>
        <w:rPr>
          <w:rFonts w:ascii="Segoe UI" w:eastAsia="Times New Roman" w:hAnsi="Segoe UI" w:cs="Segoe UI"/>
          <w:sz w:val="18"/>
          <w:szCs w:val="18"/>
          <w:lang w:eastAsia="en-AU"/>
        </w:rPr>
      </w:pPr>
      <w:r w:rsidRPr="00506227">
        <w:rPr>
          <w:rFonts w:eastAsia="Times New Roman" w:cs="Arial"/>
          <w:sz w:val="36"/>
          <w:szCs w:val="36"/>
          <w:lang w:eastAsia="en-AU"/>
        </w:rPr>
        <w:t>​</w:t>
      </w:r>
    </w:p>
    <w:p w14:paraId="71E65CCC" w14:textId="1200BEBE" w:rsidR="00506227" w:rsidRPr="00506227" w:rsidRDefault="00506227" w:rsidP="00116E55">
      <w:pPr>
        <w:ind w:left="709"/>
        <w:textAlignment w:val="baseline"/>
        <w:rPr>
          <w:rFonts w:ascii="Segoe UI" w:eastAsia="Times New Roman" w:hAnsi="Segoe UI" w:cs="Segoe UI"/>
          <w:lang w:val="en-US" w:eastAsia="en-AU"/>
        </w:rPr>
      </w:pPr>
      <w:r w:rsidRPr="00506227">
        <w:rPr>
          <w:rFonts w:eastAsia="Times New Roman" w:cs="Arial"/>
          <w:b/>
          <w:bCs/>
          <w:position w:val="-1"/>
          <w:lang w:eastAsia="en-AU"/>
        </w:rPr>
        <w:t>1</w:t>
      </w:r>
      <w:r w:rsidRPr="00506227">
        <w:rPr>
          <w:rFonts w:eastAsia="Times New Roman" w:cs="Arial"/>
          <w:position w:val="-1"/>
          <w:lang w:eastAsia="en-AU"/>
        </w:rPr>
        <w:t> </w:t>
      </w:r>
      <w:r w:rsidR="00F243DC">
        <w:rPr>
          <w:rFonts w:eastAsia="Times New Roman" w:cs="Arial"/>
          <w:position w:val="-1"/>
          <w:lang w:eastAsia="en-AU"/>
        </w:rPr>
        <w:t>–</w:t>
      </w:r>
      <w:r w:rsidRPr="00506227">
        <w:rPr>
          <w:rFonts w:eastAsia="Times New Roman" w:cs="Arial"/>
          <w:position w:val="-1"/>
          <w:lang w:eastAsia="en-AU"/>
        </w:rPr>
        <w:t xml:space="preserve"> equal to or outside the state average</w:t>
      </w:r>
      <w:r w:rsidRPr="00506227">
        <w:rPr>
          <w:rFonts w:eastAsia="Times New Roman" w:cs="Arial"/>
          <w:lang w:val="en-US" w:eastAsia="en-AU"/>
        </w:rPr>
        <w:t>​</w:t>
      </w:r>
    </w:p>
    <w:p w14:paraId="134F4CD0" w14:textId="41A24B9A" w:rsidR="00506227" w:rsidRPr="00506227" w:rsidRDefault="00506227" w:rsidP="00116E55">
      <w:pPr>
        <w:spacing w:after="0"/>
        <w:ind w:left="709"/>
        <w:textAlignment w:val="baseline"/>
        <w:rPr>
          <w:rFonts w:ascii="Segoe UI" w:eastAsia="Times New Roman" w:hAnsi="Segoe UI" w:cs="Segoe UI"/>
          <w:lang w:val="en-US" w:eastAsia="en-AU"/>
        </w:rPr>
      </w:pPr>
      <w:r w:rsidRPr="00506227">
        <w:rPr>
          <w:rFonts w:eastAsia="Times New Roman" w:cs="Arial"/>
          <w:lang w:eastAsia="en-AU"/>
        </w:rPr>
        <w:t>​</w:t>
      </w:r>
      <w:r w:rsidRPr="00506227">
        <w:rPr>
          <w:rFonts w:eastAsia="Times New Roman" w:cs="Arial"/>
          <w:b/>
          <w:bCs/>
          <w:position w:val="-1"/>
          <w:lang w:eastAsia="en-AU"/>
        </w:rPr>
        <w:t>2</w:t>
      </w:r>
      <w:r w:rsidRPr="00506227">
        <w:rPr>
          <w:rFonts w:eastAsia="Times New Roman" w:cs="Arial"/>
          <w:position w:val="-1"/>
          <w:lang w:eastAsia="en-AU"/>
        </w:rPr>
        <w:t> </w:t>
      </w:r>
      <w:r w:rsidR="00F243DC">
        <w:rPr>
          <w:rFonts w:eastAsia="Times New Roman" w:cs="Arial"/>
          <w:position w:val="-1"/>
          <w:lang w:eastAsia="en-AU"/>
        </w:rPr>
        <w:t>–</w:t>
      </w:r>
      <w:r w:rsidRPr="00506227">
        <w:rPr>
          <w:rFonts w:eastAsia="Times New Roman" w:cs="Arial"/>
          <w:position w:val="-1"/>
          <w:lang w:eastAsia="en-AU"/>
        </w:rPr>
        <w:t xml:space="preserve"> better than the state average</w:t>
      </w:r>
    </w:p>
    <w:p w14:paraId="377F31F2" w14:textId="77777777" w:rsidR="00506227" w:rsidRPr="00E25C16" w:rsidRDefault="00506227" w:rsidP="00116E55">
      <w:pPr>
        <w:pStyle w:val="ListParagraph"/>
        <w:spacing w:after="0"/>
        <w:ind w:left="426" w:hanging="426"/>
        <w:textAlignment w:val="baseline"/>
        <w:rPr>
          <w:rFonts w:ascii="Segoe UI" w:eastAsia="Times New Roman" w:hAnsi="Segoe UI" w:cs="Segoe UI"/>
          <w:sz w:val="18"/>
          <w:szCs w:val="18"/>
          <w:lang w:val="en-US" w:eastAsia="en-AU"/>
        </w:rPr>
      </w:pPr>
    </w:p>
    <w:p w14:paraId="454F3AB0" w14:textId="1D9CC430" w:rsidR="00F06D36" w:rsidRDefault="00F06D36" w:rsidP="00F06D36">
      <w:pPr>
        <w:spacing w:after="0"/>
        <w:textAlignment w:val="baseline"/>
        <w:rPr>
          <w:rFonts w:eastAsia="Times New Roman" w:cs="Arial"/>
          <w:position w:val="-1"/>
          <w:lang w:eastAsia="en-AU"/>
        </w:rPr>
      </w:pPr>
      <w:r>
        <w:rPr>
          <w:rFonts w:eastAsia="Times New Roman" w:cs="Arial"/>
          <w:position w:val="-1"/>
          <w:lang w:eastAsia="en-AU"/>
        </w:rPr>
        <w:lastRenderedPageBreak/>
        <w:t xml:space="preserve">The element is individually rated 3.5 out of 4: </w:t>
      </w:r>
      <w:r w:rsidRPr="00155498">
        <w:rPr>
          <w:rFonts w:eastAsia="Times New Roman" w:cs="Arial"/>
          <w:b/>
          <w:bCs/>
          <w:position w:val="-1"/>
          <w:lang w:eastAsia="en-AU"/>
        </w:rPr>
        <w:t xml:space="preserve">Very confident the element is </w:t>
      </w:r>
      <w:r w:rsidRPr="00155498">
        <w:rPr>
          <w:rFonts w:eastAsia="Times New Roman" w:cs="Arial"/>
          <w:b/>
          <w:bCs/>
          <w:i/>
          <w:iCs/>
          <w:position w:val="-1"/>
          <w:lang w:eastAsia="en-AU"/>
        </w:rPr>
        <w:t>‘</w:t>
      </w:r>
      <w:r>
        <w:rPr>
          <w:rFonts w:eastAsia="Times New Roman" w:cs="Arial"/>
          <w:b/>
          <w:bCs/>
          <w:i/>
          <w:iCs/>
          <w:position w:val="-1"/>
          <w:lang w:eastAsia="en-AU"/>
        </w:rPr>
        <w:t>Advanced’</w:t>
      </w:r>
      <w:r w:rsidR="004F0714">
        <w:rPr>
          <w:rFonts w:eastAsia="Times New Roman" w:cs="Arial"/>
          <w:b/>
          <w:bCs/>
          <w:position w:val="-1"/>
          <w:lang w:eastAsia="en-AU"/>
        </w:rPr>
        <w:t>.</w:t>
      </w:r>
    </w:p>
    <w:p w14:paraId="44106DC0" w14:textId="77777777" w:rsidR="00F06D36" w:rsidRPr="00F06D36" w:rsidRDefault="00F06D36" w:rsidP="00F06D36">
      <w:pPr>
        <w:spacing w:after="0"/>
        <w:textAlignment w:val="baseline"/>
        <w:rPr>
          <w:rStyle w:val="normaltextrun"/>
          <w:rFonts w:cs="Arial"/>
          <w:color w:val="0075E3"/>
          <w:position w:val="-1"/>
          <w:shd w:val="clear" w:color="auto" w:fill="EDEBE9"/>
        </w:rPr>
      </w:pPr>
    </w:p>
    <w:p w14:paraId="63EF704D" w14:textId="77777777" w:rsidR="00691499" w:rsidRDefault="00691499" w:rsidP="00116E55">
      <w:pPr>
        <w:pStyle w:val="ListParagraph"/>
        <w:spacing w:after="0"/>
        <w:ind w:left="426" w:hanging="426"/>
        <w:textAlignment w:val="baseline"/>
        <w:rPr>
          <w:rStyle w:val="normaltextrun"/>
          <w:rFonts w:cs="Arial"/>
          <w:b/>
          <w:bCs/>
          <w:color w:val="0075E3"/>
          <w:position w:val="-1"/>
          <w:shd w:val="clear" w:color="auto" w:fill="EDEBE9"/>
        </w:rPr>
      </w:pPr>
    </w:p>
    <w:p w14:paraId="60F28701" w14:textId="16F0B531" w:rsidR="00691499" w:rsidRDefault="00691499" w:rsidP="00116E55">
      <w:pPr>
        <w:pStyle w:val="Heading3"/>
        <w:ind w:left="426" w:hanging="426"/>
      </w:pPr>
      <w:r>
        <w:t xml:space="preserve">Customer sentiment </w:t>
      </w:r>
    </w:p>
    <w:p w14:paraId="572D6441" w14:textId="191B44C0" w:rsidR="00B10776" w:rsidRDefault="00E31465" w:rsidP="00B23CD5">
      <w:pPr>
        <w:pStyle w:val="BodyText"/>
      </w:pPr>
      <w:r>
        <w:t>This comp</w:t>
      </w:r>
      <w:r w:rsidR="002F0290">
        <w:t xml:space="preserve">onent draws from the ESC customer perception surveys that have </w:t>
      </w:r>
      <w:r w:rsidR="00EC5C46">
        <w:t>been conducted annually since the commencement of the 2018</w:t>
      </w:r>
      <w:r w:rsidR="00F243DC">
        <w:t>–</w:t>
      </w:r>
      <w:r w:rsidR="00EC5C46">
        <w:t xml:space="preserve">23 regulatory period. </w:t>
      </w:r>
      <w:r w:rsidR="005B6FC2">
        <w:t xml:space="preserve">Results </w:t>
      </w:r>
      <w:r w:rsidR="00167F91">
        <w:t xml:space="preserve">differ from the remainder of the measure referenced in that they are only a </w:t>
      </w:r>
      <w:r w:rsidR="00AE02AB">
        <w:t>4-year a</w:t>
      </w:r>
      <w:r w:rsidR="007F5B14">
        <w:t xml:space="preserve">verage and </w:t>
      </w:r>
      <w:r w:rsidR="00722004">
        <w:t xml:space="preserve">include the most recent </w:t>
      </w:r>
      <w:r w:rsidR="009C79C2">
        <w:t>2021</w:t>
      </w:r>
      <w:r w:rsidR="00F243DC">
        <w:t>–</w:t>
      </w:r>
      <w:r w:rsidR="009C79C2">
        <w:t>22 years</w:t>
      </w:r>
      <w:r w:rsidR="00612583">
        <w:t>’</w:t>
      </w:r>
      <w:r w:rsidR="009C79C2">
        <w:t xml:space="preserve"> results</w:t>
      </w:r>
      <w:r w:rsidR="005D3A6B">
        <w:t xml:space="preserve"> not available for the Water Performance Report at the time of completion. </w:t>
      </w:r>
    </w:p>
    <w:p w14:paraId="21C47EF8" w14:textId="77777777" w:rsidR="000010E1" w:rsidRDefault="000010E1" w:rsidP="000010E1">
      <w:pPr>
        <w:spacing w:after="0"/>
        <w:textAlignment w:val="baseline"/>
        <w:rPr>
          <w:b/>
          <w:bCs/>
          <w:i/>
          <w:iCs/>
          <w:sz w:val="22"/>
          <w:szCs w:val="22"/>
        </w:rPr>
      </w:pPr>
    </w:p>
    <w:p w14:paraId="32784DE1" w14:textId="3AF26EBD" w:rsidR="007E22E2" w:rsidRDefault="000010E1" w:rsidP="002819EA">
      <w:pPr>
        <w:textAlignment w:val="baseline"/>
        <w:rPr>
          <w:noProof/>
        </w:rPr>
      </w:pPr>
      <w:r w:rsidRPr="00CE6C4E">
        <w:rPr>
          <w:b/>
          <w:bCs/>
          <w:i/>
          <w:iCs/>
          <w:sz w:val="22"/>
          <w:szCs w:val="22"/>
        </w:rPr>
        <w:t>Table</w:t>
      </w:r>
      <w:r w:rsidR="00BF2D39">
        <w:rPr>
          <w:b/>
          <w:bCs/>
          <w:i/>
          <w:iCs/>
          <w:sz w:val="22"/>
          <w:szCs w:val="22"/>
        </w:rPr>
        <w:t xml:space="preserve"> 76</w:t>
      </w:r>
      <w:r w:rsidRPr="00CE6C4E">
        <w:rPr>
          <w:b/>
          <w:bCs/>
          <w:i/>
          <w:iCs/>
          <w:sz w:val="22"/>
          <w:szCs w:val="22"/>
        </w:rPr>
        <w:t xml:space="preserve">: </w:t>
      </w:r>
      <w:r>
        <w:rPr>
          <w:b/>
          <w:bCs/>
          <w:i/>
          <w:iCs/>
          <w:sz w:val="22"/>
          <w:szCs w:val="22"/>
        </w:rPr>
        <w:t>Customer sentiment</w:t>
      </w:r>
      <w:r w:rsidR="004A2407">
        <w:rPr>
          <w:b/>
          <w:bCs/>
          <w:i/>
          <w:iCs/>
          <w:sz w:val="22"/>
          <w:szCs w:val="22"/>
        </w:rPr>
        <w:t xml:space="preserve"> (4-year average)</w:t>
      </w:r>
    </w:p>
    <w:tbl>
      <w:tblPr>
        <w:tblW w:w="4250" w:type="pct"/>
        <w:tblBorders>
          <w:top w:val="single" w:sz="4" w:space="0" w:color="002279"/>
          <w:left w:val="single" w:sz="4" w:space="0" w:color="002279"/>
          <w:bottom w:val="single" w:sz="4" w:space="0" w:color="002279"/>
          <w:right w:val="single" w:sz="4" w:space="0" w:color="002279"/>
          <w:insideH w:val="single" w:sz="4" w:space="0" w:color="002279"/>
          <w:insideV w:val="single" w:sz="4" w:space="0" w:color="002279"/>
        </w:tblBorders>
        <w:tblCellMar>
          <w:left w:w="0" w:type="dxa"/>
          <w:right w:w="0" w:type="dxa"/>
        </w:tblCellMar>
        <w:tblLook w:val="04A0" w:firstRow="1" w:lastRow="0" w:firstColumn="1" w:lastColumn="0" w:noHBand="0" w:noVBand="1"/>
      </w:tblPr>
      <w:tblGrid>
        <w:gridCol w:w="7668"/>
        <w:gridCol w:w="1455"/>
        <w:gridCol w:w="1456"/>
        <w:gridCol w:w="1277"/>
      </w:tblGrid>
      <w:tr w:rsidR="002A7794" w14:paraId="14ACFA94" w14:textId="77777777" w:rsidTr="00243847">
        <w:trPr>
          <w:trHeight w:val="534"/>
        </w:trPr>
        <w:tc>
          <w:tcPr>
            <w:tcW w:w="7672" w:type="dxa"/>
            <w:tcBorders>
              <w:right w:val="single" w:sz="4" w:space="0" w:color="FFFFFF" w:themeColor="background1"/>
            </w:tcBorders>
            <w:shd w:val="clear" w:color="auto" w:fill="002279"/>
            <w:tcMar>
              <w:top w:w="15" w:type="dxa"/>
              <w:left w:w="225" w:type="dxa"/>
              <w:bottom w:w="0" w:type="dxa"/>
              <w:right w:w="15" w:type="dxa"/>
            </w:tcMar>
            <w:vAlign w:val="center"/>
            <w:hideMark/>
          </w:tcPr>
          <w:p w14:paraId="4C5076CC" w14:textId="3F47428C" w:rsidR="00C01B36" w:rsidRPr="006A7468" w:rsidRDefault="007918BC" w:rsidP="00243847">
            <w:pPr>
              <w:spacing w:after="0"/>
              <w:rPr>
                <w:rFonts w:asciiTheme="minorHAnsi" w:hAnsiTheme="minorHAnsi" w:cstheme="minorHAnsi"/>
                <w:b/>
                <w:color w:val="FFFFFF" w:themeColor="background1"/>
                <w:sz w:val="20"/>
                <w:szCs w:val="20"/>
              </w:rPr>
            </w:pPr>
            <w:r>
              <w:rPr>
                <w:rFonts w:asciiTheme="minorHAnsi" w:hAnsiTheme="minorHAnsi" w:cstheme="minorHAnsi"/>
                <w:b/>
                <w:bCs/>
                <w:color w:val="FFFFFF" w:themeColor="background1"/>
                <w:sz w:val="20"/>
                <w:szCs w:val="20"/>
              </w:rPr>
              <w:t>C</w:t>
            </w:r>
            <w:r w:rsidR="00C01B36" w:rsidRPr="006A7468">
              <w:rPr>
                <w:rFonts w:asciiTheme="minorHAnsi" w:hAnsiTheme="minorHAnsi" w:cstheme="minorHAnsi"/>
                <w:b/>
                <w:bCs/>
                <w:color w:val="FFFFFF" w:themeColor="background1"/>
                <w:sz w:val="20"/>
                <w:szCs w:val="20"/>
              </w:rPr>
              <w:t xml:space="preserve">ustomer </w:t>
            </w:r>
            <w:r>
              <w:rPr>
                <w:rFonts w:asciiTheme="minorHAnsi" w:hAnsiTheme="minorHAnsi" w:cstheme="minorHAnsi"/>
                <w:b/>
                <w:bCs/>
                <w:color w:val="FFFFFF" w:themeColor="background1"/>
                <w:sz w:val="20"/>
                <w:szCs w:val="20"/>
              </w:rPr>
              <w:t>p</w:t>
            </w:r>
            <w:r w:rsidR="00C01B36" w:rsidRPr="006A7468">
              <w:rPr>
                <w:rFonts w:asciiTheme="minorHAnsi" w:hAnsiTheme="minorHAnsi" w:cstheme="minorHAnsi"/>
                <w:b/>
                <w:bCs/>
                <w:color w:val="FFFFFF" w:themeColor="background1"/>
                <w:sz w:val="20"/>
                <w:szCs w:val="20"/>
              </w:rPr>
              <w:t xml:space="preserve">erception </w:t>
            </w:r>
            <w:r>
              <w:rPr>
                <w:rFonts w:asciiTheme="minorHAnsi" w:hAnsiTheme="minorHAnsi" w:cstheme="minorHAnsi"/>
                <w:b/>
                <w:bCs/>
                <w:color w:val="FFFFFF" w:themeColor="background1"/>
                <w:sz w:val="20"/>
                <w:szCs w:val="20"/>
              </w:rPr>
              <w:t>s</w:t>
            </w:r>
            <w:r w:rsidR="00C01B36" w:rsidRPr="006A7468">
              <w:rPr>
                <w:rFonts w:asciiTheme="minorHAnsi" w:hAnsiTheme="minorHAnsi" w:cstheme="minorHAnsi"/>
                <w:b/>
                <w:bCs/>
                <w:color w:val="FFFFFF" w:themeColor="background1"/>
                <w:sz w:val="20"/>
                <w:szCs w:val="20"/>
              </w:rPr>
              <w:t>urvey</w:t>
            </w:r>
          </w:p>
        </w:tc>
        <w:tc>
          <w:tcPr>
            <w:tcW w:w="1455" w:type="dxa"/>
            <w:tcBorders>
              <w:left w:val="single" w:sz="4" w:space="0" w:color="FFFFFF" w:themeColor="background1"/>
              <w:right w:val="single" w:sz="4" w:space="0" w:color="FFFFFF" w:themeColor="background1"/>
            </w:tcBorders>
            <w:shd w:val="clear" w:color="auto" w:fill="002279"/>
            <w:tcMar>
              <w:top w:w="15" w:type="dxa"/>
              <w:left w:w="15" w:type="dxa"/>
              <w:bottom w:w="0" w:type="dxa"/>
              <w:right w:w="15" w:type="dxa"/>
            </w:tcMar>
            <w:vAlign w:val="center"/>
            <w:hideMark/>
          </w:tcPr>
          <w:p w14:paraId="05E0071E" w14:textId="606DA1B6" w:rsidR="006E2ACA" w:rsidRDefault="006E2ACA" w:rsidP="00243847">
            <w:pPr>
              <w:spacing w:after="0"/>
              <w:jc w:val="center"/>
              <w:rPr>
                <w:rFonts w:asciiTheme="minorHAnsi" w:hAnsiTheme="minorHAnsi" w:cstheme="minorHAnsi"/>
                <w:b/>
                <w:bCs/>
                <w:color w:val="FFFFFF" w:themeColor="background1"/>
                <w:sz w:val="20"/>
                <w:szCs w:val="20"/>
              </w:rPr>
            </w:pPr>
            <w:r>
              <w:rPr>
                <w:rFonts w:asciiTheme="minorHAnsi" w:hAnsiTheme="minorHAnsi" w:cstheme="minorHAnsi"/>
                <w:b/>
                <w:bCs/>
                <w:color w:val="FFFFFF" w:themeColor="background1"/>
                <w:sz w:val="20"/>
                <w:szCs w:val="20"/>
              </w:rPr>
              <w:t>Result</w:t>
            </w:r>
          </w:p>
        </w:tc>
        <w:tc>
          <w:tcPr>
            <w:tcW w:w="1456" w:type="dxa"/>
            <w:tcBorders>
              <w:left w:val="single" w:sz="4" w:space="0" w:color="FFFFFF" w:themeColor="background1"/>
              <w:right w:val="single" w:sz="4" w:space="0" w:color="FFFFFF" w:themeColor="background1"/>
            </w:tcBorders>
            <w:shd w:val="clear" w:color="auto" w:fill="002279"/>
            <w:vAlign w:val="center"/>
          </w:tcPr>
          <w:p w14:paraId="1C5340A9" w14:textId="21F66986" w:rsidR="00C01B36" w:rsidRPr="006A7468" w:rsidRDefault="006E2ACA" w:rsidP="00243847">
            <w:pPr>
              <w:spacing w:after="0"/>
              <w:jc w:val="center"/>
              <w:rPr>
                <w:rFonts w:asciiTheme="minorHAnsi" w:hAnsiTheme="minorHAnsi" w:cstheme="minorHAnsi"/>
                <w:b/>
                <w:color w:val="FFFFFF" w:themeColor="background1"/>
                <w:sz w:val="20"/>
                <w:szCs w:val="20"/>
              </w:rPr>
            </w:pPr>
            <w:r>
              <w:rPr>
                <w:rFonts w:asciiTheme="minorHAnsi" w:hAnsiTheme="minorHAnsi" w:cstheme="minorHAnsi"/>
                <w:b/>
                <w:bCs/>
                <w:color w:val="FFFFFF" w:themeColor="background1"/>
                <w:sz w:val="20"/>
                <w:szCs w:val="20"/>
              </w:rPr>
              <w:t>State avg.</w:t>
            </w:r>
          </w:p>
        </w:tc>
        <w:tc>
          <w:tcPr>
            <w:tcW w:w="1277" w:type="dxa"/>
            <w:tcBorders>
              <w:left w:val="single" w:sz="4" w:space="0" w:color="FFFFFF" w:themeColor="background1"/>
            </w:tcBorders>
            <w:shd w:val="clear" w:color="auto" w:fill="002279"/>
            <w:tcMar>
              <w:top w:w="15" w:type="dxa"/>
              <w:left w:w="15" w:type="dxa"/>
              <w:bottom w:w="0" w:type="dxa"/>
              <w:right w:w="15" w:type="dxa"/>
            </w:tcMar>
            <w:vAlign w:val="center"/>
            <w:hideMark/>
          </w:tcPr>
          <w:p w14:paraId="40E462BE" w14:textId="07F5A97B" w:rsidR="00C01B36" w:rsidRPr="0001256F" w:rsidRDefault="00C01B36" w:rsidP="00243847">
            <w:pPr>
              <w:spacing w:after="0"/>
              <w:jc w:val="center"/>
              <w:rPr>
                <w:rFonts w:asciiTheme="minorHAnsi" w:hAnsiTheme="minorHAnsi" w:cstheme="minorHAnsi"/>
                <w:b/>
                <w:sz w:val="20"/>
                <w:szCs w:val="20"/>
              </w:rPr>
            </w:pPr>
            <w:r w:rsidRPr="0001256F">
              <w:rPr>
                <w:rFonts w:asciiTheme="minorHAnsi" w:hAnsiTheme="minorHAnsi" w:cstheme="minorHAnsi"/>
                <w:b/>
                <w:sz w:val="20"/>
                <w:szCs w:val="20"/>
              </w:rPr>
              <w:t>Score</w:t>
            </w:r>
          </w:p>
        </w:tc>
      </w:tr>
      <w:tr w:rsidR="00B567CB" w14:paraId="68FE266B" w14:textId="77777777" w:rsidTr="00243847">
        <w:trPr>
          <w:trHeight w:val="369"/>
        </w:trPr>
        <w:tc>
          <w:tcPr>
            <w:tcW w:w="7672" w:type="dxa"/>
            <w:shd w:val="clear" w:color="auto" w:fill="D4D6DF"/>
            <w:tcMar>
              <w:top w:w="15" w:type="dxa"/>
              <w:left w:w="225" w:type="dxa"/>
              <w:bottom w:w="0" w:type="dxa"/>
              <w:right w:w="15" w:type="dxa"/>
            </w:tcMar>
            <w:vAlign w:val="center"/>
            <w:hideMark/>
          </w:tcPr>
          <w:p w14:paraId="6A68E22B" w14:textId="77777777" w:rsidR="007E22E2" w:rsidRPr="0001256F" w:rsidRDefault="007E22E2" w:rsidP="00243847">
            <w:pPr>
              <w:spacing w:after="0"/>
              <w:rPr>
                <w:rFonts w:asciiTheme="minorHAnsi" w:hAnsiTheme="minorHAnsi" w:cstheme="minorHAnsi"/>
                <w:sz w:val="20"/>
                <w:szCs w:val="20"/>
              </w:rPr>
            </w:pPr>
            <w:r w:rsidRPr="0001256F">
              <w:rPr>
                <w:rFonts w:asciiTheme="minorHAnsi" w:hAnsiTheme="minorHAnsi" w:cstheme="minorHAnsi"/>
                <w:sz w:val="20"/>
                <w:szCs w:val="20"/>
              </w:rPr>
              <w:t xml:space="preserve">How customers rated their water business for </w:t>
            </w:r>
            <w:r w:rsidRPr="0001256F">
              <w:rPr>
                <w:rFonts w:asciiTheme="minorHAnsi" w:hAnsiTheme="minorHAnsi" w:cstheme="minorHAnsi"/>
                <w:b/>
                <w:sz w:val="20"/>
                <w:szCs w:val="20"/>
              </w:rPr>
              <w:t>overall satisfaction</w:t>
            </w:r>
          </w:p>
        </w:tc>
        <w:tc>
          <w:tcPr>
            <w:tcW w:w="0" w:type="auto"/>
            <w:shd w:val="clear" w:color="auto" w:fill="D4D6DF"/>
            <w:noWrap/>
            <w:tcMar>
              <w:top w:w="15" w:type="dxa"/>
              <w:left w:w="15" w:type="dxa"/>
              <w:bottom w:w="0" w:type="dxa"/>
              <w:right w:w="225" w:type="dxa"/>
            </w:tcMar>
            <w:vAlign w:val="center"/>
            <w:hideMark/>
          </w:tcPr>
          <w:p w14:paraId="78E8D80F" w14:textId="77777777" w:rsidR="007E22E2" w:rsidRPr="0001256F" w:rsidRDefault="007E22E2" w:rsidP="00243847">
            <w:pPr>
              <w:spacing w:after="0"/>
              <w:jc w:val="center"/>
              <w:rPr>
                <w:rFonts w:asciiTheme="minorHAnsi" w:hAnsiTheme="minorHAnsi" w:cstheme="minorHAnsi"/>
                <w:sz w:val="20"/>
                <w:szCs w:val="20"/>
              </w:rPr>
            </w:pPr>
            <w:r w:rsidRPr="0001256F">
              <w:rPr>
                <w:rFonts w:asciiTheme="minorHAnsi" w:hAnsiTheme="minorHAnsi" w:cstheme="minorHAnsi"/>
                <w:sz w:val="20"/>
                <w:szCs w:val="20"/>
              </w:rPr>
              <w:t>7.2</w:t>
            </w:r>
          </w:p>
        </w:tc>
        <w:tc>
          <w:tcPr>
            <w:tcW w:w="0" w:type="auto"/>
            <w:shd w:val="clear" w:color="auto" w:fill="D4D6DF"/>
            <w:noWrap/>
            <w:tcMar>
              <w:top w:w="15" w:type="dxa"/>
              <w:left w:w="15" w:type="dxa"/>
              <w:bottom w:w="0" w:type="dxa"/>
              <w:right w:w="225" w:type="dxa"/>
            </w:tcMar>
            <w:vAlign w:val="center"/>
            <w:hideMark/>
          </w:tcPr>
          <w:p w14:paraId="17B5A991" w14:textId="77777777" w:rsidR="007E22E2" w:rsidRPr="0001256F" w:rsidRDefault="007E22E2" w:rsidP="00243847">
            <w:pPr>
              <w:spacing w:after="0"/>
              <w:jc w:val="center"/>
              <w:rPr>
                <w:rFonts w:asciiTheme="minorHAnsi" w:hAnsiTheme="minorHAnsi" w:cstheme="minorHAnsi"/>
                <w:sz w:val="20"/>
                <w:szCs w:val="20"/>
              </w:rPr>
            </w:pPr>
            <w:r w:rsidRPr="0001256F">
              <w:rPr>
                <w:rFonts w:asciiTheme="minorHAnsi" w:hAnsiTheme="minorHAnsi" w:cstheme="minorHAnsi"/>
                <w:sz w:val="20"/>
                <w:szCs w:val="20"/>
              </w:rPr>
              <w:t>6.8</w:t>
            </w:r>
          </w:p>
        </w:tc>
        <w:tc>
          <w:tcPr>
            <w:tcW w:w="1277" w:type="dxa"/>
            <w:shd w:val="clear" w:color="auto" w:fill="D4D6DF"/>
            <w:tcMar>
              <w:top w:w="15" w:type="dxa"/>
              <w:left w:w="15" w:type="dxa"/>
              <w:bottom w:w="0" w:type="dxa"/>
              <w:right w:w="15" w:type="dxa"/>
            </w:tcMar>
            <w:vAlign w:val="center"/>
            <w:hideMark/>
          </w:tcPr>
          <w:p w14:paraId="2F36EBBB" w14:textId="77777777" w:rsidR="007E22E2" w:rsidRPr="0001256F" w:rsidRDefault="007E22E2" w:rsidP="00243847">
            <w:pPr>
              <w:spacing w:after="0"/>
              <w:jc w:val="center"/>
              <w:rPr>
                <w:rFonts w:asciiTheme="minorHAnsi" w:hAnsiTheme="minorHAnsi" w:cstheme="minorHAnsi"/>
                <w:sz w:val="20"/>
                <w:szCs w:val="20"/>
              </w:rPr>
            </w:pPr>
            <w:r w:rsidRPr="0001256F">
              <w:rPr>
                <w:rFonts w:asciiTheme="minorHAnsi" w:hAnsiTheme="minorHAnsi" w:cstheme="minorHAnsi"/>
                <w:sz w:val="20"/>
                <w:szCs w:val="20"/>
              </w:rPr>
              <w:t>2</w:t>
            </w:r>
          </w:p>
        </w:tc>
      </w:tr>
      <w:tr w:rsidR="00B567CB" w14:paraId="7B942441" w14:textId="77777777" w:rsidTr="00243847">
        <w:trPr>
          <w:trHeight w:val="369"/>
        </w:trPr>
        <w:tc>
          <w:tcPr>
            <w:tcW w:w="7672" w:type="dxa"/>
            <w:shd w:val="clear" w:color="auto" w:fill="auto"/>
            <w:tcMar>
              <w:top w:w="15" w:type="dxa"/>
              <w:left w:w="225" w:type="dxa"/>
              <w:bottom w:w="0" w:type="dxa"/>
              <w:right w:w="15" w:type="dxa"/>
            </w:tcMar>
            <w:vAlign w:val="center"/>
            <w:hideMark/>
          </w:tcPr>
          <w:p w14:paraId="7914CDA1" w14:textId="77777777" w:rsidR="007E22E2" w:rsidRPr="0001256F" w:rsidRDefault="007E22E2" w:rsidP="00243847">
            <w:pPr>
              <w:spacing w:after="0"/>
              <w:rPr>
                <w:rFonts w:asciiTheme="minorHAnsi" w:hAnsiTheme="minorHAnsi" w:cstheme="minorHAnsi"/>
                <w:sz w:val="20"/>
                <w:szCs w:val="20"/>
              </w:rPr>
            </w:pPr>
            <w:r w:rsidRPr="0001256F">
              <w:rPr>
                <w:rFonts w:asciiTheme="minorHAnsi" w:hAnsiTheme="minorHAnsi" w:cstheme="minorHAnsi"/>
                <w:sz w:val="20"/>
                <w:szCs w:val="20"/>
              </w:rPr>
              <w:t xml:space="preserve">How customers rated their water business for </w:t>
            </w:r>
            <w:r w:rsidRPr="0001256F">
              <w:rPr>
                <w:rFonts w:asciiTheme="minorHAnsi" w:hAnsiTheme="minorHAnsi" w:cstheme="minorHAnsi"/>
                <w:b/>
                <w:sz w:val="20"/>
                <w:szCs w:val="20"/>
              </w:rPr>
              <w:t>value for money</w:t>
            </w:r>
          </w:p>
        </w:tc>
        <w:tc>
          <w:tcPr>
            <w:tcW w:w="0" w:type="auto"/>
            <w:shd w:val="clear" w:color="auto" w:fill="auto"/>
            <w:noWrap/>
            <w:tcMar>
              <w:top w:w="15" w:type="dxa"/>
              <w:left w:w="15" w:type="dxa"/>
              <w:bottom w:w="0" w:type="dxa"/>
              <w:right w:w="225" w:type="dxa"/>
            </w:tcMar>
            <w:vAlign w:val="center"/>
            <w:hideMark/>
          </w:tcPr>
          <w:p w14:paraId="262B9C1F" w14:textId="77777777" w:rsidR="007E22E2" w:rsidRPr="0001256F" w:rsidRDefault="007E22E2" w:rsidP="00243847">
            <w:pPr>
              <w:spacing w:after="0"/>
              <w:jc w:val="center"/>
              <w:rPr>
                <w:rFonts w:asciiTheme="minorHAnsi" w:hAnsiTheme="minorHAnsi" w:cstheme="minorHAnsi"/>
                <w:sz w:val="20"/>
                <w:szCs w:val="20"/>
              </w:rPr>
            </w:pPr>
            <w:r w:rsidRPr="0001256F">
              <w:rPr>
                <w:rFonts w:asciiTheme="minorHAnsi" w:hAnsiTheme="minorHAnsi" w:cstheme="minorHAnsi"/>
                <w:sz w:val="20"/>
                <w:szCs w:val="20"/>
              </w:rPr>
              <w:t>6.6</w:t>
            </w:r>
          </w:p>
        </w:tc>
        <w:tc>
          <w:tcPr>
            <w:tcW w:w="0" w:type="auto"/>
            <w:shd w:val="clear" w:color="auto" w:fill="auto"/>
            <w:noWrap/>
            <w:tcMar>
              <w:top w:w="15" w:type="dxa"/>
              <w:left w:w="15" w:type="dxa"/>
              <w:bottom w:w="0" w:type="dxa"/>
              <w:right w:w="225" w:type="dxa"/>
            </w:tcMar>
            <w:vAlign w:val="center"/>
            <w:hideMark/>
          </w:tcPr>
          <w:p w14:paraId="721129C0" w14:textId="77777777" w:rsidR="007E22E2" w:rsidRPr="0001256F" w:rsidRDefault="007E22E2" w:rsidP="00243847">
            <w:pPr>
              <w:spacing w:after="0"/>
              <w:jc w:val="center"/>
              <w:rPr>
                <w:rFonts w:asciiTheme="minorHAnsi" w:hAnsiTheme="minorHAnsi" w:cstheme="minorHAnsi"/>
                <w:sz w:val="20"/>
                <w:szCs w:val="20"/>
              </w:rPr>
            </w:pPr>
            <w:r w:rsidRPr="0001256F">
              <w:rPr>
                <w:rFonts w:asciiTheme="minorHAnsi" w:hAnsiTheme="minorHAnsi" w:cstheme="minorHAnsi"/>
                <w:sz w:val="20"/>
                <w:szCs w:val="20"/>
              </w:rPr>
              <w:t>6.2</w:t>
            </w:r>
          </w:p>
        </w:tc>
        <w:tc>
          <w:tcPr>
            <w:tcW w:w="1277" w:type="dxa"/>
            <w:shd w:val="clear" w:color="auto" w:fill="auto"/>
            <w:tcMar>
              <w:top w:w="15" w:type="dxa"/>
              <w:left w:w="15" w:type="dxa"/>
              <w:bottom w:w="0" w:type="dxa"/>
              <w:right w:w="15" w:type="dxa"/>
            </w:tcMar>
            <w:vAlign w:val="center"/>
            <w:hideMark/>
          </w:tcPr>
          <w:p w14:paraId="177B9873" w14:textId="77777777" w:rsidR="007E22E2" w:rsidRPr="0001256F" w:rsidRDefault="007E22E2" w:rsidP="00243847">
            <w:pPr>
              <w:spacing w:after="0"/>
              <w:jc w:val="center"/>
              <w:rPr>
                <w:rFonts w:asciiTheme="minorHAnsi" w:hAnsiTheme="minorHAnsi" w:cstheme="minorHAnsi"/>
                <w:sz w:val="20"/>
                <w:szCs w:val="20"/>
              </w:rPr>
            </w:pPr>
            <w:r w:rsidRPr="0001256F">
              <w:rPr>
                <w:rFonts w:asciiTheme="minorHAnsi" w:hAnsiTheme="minorHAnsi" w:cstheme="minorHAnsi"/>
                <w:sz w:val="20"/>
                <w:szCs w:val="20"/>
              </w:rPr>
              <w:t>2</w:t>
            </w:r>
          </w:p>
        </w:tc>
      </w:tr>
      <w:tr w:rsidR="00B567CB" w14:paraId="60499169" w14:textId="77777777" w:rsidTr="00243847">
        <w:trPr>
          <w:trHeight w:val="369"/>
        </w:trPr>
        <w:tc>
          <w:tcPr>
            <w:tcW w:w="7672" w:type="dxa"/>
            <w:shd w:val="clear" w:color="auto" w:fill="D4D6DF"/>
            <w:tcMar>
              <w:top w:w="15" w:type="dxa"/>
              <w:left w:w="225" w:type="dxa"/>
              <w:bottom w:w="0" w:type="dxa"/>
              <w:right w:w="15" w:type="dxa"/>
            </w:tcMar>
            <w:vAlign w:val="center"/>
            <w:hideMark/>
          </w:tcPr>
          <w:p w14:paraId="7D3FBF74" w14:textId="77777777" w:rsidR="007E22E2" w:rsidRPr="0001256F" w:rsidRDefault="007E22E2" w:rsidP="00243847">
            <w:pPr>
              <w:spacing w:after="0"/>
              <w:rPr>
                <w:rFonts w:asciiTheme="minorHAnsi" w:hAnsiTheme="minorHAnsi" w:cstheme="minorHAnsi"/>
                <w:sz w:val="20"/>
                <w:szCs w:val="20"/>
              </w:rPr>
            </w:pPr>
            <w:r w:rsidRPr="0001256F">
              <w:rPr>
                <w:rFonts w:asciiTheme="minorHAnsi" w:hAnsiTheme="minorHAnsi" w:cstheme="minorHAnsi"/>
                <w:sz w:val="20"/>
                <w:szCs w:val="20"/>
              </w:rPr>
              <w:t xml:space="preserve">How customers rated their water business for </w:t>
            </w:r>
            <w:r w:rsidRPr="0001256F">
              <w:rPr>
                <w:rFonts w:asciiTheme="minorHAnsi" w:hAnsiTheme="minorHAnsi" w:cstheme="minorHAnsi"/>
                <w:b/>
                <w:sz w:val="20"/>
                <w:szCs w:val="20"/>
              </w:rPr>
              <w:t>trust</w:t>
            </w:r>
          </w:p>
        </w:tc>
        <w:tc>
          <w:tcPr>
            <w:tcW w:w="0" w:type="auto"/>
            <w:shd w:val="clear" w:color="auto" w:fill="D4D6DF"/>
            <w:noWrap/>
            <w:tcMar>
              <w:top w:w="15" w:type="dxa"/>
              <w:left w:w="15" w:type="dxa"/>
              <w:bottom w:w="0" w:type="dxa"/>
              <w:right w:w="225" w:type="dxa"/>
            </w:tcMar>
            <w:vAlign w:val="center"/>
            <w:hideMark/>
          </w:tcPr>
          <w:p w14:paraId="14B20551" w14:textId="77777777" w:rsidR="007E22E2" w:rsidRPr="0001256F" w:rsidRDefault="007E22E2" w:rsidP="00243847">
            <w:pPr>
              <w:spacing w:after="0"/>
              <w:jc w:val="center"/>
              <w:rPr>
                <w:rFonts w:asciiTheme="minorHAnsi" w:hAnsiTheme="minorHAnsi" w:cstheme="minorHAnsi"/>
                <w:sz w:val="20"/>
                <w:szCs w:val="20"/>
              </w:rPr>
            </w:pPr>
            <w:r w:rsidRPr="0001256F">
              <w:rPr>
                <w:rFonts w:asciiTheme="minorHAnsi" w:hAnsiTheme="minorHAnsi" w:cstheme="minorHAnsi"/>
                <w:sz w:val="20"/>
                <w:szCs w:val="20"/>
              </w:rPr>
              <w:t>7.0</w:t>
            </w:r>
          </w:p>
        </w:tc>
        <w:tc>
          <w:tcPr>
            <w:tcW w:w="0" w:type="auto"/>
            <w:shd w:val="clear" w:color="auto" w:fill="D4D6DF"/>
            <w:noWrap/>
            <w:tcMar>
              <w:top w:w="15" w:type="dxa"/>
              <w:left w:w="15" w:type="dxa"/>
              <w:bottom w:w="0" w:type="dxa"/>
              <w:right w:w="225" w:type="dxa"/>
            </w:tcMar>
            <w:vAlign w:val="center"/>
            <w:hideMark/>
          </w:tcPr>
          <w:p w14:paraId="0C82BD09" w14:textId="77777777" w:rsidR="007E22E2" w:rsidRPr="0001256F" w:rsidRDefault="007E22E2" w:rsidP="00243847">
            <w:pPr>
              <w:spacing w:after="0"/>
              <w:jc w:val="center"/>
              <w:rPr>
                <w:rFonts w:asciiTheme="minorHAnsi" w:hAnsiTheme="minorHAnsi" w:cstheme="minorHAnsi"/>
                <w:sz w:val="20"/>
                <w:szCs w:val="20"/>
              </w:rPr>
            </w:pPr>
            <w:r w:rsidRPr="0001256F">
              <w:rPr>
                <w:rFonts w:asciiTheme="minorHAnsi" w:hAnsiTheme="minorHAnsi" w:cstheme="minorHAnsi"/>
                <w:sz w:val="20"/>
                <w:szCs w:val="20"/>
              </w:rPr>
              <w:t>6.6</w:t>
            </w:r>
          </w:p>
        </w:tc>
        <w:tc>
          <w:tcPr>
            <w:tcW w:w="1277" w:type="dxa"/>
            <w:shd w:val="clear" w:color="auto" w:fill="D4D6DF"/>
            <w:tcMar>
              <w:top w:w="15" w:type="dxa"/>
              <w:left w:w="15" w:type="dxa"/>
              <w:bottom w:w="0" w:type="dxa"/>
              <w:right w:w="15" w:type="dxa"/>
            </w:tcMar>
            <w:vAlign w:val="center"/>
            <w:hideMark/>
          </w:tcPr>
          <w:p w14:paraId="0E9AB620" w14:textId="77777777" w:rsidR="007E22E2" w:rsidRPr="0001256F" w:rsidRDefault="007E22E2" w:rsidP="00243847">
            <w:pPr>
              <w:spacing w:after="0"/>
              <w:jc w:val="center"/>
              <w:rPr>
                <w:rFonts w:asciiTheme="minorHAnsi" w:hAnsiTheme="minorHAnsi" w:cstheme="minorHAnsi"/>
                <w:sz w:val="20"/>
                <w:szCs w:val="20"/>
              </w:rPr>
            </w:pPr>
            <w:r w:rsidRPr="0001256F">
              <w:rPr>
                <w:rFonts w:asciiTheme="minorHAnsi" w:hAnsiTheme="minorHAnsi" w:cstheme="minorHAnsi"/>
                <w:sz w:val="20"/>
                <w:szCs w:val="20"/>
              </w:rPr>
              <w:t>2</w:t>
            </w:r>
          </w:p>
        </w:tc>
      </w:tr>
      <w:tr w:rsidR="00B567CB" w14:paraId="657F1B91" w14:textId="77777777" w:rsidTr="00243847">
        <w:trPr>
          <w:trHeight w:val="369"/>
        </w:trPr>
        <w:tc>
          <w:tcPr>
            <w:tcW w:w="7672" w:type="dxa"/>
            <w:shd w:val="clear" w:color="auto" w:fill="auto"/>
            <w:tcMar>
              <w:top w:w="15" w:type="dxa"/>
              <w:left w:w="225" w:type="dxa"/>
              <w:bottom w:w="0" w:type="dxa"/>
              <w:right w:w="15" w:type="dxa"/>
            </w:tcMar>
            <w:vAlign w:val="center"/>
            <w:hideMark/>
          </w:tcPr>
          <w:p w14:paraId="015C544C" w14:textId="77777777" w:rsidR="007E22E2" w:rsidRPr="0001256F" w:rsidRDefault="007E22E2" w:rsidP="00243847">
            <w:pPr>
              <w:spacing w:after="0"/>
              <w:rPr>
                <w:rFonts w:asciiTheme="minorHAnsi" w:hAnsiTheme="minorHAnsi" w:cstheme="minorHAnsi"/>
                <w:sz w:val="20"/>
                <w:szCs w:val="20"/>
              </w:rPr>
            </w:pPr>
            <w:r w:rsidRPr="0001256F">
              <w:rPr>
                <w:rFonts w:asciiTheme="minorHAnsi" w:hAnsiTheme="minorHAnsi" w:cstheme="minorHAnsi"/>
                <w:sz w:val="20"/>
                <w:szCs w:val="20"/>
              </w:rPr>
              <w:t xml:space="preserve">How customers rated their water business for </w:t>
            </w:r>
            <w:r w:rsidRPr="0001256F">
              <w:rPr>
                <w:rFonts w:asciiTheme="minorHAnsi" w:hAnsiTheme="minorHAnsi" w:cstheme="minorHAnsi"/>
                <w:b/>
                <w:sz w:val="20"/>
                <w:szCs w:val="20"/>
              </w:rPr>
              <w:t>reputation in the community</w:t>
            </w:r>
          </w:p>
        </w:tc>
        <w:tc>
          <w:tcPr>
            <w:tcW w:w="0" w:type="auto"/>
            <w:shd w:val="clear" w:color="auto" w:fill="auto"/>
            <w:noWrap/>
            <w:tcMar>
              <w:top w:w="15" w:type="dxa"/>
              <w:left w:w="15" w:type="dxa"/>
              <w:bottom w:w="0" w:type="dxa"/>
              <w:right w:w="225" w:type="dxa"/>
            </w:tcMar>
            <w:vAlign w:val="center"/>
            <w:hideMark/>
          </w:tcPr>
          <w:p w14:paraId="1859AD49" w14:textId="77777777" w:rsidR="007E22E2" w:rsidRPr="0001256F" w:rsidRDefault="007E22E2" w:rsidP="00243847">
            <w:pPr>
              <w:spacing w:after="0"/>
              <w:jc w:val="center"/>
              <w:rPr>
                <w:rFonts w:asciiTheme="minorHAnsi" w:hAnsiTheme="minorHAnsi" w:cstheme="minorHAnsi"/>
                <w:sz w:val="20"/>
                <w:szCs w:val="20"/>
              </w:rPr>
            </w:pPr>
            <w:r w:rsidRPr="0001256F">
              <w:rPr>
                <w:rFonts w:asciiTheme="minorHAnsi" w:hAnsiTheme="minorHAnsi" w:cstheme="minorHAnsi"/>
                <w:sz w:val="20"/>
                <w:szCs w:val="20"/>
              </w:rPr>
              <w:t>7.0</w:t>
            </w:r>
          </w:p>
        </w:tc>
        <w:tc>
          <w:tcPr>
            <w:tcW w:w="0" w:type="auto"/>
            <w:shd w:val="clear" w:color="auto" w:fill="auto"/>
            <w:noWrap/>
            <w:tcMar>
              <w:top w:w="15" w:type="dxa"/>
              <w:left w:w="15" w:type="dxa"/>
              <w:bottom w:w="0" w:type="dxa"/>
              <w:right w:w="225" w:type="dxa"/>
            </w:tcMar>
            <w:vAlign w:val="center"/>
            <w:hideMark/>
          </w:tcPr>
          <w:p w14:paraId="43599605" w14:textId="77777777" w:rsidR="007E22E2" w:rsidRPr="0001256F" w:rsidRDefault="007E22E2" w:rsidP="00243847">
            <w:pPr>
              <w:spacing w:after="0"/>
              <w:jc w:val="center"/>
              <w:rPr>
                <w:rFonts w:asciiTheme="minorHAnsi" w:hAnsiTheme="minorHAnsi" w:cstheme="minorHAnsi"/>
                <w:sz w:val="20"/>
                <w:szCs w:val="20"/>
              </w:rPr>
            </w:pPr>
            <w:r w:rsidRPr="0001256F">
              <w:rPr>
                <w:rFonts w:asciiTheme="minorHAnsi" w:hAnsiTheme="minorHAnsi" w:cstheme="minorHAnsi"/>
                <w:sz w:val="20"/>
                <w:szCs w:val="20"/>
              </w:rPr>
              <w:t>6.6</w:t>
            </w:r>
          </w:p>
        </w:tc>
        <w:tc>
          <w:tcPr>
            <w:tcW w:w="1277" w:type="dxa"/>
            <w:shd w:val="clear" w:color="auto" w:fill="auto"/>
            <w:tcMar>
              <w:top w:w="15" w:type="dxa"/>
              <w:left w:w="15" w:type="dxa"/>
              <w:bottom w:w="0" w:type="dxa"/>
              <w:right w:w="15" w:type="dxa"/>
            </w:tcMar>
            <w:vAlign w:val="center"/>
            <w:hideMark/>
          </w:tcPr>
          <w:p w14:paraId="5EDD291D" w14:textId="77777777" w:rsidR="007E22E2" w:rsidRPr="0001256F" w:rsidRDefault="007E22E2" w:rsidP="00243847">
            <w:pPr>
              <w:spacing w:after="0"/>
              <w:jc w:val="center"/>
              <w:rPr>
                <w:rFonts w:asciiTheme="minorHAnsi" w:hAnsiTheme="minorHAnsi" w:cstheme="minorHAnsi"/>
                <w:sz w:val="20"/>
                <w:szCs w:val="20"/>
              </w:rPr>
            </w:pPr>
            <w:r w:rsidRPr="0001256F">
              <w:rPr>
                <w:rFonts w:asciiTheme="minorHAnsi" w:hAnsiTheme="minorHAnsi" w:cstheme="minorHAnsi"/>
                <w:sz w:val="20"/>
                <w:szCs w:val="20"/>
              </w:rPr>
              <w:t>2</w:t>
            </w:r>
          </w:p>
        </w:tc>
      </w:tr>
    </w:tbl>
    <w:p w14:paraId="2F670A86" w14:textId="3D23D030" w:rsidR="00670C59" w:rsidRDefault="007E22E2" w:rsidP="005D3A6B">
      <w:pPr>
        <w:pStyle w:val="BodyText"/>
      </w:pPr>
      <w:r>
        <w:rPr>
          <w:noProof/>
        </w:rPr>
        <w:t xml:space="preserve"> </w:t>
      </w:r>
    </w:p>
    <w:p w14:paraId="721DF3ED" w14:textId="77777777" w:rsidR="007B11AE" w:rsidRDefault="007B11AE" w:rsidP="007B11AE">
      <w:pPr>
        <w:pStyle w:val="BodyText"/>
      </w:pPr>
    </w:p>
    <w:p w14:paraId="1B393477" w14:textId="1119F052" w:rsidR="006101AD" w:rsidRDefault="007B11AE" w:rsidP="005D3A6B">
      <w:pPr>
        <w:pStyle w:val="BodyText"/>
      </w:pPr>
      <w:r>
        <w:t>Table</w:t>
      </w:r>
      <w:r w:rsidR="00976BEA">
        <w:t xml:space="preserve"> 77</w:t>
      </w:r>
      <w:r>
        <w:t xml:space="preserve"> below shows our performance against a selected set of indicators from the annual ESC Water Performance Report. The assessment consists of a 5-year average from 2016</w:t>
      </w:r>
      <w:r w:rsidR="00F243DC">
        <w:t>–</w:t>
      </w:r>
      <w:r>
        <w:t>17 and 2020</w:t>
      </w:r>
      <w:r w:rsidR="00F243DC">
        <w:t>–</w:t>
      </w:r>
      <w:r>
        <w:t xml:space="preserve">21, which is the most up-to-date release of these metrics at the time of preparing the assessment. </w:t>
      </w:r>
    </w:p>
    <w:p w14:paraId="2B2540E6" w14:textId="4F37797E" w:rsidR="00243847" w:rsidRDefault="00243847" w:rsidP="005D3A6B">
      <w:pPr>
        <w:pStyle w:val="BodyText"/>
      </w:pPr>
    </w:p>
    <w:p w14:paraId="1E3CAA9F" w14:textId="186A530E" w:rsidR="00243847" w:rsidRDefault="00243847" w:rsidP="005D3A6B">
      <w:pPr>
        <w:pStyle w:val="BodyText"/>
      </w:pPr>
    </w:p>
    <w:p w14:paraId="420109E4" w14:textId="77777777" w:rsidR="00243847" w:rsidRDefault="00243847" w:rsidP="005D3A6B">
      <w:pPr>
        <w:pStyle w:val="BodyText"/>
      </w:pPr>
    </w:p>
    <w:p w14:paraId="3AAF1427" w14:textId="18190176" w:rsidR="00F6647B" w:rsidRDefault="00F6647B" w:rsidP="005D3A6B">
      <w:pPr>
        <w:pStyle w:val="BodyText"/>
      </w:pPr>
    </w:p>
    <w:p w14:paraId="1259C378" w14:textId="77777777" w:rsidR="002819EA" w:rsidRDefault="002819EA" w:rsidP="005D3A6B">
      <w:pPr>
        <w:pStyle w:val="BodyText"/>
      </w:pPr>
    </w:p>
    <w:p w14:paraId="2098863E" w14:textId="14CA1E83" w:rsidR="00976BEA" w:rsidRPr="00943386" w:rsidRDefault="00976BEA" w:rsidP="00A35FEB">
      <w:pPr>
        <w:textAlignment w:val="baseline"/>
        <w:rPr>
          <w:rStyle w:val="normaltextrun"/>
        </w:rPr>
      </w:pPr>
      <w:r w:rsidRPr="00CE6C4E">
        <w:rPr>
          <w:b/>
          <w:bCs/>
          <w:i/>
          <w:iCs/>
          <w:sz w:val="22"/>
          <w:szCs w:val="22"/>
        </w:rPr>
        <w:lastRenderedPageBreak/>
        <w:t>Table</w:t>
      </w:r>
      <w:r w:rsidR="00F74BF7">
        <w:rPr>
          <w:b/>
          <w:bCs/>
          <w:i/>
          <w:iCs/>
          <w:sz w:val="22"/>
          <w:szCs w:val="22"/>
        </w:rPr>
        <w:t xml:space="preserve"> 77</w:t>
      </w:r>
      <w:r w:rsidRPr="00CE6C4E">
        <w:rPr>
          <w:b/>
          <w:bCs/>
          <w:i/>
          <w:iCs/>
          <w:sz w:val="22"/>
          <w:szCs w:val="22"/>
        </w:rPr>
        <w:t xml:space="preserve">: </w:t>
      </w:r>
      <w:r w:rsidR="002515FC">
        <w:rPr>
          <w:b/>
          <w:bCs/>
          <w:i/>
          <w:iCs/>
          <w:sz w:val="22"/>
          <w:szCs w:val="22"/>
        </w:rPr>
        <w:t>ESC Water Performance Report measures</w:t>
      </w:r>
    </w:p>
    <w:tbl>
      <w:tblPr>
        <w:tblW w:w="4250" w:type="pct"/>
        <w:tblBorders>
          <w:top w:val="single" w:sz="4" w:space="0" w:color="002279"/>
          <w:left w:val="single" w:sz="4" w:space="0" w:color="002279"/>
          <w:bottom w:val="single" w:sz="4" w:space="0" w:color="002279"/>
          <w:right w:val="single" w:sz="4" w:space="0" w:color="002279"/>
          <w:insideH w:val="single" w:sz="4" w:space="0" w:color="002279"/>
          <w:insideV w:val="single" w:sz="4" w:space="0" w:color="002279"/>
        </w:tblBorders>
        <w:tblCellMar>
          <w:left w:w="0" w:type="dxa"/>
          <w:right w:w="0" w:type="dxa"/>
        </w:tblCellMar>
        <w:tblLook w:val="04A0" w:firstRow="1" w:lastRow="0" w:firstColumn="1" w:lastColumn="0" w:noHBand="0" w:noVBand="1"/>
      </w:tblPr>
      <w:tblGrid>
        <w:gridCol w:w="7968"/>
        <w:gridCol w:w="1417"/>
        <w:gridCol w:w="1418"/>
        <w:gridCol w:w="1053"/>
      </w:tblGrid>
      <w:tr w:rsidR="009443C5" w:rsidRPr="007918BC" w14:paraId="63D165EC" w14:textId="77777777" w:rsidTr="00243847">
        <w:trPr>
          <w:trHeight w:val="369"/>
        </w:trPr>
        <w:tc>
          <w:tcPr>
            <w:tcW w:w="9918" w:type="dxa"/>
            <w:tcBorders>
              <w:bottom w:val="single" w:sz="4" w:space="0" w:color="002279"/>
              <w:right w:val="single" w:sz="4" w:space="0" w:color="FFFFFF" w:themeColor="background1"/>
            </w:tcBorders>
            <w:shd w:val="clear" w:color="auto" w:fill="002279"/>
            <w:tcMar>
              <w:top w:w="15" w:type="dxa"/>
              <w:left w:w="225" w:type="dxa"/>
              <w:bottom w:w="0" w:type="dxa"/>
              <w:right w:w="15" w:type="dxa"/>
            </w:tcMar>
            <w:vAlign w:val="center"/>
          </w:tcPr>
          <w:p w14:paraId="164E9ED2" w14:textId="5BAD2585" w:rsidR="007A09A4" w:rsidRPr="0039542C" w:rsidRDefault="007A09A4" w:rsidP="00243847">
            <w:pPr>
              <w:spacing w:after="0"/>
              <w:rPr>
                <w:rFonts w:asciiTheme="minorHAnsi" w:hAnsiTheme="minorHAnsi" w:cstheme="minorHAnsi"/>
                <w:color w:val="FFFFFF" w:themeColor="background1"/>
                <w:sz w:val="20"/>
                <w:szCs w:val="20"/>
              </w:rPr>
            </w:pPr>
            <w:r w:rsidRPr="0039542C">
              <w:rPr>
                <w:rFonts w:asciiTheme="minorHAnsi" w:hAnsiTheme="minorHAnsi" w:cstheme="minorHAnsi"/>
                <w:b/>
                <w:color w:val="FFFFFF" w:themeColor="background1"/>
                <w:sz w:val="20"/>
                <w:szCs w:val="20"/>
              </w:rPr>
              <w:t xml:space="preserve">Water Performance Report </w:t>
            </w:r>
            <w:r w:rsidR="001D3C27" w:rsidRPr="0039542C">
              <w:rPr>
                <w:rFonts w:asciiTheme="minorHAnsi" w:hAnsiTheme="minorHAnsi" w:cstheme="minorHAnsi"/>
                <w:b/>
                <w:color w:val="FFFFFF" w:themeColor="background1"/>
                <w:sz w:val="20"/>
                <w:szCs w:val="20"/>
              </w:rPr>
              <w:t>m</w:t>
            </w:r>
            <w:r w:rsidRPr="0039542C">
              <w:rPr>
                <w:rFonts w:asciiTheme="minorHAnsi" w:hAnsiTheme="minorHAnsi" w:cstheme="minorHAnsi"/>
                <w:b/>
                <w:color w:val="FFFFFF" w:themeColor="background1"/>
                <w:sz w:val="20"/>
                <w:szCs w:val="20"/>
              </w:rPr>
              <w:t>easure</w:t>
            </w:r>
          </w:p>
        </w:tc>
        <w:tc>
          <w:tcPr>
            <w:tcW w:w="1417" w:type="dxa"/>
            <w:tcBorders>
              <w:left w:val="single" w:sz="4" w:space="0" w:color="FFFFFF" w:themeColor="background1"/>
              <w:bottom w:val="single" w:sz="4" w:space="0" w:color="002279"/>
              <w:right w:val="single" w:sz="4" w:space="0" w:color="FFFFFF" w:themeColor="background1"/>
            </w:tcBorders>
            <w:shd w:val="clear" w:color="auto" w:fill="002279"/>
            <w:noWrap/>
            <w:tcMar>
              <w:top w:w="15" w:type="dxa"/>
              <w:left w:w="15" w:type="dxa"/>
              <w:bottom w:w="0" w:type="dxa"/>
              <w:right w:w="225" w:type="dxa"/>
            </w:tcMar>
            <w:vAlign w:val="center"/>
          </w:tcPr>
          <w:p w14:paraId="612FA9F7" w14:textId="3357294B" w:rsidR="007A09A4" w:rsidRPr="0039542C" w:rsidRDefault="0008001A" w:rsidP="00243847">
            <w:pPr>
              <w:spacing w:after="0"/>
              <w:ind w:firstLineChars="100" w:firstLine="201"/>
              <w:jc w:val="center"/>
              <w:rPr>
                <w:rFonts w:asciiTheme="minorHAnsi" w:hAnsiTheme="minorHAnsi" w:cstheme="minorHAnsi"/>
                <w:color w:val="FFFFFF" w:themeColor="background1"/>
                <w:sz w:val="20"/>
                <w:szCs w:val="20"/>
              </w:rPr>
            </w:pPr>
            <w:r w:rsidRPr="0039542C">
              <w:rPr>
                <w:rFonts w:asciiTheme="minorHAnsi" w:hAnsiTheme="minorHAnsi" w:cstheme="minorHAnsi"/>
                <w:b/>
                <w:color w:val="FFFFFF" w:themeColor="background1"/>
                <w:sz w:val="20"/>
                <w:szCs w:val="20"/>
              </w:rPr>
              <w:t>Result</w:t>
            </w:r>
          </w:p>
        </w:tc>
        <w:tc>
          <w:tcPr>
            <w:tcW w:w="1418" w:type="dxa"/>
            <w:tcBorders>
              <w:left w:val="single" w:sz="4" w:space="0" w:color="FFFFFF" w:themeColor="background1"/>
              <w:bottom w:val="single" w:sz="4" w:space="0" w:color="002279"/>
              <w:right w:val="single" w:sz="4" w:space="0" w:color="FFFFFF" w:themeColor="background1"/>
            </w:tcBorders>
            <w:shd w:val="clear" w:color="auto" w:fill="002279"/>
            <w:noWrap/>
            <w:tcMar>
              <w:top w:w="15" w:type="dxa"/>
              <w:left w:w="15" w:type="dxa"/>
              <w:bottom w:w="0" w:type="dxa"/>
              <w:right w:w="225" w:type="dxa"/>
            </w:tcMar>
            <w:vAlign w:val="center"/>
          </w:tcPr>
          <w:p w14:paraId="7C985419" w14:textId="7A63E2C6" w:rsidR="007A09A4" w:rsidRPr="0039542C" w:rsidRDefault="007A09A4" w:rsidP="00243847">
            <w:pPr>
              <w:spacing w:after="0"/>
              <w:ind w:firstLineChars="100" w:firstLine="201"/>
              <w:jc w:val="center"/>
              <w:rPr>
                <w:rFonts w:asciiTheme="minorHAnsi" w:hAnsiTheme="minorHAnsi" w:cstheme="minorHAnsi"/>
                <w:color w:val="FFFFFF" w:themeColor="background1"/>
                <w:sz w:val="20"/>
                <w:szCs w:val="20"/>
              </w:rPr>
            </w:pPr>
            <w:r w:rsidRPr="0039542C">
              <w:rPr>
                <w:rFonts w:asciiTheme="minorHAnsi" w:hAnsiTheme="minorHAnsi" w:cstheme="minorHAnsi"/>
                <w:b/>
                <w:color w:val="FFFFFF" w:themeColor="background1"/>
                <w:sz w:val="20"/>
                <w:szCs w:val="20"/>
              </w:rPr>
              <w:t xml:space="preserve">State </w:t>
            </w:r>
            <w:r w:rsidR="00331C25" w:rsidRPr="0039542C">
              <w:rPr>
                <w:rFonts w:asciiTheme="minorHAnsi" w:hAnsiTheme="minorHAnsi" w:cstheme="minorHAnsi"/>
                <w:b/>
                <w:color w:val="FFFFFF" w:themeColor="background1"/>
                <w:sz w:val="20"/>
                <w:szCs w:val="20"/>
              </w:rPr>
              <w:t>a</w:t>
            </w:r>
            <w:r w:rsidRPr="0039542C">
              <w:rPr>
                <w:rFonts w:asciiTheme="minorHAnsi" w:hAnsiTheme="minorHAnsi" w:cstheme="minorHAnsi"/>
                <w:b/>
                <w:color w:val="FFFFFF" w:themeColor="background1"/>
                <w:sz w:val="20"/>
                <w:szCs w:val="20"/>
              </w:rPr>
              <w:t>v</w:t>
            </w:r>
            <w:r w:rsidR="00571F5E" w:rsidRPr="0039542C">
              <w:rPr>
                <w:rFonts w:asciiTheme="minorHAnsi" w:hAnsiTheme="minorHAnsi" w:cstheme="minorHAnsi"/>
                <w:b/>
                <w:color w:val="FFFFFF" w:themeColor="background1"/>
                <w:sz w:val="20"/>
                <w:szCs w:val="20"/>
              </w:rPr>
              <w:t>era</w:t>
            </w:r>
            <w:r w:rsidRPr="0039542C">
              <w:rPr>
                <w:rFonts w:asciiTheme="minorHAnsi" w:hAnsiTheme="minorHAnsi" w:cstheme="minorHAnsi"/>
                <w:b/>
                <w:color w:val="FFFFFF" w:themeColor="background1"/>
                <w:sz w:val="20"/>
                <w:szCs w:val="20"/>
              </w:rPr>
              <w:t>g</w:t>
            </w:r>
            <w:r w:rsidR="00571F5E" w:rsidRPr="0039542C">
              <w:rPr>
                <w:rFonts w:asciiTheme="minorHAnsi" w:hAnsiTheme="minorHAnsi" w:cstheme="minorHAnsi"/>
                <w:b/>
                <w:color w:val="FFFFFF" w:themeColor="background1"/>
                <w:sz w:val="20"/>
                <w:szCs w:val="20"/>
              </w:rPr>
              <w:t>e</w:t>
            </w:r>
          </w:p>
        </w:tc>
        <w:tc>
          <w:tcPr>
            <w:tcW w:w="1195" w:type="dxa"/>
            <w:tcBorders>
              <w:left w:val="single" w:sz="4" w:space="0" w:color="FFFFFF" w:themeColor="background1"/>
              <w:bottom w:val="single" w:sz="4" w:space="0" w:color="002279"/>
            </w:tcBorders>
            <w:shd w:val="clear" w:color="auto" w:fill="002279"/>
            <w:tcMar>
              <w:top w:w="15" w:type="dxa"/>
              <w:left w:w="15" w:type="dxa"/>
              <w:bottom w:w="0" w:type="dxa"/>
              <w:right w:w="15" w:type="dxa"/>
            </w:tcMar>
            <w:vAlign w:val="center"/>
          </w:tcPr>
          <w:p w14:paraId="7ADF4E72" w14:textId="2DCAEBE8" w:rsidR="007A09A4" w:rsidRPr="0039542C" w:rsidRDefault="007A09A4" w:rsidP="00243847">
            <w:pPr>
              <w:spacing w:after="0"/>
              <w:jc w:val="center"/>
              <w:rPr>
                <w:rFonts w:asciiTheme="minorHAnsi" w:hAnsiTheme="minorHAnsi" w:cstheme="minorHAnsi"/>
                <w:color w:val="FFFFFF" w:themeColor="background1"/>
                <w:sz w:val="20"/>
                <w:szCs w:val="20"/>
              </w:rPr>
            </w:pPr>
            <w:r w:rsidRPr="0039542C">
              <w:rPr>
                <w:rFonts w:asciiTheme="minorHAnsi" w:hAnsiTheme="minorHAnsi" w:cstheme="minorHAnsi"/>
                <w:b/>
                <w:color w:val="FFFFFF" w:themeColor="background1"/>
                <w:sz w:val="20"/>
                <w:szCs w:val="20"/>
              </w:rPr>
              <w:t>Score</w:t>
            </w:r>
          </w:p>
        </w:tc>
      </w:tr>
      <w:tr w:rsidR="009443C5" w:rsidRPr="007918BC" w14:paraId="0B4D3F73" w14:textId="77777777" w:rsidTr="00243847">
        <w:trPr>
          <w:trHeight w:val="369"/>
        </w:trPr>
        <w:tc>
          <w:tcPr>
            <w:tcW w:w="9918" w:type="dxa"/>
            <w:shd w:val="clear" w:color="auto" w:fill="D4D6DF"/>
            <w:tcMar>
              <w:top w:w="15" w:type="dxa"/>
              <w:left w:w="225" w:type="dxa"/>
              <w:bottom w:w="0" w:type="dxa"/>
              <w:right w:w="15" w:type="dxa"/>
            </w:tcMar>
            <w:vAlign w:val="center"/>
            <w:hideMark/>
          </w:tcPr>
          <w:p w14:paraId="660F6F30" w14:textId="0D68F5B5" w:rsidR="00026E94" w:rsidRPr="007918BC" w:rsidRDefault="00026E94" w:rsidP="00243847">
            <w:pPr>
              <w:spacing w:after="0"/>
              <w:rPr>
                <w:rFonts w:asciiTheme="minorHAnsi" w:hAnsiTheme="minorHAnsi" w:cstheme="minorHAnsi"/>
                <w:sz w:val="20"/>
                <w:szCs w:val="20"/>
              </w:rPr>
            </w:pPr>
            <w:r w:rsidRPr="007918BC">
              <w:rPr>
                <w:rFonts w:asciiTheme="minorHAnsi" w:hAnsiTheme="minorHAnsi" w:cstheme="minorHAnsi"/>
                <w:sz w:val="20"/>
                <w:szCs w:val="20"/>
              </w:rPr>
              <w:t xml:space="preserve">Water quality complaints </w:t>
            </w:r>
            <w:r w:rsidR="00331C25" w:rsidRPr="007918BC">
              <w:rPr>
                <w:rFonts w:asciiTheme="minorHAnsi" w:hAnsiTheme="minorHAnsi" w:cstheme="minorHAnsi"/>
                <w:sz w:val="20"/>
                <w:szCs w:val="20"/>
              </w:rPr>
              <w:t>– all</w:t>
            </w:r>
            <w:r w:rsidRPr="007918BC">
              <w:rPr>
                <w:rFonts w:asciiTheme="minorHAnsi" w:hAnsiTheme="minorHAnsi" w:cstheme="minorHAnsi"/>
                <w:sz w:val="20"/>
                <w:szCs w:val="20"/>
              </w:rPr>
              <w:t xml:space="preserve"> causes (per 100 customers)</w:t>
            </w:r>
          </w:p>
        </w:tc>
        <w:tc>
          <w:tcPr>
            <w:tcW w:w="1417" w:type="dxa"/>
            <w:shd w:val="clear" w:color="auto" w:fill="D4D6DF"/>
            <w:noWrap/>
            <w:tcMar>
              <w:top w:w="15" w:type="dxa"/>
              <w:left w:w="15" w:type="dxa"/>
              <w:bottom w:w="0" w:type="dxa"/>
              <w:right w:w="225" w:type="dxa"/>
            </w:tcMar>
            <w:vAlign w:val="center"/>
            <w:hideMark/>
          </w:tcPr>
          <w:p w14:paraId="4104A3CC" w14:textId="77777777" w:rsidR="00026E94" w:rsidRPr="007918BC" w:rsidRDefault="00026E94" w:rsidP="00243847">
            <w:pPr>
              <w:spacing w:after="0"/>
              <w:ind w:firstLineChars="100" w:firstLine="200"/>
              <w:jc w:val="center"/>
              <w:rPr>
                <w:rFonts w:asciiTheme="minorHAnsi" w:hAnsiTheme="minorHAnsi" w:cstheme="minorHAnsi"/>
                <w:sz w:val="20"/>
                <w:szCs w:val="20"/>
              </w:rPr>
            </w:pPr>
            <w:r w:rsidRPr="007918BC">
              <w:rPr>
                <w:rFonts w:asciiTheme="minorHAnsi" w:hAnsiTheme="minorHAnsi" w:cstheme="minorHAnsi"/>
                <w:sz w:val="20"/>
                <w:szCs w:val="20"/>
              </w:rPr>
              <w:t>0.21</w:t>
            </w:r>
          </w:p>
        </w:tc>
        <w:tc>
          <w:tcPr>
            <w:tcW w:w="1418" w:type="dxa"/>
            <w:shd w:val="clear" w:color="auto" w:fill="D4D6DF"/>
            <w:noWrap/>
            <w:tcMar>
              <w:top w:w="15" w:type="dxa"/>
              <w:left w:w="15" w:type="dxa"/>
              <w:bottom w:w="0" w:type="dxa"/>
              <w:right w:w="225" w:type="dxa"/>
            </w:tcMar>
            <w:vAlign w:val="center"/>
            <w:hideMark/>
          </w:tcPr>
          <w:p w14:paraId="6A0C9E4D" w14:textId="77777777" w:rsidR="00026E94" w:rsidRPr="007918BC" w:rsidRDefault="00026E94" w:rsidP="00243847">
            <w:pPr>
              <w:spacing w:after="0"/>
              <w:ind w:firstLineChars="100" w:firstLine="200"/>
              <w:jc w:val="center"/>
              <w:rPr>
                <w:rFonts w:asciiTheme="minorHAnsi" w:hAnsiTheme="minorHAnsi" w:cstheme="minorHAnsi"/>
                <w:sz w:val="20"/>
                <w:szCs w:val="20"/>
              </w:rPr>
            </w:pPr>
            <w:r w:rsidRPr="007918BC">
              <w:rPr>
                <w:rFonts w:asciiTheme="minorHAnsi" w:hAnsiTheme="minorHAnsi" w:cstheme="minorHAnsi"/>
                <w:sz w:val="20"/>
                <w:szCs w:val="20"/>
              </w:rPr>
              <w:t>0.26</w:t>
            </w:r>
          </w:p>
        </w:tc>
        <w:tc>
          <w:tcPr>
            <w:tcW w:w="1195" w:type="dxa"/>
            <w:shd w:val="clear" w:color="auto" w:fill="D4D6DF"/>
            <w:tcMar>
              <w:top w:w="15" w:type="dxa"/>
              <w:left w:w="15" w:type="dxa"/>
              <w:bottom w:w="0" w:type="dxa"/>
              <w:right w:w="15" w:type="dxa"/>
            </w:tcMar>
            <w:vAlign w:val="center"/>
            <w:hideMark/>
          </w:tcPr>
          <w:p w14:paraId="0121DDF9" w14:textId="77777777" w:rsidR="00026E94" w:rsidRPr="007918BC" w:rsidRDefault="00026E94" w:rsidP="00243847">
            <w:pPr>
              <w:spacing w:after="0"/>
              <w:jc w:val="center"/>
              <w:rPr>
                <w:rFonts w:asciiTheme="minorHAnsi" w:hAnsiTheme="minorHAnsi" w:cstheme="minorHAnsi"/>
                <w:color w:val="000000"/>
                <w:sz w:val="20"/>
                <w:szCs w:val="20"/>
              </w:rPr>
            </w:pPr>
            <w:r w:rsidRPr="007918BC">
              <w:rPr>
                <w:rFonts w:asciiTheme="minorHAnsi" w:hAnsiTheme="minorHAnsi" w:cstheme="minorHAnsi"/>
                <w:color w:val="000000"/>
                <w:sz w:val="20"/>
                <w:szCs w:val="20"/>
              </w:rPr>
              <w:t>2</w:t>
            </w:r>
          </w:p>
        </w:tc>
      </w:tr>
      <w:tr w:rsidR="009443C5" w:rsidRPr="007918BC" w14:paraId="52AD4D1F" w14:textId="77777777" w:rsidTr="00243847">
        <w:trPr>
          <w:trHeight w:val="369"/>
        </w:trPr>
        <w:tc>
          <w:tcPr>
            <w:tcW w:w="9918" w:type="dxa"/>
            <w:tcBorders>
              <w:bottom w:val="single" w:sz="4" w:space="0" w:color="002279"/>
            </w:tcBorders>
            <w:shd w:val="clear" w:color="auto" w:fill="auto"/>
            <w:tcMar>
              <w:top w:w="15" w:type="dxa"/>
              <w:left w:w="225" w:type="dxa"/>
              <w:bottom w:w="0" w:type="dxa"/>
              <w:right w:w="15" w:type="dxa"/>
            </w:tcMar>
            <w:vAlign w:val="center"/>
            <w:hideMark/>
          </w:tcPr>
          <w:p w14:paraId="2D87D5C7" w14:textId="77777777" w:rsidR="00026E94" w:rsidRPr="007918BC" w:rsidRDefault="00026E94" w:rsidP="00243847">
            <w:pPr>
              <w:spacing w:after="0"/>
              <w:rPr>
                <w:rFonts w:asciiTheme="minorHAnsi" w:hAnsiTheme="minorHAnsi" w:cstheme="minorHAnsi"/>
                <w:sz w:val="20"/>
                <w:szCs w:val="20"/>
              </w:rPr>
            </w:pPr>
            <w:r w:rsidRPr="007918BC">
              <w:rPr>
                <w:rFonts w:asciiTheme="minorHAnsi" w:hAnsiTheme="minorHAnsi" w:cstheme="minorHAnsi"/>
                <w:sz w:val="20"/>
                <w:szCs w:val="20"/>
              </w:rPr>
              <w:t>Complaints received by water business [total] (per 100 customers)</w:t>
            </w:r>
          </w:p>
        </w:tc>
        <w:tc>
          <w:tcPr>
            <w:tcW w:w="1417" w:type="dxa"/>
            <w:tcBorders>
              <w:bottom w:val="single" w:sz="4" w:space="0" w:color="002279"/>
            </w:tcBorders>
            <w:shd w:val="clear" w:color="auto" w:fill="auto"/>
            <w:noWrap/>
            <w:tcMar>
              <w:top w:w="15" w:type="dxa"/>
              <w:left w:w="15" w:type="dxa"/>
              <w:bottom w:w="0" w:type="dxa"/>
              <w:right w:w="225" w:type="dxa"/>
            </w:tcMar>
            <w:vAlign w:val="center"/>
            <w:hideMark/>
          </w:tcPr>
          <w:p w14:paraId="448E1333" w14:textId="77777777" w:rsidR="00026E94" w:rsidRPr="007918BC" w:rsidRDefault="00026E94" w:rsidP="00243847">
            <w:pPr>
              <w:spacing w:after="0"/>
              <w:ind w:firstLineChars="100" w:firstLine="200"/>
              <w:jc w:val="center"/>
              <w:rPr>
                <w:rFonts w:asciiTheme="minorHAnsi" w:hAnsiTheme="minorHAnsi" w:cstheme="minorHAnsi"/>
                <w:sz w:val="20"/>
                <w:szCs w:val="20"/>
              </w:rPr>
            </w:pPr>
            <w:r w:rsidRPr="007918BC">
              <w:rPr>
                <w:rFonts w:asciiTheme="minorHAnsi" w:hAnsiTheme="minorHAnsi" w:cstheme="minorHAnsi"/>
                <w:sz w:val="20"/>
                <w:szCs w:val="20"/>
              </w:rPr>
              <w:t>0.47</w:t>
            </w:r>
          </w:p>
        </w:tc>
        <w:tc>
          <w:tcPr>
            <w:tcW w:w="1418" w:type="dxa"/>
            <w:tcBorders>
              <w:bottom w:val="single" w:sz="4" w:space="0" w:color="002279"/>
            </w:tcBorders>
            <w:shd w:val="clear" w:color="auto" w:fill="auto"/>
            <w:noWrap/>
            <w:tcMar>
              <w:top w:w="15" w:type="dxa"/>
              <w:left w:w="15" w:type="dxa"/>
              <w:bottom w:w="0" w:type="dxa"/>
              <w:right w:w="225" w:type="dxa"/>
            </w:tcMar>
            <w:vAlign w:val="center"/>
            <w:hideMark/>
          </w:tcPr>
          <w:p w14:paraId="19837375" w14:textId="77777777" w:rsidR="00026E94" w:rsidRPr="007918BC" w:rsidRDefault="00026E94" w:rsidP="00243847">
            <w:pPr>
              <w:spacing w:after="0"/>
              <w:ind w:firstLineChars="100" w:firstLine="200"/>
              <w:jc w:val="center"/>
              <w:rPr>
                <w:rFonts w:asciiTheme="minorHAnsi" w:hAnsiTheme="minorHAnsi" w:cstheme="minorHAnsi"/>
                <w:sz w:val="20"/>
                <w:szCs w:val="20"/>
              </w:rPr>
            </w:pPr>
            <w:r w:rsidRPr="007918BC">
              <w:rPr>
                <w:rFonts w:asciiTheme="minorHAnsi" w:hAnsiTheme="minorHAnsi" w:cstheme="minorHAnsi"/>
                <w:sz w:val="20"/>
                <w:szCs w:val="20"/>
              </w:rPr>
              <w:t>0.60</w:t>
            </w:r>
          </w:p>
        </w:tc>
        <w:tc>
          <w:tcPr>
            <w:tcW w:w="1195" w:type="dxa"/>
            <w:tcBorders>
              <w:bottom w:val="single" w:sz="4" w:space="0" w:color="002279"/>
            </w:tcBorders>
            <w:shd w:val="clear" w:color="auto" w:fill="auto"/>
            <w:tcMar>
              <w:top w:w="15" w:type="dxa"/>
              <w:left w:w="15" w:type="dxa"/>
              <w:bottom w:w="0" w:type="dxa"/>
              <w:right w:w="15" w:type="dxa"/>
            </w:tcMar>
            <w:vAlign w:val="center"/>
            <w:hideMark/>
          </w:tcPr>
          <w:p w14:paraId="62F10081" w14:textId="77777777" w:rsidR="00026E94" w:rsidRPr="007918BC" w:rsidRDefault="00026E94" w:rsidP="00243847">
            <w:pPr>
              <w:spacing w:after="0"/>
              <w:jc w:val="center"/>
              <w:rPr>
                <w:rFonts w:asciiTheme="minorHAnsi" w:hAnsiTheme="minorHAnsi" w:cstheme="minorHAnsi"/>
                <w:color w:val="000000"/>
                <w:sz w:val="20"/>
                <w:szCs w:val="20"/>
              </w:rPr>
            </w:pPr>
            <w:r w:rsidRPr="007918BC">
              <w:rPr>
                <w:rFonts w:asciiTheme="minorHAnsi" w:hAnsiTheme="minorHAnsi" w:cstheme="minorHAnsi"/>
                <w:color w:val="000000"/>
                <w:sz w:val="20"/>
                <w:szCs w:val="20"/>
              </w:rPr>
              <w:t>2</w:t>
            </w:r>
          </w:p>
        </w:tc>
      </w:tr>
      <w:tr w:rsidR="009443C5" w:rsidRPr="007918BC" w14:paraId="0713EBC5" w14:textId="77777777" w:rsidTr="00243847">
        <w:trPr>
          <w:trHeight w:val="369"/>
        </w:trPr>
        <w:tc>
          <w:tcPr>
            <w:tcW w:w="9918" w:type="dxa"/>
            <w:shd w:val="clear" w:color="auto" w:fill="D4D6DF"/>
            <w:tcMar>
              <w:top w:w="15" w:type="dxa"/>
              <w:left w:w="225" w:type="dxa"/>
              <w:bottom w:w="0" w:type="dxa"/>
              <w:right w:w="15" w:type="dxa"/>
            </w:tcMar>
            <w:vAlign w:val="center"/>
            <w:hideMark/>
          </w:tcPr>
          <w:p w14:paraId="5D748C8E" w14:textId="77777777" w:rsidR="00026E94" w:rsidRPr="007918BC" w:rsidRDefault="00026E94" w:rsidP="00243847">
            <w:pPr>
              <w:spacing w:after="0"/>
              <w:rPr>
                <w:rFonts w:asciiTheme="minorHAnsi" w:hAnsiTheme="minorHAnsi" w:cstheme="minorHAnsi"/>
                <w:sz w:val="20"/>
                <w:szCs w:val="20"/>
              </w:rPr>
            </w:pPr>
            <w:r w:rsidRPr="007918BC">
              <w:rPr>
                <w:rFonts w:asciiTheme="minorHAnsi" w:hAnsiTheme="minorHAnsi" w:cstheme="minorHAnsi"/>
                <w:sz w:val="20"/>
                <w:szCs w:val="20"/>
              </w:rPr>
              <w:t>Hardship grants approved (per 100 customers)</w:t>
            </w:r>
          </w:p>
        </w:tc>
        <w:tc>
          <w:tcPr>
            <w:tcW w:w="1417" w:type="dxa"/>
            <w:shd w:val="clear" w:color="auto" w:fill="D4D6DF"/>
            <w:noWrap/>
            <w:tcMar>
              <w:top w:w="15" w:type="dxa"/>
              <w:left w:w="15" w:type="dxa"/>
              <w:bottom w:w="0" w:type="dxa"/>
              <w:right w:w="225" w:type="dxa"/>
            </w:tcMar>
            <w:vAlign w:val="center"/>
            <w:hideMark/>
          </w:tcPr>
          <w:p w14:paraId="451474B9" w14:textId="77777777" w:rsidR="00026E94" w:rsidRPr="007918BC" w:rsidRDefault="00026E94" w:rsidP="00243847">
            <w:pPr>
              <w:spacing w:after="0"/>
              <w:ind w:firstLineChars="100" w:firstLine="200"/>
              <w:jc w:val="center"/>
              <w:rPr>
                <w:rFonts w:asciiTheme="minorHAnsi" w:hAnsiTheme="minorHAnsi" w:cstheme="minorHAnsi"/>
                <w:sz w:val="20"/>
                <w:szCs w:val="20"/>
              </w:rPr>
            </w:pPr>
            <w:r w:rsidRPr="007918BC">
              <w:rPr>
                <w:rFonts w:asciiTheme="minorHAnsi" w:hAnsiTheme="minorHAnsi" w:cstheme="minorHAnsi"/>
                <w:sz w:val="20"/>
                <w:szCs w:val="20"/>
              </w:rPr>
              <w:t>0.06</w:t>
            </w:r>
          </w:p>
        </w:tc>
        <w:tc>
          <w:tcPr>
            <w:tcW w:w="1418" w:type="dxa"/>
            <w:shd w:val="clear" w:color="auto" w:fill="D4D6DF"/>
            <w:noWrap/>
            <w:tcMar>
              <w:top w:w="15" w:type="dxa"/>
              <w:left w:w="15" w:type="dxa"/>
              <w:bottom w:w="0" w:type="dxa"/>
              <w:right w:w="225" w:type="dxa"/>
            </w:tcMar>
            <w:vAlign w:val="center"/>
            <w:hideMark/>
          </w:tcPr>
          <w:p w14:paraId="3CCEB818" w14:textId="77777777" w:rsidR="00026E94" w:rsidRPr="007918BC" w:rsidRDefault="00026E94" w:rsidP="00243847">
            <w:pPr>
              <w:spacing w:after="0"/>
              <w:ind w:firstLineChars="100" w:firstLine="200"/>
              <w:jc w:val="center"/>
              <w:rPr>
                <w:rFonts w:asciiTheme="minorHAnsi" w:hAnsiTheme="minorHAnsi" w:cstheme="minorHAnsi"/>
                <w:sz w:val="20"/>
                <w:szCs w:val="20"/>
              </w:rPr>
            </w:pPr>
            <w:r w:rsidRPr="007918BC">
              <w:rPr>
                <w:rFonts w:asciiTheme="minorHAnsi" w:hAnsiTheme="minorHAnsi" w:cstheme="minorHAnsi"/>
                <w:sz w:val="20"/>
                <w:szCs w:val="20"/>
              </w:rPr>
              <w:t>0.49</w:t>
            </w:r>
          </w:p>
        </w:tc>
        <w:tc>
          <w:tcPr>
            <w:tcW w:w="1195" w:type="dxa"/>
            <w:shd w:val="clear" w:color="auto" w:fill="D4D6DF"/>
            <w:tcMar>
              <w:top w:w="15" w:type="dxa"/>
              <w:left w:w="15" w:type="dxa"/>
              <w:bottom w:w="0" w:type="dxa"/>
              <w:right w:w="15" w:type="dxa"/>
            </w:tcMar>
            <w:vAlign w:val="center"/>
            <w:hideMark/>
          </w:tcPr>
          <w:p w14:paraId="61795738" w14:textId="77777777" w:rsidR="00026E94" w:rsidRPr="007918BC" w:rsidRDefault="00026E94" w:rsidP="00243847">
            <w:pPr>
              <w:spacing w:after="0"/>
              <w:jc w:val="center"/>
              <w:rPr>
                <w:rFonts w:asciiTheme="minorHAnsi" w:hAnsiTheme="minorHAnsi" w:cstheme="minorHAnsi"/>
                <w:color w:val="000000"/>
                <w:sz w:val="20"/>
                <w:szCs w:val="20"/>
              </w:rPr>
            </w:pPr>
            <w:r w:rsidRPr="007918BC">
              <w:rPr>
                <w:rFonts w:asciiTheme="minorHAnsi" w:hAnsiTheme="minorHAnsi" w:cstheme="minorHAnsi"/>
                <w:color w:val="000000"/>
                <w:sz w:val="20"/>
                <w:szCs w:val="20"/>
              </w:rPr>
              <w:t>1</w:t>
            </w:r>
          </w:p>
        </w:tc>
      </w:tr>
      <w:tr w:rsidR="009443C5" w:rsidRPr="007918BC" w14:paraId="09040D06" w14:textId="77777777" w:rsidTr="00243847">
        <w:trPr>
          <w:trHeight w:val="369"/>
        </w:trPr>
        <w:tc>
          <w:tcPr>
            <w:tcW w:w="9918" w:type="dxa"/>
            <w:tcBorders>
              <w:bottom w:val="single" w:sz="4" w:space="0" w:color="002279"/>
            </w:tcBorders>
            <w:shd w:val="clear" w:color="auto" w:fill="auto"/>
            <w:tcMar>
              <w:top w:w="15" w:type="dxa"/>
              <w:left w:w="225" w:type="dxa"/>
              <w:bottom w:w="0" w:type="dxa"/>
              <w:right w:w="15" w:type="dxa"/>
            </w:tcMar>
            <w:vAlign w:val="center"/>
            <w:hideMark/>
          </w:tcPr>
          <w:p w14:paraId="224891AD" w14:textId="77777777" w:rsidR="00026E94" w:rsidRPr="007918BC" w:rsidRDefault="00026E94" w:rsidP="00243847">
            <w:pPr>
              <w:spacing w:after="0"/>
              <w:rPr>
                <w:rFonts w:asciiTheme="minorHAnsi" w:hAnsiTheme="minorHAnsi" w:cstheme="minorHAnsi"/>
                <w:sz w:val="20"/>
                <w:szCs w:val="20"/>
              </w:rPr>
            </w:pPr>
            <w:r w:rsidRPr="007918BC">
              <w:rPr>
                <w:rFonts w:asciiTheme="minorHAnsi" w:hAnsiTheme="minorHAnsi" w:cstheme="minorHAnsi"/>
                <w:sz w:val="20"/>
                <w:szCs w:val="20"/>
              </w:rPr>
              <w:t xml:space="preserve">Average debt level (residential) - restrictions </w:t>
            </w:r>
          </w:p>
        </w:tc>
        <w:tc>
          <w:tcPr>
            <w:tcW w:w="1417" w:type="dxa"/>
            <w:tcBorders>
              <w:bottom w:val="single" w:sz="4" w:space="0" w:color="002279"/>
            </w:tcBorders>
            <w:shd w:val="clear" w:color="auto" w:fill="auto"/>
            <w:noWrap/>
            <w:tcMar>
              <w:top w:w="15" w:type="dxa"/>
              <w:left w:w="15" w:type="dxa"/>
              <w:bottom w:w="0" w:type="dxa"/>
              <w:right w:w="225" w:type="dxa"/>
            </w:tcMar>
            <w:vAlign w:val="center"/>
            <w:hideMark/>
          </w:tcPr>
          <w:p w14:paraId="7C835C87" w14:textId="3CE54672" w:rsidR="00026E94" w:rsidRPr="007918BC" w:rsidRDefault="00026E94" w:rsidP="00243847">
            <w:pPr>
              <w:spacing w:after="0"/>
              <w:ind w:firstLineChars="100" w:firstLine="200"/>
              <w:jc w:val="center"/>
              <w:rPr>
                <w:rFonts w:asciiTheme="minorHAnsi" w:hAnsiTheme="minorHAnsi" w:cstheme="minorHAnsi"/>
                <w:sz w:val="20"/>
                <w:szCs w:val="20"/>
              </w:rPr>
            </w:pPr>
            <w:r w:rsidRPr="007918BC">
              <w:rPr>
                <w:rFonts w:asciiTheme="minorHAnsi" w:hAnsiTheme="minorHAnsi" w:cstheme="minorHAnsi"/>
                <w:sz w:val="20"/>
                <w:szCs w:val="20"/>
              </w:rPr>
              <w:t>1,437</w:t>
            </w:r>
          </w:p>
        </w:tc>
        <w:tc>
          <w:tcPr>
            <w:tcW w:w="1418" w:type="dxa"/>
            <w:tcBorders>
              <w:bottom w:val="single" w:sz="4" w:space="0" w:color="002279"/>
            </w:tcBorders>
            <w:shd w:val="clear" w:color="auto" w:fill="auto"/>
            <w:noWrap/>
            <w:tcMar>
              <w:top w:w="15" w:type="dxa"/>
              <w:left w:w="15" w:type="dxa"/>
              <w:bottom w:w="0" w:type="dxa"/>
              <w:right w:w="225" w:type="dxa"/>
            </w:tcMar>
            <w:vAlign w:val="center"/>
            <w:hideMark/>
          </w:tcPr>
          <w:p w14:paraId="5681A3F3" w14:textId="42CC5C5B" w:rsidR="00026E94" w:rsidRPr="007918BC" w:rsidRDefault="00026E94" w:rsidP="00243847">
            <w:pPr>
              <w:spacing w:after="0"/>
              <w:ind w:firstLineChars="100" w:firstLine="200"/>
              <w:jc w:val="center"/>
              <w:rPr>
                <w:rFonts w:asciiTheme="minorHAnsi" w:hAnsiTheme="minorHAnsi" w:cstheme="minorHAnsi"/>
                <w:sz w:val="20"/>
                <w:szCs w:val="20"/>
              </w:rPr>
            </w:pPr>
            <w:r w:rsidRPr="007918BC">
              <w:rPr>
                <w:rFonts w:asciiTheme="minorHAnsi" w:hAnsiTheme="minorHAnsi" w:cstheme="minorHAnsi"/>
                <w:sz w:val="20"/>
                <w:szCs w:val="20"/>
              </w:rPr>
              <w:t>1,343</w:t>
            </w:r>
          </w:p>
        </w:tc>
        <w:tc>
          <w:tcPr>
            <w:tcW w:w="1195" w:type="dxa"/>
            <w:tcBorders>
              <w:bottom w:val="single" w:sz="4" w:space="0" w:color="002279"/>
            </w:tcBorders>
            <w:shd w:val="clear" w:color="auto" w:fill="auto"/>
            <w:tcMar>
              <w:top w:w="15" w:type="dxa"/>
              <w:left w:w="15" w:type="dxa"/>
              <w:bottom w:w="0" w:type="dxa"/>
              <w:right w:w="15" w:type="dxa"/>
            </w:tcMar>
            <w:vAlign w:val="center"/>
            <w:hideMark/>
          </w:tcPr>
          <w:p w14:paraId="467B7353" w14:textId="77777777" w:rsidR="00026E94" w:rsidRPr="007918BC" w:rsidRDefault="00026E94" w:rsidP="00243847">
            <w:pPr>
              <w:spacing w:after="0"/>
              <w:jc w:val="center"/>
              <w:rPr>
                <w:rFonts w:asciiTheme="minorHAnsi" w:hAnsiTheme="minorHAnsi" w:cstheme="minorHAnsi"/>
                <w:color w:val="000000"/>
                <w:sz w:val="20"/>
                <w:szCs w:val="20"/>
              </w:rPr>
            </w:pPr>
            <w:r w:rsidRPr="007918BC">
              <w:rPr>
                <w:rFonts w:asciiTheme="minorHAnsi" w:hAnsiTheme="minorHAnsi" w:cstheme="minorHAnsi"/>
                <w:color w:val="000000"/>
                <w:sz w:val="20"/>
                <w:szCs w:val="20"/>
              </w:rPr>
              <w:t>1</w:t>
            </w:r>
          </w:p>
        </w:tc>
      </w:tr>
      <w:tr w:rsidR="009443C5" w:rsidRPr="007918BC" w14:paraId="43FEB706" w14:textId="77777777" w:rsidTr="00243847">
        <w:trPr>
          <w:trHeight w:val="369"/>
        </w:trPr>
        <w:tc>
          <w:tcPr>
            <w:tcW w:w="9918" w:type="dxa"/>
            <w:shd w:val="clear" w:color="auto" w:fill="D4D6DF"/>
            <w:tcMar>
              <w:top w:w="15" w:type="dxa"/>
              <w:left w:w="225" w:type="dxa"/>
              <w:bottom w:w="0" w:type="dxa"/>
              <w:right w:w="15" w:type="dxa"/>
            </w:tcMar>
            <w:vAlign w:val="center"/>
            <w:hideMark/>
          </w:tcPr>
          <w:p w14:paraId="7B7458CC" w14:textId="77777777" w:rsidR="00026E94" w:rsidRPr="007918BC" w:rsidRDefault="00026E94" w:rsidP="00243847">
            <w:pPr>
              <w:spacing w:after="0"/>
              <w:rPr>
                <w:rFonts w:asciiTheme="minorHAnsi" w:hAnsiTheme="minorHAnsi" w:cstheme="minorHAnsi"/>
                <w:sz w:val="20"/>
                <w:szCs w:val="20"/>
              </w:rPr>
            </w:pPr>
            <w:r w:rsidRPr="007918BC">
              <w:rPr>
                <w:rFonts w:asciiTheme="minorHAnsi" w:hAnsiTheme="minorHAnsi" w:cstheme="minorHAnsi"/>
                <w:sz w:val="20"/>
                <w:szCs w:val="20"/>
              </w:rPr>
              <w:t>Residential customers with instalment plans (per 100 customers)</w:t>
            </w:r>
          </w:p>
        </w:tc>
        <w:tc>
          <w:tcPr>
            <w:tcW w:w="1417" w:type="dxa"/>
            <w:shd w:val="clear" w:color="auto" w:fill="D4D6DF"/>
            <w:noWrap/>
            <w:tcMar>
              <w:top w:w="15" w:type="dxa"/>
              <w:left w:w="15" w:type="dxa"/>
              <w:bottom w:w="0" w:type="dxa"/>
              <w:right w:w="225" w:type="dxa"/>
            </w:tcMar>
            <w:vAlign w:val="center"/>
            <w:hideMark/>
          </w:tcPr>
          <w:p w14:paraId="722AA37E" w14:textId="34FFD9D7" w:rsidR="00026E94" w:rsidRPr="007918BC" w:rsidRDefault="00026E94" w:rsidP="00243847">
            <w:pPr>
              <w:spacing w:after="0"/>
              <w:ind w:firstLineChars="100" w:firstLine="200"/>
              <w:jc w:val="center"/>
              <w:rPr>
                <w:rFonts w:asciiTheme="minorHAnsi" w:hAnsiTheme="minorHAnsi" w:cstheme="minorHAnsi"/>
                <w:sz w:val="20"/>
                <w:szCs w:val="20"/>
              </w:rPr>
            </w:pPr>
            <w:r w:rsidRPr="007918BC">
              <w:rPr>
                <w:rFonts w:asciiTheme="minorHAnsi" w:hAnsiTheme="minorHAnsi" w:cstheme="minorHAnsi"/>
                <w:sz w:val="20"/>
                <w:szCs w:val="20"/>
              </w:rPr>
              <w:t>4.8</w:t>
            </w:r>
          </w:p>
        </w:tc>
        <w:tc>
          <w:tcPr>
            <w:tcW w:w="1418" w:type="dxa"/>
            <w:shd w:val="clear" w:color="auto" w:fill="D4D6DF"/>
            <w:noWrap/>
            <w:tcMar>
              <w:top w:w="15" w:type="dxa"/>
              <w:left w:w="15" w:type="dxa"/>
              <w:bottom w:w="0" w:type="dxa"/>
              <w:right w:w="225" w:type="dxa"/>
            </w:tcMar>
            <w:vAlign w:val="center"/>
            <w:hideMark/>
          </w:tcPr>
          <w:p w14:paraId="68CF05CB" w14:textId="5654CB38" w:rsidR="00026E94" w:rsidRPr="007918BC" w:rsidRDefault="00026E94" w:rsidP="00243847">
            <w:pPr>
              <w:spacing w:after="0"/>
              <w:ind w:firstLineChars="100" w:firstLine="200"/>
              <w:jc w:val="center"/>
              <w:rPr>
                <w:rFonts w:asciiTheme="minorHAnsi" w:hAnsiTheme="minorHAnsi" w:cstheme="minorHAnsi"/>
                <w:sz w:val="20"/>
                <w:szCs w:val="20"/>
              </w:rPr>
            </w:pPr>
            <w:r w:rsidRPr="007918BC">
              <w:rPr>
                <w:rFonts w:asciiTheme="minorHAnsi" w:hAnsiTheme="minorHAnsi" w:cstheme="minorHAnsi"/>
                <w:sz w:val="20"/>
                <w:szCs w:val="20"/>
              </w:rPr>
              <w:t>6.1</w:t>
            </w:r>
          </w:p>
        </w:tc>
        <w:tc>
          <w:tcPr>
            <w:tcW w:w="1195" w:type="dxa"/>
            <w:shd w:val="clear" w:color="auto" w:fill="D4D6DF"/>
            <w:tcMar>
              <w:top w:w="15" w:type="dxa"/>
              <w:left w:w="15" w:type="dxa"/>
              <w:bottom w:w="0" w:type="dxa"/>
              <w:right w:w="15" w:type="dxa"/>
            </w:tcMar>
            <w:vAlign w:val="center"/>
            <w:hideMark/>
          </w:tcPr>
          <w:p w14:paraId="691E21AC" w14:textId="77777777" w:rsidR="00026E94" w:rsidRPr="007918BC" w:rsidRDefault="00026E94" w:rsidP="00243847">
            <w:pPr>
              <w:spacing w:after="0"/>
              <w:jc w:val="center"/>
              <w:rPr>
                <w:rFonts w:asciiTheme="minorHAnsi" w:hAnsiTheme="minorHAnsi" w:cstheme="minorHAnsi"/>
                <w:color w:val="000000"/>
                <w:sz w:val="20"/>
                <w:szCs w:val="20"/>
              </w:rPr>
            </w:pPr>
            <w:r w:rsidRPr="007918BC">
              <w:rPr>
                <w:rFonts w:asciiTheme="minorHAnsi" w:hAnsiTheme="minorHAnsi" w:cstheme="minorHAnsi"/>
                <w:color w:val="000000"/>
                <w:sz w:val="20"/>
                <w:szCs w:val="20"/>
              </w:rPr>
              <w:t>1</w:t>
            </w:r>
          </w:p>
        </w:tc>
      </w:tr>
      <w:tr w:rsidR="009443C5" w:rsidRPr="007918BC" w14:paraId="79045432" w14:textId="77777777" w:rsidTr="00243847">
        <w:trPr>
          <w:trHeight w:val="369"/>
        </w:trPr>
        <w:tc>
          <w:tcPr>
            <w:tcW w:w="9918" w:type="dxa"/>
            <w:tcBorders>
              <w:bottom w:val="single" w:sz="4" w:space="0" w:color="002279"/>
            </w:tcBorders>
            <w:shd w:val="clear" w:color="auto" w:fill="auto"/>
            <w:tcMar>
              <w:top w:w="15" w:type="dxa"/>
              <w:left w:w="225" w:type="dxa"/>
              <w:bottom w:w="0" w:type="dxa"/>
              <w:right w:w="15" w:type="dxa"/>
            </w:tcMar>
            <w:vAlign w:val="center"/>
            <w:hideMark/>
          </w:tcPr>
          <w:p w14:paraId="1DC03E78" w14:textId="77777777" w:rsidR="00026E94" w:rsidRPr="007918BC" w:rsidRDefault="00026E94" w:rsidP="00243847">
            <w:pPr>
              <w:spacing w:after="0"/>
              <w:rPr>
                <w:rFonts w:asciiTheme="minorHAnsi" w:hAnsiTheme="minorHAnsi" w:cstheme="minorHAnsi"/>
                <w:sz w:val="20"/>
                <w:szCs w:val="20"/>
              </w:rPr>
            </w:pPr>
            <w:r w:rsidRPr="007918BC">
              <w:rPr>
                <w:rFonts w:asciiTheme="minorHAnsi" w:hAnsiTheme="minorHAnsi" w:cstheme="minorHAnsi"/>
                <w:sz w:val="20"/>
                <w:szCs w:val="20"/>
              </w:rPr>
              <w:t>Average annual household consumption (kilolitres per household)</w:t>
            </w:r>
          </w:p>
        </w:tc>
        <w:tc>
          <w:tcPr>
            <w:tcW w:w="1417" w:type="dxa"/>
            <w:tcBorders>
              <w:bottom w:val="single" w:sz="4" w:space="0" w:color="002279"/>
            </w:tcBorders>
            <w:shd w:val="clear" w:color="auto" w:fill="auto"/>
            <w:noWrap/>
            <w:tcMar>
              <w:top w:w="15" w:type="dxa"/>
              <w:left w:w="15" w:type="dxa"/>
              <w:bottom w:w="0" w:type="dxa"/>
              <w:right w:w="225" w:type="dxa"/>
            </w:tcMar>
            <w:vAlign w:val="center"/>
            <w:hideMark/>
          </w:tcPr>
          <w:p w14:paraId="3928403F" w14:textId="0E051371" w:rsidR="00026E94" w:rsidRPr="007918BC" w:rsidRDefault="00026E94" w:rsidP="00243847">
            <w:pPr>
              <w:spacing w:after="0"/>
              <w:ind w:firstLineChars="100" w:firstLine="200"/>
              <w:jc w:val="center"/>
              <w:rPr>
                <w:rFonts w:asciiTheme="minorHAnsi" w:hAnsiTheme="minorHAnsi" w:cstheme="minorHAnsi"/>
                <w:sz w:val="20"/>
                <w:szCs w:val="20"/>
              </w:rPr>
            </w:pPr>
            <w:r w:rsidRPr="007918BC">
              <w:rPr>
                <w:rFonts w:asciiTheme="minorHAnsi" w:hAnsiTheme="minorHAnsi" w:cstheme="minorHAnsi"/>
                <w:sz w:val="20"/>
                <w:szCs w:val="20"/>
              </w:rPr>
              <w:t>148</w:t>
            </w:r>
          </w:p>
        </w:tc>
        <w:tc>
          <w:tcPr>
            <w:tcW w:w="1418" w:type="dxa"/>
            <w:tcBorders>
              <w:bottom w:val="single" w:sz="4" w:space="0" w:color="002279"/>
            </w:tcBorders>
            <w:shd w:val="clear" w:color="auto" w:fill="auto"/>
            <w:noWrap/>
            <w:tcMar>
              <w:top w:w="15" w:type="dxa"/>
              <w:left w:w="15" w:type="dxa"/>
              <w:bottom w:w="0" w:type="dxa"/>
              <w:right w:w="225" w:type="dxa"/>
            </w:tcMar>
            <w:vAlign w:val="center"/>
            <w:hideMark/>
          </w:tcPr>
          <w:p w14:paraId="58359211" w14:textId="73C77F55" w:rsidR="00026E94" w:rsidRPr="007918BC" w:rsidRDefault="00026E94" w:rsidP="00243847">
            <w:pPr>
              <w:spacing w:after="0"/>
              <w:ind w:firstLineChars="100" w:firstLine="200"/>
              <w:jc w:val="center"/>
              <w:rPr>
                <w:rFonts w:asciiTheme="minorHAnsi" w:hAnsiTheme="minorHAnsi" w:cstheme="minorHAnsi"/>
                <w:sz w:val="20"/>
                <w:szCs w:val="20"/>
              </w:rPr>
            </w:pPr>
            <w:r w:rsidRPr="007918BC">
              <w:rPr>
                <w:rFonts w:asciiTheme="minorHAnsi" w:hAnsiTheme="minorHAnsi" w:cstheme="minorHAnsi"/>
                <w:sz w:val="20"/>
                <w:szCs w:val="20"/>
              </w:rPr>
              <w:t>186</w:t>
            </w:r>
          </w:p>
        </w:tc>
        <w:tc>
          <w:tcPr>
            <w:tcW w:w="1195" w:type="dxa"/>
            <w:tcBorders>
              <w:bottom w:val="single" w:sz="4" w:space="0" w:color="002279"/>
            </w:tcBorders>
            <w:shd w:val="clear" w:color="auto" w:fill="auto"/>
            <w:tcMar>
              <w:top w:w="15" w:type="dxa"/>
              <w:left w:w="15" w:type="dxa"/>
              <w:bottom w:w="0" w:type="dxa"/>
              <w:right w:w="15" w:type="dxa"/>
            </w:tcMar>
            <w:vAlign w:val="center"/>
            <w:hideMark/>
          </w:tcPr>
          <w:p w14:paraId="1A318692" w14:textId="77777777" w:rsidR="00026E94" w:rsidRPr="007918BC" w:rsidRDefault="00026E94" w:rsidP="00243847">
            <w:pPr>
              <w:spacing w:after="0"/>
              <w:jc w:val="center"/>
              <w:rPr>
                <w:rFonts w:asciiTheme="minorHAnsi" w:hAnsiTheme="minorHAnsi" w:cstheme="minorHAnsi"/>
                <w:color w:val="000000"/>
                <w:sz w:val="20"/>
                <w:szCs w:val="20"/>
              </w:rPr>
            </w:pPr>
            <w:r w:rsidRPr="007918BC">
              <w:rPr>
                <w:rFonts w:asciiTheme="minorHAnsi" w:hAnsiTheme="minorHAnsi" w:cstheme="minorHAnsi"/>
                <w:color w:val="000000"/>
                <w:sz w:val="20"/>
                <w:szCs w:val="20"/>
              </w:rPr>
              <w:t>2</w:t>
            </w:r>
          </w:p>
        </w:tc>
      </w:tr>
      <w:tr w:rsidR="009443C5" w:rsidRPr="007918BC" w14:paraId="67E758D8" w14:textId="77777777" w:rsidTr="00243847">
        <w:trPr>
          <w:trHeight w:val="369"/>
        </w:trPr>
        <w:tc>
          <w:tcPr>
            <w:tcW w:w="9918" w:type="dxa"/>
            <w:shd w:val="clear" w:color="auto" w:fill="D4D6DF"/>
            <w:tcMar>
              <w:top w:w="15" w:type="dxa"/>
              <w:left w:w="225" w:type="dxa"/>
              <w:bottom w:w="0" w:type="dxa"/>
              <w:right w:w="15" w:type="dxa"/>
            </w:tcMar>
            <w:vAlign w:val="center"/>
            <w:hideMark/>
          </w:tcPr>
          <w:p w14:paraId="361EF51B" w14:textId="3305D7A3" w:rsidR="00026E94" w:rsidRPr="007918BC" w:rsidRDefault="00026E94" w:rsidP="00243847">
            <w:pPr>
              <w:spacing w:after="0"/>
              <w:rPr>
                <w:rFonts w:asciiTheme="minorHAnsi" w:hAnsiTheme="minorHAnsi" w:cstheme="minorHAnsi"/>
                <w:sz w:val="20"/>
                <w:szCs w:val="20"/>
              </w:rPr>
            </w:pPr>
            <w:r w:rsidRPr="007918BC">
              <w:rPr>
                <w:rFonts w:asciiTheme="minorHAnsi" w:hAnsiTheme="minorHAnsi" w:cstheme="minorHAnsi"/>
                <w:sz w:val="20"/>
                <w:szCs w:val="20"/>
              </w:rPr>
              <w:t xml:space="preserve">Owner occupiers — average household </w:t>
            </w:r>
            <w:r w:rsidR="00331C25" w:rsidRPr="007918BC">
              <w:rPr>
                <w:rFonts w:asciiTheme="minorHAnsi" w:hAnsiTheme="minorHAnsi" w:cstheme="minorHAnsi"/>
                <w:sz w:val="20"/>
                <w:szCs w:val="20"/>
              </w:rPr>
              <w:t>bills (</w:t>
            </w:r>
            <w:r w:rsidRPr="007918BC">
              <w:rPr>
                <w:rFonts w:asciiTheme="minorHAnsi" w:hAnsiTheme="minorHAnsi" w:cstheme="minorHAnsi"/>
                <w:sz w:val="20"/>
                <w:szCs w:val="20"/>
              </w:rPr>
              <w:t>$, nominal)</w:t>
            </w:r>
          </w:p>
        </w:tc>
        <w:tc>
          <w:tcPr>
            <w:tcW w:w="1417" w:type="dxa"/>
            <w:shd w:val="clear" w:color="auto" w:fill="D4D6DF"/>
            <w:noWrap/>
            <w:tcMar>
              <w:top w:w="15" w:type="dxa"/>
              <w:left w:w="15" w:type="dxa"/>
              <w:bottom w:w="0" w:type="dxa"/>
              <w:right w:w="225" w:type="dxa"/>
            </w:tcMar>
            <w:vAlign w:val="center"/>
            <w:hideMark/>
          </w:tcPr>
          <w:p w14:paraId="618E7DCA" w14:textId="476CE34E" w:rsidR="00026E94" w:rsidRPr="007918BC" w:rsidRDefault="00026E94" w:rsidP="00243847">
            <w:pPr>
              <w:spacing w:after="0"/>
              <w:ind w:firstLineChars="100" w:firstLine="200"/>
              <w:jc w:val="center"/>
              <w:rPr>
                <w:rFonts w:asciiTheme="minorHAnsi" w:hAnsiTheme="minorHAnsi" w:cstheme="minorHAnsi"/>
                <w:sz w:val="20"/>
                <w:szCs w:val="20"/>
              </w:rPr>
            </w:pPr>
            <w:r w:rsidRPr="007918BC">
              <w:rPr>
                <w:rFonts w:asciiTheme="minorHAnsi" w:hAnsiTheme="minorHAnsi" w:cstheme="minorHAnsi"/>
                <w:sz w:val="20"/>
                <w:szCs w:val="20"/>
              </w:rPr>
              <w:t>983</w:t>
            </w:r>
          </w:p>
        </w:tc>
        <w:tc>
          <w:tcPr>
            <w:tcW w:w="1418" w:type="dxa"/>
            <w:shd w:val="clear" w:color="auto" w:fill="D4D6DF"/>
            <w:noWrap/>
            <w:tcMar>
              <w:top w:w="15" w:type="dxa"/>
              <w:left w:w="15" w:type="dxa"/>
              <w:bottom w:w="0" w:type="dxa"/>
              <w:right w:w="225" w:type="dxa"/>
            </w:tcMar>
            <w:vAlign w:val="center"/>
            <w:hideMark/>
          </w:tcPr>
          <w:p w14:paraId="327CA8F7" w14:textId="3758F1E4" w:rsidR="00026E94" w:rsidRPr="007918BC" w:rsidRDefault="00026E94" w:rsidP="00243847">
            <w:pPr>
              <w:spacing w:after="0"/>
              <w:ind w:firstLineChars="100" w:firstLine="200"/>
              <w:jc w:val="center"/>
              <w:rPr>
                <w:rFonts w:asciiTheme="minorHAnsi" w:hAnsiTheme="minorHAnsi" w:cstheme="minorHAnsi"/>
                <w:sz w:val="20"/>
                <w:szCs w:val="20"/>
              </w:rPr>
            </w:pPr>
            <w:r w:rsidRPr="007918BC">
              <w:rPr>
                <w:rFonts w:asciiTheme="minorHAnsi" w:hAnsiTheme="minorHAnsi" w:cstheme="minorHAnsi"/>
                <w:sz w:val="20"/>
                <w:szCs w:val="20"/>
              </w:rPr>
              <w:t>1,093</w:t>
            </w:r>
          </w:p>
        </w:tc>
        <w:tc>
          <w:tcPr>
            <w:tcW w:w="1195" w:type="dxa"/>
            <w:shd w:val="clear" w:color="auto" w:fill="D4D6DF"/>
            <w:tcMar>
              <w:top w:w="15" w:type="dxa"/>
              <w:left w:w="15" w:type="dxa"/>
              <w:bottom w:w="0" w:type="dxa"/>
              <w:right w:w="15" w:type="dxa"/>
            </w:tcMar>
            <w:vAlign w:val="center"/>
            <w:hideMark/>
          </w:tcPr>
          <w:p w14:paraId="736AEBDC" w14:textId="77777777" w:rsidR="00026E94" w:rsidRPr="007918BC" w:rsidRDefault="00026E94" w:rsidP="00243847">
            <w:pPr>
              <w:spacing w:after="0"/>
              <w:jc w:val="center"/>
              <w:rPr>
                <w:rFonts w:asciiTheme="minorHAnsi" w:hAnsiTheme="minorHAnsi" w:cstheme="minorHAnsi"/>
                <w:color w:val="000000"/>
                <w:sz w:val="20"/>
                <w:szCs w:val="20"/>
              </w:rPr>
            </w:pPr>
            <w:r w:rsidRPr="007918BC">
              <w:rPr>
                <w:rFonts w:asciiTheme="minorHAnsi" w:hAnsiTheme="minorHAnsi" w:cstheme="minorHAnsi"/>
                <w:color w:val="000000"/>
                <w:sz w:val="20"/>
                <w:szCs w:val="20"/>
              </w:rPr>
              <w:t>2</w:t>
            </w:r>
          </w:p>
        </w:tc>
      </w:tr>
      <w:tr w:rsidR="009443C5" w:rsidRPr="007918BC" w14:paraId="2C33E9FE" w14:textId="77777777" w:rsidTr="00243847">
        <w:trPr>
          <w:trHeight w:val="369"/>
        </w:trPr>
        <w:tc>
          <w:tcPr>
            <w:tcW w:w="9918" w:type="dxa"/>
            <w:tcBorders>
              <w:bottom w:val="single" w:sz="4" w:space="0" w:color="002279"/>
            </w:tcBorders>
            <w:shd w:val="clear" w:color="auto" w:fill="auto"/>
            <w:tcMar>
              <w:top w:w="15" w:type="dxa"/>
              <w:left w:w="225" w:type="dxa"/>
              <w:bottom w:w="0" w:type="dxa"/>
              <w:right w:w="15" w:type="dxa"/>
            </w:tcMar>
            <w:vAlign w:val="center"/>
            <w:hideMark/>
          </w:tcPr>
          <w:p w14:paraId="31485579" w14:textId="77777777" w:rsidR="00026E94" w:rsidRPr="007918BC" w:rsidRDefault="00026E94" w:rsidP="00243847">
            <w:pPr>
              <w:spacing w:after="0"/>
              <w:rPr>
                <w:rFonts w:asciiTheme="minorHAnsi" w:hAnsiTheme="minorHAnsi" w:cstheme="minorHAnsi"/>
                <w:sz w:val="20"/>
                <w:szCs w:val="20"/>
              </w:rPr>
            </w:pPr>
            <w:r w:rsidRPr="007918BC">
              <w:rPr>
                <w:rFonts w:asciiTheme="minorHAnsi" w:hAnsiTheme="minorHAnsi" w:cstheme="minorHAnsi"/>
                <w:sz w:val="20"/>
                <w:szCs w:val="20"/>
              </w:rPr>
              <w:t>Tenants — average household bills ($, nominal)</w:t>
            </w:r>
          </w:p>
        </w:tc>
        <w:tc>
          <w:tcPr>
            <w:tcW w:w="1417" w:type="dxa"/>
            <w:tcBorders>
              <w:bottom w:val="single" w:sz="4" w:space="0" w:color="002279"/>
            </w:tcBorders>
            <w:shd w:val="clear" w:color="auto" w:fill="auto"/>
            <w:noWrap/>
            <w:tcMar>
              <w:top w:w="15" w:type="dxa"/>
              <w:left w:w="15" w:type="dxa"/>
              <w:bottom w:w="0" w:type="dxa"/>
              <w:right w:w="225" w:type="dxa"/>
            </w:tcMar>
            <w:vAlign w:val="center"/>
            <w:hideMark/>
          </w:tcPr>
          <w:p w14:paraId="75B24935" w14:textId="77777777" w:rsidR="00026E94" w:rsidRPr="007918BC" w:rsidRDefault="00026E94" w:rsidP="00243847">
            <w:pPr>
              <w:spacing w:after="0"/>
              <w:ind w:firstLineChars="100" w:firstLine="200"/>
              <w:jc w:val="center"/>
              <w:rPr>
                <w:rFonts w:asciiTheme="minorHAnsi" w:hAnsiTheme="minorHAnsi" w:cstheme="minorHAnsi"/>
                <w:sz w:val="20"/>
                <w:szCs w:val="20"/>
              </w:rPr>
            </w:pPr>
            <w:r w:rsidRPr="007918BC">
              <w:rPr>
                <w:rFonts w:asciiTheme="minorHAnsi" w:hAnsiTheme="minorHAnsi" w:cstheme="minorHAnsi"/>
                <w:sz w:val="20"/>
                <w:szCs w:val="20"/>
              </w:rPr>
              <w:t>493</w:t>
            </w:r>
          </w:p>
        </w:tc>
        <w:tc>
          <w:tcPr>
            <w:tcW w:w="1418" w:type="dxa"/>
            <w:tcBorders>
              <w:bottom w:val="single" w:sz="4" w:space="0" w:color="002279"/>
            </w:tcBorders>
            <w:shd w:val="clear" w:color="auto" w:fill="auto"/>
            <w:noWrap/>
            <w:tcMar>
              <w:top w:w="15" w:type="dxa"/>
              <w:left w:w="15" w:type="dxa"/>
              <w:bottom w:w="0" w:type="dxa"/>
              <w:right w:w="225" w:type="dxa"/>
            </w:tcMar>
            <w:vAlign w:val="center"/>
            <w:hideMark/>
          </w:tcPr>
          <w:p w14:paraId="53AF605A" w14:textId="77777777" w:rsidR="00026E94" w:rsidRPr="007918BC" w:rsidRDefault="00026E94" w:rsidP="00243847">
            <w:pPr>
              <w:spacing w:after="0"/>
              <w:ind w:firstLineChars="100" w:firstLine="200"/>
              <w:jc w:val="center"/>
              <w:rPr>
                <w:rFonts w:asciiTheme="minorHAnsi" w:hAnsiTheme="minorHAnsi" w:cstheme="minorHAnsi"/>
                <w:sz w:val="20"/>
                <w:szCs w:val="20"/>
              </w:rPr>
            </w:pPr>
            <w:r w:rsidRPr="007918BC">
              <w:rPr>
                <w:rFonts w:asciiTheme="minorHAnsi" w:hAnsiTheme="minorHAnsi" w:cstheme="minorHAnsi"/>
                <w:sz w:val="20"/>
                <w:szCs w:val="20"/>
              </w:rPr>
              <w:t>340</w:t>
            </w:r>
          </w:p>
        </w:tc>
        <w:tc>
          <w:tcPr>
            <w:tcW w:w="1195" w:type="dxa"/>
            <w:tcBorders>
              <w:bottom w:val="single" w:sz="4" w:space="0" w:color="002279"/>
            </w:tcBorders>
            <w:shd w:val="clear" w:color="auto" w:fill="auto"/>
            <w:tcMar>
              <w:top w:w="15" w:type="dxa"/>
              <w:left w:w="15" w:type="dxa"/>
              <w:bottom w:w="0" w:type="dxa"/>
              <w:right w:w="15" w:type="dxa"/>
            </w:tcMar>
            <w:vAlign w:val="center"/>
            <w:hideMark/>
          </w:tcPr>
          <w:p w14:paraId="0A103E55" w14:textId="77777777" w:rsidR="00026E94" w:rsidRPr="007918BC" w:rsidRDefault="00026E94" w:rsidP="00243847">
            <w:pPr>
              <w:spacing w:after="0"/>
              <w:jc w:val="center"/>
              <w:rPr>
                <w:rFonts w:asciiTheme="minorHAnsi" w:hAnsiTheme="minorHAnsi" w:cstheme="minorHAnsi"/>
                <w:color w:val="000000"/>
                <w:sz w:val="20"/>
                <w:szCs w:val="20"/>
              </w:rPr>
            </w:pPr>
            <w:r w:rsidRPr="007918BC">
              <w:rPr>
                <w:rFonts w:asciiTheme="minorHAnsi" w:hAnsiTheme="minorHAnsi" w:cstheme="minorHAnsi"/>
                <w:color w:val="000000"/>
                <w:sz w:val="20"/>
                <w:szCs w:val="20"/>
              </w:rPr>
              <w:t>1</w:t>
            </w:r>
          </w:p>
        </w:tc>
      </w:tr>
      <w:tr w:rsidR="009443C5" w:rsidRPr="007918BC" w14:paraId="555252F6" w14:textId="77777777" w:rsidTr="00243847">
        <w:trPr>
          <w:trHeight w:val="369"/>
        </w:trPr>
        <w:tc>
          <w:tcPr>
            <w:tcW w:w="9918" w:type="dxa"/>
            <w:shd w:val="clear" w:color="auto" w:fill="D4D6DF"/>
            <w:tcMar>
              <w:top w:w="15" w:type="dxa"/>
              <w:left w:w="225" w:type="dxa"/>
              <w:bottom w:w="0" w:type="dxa"/>
              <w:right w:w="15" w:type="dxa"/>
            </w:tcMar>
            <w:vAlign w:val="center"/>
            <w:hideMark/>
          </w:tcPr>
          <w:p w14:paraId="5EA48811" w14:textId="77777777" w:rsidR="00026E94" w:rsidRPr="007918BC" w:rsidRDefault="00026E94" w:rsidP="00243847">
            <w:pPr>
              <w:spacing w:after="0"/>
              <w:rPr>
                <w:rFonts w:asciiTheme="minorHAnsi" w:hAnsiTheme="minorHAnsi" w:cstheme="minorHAnsi"/>
                <w:sz w:val="20"/>
                <w:szCs w:val="20"/>
              </w:rPr>
            </w:pPr>
            <w:r w:rsidRPr="007918BC">
              <w:rPr>
                <w:rFonts w:asciiTheme="minorHAnsi" w:hAnsiTheme="minorHAnsi" w:cstheme="minorHAnsi"/>
                <w:sz w:val="20"/>
                <w:szCs w:val="20"/>
              </w:rPr>
              <w:t>Historic net greenhouse gas emissions (equivalent tonnes of CO2)</w:t>
            </w:r>
          </w:p>
        </w:tc>
        <w:tc>
          <w:tcPr>
            <w:tcW w:w="1417" w:type="dxa"/>
            <w:shd w:val="clear" w:color="auto" w:fill="D4D6DF"/>
            <w:noWrap/>
            <w:tcMar>
              <w:top w:w="15" w:type="dxa"/>
              <w:left w:w="15" w:type="dxa"/>
              <w:bottom w:w="0" w:type="dxa"/>
              <w:right w:w="225" w:type="dxa"/>
            </w:tcMar>
            <w:vAlign w:val="center"/>
            <w:hideMark/>
          </w:tcPr>
          <w:p w14:paraId="27DED7A4" w14:textId="6A448766" w:rsidR="00026E94" w:rsidRPr="007918BC" w:rsidRDefault="00026E94" w:rsidP="00243847">
            <w:pPr>
              <w:spacing w:after="0"/>
              <w:ind w:firstLineChars="100" w:firstLine="200"/>
              <w:jc w:val="center"/>
              <w:rPr>
                <w:rFonts w:asciiTheme="minorHAnsi" w:hAnsiTheme="minorHAnsi" w:cstheme="minorHAnsi"/>
                <w:sz w:val="20"/>
                <w:szCs w:val="20"/>
              </w:rPr>
            </w:pPr>
            <w:r w:rsidRPr="007918BC">
              <w:rPr>
                <w:rFonts w:asciiTheme="minorHAnsi" w:hAnsiTheme="minorHAnsi" w:cstheme="minorHAnsi"/>
                <w:sz w:val="20"/>
                <w:szCs w:val="20"/>
              </w:rPr>
              <w:t>39,105</w:t>
            </w:r>
          </w:p>
        </w:tc>
        <w:tc>
          <w:tcPr>
            <w:tcW w:w="1418" w:type="dxa"/>
            <w:shd w:val="clear" w:color="auto" w:fill="D4D6DF"/>
            <w:noWrap/>
            <w:tcMar>
              <w:top w:w="15" w:type="dxa"/>
              <w:left w:w="15" w:type="dxa"/>
              <w:bottom w:w="0" w:type="dxa"/>
              <w:right w:w="225" w:type="dxa"/>
            </w:tcMar>
            <w:vAlign w:val="center"/>
            <w:hideMark/>
          </w:tcPr>
          <w:p w14:paraId="2B038233" w14:textId="620B5082" w:rsidR="00026E94" w:rsidRPr="007918BC" w:rsidRDefault="00026E94" w:rsidP="00243847">
            <w:pPr>
              <w:spacing w:after="0"/>
              <w:ind w:firstLineChars="100" w:firstLine="200"/>
              <w:jc w:val="center"/>
              <w:rPr>
                <w:rFonts w:asciiTheme="minorHAnsi" w:hAnsiTheme="minorHAnsi" w:cstheme="minorHAnsi"/>
                <w:sz w:val="20"/>
                <w:szCs w:val="20"/>
              </w:rPr>
            </w:pPr>
            <w:r w:rsidRPr="007918BC">
              <w:rPr>
                <w:rFonts w:asciiTheme="minorHAnsi" w:hAnsiTheme="minorHAnsi" w:cstheme="minorHAnsi"/>
                <w:sz w:val="20"/>
                <w:szCs w:val="20"/>
              </w:rPr>
              <w:t>25,007</w:t>
            </w:r>
          </w:p>
        </w:tc>
        <w:tc>
          <w:tcPr>
            <w:tcW w:w="1195" w:type="dxa"/>
            <w:shd w:val="clear" w:color="auto" w:fill="D4D6DF"/>
            <w:tcMar>
              <w:top w:w="15" w:type="dxa"/>
              <w:left w:w="15" w:type="dxa"/>
              <w:bottom w:w="0" w:type="dxa"/>
              <w:right w:w="15" w:type="dxa"/>
            </w:tcMar>
            <w:vAlign w:val="center"/>
            <w:hideMark/>
          </w:tcPr>
          <w:p w14:paraId="40A6AD47" w14:textId="77777777" w:rsidR="00026E94" w:rsidRPr="007918BC" w:rsidRDefault="00026E94" w:rsidP="00243847">
            <w:pPr>
              <w:spacing w:after="0"/>
              <w:jc w:val="center"/>
              <w:rPr>
                <w:rFonts w:asciiTheme="minorHAnsi" w:hAnsiTheme="minorHAnsi" w:cstheme="minorHAnsi"/>
                <w:color w:val="000000"/>
                <w:sz w:val="20"/>
                <w:szCs w:val="20"/>
              </w:rPr>
            </w:pPr>
            <w:r w:rsidRPr="007918BC">
              <w:rPr>
                <w:rFonts w:asciiTheme="minorHAnsi" w:hAnsiTheme="minorHAnsi" w:cstheme="minorHAnsi"/>
                <w:color w:val="000000"/>
                <w:sz w:val="20"/>
                <w:szCs w:val="20"/>
              </w:rPr>
              <w:t>1</w:t>
            </w:r>
          </w:p>
        </w:tc>
      </w:tr>
      <w:tr w:rsidR="009443C5" w:rsidRPr="007918BC" w14:paraId="592AC375" w14:textId="77777777" w:rsidTr="00243847">
        <w:trPr>
          <w:trHeight w:val="369"/>
        </w:trPr>
        <w:tc>
          <w:tcPr>
            <w:tcW w:w="9918" w:type="dxa"/>
            <w:tcBorders>
              <w:bottom w:val="single" w:sz="4" w:space="0" w:color="002279"/>
            </w:tcBorders>
            <w:shd w:val="clear" w:color="auto" w:fill="auto"/>
            <w:tcMar>
              <w:top w:w="15" w:type="dxa"/>
              <w:left w:w="225" w:type="dxa"/>
              <w:bottom w:w="0" w:type="dxa"/>
              <w:right w:w="15" w:type="dxa"/>
            </w:tcMar>
            <w:vAlign w:val="center"/>
            <w:hideMark/>
          </w:tcPr>
          <w:p w14:paraId="52457CDC" w14:textId="77777777" w:rsidR="00026E94" w:rsidRPr="007918BC" w:rsidRDefault="00026E94" w:rsidP="00243847">
            <w:pPr>
              <w:spacing w:after="0"/>
              <w:rPr>
                <w:rFonts w:asciiTheme="minorHAnsi" w:hAnsiTheme="minorHAnsi" w:cstheme="minorHAnsi"/>
                <w:sz w:val="20"/>
                <w:szCs w:val="20"/>
              </w:rPr>
            </w:pPr>
            <w:r w:rsidRPr="007918BC">
              <w:rPr>
                <w:rFonts w:asciiTheme="minorHAnsi" w:hAnsiTheme="minorHAnsi" w:cstheme="minorHAnsi"/>
                <w:sz w:val="20"/>
                <w:szCs w:val="20"/>
              </w:rPr>
              <w:t>Microbiological water quality (per cent of customers receiving drinking water meeting E. coli requirements)</w:t>
            </w:r>
          </w:p>
        </w:tc>
        <w:tc>
          <w:tcPr>
            <w:tcW w:w="1417" w:type="dxa"/>
            <w:tcBorders>
              <w:bottom w:val="single" w:sz="4" w:space="0" w:color="002279"/>
            </w:tcBorders>
            <w:shd w:val="clear" w:color="auto" w:fill="auto"/>
            <w:noWrap/>
            <w:tcMar>
              <w:top w:w="15" w:type="dxa"/>
              <w:left w:w="15" w:type="dxa"/>
              <w:bottom w:w="0" w:type="dxa"/>
              <w:right w:w="225" w:type="dxa"/>
            </w:tcMar>
            <w:vAlign w:val="center"/>
            <w:hideMark/>
          </w:tcPr>
          <w:p w14:paraId="68CD0D09" w14:textId="77777777" w:rsidR="00026E94" w:rsidRPr="007918BC" w:rsidRDefault="00026E94" w:rsidP="00243847">
            <w:pPr>
              <w:spacing w:after="0"/>
              <w:ind w:firstLineChars="100" w:firstLine="200"/>
              <w:jc w:val="center"/>
              <w:rPr>
                <w:rFonts w:asciiTheme="minorHAnsi" w:hAnsiTheme="minorHAnsi" w:cstheme="minorHAnsi"/>
                <w:sz w:val="20"/>
                <w:szCs w:val="20"/>
              </w:rPr>
            </w:pPr>
            <w:r w:rsidRPr="007918BC">
              <w:rPr>
                <w:rFonts w:asciiTheme="minorHAnsi" w:hAnsiTheme="minorHAnsi" w:cstheme="minorHAnsi"/>
                <w:sz w:val="20"/>
                <w:szCs w:val="20"/>
              </w:rPr>
              <w:t>99.998</w:t>
            </w:r>
          </w:p>
        </w:tc>
        <w:tc>
          <w:tcPr>
            <w:tcW w:w="1418" w:type="dxa"/>
            <w:tcBorders>
              <w:bottom w:val="single" w:sz="4" w:space="0" w:color="002279"/>
            </w:tcBorders>
            <w:shd w:val="clear" w:color="auto" w:fill="auto"/>
            <w:noWrap/>
            <w:tcMar>
              <w:top w:w="15" w:type="dxa"/>
              <w:left w:w="15" w:type="dxa"/>
              <w:bottom w:w="0" w:type="dxa"/>
              <w:right w:w="225" w:type="dxa"/>
            </w:tcMar>
            <w:vAlign w:val="center"/>
            <w:hideMark/>
          </w:tcPr>
          <w:p w14:paraId="1D7A1373" w14:textId="77777777" w:rsidR="00026E94" w:rsidRPr="007918BC" w:rsidRDefault="00026E94" w:rsidP="00243847">
            <w:pPr>
              <w:spacing w:after="0"/>
              <w:ind w:firstLineChars="100" w:firstLine="200"/>
              <w:jc w:val="center"/>
              <w:rPr>
                <w:rFonts w:asciiTheme="minorHAnsi" w:hAnsiTheme="minorHAnsi" w:cstheme="minorHAnsi"/>
                <w:sz w:val="20"/>
                <w:szCs w:val="20"/>
              </w:rPr>
            </w:pPr>
            <w:r w:rsidRPr="007918BC">
              <w:rPr>
                <w:rFonts w:asciiTheme="minorHAnsi" w:hAnsiTheme="minorHAnsi" w:cstheme="minorHAnsi"/>
                <w:sz w:val="20"/>
                <w:szCs w:val="20"/>
              </w:rPr>
              <w:t>99.8674</w:t>
            </w:r>
          </w:p>
        </w:tc>
        <w:tc>
          <w:tcPr>
            <w:tcW w:w="1195" w:type="dxa"/>
            <w:tcBorders>
              <w:bottom w:val="single" w:sz="4" w:space="0" w:color="002279"/>
            </w:tcBorders>
            <w:shd w:val="clear" w:color="auto" w:fill="auto"/>
            <w:tcMar>
              <w:top w:w="15" w:type="dxa"/>
              <w:left w:w="15" w:type="dxa"/>
              <w:bottom w:w="0" w:type="dxa"/>
              <w:right w:w="15" w:type="dxa"/>
            </w:tcMar>
            <w:vAlign w:val="center"/>
            <w:hideMark/>
          </w:tcPr>
          <w:p w14:paraId="6F48DBF2" w14:textId="77777777" w:rsidR="00026E94" w:rsidRPr="007918BC" w:rsidRDefault="00026E94" w:rsidP="00243847">
            <w:pPr>
              <w:spacing w:after="0"/>
              <w:jc w:val="center"/>
              <w:rPr>
                <w:rFonts w:asciiTheme="minorHAnsi" w:hAnsiTheme="minorHAnsi" w:cstheme="minorHAnsi"/>
                <w:color w:val="000000"/>
                <w:sz w:val="20"/>
                <w:szCs w:val="20"/>
              </w:rPr>
            </w:pPr>
            <w:r w:rsidRPr="007918BC">
              <w:rPr>
                <w:rFonts w:asciiTheme="minorHAnsi" w:hAnsiTheme="minorHAnsi" w:cstheme="minorHAnsi"/>
                <w:color w:val="000000"/>
                <w:sz w:val="20"/>
                <w:szCs w:val="20"/>
              </w:rPr>
              <w:t>2</w:t>
            </w:r>
          </w:p>
        </w:tc>
      </w:tr>
      <w:tr w:rsidR="009443C5" w:rsidRPr="007918BC" w14:paraId="7D64E5E5" w14:textId="77777777" w:rsidTr="00243847">
        <w:trPr>
          <w:trHeight w:val="369"/>
        </w:trPr>
        <w:tc>
          <w:tcPr>
            <w:tcW w:w="9918" w:type="dxa"/>
            <w:shd w:val="clear" w:color="auto" w:fill="D4D6DF"/>
            <w:tcMar>
              <w:top w:w="15" w:type="dxa"/>
              <w:left w:w="225" w:type="dxa"/>
              <w:bottom w:w="0" w:type="dxa"/>
              <w:right w:w="15" w:type="dxa"/>
            </w:tcMar>
            <w:vAlign w:val="center"/>
            <w:hideMark/>
          </w:tcPr>
          <w:p w14:paraId="589932C0" w14:textId="77777777" w:rsidR="00026E94" w:rsidRPr="007918BC" w:rsidRDefault="00026E94" w:rsidP="00243847">
            <w:pPr>
              <w:spacing w:after="0"/>
              <w:rPr>
                <w:rFonts w:asciiTheme="minorHAnsi" w:hAnsiTheme="minorHAnsi" w:cstheme="minorHAnsi"/>
                <w:sz w:val="20"/>
                <w:szCs w:val="20"/>
              </w:rPr>
            </w:pPr>
            <w:r w:rsidRPr="007918BC">
              <w:rPr>
                <w:rFonts w:asciiTheme="minorHAnsi" w:hAnsiTheme="minorHAnsi" w:cstheme="minorHAnsi"/>
                <w:sz w:val="20"/>
                <w:szCs w:val="20"/>
              </w:rPr>
              <w:t>Bursts and leaks (per 100km water main)</w:t>
            </w:r>
          </w:p>
        </w:tc>
        <w:tc>
          <w:tcPr>
            <w:tcW w:w="1417" w:type="dxa"/>
            <w:shd w:val="clear" w:color="auto" w:fill="D4D6DF"/>
            <w:noWrap/>
            <w:tcMar>
              <w:top w:w="15" w:type="dxa"/>
              <w:left w:w="15" w:type="dxa"/>
              <w:bottom w:w="0" w:type="dxa"/>
              <w:right w:w="225" w:type="dxa"/>
            </w:tcMar>
            <w:vAlign w:val="center"/>
            <w:hideMark/>
          </w:tcPr>
          <w:p w14:paraId="33B76E5F" w14:textId="77777777" w:rsidR="00026E94" w:rsidRPr="007918BC" w:rsidRDefault="00026E94" w:rsidP="00243847">
            <w:pPr>
              <w:spacing w:after="0"/>
              <w:ind w:firstLineChars="100" w:firstLine="200"/>
              <w:jc w:val="center"/>
              <w:rPr>
                <w:rFonts w:asciiTheme="minorHAnsi" w:hAnsiTheme="minorHAnsi" w:cstheme="minorHAnsi"/>
                <w:sz w:val="20"/>
                <w:szCs w:val="20"/>
              </w:rPr>
            </w:pPr>
            <w:r w:rsidRPr="007918BC">
              <w:rPr>
                <w:rFonts w:asciiTheme="minorHAnsi" w:hAnsiTheme="minorHAnsi" w:cstheme="minorHAnsi"/>
                <w:sz w:val="20"/>
                <w:szCs w:val="20"/>
              </w:rPr>
              <w:t>30.66</w:t>
            </w:r>
          </w:p>
        </w:tc>
        <w:tc>
          <w:tcPr>
            <w:tcW w:w="1418" w:type="dxa"/>
            <w:shd w:val="clear" w:color="auto" w:fill="D4D6DF"/>
            <w:noWrap/>
            <w:tcMar>
              <w:top w:w="15" w:type="dxa"/>
              <w:left w:w="15" w:type="dxa"/>
              <w:bottom w:w="0" w:type="dxa"/>
              <w:right w:w="225" w:type="dxa"/>
            </w:tcMar>
            <w:vAlign w:val="center"/>
            <w:hideMark/>
          </w:tcPr>
          <w:p w14:paraId="1F120D7A" w14:textId="77777777" w:rsidR="00026E94" w:rsidRPr="007918BC" w:rsidRDefault="00026E94" w:rsidP="00243847">
            <w:pPr>
              <w:spacing w:after="0"/>
              <w:ind w:firstLineChars="100" w:firstLine="200"/>
              <w:jc w:val="center"/>
              <w:rPr>
                <w:rFonts w:asciiTheme="minorHAnsi" w:hAnsiTheme="minorHAnsi" w:cstheme="minorHAnsi"/>
                <w:sz w:val="20"/>
                <w:szCs w:val="20"/>
              </w:rPr>
            </w:pPr>
            <w:r w:rsidRPr="007918BC">
              <w:rPr>
                <w:rFonts w:asciiTheme="minorHAnsi" w:hAnsiTheme="minorHAnsi" w:cstheme="minorHAnsi"/>
                <w:sz w:val="20"/>
                <w:szCs w:val="20"/>
              </w:rPr>
              <w:t>24.48</w:t>
            </w:r>
          </w:p>
        </w:tc>
        <w:tc>
          <w:tcPr>
            <w:tcW w:w="1195" w:type="dxa"/>
            <w:shd w:val="clear" w:color="auto" w:fill="D4D6DF"/>
            <w:tcMar>
              <w:top w:w="15" w:type="dxa"/>
              <w:left w:w="15" w:type="dxa"/>
              <w:bottom w:w="0" w:type="dxa"/>
              <w:right w:w="15" w:type="dxa"/>
            </w:tcMar>
            <w:vAlign w:val="center"/>
            <w:hideMark/>
          </w:tcPr>
          <w:p w14:paraId="129BC86E" w14:textId="77777777" w:rsidR="00026E94" w:rsidRPr="007918BC" w:rsidRDefault="00026E94" w:rsidP="00243847">
            <w:pPr>
              <w:spacing w:after="0"/>
              <w:jc w:val="center"/>
              <w:rPr>
                <w:rFonts w:asciiTheme="minorHAnsi" w:hAnsiTheme="minorHAnsi" w:cstheme="minorHAnsi"/>
                <w:color w:val="000000"/>
                <w:sz w:val="20"/>
                <w:szCs w:val="20"/>
              </w:rPr>
            </w:pPr>
            <w:r w:rsidRPr="007918BC">
              <w:rPr>
                <w:rFonts w:asciiTheme="minorHAnsi" w:hAnsiTheme="minorHAnsi" w:cstheme="minorHAnsi"/>
                <w:color w:val="000000"/>
                <w:sz w:val="20"/>
                <w:szCs w:val="20"/>
              </w:rPr>
              <w:t>1</w:t>
            </w:r>
          </w:p>
        </w:tc>
      </w:tr>
      <w:tr w:rsidR="009443C5" w:rsidRPr="007918BC" w14:paraId="6DC13FBC" w14:textId="77777777" w:rsidTr="00243847">
        <w:trPr>
          <w:trHeight w:val="369"/>
        </w:trPr>
        <w:tc>
          <w:tcPr>
            <w:tcW w:w="9918" w:type="dxa"/>
            <w:tcBorders>
              <w:bottom w:val="single" w:sz="4" w:space="0" w:color="002279"/>
            </w:tcBorders>
            <w:shd w:val="clear" w:color="auto" w:fill="auto"/>
            <w:tcMar>
              <w:top w:w="15" w:type="dxa"/>
              <w:left w:w="225" w:type="dxa"/>
              <w:bottom w:w="0" w:type="dxa"/>
              <w:right w:w="15" w:type="dxa"/>
            </w:tcMar>
            <w:vAlign w:val="center"/>
            <w:hideMark/>
          </w:tcPr>
          <w:p w14:paraId="22D47C67" w14:textId="77777777" w:rsidR="00026E94" w:rsidRPr="007918BC" w:rsidRDefault="00026E94" w:rsidP="00243847">
            <w:pPr>
              <w:spacing w:after="0"/>
              <w:rPr>
                <w:rFonts w:asciiTheme="minorHAnsi" w:hAnsiTheme="minorHAnsi" w:cstheme="minorHAnsi"/>
                <w:sz w:val="20"/>
                <w:szCs w:val="20"/>
              </w:rPr>
            </w:pPr>
            <w:r w:rsidRPr="007918BC">
              <w:rPr>
                <w:rFonts w:asciiTheme="minorHAnsi" w:hAnsiTheme="minorHAnsi" w:cstheme="minorHAnsi"/>
                <w:sz w:val="20"/>
                <w:szCs w:val="20"/>
              </w:rPr>
              <w:t>Average duration of unplanned interruptions (minutes)</w:t>
            </w:r>
          </w:p>
        </w:tc>
        <w:tc>
          <w:tcPr>
            <w:tcW w:w="1417" w:type="dxa"/>
            <w:tcBorders>
              <w:bottom w:val="single" w:sz="4" w:space="0" w:color="002279"/>
            </w:tcBorders>
            <w:shd w:val="clear" w:color="auto" w:fill="auto"/>
            <w:noWrap/>
            <w:tcMar>
              <w:top w:w="15" w:type="dxa"/>
              <w:left w:w="15" w:type="dxa"/>
              <w:bottom w:w="0" w:type="dxa"/>
              <w:right w:w="225" w:type="dxa"/>
            </w:tcMar>
            <w:vAlign w:val="center"/>
            <w:hideMark/>
          </w:tcPr>
          <w:p w14:paraId="584F0D7A" w14:textId="77777777" w:rsidR="00026E94" w:rsidRPr="007918BC" w:rsidRDefault="00026E94" w:rsidP="00243847">
            <w:pPr>
              <w:spacing w:after="0"/>
              <w:ind w:firstLineChars="100" w:firstLine="200"/>
              <w:jc w:val="center"/>
              <w:rPr>
                <w:rFonts w:asciiTheme="minorHAnsi" w:hAnsiTheme="minorHAnsi" w:cstheme="minorHAnsi"/>
                <w:sz w:val="20"/>
                <w:szCs w:val="20"/>
              </w:rPr>
            </w:pPr>
            <w:r w:rsidRPr="007918BC">
              <w:rPr>
                <w:rFonts w:asciiTheme="minorHAnsi" w:hAnsiTheme="minorHAnsi" w:cstheme="minorHAnsi"/>
                <w:sz w:val="20"/>
                <w:szCs w:val="20"/>
              </w:rPr>
              <w:t>86.42</w:t>
            </w:r>
          </w:p>
        </w:tc>
        <w:tc>
          <w:tcPr>
            <w:tcW w:w="1418" w:type="dxa"/>
            <w:tcBorders>
              <w:bottom w:val="single" w:sz="4" w:space="0" w:color="002279"/>
            </w:tcBorders>
            <w:shd w:val="clear" w:color="auto" w:fill="auto"/>
            <w:noWrap/>
            <w:tcMar>
              <w:top w:w="15" w:type="dxa"/>
              <w:left w:w="15" w:type="dxa"/>
              <w:bottom w:w="0" w:type="dxa"/>
              <w:right w:w="225" w:type="dxa"/>
            </w:tcMar>
            <w:vAlign w:val="center"/>
            <w:hideMark/>
          </w:tcPr>
          <w:p w14:paraId="6BC4F77B" w14:textId="77777777" w:rsidR="00026E94" w:rsidRPr="007918BC" w:rsidRDefault="00026E94" w:rsidP="00243847">
            <w:pPr>
              <w:spacing w:after="0"/>
              <w:ind w:firstLineChars="100" w:firstLine="200"/>
              <w:jc w:val="center"/>
              <w:rPr>
                <w:rFonts w:asciiTheme="minorHAnsi" w:hAnsiTheme="minorHAnsi" w:cstheme="minorHAnsi"/>
                <w:sz w:val="20"/>
                <w:szCs w:val="20"/>
              </w:rPr>
            </w:pPr>
            <w:r w:rsidRPr="007918BC">
              <w:rPr>
                <w:rFonts w:asciiTheme="minorHAnsi" w:hAnsiTheme="minorHAnsi" w:cstheme="minorHAnsi"/>
                <w:sz w:val="20"/>
                <w:szCs w:val="20"/>
              </w:rPr>
              <w:t>103.1</w:t>
            </w:r>
          </w:p>
        </w:tc>
        <w:tc>
          <w:tcPr>
            <w:tcW w:w="1195" w:type="dxa"/>
            <w:tcBorders>
              <w:bottom w:val="single" w:sz="4" w:space="0" w:color="002279"/>
            </w:tcBorders>
            <w:shd w:val="clear" w:color="auto" w:fill="auto"/>
            <w:tcMar>
              <w:top w:w="15" w:type="dxa"/>
              <w:left w:w="15" w:type="dxa"/>
              <w:bottom w:w="0" w:type="dxa"/>
              <w:right w:w="15" w:type="dxa"/>
            </w:tcMar>
            <w:vAlign w:val="center"/>
            <w:hideMark/>
          </w:tcPr>
          <w:p w14:paraId="7E5714AD" w14:textId="77777777" w:rsidR="00026E94" w:rsidRPr="007918BC" w:rsidRDefault="00026E94" w:rsidP="00243847">
            <w:pPr>
              <w:spacing w:after="0"/>
              <w:jc w:val="center"/>
              <w:rPr>
                <w:rFonts w:asciiTheme="minorHAnsi" w:hAnsiTheme="minorHAnsi" w:cstheme="minorHAnsi"/>
                <w:color w:val="000000"/>
                <w:sz w:val="20"/>
                <w:szCs w:val="20"/>
              </w:rPr>
            </w:pPr>
            <w:r w:rsidRPr="007918BC">
              <w:rPr>
                <w:rFonts w:asciiTheme="minorHAnsi" w:hAnsiTheme="minorHAnsi" w:cstheme="minorHAnsi"/>
                <w:color w:val="000000"/>
                <w:sz w:val="20"/>
                <w:szCs w:val="20"/>
              </w:rPr>
              <w:t>2</w:t>
            </w:r>
          </w:p>
        </w:tc>
      </w:tr>
      <w:tr w:rsidR="009443C5" w:rsidRPr="007918BC" w14:paraId="46C0D33A" w14:textId="77777777" w:rsidTr="00243847">
        <w:trPr>
          <w:trHeight w:val="369"/>
        </w:trPr>
        <w:tc>
          <w:tcPr>
            <w:tcW w:w="9918" w:type="dxa"/>
            <w:shd w:val="clear" w:color="auto" w:fill="D4D6DF"/>
            <w:tcMar>
              <w:top w:w="15" w:type="dxa"/>
              <w:left w:w="225" w:type="dxa"/>
              <w:bottom w:w="0" w:type="dxa"/>
              <w:right w:w="15" w:type="dxa"/>
            </w:tcMar>
            <w:vAlign w:val="center"/>
            <w:hideMark/>
          </w:tcPr>
          <w:p w14:paraId="29B6F820" w14:textId="77777777" w:rsidR="00026E94" w:rsidRPr="007918BC" w:rsidRDefault="00026E94" w:rsidP="00243847">
            <w:pPr>
              <w:spacing w:after="0"/>
              <w:rPr>
                <w:rFonts w:asciiTheme="minorHAnsi" w:hAnsiTheme="minorHAnsi" w:cstheme="minorHAnsi"/>
                <w:sz w:val="20"/>
                <w:szCs w:val="20"/>
              </w:rPr>
            </w:pPr>
            <w:r w:rsidRPr="007918BC">
              <w:rPr>
                <w:rFonts w:asciiTheme="minorHAnsi" w:hAnsiTheme="minorHAnsi" w:cstheme="minorHAnsi"/>
                <w:sz w:val="20"/>
                <w:szCs w:val="20"/>
              </w:rPr>
              <w:t>Planned customer water supply interruption frequency in peak hours (interruptions per customer)</w:t>
            </w:r>
          </w:p>
        </w:tc>
        <w:tc>
          <w:tcPr>
            <w:tcW w:w="1417" w:type="dxa"/>
            <w:shd w:val="clear" w:color="auto" w:fill="D4D6DF"/>
            <w:noWrap/>
            <w:tcMar>
              <w:top w:w="15" w:type="dxa"/>
              <w:left w:w="15" w:type="dxa"/>
              <w:bottom w:w="0" w:type="dxa"/>
              <w:right w:w="225" w:type="dxa"/>
            </w:tcMar>
            <w:vAlign w:val="center"/>
            <w:hideMark/>
          </w:tcPr>
          <w:p w14:paraId="6568DD5F" w14:textId="77777777" w:rsidR="00026E94" w:rsidRPr="007918BC" w:rsidRDefault="00026E94" w:rsidP="00243847">
            <w:pPr>
              <w:spacing w:after="0"/>
              <w:ind w:firstLineChars="100" w:firstLine="200"/>
              <w:jc w:val="center"/>
              <w:rPr>
                <w:rFonts w:asciiTheme="minorHAnsi" w:hAnsiTheme="minorHAnsi" w:cstheme="minorHAnsi"/>
                <w:sz w:val="20"/>
                <w:szCs w:val="20"/>
              </w:rPr>
            </w:pPr>
            <w:r w:rsidRPr="007918BC">
              <w:rPr>
                <w:rFonts w:asciiTheme="minorHAnsi" w:hAnsiTheme="minorHAnsi" w:cstheme="minorHAnsi"/>
                <w:sz w:val="20"/>
                <w:szCs w:val="20"/>
              </w:rPr>
              <w:t>0.010</w:t>
            </w:r>
          </w:p>
        </w:tc>
        <w:tc>
          <w:tcPr>
            <w:tcW w:w="1418" w:type="dxa"/>
            <w:shd w:val="clear" w:color="auto" w:fill="D4D6DF"/>
            <w:noWrap/>
            <w:tcMar>
              <w:top w:w="15" w:type="dxa"/>
              <w:left w:w="15" w:type="dxa"/>
              <w:bottom w:w="0" w:type="dxa"/>
              <w:right w:w="225" w:type="dxa"/>
            </w:tcMar>
            <w:vAlign w:val="center"/>
            <w:hideMark/>
          </w:tcPr>
          <w:p w14:paraId="03016041" w14:textId="77777777" w:rsidR="00026E94" w:rsidRPr="007918BC" w:rsidRDefault="00026E94" w:rsidP="00243847">
            <w:pPr>
              <w:spacing w:after="0"/>
              <w:ind w:firstLineChars="100" w:firstLine="200"/>
              <w:jc w:val="center"/>
              <w:rPr>
                <w:rFonts w:asciiTheme="minorHAnsi" w:hAnsiTheme="minorHAnsi" w:cstheme="minorHAnsi"/>
                <w:sz w:val="20"/>
                <w:szCs w:val="20"/>
              </w:rPr>
            </w:pPr>
            <w:r w:rsidRPr="007918BC">
              <w:rPr>
                <w:rFonts w:asciiTheme="minorHAnsi" w:hAnsiTheme="minorHAnsi" w:cstheme="minorHAnsi"/>
                <w:sz w:val="20"/>
                <w:szCs w:val="20"/>
              </w:rPr>
              <w:t>0.005</w:t>
            </w:r>
          </w:p>
        </w:tc>
        <w:tc>
          <w:tcPr>
            <w:tcW w:w="1195" w:type="dxa"/>
            <w:shd w:val="clear" w:color="auto" w:fill="D4D6DF"/>
            <w:tcMar>
              <w:top w:w="15" w:type="dxa"/>
              <w:left w:w="15" w:type="dxa"/>
              <w:bottom w:w="0" w:type="dxa"/>
              <w:right w:w="15" w:type="dxa"/>
            </w:tcMar>
            <w:vAlign w:val="center"/>
            <w:hideMark/>
          </w:tcPr>
          <w:p w14:paraId="66D64FD0" w14:textId="77777777" w:rsidR="00026E94" w:rsidRPr="007918BC" w:rsidRDefault="00026E94" w:rsidP="00243847">
            <w:pPr>
              <w:spacing w:after="0"/>
              <w:jc w:val="center"/>
              <w:rPr>
                <w:rFonts w:asciiTheme="minorHAnsi" w:hAnsiTheme="minorHAnsi" w:cstheme="minorHAnsi"/>
                <w:color w:val="000000"/>
                <w:sz w:val="20"/>
                <w:szCs w:val="20"/>
              </w:rPr>
            </w:pPr>
            <w:r w:rsidRPr="007918BC">
              <w:rPr>
                <w:rFonts w:asciiTheme="minorHAnsi" w:hAnsiTheme="minorHAnsi" w:cstheme="minorHAnsi"/>
                <w:color w:val="000000"/>
                <w:sz w:val="20"/>
                <w:szCs w:val="20"/>
              </w:rPr>
              <w:t>1</w:t>
            </w:r>
          </w:p>
        </w:tc>
      </w:tr>
      <w:tr w:rsidR="009443C5" w:rsidRPr="007918BC" w14:paraId="11601C40" w14:textId="77777777" w:rsidTr="00243847">
        <w:trPr>
          <w:trHeight w:val="369"/>
        </w:trPr>
        <w:tc>
          <w:tcPr>
            <w:tcW w:w="9918" w:type="dxa"/>
            <w:tcBorders>
              <w:bottom w:val="single" w:sz="4" w:space="0" w:color="002279"/>
            </w:tcBorders>
            <w:shd w:val="clear" w:color="auto" w:fill="auto"/>
            <w:tcMar>
              <w:top w:w="15" w:type="dxa"/>
              <w:left w:w="225" w:type="dxa"/>
              <w:bottom w:w="0" w:type="dxa"/>
              <w:right w:w="15" w:type="dxa"/>
            </w:tcMar>
            <w:vAlign w:val="center"/>
            <w:hideMark/>
          </w:tcPr>
          <w:p w14:paraId="6E7441CB" w14:textId="77777777" w:rsidR="00026E94" w:rsidRPr="007918BC" w:rsidRDefault="00026E94" w:rsidP="00243847">
            <w:pPr>
              <w:spacing w:after="0"/>
              <w:rPr>
                <w:rFonts w:asciiTheme="minorHAnsi" w:hAnsiTheme="minorHAnsi" w:cstheme="minorHAnsi"/>
                <w:sz w:val="20"/>
                <w:szCs w:val="20"/>
              </w:rPr>
            </w:pPr>
            <w:r w:rsidRPr="007918BC">
              <w:rPr>
                <w:rFonts w:asciiTheme="minorHAnsi" w:hAnsiTheme="minorHAnsi" w:cstheme="minorHAnsi"/>
                <w:sz w:val="20"/>
                <w:szCs w:val="20"/>
              </w:rPr>
              <w:t>Unplanned water supply interruptions restored within 5 hours (per cent)</w:t>
            </w:r>
          </w:p>
        </w:tc>
        <w:tc>
          <w:tcPr>
            <w:tcW w:w="1417" w:type="dxa"/>
            <w:tcBorders>
              <w:bottom w:val="single" w:sz="4" w:space="0" w:color="002279"/>
            </w:tcBorders>
            <w:shd w:val="clear" w:color="auto" w:fill="auto"/>
            <w:noWrap/>
            <w:tcMar>
              <w:top w:w="15" w:type="dxa"/>
              <w:left w:w="15" w:type="dxa"/>
              <w:bottom w:w="0" w:type="dxa"/>
              <w:right w:w="225" w:type="dxa"/>
            </w:tcMar>
            <w:vAlign w:val="center"/>
            <w:hideMark/>
          </w:tcPr>
          <w:p w14:paraId="06EBA525" w14:textId="77777777" w:rsidR="00026E94" w:rsidRPr="007918BC" w:rsidRDefault="00026E94" w:rsidP="00243847">
            <w:pPr>
              <w:spacing w:after="0"/>
              <w:ind w:firstLineChars="100" w:firstLine="200"/>
              <w:jc w:val="center"/>
              <w:rPr>
                <w:rFonts w:asciiTheme="minorHAnsi" w:hAnsiTheme="minorHAnsi" w:cstheme="minorHAnsi"/>
                <w:sz w:val="20"/>
                <w:szCs w:val="20"/>
              </w:rPr>
            </w:pPr>
            <w:r w:rsidRPr="007918BC">
              <w:rPr>
                <w:rFonts w:asciiTheme="minorHAnsi" w:hAnsiTheme="minorHAnsi" w:cstheme="minorHAnsi"/>
                <w:sz w:val="20"/>
                <w:szCs w:val="20"/>
              </w:rPr>
              <w:t>97.9</w:t>
            </w:r>
          </w:p>
        </w:tc>
        <w:tc>
          <w:tcPr>
            <w:tcW w:w="1418" w:type="dxa"/>
            <w:tcBorders>
              <w:bottom w:val="single" w:sz="4" w:space="0" w:color="002279"/>
            </w:tcBorders>
            <w:shd w:val="clear" w:color="auto" w:fill="auto"/>
            <w:noWrap/>
            <w:tcMar>
              <w:top w:w="15" w:type="dxa"/>
              <w:left w:w="15" w:type="dxa"/>
              <w:bottom w:w="0" w:type="dxa"/>
              <w:right w:w="225" w:type="dxa"/>
            </w:tcMar>
            <w:vAlign w:val="center"/>
            <w:hideMark/>
          </w:tcPr>
          <w:p w14:paraId="192B3371" w14:textId="77777777" w:rsidR="00026E94" w:rsidRPr="007918BC" w:rsidRDefault="00026E94" w:rsidP="00243847">
            <w:pPr>
              <w:spacing w:after="0"/>
              <w:ind w:firstLineChars="100" w:firstLine="200"/>
              <w:jc w:val="center"/>
              <w:rPr>
                <w:rFonts w:asciiTheme="minorHAnsi" w:hAnsiTheme="minorHAnsi" w:cstheme="minorHAnsi"/>
                <w:sz w:val="20"/>
                <w:szCs w:val="20"/>
              </w:rPr>
            </w:pPr>
            <w:r w:rsidRPr="007918BC">
              <w:rPr>
                <w:rFonts w:asciiTheme="minorHAnsi" w:hAnsiTheme="minorHAnsi" w:cstheme="minorHAnsi"/>
                <w:sz w:val="20"/>
                <w:szCs w:val="20"/>
              </w:rPr>
              <w:t>97.4</w:t>
            </w:r>
          </w:p>
        </w:tc>
        <w:tc>
          <w:tcPr>
            <w:tcW w:w="1195" w:type="dxa"/>
            <w:tcBorders>
              <w:bottom w:val="single" w:sz="4" w:space="0" w:color="002279"/>
            </w:tcBorders>
            <w:shd w:val="clear" w:color="auto" w:fill="auto"/>
            <w:tcMar>
              <w:top w:w="15" w:type="dxa"/>
              <w:left w:w="15" w:type="dxa"/>
              <w:bottom w:w="0" w:type="dxa"/>
              <w:right w:w="15" w:type="dxa"/>
            </w:tcMar>
            <w:vAlign w:val="center"/>
            <w:hideMark/>
          </w:tcPr>
          <w:p w14:paraId="296135F7" w14:textId="77777777" w:rsidR="00026E94" w:rsidRPr="007918BC" w:rsidRDefault="00026E94" w:rsidP="00243847">
            <w:pPr>
              <w:spacing w:after="0"/>
              <w:jc w:val="center"/>
              <w:rPr>
                <w:rFonts w:asciiTheme="minorHAnsi" w:hAnsiTheme="minorHAnsi" w:cstheme="minorHAnsi"/>
                <w:color w:val="000000"/>
                <w:sz w:val="20"/>
                <w:szCs w:val="20"/>
              </w:rPr>
            </w:pPr>
            <w:r w:rsidRPr="007918BC">
              <w:rPr>
                <w:rFonts w:asciiTheme="minorHAnsi" w:hAnsiTheme="minorHAnsi" w:cstheme="minorHAnsi"/>
                <w:color w:val="000000"/>
                <w:sz w:val="20"/>
                <w:szCs w:val="20"/>
              </w:rPr>
              <w:t>2</w:t>
            </w:r>
          </w:p>
        </w:tc>
      </w:tr>
      <w:tr w:rsidR="009443C5" w:rsidRPr="007918BC" w14:paraId="0DB0A82C" w14:textId="77777777" w:rsidTr="00243847">
        <w:trPr>
          <w:trHeight w:val="369"/>
        </w:trPr>
        <w:tc>
          <w:tcPr>
            <w:tcW w:w="9918" w:type="dxa"/>
            <w:shd w:val="clear" w:color="auto" w:fill="D4D6DF"/>
            <w:tcMar>
              <w:top w:w="15" w:type="dxa"/>
              <w:left w:w="225" w:type="dxa"/>
              <w:bottom w:w="0" w:type="dxa"/>
              <w:right w:w="15" w:type="dxa"/>
            </w:tcMar>
            <w:vAlign w:val="center"/>
            <w:hideMark/>
          </w:tcPr>
          <w:p w14:paraId="2F287CB9" w14:textId="77777777" w:rsidR="00026E94" w:rsidRPr="007918BC" w:rsidRDefault="00026E94" w:rsidP="00243847">
            <w:pPr>
              <w:spacing w:after="0"/>
              <w:rPr>
                <w:rFonts w:asciiTheme="minorHAnsi" w:hAnsiTheme="minorHAnsi" w:cstheme="minorHAnsi"/>
                <w:sz w:val="20"/>
                <w:szCs w:val="20"/>
              </w:rPr>
            </w:pPr>
            <w:r w:rsidRPr="007918BC">
              <w:rPr>
                <w:rFonts w:asciiTheme="minorHAnsi" w:hAnsiTheme="minorHAnsi" w:cstheme="minorHAnsi"/>
                <w:sz w:val="20"/>
                <w:szCs w:val="20"/>
              </w:rPr>
              <w:t>Sewer blockages (per 100 kilometres of sewer main)</w:t>
            </w:r>
          </w:p>
        </w:tc>
        <w:tc>
          <w:tcPr>
            <w:tcW w:w="1417" w:type="dxa"/>
            <w:shd w:val="clear" w:color="auto" w:fill="D4D6DF"/>
            <w:noWrap/>
            <w:tcMar>
              <w:top w:w="15" w:type="dxa"/>
              <w:left w:w="15" w:type="dxa"/>
              <w:bottom w:w="0" w:type="dxa"/>
              <w:right w:w="225" w:type="dxa"/>
            </w:tcMar>
            <w:vAlign w:val="center"/>
            <w:hideMark/>
          </w:tcPr>
          <w:p w14:paraId="735E53C4" w14:textId="77777777" w:rsidR="00026E94" w:rsidRPr="007918BC" w:rsidRDefault="00026E94" w:rsidP="00243847">
            <w:pPr>
              <w:spacing w:after="0"/>
              <w:ind w:firstLineChars="100" w:firstLine="200"/>
              <w:jc w:val="center"/>
              <w:rPr>
                <w:rFonts w:asciiTheme="minorHAnsi" w:hAnsiTheme="minorHAnsi" w:cstheme="minorHAnsi"/>
                <w:sz w:val="20"/>
                <w:szCs w:val="20"/>
              </w:rPr>
            </w:pPr>
            <w:r w:rsidRPr="007918BC">
              <w:rPr>
                <w:rFonts w:asciiTheme="minorHAnsi" w:hAnsiTheme="minorHAnsi" w:cstheme="minorHAnsi"/>
                <w:sz w:val="20"/>
                <w:szCs w:val="20"/>
              </w:rPr>
              <w:t>18.1</w:t>
            </w:r>
          </w:p>
        </w:tc>
        <w:tc>
          <w:tcPr>
            <w:tcW w:w="1418" w:type="dxa"/>
            <w:shd w:val="clear" w:color="auto" w:fill="D4D6DF"/>
            <w:noWrap/>
            <w:tcMar>
              <w:top w:w="15" w:type="dxa"/>
              <w:left w:w="15" w:type="dxa"/>
              <w:bottom w:w="0" w:type="dxa"/>
              <w:right w:w="225" w:type="dxa"/>
            </w:tcMar>
            <w:vAlign w:val="center"/>
            <w:hideMark/>
          </w:tcPr>
          <w:p w14:paraId="04C08549" w14:textId="77777777" w:rsidR="00026E94" w:rsidRPr="007918BC" w:rsidRDefault="00026E94" w:rsidP="00243847">
            <w:pPr>
              <w:spacing w:after="0"/>
              <w:ind w:firstLineChars="100" w:firstLine="200"/>
              <w:jc w:val="center"/>
              <w:rPr>
                <w:rFonts w:asciiTheme="minorHAnsi" w:hAnsiTheme="minorHAnsi" w:cstheme="minorHAnsi"/>
                <w:sz w:val="20"/>
                <w:szCs w:val="20"/>
              </w:rPr>
            </w:pPr>
            <w:r w:rsidRPr="007918BC">
              <w:rPr>
                <w:rFonts w:asciiTheme="minorHAnsi" w:hAnsiTheme="minorHAnsi" w:cstheme="minorHAnsi"/>
                <w:sz w:val="20"/>
                <w:szCs w:val="20"/>
              </w:rPr>
              <w:t>18.8</w:t>
            </w:r>
          </w:p>
        </w:tc>
        <w:tc>
          <w:tcPr>
            <w:tcW w:w="1195" w:type="dxa"/>
            <w:shd w:val="clear" w:color="auto" w:fill="D4D6DF"/>
            <w:tcMar>
              <w:top w:w="15" w:type="dxa"/>
              <w:left w:w="15" w:type="dxa"/>
              <w:bottom w:w="0" w:type="dxa"/>
              <w:right w:w="15" w:type="dxa"/>
            </w:tcMar>
            <w:vAlign w:val="center"/>
            <w:hideMark/>
          </w:tcPr>
          <w:p w14:paraId="68C5F764" w14:textId="77777777" w:rsidR="00026E94" w:rsidRPr="007918BC" w:rsidRDefault="00026E94" w:rsidP="00243847">
            <w:pPr>
              <w:spacing w:after="0"/>
              <w:jc w:val="center"/>
              <w:rPr>
                <w:rFonts w:asciiTheme="minorHAnsi" w:hAnsiTheme="minorHAnsi" w:cstheme="minorHAnsi"/>
                <w:color w:val="000000"/>
                <w:sz w:val="20"/>
                <w:szCs w:val="20"/>
              </w:rPr>
            </w:pPr>
            <w:r w:rsidRPr="007918BC">
              <w:rPr>
                <w:rFonts w:asciiTheme="minorHAnsi" w:hAnsiTheme="minorHAnsi" w:cstheme="minorHAnsi"/>
                <w:color w:val="000000"/>
                <w:sz w:val="20"/>
                <w:szCs w:val="20"/>
              </w:rPr>
              <w:t>2</w:t>
            </w:r>
          </w:p>
        </w:tc>
      </w:tr>
      <w:tr w:rsidR="009443C5" w:rsidRPr="007918BC" w14:paraId="66D409DC" w14:textId="77777777" w:rsidTr="00243847">
        <w:trPr>
          <w:trHeight w:val="369"/>
        </w:trPr>
        <w:tc>
          <w:tcPr>
            <w:tcW w:w="9918" w:type="dxa"/>
            <w:shd w:val="clear" w:color="auto" w:fill="auto"/>
            <w:tcMar>
              <w:top w:w="15" w:type="dxa"/>
              <w:left w:w="225" w:type="dxa"/>
              <w:bottom w:w="0" w:type="dxa"/>
              <w:right w:w="15" w:type="dxa"/>
            </w:tcMar>
            <w:vAlign w:val="center"/>
            <w:hideMark/>
          </w:tcPr>
          <w:p w14:paraId="4D306897" w14:textId="77777777" w:rsidR="00026E94" w:rsidRPr="007918BC" w:rsidRDefault="00026E94" w:rsidP="00243847">
            <w:pPr>
              <w:spacing w:after="0"/>
              <w:rPr>
                <w:rFonts w:asciiTheme="minorHAnsi" w:hAnsiTheme="minorHAnsi" w:cstheme="minorHAnsi"/>
                <w:sz w:val="20"/>
                <w:szCs w:val="20"/>
              </w:rPr>
            </w:pPr>
            <w:r w:rsidRPr="007918BC">
              <w:rPr>
                <w:rFonts w:asciiTheme="minorHAnsi" w:hAnsiTheme="minorHAnsi" w:cstheme="minorHAnsi"/>
                <w:sz w:val="20"/>
                <w:szCs w:val="20"/>
              </w:rPr>
              <w:t>Sewer spills to customer property (per 100 customers)</w:t>
            </w:r>
          </w:p>
        </w:tc>
        <w:tc>
          <w:tcPr>
            <w:tcW w:w="1417" w:type="dxa"/>
            <w:shd w:val="clear" w:color="auto" w:fill="auto"/>
            <w:noWrap/>
            <w:tcMar>
              <w:top w:w="15" w:type="dxa"/>
              <w:left w:w="15" w:type="dxa"/>
              <w:bottom w:w="0" w:type="dxa"/>
              <w:right w:w="225" w:type="dxa"/>
            </w:tcMar>
            <w:vAlign w:val="center"/>
            <w:hideMark/>
          </w:tcPr>
          <w:p w14:paraId="1727F949" w14:textId="77777777" w:rsidR="00026E94" w:rsidRPr="007918BC" w:rsidRDefault="00026E94" w:rsidP="00243847">
            <w:pPr>
              <w:spacing w:after="0"/>
              <w:ind w:firstLineChars="100" w:firstLine="200"/>
              <w:jc w:val="center"/>
              <w:rPr>
                <w:rFonts w:asciiTheme="minorHAnsi" w:hAnsiTheme="minorHAnsi" w:cstheme="minorHAnsi"/>
                <w:sz w:val="20"/>
                <w:szCs w:val="20"/>
              </w:rPr>
            </w:pPr>
            <w:r w:rsidRPr="007918BC">
              <w:rPr>
                <w:rFonts w:asciiTheme="minorHAnsi" w:hAnsiTheme="minorHAnsi" w:cstheme="minorHAnsi"/>
                <w:sz w:val="20"/>
                <w:szCs w:val="20"/>
              </w:rPr>
              <w:t>0.07</w:t>
            </w:r>
          </w:p>
        </w:tc>
        <w:tc>
          <w:tcPr>
            <w:tcW w:w="1418" w:type="dxa"/>
            <w:shd w:val="clear" w:color="auto" w:fill="auto"/>
            <w:noWrap/>
            <w:tcMar>
              <w:top w:w="15" w:type="dxa"/>
              <w:left w:w="15" w:type="dxa"/>
              <w:bottom w:w="0" w:type="dxa"/>
              <w:right w:w="225" w:type="dxa"/>
            </w:tcMar>
            <w:vAlign w:val="center"/>
            <w:hideMark/>
          </w:tcPr>
          <w:p w14:paraId="73931266" w14:textId="77777777" w:rsidR="00026E94" w:rsidRPr="007918BC" w:rsidRDefault="00026E94" w:rsidP="00243847">
            <w:pPr>
              <w:spacing w:after="0"/>
              <w:ind w:firstLineChars="100" w:firstLine="200"/>
              <w:jc w:val="center"/>
              <w:rPr>
                <w:rFonts w:asciiTheme="minorHAnsi" w:hAnsiTheme="minorHAnsi" w:cstheme="minorHAnsi"/>
                <w:sz w:val="20"/>
                <w:szCs w:val="20"/>
              </w:rPr>
            </w:pPr>
            <w:r w:rsidRPr="007918BC">
              <w:rPr>
                <w:rFonts w:asciiTheme="minorHAnsi" w:hAnsiTheme="minorHAnsi" w:cstheme="minorHAnsi"/>
                <w:sz w:val="20"/>
                <w:szCs w:val="20"/>
              </w:rPr>
              <w:t>0.09</w:t>
            </w:r>
          </w:p>
        </w:tc>
        <w:tc>
          <w:tcPr>
            <w:tcW w:w="1195" w:type="dxa"/>
            <w:shd w:val="clear" w:color="auto" w:fill="auto"/>
            <w:tcMar>
              <w:top w:w="15" w:type="dxa"/>
              <w:left w:w="15" w:type="dxa"/>
              <w:bottom w:w="0" w:type="dxa"/>
              <w:right w:w="15" w:type="dxa"/>
            </w:tcMar>
            <w:vAlign w:val="center"/>
            <w:hideMark/>
          </w:tcPr>
          <w:p w14:paraId="6C35CBB0" w14:textId="77777777" w:rsidR="00026E94" w:rsidRPr="007918BC" w:rsidRDefault="00026E94" w:rsidP="00243847">
            <w:pPr>
              <w:spacing w:after="0"/>
              <w:jc w:val="center"/>
              <w:rPr>
                <w:rFonts w:asciiTheme="minorHAnsi" w:hAnsiTheme="minorHAnsi" w:cstheme="minorHAnsi"/>
                <w:color w:val="000000"/>
                <w:sz w:val="20"/>
                <w:szCs w:val="20"/>
              </w:rPr>
            </w:pPr>
            <w:r w:rsidRPr="007918BC">
              <w:rPr>
                <w:rFonts w:asciiTheme="minorHAnsi" w:hAnsiTheme="minorHAnsi" w:cstheme="minorHAnsi"/>
                <w:color w:val="000000"/>
                <w:sz w:val="20"/>
                <w:szCs w:val="20"/>
              </w:rPr>
              <w:t>2</w:t>
            </w:r>
          </w:p>
        </w:tc>
      </w:tr>
    </w:tbl>
    <w:p w14:paraId="31DB7F73" w14:textId="2743AF21" w:rsidR="00670C59" w:rsidRDefault="006101AD" w:rsidP="005D3A6B">
      <w:pPr>
        <w:pStyle w:val="BodyText"/>
        <w:rPr>
          <w:rStyle w:val="normaltextrun"/>
          <w:rFonts w:cs="Arial"/>
          <w:color w:val="002060"/>
          <w:position w:val="-1"/>
          <w:sz w:val="36"/>
          <w:szCs w:val="36"/>
          <w:shd w:val="clear" w:color="auto" w:fill="EDEBE9"/>
        </w:rPr>
      </w:pPr>
      <w:r>
        <w:rPr>
          <w:rStyle w:val="normaltextrun"/>
          <w:rFonts w:cs="Arial"/>
          <w:noProof/>
          <w:color w:val="002060"/>
          <w:position w:val="-1"/>
          <w:sz w:val="36"/>
          <w:szCs w:val="36"/>
          <w:shd w:val="clear" w:color="auto" w:fill="EDEBE9"/>
        </w:rPr>
        <w:t xml:space="preserve"> </w:t>
      </w:r>
    </w:p>
    <w:p w14:paraId="3BB015D6" w14:textId="77777777" w:rsidR="00BD5895" w:rsidRDefault="00BD5895" w:rsidP="005D3A6B">
      <w:pPr>
        <w:pStyle w:val="BodyText"/>
      </w:pPr>
    </w:p>
    <w:p w14:paraId="60358C77" w14:textId="4F0E6D24" w:rsidR="00B10776" w:rsidRDefault="00927CD5">
      <w:pPr>
        <w:pStyle w:val="Heading2"/>
        <w:numPr>
          <w:ilvl w:val="1"/>
          <w:numId w:val="28"/>
        </w:numPr>
        <w:ind w:left="426" w:hanging="426"/>
      </w:pPr>
      <w:r>
        <w:lastRenderedPageBreak/>
        <w:t xml:space="preserve">Major projects </w:t>
      </w:r>
    </w:p>
    <w:p w14:paraId="4A478D60" w14:textId="4E6C4329" w:rsidR="00971978" w:rsidRPr="008666DA" w:rsidRDefault="00971978" w:rsidP="00E64909">
      <w:pPr>
        <w:spacing w:after="0"/>
        <w:textAlignment w:val="baseline"/>
        <w:rPr>
          <w:rFonts w:ascii="Segoe UI" w:eastAsia="Times New Roman" w:hAnsi="Segoe UI" w:cs="Segoe UI"/>
          <w:lang w:val="en-US" w:eastAsia="en-AU"/>
        </w:rPr>
      </w:pPr>
      <w:r w:rsidRPr="008666DA">
        <w:rPr>
          <w:rFonts w:eastAsia="Times New Roman" w:cs="Arial"/>
          <w:position w:val="-1"/>
          <w:lang w:eastAsia="en-AU"/>
        </w:rPr>
        <w:t>Th</w:t>
      </w:r>
      <w:r w:rsidR="0007214A" w:rsidRPr="008666DA">
        <w:rPr>
          <w:rFonts w:eastAsia="Times New Roman" w:cs="Arial"/>
          <w:position w:val="-1"/>
          <w:lang w:eastAsia="en-AU"/>
        </w:rPr>
        <w:t xml:space="preserve">is </w:t>
      </w:r>
      <w:r w:rsidRPr="008666DA">
        <w:rPr>
          <w:rFonts w:eastAsia="Times New Roman" w:cs="Arial"/>
          <w:position w:val="-1"/>
          <w:lang w:eastAsia="en-AU"/>
        </w:rPr>
        <w:t>third element was selected to assess the performance of the top</w:t>
      </w:r>
      <w:r w:rsidR="0007214A" w:rsidRPr="008666DA">
        <w:rPr>
          <w:rFonts w:eastAsia="Times New Roman" w:cs="Arial"/>
          <w:position w:val="-1"/>
          <w:lang w:eastAsia="en-AU"/>
        </w:rPr>
        <w:t>-</w:t>
      </w:r>
      <w:r w:rsidRPr="008666DA">
        <w:rPr>
          <w:rFonts w:eastAsia="Times New Roman" w:cs="Arial"/>
          <w:position w:val="-1"/>
          <w:lang w:eastAsia="en-AU"/>
        </w:rPr>
        <w:t xml:space="preserve">10 </w:t>
      </w:r>
      <w:r w:rsidR="0007214A" w:rsidRPr="008666DA">
        <w:rPr>
          <w:rFonts w:eastAsia="Times New Roman" w:cs="Arial"/>
          <w:position w:val="-1"/>
          <w:lang w:eastAsia="en-AU"/>
        </w:rPr>
        <w:t>m</w:t>
      </w:r>
      <w:r w:rsidRPr="008666DA">
        <w:rPr>
          <w:rFonts w:eastAsia="Times New Roman" w:cs="Arial"/>
          <w:position w:val="-1"/>
          <w:lang w:eastAsia="en-AU"/>
        </w:rPr>
        <w:t xml:space="preserve">ajor </w:t>
      </w:r>
      <w:r w:rsidR="00793D76" w:rsidRPr="008666DA">
        <w:rPr>
          <w:rFonts w:eastAsia="Times New Roman" w:cs="Arial"/>
          <w:position w:val="-1"/>
          <w:lang w:eastAsia="en-AU"/>
        </w:rPr>
        <w:t>p</w:t>
      </w:r>
      <w:r w:rsidRPr="008666DA">
        <w:rPr>
          <w:rFonts w:eastAsia="Times New Roman" w:cs="Arial"/>
          <w:position w:val="-1"/>
          <w:lang w:eastAsia="en-AU"/>
        </w:rPr>
        <w:t>rojects from the 2018</w:t>
      </w:r>
      <w:r w:rsidR="00F243DC">
        <w:rPr>
          <w:rFonts w:eastAsia="Times New Roman" w:cs="Arial"/>
          <w:position w:val="-1"/>
          <w:lang w:eastAsia="en-AU"/>
        </w:rPr>
        <w:t>–</w:t>
      </w:r>
      <w:r w:rsidR="00793D76" w:rsidRPr="008666DA">
        <w:rPr>
          <w:rFonts w:eastAsia="Times New Roman" w:cs="Arial"/>
          <w:position w:val="-1"/>
          <w:lang w:eastAsia="en-AU"/>
        </w:rPr>
        <w:t>23</w:t>
      </w:r>
      <w:r w:rsidRPr="008666DA">
        <w:rPr>
          <w:rFonts w:eastAsia="Times New Roman" w:cs="Arial"/>
          <w:position w:val="-1"/>
          <w:lang w:eastAsia="en-AU"/>
        </w:rPr>
        <w:t> submission. Given the complexity and different profile of these projects</w:t>
      </w:r>
      <w:r w:rsidR="00793D76" w:rsidRPr="008666DA">
        <w:rPr>
          <w:rFonts w:eastAsia="Times New Roman" w:cs="Arial"/>
          <w:position w:val="-1"/>
          <w:lang w:eastAsia="en-AU"/>
        </w:rPr>
        <w:t>,</w:t>
      </w:r>
      <w:r w:rsidRPr="008666DA">
        <w:rPr>
          <w:rFonts w:eastAsia="Times New Roman" w:cs="Arial"/>
          <w:position w:val="-1"/>
          <w:lang w:eastAsia="en-AU"/>
        </w:rPr>
        <w:t xml:space="preserve"> the decision was made to conduct the assessment around the customer, the intended outcome and benefit delivered against the 2018 commitment.</w:t>
      </w:r>
      <w:r w:rsidRPr="008666DA">
        <w:rPr>
          <w:rFonts w:eastAsia="Times New Roman" w:cs="Arial"/>
          <w:lang w:val="en-US" w:eastAsia="en-AU"/>
        </w:rPr>
        <w:t>​</w:t>
      </w:r>
    </w:p>
    <w:p w14:paraId="3607678E" w14:textId="14499FC2" w:rsidR="00971978" w:rsidRPr="008666DA" w:rsidRDefault="00971978" w:rsidP="00360131">
      <w:pPr>
        <w:pStyle w:val="ListParagraph"/>
        <w:spacing w:after="0"/>
        <w:ind w:left="426"/>
        <w:textAlignment w:val="baseline"/>
        <w:rPr>
          <w:rFonts w:ascii="Segoe UI" w:eastAsia="Times New Roman" w:hAnsi="Segoe UI" w:cs="Segoe UI"/>
          <w:lang w:eastAsia="en-AU"/>
        </w:rPr>
      </w:pPr>
    </w:p>
    <w:p w14:paraId="53EB9C84" w14:textId="0EAFCA4B" w:rsidR="00B23CD5" w:rsidRDefault="00971978" w:rsidP="00E64909">
      <w:pPr>
        <w:textAlignment w:val="baseline"/>
        <w:rPr>
          <w:rFonts w:eastAsia="Times New Roman" w:cs="Arial"/>
          <w:b/>
          <w:bCs/>
          <w:position w:val="-1"/>
          <w:lang w:eastAsia="en-AU"/>
        </w:rPr>
      </w:pPr>
      <w:r w:rsidRPr="008666DA">
        <w:rPr>
          <w:rFonts w:eastAsia="Times New Roman" w:cs="Arial"/>
          <w:position w:val="-1"/>
          <w:lang w:eastAsia="en-AU"/>
        </w:rPr>
        <w:t>Each assessment was conducted by the project manager and consisted of a brief summary of all key aspects of the project including time, budget and customer benefits, plus any changes to scope and an explanation of any deviation from the 2018</w:t>
      </w:r>
      <w:r w:rsidR="00F243DC">
        <w:rPr>
          <w:rFonts w:eastAsia="Times New Roman" w:cs="Arial"/>
          <w:position w:val="-1"/>
          <w:lang w:eastAsia="en-AU"/>
        </w:rPr>
        <w:t>–</w:t>
      </w:r>
      <w:r w:rsidR="001D7DB2" w:rsidRPr="008666DA">
        <w:rPr>
          <w:rFonts w:eastAsia="Times New Roman" w:cs="Arial"/>
          <w:position w:val="-1"/>
          <w:lang w:eastAsia="en-AU"/>
        </w:rPr>
        <w:t>23</w:t>
      </w:r>
      <w:r w:rsidRPr="008666DA">
        <w:rPr>
          <w:rFonts w:eastAsia="Times New Roman" w:cs="Arial"/>
          <w:position w:val="-1"/>
          <w:lang w:eastAsia="en-AU"/>
        </w:rPr>
        <w:t xml:space="preserve"> commitments. Assessments and project summaries were then reviewed by </w:t>
      </w:r>
      <w:r w:rsidR="000A4EBC" w:rsidRPr="008666DA">
        <w:rPr>
          <w:rFonts w:eastAsia="Times New Roman" w:cs="Arial"/>
          <w:position w:val="-1"/>
          <w:lang w:eastAsia="en-AU"/>
        </w:rPr>
        <w:t xml:space="preserve">our </w:t>
      </w:r>
      <w:r w:rsidRPr="008666DA">
        <w:rPr>
          <w:rFonts w:eastAsia="Times New Roman" w:cs="Arial"/>
          <w:position w:val="-1"/>
          <w:lang w:eastAsia="en-AU"/>
        </w:rPr>
        <w:t>Group and General Managers and presented to our Strategic Asset Management Committee (SAMC)</w:t>
      </w:r>
      <w:r w:rsidR="00B26A5D" w:rsidRPr="008666DA">
        <w:rPr>
          <w:rFonts w:eastAsia="Times New Roman" w:cs="Arial"/>
          <w:position w:val="-1"/>
          <w:lang w:eastAsia="en-AU"/>
        </w:rPr>
        <w:t>,</w:t>
      </w:r>
      <w:r w:rsidRPr="008666DA">
        <w:rPr>
          <w:rFonts w:eastAsia="Times New Roman" w:cs="Arial"/>
          <w:position w:val="-1"/>
          <w:lang w:eastAsia="en-AU"/>
        </w:rPr>
        <w:t xml:space="preserve"> to endorse </w:t>
      </w:r>
      <w:r w:rsidR="0075000A">
        <w:rPr>
          <w:rFonts w:eastAsia="Times New Roman" w:cs="Arial"/>
          <w:position w:val="-1"/>
          <w:lang w:eastAsia="en-AU"/>
        </w:rPr>
        <w:t>the</w:t>
      </w:r>
      <w:r w:rsidRPr="008666DA">
        <w:rPr>
          <w:rFonts w:eastAsia="Times New Roman" w:cs="Arial"/>
          <w:position w:val="-1"/>
          <w:lang w:eastAsia="en-AU"/>
        </w:rPr>
        <w:t xml:space="preserve"> final result for each from </w:t>
      </w:r>
      <w:r w:rsidR="00B26A5D" w:rsidRPr="008666DA">
        <w:rPr>
          <w:rFonts w:eastAsia="Times New Roman" w:cs="Arial"/>
          <w:position w:val="-1"/>
          <w:lang w:eastAsia="en-AU"/>
        </w:rPr>
        <w:t>a 3-</w:t>
      </w:r>
      <w:r w:rsidRPr="008666DA">
        <w:rPr>
          <w:rFonts w:eastAsia="Times New Roman" w:cs="Arial"/>
          <w:position w:val="-1"/>
          <w:lang w:eastAsia="en-AU"/>
        </w:rPr>
        <w:t>tiered scoring system</w:t>
      </w:r>
      <w:r w:rsidR="00B26A5D" w:rsidRPr="008666DA">
        <w:rPr>
          <w:rFonts w:eastAsia="Times New Roman" w:cs="Arial"/>
          <w:position w:val="-1"/>
          <w:lang w:eastAsia="en-AU"/>
        </w:rPr>
        <w:t xml:space="preserve">: </w:t>
      </w:r>
    </w:p>
    <w:p w14:paraId="5E311D8B" w14:textId="064AFA79" w:rsidR="00B23CD5" w:rsidRDefault="008666DA" w:rsidP="00160380">
      <w:pPr>
        <w:ind w:left="720"/>
        <w:textAlignment w:val="baseline"/>
        <w:rPr>
          <w:rFonts w:eastAsia="Times New Roman" w:cs="Arial"/>
          <w:lang w:eastAsia="en-AU"/>
        </w:rPr>
      </w:pPr>
      <w:r w:rsidRPr="008666DA">
        <w:rPr>
          <w:rFonts w:eastAsia="Times New Roman" w:cs="Arial"/>
          <w:b/>
          <w:bCs/>
          <w:position w:val="-1"/>
          <w:lang w:eastAsia="en-AU"/>
        </w:rPr>
        <w:t>1 </w:t>
      </w:r>
      <w:r w:rsidR="00F243DC">
        <w:rPr>
          <w:rFonts w:eastAsia="Times New Roman" w:cs="Arial"/>
          <w:position w:val="-1"/>
          <w:lang w:eastAsia="en-AU"/>
        </w:rPr>
        <w:t>–</w:t>
      </w:r>
      <w:r w:rsidRPr="008666DA">
        <w:rPr>
          <w:rFonts w:eastAsia="Times New Roman" w:cs="Arial"/>
          <w:position w:val="-1"/>
          <w:lang w:eastAsia="en-AU"/>
        </w:rPr>
        <w:t xml:space="preserve"> not consistent with the </w:t>
      </w:r>
      <w:r w:rsidR="0083724C">
        <w:rPr>
          <w:rFonts w:eastAsia="Times New Roman" w:cs="Arial"/>
          <w:position w:val="-1"/>
          <w:lang w:eastAsia="en-AU"/>
        </w:rPr>
        <w:t>2018</w:t>
      </w:r>
      <w:r w:rsidR="00F243DC">
        <w:rPr>
          <w:rFonts w:eastAsia="Times New Roman" w:cs="Arial"/>
          <w:position w:val="-1"/>
          <w:lang w:eastAsia="en-AU"/>
        </w:rPr>
        <w:t>–</w:t>
      </w:r>
      <w:r w:rsidR="0083724C">
        <w:rPr>
          <w:rFonts w:eastAsia="Times New Roman" w:cs="Arial"/>
          <w:position w:val="-1"/>
          <w:lang w:eastAsia="en-AU"/>
        </w:rPr>
        <w:t xml:space="preserve">23 </w:t>
      </w:r>
      <w:r w:rsidRPr="008666DA">
        <w:rPr>
          <w:rFonts w:eastAsia="Times New Roman" w:cs="Arial"/>
          <w:position w:val="-1"/>
          <w:lang w:eastAsia="en-AU"/>
        </w:rPr>
        <w:t>commitment</w:t>
      </w:r>
      <w:r w:rsidRPr="008666DA">
        <w:rPr>
          <w:rFonts w:eastAsia="Times New Roman" w:cs="Arial"/>
          <w:lang w:val="en-US" w:eastAsia="en-AU"/>
        </w:rPr>
        <w:t>​</w:t>
      </w:r>
    </w:p>
    <w:p w14:paraId="0A41CFFA" w14:textId="1BB4B3E4" w:rsidR="00B23CD5" w:rsidRDefault="008666DA" w:rsidP="00160380">
      <w:pPr>
        <w:ind w:left="720"/>
        <w:textAlignment w:val="baseline"/>
        <w:rPr>
          <w:rFonts w:eastAsia="Times New Roman" w:cs="Arial"/>
          <w:lang w:eastAsia="en-AU"/>
        </w:rPr>
      </w:pPr>
      <w:r w:rsidRPr="008666DA">
        <w:rPr>
          <w:rFonts w:eastAsia="Times New Roman" w:cs="Arial"/>
          <w:lang w:eastAsia="en-AU"/>
        </w:rPr>
        <w:t>​</w:t>
      </w:r>
      <w:r w:rsidRPr="008666DA">
        <w:rPr>
          <w:rFonts w:eastAsia="Times New Roman" w:cs="Arial"/>
          <w:b/>
          <w:bCs/>
          <w:position w:val="-1"/>
          <w:lang w:eastAsia="en-AU"/>
        </w:rPr>
        <w:t>2 </w:t>
      </w:r>
      <w:r w:rsidR="00F243DC">
        <w:rPr>
          <w:rFonts w:eastAsia="Times New Roman" w:cs="Arial"/>
          <w:position w:val="-1"/>
          <w:lang w:eastAsia="en-AU"/>
        </w:rPr>
        <w:t>–</w:t>
      </w:r>
      <w:r w:rsidRPr="008666DA">
        <w:rPr>
          <w:rFonts w:eastAsia="Times New Roman" w:cs="Arial"/>
          <w:position w:val="-1"/>
          <w:lang w:eastAsia="en-AU"/>
        </w:rPr>
        <w:t xml:space="preserve"> generally consistent with the </w:t>
      </w:r>
      <w:r w:rsidR="00230DD7">
        <w:rPr>
          <w:rFonts w:eastAsia="Times New Roman" w:cs="Arial"/>
          <w:position w:val="-1"/>
          <w:lang w:eastAsia="en-AU"/>
        </w:rPr>
        <w:t xml:space="preserve">2018-23 </w:t>
      </w:r>
      <w:r w:rsidRPr="008666DA">
        <w:rPr>
          <w:rFonts w:eastAsia="Times New Roman" w:cs="Arial"/>
          <w:position w:val="-1"/>
          <w:lang w:eastAsia="en-AU"/>
        </w:rPr>
        <w:t>commitment</w:t>
      </w:r>
      <w:r w:rsidRPr="008666DA">
        <w:rPr>
          <w:rFonts w:eastAsia="Times New Roman" w:cs="Arial"/>
          <w:lang w:eastAsia="en-AU"/>
        </w:rPr>
        <w:t>​</w:t>
      </w:r>
    </w:p>
    <w:p w14:paraId="75F5350B" w14:textId="2600D42C" w:rsidR="008666DA" w:rsidRPr="008666DA" w:rsidRDefault="008666DA" w:rsidP="00160380">
      <w:pPr>
        <w:ind w:left="720"/>
        <w:textAlignment w:val="baseline"/>
        <w:rPr>
          <w:rFonts w:ascii="Segoe UI" w:eastAsia="Times New Roman" w:hAnsi="Segoe UI" w:cs="Segoe UI"/>
          <w:lang w:val="en-US" w:eastAsia="en-AU"/>
        </w:rPr>
      </w:pPr>
      <w:r w:rsidRPr="008666DA">
        <w:rPr>
          <w:rFonts w:eastAsia="Times New Roman" w:cs="Arial"/>
          <w:lang w:eastAsia="en-AU"/>
        </w:rPr>
        <w:t>​</w:t>
      </w:r>
      <w:r w:rsidRPr="008666DA">
        <w:rPr>
          <w:rFonts w:eastAsia="Times New Roman" w:cs="Arial"/>
          <w:b/>
          <w:bCs/>
          <w:position w:val="-1"/>
          <w:lang w:eastAsia="en-AU"/>
        </w:rPr>
        <w:t>3 </w:t>
      </w:r>
      <w:r w:rsidR="00F243DC">
        <w:rPr>
          <w:rFonts w:eastAsia="Times New Roman" w:cs="Arial"/>
          <w:position w:val="-1"/>
          <w:lang w:eastAsia="en-AU"/>
        </w:rPr>
        <w:t>–</w:t>
      </w:r>
      <w:r w:rsidRPr="008666DA">
        <w:rPr>
          <w:rFonts w:eastAsia="Times New Roman" w:cs="Arial"/>
          <w:b/>
          <w:bCs/>
          <w:position w:val="-1"/>
          <w:lang w:eastAsia="en-AU"/>
        </w:rPr>
        <w:t> </w:t>
      </w:r>
      <w:r w:rsidRPr="008666DA">
        <w:rPr>
          <w:rFonts w:eastAsia="Times New Roman" w:cs="Arial"/>
          <w:position w:val="-1"/>
          <w:lang w:eastAsia="en-AU"/>
        </w:rPr>
        <w:t xml:space="preserve">largely consistent with or exceeded the </w:t>
      </w:r>
      <w:r w:rsidR="00230DD7">
        <w:rPr>
          <w:rFonts w:eastAsia="Times New Roman" w:cs="Arial"/>
          <w:position w:val="-1"/>
          <w:lang w:eastAsia="en-AU"/>
        </w:rPr>
        <w:t>2018-23</w:t>
      </w:r>
      <w:r w:rsidRPr="008666DA">
        <w:rPr>
          <w:rFonts w:eastAsia="Times New Roman" w:cs="Arial"/>
          <w:position w:val="-1"/>
          <w:lang w:eastAsia="en-AU"/>
        </w:rPr>
        <w:t xml:space="preserve"> commitment </w:t>
      </w:r>
    </w:p>
    <w:p w14:paraId="49CB0171" w14:textId="77777777" w:rsidR="006F6029" w:rsidRDefault="006F6029" w:rsidP="006B1DB7">
      <w:pPr>
        <w:spacing w:after="0"/>
        <w:textAlignment w:val="baseline"/>
        <w:rPr>
          <w:rFonts w:eastAsia="Times New Roman" w:cs="Arial"/>
          <w:position w:val="-1"/>
          <w:lang w:eastAsia="en-AU"/>
        </w:rPr>
      </w:pPr>
    </w:p>
    <w:p w14:paraId="49C656FE" w14:textId="5589C9FC" w:rsidR="006B1DB7" w:rsidRDefault="006B1DB7" w:rsidP="006B1DB7">
      <w:pPr>
        <w:spacing w:after="0"/>
        <w:textAlignment w:val="baseline"/>
        <w:rPr>
          <w:rFonts w:eastAsia="Times New Roman" w:cs="Arial"/>
          <w:position w:val="-1"/>
          <w:lang w:eastAsia="en-AU"/>
        </w:rPr>
      </w:pPr>
      <w:r>
        <w:rPr>
          <w:rFonts w:eastAsia="Times New Roman" w:cs="Arial"/>
          <w:position w:val="-1"/>
          <w:lang w:eastAsia="en-AU"/>
        </w:rPr>
        <w:t xml:space="preserve">The element is individually rated 3 out of 4: </w:t>
      </w:r>
      <w:r w:rsidRPr="006C3294">
        <w:rPr>
          <w:rFonts w:eastAsia="Times New Roman" w:cs="Arial"/>
          <w:b/>
          <w:bCs/>
          <w:position w:val="-1"/>
          <w:lang w:eastAsia="en-AU"/>
        </w:rPr>
        <w:t>Sat</w:t>
      </w:r>
      <w:r w:rsidR="006C3294" w:rsidRPr="006C3294">
        <w:rPr>
          <w:rFonts w:eastAsia="Times New Roman" w:cs="Arial"/>
          <w:b/>
          <w:bCs/>
          <w:position w:val="-1"/>
          <w:lang w:eastAsia="en-AU"/>
        </w:rPr>
        <w:t>isfied</w:t>
      </w:r>
      <w:r w:rsidRPr="00155498">
        <w:rPr>
          <w:rFonts w:eastAsia="Times New Roman" w:cs="Arial"/>
          <w:b/>
          <w:bCs/>
          <w:position w:val="-1"/>
          <w:lang w:eastAsia="en-AU"/>
        </w:rPr>
        <w:t xml:space="preserve"> the element is </w:t>
      </w:r>
      <w:r w:rsidRPr="00155498">
        <w:rPr>
          <w:rFonts w:eastAsia="Times New Roman" w:cs="Arial"/>
          <w:b/>
          <w:bCs/>
          <w:i/>
          <w:iCs/>
          <w:position w:val="-1"/>
          <w:lang w:eastAsia="en-AU"/>
        </w:rPr>
        <w:t>‘</w:t>
      </w:r>
      <w:r w:rsidR="006C3294" w:rsidRPr="006C3294">
        <w:rPr>
          <w:rFonts w:eastAsia="Times New Roman" w:cs="Arial"/>
          <w:b/>
          <w:bCs/>
          <w:i/>
          <w:iCs/>
          <w:position w:val="-1"/>
          <w:lang w:eastAsia="en-AU"/>
        </w:rPr>
        <w:t>Advanced’</w:t>
      </w:r>
      <w:r w:rsidR="00982FC6">
        <w:rPr>
          <w:rFonts w:eastAsia="Times New Roman" w:cs="Arial"/>
          <w:b/>
          <w:bCs/>
          <w:position w:val="-1"/>
          <w:lang w:eastAsia="en-AU"/>
        </w:rPr>
        <w:t>.</w:t>
      </w:r>
    </w:p>
    <w:p w14:paraId="0555DB2F" w14:textId="77777777" w:rsidR="006B1DB7" w:rsidRPr="00225B64" w:rsidRDefault="006B1DB7" w:rsidP="00225B64">
      <w:pPr>
        <w:pStyle w:val="BodyText"/>
        <w:rPr>
          <w:rStyle w:val="normaltextrun"/>
          <w:rFonts w:cs="Arial"/>
          <w:color w:val="0075E3"/>
          <w:position w:val="-1"/>
          <w:shd w:val="clear" w:color="auto" w:fill="EDEBE9"/>
        </w:rPr>
      </w:pPr>
    </w:p>
    <w:p w14:paraId="5054F1AA" w14:textId="118643B2" w:rsidR="001C7EA1" w:rsidRDefault="00283216" w:rsidP="00A35FEB">
      <w:pPr>
        <w:textAlignment w:val="baseline"/>
      </w:pPr>
      <w:r w:rsidRPr="00CE6C4E">
        <w:rPr>
          <w:b/>
          <w:bCs/>
          <w:i/>
          <w:iCs/>
          <w:sz w:val="22"/>
          <w:szCs w:val="22"/>
        </w:rPr>
        <w:t xml:space="preserve">Table </w:t>
      </w:r>
      <w:r w:rsidR="00905CA7">
        <w:rPr>
          <w:b/>
          <w:bCs/>
          <w:i/>
          <w:iCs/>
          <w:sz w:val="22"/>
          <w:szCs w:val="22"/>
        </w:rPr>
        <w:t>78</w:t>
      </w:r>
      <w:r w:rsidRPr="00CE6C4E">
        <w:rPr>
          <w:b/>
          <w:bCs/>
          <w:i/>
          <w:iCs/>
          <w:sz w:val="22"/>
          <w:szCs w:val="22"/>
        </w:rPr>
        <w:t xml:space="preserve">: </w:t>
      </w:r>
      <w:r>
        <w:rPr>
          <w:b/>
          <w:bCs/>
          <w:i/>
          <w:iCs/>
          <w:sz w:val="22"/>
          <w:szCs w:val="22"/>
        </w:rPr>
        <w:t>Major projects performance</w:t>
      </w:r>
    </w:p>
    <w:tbl>
      <w:tblPr>
        <w:tblW w:w="4250" w:type="pct"/>
        <w:tblBorders>
          <w:top w:val="single" w:sz="4" w:space="0" w:color="002279"/>
          <w:left w:val="single" w:sz="4" w:space="0" w:color="002279"/>
          <w:bottom w:val="single" w:sz="4" w:space="0" w:color="002279"/>
          <w:right w:val="single" w:sz="4" w:space="0" w:color="002279"/>
          <w:insideH w:val="single" w:sz="4" w:space="0" w:color="002279"/>
          <w:insideV w:val="single" w:sz="4" w:space="0" w:color="002279"/>
        </w:tblBorders>
        <w:tblLook w:val="04A0" w:firstRow="1" w:lastRow="0" w:firstColumn="1" w:lastColumn="0" w:noHBand="0" w:noVBand="1"/>
      </w:tblPr>
      <w:tblGrid>
        <w:gridCol w:w="6831"/>
        <w:gridCol w:w="2095"/>
        <w:gridCol w:w="1465"/>
        <w:gridCol w:w="1465"/>
      </w:tblGrid>
      <w:tr w:rsidR="001C7EA1" w:rsidRPr="001C7EA1" w14:paraId="1937D0EC" w14:textId="77777777" w:rsidTr="00243847">
        <w:trPr>
          <w:trHeight w:val="509"/>
        </w:trPr>
        <w:tc>
          <w:tcPr>
            <w:tcW w:w="6831" w:type="dxa"/>
            <w:tcBorders>
              <w:bottom w:val="single" w:sz="4" w:space="0" w:color="002279"/>
              <w:right w:val="single" w:sz="4" w:space="0" w:color="FFFFFF" w:themeColor="background1"/>
            </w:tcBorders>
            <w:shd w:val="clear" w:color="auto" w:fill="002279"/>
            <w:vAlign w:val="center"/>
            <w:hideMark/>
          </w:tcPr>
          <w:p w14:paraId="65C7DFD8" w14:textId="4D783FA2" w:rsidR="001C7EA1" w:rsidRPr="001C7EA1" w:rsidRDefault="001C7EA1" w:rsidP="009C074A">
            <w:pPr>
              <w:spacing w:after="0"/>
              <w:rPr>
                <w:rFonts w:asciiTheme="minorHAnsi" w:eastAsia="Times New Roman" w:hAnsiTheme="minorHAnsi" w:cstheme="minorHAnsi"/>
                <w:b/>
                <w:color w:val="FFFFFF" w:themeColor="background1"/>
                <w:sz w:val="20"/>
                <w:szCs w:val="20"/>
                <w:lang w:eastAsia="en-AU"/>
              </w:rPr>
            </w:pPr>
            <w:r w:rsidRPr="001C7EA1">
              <w:rPr>
                <w:rFonts w:asciiTheme="minorHAnsi" w:eastAsia="Times New Roman" w:hAnsiTheme="minorHAnsi" w:cstheme="minorHAnsi"/>
                <w:b/>
                <w:color w:val="FFFFFF" w:themeColor="background1"/>
                <w:sz w:val="20"/>
                <w:szCs w:val="20"/>
                <w:lang w:eastAsia="en-AU"/>
              </w:rPr>
              <w:t xml:space="preserve">Project </w:t>
            </w:r>
            <w:r w:rsidR="00EF6B1A" w:rsidRPr="00283216">
              <w:rPr>
                <w:rFonts w:asciiTheme="minorHAnsi" w:eastAsia="Times New Roman" w:hAnsiTheme="minorHAnsi" w:cstheme="minorHAnsi"/>
                <w:b/>
                <w:color w:val="FFFFFF" w:themeColor="background1"/>
                <w:sz w:val="20"/>
                <w:szCs w:val="20"/>
                <w:lang w:eastAsia="en-AU"/>
              </w:rPr>
              <w:t>n</w:t>
            </w:r>
            <w:r w:rsidRPr="001C7EA1">
              <w:rPr>
                <w:rFonts w:asciiTheme="minorHAnsi" w:eastAsia="Times New Roman" w:hAnsiTheme="minorHAnsi" w:cstheme="minorHAnsi"/>
                <w:b/>
                <w:color w:val="FFFFFF" w:themeColor="background1"/>
                <w:sz w:val="20"/>
                <w:szCs w:val="20"/>
                <w:lang w:eastAsia="en-AU"/>
              </w:rPr>
              <w:t>ame</w:t>
            </w:r>
          </w:p>
        </w:tc>
        <w:tc>
          <w:tcPr>
            <w:tcW w:w="2095" w:type="dxa"/>
            <w:tcBorders>
              <w:left w:val="single" w:sz="4" w:space="0" w:color="FFFFFF" w:themeColor="background1"/>
              <w:bottom w:val="single" w:sz="4" w:space="0" w:color="002279"/>
              <w:right w:val="single" w:sz="4" w:space="0" w:color="FFFFFF" w:themeColor="background1"/>
            </w:tcBorders>
            <w:shd w:val="clear" w:color="auto" w:fill="002279"/>
            <w:vAlign w:val="center"/>
            <w:hideMark/>
          </w:tcPr>
          <w:p w14:paraId="3FE3608C" w14:textId="66DE77AD" w:rsidR="001C7EA1" w:rsidRPr="001C7EA1" w:rsidRDefault="001C7EA1" w:rsidP="009C074A">
            <w:pPr>
              <w:spacing w:after="0"/>
              <w:rPr>
                <w:rFonts w:asciiTheme="minorHAnsi" w:eastAsia="Times New Roman" w:hAnsiTheme="minorHAnsi" w:cstheme="minorHAnsi"/>
                <w:b/>
                <w:color w:val="FFFFFF" w:themeColor="background1"/>
                <w:sz w:val="20"/>
                <w:szCs w:val="20"/>
                <w:lang w:eastAsia="en-AU"/>
              </w:rPr>
            </w:pPr>
            <w:r w:rsidRPr="001C7EA1">
              <w:rPr>
                <w:rFonts w:asciiTheme="minorHAnsi" w:eastAsia="Times New Roman" w:hAnsiTheme="minorHAnsi" w:cstheme="minorHAnsi"/>
                <w:b/>
                <w:color w:val="FFFFFF" w:themeColor="background1"/>
                <w:sz w:val="20"/>
                <w:szCs w:val="20"/>
                <w:lang w:eastAsia="en-AU"/>
              </w:rPr>
              <w:t xml:space="preserve">Project </w:t>
            </w:r>
            <w:r w:rsidR="00EF6B1A" w:rsidRPr="00283216">
              <w:rPr>
                <w:rFonts w:asciiTheme="minorHAnsi" w:eastAsia="Times New Roman" w:hAnsiTheme="minorHAnsi" w:cstheme="minorHAnsi"/>
                <w:b/>
                <w:color w:val="FFFFFF" w:themeColor="background1"/>
                <w:sz w:val="20"/>
                <w:szCs w:val="20"/>
                <w:lang w:eastAsia="en-AU"/>
              </w:rPr>
              <w:t>s</w:t>
            </w:r>
            <w:r w:rsidRPr="001C7EA1">
              <w:rPr>
                <w:rFonts w:asciiTheme="minorHAnsi" w:eastAsia="Times New Roman" w:hAnsiTheme="minorHAnsi" w:cstheme="minorHAnsi"/>
                <w:b/>
                <w:color w:val="FFFFFF" w:themeColor="background1"/>
                <w:sz w:val="20"/>
                <w:szCs w:val="20"/>
                <w:lang w:eastAsia="en-AU"/>
              </w:rPr>
              <w:t>tatus</w:t>
            </w:r>
          </w:p>
        </w:tc>
        <w:tc>
          <w:tcPr>
            <w:tcW w:w="1465" w:type="dxa"/>
            <w:tcBorders>
              <w:left w:val="single" w:sz="4" w:space="0" w:color="FFFFFF" w:themeColor="background1"/>
              <w:bottom w:val="single" w:sz="4" w:space="0" w:color="002279"/>
              <w:right w:val="single" w:sz="4" w:space="0" w:color="FFFFFF" w:themeColor="background1"/>
            </w:tcBorders>
            <w:shd w:val="clear" w:color="auto" w:fill="002279"/>
            <w:vAlign w:val="center"/>
            <w:hideMark/>
          </w:tcPr>
          <w:p w14:paraId="10FBB719" w14:textId="0A04369D" w:rsidR="001C7EA1" w:rsidRPr="001C7EA1" w:rsidRDefault="001C7EA1" w:rsidP="001C7EA1">
            <w:pPr>
              <w:spacing w:after="0"/>
              <w:jc w:val="center"/>
              <w:rPr>
                <w:rFonts w:asciiTheme="minorHAnsi" w:eastAsia="Times New Roman" w:hAnsiTheme="minorHAnsi" w:cstheme="minorHAnsi"/>
                <w:b/>
                <w:color w:val="FFFFFF" w:themeColor="background1"/>
                <w:sz w:val="20"/>
                <w:szCs w:val="20"/>
                <w:lang w:eastAsia="en-AU"/>
              </w:rPr>
            </w:pPr>
            <w:r w:rsidRPr="001C7EA1">
              <w:rPr>
                <w:rFonts w:asciiTheme="minorHAnsi" w:eastAsia="Times New Roman" w:hAnsiTheme="minorHAnsi" w:cstheme="minorHAnsi"/>
                <w:b/>
                <w:color w:val="FFFFFF" w:themeColor="background1"/>
                <w:sz w:val="20"/>
                <w:szCs w:val="20"/>
                <w:lang w:eastAsia="en-AU"/>
              </w:rPr>
              <w:t xml:space="preserve">GM </w:t>
            </w:r>
            <w:r w:rsidR="00EF6B1A" w:rsidRPr="00283216">
              <w:rPr>
                <w:rFonts w:asciiTheme="minorHAnsi" w:eastAsia="Times New Roman" w:hAnsiTheme="minorHAnsi" w:cstheme="minorHAnsi"/>
                <w:b/>
                <w:color w:val="FFFFFF" w:themeColor="background1"/>
                <w:sz w:val="20"/>
                <w:szCs w:val="20"/>
                <w:lang w:eastAsia="en-AU"/>
              </w:rPr>
              <w:t>s</w:t>
            </w:r>
            <w:r w:rsidRPr="001C7EA1">
              <w:rPr>
                <w:rFonts w:asciiTheme="minorHAnsi" w:eastAsia="Times New Roman" w:hAnsiTheme="minorHAnsi" w:cstheme="minorHAnsi"/>
                <w:b/>
                <w:color w:val="FFFFFF" w:themeColor="background1"/>
                <w:sz w:val="20"/>
                <w:szCs w:val="20"/>
                <w:lang w:eastAsia="en-AU"/>
              </w:rPr>
              <w:t>core</w:t>
            </w:r>
          </w:p>
        </w:tc>
        <w:tc>
          <w:tcPr>
            <w:tcW w:w="1465" w:type="dxa"/>
            <w:tcBorders>
              <w:left w:val="single" w:sz="4" w:space="0" w:color="FFFFFF" w:themeColor="background1"/>
              <w:bottom w:val="single" w:sz="4" w:space="0" w:color="002279"/>
            </w:tcBorders>
            <w:shd w:val="clear" w:color="auto" w:fill="002279"/>
            <w:vAlign w:val="center"/>
            <w:hideMark/>
          </w:tcPr>
          <w:p w14:paraId="23AC0490" w14:textId="1DCF4BB5" w:rsidR="001C7EA1" w:rsidRPr="001C7EA1" w:rsidRDefault="001C7EA1" w:rsidP="001C7EA1">
            <w:pPr>
              <w:spacing w:after="0"/>
              <w:jc w:val="center"/>
              <w:rPr>
                <w:rFonts w:asciiTheme="minorHAnsi" w:eastAsia="Times New Roman" w:hAnsiTheme="minorHAnsi" w:cstheme="minorHAnsi"/>
                <w:b/>
                <w:color w:val="FFFFFF" w:themeColor="background1"/>
                <w:sz w:val="20"/>
                <w:szCs w:val="20"/>
                <w:lang w:eastAsia="en-AU"/>
              </w:rPr>
            </w:pPr>
            <w:r w:rsidRPr="001C7EA1">
              <w:rPr>
                <w:rFonts w:asciiTheme="minorHAnsi" w:eastAsia="Times New Roman" w:hAnsiTheme="minorHAnsi" w:cstheme="minorHAnsi"/>
                <w:b/>
                <w:color w:val="FFFFFF" w:themeColor="background1"/>
                <w:sz w:val="20"/>
                <w:szCs w:val="20"/>
                <w:lang w:eastAsia="en-AU"/>
              </w:rPr>
              <w:t xml:space="preserve">SAMC </w:t>
            </w:r>
            <w:r w:rsidR="00EF6B1A" w:rsidRPr="00283216">
              <w:rPr>
                <w:rFonts w:asciiTheme="minorHAnsi" w:eastAsia="Times New Roman" w:hAnsiTheme="minorHAnsi" w:cstheme="minorHAnsi"/>
                <w:b/>
                <w:color w:val="FFFFFF" w:themeColor="background1"/>
                <w:sz w:val="20"/>
                <w:szCs w:val="20"/>
                <w:lang w:eastAsia="en-AU"/>
              </w:rPr>
              <w:t>s</w:t>
            </w:r>
            <w:r w:rsidRPr="001C7EA1">
              <w:rPr>
                <w:rFonts w:asciiTheme="minorHAnsi" w:eastAsia="Times New Roman" w:hAnsiTheme="minorHAnsi" w:cstheme="minorHAnsi"/>
                <w:b/>
                <w:color w:val="FFFFFF" w:themeColor="background1"/>
                <w:sz w:val="20"/>
                <w:szCs w:val="20"/>
                <w:lang w:eastAsia="en-AU"/>
              </w:rPr>
              <w:t>core</w:t>
            </w:r>
          </w:p>
        </w:tc>
      </w:tr>
      <w:tr w:rsidR="001C7EA1" w:rsidRPr="001C7EA1" w14:paraId="51CEDAA1" w14:textId="77777777" w:rsidTr="009C074A">
        <w:trPr>
          <w:trHeight w:val="369"/>
        </w:trPr>
        <w:tc>
          <w:tcPr>
            <w:tcW w:w="6831" w:type="dxa"/>
            <w:shd w:val="clear" w:color="auto" w:fill="D4D6DF"/>
            <w:vAlign w:val="center"/>
            <w:hideMark/>
          </w:tcPr>
          <w:p w14:paraId="0D56A197" w14:textId="77777777" w:rsidR="001C7EA1" w:rsidRPr="001C7EA1" w:rsidRDefault="001C7EA1" w:rsidP="009C074A">
            <w:pPr>
              <w:spacing w:after="0"/>
              <w:rPr>
                <w:rFonts w:asciiTheme="minorHAnsi" w:eastAsia="Times New Roman" w:hAnsiTheme="minorHAnsi" w:cstheme="minorHAnsi"/>
                <w:sz w:val="20"/>
                <w:szCs w:val="20"/>
                <w:lang w:eastAsia="en-AU"/>
              </w:rPr>
            </w:pPr>
            <w:r w:rsidRPr="001C7EA1">
              <w:rPr>
                <w:rFonts w:asciiTheme="minorHAnsi" w:eastAsia="Times New Roman" w:hAnsiTheme="minorHAnsi" w:cstheme="minorHAnsi"/>
                <w:sz w:val="20"/>
                <w:szCs w:val="20"/>
                <w:lang w:eastAsia="en-AU"/>
              </w:rPr>
              <w:t>Pakenham East sewer servicing</w:t>
            </w:r>
          </w:p>
        </w:tc>
        <w:tc>
          <w:tcPr>
            <w:tcW w:w="2095" w:type="dxa"/>
            <w:shd w:val="clear" w:color="auto" w:fill="D4D6DF"/>
            <w:vAlign w:val="center"/>
            <w:hideMark/>
          </w:tcPr>
          <w:p w14:paraId="4F81C5A4" w14:textId="77777777" w:rsidR="001C7EA1" w:rsidRPr="001C7EA1" w:rsidRDefault="001C7EA1" w:rsidP="009C074A">
            <w:pPr>
              <w:spacing w:after="0"/>
              <w:rPr>
                <w:rFonts w:asciiTheme="minorHAnsi" w:eastAsia="Times New Roman" w:hAnsiTheme="minorHAnsi" w:cstheme="minorHAnsi"/>
                <w:sz w:val="20"/>
                <w:szCs w:val="20"/>
                <w:lang w:eastAsia="en-AU"/>
              </w:rPr>
            </w:pPr>
            <w:r w:rsidRPr="001C7EA1">
              <w:rPr>
                <w:rFonts w:asciiTheme="minorHAnsi" w:eastAsia="Times New Roman" w:hAnsiTheme="minorHAnsi" w:cstheme="minorHAnsi"/>
                <w:sz w:val="20"/>
                <w:szCs w:val="20"/>
                <w:lang w:eastAsia="en-AU"/>
              </w:rPr>
              <w:t>Delayed</w:t>
            </w:r>
          </w:p>
        </w:tc>
        <w:tc>
          <w:tcPr>
            <w:tcW w:w="1465" w:type="dxa"/>
            <w:shd w:val="clear" w:color="auto" w:fill="D4D6DF"/>
            <w:vAlign w:val="center"/>
            <w:hideMark/>
          </w:tcPr>
          <w:p w14:paraId="40880FBA" w14:textId="77777777" w:rsidR="001C7EA1" w:rsidRPr="001C7EA1" w:rsidRDefault="001C7EA1" w:rsidP="001C7EA1">
            <w:pPr>
              <w:spacing w:after="0"/>
              <w:jc w:val="center"/>
              <w:rPr>
                <w:rFonts w:asciiTheme="minorHAnsi" w:eastAsia="Times New Roman" w:hAnsiTheme="minorHAnsi" w:cstheme="minorHAnsi"/>
                <w:color w:val="000000"/>
                <w:sz w:val="20"/>
                <w:szCs w:val="20"/>
                <w:lang w:eastAsia="en-AU"/>
              </w:rPr>
            </w:pPr>
            <w:r w:rsidRPr="001C7EA1">
              <w:rPr>
                <w:rFonts w:asciiTheme="minorHAnsi" w:eastAsia="Times New Roman" w:hAnsiTheme="minorHAnsi" w:cstheme="minorHAnsi"/>
                <w:color w:val="000000"/>
                <w:sz w:val="20"/>
                <w:szCs w:val="20"/>
                <w:lang w:eastAsia="en-AU"/>
              </w:rPr>
              <w:t>2</w:t>
            </w:r>
          </w:p>
        </w:tc>
        <w:tc>
          <w:tcPr>
            <w:tcW w:w="1465" w:type="dxa"/>
            <w:shd w:val="clear" w:color="auto" w:fill="D4D6DF"/>
            <w:vAlign w:val="center"/>
            <w:hideMark/>
          </w:tcPr>
          <w:p w14:paraId="3ED022AB" w14:textId="77777777" w:rsidR="001C7EA1" w:rsidRPr="001C7EA1" w:rsidRDefault="001C7EA1" w:rsidP="001C7EA1">
            <w:pPr>
              <w:spacing w:after="0"/>
              <w:jc w:val="center"/>
              <w:rPr>
                <w:rFonts w:asciiTheme="minorHAnsi" w:eastAsia="Times New Roman" w:hAnsiTheme="minorHAnsi" w:cstheme="minorHAnsi"/>
                <w:sz w:val="20"/>
                <w:szCs w:val="20"/>
                <w:lang w:eastAsia="en-AU"/>
              </w:rPr>
            </w:pPr>
            <w:r w:rsidRPr="001C7EA1">
              <w:rPr>
                <w:rFonts w:asciiTheme="minorHAnsi" w:eastAsia="Times New Roman" w:hAnsiTheme="minorHAnsi" w:cstheme="minorHAnsi"/>
                <w:sz w:val="20"/>
                <w:szCs w:val="20"/>
                <w:lang w:eastAsia="en-AU"/>
              </w:rPr>
              <w:t>2</w:t>
            </w:r>
          </w:p>
        </w:tc>
      </w:tr>
      <w:tr w:rsidR="001C7EA1" w:rsidRPr="001C7EA1" w14:paraId="30401A6C" w14:textId="77777777" w:rsidTr="009C074A">
        <w:trPr>
          <w:trHeight w:val="369"/>
        </w:trPr>
        <w:tc>
          <w:tcPr>
            <w:tcW w:w="6831" w:type="dxa"/>
            <w:tcBorders>
              <w:bottom w:val="single" w:sz="4" w:space="0" w:color="002279"/>
            </w:tcBorders>
            <w:shd w:val="clear" w:color="auto" w:fill="auto"/>
            <w:vAlign w:val="center"/>
            <w:hideMark/>
          </w:tcPr>
          <w:p w14:paraId="07A62A88" w14:textId="77777777" w:rsidR="001C7EA1" w:rsidRPr="001C7EA1" w:rsidRDefault="001C7EA1" w:rsidP="009C074A">
            <w:pPr>
              <w:spacing w:after="0"/>
              <w:rPr>
                <w:rFonts w:asciiTheme="minorHAnsi" w:eastAsia="Times New Roman" w:hAnsiTheme="minorHAnsi" w:cstheme="minorHAnsi"/>
                <w:sz w:val="20"/>
                <w:szCs w:val="20"/>
                <w:lang w:eastAsia="en-AU"/>
              </w:rPr>
            </w:pPr>
            <w:r w:rsidRPr="001C7EA1">
              <w:rPr>
                <w:rFonts w:asciiTheme="minorHAnsi" w:eastAsia="Times New Roman" w:hAnsiTheme="minorHAnsi" w:cstheme="minorHAnsi"/>
                <w:sz w:val="20"/>
                <w:szCs w:val="20"/>
                <w:lang w:eastAsia="en-AU"/>
              </w:rPr>
              <w:t>Ballarto Road East sewer pump station</w:t>
            </w:r>
          </w:p>
        </w:tc>
        <w:tc>
          <w:tcPr>
            <w:tcW w:w="2095" w:type="dxa"/>
            <w:tcBorders>
              <w:bottom w:val="single" w:sz="4" w:space="0" w:color="002279"/>
            </w:tcBorders>
            <w:shd w:val="clear" w:color="auto" w:fill="auto"/>
            <w:vAlign w:val="center"/>
            <w:hideMark/>
          </w:tcPr>
          <w:p w14:paraId="0CBA674B" w14:textId="5EA3FA96" w:rsidR="001C7EA1" w:rsidRPr="001C7EA1" w:rsidRDefault="001C7EA1" w:rsidP="009C074A">
            <w:pPr>
              <w:spacing w:after="0"/>
              <w:rPr>
                <w:rFonts w:asciiTheme="minorHAnsi" w:eastAsia="Times New Roman" w:hAnsiTheme="minorHAnsi" w:cstheme="minorHAnsi"/>
                <w:sz w:val="20"/>
                <w:szCs w:val="20"/>
                <w:lang w:eastAsia="en-AU"/>
              </w:rPr>
            </w:pPr>
            <w:r w:rsidRPr="001C7EA1">
              <w:rPr>
                <w:rFonts w:asciiTheme="minorHAnsi" w:eastAsia="Times New Roman" w:hAnsiTheme="minorHAnsi" w:cstheme="minorHAnsi"/>
                <w:sz w:val="20"/>
                <w:szCs w:val="20"/>
                <w:lang w:eastAsia="en-AU"/>
              </w:rPr>
              <w:t xml:space="preserve">Completed </w:t>
            </w:r>
            <w:r w:rsidR="00EF6B1A" w:rsidRPr="00283216">
              <w:rPr>
                <w:rFonts w:asciiTheme="minorHAnsi" w:eastAsia="Times New Roman" w:hAnsiTheme="minorHAnsi" w:cstheme="minorHAnsi"/>
                <w:sz w:val="20"/>
                <w:szCs w:val="20"/>
                <w:lang w:eastAsia="en-AU"/>
              </w:rPr>
              <w:t>l</w:t>
            </w:r>
            <w:r w:rsidRPr="001C7EA1">
              <w:rPr>
                <w:rFonts w:asciiTheme="minorHAnsi" w:eastAsia="Times New Roman" w:hAnsiTheme="minorHAnsi" w:cstheme="minorHAnsi"/>
                <w:sz w:val="20"/>
                <w:szCs w:val="20"/>
                <w:lang w:eastAsia="en-AU"/>
              </w:rPr>
              <w:t>ate</w:t>
            </w:r>
          </w:p>
        </w:tc>
        <w:tc>
          <w:tcPr>
            <w:tcW w:w="1465" w:type="dxa"/>
            <w:tcBorders>
              <w:bottom w:val="single" w:sz="4" w:space="0" w:color="002279"/>
            </w:tcBorders>
            <w:shd w:val="clear" w:color="auto" w:fill="auto"/>
            <w:vAlign w:val="center"/>
            <w:hideMark/>
          </w:tcPr>
          <w:p w14:paraId="66197173" w14:textId="77777777" w:rsidR="001C7EA1" w:rsidRPr="001C7EA1" w:rsidRDefault="001C7EA1" w:rsidP="001C7EA1">
            <w:pPr>
              <w:spacing w:after="0"/>
              <w:jc w:val="center"/>
              <w:rPr>
                <w:rFonts w:asciiTheme="minorHAnsi" w:eastAsia="Times New Roman" w:hAnsiTheme="minorHAnsi" w:cstheme="minorHAnsi"/>
                <w:color w:val="000000"/>
                <w:sz w:val="20"/>
                <w:szCs w:val="20"/>
                <w:lang w:eastAsia="en-AU"/>
              </w:rPr>
            </w:pPr>
            <w:r w:rsidRPr="001C7EA1">
              <w:rPr>
                <w:rFonts w:asciiTheme="minorHAnsi" w:eastAsia="Times New Roman" w:hAnsiTheme="minorHAnsi" w:cstheme="minorHAnsi"/>
                <w:color w:val="000000"/>
                <w:sz w:val="20"/>
                <w:szCs w:val="20"/>
                <w:lang w:eastAsia="en-AU"/>
              </w:rPr>
              <w:t>3</w:t>
            </w:r>
          </w:p>
        </w:tc>
        <w:tc>
          <w:tcPr>
            <w:tcW w:w="1465" w:type="dxa"/>
            <w:tcBorders>
              <w:bottom w:val="single" w:sz="4" w:space="0" w:color="002279"/>
            </w:tcBorders>
            <w:shd w:val="clear" w:color="auto" w:fill="auto"/>
            <w:vAlign w:val="center"/>
            <w:hideMark/>
          </w:tcPr>
          <w:p w14:paraId="7922345F" w14:textId="77777777" w:rsidR="001C7EA1" w:rsidRPr="001C7EA1" w:rsidRDefault="001C7EA1" w:rsidP="001C7EA1">
            <w:pPr>
              <w:spacing w:after="0"/>
              <w:jc w:val="center"/>
              <w:rPr>
                <w:rFonts w:asciiTheme="minorHAnsi" w:eastAsia="Times New Roman" w:hAnsiTheme="minorHAnsi" w:cstheme="minorHAnsi"/>
                <w:sz w:val="20"/>
                <w:szCs w:val="20"/>
                <w:lang w:eastAsia="en-AU"/>
              </w:rPr>
            </w:pPr>
            <w:r w:rsidRPr="001C7EA1">
              <w:rPr>
                <w:rFonts w:asciiTheme="minorHAnsi" w:eastAsia="Times New Roman" w:hAnsiTheme="minorHAnsi" w:cstheme="minorHAnsi"/>
                <w:sz w:val="20"/>
                <w:szCs w:val="20"/>
                <w:lang w:eastAsia="en-AU"/>
              </w:rPr>
              <w:t>3</w:t>
            </w:r>
          </w:p>
        </w:tc>
      </w:tr>
      <w:tr w:rsidR="001C7EA1" w:rsidRPr="001C7EA1" w14:paraId="193585A7" w14:textId="77777777" w:rsidTr="009C074A">
        <w:trPr>
          <w:trHeight w:val="369"/>
        </w:trPr>
        <w:tc>
          <w:tcPr>
            <w:tcW w:w="6831" w:type="dxa"/>
            <w:shd w:val="clear" w:color="auto" w:fill="D4D6DF"/>
            <w:vAlign w:val="center"/>
            <w:hideMark/>
          </w:tcPr>
          <w:p w14:paraId="26426918" w14:textId="77777777" w:rsidR="001C7EA1" w:rsidRPr="001C7EA1" w:rsidRDefault="001C7EA1" w:rsidP="009C074A">
            <w:pPr>
              <w:spacing w:after="0"/>
              <w:rPr>
                <w:rFonts w:asciiTheme="minorHAnsi" w:eastAsia="Times New Roman" w:hAnsiTheme="minorHAnsi" w:cstheme="minorHAnsi"/>
                <w:sz w:val="20"/>
                <w:szCs w:val="20"/>
                <w:lang w:eastAsia="en-AU"/>
              </w:rPr>
            </w:pPr>
            <w:r w:rsidRPr="001C7EA1">
              <w:rPr>
                <w:rFonts w:asciiTheme="minorHAnsi" w:eastAsia="Times New Roman" w:hAnsiTheme="minorHAnsi" w:cstheme="minorHAnsi"/>
                <w:sz w:val="20"/>
                <w:szCs w:val="20"/>
                <w:lang w:eastAsia="en-AU"/>
              </w:rPr>
              <w:t>Digital capability pilot</w:t>
            </w:r>
          </w:p>
        </w:tc>
        <w:tc>
          <w:tcPr>
            <w:tcW w:w="2095" w:type="dxa"/>
            <w:shd w:val="clear" w:color="auto" w:fill="D4D6DF"/>
            <w:vAlign w:val="center"/>
            <w:hideMark/>
          </w:tcPr>
          <w:p w14:paraId="5CC6789C" w14:textId="6A9FE277" w:rsidR="001C7EA1" w:rsidRPr="001C7EA1" w:rsidRDefault="001C7EA1" w:rsidP="009C074A">
            <w:pPr>
              <w:spacing w:after="0"/>
              <w:rPr>
                <w:rFonts w:asciiTheme="minorHAnsi" w:eastAsia="Times New Roman" w:hAnsiTheme="minorHAnsi" w:cstheme="minorHAnsi"/>
                <w:sz w:val="20"/>
                <w:szCs w:val="20"/>
                <w:lang w:eastAsia="en-AU"/>
              </w:rPr>
            </w:pPr>
            <w:r w:rsidRPr="001C7EA1">
              <w:rPr>
                <w:rFonts w:asciiTheme="minorHAnsi" w:eastAsia="Times New Roman" w:hAnsiTheme="minorHAnsi" w:cstheme="minorHAnsi"/>
                <w:sz w:val="20"/>
                <w:szCs w:val="20"/>
                <w:lang w:eastAsia="en-AU"/>
              </w:rPr>
              <w:t xml:space="preserve">Completed </w:t>
            </w:r>
            <w:r w:rsidR="00EF6B1A" w:rsidRPr="00283216">
              <w:rPr>
                <w:rFonts w:asciiTheme="minorHAnsi" w:eastAsia="Times New Roman" w:hAnsiTheme="minorHAnsi" w:cstheme="minorHAnsi"/>
                <w:sz w:val="20"/>
                <w:szCs w:val="20"/>
                <w:lang w:eastAsia="en-AU"/>
              </w:rPr>
              <w:t>o</w:t>
            </w:r>
            <w:r w:rsidRPr="001C7EA1">
              <w:rPr>
                <w:rFonts w:asciiTheme="minorHAnsi" w:eastAsia="Times New Roman" w:hAnsiTheme="minorHAnsi" w:cstheme="minorHAnsi"/>
                <w:sz w:val="20"/>
                <w:szCs w:val="20"/>
                <w:lang w:eastAsia="en-AU"/>
              </w:rPr>
              <w:t xml:space="preserve">n </w:t>
            </w:r>
            <w:r w:rsidR="00EF6B1A" w:rsidRPr="00283216">
              <w:rPr>
                <w:rFonts w:asciiTheme="minorHAnsi" w:eastAsia="Times New Roman" w:hAnsiTheme="minorHAnsi" w:cstheme="minorHAnsi"/>
                <w:sz w:val="20"/>
                <w:szCs w:val="20"/>
                <w:lang w:eastAsia="en-AU"/>
              </w:rPr>
              <w:t>t</w:t>
            </w:r>
            <w:r w:rsidRPr="001C7EA1">
              <w:rPr>
                <w:rFonts w:asciiTheme="minorHAnsi" w:eastAsia="Times New Roman" w:hAnsiTheme="minorHAnsi" w:cstheme="minorHAnsi"/>
                <w:sz w:val="20"/>
                <w:szCs w:val="20"/>
                <w:lang w:eastAsia="en-AU"/>
              </w:rPr>
              <w:t>ime</w:t>
            </w:r>
          </w:p>
        </w:tc>
        <w:tc>
          <w:tcPr>
            <w:tcW w:w="1465" w:type="dxa"/>
            <w:shd w:val="clear" w:color="auto" w:fill="D4D6DF"/>
            <w:vAlign w:val="center"/>
            <w:hideMark/>
          </w:tcPr>
          <w:p w14:paraId="450DF008" w14:textId="77777777" w:rsidR="001C7EA1" w:rsidRPr="001C7EA1" w:rsidRDefault="001C7EA1" w:rsidP="001C7EA1">
            <w:pPr>
              <w:spacing w:after="0"/>
              <w:jc w:val="center"/>
              <w:rPr>
                <w:rFonts w:asciiTheme="minorHAnsi" w:eastAsia="Times New Roman" w:hAnsiTheme="minorHAnsi" w:cstheme="minorHAnsi"/>
                <w:color w:val="000000"/>
                <w:sz w:val="20"/>
                <w:szCs w:val="20"/>
                <w:lang w:eastAsia="en-AU"/>
              </w:rPr>
            </w:pPr>
            <w:r w:rsidRPr="001C7EA1">
              <w:rPr>
                <w:rFonts w:asciiTheme="minorHAnsi" w:eastAsia="Times New Roman" w:hAnsiTheme="minorHAnsi" w:cstheme="minorHAnsi"/>
                <w:color w:val="000000"/>
                <w:sz w:val="20"/>
                <w:szCs w:val="20"/>
                <w:lang w:eastAsia="en-AU"/>
              </w:rPr>
              <w:t>2</w:t>
            </w:r>
          </w:p>
        </w:tc>
        <w:tc>
          <w:tcPr>
            <w:tcW w:w="1465" w:type="dxa"/>
            <w:shd w:val="clear" w:color="auto" w:fill="D4D6DF"/>
            <w:vAlign w:val="center"/>
            <w:hideMark/>
          </w:tcPr>
          <w:p w14:paraId="42BE4A4F" w14:textId="77777777" w:rsidR="001C7EA1" w:rsidRPr="001C7EA1" w:rsidRDefault="001C7EA1" w:rsidP="001C7EA1">
            <w:pPr>
              <w:spacing w:after="0"/>
              <w:jc w:val="center"/>
              <w:rPr>
                <w:rFonts w:asciiTheme="minorHAnsi" w:eastAsia="Times New Roman" w:hAnsiTheme="minorHAnsi" w:cstheme="minorHAnsi"/>
                <w:sz w:val="20"/>
                <w:szCs w:val="20"/>
                <w:lang w:eastAsia="en-AU"/>
              </w:rPr>
            </w:pPr>
            <w:r w:rsidRPr="001C7EA1">
              <w:rPr>
                <w:rFonts w:asciiTheme="minorHAnsi" w:eastAsia="Times New Roman" w:hAnsiTheme="minorHAnsi" w:cstheme="minorHAnsi"/>
                <w:sz w:val="20"/>
                <w:szCs w:val="20"/>
                <w:lang w:eastAsia="en-AU"/>
              </w:rPr>
              <w:t>2</w:t>
            </w:r>
          </w:p>
        </w:tc>
      </w:tr>
      <w:tr w:rsidR="001C7EA1" w:rsidRPr="001C7EA1" w14:paraId="0AA902DC" w14:textId="77777777" w:rsidTr="009C074A">
        <w:trPr>
          <w:trHeight w:val="369"/>
        </w:trPr>
        <w:tc>
          <w:tcPr>
            <w:tcW w:w="6831" w:type="dxa"/>
            <w:tcBorders>
              <w:bottom w:val="single" w:sz="4" w:space="0" w:color="002279"/>
            </w:tcBorders>
            <w:shd w:val="clear" w:color="auto" w:fill="auto"/>
            <w:vAlign w:val="center"/>
            <w:hideMark/>
          </w:tcPr>
          <w:p w14:paraId="3555200D" w14:textId="5FAA0679" w:rsidR="001C7EA1" w:rsidRPr="00E14DE5" w:rsidRDefault="001C7EA1" w:rsidP="009C074A">
            <w:pPr>
              <w:spacing w:after="0"/>
              <w:rPr>
                <w:rFonts w:asciiTheme="minorHAnsi" w:eastAsia="Times New Roman" w:hAnsiTheme="minorHAnsi" w:cstheme="minorHAnsi"/>
                <w:sz w:val="20"/>
                <w:szCs w:val="20"/>
                <w:lang w:eastAsia="en-AU"/>
              </w:rPr>
            </w:pPr>
            <w:r w:rsidRPr="00E14DE5">
              <w:rPr>
                <w:rFonts w:asciiTheme="minorHAnsi" w:eastAsia="Times New Roman" w:hAnsiTheme="minorHAnsi" w:cstheme="minorHAnsi"/>
                <w:sz w:val="20"/>
                <w:szCs w:val="20"/>
                <w:lang w:eastAsia="en-AU"/>
              </w:rPr>
              <w:t xml:space="preserve">Boneo </w:t>
            </w:r>
            <w:r w:rsidR="00E14DE5" w:rsidRPr="00E14DE5">
              <w:rPr>
                <w:rFonts w:cs="Arial"/>
                <w:sz w:val="20"/>
                <w:szCs w:val="20"/>
              </w:rPr>
              <w:t xml:space="preserve">Water Recycling Plant </w:t>
            </w:r>
            <w:r w:rsidRPr="00E14DE5">
              <w:rPr>
                <w:rFonts w:asciiTheme="minorHAnsi" w:eastAsia="Times New Roman" w:hAnsiTheme="minorHAnsi" w:cstheme="minorHAnsi"/>
                <w:sz w:val="20"/>
                <w:szCs w:val="20"/>
                <w:lang w:eastAsia="en-AU"/>
              </w:rPr>
              <w:t>upgrade</w:t>
            </w:r>
          </w:p>
        </w:tc>
        <w:tc>
          <w:tcPr>
            <w:tcW w:w="2095" w:type="dxa"/>
            <w:tcBorders>
              <w:bottom w:val="single" w:sz="4" w:space="0" w:color="002279"/>
            </w:tcBorders>
            <w:shd w:val="clear" w:color="auto" w:fill="auto"/>
            <w:vAlign w:val="center"/>
            <w:hideMark/>
          </w:tcPr>
          <w:p w14:paraId="1DBB5809" w14:textId="3D49CDA7" w:rsidR="001C7EA1" w:rsidRPr="001C7EA1" w:rsidRDefault="001C7EA1" w:rsidP="009C074A">
            <w:pPr>
              <w:spacing w:after="0"/>
              <w:rPr>
                <w:rFonts w:asciiTheme="minorHAnsi" w:eastAsia="Times New Roman" w:hAnsiTheme="minorHAnsi" w:cstheme="minorHAnsi"/>
                <w:sz w:val="20"/>
                <w:szCs w:val="20"/>
                <w:lang w:eastAsia="en-AU"/>
              </w:rPr>
            </w:pPr>
            <w:r w:rsidRPr="001C7EA1">
              <w:rPr>
                <w:rFonts w:asciiTheme="minorHAnsi" w:eastAsia="Times New Roman" w:hAnsiTheme="minorHAnsi" w:cstheme="minorHAnsi"/>
                <w:sz w:val="20"/>
                <w:szCs w:val="20"/>
                <w:lang w:eastAsia="en-AU"/>
              </w:rPr>
              <w:t xml:space="preserve">Completed </w:t>
            </w:r>
            <w:r w:rsidR="00E124BC" w:rsidRPr="00283216">
              <w:rPr>
                <w:rFonts w:asciiTheme="minorHAnsi" w:eastAsia="Times New Roman" w:hAnsiTheme="minorHAnsi" w:cstheme="minorHAnsi"/>
                <w:sz w:val="20"/>
                <w:szCs w:val="20"/>
                <w:lang w:eastAsia="en-AU"/>
              </w:rPr>
              <w:t>l</w:t>
            </w:r>
            <w:r w:rsidRPr="001C7EA1">
              <w:rPr>
                <w:rFonts w:asciiTheme="minorHAnsi" w:eastAsia="Times New Roman" w:hAnsiTheme="minorHAnsi" w:cstheme="minorHAnsi"/>
                <w:sz w:val="20"/>
                <w:szCs w:val="20"/>
                <w:lang w:eastAsia="en-AU"/>
              </w:rPr>
              <w:t>ate</w:t>
            </w:r>
          </w:p>
        </w:tc>
        <w:tc>
          <w:tcPr>
            <w:tcW w:w="1465" w:type="dxa"/>
            <w:tcBorders>
              <w:bottom w:val="single" w:sz="4" w:space="0" w:color="002279"/>
            </w:tcBorders>
            <w:shd w:val="clear" w:color="auto" w:fill="auto"/>
            <w:vAlign w:val="center"/>
            <w:hideMark/>
          </w:tcPr>
          <w:p w14:paraId="372D056C" w14:textId="77777777" w:rsidR="001C7EA1" w:rsidRPr="001C7EA1" w:rsidRDefault="001C7EA1" w:rsidP="001C7EA1">
            <w:pPr>
              <w:spacing w:after="0"/>
              <w:jc w:val="center"/>
              <w:rPr>
                <w:rFonts w:asciiTheme="minorHAnsi" w:eastAsia="Times New Roman" w:hAnsiTheme="minorHAnsi" w:cstheme="minorHAnsi"/>
                <w:color w:val="000000"/>
                <w:sz w:val="20"/>
                <w:szCs w:val="20"/>
                <w:lang w:eastAsia="en-AU"/>
              </w:rPr>
            </w:pPr>
            <w:r w:rsidRPr="001C7EA1">
              <w:rPr>
                <w:rFonts w:asciiTheme="minorHAnsi" w:eastAsia="Times New Roman" w:hAnsiTheme="minorHAnsi" w:cstheme="minorHAnsi"/>
                <w:color w:val="000000"/>
                <w:sz w:val="20"/>
                <w:szCs w:val="20"/>
                <w:lang w:eastAsia="en-AU"/>
              </w:rPr>
              <w:t>2</w:t>
            </w:r>
          </w:p>
        </w:tc>
        <w:tc>
          <w:tcPr>
            <w:tcW w:w="1465" w:type="dxa"/>
            <w:tcBorders>
              <w:bottom w:val="single" w:sz="4" w:space="0" w:color="002279"/>
            </w:tcBorders>
            <w:shd w:val="clear" w:color="auto" w:fill="auto"/>
            <w:vAlign w:val="center"/>
            <w:hideMark/>
          </w:tcPr>
          <w:p w14:paraId="5535C3E5" w14:textId="77777777" w:rsidR="001C7EA1" w:rsidRPr="001C7EA1" w:rsidRDefault="001C7EA1" w:rsidP="001C7EA1">
            <w:pPr>
              <w:spacing w:after="0"/>
              <w:jc w:val="center"/>
              <w:rPr>
                <w:rFonts w:asciiTheme="minorHAnsi" w:eastAsia="Times New Roman" w:hAnsiTheme="minorHAnsi" w:cstheme="minorHAnsi"/>
                <w:sz w:val="20"/>
                <w:szCs w:val="20"/>
                <w:lang w:eastAsia="en-AU"/>
              </w:rPr>
            </w:pPr>
            <w:r w:rsidRPr="001C7EA1">
              <w:rPr>
                <w:rFonts w:asciiTheme="minorHAnsi" w:eastAsia="Times New Roman" w:hAnsiTheme="minorHAnsi" w:cstheme="minorHAnsi"/>
                <w:sz w:val="20"/>
                <w:szCs w:val="20"/>
                <w:lang w:eastAsia="en-AU"/>
              </w:rPr>
              <w:t>2</w:t>
            </w:r>
          </w:p>
        </w:tc>
      </w:tr>
      <w:tr w:rsidR="001C7EA1" w:rsidRPr="001C7EA1" w14:paraId="5F259661" w14:textId="77777777" w:rsidTr="009C074A">
        <w:trPr>
          <w:trHeight w:val="369"/>
        </w:trPr>
        <w:tc>
          <w:tcPr>
            <w:tcW w:w="6831" w:type="dxa"/>
            <w:shd w:val="clear" w:color="auto" w:fill="D4D6DF"/>
            <w:vAlign w:val="center"/>
            <w:hideMark/>
          </w:tcPr>
          <w:p w14:paraId="10DF5D29" w14:textId="77777777" w:rsidR="001C7EA1" w:rsidRPr="001C7EA1" w:rsidRDefault="001C7EA1" w:rsidP="009C074A">
            <w:pPr>
              <w:spacing w:after="0"/>
              <w:rPr>
                <w:rFonts w:asciiTheme="minorHAnsi" w:eastAsia="Times New Roman" w:hAnsiTheme="minorHAnsi" w:cstheme="minorHAnsi"/>
                <w:sz w:val="20"/>
                <w:szCs w:val="20"/>
                <w:lang w:eastAsia="en-AU"/>
              </w:rPr>
            </w:pPr>
            <w:r w:rsidRPr="001C7EA1">
              <w:rPr>
                <w:rFonts w:asciiTheme="minorHAnsi" w:eastAsia="Times New Roman" w:hAnsiTheme="minorHAnsi" w:cstheme="minorHAnsi"/>
                <w:sz w:val="20"/>
                <w:szCs w:val="20"/>
                <w:lang w:eastAsia="en-AU"/>
              </w:rPr>
              <w:t>Land purchase 1 (Fishermans Bend)</w:t>
            </w:r>
          </w:p>
        </w:tc>
        <w:tc>
          <w:tcPr>
            <w:tcW w:w="2095" w:type="dxa"/>
            <w:shd w:val="clear" w:color="auto" w:fill="D4D6DF"/>
            <w:vAlign w:val="center"/>
            <w:hideMark/>
          </w:tcPr>
          <w:p w14:paraId="640599F3" w14:textId="77777777" w:rsidR="001C7EA1" w:rsidRPr="001C7EA1" w:rsidRDefault="001C7EA1" w:rsidP="009C074A">
            <w:pPr>
              <w:spacing w:after="0"/>
              <w:rPr>
                <w:rFonts w:asciiTheme="minorHAnsi" w:eastAsia="Times New Roman" w:hAnsiTheme="minorHAnsi" w:cstheme="minorHAnsi"/>
                <w:sz w:val="20"/>
                <w:szCs w:val="20"/>
                <w:lang w:eastAsia="en-AU"/>
              </w:rPr>
            </w:pPr>
            <w:r w:rsidRPr="001C7EA1">
              <w:rPr>
                <w:rFonts w:asciiTheme="minorHAnsi" w:eastAsia="Times New Roman" w:hAnsiTheme="minorHAnsi" w:cstheme="minorHAnsi"/>
                <w:sz w:val="20"/>
                <w:szCs w:val="20"/>
                <w:lang w:eastAsia="en-AU"/>
              </w:rPr>
              <w:t>Delayed</w:t>
            </w:r>
          </w:p>
        </w:tc>
        <w:tc>
          <w:tcPr>
            <w:tcW w:w="1465" w:type="dxa"/>
            <w:shd w:val="clear" w:color="auto" w:fill="D4D6DF"/>
            <w:vAlign w:val="center"/>
            <w:hideMark/>
          </w:tcPr>
          <w:p w14:paraId="45EFF7FD" w14:textId="77777777" w:rsidR="001C7EA1" w:rsidRPr="001C7EA1" w:rsidRDefault="001C7EA1" w:rsidP="001C7EA1">
            <w:pPr>
              <w:spacing w:after="0"/>
              <w:jc w:val="center"/>
              <w:rPr>
                <w:rFonts w:asciiTheme="minorHAnsi" w:eastAsia="Times New Roman" w:hAnsiTheme="minorHAnsi" w:cstheme="minorHAnsi"/>
                <w:color w:val="000000"/>
                <w:sz w:val="20"/>
                <w:szCs w:val="20"/>
                <w:lang w:eastAsia="en-AU"/>
              </w:rPr>
            </w:pPr>
            <w:r w:rsidRPr="001C7EA1">
              <w:rPr>
                <w:rFonts w:asciiTheme="minorHAnsi" w:eastAsia="Times New Roman" w:hAnsiTheme="minorHAnsi" w:cstheme="minorHAnsi"/>
                <w:color w:val="000000"/>
                <w:sz w:val="20"/>
                <w:szCs w:val="20"/>
                <w:lang w:eastAsia="en-AU"/>
              </w:rPr>
              <w:t>2</w:t>
            </w:r>
          </w:p>
        </w:tc>
        <w:tc>
          <w:tcPr>
            <w:tcW w:w="1465" w:type="dxa"/>
            <w:shd w:val="clear" w:color="auto" w:fill="D4D6DF"/>
            <w:vAlign w:val="center"/>
            <w:hideMark/>
          </w:tcPr>
          <w:p w14:paraId="2209704A" w14:textId="77777777" w:rsidR="001C7EA1" w:rsidRPr="001C7EA1" w:rsidRDefault="001C7EA1" w:rsidP="001C7EA1">
            <w:pPr>
              <w:spacing w:after="0"/>
              <w:jc w:val="center"/>
              <w:rPr>
                <w:rFonts w:asciiTheme="minorHAnsi" w:eastAsia="Times New Roman" w:hAnsiTheme="minorHAnsi" w:cstheme="minorHAnsi"/>
                <w:sz w:val="20"/>
                <w:szCs w:val="20"/>
                <w:lang w:eastAsia="en-AU"/>
              </w:rPr>
            </w:pPr>
            <w:r w:rsidRPr="001C7EA1">
              <w:rPr>
                <w:rFonts w:asciiTheme="minorHAnsi" w:eastAsia="Times New Roman" w:hAnsiTheme="minorHAnsi" w:cstheme="minorHAnsi"/>
                <w:sz w:val="20"/>
                <w:szCs w:val="20"/>
                <w:lang w:eastAsia="en-AU"/>
              </w:rPr>
              <w:t>2</w:t>
            </w:r>
          </w:p>
        </w:tc>
      </w:tr>
      <w:tr w:rsidR="001C7EA1" w:rsidRPr="001C7EA1" w14:paraId="44D78B43" w14:textId="77777777" w:rsidTr="009C074A">
        <w:trPr>
          <w:trHeight w:val="369"/>
        </w:trPr>
        <w:tc>
          <w:tcPr>
            <w:tcW w:w="6831" w:type="dxa"/>
            <w:tcBorders>
              <w:bottom w:val="single" w:sz="4" w:space="0" w:color="002279"/>
            </w:tcBorders>
            <w:shd w:val="clear" w:color="auto" w:fill="auto"/>
            <w:vAlign w:val="center"/>
            <w:hideMark/>
          </w:tcPr>
          <w:p w14:paraId="4006FCBA" w14:textId="77777777" w:rsidR="001C7EA1" w:rsidRPr="001C7EA1" w:rsidRDefault="001C7EA1" w:rsidP="009C074A">
            <w:pPr>
              <w:spacing w:after="0"/>
              <w:rPr>
                <w:rFonts w:asciiTheme="minorHAnsi" w:eastAsia="Times New Roman" w:hAnsiTheme="minorHAnsi" w:cstheme="minorHAnsi"/>
                <w:sz w:val="20"/>
                <w:szCs w:val="20"/>
                <w:lang w:eastAsia="en-AU"/>
              </w:rPr>
            </w:pPr>
            <w:r w:rsidRPr="001C7EA1">
              <w:rPr>
                <w:rFonts w:asciiTheme="minorHAnsi" w:eastAsia="Times New Roman" w:hAnsiTheme="minorHAnsi" w:cstheme="minorHAnsi"/>
                <w:sz w:val="20"/>
                <w:szCs w:val="20"/>
                <w:lang w:eastAsia="en-AU"/>
              </w:rPr>
              <w:t>Water recycling plant drying pan and stockpile area upgrades</w:t>
            </w:r>
          </w:p>
        </w:tc>
        <w:tc>
          <w:tcPr>
            <w:tcW w:w="2095" w:type="dxa"/>
            <w:tcBorders>
              <w:bottom w:val="single" w:sz="4" w:space="0" w:color="002279"/>
            </w:tcBorders>
            <w:shd w:val="clear" w:color="auto" w:fill="auto"/>
            <w:vAlign w:val="center"/>
            <w:hideMark/>
          </w:tcPr>
          <w:p w14:paraId="671A3E37" w14:textId="3BEBA844" w:rsidR="001C7EA1" w:rsidRPr="001C7EA1" w:rsidRDefault="001C7EA1" w:rsidP="009C074A">
            <w:pPr>
              <w:spacing w:after="0"/>
              <w:rPr>
                <w:rFonts w:asciiTheme="minorHAnsi" w:eastAsia="Times New Roman" w:hAnsiTheme="minorHAnsi" w:cstheme="minorHAnsi"/>
                <w:sz w:val="20"/>
                <w:szCs w:val="20"/>
                <w:lang w:eastAsia="en-AU"/>
              </w:rPr>
            </w:pPr>
            <w:r w:rsidRPr="001C7EA1">
              <w:rPr>
                <w:rFonts w:asciiTheme="minorHAnsi" w:eastAsia="Times New Roman" w:hAnsiTheme="minorHAnsi" w:cstheme="minorHAnsi"/>
                <w:sz w:val="20"/>
                <w:szCs w:val="20"/>
                <w:lang w:eastAsia="en-AU"/>
              </w:rPr>
              <w:t xml:space="preserve">Completed </w:t>
            </w:r>
            <w:r w:rsidR="00E124BC" w:rsidRPr="00283216">
              <w:rPr>
                <w:rFonts w:asciiTheme="minorHAnsi" w:eastAsia="Times New Roman" w:hAnsiTheme="minorHAnsi" w:cstheme="minorHAnsi"/>
                <w:sz w:val="20"/>
                <w:szCs w:val="20"/>
                <w:lang w:eastAsia="en-AU"/>
              </w:rPr>
              <w:t>o</w:t>
            </w:r>
            <w:r w:rsidRPr="001C7EA1">
              <w:rPr>
                <w:rFonts w:asciiTheme="minorHAnsi" w:eastAsia="Times New Roman" w:hAnsiTheme="minorHAnsi" w:cstheme="minorHAnsi"/>
                <w:sz w:val="20"/>
                <w:szCs w:val="20"/>
                <w:lang w:eastAsia="en-AU"/>
              </w:rPr>
              <w:t xml:space="preserve">n </w:t>
            </w:r>
            <w:r w:rsidR="00E124BC" w:rsidRPr="00283216">
              <w:rPr>
                <w:rFonts w:asciiTheme="minorHAnsi" w:eastAsia="Times New Roman" w:hAnsiTheme="minorHAnsi" w:cstheme="minorHAnsi"/>
                <w:sz w:val="20"/>
                <w:szCs w:val="20"/>
                <w:lang w:eastAsia="en-AU"/>
              </w:rPr>
              <w:t>t</w:t>
            </w:r>
            <w:r w:rsidRPr="001C7EA1">
              <w:rPr>
                <w:rFonts w:asciiTheme="minorHAnsi" w:eastAsia="Times New Roman" w:hAnsiTheme="minorHAnsi" w:cstheme="minorHAnsi"/>
                <w:sz w:val="20"/>
                <w:szCs w:val="20"/>
                <w:lang w:eastAsia="en-AU"/>
              </w:rPr>
              <w:t>ime</w:t>
            </w:r>
          </w:p>
        </w:tc>
        <w:tc>
          <w:tcPr>
            <w:tcW w:w="1465" w:type="dxa"/>
            <w:tcBorders>
              <w:bottom w:val="single" w:sz="4" w:space="0" w:color="002279"/>
            </w:tcBorders>
            <w:shd w:val="clear" w:color="auto" w:fill="auto"/>
            <w:vAlign w:val="center"/>
            <w:hideMark/>
          </w:tcPr>
          <w:p w14:paraId="74D1AB3B" w14:textId="77777777" w:rsidR="001C7EA1" w:rsidRPr="001C7EA1" w:rsidRDefault="001C7EA1" w:rsidP="001C7EA1">
            <w:pPr>
              <w:spacing w:after="0"/>
              <w:jc w:val="center"/>
              <w:rPr>
                <w:rFonts w:asciiTheme="minorHAnsi" w:eastAsia="Times New Roman" w:hAnsiTheme="minorHAnsi" w:cstheme="minorHAnsi"/>
                <w:color w:val="000000"/>
                <w:sz w:val="20"/>
                <w:szCs w:val="20"/>
                <w:lang w:eastAsia="en-AU"/>
              </w:rPr>
            </w:pPr>
            <w:r w:rsidRPr="001C7EA1">
              <w:rPr>
                <w:rFonts w:asciiTheme="minorHAnsi" w:eastAsia="Times New Roman" w:hAnsiTheme="minorHAnsi" w:cstheme="minorHAnsi"/>
                <w:color w:val="000000"/>
                <w:sz w:val="20"/>
                <w:szCs w:val="20"/>
                <w:lang w:eastAsia="en-AU"/>
              </w:rPr>
              <w:t>3</w:t>
            </w:r>
          </w:p>
        </w:tc>
        <w:tc>
          <w:tcPr>
            <w:tcW w:w="1465" w:type="dxa"/>
            <w:tcBorders>
              <w:bottom w:val="single" w:sz="4" w:space="0" w:color="002279"/>
            </w:tcBorders>
            <w:shd w:val="clear" w:color="auto" w:fill="auto"/>
            <w:vAlign w:val="center"/>
            <w:hideMark/>
          </w:tcPr>
          <w:p w14:paraId="2AA2DBD0" w14:textId="77777777" w:rsidR="001C7EA1" w:rsidRPr="001C7EA1" w:rsidRDefault="001C7EA1" w:rsidP="001C7EA1">
            <w:pPr>
              <w:spacing w:after="0"/>
              <w:jc w:val="center"/>
              <w:rPr>
                <w:rFonts w:asciiTheme="minorHAnsi" w:eastAsia="Times New Roman" w:hAnsiTheme="minorHAnsi" w:cstheme="minorHAnsi"/>
                <w:sz w:val="20"/>
                <w:szCs w:val="20"/>
                <w:lang w:eastAsia="en-AU"/>
              </w:rPr>
            </w:pPr>
            <w:r w:rsidRPr="001C7EA1">
              <w:rPr>
                <w:rFonts w:asciiTheme="minorHAnsi" w:eastAsia="Times New Roman" w:hAnsiTheme="minorHAnsi" w:cstheme="minorHAnsi"/>
                <w:sz w:val="20"/>
                <w:szCs w:val="20"/>
                <w:lang w:eastAsia="en-AU"/>
              </w:rPr>
              <w:t>3</w:t>
            </w:r>
          </w:p>
        </w:tc>
      </w:tr>
      <w:tr w:rsidR="001C7EA1" w:rsidRPr="001C7EA1" w14:paraId="6E3219C6" w14:textId="77777777" w:rsidTr="009C074A">
        <w:trPr>
          <w:trHeight w:val="369"/>
        </w:trPr>
        <w:tc>
          <w:tcPr>
            <w:tcW w:w="6831" w:type="dxa"/>
            <w:shd w:val="clear" w:color="auto" w:fill="D4D6DF"/>
            <w:vAlign w:val="center"/>
            <w:hideMark/>
          </w:tcPr>
          <w:p w14:paraId="1C0654DF" w14:textId="0864B4D4" w:rsidR="001C7EA1" w:rsidRPr="001C7EA1" w:rsidRDefault="001C7EA1" w:rsidP="009C074A">
            <w:pPr>
              <w:spacing w:after="0"/>
              <w:rPr>
                <w:rFonts w:asciiTheme="minorHAnsi" w:eastAsia="Times New Roman" w:hAnsiTheme="minorHAnsi" w:cstheme="minorHAnsi"/>
                <w:sz w:val="20"/>
                <w:szCs w:val="20"/>
                <w:lang w:eastAsia="en-AU"/>
              </w:rPr>
            </w:pPr>
            <w:r w:rsidRPr="001C7EA1">
              <w:rPr>
                <w:rFonts w:asciiTheme="minorHAnsi" w:eastAsia="Times New Roman" w:hAnsiTheme="minorHAnsi" w:cstheme="minorHAnsi"/>
                <w:sz w:val="20"/>
                <w:szCs w:val="20"/>
                <w:lang w:eastAsia="en-AU"/>
              </w:rPr>
              <w:t>Land purchase 2 (Pakenham</w:t>
            </w:r>
            <w:r w:rsidR="00E14DE5">
              <w:rPr>
                <w:rFonts w:cs="Arial"/>
                <w:sz w:val="22"/>
              </w:rPr>
              <w:t xml:space="preserve"> </w:t>
            </w:r>
            <w:r w:rsidR="00E14DE5" w:rsidRPr="00E14DE5">
              <w:rPr>
                <w:rFonts w:cs="Arial"/>
                <w:sz w:val="20"/>
                <w:szCs w:val="20"/>
              </w:rPr>
              <w:t>Water Recycling Plant</w:t>
            </w:r>
            <w:r w:rsidRPr="001C7EA1">
              <w:rPr>
                <w:rFonts w:asciiTheme="minorHAnsi" w:eastAsia="Times New Roman" w:hAnsiTheme="minorHAnsi" w:cstheme="minorHAnsi"/>
                <w:sz w:val="20"/>
                <w:szCs w:val="20"/>
                <w:lang w:eastAsia="en-AU"/>
              </w:rPr>
              <w:t>)</w:t>
            </w:r>
          </w:p>
        </w:tc>
        <w:tc>
          <w:tcPr>
            <w:tcW w:w="2095" w:type="dxa"/>
            <w:shd w:val="clear" w:color="auto" w:fill="D4D6DF"/>
            <w:vAlign w:val="center"/>
            <w:hideMark/>
          </w:tcPr>
          <w:p w14:paraId="39F2A616" w14:textId="77777777" w:rsidR="001C7EA1" w:rsidRPr="001C7EA1" w:rsidRDefault="001C7EA1" w:rsidP="009C074A">
            <w:pPr>
              <w:spacing w:after="0"/>
              <w:rPr>
                <w:rFonts w:asciiTheme="minorHAnsi" w:eastAsia="Times New Roman" w:hAnsiTheme="minorHAnsi" w:cstheme="minorHAnsi"/>
                <w:sz w:val="20"/>
                <w:szCs w:val="20"/>
                <w:lang w:eastAsia="en-AU"/>
              </w:rPr>
            </w:pPr>
            <w:r w:rsidRPr="001C7EA1">
              <w:rPr>
                <w:rFonts w:asciiTheme="minorHAnsi" w:eastAsia="Times New Roman" w:hAnsiTheme="minorHAnsi" w:cstheme="minorHAnsi"/>
                <w:sz w:val="20"/>
                <w:szCs w:val="20"/>
                <w:lang w:eastAsia="en-AU"/>
              </w:rPr>
              <w:t>Delayed</w:t>
            </w:r>
          </w:p>
        </w:tc>
        <w:tc>
          <w:tcPr>
            <w:tcW w:w="1465" w:type="dxa"/>
            <w:shd w:val="clear" w:color="auto" w:fill="D4D6DF"/>
            <w:vAlign w:val="center"/>
            <w:hideMark/>
          </w:tcPr>
          <w:p w14:paraId="2CDA60E0" w14:textId="77777777" w:rsidR="001C7EA1" w:rsidRPr="001C7EA1" w:rsidRDefault="001C7EA1" w:rsidP="001C7EA1">
            <w:pPr>
              <w:spacing w:after="0"/>
              <w:jc w:val="center"/>
              <w:rPr>
                <w:rFonts w:asciiTheme="minorHAnsi" w:eastAsia="Times New Roman" w:hAnsiTheme="minorHAnsi" w:cstheme="minorHAnsi"/>
                <w:color w:val="000000"/>
                <w:sz w:val="20"/>
                <w:szCs w:val="20"/>
                <w:lang w:eastAsia="en-AU"/>
              </w:rPr>
            </w:pPr>
            <w:r w:rsidRPr="001C7EA1">
              <w:rPr>
                <w:rFonts w:asciiTheme="minorHAnsi" w:eastAsia="Times New Roman" w:hAnsiTheme="minorHAnsi" w:cstheme="minorHAnsi"/>
                <w:color w:val="000000"/>
                <w:sz w:val="20"/>
                <w:szCs w:val="20"/>
                <w:lang w:eastAsia="en-AU"/>
              </w:rPr>
              <w:t>1</w:t>
            </w:r>
          </w:p>
        </w:tc>
        <w:tc>
          <w:tcPr>
            <w:tcW w:w="1465" w:type="dxa"/>
            <w:shd w:val="clear" w:color="auto" w:fill="D4D6DF"/>
            <w:vAlign w:val="center"/>
            <w:hideMark/>
          </w:tcPr>
          <w:p w14:paraId="50C344C5" w14:textId="77777777" w:rsidR="001C7EA1" w:rsidRPr="001C7EA1" w:rsidRDefault="001C7EA1" w:rsidP="001C7EA1">
            <w:pPr>
              <w:spacing w:after="0"/>
              <w:jc w:val="center"/>
              <w:rPr>
                <w:rFonts w:asciiTheme="minorHAnsi" w:eastAsia="Times New Roman" w:hAnsiTheme="minorHAnsi" w:cstheme="minorHAnsi"/>
                <w:sz w:val="20"/>
                <w:szCs w:val="20"/>
                <w:lang w:eastAsia="en-AU"/>
              </w:rPr>
            </w:pPr>
            <w:r w:rsidRPr="001C7EA1">
              <w:rPr>
                <w:rFonts w:asciiTheme="minorHAnsi" w:eastAsia="Times New Roman" w:hAnsiTheme="minorHAnsi" w:cstheme="minorHAnsi"/>
                <w:sz w:val="20"/>
                <w:szCs w:val="20"/>
                <w:lang w:eastAsia="en-AU"/>
              </w:rPr>
              <w:t>1</w:t>
            </w:r>
          </w:p>
        </w:tc>
      </w:tr>
      <w:tr w:rsidR="001C7EA1" w:rsidRPr="001C7EA1" w14:paraId="4DEE9347" w14:textId="77777777" w:rsidTr="009C074A">
        <w:trPr>
          <w:trHeight w:val="369"/>
        </w:trPr>
        <w:tc>
          <w:tcPr>
            <w:tcW w:w="6831" w:type="dxa"/>
            <w:tcBorders>
              <w:bottom w:val="single" w:sz="4" w:space="0" w:color="002279"/>
            </w:tcBorders>
            <w:shd w:val="clear" w:color="auto" w:fill="auto"/>
            <w:vAlign w:val="center"/>
            <w:hideMark/>
          </w:tcPr>
          <w:p w14:paraId="1313A377" w14:textId="77777777" w:rsidR="001C7EA1" w:rsidRPr="001C7EA1" w:rsidRDefault="001C7EA1" w:rsidP="00A97C4B">
            <w:pPr>
              <w:spacing w:after="0"/>
              <w:rPr>
                <w:rFonts w:asciiTheme="minorHAnsi" w:eastAsia="Times New Roman" w:hAnsiTheme="minorHAnsi" w:cstheme="minorHAnsi"/>
                <w:sz w:val="20"/>
                <w:szCs w:val="20"/>
                <w:lang w:eastAsia="en-AU"/>
              </w:rPr>
            </w:pPr>
            <w:r w:rsidRPr="001C7EA1">
              <w:rPr>
                <w:rFonts w:asciiTheme="minorHAnsi" w:eastAsia="Times New Roman" w:hAnsiTheme="minorHAnsi" w:cstheme="minorHAnsi"/>
                <w:sz w:val="20"/>
                <w:szCs w:val="20"/>
                <w:lang w:eastAsia="en-AU"/>
              </w:rPr>
              <w:t>Hanna Street sewerage capacity improvements</w:t>
            </w:r>
          </w:p>
        </w:tc>
        <w:tc>
          <w:tcPr>
            <w:tcW w:w="2095" w:type="dxa"/>
            <w:tcBorders>
              <w:bottom w:val="single" w:sz="4" w:space="0" w:color="002279"/>
            </w:tcBorders>
            <w:shd w:val="clear" w:color="auto" w:fill="auto"/>
            <w:vAlign w:val="center"/>
            <w:hideMark/>
          </w:tcPr>
          <w:p w14:paraId="7372BA4F" w14:textId="77777777" w:rsidR="001C7EA1" w:rsidRPr="001C7EA1" w:rsidRDefault="001C7EA1" w:rsidP="001B0ADC">
            <w:pPr>
              <w:spacing w:after="0"/>
              <w:rPr>
                <w:rFonts w:asciiTheme="minorHAnsi" w:eastAsia="Times New Roman" w:hAnsiTheme="minorHAnsi" w:cstheme="minorHAnsi"/>
                <w:sz w:val="20"/>
                <w:szCs w:val="20"/>
                <w:lang w:eastAsia="en-AU"/>
              </w:rPr>
            </w:pPr>
            <w:r w:rsidRPr="001C7EA1">
              <w:rPr>
                <w:rFonts w:asciiTheme="minorHAnsi" w:eastAsia="Times New Roman" w:hAnsiTheme="minorHAnsi" w:cstheme="minorHAnsi"/>
                <w:sz w:val="20"/>
                <w:szCs w:val="20"/>
                <w:lang w:eastAsia="en-AU"/>
              </w:rPr>
              <w:t>Delayed</w:t>
            </w:r>
          </w:p>
        </w:tc>
        <w:tc>
          <w:tcPr>
            <w:tcW w:w="1465" w:type="dxa"/>
            <w:tcBorders>
              <w:bottom w:val="single" w:sz="4" w:space="0" w:color="002279"/>
            </w:tcBorders>
            <w:shd w:val="clear" w:color="auto" w:fill="auto"/>
            <w:vAlign w:val="center"/>
            <w:hideMark/>
          </w:tcPr>
          <w:p w14:paraId="13625DBE" w14:textId="77777777" w:rsidR="001C7EA1" w:rsidRPr="001C7EA1" w:rsidRDefault="001C7EA1" w:rsidP="001C7EA1">
            <w:pPr>
              <w:spacing w:after="0"/>
              <w:jc w:val="center"/>
              <w:rPr>
                <w:rFonts w:asciiTheme="minorHAnsi" w:eastAsia="Times New Roman" w:hAnsiTheme="minorHAnsi" w:cstheme="minorHAnsi"/>
                <w:color w:val="000000"/>
                <w:sz w:val="20"/>
                <w:szCs w:val="20"/>
                <w:lang w:eastAsia="en-AU"/>
              </w:rPr>
            </w:pPr>
            <w:r w:rsidRPr="001C7EA1">
              <w:rPr>
                <w:rFonts w:asciiTheme="minorHAnsi" w:eastAsia="Times New Roman" w:hAnsiTheme="minorHAnsi" w:cstheme="minorHAnsi"/>
                <w:color w:val="000000"/>
                <w:sz w:val="20"/>
                <w:szCs w:val="20"/>
                <w:lang w:eastAsia="en-AU"/>
              </w:rPr>
              <w:t>2</w:t>
            </w:r>
          </w:p>
        </w:tc>
        <w:tc>
          <w:tcPr>
            <w:tcW w:w="1465" w:type="dxa"/>
            <w:tcBorders>
              <w:bottom w:val="single" w:sz="4" w:space="0" w:color="002279"/>
            </w:tcBorders>
            <w:shd w:val="clear" w:color="auto" w:fill="auto"/>
            <w:vAlign w:val="center"/>
            <w:hideMark/>
          </w:tcPr>
          <w:p w14:paraId="3FB2EB02" w14:textId="77777777" w:rsidR="001C7EA1" w:rsidRPr="001C7EA1" w:rsidRDefault="001C7EA1" w:rsidP="001C7EA1">
            <w:pPr>
              <w:spacing w:after="0"/>
              <w:jc w:val="center"/>
              <w:rPr>
                <w:rFonts w:asciiTheme="minorHAnsi" w:eastAsia="Times New Roman" w:hAnsiTheme="minorHAnsi" w:cstheme="minorHAnsi"/>
                <w:sz w:val="20"/>
                <w:szCs w:val="20"/>
                <w:lang w:eastAsia="en-AU"/>
              </w:rPr>
            </w:pPr>
            <w:r w:rsidRPr="001C7EA1">
              <w:rPr>
                <w:rFonts w:asciiTheme="minorHAnsi" w:eastAsia="Times New Roman" w:hAnsiTheme="minorHAnsi" w:cstheme="minorHAnsi"/>
                <w:sz w:val="20"/>
                <w:szCs w:val="20"/>
                <w:lang w:eastAsia="en-AU"/>
              </w:rPr>
              <w:t>2</w:t>
            </w:r>
          </w:p>
        </w:tc>
      </w:tr>
      <w:tr w:rsidR="001C7EA1" w:rsidRPr="001C7EA1" w14:paraId="07EECC12" w14:textId="77777777" w:rsidTr="009C074A">
        <w:trPr>
          <w:trHeight w:val="369"/>
        </w:trPr>
        <w:tc>
          <w:tcPr>
            <w:tcW w:w="6831" w:type="dxa"/>
            <w:shd w:val="clear" w:color="auto" w:fill="D4D6DF"/>
            <w:vAlign w:val="center"/>
            <w:hideMark/>
          </w:tcPr>
          <w:p w14:paraId="5494E5AE" w14:textId="77777777" w:rsidR="001C7EA1" w:rsidRPr="001C7EA1" w:rsidRDefault="001C7EA1" w:rsidP="00A97C4B">
            <w:pPr>
              <w:spacing w:after="0"/>
              <w:rPr>
                <w:rFonts w:asciiTheme="minorHAnsi" w:eastAsia="Times New Roman" w:hAnsiTheme="minorHAnsi" w:cstheme="minorHAnsi"/>
                <w:sz w:val="20"/>
                <w:szCs w:val="20"/>
                <w:lang w:eastAsia="en-AU"/>
              </w:rPr>
            </w:pPr>
            <w:r w:rsidRPr="001C7EA1">
              <w:rPr>
                <w:rFonts w:asciiTheme="minorHAnsi" w:eastAsia="Times New Roman" w:hAnsiTheme="minorHAnsi" w:cstheme="minorHAnsi"/>
                <w:sz w:val="20"/>
                <w:szCs w:val="20"/>
                <w:lang w:eastAsia="en-AU"/>
              </w:rPr>
              <w:lastRenderedPageBreak/>
              <w:t>Elster Creek sewer catchment capacity improvement works</w:t>
            </w:r>
          </w:p>
        </w:tc>
        <w:tc>
          <w:tcPr>
            <w:tcW w:w="2095" w:type="dxa"/>
            <w:shd w:val="clear" w:color="auto" w:fill="D4D6DF"/>
            <w:vAlign w:val="center"/>
            <w:hideMark/>
          </w:tcPr>
          <w:p w14:paraId="6F3C2AB6" w14:textId="77777777" w:rsidR="001C7EA1" w:rsidRPr="001C7EA1" w:rsidRDefault="001C7EA1" w:rsidP="001B0ADC">
            <w:pPr>
              <w:spacing w:after="0"/>
              <w:rPr>
                <w:rFonts w:asciiTheme="minorHAnsi" w:eastAsia="Times New Roman" w:hAnsiTheme="minorHAnsi" w:cstheme="minorHAnsi"/>
                <w:sz w:val="20"/>
                <w:szCs w:val="20"/>
                <w:lang w:eastAsia="en-AU"/>
              </w:rPr>
            </w:pPr>
            <w:r w:rsidRPr="001C7EA1">
              <w:rPr>
                <w:rFonts w:asciiTheme="minorHAnsi" w:eastAsia="Times New Roman" w:hAnsiTheme="minorHAnsi" w:cstheme="minorHAnsi"/>
                <w:sz w:val="20"/>
                <w:szCs w:val="20"/>
                <w:lang w:eastAsia="en-AU"/>
              </w:rPr>
              <w:t>Deferred</w:t>
            </w:r>
          </w:p>
        </w:tc>
        <w:tc>
          <w:tcPr>
            <w:tcW w:w="1465" w:type="dxa"/>
            <w:shd w:val="clear" w:color="auto" w:fill="D4D6DF"/>
            <w:vAlign w:val="center"/>
            <w:hideMark/>
          </w:tcPr>
          <w:p w14:paraId="723F7489" w14:textId="77777777" w:rsidR="001C7EA1" w:rsidRPr="001C7EA1" w:rsidRDefault="001C7EA1" w:rsidP="001C7EA1">
            <w:pPr>
              <w:spacing w:after="0"/>
              <w:jc w:val="center"/>
              <w:rPr>
                <w:rFonts w:asciiTheme="minorHAnsi" w:eastAsia="Times New Roman" w:hAnsiTheme="minorHAnsi" w:cstheme="minorHAnsi"/>
                <w:color w:val="000000"/>
                <w:sz w:val="20"/>
                <w:szCs w:val="20"/>
                <w:lang w:eastAsia="en-AU"/>
              </w:rPr>
            </w:pPr>
            <w:r w:rsidRPr="001C7EA1">
              <w:rPr>
                <w:rFonts w:asciiTheme="minorHAnsi" w:eastAsia="Times New Roman" w:hAnsiTheme="minorHAnsi" w:cstheme="minorHAnsi"/>
                <w:color w:val="000000"/>
                <w:sz w:val="20"/>
                <w:szCs w:val="20"/>
                <w:lang w:eastAsia="en-AU"/>
              </w:rPr>
              <w:t>2</w:t>
            </w:r>
          </w:p>
        </w:tc>
        <w:tc>
          <w:tcPr>
            <w:tcW w:w="1465" w:type="dxa"/>
            <w:shd w:val="clear" w:color="auto" w:fill="D4D6DF"/>
            <w:vAlign w:val="center"/>
            <w:hideMark/>
          </w:tcPr>
          <w:p w14:paraId="0766A5AF" w14:textId="77777777" w:rsidR="001C7EA1" w:rsidRPr="001C7EA1" w:rsidRDefault="001C7EA1" w:rsidP="001C7EA1">
            <w:pPr>
              <w:spacing w:after="0"/>
              <w:jc w:val="center"/>
              <w:rPr>
                <w:rFonts w:asciiTheme="minorHAnsi" w:eastAsia="Times New Roman" w:hAnsiTheme="minorHAnsi" w:cstheme="minorHAnsi"/>
                <w:sz w:val="20"/>
                <w:szCs w:val="20"/>
                <w:lang w:eastAsia="en-AU"/>
              </w:rPr>
            </w:pPr>
            <w:r w:rsidRPr="001C7EA1">
              <w:rPr>
                <w:rFonts w:asciiTheme="minorHAnsi" w:eastAsia="Times New Roman" w:hAnsiTheme="minorHAnsi" w:cstheme="minorHAnsi"/>
                <w:sz w:val="20"/>
                <w:szCs w:val="20"/>
                <w:lang w:eastAsia="en-AU"/>
              </w:rPr>
              <w:t>2</w:t>
            </w:r>
          </w:p>
        </w:tc>
      </w:tr>
      <w:tr w:rsidR="001C7EA1" w:rsidRPr="001C7EA1" w14:paraId="68D1A341" w14:textId="77777777" w:rsidTr="009C074A">
        <w:trPr>
          <w:trHeight w:val="369"/>
        </w:trPr>
        <w:tc>
          <w:tcPr>
            <w:tcW w:w="6831" w:type="dxa"/>
            <w:shd w:val="clear" w:color="auto" w:fill="auto"/>
            <w:vAlign w:val="center"/>
            <w:hideMark/>
          </w:tcPr>
          <w:p w14:paraId="6F17896E" w14:textId="77777777" w:rsidR="001C7EA1" w:rsidRPr="001C7EA1" w:rsidRDefault="001C7EA1" w:rsidP="00A97C4B">
            <w:pPr>
              <w:spacing w:after="0"/>
              <w:rPr>
                <w:rFonts w:asciiTheme="minorHAnsi" w:eastAsia="Times New Roman" w:hAnsiTheme="minorHAnsi" w:cstheme="minorHAnsi"/>
                <w:sz w:val="20"/>
                <w:szCs w:val="20"/>
                <w:lang w:eastAsia="en-AU"/>
              </w:rPr>
            </w:pPr>
            <w:r w:rsidRPr="001C7EA1">
              <w:rPr>
                <w:rFonts w:asciiTheme="minorHAnsi" w:eastAsia="Times New Roman" w:hAnsiTheme="minorHAnsi" w:cstheme="minorHAnsi"/>
                <w:sz w:val="20"/>
                <w:szCs w:val="20"/>
                <w:lang w:eastAsia="en-AU"/>
              </w:rPr>
              <w:t>Clayton East and West sewer catchment capacity improvement works</w:t>
            </w:r>
          </w:p>
        </w:tc>
        <w:tc>
          <w:tcPr>
            <w:tcW w:w="2095" w:type="dxa"/>
            <w:shd w:val="clear" w:color="auto" w:fill="auto"/>
            <w:vAlign w:val="center"/>
            <w:hideMark/>
          </w:tcPr>
          <w:p w14:paraId="75003852" w14:textId="77777777" w:rsidR="001C7EA1" w:rsidRPr="001C7EA1" w:rsidRDefault="001C7EA1" w:rsidP="001B0ADC">
            <w:pPr>
              <w:spacing w:after="0"/>
              <w:rPr>
                <w:rFonts w:asciiTheme="minorHAnsi" w:eastAsia="Times New Roman" w:hAnsiTheme="minorHAnsi" w:cstheme="minorHAnsi"/>
                <w:sz w:val="20"/>
                <w:szCs w:val="20"/>
                <w:lang w:eastAsia="en-AU"/>
              </w:rPr>
            </w:pPr>
            <w:r w:rsidRPr="001C7EA1">
              <w:rPr>
                <w:rFonts w:asciiTheme="minorHAnsi" w:eastAsia="Times New Roman" w:hAnsiTheme="minorHAnsi" w:cstheme="minorHAnsi"/>
                <w:sz w:val="20"/>
                <w:szCs w:val="20"/>
                <w:lang w:eastAsia="en-AU"/>
              </w:rPr>
              <w:t>Deferred</w:t>
            </w:r>
          </w:p>
        </w:tc>
        <w:tc>
          <w:tcPr>
            <w:tcW w:w="1465" w:type="dxa"/>
            <w:shd w:val="clear" w:color="auto" w:fill="auto"/>
            <w:vAlign w:val="center"/>
            <w:hideMark/>
          </w:tcPr>
          <w:p w14:paraId="247D8944" w14:textId="77777777" w:rsidR="001C7EA1" w:rsidRPr="001C7EA1" w:rsidRDefault="001C7EA1" w:rsidP="001C7EA1">
            <w:pPr>
              <w:spacing w:after="0"/>
              <w:jc w:val="center"/>
              <w:rPr>
                <w:rFonts w:asciiTheme="minorHAnsi" w:eastAsia="Times New Roman" w:hAnsiTheme="minorHAnsi" w:cstheme="minorHAnsi"/>
                <w:color w:val="000000"/>
                <w:sz w:val="20"/>
                <w:szCs w:val="20"/>
                <w:lang w:eastAsia="en-AU"/>
              </w:rPr>
            </w:pPr>
            <w:r w:rsidRPr="001C7EA1">
              <w:rPr>
                <w:rFonts w:asciiTheme="minorHAnsi" w:eastAsia="Times New Roman" w:hAnsiTheme="minorHAnsi" w:cstheme="minorHAnsi"/>
                <w:color w:val="000000"/>
                <w:sz w:val="20"/>
                <w:szCs w:val="20"/>
                <w:lang w:eastAsia="en-AU"/>
              </w:rPr>
              <w:t>3</w:t>
            </w:r>
          </w:p>
        </w:tc>
        <w:tc>
          <w:tcPr>
            <w:tcW w:w="1465" w:type="dxa"/>
            <w:shd w:val="clear" w:color="auto" w:fill="auto"/>
            <w:vAlign w:val="center"/>
            <w:hideMark/>
          </w:tcPr>
          <w:p w14:paraId="7F07C9B2" w14:textId="77777777" w:rsidR="001C7EA1" w:rsidRPr="001C7EA1" w:rsidRDefault="001C7EA1" w:rsidP="001C7EA1">
            <w:pPr>
              <w:spacing w:after="0"/>
              <w:jc w:val="center"/>
              <w:rPr>
                <w:rFonts w:asciiTheme="minorHAnsi" w:eastAsia="Times New Roman" w:hAnsiTheme="minorHAnsi" w:cstheme="minorHAnsi"/>
                <w:sz w:val="20"/>
                <w:szCs w:val="20"/>
                <w:lang w:eastAsia="en-AU"/>
              </w:rPr>
            </w:pPr>
            <w:r w:rsidRPr="001C7EA1">
              <w:rPr>
                <w:rFonts w:asciiTheme="minorHAnsi" w:eastAsia="Times New Roman" w:hAnsiTheme="minorHAnsi" w:cstheme="minorHAnsi"/>
                <w:sz w:val="20"/>
                <w:szCs w:val="20"/>
                <w:lang w:eastAsia="en-AU"/>
              </w:rPr>
              <w:t>3</w:t>
            </w:r>
          </w:p>
        </w:tc>
      </w:tr>
    </w:tbl>
    <w:p w14:paraId="53B39D9B" w14:textId="2D3B205A" w:rsidR="00D27526" w:rsidRDefault="00D27526" w:rsidP="006F6029">
      <w:pPr>
        <w:pStyle w:val="BodyText"/>
      </w:pPr>
    </w:p>
    <w:p w14:paraId="79D18416" w14:textId="566271B9" w:rsidR="00D27526" w:rsidRDefault="00D27526" w:rsidP="006F6029">
      <w:pPr>
        <w:pStyle w:val="BodyText"/>
      </w:pPr>
      <w:r>
        <w:t xml:space="preserve">More information </w:t>
      </w:r>
      <w:r w:rsidR="006730A0">
        <w:t xml:space="preserve">on these projects </w:t>
      </w:r>
      <w:r>
        <w:t xml:space="preserve">can be found in Appendix 2. </w:t>
      </w:r>
    </w:p>
    <w:p w14:paraId="3B9DA53B" w14:textId="55D570E4" w:rsidR="001A1277" w:rsidRDefault="001A1277">
      <w:pPr>
        <w:pStyle w:val="Heading2"/>
        <w:numPr>
          <w:ilvl w:val="1"/>
          <w:numId w:val="28"/>
        </w:numPr>
        <w:ind w:left="426" w:hanging="426"/>
      </w:pPr>
      <w:r>
        <w:t xml:space="preserve">Total </w:t>
      </w:r>
      <w:r w:rsidR="000408FC">
        <w:t xml:space="preserve">capital expenditure </w:t>
      </w:r>
      <w:r w:rsidR="009226D1">
        <w:t xml:space="preserve">(CAPEX) </w:t>
      </w:r>
    </w:p>
    <w:p w14:paraId="21117090" w14:textId="74F0AD96" w:rsidR="001F084D" w:rsidRPr="0033265B" w:rsidRDefault="001F084D" w:rsidP="00800E00">
      <w:pPr>
        <w:spacing w:after="0"/>
        <w:textAlignment w:val="baseline"/>
        <w:rPr>
          <w:rFonts w:ascii="Segoe UI" w:eastAsia="Times New Roman" w:hAnsi="Segoe UI" w:cs="Segoe UI"/>
          <w:lang w:val="en-US" w:eastAsia="en-AU"/>
        </w:rPr>
      </w:pPr>
      <w:r w:rsidRPr="0033265B">
        <w:rPr>
          <w:rFonts w:eastAsia="Times New Roman" w:cs="Arial"/>
          <w:position w:val="-1"/>
          <w:lang w:eastAsia="en-AU"/>
        </w:rPr>
        <w:t>The fourth element was selected to assess the overall delivery of the capital expenditure program against the 2018</w:t>
      </w:r>
      <w:r w:rsidR="00446018">
        <w:rPr>
          <w:rFonts w:eastAsia="Times New Roman" w:cs="Arial"/>
          <w:position w:val="-1"/>
          <w:lang w:eastAsia="en-AU"/>
        </w:rPr>
        <w:t xml:space="preserve"> Price Determination</w:t>
      </w:r>
      <w:r w:rsidR="00643224">
        <w:rPr>
          <w:rFonts w:eastAsia="Times New Roman" w:cs="Arial"/>
          <w:position w:val="-1"/>
          <w:lang w:eastAsia="en-AU"/>
        </w:rPr>
        <w:t xml:space="preserve"> </w:t>
      </w:r>
      <w:r w:rsidR="00081726">
        <w:rPr>
          <w:rFonts w:eastAsia="Times New Roman" w:cs="Arial"/>
          <w:position w:val="-1"/>
          <w:lang w:eastAsia="en-AU"/>
        </w:rPr>
        <w:t>(</w:t>
      </w:r>
      <w:r w:rsidR="00900AF6">
        <w:rPr>
          <w:rFonts w:eastAsia="Times New Roman" w:cs="Arial"/>
          <w:position w:val="-1"/>
          <w:lang w:eastAsia="en-AU"/>
        </w:rPr>
        <w:t>$</w:t>
      </w:r>
      <w:r w:rsidR="00643224">
        <w:rPr>
          <w:rFonts w:eastAsia="Times New Roman" w:cs="Arial"/>
          <w:position w:val="-1"/>
          <w:lang w:eastAsia="en-AU"/>
        </w:rPr>
        <w:t>20</w:t>
      </w:r>
      <w:r w:rsidR="00081726">
        <w:rPr>
          <w:rFonts w:eastAsia="Times New Roman" w:cs="Arial"/>
          <w:position w:val="-1"/>
          <w:lang w:eastAsia="en-AU"/>
        </w:rPr>
        <w:t>1</w:t>
      </w:r>
      <w:r w:rsidR="00900AF6">
        <w:rPr>
          <w:rFonts w:eastAsia="Times New Roman" w:cs="Arial"/>
          <w:position w:val="-1"/>
          <w:lang w:eastAsia="en-AU"/>
        </w:rPr>
        <w:t>7—18</w:t>
      </w:r>
      <w:r w:rsidR="00081726">
        <w:rPr>
          <w:rFonts w:eastAsia="Times New Roman" w:cs="Arial"/>
          <w:position w:val="-1"/>
          <w:lang w:eastAsia="en-AU"/>
        </w:rPr>
        <w:t>)</w:t>
      </w:r>
      <w:r w:rsidRPr="0033265B">
        <w:rPr>
          <w:rFonts w:eastAsia="Times New Roman" w:cs="Arial"/>
          <w:position w:val="-1"/>
          <w:lang w:eastAsia="en-AU"/>
        </w:rPr>
        <w:t>, acknowledging the need for strategic redirection of funds to ensure the greatest value is delivered. We believe this is part of being a good asset manager and presents another perspective on the busines</w:t>
      </w:r>
      <w:r w:rsidR="006036CE">
        <w:rPr>
          <w:rFonts w:eastAsia="Times New Roman" w:cs="Arial"/>
          <w:position w:val="-1"/>
          <w:lang w:eastAsia="en-AU"/>
        </w:rPr>
        <w:t>s’s</w:t>
      </w:r>
      <w:r w:rsidRPr="0033265B">
        <w:rPr>
          <w:rFonts w:eastAsia="Times New Roman" w:cs="Arial"/>
          <w:position w:val="-1"/>
          <w:lang w:eastAsia="en-AU"/>
        </w:rPr>
        <w:t xml:space="preserve"> ability to achieve customer commitments and deliver against service standards and expectations.</w:t>
      </w:r>
      <w:r w:rsidRPr="0033265B">
        <w:rPr>
          <w:rFonts w:eastAsia="Times New Roman" w:cs="Arial"/>
          <w:lang w:val="en-US" w:eastAsia="en-AU"/>
        </w:rPr>
        <w:t>​</w:t>
      </w:r>
    </w:p>
    <w:p w14:paraId="35181563" w14:textId="13B22041" w:rsidR="001F084D" w:rsidRPr="0033265B" w:rsidRDefault="001F084D" w:rsidP="00800E00">
      <w:pPr>
        <w:pStyle w:val="ListParagraph"/>
        <w:spacing w:after="0"/>
        <w:ind w:left="294"/>
        <w:textAlignment w:val="baseline"/>
        <w:rPr>
          <w:rFonts w:ascii="Segoe UI" w:eastAsia="Times New Roman" w:hAnsi="Segoe UI" w:cs="Segoe UI"/>
          <w:lang w:eastAsia="en-AU"/>
        </w:rPr>
      </w:pPr>
    </w:p>
    <w:p w14:paraId="15767085" w14:textId="38FB7AF5" w:rsidR="000408FC" w:rsidRPr="0033265B" w:rsidRDefault="001F084D" w:rsidP="00800E00">
      <w:pPr>
        <w:spacing w:after="0"/>
        <w:textAlignment w:val="baseline"/>
        <w:rPr>
          <w:rFonts w:eastAsia="Times New Roman" w:cs="Arial"/>
          <w:position w:val="-1"/>
          <w:lang w:eastAsia="en-AU"/>
        </w:rPr>
      </w:pPr>
      <w:r w:rsidRPr="0033265B">
        <w:rPr>
          <w:rFonts w:eastAsia="Times New Roman" w:cs="Arial"/>
          <w:position w:val="-1"/>
          <w:lang w:eastAsia="en-AU"/>
        </w:rPr>
        <w:t>This assessment covers the entire 2018</w:t>
      </w:r>
      <w:r w:rsidR="00F243DC">
        <w:rPr>
          <w:rFonts w:eastAsia="Times New Roman" w:cs="Arial"/>
          <w:position w:val="-1"/>
          <w:lang w:eastAsia="en-AU"/>
        </w:rPr>
        <w:t>–</w:t>
      </w:r>
      <w:r w:rsidRPr="0033265B">
        <w:rPr>
          <w:rFonts w:eastAsia="Times New Roman" w:cs="Arial"/>
          <w:position w:val="-1"/>
          <w:lang w:eastAsia="en-AU"/>
        </w:rPr>
        <w:t xml:space="preserve">23 regulatory period expenditure (4 actuals + 1 forecast) and assigns a rating based on the variance between actual and the </w:t>
      </w:r>
      <w:r w:rsidR="00446018">
        <w:rPr>
          <w:rFonts w:eastAsia="Times New Roman" w:cs="Arial"/>
          <w:position w:val="-1"/>
          <w:lang w:eastAsia="en-AU"/>
        </w:rPr>
        <w:t>2018 Price Determination</w:t>
      </w:r>
      <w:r w:rsidRPr="0033265B">
        <w:rPr>
          <w:rFonts w:eastAsia="Times New Roman" w:cs="Arial"/>
          <w:position w:val="-1"/>
          <w:lang w:eastAsia="en-AU"/>
        </w:rPr>
        <w:t xml:space="preserve"> </w:t>
      </w:r>
      <w:r w:rsidR="007E5DDF">
        <w:rPr>
          <w:rFonts w:eastAsia="Times New Roman" w:cs="Arial"/>
          <w:position w:val="-1"/>
          <w:lang w:eastAsia="en-AU"/>
        </w:rPr>
        <w:t xml:space="preserve">in $2017—18 </w:t>
      </w:r>
      <w:r w:rsidRPr="0033265B">
        <w:rPr>
          <w:rFonts w:eastAsia="Times New Roman" w:cs="Arial"/>
          <w:position w:val="-1"/>
          <w:lang w:eastAsia="en-AU"/>
        </w:rPr>
        <w:t xml:space="preserve">using the scoring criteria below: </w:t>
      </w:r>
    </w:p>
    <w:p w14:paraId="3B9352BC" w14:textId="77777777" w:rsidR="00FE097E" w:rsidRPr="0033265B" w:rsidRDefault="00FE097E" w:rsidP="00800E00">
      <w:pPr>
        <w:spacing w:after="0"/>
        <w:textAlignment w:val="baseline"/>
        <w:rPr>
          <w:rFonts w:eastAsia="Times New Roman" w:cs="Arial"/>
          <w:position w:val="-1"/>
          <w:lang w:eastAsia="en-AU"/>
        </w:rPr>
      </w:pPr>
    </w:p>
    <w:p w14:paraId="3F248540" w14:textId="16C3A5D0" w:rsidR="00FE097E" w:rsidRPr="00B32FF0" w:rsidRDefault="00FE097E" w:rsidP="00800E00">
      <w:pPr>
        <w:tabs>
          <w:tab w:val="left" w:pos="3402"/>
          <w:tab w:val="left" w:pos="5670"/>
        </w:tabs>
        <w:spacing w:after="0"/>
        <w:ind w:left="395"/>
        <w:textAlignment w:val="baseline"/>
        <w:rPr>
          <w:rFonts w:ascii="Segoe UI" w:eastAsia="Times New Roman" w:hAnsi="Segoe UI" w:cs="Segoe UI"/>
          <w:bCs/>
          <w:lang w:val="en-US" w:eastAsia="en-AU"/>
        </w:rPr>
      </w:pPr>
      <w:r w:rsidRPr="00706E93">
        <w:rPr>
          <w:rFonts w:eastAsia="Times New Roman" w:cs="Arial"/>
          <w:b/>
          <w:position w:val="-1"/>
          <w:lang w:eastAsia="en-AU"/>
        </w:rPr>
        <w:t>1</w:t>
      </w:r>
      <w:r w:rsidRPr="00B32FF0">
        <w:rPr>
          <w:rFonts w:eastAsia="Times New Roman" w:cs="Arial"/>
          <w:bCs/>
          <w:position w:val="-1"/>
          <w:lang w:eastAsia="en-AU"/>
        </w:rPr>
        <w:t> </w:t>
      </w:r>
      <w:r w:rsidR="00F243DC" w:rsidRPr="00B32FF0">
        <w:rPr>
          <w:rFonts w:eastAsia="Times New Roman" w:cs="Arial"/>
          <w:bCs/>
          <w:position w:val="-1"/>
          <w:lang w:eastAsia="en-AU"/>
        </w:rPr>
        <w:t>–</w:t>
      </w:r>
      <w:r w:rsidRPr="00B32FF0">
        <w:rPr>
          <w:rFonts w:eastAsia="Times New Roman" w:cs="Arial"/>
          <w:bCs/>
          <w:position w:val="-1"/>
          <w:lang w:eastAsia="en-AU"/>
        </w:rPr>
        <w:t xml:space="preserve"> outside +/- 20% </w:t>
      </w:r>
      <w:r w:rsidR="00B32FF0" w:rsidRPr="00B32FF0">
        <w:rPr>
          <w:rFonts w:eastAsia="Times New Roman" w:cs="Arial"/>
          <w:bCs/>
          <w:position w:val="-1"/>
          <w:lang w:eastAsia="en-AU"/>
        </w:rPr>
        <w:tab/>
      </w:r>
      <w:r w:rsidRPr="00B32FF0">
        <w:rPr>
          <w:rFonts w:eastAsia="Times New Roman" w:cs="Arial"/>
          <w:b/>
          <w:position w:val="-1"/>
          <w:lang w:eastAsia="en-AU"/>
        </w:rPr>
        <w:t>2</w:t>
      </w:r>
      <w:r w:rsidRPr="00B32FF0">
        <w:rPr>
          <w:rFonts w:eastAsia="Times New Roman" w:cs="Arial"/>
          <w:bCs/>
          <w:position w:val="-1"/>
          <w:lang w:eastAsia="en-AU"/>
        </w:rPr>
        <w:t> - within +/- 20% </w:t>
      </w:r>
      <w:r w:rsidR="00B32FF0" w:rsidRPr="00B32FF0">
        <w:rPr>
          <w:rFonts w:eastAsia="Times New Roman" w:cs="Arial"/>
          <w:bCs/>
          <w:position w:val="-1"/>
          <w:lang w:eastAsia="en-AU"/>
        </w:rPr>
        <w:tab/>
      </w:r>
      <w:r w:rsidRPr="00B32FF0">
        <w:rPr>
          <w:rFonts w:eastAsia="Times New Roman" w:cs="Arial"/>
          <w:b/>
          <w:position w:val="-1"/>
          <w:lang w:eastAsia="en-AU"/>
        </w:rPr>
        <w:t>3</w:t>
      </w:r>
      <w:r w:rsidRPr="00B32FF0">
        <w:rPr>
          <w:rFonts w:eastAsia="Times New Roman" w:cs="Arial"/>
          <w:bCs/>
          <w:position w:val="-1"/>
          <w:lang w:eastAsia="en-AU"/>
        </w:rPr>
        <w:t> - within +/- 17.5% </w:t>
      </w:r>
      <w:r w:rsidRPr="00B32FF0">
        <w:rPr>
          <w:rFonts w:eastAsia="Times New Roman" w:cs="Arial"/>
          <w:bCs/>
          <w:lang w:val="en-US" w:eastAsia="en-AU"/>
        </w:rPr>
        <w:t>​</w:t>
      </w:r>
    </w:p>
    <w:p w14:paraId="099EB7C4" w14:textId="3F89DFD2" w:rsidR="00FE097E" w:rsidRPr="00B32FF0" w:rsidRDefault="00FE097E" w:rsidP="00800E00">
      <w:pPr>
        <w:tabs>
          <w:tab w:val="left" w:pos="3402"/>
          <w:tab w:val="left" w:pos="5670"/>
        </w:tabs>
        <w:spacing w:after="0"/>
        <w:ind w:left="395"/>
        <w:textAlignment w:val="baseline"/>
        <w:rPr>
          <w:rFonts w:eastAsia="Times New Roman" w:cs="Arial"/>
          <w:bCs/>
          <w:position w:val="-1"/>
          <w:lang w:eastAsia="en-AU"/>
        </w:rPr>
      </w:pPr>
      <w:r w:rsidRPr="00706E93">
        <w:rPr>
          <w:rFonts w:eastAsia="Times New Roman" w:cs="Arial"/>
          <w:b/>
          <w:position w:val="-1"/>
          <w:lang w:eastAsia="en-AU"/>
        </w:rPr>
        <w:t>4</w:t>
      </w:r>
      <w:r w:rsidRPr="00B32FF0">
        <w:rPr>
          <w:rFonts w:eastAsia="Times New Roman" w:cs="Arial"/>
          <w:bCs/>
          <w:position w:val="-1"/>
          <w:lang w:eastAsia="en-AU"/>
        </w:rPr>
        <w:t> </w:t>
      </w:r>
      <w:r w:rsidR="00F243DC" w:rsidRPr="00B32FF0">
        <w:rPr>
          <w:rFonts w:eastAsia="Times New Roman" w:cs="Arial"/>
          <w:bCs/>
          <w:position w:val="-1"/>
          <w:lang w:eastAsia="en-AU"/>
        </w:rPr>
        <w:t>–</w:t>
      </w:r>
      <w:r w:rsidRPr="00B32FF0">
        <w:rPr>
          <w:rFonts w:eastAsia="Times New Roman" w:cs="Arial"/>
          <w:bCs/>
          <w:position w:val="-1"/>
          <w:lang w:eastAsia="en-AU"/>
        </w:rPr>
        <w:t xml:space="preserve"> within +/- 15% </w:t>
      </w:r>
      <w:r w:rsidR="00B32FF0">
        <w:rPr>
          <w:rFonts w:eastAsia="Times New Roman" w:cs="Arial"/>
          <w:bCs/>
          <w:position w:val="-1"/>
          <w:lang w:eastAsia="en-AU"/>
        </w:rPr>
        <w:tab/>
      </w:r>
      <w:r w:rsidRPr="00B32FF0">
        <w:rPr>
          <w:rFonts w:eastAsia="Times New Roman" w:cs="Arial"/>
          <w:b/>
          <w:position w:val="-1"/>
          <w:lang w:eastAsia="en-AU"/>
        </w:rPr>
        <w:t>5</w:t>
      </w:r>
      <w:r w:rsidRPr="00B32FF0">
        <w:rPr>
          <w:rFonts w:eastAsia="Times New Roman" w:cs="Arial"/>
          <w:bCs/>
          <w:position w:val="-1"/>
          <w:lang w:eastAsia="en-AU"/>
        </w:rPr>
        <w:t xml:space="preserve"> - within +/- 12.5% </w:t>
      </w:r>
      <w:r w:rsidR="00B32FF0">
        <w:rPr>
          <w:rFonts w:eastAsia="Times New Roman" w:cs="Arial"/>
          <w:bCs/>
          <w:position w:val="-1"/>
          <w:lang w:eastAsia="en-AU"/>
        </w:rPr>
        <w:tab/>
      </w:r>
      <w:r w:rsidRPr="00B32FF0">
        <w:rPr>
          <w:rFonts w:eastAsia="Times New Roman" w:cs="Arial"/>
          <w:b/>
          <w:position w:val="-1"/>
          <w:lang w:eastAsia="en-AU"/>
        </w:rPr>
        <w:t>6</w:t>
      </w:r>
      <w:r w:rsidRPr="00B32FF0">
        <w:rPr>
          <w:rFonts w:eastAsia="Times New Roman" w:cs="Arial"/>
          <w:bCs/>
          <w:position w:val="-1"/>
          <w:lang w:eastAsia="en-AU"/>
        </w:rPr>
        <w:t> - within +/- 10%​</w:t>
      </w:r>
    </w:p>
    <w:p w14:paraId="7DF08591" w14:textId="1C0CA6BB" w:rsidR="00FE097E" w:rsidRPr="00B32FF0" w:rsidRDefault="00FE097E" w:rsidP="00800E00">
      <w:pPr>
        <w:tabs>
          <w:tab w:val="left" w:pos="3402"/>
          <w:tab w:val="left" w:pos="5670"/>
        </w:tabs>
        <w:spacing w:after="0"/>
        <w:ind w:left="395"/>
        <w:textAlignment w:val="baseline"/>
        <w:rPr>
          <w:rFonts w:eastAsia="Times New Roman" w:cs="Arial"/>
          <w:bCs/>
          <w:position w:val="-1"/>
          <w:lang w:eastAsia="en-AU"/>
        </w:rPr>
      </w:pPr>
      <w:r w:rsidRPr="00706E93">
        <w:rPr>
          <w:rFonts w:eastAsia="Times New Roman" w:cs="Arial"/>
          <w:b/>
          <w:position w:val="-1"/>
          <w:lang w:eastAsia="en-AU"/>
        </w:rPr>
        <w:t>7</w:t>
      </w:r>
      <w:r w:rsidRPr="00B32FF0">
        <w:rPr>
          <w:rFonts w:eastAsia="Times New Roman" w:cs="Arial"/>
          <w:bCs/>
          <w:position w:val="-1"/>
          <w:lang w:eastAsia="en-AU"/>
        </w:rPr>
        <w:t> </w:t>
      </w:r>
      <w:r w:rsidR="00F243DC" w:rsidRPr="00B32FF0">
        <w:rPr>
          <w:rFonts w:eastAsia="Times New Roman" w:cs="Arial"/>
          <w:bCs/>
          <w:position w:val="-1"/>
          <w:lang w:eastAsia="en-AU"/>
        </w:rPr>
        <w:t>–</w:t>
      </w:r>
      <w:r w:rsidRPr="00B32FF0">
        <w:rPr>
          <w:rFonts w:eastAsia="Times New Roman" w:cs="Arial"/>
          <w:bCs/>
          <w:position w:val="-1"/>
          <w:lang w:eastAsia="en-AU"/>
        </w:rPr>
        <w:t xml:space="preserve"> within +/- 7.5% </w:t>
      </w:r>
      <w:r w:rsidR="00B32FF0">
        <w:rPr>
          <w:rFonts w:eastAsia="Times New Roman" w:cs="Arial"/>
          <w:bCs/>
          <w:position w:val="-1"/>
          <w:lang w:eastAsia="en-AU"/>
        </w:rPr>
        <w:tab/>
      </w:r>
      <w:r w:rsidRPr="00B32FF0">
        <w:rPr>
          <w:rFonts w:eastAsia="Times New Roman" w:cs="Arial"/>
          <w:b/>
          <w:position w:val="-1"/>
          <w:lang w:eastAsia="en-AU"/>
        </w:rPr>
        <w:t>8</w:t>
      </w:r>
      <w:r w:rsidRPr="00B32FF0">
        <w:rPr>
          <w:rFonts w:eastAsia="Times New Roman" w:cs="Arial"/>
          <w:bCs/>
          <w:position w:val="-1"/>
          <w:lang w:eastAsia="en-AU"/>
        </w:rPr>
        <w:t xml:space="preserve"> - within +/- 5% </w:t>
      </w:r>
      <w:r w:rsidR="00B32FF0">
        <w:rPr>
          <w:rFonts w:eastAsia="Times New Roman" w:cs="Arial"/>
          <w:bCs/>
          <w:position w:val="-1"/>
          <w:lang w:eastAsia="en-AU"/>
        </w:rPr>
        <w:tab/>
      </w:r>
      <w:r w:rsidRPr="00B32FF0">
        <w:rPr>
          <w:rFonts w:eastAsia="Times New Roman" w:cs="Arial"/>
          <w:b/>
          <w:position w:val="-1"/>
          <w:lang w:eastAsia="en-AU"/>
        </w:rPr>
        <w:t>9</w:t>
      </w:r>
      <w:r w:rsidRPr="00B32FF0">
        <w:rPr>
          <w:rFonts w:eastAsia="Times New Roman" w:cs="Arial"/>
          <w:bCs/>
          <w:position w:val="-1"/>
          <w:lang w:eastAsia="en-AU"/>
        </w:rPr>
        <w:t xml:space="preserve"> - within +/- 2.5% </w:t>
      </w:r>
    </w:p>
    <w:p w14:paraId="4E4BAFD7" w14:textId="77777777" w:rsidR="00671A30" w:rsidRDefault="00671A30" w:rsidP="00671A30">
      <w:pPr>
        <w:tabs>
          <w:tab w:val="left" w:pos="3402"/>
          <w:tab w:val="left" w:pos="5670"/>
        </w:tabs>
        <w:spacing w:after="0"/>
        <w:textAlignment w:val="baseline"/>
        <w:rPr>
          <w:rFonts w:eastAsia="Times New Roman" w:cs="Arial"/>
          <w:bCs/>
          <w:position w:val="-1"/>
          <w:lang w:eastAsia="en-AU"/>
        </w:rPr>
      </w:pPr>
    </w:p>
    <w:p w14:paraId="59ED1065" w14:textId="77777777" w:rsidR="00243847" w:rsidRDefault="00243847" w:rsidP="00671A30">
      <w:pPr>
        <w:spacing w:after="0"/>
        <w:textAlignment w:val="baseline"/>
        <w:rPr>
          <w:b/>
          <w:bCs/>
          <w:i/>
          <w:iCs/>
          <w:sz w:val="22"/>
          <w:szCs w:val="22"/>
        </w:rPr>
      </w:pPr>
    </w:p>
    <w:p w14:paraId="7D20954D" w14:textId="66DFC42D" w:rsidR="00671A30" w:rsidRPr="00B32FF0" w:rsidRDefault="00671A30" w:rsidP="00A35FEB">
      <w:pPr>
        <w:textAlignment w:val="baseline"/>
        <w:rPr>
          <w:rFonts w:eastAsia="Times New Roman" w:cs="Arial"/>
          <w:bCs/>
          <w:position w:val="-1"/>
          <w:lang w:eastAsia="en-AU"/>
        </w:rPr>
      </w:pPr>
      <w:r w:rsidRPr="00CE6C4E">
        <w:rPr>
          <w:b/>
          <w:bCs/>
          <w:i/>
          <w:iCs/>
          <w:sz w:val="22"/>
          <w:szCs w:val="22"/>
        </w:rPr>
        <w:t xml:space="preserve">Table </w:t>
      </w:r>
      <w:r w:rsidR="000E05CE">
        <w:rPr>
          <w:b/>
          <w:bCs/>
          <w:i/>
          <w:iCs/>
          <w:sz w:val="22"/>
          <w:szCs w:val="22"/>
        </w:rPr>
        <w:t>79</w:t>
      </w:r>
      <w:r w:rsidR="007A3FE9" w:rsidRPr="00CE6C4E">
        <w:rPr>
          <w:b/>
          <w:bCs/>
          <w:i/>
          <w:iCs/>
          <w:sz w:val="22"/>
          <w:szCs w:val="22"/>
        </w:rPr>
        <w:t xml:space="preserve">: </w:t>
      </w:r>
      <w:r w:rsidR="00A42F36">
        <w:rPr>
          <w:b/>
          <w:bCs/>
          <w:i/>
          <w:iCs/>
          <w:sz w:val="22"/>
          <w:szCs w:val="22"/>
        </w:rPr>
        <w:t xml:space="preserve">Capital expenditure </w:t>
      </w:r>
      <w:r w:rsidR="007A3FE9">
        <w:rPr>
          <w:b/>
          <w:bCs/>
          <w:i/>
          <w:iCs/>
          <w:sz w:val="22"/>
          <w:szCs w:val="22"/>
        </w:rPr>
        <w:t>performance</w:t>
      </w:r>
      <w:r w:rsidR="007B29B0">
        <w:rPr>
          <w:b/>
          <w:bCs/>
          <w:i/>
          <w:iCs/>
          <w:sz w:val="22"/>
          <w:szCs w:val="22"/>
        </w:rPr>
        <w:t xml:space="preserve"> </w:t>
      </w:r>
      <w:r w:rsidR="007B29B0" w:rsidRPr="007B29B0">
        <w:rPr>
          <w:b/>
          <w:bCs/>
          <w:i/>
          <w:iCs/>
          <w:sz w:val="22"/>
          <w:szCs w:val="22"/>
        </w:rPr>
        <w:t>($20</w:t>
      </w:r>
      <w:r w:rsidR="007B29B0">
        <w:rPr>
          <w:b/>
          <w:bCs/>
          <w:i/>
          <w:iCs/>
          <w:sz w:val="22"/>
          <w:szCs w:val="22"/>
        </w:rPr>
        <w:t>17</w:t>
      </w:r>
      <w:r w:rsidR="007B29B0" w:rsidRPr="007B29B0">
        <w:rPr>
          <w:b/>
          <w:bCs/>
          <w:i/>
          <w:iCs/>
          <w:sz w:val="22"/>
          <w:szCs w:val="22"/>
        </w:rPr>
        <w:t>–</w:t>
      </w:r>
      <w:r w:rsidR="007B29B0">
        <w:rPr>
          <w:b/>
          <w:bCs/>
          <w:i/>
          <w:iCs/>
          <w:sz w:val="22"/>
          <w:szCs w:val="22"/>
        </w:rPr>
        <w:t>18</w:t>
      </w:r>
      <w:r w:rsidR="007B29B0" w:rsidRPr="007B29B0">
        <w:rPr>
          <w:b/>
          <w:bCs/>
          <w:i/>
          <w:iCs/>
          <w:sz w:val="22"/>
          <w:szCs w:val="22"/>
        </w:rPr>
        <w:t>)</w:t>
      </w:r>
    </w:p>
    <w:tbl>
      <w:tblPr>
        <w:tblW w:w="5000" w:type="pct"/>
        <w:tblBorders>
          <w:top w:val="single" w:sz="4" w:space="0" w:color="002279"/>
          <w:left w:val="single" w:sz="4" w:space="0" w:color="002279"/>
          <w:bottom w:val="single" w:sz="4" w:space="0" w:color="002279"/>
          <w:right w:val="single" w:sz="4" w:space="0" w:color="002279"/>
          <w:insideH w:val="single" w:sz="4" w:space="0" w:color="002279"/>
          <w:insideV w:val="single" w:sz="4" w:space="0" w:color="002279"/>
        </w:tblBorders>
        <w:tblLook w:val="04A0" w:firstRow="1" w:lastRow="0" w:firstColumn="1" w:lastColumn="0" w:noHBand="0" w:noVBand="1"/>
      </w:tblPr>
      <w:tblGrid>
        <w:gridCol w:w="2370"/>
        <w:gridCol w:w="1461"/>
        <w:gridCol w:w="1461"/>
        <w:gridCol w:w="1461"/>
        <w:gridCol w:w="1461"/>
        <w:gridCol w:w="1461"/>
        <w:gridCol w:w="1676"/>
        <w:gridCol w:w="1348"/>
        <w:gridCol w:w="1249"/>
      </w:tblGrid>
      <w:tr w:rsidR="001F587D" w:rsidRPr="006B069A" w14:paraId="1A802B18" w14:textId="77777777" w:rsidTr="00F8713B">
        <w:trPr>
          <w:trHeight w:val="578"/>
        </w:trPr>
        <w:tc>
          <w:tcPr>
            <w:tcW w:w="1879" w:type="dxa"/>
            <w:tcBorders>
              <w:bottom w:val="single" w:sz="4" w:space="0" w:color="002279"/>
              <w:right w:val="single" w:sz="4" w:space="0" w:color="FFFFFF" w:themeColor="background1"/>
            </w:tcBorders>
            <w:shd w:val="clear" w:color="auto" w:fill="002279"/>
            <w:vAlign w:val="center"/>
            <w:hideMark/>
          </w:tcPr>
          <w:p w14:paraId="103042F7" w14:textId="35305092" w:rsidR="001F587D" w:rsidRPr="006B069A" w:rsidRDefault="001F587D" w:rsidP="001A01BC">
            <w:pPr>
              <w:spacing w:after="0"/>
              <w:jc w:val="center"/>
              <w:rPr>
                <w:rFonts w:asciiTheme="minorHAnsi" w:eastAsia="Times New Roman" w:hAnsiTheme="minorHAnsi" w:cstheme="minorHAnsi"/>
                <w:b/>
                <w:color w:val="FFFFFF" w:themeColor="background1"/>
                <w:sz w:val="20"/>
                <w:szCs w:val="20"/>
                <w:lang w:eastAsia="en-AU"/>
              </w:rPr>
            </w:pPr>
            <w:r w:rsidRPr="0026173B">
              <w:rPr>
                <w:rFonts w:asciiTheme="minorHAnsi" w:eastAsia="Times New Roman" w:hAnsiTheme="minorHAnsi" w:cstheme="minorHAnsi"/>
                <w:b/>
                <w:color w:val="FFFFFF" w:themeColor="background1"/>
                <w:sz w:val="20"/>
                <w:szCs w:val="20"/>
                <w:lang w:eastAsia="en-AU"/>
              </w:rPr>
              <w:t>Determination $M</w:t>
            </w:r>
          </w:p>
        </w:tc>
        <w:tc>
          <w:tcPr>
            <w:tcW w:w="1159" w:type="dxa"/>
            <w:tcBorders>
              <w:left w:val="single" w:sz="4" w:space="0" w:color="FFFFFF" w:themeColor="background1"/>
              <w:bottom w:val="single" w:sz="4" w:space="0" w:color="002279"/>
              <w:right w:val="single" w:sz="4" w:space="0" w:color="FFFFFF" w:themeColor="background1"/>
            </w:tcBorders>
            <w:shd w:val="clear" w:color="auto" w:fill="002279"/>
            <w:vAlign w:val="center"/>
            <w:hideMark/>
          </w:tcPr>
          <w:p w14:paraId="2685A8E4" w14:textId="4F8D72B5" w:rsidR="001F587D" w:rsidRPr="006B069A" w:rsidRDefault="001F587D" w:rsidP="001A01BC">
            <w:pPr>
              <w:spacing w:after="0"/>
              <w:jc w:val="center"/>
              <w:rPr>
                <w:rFonts w:asciiTheme="minorHAnsi" w:eastAsia="Times New Roman" w:hAnsiTheme="minorHAnsi" w:cstheme="minorHAnsi"/>
                <w:b/>
                <w:color w:val="FFFFFF" w:themeColor="background1"/>
                <w:sz w:val="20"/>
                <w:szCs w:val="20"/>
                <w:lang w:eastAsia="en-AU"/>
              </w:rPr>
            </w:pPr>
            <w:r w:rsidRPr="004B383B">
              <w:rPr>
                <w:rFonts w:asciiTheme="minorHAnsi" w:eastAsia="Times New Roman" w:hAnsiTheme="minorHAnsi" w:cstheme="minorHAnsi"/>
                <w:b/>
                <w:color w:val="FFFFFF" w:themeColor="background1"/>
                <w:sz w:val="20"/>
                <w:szCs w:val="20"/>
                <w:lang w:eastAsia="en-AU"/>
              </w:rPr>
              <w:t xml:space="preserve">2018—19 </w:t>
            </w:r>
            <w:r w:rsidR="00785F6D" w:rsidRPr="004B383B">
              <w:rPr>
                <w:rFonts w:asciiTheme="minorHAnsi" w:eastAsia="Times New Roman" w:hAnsiTheme="minorHAnsi" w:cstheme="minorHAnsi"/>
                <w:b/>
                <w:color w:val="FFFFFF" w:themeColor="background1"/>
                <w:sz w:val="20"/>
                <w:szCs w:val="20"/>
                <w:lang w:eastAsia="en-AU"/>
              </w:rPr>
              <w:t>a</w:t>
            </w:r>
            <w:r w:rsidRPr="0026173B">
              <w:rPr>
                <w:rFonts w:asciiTheme="minorHAnsi" w:eastAsia="Times New Roman" w:hAnsiTheme="minorHAnsi" w:cstheme="minorHAnsi"/>
                <w:b/>
                <w:color w:val="FFFFFF" w:themeColor="background1"/>
                <w:sz w:val="20"/>
                <w:szCs w:val="20"/>
                <w:lang w:eastAsia="en-AU"/>
              </w:rPr>
              <w:t>ctual</w:t>
            </w:r>
          </w:p>
        </w:tc>
        <w:tc>
          <w:tcPr>
            <w:tcW w:w="1159" w:type="dxa"/>
            <w:tcBorders>
              <w:left w:val="single" w:sz="4" w:space="0" w:color="FFFFFF" w:themeColor="background1"/>
              <w:bottom w:val="single" w:sz="4" w:space="0" w:color="002279"/>
              <w:right w:val="single" w:sz="4" w:space="0" w:color="FFFFFF" w:themeColor="background1"/>
            </w:tcBorders>
            <w:shd w:val="clear" w:color="auto" w:fill="002279"/>
            <w:vAlign w:val="center"/>
            <w:hideMark/>
          </w:tcPr>
          <w:p w14:paraId="70ACFE47" w14:textId="57594117" w:rsidR="001F587D" w:rsidRPr="006B069A" w:rsidRDefault="001F587D" w:rsidP="001A01BC">
            <w:pPr>
              <w:spacing w:after="0"/>
              <w:jc w:val="center"/>
              <w:rPr>
                <w:rFonts w:asciiTheme="minorHAnsi" w:eastAsia="Times New Roman" w:hAnsiTheme="minorHAnsi" w:cstheme="minorHAnsi"/>
                <w:b/>
                <w:color w:val="FFFFFF" w:themeColor="background1"/>
                <w:sz w:val="20"/>
                <w:szCs w:val="20"/>
                <w:lang w:eastAsia="en-AU"/>
              </w:rPr>
            </w:pPr>
            <w:r w:rsidRPr="004B383B">
              <w:rPr>
                <w:rFonts w:asciiTheme="minorHAnsi" w:eastAsia="Times New Roman" w:hAnsiTheme="minorHAnsi" w:cstheme="minorHAnsi"/>
                <w:b/>
                <w:color w:val="FFFFFF" w:themeColor="background1"/>
                <w:sz w:val="20"/>
                <w:szCs w:val="20"/>
                <w:lang w:eastAsia="en-AU"/>
              </w:rPr>
              <w:t xml:space="preserve">2019—20 </w:t>
            </w:r>
            <w:r w:rsidR="00785F6D" w:rsidRPr="004B383B">
              <w:rPr>
                <w:rFonts w:asciiTheme="minorHAnsi" w:eastAsia="Times New Roman" w:hAnsiTheme="minorHAnsi" w:cstheme="minorHAnsi"/>
                <w:b/>
                <w:color w:val="FFFFFF" w:themeColor="background1"/>
                <w:sz w:val="20"/>
                <w:szCs w:val="20"/>
                <w:lang w:eastAsia="en-AU"/>
              </w:rPr>
              <w:t>a</w:t>
            </w:r>
            <w:r w:rsidRPr="0026173B">
              <w:rPr>
                <w:rFonts w:asciiTheme="minorHAnsi" w:eastAsia="Times New Roman" w:hAnsiTheme="minorHAnsi" w:cstheme="minorHAnsi"/>
                <w:b/>
                <w:color w:val="FFFFFF" w:themeColor="background1"/>
                <w:sz w:val="20"/>
                <w:szCs w:val="20"/>
                <w:lang w:eastAsia="en-AU"/>
              </w:rPr>
              <w:t>ctual</w:t>
            </w:r>
          </w:p>
        </w:tc>
        <w:tc>
          <w:tcPr>
            <w:tcW w:w="1159" w:type="dxa"/>
            <w:tcBorders>
              <w:left w:val="single" w:sz="4" w:space="0" w:color="FFFFFF" w:themeColor="background1"/>
              <w:bottom w:val="single" w:sz="4" w:space="0" w:color="002279"/>
              <w:right w:val="single" w:sz="4" w:space="0" w:color="FFFFFF" w:themeColor="background1"/>
            </w:tcBorders>
            <w:shd w:val="clear" w:color="auto" w:fill="002279"/>
            <w:vAlign w:val="center"/>
            <w:hideMark/>
          </w:tcPr>
          <w:p w14:paraId="37A3E6A0" w14:textId="55EE4E10" w:rsidR="001F587D" w:rsidRPr="006B069A" w:rsidRDefault="001F587D" w:rsidP="001A01BC">
            <w:pPr>
              <w:spacing w:after="0"/>
              <w:jc w:val="center"/>
              <w:rPr>
                <w:rFonts w:asciiTheme="minorHAnsi" w:eastAsia="Times New Roman" w:hAnsiTheme="minorHAnsi" w:cstheme="minorHAnsi"/>
                <w:b/>
                <w:color w:val="FFFFFF" w:themeColor="background1"/>
                <w:sz w:val="20"/>
                <w:szCs w:val="20"/>
                <w:lang w:eastAsia="en-AU"/>
              </w:rPr>
            </w:pPr>
            <w:r w:rsidRPr="004B383B">
              <w:rPr>
                <w:rFonts w:asciiTheme="minorHAnsi" w:eastAsia="Times New Roman" w:hAnsiTheme="minorHAnsi" w:cstheme="minorHAnsi"/>
                <w:b/>
                <w:color w:val="FFFFFF" w:themeColor="background1"/>
                <w:sz w:val="20"/>
                <w:szCs w:val="20"/>
                <w:lang w:eastAsia="en-AU"/>
              </w:rPr>
              <w:t xml:space="preserve">2020—21 </w:t>
            </w:r>
            <w:r w:rsidR="00785F6D" w:rsidRPr="004B383B">
              <w:rPr>
                <w:rFonts w:asciiTheme="minorHAnsi" w:eastAsia="Times New Roman" w:hAnsiTheme="minorHAnsi" w:cstheme="minorHAnsi"/>
                <w:b/>
                <w:color w:val="FFFFFF" w:themeColor="background1"/>
                <w:sz w:val="20"/>
                <w:szCs w:val="20"/>
                <w:lang w:eastAsia="en-AU"/>
              </w:rPr>
              <w:t>a</w:t>
            </w:r>
            <w:r w:rsidRPr="0026173B">
              <w:rPr>
                <w:rFonts w:asciiTheme="minorHAnsi" w:eastAsia="Times New Roman" w:hAnsiTheme="minorHAnsi" w:cstheme="minorHAnsi"/>
                <w:b/>
                <w:color w:val="FFFFFF" w:themeColor="background1"/>
                <w:sz w:val="20"/>
                <w:szCs w:val="20"/>
                <w:lang w:eastAsia="en-AU"/>
              </w:rPr>
              <w:t>ctual</w:t>
            </w:r>
          </w:p>
        </w:tc>
        <w:tc>
          <w:tcPr>
            <w:tcW w:w="1159" w:type="dxa"/>
            <w:tcBorders>
              <w:left w:val="single" w:sz="4" w:space="0" w:color="FFFFFF" w:themeColor="background1"/>
              <w:bottom w:val="single" w:sz="4" w:space="0" w:color="002279"/>
              <w:right w:val="single" w:sz="4" w:space="0" w:color="FFFFFF" w:themeColor="background1"/>
            </w:tcBorders>
            <w:shd w:val="clear" w:color="auto" w:fill="002279"/>
            <w:vAlign w:val="center"/>
            <w:hideMark/>
          </w:tcPr>
          <w:p w14:paraId="25D35348" w14:textId="505E4F70" w:rsidR="001F587D" w:rsidRPr="006B069A" w:rsidRDefault="001F587D" w:rsidP="001A01BC">
            <w:pPr>
              <w:spacing w:after="0"/>
              <w:jc w:val="center"/>
              <w:rPr>
                <w:rFonts w:asciiTheme="minorHAnsi" w:eastAsia="Times New Roman" w:hAnsiTheme="minorHAnsi" w:cstheme="minorHAnsi"/>
                <w:b/>
                <w:color w:val="FFFFFF" w:themeColor="background1"/>
                <w:sz w:val="20"/>
                <w:szCs w:val="20"/>
                <w:lang w:eastAsia="en-AU"/>
              </w:rPr>
            </w:pPr>
            <w:r w:rsidRPr="004B383B">
              <w:rPr>
                <w:rFonts w:asciiTheme="minorHAnsi" w:eastAsia="Times New Roman" w:hAnsiTheme="minorHAnsi" w:cstheme="minorHAnsi"/>
                <w:b/>
                <w:color w:val="FFFFFF" w:themeColor="background1"/>
                <w:sz w:val="20"/>
                <w:szCs w:val="20"/>
                <w:lang w:eastAsia="en-AU"/>
              </w:rPr>
              <w:t xml:space="preserve">2021—22 </w:t>
            </w:r>
            <w:r w:rsidR="00785F6D" w:rsidRPr="004B383B">
              <w:rPr>
                <w:rFonts w:asciiTheme="minorHAnsi" w:eastAsia="Times New Roman" w:hAnsiTheme="minorHAnsi" w:cstheme="minorHAnsi"/>
                <w:b/>
                <w:color w:val="FFFFFF" w:themeColor="background1"/>
                <w:sz w:val="20"/>
                <w:szCs w:val="20"/>
                <w:lang w:eastAsia="en-AU"/>
              </w:rPr>
              <w:t>a</w:t>
            </w:r>
            <w:r w:rsidRPr="0026173B">
              <w:rPr>
                <w:rFonts w:asciiTheme="minorHAnsi" w:eastAsia="Times New Roman" w:hAnsiTheme="minorHAnsi" w:cstheme="minorHAnsi"/>
                <w:b/>
                <w:color w:val="FFFFFF" w:themeColor="background1"/>
                <w:sz w:val="20"/>
                <w:szCs w:val="20"/>
                <w:lang w:eastAsia="en-AU"/>
              </w:rPr>
              <w:t>ctual</w:t>
            </w:r>
          </w:p>
        </w:tc>
        <w:tc>
          <w:tcPr>
            <w:tcW w:w="1159" w:type="dxa"/>
            <w:tcBorders>
              <w:left w:val="single" w:sz="4" w:space="0" w:color="FFFFFF" w:themeColor="background1"/>
              <w:bottom w:val="single" w:sz="4" w:space="0" w:color="002279"/>
              <w:right w:val="single" w:sz="4" w:space="0" w:color="FFFFFF" w:themeColor="background1"/>
            </w:tcBorders>
            <w:shd w:val="clear" w:color="auto" w:fill="002279"/>
            <w:vAlign w:val="center"/>
            <w:hideMark/>
          </w:tcPr>
          <w:p w14:paraId="372EABC0" w14:textId="075E2190" w:rsidR="001F587D" w:rsidRPr="006B069A" w:rsidRDefault="001F587D" w:rsidP="001A01BC">
            <w:pPr>
              <w:spacing w:after="0"/>
              <w:jc w:val="center"/>
              <w:rPr>
                <w:rFonts w:asciiTheme="minorHAnsi" w:eastAsia="Times New Roman" w:hAnsiTheme="minorHAnsi" w:cstheme="minorHAnsi"/>
                <w:b/>
                <w:color w:val="FFFFFF" w:themeColor="background1"/>
                <w:sz w:val="20"/>
                <w:szCs w:val="20"/>
                <w:lang w:eastAsia="en-AU"/>
              </w:rPr>
            </w:pPr>
            <w:r w:rsidRPr="004B383B">
              <w:rPr>
                <w:rFonts w:asciiTheme="minorHAnsi" w:eastAsia="Times New Roman" w:hAnsiTheme="minorHAnsi" w:cstheme="minorHAnsi"/>
                <w:b/>
                <w:color w:val="FFFFFF" w:themeColor="background1"/>
                <w:sz w:val="20"/>
                <w:szCs w:val="20"/>
                <w:lang w:eastAsia="en-AU"/>
              </w:rPr>
              <w:t xml:space="preserve">2022—23 </w:t>
            </w:r>
            <w:r w:rsidR="00785F6D" w:rsidRPr="004B383B">
              <w:rPr>
                <w:rFonts w:asciiTheme="minorHAnsi" w:eastAsia="Times New Roman" w:hAnsiTheme="minorHAnsi" w:cstheme="minorHAnsi"/>
                <w:b/>
                <w:color w:val="FFFFFF" w:themeColor="background1"/>
                <w:sz w:val="20"/>
                <w:szCs w:val="20"/>
                <w:lang w:eastAsia="en-AU"/>
              </w:rPr>
              <w:t>f</w:t>
            </w:r>
            <w:r w:rsidRPr="0026173B">
              <w:rPr>
                <w:rFonts w:asciiTheme="minorHAnsi" w:eastAsia="Times New Roman" w:hAnsiTheme="minorHAnsi" w:cstheme="minorHAnsi"/>
                <w:b/>
                <w:color w:val="FFFFFF" w:themeColor="background1"/>
                <w:sz w:val="20"/>
                <w:szCs w:val="20"/>
                <w:lang w:eastAsia="en-AU"/>
              </w:rPr>
              <w:t>orecast</w:t>
            </w:r>
          </w:p>
        </w:tc>
        <w:tc>
          <w:tcPr>
            <w:tcW w:w="1329" w:type="dxa"/>
            <w:tcBorders>
              <w:left w:val="single" w:sz="4" w:space="0" w:color="FFFFFF" w:themeColor="background1"/>
              <w:bottom w:val="single" w:sz="4" w:space="0" w:color="002279"/>
              <w:right w:val="single" w:sz="4" w:space="0" w:color="FFFFFF" w:themeColor="background1"/>
            </w:tcBorders>
            <w:shd w:val="clear" w:color="auto" w:fill="002279"/>
            <w:vAlign w:val="center"/>
            <w:hideMark/>
          </w:tcPr>
          <w:p w14:paraId="147FC03E" w14:textId="3621B05F" w:rsidR="001F587D" w:rsidRPr="006B069A" w:rsidRDefault="002D3083" w:rsidP="001A01BC">
            <w:pPr>
              <w:spacing w:after="0"/>
              <w:jc w:val="center"/>
              <w:rPr>
                <w:rFonts w:asciiTheme="minorHAnsi" w:eastAsia="Times New Roman" w:hAnsiTheme="minorHAnsi" w:cstheme="minorHAnsi"/>
                <w:b/>
                <w:color w:val="FFFFFF" w:themeColor="background1"/>
                <w:sz w:val="20"/>
                <w:szCs w:val="20"/>
                <w:lang w:eastAsia="en-AU"/>
              </w:rPr>
            </w:pPr>
            <w:r w:rsidRPr="004B383B">
              <w:rPr>
                <w:rFonts w:asciiTheme="minorHAnsi" w:eastAsia="Times New Roman" w:hAnsiTheme="minorHAnsi" w:cstheme="minorHAnsi"/>
                <w:b/>
                <w:color w:val="FFFFFF" w:themeColor="background1"/>
                <w:sz w:val="20"/>
                <w:szCs w:val="20"/>
                <w:lang w:eastAsia="en-AU"/>
              </w:rPr>
              <w:t>Total</w:t>
            </w:r>
            <w:r w:rsidR="001F587D" w:rsidRPr="004B383B">
              <w:rPr>
                <w:rFonts w:asciiTheme="minorHAnsi" w:eastAsia="Times New Roman" w:hAnsiTheme="minorHAnsi" w:cstheme="minorHAnsi"/>
                <w:b/>
                <w:color w:val="FFFFFF" w:themeColor="background1"/>
                <w:sz w:val="20"/>
                <w:szCs w:val="20"/>
                <w:lang w:eastAsia="en-AU"/>
              </w:rPr>
              <w:t xml:space="preserve"> </w:t>
            </w:r>
            <w:r w:rsidR="00785F6D" w:rsidRPr="004B383B">
              <w:rPr>
                <w:rFonts w:asciiTheme="minorHAnsi" w:eastAsia="Times New Roman" w:hAnsiTheme="minorHAnsi" w:cstheme="minorHAnsi"/>
                <w:b/>
                <w:color w:val="FFFFFF" w:themeColor="background1"/>
                <w:sz w:val="20"/>
                <w:szCs w:val="20"/>
                <w:lang w:eastAsia="en-AU"/>
              </w:rPr>
              <w:t>s</w:t>
            </w:r>
            <w:r w:rsidR="001F587D" w:rsidRPr="004B383B">
              <w:rPr>
                <w:rFonts w:asciiTheme="minorHAnsi" w:eastAsia="Times New Roman" w:hAnsiTheme="minorHAnsi" w:cstheme="minorHAnsi"/>
                <w:b/>
                <w:color w:val="FFFFFF" w:themeColor="background1"/>
                <w:sz w:val="20"/>
                <w:szCs w:val="20"/>
                <w:lang w:eastAsia="en-AU"/>
              </w:rPr>
              <w:t>pend</w:t>
            </w:r>
          </w:p>
        </w:tc>
        <w:tc>
          <w:tcPr>
            <w:tcW w:w="1069" w:type="dxa"/>
            <w:tcBorders>
              <w:left w:val="single" w:sz="4" w:space="0" w:color="FFFFFF" w:themeColor="background1"/>
              <w:bottom w:val="single" w:sz="4" w:space="0" w:color="002279"/>
              <w:right w:val="single" w:sz="4" w:space="0" w:color="FFFFFF" w:themeColor="background1"/>
            </w:tcBorders>
            <w:shd w:val="clear" w:color="auto" w:fill="002279"/>
            <w:vAlign w:val="center"/>
            <w:hideMark/>
          </w:tcPr>
          <w:p w14:paraId="03FEB5B0" w14:textId="6B0CCBA5" w:rsidR="001F587D" w:rsidRPr="006B069A" w:rsidRDefault="001F587D" w:rsidP="001A01BC">
            <w:pPr>
              <w:spacing w:after="0"/>
              <w:jc w:val="center"/>
              <w:rPr>
                <w:rFonts w:asciiTheme="minorHAnsi" w:eastAsia="Times New Roman" w:hAnsiTheme="minorHAnsi" w:cstheme="minorHAnsi"/>
                <w:b/>
                <w:color w:val="FFFFFF" w:themeColor="background1"/>
                <w:sz w:val="20"/>
                <w:szCs w:val="20"/>
                <w:lang w:eastAsia="en-AU"/>
              </w:rPr>
            </w:pPr>
            <w:r w:rsidRPr="004B383B">
              <w:rPr>
                <w:rFonts w:asciiTheme="minorHAnsi" w:eastAsia="Times New Roman" w:hAnsiTheme="minorHAnsi" w:cstheme="minorHAnsi"/>
                <w:b/>
                <w:color w:val="FFFFFF" w:themeColor="background1"/>
                <w:sz w:val="20"/>
                <w:szCs w:val="20"/>
                <w:lang w:eastAsia="en-AU"/>
              </w:rPr>
              <w:t>Variance</w:t>
            </w:r>
          </w:p>
        </w:tc>
        <w:tc>
          <w:tcPr>
            <w:tcW w:w="991" w:type="dxa"/>
            <w:tcBorders>
              <w:left w:val="single" w:sz="4" w:space="0" w:color="FFFFFF" w:themeColor="background1"/>
              <w:bottom w:val="single" w:sz="4" w:space="0" w:color="002279"/>
            </w:tcBorders>
            <w:shd w:val="clear" w:color="auto" w:fill="002279"/>
            <w:vAlign w:val="center"/>
            <w:hideMark/>
          </w:tcPr>
          <w:p w14:paraId="7C95D102" w14:textId="64ED58EC" w:rsidR="001F587D" w:rsidRPr="006B069A" w:rsidRDefault="001F587D" w:rsidP="001A01BC">
            <w:pPr>
              <w:spacing w:after="0"/>
              <w:jc w:val="center"/>
              <w:rPr>
                <w:rFonts w:asciiTheme="minorHAnsi" w:eastAsia="Times New Roman" w:hAnsiTheme="minorHAnsi" w:cstheme="minorHAnsi"/>
                <w:b/>
                <w:color w:val="FFFFFF" w:themeColor="background1"/>
                <w:sz w:val="20"/>
                <w:szCs w:val="20"/>
                <w:lang w:eastAsia="en-AU"/>
              </w:rPr>
            </w:pPr>
            <w:r w:rsidRPr="004B383B">
              <w:rPr>
                <w:rFonts w:asciiTheme="minorHAnsi" w:eastAsia="Times New Roman" w:hAnsiTheme="minorHAnsi" w:cstheme="minorHAnsi"/>
                <w:b/>
                <w:color w:val="FFFFFF" w:themeColor="background1"/>
                <w:sz w:val="20"/>
                <w:szCs w:val="20"/>
                <w:lang w:eastAsia="en-AU"/>
              </w:rPr>
              <w:t>Score</w:t>
            </w:r>
          </w:p>
        </w:tc>
      </w:tr>
      <w:tr w:rsidR="00285D9B" w:rsidRPr="006B069A" w14:paraId="638289DB" w14:textId="77777777" w:rsidTr="001A01BC">
        <w:trPr>
          <w:trHeight w:val="369"/>
        </w:trPr>
        <w:tc>
          <w:tcPr>
            <w:tcW w:w="1879" w:type="dxa"/>
            <w:shd w:val="clear" w:color="auto" w:fill="auto"/>
            <w:noWrap/>
            <w:vAlign w:val="center"/>
            <w:hideMark/>
          </w:tcPr>
          <w:p w14:paraId="0883B243" w14:textId="77777777" w:rsidR="00285D9B" w:rsidRPr="006B069A" w:rsidRDefault="00285D9B" w:rsidP="001A01BC">
            <w:pPr>
              <w:spacing w:after="0"/>
              <w:ind w:firstLineChars="100" w:firstLine="200"/>
              <w:jc w:val="center"/>
              <w:rPr>
                <w:rFonts w:asciiTheme="minorHAnsi" w:eastAsia="Times New Roman" w:hAnsiTheme="minorHAnsi" w:cstheme="minorHAnsi"/>
                <w:sz w:val="20"/>
                <w:szCs w:val="20"/>
                <w:lang w:eastAsia="en-AU"/>
              </w:rPr>
            </w:pPr>
            <w:r w:rsidRPr="006B069A">
              <w:rPr>
                <w:rFonts w:asciiTheme="minorHAnsi" w:eastAsia="Times New Roman" w:hAnsiTheme="minorHAnsi" w:cstheme="minorHAnsi"/>
                <w:sz w:val="20"/>
                <w:szCs w:val="20"/>
                <w:lang w:eastAsia="en-AU"/>
              </w:rPr>
              <w:t>$1,112.03</w:t>
            </w:r>
          </w:p>
        </w:tc>
        <w:tc>
          <w:tcPr>
            <w:tcW w:w="1159" w:type="dxa"/>
            <w:shd w:val="clear" w:color="auto" w:fill="auto"/>
            <w:noWrap/>
            <w:vAlign w:val="center"/>
            <w:hideMark/>
          </w:tcPr>
          <w:p w14:paraId="3F5A7B72" w14:textId="212142CD" w:rsidR="00285D9B" w:rsidRPr="006B069A" w:rsidRDefault="00285D9B" w:rsidP="001A01BC">
            <w:pPr>
              <w:spacing w:after="0"/>
              <w:ind w:firstLineChars="100" w:firstLine="200"/>
              <w:jc w:val="center"/>
              <w:rPr>
                <w:rFonts w:asciiTheme="minorHAnsi" w:eastAsia="Times New Roman" w:hAnsiTheme="minorHAnsi" w:cstheme="minorHAnsi"/>
                <w:sz w:val="20"/>
                <w:szCs w:val="20"/>
                <w:lang w:eastAsia="en-AU"/>
              </w:rPr>
            </w:pPr>
            <w:r w:rsidRPr="006B069A">
              <w:rPr>
                <w:rFonts w:asciiTheme="minorHAnsi" w:eastAsia="Times New Roman" w:hAnsiTheme="minorHAnsi" w:cstheme="minorHAnsi"/>
                <w:sz w:val="20"/>
                <w:szCs w:val="20"/>
                <w:lang w:eastAsia="en-AU"/>
              </w:rPr>
              <w:t>$203.</w:t>
            </w:r>
            <w:r w:rsidR="003D7C7A">
              <w:rPr>
                <w:rFonts w:asciiTheme="minorHAnsi" w:eastAsia="Times New Roman" w:hAnsiTheme="minorHAnsi" w:cstheme="minorHAnsi"/>
                <w:sz w:val="20"/>
                <w:szCs w:val="20"/>
                <w:lang w:eastAsia="en-AU"/>
              </w:rPr>
              <w:t>17</w:t>
            </w:r>
          </w:p>
        </w:tc>
        <w:tc>
          <w:tcPr>
            <w:tcW w:w="1159" w:type="dxa"/>
            <w:shd w:val="clear" w:color="auto" w:fill="auto"/>
            <w:noWrap/>
            <w:vAlign w:val="center"/>
            <w:hideMark/>
          </w:tcPr>
          <w:p w14:paraId="0D3EACB8" w14:textId="76242E2B" w:rsidR="00285D9B" w:rsidRPr="006B069A" w:rsidRDefault="00285D9B" w:rsidP="001A01BC">
            <w:pPr>
              <w:spacing w:after="0"/>
              <w:ind w:firstLineChars="100" w:firstLine="200"/>
              <w:jc w:val="center"/>
              <w:rPr>
                <w:rFonts w:asciiTheme="minorHAnsi" w:eastAsia="Times New Roman" w:hAnsiTheme="minorHAnsi" w:cstheme="minorHAnsi"/>
                <w:sz w:val="20"/>
                <w:szCs w:val="20"/>
                <w:lang w:eastAsia="en-AU"/>
              </w:rPr>
            </w:pPr>
            <w:r w:rsidRPr="006B069A">
              <w:rPr>
                <w:rFonts w:asciiTheme="minorHAnsi" w:eastAsia="Times New Roman" w:hAnsiTheme="minorHAnsi" w:cstheme="minorHAnsi"/>
                <w:sz w:val="20"/>
                <w:szCs w:val="20"/>
                <w:lang w:eastAsia="en-AU"/>
              </w:rPr>
              <w:t>$251.</w:t>
            </w:r>
            <w:r w:rsidR="003D7C7A">
              <w:rPr>
                <w:rFonts w:asciiTheme="minorHAnsi" w:eastAsia="Times New Roman" w:hAnsiTheme="minorHAnsi" w:cstheme="minorHAnsi"/>
                <w:sz w:val="20"/>
                <w:szCs w:val="20"/>
                <w:lang w:eastAsia="en-AU"/>
              </w:rPr>
              <w:t>44</w:t>
            </w:r>
          </w:p>
        </w:tc>
        <w:tc>
          <w:tcPr>
            <w:tcW w:w="1159" w:type="dxa"/>
            <w:shd w:val="clear" w:color="auto" w:fill="auto"/>
            <w:noWrap/>
            <w:vAlign w:val="center"/>
            <w:hideMark/>
          </w:tcPr>
          <w:p w14:paraId="3874BC53" w14:textId="20B69B0A" w:rsidR="00285D9B" w:rsidRPr="006B069A" w:rsidRDefault="00285D9B" w:rsidP="001A01BC">
            <w:pPr>
              <w:spacing w:after="0"/>
              <w:ind w:firstLineChars="100" w:firstLine="200"/>
              <w:jc w:val="center"/>
              <w:rPr>
                <w:rFonts w:asciiTheme="minorHAnsi" w:eastAsia="Times New Roman" w:hAnsiTheme="minorHAnsi" w:cstheme="minorHAnsi"/>
                <w:sz w:val="20"/>
                <w:szCs w:val="20"/>
                <w:lang w:eastAsia="en-AU"/>
              </w:rPr>
            </w:pPr>
            <w:r w:rsidRPr="006B069A">
              <w:rPr>
                <w:rFonts w:asciiTheme="minorHAnsi" w:eastAsia="Times New Roman" w:hAnsiTheme="minorHAnsi" w:cstheme="minorHAnsi"/>
                <w:sz w:val="20"/>
                <w:szCs w:val="20"/>
                <w:lang w:eastAsia="en-AU"/>
              </w:rPr>
              <w:t>$22</w:t>
            </w:r>
            <w:r w:rsidR="003D7C7A">
              <w:rPr>
                <w:rFonts w:asciiTheme="minorHAnsi" w:eastAsia="Times New Roman" w:hAnsiTheme="minorHAnsi" w:cstheme="minorHAnsi"/>
                <w:sz w:val="20"/>
                <w:szCs w:val="20"/>
                <w:lang w:eastAsia="en-AU"/>
              </w:rPr>
              <w:t>6</w:t>
            </w:r>
            <w:r w:rsidRPr="006B069A">
              <w:rPr>
                <w:rFonts w:asciiTheme="minorHAnsi" w:eastAsia="Times New Roman" w:hAnsiTheme="minorHAnsi" w:cstheme="minorHAnsi"/>
                <w:sz w:val="20"/>
                <w:szCs w:val="20"/>
                <w:lang w:eastAsia="en-AU"/>
              </w:rPr>
              <w:t>.</w:t>
            </w:r>
            <w:r w:rsidR="003D7C7A">
              <w:rPr>
                <w:rFonts w:asciiTheme="minorHAnsi" w:eastAsia="Times New Roman" w:hAnsiTheme="minorHAnsi" w:cstheme="minorHAnsi"/>
                <w:sz w:val="20"/>
                <w:szCs w:val="20"/>
                <w:lang w:eastAsia="en-AU"/>
              </w:rPr>
              <w:t>13</w:t>
            </w:r>
          </w:p>
        </w:tc>
        <w:tc>
          <w:tcPr>
            <w:tcW w:w="1159" w:type="dxa"/>
            <w:shd w:val="clear" w:color="auto" w:fill="auto"/>
            <w:noWrap/>
            <w:vAlign w:val="center"/>
            <w:hideMark/>
          </w:tcPr>
          <w:p w14:paraId="71699FCE" w14:textId="37901407" w:rsidR="00285D9B" w:rsidRPr="006B069A" w:rsidRDefault="00285D9B" w:rsidP="001A01BC">
            <w:pPr>
              <w:spacing w:after="0"/>
              <w:ind w:firstLineChars="100" w:firstLine="200"/>
              <w:jc w:val="center"/>
              <w:rPr>
                <w:rFonts w:asciiTheme="minorHAnsi" w:eastAsia="Times New Roman" w:hAnsiTheme="minorHAnsi" w:cstheme="minorHAnsi"/>
                <w:sz w:val="20"/>
                <w:szCs w:val="20"/>
                <w:lang w:eastAsia="en-AU"/>
              </w:rPr>
            </w:pPr>
            <w:r w:rsidRPr="006B069A">
              <w:rPr>
                <w:rFonts w:asciiTheme="minorHAnsi" w:eastAsia="Times New Roman" w:hAnsiTheme="minorHAnsi" w:cstheme="minorHAnsi"/>
                <w:sz w:val="20"/>
                <w:szCs w:val="20"/>
                <w:lang w:eastAsia="en-AU"/>
              </w:rPr>
              <w:t>$16</w:t>
            </w:r>
            <w:r w:rsidR="00E314A8">
              <w:rPr>
                <w:rFonts w:asciiTheme="minorHAnsi" w:eastAsia="Times New Roman" w:hAnsiTheme="minorHAnsi" w:cstheme="minorHAnsi"/>
                <w:sz w:val="20"/>
                <w:szCs w:val="20"/>
                <w:lang w:eastAsia="en-AU"/>
              </w:rPr>
              <w:t>9</w:t>
            </w:r>
            <w:r w:rsidRPr="006B069A">
              <w:rPr>
                <w:rFonts w:asciiTheme="minorHAnsi" w:eastAsia="Times New Roman" w:hAnsiTheme="minorHAnsi" w:cstheme="minorHAnsi"/>
                <w:sz w:val="20"/>
                <w:szCs w:val="20"/>
                <w:lang w:eastAsia="en-AU"/>
              </w:rPr>
              <w:t>.</w:t>
            </w:r>
            <w:r w:rsidR="00E314A8">
              <w:rPr>
                <w:rFonts w:asciiTheme="minorHAnsi" w:eastAsia="Times New Roman" w:hAnsiTheme="minorHAnsi" w:cstheme="minorHAnsi"/>
                <w:sz w:val="20"/>
                <w:szCs w:val="20"/>
                <w:lang w:eastAsia="en-AU"/>
              </w:rPr>
              <w:t>39</w:t>
            </w:r>
          </w:p>
        </w:tc>
        <w:tc>
          <w:tcPr>
            <w:tcW w:w="1159" w:type="dxa"/>
            <w:shd w:val="clear" w:color="auto" w:fill="auto"/>
            <w:noWrap/>
            <w:vAlign w:val="center"/>
            <w:hideMark/>
          </w:tcPr>
          <w:p w14:paraId="7C249200" w14:textId="77777777" w:rsidR="00285D9B" w:rsidRPr="006B069A" w:rsidRDefault="00285D9B" w:rsidP="001A01BC">
            <w:pPr>
              <w:spacing w:after="0"/>
              <w:ind w:firstLineChars="100" w:firstLine="200"/>
              <w:jc w:val="center"/>
              <w:rPr>
                <w:rFonts w:asciiTheme="minorHAnsi" w:eastAsia="Times New Roman" w:hAnsiTheme="minorHAnsi" w:cstheme="minorHAnsi"/>
                <w:sz w:val="20"/>
                <w:szCs w:val="20"/>
                <w:lang w:eastAsia="en-AU"/>
              </w:rPr>
            </w:pPr>
            <w:r w:rsidRPr="006B069A">
              <w:rPr>
                <w:rFonts w:asciiTheme="minorHAnsi" w:eastAsia="Times New Roman" w:hAnsiTheme="minorHAnsi" w:cstheme="minorHAnsi"/>
                <w:sz w:val="20"/>
                <w:szCs w:val="20"/>
                <w:lang w:eastAsia="en-AU"/>
              </w:rPr>
              <w:t>$263.21</w:t>
            </w:r>
          </w:p>
        </w:tc>
        <w:tc>
          <w:tcPr>
            <w:tcW w:w="1329" w:type="dxa"/>
            <w:shd w:val="clear" w:color="auto" w:fill="auto"/>
            <w:noWrap/>
            <w:vAlign w:val="center"/>
            <w:hideMark/>
          </w:tcPr>
          <w:p w14:paraId="2202070F" w14:textId="21F986F9" w:rsidR="00285D9B" w:rsidRPr="006B069A" w:rsidRDefault="00285D9B" w:rsidP="001A01BC">
            <w:pPr>
              <w:spacing w:after="0"/>
              <w:ind w:firstLineChars="100" w:firstLine="200"/>
              <w:jc w:val="center"/>
              <w:rPr>
                <w:rFonts w:asciiTheme="minorHAnsi" w:eastAsia="Times New Roman" w:hAnsiTheme="minorHAnsi" w:cstheme="minorHAnsi"/>
                <w:sz w:val="20"/>
                <w:szCs w:val="20"/>
                <w:lang w:eastAsia="en-AU"/>
              </w:rPr>
            </w:pPr>
            <w:r w:rsidRPr="006B069A">
              <w:rPr>
                <w:rFonts w:asciiTheme="minorHAnsi" w:eastAsia="Times New Roman" w:hAnsiTheme="minorHAnsi" w:cstheme="minorHAnsi"/>
                <w:sz w:val="20"/>
                <w:szCs w:val="20"/>
                <w:lang w:eastAsia="en-AU"/>
              </w:rPr>
              <w:t>$1,1</w:t>
            </w:r>
            <w:r w:rsidR="00E314A8">
              <w:rPr>
                <w:rFonts w:asciiTheme="minorHAnsi" w:eastAsia="Times New Roman" w:hAnsiTheme="minorHAnsi" w:cstheme="minorHAnsi"/>
                <w:sz w:val="20"/>
                <w:szCs w:val="20"/>
                <w:lang w:eastAsia="en-AU"/>
              </w:rPr>
              <w:t>13</w:t>
            </w:r>
            <w:r w:rsidRPr="006B069A">
              <w:rPr>
                <w:rFonts w:asciiTheme="minorHAnsi" w:eastAsia="Times New Roman" w:hAnsiTheme="minorHAnsi" w:cstheme="minorHAnsi"/>
                <w:sz w:val="20"/>
                <w:szCs w:val="20"/>
                <w:lang w:eastAsia="en-AU"/>
              </w:rPr>
              <w:t>.</w:t>
            </w:r>
            <w:r w:rsidR="00E314A8">
              <w:rPr>
                <w:rFonts w:asciiTheme="minorHAnsi" w:eastAsia="Times New Roman" w:hAnsiTheme="minorHAnsi" w:cstheme="minorHAnsi"/>
                <w:sz w:val="20"/>
                <w:szCs w:val="20"/>
                <w:lang w:eastAsia="en-AU"/>
              </w:rPr>
              <w:t>33</w:t>
            </w:r>
          </w:p>
        </w:tc>
        <w:tc>
          <w:tcPr>
            <w:tcW w:w="1069" w:type="dxa"/>
            <w:shd w:val="clear" w:color="auto" w:fill="auto"/>
            <w:noWrap/>
            <w:vAlign w:val="center"/>
            <w:hideMark/>
          </w:tcPr>
          <w:p w14:paraId="42D58412" w14:textId="7BA081EF" w:rsidR="00285D9B" w:rsidRPr="006B069A" w:rsidRDefault="0004283B" w:rsidP="001A01BC">
            <w:pPr>
              <w:spacing w:after="0"/>
              <w:jc w:val="center"/>
              <w:rPr>
                <w:rFonts w:asciiTheme="minorHAnsi" w:eastAsia="Times New Roman" w:hAnsiTheme="minorHAnsi" w:cstheme="minorHAnsi"/>
                <w:sz w:val="20"/>
                <w:szCs w:val="20"/>
                <w:lang w:eastAsia="en-AU"/>
              </w:rPr>
            </w:pPr>
            <w:r>
              <w:rPr>
                <w:rFonts w:asciiTheme="minorHAnsi" w:eastAsia="Times New Roman" w:hAnsiTheme="minorHAnsi" w:cstheme="minorHAnsi"/>
                <w:sz w:val="20"/>
                <w:szCs w:val="20"/>
                <w:lang w:eastAsia="en-AU"/>
              </w:rPr>
              <w:t>0.</w:t>
            </w:r>
            <w:r w:rsidR="00285D9B" w:rsidRPr="006B069A">
              <w:rPr>
                <w:rFonts w:asciiTheme="minorHAnsi" w:eastAsia="Times New Roman" w:hAnsiTheme="minorHAnsi" w:cstheme="minorHAnsi"/>
                <w:sz w:val="20"/>
                <w:szCs w:val="20"/>
                <w:lang w:eastAsia="en-AU"/>
              </w:rPr>
              <w:t>1%</w:t>
            </w:r>
          </w:p>
        </w:tc>
        <w:tc>
          <w:tcPr>
            <w:tcW w:w="991" w:type="dxa"/>
            <w:shd w:val="clear" w:color="auto" w:fill="auto"/>
            <w:noWrap/>
            <w:vAlign w:val="center"/>
            <w:hideMark/>
          </w:tcPr>
          <w:p w14:paraId="54CD4FFD" w14:textId="77777777" w:rsidR="00285D9B" w:rsidRPr="006B069A" w:rsidRDefault="00285D9B" w:rsidP="001A01BC">
            <w:pPr>
              <w:spacing w:after="0"/>
              <w:jc w:val="center"/>
              <w:rPr>
                <w:rFonts w:asciiTheme="minorHAnsi" w:eastAsia="Times New Roman" w:hAnsiTheme="minorHAnsi" w:cstheme="minorHAnsi"/>
                <w:sz w:val="20"/>
                <w:szCs w:val="20"/>
                <w:lang w:eastAsia="en-AU"/>
              </w:rPr>
            </w:pPr>
            <w:r w:rsidRPr="006B069A">
              <w:rPr>
                <w:rFonts w:asciiTheme="minorHAnsi" w:eastAsia="Times New Roman" w:hAnsiTheme="minorHAnsi" w:cstheme="minorHAnsi"/>
                <w:sz w:val="20"/>
                <w:szCs w:val="20"/>
                <w:lang w:eastAsia="en-AU"/>
              </w:rPr>
              <w:t>9</w:t>
            </w:r>
          </w:p>
        </w:tc>
      </w:tr>
    </w:tbl>
    <w:p w14:paraId="39D62343" w14:textId="77777777" w:rsidR="00FE097E" w:rsidRDefault="00FE097E" w:rsidP="001F084D">
      <w:pPr>
        <w:spacing w:after="0"/>
        <w:ind w:left="360"/>
        <w:textAlignment w:val="baseline"/>
      </w:pPr>
    </w:p>
    <w:p w14:paraId="1655047E" w14:textId="21AC10E9" w:rsidR="005F7213" w:rsidRDefault="005F7213" w:rsidP="005F7213">
      <w:pPr>
        <w:spacing w:after="0"/>
        <w:textAlignment w:val="baseline"/>
        <w:rPr>
          <w:rFonts w:eastAsia="Times New Roman" w:cs="Arial"/>
          <w:position w:val="-1"/>
          <w:lang w:eastAsia="en-AU"/>
        </w:rPr>
      </w:pPr>
      <w:r>
        <w:rPr>
          <w:rFonts w:eastAsia="Times New Roman" w:cs="Arial"/>
          <w:position w:val="-1"/>
          <w:lang w:eastAsia="en-AU"/>
        </w:rPr>
        <w:t xml:space="preserve">The element is individually rated 4 out of 4: </w:t>
      </w:r>
      <w:r w:rsidRPr="00155498">
        <w:rPr>
          <w:rFonts w:eastAsia="Times New Roman" w:cs="Arial"/>
          <w:b/>
          <w:bCs/>
          <w:position w:val="-1"/>
          <w:lang w:eastAsia="en-AU"/>
        </w:rPr>
        <w:t xml:space="preserve">Very confident the element is </w:t>
      </w:r>
      <w:r w:rsidRPr="00155498">
        <w:rPr>
          <w:rFonts w:eastAsia="Times New Roman" w:cs="Arial"/>
          <w:b/>
          <w:bCs/>
          <w:i/>
          <w:iCs/>
          <w:position w:val="-1"/>
          <w:lang w:eastAsia="en-AU"/>
        </w:rPr>
        <w:t>‘Leading’.</w:t>
      </w:r>
    </w:p>
    <w:p w14:paraId="2FC009F7" w14:textId="1C9E66C5" w:rsidR="0033265B" w:rsidRDefault="00412E22">
      <w:pPr>
        <w:rPr>
          <w:b/>
          <w:bCs/>
        </w:rPr>
      </w:pPr>
      <w:r>
        <w:rPr>
          <w:b/>
          <w:bCs/>
        </w:rPr>
        <w:br w:type="page"/>
      </w:r>
    </w:p>
    <w:p w14:paraId="03D9653E" w14:textId="77777777" w:rsidR="0033265B" w:rsidRDefault="0033265B" w:rsidP="001F084D">
      <w:pPr>
        <w:spacing w:after="0"/>
        <w:ind w:left="360"/>
        <w:textAlignment w:val="baseline"/>
        <w:rPr>
          <w:b/>
          <w:bCs/>
        </w:rPr>
      </w:pPr>
    </w:p>
    <w:p w14:paraId="5EA24AE6" w14:textId="6E48558B" w:rsidR="0033265B" w:rsidRDefault="001E22B3">
      <w:pPr>
        <w:pStyle w:val="Heading2"/>
        <w:numPr>
          <w:ilvl w:val="1"/>
          <w:numId w:val="28"/>
        </w:numPr>
        <w:ind w:left="426" w:hanging="426"/>
      </w:pPr>
      <w:r>
        <w:t xml:space="preserve">Controllable operating expenditure (OPEX) </w:t>
      </w:r>
    </w:p>
    <w:p w14:paraId="488E264E" w14:textId="1DF111CA" w:rsidR="00FE6BAE" w:rsidRPr="003F4FA7" w:rsidRDefault="00FE6BAE" w:rsidP="00AA4FE8">
      <w:pPr>
        <w:spacing w:after="0"/>
        <w:textAlignment w:val="baseline"/>
        <w:rPr>
          <w:rFonts w:ascii="Segoe UI" w:eastAsia="Times New Roman" w:hAnsi="Segoe UI" w:cs="Segoe UI"/>
          <w:lang w:val="en-US" w:eastAsia="en-AU"/>
        </w:rPr>
      </w:pPr>
      <w:r w:rsidRPr="003F4FA7">
        <w:rPr>
          <w:rFonts w:eastAsia="Times New Roman" w:cs="Arial"/>
          <w:position w:val="-1"/>
          <w:lang w:eastAsia="en-AU"/>
        </w:rPr>
        <w:t>The fifth element to be assessed is the total controllable operating expenditure across the 2018</w:t>
      </w:r>
      <w:r w:rsidR="00F243DC">
        <w:rPr>
          <w:rFonts w:eastAsia="Times New Roman" w:cs="Arial"/>
          <w:position w:val="-1"/>
          <w:lang w:eastAsia="en-AU"/>
        </w:rPr>
        <w:t>–</w:t>
      </w:r>
      <w:r w:rsidRPr="003F4FA7">
        <w:rPr>
          <w:rFonts w:eastAsia="Times New Roman" w:cs="Arial"/>
          <w:position w:val="-1"/>
          <w:lang w:eastAsia="en-AU"/>
        </w:rPr>
        <w:t>23 regulatory period, excluding Melbourne Water bulk costs, environmental contributions and licence fees</w:t>
      </w:r>
      <w:r w:rsidR="008B429C">
        <w:rPr>
          <w:rFonts w:eastAsia="Times New Roman" w:cs="Arial"/>
          <w:position w:val="-1"/>
          <w:lang w:eastAsia="en-AU"/>
        </w:rPr>
        <w:t xml:space="preserve"> ($2017—18)</w:t>
      </w:r>
      <w:r w:rsidRPr="003F4FA7">
        <w:rPr>
          <w:rFonts w:eastAsia="Times New Roman" w:cs="Arial"/>
          <w:position w:val="-1"/>
          <w:lang w:eastAsia="en-AU"/>
        </w:rPr>
        <w:t>. This element will influence how we meet the efficiency hurdle rate and is a great metric to show how savings realised from the current regulatory period can be locked in and carr</w:t>
      </w:r>
      <w:r w:rsidR="00335DB4">
        <w:rPr>
          <w:rFonts w:eastAsia="Times New Roman" w:cs="Arial"/>
          <w:position w:val="-1"/>
          <w:lang w:eastAsia="en-AU"/>
        </w:rPr>
        <w:t>ied</w:t>
      </w:r>
      <w:r w:rsidRPr="003F4FA7">
        <w:rPr>
          <w:rFonts w:eastAsia="Times New Roman" w:cs="Arial"/>
          <w:position w:val="-1"/>
          <w:lang w:eastAsia="en-AU"/>
        </w:rPr>
        <w:t xml:space="preserve"> forward to the next.</w:t>
      </w:r>
      <w:r w:rsidRPr="003F4FA7">
        <w:rPr>
          <w:rFonts w:eastAsia="Times New Roman" w:cs="Arial"/>
          <w:lang w:val="en-US" w:eastAsia="en-AU"/>
        </w:rPr>
        <w:t>​</w:t>
      </w:r>
    </w:p>
    <w:p w14:paraId="1060558E" w14:textId="0703B329" w:rsidR="00FE6BAE" w:rsidRPr="003F4FA7" w:rsidRDefault="00FE6BAE" w:rsidP="00DE28B1">
      <w:pPr>
        <w:pStyle w:val="ListParagraph"/>
        <w:spacing w:after="0"/>
        <w:ind w:left="360"/>
        <w:textAlignment w:val="baseline"/>
        <w:rPr>
          <w:rFonts w:ascii="Segoe UI" w:eastAsia="Times New Roman" w:hAnsi="Segoe UI" w:cs="Segoe UI"/>
          <w:lang w:eastAsia="en-AU"/>
        </w:rPr>
      </w:pPr>
    </w:p>
    <w:p w14:paraId="5ABEEC8B" w14:textId="49EA04DC" w:rsidR="00FE6BAE" w:rsidRPr="003F4FA7" w:rsidRDefault="00FE6BAE" w:rsidP="00AA4FE8">
      <w:pPr>
        <w:spacing w:after="0"/>
        <w:textAlignment w:val="baseline"/>
        <w:rPr>
          <w:rFonts w:eastAsia="Times New Roman" w:cs="Arial"/>
          <w:position w:val="-1"/>
          <w:lang w:eastAsia="en-AU"/>
        </w:rPr>
      </w:pPr>
      <w:r w:rsidRPr="003F4FA7">
        <w:rPr>
          <w:rFonts w:eastAsia="Times New Roman" w:cs="Arial"/>
          <w:position w:val="-1"/>
          <w:lang w:eastAsia="en-AU"/>
        </w:rPr>
        <w:t xml:space="preserve">As with </w:t>
      </w:r>
      <w:r w:rsidR="0046340B" w:rsidRPr="003F4FA7">
        <w:rPr>
          <w:rFonts w:eastAsia="Times New Roman" w:cs="Arial"/>
          <w:position w:val="-1"/>
          <w:lang w:eastAsia="en-AU"/>
        </w:rPr>
        <w:t>c</w:t>
      </w:r>
      <w:r w:rsidRPr="003F4FA7">
        <w:rPr>
          <w:rFonts w:eastAsia="Times New Roman" w:cs="Arial"/>
          <w:position w:val="-1"/>
          <w:lang w:eastAsia="en-AU"/>
        </w:rPr>
        <w:t xml:space="preserve">apital </w:t>
      </w:r>
      <w:r w:rsidR="0046340B" w:rsidRPr="003F4FA7">
        <w:rPr>
          <w:rFonts w:eastAsia="Times New Roman" w:cs="Arial"/>
          <w:position w:val="-1"/>
          <w:lang w:eastAsia="en-AU"/>
        </w:rPr>
        <w:t>e</w:t>
      </w:r>
      <w:r w:rsidRPr="003F4FA7">
        <w:rPr>
          <w:rFonts w:eastAsia="Times New Roman" w:cs="Arial"/>
          <w:position w:val="-1"/>
          <w:lang w:eastAsia="en-AU"/>
        </w:rPr>
        <w:t>xpenditure, this assessment covers the entire 2018</w:t>
      </w:r>
      <w:r w:rsidR="00F243DC">
        <w:rPr>
          <w:rFonts w:eastAsia="Times New Roman" w:cs="Arial"/>
          <w:position w:val="-1"/>
          <w:lang w:eastAsia="en-AU"/>
        </w:rPr>
        <w:t>–</w:t>
      </w:r>
      <w:r w:rsidRPr="003F4FA7">
        <w:rPr>
          <w:rFonts w:eastAsia="Times New Roman" w:cs="Arial"/>
          <w:position w:val="-1"/>
          <w:lang w:eastAsia="en-AU"/>
        </w:rPr>
        <w:t xml:space="preserve">23 regulatory period expenditure (4 actuals + 1 forecast) and assigns a rating based on the variance between actual and the </w:t>
      </w:r>
      <w:r w:rsidR="00446018">
        <w:rPr>
          <w:rFonts w:eastAsia="Times New Roman" w:cs="Arial"/>
          <w:position w:val="-1"/>
          <w:lang w:eastAsia="en-AU"/>
        </w:rPr>
        <w:t>2018 Price Determination</w:t>
      </w:r>
      <w:r w:rsidRPr="003F4FA7">
        <w:rPr>
          <w:rFonts w:eastAsia="Times New Roman" w:cs="Arial"/>
          <w:position w:val="-1"/>
          <w:lang w:eastAsia="en-AU"/>
        </w:rPr>
        <w:t xml:space="preserve"> </w:t>
      </w:r>
      <w:r w:rsidR="00A43EBF">
        <w:rPr>
          <w:rFonts w:eastAsia="Times New Roman" w:cs="Arial"/>
          <w:position w:val="-1"/>
          <w:lang w:eastAsia="en-AU"/>
        </w:rPr>
        <w:t xml:space="preserve">in </w:t>
      </w:r>
      <w:r w:rsidR="00885415">
        <w:rPr>
          <w:rFonts w:eastAsia="Times New Roman" w:cs="Arial"/>
          <w:position w:val="-1"/>
          <w:lang w:eastAsia="en-AU"/>
        </w:rPr>
        <w:t>$2017—18</w:t>
      </w:r>
      <w:r w:rsidRPr="003F4FA7">
        <w:rPr>
          <w:rFonts w:eastAsia="Times New Roman" w:cs="Arial"/>
          <w:position w:val="-1"/>
          <w:lang w:eastAsia="en-AU"/>
        </w:rPr>
        <w:t xml:space="preserve"> using the criteria</w:t>
      </w:r>
      <w:r w:rsidR="0046340B" w:rsidRPr="003F4FA7">
        <w:rPr>
          <w:rFonts w:eastAsia="Times New Roman" w:cs="Arial"/>
          <w:position w:val="-1"/>
          <w:lang w:eastAsia="en-AU"/>
        </w:rPr>
        <w:t xml:space="preserve"> below: </w:t>
      </w:r>
    </w:p>
    <w:p w14:paraId="7FF212B5" w14:textId="77777777" w:rsidR="00DE28B1" w:rsidRPr="003F4FA7" w:rsidRDefault="00DE28B1" w:rsidP="00DE28B1">
      <w:pPr>
        <w:pStyle w:val="ListParagraph"/>
        <w:spacing w:after="0"/>
        <w:ind w:left="360"/>
        <w:textAlignment w:val="baseline"/>
        <w:rPr>
          <w:rFonts w:ascii="Segoe UI" w:eastAsia="Times New Roman" w:hAnsi="Segoe UI" w:cs="Segoe UI"/>
          <w:lang w:val="en-US" w:eastAsia="en-AU"/>
        </w:rPr>
      </w:pPr>
    </w:p>
    <w:p w14:paraId="02D628B1" w14:textId="555C697A" w:rsidR="00F406F3" w:rsidRPr="003F4FA7" w:rsidRDefault="00F406F3" w:rsidP="00DE28B1">
      <w:pPr>
        <w:spacing w:after="0"/>
        <w:ind w:left="720"/>
        <w:textAlignment w:val="baseline"/>
        <w:rPr>
          <w:rFonts w:ascii="Segoe UI" w:eastAsia="Times New Roman" w:hAnsi="Segoe UI" w:cs="Segoe UI"/>
          <w:lang w:val="en-US" w:eastAsia="en-AU"/>
        </w:rPr>
      </w:pPr>
      <w:r w:rsidRPr="003F4FA7">
        <w:rPr>
          <w:rFonts w:eastAsia="Times New Roman" w:cs="Arial"/>
          <w:b/>
          <w:position w:val="-1"/>
          <w:lang w:eastAsia="en-AU"/>
        </w:rPr>
        <w:t>1</w:t>
      </w:r>
      <w:r w:rsidRPr="003F4FA7">
        <w:rPr>
          <w:rFonts w:eastAsia="Times New Roman" w:cs="Arial"/>
          <w:position w:val="-1"/>
          <w:lang w:eastAsia="en-AU"/>
        </w:rPr>
        <w:t> </w:t>
      </w:r>
      <w:r w:rsidR="00F243DC">
        <w:rPr>
          <w:rFonts w:eastAsia="Times New Roman" w:cs="Arial"/>
          <w:position w:val="-1"/>
          <w:lang w:eastAsia="en-AU"/>
        </w:rPr>
        <w:t>–</w:t>
      </w:r>
      <w:r w:rsidRPr="003F4FA7">
        <w:rPr>
          <w:rFonts w:eastAsia="Times New Roman" w:cs="Arial"/>
          <w:position w:val="-1"/>
          <w:lang w:eastAsia="en-AU"/>
        </w:rPr>
        <w:t xml:space="preserve"> Expenditure exceeded the </w:t>
      </w:r>
      <w:r w:rsidR="00BB00FB" w:rsidRPr="003F4FA7">
        <w:rPr>
          <w:rFonts w:eastAsia="Times New Roman" w:cs="Arial"/>
          <w:position w:val="-1"/>
          <w:lang w:eastAsia="en-AU"/>
        </w:rPr>
        <w:t>2018</w:t>
      </w:r>
      <w:r w:rsidR="00F243DC">
        <w:rPr>
          <w:rFonts w:eastAsia="Times New Roman" w:cs="Arial"/>
          <w:position w:val="-1"/>
          <w:lang w:eastAsia="en-AU"/>
        </w:rPr>
        <w:t>–</w:t>
      </w:r>
      <w:r w:rsidR="00BB00FB" w:rsidRPr="003F4FA7">
        <w:rPr>
          <w:rFonts w:eastAsia="Times New Roman" w:cs="Arial"/>
          <w:position w:val="-1"/>
          <w:lang w:eastAsia="en-AU"/>
        </w:rPr>
        <w:t xml:space="preserve">23 </w:t>
      </w:r>
      <w:r w:rsidRPr="003F4FA7">
        <w:rPr>
          <w:rFonts w:eastAsia="Times New Roman" w:cs="Arial"/>
          <w:position w:val="-1"/>
          <w:lang w:eastAsia="en-AU"/>
        </w:rPr>
        <w:t>allowance without demonstrated value improvements for customers </w:t>
      </w:r>
      <w:r w:rsidRPr="003F4FA7">
        <w:rPr>
          <w:rFonts w:eastAsia="Times New Roman" w:cs="Arial"/>
          <w:lang w:val="en-US" w:eastAsia="en-AU"/>
        </w:rPr>
        <w:t>​</w:t>
      </w:r>
    </w:p>
    <w:p w14:paraId="76BEF5C9" w14:textId="2C30EE2B" w:rsidR="00F406F3" w:rsidRPr="003F4FA7" w:rsidRDefault="00F406F3" w:rsidP="00DE28B1">
      <w:pPr>
        <w:spacing w:after="0"/>
        <w:ind w:left="720"/>
        <w:textAlignment w:val="baseline"/>
        <w:rPr>
          <w:rFonts w:ascii="Segoe UI" w:eastAsia="Times New Roman" w:hAnsi="Segoe UI" w:cs="Segoe UI"/>
          <w:lang w:val="en-US" w:eastAsia="en-AU"/>
        </w:rPr>
      </w:pPr>
      <w:r w:rsidRPr="003F4FA7">
        <w:rPr>
          <w:rFonts w:eastAsia="Times New Roman" w:cs="Arial"/>
          <w:lang w:eastAsia="en-AU"/>
        </w:rPr>
        <w:t>​</w:t>
      </w:r>
      <w:r w:rsidRPr="003F4FA7">
        <w:rPr>
          <w:rFonts w:eastAsia="Times New Roman" w:cs="Arial"/>
          <w:b/>
          <w:position w:val="-1"/>
          <w:lang w:eastAsia="en-AU"/>
        </w:rPr>
        <w:t>2</w:t>
      </w:r>
      <w:r w:rsidRPr="003F4FA7">
        <w:rPr>
          <w:rFonts w:eastAsia="Times New Roman" w:cs="Arial"/>
          <w:position w:val="-1"/>
          <w:lang w:eastAsia="en-AU"/>
        </w:rPr>
        <w:t> </w:t>
      </w:r>
      <w:r w:rsidR="00F243DC">
        <w:rPr>
          <w:rFonts w:eastAsia="Times New Roman" w:cs="Arial"/>
          <w:position w:val="-1"/>
          <w:lang w:eastAsia="en-AU"/>
        </w:rPr>
        <w:t>–</w:t>
      </w:r>
      <w:r w:rsidRPr="003F4FA7">
        <w:rPr>
          <w:rFonts w:eastAsia="Times New Roman" w:cs="Arial"/>
          <w:position w:val="-1"/>
          <w:lang w:eastAsia="en-AU"/>
        </w:rPr>
        <w:t xml:space="preserve"> Expenditure is in line with the </w:t>
      </w:r>
      <w:r w:rsidR="00BB00FB" w:rsidRPr="003F4FA7">
        <w:rPr>
          <w:rFonts w:eastAsia="Times New Roman" w:cs="Arial"/>
          <w:position w:val="-1"/>
          <w:lang w:eastAsia="en-AU"/>
        </w:rPr>
        <w:t>2018</w:t>
      </w:r>
      <w:r w:rsidR="00F243DC">
        <w:rPr>
          <w:rFonts w:eastAsia="Times New Roman" w:cs="Arial"/>
          <w:position w:val="-1"/>
          <w:lang w:eastAsia="en-AU"/>
        </w:rPr>
        <w:t>–</w:t>
      </w:r>
      <w:r w:rsidR="00BB00FB" w:rsidRPr="003F4FA7">
        <w:rPr>
          <w:rFonts w:eastAsia="Times New Roman" w:cs="Arial"/>
          <w:position w:val="-1"/>
          <w:lang w:eastAsia="en-AU"/>
        </w:rPr>
        <w:t>23</w:t>
      </w:r>
      <w:r w:rsidRPr="003F4FA7">
        <w:rPr>
          <w:rFonts w:eastAsia="Times New Roman" w:cs="Arial"/>
          <w:position w:val="-1"/>
          <w:lang w:eastAsia="en-AU"/>
        </w:rPr>
        <w:t xml:space="preserve"> allowance and any variance justified</w:t>
      </w:r>
      <w:r w:rsidRPr="003F4FA7">
        <w:rPr>
          <w:rFonts w:eastAsia="Times New Roman" w:cs="Arial"/>
          <w:lang w:val="en-US" w:eastAsia="en-AU"/>
        </w:rPr>
        <w:t>​</w:t>
      </w:r>
    </w:p>
    <w:p w14:paraId="617C8436" w14:textId="31ABA5D1" w:rsidR="00F406F3" w:rsidRDefault="00F406F3" w:rsidP="00DE28B1">
      <w:pPr>
        <w:spacing w:after="0"/>
        <w:ind w:left="720"/>
        <w:textAlignment w:val="baseline"/>
        <w:rPr>
          <w:rFonts w:eastAsia="Times New Roman" w:cs="Arial"/>
          <w:position w:val="-1"/>
          <w:lang w:eastAsia="en-AU"/>
        </w:rPr>
      </w:pPr>
      <w:r w:rsidRPr="003F4FA7">
        <w:rPr>
          <w:rFonts w:eastAsia="Times New Roman" w:cs="Arial"/>
          <w:b/>
          <w:position w:val="-1"/>
          <w:lang w:eastAsia="en-AU"/>
        </w:rPr>
        <w:t>3</w:t>
      </w:r>
      <w:r w:rsidRPr="003F4FA7">
        <w:rPr>
          <w:rFonts w:eastAsia="Times New Roman" w:cs="Arial"/>
          <w:position w:val="-1"/>
          <w:lang w:eastAsia="en-AU"/>
        </w:rPr>
        <w:t> </w:t>
      </w:r>
      <w:r w:rsidR="00F243DC">
        <w:rPr>
          <w:rFonts w:eastAsia="Times New Roman" w:cs="Arial"/>
          <w:position w:val="-1"/>
          <w:lang w:eastAsia="en-AU"/>
        </w:rPr>
        <w:t>–</w:t>
      </w:r>
      <w:r w:rsidRPr="003F4FA7">
        <w:rPr>
          <w:rFonts w:eastAsia="Times New Roman" w:cs="Arial"/>
          <w:position w:val="-1"/>
          <w:lang w:eastAsia="en-AU"/>
        </w:rPr>
        <w:t xml:space="preserve"> Underspent against the </w:t>
      </w:r>
      <w:r w:rsidR="00BB00FB" w:rsidRPr="003F4FA7">
        <w:rPr>
          <w:rFonts w:eastAsia="Times New Roman" w:cs="Arial"/>
          <w:position w:val="-1"/>
          <w:lang w:eastAsia="en-AU"/>
        </w:rPr>
        <w:t>2018</w:t>
      </w:r>
      <w:r w:rsidR="00F243DC">
        <w:rPr>
          <w:rFonts w:eastAsia="Times New Roman" w:cs="Arial"/>
          <w:position w:val="-1"/>
          <w:lang w:eastAsia="en-AU"/>
        </w:rPr>
        <w:t>–</w:t>
      </w:r>
      <w:r w:rsidR="00BB00FB" w:rsidRPr="003F4FA7">
        <w:rPr>
          <w:rFonts w:eastAsia="Times New Roman" w:cs="Arial"/>
          <w:position w:val="-1"/>
          <w:lang w:eastAsia="en-AU"/>
        </w:rPr>
        <w:t xml:space="preserve">23 </w:t>
      </w:r>
      <w:r w:rsidRPr="003F4FA7">
        <w:rPr>
          <w:rFonts w:eastAsia="Times New Roman" w:cs="Arial"/>
          <w:position w:val="-1"/>
          <w:lang w:eastAsia="en-AU"/>
        </w:rPr>
        <w:t>allowance and maintained outcomes</w:t>
      </w:r>
    </w:p>
    <w:p w14:paraId="65D0FE06" w14:textId="77777777" w:rsidR="002860F8" w:rsidRDefault="002860F8" w:rsidP="002860F8">
      <w:pPr>
        <w:spacing w:after="0"/>
        <w:textAlignment w:val="baseline"/>
        <w:rPr>
          <w:rFonts w:eastAsia="Times New Roman" w:cs="Arial"/>
          <w:b/>
          <w:position w:val="-1"/>
          <w:lang w:eastAsia="en-AU"/>
        </w:rPr>
      </w:pPr>
    </w:p>
    <w:p w14:paraId="6D54465B" w14:textId="77777777" w:rsidR="002860F8" w:rsidRDefault="002860F8" w:rsidP="002860F8">
      <w:pPr>
        <w:spacing w:after="0"/>
        <w:textAlignment w:val="baseline"/>
        <w:rPr>
          <w:b/>
          <w:bCs/>
          <w:i/>
          <w:iCs/>
          <w:sz w:val="22"/>
          <w:szCs w:val="22"/>
        </w:rPr>
      </w:pPr>
    </w:p>
    <w:p w14:paraId="2F76437C" w14:textId="3175DB40" w:rsidR="0026173B" w:rsidRPr="00A35FEB" w:rsidRDefault="002860F8" w:rsidP="00A35FEB">
      <w:pPr>
        <w:textAlignment w:val="baseline"/>
        <w:rPr>
          <w:rFonts w:eastAsia="Times New Roman" w:cs="Arial"/>
          <w:position w:val="-1"/>
          <w:lang w:eastAsia="en-AU"/>
        </w:rPr>
      </w:pPr>
      <w:r w:rsidRPr="00CE6C4E">
        <w:rPr>
          <w:b/>
          <w:bCs/>
          <w:i/>
          <w:iCs/>
          <w:sz w:val="22"/>
          <w:szCs w:val="22"/>
        </w:rPr>
        <w:t xml:space="preserve">Table </w:t>
      </w:r>
      <w:r w:rsidR="00C14DD9">
        <w:rPr>
          <w:b/>
          <w:bCs/>
          <w:i/>
          <w:iCs/>
          <w:sz w:val="22"/>
          <w:szCs w:val="22"/>
        </w:rPr>
        <w:t>80</w:t>
      </w:r>
      <w:r w:rsidRPr="00CE6C4E">
        <w:rPr>
          <w:b/>
          <w:bCs/>
          <w:i/>
          <w:iCs/>
          <w:sz w:val="22"/>
          <w:szCs w:val="22"/>
        </w:rPr>
        <w:t>:</w:t>
      </w:r>
      <w:r>
        <w:rPr>
          <w:b/>
          <w:bCs/>
          <w:i/>
          <w:iCs/>
          <w:sz w:val="22"/>
          <w:szCs w:val="22"/>
        </w:rPr>
        <w:t xml:space="preserve"> Controllable operating expenditure</w:t>
      </w:r>
      <w:r w:rsidR="007B29B0">
        <w:rPr>
          <w:b/>
          <w:bCs/>
          <w:i/>
          <w:iCs/>
          <w:sz w:val="22"/>
          <w:szCs w:val="22"/>
        </w:rPr>
        <w:t xml:space="preserve"> </w:t>
      </w:r>
      <w:r w:rsidR="007B29B0" w:rsidRPr="007B29B0">
        <w:rPr>
          <w:b/>
          <w:bCs/>
          <w:i/>
          <w:iCs/>
          <w:sz w:val="22"/>
          <w:szCs w:val="22"/>
        </w:rPr>
        <w:t>($20</w:t>
      </w:r>
      <w:r w:rsidR="007B29B0">
        <w:rPr>
          <w:b/>
          <w:bCs/>
          <w:i/>
          <w:iCs/>
          <w:sz w:val="22"/>
          <w:szCs w:val="22"/>
        </w:rPr>
        <w:t>17</w:t>
      </w:r>
      <w:r w:rsidR="007B29B0" w:rsidRPr="007B29B0">
        <w:rPr>
          <w:b/>
          <w:bCs/>
          <w:i/>
          <w:iCs/>
          <w:sz w:val="22"/>
          <w:szCs w:val="22"/>
        </w:rPr>
        <w:t>–</w:t>
      </w:r>
      <w:r w:rsidR="007B29B0">
        <w:rPr>
          <w:b/>
          <w:bCs/>
          <w:i/>
          <w:iCs/>
          <w:sz w:val="22"/>
          <w:szCs w:val="22"/>
        </w:rPr>
        <w:t>18</w:t>
      </w:r>
      <w:r w:rsidR="007B29B0" w:rsidRPr="007B29B0">
        <w:rPr>
          <w:b/>
          <w:bCs/>
          <w:i/>
          <w:iCs/>
          <w:sz w:val="22"/>
          <w:szCs w:val="22"/>
        </w:rPr>
        <w:t>)</w:t>
      </w:r>
    </w:p>
    <w:tbl>
      <w:tblPr>
        <w:tblW w:w="5000" w:type="pct"/>
        <w:tblBorders>
          <w:top w:val="single" w:sz="4" w:space="0" w:color="002279"/>
          <w:left w:val="single" w:sz="4" w:space="0" w:color="002279"/>
          <w:bottom w:val="single" w:sz="4" w:space="0" w:color="002279"/>
          <w:right w:val="single" w:sz="4" w:space="0" w:color="002279"/>
          <w:insideH w:val="single" w:sz="4" w:space="0" w:color="002279"/>
          <w:insideV w:val="single" w:sz="4" w:space="0" w:color="002279"/>
        </w:tblBorders>
        <w:tblLook w:val="04A0" w:firstRow="1" w:lastRow="0" w:firstColumn="1" w:lastColumn="0" w:noHBand="0" w:noVBand="1"/>
      </w:tblPr>
      <w:tblGrid>
        <w:gridCol w:w="2477"/>
        <w:gridCol w:w="1429"/>
        <w:gridCol w:w="1429"/>
        <w:gridCol w:w="1430"/>
        <w:gridCol w:w="1430"/>
        <w:gridCol w:w="1430"/>
        <w:gridCol w:w="1430"/>
        <w:gridCol w:w="1482"/>
        <w:gridCol w:w="1411"/>
      </w:tblGrid>
      <w:tr w:rsidR="0019194F" w:rsidRPr="0026173B" w14:paraId="482A47EE" w14:textId="77777777" w:rsidTr="00F8713B">
        <w:trPr>
          <w:trHeight w:val="641"/>
        </w:trPr>
        <w:tc>
          <w:tcPr>
            <w:tcW w:w="2045" w:type="dxa"/>
            <w:tcBorders>
              <w:bottom w:val="single" w:sz="4" w:space="0" w:color="002279"/>
              <w:right w:val="single" w:sz="4" w:space="0" w:color="FFFFFF" w:themeColor="background1"/>
            </w:tcBorders>
            <w:shd w:val="clear" w:color="auto" w:fill="002279"/>
            <w:vAlign w:val="center"/>
            <w:hideMark/>
          </w:tcPr>
          <w:p w14:paraId="5B492DCB" w14:textId="3E93AD55" w:rsidR="0026173B" w:rsidRPr="0026173B" w:rsidRDefault="0003246D" w:rsidP="001A01BC">
            <w:pPr>
              <w:spacing w:after="0"/>
              <w:jc w:val="center"/>
              <w:rPr>
                <w:rFonts w:asciiTheme="minorHAnsi" w:eastAsia="Times New Roman" w:hAnsiTheme="minorHAnsi" w:cstheme="minorHAnsi"/>
                <w:b/>
                <w:color w:val="FFFFFF" w:themeColor="background1"/>
                <w:sz w:val="20"/>
                <w:szCs w:val="20"/>
                <w:lang w:eastAsia="en-AU"/>
              </w:rPr>
            </w:pPr>
            <w:r w:rsidRPr="0026173B">
              <w:rPr>
                <w:rFonts w:asciiTheme="minorHAnsi" w:eastAsia="Times New Roman" w:hAnsiTheme="minorHAnsi" w:cstheme="minorHAnsi"/>
                <w:b/>
                <w:color w:val="FFFFFF" w:themeColor="background1"/>
                <w:sz w:val="20"/>
                <w:szCs w:val="20"/>
                <w:lang w:eastAsia="en-AU"/>
              </w:rPr>
              <w:t>Determination $M</w:t>
            </w:r>
          </w:p>
        </w:tc>
        <w:tc>
          <w:tcPr>
            <w:tcW w:w="1180" w:type="dxa"/>
            <w:tcBorders>
              <w:left w:val="single" w:sz="4" w:space="0" w:color="FFFFFF" w:themeColor="background1"/>
              <w:bottom w:val="single" w:sz="4" w:space="0" w:color="002279"/>
              <w:right w:val="single" w:sz="4" w:space="0" w:color="FFFFFF" w:themeColor="background1"/>
            </w:tcBorders>
            <w:shd w:val="clear" w:color="auto" w:fill="002279"/>
            <w:vAlign w:val="center"/>
            <w:hideMark/>
          </w:tcPr>
          <w:p w14:paraId="216EB464" w14:textId="03ED0BB4" w:rsidR="0026173B" w:rsidRPr="0026173B" w:rsidRDefault="001E5707" w:rsidP="001A01BC">
            <w:pPr>
              <w:spacing w:after="0"/>
              <w:jc w:val="center"/>
              <w:rPr>
                <w:rFonts w:asciiTheme="minorHAnsi" w:eastAsia="Times New Roman" w:hAnsiTheme="minorHAnsi" w:cstheme="minorHAnsi"/>
                <w:b/>
                <w:color w:val="FFFFFF" w:themeColor="background1"/>
                <w:sz w:val="20"/>
                <w:szCs w:val="20"/>
                <w:lang w:eastAsia="en-AU"/>
              </w:rPr>
            </w:pPr>
            <w:r w:rsidRPr="00960AC4">
              <w:rPr>
                <w:rFonts w:asciiTheme="minorHAnsi" w:eastAsia="Times New Roman" w:hAnsiTheme="minorHAnsi" w:cstheme="minorHAnsi"/>
                <w:b/>
                <w:color w:val="FFFFFF" w:themeColor="background1"/>
                <w:sz w:val="20"/>
                <w:szCs w:val="20"/>
                <w:lang w:eastAsia="en-AU"/>
              </w:rPr>
              <w:t>2018</w:t>
            </w:r>
            <w:r w:rsidR="0058310D" w:rsidRPr="00960AC4">
              <w:rPr>
                <w:rFonts w:asciiTheme="minorHAnsi" w:eastAsia="Times New Roman" w:hAnsiTheme="minorHAnsi" w:cstheme="minorHAnsi"/>
                <w:b/>
                <w:color w:val="FFFFFF" w:themeColor="background1"/>
                <w:sz w:val="20"/>
                <w:szCs w:val="20"/>
                <w:lang w:eastAsia="en-AU"/>
              </w:rPr>
              <w:t xml:space="preserve">—19 </w:t>
            </w:r>
            <w:r w:rsidR="009D65FF" w:rsidRPr="00960AC4">
              <w:rPr>
                <w:rFonts w:asciiTheme="minorHAnsi" w:eastAsia="Times New Roman" w:hAnsiTheme="minorHAnsi" w:cstheme="minorHAnsi"/>
                <w:b/>
                <w:color w:val="FFFFFF" w:themeColor="background1"/>
                <w:sz w:val="20"/>
                <w:szCs w:val="20"/>
                <w:lang w:eastAsia="en-AU"/>
              </w:rPr>
              <w:t>a</w:t>
            </w:r>
            <w:r w:rsidR="0026173B" w:rsidRPr="0026173B">
              <w:rPr>
                <w:rFonts w:asciiTheme="minorHAnsi" w:eastAsia="Times New Roman" w:hAnsiTheme="minorHAnsi" w:cstheme="minorHAnsi"/>
                <w:b/>
                <w:color w:val="FFFFFF" w:themeColor="background1"/>
                <w:sz w:val="20"/>
                <w:szCs w:val="20"/>
                <w:lang w:eastAsia="en-AU"/>
              </w:rPr>
              <w:t>ctual</w:t>
            </w:r>
          </w:p>
        </w:tc>
        <w:tc>
          <w:tcPr>
            <w:tcW w:w="1180" w:type="dxa"/>
            <w:tcBorders>
              <w:left w:val="single" w:sz="4" w:space="0" w:color="FFFFFF" w:themeColor="background1"/>
              <w:bottom w:val="single" w:sz="4" w:space="0" w:color="002279"/>
              <w:right w:val="single" w:sz="4" w:space="0" w:color="FFFFFF" w:themeColor="background1"/>
            </w:tcBorders>
            <w:shd w:val="clear" w:color="auto" w:fill="002279"/>
            <w:vAlign w:val="center"/>
            <w:hideMark/>
          </w:tcPr>
          <w:p w14:paraId="2F0B2C88" w14:textId="576C6133" w:rsidR="0026173B" w:rsidRPr="0026173B" w:rsidRDefault="0058310D" w:rsidP="001A01BC">
            <w:pPr>
              <w:spacing w:after="0"/>
              <w:jc w:val="center"/>
              <w:rPr>
                <w:rFonts w:asciiTheme="minorHAnsi" w:eastAsia="Times New Roman" w:hAnsiTheme="minorHAnsi" w:cstheme="minorHAnsi"/>
                <w:b/>
                <w:color w:val="FFFFFF" w:themeColor="background1"/>
                <w:sz w:val="20"/>
                <w:szCs w:val="20"/>
                <w:lang w:eastAsia="en-AU"/>
              </w:rPr>
            </w:pPr>
            <w:r w:rsidRPr="00960AC4">
              <w:rPr>
                <w:rFonts w:asciiTheme="minorHAnsi" w:eastAsia="Times New Roman" w:hAnsiTheme="minorHAnsi" w:cstheme="minorHAnsi"/>
                <w:b/>
                <w:color w:val="FFFFFF" w:themeColor="background1"/>
                <w:sz w:val="20"/>
                <w:szCs w:val="20"/>
                <w:lang w:eastAsia="en-AU"/>
              </w:rPr>
              <w:t xml:space="preserve">2019—20 </w:t>
            </w:r>
            <w:r w:rsidR="009D65FF" w:rsidRPr="00960AC4">
              <w:rPr>
                <w:rFonts w:asciiTheme="minorHAnsi" w:eastAsia="Times New Roman" w:hAnsiTheme="minorHAnsi" w:cstheme="minorHAnsi"/>
                <w:b/>
                <w:color w:val="FFFFFF" w:themeColor="background1"/>
                <w:sz w:val="20"/>
                <w:szCs w:val="20"/>
                <w:lang w:eastAsia="en-AU"/>
              </w:rPr>
              <w:t>a</w:t>
            </w:r>
            <w:r w:rsidR="0026173B" w:rsidRPr="0026173B">
              <w:rPr>
                <w:rFonts w:asciiTheme="minorHAnsi" w:eastAsia="Times New Roman" w:hAnsiTheme="minorHAnsi" w:cstheme="minorHAnsi"/>
                <w:b/>
                <w:color w:val="FFFFFF" w:themeColor="background1"/>
                <w:sz w:val="20"/>
                <w:szCs w:val="20"/>
                <w:lang w:eastAsia="en-AU"/>
              </w:rPr>
              <w:t>ctual</w:t>
            </w:r>
          </w:p>
        </w:tc>
        <w:tc>
          <w:tcPr>
            <w:tcW w:w="1180" w:type="dxa"/>
            <w:tcBorders>
              <w:left w:val="single" w:sz="4" w:space="0" w:color="FFFFFF" w:themeColor="background1"/>
              <w:bottom w:val="single" w:sz="4" w:space="0" w:color="002279"/>
              <w:right w:val="single" w:sz="4" w:space="0" w:color="FFFFFF" w:themeColor="background1"/>
            </w:tcBorders>
            <w:shd w:val="clear" w:color="auto" w:fill="002279"/>
            <w:vAlign w:val="center"/>
            <w:hideMark/>
          </w:tcPr>
          <w:p w14:paraId="5AB82CD4" w14:textId="43A60B8A" w:rsidR="0026173B" w:rsidRPr="0026173B" w:rsidRDefault="0058310D" w:rsidP="001A01BC">
            <w:pPr>
              <w:spacing w:after="0"/>
              <w:jc w:val="center"/>
              <w:rPr>
                <w:rFonts w:asciiTheme="minorHAnsi" w:eastAsia="Times New Roman" w:hAnsiTheme="minorHAnsi" w:cstheme="minorHAnsi"/>
                <w:b/>
                <w:color w:val="FFFFFF" w:themeColor="background1"/>
                <w:sz w:val="20"/>
                <w:szCs w:val="20"/>
                <w:lang w:eastAsia="en-AU"/>
              </w:rPr>
            </w:pPr>
            <w:r w:rsidRPr="00960AC4">
              <w:rPr>
                <w:rFonts w:asciiTheme="minorHAnsi" w:eastAsia="Times New Roman" w:hAnsiTheme="minorHAnsi" w:cstheme="minorHAnsi"/>
                <w:b/>
                <w:color w:val="FFFFFF" w:themeColor="background1"/>
                <w:sz w:val="20"/>
                <w:szCs w:val="20"/>
                <w:lang w:eastAsia="en-AU"/>
              </w:rPr>
              <w:t>2020—</w:t>
            </w:r>
            <w:r w:rsidR="009964D9" w:rsidRPr="00960AC4">
              <w:rPr>
                <w:rFonts w:asciiTheme="minorHAnsi" w:eastAsia="Times New Roman" w:hAnsiTheme="minorHAnsi" w:cstheme="minorHAnsi"/>
                <w:b/>
                <w:color w:val="FFFFFF" w:themeColor="background1"/>
                <w:sz w:val="20"/>
                <w:szCs w:val="20"/>
                <w:lang w:eastAsia="en-AU"/>
              </w:rPr>
              <w:t xml:space="preserve">21 </w:t>
            </w:r>
            <w:r w:rsidR="009D65FF" w:rsidRPr="00960AC4">
              <w:rPr>
                <w:rFonts w:asciiTheme="minorHAnsi" w:eastAsia="Times New Roman" w:hAnsiTheme="minorHAnsi" w:cstheme="minorHAnsi"/>
                <w:b/>
                <w:color w:val="FFFFFF" w:themeColor="background1"/>
                <w:sz w:val="20"/>
                <w:szCs w:val="20"/>
                <w:lang w:eastAsia="en-AU"/>
              </w:rPr>
              <w:t>a</w:t>
            </w:r>
            <w:r w:rsidR="0026173B" w:rsidRPr="0026173B">
              <w:rPr>
                <w:rFonts w:asciiTheme="minorHAnsi" w:eastAsia="Times New Roman" w:hAnsiTheme="minorHAnsi" w:cstheme="minorHAnsi"/>
                <w:b/>
                <w:color w:val="FFFFFF" w:themeColor="background1"/>
                <w:sz w:val="20"/>
                <w:szCs w:val="20"/>
                <w:lang w:eastAsia="en-AU"/>
              </w:rPr>
              <w:t>ctual</w:t>
            </w:r>
          </w:p>
        </w:tc>
        <w:tc>
          <w:tcPr>
            <w:tcW w:w="1180" w:type="dxa"/>
            <w:tcBorders>
              <w:left w:val="single" w:sz="4" w:space="0" w:color="FFFFFF" w:themeColor="background1"/>
              <w:bottom w:val="single" w:sz="4" w:space="0" w:color="002279"/>
              <w:right w:val="single" w:sz="4" w:space="0" w:color="FFFFFF" w:themeColor="background1"/>
            </w:tcBorders>
            <w:shd w:val="clear" w:color="auto" w:fill="002279"/>
            <w:vAlign w:val="center"/>
            <w:hideMark/>
          </w:tcPr>
          <w:p w14:paraId="669CAF88" w14:textId="3CFF4BF9" w:rsidR="0026173B" w:rsidRPr="0026173B" w:rsidRDefault="009964D9" w:rsidP="001A01BC">
            <w:pPr>
              <w:spacing w:after="0"/>
              <w:jc w:val="center"/>
              <w:rPr>
                <w:rFonts w:asciiTheme="minorHAnsi" w:eastAsia="Times New Roman" w:hAnsiTheme="minorHAnsi" w:cstheme="minorHAnsi"/>
                <w:b/>
                <w:color w:val="FFFFFF" w:themeColor="background1"/>
                <w:sz w:val="20"/>
                <w:szCs w:val="20"/>
                <w:lang w:eastAsia="en-AU"/>
              </w:rPr>
            </w:pPr>
            <w:r w:rsidRPr="00960AC4">
              <w:rPr>
                <w:rFonts w:asciiTheme="minorHAnsi" w:eastAsia="Times New Roman" w:hAnsiTheme="minorHAnsi" w:cstheme="minorHAnsi"/>
                <w:b/>
                <w:color w:val="FFFFFF" w:themeColor="background1"/>
                <w:sz w:val="20"/>
                <w:szCs w:val="20"/>
                <w:lang w:eastAsia="en-AU"/>
              </w:rPr>
              <w:t xml:space="preserve">2021—22 </w:t>
            </w:r>
            <w:r w:rsidR="009D65FF" w:rsidRPr="00960AC4">
              <w:rPr>
                <w:rFonts w:asciiTheme="minorHAnsi" w:eastAsia="Times New Roman" w:hAnsiTheme="minorHAnsi" w:cstheme="minorHAnsi"/>
                <w:b/>
                <w:color w:val="FFFFFF" w:themeColor="background1"/>
                <w:sz w:val="20"/>
                <w:szCs w:val="20"/>
                <w:lang w:eastAsia="en-AU"/>
              </w:rPr>
              <w:t>a</w:t>
            </w:r>
            <w:r w:rsidR="0026173B" w:rsidRPr="0026173B">
              <w:rPr>
                <w:rFonts w:asciiTheme="minorHAnsi" w:eastAsia="Times New Roman" w:hAnsiTheme="minorHAnsi" w:cstheme="minorHAnsi"/>
                <w:b/>
                <w:color w:val="FFFFFF" w:themeColor="background1"/>
                <w:sz w:val="20"/>
                <w:szCs w:val="20"/>
                <w:lang w:eastAsia="en-AU"/>
              </w:rPr>
              <w:t>ctual</w:t>
            </w:r>
          </w:p>
        </w:tc>
        <w:tc>
          <w:tcPr>
            <w:tcW w:w="1180" w:type="dxa"/>
            <w:tcBorders>
              <w:left w:val="single" w:sz="4" w:space="0" w:color="FFFFFF" w:themeColor="background1"/>
              <w:bottom w:val="single" w:sz="4" w:space="0" w:color="002279"/>
              <w:right w:val="single" w:sz="4" w:space="0" w:color="FFFFFF" w:themeColor="background1"/>
            </w:tcBorders>
            <w:shd w:val="clear" w:color="auto" w:fill="002279"/>
            <w:vAlign w:val="center"/>
            <w:hideMark/>
          </w:tcPr>
          <w:p w14:paraId="2406F18A" w14:textId="2385040F" w:rsidR="0026173B" w:rsidRPr="0026173B" w:rsidRDefault="009964D9" w:rsidP="001A01BC">
            <w:pPr>
              <w:spacing w:after="0"/>
              <w:jc w:val="center"/>
              <w:rPr>
                <w:rFonts w:asciiTheme="minorHAnsi" w:eastAsia="Times New Roman" w:hAnsiTheme="minorHAnsi" w:cstheme="minorHAnsi"/>
                <w:b/>
                <w:color w:val="FFFFFF" w:themeColor="background1"/>
                <w:sz w:val="20"/>
                <w:szCs w:val="20"/>
                <w:lang w:eastAsia="en-AU"/>
              </w:rPr>
            </w:pPr>
            <w:r w:rsidRPr="00960AC4">
              <w:rPr>
                <w:rFonts w:asciiTheme="minorHAnsi" w:eastAsia="Times New Roman" w:hAnsiTheme="minorHAnsi" w:cstheme="minorHAnsi"/>
                <w:b/>
                <w:color w:val="FFFFFF" w:themeColor="background1"/>
                <w:sz w:val="20"/>
                <w:szCs w:val="20"/>
                <w:lang w:eastAsia="en-AU"/>
              </w:rPr>
              <w:t xml:space="preserve">2022—23 </w:t>
            </w:r>
            <w:r w:rsidR="009D65FF" w:rsidRPr="00960AC4">
              <w:rPr>
                <w:rFonts w:asciiTheme="minorHAnsi" w:eastAsia="Times New Roman" w:hAnsiTheme="minorHAnsi" w:cstheme="minorHAnsi"/>
                <w:b/>
                <w:color w:val="FFFFFF" w:themeColor="background1"/>
                <w:sz w:val="20"/>
                <w:szCs w:val="20"/>
                <w:lang w:eastAsia="en-AU"/>
              </w:rPr>
              <w:t>f</w:t>
            </w:r>
            <w:r w:rsidR="0026173B" w:rsidRPr="0026173B">
              <w:rPr>
                <w:rFonts w:asciiTheme="minorHAnsi" w:eastAsia="Times New Roman" w:hAnsiTheme="minorHAnsi" w:cstheme="minorHAnsi"/>
                <w:b/>
                <w:color w:val="FFFFFF" w:themeColor="background1"/>
                <w:sz w:val="20"/>
                <w:szCs w:val="20"/>
                <w:lang w:eastAsia="en-AU"/>
              </w:rPr>
              <w:t>orecast</w:t>
            </w:r>
          </w:p>
        </w:tc>
        <w:tc>
          <w:tcPr>
            <w:tcW w:w="1180" w:type="dxa"/>
            <w:tcBorders>
              <w:left w:val="single" w:sz="4" w:space="0" w:color="FFFFFF" w:themeColor="background1"/>
              <w:bottom w:val="single" w:sz="4" w:space="0" w:color="002279"/>
              <w:right w:val="single" w:sz="4" w:space="0" w:color="FFFFFF" w:themeColor="background1"/>
            </w:tcBorders>
            <w:shd w:val="clear" w:color="auto" w:fill="002279"/>
            <w:vAlign w:val="center"/>
            <w:hideMark/>
          </w:tcPr>
          <w:p w14:paraId="396CFBA6" w14:textId="2FE1DDB4" w:rsidR="0026173B" w:rsidRPr="0026173B" w:rsidRDefault="002D3083" w:rsidP="001A01BC">
            <w:pPr>
              <w:spacing w:after="0"/>
              <w:jc w:val="center"/>
              <w:rPr>
                <w:rFonts w:asciiTheme="minorHAnsi" w:eastAsia="Times New Roman" w:hAnsiTheme="minorHAnsi" w:cstheme="minorHAnsi"/>
                <w:b/>
                <w:color w:val="FFFFFF" w:themeColor="background1"/>
                <w:sz w:val="20"/>
                <w:szCs w:val="20"/>
                <w:lang w:eastAsia="en-AU"/>
              </w:rPr>
            </w:pPr>
            <w:r w:rsidRPr="00960AC4">
              <w:rPr>
                <w:rFonts w:asciiTheme="minorHAnsi" w:eastAsia="Times New Roman" w:hAnsiTheme="minorHAnsi" w:cstheme="minorHAnsi"/>
                <w:b/>
                <w:color w:val="FFFFFF" w:themeColor="background1"/>
                <w:sz w:val="20"/>
                <w:szCs w:val="20"/>
                <w:lang w:eastAsia="en-AU"/>
              </w:rPr>
              <w:t>Total</w:t>
            </w:r>
            <w:r w:rsidR="009964D9" w:rsidRPr="00960AC4">
              <w:rPr>
                <w:rFonts w:asciiTheme="minorHAnsi" w:eastAsia="Times New Roman" w:hAnsiTheme="minorHAnsi" w:cstheme="minorHAnsi"/>
                <w:b/>
                <w:color w:val="FFFFFF" w:themeColor="background1"/>
                <w:sz w:val="20"/>
                <w:szCs w:val="20"/>
                <w:lang w:eastAsia="en-AU"/>
              </w:rPr>
              <w:t xml:space="preserve"> </w:t>
            </w:r>
            <w:r w:rsidR="009D65FF" w:rsidRPr="00960AC4">
              <w:rPr>
                <w:rFonts w:asciiTheme="minorHAnsi" w:eastAsia="Times New Roman" w:hAnsiTheme="minorHAnsi" w:cstheme="minorHAnsi"/>
                <w:b/>
                <w:color w:val="FFFFFF" w:themeColor="background1"/>
                <w:sz w:val="20"/>
                <w:szCs w:val="20"/>
                <w:lang w:eastAsia="en-AU"/>
              </w:rPr>
              <w:t>s</w:t>
            </w:r>
            <w:r w:rsidR="009964D9" w:rsidRPr="00960AC4">
              <w:rPr>
                <w:rFonts w:asciiTheme="minorHAnsi" w:eastAsia="Times New Roman" w:hAnsiTheme="minorHAnsi" w:cstheme="minorHAnsi"/>
                <w:b/>
                <w:color w:val="FFFFFF" w:themeColor="background1"/>
                <w:sz w:val="20"/>
                <w:szCs w:val="20"/>
                <w:lang w:eastAsia="en-AU"/>
              </w:rPr>
              <w:t>pend</w:t>
            </w:r>
          </w:p>
        </w:tc>
        <w:tc>
          <w:tcPr>
            <w:tcW w:w="1223" w:type="dxa"/>
            <w:tcBorders>
              <w:left w:val="single" w:sz="4" w:space="0" w:color="FFFFFF" w:themeColor="background1"/>
              <w:bottom w:val="single" w:sz="4" w:space="0" w:color="002279"/>
            </w:tcBorders>
            <w:shd w:val="clear" w:color="auto" w:fill="002279"/>
            <w:vAlign w:val="center"/>
            <w:hideMark/>
          </w:tcPr>
          <w:p w14:paraId="24FED1D8" w14:textId="58BD18BD" w:rsidR="0026173B" w:rsidRPr="0026173B" w:rsidRDefault="009964D9" w:rsidP="001A01BC">
            <w:pPr>
              <w:spacing w:after="0"/>
              <w:jc w:val="center"/>
              <w:rPr>
                <w:rFonts w:asciiTheme="minorHAnsi" w:eastAsia="Times New Roman" w:hAnsiTheme="minorHAnsi" w:cstheme="minorHAnsi"/>
                <w:b/>
                <w:color w:val="FFFFFF" w:themeColor="background1"/>
                <w:sz w:val="20"/>
                <w:szCs w:val="20"/>
                <w:lang w:eastAsia="en-AU"/>
              </w:rPr>
            </w:pPr>
            <w:r w:rsidRPr="00960AC4">
              <w:rPr>
                <w:rFonts w:asciiTheme="minorHAnsi" w:eastAsia="Times New Roman" w:hAnsiTheme="minorHAnsi" w:cstheme="minorHAnsi"/>
                <w:b/>
                <w:color w:val="FFFFFF" w:themeColor="background1"/>
                <w:sz w:val="20"/>
                <w:szCs w:val="20"/>
                <w:lang w:eastAsia="en-AU"/>
              </w:rPr>
              <w:t>Variance</w:t>
            </w:r>
          </w:p>
        </w:tc>
        <w:tc>
          <w:tcPr>
            <w:tcW w:w="1165" w:type="dxa"/>
            <w:tcBorders>
              <w:bottom w:val="single" w:sz="4" w:space="0" w:color="002279"/>
            </w:tcBorders>
            <w:shd w:val="clear" w:color="auto" w:fill="002279"/>
            <w:vAlign w:val="center"/>
            <w:hideMark/>
          </w:tcPr>
          <w:p w14:paraId="5EC50A55" w14:textId="1BEAED8C" w:rsidR="0026173B" w:rsidRPr="0026173B" w:rsidRDefault="0003246D" w:rsidP="001A01BC">
            <w:pPr>
              <w:spacing w:after="0"/>
              <w:jc w:val="center"/>
              <w:rPr>
                <w:rFonts w:asciiTheme="minorHAnsi" w:eastAsia="Times New Roman" w:hAnsiTheme="minorHAnsi" w:cstheme="minorHAnsi"/>
                <w:b/>
                <w:color w:val="FFFFFF" w:themeColor="background1"/>
                <w:sz w:val="20"/>
                <w:szCs w:val="20"/>
                <w:lang w:eastAsia="en-AU"/>
              </w:rPr>
            </w:pPr>
            <w:r w:rsidRPr="00960AC4">
              <w:rPr>
                <w:rFonts w:asciiTheme="minorHAnsi" w:eastAsia="Times New Roman" w:hAnsiTheme="minorHAnsi" w:cstheme="minorHAnsi"/>
                <w:b/>
                <w:color w:val="FFFFFF" w:themeColor="background1"/>
                <w:sz w:val="20"/>
                <w:szCs w:val="20"/>
                <w:lang w:eastAsia="en-AU"/>
              </w:rPr>
              <w:t>Score</w:t>
            </w:r>
          </w:p>
        </w:tc>
      </w:tr>
      <w:tr w:rsidR="0058310D" w:rsidRPr="0026173B" w14:paraId="1847AC42" w14:textId="77777777" w:rsidTr="001A01BC">
        <w:trPr>
          <w:trHeight w:val="530"/>
        </w:trPr>
        <w:tc>
          <w:tcPr>
            <w:tcW w:w="2045" w:type="dxa"/>
            <w:shd w:val="clear" w:color="auto" w:fill="auto"/>
            <w:noWrap/>
            <w:vAlign w:val="center"/>
            <w:hideMark/>
          </w:tcPr>
          <w:p w14:paraId="05F8E527" w14:textId="77777777" w:rsidR="0026173B" w:rsidRPr="0026173B" w:rsidRDefault="0026173B" w:rsidP="001A01BC">
            <w:pPr>
              <w:spacing w:after="0"/>
              <w:ind w:firstLineChars="100" w:firstLine="200"/>
              <w:jc w:val="center"/>
              <w:rPr>
                <w:rFonts w:asciiTheme="minorHAnsi" w:eastAsia="Times New Roman" w:hAnsiTheme="minorHAnsi" w:cstheme="minorHAnsi"/>
                <w:sz w:val="20"/>
                <w:szCs w:val="20"/>
                <w:lang w:eastAsia="en-AU"/>
              </w:rPr>
            </w:pPr>
            <w:r w:rsidRPr="0026173B">
              <w:rPr>
                <w:rFonts w:asciiTheme="minorHAnsi" w:eastAsia="Times New Roman" w:hAnsiTheme="minorHAnsi" w:cstheme="minorHAnsi"/>
                <w:sz w:val="20"/>
                <w:szCs w:val="20"/>
                <w:lang w:eastAsia="en-AU"/>
              </w:rPr>
              <w:t>$623.55</w:t>
            </w:r>
          </w:p>
        </w:tc>
        <w:tc>
          <w:tcPr>
            <w:tcW w:w="1180" w:type="dxa"/>
            <w:shd w:val="clear" w:color="auto" w:fill="auto"/>
            <w:noWrap/>
            <w:vAlign w:val="center"/>
            <w:hideMark/>
          </w:tcPr>
          <w:p w14:paraId="387BB05B" w14:textId="77777777" w:rsidR="0026173B" w:rsidRPr="0026173B" w:rsidRDefault="0026173B" w:rsidP="001A01BC">
            <w:pPr>
              <w:spacing w:after="0"/>
              <w:ind w:firstLineChars="100" w:firstLine="200"/>
              <w:jc w:val="center"/>
              <w:rPr>
                <w:rFonts w:asciiTheme="minorHAnsi" w:eastAsia="Times New Roman" w:hAnsiTheme="minorHAnsi" w:cstheme="minorHAnsi"/>
                <w:sz w:val="20"/>
                <w:szCs w:val="20"/>
                <w:lang w:eastAsia="en-AU"/>
              </w:rPr>
            </w:pPr>
            <w:r w:rsidRPr="0026173B">
              <w:rPr>
                <w:rFonts w:asciiTheme="minorHAnsi" w:eastAsia="Times New Roman" w:hAnsiTheme="minorHAnsi" w:cstheme="minorHAnsi"/>
                <w:sz w:val="20"/>
                <w:szCs w:val="20"/>
                <w:lang w:eastAsia="en-AU"/>
              </w:rPr>
              <w:t>$121.42</w:t>
            </w:r>
          </w:p>
        </w:tc>
        <w:tc>
          <w:tcPr>
            <w:tcW w:w="1180" w:type="dxa"/>
            <w:shd w:val="clear" w:color="auto" w:fill="auto"/>
            <w:noWrap/>
            <w:vAlign w:val="center"/>
            <w:hideMark/>
          </w:tcPr>
          <w:p w14:paraId="7C296CD2" w14:textId="77777777" w:rsidR="0026173B" w:rsidRPr="0026173B" w:rsidRDefault="0026173B" w:rsidP="001A01BC">
            <w:pPr>
              <w:spacing w:after="0"/>
              <w:ind w:firstLineChars="100" w:firstLine="200"/>
              <w:jc w:val="center"/>
              <w:rPr>
                <w:rFonts w:asciiTheme="minorHAnsi" w:eastAsia="Times New Roman" w:hAnsiTheme="minorHAnsi" w:cstheme="minorHAnsi"/>
                <w:sz w:val="20"/>
                <w:szCs w:val="20"/>
                <w:lang w:eastAsia="en-AU"/>
              </w:rPr>
            </w:pPr>
            <w:r w:rsidRPr="0026173B">
              <w:rPr>
                <w:rFonts w:asciiTheme="minorHAnsi" w:eastAsia="Times New Roman" w:hAnsiTheme="minorHAnsi" w:cstheme="minorHAnsi"/>
                <w:sz w:val="20"/>
                <w:szCs w:val="20"/>
                <w:lang w:eastAsia="en-AU"/>
              </w:rPr>
              <w:t>$122.88</w:t>
            </w:r>
          </w:p>
        </w:tc>
        <w:tc>
          <w:tcPr>
            <w:tcW w:w="1180" w:type="dxa"/>
            <w:shd w:val="clear" w:color="auto" w:fill="auto"/>
            <w:noWrap/>
            <w:vAlign w:val="center"/>
            <w:hideMark/>
          </w:tcPr>
          <w:p w14:paraId="5C40A55B" w14:textId="77777777" w:rsidR="0026173B" w:rsidRPr="0026173B" w:rsidRDefault="0026173B" w:rsidP="001A01BC">
            <w:pPr>
              <w:spacing w:after="0"/>
              <w:ind w:firstLineChars="100" w:firstLine="200"/>
              <w:jc w:val="center"/>
              <w:rPr>
                <w:rFonts w:asciiTheme="minorHAnsi" w:eastAsia="Times New Roman" w:hAnsiTheme="minorHAnsi" w:cstheme="minorHAnsi"/>
                <w:sz w:val="20"/>
                <w:szCs w:val="20"/>
                <w:lang w:eastAsia="en-AU"/>
              </w:rPr>
            </w:pPr>
            <w:r w:rsidRPr="0026173B">
              <w:rPr>
                <w:rFonts w:asciiTheme="minorHAnsi" w:eastAsia="Times New Roman" w:hAnsiTheme="minorHAnsi" w:cstheme="minorHAnsi"/>
                <w:sz w:val="20"/>
                <w:szCs w:val="20"/>
                <w:lang w:eastAsia="en-AU"/>
              </w:rPr>
              <w:t>$120.90</w:t>
            </w:r>
          </w:p>
        </w:tc>
        <w:tc>
          <w:tcPr>
            <w:tcW w:w="1180" w:type="dxa"/>
            <w:shd w:val="clear" w:color="auto" w:fill="auto"/>
            <w:noWrap/>
            <w:vAlign w:val="center"/>
            <w:hideMark/>
          </w:tcPr>
          <w:p w14:paraId="371471A5" w14:textId="77777777" w:rsidR="0026173B" w:rsidRPr="0026173B" w:rsidRDefault="0026173B" w:rsidP="001A01BC">
            <w:pPr>
              <w:spacing w:after="0"/>
              <w:ind w:firstLineChars="100" w:firstLine="200"/>
              <w:jc w:val="center"/>
              <w:rPr>
                <w:rFonts w:asciiTheme="minorHAnsi" w:eastAsia="Times New Roman" w:hAnsiTheme="minorHAnsi" w:cstheme="minorHAnsi"/>
                <w:sz w:val="20"/>
                <w:szCs w:val="20"/>
                <w:lang w:eastAsia="en-AU"/>
              </w:rPr>
            </w:pPr>
            <w:r w:rsidRPr="0026173B">
              <w:rPr>
                <w:rFonts w:asciiTheme="minorHAnsi" w:eastAsia="Times New Roman" w:hAnsiTheme="minorHAnsi" w:cstheme="minorHAnsi"/>
                <w:sz w:val="20"/>
                <w:szCs w:val="20"/>
                <w:lang w:eastAsia="en-AU"/>
              </w:rPr>
              <w:t>$126.09</w:t>
            </w:r>
          </w:p>
        </w:tc>
        <w:tc>
          <w:tcPr>
            <w:tcW w:w="1180" w:type="dxa"/>
            <w:shd w:val="clear" w:color="auto" w:fill="auto"/>
            <w:noWrap/>
            <w:vAlign w:val="center"/>
            <w:hideMark/>
          </w:tcPr>
          <w:p w14:paraId="26589BC3" w14:textId="77777777" w:rsidR="0026173B" w:rsidRPr="0026173B" w:rsidRDefault="0026173B" w:rsidP="001A01BC">
            <w:pPr>
              <w:spacing w:after="0"/>
              <w:ind w:firstLineChars="100" w:firstLine="200"/>
              <w:jc w:val="center"/>
              <w:rPr>
                <w:rFonts w:asciiTheme="minorHAnsi" w:eastAsia="Times New Roman" w:hAnsiTheme="minorHAnsi" w:cstheme="minorHAnsi"/>
                <w:sz w:val="20"/>
                <w:szCs w:val="20"/>
                <w:lang w:eastAsia="en-AU"/>
              </w:rPr>
            </w:pPr>
            <w:r w:rsidRPr="0026173B">
              <w:rPr>
                <w:rFonts w:asciiTheme="minorHAnsi" w:eastAsia="Times New Roman" w:hAnsiTheme="minorHAnsi" w:cstheme="minorHAnsi"/>
                <w:sz w:val="20"/>
                <w:szCs w:val="20"/>
                <w:lang w:eastAsia="en-AU"/>
              </w:rPr>
              <w:t>$131.65</w:t>
            </w:r>
          </w:p>
        </w:tc>
        <w:tc>
          <w:tcPr>
            <w:tcW w:w="1180" w:type="dxa"/>
            <w:shd w:val="clear" w:color="auto" w:fill="auto"/>
            <w:noWrap/>
            <w:vAlign w:val="center"/>
            <w:hideMark/>
          </w:tcPr>
          <w:p w14:paraId="305C52FF" w14:textId="77777777" w:rsidR="0026173B" w:rsidRPr="0026173B" w:rsidRDefault="0026173B" w:rsidP="001A01BC">
            <w:pPr>
              <w:spacing w:after="0"/>
              <w:ind w:firstLineChars="100" w:firstLine="200"/>
              <w:jc w:val="center"/>
              <w:rPr>
                <w:rFonts w:asciiTheme="minorHAnsi" w:eastAsia="Times New Roman" w:hAnsiTheme="minorHAnsi" w:cstheme="minorHAnsi"/>
                <w:sz w:val="20"/>
                <w:szCs w:val="20"/>
                <w:lang w:eastAsia="en-AU"/>
              </w:rPr>
            </w:pPr>
            <w:r w:rsidRPr="0026173B">
              <w:rPr>
                <w:rFonts w:asciiTheme="minorHAnsi" w:eastAsia="Times New Roman" w:hAnsiTheme="minorHAnsi" w:cstheme="minorHAnsi"/>
                <w:sz w:val="20"/>
                <w:szCs w:val="20"/>
                <w:lang w:eastAsia="en-AU"/>
              </w:rPr>
              <w:t>$622.94</w:t>
            </w:r>
          </w:p>
        </w:tc>
        <w:tc>
          <w:tcPr>
            <w:tcW w:w="1223" w:type="dxa"/>
            <w:shd w:val="clear" w:color="auto" w:fill="auto"/>
            <w:noWrap/>
            <w:vAlign w:val="center"/>
            <w:hideMark/>
          </w:tcPr>
          <w:p w14:paraId="60E8BB3B" w14:textId="77777777" w:rsidR="0026173B" w:rsidRPr="0026173B" w:rsidRDefault="0026173B" w:rsidP="001A01BC">
            <w:pPr>
              <w:spacing w:after="0"/>
              <w:jc w:val="center"/>
              <w:rPr>
                <w:rFonts w:asciiTheme="minorHAnsi" w:eastAsia="Times New Roman" w:hAnsiTheme="minorHAnsi" w:cstheme="minorHAnsi"/>
                <w:sz w:val="20"/>
                <w:szCs w:val="20"/>
                <w:lang w:eastAsia="en-AU"/>
              </w:rPr>
            </w:pPr>
            <w:r w:rsidRPr="0026173B">
              <w:rPr>
                <w:rFonts w:asciiTheme="minorHAnsi" w:eastAsia="Times New Roman" w:hAnsiTheme="minorHAnsi" w:cstheme="minorHAnsi"/>
                <w:sz w:val="20"/>
                <w:szCs w:val="20"/>
                <w:lang w:eastAsia="en-AU"/>
              </w:rPr>
              <w:t>-0.1%</w:t>
            </w:r>
          </w:p>
        </w:tc>
        <w:tc>
          <w:tcPr>
            <w:tcW w:w="1165" w:type="dxa"/>
            <w:shd w:val="clear" w:color="auto" w:fill="auto"/>
            <w:noWrap/>
            <w:vAlign w:val="center"/>
            <w:hideMark/>
          </w:tcPr>
          <w:p w14:paraId="5B63A1EB" w14:textId="77777777" w:rsidR="0026173B" w:rsidRPr="0026173B" w:rsidRDefault="0026173B" w:rsidP="001A01BC">
            <w:pPr>
              <w:spacing w:after="0"/>
              <w:jc w:val="center"/>
              <w:rPr>
                <w:rFonts w:asciiTheme="minorHAnsi" w:eastAsia="Times New Roman" w:hAnsiTheme="minorHAnsi" w:cstheme="minorHAnsi"/>
                <w:sz w:val="20"/>
                <w:szCs w:val="20"/>
                <w:lang w:eastAsia="en-AU"/>
              </w:rPr>
            </w:pPr>
            <w:r w:rsidRPr="0026173B">
              <w:rPr>
                <w:rFonts w:asciiTheme="minorHAnsi" w:eastAsia="Times New Roman" w:hAnsiTheme="minorHAnsi" w:cstheme="minorHAnsi"/>
                <w:sz w:val="20"/>
                <w:szCs w:val="20"/>
                <w:lang w:eastAsia="en-AU"/>
              </w:rPr>
              <w:t>3</w:t>
            </w:r>
          </w:p>
        </w:tc>
      </w:tr>
    </w:tbl>
    <w:p w14:paraId="2EE676A8" w14:textId="77777777" w:rsidR="0026173B" w:rsidRPr="003F4FA7" w:rsidRDefault="0026173B" w:rsidP="0026173B">
      <w:pPr>
        <w:spacing w:after="0"/>
        <w:textAlignment w:val="baseline"/>
        <w:rPr>
          <w:rFonts w:ascii="Segoe UI" w:eastAsia="Times New Roman" w:hAnsi="Segoe UI" w:cs="Segoe UI"/>
          <w:lang w:eastAsia="en-AU"/>
        </w:rPr>
      </w:pPr>
    </w:p>
    <w:p w14:paraId="5AF1625F" w14:textId="7666B9A9" w:rsidR="00155498" w:rsidRDefault="00155498" w:rsidP="00155498">
      <w:pPr>
        <w:spacing w:after="0"/>
        <w:textAlignment w:val="baseline"/>
        <w:rPr>
          <w:rFonts w:eastAsia="Times New Roman" w:cs="Arial"/>
          <w:position w:val="-1"/>
          <w:lang w:eastAsia="en-AU"/>
        </w:rPr>
      </w:pPr>
      <w:r>
        <w:rPr>
          <w:rFonts w:eastAsia="Times New Roman" w:cs="Arial"/>
          <w:position w:val="-1"/>
          <w:lang w:eastAsia="en-AU"/>
        </w:rPr>
        <w:t xml:space="preserve">The element is individually rated 4 out of 4: </w:t>
      </w:r>
      <w:r w:rsidRPr="00155498">
        <w:rPr>
          <w:rFonts w:eastAsia="Times New Roman" w:cs="Arial"/>
          <w:b/>
          <w:bCs/>
          <w:position w:val="-1"/>
          <w:lang w:eastAsia="en-AU"/>
        </w:rPr>
        <w:t xml:space="preserve">Very confident the element is </w:t>
      </w:r>
      <w:r w:rsidRPr="00155498">
        <w:rPr>
          <w:rFonts w:eastAsia="Times New Roman" w:cs="Arial"/>
          <w:b/>
          <w:bCs/>
          <w:i/>
          <w:iCs/>
          <w:position w:val="-1"/>
          <w:lang w:eastAsia="en-AU"/>
        </w:rPr>
        <w:t>‘Leading’.</w:t>
      </w:r>
    </w:p>
    <w:p w14:paraId="68A5CFA6" w14:textId="7957BB53" w:rsidR="003F4FA7" w:rsidRDefault="003F4FA7">
      <w:pPr>
        <w:rPr>
          <w:rStyle w:val="normaltextrun"/>
          <w:rFonts w:cs="Arial"/>
          <w:color w:val="0075E3"/>
          <w:position w:val="-1"/>
          <w:shd w:val="clear" w:color="auto" w:fill="EDEBE9"/>
        </w:rPr>
      </w:pPr>
    </w:p>
    <w:p w14:paraId="15EE2573" w14:textId="77777777" w:rsidR="003F4FA7" w:rsidRDefault="003F4FA7" w:rsidP="001E22B3">
      <w:pPr>
        <w:pStyle w:val="BodyText"/>
        <w:rPr>
          <w:rStyle w:val="normaltextrun"/>
          <w:rFonts w:cs="Arial"/>
          <w:color w:val="0075E3"/>
          <w:position w:val="-1"/>
          <w:shd w:val="clear" w:color="auto" w:fill="EDEBE9"/>
        </w:rPr>
      </w:pPr>
    </w:p>
    <w:p w14:paraId="5E732FCA" w14:textId="77777777" w:rsidR="00CC3851" w:rsidRDefault="00CC3851" w:rsidP="001E22B3">
      <w:pPr>
        <w:pStyle w:val="BodyText"/>
        <w:rPr>
          <w:rStyle w:val="normaltextrun"/>
          <w:rFonts w:cs="Arial"/>
          <w:color w:val="0075E3"/>
          <w:position w:val="-1"/>
          <w:shd w:val="clear" w:color="auto" w:fill="EDEBE9"/>
        </w:rPr>
      </w:pPr>
    </w:p>
    <w:p w14:paraId="23FB00B1" w14:textId="77777777" w:rsidR="00CC3851" w:rsidRDefault="00CC3851" w:rsidP="001E22B3">
      <w:pPr>
        <w:pStyle w:val="BodyText"/>
        <w:rPr>
          <w:rStyle w:val="normaltextrun"/>
          <w:rFonts w:cs="Arial"/>
          <w:color w:val="0075E3"/>
          <w:position w:val="-1"/>
          <w:shd w:val="clear" w:color="auto" w:fill="EDEBE9"/>
        </w:rPr>
      </w:pPr>
    </w:p>
    <w:p w14:paraId="2FD1AD01" w14:textId="77777777" w:rsidR="003F4FA7" w:rsidRPr="00DB51F8" w:rsidRDefault="003F4FA7" w:rsidP="00116E55">
      <w:pPr>
        <w:pStyle w:val="Heading2"/>
      </w:pPr>
      <w:r>
        <w:lastRenderedPageBreak/>
        <w:t xml:space="preserve">Overall (P)REMO rating </w:t>
      </w:r>
    </w:p>
    <w:p w14:paraId="3005DE04" w14:textId="77777777" w:rsidR="00DC02CB" w:rsidRPr="00DC02CB" w:rsidRDefault="00DC02CB" w:rsidP="00D713FE">
      <w:pPr>
        <w:textAlignment w:val="baseline"/>
        <w:rPr>
          <w:rFonts w:ascii="Segoe UI" w:eastAsia="Times New Roman" w:hAnsi="Segoe UI" w:cs="Segoe UI"/>
          <w:lang w:val="en-US" w:eastAsia="en-AU"/>
        </w:rPr>
      </w:pPr>
      <w:r w:rsidRPr="00DC02CB">
        <w:rPr>
          <w:rFonts w:eastAsia="Times New Roman" w:cs="Arial"/>
          <w:position w:val="-1"/>
          <w:lang w:eastAsia="en-AU"/>
        </w:rPr>
        <w:t>The final step in arriving at the overall PREMO rating is the aggregation of scores from the 5 performance elements. Each element is given equal weighting (20%) toward the overall result as we believe all are seen as equal in the eyes of the customer, the ESC and our business and should all be delivered against in order to be considered successful.</w:t>
      </w:r>
      <w:r w:rsidRPr="00DC02CB">
        <w:rPr>
          <w:rFonts w:eastAsia="Times New Roman" w:cs="Arial"/>
          <w:lang w:val="en-US" w:eastAsia="en-AU"/>
        </w:rPr>
        <w:t>​</w:t>
      </w:r>
    </w:p>
    <w:p w14:paraId="6C231372" w14:textId="77671D53" w:rsidR="00DC02CB" w:rsidRDefault="00DC02CB" w:rsidP="00DC02CB">
      <w:pPr>
        <w:spacing w:after="0"/>
        <w:textAlignment w:val="baseline"/>
        <w:rPr>
          <w:rFonts w:eastAsia="Times New Roman" w:cs="Arial"/>
          <w:position w:val="-1"/>
          <w:lang w:eastAsia="en-AU"/>
        </w:rPr>
      </w:pPr>
      <w:r w:rsidRPr="00DC02CB">
        <w:rPr>
          <w:rFonts w:eastAsia="Times New Roman" w:cs="Arial"/>
          <w:position w:val="-1"/>
          <w:lang w:eastAsia="en-AU"/>
        </w:rPr>
        <w:t xml:space="preserve">With a maximum possible score of 4 per element, the overall result is out of 20 and is placed within the appropriate </w:t>
      </w:r>
      <w:r w:rsidR="00612583">
        <w:rPr>
          <w:rFonts w:eastAsia="Times New Roman" w:cs="Arial"/>
          <w:position w:val="-1"/>
          <w:lang w:eastAsia="en-AU"/>
        </w:rPr>
        <w:t>‘</w:t>
      </w:r>
      <w:r w:rsidRPr="00DC02CB">
        <w:rPr>
          <w:rFonts w:eastAsia="Times New Roman" w:cs="Arial"/>
          <w:position w:val="-1"/>
          <w:lang w:eastAsia="en-AU"/>
        </w:rPr>
        <w:t>range</w:t>
      </w:r>
      <w:r w:rsidR="00612583">
        <w:rPr>
          <w:rFonts w:eastAsia="Times New Roman" w:cs="Arial"/>
          <w:position w:val="-1"/>
          <w:lang w:eastAsia="en-AU"/>
        </w:rPr>
        <w:t>’</w:t>
      </w:r>
      <w:r w:rsidRPr="00DC02CB">
        <w:rPr>
          <w:rFonts w:eastAsia="Times New Roman" w:cs="Arial"/>
          <w:position w:val="-1"/>
          <w:lang w:eastAsia="en-AU"/>
        </w:rPr>
        <w:t xml:space="preserve"> from the ESC Scoring Framework table. This</w:t>
      </w:r>
      <w:r w:rsidR="00FB7FF1">
        <w:rPr>
          <w:rFonts w:eastAsia="Times New Roman" w:cs="Arial"/>
          <w:position w:val="-1"/>
          <w:lang w:eastAsia="en-AU"/>
        </w:rPr>
        <w:t>,</w:t>
      </w:r>
      <w:r w:rsidRPr="00DC02CB">
        <w:rPr>
          <w:rFonts w:eastAsia="Times New Roman" w:cs="Arial"/>
          <w:position w:val="-1"/>
          <w:lang w:eastAsia="en-AU"/>
        </w:rPr>
        <w:t xml:space="preserve"> therefore</w:t>
      </w:r>
      <w:r w:rsidR="00FB7FF1">
        <w:rPr>
          <w:rFonts w:eastAsia="Times New Roman" w:cs="Arial"/>
          <w:position w:val="-1"/>
          <w:lang w:eastAsia="en-AU"/>
        </w:rPr>
        <w:t>,</w:t>
      </w:r>
      <w:r w:rsidRPr="00DC02CB">
        <w:rPr>
          <w:rFonts w:eastAsia="Times New Roman" w:cs="Arial"/>
          <w:position w:val="-1"/>
          <w:lang w:eastAsia="en-AU"/>
        </w:rPr>
        <w:t xml:space="preserve"> sets the overall rating and final result for the </w:t>
      </w:r>
      <w:r w:rsidR="00696386">
        <w:rPr>
          <w:rFonts w:eastAsia="Times New Roman" w:cs="Arial"/>
          <w:position w:val="-1"/>
          <w:lang w:eastAsia="en-AU"/>
        </w:rPr>
        <w:t>(</w:t>
      </w:r>
      <w:r w:rsidRPr="00696386">
        <w:rPr>
          <w:rFonts w:eastAsia="Times New Roman" w:cs="Arial"/>
          <w:position w:val="-1"/>
          <w:lang w:eastAsia="en-AU"/>
        </w:rPr>
        <w:t>P</w:t>
      </w:r>
      <w:r w:rsidR="00696386">
        <w:rPr>
          <w:rFonts w:eastAsia="Times New Roman" w:cs="Arial"/>
          <w:position w:val="-1"/>
          <w:lang w:eastAsia="en-AU"/>
        </w:rPr>
        <w:t>)</w:t>
      </w:r>
      <w:r w:rsidRPr="00DC02CB">
        <w:rPr>
          <w:rFonts w:eastAsia="Times New Roman" w:cs="Arial"/>
          <w:position w:val="-1"/>
          <w:lang w:eastAsia="en-AU"/>
        </w:rPr>
        <w:t>REMO self-assessment of performance to inform our 2023</w:t>
      </w:r>
      <w:r w:rsidR="00F243DC">
        <w:rPr>
          <w:rFonts w:eastAsia="Times New Roman" w:cs="Arial"/>
          <w:position w:val="-1"/>
          <w:lang w:eastAsia="en-AU"/>
        </w:rPr>
        <w:t>–</w:t>
      </w:r>
      <w:r>
        <w:rPr>
          <w:rFonts w:eastAsia="Times New Roman" w:cs="Arial"/>
          <w:position w:val="-1"/>
          <w:lang w:eastAsia="en-AU"/>
        </w:rPr>
        <w:t>28</w:t>
      </w:r>
      <w:r w:rsidRPr="00DC02CB">
        <w:rPr>
          <w:rFonts w:eastAsia="Times New Roman" w:cs="Arial"/>
          <w:position w:val="-1"/>
          <w:lang w:eastAsia="en-AU"/>
        </w:rPr>
        <w:t xml:space="preserve"> submission.</w:t>
      </w:r>
    </w:p>
    <w:p w14:paraId="2EBC1F11" w14:textId="77777777" w:rsidR="00075A97" w:rsidRDefault="00075A97" w:rsidP="00DC02CB">
      <w:pPr>
        <w:spacing w:after="0"/>
        <w:textAlignment w:val="baseline"/>
        <w:rPr>
          <w:rFonts w:eastAsia="Times New Roman" w:cs="Arial"/>
          <w:position w:val="-1"/>
          <w:lang w:eastAsia="en-AU"/>
        </w:rPr>
      </w:pPr>
    </w:p>
    <w:p w14:paraId="4BC8000B" w14:textId="77777777" w:rsidR="00C14DD9" w:rsidRDefault="00C14DD9" w:rsidP="00DC02CB">
      <w:pPr>
        <w:spacing w:after="0"/>
        <w:textAlignment w:val="baseline"/>
        <w:rPr>
          <w:rFonts w:eastAsia="Times New Roman" w:cs="Arial"/>
          <w:position w:val="-1"/>
          <w:lang w:eastAsia="en-AU"/>
        </w:rPr>
      </w:pPr>
    </w:p>
    <w:p w14:paraId="4499A8B4" w14:textId="38F06B0E" w:rsidR="00693552" w:rsidRDefault="00C14DD9" w:rsidP="00E22D7C">
      <w:pPr>
        <w:textAlignment w:val="baseline"/>
      </w:pPr>
      <w:r w:rsidRPr="00CE6C4E">
        <w:rPr>
          <w:b/>
          <w:bCs/>
          <w:i/>
          <w:iCs/>
          <w:sz w:val="22"/>
          <w:szCs w:val="22"/>
        </w:rPr>
        <w:t xml:space="preserve">Table </w:t>
      </w:r>
      <w:r w:rsidR="00905CA7">
        <w:rPr>
          <w:b/>
          <w:bCs/>
          <w:i/>
          <w:iCs/>
          <w:sz w:val="22"/>
          <w:szCs w:val="22"/>
        </w:rPr>
        <w:t>81</w:t>
      </w:r>
      <w:r w:rsidRPr="00CE6C4E">
        <w:rPr>
          <w:b/>
          <w:bCs/>
          <w:i/>
          <w:iCs/>
          <w:sz w:val="22"/>
          <w:szCs w:val="22"/>
        </w:rPr>
        <w:t xml:space="preserve">: </w:t>
      </w:r>
      <w:r w:rsidR="003F6D24">
        <w:rPr>
          <w:b/>
          <w:bCs/>
          <w:i/>
          <w:iCs/>
          <w:sz w:val="22"/>
          <w:szCs w:val="22"/>
        </w:rPr>
        <w:t>Overall (P)REMO rating</w:t>
      </w:r>
      <w:r w:rsidR="00A461CE">
        <w:t> </w:t>
      </w:r>
    </w:p>
    <w:tbl>
      <w:tblPr>
        <w:tblW w:w="5000" w:type="pct"/>
        <w:tblLook w:val="04A0" w:firstRow="1" w:lastRow="0" w:firstColumn="1" w:lastColumn="0" w:noHBand="0" w:noVBand="1"/>
      </w:tblPr>
      <w:tblGrid>
        <w:gridCol w:w="5058"/>
        <w:gridCol w:w="765"/>
        <w:gridCol w:w="4378"/>
        <w:gridCol w:w="1134"/>
        <w:gridCol w:w="2377"/>
        <w:gridCol w:w="236"/>
      </w:tblGrid>
      <w:tr w:rsidR="00693552" w:rsidRPr="00693552" w14:paraId="2A99BB5E" w14:textId="77777777" w:rsidTr="00243847">
        <w:trPr>
          <w:gridAfter w:val="1"/>
          <w:wAfter w:w="236" w:type="dxa"/>
          <w:trHeight w:val="420"/>
        </w:trPr>
        <w:tc>
          <w:tcPr>
            <w:tcW w:w="5058" w:type="dxa"/>
            <w:vMerge w:val="restart"/>
            <w:tcBorders>
              <w:top w:val="single" w:sz="4" w:space="0" w:color="002279"/>
              <w:left w:val="single" w:sz="4" w:space="0" w:color="002279"/>
              <w:bottom w:val="single" w:sz="4" w:space="0" w:color="002279"/>
              <w:right w:val="single" w:sz="4" w:space="0" w:color="FFFFFF" w:themeColor="background1"/>
            </w:tcBorders>
            <w:shd w:val="clear" w:color="auto" w:fill="002279"/>
            <w:vAlign w:val="center"/>
            <w:hideMark/>
          </w:tcPr>
          <w:p w14:paraId="55E9E100" w14:textId="77777777" w:rsidR="00693552" w:rsidRPr="00693552" w:rsidRDefault="00693552" w:rsidP="00693552">
            <w:pPr>
              <w:spacing w:after="0"/>
              <w:ind w:firstLineChars="100" w:firstLine="201"/>
              <w:rPr>
                <w:rFonts w:asciiTheme="minorHAnsi" w:eastAsia="Times New Roman" w:hAnsiTheme="minorHAnsi" w:cstheme="minorHAnsi"/>
                <w:b/>
                <w:color w:val="FFFFFF" w:themeColor="background1"/>
                <w:sz w:val="20"/>
                <w:szCs w:val="20"/>
                <w:lang w:eastAsia="en-AU"/>
              </w:rPr>
            </w:pPr>
            <w:r w:rsidRPr="00693552">
              <w:rPr>
                <w:rFonts w:asciiTheme="minorHAnsi" w:eastAsia="Times New Roman" w:hAnsiTheme="minorHAnsi" w:cstheme="minorHAnsi"/>
                <w:b/>
                <w:color w:val="FFFFFF" w:themeColor="background1"/>
                <w:sz w:val="20"/>
                <w:szCs w:val="20"/>
                <w:lang w:eastAsia="en-AU"/>
              </w:rPr>
              <w:t>Methodology</w:t>
            </w:r>
          </w:p>
        </w:tc>
        <w:tc>
          <w:tcPr>
            <w:tcW w:w="5143" w:type="dxa"/>
            <w:gridSpan w:val="2"/>
            <w:vMerge w:val="restart"/>
            <w:tcBorders>
              <w:top w:val="single" w:sz="4" w:space="0" w:color="002279"/>
              <w:left w:val="single" w:sz="4" w:space="0" w:color="FFFFFF" w:themeColor="background1"/>
              <w:bottom w:val="single" w:sz="4" w:space="0" w:color="002279"/>
              <w:right w:val="single" w:sz="4" w:space="0" w:color="FFFFFF" w:themeColor="background1"/>
            </w:tcBorders>
            <w:shd w:val="clear" w:color="auto" w:fill="002279"/>
            <w:noWrap/>
            <w:vAlign w:val="center"/>
            <w:hideMark/>
          </w:tcPr>
          <w:p w14:paraId="08698E27" w14:textId="7A6C52B1" w:rsidR="00693552" w:rsidRPr="00693552" w:rsidRDefault="00693552" w:rsidP="00693552">
            <w:pPr>
              <w:spacing w:after="0"/>
              <w:ind w:firstLineChars="100" w:firstLine="201"/>
              <w:rPr>
                <w:rFonts w:asciiTheme="minorHAnsi" w:eastAsia="Times New Roman" w:hAnsiTheme="minorHAnsi" w:cstheme="minorHAnsi"/>
                <w:b/>
                <w:color w:val="FFFFFF" w:themeColor="background1"/>
                <w:sz w:val="20"/>
                <w:szCs w:val="20"/>
                <w:lang w:eastAsia="en-AU"/>
              </w:rPr>
            </w:pPr>
            <w:r w:rsidRPr="00693552">
              <w:rPr>
                <w:rFonts w:asciiTheme="minorHAnsi" w:eastAsia="Times New Roman" w:hAnsiTheme="minorHAnsi" w:cstheme="minorHAnsi"/>
                <w:b/>
                <w:color w:val="FFFFFF" w:themeColor="background1"/>
                <w:sz w:val="20"/>
                <w:szCs w:val="20"/>
                <w:lang w:eastAsia="en-AU"/>
              </w:rPr>
              <w:t xml:space="preserve">Element </w:t>
            </w:r>
            <w:r w:rsidR="00B30335" w:rsidRPr="008B6329">
              <w:rPr>
                <w:rFonts w:asciiTheme="minorHAnsi" w:eastAsia="Times New Roman" w:hAnsiTheme="minorHAnsi" w:cstheme="minorHAnsi"/>
                <w:b/>
                <w:color w:val="FFFFFF" w:themeColor="background1"/>
                <w:sz w:val="20"/>
                <w:szCs w:val="20"/>
                <w:lang w:eastAsia="en-AU"/>
              </w:rPr>
              <w:t>r</w:t>
            </w:r>
            <w:r w:rsidRPr="00693552">
              <w:rPr>
                <w:rFonts w:asciiTheme="minorHAnsi" w:eastAsia="Times New Roman" w:hAnsiTheme="minorHAnsi" w:cstheme="minorHAnsi"/>
                <w:b/>
                <w:color w:val="FFFFFF" w:themeColor="background1"/>
                <w:sz w:val="20"/>
                <w:szCs w:val="20"/>
                <w:lang w:eastAsia="en-AU"/>
              </w:rPr>
              <w:t>esult</w:t>
            </w:r>
          </w:p>
        </w:tc>
        <w:tc>
          <w:tcPr>
            <w:tcW w:w="3511" w:type="dxa"/>
            <w:gridSpan w:val="2"/>
            <w:vMerge w:val="restart"/>
            <w:tcBorders>
              <w:top w:val="single" w:sz="4" w:space="0" w:color="002279"/>
              <w:left w:val="single" w:sz="4" w:space="0" w:color="FFFFFF" w:themeColor="background1"/>
              <w:bottom w:val="single" w:sz="4" w:space="0" w:color="002279"/>
              <w:right w:val="single" w:sz="4" w:space="0" w:color="002279"/>
            </w:tcBorders>
            <w:shd w:val="clear" w:color="auto" w:fill="002279"/>
            <w:vAlign w:val="center"/>
            <w:hideMark/>
          </w:tcPr>
          <w:p w14:paraId="547F16C7" w14:textId="77777777" w:rsidR="00693552" w:rsidRPr="00693552" w:rsidRDefault="00693552" w:rsidP="00693552">
            <w:pPr>
              <w:spacing w:after="0"/>
              <w:ind w:firstLineChars="100" w:firstLine="201"/>
              <w:rPr>
                <w:rFonts w:asciiTheme="minorHAnsi" w:eastAsia="Times New Roman" w:hAnsiTheme="minorHAnsi" w:cstheme="minorHAnsi"/>
                <w:b/>
                <w:color w:val="FFFFFF" w:themeColor="background1"/>
                <w:sz w:val="20"/>
                <w:szCs w:val="20"/>
                <w:lang w:eastAsia="en-AU"/>
              </w:rPr>
            </w:pPr>
            <w:r w:rsidRPr="00693552">
              <w:rPr>
                <w:rFonts w:asciiTheme="minorHAnsi" w:eastAsia="Times New Roman" w:hAnsiTheme="minorHAnsi" w:cstheme="minorHAnsi"/>
                <w:b/>
                <w:color w:val="FFFFFF" w:themeColor="background1"/>
                <w:sz w:val="20"/>
                <w:szCs w:val="20"/>
                <w:lang w:eastAsia="en-AU"/>
              </w:rPr>
              <w:t>Aggregate rating</w:t>
            </w:r>
          </w:p>
        </w:tc>
      </w:tr>
      <w:tr w:rsidR="00693552" w:rsidRPr="00693552" w14:paraId="778B8AF6" w14:textId="77777777" w:rsidTr="001B0ADC">
        <w:trPr>
          <w:trHeight w:val="63"/>
        </w:trPr>
        <w:tc>
          <w:tcPr>
            <w:tcW w:w="5058" w:type="dxa"/>
            <w:vMerge/>
            <w:tcBorders>
              <w:top w:val="single" w:sz="4" w:space="0" w:color="002279"/>
              <w:left w:val="single" w:sz="4" w:space="0" w:color="002279"/>
              <w:bottom w:val="single" w:sz="4" w:space="0" w:color="002279"/>
              <w:right w:val="single" w:sz="4" w:space="0" w:color="002279"/>
            </w:tcBorders>
            <w:shd w:val="clear" w:color="auto" w:fill="auto"/>
            <w:vAlign w:val="center"/>
            <w:hideMark/>
          </w:tcPr>
          <w:p w14:paraId="66B5CE47" w14:textId="77777777" w:rsidR="00693552" w:rsidRPr="00693552" w:rsidRDefault="00693552" w:rsidP="00693552">
            <w:pPr>
              <w:spacing w:after="0"/>
              <w:rPr>
                <w:rFonts w:asciiTheme="minorHAnsi" w:eastAsia="Times New Roman" w:hAnsiTheme="minorHAnsi" w:cstheme="minorHAnsi"/>
                <w:b/>
                <w:color w:val="0070C0"/>
                <w:sz w:val="20"/>
                <w:szCs w:val="20"/>
                <w:lang w:eastAsia="en-AU"/>
              </w:rPr>
            </w:pPr>
          </w:p>
        </w:tc>
        <w:tc>
          <w:tcPr>
            <w:tcW w:w="5143" w:type="dxa"/>
            <w:gridSpan w:val="2"/>
            <w:vMerge/>
            <w:tcBorders>
              <w:top w:val="single" w:sz="4" w:space="0" w:color="002279"/>
              <w:left w:val="single" w:sz="4" w:space="0" w:color="002279"/>
              <w:bottom w:val="single" w:sz="4" w:space="0" w:color="002279"/>
              <w:right w:val="single" w:sz="4" w:space="0" w:color="002279"/>
            </w:tcBorders>
            <w:shd w:val="clear" w:color="auto" w:fill="auto"/>
            <w:vAlign w:val="center"/>
            <w:hideMark/>
          </w:tcPr>
          <w:p w14:paraId="67B75E6B" w14:textId="77777777" w:rsidR="00693552" w:rsidRPr="00693552" w:rsidRDefault="00693552" w:rsidP="00693552">
            <w:pPr>
              <w:spacing w:after="0"/>
              <w:rPr>
                <w:rFonts w:asciiTheme="minorHAnsi" w:eastAsia="Times New Roman" w:hAnsiTheme="minorHAnsi" w:cstheme="minorHAnsi"/>
                <w:b/>
                <w:color w:val="0070C0"/>
                <w:sz w:val="20"/>
                <w:szCs w:val="20"/>
                <w:lang w:eastAsia="en-AU"/>
              </w:rPr>
            </w:pPr>
          </w:p>
        </w:tc>
        <w:tc>
          <w:tcPr>
            <w:tcW w:w="3511" w:type="dxa"/>
            <w:gridSpan w:val="2"/>
            <w:vMerge/>
            <w:tcBorders>
              <w:top w:val="single" w:sz="4" w:space="0" w:color="002279"/>
              <w:left w:val="single" w:sz="4" w:space="0" w:color="002279"/>
              <w:bottom w:val="single" w:sz="4" w:space="0" w:color="002279"/>
              <w:right w:val="single" w:sz="4" w:space="0" w:color="002279"/>
            </w:tcBorders>
            <w:shd w:val="clear" w:color="auto" w:fill="auto"/>
            <w:vAlign w:val="center"/>
            <w:hideMark/>
          </w:tcPr>
          <w:p w14:paraId="00AE2CE8" w14:textId="77777777" w:rsidR="00693552" w:rsidRPr="00693552" w:rsidRDefault="00693552" w:rsidP="00693552">
            <w:pPr>
              <w:spacing w:after="0"/>
              <w:rPr>
                <w:rFonts w:asciiTheme="minorHAnsi" w:eastAsia="Times New Roman" w:hAnsiTheme="minorHAnsi" w:cstheme="minorHAnsi"/>
                <w:b/>
                <w:color w:val="0070C0"/>
                <w:sz w:val="20"/>
                <w:szCs w:val="20"/>
                <w:lang w:eastAsia="en-AU"/>
              </w:rPr>
            </w:pPr>
          </w:p>
        </w:tc>
        <w:tc>
          <w:tcPr>
            <w:tcW w:w="236" w:type="dxa"/>
            <w:tcBorders>
              <w:top w:val="nil"/>
              <w:left w:val="single" w:sz="4" w:space="0" w:color="002279"/>
              <w:bottom w:val="nil"/>
              <w:right w:val="nil"/>
            </w:tcBorders>
            <w:shd w:val="clear" w:color="auto" w:fill="auto"/>
            <w:noWrap/>
            <w:vAlign w:val="bottom"/>
            <w:hideMark/>
          </w:tcPr>
          <w:p w14:paraId="34FD6153" w14:textId="77777777" w:rsidR="00693552" w:rsidRPr="00693552" w:rsidRDefault="00693552" w:rsidP="00693552">
            <w:pPr>
              <w:spacing w:after="0"/>
              <w:ind w:firstLineChars="100" w:firstLine="181"/>
              <w:rPr>
                <w:rFonts w:ascii="Calibri" w:eastAsia="Times New Roman" w:hAnsi="Calibri" w:cs="Calibri"/>
                <w:b/>
                <w:bCs/>
                <w:color w:val="0070C0"/>
                <w:sz w:val="18"/>
                <w:szCs w:val="18"/>
                <w:lang w:eastAsia="en-AU"/>
              </w:rPr>
            </w:pPr>
          </w:p>
        </w:tc>
      </w:tr>
      <w:tr w:rsidR="003520ED" w:rsidRPr="00693552" w14:paraId="27D40B50" w14:textId="77777777" w:rsidTr="00B36701">
        <w:trPr>
          <w:trHeight w:val="590"/>
        </w:trPr>
        <w:tc>
          <w:tcPr>
            <w:tcW w:w="5058" w:type="dxa"/>
            <w:tcBorders>
              <w:top w:val="single" w:sz="4" w:space="0" w:color="002279"/>
              <w:left w:val="single" w:sz="4" w:space="0" w:color="002279"/>
              <w:bottom w:val="single" w:sz="4" w:space="0" w:color="002279"/>
              <w:right w:val="single" w:sz="4" w:space="0" w:color="002279"/>
            </w:tcBorders>
            <w:shd w:val="clear" w:color="auto" w:fill="D4D6DF"/>
            <w:vAlign w:val="center"/>
            <w:hideMark/>
          </w:tcPr>
          <w:p w14:paraId="3F5EF498" w14:textId="4498CFC2" w:rsidR="00693552" w:rsidRPr="00693552" w:rsidRDefault="00693552" w:rsidP="00A50EDB">
            <w:pPr>
              <w:spacing w:after="0"/>
              <w:rPr>
                <w:rFonts w:asciiTheme="minorHAnsi" w:eastAsia="Times New Roman" w:hAnsiTheme="minorHAnsi" w:cstheme="minorHAnsi"/>
                <w:color w:val="000000"/>
                <w:sz w:val="20"/>
                <w:szCs w:val="20"/>
                <w:lang w:eastAsia="en-AU"/>
              </w:rPr>
            </w:pPr>
            <w:r w:rsidRPr="00693552">
              <w:rPr>
                <w:rFonts w:asciiTheme="minorHAnsi" w:eastAsia="Times New Roman" w:hAnsiTheme="minorHAnsi" w:cstheme="minorHAnsi"/>
                <w:color w:val="000000"/>
                <w:sz w:val="20"/>
                <w:szCs w:val="20"/>
                <w:lang w:eastAsia="en-AU"/>
              </w:rPr>
              <w:t xml:space="preserve">Performance against </w:t>
            </w:r>
            <w:r w:rsidR="00992453">
              <w:rPr>
                <w:rFonts w:asciiTheme="minorHAnsi" w:eastAsia="Times New Roman" w:hAnsiTheme="minorHAnsi" w:cstheme="minorHAnsi"/>
                <w:color w:val="000000"/>
                <w:sz w:val="20"/>
                <w:szCs w:val="20"/>
                <w:lang w:eastAsia="en-AU"/>
              </w:rPr>
              <w:t>2018</w:t>
            </w:r>
            <w:r w:rsidR="00075A97">
              <w:rPr>
                <w:rFonts w:eastAsia="Times New Roman" w:cs="Arial"/>
                <w:position w:val="-1"/>
                <w:lang w:eastAsia="en-AU"/>
              </w:rPr>
              <w:t>–</w:t>
            </w:r>
            <w:r w:rsidR="00992453">
              <w:rPr>
                <w:rFonts w:asciiTheme="minorHAnsi" w:eastAsia="Times New Roman" w:hAnsiTheme="minorHAnsi" w:cstheme="minorHAnsi"/>
                <w:color w:val="000000"/>
                <w:sz w:val="20"/>
                <w:szCs w:val="20"/>
                <w:lang w:eastAsia="en-AU"/>
              </w:rPr>
              <w:t>23 c</w:t>
            </w:r>
            <w:r w:rsidRPr="00693552">
              <w:rPr>
                <w:rFonts w:asciiTheme="minorHAnsi" w:eastAsia="Times New Roman" w:hAnsiTheme="minorHAnsi" w:cstheme="minorHAnsi"/>
                <w:color w:val="000000"/>
                <w:sz w:val="20"/>
                <w:szCs w:val="20"/>
                <w:lang w:eastAsia="en-AU"/>
              </w:rPr>
              <w:t xml:space="preserve">ustomer </w:t>
            </w:r>
            <w:r w:rsidR="00992453">
              <w:rPr>
                <w:rFonts w:asciiTheme="minorHAnsi" w:eastAsia="Times New Roman" w:hAnsiTheme="minorHAnsi" w:cstheme="minorHAnsi"/>
                <w:color w:val="000000"/>
                <w:sz w:val="20"/>
                <w:szCs w:val="20"/>
                <w:lang w:eastAsia="en-AU"/>
              </w:rPr>
              <w:t>o</w:t>
            </w:r>
            <w:r w:rsidRPr="00693552">
              <w:rPr>
                <w:rFonts w:asciiTheme="minorHAnsi" w:eastAsia="Times New Roman" w:hAnsiTheme="minorHAnsi" w:cstheme="minorHAnsi"/>
                <w:color w:val="000000"/>
                <w:sz w:val="20"/>
                <w:szCs w:val="20"/>
                <w:lang w:eastAsia="en-AU"/>
              </w:rPr>
              <w:t>utcomes including tolerance bands</w:t>
            </w:r>
          </w:p>
        </w:tc>
        <w:tc>
          <w:tcPr>
            <w:tcW w:w="765" w:type="dxa"/>
            <w:tcBorders>
              <w:top w:val="single" w:sz="4" w:space="0" w:color="002279"/>
              <w:left w:val="single" w:sz="4" w:space="0" w:color="002279"/>
              <w:bottom w:val="single" w:sz="4" w:space="0" w:color="002279"/>
              <w:right w:val="single" w:sz="4" w:space="0" w:color="002279"/>
            </w:tcBorders>
            <w:shd w:val="clear" w:color="auto" w:fill="D4D6DF"/>
            <w:vAlign w:val="center"/>
            <w:hideMark/>
          </w:tcPr>
          <w:p w14:paraId="38DA38C5" w14:textId="77777777" w:rsidR="00693552" w:rsidRPr="00693552" w:rsidRDefault="00693552" w:rsidP="00693552">
            <w:pPr>
              <w:spacing w:after="0"/>
              <w:jc w:val="center"/>
              <w:rPr>
                <w:rFonts w:asciiTheme="minorHAnsi" w:eastAsia="Times New Roman" w:hAnsiTheme="minorHAnsi" w:cstheme="minorHAnsi"/>
                <w:color w:val="000000"/>
                <w:sz w:val="20"/>
                <w:szCs w:val="20"/>
                <w:lang w:eastAsia="en-AU"/>
              </w:rPr>
            </w:pPr>
            <w:r w:rsidRPr="00693552">
              <w:rPr>
                <w:rFonts w:asciiTheme="minorHAnsi" w:eastAsia="Times New Roman" w:hAnsiTheme="minorHAnsi" w:cstheme="minorHAnsi"/>
                <w:color w:val="000000"/>
                <w:sz w:val="20"/>
                <w:szCs w:val="20"/>
                <w:lang w:eastAsia="en-AU"/>
              </w:rPr>
              <w:t>3.50</w:t>
            </w:r>
          </w:p>
        </w:tc>
        <w:tc>
          <w:tcPr>
            <w:tcW w:w="4378" w:type="dxa"/>
            <w:tcBorders>
              <w:top w:val="single" w:sz="4" w:space="0" w:color="002279"/>
              <w:left w:val="single" w:sz="4" w:space="0" w:color="002279"/>
              <w:bottom w:val="single" w:sz="4" w:space="0" w:color="002279"/>
              <w:right w:val="single" w:sz="4" w:space="0" w:color="002279"/>
            </w:tcBorders>
            <w:shd w:val="clear" w:color="auto" w:fill="D4D6DF"/>
            <w:vAlign w:val="center"/>
            <w:hideMark/>
          </w:tcPr>
          <w:p w14:paraId="26C0B755" w14:textId="77777777" w:rsidR="00693552" w:rsidRPr="00693552" w:rsidRDefault="00693552" w:rsidP="00412E22">
            <w:pPr>
              <w:spacing w:after="0"/>
              <w:rPr>
                <w:rFonts w:asciiTheme="minorHAnsi" w:eastAsia="Times New Roman" w:hAnsiTheme="minorHAnsi" w:cstheme="minorHAnsi"/>
                <w:color w:val="000000"/>
                <w:sz w:val="20"/>
                <w:szCs w:val="20"/>
                <w:lang w:eastAsia="en-AU"/>
              </w:rPr>
            </w:pPr>
            <w:r w:rsidRPr="00693552">
              <w:rPr>
                <w:rFonts w:asciiTheme="minorHAnsi" w:eastAsia="Times New Roman" w:hAnsiTheme="minorHAnsi" w:cstheme="minorHAnsi"/>
                <w:color w:val="000000"/>
                <w:sz w:val="20"/>
                <w:szCs w:val="20"/>
                <w:lang w:eastAsia="en-AU"/>
              </w:rPr>
              <w:t xml:space="preserve">Very confident the element is </w:t>
            </w:r>
            <w:r w:rsidRPr="001E2E08">
              <w:rPr>
                <w:rFonts w:asciiTheme="minorHAnsi" w:eastAsia="Times New Roman" w:hAnsiTheme="minorHAnsi" w:cstheme="minorHAnsi"/>
                <w:i/>
                <w:color w:val="000000"/>
                <w:sz w:val="20"/>
                <w:szCs w:val="20"/>
                <w:lang w:eastAsia="en-AU"/>
              </w:rPr>
              <w:t>'Advanced</w:t>
            </w:r>
            <w:r w:rsidRPr="00693552">
              <w:rPr>
                <w:rFonts w:asciiTheme="minorHAnsi" w:eastAsia="Times New Roman" w:hAnsiTheme="minorHAnsi" w:cstheme="minorHAnsi"/>
                <w:color w:val="000000"/>
                <w:sz w:val="20"/>
                <w:szCs w:val="20"/>
                <w:lang w:eastAsia="en-AU"/>
              </w:rPr>
              <w:t>'</w:t>
            </w:r>
          </w:p>
        </w:tc>
        <w:tc>
          <w:tcPr>
            <w:tcW w:w="1134" w:type="dxa"/>
            <w:vMerge w:val="restart"/>
            <w:tcBorders>
              <w:top w:val="single" w:sz="4" w:space="0" w:color="002279"/>
              <w:left w:val="single" w:sz="4" w:space="0" w:color="002279"/>
              <w:bottom w:val="single" w:sz="4" w:space="0" w:color="002279"/>
              <w:right w:val="single" w:sz="4" w:space="0" w:color="002279"/>
            </w:tcBorders>
            <w:shd w:val="clear" w:color="auto" w:fill="auto"/>
            <w:vAlign w:val="center"/>
            <w:hideMark/>
          </w:tcPr>
          <w:p w14:paraId="4A460295" w14:textId="77777777" w:rsidR="00693552" w:rsidRPr="00693552" w:rsidRDefault="00693552" w:rsidP="00693552">
            <w:pPr>
              <w:spacing w:after="0"/>
              <w:jc w:val="center"/>
              <w:rPr>
                <w:rFonts w:asciiTheme="minorHAnsi" w:eastAsia="Times New Roman" w:hAnsiTheme="minorHAnsi" w:cstheme="minorHAnsi"/>
                <w:color w:val="000000"/>
                <w:sz w:val="20"/>
                <w:szCs w:val="20"/>
                <w:lang w:eastAsia="en-AU"/>
              </w:rPr>
            </w:pPr>
            <w:r w:rsidRPr="00693552">
              <w:rPr>
                <w:rFonts w:asciiTheme="minorHAnsi" w:eastAsia="Times New Roman" w:hAnsiTheme="minorHAnsi" w:cstheme="minorHAnsi"/>
                <w:color w:val="000000"/>
                <w:sz w:val="20"/>
                <w:szCs w:val="20"/>
                <w:lang w:eastAsia="en-AU"/>
              </w:rPr>
              <w:t>18.00</w:t>
            </w:r>
          </w:p>
        </w:tc>
        <w:tc>
          <w:tcPr>
            <w:tcW w:w="2377" w:type="dxa"/>
            <w:vMerge w:val="restart"/>
            <w:tcBorders>
              <w:top w:val="single" w:sz="4" w:space="0" w:color="002279"/>
              <w:left w:val="single" w:sz="4" w:space="0" w:color="002279"/>
              <w:bottom w:val="single" w:sz="4" w:space="0" w:color="002279"/>
              <w:right w:val="single" w:sz="4" w:space="0" w:color="002279"/>
            </w:tcBorders>
            <w:shd w:val="clear" w:color="auto" w:fill="D4D6DF"/>
            <w:vAlign w:val="center"/>
            <w:hideMark/>
          </w:tcPr>
          <w:p w14:paraId="7ADDEBA3" w14:textId="77777777" w:rsidR="00693552" w:rsidRPr="00693552" w:rsidRDefault="00693552" w:rsidP="001B0ADC">
            <w:pPr>
              <w:spacing w:after="0"/>
              <w:rPr>
                <w:rFonts w:asciiTheme="minorHAnsi" w:eastAsia="Times New Roman" w:hAnsiTheme="minorHAnsi" w:cstheme="minorHAnsi"/>
                <w:color w:val="000000"/>
                <w:sz w:val="20"/>
                <w:szCs w:val="20"/>
                <w:lang w:eastAsia="en-AU"/>
              </w:rPr>
            </w:pPr>
            <w:r w:rsidRPr="00693552">
              <w:rPr>
                <w:rFonts w:asciiTheme="minorHAnsi" w:eastAsia="Times New Roman" w:hAnsiTheme="minorHAnsi" w:cstheme="minorHAnsi"/>
                <w:color w:val="000000"/>
                <w:sz w:val="20"/>
                <w:szCs w:val="20"/>
                <w:lang w:eastAsia="en-AU"/>
              </w:rPr>
              <w:t xml:space="preserve">Confident the element is </w:t>
            </w:r>
            <w:r w:rsidRPr="0019186A">
              <w:rPr>
                <w:rFonts w:asciiTheme="minorHAnsi" w:eastAsia="Times New Roman" w:hAnsiTheme="minorHAnsi" w:cstheme="minorHAnsi"/>
                <w:i/>
                <w:color w:val="000000"/>
                <w:sz w:val="20"/>
                <w:szCs w:val="20"/>
                <w:lang w:eastAsia="en-AU"/>
              </w:rPr>
              <w:t>'Advanced'</w:t>
            </w:r>
          </w:p>
        </w:tc>
        <w:tc>
          <w:tcPr>
            <w:tcW w:w="236" w:type="dxa"/>
            <w:tcBorders>
              <w:left w:val="single" w:sz="4" w:space="0" w:color="002279"/>
            </w:tcBorders>
            <w:vAlign w:val="center"/>
            <w:hideMark/>
          </w:tcPr>
          <w:p w14:paraId="2EA5C06E" w14:textId="77777777" w:rsidR="00693552" w:rsidRPr="00693552" w:rsidRDefault="00693552" w:rsidP="00693552">
            <w:pPr>
              <w:spacing w:after="0"/>
              <w:rPr>
                <w:rFonts w:ascii="Times New Roman" w:eastAsia="Times New Roman" w:hAnsi="Times New Roman" w:cs="Times New Roman"/>
                <w:sz w:val="20"/>
                <w:szCs w:val="20"/>
                <w:lang w:eastAsia="en-AU"/>
              </w:rPr>
            </w:pPr>
          </w:p>
        </w:tc>
      </w:tr>
      <w:tr w:rsidR="00984F83" w:rsidRPr="00693552" w14:paraId="3FFDA8FD" w14:textId="77777777" w:rsidTr="00B36701">
        <w:trPr>
          <w:trHeight w:val="590"/>
        </w:trPr>
        <w:tc>
          <w:tcPr>
            <w:tcW w:w="5058" w:type="dxa"/>
            <w:tcBorders>
              <w:top w:val="single" w:sz="4" w:space="0" w:color="002279"/>
              <w:left w:val="single" w:sz="4" w:space="0" w:color="002279"/>
              <w:bottom w:val="single" w:sz="4" w:space="0" w:color="002279"/>
              <w:right w:val="single" w:sz="4" w:space="0" w:color="002279"/>
            </w:tcBorders>
            <w:shd w:val="clear" w:color="auto" w:fill="auto"/>
            <w:vAlign w:val="center"/>
            <w:hideMark/>
          </w:tcPr>
          <w:p w14:paraId="0CC2BD41" w14:textId="5C0D9A19" w:rsidR="00693552" w:rsidRPr="00693552" w:rsidRDefault="00693552" w:rsidP="00A50EDB">
            <w:pPr>
              <w:spacing w:after="0"/>
              <w:rPr>
                <w:rFonts w:asciiTheme="minorHAnsi" w:eastAsia="Times New Roman" w:hAnsiTheme="minorHAnsi" w:cstheme="minorHAnsi"/>
                <w:color w:val="000000"/>
                <w:sz w:val="20"/>
                <w:szCs w:val="20"/>
                <w:lang w:eastAsia="en-AU"/>
              </w:rPr>
            </w:pPr>
            <w:r w:rsidRPr="00693552">
              <w:rPr>
                <w:rFonts w:asciiTheme="minorHAnsi" w:eastAsia="Times New Roman" w:hAnsiTheme="minorHAnsi" w:cstheme="minorHAnsi"/>
                <w:color w:val="000000"/>
                <w:sz w:val="20"/>
                <w:szCs w:val="20"/>
                <w:lang w:eastAsia="en-AU"/>
              </w:rPr>
              <w:t xml:space="preserve">Water Performance Report </w:t>
            </w:r>
            <w:r w:rsidR="0026561B" w:rsidRPr="008B6329">
              <w:rPr>
                <w:rFonts w:asciiTheme="minorHAnsi" w:eastAsia="Times New Roman" w:hAnsiTheme="minorHAnsi" w:cstheme="minorHAnsi"/>
                <w:color w:val="000000"/>
                <w:sz w:val="20"/>
                <w:szCs w:val="20"/>
                <w:lang w:eastAsia="en-AU"/>
              </w:rPr>
              <w:t>- comparison</w:t>
            </w:r>
            <w:r w:rsidRPr="00693552">
              <w:rPr>
                <w:rFonts w:asciiTheme="minorHAnsi" w:eastAsia="Times New Roman" w:hAnsiTheme="minorHAnsi" w:cstheme="minorHAnsi"/>
                <w:color w:val="000000"/>
                <w:sz w:val="20"/>
                <w:szCs w:val="20"/>
                <w:lang w:eastAsia="en-AU"/>
              </w:rPr>
              <w:t xml:space="preserve"> against state averages for same or like KPIs</w:t>
            </w:r>
          </w:p>
        </w:tc>
        <w:tc>
          <w:tcPr>
            <w:tcW w:w="765" w:type="dxa"/>
            <w:tcBorders>
              <w:top w:val="single" w:sz="4" w:space="0" w:color="002279"/>
              <w:left w:val="single" w:sz="4" w:space="0" w:color="002279"/>
              <w:bottom w:val="single" w:sz="4" w:space="0" w:color="002279"/>
              <w:right w:val="single" w:sz="4" w:space="0" w:color="002279"/>
            </w:tcBorders>
            <w:shd w:val="clear" w:color="auto" w:fill="auto"/>
            <w:vAlign w:val="center"/>
            <w:hideMark/>
          </w:tcPr>
          <w:p w14:paraId="25E31B24" w14:textId="77777777" w:rsidR="00693552" w:rsidRPr="00693552" w:rsidRDefault="00693552" w:rsidP="00693552">
            <w:pPr>
              <w:spacing w:after="0"/>
              <w:jc w:val="center"/>
              <w:rPr>
                <w:rFonts w:asciiTheme="minorHAnsi" w:eastAsia="Times New Roman" w:hAnsiTheme="minorHAnsi" w:cstheme="minorHAnsi"/>
                <w:color w:val="000000"/>
                <w:sz w:val="20"/>
                <w:szCs w:val="20"/>
                <w:lang w:eastAsia="en-AU"/>
              </w:rPr>
            </w:pPr>
            <w:r w:rsidRPr="00693552">
              <w:rPr>
                <w:rFonts w:asciiTheme="minorHAnsi" w:eastAsia="Times New Roman" w:hAnsiTheme="minorHAnsi" w:cstheme="minorHAnsi"/>
                <w:color w:val="000000"/>
                <w:sz w:val="20"/>
                <w:szCs w:val="20"/>
                <w:lang w:eastAsia="en-AU"/>
              </w:rPr>
              <w:t>3.50</w:t>
            </w:r>
          </w:p>
        </w:tc>
        <w:tc>
          <w:tcPr>
            <w:tcW w:w="4378" w:type="dxa"/>
            <w:tcBorders>
              <w:top w:val="single" w:sz="4" w:space="0" w:color="002279"/>
              <w:left w:val="single" w:sz="4" w:space="0" w:color="002279"/>
              <w:bottom w:val="single" w:sz="4" w:space="0" w:color="002279"/>
              <w:right w:val="single" w:sz="4" w:space="0" w:color="002279"/>
            </w:tcBorders>
            <w:shd w:val="clear" w:color="auto" w:fill="auto"/>
            <w:vAlign w:val="center"/>
            <w:hideMark/>
          </w:tcPr>
          <w:p w14:paraId="1494F438" w14:textId="77777777" w:rsidR="00693552" w:rsidRPr="00693552" w:rsidRDefault="00693552" w:rsidP="00412E22">
            <w:pPr>
              <w:spacing w:after="0"/>
              <w:rPr>
                <w:rFonts w:asciiTheme="minorHAnsi" w:eastAsia="Times New Roman" w:hAnsiTheme="minorHAnsi" w:cstheme="minorHAnsi"/>
                <w:color w:val="000000"/>
                <w:sz w:val="20"/>
                <w:szCs w:val="20"/>
                <w:lang w:eastAsia="en-AU"/>
              </w:rPr>
            </w:pPr>
            <w:r w:rsidRPr="00693552">
              <w:rPr>
                <w:rFonts w:asciiTheme="minorHAnsi" w:eastAsia="Times New Roman" w:hAnsiTheme="minorHAnsi" w:cstheme="minorHAnsi"/>
                <w:color w:val="000000"/>
                <w:sz w:val="20"/>
                <w:szCs w:val="20"/>
                <w:lang w:eastAsia="en-AU"/>
              </w:rPr>
              <w:t xml:space="preserve">Very confident the element is </w:t>
            </w:r>
            <w:r w:rsidRPr="001E2E08">
              <w:rPr>
                <w:rFonts w:asciiTheme="minorHAnsi" w:eastAsia="Times New Roman" w:hAnsiTheme="minorHAnsi" w:cstheme="minorHAnsi"/>
                <w:i/>
                <w:color w:val="000000"/>
                <w:sz w:val="20"/>
                <w:szCs w:val="20"/>
                <w:lang w:eastAsia="en-AU"/>
              </w:rPr>
              <w:t>'Advanced'</w:t>
            </w:r>
          </w:p>
        </w:tc>
        <w:tc>
          <w:tcPr>
            <w:tcW w:w="1134" w:type="dxa"/>
            <w:vMerge/>
            <w:tcBorders>
              <w:top w:val="single" w:sz="4" w:space="0" w:color="002279"/>
              <w:left w:val="single" w:sz="4" w:space="0" w:color="002279"/>
              <w:bottom w:val="single" w:sz="4" w:space="0" w:color="002279"/>
              <w:right w:val="single" w:sz="4" w:space="0" w:color="002279"/>
            </w:tcBorders>
            <w:shd w:val="clear" w:color="auto" w:fill="auto"/>
            <w:vAlign w:val="center"/>
            <w:hideMark/>
          </w:tcPr>
          <w:p w14:paraId="3169CE67" w14:textId="77777777" w:rsidR="00693552" w:rsidRPr="00693552" w:rsidRDefault="00693552" w:rsidP="00693552">
            <w:pPr>
              <w:spacing w:after="0"/>
              <w:rPr>
                <w:rFonts w:ascii="Calibri" w:eastAsia="Times New Roman" w:hAnsi="Calibri" w:cs="Calibri"/>
                <w:color w:val="000000"/>
                <w:sz w:val="18"/>
                <w:szCs w:val="18"/>
                <w:lang w:eastAsia="en-AU"/>
              </w:rPr>
            </w:pPr>
          </w:p>
        </w:tc>
        <w:tc>
          <w:tcPr>
            <w:tcW w:w="2377" w:type="dxa"/>
            <w:vMerge/>
            <w:tcBorders>
              <w:top w:val="single" w:sz="4" w:space="0" w:color="002279"/>
              <w:left w:val="single" w:sz="4" w:space="0" w:color="002279"/>
              <w:bottom w:val="single" w:sz="4" w:space="0" w:color="002279"/>
              <w:right w:val="single" w:sz="4" w:space="0" w:color="002279"/>
            </w:tcBorders>
            <w:shd w:val="clear" w:color="auto" w:fill="D4D6DF"/>
            <w:vAlign w:val="center"/>
            <w:hideMark/>
          </w:tcPr>
          <w:p w14:paraId="432018E3" w14:textId="77777777" w:rsidR="00693552" w:rsidRPr="00693552" w:rsidRDefault="00693552" w:rsidP="00693552">
            <w:pPr>
              <w:spacing w:after="0"/>
              <w:rPr>
                <w:rFonts w:ascii="Calibri" w:eastAsia="Times New Roman" w:hAnsi="Calibri" w:cs="Calibri"/>
                <w:color w:val="000000"/>
                <w:sz w:val="20"/>
                <w:szCs w:val="20"/>
                <w:lang w:eastAsia="en-AU"/>
              </w:rPr>
            </w:pPr>
          </w:p>
        </w:tc>
        <w:tc>
          <w:tcPr>
            <w:tcW w:w="236" w:type="dxa"/>
            <w:tcBorders>
              <w:left w:val="single" w:sz="4" w:space="0" w:color="002279"/>
            </w:tcBorders>
            <w:vAlign w:val="center"/>
            <w:hideMark/>
          </w:tcPr>
          <w:p w14:paraId="4167A3A4" w14:textId="77777777" w:rsidR="00693552" w:rsidRPr="00693552" w:rsidRDefault="00693552" w:rsidP="00693552">
            <w:pPr>
              <w:spacing w:after="0"/>
              <w:rPr>
                <w:rFonts w:ascii="Times New Roman" w:eastAsia="Times New Roman" w:hAnsi="Times New Roman" w:cs="Times New Roman"/>
                <w:sz w:val="20"/>
                <w:szCs w:val="20"/>
                <w:lang w:eastAsia="en-AU"/>
              </w:rPr>
            </w:pPr>
          </w:p>
        </w:tc>
      </w:tr>
      <w:tr w:rsidR="00984F83" w:rsidRPr="00693552" w14:paraId="1353D285" w14:textId="77777777" w:rsidTr="00B36701">
        <w:trPr>
          <w:trHeight w:val="590"/>
        </w:trPr>
        <w:tc>
          <w:tcPr>
            <w:tcW w:w="5058" w:type="dxa"/>
            <w:tcBorders>
              <w:top w:val="single" w:sz="4" w:space="0" w:color="002279"/>
              <w:left w:val="single" w:sz="4" w:space="0" w:color="002279"/>
              <w:bottom w:val="single" w:sz="4" w:space="0" w:color="002279"/>
              <w:right w:val="single" w:sz="4" w:space="0" w:color="002279"/>
            </w:tcBorders>
            <w:shd w:val="clear" w:color="auto" w:fill="D4D6DF"/>
            <w:vAlign w:val="center"/>
            <w:hideMark/>
          </w:tcPr>
          <w:p w14:paraId="0148C6A9" w14:textId="19A24627" w:rsidR="00693552" w:rsidRPr="00693552" w:rsidRDefault="00693552" w:rsidP="00A50EDB">
            <w:pPr>
              <w:spacing w:after="0"/>
              <w:rPr>
                <w:rFonts w:asciiTheme="minorHAnsi" w:eastAsia="Times New Roman" w:hAnsiTheme="minorHAnsi" w:cstheme="minorHAnsi"/>
                <w:color w:val="000000"/>
                <w:sz w:val="20"/>
                <w:szCs w:val="20"/>
                <w:lang w:eastAsia="en-AU"/>
              </w:rPr>
            </w:pPr>
            <w:r w:rsidRPr="00693552">
              <w:rPr>
                <w:rFonts w:asciiTheme="minorHAnsi" w:eastAsia="Times New Roman" w:hAnsiTheme="minorHAnsi" w:cstheme="minorHAnsi"/>
                <w:color w:val="000000"/>
                <w:sz w:val="20"/>
                <w:szCs w:val="20"/>
                <w:lang w:eastAsia="en-AU"/>
              </w:rPr>
              <w:t xml:space="preserve">Assessment of delivery against our top 10 </w:t>
            </w:r>
            <w:r w:rsidR="001E2E08">
              <w:rPr>
                <w:rFonts w:asciiTheme="minorHAnsi" w:eastAsia="Times New Roman" w:hAnsiTheme="minorHAnsi" w:cstheme="minorHAnsi"/>
                <w:color w:val="000000"/>
                <w:sz w:val="20"/>
                <w:szCs w:val="20"/>
                <w:lang w:eastAsia="en-AU"/>
              </w:rPr>
              <w:t>m</w:t>
            </w:r>
            <w:r w:rsidRPr="00693552">
              <w:rPr>
                <w:rFonts w:asciiTheme="minorHAnsi" w:eastAsia="Times New Roman" w:hAnsiTheme="minorHAnsi" w:cstheme="minorHAnsi"/>
                <w:color w:val="000000"/>
                <w:sz w:val="20"/>
                <w:szCs w:val="20"/>
                <w:lang w:eastAsia="en-AU"/>
              </w:rPr>
              <w:t xml:space="preserve">ajor </w:t>
            </w:r>
            <w:r w:rsidR="001E2E08">
              <w:rPr>
                <w:rFonts w:asciiTheme="minorHAnsi" w:eastAsia="Times New Roman" w:hAnsiTheme="minorHAnsi" w:cstheme="minorHAnsi"/>
                <w:color w:val="000000"/>
                <w:sz w:val="20"/>
                <w:szCs w:val="20"/>
                <w:lang w:eastAsia="en-AU"/>
              </w:rPr>
              <w:t>p</w:t>
            </w:r>
            <w:r w:rsidRPr="00693552">
              <w:rPr>
                <w:rFonts w:asciiTheme="minorHAnsi" w:eastAsia="Times New Roman" w:hAnsiTheme="minorHAnsi" w:cstheme="minorHAnsi"/>
                <w:color w:val="000000"/>
                <w:sz w:val="20"/>
                <w:szCs w:val="20"/>
                <w:lang w:eastAsia="en-AU"/>
              </w:rPr>
              <w:t xml:space="preserve">rojects from the </w:t>
            </w:r>
            <w:r w:rsidR="00420EB9" w:rsidRPr="008B6329">
              <w:rPr>
                <w:rFonts w:asciiTheme="minorHAnsi" w:eastAsia="Times New Roman" w:hAnsiTheme="minorHAnsi" w:cstheme="minorHAnsi"/>
                <w:color w:val="000000"/>
                <w:sz w:val="20"/>
                <w:szCs w:val="20"/>
                <w:lang w:eastAsia="en-AU"/>
              </w:rPr>
              <w:t>2018</w:t>
            </w:r>
            <w:r w:rsidR="000445E8">
              <w:rPr>
                <w:rFonts w:eastAsia="Times New Roman" w:cs="Arial"/>
                <w:position w:val="-1"/>
                <w:lang w:eastAsia="en-AU"/>
              </w:rPr>
              <w:t>–</w:t>
            </w:r>
            <w:r w:rsidR="007E0922">
              <w:rPr>
                <w:rFonts w:asciiTheme="minorHAnsi" w:eastAsia="Times New Roman" w:hAnsiTheme="minorHAnsi" w:cstheme="minorHAnsi"/>
                <w:color w:val="000000"/>
                <w:sz w:val="20"/>
                <w:szCs w:val="20"/>
                <w:lang w:eastAsia="en-AU"/>
              </w:rPr>
              <w:t>23</w:t>
            </w:r>
            <w:r w:rsidR="00420EB9" w:rsidRPr="008B6329">
              <w:rPr>
                <w:rFonts w:asciiTheme="minorHAnsi" w:eastAsia="Times New Roman" w:hAnsiTheme="minorHAnsi" w:cstheme="minorHAnsi"/>
                <w:color w:val="000000"/>
                <w:sz w:val="20"/>
                <w:szCs w:val="20"/>
                <w:lang w:eastAsia="en-AU"/>
              </w:rPr>
              <w:t xml:space="preserve"> </w:t>
            </w:r>
            <w:r w:rsidR="007E0922">
              <w:rPr>
                <w:rFonts w:asciiTheme="minorHAnsi" w:eastAsia="Times New Roman" w:hAnsiTheme="minorHAnsi" w:cstheme="minorHAnsi"/>
                <w:color w:val="000000"/>
                <w:sz w:val="20"/>
                <w:szCs w:val="20"/>
                <w:lang w:eastAsia="en-AU"/>
              </w:rPr>
              <w:t>P</w:t>
            </w:r>
            <w:r w:rsidR="00420EB9" w:rsidRPr="008B6329">
              <w:rPr>
                <w:rFonts w:asciiTheme="minorHAnsi" w:eastAsia="Times New Roman" w:hAnsiTheme="minorHAnsi" w:cstheme="minorHAnsi"/>
                <w:color w:val="000000"/>
                <w:sz w:val="20"/>
                <w:szCs w:val="20"/>
                <w:lang w:eastAsia="en-AU"/>
              </w:rPr>
              <w:t>rice</w:t>
            </w:r>
            <w:r w:rsidRPr="00693552">
              <w:rPr>
                <w:rFonts w:asciiTheme="minorHAnsi" w:eastAsia="Times New Roman" w:hAnsiTheme="minorHAnsi" w:cstheme="minorHAnsi"/>
                <w:color w:val="000000"/>
                <w:sz w:val="20"/>
                <w:szCs w:val="20"/>
                <w:lang w:eastAsia="en-AU"/>
              </w:rPr>
              <w:t xml:space="preserve"> </w:t>
            </w:r>
            <w:r w:rsidR="007E0922">
              <w:rPr>
                <w:rFonts w:asciiTheme="minorHAnsi" w:eastAsia="Times New Roman" w:hAnsiTheme="minorHAnsi" w:cstheme="minorHAnsi"/>
                <w:color w:val="000000"/>
                <w:sz w:val="20"/>
                <w:szCs w:val="20"/>
                <w:lang w:eastAsia="en-AU"/>
              </w:rPr>
              <w:t>S</w:t>
            </w:r>
            <w:r w:rsidRPr="00693552">
              <w:rPr>
                <w:rFonts w:asciiTheme="minorHAnsi" w:eastAsia="Times New Roman" w:hAnsiTheme="minorHAnsi" w:cstheme="minorHAnsi"/>
                <w:color w:val="000000"/>
                <w:sz w:val="20"/>
                <w:szCs w:val="20"/>
                <w:lang w:eastAsia="en-AU"/>
              </w:rPr>
              <w:t>ubmission</w:t>
            </w:r>
          </w:p>
        </w:tc>
        <w:tc>
          <w:tcPr>
            <w:tcW w:w="765" w:type="dxa"/>
            <w:tcBorders>
              <w:top w:val="single" w:sz="4" w:space="0" w:color="002279"/>
              <w:left w:val="single" w:sz="4" w:space="0" w:color="002279"/>
              <w:bottom w:val="single" w:sz="4" w:space="0" w:color="002279"/>
              <w:right w:val="single" w:sz="4" w:space="0" w:color="002279"/>
            </w:tcBorders>
            <w:shd w:val="clear" w:color="auto" w:fill="D4D6DF"/>
            <w:vAlign w:val="center"/>
            <w:hideMark/>
          </w:tcPr>
          <w:p w14:paraId="5FF9DF37" w14:textId="77777777" w:rsidR="00693552" w:rsidRPr="00693552" w:rsidRDefault="00693552" w:rsidP="00693552">
            <w:pPr>
              <w:spacing w:after="0"/>
              <w:jc w:val="center"/>
              <w:rPr>
                <w:rFonts w:asciiTheme="minorHAnsi" w:eastAsia="Times New Roman" w:hAnsiTheme="minorHAnsi" w:cstheme="minorHAnsi"/>
                <w:color w:val="000000"/>
                <w:sz w:val="20"/>
                <w:szCs w:val="20"/>
                <w:lang w:eastAsia="en-AU"/>
              </w:rPr>
            </w:pPr>
            <w:r w:rsidRPr="00693552">
              <w:rPr>
                <w:rFonts w:asciiTheme="minorHAnsi" w:eastAsia="Times New Roman" w:hAnsiTheme="minorHAnsi" w:cstheme="minorHAnsi"/>
                <w:color w:val="000000"/>
                <w:sz w:val="20"/>
                <w:szCs w:val="20"/>
                <w:lang w:eastAsia="en-AU"/>
              </w:rPr>
              <w:t>3.00</w:t>
            </w:r>
          </w:p>
        </w:tc>
        <w:tc>
          <w:tcPr>
            <w:tcW w:w="4378" w:type="dxa"/>
            <w:tcBorders>
              <w:top w:val="single" w:sz="4" w:space="0" w:color="002279"/>
              <w:left w:val="single" w:sz="4" w:space="0" w:color="002279"/>
              <w:bottom w:val="single" w:sz="4" w:space="0" w:color="002279"/>
              <w:right w:val="single" w:sz="4" w:space="0" w:color="002279"/>
            </w:tcBorders>
            <w:shd w:val="clear" w:color="auto" w:fill="D4D6DF"/>
            <w:vAlign w:val="center"/>
            <w:hideMark/>
          </w:tcPr>
          <w:p w14:paraId="0FF52610" w14:textId="77777777" w:rsidR="00693552" w:rsidRPr="00693552" w:rsidRDefault="00693552" w:rsidP="00412E22">
            <w:pPr>
              <w:spacing w:after="0"/>
              <w:rPr>
                <w:rFonts w:asciiTheme="minorHAnsi" w:eastAsia="Times New Roman" w:hAnsiTheme="minorHAnsi" w:cstheme="minorHAnsi"/>
                <w:color w:val="000000"/>
                <w:sz w:val="20"/>
                <w:szCs w:val="20"/>
                <w:lang w:eastAsia="en-AU"/>
              </w:rPr>
            </w:pPr>
            <w:r w:rsidRPr="00693552">
              <w:rPr>
                <w:rFonts w:asciiTheme="minorHAnsi" w:eastAsia="Times New Roman" w:hAnsiTheme="minorHAnsi" w:cstheme="minorHAnsi"/>
                <w:color w:val="000000"/>
                <w:sz w:val="20"/>
                <w:szCs w:val="20"/>
                <w:lang w:eastAsia="en-AU"/>
              </w:rPr>
              <w:t xml:space="preserve">Satisfied the element is </w:t>
            </w:r>
            <w:r w:rsidRPr="001E2E08">
              <w:rPr>
                <w:rFonts w:asciiTheme="minorHAnsi" w:eastAsia="Times New Roman" w:hAnsiTheme="minorHAnsi" w:cstheme="minorHAnsi"/>
                <w:i/>
                <w:color w:val="000000"/>
                <w:sz w:val="20"/>
                <w:szCs w:val="20"/>
                <w:lang w:eastAsia="en-AU"/>
              </w:rPr>
              <w:t>'Advanced'</w:t>
            </w:r>
          </w:p>
        </w:tc>
        <w:tc>
          <w:tcPr>
            <w:tcW w:w="1134" w:type="dxa"/>
            <w:vMerge/>
            <w:tcBorders>
              <w:top w:val="single" w:sz="4" w:space="0" w:color="002279"/>
              <w:left w:val="single" w:sz="4" w:space="0" w:color="002279"/>
              <w:bottom w:val="single" w:sz="4" w:space="0" w:color="002279"/>
              <w:right w:val="single" w:sz="4" w:space="0" w:color="002279"/>
            </w:tcBorders>
            <w:shd w:val="clear" w:color="auto" w:fill="auto"/>
            <w:vAlign w:val="center"/>
            <w:hideMark/>
          </w:tcPr>
          <w:p w14:paraId="4AC1F407" w14:textId="77777777" w:rsidR="00693552" w:rsidRPr="00693552" w:rsidRDefault="00693552" w:rsidP="00693552">
            <w:pPr>
              <w:spacing w:after="0"/>
              <w:rPr>
                <w:rFonts w:ascii="Calibri" w:eastAsia="Times New Roman" w:hAnsi="Calibri" w:cs="Calibri"/>
                <w:color w:val="000000"/>
                <w:sz w:val="18"/>
                <w:szCs w:val="18"/>
                <w:lang w:eastAsia="en-AU"/>
              </w:rPr>
            </w:pPr>
          </w:p>
        </w:tc>
        <w:tc>
          <w:tcPr>
            <w:tcW w:w="2377" w:type="dxa"/>
            <w:vMerge/>
            <w:tcBorders>
              <w:top w:val="single" w:sz="4" w:space="0" w:color="002279"/>
              <w:left w:val="single" w:sz="4" w:space="0" w:color="002279"/>
              <w:bottom w:val="single" w:sz="4" w:space="0" w:color="002279"/>
              <w:right w:val="single" w:sz="4" w:space="0" w:color="002279"/>
            </w:tcBorders>
            <w:shd w:val="clear" w:color="auto" w:fill="D4D6DF"/>
            <w:vAlign w:val="center"/>
            <w:hideMark/>
          </w:tcPr>
          <w:p w14:paraId="0DBB7D93" w14:textId="77777777" w:rsidR="00693552" w:rsidRPr="00693552" w:rsidRDefault="00693552" w:rsidP="00693552">
            <w:pPr>
              <w:spacing w:after="0"/>
              <w:rPr>
                <w:rFonts w:ascii="Calibri" w:eastAsia="Times New Roman" w:hAnsi="Calibri" w:cs="Calibri"/>
                <w:color w:val="000000"/>
                <w:sz w:val="20"/>
                <w:szCs w:val="20"/>
                <w:lang w:eastAsia="en-AU"/>
              </w:rPr>
            </w:pPr>
          </w:p>
        </w:tc>
        <w:tc>
          <w:tcPr>
            <w:tcW w:w="236" w:type="dxa"/>
            <w:tcBorders>
              <w:left w:val="single" w:sz="4" w:space="0" w:color="002279"/>
            </w:tcBorders>
            <w:vAlign w:val="center"/>
            <w:hideMark/>
          </w:tcPr>
          <w:p w14:paraId="6CCD1963" w14:textId="77777777" w:rsidR="00693552" w:rsidRPr="00693552" w:rsidRDefault="00693552" w:rsidP="00693552">
            <w:pPr>
              <w:spacing w:after="0"/>
              <w:rPr>
                <w:rFonts w:ascii="Times New Roman" w:eastAsia="Times New Roman" w:hAnsi="Times New Roman" w:cs="Times New Roman"/>
                <w:sz w:val="20"/>
                <w:szCs w:val="20"/>
                <w:lang w:eastAsia="en-AU"/>
              </w:rPr>
            </w:pPr>
          </w:p>
        </w:tc>
      </w:tr>
      <w:tr w:rsidR="00984F83" w:rsidRPr="00693552" w14:paraId="4CE9018A" w14:textId="77777777" w:rsidTr="00B36701">
        <w:trPr>
          <w:trHeight w:val="590"/>
        </w:trPr>
        <w:tc>
          <w:tcPr>
            <w:tcW w:w="5058" w:type="dxa"/>
            <w:tcBorders>
              <w:top w:val="single" w:sz="4" w:space="0" w:color="002279"/>
              <w:left w:val="single" w:sz="4" w:space="0" w:color="002279"/>
              <w:bottom w:val="single" w:sz="4" w:space="0" w:color="002279"/>
              <w:right w:val="single" w:sz="4" w:space="0" w:color="002279"/>
            </w:tcBorders>
            <w:shd w:val="clear" w:color="auto" w:fill="auto"/>
            <w:vAlign w:val="center"/>
            <w:hideMark/>
          </w:tcPr>
          <w:p w14:paraId="11BFECFF" w14:textId="3F6CB856" w:rsidR="00693552" w:rsidRPr="00693552" w:rsidRDefault="00693552" w:rsidP="00A50EDB">
            <w:pPr>
              <w:spacing w:after="0"/>
              <w:rPr>
                <w:rFonts w:asciiTheme="minorHAnsi" w:eastAsia="Times New Roman" w:hAnsiTheme="minorHAnsi" w:cstheme="minorHAnsi"/>
                <w:color w:val="000000"/>
                <w:sz w:val="20"/>
                <w:szCs w:val="20"/>
                <w:lang w:eastAsia="en-AU"/>
              </w:rPr>
            </w:pPr>
            <w:r w:rsidRPr="00693552">
              <w:rPr>
                <w:rFonts w:asciiTheme="minorHAnsi" w:eastAsia="Times New Roman" w:hAnsiTheme="minorHAnsi" w:cstheme="minorHAnsi"/>
                <w:color w:val="000000"/>
                <w:sz w:val="20"/>
                <w:szCs w:val="20"/>
                <w:lang w:eastAsia="en-AU"/>
              </w:rPr>
              <w:t xml:space="preserve">Total </w:t>
            </w:r>
            <w:r w:rsidR="00420EB9" w:rsidRPr="008B6329">
              <w:rPr>
                <w:rFonts w:asciiTheme="minorHAnsi" w:eastAsia="Times New Roman" w:hAnsiTheme="minorHAnsi" w:cstheme="minorHAnsi"/>
                <w:color w:val="000000"/>
                <w:sz w:val="20"/>
                <w:szCs w:val="20"/>
                <w:lang w:eastAsia="en-AU"/>
              </w:rPr>
              <w:t>c</w:t>
            </w:r>
            <w:r w:rsidRPr="00693552">
              <w:rPr>
                <w:rFonts w:asciiTheme="minorHAnsi" w:eastAsia="Times New Roman" w:hAnsiTheme="minorHAnsi" w:cstheme="minorHAnsi"/>
                <w:color w:val="000000"/>
                <w:sz w:val="20"/>
                <w:szCs w:val="20"/>
                <w:lang w:eastAsia="en-AU"/>
              </w:rPr>
              <w:t xml:space="preserve">apital </w:t>
            </w:r>
            <w:r w:rsidR="00420EB9" w:rsidRPr="008B6329">
              <w:rPr>
                <w:rFonts w:asciiTheme="minorHAnsi" w:eastAsia="Times New Roman" w:hAnsiTheme="minorHAnsi" w:cstheme="minorHAnsi"/>
                <w:color w:val="000000"/>
                <w:sz w:val="20"/>
                <w:szCs w:val="20"/>
                <w:lang w:eastAsia="en-AU"/>
              </w:rPr>
              <w:t>e</w:t>
            </w:r>
            <w:r w:rsidRPr="00693552">
              <w:rPr>
                <w:rFonts w:asciiTheme="minorHAnsi" w:eastAsia="Times New Roman" w:hAnsiTheme="minorHAnsi" w:cstheme="minorHAnsi"/>
                <w:color w:val="000000"/>
                <w:sz w:val="20"/>
                <w:szCs w:val="20"/>
                <w:lang w:eastAsia="en-AU"/>
              </w:rPr>
              <w:t xml:space="preserve">xpenditure vs 2018 </w:t>
            </w:r>
            <w:r w:rsidR="00446018">
              <w:rPr>
                <w:rFonts w:asciiTheme="minorHAnsi" w:eastAsia="Times New Roman" w:hAnsiTheme="minorHAnsi" w:cstheme="minorHAnsi"/>
                <w:color w:val="000000"/>
                <w:sz w:val="20"/>
                <w:szCs w:val="20"/>
                <w:lang w:eastAsia="en-AU"/>
              </w:rPr>
              <w:t>Price D</w:t>
            </w:r>
            <w:r w:rsidRPr="00693552">
              <w:rPr>
                <w:rFonts w:asciiTheme="minorHAnsi" w:eastAsia="Times New Roman" w:hAnsiTheme="minorHAnsi" w:cstheme="minorHAnsi"/>
                <w:color w:val="000000"/>
                <w:sz w:val="20"/>
                <w:szCs w:val="20"/>
                <w:lang w:eastAsia="en-AU"/>
              </w:rPr>
              <w:t>etermination</w:t>
            </w:r>
          </w:p>
        </w:tc>
        <w:tc>
          <w:tcPr>
            <w:tcW w:w="765" w:type="dxa"/>
            <w:tcBorders>
              <w:top w:val="single" w:sz="4" w:space="0" w:color="002279"/>
              <w:left w:val="single" w:sz="4" w:space="0" w:color="002279"/>
              <w:bottom w:val="single" w:sz="4" w:space="0" w:color="002279"/>
              <w:right w:val="single" w:sz="4" w:space="0" w:color="002279"/>
            </w:tcBorders>
            <w:shd w:val="clear" w:color="auto" w:fill="auto"/>
            <w:vAlign w:val="center"/>
            <w:hideMark/>
          </w:tcPr>
          <w:p w14:paraId="0AF39A5A" w14:textId="77777777" w:rsidR="00693552" w:rsidRPr="00693552" w:rsidRDefault="00693552" w:rsidP="00693552">
            <w:pPr>
              <w:spacing w:after="0"/>
              <w:jc w:val="center"/>
              <w:rPr>
                <w:rFonts w:asciiTheme="minorHAnsi" w:eastAsia="Times New Roman" w:hAnsiTheme="minorHAnsi" w:cstheme="minorHAnsi"/>
                <w:color w:val="000000"/>
                <w:sz w:val="20"/>
                <w:szCs w:val="20"/>
                <w:lang w:eastAsia="en-AU"/>
              </w:rPr>
            </w:pPr>
            <w:r w:rsidRPr="00693552">
              <w:rPr>
                <w:rFonts w:asciiTheme="minorHAnsi" w:eastAsia="Times New Roman" w:hAnsiTheme="minorHAnsi" w:cstheme="minorHAnsi"/>
                <w:color w:val="000000"/>
                <w:sz w:val="20"/>
                <w:szCs w:val="20"/>
                <w:lang w:eastAsia="en-AU"/>
              </w:rPr>
              <w:t>4.00</w:t>
            </w:r>
          </w:p>
        </w:tc>
        <w:tc>
          <w:tcPr>
            <w:tcW w:w="4378" w:type="dxa"/>
            <w:tcBorders>
              <w:top w:val="single" w:sz="4" w:space="0" w:color="002279"/>
              <w:left w:val="single" w:sz="4" w:space="0" w:color="002279"/>
              <w:bottom w:val="single" w:sz="4" w:space="0" w:color="002279"/>
              <w:right w:val="single" w:sz="4" w:space="0" w:color="002279"/>
            </w:tcBorders>
            <w:shd w:val="clear" w:color="auto" w:fill="auto"/>
            <w:vAlign w:val="center"/>
            <w:hideMark/>
          </w:tcPr>
          <w:p w14:paraId="3E752C83" w14:textId="77777777" w:rsidR="00693552" w:rsidRPr="00693552" w:rsidRDefault="00693552" w:rsidP="00412E22">
            <w:pPr>
              <w:spacing w:after="0"/>
              <w:rPr>
                <w:rFonts w:asciiTheme="minorHAnsi" w:eastAsia="Times New Roman" w:hAnsiTheme="minorHAnsi" w:cstheme="minorHAnsi"/>
                <w:color w:val="000000"/>
                <w:sz w:val="20"/>
                <w:szCs w:val="20"/>
                <w:lang w:eastAsia="en-AU"/>
              </w:rPr>
            </w:pPr>
            <w:r w:rsidRPr="00693552">
              <w:rPr>
                <w:rFonts w:asciiTheme="minorHAnsi" w:eastAsia="Times New Roman" w:hAnsiTheme="minorHAnsi" w:cstheme="minorHAnsi"/>
                <w:color w:val="000000"/>
                <w:sz w:val="20"/>
                <w:szCs w:val="20"/>
                <w:lang w:eastAsia="en-AU"/>
              </w:rPr>
              <w:t xml:space="preserve">Very confident the element is </w:t>
            </w:r>
            <w:r w:rsidRPr="001E2E08">
              <w:rPr>
                <w:rFonts w:asciiTheme="minorHAnsi" w:eastAsia="Times New Roman" w:hAnsiTheme="minorHAnsi" w:cstheme="minorHAnsi"/>
                <w:i/>
                <w:color w:val="000000"/>
                <w:sz w:val="20"/>
                <w:szCs w:val="20"/>
                <w:lang w:eastAsia="en-AU"/>
              </w:rPr>
              <w:t>'Leading'</w:t>
            </w:r>
          </w:p>
        </w:tc>
        <w:tc>
          <w:tcPr>
            <w:tcW w:w="1134" w:type="dxa"/>
            <w:vMerge/>
            <w:tcBorders>
              <w:top w:val="single" w:sz="4" w:space="0" w:color="002279"/>
              <w:left w:val="single" w:sz="4" w:space="0" w:color="002279"/>
              <w:bottom w:val="single" w:sz="4" w:space="0" w:color="002279"/>
              <w:right w:val="single" w:sz="4" w:space="0" w:color="002279"/>
            </w:tcBorders>
            <w:shd w:val="clear" w:color="auto" w:fill="auto"/>
            <w:vAlign w:val="center"/>
            <w:hideMark/>
          </w:tcPr>
          <w:p w14:paraId="303971CF" w14:textId="77777777" w:rsidR="00693552" w:rsidRPr="00693552" w:rsidRDefault="00693552" w:rsidP="00693552">
            <w:pPr>
              <w:spacing w:after="0"/>
              <w:rPr>
                <w:rFonts w:ascii="Calibri" w:eastAsia="Times New Roman" w:hAnsi="Calibri" w:cs="Calibri"/>
                <w:color w:val="000000"/>
                <w:sz w:val="18"/>
                <w:szCs w:val="18"/>
                <w:lang w:eastAsia="en-AU"/>
              </w:rPr>
            </w:pPr>
          </w:p>
        </w:tc>
        <w:tc>
          <w:tcPr>
            <w:tcW w:w="2377" w:type="dxa"/>
            <w:vMerge/>
            <w:tcBorders>
              <w:top w:val="single" w:sz="4" w:space="0" w:color="002279"/>
              <w:left w:val="single" w:sz="4" w:space="0" w:color="002279"/>
              <w:bottom w:val="single" w:sz="4" w:space="0" w:color="002279"/>
              <w:right w:val="single" w:sz="4" w:space="0" w:color="002279"/>
            </w:tcBorders>
            <w:shd w:val="clear" w:color="auto" w:fill="D4D6DF"/>
            <w:vAlign w:val="center"/>
            <w:hideMark/>
          </w:tcPr>
          <w:p w14:paraId="26CFF256" w14:textId="77777777" w:rsidR="00693552" w:rsidRPr="00693552" w:rsidRDefault="00693552" w:rsidP="00693552">
            <w:pPr>
              <w:spacing w:after="0"/>
              <w:rPr>
                <w:rFonts w:ascii="Calibri" w:eastAsia="Times New Roman" w:hAnsi="Calibri" w:cs="Calibri"/>
                <w:color w:val="000000"/>
                <w:sz w:val="20"/>
                <w:szCs w:val="20"/>
                <w:lang w:eastAsia="en-AU"/>
              </w:rPr>
            </w:pPr>
          </w:p>
        </w:tc>
        <w:tc>
          <w:tcPr>
            <w:tcW w:w="236" w:type="dxa"/>
            <w:tcBorders>
              <w:left w:val="single" w:sz="4" w:space="0" w:color="002279"/>
            </w:tcBorders>
            <w:vAlign w:val="center"/>
            <w:hideMark/>
          </w:tcPr>
          <w:p w14:paraId="12908272" w14:textId="77777777" w:rsidR="00693552" w:rsidRPr="00693552" w:rsidRDefault="00693552" w:rsidP="00693552">
            <w:pPr>
              <w:spacing w:after="0"/>
              <w:rPr>
                <w:rFonts w:ascii="Times New Roman" w:eastAsia="Times New Roman" w:hAnsi="Times New Roman" w:cs="Times New Roman"/>
                <w:sz w:val="20"/>
                <w:szCs w:val="20"/>
                <w:lang w:eastAsia="en-AU"/>
              </w:rPr>
            </w:pPr>
          </w:p>
        </w:tc>
      </w:tr>
      <w:tr w:rsidR="00984F83" w:rsidRPr="00693552" w14:paraId="3FD79D92" w14:textId="77777777" w:rsidTr="00B36701">
        <w:trPr>
          <w:trHeight w:val="590"/>
        </w:trPr>
        <w:tc>
          <w:tcPr>
            <w:tcW w:w="5058" w:type="dxa"/>
            <w:tcBorders>
              <w:top w:val="single" w:sz="4" w:space="0" w:color="002279"/>
              <w:left w:val="single" w:sz="4" w:space="0" w:color="002279"/>
              <w:bottom w:val="single" w:sz="4" w:space="0" w:color="002279"/>
              <w:right w:val="single" w:sz="4" w:space="0" w:color="002279"/>
            </w:tcBorders>
            <w:shd w:val="clear" w:color="auto" w:fill="D4D6DF"/>
            <w:vAlign w:val="center"/>
            <w:hideMark/>
          </w:tcPr>
          <w:p w14:paraId="21ECF8D4" w14:textId="1F03180D" w:rsidR="00693552" w:rsidRPr="00693552" w:rsidRDefault="00693552" w:rsidP="00A50EDB">
            <w:pPr>
              <w:spacing w:after="0"/>
              <w:rPr>
                <w:rFonts w:asciiTheme="minorHAnsi" w:eastAsia="Times New Roman" w:hAnsiTheme="minorHAnsi" w:cstheme="minorHAnsi"/>
                <w:color w:val="000000"/>
                <w:sz w:val="20"/>
                <w:szCs w:val="20"/>
                <w:lang w:eastAsia="en-AU"/>
              </w:rPr>
            </w:pPr>
            <w:r w:rsidRPr="00693552">
              <w:rPr>
                <w:rFonts w:asciiTheme="minorHAnsi" w:eastAsia="Times New Roman" w:hAnsiTheme="minorHAnsi" w:cstheme="minorHAnsi"/>
                <w:color w:val="000000"/>
                <w:sz w:val="20"/>
                <w:szCs w:val="20"/>
                <w:lang w:eastAsia="en-AU"/>
              </w:rPr>
              <w:t xml:space="preserve">Total </w:t>
            </w:r>
            <w:r w:rsidR="0026561B" w:rsidRPr="008B6329">
              <w:rPr>
                <w:rFonts w:asciiTheme="minorHAnsi" w:eastAsia="Times New Roman" w:hAnsiTheme="minorHAnsi" w:cstheme="minorHAnsi"/>
                <w:color w:val="000000"/>
                <w:sz w:val="20"/>
                <w:szCs w:val="20"/>
                <w:lang w:eastAsia="en-AU"/>
              </w:rPr>
              <w:t>c</w:t>
            </w:r>
            <w:r w:rsidRPr="00693552">
              <w:rPr>
                <w:rFonts w:asciiTheme="minorHAnsi" w:eastAsia="Times New Roman" w:hAnsiTheme="minorHAnsi" w:cstheme="minorHAnsi"/>
                <w:color w:val="000000"/>
                <w:sz w:val="20"/>
                <w:szCs w:val="20"/>
                <w:lang w:eastAsia="en-AU"/>
              </w:rPr>
              <w:t xml:space="preserve">ontrollable </w:t>
            </w:r>
            <w:r w:rsidR="0026561B" w:rsidRPr="008B6329">
              <w:rPr>
                <w:rFonts w:asciiTheme="minorHAnsi" w:eastAsia="Times New Roman" w:hAnsiTheme="minorHAnsi" w:cstheme="minorHAnsi"/>
                <w:color w:val="000000"/>
                <w:sz w:val="20"/>
                <w:szCs w:val="20"/>
                <w:lang w:eastAsia="en-AU"/>
              </w:rPr>
              <w:t>o</w:t>
            </w:r>
            <w:r w:rsidRPr="00693552">
              <w:rPr>
                <w:rFonts w:asciiTheme="minorHAnsi" w:eastAsia="Times New Roman" w:hAnsiTheme="minorHAnsi" w:cstheme="minorHAnsi"/>
                <w:color w:val="000000"/>
                <w:sz w:val="20"/>
                <w:szCs w:val="20"/>
                <w:lang w:eastAsia="en-AU"/>
              </w:rPr>
              <w:t>pe</w:t>
            </w:r>
            <w:r w:rsidR="00992453">
              <w:rPr>
                <w:rFonts w:asciiTheme="minorHAnsi" w:eastAsia="Times New Roman" w:hAnsiTheme="minorHAnsi" w:cstheme="minorHAnsi"/>
                <w:color w:val="000000"/>
                <w:sz w:val="20"/>
                <w:szCs w:val="20"/>
                <w:lang w:eastAsia="en-AU"/>
              </w:rPr>
              <w:t>rating expenditure</w:t>
            </w:r>
            <w:r w:rsidRPr="00693552">
              <w:rPr>
                <w:rFonts w:asciiTheme="minorHAnsi" w:eastAsia="Times New Roman" w:hAnsiTheme="minorHAnsi" w:cstheme="minorHAnsi"/>
                <w:color w:val="000000"/>
                <w:sz w:val="20"/>
                <w:szCs w:val="20"/>
                <w:lang w:eastAsia="en-AU"/>
              </w:rPr>
              <w:t xml:space="preserve"> vs 2018 </w:t>
            </w:r>
            <w:r w:rsidR="00446018">
              <w:rPr>
                <w:rFonts w:asciiTheme="minorHAnsi" w:eastAsia="Times New Roman" w:hAnsiTheme="minorHAnsi" w:cstheme="minorHAnsi"/>
                <w:color w:val="000000"/>
                <w:sz w:val="20"/>
                <w:szCs w:val="20"/>
                <w:lang w:eastAsia="en-AU"/>
              </w:rPr>
              <w:t xml:space="preserve">Price </w:t>
            </w:r>
            <w:r w:rsidR="00992453">
              <w:rPr>
                <w:rFonts w:asciiTheme="minorHAnsi" w:eastAsia="Times New Roman" w:hAnsiTheme="minorHAnsi" w:cstheme="minorHAnsi"/>
                <w:color w:val="000000"/>
                <w:sz w:val="20"/>
                <w:szCs w:val="20"/>
                <w:lang w:eastAsia="en-AU"/>
              </w:rPr>
              <w:t>D</w:t>
            </w:r>
            <w:r w:rsidRPr="00693552">
              <w:rPr>
                <w:rFonts w:asciiTheme="minorHAnsi" w:eastAsia="Times New Roman" w:hAnsiTheme="minorHAnsi" w:cstheme="minorHAnsi"/>
                <w:color w:val="000000"/>
                <w:sz w:val="20"/>
                <w:szCs w:val="20"/>
                <w:lang w:eastAsia="en-AU"/>
              </w:rPr>
              <w:t>etermination</w:t>
            </w:r>
          </w:p>
        </w:tc>
        <w:tc>
          <w:tcPr>
            <w:tcW w:w="765" w:type="dxa"/>
            <w:tcBorders>
              <w:top w:val="single" w:sz="4" w:space="0" w:color="002279"/>
              <w:left w:val="single" w:sz="4" w:space="0" w:color="002279"/>
              <w:bottom w:val="single" w:sz="4" w:space="0" w:color="002279"/>
              <w:right w:val="single" w:sz="4" w:space="0" w:color="002279"/>
            </w:tcBorders>
            <w:shd w:val="clear" w:color="auto" w:fill="D4D6DF"/>
            <w:vAlign w:val="center"/>
            <w:hideMark/>
          </w:tcPr>
          <w:p w14:paraId="1B12B3DC" w14:textId="77777777" w:rsidR="00693552" w:rsidRPr="00693552" w:rsidRDefault="00693552" w:rsidP="00693552">
            <w:pPr>
              <w:spacing w:after="0"/>
              <w:jc w:val="center"/>
              <w:rPr>
                <w:rFonts w:asciiTheme="minorHAnsi" w:eastAsia="Times New Roman" w:hAnsiTheme="minorHAnsi" w:cstheme="minorHAnsi"/>
                <w:color w:val="000000"/>
                <w:sz w:val="20"/>
                <w:szCs w:val="20"/>
                <w:lang w:eastAsia="en-AU"/>
              </w:rPr>
            </w:pPr>
            <w:r w:rsidRPr="00693552">
              <w:rPr>
                <w:rFonts w:asciiTheme="minorHAnsi" w:eastAsia="Times New Roman" w:hAnsiTheme="minorHAnsi" w:cstheme="minorHAnsi"/>
                <w:color w:val="000000"/>
                <w:sz w:val="20"/>
                <w:szCs w:val="20"/>
                <w:lang w:eastAsia="en-AU"/>
              </w:rPr>
              <w:t>4.00</w:t>
            </w:r>
          </w:p>
        </w:tc>
        <w:tc>
          <w:tcPr>
            <w:tcW w:w="4378" w:type="dxa"/>
            <w:tcBorders>
              <w:top w:val="single" w:sz="4" w:space="0" w:color="002279"/>
              <w:left w:val="single" w:sz="4" w:space="0" w:color="002279"/>
              <w:bottom w:val="single" w:sz="4" w:space="0" w:color="002279"/>
              <w:right w:val="single" w:sz="4" w:space="0" w:color="002279"/>
            </w:tcBorders>
            <w:shd w:val="clear" w:color="auto" w:fill="D4D6DF"/>
            <w:vAlign w:val="center"/>
            <w:hideMark/>
          </w:tcPr>
          <w:p w14:paraId="378AC668" w14:textId="77777777" w:rsidR="00693552" w:rsidRPr="00693552" w:rsidRDefault="00693552" w:rsidP="00412E22">
            <w:pPr>
              <w:spacing w:after="0"/>
              <w:rPr>
                <w:rFonts w:asciiTheme="minorHAnsi" w:eastAsia="Times New Roman" w:hAnsiTheme="minorHAnsi" w:cstheme="minorHAnsi"/>
                <w:color w:val="000000"/>
                <w:sz w:val="20"/>
                <w:szCs w:val="20"/>
                <w:lang w:eastAsia="en-AU"/>
              </w:rPr>
            </w:pPr>
            <w:r w:rsidRPr="00693552">
              <w:rPr>
                <w:rFonts w:asciiTheme="minorHAnsi" w:eastAsia="Times New Roman" w:hAnsiTheme="minorHAnsi" w:cstheme="minorHAnsi"/>
                <w:color w:val="000000"/>
                <w:sz w:val="20"/>
                <w:szCs w:val="20"/>
                <w:lang w:eastAsia="en-AU"/>
              </w:rPr>
              <w:t xml:space="preserve">Very confident the element is </w:t>
            </w:r>
            <w:r w:rsidRPr="001E2E08">
              <w:rPr>
                <w:rFonts w:asciiTheme="minorHAnsi" w:eastAsia="Times New Roman" w:hAnsiTheme="minorHAnsi" w:cstheme="minorHAnsi"/>
                <w:i/>
                <w:color w:val="000000"/>
                <w:sz w:val="20"/>
                <w:szCs w:val="20"/>
                <w:lang w:eastAsia="en-AU"/>
              </w:rPr>
              <w:t>'Leading'</w:t>
            </w:r>
          </w:p>
        </w:tc>
        <w:tc>
          <w:tcPr>
            <w:tcW w:w="1134" w:type="dxa"/>
            <w:vMerge/>
            <w:tcBorders>
              <w:top w:val="single" w:sz="4" w:space="0" w:color="002279"/>
              <w:left w:val="single" w:sz="4" w:space="0" w:color="002279"/>
              <w:bottom w:val="single" w:sz="4" w:space="0" w:color="002279"/>
              <w:right w:val="single" w:sz="4" w:space="0" w:color="002279"/>
            </w:tcBorders>
            <w:shd w:val="clear" w:color="auto" w:fill="auto"/>
            <w:vAlign w:val="center"/>
            <w:hideMark/>
          </w:tcPr>
          <w:p w14:paraId="61EA4232" w14:textId="77777777" w:rsidR="00693552" w:rsidRPr="00693552" w:rsidRDefault="00693552" w:rsidP="00693552">
            <w:pPr>
              <w:spacing w:after="0"/>
              <w:rPr>
                <w:rFonts w:ascii="Calibri" w:eastAsia="Times New Roman" w:hAnsi="Calibri" w:cs="Calibri"/>
                <w:color w:val="000000"/>
                <w:sz w:val="18"/>
                <w:szCs w:val="18"/>
                <w:lang w:eastAsia="en-AU"/>
              </w:rPr>
            </w:pPr>
          </w:p>
        </w:tc>
        <w:tc>
          <w:tcPr>
            <w:tcW w:w="2377" w:type="dxa"/>
            <w:vMerge/>
            <w:tcBorders>
              <w:top w:val="single" w:sz="4" w:space="0" w:color="002279"/>
              <w:left w:val="single" w:sz="4" w:space="0" w:color="002279"/>
              <w:bottom w:val="single" w:sz="4" w:space="0" w:color="002279"/>
              <w:right w:val="single" w:sz="4" w:space="0" w:color="002279"/>
            </w:tcBorders>
            <w:shd w:val="clear" w:color="auto" w:fill="D4D6DF"/>
            <w:vAlign w:val="center"/>
            <w:hideMark/>
          </w:tcPr>
          <w:p w14:paraId="72FA5DC4" w14:textId="77777777" w:rsidR="00693552" w:rsidRPr="00693552" w:rsidRDefault="00693552" w:rsidP="00693552">
            <w:pPr>
              <w:spacing w:after="0"/>
              <w:rPr>
                <w:rFonts w:ascii="Calibri" w:eastAsia="Times New Roman" w:hAnsi="Calibri" w:cs="Calibri"/>
                <w:color w:val="000000"/>
                <w:sz w:val="20"/>
                <w:szCs w:val="20"/>
                <w:lang w:eastAsia="en-AU"/>
              </w:rPr>
            </w:pPr>
          </w:p>
        </w:tc>
        <w:tc>
          <w:tcPr>
            <w:tcW w:w="236" w:type="dxa"/>
            <w:tcBorders>
              <w:left w:val="single" w:sz="4" w:space="0" w:color="002279"/>
            </w:tcBorders>
            <w:vAlign w:val="center"/>
            <w:hideMark/>
          </w:tcPr>
          <w:p w14:paraId="09EC0DBC" w14:textId="77777777" w:rsidR="00693552" w:rsidRPr="00693552" w:rsidRDefault="00693552" w:rsidP="00693552">
            <w:pPr>
              <w:spacing w:after="0"/>
              <w:rPr>
                <w:rFonts w:ascii="Times New Roman" w:eastAsia="Times New Roman" w:hAnsi="Times New Roman" w:cs="Times New Roman"/>
                <w:sz w:val="20"/>
                <w:szCs w:val="20"/>
                <w:lang w:eastAsia="en-AU"/>
              </w:rPr>
            </w:pPr>
          </w:p>
        </w:tc>
      </w:tr>
    </w:tbl>
    <w:p w14:paraId="191CE7BC" w14:textId="2CAE09DA" w:rsidR="00A461CE" w:rsidRDefault="00A461CE" w:rsidP="001E22B3">
      <w:pPr>
        <w:pStyle w:val="BodyText"/>
        <w:rPr>
          <w:rStyle w:val="normaltextrun"/>
          <w:rFonts w:cs="Arial"/>
          <w:color w:val="002060"/>
          <w:position w:val="-1"/>
          <w:shd w:val="clear" w:color="auto" w:fill="EDEBE9"/>
        </w:rPr>
      </w:pPr>
    </w:p>
    <w:p w14:paraId="059E7639" w14:textId="77777777" w:rsidR="00155498" w:rsidRDefault="00155498" w:rsidP="00155498">
      <w:pPr>
        <w:spacing w:after="0"/>
        <w:textAlignment w:val="baseline"/>
        <w:rPr>
          <w:rFonts w:eastAsia="Times New Roman" w:cs="Arial"/>
          <w:position w:val="-1"/>
          <w:lang w:eastAsia="en-AU"/>
        </w:rPr>
      </w:pPr>
      <w:r>
        <w:rPr>
          <w:rFonts w:eastAsia="Times New Roman" w:cs="Arial"/>
          <w:position w:val="-1"/>
          <w:lang w:eastAsia="en-AU"/>
        </w:rPr>
        <w:t xml:space="preserve">The overall rating awarded is 18 out of 20: </w:t>
      </w:r>
      <w:r w:rsidRPr="00075A97">
        <w:rPr>
          <w:rFonts w:eastAsia="Times New Roman" w:cs="Arial"/>
          <w:b/>
          <w:bCs/>
          <w:position w:val="-1"/>
          <w:lang w:eastAsia="en-AU"/>
        </w:rPr>
        <w:t xml:space="preserve">Confident the element is </w:t>
      </w:r>
      <w:r w:rsidRPr="00075A97">
        <w:rPr>
          <w:rFonts w:eastAsia="Times New Roman" w:cs="Arial"/>
          <w:b/>
          <w:bCs/>
          <w:i/>
          <w:iCs/>
          <w:position w:val="-1"/>
          <w:lang w:eastAsia="en-AU"/>
        </w:rPr>
        <w:t>‘Advanced’.</w:t>
      </w:r>
      <w:r>
        <w:rPr>
          <w:rFonts w:eastAsia="Times New Roman" w:cs="Arial"/>
          <w:position w:val="-1"/>
          <w:lang w:eastAsia="en-AU"/>
        </w:rPr>
        <w:t xml:space="preserve"> </w:t>
      </w:r>
    </w:p>
    <w:p w14:paraId="1B42AFAC" w14:textId="77777777" w:rsidR="0060747E" w:rsidRDefault="0060747E">
      <w:pPr>
        <w:rPr>
          <w:rStyle w:val="normaltextrun"/>
          <w:rFonts w:cs="Arial"/>
          <w:color w:val="0075E3"/>
          <w:position w:val="-1"/>
          <w:shd w:val="clear" w:color="auto" w:fill="EDEBE9"/>
        </w:rPr>
        <w:sectPr w:rsidR="0060747E" w:rsidSect="002020E8">
          <w:pgSz w:w="16838" w:h="11906" w:orient="landscape" w:code="9"/>
          <w:pgMar w:top="1440" w:right="1440" w:bottom="1440" w:left="1440" w:header="567" w:footer="284" w:gutter="0"/>
          <w:cols w:space="708"/>
          <w:docGrid w:linePitch="360"/>
        </w:sectPr>
      </w:pPr>
    </w:p>
    <w:p w14:paraId="7D9DC2DC" w14:textId="29A6746A" w:rsidR="005C3021" w:rsidRPr="00A1256E" w:rsidRDefault="00F8713B" w:rsidP="00C3387C">
      <w:pPr>
        <w:pStyle w:val="Heading1"/>
      </w:pPr>
      <w:bookmarkStart w:id="113" w:name="_Toc114644630"/>
      <w:r>
        <w:rPr>
          <w:i/>
          <w:sz w:val="20"/>
          <w:szCs w:val="20"/>
        </w:rPr>
        <w:lastRenderedPageBreak/>
        <w:drawing>
          <wp:anchor distT="0" distB="0" distL="114300" distR="114300" simplePos="0" relativeHeight="251658297" behindDoc="0" locked="0" layoutInCell="1" allowOverlap="1" wp14:anchorId="733ED6FA" wp14:editId="38E6FAEF">
            <wp:simplePos x="0" y="0"/>
            <wp:positionH relativeFrom="margin">
              <wp:posOffset>0</wp:posOffset>
            </wp:positionH>
            <wp:positionV relativeFrom="paragraph">
              <wp:posOffset>474905</wp:posOffset>
            </wp:positionV>
            <wp:extent cx="7628890" cy="4928870"/>
            <wp:effectExtent l="0" t="0" r="381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47" cstate="print">
                      <a:extLst>
                        <a:ext uri="{28A0092B-C50C-407E-A947-70E740481C1C}">
                          <a14:useLocalDpi xmlns:a14="http://schemas.microsoft.com/office/drawing/2010/main" val="0"/>
                        </a:ext>
                      </a:extLst>
                    </a:blip>
                    <a:srcRect l="1949" t="4752" r="7944" b="5051"/>
                    <a:stretch/>
                  </pic:blipFill>
                  <pic:spPr bwMode="auto">
                    <a:xfrm>
                      <a:off x="0" y="0"/>
                      <a:ext cx="7628890" cy="4928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387C">
        <w:t>Appendix 4: Mapping of risk information sources</w:t>
      </w:r>
      <w:bookmarkEnd w:id="113"/>
    </w:p>
    <w:p w14:paraId="7494D352" w14:textId="168FE73B" w:rsidR="000C5D88" w:rsidRDefault="000C5D88" w:rsidP="00116E55">
      <w:pPr>
        <w:spacing w:after="240"/>
        <w:rPr>
          <w:b/>
          <w:bCs/>
          <w:i/>
          <w:iCs/>
          <w:sz w:val="20"/>
          <w:szCs w:val="20"/>
        </w:rPr>
      </w:pPr>
    </w:p>
    <w:p w14:paraId="5C3B026A" w14:textId="1CFE2A46" w:rsidR="00C3387C" w:rsidRDefault="00F551F6" w:rsidP="00C3387C">
      <w:pPr>
        <w:pStyle w:val="Heading1"/>
      </w:pPr>
      <w:bookmarkStart w:id="114" w:name="_Toc114644631"/>
      <w:r>
        <w:rPr>
          <w:rFonts w:cs="Arial"/>
          <w:color w:val="0075E3"/>
          <w:position w:val="-1"/>
          <w:shd w:val="clear" w:color="auto" w:fill="EDEBE9"/>
        </w:rPr>
        <w:lastRenderedPageBreak/>
        <w:drawing>
          <wp:anchor distT="0" distB="0" distL="114300" distR="114300" simplePos="0" relativeHeight="251658293" behindDoc="0" locked="0" layoutInCell="1" allowOverlap="1" wp14:anchorId="7B36C56A" wp14:editId="27E6D15B">
            <wp:simplePos x="0" y="0"/>
            <wp:positionH relativeFrom="column">
              <wp:posOffset>-9525</wp:posOffset>
            </wp:positionH>
            <wp:positionV relativeFrom="paragraph">
              <wp:posOffset>537845</wp:posOffset>
            </wp:positionV>
            <wp:extent cx="7440295" cy="5116195"/>
            <wp:effectExtent l="0" t="0" r="1905" b="0"/>
            <wp:wrapTopAndBottom/>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 name="Picture 945"/>
                    <pic:cNvPicPr/>
                  </pic:nvPicPr>
                  <pic:blipFill rotWithShape="1">
                    <a:blip r:embed="rId48" cstate="print">
                      <a:extLst>
                        <a:ext uri="{28A0092B-C50C-407E-A947-70E740481C1C}">
                          <a14:useLocalDpi xmlns:a14="http://schemas.microsoft.com/office/drawing/2010/main" val="0"/>
                        </a:ext>
                      </a:extLst>
                    </a:blip>
                    <a:srcRect l="4203" t="5621" r="4271" b="6080"/>
                    <a:stretch/>
                  </pic:blipFill>
                  <pic:spPr bwMode="auto">
                    <a:xfrm>
                      <a:off x="0" y="0"/>
                      <a:ext cx="7440295" cy="5116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387C">
        <w:t xml:space="preserve">Appendix 5: </w:t>
      </w:r>
      <w:r w:rsidR="00527738">
        <w:t xml:space="preserve">Board and </w:t>
      </w:r>
      <w:r>
        <w:t>executive assurance program</w:t>
      </w:r>
      <w:bookmarkEnd w:id="114"/>
      <w:r>
        <w:t xml:space="preserve"> </w:t>
      </w:r>
    </w:p>
    <w:p w14:paraId="6B701AF6" w14:textId="77777777" w:rsidR="00461E5A" w:rsidRDefault="00461E5A" w:rsidP="00402DF9">
      <w:pPr>
        <w:pageBreakBefore/>
        <w:sectPr w:rsidR="00461E5A" w:rsidSect="00461E5A">
          <w:pgSz w:w="16838" w:h="11906" w:orient="landscape" w:code="9"/>
          <w:pgMar w:top="1440" w:right="1440" w:bottom="1440" w:left="1440" w:header="567" w:footer="284" w:gutter="0"/>
          <w:cols w:space="708"/>
          <w:docGrid w:linePitch="360"/>
        </w:sectPr>
      </w:pPr>
    </w:p>
    <w:p w14:paraId="0FD05CCD" w14:textId="457FDA72" w:rsidR="00AE01BE" w:rsidRDefault="00062C38" w:rsidP="00402DF9">
      <w:pPr>
        <w:pageBreakBefore/>
      </w:pPr>
      <w:r>
        <w:rPr>
          <w:noProof/>
        </w:rPr>
        <w:lastRenderedPageBreak/>
        <mc:AlternateContent>
          <mc:Choice Requires="wpg">
            <w:drawing>
              <wp:anchor distT="0" distB="0" distL="114300" distR="114300" simplePos="0" relativeHeight="251658254" behindDoc="0" locked="1" layoutInCell="1" allowOverlap="1" wp14:anchorId="2377DEF6" wp14:editId="61A50406">
                <wp:simplePos x="0" y="0"/>
                <wp:positionH relativeFrom="page">
                  <wp:align>left</wp:align>
                </wp:positionH>
                <wp:positionV relativeFrom="page">
                  <wp:align>top</wp:align>
                </wp:positionV>
                <wp:extent cx="7563485" cy="10742295"/>
                <wp:effectExtent l="0" t="0" r="5715" b="1905"/>
                <wp:wrapNone/>
                <wp:docPr id="9"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3485" cy="10742295"/>
                          <a:chOff x="0" y="0"/>
                          <a:chExt cx="75634" cy="107434"/>
                        </a:xfrm>
                      </wpg:grpSpPr>
                      <wps:wsp>
                        <wps:cNvPr id="951" name="Freeform: Shape 950"/>
                        <wps:cNvSpPr>
                          <a:spLocks/>
                        </wps:cNvSpPr>
                        <wps:spPr bwMode="auto">
                          <a:xfrm>
                            <a:off x="0" y="0"/>
                            <a:ext cx="75596" cy="55260"/>
                          </a:xfrm>
                          <a:custGeom>
                            <a:avLst/>
                            <a:gdLst>
                              <a:gd name="T0" fmla="*/ 0 w 7899747"/>
                              <a:gd name="T1" fmla="*/ 0 h 5526066"/>
                              <a:gd name="T2" fmla="*/ 7559676 w 7899747"/>
                              <a:gd name="T3" fmla="*/ 0 h 5526066"/>
                              <a:gd name="T4" fmla="*/ 7559676 w 7899747"/>
                              <a:gd name="T5" fmla="*/ 5526066 h 5526066"/>
                              <a:gd name="T6" fmla="*/ 0 w 7899747"/>
                              <a:gd name="T7" fmla="*/ 5526066 h 552606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899747" h="5526066">
                                <a:moveTo>
                                  <a:pt x="0" y="0"/>
                                </a:moveTo>
                                <a:lnTo>
                                  <a:pt x="7899748" y="0"/>
                                </a:lnTo>
                                <a:lnTo>
                                  <a:pt x="7899748" y="5526066"/>
                                </a:lnTo>
                                <a:lnTo>
                                  <a:pt x="0" y="5526066"/>
                                </a:lnTo>
                                <a:lnTo>
                                  <a:pt x="0" y="0"/>
                                </a:lnTo>
                                <a:close/>
                              </a:path>
                            </a:pathLst>
                          </a:custGeom>
                          <a:solidFill>
                            <a:srgbClr val="00B1F4"/>
                          </a:solidFill>
                          <a:ln>
                            <a:noFill/>
                          </a:ln>
                          <a:extLst>
                            <a:ext uri="{91240B29-F687-4F45-9708-019B960494DF}">
                              <a14:hiddenLine xmlns:a14="http://schemas.microsoft.com/office/drawing/2010/main" w="79887">
                                <a:solidFill>
                                  <a:srgbClr val="000000"/>
                                </a:solidFill>
                                <a:miter lim="800000"/>
                                <a:headEnd/>
                                <a:tailEnd/>
                              </a14:hiddenLine>
                            </a:ext>
                          </a:extLst>
                        </wps:spPr>
                        <wps:bodyPr rot="0" vert="horz" wrap="square" lIns="91440" tIns="45720" rIns="91440" bIns="45720" anchor="ctr" anchorCtr="0" upright="1">
                          <a:noAutofit/>
                        </wps:bodyPr>
                      </wps:wsp>
                      <wps:wsp>
                        <wps:cNvPr id="952" name="Freeform: Shape 951"/>
                        <wps:cNvSpPr>
                          <a:spLocks/>
                        </wps:cNvSpPr>
                        <wps:spPr bwMode="auto">
                          <a:xfrm>
                            <a:off x="0" y="51096"/>
                            <a:ext cx="75634" cy="56338"/>
                          </a:xfrm>
                          <a:custGeom>
                            <a:avLst/>
                            <a:gdLst>
                              <a:gd name="T0" fmla="*/ 630158 w 7564209"/>
                              <a:gd name="T1" fmla="*/ 0 h 5635379"/>
                              <a:gd name="T2" fmla="*/ 779435 w 7564209"/>
                              <a:gd name="T3" fmla="*/ 44599 h 5635379"/>
                              <a:gd name="T4" fmla="*/ 1111035 w 7564209"/>
                              <a:gd name="T5" fmla="*/ 44599 h 5635379"/>
                              <a:gd name="T6" fmla="*/ 1409591 w 7564209"/>
                              <a:gd name="T7" fmla="*/ 44599 h 5635379"/>
                              <a:gd name="T8" fmla="*/ 1741191 w 7564209"/>
                              <a:gd name="T9" fmla="*/ 44599 h 5635379"/>
                              <a:gd name="T10" fmla="*/ 2039748 w 7564209"/>
                              <a:gd name="T11" fmla="*/ 44599 h 5635379"/>
                              <a:gd name="T12" fmla="*/ 2371494 w 7564209"/>
                              <a:gd name="T13" fmla="*/ 44599 h 5635379"/>
                              <a:gd name="T14" fmla="*/ 2669904 w 7564209"/>
                              <a:gd name="T15" fmla="*/ 44599 h 5635379"/>
                              <a:gd name="T16" fmla="*/ 3001651 w 7564209"/>
                              <a:gd name="T17" fmla="*/ 44599 h 5635379"/>
                              <a:gd name="T18" fmla="*/ 3150782 w 7564209"/>
                              <a:gd name="T19" fmla="*/ 746 h 5635379"/>
                              <a:gd name="T20" fmla="*/ 3300061 w 7564209"/>
                              <a:gd name="T21" fmla="*/ 44599 h 5635379"/>
                              <a:gd name="T22" fmla="*/ 3632099 w 7564209"/>
                              <a:gd name="T23" fmla="*/ 44599 h 5635379"/>
                              <a:gd name="T24" fmla="*/ 3930802 w 7564209"/>
                              <a:gd name="T25" fmla="*/ 44599 h 5635379"/>
                              <a:gd name="T26" fmla="*/ 4262548 w 7564209"/>
                              <a:gd name="T27" fmla="*/ 44599 h 5635379"/>
                              <a:gd name="T28" fmla="*/ 4561250 w 7564209"/>
                              <a:gd name="T29" fmla="*/ 44599 h 5635379"/>
                              <a:gd name="T30" fmla="*/ 4892997 w 7564209"/>
                              <a:gd name="T31" fmla="*/ 44599 h 5635379"/>
                              <a:gd name="T32" fmla="*/ 5191553 w 7564209"/>
                              <a:gd name="T33" fmla="*/ 44599 h 5635379"/>
                              <a:gd name="T34" fmla="*/ 5523298 w 7564209"/>
                              <a:gd name="T35" fmla="*/ 44599 h 5635379"/>
                              <a:gd name="T36" fmla="*/ 5821856 w 7564209"/>
                              <a:gd name="T37" fmla="*/ 44599 h 5635379"/>
                              <a:gd name="T38" fmla="*/ 6153602 w 7564209"/>
                              <a:gd name="T39" fmla="*/ 44599 h 5635379"/>
                              <a:gd name="T40" fmla="*/ 6452158 w 7564209"/>
                              <a:gd name="T41" fmla="*/ 44599 h 5635379"/>
                              <a:gd name="T42" fmla="*/ 6783904 w 7564209"/>
                              <a:gd name="T43" fmla="*/ 44599 h 5635379"/>
                              <a:gd name="T44" fmla="*/ 7082460 w 7564209"/>
                              <a:gd name="T45" fmla="*/ 44599 h 5635379"/>
                              <a:gd name="T46" fmla="*/ 7414206 w 7564209"/>
                              <a:gd name="T47" fmla="*/ 44599 h 5635379"/>
                              <a:gd name="T48" fmla="*/ 7563485 w 7564209"/>
                              <a:gd name="T49" fmla="*/ 746 h 5635379"/>
                              <a:gd name="T50" fmla="*/ 7563485 w 7564209"/>
                              <a:gd name="T51" fmla="*/ 5633720 h 5635379"/>
                              <a:gd name="T52" fmla="*/ 0 w 7564209"/>
                              <a:gd name="T53" fmla="*/ 5633720 h 5635379"/>
                              <a:gd name="T54" fmla="*/ 0 w 7564209"/>
                              <a:gd name="T55" fmla="*/ 746 h 5635379"/>
                              <a:gd name="T56" fmla="*/ 149279 w 7564209"/>
                              <a:gd name="T57" fmla="*/ 44599 h 5635379"/>
                              <a:gd name="T58" fmla="*/ 480879 w 7564209"/>
                              <a:gd name="T59" fmla="*/ 44599 h 5635379"/>
                              <a:gd name="T60" fmla="*/ 630158 w 7564209"/>
                              <a:gd name="T61" fmla="*/ 0 h 5635379"/>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7564209" h="5635379">
                                <a:moveTo>
                                  <a:pt x="630218" y="0"/>
                                </a:moveTo>
                                <a:cubicBezTo>
                                  <a:pt x="682203" y="0"/>
                                  <a:pt x="734189" y="14870"/>
                                  <a:pt x="779510" y="44612"/>
                                </a:cubicBezTo>
                                <a:cubicBezTo>
                                  <a:pt x="880462" y="109740"/>
                                  <a:pt x="1010189" y="109740"/>
                                  <a:pt x="1111141" y="44612"/>
                                </a:cubicBezTo>
                                <a:cubicBezTo>
                                  <a:pt x="1201785" y="-14871"/>
                                  <a:pt x="1319083" y="-14871"/>
                                  <a:pt x="1409726" y="44612"/>
                                </a:cubicBezTo>
                                <a:cubicBezTo>
                                  <a:pt x="1510678" y="109740"/>
                                  <a:pt x="1640406" y="109740"/>
                                  <a:pt x="1741358" y="44612"/>
                                </a:cubicBezTo>
                                <a:cubicBezTo>
                                  <a:pt x="1832001" y="-14871"/>
                                  <a:pt x="1949300" y="-14871"/>
                                  <a:pt x="2039943" y="44612"/>
                                </a:cubicBezTo>
                                <a:cubicBezTo>
                                  <a:pt x="2140953" y="109725"/>
                                  <a:pt x="2270711" y="109725"/>
                                  <a:pt x="2371721" y="44612"/>
                                </a:cubicBezTo>
                                <a:cubicBezTo>
                                  <a:pt x="2462320" y="-14841"/>
                                  <a:pt x="2579561" y="-14841"/>
                                  <a:pt x="2670160" y="44612"/>
                                </a:cubicBezTo>
                                <a:cubicBezTo>
                                  <a:pt x="2771170" y="109725"/>
                                  <a:pt x="2900927" y="109725"/>
                                  <a:pt x="3001938" y="44612"/>
                                </a:cubicBezTo>
                                <a:cubicBezTo>
                                  <a:pt x="3045819" y="14695"/>
                                  <a:pt x="3097991" y="-643"/>
                                  <a:pt x="3151084" y="746"/>
                                </a:cubicBezTo>
                                <a:cubicBezTo>
                                  <a:pt x="3204221" y="-658"/>
                                  <a:pt x="3256452" y="14695"/>
                                  <a:pt x="3300377" y="44612"/>
                                </a:cubicBezTo>
                                <a:cubicBezTo>
                                  <a:pt x="3401518" y="109623"/>
                                  <a:pt x="3531305" y="109623"/>
                                  <a:pt x="3632447" y="44612"/>
                                </a:cubicBezTo>
                                <a:cubicBezTo>
                                  <a:pt x="3723148" y="-14856"/>
                                  <a:pt x="3840476" y="-14856"/>
                                  <a:pt x="3931178" y="44612"/>
                                </a:cubicBezTo>
                                <a:cubicBezTo>
                                  <a:pt x="4032188" y="109725"/>
                                  <a:pt x="4161945" y="109725"/>
                                  <a:pt x="4262956" y="44612"/>
                                </a:cubicBezTo>
                                <a:cubicBezTo>
                                  <a:pt x="4353657" y="-14856"/>
                                  <a:pt x="4470986" y="-14856"/>
                                  <a:pt x="4561687" y="44612"/>
                                </a:cubicBezTo>
                                <a:cubicBezTo>
                                  <a:pt x="4662697" y="109725"/>
                                  <a:pt x="4792454" y="109725"/>
                                  <a:pt x="4893465" y="44612"/>
                                </a:cubicBezTo>
                                <a:cubicBezTo>
                                  <a:pt x="4984108" y="-14871"/>
                                  <a:pt x="5101407" y="-14871"/>
                                  <a:pt x="5192050" y="44612"/>
                                </a:cubicBezTo>
                                <a:cubicBezTo>
                                  <a:pt x="5293060" y="109725"/>
                                  <a:pt x="5422818" y="109725"/>
                                  <a:pt x="5523827" y="44612"/>
                                </a:cubicBezTo>
                                <a:cubicBezTo>
                                  <a:pt x="5614471" y="-14871"/>
                                  <a:pt x="5731770" y="-14871"/>
                                  <a:pt x="5822413" y="44612"/>
                                </a:cubicBezTo>
                                <a:cubicBezTo>
                                  <a:pt x="5923423" y="109725"/>
                                  <a:pt x="6053180" y="109725"/>
                                  <a:pt x="6154191" y="44612"/>
                                </a:cubicBezTo>
                                <a:cubicBezTo>
                                  <a:pt x="6244833" y="-14871"/>
                                  <a:pt x="6362132" y="-14871"/>
                                  <a:pt x="6452776" y="44612"/>
                                </a:cubicBezTo>
                                <a:cubicBezTo>
                                  <a:pt x="6553786" y="109725"/>
                                  <a:pt x="6683543" y="109725"/>
                                  <a:pt x="6784553" y="44612"/>
                                </a:cubicBezTo>
                                <a:cubicBezTo>
                                  <a:pt x="6875196" y="-14871"/>
                                  <a:pt x="6992496" y="-14871"/>
                                  <a:pt x="7083138" y="44612"/>
                                </a:cubicBezTo>
                                <a:cubicBezTo>
                                  <a:pt x="7184149" y="109725"/>
                                  <a:pt x="7313906" y="109725"/>
                                  <a:pt x="7414916" y="44612"/>
                                </a:cubicBezTo>
                                <a:cubicBezTo>
                                  <a:pt x="7458842" y="14681"/>
                                  <a:pt x="7511071" y="-672"/>
                                  <a:pt x="7564209" y="746"/>
                                </a:cubicBezTo>
                                <a:lnTo>
                                  <a:pt x="7564209" y="5635379"/>
                                </a:lnTo>
                                <a:lnTo>
                                  <a:pt x="0" y="5635379"/>
                                </a:lnTo>
                                <a:lnTo>
                                  <a:pt x="0" y="746"/>
                                </a:lnTo>
                                <a:cubicBezTo>
                                  <a:pt x="53123" y="-629"/>
                                  <a:pt x="105354" y="14725"/>
                                  <a:pt x="149293" y="44612"/>
                                </a:cubicBezTo>
                                <a:cubicBezTo>
                                  <a:pt x="250245" y="109740"/>
                                  <a:pt x="379973" y="109740"/>
                                  <a:pt x="480925" y="44612"/>
                                </a:cubicBezTo>
                                <a:cubicBezTo>
                                  <a:pt x="526247" y="14870"/>
                                  <a:pt x="578232" y="0"/>
                                  <a:pt x="630218" y="0"/>
                                </a:cubicBezTo>
                                <a:close/>
                              </a:path>
                            </a:pathLst>
                          </a:cu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pic:pic xmlns:pic="http://schemas.openxmlformats.org/drawingml/2006/picture">
                        <pic:nvPicPr>
                          <pic:cNvPr id="953" name="Graphic 95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1293" y="18743"/>
                            <a:ext cx="53009" cy="14234"/>
                          </a:xfrm>
                          <a:prstGeom prst="rect">
                            <a:avLst/>
                          </a:prstGeom>
                          <a:noFill/>
                          <a:extLst>
                            <a:ext uri="{909E8E84-426E-40DD-AFC4-6F175D3DCCD1}">
                              <a14:hiddenFill xmlns:a14="http://schemas.microsoft.com/office/drawing/2010/main">
                                <a:solidFill>
                                  <a:srgbClr val="FFFFFF"/>
                                </a:solidFill>
                              </a14:hiddenFill>
                            </a:ext>
                          </a:extLst>
                        </pic:spPr>
                      </pic:pic>
                      <wps:wsp>
                        <wps:cNvPr id="954" name="TextBox 1"/>
                        <wps:cNvSpPr txBox="1">
                          <a:spLocks noChangeArrowheads="1"/>
                        </wps:cNvSpPr>
                        <wps:spPr bwMode="auto">
                          <a:xfrm>
                            <a:off x="13817" y="76645"/>
                            <a:ext cx="47999" cy="5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D2AD7" w14:textId="77777777" w:rsidR="0069477C" w:rsidRDefault="0069477C" w:rsidP="00402DF9">
                              <w:pPr>
                                <w:jc w:val="center"/>
                                <w:rPr>
                                  <w:color w:val="FFFFFF" w:themeColor="background1"/>
                                  <w:kern w:val="24"/>
                                  <w:sz w:val="56"/>
                                  <w:szCs w:val="56"/>
                                </w:rPr>
                              </w:pPr>
                              <w:r>
                                <w:rPr>
                                  <w:color w:val="FFFFFF" w:themeColor="background1"/>
                                  <w:kern w:val="24"/>
                                  <w:sz w:val="56"/>
                                  <w:szCs w:val="56"/>
                                </w:rPr>
                                <w:t>southeastwater.com.au</w:t>
                              </w:r>
                            </w:p>
                          </w:txbxContent>
                        </wps:txbx>
                        <wps:bodyPr rot="0" vert="horz" wrap="square" lIns="91440" tIns="45720" rIns="91440" bIns="45720" anchor="t" anchorCtr="0" upright="1">
                          <a:spAutoFit/>
                        </wps:bodyPr>
                      </wps:wsp>
                    </wpg:wgp>
                  </a:graphicData>
                </a:graphic>
                <wp14:sizeRelH relativeFrom="margin">
                  <wp14:pctWidth>0</wp14:pctWidth>
                </wp14:sizeRelH>
                <wp14:sizeRelV relativeFrom="margin">
                  <wp14:pctHeight>0</wp14:pctHeight>
                </wp14:sizeRelV>
              </wp:anchor>
            </w:drawing>
          </mc:Choice>
          <mc:Fallback>
            <w:pict>
              <v:group w14:anchorId="2377DEF6" id="Group 3" o:spid="_x0000_s1068" style="position:absolute;margin-left:0;margin-top:0;width:595.55pt;height:845.85pt;z-index:251658254;mso-position-horizontal:left;mso-position-horizontal-relative:page;mso-position-vertical:top;mso-position-vertical-relative:page;mso-width-relative:margin;mso-height-relative:margin" coordsize="75634,107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">
                <v:shape id="Freeform: Shape 950" o:spid="_x0000_s1069" style="position:absolute;width:75596;height:55260;visibility:visible;mso-wrap-style:square;v-text-anchor:middle" coordsize="7899747,5526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" path="m,l7899748,r,5526066l,5526066,,xe" fillcolor="#00b1f4" stroked="f" strokeweight="2.21908mm">
                  <v:stroke joinstyle="miter"/>
                  <v:path arrowok="t" o:connecttype="custom" o:connectlocs="0,0;72342,0;72342,55260;0,55260" o:connectangles="0,0,0,0"/>
                </v:shape>
                <v:shape id="Freeform: Shape 951" o:spid="_x0000_s1070" style="position:absolute;top:51096;width:75634;height:56338;visibility:visible;mso-wrap-style:square;v-text-anchor:middle" coordsize="7564209,5635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" path="m630218,v51985,,103971,14870,149292,44612c880462,109740,1010189,109740,1111141,44612v90644,-59483,207942,-59483,298585,c1510678,109740,1640406,109740,1741358,44612v90643,-59483,207942,-59483,298585,c2140953,109725,2270711,109725,2371721,44612v90599,-59453,207840,-59453,298439,c2771170,109725,2900927,109725,3001938,44612,3045819,14695,3097991,-643,3151084,746v53137,-1404,105368,13949,149293,43866c3401518,109623,3531305,109623,3632447,44612v90701,-59468,208029,-59468,298731,c4032188,109725,4161945,109725,4262956,44612v90701,-59468,208030,-59468,298731,c4662697,109725,4792454,109725,4893465,44612v90643,-59483,207942,-59483,298585,c5293060,109725,5422818,109725,5523827,44612v90644,-59483,207943,-59483,298586,c5923423,109725,6053180,109725,6154191,44612v90642,-59483,207941,-59483,298585,c6553786,109725,6683543,109725,6784553,44612v90643,-59483,207943,-59483,298585,c7184149,109725,7313906,109725,7414916,44612,7458842,14681,7511071,-672,7564209,746r,5634633l,5635379,,746c53123,-629,105354,14725,149293,44612v100952,65128,230680,65128,331632,c526247,14870,578232,,630218,xe" fillcolor="#0075e3 [3204]" stroked="f" strokeweight="1pt">
                  <v:stroke joinstyle="miter"/>
                  <v:path arrowok="t" o:connecttype="custom" o:connectlocs="6301,0;7794,446;11109,446;14094,446;17410,446;20395,446;23712,446;26696,446;30013,446;31504,7;32997,446;36317,446;39304,446;42621,446;45608,446;48925,446;51910,446;55227,446;58212,446;61529,446;64515,446;67832,446;70817,446;74134,446;75627,7;75627,56321;0,56321;0,7;1493,446;4808,446;6301,0" o:connectangles="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952" o:spid="_x0000_s1071" type="#_x0000_t75" style="position:absolute;left:11293;top:18743;width:53009;height:14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">
                  <v:imagedata r:id="rId53" o:title=""/>
                </v:shape>
                <v:shape id="TextBox 1" o:spid="_x0000_s1072" type="#_x0000_t202" style="position:absolute;left:13817;top:76645;width:47999;height:5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" filled="f" stroked="f">
                  <v:textbox style="mso-fit-shape-to-text:t">
                    <w:txbxContent>
                      <w:p w14:paraId="19CD2AD7" w14:textId="77777777" w:rsidR="0069477C" w:rsidRDefault="0069477C" w:rsidP="00402DF9">
                        <w:pPr>
                          <w:jc w:val="center"/>
                          <w:rPr>
                            <w:color w:val="FFFFFF" w:themeColor="background1"/>
                            <w:kern w:val="24"/>
                            <w:sz w:val="56"/>
                            <w:szCs w:val="56"/>
                          </w:rPr>
                        </w:pPr>
                        <w:r>
                          <w:rPr>
                            <w:color w:val="FFFFFF" w:themeColor="background1"/>
                            <w:kern w:val="24"/>
                            <w:sz w:val="56"/>
                            <w:szCs w:val="56"/>
                          </w:rPr>
                          <w:t>southeastwater.com.au</w:t>
                        </w:r>
                      </w:p>
                    </w:txbxContent>
                  </v:textbox>
                </v:shape>
                <w10:wrap anchorx="page" anchory="page"/>
                <w10:anchorlock/>
              </v:group>
            </w:pict>
          </mc:Fallback>
        </mc:AlternateContent>
      </w:r>
      <w:r w:rsidR="00B10776">
        <w:t>The</w:t>
      </w:r>
    </w:p>
    <w:p w14:paraId="4784E270" w14:textId="77777777" w:rsidR="00402DF9" w:rsidRDefault="00402DF9" w:rsidP="005B5833"/>
    <w:p w14:paraId="4FEFC4D8" w14:textId="77777777" w:rsidR="00402DF9" w:rsidRDefault="00402DF9">
      <w:pPr>
        <w:spacing w:after="160" w:line="259" w:lineRule="auto"/>
      </w:pPr>
      <w:r>
        <w:br w:type="page"/>
      </w:r>
    </w:p>
    <w:p w14:paraId="3C5F6A5C" w14:textId="2778092A" w:rsidR="00402DF9" w:rsidRDefault="00062C38" w:rsidP="00534F27">
      <w:pPr>
        <w:pageBreakBefore/>
      </w:pPr>
      <w:r>
        <w:rPr>
          <w:noProof/>
        </w:rPr>
        <w:lastRenderedPageBreak/>
        <mc:AlternateContent>
          <mc:Choice Requires="wpg">
            <w:drawing>
              <wp:anchor distT="0" distB="0" distL="114300" distR="114300" simplePos="0" relativeHeight="251658255" behindDoc="1" locked="1" layoutInCell="1" allowOverlap="1" wp14:anchorId="71043055" wp14:editId="39D499B8">
                <wp:simplePos x="0" y="0"/>
                <wp:positionH relativeFrom="page">
                  <wp:posOffset>-26670</wp:posOffset>
                </wp:positionH>
                <wp:positionV relativeFrom="page">
                  <wp:posOffset>-17780</wp:posOffset>
                </wp:positionV>
                <wp:extent cx="7577455" cy="10742295"/>
                <wp:effectExtent l="0" t="0" r="4445" b="1905"/>
                <wp:wrapNone/>
                <wp:docPr id="2"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7455" cy="10742294"/>
                          <a:chOff x="0" y="0"/>
                          <a:chExt cx="75780" cy="107434"/>
                        </a:xfrm>
                      </wpg:grpSpPr>
                      <wps:wsp>
                        <wps:cNvPr id="956" name="Rectangle 956"/>
                        <wps:cNvSpPr>
                          <a:spLocks noChangeArrowheads="1"/>
                        </wps:cNvSpPr>
                        <wps:spPr bwMode="auto">
                          <a:xfrm>
                            <a:off x="0" y="51096"/>
                            <a:ext cx="75634" cy="56338"/>
                          </a:xfrm>
                          <a:prstGeom prst="rect">
                            <a:avLst/>
                          </a:prstGeom>
                          <a:solidFill>
                            <a:schemeClr val="bg2">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551C018" w14:textId="7A06401B" w:rsidR="0069477C" w:rsidRPr="00470909" w:rsidRDefault="0069477C" w:rsidP="00CF14CC">
                              <w:pPr>
                                <w:pStyle w:val="Contactheading"/>
                              </w:pPr>
                              <w:r w:rsidRPr="00470909">
                                <w:t>How to get in touch</w:t>
                              </w:r>
                            </w:p>
                            <w:p w14:paraId="1C4334F5" w14:textId="77777777" w:rsidR="0069477C" w:rsidRPr="00CF078B" w:rsidRDefault="0069477C" w:rsidP="00360131">
                              <w:pPr>
                                <w:pStyle w:val="Contactinfo"/>
                                <w:spacing w:after="40"/>
                              </w:pPr>
                              <w:r w:rsidRPr="00470909">
                                <w:t>Email</w:t>
                              </w:r>
                              <w:r>
                                <w:t xml:space="preserve"> </w:t>
                              </w:r>
                              <w:r w:rsidRPr="00470909">
                                <w:rPr>
                                  <w:b w:val="0"/>
                                  <w:bCs w:val="0"/>
                                </w:rPr>
                                <w:t>support@southeastwater.com.au</w:t>
                              </w:r>
                            </w:p>
                            <w:p w14:paraId="5953657B" w14:textId="77777777" w:rsidR="0069477C" w:rsidRPr="00CF078B" w:rsidRDefault="0069477C" w:rsidP="00360131">
                              <w:pPr>
                                <w:pStyle w:val="Contactinfo"/>
                                <w:spacing w:after="40"/>
                              </w:pPr>
                              <w:r w:rsidRPr="00470909">
                                <w:t>General account enquiries</w:t>
                              </w:r>
                              <w:r>
                                <w:t xml:space="preserve"> </w:t>
                              </w:r>
                              <w:r w:rsidRPr="00470909">
                                <w:rPr>
                                  <w:b w:val="0"/>
                                  <w:bCs w:val="0"/>
                                </w:rPr>
                                <w:t>13 18 51</w:t>
                              </w:r>
                            </w:p>
                            <w:p w14:paraId="6F690EA6" w14:textId="594921FA" w:rsidR="0069477C" w:rsidRPr="00CF078B" w:rsidRDefault="0069477C" w:rsidP="00360131">
                              <w:pPr>
                                <w:pStyle w:val="Contactinfo"/>
                                <w:spacing w:after="40"/>
                              </w:pPr>
                              <w:r w:rsidRPr="00470909">
                                <w:t xml:space="preserve">South East Water </w:t>
                              </w:r>
                              <w:r w:rsidR="003426D4" w:rsidRPr="00470909">
                                <w:t>Assist</w:t>
                              </w:r>
                              <w:r w:rsidR="003426D4">
                                <w:t xml:space="preserve"> </w:t>
                              </w:r>
                              <w:r w:rsidRPr="00470909">
                                <w:rPr>
                                  <w:b w:val="0"/>
                                  <w:bCs w:val="0"/>
                                </w:rPr>
                                <w:t>9552 3540</w:t>
                              </w:r>
                            </w:p>
                            <w:p w14:paraId="2C63F6E2" w14:textId="77777777" w:rsidR="0069477C" w:rsidRPr="00CF078B" w:rsidRDefault="0069477C" w:rsidP="00360131">
                              <w:pPr>
                                <w:pStyle w:val="Contactinfo"/>
                                <w:spacing w:after="40"/>
                              </w:pPr>
                              <w:r w:rsidRPr="00470909">
                                <w:t>Hearing and speech impaired services</w:t>
                              </w:r>
                              <w:r>
                                <w:t xml:space="preserve"> </w:t>
                              </w:r>
                              <w:r>
                                <w:br/>
                              </w:r>
                              <w:r w:rsidRPr="00470909">
                                <w:t>TTY</w:t>
                              </w:r>
                              <w:r>
                                <w:t xml:space="preserve"> </w:t>
                              </w:r>
                              <w:r w:rsidRPr="00470909">
                                <w:rPr>
                                  <w:b w:val="0"/>
                                  <w:bCs w:val="0"/>
                                </w:rPr>
                                <w:t>13 36 77 (ask for 13 18 51)</w:t>
                              </w:r>
                              <w:r w:rsidRPr="00CF078B">
                                <w:t xml:space="preserve"> </w:t>
                              </w:r>
                            </w:p>
                            <w:p w14:paraId="12030A41" w14:textId="2E063C2F" w:rsidR="0069477C" w:rsidRPr="00CF078B" w:rsidRDefault="0069477C" w:rsidP="00470909">
                              <w:pPr>
                                <w:pStyle w:val="Contactinfo"/>
                              </w:pPr>
                              <w:r w:rsidRPr="00470909">
                                <w:t>Interpreter service (all languages</w:t>
                              </w:r>
                              <w:r w:rsidR="003426D4" w:rsidRPr="00CF078B">
                                <w:t>)</w:t>
                              </w:r>
                              <w:r w:rsidR="003426D4">
                                <w:t xml:space="preserve"> </w:t>
                              </w:r>
                              <w:r w:rsidRPr="00470909">
                                <w:rPr>
                                  <w:b w:val="0"/>
                                  <w:bCs w:val="0"/>
                                </w:rPr>
                                <w:t>9209 0130</w:t>
                              </w:r>
                            </w:p>
                            <w:p w14:paraId="19AD2466" w14:textId="77777777" w:rsidR="0069477C" w:rsidRDefault="0069477C" w:rsidP="00CF078B">
                              <w:pPr>
                                <w:spacing w:after="0"/>
                                <w:rPr>
                                  <w:b/>
                                  <w:bCs/>
                                  <w:color w:val="0075E3" w:themeColor="accent1"/>
                                  <w:kern w:val="24"/>
                                </w:rPr>
                              </w:pPr>
                            </w:p>
                            <w:p w14:paraId="225A2D28" w14:textId="3F9C31A8" w:rsidR="0069477C" w:rsidRDefault="0069477C" w:rsidP="00E36290">
                              <w:pPr>
                                <w:pStyle w:val="Contactheading"/>
                              </w:pPr>
                              <w:r w:rsidRPr="00470909">
                                <w:t>Follow us</w:t>
                              </w:r>
                            </w:p>
                            <w:p w14:paraId="788311AC" w14:textId="6F31E4BE" w:rsidR="0069477C" w:rsidRPr="00534F27" w:rsidRDefault="00E36290" w:rsidP="00116E55">
                              <w:pPr>
                                <w:pStyle w:val="Contactheading"/>
                                <w:rPr>
                                  <w:color w:val="0075E3" w:themeColor="accent1"/>
                                  <w:sz w:val="28"/>
                                  <w:szCs w:val="28"/>
                                </w:rPr>
                              </w:pPr>
                              <w:r>
                                <w:rPr>
                                  <w:noProof/>
                                </w:rPr>
                                <w:drawing>
                                  <wp:inline distT="0" distB="0" distL="0" distR="0" wp14:anchorId="7D25003E" wp14:editId="2D8033C0">
                                    <wp:extent cx="347134" cy="347134"/>
                                    <wp:effectExtent l="0" t="0" r="0" b="0"/>
                                    <wp:docPr id="21" name="Picture 21" descr="Icon&#10;&#10;Description automatically generated">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Picture 1043" descr="Icon&#10;&#10;Description automatically generated">
                                              <a:hlinkClick r:id="rId54"/>
                                            </pic:cNvPr>
                                            <pic:cNvPicPr/>
                                          </pic:nvPicPr>
                                          <pic:blipFill>
                                            <a:blip r:embed="rId55">
                                              <a:extLst>
                                                <a:ext uri="{28A0092B-C50C-407E-A947-70E740481C1C}">
                                                  <a14:useLocalDpi xmlns:a14="http://schemas.microsoft.com/office/drawing/2010/main" val="0"/>
                                                </a:ext>
                                              </a:extLst>
                                            </a:blip>
                                            <a:stretch>
                                              <a:fillRect/>
                                            </a:stretch>
                                          </pic:blipFill>
                                          <pic:spPr>
                                            <a:xfrm>
                                              <a:off x="0" y="0"/>
                                              <a:ext cx="352211" cy="352211"/>
                                            </a:xfrm>
                                            <a:prstGeom prst="rect">
                                              <a:avLst/>
                                            </a:prstGeom>
                                          </pic:spPr>
                                        </pic:pic>
                                      </a:graphicData>
                                    </a:graphic>
                                  </wp:inline>
                                </w:drawing>
                              </w:r>
                              <w:r w:rsidR="002020E8">
                                <w:rPr>
                                  <w:color w:val="0075E3" w:themeColor="accent1"/>
                                  <w:sz w:val="28"/>
                                  <w:szCs w:val="28"/>
                                </w:rPr>
                                <w:t xml:space="preserve"> </w:t>
                              </w:r>
                              <w:r>
                                <w:rPr>
                                  <w:noProof/>
                                </w:rPr>
                                <w:drawing>
                                  <wp:inline distT="0" distB="0" distL="0" distR="0" wp14:anchorId="1FE3FDB9" wp14:editId="22A989A3">
                                    <wp:extent cx="345600" cy="345600"/>
                                    <wp:effectExtent l="0" t="0" r="0" b="0"/>
                                    <wp:docPr id="22" name="Picture 22" descr="Icon&#10;&#10;Description automatically generated">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Picture 1044" descr="Icon&#10;&#10;Description automatically generated">
                                              <a:hlinkClick r:id="rId56"/>
                                            </pic:cNvPr>
                                            <pic:cNvPicPr/>
                                          </pic:nvPicPr>
                                          <pic:blipFill>
                                            <a:blip r:embed="rId57">
                                              <a:extLst>
                                                <a:ext uri="{28A0092B-C50C-407E-A947-70E740481C1C}">
                                                  <a14:useLocalDpi xmlns:a14="http://schemas.microsoft.com/office/drawing/2010/main" val="0"/>
                                                </a:ext>
                                              </a:extLst>
                                            </a:blip>
                                            <a:stretch>
                                              <a:fillRect/>
                                            </a:stretch>
                                          </pic:blipFill>
                                          <pic:spPr>
                                            <a:xfrm>
                                              <a:off x="0" y="0"/>
                                              <a:ext cx="345600" cy="345600"/>
                                            </a:xfrm>
                                            <a:prstGeom prst="rect">
                                              <a:avLst/>
                                            </a:prstGeom>
                                          </pic:spPr>
                                        </pic:pic>
                                      </a:graphicData>
                                    </a:graphic>
                                  </wp:inline>
                                </w:drawing>
                              </w:r>
                              <w:r w:rsidR="002020E8">
                                <w:rPr>
                                  <w:color w:val="0075E3" w:themeColor="accent1"/>
                                  <w:sz w:val="28"/>
                                  <w:szCs w:val="28"/>
                                </w:rPr>
                                <w:t xml:space="preserve"> </w:t>
                              </w:r>
                              <w:r>
                                <w:rPr>
                                  <w:noProof/>
                                </w:rPr>
                                <w:drawing>
                                  <wp:inline distT="0" distB="0" distL="0" distR="0" wp14:anchorId="5AA9D250" wp14:editId="55593B8D">
                                    <wp:extent cx="345600" cy="345600"/>
                                    <wp:effectExtent l="0" t="0" r="0" b="0"/>
                                    <wp:docPr id="23" name="Picture 23" descr="Icon&#10;&#10;Description automatically generated">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 name="Picture 1045" descr="Icon&#10;&#10;Description automatically generated">
                                              <a:hlinkClick r:id="rId58"/>
                                            </pic:cNvPr>
                                            <pic:cNvPicPr/>
                                          </pic:nvPicPr>
                                          <pic:blipFill>
                                            <a:blip r:embed="rId59">
                                              <a:extLst>
                                                <a:ext uri="{28A0092B-C50C-407E-A947-70E740481C1C}">
                                                  <a14:useLocalDpi xmlns:a14="http://schemas.microsoft.com/office/drawing/2010/main" val="0"/>
                                                </a:ext>
                                              </a:extLst>
                                            </a:blip>
                                            <a:stretch>
                                              <a:fillRect/>
                                            </a:stretch>
                                          </pic:blipFill>
                                          <pic:spPr>
                                            <a:xfrm>
                                              <a:off x="0" y="0"/>
                                              <a:ext cx="345600" cy="345600"/>
                                            </a:xfrm>
                                            <a:prstGeom prst="rect">
                                              <a:avLst/>
                                            </a:prstGeom>
                                          </pic:spPr>
                                        </pic:pic>
                                      </a:graphicData>
                                    </a:graphic>
                                  </wp:inline>
                                </w:drawing>
                              </w:r>
                              <w:r w:rsidR="002020E8">
                                <w:rPr>
                                  <w:color w:val="0075E3" w:themeColor="accent1"/>
                                  <w:sz w:val="28"/>
                                  <w:szCs w:val="28"/>
                                </w:rPr>
                                <w:t xml:space="preserve"> </w:t>
                              </w:r>
                              <w:r>
                                <w:rPr>
                                  <w:noProof/>
                                </w:rPr>
                                <w:drawing>
                                  <wp:inline distT="0" distB="0" distL="0" distR="0" wp14:anchorId="2AF5751C" wp14:editId="0319DFF9">
                                    <wp:extent cx="345600" cy="345600"/>
                                    <wp:effectExtent l="0" t="0" r="0" b="0"/>
                                    <wp:docPr id="24" name="Picture 24" descr="Icon&#10;&#10;Description automatically generated">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Picture 1046" descr="Icon&#10;&#10;Description automatically generated">
                                              <a:hlinkClick r:id="rId60"/>
                                            </pic:cNvPr>
                                            <pic:cNvPicPr/>
                                          </pic:nvPicPr>
                                          <pic:blipFill>
                                            <a:blip r:embed="rId61">
                                              <a:extLst>
                                                <a:ext uri="{28A0092B-C50C-407E-A947-70E740481C1C}">
                                                  <a14:useLocalDpi xmlns:a14="http://schemas.microsoft.com/office/drawing/2010/main" val="0"/>
                                                </a:ext>
                                              </a:extLst>
                                            </a:blip>
                                            <a:stretch>
                                              <a:fillRect/>
                                            </a:stretch>
                                          </pic:blipFill>
                                          <pic:spPr>
                                            <a:xfrm>
                                              <a:off x="0" y="0"/>
                                              <a:ext cx="345600" cy="345600"/>
                                            </a:xfrm>
                                            <a:prstGeom prst="rect">
                                              <a:avLst/>
                                            </a:prstGeom>
                                          </pic:spPr>
                                        </pic:pic>
                                      </a:graphicData>
                                    </a:graphic>
                                  </wp:inline>
                                </w:drawing>
                              </w:r>
                              <w:r w:rsidR="002020E8">
                                <w:rPr>
                                  <w:color w:val="0075E3" w:themeColor="accent1"/>
                                  <w:sz w:val="28"/>
                                  <w:szCs w:val="28"/>
                                </w:rPr>
                                <w:t xml:space="preserve"> </w:t>
                              </w:r>
                              <w:r>
                                <w:rPr>
                                  <w:noProof/>
                                </w:rPr>
                                <w:drawing>
                                  <wp:inline distT="0" distB="0" distL="0" distR="0" wp14:anchorId="3F5BFC74" wp14:editId="52401227">
                                    <wp:extent cx="345600" cy="345600"/>
                                    <wp:effectExtent l="0" t="0" r="0" b="0"/>
                                    <wp:docPr id="26" name="Picture 26" descr="Icon&#10;&#10;Description automatically generated">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 name="Picture 1047" descr="Icon&#10;&#10;Description automatically generated">
                                              <a:hlinkClick r:id="rId62"/>
                                            </pic:cNvPr>
                                            <pic:cNvPicPr/>
                                          </pic:nvPicPr>
                                          <pic:blipFill>
                                            <a:blip r:embed="rId63">
                                              <a:extLst>
                                                <a:ext uri="{28A0092B-C50C-407E-A947-70E740481C1C}">
                                                  <a14:useLocalDpi xmlns:a14="http://schemas.microsoft.com/office/drawing/2010/main" val="0"/>
                                                </a:ext>
                                              </a:extLst>
                                            </a:blip>
                                            <a:stretch>
                                              <a:fillRect/>
                                            </a:stretch>
                                          </pic:blipFill>
                                          <pic:spPr>
                                            <a:xfrm>
                                              <a:off x="0" y="0"/>
                                              <a:ext cx="345600" cy="345600"/>
                                            </a:xfrm>
                                            <a:prstGeom prst="rect">
                                              <a:avLst/>
                                            </a:prstGeom>
                                          </pic:spPr>
                                        </pic:pic>
                                      </a:graphicData>
                                    </a:graphic>
                                  </wp:inline>
                                </w:drawing>
                              </w:r>
                            </w:p>
                          </w:txbxContent>
                        </wps:txbx>
                        <wps:bodyPr rot="0" vert="horz" wrap="square" lIns="504000" tIns="45720" rIns="91440" bIns="468000" anchor="b" anchorCtr="0" upright="1">
                          <a:noAutofit/>
                        </wps:bodyPr>
                      </wps:wsp>
                      <wps:wsp>
                        <wps:cNvPr id="957" name="Freeform: Shape 957"/>
                        <wps:cNvSpPr>
                          <a:spLocks/>
                        </wps:cNvSpPr>
                        <wps:spPr bwMode="auto">
                          <a:xfrm rot="10800000">
                            <a:off x="180" y="0"/>
                            <a:ext cx="75600" cy="75215"/>
                          </a:xfrm>
                          <a:custGeom>
                            <a:avLst/>
                            <a:gdLst>
                              <a:gd name="T0" fmla="*/ 0 w 7560002"/>
                              <a:gd name="T1" fmla="*/ 0 h 7521515"/>
                              <a:gd name="T2" fmla="*/ 447845 w 7560002"/>
                              <a:gd name="T3" fmla="*/ 133636 h 7521515"/>
                              <a:gd name="T4" fmla="*/ 944964 w 7560002"/>
                              <a:gd name="T5" fmla="*/ 279847 h 7521515"/>
                              <a:gd name="T6" fmla="*/ 1442082 w 7560002"/>
                              <a:gd name="T7" fmla="*/ 133636 h 7521515"/>
                              <a:gd name="T8" fmla="*/ 1889928 w 7560002"/>
                              <a:gd name="T9" fmla="*/ 0 h 7521515"/>
                              <a:gd name="T10" fmla="*/ 2337773 w 7560002"/>
                              <a:gd name="T11" fmla="*/ 133636 h 7521515"/>
                              <a:gd name="T12" fmla="*/ 2834892 w 7560002"/>
                              <a:gd name="T13" fmla="*/ 279847 h 7521515"/>
                              <a:gd name="T14" fmla="*/ 3332010 w 7560002"/>
                              <a:gd name="T15" fmla="*/ 133636 h 7521515"/>
                              <a:gd name="T16" fmla="*/ 3779855 w 7560002"/>
                              <a:gd name="T17" fmla="*/ 0 h 7521515"/>
                              <a:gd name="T18" fmla="*/ 4227700 w 7560002"/>
                              <a:gd name="T19" fmla="*/ 133636 h 7521515"/>
                              <a:gd name="T20" fmla="*/ 4724818 w 7560002"/>
                              <a:gd name="T21" fmla="*/ 279847 h 7521515"/>
                              <a:gd name="T22" fmla="*/ 5221936 w 7560002"/>
                              <a:gd name="T23" fmla="*/ 133636 h 7521515"/>
                              <a:gd name="T24" fmla="*/ 5669928 w 7560002"/>
                              <a:gd name="T25" fmla="*/ 0 h 7521515"/>
                              <a:gd name="T26" fmla="*/ 6117773 w 7560002"/>
                              <a:gd name="T27" fmla="*/ 133636 h 7521515"/>
                              <a:gd name="T28" fmla="*/ 6614892 w 7560002"/>
                              <a:gd name="T29" fmla="*/ 279847 h 7521515"/>
                              <a:gd name="T30" fmla="*/ 7112010 w 7560002"/>
                              <a:gd name="T31" fmla="*/ 133636 h 7521515"/>
                              <a:gd name="T32" fmla="*/ 7560002 w 7560002"/>
                              <a:gd name="T33" fmla="*/ 0 h 7521515"/>
                              <a:gd name="T34" fmla="*/ 7560002 w 7560002"/>
                              <a:gd name="T35" fmla="*/ 1887795 h 7521515"/>
                              <a:gd name="T36" fmla="*/ 7560002 w 7560002"/>
                              <a:gd name="T37" fmla="*/ 2635137 h 7521515"/>
                              <a:gd name="T38" fmla="*/ 7560002 w 7560002"/>
                              <a:gd name="T39" fmla="*/ 2998583 h 7521515"/>
                              <a:gd name="T40" fmla="*/ 7560002 w 7560002"/>
                              <a:gd name="T41" fmla="*/ 4522932 h 7521515"/>
                              <a:gd name="T42" fmla="*/ 7560002 w 7560002"/>
                              <a:gd name="T43" fmla="*/ 4886378 h 7521515"/>
                              <a:gd name="T44" fmla="*/ 7560002 w 7560002"/>
                              <a:gd name="T45" fmla="*/ 5633720 h 7521515"/>
                              <a:gd name="T46" fmla="*/ 7560002 w 7560002"/>
                              <a:gd name="T47" fmla="*/ 7521515 h 7521515"/>
                              <a:gd name="T48" fmla="*/ 0 w 7560002"/>
                              <a:gd name="T49" fmla="*/ 7521515 h 7521515"/>
                              <a:gd name="T50" fmla="*/ 0 w 7560002"/>
                              <a:gd name="T51" fmla="*/ 5633720 h 7521515"/>
                              <a:gd name="T52" fmla="*/ 0 w 7560002"/>
                              <a:gd name="T53" fmla="*/ 4886378 h 7521515"/>
                              <a:gd name="T54" fmla="*/ 0 w 7560002"/>
                              <a:gd name="T55" fmla="*/ 4522932 h 7521515"/>
                              <a:gd name="T56" fmla="*/ 0 w 7560002"/>
                              <a:gd name="T57" fmla="*/ 2998583 h 7521515"/>
                              <a:gd name="T58" fmla="*/ 0 w 7560002"/>
                              <a:gd name="T59" fmla="*/ 2635137 h 7521515"/>
                              <a:gd name="T60" fmla="*/ 0 w 7560002"/>
                              <a:gd name="T61" fmla="*/ 1887795 h 7521515"/>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7560002" h="7521515">
                                <a:moveTo>
                                  <a:pt x="0" y="0"/>
                                </a:moveTo>
                                <a:cubicBezTo>
                                  <a:pt x="222534" y="0"/>
                                  <a:pt x="332046" y="64918"/>
                                  <a:pt x="447845" y="133636"/>
                                </a:cubicBezTo>
                                <a:cubicBezTo>
                                  <a:pt x="568908" y="205280"/>
                                  <a:pt x="695381" y="279847"/>
                                  <a:pt x="944964" y="279847"/>
                                </a:cubicBezTo>
                                <a:cubicBezTo>
                                  <a:pt x="1194547" y="279847"/>
                                  <a:pt x="1320288" y="205719"/>
                                  <a:pt x="1442082" y="133636"/>
                                </a:cubicBezTo>
                                <a:cubicBezTo>
                                  <a:pt x="1557881" y="64918"/>
                                  <a:pt x="1667395" y="0"/>
                                  <a:pt x="1889928" y="0"/>
                                </a:cubicBezTo>
                                <a:cubicBezTo>
                                  <a:pt x="2112462" y="0"/>
                                  <a:pt x="2221974" y="64918"/>
                                  <a:pt x="2337773" y="133636"/>
                                </a:cubicBezTo>
                                <a:cubicBezTo>
                                  <a:pt x="2458982" y="205280"/>
                                  <a:pt x="2585308" y="279847"/>
                                  <a:pt x="2834892" y="279847"/>
                                </a:cubicBezTo>
                                <a:cubicBezTo>
                                  <a:pt x="3084474" y="279847"/>
                                  <a:pt x="3210362" y="205719"/>
                                  <a:pt x="3332010" y="133636"/>
                                </a:cubicBezTo>
                                <a:cubicBezTo>
                                  <a:pt x="3447809" y="64918"/>
                                  <a:pt x="3557175" y="0"/>
                                  <a:pt x="3779855" y="0"/>
                                </a:cubicBezTo>
                                <a:cubicBezTo>
                                  <a:pt x="4002536" y="0"/>
                                  <a:pt x="4111900" y="64918"/>
                                  <a:pt x="4227700" y="133636"/>
                                </a:cubicBezTo>
                                <a:cubicBezTo>
                                  <a:pt x="4348910" y="205280"/>
                                  <a:pt x="4475090" y="279847"/>
                                  <a:pt x="4724818" y="279847"/>
                                </a:cubicBezTo>
                                <a:cubicBezTo>
                                  <a:pt x="4974546" y="279847"/>
                                  <a:pt x="5100288" y="205719"/>
                                  <a:pt x="5221936" y="133636"/>
                                </a:cubicBezTo>
                                <a:cubicBezTo>
                                  <a:pt x="5337882" y="64918"/>
                                  <a:pt x="5447249" y="0"/>
                                  <a:pt x="5669928" y="0"/>
                                </a:cubicBezTo>
                                <a:cubicBezTo>
                                  <a:pt x="5892608" y="0"/>
                                  <a:pt x="6001974" y="64918"/>
                                  <a:pt x="6117773" y="133636"/>
                                </a:cubicBezTo>
                                <a:cubicBezTo>
                                  <a:pt x="6239129" y="205280"/>
                                  <a:pt x="6365308" y="279847"/>
                                  <a:pt x="6614892" y="279847"/>
                                </a:cubicBezTo>
                                <a:cubicBezTo>
                                  <a:pt x="6864474" y="279847"/>
                                  <a:pt x="6990362" y="205719"/>
                                  <a:pt x="7112010" y="133636"/>
                                </a:cubicBezTo>
                                <a:cubicBezTo>
                                  <a:pt x="7227956" y="64918"/>
                                  <a:pt x="7337321" y="0"/>
                                  <a:pt x="7560002" y="0"/>
                                </a:cubicBezTo>
                                <a:lnTo>
                                  <a:pt x="7560002" y="1887795"/>
                                </a:lnTo>
                                <a:lnTo>
                                  <a:pt x="7560002" y="2635137"/>
                                </a:lnTo>
                                <a:lnTo>
                                  <a:pt x="7560002" y="2998583"/>
                                </a:lnTo>
                                <a:lnTo>
                                  <a:pt x="7560002" y="4522932"/>
                                </a:lnTo>
                                <a:lnTo>
                                  <a:pt x="7560002" y="4886378"/>
                                </a:lnTo>
                                <a:lnTo>
                                  <a:pt x="7560002" y="5633720"/>
                                </a:lnTo>
                                <a:lnTo>
                                  <a:pt x="7560002" y="7521515"/>
                                </a:lnTo>
                                <a:lnTo>
                                  <a:pt x="0" y="7521515"/>
                                </a:lnTo>
                                <a:lnTo>
                                  <a:pt x="0" y="5633720"/>
                                </a:lnTo>
                                <a:lnTo>
                                  <a:pt x="0" y="4886378"/>
                                </a:lnTo>
                                <a:lnTo>
                                  <a:pt x="0" y="4522932"/>
                                </a:lnTo>
                                <a:lnTo>
                                  <a:pt x="0" y="2998583"/>
                                </a:lnTo>
                                <a:lnTo>
                                  <a:pt x="0" y="2635137"/>
                                </a:lnTo>
                                <a:lnTo>
                                  <a:pt x="0" y="1887795"/>
                                </a:lnTo>
                                <a:lnTo>
                                  <a:pt x="0" y="0"/>
                                </a:lnTo>
                                <a:close/>
                              </a:path>
                            </a:pathLst>
                          </a:cu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cNvPr id="958" name="Group 958"/>
                        <wpg:cNvGrpSpPr>
                          <a:grpSpLocks/>
                        </wpg:cNvGrpSpPr>
                        <wpg:grpSpPr bwMode="auto">
                          <a:xfrm>
                            <a:off x="6953" y="9700"/>
                            <a:ext cx="20905" cy="5629"/>
                            <a:chOff x="6953" y="9441"/>
                            <a:chExt cx="19217" cy="5174"/>
                          </a:xfrm>
                        </wpg:grpSpPr>
                        <wps:wsp>
                          <wps:cNvPr id="961" name="Freeform: Shape 959"/>
                          <wps:cNvSpPr>
                            <a:spLocks/>
                          </wps:cNvSpPr>
                          <wps:spPr bwMode="auto">
                            <a:xfrm>
                              <a:off x="6961" y="12390"/>
                              <a:ext cx="10225" cy="2226"/>
                            </a:xfrm>
                            <a:custGeom>
                              <a:avLst/>
                              <a:gdLst/>
                              <a:ahLst/>
                              <a:cxnLst/>
                              <a:rect l="0" t="0" r="r" b="b"/>
                              <a:pathLst>
                                <a:path w="182019" h="39619">
                                  <a:moveTo>
                                    <a:pt x="176959" y="39063"/>
                                  </a:moveTo>
                                  <a:cubicBezTo>
                                    <a:pt x="178192" y="39063"/>
                                    <a:pt x="179375" y="38537"/>
                                    <a:pt x="180204" y="37621"/>
                                  </a:cubicBezTo>
                                  <a:cubicBezTo>
                                    <a:pt x="181069" y="36684"/>
                                    <a:pt x="181538" y="35436"/>
                                    <a:pt x="181502" y="34160"/>
                                  </a:cubicBezTo>
                                  <a:cubicBezTo>
                                    <a:pt x="181560" y="32876"/>
                                    <a:pt x="181091" y="31628"/>
                                    <a:pt x="180204" y="30698"/>
                                  </a:cubicBezTo>
                                  <a:cubicBezTo>
                                    <a:pt x="179339" y="29847"/>
                                    <a:pt x="178171" y="29386"/>
                                    <a:pt x="176959" y="29400"/>
                                  </a:cubicBezTo>
                                  <a:cubicBezTo>
                                    <a:pt x="175748" y="29364"/>
                                    <a:pt x="174572" y="29833"/>
                                    <a:pt x="173714" y="30698"/>
                                  </a:cubicBezTo>
                                  <a:cubicBezTo>
                                    <a:pt x="172827" y="31628"/>
                                    <a:pt x="172358" y="32876"/>
                                    <a:pt x="172416" y="34160"/>
                                  </a:cubicBezTo>
                                  <a:cubicBezTo>
                                    <a:pt x="172380" y="35436"/>
                                    <a:pt x="172849" y="36684"/>
                                    <a:pt x="173714" y="37621"/>
                                  </a:cubicBezTo>
                                  <a:cubicBezTo>
                                    <a:pt x="174536" y="38551"/>
                                    <a:pt x="175718" y="39078"/>
                                    <a:pt x="176959" y="39063"/>
                                  </a:cubicBezTo>
                                  <a:moveTo>
                                    <a:pt x="156911" y="17429"/>
                                  </a:moveTo>
                                  <a:cubicBezTo>
                                    <a:pt x="158426" y="17372"/>
                                    <a:pt x="159904" y="17920"/>
                                    <a:pt x="161022" y="18944"/>
                                  </a:cubicBezTo>
                                  <a:cubicBezTo>
                                    <a:pt x="162176" y="20004"/>
                                    <a:pt x="162911" y="21432"/>
                                    <a:pt x="163113" y="22982"/>
                                  </a:cubicBezTo>
                                  <a:lnTo>
                                    <a:pt x="150710" y="22982"/>
                                  </a:lnTo>
                                  <a:cubicBezTo>
                                    <a:pt x="150854" y="21432"/>
                                    <a:pt x="151575" y="19989"/>
                                    <a:pt x="152729" y="18944"/>
                                  </a:cubicBezTo>
                                  <a:cubicBezTo>
                                    <a:pt x="153883" y="17927"/>
                                    <a:pt x="155375" y="17386"/>
                                    <a:pt x="156911" y="17429"/>
                                  </a:cubicBezTo>
                                  <a:moveTo>
                                    <a:pt x="169964" y="25434"/>
                                  </a:moveTo>
                                  <a:cubicBezTo>
                                    <a:pt x="170000" y="22924"/>
                                    <a:pt x="169401" y="20444"/>
                                    <a:pt x="168233" y="18223"/>
                                  </a:cubicBezTo>
                                  <a:cubicBezTo>
                                    <a:pt x="167181" y="16182"/>
                                    <a:pt x="165551" y="14502"/>
                                    <a:pt x="163546" y="13391"/>
                                  </a:cubicBezTo>
                                  <a:cubicBezTo>
                                    <a:pt x="161498" y="12244"/>
                                    <a:pt x="159183" y="11675"/>
                                    <a:pt x="156839" y="11732"/>
                                  </a:cubicBezTo>
                                  <a:cubicBezTo>
                                    <a:pt x="154323" y="11646"/>
                                    <a:pt x="151827" y="12244"/>
                                    <a:pt x="149628" y="13463"/>
                                  </a:cubicBezTo>
                                  <a:cubicBezTo>
                                    <a:pt x="147616" y="14624"/>
                                    <a:pt x="145965" y="16319"/>
                                    <a:pt x="144869" y="18367"/>
                                  </a:cubicBezTo>
                                  <a:cubicBezTo>
                                    <a:pt x="143628" y="20566"/>
                                    <a:pt x="143008" y="23054"/>
                                    <a:pt x="143066" y="25578"/>
                                  </a:cubicBezTo>
                                  <a:cubicBezTo>
                                    <a:pt x="142994" y="28102"/>
                                    <a:pt x="143621" y="30597"/>
                                    <a:pt x="144869" y="32790"/>
                                  </a:cubicBezTo>
                                  <a:cubicBezTo>
                                    <a:pt x="146037" y="34881"/>
                                    <a:pt x="147789" y="36590"/>
                                    <a:pt x="149917" y="37693"/>
                                  </a:cubicBezTo>
                                  <a:cubicBezTo>
                                    <a:pt x="152145" y="38861"/>
                                    <a:pt x="154618" y="39475"/>
                                    <a:pt x="157128" y="39496"/>
                                  </a:cubicBezTo>
                                  <a:cubicBezTo>
                                    <a:pt x="161073" y="39749"/>
                                    <a:pt x="164916" y="38148"/>
                                    <a:pt x="167512" y="35169"/>
                                  </a:cubicBezTo>
                                  <a:lnTo>
                                    <a:pt x="163690" y="30698"/>
                                  </a:lnTo>
                                  <a:cubicBezTo>
                                    <a:pt x="162846" y="31506"/>
                                    <a:pt x="161873" y="32169"/>
                                    <a:pt x="160805" y="32645"/>
                                  </a:cubicBezTo>
                                  <a:cubicBezTo>
                                    <a:pt x="159702" y="33071"/>
                                    <a:pt x="158527" y="33266"/>
                                    <a:pt x="157344" y="33222"/>
                                  </a:cubicBezTo>
                                  <a:cubicBezTo>
                                    <a:pt x="155635" y="33323"/>
                                    <a:pt x="153948" y="32811"/>
                                    <a:pt x="152585" y="31780"/>
                                  </a:cubicBezTo>
                                  <a:cubicBezTo>
                                    <a:pt x="151301" y="30842"/>
                                    <a:pt x="150421" y="29451"/>
                                    <a:pt x="150133" y="27886"/>
                                  </a:cubicBezTo>
                                  <a:lnTo>
                                    <a:pt x="169171" y="27886"/>
                                  </a:lnTo>
                                  <a:cubicBezTo>
                                    <a:pt x="169171" y="26588"/>
                                    <a:pt x="169171" y="25867"/>
                                    <a:pt x="169171" y="25795"/>
                                  </a:cubicBezTo>
                                  <a:moveTo>
                                    <a:pt x="135782" y="11805"/>
                                  </a:moveTo>
                                  <a:cubicBezTo>
                                    <a:pt x="135782" y="9208"/>
                                    <a:pt x="136864" y="7910"/>
                                    <a:pt x="139100" y="7910"/>
                                  </a:cubicBezTo>
                                  <a:cubicBezTo>
                                    <a:pt x="140159" y="7889"/>
                                    <a:pt x="141198" y="8220"/>
                                    <a:pt x="142056" y="8848"/>
                                  </a:cubicBezTo>
                                  <a:lnTo>
                                    <a:pt x="143931" y="3223"/>
                                  </a:lnTo>
                                  <a:cubicBezTo>
                                    <a:pt x="143174" y="2740"/>
                                    <a:pt x="142344" y="2372"/>
                                    <a:pt x="141479" y="2141"/>
                                  </a:cubicBezTo>
                                  <a:cubicBezTo>
                                    <a:pt x="140448" y="2033"/>
                                    <a:pt x="139409" y="2033"/>
                                    <a:pt x="138378" y="2141"/>
                                  </a:cubicBezTo>
                                  <a:cubicBezTo>
                                    <a:pt x="135703" y="1939"/>
                                    <a:pt x="133070" y="2913"/>
                                    <a:pt x="131167" y="4810"/>
                                  </a:cubicBezTo>
                                  <a:cubicBezTo>
                                    <a:pt x="129386" y="6778"/>
                                    <a:pt x="128456" y="9367"/>
                                    <a:pt x="128571" y="12021"/>
                                  </a:cubicBezTo>
                                  <a:lnTo>
                                    <a:pt x="128571" y="13175"/>
                                  </a:lnTo>
                                  <a:lnTo>
                                    <a:pt x="124677" y="13175"/>
                                  </a:lnTo>
                                  <a:lnTo>
                                    <a:pt x="124677" y="19160"/>
                                  </a:lnTo>
                                  <a:lnTo>
                                    <a:pt x="128571" y="19160"/>
                                  </a:lnTo>
                                  <a:lnTo>
                                    <a:pt x="128571" y="39063"/>
                                  </a:lnTo>
                                  <a:lnTo>
                                    <a:pt x="135782" y="39063"/>
                                  </a:lnTo>
                                  <a:lnTo>
                                    <a:pt x="135782" y="18872"/>
                                  </a:lnTo>
                                  <a:lnTo>
                                    <a:pt x="142056" y="18872"/>
                                  </a:lnTo>
                                  <a:lnTo>
                                    <a:pt x="142056" y="12886"/>
                                  </a:lnTo>
                                  <a:lnTo>
                                    <a:pt x="135638" y="12886"/>
                                  </a:lnTo>
                                  <a:lnTo>
                                    <a:pt x="135782" y="11805"/>
                                  </a:lnTo>
                                  <a:close/>
                                  <a:moveTo>
                                    <a:pt x="117754" y="8559"/>
                                  </a:moveTo>
                                  <a:cubicBezTo>
                                    <a:pt x="118980" y="8632"/>
                                    <a:pt x="120184" y="8192"/>
                                    <a:pt x="121071" y="7334"/>
                                  </a:cubicBezTo>
                                  <a:cubicBezTo>
                                    <a:pt x="121886" y="6454"/>
                                    <a:pt x="122326" y="5286"/>
                                    <a:pt x="122297" y="4088"/>
                                  </a:cubicBezTo>
                                  <a:cubicBezTo>
                                    <a:pt x="122304" y="2978"/>
                                    <a:pt x="121864" y="1910"/>
                                    <a:pt x="121071" y="1132"/>
                                  </a:cubicBezTo>
                                  <a:cubicBezTo>
                                    <a:pt x="120170" y="302"/>
                                    <a:pt x="118980" y="-138"/>
                                    <a:pt x="117754" y="-94"/>
                                  </a:cubicBezTo>
                                  <a:cubicBezTo>
                                    <a:pt x="116535" y="-138"/>
                                    <a:pt x="115359" y="331"/>
                                    <a:pt x="114509" y="1204"/>
                                  </a:cubicBezTo>
                                  <a:cubicBezTo>
                                    <a:pt x="113650" y="1968"/>
                                    <a:pt x="113175" y="3079"/>
                                    <a:pt x="113211" y="4233"/>
                                  </a:cubicBezTo>
                                  <a:cubicBezTo>
                                    <a:pt x="113182" y="5401"/>
                                    <a:pt x="113650" y="6533"/>
                                    <a:pt x="114509" y="7334"/>
                                  </a:cubicBezTo>
                                  <a:cubicBezTo>
                                    <a:pt x="115367" y="8184"/>
                                    <a:pt x="116550" y="8632"/>
                                    <a:pt x="117754" y="8559"/>
                                  </a:cubicBezTo>
                                  <a:moveTo>
                                    <a:pt x="114148" y="39063"/>
                                  </a:moveTo>
                                  <a:lnTo>
                                    <a:pt x="121360" y="39063"/>
                                  </a:lnTo>
                                  <a:lnTo>
                                    <a:pt x="121360" y="12309"/>
                                  </a:lnTo>
                                  <a:lnTo>
                                    <a:pt x="114148" y="12309"/>
                                  </a:lnTo>
                                  <a:lnTo>
                                    <a:pt x="114148" y="39063"/>
                                  </a:lnTo>
                                  <a:close/>
                                  <a:moveTo>
                                    <a:pt x="86961" y="39063"/>
                                  </a:moveTo>
                                  <a:lnTo>
                                    <a:pt x="110975" y="39063"/>
                                  </a:lnTo>
                                  <a:lnTo>
                                    <a:pt x="110975" y="32501"/>
                                  </a:lnTo>
                                  <a:lnTo>
                                    <a:pt x="95615" y="32501"/>
                                  </a:lnTo>
                                  <a:lnTo>
                                    <a:pt x="95615" y="4233"/>
                                  </a:lnTo>
                                  <a:lnTo>
                                    <a:pt x="87971" y="4233"/>
                                  </a:lnTo>
                                  <a:lnTo>
                                    <a:pt x="86961" y="39063"/>
                                  </a:lnTo>
                                  <a:close/>
                                  <a:moveTo>
                                    <a:pt x="64029" y="15843"/>
                                  </a:moveTo>
                                  <a:lnTo>
                                    <a:pt x="64029" y="12309"/>
                                  </a:lnTo>
                                  <a:lnTo>
                                    <a:pt x="56818" y="12309"/>
                                  </a:lnTo>
                                  <a:lnTo>
                                    <a:pt x="56818" y="39063"/>
                                  </a:lnTo>
                                  <a:lnTo>
                                    <a:pt x="64029" y="39063"/>
                                  </a:lnTo>
                                  <a:lnTo>
                                    <a:pt x="64029" y="26444"/>
                                  </a:lnTo>
                                  <a:cubicBezTo>
                                    <a:pt x="63899" y="24410"/>
                                    <a:pt x="64541" y="22398"/>
                                    <a:pt x="65832" y="20819"/>
                                  </a:cubicBezTo>
                                  <a:cubicBezTo>
                                    <a:pt x="67145" y="19564"/>
                                    <a:pt x="68926" y="18915"/>
                                    <a:pt x="70736" y="19016"/>
                                  </a:cubicBezTo>
                                  <a:lnTo>
                                    <a:pt x="72395" y="19016"/>
                                  </a:lnTo>
                                  <a:lnTo>
                                    <a:pt x="72395" y="11805"/>
                                  </a:lnTo>
                                  <a:cubicBezTo>
                                    <a:pt x="70642" y="11754"/>
                                    <a:pt x="68897" y="12071"/>
                                    <a:pt x="67274" y="12742"/>
                                  </a:cubicBezTo>
                                  <a:cubicBezTo>
                                    <a:pt x="65847" y="13377"/>
                                    <a:pt x="64621" y="14401"/>
                                    <a:pt x="63741" y="15699"/>
                                  </a:cubicBezTo>
                                  <a:moveTo>
                                    <a:pt x="39727" y="32934"/>
                                  </a:moveTo>
                                  <a:cubicBezTo>
                                    <a:pt x="37939" y="32991"/>
                                    <a:pt x="36222" y="32256"/>
                                    <a:pt x="35039" y="30915"/>
                                  </a:cubicBezTo>
                                  <a:cubicBezTo>
                                    <a:pt x="32645" y="27734"/>
                                    <a:pt x="32645" y="23350"/>
                                    <a:pt x="35039" y="20170"/>
                                  </a:cubicBezTo>
                                  <a:cubicBezTo>
                                    <a:pt x="36222" y="18828"/>
                                    <a:pt x="37939" y="18093"/>
                                    <a:pt x="39727" y="18151"/>
                                  </a:cubicBezTo>
                                  <a:cubicBezTo>
                                    <a:pt x="41494" y="18093"/>
                                    <a:pt x="43188" y="18836"/>
                                    <a:pt x="44342" y="20170"/>
                                  </a:cubicBezTo>
                                  <a:cubicBezTo>
                                    <a:pt x="46736" y="23350"/>
                                    <a:pt x="46736" y="27734"/>
                                    <a:pt x="44342" y="30915"/>
                                  </a:cubicBezTo>
                                  <a:cubicBezTo>
                                    <a:pt x="43188" y="32249"/>
                                    <a:pt x="41494" y="32991"/>
                                    <a:pt x="39727" y="32934"/>
                                  </a:cubicBezTo>
                                  <a:moveTo>
                                    <a:pt x="39727" y="39352"/>
                                  </a:moveTo>
                                  <a:cubicBezTo>
                                    <a:pt x="42244" y="39388"/>
                                    <a:pt x="44731" y="38768"/>
                                    <a:pt x="46938" y="37549"/>
                                  </a:cubicBezTo>
                                  <a:cubicBezTo>
                                    <a:pt x="49008" y="36417"/>
                                    <a:pt x="50710" y="34715"/>
                                    <a:pt x="51842" y="32645"/>
                                  </a:cubicBezTo>
                                  <a:cubicBezTo>
                                    <a:pt x="54316" y="28160"/>
                                    <a:pt x="54316" y="22708"/>
                                    <a:pt x="51842" y="18223"/>
                                  </a:cubicBezTo>
                                  <a:cubicBezTo>
                                    <a:pt x="50710" y="16153"/>
                                    <a:pt x="49008" y="14451"/>
                                    <a:pt x="46938" y="13319"/>
                                  </a:cubicBezTo>
                                  <a:cubicBezTo>
                                    <a:pt x="42424" y="10932"/>
                                    <a:pt x="37030" y="10932"/>
                                    <a:pt x="32516" y="13319"/>
                                  </a:cubicBezTo>
                                  <a:cubicBezTo>
                                    <a:pt x="30439" y="14465"/>
                                    <a:pt x="28722" y="16167"/>
                                    <a:pt x="27540" y="18223"/>
                                  </a:cubicBezTo>
                                  <a:cubicBezTo>
                                    <a:pt x="25153" y="22737"/>
                                    <a:pt x="25153" y="28131"/>
                                    <a:pt x="27540" y="32645"/>
                                  </a:cubicBezTo>
                                  <a:cubicBezTo>
                                    <a:pt x="28722" y="34701"/>
                                    <a:pt x="30439" y="36403"/>
                                    <a:pt x="32516" y="37549"/>
                                  </a:cubicBezTo>
                                  <a:cubicBezTo>
                                    <a:pt x="34722" y="38768"/>
                                    <a:pt x="37210" y="39388"/>
                                    <a:pt x="39727" y="39352"/>
                                  </a:cubicBezTo>
                                  <a:moveTo>
                                    <a:pt x="24222" y="10507"/>
                                  </a:moveTo>
                                  <a:lnTo>
                                    <a:pt x="24222" y="4016"/>
                                  </a:lnTo>
                                  <a:lnTo>
                                    <a:pt x="-513" y="4016"/>
                                  </a:lnTo>
                                  <a:lnTo>
                                    <a:pt x="-513" y="39063"/>
                                  </a:lnTo>
                                  <a:lnTo>
                                    <a:pt x="6699" y="39063"/>
                                  </a:lnTo>
                                  <a:lnTo>
                                    <a:pt x="6699" y="26083"/>
                                  </a:lnTo>
                                  <a:lnTo>
                                    <a:pt x="23501" y="26083"/>
                                  </a:lnTo>
                                  <a:lnTo>
                                    <a:pt x="23501" y="19665"/>
                                  </a:lnTo>
                                  <a:lnTo>
                                    <a:pt x="8286" y="19665"/>
                                  </a:lnTo>
                                  <a:lnTo>
                                    <a:pt x="8286" y="10218"/>
                                  </a:lnTo>
                                  <a:lnTo>
                                    <a:pt x="24222" y="10507"/>
                                  </a:lnTo>
                                  <a:close/>
                                </a:path>
                              </a:pathLst>
                            </a:custGeom>
                            <a:solidFill>
                              <a:srgbClr val="FFFFFF"/>
                            </a:solidFill>
                            <a:ln>
                              <a:noFill/>
                            </a:ln>
                            <a:extLst>
                              <a:ext uri="{91240B29-F687-4F45-9708-019B960494DF}">
                                <a14:hiddenLine xmlns:a14="http://schemas.microsoft.com/office/drawing/2010/main" w="7183">
                                  <a:solidFill>
                                    <a:srgbClr val="000000"/>
                                  </a:solidFill>
                                  <a:miter lim="800000"/>
                                  <a:headEnd/>
                                  <a:tailEnd/>
                                </a14:hiddenLine>
                              </a:ext>
                            </a:extLst>
                          </wps:spPr>
                          <wps:bodyPr rot="0" vert="horz" wrap="square" lIns="91440" tIns="45720" rIns="91440" bIns="45720" anchor="ctr" anchorCtr="0" upright="1">
                            <a:noAutofit/>
                          </wps:bodyPr>
                        </wps:wsp>
                        <wps:wsp>
                          <wps:cNvPr id="962" name="Freeform: Shape 448"/>
                          <wps:cNvSpPr>
                            <a:spLocks/>
                          </wps:cNvSpPr>
                          <wps:spPr bwMode="auto">
                            <a:xfrm>
                              <a:off x="6953" y="9441"/>
                              <a:ext cx="19217" cy="2621"/>
                            </a:xfrm>
                            <a:custGeom>
                              <a:avLst/>
                              <a:gdLst/>
                              <a:ahLst/>
                              <a:cxnLst/>
                              <a:rect l="0" t="0" r="r" b="b"/>
                              <a:pathLst>
                                <a:path w="342111" h="46659">
                                  <a:moveTo>
                                    <a:pt x="337051" y="36969"/>
                                  </a:moveTo>
                                  <a:cubicBezTo>
                                    <a:pt x="338284" y="37013"/>
                                    <a:pt x="339467" y="36508"/>
                                    <a:pt x="340296" y="35599"/>
                                  </a:cubicBezTo>
                                  <a:cubicBezTo>
                                    <a:pt x="341162" y="34661"/>
                                    <a:pt x="341630" y="33414"/>
                                    <a:pt x="341594" y="32138"/>
                                  </a:cubicBezTo>
                                  <a:cubicBezTo>
                                    <a:pt x="341652" y="30854"/>
                                    <a:pt x="341183" y="29606"/>
                                    <a:pt x="340296" y="28676"/>
                                  </a:cubicBezTo>
                                  <a:cubicBezTo>
                                    <a:pt x="338544" y="26881"/>
                                    <a:pt x="335666" y="26852"/>
                                    <a:pt x="333870" y="28611"/>
                                  </a:cubicBezTo>
                                  <a:cubicBezTo>
                                    <a:pt x="333849" y="28633"/>
                                    <a:pt x="333827" y="28655"/>
                                    <a:pt x="333806" y="28676"/>
                                  </a:cubicBezTo>
                                  <a:cubicBezTo>
                                    <a:pt x="332919" y="29606"/>
                                    <a:pt x="332450" y="30854"/>
                                    <a:pt x="332508" y="32138"/>
                                  </a:cubicBezTo>
                                  <a:cubicBezTo>
                                    <a:pt x="332472" y="33414"/>
                                    <a:pt x="332940" y="34661"/>
                                    <a:pt x="333806" y="35599"/>
                                  </a:cubicBezTo>
                                  <a:cubicBezTo>
                                    <a:pt x="334635" y="36508"/>
                                    <a:pt x="335818" y="37013"/>
                                    <a:pt x="337051" y="36969"/>
                                  </a:cubicBezTo>
                                  <a:moveTo>
                                    <a:pt x="324431" y="13388"/>
                                  </a:moveTo>
                                  <a:lnTo>
                                    <a:pt x="324431" y="9855"/>
                                  </a:lnTo>
                                  <a:lnTo>
                                    <a:pt x="317220" y="9855"/>
                                  </a:lnTo>
                                  <a:lnTo>
                                    <a:pt x="317220" y="36609"/>
                                  </a:lnTo>
                                  <a:lnTo>
                                    <a:pt x="324431" y="36609"/>
                                  </a:lnTo>
                                  <a:lnTo>
                                    <a:pt x="324431" y="23917"/>
                                  </a:lnTo>
                                  <a:cubicBezTo>
                                    <a:pt x="324265" y="21897"/>
                                    <a:pt x="324914" y="19900"/>
                                    <a:pt x="326234" y="18364"/>
                                  </a:cubicBezTo>
                                  <a:cubicBezTo>
                                    <a:pt x="327532" y="17073"/>
                                    <a:pt x="329313" y="16395"/>
                                    <a:pt x="331138" y="16489"/>
                                  </a:cubicBezTo>
                                  <a:lnTo>
                                    <a:pt x="332796" y="16489"/>
                                  </a:lnTo>
                                  <a:lnTo>
                                    <a:pt x="332796" y="9278"/>
                                  </a:lnTo>
                                  <a:cubicBezTo>
                                    <a:pt x="331036" y="9249"/>
                                    <a:pt x="329291" y="9595"/>
                                    <a:pt x="327676" y="10287"/>
                                  </a:cubicBezTo>
                                  <a:cubicBezTo>
                                    <a:pt x="326234" y="10900"/>
                                    <a:pt x="325001" y="11931"/>
                                    <a:pt x="324142" y="13244"/>
                                  </a:cubicBezTo>
                                  <a:moveTo>
                                    <a:pt x="300922" y="15119"/>
                                  </a:moveTo>
                                  <a:cubicBezTo>
                                    <a:pt x="302444" y="15119"/>
                                    <a:pt x="303908" y="15689"/>
                                    <a:pt x="305033" y="16705"/>
                                  </a:cubicBezTo>
                                  <a:cubicBezTo>
                                    <a:pt x="306172" y="17765"/>
                                    <a:pt x="306893" y="19200"/>
                                    <a:pt x="307051" y="20744"/>
                                  </a:cubicBezTo>
                                  <a:lnTo>
                                    <a:pt x="294648" y="20744"/>
                                  </a:lnTo>
                                  <a:cubicBezTo>
                                    <a:pt x="294828" y="19164"/>
                                    <a:pt x="295571" y="17708"/>
                                    <a:pt x="296739" y="16633"/>
                                  </a:cubicBezTo>
                                  <a:cubicBezTo>
                                    <a:pt x="297886" y="15609"/>
                                    <a:pt x="299386" y="15068"/>
                                    <a:pt x="300922" y="15119"/>
                                  </a:cubicBezTo>
                                  <a:moveTo>
                                    <a:pt x="313975" y="23195"/>
                                  </a:moveTo>
                                  <a:cubicBezTo>
                                    <a:pt x="314011" y="20686"/>
                                    <a:pt x="313412" y="18205"/>
                                    <a:pt x="312244" y="15984"/>
                                  </a:cubicBezTo>
                                  <a:cubicBezTo>
                                    <a:pt x="311169" y="13965"/>
                                    <a:pt x="309547" y="12285"/>
                                    <a:pt x="307556" y="11153"/>
                                  </a:cubicBezTo>
                                  <a:cubicBezTo>
                                    <a:pt x="305515" y="9992"/>
                                    <a:pt x="303201" y="9393"/>
                                    <a:pt x="300850" y="9422"/>
                                  </a:cubicBezTo>
                                  <a:cubicBezTo>
                                    <a:pt x="298319" y="9306"/>
                                    <a:pt x="295816" y="9934"/>
                                    <a:pt x="293638" y="11225"/>
                                  </a:cubicBezTo>
                                  <a:cubicBezTo>
                                    <a:pt x="291605" y="12378"/>
                                    <a:pt x="289932" y="14080"/>
                                    <a:pt x="288807" y="16128"/>
                                  </a:cubicBezTo>
                                  <a:cubicBezTo>
                                    <a:pt x="286420" y="20643"/>
                                    <a:pt x="286420" y="26037"/>
                                    <a:pt x="288807" y="30551"/>
                                  </a:cubicBezTo>
                                  <a:cubicBezTo>
                                    <a:pt x="290026" y="32628"/>
                                    <a:pt x="291800" y="34330"/>
                                    <a:pt x="293927" y="35455"/>
                                  </a:cubicBezTo>
                                  <a:cubicBezTo>
                                    <a:pt x="296162" y="36594"/>
                                    <a:pt x="298629" y="37186"/>
                                    <a:pt x="301138" y="37186"/>
                                  </a:cubicBezTo>
                                  <a:cubicBezTo>
                                    <a:pt x="305083" y="37438"/>
                                    <a:pt x="308927" y="35837"/>
                                    <a:pt x="311522" y="32859"/>
                                  </a:cubicBezTo>
                                  <a:lnTo>
                                    <a:pt x="307629" y="28388"/>
                                  </a:lnTo>
                                  <a:cubicBezTo>
                                    <a:pt x="306842" y="29231"/>
                                    <a:pt x="305883" y="29895"/>
                                    <a:pt x="304816" y="30335"/>
                                  </a:cubicBezTo>
                                  <a:cubicBezTo>
                                    <a:pt x="303720" y="30782"/>
                                    <a:pt x="302537" y="31005"/>
                                    <a:pt x="301355" y="30984"/>
                                  </a:cubicBezTo>
                                  <a:cubicBezTo>
                                    <a:pt x="299631" y="31034"/>
                                    <a:pt x="297937" y="30529"/>
                                    <a:pt x="296523" y="29541"/>
                                  </a:cubicBezTo>
                                  <a:cubicBezTo>
                                    <a:pt x="295254" y="28568"/>
                                    <a:pt x="294403" y="27155"/>
                                    <a:pt x="294143" y="25575"/>
                                  </a:cubicBezTo>
                                  <a:lnTo>
                                    <a:pt x="313181" y="25575"/>
                                  </a:lnTo>
                                  <a:cubicBezTo>
                                    <a:pt x="313181" y="24349"/>
                                    <a:pt x="313181" y="23628"/>
                                    <a:pt x="313181" y="23556"/>
                                  </a:cubicBezTo>
                                  <a:moveTo>
                                    <a:pt x="284336" y="30046"/>
                                  </a:moveTo>
                                  <a:cubicBezTo>
                                    <a:pt x="283499" y="30717"/>
                                    <a:pt x="282453" y="31070"/>
                                    <a:pt x="281379" y="31056"/>
                                  </a:cubicBezTo>
                                  <a:cubicBezTo>
                                    <a:pt x="280514" y="31078"/>
                                    <a:pt x="279677" y="30739"/>
                                    <a:pt x="279071" y="30119"/>
                                  </a:cubicBezTo>
                                  <a:cubicBezTo>
                                    <a:pt x="278523" y="29369"/>
                                    <a:pt x="278242" y="28453"/>
                                    <a:pt x="278278" y="27522"/>
                                  </a:cubicBezTo>
                                  <a:lnTo>
                                    <a:pt x="278278" y="16633"/>
                                  </a:lnTo>
                                  <a:lnTo>
                                    <a:pt x="284552" y="16633"/>
                                  </a:lnTo>
                                  <a:lnTo>
                                    <a:pt x="284552" y="10648"/>
                                  </a:lnTo>
                                  <a:lnTo>
                                    <a:pt x="278278" y="10648"/>
                                  </a:lnTo>
                                  <a:lnTo>
                                    <a:pt x="278278" y="4158"/>
                                  </a:lnTo>
                                  <a:lnTo>
                                    <a:pt x="271067" y="4158"/>
                                  </a:lnTo>
                                  <a:lnTo>
                                    <a:pt x="271067" y="10648"/>
                                  </a:lnTo>
                                  <a:lnTo>
                                    <a:pt x="267173" y="10648"/>
                                  </a:lnTo>
                                  <a:lnTo>
                                    <a:pt x="267173" y="16633"/>
                                  </a:lnTo>
                                  <a:lnTo>
                                    <a:pt x="271067" y="16633"/>
                                  </a:lnTo>
                                  <a:lnTo>
                                    <a:pt x="271067" y="27594"/>
                                  </a:lnTo>
                                  <a:cubicBezTo>
                                    <a:pt x="270836" y="30234"/>
                                    <a:pt x="271723" y="32852"/>
                                    <a:pt x="273519" y="34806"/>
                                  </a:cubicBezTo>
                                  <a:cubicBezTo>
                                    <a:pt x="275444" y="36638"/>
                                    <a:pt x="278084" y="37539"/>
                                    <a:pt x="280730" y="37258"/>
                                  </a:cubicBezTo>
                                  <a:cubicBezTo>
                                    <a:pt x="281848" y="37258"/>
                                    <a:pt x="282966" y="37114"/>
                                    <a:pt x="284047" y="36825"/>
                                  </a:cubicBezTo>
                                  <a:cubicBezTo>
                                    <a:pt x="284985" y="36594"/>
                                    <a:pt x="285872" y="36176"/>
                                    <a:pt x="286643" y="35599"/>
                                  </a:cubicBezTo>
                                  <a:lnTo>
                                    <a:pt x="284336" y="30046"/>
                                  </a:lnTo>
                                  <a:close/>
                                  <a:moveTo>
                                    <a:pt x="251741" y="31993"/>
                                  </a:moveTo>
                                  <a:cubicBezTo>
                                    <a:pt x="250659" y="32058"/>
                                    <a:pt x="249591" y="31755"/>
                                    <a:pt x="248712" y="31128"/>
                                  </a:cubicBezTo>
                                  <a:cubicBezTo>
                                    <a:pt x="247990" y="30551"/>
                                    <a:pt x="247587" y="29671"/>
                                    <a:pt x="247630" y="28748"/>
                                  </a:cubicBezTo>
                                  <a:cubicBezTo>
                                    <a:pt x="247630" y="26657"/>
                                    <a:pt x="249072" y="25575"/>
                                    <a:pt x="252101" y="25575"/>
                                  </a:cubicBezTo>
                                  <a:lnTo>
                                    <a:pt x="257077" y="25575"/>
                                  </a:lnTo>
                                  <a:lnTo>
                                    <a:pt x="257077" y="28316"/>
                                  </a:lnTo>
                                  <a:cubicBezTo>
                                    <a:pt x="256752" y="29440"/>
                                    <a:pt x="256039" y="30414"/>
                                    <a:pt x="255058" y="31056"/>
                                  </a:cubicBezTo>
                                  <a:cubicBezTo>
                                    <a:pt x="254055" y="31662"/>
                                    <a:pt x="252909" y="31979"/>
                                    <a:pt x="251741" y="31993"/>
                                  </a:cubicBezTo>
                                  <a:moveTo>
                                    <a:pt x="252245" y="9638"/>
                                  </a:moveTo>
                                  <a:cubicBezTo>
                                    <a:pt x="250240" y="9638"/>
                                    <a:pt x="248250" y="9927"/>
                                    <a:pt x="246332" y="10504"/>
                                  </a:cubicBezTo>
                                  <a:cubicBezTo>
                                    <a:pt x="244572" y="11016"/>
                                    <a:pt x="242921" y="11823"/>
                                    <a:pt x="241428" y="12883"/>
                                  </a:cubicBezTo>
                                  <a:lnTo>
                                    <a:pt x="244024" y="18292"/>
                                  </a:lnTo>
                                  <a:cubicBezTo>
                                    <a:pt x="245019" y="17506"/>
                                    <a:pt x="246144" y="16900"/>
                                    <a:pt x="247342" y="16489"/>
                                  </a:cubicBezTo>
                                  <a:cubicBezTo>
                                    <a:pt x="248618" y="16056"/>
                                    <a:pt x="249959" y="15840"/>
                                    <a:pt x="251308" y="15840"/>
                                  </a:cubicBezTo>
                                  <a:cubicBezTo>
                                    <a:pt x="252873" y="15703"/>
                                    <a:pt x="254430" y="16193"/>
                                    <a:pt x="255634" y="17210"/>
                                  </a:cubicBezTo>
                                  <a:cubicBezTo>
                                    <a:pt x="256680" y="18227"/>
                                    <a:pt x="257207" y="19655"/>
                                    <a:pt x="257077" y="21104"/>
                                  </a:cubicBezTo>
                                  <a:lnTo>
                                    <a:pt x="251308" y="21104"/>
                                  </a:lnTo>
                                  <a:cubicBezTo>
                                    <a:pt x="248438" y="20888"/>
                                    <a:pt x="245575" y="21623"/>
                                    <a:pt x="243159" y="23195"/>
                                  </a:cubicBezTo>
                                  <a:cubicBezTo>
                                    <a:pt x="241385" y="24631"/>
                                    <a:pt x="240390" y="26823"/>
                                    <a:pt x="240491" y="29109"/>
                                  </a:cubicBezTo>
                                  <a:cubicBezTo>
                                    <a:pt x="240462" y="30587"/>
                                    <a:pt x="240866" y="32037"/>
                                    <a:pt x="241644" y="33292"/>
                                  </a:cubicBezTo>
                                  <a:cubicBezTo>
                                    <a:pt x="242402" y="34561"/>
                                    <a:pt x="243534" y="35570"/>
                                    <a:pt x="244890" y="36176"/>
                                  </a:cubicBezTo>
                                  <a:cubicBezTo>
                                    <a:pt x="246454" y="36868"/>
                                    <a:pt x="248156" y="37214"/>
                                    <a:pt x="249865" y="37186"/>
                                  </a:cubicBezTo>
                                  <a:cubicBezTo>
                                    <a:pt x="252945" y="37539"/>
                                    <a:pt x="255952" y="36075"/>
                                    <a:pt x="257582" y="33436"/>
                                  </a:cubicBezTo>
                                  <a:lnTo>
                                    <a:pt x="257582" y="36825"/>
                                  </a:lnTo>
                                  <a:lnTo>
                                    <a:pt x="264360" y="36825"/>
                                  </a:lnTo>
                                  <a:lnTo>
                                    <a:pt x="264360" y="21537"/>
                                  </a:lnTo>
                                  <a:cubicBezTo>
                                    <a:pt x="264620" y="18256"/>
                                    <a:pt x="263495" y="15011"/>
                                    <a:pt x="261260" y="12595"/>
                                  </a:cubicBezTo>
                                  <a:cubicBezTo>
                                    <a:pt x="258743" y="10496"/>
                                    <a:pt x="255519" y="9436"/>
                                    <a:pt x="252245" y="9638"/>
                                  </a:cubicBezTo>
                                  <a:moveTo>
                                    <a:pt x="234577" y="1994"/>
                                  </a:moveTo>
                                  <a:lnTo>
                                    <a:pt x="227366" y="26657"/>
                                  </a:lnTo>
                                  <a:lnTo>
                                    <a:pt x="220155" y="1994"/>
                                  </a:lnTo>
                                  <a:lnTo>
                                    <a:pt x="212943" y="1994"/>
                                  </a:lnTo>
                                  <a:lnTo>
                                    <a:pt x="205227" y="26441"/>
                                  </a:lnTo>
                                  <a:lnTo>
                                    <a:pt x="198016" y="1994"/>
                                  </a:lnTo>
                                  <a:lnTo>
                                    <a:pt x="190156" y="1994"/>
                                  </a:lnTo>
                                  <a:lnTo>
                                    <a:pt x="200901" y="36825"/>
                                  </a:lnTo>
                                  <a:lnTo>
                                    <a:pt x="208977" y="36825"/>
                                  </a:lnTo>
                                  <a:lnTo>
                                    <a:pt x="216189" y="13244"/>
                                  </a:lnTo>
                                  <a:lnTo>
                                    <a:pt x="223400" y="36825"/>
                                  </a:lnTo>
                                  <a:lnTo>
                                    <a:pt x="231549" y="36825"/>
                                  </a:lnTo>
                                  <a:lnTo>
                                    <a:pt x="242294" y="1994"/>
                                  </a:lnTo>
                                  <a:lnTo>
                                    <a:pt x="234577" y="1994"/>
                                  </a:lnTo>
                                  <a:close/>
                                  <a:moveTo>
                                    <a:pt x="173497" y="10071"/>
                                  </a:moveTo>
                                  <a:lnTo>
                                    <a:pt x="166286" y="28171"/>
                                  </a:lnTo>
                                  <a:lnTo>
                                    <a:pt x="159075" y="10071"/>
                                  </a:lnTo>
                                  <a:lnTo>
                                    <a:pt x="151863" y="10071"/>
                                  </a:lnTo>
                                  <a:lnTo>
                                    <a:pt x="162752" y="36969"/>
                                  </a:lnTo>
                                  <a:cubicBezTo>
                                    <a:pt x="162385" y="37936"/>
                                    <a:pt x="161793" y="38801"/>
                                    <a:pt x="161022" y="39493"/>
                                  </a:cubicBezTo>
                                  <a:cubicBezTo>
                                    <a:pt x="160351" y="40034"/>
                                    <a:pt x="159507" y="40315"/>
                                    <a:pt x="158642" y="40287"/>
                                  </a:cubicBezTo>
                                  <a:cubicBezTo>
                                    <a:pt x="157878" y="40279"/>
                                    <a:pt x="157120" y="40128"/>
                                    <a:pt x="156406" y="39854"/>
                                  </a:cubicBezTo>
                                  <a:cubicBezTo>
                                    <a:pt x="155692" y="39551"/>
                                    <a:pt x="155036" y="39140"/>
                                    <a:pt x="154459" y="38628"/>
                                  </a:cubicBezTo>
                                  <a:lnTo>
                                    <a:pt x="151791" y="44109"/>
                                  </a:lnTo>
                                  <a:cubicBezTo>
                                    <a:pt x="152707" y="44931"/>
                                    <a:pt x="153789" y="45543"/>
                                    <a:pt x="154964" y="45911"/>
                                  </a:cubicBezTo>
                                  <a:cubicBezTo>
                                    <a:pt x="156219" y="46337"/>
                                    <a:pt x="157531" y="46553"/>
                                    <a:pt x="158858" y="46560"/>
                                  </a:cubicBezTo>
                                  <a:cubicBezTo>
                                    <a:pt x="161051" y="46604"/>
                                    <a:pt x="163199" y="45947"/>
                                    <a:pt x="164988" y="44685"/>
                                  </a:cubicBezTo>
                                  <a:cubicBezTo>
                                    <a:pt x="167000" y="42947"/>
                                    <a:pt x="168478" y="40669"/>
                                    <a:pt x="169243" y="38123"/>
                                  </a:cubicBezTo>
                                  <a:lnTo>
                                    <a:pt x="180637" y="9782"/>
                                  </a:lnTo>
                                  <a:lnTo>
                                    <a:pt x="173497" y="10071"/>
                                  </a:lnTo>
                                  <a:close/>
                                  <a:moveTo>
                                    <a:pt x="140181" y="9638"/>
                                  </a:moveTo>
                                  <a:cubicBezTo>
                                    <a:pt x="138645" y="9616"/>
                                    <a:pt x="137123" y="9912"/>
                                    <a:pt x="135710" y="10504"/>
                                  </a:cubicBezTo>
                                  <a:cubicBezTo>
                                    <a:pt x="134368" y="10987"/>
                                    <a:pt x="133157" y="11780"/>
                                    <a:pt x="132176" y="12811"/>
                                  </a:cubicBezTo>
                                  <a:lnTo>
                                    <a:pt x="132176" y="-97"/>
                                  </a:lnTo>
                                  <a:lnTo>
                                    <a:pt x="124965" y="-97"/>
                                  </a:lnTo>
                                  <a:lnTo>
                                    <a:pt x="124965" y="36825"/>
                                  </a:lnTo>
                                  <a:lnTo>
                                    <a:pt x="132176" y="36825"/>
                                  </a:lnTo>
                                  <a:lnTo>
                                    <a:pt x="132176" y="23556"/>
                                  </a:lnTo>
                                  <a:cubicBezTo>
                                    <a:pt x="132010" y="21609"/>
                                    <a:pt x="132602" y="19669"/>
                                    <a:pt x="133835" y="18148"/>
                                  </a:cubicBezTo>
                                  <a:cubicBezTo>
                                    <a:pt x="134974" y="16943"/>
                                    <a:pt x="136575" y="16287"/>
                                    <a:pt x="138234" y="16345"/>
                                  </a:cubicBezTo>
                                  <a:cubicBezTo>
                                    <a:pt x="139662" y="16251"/>
                                    <a:pt x="141053" y="16842"/>
                                    <a:pt x="141983" y="17931"/>
                                  </a:cubicBezTo>
                                  <a:cubicBezTo>
                                    <a:pt x="142965" y="19316"/>
                                    <a:pt x="143419" y="21003"/>
                                    <a:pt x="143282" y="22691"/>
                                  </a:cubicBezTo>
                                  <a:lnTo>
                                    <a:pt x="143282" y="37114"/>
                                  </a:lnTo>
                                  <a:lnTo>
                                    <a:pt x="150493" y="37114"/>
                                  </a:lnTo>
                                  <a:lnTo>
                                    <a:pt x="150493" y="21753"/>
                                  </a:lnTo>
                                  <a:cubicBezTo>
                                    <a:pt x="150738" y="18566"/>
                                    <a:pt x="149729" y="15407"/>
                                    <a:pt x="147681" y="12955"/>
                                  </a:cubicBezTo>
                                  <a:cubicBezTo>
                                    <a:pt x="145697" y="10922"/>
                                    <a:pt x="142950" y="9819"/>
                                    <a:pt x="140109" y="9927"/>
                                  </a:cubicBezTo>
                                  <a:moveTo>
                                    <a:pt x="119412" y="30335"/>
                                  </a:moveTo>
                                  <a:cubicBezTo>
                                    <a:pt x="118576" y="31005"/>
                                    <a:pt x="117530" y="31359"/>
                                    <a:pt x="116455" y="31344"/>
                                  </a:cubicBezTo>
                                  <a:cubicBezTo>
                                    <a:pt x="115590" y="31366"/>
                                    <a:pt x="114753" y="31027"/>
                                    <a:pt x="114148" y="30407"/>
                                  </a:cubicBezTo>
                                  <a:cubicBezTo>
                                    <a:pt x="113600" y="29657"/>
                                    <a:pt x="113318" y="28741"/>
                                    <a:pt x="113355" y="27811"/>
                                  </a:cubicBezTo>
                                  <a:lnTo>
                                    <a:pt x="113355" y="16922"/>
                                  </a:lnTo>
                                  <a:lnTo>
                                    <a:pt x="119628" y="16922"/>
                                  </a:lnTo>
                                  <a:lnTo>
                                    <a:pt x="119628" y="10936"/>
                                  </a:lnTo>
                                  <a:lnTo>
                                    <a:pt x="113355" y="10936"/>
                                  </a:lnTo>
                                  <a:lnTo>
                                    <a:pt x="113355" y="4446"/>
                                  </a:lnTo>
                                  <a:lnTo>
                                    <a:pt x="106143" y="4446"/>
                                  </a:lnTo>
                                  <a:lnTo>
                                    <a:pt x="106143" y="10936"/>
                                  </a:lnTo>
                                  <a:lnTo>
                                    <a:pt x="102249" y="10936"/>
                                  </a:lnTo>
                                  <a:lnTo>
                                    <a:pt x="102249" y="16922"/>
                                  </a:lnTo>
                                  <a:lnTo>
                                    <a:pt x="106143" y="16922"/>
                                  </a:lnTo>
                                  <a:lnTo>
                                    <a:pt x="106143" y="27883"/>
                                  </a:lnTo>
                                  <a:cubicBezTo>
                                    <a:pt x="105913" y="30522"/>
                                    <a:pt x="106799" y="33140"/>
                                    <a:pt x="108595" y="35094"/>
                                  </a:cubicBezTo>
                                  <a:cubicBezTo>
                                    <a:pt x="110520" y="36926"/>
                                    <a:pt x="113160" y="37827"/>
                                    <a:pt x="115807" y="37546"/>
                                  </a:cubicBezTo>
                                  <a:cubicBezTo>
                                    <a:pt x="116924" y="37546"/>
                                    <a:pt x="118042" y="37402"/>
                                    <a:pt x="119124" y="37114"/>
                                  </a:cubicBezTo>
                                  <a:cubicBezTo>
                                    <a:pt x="120061" y="36883"/>
                                    <a:pt x="120948" y="36464"/>
                                    <a:pt x="121720" y="35888"/>
                                  </a:cubicBezTo>
                                  <a:lnTo>
                                    <a:pt x="119412" y="30335"/>
                                  </a:lnTo>
                                  <a:close/>
                                  <a:moveTo>
                                    <a:pt x="91288" y="37114"/>
                                  </a:moveTo>
                                  <a:lnTo>
                                    <a:pt x="98499" y="37114"/>
                                  </a:lnTo>
                                  <a:lnTo>
                                    <a:pt x="98499" y="191"/>
                                  </a:lnTo>
                                  <a:lnTo>
                                    <a:pt x="91288" y="191"/>
                                  </a:lnTo>
                                  <a:lnTo>
                                    <a:pt x="91288" y="37114"/>
                                  </a:lnTo>
                                  <a:close/>
                                  <a:moveTo>
                                    <a:pt x="72827" y="32282"/>
                                  </a:moveTo>
                                  <a:cubicBezTo>
                                    <a:pt x="71745" y="32347"/>
                                    <a:pt x="70678" y="32044"/>
                                    <a:pt x="69798" y="31417"/>
                                  </a:cubicBezTo>
                                  <a:cubicBezTo>
                                    <a:pt x="69077" y="30839"/>
                                    <a:pt x="68673" y="29960"/>
                                    <a:pt x="68716" y="29037"/>
                                  </a:cubicBezTo>
                                  <a:cubicBezTo>
                                    <a:pt x="68716" y="26945"/>
                                    <a:pt x="70159" y="25864"/>
                                    <a:pt x="73187" y="25864"/>
                                  </a:cubicBezTo>
                                  <a:lnTo>
                                    <a:pt x="78163" y="25864"/>
                                  </a:lnTo>
                                  <a:lnTo>
                                    <a:pt x="78163" y="28604"/>
                                  </a:lnTo>
                                  <a:cubicBezTo>
                                    <a:pt x="77839" y="29729"/>
                                    <a:pt x="77125" y="30703"/>
                                    <a:pt x="76144" y="31344"/>
                                  </a:cubicBezTo>
                                  <a:cubicBezTo>
                                    <a:pt x="75142" y="31950"/>
                                    <a:pt x="73995" y="32268"/>
                                    <a:pt x="72827" y="32282"/>
                                  </a:cubicBezTo>
                                  <a:moveTo>
                                    <a:pt x="73332" y="9927"/>
                                  </a:moveTo>
                                  <a:cubicBezTo>
                                    <a:pt x="71327" y="9927"/>
                                    <a:pt x="69336" y="10215"/>
                                    <a:pt x="67418" y="10792"/>
                                  </a:cubicBezTo>
                                  <a:cubicBezTo>
                                    <a:pt x="65659" y="11304"/>
                                    <a:pt x="64007" y="12112"/>
                                    <a:pt x="62515" y="13172"/>
                                  </a:cubicBezTo>
                                  <a:lnTo>
                                    <a:pt x="65111" y="18580"/>
                                  </a:lnTo>
                                  <a:cubicBezTo>
                                    <a:pt x="66106" y="17794"/>
                                    <a:pt x="67231" y="17189"/>
                                    <a:pt x="68428" y="16777"/>
                                  </a:cubicBezTo>
                                  <a:cubicBezTo>
                                    <a:pt x="69704" y="16345"/>
                                    <a:pt x="71046" y="16128"/>
                                    <a:pt x="72394" y="16128"/>
                                  </a:cubicBezTo>
                                  <a:cubicBezTo>
                                    <a:pt x="73959" y="15991"/>
                                    <a:pt x="75517" y="16482"/>
                                    <a:pt x="76721" y="17499"/>
                                  </a:cubicBezTo>
                                  <a:cubicBezTo>
                                    <a:pt x="77767" y="18515"/>
                                    <a:pt x="78293" y="19943"/>
                                    <a:pt x="78163" y="21393"/>
                                  </a:cubicBezTo>
                                  <a:lnTo>
                                    <a:pt x="72394" y="21393"/>
                                  </a:lnTo>
                                  <a:cubicBezTo>
                                    <a:pt x="69524" y="21176"/>
                                    <a:pt x="66661" y="21912"/>
                                    <a:pt x="64245" y="23484"/>
                                  </a:cubicBezTo>
                                  <a:cubicBezTo>
                                    <a:pt x="62471" y="24919"/>
                                    <a:pt x="61476" y="27111"/>
                                    <a:pt x="61577" y="29397"/>
                                  </a:cubicBezTo>
                                  <a:cubicBezTo>
                                    <a:pt x="61548" y="30876"/>
                                    <a:pt x="61952" y="32325"/>
                                    <a:pt x="62731" y="33580"/>
                                  </a:cubicBezTo>
                                  <a:cubicBezTo>
                                    <a:pt x="63488" y="34849"/>
                                    <a:pt x="64620" y="35859"/>
                                    <a:pt x="65976" y="36464"/>
                                  </a:cubicBezTo>
                                  <a:cubicBezTo>
                                    <a:pt x="67541" y="37157"/>
                                    <a:pt x="69243" y="37503"/>
                                    <a:pt x="70952" y="37474"/>
                                  </a:cubicBezTo>
                                  <a:cubicBezTo>
                                    <a:pt x="74031" y="37827"/>
                                    <a:pt x="77038" y="36364"/>
                                    <a:pt x="78668" y="33724"/>
                                  </a:cubicBezTo>
                                  <a:lnTo>
                                    <a:pt x="78668" y="37114"/>
                                  </a:lnTo>
                                  <a:lnTo>
                                    <a:pt x="85447" y="37114"/>
                                  </a:lnTo>
                                  <a:lnTo>
                                    <a:pt x="85447" y="21825"/>
                                  </a:lnTo>
                                  <a:cubicBezTo>
                                    <a:pt x="85706" y="18544"/>
                                    <a:pt x="84581" y="15299"/>
                                    <a:pt x="82346" y="12883"/>
                                  </a:cubicBezTo>
                                  <a:cubicBezTo>
                                    <a:pt x="79836" y="10770"/>
                                    <a:pt x="76605" y="9710"/>
                                    <a:pt x="73332" y="9927"/>
                                  </a:cubicBezTo>
                                  <a:moveTo>
                                    <a:pt x="46073" y="15768"/>
                                  </a:moveTo>
                                  <a:cubicBezTo>
                                    <a:pt x="47594" y="15768"/>
                                    <a:pt x="49058" y="16338"/>
                                    <a:pt x="50183" y="17354"/>
                                  </a:cubicBezTo>
                                  <a:cubicBezTo>
                                    <a:pt x="51344" y="18407"/>
                                    <a:pt x="52087" y="19835"/>
                                    <a:pt x="52274" y="21393"/>
                                  </a:cubicBezTo>
                                  <a:lnTo>
                                    <a:pt x="39871" y="21393"/>
                                  </a:lnTo>
                                  <a:cubicBezTo>
                                    <a:pt x="40029" y="19828"/>
                                    <a:pt x="40743" y="18364"/>
                                    <a:pt x="41890" y="17282"/>
                                  </a:cubicBezTo>
                                  <a:cubicBezTo>
                                    <a:pt x="43044" y="16265"/>
                                    <a:pt x="44536" y="15725"/>
                                    <a:pt x="46073" y="15768"/>
                                  </a:cubicBezTo>
                                  <a:moveTo>
                                    <a:pt x="59125" y="23844"/>
                                  </a:moveTo>
                                  <a:cubicBezTo>
                                    <a:pt x="59161" y="21335"/>
                                    <a:pt x="58563" y="18854"/>
                                    <a:pt x="57394" y="16633"/>
                                  </a:cubicBezTo>
                                  <a:cubicBezTo>
                                    <a:pt x="56342" y="14600"/>
                                    <a:pt x="54712" y="12919"/>
                                    <a:pt x="52707" y="11802"/>
                                  </a:cubicBezTo>
                                  <a:cubicBezTo>
                                    <a:pt x="48496" y="9451"/>
                                    <a:pt x="43361" y="9451"/>
                                    <a:pt x="39150" y="11802"/>
                                  </a:cubicBezTo>
                                  <a:cubicBezTo>
                                    <a:pt x="37130" y="12977"/>
                                    <a:pt x="35465" y="14672"/>
                                    <a:pt x="34318" y="16705"/>
                                  </a:cubicBezTo>
                                  <a:cubicBezTo>
                                    <a:pt x="33121" y="18919"/>
                                    <a:pt x="32523" y="21400"/>
                                    <a:pt x="32587" y="23917"/>
                                  </a:cubicBezTo>
                                  <a:cubicBezTo>
                                    <a:pt x="32523" y="26441"/>
                                    <a:pt x="33143" y="28936"/>
                                    <a:pt x="34390" y="31128"/>
                                  </a:cubicBezTo>
                                  <a:cubicBezTo>
                                    <a:pt x="35580" y="33205"/>
                                    <a:pt x="37325" y="34907"/>
                                    <a:pt x="39438" y="36032"/>
                                  </a:cubicBezTo>
                                  <a:cubicBezTo>
                                    <a:pt x="41674" y="37171"/>
                                    <a:pt x="44140" y="37763"/>
                                    <a:pt x="46650" y="37763"/>
                                  </a:cubicBezTo>
                                  <a:cubicBezTo>
                                    <a:pt x="50594" y="38015"/>
                                    <a:pt x="54438" y="36414"/>
                                    <a:pt x="57034" y="33436"/>
                                  </a:cubicBezTo>
                                  <a:lnTo>
                                    <a:pt x="53140" y="28965"/>
                                  </a:lnTo>
                                  <a:cubicBezTo>
                                    <a:pt x="52354" y="29808"/>
                                    <a:pt x="51395" y="30472"/>
                                    <a:pt x="50327" y="30912"/>
                                  </a:cubicBezTo>
                                  <a:cubicBezTo>
                                    <a:pt x="49231" y="31359"/>
                                    <a:pt x="48048" y="31582"/>
                                    <a:pt x="46866" y="31561"/>
                                  </a:cubicBezTo>
                                  <a:cubicBezTo>
                                    <a:pt x="45164" y="31626"/>
                                    <a:pt x="43491" y="31114"/>
                                    <a:pt x="42106" y="30119"/>
                                  </a:cubicBezTo>
                                  <a:cubicBezTo>
                                    <a:pt x="40815" y="29152"/>
                                    <a:pt x="39936" y="27739"/>
                                    <a:pt x="39654" y="26152"/>
                                  </a:cubicBezTo>
                                  <a:lnTo>
                                    <a:pt x="58692" y="26152"/>
                                  </a:lnTo>
                                  <a:cubicBezTo>
                                    <a:pt x="58692" y="24926"/>
                                    <a:pt x="58692" y="24205"/>
                                    <a:pt x="58692" y="24133"/>
                                  </a:cubicBezTo>
                                  <a:moveTo>
                                    <a:pt x="21626" y="2499"/>
                                  </a:moveTo>
                                  <a:lnTo>
                                    <a:pt x="21626" y="16200"/>
                                  </a:lnTo>
                                  <a:lnTo>
                                    <a:pt x="6699" y="16200"/>
                                  </a:lnTo>
                                  <a:lnTo>
                                    <a:pt x="6699" y="2499"/>
                                  </a:lnTo>
                                  <a:lnTo>
                                    <a:pt x="-513" y="2499"/>
                                  </a:lnTo>
                                  <a:lnTo>
                                    <a:pt x="-513" y="37330"/>
                                  </a:lnTo>
                                  <a:lnTo>
                                    <a:pt x="6699" y="37330"/>
                                  </a:lnTo>
                                  <a:lnTo>
                                    <a:pt x="6699" y="22907"/>
                                  </a:lnTo>
                                  <a:lnTo>
                                    <a:pt x="21626" y="22907"/>
                                  </a:lnTo>
                                  <a:lnTo>
                                    <a:pt x="21626" y="37330"/>
                                  </a:lnTo>
                                  <a:lnTo>
                                    <a:pt x="28837" y="37330"/>
                                  </a:lnTo>
                                  <a:lnTo>
                                    <a:pt x="28837" y="2499"/>
                                  </a:lnTo>
                                  <a:lnTo>
                                    <a:pt x="21626" y="2499"/>
                                  </a:lnTo>
                                  <a:close/>
                                </a:path>
                              </a:pathLst>
                            </a:custGeom>
                            <a:solidFill>
                              <a:srgbClr val="FFFFFF"/>
                            </a:solidFill>
                            <a:ln>
                              <a:noFill/>
                            </a:ln>
                            <a:extLst>
                              <a:ext uri="{91240B29-F687-4F45-9708-019B960494DF}">
                                <a14:hiddenLine xmlns:a14="http://schemas.microsoft.com/office/drawing/2010/main" w="7183">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71043055" id="Group 27" o:spid="_x0000_s1073" style="position:absolute;margin-left:-2.1pt;margin-top:-1.4pt;width:596.65pt;height:845.85pt;z-index:-251658225;mso-position-horizontal-relative:page;mso-position-vertical-relative:page;mso-width-relative:margin;mso-height-relative:margin" coordsize="75780,107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">
                <v:rect id="Rectangle 956" o:spid="_x0000_s1074" style="position:absolute;top:51096;width:75634;height:5633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" fillcolor="white [3214]" stroked="f" strokeweight="1pt">
                  <v:textbox inset="14mm,,,13mm">
                    <w:txbxContent>
                      <w:p w14:paraId="3551C018" w14:textId="7A06401B" w:rsidR="0069477C" w:rsidRPr="00470909" w:rsidRDefault="0069477C" w:rsidP="00CF14CC">
                        <w:pPr>
                          <w:pStyle w:val="Contactheading"/>
                        </w:pPr>
                        <w:r w:rsidRPr="00470909">
                          <w:t>How to get in touch</w:t>
                        </w:r>
                      </w:p>
                      <w:p w14:paraId="1C4334F5" w14:textId="77777777" w:rsidR="0069477C" w:rsidRPr="00CF078B" w:rsidRDefault="0069477C" w:rsidP="00360131">
                        <w:pPr>
                          <w:pStyle w:val="Contactinfo"/>
                          <w:spacing w:after="40"/>
                        </w:pPr>
                        <w:r w:rsidRPr="00470909">
                          <w:t>Email</w:t>
                        </w:r>
                        <w:r>
                          <w:t xml:space="preserve"> </w:t>
                        </w:r>
                        <w:r w:rsidRPr="00470909">
                          <w:rPr>
                            <w:b w:val="0"/>
                            <w:bCs w:val="0"/>
                          </w:rPr>
                          <w:t>support@southeastwater.com.au</w:t>
                        </w:r>
                      </w:p>
                      <w:p w14:paraId="5953657B" w14:textId="77777777" w:rsidR="0069477C" w:rsidRPr="00CF078B" w:rsidRDefault="0069477C" w:rsidP="00360131">
                        <w:pPr>
                          <w:pStyle w:val="Contactinfo"/>
                          <w:spacing w:after="40"/>
                        </w:pPr>
                        <w:r w:rsidRPr="00470909">
                          <w:t>General account enquiries</w:t>
                        </w:r>
                        <w:r>
                          <w:t xml:space="preserve"> </w:t>
                        </w:r>
                        <w:r w:rsidRPr="00470909">
                          <w:rPr>
                            <w:b w:val="0"/>
                            <w:bCs w:val="0"/>
                          </w:rPr>
                          <w:t>13 18 51</w:t>
                        </w:r>
                      </w:p>
                      <w:p w14:paraId="6F690EA6" w14:textId="594921FA" w:rsidR="0069477C" w:rsidRPr="00CF078B" w:rsidRDefault="0069477C" w:rsidP="00360131">
                        <w:pPr>
                          <w:pStyle w:val="Contactinfo"/>
                          <w:spacing w:after="40"/>
                        </w:pPr>
                        <w:proofErr w:type="gramStart"/>
                        <w:r w:rsidRPr="00470909">
                          <w:t>South East</w:t>
                        </w:r>
                        <w:proofErr w:type="gramEnd"/>
                        <w:r w:rsidRPr="00470909">
                          <w:t xml:space="preserve"> Water </w:t>
                        </w:r>
                        <w:r w:rsidR="003426D4" w:rsidRPr="00470909">
                          <w:t>Assist</w:t>
                        </w:r>
                        <w:r w:rsidR="003426D4">
                          <w:t xml:space="preserve"> </w:t>
                        </w:r>
                        <w:r w:rsidRPr="00470909">
                          <w:rPr>
                            <w:b w:val="0"/>
                            <w:bCs w:val="0"/>
                          </w:rPr>
                          <w:t>9552 3540</w:t>
                        </w:r>
                      </w:p>
                      <w:p w14:paraId="2C63F6E2" w14:textId="77777777" w:rsidR="0069477C" w:rsidRPr="00CF078B" w:rsidRDefault="0069477C" w:rsidP="00360131">
                        <w:pPr>
                          <w:pStyle w:val="Contactinfo"/>
                          <w:spacing w:after="40"/>
                        </w:pPr>
                        <w:r w:rsidRPr="00470909">
                          <w:t>Hearing and speech impaired services</w:t>
                        </w:r>
                        <w:r>
                          <w:t xml:space="preserve"> </w:t>
                        </w:r>
                        <w:r>
                          <w:br/>
                        </w:r>
                        <w:r w:rsidRPr="00470909">
                          <w:t>TTY</w:t>
                        </w:r>
                        <w:r>
                          <w:t xml:space="preserve"> </w:t>
                        </w:r>
                        <w:r w:rsidRPr="00470909">
                          <w:rPr>
                            <w:b w:val="0"/>
                            <w:bCs w:val="0"/>
                          </w:rPr>
                          <w:t>13 36 77 (ask for 13 18 51)</w:t>
                        </w:r>
                        <w:r w:rsidRPr="00CF078B">
                          <w:t xml:space="preserve"> </w:t>
                        </w:r>
                      </w:p>
                      <w:p w14:paraId="12030A41" w14:textId="2E063C2F" w:rsidR="0069477C" w:rsidRPr="00CF078B" w:rsidRDefault="0069477C" w:rsidP="00470909">
                        <w:pPr>
                          <w:pStyle w:val="Contactinfo"/>
                        </w:pPr>
                        <w:r w:rsidRPr="00470909">
                          <w:t>Interpreter service (all languages</w:t>
                        </w:r>
                        <w:r w:rsidR="003426D4" w:rsidRPr="00CF078B">
                          <w:t>)</w:t>
                        </w:r>
                        <w:r w:rsidR="003426D4">
                          <w:t xml:space="preserve"> </w:t>
                        </w:r>
                        <w:r w:rsidRPr="00470909">
                          <w:rPr>
                            <w:b w:val="0"/>
                            <w:bCs w:val="0"/>
                          </w:rPr>
                          <w:t>9209 0130</w:t>
                        </w:r>
                      </w:p>
                      <w:p w14:paraId="19AD2466" w14:textId="77777777" w:rsidR="0069477C" w:rsidRDefault="0069477C" w:rsidP="00CF078B">
                        <w:pPr>
                          <w:spacing w:after="0"/>
                          <w:rPr>
                            <w:b/>
                            <w:bCs/>
                            <w:color w:val="0075E3" w:themeColor="accent1"/>
                            <w:kern w:val="24"/>
                          </w:rPr>
                        </w:pPr>
                      </w:p>
                      <w:p w14:paraId="225A2D28" w14:textId="3F9C31A8" w:rsidR="0069477C" w:rsidRDefault="0069477C" w:rsidP="00E36290">
                        <w:pPr>
                          <w:pStyle w:val="Contactheading"/>
                        </w:pPr>
                        <w:r w:rsidRPr="00470909">
                          <w:t>Follow us</w:t>
                        </w:r>
                      </w:p>
                      <w:p w14:paraId="788311AC" w14:textId="6F31E4BE" w:rsidR="0069477C" w:rsidRPr="00534F27" w:rsidRDefault="00E36290" w:rsidP="00116E55">
                        <w:pPr>
                          <w:pStyle w:val="Contactheading"/>
                          <w:rPr>
                            <w:color w:val="0075E3" w:themeColor="accent1"/>
                            <w:sz w:val="28"/>
                            <w:szCs w:val="28"/>
                          </w:rPr>
                        </w:pPr>
                        <w:r>
                          <w:rPr>
                            <w:noProof/>
                          </w:rPr>
                          <w:drawing>
                            <wp:inline distT="0" distB="0" distL="0" distR="0" wp14:anchorId="7D25003E" wp14:editId="2D8033C0">
                              <wp:extent cx="347134" cy="347134"/>
                              <wp:effectExtent l="0" t="0" r="0" b="0"/>
                              <wp:docPr id="21" name="Picture 21" descr="Icon&#10;&#10;Description automatically generated">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Picture 1043" descr="Icon&#10;&#10;Description automatically generated">
                                        <a:hlinkClick r:id="rId64"/>
                                      </pic:cNvPr>
                                      <pic:cNvPicPr/>
                                    </pic:nvPicPr>
                                    <pic:blipFill>
                                      <a:blip r:embed="rId65">
                                        <a:extLst>
                                          <a:ext uri="{28A0092B-C50C-407E-A947-70E740481C1C}">
                                            <a14:useLocalDpi xmlns:a14="http://schemas.microsoft.com/office/drawing/2010/main" val="0"/>
                                          </a:ext>
                                        </a:extLst>
                                      </a:blip>
                                      <a:stretch>
                                        <a:fillRect/>
                                      </a:stretch>
                                    </pic:blipFill>
                                    <pic:spPr>
                                      <a:xfrm>
                                        <a:off x="0" y="0"/>
                                        <a:ext cx="352211" cy="352211"/>
                                      </a:xfrm>
                                      <a:prstGeom prst="rect">
                                        <a:avLst/>
                                      </a:prstGeom>
                                    </pic:spPr>
                                  </pic:pic>
                                </a:graphicData>
                              </a:graphic>
                            </wp:inline>
                          </w:drawing>
                        </w:r>
                        <w:r w:rsidR="002020E8">
                          <w:rPr>
                            <w:color w:val="0075E3" w:themeColor="accent1"/>
                            <w:sz w:val="28"/>
                            <w:szCs w:val="28"/>
                          </w:rPr>
                          <w:t xml:space="preserve"> </w:t>
                        </w:r>
                        <w:r>
                          <w:rPr>
                            <w:noProof/>
                          </w:rPr>
                          <w:drawing>
                            <wp:inline distT="0" distB="0" distL="0" distR="0" wp14:anchorId="1FE3FDB9" wp14:editId="22A989A3">
                              <wp:extent cx="345600" cy="345600"/>
                              <wp:effectExtent l="0" t="0" r="0" b="0"/>
                              <wp:docPr id="22" name="Picture 22" descr="Icon&#10;&#10;Description automatically generated">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Picture 1044" descr="Icon&#10;&#10;Description automatically generated">
                                        <a:hlinkClick r:id="rId66"/>
                                      </pic:cNvPr>
                                      <pic:cNvPicPr/>
                                    </pic:nvPicPr>
                                    <pic:blipFill>
                                      <a:blip r:embed="rId67">
                                        <a:extLst>
                                          <a:ext uri="{28A0092B-C50C-407E-A947-70E740481C1C}">
                                            <a14:useLocalDpi xmlns:a14="http://schemas.microsoft.com/office/drawing/2010/main" val="0"/>
                                          </a:ext>
                                        </a:extLst>
                                      </a:blip>
                                      <a:stretch>
                                        <a:fillRect/>
                                      </a:stretch>
                                    </pic:blipFill>
                                    <pic:spPr>
                                      <a:xfrm>
                                        <a:off x="0" y="0"/>
                                        <a:ext cx="345600" cy="345600"/>
                                      </a:xfrm>
                                      <a:prstGeom prst="rect">
                                        <a:avLst/>
                                      </a:prstGeom>
                                    </pic:spPr>
                                  </pic:pic>
                                </a:graphicData>
                              </a:graphic>
                            </wp:inline>
                          </w:drawing>
                        </w:r>
                        <w:r w:rsidR="002020E8">
                          <w:rPr>
                            <w:color w:val="0075E3" w:themeColor="accent1"/>
                            <w:sz w:val="28"/>
                            <w:szCs w:val="28"/>
                          </w:rPr>
                          <w:t xml:space="preserve"> </w:t>
                        </w:r>
                        <w:r>
                          <w:rPr>
                            <w:noProof/>
                          </w:rPr>
                          <w:drawing>
                            <wp:inline distT="0" distB="0" distL="0" distR="0" wp14:anchorId="5AA9D250" wp14:editId="55593B8D">
                              <wp:extent cx="345600" cy="345600"/>
                              <wp:effectExtent l="0" t="0" r="0" b="0"/>
                              <wp:docPr id="23" name="Picture 23" descr="Icon&#10;&#10;Description automatically generated">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 name="Picture 1045" descr="Icon&#10;&#10;Description automatically generated">
                                        <a:hlinkClick r:id="rId68"/>
                                      </pic:cNvPr>
                                      <pic:cNvPicPr/>
                                    </pic:nvPicPr>
                                    <pic:blipFill>
                                      <a:blip r:embed="rId69">
                                        <a:extLst>
                                          <a:ext uri="{28A0092B-C50C-407E-A947-70E740481C1C}">
                                            <a14:useLocalDpi xmlns:a14="http://schemas.microsoft.com/office/drawing/2010/main" val="0"/>
                                          </a:ext>
                                        </a:extLst>
                                      </a:blip>
                                      <a:stretch>
                                        <a:fillRect/>
                                      </a:stretch>
                                    </pic:blipFill>
                                    <pic:spPr>
                                      <a:xfrm>
                                        <a:off x="0" y="0"/>
                                        <a:ext cx="345600" cy="345600"/>
                                      </a:xfrm>
                                      <a:prstGeom prst="rect">
                                        <a:avLst/>
                                      </a:prstGeom>
                                    </pic:spPr>
                                  </pic:pic>
                                </a:graphicData>
                              </a:graphic>
                            </wp:inline>
                          </w:drawing>
                        </w:r>
                        <w:r w:rsidR="002020E8">
                          <w:rPr>
                            <w:color w:val="0075E3" w:themeColor="accent1"/>
                            <w:sz w:val="28"/>
                            <w:szCs w:val="28"/>
                          </w:rPr>
                          <w:t xml:space="preserve"> </w:t>
                        </w:r>
                        <w:r>
                          <w:rPr>
                            <w:noProof/>
                          </w:rPr>
                          <w:drawing>
                            <wp:inline distT="0" distB="0" distL="0" distR="0" wp14:anchorId="2AF5751C" wp14:editId="0319DFF9">
                              <wp:extent cx="345600" cy="345600"/>
                              <wp:effectExtent l="0" t="0" r="0" b="0"/>
                              <wp:docPr id="24" name="Picture 24" descr="Icon&#10;&#10;Description automatically generated">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Picture 1046" descr="Icon&#10;&#10;Description automatically generated">
                                        <a:hlinkClick r:id="rId70"/>
                                      </pic:cNvPr>
                                      <pic:cNvPicPr/>
                                    </pic:nvPicPr>
                                    <pic:blipFill>
                                      <a:blip r:embed="rId71">
                                        <a:extLst>
                                          <a:ext uri="{28A0092B-C50C-407E-A947-70E740481C1C}">
                                            <a14:useLocalDpi xmlns:a14="http://schemas.microsoft.com/office/drawing/2010/main" val="0"/>
                                          </a:ext>
                                        </a:extLst>
                                      </a:blip>
                                      <a:stretch>
                                        <a:fillRect/>
                                      </a:stretch>
                                    </pic:blipFill>
                                    <pic:spPr>
                                      <a:xfrm>
                                        <a:off x="0" y="0"/>
                                        <a:ext cx="345600" cy="345600"/>
                                      </a:xfrm>
                                      <a:prstGeom prst="rect">
                                        <a:avLst/>
                                      </a:prstGeom>
                                    </pic:spPr>
                                  </pic:pic>
                                </a:graphicData>
                              </a:graphic>
                            </wp:inline>
                          </w:drawing>
                        </w:r>
                        <w:r w:rsidR="002020E8">
                          <w:rPr>
                            <w:color w:val="0075E3" w:themeColor="accent1"/>
                            <w:sz w:val="28"/>
                            <w:szCs w:val="28"/>
                          </w:rPr>
                          <w:t xml:space="preserve"> </w:t>
                        </w:r>
                        <w:r>
                          <w:rPr>
                            <w:noProof/>
                          </w:rPr>
                          <w:drawing>
                            <wp:inline distT="0" distB="0" distL="0" distR="0" wp14:anchorId="3F5BFC74" wp14:editId="52401227">
                              <wp:extent cx="345600" cy="345600"/>
                              <wp:effectExtent l="0" t="0" r="0" b="0"/>
                              <wp:docPr id="26" name="Picture 26" descr="Icon&#10;&#10;Description automatically generated">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 name="Picture 1047" descr="Icon&#10;&#10;Description automatically generated">
                                        <a:hlinkClick r:id="rId72"/>
                                      </pic:cNvPr>
                                      <pic:cNvPicPr/>
                                    </pic:nvPicPr>
                                    <pic:blipFill>
                                      <a:blip r:embed="rId73">
                                        <a:extLst>
                                          <a:ext uri="{28A0092B-C50C-407E-A947-70E740481C1C}">
                                            <a14:useLocalDpi xmlns:a14="http://schemas.microsoft.com/office/drawing/2010/main" val="0"/>
                                          </a:ext>
                                        </a:extLst>
                                      </a:blip>
                                      <a:stretch>
                                        <a:fillRect/>
                                      </a:stretch>
                                    </pic:blipFill>
                                    <pic:spPr>
                                      <a:xfrm>
                                        <a:off x="0" y="0"/>
                                        <a:ext cx="345600" cy="345600"/>
                                      </a:xfrm>
                                      <a:prstGeom prst="rect">
                                        <a:avLst/>
                                      </a:prstGeom>
                                    </pic:spPr>
                                  </pic:pic>
                                </a:graphicData>
                              </a:graphic>
                            </wp:inline>
                          </w:drawing>
                        </w:r>
                      </w:p>
                    </w:txbxContent>
                  </v:textbox>
                </v:rect>
                <v:shape id="Freeform: Shape 957" o:spid="_x0000_s1075" style="position:absolute;left:180;width:75600;height:75215;rotation:180;visibility:visible;mso-wrap-style:square;v-text-anchor:middle" coordsize="7560002,752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" path="m,c222534,,332046,64918,447845,133636v121063,71644,247536,146211,497119,146211c1194547,279847,1320288,205719,1442082,133636,1557881,64918,1667395,,1889928,v222534,,332046,64918,447845,133636c2458982,205280,2585308,279847,2834892,279847v249582,,375470,-74128,497118,-146211c3447809,64918,3557175,,3779855,v222681,,332045,64918,447845,133636c4348910,205280,4475090,279847,4724818,279847v249728,,375470,-74128,497118,-146211c5337882,64918,5447249,,5669928,v222680,,332046,64918,447845,133636c6239129,205280,6365308,279847,6614892,279847v249582,,375470,-74128,497118,-146211c7227956,64918,7337321,,7560002,r,1887795l7560002,2635137r,363446l7560002,4522932r,363446l7560002,5633720r,1887795l,7521515,,5633720,,4886378,,4522932,,2998583,,2635137,,1887795,,xe" fillcolor="#0075e3 [3204]" stroked="f" strokeweight="1pt">
                  <v:stroke joinstyle="miter"/>
                  <v:path arrowok="t" o:connecttype="custom" o:connectlocs="0,0;4478,1336;9450,2798;14421,1336;18899,0;23378,1336;28349,2798;33320,1336;37799,0;42277,1336;47248,2798;52219,1336;56699,0;61178,1336;66149,2798;71120,1336;75600,0;75600,18878;75600,26351;75600,29986;75600,45229;75600,48864;75600,56337;75600,75215;0,75215;0,56337;0,48864;0,45229;0,29986;0,26351;0,18878" o:connectangles="0,0,0,0,0,0,0,0,0,0,0,0,0,0,0,0,0,0,0,0,0,0,0,0,0,0,0,0,0,0,0"/>
                </v:shape>
                <v:group id="Group 958" o:spid="_x0000_s1076" style="position:absolute;left:6953;top:9700;width:20905;height:5629" coordorigin="6953,9441" coordsize="19217,5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">
                  <v:shape id="Freeform: Shape 959" o:spid="_x0000_s1077" style="position:absolute;left:6961;top:12390;width:10225;height:2226;visibility:visible;mso-wrap-style:square;v-text-anchor:middle" coordsize="182019,39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" path="m176959,39063v1233,,2416,-526,3245,-1442c181069,36684,181538,35436,181502,34160v58,-1284,-411,-2532,-1298,-3462c179339,29847,178171,29386,176959,29400v-1211,-36,-2387,433,-3245,1298c172827,31628,172358,32876,172416,34160v-36,1276,433,2524,1298,3461c174536,38551,175718,39078,176959,39063m156911,17429v1515,-57,2993,491,4111,1515c162176,20004,162911,21432,163113,22982r-12403,c150854,21432,151575,19989,152729,18944v1154,-1017,2646,-1558,4182,-1515m169964,25434v36,-2510,-563,-4990,-1731,-7211c167181,16182,165551,14502,163546,13391v-2048,-1147,-4363,-1716,-6707,-1659c154323,11646,151827,12244,149628,13463v-2012,1161,-3663,2856,-4759,4904c143628,20566,143008,23054,143066,25578v-72,2524,555,5019,1803,7212c146037,34881,147789,36590,149917,37693v2228,1168,4701,1782,7211,1803c161073,39749,164916,38148,167512,35169r-3822,-4471c162846,31506,161873,32169,160805,32645v-1103,426,-2278,621,-3461,577c155635,33323,153948,32811,152585,31780v-1284,-938,-2164,-2329,-2452,-3894l169171,27886v,-1298,,-2019,,-2091m135782,11805v,-2597,1082,-3895,3318,-3895c140159,7889,141198,8220,142056,8848r1875,-5625c143174,2740,142344,2372,141479,2141v-1031,-108,-2070,-108,-3101,c135703,1939,133070,2913,131167,4810v-1781,1968,-2711,4557,-2596,7211l128571,13175r-3894,l124677,19160r3894,l128571,39063r7211,l135782,18872r6274,l142056,12886r-6418,l135782,11805xm117754,8559v1226,73,2430,-367,3317,-1225c121886,6454,122326,5286,122297,4088v7,-1110,-433,-2178,-1226,-2956c120170,302,118980,-138,117754,-94v-1219,-44,-2395,425,-3245,1298c113650,1968,113175,3079,113211,4233v-29,1168,439,2300,1298,3101c115367,8184,116550,8632,117754,8559t-3606,30504l121360,39063r,-26754l114148,12309r,26754xm86961,39063r24014,l110975,32501r-15360,l95615,4233r-7644,l86961,39063xm64029,15843r,-3534l56818,12309r,26754l64029,39063r,-12619c63899,24410,64541,22398,65832,20819v1313,-1255,3094,-1904,4904,-1803l72395,19016r,-7211c70642,11754,68897,12071,67274,12742v-1427,635,-2653,1659,-3533,2957m39727,32934v-1788,57,-3505,-678,-4688,-2019c32645,27734,32645,23350,35039,20170v1183,-1342,2900,-2077,4688,-2019c41494,18093,43188,18836,44342,20170v2394,3180,2394,7564,,10745c43188,32249,41494,32991,39727,32934t,6418c42244,39388,44731,38768,46938,37549v2070,-1132,3772,-2834,4904,-4904c54316,28160,54316,22708,51842,18223,50710,16153,49008,14451,46938,13319v-4514,-2387,-9908,-2387,-14422,c30439,14465,28722,16167,27540,18223v-2387,4514,-2387,9908,,14422c28722,34701,30439,36403,32516,37549v2206,1219,4694,1839,7211,1803m24222,10507r,-6491l-513,4016r,35047l6699,39063r,-12980l23501,26083r,-6418l8286,19665r,-9447l24222,10507xe" stroked="f" strokeweight=".19953mm">
                    <v:stroke joinstyle="miter"/>
                    <v:path arrowok="t"/>
                  </v:shape>
                  <v:shape id="Freeform: Shape 448" o:spid="_x0000_s1078" style="position:absolute;left:6953;top:9441;width:19217;height:2621;visibility:visible;mso-wrap-style:square;v-text-anchor:middle" coordsize="342111,46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" path="m337051,36969v1233,44,2416,-461,3245,-1370c341162,34661,341630,33414,341594,32138v58,-1284,-411,-2532,-1298,-3462c338544,26881,335666,26852,333870,28611v-21,22,-43,44,-64,65c332919,29606,332450,30854,332508,32138v-36,1276,432,2523,1298,3461c334635,36508,335818,37013,337051,36969m324431,13388r,-3533l317220,9855r,26754l324431,36609r,-12692c324265,21897,324914,19900,326234,18364v1298,-1291,3079,-1969,4904,-1875l332796,16489r,-7211c331036,9249,329291,9595,327676,10287v-1442,613,-2675,1644,-3534,2957m300922,15119v1522,,2986,570,4111,1586c306172,17765,306893,19200,307051,20744r-12403,c294828,19164,295571,17708,296739,16633v1147,-1024,2647,-1565,4183,-1514m313975,23195v36,-2509,-563,-4990,-1731,-7211c311169,13965,309547,12285,307556,11153,305515,9992,303201,9393,300850,9422v-2531,-116,-5034,512,-7212,1803c291605,12378,289932,14080,288807,16128v-2387,4515,-2387,9909,,14423c290026,32628,291800,34330,293927,35455v2235,1139,4702,1731,7211,1731c305083,37438,308927,35837,311522,32859r-3893,-4471c306842,29231,305883,29895,304816,30335v-1096,447,-2279,670,-3461,649c299631,31034,297937,30529,296523,29541v-1269,-973,-2120,-2386,-2380,-3966l313181,25575v,-1226,,-1947,,-2019m284336,30046v-837,671,-1883,1024,-2957,1010c280514,31078,279677,30739,279071,30119v-548,-750,-829,-1666,-793,-2597l278278,16633r6274,l284552,10648r-6274,l278278,4158r-7211,l271067,10648r-3894,l267173,16633r3894,l271067,27594v-231,2640,656,5258,2452,7212c275444,36638,278084,37539,280730,37258v1118,,2236,-144,3317,-433c284985,36594,285872,36176,286643,35599r-2307,-5553xm251741,31993v-1082,65,-2150,-238,-3029,-865c247990,30551,247587,29671,247630,28748v,-2091,1442,-3173,4471,-3173l257077,25575r,2741c256752,29440,256039,30414,255058,31056v-1003,606,-2149,923,-3317,937m252245,9638v-2005,,-3995,289,-5913,866c244572,11016,242921,11823,241428,12883r2596,5409c245019,17506,246144,16900,247342,16489v1276,-433,2617,-649,3966,-649c252873,15703,254430,16193,255634,17210v1046,1017,1573,2445,1443,3894l251308,21104v-2870,-216,-5733,519,-8149,2091c241385,24631,240390,26823,240491,29109v-29,1478,375,2928,1153,4183c242402,34561,243534,35570,244890,36176v1564,692,3266,1038,4975,1010c252945,37539,255952,36075,257582,33436r,3389l264360,36825r,-15288c264620,18256,263495,15011,261260,12595v-2517,-2099,-5741,-3159,-9015,-2957m234577,1994r-7211,24663l220155,1994r-7212,l205227,26441,198016,1994r-7860,l200901,36825r8076,l216189,13244r7211,23581l231549,36825,242294,1994r-7717,xm173497,10071r-7211,18100l159075,10071r-7212,l162752,36969v-367,967,-959,1832,-1730,2524c160351,40034,159507,40315,158642,40287v-764,-8,-1522,-159,-2236,-433c155692,39551,155036,39140,154459,38628r-2668,5481c152707,44931,153789,45543,154964,45911v1255,426,2567,642,3894,649c161051,46604,163199,45947,164988,44685v2012,-1738,3490,-4016,4255,-6562l180637,9782r-7140,289xm140181,9638v-1536,-22,-3058,274,-4471,866c134368,10987,133157,11780,132176,12811r,-12908l124965,-97r,36922l132176,36825r,-13269c132010,21609,132602,19669,133835,18148v1139,-1205,2740,-1861,4399,-1803c139662,16251,141053,16842,141983,17931v982,1385,1436,3072,1299,4760l143282,37114r7211,l150493,21753v245,-3187,-764,-6346,-2812,-8798c145697,10922,142950,9819,140109,9927m119412,30335v-836,670,-1882,1024,-2957,1009c115590,31366,114753,31027,114148,30407v-548,-750,-830,-1666,-793,-2596l113355,16922r6273,l119628,10936r-6273,l113355,4446r-7212,l106143,10936r-3894,l102249,16922r3894,l106143,27883v-230,2639,656,5257,2452,7211c110520,36926,113160,37827,115807,37546v1117,,2235,-144,3317,-432c120061,36883,120948,36464,121720,35888r-2308,-5553xm91288,37114r7211,l98499,191r-7211,l91288,37114xm72827,32282v-1082,65,-2149,-238,-3029,-865c69077,30839,68673,29960,68716,29037v,-2092,1443,-3173,4471,-3173l78163,25864r,2740c77839,29729,77125,30703,76144,31344v-1002,606,-2149,924,-3317,938m73332,9927v-2005,,-3996,288,-5914,865c65659,11304,64007,12112,62515,13172r2596,5408c66106,17794,67231,17189,68428,16777v1276,-432,2618,-649,3966,-649c73959,15991,75517,16482,76721,17499v1046,1016,1572,2444,1442,3894l72394,21393v-2870,-217,-5733,519,-8149,2091c62471,24919,61476,27111,61577,29397v-29,1479,375,2928,1154,4183c63488,34849,64620,35859,65976,36464v1565,693,3267,1039,4976,1010c74031,37827,77038,36364,78668,33724r,3390l85447,37114r,-15289c85706,18544,84581,15299,82346,12883,79836,10770,76605,9710,73332,9927m46073,15768v1521,,2985,570,4110,1586c51344,18407,52087,19835,52274,21393r-12403,c40029,19828,40743,18364,41890,17282v1154,-1017,2646,-1557,4183,-1514m59125,23844v36,-2509,-562,-4990,-1731,-7211c56342,14600,54712,12919,52707,11802v-4211,-2351,-9346,-2351,-13557,c37130,12977,35465,14672,34318,16705v-1197,2214,-1795,4695,-1731,7212c32523,26441,33143,28936,34390,31128v1190,2077,2935,3779,5048,4904c41674,37171,44140,37763,46650,37763v3944,252,7788,-1349,10384,-4327l53140,28965v-786,843,-1745,1507,-2813,1947c49231,31359,48048,31582,46866,31561v-1702,65,-3375,-447,-4760,-1442c40815,29152,39936,27739,39654,26152r19038,c58692,24926,58692,24205,58692,24133m21626,2499r,13701l6699,16200r,-13701l-513,2499r,34831l6699,37330r,-14423l21626,22907r,14423l28837,37330r,-34831l21626,2499xe" stroked="f" strokeweight=".19953mm">
                    <v:stroke joinstyle="miter"/>
                    <v:path arrowok="t"/>
                  </v:shape>
                </v:group>
                <w10:wrap anchorx="page" anchory="page"/>
                <w10:anchorlock/>
              </v:group>
            </w:pict>
          </mc:Fallback>
        </mc:AlternateContent>
      </w:r>
    </w:p>
    <w:p w14:paraId="338027BC" w14:textId="77777777" w:rsidR="00534F27" w:rsidRDefault="00534F27" w:rsidP="005B5833"/>
    <w:bookmarkEnd w:id="0"/>
    <w:p w14:paraId="568128BE" w14:textId="77777777" w:rsidR="00534F27" w:rsidRPr="00A658D6" w:rsidRDefault="00534F27" w:rsidP="005B5833"/>
    <w:sectPr w:rsidR="00534F27" w:rsidRPr="00A658D6" w:rsidSect="008C0652">
      <w:footerReference w:type="default" r:id="rId74"/>
      <w:pgSz w:w="11906" w:h="16838" w:code="9"/>
      <w:pgMar w:top="1440" w:right="1440" w:bottom="1440" w:left="1440"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A4623C" w14:textId="77777777" w:rsidR="00CF1EED" w:rsidRDefault="00CF1EED" w:rsidP="00A2646E">
      <w:r>
        <w:separator/>
      </w:r>
    </w:p>
  </w:endnote>
  <w:endnote w:type="continuationSeparator" w:id="0">
    <w:p w14:paraId="6E441913" w14:textId="77777777" w:rsidR="00CF1EED" w:rsidRDefault="00CF1EED" w:rsidP="00A2646E">
      <w:r>
        <w:continuationSeparator/>
      </w:r>
    </w:p>
  </w:endnote>
  <w:endnote w:type="continuationNotice" w:id="1">
    <w:p w14:paraId="4AA4D72D" w14:textId="77777777" w:rsidR="00CF1EED" w:rsidRDefault="00CF1EE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Franklin Gothic Book">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Gotham Light">
    <w:panose1 w:val="00000000000000000000"/>
    <w:charset w:val="00"/>
    <w:family w:val="roman"/>
    <w:notTrueType/>
    <w:pitch w:val="default"/>
  </w:font>
  <w:font w:name="Arial Rounded MT">
    <w:altName w:val="Arial"/>
    <w:charset w:val="00"/>
    <w:family w:val="auto"/>
    <w:pitch w:val="variable"/>
    <w:sig w:usb0="80000027"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DINOT-Bold">
    <w:altName w:val="Calibri"/>
    <w:panose1 w:val="00000000000000000000"/>
    <w:charset w:val="00"/>
    <w:family w:val="swiss"/>
    <w:notTrueType/>
    <w:pitch w:val="variable"/>
    <w:sig w:usb0="800002AF" w:usb1="4000207B" w:usb2="00000008" w:usb3="00000000" w:csb0="00000001" w:csb1="00000000"/>
  </w:font>
  <w:font w:name="Roobert">
    <w:altName w:val="Calibri"/>
    <w:panose1 w:val="00000000000000000000"/>
    <w:charset w:val="00"/>
    <w:family w:val="modern"/>
    <w:notTrueType/>
    <w:pitch w:val="variable"/>
    <w:sig w:usb0="00000007" w:usb1="00000000" w:usb2="00000000" w:usb3="00000000" w:csb0="00000093" w:csb1="00000000"/>
  </w:font>
  <w:font w:name="+mj-ea">
    <w:altName w:val="Cambria"/>
    <w:panose1 w:val="00000000000000000000"/>
    <w:charset w:val="00"/>
    <w:family w:val="roman"/>
    <w:notTrueType/>
    <w:pitch w:val="default"/>
  </w:font>
  <w:font w:name="+mj-cs">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Jacobs Chronos">
    <w:altName w:val="Calibri"/>
    <w:charset w:val="00"/>
    <w:family w:val="swiss"/>
    <w:pitch w:val="variable"/>
    <w:sig w:usb0="00000003" w:usb1="0000E0EB" w:usb2="00000008" w:usb3="00000000" w:csb0="00000001" w:csb1="00000000"/>
  </w:font>
  <w:font w:name="MinionPro-Regular">
    <w:altName w:val="Cambria"/>
    <w:charset w:val="4D"/>
    <w:family w:val="auto"/>
    <w:pitch w:val="default"/>
    <w:sig w:usb0="00000003" w:usb1="00000000" w:usb2="00000000" w:usb3="00000000" w:csb0="00000001" w:csb1="00000000"/>
  </w:font>
  <w:font w:name="Times New Roman (Headings CS)">
    <w:charset w:val="00"/>
    <w:family w:val="roman"/>
    <w:pitch w:val="default"/>
  </w:font>
  <w:font w:name="Arial Bold">
    <w:panose1 w:val="020B07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9967107"/>
      <w:docPartObj>
        <w:docPartGallery w:val="Page Numbers (Bottom of Page)"/>
        <w:docPartUnique/>
      </w:docPartObj>
    </w:sdtPr>
    <w:sdtEndPr>
      <w:rPr>
        <w:rFonts w:asciiTheme="minorHAnsi" w:hAnsiTheme="minorHAnsi" w:cstheme="minorHAnsi"/>
        <w:b/>
        <w:bCs/>
        <w:noProof/>
        <w:color w:val="auto"/>
        <w:sz w:val="18"/>
        <w:szCs w:val="18"/>
      </w:rPr>
    </w:sdtEndPr>
    <w:sdtContent>
      <w:p w14:paraId="2B278EF1" w14:textId="2341D08C" w:rsidR="00E86BF9" w:rsidRPr="001037A4" w:rsidRDefault="00A314D3" w:rsidP="00E86BF9">
        <w:pPr>
          <w:pStyle w:val="NoParagraphStyle"/>
          <w:suppressAutoHyphens/>
          <w:spacing w:after="123"/>
          <w:ind w:firstLine="720"/>
          <w:jc w:val="right"/>
          <w:rPr>
            <w:rFonts w:asciiTheme="minorHAnsi" w:hAnsiTheme="minorHAnsi" w:cstheme="minorHAnsi"/>
            <w:b/>
            <w:bCs/>
            <w:color w:val="auto"/>
            <w:sz w:val="18"/>
            <w:szCs w:val="18"/>
          </w:rPr>
        </w:pPr>
        <w:r w:rsidRPr="00A314D3">
          <w:rPr>
            <w:rFonts w:asciiTheme="minorHAnsi" w:hAnsiTheme="minorHAnsi" w:cstheme="minorHAnsi"/>
            <w:color w:val="002379"/>
            <w:sz w:val="18"/>
            <w:szCs w:val="18"/>
            <w:lang w:val="en-GB"/>
          </w:rPr>
          <w:t>Price Submission 2023 – 2028</w:t>
        </w:r>
        <w:r w:rsidR="00E86BF9">
          <w:rPr>
            <w:rFonts w:asciiTheme="minorHAnsi" w:hAnsiTheme="minorHAnsi" w:cstheme="minorHAnsi"/>
            <w:color w:val="002379"/>
            <w:sz w:val="18"/>
            <w:szCs w:val="18"/>
            <w:lang w:val="en-GB"/>
          </w:rPr>
          <w:tab/>
        </w:r>
        <w:r w:rsidR="00E86BF9" w:rsidRPr="001037A4">
          <w:rPr>
            <w:rFonts w:asciiTheme="minorHAnsi" w:hAnsiTheme="minorHAnsi" w:cstheme="minorHAnsi"/>
            <w:b/>
            <w:bCs/>
            <w:color w:val="002379"/>
            <w:sz w:val="18"/>
            <w:szCs w:val="18"/>
          </w:rPr>
          <w:fldChar w:fldCharType="begin"/>
        </w:r>
        <w:r w:rsidR="00E86BF9" w:rsidRPr="001037A4">
          <w:rPr>
            <w:rFonts w:asciiTheme="minorHAnsi" w:hAnsiTheme="minorHAnsi" w:cstheme="minorHAnsi"/>
            <w:b/>
            <w:bCs/>
            <w:color w:val="002379"/>
            <w:sz w:val="18"/>
            <w:szCs w:val="18"/>
          </w:rPr>
          <w:instrText xml:space="preserve"> PAGE   \* MERGEFORMAT </w:instrText>
        </w:r>
        <w:r w:rsidR="00E86BF9" w:rsidRPr="001037A4">
          <w:rPr>
            <w:rFonts w:asciiTheme="minorHAnsi" w:hAnsiTheme="minorHAnsi" w:cstheme="minorHAnsi"/>
            <w:b/>
            <w:bCs/>
            <w:color w:val="002379"/>
            <w:sz w:val="18"/>
            <w:szCs w:val="18"/>
          </w:rPr>
          <w:fldChar w:fldCharType="separate"/>
        </w:r>
        <w:r w:rsidR="00E86BF9">
          <w:rPr>
            <w:rFonts w:asciiTheme="minorHAnsi" w:hAnsiTheme="minorHAnsi" w:cstheme="minorHAnsi"/>
            <w:b/>
            <w:bCs/>
            <w:color w:val="002379"/>
            <w:sz w:val="18"/>
            <w:szCs w:val="18"/>
          </w:rPr>
          <w:t>3</w:t>
        </w:r>
        <w:r w:rsidR="00E86BF9" w:rsidRPr="001037A4">
          <w:rPr>
            <w:rFonts w:asciiTheme="minorHAnsi" w:hAnsiTheme="minorHAnsi" w:cstheme="minorHAnsi"/>
            <w:b/>
            <w:bCs/>
            <w:noProof/>
            <w:color w:val="002379"/>
            <w:sz w:val="18"/>
            <w:szCs w:val="18"/>
          </w:rPr>
          <w:fldChar w:fldCharType="end"/>
        </w:r>
      </w:p>
    </w:sdtContent>
  </w:sdt>
  <w:p w14:paraId="193C2E35" w14:textId="436FCD7F" w:rsidR="0069477C" w:rsidRDefault="0069477C" w:rsidP="00E86BF9">
    <w:pPr>
      <w:pStyle w:val="Footer"/>
      <w:jc w:val="right"/>
    </w:pPr>
  </w:p>
  <w:p w14:paraId="1DC35976" w14:textId="77777777" w:rsidR="00C33179" w:rsidRDefault="00C3317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4983" w:type="pct"/>
      <w:tblBorders>
        <w:top w:val="single" w:sz="12" w:space="0" w:color="0075E3" w:themeColor="accent1"/>
      </w:tblBorders>
      <w:tblLook w:val="01E0" w:firstRow="1" w:lastRow="1" w:firstColumn="1" w:lastColumn="1" w:noHBand="0" w:noVBand="0"/>
    </w:tblPr>
    <w:tblGrid>
      <w:gridCol w:w="8365"/>
      <w:gridCol w:w="1195"/>
    </w:tblGrid>
    <w:tr w:rsidR="0069477C" w:rsidRPr="00753A12" w14:paraId="273E3C8D" w14:textId="77777777" w:rsidTr="00120CA3">
      <w:tc>
        <w:tcPr>
          <w:tcW w:w="7871" w:type="dxa"/>
          <w:tcBorders>
            <w:top w:val="nil"/>
            <w:bottom w:val="single" w:sz="12" w:space="0" w:color="0075E3" w:themeColor="accent1"/>
          </w:tcBorders>
          <w:vAlign w:val="bottom"/>
        </w:tcPr>
        <w:p w14:paraId="6C17454F" w14:textId="0446D0AF" w:rsidR="0069477C" w:rsidRPr="00753A12" w:rsidRDefault="0069477C" w:rsidP="00A2646E">
          <w:pPr>
            <w:pStyle w:val="Footer"/>
            <w:rPr>
              <w:color w:val="002379" w:themeColor="text2"/>
            </w:rPr>
          </w:pPr>
        </w:p>
      </w:tc>
      <w:tc>
        <w:tcPr>
          <w:tcW w:w="1124" w:type="dxa"/>
          <w:tcBorders>
            <w:top w:val="nil"/>
            <w:bottom w:val="single" w:sz="12" w:space="0" w:color="0075E3" w:themeColor="accent1"/>
          </w:tcBorders>
          <w:vAlign w:val="bottom"/>
        </w:tcPr>
        <w:p w14:paraId="53CAD445" w14:textId="77777777" w:rsidR="0069477C" w:rsidRPr="00753A12" w:rsidRDefault="0069477C" w:rsidP="009E3794">
          <w:pPr>
            <w:pStyle w:val="Footer"/>
            <w:jc w:val="right"/>
            <w:rPr>
              <w:color w:val="002379" w:themeColor="text2"/>
            </w:rPr>
          </w:pPr>
        </w:p>
      </w:tc>
    </w:tr>
    <w:tr w:rsidR="0069477C" w:rsidRPr="00753A12" w14:paraId="7F5978CF" w14:textId="77777777" w:rsidTr="00120CA3">
      <w:trPr>
        <w:trHeight w:val="225"/>
      </w:trPr>
      <w:tc>
        <w:tcPr>
          <w:tcW w:w="7871" w:type="dxa"/>
          <w:tcBorders>
            <w:top w:val="single" w:sz="12" w:space="0" w:color="0075E3" w:themeColor="accent1"/>
            <w:bottom w:val="single" w:sz="4" w:space="0" w:color="auto"/>
          </w:tcBorders>
          <w:vAlign w:val="bottom"/>
        </w:tcPr>
        <w:p w14:paraId="19A5ACC4" w14:textId="06F9404E" w:rsidR="0069477C" w:rsidRPr="00753A12" w:rsidRDefault="00000000" w:rsidP="00A2646E">
          <w:pPr>
            <w:pStyle w:val="Footer"/>
            <w:rPr>
              <w:b w:val="0"/>
              <w:bCs/>
              <w:color w:val="002379" w:themeColor="text2"/>
            </w:rPr>
          </w:pPr>
          <w:sdt>
            <w:sdtPr>
              <w:rPr>
                <w:b w:val="0"/>
                <w:bCs/>
                <w:color w:val="002379" w:themeColor="text2"/>
              </w:rPr>
              <w:alias w:val="Title"/>
              <w:tag w:val=""/>
              <w:id w:val="1556051167"/>
              <w:placeholder>
                <w:docPart w:val="5165CD98343540B19E4A401916F76388"/>
              </w:placeholder>
              <w:dataBinding w:prefixMappings="xmlns:ns0='http://purl.org/dc/elements/1.1/' xmlns:ns1='http://schemas.openxmlformats.org/package/2006/metadata/core-properties' " w:xpath="/ns1:coreProperties[1]/ns0:title[1]" w:storeItemID="{6C3C8BC8-F283-45AE-878A-BAB7291924A1}"/>
              <w:text/>
            </w:sdtPr>
            <w:sdtContent>
              <w:r w:rsidR="0069477C">
                <w:rPr>
                  <w:b w:val="0"/>
                  <w:bCs/>
                  <w:color w:val="002379" w:themeColor="text2"/>
                </w:rPr>
                <w:t>Price Submission</w:t>
              </w:r>
            </w:sdtContent>
          </w:sdt>
          <w:r w:rsidR="0069477C" w:rsidRPr="00753A12">
            <w:rPr>
              <w:b w:val="0"/>
              <w:bCs/>
              <w:color w:val="002379" w:themeColor="text2"/>
            </w:rPr>
            <w:t xml:space="preserve"> – </w:t>
          </w:r>
          <w:sdt>
            <w:sdtPr>
              <w:rPr>
                <w:b w:val="0"/>
                <w:color w:val="002379" w:themeColor="text2"/>
                <w:shd w:val="clear" w:color="auto" w:fill="E6E6E6"/>
              </w:rPr>
              <w:alias w:val="Subtitle"/>
              <w:tag w:val=""/>
              <w:id w:val="-555782061"/>
              <w:placeholder>
                <w:docPart w:val="2B549984FA10441AB1EC4E429430058D"/>
              </w:placeholder>
              <w:dataBinding w:prefixMappings="xmlns:ns0='http://purl.org/dc/elements/1.1/' xmlns:ns1='http://schemas.openxmlformats.org/package/2006/metadata/core-properties' " w:xpath="/ns1:coreProperties[1]/ns0:subject[1]" w:storeItemID="{6C3C8BC8-F283-45AE-878A-BAB7291924A1}"/>
              <w:text/>
            </w:sdtPr>
            <w:sdtContent>
              <w:r w:rsidR="0069477C">
                <w:rPr>
                  <w:b w:val="0"/>
                  <w:color w:val="002379" w:themeColor="text2"/>
                  <w:shd w:val="clear" w:color="auto" w:fill="E6E6E6"/>
                </w:rPr>
                <w:t>2023–28</w:t>
              </w:r>
            </w:sdtContent>
          </w:sdt>
        </w:p>
      </w:tc>
      <w:tc>
        <w:tcPr>
          <w:tcW w:w="1124" w:type="dxa"/>
          <w:vMerge w:val="restart"/>
          <w:tcBorders>
            <w:top w:val="single" w:sz="12" w:space="0" w:color="0075E3" w:themeColor="accent1"/>
          </w:tcBorders>
          <w:vAlign w:val="bottom"/>
        </w:tcPr>
        <w:p w14:paraId="03E18FE2" w14:textId="77777777" w:rsidR="0069477C" w:rsidRPr="00CE0010" w:rsidRDefault="0069477C" w:rsidP="009E3794">
          <w:pPr>
            <w:pStyle w:val="Footer"/>
            <w:jc w:val="right"/>
            <w:rPr>
              <w:rFonts w:asciiTheme="majorHAnsi" w:hAnsiTheme="majorHAnsi"/>
              <w:b w:val="0"/>
              <w:bCs/>
              <w:color w:val="002379" w:themeColor="text2"/>
            </w:rPr>
          </w:pPr>
          <w:r w:rsidRPr="00CE0010">
            <w:rPr>
              <w:rFonts w:asciiTheme="majorHAnsi" w:hAnsiTheme="majorHAnsi"/>
              <w:b w:val="0"/>
              <w:color w:val="002379" w:themeColor="text2"/>
              <w:sz w:val="16"/>
              <w:szCs w:val="20"/>
              <w:shd w:val="clear" w:color="auto" w:fill="E6E6E6"/>
            </w:rPr>
            <w:fldChar w:fldCharType="begin"/>
          </w:r>
          <w:r w:rsidRPr="00CE0010">
            <w:rPr>
              <w:rFonts w:asciiTheme="majorHAnsi" w:hAnsiTheme="majorHAnsi"/>
              <w:b w:val="0"/>
              <w:bCs/>
              <w:color w:val="002379" w:themeColor="text2"/>
              <w:sz w:val="16"/>
              <w:szCs w:val="20"/>
            </w:rPr>
            <w:instrText xml:space="preserve"> PAGE  \* Arabic </w:instrText>
          </w:r>
          <w:r w:rsidRPr="00CE0010">
            <w:rPr>
              <w:rFonts w:asciiTheme="majorHAnsi" w:hAnsiTheme="majorHAnsi"/>
              <w:b w:val="0"/>
              <w:color w:val="002379" w:themeColor="text2"/>
              <w:sz w:val="16"/>
              <w:szCs w:val="20"/>
              <w:shd w:val="clear" w:color="auto" w:fill="E6E6E6"/>
            </w:rPr>
            <w:fldChar w:fldCharType="separate"/>
          </w:r>
          <w:r w:rsidRPr="00CE0010">
            <w:rPr>
              <w:rFonts w:asciiTheme="majorHAnsi" w:hAnsiTheme="majorHAnsi"/>
              <w:b w:val="0"/>
              <w:bCs/>
              <w:noProof/>
              <w:color w:val="002379" w:themeColor="text2"/>
              <w:sz w:val="16"/>
              <w:szCs w:val="20"/>
            </w:rPr>
            <w:t>1</w:t>
          </w:r>
          <w:r w:rsidRPr="00CE0010">
            <w:rPr>
              <w:rFonts w:asciiTheme="majorHAnsi" w:hAnsiTheme="majorHAnsi"/>
              <w:b w:val="0"/>
              <w:color w:val="002379" w:themeColor="text2"/>
              <w:sz w:val="16"/>
              <w:szCs w:val="20"/>
              <w:shd w:val="clear" w:color="auto" w:fill="E6E6E6"/>
            </w:rPr>
            <w:fldChar w:fldCharType="end"/>
          </w:r>
        </w:p>
      </w:tc>
    </w:tr>
    <w:tr w:rsidR="0069477C" w:rsidRPr="00753A12" w14:paraId="2240572F" w14:textId="77777777" w:rsidTr="00120CA3">
      <w:trPr>
        <w:trHeight w:val="9"/>
      </w:trPr>
      <w:tc>
        <w:tcPr>
          <w:tcW w:w="7871" w:type="dxa"/>
          <w:tcBorders>
            <w:top w:val="single" w:sz="4" w:space="0" w:color="auto"/>
            <w:bottom w:val="single" w:sz="4" w:space="0" w:color="auto"/>
          </w:tcBorders>
          <w:vAlign w:val="bottom"/>
        </w:tcPr>
        <w:p w14:paraId="11EADDB0" w14:textId="77777777" w:rsidR="0069477C" w:rsidRDefault="0069477C" w:rsidP="00A2646E">
          <w:pPr>
            <w:pStyle w:val="Footer"/>
            <w:rPr>
              <w:b w:val="0"/>
              <w:bCs/>
              <w:color w:val="002379" w:themeColor="text2"/>
            </w:rPr>
          </w:pPr>
        </w:p>
      </w:tc>
      <w:tc>
        <w:tcPr>
          <w:tcW w:w="1124" w:type="dxa"/>
          <w:vMerge/>
          <w:vAlign w:val="bottom"/>
        </w:tcPr>
        <w:p w14:paraId="7A47742A" w14:textId="77777777" w:rsidR="0069477C" w:rsidRPr="00CE0010" w:rsidRDefault="0069477C" w:rsidP="009E3794">
          <w:pPr>
            <w:pStyle w:val="Footer"/>
            <w:jc w:val="right"/>
            <w:rPr>
              <w:rFonts w:asciiTheme="majorHAnsi" w:hAnsiTheme="majorHAnsi"/>
              <w:b w:val="0"/>
              <w:color w:val="002379" w:themeColor="text2"/>
              <w:sz w:val="16"/>
              <w:szCs w:val="20"/>
              <w:shd w:val="clear" w:color="auto" w:fill="E6E6E6"/>
            </w:rPr>
          </w:pPr>
        </w:p>
      </w:tc>
    </w:tr>
  </w:tbl>
  <w:p w14:paraId="7308FE3F" w14:textId="77777777" w:rsidR="0069477C" w:rsidRDefault="006947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8B2F09" w14:textId="77777777" w:rsidR="00CF1EED" w:rsidRDefault="00CF1EED" w:rsidP="00A2646E">
      <w:r>
        <w:separator/>
      </w:r>
    </w:p>
  </w:footnote>
  <w:footnote w:type="continuationSeparator" w:id="0">
    <w:p w14:paraId="1AC71FE3" w14:textId="77777777" w:rsidR="00CF1EED" w:rsidRDefault="00CF1EED" w:rsidP="00A2646E">
      <w:r>
        <w:continuationSeparator/>
      </w:r>
    </w:p>
  </w:footnote>
  <w:footnote w:type="continuationNotice" w:id="1">
    <w:p w14:paraId="14E0F1F7" w14:textId="77777777" w:rsidR="00CF1EED" w:rsidRDefault="00CF1EED">
      <w:pPr>
        <w:spacing w:after="0"/>
      </w:pPr>
    </w:p>
  </w:footnote>
  <w:footnote w:id="2">
    <w:p w14:paraId="7B47AE68" w14:textId="13A39542" w:rsidR="000F6DE8" w:rsidRDefault="000F6DE8">
      <w:pPr>
        <w:pStyle w:val="FootnoteText"/>
      </w:pPr>
      <w:r w:rsidRPr="00664B3A">
        <w:rPr>
          <w:rStyle w:val="FootnoteReference"/>
          <w:color w:val="auto"/>
        </w:rPr>
        <w:footnoteRef/>
      </w:r>
      <w:r w:rsidRPr="00664B3A">
        <w:rPr>
          <w:color w:val="auto"/>
        </w:rPr>
        <w:t xml:space="preserve"> </w:t>
      </w:r>
      <w:r w:rsidR="00136B5E">
        <w:t>Th</w:t>
      </w:r>
      <w:r w:rsidR="007B77F5">
        <w:t>is</w:t>
      </w:r>
      <w:r w:rsidR="00136B5E">
        <w:t xml:space="preserve"> does not </w:t>
      </w:r>
      <w:r w:rsidR="007B060B">
        <w:t>include</w:t>
      </w:r>
      <w:r w:rsidR="00136B5E">
        <w:t xml:space="preserve"> the redu</w:t>
      </w:r>
      <w:r w:rsidR="007B77F5">
        <w:t>ction to 202</w:t>
      </w:r>
      <w:r w:rsidR="00B4505E">
        <w:t>2</w:t>
      </w:r>
      <w:r w:rsidR="007B77F5">
        <w:t>-23</w:t>
      </w:r>
      <w:r w:rsidR="00136B5E">
        <w:t xml:space="preserve"> water variable </w:t>
      </w:r>
      <w:r w:rsidR="000B4BDF">
        <w:t xml:space="preserve">tariffs to account </w:t>
      </w:r>
      <w:r w:rsidR="00B27909">
        <w:t xml:space="preserve">for </w:t>
      </w:r>
      <w:r w:rsidR="00712015">
        <w:t>the</w:t>
      </w:r>
      <w:r w:rsidR="00B27909">
        <w:t xml:space="preserve"> cancellation</w:t>
      </w:r>
      <w:r w:rsidR="00D56CD9">
        <w:t xml:space="preserve"> </w:t>
      </w:r>
      <w:r w:rsidR="00AD50AF">
        <w:t>of</w:t>
      </w:r>
      <w:r w:rsidR="00D56CD9">
        <w:t xml:space="preserve"> the desalination water o</w:t>
      </w:r>
      <w:r w:rsidR="00664B3A">
        <w:t>rder.</w:t>
      </w:r>
      <w:r w:rsidR="000B4BDF">
        <w:t xml:space="preserve"> </w:t>
      </w:r>
    </w:p>
  </w:footnote>
  <w:footnote w:id="3">
    <w:p w14:paraId="60A740D8" w14:textId="67CE0F07" w:rsidR="0069477C" w:rsidRDefault="0069477C" w:rsidP="00870684">
      <w:pPr>
        <w:pStyle w:val="FootnoteText"/>
        <w:ind w:left="426" w:hanging="426"/>
      </w:pPr>
      <w:r w:rsidRPr="004A6B8C">
        <w:rPr>
          <w:rStyle w:val="FootnoteReference"/>
          <w:color w:val="auto"/>
        </w:rPr>
        <w:footnoteRef/>
      </w:r>
      <w:r w:rsidRPr="004A6B8C">
        <w:rPr>
          <w:color w:val="auto"/>
        </w:rPr>
        <w:t xml:space="preserve"> </w:t>
      </w:r>
      <w:r w:rsidRPr="004A6B8C">
        <w:rPr>
          <w:color w:val="auto"/>
        </w:rPr>
        <w:tab/>
      </w:r>
      <w:r>
        <w:t xml:space="preserve">Essential Services Commission (2021), </w:t>
      </w:r>
      <w:r w:rsidRPr="00116E55">
        <w:rPr>
          <w:i/>
          <w:iCs/>
        </w:rPr>
        <w:t xml:space="preserve">2023 </w:t>
      </w:r>
      <w:r>
        <w:rPr>
          <w:i/>
          <w:iCs/>
        </w:rPr>
        <w:t>W</w:t>
      </w:r>
      <w:r w:rsidRPr="00116E55">
        <w:rPr>
          <w:i/>
          <w:iCs/>
        </w:rPr>
        <w:t xml:space="preserve">ater </w:t>
      </w:r>
      <w:r>
        <w:rPr>
          <w:i/>
          <w:iCs/>
        </w:rPr>
        <w:t>P</w:t>
      </w:r>
      <w:r w:rsidRPr="00116E55">
        <w:rPr>
          <w:i/>
          <w:iCs/>
        </w:rPr>
        <w:t xml:space="preserve">rice </w:t>
      </w:r>
      <w:r>
        <w:rPr>
          <w:i/>
          <w:iCs/>
        </w:rPr>
        <w:t>R</w:t>
      </w:r>
      <w:r w:rsidRPr="00116E55">
        <w:rPr>
          <w:i/>
          <w:iCs/>
        </w:rPr>
        <w:t>eview</w:t>
      </w:r>
      <w:r>
        <w:t xml:space="preserve">, </w:t>
      </w:r>
      <w:r w:rsidRPr="00A75AB4">
        <w:rPr>
          <w:i/>
          <w:iCs/>
        </w:rPr>
        <w:t>Guidance paper</w:t>
      </w:r>
      <w:r>
        <w:t xml:space="preserve">, </w:t>
      </w:r>
      <w:r w:rsidRPr="00576E5E">
        <w:t>26 October</w:t>
      </w:r>
      <w:r>
        <w:t>, page 88.</w:t>
      </w:r>
    </w:p>
  </w:footnote>
  <w:footnote w:id="4">
    <w:p w14:paraId="014ABF8C" w14:textId="42650A7B" w:rsidR="0069477C" w:rsidRPr="00CB0971" w:rsidRDefault="0069477C">
      <w:pPr>
        <w:pStyle w:val="FootnoteText"/>
        <w:rPr>
          <w:lang w:val="en-US"/>
        </w:rPr>
      </w:pPr>
      <w:r w:rsidRPr="00C34011">
        <w:rPr>
          <w:rStyle w:val="FootnoteReference"/>
          <w:color w:val="auto"/>
        </w:rPr>
        <w:footnoteRef/>
      </w:r>
      <w:r w:rsidRPr="00C34011">
        <w:rPr>
          <w:color w:val="auto"/>
        </w:rPr>
        <w:t xml:space="preserve"> </w:t>
      </w:r>
      <w:r>
        <w:t>Noting that the customer perception measures are only available for the 4 years from 2018-19.</w:t>
      </w:r>
    </w:p>
  </w:footnote>
  <w:footnote w:id="5">
    <w:p w14:paraId="08357E44" w14:textId="030D0132" w:rsidR="0069477C" w:rsidRDefault="0069477C">
      <w:pPr>
        <w:pStyle w:val="FootnoteText"/>
      </w:pPr>
      <w:r w:rsidRPr="009C4F55">
        <w:rPr>
          <w:rStyle w:val="FootnoteReference"/>
          <w:color w:val="auto"/>
        </w:rPr>
        <w:footnoteRef/>
      </w:r>
      <w:r w:rsidRPr="009C4F55">
        <w:rPr>
          <w:color w:val="auto"/>
        </w:rPr>
        <w:t xml:space="preserve"> </w:t>
      </w:r>
      <w:r>
        <w:t>Target based on a 10-year average to account for climate variability</w:t>
      </w:r>
    </w:p>
  </w:footnote>
  <w:footnote w:id="6">
    <w:p w14:paraId="4930B467" w14:textId="48C78B2E" w:rsidR="00F16A49" w:rsidRDefault="00F16A49">
      <w:pPr>
        <w:pStyle w:val="FootnoteText"/>
      </w:pPr>
      <w:r w:rsidRPr="00282CBC">
        <w:rPr>
          <w:rStyle w:val="FootnoteReference"/>
          <w:color w:val="auto"/>
        </w:rPr>
        <w:footnoteRef/>
      </w:r>
      <w:r w:rsidRPr="00282CBC">
        <w:rPr>
          <w:color w:val="auto"/>
        </w:rPr>
        <w:t xml:space="preserve"> </w:t>
      </w:r>
      <w:r w:rsidR="00282CBC" w:rsidRPr="00282CBC">
        <w:t>The benefits from digital metering will be shared across all retailers. How these benefits are distributed will be considered via Melbourne Water’s cost allocation model and DELWPs current policy review associated to bulk entitlement arrangements.</w:t>
      </w:r>
    </w:p>
  </w:footnote>
  <w:footnote w:id="7">
    <w:p w14:paraId="147C6EB5" w14:textId="70444D8D" w:rsidR="0069477C" w:rsidRDefault="0069477C" w:rsidP="00CB0971">
      <w:pPr>
        <w:pStyle w:val="FootnoteText"/>
        <w:ind w:left="426" w:hanging="426"/>
      </w:pPr>
      <w:r w:rsidRPr="001467EE">
        <w:rPr>
          <w:rStyle w:val="FootnoteReference"/>
          <w:color w:val="auto"/>
        </w:rPr>
        <w:footnoteRef/>
      </w:r>
      <w:r w:rsidRPr="001467EE">
        <w:rPr>
          <w:rFonts w:cs="Arial"/>
          <w:color w:val="auto"/>
          <w:lang w:val="en-US"/>
        </w:rPr>
        <w:t xml:space="preserve"> </w:t>
      </w:r>
      <w:r w:rsidRPr="001467EE">
        <w:rPr>
          <w:rFonts w:cs="Arial"/>
          <w:color w:val="auto"/>
          <w:lang w:val="en-US"/>
        </w:rPr>
        <w:tab/>
      </w:r>
      <w:r>
        <w:rPr>
          <w:rFonts w:cs="Arial"/>
          <w:lang w:val="en-US"/>
        </w:rPr>
        <w:t>The top 10 project are at different stages of development so their scope is subject to change. Their final scope will be defined on completion of optioneering, functional design and risk assessments.</w:t>
      </w:r>
    </w:p>
  </w:footnote>
  <w:footnote w:id="8">
    <w:p w14:paraId="2371D0EF" w14:textId="04F16D78" w:rsidR="0069477C" w:rsidRDefault="0069477C" w:rsidP="00CB0971">
      <w:pPr>
        <w:pStyle w:val="FootnoteText"/>
        <w:ind w:left="426" w:hanging="426"/>
      </w:pPr>
      <w:r w:rsidRPr="001467EE">
        <w:rPr>
          <w:rStyle w:val="FootnoteReference"/>
          <w:color w:val="auto"/>
        </w:rPr>
        <w:footnoteRef/>
      </w:r>
      <w:r w:rsidRPr="001467EE">
        <w:rPr>
          <w:color w:val="auto"/>
        </w:rPr>
        <w:t xml:space="preserve"> </w:t>
      </w:r>
      <w:r w:rsidRPr="001467EE">
        <w:rPr>
          <w:color w:val="auto"/>
        </w:rPr>
        <w:tab/>
      </w:r>
      <w:r>
        <w:t xml:space="preserve">Current and post-investment risk ratings have been determined in accordance with our enterprise risk management framework outlined in Section 5. Further details are contained in the Major Project Summaries for our top 10 projects. </w:t>
      </w:r>
    </w:p>
  </w:footnote>
  <w:footnote w:id="9">
    <w:p w14:paraId="06B1FE87" w14:textId="3D0141C7" w:rsidR="0069477C" w:rsidRDefault="0069477C" w:rsidP="00CB0971">
      <w:pPr>
        <w:pStyle w:val="FootnoteText"/>
        <w:tabs>
          <w:tab w:val="left" w:pos="426"/>
        </w:tabs>
        <w:ind w:left="426" w:hanging="426"/>
      </w:pPr>
      <w:r w:rsidRPr="001467EE">
        <w:rPr>
          <w:rStyle w:val="FootnoteReference"/>
          <w:color w:val="auto"/>
        </w:rPr>
        <w:footnoteRef/>
      </w:r>
      <w:r w:rsidRPr="001467EE">
        <w:rPr>
          <w:color w:val="auto"/>
        </w:rPr>
        <w:t xml:space="preserve"> </w:t>
      </w:r>
      <w:r w:rsidRPr="001467EE">
        <w:rPr>
          <w:color w:val="auto"/>
        </w:rPr>
        <w:tab/>
      </w:r>
      <w:r>
        <w:t xml:space="preserve">Circular economy initiatives being considered include converting </w:t>
      </w:r>
      <w:r w:rsidRPr="00936832">
        <w:t>organic waste to energy</w:t>
      </w:r>
      <w:r>
        <w:t>;</w:t>
      </w:r>
      <w:r w:rsidRPr="00936832">
        <w:t xml:space="preserve"> recovery of nutrients for use as fertiliser</w:t>
      </w:r>
      <w:r>
        <w:t>;</w:t>
      </w:r>
      <w:r w:rsidRPr="00936832">
        <w:t xml:space="preserve"> production of biochar from biosolids as a means of carbon sequestration</w:t>
      </w:r>
      <w:r>
        <w:t>;</w:t>
      </w:r>
      <w:r w:rsidRPr="00936832">
        <w:t xml:space="preserve"> and building on already existing recycled water networks to supply additional water to the Casey</w:t>
      </w:r>
      <w:r>
        <w:t>–</w:t>
      </w:r>
      <w:r w:rsidRPr="00936832">
        <w:t xml:space="preserve">Cardinia </w:t>
      </w:r>
      <w:r>
        <w:t>r</w:t>
      </w:r>
      <w:r w:rsidRPr="00936832">
        <w:t>egion.</w:t>
      </w:r>
    </w:p>
  </w:footnote>
  <w:footnote w:id="10">
    <w:p w14:paraId="2CC70B96" w14:textId="74453712" w:rsidR="0069477C" w:rsidRDefault="0069477C" w:rsidP="00CB0971">
      <w:pPr>
        <w:pStyle w:val="FootnoteText"/>
        <w:ind w:left="426" w:hanging="426"/>
      </w:pPr>
      <w:r w:rsidRPr="008A0897">
        <w:rPr>
          <w:rStyle w:val="FootnoteReference"/>
          <w:color w:val="auto"/>
        </w:rPr>
        <w:footnoteRef/>
      </w:r>
      <w:r w:rsidRPr="008A0897">
        <w:rPr>
          <w:color w:val="auto"/>
        </w:rPr>
        <w:t xml:space="preserve"> </w:t>
      </w:r>
      <w:r w:rsidRPr="008A0897">
        <w:rPr>
          <w:color w:val="auto"/>
        </w:rPr>
        <w:tab/>
      </w:r>
      <w:r w:rsidRPr="00116E55">
        <w:rPr>
          <w:rStyle w:val="normaltextrun"/>
          <w:rFonts w:cs="Arial"/>
          <w:i/>
          <w:iCs/>
          <w:szCs w:val="18"/>
          <w:shd w:val="clear" w:color="auto" w:fill="FFFFFF"/>
          <w:lang w:val="en-GB"/>
        </w:rPr>
        <w:t>Fishermans Bend Framework – a strategic plan for the development of Fishermans Bend to 2050</w:t>
      </w:r>
      <w:r w:rsidRPr="00D94B41">
        <w:rPr>
          <w:rStyle w:val="normaltextrun"/>
          <w:rFonts w:cs="Arial"/>
          <w:szCs w:val="18"/>
          <w:shd w:val="clear" w:color="auto" w:fill="FFFFFF"/>
          <w:lang w:val="en-GB"/>
        </w:rPr>
        <w:t xml:space="preserve"> (DELWP, </w:t>
      </w:r>
      <w:r w:rsidRPr="001C19CC">
        <w:rPr>
          <w:rStyle w:val="normaltextrun"/>
          <w:rFonts w:cs="Arial"/>
          <w:szCs w:val="18"/>
          <w:shd w:val="clear" w:color="auto" w:fill="FFFFFF"/>
          <w:lang w:val="en-GB"/>
        </w:rPr>
        <w:t>2018)</w:t>
      </w:r>
    </w:p>
  </w:footnote>
  <w:footnote w:id="11">
    <w:p w14:paraId="51AA98A5" w14:textId="1E5EAE31" w:rsidR="0069477C" w:rsidRPr="00FC78F0" w:rsidRDefault="0069477C" w:rsidP="00FC78F0">
      <w:pPr>
        <w:pStyle w:val="Para0"/>
        <w:spacing w:before="0" w:after="0" w:line="259" w:lineRule="auto"/>
        <w:ind w:left="426" w:hanging="426"/>
        <w:rPr>
          <w:rFonts w:ascii="Arial" w:eastAsia="MS Mincho" w:hAnsi="Arial" w:cs="Times New Roman"/>
          <w:sz w:val="18"/>
          <w:szCs w:val="18"/>
          <w:lang w:val="en-AU" w:eastAsia="ja-JP"/>
        </w:rPr>
      </w:pPr>
      <w:r w:rsidRPr="008A0897">
        <w:rPr>
          <w:rStyle w:val="FootnoteReference"/>
          <w:color w:val="auto"/>
        </w:rPr>
        <w:footnoteRef/>
      </w:r>
      <w:r w:rsidRPr="008A0897">
        <w:t xml:space="preserve"> </w:t>
      </w:r>
      <w:r w:rsidRPr="008A0897">
        <w:tab/>
      </w:r>
      <w:r w:rsidRPr="00FC78F0">
        <w:rPr>
          <w:rFonts w:ascii="Arial" w:eastAsia="MS Mincho" w:hAnsi="Arial" w:cs="Times New Roman"/>
          <w:sz w:val="18"/>
          <w:szCs w:val="18"/>
          <w:lang w:val="en-AU" w:eastAsia="ja-JP"/>
        </w:rPr>
        <w:t>The Minister</w:t>
      </w:r>
      <w:r>
        <w:rPr>
          <w:rFonts w:ascii="Arial" w:eastAsia="MS Mincho" w:hAnsi="Arial" w:cs="Times New Roman"/>
          <w:sz w:val="18"/>
          <w:szCs w:val="18"/>
          <w:lang w:val="en-AU" w:eastAsia="ja-JP"/>
        </w:rPr>
        <w:t>’</w:t>
      </w:r>
      <w:r w:rsidRPr="00FC78F0">
        <w:rPr>
          <w:rFonts w:ascii="Arial" w:eastAsia="MS Mincho" w:hAnsi="Arial" w:cs="Times New Roman"/>
          <w:sz w:val="18"/>
          <w:szCs w:val="18"/>
          <w:lang w:val="en-AU" w:eastAsia="ja-JP"/>
        </w:rPr>
        <w:t xml:space="preserve">s </w:t>
      </w:r>
      <w:r w:rsidRPr="00FC78F0">
        <w:rPr>
          <w:rFonts w:ascii="Arial" w:eastAsia="MS Mincho" w:hAnsi="Arial" w:cs="Times New Roman"/>
          <w:i/>
          <w:iCs/>
          <w:sz w:val="18"/>
          <w:szCs w:val="18"/>
          <w:lang w:val="en-AU" w:eastAsia="ja-JP"/>
        </w:rPr>
        <w:t>Letter of Expectations 2022</w:t>
      </w:r>
      <w:r>
        <w:rPr>
          <w:rFonts w:ascii="Arial" w:eastAsia="MS Mincho" w:hAnsi="Arial" w:cs="Times New Roman"/>
          <w:i/>
          <w:iCs/>
          <w:sz w:val="18"/>
          <w:szCs w:val="18"/>
          <w:lang w:val="en-AU" w:eastAsia="ja-JP"/>
        </w:rPr>
        <w:t>–</w:t>
      </w:r>
      <w:r w:rsidRPr="00FC78F0">
        <w:rPr>
          <w:rFonts w:ascii="Arial" w:eastAsia="MS Mincho" w:hAnsi="Arial" w:cs="Times New Roman"/>
          <w:i/>
          <w:iCs/>
          <w:sz w:val="18"/>
          <w:szCs w:val="18"/>
          <w:lang w:val="en-AU" w:eastAsia="ja-JP"/>
        </w:rPr>
        <w:t>23</w:t>
      </w:r>
      <w:r w:rsidRPr="00FC78F0">
        <w:rPr>
          <w:rFonts w:ascii="Arial" w:eastAsia="MS Mincho" w:hAnsi="Arial" w:cs="Times New Roman"/>
          <w:sz w:val="18"/>
          <w:szCs w:val="18"/>
          <w:lang w:val="en-AU" w:eastAsia="ja-JP"/>
        </w:rPr>
        <w:t xml:space="preserve"> states</w:t>
      </w:r>
      <w:r>
        <w:rPr>
          <w:rFonts w:ascii="Arial" w:eastAsia="MS Mincho" w:hAnsi="Arial" w:cs="Times New Roman"/>
          <w:sz w:val="18"/>
          <w:szCs w:val="18"/>
          <w:lang w:val="en-AU" w:eastAsia="ja-JP"/>
        </w:rPr>
        <w:t>:</w:t>
      </w:r>
      <w:r w:rsidRPr="00FC78F0">
        <w:rPr>
          <w:rFonts w:ascii="Arial" w:eastAsia="MS Mincho" w:hAnsi="Arial" w:cs="Times New Roman"/>
          <w:sz w:val="18"/>
          <w:szCs w:val="18"/>
          <w:lang w:val="en-AU" w:eastAsia="ja-JP"/>
        </w:rPr>
        <w:t xml:space="preserve"> </w:t>
      </w:r>
      <w:r>
        <w:rPr>
          <w:rFonts w:ascii="Arial" w:eastAsia="MS Mincho" w:hAnsi="Arial" w:cs="Times New Roman"/>
          <w:sz w:val="18"/>
          <w:szCs w:val="18"/>
          <w:lang w:val="en-AU" w:eastAsia="ja-JP"/>
        </w:rPr>
        <w:t>“</w:t>
      </w:r>
      <w:r w:rsidRPr="00FC78F0">
        <w:rPr>
          <w:rFonts w:ascii="Arial" w:eastAsia="MS Mincho" w:hAnsi="Arial" w:cs="Times New Roman"/>
          <w:sz w:val="18"/>
          <w:szCs w:val="18"/>
          <w:lang w:val="en-AU" w:eastAsia="ja-JP"/>
        </w:rPr>
        <w:t>S</w:t>
      </w:r>
      <w:r w:rsidRPr="00FC78F0">
        <w:rPr>
          <w:rFonts w:ascii="Arial" w:eastAsia="MS Mincho" w:hAnsi="Arial" w:cs="Times New Roman"/>
          <w:i/>
          <w:sz w:val="18"/>
          <w:szCs w:val="18"/>
          <w:lang w:val="en-AU" w:eastAsia="ja-JP"/>
        </w:rPr>
        <w:t>outh East Water will also support the government to deliver the Water Sensitive Cities Strategy for Fishermans Bend. This includes fulfilling its responsibility to deliver the water recycling plant and distribution network, which will enhance water security and support urban cooling and greening</w:t>
      </w:r>
      <w:r w:rsidRPr="00FC78F0">
        <w:rPr>
          <w:rFonts w:ascii="Arial" w:eastAsia="MS Mincho" w:hAnsi="Arial" w:cs="Times New Roman"/>
          <w:sz w:val="18"/>
          <w:szCs w:val="18"/>
          <w:lang w:val="en-AU" w:eastAsia="ja-JP"/>
        </w:rPr>
        <w:t>.</w:t>
      </w:r>
      <w:r>
        <w:rPr>
          <w:rFonts w:ascii="Arial" w:eastAsia="MS Mincho" w:hAnsi="Arial" w:cs="Times New Roman"/>
          <w:sz w:val="18"/>
          <w:szCs w:val="18"/>
          <w:lang w:val="en-AU" w:eastAsia="ja-JP"/>
        </w:rPr>
        <w:t>”</w:t>
      </w:r>
    </w:p>
  </w:footnote>
  <w:footnote w:id="12">
    <w:p w14:paraId="3696FEB7" w14:textId="314D62FF" w:rsidR="0069477C" w:rsidRDefault="0069477C" w:rsidP="00CB0971">
      <w:pPr>
        <w:pStyle w:val="FootnoteText"/>
        <w:ind w:left="426" w:hanging="426"/>
      </w:pPr>
      <w:r w:rsidRPr="008A0897">
        <w:rPr>
          <w:rStyle w:val="FootnoteReference"/>
          <w:color w:val="auto"/>
        </w:rPr>
        <w:footnoteRef/>
      </w:r>
      <w:r w:rsidRPr="008A0897">
        <w:rPr>
          <w:color w:val="auto"/>
        </w:rPr>
        <w:t xml:space="preserve"> </w:t>
      </w:r>
      <w:r w:rsidRPr="008A0897">
        <w:rPr>
          <w:color w:val="auto"/>
        </w:rPr>
        <w:tab/>
      </w:r>
      <w:r>
        <w:t>T</w:t>
      </w:r>
      <w:r w:rsidRPr="00F71B5F">
        <w:t xml:space="preserve">he </w:t>
      </w:r>
      <w:r>
        <w:t>total cost is the amount South East Water is investing in this project. The</w:t>
      </w:r>
      <w:r w:rsidRPr="00F71B5F">
        <w:t xml:space="preserve"> </w:t>
      </w:r>
      <w:r>
        <w:t xml:space="preserve">Victorian Government is contributing an additional </w:t>
      </w:r>
      <w:r w:rsidRPr="00F71B5F">
        <w:t>$24.8</w:t>
      </w:r>
      <w:r>
        <w:t> </w:t>
      </w:r>
      <w:r w:rsidRPr="00F71B5F">
        <w:t>m</w:t>
      </w:r>
      <w:r>
        <w:t>illion</w:t>
      </w:r>
      <w:r w:rsidRPr="00F71B5F">
        <w:t xml:space="preserve"> </w:t>
      </w:r>
      <w:r>
        <w:t>from the Victorian Budget 2022–23</w:t>
      </w:r>
      <w:r w:rsidRPr="00F71B5F">
        <w:t>.</w:t>
      </w:r>
    </w:p>
  </w:footnote>
  <w:footnote w:id="13">
    <w:p w14:paraId="75E9EDF7" w14:textId="17D332D0" w:rsidR="0069477C" w:rsidRDefault="0069477C" w:rsidP="00CB0971">
      <w:pPr>
        <w:pStyle w:val="paragraph"/>
        <w:spacing w:before="0" w:beforeAutospacing="0" w:after="0" w:afterAutospacing="0"/>
        <w:ind w:left="426" w:hanging="426"/>
        <w:textAlignment w:val="baseline"/>
      </w:pPr>
      <w:r w:rsidRPr="008A0897">
        <w:rPr>
          <w:rStyle w:val="FootnoteReference"/>
          <w:color w:val="auto"/>
        </w:rPr>
        <w:footnoteRef/>
      </w:r>
      <w:r w:rsidRPr="008A0897">
        <w:t xml:space="preserve"> </w:t>
      </w:r>
      <w:r w:rsidRPr="008A0897">
        <w:tab/>
      </w:r>
      <w:r w:rsidRPr="00A85463">
        <w:rPr>
          <w:rFonts w:ascii="Arial" w:hAnsi="Arial" w:cs="Arial"/>
          <w:color w:val="000000"/>
          <w:sz w:val="18"/>
          <w:szCs w:val="20"/>
        </w:rPr>
        <w:t>The Dingley Green Wedge encompasses 46 sites (businesses and open spaces) across Keysborough (City of Greater of Dandenong), Dingley and Heatherton (City of Kingston), Clayton South (City of Monash), Sandringham and Cheltenham (City of Bayside)</w:t>
      </w:r>
      <w:r>
        <w:rPr>
          <w:rFonts w:ascii="Arial" w:hAnsi="Arial" w:cs="Arial"/>
          <w:color w:val="000000"/>
          <w:sz w:val="18"/>
          <w:szCs w:val="20"/>
        </w:rPr>
        <w:t>.</w:t>
      </w:r>
      <w:r w:rsidRPr="00A85463">
        <w:rPr>
          <w:color w:val="000000"/>
          <w:sz w:val="18"/>
          <w:szCs w:val="20"/>
        </w:rPr>
        <w:t> </w:t>
      </w:r>
    </w:p>
  </w:footnote>
  <w:footnote w:id="14">
    <w:p w14:paraId="1B5B967A" w14:textId="62113FAE" w:rsidR="0069477C" w:rsidRDefault="0069477C" w:rsidP="00CB0971">
      <w:pPr>
        <w:pStyle w:val="FootnoteText"/>
        <w:ind w:left="426" w:hanging="426"/>
      </w:pPr>
      <w:r w:rsidRPr="008A0897">
        <w:rPr>
          <w:rStyle w:val="FootnoteReference"/>
          <w:color w:val="auto"/>
        </w:rPr>
        <w:footnoteRef/>
      </w:r>
      <w:r w:rsidRPr="008A0897">
        <w:rPr>
          <w:color w:val="auto"/>
        </w:rPr>
        <w:t xml:space="preserve"> </w:t>
      </w:r>
      <w:r w:rsidRPr="008A0897">
        <w:rPr>
          <w:color w:val="auto"/>
        </w:rPr>
        <w:tab/>
      </w:r>
      <w:hyperlink r:id="rId1" w:history="1">
        <w:r>
          <w:rPr>
            <w:rStyle w:val="Hyperlink"/>
          </w:rPr>
          <w:t>Integrated Water Management Forum</w:t>
        </w:r>
      </w:hyperlink>
      <w:r>
        <w:rPr>
          <w:rStyle w:val="Hyperlink"/>
        </w:rPr>
        <w:t>s</w:t>
      </w:r>
    </w:p>
  </w:footnote>
  <w:footnote w:id="15">
    <w:p w14:paraId="5AF2BC68" w14:textId="1558F53C" w:rsidR="0069477C" w:rsidRDefault="0069477C">
      <w:pPr>
        <w:pStyle w:val="FootnoteText"/>
      </w:pPr>
      <w:r w:rsidRPr="008A0897">
        <w:rPr>
          <w:rStyle w:val="FootnoteReference"/>
          <w:color w:val="auto"/>
        </w:rPr>
        <w:footnoteRef/>
      </w:r>
      <w:r w:rsidRPr="008A0897">
        <w:rPr>
          <w:color w:val="auto"/>
        </w:rPr>
        <w:t xml:space="preserve"> </w:t>
      </w:r>
      <w:r>
        <w:t>Refer to Appendix 2 for an overview of the project delivery performance for the Boneo Treatment Plant Upgrade.</w:t>
      </w:r>
    </w:p>
  </w:footnote>
  <w:footnote w:id="16">
    <w:p w14:paraId="43D31942" w14:textId="291CF071" w:rsidR="0069477C" w:rsidRDefault="0069477C">
      <w:pPr>
        <w:pStyle w:val="FootnoteText"/>
      </w:pPr>
      <w:r w:rsidRPr="00AC25F9">
        <w:rPr>
          <w:rStyle w:val="FootnoteReference"/>
          <w:color w:val="auto"/>
        </w:rPr>
        <w:footnoteRef/>
      </w:r>
      <w:r w:rsidRPr="00AC25F9">
        <w:rPr>
          <w:color w:val="auto"/>
        </w:rPr>
        <w:t xml:space="preserve"> </w:t>
      </w:r>
      <w:r>
        <w:t>Vasilis Sarafidis (Frontier Econometrics) and Jan Ditzen (Free University of Bozen-Bolzano)</w:t>
      </w:r>
    </w:p>
  </w:footnote>
  <w:footnote w:id="17">
    <w:p w14:paraId="754288E3" w14:textId="51BBCE84" w:rsidR="0069477C" w:rsidRDefault="0069477C" w:rsidP="008A0897">
      <w:pPr>
        <w:pStyle w:val="FootnoteText"/>
        <w:ind w:left="426" w:hanging="426"/>
        <w:jc w:val="both"/>
      </w:pPr>
      <w:r w:rsidRPr="00AC25F9">
        <w:rPr>
          <w:rStyle w:val="FootnoteReference"/>
          <w:color w:val="auto"/>
        </w:rPr>
        <w:footnoteRef/>
      </w:r>
      <w:r w:rsidRPr="00AC25F9">
        <w:rPr>
          <w:color w:val="auto"/>
        </w:rPr>
        <w:t xml:space="preserve"> </w:t>
      </w:r>
      <w:r>
        <w:t>These results are not comparable as the different analysis was based on different time periods of the trial. The</w:t>
      </w:r>
      <w:r w:rsidR="00AC25F9">
        <w:t xml:space="preserve"> </w:t>
      </w:r>
      <w:r>
        <w:t>University of Melbourne’s analysis is taken to be the most accurate as they analysed over the entire length of the 12-week trial.</w:t>
      </w:r>
    </w:p>
  </w:footnote>
  <w:footnote w:id="18">
    <w:p w14:paraId="47276D43" w14:textId="77777777" w:rsidR="0069477C" w:rsidRDefault="0069477C" w:rsidP="002C40B7">
      <w:pPr>
        <w:pStyle w:val="FootnoteText"/>
      </w:pPr>
      <w:r w:rsidRPr="00AC25F9">
        <w:rPr>
          <w:rStyle w:val="FootnoteReference"/>
          <w:color w:val="auto"/>
        </w:rPr>
        <w:footnoteRef/>
      </w:r>
      <w:r w:rsidRPr="00AC25F9">
        <w:rPr>
          <w:color w:val="auto"/>
        </w:rPr>
        <w:t xml:space="preserve"> </w:t>
      </w:r>
      <w:hyperlink r:id="rId2" w:history="1">
        <w:r w:rsidRPr="00762B51">
          <w:rPr>
            <w:rStyle w:val="Hyperlink"/>
          </w:rPr>
          <w:t>https://labourmarketinsights.gov.au/</w:t>
        </w:r>
      </w:hyperlink>
      <w:r>
        <w:t xml:space="preserve"> </w:t>
      </w:r>
    </w:p>
  </w:footnote>
  <w:footnote w:id="19">
    <w:p w14:paraId="429E82A3" w14:textId="77777777" w:rsidR="0069477C" w:rsidRDefault="0069477C" w:rsidP="009C310F">
      <w:pPr>
        <w:pStyle w:val="FootnoteText"/>
      </w:pPr>
      <w:r w:rsidRPr="00AC25F9">
        <w:rPr>
          <w:rStyle w:val="FootnoteReference"/>
          <w:color w:val="auto"/>
        </w:rPr>
        <w:footnoteRef/>
      </w:r>
      <w:r w:rsidRPr="00AC25F9">
        <w:rPr>
          <w:color w:val="auto"/>
        </w:rPr>
        <w:t xml:space="preserve"> </w:t>
      </w:r>
      <w:r w:rsidRPr="00133BFA">
        <w:t>KPMG, </w:t>
      </w:r>
      <w:r w:rsidRPr="00133BFA">
        <w:rPr>
          <w:i/>
          <w:iCs/>
        </w:rPr>
        <w:t>Pricing for Demand Management</w:t>
      </w:r>
      <w:r w:rsidRPr="00133BFA">
        <w:t>, WSAA, March 2004 </w:t>
      </w:r>
    </w:p>
  </w:footnote>
  <w:footnote w:id="20">
    <w:p w14:paraId="56066EC5" w14:textId="77777777" w:rsidR="0069477C" w:rsidRDefault="0069477C" w:rsidP="009C310F">
      <w:pPr>
        <w:pStyle w:val="FootnoteText"/>
      </w:pPr>
      <w:r w:rsidRPr="00AC25F9">
        <w:rPr>
          <w:rStyle w:val="FootnoteReference"/>
          <w:color w:val="auto"/>
        </w:rPr>
        <w:footnoteRef/>
      </w:r>
      <w:r w:rsidRPr="00AC25F9">
        <w:rPr>
          <w:color w:val="auto"/>
        </w:rPr>
        <w:t xml:space="preserve"> </w:t>
      </w:r>
      <w:r w:rsidRPr="00133BFA">
        <w:t>KPMG, </w:t>
      </w:r>
      <w:r w:rsidRPr="00133BFA">
        <w:rPr>
          <w:i/>
          <w:iCs/>
        </w:rPr>
        <w:t>Pricing for Demand Management</w:t>
      </w:r>
      <w:r w:rsidRPr="00133BFA">
        <w:t>, WSAA, March 2004 </w:t>
      </w:r>
    </w:p>
  </w:footnote>
  <w:footnote w:id="21">
    <w:p w14:paraId="4FD46750" w14:textId="77777777" w:rsidR="0069477C" w:rsidRDefault="0069477C" w:rsidP="009C310F">
      <w:pPr>
        <w:pStyle w:val="FootnoteText"/>
      </w:pPr>
      <w:r w:rsidRPr="00AC25F9">
        <w:rPr>
          <w:rStyle w:val="FootnoteReference"/>
          <w:color w:val="auto"/>
        </w:rPr>
        <w:footnoteRef/>
      </w:r>
      <w:r w:rsidRPr="00AC25F9">
        <w:rPr>
          <w:color w:val="auto"/>
        </w:rPr>
        <w:t xml:space="preserve"> </w:t>
      </w:r>
      <w:r w:rsidRPr="006870B6">
        <w:t>ACIL Tasman, </w:t>
      </w:r>
      <w:r w:rsidRPr="006870B6">
        <w:rPr>
          <w:i/>
          <w:iCs/>
        </w:rPr>
        <w:t>Pricing for Water Conservation in the Non Residential Urban Sector, </w:t>
      </w:r>
      <w:r w:rsidRPr="006870B6">
        <w:t>Smart Water Fund, February 2007</w:t>
      </w:r>
    </w:p>
  </w:footnote>
  <w:footnote w:id="22">
    <w:p w14:paraId="40760DB0" w14:textId="096B2161" w:rsidR="0069477C" w:rsidRDefault="0069477C">
      <w:pPr>
        <w:pStyle w:val="FootnoteText"/>
      </w:pPr>
      <w:r w:rsidRPr="00F00E61">
        <w:rPr>
          <w:rStyle w:val="FootnoteReference"/>
          <w:color w:val="auto"/>
        </w:rPr>
        <w:footnoteRef/>
      </w:r>
      <w:r w:rsidRPr="00F00E61">
        <w:rPr>
          <w:color w:val="auto"/>
        </w:rPr>
        <w:t xml:space="preserve"> </w:t>
      </w:r>
      <w:r w:rsidRPr="001A5E2E">
        <w:t xml:space="preserve">Essential Services Commission </w:t>
      </w:r>
      <w:r>
        <w:t>(</w:t>
      </w:r>
      <w:r w:rsidRPr="001A5E2E">
        <w:t>2021</w:t>
      </w:r>
      <w:r>
        <w:t>)</w:t>
      </w:r>
      <w:r w:rsidRPr="001A5E2E">
        <w:t>,</w:t>
      </w:r>
      <w:r w:rsidRPr="00116E55">
        <w:rPr>
          <w:i/>
          <w:iCs/>
        </w:rPr>
        <w:t xml:space="preserve"> </w:t>
      </w:r>
      <w:r>
        <w:rPr>
          <w:i/>
          <w:iCs/>
        </w:rPr>
        <w:t>W</w:t>
      </w:r>
      <w:r w:rsidRPr="00116E55">
        <w:rPr>
          <w:i/>
          <w:iCs/>
        </w:rPr>
        <w:t xml:space="preserve">ater </w:t>
      </w:r>
      <w:r>
        <w:rPr>
          <w:i/>
          <w:iCs/>
        </w:rPr>
        <w:t>P</w:t>
      </w:r>
      <w:r w:rsidRPr="00116E55">
        <w:rPr>
          <w:i/>
          <w:iCs/>
        </w:rPr>
        <w:t xml:space="preserve">rice </w:t>
      </w:r>
      <w:r>
        <w:rPr>
          <w:i/>
          <w:iCs/>
        </w:rPr>
        <w:t>R</w:t>
      </w:r>
      <w:r w:rsidRPr="00116E55">
        <w:rPr>
          <w:i/>
          <w:iCs/>
        </w:rPr>
        <w:t>eview</w:t>
      </w:r>
      <w:r>
        <w:rPr>
          <w:i/>
          <w:iCs/>
        </w:rPr>
        <w:t xml:space="preserve"> </w:t>
      </w:r>
      <w:r w:rsidRPr="00C30022">
        <w:rPr>
          <w:i/>
          <w:iCs/>
        </w:rPr>
        <w:t>2023</w:t>
      </w:r>
      <w:r w:rsidRPr="00116E55">
        <w:rPr>
          <w:i/>
          <w:iCs/>
        </w:rPr>
        <w:t>: Guidance paper</w:t>
      </w:r>
      <w:r>
        <w:t>, 26 October; page 53.</w:t>
      </w:r>
    </w:p>
  </w:footnote>
  <w:footnote w:id="23">
    <w:p w14:paraId="4C97CA15" w14:textId="645ED4A8" w:rsidR="0069477C" w:rsidRDefault="0069477C" w:rsidP="00CB0971">
      <w:pPr>
        <w:pStyle w:val="FootnoteText"/>
        <w:ind w:left="426" w:hanging="426"/>
      </w:pPr>
      <w:r w:rsidRPr="00F00E61">
        <w:rPr>
          <w:rStyle w:val="FootnoteReference"/>
          <w:color w:val="auto"/>
        </w:rPr>
        <w:footnoteRef/>
      </w:r>
      <w:r w:rsidRPr="00F00E61">
        <w:rPr>
          <w:color w:val="auto"/>
        </w:rPr>
        <w:t xml:space="preserve"> </w:t>
      </w:r>
      <w:r w:rsidRPr="00F00E61">
        <w:rPr>
          <w:color w:val="auto"/>
        </w:rPr>
        <w:tab/>
      </w:r>
      <w:r w:rsidRPr="002B7F19">
        <w:t>https://www.esc.vic.gov.au/sites/default/files/documents/Melbourne-Water-price-review-2021-Final-decision-20210622.pdf</w:t>
      </w:r>
    </w:p>
  </w:footnote>
  <w:footnote w:id="24">
    <w:p w14:paraId="3BBDC6EE" w14:textId="1E1015C4" w:rsidR="00C2391D" w:rsidRDefault="00C2391D" w:rsidP="00525056">
      <w:pPr>
        <w:pStyle w:val="FootnoteText"/>
      </w:pPr>
      <w:r w:rsidRPr="00525056">
        <w:rPr>
          <w:rStyle w:val="FootnoteReference"/>
          <w:color w:val="auto"/>
        </w:rPr>
        <w:footnoteRef/>
      </w:r>
      <w:r w:rsidRPr="00525056">
        <w:rPr>
          <w:color w:val="auto"/>
        </w:rPr>
        <w:t xml:space="preserve"> </w:t>
      </w:r>
      <w:r w:rsidR="00525056">
        <w:t>This approach to account for historical costs within New Customer Contributions is consistent with the methodologies accepted by SKM in its assessment of NCCs proposed by urban water businesses for the ESC in the 2013 price review. SKM, New Customer Contributions - Review Capital and Operating Expenditure – Expenditure Assessment Report – Metropolitan Urban water businesses, p.6-7.</w:t>
      </w:r>
    </w:p>
  </w:footnote>
  <w:footnote w:id="25">
    <w:p w14:paraId="1988661D" w14:textId="2F5855E2" w:rsidR="00552C75" w:rsidRDefault="00552C75">
      <w:pPr>
        <w:pStyle w:val="FootnoteText"/>
      </w:pPr>
      <w:r w:rsidRPr="00E70FF1">
        <w:rPr>
          <w:rStyle w:val="FootnoteReference"/>
          <w:color w:val="auto"/>
        </w:rPr>
        <w:footnoteRef/>
      </w:r>
      <w:r w:rsidRPr="00E70FF1">
        <w:rPr>
          <w:color w:val="auto"/>
        </w:rPr>
        <w:t xml:space="preserve"> </w:t>
      </w:r>
      <w:r>
        <w:t xml:space="preserve">The ratio may change slightly pending the meter </w:t>
      </w:r>
      <w:r w:rsidR="005C4944">
        <w:t>type</w:t>
      </w:r>
      <w:r>
        <w:t xml:space="preserve"> supplied to a property.</w:t>
      </w:r>
    </w:p>
  </w:footnote>
  <w:footnote w:id="26">
    <w:p w14:paraId="4E8F12EA" w14:textId="1DD2D102" w:rsidR="0069477C" w:rsidRPr="001F078D" w:rsidRDefault="0069477C">
      <w:pPr>
        <w:pStyle w:val="FootnoteText"/>
        <w:rPr>
          <w:color w:val="auto"/>
        </w:rPr>
      </w:pPr>
      <w:r w:rsidRPr="001F078D">
        <w:rPr>
          <w:rStyle w:val="FootnoteReference"/>
          <w:color w:val="auto"/>
        </w:rPr>
        <w:footnoteRef/>
      </w:r>
      <w:r w:rsidRPr="001F078D">
        <w:rPr>
          <w:color w:val="auto"/>
        </w:rPr>
        <w:t xml:space="preserve"> Department of Environment, Land, Water and Planning, </w:t>
      </w:r>
      <w:r w:rsidRPr="001F078D">
        <w:rPr>
          <w:i/>
          <w:color w:val="auto"/>
        </w:rPr>
        <w:t>Managing Climate Change Risk Guidance for Board Members and Executives of Water Corporations and Catchment Management Authorities,</w:t>
      </w:r>
      <w:r w:rsidRPr="001F078D">
        <w:rPr>
          <w:color w:val="auto"/>
        </w:rPr>
        <w:t xml:space="preserve"> June 2019.</w:t>
      </w:r>
      <w:r w:rsidRPr="001F078D">
        <w:rPr>
          <w:i/>
          <w:color w:val="auto"/>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9A066" w14:textId="77777777" w:rsidR="0069477C" w:rsidRDefault="0069477C">
    <w:r>
      <w:cr/>
    </w:r>
  </w:p>
  <w:p w14:paraId="6017986C" w14:textId="77777777" w:rsidR="0069477C" w:rsidRDefault="0069477C"/>
  <w:p w14:paraId="5ABD68FA" w14:textId="77777777" w:rsidR="0069477C" w:rsidRDefault="0069477C">
    <w:r>
      <w:cr/>
    </w:r>
    <w:r>
      <w:cr/>
    </w:r>
    <w:r>
      <w:cr/>
    </w:r>
    <w:r>
      <w:cr/>
    </w:r>
    <w:r>
      <w:cr/>
    </w:r>
    <w:r>
      <w:cr/>
    </w:r>
    <w:r>
      <w:cr/>
    </w:r>
    <w:r>
      <w:cr/>
    </w:r>
    <w:r>
      <w:cr/>
    </w:r>
  </w:p>
  <w:p w14:paraId="69E24EB7" w14:textId="77777777" w:rsidR="0069477C" w:rsidRDefault="0069477C"/>
  <w:p w14:paraId="104A243F" w14:textId="73FC98F5" w:rsidR="0069477C" w:rsidRDefault="0069477C">
    <w:r>
      <w:cr/>
    </w:r>
    <w:r>
      <w:cr/>
    </w:r>
    <w:r>
      <w:cr/>
    </w:r>
    <w:r>
      <w:cr/>
    </w:r>
    <w:r>
      <w:cr/>
    </w:r>
    <w:r>
      <w:cr/>
    </w:r>
    <w:r>
      <w:cr/>
    </w:r>
    <w:r>
      <w:cr/>
    </w:r>
    <w:r>
      <w:cr/>
    </w:r>
    <w:r>
      <w:cr/>
    </w:r>
    <w:r>
      <w:cr/>
    </w:r>
    <w:r>
      <w:cr/>
    </w:r>
    <w:r>
      <w:cr/>
    </w:r>
    <w:r>
      <w:cr/>
    </w:r>
    <w:r>
      <w:cr/>
    </w:r>
    <w:r>
      <w:cr/>
    </w:r>
    <w:r>
      <w:cr/>
    </w:r>
    <w:r>
      <w:cr/>
    </w:r>
    <w:r>
      <w:cr/>
    </w:r>
    <w:r>
      <w:cr/>
    </w:r>
    <w:r>
      <w:cr/>
    </w:r>
    <w:r>
      <w:cr/>
    </w:r>
    <w:r>
      <w:cr/>
    </w:r>
    <w:r>
      <w:cr/>
    </w:r>
    <w:r>
      <w:cr/>
    </w:r>
    <w:r>
      <w:cr/>
    </w:r>
    <w:r>
      <w:cr/>
    </w:r>
    <w:r>
      <w:cr/>
    </w:r>
    <w:r>
      <w:cr/>
    </w:r>
    <w:r>
      <w:cr/>
    </w:r>
    <w:r>
      <w:cr/>
    </w:r>
    <w:r>
      <w:cr/>
    </w:r>
    <w:r>
      <w:cr/>
    </w:r>
    <w:r>
      <w:cr/>
    </w:r>
    <w:r>
      <w:cr/>
    </w:r>
    <w:r>
      <w:cr/>
    </w:r>
    <w:r>
      <w:cr/>
    </w:r>
    <w:r>
      <w:cr/>
    </w:r>
    <w:r>
      <w:cr/>
    </w:r>
    <w:r>
      <w:cr/>
    </w:r>
    <w:r>
      <w:cr/>
    </w:r>
    <w:r>
      <w:cr/>
    </w:r>
    <w:r>
      <w:cr/>
    </w:r>
    <w:r>
      <w:cr/>
    </w:r>
    <w:r>
      <w:cr/>
    </w:r>
    <w:r>
      <w:cr/>
    </w:r>
    <w:r>
      <w:cr/>
    </w:r>
    <w:r>
      <w:cr/>
    </w:r>
    <w:r>
      <w:cr/>
    </w:r>
    <w:r>
      <w:cr/>
    </w:r>
    <w:r>
      <w:cr/>
    </w:r>
    <w:r>
      <w:cr/>
    </w:r>
    <w:r>
      <w:cr/>
    </w:r>
    <w:r>
      <w:cr/>
    </w:r>
    <w:r>
      <w:cr/>
    </w:r>
    <w:r>
      <w:cr/>
    </w:r>
    <w:r>
      <w:cr/>
    </w:r>
    <w:r>
      <w:cr/>
    </w:r>
    <w:r>
      <w:cr/>
    </w:r>
    <w:r>
      <w:cr/>
    </w:r>
    <w:r>
      <w:cr/>
    </w:r>
    <w:r>
      <w:cr/>
    </w:r>
    <w:r>
      <w:cr/>
    </w:r>
    <w:r>
      <w:cr/>
    </w:r>
  </w:p>
  <w:p w14:paraId="3EB810C7" w14:textId="77777777" w:rsidR="00C33179" w:rsidRDefault="00C3317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B2CA4" w14:textId="77777777" w:rsidR="0069477C" w:rsidRDefault="0069477C">
    <w:r>
      <w:cr/>
    </w:r>
  </w:p>
  <w:p w14:paraId="460F17EA" w14:textId="77777777" w:rsidR="0069477C" w:rsidRDefault="0069477C"/>
  <w:p w14:paraId="2F7137AE" w14:textId="77777777" w:rsidR="0069477C" w:rsidRDefault="0069477C">
    <w:r>
      <w:cr/>
    </w:r>
    <w:r>
      <w:cr/>
    </w:r>
    <w:r>
      <w:cr/>
    </w:r>
    <w:r>
      <w:cr/>
    </w:r>
    <w:r>
      <w:cr/>
    </w:r>
    <w:r>
      <w:cr/>
    </w:r>
    <w:r>
      <w:cr/>
    </w:r>
    <w:r>
      <w:cr/>
    </w:r>
    <w:r>
      <w:cr/>
    </w:r>
  </w:p>
  <w:p w14:paraId="134D58FA" w14:textId="77777777" w:rsidR="0069477C" w:rsidRDefault="0069477C"/>
  <w:p w14:paraId="0D9A8B44" w14:textId="53E4E9E6" w:rsidR="0069477C" w:rsidRDefault="0069477C">
    <w:r>
      <w:cr/>
    </w:r>
    <w:r>
      <w:cr/>
    </w:r>
    <w:r>
      <w:cr/>
    </w:r>
    <w:r>
      <w:cr/>
    </w:r>
    <w:r>
      <w:cr/>
    </w:r>
    <w:r>
      <w:cr/>
    </w:r>
    <w:r>
      <w:cr/>
    </w:r>
    <w:r>
      <w:cr/>
    </w:r>
    <w:r>
      <w:cr/>
    </w:r>
    <w:r>
      <w:cr/>
    </w:r>
    <w:r>
      <w:cr/>
    </w:r>
    <w:r>
      <w:cr/>
    </w:r>
    <w:r>
      <w:cr/>
    </w:r>
    <w:r>
      <w:cr/>
    </w:r>
    <w:r>
      <w:cr/>
    </w:r>
    <w:r>
      <w:cr/>
    </w:r>
    <w:r>
      <w:cr/>
    </w:r>
    <w:r>
      <w:cr/>
    </w:r>
    <w:r>
      <w:cr/>
    </w:r>
    <w:r>
      <w:cr/>
    </w:r>
    <w:r>
      <w:cr/>
    </w:r>
    <w:r>
      <w:cr/>
    </w:r>
    <w:r>
      <w:cr/>
    </w:r>
    <w:r>
      <w:cr/>
    </w:r>
    <w:r>
      <w:cr/>
    </w:r>
    <w:r>
      <w:cr/>
    </w:r>
    <w:r>
      <w:cr/>
    </w:r>
    <w:r>
      <w:cr/>
    </w:r>
    <w:r>
      <w:cr/>
    </w:r>
    <w:r>
      <w:cr/>
    </w:r>
    <w:r>
      <w:cr/>
    </w:r>
    <w:r>
      <w:cr/>
    </w:r>
    <w:r>
      <w:cr/>
    </w:r>
    <w:r>
      <w:cr/>
    </w:r>
    <w:r>
      <w:cr/>
    </w:r>
    <w:r>
      <w:cr/>
    </w:r>
    <w:r>
      <w:cr/>
    </w:r>
    <w:r>
      <w:cr/>
    </w:r>
    <w:r>
      <w:cr/>
    </w:r>
    <w:r>
      <w:cr/>
    </w:r>
    <w:r>
      <w:cr/>
    </w:r>
    <w:r>
      <w:cr/>
    </w:r>
    <w:r>
      <w:cr/>
    </w:r>
    <w:r>
      <w:cr/>
    </w:r>
    <w:r>
      <w:cr/>
    </w:r>
    <w:r>
      <w:cr/>
    </w:r>
    <w:r>
      <w:cr/>
    </w:r>
    <w:r>
      <w:cr/>
    </w:r>
    <w:r>
      <w:cr/>
    </w:r>
    <w:r>
      <w:cr/>
    </w:r>
    <w:r>
      <w:cr/>
    </w:r>
    <w:r>
      <w:cr/>
    </w:r>
    <w:r>
      <w:cr/>
    </w:r>
    <w:r>
      <w:cr/>
    </w:r>
    <w:r>
      <w:cr/>
    </w:r>
    <w:r>
      <w:cr/>
    </w:r>
    <w:r>
      <w:cr/>
    </w:r>
    <w:r>
      <w:cr/>
    </w:r>
    <w:r>
      <w:cr/>
    </w:r>
    <w:r>
      <w:cr/>
    </w:r>
    <w:r>
      <w:cr/>
    </w:r>
    <w:r>
      <w:cr/>
    </w:r>
    <w:r>
      <w:cr/>
    </w:r>
    <w:r>
      <w:cr/>
    </w:r>
  </w:p>
  <w:p w14:paraId="6465E195" w14:textId="77777777" w:rsidR="00C33179" w:rsidRDefault="00C3317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70FB8" w14:textId="77777777" w:rsidR="0069477C" w:rsidRDefault="0069477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09F51" w14:textId="77777777" w:rsidR="0069477C" w:rsidRDefault="0069477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0ADB8" w14:textId="77777777" w:rsidR="0069477C" w:rsidRDefault="006947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FB547AA6"/>
    <w:lvl w:ilvl="0">
      <w:start w:val="1"/>
      <w:numFmt w:val="decimal"/>
      <w:pStyle w:val="ListNumber"/>
      <w:lvlText w:val="%1."/>
      <w:lvlJc w:val="left"/>
      <w:pPr>
        <w:tabs>
          <w:tab w:val="num" w:pos="4330"/>
        </w:tabs>
        <w:ind w:left="4330" w:hanging="360"/>
      </w:pPr>
    </w:lvl>
  </w:abstractNum>
  <w:abstractNum w:abstractNumId="1" w15:restartNumberingAfterBreak="0">
    <w:nsid w:val="FFFFFF89"/>
    <w:multiLevelType w:val="singleLevel"/>
    <w:tmpl w:val="69E8862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0611C8"/>
    <w:multiLevelType w:val="hybridMultilevel"/>
    <w:tmpl w:val="A664DF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0725058"/>
    <w:multiLevelType w:val="multilevel"/>
    <w:tmpl w:val="28E4190E"/>
    <w:lvl w:ilvl="0">
      <w:numFmt w:val="bullet"/>
      <w:lvlText w:val="•"/>
      <w:lvlJc w:val="left"/>
      <w:pPr>
        <w:ind w:left="360" w:hanging="360"/>
      </w:pPr>
      <w:rPr>
        <w:rFonts w:ascii="Arial" w:eastAsiaTheme="minorEastAsia" w:hAnsi="Arial" w:cs="Aria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0C11B99"/>
    <w:multiLevelType w:val="multilevel"/>
    <w:tmpl w:val="A1B2D560"/>
    <w:lvl w:ilvl="0">
      <w:start w:val="1"/>
      <w:numFmt w:val="decimal"/>
      <w:pStyle w:val="Heading9"/>
      <w:lvlText w:val="%1."/>
      <w:lvlJc w:val="left"/>
      <w:pPr>
        <w:ind w:left="357" w:hanging="357"/>
      </w:pPr>
      <w:rPr>
        <w:rFonts w:hint="default"/>
      </w:rPr>
    </w:lvl>
    <w:lvl w:ilvl="1">
      <w:start w:val="1"/>
      <w:numFmt w:val="lowerLetter"/>
      <w:pStyle w:val="AppendixH2"/>
      <w:lvlText w:val="%2."/>
      <w:lvlJc w:val="left"/>
      <w:pPr>
        <w:ind w:left="714" w:hanging="357"/>
      </w:pPr>
      <w:rPr>
        <w:rFonts w:hint="default"/>
      </w:rPr>
    </w:lvl>
    <w:lvl w:ilvl="2">
      <w:start w:val="1"/>
      <w:numFmt w:val="lowerRoman"/>
      <w:pStyle w:val="AppendixH3"/>
      <w:lvlText w:val="%3."/>
      <w:lvlJc w:val="left"/>
      <w:pPr>
        <w:ind w:left="1071" w:hanging="357"/>
      </w:pPr>
      <w:rPr>
        <w:rFonts w:hint="default"/>
      </w:rPr>
    </w:lvl>
    <w:lvl w:ilvl="3">
      <w:start w:val="1"/>
      <w:numFmt w:val="bullet"/>
      <w:lvlText w:val="–"/>
      <w:lvlJc w:val="left"/>
      <w:pPr>
        <w:ind w:left="1428" w:hanging="357"/>
      </w:pPr>
      <w:rPr>
        <w:rFonts w:ascii="Franklin Gothic Book" w:hAnsi="Franklin Gothic Book" w:hint="default"/>
        <w:sz w:val="22"/>
      </w:rPr>
    </w:lvl>
    <w:lvl w:ilvl="4">
      <w:start w:val="1"/>
      <w:numFmt w:val="none"/>
      <w:lvlText w:val=""/>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5" w15:restartNumberingAfterBreak="0">
    <w:nsid w:val="01C807C8"/>
    <w:multiLevelType w:val="hybridMultilevel"/>
    <w:tmpl w:val="EB2EE4A8"/>
    <w:lvl w:ilvl="0" w:tplc="5F001916">
      <w:start w:val="1"/>
      <w:numFmt w:val="decimal"/>
      <w:lvlText w:val="%1."/>
      <w:lvlJc w:val="left"/>
      <w:pPr>
        <w:ind w:left="833" w:hanging="72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6" w15:restartNumberingAfterBreak="0">
    <w:nsid w:val="02007205"/>
    <w:multiLevelType w:val="hybridMultilevel"/>
    <w:tmpl w:val="E288094E"/>
    <w:lvl w:ilvl="0" w:tplc="1F0A4DBE">
      <w:start w:val="1"/>
      <w:numFmt w:val="bullet"/>
      <w:lvlText w:val=""/>
      <w:lvlJc w:val="left"/>
      <w:pPr>
        <w:ind w:left="360" w:hanging="360"/>
      </w:pPr>
      <w:rPr>
        <w:rFonts w:ascii="Symbol" w:hAnsi="Symbol" w:hint="default"/>
        <w:sz w:val="1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02466121"/>
    <w:multiLevelType w:val="hybridMultilevel"/>
    <w:tmpl w:val="37786552"/>
    <w:lvl w:ilvl="0" w:tplc="83B67676">
      <w:numFmt w:val="bullet"/>
      <w:lvlText w:val="•"/>
      <w:lvlJc w:val="left"/>
      <w:pPr>
        <w:ind w:left="360" w:hanging="360"/>
      </w:pPr>
      <w:rPr>
        <w:rFonts w:ascii="Arial" w:eastAsiaTheme="minorEastAsia"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3AB5505"/>
    <w:multiLevelType w:val="hybridMultilevel"/>
    <w:tmpl w:val="CACED188"/>
    <w:lvl w:ilvl="0" w:tplc="83B6767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3FA3DD4"/>
    <w:multiLevelType w:val="multilevel"/>
    <w:tmpl w:val="5600B5D4"/>
    <w:lvl w:ilvl="0">
      <w:numFmt w:val="bullet"/>
      <w:lvlText w:val="•"/>
      <w:lvlJc w:val="left"/>
      <w:pPr>
        <w:ind w:left="360" w:hanging="360"/>
      </w:pPr>
      <w:rPr>
        <w:rFonts w:ascii="Arial" w:eastAsiaTheme="minorEastAsia" w:hAnsi="Arial" w:cs="Aria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4BF3666"/>
    <w:multiLevelType w:val="multilevel"/>
    <w:tmpl w:val="030E8658"/>
    <w:lvl w:ilvl="0">
      <w:numFmt w:val="bullet"/>
      <w:lvlText w:val="•"/>
      <w:lvlJc w:val="left"/>
      <w:pPr>
        <w:ind w:left="360" w:hanging="360"/>
      </w:pPr>
      <w:rPr>
        <w:rFonts w:ascii="Arial" w:eastAsiaTheme="minorEastAsia" w:hAnsi="Arial" w:cs="Aria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51E6DE9"/>
    <w:multiLevelType w:val="hybridMultilevel"/>
    <w:tmpl w:val="4A981E6C"/>
    <w:lvl w:ilvl="0" w:tplc="83B67676">
      <w:numFmt w:val="bullet"/>
      <w:lvlText w:val="•"/>
      <w:lvlJc w:val="left"/>
      <w:pPr>
        <w:ind w:left="360" w:hanging="360"/>
      </w:pPr>
      <w:rPr>
        <w:rFonts w:ascii="Arial" w:eastAsiaTheme="minorEastAsia"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0757452E"/>
    <w:multiLevelType w:val="hybridMultilevel"/>
    <w:tmpl w:val="4DAC52B4"/>
    <w:lvl w:ilvl="0" w:tplc="83B67676">
      <w:numFmt w:val="bullet"/>
      <w:lvlText w:val="•"/>
      <w:lvlJc w:val="left"/>
      <w:pPr>
        <w:ind w:left="720" w:hanging="360"/>
      </w:pPr>
      <w:rPr>
        <w:rFonts w:ascii="Arial" w:eastAsiaTheme="minorEastAsia"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076A14F0"/>
    <w:multiLevelType w:val="hybridMultilevel"/>
    <w:tmpl w:val="2B56DE48"/>
    <w:lvl w:ilvl="0" w:tplc="83B67676">
      <w:numFmt w:val="bullet"/>
      <w:lvlText w:val="•"/>
      <w:lvlJc w:val="left"/>
      <w:pPr>
        <w:ind w:left="360" w:hanging="360"/>
      </w:pPr>
      <w:rPr>
        <w:rFonts w:ascii="Arial" w:eastAsiaTheme="minorEastAsia"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084605A4"/>
    <w:multiLevelType w:val="hybridMultilevel"/>
    <w:tmpl w:val="AB28C5D8"/>
    <w:lvl w:ilvl="0" w:tplc="83B67676">
      <w:numFmt w:val="bullet"/>
      <w:lvlText w:val="•"/>
      <w:lvlJc w:val="left"/>
      <w:pPr>
        <w:ind w:left="720" w:hanging="360"/>
      </w:pPr>
      <w:rPr>
        <w:rFonts w:ascii="Arial" w:eastAsiaTheme="minorEastAsia"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090121F8"/>
    <w:multiLevelType w:val="hybridMultilevel"/>
    <w:tmpl w:val="0B34325E"/>
    <w:lvl w:ilvl="0" w:tplc="83B67676">
      <w:numFmt w:val="bullet"/>
      <w:lvlText w:val="•"/>
      <w:lvlJc w:val="left"/>
      <w:pPr>
        <w:ind w:left="720" w:hanging="360"/>
      </w:pPr>
      <w:rPr>
        <w:rFonts w:ascii="Arial" w:eastAsiaTheme="minorEastAsia"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0C6B26FC"/>
    <w:multiLevelType w:val="hybridMultilevel"/>
    <w:tmpl w:val="1C9CD35A"/>
    <w:lvl w:ilvl="0" w:tplc="83B67676">
      <w:numFmt w:val="bullet"/>
      <w:lvlText w:val="•"/>
      <w:lvlJc w:val="left"/>
      <w:pPr>
        <w:ind w:left="360" w:hanging="360"/>
      </w:pPr>
      <w:rPr>
        <w:rFonts w:ascii="Arial" w:eastAsiaTheme="minorEastAsia"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0C875393"/>
    <w:multiLevelType w:val="hybridMultilevel"/>
    <w:tmpl w:val="09DEF4A6"/>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Franklin Gothic Book" w:hAnsi="Franklin Gothic Book" w:hint="default"/>
        <w:sz w:val="22"/>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8" w15:restartNumberingAfterBreak="0">
    <w:nsid w:val="0D2A31ED"/>
    <w:multiLevelType w:val="hybridMultilevel"/>
    <w:tmpl w:val="998C34C4"/>
    <w:lvl w:ilvl="0" w:tplc="83B67676">
      <w:numFmt w:val="bullet"/>
      <w:lvlText w:val="•"/>
      <w:lvlJc w:val="left"/>
      <w:pPr>
        <w:ind w:left="720" w:hanging="360"/>
      </w:pPr>
      <w:rPr>
        <w:rFonts w:ascii="Arial" w:eastAsiaTheme="minorEastAsia" w:hAnsi="Arial" w:cs="Arial" w:hint="default"/>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9" w15:restartNumberingAfterBreak="0">
    <w:nsid w:val="0EA0440E"/>
    <w:multiLevelType w:val="hybridMultilevel"/>
    <w:tmpl w:val="701A0D6E"/>
    <w:lvl w:ilvl="0" w:tplc="1F0A4DBE">
      <w:start w:val="1"/>
      <w:numFmt w:val="bullet"/>
      <w:lvlText w:val=""/>
      <w:lvlJc w:val="left"/>
      <w:pPr>
        <w:ind w:left="360" w:hanging="360"/>
      </w:pPr>
      <w:rPr>
        <w:rFonts w:ascii="Symbol" w:hAnsi="Symbol" w:hint="default"/>
        <w:sz w:val="1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11BF053E"/>
    <w:multiLevelType w:val="hybridMultilevel"/>
    <w:tmpl w:val="2C063A14"/>
    <w:lvl w:ilvl="0" w:tplc="83B67676">
      <w:numFmt w:val="bullet"/>
      <w:lvlText w:val="•"/>
      <w:lvlJc w:val="left"/>
      <w:pPr>
        <w:ind w:left="360" w:hanging="360"/>
      </w:pPr>
      <w:rPr>
        <w:rFonts w:ascii="Arial" w:eastAsiaTheme="minorEastAsia"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13ED304F"/>
    <w:multiLevelType w:val="hybridMultilevel"/>
    <w:tmpl w:val="FB64DF16"/>
    <w:lvl w:ilvl="0" w:tplc="83B67676">
      <w:numFmt w:val="bullet"/>
      <w:lvlText w:val="•"/>
      <w:lvlJc w:val="left"/>
      <w:pPr>
        <w:ind w:left="720" w:hanging="360"/>
      </w:pPr>
      <w:rPr>
        <w:rFonts w:ascii="Arial" w:eastAsiaTheme="minorEastAsia" w:hAnsi="Arial" w:cs="Aria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2" w15:restartNumberingAfterBreak="0">
    <w:nsid w:val="14175F28"/>
    <w:multiLevelType w:val="hybridMultilevel"/>
    <w:tmpl w:val="B2840EAE"/>
    <w:lvl w:ilvl="0" w:tplc="83B67676">
      <w:numFmt w:val="bullet"/>
      <w:lvlText w:val="•"/>
      <w:lvlJc w:val="left"/>
      <w:pPr>
        <w:ind w:left="360" w:hanging="360"/>
      </w:pPr>
      <w:rPr>
        <w:rFonts w:ascii="Arial" w:eastAsiaTheme="minorEastAsia"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1660165A"/>
    <w:multiLevelType w:val="hybridMultilevel"/>
    <w:tmpl w:val="53AA38DC"/>
    <w:lvl w:ilvl="0" w:tplc="83B67676">
      <w:numFmt w:val="bullet"/>
      <w:lvlText w:val="•"/>
      <w:lvlJc w:val="left"/>
      <w:pPr>
        <w:ind w:left="720" w:hanging="360"/>
      </w:pPr>
      <w:rPr>
        <w:rFonts w:ascii="Arial" w:eastAsiaTheme="minorEastAsia" w:hAnsi="Arial" w:cs="Aria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1790249E"/>
    <w:multiLevelType w:val="hybridMultilevel"/>
    <w:tmpl w:val="92D4609A"/>
    <w:lvl w:ilvl="0" w:tplc="83B67676">
      <w:numFmt w:val="bullet"/>
      <w:lvlText w:val="•"/>
      <w:lvlJc w:val="left"/>
      <w:pPr>
        <w:ind w:left="360" w:hanging="360"/>
      </w:pPr>
      <w:rPr>
        <w:rFonts w:ascii="Arial" w:eastAsiaTheme="minorEastAsia"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184D03AD"/>
    <w:multiLevelType w:val="hybridMultilevel"/>
    <w:tmpl w:val="BB1E22B6"/>
    <w:lvl w:ilvl="0" w:tplc="83B67676">
      <w:numFmt w:val="bullet"/>
      <w:lvlText w:val="•"/>
      <w:lvlJc w:val="left"/>
      <w:pPr>
        <w:ind w:left="720" w:hanging="360"/>
      </w:pPr>
      <w:rPr>
        <w:rFonts w:ascii="Arial" w:eastAsiaTheme="minorEastAsia"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18CC7A22"/>
    <w:multiLevelType w:val="multilevel"/>
    <w:tmpl w:val="F0E06EA2"/>
    <w:lvl w:ilvl="0">
      <w:numFmt w:val="bullet"/>
      <w:lvlText w:val="•"/>
      <w:lvlJc w:val="left"/>
      <w:pPr>
        <w:ind w:left="360" w:hanging="360"/>
      </w:pPr>
      <w:rPr>
        <w:rFonts w:ascii="Arial" w:eastAsiaTheme="minorEastAsia" w:hAnsi="Arial" w:cs="Aria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1922667C"/>
    <w:multiLevelType w:val="hybridMultilevel"/>
    <w:tmpl w:val="5AF83520"/>
    <w:lvl w:ilvl="0" w:tplc="FFFFFFFF">
      <w:start w:val="1"/>
      <w:numFmt w:val="bullet"/>
      <w:lvlText w:val="–"/>
      <w:lvlJc w:val="left"/>
      <w:pPr>
        <w:ind w:left="1440" w:hanging="360"/>
      </w:pPr>
      <w:rPr>
        <w:rFonts w:ascii="Franklin Gothic Book" w:hAnsi="Franklin Gothic Book" w:hint="default"/>
        <w:sz w:val="22"/>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8" w15:restartNumberingAfterBreak="0">
    <w:nsid w:val="1A753C9A"/>
    <w:multiLevelType w:val="hybridMultilevel"/>
    <w:tmpl w:val="23B65AAE"/>
    <w:lvl w:ilvl="0" w:tplc="83B67676">
      <w:numFmt w:val="bullet"/>
      <w:lvlText w:val="•"/>
      <w:lvlJc w:val="left"/>
      <w:pPr>
        <w:ind w:left="360" w:hanging="360"/>
      </w:pPr>
      <w:rPr>
        <w:rFonts w:ascii="Arial" w:eastAsiaTheme="minorEastAsia"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15:restartNumberingAfterBreak="0">
    <w:nsid w:val="1AAC6874"/>
    <w:multiLevelType w:val="hybridMultilevel"/>
    <w:tmpl w:val="517EB810"/>
    <w:lvl w:ilvl="0" w:tplc="83B67676">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1B966E7C"/>
    <w:multiLevelType w:val="hybridMultilevel"/>
    <w:tmpl w:val="5900DE5A"/>
    <w:lvl w:ilvl="0" w:tplc="83B67676">
      <w:numFmt w:val="bullet"/>
      <w:lvlText w:val="•"/>
      <w:lvlJc w:val="left"/>
      <w:pPr>
        <w:ind w:left="360" w:hanging="360"/>
      </w:pPr>
      <w:rPr>
        <w:rFonts w:ascii="Arial" w:eastAsiaTheme="minorEastAsia"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 w15:restartNumberingAfterBreak="0">
    <w:nsid w:val="1BF377F9"/>
    <w:multiLevelType w:val="hybridMultilevel"/>
    <w:tmpl w:val="05FE4C58"/>
    <w:lvl w:ilvl="0" w:tplc="83B67676">
      <w:numFmt w:val="bullet"/>
      <w:lvlText w:val="•"/>
      <w:lvlJc w:val="left"/>
      <w:pPr>
        <w:ind w:left="360" w:hanging="360"/>
      </w:pPr>
      <w:rPr>
        <w:rFonts w:ascii="Arial" w:eastAsiaTheme="minorEastAsia" w:hAnsi="Arial" w:cs="Aria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2" w15:restartNumberingAfterBreak="0">
    <w:nsid w:val="1D335759"/>
    <w:multiLevelType w:val="hybridMultilevel"/>
    <w:tmpl w:val="051EC6F2"/>
    <w:lvl w:ilvl="0" w:tplc="83B67676">
      <w:numFmt w:val="bullet"/>
      <w:lvlText w:val="•"/>
      <w:lvlJc w:val="left"/>
      <w:pPr>
        <w:ind w:left="360" w:hanging="360"/>
      </w:pPr>
      <w:rPr>
        <w:rFonts w:ascii="Arial" w:eastAsiaTheme="minorEastAsia"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3" w15:restartNumberingAfterBreak="0">
    <w:nsid w:val="1DC542CA"/>
    <w:multiLevelType w:val="hybridMultilevel"/>
    <w:tmpl w:val="0CE89CA4"/>
    <w:lvl w:ilvl="0" w:tplc="9DF0A4CA">
      <w:numFmt w:val="bullet"/>
      <w:lvlText w:val="•"/>
      <w:lvlJc w:val="left"/>
      <w:pPr>
        <w:ind w:left="360" w:hanging="360"/>
      </w:pPr>
      <w:rPr>
        <w:rFonts w:ascii="Arial" w:hAnsi="Arial" w:hint="default"/>
        <w:w w:val="1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1DC67A20"/>
    <w:multiLevelType w:val="multilevel"/>
    <w:tmpl w:val="9D625AA6"/>
    <w:styleLink w:val="ListNumber0"/>
    <w:lvl w:ilvl="0">
      <w:start w:val="1"/>
      <w:numFmt w:val="decimal"/>
      <w:lvlText w:val="%1"/>
      <w:lvlJc w:val="left"/>
      <w:pPr>
        <w:tabs>
          <w:tab w:val="num" w:pos="1134"/>
        </w:tabs>
        <w:ind w:left="1134" w:hanging="1134"/>
      </w:pPr>
      <w:rPr>
        <w:rFonts w:asciiTheme="majorHAnsi" w:hAnsiTheme="majorHAnsi" w:hint="default"/>
        <w:color w:val="00B1F4" w:themeColor="accent2"/>
      </w:rPr>
    </w:lvl>
    <w:lvl w:ilvl="1">
      <w:start w:val="1"/>
      <w:numFmt w:val="decimal"/>
      <w:lvlText w:val="%1.%2"/>
      <w:lvlJc w:val="left"/>
      <w:pPr>
        <w:tabs>
          <w:tab w:val="num" w:pos="1134"/>
        </w:tabs>
        <w:ind w:left="1134" w:hanging="1134"/>
      </w:pPr>
      <w:rPr>
        <w:rFonts w:ascii="Gotham Light" w:hAnsi="Gotham Light" w:hint="default"/>
        <w:color w:val="FFE900" w:themeColor="accent3"/>
      </w:rPr>
    </w:lvl>
    <w:lvl w:ilvl="2">
      <w:start w:val="1"/>
      <w:numFmt w:val="decimal"/>
      <w:lvlText w:val="%1.%2.%3"/>
      <w:lvlJc w:val="left"/>
      <w:pPr>
        <w:tabs>
          <w:tab w:val="num" w:pos="1134"/>
        </w:tabs>
        <w:ind w:left="1134" w:hanging="1134"/>
      </w:pPr>
      <w:rPr>
        <w:rFonts w:asciiTheme="majorHAnsi" w:hAnsiTheme="majorHAnsi" w:hint="default"/>
        <w:color w:val="0075E3" w:themeColor="accent1"/>
      </w:rPr>
    </w:lvl>
    <w:lvl w:ilvl="3">
      <w:start w:val="1"/>
      <w:numFmt w:val="decimal"/>
      <w:lvlText w:val="%1.%2.%3.%4"/>
      <w:lvlJc w:val="left"/>
      <w:pPr>
        <w:tabs>
          <w:tab w:val="num" w:pos="1134"/>
        </w:tabs>
        <w:ind w:left="1134" w:hanging="1134"/>
      </w:pPr>
      <w:rPr>
        <w:rFonts w:asciiTheme="majorHAnsi" w:hAnsiTheme="majorHAnsi" w:hint="default"/>
        <w:color w:val="auto"/>
        <w:sz w:val="18"/>
      </w:rPr>
    </w:lvl>
    <w:lvl w:ilvl="4">
      <w:start w:val="1"/>
      <w:numFmt w:val="decimal"/>
      <w:lvlText w:val="%1.%2.%3.%4.%5"/>
      <w:lvlJc w:val="left"/>
      <w:pPr>
        <w:tabs>
          <w:tab w:val="num" w:pos="1134"/>
        </w:tabs>
        <w:ind w:left="1134" w:hanging="1134"/>
      </w:pPr>
      <w:rPr>
        <w:rFonts w:asciiTheme="majorHAnsi" w:hAnsiTheme="majorHAnsi" w:hint="default"/>
        <w:color w:val="00B1F4" w:themeColor="accent2"/>
        <w:sz w:val="18"/>
      </w:rPr>
    </w:lvl>
    <w:lvl w:ilvl="5">
      <w:start w:val="1"/>
      <w:numFmt w:val="none"/>
      <w:lvlText w:val=""/>
      <w:lvlJc w:val="left"/>
      <w:pPr>
        <w:ind w:left="-32767" w:firstLine="0"/>
      </w:pPr>
      <w:rPr>
        <w:rFonts w:hint="default"/>
      </w:rPr>
    </w:lvl>
    <w:lvl w:ilvl="6">
      <w:start w:val="1"/>
      <w:numFmt w:val="none"/>
      <w:lvlRestart w:val="1"/>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space"/>
      <w:lvlText w:val=""/>
      <w:lvlJc w:val="left"/>
      <w:pPr>
        <w:ind w:left="0" w:firstLine="0"/>
      </w:pPr>
      <w:rPr>
        <w:rFonts w:hint="default"/>
      </w:rPr>
    </w:lvl>
  </w:abstractNum>
  <w:abstractNum w:abstractNumId="35" w15:restartNumberingAfterBreak="0">
    <w:nsid w:val="1E8A4C3A"/>
    <w:multiLevelType w:val="hybridMultilevel"/>
    <w:tmpl w:val="78A6FB24"/>
    <w:lvl w:ilvl="0" w:tplc="83B67676">
      <w:numFmt w:val="bullet"/>
      <w:lvlText w:val="•"/>
      <w:lvlJc w:val="left"/>
      <w:pPr>
        <w:ind w:left="360" w:hanging="360"/>
      </w:pPr>
      <w:rPr>
        <w:rFonts w:ascii="Arial" w:eastAsiaTheme="minorEastAsia"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6" w15:restartNumberingAfterBreak="0">
    <w:nsid w:val="1EC46BCF"/>
    <w:multiLevelType w:val="hybridMultilevel"/>
    <w:tmpl w:val="9698D122"/>
    <w:lvl w:ilvl="0" w:tplc="83B67676">
      <w:numFmt w:val="bullet"/>
      <w:lvlText w:val="•"/>
      <w:lvlJc w:val="left"/>
      <w:pPr>
        <w:ind w:left="720" w:hanging="360"/>
      </w:pPr>
      <w:rPr>
        <w:rFonts w:ascii="Arial" w:eastAsiaTheme="minorEastAsia" w:hAnsi="Arial" w:cs="Aria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7" w15:restartNumberingAfterBreak="0">
    <w:nsid w:val="1F507B91"/>
    <w:multiLevelType w:val="multilevel"/>
    <w:tmpl w:val="784C74BE"/>
    <w:lvl w:ilvl="0">
      <w:numFmt w:val="bullet"/>
      <w:lvlText w:val="•"/>
      <w:lvlJc w:val="left"/>
      <w:pPr>
        <w:ind w:left="360" w:hanging="360"/>
      </w:pPr>
      <w:rPr>
        <w:rFonts w:ascii="Arial" w:eastAsiaTheme="minorEastAsia" w:hAnsi="Arial" w:cs="Aria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20870D22"/>
    <w:multiLevelType w:val="hybridMultilevel"/>
    <w:tmpl w:val="1FC2CC80"/>
    <w:lvl w:ilvl="0" w:tplc="83B67676">
      <w:numFmt w:val="bullet"/>
      <w:lvlText w:val="•"/>
      <w:lvlJc w:val="left"/>
      <w:pPr>
        <w:ind w:left="1004" w:hanging="360"/>
      </w:pPr>
      <w:rPr>
        <w:rFonts w:ascii="Arial" w:eastAsiaTheme="minorEastAsia" w:hAnsi="Arial" w:cs="Aria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9" w15:restartNumberingAfterBreak="0">
    <w:nsid w:val="20CF5585"/>
    <w:multiLevelType w:val="multilevel"/>
    <w:tmpl w:val="1FCADDF8"/>
    <w:lvl w:ilvl="0">
      <w:numFmt w:val="bullet"/>
      <w:lvlText w:val="•"/>
      <w:lvlJc w:val="left"/>
      <w:pPr>
        <w:ind w:left="360" w:hanging="360"/>
      </w:pPr>
      <w:rPr>
        <w:rFonts w:ascii="Arial" w:eastAsiaTheme="minorEastAsia" w:hAnsi="Arial" w:cs="Aria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21A62471"/>
    <w:multiLevelType w:val="hybridMultilevel"/>
    <w:tmpl w:val="7026CC4A"/>
    <w:lvl w:ilvl="0" w:tplc="83B67676">
      <w:numFmt w:val="bullet"/>
      <w:lvlText w:val="•"/>
      <w:lvlJc w:val="left"/>
      <w:pPr>
        <w:ind w:left="720" w:hanging="360"/>
      </w:pPr>
      <w:rPr>
        <w:rFonts w:ascii="Arial" w:eastAsiaTheme="minorEastAsia"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1" w15:restartNumberingAfterBreak="0">
    <w:nsid w:val="248A0D5E"/>
    <w:multiLevelType w:val="hybridMultilevel"/>
    <w:tmpl w:val="71203C80"/>
    <w:lvl w:ilvl="0" w:tplc="83B67676">
      <w:numFmt w:val="bullet"/>
      <w:lvlText w:val="•"/>
      <w:lvlJc w:val="left"/>
      <w:pPr>
        <w:ind w:left="720" w:hanging="360"/>
      </w:pPr>
      <w:rPr>
        <w:rFonts w:ascii="Arial" w:eastAsiaTheme="minorEastAsia" w:hAnsi="Arial" w:cs="Aria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2" w15:restartNumberingAfterBreak="0">
    <w:nsid w:val="24FD44A7"/>
    <w:multiLevelType w:val="hybridMultilevel"/>
    <w:tmpl w:val="DB6E9CAA"/>
    <w:lvl w:ilvl="0" w:tplc="83B67676">
      <w:numFmt w:val="bullet"/>
      <w:lvlText w:val="•"/>
      <w:lvlJc w:val="left"/>
      <w:pPr>
        <w:ind w:left="360" w:hanging="360"/>
      </w:pPr>
      <w:rPr>
        <w:rFonts w:ascii="Arial" w:eastAsiaTheme="minorEastAsia" w:hAnsi="Arial" w:cs="Arial" w:hint="default"/>
        <w:w w:val="1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26607D0A"/>
    <w:multiLevelType w:val="hybridMultilevel"/>
    <w:tmpl w:val="34588CE8"/>
    <w:lvl w:ilvl="0" w:tplc="FFFFFFFF">
      <w:start w:val="1"/>
      <w:numFmt w:val="bullet"/>
      <w:lvlText w:val=""/>
      <w:lvlJc w:val="left"/>
      <w:pPr>
        <w:ind w:left="357" w:hanging="357"/>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6D73B64"/>
    <w:multiLevelType w:val="hybridMultilevel"/>
    <w:tmpl w:val="F24E4E6E"/>
    <w:lvl w:ilvl="0" w:tplc="83B67676">
      <w:numFmt w:val="bullet"/>
      <w:lvlText w:val="•"/>
      <w:lvlJc w:val="left"/>
      <w:pPr>
        <w:ind w:left="360" w:hanging="360"/>
      </w:pPr>
      <w:rPr>
        <w:rFonts w:ascii="Arial" w:eastAsiaTheme="minorEastAsia" w:hAnsi="Arial" w:cs="Arial" w:hint="default"/>
        <w:sz w:val="24"/>
      </w:rPr>
    </w:lvl>
    <w:lvl w:ilvl="1" w:tplc="FFFFFFFF">
      <w:start w:val="1"/>
      <w:numFmt w:val="bullet"/>
      <w:lvlText w:val="–"/>
      <w:lvlJc w:val="left"/>
      <w:pPr>
        <w:ind w:left="714" w:hanging="357"/>
      </w:pPr>
      <w:rPr>
        <w:rFonts w:ascii="Franklin Gothic Book" w:hAnsi="Franklin Gothic Book" w:hint="default"/>
        <w:sz w:val="22"/>
      </w:rPr>
    </w:lvl>
    <w:lvl w:ilvl="2" w:tplc="FFFFFFFF">
      <w:start w:val="1"/>
      <w:numFmt w:val="bullet"/>
      <w:lvlText w:val=""/>
      <w:lvlJc w:val="left"/>
      <w:pPr>
        <w:ind w:left="1071" w:hanging="357"/>
      </w:pPr>
      <w:rPr>
        <w:rFonts w:ascii="Symbol" w:hAnsi="Symbol" w:hint="default"/>
        <w:sz w:val="22"/>
      </w:rPr>
    </w:lvl>
    <w:lvl w:ilvl="3" w:tplc="FFFFFFFF">
      <w:start w:val="1"/>
      <w:numFmt w:val="decimal"/>
      <w:lvlText w:val=""/>
      <w:lvlJc w:val="left"/>
      <w:pPr>
        <w:ind w:left="1428" w:hanging="357"/>
      </w:pPr>
    </w:lvl>
    <w:lvl w:ilvl="4" w:tplc="FFFFFFFF">
      <w:start w:val="1"/>
      <w:numFmt w:val="decimal"/>
      <w:lvlText w:val=""/>
      <w:lvlJc w:val="left"/>
      <w:pPr>
        <w:ind w:left="1785" w:hanging="357"/>
      </w:pPr>
    </w:lvl>
    <w:lvl w:ilvl="5" w:tplc="FFFFFFFF">
      <w:start w:val="1"/>
      <w:numFmt w:val="decimal"/>
      <w:lvlText w:val=""/>
      <w:lvlJc w:val="left"/>
      <w:pPr>
        <w:ind w:left="2142" w:hanging="357"/>
      </w:pPr>
    </w:lvl>
    <w:lvl w:ilvl="6" w:tplc="FFFFFFFF">
      <w:start w:val="1"/>
      <w:numFmt w:val="decimal"/>
      <w:lvlText w:val=""/>
      <w:lvlJc w:val="left"/>
      <w:pPr>
        <w:ind w:left="2499" w:hanging="357"/>
      </w:pPr>
    </w:lvl>
    <w:lvl w:ilvl="7" w:tplc="FFFFFFFF">
      <w:start w:val="1"/>
      <w:numFmt w:val="decimal"/>
      <w:lvlText w:val=""/>
      <w:lvlJc w:val="left"/>
      <w:pPr>
        <w:ind w:left="2856" w:hanging="357"/>
      </w:pPr>
    </w:lvl>
    <w:lvl w:ilvl="8" w:tplc="FFFFFFFF">
      <w:start w:val="1"/>
      <w:numFmt w:val="decimal"/>
      <w:lvlText w:val=""/>
      <w:lvlJc w:val="left"/>
      <w:pPr>
        <w:ind w:left="3213" w:hanging="357"/>
      </w:pPr>
    </w:lvl>
  </w:abstractNum>
  <w:abstractNum w:abstractNumId="45" w15:restartNumberingAfterBreak="0">
    <w:nsid w:val="27290C99"/>
    <w:multiLevelType w:val="hybridMultilevel"/>
    <w:tmpl w:val="9F7E4164"/>
    <w:lvl w:ilvl="0" w:tplc="83B67676">
      <w:numFmt w:val="bullet"/>
      <w:lvlText w:val="•"/>
      <w:lvlJc w:val="left"/>
      <w:pPr>
        <w:ind w:left="720" w:hanging="360"/>
      </w:pPr>
      <w:rPr>
        <w:rFonts w:ascii="Arial" w:eastAsiaTheme="minorEastAsia"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28190013"/>
    <w:multiLevelType w:val="hybridMultilevel"/>
    <w:tmpl w:val="1A0ECE7C"/>
    <w:lvl w:ilvl="0" w:tplc="83B67676">
      <w:numFmt w:val="bullet"/>
      <w:lvlText w:val="•"/>
      <w:lvlJc w:val="left"/>
      <w:pPr>
        <w:ind w:left="720" w:hanging="360"/>
      </w:pPr>
      <w:rPr>
        <w:rFonts w:ascii="Arial" w:eastAsiaTheme="minorEastAsia"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29973E80"/>
    <w:multiLevelType w:val="multilevel"/>
    <w:tmpl w:val="47EA5226"/>
    <w:styleLink w:val="ListTableNumber"/>
    <w:lvl w:ilvl="0">
      <w:start w:val="1"/>
      <w:numFmt w:val="decimal"/>
      <w:lvlText w:val="%1."/>
      <w:lvlJc w:val="left"/>
      <w:pPr>
        <w:ind w:left="473" w:hanging="360"/>
      </w:pPr>
      <w:rPr>
        <w:rFonts w:hint="default"/>
      </w:rPr>
    </w:lvl>
    <w:lvl w:ilvl="1">
      <w:start w:val="1"/>
      <w:numFmt w:val="lowerLetter"/>
      <w:lvlText w:val="(%2)"/>
      <w:lvlJc w:val="left"/>
      <w:pPr>
        <w:tabs>
          <w:tab w:val="num" w:pos="680"/>
        </w:tabs>
        <w:ind w:left="680" w:hanging="283"/>
      </w:pPr>
      <w:rPr>
        <w:rFonts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48" w15:restartNumberingAfterBreak="0">
    <w:nsid w:val="29E43DCA"/>
    <w:multiLevelType w:val="hybridMultilevel"/>
    <w:tmpl w:val="01AA4C92"/>
    <w:lvl w:ilvl="0" w:tplc="83B67676">
      <w:numFmt w:val="bullet"/>
      <w:lvlText w:val="•"/>
      <w:lvlJc w:val="left"/>
      <w:pPr>
        <w:ind w:left="720" w:hanging="360"/>
      </w:pPr>
      <w:rPr>
        <w:rFonts w:ascii="Arial" w:eastAsiaTheme="minorEastAsia"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2A4D7DD3"/>
    <w:multiLevelType w:val="hybridMultilevel"/>
    <w:tmpl w:val="63D0A3C8"/>
    <w:lvl w:ilvl="0" w:tplc="83B67676">
      <w:numFmt w:val="bullet"/>
      <w:lvlText w:val="•"/>
      <w:lvlJc w:val="left"/>
      <w:pPr>
        <w:ind w:left="360" w:hanging="360"/>
      </w:pPr>
      <w:rPr>
        <w:rFonts w:ascii="Arial" w:eastAsiaTheme="minorEastAsia"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2AEE2928"/>
    <w:multiLevelType w:val="hybridMultilevel"/>
    <w:tmpl w:val="C3F668EC"/>
    <w:lvl w:ilvl="0" w:tplc="FFFFFFFF">
      <w:start w:val="1"/>
      <w:numFmt w:val="bullet"/>
      <w:lvlText w:val="–"/>
      <w:lvlJc w:val="left"/>
      <w:pPr>
        <w:ind w:left="360" w:hanging="360"/>
      </w:pPr>
      <w:rPr>
        <w:rFonts w:ascii="Franklin Gothic Book" w:hAnsi="Franklin Gothic Book" w:hint="default"/>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2B5775DD"/>
    <w:multiLevelType w:val="multilevel"/>
    <w:tmpl w:val="75965996"/>
    <w:lvl w:ilvl="0">
      <w:numFmt w:val="bullet"/>
      <w:lvlText w:val="•"/>
      <w:lvlJc w:val="left"/>
      <w:pPr>
        <w:ind w:left="360" w:hanging="360"/>
      </w:pPr>
      <w:rPr>
        <w:rFonts w:ascii="Arial" w:eastAsiaTheme="minorEastAsia" w:hAnsi="Arial" w:cs="Aria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2B5C34B0"/>
    <w:multiLevelType w:val="hybridMultilevel"/>
    <w:tmpl w:val="94C49680"/>
    <w:lvl w:ilvl="0" w:tplc="83B67676">
      <w:numFmt w:val="bullet"/>
      <w:lvlText w:val="•"/>
      <w:lvlJc w:val="left"/>
      <w:pPr>
        <w:ind w:left="360" w:hanging="360"/>
      </w:pPr>
      <w:rPr>
        <w:rFonts w:ascii="Arial" w:eastAsiaTheme="minorEastAsia"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3" w15:restartNumberingAfterBreak="0">
    <w:nsid w:val="2E9F36F1"/>
    <w:multiLevelType w:val="hybridMultilevel"/>
    <w:tmpl w:val="88CCA5B4"/>
    <w:lvl w:ilvl="0" w:tplc="83B67676">
      <w:numFmt w:val="bullet"/>
      <w:lvlText w:val="•"/>
      <w:lvlJc w:val="left"/>
      <w:pPr>
        <w:ind w:left="360" w:hanging="360"/>
      </w:pPr>
      <w:rPr>
        <w:rFonts w:ascii="Arial" w:eastAsiaTheme="minorEastAsia"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2EBE5F1B"/>
    <w:multiLevelType w:val="multilevel"/>
    <w:tmpl w:val="122A35AE"/>
    <w:lvl w:ilvl="0">
      <w:numFmt w:val="bullet"/>
      <w:lvlText w:val="•"/>
      <w:lvlJc w:val="left"/>
      <w:pPr>
        <w:ind w:left="360" w:hanging="360"/>
      </w:pPr>
      <w:rPr>
        <w:rFonts w:ascii="Arial" w:eastAsiaTheme="minorEastAsia" w:hAnsi="Arial" w:cs="Aria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2EFE7159"/>
    <w:multiLevelType w:val="hybridMultilevel"/>
    <w:tmpl w:val="9844F258"/>
    <w:lvl w:ilvl="0" w:tplc="83B67676">
      <w:numFmt w:val="bullet"/>
      <w:lvlText w:val="•"/>
      <w:lvlJc w:val="left"/>
      <w:pPr>
        <w:ind w:left="360" w:hanging="360"/>
      </w:pPr>
      <w:rPr>
        <w:rFonts w:ascii="Arial" w:eastAsiaTheme="minorEastAsia" w:hAnsi="Arial" w:cs="Aria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56" w15:restartNumberingAfterBreak="0">
    <w:nsid w:val="2F3E21CE"/>
    <w:multiLevelType w:val="hybridMultilevel"/>
    <w:tmpl w:val="FF82E18A"/>
    <w:lvl w:ilvl="0" w:tplc="83B67676">
      <w:numFmt w:val="bullet"/>
      <w:lvlText w:val="•"/>
      <w:lvlJc w:val="left"/>
      <w:pPr>
        <w:ind w:left="720" w:hanging="360"/>
      </w:pPr>
      <w:rPr>
        <w:rFonts w:ascii="Arial" w:eastAsiaTheme="minorEastAsia"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2F5D3C00"/>
    <w:multiLevelType w:val="hybridMultilevel"/>
    <w:tmpl w:val="2436B17E"/>
    <w:lvl w:ilvl="0" w:tplc="83B6767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2FBB62EE"/>
    <w:multiLevelType w:val="hybridMultilevel"/>
    <w:tmpl w:val="6B5C06C4"/>
    <w:lvl w:ilvl="0" w:tplc="83B67676">
      <w:numFmt w:val="bullet"/>
      <w:lvlText w:val="•"/>
      <w:lvlJc w:val="left"/>
      <w:pPr>
        <w:ind w:left="720" w:hanging="360"/>
      </w:pPr>
      <w:rPr>
        <w:rFonts w:ascii="Arial" w:eastAsiaTheme="minorEastAsia"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9" w15:restartNumberingAfterBreak="0">
    <w:nsid w:val="2FDD00F4"/>
    <w:multiLevelType w:val="hybridMultilevel"/>
    <w:tmpl w:val="5A1A2F20"/>
    <w:styleLink w:val="ListTableBullet"/>
    <w:lvl w:ilvl="0" w:tplc="83B67676">
      <w:numFmt w:val="bullet"/>
      <w:lvlText w:val="•"/>
      <w:lvlJc w:val="left"/>
      <w:pPr>
        <w:ind w:left="720" w:hanging="360"/>
      </w:pPr>
      <w:rPr>
        <w:rFonts w:ascii="Arial" w:eastAsiaTheme="minorEastAsia" w:hAnsi="Arial" w:cs="Arial" w:hint="default"/>
      </w:rPr>
    </w:lvl>
    <w:lvl w:ilvl="1" w:tplc="CC7894F4">
      <w:start w:val="1"/>
      <w:numFmt w:val="bullet"/>
      <w:lvlText w:val="o"/>
      <w:lvlJc w:val="left"/>
      <w:pPr>
        <w:ind w:left="1440" w:hanging="360"/>
      </w:pPr>
      <w:rPr>
        <w:rFonts w:ascii="Courier New" w:hAnsi="Courier New" w:hint="default"/>
      </w:rPr>
    </w:lvl>
    <w:lvl w:ilvl="2" w:tplc="D87474D8">
      <w:start w:val="1"/>
      <w:numFmt w:val="bullet"/>
      <w:lvlText w:val=""/>
      <w:lvlJc w:val="left"/>
      <w:pPr>
        <w:ind w:left="2160" w:hanging="360"/>
      </w:pPr>
      <w:rPr>
        <w:rFonts w:ascii="Wingdings" w:hAnsi="Wingdings" w:hint="default"/>
      </w:rPr>
    </w:lvl>
    <w:lvl w:ilvl="3" w:tplc="F20C6D38">
      <w:start w:val="1"/>
      <w:numFmt w:val="bullet"/>
      <w:lvlText w:val=""/>
      <w:lvlJc w:val="left"/>
      <w:pPr>
        <w:ind w:left="2880" w:hanging="360"/>
      </w:pPr>
      <w:rPr>
        <w:rFonts w:ascii="Symbol" w:hAnsi="Symbol" w:hint="default"/>
      </w:rPr>
    </w:lvl>
    <w:lvl w:ilvl="4" w:tplc="85708A7C">
      <w:start w:val="1"/>
      <w:numFmt w:val="bullet"/>
      <w:lvlText w:val="o"/>
      <w:lvlJc w:val="left"/>
      <w:pPr>
        <w:ind w:left="3600" w:hanging="360"/>
      </w:pPr>
      <w:rPr>
        <w:rFonts w:ascii="Courier New" w:hAnsi="Courier New" w:hint="default"/>
      </w:rPr>
    </w:lvl>
    <w:lvl w:ilvl="5" w:tplc="37AE9D2C">
      <w:start w:val="1"/>
      <w:numFmt w:val="bullet"/>
      <w:lvlText w:val=""/>
      <w:lvlJc w:val="left"/>
      <w:pPr>
        <w:ind w:left="4320" w:hanging="360"/>
      </w:pPr>
      <w:rPr>
        <w:rFonts w:ascii="Wingdings" w:hAnsi="Wingdings" w:hint="default"/>
      </w:rPr>
    </w:lvl>
    <w:lvl w:ilvl="6" w:tplc="40128146">
      <w:start w:val="1"/>
      <w:numFmt w:val="bullet"/>
      <w:lvlText w:val=""/>
      <w:lvlJc w:val="left"/>
      <w:pPr>
        <w:ind w:left="5040" w:hanging="360"/>
      </w:pPr>
      <w:rPr>
        <w:rFonts w:ascii="Symbol" w:hAnsi="Symbol" w:hint="default"/>
      </w:rPr>
    </w:lvl>
    <w:lvl w:ilvl="7" w:tplc="EC1ED1B6">
      <w:start w:val="1"/>
      <w:numFmt w:val="bullet"/>
      <w:lvlText w:val="o"/>
      <w:lvlJc w:val="left"/>
      <w:pPr>
        <w:ind w:left="5760" w:hanging="360"/>
      </w:pPr>
      <w:rPr>
        <w:rFonts w:ascii="Courier New" w:hAnsi="Courier New" w:hint="default"/>
      </w:rPr>
    </w:lvl>
    <w:lvl w:ilvl="8" w:tplc="A9FA59A6">
      <w:start w:val="1"/>
      <w:numFmt w:val="bullet"/>
      <w:lvlText w:val=""/>
      <w:lvlJc w:val="left"/>
      <w:pPr>
        <w:ind w:left="6480" w:hanging="360"/>
      </w:pPr>
      <w:rPr>
        <w:rFonts w:ascii="Wingdings" w:hAnsi="Wingdings" w:hint="default"/>
      </w:rPr>
    </w:lvl>
  </w:abstractNum>
  <w:abstractNum w:abstractNumId="60" w15:restartNumberingAfterBreak="0">
    <w:nsid w:val="302F2632"/>
    <w:multiLevelType w:val="hybridMultilevel"/>
    <w:tmpl w:val="8A9AA63E"/>
    <w:lvl w:ilvl="0" w:tplc="D3947420">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1" w15:restartNumberingAfterBreak="0">
    <w:nsid w:val="306721EB"/>
    <w:multiLevelType w:val="hybridMultilevel"/>
    <w:tmpl w:val="92F649C6"/>
    <w:lvl w:ilvl="0" w:tplc="83B67676">
      <w:numFmt w:val="bullet"/>
      <w:lvlText w:val="•"/>
      <w:lvlJc w:val="left"/>
      <w:pPr>
        <w:ind w:left="360" w:hanging="360"/>
      </w:pPr>
      <w:rPr>
        <w:rFonts w:ascii="Arial" w:eastAsiaTheme="minorEastAsia" w:hAnsi="Arial" w:cs="Arial" w:hint="default"/>
        <w:sz w:val="24"/>
      </w:rPr>
    </w:lvl>
    <w:lvl w:ilvl="1" w:tplc="FFFFFFFF">
      <w:start w:val="1"/>
      <w:numFmt w:val="bullet"/>
      <w:lvlText w:val="–"/>
      <w:lvlJc w:val="left"/>
      <w:pPr>
        <w:ind w:left="714" w:hanging="357"/>
      </w:pPr>
      <w:rPr>
        <w:rFonts w:ascii="Franklin Gothic Book" w:hAnsi="Franklin Gothic Book" w:hint="default"/>
        <w:sz w:val="22"/>
      </w:rPr>
    </w:lvl>
    <w:lvl w:ilvl="2" w:tplc="FFFFFFFF">
      <w:start w:val="1"/>
      <w:numFmt w:val="bullet"/>
      <w:lvlText w:val=""/>
      <w:lvlJc w:val="left"/>
      <w:pPr>
        <w:ind w:left="1071" w:hanging="357"/>
      </w:pPr>
      <w:rPr>
        <w:rFonts w:ascii="Symbol" w:hAnsi="Symbol" w:hint="default"/>
        <w:sz w:val="22"/>
      </w:rPr>
    </w:lvl>
    <w:lvl w:ilvl="3" w:tplc="FFFFFFFF">
      <w:start w:val="1"/>
      <w:numFmt w:val="decimal"/>
      <w:lvlText w:val=""/>
      <w:lvlJc w:val="left"/>
      <w:pPr>
        <w:ind w:left="1428" w:hanging="357"/>
      </w:pPr>
    </w:lvl>
    <w:lvl w:ilvl="4" w:tplc="FFFFFFFF">
      <w:start w:val="1"/>
      <w:numFmt w:val="decimal"/>
      <w:lvlText w:val=""/>
      <w:lvlJc w:val="left"/>
      <w:pPr>
        <w:ind w:left="1785" w:hanging="357"/>
      </w:pPr>
    </w:lvl>
    <w:lvl w:ilvl="5" w:tplc="FFFFFFFF">
      <w:start w:val="1"/>
      <w:numFmt w:val="decimal"/>
      <w:lvlText w:val=""/>
      <w:lvlJc w:val="left"/>
      <w:pPr>
        <w:ind w:left="2142" w:hanging="357"/>
      </w:pPr>
    </w:lvl>
    <w:lvl w:ilvl="6" w:tplc="FFFFFFFF">
      <w:start w:val="1"/>
      <w:numFmt w:val="decimal"/>
      <w:lvlText w:val=""/>
      <w:lvlJc w:val="left"/>
      <w:pPr>
        <w:ind w:left="2499" w:hanging="357"/>
      </w:pPr>
    </w:lvl>
    <w:lvl w:ilvl="7" w:tplc="FFFFFFFF">
      <w:start w:val="1"/>
      <w:numFmt w:val="decimal"/>
      <w:lvlText w:val=""/>
      <w:lvlJc w:val="left"/>
      <w:pPr>
        <w:ind w:left="2856" w:hanging="357"/>
      </w:pPr>
    </w:lvl>
    <w:lvl w:ilvl="8" w:tplc="FFFFFFFF">
      <w:start w:val="1"/>
      <w:numFmt w:val="decimal"/>
      <w:lvlText w:val=""/>
      <w:lvlJc w:val="left"/>
      <w:pPr>
        <w:ind w:left="3213" w:hanging="357"/>
      </w:pPr>
    </w:lvl>
  </w:abstractNum>
  <w:abstractNum w:abstractNumId="62" w15:restartNumberingAfterBreak="0">
    <w:nsid w:val="31F24BA9"/>
    <w:multiLevelType w:val="hybridMultilevel"/>
    <w:tmpl w:val="DEFCEE8A"/>
    <w:lvl w:ilvl="0" w:tplc="83B67676">
      <w:numFmt w:val="bullet"/>
      <w:lvlText w:val="•"/>
      <w:lvlJc w:val="left"/>
      <w:pPr>
        <w:ind w:left="360" w:hanging="360"/>
      </w:pPr>
      <w:rPr>
        <w:rFonts w:ascii="Arial" w:eastAsiaTheme="minorEastAsia"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3" w15:restartNumberingAfterBreak="0">
    <w:nsid w:val="324C46B2"/>
    <w:multiLevelType w:val="hybridMultilevel"/>
    <w:tmpl w:val="168C43E6"/>
    <w:lvl w:ilvl="0" w:tplc="83B67676">
      <w:numFmt w:val="bullet"/>
      <w:lvlText w:val="•"/>
      <w:lvlJc w:val="left"/>
      <w:pPr>
        <w:ind w:left="360" w:hanging="360"/>
      </w:pPr>
      <w:rPr>
        <w:rFonts w:ascii="Arial" w:eastAsiaTheme="minorEastAsia" w:hAnsi="Arial" w:cs="Aria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4" w15:restartNumberingAfterBreak="0">
    <w:nsid w:val="32772E36"/>
    <w:multiLevelType w:val="hybridMultilevel"/>
    <w:tmpl w:val="1AD48BBA"/>
    <w:lvl w:ilvl="0" w:tplc="0B1EE572">
      <w:start w:val="2"/>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32BD33C5"/>
    <w:multiLevelType w:val="hybridMultilevel"/>
    <w:tmpl w:val="D1AE8FE4"/>
    <w:lvl w:ilvl="0" w:tplc="83B67676">
      <w:numFmt w:val="bullet"/>
      <w:lvlText w:val="•"/>
      <w:lvlJc w:val="left"/>
      <w:pPr>
        <w:ind w:left="720" w:hanging="360"/>
      </w:pPr>
      <w:rPr>
        <w:rFonts w:ascii="Arial" w:eastAsiaTheme="minorEastAsia"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6" w15:restartNumberingAfterBreak="0">
    <w:nsid w:val="33353E49"/>
    <w:multiLevelType w:val="hybridMultilevel"/>
    <w:tmpl w:val="67801CE0"/>
    <w:lvl w:ilvl="0" w:tplc="FFFFFFFF">
      <w:start w:val="1"/>
      <w:numFmt w:val="bullet"/>
      <w:lvlText w:val=""/>
      <w:lvlJc w:val="left"/>
      <w:pPr>
        <w:ind w:left="720" w:hanging="360"/>
      </w:pPr>
      <w:rPr>
        <w:rFonts w:ascii="Symbol" w:hAnsi="Symbol" w:hint="default"/>
      </w:rPr>
    </w:lvl>
    <w:lvl w:ilvl="1" w:tplc="134CC9B2">
      <w:start w:val="1"/>
      <w:numFmt w:val="bullet"/>
      <w:lvlText w:val=""/>
      <w:lvlJc w:val="left"/>
      <w:pPr>
        <w:ind w:left="1440" w:hanging="360"/>
      </w:pPr>
      <w:rPr>
        <w:rFonts w:ascii="Symbol" w:hAnsi="Symbol" w:hint="default"/>
        <w:sz w:val="22"/>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67" w15:restartNumberingAfterBreak="0">
    <w:nsid w:val="351C3D17"/>
    <w:multiLevelType w:val="multilevel"/>
    <w:tmpl w:val="ECEA4E6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785"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353564BB"/>
    <w:multiLevelType w:val="hybridMultilevel"/>
    <w:tmpl w:val="D58290A8"/>
    <w:lvl w:ilvl="0" w:tplc="83B67676">
      <w:numFmt w:val="bullet"/>
      <w:lvlText w:val="•"/>
      <w:lvlJc w:val="left"/>
      <w:pPr>
        <w:ind w:left="720" w:hanging="360"/>
      </w:pPr>
      <w:rPr>
        <w:rFonts w:ascii="Arial" w:eastAsiaTheme="minorEastAsia" w:hAnsi="Arial" w:cs="Aria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36301867"/>
    <w:multiLevelType w:val="hybridMultilevel"/>
    <w:tmpl w:val="B9B4D764"/>
    <w:lvl w:ilvl="0" w:tplc="0C09000F">
      <w:start w:val="1"/>
      <w:numFmt w:val="decimal"/>
      <w:lvlText w:val="%1."/>
      <w:lvlJc w:val="left"/>
      <w:pPr>
        <w:ind w:left="357" w:hanging="357"/>
      </w:pPr>
      <w:rPr>
        <w:rFonts w:hint="default"/>
        <w:sz w:val="24"/>
      </w:rPr>
    </w:lvl>
    <w:lvl w:ilvl="1" w:tplc="FFFFFFFF">
      <w:start w:val="1"/>
      <w:numFmt w:val="bullet"/>
      <w:lvlText w:val="–"/>
      <w:lvlJc w:val="left"/>
      <w:pPr>
        <w:ind w:left="714" w:hanging="357"/>
      </w:pPr>
      <w:rPr>
        <w:rFonts w:ascii="Franklin Gothic Book" w:hAnsi="Franklin Gothic Book" w:hint="default"/>
        <w:sz w:val="22"/>
      </w:rPr>
    </w:lvl>
    <w:lvl w:ilvl="2" w:tplc="FFFFFFFF">
      <w:start w:val="1"/>
      <w:numFmt w:val="bullet"/>
      <w:lvlText w:val=""/>
      <w:lvlJc w:val="left"/>
      <w:pPr>
        <w:ind w:left="1071" w:hanging="357"/>
      </w:pPr>
      <w:rPr>
        <w:rFonts w:ascii="Symbol" w:hAnsi="Symbol" w:hint="default"/>
        <w:sz w:val="22"/>
      </w:rPr>
    </w:lvl>
    <w:lvl w:ilvl="3" w:tplc="FFFFFFFF">
      <w:start w:val="1"/>
      <w:numFmt w:val="decimal"/>
      <w:lvlText w:val=""/>
      <w:lvlJc w:val="left"/>
      <w:pPr>
        <w:ind w:left="1428" w:hanging="357"/>
      </w:pPr>
    </w:lvl>
    <w:lvl w:ilvl="4" w:tplc="FFFFFFFF">
      <w:start w:val="1"/>
      <w:numFmt w:val="decimal"/>
      <w:lvlText w:val=""/>
      <w:lvlJc w:val="left"/>
      <w:pPr>
        <w:ind w:left="1785" w:hanging="357"/>
      </w:pPr>
    </w:lvl>
    <w:lvl w:ilvl="5" w:tplc="FFFFFFFF">
      <w:start w:val="1"/>
      <w:numFmt w:val="decimal"/>
      <w:lvlText w:val=""/>
      <w:lvlJc w:val="left"/>
      <w:pPr>
        <w:ind w:left="2142" w:hanging="357"/>
      </w:pPr>
    </w:lvl>
    <w:lvl w:ilvl="6" w:tplc="FFFFFFFF">
      <w:start w:val="1"/>
      <w:numFmt w:val="decimal"/>
      <w:lvlText w:val=""/>
      <w:lvlJc w:val="left"/>
      <w:pPr>
        <w:ind w:left="2499" w:hanging="357"/>
      </w:pPr>
    </w:lvl>
    <w:lvl w:ilvl="7" w:tplc="FFFFFFFF">
      <w:start w:val="1"/>
      <w:numFmt w:val="decimal"/>
      <w:lvlText w:val=""/>
      <w:lvlJc w:val="left"/>
      <w:pPr>
        <w:ind w:left="2856" w:hanging="357"/>
      </w:pPr>
    </w:lvl>
    <w:lvl w:ilvl="8" w:tplc="FFFFFFFF">
      <w:start w:val="1"/>
      <w:numFmt w:val="decimal"/>
      <w:lvlText w:val=""/>
      <w:lvlJc w:val="left"/>
      <w:pPr>
        <w:ind w:left="3213" w:hanging="357"/>
      </w:pPr>
    </w:lvl>
  </w:abstractNum>
  <w:abstractNum w:abstractNumId="70" w15:restartNumberingAfterBreak="0">
    <w:nsid w:val="37085C1E"/>
    <w:multiLevelType w:val="hybridMultilevel"/>
    <w:tmpl w:val="C3483AD2"/>
    <w:lvl w:ilvl="0" w:tplc="83B67676">
      <w:numFmt w:val="bullet"/>
      <w:lvlText w:val="•"/>
      <w:lvlJc w:val="left"/>
      <w:pPr>
        <w:ind w:left="720" w:hanging="360"/>
      </w:pPr>
      <w:rPr>
        <w:rFonts w:ascii="Arial" w:eastAsiaTheme="minorEastAsia" w:hAnsi="Arial" w:cs="Arial" w:hint="default"/>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15:restartNumberingAfterBreak="0">
    <w:nsid w:val="37DF2F0E"/>
    <w:multiLevelType w:val="hybridMultilevel"/>
    <w:tmpl w:val="158AD626"/>
    <w:lvl w:ilvl="0" w:tplc="83B67676">
      <w:numFmt w:val="bullet"/>
      <w:lvlText w:val="•"/>
      <w:lvlJc w:val="left"/>
      <w:pPr>
        <w:ind w:left="720" w:hanging="360"/>
      </w:pPr>
      <w:rPr>
        <w:rFonts w:ascii="Arial" w:eastAsiaTheme="minorEastAsia"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2" w15:restartNumberingAfterBreak="0">
    <w:nsid w:val="3BF26A71"/>
    <w:multiLevelType w:val="multilevel"/>
    <w:tmpl w:val="100ABDF4"/>
    <w:lvl w:ilvl="0">
      <w:start w:val="1"/>
      <w:numFmt w:val="decimal"/>
      <w:lvlText w:val="(%1)"/>
      <w:lvlJc w:val="left"/>
      <w:pPr>
        <w:tabs>
          <w:tab w:val="num" w:pos="0"/>
        </w:tabs>
        <w:ind w:left="425" w:hanging="425"/>
      </w:pPr>
      <w:rPr>
        <w:rFonts w:hint="default"/>
      </w:rPr>
    </w:lvl>
    <w:lvl w:ilvl="1">
      <w:start w:val="1"/>
      <w:numFmt w:val="lowerLetter"/>
      <w:lvlText w:val="(%2)"/>
      <w:lvlJc w:val="left"/>
      <w:pPr>
        <w:tabs>
          <w:tab w:val="num" w:pos="850"/>
        </w:tabs>
        <w:ind w:left="850" w:hanging="425"/>
      </w:pPr>
      <w:rPr>
        <w:rFonts w:hint="default"/>
      </w:rPr>
    </w:lvl>
    <w:lvl w:ilvl="2">
      <w:start w:val="1"/>
      <w:numFmt w:val="lowerRoman"/>
      <w:lvlText w:val="(%3)"/>
      <w:lvlJc w:val="left"/>
      <w:pPr>
        <w:tabs>
          <w:tab w:val="num" w:pos="1275"/>
        </w:tabs>
        <w:ind w:left="1275" w:hanging="425"/>
      </w:pPr>
      <w:rPr>
        <w:rFonts w:hint="default"/>
      </w:rPr>
    </w:lvl>
    <w:lvl w:ilvl="3">
      <w:start w:val="1"/>
      <w:numFmt w:val="upperLetter"/>
      <w:lvlText w:val="(%4)"/>
      <w:lvlJc w:val="left"/>
      <w:pPr>
        <w:tabs>
          <w:tab w:val="num" w:pos="1700"/>
        </w:tabs>
        <w:ind w:left="1700" w:hanging="425"/>
      </w:pPr>
      <w:rPr>
        <w:rFonts w:hint="default"/>
      </w:rPr>
    </w:lvl>
    <w:lvl w:ilvl="4">
      <w:start w:val="1"/>
      <w:numFmt w:val="upperRoman"/>
      <w:lvlText w:val="(%5)"/>
      <w:lvlJc w:val="left"/>
      <w:pPr>
        <w:tabs>
          <w:tab w:val="num" w:pos="2125"/>
        </w:tabs>
        <w:ind w:left="2125" w:hanging="425"/>
      </w:pPr>
      <w:rPr>
        <w:rFonts w:hint="default"/>
      </w:rPr>
    </w:lvl>
    <w:lvl w:ilvl="5">
      <w:start w:val="1"/>
      <w:numFmt w:val="decimal"/>
      <w:lvlText w:val="(%6)"/>
      <w:lvlJc w:val="left"/>
      <w:pPr>
        <w:tabs>
          <w:tab w:val="num" w:pos="2550"/>
        </w:tabs>
        <w:ind w:left="2550" w:hanging="425"/>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73" w15:restartNumberingAfterBreak="0">
    <w:nsid w:val="3C6B1188"/>
    <w:multiLevelType w:val="hybridMultilevel"/>
    <w:tmpl w:val="0792AC3C"/>
    <w:lvl w:ilvl="0" w:tplc="83B67676">
      <w:numFmt w:val="bullet"/>
      <w:lvlText w:val="•"/>
      <w:lvlJc w:val="left"/>
      <w:pPr>
        <w:ind w:left="720" w:hanging="360"/>
      </w:pPr>
      <w:rPr>
        <w:rFonts w:ascii="Arial" w:eastAsiaTheme="minorEastAsia"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4" w15:restartNumberingAfterBreak="0">
    <w:nsid w:val="3CAD74A8"/>
    <w:multiLevelType w:val="hybridMultilevel"/>
    <w:tmpl w:val="F53A54A0"/>
    <w:lvl w:ilvl="0" w:tplc="83B67676">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3D3C6AB6"/>
    <w:multiLevelType w:val="hybridMultilevel"/>
    <w:tmpl w:val="438487A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3E77177D"/>
    <w:multiLevelType w:val="hybridMultilevel"/>
    <w:tmpl w:val="263291C6"/>
    <w:lvl w:ilvl="0" w:tplc="83B67676">
      <w:numFmt w:val="bullet"/>
      <w:lvlText w:val="•"/>
      <w:lvlJc w:val="left"/>
      <w:pPr>
        <w:ind w:left="360" w:hanging="360"/>
      </w:pPr>
      <w:rPr>
        <w:rFonts w:ascii="Arial" w:eastAsiaTheme="minorEastAsia"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7" w15:restartNumberingAfterBreak="0">
    <w:nsid w:val="40006E42"/>
    <w:multiLevelType w:val="multilevel"/>
    <w:tmpl w:val="539E3448"/>
    <w:lvl w:ilvl="0">
      <w:numFmt w:val="bullet"/>
      <w:lvlText w:val="•"/>
      <w:lvlJc w:val="left"/>
      <w:pPr>
        <w:ind w:left="360" w:hanging="360"/>
      </w:pPr>
      <w:rPr>
        <w:rFonts w:ascii="Arial" w:eastAsiaTheme="minorEastAsia" w:hAnsi="Arial" w:cs="Aria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40D31AF3"/>
    <w:multiLevelType w:val="hybridMultilevel"/>
    <w:tmpl w:val="1DFC929E"/>
    <w:lvl w:ilvl="0" w:tplc="83B67676">
      <w:numFmt w:val="bullet"/>
      <w:lvlText w:val="•"/>
      <w:lvlJc w:val="left"/>
      <w:pPr>
        <w:ind w:left="360" w:hanging="360"/>
      </w:pPr>
      <w:rPr>
        <w:rFonts w:ascii="Arial" w:eastAsiaTheme="minorEastAsia" w:hAnsi="Arial" w:cs="Arial" w:hint="default"/>
      </w:rPr>
    </w:lvl>
    <w:lvl w:ilvl="1" w:tplc="FFFFFFFF">
      <w:start w:val="1"/>
      <w:numFmt w:val="bullet"/>
      <w:lvlText w:val=""/>
      <w:lvlJc w:val="left"/>
      <w:pPr>
        <w:ind w:left="1440" w:hanging="360"/>
      </w:pPr>
      <w:rPr>
        <w:rFonts w:ascii="Symbol" w:hAnsi="Symbol" w:hint="default"/>
        <w:sz w:val="22"/>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9" w15:restartNumberingAfterBreak="0">
    <w:nsid w:val="40FA6646"/>
    <w:multiLevelType w:val="hybridMultilevel"/>
    <w:tmpl w:val="DE62F964"/>
    <w:styleLink w:val="ListNumberedHeadings"/>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429F0D6F"/>
    <w:multiLevelType w:val="hybridMultilevel"/>
    <w:tmpl w:val="072A3784"/>
    <w:lvl w:ilvl="0" w:tplc="134CC9B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43084F6F"/>
    <w:multiLevelType w:val="hybridMultilevel"/>
    <w:tmpl w:val="04883E30"/>
    <w:lvl w:ilvl="0" w:tplc="83B67676">
      <w:numFmt w:val="bullet"/>
      <w:lvlText w:val="•"/>
      <w:lvlJc w:val="left"/>
      <w:pPr>
        <w:ind w:left="360" w:hanging="360"/>
      </w:pPr>
      <w:rPr>
        <w:rFonts w:ascii="Arial" w:eastAsiaTheme="minorEastAsia" w:hAnsi="Arial" w:cs="Arial" w:hint="default"/>
        <w:sz w:val="24"/>
      </w:rPr>
    </w:lvl>
    <w:lvl w:ilvl="1" w:tplc="CAA6B6B6">
      <w:start w:val="1"/>
      <w:numFmt w:val="bullet"/>
      <w:lvlText w:val="–"/>
      <w:lvlJc w:val="left"/>
      <w:pPr>
        <w:ind w:left="714" w:hanging="357"/>
      </w:pPr>
      <w:rPr>
        <w:rFonts w:ascii="Franklin Gothic Book" w:hAnsi="Franklin Gothic Book" w:hint="default"/>
        <w:sz w:val="22"/>
      </w:rPr>
    </w:lvl>
    <w:lvl w:ilvl="2" w:tplc="134CC9B2">
      <w:start w:val="1"/>
      <w:numFmt w:val="bullet"/>
      <w:lvlText w:val=""/>
      <w:lvlJc w:val="left"/>
      <w:pPr>
        <w:ind w:left="1071" w:hanging="357"/>
      </w:pPr>
      <w:rPr>
        <w:rFonts w:ascii="Symbol" w:hAnsi="Symbol" w:hint="default"/>
        <w:sz w:val="22"/>
      </w:rPr>
    </w:lvl>
    <w:lvl w:ilvl="3" w:tplc="5A8035F2">
      <w:start w:val="1"/>
      <w:numFmt w:val="decimal"/>
      <w:lvlText w:val=""/>
      <w:lvlJc w:val="left"/>
      <w:pPr>
        <w:ind w:left="1428" w:hanging="357"/>
      </w:pPr>
    </w:lvl>
    <w:lvl w:ilvl="4" w:tplc="EFFC2144">
      <w:start w:val="1"/>
      <w:numFmt w:val="decimal"/>
      <w:lvlText w:val=""/>
      <w:lvlJc w:val="left"/>
      <w:pPr>
        <w:ind w:left="1785" w:hanging="357"/>
      </w:pPr>
    </w:lvl>
    <w:lvl w:ilvl="5" w:tplc="AD88AFC4">
      <w:start w:val="1"/>
      <w:numFmt w:val="decimal"/>
      <w:lvlText w:val=""/>
      <w:lvlJc w:val="left"/>
      <w:pPr>
        <w:ind w:left="2142" w:hanging="357"/>
      </w:pPr>
    </w:lvl>
    <w:lvl w:ilvl="6" w:tplc="72DE3F00">
      <w:start w:val="1"/>
      <w:numFmt w:val="decimal"/>
      <w:lvlText w:val=""/>
      <w:lvlJc w:val="left"/>
      <w:pPr>
        <w:ind w:left="2499" w:hanging="357"/>
      </w:pPr>
    </w:lvl>
    <w:lvl w:ilvl="7" w:tplc="3A58A1A8">
      <w:start w:val="1"/>
      <w:numFmt w:val="decimal"/>
      <w:lvlText w:val=""/>
      <w:lvlJc w:val="left"/>
      <w:pPr>
        <w:ind w:left="2856" w:hanging="357"/>
      </w:pPr>
    </w:lvl>
    <w:lvl w:ilvl="8" w:tplc="3202CD44">
      <w:start w:val="1"/>
      <w:numFmt w:val="decimal"/>
      <w:lvlText w:val=""/>
      <w:lvlJc w:val="left"/>
      <w:pPr>
        <w:ind w:left="3213" w:hanging="357"/>
      </w:pPr>
    </w:lvl>
  </w:abstractNum>
  <w:abstractNum w:abstractNumId="82" w15:restartNumberingAfterBreak="0">
    <w:nsid w:val="448D0B79"/>
    <w:multiLevelType w:val="hybridMultilevel"/>
    <w:tmpl w:val="59847E3A"/>
    <w:lvl w:ilvl="0" w:tplc="83B67676">
      <w:numFmt w:val="bullet"/>
      <w:lvlText w:val="•"/>
      <w:lvlJc w:val="left"/>
      <w:pPr>
        <w:ind w:left="360" w:hanging="360"/>
      </w:pPr>
      <w:rPr>
        <w:rFonts w:ascii="Arial" w:eastAsiaTheme="minorEastAsia"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3" w15:restartNumberingAfterBreak="0">
    <w:nsid w:val="44B0672B"/>
    <w:multiLevelType w:val="hybridMultilevel"/>
    <w:tmpl w:val="8C82C1CA"/>
    <w:lvl w:ilvl="0" w:tplc="83B67676">
      <w:numFmt w:val="bullet"/>
      <w:lvlText w:val="•"/>
      <w:lvlJc w:val="left"/>
      <w:pPr>
        <w:ind w:left="360" w:hanging="360"/>
      </w:pPr>
      <w:rPr>
        <w:rFonts w:ascii="Arial" w:eastAsiaTheme="minorEastAsia"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4" w15:restartNumberingAfterBreak="0">
    <w:nsid w:val="460D32D6"/>
    <w:multiLevelType w:val="hybridMultilevel"/>
    <w:tmpl w:val="192290BE"/>
    <w:lvl w:ilvl="0" w:tplc="83B67676">
      <w:numFmt w:val="bullet"/>
      <w:lvlText w:val="•"/>
      <w:lvlJc w:val="left"/>
      <w:pPr>
        <w:ind w:left="720" w:hanging="360"/>
      </w:pPr>
      <w:rPr>
        <w:rFonts w:ascii="Arial" w:eastAsiaTheme="minorEastAsia"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5" w15:restartNumberingAfterBreak="0">
    <w:nsid w:val="46741F3D"/>
    <w:multiLevelType w:val="hybridMultilevel"/>
    <w:tmpl w:val="53BA6058"/>
    <w:lvl w:ilvl="0" w:tplc="4718BF64">
      <w:start w:val="1"/>
      <w:numFmt w:val="bullet"/>
      <w:lvlText w:val=""/>
      <w:lvlJc w:val="left"/>
      <w:pPr>
        <w:ind w:left="360" w:hanging="360"/>
      </w:pPr>
      <w:rPr>
        <w:rFonts w:ascii="Symbol" w:hAnsi="Symbol" w:hint="default"/>
        <w:w w:val="100"/>
        <w:sz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15:restartNumberingAfterBreak="0">
    <w:nsid w:val="483B44E1"/>
    <w:multiLevelType w:val="hybridMultilevel"/>
    <w:tmpl w:val="4096212C"/>
    <w:styleLink w:val="ListParagraph0"/>
    <w:lvl w:ilvl="0" w:tplc="FFFFFFFF">
      <w:start w:val="1"/>
      <w:numFmt w:val="bullet"/>
      <w:lvlText w:val=""/>
      <w:lvlJc w:val="left"/>
      <w:pPr>
        <w:ind w:left="720" w:hanging="72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7" w15:restartNumberingAfterBreak="0">
    <w:nsid w:val="4A347762"/>
    <w:multiLevelType w:val="hybridMultilevel"/>
    <w:tmpl w:val="C2F0EF1E"/>
    <w:lvl w:ilvl="0" w:tplc="83B67676">
      <w:numFmt w:val="bullet"/>
      <w:lvlText w:val="•"/>
      <w:lvlJc w:val="left"/>
      <w:pPr>
        <w:ind w:left="720" w:hanging="360"/>
      </w:pPr>
      <w:rPr>
        <w:rFonts w:ascii="Arial" w:eastAsiaTheme="minorEastAsia"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8" w15:restartNumberingAfterBreak="0">
    <w:nsid w:val="4A7E017A"/>
    <w:multiLevelType w:val="multilevel"/>
    <w:tmpl w:val="44747422"/>
    <w:lvl w:ilvl="0">
      <w:numFmt w:val="bullet"/>
      <w:lvlText w:val="•"/>
      <w:lvlJc w:val="left"/>
      <w:pPr>
        <w:ind w:left="360" w:hanging="360"/>
      </w:pPr>
      <w:rPr>
        <w:rFonts w:ascii="Arial" w:eastAsiaTheme="minorEastAsia" w:hAnsi="Arial" w:cs="Aria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4E861F8F"/>
    <w:multiLevelType w:val="hybridMultilevel"/>
    <w:tmpl w:val="C5363A0A"/>
    <w:lvl w:ilvl="0" w:tplc="83B67676">
      <w:numFmt w:val="bullet"/>
      <w:lvlText w:val="•"/>
      <w:lvlJc w:val="left"/>
      <w:pPr>
        <w:ind w:left="360" w:hanging="360"/>
      </w:pPr>
      <w:rPr>
        <w:rFonts w:ascii="Arial" w:eastAsiaTheme="minorEastAsia"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 w15:restartNumberingAfterBreak="0">
    <w:nsid w:val="4FA81813"/>
    <w:multiLevelType w:val="hybridMultilevel"/>
    <w:tmpl w:val="928EC774"/>
    <w:lvl w:ilvl="0" w:tplc="83B67676">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50DC49F7"/>
    <w:multiLevelType w:val="hybridMultilevel"/>
    <w:tmpl w:val="7E2CF5B0"/>
    <w:lvl w:ilvl="0" w:tplc="83B67676">
      <w:numFmt w:val="bullet"/>
      <w:lvlText w:val="•"/>
      <w:lvlJc w:val="left"/>
      <w:pPr>
        <w:ind w:left="360" w:hanging="360"/>
      </w:pPr>
      <w:rPr>
        <w:rFonts w:ascii="Arial" w:eastAsiaTheme="minorEastAsia"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2" w15:restartNumberingAfterBreak="0">
    <w:nsid w:val="51821C8F"/>
    <w:multiLevelType w:val="hybridMultilevel"/>
    <w:tmpl w:val="04B618DA"/>
    <w:lvl w:ilvl="0" w:tplc="83B67676">
      <w:numFmt w:val="bullet"/>
      <w:lvlText w:val="•"/>
      <w:lvlJc w:val="left"/>
      <w:pPr>
        <w:ind w:left="720" w:hanging="360"/>
      </w:pPr>
      <w:rPr>
        <w:rFonts w:ascii="Arial" w:eastAsiaTheme="minorEastAsia" w:hAnsi="Arial" w:cs="Arial" w:hint="default"/>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52037B6D"/>
    <w:multiLevelType w:val="hybridMultilevel"/>
    <w:tmpl w:val="C2D4BAF0"/>
    <w:lvl w:ilvl="0" w:tplc="83B67676">
      <w:numFmt w:val="bullet"/>
      <w:lvlText w:val="•"/>
      <w:lvlJc w:val="left"/>
      <w:pPr>
        <w:ind w:left="360" w:hanging="360"/>
      </w:pPr>
      <w:rPr>
        <w:rFonts w:ascii="Arial" w:eastAsiaTheme="minorEastAsia"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4" w15:restartNumberingAfterBreak="0">
    <w:nsid w:val="534378B1"/>
    <w:multiLevelType w:val="hybridMultilevel"/>
    <w:tmpl w:val="BA1A2D8A"/>
    <w:lvl w:ilvl="0" w:tplc="83B67676">
      <w:numFmt w:val="bullet"/>
      <w:lvlText w:val="•"/>
      <w:lvlJc w:val="left"/>
      <w:pPr>
        <w:ind w:left="360" w:hanging="360"/>
      </w:pPr>
      <w:rPr>
        <w:rFonts w:ascii="Arial" w:eastAsiaTheme="minorEastAsia"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5" w15:restartNumberingAfterBreak="0">
    <w:nsid w:val="53BC2769"/>
    <w:multiLevelType w:val="multilevel"/>
    <w:tmpl w:val="31FA8E3C"/>
    <w:styleLink w:val="ListAlpha1"/>
    <w:lvl w:ilvl="0">
      <w:start w:val="1"/>
      <w:numFmt w:val="decimal"/>
      <w:lvlText w:val="%1."/>
      <w:lvlJc w:val="left"/>
      <w:pPr>
        <w:ind w:left="720" w:hanging="360"/>
      </w:pPr>
      <w:rPr>
        <w:rFonts w:hint="default"/>
        <w:sz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541326E0"/>
    <w:multiLevelType w:val="hybridMultilevel"/>
    <w:tmpl w:val="B956BB8C"/>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Franklin Gothic Book" w:hAnsi="Franklin Gothic Book" w:hint="default"/>
        <w:sz w:val="22"/>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7" w15:restartNumberingAfterBreak="0">
    <w:nsid w:val="546B4848"/>
    <w:multiLevelType w:val="hybridMultilevel"/>
    <w:tmpl w:val="FA0EA7C6"/>
    <w:lvl w:ilvl="0" w:tplc="83B67676">
      <w:numFmt w:val="bullet"/>
      <w:lvlText w:val="•"/>
      <w:lvlJc w:val="left"/>
      <w:pPr>
        <w:ind w:left="360" w:hanging="360"/>
      </w:pPr>
      <w:rPr>
        <w:rFonts w:ascii="Arial" w:eastAsiaTheme="minorEastAsia"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8" w15:restartNumberingAfterBreak="0">
    <w:nsid w:val="54DE2219"/>
    <w:multiLevelType w:val="hybridMultilevel"/>
    <w:tmpl w:val="50309C50"/>
    <w:lvl w:ilvl="0" w:tplc="83B67676">
      <w:numFmt w:val="bullet"/>
      <w:lvlText w:val="•"/>
      <w:lvlJc w:val="left"/>
      <w:pPr>
        <w:ind w:left="360" w:hanging="360"/>
      </w:pPr>
      <w:rPr>
        <w:rFonts w:ascii="Arial" w:eastAsiaTheme="minorEastAsia"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9" w15:restartNumberingAfterBreak="0">
    <w:nsid w:val="556A1681"/>
    <w:multiLevelType w:val="hybridMultilevel"/>
    <w:tmpl w:val="4FB8D740"/>
    <w:lvl w:ilvl="0" w:tplc="AA52A16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0" w15:restartNumberingAfterBreak="0">
    <w:nsid w:val="55DE611A"/>
    <w:multiLevelType w:val="hybridMultilevel"/>
    <w:tmpl w:val="D3F4C28A"/>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01" w15:restartNumberingAfterBreak="0">
    <w:nsid w:val="5620415B"/>
    <w:multiLevelType w:val="multilevel"/>
    <w:tmpl w:val="44AE2652"/>
    <w:lvl w:ilvl="0">
      <w:numFmt w:val="bullet"/>
      <w:lvlText w:val="•"/>
      <w:lvlJc w:val="left"/>
      <w:pPr>
        <w:ind w:left="360" w:hanging="360"/>
      </w:pPr>
      <w:rPr>
        <w:rFonts w:ascii="Arial" w:eastAsiaTheme="minorEastAsia" w:hAnsi="Arial" w:cs="Aria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591C4679"/>
    <w:multiLevelType w:val="hybridMultilevel"/>
    <w:tmpl w:val="CE4E1BB2"/>
    <w:lvl w:ilvl="0" w:tplc="83B67676">
      <w:numFmt w:val="bullet"/>
      <w:lvlText w:val="•"/>
      <w:lvlJc w:val="left"/>
      <w:pPr>
        <w:ind w:left="720" w:hanging="360"/>
      </w:pPr>
      <w:rPr>
        <w:rFonts w:ascii="Arial" w:eastAsiaTheme="minorEastAsia" w:hAnsi="Arial" w:cs="Aria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03" w15:restartNumberingAfterBreak="0">
    <w:nsid w:val="59822BE7"/>
    <w:multiLevelType w:val="hybridMultilevel"/>
    <w:tmpl w:val="4120BC2E"/>
    <w:lvl w:ilvl="0" w:tplc="08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4" w15:restartNumberingAfterBreak="0">
    <w:nsid w:val="5B5E6728"/>
    <w:multiLevelType w:val="hybridMultilevel"/>
    <w:tmpl w:val="43A2FD36"/>
    <w:lvl w:ilvl="0" w:tplc="83B67676">
      <w:numFmt w:val="bullet"/>
      <w:lvlText w:val="•"/>
      <w:lvlJc w:val="left"/>
      <w:pPr>
        <w:ind w:left="720" w:hanging="360"/>
      </w:pPr>
      <w:rPr>
        <w:rFonts w:ascii="Arial" w:eastAsiaTheme="minorEastAsia"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5ECA4729"/>
    <w:multiLevelType w:val="hybridMultilevel"/>
    <w:tmpl w:val="406259FC"/>
    <w:lvl w:ilvl="0" w:tplc="83B67676">
      <w:numFmt w:val="bullet"/>
      <w:lvlText w:val="•"/>
      <w:lvlJc w:val="left"/>
      <w:pPr>
        <w:ind w:left="720" w:hanging="360"/>
      </w:pPr>
      <w:rPr>
        <w:rFonts w:ascii="Arial" w:eastAsiaTheme="minorEastAsia" w:hAnsi="Arial" w:cs="Arial" w:hint="default"/>
      </w:rPr>
    </w:lvl>
    <w:lvl w:ilvl="1" w:tplc="0C090003">
      <w:start w:val="1"/>
      <w:numFmt w:val="bullet"/>
      <w:lvlText w:val="o"/>
      <w:lvlJc w:val="left"/>
      <w:pPr>
        <w:ind w:left="2742" w:hanging="360"/>
      </w:pPr>
      <w:rPr>
        <w:rFonts w:ascii="Courier New" w:hAnsi="Courier New" w:cs="Courier New" w:hint="default"/>
      </w:rPr>
    </w:lvl>
    <w:lvl w:ilvl="2" w:tplc="0C090005" w:tentative="1">
      <w:start w:val="1"/>
      <w:numFmt w:val="bullet"/>
      <w:lvlText w:val=""/>
      <w:lvlJc w:val="left"/>
      <w:pPr>
        <w:ind w:left="3462" w:hanging="360"/>
      </w:pPr>
      <w:rPr>
        <w:rFonts w:ascii="Wingdings" w:hAnsi="Wingdings" w:hint="default"/>
      </w:rPr>
    </w:lvl>
    <w:lvl w:ilvl="3" w:tplc="0C090001" w:tentative="1">
      <w:start w:val="1"/>
      <w:numFmt w:val="bullet"/>
      <w:lvlText w:val=""/>
      <w:lvlJc w:val="left"/>
      <w:pPr>
        <w:ind w:left="4182" w:hanging="360"/>
      </w:pPr>
      <w:rPr>
        <w:rFonts w:ascii="Symbol" w:hAnsi="Symbol" w:hint="default"/>
      </w:rPr>
    </w:lvl>
    <w:lvl w:ilvl="4" w:tplc="0C090003" w:tentative="1">
      <w:start w:val="1"/>
      <w:numFmt w:val="bullet"/>
      <w:lvlText w:val="o"/>
      <w:lvlJc w:val="left"/>
      <w:pPr>
        <w:ind w:left="4902" w:hanging="360"/>
      </w:pPr>
      <w:rPr>
        <w:rFonts w:ascii="Courier New" w:hAnsi="Courier New" w:cs="Courier New" w:hint="default"/>
      </w:rPr>
    </w:lvl>
    <w:lvl w:ilvl="5" w:tplc="0C090005" w:tentative="1">
      <w:start w:val="1"/>
      <w:numFmt w:val="bullet"/>
      <w:lvlText w:val=""/>
      <w:lvlJc w:val="left"/>
      <w:pPr>
        <w:ind w:left="5622" w:hanging="360"/>
      </w:pPr>
      <w:rPr>
        <w:rFonts w:ascii="Wingdings" w:hAnsi="Wingdings" w:hint="default"/>
      </w:rPr>
    </w:lvl>
    <w:lvl w:ilvl="6" w:tplc="0C090001" w:tentative="1">
      <w:start w:val="1"/>
      <w:numFmt w:val="bullet"/>
      <w:lvlText w:val=""/>
      <w:lvlJc w:val="left"/>
      <w:pPr>
        <w:ind w:left="6342" w:hanging="360"/>
      </w:pPr>
      <w:rPr>
        <w:rFonts w:ascii="Symbol" w:hAnsi="Symbol" w:hint="default"/>
      </w:rPr>
    </w:lvl>
    <w:lvl w:ilvl="7" w:tplc="0C090003" w:tentative="1">
      <w:start w:val="1"/>
      <w:numFmt w:val="bullet"/>
      <w:lvlText w:val="o"/>
      <w:lvlJc w:val="left"/>
      <w:pPr>
        <w:ind w:left="7062" w:hanging="360"/>
      </w:pPr>
      <w:rPr>
        <w:rFonts w:ascii="Courier New" w:hAnsi="Courier New" w:cs="Courier New" w:hint="default"/>
      </w:rPr>
    </w:lvl>
    <w:lvl w:ilvl="8" w:tplc="0C090005" w:tentative="1">
      <w:start w:val="1"/>
      <w:numFmt w:val="bullet"/>
      <w:lvlText w:val=""/>
      <w:lvlJc w:val="left"/>
      <w:pPr>
        <w:ind w:left="7782" w:hanging="360"/>
      </w:pPr>
      <w:rPr>
        <w:rFonts w:ascii="Wingdings" w:hAnsi="Wingdings" w:hint="default"/>
      </w:rPr>
    </w:lvl>
  </w:abstractNum>
  <w:abstractNum w:abstractNumId="106" w15:restartNumberingAfterBreak="0">
    <w:nsid w:val="603D610A"/>
    <w:multiLevelType w:val="hybridMultilevel"/>
    <w:tmpl w:val="86A04266"/>
    <w:lvl w:ilvl="0" w:tplc="83B67676">
      <w:numFmt w:val="bullet"/>
      <w:lvlText w:val="•"/>
      <w:lvlJc w:val="left"/>
      <w:pPr>
        <w:ind w:left="360" w:hanging="360"/>
      </w:pPr>
      <w:rPr>
        <w:rFonts w:ascii="Arial" w:eastAsiaTheme="minorEastAsia" w:hAnsi="Arial" w:cs="Arial" w:hint="default"/>
        <w:sz w:val="24"/>
      </w:rPr>
    </w:lvl>
    <w:lvl w:ilvl="1" w:tplc="FFFFFFFF">
      <w:start w:val="1"/>
      <w:numFmt w:val="bullet"/>
      <w:lvlText w:val="–"/>
      <w:lvlJc w:val="left"/>
      <w:pPr>
        <w:ind w:left="714" w:hanging="357"/>
      </w:pPr>
      <w:rPr>
        <w:rFonts w:ascii="Franklin Gothic Book" w:hAnsi="Franklin Gothic Book" w:hint="default"/>
        <w:sz w:val="22"/>
      </w:rPr>
    </w:lvl>
    <w:lvl w:ilvl="2" w:tplc="FFFFFFFF">
      <w:start w:val="1"/>
      <w:numFmt w:val="bullet"/>
      <w:lvlText w:val=""/>
      <w:lvlJc w:val="left"/>
      <w:pPr>
        <w:ind w:left="1071" w:hanging="357"/>
      </w:pPr>
      <w:rPr>
        <w:rFonts w:ascii="Symbol" w:hAnsi="Symbol" w:hint="default"/>
        <w:sz w:val="22"/>
      </w:rPr>
    </w:lvl>
    <w:lvl w:ilvl="3" w:tplc="FFFFFFFF">
      <w:start w:val="1"/>
      <w:numFmt w:val="decimal"/>
      <w:lvlText w:val=""/>
      <w:lvlJc w:val="left"/>
      <w:pPr>
        <w:ind w:left="1428" w:hanging="357"/>
      </w:pPr>
    </w:lvl>
    <w:lvl w:ilvl="4" w:tplc="FFFFFFFF">
      <w:start w:val="1"/>
      <w:numFmt w:val="decimal"/>
      <w:lvlText w:val=""/>
      <w:lvlJc w:val="left"/>
      <w:pPr>
        <w:ind w:left="1785" w:hanging="357"/>
      </w:pPr>
    </w:lvl>
    <w:lvl w:ilvl="5" w:tplc="FFFFFFFF">
      <w:start w:val="1"/>
      <w:numFmt w:val="decimal"/>
      <w:lvlText w:val=""/>
      <w:lvlJc w:val="left"/>
      <w:pPr>
        <w:ind w:left="2142" w:hanging="357"/>
      </w:pPr>
    </w:lvl>
    <w:lvl w:ilvl="6" w:tplc="FFFFFFFF">
      <w:start w:val="1"/>
      <w:numFmt w:val="decimal"/>
      <w:lvlText w:val=""/>
      <w:lvlJc w:val="left"/>
      <w:pPr>
        <w:ind w:left="2499" w:hanging="357"/>
      </w:pPr>
    </w:lvl>
    <w:lvl w:ilvl="7" w:tplc="FFFFFFFF">
      <w:start w:val="1"/>
      <w:numFmt w:val="decimal"/>
      <w:lvlText w:val=""/>
      <w:lvlJc w:val="left"/>
      <w:pPr>
        <w:ind w:left="2856" w:hanging="357"/>
      </w:pPr>
    </w:lvl>
    <w:lvl w:ilvl="8" w:tplc="FFFFFFFF">
      <w:start w:val="1"/>
      <w:numFmt w:val="decimal"/>
      <w:lvlText w:val=""/>
      <w:lvlJc w:val="left"/>
      <w:pPr>
        <w:ind w:left="3213" w:hanging="357"/>
      </w:pPr>
    </w:lvl>
  </w:abstractNum>
  <w:abstractNum w:abstractNumId="107" w15:restartNumberingAfterBreak="0">
    <w:nsid w:val="61AE0DBD"/>
    <w:multiLevelType w:val="hybridMultilevel"/>
    <w:tmpl w:val="A6B4DB86"/>
    <w:lvl w:ilvl="0" w:tplc="FFFFFFFF">
      <w:start w:val="1"/>
      <w:numFmt w:val="bullet"/>
      <w:lvlText w:val=""/>
      <w:lvlJc w:val="left"/>
      <w:pPr>
        <w:ind w:left="357" w:hanging="357"/>
      </w:pPr>
      <w:rPr>
        <w:rFonts w:ascii="Symbol" w:hAnsi="Symbol" w:hint="default"/>
        <w:sz w:val="24"/>
      </w:rPr>
    </w:lvl>
    <w:lvl w:ilvl="1" w:tplc="FFFFFFFF">
      <w:start w:val="1"/>
      <w:numFmt w:val="bullet"/>
      <w:lvlText w:val=""/>
      <w:lvlJc w:val="left"/>
      <w:pPr>
        <w:ind w:left="360" w:hanging="360"/>
      </w:pPr>
      <w:rPr>
        <w:rFonts w:ascii="Symbol" w:hAnsi="Symbol" w:hint="default"/>
      </w:rPr>
    </w:lvl>
    <w:lvl w:ilvl="2" w:tplc="34AACF9E">
      <w:start w:val="1"/>
      <w:numFmt w:val="bullet"/>
      <w:lvlText w:val=""/>
      <w:lvlJc w:val="left"/>
      <w:pPr>
        <w:ind w:left="1071" w:hanging="357"/>
      </w:pPr>
      <w:rPr>
        <w:rFonts w:ascii="Symbol" w:hAnsi="Symbol" w:hint="default"/>
        <w:sz w:val="22"/>
      </w:rPr>
    </w:lvl>
    <w:lvl w:ilvl="3" w:tplc="FFFFFFFF">
      <w:start w:val="1"/>
      <w:numFmt w:val="decimal"/>
      <w:lvlText w:val=""/>
      <w:lvlJc w:val="left"/>
      <w:pPr>
        <w:ind w:left="1428" w:hanging="357"/>
      </w:pPr>
    </w:lvl>
    <w:lvl w:ilvl="4" w:tplc="FFFFFFFF">
      <w:start w:val="1"/>
      <w:numFmt w:val="decimal"/>
      <w:lvlText w:val=""/>
      <w:lvlJc w:val="left"/>
      <w:pPr>
        <w:ind w:left="1785" w:hanging="357"/>
      </w:pPr>
    </w:lvl>
    <w:lvl w:ilvl="5" w:tplc="FFFFFFFF">
      <w:start w:val="1"/>
      <w:numFmt w:val="decimal"/>
      <w:lvlText w:val=""/>
      <w:lvlJc w:val="left"/>
      <w:pPr>
        <w:ind w:left="2142" w:hanging="357"/>
      </w:pPr>
    </w:lvl>
    <w:lvl w:ilvl="6" w:tplc="FFFFFFFF">
      <w:start w:val="1"/>
      <w:numFmt w:val="decimal"/>
      <w:lvlText w:val=""/>
      <w:lvlJc w:val="left"/>
      <w:pPr>
        <w:ind w:left="2499" w:hanging="357"/>
      </w:pPr>
    </w:lvl>
    <w:lvl w:ilvl="7" w:tplc="FFFFFFFF">
      <w:start w:val="1"/>
      <w:numFmt w:val="decimal"/>
      <w:lvlText w:val=""/>
      <w:lvlJc w:val="left"/>
      <w:pPr>
        <w:ind w:left="2856" w:hanging="357"/>
      </w:pPr>
    </w:lvl>
    <w:lvl w:ilvl="8" w:tplc="FFFFFFFF">
      <w:start w:val="1"/>
      <w:numFmt w:val="decimal"/>
      <w:lvlText w:val=""/>
      <w:lvlJc w:val="left"/>
      <w:pPr>
        <w:ind w:left="3213" w:hanging="357"/>
      </w:pPr>
    </w:lvl>
  </w:abstractNum>
  <w:abstractNum w:abstractNumId="108" w15:restartNumberingAfterBreak="0">
    <w:nsid w:val="64BA6E25"/>
    <w:multiLevelType w:val="hybridMultilevel"/>
    <w:tmpl w:val="E306F0E6"/>
    <w:lvl w:ilvl="0" w:tplc="83B67676">
      <w:numFmt w:val="bullet"/>
      <w:lvlText w:val="•"/>
      <w:lvlJc w:val="left"/>
      <w:pPr>
        <w:ind w:left="360" w:hanging="360"/>
      </w:pPr>
      <w:rPr>
        <w:rFonts w:ascii="Arial" w:eastAsiaTheme="minorEastAsia"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9" w15:restartNumberingAfterBreak="0">
    <w:nsid w:val="65152529"/>
    <w:multiLevelType w:val="multilevel"/>
    <w:tmpl w:val="E08E3D0A"/>
    <w:lvl w:ilvl="0">
      <w:start w:val="1"/>
      <w:numFmt w:val="decimal"/>
      <w:lvlText w:val="%1."/>
      <w:lvlJc w:val="left"/>
      <w:pPr>
        <w:tabs>
          <w:tab w:val="num" w:pos="360"/>
        </w:tabs>
        <w:ind w:left="360" w:hanging="360"/>
      </w:pPr>
      <w:rPr>
        <w:rFont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10" w15:restartNumberingAfterBreak="0">
    <w:nsid w:val="652F7F99"/>
    <w:multiLevelType w:val="hybridMultilevel"/>
    <w:tmpl w:val="E04091B6"/>
    <w:lvl w:ilvl="0" w:tplc="83B67676">
      <w:numFmt w:val="bullet"/>
      <w:lvlText w:val="•"/>
      <w:lvlJc w:val="left"/>
      <w:pPr>
        <w:ind w:left="720" w:hanging="360"/>
      </w:pPr>
      <w:rPr>
        <w:rFonts w:ascii="Arial" w:eastAsiaTheme="minorEastAsia"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1" w15:restartNumberingAfterBreak="0">
    <w:nsid w:val="65A4024F"/>
    <w:multiLevelType w:val="hybridMultilevel"/>
    <w:tmpl w:val="ADAAF184"/>
    <w:lvl w:ilvl="0" w:tplc="0C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12" w15:restartNumberingAfterBreak="0">
    <w:nsid w:val="662449A7"/>
    <w:multiLevelType w:val="hybridMultilevel"/>
    <w:tmpl w:val="6A74602C"/>
    <w:lvl w:ilvl="0" w:tplc="FFFFFFFF">
      <w:start w:val="1"/>
      <w:numFmt w:val="bullet"/>
      <w:lvlText w:val=""/>
      <w:lvlJc w:val="left"/>
      <w:pPr>
        <w:ind w:left="2022" w:hanging="360"/>
      </w:pPr>
      <w:rPr>
        <w:rFonts w:ascii="Symbol" w:hAnsi="Symbol" w:hint="default"/>
      </w:rPr>
    </w:lvl>
    <w:lvl w:ilvl="1" w:tplc="FFFFFFFF">
      <w:start w:val="1"/>
      <w:numFmt w:val="bullet"/>
      <w:lvlText w:val="–"/>
      <w:lvlJc w:val="left"/>
      <w:pPr>
        <w:ind w:left="1440" w:hanging="360"/>
      </w:pPr>
      <w:rPr>
        <w:rFonts w:ascii="Franklin Gothic Book" w:hAnsi="Franklin Gothic Book" w:hint="default"/>
        <w:sz w:val="22"/>
      </w:rPr>
    </w:lvl>
    <w:lvl w:ilvl="2" w:tplc="FFFFFFFF" w:tentative="1">
      <w:start w:val="1"/>
      <w:numFmt w:val="bullet"/>
      <w:lvlText w:val=""/>
      <w:lvlJc w:val="left"/>
      <w:pPr>
        <w:ind w:left="3462" w:hanging="360"/>
      </w:pPr>
      <w:rPr>
        <w:rFonts w:ascii="Wingdings" w:hAnsi="Wingdings" w:hint="default"/>
      </w:rPr>
    </w:lvl>
    <w:lvl w:ilvl="3" w:tplc="FFFFFFFF" w:tentative="1">
      <w:start w:val="1"/>
      <w:numFmt w:val="bullet"/>
      <w:lvlText w:val=""/>
      <w:lvlJc w:val="left"/>
      <w:pPr>
        <w:ind w:left="4182" w:hanging="360"/>
      </w:pPr>
      <w:rPr>
        <w:rFonts w:ascii="Symbol" w:hAnsi="Symbol" w:hint="default"/>
      </w:rPr>
    </w:lvl>
    <w:lvl w:ilvl="4" w:tplc="FFFFFFFF" w:tentative="1">
      <w:start w:val="1"/>
      <w:numFmt w:val="bullet"/>
      <w:lvlText w:val="o"/>
      <w:lvlJc w:val="left"/>
      <w:pPr>
        <w:ind w:left="4902" w:hanging="360"/>
      </w:pPr>
      <w:rPr>
        <w:rFonts w:ascii="Courier New" w:hAnsi="Courier New" w:cs="Courier New" w:hint="default"/>
      </w:rPr>
    </w:lvl>
    <w:lvl w:ilvl="5" w:tplc="FFFFFFFF" w:tentative="1">
      <w:start w:val="1"/>
      <w:numFmt w:val="bullet"/>
      <w:lvlText w:val=""/>
      <w:lvlJc w:val="left"/>
      <w:pPr>
        <w:ind w:left="5622" w:hanging="360"/>
      </w:pPr>
      <w:rPr>
        <w:rFonts w:ascii="Wingdings" w:hAnsi="Wingdings" w:hint="default"/>
      </w:rPr>
    </w:lvl>
    <w:lvl w:ilvl="6" w:tplc="FFFFFFFF" w:tentative="1">
      <w:start w:val="1"/>
      <w:numFmt w:val="bullet"/>
      <w:lvlText w:val=""/>
      <w:lvlJc w:val="left"/>
      <w:pPr>
        <w:ind w:left="6342" w:hanging="360"/>
      </w:pPr>
      <w:rPr>
        <w:rFonts w:ascii="Symbol" w:hAnsi="Symbol" w:hint="default"/>
      </w:rPr>
    </w:lvl>
    <w:lvl w:ilvl="7" w:tplc="FFFFFFFF" w:tentative="1">
      <w:start w:val="1"/>
      <w:numFmt w:val="bullet"/>
      <w:lvlText w:val="o"/>
      <w:lvlJc w:val="left"/>
      <w:pPr>
        <w:ind w:left="7062" w:hanging="360"/>
      </w:pPr>
      <w:rPr>
        <w:rFonts w:ascii="Courier New" w:hAnsi="Courier New" w:cs="Courier New" w:hint="default"/>
      </w:rPr>
    </w:lvl>
    <w:lvl w:ilvl="8" w:tplc="FFFFFFFF" w:tentative="1">
      <w:start w:val="1"/>
      <w:numFmt w:val="bullet"/>
      <w:lvlText w:val=""/>
      <w:lvlJc w:val="left"/>
      <w:pPr>
        <w:ind w:left="7782" w:hanging="360"/>
      </w:pPr>
      <w:rPr>
        <w:rFonts w:ascii="Wingdings" w:hAnsi="Wingdings" w:hint="default"/>
      </w:rPr>
    </w:lvl>
  </w:abstractNum>
  <w:abstractNum w:abstractNumId="113" w15:restartNumberingAfterBreak="0">
    <w:nsid w:val="669477C6"/>
    <w:multiLevelType w:val="hybridMultilevel"/>
    <w:tmpl w:val="7EF4D6C4"/>
    <w:lvl w:ilvl="0" w:tplc="83B67676">
      <w:numFmt w:val="bullet"/>
      <w:lvlText w:val="•"/>
      <w:lvlJc w:val="left"/>
      <w:pPr>
        <w:ind w:left="720" w:hanging="360"/>
      </w:pPr>
      <w:rPr>
        <w:rFonts w:ascii="Arial" w:eastAsiaTheme="minorEastAsia" w:hAnsi="Arial" w:cs="Arial" w:hint="default"/>
      </w:rPr>
    </w:lvl>
    <w:lvl w:ilvl="1" w:tplc="249CF580">
      <w:start w:val="1"/>
      <w:numFmt w:val="bullet"/>
      <w:lvlText w:val="o"/>
      <w:lvlJc w:val="left"/>
      <w:pPr>
        <w:ind w:left="1440" w:hanging="360"/>
      </w:pPr>
      <w:rPr>
        <w:rFonts w:ascii="Courier New" w:hAnsi="Courier New" w:hint="default"/>
      </w:rPr>
    </w:lvl>
    <w:lvl w:ilvl="2" w:tplc="F86CE9DE">
      <w:start w:val="1"/>
      <w:numFmt w:val="bullet"/>
      <w:lvlText w:val=""/>
      <w:lvlJc w:val="left"/>
      <w:pPr>
        <w:ind w:left="2160" w:hanging="360"/>
      </w:pPr>
      <w:rPr>
        <w:rFonts w:ascii="Wingdings" w:hAnsi="Wingdings" w:hint="default"/>
      </w:rPr>
    </w:lvl>
    <w:lvl w:ilvl="3" w:tplc="8C68D920">
      <w:start w:val="1"/>
      <w:numFmt w:val="bullet"/>
      <w:lvlText w:val=""/>
      <w:lvlJc w:val="left"/>
      <w:pPr>
        <w:ind w:left="2880" w:hanging="360"/>
      </w:pPr>
      <w:rPr>
        <w:rFonts w:ascii="Symbol" w:hAnsi="Symbol" w:hint="default"/>
      </w:rPr>
    </w:lvl>
    <w:lvl w:ilvl="4" w:tplc="18E67324">
      <w:start w:val="1"/>
      <w:numFmt w:val="bullet"/>
      <w:lvlText w:val="o"/>
      <w:lvlJc w:val="left"/>
      <w:pPr>
        <w:ind w:left="3600" w:hanging="360"/>
      </w:pPr>
      <w:rPr>
        <w:rFonts w:ascii="Courier New" w:hAnsi="Courier New" w:hint="default"/>
      </w:rPr>
    </w:lvl>
    <w:lvl w:ilvl="5" w:tplc="9C141A54">
      <w:start w:val="1"/>
      <w:numFmt w:val="bullet"/>
      <w:lvlText w:val=""/>
      <w:lvlJc w:val="left"/>
      <w:pPr>
        <w:ind w:left="4320" w:hanging="360"/>
      </w:pPr>
      <w:rPr>
        <w:rFonts w:ascii="Wingdings" w:hAnsi="Wingdings" w:hint="default"/>
      </w:rPr>
    </w:lvl>
    <w:lvl w:ilvl="6" w:tplc="46B02684">
      <w:start w:val="1"/>
      <w:numFmt w:val="bullet"/>
      <w:lvlText w:val=""/>
      <w:lvlJc w:val="left"/>
      <w:pPr>
        <w:ind w:left="5040" w:hanging="360"/>
      </w:pPr>
      <w:rPr>
        <w:rFonts w:ascii="Symbol" w:hAnsi="Symbol" w:hint="default"/>
      </w:rPr>
    </w:lvl>
    <w:lvl w:ilvl="7" w:tplc="064AA03A">
      <w:start w:val="1"/>
      <w:numFmt w:val="bullet"/>
      <w:lvlText w:val="o"/>
      <w:lvlJc w:val="left"/>
      <w:pPr>
        <w:ind w:left="5760" w:hanging="360"/>
      </w:pPr>
      <w:rPr>
        <w:rFonts w:ascii="Courier New" w:hAnsi="Courier New" w:hint="default"/>
      </w:rPr>
    </w:lvl>
    <w:lvl w:ilvl="8" w:tplc="46EA0A34">
      <w:start w:val="1"/>
      <w:numFmt w:val="bullet"/>
      <w:lvlText w:val=""/>
      <w:lvlJc w:val="left"/>
      <w:pPr>
        <w:ind w:left="6480" w:hanging="360"/>
      </w:pPr>
      <w:rPr>
        <w:rFonts w:ascii="Wingdings" w:hAnsi="Wingdings" w:hint="default"/>
      </w:rPr>
    </w:lvl>
  </w:abstractNum>
  <w:abstractNum w:abstractNumId="114" w15:restartNumberingAfterBreak="0">
    <w:nsid w:val="696A6450"/>
    <w:multiLevelType w:val="hybridMultilevel"/>
    <w:tmpl w:val="C7F8ED56"/>
    <w:lvl w:ilvl="0" w:tplc="1F0A4DBE">
      <w:start w:val="1"/>
      <w:numFmt w:val="bullet"/>
      <w:lvlText w:val=""/>
      <w:lvlJc w:val="left"/>
      <w:pPr>
        <w:ind w:left="360" w:hanging="360"/>
      </w:pPr>
      <w:rPr>
        <w:rFonts w:ascii="Symbol" w:hAnsi="Symbol" w:hint="default"/>
        <w:sz w:val="1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5" w15:restartNumberingAfterBreak="0">
    <w:nsid w:val="6CEF4BF7"/>
    <w:multiLevelType w:val="hybridMultilevel"/>
    <w:tmpl w:val="C610E0CA"/>
    <w:lvl w:ilvl="0" w:tplc="1F0A4DBE">
      <w:start w:val="1"/>
      <w:numFmt w:val="bullet"/>
      <w:lvlText w:val=""/>
      <w:lvlJc w:val="left"/>
      <w:pPr>
        <w:ind w:left="360" w:hanging="360"/>
      </w:pPr>
      <w:rPr>
        <w:rFonts w:ascii="Symbol" w:hAnsi="Symbol" w:hint="default"/>
        <w:sz w:val="1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6" w15:restartNumberingAfterBreak="0">
    <w:nsid w:val="6D005619"/>
    <w:multiLevelType w:val="hybridMultilevel"/>
    <w:tmpl w:val="511E6A22"/>
    <w:styleLink w:val="ListBullet0"/>
    <w:lvl w:ilvl="0" w:tplc="0510AA06">
      <w:start w:val="1"/>
      <w:numFmt w:val="lowerLetter"/>
      <w:lvlText w:val="%1."/>
      <w:lvlJc w:val="left"/>
      <w:pPr>
        <w:tabs>
          <w:tab w:val="num" w:pos="425"/>
        </w:tabs>
        <w:ind w:left="425" w:hanging="425"/>
      </w:pPr>
      <w:rPr>
        <w:rFonts w:hint="default"/>
      </w:rPr>
    </w:lvl>
    <w:lvl w:ilvl="1" w:tplc="315C104E">
      <w:start w:val="1"/>
      <w:numFmt w:val="lowerRoman"/>
      <w:lvlText w:val="%2."/>
      <w:lvlJc w:val="left"/>
      <w:pPr>
        <w:tabs>
          <w:tab w:val="num" w:pos="850"/>
        </w:tabs>
        <w:ind w:left="850" w:hanging="425"/>
      </w:pPr>
      <w:rPr>
        <w:rFonts w:hint="default"/>
      </w:rPr>
    </w:lvl>
    <w:lvl w:ilvl="2" w:tplc="FED4B41C">
      <w:start w:val="1"/>
      <w:numFmt w:val="decimal"/>
      <w:lvlText w:val="(%3)"/>
      <w:lvlJc w:val="left"/>
      <w:pPr>
        <w:tabs>
          <w:tab w:val="num" w:pos="1275"/>
        </w:tabs>
        <w:ind w:left="1275" w:hanging="425"/>
      </w:pPr>
      <w:rPr>
        <w:rFonts w:hint="default"/>
      </w:rPr>
    </w:lvl>
    <w:lvl w:ilvl="3" w:tplc="0BD40DF0">
      <w:start w:val="1"/>
      <w:numFmt w:val="upperLetter"/>
      <w:lvlText w:val="(%4)"/>
      <w:lvlJc w:val="left"/>
      <w:pPr>
        <w:tabs>
          <w:tab w:val="num" w:pos="1700"/>
        </w:tabs>
        <w:ind w:left="1700" w:hanging="425"/>
      </w:pPr>
      <w:rPr>
        <w:rFonts w:hint="default"/>
      </w:rPr>
    </w:lvl>
    <w:lvl w:ilvl="4" w:tplc="1B9C9A92">
      <w:start w:val="1"/>
      <w:numFmt w:val="upperRoman"/>
      <w:lvlText w:val="(%5)"/>
      <w:lvlJc w:val="left"/>
      <w:pPr>
        <w:tabs>
          <w:tab w:val="num" w:pos="2125"/>
        </w:tabs>
        <w:ind w:left="2125" w:hanging="425"/>
      </w:pPr>
      <w:rPr>
        <w:rFonts w:hint="default"/>
      </w:rPr>
    </w:lvl>
    <w:lvl w:ilvl="5" w:tplc="433836DE">
      <w:start w:val="1"/>
      <w:numFmt w:val="decimal"/>
      <w:lvlText w:val="(%6)"/>
      <w:lvlJc w:val="left"/>
      <w:pPr>
        <w:tabs>
          <w:tab w:val="num" w:pos="2550"/>
        </w:tabs>
        <w:ind w:left="2550" w:hanging="425"/>
      </w:pPr>
      <w:rPr>
        <w:rFonts w:hint="default"/>
      </w:rPr>
    </w:lvl>
    <w:lvl w:ilvl="6" w:tplc="659CAC9C">
      <w:start w:val="1"/>
      <w:numFmt w:val="none"/>
      <w:lvlText w:val=""/>
      <w:lvlJc w:val="left"/>
      <w:pPr>
        <w:tabs>
          <w:tab w:val="num" w:pos="-31680"/>
        </w:tabs>
        <w:ind w:left="-32767" w:firstLine="0"/>
      </w:pPr>
      <w:rPr>
        <w:rFonts w:hint="default"/>
      </w:rPr>
    </w:lvl>
    <w:lvl w:ilvl="7" w:tplc="4C8061DA">
      <w:start w:val="1"/>
      <w:numFmt w:val="none"/>
      <w:lvlText w:val=""/>
      <w:lvlJc w:val="left"/>
      <w:pPr>
        <w:tabs>
          <w:tab w:val="num" w:pos="-31680"/>
        </w:tabs>
        <w:ind w:left="-32767" w:firstLine="0"/>
      </w:pPr>
      <w:rPr>
        <w:rFonts w:hint="default"/>
      </w:rPr>
    </w:lvl>
    <w:lvl w:ilvl="8" w:tplc="482AD7DE">
      <w:start w:val="1"/>
      <w:numFmt w:val="none"/>
      <w:lvlText w:val=""/>
      <w:lvlJc w:val="left"/>
      <w:pPr>
        <w:tabs>
          <w:tab w:val="num" w:pos="-31680"/>
        </w:tabs>
        <w:ind w:left="-32767" w:firstLine="0"/>
      </w:pPr>
      <w:rPr>
        <w:rFonts w:hint="default"/>
      </w:rPr>
    </w:lvl>
  </w:abstractNum>
  <w:abstractNum w:abstractNumId="117" w15:restartNumberingAfterBreak="0">
    <w:nsid w:val="6D620CE8"/>
    <w:multiLevelType w:val="multilevel"/>
    <w:tmpl w:val="E08E3D0A"/>
    <w:lvl w:ilvl="0">
      <w:start w:val="1"/>
      <w:numFmt w:val="decimal"/>
      <w:lvlText w:val="%1."/>
      <w:lvlJc w:val="left"/>
      <w:pPr>
        <w:tabs>
          <w:tab w:val="num" w:pos="360"/>
        </w:tabs>
        <w:ind w:left="360" w:hanging="360"/>
      </w:pPr>
      <w:rPr>
        <w:rFont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18" w15:restartNumberingAfterBreak="0">
    <w:nsid w:val="6D634E1D"/>
    <w:multiLevelType w:val="hybridMultilevel"/>
    <w:tmpl w:val="8F44B38C"/>
    <w:lvl w:ilvl="0" w:tplc="83B67676">
      <w:numFmt w:val="bullet"/>
      <w:lvlText w:val="•"/>
      <w:lvlJc w:val="left"/>
      <w:pPr>
        <w:ind w:left="360" w:hanging="360"/>
      </w:pPr>
      <w:rPr>
        <w:rFonts w:ascii="Arial" w:eastAsiaTheme="minorEastAsia" w:hAnsi="Arial" w:cs="Arial" w:hint="default"/>
        <w:sz w:val="24"/>
      </w:rPr>
    </w:lvl>
    <w:lvl w:ilvl="1" w:tplc="FFFFFFFF">
      <w:start w:val="1"/>
      <w:numFmt w:val="bullet"/>
      <w:lvlText w:val="–"/>
      <w:lvlJc w:val="left"/>
      <w:pPr>
        <w:ind w:left="714" w:hanging="357"/>
      </w:pPr>
      <w:rPr>
        <w:rFonts w:ascii="Franklin Gothic Book" w:hAnsi="Franklin Gothic Book" w:hint="default"/>
        <w:sz w:val="22"/>
      </w:rPr>
    </w:lvl>
    <w:lvl w:ilvl="2" w:tplc="FFFFFFFF">
      <w:start w:val="1"/>
      <w:numFmt w:val="bullet"/>
      <w:lvlText w:val=""/>
      <w:lvlJc w:val="left"/>
      <w:pPr>
        <w:ind w:left="1071" w:hanging="357"/>
      </w:pPr>
      <w:rPr>
        <w:rFonts w:ascii="Symbol" w:hAnsi="Symbol" w:hint="default"/>
        <w:sz w:val="22"/>
      </w:rPr>
    </w:lvl>
    <w:lvl w:ilvl="3" w:tplc="FFFFFFFF">
      <w:start w:val="1"/>
      <w:numFmt w:val="decimal"/>
      <w:lvlText w:val=""/>
      <w:lvlJc w:val="left"/>
      <w:pPr>
        <w:ind w:left="1428" w:hanging="357"/>
      </w:pPr>
    </w:lvl>
    <w:lvl w:ilvl="4" w:tplc="FFFFFFFF">
      <w:start w:val="1"/>
      <w:numFmt w:val="decimal"/>
      <w:lvlText w:val=""/>
      <w:lvlJc w:val="left"/>
      <w:pPr>
        <w:ind w:left="1785" w:hanging="357"/>
      </w:pPr>
    </w:lvl>
    <w:lvl w:ilvl="5" w:tplc="FFFFFFFF">
      <w:start w:val="1"/>
      <w:numFmt w:val="decimal"/>
      <w:lvlText w:val=""/>
      <w:lvlJc w:val="left"/>
      <w:pPr>
        <w:ind w:left="2142" w:hanging="357"/>
      </w:pPr>
    </w:lvl>
    <w:lvl w:ilvl="6" w:tplc="FFFFFFFF">
      <w:start w:val="1"/>
      <w:numFmt w:val="decimal"/>
      <w:lvlText w:val=""/>
      <w:lvlJc w:val="left"/>
      <w:pPr>
        <w:ind w:left="2499" w:hanging="357"/>
      </w:pPr>
    </w:lvl>
    <w:lvl w:ilvl="7" w:tplc="FFFFFFFF">
      <w:start w:val="1"/>
      <w:numFmt w:val="decimal"/>
      <w:lvlText w:val=""/>
      <w:lvlJc w:val="left"/>
      <w:pPr>
        <w:ind w:left="2856" w:hanging="357"/>
      </w:pPr>
    </w:lvl>
    <w:lvl w:ilvl="8" w:tplc="FFFFFFFF">
      <w:start w:val="1"/>
      <w:numFmt w:val="decimal"/>
      <w:lvlText w:val=""/>
      <w:lvlJc w:val="left"/>
      <w:pPr>
        <w:ind w:left="3213" w:hanging="357"/>
      </w:pPr>
    </w:lvl>
  </w:abstractNum>
  <w:abstractNum w:abstractNumId="119" w15:restartNumberingAfterBreak="0">
    <w:nsid w:val="6DFD3F31"/>
    <w:multiLevelType w:val="hybridMultilevel"/>
    <w:tmpl w:val="8486917C"/>
    <w:lvl w:ilvl="0" w:tplc="83B67676">
      <w:numFmt w:val="bullet"/>
      <w:lvlText w:val="•"/>
      <w:lvlJc w:val="left"/>
      <w:pPr>
        <w:ind w:left="720" w:hanging="360"/>
      </w:pPr>
      <w:rPr>
        <w:rFonts w:ascii="Arial" w:eastAsiaTheme="minorEastAsia" w:hAnsi="Arial" w:cs="Arial" w:hint="default"/>
      </w:rPr>
    </w:lvl>
    <w:lvl w:ilvl="1" w:tplc="FFFFFFFF" w:tentative="1">
      <w:start w:val="1"/>
      <w:numFmt w:val="bullet"/>
      <w:lvlText w:val="o"/>
      <w:lvlJc w:val="left"/>
      <w:pPr>
        <w:ind w:left="1508" w:hanging="360"/>
      </w:pPr>
      <w:rPr>
        <w:rFonts w:ascii="Courier New" w:hAnsi="Courier New" w:cs="Courier New" w:hint="default"/>
      </w:rPr>
    </w:lvl>
    <w:lvl w:ilvl="2" w:tplc="FFFFFFFF" w:tentative="1">
      <w:start w:val="1"/>
      <w:numFmt w:val="bullet"/>
      <w:lvlText w:val=""/>
      <w:lvlJc w:val="left"/>
      <w:pPr>
        <w:ind w:left="2228" w:hanging="360"/>
      </w:pPr>
      <w:rPr>
        <w:rFonts w:ascii="Wingdings" w:hAnsi="Wingdings" w:hint="default"/>
      </w:rPr>
    </w:lvl>
    <w:lvl w:ilvl="3" w:tplc="FFFFFFFF" w:tentative="1">
      <w:start w:val="1"/>
      <w:numFmt w:val="bullet"/>
      <w:lvlText w:val=""/>
      <w:lvlJc w:val="left"/>
      <w:pPr>
        <w:ind w:left="2948" w:hanging="360"/>
      </w:pPr>
      <w:rPr>
        <w:rFonts w:ascii="Symbol" w:hAnsi="Symbol" w:hint="default"/>
      </w:rPr>
    </w:lvl>
    <w:lvl w:ilvl="4" w:tplc="FFFFFFFF" w:tentative="1">
      <w:start w:val="1"/>
      <w:numFmt w:val="bullet"/>
      <w:lvlText w:val="o"/>
      <w:lvlJc w:val="left"/>
      <w:pPr>
        <w:ind w:left="3668" w:hanging="360"/>
      </w:pPr>
      <w:rPr>
        <w:rFonts w:ascii="Courier New" w:hAnsi="Courier New" w:cs="Courier New" w:hint="default"/>
      </w:rPr>
    </w:lvl>
    <w:lvl w:ilvl="5" w:tplc="FFFFFFFF" w:tentative="1">
      <w:start w:val="1"/>
      <w:numFmt w:val="bullet"/>
      <w:lvlText w:val=""/>
      <w:lvlJc w:val="left"/>
      <w:pPr>
        <w:ind w:left="4388" w:hanging="360"/>
      </w:pPr>
      <w:rPr>
        <w:rFonts w:ascii="Wingdings" w:hAnsi="Wingdings" w:hint="default"/>
      </w:rPr>
    </w:lvl>
    <w:lvl w:ilvl="6" w:tplc="FFFFFFFF" w:tentative="1">
      <w:start w:val="1"/>
      <w:numFmt w:val="bullet"/>
      <w:lvlText w:val=""/>
      <w:lvlJc w:val="left"/>
      <w:pPr>
        <w:ind w:left="5108" w:hanging="360"/>
      </w:pPr>
      <w:rPr>
        <w:rFonts w:ascii="Symbol" w:hAnsi="Symbol" w:hint="default"/>
      </w:rPr>
    </w:lvl>
    <w:lvl w:ilvl="7" w:tplc="FFFFFFFF" w:tentative="1">
      <w:start w:val="1"/>
      <w:numFmt w:val="bullet"/>
      <w:lvlText w:val="o"/>
      <w:lvlJc w:val="left"/>
      <w:pPr>
        <w:ind w:left="5828" w:hanging="360"/>
      </w:pPr>
      <w:rPr>
        <w:rFonts w:ascii="Courier New" w:hAnsi="Courier New" w:cs="Courier New" w:hint="default"/>
      </w:rPr>
    </w:lvl>
    <w:lvl w:ilvl="8" w:tplc="FFFFFFFF" w:tentative="1">
      <w:start w:val="1"/>
      <w:numFmt w:val="bullet"/>
      <w:lvlText w:val=""/>
      <w:lvlJc w:val="left"/>
      <w:pPr>
        <w:ind w:left="6548" w:hanging="360"/>
      </w:pPr>
      <w:rPr>
        <w:rFonts w:ascii="Wingdings" w:hAnsi="Wingdings" w:hint="default"/>
      </w:rPr>
    </w:lvl>
  </w:abstractNum>
  <w:abstractNum w:abstractNumId="120" w15:restartNumberingAfterBreak="0">
    <w:nsid w:val="6E7E3549"/>
    <w:multiLevelType w:val="hybridMultilevel"/>
    <w:tmpl w:val="D38C51E8"/>
    <w:lvl w:ilvl="0" w:tplc="83B67676">
      <w:numFmt w:val="bullet"/>
      <w:lvlText w:val="•"/>
      <w:lvlJc w:val="left"/>
      <w:pPr>
        <w:ind w:left="1146" w:hanging="360"/>
      </w:pPr>
      <w:rPr>
        <w:rFonts w:ascii="Arial" w:eastAsiaTheme="minorEastAsia" w:hAnsi="Arial" w:cs="Aria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21" w15:restartNumberingAfterBreak="0">
    <w:nsid w:val="6F03274B"/>
    <w:multiLevelType w:val="multilevel"/>
    <w:tmpl w:val="E004AA08"/>
    <w:lvl w:ilvl="0">
      <w:numFmt w:val="bullet"/>
      <w:lvlText w:val="•"/>
      <w:lvlJc w:val="left"/>
      <w:pPr>
        <w:ind w:left="360" w:hanging="360"/>
      </w:pPr>
      <w:rPr>
        <w:rFonts w:ascii="Arial" w:eastAsiaTheme="minorEastAsia" w:hAnsi="Arial" w:cs="Aria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15:restartNumberingAfterBreak="0">
    <w:nsid w:val="6F573E4A"/>
    <w:multiLevelType w:val="hybridMultilevel"/>
    <w:tmpl w:val="80E44DB0"/>
    <w:lvl w:ilvl="0" w:tplc="83B67676">
      <w:numFmt w:val="bullet"/>
      <w:lvlText w:val="•"/>
      <w:lvlJc w:val="left"/>
      <w:pPr>
        <w:ind w:left="360" w:hanging="360"/>
      </w:pPr>
      <w:rPr>
        <w:rFonts w:ascii="Arial" w:eastAsiaTheme="minorEastAsia" w:hAnsi="Arial" w:cs="Arial" w:hint="default"/>
        <w:sz w:val="2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3" w15:restartNumberingAfterBreak="0">
    <w:nsid w:val="70F25208"/>
    <w:multiLevelType w:val="hybridMultilevel"/>
    <w:tmpl w:val="04DE3576"/>
    <w:lvl w:ilvl="0" w:tplc="83B67676">
      <w:numFmt w:val="bullet"/>
      <w:lvlText w:val="•"/>
      <w:lvlJc w:val="left"/>
      <w:pPr>
        <w:ind w:left="360" w:hanging="360"/>
      </w:pPr>
      <w:rPr>
        <w:rFonts w:ascii="Arial" w:eastAsiaTheme="minorEastAsia"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4" w15:restartNumberingAfterBreak="0">
    <w:nsid w:val="725B532E"/>
    <w:multiLevelType w:val="hybridMultilevel"/>
    <w:tmpl w:val="2F6CA4A0"/>
    <w:styleLink w:val="ListNbrHeading"/>
    <w:lvl w:ilvl="0" w:tplc="80F851DE">
      <w:start w:val="1"/>
      <w:numFmt w:val="bullet"/>
      <w:lvlText w:val=""/>
      <w:lvlJc w:val="left"/>
      <w:pPr>
        <w:tabs>
          <w:tab w:val="num" w:pos="425"/>
        </w:tabs>
        <w:ind w:left="425" w:hanging="425"/>
      </w:pPr>
      <w:rPr>
        <w:rFonts w:ascii="Symbol" w:hAnsi="Symbol" w:hint="default"/>
      </w:rPr>
    </w:lvl>
    <w:lvl w:ilvl="1" w:tplc="2B8E5E54">
      <w:start w:val="1"/>
      <w:numFmt w:val="bullet"/>
      <w:lvlText w:val="–"/>
      <w:lvlJc w:val="left"/>
      <w:pPr>
        <w:tabs>
          <w:tab w:val="num" w:pos="850"/>
        </w:tabs>
        <w:ind w:left="850" w:hanging="425"/>
      </w:pPr>
      <w:rPr>
        <w:rFonts w:ascii="Arial Rounded MT" w:hAnsi="Arial Rounded MT" w:hint="default"/>
        <w:color w:val="auto"/>
      </w:rPr>
    </w:lvl>
    <w:lvl w:ilvl="2" w:tplc="33A83D86">
      <w:start w:val="1"/>
      <w:numFmt w:val="bullet"/>
      <w:lvlText w:val=""/>
      <w:lvlJc w:val="left"/>
      <w:pPr>
        <w:tabs>
          <w:tab w:val="num" w:pos="1275"/>
        </w:tabs>
        <w:ind w:left="1275" w:hanging="425"/>
      </w:pPr>
      <w:rPr>
        <w:rFonts w:ascii="Symbol" w:hAnsi="Symbol" w:hint="default"/>
      </w:rPr>
    </w:lvl>
    <w:lvl w:ilvl="3" w:tplc="CFE6682E">
      <w:start w:val="1"/>
      <w:numFmt w:val="bullet"/>
      <w:lvlText w:val="–"/>
      <w:lvlJc w:val="left"/>
      <w:pPr>
        <w:tabs>
          <w:tab w:val="num" w:pos="1700"/>
        </w:tabs>
        <w:ind w:left="1700" w:hanging="425"/>
      </w:pPr>
      <w:rPr>
        <w:rFonts w:ascii="Arial Rounded MT" w:hAnsi="Arial Rounded MT" w:hint="default"/>
      </w:rPr>
    </w:lvl>
    <w:lvl w:ilvl="4" w:tplc="0784981E">
      <w:start w:val="1"/>
      <w:numFmt w:val="bullet"/>
      <w:lvlText w:val=""/>
      <w:lvlJc w:val="left"/>
      <w:pPr>
        <w:tabs>
          <w:tab w:val="num" w:pos="2125"/>
        </w:tabs>
        <w:ind w:left="2125" w:hanging="425"/>
      </w:pPr>
      <w:rPr>
        <w:rFonts w:ascii="Symbol" w:hAnsi="Symbol" w:hint="default"/>
        <w:color w:val="auto"/>
      </w:rPr>
    </w:lvl>
    <w:lvl w:ilvl="5" w:tplc="5A2A54F8">
      <w:start w:val="1"/>
      <w:numFmt w:val="bullet"/>
      <w:lvlText w:val="–"/>
      <w:lvlJc w:val="left"/>
      <w:pPr>
        <w:tabs>
          <w:tab w:val="num" w:pos="2550"/>
        </w:tabs>
        <w:ind w:left="2550" w:hanging="425"/>
      </w:pPr>
      <w:rPr>
        <w:rFonts w:ascii="Arial Rounded MT" w:hAnsi="Arial Rounded MT" w:hint="default"/>
      </w:rPr>
    </w:lvl>
    <w:lvl w:ilvl="6" w:tplc="3C5AD6DA">
      <w:start w:val="1"/>
      <w:numFmt w:val="none"/>
      <w:lvlText w:val="%7"/>
      <w:lvlJc w:val="left"/>
      <w:pPr>
        <w:tabs>
          <w:tab w:val="num" w:pos="-31680"/>
        </w:tabs>
        <w:ind w:left="-32767" w:firstLine="0"/>
      </w:pPr>
      <w:rPr>
        <w:rFonts w:hint="default"/>
      </w:rPr>
    </w:lvl>
    <w:lvl w:ilvl="7" w:tplc="E27C2AD2">
      <w:start w:val="1"/>
      <w:numFmt w:val="none"/>
      <w:lvlText w:val=""/>
      <w:lvlJc w:val="left"/>
      <w:pPr>
        <w:tabs>
          <w:tab w:val="num" w:pos="-31680"/>
        </w:tabs>
        <w:ind w:left="-32767" w:firstLine="0"/>
      </w:pPr>
      <w:rPr>
        <w:rFonts w:hint="default"/>
      </w:rPr>
    </w:lvl>
    <w:lvl w:ilvl="8" w:tplc="1F4CE6D0">
      <w:start w:val="1"/>
      <w:numFmt w:val="none"/>
      <w:lvlText w:val=""/>
      <w:lvlJc w:val="left"/>
      <w:pPr>
        <w:tabs>
          <w:tab w:val="num" w:pos="-31680"/>
        </w:tabs>
        <w:ind w:left="-32767" w:firstLine="0"/>
      </w:pPr>
      <w:rPr>
        <w:rFonts w:hint="default"/>
      </w:rPr>
    </w:lvl>
  </w:abstractNum>
  <w:abstractNum w:abstractNumId="125" w15:restartNumberingAfterBreak="0">
    <w:nsid w:val="72740FC2"/>
    <w:multiLevelType w:val="multilevel"/>
    <w:tmpl w:val="696AA036"/>
    <w:lvl w:ilvl="0">
      <w:numFmt w:val="bullet"/>
      <w:lvlText w:val="•"/>
      <w:lvlJc w:val="left"/>
      <w:pPr>
        <w:ind w:left="360" w:hanging="360"/>
      </w:pPr>
      <w:rPr>
        <w:rFonts w:ascii="Arial" w:eastAsiaTheme="minorEastAsia" w:hAnsi="Arial" w:cs="Aria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73B53608"/>
    <w:multiLevelType w:val="hybridMultilevel"/>
    <w:tmpl w:val="EA789074"/>
    <w:lvl w:ilvl="0" w:tplc="83B67676">
      <w:numFmt w:val="bullet"/>
      <w:lvlText w:val="•"/>
      <w:lvlJc w:val="left"/>
      <w:pPr>
        <w:ind w:left="720" w:hanging="360"/>
      </w:pPr>
      <w:rPr>
        <w:rFonts w:ascii="Arial" w:eastAsiaTheme="minorEastAsia" w:hAnsi="Arial" w:cs="Arial" w:hint="default"/>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7" w15:restartNumberingAfterBreak="0">
    <w:nsid w:val="740A0504"/>
    <w:multiLevelType w:val="hybridMultilevel"/>
    <w:tmpl w:val="F3BE660E"/>
    <w:lvl w:ilvl="0" w:tplc="83B67676">
      <w:numFmt w:val="bullet"/>
      <w:lvlText w:val="•"/>
      <w:lvlJc w:val="left"/>
      <w:pPr>
        <w:ind w:left="720" w:hanging="360"/>
      </w:pPr>
      <w:rPr>
        <w:rFonts w:ascii="Arial" w:eastAsiaTheme="minorEastAsia"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8" w15:restartNumberingAfterBreak="0">
    <w:nsid w:val="75737E58"/>
    <w:multiLevelType w:val="hybridMultilevel"/>
    <w:tmpl w:val="3A40304A"/>
    <w:lvl w:ilvl="0" w:tplc="83B67676">
      <w:numFmt w:val="bullet"/>
      <w:lvlText w:val="•"/>
      <w:lvlJc w:val="left"/>
      <w:pPr>
        <w:ind w:left="720" w:hanging="360"/>
      </w:pPr>
      <w:rPr>
        <w:rFonts w:ascii="Arial" w:eastAsiaTheme="minorEastAsia" w:hAnsi="Arial" w:cs="Aria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29" w15:restartNumberingAfterBreak="0">
    <w:nsid w:val="75CF4E25"/>
    <w:multiLevelType w:val="hybridMultilevel"/>
    <w:tmpl w:val="CE16DBB0"/>
    <w:lvl w:ilvl="0" w:tplc="83B67676">
      <w:numFmt w:val="bullet"/>
      <w:lvlText w:val="•"/>
      <w:lvlJc w:val="left"/>
      <w:pPr>
        <w:ind w:left="360" w:hanging="360"/>
      </w:pPr>
      <w:rPr>
        <w:rFonts w:ascii="Arial" w:eastAsiaTheme="minorEastAsia"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0" w15:restartNumberingAfterBreak="0">
    <w:nsid w:val="7A126242"/>
    <w:multiLevelType w:val="multilevel"/>
    <w:tmpl w:val="9E244DAA"/>
    <w:lvl w:ilvl="0">
      <w:numFmt w:val="bullet"/>
      <w:lvlText w:val="•"/>
      <w:lvlJc w:val="left"/>
      <w:pPr>
        <w:ind w:left="360" w:hanging="360"/>
      </w:pPr>
      <w:rPr>
        <w:rFonts w:ascii="Arial" w:eastAsiaTheme="minorEastAsia" w:hAnsi="Arial" w:cs="Aria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1" w15:restartNumberingAfterBreak="0">
    <w:nsid w:val="7A7C3826"/>
    <w:multiLevelType w:val="hybridMultilevel"/>
    <w:tmpl w:val="87847C26"/>
    <w:lvl w:ilvl="0" w:tplc="134CC9B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7B8A4148"/>
    <w:multiLevelType w:val="hybridMultilevel"/>
    <w:tmpl w:val="5074C484"/>
    <w:lvl w:ilvl="0" w:tplc="83B67676">
      <w:numFmt w:val="bullet"/>
      <w:lvlText w:val="•"/>
      <w:lvlJc w:val="left"/>
      <w:pPr>
        <w:ind w:left="720" w:hanging="360"/>
      </w:pPr>
      <w:rPr>
        <w:rFonts w:ascii="Arial" w:eastAsiaTheme="minorEastAsia" w:hAnsi="Arial" w:cs="Arial" w:hint="default"/>
      </w:rPr>
    </w:lvl>
    <w:lvl w:ilvl="1" w:tplc="FFFFFFFF">
      <w:start w:val="1"/>
      <w:numFmt w:val="bullet"/>
      <w:lvlText w:val=""/>
      <w:lvlJc w:val="left"/>
      <w:pPr>
        <w:ind w:left="1440" w:hanging="360"/>
      </w:pPr>
      <w:rPr>
        <w:rFonts w:ascii="Symbol" w:hAnsi="Symbol" w:hint="default"/>
        <w:sz w:val="22"/>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3" w15:restartNumberingAfterBreak="0">
    <w:nsid w:val="7D5620AD"/>
    <w:multiLevelType w:val="hybridMultilevel"/>
    <w:tmpl w:val="4280951A"/>
    <w:lvl w:ilvl="0" w:tplc="83B67676">
      <w:numFmt w:val="bullet"/>
      <w:lvlText w:val="•"/>
      <w:lvlJc w:val="left"/>
      <w:pPr>
        <w:ind w:left="720" w:hanging="360"/>
      </w:pPr>
      <w:rPr>
        <w:rFonts w:ascii="Arial" w:eastAsiaTheme="minorEastAsia" w:hAnsi="Arial" w:cs="Aria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num w:numId="1" w16cid:durableId="1955206298">
    <w:abstractNumId w:val="124"/>
  </w:num>
  <w:num w:numId="2" w16cid:durableId="2082629396">
    <w:abstractNumId w:val="47"/>
  </w:num>
  <w:num w:numId="3" w16cid:durableId="65348211">
    <w:abstractNumId w:val="86"/>
  </w:num>
  <w:num w:numId="4" w16cid:durableId="1231043844">
    <w:abstractNumId w:val="81"/>
  </w:num>
  <w:num w:numId="5" w16cid:durableId="645937178">
    <w:abstractNumId w:val="34"/>
  </w:num>
  <w:num w:numId="6" w16cid:durableId="528493866">
    <w:abstractNumId w:val="116"/>
  </w:num>
  <w:num w:numId="7" w16cid:durableId="1780756945">
    <w:abstractNumId w:val="79"/>
  </w:num>
  <w:num w:numId="8" w16cid:durableId="808589522">
    <w:abstractNumId w:val="113"/>
  </w:num>
  <w:num w:numId="9" w16cid:durableId="1266036206">
    <w:abstractNumId w:val="4"/>
  </w:num>
  <w:num w:numId="10" w16cid:durableId="1257058274">
    <w:abstractNumId w:val="59"/>
  </w:num>
  <w:num w:numId="11" w16cid:durableId="2131585132">
    <w:abstractNumId w:val="105"/>
  </w:num>
  <w:num w:numId="12" w16cid:durableId="976179478">
    <w:abstractNumId w:val="68"/>
  </w:num>
  <w:num w:numId="13" w16cid:durableId="167984112">
    <w:abstractNumId w:val="0"/>
  </w:num>
  <w:num w:numId="14" w16cid:durableId="2144031969">
    <w:abstractNumId w:val="99"/>
  </w:num>
  <w:num w:numId="15" w16cid:durableId="506755194">
    <w:abstractNumId w:val="104"/>
  </w:num>
  <w:num w:numId="16" w16cid:durableId="1518885517">
    <w:abstractNumId w:val="103"/>
  </w:num>
  <w:num w:numId="17" w16cid:durableId="983702227">
    <w:abstractNumId w:val="64"/>
  </w:num>
  <w:num w:numId="18" w16cid:durableId="663894368">
    <w:abstractNumId w:val="117"/>
  </w:num>
  <w:num w:numId="19" w16cid:durableId="1953053936">
    <w:abstractNumId w:val="109"/>
  </w:num>
  <w:num w:numId="20" w16cid:durableId="832139659">
    <w:abstractNumId w:val="72"/>
  </w:num>
  <w:num w:numId="21" w16cid:durableId="580454531">
    <w:abstractNumId w:val="1"/>
  </w:num>
  <w:num w:numId="22" w16cid:durableId="351612930">
    <w:abstractNumId w:val="69"/>
  </w:num>
  <w:num w:numId="23" w16cid:durableId="254288806">
    <w:abstractNumId w:val="75"/>
  </w:num>
  <w:num w:numId="24" w16cid:durableId="123424293">
    <w:abstractNumId w:val="97"/>
  </w:num>
  <w:num w:numId="25" w16cid:durableId="1219629103">
    <w:abstractNumId w:val="5"/>
  </w:num>
  <w:num w:numId="26" w16cid:durableId="732966885">
    <w:abstractNumId w:val="111"/>
  </w:num>
  <w:num w:numId="27" w16cid:durableId="1588687672">
    <w:abstractNumId w:val="95"/>
  </w:num>
  <w:num w:numId="28" w16cid:durableId="324864521">
    <w:abstractNumId w:val="67"/>
  </w:num>
  <w:num w:numId="29" w16cid:durableId="1917977564">
    <w:abstractNumId w:val="74"/>
  </w:num>
  <w:num w:numId="30" w16cid:durableId="1430199634">
    <w:abstractNumId w:val="29"/>
  </w:num>
  <w:num w:numId="31" w16cid:durableId="935669445">
    <w:abstractNumId w:val="90"/>
  </w:num>
  <w:num w:numId="32" w16cid:durableId="2054308618">
    <w:abstractNumId w:val="107"/>
  </w:num>
  <w:num w:numId="33" w16cid:durableId="1377587389">
    <w:abstractNumId w:val="80"/>
  </w:num>
  <w:num w:numId="34" w16cid:durableId="181627336">
    <w:abstractNumId w:val="131"/>
  </w:num>
  <w:num w:numId="35" w16cid:durableId="1832602726">
    <w:abstractNumId w:val="43"/>
  </w:num>
  <w:num w:numId="36" w16cid:durableId="1877618637">
    <w:abstractNumId w:val="66"/>
  </w:num>
  <w:num w:numId="37" w16cid:durableId="7830140">
    <w:abstractNumId w:val="60"/>
  </w:num>
  <w:num w:numId="38" w16cid:durableId="1395158072">
    <w:abstractNumId w:val="2"/>
  </w:num>
  <w:num w:numId="39" w16cid:durableId="346106527">
    <w:abstractNumId w:val="50"/>
  </w:num>
  <w:num w:numId="40" w16cid:durableId="824273891">
    <w:abstractNumId w:val="85"/>
  </w:num>
  <w:num w:numId="41" w16cid:durableId="129325367">
    <w:abstractNumId w:val="115"/>
  </w:num>
  <w:num w:numId="42" w16cid:durableId="569970500">
    <w:abstractNumId w:val="114"/>
  </w:num>
  <w:num w:numId="43" w16cid:durableId="216556878">
    <w:abstractNumId w:val="19"/>
  </w:num>
  <w:num w:numId="44" w16cid:durableId="127360782">
    <w:abstractNumId w:val="6"/>
  </w:num>
  <w:num w:numId="45" w16cid:durableId="1728869818">
    <w:abstractNumId w:val="122"/>
  </w:num>
  <w:num w:numId="46" w16cid:durableId="426851847">
    <w:abstractNumId w:val="106"/>
  </w:num>
  <w:num w:numId="47" w16cid:durableId="1876037557">
    <w:abstractNumId w:val="61"/>
  </w:num>
  <w:num w:numId="48" w16cid:durableId="2093117332">
    <w:abstractNumId w:val="118"/>
  </w:num>
  <w:num w:numId="49" w16cid:durableId="1509294128">
    <w:abstractNumId w:val="93"/>
  </w:num>
  <w:num w:numId="50" w16cid:durableId="1194229679">
    <w:abstractNumId w:val="82"/>
  </w:num>
  <w:num w:numId="51" w16cid:durableId="1521166264">
    <w:abstractNumId w:val="92"/>
  </w:num>
  <w:num w:numId="52" w16cid:durableId="226575349">
    <w:abstractNumId w:val="52"/>
  </w:num>
  <w:num w:numId="53" w16cid:durableId="724642721">
    <w:abstractNumId w:val="44"/>
  </w:num>
  <w:num w:numId="54" w16cid:durableId="1072241349">
    <w:abstractNumId w:val="9"/>
  </w:num>
  <w:num w:numId="55" w16cid:durableId="1262954507">
    <w:abstractNumId w:val="26"/>
  </w:num>
  <w:num w:numId="56" w16cid:durableId="1068503125">
    <w:abstractNumId w:val="125"/>
  </w:num>
  <w:num w:numId="57" w16cid:durableId="1472821162">
    <w:abstractNumId w:val="63"/>
  </w:num>
  <w:num w:numId="58" w16cid:durableId="889876062">
    <w:abstractNumId w:val="70"/>
  </w:num>
  <w:num w:numId="59" w16cid:durableId="1205871968">
    <w:abstractNumId w:val="32"/>
  </w:num>
  <w:num w:numId="60" w16cid:durableId="1090003933">
    <w:abstractNumId w:val="20"/>
  </w:num>
  <w:num w:numId="61" w16cid:durableId="409083770">
    <w:abstractNumId w:val="83"/>
  </w:num>
  <w:num w:numId="62" w16cid:durableId="1279601379">
    <w:abstractNumId w:val="62"/>
  </w:num>
  <w:num w:numId="63" w16cid:durableId="1729644220">
    <w:abstractNumId w:val="94"/>
  </w:num>
  <w:num w:numId="64" w16cid:durableId="1441342454">
    <w:abstractNumId w:val="91"/>
  </w:num>
  <w:num w:numId="65" w16cid:durableId="1625769765">
    <w:abstractNumId w:val="13"/>
  </w:num>
  <w:num w:numId="66" w16cid:durableId="384915312">
    <w:abstractNumId w:val="35"/>
  </w:num>
  <w:num w:numId="67" w16cid:durableId="1220508238">
    <w:abstractNumId w:val="22"/>
  </w:num>
  <w:num w:numId="68" w16cid:durableId="529687118">
    <w:abstractNumId w:val="28"/>
  </w:num>
  <w:num w:numId="69" w16cid:durableId="1243484737">
    <w:abstractNumId w:val="16"/>
  </w:num>
  <w:num w:numId="70" w16cid:durableId="1096826207">
    <w:abstractNumId w:val="76"/>
  </w:num>
  <w:num w:numId="71" w16cid:durableId="1283223659">
    <w:abstractNumId w:val="31"/>
  </w:num>
  <w:num w:numId="72" w16cid:durableId="1017999799">
    <w:abstractNumId w:val="55"/>
  </w:num>
  <w:num w:numId="73" w16cid:durableId="215244923">
    <w:abstractNumId w:val="78"/>
  </w:num>
  <w:num w:numId="74" w16cid:durableId="679241398">
    <w:abstractNumId w:val="132"/>
  </w:num>
  <w:num w:numId="75" w16cid:durableId="554199393">
    <w:abstractNumId w:val="126"/>
  </w:num>
  <w:num w:numId="76" w16cid:durableId="764182519">
    <w:abstractNumId w:val="48"/>
  </w:num>
  <w:num w:numId="77" w16cid:durableId="878472018">
    <w:abstractNumId w:val="73"/>
  </w:num>
  <w:num w:numId="78" w16cid:durableId="318309360">
    <w:abstractNumId w:val="41"/>
  </w:num>
  <w:num w:numId="79" w16cid:durableId="1441413398">
    <w:abstractNumId w:val="112"/>
  </w:num>
  <w:num w:numId="80" w16cid:durableId="1867793613">
    <w:abstractNumId w:val="119"/>
  </w:num>
  <w:num w:numId="81" w16cid:durableId="630211054">
    <w:abstractNumId w:val="127"/>
  </w:num>
  <w:num w:numId="82" w16cid:durableId="2123844275">
    <w:abstractNumId w:val="21"/>
  </w:num>
  <w:num w:numId="83" w16cid:durableId="509881183">
    <w:abstractNumId w:val="8"/>
  </w:num>
  <w:num w:numId="84" w16cid:durableId="1402873140">
    <w:abstractNumId w:val="110"/>
  </w:num>
  <w:num w:numId="85" w16cid:durableId="688028000">
    <w:abstractNumId w:val="12"/>
  </w:num>
  <w:num w:numId="86" w16cid:durableId="1046369418">
    <w:abstractNumId w:val="65"/>
  </w:num>
  <w:num w:numId="87" w16cid:durableId="1024138125">
    <w:abstractNumId w:val="133"/>
  </w:num>
  <w:num w:numId="88" w16cid:durableId="2094155441">
    <w:abstractNumId w:val="27"/>
  </w:num>
  <w:num w:numId="89" w16cid:durableId="1175681883">
    <w:abstractNumId w:val="128"/>
  </w:num>
  <w:num w:numId="90" w16cid:durableId="2111271523">
    <w:abstractNumId w:val="46"/>
  </w:num>
  <w:num w:numId="91" w16cid:durableId="1961296085">
    <w:abstractNumId w:val="71"/>
  </w:num>
  <w:num w:numId="92" w16cid:durableId="189343640">
    <w:abstractNumId w:val="58"/>
  </w:num>
  <w:num w:numId="93" w16cid:durableId="1109543541">
    <w:abstractNumId w:val="23"/>
  </w:num>
  <w:num w:numId="94" w16cid:durableId="643434131">
    <w:abstractNumId w:val="96"/>
  </w:num>
  <w:num w:numId="95" w16cid:durableId="1118181201">
    <w:abstractNumId w:val="40"/>
  </w:num>
  <w:num w:numId="96" w16cid:durableId="1764107015">
    <w:abstractNumId w:val="84"/>
  </w:num>
  <w:num w:numId="97" w16cid:durableId="99183468">
    <w:abstractNumId w:val="14"/>
  </w:num>
  <w:num w:numId="98" w16cid:durableId="1659306417">
    <w:abstractNumId w:val="15"/>
  </w:num>
  <w:num w:numId="99" w16cid:durableId="854807853">
    <w:abstractNumId w:val="87"/>
  </w:num>
  <w:num w:numId="100" w16cid:durableId="1159417343">
    <w:abstractNumId w:val="102"/>
  </w:num>
  <w:num w:numId="101" w16cid:durableId="199361177">
    <w:abstractNumId w:val="45"/>
  </w:num>
  <w:num w:numId="102" w16cid:durableId="655694277">
    <w:abstractNumId w:val="36"/>
  </w:num>
  <w:num w:numId="103" w16cid:durableId="409425593">
    <w:abstractNumId w:val="18"/>
  </w:num>
  <w:num w:numId="104" w16cid:durableId="1976597458">
    <w:abstractNumId w:val="17"/>
  </w:num>
  <w:num w:numId="105" w16cid:durableId="705642118">
    <w:abstractNumId w:val="25"/>
  </w:num>
  <w:num w:numId="106" w16cid:durableId="1919168568">
    <w:abstractNumId w:val="33"/>
  </w:num>
  <w:num w:numId="107" w16cid:durableId="235289486">
    <w:abstractNumId w:val="42"/>
  </w:num>
  <w:num w:numId="108" w16cid:durableId="2128693674">
    <w:abstractNumId w:val="24"/>
  </w:num>
  <w:num w:numId="109" w16cid:durableId="1649825588">
    <w:abstractNumId w:val="11"/>
  </w:num>
  <w:num w:numId="110" w16cid:durableId="869873420">
    <w:abstractNumId w:val="10"/>
  </w:num>
  <w:num w:numId="111" w16cid:durableId="1394696862">
    <w:abstractNumId w:val="88"/>
  </w:num>
  <w:num w:numId="112" w16cid:durableId="1652560404">
    <w:abstractNumId w:val="51"/>
  </w:num>
  <w:num w:numId="113" w16cid:durableId="829564170">
    <w:abstractNumId w:val="37"/>
  </w:num>
  <w:num w:numId="114" w16cid:durableId="928389620">
    <w:abstractNumId w:val="129"/>
  </w:num>
  <w:num w:numId="115" w16cid:durableId="1948851824">
    <w:abstractNumId w:val="89"/>
  </w:num>
  <w:num w:numId="116" w16cid:durableId="1496729288">
    <w:abstractNumId w:val="98"/>
  </w:num>
  <w:num w:numId="117" w16cid:durableId="1465586902">
    <w:abstractNumId w:val="54"/>
  </w:num>
  <w:num w:numId="118" w16cid:durableId="309988072">
    <w:abstractNumId w:val="3"/>
  </w:num>
  <w:num w:numId="119" w16cid:durableId="393705456">
    <w:abstractNumId w:val="39"/>
  </w:num>
  <w:num w:numId="120" w16cid:durableId="111436353">
    <w:abstractNumId w:val="101"/>
  </w:num>
  <w:num w:numId="121" w16cid:durableId="1438713747">
    <w:abstractNumId w:val="130"/>
  </w:num>
  <w:num w:numId="122" w16cid:durableId="48118090">
    <w:abstractNumId w:val="7"/>
  </w:num>
  <w:num w:numId="123" w16cid:durableId="700667513">
    <w:abstractNumId w:val="77"/>
  </w:num>
  <w:num w:numId="124" w16cid:durableId="663971629">
    <w:abstractNumId w:val="121"/>
  </w:num>
  <w:num w:numId="125" w16cid:durableId="1548108113">
    <w:abstractNumId w:val="108"/>
  </w:num>
  <w:num w:numId="126" w16cid:durableId="1267612209">
    <w:abstractNumId w:val="49"/>
  </w:num>
  <w:num w:numId="127" w16cid:durableId="1744596847">
    <w:abstractNumId w:val="53"/>
  </w:num>
  <w:num w:numId="128" w16cid:durableId="215551703">
    <w:abstractNumId w:val="56"/>
  </w:num>
  <w:num w:numId="129" w16cid:durableId="1539929530">
    <w:abstractNumId w:val="30"/>
  </w:num>
  <w:num w:numId="130" w16cid:durableId="920915551">
    <w:abstractNumId w:val="123"/>
  </w:num>
  <w:num w:numId="131" w16cid:durableId="1029834365">
    <w:abstractNumId w:val="38"/>
  </w:num>
  <w:num w:numId="132" w16cid:durableId="188226776">
    <w:abstractNumId w:val="57"/>
  </w:num>
  <w:num w:numId="133" w16cid:durableId="822040390">
    <w:abstractNumId w:val="120"/>
  </w:num>
  <w:num w:numId="134" w16cid:durableId="1761633476">
    <w:abstractNumId w:val="100"/>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A14"/>
    <w:rsid w:val="00000037"/>
    <w:rsid w:val="00000144"/>
    <w:rsid w:val="0000015E"/>
    <w:rsid w:val="0000025E"/>
    <w:rsid w:val="000003EF"/>
    <w:rsid w:val="0000048D"/>
    <w:rsid w:val="000004FE"/>
    <w:rsid w:val="00000560"/>
    <w:rsid w:val="000005E3"/>
    <w:rsid w:val="0000063E"/>
    <w:rsid w:val="0000068C"/>
    <w:rsid w:val="00000765"/>
    <w:rsid w:val="00000844"/>
    <w:rsid w:val="0000088A"/>
    <w:rsid w:val="0000089E"/>
    <w:rsid w:val="00000976"/>
    <w:rsid w:val="00000A1B"/>
    <w:rsid w:val="00000A88"/>
    <w:rsid w:val="00000B08"/>
    <w:rsid w:val="00000C51"/>
    <w:rsid w:val="00000C66"/>
    <w:rsid w:val="00000D2A"/>
    <w:rsid w:val="00000D9D"/>
    <w:rsid w:val="00000EAE"/>
    <w:rsid w:val="00000F87"/>
    <w:rsid w:val="00000FAB"/>
    <w:rsid w:val="00000FE5"/>
    <w:rsid w:val="000010E1"/>
    <w:rsid w:val="000010EA"/>
    <w:rsid w:val="000011CB"/>
    <w:rsid w:val="00001257"/>
    <w:rsid w:val="00001268"/>
    <w:rsid w:val="0000127F"/>
    <w:rsid w:val="000013C6"/>
    <w:rsid w:val="00001472"/>
    <w:rsid w:val="000014A9"/>
    <w:rsid w:val="000015FF"/>
    <w:rsid w:val="0000161D"/>
    <w:rsid w:val="000017C4"/>
    <w:rsid w:val="0000183A"/>
    <w:rsid w:val="0000184F"/>
    <w:rsid w:val="000018BC"/>
    <w:rsid w:val="00001905"/>
    <w:rsid w:val="00001A3E"/>
    <w:rsid w:val="00001A5E"/>
    <w:rsid w:val="00001A72"/>
    <w:rsid w:val="00001A98"/>
    <w:rsid w:val="00001AF9"/>
    <w:rsid w:val="00001C75"/>
    <w:rsid w:val="00001D7B"/>
    <w:rsid w:val="00001E96"/>
    <w:rsid w:val="00001EBF"/>
    <w:rsid w:val="00001F0E"/>
    <w:rsid w:val="00001F33"/>
    <w:rsid w:val="00001F34"/>
    <w:rsid w:val="00001FB0"/>
    <w:rsid w:val="00001FED"/>
    <w:rsid w:val="00001FF4"/>
    <w:rsid w:val="00002043"/>
    <w:rsid w:val="00002152"/>
    <w:rsid w:val="000022D1"/>
    <w:rsid w:val="00002449"/>
    <w:rsid w:val="00002574"/>
    <w:rsid w:val="000025F2"/>
    <w:rsid w:val="000028B6"/>
    <w:rsid w:val="00002951"/>
    <w:rsid w:val="00002A3E"/>
    <w:rsid w:val="00002A7B"/>
    <w:rsid w:val="00002B7E"/>
    <w:rsid w:val="00002C33"/>
    <w:rsid w:val="00002D46"/>
    <w:rsid w:val="00002E34"/>
    <w:rsid w:val="00002E4F"/>
    <w:rsid w:val="00002E70"/>
    <w:rsid w:val="00002F58"/>
    <w:rsid w:val="00002FB9"/>
    <w:rsid w:val="00002FF4"/>
    <w:rsid w:val="000030FB"/>
    <w:rsid w:val="00003176"/>
    <w:rsid w:val="000031FD"/>
    <w:rsid w:val="00003275"/>
    <w:rsid w:val="000032D4"/>
    <w:rsid w:val="00003324"/>
    <w:rsid w:val="0000346F"/>
    <w:rsid w:val="000034C2"/>
    <w:rsid w:val="000034CA"/>
    <w:rsid w:val="00003544"/>
    <w:rsid w:val="0000372F"/>
    <w:rsid w:val="00003741"/>
    <w:rsid w:val="000037E4"/>
    <w:rsid w:val="0000389C"/>
    <w:rsid w:val="00003A42"/>
    <w:rsid w:val="00003ADE"/>
    <w:rsid w:val="00003CF6"/>
    <w:rsid w:val="00003D15"/>
    <w:rsid w:val="00003DFD"/>
    <w:rsid w:val="00003E91"/>
    <w:rsid w:val="00003F39"/>
    <w:rsid w:val="00003F3F"/>
    <w:rsid w:val="0000403F"/>
    <w:rsid w:val="00004046"/>
    <w:rsid w:val="00004072"/>
    <w:rsid w:val="00004228"/>
    <w:rsid w:val="000042EB"/>
    <w:rsid w:val="000044BB"/>
    <w:rsid w:val="0000463F"/>
    <w:rsid w:val="00004751"/>
    <w:rsid w:val="0000477F"/>
    <w:rsid w:val="000047D8"/>
    <w:rsid w:val="000047F0"/>
    <w:rsid w:val="0000482F"/>
    <w:rsid w:val="000049E8"/>
    <w:rsid w:val="00004A73"/>
    <w:rsid w:val="00004B2E"/>
    <w:rsid w:val="00004BAC"/>
    <w:rsid w:val="00004BC9"/>
    <w:rsid w:val="00004C03"/>
    <w:rsid w:val="00004C04"/>
    <w:rsid w:val="00004C46"/>
    <w:rsid w:val="00004CE9"/>
    <w:rsid w:val="00004D91"/>
    <w:rsid w:val="00004EC2"/>
    <w:rsid w:val="00004F08"/>
    <w:rsid w:val="00004F1C"/>
    <w:rsid w:val="00004F88"/>
    <w:rsid w:val="00004FDD"/>
    <w:rsid w:val="0000504D"/>
    <w:rsid w:val="000050CB"/>
    <w:rsid w:val="000050D0"/>
    <w:rsid w:val="00005159"/>
    <w:rsid w:val="000051D1"/>
    <w:rsid w:val="000052F3"/>
    <w:rsid w:val="00005419"/>
    <w:rsid w:val="00005A99"/>
    <w:rsid w:val="00005AC3"/>
    <w:rsid w:val="00005BE2"/>
    <w:rsid w:val="00005C50"/>
    <w:rsid w:val="00005C5B"/>
    <w:rsid w:val="00005CD7"/>
    <w:rsid w:val="00005DF3"/>
    <w:rsid w:val="00005E56"/>
    <w:rsid w:val="00005EBF"/>
    <w:rsid w:val="00006024"/>
    <w:rsid w:val="0000604E"/>
    <w:rsid w:val="000060FF"/>
    <w:rsid w:val="00006153"/>
    <w:rsid w:val="000061B3"/>
    <w:rsid w:val="000061F8"/>
    <w:rsid w:val="00006218"/>
    <w:rsid w:val="00006300"/>
    <w:rsid w:val="00006315"/>
    <w:rsid w:val="0000632E"/>
    <w:rsid w:val="00006574"/>
    <w:rsid w:val="00006644"/>
    <w:rsid w:val="000066CC"/>
    <w:rsid w:val="000066ED"/>
    <w:rsid w:val="0000671E"/>
    <w:rsid w:val="0000673F"/>
    <w:rsid w:val="000067C6"/>
    <w:rsid w:val="00006998"/>
    <w:rsid w:val="00006A0B"/>
    <w:rsid w:val="00006A3C"/>
    <w:rsid w:val="00006A88"/>
    <w:rsid w:val="00006AA1"/>
    <w:rsid w:val="00006AC5"/>
    <w:rsid w:val="00006B65"/>
    <w:rsid w:val="00006BC4"/>
    <w:rsid w:val="00006BE7"/>
    <w:rsid w:val="00006CA5"/>
    <w:rsid w:val="00006F74"/>
    <w:rsid w:val="00006F99"/>
    <w:rsid w:val="00006FBD"/>
    <w:rsid w:val="0000732F"/>
    <w:rsid w:val="000073B1"/>
    <w:rsid w:val="000074CE"/>
    <w:rsid w:val="000074DA"/>
    <w:rsid w:val="00007616"/>
    <w:rsid w:val="000076B3"/>
    <w:rsid w:val="00007713"/>
    <w:rsid w:val="0000778F"/>
    <w:rsid w:val="00007847"/>
    <w:rsid w:val="00007991"/>
    <w:rsid w:val="000079DA"/>
    <w:rsid w:val="00007B89"/>
    <w:rsid w:val="00007C29"/>
    <w:rsid w:val="00007CD1"/>
    <w:rsid w:val="00007D5A"/>
    <w:rsid w:val="00007E33"/>
    <w:rsid w:val="00007E4B"/>
    <w:rsid w:val="00007FC4"/>
    <w:rsid w:val="0001008F"/>
    <w:rsid w:val="000100A9"/>
    <w:rsid w:val="0001019A"/>
    <w:rsid w:val="00010203"/>
    <w:rsid w:val="00010249"/>
    <w:rsid w:val="000102F2"/>
    <w:rsid w:val="00010307"/>
    <w:rsid w:val="00010360"/>
    <w:rsid w:val="00010507"/>
    <w:rsid w:val="0001056B"/>
    <w:rsid w:val="00010699"/>
    <w:rsid w:val="000106B9"/>
    <w:rsid w:val="00010718"/>
    <w:rsid w:val="0001074F"/>
    <w:rsid w:val="000108CC"/>
    <w:rsid w:val="00010AFD"/>
    <w:rsid w:val="00010B0B"/>
    <w:rsid w:val="00010B81"/>
    <w:rsid w:val="00010B85"/>
    <w:rsid w:val="00010BAA"/>
    <w:rsid w:val="00010C74"/>
    <w:rsid w:val="00010CCA"/>
    <w:rsid w:val="00010D15"/>
    <w:rsid w:val="00010E20"/>
    <w:rsid w:val="00010F90"/>
    <w:rsid w:val="00011148"/>
    <w:rsid w:val="00011278"/>
    <w:rsid w:val="000113B5"/>
    <w:rsid w:val="000114C6"/>
    <w:rsid w:val="000115B1"/>
    <w:rsid w:val="00011653"/>
    <w:rsid w:val="00011664"/>
    <w:rsid w:val="000116C2"/>
    <w:rsid w:val="000116FC"/>
    <w:rsid w:val="000116FE"/>
    <w:rsid w:val="0001170F"/>
    <w:rsid w:val="0001172D"/>
    <w:rsid w:val="0001184B"/>
    <w:rsid w:val="000118A3"/>
    <w:rsid w:val="000118DD"/>
    <w:rsid w:val="00011A45"/>
    <w:rsid w:val="00011AA4"/>
    <w:rsid w:val="00011BAA"/>
    <w:rsid w:val="00011E7F"/>
    <w:rsid w:val="00011EF2"/>
    <w:rsid w:val="00011EFD"/>
    <w:rsid w:val="000120B4"/>
    <w:rsid w:val="00012175"/>
    <w:rsid w:val="0001217A"/>
    <w:rsid w:val="0001217E"/>
    <w:rsid w:val="000122AE"/>
    <w:rsid w:val="000122B1"/>
    <w:rsid w:val="00012530"/>
    <w:rsid w:val="0001256F"/>
    <w:rsid w:val="00012648"/>
    <w:rsid w:val="00012663"/>
    <w:rsid w:val="00012690"/>
    <w:rsid w:val="000126C7"/>
    <w:rsid w:val="00012747"/>
    <w:rsid w:val="00012AB3"/>
    <w:rsid w:val="00012CCF"/>
    <w:rsid w:val="00012E51"/>
    <w:rsid w:val="00012EA3"/>
    <w:rsid w:val="00013022"/>
    <w:rsid w:val="000131A8"/>
    <w:rsid w:val="000131DC"/>
    <w:rsid w:val="00013237"/>
    <w:rsid w:val="00013252"/>
    <w:rsid w:val="00013362"/>
    <w:rsid w:val="000134ED"/>
    <w:rsid w:val="00013526"/>
    <w:rsid w:val="0001356A"/>
    <w:rsid w:val="000135D8"/>
    <w:rsid w:val="00013840"/>
    <w:rsid w:val="00013968"/>
    <w:rsid w:val="000139E9"/>
    <w:rsid w:val="00013AA2"/>
    <w:rsid w:val="00013B1A"/>
    <w:rsid w:val="00013CD9"/>
    <w:rsid w:val="00013DF1"/>
    <w:rsid w:val="00013DF3"/>
    <w:rsid w:val="00013E09"/>
    <w:rsid w:val="00013ED4"/>
    <w:rsid w:val="00013EDC"/>
    <w:rsid w:val="00013EE1"/>
    <w:rsid w:val="00014159"/>
    <w:rsid w:val="000141AF"/>
    <w:rsid w:val="00014256"/>
    <w:rsid w:val="00014427"/>
    <w:rsid w:val="0001443B"/>
    <w:rsid w:val="000144D5"/>
    <w:rsid w:val="00014528"/>
    <w:rsid w:val="000145B6"/>
    <w:rsid w:val="000145EE"/>
    <w:rsid w:val="00014735"/>
    <w:rsid w:val="00014781"/>
    <w:rsid w:val="0001483E"/>
    <w:rsid w:val="00014906"/>
    <w:rsid w:val="00014929"/>
    <w:rsid w:val="0001496E"/>
    <w:rsid w:val="00014A16"/>
    <w:rsid w:val="00014A94"/>
    <w:rsid w:val="00014B69"/>
    <w:rsid w:val="00014BCB"/>
    <w:rsid w:val="00014CFD"/>
    <w:rsid w:val="00014E63"/>
    <w:rsid w:val="00014EEB"/>
    <w:rsid w:val="00014F13"/>
    <w:rsid w:val="0001511D"/>
    <w:rsid w:val="0001520F"/>
    <w:rsid w:val="00015217"/>
    <w:rsid w:val="00015352"/>
    <w:rsid w:val="00015488"/>
    <w:rsid w:val="00015503"/>
    <w:rsid w:val="00015554"/>
    <w:rsid w:val="0001597C"/>
    <w:rsid w:val="000159F4"/>
    <w:rsid w:val="00015E5D"/>
    <w:rsid w:val="00015E6B"/>
    <w:rsid w:val="00015EA3"/>
    <w:rsid w:val="00015EAC"/>
    <w:rsid w:val="00015F18"/>
    <w:rsid w:val="00016036"/>
    <w:rsid w:val="000162CF"/>
    <w:rsid w:val="000163EA"/>
    <w:rsid w:val="000163F5"/>
    <w:rsid w:val="00016496"/>
    <w:rsid w:val="000164A2"/>
    <w:rsid w:val="000166BF"/>
    <w:rsid w:val="0001678B"/>
    <w:rsid w:val="000167B9"/>
    <w:rsid w:val="000167FD"/>
    <w:rsid w:val="00016818"/>
    <w:rsid w:val="00016858"/>
    <w:rsid w:val="0001691F"/>
    <w:rsid w:val="00016958"/>
    <w:rsid w:val="00016A55"/>
    <w:rsid w:val="00016A9F"/>
    <w:rsid w:val="00016E15"/>
    <w:rsid w:val="00016EBB"/>
    <w:rsid w:val="00016FC8"/>
    <w:rsid w:val="00017284"/>
    <w:rsid w:val="000172FB"/>
    <w:rsid w:val="000174F6"/>
    <w:rsid w:val="00017665"/>
    <w:rsid w:val="00017701"/>
    <w:rsid w:val="00017805"/>
    <w:rsid w:val="0001782F"/>
    <w:rsid w:val="00017883"/>
    <w:rsid w:val="0001794B"/>
    <w:rsid w:val="00017A2E"/>
    <w:rsid w:val="00017AB2"/>
    <w:rsid w:val="00017B7F"/>
    <w:rsid w:val="00017C64"/>
    <w:rsid w:val="00017DBA"/>
    <w:rsid w:val="00017E81"/>
    <w:rsid w:val="00020360"/>
    <w:rsid w:val="000203F7"/>
    <w:rsid w:val="0002048D"/>
    <w:rsid w:val="00020507"/>
    <w:rsid w:val="00020574"/>
    <w:rsid w:val="000207BE"/>
    <w:rsid w:val="0002099E"/>
    <w:rsid w:val="00020A18"/>
    <w:rsid w:val="00020A91"/>
    <w:rsid w:val="00020BD1"/>
    <w:rsid w:val="00020E6C"/>
    <w:rsid w:val="00020F18"/>
    <w:rsid w:val="00020F1E"/>
    <w:rsid w:val="00020F7A"/>
    <w:rsid w:val="000210B3"/>
    <w:rsid w:val="0002110F"/>
    <w:rsid w:val="00021155"/>
    <w:rsid w:val="00021214"/>
    <w:rsid w:val="00021389"/>
    <w:rsid w:val="000213C3"/>
    <w:rsid w:val="000213D0"/>
    <w:rsid w:val="00021503"/>
    <w:rsid w:val="000215A6"/>
    <w:rsid w:val="000215C2"/>
    <w:rsid w:val="00021659"/>
    <w:rsid w:val="000216CA"/>
    <w:rsid w:val="00021833"/>
    <w:rsid w:val="00021951"/>
    <w:rsid w:val="000219CA"/>
    <w:rsid w:val="00021A77"/>
    <w:rsid w:val="00021B67"/>
    <w:rsid w:val="00021B70"/>
    <w:rsid w:val="00021BBB"/>
    <w:rsid w:val="00021C79"/>
    <w:rsid w:val="00021D6D"/>
    <w:rsid w:val="00021E30"/>
    <w:rsid w:val="00021E50"/>
    <w:rsid w:val="00021E76"/>
    <w:rsid w:val="00022026"/>
    <w:rsid w:val="00022133"/>
    <w:rsid w:val="000223DB"/>
    <w:rsid w:val="0002247F"/>
    <w:rsid w:val="000225A0"/>
    <w:rsid w:val="000226C0"/>
    <w:rsid w:val="00022798"/>
    <w:rsid w:val="0002288E"/>
    <w:rsid w:val="000228BC"/>
    <w:rsid w:val="000229FC"/>
    <w:rsid w:val="00022B6D"/>
    <w:rsid w:val="00022C33"/>
    <w:rsid w:val="00022C88"/>
    <w:rsid w:val="00022CD7"/>
    <w:rsid w:val="00022CE1"/>
    <w:rsid w:val="00022D41"/>
    <w:rsid w:val="00022DC3"/>
    <w:rsid w:val="000231EF"/>
    <w:rsid w:val="0002322F"/>
    <w:rsid w:val="0002325A"/>
    <w:rsid w:val="00023305"/>
    <w:rsid w:val="000234E4"/>
    <w:rsid w:val="00023510"/>
    <w:rsid w:val="00023924"/>
    <w:rsid w:val="000239C9"/>
    <w:rsid w:val="00023B9F"/>
    <w:rsid w:val="00023C4C"/>
    <w:rsid w:val="00023C5E"/>
    <w:rsid w:val="00023ED8"/>
    <w:rsid w:val="00023F81"/>
    <w:rsid w:val="00023F89"/>
    <w:rsid w:val="00023FB4"/>
    <w:rsid w:val="00023FD5"/>
    <w:rsid w:val="00024006"/>
    <w:rsid w:val="000240A2"/>
    <w:rsid w:val="000241B8"/>
    <w:rsid w:val="00024380"/>
    <w:rsid w:val="000243F7"/>
    <w:rsid w:val="00024418"/>
    <w:rsid w:val="00024469"/>
    <w:rsid w:val="0002450E"/>
    <w:rsid w:val="000245D4"/>
    <w:rsid w:val="000247A4"/>
    <w:rsid w:val="00024A1A"/>
    <w:rsid w:val="00024BD8"/>
    <w:rsid w:val="00024D4D"/>
    <w:rsid w:val="00024F59"/>
    <w:rsid w:val="00024F7E"/>
    <w:rsid w:val="000250C2"/>
    <w:rsid w:val="00025178"/>
    <w:rsid w:val="00025371"/>
    <w:rsid w:val="00025380"/>
    <w:rsid w:val="000254AE"/>
    <w:rsid w:val="00025601"/>
    <w:rsid w:val="00025604"/>
    <w:rsid w:val="00025613"/>
    <w:rsid w:val="00025673"/>
    <w:rsid w:val="0002574A"/>
    <w:rsid w:val="00025791"/>
    <w:rsid w:val="00025916"/>
    <w:rsid w:val="00025A8E"/>
    <w:rsid w:val="00025B15"/>
    <w:rsid w:val="00025BEF"/>
    <w:rsid w:val="00025C65"/>
    <w:rsid w:val="00025D2A"/>
    <w:rsid w:val="00025DCB"/>
    <w:rsid w:val="00025E4B"/>
    <w:rsid w:val="00025E7F"/>
    <w:rsid w:val="00026033"/>
    <w:rsid w:val="000260D0"/>
    <w:rsid w:val="00026388"/>
    <w:rsid w:val="000263CD"/>
    <w:rsid w:val="000263F4"/>
    <w:rsid w:val="0002641F"/>
    <w:rsid w:val="00026676"/>
    <w:rsid w:val="00026688"/>
    <w:rsid w:val="0002687A"/>
    <w:rsid w:val="00026A37"/>
    <w:rsid w:val="00026ABB"/>
    <w:rsid w:val="00026B5D"/>
    <w:rsid w:val="00026BD3"/>
    <w:rsid w:val="00026C4F"/>
    <w:rsid w:val="00026C73"/>
    <w:rsid w:val="00026C84"/>
    <w:rsid w:val="00026DA9"/>
    <w:rsid w:val="00026E94"/>
    <w:rsid w:val="00026EAA"/>
    <w:rsid w:val="00026ED0"/>
    <w:rsid w:val="000270B4"/>
    <w:rsid w:val="00027254"/>
    <w:rsid w:val="000273B6"/>
    <w:rsid w:val="0002742B"/>
    <w:rsid w:val="000275D7"/>
    <w:rsid w:val="000275DA"/>
    <w:rsid w:val="000276C9"/>
    <w:rsid w:val="000276FE"/>
    <w:rsid w:val="00027921"/>
    <w:rsid w:val="00027A9E"/>
    <w:rsid w:val="00027B0A"/>
    <w:rsid w:val="00027B14"/>
    <w:rsid w:val="00027C7D"/>
    <w:rsid w:val="00027CB8"/>
    <w:rsid w:val="00027E8A"/>
    <w:rsid w:val="00027F43"/>
    <w:rsid w:val="00027FA8"/>
    <w:rsid w:val="0003011E"/>
    <w:rsid w:val="00030294"/>
    <w:rsid w:val="000302ED"/>
    <w:rsid w:val="000303AC"/>
    <w:rsid w:val="00030472"/>
    <w:rsid w:val="0003050A"/>
    <w:rsid w:val="0003053C"/>
    <w:rsid w:val="00030558"/>
    <w:rsid w:val="00030692"/>
    <w:rsid w:val="0003088F"/>
    <w:rsid w:val="00030A4B"/>
    <w:rsid w:val="00030CA7"/>
    <w:rsid w:val="00030CB6"/>
    <w:rsid w:val="00030D81"/>
    <w:rsid w:val="00030DEF"/>
    <w:rsid w:val="000310D2"/>
    <w:rsid w:val="000311AE"/>
    <w:rsid w:val="0003129B"/>
    <w:rsid w:val="0003134D"/>
    <w:rsid w:val="00031588"/>
    <w:rsid w:val="000315D1"/>
    <w:rsid w:val="00031724"/>
    <w:rsid w:val="000317A3"/>
    <w:rsid w:val="00031A5C"/>
    <w:rsid w:val="00031AC3"/>
    <w:rsid w:val="00031AF3"/>
    <w:rsid w:val="00031B70"/>
    <w:rsid w:val="00031DD3"/>
    <w:rsid w:val="00031FA2"/>
    <w:rsid w:val="000320EC"/>
    <w:rsid w:val="00032118"/>
    <w:rsid w:val="000321AB"/>
    <w:rsid w:val="0003221E"/>
    <w:rsid w:val="0003246D"/>
    <w:rsid w:val="00032479"/>
    <w:rsid w:val="000324A8"/>
    <w:rsid w:val="00032564"/>
    <w:rsid w:val="000326F1"/>
    <w:rsid w:val="000327F3"/>
    <w:rsid w:val="00032853"/>
    <w:rsid w:val="00032897"/>
    <w:rsid w:val="00032958"/>
    <w:rsid w:val="000329F4"/>
    <w:rsid w:val="00032AFF"/>
    <w:rsid w:val="00032B19"/>
    <w:rsid w:val="00032B74"/>
    <w:rsid w:val="00032C40"/>
    <w:rsid w:val="00032C74"/>
    <w:rsid w:val="00032CC3"/>
    <w:rsid w:val="00032DE7"/>
    <w:rsid w:val="00032E57"/>
    <w:rsid w:val="00032EF4"/>
    <w:rsid w:val="000330B4"/>
    <w:rsid w:val="00033122"/>
    <w:rsid w:val="00033172"/>
    <w:rsid w:val="000332A7"/>
    <w:rsid w:val="000333B5"/>
    <w:rsid w:val="000334E6"/>
    <w:rsid w:val="00033624"/>
    <w:rsid w:val="0003388E"/>
    <w:rsid w:val="00033A5B"/>
    <w:rsid w:val="00033FA8"/>
    <w:rsid w:val="0003405B"/>
    <w:rsid w:val="000340A2"/>
    <w:rsid w:val="00034208"/>
    <w:rsid w:val="0003427D"/>
    <w:rsid w:val="0003429F"/>
    <w:rsid w:val="000342A3"/>
    <w:rsid w:val="00034456"/>
    <w:rsid w:val="00034483"/>
    <w:rsid w:val="000344B2"/>
    <w:rsid w:val="0003460B"/>
    <w:rsid w:val="00034618"/>
    <w:rsid w:val="0003470A"/>
    <w:rsid w:val="00034727"/>
    <w:rsid w:val="00034744"/>
    <w:rsid w:val="000347E3"/>
    <w:rsid w:val="0003491C"/>
    <w:rsid w:val="00034AC3"/>
    <w:rsid w:val="00034B42"/>
    <w:rsid w:val="00034C2B"/>
    <w:rsid w:val="00034CBB"/>
    <w:rsid w:val="00034FD8"/>
    <w:rsid w:val="00034FEE"/>
    <w:rsid w:val="000350DC"/>
    <w:rsid w:val="000350FC"/>
    <w:rsid w:val="000351F2"/>
    <w:rsid w:val="0003526C"/>
    <w:rsid w:val="000352B9"/>
    <w:rsid w:val="00035889"/>
    <w:rsid w:val="00035964"/>
    <w:rsid w:val="000359EB"/>
    <w:rsid w:val="000359FD"/>
    <w:rsid w:val="00035AE7"/>
    <w:rsid w:val="00035B25"/>
    <w:rsid w:val="00035B86"/>
    <w:rsid w:val="00035C82"/>
    <w:rsid w:val="00035D2A"/>
    <w:rsid w:val="00035D75"/>
    <w:rsid w:val="00035DEE"/>
    <w:rsid w:val="00035E7F"/>
    <w:rsid w:val="00035FA2"/>
    <w:rsid w:val="0003609D"/>
    <w:rsid w:val="0003611A"/>
    <w:rsid w:val="0003618E"/>
    <w:rsid w:val="000361F6"/>
    <w:rsid w:val="0003637F"/>
    <w:rsid w:val="000365BF"/>
    <w:rsid w:val="000366E0"/>
    <w:rsid w:val="00036795"/>
    <w:rsid w:val="00036872"/>
    <w:rsid w:val="0003687C"/>
    <w:rsid w:val="00036949"/>
    <w:rsid w:val="00036A9C"/>
    <w:rsid w:val="00036E3C"/>
    <w:rsid w:val="00036F6A"/>
    <w:rsid w:val="00037220"/>
    <w:rsid w:val="00037253"/>
    <w:rsid w:val="00037381"/>
    <w:rsid w:val="00037442"/>
    <w:rsid w:val="000374BB"/>
    <w:rsid w:val="0003750D"/>
    <w:rsid w:val="00037563"/>
    <w:rsid w:val="0003779C"/>
    <w:rsid w:val="00037ADF"/>
    <w:rsid w:val="00037AE7"/>
    <w:rsid w:val="00037D02"/>
    <w:rsid w:val="00037D60"/>
    <w:rsid w:val="00037ED4"/>
    <w:rsid w:val="0004004E"/>
    <w:rsid w:val="00040076"/>
    <w:rsid w:val="000400C9"/>
    <w:rsid w:val="000401DA"/>
    <w:rsid w:val="000402A9"/>
    <w:rsid w:val="00040323"/>
    <w:rsid w:val="00040330"/>
    <w:rsid w:val="000405B1"/>
    <w:rsid w:val="0004076C"/>
    <w:rsid w:val="000407A9"/>
    <w:rsid w:val="000407BD"/>
    <w:rsid w:val="000408FC"/>
    <w:rsid w:val="00040A52"/>
    <w:rsid w:val="00040B95"/>
    <w:rsid w:val="00040DB9"/>
    <w:rsid w:val="00040DC7"/>
    <w:rsid w:val="00040F86"/>
    <w:rsid w:val="00041061"/>
    <w:rsid w:val="00041063"/>
    <w:rsid w:val="0004108D"/>
    <w:rsid w:val="00041143"/>
    <w:rsid w:val="000412EA"/>
    <w:rsid w:val="0004132A"/>
    <w:rsid w:val="00041461"/>
    <w:rsid w:val="00041529"/>
    <w:rsid w:val="0004156E"/>
    <w:rsid w:val="0004158B"/>
    <w:rsid w:val="000415E2"/>
    <w:rsid w:val="0004161F"/>
    <w:rsid w:val="000416DC"/>
    <w:rsid w:val="0004173A"/>
    <w:rsid w:val="00041975"/>
    <w:rsid w:val="00041993"/>
    <w:rsid w:val="000419CD"/>
    <w:rsid w:val="00041A5E"/>
    <w:rsid w:val="00041C9A"/>
    <w:rsid w:val="00041D59"/>
    <w:rsid w:val="00041DBD"/>
    <w:rsid w:val="00041DDF"/>
    <w:rsid w:val="000420B9"/>
    <w:rsid w:val="000420BB"/>
    <w:rsid w:val="00042176"/>
    <w:rsid w:val="0004220C"/>
    <w:rsid w:val="00042217"/>
    <w:rsid w:val="00042253"/>
    <w:rsid w:val="0004231B"/>
    <w:rsid w:val="00042502"/>
    <w:rsid w:val="00042701"/>
    <w:rsid w:val="0004283B"/>
    <w:rsid w:val="0004291E"/>
    <w:rsid w:val="0004299A"/>
    <w:rsid w:val="000429B3"/>
    <w:rsid w:val="00042A25"/>
    <w:rsid w:val="00042AE7"/>
    <w:rsid w:val="00042B3C"/>
    <w:rsid w:val="00042B8F"/>
    <w:rsid w:val="00042C9A"/>
    <w:rsid w:val="00042CC0"/>
    <w:rsid w:val="00042D09"/>
    <w:rsid w:val="00042D5A"/>
    <w:rsid w:val="00042E53"/>
    <w:rsid w:val="00042FB9"/>
    <w:rsid w:val="000430B5"/>
    <w:rsid w:val="0004315E"/>
    <w:rsid w:val="00043298"/>
    <w:rsid w:val="000433D2"/>
    <w:rsid w:val="000433FF"/>
    <w:rsid w:val="0004376B"/>
    <w:rsid w:val="000437F0"/>
    <w:rsid w:val="00043906"/>
    <w:rsid w:val="000439B2"/>
    <w:rsid w:val="00043A98"/>
    <w:rsid w:val="00043B02"/>
    <w:rsid w:val="00043B4C"/>
    <w:rsid w:val="00043C31"/>
    <w:rsid w:val="00043D42"/>
    <w:rsid w:val="00043D4E"/>
    <w:rsid w:val="00043EC0"/>
    <w:rsid w:val="00043FBE"/>
    <w:rsid w:val="00043FEB"/>
    <w:rsid w:val="000440C9"/>
    <w:rsid w:val="0004412C"/>
    <w:rsid w:val="0004416F"/>
    <w:rsid w:val="000443A4"/>
    <w:rsid w:val="00044484"/>
    <w:rsid w:val="000444B8"/>
    <w:rsid w:val="000444ED"/>
    <w:rsid w:val="000445E8"/>
    <w:rsid w:val="0004467F"/>
    <w:rsid w:val="00044688"/>
    <w:rsid w:val="000446EF"/>
    <w:rsid w:val="00044760"/>
    <w:rsid w:val="000449F0"/>
    <w:rsid w:val="00044A18"/>
    <w:rsid w:val="00044A62"/>
    <w:rsid w:val="00044A81"/>
    <w:rsid w:val="00044C2D"/>
    <w:rsid w:val="00044C4A"/>
    <w:rsid w:val="00044CDC"/>
    <w:rsid w:val="00044EA7"/>
    <w:rsid w:val="00045094"/>
    <w:rsid w:val="000450B7"/>
    <w:rsid w:val="000450BE"/>
    <w:rsid w:val="000450EF"/>
    <w:rsid w:val="00045234"/>
    <w:rsid w:val="00045289"/>
    <w:rsid w:val="0004546A"/>
    <w:rsid w:val="000455E7"/>
    <w:rsid w:val="000457BB"/>
    <w:rsid w:val="0004583F"/>
    <w:rsid w:val="000459BF"/>
    <w:rsid w:val="00045BAB"/>
    <w:rsid w:val="00045D3E"/>
    <w:rsid w:val="00045DDF"/>
    <w:rsid w:val="00045E7B"/>
    <w:rsid w:val="00045EE0"/>
    <w:rsid w:val="00046022"/>
    <w:rsid w:val="00046069"/>
    <w:rsid w:val="00046084"/>
    <w:rsid w:val="0004628E"/>
    <w:rsid w:val="000462C7"/>
    <w:rsid w:val="0004634B"/>
    <w:rsid w:val="000463F8"/>
    <w:rsid w:val="000464DE"/>
    <w:rsid w:val="0004655E"/>
    <w:rsid w:val="00046587"/>
    <w:rsid w:val="0004659E"/>
    <w:rsid w:val="000465BD"/>
    <w:rsid w:val="00046710"/>
    <w:rsid w:val="00046892"/>
    <w:rsid w:val="00046B14"/>
    <w:rsid w:val="00046B23"/>
    <w:rsid w:val="00046C35"/>
    <w:rsid w:val="00046D99"/>
    <w:rsid w:val="00046DFF"/>
    <w:rsid w:val="00046E49"/>
    <w:rsid w:val="00046E52"/>
    <w:rsid w:val="00046EA2"/>
    <w:rsid w:val="00046F9F"/>
    <w:rsid w:val="00046FD5"/>
    <w:rsid w:val="00047185"/>
    <w:rsid w:val="00047331"/>
    <w:rsid w:val="00047350"/>
    <w:rsid w:val="00047453"/>
    <w:rsid w:val="00047669"/>
    <w:rsid w:val="000478F3"/>
    <w:rsid w:val="00047A67"/>
    <w:rsid w:val="00047C11"/>
    <w:rsid w:val="00047E3C"/>
    <w:rsid w:val="00047F64"/>
    <w:rsid w:val="00050021"/>
    <w:rsid w:val="00050066"/>
    <w:rsid w:val="000500F7"/>
    <w:rsid w:val="0005037B"/>
    <w:rsid w:val="00050464"/>
    <w:rsid w:val="000504B4"/>
    <w:rsid w:val="0005052F"/>
    <w:rsid w:val="000505D3"/>
    <w:rsid w:val="000505FE"/>
    <w:rsid w:val="00050647"/>
    <w:rsid w:val="000506B6"/>
    <w:rsid w:val="00050725"/>
    <w:rsid w:val="0005076A"/>
    <w:rsid w:val="00050799"/>
    <w:rsid w:val="000507F8"/>
    <w:rsid w:val="000508B4"/>
    <w:rsid w:val="000508CC"/>
    <w:rsid w:val="00050B9A"/>
    <w:rsid w:val="00050D69"/>
    <w:rsid w:val="00050D7D"/>
    <w:rsid w:val="00050D8D"/>
    <w:rsid w:val="00050DB1"/>
    <w:rsid w:val="00050DD9"/>
    <w:rsid w:val="00050E0D"/>
    <w:rsid w:val="00050E63"/>
    <w:rsid w:val="00050F3B"/>
    <w:rsid w:val="00050F5E"/>
    <w:rsid w:val="00050F71"/>
    <w:rsid w:val="000511E1"/>
    <w:rsid w:val="000511F3"/>
    <w:rsid w:val="0005126E"/>
    <w:rsid w:val="00051459"/>
    <w:rsid w:val="00051483"/>
    <w:rsid w:val="000515ED"/>
    <w:rsid w:val="00051773"/>
    <w:rsid w:val="00051828"/>
    <w:rsid w:val="00051942"/>
    <w:rsid w:val="000519B8"/>
    <w:rsid w:val="00051A7B"/>
    <w:rsid w:val="00051A9C"/>
    <w:rsid w:val="00051AA1"/>
    <w:rsid w:val="00051B48"/>
    <w:rsid w:val="00051C43"/>
    <w:rsid w:val="00051D38"/>
    <w:rsid w:val="00052138"/>
    <w:rsid w:val="00052270"/>
    <w:rsid w:val="00052302"/>
    <w:rsid w:val="0005235A"/>
    <w:rsid w:val="0005240F"/>
    <w:rsid w:val="00052645"/>
    <w:rsid w:val="00052708"/>
    <w:rsid w:val="000528B2"/>
    <w:rsid w:val="00052ABF"/>
    <w:rsid w:val="00052AC3"/>
    <w:rsid w:val="00052AEE"/>
    <w:rsid w:val="00052B82"/>
    <w:rsid w:val="00052BA1"/>
    <w:rsid w:val="00052C31"/>
    <w:rsid w:val="00052EA5"/>
    <w:rsid w:val="0005309C"/>
    <w:rsid w:val="000530D4"/>
    <w:rsid w:val="00053179"/>
    <w:rsid w:val="0005319D"/>
    <w:rsid w:val="0005325E"/>
    <w:rsid w:val="00053278"/>
    <w:rsid w:val="0005329A"/>
    <w:rsid w:val="00053468"/>
    <w:rsid w:val="000534C8"/>
    <w:rsid w:val="000536D1"/>
    <w:rsid w:val="00053849"/>
    <w:rsid w:val="000538E8"/>
    <w:rsid w:val="00053B94"/>
    <w:rsid w:val="00053B97"/>
    <w:rsid w:val="00053BA2"/>
    <w:rsid w:val="00053CF4"/>
    <w:rsid w:val="00053EAF"/>
    <w:rsid w:val="00053F59"/>
    <w:rsid w:val="00054074"/>
    <w:rsid w:val="0005430C"/>
    <w:rsid w:val="0005435A"/>
    <w:rsid w:val="000543A4"/>
    <w:rsid w:val="00054470"/>
    <w:rsid w:val="000544BE"/>
    <w:rsid w:val="000545F3"/>
    <w:rsid w:val="00054616"/>
    <w:rsid w:val="00054957"/>
    <w:rsid w:val="000549A2"/>
    <w:rsid w:val="00054A60"/>
    <w:rsid w:val="00054A77"/>
    <w:rsid w:val="00054B26"/>
    <w:rsid w:val="00054BA1"/>
    <w:rsid w:val="00054DD6"/>
    <w:rsid w:val="00054E70"/>
    <w:rsid w:val="00054EE9"/>
    <w:rsid w:val="00054F01"/>
    <w:rsid w:val="00054F0A"/>
    <w:rsid w:val="00055062"/>
    <w:rsid w:val="000552A8"/>
    <w:rsid w:val="000552E1"/>
    <w:rsid w:val="0005539B"/>
    <w:rsid w:val="00055698"/>
    <w:rsid w:val="0005574B"/>
    <w:rsid w:val="00055843"/>
    <w:rsid w:val="00055889"/>
    <w:rsid w:val="00055997"/>
    <w:rsid w:val="0005599F"/>
    <w:rsid w:val="00055AC3"/>
    <w:rsid w:val="00055DC8"/>
    <w:rsid w:val="00055E82"/>
    <w:rsid w:val="00055F1D"/>
    <w:rsid w:val="00055FCE"/>
    <w:rsid w:val="00055FFB"/>
    <w:rsid w:val="000560C2"/>
    <w:rsid w:val="0005617B"/>
    <w:rsid w:val="0005619B"/>
    <w:rsid w:val="00056312"/>
    <w:rsid w:val="00056431"/>
    <w:rsid w:val="00056513"/>
    <w:rsid w:val="0005652D"/>
    <w:rsid w:val="00056541"/>
    <w:rsid w:val="000566C7"/>
    <w:rsid w:val="00056726"/>
    <w:rsid w:val="000567E4"/>
    <w:rsid w:val="00056A11"/>
    <w:rsid w:val="00056A30"/>
    <w:rsid w:val="00056B86"/>
    <w:rsid w:val="00056D48"/>
    <w:rsid w:val="000570A5"/>
    <w:rsid w:val="0005712F"/>
    <w:rsid w:val="00057162"/>
    <w:rsid w:val="00057194"/>
    <w:rsid w:val="000573A0"/>
    <w:rsid w:val="0005744D"/>
    <w:rsid w:val="0005751D"/>
    <w:rsid w:val="000575E9"/>
    <w:rsid w:val="0005769B"/>
    <w:rsid w:val="00057714"/>
    <w:rsid w:val="0005775F"/>
    <w:rsid w:val="000577F7"/>
    <w:rsid w:val="00057A3A"/>
    <w:rsid w:val="00057B4F"/>
    <w:rsid w:val="00057CA0"/>
    <w:rsid w:val="00057D40"/>
    <w:rsid w:val="00057DAE"/>
    <w:rsid w:val="00060096"/>
    <w:rsid w:val="000600F2"/>
    <w:rsid w:val="000602CF"/>
    <w:rsid w:val="00060405"/>
    <w:rsid w:val="0006060F"/>
    <w:rsid w:val="000607B4"/>
    <w:rsid w:val="000607D6"/>
    <w:rsid w:val="000607FA"/>
    <w:rsid w:val="00060A3F"/>
    <w:rsid w:val="00060C6B"/>
    <w:rsid w:val="00060C72"/>
    <w:rsid w:val="00060D04"/>
    <w:rsid w:val="00060E36"/>
    <w:rsid w:val="0006101D"/>
    <w:rsid w:val="00061134"/>
    <w:rsid w:val="00061143"/>
    <w:rsid w:val="000611F1"/>
    <w:rsid w:val="00061273"/>
    <w:rsid w:val="0006130C"/>
    <w:rsid w:val="0006130F"/>
    <w:rsid w:val="00061387"/>
    <w:rsid w:val="000615CD"/>
    <w:rsid w:val="000617CB"/>
    <w:rsid w:val="000617DA"/>
    <w:rsid w:val="00061830"/>
    <w:rsid w:val="00061910"/>
    <w:rsid w:val="00061A6D"/>
    <w:rsid w:val="00061B69"/>
    <w:rsid w:val="00061B9E"/>
    <w:rsid w:val="00061DD4"/>
    <w:rsid w:val="00061E2D"/>
    <w:rsid w:val="00061F37"/>
    <w:rsid w:val="00062011"/>
    <w:rsid w:val="00062149"/>
    <w:rsid w:val="00062173"/>
    <w:rsid w:val="00062254"/>
    <w:rsid w:val="0006227A"/>
    <w:rsid w:val="00062291"/>
    <w:rsid w:val="000623E2"/>
    <w:rsid w:val="0006243F"/>
    <w:rsid w:val="00062803"/>
    <w:rsid w:val="000628BE"/>
    <w:rsid w:val="00062951"/>
    <w:rsid w:val="000629ED"/>
    <w:rsid w:val="00062A5F"/>
    <w:rsid w:val="00062B59"/>
    <w:rsid w:val="00062B9A"/>
    <w:rsid w:val="00062BEA"/>
    <w:rsid w:val="00062C38"/>
    <w:rsid w:val="00062D1E"/>
    <w:rsid w:val="00062D47"/>
    <w:rsid w:val="00062F7C"/>
    <w:rsid w:val="00063189"/>
    <w:rsid w:val="00063313"/>
    <w:rsid w:val="00063423"/>
    <w:rsid w:val="0006347A"/>
    <w:rsid w:val="00063778"/>
    <w:rsid w:val="000638F9"/>
    <w:rsid w:val="00063AC9"/>
    <w:rsid w:val="00063AD0"/>
    <w:rsid w:val="00063BF4"/>
    <w:rsid w:val="00063C39"/>
    <w:rsid w:val="00063C8B"/>
    <w:rsid w:val="00063C9A"/>
    <w:rsid w:val="00063CB8"/>
    <w:rsid w:val="00063D43"/>
    <w:rsid w:val="00063D83"/>
    <w:rsid w:val="00063DCA"/>
    <w:rsid w:val="00063DE4"/>
    <w:rsid w:val="00063E6B"/>
    <w:rsid w:val="00063ED8"/>
    <w:rsid w:val="00063F15"/>
    <w:rsid w:val="00063F51"/>
    <w:rsid w:val="00063F5B"/>
    <w:rsid w:val="000640B6"/>
    <w:rsid w:val="000641C9"/>
    <w:rsid w:val="00064331"/>
    <w:rsid w:val="0006445D"/>
    <w:rsid w:val="00064640"/>
    <w:rsid w:val="0006489C"/>
    <w:rsid w:val="000648C6"/>
    <w:rsid w:val="00064B0C"/>
    <w:rsid w:val="00064BE5"/>
    <w:rsid w:val="00064C2E"/>
    <w:rsid w:val="00064CD3"/>
    <w:rsid w:val="00064DAF"/>
    <w:rsid w:val="00064E82"/>
    <w:rsid w:val="00064EA6"/>
    <w:rsid w:val="00064FAC"/>
    <w:rsid w:val="00065079"/>
    <w:rsid w:val="000650D0"/>
    <w:rsid w:val="00065324"/>
    <w:rsid w:val="000655D5"/>
    <w:rsid w:val="0006562A"/>
    <w:rsid w:val="000656F3"/>
    <w:rsid w:val="000657B0"/>
    <w:rsid w:val="00065A98"/>
    <w:rsid w:val="00065BA0"/>
    <w:rsid w:val="00065BF8"/>
    <w:rsid w:val="00065D3B"/>
    <w:rsid w:val="00065D78"/>
    <w:rsid w:val="0006608F"/>
    <w:rsid w:val="0006616F"/>
    <w:rsid w:val="000661FD"/>
    <w:rsid w:val="0006643F"/>
    <w:rsid w:val="000664AF"/>
    <w:rsid w:val="0006650B"/>
    <w:rsid w:val="000665E6"/>
    <w:rsid w:val="0006661E"/>
    <w:rsid w:val="000666DB"/>
    <w:rsid w:val="0006676C"/>
    <w:rsid w:val="00066978"/>
    <w:rsid w:val="00066A6B"/>
    <w:rsid w:val="00066CC5"/>
    <w:rsid w:val="00066D3D"/>
    <w:rsid w:val="00066D70"/>
    <w:rsid w:val="00066DC9"/>
    <w:rsid w:val="00066E86"/>
    <w:rsid w:val="00066F7B"/>
    <w:rsid w:val="0006702C"/>
    <w:rsid w:val="00067038"/>
    <w:rsid w:val="000670E6"/>
    <w:rsid w:val="0006717B"/>
    <w:rsid w:val="0006720E"/>
    <w:rsid w:val="000672EC"/>
    <w:rsid w:val="0006734B"/>
    <w:rsid w:val="000673E7"/>
    <w:rsid w:val="0006740B"/>
    <w:rsid w:val="0006749E"/>
    <w:rsid w:val="0006759F"/>
    <w:rsid w:val="000676B5"/>
    <w:rsid w:val="000677D7"/>
    <w:rsid w:val="000677FC"/>
    <w:rsid w:val="0006785E"/>
    <w:rsid w:val="000678BE"/>
    <w:rsid w:val="00067979"/>
    <w:rsid w:val="00067AA2"/>
    <w:rsid w:val="00067B3B"/>
    <w:rsid w:val="00067BB9"/>
    <w:rsid w:val="00067C09"/>
    <w:rsid w:val="00067D3F"/>
    <w:rsid w:val="00067E3C"/>
    <w:rsid w:val="00067E72"/>
    <w:rsid w:val="00067F1C"/>
    <w:rsid w:val="00067F1E"/>
    <w:rsid w:val="00067F6C"/>
    <w:rsid w:val="0007032B"/>
    <w:rsid w:val="000703A5"/>
    <w:rsid w:val="00070611"/>
    <w:rsid w:val="0007066C"/>
    <w:rsid w:val="000706D1"/>
    <w:rsid w:val="000706F0"/>
    <w:rsid w:val="000707E2"/>
    <w:rsid w:val="000708D9"/>
    <w:rsid w:val="00070958"/>
    <w:rsid w:val="00070A10"/>
    <w:rsid w:val="00070A3C"/>
    <w:rsid w:val="00070AE9"/>
    <w:rsid w:val="00070B6B"/>
    <w:rsid w:val="00070C32"/>
    <w:rsid w:val="00070CD9"/>
    <w:rsid w:val="00070FE2"/>
    <w:rsid w:val="000711BF"/>
    <w:rsid w:val="00071228"/>
    <w:rsid w:val="00071498"/>
    <w:rsid w:val="00071501"/>
    <w:rsid w:val="00071513"/>
    <w:rsid w:val="00071654"/>
    <w:rsid w:val="000716F5"/>
    <w:rsid w:val="0007176C"/>
    <w:rsid w:val="0007193F"/>
    <w:rsid w:val="00071A55"/>
    <w:rsid w:val="00071A6F"/>
    <w:rsid w:val="00071B16"/>
    <w:rsid w:val="00071BA0"/>
    <w:rsid w:val="00071C6B"/>
    <w:rsid w:val="00071C6D"/>
    <w:rsid w:val="00071CC5"/>
    <w:rsid w:val="00071DF8"/>
    <w:rsid w:val="00071E1B"/>
    <w:rsid w:val="00072047"/>
    <w:rsid w:val="00072082"/>
    <w:rsid w:val="00072088"/>
    <w:rsid w:val="0007208F"/>
    <w:rsid w:val="0007214A"/>
    <w:rsid w:val="00072199"/>
    <w:rsid w:val="00072385"/>
    <w:rsid w:val="00072457"/>
    <w:rsid w:val="00072466"/>
    <w:rsid w:val="000724E7"/>
    <w:rsid w:val="00072521"/>
    <w:rsid w:val="00072532"/>
    <w:rsid w:val="000726CC"/>
    <w:rsid w:val="0007275F"/>
    <w:rsid w:val="000727DA"/>
    <w:rsid w:val="0007287F"/>
    <w:rsid w:val="000728B1"/>
    <w:rsid w:val="00072900"/>
    <w:rsid w:val="0007291F"/>
    <w:rsid w:val="00072996"/>
    <w:rsid w:val="00072A97"/>
    <w:rsid w:val="00072ADE"/>
    <w:rsid w:val="00072C32"/>
    <w:rsid w:val="00072C62"/>
    <w:rsid w:val="00072D4A"/>
    <w:rsid w:val="00072D65"/>
    <w:rsid w:val="00072EA5"/>
    <w:rsid w:val="0007303F"/>
    <w:rsid w:val="00073440"/>
    <w:rsid w:val="00073454"/>
    <w:rsid w:val="000734BA"/>
    <w:rsid w:val="00073586"/>
    <w:rsid w:val="00073590"/>
    <w:rsid w:val="0007374E"/>
    <w:rsid w:val="0007383D"/>
    <w:rsid w:val="00073855"/>
    <w:rsid w:val="00073A51"/>
    <w:rsid w:val="00073ADF"/>
    <w:rsid w:val="00073E9C"/>
    <w:rsid w:val="00073EE6"/>
    <w:rsid w:val="000740B7"/>
    <w:rsid w:val="00074136"/>
    <w:rsid w:val="000741F0"/>
    <w:rsid w:val="000743F0"/>
    <w:rsid w:val="00074498"/>
    <w:rsid w:val="000745D3"/>
    <w:rsid w:val="000748CE"/>
    <w:rsid w:val="000748E0"/>
    <w:rsid w:val="0007495D"/>
    <w:rsid w:val="00074991"/>
    <w:rsid w:val="000749A9"/>
    <w:rsid w:val="00074C59"/>
    <w:rsid w:val="00074C60"/>
    <w:rsid w:val="00074CA4"/>
    <w:rsid w:val="00074DE8"/>
    <w:rsid w:val="00074E71"/>
    <w:rsid w:val="00074E8A"/>
    <w:rsid w:val="0007523F"/>
    <w:rsid w:val="0007529F"/>
    <w:rsid w:val="00075438"/>
    <w:rsid w:val="00075469"/>
    <w:rsid w:val="000756C3"/>
    <w:rsid w:val="0007574D"/>
    <w:rsid w:val="00075A1D"/>
    <w:rsid w:val="00075A55"/>
    <w:rsid w:val="00075A97"/>
    <w:rsid w:val="00075AAF"/>
    <w:rsid w:val="00075B52"/>
    <w:rsid w:val="00075B74"/>
    <w:rsid w:val="00075CD5"/>
    <w:rsid w:val="0007607A"/>
    <w:rsid w:val="00076141"/>
    <w:rsid w:val="000763C3"/>
    <w:rsid w:val="000764AA"/>
    <w:rsid w:val="00076753"/>
    <w:rsid w:val="000767A3"/>
    <w:rsid w:val="00076814"/>
    <w:rsid w:val="00076D98"/>
    <w:rsid w:val="00076EF5"/>
    <w:rsid w:val="00076F1A"/>
    <w:rsid w:val="0007720F"/>
    <w:rsid w:val="00077376"/>
    <w:rsid w:val="00077433"/>
    <w:rsid w:val="00077537"/>
    <w:rsid w:val="00077717"/>
    <w:rsid w:val="000777FE"/>
    <w:rsid w:val="000778B1"/>
    <w:rsid w:val="000779A3"/>
    <w:rsid w:val="00077A0A"/>
    <w:rsid w:val="00077A6B"/>
    <w:rsid w:val="00077BBB"/>
    <w:rsid w:val="00077C45"/>
    <w:rsid w:val="00077FCA"/>
    <w:rsid w:val="0008000C"/>
    <w:rsid w:val="0008000D"/>
    <w:rsid w:val="0008001A"/>
    <w:rsid w:val="00080078"/>
    <w:rsid w:val="000800F3"/>
    <w:rsid w:val="00080147"/>
    <w:rsid w:val="0008016C"/>
    <w:rsid w:val="00080189"/>
    <w:rsid w:val="000805A9"/>
    <w:rsid w:val="0008064F"/>
    <w:rsid w:val="0008068E"/>
    <w:rsid w:val="00080832"/>
    <w:rsid w:val="000808FB"/>
    <w:rsid w:val="0008093D"/>
    <w:rsid w:val="00080A6F"/>
    <w:rsid w:val="00080AD4"/>
    <w:rsid w:val="00080B38"/>
    <w:rsid w:val="00080C50"/>
    <w:rsid w:val="00080D18"/>
    <w:rsid w:val="00080DE2"/>
    <w:rsid w:val="00080ED5"/>
    <w:rsid w:val="00080F3B"/>
    <w:rsid w:val="00080F5E"/>
    <w:rsid w:val="0008130A"/>
    <w:rsid w:val="0008132C"/>
    <w:rsid w:val="000813FD"/>
    <w:rsid w:val="00081428"/>
    <w:rsid w:val="00081472"/>
    <w:rsid w:val="000814DE"/>
    <w:rsid w:val="00081553"/>
    <w:rsid w:val="0008158D"/>
    <w:rsid w:val="00081726"/>
    <w:rsid w:val="00081748"/>
    <w:rsid w:val="000817B4"/>
    <w:rsid w:val="000817F6"/>
    <w:rsid w:val="000818A7"/>
    <w:rsid w:val="000818DD"/>
    <w:rsid w:val="00081A07"/>
    <w:rsid w:val="00081A8E"/>
    <w:rsid w:val="00081C33"/>
    <w:rsid w:val="00081D2D"/>
    <w:rsid w:val="00081D67"/>
    <w:rsid w:val="00081E72"/>
    <w:rsid w:val="00081FA2"/>
    <w:rsid w:val="00082331"/>
    <w:rsid w:val="00082671"/>
    <w:rsid w:val="000827E0"/>
    <w:rsid w:val="0008285B"/>
    <w:rsid w:val="00082ADA"/>
    <w:rsid w:val="00082BAC"/>
    <w:rsid w:val="00082D23"/>
    <w:rsid w:val="00082F99"/>
    <w:rsid w:val="000830F2"/>
    <w:rsid w:val="000831D9"/>
    <w:rsid w:val="00083347"/>
    <w:rsid w:val="000837EB"/>
    <w:rsid w:val="000838C5"/>
    <w:rsid w:val="00083A0B"/>
    <w:rsid w:val="00083D10"/>
    <w:rsid w:val="00083D96"/>
    <w:rsid w:val="00083DCB"/>
    <w:rsid w:val="00083DEF"/>
    <w:rsid w:val="00083F3F"/>
    <w:rsid w:val="00083F48"/>
    <w:rsid w:val="00084173"/>
    <w:rsid w:val="0008436B"/>
    <w:rsid w:val="00084428"/>
    <w:rsid w:val="00084507"/>
    <w:rsid w:val="0008455C"/>
    <w:rsid w:val="000845EF"/>
    <w:rsid w:val="0008462E"/>
    <w:rsid w:val="000846B1"/>
    <w:rsid w:val="000846DB"/>
    <w:rsid w:val="00084727"/>
    <w:rsid w:val="00084789"/>
    <w:rsid w:val="00084AA0"/>
    <w:rsid w:val="00084AC3"/>
    <w:rsid w:val="00084B1D"/>
    <w:rsid w:val="00084B6D"/>
    <w:rsid w:val="00084D74"/>
    <w:rsid w:val="00084F51"/>
    <w:rsid w:val="000851AA"/>
    <w:rsid w:val="000852D1"/>
    <w:rsid w:val="000852D3"/>
    <w:rsid w:val="0008535B"/>
    <w:rsid w:val="000854E3"/>
    <w:rsid w:val="000854E5"/>
    <w:rsid w:val="00085570"/>
    <w:rsid w:val="00085575"/>
    <w:rsid w:val="000855D1"/>
    <w:rsid w:val="000855D8"/>
    <w:rsid w:val="000855E4"/>
    <w:rsid w:val="0008562A"/>
    <w:rsid w:val="0008563B"/>
    <w:rsid w:val="00085675"/>
    <w:rsid w:val="000856E3"/>
    <w:rsid w:val="000857B5"/>
    <w:rsid w:val="0008580B"/>
    <w:rsid w:val="00085AC5"/>
    <w:rsid w:val="00085ACC"/>
    <w:rsid w:val="00085B14"/>
    <w:rsid w:val="00085B5E"/>
    <w:rsid w:val="00085C42"/>
    <w:rsid w:val="00085CB0"/>
    <w:rsid w:val="00085CC5"/>
    <w:rsid w:val="00085D24"/>
    <w:rsid w:val="00085D7F"/>
    <w:rsid w:val="00085D97"/>
    <w:rsid w:val="00085EA2"/>
    <w:rsid w:val="00086351"/>
    <w:rsid w:val="000863D5"/>
    <w:rsid w:val="0008655F"/>
    <w:rsid w:val="000866B1"/>
    <w:rsid w:val="000866BB"/>
    <w:rsid w:val="000866FE"/>
    <w:rsid w:val="000867C4"/>
    <w:rsid w:val="00086BD1"/>
    <w:rsid w:val="00086DC6"/>
    <w:rsid w:val="00086DDD"/>
    <w:rsid w:val="00086F24"/>
    <w:rsid w:val="00086F99"/>
    <w:rsid w:val="00086FD8"/>
    <w:rsid w:val="000872A7"/>
    <w:rsid w:val="000873DB"/>
    <w:rsid w:val="00087439"/>
    <w:rsid w:val="00087458"/>
    <w:rsid w:val="00087507"/>
    <w:rsid w:val="00087696"/>
    <w:rsid w:val="000876FE"/>
    <w:rsid w:val="000877EA"/>
    <w:rsid w:val="0008780F"/>
    <w:rsid w:val="0008799C"/>
    <w:rsid w:val="000879CB"/>
    <w:rsid w:val="00087A4D"/>
    <w:rsid w:val="00087A9A"/>
    <w:rsid w:val="00087BD3"/>
    <w:rsid w:val="00087D02"/>
    <w:rsid w:val="00087D4D"/>
    <w:rsid w:val="00087E76"/>
    <w:rsid w:val="00087E85"/>
    <w:rsid w:val="00087F64"/>
    <w:rsid w:val="00090554"/>
    <w:rsid w:val="000905A3"/>
    <w:rsid w:val="000905F5"/>
    <w:rsid w:val="000906EA"/>
    <w:rsid w:val="0009089E"/>
    <w:rsid w:val="0009097A"/>
    <w:rsid w:val="00090AB3"/>
    <w:rsid w:val="00090B31"/>
    <w:rsid w:val="00090DCF"/>
    <w:rsid w:val="00090E5E"/>
    <w:rsid w:val="00090F56"/>
    <w:rsid w:val="00090F99"/>
    <w:rsid w:val="00090FBE"/>
    <w:rsid w:val="00091325"/>
    <w:rsid w:val="000915E4"/>
    <w:rsid w:val="00091841"/>
    <w:rsid w:val="000918FF"/>
    <w:rsid w:val="00091B72"/>
    <w:rsid w:val="00091C2B"/>
    <w:rsid w:val="00091D92"/>
    <w:rsid w:val="00091DB1"/>
    <w:rsid w:val="00091E73"/>
    <w:rsid w:val="00091F1B"/>
    <w:rsid w:val="00091FE7"/>
    <w:rsid w:val="0009220D"/>
    <w:rsid w:val="00092349"/>
    <w:rsid w:val="00092450"/>
    <w:rsid w:val="00092666"/>
    <w:rsid w:val="00092954"/>
    <w:rsid w:val="0009296D"/>
    <w:rsid w:val="000929EF"/>
    <w:rsid w:val="00092B18"/>
    <w:rsid w:val="00092B2F"/>
    <w:rsid w:val="00092BD1"/>
    <w:rsid w:val="00092D30"/>
    <w:rsid w:val="00092D5E"/>
    <w:rsid w:val="00092E6B"/>
    <w:rsid w:val="00092EF9"/>
    <w:rsid w:val="00092F05"/>
    <w:rsid w:val="00093050"/>
    <w:rsid w:val="00093134"/>
    <w:rsid w:val="00093143"/>
    <w:rsid w:val="000932E6"/>
    <w:rsid w:val="00093382"/>
    <w:rsid w:val="000933E4"/>
    <w:rsid w:val="000934B8"/>
    <w:rsid w:val="00093A79"/>
    <w:rsid w:val="00093B52"/>
    <w:rsid w:val="00093F17"/>
    <w:rsid w:val="00093F36"/>
    <w:rsid w:val="00093F42"/>
    <w:rsid w:val="00093F51"/>
    <w:rsid w:val="00093F56"/>
    <w:rsid w:val="00093FAE"/>
    <w:rsid w:val="000942F1"/>
    <w:rsid w:val="00094447"/>
    <w:rsid w:val="00094476"/>
    <w:rsid w:val="000944EC"/>
    <w:rsid w:val="0009450B"/>
    <w:rsid w:val="0009450C"/>
    <w:rsid w:val="00094615"/>
    <w:rsid w:val="00094691"/>
    <w:rsid w:val="000946EC"/>
    <w:rsid w:val="0009471D"/>
    <w:rsid w:val="0009473F"/>
    <w:rsid w:val="000947ED"/>
    <w:rsid w:val="000948D5"/>
    <w:rsid w:val="00094B27"/>
    <w:rsid w:val="00094BE2"/>
    <w:rsid w:val="00094C1E"/>
    <w:rsid w:val="00094ED7"/>
    <w:rsid w:val="00094FD8"/>
    <w:rsid w:val="00095075"/>
    <w:rsid w:val="0009508C"/>
    <w:rsid w:val="000950B1"/>
    <w:rsid w:val="000950C0"/>
    <w:rsid w:val="000951E4"/>
    <w:rsid w:val="0009525D"/>
    <w:rsid w:val="0009555F"/>
    <w:rsid w:val="0009559C"/>
    <w:rsid w:val="00095722"/>
    <w:rsid w:val="0009578A"/>
    <w:rsid w:val="00095923"/>
    <w:rsid w:val="00095A36"/>
    <w:rsid w:val="00095B10"/>
    <w:rsid w:val="00095B31"/>
    <w:rsid w:val="00095C13"/>
    <w:rsid w:val="00095C4E"/>
    <w:rsid w:val="00095CB8"/>
    <w:rsid w:val="00095D5F"/>
    <w:rsid w:val="00095E02"/>
    <w:rsid w:val="00095F26"/>
    <w:rsid w:val="00095FD6"/>
    <w:rsid w:val="000960BB"/>
    <w:rsid w:val="00096101"/>
    <w:rsid w:val="000961CE"/>
    <w:rsid w:val="000962C7"/>
    <w:rsid w:val="0009643A"/>
    <w:rsid w:val="000965C0"/>
    <w:rsid w:val="00096605"/>
    <w:rsid w:val="00096756"/>
    <w:rsid w:val="0009678E"/>
    <w:rsid w:val="00096934"/>
    <w:rsid w:val="00096A4E"/>
    <w:rsid w:val="00096A73"/>
    <w:rsid w:val="00096A78"/>
    <w:rsid w:val="00096BE3"/>
    <w:rsid w:val="00096D2A"/>
    <w:rsid w:val="00096DC4"/>
    <w:rsid w:val="000970D3"/>
    <w:rsid w:val="000970EF"/>
    <w:rsid w:val="00097102"/>
    <w:rsid w:val="0009714F"/>
    <w:rsid w:val="000971E4"/>
    <w:rsid w:val="00097201"/>
    <w:rsid w:val="00097207"/>
    <w:rsid w:val="0009724E"/>
    <w:rsid w:val="00097255"/>
    <w:rsid w:val="00097338"/>
    <w:rsid w:val="00097366"/>
    <w:rsid w:val="00097368"/>
    <w:rsid w:val="0009739E"/>
    <w:rsid w:val="00097412"/>
    <w:rsid w:val="000974FA"/>
    <w:rsid w:val="0009774E"/>
    <w:rsid w:val="000978A9"/>
    <w:rsid w:val="00097A37"/>
    <w:rsid w:val="00097A8A"/>
    <w:rsid w:val="00097B69"/>
    <w:rsid w:val="00097B80"/>
    <w:rsid w:val="00097C79"/>
    <w:rsid w:val="00097C86"/>
    <w:rsid w:val="00097E3C"/>
    <w:rsid w:val="00097E6C"/>
    <w:rsid w:val="00097FB0"/>
    <w:rsid w:val="00097FD2"/>
    <w:rsid w:val="000A02AE"/>
    <w:rsid w:val="000A0448"/>
    <w:rsid w:val="000A0591"/>
    <w:rsid w:val="000A05AB"/>
    <w:rsid w:val="000A0646"/>
    <w:rsid w:val="000A0764"/>
    <w:rsid w:val="000A0B47"/>
    <w:rsid w:val="000A0C2C"/>
    <w:rsid w:val="000A0CB1"/>
    <w:rsid w:val="000A0D10"/>
    <w:rsid w:val="000A0F5A"/>
    <w:rsid w:val="000A0FB4"/>
    <w:rsid w:val="000A0FD7"/>
    <w:rsid w:val="000A1184"/>
    <w:rsid w:val="000A1334"/>
    <w:rsid w:val="000A133C"/>
    <w:rsid w:val="000A1347"/>
    <w:rsid w:val="000A1359"/>
    <w:rsid w:val="000A155B"/>
    <w:rsid w:val="000A15B3"/>
    <w:rsid w:val="000A15DE"/>
    <w:rsid w:val="000A1709"/>
    <w:rsid w:val="000A173E"/>
    <w:rsid w:val="000A17BD"/>
    <w:rsid w:val="000A17C7"/>
    <w:rsid w:val="000A190D"/>
    <w:rsid w:val="000A1933"/>
    <w:rsid w:val="000A1BB3"/>
    <w:rsid w:val="000A1BF9"/>
    <w:rsid w:val="000A1C1F"/>
    <w:rsid w:val="000A1D2B"/>
    <w:rsid w:val="000A1F8C"/>
    <w:rsid w:val="000A1FFE"/>
    <w:rsid w:val="000A2054"/>
    <w:rsid w:val="000A2080"/>
    <w:rsid w:val="000A21D1"/>
    <w:rsid w:val="000A2320"/>
    <w:rsid w:val="000A249B"/>
    <w:rsid w:val="000A24EE"/>
    <w:rsid w:val="000A2692"/>
    <w:rsid w:val="000A26A2"/>
    <w:rsid w:val="000A26F1"/>
    <w:rsid w:val="000A275C"/>
    <w:rsid w:val="000A27BA"/>
    <w:rsid w:val="000A27DE"/>
    <w:rsid w:val="000A285A"/>
    <w:rsid w:val="000A28C3"/>
    <w:rsid w:val="000A2978"/>
    <w:rsid w:val="000A29B7"/>
    <w:rsid w:val="000A2B2C"/>
    <w:rsid w:val="000A2D0F"/>
    <w:rsid w:val="000A2E2C"/>
    <w:rsid w:val="000A2F22"/>
    <w:rsid w:val="000A30B3"/>
    <w:rsid w:val="000A30D9"/>
    <w:rsid w:val="000A3152"/>
    <w:rsid w:val="000A3253"/>
    <w:rsid w:val="000A325D"/>
    <w:rsid w:val="000A3516"/>
    <w:rsid w:val="000A3557"/>
    <w:rsid w:val="000A35C7"/>
    <w:rsid w:val="000A365B"/>
    <w:rsid w:val="000A3B0F"/>
    <w:rsid w:val="000A3BF2"/>
    <w:rsid w:val="000A3C58"/>
    <w:rsid w:val="000A3C5E"/>
    <w:rsid w:val="000A3CD0"/>
    <w:rsid w:val="000A3E70"/>
    <w:rsid w:val="000A3F23"/>
    <w:rsid w:val="000A4216"/>
    <w:rsid w:val="000A425F"/>
    <w:rsid w:val="000A4285"/>
    <w:rsid w:val="000A4369"/>
    <w:rsid w:val="000A44B2"/>
    <w:rsid w:val="000A4798"/>
    <w:rsid w:val="000A4932"/>
    <w:rsid w:val="000A4A8B"/>
    <w:rsid w:val="000A4B01"/>
    <w:rsid w:val="000A4BCB"/>
    <w:rsid w:val="000A4CF8"/>
    <w:rsid w:val="000A4E3A"/>
    <w:rsid w:val="000A4EAF"/>
    <w:rsid w:val="000A4EBC"/>
    <w:rsid w:val="000A4EF9"/>
    <w:rsid w:val="000A521F"/>
    <w:rsid w:val="000A5301"/>
    <w:rsid w:val="000A53EE"/>
    <w:rsid w:val="000A5647"/>
    <w:rsid w:val="000A56E2"/>
    <w:rsid w:val="000A5901"/>
    <w:rsid w:val="000A5974"/>
    <w:rsid w:val="000A59AB"/>
    <w:rsid w:val="000A5C71"/>
    <w:rsid w:val="000A5C78"/>
    <w:rsid w:val="000A5C89"/>
    <w:rsid w:val="000A5F1B"/>
    <w:rsid w:val="000A5F43"/>
    <w:rsid w:val="000A5FFB"/>
    <w:rsid w:val="000A601F"/>
    <w:rsid w:val="000A6031"/>
    <w:rsid w:val="000A60BD"/>
    <w:rsid w:val="000A636E"/>
    <w:rsid w:val="000A63F2"/>
    <w:rsid w:val="000A63F6"/>
    <w:rsid w:val="000A6583"/>
    <w:rsid w:val="000A65AD"/>
    <w:rsid w:val="000A683C"/>
    <w:rsid w:val="000A6897"/>
    <w:rsid w:val="000A68F3"/>
    <w:rsid w:val="000A69BA"/>
    <w:rsid w:val="000A6A02"/>
    <w:rsid w:val="000A6AF2"/>
    <w:rsid w:val="000A6DF1"/>
    <w:rsid w:val="000A6EBC"/>
    <w:rsid w:val="000A6F17"/>
    <w:rsid w:val="000A7108"/>
    <w:rsid w:val="000A715D"/>
    <w:rsid w:val="000A7233"/>
    <w:rsid w:val="000A7264"/>
    <w:rsid w:val="000A72F8"/>
    <w:rsid w:val="000A77F0"/>
    <w:rsid w:val="000A7954"/>
    <w:rsid w:val="000A7A62"/>
    <w:rsid w:val="000A7AA2"/>
    <w:rsid w:val="000A7B0D"/>
    <w:rsid w:val="000A7CDC"/>
    <w:rsid w:val="000A7E34"/>
    <w:rsid w:val="000B0390"/>
    <w:rsid w:val="000B0427"/>
    <w:rsid w:val="000B042E"/>
    <w:rsid w:val="000B04DC"/>
    <w:rsid w:val="000B062D"/>
    <w:rsid w:val="000B06C5"/>
    <w:rsid w:val="000B0708"/>
    <w:rsid w:val="000B0BCC"/>
    <w:rsid w:val="000B0D93"/>
    <w:rsid w:val="000B0E47"/>
    <w:rsid w:val="000B0E99"/>
    <w:rsid w:val="000B0EBA"/>
    <w:rsid w:val="000B0F7F"/>
    <w:rsid w:val="000B0FCA"/>
    <w:rsid w:val="000B0FE1"/>
    <w:rsid w:val="000B0FF6"/>
    <w:rsid w:val="000B12EA"/>
    <w:rsid w:val="000B139B"/>
    <w:rsid w:val="000B149E"/>
    <w:rsid w:val="000B14CC"/>
    <w:rsid w:val="000B14FF"/>
    <w:rsid w:val="000B152B"/>
    <w:rsid w:val="000B160D"/>
    <w:rsid w:val="000B1799"/>
    <w:rsid w:val="000B194D"/>
    <w:rsid w:val="000B1ACD"/>
    <w:rsid w:val="000B1AD2"/>
    <w:rsid w:val="000B1AF4"/>
    <w:rsid w:val="000B1BF3"/>
    <w:rsid w:val="000B1CAB"/>
    <w:rsid w:val="000B1E92"/>
    <w:rsid w:val="000B2002"/>
    <w:rsid w:val="000B20E9"/>
    <w:rsid w:val="000B2246"/>
    <w:rsid w:val="000B2268"/>
    <w:rsid w:val="000B22B8"/>
    <w:rsid w:val="000B2301"/>
    <w:rsid w:val="000B258F"/>
    <w:rsid w:val="000B25B4"/>
    <w:rsid w:val="000B2692"/>
    <w:rsid w:val="000B26C8"/>
    <w:rsid w:val="000B26DD"/>
    <w:rsid w:val="000B270E"/>
    <w:rsid w:val="000B277A"/>
    <w:rsid w:val="000B28B6"/>
    <w:rsid w:val="000B2B6D"/>
    <w:rsid w:val="000B2C7E"/>
    <w:rsid w:val="000B2E78"/>
    <w:rsid w:val="000B2F06"/>
    <w:rsid w:val="000B301A"/>
    <w:rsid w:val="000B3061"/>
    <w:rsid w:val="000B3145"/>
    <w:rsid w:val="000B3355"/>
    <w:rsid w:val="000B3468"/>
    <w:rsid w:val="000B34E1"/>
    <w:rsid w:val="000B380C"/>
    <w:rsid w:val="000B39C1"/>
    <w:rsid w:val="000B3A56"/>
    <w:rsid w:val="000B3AF8"/>
    <w:rsid w:val="000B3B84"/>
    <w:rsid w:val="000B3BF4"/>
    <w:rsid w:val="000B3DC2"/>
    <w:rsid w:val="000B3E58"/>
    <w:rsid w:val="000B3F72"/>
    <w:rsid w:val="000B3F9E"/>
    <w:rsid w:val="000B4001"/>
    <w:rsid w:val="000B4027"/>
    <w:rsid w:val="000B405D"/>
    <w:rsid w:val="000B408B"/>
    <w:rsid w:val="000B40AE"/>
    <w:rsid w:val="000B40FE"/>
    <w:rsid w:val="000B4147"/>
    <w:rsid w:val="000B4298"/>
    <w:rsid w:val="000B43F8"/>
    <w:rsid w:val="000B4471"/>
    <w:rsid w:val="000B4496"/>
    <w:rsid w:val="000B44A2"/>
    <w:rsid w:val="000B450E"/>
    <w:rsid w:val="000B45C5"/>
    <w:rsid w:val="000B4767"/>
    <w:rsid w:val="000B4A7B"/>
    <w:rsid w:val="000B4AE3"/>
    <w:rsid w:val="000B4BDF"/>
    <w:rsid w:val="000B4C76"/>
    <w:rsid w:val="000B4D18"/>
    <w:rsid w:val="000B4D6E"/>
    <w:rsid w:val="000B4D78"/>
    <w:rsid w:val="000B4ECB"/>
    <w:rsid w:val="000B4F52"/>
    <w:rsid w:val="000B4F5C"/>
    <w:rsid w:val="000B4FB3"/>
    <w:rsid w:val="000B5016"/>
    <w:rsid w:val="000B5098"/>
    <w:rsid w:val="000B50E9"/>
    <w:rsid w:val="000B52B7"/>
    <w:rsid w:val="000B531B"/>
    <w:rsid w:val="000B5450"/>
    <w:rsid w:val="000B5642"/>
    <w:rsid w:val="000B564B"/>
    <w:rsid w:val="000B572B"/>
    <w:rsid w:val="000B57CB"/>
    <w:rsid w:val="000B57D2"/>
    <w:rsid w:val="000B57F2"/>
    <w:rsid w:val="000B582D"/>
    <w:rsid w:val="000B58AD"/>
    <w:rsid w:val="000B5919"/>
    <w:rsid w:val="000B59AE"/>
    <w:rsid w:val="000B5A15"/>
    <w:rsid w:val="000B5B17"/>
    <w:rsid w:val="000B5B36"/>
    <w:rsid w:val="000B5BF1"/>
    <w:rsid w:val="000B5C04"/>
    <w:rsid w:val="000B5C14"/>
    <w:rsid w:val="000B601A"/>
    <w:rsid w:val="000B613B"/>
    <w:rsid w:val="000B6146"/>
    <w:rsid w:val="000B647D"/>
    <w:rsid w:val="000B64C5"/>
    <w:rsid w:val="000B64E5"/>
    <w:rsid w:val="000B6513"/>
    <w:rsid w:val="000B6524"/>
    <w:rsid w:val="000B654A"/>
    <w:rsid w:val="000B657D"/>
    <w:rsid w:val="000B6608"/>
    <w:rsid w:val="000B665B"/>
    <w:rsid w:val="000B673E"/>
    <w:rsid w:val="000B6831"/>
    <w:rsid w:val="000B6A96"/>
    <w:rsid w:val="000B6B7C"/>
    <w:rsid w:val="000B6C2F"/>
    <w:rsid w:val="000B6C7C"/>
    <w:rsid w:val="000B6CD5"/>
    <w:rsid w:val="000B6F98"/>
    <w:rsid w:val="000B71EE"/>
    <w:rsid w:val="000B726B"/>
    <w:rsid w:val="000B72AB"/>
    <w:rsid w:val="000B72CD"/>
    <w:rsid w:val="000B72D6"/>
    <w:rsid w:val="000B73AC"/>
    <w:rsid w:val="000B741B"/>
    <w:rsid w:val="000B74B8"/>
    <w:rsid w:val="000B74DE"/>
    <w:rsid w:val="000B7531"/>
    <w:rsid w:val="000B7686"/>
    <w:rsid w:val="000B77E8"/>
    <w:rsid w:val="000B783D"/>
    <w:rsid w:val="000B7988"/>
    <w:rsid w:val="000B7A46"/>
    <w:rsid w:val="000B7A8E"/>
    <w:rsid w:val="000B7AB6"/>
    <w:rsid w:val="000B7AD3"/>
    <w:rsid w:val="000B7B99"/>
    <w:rsid w:val="000B7C1C"/>
    <w:rsid w:val="000B7C42"/>
    <w:rsid w:val="000B7CAE"/>
    <w:rsid w:val="000B7D8B"/>
    <w:rsid w:val="000B7E91"/>
    <w:rsid w:val="000B7F8C"/>
    <w:rsid w:val="000B7FFE"/>
    <w:rsid w:val="000C003A"/>
    <w:rsid w:val="000C01AD"/>
    <w:rsid w:val="000C02A2"/>
    <w:rsid w:val="000C03AD"/>
    <w:rsid w:val="000C03CE"/>
    <w:rsid w:val="000C04BE"/>
    <w:rsid w:val="000C061C"/>
    <w:rsid w:val="000C06CC"/>
    <w:rsid w:val="000C06EE"/>
    <w:rsid w:val="000C0711"/>
    <w:rsid w:val="000C074E"/>
    <w:rsid w:val="000C07C5"/>
    <w:rsid w:val="000C09B6"/>
    <w:rsid w:val="000C0A61"/>
    <w:rsid w:val="000C0D03"/>
    <w:rsid w:val="000C0DE8"/>
    <w:rsid w:val="000C0DED"/>
    <w:rsid w:val="000C0E2C"/>
    <w:rsid w:val="000C0EEC"/>
    <w:rsid w:val="000C0F57"/>
    <w:rsid w:val="000C0F97"/>
    <w:rsid w:val="000C10C7"/>
    <w:rsid w:val="000C1279"/>
    <w:rsid w:val="000C141D"/>
    <w:rsid w:val="000C14A2"/>
    <w:rsid w:val="000C1757"/>
    <w:rsid w:val="000C179F"/>
    <w:rsid w:val="000C19BC"/>
    <w:rsid w:val="000C1A9A"/>
    <w:rsid w:val="000C1D04"/>
    <w:rsid w:val="000C1E4C"/>
    <w:rsid w:val="000C1F08"/>
    <w:rsid w:val="000C1F2A"/>
    <w:rsid w:val="000C1FC2"/>
    <w:rsid w:val="000C2094"/>
    <w:rsid w:val="000C20FA"/>
    <w:rsid w:val="000C2110"/>
    <w:rsid w:val="000C22B4"/>
    <w:rsid w:val="000C235B"/>
    <w:rsid w:val="000C243C"/>
    <w:rsid w:val="000C2545"/>
    <w:rsid w:val="000C255F"/>
    <w:rsid w:val="000C2637"/>
    <w:rsid w:val="000C2639"/>
    <w:rsid w:val="000C27DC"/>
    <w:rsid w:val="000C2824"/>
    <w:rsid w:val="000C285F"/>
    <w:rsid w:val="000C28B5"/>
    <w:rsid w:val="000C2A81"/>
    <w:rsid w:val="000C2B53"/>
    <w:rsid w:val="000C2C4E"/>
    <w:rsid w:val="000C2DFB"/>
    <w:rsid w:val="000C2E10"/>
    <w:rsid w:val="000C2E97"/>
    <w:rsid w:val="000C2EDE"/>
    <w:rsid w:val="000C2F0F"/>
    <w:rsid w:val="000C2FCD"/>
    <w:rsid w:val="000C2FD7"/>
    <w:rsid w:val="000C3117"/>
    <w:rsid w:val="000C32ED"/>
    <w:rsid w:val="000C3526"/>
    <w:rsid w:val="000C3707"/>
    <w:rsid w:val="000C3970"/>
    <w:rsid w:val="000C39EB"/>
    <w:rsid w:val="000C3A8A"/>
    <w:rsid w:val="000C3AB5"/>
    <w:rsid w:val="000C3BA7"/>
    <w:rsid w:val="000C3DA0"/>
    <w:rsid w:val="000C40BC"/>
    <w:rsid w:val="000C4174"/>
    <w:rsid w:val="000C4213"/>
    <w:rsid w:val="000C42D5"/>
    <w:rsid w:val="000C4366"/>
    <w:rsid w:val="000C45BD"/>
    <w:rsid w:val="000C45C8"/>
    <w:rsid w:val="000C45E1"/>
    <w:rsid w:val="000C45E9"/>
    <w:rsid w:val="000C4887"/>
    <w:rsid w:val="000C48BB"/>
    <w:rsid w:val="000C4A60"/>
    <w:rsid w:val="000C4A7D"/>
    <w:rsid w:val="000C4BC9"/>
    <w:rsid w:val="000C4C52"/>
    <w:rsid w:val="000C4DD0"/>
    <w:rsid w:val="000C4E66"/>
    <w:rsid w:val="000C4FAD"/>
    <w:rsid w:val="000C50D5"/>
    <w:rsid w:val="000C50ED"/>
    <w:rsid w:val="000C50F3"/>
    <w:rsid w:val="000C515A"/>
    <w:rsid w:val="000C515D"/>
    <w:rsid w:val="000C522B"/>
    <w:rsid w:val="000C53C9"/>
    <w:rsid w:val="000C5457"/>
    <w:rsid w:val="000C55CE"/>
    <w:rsid w:val="000C5920"/>
    <w:rsid w:val="000C59AC"/>
    <w:rsid w:val="000C5BCC"/>
    <w:rsid w:val="000C5BF5"/>
    <w:rsid w:val="000C5CC0"/>
    <w:rsid w:val="000C5D88"/>
    <w:rsid w:val="000C5EF2"/>
    <w:rsid w:val="000C6071"/>
    <w:rsid w:val="000C6177"/>
    <w:rsid w:val="000C61A1"/>
    <w:rsid w:val="000C624F"/>
    <w:rsid w:val="000C6287"/>
    <w:rsid w:val="000C62B4"/>
    <w:rsid w:val="000C63A9"/>
    <w:rsid w:val="000C645A"/>
    <w:rsid w:val="000C645F"/>
    <w:rsid w:val="000C64CF"/>
    <w:rsid w:val="000C64DD"/>
    <w:rsid w:val="000C65B8"/>
    <w:rsid w:val="000C66A5"/>
    <w:rsid w:val="000C6728"/>
    <w:rsid w:val="000C675B"/>
    <w:rsid w:val="000C6905"/>
    <w:rsid w:val="000C6A6F"/>
    <w:rsid w:val="000C6AC2"/>
    <w:rsid w:val="000C6C58"/>
    <w:rsid w:val="000C6C95"/>
    <w:rsid w:val="000C6D6A"/>
    <w:rsid w:val="000C6EE4"/>
    <w:rsid w:val="000C6F09"/>
    <w:rsid w:val="000C7036"/>
    <w:rsid w:val="000C708B"/>
    <w:rsid w:val="000C7115"/>
    <w:rsid w:val="000C7170"/>
    <w:rsid w:val="000C72F5"/>
    <w:rsid w:val="000C739B"/>
    <w:rsid w:val="000C7463"/>
    <w:rsid w:val="000C7467"/>
    <w:rsid w:val="000C7485"/>
    <w:rsid w:val="000C74C6"/>
    <w:rsid w:val="000C7549"/>
    <w:rsid w:val="000C754F"/>
    <w:rsid w:val="000C75E9"/>
    <w:rsid w:val="000C75F7"/>
    <w:rsid w:val="000C75FA"/>
    <w:rsid w:val="000C75FC"/>
    <w:rsid w:val="000C78B7"/>
    <w:rsid w:val="000C7972"/>
    <w:rsid w:val="000C79D6"/>
    <w:rsid w:val="000C7A38"/>
    <w:rsid w:val="000C7B76"/>
    <w:rsid w:val="000C7B8B"/>
    <w:rsid w:val="000C7BC7"/>
    <w:rsid w:val="000C7C4D"/>
    <w:rsid w:val="000C7CEE"/>
    <w:rsid w:val="000C7D47"/>
    <w:rsid w:val="000C7DAA"/>
    <w:rsid w:val="000C7DEE"/>
    <w:rsid w:val="000C7E4E"/>
    <w:rsid w:val="000C7F37"/>
    <w:rsid w:val="000D0070"/>
    <w:rsid w:val="000D00C7"/>
    <w:rsid w:val="000D00CD"/>
    <w:rsid w:val="000D00F4"/>
    <w:rsid w:val="000D0114"/>
    <w:rsid w:val="000D0158"/>
    <w:rsid w:val="000D0294"/>
    <w:rsid w:val="000D04C3"/>
    <w:rsid w:val="000D04C7"/>
    <w:rsid w:val="000D06C7"/>
    <w:rsid w:val="000D080B"/>
    <w:rsid w:val="000D08AE"/>
    <w:rsid w:val="000D0965"/>
    <w:rsid w:val="000D09A4"/>
    <w:rsid w:val="000D0A99"/>
    <w:rsid w:val="000D0AA4"/>
    <w:rsid w:val="000D0DDE"/>
    <w:rsid w:val="000D0E27"/>
    <w:rsid w:val="000D0E5C"/>
    <w:rsid w:val="000D0F08"/>
    <w:rsid w:val="000D1046"/>
    <w:rsid w:val="000D106A"/>
    <w:rsid w:val="000D10A3"/>
    <w:rsid w:val="000D10ED"/>
    <w:rsid w:val="000D1148"/>
    <w:rsid w:val="000D12BD"/>
    <w:rsid w:val="000D12D0"/>
    <w:rsid w:val="000D135F"/>
    <w:rsid w:val="000D14FD"/>
    <w:rsid w:val="000D1678"/>
    <w:rsid w:val="000D16CD"/>
    <w:rsid w:val="000D1742"/>
    <w:rsid w:val="000D18DA"/>
    <w:rsid w:val="000D1ACF"/>
    <w:rsid w:val="000D1B54"/>
    <w:rsid w:val="000D1C6F"/>
    <w:rsid w:val="000D1C7E"/>
    <w:rsid w:val="000D1CFF"/>
    <w:rsid w:val="000D1D53"/>
    <w:rsid w:val="000D1D87"/>
    <w:rsid w:val="000D1EDF"/>
    <w:rsid w:val="000D1FCF"/>
    <w:rsid w:val="000D2120"/>
    <w:rsid w:val="000D21B1"/>
    <w:rsid w:val="000D21CC"/>
    <w:rsid w:val="000D221C"/>
    <w:rsid w:val="000D230C"/>
    <w:rsid w:val="000D2461"/>
    <w:rsid w:val="000D2940"/>
    <w:rsid w:val="000D2AB8"/>
    <w:rsid w:val="000D2BF9"/>
    <w:rsid w:val="000D2D91"/>
    <w:rsid w:val="000D2DB1"/>
    <w:rsid w:val="000D2DE2"/>
    <w:rsid w:val="000D2DF9"/>
    <w:rsid w:val="000D3065"/>
    <w:rsid w:val="000D3070"/>
    <w:rsid w:val="000D312C"/>
    <w:rsid w:val="000D315A"/>
    <w:rsid w:val="000D3252"/>
    <w:rsid w:val="000D337C"/>
    <w:rsid w:val="000D3493"/>
    <w:rsid w:val="000D35F0"/>
    <w:rsid w:val="000D3916"/>
    <w:rsid w:val="000D3A42"/>
    <w:rsid w:val="000D3AE8"/>
    <w:rsid w:val="000D3B46"/>
    <w:rsid w:val="000D3C5E"/>
    <w:rsid w:val="000D3D50"/>
    <w:rsid w:val="000D3D9C"/>
    <w:rsid w:val="000D405E"/>
    <w:rsid w:val="000D40D0"/>
    <w:rsid w:val="000D42E7"/>
    <w:rsid w:val="000D4399"/>
    <w:rsid w:val="000D4498"/>
    <w:rsid w:val="000D457B"/>
    <w:rsid w:val="000D4739"/>
    <w:rsid w:val="000D473D"/>
    <w:rsid w:val="000D4778"/>
    <w:rsid w:val="000D47FD"/>
    <w:rsid w:val="000D4821"/>
    <w:rsid w:val="000D4857"/>
    <w:rsid w:val="000D487C"/>
    <w:rsid w:val="000D48C4"/>
    <w:rsid w:val="000D49D0"/>
    <w:rsid w:val="000D49DC"/>
    <w:rsid w:val="000D4A61"/>
    <w:rsid w:val="000D4C52"/>
    <w:rsid w:val="000D4CCE"/>
    <w:rsid w:val="000D4DF5"/>
    <w:rsid w:val="000D4E81"/>
    <w:rsid w:val="000D4EDA"/>
    <w:rsid w:val="000D514B"/>
    <w:rsid w:val="000D5175"/>
    <w:rsid w:val="000D52EB"/>
    <w:rsid w:val="000D53C8"/>
    <w:rsid w:val="000D5557"/>
    <w:rsid w:val="000D55BC"/>
    <w:rsid w:val="000D5607"/>
    <w:rsid w:val="000D562E"/>
    <w:rsid w:val="000D564E"/>
    <w:rsid w:val="000D5718"/>
    <w:rsid w:val="000D5A2C"/>
    <w:rsid w:val="000D5B2D"/>
    <w:rsid w:val="000D5C1A"/>
    <w:rsid w:val="000D5C3E"/>
    <w:rsid w:val="000D5CD9"/>
    <w:rsid w:val="000D5D49"/>
    <w:rsid w:val="000D5DDF"/>
    <w:rsid w:val="000D5E73"/>
    <w:rsid w:val="000D5EF5"/>
    <w:rsid w:val="000D6005"/>
    <w:rsid w:val="000D6037"/>
    <w:rsid w:val="000D6114"/>
    <w:rsid w:val="000D6208"/>
    <w:rsid w:val="000D62B2"/>
    <w:rsid w:val="000D633B"/>
    <w:rsid w:val="000D6426"/>
    <w:rsid w:val="000D6784"/>
    <w:rsid w:val="000D6880"/>
    <w:rsid w:val="000D689E"/>
    <w:rsid w:val="000D6952"/>
    <w:rsid w:val="000D6B1D"/>
    <w:rsid w:val="000D6B94"/>
    <w:rsid w:val="000D6DD2"/>
    <w:rsid w:val="000D6E48"/>
    <w:rsid w:val="000D6E90"/>
    <w:rsid w:val="000D70A4"/>
    <w:rsid w:val="000D71A7"/>
    <w:rsid w:val="000D7216"/>
    <w:rsid w:val="000D72E8"/>
    <w:rsid w:val="000D7309"/>
    <w:rsid w:val="000D7348"/>
    <w:rsid w:val="000D73AB"/>
    <w:rsid w:val="000D744E"/>
    <w:rsid w:val="000D7737"/>
    <w:rsid w:val="000D78C8"/>
    <w:rsid w:val="000D7954"/>
    <w:rsid w:val="000D79B5"/>
    <w:rsid w:val="000D7AEB"/>
    <w:rsid w:val="000D7B54"/>
    <w:rsid w:val="000D7D99"/>
    <w:rsid w:val="000D7E20"/>
    <w:rsid w:val="000D7F02"/>
    <w:rsid w:val="000D7F38"/>
    <w:rsid w:val="000E0128"/>
    <w:rsid w:val="000E022E"/>
    <w:rsid w:val="000E0236"/>
    <w:rsid w:val="000E02D9"/>
    <w:rsid w:val="000E03D8"/>
    <w:rsid w:val="000E0415"/>
    <w:rsid w:val="000E044F"/>
    <w:rsid w:val="000E04A7"/>
    <w:rsid w:val="000E04DA"/>
    <w:rsid w:val="000E0523"/>
    <w:rsid w:val="000E05CE"/>
    <w:rsid w:val="000E05E7"/>
    <w:rsid w:val="000E06B9"/>
    <w:rsid w:val="000E074C"/>
    <w:rsid w:val="000E0831"/>
    <w:rsid w:val="000E083C"/>
    <w:rsid w:val="000E0889"/>
    <w:rsid w:val="000E0AE9"/>
    <w:rsid w:val="000E0B9F"/>
    <w:rsid w:val="000E0BA2"/>
    <w:rsid w:val="000E0EB6"/>
    <w:rsid w:val="000E1045"/>
    <w:rsid w:val="000E104A"/>
    <w:rsid w:val="000E10C6"/>
    <w:rsid w:val="000E1232"/>
    <w:rsid w:val="000E1294"/>
    <w:rsid w:val="000E14C7"/>
    <w:rsid w:val="000E1654"/>
    <w:rsid w:val="000E167A"/>
    <w:rsid w:val="000E16C4"/>
    <w:rsid w:val="000E16FC"/>
    <w:rsid w:val="000E185E"/>
    <w:rsid w:val="000E1978"/>
    <w:rsid w:val="000E19EE"/>
    <w:rsid w:val="000E1ABC"/>
    <w:rsid w:val="000E1D8F"/>
    <w:rsid w:val="000E1EE9"/>
    <w:rsid w:val="000E1FBB"/>
    <w:rsid w:val="000E1FE1"/>
    <w:rsid w:val="000E20B4"/>
    <w:rsid w:val="000E2149"/>
    <w:rsid w:val="000E21DD"/>
    <w:rsid w:val="000E21EF"/>
    <w:rsid w:val="000E2280"/>
    <w:rsid w:val="000E23A2"/>
    <w:rsid w:val="000E23B9"/>
    <w:rsid w:val="000E25B9"/>
    <w:rsid w:val="000E260C"/>
    <w:rsid w:val="000E2854"/>
    <w:rsid w:val="000E2949"/>
    <w:rsid w:val="000E296B"/>
    <w:rsid w:val="000E2A2A"/>
    <w:rsid w:val="000E2CC7"/>
    <w:rsid w:val="000E2E19"/>
    <w:rsid w:val="000E2F62"/>
    <w:rsid w:val="000E30C2"/>
    <w:rsid w:val="000E3108"/>
    <w:rsid w:val="000E3214"/>
    <w:rsid w:val="000E33CB"/>
    <w:rsid w:val="000E33F7"/>
    <w:rsid w:val="000E3451"/>
    <w:rsid w:val="000E35B4"/>
    <w:rsid w:val="000E35E1"/>
    <w:rsid w:val="000E3666"/>
    <w:rsid w:val="000E39B1"/>
    <w:rsid w:val="000E3A3F"/>
    <w:rsid w:val="000E3A55"/>
    <w:rsid w:val="000E3B3C"/>
    <w:rsid w:val="000E3B4A"/>
    <w:rsid w:val="000E3BDA"/>
    <w:rsid w:val="000E3CAD"/>
    <w:rsid w:val="000E3CEC"/>
    <w:rsid w:val="000E3DB5"/>
    <w:rsid w:val="000E3F0A"/>
    <w:rsid w:val="000E3F23"/>
    <w:rsid w:val="000E3F89"/>
    <w:rsid w:val="000E40B5"/>
    <w:rsid w:val="000E40EF"/>
    <w:rsid w:val="000E449B"/>
    <w:rsid w:val="000E44FE"/>
    <w:rsid w:val="000E4589"/>
    <w:rsid w:val="000E462A"/>
    <w:rsid w:val="000E46B4"/>
    <w:rsid w:val="000E46E8"/>
    <w:rsid w:val="000E46EA"/>
    <w:rsid w:val="000E47F8"/>
    <w:rsid w:val="000E48BD"/>
    <w:rsid w:val="000E4A34"/>
    <w:rsid w:val="000E4AA2"/>
    <w:rsid w:val="000E4C46"/>
    <w:rsid w:val="000E4C77"/>
    <w:rsid w:val="000E4D53"/>
    <w:rsid w:val="000E548F"/>
    <w:rsid w:val="000E54D5"/>
    <w:rsid w:val="000E558A"/>
    <w:rsid w:val="000E55E1"/>
    <w:rsid w:val="000E561B"/>
    <w:rsid w:val="000E5688"/>
    <w:rsid w:val="000E578D"/>
    <w:rsid w:val="000E5899"/>
    <w:rsid w:val="000E5942"/>
    <w:rsid w:val="000E5A48"/>
    <w:rsid w:val="000E5A73"/>
    <w:rsid w:val="000E5D83"/>
    <w:rsid w:val="000E5E4E"/>
    <w:rsid w:val="000E5EF3"/>
    <w:rsid w:val="000E601F"/>
    <w:rsid w:val="000E6168"/>
    <w:rsid w:val="000E617C"/>
    <w:rsid w:val="000E6201"/>
    <w:rsid w:val="000E623D"/>
    <w:rsid w:val="000E627A"/>
    <w:rsid w:val="000E6356"/>
    <w:rsid w:val="000E657C"/>
    <w:rsid w:val="000E65B9"/>
    <w:rsid w:val="000E6686"/>
    <w:rsid w:val="000E66BD"/>
    <w:rsid w:val="000E685E"/>
    <w:rsid w:val="000E69CF"/>
    <w:rsid w:val="000E6A51"/>
    <w:rsid w:val="000E6BC5"/>
    <w:rsid w:val="000E6BD4"/>
    <w:rsid w:val="000E6C00"/>
    <w:rsid w:val="000E6C22"/>
    <w:rsid w:val="000E6E06"/>
    <w:rsid w:val="000E6E77"/>
    <w:rsid w:val="000E6F41"/>
    <w:rsid w:val="000E700B"/>
    <w:rsid w:val="000E70D5"/>
    <w:rsid w:val="000E70E0"/>
    <w:rsid w:val="000E7144"/>
    <w:rsid w:val="000E7215"/>
    <w:rsid w:val="000E73CA"/>
    <w:rsid w:val="000E741B"/>
    <w:rsid w:val="000E7571"/>
    <w:rsid w:val="000E7763"/>
    <w:rsid w:val="000E783B"/>
    <w:rsid w:val="000E7973"/>
    <w:rsid w:val="000E7B72"/>
    <w:rsid w:val="000E7D3A"/>
    <w:rsid w:val="000E7E46"/>
    <w:rsid w:val="000E7F17"/>
    <w:rsid w:val="000F0022"/>
    <w:rsid w:val="000F0237"/>
    <w:rsid w:val="000F0279"/>
    <w:rsid w:val="000F030B"/>
    <w:rsid w:val="000F0506"/>
    <w:rsid w:val="000F0524"/>
    <w:rsid w:val="000F0597"/>
    <w:rsid w:val="000F05D3"/>
    <w:rsid w:val="000F0822"/>
    <w:rsid w:val="000F087A"/>
    <w:rsid w:val="000F0988"/>
    <w:rsid w:val="000F09AB"/>
    <w:rsid w:val="000F0A3A"/>
    <w:rsid w:val="000F0C9C"/>
    <w:rsid w:val="000F0E22"/>
    <w:rsid w:val="000F0EFC"/>
    <w:rsid w:val="000F10A4"/>
    <w:rsid w:val="000F1111"/>
    <w:rsid w:val="000F1126"/>
    <w:rsid w:val="000F115F"/>
    <w:rsid w:val="000F120D"/>
    <w:rsid w:val="000F1283"/>
    <w:rsid w:val="000F13C9"/>
    <w:rsid w:val="000F1582"/>
    <w:rsid w:val="000F1593"/>
    <w:rsid w:val="000F1661"/>
    <w:rsid w:val="000F16D7"/>
    <w:rsid w:val="000F18C2"/>
    <w:rsid w:val="000F196C"/>
    <w:rsid w:val="000F1CB0"/>
    <w:rsid w:val="000F1EBD"/>
    <w:rsid w:val="000F1FBF"/>
    <w:rsid w:val="000F1FC5"/>
    <w:rsid w:val="000F1FD8"/>
    <w:rsid w:val="000F204C"/>
    <w:rsid w:val="000F22FF"/>
    <w:rsid w:val="000F2429"/>
    <w:rsid w:val="000F25BF"/>
    <w:rsid w:val="000F2889"/>
    <w:rsid w:val="000F2AA6"/>
    <w:rsid w:val="000F2B39"/>
    <w:rsid w:val="000F2B57"/>
    <w:rsid w:val="000F2BF7"/>
    <w:rsid w:val="000F2C66"/>
    <w:rsid w:val="000F2D8F"/>
    <w:rsid w:val="000F300E"/>
    <w:rsid w:val="000F3026"/>
    <w:rsid w:val="000F3097"/>
    <w:rsid w:val="000F30A2"/>
    <w:rsid w:val="000F30FE"/>
    <w:rsid w:val="000F3378"/>
    <w:rsid w:val="000F349D"/>
    <w:rsid w:val="000F35D2"/>
    <w:rsid w:val="000F365B"/>
    <w:rsid w:val="000F3704"/>
    <w:rsid w:val="000F3716"/>
    <w:rsid w:val="000F374E"/>
    <w:rsid w:val="000F37B4"/>
    <w:rsid w:val="000F384B"/>
    <w:rsid w:val="000F38CB"/>
    <w:rsid w:val="000F38CC"/>
    <w:rsid w:val="000F3946"/>
    <w:rsid w:val="000F396C"/>
    <w:rsid w:val="000F3986"/>
    <w:rsid w:val="000F3BBD"/>
    <w:rsid w:val="000F3BD0"/>
    <w:rsid w:val="000F3BD6"/>
    <w:rsid w:val="000F3C13"/>
    <w:rsid w:val="000F3DD8"/>
    <w:rsid w:val="000F3E7F"/>
    <w:rsid w:val="000F403C"/>
    <w:rsid w:val="000F418F"/>
    <w:rsid w:val="000F4690"/>
    <w:rsid w:val="000F46A2"/>
    <w:rsid w:val="000F46AB"/>
    <w:rsid w:val="000F4802"/>
    <w:rsid w:val="000F48A2"/>
    <w:rsid w:val="000F4990"/>
    <w:rsid w:val="000F49B6"/>
    <w:rsid w:val="000F49D7"/>
    <w:rsid w:val="000F4A2B"/>
    <w:rsid w:val="000F4AD2"/>
    <w:rsid w:val="000F4B5E"/>
    <w:rsid w:val="000F4E7D"/>
    <w:rsid w:val="000F4EA9"/>
    <w:rsid w:val="000F4F3C"/>
    <w:rsid w:val="000F506A"/>
    <w:rsid w:val="000F5178"/>
    <w:rsid w:val="000F53D9"/>
    <w:rsid w:val="000F550E"/>
    <w:rsid w:val="000F58D3"/>
    <w:rsid w:val="000F5A78"/>
    <w:rsid w:val="000F5F99"/>
    <w:rsid w:val="000F6065"/>
    <w:rsid w:val="000F6109"/>
    <w:rsid w:val="000F615A"/>
    <w:rsid w:val="000F6208"/>
    <w:rsid w:val="000F620F"/>
    <w:rsid w:val="000F621C"/>
    <w:rsid w:val="000F6248"/>
    <w:rsid w:val="000F6250"/>
    <w:rsid w:val="000F6320"/>
    <w:rsid w:val="000F6544"/>
    <w:rsid w:val="000F65FC"/>
    <w:rsid w:val="000F6649"/>
    <w:rsid w:val="000F686F"/>
    <w:rsid w:val="000F693C"/>
    <w:rsid w:val="000F6A32"/>
    <w:rsid w:val="000F6DCB"/>
    <w:rsid w:val="000F6DE8"/>
    <w:rsid w:val="000F6E4A"/>
    <w:rsid w:val="000F703C"/>
    <w:rsid w:val="000F7175"/>
    <w:rsid w:val="000F720E"/>
    <w:rsid w:val="000F7256"/>
    <w:rsid w:val="000F7361"/>
    <w:rsid w:val="000F74C2"/>
    <w:rsid w:val="000F7675"/>
    <w:rsid w:val="000F76D3"/>
    <w:rsid w:val="000F773B"/>
    <w:rsid w:val="000F7837"/>
    <w:rsid w:val="000F7A2E"/>
    <w:rsid w:val="000F7A2F"/>
    <w:rsid w:val="000F7A63"/>
    <w:rsid w:val="000F7AFF"/>
    <w:rsid w:val="000F7B62"/>
    <w:rsid w:val="000F7C3E"/>
    <w:rsid w:val="000F7F9E"/>
    <w:rsid w:val="000F7FFE"/>
    <w:rsid w:val="00100105"/>
    <w:rsid w:val="0010020A"/>
    <w:rsid w:val="0010033E"/>
    <w:rsid w:val="00100363"/>
    <w:rsid w:val="0010046E"/>
    <w:rsid w:val="00100476"/>
    <w:rsid w:val="001004A9"/>
    <w:rsid w:val="00100660"/>
    <w:rsid w:val="00100751"/>
    <w:rsid w:val="00100957"/>
    <w:rsid w:val="00100A26"/>
    <w:rsid w:val="00100C42"/>
    <w:rsid w:val="00100CEF"/>
    <w:rsid w:val="00100CF7"/>
    <w:rsid w:val="00100FB8"/>
    <w:rsid w:val="0010102C"/>
    <w:rsid w:val="001011B0"/>
    <w:rsid w:val="00101408"/>
    <w:rsid w:val="00101437"/>
    <w:rsid w:val="0010155F"/>
    <w:rsid w:val="00101831"/>
    <w:rsid w:val="0010183F"/>
    <w:rsid w:val="001018E3"/>
    <w:rsid w:val="001019BE"/>
    <w:rsid w:val="001019CE"/>
    <w:rsid w:val="00101A5C"/>
    <w:rsid w:val="00101ABB"/>
    <w:rsid w:val="00101D64"/>
    <w:rsid w:val="00101E0B"/>
    <w:rsid w:val="00101EDC"/>
    <w:rsid w:val="00101EE5"/>
    <w:rsid w:val="00101FB6"/>
    <w:rsid w:val="00102023"/>
    <w:rsid w:val="001020D0"/>
    <w:rsid w:val="001021D2"/>
    <w:rsid w:val="001024E9"/>
    <w:rsid w:val="0010254C"/>
    <w:rsid w:val="00102890"/>
    <w:rsid w:val="00102905"/>
    <w:rsid w:val="0010292F"/>
    <w:rsid w:val="00102B0C"/>
    <w:rsid w:val="00102B91"/>
    <w:rsid w:val="00102BB2"/>
    <w:rsid w:val="00102D50"/>
    <w:rsid w:val="00102E18"/>
    <w:rsid w:val="00102F13"/>
    <w:rsid w:val="0010309B"/>
    <w:rsid w:val="001030BF"/>
    <w:rsid w:val="0010314A"/>
    <w:rsid w:val="00103490"/>
    <w:rsid w:val="001034C7"/>
    <w:rsid w:val="001036EF"/>
    <w:rsid w:val="00103705"/>
    <w:rsid w:val="001037E8"/>
    <w:rsid w:val="0010389F"/>
    <w:rsid w:val="00103D3B"/>
    <w:rsid w:val="00103D62"/>
    <w:rsid w:val="00103E09"/>
    <w:rsid w:val="00103E63"/>
    <w:rsid w:val="00103EEA"/>
    <w:rsid w:val="00103F24"/>
    <w:rsid w:val="00103F83"/>
    <w:rsid w:val="00103FB7"/>
    <w:rsid w:val="001040E1"/>
    <w:rsid w:val="00104118"/>
    <w:rsid w:val="00104122"/>
    <w:rsid w:val="001041C9"/>
    <w:rsid w:val="001042F0"/>
    <w:rsid w:val="0010436B"/>
    <w:rsid w:val="00104422"/>
    <w:rsid w:val="0010461E"/>
    <w:rsid w:val="001046E7"/>
    <w:rsid w:val="00104702"/>
    <w:rsid w:val="00104B20"/>
    <w:rsid w:val="00104BBF"/>
    <w:rsid w:val="00104BE6"/>
    <w:rsid w:val="00104C41"/>
    <w:rsid w:val="00104CF9"/>
    <w:rsid w:val="00104D66"/>
    <w:rsid w:val="00104EB4"/>
    <w:rsid w:val="00104EE4"/>
    <w:rsid w:val="00104F15"/>
    <w:rsid w:val="00104F2D"/>
    <w:rsid w:val="00104F55"/>
    <w:rsid w:val="0010511C"/>
    <w:rsid w:val="0010514D"/>
    <w:rsid w:val="0010518E"/>
    <w:rsid w:val="001051D9"/>
    <w:rsid w:val="00105287"/>
    <w:rsid w:val="001052DF"/>
    <w:rsid w:val="00105356"/>
    <w:rsid w:val="00105506"/>
    <w:rsid w:val="001055B7"/>
    <w:rsid w:val="001056ED"/>
    <w:rsid w:val="001057C7"/>
    <w:rsid w:val="00105903"/>
    <w:rsid w:val="00105A32"/>
    <w:rsid w:val="00105AD8"/>
    <w:rsid w:val="00105C1F"/>
    <w:rsid w:val="00105D32"/>
    <w:rsid w:val="00105DCB"/>
    <w:rsid w:val="00105FA8"/>
    <w:rsid w:val="0010615D"/>
    <w:rsid w:val="001062BC"/>
    <w:rsid w:val="001062BE"/>
    <w:rsid w:val="00106314"/>
    <w:rsid w:val="00106329"/>
    <w:rsid w:val="00106451"/>
    <w:rsid w:val="0010647C"/>
    <w:rsid w:val="001064DF"/>
    <w:rsid w:val="00106593"/>
    <w:rsid w:val="00106615"/>
    <w:rsid w:val="00106630"/>
    <w:rsid w:val="001066C0"/>
    <w:rsid w:val="001067BC"/>
    <w:rsid w:val="001067D0"/>
    <w:rsid w:val="001068B1"/>
    <w:rsid w:val="00106957"/>
    <w:rsid w:val="00106B60"/>
    <w:rsid w:val="00106BA3"/>
    <w:rsid w:val="00106BE6"/>
    <w:rsid w:val="00106C06"/>
    <w:rsid w:val="00106C49"/>
    <w:rsid w:val="00106D16"/>
    <w:rsid w:val="00106F9E"/>
    <w:rsid w:val="00106FCA"/>
    <w:rsid w:val="00107085"/>
    <w:rsid w:val="00107099"/>
    <w:rsid w:val="0010711C"/>
    <w:rsid w:val="00107166"/>
    <w:rsid w:val="00107230"/>
    <w:rsid w:val="0010728B"/>
    <w:rsid w:val="00107340"/>
    <w:rsid w:val="00107400"/>
    <w:rsid w:val="00107427"/>
    <w:rsid w:val="001074FF"/>
    <w:rsid w:val="00107530"/>
    <w:rsid w:val="00107748"/>
    <w:rsid w:val="00107925"/>
    <w:rsid w:val="00107945"/>
    <w:rsid w:val="001079CB"/>
    <w:rsid w:val="00107C5A"/>
    <w:rsid w:val="00107C74"/>
    <w:rsid w:val="00107CA7"/>
    <w:rsid w:val="00107CD6"/>
    <w:rsid w:val="00107D23"/>
    <w:rsid w:val="00107D59"/>
    <w:rsid w:val="00107E93"/>
    <w:rsid w:val="00107FA5"/>
    <w:rsid w:val="00110018"/>
    <w:rsid w:val="00110081"/>
    <w:rsid w:val="001100EC"/>
    <w:rsid w:val="0011020F"/>
    <w:rsid w:val="001104D0"/>
    <w:rsid w:val="001104E5"/>
    <w:rsid w:val="00110575"/>
    <w:rsid w:val="001105A9"/>
    <w:rsid w:val="001105C2"/>
    <w:rsid w:val="001105D5"/>
    <w:rsid w:val="00110624"/>
    <w:rsid w:val="0011062A"/>
    <w:rsid w:val="0011062E"/>
    <w:rsid w:val="001106DC"/>
    <w:rsid w:val="00110744"/>
    <w:rsid w:val="00110911"/>
    <w:rsid w:val="001109A6"/>
    <w:rsid w:val="001109E3"/>
    <w:rsid w:val="00110A54"/>
    <w:rsid w:val="00110B1B"/>
    <w:rsid w:val="00110C77"/>
    <w:rsid w:val="00110C7D"/>
    <w:rsid w:val="00110D34"/>
    <w:rsid w:val="00110DFA"/>
    <w:rsid w:val="00110E46"/>
    <w:rsid w:val="00110E5A"/>
    <w:rsid w:val="001112BF"/>
    <w:rsid w:val="001112FC"/>
    <w:rsid w:val="0011152F"/>
    <w:rsid w:val="00111545"/>
    <w:rsid w:val="00111551"/>
    <w:rsid w:val="001115EA"/>
    <w:rsid w:val="00111692"/>
    <w:rsid w:val="001118D1"/>
    <w:rsid w:val="0011190F"/>
    <w:rsid w:val="0011195E"/>
    <w:rsid w:val="00111978"/>
    <w:rsid w:val="00111B39"/>
    <w:rsid w:val="00111BA3"/>
    <w:rsid w:val="00111C75"/>
    <w:rsid w:val="00111DDF"/>
    <w:rsid w:val="00112105"/>
    <w:rsid w:val="00112106"/>
    <w:rsid w:val="001121D8"/>
    <w:rsid w:val="001122FF"/>
    <w:rsid w:val="0011240C"/>
    <w:rsid w:val="00112464"/>
    <w:rsid w:val="00112719"/>
    <w:rsid w:val="0011271C"/>
    <w:rsid w:val="001127CF"/>
    <w:rsid w:val="0011282B"/>
    <w:rsid w:val="0011286B"/>
    <w:rsid w:val="00112A64"/>
    <w:rsid w:val="00112A71"/>
    <w:rsid w:val="00112AE0"/>
    <w:rsid w:val="00112AF6"/>
    <w:rsid w:val="00112BF1"/>
    <w:rsid w:val="00112C03"/>
    <w:rsid w:val="00112D74"/>
    <w:rsid w:val="00112D79"/>
    <w:rsid w:val="00112DF6"/>
    <w:rsid w:val="00112EB4"/>
    <w:rsid w:val="001131A8"/>
    <w:rsid w:val="00113297"/>
    <w:rsid w:val="00113442"/>
    <w:rsid w:val="00113460"/>
    <w:rsid w:val="001134E4"/>
    <w:rsid w:val="0011353F"/>
    <w:rsid w:val="0011357A"/>
    <w:rsid w:val="001135DE"/>
    <w:rsid w:val="00113625"/>
    <w:rsid w:val="001136B1"/>
    <w:rsid w:val="0011372A"/>
    <w:rsid w:val="0011377B"/>
    <w:rsid w:val="001137A0"/>
    <w:rsid w:val="001137EE"/>
    <w:rsid w:val="0011380A"/>
    <w:rsid w:val="0011398B"/>
    <w:rsid w:val="001139E3"/>
    <w:rsid w:val="00113B65"/>
    <w:rsid w:val="00113C11"/>
    <w:rsid w:val="00113CD2"/>
    <w:rsid w:val="00113D27"/>
    <w:rsid w:val="00113D47"/>
    <w:rsid w:val="00113E6F"/>
    <w:rsid w:val="00113EEC"/>
    <w:rsid w:val="00113F4D"/>
    <w:rsid w:val="00113F6F"/>
    <w:rsid w:val="00114013"/>
    <w:rsid w:val="00114078"/>
    <w:rsid w:val="00114196"/>
    <w:rsid w:val="00114370"/>
    <w:rsid w:val="001143DE"/>
    <w:rsid w:val="00114429"/>
    <w:rsid w:val="00114621"/>
    <w:rsid w:val="0011476B"/>
    <w:rsid w:val="0011481E"/>
    <w:rsid w:val="00114898"/>
    <w:rsid w:val="00114970"/>
    <w:rsid w:val="00114973"/>
    <w:rsid w:val="00114A75"/>
    <w:rsid w:val="00114A79"/>
    <w:rsid w:val="00114AFC"/>
    <w:rsid w:val="00114CA7"/>
    <w:rsid w:val="00114DA5"/>
    <w:rsid w:val="00114F1B"/>
    <w:rsid w:val="001150F6"/>
    <w:rsid w:val="00115102"/>
    <w:rsid w:val="0011527C"/>
    <w:rsid w:val="001154F4"/>
    <w:rsid w:val="001155F4"/>
    <w:rsid w:val="00115825"/>
    <w:rsid w:val="0011591E"/>
    <w:rsid w:val="00115AB0"/>
    <w:rsid w:val="00115D80"/>
    <w:rsid w:val="00115E6D"/>
    <w:rsid w:val="00115EA8"/>
    <w:rsid w:val="0011620A"/>
    <w:rsid w:val="0011643D"/>
    <w:rsid w:val="0011658E"/>
    <w:rsid w:val="00116634"/>
    <w:rsid w:val="00116756"/>
    <w:rsid w:val="0011682D"/>
    <w:rsid w:val="0011689E"/>
    <w:rsid w:val="001168EC"/>
    <w:rsid w:val="001169EB"/>
    <w:rsid w:val="001169FA"/>
    <w:rsid w:val="00116B6B"/>
    <w:rsid w:val="00116C5C"/>
    <w:rsid w:val="00116C78"/>
    <w:rsid w:val="00116D90"/>
    <w:rsid w:val="00116D92"/>
    <w:rsid w:val="00116DBC"/>
    <w:rsid w:val="00116E55"/>
    <w:rsid w:val="00116FEF"/>
    <w:rsid w:val="001170AB"/>
    <w:rsid w:val="00117117"/>
    <w:rsid w:val="00117126"/>
    <w:rsid w:val="0011716B"/>
    <w:rsid w:val="00117231"/>
    <w:rsid w:val="001172B4"/>
    <w:rsid w:val="0011733A"/>
    <w:rsid w:val="0011737A"/>
    <w:rsid w:val="001174EB"/>
    <w:rsid w:val="0011758C"/>
    <w:rsid w:val="0011764C"/>
    <w:rsid w:val="00117750"/>
    <w:rsid w:val="001177D8"/>
    <w:rsid w:val="001178F5"/>
    <w:rsid w:val="00117969"/>
    <w:rsid w:val="00117995"/>
    <w:rsid w:val="00117AD7"/>
    <w:rsid w:val="00117B03"/>
    <w:rsid w:val="00117DC9"/>
    <w:rsid w:val="00117E4D"/>
    <w:rsid w:val="00117EDA"/>
    <w:rsid w:val="00120040"/>
    <w:rsid w:val="00120091"/>
    <w:rsid w:val="00120336"/>
    <w:rsid w:val="0012035C"/>
    <w:rsid w:val="00120436"/>
    <w:rsid w:val="0012052A"/>
    <w:rsid w:val="0012066C"/>
    <w:rsid w:val="001206B4"/>
    <w:rsid w:val="00120C04"/>
    <w:rsid w:val="00120CA3"/>
    <w:rsid w:val="00120EE7"/>
    <w:rsid w:val="00120F1F"/>
    <w:rsid w:val="00120F2E"/>
    <w:rsid w:val="00120FDE"/>
    <w:rsid w:val="00121076"/>
    <w:rsid w:val="00121190"/>
    <w:rsid w:val="00121290"/>
    <w:rsid w:val="00121596"/>
    <w:rsid w:val="001215E2"/>
    <w:rsid w:val="0012172A"/>
    <w:rsid w:val="001217FF"/>
    <w:rsid w:val="001219FF"/>
    <w:rsid w:val="00121C13"/>
    <w:rsid w:val="00121CEC"/>
    <w:rsid w:val="00121D2E"/>
    <w:rsid w:val="00121DE9"/>
    <w:rsid w:val="00121E63"/>
    <w:rsid w:val="00121EEE"/>
    <w:rsid w:val="00121F27"/>
    <w:rsid w:val="00121F2B"/>
    <w:rsid w:val="0012204B"/>
    <w:rsid w:val="0012206B"/>
    <w:rsid w:val="00122105"/>
    <w:rsid w:val="0012210C"/>
    <w:rsid w:val="00122138"/>
    <w:rsid w:val="0012214C"/>
    <w:rsid w:val="0012218F"/>
    <w:rsid w:val="001221A5"/>
    <w:rsid w:val="00122238"/>
    <w:rsid w:val="001222E3"/>
    <w:rsid w:val="00122334"/>
    <w:rsid w:val="001223C3"/>
    <w:rsid w:val="0012247B"/>
    <w:rsid w:val="001224D8"/>
    <w:rsid w:val="00122547"/>
    <w:rsid w:val="00122551"/>
    <w:rsid w:val="00122557"/>
    <w:rsid w:val="0012257D"/>
    <w:rsid w:val="00122A2F"/>
    <w:rsid w:val="00122AA1"/>
    <w:rsid w:val="00122B58"/>
    <w:rsid w:val="00122BF8"/>
    <w:rsid w:val="00122C01"/>
    <w:rsid w:val="00122D48"/>
    <w:rsid w:val="00122D50"/>
    <w:rsid w:val="00122DCA"/>
    <w:rsid w:val="00122E39"/>
    <w:rsid w:val="00122E90"/>
    <w:rsid w:val="00122FF5"/>
    <w:rsid w:val="00123086"/>
    <w:rsid w:val="00123124"/>
    <w:rsid w:val="0012314F"/>
    <w:rsid w:val="00123183"/>
    <w:rsid w:val="0012330F"/>
    <w:rsid w:val="001233B9"/>
    <w:rsid w:val="0012343A"/>
    <w:rsid w:val="001236D0"/>
    <w:rsid w:val="001236EE"/>
    <w:rsid w:val="001238A6"/>
    <w:rsid w:val="0012396A"/>
    <w:rsid w:val="00123A16"/>
    <w:rsid w:val="00123E03"/>
    <w:rsid w:val="00123FA4"/>
    <w:rsid w:val="001240B5"/>
    <w:rsid w:val="001240FB"/>
    <w:rsid w:val="001241BA"/>
    <w:rsid w:val="001242E6"/>
    <w:rsid w:val="001243AC"/>
    <w:rsid w:val="00124421"/>
    <w:rsid w:val="00124422"/>
    <w:rsid w:val="001245F4"/>
    <w:rsid w:val="0012476D"/>
    <w:rsid w:val="00124971"/>
    <w:rsid w:val="001249F5"/>
    <w:rsid w:val="00124AE3"/>
    <w:rsid w:val="00124B89"/>
    <w:rsid w:val="00124BEA"/>
    <w:rsid w:val="00124D5C"/>
    <w:rsid w:val="00124DB0"/>
    <w:rsid w:val="00124DBF"/>
    <w:rsid w:val="00124ECD"/>
    <w:rsid w:val="0012507A"/>
    <w:rsid w:val="001250BB"/>
    <w:rsid w:val="001251D6"/>
    <w:rsid w:val="00125208"/>
    <w:rsid w:val="001253A8"/>
    <w:rsid w:val="001253BC"/>
    <w:rsid w:val="0012541D"/>
    <w:rsid w:val="0012562D"/>
    <w:rsid w:val="0012598A"/>
    <w:rsid w:val="001259BA"/>
    <w:rsid w:val="001259D5"/>
    <w:rsid w:val="001259FC"/>
    <w:rsid w:val="00125A02"/>
    <w:rsid w:val="00125A84"/>
    <w:rsid w:val="00125AC9"/>
    <w:rsid w:val="00125ACE"/>
    <w:rsid w:val="00125C32"/>
    <w:rsid w:val="00125F6D"/>
    <w:rsid w:val="001260DE"/>
    <w:rsid w:val="0012612D"/>
    <w:rsid w:val="001261AA"/>
    <w:rsid w:val="0012625E"/>
    <w:rsid w:val="001262D0"/>
    <w:rsid w:val="00126367"/>
    <w:rsid w:val="0012637F"/>
    <w:rsid w:val="001263F0"/>
    <w:rsid w:val="00126465"/>
    <w:rsid w:val="00126492"/>
    <w:rsid w:val="001264E3"/>
    <w:rsid w:val="0012665F"/>
    <w:rsid w:val="00126999"/>
    <w:rsid w:val="001269F5"/>
    <w:rsid w:val="00126A4B"/>
    <w:rsid w:val="00126AB4"/>
    <w:rsid w:val="00126BC2"/>
    <w:rsid w:val="00126BF4"/>
    <w:rsid w:val="00126CFC"/>
    <w:rsid w:val="00126DCD"/>
    <w:rsid w:val="00126E58"/>
    <w:rsid w:val="00126F14"/>
    <w:rsid w:val="00126F20"/>
    <w:rsid w:val="001270D3"/>
    <w:rsid w:val="001271CD"/>
    <w:rsid w:val="001272B8"/>
    <w:rsid w:val="001272C0"/>
    <w:rsid w:val="001273CF"/>
    <w:rsid w:val="00127474"/>
    <w:rsid w:val="00127594"/>
    <w:rsid w:val="001275AE"/>
    <w:rsid w:val="0012777C"/>
    <w:rsid w:val="001277B6"/>
    <w:rsid w:val="00127818"/>
    <w:rsid w:val="001278FF"/>
    <w:rsid w:val="001279C9"/>
    <w:rsid w:val="00127A03"/>
    <w:rsid w:val="00127A29"/>
    <w:rsid w:val="00127BB6"/>
    <w:rsid w:val="00127C84"/>
    <w:rsid w:val="00127DEE"/>
    <w:rsid w:val="00127ECA"/>
    <w:rsid w:val="00130220"/>
    <w:rsid w:val="00130226"/>
    <w:rsid w:val="0013038D"/>
    <w:rsid w:val="0013039B"/>
    <w:rsid w:val="00130515"/>
    <w:rsid w:val="0013063E"/>
    <w:rsid w:val="00130769"/>
    <w:rsid w:val="0013079A"/>
    <w:rsid w:val="0013079B"/>
    <w:rsid w:val="0013094F"/>
    <w:rsid w:val="001309D3"/>
    <w:rsid w:val="00130A08"/>
    <w:rsid w:val="00130AC9"/>
    <w:rsid w:val="00130B48"/>
    <w:rsid w:val="00130B54"/>
    <w:rsid w:val="00130BA2"/>
    <w:rsid w:val="00130BEE"/>
    <w:rsid w:val="00130BF1"/>
    <w:rsid w:val="00130FFB"/>
    <w:rsid w:val="0013110A"/>
    <w:rsid w:val="001313A7"/>
    <w:rsid w:val="001314EC"/>
    <w:rsid w:val="00131509"/>
    <w:rsid w:val="0013159D"/>
    <w:rsid w:val="001316F7"/>
    <w:rsid w:val="00131701"/>
    <w:rsid w:val="001317A4"/>
    <w:rsid w:val="00131A76"/>
    <w:rsid w:val="00131BB3"/>
    <w:rsid w:val="00131BF1"/>
    <w:rsid w:val="00131D08"/>
    <w:rsid w:val="00131E6D"/>
    <w:rsid w:val="00131EF9"/>
    <w:rsid w:val="00132053"/>
    <w:rsid w:val="0013209D"/>
    <w:rsid w:val="00132110"/>
    <w:rsid w:val="00132228"/>
    <w:rsid w:val="0013234A"/>
    <w:rsid w:val="0013242E"/>
    <w:rsid w:val="0013245D"/>
    <w:rsid w:val="00132479"/>
    <w:rsid w:val="001325B0"/>
    <w:rsid w:val="001325F0"/>
    <w:rsid w:val="00132661"/>
    <w:rsid w:val="00132669"/>
    <w:rsid w:val="0013274B"/>
    <w:rsid w:val="0013275E"/>
    <w:rsid w:val="001327AD"/>
    <w:rsid w:val="001327BF"/>
    <w:rsid w:val="001327EA"/>
    <w:rsid w:val="00132872"/>
    <w:rsid w:val="0013293C"/>
    <w:rsid w:val="00132A3C"/>
    <w:rsid w:val="00132A99"/>
    <w:rsid w:val="00132C34"/>
    <w:rsid w:val="00132CA5"/>
    <w:rsid w:val="00132CE9"/>
    <w:rsid w:val="00132E21"/>
    <w:rsid w:val="00132F8E"/>
    <w:rsid w:val="001331E8"/>
    <w:rsid w:val="00133212"/>
    <w:rsid w:val="0013327D"/>
    <w:rsid w:val="001332CD"/>
    <w:rsid w:val="00133332"/>
    <w:rsid w:val="0013344B"/>
    <w:rsid w:val="001334F6"/>
    <w:rsid w:val="001335DD"/>
    <w:rsid w:val="00133627"/>
    <w:rsid w:val="00133654"/>
    <w:rsid w:val="001336BC"/>
    <w:rsid w:val="00133AA6"/>
    <w:rsid w:val="00133B34"/>
    <w:rsid w:val="00133B5C"/>
    <w:rsid w:val="00133BFA"/>
    <w:rsid w:val="00133C16"/>
    <w:rsid w:val="00133C32"/>
    <w:rsid w:val="00133DDC"/>
    <w:rsid w:val="00133E70"/>
    <w:rsid w:val="00133FA5"/>
    <w:rsid w:val="00133FB5"/>
    <w:rsid w:val="0013403A"/>
    <w:rsid w:val="0013416A"/>
    <w:rsid w:val="001341BE"/>
    <w:rsid w:val="001343A0"/>
    <w:rsid w:val="001343C1"/>
    <w:rsid w:val="001343D9"/>
    <w:rsid w:val="001343EC"/>
    <w:rsid w:val="00134780"/>
    <w:rsid w:val="0013479A"/>
    <w:rsid w:val="0013482A"/>
    <w:rsid w:val="0013487F"/>
    <w:rsid w:val="001348BF"/>
    <w:rsid w:val="00134AC5"/>
    <w:rsid w:val="00134AF2"/>
    <w:rsid w:val="00134AF8"/>
    <w:rsid w:val="00134B28"/>
    <w:rsid w:val="00134C34"/>
    <w:rsid w:val="00134E3B"/>
    <w:rsid w:val="00134EF7"/>
    <w:rsid w:val="00134F07"/>
    <w:rsid w:val="00134F11"/>
    <w:rsid w:val="00134F51"/>
    <w:rsid w:val="00134FAA"/>
    <w:rsid w:val="0013504E"/>
    <w:rsid w:val="00135076"/>
    <w:rsid w:val="00135172"/>
    <w:rsid w:val="0013523C"/>
    <w:rsid w:val="00135405"/>
    <w:rsid w:val="00135537"/>
    <w:rsid w:val="00135601"/>
    <w:rsid w:val="00135677"/>
    <w:rsid w:val="0013569C"/>
    <w:rsid w:val="0013574D"/>
    <w:rsid w:val="001357D7"/>
    <w:rsid w:val="001357EE"/>
    <w:rsid w:val="0013580E"/>
    <w:rsid w:val="00135839"/>
    <w:rsid w:val="0013585E"/>
    <w:rsid w:val="00135A55"/>
    <w:rsid w:val="00135BF0"/>
    <w:rsid w:val="00135C62"/>
    <w:rsid w:val="00135E0B"/>
    <w:rsid w:val="00135E21"/>
    <w:rsid w:val="00135E6F"/>
    <w:rsid w:val="00135F26"/>
    <w:rsid w:val="00135FCA"/>
    <w:rsid w:val="00135FCC"/>
    <w:rsid w:val="00135FE7"/>
    <w:rsid w:val="00136009"/>
    <w:rsid w:val="0013601F"/>
    <w:rsid w:val="0013606D"/>
    <w:rsid w:val="0013610E"/>
    <w:rsid w:val="001361D4"/>
    <w:rsid w:val="001365E2"/>
    <w:rsid w:val="00136609"/>
    <w:rsid w:val="00136643"/>
    <w:rsid w:val="00136695"/>
    <w:rsid w:val="00136725"/>
    <w:rsid w:val="001367E9"/>
    <w:rsid w:val="00136811"/>
    <w:rsid w:val="00136829"/>
    <w:rsid w:val="001368C8"/>
    <w:rsid w:val="001369BB"/>
    <w:rsid w:val="00136B0E"/>
    <w:rsid w:val="00136B5E"/>
    <w:rsid w:val="00136D1E"/>
    <w:rsid w:val="00136D8D"/>
    <w:rsid w:val="00136DC1"/>
    <w:rsid w:val="00136EE8"/>
    <w:rsid w:val="00137119"/>
    <w:rsid w:val="0013755B"/>
    <w:rsid w:val="00137567"/>
    <w:rsid w:val="001375BE"/>
    <w:rsid w:val="00137654"/>
    <w:rsid w:val="0013791E"/>
    <w:rsid w:val="00137A0E"/>
    <w:rsid w:val="00137B8A"/>
    <w:rsid w:val="00137C10"/>
    <w:rsid w:val="00137D8B"/>
    <w:rsid w:val="00137E79"/>
    <w:rsid w:val="0013C6B1"/>
    <w:rsid w:val="00140057"/>
    <w:rsid w:val="001400A3"/>
    <w:rsid w:val="00140186"/>
    <w:rsid w:val="0014032D"/>
    <w:rsid w:val="00140428"/>
    <w:rsid w:val="001405AD"/>
    <w:rsid w:val="0014064E"/>
    <w:rsid w:val="001406CB"/>
    <w:rsid w:val="0014073E"/>
    <w:rsid w:val="00140838"/>
    <w:rsid w:val="00140A5F"/>
    <w:rsid w:val="00140A6F"/>
    <w:rsid w:val="00140B3D"/>
    <w:rsid w:val="00140C71"/>
    <w:rsid w:val="00140D61"/>
    <w:rsid w:val="00140DAE"/>
    <w:rsid w:val="00140F48"/>
    <w:rsid w:val="00140FDC"/>
    <w:rsid w:val="001411EC"/>
    <w:rsid w:val="00141212"/>
    <w:rsid w:val="001412B5"/>
    <w:rsid w:val="00141348"/>
    <w:rsid w:val="001413BB"/>
    <w:rsid w:val="001415C4"/>
    <w:rsid w:val="00141748"/>
    <w:rsid w:val="0014180A"/>
    <w:rsid w:val="00141813"/>
    <w:rsid w:val="00141834"/>
    <w:rsid w:val="001418C9"/>
    <w:rsid w:val="0014195E"/>
    <w:rsid w:val="0014196A"/>
    <w:rsid w:val="00141986"/>
    <w:rsid w:val="001419C1"/>
    <w:rsid w:val="00141A4A"/>
    <w:rsid w:val="00141A54"/>
    <w:rsid w:val="00141C90"/>
    <w:rsid w:val="00141D5E"/>
    <w:rsid w:val="0014203B"/>
    <w:rsid w:val="001423FD"/>
    <w:rsid w:val="00142454"/>
    <w:rsid w:val="001424EF"/>
    <w:rsid w:val="00142769"/>
    <w:rsid w:val="00142816"/>
    <w:rsid w:val="00142868"/>
    <w:rsid w:val="00142C9A"/>
    <w:rsid w:val="00142CA7"/>
    <w:rsid w:val="00142D9A"/>
    <w:rsid w:val="00142D9F"/>
    <w:rsid w:val="00142DF3"/>
    <w:rsid w:val="00142E19"/>
    <w:rsid w:val="00142E4B"/>
    <w:rsid w:val="00142E81"/>
    <w:rsid w:val="00142E94"/>
    <w:rsid w:val="00142FD0"/>
    <w:rsid w:val="0014304A"/>
    <w:rsid w:val="001430B1"/>
    <w:rsid w:val="0014310C"/>
    <w:rsid w:val="0014328D"/>
    <w:rsid w:val="001432BB"/>
    <w:rsid w:val="0014363B"/>
    <w:rsid w:val="00143801"/>
    <w:rsid w:val="001439EF"/>
    <w:rsid w:val="00143B23"/>
    <w:rsid w:val="00143C93"/>
    <w:rsid w:val="00143E5B"/>
    <w:rsid w:val="00143EB9"/>
    <w:rsid w:val="00143FD9"/>
    <w:rsid w:val="0014406B"/>
    <w:rsid w:val="00144207"/>
    <w:rsid w:val="00144280"/>
    <w:rsid w:val="001442C1"/>
    <w:rsid w:val="001442CA"/>
    <w:rsid w:val="00144393"/>
    <w:rsid w:val="00144497"/>
    <w:rsid w:val="001444C1"/>
    <w:rsid w:val="00144756"/>
    <w:rsid w:val="001447A3"/>
    <w:rsid w:val="00144802"/>
    <w:rsid w:val="001448D0"/>
    <w:rsid w:val="00144A29"/>
    <w:rsid w:val="00144C7B"/>
    <w:rsid w:val="00144EFD"/>
    <w:rsid w:val="00144F70"/>
    <w:rsid w:val="00144FE4"/>
    <w:rsid w:val="00145032"/>
    <w:rsid w:val="001454C4"/>
    <w:rsid w:val="0014599B"/>
    <w:rsid w:val="00145A76"/>
    <w:rsid w:val="00145C7B"/>
    <w:rsid w:val="00145C8B"/>
    <w:rsid w:val="00145D0A"/>
    <w:rsid w:val="00146199"/>
    <w:rsid w:val="001462D5"/>
    <w:rsid w:val="001463F7"/>
    <w:rsid w:val="001464C7"/>
    <w:rsid w:val="0014650B"/>
    <w:rsid w:val="00146536"/>
    <w:rsid w:val="00146553"/>
    <w:rsid w:val="001466C7"/>
    <w:rsid w:val="00146726"/>
    <w:rsid w:val="001467EE"/>
    <w:rsid w:val="00146BA6"/>
    <w:rsid w:val="00146BD8"/>
    <w:rsid w:val="00146D2B"/>
    <w:rsid w:val="00146DA9"/>
    <w:rsid w:val="00146E32"/>
    <w:rsid w:val="00146FF3"/>
    <w:rsid w:val="0014706F"/>
    <w:rsid w:val="0014707C"/>
    <w:rsid w:val="0014709E"/>
    <w:rsid w:val="0014722E"/>
    <w:rsid w:val="00147264"/>
    <w:rsid w:val="001473BD"/>
    <w:rsid w:val="0014775B"/>
    <w:rsid w:val="00147833"/>
    <w:rsid w:val="00147845"/>
    <w:rsid w:val="001478A1"/>
    <w:rsid w:val="00147911"/>
    <w:rsid w:val="00147A37"/>
    <w:rsid w:val="00147A91"/>
    <w:rsid w:val="00147C71"/>
    <w:rsid w:val="00147D1E"/>
    <w:rsid w:val="00147D46"/>
    <w:rsid w:val="00147D79"/>
    <w:rsid w:val="00147E46"/>
    <w:rsid w:val="00147E67"/>
    <w:rsid w:val="00147ED4"/>
    <w:rsid w:val="00147F22"/>
    <w:rsid w:val="00147FA3"/>
    <w:rsid w:val="00147FED"/>
    <w:rsid w:val="00147FFE"/>
    <w:rsid w:val="0015032F"/>
    <w:rsid w:val="00150635"/>
    <w:rsid w:val="0015086A"/>
    <w:rsid w:val="001508DF"/>
    <w:rsid w:val="001508FA"/>
    <w:rsid w:val="001509A8"/>
    <w:rsid w:val="001509C0"/>
    <w:rsid w:val="00150AE6"/>
    <w:rsid w:val="00150B4C"/>
    <w:rsid w:val="00150CF0"/>
    <w:rsid w:val="00150DF6"/>
    <w:rsid w:val="00150E23"/>
    <w:rsid w:val="00150E40"/>
    <w:rsid w:val="00150E61"/>
    <w:rsid w:val="00150F0D"/>
    <w:rsid w:val="00150FE5"/>
    <w:rsid w:val="00151037"/>
    <w:rsid w:val="00151350"/>
    <w:rsid w:val="0015140F"/>
    <w:rsid w:val="00151471"/>
    <w:rsid w:val="00151474"/>
    <w:rsid w:val="0015147E"/>
    <w:rsid w:val="00151506"/>
    <w:rsid w:val="0015156C"/>
    <w:rsid w:val="00151725"/>
    <w:rsid w:val="001517A4"/>
    <w:rsid w:val="00151834"/>
    <w:rsid w:val="00151859"/>
    <w:rsid w:val="0015195D"/>
    <w:rsid w:val="00151A40"/>
    <w:rsid w:val="00151A4C"/>
    <w:rsid w:val="00151B1D"/>
    <w:rsid w:val="00151B94"/>
    <w:rsid w:val="00151C08"/>
    <w:rsid w:val="00151D0A"/>
    <w:rsid w:val="00151E16"/>
    <w:rsid w:val="00151E9D"/>
    <w:rsid w:val="00151EB8"/>
    <w:rsid w:val="00151EF0"/>
    <w:rsid w:val="00151F81"/>
    <w:rsid w:val="00151FF3"/>
    <w:rsid w:val="001520EA"/>
    <w:rsid w:val="0015215F"/>
    <w:rsid w:val="001523A9"/>
    <w:rsid w:val="00152492"/>
    <w:rsid w:val="0015265A"/>
    <w:rsid w:val="0015271C"/>
    <w:rsid w:val="001529CB"/>
    <w:rsid w:val="00152A03"/>
    <w:rsid w:val="00152AC4"/>
    <w:rsid w:val="00152C48"/>
    <w:rsid w:val="00152C6E"/>
    <w:rsid w:val="00152EF7"/>
    <w:rsid w:val="00153098"/>
    <w:rsid w:val="001531E6"/>
    <w:rsid w:val="00153338"/>
    <w:rsid w:val="00153383"/>
    <w:rsid w:val="001533F3"/>
    <w:rsid w:val="00153881"/>
    <w:rsid w:val="00153958"/>
    <w:rsid w:val="00153A6F"/>
    <w:rsid w:val="00153B5A"/>
    <w:rsid w:val="00153C64"/>
    <w:rsid w:val="00153DF2"/>
    <w:rsid w:val="00153ED2"/>
    <w:rsid w:val="00154048"/>
    <w:rsid w:val="00154067"/>
    <w:rsid w:val="001541AA"/>
    <w:rsid w:val="001541F9"/>
    <w:rsid w:val="0015436F"/>
    <w:rsid w:val="001544AF"/>
    <w:rsid w:val="0015454A"/>
    <w:rsid w:val="001545BC"/>
    <w:rsid w:val="0015464E"/>
    <w:rsid w:val="001546F6"/>
    <w:rsid w:val="00154795"/>
    <w:rsid w:val="0015493F"/>
    <w:rsid w:val="00154AE7"/>
    <w:rsid w:val="00154AED"/>
    <w:rsid w:val="00154AFA"/>
    <w:rsid w:val="00154CC3"/>
    <w:rsid w:val="00154CD4"/>
    <w:rsid w:val="00154CF1"/>
    <w:rsid w:val="00154D21"/>
    <w:rsid w:val="00154D61"/>
    <w:rsid w:val="00154DF4"/>
    <w:rsid w:val="00154E36"/>
    <w:rsid w:val="00154E6E"/>
    <w:rsid w:val="00154FE1"/>
    <w:rsid w:val="0015508E"/>
    <w:rsid w:val="001550E8"/>
    <w:rsid w:val="00155409"/>
    <w:rsid w:val="00155498"/>
    <w:rsid w:val="0015550C"/>
    <w:rsid w:val="00155607"/>
    <w:rsid w:val="00155678"/>
    <w:rsid w:val="00155823"/>
    <w:rsid w:val="00155831"/>
    <w:rsid w:val="001558EC"/>
    <w:rsid w:val="0015596A"/>
    <w:rsid w:val="00155976"/>
    <w:rsid w:val="00155B4E"/>
    <w:rsid w:val="00155BCB"/>
    <w:rsid w:val="00155DCB"/>
    <w:rsid w:val="00155ECE"/>
    <w:rsid w:val="00155F2E"/>
    <w:rsid w:val="00155F9C"/>
    <w:rsid w:val="00156130"/>
    <w:rsid w:val="001561D3"/>
    <w:rsid w:val="00156291"/>
    <w:rsid w:val="00156371"/>
    <w:rsid w:val="00156481"/>
    <w:rsid w:val="00156602"/>
    <w:rsid w:val="00156644"/>
    <w:rsid w:val="0015665E"/>
    <w:rsid w:val="00156764"/>
    <w:rsid w:val="00156995"/>
    <w:rsid w:val="001569E9"/>
    <w:rsid w:val="00156ACB"/>
    <w:rsid w:val="00156B0E"/>
    <w:rsid w:val="00156B9A"/>
    <w:rsid w:val="00156C44"/>
    <w:rsid w:val="00156C6C"/>
    <w:rsid w:val="00156DD9"/>
    <w:rsid w:val="00156E2E"/>
    <w:rsid w:val="00156EB6"/>
    <w:rsid w:val="00156FD3"/>
    <w:rsid w:val="00157007"/>
    <w:rsid w:val="001570AE"/>
    <w:rsid w:val="00157184"/>
    <w:rsid w:val="001571CB"/>
    <w:rsid w:val="001571ED"/>
    <w:rsid w:val="0015741A"/>
    <w:rsid w:val="00157535"/>
    <w:rsid w:val="00157580"/>
    <w:rsid w:val="001575C3"/>
    <w:rsid w:val="00157674"/>
    <w:rsid w:val="0015787C"/>
    <w:rsid w:val="0015793B"/>
    <w:rsid w:val="001579BF"/>
    <w:rsid w:val="00157AE0"/>
    <w:rsid w:val="00157B34"/>
    <w:rsid w:val="00157BFA"/>
    <w:rsid w:val="00157C7B"/>
    <w:rsid w:val="00157DDA"/>
    <w:rsid w:val="00157EDE"/>
    <w:rsid w:val="00160284"/>
    <w:rsid w:val="00160291"/>
    <w:rsid w:val="001602AD"/>
    <w:rsid w:val="00160380"/>
    <w:rsid w:val="0016041B"/>
    <w:rsid w:val="0016063B"/>
    <w:rsid w:val="0016063E"/>
    <w:rsid w:val="00160666"/>
    <w:rsid w:val="0016066B"/>
    <w:rsid w:val="00160683"/>
    <w:rsid w:val="001607C1"/>
    <w:rsid w:val="00160835"/>
    <w:rsid w:val="001609F4"/>
    <w:rsid w:val="00160A1B"/>
    <w:rsid w:val="00160ABF"/>
    <w:rsid w:val="00160C58"/>
    <w:rsid w:val="00160DC4"/>
    <w:rsid w:val="00160DD0"/>
    <w:rsid w:val="00160E0F"/>
    <w:rsid w:val="00160E4B"/>
    <w:rsid w:val="001610A4"/>
    <w:rsid w:val="001610E4"/>
    <w:rsid w:val="0016113B"/>
    <w:rsid w:val="0016114A"/>
    <w:rsid w:val="001613FF"/>
    <w:rsid w:val="001614E3"/>
    <w:rsid w:val="00161534"/>
    <w:rsid w:val="00161607"/>
    <w:rsid w:val="00161664"/>
    <w:rsid w:val="00161685"/>
    <w:rsid w:val="00161696"/>
    <w:rsid w:val="001617A8"/>
    <w:rsid w:val="001617B6"/>
    <w:rsid w:val="00161808"/>
    <w:rsid w:val="00161825"/>
    <w:rsid w:val="00161A9A"/>
    <w:rsid w:val="00161AA7"/>
    <w:rsid w:val="00161CE6"/>
    <w:rsid w:val="00161DFB"/>
    <w:rsid w:val="00161E4D"/>
    <w:rsid w:val="00162088"/>
    <w:rsid w:val="00162147"/>
    <w:rsid w:val="00162223"/>
    <w:rsid w:val="0016228C"/>
    <w:rsid w:val="001623B4"/>
    <w:rsid w:val="00162424"/>
    <w:rsid w:val="00162446"/>
    <w:rsid w:val="001624C6"/>
    <w:rsid w:val="00162715"/>
    <w:rsid w:val="0016271F"/>
    <w:rsid w:val="001628CA"/>
    <w:rsid w:val="00162A2C"/>
    <w:rsid w:val="00162A33"/>
    <w:rsid w:val="00162AEE"/>
    <w:rsid w:val="00162C1B"/>
    <w:rsid w:val="00162C5F"/>
    <w:rsid w:val="00162C96"/>
    <w:rsid w:val="00162DD1"/>
    <w:rsid w:val="00162DED"/>
    <w:rsid w:val="00162F4C"/>
    <w:rsid w:val="00162FE9"/>
    <w:rsid w:val="00163160"/>
    <w:rsid w:val="001631E2"/>
    <w:rsid w:val="001632F9"/>
    <w:rsid w:val="001633C9"/>
    <w:rsid w:val="0016344C"/>
    <w:rsid w:val="0016351D"/>
    <w:rsid w:val="001635A2"/>
    <w:rsid w:val="00163624"/>
    <w:rsid w:val="00163688"/>
    <w:rsid w:val="001636D6"/>
    <w:rsid w:val="001637D4"/>
    <w:rsid w:val="0016381E"/>
    <w:rsid w:val="0016392A"/>
    <w:rsid w:val="00163AC4"/>
    <w:rsid w:val="00163B1F"/>
    <w:rsid w:val="00163BB5"/>
    <w:rsid w:val="00163BEE"/>
    <w:rsid w:val="00163CB5"/>
    <w:rsid w:val="00163E21"/>
    <w:rsid w:val="00163EE5"/>
    <w:rsid w:val="00163F1A"/>
    <w:rsid w:val="00164038"/>
    <w:rsid w:val="001640A5"/>
    <w:rsid w:val="001641C1"/>
    <w:rsid w:val="001641E7"/>
    <w:rsid w:val="001642C6"/>
    <w:rsid w:val="00164515"/>
    <w:rsid w:val="0016453B"/>
    <w:rsid w:val="00164596"/>
    <w:rsid w:val="0016488F"/>
    <w:rsid w:val="00164925"/>
    <w:rsid w:val="001649C4"/>
    <w:rsid w:val="00164C49"/>
    <w:rsid w:val="00164C6A"/>
    <w:rsid w:val="00164E68"/>
    <w:rsid w:val="00164EBA"/>
    <w:rsid w:val="00164FA9"/>
    <w:rsid w:val="0016526C"/>
    <w:rsid w:val="0016527E"/>
    <w:rsid w:val="00165302"/>
    <w:rsid w:val="001653A6"/>
    <w:rsid w:val="001655DE"/>
    <w:rsid w:val="001656D5"/>
    <w:rsid w:val="001656E7"/>
    <w:rsid w:val="00165753"/>
    <w:rsid w:val="001657AE"/>
    <w:rsid w:val="00165846"/>
    <w:rsid w:val="001659DA"/>
    <w:rsid w:val="00165A4A"/>
    <w:rsid w:val="00165ACB"/>
    <w:rsid w:val="00165B9A"/>
    <w:rsid w:val="00165E99"/>
    <w:rsid w:val="00165F3B"/>
    <w:rsid w:val="001660AF"/>
    <w:rsid w:val="001663C5"/>
    <w:rsid w:val="001664B4"/>
    <w:rsid w:val="001664FA"/>
    <w:rsid w:val="001666B0"/>
    <w:rsid w:val="00166778"/>
    <w:rsid w:val="001667F5"/>
    <w:rsid w:val="00166809"/>
    <w:rsid w:val="001668A2"/>
    <w:rsid w:val="001668E6"/>
    <w:rsid w:val="00166A73"/>
    <w:rsid w:val="00166AA7"/>
    <w:rsid w:val="00166B9B"/>
    <w:rsid w:val="00166BC9"/>
    <w:rsid w:val="00166F5B"/>
    <w:rsid w:val="00167160"/>
    <w:rsid w:val="001672A1"/>
    <w:rsid w:val="00167404"/>
    <w:rsid w:val="0016743D"/>
    <w:rsid w:val="00167445"/>
    <w:rsid w:val="0016750F"/>
    <w:rsid w:val="00167583"/>
    <w:rsid w:val="001675B2"/>
    <w:rsid w:val="001675BC"/>
    <w:rsid w:val="00167666"/>
    <w:rsid w:val="00167AE3"/>
    <w:rsid w:val="00167AEF"/>
    <w:rsid w:val="00167B5A"/>
    <w:rsid w:val="00167F91"/>
    <w:rsid w:val="00167FCB"/>
    <w:rsid w:val="0017007C"/>
    <w:rsid w:val="001700B8"/>
    <w:rsid w:val="001700F5"/>
    <w:rsid w:val="001702E3"/>
    <w:rsid w:val="0017037A"/>
    <w:rsid w:val="00170433"/>
    <w:rsid w:val="001706F8"/>
    <w:rsid w:val="001707CB"/>
    <w:rsid w:val="00170892"/>
    <w:rsid w:val="001709A7"/>
    <w:rsid w:val="00170A1A"/>
    <w:rsid w:val="00170A3E"/>
    <w:rsid w:val="00170AAA"/>
    <w:rsid w:val="00170C4C"/>
    <w:rsid w:val="00170EFD"/>
    <w:rsid w:val="00170F07"/>
    <w:rsid w:val="00170F24"/>
    <w:rsid w:val="00170F66"/>
    <w:rsid w:val="00170FDF"/>
    <w:rsid w:val="00170FE2"/>
    <w:rsid w:val="00170FE6"/>
    <w:rsid w:val="00171034"/>
    <w:rsid w:val="0017113C"/>
    <w:rsid w:val="00171167"/>
    <w:rsid w:val="00171296"/>
    <w:rsid w:val="00171457"/>
    <w:rsid w:val="0017156E"/>
    <w:rsid w:val="001717F2"/>
    <w:rsid w:val="0017192D"/>
    <w:rsid w:val="00171999"/>
    <w:rsid w:val="00171A3C"/>
    <w:rsid w:val="00171AC9"/>
    <w:rsid w:val="00171B02"/>
    <w:rsid w:val="00171B7C"/>
    <w:rsid w:val="00171CB3"/>
    <w:rsid w:val="00171D41"/>
    <w:rsid w:val="00171E06"/>
    <w:rsid w:val="00171E91"/>
    <w:rsid w:val="00171EB7"/>
    <w:rsid w:val="00171EC3"/>
    <w:rsid w:val="00171F8D"/>
    <w:rsid w:val="00171FEA"/>
    <w:rsid w:val="00172076"/>
    <w:rsid w:val="001720B8"/>
    <w:rsid w:val="00172178"/>
    <w:rsid w:val="00172179"/>
    <w:rsid w:val="001721F1"/>
    <w:rsid w:val="00172358"/>
    <w:rsid w:val="0017243B"/>
    <w:rsid w:val="00172477"/>
    <w:rsid w:val="001725B7"/>
    <w:rsid w:val="001725F4"/>
    <w:rsid w:val="00172608"/>
    <w:rsid w:val="00172657"/>
    <w:rsid w:val="0017280F"/>
    <w:rsid w:val="0017283A"/>
    <w:rsid w:val="00172890"/>
    <w:rsid w:val="001728F2"/>
    <w:rsid w:val="001728F4"/>
    <w:rsid w:val="00172A99"/>
    <w:rsid w:val="00172C6B"/>
    <w:rsid w:val="00172DE1"/>
    <w:rsid w:val="00172F73"/>
    <w:rsid w:val="0017309B"/>
    <w:rsid w:val="00173153"/>
    <w:rsid w:val="00173196"/>
    <w:rsid w:val="0017319D"/>
    <w:rsid w:val="001731B8"/>
    <w:rsid w:val="001732D4"/>
    <w:rsid w:val="00173495"/>
    <w:rsid w:val="001734AA"/>
    <w:rsid w:val="001734CE"/>
    <w:rsid w:val="00173506"/>
    <w:rsid w:val="0017362F"/>
    <w:rsid w:val="00173735"/>
    <w:rsid w:val="00173755"/>
    <w:rsid w:val="0017399C"/>
    <w:rsid w:val="001739A6"/>
    <w:rsid w:val="001739FE"/>
    <w:rsid w:val="00173A41"/>
    <w:rsid w:val="00173BE5"/>
    <w:rsid w:val="00173F06"/>
    <w:rsid w:val="00174074"/>
    <w:rsid w:val="0017415C"/>
    <w:rsid w:val="001741F5"/>
    <w:rsid w:val="001742A8"/>
    <w:rsid w:val="001743A5"/>
    <w:rsid w:val="001743BB"/>
    <w:rsid w:val="00174673"/>
    <w:rsid w:val="0017467E"/>
    <w:rsid w:val="00174798"/>
    <w:rsid w:val="001749B5"/>
    <w:rsid w:val="00174AD3"/>
    <w:rsid w:val="00174B4E"/>
    <w:rsid w:val="00174BD3"/>
    <w:rsid w:val="00174C4D"/>
    <w:rsid w:val="00174C52"/>
    <w:rsid w:val="00174CEF"/>
    <w:rsid w:val="00174E2A"/>
    <w:rsid w:val="00174FD8"/>
    <w:rsid w:val="00175209"/>
    <w:rsid w:val="001752C4"/>
    <w:rsid w:val="001752E1"/>
    <w:rsid w:val="00175302"/>
    <w:rsid w:val="001754F2"/>
    <w:rsid w:val="0017558F"/>
    <w:rsid w:val="00175628"/>
    <w:rsid w:val="001756BF"/>
    <w:rsid w:val="001756E8"/>
    <w:rsid w:val="00175A7B"/>
    <w:rsid w:val="00175AEE"/>
    <w:rsid w:val="00175CCB"/>
    <w:rsid w:val="00175CCF"/>
    <w:rsid w:val="00175DA8"/>
    <w:rsid w:val="00175DAF"/>
    <w:rsid w:val="00175DD5"/>
    <w:rsid w:val="00175E35"/>
    <w:rsid w:val="00176025"/>
    <w:rsid w:val="001762F2"/>
    <w:rsid w:val="00176301"/>
    <w:rsid w:val="00176338"/>
    <w:rsid w:val="00176467"/>
    <w:rsid w:val="001764B3"/>
    <w:rsid w:val="001765D9"/>
    <w:rsid w:val="00176678"/>
    <w:rsid w:val="00176977"/>
    <w:rsid w:val="00176986"/>
    <w:rsid w:val="001769A5"/>
    <w:rsid w:val="00176BCC"/>
    <w:rsid w:val="00176BEB"/>
    <w:rsid w:val="00176E66"/>
    <w:rsid w:val="00176F47"/>
    <w:rsid w:val="00176F96"/>
    <w:rsid w:val="00176FEB"/>
    <w:rsid w:val="001770AC"/>
    <w:rsid w:val="00177245"/>
    <w:rsid w:val="001772AC"/>
    <w:rsid w:val="001772CD"/>
    <w:rsid w:val="0017738A"/>
    <w:rsid w:val="001773A7"/>
    <w:rsid w:val="001775F7"/>
    <w:rsid w:val="001776E1"/>
    <w:rsid w:val="001776EC"/>
    <w:rsid w:val="0017780C"/>
    <w:rsid w:val="0017782E"/>
    <w:rsid w:val="00177B07"/>
    <w:rsid w:val="00177B68"/>
    <w:rsid w:val="00177B77"/>
    <w:rsid w:val="00177B78"/>
    <w:rsid w:val="00177D2C"/>
    <w:rsid w:val="00177E34"/>
    <w:rsid w:val="00177EE5"/>
    <w:rsid w:val="00177FBC"/>
    <w:rsid w:val="0018009A"/>
    <w:rsid w:val="0018015A"/>
    <w:rsid w:val="0018017E"/>
    <w:rsid w:val="001801E4"/>
    <w:rsid w:val="00180245"/>
    <w:rsid w:val="00180263"/>
    <w:rsid w:val="001803BD"/>
    <w:rsid w:val="0018040A"/>
    <w:rsid w:val="001805AA"/>
    <w:rsid w:val="00180673"/>
    <w:rsid w:val="00180990"/>
    <w:rsid w:val="00180C8B"/>
    <w:rsid w:val="00180C91"/>
    <w:rsid w:val="00180CA3"/>
    <w:rsid w:val="00180D9B"/>
    <w:rsid w:val="00180E0B"/>
    <w:rsid w:val="00180FFC"/>
    <w:rsid w:val="001810BC"/>
    <w:rsid w:val="001810E9"/>
    <w:rsid w:val="0018112E"/>
    <w:rsid w:val="001811C1"/>
    <w:rsid w:val="00181436"/>
    <w:rsid w:val="0018147F"/>
    <w:rsid w:val="0018150C"/>
    <w:rsid w:val="001815F3"/>
    <w:rsid w:val="001816E3"/>
    <w:rsid w:val="00181701"/>
    <w:rsid w:val="0018173F"/>
    <w:rsid w:val="001817F0"/>
    <w:rsid w:val="001817F3"/>
    <w:rsid w:val="001818E5"/>
    <w:rsid w:val="00181A72"/>
    <w:rsid w:val="00181A76"/>
    <w:rsid w:val="00181ABB"/>
    <w:rsid w:val="00181D1D"/>
    <w:rsid w:val="00181D3A"/>
    <w:rsid w:val="00181DCA"/>
    <w:rsid w:val="00181F41"/>
    <w:rsid w:val="00181FA7"/>
    <w:rsid w:val="00181FB0"/>
    <w:rsid w:val="00181FB5"/>
    <w:rsid w:val="00181FBC"/>
    <w:rsid w:val="0018204C"/>
    <w:rsid w:val="0018207B"/>
    <w:rsid w:val="00182093"/>
    <w:rsid w:val="00182098"/>
    <w:rsid w:val="001821AF"/>
    <w:rsid w:val="001821B7"/>
    <w:rsid w:val="001821CC"/>
    <w:rsid w:val="0018220A"/>
    <w:rsid w:val="001823AB"/>
    <w:rsid w:val="001824DF"/>
    <w:rsid w:val="0018258A"/>
    <w:rsid w:val="001825E0"/>
    <w:rsid w:val="0018266E"/>
    <w:rsid w:val="0018292A"/>
    <w:rsid w:val="00182988"/>
    <w:rsid w:val="00182A72"/>
    <w:rsid w:val="00182ADC"/>
    <w:rsid w:val="00182BBD"/>
    <w:rsid w:val="00182BD3"/>
    <w:rsid w:val="00182C66"/>
    <w:rsid w:val="00182D19"/>
    <w:rsid w:val="00182D5F"/>
    <w:rsid w:val="00182DEC"/>
    <w:rsid w:val="00182E78"/>
    <w:rsid w:val="00182EC9"/>
    <w:rsid w:val="0018300C"/>
    <w:rsid w:val="0018303C"/>
    <w:rsid w:val="00183049"/>
    <w:rsid w:val="001830F3"/>
    <w:rsid w:val="00183144"/>
    <w:rsid w:val="001832A6"/>
    <w:rsid w:val="0018331F"/>
    <w:rsid w:val="00183346"/>
    <w:rsid w:val="00183349"/>
    <w:rsid w:val="0018337D"/>
    <w:rsid w:val="001833EC"/>
    <w:rsid w:val="00183481"/>
    <w:rsid w:val="00183644"/>
    <w:rsid w:val="001837C4"/>
    <w:rsid w:val="001837D1"/>
    <w:rsid w:val="001838BE"/>
    <w:rsid w:val="001838FF"/>
    <w:rsid w:val="00183944"/>
    <w:rsid w:val="001839BD"/>
    <w:rsid w:val="00183C40"/>
    <w:rsid w:val="00183C42"/>
    <w:rsid w:val="00183D6D"/>
    <w:rsid w:val="00183E3F"/>
    <w:rsid w:val="00183E81"/>
    <w:rsid w:val="00183F11"/>
    <w:rsid w:val="00183F21"/>
    <w:rsid w:val="0018413E"/>
    <w:rsid w:val="001841D1"/>
    <w:rsid w:val="001841EE"/>
    <w:rsid w:val="00184421"/>
    <w:rsid w:val="001847F3"/>
    <w:rsid w:val="001848C9"/>
    <w:rsid w:val="00184963"/>
    <w:rsid w:val="001849A0"/>
    <w:rsid w:val="00184B1C"/>
    <w:rsid w:val="00184B29"/>
    <w:rsid w:val="00184CFF"/>
    <w:rsid w:val="00184D69"/>
    <w:rsid w:val="00184E85"/>
    <w:rsid w:val="00184F25"/>
    <w:rsid w:val="001852AF"/>
    <w:rsid w:val="0018536E"/>
    <w:rsid w:val="001853ED"/>
    <w:rsid w:val="001854A7"/>
    <w:rsid w:val="00185669"/>
    <w:rsid w:val="001856A6"/>
    <w:rsid w:val="0018587B"/>
    <w:rsid w:val="00185A77"/>
    <w:rsid w:val="00185A7F"/>
    <w:rsid w:val="00185C60"/>
    <w:rsid w:val="00185C9E"/>
    <w:rsid w:val="00185CE8"/>
    <w:rsid w:val="00185E87"/>
    <w:rsid w:val="00185F48"/>
    <w:rsid w:val="001860E3"/>
    <w:rsid w:val="0018621E"/>
    <w:rsid w:val="0018641A"/>
    <w:rsid w:val="0018659B"/>
    <w:rsid w:val="00186728"/>
    <w:rsid w:val="0018673F"/>
    <w:rsid w:val="001868D7"/>
    <w:rsid w:val="001868E5"/>
    <w:rsid w:val="00186A24"/>
    <w:rsid w:val="00186B48"/>
    <w:rsid w:val="00186C08"/>
    <w:rsid w:val="00186C53"/>
    <w:rsid w:val="00186F26"/>
    <w:rsid w:val="00186F3E"/>
    <w:rsid w:val="00186FC7"/>
    <w:rsid w:val="00186FF2"/>
    <w:rsid w:val="001870DF"/>
    <w:rsid w:val="001872BC"/>
    <w:rsid w:val="001873FC"/>
    <w:rsid w:val="0018743B"/>
    <w:rsid w:val="001875C8"/>
    <w:rsid w:val="001876A5"/>
    <w:rsid w:val="00187731"/>
    <w:rsid w:val="00187868"/>
    <w:rsid w:val="00187984"/>
    <w:rsid w:val="001879E6"/>
    <w:rsid w:val="00187BAC"/>
    <w:rsid w:val="00187C46"/>
    <w:rsid w:val="00187CCB"/>
    <w:rsid w:val="00187CF3"/>
    <w:rsid w:val="00187DC1"/>
    <w:rsid w:val="00187E44"/>
    <w:rsid w:val="00187EE9"/>
    <w:rsid w:val="00187F05"/>
    <w:rsid w:val="00187F3F"/>
    <w:rsid w:val="00187FDC"/>
    <w:rsid w:val="0019007D"/>
    <w:rsid w:val="001901CA"/>
    <w:rsid w:val="001901D9"/>
    <w:rsid w:val="00190385"/>
    <w:rsid w:val="00190408"/>
    <w:rsid w:val="0019045A"/>
    <w:rsid w:val="001907FC"/>
    <w:rsid w:val="001909F7"/>
    <w:rsid w:val="00190A82"/>
    <w:rsid w:val="00190DA8"/>
    <w:rsid w:val="00190E53"/>
    <w:rsid w:val="00190F8D"/>
    <w:rsid w:val="00191136"/>
    <w:rsid w:val="00191176"/>
    <w:rsid w:val="00191198"/>
    <w:rsid w:val="0019121D"/>
    <w:rsid w:val="001912DF"/>
    <w:rsid w:val="00191360"/>
    <w:rsid w:val="001916C1"/>
    <w:rsid w:val="00191720"/>
    <w:rsid w:val="0019186A"/>
    <w:rsid w:val="00191907"/>
    <w:rsid w:val="0019194F"/>
    <w:rsid w:val="001919D9"/>
    <w:rsid w:val="00191ADA"/>
    <w:rsid w:val="00191BDF"/>
    <w:rsid w:val="00191D42"/>
    <w:rsid w:val="00191D8F"/>
    <w:rsid w:val="00191DB6"/>
    <w:rsid w:val="00191E74"/>
    <w:rsid w:val="00191F97"/>
    <w:rsid w:val="00192153"/>
    <w:rsid w:val="001921A8"/>
    <w:rsid w:val="0019223D"/>
    <w:rsid w:val="001923D7"/>
    <w:rsid w:val="00192448"/>
    <w:rsid w:val="00192463"/>
    <w:rsid w:val="0019247F"/>
    <w:rsid w:val="0019250D"/>
    <w:rsid w:val="001926E7"/>
    <w:rsid w:val="001926E9"/>
    <w:rsid w:val="0019272F"/>
    <w:rsid w:val="00192748"/>
    <w:rsid w:val="00192804"/>
    <w:rsid w:val="00192881"/>
    <w:rsid w:val="00192A70"/>
    <w:rsid w:val="00192BD5"/>
    <w:rsid w:val="00192CD4"/>
    <w:rsid w:val="00192E32"/>
    <w:rsid w:val="00192E71"/>
    <w:rsid w:val="00192F39"/>
    <w:rsid w:val="0019305E"/>
    <w:rsid w:val="0019309F"/>
    <w:rsid w:val="0019322C"/>
    <w:rsid w:val="001932A1"/>
    <w:rsid w:val="001932E8"/>
    <w:rsid w:val="0019338E"/>
    <w:rsid w:val="00193444"/>
    <w:rsid w:val="00193455"/>
    <w:rsid w:val="0019348A"/>
    <w:rsid w:val="00193633"/>
    <w:rsid w:val="00193667"/>
    <w:rsid w:val="001936CB"/>
    <w:rsid w:val="001937C5"/>
    <w:rsid w:val="00193B5D"/>
    <w:rsid w:val="00193C6B"/>
    <w:rsid w:val="00193CCC"/>
    <w:rsid w:val="00193D93"/>
    <w:rsid w:val="0019405D"/>
    <w:rsid w:val="00194194"/>
    <w:rsid w:val="001943B4"/>
    <w:rsid w:val="001943FB"/>
    <w:rsid w:val="00194469"/>
    <w:rsid w:val="00194540"/>
    <w:rsid w:val="001945E9"/>
    <w:rsid w:val="001945F1"/>
    <w:rsid w:val="00194619"/>
    <w:rsid w:val="00194655"/>
    <w:rsid w:val="00194753"/>
    <w:rsid w:val="0019477F"/>
    <w:rsid w:val="001947A7"/>
    <w:rsid w:val="0019491F"/>
    <w:rsid w:val="00194938"/>
    <w:rsid w:val="00194A90"/>
    <w:rsid w:val="00194AC5"/>
    <w:rsid w:val="00194C0C"/>
    <w:rsid w:val="00194C42"/>
    <w:rsid w:val="00194C96"/>
    <w:rsid w:val="00194E42"/>
    <w:rsid w:val="00194EF4"/>
    <w:rsid w:val="0019500F"/>
    <w:rsid w:val="00195256"/>
    <w:rsid w:val="001952CC"/>
    <w:rsid w:val="001952F1"/>
    <w:rsid w:val="001954DF"/>
    <w:rsid w:val="0019562B"/>
    <w:rsid w:val="001956D3"/>
    <w:rsid w:val="00195971"/>
    <w:rsid w:val="00195980"/>
    <w:rsid w:val="00195B44"/>
    <w:rsid w:val="00195BB6"/>
    <w:rsid w:val="00195C85"/>
    <w:rsid w:val="00195D7A"/>
    <w:rsid w:val="00195FF0"/>
    <w:rsid w:val="00196039"/>
    <w:rsid w:val="0019609D"/>
    <w:rsid w:val="001961CF"/>
    <w:rsid w:val="001961D4"/>
    <w:rsid w:val="001961EF"/>
    <w:rsid w:val="00196495"/>
    <w:rsid w:val="001964C7"/>
    <w:rsid w:val="001964E0"/>
    <w:rsid w:val="00196536"/>
    <w:rsid w:val="0019671D"/>
    <w:rsid w:val="001967A4"/>
    <w:rsid w:val="001969FE"/>
    <w:rsid w:val="00196B40"/>
    <w:rsid w:val="00196BE1"/>
    <w:rsid w:val="00196C06"/>
    <w:rsid w:val="00196C24"/>
    <w:rsid w:val="00196C6E"/>
    <w:rsid w:val="00196C89"/>
    <w:rsid w:val="00196E36"/>
    <w:rsid w:val="00196F93"/>
    <w:rsid w:val="0019735A"/>
    <w:rsid w:val="00197404"/>
    <w:rsid w:val="00197439"/>
    <w:rsid w:val="00197447"/>
    <w:rsid w:val="00197453"/>
    <w:rsid w:val="00197571"/>
    <w:rsid w:val="001975A0"/>
    <w:rsid w:val="001976BD"/>
    <w:rsid w:val="00197798"/>
    <w:rsid w:val="0019780F"/>
    <w:rsid w:val="00197833"/>
    <w:rsid w:val="0019785A"/>
    <w:rsid w:val="00197920"/>
    <w:rsid w:val="001979B7"/>
    <w:rsid w:val="00197A0A"/>
    <w:rsid w:val="00197A13"/>
    <w:rsid w:val="00197A67"/>
    <w:rsid w:val="00197BC9"/>
    <w:rsid w:val="00197C18"/>
    <w:rsid w:val="00197C45"/>
    <w:rsid w:val="00197EE6"/>
    <w:rsid w:val="00197F97"/>
    <w:rsid w:val="00197FF6"/>
    <w:rsid w:val="001A0024"/>
    <w:rsid w:val="001A0028"/>
    <w:rsid w:val="001A00A6"/>
    <w:rsid w:val="001A0182"/>
    <w:rsid w:val="001A01BC"/>
    <w:rsid w:val="001A0241"/>
    <w:rsid w:val="001A02E4"/>
    <w:rsid w:val="001A04F4"/>
    <w:rsid w:val="001A0538"/>
    <w:rsid w:val="001A0631"/>
    <w:rsid w:val="001A066B"/>
    <w:rsid w:val="001A077B"/>
    <w:rsid w:val="001A07AD"/>
    <w:rsid w:val="001A083E"/>
    <w:rsid w:val="001A08D0"/>
    <w:rsid w:val="001A0902"/>
    <w:rsid w:val="001A09D7"/>
    <w:rsid w:val="001A0C92"/>
    <w:rsid w:val="001A0DA3"/>
    <w:rsid w:val="001A0E46"/>
    <w:rsid w:val="001A0E8E"/>
    <w:rsid w:val="001A0F04"/>
    <w:rsid w:val="001A1159"/>
    <w:rsid w:val="001A1173"/>
    <w:rsid w:val="001A1277"/>
    <w:rsid w:val="001A1439"/>
    <w:rsid w:val="001A150F"/>
    <w:rsid w:val="001A16CE"/>
    <w:rsid w:val="001A1941"/>
    <w:rsid w:val="001A1A33"/>
    <w:rsid w:val="001A1AA0"/>
    <w:rsid w:val="001A1C02"/>
    <w:rsid w:val="001A1C49"/>
    <w:rsid w:val="001A1C97"/>
    <w:rsid w:val="001A1D4B"/>
    <w:rsid w:val="001A1D8B"/>
    <w:rsid w:val="001A1DDE"/>
    <w:rsid w:val="001A1E66"/>
    <w:rsid w:val="001A20F7"/>
    <w:rsid w:val="001A21DA"/>
    <w:rsid w:val="001A22F3"/>
    <w:rsid w:val="001A239C"/>
    <w:rsid w:val="001A2558"/>
    <w:rsid w:val="001A26A3"/>
    <w:rsid w:val="001A26B9"/>
    <w:rsid w:val="001A2863"/>
    <w:rsid w:val="001A28FE"/>
    <w:rsid w:val="001A29DB"/>
    <w:rsid w:val="001A2AAB"/>
    <w:rsid w:val="001A2C8D"/>
    <w:rsid w:val="001A2C97"/>
    <w:rsid w:val="001A2D21"/>
    <w:rsid w:val="001A2D61"/>
    <w:rsid w:val="001A2DB6"/>
    <w:rsid w:val="001A2ED6"/>
    <w:rsid w:val="001A2FF1"/>
    <w:rsid w:val="001A30BC"/>
    <w:rsid w:val="001A30EB"/>
    <w:rsid w:val="001A3207"/>
    <w:rsid w:val="001A335C"/>
    <w:rsid w:val="001A3429"/>
    <w:rsid w:val="001A3453"/>
    <w:rsid w:val="001A3477"/>
    <w:rsid w:val="001A34F0"/>
    <w:rsid w:val="001A35B6"/>
    <w:rsid w:val="001A35C3"/>
    <w:rsid w:val="001A35E3"/>
    <w:rsid w:val="001A374E"/>
    <w:rsid w:val="001A3849"/>
    <w:rsid w:val="001A387F"/>
    <w:rsid w:val="001A38B4"/>
    <w:rsid w:val="001A38BC"/>
    <w:rsid w:val="001A397D"/>
    <w:rsid w:val="001A3A49"/>
    <w:rsid w:val="001A3AF4"/>
    <w:rsid w:val="001A3B6F"/>
    <w:rsid w:val="001A3BB4"/>
    <w:rsid w:val="001A3C78"/>
    <w:rsid w:val="001A3D90"/>
    <w:rsid w:val="001A3DB9"/>
    <w:rsid w:val="001A3F64"/>
    <w:rsid w:val="001A3F9E"/>
    <w:rsid w:val="001A4046"/>
    <w:rsid w:val="001A40AF"/>
    <w:rsid w:val="001A40C7"/>
    <w:rsid w:val="001A41F8"/>
    <w:rsid w:val="001A4204"/>
    <w:rsid w:val="001A42AC"/>
    <w:rsid w:val="001A441C"/>
    <w:rsid w:val="001A44B1"/>
    <w:rsid w:val="001A456B"/>
    <w:rsid w:val="001A4583"/>
    <w:rsid w:val="001A460B"/>
    <w:rsid w:val="001A4676"/>
    <w:rsid w:val="001A46B0"/>
    <w:rsid w:val="001A4715"/>
    <w:rsid w:val="001A475A"/>
    <w:rsid w:val="001A47C9"/>
    <w:rsid w:val="001A4881"/>
    <w:rsid w:val="001A488E"/>
    <w:rsid w:val="001A49AE"/>
    <w:rsid w:val="001A4A7A"/>
    <w:rsid w:val="001A4AFA"/>
    <w:rsid w:val="001A4B16"/>
    <w:rsid w:val="001A4C5D"/>
    <w:rsid w:val="001A4EBB"/>
    <w:rsid w:val="001A5013"/>
    <w:rsid w:val="001A526D"/>
    <w:rsid w:val="001A5275"/>
    <w:rsid w:val="001A52D1"/>
    <w:rsid w:val="001A5374"/>
    <w:rsid w:val="001A55AD"/>
    <w:rsid w:val="001A5624"/>
    <w:rsid w:val="001A564D"/>
    <w:rsid w:val="001A566F"/>
    <w:rsid w:val="001A57AF"/>
    <w:rsid w:val="001A585B"/>
    <w:rsid w:val="001A5936"/>
    <w:rsid w:val="001A594B"/>
    <w:rsid w:val="001A598E"/>
    <w:rsid w:val="001A5AC0"/>
    <w:rsid w:val="001A5D71"/>
    <w:rsid w:val="001A5D9C"/>
    <w:rsid w:val="001A5E2E"/>
    <w:rsid w:val="001A5F1C"/>
    <w:rsid w:val="001A5F4A"/>
    <w:rsid w:val="001A5F57"/>
    <w:rsid w:val="001A5FD4"/>
    <w:rsid w:val="001A6113"/>
    <w:rsid w:val="001A618A"/>
    <w:rsid w:val="001A6237"/>
    <w:rsid w:val="001A6247"/>
    <w:rsid w:val="001A6287"/>
    <w:rsid w:val="001A6357"/>
    <w:rsid w:val="001A64D3"/>
    <w:rsid w:val="001A64EA"/>
    <w:rsid w:val="001A6548"/>
    <w:rsid w:val="001A6574"/>
    <w:rsid w:val="001A668C"/>
    <w:rsid w:val="001A6788"/>
    <w:rsid w:val="001A679B"/>
    <w:rsid w:val="001A67CC"/>
    <w:rsid w:val="001A6842"/>
    <w:rsid w:val="001A6857"/>
    <w:rsid w:val="001A689C"/>
    <w:rsid w:val="001A69BB"/>
    <w:rsid w:val="001A6A71"/>
    <w:rsid w:val="001A6AA0"/>
    <w:rsid w:val="001A6AF2"/>
    <w:rsid w:val="001A6B4A"/>
    <w:rsid w:val="001A6BAA"/>
    <w:rsid w:val="001A6D00"/>
    <w:rsid w:val="001A6DBF"/>
    <w:rsid w:val="001A6E8A"/>
    <w:rsid w:val="001A6F76"/>
    <w:rsid w:val="001A7013"/>
    <w:rsid w:val="001A70EA"/>
    <w:rsid w:val="001A719C"/>
    <w:rsid w:val="001A71D6"/>
    <w:rsid w:val="001A7565"/>
    <w:rsid w:val="001A759E"/>
    <w:rsid w:val="001A75A2"/>
    <w:rsid w:val="001A7668"/>
    <w:rsid w:val="001A7724"/>
    <w:rsid w:val="001A7804"/>
    <w:rsid w:val="001A784C"/>
    <w:rsid w:val="001A78DA"/>
    <w:rsid w:val="001A78FF"/>
    <w:rsid w:val="001A7938"/>
    <w:rsid w:val="001A79E1"/>
    <w:rsid w:val="001A7A7F"/>
    <w:rsid w:val="001A7B22"/>
    <w:rsid w:val="001A7CA4"/>
    <w:rsid w:val="001A7D2C"/>
    <w:rsid w:val="001A7EE2"/>
    <w:rsid w:val="001A7F70"/>
    <w:rsid w:val="001B0068"/>
    <w:rsid w:val="001B028B"/>
    <w:rsid w:val="001B036D"/>
    <w:rsid w:val="001B03D8"/>
    <w:rsid w:val="001B049D"/>
    <w:rsid w:val="001B04ED"/>
    <w:rsid w:val="001B06ED"/>
    <w:rsid w:val="001B07AD"/>
    <w:rsid w:val="001B0939"/>
    <w:rsid w:val="001B099E"/>
    <w:rsid w:val="001B09D1"/>
    <w:rsid w:val="001B0AD9"/>
    <w:rsid w:val="001B0ADC"/>
    <w:rsid w:val="001B0BC1"/>
    <w:rsid w:val="001B0C4C"/>
    <w:rsid w:val="001B0DAC"/>
    <w:rsid w:val="001B0E3E"/>
    <w:rsid w:val="001B0EED"/>
    <w:rsid w:val="001B1132"/>
    <w:rsid w:val="001B1246"/>
    <w:rsid w:val="001B128E"/>
    <w:rsid w:val="001B1380"/>
    <w:rsid w:val="001B14B6"/>
    <w:rsid w:val="001B15D1"/>
    <w:rsid w:val="001B1726"/>
    <w:rsid w:val="001B178C"/>
    <w:rsid w:val="001B198E"/>
    <w:rsid w:val="001B1A10"/>
    <w:rsid w:val="001B1AD5"/>
    <w:rsid w:val="001B1B07"/>
    <w:rsid w:val="001B1B1F"/>
    <w:rsid w:val="001B1B70"/>
    <w:rsid w:val="001B1B95"/>
    <w:rsid w:val="001B1E0D"/>
    <w:rsid w:val="001B1E6D"/>
    <w:rsid w:val="001B1ED2"/>
    <w:rsid w:val="001B1F20"/>
    <w:rsid w:val="001B1F5D"/>
    <w:rsid w:val="001B1F61"/>
    <w:rsid w:val="001B1F75"/>
    <w:rsid w:val="001B214B"/>
    <w:rsid w:val="001B24EF"/>
    <w:rsid w:val="001B2570"/>
    <w:rsid w:val="001B271E"/>
    <w:rsid w:val="001B2798"/>
    <w:rsid w:val="001B27F4"/>
    <w:rsid w:val="001B28BC"/>
    <w:rsid w:val="001B28F4"/>
    <w:rsid w:val="001B2924"/>
    <w:rsid w:val="001B2960"/>
    <w:rsid w:val="001B2A5A"/>
    <w:rsid w:val="001B2ABC"/>
    <w:rsid w:val="001B2AE6"/>
    <w:rsid w:val="001B2C5A"/>
    <w:rsid w:val="001B2C73"/>
    <w:rsid w:val="001B2CAC"/>
    <w:rsid w:val="001B2EA9"/>
    <w:rsid w:val="001B2F07"/>
    <w:rsid w:val="001B2F2E"/>
    <w:rsid w:val="001B2F83"/>
    <w:rsid w:val="001B3061"/>
    <w:rsid w:val="001B311B"/>
    <w:rsid w:val="001B33BA"/>
    <w:rsid w:val="001B3405"/>
    <w:rsid w:val="001B3484"/>
    <w:rsid w:val="001B34B9"/>
    <w:rsid w:val="001B34D1"/>
    <w:rsid w:val="001B352C"/>
    <w:rsid w:val="001B35DA"/>
    <w:rsid w:val="001B3609"/>
    <w:rsid w:val="001B37E9"/>
    <w:rsid w:val="001B39D3"/>
    <w:rsid w:val="001B3DA4"/>
    <w:rsid w:val="001B3DF8"/>
    <w:rsid w:val="001B3E5B"/>
    <w:rsid w:val="001B3E72"/>
    <w:rsid w:val="001B3EAF"/>
    <w:rsid w:val="001B3EBE"/>
    <w:rsid w:val="001B3F58"/>
    <w:rsid w:val="001B411B"/>
    <w:rsid w:val="001B416E"/>
    <w:rsid w:val="001B41E2"/>
    <w:rsid w:val="001B42C9"/>
    <w:rsid w:val="001B4349"/>
    <w:rsid w:val="001B43BC"/>
    <w:rsid w:val="001B4416"/>
    <w:rsid w:val="001B472A"/>
    <w:rsid w:val="001B475C"/>
    <w:rsid w:val="001B4924"/>
    <w:rsid w:val="001B4941"/>
    <w:rsid w:val="001B49B4"/>
    <w:rsid w:val="001B4AB8"/>
    <w:rsid w:val="001B4BB7"/>
    <w:rsid w:val="001B4BDD"/>
    <w:rsid w:val="001B4C54"/>
    <w:rsid w:val="001B4DBD"/>
    <w:rsid w:val="001B4F9A"/>
    <w:rsid w:val="001B4FE1"/>
    <w:rsid w:val="001B5072"/>
    <w:rsid w:val="001B5094"/>
    <w:rsid w:val="001B5179"/>
    <w:rsid w:val="001B522D"/>
    <w:rsid w:val="001B5391"/>
    <w:rsid w:val="001B5479"/>
    <w:rsid w:val="001B55D0"/>
    <w:rsid w:val="001B55D6"/>
    <w:rsid w:val="001B5640"/>
    <w:rsid w:val="001B5795"/>
    <w:rsid w:val="001B5826"/>
    <w:rsid w:val="001B583B"/>
    <w:rsid w:val="001B5A50"/>
    <w:rsid w:val="001B5A94"/>
    <w:rsid w:val="001B5AA9"/>
    <w:rsid w:val="001B5B6F"/>
    <w:rsid w:val="001B5BC5"/>
    <w:rsid w:val="001B5BEC"/>
    <w:rsid w:val="001B5D55"/>
    <w:rsid w:val="001B5DC5"/>
    <w:rsid w:val="001B5DF8"/>
    <w:rsid w:val="001B5E1D"/>
    <w:rsid w:val="001B5E23"/>
    <w:rsid w:val="001B5E27"/>
    <w:rsid w:val="001B5E6C"/>
    <w:rsid w:val="001B5F80"/>
    <w:rsid w:val="001B6091"/>
    <w:rsid w:val="001B613B"/>
    <w:rsid w:val="001B6310"/>
    <w:rsid w:val="001B644C"/>
    <w:rsid w:val="001B6751"/>
    <w:rsid w:val="001B679A"/>
    <w:rsid w:val="001B67AD"/>
    <w:rsid w:val="001B6845"/>
    <w:rsid w:val="001B694B"/>
    <w:rsid w:val="001B6C3F"/>
    <w:rsid w:val="001B6C63"/>
    <w:rsid w:val="001B6D56"/>
    <w:rsid w:val="001B6E6F"/>
    <w:rsid w:val="001B6F10"/>
    <w:rsid w:val="001B7194"/>
    <w:rsid w:val="001B7310"/>
    <w:rsid w:val="001B7339"/>
    <w:rsid w:val="001B7342"/>
    <w:rsid w:val="001B740B"/>
    <w:rsid w:val="001B7430"/>
    <w:rsid w:val="001B7501"/>
    <w:rsid w:val="001B751D"/>
    <w:rsid w:val="001B763E"/>
    <w:rsid w:val="001B7669"/>
    <w:rsid w:val="001B77E2"/>
    <w:rsid w:val="001B77F7"/>
    <w:rsid w:val="001B7801"/>
    <w:rsid w:val="001B787A"/>
    <w:rsid w:val="001B7887"/>
    <w:rsid w:val="001B790B"/>
    <w:rsid w:val="001B79A1"/>
    <w:rsid w:val="001B7A32"/>
    <w:rsid w:val="001B7A52"/>
    <w:rsid w:val="001B7AE2"/>
    <w:rsid w:val="001B7B92"/>
    <w:rsid w:val="001B7C01"/>
    <w:rsid w:val="001B7C0D"/>
    <w:rsid w:val="001B7D50"/>
    <w:rsid w:val="001C013F"/>
    <w:rsid w:val="001C032F"/>
    <w:rsid w:val="001C0355"/>
    <w:rsid w:val="001C0376"/>
    <w:rsid w:val="001C03AE"/>
    <w:rsid w:val="001C03F8"/>
    <w:rsid w:val="001C0424"/>
    <w:rsid w:val="001C044F"/>
    <w:rsid w:val="001C049D"/>
    <w:rsid w:val="001C051F"/>
    <w:rsid w:val="001C056A"/>
    <w:rsid w:val="001C05C1"/>
    <w:rsid w:val="001C0624"/>
    <w:rsid w:val="001C0633"/>
    <w:rsid w:val="001C06C8"/>
    <w:rsid w:val="001C06EE"/>
    <w:rsid w:val="001C088A"/>
    <w:rsid w:val="001C08D8"/>
    <w:rsid w:val="001C0BB6"/>
    <w:rsid w:val="001C0C68"/>
    <w:rsid w:val="001C0D36"/>
    <w:rsid w:val="001C0E42"/>
    <w:rsid w:val="001C0E81"/>
    <w:rsid w:val="001C0F7D"/>
    <w:rsid w:val="001C0F81"/>
    <w:rsid w:val="001C1055"/>
    <w:rsid w:val="001C109C"/>
    <w:rsid w:val="001C10C8"/>
    <w:rsid w:val="001C11CE"/>
    <w:rsid w:val="001C127B"/>
    <w:rsid w:val="001C13B2"/>
    <w:rsid w:val="001C1694"/>
    <w:rsid w:val="001C1712"/>
    <w:rsid w:val="001C17FA"/>
    <w:rsid w:val="001C1941"/>
    <w:rsid w:val="001C19CC"/>
    <w:rsid w:val="001C19FC"/>
    <w:rsid w:val="001C1A14"/>
    <w:rsid w:val="001C1A78"/>
    <w:rsid w:val="001C1BA6"/>
    <w:rsid w:val="001C1CB1"/>
    <w:rsid w:val="001C1D02"/>
    <w:rsid w:val="001C1D46"/>
    <w:rsid w:val="001C1DFF"/>
    <w:rsid w:val="001C1E31"/>
    <w:rsid w:val="001C2052"/>
    <w:rsid w:val="001C210D"/>
    <w:rsid w:val="001C2189"/>
    <w:rsid w:val="001C2229"/>
    <w:rsid w:val="001C238B"/>
    <w:rsid w:val="001C245E"/>
    <w:rsid w:val="001C24C0"/>
    <w:rsid w:val="001C2564"/>
    <w:rsid w:val="001C277A"/>
    <w:rsid w:val="001C288D"/>
    <w:rsid w:val="001C28CA"/>
    <w:rsid w:val="001C2990"/>
    <w:rsid w:val="001C2A52"/>
    <w:rsid w:val="001C2A56"/>
    <w:rsid w:val="001C2AB1"/>
    <w:rsid w:val="001C2AB7"/>
    <w:rsid w:val="001C2B86"/>
    <w:rsid w:val="001C2FB2"/>
    <w:rsid w:val="001C301A"/>
    <w:rsid w:val="001C303B"/>
    <w:rsid w:val="001C303C"/>
    <w:rsid w:val="001C30BA"/>
    <w:rsid w:val="001C3140"/>
    <w:rsid w:val="001C3238"/>
    <w:rsid w:val="001C325B"/>
    <w:rsid w:val="001C32AD"/>
    <w:rsid w:val="001C36D7"/>
    <w:rsid w:val="001C3714"/>
    <w:rsid w:val="001C3838"/>
    <w:rsid w:val="001C3858"/>
    <w:rsid w:val="001C3B0B"/>
    <w:rsid w:val="001C3D06"/>
    <w:rsid w:val="001C3D9A"/>
    <w:rsid w:val="001C3DC7"/>
    <w:rsid w:val="001C3E65"/>
    <w:rsid w:val="001C3F31"/>
    <w:rsid w:val="001C3FA0"/>
    <w:rsid w:val="001C424B"/>
    <w:rsid w:val="001C439F"/>
    <w:rsid w:val="001C43CE"/>
    <w:rsid w:val="001C441F"/>
    <w:rsid w:val="001C44A0"/>
    <w:rsid w:val="001C44ED"/>
    <w:rsid w:val="001C46B2"/>
    <w:rsid w:val="001C4737"/>
    <w:rsid w:val="001C4772"/>
    <w:rsid w:val="001C4783"/>
    <w:rsid w:val="001C479F"/>
    <w:rsid w:val="001C4803"/>
    <w:rsid w:val="001C481B"/>
    <w:rsid w:val="001C485C"/>
    <w:rsid w:val="001C48F9"/>
    <w:rsid w:val="001C4A08"/>
    <w:rsid w:val="001C4C17"/>
    <w:rsid w:val="001C4C29"/>
    <w:rsid w:val="001C4F7B"/>
    <w:rsid w:val="001C5179"/>
    <w:rsid w:val="001C51AE"/>
    <w:rsid w:val="001C523D"/>
    <w:rsid w:val="001C5529"/>
    <w:rsid w:val="001C555B"/>
    <w:rsid w:val="001C5561"/>
    <w:rsid w:val="001C55A8"/>
    <w:rsid w:val="001C5604"/>
    <w:rsid w:val="001C577F"/>
    <w:rsid w:val="001C58E8"/>
    <w:rsid w:val="001C5A43"/>
    <w:rsid w:val="001C5BA9"/>
    <w:rsid w:val="001C5C00"/>
    <w:rsid w:val="001C5D85"/>
    <w:rsid w:val="001C5E02"/>
    <w:rsid w:val="001C5F8A"/>
    <w:rsid w:val="001C5FEC"/>
    <w:rsid w:val="001C603F"/>
    <w:rsid w:val="001C611B"/>
    <w:rsid w:val="001C646E"/>
    <w:rsid w:val="001C64A9"/>
    <w:rsid w:val="001C65B4"/>
    <w:rsid w:val="001C6647"/>
    <w:rsid w:val="001C66E2"/>
    <w:rsid w:val="001C670D"/>
    <w:rsid w:val="001C6736"/>
    <w:rsid w:val="001C6788"/>
    <w:rsid w:val="001C681B"/>
    <w:rsid w:val="001C684A"/>
    <w:rsid w:val="001C6AE2"/>
    <w:rsid w:val="001C6B1E"/>
    <w:rsid w:val="001C6BC6"/>
    <w:rsid w:val="001C6BC8"/>
    <w:rsid w:val="001C6C31"/>
    <w:rsid w:val="001C6D30"/>
    <w:rsid w:val="001C6D96"/>
    <w:rsid w:val="001C6E05"/>
    <w:rsid w:val="001C6E4F"/>
    <w:rsid w:val="001C6E8F"/>
    <w:rsid w:val="001C6FA3"/>
    <w:rsid w:val="001C7374"/>
    <w:rsid w:val="001C74A5"/>
    <w:rsid w:val="001C759B"/>
    <w:rsid w:val="001C7732"/>
    <w:rsid w:val="001C785C"/>
    <w:rsid w:val="001C79C1"/>
    <w:rsid w:val="001C7A9F"/>
    <w:rsid w:val="001C7B97"/>
    <w:rsid w:val="001C7D5D"/>
    <w:rsid w:val="001C7EA1"/>
    <w:rsid w:val="001D0065"/>
    <w:rsid w:val="001D0167"/>
    <w:rsid w:val="001D0295"/>
    <w:rsid w:val="001D0385"/>
    <w:rsid w:val="001D060A"/>
    <w:rsid w:val="001D066D"/>
    <w:rsid w:val="001D08D4"/>
    <w:rsid w:val="001D0981"/>
    <w:rsid w:val="001D0A0D"/>
    <w:rsid w:val="001D0AA1"/>
    <w:rsid w:val="001D0C05"/>
    <w:rsid w:val="001D0C06"/>
    <w:rsid w:val="001D0DE8"/>
    <w:rsid w:val="001D0E37"/>
    <w:rsid w:val="001D0ED4"/>
    <w:rsid w:val="001D0F15"/>
    <w:rsid w:val="001D0F3B"/>
    <w:rsid w:val="001D1045"/>
    <w:rsid w:val="001D1091"/>
    <w:rsid w:val="001D11D2"/>
    <w:rsid w:val="001D1382"/>
    <w:rsid w:val="001D13D4"/>
    <w:rsid w:val="001D1683"/>
    <w:rsid w:val="001D182B"/>
    <w:rsid w:val="001D192A"/>
    <w:rsid w:val="001D1940"/>
    <w:rsid w:val="001D1A14"/>
    <w:rsid w:val="001D1ADC"/>
    <w:rsid w:val="001D1B78"/>
    <w:rsid w:val="001D1B7E"/>
    <w:rsid w:val="001D1C7D"/>
    <w:rsid w:val="001D1C7E"/>
    <w:rsid w:val="001D1D27"/>
    <w:rsid w:val="001D1DCE"/>
    <w:rsid w:val="001D1E86"/>
    <w:rsid w:val="001D1E89"/>
    <w:rsid w:val="001D1FC8"/>
    <w:rsid w:val="001D2014"/>
    <w:rsid w:val="001D21F2"/>
    <w:rsid w:val="001D2245"/>
    <w:rsid w:val="001D2274"/>
    <w:rsid w:val="001D2527"/>
    <w:rsid w:val="001D2673"/>
    <w:rsid w:val="001D268C"/>
    <w:rsid w:val="001D27BD"/>
    <w:rsid w:val="001D27CD"/>
    <w:rsid w:val="001D2842"/>
    <w:rsid w:val="001D291F"/>
    <w:rsid w:val="001D2A7D"/>
    <w:rsid w:val="001D2AA8"/>
    <w:rsid w:val="001D2AC4"/>
    <w:rsid w:val="001D2AF1"/>
    <w:rsid w:val="001D2BA4"/>
    <w:rsid w:val="001D2BC8"/>
    <w:rsid w:val="001D2BF8"/>
    <w:rsid w:val="001D2C71"/>
    <w:rsid w:val="001D2D5A"/>
    <w:rsid w:val="001D2DEF"/>
    <w:rsid w:val="001D2E0E"/>
    <w:rsid w:val="001D2E8D"/>
    <w:rsid w:val="001D2EE3"/>
    <w:rsid w:val="001D2F36"/>
    <w:rsid w:val="001D3012"/>
    <w:rsid w:val="001D32A4"/>
    <w:rsid w:val="001D3462"/>
    <w:rsid w:val="001D35EF"/>
    <w:rsid w:val="001D38AD"/>
    <w:rsid w:val="001D3917"/>
    <w:rsid w:val="001D39F3"/>
    <w:rsid w:val="001D3A1A"/>
    <w:rsid w:val="001D3A5C"/>
    <w:rsid w:val="001D3A7C"/>
    <w:rsid w:val="001D3C27"/>
    <w:rsid w:val="001D3CBA"/>
    <w:rsid w:val="001D3DD1"/>
    <w:rsid w:val="001D3EE6"/>
    <w:rsid w:val="001D408F"/>
    <w:rsid w:val="001D42DD"/>
    <w:rsid w:val="001D4313"/>
    <w:rsid w:val="001D4366"/>
    <w:rsid w:val="001D45C8"/>
    <w:rsid w:val="001D46AB"/>
    <w:rsid w:val="001D4769"/>
    <w:rsid w:val="001D484C"/>
    <w:rsid w:val="001D4AD9"/>
    <w:rsid w:val="001D4AFE"/>
    <w:rsid w:val="001D4B4E"/>
    <w:rsid w:val="001D4C00"/>
    <w:rsid w:val="001D4D69"/>
    <w:rsid w:val="001D4D97"/>
    <w:rsid w:val="001D4F68"/>
    <w:rsid w:val="001D4FF6"/>
    <w:rsid w:val="001D50EE"/>
    <w:rsid w:val="001D5122"/>
    <w:rsid w:val="001D53C3"/>
    <w:rsid w:val="001D5406"/>
    <w:rsid w:val="001D567F"/>
    <w:rsid w:val="001D5746"/>
    <w:rsid w:val="001D58A0"/>
    <w:rsid w:val="001D593B"/>
    <w:rsid w:val="001D5954"/>
    <w:rsid w:val="001D59F2"/>
    <w:rsid w:val="001D5B25"/>
    <w:rsid w:val="001D5B48"/>
    <w:rsid w:val="001D5CEC"/>
    <w:rsid w:val="001D5E40"/>
    <w:rsid w:val="001D5EA6"/>
    <w:rsid w:val="001D5ECF"/>
    <w:rsid w:val="001D5F55"/>
    <w:rsid w:val="001D5FBC"/>
    <w:rsid w:val="001D5FF2"/>
    <w:rsid w:val="001D61F2"/>
    <w:rsid w:val="001D6200"/>
    <w:rsid w:val="001D6297"/>
    <w:rsid w:val="001D62D9"/>
    <w:rsid w:val="001D62FB"/>
    <w:rsid w:val="001D632C"/>
    <w:rsid w:val="001D636C"/>
    <w:rsid w:val="001D6472"/>
    <w:rsid w:val="001D651B"/>
    <w:rsid w:val="001D6630"/>
    <w:rsid w:val="001D6676"/>
    <w:rsid w:val="001D6719"/>
    <w:rsid w:val="001D67EC"/>
    <w:rsid w:val="001D6932"/>
    <w:rsid w:val="001D6A37"/>
    <w:rsid w:val="001D6BE7"/>
    <w:rsid w:val="001D6CA7"/>
    <w:rsid w:val="001D6CBF"/>
    <w:rsid w:val="001D6D6E"/>
    <w:rsid w:val="001D6EF6"/>
    <w:rsid w:val="001D707C"/>
    <w:rsid w:val="001D71BA"/>
    <w:rsid w:val="001D71BB"/>
    <w:rsid w:val="001D722F"/>
    <w:rsid w:val="001D7239"/>
    <w:rsid w:val="001D72CA"/>
    <w:rsid w:val="001D733B"/>
    <w:rsid w:val="001D7435"/>
    <w:rsid w:val="001D744E"/>
    <w:rsid w:val="001D74DF"/>
    <w:rsid w:val="001D7642"/>
    <w:rsid w:val="001D764D"/>
    <w:rsid w:val="001D7688"/>
    <w:rsid w:val="001D7762"/>
    <w:rsid w:val="001D7976"/>
    <w:rsid w:val="001D7CCF"/>
    <w:rsid w:val="001D7CE0"/>
    <w:rsid w:val="001D7DB2"/>
    <w:rsid w:val="001D7E38"/>
    <w:rsid w:val="001D7E55"/>
    <w:rsid w:val="001D7EC9"/>
    <w:rsid w:val="001D7ECB"/>
    <w:rsid w:val="001D7EFA"/>
    <w:rsid w:val="001D7F31"/>
    <w:rsid w:val="001D7F54"/>
    <w:rsid w:val="001D7FFA"/>
    <w:rsid w:val="001E0004"/>
    <w:rsid w:val="001E0006"/>
    <w:rsid w:val="001E00A0"/>
    <w:rsid w:val="001E00CB"/>
    <w:rsid w:val="001E00F8"/>
    <w:rsid w:val="001E0236"/>
    <w:rsid w:val="001E023E"/>
    <w:rsid w:val="001E032A"/>
    <w:rsid w:val="001E0676"/>
    <w:rsid w:val="001E06FD"/>
    <w:rsid w:val="001E075E"/>
    <w:rsid w:val="001E07C6"/>
    <w:rsid w:val="001E084B"/>
    <w:rsid w:val="001E092B"/>
    <w:rsid w:val="001E0B38"/>
    <w:rsid w:val="001E1020"/>
    <w:rsid w:val="001E1033"/>
    <w:rsid w:val="001E10B8"/>
    <w:rsid w:val="001E11CD"/>
    <w:rsid w:val="001E11FA"/>
    <w:rsid w:val="001E1592"/>
    <w:rsid w:val="001E1670"/>
    <w:rsid w:val="001E17F3"/>
    <w:rsid w:val="001E1807"/>
    <w:rsid w:val="001E186A"/>
    <w:rsid w:val="001E187A"/>
    <w:rsid w:val="001E1991"/>
    <w:rsid w:val="001E1ABD"/>
    <w:rsid w:val="001E1D53"/>
    <w:rsid w:val="001E1DA0"/>
    <w:rsid w:val="001E1FB0"/>
    <w:rsid w:val="001E2037"/>
    <w:rsid w:val="001E223F"/>
    <w:rsid w:val="001E224C"/>
    <w:rsid w:val="001E22B3"/>
    <w:rsid w:val="001E233E"/>
    <w:rsid w:val="001E23A4"/>
    <w:rsid w:val="001E25B0"/>
    <w:rsid w:val="001E25CA"/>
    <w:rsid w:val="001E2796"/>
    <w:rsid w:val="001E27DE"/>
    <w:rsid w:val="001E297D"/>
    <w:rsid w:val="001E2AEE"/>
    <w:rsid w:val="001E2BB9"/>
    <w:rsid w:val="001E2BC7"/>
    <w:rsid w:val="001E2BD1"/>
    <w:rsid w:val="001E2D24"/>
    <w:rsid w:val="001E2E08"/>
    <w:rsid w:val="001E2E49"/>
    <w:rsid w:val="001E2E7A"/>
    <w:rsid w:val="001E2EA4"/>
    <w:rsid w:val="001E2F97"/>
    <w:rsid w:val="001E3084"/>
    <w:rsid w:val="001E30A5"/>
    <w:rsid w:val="001E316B"/>
    <w:rsid w:val="001E31C9"/>
    <w:rsid w:val="001E3400"/>
    <w:rsid w:val="001E3626"/>
    <w:rsid w:val="001E3680"/>
    <w:rsid w:val="001E383C"/>
    <w:rsid w:val="001E38E8"/>
    <w:rsid w:val="001E3C61"/>
    <w:rsid w:val="001E3C9A"/>
    <w:rsid w:val="001E3CAC"/>
    <w:rsid w:val="001E3CCE"/>
    <w:rsid w:val="001E3DBB"/>
    <w:rsid w:val="001E3E06"/>
    <w:rsid w:val="001E3E35"/>
    <w:rsid w:val="001E3E85"/>
    <w:rsid w:val="001E3EA5"/>
    <w:rsid w:val="001E3F5C"/>
    <w:rsid w:val="001E3F88"/>
    <w:rsid w:val="001E4093"/>
    <w:rsid w:val="001E4430"/>
    <w:rsid w:val="001E457B"/>
    <w:rsid w:val="001E468C"/>
    <w:rsid w:val="001E473B"/>
    <w:rsid w:val="001E4770"/>
    <w:rsid w:val="001E4783"/>
    <w:rsid w:val="001E4797"/>
    <w:rsid w:val="001E4941"/>
    <w:rsid w:val="001E4971"/>
    <w:rsid w:val="001E49A0"/>
    <w:rsid w:val="001E4A28"/>
    <w:rsid w:val="001E4AF7"/>
    <w:rsid w:val="001E4BB0"/>
    <w:rsid w:val="001E4DDE"/>
    <w:rsid w:val="001E4E47"/>
    <w:rsid w:val="001E4F7F"/>
    <w:rsid w:val="001E51B6"/>
    <w:rsid w:val="001E52AA"/>
    <w:rsid w:val="001E52BD"/>
    <w:rsid w:val="001E544B"/>
    <w:rsid w:val="001E547E"/>
    <w:rsid w:val="001E5623"/>
    <w:rsid w:val="001E56CC"/>
    <w:rsid w:val="001E5707"/>
    <w:rsid w:val="001E57F9"/>
    <w:rsid w:val="001E583C"/>
    <w:rsid w:val="001E5882"/>
    <w:rsid w:val="001E59F3"/>
    <w:rsid w:val="001E5A03"/>
    <w:rsid w:val="001E5B18"/>
    <w:rsid w:val="001E5B1E"/>
    <w:rsid w:val="001E5B3A"/>
    <w:rsid w:val="001E5B5B"/>
    <w:rsid w:val="001E5C3C"/>
    <w:rsid w:val="001E5E2F"/>
    <w:rsid w:val="001E5E64"/>
    <w:rsid w:val="001E5EC1"/>
    <w:rsid w:val="001E5F08"/>
    <w:rsid w:val="001E6033"/>
    <w:rsid w:val="001E6073"/>
    <w:rsid w:val="001E61A0"/>
    <w:rsid w:val="001E6254"/>
    <w:rsid w:val="001E62B6"/>
    <w:rsid w:val="001E6334"/>
    <w:rsid w:val="001E63DF"/>
    <w:rsid w:val="001E6529"/>
    <w:rsid w:val="001E65BF"/>
    <w:rsid w:val="001E666A"/>
    <w:rsid w:val="001E66A0"/>
    <w:rsid w:val="001E6702"/>
    <w:rsid w:val="001E676F"/>
    <w:rsid w:val="001E6A9F"/>
    <w:rsid w:val="001E6DEF"/>
    <w:rsid w:val="001E6EC6"/>
    <w:rsid w:val="001E6EEA"/>
    <w:rsid w:val="001E6FCA"/>
    <w:rsid w:val="001E721E"/>
    <w:rsid w:val="001E72B3"/>
    <w:rsid w:val="001E736C"/>
    <w:rsid w:val="001E737B"/>
    <w:rsid w:val="001E73B3"/>
    <w:rsid w:val="001E73B9"/>
    <w:rsid w:val="001E752E"/>
    <w:rsid w:val="001E7642"/>
    <w:rsid w:val="001E769A"/>
    <w:rsid w:val="001E76F2"/>
    <w:rsid w:val="001E7931"/>
    <w:rsid w:val="001E7961"/>
    <w:rsid w:val="001E7987"/>
    <w:rsid w:val="001E79F3"/>
    <w:rsid w:val="001E79FC"/>
    <w:rsid w:val="001E7A34"/>
    <w:rsid w:val="001E7D63"/>
    <w:rsid w:val="001E7F88"/>
    <w:rsid w:val="001F012A"/>
    <w:rsid w:val="001F01E2"/>
    <w:rsid w:val="001F022C"/>
    <w:rsid w:val="001F0235"/>
    <w:rsid w:val="001F02FD"/>
    <w:rsid w:val="001F0327"/>
    <w:rsid w:val="001F0433"/>
    <w:rsid w:val="001F04A7"/>
    <w:rsid w:val="001F051A"/>
    <w:rsid w:val="001F057D"/>
    <w:rsid w:val="001F0725"/>
    <w:rsid w:val="001F078D"/>
    <w:rsid w:val="001F07DD"/>
    <w:rsid w:val="001F084D"/>
    <w:rsid w:val="001F0925"/>
    <w:rsid w:val="001F0B28"/>
    <w:rsid w:val="001F0D96"/>
    <w:rsid w:val="001F0DC8"/>
    <w:rsid w:val="001F0EDA"/>
    <w:rsid w:val="001F0F6C"/>
    <w:rsid w:val="001F1024"/>
    <w:rsid w:val="001F10C9"/>
    <w:rsid w:val="001F1133"/>
    <w:rsid w:val="001F123F"/>
    <w:rsid w:val="001F129D"/>
    <w:rsid w:val="001F12A8"/>
    <w:rsid w:val="001F12AE"/>
    <w:rsid w:val="001F1343"/>
    <w:rsid w:val="001F1441"/>
    <w:rsid w:val="001F1599"/>
    <w:rsid w:val="001F1902"/>
    <w:rsid w:val="001F1B97"/>
    <w:rsid w:val="001F1BAB"/>
    <w:rsid w:val="001F1C80"/>
    <w:rsid w:val="001F1D0C"/>
    <w:rsid w:val="001F1D13"/>
    <w:rsid w:val="001F1E86"/>
    <w:rsid w:val="001F22B2"/>
    <w:rsid w:val="001F22BC"/>
    <w:rsid w:val="001F22CD"/>
    <w:rsid w:val="001F2346"/>
    <w:rsid w:val="001F2352"/>
    <w:rsid w:val="001F25DB"/>
    <w:rsid w:val="001F26F5"/>
    <w:rsid w:val="001F2825"/>
    <w:rsid w:val="001F286D"/>
    <w:rsid w:val="001F2901"/>
    <w:rsid w:val="001F2955"/>
    <w:rsid w:val="001F2A3D"/>
    <w:rsid w:val="001F2AC5"/>
    <w:rsid w:val="001F2C76"/>
    <w:rsid w:val="001F2E73"/>
    <w:rsid w:val="001F2E87"/>
    <w:rsid w:val="001F2EF3"/>
    <w:rsid w:val="001F2F81"/>
    <w:rsid w:val="001F304E"/>
    <w:rsid w:val="001F3280"/>
    <w:rsid w:val="001F3302"/>
    <w:rsid w:val="001F33B1"/>
    <w:rsid w:val="001F33BA"/>
    <w:rsid w:val="001F33C5"/>
    <w:rsid w:val="001F345D"/>
    <w:rsid w:val="001F34E1"/>
    <w:rsid w:val="001F3595"/>
    <w:rsid w:val="001F37CF"/>
    <w:rsid w:val="001F3873"/>
    <w:rsid w:val="001F38D2"/>
    <w:rsid w:val="001F390F"/>
    <w:rsid w:val="001F3920"/>
    <w:rsid w:val="001F3975"/>
    <w:rsid w:val="001F3A20"/>
    <w:rsid w:val="001F3A21"/>
    <w:rsid w:val="001F3C89"/>
    <w:rsid w:val="001F3CDF"/>
    <w:rsid w:val="001F3D12"/>
    <w:rsid w:val="001F3D3E"/>
    <w:rsid w:val="001F3D41"/>
    <w:rsid w:val="001F3D93"/>
    <w:rsid w:val="001F3DA0"/>
    <w:rsid w:val="001F3F53"/>
    <w:rsid w:val="001F3FA9"/>
    <w:rsid w:val="001F41FB"/>
    <w:rsid w:val="001F4211"/>
    <w:rsid w:val="001F42A2"/>
    <w:rsid w:val="001F42ED"/>
    <w:rsid w:val="001F4327"/>
    <w:rsid w:val="001F4383"/>
    <w:rsid w:val="001F43CD"/>
    <w:rsid w:val="001F442A"/>
    <w:rsid w:val="001F44C8"/>
    <w:rsid w:val="001F4547"/>
    <w:rsid w:val="001F460B"/>
    <w:rsid w:val="001F4639"/>
    <w:rsid w:val="001F4675"/>
    <w:rsid w:val="001F4725"/>
    <w:rsid w:val="001F48C6"/>
    <w:rsid w:val="001F491B"/>
    <w:rsid w:val="001F4939"/>
    <w:rsid w:val="001F498A"/>
    <w:rsid w:val="001F49E3"/>
    <w:rsid w:val="001F4AEF"/>
    <w:rsid w:val="001F4B0B"/>
    <w:rsid w:val="001F4BB4"/>
    <w:rsid w:val="001F4C2B"/>
    <w:rsid w:val="001F4C74"/>
    <w:rsid w:val="001F4CDD"/>
    <w:rsid w:val="001F4D4C"/>
    <w:rsid w:val="001F4DC8"/>
    <w:rsid w:val="001F4E52"/>
    <w:rsid w:val="001F4FE9"/>
    <w:rsid w:val="001F5008"/>
    <w:rsid w:val="001F50EA"/>
    <w:rsid w:val="001F532E"/>
    <w:rsid w:val="001F53E8"/>
    <w:rsid w:val="001F553B"/>
    <w:rsid w:val="001F560F"/>
    <w:rsid w:val="001F5614"/>
    <w:rsid w:val="001F587D"/>
    <w:rsid w:val="001F5895"/>
    <w:rsid w:val="001F590B"/>
    <w:rsid w:val="001F593D"/>
    <w:rsid w:val="001F5A43"/>
    <w:rsid w:val="001F5D80"/>
    <w:rsid w:val="001F5EC7"/>
    <w:rsid w:val="001F6056"/>
    <w:rsid w:val="001F624B"/>
    <w:rsid w:val="001F6387"/>
    <w:rsid w:val="001F638E"/>
    <w:rsid w:val="001F6600"/>
    <w:rsid w:val="001F66F0"/>
    <w:rsid w:val="001F6834"/>
    <w:rsid w:val="001F6993"/>
    <w:rsid w:val="001F6B85"/>
    <w:rsid w:val="001F6C9E"/>
    <w:rsid w:val="001F6CAB"/>
    <w:rsid w:val="001F6D1B"/>
    <w:rsid w:val="001F6ED3"/>
    <w:rsid w:val="001F70EC"/>
    <w:rsid w:val="001F7125"/>
    <w:rsid w:val="001F7134"/>
    <w:rsid w:val="001F726C"/>
    <w:rsid w:val="001F72FF"/>
    <w:rsid w:val="001F7358"/>
    <w:rsid w:val="001F742E"/>
    <w:rsid w:val="001F74D1"/>
    <w:rsid w:val="001F76CB"/>
    <w:rsid w:val="001F76ED"/>
    <w:rsid w:val="001F7788"/>
    <w:rsid w:val="001F7A49"/>
    <w:rsid w:val="001F7C76"/>
    <w:rsid w:val="001F7C9B"/>
    <w:rsid w:val="001F7ECA"/>
    <w:rsid w:val="001F7FB2"/>
    <w:rsid w:val="0020011E"/>
    <w:rsid w:val="0020016E"/>
    <w:rsid w:val="0020026A"/>
    <w:rsid w:val="0020026B"/>
    <w:rsid w:val="002002AA"/>
    <w:rsid w:val="00200373"/>
    <w:rsid w:val="002003ED"/>
    <w:rsid w:val="0020051C"/>
    <w:rsid w:val="002005E2"/>
    <w:rsid w:val="00200838"/>
    <w:rsid w:val="0020084C"/>
    <w:rsid w:val="002009B8"/>
    <w:rsid w:val="00200A13"/>
    <w:rsid w:val="00200A78"/>
    <w:rsid w:val="00200D1B"/>
    <w:rsid w:val="00200D6F"/>
    <w:rsid w:val="00200DB5"/>
    <w:rsid w:val="00200E18"/>
    <w:rsid w:val="00200FAF"/>
    <w:rsid w:val="00200FF5"/>
    <w:rsid w:val="0020109A"/>
    <w:rsid w:val="0020110E"/>
    <w:rsid w:val="002013AD"/>
    <w:rsid w:val="002014CC"/>
    <w:rsid w:val="002015F9"/>
    <w:rsid w:val="002016E3"/>
    <w:rsid w:val="00201812"/>
    <w:rsid w:val="002018B5"/>
    <w:rsid w:val="00201922"/>
    <w:rsid w:val="00201C67"/>
    <w:rsid w:val="00201C90"/>
    <w:rsid w:val="00201C97"/>
    <w:rsid w:val="00201D2F"/>
    <w:rsid w:val="00201E7E"/>
    <w:rsid w:val="00201EEE"/>
    <w:rsid w:val="00201F07"/>
    <w:rsid w:val="00201F1B"/>
    <w:rsid w:val="00201F2C"/>
    <w:rsid w:val="00201F90"/>
    <w:rsid w:val="002020E6"/>
    <w:rsid w:val="002020E8"/>
    <w:rsid w:val="00202279"/>
    <w:rsid w:val="002022C0"/>
    <w:rsid w:val="002022E2"/>
    <w:rsid w:val="00202419"/>
    <w:rsid w:val="0020255F"/>
    <w:rsid w:val="00202578"/>
    <w:rsid w:val="00202631"/>
    <w:rsid w:val="00202795"/>
    <w:rsid w:val="002027A6"/>
    <w:rsid w:val="00202881"/>
    <w:rsid w:val="002028CC"/>
    <w:rsid w:val="00202A10"/>
    <w:rsid w:val="00202A50"/>
    <w:rsid w:val="00202CAE"/>
    <w:rsid w:val="00202DEB"/>
    <w:rsid w:val="00202E5E"/>
    <w:rsid w:val="00202E9A"/>
    <w:rsid w:val="00203065"/>
    <w:rsid w:val="002030FC"/>
    <w:rsid w:val="00203109"/>
    <w:rsid w:val="0020327D"/>
    <w:rsid w:val="00203313"/>
    <w:rsid w:val="00203321"/>
    <w:rsid w:val="00203432"/>
    <w:rsid w:val="00203570"/>
    <w:rsid w:val="0020365D"/>
    <w:rsid w:val="002036D2"/>
    <w:rsid w:val="00203706"/>
    <w:rsid w:val="00203769"/>
    <w:rsid w:val="00203871"/>
    <w:rsid w:val="002038F5"/>
    <w:rsid w:val="00203A61"/>
    <w:rsid w:val="00203A69"/>
    <w:rsid w:val="00203A72"/>
    <w:rsid w:val="00203AEB"/>
    <w:rsid w:val="00203B23"/>
    <w:rsid w:val="00203B27"/>
    <w:rsid w:val="00203C02"/>
    <w:rsid w:val="00203FEC"/>
    <w:rsid w:val="0020412F"/>
    <w:rsid w:val="0020428B"/>
    <w:rsid w:val="002042B5"/>
    <w:rsid w:val="002042D3"/>
    <w:rsid w:val="002042F6"/>
    <w:rsid w:val="0020432F"/>
    <w:rsid w:val="002043EA"/>
    <w:rsid w:val="0020445B"/>
    <w:rsid w:val="002044F8"/>
    <w:rsid w:val="00204576"/>
    <w:rsid w:val="0020459F"/>
    <w:rsid w:val="00204674"/>
    <w:rsid w:val="002046A6"/>
    <w:rsid w:val="00204994"/>
    <w:rsid w:val="00204A76"/>
    <w:rsid w:val="00204B35"/>
    <w:rsid w:val="00204B3D"/>
    <w:rsid w:val="00204D26"/>
    <w:rsid w:val="00204E46"/>
    <w:rsid w:val="00204EDC"/>
    <w:rsid w:val="00204FE7"/>
    <w:rsid w:val="0020519F"/>
    <w:rsid w:val="0020531E"/>
    <w:rsid w:val="002053A9"/>
    <w:rsid w:val="00205452"/>
    <w:rsid w:val="0020562D"/>
    <w:rsid w:val="0020577A"/>
    <w:rsid w:val="002057CA"/>
    <w:rsid w:val="002059A4"/>
    <w:rsid w:val="002059AB"/>
    <w:rsid w:val="00205AD8"/>
    <w:rsid w:val="00205B9B"/>
    <w:rsid w:val="00205CD4"/>
    <w:rsid w:val="00205DBE"/>
    <w:rsid w:val="00205E16"/>
    <w:rsid w:val="0020600A"/>
    <w:rsid w:val="00206079"/>
    <w:rsid w:val="0020617B"/>
    <w:rsid w:val="0020618B"/>
    <w:rsid w:val="002061FD"/>
    <w:rsid w:val="002061FE"/>
    <w:rsid w:val="0020624A"/>
    <w:rsid w:val="00206291"/>
    <w:rsid w:val="00206318"/>
    <w:rsid w:val="0020644A"/>
    <w:rsid w:val="002067CE"/>
    <w:rsid w:val="002067E6"/>
    <w:rsid w:val="002067F7"/>
    <w:rsid w:val="0020685B"/>
    <w:rsid w:val="0020688B"/>
    <w:rsid w:val="002068C3"/>
    <w:rsid w:val="002068E2"/>
    <w:rsid w:val="002068FD"/>
    <w:rsid w:val="002069CE"/>
    <w:rsid w:val="00206A20"/>
    <w:rsid w:val="00206B74"/>
    <w:rsid w:val="00206BB4"/>
    <w:rsid w:val="00206C56"/>
    <w:rsid w:val="00206DD1"/>
    <w:rsid w:val="00206E1B"/>
    <w:rsid w:val="00206E32"/>
    <w:rsid w:val="00207098"/>
    <w:rsid w:val="002070DA"/>
    <w:rsid w:val="00207150"/>
    <w:rsid w:val="002071BB"/>
    <w:rsid w:val="002072F0"/>
    <w:rsid w:val="0020733C"/>
    <w:rsid w:val="00207410"/>
    <w:rsid w:val="00207421"/>
    <w:rsid w:val="0020750F"/>
    <w:rsid w:val="00207522"/>
    <w:rsid w:val="00207556"/>
    <w:rsid w:val="00207745"/>
    <w:rsid w:val="0020779A"/>
    <w:rsid w:val="002077B4"/>
    <w:rsid w:val="00207856"/>
    <w:rsid w:val="002078B5"/>
    <w:rsid w:val="00207B67"/>
    <w:rsid w:val="00207B85"/>
    <w:rsid w:val="00207C22"/>
    <w:rsid w:val="00207D53"/>
    <w:rsid w:val="00207D5A"/>
    <w:rsid w:val="00207DD5"/>
    <w:rsid w:val="00207E77"/>
    <w:rsid w:val="00207EEF"/>
    <w:rsid w:val="0021014E"/>
    <w:rsid w:val="00210272"/>
    <w:rsid w:val="00210349"/>
    <w:rsid w:val="0021039A"/>
    <w:rsid w:val="002103E5"/>
    <w:rsid w:val="002105F2"/>
    <w:rsid w:val="00210716"/>
    <w:rsid w:val="0021071D"/>
    <w:rsid w:val="00210767"/>
    <w:rsid w:val="002109F8"/>
    <w:rsid w:val="00210A0A"/>
    <w:rsid w:val="00210B0B"/>
    <w:rsid w:val="00210B8E"/>
    <w:rsid w:val="00210C17"/>
    <w:rsid w:val="00210C27"/>
    <w:rsid w:val="00210DDF"/>
    <w:rsid w:val="00210DF7"/>
    <w:rsid w:val="00210ED9"/>
    <w:rsid w:val="00210F41"/>
    <w:rsid w:val="00210F69"/>
    <w:rsid w:val="00210F72"/>
    <w:rsid w:val="0021101E"/>
    <w:rsid w:val="00211039"/>
    <w:rsid w:val="002111C7"/>
    <w:rsid w:val="00211282"/>
    <w:rsid w:val="002112A5"/>
    <w:rsid w:val="002112A8"/>
    <w:rsid w:val="002112A9"/>
    <w:rsid w:val="0021142B"/>
    <w:rsid w:val="0021149B"/>
    <w:rsid w:val="002114AF"/>
    <w:rsid w:val="00211527"/>
    <w:rsid w:val="0021154C"/>
    <w:rsid w:val="00211603"/>
    <w:rsid w:val="00211687"/>
    <w:rsid w:val="00211869"/>
    <w:rsid w:val="00211884"/>
    <w:rsid w:val="00211A06"/>
    <w:rsid w:val="00211B3B"/>
    <w:rsid w:val="00211BAE"/>
    <w:rsid w:val="00211BCB"/>
    <w:rsid w:val="00211BD1"/>
    <w:rsid w:val="00211C8D"/>
    <w:rsid w:val="00211D7D"/>
    <w:rsid w:val="00211E6C"/>
    <w:rsid w:val="00212051"/>
    <w:rsid w:val="002121EA"/>
    <w:rsid w:val="0021226E"/>
    <w:rsid w:val="00212384"/>
    <w:rsid w:val="002124EE"/>
    <w:rsid w:val="0021253A"/>
    <w:rsid w:val="002125B3"/>
    <w:rsid w:val="002126BE"/>
    <w:rsid w:val="00212799"/>
    <w:rsid w:val="002128BB"/>
    <w:rsid w:val="00212982"/>
    <w:rsid w:val="002129DB"/>
    <w:rsid w:val="00212A4E"/>
    <w:rsid w:val="00212A85"/>
    <w:rsid w:val="00212C58"/>
    <w:rsid w:val="00212C92"/>
    <w:rsid w:val="00212D3A"/>
    <w:rsid w:val="00212EB3"/>
    <w:rsid w:val="00212F53"/>
    <w:rsid w:val="00212FC6"/>
    <w:rsid w:val="002130E7"/>
    <w:rsid w:val="00213103"/>
    <w:rsid w:val="0021324C"/>
    <w:rsid w:val="0021325F"/>
    <w:rsid w:val="002132EB"/>
    <w:rsid w:val="002133E4"/>
    <w:rsid w:val="0021356E"/>
    <w:rsid w:val="00213576"/>
    <w:rsid w:val="00213605"/>
    <w:rsid w:val="0021365A"/>
    <w:rsid w:val="002136E6"/>
    <w:rsid w:val="002137EC"/>
    <w:rsid w:val="00213854"/>
    <w:rsid w:val="00213929"/>
    <w:rsid w:val="00213987"/>
    <w:rsid w:val="00213A71"/>
    <w:rsid w:val="00213CF3"/>
    <w:rsid w:val="00213D8B"/>
    <w:rsid w:val="00213DA9"/>
    <w:rsid w:val="00213FE4"/>
    <w:rsid w:val="00214107"/>
    <w:rsid w:val="0021437E"/>
    <w:rsid w:val="002143FF"/>
    <w:rsid w:val="00214548"/>
    <w:rsid w:val="00214558"/>
    <w:rsid w:val="00214596"/>
    <w:rsid w:val="0021459B"/>
    <w:rsid w:val="00214687"/>
    <w:rsid w:val="002146D7"/>
    <w:rsid w:val="0021473E"/>
    <w:rsid w:val="002147C0"/>
    <w:rsid w:val="00214805"/>
    <w:rsid w:val="00214864"/>
    <w:rsid w:val="00214888"/>
    <w:rsid w:val="00214967"/>
    <w:rsid w:val="002149CA"/>
    <w:rsid w:val="00214C84"/>
    <w:rsid w:val="00214C98"/>
    <w:rsid w:val="00214CAD"/>
    <w:rsid w:val="00214D17"/>
    <w:rsid w:val="00214E6F"/>
    <w:rsid w:val="00214EE1"/>
    <w:rsid w:val="00214F31"/>
    <w:rsid w:val="00214FC9"/>
    <w:rsid w:val="00214FF0"/>
    <w:rsid w:val="0021501A"/>
    <w:rsid w:val="0021543E"/>
    <w:rsid w:val="00215559"/>
    <w:rsid w:val="0021558E"/>
    <w:rsid w:val="002155EF"/>
    <w:rsid w:val="002157C6"/>
    <w:rsid w:val="002158BF"/>
    <w:rsid w:val="00215A0C"/>
    <w:rsid w:val="00215A0F"/>
    <w:rsid w:val="00215A90"/>
    <w:rsid w:val="00215AF9"/>
    <w:rsid w:val="00215D66"/>
    <w:rsid w:val="00215E22"/>
    <w:rsid w:val="00215F1A"/>
    <w:rsid w:val="002160D4"/>
    <w:rsid w:val="002161A7"/>
    <w:rsid w:val="0021631F"/>
    <w:rsid w:val="0021648E"/>
    <w:rsid w:val="002164C6"/>
    <w:rsid w:val="0021651D"/>
    <w:rsid w:val="002165D0"/>
    <w:rsid w:val="002165D3"/>
    <w:rsid w:val="0021663E"/>
    <w:rsid w:val="002166F2"/>
    <w:rsid w:val="0021682C"/>
    <w:rsid w:val="002169D4"/>
    <w:rsid w:val="00216AE9"/>
    <w:rsid w:val="00216B1D"/>
    <w:rsid w:val="00216B64"/>
    <w:rsid w:val="00216B90"/>
    <w:rsid w:val="00216B94"/>
    <w:rsid w:val="00216B9E"/>
    <w:rsid w:val="00216BEC"/>
    <w:rsid w:val="00216CAA"/>
    <w:rsid w:val="00216D6C"/>
    <w:rsid w:val="00216DF7"/>
    <w:rsid w:val="00216E4B"/>
    <w:rsid w:val="00217305"/>
    <w:rsid w:val="002174C3"/>
    <w:rsid w:val="00217600"/>
    <w:rsid w:val="002176A2"/>
    <w:rsid w:val="0021779A"/>
    <w:rsid w:val="002177CF"/>
    <w:rsid w:val="00217851"/>
    <w:rsid w:val="002178E9"/>
    <w:rsid w:val="0021793F"/>
    <w:rsid w:val="002179DF"/>
    <w:rsid w:val="00217A7E"/>
    <w:rsid w:val="00217AD3"/>
    <w:rsid w:val="00217AE8"/>
    <w:rsid w:val="00217AF6"/>
    <w:rsid w:val="00217C5E"/>
    <w:rsid w:val="0022025D"/>
    <w:rsid w:val="00220285"/>
    <w:rsid w:val="002203AC"/>
    <w:rsid w:val="002203B8"/>
    <w:rsid w:val="002206BF"/>
    <w:rsid w:val="00220749"/>
    <w:rsid w:val="00220752"/>
    <w:rsid w:val="00220756"/>
    <w:rsid w:val="00220A28"/>
    <w:rsid w:val="00220DBF"/>
    <w:rsid w:val="00221143"/>
    <w:rsid w:val="0022118F"/>
    <w:rsid w:val="002211A6"/>
    <w:rsid w:val="00221228"/>
    <w:rsid w:val="00221315"/>
    <w:rsid w:val="0022133B"/>
    <w:rsid w:val="0022139F"/>
    <w:rsid w:val="0022157D"/>
    <w:rsid w:val="00221599"/>
    <w:rsid w:val="00221900"/>
    <w:rsid w:val="00221A62"/>
    <w:rsid w:val="00221C72"/>
    <w:rsid w:val="00221D3A"/>
    <w:rsid w:val="00221E92"/>
    <w:rsid w:val="00221F5E"/>
    <w:rsid w:val="00222088"/>
    <w:rsid w:val="0022215B"/>
    <w:rsid w:val="0022217F"/>
    <w:rsid w:val="002221F1"/>
    <w:rsid w:val="0022221D"/>
    <w:rsid w:val="0022238C"/>
    <w:rsid w:val="0022238F"/>
    <w:rsid w:val="00222621"/>
    <w:rsid w:val="00222739"/>
    <w:rsid w:val="0022277C"/>
    <w:rsid w:val="002228CE"/>
    <w:rsid w:val="00222920"/>
    <w:rsid w:val="0022292E"/>
    <w:rsid w:val="00222CCD"/>
    <w:rsid w:val="00222DC8"/>
    <w:rsid w:val="00222E90"/>
    <w:rsid w:val="00222FF2"/>
    <w:rsid w:val="00223377"/>
    <w:rsid w:val="002233C9"/>
    <w:rsid w:val="0022351B"/>
    <w:rsid w:val="00223666"/>
    <w:rsid w:val="00223681"/>
    <w:rsid w:val="002237D2"/>
    <w:rsid w:val="002238CC"/>
    <w:rsid w:val="00223A98"/>
    <w:rsid w:val="00223B44"/>
    <w:rsid w:val="00223B4C"/>
    <w:rsid w:val="00223BF3"/>
    <w:rsid w:val="00223C39"/>
    <w:rsid w:val="00223C86"/>
    <w:rsid w:val="00223CBB"/>
    <w:rsid w:val="00223CCC"/>
    <w:rsid w:val="00223CEA"/>
    <w:rsid w:val="00223DF8"/>
    <w:rsid w:val="00223F44"/>
    <w:rsid w:val="00223FBA"/>
    <w:rsid w:val="002240FA"/>
    <w:rsid w:val="002241B8"/>
    <w:rsid w:val="002242B7"/>
    <w:rsid w:val="0022430E"/>
    <w:rsid w:val="0022453B"/>
    <w:rsid w:val="0022486D"/>
    <w:rsid w:val="002248D4"/>
    <w:rsid w:val="002248E3"/>
    <w:rsid w:val="00224BCC"/>
    <w:rsid w:val="00224E84"/>
    <w:rsid w:val="00224EC8"/>
    <w:rsid w:val="00225019"/>
    <w:rsid w:val="0022502B"/>
    <w:rsid w:val="0022515F"/>
    <w:rsid w:val="0022525C"/>
    <w:rsid w:val="002253C6"/>
    <w:rsid w:val="002253DF"/>
    <w:rsid w:val="002255FF"/>
    <w:rsid w:val="00225665"/>
    <w:rsid w:val="002256DC"/>
    <w:rsid w:val="002256F8"/>
    <w:rsid w:val="0022573F"/>
    <w:rsid w:val="0022597F"/>
    <w:rsid w:val="002259B5"/>
    <w:rsid w:val="002259C3"/>
    <w:rsid w:val="00225B4E"/>
    <w:rsid w:val="00225B64"/>
    <w:rsid w:val="00225BA3"/>
    <w:rsid w:val="00225C81"/>
    <w:rsid w:val="00225D69"/>
    <w:rsid w:val="00225DF4"/>
    <w:rsid w:val="00226105"/>
    <w:rsid w:val="002261A2"/>
    <w:rsid w:val="00226252"/>
    <w:rsid w:val="002262EC"/>
    <w:rsid w:val="00226342"/>
    <w:rsid w:val="00226496"/>
    <w:rsid w:val="00226965"/>
    <w:rsid w:val="002269CD"/>
    <w:rsid w:val="002269E2"/>
    <w:rsid w:val="00226A5E"/>
    <w:rsid w:val="00226A7F"/>
    <w:rsid w:val="00226B3E"/>
    <w:rsid w:val="00226C11"/>
    <w:rsid w:val="00226EAF"/>
    <w:rsid w:val="00226EED"/>
    <w:rsid w:val="00226F3E"/>
    <w:rsid w:val="0022736A"/>
    <w:rsid w:val="002274A3"/>
    <w:rsid w:val="00227505"/>
    <w:rsid w:val="0022757B"/>
    <w:rsid w:val="00227673"/>
    <w:rsid w:val="00227812"/>
    <w:rsid w:val="00227AC8"/>
    <w:rsid w:val="00227B66"/>
    <w:rsid w:val="00227BA5"/>
    <w:rsid w:val="00227BBC"/>
    <w:rsid w:val="00227C10"/>
    <w:rsid w:val="00227CD7"/>
    <w:rsid w:val="00227F82"/>
    <w:rsid w:val="002300A7"/>
    <w:rsid w:val="00230282"/>
    <w:rsid w:val="002303BB"/>
    <w:rsid w:val="00230420"/>
    <w:rsid w:val="0023061A"/>
    <w:rsid w:val="00230659"/>
    <w:rsid w:val="002307AE"/>
    <w:rsid w:val="002307C2"/>
    <w:rsid w:val="002308A3"/>
    <w:rsid w:val="00230926"/>
    <w:rsid w:val="00230999"/>
    <w:rsid w:val="00230B49"/>
    <w:rsid w:val="00230B4B"/>
    <w:rsid w:val="00230B8E"/>
    <w:rsid w:val="00230D6A"/>
    <w:rsid w:val="00230DD7"/>
    <w:rsid w:val="00230E19"/>
    <w:rsid w:val="00230E1A"/>
    <w:rsid w:val="00231044"/>
    <w:rsid w:val="002312CB"/>
    <w:rsid w:val="0023136C"/>
    <w:rsid w:val="00231391"/>
    <w:rsid w:val="002314BA"/>
    <w:rsid w:val="002315A1"/>
    <w:rsid w:val="002315C5"/>
    <w:rsid w:val="002315D3"/>
    <w:rsid w:val="00231601"/>
    <w:rsid w:val="002316B7"/>
    <w:rsid w:val="00231837"/>
    <w:rsid w:val="0023183F"/>
    <w:rsid w:val="0023188C"/>
    <w:rsid w:val="0023189C"/>
    <w:rsid w:val="002318EF"/>
    <w:rsid w:val="002318F0"/>
    <w:rsid w:val="002318F8"/>
    <w:rsid w:val="00231BA3"/>
    <w:rsid w:val="00231C2B"/>
    <w:rsid w:val="00231C43"/>
    <w:rsid w:val="00231C89"/>
    <w:rsid w:val="00231DAC"/>
    <w:rsid w:val="00231E10"/>
    <w:rsid w:val="00231E9E"/>
    <w:rsid w:val="00231F13"/>
    <w:rsid w:val="00232003"/>
    <w:rsid w:val="0023209E"/>
    <w:rsid w:val="002320C9"/>
    <w:rsid w:val="00232102"/>
    <w:rsid w:val="00232134"/>
    <w:rsid w:val="002321E5"/>
    <w:rsid w:val="00232326"/>
    <w:rsid w:val="002323F7"/>
    <w:rsid w:val="00232519"/>
    <w:rsid w:val="0023256D"/>
    <w:rsid w:val="002325EF"/>
    <w:rsid w:val="002326FF"/>
    <w:rsid w:val="002327BF"/>
    <w:rsid w:val="0023298E"/>
    <w:rsid w:val="00232A59"/>
    <w:rsid w:val="00232AD4"/>
    <w:rsid w:val="00232B08"/>
    <w:rsid w:val="00232B23"/>
    <w:rsid w:val="00232C1D"/>
    <w:rsid w:val="00232D4D"/>
    <w:rsid w:val="00232F6D"/>
    <w:rsid w:val="00232F99"/>
    <w:rsid w:val="00233076"/>
    <w:rsid w:val="00233099"/>
    <w:rsid w:val="0023323E"/>
    <w:rsid w:val="00233386"/>
    <w:rsid w:val="00233402"/>
    <w:rsid w:val="00233408"/>
    <w:rsid w:val="002335D2"/>
    <w:rsid w:val="00233628"/>
    <w:rsid w:val="002336F9"/>
    <w:rsid w:val="002337AE"/>
    <w:rsid w:val="002337FD"/>
    <w:rsid w:val="0023381E"/>
    <w:rsid w:val="002338E8"/>
    <w:rsid w:val="0023395C"/>
    <w:rsid w:val="00233A08"/>
    <w:rsid w:val="00233A48"/>
    <w:rsid w:val="00233A85"/>
    <w:rsid w:val="00233B58"/>
    <w:rsid w:val="00233B7E"/>
    <w:rsid w:val="00233BA4"/>
    <w:rsid w:val="00233BF9"/>
    <w:rsid w:val="00233D01"/>
    <w:rsid w:val="00233DE5"/>
    <w:rsid w:val="00234123"/>
    <w:rsid w:val="0023413B"/>
    <w:rsid w:val="00234164"/>
    <w:rsid w:val="002341E9"/>
    <w:rsid w:val="002342CB"/>
    <w:rsid w:val="00234387"/>
    <w:rsid w:val="002343A0"/>
    <w:rsid w:val="002343B5"/>
    <w:rsid w:val="002343CA"/>
    <w:rsid w:val="002343DA"/>
    <w:rsid w:val="002344D0"/>
    <w:rsid w:val="0023451F"/>
    <w:rsid w:val="002345DE"/>
    <w:rsid w:val="002346B6"/>
    <w:rsid w:val="002346D3"/>
    <w:rsid w:val="00234781"/>
    <w:rsid w:val="00234A51"/>
    <w:rsid w:val="00234A65"/>
    <w:rsid w:val="00234A7E"/>
    <w:rsid w:val="00234AC6"/>
    <w:rsid w:val="00234D38"/>
    <w:rsid w:val="00234D6E"/>
    <w:rsid w:val="00235050"/>
    <w:rsid w:val="00235086"/>
    <w:rsid w:val="00235118"/>
    <w:rsid w:val="00235279"/>
    <w:rsid w:val="00235596"/>
    <w:rsid w:val="002357BB"/>
    <w:rsid w:val="002357FE"/>
    <w:rsid w:val="00235A59"/>
    <w:rsid w:val="00235B63"/>
    <w:rsid w:val="00235B8D"/>
    <w:rsid w:val="00235CF8"/>
    <w:rsid w:val="00235D3C"/>
    <w:rsid w:val="00235E98"/>
    <w:rsid w:val="00235EBD"/>
    <w:rsid w:val="00235F65"/>
    <w:rsid w:val="0023639F"/>
    <w:rsid w:val="002363E4"/>
    <w:rsid w:val="002363FC"/>
    <w:rsid w:val="0023644C"/>
    <w:rsid w:val="00236531"/>
    <w:rsid w:val="00236733"/>
    <w:rsid w:val="002367A1"/>
    <w:rsid w:val="00236852"/>
    <w:rsid w:val="0023697A"/>
    <w:rsid w:val="00236981"/>
    <w:rsid w:val="0023699B"/>
    <w:rsid w:val="00236A7B"/>
    <w:rsid w:val="00236A7E"/>
    <w:rsid w:val="00236B1D"/>
    <w:rsid w:val="00236C48"/>
    <w:rsid w:val="00236C80"/>
    <w:rsid w:val="00236CCF"/>
    <w:rsid w:val="00236EBD"/>
    <w:rsid w:val="0023709C"/>
    <w:rsid w:val="002370C9"/>
    <w:rsid w:val="00237108"/>
    <w:rsid w:val="00237186"/>
    <w:rsid w:val="002371D5"/>
    <w:rsid w:val="002372A5"/>
    <w:rsid w:val="0023738C"/>
    <w:rsid w:val="002374B1"/>
    <w:rsid w:val="00237567"/>
    <w:rsid w:val="002375EE"/>
    <w:rsid w:val="002377A5"/>
    <w:rsid w:val="00237893"/>
    <w:rsid w:val="002379F2"/>
    <w:rsid w:val="002379F6"/>
    <w:rsid w:val="00237A15"/>
    <w:rsid w:val="00237B10"/>
    <w:rsid w:val="00237B5B"/>
    <w:rsid w:val="00237B80"/>
    <w:rsid w:val="00237C83"/>
    <w:rsid w:val="00237DCB"/>
    <w:rsid w:val="00237E27"/>
    <w:rsid w:val="00237FF3"/>
    <w:rsid w:val="00240111"/>
    <w:rsid w:val="0024018D"/>
    <w:rsid w:val="002401C9"/>
    <w:rsid w:val="00240386"/>
    <w:rsid w:val="0024040D"/>
    <w:rsid w:val="0024042E"/>
    <w:rsid w:val="002404AD"/>
    <w:rsid w:val="0024057B"/>
    <w:rsid w:val="00240854"/>
    <w:rsid w:val="002408E3"/>
    <w:rsid w:val="002409F9"/>
    <w:rsid w:val="00240BF7"/>
    <w:rsid w:val="00240E1B"/>
    <w:rsid w:val="00240F78"/>
    <w:rsid w:val="002410F1"/>
    <w:rsid w:val="0024110C"/>
    <w:rsid w:val="00241199"/>
    <w:rsid w:val="00241264"/>
    <w:rsid w:val="0024133F"/>
    <w:rsid w:val="002413D3"/>
    <w:rsid w:val="00241413"/>
    <w:rsid w:val="002415BB"/>
    <w:rsid w:val="002417F2"/>
    <w:rsid w:val="00241A59"/>
    <w:rsid w:val="00241A67"/>
    <w:rsid w:val="00241B29"/>
    <w:rsid w:val="00241B9F"/>
    <w:rsid w:val="00241BA4"/>
    <w:rsid w:val="00241C4E"/>
    <w:rsid w:val="00241CA5"/>
    <w:rsid w:val="00241D7C"/>
    <w:rsid w:val="00241D82"/>
    <w:rsid w:val="00241E1C"/>
    <w:rsid w:val="00241E54"/>
    <w:rsid w:val="00241E55"/>
    <w:rsid w:val="00241ED1"/>
    <w:rsid w:val="00242056"/>
    <w:rsid w:val="002421FD"/>
    <w:rsid w:val="00242271"/>
    <w:rsid w:val="002422FC"/>
    <w:rsid w:val="00242308"/>
    <w:rsid w:val="0024248F"/>
    <w:rsid w:val="00242492"/>
    <w:rsid w:val="00242510"/>
    <w:rsid w:val="0024256A"/>
    <w:rsid w:val="00242881"/>
    <w:rsid w:val="0024292C"/>
    <w:rsid w:val="002429ED"/>
    <w:rsid w:val="00242A33"/>
    <w:rsid w:val="00242BA7"/>
    <w:rsid w:val="00242BE7"/>
    <w:rsid w:val="00242D8E"/>
    <w:rsid w:val="00242DD4"/>
    <w:rsid w:val="00242E3C"/>
    <w:rsid w:val="00242E5E"/>
    <w:rsid w:val="0024300F"/>
    <w:rsid w:val="0024337E"/>
    <w:rsid w:val="002434B8"/>
    <w:rsid w:val="002434F0"/>
    <w:rsid w:val="002434F5"/>
    <w:rsid w:val="002435AF"/>
    <w:rsid w:val="002435F3"/>
    <w:rsid w:val="0024374C"/>
    <w:rsid w:val="00243847"/>
    <w:rsid w:val="002438EF"/>
    <w:rsid w:val="002438F5"/>
    <w:rsid w:val="00243962"/>
    <w:rsid w:val="00243A6B"/>
    <w:rsid w:val="00243B8C"/>
    <w:rsid w:val="00243D7F"/>
    <w:rsid w:val="00243FE6"/>
    <w:rsid w:val="00244070"/>
    <w:rsid w:val="00244331"/>
    <w:rsid w:val="002443B5"/>
    <w:rsid w:val="00244624"/>
    <w:rsid w:val="00244645"/>
    <w:rsid w:val="0024471F"/>
    <w:rsid w:val="0024488C"/>
    <w:rsid w:val="00244A3C"/>
    <w:rsid w:val="00244A3E"/>
    <w:rsid w:val="00244ACB"/>
    <w:rsid w:val="00244AF8"/>
    <w:rsid w:val="00244B59"/>
    <w:rsid w:val="00244D25"/>
    <w:rsid w:val="00244D92"/>
    <w:rsid w:val="00244E3E"/>
    <w:rsid w:val="00244F96"/>
    <w:rsid w:val="0024507E"/>
    <w:rsid w:val="00245150"/>
    <w:rsid w:val="002452C2"/>
    <w:rsid w:val="00245338"/>
    <w:rsid w:val="00245369"/>
    <w:rsid w:val="0024536E"/>
    <w:rsid w:val="002453AE"/>
    <w:rsid w:val="002453E9"/>
    <w:rsid w:val="0024545F"/>
    <w:rsid w:val="00245481"/>
    <w:rsid w:val="00245631"/>
    <w:rsid w:val="0024565D"/>
    <w:rsid w:val="0024572C"/>
    <w:rsid w:val="00245834"/>
    <w:rsid w:val="002458E6"/>
    <w:rsid w:val="00245B58"/>
    <w:rsid w:val="00245B7E"/>
    <w:rsid w:val="00245CEC"/>
    <w:rsid w:val="00245CFA"/>
    <w:rsid w:val="00245D99"/>
    <w:rsid w:val="00245DC6"/>
    <w:rsid w:val="00246113"/>
    <w:rsid w:val="00246286"/>
    <w:rsid w:val="002463EE"/>
    <w:rsid w:val="0024643B"/>
    <w:rsid w:val="00246455"/>
    <w:rsid w:val="0024666E"/>
    <w:rsid w:val="002469B0"/>
    <w:rsid w:val="002469DC"/>
    <w:rsid w:val="00246A1A"/>
    <w:rsid w:val="00246AA0"/>
    <w:rsid w:val="00246AAF"/>
    <w:rsid w:val="00246B03"/>
    <w:rsid w:val="00246B55"/>
    <w:rsid w:val="00246C1E"/>
    <w:rsid w:val="00246CC1"/>
    <w:rsid w:val="00246FB8"/>
    <w:rsid w:val="0024715B"/>
    <w:rsid w:val="002471C3"/>
    <w:rsid w:val="0024731C"/>
    <w:rsid w:val="0024731E"/>
    <w:rsid w:val="0024741B"/>
    <w:rsid w:val="0024742F"/>
    <w:rsid w:val="0024746A"/>
    <w:rsid w:val="002474C3"/>
    <w:rsid w:val="002474E8"/>
    <w:rsid w:val="0024755C"/>
    <w:rsid w:val="00247565"/>
    <w:rsid w:val="002475A5"/>
    <w:rsid w:val="002475BD"/>
    <w:rsid w:val="002475EE"/>
    <w:rsid w:val="00247606"/>
    <w:rsid w:val="00247614"/>
    <w:rsid w:val="002479E9"/>
    <w:rsid w:val="00247A61"/>
    <w:rsid w:val="00247A89"/>
    <w:rsid w:val="00247BC2"/>
    <w:rsid w:val="00247CBF"/>
    <w:rsid w:val="00247EC6"/>
    <w:rsid w:val="00247EDE"/>
    <w:rsid w:val="002500A3"/>
    <w:rsid w:val="00250160"/>
    <w:rsid w:val="00250168"/>
    <w:rsid w:val="002502AA"/>
    <w:rsid w:val="00250529"/>
    <w:rsid w:val="0025056B"/>
    <w:rsid w:val="0025075C"/>
    <w:rsid w:val="0025082A"/>
    <w:rsid w:val="002509E4"/>
    <w:rsid w:val="00250A7F"/>
    <w:rsid w:val="00250B27"/>
    <w:rsid w:val="00250C47"/>
    <w:rsid w:val="00250CD1"/>
    <w:rsid w:val="00250E3F"/>
    <w:rsid w:val="00250F75"/>
    <w:rsid w:val="0025100C"/>
    <w:rsid w:val="002510A2"/>
    <w:rsid w:val="002510D8"/>
    <w:rsid w:val="0025110F"/>
    <w:rsid w:val="00251130"/>
    <w:rsid w:val="00251282"/>
    <w:rsid w:val="002513EA"/>
    <w:rsid w:val="00251401"/>
    <w:rsid w:val="0025155B"/>
    <w:rsid w:val="002515FC"/>
    <w:rsid w:val="00251879"/>
    <w:rsid w:val="00251893"/>
    <w:rsid w:val="00251AAE"/>
    <w:rsid w:val="00251C8D"/>
    <w:rsid w:val="00251F02"/>
    <w:rsid w:val="00251F21"/>
    <w:rsid w:val="002520FE"/>
    <w:rsid w:val="00252133"/>
    <w:rsid w:val="002521EA"/>
    <w:rsid w:val="002521EB"/>
    <w:rsid w:val="002522C2"/>
    <w:rsid w:val="002522C7"/>
    <w:rsid w:val="0025230F"/>
    <w:rsid w:val="00252355"/>
    <w:rsid w:val="00252487"/>
    <w:rsid w:val="0025259E"/>
    <w:rsid w:val="002526ED"/>
    <w:rsid w:val="002527DE"/>
    <w:rsid w:val="002529A4"/>
    <w:rsid w:val="00252ACF"/>
    <w:rsid w:val="00252D94"/>
    <w:rsid w:val="00252DE4"/>
    <w:rsid w:val="00252F22"/>
    <w:rsid w:val="00252F9B"/>
    <w:rsid w:val="00253016"/>
    <w:rsid w:val="0025303C"/>
    <w:rsid w:val="00253094"/>
    <w:rsid w:val="00253234"/>
    <w:rsid w:val="00253258"/>
    <w:rsid w:val="0025344D"/>
    <w:rsid w:val="002534E2"/>
    <w:rsid w:val="002535FE"/>
    <w:rsid w:val="00253685"/>
    <w:rsid w:val="00253754"/>
    <w:rsid w:val="00253BD2"/>
    <w:rsid w:val="00253C2F"/>
    <w:rsid w:val="00253E01"/>
    <w:rsid w:val="00253E81"/>
    <w:rsid w:val="00253ED0"/>
    <w:rsid w:val="00254055"/>
    <w:rsid w:val="0025422F"/>
    <w:rsid w:val="00254366"/>
    <w:rsid w:val="0025443D"/>
    <w:rsid w:val="00254628"/>
    <w:rsid w:val="002546C6"/>
    <w:rsid w:val="0025474A"/>
    <w:rsid w:val="002547CC"/>
    <w:rsid w:val="002547DA"/>
    <w:rsid w:val="002547E4"/>
    <w:rsid w:val="002548E6"/>
    <w:rsid w:val="002549A7"/>
    <w:rsid w:val="00254AD5"/>
    <w:rsid w:val="00254B1D"/>
    <w:rsid w:val="00254B47"/>
    <w:rsid w:val="00254B62"/>
    <w:rsid w:val="00254BC3"/>
    <w:rsid w:val="00254C70"/>
    <w:rsid w:val="00254E47"/>
    <w:rsid w:val="00254F3D"/>
    <w:rsid w:val="0025520B"/>
    <w:rsid w:val="002552D9"/>
    <w:rsid w:val="00255423"/>
    <w:rsid w:val="0025561C"/>
    <w:rsid w:val="002556DD"/>
    <w:rsid w:val="00255725"/>
    <w:rsid w:val="00255808"/>
    <w:rsid w:val="00255859"/>
    <w:rsid w:val="00255936"/>
    <w:rsid w:val="0025597F"/>
    <w:rsid w:val="00255B97"/>
    <w:rsid w:val="00255D5F"/>
    <w:rsid w:val="00255E13"/>
    <w:rsid w:val="00255E21"/>
    <w:rsid w:val="00255E5B"/>
    <w:rsid w:val="00255F67"/>
    <w:rsid w:val="002560E4"/>
    <w:rsid w:val="002560F5"/>
    <w:rsid w:val="00256219"/>
    <w:rsid w:val="00256286"/>
    <w:rsid w:val="00256317"/>
    <w:rsid w:val="0025658E"/>
    <w:rsid w:val="00256772"/>
    <w:rsid w:val="00256880"/>
    <w:rsid w:val="00256899"/>
    <w:rsid w:val="002568FA"/>
    <w:rsid w:val="0025696C"/>
    <w:rsid w:val="00256A30"/>
    <w:rsid w:val="00256A75"/>
    <w:rsid w:val="00256A9E"/>
    <w:rsid w:val="00256B32"/>
    <w:rsid w:val="00256E72"/>
    <w:rsid w:val="00256F0B"/>
    <w:rsid w:val="00256F1C"/>
    <w:rsid w:val="00256FFA"/>
    <w:rsid w:val="002571A0"/>
    <w:rsid w:val="00257418"/>
    <w:rsid w:val="002574D2"/>
    <w:rsid w:val="00257672"/>
    <w:rsid w:val="002577B8"/>
    <w:rsid w:val="002579D0"/>
    <w:rsid w:val="00257AA8"/>
    <w:rsid w:val="00257B26"/>
    <w:rsid w:val="00257B40"/>
    <w:rsid w:val="00257BC2"/>
    <w:rsid w:val="00257D2C"/>
    <w:rsid w:val="00257D4B"/>
    <w:rsid w:val="00257D76"/>
    <w:rsid w:val="00257E46"/>
    <w:rsid w:val="00257EAE"/>
    <w:rsid w:val="00260133"/>
    <w:rsid w:val="002601A3"/>
    <w:rsid w:val="00260286"/>
    <w:rsid w:val="002602BD"/>
    <w:rsid w:val="002603F1"/>
    <w:rsid w:val="0026041D"/>
    <w:rsid w:val="0026045E"/>
    <w:rsid w:val="00260627"/>
    <w:rsid w:val="00260749"/>
    <w:rsid w:val="002607DF"/>
    <w:rsid w:val="0026090F"/>
    <w:rsid w:val="002609CC"/>
    <w:rsid w:val="00260BB7"/>
    <w:rsid w:val="00260C56"/>
    <w:rsid w:val="00260CDE"/>
    <w:rsid w:val="00260E1C"/>
    <w:rsid w:val="00260E53"/>
    <w:rsid w:val="00260F9C"/>
    <w:rsid w:val="00260FAA"/>
    <w:rsid w:val="00260FFF"/>
    <w:rsid w:val="00261017"/>
    <w:rsid w:val="00261092"/>
    <w:rsid w:val="002611C3"/>
    <w:rsid w:val="00261297"/>
    <w:rsid w:val="0026129A"/>
    <w:rsid w:val="002612CF"/>
    <w:rsid w:val="0026131D"/>
    <w:rsid w:val="00261322"/>
    <w:rsid w:val="002613CE"/>
    <w:rsid w:val="00261402"/>
    <w:rsid w:val="00261438"/>
    <w:rsid w:val="00261671"/>
    <w:rsid w:val="00261674"/>
    <w:rsid w:val="00261684"/>
    <w:rsid w:val="0026173B"/>
    <w:rsid w:val="00261937"/>
    <w:rsid w:val="0026193B"/>
    <w:rsid w:val="00261943"/>
    <w:rsid w:val="00261948"/>
    <w:rsid w:val="00261C0E"/>
    <w:rsid w:val="00261E04"/>
    <w:rsid w:val="00261E42"/>
    <w:rsid w:val="00261F64"/>
    <w:rsid w:val="0026206C"/>
    <w:rsid w:val="00262071"/>
    <w:rsid w:val="0026218C"/>
    <w:rsid w:val="00262315"/>
    <w:rsid w:val="0026233D"/>
    <w:rsid w:val="00262396"/>
    <w:rsid w:val="002623E9"/>
    <w:rsid w:val="00262474"/>
    <w:rsid w:val="002624DD"/>
    <w:rsid w:val="00262525"/>
    <w:rsid w:val="0026274D"/>
    <w:rsid w:val="0026289A"/>
    <w:rsid w:val="00262931"/>
    <w:rsid w:val="00262949"/>
    <w:rsid w:val="0026294F"/>
    <w:rsid w:val="00262963"/>
    <w:rsid w:val="00262A3D"/>
    <w:rsid w:val="00262B4B"/>
    <w:rsid w:val="00262C28"/>
    <w:rsid w:val="00262C31"/>
    <w:rsid w:val="00262D50"/>
    <w:rsid w:val="00262D95"/>
    <w:rsid w:val="00262E40"/>
    <w:rsid w:val="00262E8C"/>
    <w:rsid w:val="00262FEC"/>
    <w:rsid w:val="00263055"/>
    <w:rsid w:val="002631B8"/>
    <w:rsid w:val="002632A6"/>
    <w:rsid w:val="002632C1"/>
    <w:rsid w:val="00263317"/>
    <w:rsid w:val="00263372"/>
    <w:rsid w:val="002633BA"/>
    <w:rsid w:val="002633C5"/>
    <w:rsid w:val="0026340F"/>
    <w:rsid w:val="002634B5"/>
    <w:rsid w:val="00263510"/>
    <w:rsid w:val="002635D3"/>
    <w:rsid w:val="0026362B"/>
    <w:rsid w:val="00263860"/>
    <w:rsid w:val="0026388A"/>
    <w:rsid w:val="0026389A"/>
    <w:rsid w:val="00263A12"/>
    <w:rsid w:val="00263A56"/>
    <w:rsid w:val="00263B75"/>
    <w:rsid w:val="00263BBB"/>
    <w:rsid w:val="00263BCF"/>
    <w:rsid w:val="00263D2A"/>
    <w:rsid w:val="00263E30"/>
    <w:rsid w:val="00263F34"/>
    <w:rsid w:val="00263F45"/>
    <w:rsid w:val="002640AE"/>
    <w:rsid w:val="0026427A"/>
    <w:rsid w:val="002642CA"/>
    <w:rsid w:val="00264323"/>
    <w:rsid w:val="00264377"/>
    <w:rsid w:val="002644E1"/>
    <w:rsid w:val="0026451E"/>
    <w:rsid w:val="002646F1"/>
    <w:rsid w:val="00264701"/>
    <w:rsid w:val="00264755"/>
    <w:rsid w:val="0026478A"/>
    <w:rsid w:val="00264792"/>
    <w:rsid w:val="00264827"/>
    <w:rsid w:val="0026496E"/>
    <w:rsid w:val="00264A07"/>
    <w:rsid w:val="00264A40"/>
    <w:rsid w:val="00264B88"/>
    <w:rsid w:val="00264CA7"/>
    <w:rsid w:val="00264DFB"/>
    <w:rsid w:val="00264E50"/>
    <w:rsid w:val="00264EC7"/>
    <w:rsid w:val="00265005"/>
    <w:rsid w:val="0026506D"/>
    <w:rsid w:val="0026507F"/>
    <w:rsid w:val="0026534F"/>
    <w:rsid w:val="00265389"/>
    <w:rsid w:val="0026538A"/>
    <w:rsid w:val="00265406"/>
    <w:rsid w:val="00265455"/>
    <w:rsid w:val="002654F8"/>
    <w:rsid w:val="00265520"/>
    <w:rsid w:val="0026552D"/>
    <w:rsid w:val="00265569"/>
    <w:rsid w:val="00265579"/>
    <w:rsid w:val="0026561B"/>
    <w:rsid w:val="0026562E"/>
    <w:rsid w:val="00265644"/>
    <w:rsid w:val="00265659"/>
    <w:rsid w:val="002656EC"/>
    <w:rsid w:val="00265706"/>
    <w:rsid w:val="00265888"/>
    <w:rsid w:val="0026589F"/>
    <w:rsid w:val="002658EB"/>
    <w:rsid w:val="00265911"/>
    <w:rsid w:val="0026596E"/>
    <w:rsid w:val="00265A54"/>
    <w:rsid w:val="00265A74"/>
    <w:rsid w:val="00265AFD"/>
    <w:rsid w:val="00265C3E"/>
    <w:rsid w:val="00265C46"/>
    <w:rsid w:val="00265C63"/>
    <w:rsid w:val="00265CC6"/>
    <w:rsid w:val="00265D49"/>
    <w:rsid w:val="00265DF5"/>
    <w:rsid w:val="00265E03"/>
    <w:rsid w:val="00265E1F"/>
    <w:rsid w:val="00265E9D"/>
    <w:rsid w:val="00265ED9"/>
    <w:rsid w:val="002660B1"/>
    <w:rsid w:val="002660DE"/>
    <w:rsid w:val="002660EF"/>
    <w:rsid w:val="00266168"/>
    <w:rsid w:val="002662DF"/>
    <w:rsid w:val="00266354"/>
    <w:rsid w:val="00266458"/>
    <w:rsid w:val="002664D3"/>
    <w:rsid w:val="00266686"/>
    <w:rsid w:val="00266690"/>
    <w:rsid w:val="00266792"/>
    <w:rsid w:val="002667FC"/>
    <w:rsid w:val="0026685F"/>
    <w:rsid w:val="00266AC4"/>
    <w:rsid w:val="00266BAA"/>
    <w:rsid w:val="00266C33"/>
    <w:rsid w:val="00266C6B"/>
    <w:rsid w:val="00266C97"/>
    <w:rsid w:val="00266CC3"/>
    <w:rsid w:val="00266D29"/>
    <w:rsid w:val="00266E89"/>
    <w:rsid w:val="00267046"/>
    <w:rsid w:val="00267205"/>
    <w:rsid w:val="00267232"/>
    <w:rsid w:val="002673A5"/>
    <w:rsid w:val="0026747C"/>
    <w:rsid w:val="002674AA"/>
    <w:rsid w:val="002674B4"/>
    <w:rsid w:val="0026751F"/>
    <w:rsid w:val="00267600"/>
    <w:rsid w:val="00267611"/>
    <w:rsid w:val="00267738"/>
    <w:rsid w:val="0026776D"/>
    <w:rsid w:val="0026779E"/>
    <w:rsid w:val="00267815"/>
    <w:rsid w:val="0026787A"/>
    <w:rsid w:val="002678CA"/>
    <w:rsid w:val="002679A1"/>
    <w:rsid w:val="002679BA"/>
    <w:rsid w:val="00267A59"/>
    <w:rsid w:val="00267ABE"/>
    <w:rsid w:val="00267B7A"/>
    <w:rsid w:val="00267BAF"/>
    <w:rsid w:val="00267C56"/>
    <w:rsid w:val="00267DCF"/>
    <w:rsid w:val="00267ECF"/>
    <w:rsid w:val="00267FC2"/>
    <w:rsid w:val="0027027B"/>
    <w:rsid w:val="002702A9"/>
    <w:rsid w:val="002702AF"/>
    <w:rsid w:val="002702D2"/>
    <w:rsid w:val="002703C1"/>
    <w:rsid w:val="00270438"/>
    <w:rsid w:val="0027047C"/>
    <w:rsid w:val="002704E2"/>
    <w:rsid w:val="00270508"/>
    <w:rsid w:val="00270604"/>
    <w:rsid w:val="00270711"/>
    <w:rsid w:val="00270737"/>
    <w:rsid w:val="002707F5"/>
    <w:rsid w:val="002708CC"/>
    <w:rsid w:val="002708D5"/>
    <w:rsid w:val="002709AD"/>
    <w:rsid w:val="00270A58"/>
    <w:rsid w:val="00270ADE"/>
    <w:rsid w:val="00270C57"/>
    <w:rsid w:val="00270F52"/>
    <w:rsid w:val="0027119C"/>
    <w:rsid w:val="002711F1"/>
    <w:rsid w:val="00271344"/>
    <w:rsid w:val="0027136A"/>
    <w:rsid w:val="00271555"/>
    <w:rsid w:val="0027156F"/>
    <w:rsid w:val="00271618"/>
    <w:rsid w:val="002717E1"/>
    <w:rsid w:val="0027191C"/>
    <w:rsid w:val="00271984"/>
    <w:rsid w:val="00271A44"/>
    <w:rsid w:val="00271B61"/>
    <w:rsid w:val="00271BF8"/>
    <w:rsid w:val="00271C46"/>
    <w:rsid w:val="00271CEF"/>
    <w:rsid w:val="00271DAE"/>
    <w:rsid w:val="00271E85"/>
    <w:rsid w:val="00271EDE"/>
    <w:rsid w:val="0027205F"/>
    <w:rsid w:val="00272348"/>
    <w:rsid w:val="002723CD"/>
    <w:rsid w:val="002724CE"/>
    <w:rsid w:val="0027259B"/>
    <w:rsid w:val="002725E6"/>
    <w:rsid w:val="002726F5"/>
    <w:rsid w:val="00272743"/>
    <w:rsid w:val="0027287F"/>
    <w:rsid w:val="002729D8"/>
    <w:rsid w:val="00272BE0"/>
    <w:rsid w:val="00272D62"/>
    <w:rsid w:val="00272FCD"/>
    <w:rsid w:val="00273064"/>
    <w:rsid w:val="00273291"/>
    <w:rsid w:val="00273295"/>
    <w:rsid w:val="00273377"/>
    <w:rsid w:val="002733EF"/>
    <w:rsid w:val="00273668"/>
    <w:rsid w:val="0027368E"/>
    <w:rsid w:val="0027372C"/>
    <w:rsid w:val="0027373F"/>
    <w:rsid w:val="00273771"/>
    <w:rsid w:val="00273781"/>
    <w:rsid w:val="002738C7"/>
    <w:rsid w:val="002738EA"/>
    <w:rsid w:val="002739B6"/>
    <w:rsid w:val="00273B52"/>
    <w:rsid w:val="00273BF3"/>
    <w:rsid w:val="00273C72"/>
    <w:rsid w:val="00273E23"/>
    <w:rsid w:val="00273E88"/>
    <w:rsid w:val="00273ECA"/>
    <w:rsid w:val="00273EE5"/>
    <w:rsid w:val="00274122"/>
    <w:rsid w:val="00274247"/>
    <w:rsid w:val="002742AF"/>
    <w:rsid w:val="00274480"/>
    <w:rsid w:val="0027448B"/>
    <w:rsid w:val="002744C1"/>
    <w:rsid w:val="0027451A"/>
    <w:rsid w:val="00274520"/>
    <w:rsid w:val="002745A9"/>
    <w:rsid w:val="00274734"/>
    <w:rsid w:val="00274972"/>
    <w:rsid w:val="00274B0C"/>
    <w:rsid w:val="00274B4B"/>
    <w:rsid w:val="00274BA4"/>
    <w:rsid w:val="00274BD3"/>
    <w:rsid w:val="00274DFA"/>
    <w:rsid w:val="00274E2A"/>
    <w:rsid w:val="00275236"/>
    <w:rsid w:val="002752A9"/>
    <w:rsid w:val="00275480"/>
    <w:rsid w:val="002755AF"/>
    <w:rsid w:val="00275641"/>
    <w:rsid w:val="002756A1"/>
    <w:rsid w:val="0027583C"/>
    <w:rsid w:val="00275856"/>
    <w:rsid w:val="00275897"/>
    <w:rsid w:val="002758A3"/>
    <w:rsid w:val="00275A53"/>
    <w:rsid w:val="00275FAA"/>
    <w:rsid w:val="00275FEB"/>
    <w:rsid w:val="00276019"/>
    <w:rsid w:val="0027605E"/>
    <w:rsid w:val="0027606D"/>
    <w:rsid w:val="00276167"/>
    <w:rsid w:val="0027621E"/>
    <w:rsid w:val="00276221"/>
    <w:rsid w:val="0027625A"/>
    <w:rsid w:val="0027628D"/>
    <w:rsid w:val="002763B7"/>
    <w:rsid w:val="002763B9"/>
    <w:rsid w:val="00276563"/>
    <w:rsid w:val="002765B3"/>
    <w:rsid w:val="002765CB"/>
    <w:rsid w:val="00276751"/>
    <w:rsid w:val="002767C3"/>
    <w:rsid w:val="00276872"/>
    <w:rsid w:val="00276B2F"/>
    <w:rsid w:val="00276B69"/>
    <w:rsid w:val="00276C2E"/>
    <w:rsid w:val="00276D0C"/>
    <w:rsid w:val="00276EA6"/>
    <w:rsid w:val="0027727E"/>
    <w:rsid w:val="002772F7"/>
    <w:rsid w:val="0027735C"/>
    <w:rsid w:val="0027739C"/>
    <w:rsid w:val="002773F3"/>
    <w:rsid w:val="0027745D"/>
    <w:rsid w:val="002774B8"/>
    <w:rsid w:val="0027758D"/>
    <w:rsid w:val="002775C4"/>
    <w:rsid w:val="002776DB"/>
    <w:rsid w:val="0027779F"/>
    <w:rsid w:val="0027782F"/>
    <w:rsid w:val="0027786C"/>
    <w:rsid w:val="002778CC"/>
    <w:rsid w:val="00277999"/>
    <w:rsid w:val="00277B9E"/>
    <w:rsid w:val="00277CCE"/>
    <w:rsid w:val="00277D61"/>
    <w:rsid w:val="00277F1D"/>
    <w:rsid w:val="00277F62"/>
    <w:rsid w:val="00280193"/>
    <w:rsid w:val="002802AD"/>
    <w:rsid w:val="00280301"/>
    <w:rsid w:val="0028031A"/>
    <w:rsid w:val="00280393"/>
    <w:rsid w:val="002804E4"/>
    <w:rsid w:val="00280560"/>
    <w:rsid w:val="002806CB"/>
    <w:rsid w:val="002809DF"/>
    <w:rsid w:val="00280A12"/>
    <w:rsid w:val="00280A1F"/>
    <w:rsid w:val="00280A6C"/>
    <w:rsid w:val="00280C56"/>
    <w:rsid w:val="00280CD7"/>
    <w:rsid w:val="00280DBA"/>
    <w:rsid w:val="00280F86"/>
    <w:rsid w:val="00281019"/>
    <w:rsid w:val="0028106E"/>
    <w:rsid w:val="002810BB"/>
    <w:rsid w:val="002810DB"/>
    <w:rsid w:val="00281101"/>
    <w:rsid w:val="002811DD"/>
    <w:rsid w:val="0028129D"/>
    <w:rsid w:val="00281405"/>
    <w:rsid w:val="002814E5"/>
    <w:rsid w:val="00281567"/>
    <w:rsid w:val="002818B5"/>
    <w:rsid w:val="002818CC"/>
    <w:rsid w:val="00281927"/>
    <w:rsid w:val="002819EA"/>
    <w:rsid w:val="00281A1D"/>
    <w:rsid w:val="00281A9B"/>
    <w:rsid w:val="00281B7F"/>
    <w:rsid w:val="00281BE2"/>
    <w:rsid w:val="00281C39"/>
    <w:rsid w:val="00281CD4"/>
    <w:rsid w:val="00281DA5"/>
    <w:rsid w:val="00281E97"/>
    <w:rsid w:val="00281EE6"/>
    <w:rsid w:val="0028208D"/>
    <w:rsid w:val="0028218E"/>
    <w:rsid w:val="0028219D"/>
    <w:rsid w:val="00282201"/>
    <w:rsid w:val="002822A1"/>
    <w:rsid w:val="002822A9"/>
    <w:rsid w:val="002822DC"/>
    <w:rsid w:val="0028239F"/>
    <w:rsid w:val="00282411"/>
    <w:rsid w:val="0028254E"/>
    <w:rsid w:val="00282561"/>
    <w:rsid w:val="002825D5"/>
    <w:rsid w:val="002828FF"/>
    <w:rsid w:val="00282954"/>
    <w:rsid w:val="00282AA5"/>
    <w:rsid w:val="00282AA8"/>
    <w:rsid w:val="00282ACB"/>
    <w:rsid w:val="00282B6F"/>
    <w:rsid w:val="00282C33"/>
    <w:rsid w:val="00282CBC"/>
    <w:rsid w:val="00282DA5"/>
    <w:rsid w:val="00282DAC"/>
    <w:rsid w:val="00282DE9"/>
    <w:rsid w:val="00282E0F"/>
    <w:rsid w:val="00282E2F"/>
    <w:rsid w:val="00282E62"/>
    <w:rsid w:val="00282F65"/>
    <w:rsid w:val="00282F6A"/>
    <w:rsid w:val="00282FB0"/>
    <w:rsid w:val="00282FC5"/>
    <w:rsid w:val="00283216"/>
    <w:rsid w:val="002834A1"/>
    <w:rsid w:val="002835B9"/>
    <w:rsid w:val="0028368C"/>
    <w:rsid w:val="0028370B"/>
    <w:rsid w:val="00283712"/>
    <w:rsid w:val="0028376A"/>
    <w:rsid w:val="00283976"/>
    <w:rsid w:val="002839BA"/>
    <w:rsid w:val="00283B5A"/>
    <w:rsid w:val="00283CAA"/>
    <w:rsid w:val="00283D29"/>
    <w:rsid w:val="00283D4F"/>
    <w:rsid w:val="00283E54"/>
    <w:rsid w:val="00283EEF"/>
    <w:rsid w:val="00283F91"/>
    <w:rsid w:val="002840E2"/>
    <w:rsid w:val="00284118"/>
    <w:rsid w:val="002842A4"/>
    <w:rsid w:val="002842D7"/>
    <w:rsid w:val="00284429"/>
    <w:rsid w:val="002845E4"/>
    <w:rsid w:val="00284626"/>
    <w:rsid w:val="002846B9"/>
    <w:rsid w:val="002846FE"/>
    <w:rsid w:val="0028476B"/>
    <w:rsid w:val="00284825"/>
    <w:rsid w:val="00284858"/>
    <w:rsid w:val="0028497E"/>
    <w:rsid w:val="00284ACA"/>
    <w:rsid w:val="00284BC6"/>
    <w:rsid w:val="00284CBE"/>
    <w:rsid w:val="00284CE5"/>
    <w:rsid w:val="00284DCC"/>
    <w:rsid w:val="00284E90"/>
    <w:rsid w:val="00284F82"/>
    <w:rsid w:val="002850FC"/>
    <w:rsid w:val="00285171"/>
    <w:rsid w:val="0028517D"/>
    <w:rsid w:val="002851B4"/>
    <w:rsid w:val="00285238"/>
    <w:rsid w:val="002853B2"/>
    <w:rsid w:val="002853B6"/>
    <w:rsid w:val="0028547E"/>
    <w:rsid w:val="00285562"/>
    <w:rsid w:val="00285639"/>
    <w:rsid w:val="00285855"/>
    <w:rsid w:val="002858B0"/>
    <w:rsid w:val="002859A4"/>
    <w:rsid w:val="00285A4E"/>
    <w:rsid w:val="00285A8E"/>
    <w:rsid w:val="00285B12"/>
    <w:rsid w:val="00285B6B"/>
    <w:rsid w:val="00285BC9"/>
    <w:rsid w:val="00285BEF"/>
    <w:rsid w:val="00285CEB"/>
    <w:rsid w:val="00285D9B"/>
    <w:rsid w:val="002860F8"/>
    <w:rsid w:val="00286144"/>
    <w:rsid w:val="002863A9"/>
    <w:rsid w:val="002863B0"/>
    <w:rsid w:val="002863EC"/>
    <w:rsid w:val="0028650C"/>
    <w:rsid w:val="002865E9"/>
    <w:rsid w:val="00286628"/>
    <w:rsid w:val="00286874"/>
    <w:rsid w:val="002868F5"/>
    <w:rsid w:val="0028691B"/>
    <w:rsid w:val="00286990"/>
    <w:rsid w:val="00286A2D"/>
    <w:rsid w:val="00286A84"/>
    <w:rsid w:val="00286BAE"/>
    <w:rsid w:val="00286C85"/>
    <w:rsid w:val="00286E83"/>
    <w:rsid w:val="00286F4C"/>
    <w:rsid w:val="00287259"/>
    <w:rsid w:val="00287297"/>
    <w:rsid w:val="002872D5"/>
    <w:rsid w:val="0028732F"/>
    <w:rsid w:val="0028735A"/>
    <w:rsid w:val="002874D4"/>
    <w:rsid w:val="00287542"/>
    <w:rsid w:val="002875C8"/>
    <w:rsid w:val="00287676"/>
    <w:rsid w:val="00287688"/>
    <w:rsid w:val="0028769E"/>
    <w:rsid w:val="0028773D"/>
    <w:rsid w:val="00287786"/>
    <w:rsid w:val="00287805"/>
    <w:rsid w:val="00287818"/>
    <w:rsid w:val="0028797A"/>
    <w:rsid w:val="00287A99"/>
    <w:rsid w:val="00287AC0"/>
    <w:rsid w:val="00287C18"/>
    <w:rsid w:val="00287D4A"/>
    <w:rsid w:val="00287DA1"/>
    <w:rsid w:val="00287E67"/>
    <w:rsid w:val="0029001B"/>
    <w:rsid w:val="002900FD"/>
    <w:rsid w:val="00290115"/>
    <w:rsid w:val="0029026B"/>
    <w:rsid w:val="002904CD"/>
    <w:rsid w:val="0029056C"/>
    <w:rsid w:val="00290659"/>
    <w:rsid w:val="00290682"/>
    <w:rsid w:val="002906B0"/>
    <w:rsid w:val="0029083A"/>
    <w:rsid w:val="00290A52"/>
    <w:rsid w:val="00290B89"/>
    <w:rsid w:val="00290C8A"/>
    <w:rsid w:val="00290CC1"/>
    <w:rsid w:val="00290DB4"/>
    <w:rsid w:val="00290DBA"/>
    <w:rsid w:val="00290EE7"/>
    <w:rsid w:val="00290FF0"/>
    <w:rsid w:val="00291086"/>
    <w:rsid w:val="00291188"/>
    <w:rsid w:val="0029118F"/>
    <w:rsid w:val="002913D0"/>
    <w:rsid w:val="00291437"/>
    <w:rsid w:val="002914C5"/>
    <w:rsid w:val="0029150F"/>
    <w:rsid w:val="00291531"/>
    <w:rsid w:val="0029159B"/>
    <w:rsid w:val="002915F3"/>
    <w:rsid w:val="00291774"/>
    <w:rsid w:val="00291914"/>
    <w:rsid w:val="00291AAB"/>
    <w:rsid w:val="00291ACD"/>
    <w:rsid w:val="00291AF3"/>
    <w:rsid w:val="00291B12"/>
    <w:rsid w:val="00291B26"/>
    <w:rsid w:val="00291B93"/>
    <w:rsid w:val="00291C36"/>
    <w:rsid w:val="00291D62"/>
    <w:rsid w:val="00291E5C"/>
    <w:rsid w:val="00291F5A"/>
    <w:rsid w:val="0029201D"/>
    <w:rsid w:val="0029203E"/>
    <w:rsid w:val="00292121"/>
    <w:rsid w:val="00292329"/>
    <w:rsid w:val="00292477"/>
    <w:rsid w:val="002924D4"/>
    <w:rsid w:val="00292535"/>
    <w:rsid w:val="0029255A"/>
    <w:rsid w:val="002926B9"/>
    <w:rsid w:val="00292806"/>
    <w:rsid w:val="00292A02"/>
    <w:rsid w:val="00292A67"/>
    <w:rsid w:val="00292B02"/>
    <w:rsid w:val="00292C46"/>
    <w:rsid w:val="00292D55"/>
    <w:rsid w:val="00292DB2"/>
    <w:rsid w:val="00292E65"/>
    <w:rsid w:val="00292ECD"/>
    <w:rsid w:val="00292F7A"/>
    <w:rsid w:val="00292FE1"/>
    <w:rsid w:val="00292FF4"/>
    <w:rsid w:val="00293001"/>
    <w:rsid w:val="00293002"/>
    <w:rsid w:val="0029305B"/>
    <w:rsid w:val="00293069"/>
    <w:rsid w:val="002930C9"/>
    <w:rsid w:val="00293134"/>
    <w:rsid w:val="00293217"/>
    <w:rsid w:val="00293282"/>
    <w:rsid w:val="002932A5"/>
    <w:rsid w:val="002932D3"/>
    <w:rsid w:val="002932DE"/>
    <w:rsid w:val="00293317"/>
    <w:rsid w:val="002933F4"/>
    <w:rsid w:val="00293404"/>
    <w:rsid w:val="002934B2"/>
    <w:rsid w:val="002936E4"/>
    <w:rsid w:val="00293787"/>
    <w:rsid w:val="0029378D"/>
    <w:rsid w:val="00293866"/>
    <w:rsid w:val="00293932"/>
    <w:rsid w:val="00293995"/>
    <w:rsid w:val="00293AEC"/>
    <w:rsid w:val="00293C88"/>
    <w:rsid w:val="00293DB8"/>
    <w:rsid w:val="00293EA5"/>
    <w:rsid w:val="00293FEE"/>
    <w:rsid w:val="00294077"/>
    <w:rsid w:val="002940C0"/>
    <w:rsid w:val="0029410C"/>
    <w:rsid w:val="002941C7"/>
    <w:rsid w:val="002942CD"/>
    <w:rsid w:val="002943B0"/>
    <w:rsid w:val="002943E1"/>
    <w:rsid w:val="00294468"/>
    <w:rsid w:val="0029479E"/>
    <w:rsid w:val="00294836"/>
    <w:rsid w:val="002949EF"/>
    <w:rsid w:val="00294A5B"/>
    <w:rsid w:val="00294B25"/>
    <w:rsid w:val="00294C9D"/>
    <w:rsid w:val="00294E8B"/>
    <w:rsid w:val="00294F4E"/>
    <w:rsid w:val="00294F75"/>
    <w:rsid w:val="00294F88"/>
    <w:rsid w:val="002950E1"/>
    <w:rsid w:val="0029520A"/>
    <w:rsid w:val="0029521F"/>
    <w:rsid w:val="00295261"/>
    <w:rsid w:val="0029558A"/>
    <w:rsid w:val="0029562F"/>
    <w:rsid w:val="00295643"/>
    <w:rsid w:val="0029575C"/>
    <w:rsid w:val="002957C5"/>
    <w:rsid w:val="002958CF"/>
    <w:rsid w:val="00295974"/>
    <w:rsid w:val="00295980"/>
    <w:rsid w:val="00295D0D"/>
    <w:rsid w:val="00295E60"/>
    <w:rsid w:val="00295EA4"/>
    <w:rsid w:val="00295F76"/>
    <w:rsid w:val="00295FE4"/>
    <w:rsid w:val="0029617A"/>
    <w:rsid w:val="002962E3"/>
    <w:rsid w:val="00296428"/>
    <w:rsid w:val="0029644E"/>
    <w:rsid w:val="0029653D"/>
    <w:rsid w:val="0029658C"/>
    <w:rsid w:val="002965B5"/>
    <w:rsid w:val="002965F6"/>
    <w:rsid w:val="0029673B"/>
    <w:rsid w:val="00296745"/>
    <w:rsid w:val="0029682F"/>
    <w:rsid w:val="00296A39"/>
    <w:rsid w:val="00296AF3"/>
    <w:rsid w:val="00296B00"/>
    <w:rsid w:val="00296F80"/>
    <w:rsid w:val="00296FFB"/>
    <w:rsid w:val="0029705E"/>
    <w:rsid w:val="0029719A"/>
    <w:rsid w:val="002972E7"/>
    <w:rsid w:val="00297338"/>
    <w:rsid w:val="00297464"/>
    <w:rsid w:val="002974F7"/>
    <w:rsid w:val="002976E3"/>
    <w:rsid w:val="0029771C"/>
    <w:rsid w:val="00297893"/>
    <w:rsid w:val="00297B7F"/>
    <w:rsid w:val="00297BDC"/>
    <w:rsid w:val="00297DAA"/>
    <w:rsid w:val="00297E50"/>
    <w:rsid w:val="002A003B"/>
    <w:rsid w:val="002A00A3"/>
    <w:rsid w:val="002A0117"/>
    <w:rsid w:val="002A015A"/>
    <w:rsid w:val="002A01BC"/>
    <w:rsid w:val="002A0335"/>
    <w:rsid w:val="002A03E9"/>
    <w:rsid w:val="002A0494"/>
    <w:rsid w:val="002A050E"/>
    <w:rsid w:val="002A0567"/>
    <w:rsid w:val="002A08A6"/>
    <w:rsid w:val="002A08B5"/>
    <w:rsid w:val="002A090E"/>
    <w:rsid w:val="002A094D"/>
    <w:rsid w:val="002A0AB4"/>
    <w:rsid w:val="002A0B7A"/>
    <w:rsid w:val="002A0BC5"/>
    <w:rsid w:val="002A0BDE"/>
    <w:rsid w:val="002A0C36"/>
    <w:rsid w:val="002A0EB5"/>
    <w:rsid w:val="002A0EDE"/>
    <w:rsid w:val="002A0EF8"/>
    <w:rsid w:val="002A1020"/>
    <w:rsid w:val="002A10DD"/>
    <w:rsid w:val="002A1218"/>
    <w:rsid w:val="002A1238"/>
    <w:rsid w:val="002A1301"/>
    <w:rsid w:val="002A1372"/>
    <w:rsid w:val="002A13E2"/>
    <w:rsid w:val="002A1486"/>
    <w:rsid w:val="002A157A"/>
    <w:rsid w:val="002A164F"/>
    <w:rsid w:val="002A173C"/>
    <w:rsid w:val="002A1876"/>
    <w:rsid w:val="002A1912"/>
    <w:rsid w:val="002A193F"/>
    <w:rsid w:val="002A1950"/>
    <w:rsid w:val="002A1978"/>
    <w:rsid w:val="002A19CE"/>
    <w:rsid w:val="002A1B18"/>
    <w:rsid w:val="002A1D0C"/>
    <w:rsid w:val="002A1E96"/>
    <w:rsid w:val="002A1F39"/>
    <w:rsid w:val="002A2069"/>
    <w:rsid w:val="002A208F"/>
    <w:rsid w:val="002A20D0"/>
    <w:rsid w:val="002A21C0"/>
    <w:rsid w:val="002A229F"/>
    <w:rsid w:val="002A22A7"/>
    <w:rsid w:val="002A22B6"/>
    <w:rsid w:val="002A2316"/>
    <w:rsid w:val="002A23C8"/>
    <w:rsid w:val="002A2444"/>
    <w:rsid w:val="002A24CB"/>
    <w:rsid w:val="002A24D7"/>
    <w:rsid w:val="002A252E"/>
    <w:rsid w:val="002A271F"/>
    <w:rsid w:val="002A2979"/>
    <w:rsid w:val="002A298B"/>
    <w:rsid w:val="002A2994"/>
    <w:rsid w:val="002A29E2"/>
    <w:rsid w:val="002A2BAD"/>
    <w:rsid w:val="002A2D58"/>
    <w:rsid w:val="002A2E70"/>
    <w:rsid w:val="002A2ECA"/>
    <w:rsid w:val="002A2F7C"/>
    <w:rsid w:val="002A3065"/>
    <w:rsid w:val="002A30F0"/>
    <w:rsid w:val="002A3199"/>
    <w:rsid w:val="002A3239"/>
    <w:rsid w:val="002A32D4"/>
    <w:rsid w:val="002A3567"/>
    <w:rsid w:val="002A3731"/>
    <w:rsid w:val="002A37BD"/>
    <w:rsid w:val="002A37D9"/>
    <w:rsid w:val="002A37F2"/>
    <w:rsid w:val="002A3864"/>
    <w:rsid w:val="002A38C8"/>
    <w:rsid w:val="002A38E9"/>
    <w:rsid w:val="002A390C"/>
    <w:rsid w:val="002A39BE"/>
    <w:rsid w:val="002A3A99"/>
    <w:rsid w:val="002A3AB1"/>
    <w:rsid w:val="002A3BF9"/>
    <w:rsid w:val="002A3CA6"/>
    <w:rsid w:val="002A3D3D"/>
    <w:rsid w:val="002A3D76"/>
    <w:rsid w:val="002A3EE3"/>
    <w:rsid w:val="002A3EFC"/>
    <w:rsid w:val="002A400E"/>
    <w:rsid w:val="002A4029"/>
    <w:rsid w:val="002A4158"/>
    <w:rsid w:val="002A4177"/>
    <w:rsid w:val="002A420E"/>
    <w:rsid w:val="002A421E"/>
    <w:rsid w:val="002A42FC"/>
    <w:rsid w:val="002A446C"/>
    <w:rsid w:val="002A4501"/>
    <w:rsid w:val="002A45C6"/>
    <w:rsid w:val="002A46AC"/>
    <w:rsid w:val="002A48F5"/>
    <w:rsid w:val="002A496F"/>
    <w:rsid w:val="002A4A2F"/>
    <w:rsid w:val="002A4AA9"/>
    <w:rsid w:val="002A4AB2"/>
    <w:rsid w:val="002A4B0E"/>
    <w:rsid w:val="002A4B4D"/>
    <w:rsid w:val="002A4BC7"/>
    <w:rsid w:val="002A4D0E"/>
    <w:rsid w:val="002A4E3B"/>
    <w:rsid w:val="002A4F16"/>
    <w:rsid w:val="002A4F5E"/>
    <w:rsid w:val="002A50B5"/>
    <w:rsid w:val="002A50C7"/>
    <w:rsid w:val="002A50E1"/>
    <w:rsid w:val="002A50FA"/>
    <w:rsid w:val="002A52A2"/>
    <w:rsid w:val="002A5384"/>
    <w:rsid w:val="002A5430"/>
    <w:rsid w:val="002A547C"/>
    <w:rsid w:val="002A54B0"/>
    <w:rsid w:val="002A5822"/>
    <w:rsid w:val="002A58F6"/>
    <w:rsid w:val="002A5A47"/>
    <w:rsid w:val="002A5ABB"/>
    <w:rsid w:val="002A5BDC"/>
    <w:rsid w:val="002A5BDD"/>
    <w:rsid w:val="002A5C2D"/>
    <w:rsid w:val="002A5C67"/>
    <w:rsid w:val="002A5CB1"/>
    <w:rsid w:val="002A5CBA"/>
    <w:rsid w:val="002A5E58"/>
    <w:rsid w:val="002A5F83"/>
    <w:rsid w:val="002A6107"/>
    <w:rsid w:val="002A61A5"/>
    <w:rsid w:val="002A61D2"/>
    <w:rsid w:val="002A6230"/>
    <w:rsid w:val="002A6305"/>
    <w:rsid w:val="002A64D3"/>
    <w:rsid w:val="002A64EF"/>
    <w:rsid w:val="002A65BA"/>
    <w:rsid w:val="002A667F"/>
    <w:rsid w:val="002A675E"/>
    <w:rsid w:val="002A6820"/>
    <w:rsid w:val="002A6825"/>
    <w:rsid w:val="002A6850"/>
    <w:rsid w:val="002A686E"/>
    <w:rsid w:val="002A6923"/>
    <w:rsid w:val="002A6A2B"/>
    <w:rsid w:val="002A6ABF"/>
    <w:rsid w:val="002A6AC8"/>
    <w:rsid w:val="002A6B94"/>
    <w:rsid w:val="002A6BE9"/>
    <w:rsid w:val="002A6BFF"/>
    <w:rsid w:val="002A6CC1"/>
    <w:rsid w:val="002A6D0A"/>
    <w:rsid w:val="002A6DBE"/>
    <w:rsid w:val="002A6F29"/>
    <w:rsid w:val="002A7054"/>
    <w:rsid w:val="002A709F"/>
    <w:rsid w:val="002A70B2"/>
    <w:rsid w:val="002A7263"/>
    <w:rsid w:val="002A73E5"/>
    <w:rsid w:val="002A742D"/>
    <w:rsid w:val="002A7439"/>
    <w:rsid w:val="002A7518"/>
    <w:rsid w:val="002A75E2"/>
    <w:rsid w:val="002A760B"/>
    <w:rsid w:val="002A769E"/>
    <w:rsid w:val="002A7720"/>
    <w:rsid w:val="002A7794"/>
    <w:rsid w:val="002A78E2"/>
    <w:rsid w:val="002A7900"/>
    <w:rsid w:val="002A7981"/>
    <w:rsid w:val="002A79CD"/>
    <w:rsid w:val="002A7A46"/>
    <w:rsid w:val="002A7A55"/>
    <w:rsid w:val="002A7B72"/>
    <w:rsid w:val="002A7BD5"/>
    <w:rsid w:val="002A7C32"/>
    <w:rsid w:val="002A7C82"/>
    <w:rsid w:val="002A7DE0"/>
    <w:rsid w:val="002A7EAF"/>
    <w:rsid w:val="002B0158"/>
    <w:rsid w:val="002B01F3"/>
    <w:rsid w:val="002B023F"/>
    <w:rsid w:val="002B025F"/>
    <w:rsid w:val="002B029E"/>
    <w:rsid w:val="002B0356"/>
    <w:rsid w:val="002B048B"/>
    <w:rsid w:val="002B053D"/>
    <w:rsid w:val="002B05A9"/>
    <w:rsid w:val="002B0644"/>
    <w:rsid w:val="002B066C"/>
    <w:rsid w:val="002B0738"/>
    <w:rsid w:val="002B08F7"/>
    <w:rsid w:val="002B0A85"/>
    <w:rsid w:val="002B0AD5"/>
    <w:rsid w:val="002B0B95"/>
    <w:rsid w:val="002B1032"/>
    <w:rsid w:val="002B1115"/>
    <w:rsid w:val="002B112A"/>
    <w:rsid w:val="002B115F"/>
    <w:rsid w:val="002B119B"/>
    <w:rsid w:val="002B124D"/>
    <w:rsid w:val="002B1588"/>
    <w:rsid w:val="002B15B5"/>
    <w:rsid w:val="002B15D0"/>
    <w:rsid w:val="002B1712"/>
    <w:rsid w:val="002B17FC"/>
    <w:rsid w:val="002B1830"/>
    <w:rsid w:val="002B1876"/>
    <w:rsid w:val="002B1883"/>
    <w:rsid w:val="002B1957"/>
    <w:rsid w:val="002B1970"/>
    <w:rsid w:val="002B1A2B"/>
    <w:rsid w:val="002B1A49"/>
    <w:rsid w:val="002B1AB5"/>
    <w:rsid w:val="002B1BAC"/>
    <w:rsid w:val="002B1C56"/>
    <w:rsid w:val="002B1D25"/>
    <w:rsid w:val="002B1DDE"/>
    <w:rsid w:val="002B1E5A"/>
    <w:rsid w:val="002B2076"/>
    <w:rsid w:val="002B2174"/>
    <w:rsid w:val="002B2185"/>
    <w:rsid w:val="002B2187"/>
    <w:rsid w:val="002B2226"/>
    <w:rsid w:val="002B2301"/>
    <w:rsid w:val="002B234F"/>
    <w:rsid w:val="002B23A7"/>
    <w:rsid w:val="002B23C9"/>
    <w:rsid w:val="002B24E0"/>
    <w:rsid w:val="002B2551"/>
    <w:rsid w:val="002B2574"/>
    <w:rsid w:val="002B26B7"/>
    <w:rsid w:val="002B276C"/>
    <w:rsid w:val="002B287D"/>
    <w:rsid w:val="002B28AC"/>
    <w:rsid w:val="002B2A83"/>
    <w:rsid w:val="002B2A90"/>
    <w:rsid w:val="002B2AAE"/>
    <w:rsid w:val="002B2C37"/>
    <w:rsid w:val="002B2C84"/>
    <w:rsid w:val="002B2CB7"/>
    <w:rsid w:val="002B2DE9"/>
    <w:rsid w:val="002B300B"/>
    <w:rsid w:val="002B31B5"/>
    <w:rsid w:val="002B3205"/>
    <w:rsid w:val="002B3228"/>
    <w:rsid w:val="002B324E"/>
    <w:rsid w:val="002B3266"/>
    <w:rsid w:val="002B32C3"/>
    <w:rsid w:val="002B335E"/>
    <w:rsid w:val="002B35C7"/>
    <w:rsid w:val="002B3600"/>
    <w:rsid w:val="002B3663"/>
    <w:rsid w:val="002B367D"/>
    <w:rsid w:val="002B36F1"/>
    <w:rsid w:val="002B3756"/>
    <w:rsid w:val="002B379A"/>
    <w:rsid w:val="002B3AE1"/>
    <w:rsid w:val="002B3BEE"/>
    <w:rsid w:val="002B3BF8"/>
    <w:rsid w:val="002B3C90"/>
    <w:rsid w:val="002B3D2F"/>
    <w:rsid w:val="002B3DEE"/>
    <w:rsid w:val="002B3E06"/>
    <w:rsid w:val="002B3E44"/>
    <w:rsid w:val="002B3EA6"/>
    <w:rsid w:val="002B41BE"/>
    <w:rsid w:val="002B427A"/>
    <w:rsid w:val="002B428C"/>
    <w:rsid w:val="002B44E6"/>
    <w:rsid w:val="002B4512"/>
    <w:rsid w:val="002B463D"/>
    <w:rsid w:val="002B4759"/>
    <w:rsid w:val="002B4851"/>
    <w:rsid w:val="002B49A2"/>
    <w:rsid w:val="002B4B5D"/>
    <w:rsid w:val="002B4DAB"/>
    <w:rsid w:val="002B4DFD"/>
    <w:rsid w:val="002B4E8D"/>
    <w:rsid w:val="002B54C7"/>
    <w:rsid w:val="002B55FF"/>
    <w:rsid w:val="002B56C1"/>
    <w:rsid w:val="002B5705"/>
    <w:rsid w:val="002B57BB"/>
    <w:rsid w:val="002B57CB"/>
    <w:rsid w:val="002B5810"/>
    <w:rsid w:val="002B5981"/>
    <w:rsid w:val="002B59FD"/>
    <w:rsid w:val="002B5A44"/>
    <w:rsid w:val="002B5B8C"/>
    <w:rsid w:val="002B5BB7"/>
    <w:rsid w:val="002B5BFA"/>
    <w:rsid w:val="002B5D72"/>
    <w:rsid w:val="002B5DC4"/>
    <w:rsid w:val="002B5F1D"/>
    <w:rsid w:val="002B5F50"/>
    <w:rsid w:val="002B6037"/>
    <w:rsid w:val="002B60C2"/>
    <w:rsid w:val="002B61A1"/>
    <w:rsid w:val="002B61B6"/>
    <w:rsid w:val="002B62E4"/>
    <w:rsid w:val="002B62F6"/>
    <w:rsid w:val="002B64AE"/>
    <w:rsid w:val="002B64F9"/>
    <w:rsid w:val="002B65D6"/>
    <w:rsid w:val="002B6618"/>
    <w:rsid w:val="002B675D"/>
    <w:rsid w:val="002B6A6B"/>
    <w:rsid w:val="002B6AA5"/>
    <w:rsid w:val="002B6ACF"/>
    <w:rsid w:val="002B6B56"/>
    <w:rsid w:val="002B6B75"/>
    <w:rsid w:val="002B6C97"/>
    <w:rsid w:val="002B6D13"/>
    <w:rsid w:val="002B6E15"/>
    <w:rsid w:val="002B6EC7"/>
    <w:rsid w:val="002B6EFD"/>
    <w:rsid w:val="002B71CA"/>
    <w:rsid w:val="002B71E5"/>
    <w:rsid w:val="002B7247"/>
    <w:rsid w:val="002B72C1"/>
    <w:rsid w:val="002B7400"/>
    <w:rsid w:val="002B77B3"/>
    <w:rsid w:val="002B7940"/>
    <w:rsid w:val="002B7A3D"/>
    <w:rsid w:val="002B7AEF"/>
    <w:rsid w:val="002B7C2A"/>
    <w:rsid w:val="002B7CD8"/>
    <w:rsid w:val="002B7D65"/>
    <w:rsid w:val="002B7E3E"/>
    <w:rsid w:val="002B7E8D"/>
    <w:rsid w:val="002B7F19"/>
    <w:rsid w:val="002B7FB5"/>
    <w:rsid w:val="002C01B6"/>
    <w:rsid w:val="002C04B9"/>
    <w:rsid w:val="002C061E"/>
    <w:rsid w:val="002C06B3"/>
    <w:rsid w:val="002C07A8"/>
    <w:rsid w:val="002C07B3"/>
    <w:rsid w:val="002C09D0"/>
    <w:rsid w:val="002C09E5"/>
    <w:rsid w:val="002C0B71"/>
    <w:rsid w:val="002C0C5B"/>
    <w:rsid w:val="002C0C93"/>
    <w:rsid w:val="002C0DDB"/>
    <w:rsid w:val="002C0E2E"/>
    <w:rsid w:val="002C0EE5"/>
    <w:rsid w:val="002C0F5A"/>
    <w:rsid w:val="002C106D"/>
    <w:rsid w:val="002C11AC"/>
    <w:rsid w:val="002C1259"/>
    <w:rsid w:val="002C1269"/>
    <w:rsid w:val="002C12B1"/>
    <w:rsid w:val="002C12E8"/>
    <w:rsid w:val="002C1311"/>
    <w:rsid w:val="002C13F1"/>
    <w:rsid w:val="002C14E9"/>
    <w:rsid w:val="002C1640"/>
    <w:rsid w:val="002C16DA"/>
    <w:rsid w:val="002C1ADB"/>
    <w:rsid w:val="002C1BAB"/>
    <w:rsid w:val="002C1C53"/>
    <w:rsid w:val="002C1D95"/>
    <w:rsid w:val="002C206F"/>
    <w:rsid w:val="002C2111"/>
    <w:rsid w:val="002C21F5"/>
    <w:rsid w:val="002C21FE"/>
    <w:rsid w:val="002C2230"/>
    <w:rsid w:val="002C22A2"/>
    <w:rsid w:val="002C23C6"/>
    <w:rsid w:val="002C242A"/>
    <w:rsid w:val="002C24A6"/>
    <w:rsid w:val="002C26BD"/>
    <w:rsid w:val="002C27B1"/>
    <w:rsid w:val="002C2840"/>
    <w:rsid w:val="002C2968"/>
    <w:rsid w:val="002C297E"/>
    <w:rsid w:val="002C2C85"/>
    <w:rsid w:val="002C2D4D"/>
    <w:rsid w:val="002C2D68"/>
    <w:rsid w:val="002C2D96"/>
    <w:rsid w:val="002C2E85"/>
    <w:rsid w:val="002C2F06"/>
    <w:rsid w:val="002C2FD1"/>
    <w:rsid w:val="002C31E2"/>
    <w:rsid w:val="002C341C"/>
    <w:rsid w:val="002C347C"/>
    <w:rsid w:val="002C365D"/>
    <w:rsid w:val="002C3875"/>
    <w:rsid w:val="002C3936"/>
    <w:rsid w:val="002C398B"/>
    <w:rsid w:val="002C39C1"/>
    <w:rsid w:val="002C3B1B"/>
    <w:rsid w:val="002C3BA9"/>
    <w:rsid w:val="002C3C52"/>
    <w:rsid w:val="002C3D78"/>
    <w:rsid w:val="002C3E12"/>
    <w:rsid w:val="002C3E53"/>
    <w:rsid w:val="002C3FB9"/>
    <w:rsid w:val="002C3FD0"/>
    <w:rsid w:val="002C40B7"/>
    <w:rsid w:val="002C41BC"/>
    <w:rsid w:val="002C42C1"/>
    <w:rsid w:val="002C4498"/>
    <w:rsid w:val="002C44AA"/>
    <w:rsid w:val="002C44FE"/>
    <w:rsid w:val="002C4515"/>
    <w:rsid w:val="002C4544"/>
    <w:rsid w:val="002C459F"/>
    <w:rsid w:val="002C47C2"/>
    <w:rsid w:val="002C48FF"/>
    <w:rsid w:val="002C494F"/>
    <w:rsid w:val="002C499E"/>
    <w:rsid w:val="002C49D8"/>
    <w:rsid w:val="002C49F6"/>
    <w:rsid w:val="002C4B22"/>
    <w:rsid w:val="002C4B78"/>
    <w:rsid w:val="002C4CB0"/>
    <w:rsid w:val="002C4CFE"/>
    <w:rsid w:val="002C4D19"/>
    <w:rsid w:val="002C4D1B"/>
    <w:rsid w:val="002C4DA3"/>
    <w:rsid w:val="002C4E33"/>
    <w:rsid w:val="002C4F78"/>
    <w:rsid w:val="002C5002"/>
    <w:rsid w:val="002C503D"/>
    <w:rsid w:val="002C515C"/>
    <w:rsid w:val="002C526B"/>
    <w:rsid w:val="002C567B"/>
    <w:rsid w:val="002C59CA"/>
    <w:rsid w:val="002C5A43"/>
    <w:rsid w:val="002C5A74"/>
    <w:rsid w:val="002C5BB4"/>
    <w:rsid w:val="002C5C51"/>
    <w:rsid w:val="002C5D72"/>
    <w:rsid w:val="002C5D82"/>
    <w:rsid w:val="002C5D9E"/>
    <w:rsid w:val="002C5F07"/>
    <w:rsid w:val="002C6003"/>
    <w:rsid w:val="002C60A0"/>
    <w:rsid w:val="002C6126"/>
    <w:rsid w:val="002C6145"/>
    <w:rsid w:val="002C61D3"/>
    <w:rsid w:val="002C620A"/>
    <w:rsid w:val="002C62B4"/>
    <w:rsid w:val="002C62D2"/>
    <w:rsid w:val="002C6318"/>
    <w:rsid w:val="002C65C4"/>
    <w:rsid w:val="002C66D6"/>
    <w:rsid w:val="002C66DC"/>
    <w:rsid w:val="002C6704"/>
    <w:rsid w:val="002C6892"/>
    <w:rsid w:val="002C68A4"/>
    <w:rsid w:val="002C6960"/>
    <w:rsid w:val="002C6AF8"/>
    <w:rsid w:val="002C6EE6"/>
    <w:rsid w:val="002C6F91"/>
    <w:rsid w:val="002C6FCA"/>
    <w:rsid w:val="002C7070"/>
    <w:rsid w:val="002C70FA"/>
    <w:rsid w:val="002C711B"/>
    <w:rsid w:val="002C71B3"/>
    <w:rsid w:val="002C72B3"/>
    <w:rsid w:val="002C740A"/>
    <w:rsid w:val="002C7417"/>
    <w:rsid w:val="002C74A8"/>
    <w:rsid w:val="002C752B"/>
    <w:rsid w:val="002C752C"/>
    <w:rsid w:val="002C7590"/>
    <w:rsid w:val="002C776D"/>
    <w:rsid w:val="002C7A25"/>
    <w:rsid w:val="002C7BEA"/>
    <w:rsid w:val="002C7C2A"/>
    <w:rsid w:val="002C7C90"/>
    <w:rsid w:val="002C7DDF"/>
    <w:rsid w:val="002C7E47"/>
    <w:rsid w:val="002C7F99"/>
    <w:rsid w:val="002D0101"/>
    <w:rsid w:val="002D03C9"/>
    <w:rsid w:val="002D03DB"/>
    <w:rsid w:val="002D044E"/>
    <w:rsid w:val="002D048D"/>
    <w:rsid w:val="002D04E5"/>
    <w:rsid w:val="002D050A"/>
    <w:rsid w:val="002D056F"/>
    <w:rsid w:val="002D06A9"/>
    <w:rsid w:val="002D06DC"/>
    <w:rsid w:val="002D06F2"/>
    <w:rsid w:val="002D07E2"/>
    <w:rsid w:val="002D08FC"/>
    <w:rsid w:val="002D0A14"/>
    <w:rsid w:val="002D0A16"/>
    <w:rsid w:val="002D0ADD"/>
    <w:rsid w:val="002D0B21"/>
    <w:rsid w:val="002D0C04"/>
    <w:rsid w:val="002D0C9D"/>
    <w:rsid w:val="002D0E5E"/>
    <w:rsid w:val="002D0F1A"/>
    <w:rsid w:val="002D0F2F"/>
    <w:rsid w:val="002D1014"/>
    <w:rsid w:val="002D12E3"/>
    <w:rsid w:val="002D1516"/>
    <w:rsid w:val="002D1595"/>
    <w:rsid w:val="002D165D"/>
    <w:rsid w:val="002D16BD"/>
    <w:rsid w:val="002D1985"/>
    <w:rsid w:val="002D1AFC"/>
    <w:rsid w:val="002D1B5C"/>
    <w:rsid w:val="002D1CC3"/>
    <w:rsid w:val="002D1CF8"/>
    <w:rsid w:val="002D1DCB"/>
    <w:rsid w:val="002D1E1D"/>
    <w:rsid w:val="002D1E6B"/>
    <w:rsid w:val="002D1F97"/>
    <w:rsid w:val="002D1FFA"/>
    <w:rsid w:val="002D2112"/>
    <w:rsid w:val="002D2156"/>
    <w:rsid w:val="002D216B"/>
    <w:rsid w:val="002D21E6"/>
    <w:rsid w:val="002D23DB"/>
    <w:rsid w:val="002D28E9"/>
    <w:rsid w:val="002D29E9"/>
    <w:rsid w:val="002D2A8B"/>
    <w:rsid w:val="002D2D19"/>
    <w:rsid w:val="002D2D92"/>
    <w:rsid w:val="002D2E7E"/>
    <w:rsid w:val="002D2F47"/>
    <w:rsid w:val="002D3083"/>
    <w:rsid w:val="002D3159"/>
    <w:rsid w:val="002D317D"/>
    <w:rsid w:val="002D31E6"/>
    <w:rsid w:val="002D3211"/>
    <w:rsid w:val="002D3216"/>
    <w:rsid w:val="002D323D"/>
    <w:rsid w:val="002D3251"/>
    <w:rsid w:val="002D3252"/>
    <w:rsid w:val="002D3254"/>
    <w:rsid w:val="002D33C7"/>
    <w:rsid w:val="002D34A8"/>
    <w:rsid w:val="002D358B"/>
    <w:rsid w:val="002D35CA"/>
    <w:rsid w:val="002D368F"/>
    <w:rsid w:val="002D3717"/>
    <w:rsid w:val="002D382D"/>
    <w:rsid w:val="002D383C"/>
    <w:rsid w:val="002D38B6"/>
    <w:rsid w:val="002D3A1F"/>
    <w:rsid w:val="002D3A4A"/>
    <w:rsid w:val="002D3AE3"/>
    <w:rsid w:val="002D3AF7"/>
    <w:rsid w:val="002D3ED9"/>
    <w:rsid w:val="002D3F2C"/>
    <w:rsid w:val="002D3F4F"/>
    <w:rsid w:val="002D408B"/>
    <w:rsid w:val="002D4196"/>
    <w:rsid w:val="002D41B4"/>
    <w:rsid w:val="002D41FE"/>
    <w:rsid w:val="002D425D"/>
    <w:rsid w:val="002D42B3"/>
    <w:rsid w:val="002D4331"/>
    <w:rsid w:val="002D43B3"/>
    <w:rsid w:val="002D441F"/>
    <w:rsid w:val="002D45CB"/>
    <w:rsid w:val="002D4839"/>
    <w:rsid w:val="002D48B2"/>
    <w:rsid w:val="002D4C7D"/>
    <w:rsid w:val="002D4DB7"/>
    <w:rsid w:val="002D4E66"/>
    <w:rsid w:val="002D5002"/>
    <w:rsid w:val="002D5035"/>
    <w:rsid w:val="002D508B"/>
    <w:rsid w:val="002D50AA"/>
    <w:rsid w:val="002D50E8"/>
    <w:rsid w:val="002D52F3"/>
    <w:rsid w:val="002D54F6"/>
    <w:rsid w:val="002D5526"/>
    <w:rsid w:val="002D5552"/>
    <w:rsid w:val="002D55C9"/>
    <w:rsid w:val="002D581C"/>
    <w:rsid w:val="002D5A9B"/>
    <w:rsid w:val="002D5ED5"/>
    <w:rsid w:val="002D5FE1"/>
    <w:rsid w:val="002D61DF"/>
    <w:rsid w:val="002D6300"/>
    <w:rsid w:val="002D63EF"/>
    <w:rsid w:val="002D641D"/>
    <w:rsid w:val="002D6452"/>
    <w:rsid w:val="002D6484"/>
    <w:rsid w:val="002D6592"/>
    <w:rsid w:val="002D6618"/>
    <w:rsid w:val="002D67F7"/>
    <w:rsid w:val="002D687B"/>
    <w:rsid w:val="002D6980"/>
    <w:rsid w:val="002D6ADC"/>
    <w:rsid w:val="002D6C0C"/>
    <w:rsid w:val="002D6E20"/>
    <w:rsid w:val="002D6E74"/>
    <w:rsid w:val="002D6EB4"/>
    <w:rsid w:val="002D6F7F"/>
    <w:rsid w:val="002D6FA5"/>
    <w:rsid w:val="002D70C7"/>
    <w:rsid w:val="002D7170"/>
    <w:rsid w:val="002D71B3"/>
    <w:rsid w:val="002D71B7"/>
    <w:rsid w:val="002D724A"/>
    <w:rsid w:val="002D7316"/>
    <w:rsid w:val="002D732D"/>
    <w:rsid w:val="002D7333"/>
    <w:rsid w:val="002D739D"/>
    <w:rsid w:val="002D74AF"/>
    <w:rsid w:val="002D74B7"/>
    <w:rsid w:val="002D74DA"/>
    <w:rsid w:val="002D76B3"/>
    <w:rsid w:val="002D76EB"/>
    <w:rsid w:val="002D777C"/>
    <w:rsid w:val="002D77FE"/>
    <w:rsid w:val="002D7882"/>
    <w:rsid w:val="002D78AB"/>
    <w:rsid w:val="002D7919"/>
    <w:rsid w:val="002D7922"/>
    <w:rsid w:val="002D79B9"/>
    <w:rsid w:val="002D79F1"/>
    <w:rsid w:val="002D7BC1"/>
    <w:rsid w:val="002D7D63"/>
    <w:rsid w:val="002E00FB"/>
    <w:rsid w:val="002E025C"/>
    <w:rsid w:val="002E0330"/>
    <w:rsid w:val="002E0364"/>
    <w:rsid w:val="002E03DA"/>
    <w:rsid w:val="002E0415"/>
    <w:rsid w:val="002E0496"/>
    <w:rsid w:val="002E04B7"/>
    <w:rsid w:val="002E07C6"/>
    <w:rsid w:val="002E07F1"/>
    <w:rsid w:val="002E081A"/>
    <w:rsid w:val="002E0861"/>
    <w:rsid w:val="002E08B8"/>
    <w:rsid w:val="002E09B6"/>
    <w:rsid w:val="002E09FC"/>
    <w:rsid w:val="002E0AE6"/>
    <w:rsid w:val="002E0C0C"/>
    <w:rsid w:val="002E0CF4"/>
    <w:rsid w:val="002E0D48"/>
    <w:rsid w:val="002E0D5D"/>
    <w:rsid w:val="002E0DC7"/>
    <w:rsid w:val="002E0DE5"/>
    <w:rsid w:val="002E0E08"/>
    <w:rsid w:val="002E0F32"/>
    <w:rsid w:val="002E1005"/>
    <w:rsid w:val="002E1008"/>
    <w:rsid w:val="002E1074"/>
    <w:rsid w:val="002E1090"/>
    <w:rsid w:val="002E113B"/>
    <w:rsid w:val="002E1244"/>
    <w:rsid w:val="002E1253"/>
    <w:rsid w:val="002E1281"/>
    <w:rsid w:val="002E1286"/>
    <w:rsid w:val="002E12FD"/>
    <w:rsid w:val="002E1634"/>
    <w:rsid w:val="002E1AC5"/>
    <w:rsid w:val="002E1C43"/>
    <w:rsid w:val="002E1CB4"/>
    <w:rsid w:val="002E1E21"/>
    <w:rsid w:val="002E203B"/>
    <w:rsid w:val="002E2237"/>
    <w:rsid w:val="002E2267"/>
    <w:rsid w:val="002E22EA"/>
    <w:rsid w:val="002E236C"/>
    <w:rsid w:val="002E23CC"/>
    <w:rsid w:val="002E258F"/>
    <w:rsid w:val="002E2596"/>
    <w:rsid w:val="002E2653"/>
    <w:rsid w:val="002E2676"/>
    <w:rsid w:val="002E269A"/>
    <w:rsid w:val="002E26B3"/>
    <w:rsid w:val="002E2766"/>
    <w:rsid w:val="002E276C"/>
    <w:rsid w:val="002E2B51"/>
    <w:rsid w:val="002E2B73"/>
    <w:rsid w:val="002E2B7E"/>
    <w:rsid w:val="002E2C97"/>
    <w:rsid w:val="002E2D4E"/>
    <w:rsid w:val="002E2F37"/>
    <w:rsid w:val="002E2FA7"/>
    <w:rsid w:val="002E302E"/>
    <w:rsid w:val="002E3139"/>
    <w:rsid w:val="002E322B"/>
    <w:rsid w:val="002E323D"/>
    <w:rsid w:val="002E3276"/>
    <w:rsid w:val="002E3498"/>
    <w:rsid w:val="002E353F"/>
    <w:rsid w:val="002E35AB"/>
    <w:rsid w:val="002E3663"/>
    <w:rsid w:val="002E3690"/>
    <w:rsid w:val="002E36C1"/>
    <w:rsid w:val="002E3704"/>
    <w:rsid w:val="002E3733"/>
    <w:rsid w:val="002E37D5"/>
    <w:rsid w:val="002E3A24"/>
    <w:rsid w:val="002E3A91"/>
    <w:rsid w:val="002E3BA4"/>
    <w:rsid w:val="002E3BB4"/>
    <w:rsid w:val="002E3BCB"/>
    <w:rsid w:val="002E3C0D"/>
    <w:rsid w:val="002E3C86"/>
    <w:rsid w:val="002E3DE0"/>
    <w:rsid w:val="002E3E6A"/>
    <w:rsid w:val="002E3F0D"/>
    <w:rsid w:val="002E40A6"/>
    <w:rsid w:val="002E417A"/>
    <w:rsid w:val="002E4259"/>
    <w:rsid w:val="002E42AF"/>
    <w:rsid w:val="002E4338"/>
    <w:rsid w:val="002E446D"/>
    <w:rsid w:val="002E4491"/>
    <w:rsid w:val="002E4698"/>
    <w:rsid w:val="002E47C8"/>
    <w:rsid w:val="002E4966"/>
    <w:rsid w:val="002E4B75"/>
    <w:rsid w:val="002E4C95"/>
    <w:rsid w:val="002E4CC7"/>
    <w:rsid w:val="002E4DE1"/>
    <w:rsid w:val="002E4E14"/>
    <w:rsid w:val="002E5187"/>
    <w:rsid w:val="002E5245"/>
    <w:rsid w:val="002E533F"/>
    <w:rsid w:val="002E5359"/>
    <w:rsid w:val="002E558E"/>
    <w:rsid w:val="002E5617"/>
    <w:rsid w:val="002E561F"/>
    <w:rsid w:val="002E5651"/>
    <w:rsid w:val="002E5672"/>
    <w:rsid w:val="002E5798"/>
    <w:rsid w:val="002E57D0"/>
    <w:rsid w:val="002E5CC4"/>
    <w:rsid w:val="002E5E51"/>
    <w:rsid w:val="002E5E7F"/>
    <w:rsid w:val="002E5F29"/>
    <w:rsid w:val="002E5F90"/>
    <w:rsid w:val="002E61AA"/>
    <w:rsid w:val="002E61E5"/>
    <w:rsid w:val="002E6343"/>
    <w:rsid w:val="002E65B4"/>
    <w:rsid w:val="002E6799"/>
    <w:rsid w:val="002E68BA"/>
    <w:rsid w:val="002E68E1"/>
    <w:rsid w:val="002E6948"/>
    <w:rsid w:val="002E694E"/>
    <w:rsid w:val="002E6AD2"/>
    <w:rsid w:val="002E6B1D"/>
    <w:rsid w:val="002E6B32"/>
    <w:rsid w:val="002E6D34"/>
    <w:rsid w:val="002E6D8E"/>
    <w:rsid w:val="002E6F46"/>
    <w:rsid w:val="002E6F9C"/>
    <w:rsid w:val="002E704D"/>
    <w:rsid w:val="002E710B"/>
    <w:rsid w:val="002E718F"/>
    <w:rsid w:val="002E7256"/>
    <w:rsid w:val="002E7370"/>
    <w:rsid w:val="002E7371"/>
    <w:rsid w:val="002E73BB"/>
    <w:rsid w:val="002E74F2"/>
    <w:rsid w:val="002E761C"/>
    <w:rsid w:val="002E763B"/>
    <w:rsid w:val="002E76C1"/>
    <w:rsid w:val="002E77C2"/>
    <w:rsid w:val="002E7A7E"/>
    <w:rsid w:val="002E7AC1"/>
    <w:rsid w:val="002E7BB4"/>
    <w:rsid w:val="002E7C16"/>
    <w:rsid w:val="002E7FD3"/>
    <w:rsid w:val="002F0042"/>
    <w:rsid w:val="002F0128"/>
    <w:rsid w:val="002F0139"/>
    <w:rsid w:val="002F0200"/>
    <w:rsid w:val="002F0290"/>
    <w:rsid w:val="002F0339"/>
    <w:rsid w:val="002F05F0"/>
    <w:rsid w:val="002F07BF"/>
    <w:rsid w:val="002F09EE"/>
    <w:rsid w:val="002F0A2D"/>
    <w:rsid w:val="002F0A30"/>
    <w:rsid w:val="002F0A78"/>
    <w:rsid w:val="002F0B39"/>
    <w:rsid w:val="002F0CD1"/>
    <w:rsid w:val="002F0DA2"/>
    <w:rsid w:val="002F0E52"/>
    <w:rsid w:val="002F0F78"/>
    <w:rsid w:val="002F0FE1"/>
    <w:rsid w:val="002F1068"/>
    <w:rsid w:val="002F10A8"/>
    <w:rsid w:val="002F10CA"/>
    <w:rsid w:val="002F113D"/>
    <w:rsid w:val="002F135A"/>
    <w:rsid w:val="002F16C6"/>
    <w:rsid w:val="002F188F"/>
    <w:rsid w:val="002F195C"/>
    <w:rsid w:val="002F196F"/>
    <w:rsid w:val="002F1B12"/>
    <w:rsid w:val="002F1D40"/>
    <w:rsid w:val="002F1DF7"/>
    <w:rsid w:val="002F1DF9"/>
    <w:rsid w:val="002F1F14"/>
    <w:rsid w:val="002F1F38"/>
    <w:rsid w:val="002F2057"/>
    <w:rsid w:val="002F2265"/>
    <w:rsid w:val="002F2323"/>
    <w:rsid w:val="002F234D"/>
    <w:rsid w:val="002F2388"/>
    <w:rsid w:val="002F2403"/>
    <w:rsid w:val="002F2421"/>
    <w:rsid w:val="002F243B"/>
    <w:rsid w:val="002F24A7"/>
    <w:rsid w:val="002F24A9"/>
    <w:rsid w:val="002F2538"/>
    <w:rsid w:val="002F2544"/>
    <w:rsid w:val="002F28BA"/>
    <w:rsid w:val="002F29BB"/>
    <w:rsid w:val="002F2A91"/>
    <w:rsid w:val="002F2DC1"/>
    <w:rsid w:val="002F2DE3"/>
    <w:rsid w:val="002F2EAD"/>
    <w:rsid w:val="002F308F"/>
    <w:rsid w:val="002F30EC"/>
    <w:rsid w:val="002F3191"/>
    <w:rsid w:val="002F31B1"/>
    <w:rsid w:val="002F3254"/>
    <w:rsid w:val="002F3287"/>
    <w:rsid w:val="002F33AB"/>
    <w:rsid w:val="002F3583"/>
    <w:rsid w:val="002F3642"/>
    <w:rsid w:val="002F36BF"/>
    <w:rsid w:val="002F36EB"/>
    <w:rsid w:val="002F37BD"/>
    <w:rsid w:val="002F3951"/>
    <w:rsid w:val="002F395E"/>
    <w:rsid w:val="002F396C"/>
    <w:rsid w:val="002F3A3E"/>
    <w:rsid w:val="002F3B55"/>
    <w:rsid w:val="002F3BCC"/>
    <w:rsid w:val="002F3C4D"/>
    <w:rsid w:val="002F3D17"/>
    <w:rsid w:val="002F3EBF"/>
    <w:rsid w:val="002F3FB7"/>
    <w:rsid w:val="002F40B3"/>
    <w:rsid w:val="002F41DA"/>
    <w:rsid w:val="002F42BA"/>
    <w:rsid w:val="002F44F1"/>
    <w:rsid w:val="002F45E5"/>
    <w:rsid w:val="002F4643"/>
    <w:rsid w:val="002F4834"/>
    <w:rsid w:val="002F4879"/>
    <w:rsid w:val="002F48C4"/>
    <w:rsid w:val="002F493A"/>
    <w:rsid w:val="002F49CF"/>
    <w:rsid w:val="002F49D6"/>
    <w:rsid w:val="002F4A91"/>
    <w:rsid w:val="002F4B30"/>
    <w:rsid w:val="002F4B8F"/>
    <w:rsid w:val="002F4BFC"/>
    <w:rsid w:val="002F4C8C"/>
    <w:rsid w:val="002F4D2C"/>
    <w:rsid w:val="002F4D99"/>
    <w:rsid w:val="002F4ECB"/>
    <w:rsid w:val="002F4F49"/>
    <w:rsid w:val="002F4F4F"/>
    <w:rsid w:val="002F51DE"/>
    <w:rsid w:val="002F524B"/>
    <w:rsid w:val="002F5277"/>
    <w:rsid w:val="002F5289"/>
    <w:rsid w:val="002F53CC"/>
    <w:rsid w:val="002F545F"/>
    <w:rsid w:val="002F5505"/>
    <w:rsid w:val="002F551D"/>
    <w:rsid w:val="002F5619"/>
    <w:rsid w:val="002F5734"/>
    <w:rsid w:val="002F5851"/>
    <w:rsid w:val="002F5874"/>
    <w:rsid w:val="002F58AD"/>
    <w:rsid w:val="002F58E1"/>
    <w:rsid w:val="002F5985"/>
    <w:rsid w:val="002F5BBD"/>
    <w:rsid w:val="002F5C23"/>
    <w:rsid w:val="002F5C6B"/>
    <w:rsid w:val="002F5CAB"/>
    <w:rsid w:val="002F607C"/>
    <w:rsid w:val="002F607F"/>
    <w:rsid w:val="002F60C4"/>
    <w:rsid w:val="002F6211"/>
    <w:rsid w:val="002F626C"/>
    <w:rsid w:val="002F6336"/>
    <w:rsid w:val="002F6350"/>
    <w:rsid w:val="002F6435"/>
    <w:rsid w:val="002F6481"/>
    <w:rsid w:val="002F64A5"/>
    <w:rsid w:val="002F6535"/>
    <w:rsid w:val="002F6598"/>
    <w:rsid w:val="002F65B4"/>
    <w:rsid w:val="002F6760"/>
    <w:rsid w:val="002F68E6"/>
    <w:rsid w:val="002F69A6"/>
    <w:rsid w:val="002F6A38"/>
    <w:rsid w:val="002F6B9A"/>
    <w:rsid w:val="002F6BE1"/>
    <w:rsid w:val="002F6C79"/>
    <w:rsid w:val="002F6E27"/>
    <w:rsid w:val="002F70E0"/>
    <w:rsid w:val="002F7181"/>
    <w:rsid w:val="002F71D6"/>
    <w:rsid w:val="002F746C"/>
    <w:rsid w:val="002F7491"/>
    <w:rsid w:val="002F7726"/>
    <w:rsid w:val="002F776D"/>
    <w:rsid w:val="002F7776"/>
    <w:rsid w:val="002F7777"/>
    <w:rsid w:val="002F7811"/>
    <w:rsid w:val="002F782B"/>
    <w:rsid w:val="002F7A85"/>
    <w:rsid w:val="002F7ADC"/>
    <w:rsid w:val="002F7B0A"/>
    <w:rsid w:val="002F7B4C"/>
    <w:rsid w:val="002F7B6C"/>
    <w:rsid w:val="002F7C46"/>
    <w:rsid w:val="002F7C66"/>
    <w:rsid w:val="002F7EC5"/>
    <w:rsid w:val="002F7FD6"/>
    <w:rsid w:val="00300007"/>
    <w:rsid w:val="003002D7"/>
    <w:rsid w:val="00300328"/>
    <w:rsid w:val="003003E5"/>
    <w:rsid w:val="00300606"/>
    <w:rsid w:val="003007D0"/>
    <w:rsid w:val="003008C1"/>
    <w:rsid w:val="00300903"/>
    <w:rsid w:val="00300AA1"/>
    <w:rsid w:val="00300B01"/>
    <w:rsid w:val="00300B04"/>
    <w:rsid w:val="00300CA2"/>
    <w:rsid w:val="00300D29"/>
    <w:rsid w:val="00300D81"/>
    <w:rsid w:val="00300D9C"/>
    <w:rsid w:val="00300DC1"/>
    <w:rsid w:val="00300E9D"/>
    <w:rsid w:val="00300F4F"/>
    <w:rsid w:val="00300FAC"/>
    <w:rsid w:val="00301305"/>
    <w:rsid w:val="0030132C"/>
    <w:rsid w:val="00301376"/>
    <w:rsid w:val="00301494"/>
    <w:rsid w:val="00301611"/>
    <w:rsid w:val="003016D5"/>
    <w:rsid w:val="00301842"/>
    <w:rsid w:val="00301846"/>
    <w:rsid w:val="00301A42"/>
    <w:rsid w:val="00301B77"/>
    <w:rsid w:val="00301B8F"/>
    <w:rsid w:val="00301CC6"/>
    <w:rsid w:val="00301CF6"/>
    <w:rsid w:val="00301D3C"/>
    <w:rsid w:val="00301EA7"/>
    <w:rsid w:val="00301EC4"/>
    <w:rsid w:val="00302013"/>
    <w:rsid w:val="0030209E"/>
    <w:rsid w:val="00302186"/>
    <w:rsid w:val="003021A5"/>
    <w:rsid w:val="003021DA"/>
    <w:rsid w:val="003021F1"/>
    <w:rsid w:val="003022B4"/>
    <w:rsid w:val="003022BB"/>
    <w:rsid w:val="00302318"/>
    <w:rsid w:val="003024C1"/>
    <w:rsid w:val="00302563"/>
    <w:rsid w:val="0030288C"/>
    <w:rsid w:val="003028C7"/>
    <w:rsid w:val="003028FA"/>
    <w:rsid w:val="003028FD"/>
    <w:rsid w:val="00302953"/>
    <w:rsid w:val="0030295E"/>
    <w:rsid w:val="00302A5F"/>
    <w:rsid w:val="00302E2E"/>
    <w:rsid w:val="00302E76"/>
    <w:rsid w:val="00302F46"/>
    <w:rsid w:val="003030AB"/>
    <w:rsid w:val="003030D3"/>
    <w:rsid w:val="00303154"/>
    <w:rsid w:val="00303173"/>
    <w:rsid w:val="003031CA"/>
    <w:rsid w:val="00303299"/>
    <w:rsid w:val="00303301"/>
    <w:rsid w:val="003033C1"/>
    <w:rsid w:val="003034F3"/>
    <w:rsid w:val="0030350F"/>
    <w:rsid w:val="0030374F"/>
    <w:rsid w:val="003037D6"/>
    <w:rsid w:val="00303884"/>
    <w:rsid w:val="0030399F"/>
    <w:rsid w:val="003039E1"/>
    <w:rsid w:val="003039E7"/>
    <w:rsid w:val="00303A91"/>
    <w:rsid w:val="00303BE0"/>
    <w:rsid w:val="00303DAF"/>
    <w:rsid w:val="003041F8"/>
    <w:rsid w:val="00304242"/>
    <w:rsid w:val="0030426D"/>
    <w:rsid w:val="00304291"/>
    <w:rsid w:val="00304314"/>
    <w:rsid w:val="00304354"/>
    <w:rsid w:val="003043B3"/>
    <w:rsid w:val="00304498"/>
    <w:rsid w:val="0030463E"/>
    <w:rsid w:val="0030466A"/>
    <w:rsid w:val="00304A0D"/>
    <w:rsid w:val="00304A4C"/>
    <w:rsid w:val="00304B33"/>
    <w:rsid w:val="00304B4D"/>
    <w:rsid w:val="00304BDB"/>
    <w:rsid w:val="00304E98"/>
    <w:rsid w:val="00304F9C"/>
    <w:rsid w:val="00305038"/>
    <w:rsid w:val="003052C2"/>
    <w:rsid w:val="0030533D"/>
    <w:rsid w:val="00305441"/>
    <w:rsid w:val="00305459"/>
    <w:rsid w:val="0030545E"/>
    <w:rsid w:val="0030564D"/>
    <w:rsid w:val="00305798"/>
    <w:rsid w:val="003057AE"/>
    <w:rsid w:val="003058FC"/>
    <w:rsid w:val="0030597C"/>
    <w:rsid w:val="00305A1F"/>
    <w:rsid w:val="00305AAC"/>
    <w:rsid w:val="00305BCD"/>
    <w:rsid w:val="00305E51"/>
    <w:rsid w:val="00305EBA"/>
    <w:rsid w:val="003060DF"/>
    <w:rsid w:val="003060E4"/>
    <w:rsid w:val="00306110"/>
    <w:rsid w:val="00306114"/>
    <w:rsid w:val="0030619A"/>
    <w:rsid w:val="003061AF"/>
    <w:rsid w:val="003062DE"/>
    <w:rsid w:val="003062FE"/>
    <w:rsid w:val="0030631D"/>
    <w:rsid w:val="0030638F"/>
    <w:rsid w:val="003063B4"/>
    <w:rsid w:val="003064A0"/>
    <w:rsid w:val="003064F2"/>
    <w:rsid w:val="00306520"/>
    <w:rsid w:val="00306586"/>
    <w:rsid w:val="003065B7"/>
    <w:rsid w:val="003065D1"/>
    <w:rsid w:val="00306765"/>
    <w:rsid w:val="0030691B"/>
    <w:rsid w:val="0030695F"/>
    <w:rsid w:val="003069EE"/>
    <w:rsid w:val="00306A83"/>
    <w:rsid w:val="00306B6F"/>
    <w:rsid w:val="00306BDA"/>
    <w:rsid w:val="00306F16"/>
    <w:rsid w:val="00306F3C"/>
    <w:rsid w:val="00306F9A"/>
    <w:rsid w:val="0030708A"/>
    <w:rsid w:val="003070AB"/>
    <w:rsid w:val="00307125"/>
    <w:rsid w:val="00307158"/>
    <w:rsid w:val="00307340"/>
    <w:rsid w:val="00307464"/>
    <w:rsid w:val="00307476"/>
    <w:rsid w:val="003074C5"/>
    <w:rsid w:val="003074D7"/>
    <w:rsid w:val="003076AE"/>
    <w:rsid w:val="003078E6"/>
    <w:rsid w:val="003078F7"/>
    <w:rsid w:val="00307A6D"/>
    <w:rsid w:val="00307B7C"/>
    <w:rsid w:val="00307B8E"/>
    <w:rsid w:val="00307D01"/>
    <w:rsid w:val="00307D71"/>
    <w:rsid w:val="00307EFD"/>
    <w:rsid w:val="00307F22"/>
    <w:rsid w:val="0031011A"/>
    <w:rsid w:val="003101DA"/>
    <w:rsid w:val="00310210"/>
    <w:rsid w:val="00310253"/>
    <w:rsid w:val="003102B6"/>
    <w:rsid w:val="0031038D"/>
    <w:rsid w:val="003103E2"/>
    <w:rsid w:val="003103F1"/>
    <w:rsid w:val="00310690"/>
    <w:rsid w:val="003106AC"/>
    <w:rsid w:val="00310720"/>
    <w:rsid w:val="003109BA"/>
    <w:rsid w:val="00310A7B"/>
    <w:rsid w:val="00310ADB"/>
    <w:rsid w:val="00310B94"/>
    <w:rsid w:val="00310BA4"/>
    <w:rsid w:val="00310BE6"/>
    <w:rsid w:val="00310D24"/>
    <w:rsid w:val="00310E2A"/>
    <w:rsid w:val="00310F9F"/>
    <w:rsid w:val="00311013"/>
    <w:rsid w:val="003110BC"/>
    <w:rsid w:val="0031110B"/>
    <w:rsid w:val="0031125C"/>
    <w:rsid w:val="003116A2"/>
    <w:rsid w:val="00311723"/>
    <w:rsid w:val="0031173E"/>
    <w:rsid w:val="0031174C"/>
    <w:rsid w:val="003117D0"/>
    <w:rsid w:val="00311AE3"/>
    <w:rsid w:val="00311B34"/>
    <w:rsid w:val="00311BEC"/>
    <w:rsid w:val="00311DA1"/>
    <w:rsid w:val="00311E2E"/>
    <w:rsid w:val="00311F6D"/>
    <w:rsid w:val="00311F8D"/>
    <w:rsid w:val="0031205E"/>
    <w:rsid w:val="003120CA"/>
    <w:rsid w:val="003120F3"/>
    <w:rsid w:val="0031211D"/>
    <w:rsid w:val="00312227"/>
    <w:rsid w:val="003122A0"/>
    <w:rsid w:val="003122B4"/>
    <w:rsid w:val="00312421"/>
    <w:rsid w:val="00312565"/>
    <w:rsid w:val="0031259E"/>
    <w:rsid w:val="00312609"/>
    <w:rsid w:val="003128AA"/>
    <w:rsid w:val="003128E4"/>
    <w:rsid w:val="003128EB"/>
    <w:rsid w:val="003129DE"/>
    <w:rsid w:val="003129FB"/>
    <w:rsid w:val="00312B7D"/>
    <w:rsid w:val="00312D53"/>
    <w:rsid w:val="00312DFA"/>
    <w:rsid w:val="00312FEB"/>
    <w:rsid w:val="00312FFA"/>
    <w:rsid w:val="00313078"/>
    <w:rsid w:val="003135F8"/>
    <w:rsid w:val="00313615"/>
    <w:rsid w:val="003136B1"/>
    <w:rsid w:val="0031378C"/>
    <w:rsid w:val="003137F5"/>
    <w:rsid w:val="00313867"/>
    <w:rsid w:val="003139DD"/>
    <w:rsid w:val="00313B67"/>
    <w:rsid w:val="00313CB2"/>
    <w:rsid w:val="00313F30"/>
    <w:rsid w:val="003140AC"/>
    <w:rsid w:val="0031418A"/>
    <w:rsid w:val="00314334"/>
    <w:rsid w:val="0031442F"/>
    <w:rsid w:val="003146EE"/>
    <w:rsid w:val="00314878"/>
    <w:rsid w:val="00314921"/>
    <w:rsid w:val="00314A59"/>
    <w:rsid w:val="00314AEB"/>
    <w:rsid w:val="00314AF2"/>
    <w:rsid w:val="00314B0B"/>
    <w:rsid w:val="00314C19"/>
    <w:rsid w:val="00314DA9"/>
    <w:rsid w:val="00314DFF"/>
    <w:rsid w:val="00314E97"/>
    <w:rsid w:val="0031503D"/>
    <w:rsid w:val="0031510C"/>
    <w:rsid w:val="00315155"/>
    <w:rsid w:val="0031515F"/>
    <w:rsid w:val="00315175"/>
    <w:rsid w:val="0031523D"/>
    <w:rsid w:val="0031523F"/>
    <w:rsid w:val="0031534A"/>
    <w:rsid w:val="0031548B"/>
    <w:rsid w:val="003154A1"/>
    <w:rsid w:val="003155CD"/>
    <w:rsid w:val="00315635"/>
    <w:rsid w:val="00315789"/>
    <w:rsid w:val="0031584E"/>
    <w:rsid w:val="0031590A"/>
    <w:rsid w:val="0031590C"/>
    <w:rsid w:val="0031593B"/>
    <w:rsid w:val="003159D2"/>
    <w:rsid w:val="00315A23"/>
    <w:rsid w:val="00315B01"/>
    <w:rsid w:val="00315B85"/>
    <w:rsid w:val="00315F78"/>
    <w:rsid w:val="00315FE8"/>
    <w:rsid w:val="003160A7"/>
    <w:rsid w:val="00316132"/>
    <w:rsid w:val="00316134"/>
    <w:rsid w:val="003161A3"/>
    <w:rsid w:val="0031624B"/>
    <w:rsid w:val="0031624E"/>
    <w:rsid w:val="00316289"/>
    <w:rsid w:val="003163D8"/>
    <w:rsid w:val="003163FB"/>
    <w:rsid w:val="003168CD"/>
    <w:rsid w:val="003169B8"/>
    <w:rsid w:val="00316AD1"/>
    <w:rsid w:val="00316B84"/>
    <w:rsid w:val="00316BF2"/>
    <w:rsid w:val="00316D27"/>
    <w:rsid w:val="00316D2F"/>
    <w:rsid w:val="00316D34"/>
    <w:rsid w:val="00316D92"/>
    <w:rsid w:val="00316F2E"/>
    <w:rsid w:val="0031703C"/>
    <w:rsid w:val="00317197"/>
    <w:rsid w:val="0031725C"/>
    <w:rsid w:val="00317327"/>
    <w:rsid w:val="00317351"/>
    <w:rsid w:val="003173B0"/>
    <w:rsid w:val="0031742B"/>
    <w:rsid w:val="0031749D"/>
    <w:rsid w:val="003176AA"/>
    <w:rsid w:val="003176E2"/>
    <w:rsid w:val="003177B5"/>
    <w:rsid w:val="003178C8"/>
    <w:rsid w:val="003178EC"/>
    <w:rsid w:val="003178F2"/>
    <w:rsid w:val="00317974"/>
    <w:rsid w:val="003179F0"/>
    <w:rsid w:val="00317BC8"/>
    <w:rsid w:val="00317E39"/>
    <w:rsid w:val="0032004B"/>
    <w:rsid w:val="0032024D"/>
    <w:rsid w:val="00320357"/>
    <w:rsid w:val="00320537"/>
    <w:rsid w:val="0032067F"/>
    <w:rsid w:val="0032069C"/>
    <w:rsid w:val="003206F2"/>
    <w:rsid w:val="003207AF"/>
    <w:rsid w:val="0032083D"/>
    <w:rsid w:val="003209F3"/>
    <w:rsid w:val="00320A05"/>
    <w:rsid w:val="00320A6A"/>
    <w:rsid w:val="00320B36"/>
    <w:rsid w:val="00320B50"/>
    <w:rsid w:val="00320B62"/>
    <w:rsid w:val="00320B84"/>
    <w:rsid w:val="00320C04"/>
    <w:rsid w:val="00320C33"/>
    <w:rsid w:val="00320C4C"/>
    <w:rsid w:val="00320CE2"/>
    <w:rsid w:val="00321204"/>
    <w:rsid w:val="003213DC"/>
    <w:rsid w:val="0032141F"/>
    <w:rsid w:val="00321475"/>
    <w:rsid w:val="003215D5"/>
    <w:rsid w:val="0032167F"/>
    <w:rsid w:val="003216DE"/>
    <w:rsid w:val="00321873"/>
    <w:rsid w:val="003218C7"/>
    <w:rsid w:val="003218DE"/>
    <w:rsid w:val="00321984"/>
    <w:rsid w:val="00321994"/>
    <w:rsid w:val="00321B76"/>
    <w:rsid w:val="00321FB4"/>
    <w:rsid w:val="003220CF"/>
    <w:rsid w:val="003223A2"/>
    <w:rsid w:val="0032241B"/>
    <w:rsid w:val="003225C7"/>
    <w:rsid w:val="00322703"/>
    <w:rsid w:val="00322769"/>
    <w:rsid w:val="00322771"/>
    <w:rsid w:val="003228A6"/>
    <w:rsid w:val="003228C8"/>
    <w:rsid w:val="00322922"/>
    <w:rsid w:val="00322A74"/>
    <w:rsid w:val="00322B9F"/>
    <w:rsid w:val="00322DA6"/>
    <w:rsid w:val="00322DA9"/>
    <w:rsid w:val="00322DF0"/>
    <w:rsid w:val="00322F8B"/>
    <w:rsid w:val="00322FB2"/>
    <w:rsid w:val="00322FC2"/>
    <w:rsid w:val="00323021"/>
    <w:rsid w:val="0032303A"/>
    <w:rsid w:val="00323056"/>
    <w:rsid w:val="003230E0"/>
    <w:rsid w:val="00323156"/>
    <w:rsid w:val="003231EE"/>
    <w:rsid w:val="0032343E"/>
    <w:rsid w:val="0032347D"/>
    <w:rsid w:val="00323483"/>
    <w:rsid w:val="003234F9"/>
    <w:rsid w:val="00323512"/>
    <w:rsid w:val="0032362D"/>
    <w:rsid w:val="0032385F"/>
    <w:rsid w:val="00323921"/>
    <w:rsid w:val="00323A3C"/>
    <w:rsid w:val="00323A5B"/>
    <w:rsid w:val="00323B6E"/>
    <w:rsid w:val="00323CD2"/>
    <w:rsid w:val="00323D54"/>
    <w:rsid w:val="00323ED6"/>
    <w:rsid w:val="00323F08"/>
    <w:rsid w:val="00323F2A"/>
    <w:rsid w:val="00323F5C"/>
    <w:rsid w:val="00324044"/>
    <w:rsid w:val="00324275"/>
    <w:rsid w:val="003242BD"/>
    <w:rsid w:val="00324414"/>
    <w:rsid w:val="0032449F"/>
    <w:rsid w:val="003244FC"/>
    <w:rsid w:val="00324705"/>
    <w:rsid w:val="0032470C"/>
    <w:rsid w:val="003248BA"/>
    <w:rsid w:val="003248F8"/>
    <w:rsid w:val="003248FC"/>
    <w:rsid w:val="00324907"/>
    <w:rsid w:val="0032498A"/>
    <w:rsid w:val="00324A5A"/>
    <w:rsid w:val="00324B74"/>
    <w:rsid w:val="00324BB3"/>
    <w:rsid w:val="00324D14"/>
    <w:rsid w:val="00325074"/>
    <w:rsid w:val="003250B9"/>
    <w:rsid w:val="003250BB"/>
    <w:rsid w:val="00325118"/>
    <w:rsid w:val="003251A7"/>
    <w:rsid w:val="0032543C"/>
    <w:rsid w:val="00325551"/>
    <w:rsid w:val="003255DD"/>
    <w:rsid w:val="0032567A"/>
    <w:rsid w:val="003256F2"/>
    <w:rsid w:val="0032583D"/>
    <w:rsid w:val="0032592D"/>
    <w:rsid w:val="00325AB0"/>
    <w:rsid w:val="00325B5F"/>
    <w:rsid w:val="00325C01"/>
    <w:rsid w:val="00325C5E"/>
    <w:rsid w:val="00325CAD"/>
    <w:rsid w:val="00325CCB"/>
    <w:rsid w:val="00325F77"/>
    <w:rsid w:val="00325F9E"/>
    <w:rsid w:val="00326196"/>
    <w:rsid w:val="003261BE"/>
    <w:rsid w:val="0032634E"/>
    <w:rsid w:val="0032635C"/>
    <w:rsid w:val="00326390"/>
    <w:rsid w:val="003263BE"/>
    <w:rsid w:val="003265C7"/>
    <w:rsid w:val="00326663"/>
    <w:rsid w:val="00326946"/>
    <w:rsid w:val="003269ED"/>
    <w:rsid w:val="00326A19"/>
    <w:rsid w:val="00326B99"/>
    <w:rsid w:val="00326CD2"/>
    <w:rsid w:val="00326D2E"/>
    <w:rsid w:val="00326D8C"/>
    <w:rsid w:val="00326DA3"/>
    <w:rsid w:val="00326E4C"/>
    <w:rsid w:val="00326E56"/>
    <w:rsid w:val="00326E9E"/>
    <w:rsid w:val="00326F45"/>
    <w:rsid w:val="00327026"/>
    <w:rsid w:val="003270A5"/>
    <w:rsid w:val="003270EA"/>
    <w:rsid w:val="00327207"/>
    <w:rsid w:val="00327261"/>
    <w:rsid w:val="00327297"/>
    <w:rsid w:val="00327319"/>
    <w:rsid w:val="0032760B"/>
    <w:rsid w:val="003277CA"/>
    <w:rsid w:val="00327877"/>
    <w:rsid w:val="00327A01"/>
    <w:rsid w:val="00327A67"/>
    <w:rsid w:val="00327BD1"/>
    <w:rsid w:val="00327D83"/>
    <w:rsid w:val="00327F17"/>
    <w:rsid w:val="00330025"/>
    <w:rsid w:val="0033014C"/>
    <w:rsid w:val="003304B5"/>
    <w:rsid w:val="00330633"/>
    <w:rsid w:val="0033063C"/>
    <w:rsid w:val="003307A5"/>
    <w:rsid w:val="00330847"/>
    <w:rsid w:val="0033085B"/>
    <w:rsid w:val="00330888"/>
    <w:rsid w:val="003308A0"/>
    <w:rsid w:val="00330931"/>
    <w:rsid w:val="00330A3C"/>
    <w:rsid w:val="00330BFE"/>
    <w:rsid w:val="00330C13"/>
    <w:rsid w:val="00330CEC"/>
    <w:rsid w:val="00330D01"/>
    <w:rsid w:val="00330D94"/>
    <w:rsid w:val="00330E27"/>
    <w:rsid w:val="00330E41"/>
    <w:rsid w:val="00330EE1"/>
    <w:rsid w:val="00331160"/>
    <w:rsid w:val="00331179"/>
    <w:rsid w:val="00331264"/>
    <w:rsid w:val="00331276"/>
    <w:rsid w:val="00331328"/>
    <w:rsid w:val="00331350"/>
    <w:rsid w:val="00331761"/>
    <w:rsid w:val="003318FA"/>
    <w:rsid w:val="00331928"/>
    <w:rsid w:val="0033193D"/>
    <w:rsid w:val="00331953"/>
    <w:rsid w:val="00331A36"/>
    <w:rsid w:val="00331B0C"/>
    <w:rsid w:val="00331B67"/>
    <w:rsid w:val="00331B92"/>
    <w:rsid w:val="00331C25"/>
    <w:rsid w:val="00331C7C"/>
    <w:rsid w:val="00331E04"/>
    <w:rsid w:val="00331E17"/>
    <w:rsid w:val="00331EBD"/>
    <w:rsid w:val="00331F69"/>
    <w:rsid w:val="00331F7C"/>
    <w:rsid w:val="0033204A"/>
    <w:rsid w:val="00332092"/>
    <w:rsid w:val="003320E9"/>
    <w:rsid w:val="00332274"/>
    <w:rsid w:val="0033229A"/>
    <w:rsid w:val="00332368"/>
    <w:rsid w:val="003324D0"/>
    <w:rsid w:val="0033254D"/>
    <w:rsid w:val="00332594"/>
    <w:rsid w:val="0033265B"/>
    <w:rsid w:val="00332676"/>
    <w:rsid w:val="003327AF"/>
    <w:rsid w:val="0033298A"/>
    <w:rsid w:val="00332A25"/>
    <w:rsid w:val="00332A6B"/>
    <w:rsid w:val="00332B41"/>
    <w:rsid w:val="00332D9B"/>
    <w:rsid w:val="00332EFD"/>
    <w:rsid w:val="00332F75"/>
    <w:rsid w:val="003333A2"/>
    <w:rsid w:val="00333433"/>
    <w:rsid w:val="003335F0"/>
    <w:rsid w:val="00333630"/>
    <w:rsid w:val="00333652"/>
    <w:rsid w:val="003336D1"/>
    <w:rsid w:val="00333822"/>
    <w:rsid w:val="00333836"/>
    <w:rsid w:val="003338A0"/>
    <w:rsid w:val="003338F0"/>
    <w:rsid w:val="00333A27"/>
    <w:rsid w:val="00333A59"/>
    <w:rsid w:val="00333B1F"/>
    <w:rsid w:val="00333C1A"/>
    <w:rsid w:val="00333CED"/>
    <w:rsid w:val="00333D9B"/>
    <w:rsid w:val="00333EBB"/>
    <w:rsid w:val="00333ED5"/>
    <w:rsid w:val="0033411C"/>
    <w:rsid w:val="0033419A"/>
    <w:rsid w:val="003341CD"/>
    <w:rsid w:val="0033437C"/>
    <w:rsid w:val="00334509"/>
    <w:rsid w:val="00334C0E"/>
    <w:rsid w:val="00334D00"/>
    <w:rsid w:val="00334D56"/>
    <w:rsid w:val="00334E30"/>
    <w:rsid w:val="00335060"/>
    <w:rsid w:val="00335070"/>
    <w:rsid w:val="00335131"/>
    <w:rsid w:val="00335149"/>
    <w:rsid w:val="003351C8"/>
    <w:rsid w:val="003355AF"/>
    <w:rsid w:val="003355BB"/>
    <w:rsid w:val="00335645"/>
    <w:rsid w:val="00335704"/>
    <w:rsid w:val="00335848"/>
    <w:rsid w:val="003358A3"/>
    <w:rsid w:val="003358F3"/>
    <w:rsid w:val="00335930"/>
    <w:rsid w:val="00335AD7"/>
    <w:rsid w:val="00335D34"/>
    <w:rsid w:val="00335DB4"/>
    <w:rsid w:val="00335FB9"/>
    <w:rsid w:val="00336073"/>
    <w:rsid w:val="003360DF"/>
    <w:rsid w:val="003362C5"/>
    <w:rsid w:val="003362F1"/>
    <w:rsid w:val="003363E6"/>
    <w:rsid w:val="00336668"/>
    <w:rsid w:val="00336739"/>
    <w:rsid w:val="0033682D"/>
    <w:rsid w:val="003368B8"/>
    <w:rsid w:val="0033696E"/>
    <w:rsid w:val="00336A4A"/>
    <w:rsid w:val="00336ADC"/>
    <w:rsid w:val="00336B4F"/>
    <w:rsid w:val="00336B94"/>
    <w:rsid w:val="00336C74"/>
    <w:rsid w:val="00336CF6"/>
    <w:rsid w:val="00336D0D"/>
    <w:rsid w:val="003372E2"/>
    <w:rsid w:val="0033745E"/>
    <w:rsid w:val="003375A9"/>
    <w:rsid w:val="003375F0"/>
    <w:rsid w:val="003376A4"/>
    <w:rsid w:val="003376AD"/>
    <w:rsid w:val="003377FE"/>
    <w:rsid w:val="003378A5"/>
    <w:rsid w:val="00337AD5"/>
    <w:rsid w:val="00337B6E"/>
    <w:rsid w:val="00337B7C"/>
    <w:rsid w:val="00337B91"/>
    <w:rsid w:val="00337C0D"/>
    <w:rsid w:val="00337DA7"/>
    <w:rsid w:val="00337F64"/>
    <w:rsid w:val="0034002B"/>
    <w:rsid w:val="00340049"/>
    <w:rsid w:val="003400C5"/>
    <w:rsid w:val="0034011E"/>
    <w:rsid w:val="0034018B"/>
    <w:rsid w:val="00340205"/>
    <w:rsid w:val="00340254"/>
    <w:rsid w:val="00340288"/>
    <w:rsid w:val="00340368"/>
    <w:rsid w:val="0034037B"/>
    <w:rsid w:val="00340640"/>
    <w:rsid w:val="00340684"/>
    <w:rsid w:val="003406AA"/>
    <w:rsid w:val="00340748"/>
    <w:rsid w:val="00340944"/>
    <w:rsid w:val="003409E3"/>
    <w:rsid w:val="00340A14"/>
    <w:rsid w:val="00340A36"/>
    <w:rsid w:val="00340A37"/>
    <w:rsid w:val="00340A98"/>
    <w:rsid w:val="00340CAC"/>
    <w:rsid w:val="00340D7D"/>
    <w:rsid w:val="00340DB5"/>
    <w:rsid w:val="00340F59"/>
    <w:rsid w:val="00341008"/>
    <w:rsid w:val="00341021"/>
    <w:rsid w:val="0034112D"/>
    <w:rsid w:val="0034114B"/>
    <w:rsid w:val="0034133C"/>
    <w:rsid w:val="003414FA"/>
    <w:rsid w:val="00341501"/>
    <w:rsid w:val="0034153A"/>
    <w:rsid w:val="00341559"/>
    <w:rsid w:val="00341569"/>
    <w:rsid w:val="0034157B"/>
    <w:rsid w:val="003415BD"/>
    <w:rsid w:val="003416D3"/>
    <w:rsid w:val="00341821"/>
    <w:rsid w:val="003418AE"/>
    <w:rsid w:val="00341999"/>
    <w:rsid w:val="00341A6E"/>
    <w:rsid w:val="00341AAA"/>
    <w:rsid w:val="00341AC8"/>
    <w:rsid w:val="00341BFD"/>
    <w:rsid w:val="00341C17"/>
    <w:rsid w:val="00341C5A"/>
    <w:rsid w:val="00341C6B"/>
    <w:rsid w:val="00341C98"/>
    <w:rsid w:val="00341CE8"/>
    <w:rsid w:val="00341D6C"/>
    <w:rsid w:val="00341DCC"/>
    <w:rsid w:val="0034206A"/>
    <w:rsid w:val="003421B6"/>
    <w:rsid w:val="003421CD"/>
    <w:rsid w:val="0034242A"/>
    <w:rsid w:val="0034258B"/>
    <w:rsid w:val="003425F6"/>
    <w:rsid w:val="003426D4"/>
    <w:rsid w:val="00342787"/>
    <w:rsid w:val="00342C10"/>
    <w:rsid w:val="00342D20"/>
    <w:rsid w:val="00342D81"/>
    <w:rsid w:val="00342EB1"/>
    <w:rsid w:val="00343139"/>
    <w:rsid w:val="00343432"/>
    <w:rsid w:val="00343588"/>
    <w:rsid w:val="003435AF"/>
    <w:rsid w:val="00343699"/>
    <w:rsid w:val="0034375B"/>
    <w:rsid w:val="0034380C"/>
    <w:rsid w:val="0034385C"/>
    <w:rsid w:val="00343A52"/>
    <w:rsid w:val="00343B13"/>
    <w:rsid w:val="00343B37"/>
    <w:rsid w:val="00343B6D"/>
    <w:rsid w:val="00343BDB"/>
    <w:rsid w:val="00343C00"/>
    <w:rsid w:val="00343C7F"/>
    <w:rsid w:val="00343CBC"/>
    <w:rsid w:val="00343CC2"/>
    <w:rsid w:val="00343D7A"/>
    <w:rsid w:val="00343E85"/>
    <w:rsid w:val="00343EAE"/>
    <w:rsid w:val="00343F59"/>
    <w:rsid w:val="00344031"/>
    <w:rsid w:val="003440B7"/>
    <w:rsid w:val="003441B2"/>
    <w:rsid w:val="003441B6"/>
    <w:rsid w:val="003441D2"/>
    <w:rsid w:val="003441F9"/>
    <w:rsid w:val="00344206"/>
    <w:rsid w:val="00344358"/>
    <w:rsid w:val="003444A9"/>
    <w:rsid w:val="0034451E"/>
    <w:rsid w:val="00344693"/>
    <w:rsid w:val="0034478E"/>
    <w:rsid w:val="00344962"/>
    <w:rsid w:val="0034497C"/>
    <w:rsid w:val="003449E5"/>
    <w:rsid w:val="00344A0D"/>
    <w:rsid w:val="00344B02"/>
    <w:rsid w:val="00344D64"/>
    <w:rsid w:val="00344E19"/>
    <w:rsid w:val="00344F79"/>
    <w:rsid w:val="00345063"/>
    <w:rsid w:val="003451E2"/>
    <w:rsid w:val="0034526C"/>
    <w:rsid w:val="00345278"/>
    <w:rsid w:val="00345284"/>
    <w:rsid w:val="0034530E"/>
    <w:rsid w:val="00345316"/>
    <w:rsid w:val="003453EC"/>
    <w:rsid w:val="00345489"/>
    <w:rsid w:val="003455B4"/>
    <w:rsid w:val="003455DC"/>
    <w:rsid w:val="00345641"/>
    <w:rsid w:val="0034566D"/>
    <w:rsid w:val="00345748"/>
    <w:rsid w:val="00345799"/>
    <w:rsid w:val="00345932"/>
    <w:rsid w:val="00345B65"/>
    <w:rsid w:val="00345B73"/>
    <w:rsid w:val="00345F04"/>
    <w:rsid w:val="00345F9C"/>
    <w:rsid w:val="00345FAF"/>
    <w:rsid w:val="0034605A"/>
    <w:rsid w:val="003460FC"/>
    <w:rsid w:val="0034620D"/>
    <w:rsid w:val="00346464"/>
    <w:rsid w:val="003464C0"/>
    <w:rsid w:val="0034655B"/>
    <w:rsid w:val="003466D0"/>
    <w:rsid w:val="003466F5"/>
    <w:rsid w:val="00346777"/>
    <w:rsid w:val="003468A3"/>
    <w:rsid w:val="003468AD"/>
    <w:rsid w:val="003468D2"/>
    <w:rsid w:val="003468E7"/>
    <w:rsid w:val="0034691F"/>
    <w:rsid w:val="0034692D"/>
    <w:rsid w:val="00346A04"/>
    <w:rsid w:val="00346A1C"/>
    <w:rsid w:val="00346A2C"/>
    <w:rsid w:val="00346C40"/>
    <w:rsid w:val="00346CE2"/>
    <w:rsid w:val="00346DA5"/>
    <w:rsid w:val="00346FA5"/>
    <w:rsid w:val="003471F6"/>
    <w:rsid w:val="003472B1"/>
    <w:rsid w:val="0034735C"/>
    <w:rsid w:val="003473EE"/>
    <w:rsid w:val="0034748F"/>
    <w:rsid w:val="003474B2"/>
    <w:rsid w:val="0034755F"/>
    <w:rsid w:val="0034764C"/>
    <w:rsid w:val="0034767F"/>
    <w:rsid w:val="0034771F"/>
    <w:rsid w:val="003477F7"/>
    <w:rsid w:val="0034785A"/>
    <w:rsid w:val="0034787A"/>
    <w:rsid w:val="00347885"/>
    <w:rsid w:val="003479C5"/>
    <w:rsid w:val="00347AB4"/>
    <w:rsid w:val="00347B8F"/>
    <w:rsid w:val="00347BA9"/>
    <w:rsid w:val="00347BAD"/>
    <w:rsid w:val="00347BEE"/>
    <w:rsid w:val="00347CDF"/>
    <w:rsid w:val="00350073"/>
    <w:rsid w:val="00350347"/>
    <w:rsid w:val="00350357"/>
    <w:rsid w:val="0035036B"/>
    <w:rsid w:val="003504AC"/>
    <w:rsid w:val="0035053E"/>
    <w:rsid w:val="00350571"/>
    <w:rsid w:val="00350584"/>
    <w:rsid w:val="00350730"/>
    <w:rsid w:val="003507A0"/>
    <w:rsid w:val="003509DE"/>
    <w:rsid w:val="003509E5"/>
    <w:rsid w:val="00350A22"/>
    <w:rsid w:val="00350A92"/>
    <w:rsid w:val="00350B15"/>
    <w:rsid w:val="00350B9B"/>
    <w:rsid w:val="00350C67"/>
    <w:rsid w:val="00350E84"/>
    <w:rsid w:val="00350EC9"/>
    <w:rsid w:val="00350F59"/>
    <w:rsid w:val="00350FB3"/>
    <w:rsid w:val="0035113B"/>
    <w:rsid w:val="003512CD"/>
    <w:rsid w:val="0035167C"/>
    <w:rsid w:val="00351761"/>
    <w:rsid w:val="00351920"/>
    <w:rsid w:val="003519FB"/>
    <w:rsid w:val="00351A59"/>
    <w:rsid w:val="00351CFC"/>
    <w:rsid w:val="00351EBD"/>
    <w:rsid w:val="00351F15"/>
    <w:rsid w:val="0035206F"/>
    <w:rsid w:val="003520AC"/>
    <w:rsid w:val="003520ED"/>
    <w:rsid w:val="003521CD"/>
    <w:rsid w:val="003521E8"/>
    <w:rsid w:val="003522F3"/>
    <w:rsid w:val="00352364"/>
    <w:rsid w:val="003523EB"/>
    <w:rsid w:val="003524A1"/>
    <w:rsid w:val="003526B6"/>
    <w:rsid w:val="00352722"/>
    <w:rsid w:val="00352865"/>
    <w:rsid w:val="003529B7"/>
    <w:rsid w:val="003529E7"/>
    <w:rsid w:val="00352A85"/>
    <w:rsid w:val="00352A9F"/>
    <w:rsid w:val="00352AAA"/>
    <w:rsid w:val="00352C2E"/>
    <w:rsid w:val="00352C44"/>
    <w:rsid w:val="00352C5E"/>
    <w:rsid w:val="00352E8F"/>
    <w:rsid w:val="00352EA3"/>
    <w:rsid w:val="00352F6C"/>
    <w:rsid w:val="0035312C"/>
    <w:rsid w:val="0035317B"/>
    <w:rsid w:val="00353228"/>
    <w:rsid w:val="00353301"/>
    <w:rsid w:val="00353456"/>
    <w:rsid w:val="003534AF"/>
    <w:rsid w:val="003535A3"/>
    <w:rsid w:val="003538F3"/>
    <w:rsid w:val="0035394F"/>
    <w:rsid w:val="00353961"/>
    <w:rsid w:val="00353A07"/>
    <w:rsid w:val="00353AB9"/>
    <w:rsid w:val="00353BDD"/>
    <w:rsid w:val="00353C50"/>
    <w:rsid w:val="00353C86"/>
    <w:rsid w:val="00353E4C"/>
    <w:rsid w:val="0035404D"/>
    <w:rsid w:val="00354105"/>
    <w:rsid w:val="00354149"/>
    <w:rsid w:val="003542AE"/>
    <w:rsid w:val="003542BD"/>
    <w:rsid w:val="00354421"/>
    <w:rsid w:val="0035463E"/>
    <w:rsid w:val="00354784"/>
    <w:rsid w:val="003547BD"/>
    <w:rsid w:val="00354819"/>
    <w:rsid w:val="00354901"/>
    <w:rsid w:val="003549A2"/>
    <w:rsid w:val="00354A69"/>
    <w:rsid w:val="00354D29"/>
    <w:rsid w:val="00354D56"/>
    <w:rsid w:val="00354E0D"/>
    <w:rsid w:val="00354E74"/>
    <w:rsid w:val="00354F4F"/>
    <w:rsid w:val="00354F79"/>
    <w:rsid w:val="00354FE5"/>
    <w:rsid w:val="00354FFD"/>
    <w:rsid w:val="00355010"/>
    <w:rsid w:val="0035511C"/>
    <w:rsid w:val="003552E6"/>
    <w:rsid w:val="00355506"/>
    <w:rsid w:val="0035554B"/>
    <w:rsid w:val="00355572"/>
    <w:rsid w:val="00355957"/>
    <w:rsid w:val="003559D9"/>
    <w:rsid w:val="00355A7F"/>
    <w:rsid w:val="00355C18"/>
    <w:rsid w:val="00355C6B"/>
    <w:rsid w:val="00355C75"/>
    <w:rsid w:val="00355CBA"/>
    <w:rsid w:val="00355D05"/>
    <w:rsid w:val="00355F44"/>
    <w:rsid w:val="00355F66"/>
    <w:rsid w:val="00355FDB"/>
    <w:rsid w:val="00356262"/>
    <w:rsid w:val="00356406"/>
    <w:rsid w:val="003564D4"/>
    <w:rsid w:val="003566EA"/>
    <w:rsid w:val="003567A5"/>
    <w:rsid w:val="003568B3"/>
    <w:rsid w:val="00356956"/>
    <w:rsid w:val="00356999"/>
    <w:rsid w:val="00356B03"/>
    <w:rsid w:val="00356B6B"/>
    <w:rsid w:val="00356B93"/>
    <w:rsid w:val="00356E19"/>
    <w:rsid w:val="00356F27"/>
    <w:rsid w:val="00356FDA"/>
    <w:rsid w:val="00356FF9"/>
    <w:rsid w:val="00357032"/>
    <w:rsid w:val="0035708A"/>
    <w:rsid w:val="00357221"/>
    <w:rsid w:val="00357228"/>
    <w:rsid w:val="0035726A"/>
    <w:rsid w:val="0035751E"/>
    <w:rsid w:val="00357548"/>
    <w:rsid w:val="003575A1"/>
    <w:rsid w:val="0035761E"/>
    <w:rsid w:val="003577BC"/>
    <w:rsid w:val="003577FE"/>
    <w:rsid w:val="00357B0C"/>
    <w:rsid w:val="00357D74"/>
    <w:rsid w:val="00357D8E"/>
    <w:rsid w:val="00357E3B"/>
    <w:rsid w:val="003600FC"/>
    <w:rsid w:val="00360131"/>
    <w:rsid w:val="003604AD"/>
    <w:rsid w:val="003605EC"/>
    <w:rsid w:val="00360674"/>
    <w:rsid w:val="003606B5"/>
    <w:rsid w:val="003606DD"/>
    <w:rsid w:val="003607A1"/>
    <w:rsid w:val="003607FD"/>
    <w:rsid w:val="00360803"/>
    <w:rsid w:val="0036093B"/>
    <w:rsid w:val="0036097D"/>
    <w:rsid w:val="00360A6B"/>
    <w:rsid w:val="00360A76"/>
    <w:rsid w:val="00360BCA"/>
    <w:rsid w:val="00360EA4"/>
    <w:rsid w:val="00360EB6"/>
    <w:rsid w:val="00360F30"/>
    <w:rsid w:val="00360F68"/>
    <w:rsid w:val="00360FE2"/>
    <w:rsid w:val="003610CF"/>
    <w:rsid w:val="003610EF"/>
    <w:rsid w:val="00361230"/>
    <w:rsid w:val="00361282"/>
    <w:rsid w:val="00361313"/>
    <w:rsid w:val="0036133A"/>
    <w:rsid w:val="00361480"/>
    <w:rsid w:val="003615CB"/>
    <w:rsid w:val="003617AC"/>
    <w:rsid w:val="003617FB"/>
    <w:rsid w:val="0036188E"/>
    <w:rsid w:val="0036189F"/>
    <w:rsid w:val="00361A59"/>
    <w:rsid w:val="00361AC3"/>
    <w:rsid w:val="00361B28"/>
    <w:rsid w:val="00362131"/>
    <w:rsid w:val="00362146"/>
    <w:rsid w:val="0036219B"/>
    <w:rsid w:val="003621C7"/>
    <w:rsid w:val="00362217"/>
    <w:rsid w:val="0036246B"/>
    <w:rsid w:val="003625B5"/>
    <w:rsid w:val="0036262E"/>
    <w:rsid w:val="00362674"/>
    <w:rsid w:val="003626F3"/>
    <w:rsid w:val="00362737"/>
    <w:rsid w:val="003629F7"/>
    <w:rsid w:val="00362AA1"/>
    <w:rsid w:val="00362B27"/>
    <w:rsid w:val="00362BDF"/>
    <w:rsid w:val="00362C15"/>
    <w:rsid w:val="00362C44"/>
    <w:rsid w:val="00362C78"/>
    <w:rsid w:val="00362D9A"/>
    <w:rsid w:val="00362E1E"/>
    <w:rsid w:val="00362E2F"/>
    <w:rsid w:val="00362E4D"/>
    <w:rsid w:val="0036304A"/>
    <w:rsid w:val="00363106"/>
    <w:rsid w:val="0036334B"/>
    <w:rsid w:val="00363389"/>
    <w:rsid w:val="0036339A"/>
    <w:rsid w:val="00363618"/>
    <w:rsid w:val="00363636"/>
    <w:rsid w:val="003637A4"/>
    <w:rsid w:val="00363848"/>
    <w:rsid w:val="00363936"/>
    <w:rsid w:val="00363A6E"/>
    <w:rsid w:val="00363B68"/>
    <w:rsid w:val="00363B83"/>
    <w:rsid w:val="00363C73"/>
    <w:rsid w:val="00363E2C"/>
    <w:rsid w:val="00363E78"/>
    <w:rsid w:val="003640CB"/>
    <w:rsid w:val="00364132"/>
    <w:rsid w:val="00364136"/>
    <w:rsid w:val="0036420A"/>
    <w:rsid w:val="00364389"/>
    <w:rsid w:val="003643D2"/>
    <w:rsid w:val="003644A8"/>
    <w:rsid w:val="00364677"/>
    <w:rsid w:val="00364802"/>
    <w:rsid w:val="003648C6"/>
    <w:rsid w:val="003648DF"/>
    <w:rsid w:val="003649D9"/>
    <w:rsid w:val="003649E2"/>
    <w:rsid w:val="00364A0C"/>
    <w:rsid w:val="00364AE2"/>
    <w:rsid w:val="00364B30"/>
    <w:rsid w:val="00364E0F"/>
    <w:rsid w:val="00364F51"/>
    <w:rsid w:val="003650FE"/>
    <w:rsid w:val="00365208"/>
    <w:rsid w:val="00365298"/>
    <w:rsid w:val="00365526"/>
    <w:rsid w:val="00365587"/>
    <w:rsid w:val="0036573E"/>
    <w:rsid w:val="00365865"/>
    <w:rsid w:val="00365921"/>
    <w:rsid w:val="00365970"/>
    <w:rsid w:val="003659A5"/>
    <w:rsid w:val="00365A10"/>
    <w:rsid w:val="00365B73"/>
    <w:rsid w:val="00365BB3"/>
    <w:rsid w:val="00365C65"/>
    <w:rsid w:val="00365C91"/>
    <w:rsid w:val="00365CF1"/>
    <w:rsid w:val="00365D17"/>
    <w:rsid w:val="00365D53"/>
    <w:rsid w:val="00365E76"/>
    <w:rsid w:val="00365EA6"/>
    <w:rsid w:val="00365F47"/>
    <w:rsid w:val="00366017"/>
    <w:rsid w:val="00366082"/>
    <w:rsid w:val="00366484"/>
    <w:rsid w:val="00366586"/>
    <w:rsid w:val="0036663F"/>
    <w:rsid w:val="003666E7"/>
    <w:rsid w:val="00366720"/>
    <w:rsid w:val="00366731"/>
    <w:rsid w:val="0036675C"/>
    <w:rsid w:val="0036684C"/>
    <w:rsid w:val="00366C87"/>
    <w:rsid w:val="00366DDC"/>
    <w:rsid w:val="00366EE3"/>
    <w:rsid w:val="0036705C"/>
    <w:rsid w:val="00367076"/>
    <w:rsid w:val="003671B0"/>
    <w:rsid w:val="003672EA"/>
    <w:rsid w:val="0036733A"/>
    <w:rsid w:val="0036745A"/>
    <w:rsid w:val="00367540"/>
    <w:rsid w:val="003679E1"/>
    <w:rsid w:val="00367D29"/>
    <w:rsid w:val="00367D84"/>
    <w:rsid w:val="00370140"/>
    <w:rsid w:val="00370342"/>
    <w:rsid w:val="00370379"/>
    <w:rsid w:val="003704A6"/>
    <w:rsid w:val="00370549"/>
    <w:rsid w:val="003706BD"/>
    <w:rsid w:val="0037076B"/>
    <w:rsid w:val="0037078C"/>
    <w:rsid w:val="003708FE"/>
    <w:rsid w:val="00370972"/>
    <w:rsid w:val="00370A15"/>
    <w:rsid w:val="00370B12"/>
    <w:rsid w:val="00370B84"/>
    <w:rsid w:val="00370C5F"/>
    <w:rsid w:val="00370D8F"/>
    <w:rsid w:val="00370DA3"/>
    <w:rsid w:val="00370E11"/>
    <w:rsid w:val="00370E25"/>
    <w:rsid w:val="00370EEB"/>
    <w:rsid w:val="003710B2"/>
    <w:rsid w:val="003710B9"/>
    <w:rsid w:val="00371237"/>
    <w:rsid w:val="003715E4"/>
    <w:rsid w:val="003717EA"/>
    <w:rsid w:val="0037181F"/>
    <w:rsid w:val="003718BC"/>
    <w:rsid w:val="00371983"/>
    <w:rsid w:val="00371B4A"/>
    <w:rsid w:val="00371B6D"/>
    <w:rsid w:val="00371B8A"/>
    <w:rsid w:val="00371BFB"/>
    <w:rsid w:val="00371C39"/>
    <w:rsid w:val="00371C64"/>
    <w:rsid w:val="00371CF9"/>
    <w:rsid w:val="00371D64"/>
    <w:rsid w:val="00371DD2"/>
    <w:rsid w:val="00371E46"/>
    <w:rsid w:val="00371EDA"/>
    <w:rsid w:val="00371F39"/>
    <w:rsid w:val="0037207D"/>
    <w:rsid w:val="003724B0"/>
    <w:rsid w:val="003724D8"/>
    <w:rsid w:val="00372688"/>
    <w:rsid w:val="003726B1"/>
    <w:rsid w:val="003727C4"/>
    <w:rsid w:val="003727D3"/>
    <w:rsid w:val="00372841"/>
    <w:rsid w:val="00372ABB"/>
    <w:rsid w:val="00372C5A"/>
    <w:rsid w:val="00372D0D"/>
    <w:rsid w:val="00372D5A"/>
    <w:rsid w:val="00372D83"/>
    <w:rsid w:val="00372EA5"/>
    <w:rsid w:val="00372EAC"/>
    <w:rsid w:val="00372EF0"/>
    <w:rsid w:val="0037308E"/>
    <w:rsid w:val="003730AD"/>
    <w:rsid w:val="00373314"/>
    <w:rsid w:val="003734C0"/>
    <w:rsid w:val="0037354D"/>
    <w:rsid w:val="0037363B"/>
    <w:rsid w:val="003737D5"/>
    <w:rsid w:val="003738C2"/>
    <w:rsid w:val="003738F9"/>
    <w:rsid w:val="003739B2"/>
    <w:rsid w:val="003739D9"/>
    <w:rsid w:val="00373B82"/>
    <w:rsid w:val="00373BAB"/>
    <w:rsid w:val="00374035"/>
    <w:rsid w:val="0037405C"/>
    <w:rsid w:val="00374150"/>
    <w:rsid w:val="003741A1"/>
    <w:rsid w:val="00374206"/>
    <w:rsid w:val="0037434B"/>
    <w:rsid w:val="00374464"/>
    <w:rsid w:val="003744F8"/>
    <w:rsid w:val="0037459A"/>
    <w:rsid w:val="00374756"/>
    <w:rsid w:val="00374799"/>
    <w:rsid w:val="003747BB"/>
    <w:rsid w:val="003747C6"/>
    <w:rsid w:val="003748B4"/>
    <w:rsid w:val="003748D7"/>
    <w:rsid w:val="00374953"/>
    <w:rsid w:val="00374C41"/>
    <w:rsid w:val="00374D04"/>
    <w:rsid w:val="00374D8F"/>
    <w:rsid w:val="00374DC9"/>
    <w:rsid w:val="00374E8A"/>
    <w:rsid w:val="00374EC3"/>
    <w:rsid w:val="00374FAA"/>
    <w:rsid w:val="00374FAF"/>
    <w:rsid w:val="003751D0"/>
    <w:rsid w:val="003753CA"/>
    <w:rsid w:val="003753CF"/>
    <w:rsid w:val="00375465"/>
    <w:rsid w:val="00375534"/>
    <w:rsid w:val="003755C8"/>
    <w:rsid w:val="003759A2"/>
    <w:rsid w:val="003759E5"/>
    <w:rsid w:val="00375B36"/>
    <w:rsid w:val="00375C14"/>
    <w:rsid w:val="00375D22"/>
    <w:rsid w:val="00375DFB"/>
    <w:rsid w:val="00375E27"/>
    <w:rsid w:val="00375E4C"/>
    <w:rsid w:val="00375EBC"/>
    <w:rsid w:val="00375FE6"/>
    <w:rsid w:val="00376025"/>
    <w:rsid w:val="0037609B"/>
    <w:rsid w:val="003760EE"/>
    <w:rsid w:val="00376192"/>
    <w:rsid w:val="003761CE"/>
    <w:rsid w:val="003761DE"/>
    <w:rsid w:val="00376253"/>
    <w:rsid w:val="003762CF"/>
    <w:rsid w:val="00376688"/>
    <w:rsid w:val="003767C7"/>
    <w:rsid w:val="00376987"/>
    <w:rsid w:val="00376AF8"/>
    <w:rsid w:val="00376B88"/>
    <w:rsid w:val="00376CB1"/>
    <w:rsid w:val="00376D31"/>
    <w:rsid w:val="00376E6A"/>
    <w:rsid w:val="00376F10"/>
    <w:rsid w:val="00376FB0"/>
    <w:rsid w:val="0037702A"/>
    <w:rsid w:val="003770B6"/>
    <w:rsid w:val="003771B2"/>
    <w:rsid w:val="003771FA"/>
    <w:rsid w:val="0037723D"/>
    <w:rsid w:val="00377264"/>
    <w:rsid w:val="003772A3"/>
    <w:rsid w:val="003773ED"/>
    <w:rsid w:val="00377433"/>
    <w:rsid w:val="00377511"/>
    <w:rsid w:val="00377588"/>
    <w:rsid w:val="003776B2"/>
    <w:rsid w:val="0037775F"/>
    <w:rsid w:val="00377858"/>
    <w:rsid w:val="003779FC"/>
    <w:rsid w:val="00377AFF"/>
    <w:rsid w:val="00377B20"/>
    <w:rsid w:val="00377CB0"/>
    <w:rsid w:val="00377D25"/>
    <w:rsid w:val="00377DDC"/>
    <w:rsid w:val="00380063"/>
    <w:rsid w:val="0038009E"/>
    <w:rsid w:val="00380143"/>
    <w:rsid w:val="0038026F"/>
    <w:rsid w:val="003803BD"/>
    <w:rsid w:val="003803F1"/>
    <w:rsid w:val="00380447"/>
    <w:rsid w:val="003804DE"/>
    <w:rsid w:val="003804F5"/>
    <w:rsid w:val="00380571"/>
    <w:rsid w:val="003805CD"/>
    <w:rsid w:val="0038065B"/>
    <w:rsid w:val="00380677"/>
    <w:rsid w:val="00380693"/>
    <w:rsid w:val="00380B71"/>
    <w:rsid w:val="00380C01"/>
    <w:rsid w:val="00380CE3"/>
    <w:rsid w:val="00380D49"/>
    <w:rsid w:val="00380EEE"/>
    <w:rsid w:val="00380FC8"/>
    <w:rsid w:val="003810ED"/>
    <w:rsid w:val="00381191"/>
    <w:rsid w:val="0038137D"/>
    <w:rsid w:val="0038141B"/>
    <w:rsid w:val="0038166C"/>
    <w:rsid w:val="003816D9"/>
    <w:rsid w:val="003817CE"/>
    <w:rsid w:val="0038188A"/>
    <w:rsid w:val="00381B4E"/>
    <w:rsid w:val="00381C85"/>
    <w:rsid w:val="00381CC7"/>
    <w:rsid w:val="00381DBD"/>
    <w:rsid w:val="00381EBE"/>
    <w:rsid w:val="00381F4A"/>
    <w:rsid w:val="00381F96"/>
    <w:rsid w:val="00382048"/>
    <w:rsid w:val="003823A3"/>
    <w:rsid w:val="003823B7"/>
    <w:rsid w:val="0038244D"/>
    <w:rsid w:val="0038254B"/>
    <w:rsid w:val="00382556"/>
    <w:rsid w:val="00382563"/>
    <w:rsid w:val="0038288F"/>
    <w:rsid w:val="003828B8"/>
    <w:rsid w:val="00382A89"/>
    <w:rsid w:val="00382B4E"/>
    <w:rsid w:val="00382C24"/>
    <w:rsid w:val="00382C39"/>
    <w:rsid w:val="00382D01"/>
    <w:rsid w:val="00382DE5"/>
    <w:rsid w:val="00382DEA"/>
    <w:rsid w:val="00382E09"/>
    <w:rsid w:val="00382E63"/>
    <w:rsid w:val="00382E75"/>
    <w:rsid w:val="00382EB6"/>
    <w:rsid w:val="00383253"/>
    <w:rsid w:val="003834C7"/>
    <w:rsid w:val="003834D3"/>
    <w:rsid w:val="003834F2"/>
    <w:rsid w:val="003834F8"/>
    <w:rsid w:val="0038356B"/>
    <w:rsid w:val="00383637"/>
    <w:rsid w:val="003836AB"/>
    <w:rsid w:val="003838B2"/>
    <w:rsid w:val="003839B2"/>
    <w:rsid w:val="00383AE2"/>
    <w:rsid w:val="00383CEA"/>
    <w:rsid w:val="00383DA0"/>
    <w:rsid w:val="00383DFC"/>
    <w:rsid w:val="00383E94"/>
    <w:rsid w:val="00383EDA"/>
    <w:rsid w:val="00383F22"/>
    <w:rsid w:val="00384144"/>
    <w:rsid w:val="003841A3"/>
    <w:rsid w:val="00384490"/>
    <w:rsid w:val="00384497"/>
    <w:rsid w:val="0038462F"/>
    <w:rsid w:val="00384637"/>
    <w:rsid w:val="003846E1"/>
    <w:rsid w:val="003846F3"/>
    <w:rsid w:val="00384778"/>
    <w:rsid w:val="003849B3"/>
    <w:rsid w:val="003849D4"/>
    <w:rsid w:val="003849E5"/>
    <w:rsid w:val="00384A29"/>
    <w:rsid w:val="00384A6E"/>
    <w:rsid w:val="00384AC7"/>
    <w:rsid w:val="00384B46"/>
    <w:rsid w:val="00384B9D"/>
    <w:rsid w:val="00384BA5"/>
    <w:rsid w:val="00384C0D"/>
    <w:rsid w:val="00384DE4"/>
    <w:rsid w:val="00384EB5"/>
    <w:rsid w:val="00384FD2"/>
    <w:rsid w:val="0038504F"/>
    <w:rsid w:val="0038505E"/>
    <w:rsid w:val="00385100"/>
    <w:rsid w:val="0038527B"/>
    <w:rsid w:val="00385291"/>
    <w:rsid w:val="00385294"/>
    <w:rsid w:val="00385341"/>
    <w:rsid w:val="003854CE"/>
    <w:rsid w:val="003857A4"/>
    <w:rsid w:val="00385831"/>
    <w:rsid w:val="00385845"/>
    <w:rsid w:val="00385D7E"/>
    <w:rsid w:val="00385D8A"/>
    <w:rsid w:val="00385D94"/>
    <w:rsid w:val="00385E22"/>
    <w:rsid w:val="00385EA0"/>
    <w:rsid w:val="00385F4B"/>
    <w:rsid w:val="00385F4C"/>
    <w:rsid w:val="00385F68"/>
    <w:rsid w:val="00386033"/>
    <w:rsid w:val="003861F1"/>
    <w:rsid w:val="0038624E"/>
    <w:rsid w:val="003862A5"/>
    <w:rsid w:val="003864B4"/>
    <w:rsid w:val="003864C5"/>
    <w:rsid w:val="0038651A"/>
    <w:rsid w:val="00386580"/>
    <w:rsid w:val="003865F1"/>
    <w:rsid w:val="003865FE"/>
    <w:rsid w:val="0038674C"/>
    <w:rsid w:val="00386777"/>
    <w:rsid w:val="00386885"/>
    <w:rsid w:val="003868D6"/>
    <w:rsid w:val="003869A4"/>
    <w:rsid w:val="00386B1C"/>
    <w:rsid w:val="00386B48"/>
    <w:rsid w:val="00386B62"/>
    <w:rsid w:val="00386B6C"/>
    <w:rsid w:val="00386BF7"/>
    <w:rsid w:val="00386C78"/>
    <w:rsid w:val="00386CE3"/>
    <w:rsid w:val="00386DFB"/>
    <w:rsid w:val="00386F4D"/>
    <w:rsid w:val="00386FB1"/>
    <w:rsid w:val="00386FF4"/>
    <w:rsid w:val="00387066"/>
    <w:rsid w:val="00387213"/>
    <w:rsid w:val="00387331"/>
    <w:rsid w:val="00387332"/>
    <w:rsid w:val="003873B1"/>
    <w:rsid w:val="00387536"/>
    <w:rsid w:val="00387587"/>
    <w:rsid w:val="003875A6"/>
    <w:rsid w:val="0038776F"/>
    <w:rsid w:val="003879C2"/>
    <w:rsid w:val="003879DB"/>
    <w:rsid w:val="00387A26"/>
    <w:rsid w:val="00387A95"/>
    <w:rsid w:val="00387B86"/>
    <w:rsid w:val="00387C55"/>
    <w:rsid w:val="00387C5D"/>
    <w:rsid w:val="00387DB8"/>
    <w:rsid w:val="00387E7F"/>
    <w:rsid w:val="003900BA"/>
    <w:rsid w:val="003902CC"/>
    <w:rsid w:val="003902DD"/>
    <w:rsid w:val="0039048B"/>
    <w:rsid w:val="0039074F"/>
    <w:rsid w:val="00390759"/>
    <w:rsid w:val="003908AF"/>
    <w:rsid w:val="0039094E"/>
    <w:rsid w:val="00390C06"/>
    <w:rsid w:val="00390D14"/>
    <w:rsid w:val="00390D62"/>
    <w:rsid w:val="00390E93"/>
    <w:rsid w:val="00390F89"/>
    <w:rsid w:val="003910C4"/>
    <w:rsid w:val="0039113F"/>
    <w:rsid w:val="003912D9"/>
    <w:rsid w:val="0039141C"/>
    <w:rsid w:val="00391534"/>
    <w:rsid w:val="0039154F"/>
    <w:rsid w:val="003915BA"/>
    <w:rsid w:val="00391627"/>
    <w:rsid w:val="00391704"/>
    <w:rsid w:val="00391735"/>
    <w:rsid w:val="003917A8"/>
    <w:rsid w:val="003917D8"/>
    <w:rsid w:val="00391801"/>
    <w:rsid w:val="00391908"/>
    <w:rsid w:val="003919C2"/>
    <w:rsid w:val="00391A1D"/>
    <w:rsid w:val="00391AA9"/>
    <w:rsid w:val="00391B2F"/>
    <w:rsid w:val="00391B30"/>
    <w:rsid w:val="00391B71"/>
    <w:rsid w:val="003921C8"/>
    <w:rsid w:val="00392231"/>
    <w:rsid w:val="003923E2"/>
    <w:rsid w:val="00392460"/>
    <w:rsid w:val="003924B8"/>
    <w:rsid w:val="003925A1"/>
    <w:rsid w:val="003925A4"/>
    <w:rsid w:val="003925BE"/>
    <w:rsid w:val="003928E1"/>
    <w:rsid w:val="003928ED"/>
    <w:rsid w:val="00392970"/>
    <w:rsid w:val="00392A74"/>
    <w:rsid w:val="00392B15"/>
    <w:rsid w:val="00392B3A"/>
    <w:rsid w:val="00392B54"/>
    <w:rsid w:val="00392B69"/>
    <w:rsid w:val="00392D13"/>
    <w:rsid w:val="00392E98"/>
    <w:rsid w:val="00392EB2"/>
    <w:rsid w:val="00392F4F"/>
    <w:rsid w:val="00392FA4"/>
    <w:rsid w:val="00392FF3"/>
    <w:rsid w:val="00393161"/>
    <w:rsid w:val="003932B9"/>
    <w:rsid w:val="00393325"/>
    <w:rsid w:val="00393343"/>
    <w:rsid w:val="003933E7"/>
    <w:rsid w:val="0039348B"/>
    <w:rsid w:val="00393629"/>
    <w:rsid w:val="0039374C"/>
    <w:rsid w:val="003938CA"/>
    <w:rsid w:val="00393934"/>
    <w:rsid w:val="00393A3C"/>
    <w:rsid w:val="00393B94"/>
    <w:rsid w:val="00393C56"/>
    <w:rsid w:val="00393C8C"/>
    <w:rsid w:val="00393CCA"/>
    <w:rsid w:val="00393D75"/>
    <w:rsid w:val="00394003"/>
    <w:rsid w:val="00394038"/>
    <w:rsid w:val="003940F8"/>
    <w:rsid w:val="0039444F"/>
    <w:rsid w:val="00394612"/>
    <w:rsid w:val="00394893"/>
    <w:rsid w:val="003948FA"/>
    <w:rsid w:val="00394C62"/>
    <w:rsid w:val="00394EE4"/>
    <w:rsid w:val="00394F8E"/>
    <w:rsid w:val="003951F8"/>
    <w:rsid w:val="0039542C"/>
    <w:rsid w:val="00395495"/>
    <w:rsid w:val="003955AA"/>
    <w:rsid w:val="003957F3"/>
    <w:rsid w:val="0039581A"/>
    <w:rsid w:val="003959CA"/>
    <w:rsid w:val="00395A8D"/>
    <w:rsid w:val="00395B07"/>
    <w:rsid w:val="00395BCE"/>
    <w:rsid w:val="00395BE0"/>
    <w:rsid w:val="00395BF0"/>
    <w:rsid w:val="00395BFB"/>
    <w:rsid w:val="00395C28"/>
    <w:rsid w:val="00395DE2"/>
    <w:rsid w:val="00395F6B"/>
    <w:rsid w:val="00395FB6"/>
    <w:rsid w:val="003961AE"/>
    <w:rsid w:val="0039622E"/>
    <w:rsid w:val="00396253"/>
    <w:rsid w:val="003964D1"/>
    <w:rsid w:val="003964E1"/>
    <w:rsid w:val="003964EF"/>
    <w:rsid w:val="003966C3"/>
    <w:rsid w:val="0039694A"/>
    <w:rsid w:val="00396CF6"/>
    <w:rsid w:val="00396CFB"/>
    <w:rsid w:val="00396DCD"/>
    <w:rsid w:val="00396E3E"/>
    <w:rsid w:val="00396F27"/>
    <w:rsid w:val="00396F2D"/>
    <w:rsid w:val="003970A8"/>
    <w:rsid w:val="003970AC"/>
    <w:rsid w:val="003970B9"/>
    <w:rsid w:val="003970C1"/>
    <w:rsid w:val="00397127"/>
    <w:rsid w:val="0039719C"/>
    <w:rsid w:val="0039727B"/>
    <w:rsid w:val="0039731F"/>
    <w:rsid w:val="00397560"/>
    <w:rsid w:val="00397618"/>
    <w:rsid w:val="0039768B"/>
    <w:rsid w:val="003977F4"/>
    <w:rsid w:val="0039781B"/>
    <w:rsid w:val="00397942"/>
    <w:rsid w:val="00397A5D"/>
    <w:rsid w:val="00397AB3"/>
    <w:rsid w:val="00397BA6"/>
    <w:rsid w:val="00397BEF"/>
    <w:rsid w:val="00397C26"/>
    <w:rsid w:val="00397CE8"/>
    <w:rsid w:val="00397D3A"/>
    <w:rsid w:val="00397D4D"/>
    <w:rsid w:val="00397E59"/>
    <w:rsid w:val="00397E82"/>
    <w:rsid w:val="003A017F"/>
    <w:rsid w:val="003A023B"/>
    <w:rsid w:val="003A0419"/>
    <w:rsid w:val="003A0520"/>
    <w:rsid w:val="003A0574"/>
    <w:rsid w:val="003A0628"/>
    <w:rsid w:val="003A068E"/>
    <w:rsid w:val="003A0822"/>
    <w:rsid w:val="003A0A15"/>
    <w:rsid w:val="003A0A21"/>
    <w:rsid w:val="003A0C30"/>
    <w:rsid w:val="003A0CD6"/>
    <w:rsid w:val="003A0D48"/>
    <w:rsid w:val="003A0EB7"/>
    <w:rsid w:val="003A10E0"/>
    <w:rsid w:val="003A1304"/>
    <w:rsid w:val="003A13D9"/>
    <w:rsid w:val="003A13EA"/>
    <w:rsid w:val="003A1445"/>
    <w:rsid w:val="003A15CA"/>
    <w:rsid w:val="003A15EF"/>
    <w:rsid w:val="003A176F"/>
    <w:rsid w:val="003A1801"/>
    <w:rsid w:val="003A1904"/>
    <w:rsid w:val="003A19C3"/>
    <w:rsid w:val="003A1A1F"/>
    <w:rsid w:val="003A1C27"/>
    <w:rsid w:val="003A1E56"/>
    <w:rsid w:val="003A1E7B"/>
    <w:rsid w:val="003A2070"/>
    <w:rsid w:val="003A20A4"/>
    <w:rsid w:val="003A20F2"/>
    <w:rsid w:val="003A21CA"/>
    <w:rsid w:val="003A250F"/>
    <w:rsid w:val="003A252C"/>
    <w:rsid w:val="003A2571"/>
    <w:rsid w:val="003A25A4"/>
    <w:rsid w:val="003A25F3"/>
    <w:rsid w:val="003A26A9"/>
    <w:rsid w:val="003A26E2"/>
    <w:rsid w:val="003A2869"/>
    <w:rsid w:val="003A286E"/>
    <w:rsid w:val="003A28DE"/>
    <w:rsid w:val="003A293C"/>
    <w:rsid w:val="003A297D"/>
    <w:rsid w:val="003A29EF"/>
    <w:rsid w:val="003A2A38"/>
    <w:rsid w:val="003A2B99"/>
    <w:rsid w:val="003A2C06"/>
    <w:rsid w:val="003A2CA1"/>
    <w:rsid w:val="003A2D17"/>
    <w:rsid w:val="003A2DBE"/>
    <w:rsid w:val="003A2E40"/>
    <w:rsid w:val="003A2E83"/>
    <w:rsid w:val="003A30AE"/>
    <w:rsid w:val="003A314D"/>
    <w:rsid w:val="003A31A5"/>
    <w:rsid w:val="003A31BE"/>
    <w:rsid w:val="003A322B"/>
    <w:rsid w:val="003A3284"/>
    <w:rsid w:val="003A32F9"/>
    <w:rsid w:val="003A33B1"/>
    <w:rsid w:val="003A33C8"/>
    <w:rsid w:val="003A34DA"/>
    <w:rsid w:val="003A351A"/>
    <w:rsid w:val="003A3571"/>
    <w:rsid w:val="003A3575"/>
    <w:rsid w:val="003A3633"/>
    <w:rsid w:val="003A36BE"/>
    <w:rsid w:val="003A36C0"/>
    <w:rsid w:val="003A371D"/>
    <w:rsid w:val="003A3858"/>
    <w:rsid w:val="003A38B3"/>
    <w:rsid w:val="003A38BA"/>
    <w:rsid w:val="003A3A1F"/>
    <w:rsid w:val="003A3B0C"/>
    <w:rsid w:val="003A3B39"/>
    <w:rsid w:val="003A3B9C"/>
    <w:rsid w:val="003A3C78"/>
    <w:rsid w:val="003A3D30"/>
    <w:rsid w:val="003A3D56"/>
    <w:rsid w:val="003A3D66"/>
    <w:rsid w:val="003A3E39"/>
    <w:rsid w:val="003A415F"/>
    <w:rsid w:val="003A42C4"/>
    <w:rsid w:val="003A4517"/>
    <w:rsid w:val="003A453C"/>
    <w:rsid w:val="003A459E"/>
    <w:rsid w:val="003A45FA"/>
    <w:rsid w:val="003A4608"/>
    <w:rsid w:val="003A46A0"/>
    <w:rsid w:val="003A46F8"/>
    <w:rsid w:val="003A47D8"/>
    <w:rsid w:val="003A4833"/>
    <w:rsid w:val="003A48A8"/>
    <w:rsid w:val="003A4957"/>
    <w:rsid w:val="003A4977"/>
    <w:rsid w:val="003A499F"/>
    <w:rsid w:val="003A4A31"/>
    <w:rsid w:val="003A4C68"/>
    <w:rsid w:val="003A4CE8"/>
    <w:rsid w:val="003A4DA6"/>
    <w:rsid w:val="003A4E24"/>
    <w:rsid w:val="003A4E44"/>
    <w:rsid w:val="003A4F8C"/>
    <w:rsid w:val="003A50F7"/>
    <w:rsid w:val="003A50FC"/>
    <w:rsid w:val="003A516C"/>
    <w:rsid w:val="003A52C9"/>
    <w:rsid w:val="003A5367"/>
    <w:rsid w:val="003A5511"/>
    <w:rsid w:val="003A570B"/>
    <w:rsid w:val="003A5747"/>
    <w:rsid w:val="003A5AA2"/>
    <w:rsid w:val="003A5AD3"/>
    <w:rsid w:val="003A5B3E"/>
    <w:rsid w:val="003A5B8D"/>
    <w:rsid w:val="003A5BEF"/>
    <w:rsid w:val="003A5CED"/>
    <w:rsid w:val="003A5DD1"/>
    <w:rsid w:val="003A5E05"/>
    <w:rsid w:val="003A62F6"/>
    <w:rsid w:val="003A65FA"/>
    <w:rsid w:val="003A6636"/>
    <w:rsid w:val="003A684C"/>
    <w:rsid w:val="003A689B"/>
    <w:rsid w:val="003A68C6"/>
    <w:rsid w:val="003A6A22"/>
    <w:rsid w:val="003A6ABC"/>
    <w:rsid w:val="003A6BB3"/>
    <w:rsid w:val="003A6BC0"/>
    <w:rsid w:val="003A6D28"/>
    <w:rsid w:val="003A6DE0"/>
    <w:rsid w:val="003A6E60"/>
    <w:rsid w:val="003A6EAA"/>
    <w:rsid w:val="003A70E6"/>
    <w:rsid w:val="003A719E"/>
    <w:rsid w:val="003A71AA"/>
    <w:rsid w:val="003A71CE"/>
    <w:rsid w:val="003A726F"/>
    <w:rsid w:val="003A729F"/>
    <w:rsid w:val="003A769D"/>
    <w:rsid w:val="003A7710"/>
    <w:rsid w:val="003A7841"/>
    <w:rsid w:val="003A7968"/>
    <w:rsid w:val="003A7977"/>
    <w:rsid w:val="003A798A"/>
    <w:rsid w:val="003A79A6"/>
    <w:rsid w:val="003A7A0B"/>
    <w:rsid w:val="003A7A3C"/>
    <w:rsid w:val="003A7A9D"/>
    <w:rsid w:val="003A7ABF"/>
    <w:rsid w:val="003A7C15"/>
    <w:rsid w:val="003A7D14"/>
    <w:rsid w:val="003A7D41"/>
    <w:rsid w:val="003A7E23"/>
    <w:rsid w:val="003A7F6F"/>
    <w:rsid w:val="003B00B3"/>
    <w:rsid w:val="003B00CA"/>
    <w:rsid w:val="003B02D6"/>
    <w:rsid w:val="003B0359"/>
    <w:rsid w:val="003B0391"/>
    <w:rsid w:val="003B03D4"/>
    <w:rsid w:val="003B060B"/>
    <w:rsid w:val="003B0633"/>
    <w:rsid w:val="003B064A"/>
    <w:rsid w:val="003B080D"/>
    <w:rsid w:val="003B0861"/>
    <w:rsid w:val="003B0944"/>
    <w:rsid w:val="003B0984"/>
    <w:rsid w:val="003B0AC5"/>
    <w:rsid w:val="003B0B98"/>
    <w:rsid w:val="003B0DF3"/>
    <w:rsid w:val="003B0E06"/>
    <w:rsid w:val="003B0E82"/>
    <w:rsid w:val="003B1092"/>
    <w:rsid w:val="003B10BC"/>
    <w:rsid w:val="003B133F"/>
    <w:rsid w:val="003B137B"/>
    <w:rsid w:val="003B13DF"/>
    <w:rsid w:val="003B13EC"/>
    <w:rsid w:val="003B14A2"/>
    <w:rsid w:val="003B14D3"/>
    <w:rsid w:val="003B1750"/>
    <w:rsid w:val="003B1811"/>
    <w:rsid w:val="003B191A"/>
    <w:rsid w:val="003B1BDA"/>
    <w:rsid w:val="003B1BDE"/>
    <w:rsid w:val="003B1CCD"/>
    <w:rsid w:val="003B1EF4"/>
    <w:rsid w:val="003B1FE5"/>
    <w:rsid w:val="003B218B"/>
    <w:rsid w:val="003B218C"/>
    <w:rsid w:val="003B21D9"/>
    <w:rsid w:val="003B233A"/>
    <w:rsid w:val="003B23FF"/>
    <w:rsid w:val="003B24E4"/>
    <w:rsid w:val="003B2637"/>
    <w:rsid w:val="003B26F0"/>
    <w:rsid w:val="003B280F"/>
    <w:rsid w:val="003B2854"/>
    <w:rsid w:val="003B285C"/>
    <w:rsid w:val="003B2894"/>
    <w:rsid w:val="003B28E8"/>
    <w:rsid w:val="003B2944"/>
    <w:rsid w:val="003B2A10"/>
    <w:rsid w:val="003B2A61"/>
    <w:rsid w:val="003B2A9B"/>
    <w:rsid w:val="003B2AE8"/>
    <w:rsid w:val="003B2B46"/>
    <w:rsid w:val="003B2D30"/>
    <w:rsid w:val="003B2D5D"/>
    <w:rsid w:val="003B2D94"/>
    <w:rsid w:val="003B2D98"/>
    <w:rsid w:val="003B2DCF"/>
    <w:rsid w:val="003B2E1C"/>
    <w:rsid w:val="003B2E33"/>
    <w:rsid w:val="003B2E3C"/>
    <w:rsid w:val="003B2ED4"/>
    <w:rsid w:val="003B2EF1"/>
    <w:rsid w:val="003B2F32"/>
    <w:rsid w:val="003B31AE"/>
    <w:rsid w:val="003B356D"/>
    <w:rsid w:val="003B359D"/>
    <w:rsid w:val="003B386D"/>
    <w:rsid w:val="003B38CD"/>
    <w:rsid w:val="003B3968"/>
    <w:rsid w:val="003B3A1A"/>
    <w:rsid w:val="003B3B45"/>
    <w:rsid w:val="003B3E3E"/>
    <w:rsid w:val="003B40D8"/>
    <w:rsid w:val="003B40E2"/>
    <w:rsid w:val="003B4269"/>
    <w:rsid w:val="003B43E8"/>
    <w:rsid w:val="003B44B0"/>
    <w:rsid w:val="003B4521"/>
    <w:rsid w:val="003B45CE"/>
    <w:rsid w:val="003B4689"/>
    <w:rsid w:val="003B478D"/>
    <w:rsid w:val="003B479F"/>
    <w:rsid w:val="003B49D3"/>
    <w:rsid w:val="003B49E1"/>
    <w:rsid w:val="003B4B2B"/>
    <w:rsid w:val="003B4CF8"/>
    <w:rsid w:val="003B4D79"/>
    <w:rsid w:val="003B4E97"/>
    <w:rsid w:val="003B4F3D"/>
    <w:rsid w:val="003B52B1"/>
    <w:rsid w:val="003B52F8"/>
    <w:rsid w:val="003B538C"/>
    <w:rsid w:val="003B53B6"/>
    <w:rsid w:val="003B53EF"/>
    <w:rsid w:val="003B5527"/>
    <w:rsid w:val="003B5953"/>
    <w:rsid w:val="003B5977"/>
    <w:rsid w:val="003B5B93"/>
    <w:rsid w:val="003B5BD3"/>
    <w:rsid w:val="003B5C4C"/>
    <w:rsid w:val="003B5C88"/>
    <w:rsid w:val="003B5D2A"/>
    <w:rsid w:val="003B5D64"/>
    <w:rsid w:val="003B5E8C"/>
    <w:rsid w:val="003B624F"/>
    <w:rsid w:val="003B636D"/>
    <w:rsid w:val="003B655C"/>
    <w:rsid w:val="003B6706"/>
    <w:rsid w:val="003B6793"/>
    <w:rsid w:val="003B6899"/>
    <w:rsid w:val="003B68B5"/>
    <w:rsid w:val="003B6B04"/>
    <w:rsid w:val="003B6C7E"/>
    <w:rsid w:val="003B6C90"/>
    <w:rsid w:val="003B6F1F"/>
    <w:rsid w:val="003B6FBA"/>
    <w:rsid w:val="003B7008"/>
    <w:rsid w:val="003B708A"/>
    <w:rsid w:val="003B715D"/>
    <w:rsid w:val="003B7205"/>
    <w:rsid w:val="003B7223"/>
    <w:rsid w:val="003B72C6"/>
    <w:rsid w:val="003B741A"/>
    <w:rsid w:val="003B7433"/>
    <w:rsid w:val="003B7459"/>
    <w:rsid w:val="003B7499"/>
    <w:rsid w:val="003B74C9"/>
    <w:rsid w:val="003B74D1"/>
    <w:rsid w:val="003B7507"/>
    <w:rsid w:val="003B76ED"/>
    <w:rsid w:val="003B771F"/>
    <w:rsid w:val="003B77B5"/>
    <w:rsid w:val="003B7885"/>
    <w:rsid w:val="003B796A"/>
    <w:rsid w:val="003B7D2C"/>
    <w:rsid w:val="003B7D4A"/>
    <w:rsid w:val="003C003F"/>
    <w:rsid w:val="003C00A2"/>
    <w:rsid w:val="003C0127"/>
    <w:rsid w:val="003C01BE"/>
    <w:rsid w:val="003C01C0"/>
    <w:rsid w:val="003C0204"/>
    <w:rsid w:val="003C0265"/>
    <w:rsid w:val="003C0346"/>
    <w:rsid w:val="003C0372"/>
    <w:rsid w:val="003C0435"/>
    <w:rsid w:val="003C043C"/>
    <w:rsid w:val="003C057D"/>
    <w:rsid w:val="003C067A"/>
    <w:rsid w:val="003C069A"/>
    <w:rsid w:val="003C08F5"/>
    <w:rsid w:val="003C0951"/>
    <w:rsid w:val="003C0A3D"/>
    <w:rsid w:val="003C0A4C"/>
    <w:rsid w:val="003C0AAB"/>
    <w:rsid w:val="003C0B74"/>
    <w:rsid w:val="003C0B98"/>
    <w:rsid w:val="003C0C6C"/>
    <w:rsid w:val="003C0CCC"/>
    <w:rsid w:val="003C0DE8"/>
    <w:rsid w:val="003C0ED2"/>
    <w:rsid w:val="003C0F4B"/>
    <w:rsid w:val="003C103F"/>
    <w:rsid w:val="003C1121"/>
    <w:rsid w:val="003C1151"/>
    <w:rsid w:val="003C124F"/>
    <w:rsid w:val="003C12E4"/>
    <w:rsid w:val="003C15AA"/>
    <w:rsid w:val="003C15EE"/>
    <w:rsid w:val="003C1608"/>
    <w:rsid w:val="003C1791"/>
    <w:rsid w:val="003C1800"/>
    <w:rsid w:val="003C18BF"/>
    <w:rsid w:val="003C19A4"/>
    <w:rsid w:val="003C1AF6"/>
    <w:rsid w:val="003C1C03"/>
    <w:rsid w:val="003C1CDF"/>
    <w:rsid w:val="003C1D18"/>
    <w:rsid w:val="003C1D2D"/>
    <w:rsid w:val="003C1D7F"/>
    <w:rsid w:val="003C1DC1"/>
    <w:rsid w:val="003C2027"/>
    <w:rsid w:val="003C2054"/>
    <w:rsid w:val="003C2265"/>
    <w:rsid w:val="003C23DC"/>
    <w:rsid w:val="003C23FB"/>
    <w:rsid w:val="003C2495"/>
    <w:rsid w:val="003C24F4"/>
    <w:rsid w:val="003C265F"/>
    <w:rsid w:val="003C26F2"/>
    <w:rsid w:val="003C278B"/>
    <w:rsid w:val="003C2A1D"/>
    <w:rsid w:val="003C2A29"/>
    <w:rsid w:val="003C2A91"/>
    <w:rsid w:val="003C2BD2"/>
    <w:rsid w:val="003C2D23"/>
    <w:rsid w:val="003C2E4D"/>
    <w:rsid w:val="003C2E65"/>
    <w:rsid w:val="003C2E9E"/>
    <w:rsid w:val="003C2EB3"/>
    <w:rsid w:val="003C2F1F"/>
    <w:rsid w:val="003C2F27"/>
    <w:rsid w:val="003C3064"/>
    <w:rsid w:val="003C3247"/>
    <w:rsid w:val="003C325D"/>
    <w:rsid w:val="003C32DC"/>
    <w:rsid w:val="003C32EE"/>
    <w:rsid w:val="003C336A"/>
    <w:rsid w:val="003C33CA"/>
    <w:rsid w:val="003C3538"/>
    <w:rsid w:val="003C3659"/>
    <w:rsid w:val="003C367E"/>
    <w:rsid w:val="003C3950"/>
    <w:rsid w:val="003C3986"/>
    <w:rsid w:val="003C3AAA"/>
    <w:rsid w:val="003C3AB3"/>
    <w:rsid w:val="003C3C28"/>
    <w:rsid w:val="003C3EAB"/>
    <w:rsid w:val="003C3EB3"/>
    <w:rsid w:val="003C3EC8"/>
    <w:rsid w:val="003C428E"/>
    <w:rsid w:val="003C4443"/>
    <w:rsid w:val="003C44DB"/>
    <w:rsid w:val="003C4632"/>
    <w:rsid w:val="003C4652"/>
    <w:rsid w:val="003C4756"/>
    <w:rsid w:val="003C4762"/>
    <w:rsid w:val="003C48CB"/>
    <w:rsid w:val="003C4A32"/>
    <w:rsid w:val="003C4B4C"/>
    <w:rsid w:val="003C4C3D"/>
    <w:rsid w:val="003C4D33"/>
    <w:rsid w:val="003C4D8B"/>
    <w:rsid w:val="003C4F28"/>
    <w:rsid w:val="003C4F76"/>
    <w:rsid w:val="003C50AC"/>
    <w:rsid w:val="003C5159"/>
    <w:rsid w:val="003C5231"/>
    <w:rsid w:val="003C526E"/>
    <w:rsid w:val="003C53FC"/>
    <w:rsid w:val="003C5419"/>
    <w:rsid w:val="003C54BF"/>
    <w:rsid w:val="003C552C"/>
    <w:rsid w:val="003C55D6"/>
    <w:rsid w:val="003C595B"/>
    <w:rsid w:val="003C59D1"/>
    <w:rsid w:val="003C5AAB"/>
    <w:rsid w:val="003C5D5A"/>
    <w:rsid w:val="003C5D6E"/>
    <w:rsid w:val="003C5EE6"/>
    <w:rsid w:val="003C5F2F"/>
    <w:rsid w:val="003C5F3C"/>
    <w:rsid w:val="003C5F9C"/>
    <w:rsid w:val="003C6161"/>
    <w:rsid w:val="003C619B"/>
    <w:rsid w:val="003C6296"/>
    <w:rsid w:val="003C62F4"/>
    <w:rsid w:val="003C6351"/>
    <w:rsid w:val="003C63CF"/>
    <w:rsid w:val="003C6402"/>
    <w:rsid w:val="003C643E"/>
    <w:rsid w:val="003C6440"/>
    <w:rsid w:val="003C6512"/>
    <w:rsid w:val="003C668D"/>
    <w:rsid w:val="003C677C"/>
    <w:rsid w:val="003C6786"/>
    <w:rsid w:val="003C678C"/>
    <w:rsid w:val="003C68B4"/>
    <w:rsid w:val="003C68DA"/>
    <w:rsid w:val="003C6B7E"/>
    <w:rsid w:val="003C6BCC"/>
    <w:rsid w:val="003C6C08"/>
    <w:rsid w:val="003C6D1B"/>
    <w:rsid w:val="003C6F9B"/>
    <w:rsid w:val="003C6FFA"/>
    <w:rsid w:val="003C7190"/>
    <w:rsid w:val="003C7318"/>
    <w:rsid w:val="003C7378"/>
    <w:rsid w:val="003C7404"/>
    <w:rsid w:val="003C74BD"/>
    <w:rsid w:val="003C7539"/>
    <w:rsid w:val="003C75B2"/>
    <w:rsid w:val="003C767B"/>
    <w:rsid w:val="003C76B3"/>
    <w:rsid w:val="003C7750"/>
    <w:rsid w:val="003C78AC"/>
    <w:rsid w:val="003C78BD"/>
    <w:rsid w:val="003C7932"/>
    <w:rsid w:val="003C79C0"/>
    <w:rsid w:val="003C7ACC"/>
    <w:rsid w:val="003C7B1A"/>
    <w:rsid w:val="003C7BA4"/>
    <w:rsid w:val="003C7BEE"/>
    <w:rsid w:val="003C7C0C"/>
    <w:rsid w:val="003C7C42"/>
    <w:rsid w:val="003D0032"/>
    <w:rsid w:val="003D008A"/>
    <w:rsid w:val="003D04BA"/>
    <w:rsid w:val="003D04DE"/>
    <w:rsid w:val="003D0541"/>
    <w:rsid w:val="003D06BD"/>
    <w:rsid w:val="003D0753"/>
    <w:rsid w:val="003D0775"/>
    <w:rsid w:val="003D079B"/>
    <w:rsid w:val="003D083A"/>
    <w:rsid w:val="003D08BF"/>
    <w:rsid w:val="003D08F7"/>
    <w:rsid w:val="003D0906"/>
    <w:rsid w:val="003D0A18"/>
    <w:rsid w:val="003D0A21"/>
    <w:rsid w:val="003D0A98"/>
    <w:rsid w:val="003D0B1E"/>
    <w:rsid w:val="003D0CAD"/>
    <w:rsid w:val="003D0D3D"/>
    <w:rsid w:val="003D0D76"/>
    <w:rsid w:val="003D0D9E"/>
    <w:rsid w:val="003D0EF0"/>
    <w:rsid w:val="003D0F43"/>
    <w:rsid w:val="003D0FA9"/>
    <w:rsid w:val="003D1025"/>
    <w:rsid w:val="003D103E"/>
    <w:rsid w:val="003D1059"/>
    <w:rsid w:val="003D10DF"/>
    <w:rsid w:val="003D10FA"/>
    <w:rsid w:val="003D11EE"/>
    <w:rsid w:val="003D1201"/>
    <w:rsid w:val="003D1304"/>
    <w:rsid w:val="003D134A"/>
    <w:rsid w:val="003D1387"/>
    <w:rsid w:val="003D13DC"/>
    <w:rsid w:val="003D15AF"/>
    <w:rsid w:val="003D1716"/>
    <w:rsid w:val="003D18C0"/>
    <w:rsid w:val="003D1938"/>
    <w:rsid w:val="003D19A0"/>
    <w:rsid w:val="003D1A15"/>
    <w:rsid w:val="003D1CB3"/>
    <w:rsid w:val="003D1CB9"/>
    <w:rsid w:val="003D1DCF"/>
    <w:rsid w:val="003D1E3B"/>
    <w:rsid w:val="003D1F6A"/>
    <w:rsid w:val="003D22E1"/>
    <w:rsid w:val="003D2316"/>
    <w:rsid w:val="003D2353"/>
    <w:rsid w:val="003D23E8"/>
    <w:rsid w:val="003D2537"/>
    <w:rsid w:val="003D256D"/>
    <w:rsid w:val="003D25AC"/>
    <w:rsid w:val="003D276C"/>
    <w:rsid w:val="003D2894"/>
    <w:rsid w:val="003D2978"/>
    <w:rsid w:val="003D2A99"/>
    <w:rsid w:val="003D2D22"/>
    <w:rsid w:val="003D2E2E"/>
    <w:rsid w:val="003D2E63"/>
    <w:rsid w:val="003D2E76"/>
    <w:rsid w:val="003D2EDD"/>
    <w:rsid w:val="003D2F13"/>
    <w:rsid w:val="003D2F34"/>
    <w:rsid w:val="003D2F4E"/>
    <w:rsid w:val="003D2F53"/>
    <w:rsid w:val="003D2F6D"/>
    <w:rsid w:val="003D2F9F"/>
    <w:rsid w:val="003D2FA2"/>
    <w:rsid w:val="003D3089"/>
    <w:rsid w:val="003D3301"/>
    <w:rsid w:val="003D33AA"/>
    <w:rsid w:val="003D3693"/>
    <w:rsid w:val="003D3963"/>
    <w:rsid w:val="003D3984"/>
    <w:rsid w:val="003D3A58"/>
    <w:rsid w:val="003D3A9C"/>
    <w:rsid w:val="003D3B35"/>
    <w:rsid w:val="003D3BC3"/>
    <w:rsid w:val="003D3BE1"/>
    <w:rsid w:val="003D3FE2"/>
    <w:rsid w:val="003D40CB"/>
    <w:rsid w:val="003D4266"/>
    <w:rsid w:val="003D429B"/>
    <w:rsid w:val="003D4343"/>
    <w:rsid w:val="003D4476"/>
    <w:rsid w:val="003D454D"/>
    <w:rsid w:val="003D4596"/>
    <w:rsid w:val="003D4780"/>
    <w:rsid w:val="003D4793"/>
    <w:rsid w:val="003D483F"/>
    <w:rsid w:val="003D48D6"/>
    <w:rsid w:val="003D495E"/>
    <w:rsid w:val="003D4968"/>
    <w:rsid w:val="003D4BE1"/>
    <w:rsid w:val="003D4BE2"/>
    <w:rsid w:val="003D4CAF"/>
    <w:rsid w:val="003D4D18"/>
    <w:rsid w:val="003D4E48"/>
    <w:rsid w:val="003D4EB1"/>
    <w:rsid w:val="003D50E2"/>
    <w:rsid w:val="003D50F1"/>
    <w:rsid w:val="003D5301"/>
    <w:rsid w:val="003D5322"/>
    <w:rsid w:val="003D5385"/>
    <w:rsid w:val="003D53DF"/>
    <w:rsid w:val="003D5438"/>
    <w:rsid w:val="003D583F"/>
    <w:rsid w:val="003D585B"/>
    <w:rsid w:val="003D5992"/>
    <w:rsid w:val="003D5A29"/>
    <w:rsid w:val="003D5D5A"/>
    <w:rsid w:val="003D5D68"/>
    <w:rsid w:val="003D5EB7"/>
    <w:rsid w:val="003D6253"/>
    <w:rsid w:val="003D636C"/>
    <w:rsid w:val="003D6491"/>
    <w:rsid w:val="003D6692"/>
    <w:rsid w:val="003D66F4"/>
    <w:rsid w:val="003D6828"/>
    <w:rsid w:val="003D693E"/>
    <w:rsid w:val="003D6A7A"/>
    <w:rsid w:val="003D6B27"/>
    <w:rsid w:val="003D6B2B"/>
    <w:rsid w:val="003D6B87"/>
    <w:rsid w:val="003D6C91"/>
    <w:rsid w:val="003D6E2E"/>
    <w:rsid w:val="003D6EDD"/>
    <w:rsid w:val="003D6F50"/>
    <w:rsid w:val="003D6F55"/>
    <w:rsid w:val="003D752B"/>
    <w:rsid w:val="003D75A9"/>
    <w:rsid w:val="003D75FE"/>
    <w:rsid w:val="003D76FF"/>
    <w:rsid w:val="003D773D"/>
    <w:rsid w:val="003D7782"/>
    <w:rsid w:val="003D77F9"/>
    <w:rsid w:val="003D77FF"/>
    <w:rsid w:val="003D7858"/>
    <w:rsid w:val="003D791C"/>
    <w:rsid w:val="003D7A95"/>
    <w:rsid w:val="003D7C34"/>
    <w:rsid w:val="003D7C7A"/>
    <w:rsid w:val="003D7D46"/>
    <w:rsid w:val="003D7D78"/>
    <w:rsid w:val="003D7DE6"/>
    <w:rsid w:val="003D7E5F"/>
    <w:rsid w:val="003D7F75"/>
    <w:rsid w:val="003E001E"/>
    <w:rsid w:val="003E0135"/>
    <w:rsid w:val="003E015E"/>
    <w:rsid w:val="003E0319"/>
    <w:rsid w:val="003E036D"/>
    <w:rsid w:val="003E0422"/>
    <w:rsid w:val="003E05BB"/>
    <w:rsid w:val="003E05FD"/>
    <w:rsid w:val="003E078C"/>
    <w:rsid w:val="003E07FF"/>
    <w:rsid w:val="003E0B7C"/>
    <w:rsid w:val="003E0C12"/>
    <w:rsid w:val="003E102D"/>
    <w:rsid w:val="003E1033"/>
    <w:rsid w:val="003E109D"/>
    <w:rsid w:val="003E1169"/>
    <w:rsid w:val="003E1193"/>
    <w:rsid w:val="003E13C6"/>
    <w:rsid w:val="003E1432"/>
    <w:rsid w:val="003E15BF"/>
    <w:rsid w:val="003E19BC"/>
    <w:rsid w:val="003E19CA"/>
    <w:rsid w:val="003E1A69"/>
    <w:rsid w:val="003E1B64"/>
    <w:rsid w:val="003E1C56"/>
    <w:rsid w:val="003E1C69"/>
    <w:rsid w:val="003E1CCB"/>
    <w:rsid w:val="003E1CD9"/>
    <w:rsid w:val="003E2028"/>
    <w:rsid w:val="003E219C"/>
    <w:rsid w:val="003E21D2"/>
    <w:rsid w:val="003E224C"/>
    <w:rsid w:val="003E224D"/>
    <w:rsid w:val="003E230B"/>
    <w:rsid w:val="003E2331"/>
    <w:rsid w:val="003E24B6"/>
    <w:rsid w:val="003E2553"/>
    <w:rsid w:val="003E264D"/>
    <w:rsid w:val="003E2794"/>
    <w:rsid w:val="003E27FA"/>
    <w:rsid w:val="003E2966"/>
    <w:rsid w:val="003E298D"/>
    <w:rsid w:val="003E2B6A"/>
    <w:rsid w:val="003E2E02"/>
    <w:rsid w:val="003E2FD3"/>
    <w:rsid w:val="003E30EC"/>
    <w:rsid w:val="003E31A3"/>
    <w:rsid w:val="003E31B4"/>
    <w:rsid w:val="003E31C0"/>
    <w:rsid w:val="003E3376"/>
    <w:rsid w:val="003E3428"/>
    <w:rsid w:val="003E34EF"/>
    <w:rsid w:val="003E352A"/>
    <w:rsid w:val="003E354B"/>
    <w:rsid w:val="003E3576"/>
    <w:rsid w:val="003E376C"/>
    <w:rsid w:val="003E37D1"/>
    <w:rsid w:val="003E386E"/>
    <w:rsid w:val="003E3A4E"/>
    <w:rsid w:val="003E3A65"/>
    <w:rsid w:val="003E3A73"/>
    <w:rsid w:val="003E3BD4"/>
    <w:rsid w:val="003E3C1D"/>
    <w:rsid w:val="003E3D9A"/>
    <w:rsid w:val="003E3F6A"/>
    <w:rsid w:val="003E40A9"/>
    <w:rsid w:val="003E417C"/>
    <w:rsid w:val="003E43E9"/>
    <w:rsid w:val="003E446C"/>
    <w:rsid w:val="003E4521"/>
    <w:rsid w:val="003E45E6"/>
    <w:rsid w:val="003E4603"/>
    <w:rsid w:val="003E471E"/>
    <w:rsid w:val="003E472E"/>
    <w:rsid w:val="003E47F8"/>
    <w:rsid w:val="003E48D0"/>
    <w:rsid w:val="003E49B7"/>
    <w:rsid w:val="003E49E9"/>
    <w:rsid w:val="003E49F7"/>
    <w:rsid w:val="003E4AE0"/>
    <w:rsid w:val="003E4C3B"/>
    <w:rsid w:val="003E4E28"/>
    <w:rsid w:val="003E4E7E"/>
    <w:rsid w:val="003E4EB3"/>
    <w:rsid w:val="003E4F95"/>
    <w:rsid w:val="003E4FBC"/>
    <w:rsid w:val="003E5025"/>
    <w:rsid w:val="003E5068"/>
    <w:rsid w:val="003E5159"/>
    <w:rsid w:val="003E5222"/>
    <w:rsid w:val="003E52B0"/>
    <w:rsid w:val="003E5308"/>
    <w:rsid w:val="003E5349"/>
    <w:rsid w:val="003E53A8"/>
    <w:rsid w:val="003E54D6"/>
    <w:rsid w:val="003E595F"/>
    <w:rsid w:val="003E5A30"/>
    <w:rsid w:val="003E5AB5"/>
    <w:rsid w:val="003E5ABC"/>
    <w:rsid w:val="003E5B19"/>
    <w:rsid w:val="003E5BD7"/>
    <w:rsid w:val="003E5C3A"/>
    <w:rsid w:val="003E6129"/>
    <w:rsid w:val="003E6198"/>
    <w:rsid w:val="003E629D"/>
    <w:rsid w:val="003E62D7"/>
    <w:rsid w:val="003E63DB"/>
    <w:rsid w:val="003E6447"/>
    <w:rsid w:val="003E6453"/>
    <w:rsid w:val="003E64E7"/>
    <w:rsid w:val="003E69AB"/>
    <w:rsid w:val="003E6A02"/>
    <w:rsid w:val="003E6C09"/>
    <w:rsid w:val="003E6D99"/>
    <w:rsid w:val="003E6E8A"/>
    <w:rsid w:val="003E6EB8"/>
    <w:rsid w:val="003E6EFD"/>
    <w:rsid w:val="003E700F"/>
    <w:rsid w:val="003E710E"/>
    <w:rsid w:val="003E71F2"/>
    <w:rsid w:val="003E7263"/>
    <w:rsid w:val="003E7386"/>
    <w:rsid w:val="003E7638"/>
    <w:rsid w:val="003E7719"/>
    <w:rsid w:val="003E7D2C"/>
    <w:rsid w:val="003E7FEF"/>
    <w:rsid w:val="003F00C6"/>
    <w:rsid w:val="003F00CD"/>
    <w:rsid w:val="003F0147"/>
    <w:rsid w:val="003F016C"/>
    <w:rsid w:val="003F028E"/>
    <w:rsid w:val="003F02A8"/>
    <w:rsid w:val="003F02E0"/>
    <w:rsid w:val="003F0342"/>
    <w:rsid w:val="003F0382"/>
    <w:rsid w:val="003F040F"/>
    <w:rsid w:val="003F0463"/>
    <w:rsid w:val="003F054D"/>
    <w:rsid w:val="003F05CD"/>
    <w:rsid w:val="003F07FA"/>
    <w:rsid w:val="003F08AB"/>
    <w:rsid w:val="003F09E1"/>
    <w:rsid w:val="003F0AEB"/>
    <w:rsid w:val="003F0B76"/>
    <w:rsid w:val="003F0CF3"/>
    <w:rsid w:val="003F0D6D"/>
    <w:rsid w:val="003F0E96"/>
    <w:rsid w:val="003F0F31"/>
    <w:rsid w:val="003F1081"/>
    <w:rsid w:val="003F10DA"/>
    <w:rsid w:val="003F1107"/>
    <w:rsid w:val="003F12CD"/>
    <w:rsid w:val="003F131E"/>
    <w:rsid w:val="003F13C2"/>
    <w:rsid w:val="003F13FB"/>
    <w:rsid w:val="003F1477"/>
    <w:rsid w:val="003F14D0"/>
    <w:rsid w:val="003F14D2"/>
    <w:rsid w:val="003F155C"/>
    <w:rsid w:val="003F166B"/>
    <w:rsid w:val="003F1732"/>
    <w:rsid w:val="003F184B"/>
    <w:rsid w:val="003F186E"/>
    <w:rsid w:val="003F1997"/>
    <w:rsid w:val="003F19D5"/>
    <w:rsid w:val="003F1A14"/>
    <w:rsid w:val="003F1C65"/>
    <w:rsid w:val="003F1DFD"/>
    <w:rsid w:val="003F1E74"/>
    <w:rsid w:val="003F216E"/>
    <w:rsid w:val="003F217F"/>
    <w:rsid w:val="003F2320"/>
    <w:rsid w:val="003F237C"/>
    <w:rsid w:val="003F241D"/>
    <w:rsid w:val="003F2503"/>
    <w:rsid w:val="003F270D"/>
    <w:rsid w:val="003F271C"/>
    <w:rsid w:val="003F2838"/>
    <w:rsid w:val="003F2A9F"/>
    <w:rsid w:val="003F2CF0"/>
    <w:rsid w:val="003F2D2F"/>
    <w:rsid w:val="003F30CF"/>
    <w:rsid w:val="003F30D5"/>
    <w:rsid w:val="003F30F5"/>
    <w:rsid w:val="003F33C6"/>
    <w:rsid w:val="003F3420"/>
    <w:rsid w:val="003F3549"/>
    <w:rsid w:val="003F3684"/>
    <w:rsid w:val="003F3802"/>
    <w:rsid w:val="003F3A23"/>
    <w:rsid w:val="003F3B2D"/>
    <w:rsid w:val="003F3C2E"/>
    <w:rsid w:val="003F3D24"/>
    <w:rsid w:val="003F3DC9"/>
    <w:rsid w:val="003F3E6B"/>
    <w:rsid w:val="003F3EA6"/>
    <w:rsid w:val="003F3F18"/>
    <w:rsid w:val="003F3F77"/>
    <w:rsid w:val="003F3FBC"/>
    <w:rsid w:val="003F4269"/>
    <w:rsid w:val="003F4381"/>
    <w:rsid w:val="003F4410"/>
    <w:rsid w:val="003F4439"/>
    <w:rsid w:val="003F456E"/>
    <w:rsid w:val="003F46B1"/>
    <w:rsid w:val="003F4880"/>
    <w:rsid w:val="003F4A0B"/>
    <w:rsid w:val="003F4B01"/>
    <w:rsid w:val="003F4B4C"/>
    <w:rsid w:val="003F4BA3"/>
    <w:rsid w:val="003F4D54"/>
    <w:rsid w:val="003F4E8A"/>
    <w:rsid w:val="003F4FA7"/>
    <w:rsid w:val="003F5026"/>
    <w:rsid w:val="003F50BD"/>
    <w:rsid w:val="003F512B"/>
    <w:rsid w:val="003F516F"/>
    <w:rsid w:val="003F51CE"/>
    <w:rsid w:val="003F52F3"/>
    <w:rsid w:val="003F5337"/>
    <w:rsid w:val="003F54C8"/>
    <w:rsid w:val="003F54E0"/>
    <w:rsid w:val="003F5538"/>
    <w:rsid w:val="003F5994"/>
    <w:rsid w:val="003F59E3"/>
    <w:rsid w:val="003F5A0F"/>
    <w:rsid w:val="003F5A16"/>
    <w:rsid w:val="003F5A1A"/>
    <w:rsid w:val="003F5A53"/>
    <w:rsid w:val="003F5AED"/>
    <w:rsid w:val="003F5B94"/>
    <w:rsid w:val="003F5C6C"/>
    <w:rsid w:val="003F5D82"/>
    <w:rsid w:val="003F5D9C"/>
    <w:rsid w:val="003F5F99"/>
    <w:rsid w:val="003F5FB7"/>
    <w:rsid w:val="003F5FD7"/>
    <w:rsid w:val="003F6016"/>
    <w:rsid w:val="003F60D2"/>
    <w:rsid w:val="003F6146"/>
    <w:rsid w:val="003F61E0"/>
    <w:rsid w:val="003F62B2"/>
    <w:rsid w:val="003F64B4"/>
    <w:rsid w:val="003F67B8"/>
    <w:rsid w:val="003F68BE"/>
    <w:rsid w:val="003F6AEB"/>
    <w:rsid w:val="003F6AFB"/>
    <w:rsid w:val="003F6BBB"/>
    <w:rsid w:val="003F6D24"/>
    <w:rsid w:val="003F6DFB"/>
    <w:rsid w:val="003F6E63"/>
    <w:rsid w:val="003F6E69"/>
    <w:rsid w:val="003F6ED0"/>
    <w:rsid w:val="003F7000"/>
    <w:rsid w:val="003F7067"/>
    <w:rsid w:val="003F7117"/>
    <w:rsid w:val="003F7155"/>
    <w:rsid w:val="003F7162"/>
    <w:rsid w:val="003F7205"/>
    <w:rsid w:val="003F7378"/>
    <w:rsid w:val="003F73D4"/>
    <w:rsid w:val="003F7780"/>
    <w:rsid w:val="003F782A"/>
    <w:rsid w:val="003F7985"/>
    <w:rsid w:val="003F7A0D"/>
    <w:rsid w:val="003F7A48"/>
    <w:rsid w:val="003F7CC6"/>
    <w:rsid w:val="003F7E45"/>
    <w:rsid w:val="003F7FF2"/>
    <w:rsid w:val="00400043"/>
    <w:rsid w:val="004001AB"/>
    <w:rsid w:val="004001D5"/>
    <w:rsid w:val="0040029B"/>
    <w:rsid w:val="004002DA"/>
    <w:rsid w:val="004003C0"/>
    <w:rsid w:val="00400488"/>
    <w:rsid w:val="004004BB"/>
    <w:rsid w:val="004004FA"/>
    <w:rsid w:val="00400556"/>
    <w:rsid w:val="00400793"/>
    <w:rsid w:val="004007C8"/>
    <w:rsid w:val="00400808"/>
    <w:rsid w:val="00400848"/>
    <w:rsid w:val="004008BD"/>
    <w:rsid w:val="00400A6B"/>
    <w:rsid w:val="00400C68"/>
    <w:rsid w:val="00400D27"/>
    <w:rsid w:val="00400DD3"/>
    <w:rsid w:val="00400E22"/>
    <w:rsid w:val="00400F18"/>
    <w:rsid w:val="004011A9"/>
    <w:rsid w:val="0040121E"/>
    <w:rsid w:val="0040125F"/>
    <w:rsid w:val="00401308"/>
    <w:rsid w:val="0040131A"/>
    <w:rsid w:val="00401397"/>
    <w:rsid w:val="004013EE"/>
    <w:rsid w:val="0040143D"/>
    <w:rsid w:val="00401447"/>
    <w:rsid w:val="004014D5"/>
    <w:rsid w:val="00401559"/>
    <w:rsid w:val="0040165F"/>
    <w:rsid w:val="004016B1"/>
    <w:rsid w:val="004018BE"/>
    <w:rsid w:val="00401B6E"/>
    <w:rsid w:val="00401C15"/>
    <w:rsid w:val="00401C18"/>
    <w:rsid w:val="00401C79"/>
    <w:rsid w:val="00401C8E"/>
    <w:rsid w:val="00401CA5"/>
    <w:rsid w:val="00401E49"/>
    <w:rsid w:val="00401E5E"/>
    <w:rsid w:val="00401EAF"/>
    <w:rsid w:val="00401ED7"/>
    <w:rsid w:val="00401F27"/>
    <w:rsid w:val="00401F39"/>
    <w:rsid w:val="00401FF9"/>
    <w:rsid w:val="004020B7"/>
    <w:rsid w:val="0040227E"/>
    <w:rsid w:val="0040235B"/>
    <w:rsid w:val="00402506"/>
    <w:rsid w:val="0040265E"/>
    <w:rsid w:val="0040297D"/>
    <w:rsid w:val="004029CF"/>
    <w:rsid w:val="004029F4"/>
    <w:rsid w:val="00402AB5"/>
    <w:rsid w:val="00402B71"/>
    <w:rsid w:val="00402D66"/>
    <w:rsid w:val="00402DA5"/>
    <w:rsid w:val="00402DF9"/>
    <w:rsid w:val="00402EB5"/>
    <w:rsid w:val="00402EDF"/>
    <w:rsid w:val="0040305C"/>
    <w:rsid w:val="00403097"/>
    <w:rsid w:val="004031BC"/>
    <w:rsid w:val="00403222"/>
    <w:rsid w:val="0040325F"/>
    <w:rsid w:val="00403484"/>
    <w:rsid w:val="00403856"/>
    <w:rsid w:val="00403A03"/>
    <w:rsid w:val="00403A9E"/>
    <w:rsid w:val="00403AB1"/>
    <w:rsid w:val="00403AFB"/>
    <w:rsid w:val="00403B0D"/>
    <w:rsid w:val="00403CBC"/>
    <w:rsid w:val="00403CEB"/>
    <w:rsid w:val="00403D48"/>
    <w:rsid w:val="00403DB3"/>
    <w:rsid w:val="00403E4F"/>
    <w:rsid w:val="00403E7D"/>
    <w:rsid w:val="00403EAA"/>
    <w:rsid w:val="00403FC0"/>
    <w:rsid w:val="00404154"/>
    <w:rsid w:val="00404190"/>
    <w:rsid w:val="00404241"/>
    <w:rsid w:val="00404245"/>
    <w:rsid w:val="004042E5"/>
    <w:rsid w:val="0040440E"/>
    <w:rsid w:val="00404423"/>
    <w:rsid w:val="004045E0"/>
    <w:rsid w:val="004045EA"/>
    <w:rsid w:val="00404815"/>
    <w:rsid w:val="0040481E"/>
    <w:rsid w:val="004048A5"/>
    <w:rsid w:val="00404916"/>
    <w:rsid w:val="004049BE"/>
    <w:rsid w:val="00404A26"/>
    <w:rsid w:val="00404B20"/>
    <w:rsid w:val="00404B5F"/>
    <w:rsid w:val="00404BC3"/>
    <w:rsid w:val="00404CE9"/>
    <w:rsid w:val="00404E0D"/>
    <w:rsid w:val="00404E96"/>
    <w:rsid w:val="00404EA4"/>
    <w:rsid w:val="00405115"/>
    <w:rsid w:val="0040522F"/>
    <w:rsid w:val="004052D0"/>
    <w:rsid w:val="004052F8"/>
    <w:rsid w:val="004053FF"/>
    <w:rsid w:val="00405464"/>
    <w:rsid w:val="00405540"/>
    <w:rsid w:val="004055E3"/>
    <w:rsid w:val="0040565B"/>
    <w:rsid w:val="004056D7"/>
    <w:rsid w:val="0040571A"/>
    <w:rsid w:val="0040591C"/>
    <w:rsid w:val="00405AB0"/>
    <w:rsid w:val="00405B7D"/>
    <w:rsid w:val="00405C6D"/>
    <w:rsid w:val="00405D2C"/>
    <w:rsid w:val="00405E62"/>
    <w:rsid w:val="00405EB2"/>
    <w:rsid w:val="00405F49"/>
    <w:rsid w:val="0040623D"/>
    <w:rsid w:val="00406314"/>
    <w:rsid w:val="0040648B"/>
    <w:rsid w:val="00406723"/>
    <w:rsid w:val="00406AA2"/>
    <w:rsid w:val="00406D79"/>
    <w:rsid w:val="00406EB5"/>
    <w:rsid w:val="00406EC9"/>
    <w:rsid w:val="00406F23"/>
    <w:rsid w:val="00406F51"/>
    <w:rsid w:val="0040714F"/>
    <w:rsid w:val="00407366"/>
    <w:rsid w:val="0040740F"/>
    <w:rsid w:val="0040742A"/>
    <w:rsid w:val="004074A8"/>
    <w:rsid w:val="004074EA"/>
    <w:rsid w:val="00407513"/>
    <w:rsid w:val="004076CF"/>
    <w:rsid w:val="0040770F"/>
    <w:rsid w:val="00407885"/>
    <w:rsid w:val="00407889"/>
    <w:rsid w:val="004078EE"/>
    <w:rsid w:val="00407924"/>
    <w:rsid w:val="0040799F"/>
    <w:rsid w:val="004079A0"/>
    <w:rsid w:val="00407B18"/>
    <w:rsid w:val="00407BA1"/>
    <w:rsid w:val="00407E53"/>
    <w:rsid w:val="0041006B"/>
    <w:rsid w:val="0041010A"/>
    <w:rsid w:val="00410239"/>
    <w:rsid w:val="00410278"/>
    <w:rsid w:val="00410387"/>
    <w:rsid w:val="004104BF"/>
    <w:rsid w:val="0041074B"/>
    <w:rsid w:val="00410839"/>
    <w:rsid w:val="0041098B"/>
    <w:rsid w:val="004109EF"/>
    <w:rsid w:val="00410A24"/>
    <w:rsid w:val="00410B12"/>
    <w:rsid w:val="00410BE5"/>
    <w:rsid w:val="00410CCF"/>
    <w:rsid w:val="00410D85"/>
    <w:rsid w:val="00410D9E"/>
    <w:rsid w:val="00410E65"/>
    <w:rsid w:val="00410EDB"/>
    <w:rsid w:val="00410F8F"/>
    <w:rsid w:val="00410F9F"/>
    <w:rsid w:val="00410FC6"/>
    <w:rsid w:val="004110BE"/>
    <w:rsid w:val="00411239"/>
    <w:rsid w:val="0041136B"/>
    <w:rsid w:val="00411620"/>
    <w:rsid w:val="0041163E"/>
    <w:rsid w:val="0041175A"/>
    <w:rsid w:val="0041191B"/>
    <w:rsid w:val="004119CA"/>
    <w:rsid w:val="00411A10"/>
    <w:rsid w:val="00411C5F"/>
    <w:rsid w:val="00411DF3"/>
    <w:rsid w:val="00411E2A"/>
    <w:rsid w:val="00411E2C"/>
    <w:rsid w:val="00411E95"/>
    <w:rsid w:val="00411F15"/>
    <w:rsid w:val="00411F5D"/>
    <w:rsid w:val="00411FEB"/>
    <w:rsid w:val="00411FF6"/>
    <w:rsid w:val="0041202F"/>
    <w:rsid w:val="0041215D"/>
    <w:rsid w:val="004121E1"/>
    <w:rsid w:val="0041227D"/>
    <w:rsid w:val="004122F7"/>
    <w:rsid w:val="00412313"/>
    <w:rsid w:val="00412342"/>
    <w:rsid w:val="0041243D"/>
    <w:rsid w:val="004125C9"/>
    <w:rsid w:val="00412650"/>
    <w:rsid w:val="0041265C"/>
    <w:rsid w:val="004126B8"/>
    <w:rsid w:val="0041274A"/>
    <w:rsid w:val="0041284E"/>
    <w:rsid w:val="00412963"/>
    <w:rsid w:val="00412A22"/>
    <w:rsid w:val="00412A45"/>
    <w:rsid w:val="00412AB3"/>
    <w:rsid w:val="00412B01"/>
    <w:rsid w:val="00412B98"/>
    <w:rsid w:val="00412CF3"/>
    <w:rsid w:val="00412DBB"/>
    <w:rsid w:val="00412E10"/>
    <w:rsid w:val="00412E22"/>
    <w:rsid w:val="00412F0B"/>
    <w:rsid w:val="00412F2D"/>
    <w:rsid w:val="0041300A"/>
    <w:rsid w:val="0041315D"/>
    <w:rsid w:val="004131D6"/>
    <w:rsid w:val="004132BE"/>
    <w:rsid w:val="004133B6"/>
    <w:rsid w:val="004133C8"/>
    <w:rsid w:val="0041340D"/>
    <w:rsid w:val="004135BF"/>
    <w:rsid w:val="0041384A"/>
    <w:rsid w:val="00413956"/>
    <w:rsid w:val="00413991"/>
    <w:rsid w:val="00413A58"/>
    <w:rsid w:val="00413AAE"/>
    <w:rsid w:val="00413C6F"/>
    <w:rsid w:val="00413D46"/>
    <w:rsid w:val="00413F6D"/>
    <w:rsid w:val="00413FE7"/>
    <w:rsid w:val="00414166"/>
    <w:rsid w:val="0041418A"/>
    <w:rsid w:val="004145AD"/>
    <w:rsid w:val="0041462A"/>
    <w:rsid w:val="004146A6"/>
    <w:rsid w:val="0041477C"/>
    <w:rsid w:val="004147BD"/>
    <w:rsid w:val="004148A5"/>
    <w:rsid w:val="00414949"/>
    <w:rsid w:val="00414A1C"/>
    <w:rsid w:val="00414B32"/>
    <w:rsid w:val="00414B40"/>
    <w:rsid w:val="00414B8E"/>
    <w:rsid w:val="00414DF3"/>
    <w:rsid w:val="00414F80"/>
    <w:rsid w:val="00414FFD"/>
    <w:rsid w:val="00415015"/>
    <w:rsid w:val="00415038"/>
    <w:rsid w:val="00415064"/>
    <w:rsid w:val="004150C7"/>
    <w:rsid w:val="004151B5"/>
    <w:rsid w:val="0041534E"/>
    <w:rsid w:val="00415601"/>
    <w:rsid w:val="00415641"/>
    <w:rsid w:val="004156C4"/>
    <w:rsid w:val="00415793"/>
    <w:rsid w:val="00415795"/>
    <w:rsid w:val="004157A8"/>
    <w:rsid w:val="004157E9"/>
    <w:rsid w:val="0041581B"/>
    <w:rsid w:val="00415A33"/>
    <w:rsid w:val="00415A5D"/>
    <w:rsid w:val="00415A8B"/>
    <w:rsid w:val="00415AA7"/>
    <w:rsid w:val="00415B6A"/>
    <w:rsid w:val="00415B6B"/>
    <w:rsid w:val="00415DB8"/>
    <w:rsid w:val="00415E07"/>
    <w:rsid w:val="00415F77"/>
    <w:rsid w:val="0041638D"/>
    <w:rsid w:val="00416425"/>
    <w:rsid w:val="00416539"/>
    <w:rsid w:val="004166B2"/>
    <w:rsid w:val="0041673C"/>
    <w:rsid w:val="00416878"/>
    <w:rsid w:val="00416978"/>
    <w:rsid w:val="00416BF0"/>
    <w:rsid w:val="00416C1C"/>
    <w:rsid w:val="00416C38"/>
    <w:rsid w:val="00416CA9"/>
    <w:rsid w:val="00416D12"/>
    <w:rsid w:val="00416D44"/>
    <w:rsid w:val="00416DE9"/>
    <w:rsid w:val="00416E8F"/>
    <w:rsid w:val="004170D3"/>
    <w:rsid w:val="0041717B"/>
    <w:rsid w:val="00417247"/>
    <w:rsid w:val="0041750B"/>
    <w:rsid w:val="004176D2"/>
    <w:rsid w:val="004177FC"/>
    <w:rsid w:val="00417818"/>
    <w:rsid w:val="004179BA"/>
    <w:rsid w:val="00417B30"/>
    <w:rsid w:val="00417BA9"/>
    <w:rsid w:val="00417E05"/>
    <w:rsid w:val="00417E2A"/>
    <w:rsid w:val="00417E64"/>
    <w:rsid w:val="00417FBF"/>
    <w:rsid w:val="00420371"/>
    <w:rsid w:val="00420389"/>
    <w:rsid w:val="00420745"/>
    <w:rsid w:val="0042084F"/>
    <w:rsid w:val="004208B6"/>
    <w:rsid w:val="00420942"/>
    <w:rsid w:val="00420ABE"/>
    <w:rsid w:val="00420ADB"/>
    <w:rsid w:val="00420BFC"/>
    <w:rsid w:val="00420C31"/>
    <w:rsid w:val="00420E59"/>
    <w:rsid w:val="00420E80"/>
    <w:rsid w:val="00420EB9"/>
    <w:rsid w:val="00420EC5"/>
    <w:rsid w:val="00420EF4"/>
    <w:rsid w:val="00421137"/>
    <w:rsid w:val="00421364"/>
    <w:rsid w:val="004213B7"/>
    <w:rsid w:val="00421598"/>
    <w:rsid w:val="00421946"/>
    <w:rsid w:val="00421A45"/>
    <w:rsid w:val="00421A94"/>
    <w:rsid w:val="00421B0A"/>
    <w:rsid w:val="00421DFA"/>
    <w:rsid w:val="00421E29"/>
    <w:rsid w:val="00421FC1"/>
    <w:rsid w:val="004220F2"/>
    <w:rsid w:val="00422133"/>
    <w:rsid w:val="004221C0"/>
    <w:rsid w:val="004221DC"/>
    <w:rsid w:val="004221F0"/>
    <w:rsid w:val="004222E1"/>
    <w:rsid w:val="004222E4"/>
    <w:rsid w:val="00422370"/>
    <w:rsid w:val="004223A6"/>
    <w:rsid w:val="004224BF"/>
    <w:rsid w:val="0042254A"/>
    <w:rsid w:val="00422697"/>
    <w:rsid w:val="00422710"/>
    <w:rsid w:val="00422715"/>
    <w:rsid w:val="00422767"/>
    <w:rsid w:val="004227BD"/>
    <w:rsid w:val="00422AF0"/>
    <w:rsid w:val="00422B36"/>
    <w:rsid w:val="00422B4E"/>
    <w:rsid w:val="00422BE9"/>
    <w:rsid w:val="00422CB8"/>
    <w:rsid w:val="00422E88"/>
    <w:rsid w:val="00422E91"/>
    <w:rsid w:val="004232FD"/>
    <w:rsid w:val="00423386"/>
    <w:rsid w:val="00423492"/>
    <w:rsid w:val="004234E9"/>
    <w:rsid w:val="0042359D"/>
    <w:rsid w:val="0042362D"/>
    <w:rsid w:val="0042370E"/>
    <w:rsid w:val="0042375B"/>
    <w:rsid w:val="004237EA"/>
    <w:rsid w:val="0042395A"/>
    <w:rsid w:val="004239BB"/>
    <w:rsid w:val="00423A44"/>
    <w:rsid w:val="00423A89"/>
    <w:rsid w:val="00423AFB"/>
    <w:rsid w:val="00423D55"/>
    <w:rsid w:val="00423DF3"/>
    <w:rsid w:val="00423E82"/>
    <w:rsid w:val="00423EAD"/>
    <w:rsid w:val="00423F90"/>
    <w:rsid w:val="00423FE5"/>
    <w:rsid w:val="0042433A"/>
    <w:rsid w:val="004243FE"/>
    <w:rsid w:val="00424524"/>
    <w:rsid w:val="0042463C"/>
    <w:rsid w:val="0042467A"/>
    <w:rsid w:val="004248A1"/>
    <w:rsid w:val="00424963"/>
    <w:rsid w:val="0042496F"/>
    <w:rsid w:val="00424B5D"/>
    <w:rsid w:val="00424B9F"/>
    <w:rsid w:val="00424BF1"/>
    <w:rsid w:val="00424C77"/>
    <w:rsid w:val="00424DF4"/>
    <w:rsid w:val="00424F10"/>
    <w:rsid w:val="00425071"/>
    <w:rsid w:val="0042511E"/>
    <w:rsid w:val="0042521E"/>
    <w:rsid w:val="00425314"/>
    <w:rsid w:val="0042533E"/>
    <w:rsid w:val="0042539B"/>
    <w:rsid w:val="004255DC"/>
    <w:rsid w:val="0042576E"/>
    <w:rsid w:val="00425792"/>
    <w:rsid w:val="004257D4"/>
    <w:rsid w:val="004258B7"/>
    <w:rsid w:val="00425AA1"/>
    <w:rsid w:val="00425B14"/>
    <w:rsid w:val="00425BEF"/>
    <w:rsid w:val="00425C05"/>
    <w:rsid w:val="00425D40"/>
    <w:rsid w:val="00425D90"/>
    <w:rsid w:val="00425E06"/>
    <w:rsid w:val="00425F5C"/>
    <w:rsid w:val="00426293"/>
    <w:rsid w:val="00426344"/>
    <w:rsid w:val="004263B3"/>
    <w:rsid w:val="004264CF"/>
    <w:rsid w:val="00426519"/>
    <w:rsid w:val="004265E7"/>
    <w:rsid w:val="00426645"/>
    <w:rsid w:val="00426653"/>
    <w:rsid w:val="004267C3"/>
    <w:rsid w:val="00426964"/>
    <w:rsid w:val="004269A9"/>
    <w:rsid w:val="00426A63"/>
    <w:rsid w:val="00426A70"/>
    <w:rsid w:val="00426B7F"/>
    <w:rsid w:val="00426B85"/>
    <w:rsid w:val="00426C90"/>
    <w:rsid w:val="00426D8E"/>
    <w:rsid w:val="00426EBE"/>
    <w:rsid w:val="00426F00"/>
    <w:rsid w:val="00426F67"/>
    <w:rsid w:val="00426FC8"/>
    <w:rsid w:val="00426FF5"/>
    <w:rsid w:val="0042703A"/>
    <w:rsid w:val="004270DF"/>
    <w:rsid w:val="004272AE"/>
    <w:rsid w:val="004272BC"/>
    <w:rsid w:val="004272C6"/>
    <w:rsid w:val="004273A9"/>
    <w:rsid w:val="004274AD"/>
    <w:rsid w:val="00427592"/>
    <w:rsid w:val="0042783E"/>
    <w:rsid w:val="004278C4"/>
    <w:rsid w:val="00427932"/>
    <w:rsid w:val="0042797E"/>
    <w:rsid w:val="00427A7E"/>
    <w:rsid w:val="00427C3E"/>
    <w:rsid w:val="00427CCC"/>
    <w:rsid w:val="00427D71"/>
    <w:rsid w:val="00427DA7"/>
    <w:rsid w:val="00427E7F"/>
    <w:rsid w:val="00427F75"/>
    <w:rsid w:val="004300F7"/>
    <w:rsid w:val="00430108"/>
    <w:rsid w:val="004301BC"/>
    <w:rsid w:val="0043028B"/>
    <w:rsid w:val="00430293"/>
    <w:rsid w:val="0043039E"/>
    <w:rsid w:val="004303E6"/>
    <w:rsid w:val="00430420"/>
    <w:rsid w:val="0043071E"/>
    <w:rsid w:val="00430851"/>
    <w:rsid w:val="00430937"/>
    <w:rsid w:val="00430A82"/>
    <w:rsid w:val="00430A88"/>
    <w:rsid w:val="00430ABA"/>
    <w:rsid w:val="00430AFE"/>
    <w:rsid w:val="00430B31"/>
    <w:rsid w:val="00430C83"/>
    <w:rsid w:val="00430CDF"/>
    <w:rsid w:val="00430D6B"/>
    <w:rsid w:val="00430E02"/>
    <w:rsid w:val="00430E48"/>
    <w:rsid w:val="00430F3C"/>
    <w:rsid w:val="00430FE2"/>
    <w:rsid w:val="00431121"/>
    <w:rsid w:val="004311E4"/>
    <w:rsid w:val="0043129D"/>
    <w:rsid w:val="004312D8"/>
    <w:rsid w:val="00431487"/>
    <w:rsid w:val="004316A6"/>
    <w:rsid w:val="00431724"/>
    <w:rsid w:val="00431794"/>
    <w:rsid w:val="004318DF"/>
    <w:rsid w:val="0043196A"/>
    <w:rsid w:val="00431AD5"/>
    <w:rsid w:val="00431C72"/>
    <w:rsid w:val="00431CC2"/>
    <w:rsid w:val="00431D91"/>
    <w:rsid w:val="00431DE0"/>
    <w:rsid w:val="00431E21"/>
    <w:rsid w:val="00431EF6"/>
    <w:rsid w:val="004320E8"/>
    <w:rsid w:val="0043227A"/>
    <w:rsid w:val="0043227E"/>
    <w:rsid w:val="004323A2"/>
    <w:rsid w:val="00432444"/>
    <w:rsid w:val="0043268E"/>
    <w:rsid w:val="00432778"/>
    <w:rsid w:val="004327F4"/>
    <w:rsid w:val="004328D7"/>
    <w:rsid w:val="00432900"/>
    <w:rsid w:val="00432919"/>
    <w:rsid w:val="004329C7"/>
    <w:rsid w:val="004329DE"/>
    <w:rsid w:val="004329F3"/>
    <w:rsid w:val="00432C73"/>
    <w:rsid w:val="00432D8A"/>
    <w:rsid w:val="00432DD1"/>
    <w:rsid w:val="00432ED0"/>
    <w:rsid w:val="00432F6A"/>
    <w:rsid w:val="00432F71"/>
    <w:rsid w:val="004331A0"/>
    <w:rsid w:val="00433262"/>
    <w:rsid w:val="004332D6"/>
    <w:rsid w:val="0043332B"/>
    <w:rsid w:val="0043334E"/>
    <w:rsid w:val="00433457"/>
    <w:rsid w:val="00433510"/>
    <w:rsid w:val="0043354D"/>
    <w:rsid w:val="004335E5"/>
    <w:rsid w:val="00433660"/>
    <w:rsid w:val="0043370F"/>
    <w:rsid w:val="0043375A"/>
    <w:rsid w:val="00433771"/>
    <w:rsid w:val="00433816"/>
    <w:rsid w:val="0043394B"/>
    <w:rsid w:val="0043394C"/>
    <w:rsid w:val="00433990"/>
    <w:rsid w:val="00433B74"/>
    <w:rsid w:val="00433BA1"/>
    <w:rsid w:val="00433D44"/>
    <w:rsid w:val="00433D68"/>
    <w:rsid w:val="00433D76"/>
    <w:rsid w:val="00433EEA"/>
    <w:rsid w:val="00434114"/>
    <w:rsid w:val="00434182"/>
    <w:rsid w:val="00434240"/>
    <w:rsid w:val="00434246"/>
    <w:rsid w:val="004342D9"/>
    <w:rsid w:val="004342F6"/>
    <w:rsid w:val="00434320"/>
    <w:rsid w:val="00434347"/>
    <w:rsid w:val="00434559"/>
    <w:rsid w:val="0043462B"/>
    <w:rsid w:val="004346B6"/>
    <w:rsid w:val="0043496B"/>
    <w:rsid w:val="00434BB5"/>
    <w:rsid w:val="00434C2E"/>
    <w:rsid w:val="00434CAE"/>
    <w:rsid w:val="00434E0B"/>
    <w:rsid w:val="00434E8D"/>
    <w:rsid w:val="0043506E"/>
    <w:rsid w:val="00435166"/>
    <w:rsid w:val="004351BA"/>
    <w:rsid w:val="004351E3"/>
    <w:rsid w:val="0043526E"/>
    <w:rsid w:val="004353E9"/>
    <w:rsid w:val="004357F0"/>
    <w:rsid w:val="00435920"/>
    <w:rsid w:val="00435AAC"/>
    <w:rsid w:val="00435AC7"/>
    <w:rsid w:val="00435ACD"/>
    <w:rsid w:val="00435DFD"/>
    <w:rsid w:val="00435EC2"/>
    <w:rsid w:val="00436068"/>
    <w:rsid w:val="00436179"/>
    <w:rsid w:val="004361F9"/>
    <w:rsid w:val="00436242"/>
    <w:rsid w:val="00436343"/>
    <w:rsid w:val="00436402"/>
    <w:rsid w:val="00436418"/>
    <w:rsid w:val="00436480"/>
    <w:rsid w:val="00436612"/>
    <w:rsid w:val="00436616"/>
    <w:rsid w:val="00436617"/>
    <w:rsid w:val="0043667B"/>
    <w:rsid w:val="004366C4"/>
    <w:rsid w:val="00436883"/>
    <w:rsid w:val="00436955"/>
    <w:rsid w:val="00436D6F"/>
    <w:rsid w:val="00436E83"/>
    <w:rsid w:val="0043720D"/>
    <w:rsid w:val="00437313"/>
    <w:rsid w:val="0043739C"/>
    <w:rsid w:val="004373AD"/>
    <w:rsid w:val="00437456"/>
    <w:rsid w:val="00437494"/>
    <w:rsid w:val="004375F2"/>
    <w:rsid w:val="0043777B"/>
    <w:rsid w:val="00437785"/>
    <w:rsid w:val="00437868"/>
    <w:rsid w:val="00437A3F"/>
    <w:rsid w:val="00437CEE"/>
    <w:rsid w:val="00437D02"/>
    <w:rsid w:val="00437D52"/>
    <w:rsid w:val="00437E40"/>
    <w:rsid w:val="00437E6A"/>
    <w:rsid w:val="004401FA"/>
    <w:rsid w:val="0044042C"/>
    <w:rsid w:val="00440495"/>
    <w:rsid w:val="004404C0"/>
    <w:rsid w:val="0044062C"/>
    <w:rsid w:val="00440639"/>
    <w:rsid w:val="00440676"/>
    <w:rsid w:val="004406B3"/>
    <w:rsid w:val="004406DA"/>
    <w:rsid w:val="0044072A"/>
    <w:rsid w:val="00440739"/>
    <w:rsid w:val="00440743"/>
    <w:rsid w:val="00440A16"/>
    <w:rsid w:val="00440AA1"/>
    <w:rsid w:val="00440B0C"/>
    <w:rsid w:val="00440B1A"/>
    <w:rsid w:val="00440F72"/>
    <w:rsid w:val="0044104A"/>
    <w:rsid w:val="00441079"/>
    <w:rsid w:val="0044110E"/>
    <w:rsid w:val="004411D8"/>
    <w:rsid w:val="0044145F"/>
    <w:rsid w:val="004414D2"/>
    <w:rsid w:val="00441501"/>
    <w:rsid w:val="0044156D"/>
    <w:rsid w:val="004415F6"/>
    <w:rsid w:val="0044162F"/>
    <w:rsid w:val="00441890"/>
    <w:rsid w:val="0044194D"/>
    <w:rsid w:val="00441A06"/>
    <w:rsid w:val="00441B1A"/>
    <w:rsid w:val="00441BAD"/>
    <w:rsid w:val="00441D08"/>
    <w:rsid w:val="00441D15"/>
    <w:rsid w:val="00441D62"/>
    <w:rsid w:val="00441DA1"/>
    <w:rsid w:val="00441E4A"/>
    <w:rsid w:val="004420E1"/>
    <w:rsid w:val="00442242"/>
    <w:rsid w:val="00442289"/>
    <w:rsid w:val="0044235F"/>
    <w:rsid w:val="00442574"/>
    <w:rsid w:val="00442606"/>
    <w:rsid w:val="00442845"/>
    <w:rsid w:val="0044284A"/>
    <w:rsid w:val="00442A41"/>
    <w:rsid w:val="00442A63"/>
    <w:rsid w:val="00442A80"/>
    <w:rsid w:val="00442B98"/>
    <w:rsid w:val="00442BB6"/>
    <w:rsid w:val="00442D0A"/>
    <w:rsid w:val="00442DD4"/>
    <w:rsid w:val="00442E43"/>
    <w:rsid w:val="00442E78"/>
    <w:rsid w:val="00442EDD"/>
    <w:rsid w:val="00442FE9"/>
    <w:rsid w:val="00442FF1"/>
    <w:rsid w:val="00443017"/>
    <w:rsid w:val="00443076"/>
    <w:rsid w:val="004430FB"/>
    <w:rsid w:val="004431C4"/>
    <w:rsid w:val="00443242"/>
    <w:rsid w:val="0044341C"/>
    <w:rsid w:val="0044358A"/>
    <w:rsid w:val="0044359E"/>
    <w:rsid w:val="004435CA"/>
    <w:rsid w:val="00443707"/>
    <w:rsid w:val="0044371A"/>
    <w:rsid w:val="0044376C"/>
    <w:rsid w:val="00443822"/>
    <w:rsid w:val="004438E9"/>
    <w:rsid w:val="004438F8"/>
    <w:rsid w:val="0044392B"/>
    <w:rsid w:val="004439AE"/>
    <w:rsid w:val="00443A47"/>
    <w:rsid w:val="00443C39"/>
    <w:rsid w:val="00443C99"/>
    <w:rsid w:val="00443D9D"/>
    <w:rsid w:val="00443E9D"/>
    <w:rsid w:val="00443FC5"/>
    <w:rsid w:val="004440A1"/>
    <w:rsid w:val="004440A3"/>
    <w:rsid w:val="00444330"/>
    <w:rsid w:val="00444338"/>
    <w:rsid w:val="00444422"/>
    <w:rsid w:val="00444542"/>
    <w:rsid w:val="00444615"/>
    <w:rsid w:val="00444657"/>
    <w:rsid w:val="00444691"/>
    <w:rsid w:val="004447B1"/>
    <w:rsid w:val="00444808"/>
    <w:rsid w:val="0044482E"/>
    <w:rsid w:val="00444896"/>
    <w:rsid w:val="00444908"/>
    <w:rsid w:val="004449A9"/>
    <w:rsid w:val="00444A13"/>
    <w:rsid w:val="00444A44"/>
    <w:rsid w:val="00444A46"/>
    <w:rsid w:val="00444A48"/>
    <w:rsid w:val="00444A8E"/>
    <w:rsid w:val="00444BC0"/>
    <w:rsid w:val="00444BCF"/>
    <w:rsid w:val="00444C2D"/>
    <w:rsid w:val="00444CB2"/>
    <w:rsid w:val="00444CCB"/>
    <w:rsid w:val="00444CDA"/>
    <w:rsid w:val="00444EEB"/>
    <w:rsid w:val="00445005"/>
    <w:rsid w:val="00445022"/>
    <w:rsid w:val="004451C9"/>
    <w:rsid w:val="00445203"/>
    <w:rsid w:val="00445209"/>
    <w:rsid w:val="00445308"/>
    <w:rsid w:val="004454D0"/>
    <w:rsid w:val="00445521"/>
    <w:rsid w:val="0044558D"/>
    <w:rsid w:val="004455C1"/>
    <w:rsid w:val="00445686"/>
    <w:rsid w:val="004456C6"/>
    <w:rsid w:val="00445739"/>
    <w:rsid w:val="00445805"/>
    <w:rsid w:val="004458A2"/>
    <w:rsid w:val="004459D2"/>
    <w:rsid w:val="004459DC"/>
    <w:rsid w:val="00445B4B"/>
    <w:rsid w:val="00445BC2"/>
    <w:rsid w:val="00445DBB"/>
    <w:rsid w:val="00445DFD"/>
    <w:rsid w:val="00446018"/>
    <w:rsid w:val="00446078"/>
    <w:rsid w:val="004461B5"/>
    <w:rsid w:val="004462A6"/>
    <w:rsid w:val="00446333"/>
    <w:rsid w:val="004465F7"/>
    <w:rsid w:val="00446631"/>
    <w:rsid w:val="00446650"/>
    <w:rsid w:val="00446685"/>
    <w:rsid w:val="0044671F"/>
    <w:rsid w:val="004467BC"/>
    <w:rsid w:val="0044686A"/>
    <w:rsid w:val="0044690B"/>
    <w:rsid w:val="004469C4"/>
    <w:rsid w:val="00446A14"/>
    <w:rsid w:val="00446A49"/>
    <w:rsid w:val="00446A51"/>
    <w:rsid w:val="00446B35"/>
    <w:rsid w:val="00446B9A"/>
    <w:rsid w:val="00446D03"/>
    <w:rsid w:val="00446D1E"/>
    <w:rsid w:val="0044717E"/>
    <w:rsid w:val="004471A2"/>
    <w:rsid w:val="0044730E"/>
    <w:rsid w:val="00447442"/>
    <w:rsid w:val="00447484"/>
    <w:rsid w:val="00447830"/>
    <w:rsid w:val="004478E1"/>
    <w:rsid w:val="004479A8"/>
    <w:rsid w:val="00447A21"/>
    <w:rsid w:val="00447AA6"/>
    <w:rsid w:val="00447AC1"/>
    <w:rsid w:val="00447B3C"/>
    <w:rsid w:val="00447DD3"/>
    <w:rsid w:val="00447ECE"/>
    <w:rsid w:val="00447F00"/>
    <w:rsid w:val="00447FAE"/>
    <w:rsid w:val="00447FB1"/>
    <w:rsid w:val="00447FD9"/>
    <w:rsid w:val="004501F9"/>
    <w:rsid w:val="004502AD"/>
    <w:rsid w:val="00450571"/>
    <w:rsid w:val="0045059D"/>
    <w:rsid w:val="00450669"/>
    <w:rsid w:val="0045067F"/>
    <w:rsid w:val="0045071D"/>
    <w:rsid w:val="0045082C"/>
    <w:rsid w:val="00450887"/>
    <w:rsid w:val="00450890"/>
    <w:rsid w:val="00450913"/>
    <w:rsid w:val="0045091A"/>
    <w:rsid w:val="00450AC1"/>
    <w:rsid w:val="00450B48"/>
    <w:rsid w:val="00450B99"/>
    <w:rsid w:val="00450C66"/>
    <w:rsid w:val="00450E27"/>
    <w:rsid w:val="00450EC7"/>
    <w:rsid w:val="00450EE5"/>
    <w:rsid w:val="0045102B"/>
    <w:rsid w:val="00451090"/>
    <w:rsid w:val="00451261"/>
    <w:rsid w:val="0045130B"/>
    <w:rsid w:val="004513D9"/>
    <w:rsid w:val="00451405"/>
    <w:rsid w:val="00451634"/>
    <w:rsid w:val="00451745"/>
    <w:rsid w:val="00451750"/>
    <w:rsid w:val="00451845"/>
    <w:rsid w:val="004518BF"/>
    <w:rsid w:val="00451959"/>
    <w:rsid w:val="00451A6D"/>
    <w:rsid w:val="00451D7F"/>
    <w:rsid w:val="00451D8C"/>
    <w:rsid w:val="00451E31"/>
    <w:rsid w:val="00451F1E"/>
    <w:rsid w:val="00451F2C"/>
    <w:rsid w:val="004522DB"/>
    <w:rsid w:val="004522F5"/>
    <w:rsid w:val="004523E5"/>
    <w:rsid w:val="0045247B"/>
    <w:rsid w:val="0045269E"/>
    <w:rsid w:val="004526F8"/>
    <w:rsid w:val="00452745"/>
    <w:rsid w:val="00452753"/>
    <w:rsid w:val="0045276C"/>
    <w:rsid w:val="004527EC"/>
    <w:rsid w:val="00452813"/>
    <w:rsid w:val="004528D5"/>
    <w:rsid w:val="00452978"/>
    <w:rsid w:val="00452B6D"/>
    <w:rsid w:val="00452BFE"/>
    <w:rsid w:val="00452D66"/>
    <w:rsid w:val="00452E5F"/>
    <w:rsid w:val="00452EEF"/>
    <w:rsid w:val="00452F70"/>
    <w:rsid w:val="00452FAC"/>
    <w:rsid w:val="004530CD"/>
    <w:rsid w:val="004531F4"/>
    <w:rsid w:val="004532FB"/>
    <w:rsid w:val="004533CD"/>
    <w:rsid w:val="004534E6"/>
    <w:rsid w:val="0045351E"/>
    <w:rsid w:val="0045355C"/>
    <w:rsid w:val="00453646"/>
    <w:rsid w:val="004536A4"/>
    <w:rsid w:val="0045380F"/>
    <w:rsid w:val="0045394B"/>
    <w:rsid w:val="00453A60"/>
    <w:rsid w:val="00453A82"/>
    <w:rsid w:val="00453ADD"/>
    <w:rsid w:val="00453AFF"/>
    <w:rsid w:val="00453B44"/>
    <w:rsid w:val="00453C48"/>
    <w:rsid w:val="00453C8A"/>
    <w:rsid w:val="00453E9C"/>
    <w:rsid w:val="00453F24"/>
    <w:rsid w:val="004540DE"/>
    <w:rsid w:val="00454103"/>
    <w:rsid w:val="00454272"/>
    <w:rsid w:val="004542F8"/>
    <w:rsid w:val="00454342"/>
    <w:rsid w:val="00454362"/>
    <w:rsid w:val="00454511"/>
    <w:rsid w:val="004546E9"/>
    <w:rsid w:val="00454867"/>
    <w:rsid w:val="0045489C"/>
    <w:rsid w:val="0045499F"/>
    <w:rsid w:val="00454C20"/>
    <w:rsid w:val="00455529"/>
    <w:rsid w:val="0045552D"/>
    <w:rsid w:val="0045555E"/>
    <w:rsid w:val="004555BE"/>
    <w:rsid w:val="0045563C"/>
    <w:rsid w:val="00455711"/>
    <w:rsid w:val="004557C3"/>
    <w:rsid w:val="00455837"/>
    <w:rsid w:val="004558CD"/>
    <w:rsid w:val="00455A5E"/>
    <w:rsid w:val="00455AAE"/>
    <w:rsid w:val="00455AD9"/>
    <w:rsid w:val="00455B8F"/>
    <w:rsid w:val="00455C73"/>
    <w:rsid w:val="00455CA9"/>
    <w:rsid w:val="00455CBA"/>
    <w:rsid w:val="00455D43"/>
    <w:rsid w:val="00455D67"/>
    <w:rsid w:val="00455F03"/>
    <w:rsid w:val="00455FE4"/>
    <w:rsid w:val="004560B0"/>
    <w:rsid w:val="00456181"/>
    <w:rsid w:val="0045637B"/>
    <w:rsid w:val="004563A6"/>
    <w:rsid w:val="004563C4"/>
    <w:rsid w:val="00456464"/>
    <w:rsid w:val="004565BF"/>
    <w:rsid w:val="0045678E"/>
    <w:rsid w:val="004567A2"/>
    <w:rsid w:val="004567FB"/>
    <w:rsid w:val="004568AC"/>
    <w:rsid w:val="0045698B"/>
    <w:rsid w:val="00456B17"/>
    <w:rsid w:val="00456C44"/>
    <w:rsid w:val="00456D36"/>
    <w:rsid w:val="00456E19"/>
    <w:rsid w:val="00457125"/>
    <w:rsid w:val="00457203"/>
    <w:rsid w:val="00457225"/>
    <w:rsid w:val="00457433"/>
    <w:rsid w:val="004574B7"/>
    <w:rsid w:val="00457682"/>
    <w:rsid w:val="00457752"/>
    <w:rsid w:val="00457780"/>
    <w:rsid w:val="00457825"/>
    <w:rsid w:val="0045782A"/>
    <w:rsid w:val="00457883"/>
    <w:rsid w:val="004579CC"/>
    <w:rsid w:val="004579EE"/>
    <w:rsid w:val="00457A42"/>
    <w:rsid w:val="00457A64"/>
    <w:rsid w:val="00457A80"/>
    <w:rsid w:val="00457ADF"/>
    <w:rsid w:val="00457B8D"/>
    <w:rsid w:val="00457BDF"/>
    <w:rsid w:val="00457C29"/>
    <w:rsid w:val="00457CBF"/>
    <w:rsid w:val="00460035"/>
    <w:rsid w:val="00460090"/>
    <w:rsid w:val="004600BB"/>
    <w:rsid w:val="004600EF"/>
    <w:rsid w:val="0046031A"/>
    <w:rsid w:val="0046062C"/>
    <w:rsid w:val="00460632"/>
    <w:rsid w:val="00460685"/>
    <w:rsid w:val="004606D1"/>
    <w:rsid w:val="004607AB"/>
    <w:rsid w:val="004607FE"/>
    <w:rsid w:val="004608B5"/>
    <w:rsid w:val="00460A0D"/>
    <w:rsid w:val="00460AF4"/>
    <w:rsid w:val="00460B32"/>
    <w:rsid w:val="00460BDC"/>
    <w:rsid w:val="00460C00"/>
    <w:rsid w:val="00460CF6"/>
    <w:rsid w:val="00460D31"/>
    <w:rsid w:val="00460D5B"/>
    <w:rsid w:val="00460DB6"/>
    <w:rsid w:val="00460DE1"/>
    <w:rsid w:val="00460ECD"/>
    <w:rsid w:val="00460F86"/>
    <w:rsid w:val="00460F8A"/>
    <w:rsid w:val="00460FAE"/>
    <w:rsid w:val="00461038"/>
    <w:rsid w:val="0046109B"/>
    <w:rsid w:val="0046127B"/>
    <w:rsid w:val="0046152B"/>
    <w:rsid w:val="00461546"/>
    <w:rsid w:val="004615A7"/>
    <w:rsid w:val="00461643"/>
    <w:rsid w:val="004616BE"/>
    <w:rsid w:val="0046198F"/>
    <w:rsid w:val="00461BB4"/>
    <w:rsid w:val="00461C12"/>
    <w:rsid w:val="00461C16"/>
    <w:rsid w:val="00461CE7"/>
    <w:rsid w:val="00461E5A"/>
    <w:rsid w:val="00461E74"/>
    <w:rsid w:val="00461F60"/>
    <w:rsid w:val="00461FBD"/>
    <w:rsid w:val="00462121"/>
    <w:rsid w:val="00462250"/>
    <w:rsid w:val="00462319"/>
    <w:rsid w:val="00462452"/>
    <w:rsid w:val="00462475"/>
    <w:rsid w:val="0046248E"/>
    <w:rsid w:val="0046249D"/>
    <w:rsid w:val="0046256B"/>
    <w:rsid w:val="0046256E"/>
    <w:rsid w:val="004625D3"/>
    <w:rsid w:val="004626D5"/>
    <w:rsid w:val="00462747"/>
    <w:rsid w:val="0046279C"/>
    <w:rsid w:val="004627D6"/>
    <w:rsid w:val="004627FD"/>
    <w:rsid w:val="00462EB6"/>
    <w:rsid w:val="00462EE2"/>
    <w:rsid w:val="00462FF2"/>
    <w:rsid w:val="004630A2"/>
    <w:rsid w:val="0046322A"/>
    <w:rsid w:val="004632AC"/>
    <w:rsid w:val="0046340B"/>
    <w:rsid w:val="00463498"/>
    <w:rsid w:val="004635B0"/>
    <w:rsid w:val="004635EB"/>
    <w:rsid w:val="00463616"/>
    <w:rsid w:val="00463628"/>
    <w:rsid w:val="00463718"/>
    <w:rsid w:val="00463902"/>
    <w:rsid w:val="0046397F"/>
    <w:rsid w:val="004639D3"/>
    <w:rsid w:val="00463C81"/>
    <w:rsid w:val="00463D20"/>
    <w:rsid w:val="00463D3A"/>
    <w:rsid w:val="00463DD4"/>
    <w:rsid w:val="004640A1"/>
    <w:rsid w:val="004642EE"/>
    <w:rsid w:val="004643B4"/>
    <w:rsid w:val="00464422"/>
    <w:rsid w:val="00464966"/>
    <w:rsid w:val="00464A5B"/>
    <w:rsid w:val="00464B1A"/>
    <w:rsid w:val="00464D5A"/>
    <w:rsid w:val="00464F1E"/>
    <w:rsid w:val="00464F77"/>
    <w:rsid w:val="0046511A"/>
    <w:rsid w:val="004651A0"/>
    <w:rsid w:val="004651B8"/>
    <w:rsid w:val="004652C8"/>
    <w:rsid w:val="00465455"/>
    <w:rsid w:val="00465506"/>
    <w:rsid w:val="0046552F"/>
    <w:rsid w:val="0046567D"/>
    <w:rsid w:val="00465971"/>
    <w:rsid w:val="00465A39"/>
    <w:rsid w:val="00465AB5"/>
    <w:rsid w:val="00465BD9"/>
    <w:rsid w:val="00465D02"/>
    <w:rsid w:val="00465EA1"/>
    <w:rsid w:val="00466107"/>
    <w:rsid w:val="004661D8"/>
    <w:rsid w:val="004662E7"/>
    <w:rsid w:val="0046630D"/>
    <w:rsid w:val="0046635E"/>
    <w:rsid w:val="00466374"/>
    <w:rsid w:val="004663F0"/>
    <w:rsid w:val="0046642A"/>
    <w:rsid w:val="0046649B"/>
    <w:rsid w:val="004664B6"/>
    <w:rsid w:val="004664E1"/>
    <w:rsid w:val="004664F4"/>
    <w:rsid w:val="00466533"/>
    <w:rsid w:val="004666A3"/>
    <w:rsid w:val="00466803"/>
    <w:rsid w:val="004668F1"/>
    <w:rsid w:val="00466976"/>
    <w:rsid w:val="00466A28"/>
    <w:rsid w:val="00466B68"/>
    <w:rsid w:val="00466C45"/>
    <w:rsid w:val="00466F0F"/>
    <w:rsid w:val="00466F22"/>
    <w:rsid w:val="00467020"/>
    <w:rsid w:val="00467207"/>
    <w:rsid w:val="00467223"/>
    <w:rsid w:val="0046740E"/>
    <w:rsid w:val="00467618"/>
    <w:rsid w:val="004676ED"/>
    <w:rsid w:val="00467913"/>
    <w:rsid w:val="00467966"/>
    <w:rsid w:val="0046798B"/>
    <w:rsid w:val="00467A39"/>
    <w:rsid w:val="00467AE5"/>
    <w:rsid w:val="00467B91"/>
    <w:rsid w:val="00467C71"/>
    <w:rsid w:val="00467D4F"/>
    <w:rsid w:val="00467E01"/>
    <w:rsid w:val="00467F40"/>
    <w:rsid w:val="00470188"/>
    <w:rsid w:val="00470329"/>
    <w:rsid w:val="004706F8"/>
    <w:rsid w:val="004707BD"/>
    <w:rsid w:val="0047083F"/>
    <w:rsid w:val="00470909"/>
    <w:rsid w:val="00470C48"/>
    <w:rsid w:val="00470D3E"/>
    <w:rsid w:val="00470E1B"/>
    <w:rsid w:val="00470E43"/>
    <w:rsid w:val="00470E46"/>
    <w:rsid w:val="0047109B"/>
    <w:rsid w:val="004711E3"/>
    <w:rsid w:val="00471249"/>
    <w:rsid w:val="0047124F"/>
    <w:rsid w:val="0047175C"/>
    <w:rsid w:val="00471A0E"/>
    <w:rsid w:val="00471A18"/>
    <w:rsid w:val="00471AE3"/>
    <w:rsid w:val="00471CF4"/>
    <w:rsid w:val="00471D56"/>
    <w:rsid w:val="00471ED4"/>
    <w:rsid w:val="00471F8C"/>
    <w:rsid w:val="00472147"/>
    <w:rsid w:val="0047220A"/>
    <w:rsid w:val="00472243"/>
    <w:rsid w:val="00472253"/>
    <w:rsid w:val="00472254"/>
    <w:rsid w:val="00472310"/>
    <w:rsid w:val="004724FC"/>
    <w:rsid w:val="00472716"/>
    <w:rsid w:val="00472891"/>
    <w:rsid w:val="0047289C"/>
    <w:rsid w:val="00472AB9"/>
    <w:rsid w:val="00472E95"/>
    <w:rsid w:val="00472F1B"/>
    <w:rsid w:val="00473063"/>
    <w:rsid w:val="004730CC"/>
    <w:rsid w:val="004731AE"/>
    <w:rsid w:val="0047320A"/>
    <w:rsid w:val="00473215"/>
    <w:rsid w:val="00473410"/>
    <w:rsid w:val="00473510"/>
    <w:rsid w:val="0047357B"/>
    <w:rsid w:val="0047363E"/>
    <w:rsid w:val="0047378C"/>
    <w:rsid w:val="00473804"/>
    <w:rsid w:val="004738F5"/>
    <w:rsid w:val="00473A63"/>
    <w:rsid w:val="00473BAF"/>
    <w:rsid w:val="00473C96"/>
    <w:rsid w:val="00473CBF"/>
    <w:rsid w:val="00473D34"/>
    <w:rsid w:val="00473D52"/>
    <w:rsid w:val="00473DBD"/>
    <w:rsid w:val="00473E36"/>
    <w:rsid w:val="0047408A"/>
    <w:rsid w:val="004742B2"/>
    <w:rsid w:val="0047436F"/>
    <w:rsid w:val="00474474"/>
    <w:rsid w:val="004744BD"/>
    <w:rsid w:val="004744D9"/>
    <w:rsid w:val="00474546"/>
    <w:rsid w:val="004748CF"/>
    <w:rsid w:val="004749F7"/>
    <w:rsid w:val="00474AD5"/>
    <w:rsid w:val="00474B3A"/>
    <w:rsid w:val="00474B5F"/>
    <w:rsid w:val="00474D1D"/>
    <w:rsid w:val="00474DDD"/>
    <w:rsid w:val="00474EA5"/>
    <w:rsid w:val="00475390"/>
    <w:rsid w:val="00475419"/>
    <w:rsid w:val="00475420"/>
    <w:rsid w:val="00475517"/>
    <w:rsid w:val="004756B9"/>
    <w:rsid w:val="004756BD"/>
    <w:rsid w:val="004757AC"/>
    <w:rsid w:val="00475897"/>
    <w:rsid w:val="004758E4"/>
    <w:rsid w:val="004759A1"/>
    <w:rsid w:val="004759CB"/>
    <w:rsid w:val="00475A5D"/>
    <w:rsid w:val="00475D88"/>
    <w:rsid w:val="00475E56"/>
    <w:rsid w:val="00476067"/>
    <w:rsid w:val="00476159"/>
    <w:rsid w:val="00476331"/>
    <w:rsid w:val="004763DA"/>
    <w:rsid w:val="004765C9"/>
    <w:rsid w:val="00476732"/>
    <w:rsid w:val="00476878"/>
    <w:rsid w:val="0047697A"/>
    <w:rsid w:val="004769FD"/>
    <w:rsid w:val="00476C9E"/>
    <w:rsid w:val="00476D3B"/>
    <w:rsid w:val="00476E10"/>
    <w:rsid w:val="00476EC5"/>
    <w:rsid w:val="00477179"/>
    <w:rsid w:val="00477344"/>
    <w:rsid w:val="0047754E"/>
    <w:rsid w:val="004775B1"/>
    <w:rsid w:val="00477623"/>
    <w:rsid w:val="0047769C"/>
    <w:rsid w:val="004777AB"/>
    <w:rsid w:val="004777C1"/>
    <w:rsid w:val="0047780D"/>
    <w:rsid w:val="004778C2"/>
    <w:rsid w:val="0047799E"/>
    <w:rsid w:val="0047799F"/>
    <w:rsid w:val="004779CC"/>
    <w:rsid w:val="004779DB"/>
    <w:rsid w:val="00477A48"/>
    <w:rsid w:val="00477A94"/>
    <w:rsid w:val="00477B6C"/>
    <w:rsid w:val="00477D88"/>
    <w:rsid w:val="00477E34"/>
    <w:rsid w:val="00477FBE"/>
    <w:rsid w:val="004800CE"/>
    <w:rsid w:val="0048011C"/>
    <w:rsid w:val="004802A4"/>
    <w:rsid w:val="004803AF"/>
    <w:rsid w:val="00480613"/>
    <w:rsid w:val="00480785"/>
    <w:rsid w:val="004807AC"/>
    <w:rsid w:val="004807E8"/>
    <w:rsid w:val="00480919"/>
    <w:rsid w:val="004809EF"/>
    <w:rsid w:val="00480A1F"/>
    <w:rsid w:val="00480B1B"/>
    <w:rsid w:val="00480B81"/>
    <w:rsid w:val="00480BD4"/>
    <w:rsid w:val="00480E8C"/>
    <w:rsid w:val="00480FD5"/>
    <w:rsid w:val="00481145"/>
    <w:rsid w:val="004812F7"/>
    <w:rsid w:val="0048134C"/>
    <w:rsid w:val="00481460"/>
    <w:rsid w:val="0048147A"/>
    <w:rsid w:val="004814BF"/>
    <w:rsid w:val="004814D5"/>
    <w:rsid w:val="00481583"/>
    <w:rsid w:val="004815D1"/>
    <w:rsid w:val="0048176F"/>
    <w:rsid w:val="004818BD"/>
    <w:rsid w:val="004818F5"/>
    <w:rsid w:val="00481A49"/>
    <w:rsid w:val="00481D83"/>
    <w:rsid w:val="00481E15"/>
    <w:rsid w:val="00481FBC"/>
    <w:rsid w:val="00482040"/>
    <w:rsid w:val="004820C2"/>
    <w:rsid w:val="0048220D"/>
    <w:rsid w:val="004822F2"/>
    <w:rsid w:val="004823BF"/>
    <w:rsid w:val="00482506"/>
    <w:rsid w:val="00482636"/>
    <w:rsid w:val="00482641"/>
    <w:rsid w:val="004827E0"/>
    <w:rsid w:val="00482843"/>
    <w:rsid w:val="0048297B"/>
    <w:rsid w:val="00482AAF"/>
    <w:rsid w:val="00482AE0"/>
    <w:rsid w:val="00482B36"/>
    <w:rsid w:val="00482C07"/>
    <w:rsid w:val="00482D45"/>
    <w:rsid w:val="00482D79"/>
    <w:rsid w:val="00482D83"/>
    <w:rsid w:val="00482DCC"/>
    <w:rsid w:val="00482EAA"/>
    <w:rsid w:val="00482F57"/>
    <w:rsid w:val="004830B5"/>
    <w:rsid w:val="00483147"/>
    <w:rsid w:val="004832B5"/>
    <w:rsid w:val="004832D2"/>
    <w:rsid w:val="004832DC"/>
    <w:rsid w:val="004833B5"/>
    <w:rsid w:val="004833E1"/>
    <w:rsid w:val="004835E8"/>
    <w:rsid w:val="00483711"/>
    <w:rsid w:val="0048377F"/>
    <w:rsid w:val="00483896"/>
    <w:rsid w:val="00483899"/>
    <w:rsid w:val="004838BC"/>
    <w:rsid w:val="004839FD"/>
    <w:rsid w:val="00483B95"/>
    <w:rsid w:val="00483CC7"/>
    <w:rsid w:val="00483E3D"/>
    <w:rsid w:val="00484060"/>
    <w:rsid w:val="0048410B"/>
    <w:rsid w:val="00484129"/>
    <w:rsid w:val="004841BA"/>
    <w:rsid w:val="00484368"/>
    <w:rsid w:val="004844ED"/>
    <w:rsid w:val="0048460A"/>
    <w:rsid w:val="0048461D"/>
    <w:rsid w:val="00484630"/>
    <w:rsid w:val="004846DD"/>
    <w:rsid w:val="0048474B"/>
    <w:rsid w:val="00484824"/>
    <w:rsid w:val="00484867"/>
    <w:rsid w:val="004849D2"/>
    <w:rsid w:val="00484A01"/>
    <w:rsid w:val="00484A2F"/>
    <w:rsid w:val="00484BC9"/>
    <w:rsid w:val="00484C2D"/>
    <w:rsid w:val="00484D61"/>
    <w:rsid w:val="00484D91"/>
    <w:rsid w:val="00484DA9"/>
    <w:rsid w:val="00484EED"/>
    <w:rsid w:val="00484F62"/>
    <w:rsid w:val="00484FC6"/>
    <w:rsid w:val="00485236"/>
    <w:rsid w:val="00485264"/>
    <w:rsid w:val="004853FB"/>
    <w:rsid w:val="0048584C"/>
    <w:rsid w:val="00485919"/>
    <w:rsid w:val="00485950"/>
    <w:rsid w:val="004859CE"/>
    <w:rsid w:val="00485A7C"/>
    <w:rsid w:val="00485AAE"/>
    <w:rsid w:val="00485B3E"/>
    <w:rsid w:val="00485B7D"/>
    <w:rsid w:val="00485CC5"/>
    <w:rsid w:val="00485CE3"/>
    <w:rsid w:val="00485D8A"/>
    <w:rsid w:val="00485D9E"/>
    <w:rsid w:val="00485ED8"/>
    <w:rsid w:val="00485F36"/>
    <w:rsid w:val="0048609C"/>
    <w:rsid w:val="004860A2"/>
    <w:rsid w:val="004861B3"/>
    <w:rsid w:val="004862FB"/>
    <w:rsid w:val="0048649C"/>
    <w:rsid w:val="004866E9"/>
    <w:rsid w:val="00486AE0"/>
    <w:rsid w:val="00486AE8"/>
    <w:rsid w:val="00486B7C"/>
    <w:rsid w:val="00486C06"/>
    <w:rsid w:val="00486D02"/>
    <w:rsid w:val="00486E40"/>
    <w:rsid w:val="00486E4D"/>
    <w:rsid w:val="00486FA8"/>
    <w:rsid w:val="004870F0"/>
    <w:rsid w:val="00487135"/>
    <w:rsid w:val="00487152"/>
    <w:rsid w:val="004872F8"/>
    <w:rsid w:val="0048732E"/>
    <w:rsid w:val="0048737E"/>
    <w:rsid w:val="004873D9"/>
    <w:rsid w:val="00487468"/>
    <w:rsid w:val="004874B8"/>
    <w:rsid w:val="0048789C"/>
    <w:rsid w:val="004878B4"/>
    <w:rsid w:val="00487932"/>
    <w:rsid w:val="004879BE"/>
    <w:rsid w:val="00487A4E"/>
    <w:rsid w:val="00487A79"/>
    <w:rsid w:val="00487B1E"/>
    <w:rsid w:val="00487CAA"/>
    <w:rsid w:val="00487CE8"/>
    <w:rsid w:val="00487D48"/>
    <w:rsid w:val="00487E09"/>
    <w:rsid w:val="00487E81"/>
    <w:rsid w:val="00487EBD"/>
    <w:rsid w:val="00487F7A"/>
    <w:rsid w:val="0049007E"/>
    <w:rsid w:val="004900A3"/>
    <w:rsid w:val="0049016A"/>
    <w:rsid w:val="004902BB"/>
    <w:rsid w:val="00490315"/>
    <w:rsid w:val="004904C7"/>
    <w:rsid w:val="004905BA"/>
    <w:rsid w:val="0049061A"/>
    <w:rsid w:val="0049067D"/>
    <w:rsid w:val="004906D4"/>
    <w:rsid w:val="004907C9"/>
    <w:rsid w:val="0049083E"/>
    <w:rsid w:val="0049090A"/>
    <w:rsid w:val="0049093A"/>
    <w:rsid w:val="00490945"/>
    <w:rsid w:val="00490996"/>
    <w:rsid w:val="00490B44"/>
    <w:rsid w:val="00490C16"/>
    <w:rsid w:val="00490C1A"/>
    <w:rsid w:val="00490CD0"/>
    <w:rsid w:val="00490D49"/>
    <w:rsid w:val="00490E51"/>
    <w:rsid w:val="00490E82"/>
    <w:rsid w:val="00490EDC"/>
    <w:rsid w:val="00490F53"/>
    <w:rsid w:val="00490FE4"/>
    <w:rsid w:val="00491013"/>
    <w:rsid w:val="00491016"/>
    <w:rsid w:val="004910AB"/>
    <w:rsid w:val="004911BC"/>
    <w:rsid w:val="0049137C"/>
    <w:rsid w:val="00491483"/>
    <w:rsid w:val="00491534"/>
    <w:rsid w:val="0049154D"/>
    <w:rsid w:val="00491584"/>
    <w:rsid w:val="004917C8"/>
    <w:rsid w:val="00491832"/>
    <w:rsid w:val="00491BBF"/>
    <w:rsid w:val="00491CA8"/>
    <w:rsid w:val="00491E3B"/>
    <w:rsid w:val="00491EB3"/>
    <w:rsid w:val="00491EBC"/>
    <w:rsid w:val="00491FBA"/>
    <w:rsid w:val="0049203A"/>
    <w:rsid w:val="0049207C"/>
    <w:rsid w:val="004920EC"/>
    <w:rsid w:val="00492260"/>
    <w:rsid w:val="00492266"/>
    <w:rsid w:val="004922DC"/>
    <w:rsid w:val="00492365"/>
    <w:rsid w:val="00492586"/>
    <w:rsid w:val="00492604"/>
    <w:rsid w:val="00492697"/>
    <w:rsid w:val="004926CD"/>
    <w:rsid w:val="0049284C"/>
    <w:rsid w:val="0049293B"/>
    <w:rsid w:val="004929D4"/>
    <w:rsid w:val="00492A93"/>
    <w:rsid w:val="00492C54"/>
    <w:rsid w:val="00492CE2"/>
    <w:rsid w:val="00492DB6"/>
    <w:rsid w:val="00492DCD"/>
    <w:rsid w:val="00492E68"/>
    <w:rsid w:val="0049318D"/>
    <w:rsid w:val="004931BC"/>
    <w:rsid w:val="00493303"/>
    <w:rsid w:val="004934C3"/>
    <w:rsid w:val="004934E7"/>
    <w:rsid w:val="00493638"/>
    <w:rsid w:val="00493702"/>
    <w:rsid w:val="0049373E"/>
    <w:rsid w:val="00493777"/>
    <w:rsid w:val="004937C9"/>
    <w:rsid w:val="00493803"/>
    <w:rsid w:val="004938C9"/>
    <w:rsid w:val="00493A84"/>
    <w:rsid w:val="00493AE7"/>
    <w:rsid w:val="00493B90"/>
    <w:rsid w:val="00493C85"/>
    <w:rsid w:val="00493D56"/>
    <w:rsid w:val="00493EB7"/>
    <w:rsid w:val="00493F5E"/>
    <w:rsid w:val="00493F8A"/>
    <w:rsid w:val="00493FD1"/>
    <w:rsid w:val="004940DA"/>
    <w:rsid w:val="00494153"/>
    <w:rsid w:val="004941DC"/>
    <w:rsid w:val="00494333"/>
    <w:rsid w:val="0049436C"/>
    <w:rsid w:val="004943AF"/>
    <w:rsid w:val="004944DE"/>
    <w:rsid w:val="00494526"/>
    <w:rsid w:val="004945E6"/>
    <w:rsid w:val="00494623"/>
    <w:rsid w:val="00494817"/>
    <w:rsid w:val="00494823"/>
    <w:rsid w:val="0049488A"/>
    <w:rsid w:val="0049491C"/>
    <w:rsid w:val="00494B25"/>
    <w:rsid w:val="00494D0A"/>
    <w:rsid w:val="00494E25"/>
    <w:rsid w:val="00494F2F"/>
    <w:rsid w:val="00494FC1"/>
    <w:rsid w:val="00494FC5"/>
    <w:rsid w:val="00494FD0"/>
    <w:rsid w:val="0049520C"/>
    <w:rsid w:val="00495219"/>
    <w:rsid w:val="004952B9"/>
    <w:rsid w:val="00495587"/>
    <w:rsid w:val="004955F5"/>
    <w:rsid w:val="00495608"/>
    <w:rsid w:val="004957F0"/>
    <w:rsid w:val="0049585D"/>
    <w:rsid w:val="00495986"/>
    <w:rsid w:val="00495B5C"/>
    <w:rsid w:val="00495D59"/>
    <w:rsid w:val="00495DDD"/>
    <w:rsid w:val="00495E53"/>
    <w:rsid w:val="00495E57"/>
    <w:rsid w:val="00495F79"/>
    <w:rsid w:val="00496058"/>
    <w:rsid w:val="00496097"/>
    <w:rsid w:val="00496155"/>
    <w:rsid w:val="00496168"/>
    <w:rsid w:val="004961D7"/>
    <w:rsid w:val="0049628C"/>
    <w:rsid w:val="00496404"/>
    <w:rsid w:val="004965D6"/>
    <w:rsid w:val="00496622"/>
    <w:rsid w:val="0049680D"/>
    <w:rsid w:val="00496925"/>
    <w:rsid w:val="00496AFE"/>
    <w:rsid w:val="00496B54"/>
    <w:rsid w:val="00496B6E"/>
    <w:rsid w:val="00496BA8"/>
    <w:rsid w:val="00496C22"/>
    <w:rsid w:val="00496CD1"/>
    <w:rsid w:val="00496D33"/>
    <w:rsid w:val="00496DAB"/>
    <w:rsid w:val="00496E68"/>
    <w:rsid w:val="00496EB7"/>
    <w:rsid w:val="004970D1"/>
    <w:rsid w:val="00497148"/>
    <w:rsid w:val="004971F7"/>
    <w:rsid w:val="004971FD"/>
    <w:rsid w:val="00497290"/>
    <w:rsid w:val="0049746D"/>
    <w:rsid w:val="00497500"/>
    <w:rsid w:val="0049756E"/>
    <w:rsid w:val="004976B6"/>
    <w:rsid w:val="00497864"/>
    <w:rsid w:val="0049798A"/>
    <w:rsid w:val="00497B99"/>
    <w:rsid w:val="00497C1E"/>
    <w:rsid w:val="00497C93"/>
    <w:rsid w:val="00497CE4"/>
    <w:rsid w:val="00497D25"/>
    <w:rsid w:val="00497E27"/>
    <w:rsid w:val="00497EC5"/>
    <w:rsid w:val="00497EC8"/>
    <w:rsid w:val="00497F58"/>
    <w:rsid w:val="00497F5D"/>
    <w:rsid w:val="00497FF0"/>
    <w:rsid w:val="004A0117"/>
    <w:rsid w:val="004A0348"/>
    <w:rsid w:val="004A03C3"/>
    <w:rsid w:val="004A0446"/>
    <w:rsid w:val="004A04BA"/>
    <w:rsid w:val="004A05CA"/>
    <w:rsid w:val="004A063C"/>
    <w:rsid w:val="004A0852"/>
    <w:rsid w:val="004A0864"/>
    <w:rsid w:val="004A08C9"/>
    <w:rsid w:val="004A09FB"/>
    <w:rsid w:val="004A0A54"/>
    <w:rsid w:val="004A0BDD"/>
    <w:rsid w:val="004A0C28"/>
    <w:rsid w:val="004A0C29"/>
    <w:rsid w:val="004A0CC2"/>
    <w:rsid w:val="004A0D2A"/>
    <w:rsid w:val="004A0E68"/>
    <w:rsid w:val="004A0E9F"/>
    <w:rsid w:val="004A0F83"/>
    <w:rsid w:val="004A100B"/>
    <w:rsid w:val="004A1045"/>
    <w:rsid w:val="004A11AA"/>
    <w:rsid w:val="004A11E5"/>
    <w:rsid w:val="004A12D0"/>
    <w:rsid w:val="004A13C1"/>
    <w:rsid w:val="004A13D2"/>
    <w:rsid w:val="004A1446"/>
    <w:rsid w:val="004A1475"/>
    <w:rsid w:val="004A1499"/>
    <w:rsid w:val="004A1613"/>
    <w:rsid w:val="004A18CC"/>
    <w:rsid w:val="004A192B"/>
    <w:rsid w:val="004A1B45"/>
    <w:rsid w:val="004A1DC8"/>
    <w:rsid w:val="004A1E44"/>
    <w:rsid w:val="004A1FB6"/>
    <w:rsid w:val="004A2083"/>
    <w:rsid w:val="004A21D3"/>
    <w:rsid w:val="004A2279"/>
    <w:rsid w:val="004A2407"/>
    <w:rsid w:val="004A25AC"/>
    <w:rsid w:val="004A2600"/>
    <w:rsid w:val="004A2601"/>
    <w:rsid w:val="004A2675"/>
    <w:rsid w:val="004A27AF"/>
    <w:rsid w:val="004A2A1C"/>
    <w:rsid w:val="004A2BA9"/>
    <w:rsid w:val="004A2DEF"/>
    <w:rsid w:val="004A2EBE"/>
    <w:rsid w:val="004A2EE6"/>
    <w:rsid w:val="004A3036"/>
    <w:rsid w:val="004A309D"/>
    <w:rsid w:val="004A30B9"/>
    <w:rsid w:val="004A3206"/>
    <w:rsid w:val="004A3531"/>
    <w:rsid w:val="004A3741"/>
    <w:rsid w:val="004A3754"/>
    <w:rsid w:val="004A3788"/>
    <w:rsid w:val="004A3938"/>
    <w:rsid w:val="004A393A"/>
    <w:rsid w:val="004A39AF"/>
    <w:rsid w:val="004A39DE"/>
    <w:rsid w:val="004A3EF8"/>
    <w:rsid w:val="004A3F17"/>
    <w:rsid w:val="004A3F5F"/>
    <w:rsid w:val="004A403D"/>
    <w:rsid w:val="004A4213"/>
    <w:rsid w:val="004A42B3"/>
    <w:rsid w:val="004A43EF"/>
    <w:rsid w:val="004A4573"/>
    <w:rsid w:val="004A4602"/>
    <w:rsid w:val="004A46C7"/>
    <w:rsid w:val="004A475F"/>
    <w:rsid w:val="004A4760"/>
    <w:rsid w:val="004A47B7"/>
    <w:rsid w:val="004A47BC"/>
    <w:rsid w:val="004A4A14"/>
    <w:rsid w:val="004A4A42"/>
    <w:rsid w:val="004A4CAC"/>
    <w:rsid w:val="004A4D26"/>
    <w:rsid w:val="004A4DA5"/>
    <w:rsid w:val="004A4E2B"/>
    <w:rsid w:val="004A4EDA"/>
    <w:rsid w:val="004A4FB1"/>
    <w:rsid w:val="004A4FCB"/>
    <w:rsid w:val="004A5071"/>
    <w:rsid w:val="004A51DB"/>
    <w:rsid w:val="004A526C"/>
    <w:rsid w:val="004A549F"/>
    <w:rsid w:val="004A5718"/>
    <w:rsid w:val="004A5803"/>
    <w:rsid w:val="004A59A6"/>
    <w:rsid w:val="004A5A6C"/>
    <w:rsid w:val="004A5B59"/>
    <w:rsid w:val="004A5B78"/>
    <w:rsid w:val="004A5BAB"/>
    <w:rsid w:val="004A5D71"/>
    <w:rsid w:val="004A5EE3"/>
    <w:rsid w:val="004A5F83"/>
    <w:rsid w:val="004A6041"/>
    <w:rsid w:val="004A615A"/>
    <w:rsid w:val="004A61EB"/>
    <w:rsid w:val="004A6398"/>
    <w:rsid w:val="004A63B5"/>
    <w:rsid w:val="004A63BE"/>
    <w:rsid w:val="004A63C2"/>
    <w:rsid w:val="004A63D0"/>
    <w:rsid w:val="004A640E"/>
    <w:rsid w:val="004A6481"/>
    <w:rsid w:val="004A64A7"/>
    <w:rsid w:val="004A6500"/>
    <w:rsid w:val="004A6543"/>
    <w:rsid w:val="004A6585"/>
    <w:rsid w:val="004A6632"/>
    <w:rsid w:val="004A6669"/>
    <w:rsid w:val="004A666F"/>
    <w:rsid w:val="004A6676"/>
    <w:rsid w:val="004A677A"/>
    <w:rsid w:val="004A6786"/>
    <w:rsid w:val="004A6877"/>
    <w:rsid w:val="004A6A79"/>
    <w:rsid w:val="004A6B15"/>
    <w:rsid w:val="004A6B8C"/>
    <w:rsid w:val="004A6BCA"/>
    <w:rsid w:val="004A6C04"/>
    <w:rsid w:val="004A6C94"/>
    <w:rsid w:val="004A6D11"/>
    <w:rsid w:val="004A70FD"/>
    <w:rsid w:val="004A729C"/>
    <w:rsid w:val="004A7368"/>
    <w:rsid w:val="004A741A"/>
    <w:rsid w:val="004A741C"/>
    <w:rsid w:val="004A7741"/>
    <w:rsid w:val="004A7774"/>
    <w:rsid w:val="004A7884"/>
    <w:rsid w:val="004A78D2"/>
    <w:rsid w:val="004A7926"/>
    <w:rsid w:val="004A7947"/>
    <w:rsid w:val="004A7B4C"/>
    <w:rsid w:val="004A7CF3"/>
    <w:rsid w:val="004A7D36"/>
    <w:rsid w:val="004A7EA5"/>
    <w:rsid w:val="004A7EA6"/>
    <w:rsid w:val="004A7FB6"/>
    <w:rsid w:val="004A7FC7"/>
    <w:rsid w:val="004B006B"/>
    <w:rsid w:val="004B00A9"/>
    <w:rsid w:val="004B047B"/>
    <w:rsid w:val="004B051D"/>
    <w:rsid w:val="004B07D8"/>
    <w:rsid w:val="004B097D"/>
    <w:rsid w:val="004B09F3"/>
    <w:rsid w:val="004B0AC4"/>
    <w:rsid w:val="004B0B40"/>
    <w:rsid w:val="004B0B56"/>
    <w:rsid w:val="004B0B6E"/>
    <w:rsid w:val="004B0C2A"/>
    <w:rsid w:val="004B0C5D"/>
    <w:rsid w:val="004B1005"/>
    <w:rsid w:val="004B103B"/>
    <w:rsid w:val="004B10B0"/>
    <w:rsid w:val="004B118C"/>
    <w:rsid w:val="004B129D"/>
    <w:rsid w:val="004B143E"/>
    <w:rsid w:val="004B1490"/>
    <w:rsid w:val="004B14FF"/>
    <w:rsid w:val="004B155C"/>
    <w:rsid w:val="004B156F"/>
    <w:rsid w:val="004B1654"/>
    <w:rsid w:val="004B1788"/>
    <w:rsid w:val="004B17D4"/>
    <w:rsid w:val="004B18B7"/>
    <w:rsid w:val="004B1926"/>
    <w:rsid w:val="004B1A14"/>
    <w:rsid w:val="004B1AA9"/>
    <w:rsid w:val="004B1B61"/>
    <w:rsid w:val="004B1B8F"/>
    <w:rsid w:val="004B1BA1"/>
    <w:rsid w:val="004B1C95"/>
    <w:rsid w:val="004B1D1E"/>
    <w:rsid w:val="004B1DB9"/>
    <w:rsid w:val="004B1E44"/>
    <w:rsid w:val="004B20F5"/>
    <w:rsid w:val="004B24F7"/>
    <w:rsid w:val="004B251C"/>
    <w:rsid w:val="004B26F9"/>
    <w:rsid w:val="004B2703"/>
    <w:rsid w:val="004B2709"/>
    <w:rsid w:val="004B2724"/>
    <w:rsid w:val="004B2756"/>
    <w:rsid w:val="004B2965"/>
    <w:rsid w:val="004B2A29"/>
    <w:rsid w:val="004B2B9F"/>
    <w:rsid w:val="004B2BAE"/>
    <w:rsid w:val="004B2BCE"/>
    <w:rsid w:val="004B2D0A"/>
    <w:rsid w:val="004B2D58"/>
    <w:rsid w:val="004B2FC5"/>
    <w:rsid w:val="004B33C8"/>
    <w:rsid w:val="004B33EA"/>
    <w:rsid w:val="004B3476"/>
    <w:rsid w:val="004B349B"/>
    <w:rsid w:val="004B3656"/>
    <w:rsid w:val="004B3756"/>
    <w:rsid w:val="004B3794"/>
    <w:rsid w:val="004B383B"/>
    <w:rsid w:val="004B391B"/>
    <w:rsid w:val="004B398F"/>
    <w:rsid w:val="004B39F9"/>
    <w:rsid w:val="004B3AE2"/>
    <w:rsid w:val="004B3AE9"/>
    <w:rsid w:val="004B3BB2"/>
    <w:rsid w:val="004B3EB0"/>
    <w:rsid w:val="004B3FA3"/>
    <w:rsid w:val="004B408B"/>
    <w:rsid w:val="004B40DF"/>
    <w:rsid w:val="004B4140"/>
    <w:rsid w:val="004B4143"/>
    <w:rsid w:val="004B41B5"/>
    <w:rsid w:val="004B432F"/>
    <w:rsid w:val="004B4375"/>
    <w:rsid w:val="004B4394"/>
    <w:rsid w:val="004B441D"/>
    <w:rsid w:val="004B45B4"/>
    <w:rsid w:val="004B4627"/>
    <w:rsid w:val="004B46C5"/>
    <w:rsid w:val="004B4829"/>
    <w:rsid w:val="004B4885"/>
    <w:rsid w:val="004B4919"/>
    <w:rsid w:val="004B4A5A"/>
    <w:rsid w:val="004B4A66"/>
    <w:rsid w:val="004B4AA5"/>
    <w:rsid w:val="004B4AE6"/>
    <w:rsid w:val="004B4C02"/>
    <w:rsid w:val="004B5178"/>
    <w:rsid w:val="004B5192"/>
    <w:rsid w:val="004B51B6"/>
    <w:rsid w:val="004B52E6"/>
    <w:rsid w:val="004B533A"/>
    <w:rsid w:val="004B541F"/>
    <w:rsid w:val="004B547D"/>
    <w:rsid w:val="004B54E1"/>
    <w:rsid w:val="004B56F3"/>
    <w:rsid w:val="004B57D3"/>
    <w:rsid w:val="004B5B87"/>
    <w:rsid w:val="004B5BFB"/>
    <w:rsid w:val="004B5CA9"/>
    <w:rsid w:val="004B5CF9"/>
    <w:rsid w:val="004B5D0E"/>
    <w:rsid w:val="004B5DBE"/>
    <w:rsid w:val="004B5DCB"/>
    <w:rsid w:val="004B5ED9"/>
    <w:rsid w:val="004B6128"/>
    <w:rsid w:val="004B6148"/>
    <w:rsid w:val="004B616B"/>
    <w:rsid w:val="004B6196"/>
    <w:rsid w:val="004B633A"/>
    <w:rsid w:val="004B6517"/>
    <w:rsid w:val="004B6576"/>
    <w:rsid w:val="004B6776"/>
    <w:rsid w:val="004B6903"/>
    <w:rsid w:val="004B690C"/>
    <w:rsid w:val="004B693D"/>
    <w:rsid w:val="004B698F"/>
    <w:rsid w:val="004B6ABA"/>
    <w:rsid w:val="004B6CBA"/>
    <w:rsid w:val="004B6D02"/>
    <w:rsid w:val="004B6D9B"/>
    <w:rsid w:val="004B6DEF"/>
    <w:rsid w:val="004B6E5E"/>
    <w:rsid w:val="004B6EF0"/>
    <w:rsid w:val="004B6F58"/>
    <w:rsid w:val="004B6FAE"/>
    <w:rsid w:val="004B71CA"/>
    <w:rsid w:val="004B7292"/>
    <w:rsid w:val="004B72EE"/>
    <w:rsid w:val="004B735C"/>
    <w:rsid w:val="004B759D"/>
    <w:rsid w:val="004B7617"/>
    <w:rsid w:val="004B76EA"/>
    <w:rsid w:val="004B7855"/>
    <w:rsid w:val="004B7886"/>
    <w:rsid w:val="004B78CE"/>
    <w:rsid w:val="004B7B5C"/>
    <w:rsid w:val="004B7B9C"/>
    <w:rsid w:val="004B7BFA"/>
    <w:rsid w:val="004B7D25"/>
    <w:rsid w:val="004B7EDB"/>
    <w:rsid w:val="004B7F12"/>
    <w:rsid w:val="004C00E9"/>
    <w:rsid w:val="004C011C"/>
    <w:rsid w:val="004C0271"/>
    <w:rsid w:val="004C03AB"/>
    <w:rsid w:val="004C03DF"/>
    <w:rsid w:val="004C0432"/>
    <w:rsid w:val="004C0616"/>
    <w:rsid w:val="004C062F"/>
    <w:rsid w:val="004C06F0"/>
    <w:rsid w:val="004C0813"/>
    <w:rsid w:val="004C0909"/>
    <w:rsid w:val="004C0948"/>
    <w:rsid w:val="004C0951"/>
    <w:rsid w:val="004C0B51"/>
    <w:rsid w:val="004C0BAC"/>
    <w:rsid w:val="004C0D63"/>
    <w:rsid w:val="004C0E15"/>
    <w:rsid w:val="004C0EB6"/>
    <w:rsid w:val="004C1104"/>
    <w:rsid w:val="004C1187"/>
    <w:rsid w:val="004C11AE"/>
    <w:rsid w:val="004C1217"/>
    <w:rsid w:val="004C12C7"/>
    <w:rsid w:val="004C1443"/>
    <w:rsid w:val="004C15AB"/>
    <w:rsid w:val="004C16A4"/>
    <w:rsid w:val="004C1718"/>
    <w:rsid w:val="004C1729"/>
    <w:rsid w:val="004C17F7"/>
    <w:rsid w:val="004C189E"/>
    <w:rsid w:val="004C191A"/>
    <w:rsid w:val="004C1A64"/>
    <w:rsid w:val="004C1B9E"/>
    <w:rsid w:val="004C1C46"/>
    <w:rsid w:val="004C1D52"/>
    <w:rsid w:val="004C1DB4"/>
    <w:rsid w:val="004C1DF9"/>
    <w:rsid w:val="004C1E12"/>
    <w:rsid w:val="004C1E3C"/>
    <w:rsid w:val="004C1E60"/>
    <w:rsid w:val="004C1FF2"/>
    <w:rsid w:val="004C2084"/>
    <w:rsid w:val="004C220D"/>
    <w:rsid w:val="004C2269"/>
    <w:rsid w:val="004C230B"/>
    <w:rsid w:val="004C2430"/>
    <w:rsid w:val="004C24AD"/>
    <w:rsid w:val="004C2644"/>
    <w:rsid w:val="004C2697"/>
    <w:rsid w:val="004C28E3"/>
    <w:rsid w:val="004C2922"/>
    <w:rsid w:val="004C2AC6"/>
    <w:rsid w:val="004C2ACD"/>
    <w:rsid w:val="004C2D0F"/>
    <w:rsid w:val="004C2E69"/>
    <w:rsid w:val="004C326A"/>
    <w:rsid w:val="004C32A4"/>
    <w:rsid w:val="004C32D1"/>
    <w:rsid w:val="004C32D9"/>
    <w:rsid w:val="004C3390"/>
    <w:rsid w:val="004C3406"/>
    <w:rsid w:val="004C34BB"/>
    <w:rsid w:val="004C354E"/>
    <w:rsid w:val="004C3678"/>
    <w:rsid w:val="004C36BA"/>
    <w:rsid w:val="004C36DC"/>
    <w:rsid w:val="004C36E6"/>
    <w:rsid w:val="004C3841"/>
    <w:rsid w:val="004C38F4"/>
    <w:rsid w:val="004C395F"/>
    <w:rsid w:val="004C39E9"/>
    <w:rsid w:val="004C3B1D"/>
    <w:rsid w:val="004C3B62"/>
    <w:rsid w:val="004C3C39"/>
    <w:rsid w:val="004C3C3A"/>
    <w:rsid w:val="004C3C70"/>
    <w:rsid w:val="004C3D18"/>
    <w:rsid w:val="004C3EE9"/>
    <w:rsid w:val="004C3F9B"/>
    <w:rsid w:val="004C41EB"/>
    <w:rsid w:val="004C42D2"/>
    <w:rsid w:val="004C43E5"/>
    <w:rsid w:val="004C456D"/>
    <w:rsid w:val="004C479F"/>
    <w:rsid w:val="004C48D1"/>
    <w:rsid w:val="004C48FD"/>
    <w:rsid w:val="004C4AE1"/>
    <w:rsid w:val="004C4C86"/>
    <w:rsid w:val="004C4D09"/>
    <w:rsid w:val="004C4D39"/>
    <w:rsid w:val="004C4D47"/>
    <w:rsid w:val="004C4E1F"/>
    <w:rsid w:val="004C4F19"/>
    <w:rsid w:val="004C50E6"/>
    <w:rsid w:val="004C515E"/>
    <w:rsid w:val="004C531B"/>
    <w:rsid w:val="004C535F"/>
    <w:rsid w:val="004C547B"/>
    <w:rsid w:val="004C5486"/>
    <w:rsid w:val="004C54E2"/>
    <w:rsid w:val="004C5623"/>
    <w:rsid w:val="004C5683"/>
    <w:rsid w:val="004C5898"/>
    <w:rsid w:val="004C5915"/>
    <w:rsid w:val="004C597E"/>
    <w:rsid w:val="004C5DC7"/>
    <w:rsid w:val="004C5E14"/>
    <w:rsid w:val="004C5E89"/>
    <w:rsid w:val="004C5EEB"/>
    <w:rsid w:val="004C6017"/>
    <w:rsid w:val="004C6057"/>
    <w:rsid w:val="004C614E"/>
    <w:rsid w:val="004C621C"/>
    <w:rsid w:val="004C62BB"/>
    <w:rsid w:val="004C64CE"/>
    <w:rsid w:val="004C650A"/>
    <w:rsid w:val="004C657D"/>
    <w:rsid w:val="004C65D7"/>
    <w:rsid w:val="004C66D5"/>
    <w:rsid w:val="004C6804"/>
    <w:rsid w:val="004C6807"/>
    <w:rsid w:val="004C68B0"/>
    <w:rsid w:val="004C6916"/>
    <w:rsid w:val="004C6ACA"/>
    <w:rsid w:val="004C6B0E"/>
    <w:rsid w:val="004C6C5F"/>
    <w:rsid w:val="004C6F74"/>
    <w:rsid w:val="004C6FC2"/>
    <w:rsid w:val="004C71AE"/>
    <w:rsid w:val="004C71FC"/>
    <w:rsid w:val="004C72A3"/>
    <w:rsid w:val="004C72B5"/>
    <w:rsid w:val="004C72E9"/>
    <w:rsid w:val="004C73D0"/>
    <w:rsid w:val="004C750A"/>
    <w:rsid w:val="004C7522"/>
    <w:rsid w:val="004C7537"/>
    <w:rsid w:val="004C7629"/>
    <w:rsid w:val="004C77E6"/>
    <w:rsid w:val="004C78ED"/>
    <w:rsid w:val="004C7930"/>
    <w:rsid w:val="004C7A31"/>
    <w:rsid w:val="004C7BF3"/>
    <w:rsid w:val="004C7C02"/>
    <w:rsid w:val="004C7C16"/>
    <w:rsid w:val="004D0045"/>
    <w:rsid w:val="004D0047"/>
    <w:rsid w:val="004D021B"/>
    <w:rsid w:val="004D0291"/>
    <w:rsid w:val="004D02CD"/>
    <w:rsid w:val="004D037A"/>
    <w:rsid w:val="004D0384"/>
    <w:rsid w:val="004D03AE"/>
    <w:rsid w:val="004D03B8"/>
    <w:rsid w:val="004D03E1"/>
    <w:rsid w:val="004D04E4"/>
    <w:rsid w:val="004D0544"/>
    <w:rsid w:val="004D0549"/>
    <w:rsid w:val="004D057B"/>
    <w:rsid w:val="004D05D1"/>
    <w:rsid w:val="004D06AE"/>
    <w:rsid w:val="004D0A13"/>
    <w:rsid w:val="004D0C6D"/>
    <w:rsid w:val="004D0CF0"/>
    <w:rsid w:val="004D0DC4"/>
    <w:rsid w:val="004D0EDA"/>
    <w:rsid w:val="004D0FF1"/>
    <w:rsid w:val="004D10A5"/>
    <w:rsid w:val="004D10E7"/>
    <w:rsid w:val="004D1213"/>
    <w:rsid w:val="004D123C"/>
    <w:rsid w:val="004D1298"/>
    <w:rsid w:val="004D12F0"/>
    <w:rsid w:val="004D13B7"/>
    <w:rsid w:val="004D1420"/>
    <w:rsid w:val="004D154E"/>
    <w:rsid w:val="004D1576"/>
    <w:rsid w:val="004D1594"/>
    <w:rsid w:val="004D1632"/>
    <w:rsid w:val="004D169F"/>
    <w:rsid w:val="004D16A1"/>
    <w:rsid w:val="004D16D3"/>
    <w:rsid w:val="004D173B"/>
    <w:rsid w:val="004D1800"/>
    <w:rsid w:val="004D1865"/>
    <w:rsid w:val="004D1A33"/>
    <w:rsid w:val="004D1AE2"/>
    <w:rsid w:val="004D1BD8"/>
    <w:rsid w:val="004D1DD1"/>
    <w:rsid w:val="004D1EDF"/>
    <w:rsid w:val="004D1FD4"/>
    <w:rsid w:val="004D2250"/>
    <w:rsid w:val="004D2314"/>
    <w:rsid w:val="004D23C7"/>
    <w:rsid w:val="004D2440"/>
    <w:rsid w:val="004D2489"/>
    <w:rsid w:val="004D268D"/>
    <w:rsid w:val="004D26BC"/>
    <w:rsid w:val="004D2706"/>
    <w:rsid w:val="004D271F"/>
    <w:rsid w:val="004D2772"/>
    <w:rsid w:val="004D27CF"/>
    <w:rsid w:val="004D27DF"/>
    <w:rsid w:val="004D27E4"/>
    <w:rsid w:val="004D289C"/>
    <w:rsid w:val="004D2A41"/>
    <w:rsid w:val="004D2A48"/>
    <w:rsid w:val="004D2A5F"/>
    <w:rsid w:val="004D2AA6"/>
    <w:rsid w:val="004D2B33"/>
    <w:rsid w:val="004D2BEF"/>
    <w:rsid w:val="004D2CD1"/>
    <w:rsid w:val="004D2F17"/>
    <w:rsid w:val="004D2F8B"/>
    <w:rsid w:val="004D2FBA"/>
    <w:rsid w:val="004D2FD1"/>
    <w:rsid w:val="004D3022"/>
    <w:rsid w:val="004D31F8"/>
    <w:rsid w:val="004D32F1"/>
    <w:rsid w:val="004D3396"/>
    <w:rsid w:val="004D343F"/>
    <w:rsid w:val="004D34A2"/>
    <w:rsid w:val="004D34C8"/>
    <w:rsid w:val="004D366B"/>
    <w:rsid w:val="004D3B3B"/>
    <w:rsid w:val="004D3B80"/>
    <w:rsid w:val="004D3B8E"/>
    <w:rsid w:val="004D3B98"/>
    <w:rsid w:val="004D3BA0"/>
    <w:rsid w:val="004D3C25"/>
    <w:rsid w:val="004D3DBD"/>
    <w:rsid w:val="004D3EB5"/>
    <w:rsid w:val="004D3FA2"/>
    <w:rsid w:val="004D416D"/>
    <w:rsid w:val="004D4177"/>
    <w:rsid w:val="004D4188"/>
    <w:rsid w:val="004D4305"/>
    <w:rsid w:val="004D4389"/>
    <w:rsid w:val="004D43FA"/>
    <w:rsid w:val="004D4490"/>
    <w:rsid w:val="004D4661"/>
    <w:rsid w:val="004D46B9"/>
    <w:rsid w:val="004D482C"/>
    <w:rsid w:val="004D487D"/>
    <w:rsid w:val="004D48C2"/>
    <w:rsid w:val="004D4978"/>
    <w:rsid w:val="004D49E4"/>
    <w:rsid w:val="004D4A8E"/>
    <w:rsid w:val="004D4AA8"/>
    <w:rsid w:val="004D4B1D"/>
    <w:rsid w:val="004D4B3D"/>
    <w:rsid w:val="004D4CF1"/>
    <w:rsid w:val="004D4DD4"/>
    <w:rsid w:val="004D4F93"/>
    <w:rsid w:val="004D5019"/>
    <w:rsid w:val="004D5101"/>
    <w:rsid w:val="004D512D"/>
    <w:rsid w:val="004D5152"/>
    <w:rsid w:val="004D51C4"/>
    <w:rsid w:val="004D5306"/>
    <w:rsid w:val="004D549A"/>
    <w:rsid w:val="004D54B9"/>
    <w:rsid w:val="004D5511"/>
    <w:rsid w:val="004D55DC"/>
    <w:rsid w:val="004D56A8"/>
    <w:rsid w:val="004D56FE"/>
    <w:rsid w:val="004D579E"/>
    <w:rsid w:val="004D592C"/>
    <w:rsid w:val="004D5998"/>
    <w:rsid w:val="004D5ABA"/>
    <w:rsid w:val="004D5AD3"/>
    <w:rsid w:val="004D5AD9"/>
    <w:rsid w:val="004D5AF6"/>
    <w:rsid w:val="004D5C73"/>
    <w:rsid w:val="004D5C75"/>
    <w:rsid w:val="004D5C83"/>
    <w:rsid w:val="004D5D6E"/>
    <w:rsid w:val="004D5F0F"/>
    <w:rsid w:val="004D5F82"/>
    <w:rsid w:val="004D602B"/>
    <w:rsid w:val="004D613C"/>
    <w:rsid w:val="004D623B"/>
    <w:rsid w:val="004D63AF"/>
    <w:rsid w:val="004D63FF"/>
    <w:rsid w:val="004D645E"/>
    <w:rsid w:val="004D64DC"/>
    <w:rsid w:val="004D64DE"/>
    <w:rsid w:val="004D6659"/>
    <w:rsid w:val="004D689B"/>
    <w:rsid w:val="004D69E0"/>
    <w:rsid w:val="004D6A00"/>
    <w:rsid w:val="004D6A05"/>
    <w:rsid w:val="004D6B1B"/>
    <w:rsid w:val="004D6BCB"/>
    <w:rsid w:val="004D6CC2"/>
    <w:rsid w:val="004D6DC8"/>
    <w:rsid w:val="004D7018"/>
    <w:rsid w:val="004D701D"/>
    <w:rsid w:val="004D723C"/>
    <w:rsid w:val="004D72E2"/>
    <w:rsid w:val="004D73A6"/>
    <w:rsid w:val="004D73D4"/>
    <w:rsid w:val="004D7470"/>
    <w:rsid w:val="004D7481"/>
    <w:rsid w:val="004D7597"/>
    <w:rsid w:val="004D760B"/>
    <w:rsid w:val="004D79DF"/>
    <w:rsid w:val="004D7AF9"/>
    <w:rsid w:val="004D7B71"/>
    <w:rsid w:val="004D7CBC"/>
    <w:rsid w:val="004D7D19"/>
    <w:rsid w:val="004D7D3A"/>
    <w:rsid w:val="004D7D79"/>
    <w:rsid w:val="004D7D8C"/>
    <w:rsid w:val="004D7EBC"/>
    <w:rsid w:val="004D7EEF"/>
    <w:rsid w:val="004D7F13"/>
    <w:rsid w:val="004D7F33"/>
    <w:rsid w:val="004D7FA1"/>
    <w:rsid w:val="004D7FB5"/>
    <w:rsid w:val="004D7FF6"/>
    <w:rsid w:val="004E02C6"/>
    <w:rsid w:val="004E0335"/>
    <w:rsid w:val="004E0365"/>
    <w:rsid w:val="004E048A"/>
    <w:rsid w:val="004E0730"/>
    <w:rsid w:val="004E08BD"/>
    <w:rsid w:val="004E0A26"/>
    <w:rsid w:val="004E0A57"/>
    <w:rsid w:val="004E0B1A"/>
    <w:rsid w:val="004E0BC5"/>
    <w:rsid w:val="004E0BED"/>
    <w:rsid w:val="004E0D51"/>
    <w:rsid w:val="004E0DEE"/>
    <w:rsid w:val="004E0E2E"/>
    <w:rsid w:val="004E10AA"/>
    <w:rsid w:val="004E114F"/>
    <w:rsid w:val="004E11E7"/>
    <w:rsid w:val="004E1267"/>
    <w:rsid w:val="004E1310"/>
    <w:rsid w:val="004E138F"/>
    <w:rsid w:val="004E14BA"/>
    <w:rsid w:val="004E158F"/>
    <w:rsid w:val="004E1628"/>
    <w:rsid w:val="004E164D"/>
    <w:rsid w:val="004E167F"/>
    <w:rsid w:val="004E16F2"/>
    <w:rsid w:val="004E16F8"/>
    <w:rsid w:val="004E1839"/>
    <w:rsid w:val="004E1B84"/>
    <w:rsid w:val="004E1B8C"/>
    <w:rsid w:val="004E1D3D"/>
    <w:rsid w:val="004E1D72"/>
    <w:rsid w:val="004E1DC7"/>
    <w:rsid w:val="004E1E19"/>
    <w:rsid w:val="004E1E92"/>
    <w:rsid w:val="004E2080"/>
    <w:rsid w:val="004E213B"/>
    <w:rsid w:val="004E2240"/>
    <w:rsid w:val="004E2484"/>
    <w:rsid w:val="004E260E"/>
    <w:rsid w:val="004E2806"/>
    <w:rsid w:val="004E284D"/>
    <w:rsid w:val="004E297C"/>
    <w:rsid w:val="004E2AEF"/>
    <w:rsid w:val="004E2B0A"/>
    <w:rsid w:val="004E2BB4"/>
    <w:rsid w:val="004E2BC1"/>
    <w:rsid w:val="004E2BCB"/>
    <w:rsid w:val="004E2C2A"/>
    <w:rsid w:val="004E2CB5"/>
    <w:rsid w:val="004E2D22"/>
    <w:rsid w:val="004E2E91"/>
    <w:rsid w:val="004E2EB9"/>
    <w:rsid w:val="004E2F3E"/>
    <w:rsid w:val="004E2FA8"/>
    <w:rsid w:val="004E30C3"/>
    <w:rsid w:val="004E315E"/>
    <w:rsid w:val="004E32D1"/>
    <w:rsid w:val="004E33EC"/>
    <w:rsid w:val="004E35EC"/>
    <w:rsid w:val="004E3603"/>
    <w:rsid w:val="004E3781"/>
    <w:rsid w:val="004E3C04"/>
    <w:rsid w:val="004E3C1D"/>
    <w:rsid w:val="004E3C84"/>
    <w:rsid w:val="004E3D8B"/>
    <w:rsid w:val="004E3E82"/>
    <w:rsid w:val="004E3ED4"/>
    <w:rsid w:val="004E3F49"/>
    <w:rsid w:val="004E3FBD"/>
    <w:rsid w:val="004E404C"/>
    <w:rsid w:val="004E4178"/>
    <w:rsid w:val="004E4272"/>
    <w:rsid w:val="004E42D2"/>
    <w:rsid w:val="004E4357"/>
    <w:rsid w:val="004E4474"/>
    <w:rsid w:val="004E4667"/>
    <w:rsid w:val="004E46FC"/>
    <w:rsid w:val="004E4714"/>
    <w:rsid w:val="004E48AC"/>
    <w:rsid w:val="004E48DC"/>
    <w:rsid w:val="004E4951"/>
    <w:rsid w:val="004E496B"/>
    <w:rsid w:val="004E4A1D"/>
    <w:rsid w:val="004E4B25"/>
    <w:rsid w:val="004E4C0D"/>
    <w:rsid w:val="004E4C13"/>
    <w:rsid w:val="004E4E65"/>
    <w:rsid w:val="004E504D"/>
    <w:rsid w:val="004E5299"/>
    <w:rsid w:val="004E5325"/>
    <w:rsid w:val="004E5416"/>
    <w:rsid w:val="004E54AF"/>
    <w:rsid w:val="004E5551"/>
    <w:rsid w:val="004E55E8"/>
    <w:rsid w:val="004E5762"/>
    <w:rsid w:val="004E5782"/>
    <w:rsid w:val="004E58AB"/>
    <w:rsid w:val="004E597A"/>
    <w:rsid w:val="004E5A4D"/>
    <w:rsid w:val="004E5C6D"/>
    <w:rsid w:val="004E5C9D"/>
    <w:rsid w:val="004E5D21"/>
    <w:rsid w:val="004E5DA0"/>
    <w:rsid w:val="004E5E09"/>
    <w:rsid w:val="004E5ECB"/>
    <w:rsid w:val="004E5F64"/>
    <w:rsid w:val="004E5F77"/>
    <w:rsid w:val="004E5FD9"/>
    <w:rsid w:val="004E6223"/>
    <w:rsid w:val="004E63BD"/>
    <w:rsid w:val="004E67B8"/>
    <w:rsid w:val="004E687D"/>
    <w:rsid w:val="004E6914"/>
    <w:rsid w:val="004E6930"/>
    <w:rsid w:val="004E697E"/>
    <w:rsid w:val="004E6983"/>
    <w:rsid w:val="004E69E1"/>
    <w:rsid w:val="004E6A36"/>
    <w:rsid w:val="004E6AE9"/>
    <w:rsid w:val="004E6B30"/>
    <w:rsid w:val="004E6D98"/>
    <w:rsid w:val="004E6DF3"/>
    <w:rsid w:val="004E6E4C"/>
    <w:rsid w:val="004E6E69"/>
    <w:rsid w:val="004E6E72"/>
    <w:rsid w:val="004E6ECB"/>
    <w:rsid w:val="004E7154"/>
    <w:rsid w:val="004E72DD"/>
    <w:rsid w:val="004E7366"/>
    <w:rsid w:val="004E748B"/>
    <w:rsid w:val="004E74A9"/>
    <w:rsid w:val="004E74D4"/>
    <w:rsid w:val="004E75B0"/>
    <w:rsid w:val="004E7623"/>
    <w:rsid w:val="004E7759"/>
    <w:rsid w:val="004E77AB"/>
    <w:rsid w:val="004E791A"/>
    <w:rsid w:val="004E7AA1"/>
    <w:rsid w:val="004E7B26"/>
    <w:rsid w:val="004E7B27"/>
    <w:rsid w:val="004E7BBB"/>
    <w:rsid w:val="004E7BEE"/>
    <w:rsid w:val="004E7F81"/>
    <w:rsid w:val="004E7FA1"/>
    <w:rsid w:val="004E7FB9"/>
    <w:rsid w:val="004F0007"/>
    <w:rsid w:val="004F00B9"/>
    <w:rsid w:val="004F01BC"/>
    <w:rsid w:val="004F01CE"/>
    <w:rsid w:val="004F0496"/>
    <w:rsid w:val="004F04BE"/>
    <w:rsid w:val="004F056A"/>
    <w:rsid w:val="004F0714"/>
    <w:rsid w:val="004F0786"/>
    <w:rsid w:val="004F0793"/>
    <w:rsid w:val="004F07DE"/>
    <w:rsid w:val="004F093F"/>
    <w:rsid w:val="004F0948"/>
    <w:rsid w:val="004F0999"/>
    <w:rsid w:val="004F09A5"/>
    <w:rsid w:val="004F0AE8"/>
    <w:rsid w:val="004F0B17"/>
    <w:rsid w:val="004F0BF6"/>
    <w:rsid w:val="004F0C55"/>
    <w:rsid w:val="004F0C5A"/>
    <w:rsid w:val="004F0D0B"/>
    <w:rsid w:val="004F0DF0"/>
    <w:rsid w:val="004F11D5"/>
    <w:rsid w:val="004F11F7"/>
    <w:rsid w:val="004F122C"/>
    <w:rsid w:val="004F12B5"/>
    <w:rsid w:val="004F12B6"/>
    <w:rsid w:val="004F12CE"/>
    <w:rsid w:val="004F12CF"/>
    <w:rsid w:val="004F13F6"/>
    <w:rsid w:val="004F155B"/>
    <w:rsid w:val="004F1571"/>
    <w:rsid w:val="004F1724"/>
    <w:rsid w:val="004F1855"/>
    <w:rsid w:val="004F1856"/>
    <w:rsid w:val="004F1885"/>
    <w:rsid w:val="004F1A4E"/>
    <w:rsid w:val="004F1B82"/>
    <w:rsid w:val="004F1D13"/>
    <w:rsid w:val="004F1DAC"/>
    <w:rsid w:val="004F1DBA"/>
    <w:rsid w:val="004F1E46"/>
    <w:rsid w:val="004F1E79"/>
    <w:rsid w:val="004F1F3E"/>
    <w:rsid w:val="004F1F50"/>
    <w:rsid w:val="004F1FC4"/>
    <w:rsid w:val="004F2110"/>
    <w:rsid w:val="004F219F"/>
    <w:rsid w:val="004F23E5"/>
    <w:rsid w:val="004F242C"/>
    <w:rsid w:val="004F2598"/>
    <w:rsid w:val="004F27F6"/>
    <w:rsid w:val="004F2900"/>
    <w:rsid w:val="004F2A0C"/>
    <w:rsid w:val="004F2A2A"/>
    <w:rsid w:val="004F2A99"/>
    <w:rsid w:val="004F2A9D"/>
    <w:rsid w:val="004F2CCA"/>
    <w:rsid w:val="004F2F2C"/>
    <w:rsid w:val="004F302B"/>
    <w:rsid w:val="004F317E"/>
    <w:rsid w:val="004F32A7"/>
    <w:rsid w:val="004F3425"/>
    <w:rsid w:val="004F34B1"/>
    <w:rsid w:val="004F35BC"/>
    <w:rsid w:val="004F370D"/>
    <w:rsid w:val="004F3779"/>
    <w:rsid w:val="004F377E"/>
    <w:rsid w:val="004F3C2E"/>
    <w:rsid w:val="004F3CDC"/>
    <w:rsid w:val="004F3D2B"/>
    <w:rsid w:val="004F3E41"/>
    <w:rsid w:val="004F41A4"/>
    <w:rsid w:val="004F41D7"/>
    <w:rsid w:val="004F41DD"/>
    <w:rsid w:val="004F4224"/>
    <w:rsid w:val="004F4471"/>
    <w:rsid w:val="004F44BD"/>
    <w:rsid w:val="004F45BF"/>
    <w:rsid w:val="004F4605"/>
    <w:rsid w:val="004F4614"/>
    <w:rsid w:val="004F470D"/>
    <w:rsid w:val="004F47D1"/>
    <w:rsid w:val="004F4829"/>
    <w:rsid w:val="004F482C"/>
    <w:rsid w:val="004F4967"/>
    <w:rsid w:val="004F49A9"/>
    <w:rsid w:val="004F49DC"/>
    <w:rsid w:val="004F4A41"/>
    <w:rsid w:val="004F4A59"/>
    <w:rsid w:val="004F4AC8"/>
    <w:rsid w:val="004F4BE2"/>
    <w:rsid w:val="004F4C52"/>
    <w:rsid w:val="004F4C82"/>
    <w:rsid w:val="004F4CF3"/>
    <w:rsid w:val="004F4D50"/>
    <w:rsid w:val="004F4DDE"/>
    <w:rsid w:val="004F4E36"/>
    <w:rsid w:val="004F4F14"/>
    <w:rsid w:val="004F50D8"/>
    <w:rsid w:val="004F510C"/>
    <w:rsid w:val="004F5136"/>
    <w:rsid w:val="004F525A"/>
    <w:rsid w:val="004F525B"/>
    <w:rsid w:val="004F530B"/>
    <w:rsid w:val="004F5340"/>
    <w:rsid w:val="004F536B"/>
    <w:rsid w:val="004F5376"/>
    <w:rsid w:val="004F55F7"/>
    <w:rsid w:val="004F56F1"/>
    <w:rsid w:val="004F5960"/>
    <w:rsid w:val="004F5AB1"/>
    <w:rsid w:val="004F5AD0"/>
    <w:rsid w:val="004F5C33"/>
    <w:rsid w:val="004F5D47"/>
    <w:rsid w:val="004F5EBD"/>
    <w:rsid w:val="004F5EF6"/>
    <w:rsid w:val="004F5F8C"/>
    <w:rsid w:val="004F6064"/>
    <w:rsid w:val="004F6072"/>
    <w:rsid w:val="004F6119"/>
    <w:rsid w:val="004F6167"/>
    <w:rsid w:val="004F6174"/>
    <w:rsid w:val="004F61AD"/>
    <w:rsid w:val="004F62B2"/>
    <w:rsid w:val="004F62E2"/>
    <w:rsid w:val="004F62F4"/>
    <w:rsid w:val="004F6410"/>
    <w:rsid w:val="004F6430"/>
    <w:rsid w:val="004F64D4"/>
    <w:rsid w:val="004F653A"/>
    <w:rsid w:val="004F6546"/>
    <w:rsid w:val="004F6582"/>
    <w:rsid w:val="004F660E"/>
    <w:rsid w:val="004F6643"/>
    <w:rsid w:val="004F66EC"/>
    <w:rsid w:val="004F6773"/>
    <w:rsid w:val="004F688E"/>
    <w:rsid w:val="004F68D8"/>
    <w:rsid w:val="004F6AAD"/>
    <w:rsid w:val="004F6B59"/>
    <w:rsid w:val="004F6C15"/>
    <w:rsid w:val="004F6C9B"/>
    <w:rsid w:val="004F6CFD"/>
    <w:rsid w:val="004F6D1B"/>
    <w:rsid w:val="004F6E01"/>
    <w:rsid w:val="004F709A"/>
    <w:rsid w:val="004F70C3"/>
    <w:rsid w:val="004F711F"/>
    <w:rsid w:val="004F73A7"/>
    <w:rsid w:val="004F746B"/>
    <w:rsid w:val="004F7489"/>
    <w:rsid w:val="004F7500"/>
    <w:rsid w:val="004F7561"/>
    <w:rsid w:val="004F75C6"/>
    <w:rsid w:val="004F7867"/>
    <w:rsid w:val="004F7935"/>
    <w:rsid w:val="004F7949"/>
    <w:rsid w:val="004F7A26"/>
    <w:rsid w:val="004F7AB7"/>
    <w:rsid w:val="004F7AC2"/>
    <w:rsid w:val="004F7CAA"/>
    <w:rsid w:val="004F7D92"/>
    <w:rsid w:val="004F7DAF"/>
    <w:rsid w:val="004F7F1F"/>
    <w:rsid w:val="00500078"/>
    <w:rsid w:val="0050032F"/>
    <w:rsid w:val="00500365"/>
    <w:rsid w:val="00500393"/>
    <w:rsid w:val="0050042A"/>
    <w:rsid w:val="005005DE"/>
    <w:rsid w:val="005007AE"/>
    <w:rsid w:val="00500889"/>
    <w:rsid w:val="005008E4"/>
    <w:rsid w:val="00500A44"/>
    <w:rsid w:val="00500A55"/>
    <w:rsid w:val="00500C5C"/>
    <w:rsid w:val="00500E40"/>
    <w:rsid w:val="00500E7A"/>
    <w:rsid w:val="00500F8A"/>
    <w:rsid w:val="00500FA7"/>
    <w:rsid w:val="00501072"/>
    <w:rsid w:val="005010A7"/>
    <w:rsid w:val="005010DC"/>
    <w:rsid w:val="005012E6"/>
    <w:rsid w:val="0050135E"/>
    <w:rsid w:val="0050139A"/>
    <w:rsid w:val="00501667"/>
    <w:rsid w:val="005016E9"/>
    <w:rsid w:val="00501743"/>
    <w:rsid w:val="005017F0"/>
    <w:rsid w:val="005018A9"/>
    <w:rsid w:val="005018B7"/>
    <w:rsid w:val="00501953"/>
    <w:rsid w:val="00501AC7"/>
    <w:rsid w:val="00501AE9"/>
    <w:rsid w:val="00501AED"/>
    <w:rsid w:val="00501BDC"/>
    <w:rsid w:val="00501C2A"/>
    <w:rsid w:val="00501C75"/>
    <w:rsid w:val="00501EC1"/>
    <w:rsid w:val="00501F74"/>
    <w:rsid w:val="00501FC3"/>
    <w:rsid w:val="005020B0"/>
    <w:rsid w:val="005020C9"/>
    <w:rsid w:val="005021A7"/>
    <w:rsid w:val="0050223B"/>
    <w:rsid w:val="0050235F"/>
    <w:rsid w:val="005023C1"/>
    <w:rsid w:val="00502482"/>
    <w:rsid w:val="00502616"/>
    <w:rsid w:val="005026B4"/>
    <w:rsid w:val="00502883"/>
    <w:rsid w:val="00502999"/>
    <w:rsid w:val="005029CB"/>
    <w:rsid w:val="00502A5F"/>
    <w:rsid w:val="00502B12"/>
    <w:rsid w:val="00502B5A"/>
    <w:rsid w:val="00502ED7"/>
    <w:rsid w:val="00502FB6"/>
    <w:rsid w:val="00502FE6"/>
    <w:rsid w:val="00503072"/>
    <w:rsid w:val="0050323F"/>
    <w:rsid w:val="0050327D"/>
    <w:rsid w:val="0050331A"/>
    <w:rsid w:val="0050333C"/>
    <w:rsid w:val="0050339F"/>
    <w:rsid w:val="005034A7"/>
    <w:rsid w:val="00503518"/>
    <w:rsid w:val="0050361C"/>
    <w:rsid w:val="005037A5"/>
    <w:rsid w:val="005038DD"/>
    <w:rsid w:val="00503981"/>
    <w:rsid w:val="005039A5"/>
    <w:rsid w:val="00503AAC"/>
    <w:rsid w:val="00503ADD"/>
    <w:rsid w:val="00503B56"/>
    <w:rsid w:val="00503BEB"/>
    <w:rsid w:val="00503C2A"/>
    <w:rsid w:val="00503D20"/>
    <w:rsid w:val="00503F93"/>
    <w:rsid w:val="00503FAD"/>
    <w:rsid w:val="00504282"/>
    <w:rsid w:val="00504290"/>
    <w:rsid w:val="0050432E"/>
    <w:rsid w:val="0050442E"/>
    <w:rsid w:val="005045E3"/>
    <w:rsid w:val="00504638"/>
    <w:rsid w:val="005046DE"/>
    <w:rsid w:val="00504763"/>
    <w:rsid w:val="005047AE"/>
    <w:rsid w:val="00504802"/>
    <w:rsid w:val="00504816"/>
    <w:rsid w:val="00504920"/>
    <w:rsid w:val="005049B1"/>
    <w:rsid w:val="00504A36"/>
    <w:rsid w:val="00504C13"/>
    <w:rsid w:val="00504C15"/>
    <w:rsid w:val="00504CD2"/>
    <w:rsid w:val="00504DE5"/>
    <w:rsid w:val="00504E06"/>
    <w:rsid w:val="00504F7B"/>
    <w:rsid w:val="00504FA9"/>
    <w:rsid w:val="00505032"/>
    <w:rsid w:val="00505190"/>
    <w:rsid w:val="0050536F"/>
    <w:rsid w:val="00505477"/>
    <w:rsid w:val="005054B5"/>
    <w:rsid w:val="005054FC"/>
    <w:rsid w:val="00505587"/>
    <w:rsid w:val="00505593"/>
    <w:rsid w:val="005057C0"/>
    <w:rsid w:val="005057E3"/>
    <w:rsid w:val="005057FB"/>
    <w:rsid w:val="00505A9F"/>
    <w:rsid w:val="00505B09"/>
    <w:rsid w:val="00505B62"/>
    <w:rsid w:val="00505B65"/>
    <w:rsid w:val="00505C18"/>
    <w:rsid w:val="00505C5B"/>
    <w:rsid w:val="00505CDD"/>
    <w:rsid w:val="00505D31"/>
    <w:rsid w:val="00505D80"/>
    <w:rsid w:val="00505EE9"/>
    <w:rsid w:val="00505F8A"/>
    <w:rsid w:val="00506078"/>
    <w:rsid w:val="0050615B"/>
    <w:rsid w:val="005061ED"/>
    <w:rsid w:val="00506227"/>
    <w:rsid w:val="00506448"/>
    <w:rsid w:val="00506531"/>
    <w:rsid w:val="0050657E"/>
    <w:rsid w:val="00506647"/>
    <w:rsid w:val="00506872"/>
    <w:rsid w:val="005068B2"/>
    <w:rsid w:val="00506A62"/>
    <w:rsid w:val="00506AFF"/>
    <w:rsid w:val="00506C6A"/>
    <w:rsid w:val="00506C88"/>
    <w:rsid w:val="00506C95"/>
    <w:rsid w:val="00506EAC"/>
    <w:rsid w:val="00506F90"/>
    <w:rsid w:val="00506FE6"/>
    <w:rsid w:val="005070EC"/>
    <w:rsid w:val="005071BD"/>
    <w:rsid w:val="005071FE"/>
    <w:rsid w:val="005072C7"/>
    <w:rsid w:val="00507315"/>
    <w:rsid w:val="00507417"/>
    <w:rsid w:val="00507595"/>
    <w:rsid w:val="005076B6"/>
    <w:rsid w:val="005076C5"/>
    <w:rsid w:val="005076EE"/>
    <w:rsid w:val="00507815"/>
    <w:rsid w:val="005078CF"/>
    <w:rsid w:val="00507A21"/>
    <w:rsid w:val="00507A7D"/>
    <w:rsid w:val="00507A84"/>
    <w:rsid w:val="00507AAB"/>
    <w:rsid w:val="00507B63"/>
    <w:rsid w:val="00507C7E"/>
    <w:rsid w:val="00507DAF"/>
    <w:rsid w:val="00507F08"/>
    <w:rsid w:val="00510027"/>
    <w:rsid w:val="005100E4"/>
    <w:rsid w:val="005101A5"/>
    <w:rsid w:val="005103A8"/>
    <w:rsid w:val="005103D5"/>
    <w:rsid w:val="00510450"/>
    <w:rsid w:val="005104A2"/>
    <w:rsid w:val="005104E5"/>
    <w:rsid w:val="0051054C"/>
    <w:rsid w:val="0051059B"/>
    <w:rsid w:val="005107C0"/>
    <w:rsid w:val="005107FB"/>
    <w:rsid w:val="00510961"/>
    <w:rsid w:val="00510A52"/>
    <w:rsid w:val="00510A81"/>
    <w:rsid w:val="00510B21"/>
    <w:rsid w:val="00510BDC"/>
    <w:rsid w:val="00510CEB"/>
    <w:rsid w:val="00510EA5"/>
    <w:rsid w:val="00510EEA"/>
    <w:rsid w:val="00510F0B"/>
    <w:rsid w:val="005112BF"/>
    <w:rsid w:val="005112D1"/>
    <w:rsid w:val="005113C6"/>
    <w:rsid w:val="00511465"/>
    <w:rsid w:val="005115CE"/>
    <w:rsid w:val="005115E8"/>
    <w:rsid w:val="005115F0"/>
    <w:rsid w:val="0051176A"/>
    <w:rsid w:val="005117FD"/>
    <w:rsid w:val="00511A4D"/>
    <w:rsid w:val="00511A85"/>
    <w:rsid w:val="00511AA5"/>
    <w:rsid w:val="00511AE9"/>
    <w:rsid w:val="00511B5A"/>
    <w:rsid w:val="00511BD6"/>
    <w:rsid w:val="00511C5B"/>
    <w:rsid w:val="00511C86"/>
    <w:rsid w:val="00511E09"/>
    <w:rsid w:val="00511E49"/>
    <w:rsid w:val="00511F8E"/>
    <w:rsid w:val="00511FEA"/>
    <w:rsid w:val="00512009"/>
    <w:rsid w:val="00512056"/>
    <w:rsid w:val="005120E9"/>
    <w:rsid w:val="0051210D"/>
    <w:rsid w:val="0051211D"/>
    <w:rsid w:val="00512131"/>
    <w:rsid w:val="00512180"/>
    <w:rsid w:val="00512382"/>
    <w:rsid w:val="00512473"/>
    <w:rsid w:val="005125E7"/>
    <w:rsid w:val="00512675"/>
    <w:rsid w:val="005126D7"/>
    <w:rsid w:val="00512779"/>
    <w:rsid w:val="0051279C"/>
    <w:rsid w:val="005127A6"/>
    <w:rsid w:val="005128AF"/>
    <w:rsid w:val="0051292A"/>
    <w:rsid w:val="00512988"/>
    <w:rsid w:val="00512A9F"/>
    <w:rsid w:val="00512C70"/>
    <w:rsid w:val="00512CF4"/>
    <w:rsid w:val="00512E16"/>
    <w:rsid w:val="00512E2E"/>
    <w:rsid w:val="00512FD6"/>
    <w:rsid w:val="00513183"/>
    <w:rsid w:val="00513227"/>
    <w:rsid w:val="005132AE"/>
    <w:rsid w:val="005135D5"/>
    <w:rsid w:val="005138EF"/>
    <w:rsid w:val="00513AAD"/>
    <w:rsid w:val="00513B82"/>
    <w:rsid w:val="00513CA8"/>
    <w:rsid w:val="00513CFB"/>
    <w:rsid w:val="00513E09"/>
    <w:rsid w:val="00513E3E"/>
    <w:rsid w:val="00513F3D"/>
    <w:rsid w:val="00513F66"/>
    <w:rsid w:val="005140D0"/>
    <w:rsid w:val="005140FD"/>
    <w:rsid w:val="00514157"/>
    <w:rsid w:val="0051420A"/>
    <w:rsid w:val="00514282"/>
    <w:rsid w:val="0051429C"/>
    <w:rsid w:val="005145DD"/>
    <w:rsid w:val="00514659"/>
    <w:rsid w:val="0051468B"/>
    <w:rsid w:val="005146E8"/>
    <w:rsid w:val="005146EB"/>
    <w:rsid w:val="0051490F"/>
    <w:rsid w:val="005149E9"/>
    <w:rsid w:val="00514A7A"/>
    <w:rsid w:val="00514B84"/>
    <w:rsid w:val="00514BE8"/>
    <w:rsid w:val="00514CAC"/>
    <w:rsid w:val="00514D37"/>
    <w:rsid w:val="00514D82"/>
    <w:rsid w:val="00514F01"/>
    <w:rsid w:val="00515087"/>
    <w:rsid w:val="005150D3"/>
    <w:rsid w:val="00515155"/>
    <w:rsid w:val="00515171"/>
    <w:rsid w:val="005152CB"/>
    <w:rsid w:val="00515396"/>
    <w:rsid w:val="005153EB"/>
    <w:rsid w:val="0051552D"/>
    <w:rsid w:val="005155A3"/>
    <w:rsid w:val="005157FE"/>
    <w:rsid w:val="005159F4"/>
    <w:rsid w:val="00515A33"/>
    <w:rsid w:val="00515A41"/>
    <w:rsid w:val="00515ABC"/>
    <w:rsid w:val="00515AD3"/>
    <w:rsid w:val="00515B39"/>
    <w:rsid w:val="00515BEF"/>
    <w:rsid w:val="00515C92"/>
    <w:rsid w:val="00515CB7"/>
    <w:rsid w:val="00515CDA"/>
    <w:rsid w:val="00515DF0"/>
    <w:rsid w:val="00515E43"/>
    <w:rsid w:val="00515ED8"/>
    <w:rsid w:val="00515F48"/>
    <w:rsid w:val="00515F74"/>
    <w:rsid w:val="00516101"/>
    <w:rsid w:val="005163B7"/>
    <w:rsid w:val="005164C4"/>
    <w:rsid w:val="005164D0"/>
    <w:rsid w:val="005164E8"/>
    <w:rsid w:val="005165A4"/>
    <w:rsid w:val="00516652"/>
    <w:rsid w:val="005167C4"/>
    <w:rsid w:val="0051684B"/>
    <w:rsid w:val="005168A6"/>
    <w:rsid w:val="00516909"/>
    <w:rsid w:val="005169F9"/>
    <w:rsid w:val="00516A67"/>
    <w:rsid w:val="00516A71"/>
    <w:rsid w:val="00516A8A"/>
    <w:rsid w:val="00516B40"/>
    <w:rsid w:val="00516B6C"/>
    <w:rsid w:val="00516CD6"/>
    <w:rsid w:val="00516ECA"/>
    <w:rsid w:val="00517009"/>
    <w:rsid w:val="0051712D"/>
    <w:rsid w:val="00517149"/>
    <w:rsid w:val="005171A0"/>
    <w:rsid w:val="00517214"/>
    <w:rsid w:val="005172BE"/>
    <w:rsid w:val="00517333"/>
    <w:rsid w:val="005173AB"/>
    <w:rsid w:val="00517407"/>
    <w:rsid w:val="005176BF"/>
    <w:rsid w:val="0051797A"/>
    <w:rsid w:val="00517AE2"/>
    <w:rsid w:val="00517B80"/>
    <w:rsid w:val="00517EEC"/>
    <w:rsid w:val="00517F0B"/>
    <w:rsid w:val="00517F13"/>
    <w:rsid w:val="00517F31"/>
    <w:rsid w:val="00520024"/>
    <w:rsid w:val="00520137"/>
    <w:rsid w:val="00520205"/>
    <w:rsid w:val="005203C5"/>
    <w:rsid w:val="005203D4"/>
    <w:rsid w:val="005203E8"/>
    <w:rsid w:val="005207AD"/>
    <w:rsid w:val="005207F5"/>
    <w:rsid w:val="0052094B"/>
    <w:rsid w:val="005209A4"/>
    <w:rsid w:val="005209A7"/>
    <w:rsid w:val="005209DF"/>
    <w:rsid w:val="00520C19"/>
    <w:rsid w:val="00520C42"/>
    <w:rsid w:val="00520C45"/>
    <w:rsid w:val="00520CD2"/>
    <w:rsid w:val="00520CF9"/>
    <w:rsid w:val="00520EBC"/>
    <w:rsid w:val="00520F11"/>
    <w:rsid w:val="00521022"/>
    <w:rsid w:val="005210DF"/>
    <w:rsid w:val="005210E8"/>
    <w:rsid w:val="00521180"/>
    <w:rsid w:val="00521360"/>
    <w:rsid w:val="005216F9"/>
    <w:rsid w:val="005216FE"/>
    <w:rsid w:val="00521838"/>
    <w:rsid w:val="00521855"/>
    <w:rsid w:val="00521884"/>
    <w:rsid w:val="00521919"/>
    <w:rsid w:val="00521970"/>
    <w:rsid w:val="005219A2"/>
    <w:rsid w:val="00521B55"/>
    <w:rsid w:val="00521BAA"/>
    <w:rsid w:val="00521BB9"/>
    <w:rsid w:val="00521BDC"/>
    <w:rsid w:val="00521C81"/>
    <w:rsid w:val="00521D07"/>
    <w:rsid w:val="00521DEA"/>
    <w:rsid w:val="00521ED4"/>
    <w:rsid w:val="00521EE4"/>
    <w:rsid w:val="00521EE8"/>
    <w:rsid w:val="00521FE8"/>
    <w:rsid w:val="005220AF"/>
    <w:rsid w:val="005221EB"/>
    <w:rsid w:val="00522325"/>
    <w:rsid w:val="0052232D"/>
    <w:rsid w:val="00522487"/>
    <w:rsid w:val="00522515"/>
    <w:rsid w:val="00522673"/>
    <w:rsid w:val="00522735"/>
    <w:rsid w:val="00522761"/>
    <w:rsid w:val="005227DD"/>
    <w:rsid w:val="00522832"/>
    <w:rsid w:val="0052296B"/>
    <w:rsid w:val="00522ACF"/>
    <w:rsid w:val="00522AE5"/>
    <w:rsid w:val="00522BC4"/>
    <w:rsid w:val="00522DC1"/>
    <w:rsid w:val="00522E78"/>
    <w:rsid w:val="00522FAE"/>
    <w:rsid w:val="0052308F"/>
    <w:rsid w:val="005230A0"/>
    <w:rsid w:val="005230B6"/>
    <w:rsid w:val="00523132"/>
    <w:rsid w:val="0052325C"/>
    <w:rsid w:val="005232B1"/>
    <w:rsid w:val="00523356"/>
    <w:rsid w:val="005235DE"/>
    <w:rsid w:val="005236D3"/>
    <w:rsid w:val="005236D4"/>
    <w:rsid w:val="005236DE"/>
    <w:rsid w:val="00523947"/>
    <w:rsid w:val="00523A38"/>
    <w:rsid w:val="00523ADC"/>
    <w:rsid w:val="00523B8B"/>
    <w:rsid w:val="00523BDF"/>
    <w:rsid w:val="00523C38"/>
    <w:rsid w:val="00523C7D"/>
    <w:rsid w:val="00523EDC"/>
    <w:rsid w:val="00523EEB"/>
    <w:rsid w:val="00524216"/>
    <w:rsid w:val="0052424D"/>
    <w:rsid w:val="0052446B"/>
    <w:rsid w:val="005244F0"/>
    <w:rsid w:val="005245A2"/>
    <w:rsid w:val="0052498F"/>
    <w:rsid w:val="0052499F"/>
    <w:rsid w:val="00524A12"/>
    <w:rsid w:val="00524A34"/>
    <w:rsid w:val="00524ABE"/>
    <w:rsid w:val="00524C28"/>
    <w:rsid w:val="00524C61"/>
    <w:rsid w:val="00524CB1"/>
    <w:rsid w:val="00525056"/>
    <w:rsid w:val="005250CC"/>
    <w:rsid w:val="005251B5"/>
    <w:rsid w:val="00525376"/>
    <w:rsid w:val="005253DC"/>
    <w:rsid w:val="0052544F"/>
    <w:rsid w:val="005254D0"/>
    <w:rsid w:val="00525632"/>
    <w:rsid w:val="00525734"/>
    <w:rsid w:val="005257C4"/>
    <w:rsid w:val="00525823"/>
    <w:rsid w:val="00525924"/>
    <w:rsid w:val="00525B5D"/>
    <w:rsid w:val="00525BE3"/>
    <w:rsid w:val="00525C10"/>
    <w:rsid w:val="00525D11"/>
    <w:rsid w:val="00525D8C"/>
    <w:rsid w:val="00525E74"/>
    <w:rsid w:val="00525F68"/>
    <w:rsid w:val="005260EB"/>
    <w:rsid w:val="00526183"/>
    <w:rsid w:val="00526322"/>
    <w:rsid w:val="00526338"/>
    <w:rsid w:val="0052640E"/>
    <w:rsid w:val="00526502"/>
    <w:rsid w:val="00526581"/>
    <w:rsid w:val="005265C3"/>
    <w:rsid w:val="005265C7"/>
    <w:rsid w:val="00526729"/>
    <w:rsid w:val="00526740"/>
    <w:rsid w:val="0052682A"/>
    <w:rsid w:val="005268AA"/>
    <w:rsid w:val="00526913"/>
    <w:rsid w:val="0052697B"/>
    <w:rsid w:val="00526990"/>
    <w:rsid w:val="00526A44"/>
    <w:rsid w:val="00526A52"/>
    <w:rsid w:val="00526B92"/>
    <w:rsid w:val="00526BCF"/>
    <w:rsid w:val="00526CC6"/>
    <w:rsid w:val="00526E12"/>
    <w:rsid w:val="00526EEC"/>
    <w:rsid w:val="00526F83"/>
    <w:rsid w:val="005270E1"/>
    <w:rsid w:val="00527196"/>
    <w:rsid w:val="0052726A"/>
    <w:rsid w:val="0052735D"/>
    <w:rsid w:val="00527393"/>
    <w:rsid w:val="0052746E"/>
    <w:rsid w:val="005274B0"/>
    <w:rsid w:val="00527738"/>
    <w:rsid w:val="005277CC"/>
    <w:rsid w:val="005278C6"/>
    <w:rsid w:val="00527939"/>
    <w:rsid w:val="00527950"/>
    <w:rsid w:val="00527AE4"/>
    <w:rsid w:val="00527B16"/>
    <w:rsid w:val="00527DA9"/>
    <w:rsid w:val="00527DB7"/>
    <w:rsid w:val="00527DB8"/>
    <w:rsid w:val="00527F0D"/>
    <w:rsid w:val="00527FB2"/>
    <w:rsid w:val="005300D5"/>
    <w:rsid w:val="0053019A"/>
    <w:rsid w:val="005301FC"/>
    <w:rsid w:val="00530240"/>
    <w:rsid w:val="005302A1"/>
    <w:rsid w:val="00530522"/>
    <w:rsid w:val="00530711"/>
    <w:rsid w:val="00530816"/>
    <w:rsid w:val="00530B6C"/>
    <w:rsid w:val="00530B7D"/>
    <w:rsid w:val="00530B9B"/>
    <w:rsid w:val="00530BA6"/>
    <w:rsid w:val="00530DC6"/>
    <w:rsid w:val="00530F7B"/>
    <w:rsid w:val="00530FD2"/>
    <w:rsid w:val="005310EC"/>
    <w:rsid w:val="00531112"/>
    <w:rsid w:val="0053117F"/>
    <w:rsid w:val="00531185"/>
    <w:rsid w:val="005312C7"/>
    <w:rsid w:val="005313BD"/>
    <w:rsid w:val="005314F7"/>
    <w:rsid w:val="0053152C"/>
    <w:rsid w:val="005316C2"/>
    <w:rsid w:val="00531780"/>
    <w:rsid w:val="005319C1"/>
    <w:rsid w:val="005319FE"/>
    <w:rsid w:val="00531B7C"/>
    <w:rsid w:val="00531BBD"/>
    <w:rsid w:val="00531D28"/>
    <w:rsid w:val="00531EBD"/>
    <w:rsid w:val="00531F47"/>
    <w:rsid w:val="0053207D"/>
    <w:rsid w:val="00532266"/>
    <w:rsid w:val="005322C1"/>
    <w:rsid w:val="005323D3"/>
    <w:rsid w:val="005324F7"/>
    <w:rsid w:val="0053255E"/>
    <w:rsid w:val="00532671"/>
    <w:rsid w:val="00532841"/>
    <w:rsid w:val="0053292A"/>
    <w:rsid w:val="00532C00"/>
    <w:rsid w:val="00532CB5"/>
    <w:rsid w:val="00532D3C"/>
    <w:rsid w:val="00532ED3"/>
    <w:rsid w:val="00532FE9"/>
    <w:rsid w:val="00533182"/>
    <w:rsid w:val="005331C7"/>
    <w:rsid w:val="00533207"/>
    <w:rsid w:val="0053322F"/>
    <w:rsid w:val="00533238"/>
    <w:rsid w:val="00533329"/>
    <w:rsid w:val="0053342E"/>
    <w:rsid w:val="0053372E"/>
    <w:rsid w:val="00533788"/>
    <w:rsid w:val="005339DE"/>
    <w:rsid w:val="00533B67"/>
    <w:rsid w:val="00533BEC"/>
    <w:rsid w:val="00533D68"/>
    <w:rsid w:val="00533DDE"/>
    <w:rsid w:val="00533FAC"/>
    <w:rsid w:val="005340AB"/>
    <w:rsid w:val="005342B0"/>
    <w:rsid w:val="00534335"/>
    <w:rsid w:val="0053433F"/>
    <w:rsid w:val="005343CE"/>
    <w:rsid w:val="00534406"/>
    <w:rsid w:val="0053441E"/>
    <w:rsid w:val="00534474"/>
    <w:rsid w:val="005344E1"/>
    <w:rsid w:val="0053459E"/>
    <w:rsid w:val="005347BB"/>
    <w:rsid w:val="00534927"/>
    <w:rsid w:val="00534A19"/>
    <w:rsid w:val="00534D27"/>
    <w:rsid w:val="00534E4D"/>
    <w:rsid w:val="00534F27"/>
    <w:rsid w:val="00534F97"/>
    <w:rsid w:val="0053505B"/>
    <w:rsid w:val="00535152"/>
    <w:rsid w:val="00535182"/>
    <w:rsid w:val="005352BE"/>
    <w:rsid w:val="00535375"/>
    <w:rsid w:val="005353DF"/>
    <w:rsid w:val="005353E0"/>
    <w:rsid w:val="005355A3"/>
    <w:rsid w:val="005355EA"/>
    <w:rsid w:val="0053572E"/>
    <w:rsid w:val="00535913"/>
    <w:rsid w:val="00535947"/>
    <w:rsid w:val="005359CC"/>
    <w:rsid w:val="00535A97"/>
    <w:rsid w:val="00535ABE"/>
    <w:rsid w:val="00535EF2"/>
    <w:rsid w:val="00535F7E"/>
    <w:rsid w:val="00535F86"/>
    <w:rsid w:val="00536119"/>
    <w:rsid w:val="0053615A"/>
    <w:rsid w:val="00536180"/>
    <w:rsid w:val="005361BE"/>
    <w:rsid w:val="005362B5"/>
    <w:rsid w:val="00536415"/>
    <w:rsid w:val="00536542"/>
    <w:rsid w:val="00536547"/>
    <w:rsid w:val="005366DA"/>
    <w:rsid w:val="00536714"/>
    <w:rsid w:val="00536735"/>
    <w:rsid w:val="005367D3"/>
    <w:rsid w:val="005369A3"/>
    <w:rsid w:val="00536A30"/>
    <w:rsid w:val="00536B06"/>
    <w:rsid w:val="00536C70"/>
    <w:rsid w:val="00536E49"/>
    <w:rsid w:val="00536EC4"/>
    <w:rsid w:val="00536EF0"/>
    <w:rsid w:val="005370CF"/>
    <w:rsid w:val="005371A4"/>
    <w:rsid w:val="005371E9"/>
    <w:rsid w:val="005372E8"/>
    <w:rsid w:val="00537360"/>
    <w:rsid w:val="005374A8"/>
    <w:rsid w:val="00537570"/>
    <w:rsid w:val="005375DF"/>
    <w:rsid w:val="005376A3"/>
    <w:rsid w:val="005376EB"/>
    <w:rsid w:val="00537850"/>
    <w:rsid w:val="00537A30"/>
    <w:rsid w:val="00537A87"/>
    <w:rsid w:val="00537B6B"/>
    <w:rsid w:val="00537B92"/>
    <w:rsid w:val="00537BDD"/>
    <w:rsid w:val="00537C68"/>
    <w:rsid w:val="00537D64"/>
    <w:rsid w:val="00537D94"/>
    <w:rsid w:val="00537D98"/>
    <w:rsid w:val="00537D9B"/>
    <w:rsid w:val="00537DFB"/>
    <w:rsid w:val="00537FD0"/>
    <w:rsid w:val="00540002"/>
    <w:rsid w:val="005402A0"/>
    <w:rsid w:val="00540328"/>
    <w:rsid w:val="0054056A"/>
    <w:rsid w:val="00540661"/>
    <w:rsid w:val="005407C2"/>
    <w:rsid w:val="00540834"/>
    <w:rsid w:val="0054083F"/>
    <w:rsid w:val="00540849"/>
    <w:rsid w:val="0054088F"/>
    <w:rsid w:val="00540901"/>
    <w:rsid w:val="00540B30"/>
    <w:rsid w:val="00540B3E"/>
    <w:rsid w:val="00540B8B"/>
    <w:rsid w:val="00540BE7"/>
    <w:rsid w:val="00540D9A"/>
    <w:rsid w:val="00540E9E"/>
    <w:rsid w:val="00540EE4"/>
    <w:rsid w:val="00541002"/>
    <w:rsid w:val="0054105E"/>
    <w:rsid w:val="00541210"/>
    <w:rsid w:val="005412BC"/>
    <w:rsid w:val="005412BD"/>
    <w:rsid w:val="005413E7"/>
    <w:rsid w:val="00541515"/>
    <w:rsid w:val="00541636"/>
    <w:rsid w:val="00541686"/>
    <w:rsid w:val="00541BC3"/>
    <w:rsid w:val="00541BFB"/>
    <w:rsid w:val="00541C14"/>
    <w:rsid w:val="00541DE8"/>
    <w:rsid w:val="00541E07"/>
    <w:rsid w:val="00541E14"/>
    <w:rsid w:val="00541E54"/>
    <w:rsid w:val="00541F18"/>
    <w:rsid w:val="005424F3"/>
    <w:rsid w:val="00542553"/>
    <w:rsid w:val="00542584"/>
    <w:rsid w:val="005425B4"/>
    <w:rsid w:val="005425C3"/>
    <w:rsid w:val="005427E7"/>
    <w:rsid w:val="00542802"/>
    <w:rsid w:val="00542A19"/>
    <w:rsid w:val="00542A9F"/>
    <w:rsid w:val="00542F07"/>
    <w:rsid w:val="00542F43"/>
    <w:rsid w:val="00542F88"/>
    <w:rsid w:val="00542FA5"/>
    <w:rsid w:val="00543121"/>
    <w:rsid w:val="00543252"/>
    <w:rsid w:val="005432BB"/>
    <w:rsid w:val="0054333E"/>
    <w:rsid w:val="0054358B"/>
    <w:rsid w:val="00543598"/>
    <w:rsid w:val="00543721"/>
    <w:rsid w:val="005437AC"/>
    <w:rsid w:val="005437D3"/>
    <w:rsid w:val="005438F8"/>
    <w:rsid w:val="00543908"/>
    <w:rsid w:val="005439CD"/>
    <w:rsid w:val="00543B68"/>
    <w:rsid w:val="00543BBD"/>
    <w:rsid w:val="00543BE1"/>
    <w:rsid w:val="00543C57"/>
    <w:rsid w:val="00543CDA"/>
    <w:rsid w:val="00543D96"/>
    <w:rsid w:val="00543E85"/>
    <w:rsid w:val="00543F37"/>
    <w:rsid w:val="00543F42"/>
    <w:rsid w:val="0054420E"/>
    <w:rsid w:val="0054434C"/>
    <w:rsid w:val="00544459"/>
    <w:rsid w:val="005447B4"/>
    <w:rsid w:val="00544820"/>
    <w:rsid w:val="0054486B"/>
    <w:rsid w:val="0054494C"/>
    <w:rsid w:val="0054496A"/>
    <w:rsid w:val="00544B94"/>
    <w:rsid w:val="00544C59"/>
    <w:rsid w:val="00544C93"/>
    <w:rsid w:val="00544D21"/>
    <w:rsid w:val="00544D26"/>
    <w:rsid w:val="00544D54"/>
    <w:rsid w:val="00544DC3"/>
    <w:rsid w:val="00544E67"/>
    <w:rsid w:val="00544EDC"/>
    <w:rsid w:val="00544F96"/>
    <w:rsid w:val="00545071"/>
    <w:rsid w:val="0054525E"/>
    <w:rsid w:val="00545377"/>
    <w:rsid w:val="005453CF"/>
    <w:rsid w:val="00545407"/>
    <w:rsid w:val="005455FF"/>
    <w:rsid w:val="005456CC"/>
    <w:rsid w:val="005456CE"/>
    <w:rsid w:val="00545880"/>
    <w:rsid w:val="0054594D"/>
    <w:rsid w:val="005459CF"/>
    <w:rsid w:val="005459D0"/>
    <w:rsid w:val="00545BB9"/>
    <w:rsid w:val="00545DFE"/>
    <w:rsid w:val="00545E03"/>
    <w:rsid w:val="00545E83"/>
    <w:rsid w:val="00545FE0"/>
    <w:rsid w:val="00546134"/>
    <w:rsid w:val="00546365"/>
    <w:rsid w:val="005463F8"/>
    <w:rsid w:val="00546423"/>
    <w:rsid w:val="005464AD"/>
    <w:rsid w:val="005465F5"/>
    <w:rsid w:val="00546720"/>
    <w:rsid w:val="005467D5"/>
    <w:rsid w:val="00546828"/>
    <w:rsid w:val="00546932"/>
    <w:rsid w:val="00546965"/>
    <w:rsid w:val="00546B0C"/>
    <w:rsid w:val="00546C62"/>
    <w:rsid w:val="00546D5F"/>
    <w:rsid w:val="00546E56"/>
    <w:rsid w:val="00546E73"/>
    <w:rsid w:val="00546EA9"/>
    <w:rsid w:val="00547056"/>
    <w:rsid w:val="005470AD"/>
    <w:rsid w:val="00547120"/>
    <w:rsid w:val="00547128"/>
    <w:rsid w:val="005472F9"/>
    <w:rsid w:val="00547341"/>
    <w:rsid w:val="00547353"/>
    <w:rsid w:val="00547415"/>
    <w:rsid w:val="00547495"/>
    <w:rsid w:val="005474EC"/>
    <w:rsid w:val="005474F0"/>
    <w:rsid w:val="005475AE"/>
    <w:rsid w:val="005475DF"/>
    <w:rsid w:val="00547696"/>
    <w:rsid w:val="00547837"/>
    <w:rsid w:val="00547878"/>
    <w:rsid w:val="005479A0"/>
    <w:rsid w:val="00547A75"/>
    <w:rsid w:val="00547D72"/>
    <w:rsid w:val="00547D77"/>
    <w:rsid w:val="00547DD7"/>
    <w:rsid w:val="00547E27"/>
    <w:rsid w:val="00547F29"/>
    <w:rsid w:val="00547F4F"/>
    <w:rsid w:val="00547FD7"/>
    <w:rsid w:val="0055010E"/>
    <w:rsid w:val="005501E3"/>
    <w:rsid w:val="00550268"/>
    <w:rsid w:val="00550394"/>
    <w:rsid w:val="00550430"/>
    <w:rsid w:val="00550483"/>
    <w:rsid w:val="00550578"/>
    <w:rsid w:val="00550645"/>
    <w:rsid w:val="005507FC"/>
    <w:rsid w:val="00550827"/>
    <w:rsid w:val="005508D7"/>
    <w:rsid w:val="00550977"/>
    <w:rsid w:val="0055099C"/>
    <w:rsid w:val="00550C4D"/>
    <w:rsid w:val="00550CE7"/>
    <w:rsid w:val="00550CF5"/>
    <w:rsid w:val="00550E30"/>
    <w:rsid w:val="00550F71"/>
    <w:rsid w:val="0055101C"/>
    <w:rsid w:val="00551167"/>
    <w:rsid w:val="0055116B"/>
    <w:rsid w:val="00551177"/>
    <w:rsid w:val="00551501"/>
    <w:rsid w:val="005515EF"/>
    <w:rsid w:val="00551771"/>
    <w:rsid w:val="005519A5"/>
    <w:rsid w:val="00551C18"/>
    <w:rsid w:val="00551C68"/>
    <w:rsid w:val="00551CFA"/>
    <w:rsid w:val="005520B8"/>
    <w:rsid w:val="005521A3"/>
    <w:rsid w:val="005521A6"/>
    <w:rsid w:val="00552343"/>
    <w:rsid w:val="00552440"/>
    <w:rsid w:val="00552486"/>
    <w:rsid w:val="005524C0"/>
    <w:rsid w:val="005524D9"/>
    <w:rsid w:val="005525DA"/>
    <w:rsid w:val="005525F7"/>
    <w:rsid w:val="005527A0"/>
    <w:rsid w:val="0055289A"/>
    <w:rsid w:val="00552951"/>
    <w:rsid w:val="0055296A"/>
    <w:rsid w:val="005529E1"/>
    <w:rsid w:val="00552ADA"/>
    <w:rsid w:val="00552C75"/>
    <w:rsid w:val="00552CD3"/>
    <w:rsid w:val="00552CE5"/>
    <w:rsid w:val="00552D05"/>
    <w:rsid w:val="00552F02"/>
    <w:rsid w:val="0055304D"/>
    <w:rsid w:val="00553061"/>
    <w:rsid w:val="00553198"/>
    <w:rsid w:val="005533EA"/>
    <w:rsid w:val="00553492"/>
    <w:rsid w:val="0055358F"/>
    <w:rsid w:val="00553627"/>
    <w:rsid w:val="0055386B"/>
    <w:rsid w:val="005539B0"/>
    <w:rsid w:val="00553A25"/>
    <w:rsid w:val="00553A68"/>
    <w:rsid w:val="00553A79"/>
    <w:rsid w:val="00553C26"/>
    <w:rsid w:val="00553D42"/>
    <w:rsid w:val="00553E0A"/>
    <w:rsid w:val="00553E59"/>
    <w:rsid w:val="00553FA8"/>
    <w:rsid w:val="00553FEE"/>
    <w:rsid w:val="005540D5"/>
    <w:rsid w:val="0055412C"/>
    <w:rsid w:val="0055416F"/>
    <w:rsid w:val="0055417E"/>
    <w:rsid w:val="005541FC"/>
    <w:rsid w:val="00554355"/>
    <w:rsid w:val="00554546"/>
    <w:rsid w:val="005546CD"/>
    <w:rsid w:val="0055474A"/>
    <w:rsid w:val="00554784"/>
    <w:rsid w:val="005547F0"/>
    <w:rsid w:val="005547FA"/>
    <w:rsid w:val="00554981"/>
    <w:rsid w:val="00554A9D"/>
    <w:rsid w:val="00554B30"/>
    <w:rsid w:val="00554B40"/>
    <w:rsid w:val="00554BE2"/>
    <w:rsid w:val="00554C35"/>
    <w:rsid w:val="00554D05"/>
    <w:rsid w:val="00554D40"/>
    <w:rsid w:val="00554D7F"/>
    <w:rsid w:val="00554DA5"/>
    <w:rsid w:val="00554E29"/>
    <w:rsid w:val="00554E54"/>
    <w:rsid w:val="0055500C"/>
    <w:rsid w:val="00555137"/>
    <w:rsid w:val="005551FD"/>
    <w:rsid w:val="005553BA"/>
    <w:rsid w:val="005553EB"/>
    <w:rsid w:val="0055567C"/>
    <w:rsid w:val="005557B1"/>
    <w:rsid w:val="0055582C"/>
    <w:rsid w:val="0055585C"/>
    <w:rsid w:val="00555895"/>
    <w:rsid w:val="005558EE"/>
    <w:rsid w:val="005559F6"/>
    <w:rsid w:val="00555A08"/>
    <w:rsid w:val="00555A98"/>
    <w:rsid w:val="00555AF3"/>
    <w:rsid w:val="00555B4E"/>
    <w:rsid w:val="00555BD3"/>
    <w:rsid w:val="00555D25"/>
    <w:rsid w:val="00555D71"/>
    <w:rsid w:val="00555FC3"/>
    <w:rsid w:val="00555FF0"/>
    <w:rsid w:val="00556018"/>
    <w:rsid w:val="0055604E"/>
    <w:rsid w:val="00556077"/>
    <w:rsid w:val="005560E5"/>
    <w:rsid w:val="005562DC"/>
    <w:rsid w:val="00556438"/>
    <w:rsid w:val="00556533"/>
    <w:rsid w:val="0055657C"/>
    <w:rsid w:val="0055657E"/>
    <w:rsid w:val="00556665"/>
    <w:rsid w:val="0055689C"/>
    <w:rsid w:val="00556952"/>
    <w:rsid w:val="00556A65"/>
    <w:rsid w:val="00556C35"/>
    <w:rsid w:val="00556C9C"/>
    <w:rsid w:val="00556E18"/>
    <w:rsid w:val="00556FD7"/>
    <w:rsid w:val="00557119"/>
    <w:rsid w:val="00557177"/>
    <w:rsid w:val="00557195"/>
    <w:rsid w:val="005571C5"/>
    <w:rsid w:val="0055720A"/>
    <w:rsid w:val="00557276"/>
    <w:rsid w:val="005573C4"/>
    <w:rsid w:val="0055758B"/>
    <w:rsid w:val="005575F7"/>
    <w:rsid w:val="00557674"/>
    <w:rsid w:val="00557738"/>
    <w:rsid w:val="0055774C"/>
    <w:rsid w:val="005577C2"/>
    <w:rsid w:val="00557890"/>
    <w:rsid w:val="0055790E"/>
    <w:rsid w:val="005579DC"/>
    <w:rsid w:val="00557A75"/>
    <w:rsid w:val="00557AA1"/>
    <w:rsid w:val="00557B5B"/>
    <w:rsid w:val="00557C0F"/>
    <w:rsid w:val="00557D5A"/>
    <w:rsid w:val="00557D79"/>
    <w:rsid w:val="00557E0A"/>
    <w:rsid w:val="00560100"/>
    <w:rsid w:val="0056018A"/>
    <w:rsid w:val="00560266"/>
    <w:rsid w:val="005602C3"/>
    <w:rsid w:val="0056036A"/>
    <w:rsid w:val="0056053D"/>
    <w:rsid w:val="005605C6"/>
    <w:rsid w:val="005606EA"/>
    <w:rsid w:val="00560766"/>
    <w:rsid w:val="005607B9"/>
    <w:rsid w:val="00560993"/>
    <w:rsid w:val="00560A5F"/>
    <w:rsid w:val="00560A69"/>
    <w:rsid w:val="00560B1D"/>
    <w:rsid w:val="00560B5D"/>
    <w:rsid w:val="00560B8C"/>
    <w:rsid w:val="00560D7B"/>
    <w:rsid w:val="00560E55"/>
    <w:rsid w:val="00560E63"/>
    <w:rsid w:val="00560E71"/>
    <w:rsid w:val="00560E72"/>
    <w:rsid w:val="00560F99"/>
    <w:rsid w:val="005610CA"/>
    <w:rsid w:val="005611CF"/>
    <w:rsid w:val="005612B8"/>
    <w:rsid w:val="005612F2"/>
    <w:rsid w:val="00561314"/>
    <w:rsid w:val="00561321"/>
    <w:rsid w:val="0056152A"/>
    <w:rsid w:val="00561708"/>
    <w:rsid w:val="0056197D"/>
    <w:rsid w:val="00561997"/>
    <w:rsid w:val="005619BA"/>
    <w:rsid w:val="00561A6A"/>
    <w:rsid w:val="00561A78"/>
    <w:rsid w:val="00561B3E"/>
    <w:rsid w:val="00561E88"/>
    <w:rsid w:val="00562027"/>
    <w:rsid w:val="0056210C"/>
    <w:rsid w:val="005621FB"/>
    <w:rsid w:val="005622C7"/>
    <w:rsid w:val="0056253E"/>
    <w:rsid w:val="0056290E"/>
    <w:rsid w:val="00562977"/>
    <w:rsid w:val="00562B16"/>
    <w:rsid w:val="00562C42"/>
    <w:rsid w:val="00562C72"/>
    <w:rsid w:val="00562D29"/>
    <w:rsid w:val="00562D53"/>
    <w:rsid w:val="00562E62"/>
    <w:rsid w:val="00562F2B"/>
    <w:rsid w:val="005630CE"/>
    <w:rsid w:val="00563113"/>
    <w:rsid w:val="00563137"/>
    <w:rsid w:val="0056317A"/>
    <w:rsid w:val="005631C3"/>
    <w:rsid w:val="005632D7"/>
    <w:rsid w:val="005633AB"/>
    <w:rsid w:val="005633EC"/>
    <w:rsid w:val="005634A3"/>
    <w:rsid w:val="0056352F"/>
    <w:rsid w:val="0056355C"/>
    <w:rsid w:val="0056359E"/>
    <w:rsid w:val="005635A3"/>
    <w:rsid w:val="005635CE"/>
    <w:rsid w:val="005635E9"/>
    <w:rsid w:val="0056367B"/>
    <w:rsid w:val="005638FC"/>
    <w:rsid w:val="00563C21"/>
    <w:rsid w:val="00563C37"/>
    <w:rsid w:val="00563DCB"/>
    <w:rsid w:val="00563F8E"/>
    <w:rsid w:val="00564047"/>
    <w:rsid w:val="00564156"/>
    <w:rsid w:val="00564314"/>
    <w:rsid w:val="00564357"/>
    <w:rsid w:val="00564364"/>
    <w:rsid w:val="005644AA"/>
    <w:rsid w:val="005646F2"/>
    <w:rsid w:val="00564785"/>
    <w:rsid w:val="005648C5"/>
    <w:rsid w:val="00564995"/>
    <w:rsid w:val="00564A30"/>
    <w:rsid w:val="00564A58"/>
    <w:rsid w:val="00564B98"/>
    <w:rsid w:val="00564BB3"/>
    <w:rsid w:val="00564BD4"/>
    <w:rsid w:val="00564C5B"/>
    <w:rsid w:val="00564DB5"/>
    <w:rsid w:val="00564E05"/>
    <w:rsid w:val="00564FD8"/>
    <w:rsid w:val="00565194"/>
    <w:rsid w:val="005651BF"/>
    <w:rsid w:val="00565336"/>
    <w:rsid w:val="0056546F"/>
    <w:rsid w:val="0056550A"/>
    <w:rsid w:val="00565520"/>
    <w:rsid w:val="00565640"/>
    <w:rsid w:val="005656FB"/>
    <w:rsid w:val="00565722"/>
    <w:rsid w:val="00565985"/>
    <w:rsid w:val="00565A38"/>
    <w:rsid w:val="00565A80"/>
    <w:rsid w:val="00565B3F"/>
    <w:rsid w:val="00565B5E"/>
    <w:rsid w:val="00565B72"/>
    <w:rsid w:val="00565B91"/>
    <w:rsid w:val="00565BCB"/>
    <w:rsid w:val="00565DF9"/>
    <w:rsid w:val="00565E24"/>
    <w:rsid w:val="00565E8B"/>
    <w:rsid w:val="00565ECE"/>
    <w:rsid w:val="00565EE4"/>
    <w:rsid w:val="0056602F"/>
    <w:rsid w:val="005660F5"/>
    <w:rsid w:val="00566158"/>
    <w:rsid w:val="00566198"/>
    <w:rsid w:val="005661CA"/>
    <w:rsid w:val="0056635E"/>
    <w:rsid w:val="00566422"/>
    <w:rsid w:val="005664D9"/>
    <w:rsid w:val="00566597"/>
    <w:rsid w:val="0056659F"/>
    <w:rsid w:val="00566618"/>
    <w:rsid w:val="00566649"/>
    <w:rsid w:val="0056679A"/>
    <w:rsid w:val="00566846"/>
    <w:rsid w:val="005668E9"/>
    <w:rsid w:val="005669F6"/>
    <w:rsid w:val="00566A4A"/>
    <w:rsid w:val="00566A53"/>
    <w:rsid w:val="00566B3D"/>
    <w:rsid w:val="00566B4F"/>
    <w:rsid w:val="00566E3B"/>
    <w:rsid w:val="00566FED"/>
    <w:rsid w:val="00567046"/>
    <w:rsid w:val="00567142"/>
    <w:rsid w:val="005671E0"/>
    <w:rsid w:val="005672FB"/>
    <w:rsid w:val="0056734F"/>
    <w:rsid w:val="00567384"/>
    <w:rsid w:val="005674E8"/>
    <w:rsid w:val="005675B2"/>
    <w:rsid w:val="005675D1"/>
    <w:rsid w:val="00567615"/>
    <w:rsid w:val="005676E2"/>
    <w:rsid w:val="005678E1"/>
    <w:rsid w:val="005678F3"/>
    <w:rsid w:val="00567A05"/>
    <w:rsid w:val="00567DAA"/>
    <w:rsid w:val="00567DF5"/>
    <w:rsid w:val="005700D3"/>
    <w:rsid w:val="005701EA"/>
    <w:rsid w:val="00570266"/>
    <w:rsid w:val="005702C3"/>
    <w:rsid w:val="00570349"/>
    <w:rsid w:val="00570414"/>
    <w:rsid w:val="0057065F"/>
    <w:rsid w:val="0057066E"/>
    <w:rsid w:val="00570820"/>
    <w:rsid w:val="00570886"/>
    <w:rsid w:val="005708E7"/>
    <w:rsid w:val="005709FD"/>
    <w:rsid w:val="00570A5E"/>
    <w:rsid w:val="00570B0C"/>
    <w:rsid w:val="00570D42"/>
    <w:rsid w:val="00570DE0"/>
    <w:rsid w:val="00570E9D"/>
    <w:rsid w:val="00570EED"/>
    <w:rsid w:val="00570F33"/>
    <w:rsid w:val="00570F50"/>
    <w:rsid w:val="00571036"/>
    <w:rsid w:val="00571160"/>
    <w:rsid w:val="005711BE"/>
    <w:rsid w:val="00571342"/>
    <w:rsid w:val="00571357"/>
    <w:rsid w:val="005713A6"/>
    <w:rsid w:val="005713E9"/>
    <w:rsid w:val="005714E7"/>
    <w:rsid w:val="00571557"/>
    <w:rsid w:val="005716B5"/>
    <w:rsid w:val="005716F1"/>
    <w:rsid w:val="0057173D"/>
    <w:rsid w:val="0057177D"/>
    <w:rsid w:val="00571898"/>
    <w:rsid w:val="005718A7"/>
    <w:rsid w:val="00571945"/>
    <w:rsid w:val="0057199C"/>
    <w:rsid w:val="00571A03"/>
    <w:rsid w:val="00571A63"/>
    <w:rsid w:val="00571C5B"/>
    <w:rsid w:val="00571C62"/>
    <w:rsid w:val="00571C7D"/>
    <w:rsid w:val="00571DF9"/>
    <w:rsid w:val="00571F5E"/>
    <w:rsid w:val="00571FDC"/>
    <w:rsid w:val="0057203F"/>
    <w:rsid w:val="005722E4"/>
    <w:rsid w:val="005723B8"/>
    <w:rsid w:val="005723D7"/>
    <w:rsid w:val="005725F0"/>
    <w:rsid w:val="00572646"/>
    <w:rsid w:val="0057271B"/>
    <w:rsid w:val="00572AAB"/>
    <w:rsid w:val="00572AB8"/>
    <w:rsid w:val="00572BED"/>
    <w:rsid w:val="00572D23"/>
    <w:rsid w:val="00572D32"/>
    <w:rsid w:val="00572E5E"/>
    <w:rsid w:val="00572F18"/>
    <w:rsid w:val="005730AF"/>
    <w:rsid w:val="005731D1"/>
    <w:rsid w:val="005733A8"/>
    <w:rsid w:val="005734EB"/>
    <w:rsid w:val="005735BE"/>
    <w:rsid w:val="005735F1"/>
    <w:rsid w:val="0057364A"/>
    <w:rsid w:val="005736BF"/>
    <w:rsid w:val="005736F8"/>
    <w:rsid w:val="0057378C"/>
    <w:rsid w:val="005737B8"/>
    <w:rsid w:val="005737F0"/>
    <w:rsid w:val="00573861"/>
    <w:rsid w:val="005738A1"/>
    <w:rsid w:val="005738AF"/>
    <w:rsid w:val="00573913"/>
    <w:rsid w:val="00573A04"/>
    <w:rsid w:val="00573A59"/>
    <w:rsid w:val="00573CD0"/>
    <w:rsid w:val="00573CFD"/>
    <w:rsid w:val="00573E03"/>
    <w:rsid w:val="00573E54"/>
    <w:rsid w:val="00573EF0"/>
    <w:rsid w:val="00573F77"/>
    <w:rsid w:val="00574071"/>
    <w:rsid w:val="00574126"/>
    <w:rsid w:val="005741F6"/>
    <w:rsid w:val="00574398"/>
    <w:rsid w:val="005744AB"/>
    <w:rsid w:val="00574536"/>
    <w:rsid w:val="00574550"/>
    <w:rsid w:val="00574930"/>
    <w:rsid w:val="005749F7"/>
    <w:rsid w:val="00574B85"/>
    <w:rsid w:val="00574B86"/>
    <w:rsid w:val="00574C12"/>
    <w:rsid w:val="00574C1E"/>
    <w:rsid w:val="00574D41"/>
    <w:rsid w:val="00575051"/>
    <w:rsid w:val="0057529C"/>
    <w:rsid w:val="005752DF"/>
    <w:rsid w:val="00575349"/>
    <w:rsid w:val="00575849"/>
    <w:rsid w:val="005759C1"/>
    <w:rsid w:val="005759C8"/>
    <w:rsid w:val="00575AF7"/>
    <w:rsid w:val="00575B14"/>
    <w:rsid w:val="00575BEA"/>
    <w:rsid w:val="00575C1C"/>
    <w:rsid w:val="00575E5D"/>
    <w:rsid w:val="00575E8A"/>
    <w:rsid w:val="00575F53"/>
    <w:rsid w:val="0057602F"/>
    <w:rsid w:val="00576268"/>
    <w:rsid w:val="00576292"/>
    <w:rsid w:val="0057633B"/>
    <w:rsid w:val="005763DD"/>
    <w:rsid w:val="00576424"/>
    <w:rsid w:val="005766A9"/>
    <w:rsid w:val="00576B06"/>
    <w:rsid w:val="00576B42"/>
    <w:rsid w:val="00576B5D"/>
    <w:rsid w:val="00576B63"/>
    <w:rsid w:val="00576B8B"/>
    <w:rsid w:val="00576BCE"/>
    <w:rsid w:val="00576C0C"/>
    <w:rsid w:val="00576C1D"/>
    <w:rsid w:val="00576D3E"/>
    <w:rsid w:val="00576E1B"/>
    <w:rsid w:val="00576F03"/>
    <w:rsid w:val="005771EB"/>
    <w:rsid w:val="00577463"/>
    <w:rsid w:val="0057749B"/>
    <w:rsid w:val="00577561"/>
    <w:rsid w:val="00577600"/>
    <w:rsid w:val="0057768F"/>
    <w:rsid w:val="005777AE"/>
    <w:rsid w:val="005777AF"/>
    <w:rsid w:val="00577827"/>
    <w:rsid w:val="0057797E"/>
    <w:rsid w:val="00577A8F"/>
    <w:rsid w:val="00577B2C"/>
    <w:rsid w:val="00577BDB"/>
    <w:rsid w:val="00577C8A"/>
    <w:rsid w:val="00577CB8"/>
    <w:rsid w:val="00577EBA"/>
    <w:rsid w:val="00580524"/>
    <w:rsid w:val="005805C5"/>
    <w:rsid w:val="005805DD"/>
    <w:rsid w:val="005805F4"/>
    <w:rsid w:val="0058063C"/>
    <w:rsid w:val="00580719"/>
    <w:rsid w:val="00580789"/>
    <w:rsid w:val="00580875"/>
    <w:rsid w:val="0058097D"/>
    <w:rsid w:val="005809D2"/>
    <w:rsid w:val="00580A76"/>
    <w:rsid w:val="00580B10"/>
    <w:rsid w:val="00580B3E"/>
    <w:rsid w:val="00580BD9"/>
    <w:rsid w:val="00580BE0"/>
    <w:rsid w:val="00580CA2"/>
    <w:rsid w:val="00580F15"/>
    <w:rsid w:val="005812EB"/>
    <w:rsid w:val="00581418"/>
    <w:rsid w:val="0058143E"/>
    <w:rsid w:val="0058182C"/>
    <w:rsid w:val="00581875"/>
    <w:rsid w:val="005818CC"/>
    <w:rsid w:val="00581A7A"/>
    <w:rsid w:val="00581B25"/>
    <w:rsid w:val="00581B32"/>
    <w:rsid w:val="00581B4E"/>
    <w:rsid w:val="00581BA9"/>
    <w:rsid w:val="00581C7C"/>
    <w:rsid w:val="00581C91"/>
    <w:rsid w:val="00581CDE"/>
    <w:rsid w:val="00581DF1"/>
    <w:rsid w:val="00581E57"/>
    <w:rsid w:val="00581E99"/>
    <w:rsid w:val="00581FEE"/>
    <w:rsid w:val="00582060"/>
    <w:rsid w:val="0058210C"/>
    <w:rsid w:val="00582191"/>
    <w:rsid w:val="005821FD"/>
    <w:rsid w:val="00582218"/>
    <w:rsid w:val="0058236D"/>
    <w:rsid w:val="005823AF"/>
    <w:rsid w:val="005824D8"/>
    <w:rsid w:val="00582BEF"/>
    <w:rsid w:val="00582C4F"/>
    <w:rsid w:val="00582E36"/>
    <w:rsid w:val="00582EA9"/>
    <w:rsid w:val="00582F94"/>
    <w:rsid w:val="00582FD9"/>
    <w:rsid w:val="00583034"/>
    <w:rsid w:val="005830D0"/>
    <w:rsid w:val="0058310D"/>
    <w:rsid w:val="00583173"/>
    <w:rsid w:val="00583196"/>
    <w:rsid w:val="005831CF"/>
    <w:rsid w:val="005831E7"/>
    <w:rsid w:val="005833AE"/>
    <w:rsid w:val="005833B4"/>
    <w:rsid w:val="005834B4"/>
    <w:rsid w:val="005836C4"/>
    <w:rsid w:val="005837B8"/>
    <w:rsid w:val="0058389E"/>
    <w:rsid w:val="005839AC"/>
    <w:rsid w:val="00583A6D"/>
    <w:rsid w:val="00583A8D"/>
    <w:rsid w:val="00583A9F"/>
    <w:rsid w:val="00583B08"/>
    <w:rsid w:val="00583E44"/>
    <w:rsid w:val="00583ED3"/>
    <w:rsid w:val="00583F49"/>
    <w:rsid w:val="00583F96"/>
    <w:rsid w:val="00584035"/>
    <w:rsid w:val="005840BD"/>
    <w:rsid w:val="005840BF"/>
    <w:rsid w:val="0058414F"/>
    <w:rsid w:val="0058422B"/>
    <w:rsid w:val="005842E3"/>
    <w:rsid w:val="0058430D"/>
    <w:rsid w:val="005843E8"/>
    <w:rsid w:val="00584444"/>
    <w:rsid w:val="00584500"/>
    <w:rsid w:val="00584539"/>
    <w:rsid w:val="00584700"/>
    <w:rsid w:val="00584824"/>
    <w:rsid w:val="0058494B"/>
    <w:rsid w:val="00584B0A"/>
    <w:rsid w:val="00584B94"/>
    <w:rsid w:val="00584CAA"/>
    <w:rsid w:val="00584DD3"/>
    <w:rsid w:val="00584F00"/>
    <w:rsid w:val="00584F0F"/>
    <w:rsid w:val="00585115"/>
    <w:rsid w:val="0058518D"/>
    <w:rsid w:val="005851E8"/>
    <w:rsid w:val="00585274"/>
    <w:rsid w:val="00585303"/>
    <w:rsid w:val="00585325"/>
    <w:rsid w:val="005853B2"/>
    <w:rsid w:val="00585499"/>
    <w:rsid w:val="00585515"/>
    <w:rsid w:val="0058557D"/>
    <w:rsid w:val="005855A3"/>
    <w:rsid w:val="00585629"/>
    <w:rsid w:val="005856DD"/>
    <w:rsid w:val="00585A95"/>
    <w:rsid w:val="00585B0C"/>
    <w:rsid w:val="00585B5F"/>
    <w:rsid w:val="00585BDB"/>
    <w:rsid w:val="00585BDF"/>
    <w:rsid w:val="00585C08"/>
    <w:rsid w:val="00585E57"/>
    <w:rsid w:val="00585EC0"/>
    <w:rsid w:val="0058605E"/>
    <w:rsid w:val="00586069"/>
    <w:rsid w:val="005860FD"/>
    <w:rsid w:val="0058610C"/>
    <w:rsid w:val="0058623A"/>
    <w:rsid w:val="0058624F"/>
    <w:rsid w:val="0058630E"/>
    <w:rsid w:val="0058656C"/>
    <w:rsid w:val="005867DB"/>
    <w:rsid w:val="005867F5"/>
    <w:rsid w:val="00586868"/>
    <w:rsid w:val="00586885"/>
    <w:rsid w:val="0058688E"/>
    <w:rsid w:val="005869BB"/>
    <w:rsid w:val="00586D9B"/>
    <w:rsid w:val="00586DC7"/>
    <w:rsid w:val="00586DDF"/>
    <w:rsid w:val="00586F17"/>
    <w:rsid w:val="00586F2F"/>
    <w:rsid w:val="00586FB1"/>
    <w:rsid w:val="00587064"/>
    <w:rsid w:val="0058708B"/>
    <w:rsid w:val="005871A0"/>
    <w:rsid w:val="005873AE"/>
    <w:rsid w:val="005873EB"/>
    <w:rsid w:val="00587682"/>
    <w:rsid w:val="0058774D"/>
    <w:rsid w:val="00587A8E"/>
    <w:rsid w:val="00587AE0"/>
    <w:rsid w:val="00587B94"/>
    <w:rsid w:val="00587C1A"/>
    <w:rsid w:val="00587C28"/>
    <w:rsid w:val="00587CFE"/>
    <w:rsid w:val="00587D7D"/>
    <w:rsid w:val="0059008C"/>
    <w:rsid w:val="005900AD"/>
    <w:rsid w:val="00590133"/>
    <w:rsid w:val="00590140"/>
    <w:rsid w:val="005901AA"/>
    <w:rsid w:val="005902AF"/>
    <w:rsid w:val="005903FF"/>
    <w:rsid w:val="00590508"/>
    <w:rsid w:val="00590773"/>
    <w:rsid w:val="0059083E"/>
    <w:rsid w:val="005909FE"/>
    <w:rsid w:val="00590B22"/>
    <w:rsid w:val="00590B3D"/>
    <w:rsid w:val="00590CC7"/>
    <w:rsid w:val="00590CDE"/>
    <w:rsid w:val="00590DC7"/>
    <w:rsid w:val="00590EDD"/>
    <w:rsid w:val="00590F3B"/>
    <w:rsid w:val="00590F8C"/>
    <w:rsid w:val="00590FE8"/>
    <w:rsid w:val="00591166"/>
    <w:rsid w:val="005912B1"/>
    <w:rsid w:val="005912F6"/>
    <w:rsid w:val="0059146D"/>
    <w:rsid w:val="00591479"/>
    <w:rsid w:val="00591630"/>
    <w:rsid w:val="00591772"/>
    <w:rsid w:val="005917B0"/>
    <w:rsid w:val="005917BA"/>
    <w:rsid w:val="005917EB"/>
    <w:rsid w:val="005918C2"/>
    <w:rsid w:val="005918DF"/>
    <w:rsid w:val="00591CAE"/>
    <w:rsid w:val="00591CBD"/>
    <w:rsid w:val="00591CE5"/>
    <w:rsid w:val="00591EA0"/>
    <w:rsid w:val="00591EAD"/>
    <w:rsid w:val="00591EE2"/>
    <w:rsid w:val="00591F95"/>
    <w:rsid w:val="00591FED"/>
    <w:rsid w:val="005921BE"/>
    <w:rsid w:val="0059223B"/>
    <w:rsid w:val="005922F6"/>
    <w:rsid w:val="0059250C"/>
    <w:rsid w:val="005927FE"/>
    <w:rsid w:val="005928DD"/>
    <w:rsid w:val="0059296C"/>
    <w:rsid w:val="00592B33"/>
    <w:rsid w:val="00592BD6"/>
    <w:rsid w:val="00592C8C"/>
    <w:rsid w:val="00592D44"/>
    <w:rsid w:val="00592FD3"/>
    <w:rsid w:val="00593085"/>
    <w:rsid w:val="00593163"/>
    <w:rsid w:val="0059326D"/>
    <w:rsid w:val="005932EC"/>
    <w:rsid w:val="00593370"/>
    <w:rsid w:val="00593396"/>
    <w:rsid w:val="00593499"/>
    <w:rsid w:val="0059353F"/>
    <w:rsid w:val="005935DD"/>
    <w:rsid w:val="00593625"/>
    <w:rsid w:val="00593752"/>
    <w:rsid w:val="005937E2"/>
    <w:rsid w:val="0059393C"/>
    <w:rsid w:val="00594122"/>
    <w:rsid w:val="005941DC"/>
    <w:rsid w:val="00594358"/>
    <w:rsid w:val="005943D6"/>
    <w:rsid w:val="00594415"/>
    <w:rsid w:val="00594496"/>
    <w:rsid w:val="00594613"/>
    <w:rsid w:val="005947A0"/>
    <w:rsid w:val="005947E3"/>
    <w:rsid w:val="00594A02"/>
    <w:rsid w:val="00594AFA"/>
    <w:rsid w:val="00594B94"/>
    <w:rsid w:val="00594C65"/>
    <w:rsid w:val="00594CB7"/>
    <w:rsid w:val="00594CC7"/>
    <w:rsid w:val="00594CF5"/>
    <w:rsid w:val="00594E89"/>
    <w:rsid w:val="00594ED8"/>
    <w:rsid w:val="00594FD8"/>
    <w:rsid w:val="00595099"/>
    <w:rsid w:val="0059515B"/>
    <w:rsid w:val="005951BF"/>
    <w:rsid w:val="005951CE"/>
    <w:rsid w:val="00595339"/>
    <w:rsid w:val="00595343"/>
    <w:rsid w:val="0059537B"/>
    <w:rsid w:val="005953AB"/>
    <w:rsid w:val="005954A2"/>
    <w:rsid w:val="00595514"/>
    <w:rsid w:val="0059551D"/>
    <w:rsid w:val="005955E0"/>
    <w:rsid w:val="005956D9"/>
    <w:rsid w:val="00595756"/>
    <w:rsid w:val="0059575F"/>
    <w:rsid w:val="00595772"/>
    <w:rsid w:val="005958F1"/>
    <w:rsid w:val="00595916"/>
    <w:rsid w:val="00595951"/>
    <w:rsid w:val="00595AA6"/>
    <w:rsid w:val="00595B11"/>
    <w:rsid w:val="00595D9E"/>
    <w:rsid w:val="00595DA6"/>
    <w:rsid w:val="00595DAD"/>
    <w:rsid w:val="00595DD4"/>
    <w:rsid w:val="00595E7D"/>
    <w:rsid w:val="00595EDB"/>
    <w:rsid w:val="00595F5C"/>
    <w:rsid w:val="00595F6E"/>
    <w:rsid w:val="00595FC3"/>
    <w:rsid w:val="00596005"/>
    <w:rsid w:val="0059607E"/>
    <w:rsid w:val="0059622D"/>
    <w:rsid w:val="005964CC"/>
    <w:rsid w:val="005964FE"/>
    <w:rsid w:val="0059651B"/>
    <w:rsid w:val="0059657D"/>
    <w:rsid w:val="00596612"/>
    <w:rsid w:val="005966AD"/>
    <w:rsid w:val="005966FA"/>
    <w:rsid w:val="00596737"/>
    <w:rsid w:val="0059673D"/>
    <w:rsid w:val="0059675E"/>
    <w:rsid w:val="005967CE"/>
    <w:rsid w:val="005968DE"/>
    <w:rsid w:val="00596A38"/>
    <w:rsid w:val="00596A63"/>
    <w:rsid w:val="00596C75"/>
    <w:rsid w:val="00596D22"/>
    <w:rsid w:val="00596DD1"/>
    <w:rsid w:val="00596E6A"/>
    <w:rsid w:val="00596E7A"/>
    <w:rsid w:val="00596E7F"/>
    <w:rsid w:val="00596F93"/>
    <w:rsid w:val="00597174"/>
    <w:rsid w:val="005971B1"/>
    <w:rsid w:val="005971BF"/>
    <w:rsid w:val="005971EC"/>
    <w:rsid w:val="00597299"/>
    <w:rsid w:val="00597811"/>
    <w:rsid w:val="00597947"/>
    <w:rsid w:val="00597A0B"/>
    <w:rsid w:val="00597AC5"/>
    <w:rsid w:val="00597B54"/>
    <w:rsid w:val="00597C03"/>
    <w:rsid w:val="00597CE6"/>
    <w:rsid w:val="00597ECF"/>
    <w:rsid w:val="00597EED"/>
    <w:rsid w:val="00597F75"/>
    <w:rsid w:val="00597FE1"/>
    <w:rsid w:val="005A01A6"/>
    <w:rsid w:val="005A0212"/>
    <w:rsid w:val="005A027E"/>
    <w:rsid w:val="005A02F4"/>
    <w:rsid w:val="005A04F9"/>
    <w:rsid w:val="005A0584"/>
    <w:rsid w:val="005A077C"/>
    <w:rsid w:val="005A08EE"/>
    <w:rsid w:val="005A0A1B"/>
    <w:rsid w:val="005A0A25"/>
    <w:rsid w:val="005A0A8C"/>
    <w:rsid w:val="005A0BC4"/>
    <w:rsid w:val="005A0C61"/>
    <w:rsid w:val="005A0E5C"/>
    <w:rsid w:val="005A1047"/>
    <w:rsid w:val="005A152E"/>
    <w:rsid w:val="005A154D"/>
    <w:rsid w:val="005A1696"/>
    <w:rsid w:val="005A176F"/>
    <w:rsid w:val="005A199D"/>
    <w:rsid w:val="005A1BD9"/>
    <w:rsid w:val="005A1DBF"/>
    <w:rsid w:val="005A1ECC"/>
    <w:rsid w:val="005A1F2B"/>
    <w:rsid w:val="005A21E5"/>
    <w:rsid w:val="005A22B8"/>
    <w:rsid w:val="005A22BD"/>
    <w:rsid w:val="005A24A1"/>
    <w:rsid w:val="005A2574"/>
    <w:rsid w:val="005A2578"/>
    <w:rsid w:val="005A25AD"/>
    <w:rsid w:val="005A262A"/>
    <w:rsid w:val="005A273C"/>
    <w:rsid w:val="005A2795"/>
    <w:rsid w:val="005A289D"/>
    <w:rsid w:val="005A2A0B"/>
    <w:rsid w:val="005A2A39"/>
    <w:rsid w:val="005A2A3E"/>
    <w:rsid w:val="005A2AB6"/>
    <w:rsid w:val="005A2CEB"/>
    <w:rsid w:val="005A2DA3"/>
    <w:rsid w:val="005A2E14"/>
    <w:rsid w:val="005A2F3C"/>
    <w:rsid w:val="005A305A"/>
    <w:rsid w:val="005A306B"/>
    <w:rsid w:val="005A30DA"/>
    <w:rsid w:val="005A3166"/>
    <w:rsid w:val="005A3198"/>
    <w:rsid w:val="005A3413"/>
    <w:rsid w:val="005A34D1"/>
    <w:rsid w:val="005A3548"/>
    <w:rsid w:val="005A36BE"/>
    <w:rsid w:val="005A3727"/>
    <w:rsid w:val="005A386C"/>
    <w:rsid w:val="005A3870"/>
    <w:rsid w:val="005A3905"/>
    <w:rsid w:val="005A394A"/>
    <w:rsid w:val="005A3A6F"/>
    <w:rsid w:val="005A3BA1"/>
    <w:rsid w:val="005A3BC5"/>
    <w:rsid w:val="005A3C29"/>
    <w:rsid w:val="005A3C4F"/>
    <w:rsid w:val="005A3ED0"/>
    <w:rsid w:val="005A4012"/>
    <w:rsid w:val="005A4087"/>
    <w:rsid w:val="005A40AC"/>
    <w:rsid w:val="005A432A"/>
    <w:rsid w:val="005A43A7"/>
    <w:rsid w:val="005A4425"/>
    <w:rsid w:val="005A4436"/>
    <w:rsid w:val="005A45AA"/>
    <w:rsid w:val="005A4664"/>
    <w:rsid w:val="005A4732"/>
    <w:rsid w:val="005A4740"/>
    <w:rsid w:val="005A4760"/>
    <w:rsid w:val="005A4797"/>
    <w:rsid w:val="005A48F8"/>
    <w:rsid w:val="005A4AE7"/>
    <w:rsid w:val="005A4B70"/>
    <w:rsid w:val="005A4BB2"/>
    <w:rsid w:val="005A4C7C"/>
    <w:rsid w:val="005A4C9F"/>
    <w:rsid w:val="005A4CFA"/>
    <w:rsid w:val="005A4D4F"/>
    <w:rsid w:val="005A4DCE"/>
    <w:rsid w:val="005A4E12"/>
    <w:rsid w:val="005A4E19"/>
    <w:rsid w:val="005A4F55"/>
    <w:rsid w:val="005A4FE4"/>
    <w:rsid w:val="005A50B4"/>
    <w:rsid w:val="005A50CD"/>
    <w:rsid w:val="005A50DE"/>
    <w:rsid w:val="005A50DF"/>
    <w:rsid w:val="005A50F4"/>
    <w:rsid w:val="005A5165"/>
    <w:rsid w:val="005A532A"/>
    <w:rsid w:val="005A5345"/>
    <w:rsid w:val="005A53B6"/>
    <w:rsid w:val="005A560D"/>
    <w:rsid w:val="005A5634"/>
    <w:rsid w:val="005A574D"/>
    <w:rsid w:val="005A578B"/>
    <w:rsid w:val="005A5872"/>
    <w:rsid w:val="005A5B7D"/>
    <w:rsid w:val="005A5BAF"/>
    <w:rsid w:val="005A5CB5"/>
    <w:rsid w:val="005A5D4E"/>
    <w:rsid w:val="005A5DBD"/>
    <w:rsid w:val="005A5E0D"/>
    <w:rsid w:val="005A5F29"/>
    <w:rsid w:val="005A5FBF"/>
    <w:rsid w:val="005A60FC"/>
    <w:rsid w:val="005A6144"/>
    <w:rsid w:val="005A61E0"/>
    <w:rsid w:val="005A662A"/>
    <w:rsid w:val="005A6642"/>
    <w:rsid w:val="005A6678"/>
    <w:rsid w:val="005A675C"/>
    <w:rsid w:val="005A69FE"/>
    <w:rsid w:val="005A6A21"/>
    <w:rsid w:val="005A6A3F"/>
    <w:rsid w:val="005A6A47"/>
    <w:rsid w:val="005A6B20"/>
    <w:rsid w:val="005A6B29"/>
    <w:rsid w:val="005A6CCD"/>
    <w:rsid w:val="005A6EFF"/>
    <w:rsid w:val="005A6FC0"/>
    <w:rsid w:val="005A734A"/>
    <w:rsid w:val="005A736E"/>
    <w:rsid w:val="005A73CB"/>
    <w:rsid w:val="005A7404"/>
    <w:rsid w:val="005A75EB"/>
    <w:rsid w:val="005A770E"/>
    <w:rsid w:val="005A77A8"/>
    <w:rsid w:val="005A7841"/>
    <w:rsid w:val="005A79E2"/>
    <w:rsid w:val="005A7ABA"/>
    <w:rsid w:val="005A7CB2"/>
    <w:rsid w:val="005A7E83"/>
    <w:rsid w:val="005A7EB0"/>
    <w:rsid w:val="005A7EC5"/>
    <w:rsid w:val="005B0065"/>
    <w:rsid w:val="005B008F"/>
    <w:rsid w:val="005B0353"/>
    <w:rsid w:val="005B03F8"/>
    <w:rsid w:val="005B04C6"/>
    <w:rsid w:val="005B050C"/>
    <w:rsid w:val="005B0609"/>
    <w:rsid w:val="005B0684"/>
    <w:rsid w:val="005B06CD"/>
    <w:rsid w:val="005B0709"/>
    <w:rsid w:val="005B077D"/>
    <w:rsid w:val="005B079B"/>
    <w:rsid w:val="005B085C"/>
    <w:rsid w:val="005B08C4"/>
    <w:rsid w:val="005B0B9E"/>
    <w:rsid w:val="005B0D1C"/>
    <w:rsid w:val="005B0E04"/>
    <w:rsid w:val="005B0E08"/>
    <w:rsid w:val="005B0E93"/>
    <w:rsid w:val="005B0EC2"/>
    <w:rsid w:val="005B0F5C"/>
    <w:rsid w:val="005B11CB"/>
    <w:rsid w:val="005B12AE"/>
    <w:rsid w:val="005B12E4"/>
    <w:rsid w:val="005B13A4"/>
    <w:rsid w:val="005B13B0"/>
    <w:rsid w:val="005B13BC"/>
    <w:rsid w:val="005B13CA"/>
    <w:rsid w:val="005B1587"/>
    <w:rsid w:val="005B1614"/>
    <w:rsid w:val="005B16CC"/>
    <w:rsid w:val="005B1773"/>
    <w:rsid w:val="005B18AA"/>
    <w:rsid w:val="005B19BD"/>
    <w:rsid w:val="005B1B26"/>
    <w:rsid w:val="005B1B6E"/>
    <w:rsid w:val="005B1B96"/>
    <w:rsid w:val="005B1C1B"/>
    <w:rsid w:val="005B1C38"/>
    <w:rsid w:val="005B1C4F"/>
    <w:rsid w:val="005B1C93"/>
    <w:rsid w:val="005B1F05"/>
    <w:rsid w:val="005B1F63"/>
    <w:rsid w:val="005B1FB8"/>
    <w:rsid w:val="005B211B"/>
    <w:rsid w:val="005B213D"/>
    <w:rsid w:val="005B2236"/>
    <w:rsid w:val="005B2343"/>
    <w:rsid w:val="005B2482"/>
    <w:rsid w:val="005B2550"/>
    <w:rsid w:val="005B25DD"/>
    <w:rsid w:val="005B298D"/>
    <w:rsid w:val="005B2A4F"/>
    <w:rsid w:val="005B2B9C"/>
    <w:rsid w:val="005B2C2F"/>
    <w:rsid w:val="005B2C93"/>
    <w:rsid w:val="005B2D35"/>
    <w:rsid w:val="005B2E04"/>
    <w:rsid w:val="005B2E94"/>
    <w:rsid w:val="005B2FA6"/>
    <w:rsid w:val="005B2FBF"/>
    <w:rsid w:val="005B3073"/>
    <w:rsid w:val="005B309B"/>
    <w:rsid w:val="005B30C3"/>
    <w:rsid w:val="005B3102"/>
    <w:rsid w:val="005B3175"/>
    <w:rsid w:val="005B3202"/>
    <w:rsid w:val="005B3217"/>
    <w:rsid w:val="005B33F9"/>
    <w:rsid w:val="005B3532"/>
    <w:rsid w:val="005B36DB"/>
    <w:rsid w:val="005B37B5"/>
    <w:rsid w:val="005B37CE"/>
    <w:rsid w:val="005B3813"/>
    <w:rsid w:val="005B393F"/>
    <w:rsid w:val="005B3997"/>
    <w:rsid w:val="005B399B"/>
    <w:rsid w:val="005B3A1E"/>
    <w:rsid w:val="005B3B4D"/>
    <w:rsid w:val="005B3CC7"/>
    <w:rsid w:val="005B3CF1"/>
    <w:rsid w:val="005B3D25"/>
    <w:rsid w:val="005B3FF4"/>
    <w:rsid w:val="005B403E"/>
    <w:rsid w:val="005B41D5"/>
    <w:rsid w:val="005B41EF"/>
    <w:rsid w:val="005B4272"/>
    <w:rsid w:val="005B4304"/>
    <w:rsid w:val="005B4457"/>
    <w:rsid w:val="005B4486"/>
    <w:rsid w:val="005B4495"/>
    <w:rsid w:val="005B4618"/>
    <w:rsid w:val="005B486D"/>
    <w:rsid w:val="005B49D7"/>
    <w:rsid w:val="005B4B8F"/>
    <w:rsid w:val="005B4C17"/>
    <w:rsid w:val="005B4CA7"/>
    <w:rsid w:val="005B4E44"/>
    <w:rsid w:val="005B4F59"/>
    <w:rsid w:val="005B5008"/>
    <w:rsid w:val="005B50BF"/>
    <w:rsid w:val="005B5106"/>
    <w:rsid w:val="005B5224"/>
    <w:rsid w:val="005B53E1"/>
    <w:rsid w:val="005B54F0"/>
    <w:rsid w:val="005B5596"/>
    <w:rsid w:val="005B55AF"/>
    <w:rsid w:val="005B568D"/>
    <w:rsid w:val="005B5692"/>
    <w:rsid w:val="005B5728"/>
    <w:rsid w:val="005B5833"/>
    <w:rsid w:val="005B58F4"/>
    <w:rsid w:val="005B5960"/>
    <w:rsid w:val="005B5973"/>
    <w:rsid w:val="005B597F"/>
    <w:rsid w:val="005B5993"/>
    <w:rsid w:val="005B59DD"/>
    <w:rsid w:val="005B5A03"/>
    <w:rsid w:val="005B5A2D"/>
    <w:rsid w:val="005B5A75"/>
    <w:rsid w:val="005B5B06"/>
    <w:rsid w:val="005B5BF6"/>
    <w:rsid w:val="005B5D28"/>
    <w:rsid w:val="005B5DA4"/>
    <w:rsid w:val="005B5DF0"/>
    <w:rsid w:val="005B5E0D"/>
    <w:rsid w:val="005B5E4B"/>
    <w:rsid w:val="005B5EFF"/>
    <w:rsid w:val="005B5FD6"/>
    <w:rsid w:val="005B60DE"/>
    <w:rsid w:val="005B6127"/>
    <w:rsid w:val="005B62CC"/>
    <w:rsid w:val="005B631A"/>
    <w:rsid w:val="005B636C"/>
    <w:rsid w:val="005B6391"/>
    <w:rsid w:val="005B63FB"/>
    <w:rsid w:val="005B6419"/>
    <w:rsid w:val="005B65F7"/>
    <w:rsid w:val="005B6636"/>
    <w:rsid w:val="005B6714"/>
    <w:rsid w:val="005B67D0"/>
    <w:rsid w:val="005B68CB"/>
    <w:rsid w:val="005B6A4F"/>
    <w:rsid w:val="005B6A95"/>
    <w:rsid w:val="005B6B6B"/>
    <w:rsid w:val="005B6DBC"/>
    <w:rsid w:val="005B6E0D"/>
    <w:rsid w:val="005B6FC2"/>
    <w:rsid w:val="005B74DF"/>
    <w:rsid w:val="005B7511"/>
    <w:rsid w:val="005B77FF"/>
    <w:rsid w:val="005B78E5"/>
    <w:rsid w:val="005B7952"/>
    <w:rsid w:val="005B795F"/>
    <w:rsid w:val="005B7A43"/>
    <w:rsid w:val="005B7A4E"/>
    <w:rsid w:val="005B7BEF"/>
    <w:rsid w:val="005B7C70"/>
    <w:rsid w:val="005B7D0F"/>
    <w:rsid w:val="005B7DA7"/>
    <w:rsid w:val="005B7E1A"/>
    <w:rsid w:val="005B7F50"/>
    <w:rsid w:val="005B7FEB"/>
    <w:rsid w:val="005C03DD"/>
    <w:rsid w:val="005C0475"/>
    <w:rsid w:val="005C0498"/>
    <w:rsid w:val="005C0539"/>
    <w:rsid w:val="005C05EB"/>
    <w:rsid w:val="005C0789"/>
    <w:rsid w:val="005C07B0"/>
    <w:rsid w:val="005C08BF"/>
    <w:rsid w:val="005C09AB"/>
    <w:rsid w:val="005C0ADE"/>
    <w:rsid w:val="005C0DFB"/>
    <w:rsid w:val="005C1062"/>
    <w:rsid w:val="005C126F"/>
    <w:rsid w:val="005C128E"/>
    <w:rsid w:val="005C138E"/>
    <w:rsid w:val="005C1422"/>
    <w:rsid w:val="005C14C7"/>
    <w:rsid w:val="005C14E9"/>
    <w:rsid w:val="005C1519"/>
    <w:rsid w:val="005C1809"/>
    <w:rsid w:val="005C1916"/>
    <w:rsid w:val="005C1A22"/>
    <w:rsid w:val="005C1AB7"/>
    <w:rsid w:val="005C1D6D"/>
    <w:rsid w:val="005C1F0B"/>
    <w:rsid w:val="005C1FC9"/>
    <w:rsid w:val="005C20D9"/>
    <w:rsid w:val="005C21DE"/>
    <w:rsid w:val="005C2208"/>
    <w:rsid w:val="005C22DE"/>
    <w:rsid w:val="005C2317"/>
    <w:rsid w:val="005C248A"/>
    <w:rsid w:val="005C2569"/>
    <w:rsid w:val="005C2691"/>
    <w:rsid w:val="005C26AE"/>
    <w:rsid w:val="005C26C0"/>
    <w:rsid w:val="005C274E"/>
    <w:rsid w:val="005C2A0C"/>
    <w:rsid w:val="005C2A5E"/>
    <w:rsid w:val="005C2BB5"/>
    <w:rsid w:val="005C2C69"/>
    <w:rsid w:val="005C2E14"/>
    <w:rsid w:val="005C2F48"/>
    <w:rsid w:val="005C2FE7"/>
    <w:rsid w:val="005C3021"/>
    <w:rsid w:val="005C3046"/>
    <w:rsid w:val="005C3109"/>
    <w:rsid w:val="005C31AD"/>
    <w:rsid w:val="005C31B4"/>
    <w:rsid w:val="005C322C"/>
    <w:rsid w:val="005C32B5"/>
    <w:rsid w:val="005C32C6"/>
    <w:rsid w:val="005C334F"/>
    <w:rsid w:val="005C33C9"/>
    <w:rsid w:val="005C3751"/>
    <w:rsid w:val="005C37F1"/>
    <w:rsid w:val="005C38F9"/>
    <w:rsid w:val="005C392B"/>
    <w:rsid w:val="005C3998"/>
    <w:rsid w:val="005C3AD8"/>
    <w:rsid w:val="005C3C43"/>
    <w:rsid w:val="005C3CA4"/>
    <w:rsid w:val="005C3D2E"/>
    <w:rsid w:val="005C3D51"/>
    <w:rsid w:val="005C3D80"/>
    <w:rsid w:val="005C3F53"/>
    <w:rsid w:val="005C41EF"/>
    <w:rsid w:val="005C41F3"/>
    <w:rsid w:val="005C4268"/>
    <w:rsid w:val="005C441D"/>
    <w:rsid w:val="005C4547"/>
    <w:rsid w:val="005C45AD"/>
    <w:rsid w:val="005C45DC"/>
    <w:rsid w:val="005C474B"/>
    <w:rsid w:val="005C4783"/>
    <w:rsid w:val="005C4944"/>
    <w:rsid w:val="005C49E0"/>
    <w:rsid w:val="005C4A95"/>
    <w:rsid w:val="005C4B23"/>
    <w:rsid w:val="005C4C4A"/>
    <w:rsid w:val="005C4CFA"/>
    <w:rsid w:val="005C4EF5"/>
    <w:rsid w:val="005C5192"/>
    <w:rsid w:val="005C5266"/>
    <w:rsid w:val="005C526C"/>
    <w:rsid w:val="005C527B"/>
    <w:rsid w:val="005C5489"/>
    <w:rsid w:val="005C559E"/>
    <w:rsid w:val="005C55DB"/>
    <w:rsid w:val="005C56D7"/>
    <w:rsid w:val="005C56F9"/>
    <w:rsid w:val="005C574A"/>
    <w:rsid w:val="005C5898"/>
    <w:rsid w:val="005C5A52"/>
    <w:rsid w:val="005C5A90"/>
    <w:rsid w:val="005C5AED"/>
    <w:rsid w:val="005C5B2C"/>
    <w:rsid w:val="005C5BB9"/>
    <w:rsid w:val="005C5D8A"/>
    <w:rsid w:val="005C5F7A"/>
    <w:rsid w:val="005C5FE8"/>
    <w:rsid w:val="005C60B9"/>
    <w:rsid w:val="005C6188"/>
    <w:rsid w:val="005C6243"/>
    <w:rsid w:val="005C6288"/>
    <w:rsid w:val="005C652E"/>
    <w:rsid w:val="005C6561"/>
    <w:rsid w:val="005C6614"/>
    <w:rsid w:val="005C665A"/>
    <w:rsid w:val="005C67AA"/>
    <w:rsid w:val="005C687C"/>
    <w:rsid w:val="005C6B23"/>
    <w:rsid w:val="005C6C63"/>
    <w:rsid w:val="005C6DE8"/>
    <w:rsid w:val="005C6E3B"/>
    <w:rsid w:val="005C72B2"/>
    <w:rsid w:val="005C7521"/>
    <w:rsid w:val="005C7582"/>
    <w:rsid w:val="005C758A"/>
    <w:rsid w:val="005C767D"/>
    <w:rsid w:val="005C778F"/>
    <w:rsid w:val="005C77A8"/>
    <w:rsid w:val="005C77C0"/>
    <w:rsid w:val="005C7A9D"/>
    <w:rsid w:val="005C7B08"/>
    <w:rsid w:val="005C7DA9"/>
    <w:rsid w:val="005C7E27"/>
    <w:rsid w:val="005C7E6B"/>
    <w:rsid w:val="005C7E87"/>
    <w:rsid w:val="005D0040"/>
    <w:rsid w:val="005D0063"/>
    <w:rsid w:val="005D007D"/>
    <w:rsid w:val="005D0167"/>
    <w:rsid w:val="005D0177"/>
    <w:rsid w:val="005D0258"/>
    <w:rsid w:val="005D046F"/>
    <w:rsid w:val="005D048B"/>
    <w:rsid w:val="005D04F4"/>
    <w:rsid w:val="005D0588"/>
    <w:rsid w:val="005D0600"/>
    <w:rsid w:val="005D061C"/>
    <w:rsid w:val="005D0659"/>
    <w:rsid w:val="005D078F"/>
    <w:rsid w:val="005D08AD"/>
    <w:rsid w:val="005D0972"/>
    <w:rsid w:val="005D09F4"/>
    <w:rsid w:val="005D0A29"/>
    <w:rsid w:val="005D0AFD"/>
    <w:rsid w:val="005D0B45"/>
    <w:rsid w:val="005D0B72"/>
    <w:rsid w:val="005D0CDE"/>
    <w:rsid w:val="005D0D76"/>
    <w:rsid w:val="005D0DE6"/>
    <w:rsid w:val="005D0F7D"/>
    <w:rsid w:val="005D0FBF"/>
    <w:rsid w:val="005D1075"/>
    <w:rsid w:val="005D10F7"/>
    <w:rsid w:val="005D115F"/>
    <w:rsid w:val="005D11C5"/>
    <w:rsid w:val="005D1381"/>
    <w:rsid w:val="005D1398"/>
    <w:rsid w:val="005D139A"/>
    <w:rsid w:val="005D139E"/>
    <w:rsid w:val="005D13BC"/>
    <w:rsid w:val="005D13CB"/>
    <w:rsid w:val="005D1566"/>
    <w:rsid w:val="005D1725"/>
    <w:rsid w:val="005D175B"/>
    <w:rsid w:val="005D17BF"/>
    <w:rsid w:val="005D1810"/>
    <w:rsid w:val="005D1836"/>
    <w:rsid w:val="005D188C"/>
    <w:rsid w:val="005D1903"/>
    <w:rsid w:val="005D19C8"/>
    <w:rsid w:val="005D1A03"/>
    <w:rsid w:val="005D1A73"/>
    <w:rsid w:val="005D1B1F"/>
    <w:rsid w:val="005D1B46"/>
    <w:rsid w:val="005D1C72"/>
    <w:rsid w:val="005D1C7E"/>
    <w:rsid w:val="005D1C87"/>
    <w:rsid w:val="005D1D00"/>
    <w:rsid w:val="005D1E22"/>
    <w:rsid w:val="005D1F00"/>
    <w:rsid w:val="005D1F08"/>
    <w:rsid w:val="005D1F91"/>
    <w:rsid w:val="005D20C5"/>
    <w:rsid w:val="005D2114"/>
    <w:rsid w:val="005D2340"/>
    <w:rsid w:val="005D234C"/>
    <w:rsid w:val="005D241F"/>
    <w:rsid w:val="005D2469"/>
    <w:rsid w:val="005D246F"/>
    <w:rsid w:val="005D24EA"/>
    <w:rsid w:val="005D24F9"/>
    <w:rsid w:val="005D2847"/>
    <w:rsid w:val="005D2865"/>
    <w:rsid w:val="005D2873"/>
    <w:rsid w:val="005D2891"/>
    <w:rsid w:val="005D2A25"/>
    <w:rsid w:val="005D2A88"/>
    <w:rsid w:val="005D2AA4"/>
    <w:rsid w:val="005D2AA7"/>
    <w:rsid w:val="005D2ADB"/>
    <w:rsid w:val="005D2C0B"/>
    <w:rsid w:val="005D2C40"/>
    <w:rsid w:val="005D2CF6"/>
    <w:rsid w:val="005D2EE2"/>
    <w:rsid w:val="005D2F7F"/>
    <w:rsid w:val="005D2F88"/>
    <w:rsid w:val="005D3022"/>
    <w:rsid w:val="005D303F"/>
    <w:rsid w:val="005D3042"/>
    <w:rsid w:val="005D315F"/>
    <w:rsid w:val="005D33DE"/>
    <w:rsid w:val="005D35CC"/>
    <w:rsid w:val="005D3607"/>
    <w:rsid w:val="005D3612"/>
    <w:rsid w:val="005D3629"/>
    <w:rsid w:val="005D370E"/>
    <w:rsid w:val="005D37B5"/>
    <w:rsid w:val="005D381B"/>
    <w:rsid w:val="005D38FE"/>
    <w:rsid w:val="005D39DA"/>
    <w:rsid w:val="005D3A6B"/>
    <w:rsid w:val="005D3ADD"/>
    <w:rsid w:val="005D3B41"/>
    <w:rsid w:val="005D3DFD"/>
    <w:rsid w:val="005D3E3B"/>
    <w:rsid w:val="005D3E50"/>
    <w:rsid w:val="005D3F70"/>
    <w:rsid w:val="005D3F73"/>
    <w:rsid w:val="005D3F8A"/>
    <w:rsid w:val="005D402E"/>
    <w:rsid w:val="005D413F"/>
    <w:rsid w:val="005D4194"/>
    <w:rsid w:val="005D422A"/>
    <w:rsid w:val="005D4281"/>
    <w:rsid w:val="005D438E"/>
    <w:rsid w:val="005D440B"/>
    <w:rsid w:val="005D448B"/>
    <w:rsid w:val="005D4646"/>
    <w:rsid w:val="005D469B"/>
    <w:rsid w:val="005D46BB"/>
    <w:rsid w:val="005D474D"/>
    <w:rsid w:val="005D4754"/>
    <w:rsid w:val="005D47D9"/>
    <w:rsid w:val="005D4937"/>
    <w:rsid w:val="005D49B5"/>
    <w:rsid w:val="005D49CF"/>
    <w:rsid w:val="005D4A9A"/>
    <w:rsid w:val="005D4B81"/>
    <w:rsid w:val="005D4B97"/>
    <w:rsid w:val="005D4BB1"/>
    <w:rsid w:val="005D4BBD"/>
    <w:rsid w:val="005D4DC5"/>
    <w:rsid w:val="005D4E4F"/>
    <w:rsid w:val="005D4E7A"/>
    <w:rsid w:val="005D4F1E"/>
    <w:rsid w:val="005D4F62"/>
    <w:rsid w:val="005D4FE0"/>
    <w:rsid w:val="005D50BF"/>
    <w:rsid w:val="005D50FD"/>
    <w:rsid w:val="005D53B7"/>
    <w:rsid w:val="005D544C"/>
    <w:rsid w:val="005D5496"/>
    <w:rsid w:val="005D5557"/>
    <w:rsid w:val="005D5609"/>
    <w:rsid w:val="005D5650"/>
    <w:rsid w:val="005D566B"/>
    <w:rsid w:val="005D56AD"/>
    <w:rsid w:val="005D579D"/>
    <w:rsid w:val="005D5832"/>
    <w:rsid w:val="005D5901"/>
    <w:rsid w:val="005D592D"/>
    <w:rsid w:val="005D592F"/>
    <w:rsid w:val="005D5AA6"/>
    <w:rsid w:val="005D5AD5"/>
    <w:rsid w:val="005D5DF3"/>
    <w:rsid w:val="005D5E23"/>
    <w:rsid w:val="005D608B"/>
    <w:rsid w:val="005D623D"/>
    <w:rsid w:val="005D6286"/>
    <w:rsid w:val="005D62E6"/>
    <w:rsid w:val="005D6312"/>
    <w:rsid w:val="005D64D9"/>
    <w:rsid w:val="005D65F3"/>
    <w:rsid w:val="005D6814"/>
    <w:rsid w:val="005D68B5"/>
    <w:rsid w:val="005D69CF"/>
    <w:rsid w:val="005D69D3"/>
    <w:rsid w:val="005D69E9"/>
    <w:rsid w:val="005D6BA9"/>
    <w:rsid w:val="005D6CF2"/>
    <w:rsid w:val="005D6F6A"/>
    <w:rsid w:val="005D704F"/>
    <w:rsid w:val="005D710A"/>
    <w:rsid w:val="005D72DB"/>
    <w:rsid w:val="005D7361"/>
    <w:rsid w:val="005D739E"/>
    <w:rsid w:val="005D7552"/>
    <w:rsid w:val="005D7563"/>
    <w:rsid w:val="005D7635"/>
    <w:rsid w:val="005D76BC"/>
    <w:rsid w:val="005D7738"/>
    <w:rsid w:val="005D77C6"/>
    <w:rsid w:val="005D7972"/>
    <w:rsid w:val="005D79DC"/>
    <w:rsid w:val="005D7CC5"/>
    <w:rsid w:val="005D7D82"/>
    <w:rsid w:val="005D7DA3"/>
    <w:rsid w:val="005D7E28"/>
    <w:rsid w:val="005D7E2E"/>
    <w:rsid w:val="005D7F22"/>
    <w:rsid w:val="005D7F80"/>
    <w:rsid w:val="005E029B"/>
    <w:rsid w:val="005E0326"/>
    <w:rsid w:val="005E03CA"/>
    <w:rsid w:val="005E044C"/>
    <w:rsid w:val="005E0633"/>
    <w:rsid w:val="005E0637"/>
    <w:rsid w:val="005E06CB"/>
    <w:rsid w:val="005E07C9"/>
    <w:rsid w:val="005E07E8"/>
    <w:rsid w:val="005E097B"/>
    <w:rsid w:val="005E0B32"/>
    <w:rsid w:val="005E0BEB"/>
    <w:rsid w:val="005E0C5F"/>
    <w:rsid w:val="005E0D87"/>
    <w:rsid w:val="005E0DF3"/>
    <w:rsid w:val="005E0E71"/>
    <w:rsid w:val="005E0F04"/>
    <w:rsid w:val="005E0F55"/>
    <w:rsid w:val="005E0FD9"/>
    <w:rsid w:val="005E111B"/>
    <w:rsid w:val="005E1237"/>
    <w:rsid w:val="005E1278"/>
    <w:rsid w:val="005E12CE"/>
    <w:rsid w:val="005E12DF"/>
    <w:rsid w:val="005E134A"/>
    <w:rsid w:val="005E14FF"/>
    <w:rsid w:val="005E150C"/>
    <w:rsid w:val="005E1779"/>
    <w:rsid w:val="005E17E5"/>
    <w:rsid w:val="005E1977"/>
    <w:rsid w:val="005E19D5"/>
    <w:rsid w:val="005E1AA5"/>
    <w:rsid w:val="005E1AB2"/>
    <w:rsid w:val="005E1AC1"/>
    <w:rsid w:val="005E1B36"/>
    <w:rsid w:val="005E1BB7"/>
    <w:rsid w:val="005E1D5A"/>
    <w:rsid w:val="005E1D75"/>
    <w:rsid w:val="005E1DAF"/>
    <w:rsid w:val="005E1E56"/>
    <w:rsid w:val="005E1E8F"/>
    <w:rsid w:val="005E1E94"/>
    <w:rsid w:val="005E1EF3"/>
    <w:rsid w:val="005E1F1E"/>
    <w:rsid w:val="005E202D"/>
    <w:rsid w:val="005E2181"/>
    <w:rsid w:val="005E229A"/>
    <w:rsid w:val="005E23B3"/>
    <w:rsid w:val="005E23C5"/>
    <w:rsid w:val="005E25C4"/>
    <w:rsid w:val="005E25D6"/>
    <w:rsid w:val="005E2722"/>
    <w:rsid w:val="005E27BE"/>
    <w:rsid w:val="005E288B"/>
    <w:rsid w:val="005E2960"/>
    <w:rsid w:val="005E2966"/>
    <w:rsid w:val="005E2A22"/>
    <w:rsid w:val="005E2B35"/>
    <w:rsid w:val="005E2B40"/>
    <w:rsid w:val="005E2B75"/>
    <w:rsid w:val="005E2BAB"/>
    <w:rsid w:val="005E2BE9"/>
    <w:rsid w:val="005E2C53"/>
    <w:rsid w:val="005E2D4D"/>
    <w:rsid w:val="005E2F78"/>
    <w:rsid w:val="005E2FB4"/>
    <w:rsid w:val="005E31D5"/>
    <w:rsid w:val="005E31D7"/>
    <w:rsid w:val="005E324E"/>
    <w:rsid w:val="005E3268"/>
    <w:rsid w:val="005E3293"/>
    <w:rsid w:val="005E3318"/>
    <w:rsid w:val="005E333C"/>
    <w:rsid w:val="005E336A"/>
    <w:rsid w:val="005E33D3"/>
    <w:rsid w:val="005E33EF"/>
    <w:rsid w:val="005E3469"/>
    <w:rsid w:val="005E35D5"/>
    <w:rsid w:val="005E368A"/>
    <w:rsid w:val="005E38E8"/>
    <w:rsid w:val="005E39B3"/>
    <w:rsid w:val="005E3A8A"/>
    <w:rsid w:val="005E3B6B"/>
    <w:rsid w:val="005E3C75"/>
    <w:rsid w:val="005E3C8A"/>
    <w:rsid w:val="005E3D1B"/>
    <w:rsid w:val="005E3EB6"/>
    <w:rsid w:val="005E3FB3"/>
    <w:rsid w:val="005E3FED"/>
    <w:rsid w:val="005E42AE"/>
    <w:rsid w:val="005E42D7"/>
    <w:rsid w:val="005E42D8"/>
    <w:rsid w:val="005E43AA"/>
    <w:rsid w:val="005E4588"/>
    <w:rsid w:val="005E4593"/>
    <w:rsid w:val="005E45CD"/>
    <w:rsid w:val="005E4765"/>
    <w:rsid w:val="005E47C2"/>
    <w:rsid w:val="005E48B5"/>
    <w:rsid w:val="005E4927"/>
    <w:rsid w:val="005E496A"/>
    <w:rsid w:val="005E4A5F"/>
    <w:rsid w:val="005E4B4C"/>
    <w:rsid w:val="005E4B86"/>
    <w:rsid w:val="005E4C33"/>
    <w:rsid w:val="005E4D42"/>
    <w:rsid w:val="005E4D7E"/>
    <w:rsid w:val="005E4DED"/>
    <w:rsid w:val="005E4F39"/>
    <w:rsid w:val="005E5024"/>
    <w:rsid w:val="005E5031"/>
    <w:rsid w:val="005E5102"/>
    <w:rsid w:val="005E5181"/>
    <w:rsid w:val="005E51D0"/>
    <w:rsid w:val="005E523D"/>
    <w:rsid w:val="005E5266"/>
    <w:rsid w:val="005E555D"/>
    <w:rsid w:val="005E558C"/>
    <w:rsid w:val="005E5785"/>
    <w:rsid w:val="005E57A9"/>
    <w:rsid w:val="005E5827"/>
    <w:rsid w:val="005E5841"/>
    <w:rsid w:val="005E5853"/>
    <w:rsid w:val="005E5899"/>
    <w:rsid w:val="005E58F1"/>
    <w:rsid w:val="005E5938"/>
    <w:rsid w:val="005E5990"/>
    <w:rsid w:val="005E599A"/>
    <w:rsid w:val="005E5AC7"/>
    <w:rsid w:val="005E5CDC"/>
    <w:rsid w:val="005E5DB2"/>
    <w:rsid w:val="005E5E18"/>
    <w:rsid w:val="005E5ECC"/>
    <w:rsid w:val="005E5FD9"/>
    <w:rsid w:val="005E6124"/>
    <w:rsid w:val="005E61B7"/>
    <w:rsid w:val="005E6259"/>
    <w:rsid w:val="005E62F6"/>
    <w:rsid w:val="005E6328"/>
    <w:rsid w:val="005E632C"/>
    <w:rsid w:val="005E645B"/>
    <w:rsid w:val="005E64D0"/>
    <w:rsid w:val="005E65A8"/>
    <w:rsid w:val="005E661E"/>
    <w:rsid w:val="005E6703"/>
    <w:rsid w:val="005E6752"/>
    <w:rsid w:val="005E680F"/>
    <w:rsid w:val="005E68CB"/>
    <w:rsid w:val="005E694D"/>
    <w:rsid w:val="005E6BCD"/>
    <w:rsid w:val="005E6C19"/>
    <w:rsid w:val="005E6C2F"/>
    <w:rsid w:val="005E6D17"/>
    <w:rsid w:val="005E6D4E"/>
    <w:rsid w:val="005E7024"/>
    <w:rsid w:val="005E7070"/>
    <w:rsid w:val="005E7083"/>
    <w:rsid w:val="005E70AA"/>
    <w:rsid w:val="005E7329"/>
    <w:rsid w:val="005E735C"/>
    <w:rsid w:val="005E7363"/>
    <w:rsid w:val="005E7366"/>
    <w:rsid w:val="005E7655"/>
    <w:rsid w:val="005E79AF"/>
    <w:rsid w:val="005E7B93"/>
    <w:rsid w:val="005E7BEF"/>
    <w:rsid w:val="005E7D47"/>
    <w:rsid w:val="005E7FE1"/>
    <w:rsid w:val="005F011E"/>
    <w:rsid w:val="005F0244"/>
    <w:rsid w:val="005F0324"/>
    <w:rsid w:val="005F0374"/>
    <w:rsid w:val="005F0692"/>
    <w:rsid w:val="005F06C3"/>
    <w:rsid w:val="005F082D"/>
    <w:rsid w:val="005F084E"/>
    <w:rsid w:val="005F084F"/>
    <w:rsid w:val="005F08D6"/>
    <w:rsid w:val="005F0945"/>
    <w:rsid w:val="005F094A"/>
    <w:rsid w:val="005F097C"/>
    <w:rsid w:val="005F0A37"/>
    <w:rsid w:val="005F0A64"/>
    <w:rsid w:val="005F0AA0"/>
    <w:rsid w:val="005F0B5B"/>
    <w:rsid w:val="005F0EA2"/>
    <w:rsid w:val="005F0F83"/>
    <w:rsid w:val="005F10AE"/>
    <w:rsid w:val="005F10E0"/>
    <w:rsid w:val="005F10F8"/>
    <w:rsid w:val="005F11E2"/>
    <w:rsid w:val="005F1259"/>
    <w:rsid w:val="005F12BD"/>
    <w:rsid w:val="005F140D"/>
    <w:rsid w:val="005F155F"/>
    <w:rsid w:val="005F1841"/>
    <w:rsid w:val="005F19FF"/>
    <w:rsid w:val="005F1AD1"/>
    <w:rsid w:val="005F1B27"/>
    <w:rsid w:val="005F1B2C"/>
    <w:rsid w:val="005F1C21"/>
    <w:rsid w:val="005F1DB5"/>
    <w:rsid w:val="005F1DBD"/>
    <w:rsid w:val="005F1E82"/>
    <w:rsid w:val="005F2241"/>
    <w:rsid w:val="005F22C6"/>
    <w:rsid w:val="005F22D6"/>
    <w:rsid w:val="005F2321"/>
    <w:rsid w:val="005F2381"/>
    <w:rsid w:val="005F2470"/>
    <w:rsid w:val="005F24A8"/>
    <w:rsid w:val="005F24E7"/>
    <w:rsid w:val="005F2645"/>
    <w:rsid w:val="005F26EF"/>
    <w:rsid w:val="005F2765"/>
    <w:rsid w:val="005F278C"/>
    <w:rsid w:val="005F28FC"/>
    <w:rsid w:val="005F29BC"/>
    <w:rsid w:val="005F2AA6"/>
    <w:rsid w:val="005F2C77"/>
    <w:rsid w:val="005F2E8A"/>
    <w:rsid w:val="005F2F49"/>
    <w:rsid w:val="005F307F"/>
    <w:rsid w:val="005F31D2"/>
    <w:rsid w:val="005F32A5"/>
    <w:rsid w:val="005F32F5"/>
    <w:rsid w:val="005F3317"/>
    <w:rsid w:val="005F3324"/>
    <w:rsid w:val="005F338A"/>
    <w:rsid w:val="005F3462"/>
    <w:rsid w:val="005F34BD"/>
    <w:rsid w:val="005F35BA"/>
    <w:rsid w:val="005F365E"/>
    <w:rsid w:val="005F3895"/>
    <w:rsid w:val="005F397E"/>
    <w:rsid w:val="005F398D"/>
    <w:rsid w:val="005F399F"/>
    <w:rsid w:val="005F3A6F"/>
    <w:rsid w:val="005F3AA4"/>
    <w:rsid w:val="005F3AB4"/>
    <w:rsid w:val="005F3BE0"/>
    <w:rsid w:val="005F3CAB"/>
    <w:rsid w:val="005F3D58"/>
    <w:rsid w:val="005F3D7B"/>
    <w:rsid w:val="005F3E61"/>
    <w:rsid w:val="005F3F21"/>
    <w:rsid w:val="005F4023"/>
    <w:rsid w:val="005F4056"/>
    <w:rsid w:val="005F409B"/>
    <w:rsid w:val="005F411D"/>
    <w:rsid w:val="005F4207"/>
    <w:rsid w:val="005F4231"/>
    <w:rsid w:val="005F4318"/>
    <w:rsid w:val="005F4330"/>
    <w:rsid w:val="005F43A7"/>
    <w:rsid w:val="005F44FF"/>
    <w:rsid w:val="005F4529"/>
    <w:rsid w:val="005F4683"/>
    <w:rsid w:val="005F477D"/>
    <w:rsid w:val="005F4933"/>
    <w:rsid w:val="005F4C0A"/>
    <w:rsid w:val="005F4CDA"/>
    <w:rsid w:val="005F4DC1"/>
    <w:rsid w:val="005F4DF3"/>
    <w:rsid w:val="005F4E17"/>
    <w:rsid w:val="005F4E78"/>
    <w:rsid w:val="005F4EAF"/>
    <w:rsid w:val="005F4F19"/>
    <w:rsid w:val="005F4FE0"/>
    <w:rsid w:val="005F4FED"/>
    <w:rsid w:val="005F50E1"/>
    <w:rsid w:val="005F51E4"/>
    <w:rsid w:val="005F528A"/>
    <w:rsid w:val="005F52B5"/>
    <w:rsid w:val="005F52BA"/>
    <w:rsid w:val="005F52E6"/>
    <w:rsid w:val="005F5363"/>
    <w:rsid w:val="005F55C8"/>
    <w:rsid w:val="005F55FA"/>
    <w:rsid w:val="005F568B"/>
    <w:rsid w:val="005F57A6"/>
    <w:rsid w:val="005F592A"/>
    <w:rsid w:val="005F5949"/>
    <w:rsid w:val="005F59CF"/>
    <w:rsid w:val="005F5CBB"/>
    <w:rsid w:val="005F5CC3"/>
    <w:rsid w:val="005F5D77"/>
    <w:rsid w:val="005F5F3D"/>
    <w:rsid w:val="005F5FBE"/>
    <w:rsid w:val="005F629C"/>
    <w:rsid w:val="005F62CA"/>
    <w:rsid w:val="005F6308"/>
    <w:rsid w:val="005F639E"/>
    <w:rsid w:val="005F6489"/>
    <w:rsid w:val="005F6796"/>
    <w:rsid w:val="005F69D7"/>
    <w:rsid w:val="005F6A62"/>
    <w:rsid w:val="005F6AD3"/>
    <w:rsid w:val="005F6B06"/>
    <w:rsid w:val="005F6BAA"/>
    <w:rsid w:val="005F6BB8"/>
    <w:rsid w:val="005F6CAA"/>
    <w:rsid w:val="005F6CB5"/>
    <w:rsid w:val="005F6CE3"/>
    <w:rsid w:val="005F6E46"/>
    <w:rsid w:val="005F6EBE"/>
    <w:rsid w:val="005F6EFC"/>
    <w:rsid w:val="005F6FAE"/>
    <w:rsid w:val="005F70EF"/>
    <w:rsid w:val="005F7213"/>
    <w:rsid w:val="005F7292"/>
    <w:rsid w:val="005F72BF"/>
    <w:rsid w:val="005F734F"/>
    <w:rsid w:val="005F738C"/>
    <w:rsid w:val="005F739E"/>
    <w:rsid w:val="005F740D"/>
    <w:rsid w:val="005F745C"/>
    <w:rsid w:val="005F74ED"/>
    <w:rsid w:val="005F7529"/>
    <w:rsid w:val="005F75EF"/>
    <w:rsid w:val="005F7744"/>
    <w:rsid w:val="005F7814"/>
    <w:rsid w:val="005F7894"/>
    <w:rsid w:val="005F78DE"/>
    <w:rsid w:val="005F7AEC"/>
    <w:rsid w:val="005F7C96"/>
    <w:rsid w:val="005F7CA0"/>
    <w:rsid w:val="005F7D79"/>
    <w:rsid w:val="005F7D9F"/>
    <w:rsid w:val="005F7DB8"/>
    <w:rsid w:val="005F7E3C"/>
    <w:rsid w:val="005F7E53"/>
    <w:rsid w:val="005F7E85"/>
    <w:rsid w:val="005F7ED1"/>
    <w:rsid w:val="0060009D"/>
    <w:rsid w:val="006001E6"/>
    <w:rsid w:val="006002AB"/>
    <w:rsid w:val="006002F8"/>
    <w:rsid w:val="0060044F"/>
    <w:rsid w:val="006004F2"/>
    <w:rsid w:val="00600618"/>
    <w:rsid w:val="00600815"/>
    <w:rsid w:val="00600935"/>
    <w:rsid w:val="006009A9"/>
    <w:rsid w:val="00600A13"/>
    <w:rsid w:val="00600A2D"/>
    <w:rsid w:val="00600AE2"/>
    <w:rsid w:val="00600B40"/>
    <w:rsid w:val="00600B96"/>
    <w:rsid w:val="00600DFD"/>
    <w:rsid w:val="00600E32"/>
    <w:rsid w:val="0060110A"/>
    <w:rsid w:val="00601146"/>
    <w:rsid w:val="006011DA"/>
    <w:rsid w:val="00601211"/>
    <w:rsid w:val="006012F6"/>
    <w:rsid w:val="00601308"/>
    <w:rsid w:val="00601368"/>
    <w:rsid w:val="006013C1"/>
    <w:rsid w:val="00601820"/>
    <w:rsid w:val="006018D5"/>
    <w:rsid w:val="00601902"/>
    <w:rsid w:val="00601975"/>
    <w:rsid w:val="00601988"/>
    <w:rsid w:val="00601A38"/>
    <w:rsid w:val="00601A39"/>
    <w:rsid w:val="00601CEC"/>
    <w:rsid w:val="00601D14"/>
    <w:rsid w:val="00601D38"/>
    <w:rsid w:val="00601D5A"/>
    <w:rsid w:val="00601E4F"/>
    <w:rsid w:val="00601E73"/>
    <w:rsid w:val="00601F8E"/>
    <w:rsid w:val="0060207D"/>
    <w:rsid w:val="0060208E"/>
    <w:rsid w:val="006023E2"/>
    <w:rsid w:val="006026AC"/>
    <w:rsid w:val="0060284A"/>
    <w:rsid w:val="00602874"/>
    <w:rsid w:val="00602878"/>
    <w:rsid w:val="006028B7"/>
    <w:rsid w:val="00602916"/>
    <w:rsid w:val="00602BEF"/>
    <w:rsid w:val="00602CCA"/>
    <w:rsid w:val="00602E27"/>
    <w:rsid w:val="00602EAB"/>
    <w:rsid w:val="00602EB1"/>
    <w:rsid w:val="00602EDD"/>
    <w:rsid w:val="00602EF7"/>
    <w:rsid w:val="00602F6F"/>
    <w:rsid w:val="006030EF"/>
    <w:rsid w:val="006030F6"/>
    <w:rsid w:val="0060311E"/>
    <w:rsid w:val="006031F3"/>
    <w:rsid w:val="00603219"/>
    <w:rsid w:val="0060337D"/>
    <w:rsid w:val="006033A4"/>
    <w:rsid w:val="0060355F"/>
    <w:rsid w:val="00603698"/>
    <w:rsid w:val="006036CE"/>
    <w:rsid w:val="006036D4"/>
    <w:rsid w:val="00603814"/>
    <w:rsid w:val="0060384A"/>
    <w:rsid w:val="006038C6"/>
    <w:rsid w:val="00603ADD"/>
    <w:rsid w:val="00603B37"/>
    <w:rsid w:val="00603CE0"/>
    <w:rsid w:val="00603DD7"/>
    <w:rsid w:val="00603FB6"/>
    <w:rsid w:val="00603FD3"/>
    <w:rsid w:val="00604091"/>
    <w:rsid w:val="00604162"/>
    <w:rsid w:val="00604183"/>
    <w:rsid w:val="006041BB"/>
    <w:rsid w:val="006041EE"/>
    <w:rsid w:val="006043C5"/>
    <w:rsid w:val="00604456"/>
    <w:rsid w:val="00604574"/>
    <w:rsid w:val="0060459B"/>
    <w:rsid w:val="0060461E"/>
    <w:rsid w:val="00604654"/>
    <w:rsid w:val="0060466B"/>
    <w:rsid w:val="00604783"/>
    <w:rsid w:val="006047A4"/>
    <w:rsid w:val="006047A5"/>
    <w:rsid w:val="00604807"/>
    <w:rsid w:val="006048FF"/>
    <w:rsid w:val="00604927"/>
    <w:rsid w:val="00604B43"/>
    <w:rsid w:val="00604DE2"/>
    <w:rsid w:val="00604F23"/>
    <w:rsid w:val="00604F54"/>
    <w:rsid w:val="00605062"/>
    <w:rsid w:val="006051DF"/>
    <w:rsid w:val="006052BB"/>
    <w:rsid w:val="00605362"/>
    <w:rsid w:val="00605384"/>
    <w:rsid w:val="006054DA"/>
    <w:rsid w:val="0060554B"/>
    <w:rsid w:val="00605585"/>
    <w:rsid w:val="006055E2"/>
    <w:rsid w:val="00605623"/>
    <w:rsid w:val="00605747"/>
    <w:rsid w:val="00605769"/>
    <w:rsid w:val="00605792"/>
    <w:rsid w:val="00605804"/>
    <w:rsid w:val="00605BF8"/>
    <w:rsid w:val="00605ECC"/>
    <w:rsid w:val="00605F8E"/>
    <w:rsid w:val="0060611B"/>
    <w:rsid w:val="006062DB"/>
    <w:rsid w:val="0060630D"/>
    <w:rsid w:val="006063C9"/>
    <w:rsid w:val="0060665F"/>
    <w:rsid w:val="00606788"/>
    <w:rsid w:val="0060680A"/>
    <w:rsid w:val="00606928"/>
    <w:rsid w:val="006069C9"/>
    <w:rsid w:val="00606ADD"/>
    <w:rsid w:val="00606AF8"/>
    <w:rsid w:val="00606B82"/>
    <w:rsid w:val="00606BB7"/>
    <w:rsid w:val="00606C89"/>
    <w:rsid w:val="00606CBD"/>
    <w:rsid w:val="00606D4C"/>
    <w:rsid w:val="00606D9E"/>
    <w:rsid w:val="00606E0F"/>
    <w:rsid w:val="00606EBE"/>
    <w:rsid w:val="00606FA0"/>
    <w:rsid w:val="006070C9"/>
    <w:rsid w:val="0060724B"/>
    <w:rsid w:val="0060733B"/>
    <w:rsid w:val="0060747E"/>
    <w:rsid w:val="006075C3"/>
    <w:rsid w:val="00607621"/>
    <w:rsid w:val="006077B1"/>
    <w:rsid w:val="00607807"/>
    <w:rsid w:val="0060797D"/>
    <w:rsid w:val="00607A43"/>
    <w:rsid w:val="00607BD2"/>
    <w:rsid w:val="00607D39"/>
    <w:rsid w:val="00607E1F"/>
    <w:rsid w:val="00607E8C"/>
    <w:rsid w:val="00607F85"/>
    <w:rsid w:val="00607F9A"/>
    <w:rsid w:val="006101AD"/>
    <w:rsid w:val="00610290"/>
    <w:rsid w:val="006102AD"/>
    <w:rsid w:val="006102FF"/>
    <w:rsid w:val="00610398"/>
    <w:rsid w:val="006103CB"/>
    <w:rsid w:val="0061048C"/>
    <w:rsid w:val="006104B0"/>
    <w:rsid w:val="00610749"/>
    <w:rsid w:val="0061074D"/>
    <w:rsid w:val="0061076D"/>
    <w:rsid w:val="00610A37"/>
    <w:rsid w:val="00610A56"/>
    <w:rsid w:val="00610AC4"/>
    <w:rsid w:val="00610C7C"/>
    <w:rsid w:val="00610DB9"/>
    <w:rsid w:val="00610E11"/>
    <w:rsid w:val="00610E9C"/>
    <w:rsid w:val="0061102E"/>
    <w:rsid w:val="00611041"/>
    <w:rsid w:val="00611081"/>
    <w:rsid w:val="0061109F"/>
    <w:rsid w:val="00611145"/>
    <w:rsid w:val="006111B5"/>
    <w:rsid w:val="006111CE"/>
    <w:rsid w:val="006112EF"/>
    <w:rsid w:val="0061130E"/>
    <w:rsid w:val="006113F8"/>
    <w:rsid w:val="00611476"/>
    <w:rsid w:val="006115B3"/>
    <w:rsid w:val="006116C0"/>
    <w:rsid w:val="006117F5"/>
    <w:rsid w:val="00611843"/>
    <w:rsid w:val="006118AC"/>
    <w:rsid w:val="00611A78"/>
    <w:rsid w:val="00611AB2"/>
    <w:rsid w:val="00611AF4"/>
    <w:rsid w:val="00611B5F"/>
    <w:rsid w:val="00611BC8"/>
    <w:rsid w:val="00611E87"/>
    <w:rsid w:val="00612135"/>
    <w:rsid w:val="006121C2"/>
    <w:rsid w:val="00612230"/>
    <w:rsid w:val="006122F7"/>
    <w:rsid w:val="00612583"/>
    <w:rsid w:val="00612585"/>
    <w:rsid w:val="006125D4"/>
    <w:rsid w:val="00612651"/>
    <w:rsid w:val="006126D9"/>
    <w:rsid w:val="0061275E"/>
    <w:rsid w:val="0061287F"/>
    <w:rsid w:val="006128B2"/>
    <w:rsid w:val="006128CE"/>
    <w:rsid w:val="0061290F"/>
    <w:rsid w:val="00612A84"/>
    <w:rsid w:val="00612C95"/>
    <w:rsid w:val="00612D35"/>
    <w:rsid w:val="00612D42"/>
    <w:rsid w:val="00612E07"/>
    <w:rsid w:val="00612E2C"/>
    <w:rsid w:val="00612E74"/>
    <w:rsid w:val="00612EFF"/>
    <w:rsid w:val="0061307B"/>
    <w:rsid w:val="006133EB"/>
    <w:rsid w:val="006133FD"/>
    <w:rsid w:val="006134A0"/>
    <w:rsid w:val="0061354D"/>
    <w:rsid w:val="006135CA"/>
    <w:rsid w:val="00613610"/>
    <w:rsid w:val="0061373C"/>
    <w:rsid w:val="00613742"/>
    <w:rsid w:val="00613819"/>
    <w:rsid w:val="00613830"/>
    <w:rsid w:val="006138B5"/>
    <w:rsid w:val="006139C9"/>
    <w:rsid w:val="00613A9B"/>
    <w:rsid w:val="00613BF3"/>
    <w:rsid w:val="00613C65"/>
    <w:rsid w:val="00613E18"/>
    <w:rsid w:val="00613E52"/>
    <w:rsid w:val="00613FD1"/>
    <w:rsid w:val="00614037"/>
    <w:rsid w:val="006140D3"/>
    <w:rsid w:val="006141B0"/>
    <w:rsid w:val="006141DD"/>
    <w:rsid w:val="00614362"/>
    <w:rsid w:val="0061439B"/>
    <w:rsid w:val="006143DE"/>
    <w:rsid w:val="00614473"/>
    <w:rsid w:val="006144DA"/>
    <w:rsid w:val="0061456A"/>
    <w:rsid w:val="0061457F"/>
    <w:rsid w:val="0061465F"/>
    <w:rsid w:val="006148F2"/>
    <w:rsid w:val="00614938"/>
    <w:rsid w:val="00614CC1"/>
    <w:rsid w:val="00614E58"/>
    <w:rsid w:val="00614EDD"/>
    <w:rsid w:val="00614F46"/>
    <w:rsid w:val="006150E4"/>
    <w:rsid w:val="006150F5"/>
    <w:rsid w:val="0061510D"/>
    <w:rsid w:val="00615145"/>
    <w:rsid w:val="006151C7"/>
    <w:rsid w:val="00615275"/>
    <w:rsid w:val="006152DC"/>
    <w:rsid w:val="0061539D"/>
    <w:rsid w:val="006153A4"/>
    <w:rsid w:val="006154D2"/>
    <w:rsid w:val="00615547"/>
    <w:rsid w:val="00615565"/>
    <w:rsid w:val="00615658"/>
    <w:rsid w:val="0061566C"/>
    <w:rsid w:val="006158B8"/>
    <w:rsid w:val="0061590F"/>
    <w:rsid w:val="00615A0E"/>
    <w:rsid w:val="00615B17"/>
    <w:rsid w:val="00615BAB"/>
    <w:rsid w:val="00615CAC"/>
    <w:rsid w:val="00615D4C"/>
    <w:rsid w:val="00615E06"/>
    <w:rsid w:val="0061602C"/>
    <w:rsid w:val="0061607F"/>
    <w:rsid w:val="006164ED"/>
    <w:rsid w:val="0061659E"/>
    <w:rsid w:val="0061662D"/>
    <w:rsid w:val="00616789"/>
    <w:rsid w:val="0061686D"/>
    <w:rsid w:val="006168CE"/>
    <w:rsid w:val="006169AC"/>
    <w:rsid w:val="00616ABE"/>
    <w:rsid w:val="00616B4C"/>
    <w:rsid w:val="00616B71"/>
    <w:rsid w:val="00616D79"/>
    <w:rsid w:val="00616ED2"/>
    <w:rsid w:val="00616F0F"/>
    <w:rsid w:val="00616F23"/>
    <w:rsid w:val="00616F39"/>
    <w:rsid w:val="00617025"/>
    <w:rsid w:val="0061713C"/>
    <w:rsid w:val="0061713E"/>
    <w:rsid w:val="00617169"/>
    <w:rsid w:val="006171FB"/>
    <w:rsid w:val="006172C3"/>
    <w:rsid w:val="006172EF"/>
    <w:rsid w:val="00617339"/>
    <w:rsid w:val="006174C3"/>
    <w:rsid w:val="006174CA"/>
    <w:rsid w:val="00617550"/>
    <w:rsid w:val="006175AA"/>
    <w:rsid w:val="00617614"/>
    <w:rsid w:val="006176D4"/>
    <w:rsid w:val="00617779"/>
    <w:rsid w:val="006177EF"/>
    <w:rsid w:val="00617876"/>
    <w:rsid w:val="00617903"/>
    <w:rsid w:val="00617912"/>
    <w:rsid w:val="00617C37"/>
    <w:rsid w:val="00617C4E"/>
    <w:rsid w:val="00617F66"/>
    <w:rsid w:val="00617F75"/>
    <w:rsid w:val="00617FE3"/>
    <w:rsid w:val="0062003C"/>
    <w:rsid w:val="0062007C"/>
    <w:rsid w:val="006200DC"/>
    <w:rsid w:val="0062011A"/>
    <w:rsid w:val="006201A1"/>
    <w:rsid w:val="006201C5"/>
    <w:rsid w:val="006203E2"/>
    <w:rsid w:val="00620492"/>
    <w:rsid w:val="0062055B"/>
    <w:rsid w:val="006205AC"/>
    <w:rsid w:val="0062067F"/>
    <w:rsid w:val="006206DB"/>
    <w:rsid w:val="0062074C"/>
    <w:rsid w:val="00620798"/>
    <w:rsid w:val="006208DB"/>
    <w:rsid w:val="006208E6"/>
    <w:rsid w:val="006208FF"/>
    <w:rsid w:val="00620919"/>
    <w:rsid w:val="00620928"/>
    <w:rsid w:val="00620992"/>
    <w:rsid w:val="006209C9"/>
    <w:rsid w:val="00620A37"/>
    <w:rsid w:val="00620A99"/>
    <w:rsid w:val="00620AB1"/>
    <w:rsid w:val="00620AF5"/>
    <w:rsid w:val="00620F69"/>
    <w:rsid w:val="00620F9A"/>
    <w:rsid w:val="0062100B"/>
    <w:rsid w:val="00621151"/>
    <w:rsid w:val="00621180"/>
    <w:rsid w:val="006211E7"/>
    <w:rsid w:val="00621263"/>
    <w:rsid w:val="00621461"/>
    <w:rsid w:val="0062155A"/>
    <w:rsid w:val="006215EE"/>
    <w:rsid w:val="00621669"/>
    <w:rsid w:val="00621682"/>
    <w:rsid w:val="006216C6"/>
    <w:rsid w:val="006217CB"/>
    <w:rsid w:val="006219D6"/>
    <w:rsid w:val="00621AF6"/>
    <w:rsid w:val="00621C87"/>
    <w:rsid w:val="00621F25"/>
    <w:rsid w:val="00621F7D"/>
    <w:rsid w:val="00621FD4"/>
    <w:rsid w:val="00622016"/>
    <w:rsid w:val="00622017"/>
    <w:rsid w:val="00622019"/>
    <w:rsid w:val="00622173"/>
    <w:rsid w:val="0062218C"/>
    <w:rsid w:val="0062247A"/>
    <w:rsid w:val="00622511"/>
    <w:rsid w:val="0062278B"/>
    <w:rsid w:val="00622A72"/>
    <w:rsid w:val="00622A8F"/>
    <w:rsid w:val="00622C6C"/>
    <w:rsid w:val="00622D57"/>
    <w:rsid w:val="00622DA7"/>
    <w:rsid w:val="00622F71"/>
    <w:rsid w:val="00622F83"/>
    <w:rsid w:val="0062305B"/>
    <w:rsid w:val="0062322A"/>
    <w:rsid w:val="006232D0"/>
    <w:rsid w:val="006232F6"/>
    <w:rsid w:val="0062370E"/>
    <w:rsid w:val="0062385F"/>
    <w:rsid w:val="006238A2"/>
    <w:rsid w:val="006238C8"/>
    <w:rsid w:val="006238D3"/>
    <w:rsid w:val="00623992"/>
    <w:rsid w:val="00623A44"/>
    <w:rsid w:val="00623AD4"/>
    <w:rsid w:val="00623B21"/>
    <w:rsid w:val="00623BE2"/>
    <w:rsid w:val="00623EA4"/>
    <w:rsid w:val="00623F25"/>
    <w:rsid w:val="0062406A"/>
    <w:rsid w:val="00624090"/>
    <w:rsid w:val="006240D0"/>
    <w:rsid w:val="006241B1"/>
    <w:rsid w:val="0062433E"/>
    <w:rsid w:val="0062444B"/>
    <w:rsid w:val="00624458"/>
    <w:rsid w:val="006244E7"/>
    <w:rsid w:val="00624541"/>
    <w:rsid w:val="00624590"/>
    <w:rsid w:val="006245E8"/>
    <w:rsid w:val="006247D3"/>
    <w:rsid w:val="006247DC"/>
    <w:rsid w:val="006248AD"/>
    <w:rsid w:val="006248B5"/>
    <w:rsid w:val="006248F0"/>
    <w:rsid w:val="00624BB4"/>
    <w:rsid w:val="00624D1A"/>
    <w:rsid w:val="00624D24"/>
    <w:rsid w:val="00624D71"/>
    <w:rsid w:val="00624D88"/>
    <w:rsid w:val="00624E15"/>
    <w:rsid w:val="00624E96"/>
    <w:rsid w:val="0062514D"/>
    <w:rsid w:val="006252AF"/>
    <w:rsid w:val="006254AB"/>
    <w:rsid w:val="00625600"/>
    <w:rsid w:val="00625669"/>
    <w:rsid w:val="00625859"/>
    <w:rsid w:val="0062585F"/>
    <w:rsid w:val="006258A3"/>
    <w:rsid w:val="006258D5"/>
    <w:rsid w:val="0062596C"/>
    <w:rsid w:val="00625979"/>
    <w:rsid w:val="00625ACC"/>
    <w:rsid w:val="00625D33"/>
    <w:rsid w:val="00625D65"/>
    <w:rsid w:val="00625DD0"/>
    <w:rsid w:val="00625F6F"/>
    <w:rsid w:val="0062600A"/>
    <w:rsid w:val="0062601E"/>
    <w:rsid w:val="006260AE"/>
    <w:rsid w:val="00626138"/>
    <w:rsid w:val="006261A6"/>
    <w:rsid w:val="00626234"/>
    <w:rsid w:val="00626240"/>
    <w:rsid w:val="0062638B"/>
    <w:rsid w:val="006264C9"/>
    <w:rsid w:val="006264E0"/>
    <w:rsid w:val="006264E8"/>
    <w:rsid w:val="0062655E"/>
    <w:rsid w:val="00626566"/>
    <w:rsid w:val="006267C3"/>
    <w:rsid w:val="0062688B"/>
    <w:rsid w:val="00626983"/>
    <w:rsid w:val="00626AF2"/>
    <w:rsid w:val="00626B6D"/>
    <w:rsid w:val="00626C29"/>
    <w:rsid w:val="00626D10"/>
    <w:rsid w:val="00626DA4"/>
    <w:rsid w:val="00626EB1"/>
    <w:rsid w:val="00627002"/>
    <w:rsid w:val="00627090"/>
    <w:rsid w:val="006271E4"/>
    <w:rsid w:val="006272EB"/>
    <w:rsid w:val="006272F1"/>
    <w:rsid w:val="0062735F"/>
    <w:rsid w:val="006273EB"/>
    <w:rsid w:val="006273F5"/>
    <w:rsid w:val="006274B2"/>
    <w:rsid w:val="00627544"/>
    <w:rsid w:val="00627639"/>
    <w:rsid w:val="00627641"/>
    <w:rsid w:val="006276B2"/>
    <w:rsid w:val="006278AE"/>
    <w:rsid w:val="00627A90"/>
    <w:rsid w:val="00627B7B"/>
    <w:rsid w:val="00627EA0"/>
    <w:rsid w:val="00627EBE"/>
    <w:rsid w:val="00627FBA"/>
    <w:rsid w:val="0062BBE8"/>
    <w:rsid w:val="00630103"/>
    <w:rsid w:val="00630192"/>
    <w:rsid w:val="006301E4"/>
    <w:rsid w:val="0063022D"/>
    <w:rsid w:val="00630235"/>
    <w:rsid w:val="006304A9"/>
    <w:rsid w:val="006304AE"/>
    <w:rsid w:val="006304FB"/>
    <w:rsid w:val="0063065C"/>
    <w:rsid w:val="006306C6"/>
    <w:rsid w:val="006306F2"/>
    <w:rsid w:val="006307D3"/>
    <w:rsid w:val="006308AB"/>
    <w:rsid w:val="006308ED"/>
    <w:rsid w:val="00630946"/>
    <w:rsid w:val="00630A0A"/>
    <w:rsid w:val="00630BDA"/>
    <w:rsid w:val="00630DE4"/>
    <w:rsid w:val="00630EE6"/>
    <w:rsid w:val="00630EF1"/>
    <w:rsid w:val="00630FE1"/>
    <w:rsid w:val="006310B5"/>
    <w:rsid w:val="0063144E"/>
    <w:rsid w:val="0063156F"/>
    <w:rsid w:val="00631580"/>
    <w:rsid w:val="006315F2"/>
    <w:rsid w:val="0063167A"/>
    <w:rsid w:val="006316BB"/>
    <w:rsid w:val="00631757"/>
    <w:rsid w:val="006317EB"/>
    <w:rsid w:val="00631813"/>
    <w:rsid w:val="006318C3"/>
    <w:rsid w:val="00631944"/>
    <w:rsid w:val="00631993"/>
    <w:rsid w:val="00631AFB"/>
    <w:rsid w:val="00631BD7"/>
    <w:rsid w:val="00631C7E"/>
    <w:rsid w:val="00631C9B"/>
    <w:rsid w:val="00631D25"/>
    <w:rsid w:val="00631D33"/>
    <w:rsid w:val="00631DE1"/>
    <w:rsid w:val="00631F34"/>
    <w:rsid w:val="00631F37"/>
    <w:rsid w:val="00631FAC"/>
    <w:rsid w:val="00631FC8"/>
    <w:rsid w:val="00631FD1"/>
    <w:rsid w:val="00631FF8"/>
    <w:rsid w:val="00632020"/>
    <w:rsid w:val="006321E6"/>
    <w:rsid w:val="00632238"/>
    <w:rsid w:val="00632273"/>
    <w:rsid w:val="00632292"/>
    <w:rsid w:val="006323CF"/>
    <w:rsid w:val="00632429"/>
    <w:rsid w:val="00632436"/>
    <w:rsid w:val="0063265D"/>
    <w:rsid w:val="006326C4"/>
    <w:rsid w:val="00632A24"/>
    <w:rsid w:val="00632B29"/>
    <w:rsid w:val="00632BB0"/>
    <w:rsid w:val="00632CF3"/>
    <w:rsid w:val="00632D67"/>
    <w:rsid w:val="00632D8B"/>
    <w:rsid w:val="00632DC0"/>
    <w:rsid w:val="00632ECA"/>
    <w:rsid w:val="0063305C"/>
    <w:rsid w:val="0063306F"/>
    <w:rsid w:val="0063316A"/>
    <w:rsid w:val="006333A9"/>
    <w:rsid w:val="006334A0"/>
    <w:rsid w:val="006335BA"/>
    <w:rsid w:val="006335D4"/>
    <w:rsid w:val="006335DD"/>
    <w:rsid w:val="006336F1"/>
    <w:rsid w:val="0063372D"/>
    <w:rsid w:val="00633797"/>
    <w:rsid w:val="0063381E"/>
    <w:rsid w:val="00633840"/>
    <w:rsid w:val="0063385F"/>
    <w:rsid w:val="0063395F"/>
    <w:rsid w:val="00633B48"/>
    <w:rsid w:val="00633B83"/>
    <w:rsid w:val="00633BA3"/>
    <w:rsid w:val="00633CF1"/>
    <w:rsid w:val="00633E98"/>
    <w:rsid w:val="0063406C"/>
    <w:rsid w:val="006340C9"/>
    <w:rsid w:val="00634204"/>
    <w:rsid w:val="00634483"/>
    <w:rsid w:val="00634507"/>
    <w:rsid w:val="0063451C"/>
    <w:rsid w:val="006345CE"/>
    <w:rsid w:val="00634631"/>
    <w:rsid w:val="00634649"/>
    <w:rsid w:val="00634652"/>
    <w:rsid w:val="00634699"/>
    <w:rsid w:val="0063493E"/>
    <w:rsid w:val="006349E4"/>
    <w:rsid w:val="00634A03"/>
    <w:rsid w:val="00634A44"/>
    <w:rsid w:val="00634A90"/>
    <w:rsid w:val="00634B96"/>
    <w:rsid w:val="00634C17"/>
    <w:rsid w:val="00634D10"/>
    <w:rsid w:val="00634D1D"/>
    <w:rsid w:val="00634E3D"/>
    <w:rsid w:val="00634E87"/>
    <w:rsid w:val="0063510F"/>
    <w:rsid w:val="00635116"/>
    <w:rsid w:val="0063517C"/>
    <w:rsid w:val="00635393"/>
    <w:rsid w:val="006354B7"/>
    <w:rsid w:val="0063562A"/>
    <w:rsid w:val="006356E8"/>
    <w:rsid w:val="00635705"/>
    <w:rsid w:val="00635892"/>
    <w:rsid w:val="006358F9"/>
    <w:rsid w:val="006359C1"/>
    <w:rsid w:val="00635A04"/>
    <w:rsid w:val="00635AEA"/>
    <w:rsid w:val="00635C12"/>
    <w:rsid w:val="00635C4C"/>
    <w:rsid w:val="00635CD5"/>
    <w:rsid w:val="00635D32"/>
    <w:rsid w:val="00635F9D"/>
    <w:rsid w:val="00636175"/>
    <w:rsid w:val="0063617A"/>
    <w:rsid w:val="006361DA"/>
    <w:rsid w:val="006362B5"/>
    <w:rsid w:val="006365F3"/>
    <w:rsid w:val="006365FD"/>
    <w:rsid w:val="006367AE"/>
    <w:rsid w:val="006367C8"/>
    <w:rsid w:val="0063699B"/>
    <w:rsid w:val="00636D1C"/>
    <w:rsid w:val="00636D60"/>
    <w:rsid w:val="00636DBF"/>
    <w:rsid w:val="00636E79"/>
    <w:rsid w:val="00636EBA"/>
    <w:rsid w:val="0063700D"/>
    <w:rsid w:val="00637088"/>
    <w:rsid w:val="00637092"/>
    <w:rsid w:val="006371B2"/>
    <w:rsid w:val="00637220"/>
    <w:rsid w:val="00637258"/>
    <w:rsid w:val="006372F6"/>
    <w:rsid w:val="00637322"/>
    <w:rsid w:val="0063742C"/>
    <w:rsid w:val="006374CF"/>
    <w:rsid w:val="006375E9"/>
    <w:rsid w:val="00637615"/>
    <w:rsid w:val="00637742"/>
    <w:rsid w:val="006378B9"/>
    <w:rsid w:val="006379C6"/>
    <w:rsid w:val="00637A51"/>
    <w:rsid w:val="00637CD1"/>
    <w:rsid w:val="00637FA6"/>
    <w:rsid w:val="00637FAA"/>
    <w:rsid w:val="00640138"/>
    <w:rsid w:val="0064019F"/>
    <w:rsid w:val="0064024F"/>
    <w:rsid w:val="006403AB"/>
    <w:rsid w:val="006403F0"/>
    <w:rsid w:val="0064041B"/>
    <w:rsid w:val="0064043B"/>
    <w:rsid w:val="006405F2"/>
    <w:rsid w:val="006406B6"/>
    <w:rsid w:val="006406ED"/>
    <w:rsid w:val="00640722"/>
    <w:rsid w:val="006407AD"/>
    <w:rsid w:val="006407BA"/>
    <w:rsid w:val="0064081B"/>
    <w:rsid w:val="00640848"/>
    <w:rsid w:val="006408E4"/>
    <w:rsid w:val="00640A1D"/>
    <w:rsid w:val="00640C5D"/>
    <w:rsid w:val="00640E47"/>
    <w:rsid w:val="00640ED8"/>
    <w:rsid w:val="00640F6B"/>
    <w:rsid w:val="00640FEF"/>
    <w:rsid w:val="00641145"/>
    <w:rsid w:val="006412C5"/>
    <w:rsid w:val="00641674"/>
    <w:rsid w:val="006416F2"/>
    <w:rsid w:val="00641827"/>
    <w:rsid w:val="00641914"/>
    <w:rsid w:val="006419CC"/>
    <w:rsid w:val="00641B15"/>
    <w:rsid w:val="00641D37"/>
    <w:rsid w:val="00641DD4"/>
    <w:rsid w:val="00641F56"/>
    <w:rsid w:val="00642061"/>
    <w:rsid w:val="006421DE"/>
    <w:rsid w:val="0064244F"/>
    <w:rsid w:val="0064257E"/>
    <w:rsid w:val="006425A0"/>
    <w:rsid w:val="0064279A"/>
    <w:rsid w:val="006427AC"/>
    <w:rsid w:val="006427B9"/>
    <w:rsid w:val="00642861"/>
    <w:rsid w:val="006428A3"/>
    <w:rsid w:val="0064295C"/>
    <w:rsid w:val="006429FA"/>
    <w:rsid w:val="00642A3C"/>
    <w:rsid w:val="00642A41"/>
    <w:rsid w:val="00642A5C"/>
    <w:rsid w:val="00642A89"/>
    <w:rsid w:val="00642B96"/>
    <w:rsid w:val="00642BA6"/>
    <w:rsid w:val="00642C1D"/>
    <w:rsid w:val="00642D85"/>
    <w:rsid w:val="00642DC3"/>
    <w:rsid w:val="00642E61"/>
    <w:rsid w:val="00642EB7"/>
    <w:rsid w:val="0064302A"/>
    <w:rsid w:val="00643143"/>
    <w:rsid w:val="006431F6"/>
    <w:rsid w:val="00643224"/>
    <w:rsid w:val="00643266"/>
    <w:rsid w:val="00643279"/>
    <w:rsid w:val="006432FE"/>
    <w:rsid w:val="00643324"/>
    <w:rsid w:val="0064347E"/>
    <w:rsid w:val="006435FB"/>
    <w:rsid w:val="00643643"/>
    <w:rsid w:val="0064369E"/>
    <w:rsid w:val="006436CE"/>
    <w:rsid w:val="00643734"/>
    <w:rsid w:val="00643742"/>
    <w:rsid w:val="006437A1"/>
    <w:rsid w:val="006437E3"/>
    <w:rsid w:val="006437E7"/>
    <w:rsid w:val="00643A5B"/>
    <w:rsid w:val="00643AA1"/>
    <w:rsid w:val="00643AC8"/>
    <w:rsid w:val="00643DAD"/>
    <w:rsid w:val="00643DD9"/>
    <w:rsid w:val="006440F2"/>
    <w:rsid w:val="00644114"/>
    <w:rsid w:val="00644347"/>
    <w:rsid w:val="006443B1"/>
    <w:rsid w:val="00644622"/>
    <w:rsid w:val="00644691"/>
    <w:rsid w:val="006446CE"/>
    <w:rsid w:val="00644771"/>
    <w:rsid w:val="006447A1"/>
    <w:rsid w:val="006447E3"/>
    <w:rsid w:val="00644A4E"/>
    <w:rsid w:val="00644B0F"/>
    <w:rsid w:val="00644C30"/>
    <w:rsid w:val="00644C58"/>
    <w:rsid w:val="00644C82"/>
    <w:rsid w:val="00644CC3"/>
    <w:rsid w:val="00644D12"/>
    <w:rsid w:val="00644D76"/>
    <w:rsid w:val="00644E1E"/>
    <w:rsid w:val="00644EB1"/>
    <w:rsid w:val="00644EF3"/>
    <w:rsid w:val="00644F36"/>
    <w:rsid w:val="0064510C"/>
    <w:rsid w:val="00645119"/>
    <w:rsid w:val="00645150"/>
    <w:rsid w:val="006451EA"/>
    <w:rsid w:val="00645366"/>
    <w:rsid w:val="00645433"/>
    <w:rsid w:val="006455F7"/>
    <w:rsid w:val="00645723"/>
    <w:rsid w:val="00645800"/>
    <w:rsid w:val="0064591A"/>
    <w:rsid w:val="00645B9C"/>
    <w:rsid w:val="00645C09"/>
    <w:rsid w:val="00645C29"/>
    <w:rsid w:val="00645D6F"/>
    <w:rsid w:val="00645DE9"/>
    <w:rsid w:val="00645E09"/>
    <w:rsid w:val="00645ECD"/>
    <w:rsid w:val="00646195"/>
    <w:rsid w:val="0064633A"/>
    <w:rsid w:val="00646386"/>
    <w:rsid w:val="00646620"/>
    <w:rsid w:val="00646692"/>
    <w:rsid w:val="0064669B"/>
    <w:rsid w:val="0064676A"/>
    <w:rsid w:val="0064678B"/>
    <w:rsid w:val="006467B6"/>
    <w:rsid w:val="006467C4"/>
    <w:rsid w:val="006467CD"/>
    <w:rsid w:val="0064684E"/>
    <w:rsid w:val="006468E8"/>
    <w:rsid w:val="00646966"/>
    <w:rsid w:val="00646AB1"/>
    <w:rsid w:val="00646AE8"/>
    <w:rsid w:val="00646B8B"/>
    <w:rsid w:val="00646BD6"/>
    <w:rsid w:val="00646CE2"/>
    <w:rsid w:val="00646EFB"/>
    <w:rsid w:val="00646F44"/>
    <w:rsid w:val="00646FA7"/>
    <w:rsid w:val="0064719B"/>
    <w:rsid w:val="006471FD"/>
    <w:rsid w:val="00647200"/>
    <w:rsid w:val="00647240"/>
    <w:rsid w:val="00647255"/>
    <w:rsid w:val="0064725B"/>
    <w:rsid w:val="00647347"/>
    <w:rsid w:val="00647691"/>
    <w:rsid w:val="00647719"/>
    <w:rsid w:val="0064773F"/>
    <w:rsid w:val="00647750"/>
    <w:rsid w:val="00647754"/>
    <w:rsid w:val="0064785A"/>
    <w:rsid w:val="00647A85"/>
    <w:rsid w:val="00647AAF"/>
    <w:rsid w:val="00647BE6"/>
    <w:rsid w:val="00647C95"/>
    <w:rsid w:val="00647D12"/>
    <w:rsid w:val="00647D40"/>
    <w:rsid w:val="00647DEE"/>
    <w:rsid w:val="00647F37"/>
    <w:rsid w:val="00647F9D"/>
    <w:rsid w:val="00647FE7"/>
    <w:rsid w:val="006500DE"/>
    <w:rsid w:val="0065017A"/>
    <w:rsid w:val="00650210"/>
    <w:rsid w:val="0065027F"/>
    <w:rsid w:val="0065045B"/>
    <w:rsid w:val="0065046C"/>
    <w:rsid w:val="00650521"/>
    <w:rsid w:val="00650740"/>
    <w:rsid w:val="0065074D"/>
    <w:rsid w:val="0065081E"/>
    <w:rsid w:val="00650963"/>
    <w:rsid w:val="00650C0C"/>
    <w:rsid w:val="00650C5B"/>
    <w:rsid w:val="00650E79"/>
    <w:rsid w:val="00650F31"/>
    <w:rsid w:val="00650F79"/>
    <w:rsid w:val="0065101F"/>
    <w:rsid w:val="00651023"/>
    <w:rsid w:val="00651131"/>
    <w:rsid w:val="00651188"/>
    <w:rsid w:val="00651229"/>
    <w:rsid w:val="00651298"/>
    <w:rsid w:val="0065140D"/>
    <w:rsid w:val="00651437"/>
    <w:rsid w:val="006514E5"/>
    <w:rsid w:val="00651513"/>
    <w:rsid w:val="006515B2"/>
    <w:rsid w:val="00651787"/>
    <w:rsid w:val="006517EC"/>
    <w:rsid w:val="006518C2"/>
    <w:rsid w:val="006519D9"/>
    <w:rsid w:val="00651A14"/>
    <w:rsid w:val="00651A6B"/>
    <w:rsid w:val="00651AB8"/>
    <w:rsid w:val="00651B21"/>
    <w:rsid w:val="00651B41"/>
    <w:rsid w:val="00651CCB"/>
    <w:rsid w:val="00651E80"/>
    <w:rsid w:val="00651FE2"/>
    <w:rsid w:val="00652041"/>
    <w:rsid w:val="00652094"/>
    <w:rsid w:val="0065216C"/>
    <w:rsid w:val="00652199"/>
    <w:rsid w:val="006521CC"/>
    <w:rsid w:val="006521FF"/>
    <w:rsid w:val="00652257"/>
    <w:rsid w:val="00652358"/>
    <w:rsid w:val="006523FC"/>
    <w:rsid w:val="00652406"/>
    <w:rsid w:val="0065249C"/>
    <w:rsid w:val="0065250A"/>
    <w:rsid w:val="0065260E"/>
    <w:rsid w:val="00652722"/>
    <w:rsid w:val="00652841"/>
    <w:rsid w:val="006529B4"/>
    <w:rsid w:val="006529B7"/>
    <w:rsid w:val="00652ADE"/>
    <w:rsid w:val="00652B31"/>
    <w:rsid w:val="00652CEB"/>
    <w:rsid w:val="00652E09"/>
    <w:rsid w:val="00652E49"/>
    <w:rsid w:val="00652F6F"/>
    <w:rsid w:val="00652FD7"/>
    <w:rsid w:val="006530D4"/>
    <w:rsid w:val="00653190"/>
    <w:rsid w:val="006533E8"/>
    <w:rsid w:val="00653466"/>
    <w:rsid w:val="0065349F"/>
    <w:rsid w:val="006534F8"/>
    <w:rsid w:val="0065354F"/>
    <w:rsid w:val="0065360E"/>
    <w:rsid w:val="00653721"/>
    <w:rsid w:val="006537A9"/>
    <w:rsid w:val="006538CD"/>
    <w:rsid w:val="006538E3"/>
    <w:rsid w:val="00653946"/>
    <w:rsid w:val="00653AF1"/>
    <w:rsid w:val="00653BCE"/>
    <w:rsid w:val="00653C00"/>
    <w:rsid w:val="00653C65"/>
    <w:rsid w:val="00653D16"/>
    <w:rsid w:val="00653DA6"/>
    <w:rsid w:val="00653DBD"/>
    <w:rsid w:val="00653F6E"/>
    <w:rsid w:val="00653FF3"/>
    <w:rsid w:val="00653FFE"/>
    <w:rsid w:val="00654046"/>
    <w:rsid w:val="00654063"/>
    <w:rsid w:val="00654115"/>
    <w:rsid w:val="006541CB"/>
    <w:rsid w:val="006542AB"/>
    <w:rsid w:val="0065431B"/>
    <w:rsid w:val="0065437A"/>
    <w:rsid w:val="0065438E"/>
    <w:rsid w:val="006545E6"/>
    <w:rsid w:val="00654687"/>
    <w:rsid w:val="006547D5"/>
    <w:rsid w:val="006548D0"/>
    <w:rsid w:val="00654926"/>
    <w:rsid w:val="0065496B"/>
    <w:rsid w:val="006549B3"/>
    <w:rsid w:val="00654AF1"/>
    <w:rsid w:val="00654B02"/>
    <w:rsid w:val="00654B0E"/>
    <w:rsid w:val="00654CEA"/>
    <w:rsid w:val="00654CEB"/>
    <w:rsid w:val="00654D1F"/>
    <w:rsid w:val="00654D36"/>
    <w:rsid w:val="00654FBE"/>
    <w:rsid w:val="00655092"/>
    <w:rsid w:val="006550C2"/>
    <w:rsid w:val="00655160"/>
    <w:rsid w:val="006554D3"/>
    <w:rsid w:val="006555AA"/>
    <w:rsid w:val="00655606"/>
    <w:rsid w:val="00655774"/>
    <w:rsid w:val="00655917"/>
    <w:rsid w:val="00655A77"/>
    <w:rsid w:val="00655B1E"/>
    <w:rsid w:val="00655CF3"/>
    <w:rsid w:val="00655E08"/>
    <w:rsid w:val="00655E79"/>
    <w:rsid w:val="00655EB0"/>
    <w:rsid w:val="00655ED3"/>
    <w:rsid w:val="00655ED4"/>
    <w:rsid w:val="00656038"/>
    <w:rsid w:val="006561D0"/>
    <w:rsid w:val="00656222"/>
    <w:rsid w:val="00656255"/>
    <w:rsid w:val="006565A9"/>
    <w:rsid w:val="006566E9"/>
    <w:rsid w:val="006567D0"/>
    <w:rsid w:val="00656871"/>
    <w:rsid w:val="00656958"/>
    <w:rsid w:val="00656998"/>
    <w:rsid w:val="00656B0C"/>
    <w:rsid w:val="00656C5E"/>
    <w:rsid w:val="00656C80"/>
    <w:rsid w:val="0065706D"/>
    <w:rsid w:val="00657327"/>
    <w:rsid w:val="0065732A"/>
    <w:rsid w:val="00657363"/>
    <w:rsid w:val="006574B4"/>
    <w:rsid w:val="0065773E"/>
    <w:rsid w:val="006578CB"/>
    <w:rsid w:val="00657976"/>
    <w:rsid w:val="006579F9"/>
    <w:rsid w:val="00657A45"/>
    <w:rsid w:val="00657A5E"/>
    <w:rsid w:val="00657AD2"/>
    <w:rsid w:val="00657B02"/>
    <w:rsid w:val="00657C4B"/>
    <w:rsid w:val="00657DBE"/>
    <w:rsid w:val="00657EC1"/>
    <w:rsid w:val="00657EC9"/>
    <w:rsid w:val="00657F69"/>
    <w:rsid w:val="0066005D"/>
    <w:rsid w:val="00660472"/>
    <w:rsid w:val="0066057C"/>
    <w:rsid w:val="00660712"/>
    <w:rsid w:val="0066073A"/>
    <w:rsid w:val="006607A0"/>
    <w:rsid w:val="0066096C"/>
    <w:rsid w:val="00660ADF"/>
    <w:rsid w:val="00660B7A"/>
    <w:rsid w:val="00660B8A"/>
    <w:rsid w:val="00660DAE"/>
    <w:rsid w:val="00660EBA"/>
    <w:rsid w:val="00660EBD"/>
    <w:rsid w:val="00661096"/>
    <w:rsid w:val="006610A7"/>
    <w:rsid w:val="006610BA"/>
    <w:rsid w:val="00661140"/>
    <w:rsid w:val="006612BA"/>
    <w:rsid w:val="00661317"/>
    <w:rsid w:val="00661337"/>
    <w:rsid w:val="006613E5"/>
    <w:rsid w:val="0066145D"/>
    <w:rsid w:val="006614E4"/>
    <w:rsid w:val="0066169B"/>
    <w:rsid w:val="00661738"/>
    <w:rsid w:val="00661793"/>
    <w:rsid w:val="006617C4"/>
    <w:rsid w:val="006619F8"/>
    <w:rsid w:val="00661A34"/>
    <w:rsid w:val="00661AC6"/>
    <w:rsid w:val="00661C6F"/>
    <w:rsid w:val="00661C84"/>
    <w:rsid w:val="00661E0B"/>
    <w:rsid w:val="00661E59"/>
    <w:rsid w:val="00661FC7"/>
    <w:rsid w:val="00661FFE"/>
    <w:rsid w:val="006624BD"/>
    <w:rsid w:val="006624C7"/>
    <w:rsid w:val="006624DF"/>
    <w:rsid w:val="006625A5"/>
    <w:rsid w:val="006625AC"/>
    <w:rsid w:val="006625F7"/>
    <w:rsid w:val="006628E9"/>
    <w:rsid w:val="0066292D"/>
    <w:rsid w:val="0066294F"/>
    <w:rsid w:val="00662AB8"/>
    <w:rsid w:val="00662C72"/>
    <w:rsid w:val="00662D36"/>
    <w:rsid w:val="00662E7A"/>
    <w:rsid w:val="00662F4F"/>
    <w:rsid w:val="00662F8A"/>
    <w:rsid w:val="0066312F"/>
    <w:rsid w:val="0066334B"/>
    <w:rsid w:val="00663399"/>
    <w:rsid w:val="00663424"/>
    <w:rsid w:val="0066346B"/>
    <w:rsid w:val="00663516"/>
    <w:rsid w:val="00663519"/>
    <w:rsid w:val="00663558"/>
    <w:rsid w:val="00663634"/>
    <w:rsid w:val="006636B6"/>
    <w:rsid w:val="0066373B"/>
    <w:rsid w:val="006637A4"/>
    <w:rsid w:val="006637E6"/>
    <w:rsid w:val="0066388A"/>
    <w:rsid w:val="00663A14"/>
    <w:rsid w:val="00663CF0"/>
    <w:rsid w:val="00663D3E"/>
    <w:rsid w:val="00663D54"/>
    <w:rsid w:val="0066403F"/>
    <w:rsid w:val="00664105"/>
    <w:rsid w:val="00664131"/>
    <w:rsid w:val="00664187"/>
    <w:rsid w:val="00664276"/>
    <w:rsid w:val="00664376"/>
    <w:rsid w:val="00664493"/>
    <w:rsid w:val="006644B8"/>
    <w:rsid w:val="006644F5"/>
    <w:rsid w:val="006644F8"/>
    <w:rsid w:val="006645C5"/>
    <w:rsid w:val="00664743"/>
    <w:rsid w:val="0066477B"/>
    <w:rsid w:val="00664860"/>
    <w:rsid w:val="0066486A"/>
    <w:rsid w:val="0066497E"/>
    <w:rsid w:val="006649AB"/>
    <w:rsid w:val="00664B3A"/>
    <w:rsid w:val="00664B44"/>
    <w:rsid w:val="00664BA2"/>
    <w:rsid w:val="00664E86"/>
    <w:rsid w:val="00665001"/>
    <w:rsid w:val="006650ED"/>
    <w:rsid w:val="00665181"/>
    <w:rsid w:val="006651A7"/>
    <w:rsid w:val="00665211"/>
    <w:rsid w:val="006652B3"/>
    <w:rsid w:val="00665585"/>
    <w:rsid w:val="006656F5"/>
    <w:rsid w:val="00665788"/>
    <w:rsid w:val="0066589C"/>
    <w:rsid w:val="006658D8"/>
    <w:rsid w:val="00665A6B"/>
    <w:rsid w:val="00665AEA"/>
    <w:rsid w:val="00665BB1"/>
    <w:rsid w:val="00665BE9"/>
    <w:rsid w:val="00665C45"/>
    <w:rsid w:val="00665D1B"/>
    <w:rsid w:val="00665E1D"/>
    <w:rsid w:val="00665E45"/>
    <w:rsid w:val="00665F26"/>
    <w:rsid w:val="0066608C"/>
    <w:rsid w:val="006661FD"/>
    <w:rsid w:val="00666208"/>
    <w:rsid w:val="00666247"/>
    <w:rsid w:val="006662F3"/>
    <w:rsid w:val="006663B6"/>
    <w:rsid w:val="006666D8"/>
    <w:rsid w:val="00666790"/>
    <w:rsid w:val="0066679E"/>
    <w:rsid w:val="006667DF"/>
    <w:rsid w:val="0066689F"/>
    <w:rsid w:val="00666916"/>
    <w:rsid w:val="006669EB"/>
    <w:rsid w:val="00666A24"/>
    <w:rsid w:val="00666A26"/>
    <w:rsid w:val="00666B5A"/>
    <w:rsid w:val="00666D45"/>
    <w:rsid w:val="00666DE8"/>
    <w:rsid w:val="00666F96"/>
    <w:rsid w:val="00667196"/>
    <w:rsid w:val="00667225"/>
    <w:rsid w:val="0066726F"/>
    <w:rsid w:val="0066729B"/>
    <w:rsid w:val="00667351"/>
    <w:rsid w:val="00667483"/>
    <w:rsid w:val="006674C2"/>
    <w:rsid w:val="006674D4"/>
    <w:rsid w:val="006676E1"/>
    <w:rsid w:val="0066775F"/>
    <w:rsid w:val="00667787"/>
    <w:rsid w:val="006678C2"/>
    <w:rsid w:val="006678D4"/>
    <w:rsid w:val="006678FC"/>
    <w:rsid w:val="00667C01"/>
    <w:rsid w:val="00667C81"/>
    <w:rsid w:val="00667ED8"/>
    <w:rsid w:val="00670015"/>
    <w:rsid w:val="00670051"/>
    <w:rsid w:val="0067011F"/>
    <w:rsid w:val="0067013C"/>
    <w:rsid w:val="006703C9"/>
    <w:rsid w:val="00670468"/>
    <w:rsid w:val="00670594"/>
    <w:rsid w:val="006705FA"/>
    <w:rsid w:val="00670734"/>
    <w:rsid w:val="00670828"/>
    <w:rsid w:val="006708F8"/>
    <w:rsid w:val="0067093C"/>
    <w:rsid w:val="0067099E"/>
    <w:rsid w:val="00670A2C"/>
    <w:rsid w:val="00670A75"/>
    <w:rsid w:val="00670A81"/>
    <w:rsid w:val="00670A94"/>
    <w:rsid w:val="00670BDF"/>
    <w:rsid w:val="00670BED"/>
    <w:rsid w:val="00670C59"/>
    <w:rsid w:val="00670C5E"/>
    <w:rsid w:val="00670CC1"/>
    <w:rsid w:val="00670D8C"/>
    <w:rsid w:val="00670DC8"/>
    <w:rsid w:val="00670DF2"/>
    <w:rsid w:val="00670E5C"/>
    <w:rsid w:val="00670F17"/>
    <w:rsid w:val="006710CC"/>
    <w:rsid w:val="0067129A"/>
    <w:rsid w:val="006716A1"/>
    <w:rsid w:val="00671701"/>
    <w:rsid w:val="00671765"/>
    <w:rsid w:val="006717B8"/>
    <w:rsid w:val="006718E3"/>
    <w:rsid w:val="00671971"/>
    <w:rsid w:val="00671A09"/>
    <w:rsid w:val="00671A30"/>
    <w:rsid w:val="00671BB4"/>
    <w:rsid w:val="00671DA5"/>
    <w:rsid w:val="00671E6D"/>
    <w:rsid w:val="00671F4E"/>
    <w:rsid w:val="00671F6A"/>
    <w:rsid w:val="00671F88"/>
    <w:rsid w:val="006721CC"/>
    <w:rsid w:val="006721CF"/>
    <w:rsid w:val="006723E3"/>
    <w:rsid w:val="00672432"/>
    <w:rsid w:val="0067245D"/>
    <w:rsid w:val="00672589"/>
    <w:rsid w:val="006725DB"/>
    <w:rsid w:val="00672672"/>
    <w:rsid w:val="00672764"/>
    <w:rsid w:val="00672791"/>
    <w:rsid w:val="00672A6E"/>
    <w:rsid w:val="00672A74"/>
    <w:rsid w:val="00672B37"/>
    <w:rsid w:val="00672BD0"/>
    <w:rsid w:val="00672EC2"/>
    <w:rsid w:val="00672ED6"/>
    <w:rsid w:val="00672F85"/>
    <w:rsid w:val="00673089"/>
    <w:rsid w:val="006730A0"/>
    <w:rsid w:val="006730C9"/>
    <w:rsid w:val="006731C7"/>
    <w:rsid w:val="00673268"/>
    <w:rsid w:val="00673363"/>
    <w:rsid w:val="0067337D"/>
    <w:rsid w:val="00673446"/>
    <w:rsid w:val="0067354B"/>
    <w:rsid w:val="006735DA"/>
    <w:rsid w:val="00673713"/>
    <w:rsid w:val="00673939"/>
    <w:rsid w:val="00673C90"/>
    <w:rsid w:val="00673C93"/>
    <w:rsid w:val="00673DAB"/>
    <w:rsid w:val="00673DB1"/>
    <w:rsid w:val="00673F2D"/>
    <w:rsid w:val="00673F66"/>
    <w:rsid w:val="00674008"/>
    <w:rsid w:val="0067427D"/>
    <w:rsid w:val="00674300"/>
    <w:rsid w:val="006746AD"/>
    <w:rsid w:val="00674A2A"/>
    <w:rsid w:val="00674B0C"/>
    <w:rsid w:val="00674C90"/>
    <w:rsid w:val="00674CC5"/>
    <w:rsid w:val="00674CD6"/>
    <w:rsid w:val="00674CE3"/>
    <w:rsid w:val="00674DDA"/>
    <w:rsid w:val="00675066"/>
    <w:rsid w:val="00675072"/>
    <w:rsid w:val="00675147"/>
    <w:rsid w:val="00675235"/>
    <w:rsid w:val="00675319"/>
    <w:rsid w:val="00675328"/>
    <w:rsid w:val="0067534B"/>
    <w:rsid w:val="006753C2"/>
    <w:rsid w:val="006753E2"/>
    <w:rsid w:val="006753FA"/>
    <w:rsid w:val="00675424"/>
    <w:rsid w:val="00675555"/>
    <w:rsid w:val="00675750"/>
    <w:rsid w:val="0067581E"/>
    <w:rsid w:val="00675864"/>
    <w:rsid w:val="006758B4"/>
    <w:rsid w:val="006759F5"/>
    <w:rsid w:val="00675A54"/>
    <w:rsid w:val="00675BAE"/>
    <w:rsid w:val="00675D4F"/>
    <w:rsid w:val="00675D5B"/>
    <w:rsid w:val="00675F8A"/>
    <w:rsid w:val="00675FEA"/>
    <w:rsid w:val="00676132"/>
    <w:rsid w:val="006761EE"/>
    <w:rsid w:val="00676374"/>
    <w:rsid w:val="00676453"/>
    <w:rsid w:val="00676459"/>
    <w:rsid w:val="006764A8"/>
    <w:rsid w:val="006765B7"/>
    <w:rsid w:val="00676821"/>
    <w:rsid w:val="00676899"/>
    <w:rsid w:val="00676AA8"/>
    <w:rsid w:val="00676AC1"/>
    <w:rsid w:val="00676ADF"/>
    <w:rsid w:val="00676B41"/>
    <w:rsid w:val="00676CDD"/>
    <w:rsid w:val="00676DF9"/>
    <w:rsid w:val="00676DFE"/>
    <w:rsid w:val="00677016"/>
    <w:rsid w:val="0067708C"/>
    <w:rsid w:val="006771EE"/>
    <w:rsid w:val="006772C1"/>
    <w:rsid w:val="006772E3"/>
    <w:rsid w:val="006773EA"/>
    <w:rsid w:val="00677471"/>
    <w:rsid w:val="00677489"/>
    <w:rsid w:val="00677506"/>
    <w:rsid w:val="0067775F"/>
    <w:rsid w:val="0067782A"/>
    <w:rsid w:val="00677860"/>
    <w:rsid w:val="00677863"/>
    <w:rsid w:val="006778E4"/>
    <w:rsid w:val="00677996"/>
    <w:rsid w:val="00677A2C"/>
    <w:rsid w:val="00677B01"/>
    <w:rsid w:val="00677B03"/>
    <w:rsid w:val="00677B0E"/>
    <w:rsid w:val="00677BEE"/>
    <w:rsid w:val="00677E6F"/>
    <w:rsid w:val="00677FA6"/>
    <w:rsid w:val="00680017"/>
    <w:rsid w:val="0068003C"/>
    <w:rsid w:val="00680181"/>
    <w:rsid w:val="006803A2"/>
    <w:rsid w:val="006803B1"/>
    <w:rsid w:val="006804E0"/>
    <w:rsid w:val="006804E6"/>
    <w:rsid w:val="00680755"/>
    <w:rsid w:val="006807D0"/>
    <w:rsid w:val="00680808"/>
    <w:rsid w:val="00680895"/>
    <w:rsid w:val="006808F5"/>
    <w:rsid w:val="00680B7F"/>
    <w:rsid w:val="00680C82"/>
    <w:rsid w:val="00680E98"/>
    <w:rsid w:val="006810B4"/>
    <w:rsid w:val="00681185"/>
    <w:rsid w:val="006811AF"/>
    <w:rsid w:val="006812F2"/>
    <w:rsid w:val="006814C5"/>
    <w:rsid w:val="00681503"/>
    <w:rsid w:val="006815D0"/>
    <w:rsid w:val="0068172C"/>
    <w:rsid w:val="006817BB"/>
    <w:rsid w:val="00681820"/>
    <w:rsid w:val="00681979"/>
    <w:rsid w:val="00681A14"/>
    <w:rsid w:val="00681AF1"/>
    <w:rsid w:val="00681B1E"/>
    <w:rsid w:val="00681B3D"/>
    <w:rsid w:val="00681B49"/>
    <w:rsid w:val="00681EAD"/>
    <w:rsid w:val="00681F0C"/>
    <w:rsid w:val="00681F5B"/>
    <w:rsid w:val="00681FDB"/>
    <w:rsid w:val="0068202C"/>
    <w:rsid w:val="0068204A"/>
    <w:rsid w:val="006820A8"/>
    <w:rsid w:val="00682113"/>
    <w:rsid w:val="006821FD"/>
    <w:rsid w:val="0068223A"/>
    <w:rsid w:val="006822F8"/>
    <w:rsid w:val="006825A2"/>
    <w:rsid w:val="006825D1"/>
    <w:rsid w:val="006826AB"/>
    <w:rsid w:val="0068271E"/>
    <w:rsid w:val="0068279A"/>
    <w:rsid w:val="0068284A"/>
    <w:rsid w:val="0068291A"/>
    <w:rsid w:val="0068296F"/>
    <w:rsid w:val="0068299C"/>
    <w:rsid w:val="00682A97"/>
    <w:rsid w:val="00682AB1"/>
    <w:rsid w:val="00682B72"/>
    <w:rsid w:val="00682D7D"/>
    <w:rsid w:val="00682E3F"/>
    <w:rsid w:val="00682E60"/>
    <w:rsid w:val="00682F98"/>
    <w:rsid w:val="00683082"/>
    <w:rsid w:val="006831B8"/>
    <w:rsid w:val="0068320F"/>
    <w:rsid w:val="00683210"/>
    <w:rsid w:val="0068322B"/>
    <w:rsid w:val="00683416"/>
    <w:rsid w:val="0068345C"/>
    <w:rsid w:val="006834CD"/>
    <w:rsid w:val="0068351C"/>
    <w:rsid w:val="00683555"/>
    <w:rsid w:val="006835FE"/>
    <w:rsid w:val="0068368D"/>
    <w:rsid w:val="006836E6"/>
    <w:rsid w:val="006837BC"/>
    <w:rsid w:val="006837C9"/>
    <w:rsid w:val="006838A3"/>
    <w:rsid w:val="0068396B"/>
    <w:rsid w:val="00683A9F"/>
    <w:rsid w:val="00683CFD"/>
    <w:rsid w:val="00683D6E"/>
    <w:rsid w:val="00683DE1"/>
    <w:rsid w:val="00683DE4"/>
    <w:rsid w:val="00683DF6"/>
    <w:rsid w:val="00683EA1"/>
    <w:rsid w:val="00683F46"/>
    <w:rsid w:val="006841EF"/>
    <w:rsid w:val="0068433E"/>
    <w:rsid w:val="00684352"/>
    <w:rsid w:val="00684562"/>
    <w:rsid w:val="00684595"/>
    <w:rsid w:val="00684648"/>
    <w:rsid w:val="006846F1"/>
    <w:rsid w:val="0068471F"/>
    <w:rsid w:val="0068473E"/>
    <w:rsid w:val="00684795"/>
    <w:rsid w:val="006847BD"/>
    <w:rsid w:val="006849B2"/>
    <w:rsid w:val="00684A75"/>
    <w:rsid w:val="00684ACF"/>
    <w:rsid w:val="00684B52"/>
    <w:rsid w:val="00684BE9"/>
    <w:rsid w:val="00684CCD"/>
    <w:rsid w:val="00684CFD"/>
    <w:rsid w:val="00684E62"/>
    <w:rsid w:val="00684F96"/>
    <w:rsid w:val="00684F9D"/>
    <w:rsid w:val="00685138"/>
    <w:rsid w:val="00685139"/>
    <w:rsid w:val="00685154"/>
    <w:rsid w:val="006852A6"/>
    <w:rsid w:val="00685395"/>
    <w:rsid w:val="006853B7"/>
    <w:rsid w:val="006854A3"/>
    <w:rsid w:val="006854C2"/>
    <w:rsid w:val="006854E2"/>
    <w:rsid w:val="0068556D"/>
    <w:rsid w:val="0068567B"/>
    <w:rsid w:val="006856F2"/>
    <w:rsid w:val="00685765"/>
    <w:rsid w:val="00685998"/>
    <w:rsid w:val="006859B0"/>
    <w:rsid w:val="00685A31"/>
    <w:rsid w:val="00685A47"/>
    <w:rsid w:val="00685C29"/>
    <w:rsid w:val="00685CDE"/>
    <w:rsid w:val="00685D3B"/>
    <w:rsid w:val="00685E0F"/>
    <w:rsid w:val="00685FA9"/>
    <w:rsid w:val="00685FE5"/>
    <w:rsid w:val="0068603E"/>
    <w:rsid w:val="0068614D"/>
    <w:rsid w:val="0068616E"/>
    <w:rsid w:val="006861B3"/>
    <w:rsid w:val="00686263"/>
    <w:rsid w:val="006862A7"/>
    <w:rsid w:val="00686621"/>
    <w:rsid w:val="00686771"/>
    <w:rsid w:val="00686789"/>
    <w:rsid w:val="00686806"/>
    <w:rsid w:val="00686850"/>
    <w:rsid w:val="006868B2"/>
    <w:rsid w:val="0068698B"/>
    <w:rsid w:val="006869C1"/>
    <w:rsid w:val="00686EC3"/>
    <w:rsid w:val="00686F80"/>
    <w:rsid w:val="00686FB9"/>
    <w:rsid w:val="00686FE0"/>
    <w:rsid w:val="006870B6"/>
    <w:rsid w:val="00687358"/>
    <w:rsid w:val="0068736F"/>
    <w:rsid w:val="00687400"/>
    <w:rsid w:val="00687529"/>
    <w:rsid w:val="00687579"/>
    <w:rsid w:val="0068758F"/>
    <w:rsid w:val="006875D6"/>
    <w:rsid w:val="00687601"/>
    <w:rsid w:val="006877EE"/>
    <w:rsid w:val="0068781A"/>
    <w:rsid w:val="00687835"/>
    <w:rsid w:val="00687A58"/>
    <w:rsid w:val="00687D4B"/>
    <w:rsid w:val="00687DEC"/>
    <w:rsid w:val="00687E68"/>
    <w:rsid w:val="00687EB3"/>
    <w:rsid w:val="00687EE6"/>
    <w:rsid w:val="00687EF3"/>
    <w:rsid w:val="00690053"/>
    <w:rsid w:val="006900B7"/>
    <w:rsid w:val="0069038E"/>
    <w:rsid w:val="006903E4"/>
    <w:rsid w:val="006904A4"/>
    <w:rsid w:val="00690585"/>
    <w:rsid w:val="006905F7"/>
    <w:rsid w:val="00690B86"/>
    <w:rsid w:val="00690D1A"/>
    <w:rsid w:val="00690D42"/>
    <w:rsid w:val="00690DFD"/>
    <w:rsid w:val="00690F37"/>
    <w:rsid w:val="0069108F"/>
    <w:rsid w:val="006910DF"/>
    <w:rsid w:val="006910FF"/>
    <w:rsid w:val="00691153"/>
    <w:rsid w:val="00691252"/>
    <w:rsid w:val="006912A9"/>
    <w:rsid w:val="00691403"/>
    <w:rsid w:val="00691432"/>
    <w:rsid w:val="00691499"/>
    <w:rsid w:val="006914CF"/>
    <w:rsid w:val="00691671"/>
    <w:rsid w:val="00691718"/>
    <w:rsid w:val="00691726"/>
    <w:rsid w:val="0069173C"/>
    <w:rsid w:val="00691855"/>
    <w:rsid w:val="006918A7"/>
    <w:rsid w:val="006919C8"/>
    <w:rsid w:val="006919DA"/>
    <w:rsid w:val="00691AD8"/>
    <w:rsid w:val="00691AE1"/>
    <w:rsid w:val="00691CDC"/>
    <w:rsid w:val="00691D24"/>
    <w:rsid w:val="00691E07"/>
    <w:rsid w:val="00691E44"/>
    <w:rsid w:val="00692451"/>
    <w:rsid w:val="006925D8"/>
    <w:rsid w:val="0069260E"/>
    <w:rsid w:val="00692634"/>
    <w:rsid w:val="00692A66"/>
    <w:rsid w:val="00692B44"/>
    <w:rsid w:val="00692D41"/>
    <w:rsid w:val="00692D6F"/>
    <w:rsid w:val="00692D97"/>
    <w:rsid w:val="00692DC1"/>
    <w:rsid w:val="00692E38"/>
    <w:rsid w:val="00692ED9"/>
    <w:rsid w:val="006931C0"/>
    <w:rsid w:val="0069320B"/>
    <w:rsid w:val="0069334A"/>
    <w:rsid w:val="00693406"/>
    <w:rsid w:val="00693503"/>
    <w:rsid w:val="00693552"/>
    <w:rsid w:val="00693553"/>
    <w:rsid w:val="00693929"/>
    <w:rsid w:val="00693AE3"/>
    <w:rsid w:val="00693E82"/>
    <w:rsid w:val="00693ED7"/>
    <w:rsid w:val="00693FD4"/>
    <w:rsid w:val="00693FE2"/>
    <w:rsid w:val="00694098"/>
    <w:rsid w:val="006940E0"/>
    <w:rsid w:val="00694175"/>
    <w:rsid w:val="006943A9"/>
    <w:rsid w:val="00694663"/>
    <w:rsid w:val="0069477C"/>
    <w:rsid w:val="00694839"/>
    <w:rsid w:val="00694A6F"/>
    <w:rsid w:val="00694AC9"/>
    <w:rsid w:val="00694B38"/>
    <w:rsid w:val="00694B58"/>
    <w:rsid w:val="00694B97"/>
    <w:rsid w:val="00694BD7"/>
    <w:rsid w:val="00694C6F"/>
    <w:rsid w:val="00694C7C"/>
    <w:rsid w:val="00694CC2"/>
    <w:rsid w:val="00694E16"/>
    <w:rsid w:val="00694F3F"/>
    <w:rsid w:val="00694F95"/>
    <w:rsid w:val="00694FAD"/>
    <w:rsid w:val="00695032"/>
    <w:rsid w:val="006950A3"/>
    <w:rsid w:val="006950F1"/>
    <w:rsid w:val="0069510B"/>
    <w:rsid w:val="006951D6"/>
    <w:rsid w:val="00695336"/>
    <w:rsid w:val="0069539C"/>
    <w:rsid w:val="0069549E"/>
    <w:rsid w:val="0069550F"/>
    <w:rsid w:val="00695690"/>
    <w:rsid w:val="006956EC"/>
    <w:rsid w:val="006957F2"/>
    <w:rsid w:val="00695828"/>
    <w:rsid w:val="006958A1"/>
    <w:rsid w:val="006958C3"/>
    <w:rsid w:val="00695DD3"/>
    <w:rsid w:val="00695E49"/>
    <w:rsid w:val="00695FD1"/>
    <w:rsid w:val="00696171"/>
    <w:rsid w:val="006961D2"/>
    <w:rsid w:val="00696210"/>
    <w:rsid w:val="00696255"/>
    <w:rsid w:val="00696274"/>
    <w:rsid w:val="006962D5"/>
    <w:rsid w:val="00696342"/>
    <w:rsid w:val="00696386"/>
    <w:rsid w:val="00696393"/>
    <w:rsid w:val="0069665B"/>
    <w:rsid w:val="006967F2"/>
    <w:rsid w:val="006968B9"/>
    <w:rsid w:val="006968D1"/>
    <w:rsid w:val="0069699A"/>
    <w:rsid w:val="006969B2"/>
    <w:rsid w:val="00696B44"/>
    <w:rsid w:val="00696C67"/>
    <w:rsid w:val="00696DC5"/>
    <w:rsid w:val="00696DC9"/>
    <w:rsid w:val="00696F35"/>
    <w:rsid w:val="00696F8D"/>
    <w:rsid w:val="006972A0"/>
    <w:rsid w:val="006972A6"/>
    <w:rsid w:val="006972EA"/>
    <w:rsid w:val="0069735E"/>
    <w:rsid w:val="006973FD"/>
    <w:rsid w:val="006975AB"/>
    <w:rsid w:val="00697621"/>
    <w:rsid w:val="006976BD"/>
    <w:rsid w:val="006976CF"/>
    <w:rsid w:val="0069782E"/>
    <w:rsid w:val="006978BE"/>
    <w:rsid w:val="006978F9"/>
    <w:rsid w:val="00697947"/>
    <w:rsid w:val="00697A02"/>
    <w:rsid w:val="00697A3C"/>
    <w:rsid w:val="00697B52"/>
    <w:rsid w:val="00697BE0"/>
    <w:rsid w:val="00697CFA"/>
    <w:rsid w:val="00697D0C"/>
    <w:rsid w:val="00697E09"/>
    <w:rsid w:val="00697E54"/>
    <w:rsid w:val="00697E6C"/>
    <w:rsid w:val="0069DFBD"/>
    <w:rsid w:val="006A0015"/>
    <w:rsid w:val="006A00C4"/>
    <w:rsid w:val="006A0144"/>
    <w:rsid w:val="006A01E2"/>
    <w:rsid w:val="006A01F0"/>
    <w:rsid w:val="006A0216"/>
    <w:rsid w:val="006A0263"/>
    <w:rsid w:val="006A0268"/>
    <w:rsid w:val="006A02EA"/>
    <w:rsid w:val="006A03FB"/>
    <w:rsid w:val="006A06DC"/>
    <w:rsid w:val="006A0751"/>
    <w:rsid w:val="006A081A"/>
    <w:rsid w:val="006A0998"/>
    <w:rsid w:val="006A09FE"/>
    <w:rsid w:val="006A0C3B"/>
    <w:rsid w:val="006A0CAC"/>
    <w:rsid w:val="006A0D39"/>
    <w:rsid w:val="006A0D3C"/>
    <w:rsid w:val="006A0D56"/>
    <w:rsid w:val="006A0E14"/>
    <w:rsid w:val="006A0E68"/>
    <w:rsid w:val="006A0E6B"/>
    <w:rsid w:val="006A0FAF"/>
    <w:rsid w:val="006A1063"/>
    <w:rsid w:val="006A1087"/>
    <w:rsid w:val="006A10A1"/>
    <w:rsid w:val="006A1115"/>
    <w:rsid w:val="006A1196"/>
    <w:rsid w:val="006A12D8"/>
    <w:rsid w:val="006A12EB"/>
    <w:rsid w:val="006A1419"/>
    <w:rsid w:val="006A15DA"/>
    <w:rsid w:val="006A15F8"/>
    <w:rsid w:val="006A169E"/>
    <w:rsid w:val="006A1988"/>
    <w:rsid w:val="006A1B07"/>
    <w:rsid w:val="006A1B77"/>
    <w:rsid w:val="006A1B85"/>
    <w:rsid w:val="006A1B88"/>
    <w:rsid w:val="006A1BE5"/>
    <w:rsid w:val="006A1CC1"/>
    <w:rsid w:val="006A1CCA"/>
    <w:rsid w:val="006A1E17"/>
    <w:rsid w:val="006A1E96"/>
    <w:rsid w:val="006A1FDD"/>
    <w:rsid w:val="006A200E"/>
    <w:rsid w:val="006A21C3"/>
    <w:rsid w:val="006A2261"/>
    <w:rsid w:val="006A22BB"/>
    <w:rsid w:val="006A239B"/>
    <w:rsid w:val="006A23A7"/>
    <w:rsid w:val="006A2593"/>
    <w:rsid w:val="006A25C1"/>
    <w:rsid w:val="006A2635"/>
    <w:rsid w:val="006A264B"/>
    <w:rsid w:val="006A2877"/>
    <w:rsid w:val="006A28A3"/>
    <w:rsid w:val="006A293A"/>
    <w:rsid w:val="006A29F2"/>
    <w:rsid w:val="006A2AF7"/>
    <w:rsid w:val="006A2B32"/>
    <w:rsid w:val="006A2B4F"/>
    <w:rsid w:val="006A2B9D"/>
    <w:rsid w:val="006A2EB5"/>
    <w:rsid w:val="006A2ECD"/>
    <w:rsid w:val="006A2FF4"/>
    <w:rsid w:val="006A32B1"/>
    <w:rsid w:val="006A350B"/>
    <w:rsid w:val="006A3527"/>
    <w:rsid w:val="006A35D5"/>
    <w:rsid w:val="006A3674"/>
    <w:rsid w:val="006A3745"/>
    <w:rsid w:val="006A378F"/>
    <w:rsid w:val="006A379A"/>
    <w:rsid w:val="006A3871"/>
    <w:rsid w:val="006A39A9"/>
    <w:rsid w:val="006A3B1B"/>
    <w:rsid w:val="006A3B5A"/>
    <w:rsid w:val="006A3B83"/>
    <w:rsid w:val="006A3E6F"/>
    <w:rsid w:val="006A3E70"/>
    <w:rsid w:val="006A3FAD"/>
    <w:rsid w:val="006A40A5"/>
    <w:rsid w:val="006A4148"/>
    <w:rsid w:val="006A450E"/>
    <w:rsid w:val="006A45A4"/>
    <w:rsid w:val="006A45FA"/>
    <w:rsid w:val="006A4809"/>
    <w:rsid w:val="006A4821"/>
    <w:rsid w:val="006A4952"/>
    <w:rsid w:val="006A49BC"/>
    <w:rsid w:val="006A49C4"/>
    <w:rsid w:val="006A4A56"/>
    <w:rsid w:val="006A4A94"/>
    <w:rsid w:val="006A4ACC"/>
    <w:rsid w:val="006A4B37"/>
    <w:rsid w:val="006A4BAC"/>
    <w:rsid w:val="006A4D98"/>
    <w:rsid w:val="006A4DEB"/>
    <w:rsid w:val="006A4E4E"/>
    <w:rsid w:val="006A4E62"/>
    <w:rsid w:val="006A4E81"/>
    <w:rsid w:val="006A4E9E"/>
    <w:rsid w:val="006A4F80"/>
    <w:rsid w:val="006A5118"/>
    <w:rsid w:val="006A512D"/>
    <w:rsid w:val="006A513C"/>
    <w:rsid w:val="006A5490"/>
    <w:rsid w:val="006A5860"/>
    <w:rsid w:val="006A58EC"/>
    <w:rsid w:val="006A5B4C"/>
    <w:rsid w:val="006A5BC9"/>
    <w:rsid w:val="006A5CC3"/>
    <w:rsid w:val="006A5CD5"/>
    <w:rsid w:val="006A5CE0"/>
    <w:rsid w:val="006A5D57"/>
    <w:rsid w:val="006A5D5E"/>
    <w:rsid w:val="006A5E4F"/>
    <w:rsid w:val="006A6038"/>
    <w:rsid w:val="006A60FE"/>
    <w:rsid w:val="006A61FD"/>
    <w:rsid w:val="006A6228"/>
    <w:rsid w:val="006A62D7"/>
    <w:rsid w:val="006A63E2"/>
    <w:rsid w:val="006A642B"/>
    <w:rsid w:val="006A6465"/>
    <w:rsid w:val="006A64C8"/>
    <w:rsid w:val="006A652F"/>
    <w:rsid w:val="006A65B7"/>
    <w:rsid w:val="006A660E"/>
    <w:rsid w:val="006A6676"/>
    <w:rsid w:val="006A685C"/>
    <w:rsid w:val="006A6A56"/>
    <w:rsid w:val="006A6A8B"/>
    <w:rsid w:val="006A6AD5"/>
    <w:rsid w:val="006A6B06"/>
    <w:rsid w:val="006A6B9D"/>
    <w:rsid w:val="006A6BE3"/>
    <w:rsid w:val="006A6C71"/>
    <w:rsid w:val="006A6D28"/>
    <w:rsid w:val="006A6DBC"/>
    <w:rsid w:val="006A6EA5"/>
    <w:rsid w:val="006A6EF9"/>
    <w:rsid w:val="006A71EA"/>
    <w:rsid w:val="006A7237"/>
    <w:rsid w:val="006A7248"/>
    <w:rsid w:val="006A72AD"/>
    <w:rsid w:val="006A7304"/>
    <w:rsid w:val="006A739E"/>
    <w:rsid w:val="006A7468"/>
    <w:rsid w:val="006A7492"/>
    <w:rsid w:val="006A76EB"/>
    <w:rsid w:val="006A776D"/>
    <w:rsid w:val="006A780E"/>
    <w:rsid w:val="006A78F5"/>
    <w:rsid w:val="006A7983"/>
    <w:rsid w:val="006A79A9"/>
    <w:rsid w:val="006A7ADB"/>
    <w:rsid w:val="006A7B3B"/>
    <w:rsid w:val="006A7B3D"/>
    <w:rsid w:val="006A7BF6"/>
    <w:rsid w:val="006A7C12"/>
    <w:rsid w:val="006A7D27"/>
    <w:rsid w:val="006A7D79"/>
    <w:rsid w:val="006A7DA0"/>
    <w:rsid w:val="006A7E7D"/>
    <w:rsid w:val="006A7EFB"/>
    <w:rsid w:val="006A7F36"/>
    <w:rsid w:val="006A7FBF"/>
    <w:rsid w:val="006B016C"/>
    <w:rsid w:val="006B05B5"/>
    <w:rsid w:val="006B069A"/>
    <w:rsid w:val="006B06E8"/>
    <w:rsid w:val="006B076F"/>
    <w:rsid w:val="006B07D0"/>
    <w:rsid w:val="006B0AEB"/>
    <w:rsid w:val="006B0BBE"/>
    <w:rsid w:val="006B0BF6"/>
    <w:rsid w:val="006B0D4B"/>
    <w:rsid w:val="006B0DEA"/>
    <w:rsid w:val="006B0FFA"/>
    <w:rsid w:val="006B1135"/>
    <w:rsid w:val="006B119A"/>
    <w:rsid w:val="006B1244"/>
    <w:rsid w:val="006B1266"/>
    <w:rsid w:val="006B1349"/>
    <w:rsid w:val="006B139A"/>
    <w:rsid w:val="006B13E6"/>
    <w:rsid w:val="006B1448"/>
    <w:rsid w:val="006B1565"/>
    <w:rsid w:val="006B15DF"/>
    <w:rsid w:val="006B1672"/>
    <w:rsid w:val="006B16E0"/>
    <w:rsid w:val="006B1786"/>
    <w:rsid w:val="006B17FE"/>
    <w:rsid w:val="006B1920"/>
    <w:rsid w:val="006B1977"/>
    <w:rsid w:val="006B1AD5"/>
    <w:rsid w:val="006B1B14"/>
    <w:rsid w:val="006B1DB7"/>
    <w:rsid w:val="006B1E58"/>
    <w:rsid w:val="006B1EE0"/>
    <w:rsid w:val="006B1FA8"/>
    <w:rsid w:val="006B206A"/>
    <w:rsid w:val="006B20B9"/>
    <w:rsid w:val="006B20C9"/>
    <w:rsid w:val="006B2132"/>
    <w:rsid w:val="006B215A"/>
    <w:rsid w:val="006B21BB"/>
    <w:rsid w:val="006B224B"/>
    <w:rsid w:val="006B229E"/>
    <w:rsid w:val="006B236B"/>
    <w:rsid w:val="006B2400"/>
    <w:rsid w:val="006B249B"/>
    <w:rsid w:val="006B2528"/>
    <w:rsid w:val="006B2537"/>
    <w:rsid w:val="006B26BF"/>
    <w:rsid w:val="006B26FF"/>
    <w:rsid w:val="006B2714"/>
    <w:rsid w:val="006B27A1"/>
    <w:rsid w:val="006B27BD"/>
    <w:rsid w:val="006B27DC"/>
    <w:rsid w:val="006B28FC"/>
    <w:rsid w:val="006B2902"/>
    <w:rsid w:val="006B2C25"/>
    <w:rsid w:val="006B2C29"/>
    <w:rsid w:val="006B2CE0"/>
    <w:rsid w:val="006B2D02"/>
    <w:rsid w:val="006B2DCC"/>
    <w:rsid w:val="006B2E54"/>
    <w:rsid w:val="006B2FD3"/>
    <w:rsid w:val="006B304C"/>
    <w:rsid w:val="006B309D"/>
    <w:rsid w:val="006B30BE"/>
    <w:rsid w:val="006B32A8"/>
    <w:rsid w:val="006B333A"/>
    <w:rsid w:val="006B341E"/>
    <w:rsid w:val="006B344C"/>
    <w:rsid w:val="006B345A"/>
    <w:rsid w:val="006B36B1"/>
    <w:rsid w:val="006B377A"/>
    <w:rsid w:val="006B3840"/>
    <w:rsid w:val="006B38E2"/>
    <w:rsid w:val="006B3955"/>
    <w:rsid w:val="006B3A11"/>
    <w:rsid w:val="006B3AAC"/>
    <w:rsid w:val="006B3AED"/>
    <w:rsid w:val="006B3C13"/>
    <w:rsid w:val="006B3C8B"/>
    <w:rsid w:val="006B3D32"/>
    <w:rsid w:val="006B3E31"/>
    <w:rsid w:val="006B3E9E"/>
    <w:rsid w:val="006B3F88"/>
    <w:rsid w:val="006B4012"/>
    <w:rsid w:val="006B4074"/>
    <w:rsid w:val="006B4097"/>
    <w:rsid w:val="006B40B4"/>
    <w:rsid w:val="006B41F1"/>
    <w:rsid w:val="006B4249"/>
    <w:rsid w:val="006B42A6"/>
    <w:rsid w:val="006B4449"/>
    <w:rsid w:val="006B44BA"/>
    <w:rsid w:val="006B45B5"/>
    <w:rsid w:val="006B45E3"/>
    <w:rsid w:val="006B465A"/>
    <w:rsid w:val="006B4678"/>
    <w:rsid w:val="006B4762"/>
    <w:rsid w:val="006B47EE"/>
    <w:rsid w:val="006B48B9"/>
    <w:rsid w:val="006B4A6A"/>
    <w:rsid w:val="006B4A7A"/>
    <w:rsid w:val="006B4B51"/>
    <w:rsid w:val="006B4C8C"/>
    <w:rsid w:val="006B4D42"/>
    <w:rsid w:val="006B4E23"/>
    <w:rsid w:val="006B4ED3"/>
    <w:rsid w:val="006B53C3"/>
    <w:rsid w:val="006B5504"/>
    <w:rsid w:val="006B5555"/>
    <w:rsid w:val="006B5561"/>
    <w:rsid w:val="006B5580"/>
    <w:rsid w:val="006B562B"/>
    <w:rsid w:val="006B58F0"/>
    <w:rsid w:val="006B5931"/>
    <w:rsid w:val="006B5A05"/>
    <w:rsid w:val="006B5AD1"/>
    <w:rsid w:val="006B5BA3"/>
    <w:rsid w:val="006B5CB9"/>
    <w:rsid w:val="006B5CED"/>
    <w:rsid w:val="006B5DDD"/>
    <w:rsid w:val="006B5DE1"/>
    <w:rsid w:val="006B5E8F"/>
    <w:rsid w:val="006B5ECE"/>
    <w:rsid w:val="006B5F23"/>
    <w:rsid w:val="006B5F37"/>
    <w:rsid w:val="006B5F52"/>
    <w:rsid w:val="006B5FCB"/>
    <w:rsid w:val="006B60D6"/>
    <w:rsid w:val="006B61AE"/>
    <w:rsid w:val="006B61FE"/>
    <w:rsid w:val="006B644D"/>
    <w:rsid w:val="006B64DF"/>
    <w:rsid w:val="006B6586"/>
    <w:rsid w:val="006B6654"/>
    <w:rsid w:val="006B6669"/>
    <w:rsid w:val="006B66CB"/>
    <w:rsid w:val="006B66E1"/>
    <w:rsid w:val="006B682C"/>
    <w:rsid w:val="006B6977"/>
    <w:rsid w:val="006B6B5D"/>
    <w:rsid w:val="006B6D09"/>
    <w:rsid w:val="006B6DC3"/>
    <w:rsid w:val="006B6DD3"/>
    <w:rsid w:val="006B6DE9"/>
    <w:rsid w:val="006B6F93"/>
    <w:rsid w:val="006B6FB7"/>
    <w:rsid w:val="006B6FEF"/>
    <w:rsid w:val="006B704F"/>
    <w:rsid w:val="006B70E1"/>
    <w:rsid w:val="006B71F1"/>
    <w:rsid w:val="006B7215"/>
    <w:rsid w:val="006B7336"/>
    <w:rsid w:val="006B73FB"/>
    <w:rsid w:val="006B7515"/>
    <w:rsid w:val="006B756C"/>
    <w:rsid w:val="006B767C"/>
    <w:rsid w:val="006B76AD"/>
    <w:rsid w:val="006B7740"/>
    <w:rsid w:val="006B7797"/>
    <w:rsid w:val="006B7919"/>
    <w:rsid w:val="006B793E"/>
    <w:rsid w:val="006B7AB4"/>
    <w:rsid w:val="006B7B44"/>
    <w:rsid w:val="006B7BDC"/>
    <w:rsid w:val="006B7BF3"/>
    <w:rsid w:val="006B7CFC"/>
    <w:rsid w:val="006B7E9C"/>
    <w:rsid w:val="006B7EF9"/>
    <w:rsid w:val="006C00CD"/>
    <w:rsid w:val="006C00EF"/>
    <w:rsid w:val="006C0250"/>
    <w:rsid w:val="006C02E6"/>
    <w:rsid w:val="006C0448"/>
    <w:rsid w:val="006C0706"/>
    <w:rsid w:val="006C0824"/>
    <w:rsid w:val="006C0883"/>
    <w:rsid w:val="006C09BE"/>
    <w:rsid w:val="006C0A3B"/>
    <w:rsid w:val="006C0A7C"/>
    <w:rsid w:val="006C0B9E"/>
    <w:rsid w:val="006C0C8B"/>
    <w:rsid w:val="006C0CF2"/>
    <w:rsid w:val="006C0E44"/>
    <w:rsid w:val="006C108E"/>
    <w:rsid w:val="006C1180"/>
    <w:rsid w:val="006C11B4"/>
    <w:rsid w:val="006C1269"/>
    <w:rsid w:val="006C15DA"/>
    <w:rsid w:val="006C1622"/>
    <w:rsid w:val="006C1729"/>
    <w:rsid w:val="006C188D"/>
    <w:rsid w:val="006C1951"/>
    <w:rsid w:val="006C1A3F"/>
    <w:rsid w:val="006C1A42"/>
    <w:rsid w:val="006C1C4D"/>
    <w:rsid w:val="006C1CAA"/>
    <w:rsid w:val="006C1CBF"/>
    <w:rsid w:val="006C1DD9"/>
    <w:rsid w:val="006C1E19"/>
    <w:rsid w:val="006C1EB0"/>
    <w:rsid w:val="006C2135"/>
    <w:rsid w:val="006C2367"/>
    <w:rsid w:val="006C2735"/>
    <w:rsid w:val="006C2777"/>
    <w:rsid w:val="006C27BD"/>
    <w:rsid w:val="006C281E"/>
    <w:rsid w:val="006C2A48"/>
    <w:rsid w:val="006C2AEE"/>
    <w:rsid w:val="006C2D76"/>
    <w:rsid w:val="006C2DF3"/>
    <w:rsid w:val="006C2EDC"/>
    <w:rsid w:val="006C2F35"/>
    <w:rsid w:val="006C2FD8"/>
    <w:rsid w:val="006C3102"/>
    <w:rsid w:val="006C3158"/>
    <w:rsid w:val="006C324E"/>
    <w:rsid w:val="006C3294"/>
    <w:rsid w:val="006C3322"/>
    <w:rsid w:val="006C34DA"/>
    <w:rsid w:val="006C36D6"/>
    <w:rsid w:val="006C36D7"/>
    <w:rsid w:val="006C3783"/>
    <w:rsid w:val="006C38D5"/>
    <w:rsid w:val="006C3A38"/>
    <w:rsid w:val="006C3B67"/>
    <w:rsid w:val="006C3D34"/>
    <w:rsid w:val="006C3FC5"/>
    <w:rsid w:val="006C41AE"/>
    <w:rsid w:val="006C4217"/>
    <w:rsid w:val="006C430F"/>
    <w:rsid w:val="006C4395"/>
    <w:rsid w:val="006C439B"/>
    <w:rsid w:val="006C4452"/>
    <w:rsid w:val="006C457E"/>
    <w:rsid w:val="006C461C"/>
    <w:rsid w:val="006C463A"/>
    <w:rsid w:val="006C4695"/>
    <w:rsid w:val="006C470B"/>
    <w:rsid w:val="006C473F"/>
    <w:rsid w:val="006C47FB"/>
    <w:rsid w:val="006C4809"/>
    <w:rsid w:val="006C4939"/>
    <w:rsid w:val="006C4CA0"/>
    <w:rsid w:val="006C4D29"/>
    <w:rsid w:val="006C4E0E"/>
    <w:rsid w:val="006C4E68"/>
    <w:rsid w:val="006C4EE3"/>
    <w:rsid w:val="006C4F53"/>
    <w:rsid w:val="006C506E"/>
    <w:rsid w:val="006C50BF"/>
    <w:rsid w:val="006C5184"/>
    <w:rsid w:val="006C51DD"/>
    <w:rsid w:val="006C5324"/>
    <w:rsid w:val="006C5362"/>
    <w:rsid w:val="006C54F4"/>
    <w:rsid w:val="006C55C9"/>
    <w:rsid w:val="006C571C"/>
    <w:rsid w:val="006C58B3"/>
    <w:rsid w:val="006C5B51"/>
    <w:rsid w:val="006C5C3D"/>
    <w:rsid w:val="006C5C4C"/>
    <w:rsid w:val="006C5DB6"/>
    <w:rsid w:val="006C5DBC"/>
    <w:rsid w:val="006C5F6C"/>
    <w:rsid w:val="006C5FBE"/>
    <w:rsid w:val="006C6060"/>
    <w:rsid w:val="006C607A"/>
    <w:rsid w:val="006C61AC"/>
    <w:rsid w:val="006C6210"/>
    <w:rsid w:val="006C6235"/>
    <w:rsid w:val="006C625B"/>
    <w:rsid w:val="006C6363"/>
    <w:rsid w:val="006C6559"/>
    <w:rsid w:val="006C65D6"/>
    <w:rsid w:val="006C663E"/>
    <w:rsid w:val="006C6681"/>
    <w:rsid w:val="006C673D"/>
    <w:rsid w:val="006C67CF"/>
    <w:rsid w:val="006C68E1"/>
    <w:rsid w:val="006C690C"/>
    <w:rsid w:val="006C6AFE"/>
    <w:rsid w:val="006C6B5E"/>
    <w:rsid w:val="006C6B86"/>
    <w:rsid w:val="006C6BEA"/>
    <w:rsid w:val="006C700E"/>
    <w:rsid w:val="006C7065"/>
    <w:rsid w:val="006C708E"/>
    <w:rsid w:val="006C70AC"/>
    <w:rsid w:val="006C7196"/>
    <w:rsid w:val="006C7313"/>
    <w:rsid w:val="006C732E"/>
    <w:rsid w:val="006C734B"/>
    <w:rsid w:val="006C73D5"/>
    <w:rsid w:val="006C7530"/>
    <w:rsid w:val="006C771F"/>
    <w:rsid w:val="006C7845"/>
    <w:rsid w:val="006C784D"/>
    <w:rsid w:val="006C7A26"/>
    <w:rsid w:val="006C7B64"/>
    <w:rsid w:val="006C7B70"/>
    <w:rsid w:val="006C7BBB"/>
    <w:rsid w:val="006C7BFB"/>
    <w:rsid w:val="006C7E22"/>
    <w:rsid w:val="006C7E24"/>
    <w:rsid w:val="006C7E30"/>
    <w:rsid w:val="006C7F5F"/>
    <w:rsid w:val="006C7F88"/>
    <w:rsid w:val="006C7FB7"/>
    <w:rsid w:val="006C7FBD"/>
    <w:rsid w:val="006C7FDC"/>
    <w:rsid w:val="006D0100"/>
    <w:rsid w:val="006D011F"/>
    <w:rsid w:val="006D0174"/>
    <w:rsid w:val="006D024D"/>
    <w:rsid w:val="006D0274"/>
    <w:rsid w:val="006D02E1"/>
    <w:rsid w:val="006D037C"/>
    <w:rsid w:val="006D049A"/>
    <w:rsid w:val="006D057B"/>
    <w:rsid w:val="006D064A"/>
    <w:rsid w:val="006D0725"/>
    <w:rsid w:val="006D089A"/>
    <w:rsid w:val="006D0ACB"/>
    <w:rsid w:val="006D0ACD"/>
    <w:rsid w:val="006D0B94"/>
    <w:rsid w:val="006D0C73"/>
    <w:rsid w:val="006D0CA0"/>
    <w:rsid w:val="006D0E03"/>
    <w:rsid w:val="006D0E88"/>
    <w:rsid w:val="006D0EA7"/>
    <w:rsid w:val="006D0EC3"/>
    <w:rsid w:val="006D0ED5"/>
    <w:rsid w:val="006D1013"/>
    <w:rsid w:val="006D1040"/>
    <w:rsid w:val="006D12D5"/>
    <w:rsid w:val="006D136A"/>
    <w:rsid w:val="006D144B"/>
    <w:rsid w:val="006D1478"/>
    <w:rsid w:val="006D14A0"/>
    <w:rsid w:val="006D1546"/>
    <w:rsid w:val="006D1620"/>
    <w:rsid w:val="006D1714"/>
    <w:rsid w:val="006D17CF"/>
    <w:rsid w:val="006D17ED"/>
    <w:rsid w:val="006D1822"/>
    <w:rsid w:val="006D196B"/>
    <w:rsid w:val="006D1989"/>
    <w:rsid w:val="006D1A02"/>
    <w:rsid w:val="006D1A35"/>
    <w:rsid w:val="006D1B76"/>
    <w:rsid w:val="006D1BAA"/>
    <w:rsid w:val="006D1C2F"/>
    <w:rsid w:val="006D1EBA"/>
    <w:rsid w:val="006D2030"/>
    <w:rsid w:val="006D2206"/>
    <w:rsid w:val="006D2346"/>
    <w:rsid w:val="006D2365"/>
    <w:rsid w:val="006D23C8"/>
    <w:rsid w:val="006D243B"/>
    <w:rsid w:val="006D251A"/>
    <w:rsid w:val="006D252D"/>
    <w:rsid w:val="006D2969"/>
    <w:rsid w:val="006D2A5C"/>
    <w:rsid w:val="006D2A6C"/>
    <w:rsid w:val="006D2AC9"/>
    <w:rsid w:val="006D2BC6"/>
    <w:rsid w:val="006D2BE7"/>
    <w:rsid w:val="006D2CAF"/>
    <w:rsid w:val="006D2CF7"/>
    <w:rsid w:val="006D2DDC"/>
    <w:rsid w:val="006D30A9"/>
    <w:rsid w:val="006D31C1"/>
    <w:rsid w:val="006D31CE"/>
    <w:rsid w:val="006D32B8"/>
    <w:rsid w:val="006D334A"/>
    <w:rsid w:val="006D336E"/>
    <w:rsid w:val="006D3370"/>
    <w:rsid w:val="006D3472"/>
    <w:rsid w:val="006D3526"/>
    <w:rsid w:val="006D3760"/>
    <w:rsid w:val="006D3AF4"/>
    <w:rsid w:val="006D3B9F"/>
    <w:rsid w:val="006D3C54"/>
    <w:rsid w:val="006D40B1"/>
    <w:rsid w:val="006D40F3"/>
    <w:rsid w:val="006D423B"/>
    <w:rsid w:val="006D4283"/>
    <w:rsid w:val="006D4325"/>
    <w:rsid w:val="006D45B2"/>
    <w:rsid w:val="006D46D2"/>
    <w:rsid w:val="006D477D"/>
    <w:rsid w:val="006D47E0"/>
    <w:rsid w:val="006D49C1"/>
    <w:rsid w:val="006D4AAE"/>
    <w:rsid w:val="006D4B63"/>
    <w:rsid w:val="006D4B9E"/>
    <w:rsid w:val="006D4C7B"/>
    <w:rsid w:val="006D4CB7"/>
    <w:rsid w:val="006D4CFA"/>
    <w:rsid w:val="006D4D2F"/>
    <w:rsid w:val="006D4DD4"/>
    <w:rsid w:val="006D4E98"/>
    <w:rsid w:val="006D4FBC"/>
    <w:rsid w:val="006D4FF9"/>
    <w:rsid w:val="006D50D1"/>
    <w:rsid w:val="006D5133"/>
    <w:rsid w:val="006D52E0"/>
    <w:rsid w:val="006D533D"/>
    <w:rsid w:val="006D55C9"/>
    <w:rsid w:val="006D5724"/>
    <w:rsid w:val="006D5774"/>
    <w:rsid w:val="006D599E"/>
    <w:rsid w:val="006D5BB9"/>
    <w:rsid w:val="006D5D11"/>
    <w:rsid w:val="006D5E21"/>
    <w:rsid w:val="006D60FA"/>
    <w:rsid w:val="006D61CE"/>
    <w:rsid w:val="006D6287"/>
    <w:rsid w:val="006D62BB"/>
    <w:rsid w:val="006D6398"/>
    <w:rsid w:val="006D63D9"/>
    <w:rsid w:val="006D6425"/>
    <w:rsid w:val="006D65B1"/>
    <w:rsid w:val="006D66EC"/>
    <w:rsid w:val="006D6703"/>
    <w:rsid w:val="006D67EE"/>
    <w:rsid w:val="006D6865"/>
    <w:rsid w:val="006D6903"/>
    <w:rsid w:val="006D6999"/>
    <w:rsid w:val="006D6A7D"/>
    <w:rsid w:val="006D6B5D"/>
    <w:rsid w:val="006D6B93"/>
    <w:rsid w:val="006D6BAA"/>
    <w:rsid w:val="006D6BF2"/>
    <w:rsid w:val="006D6C88"/>
    <w:rsid w:val="006D6E29"/>
    <w:rsid w:val="006D6F78"/>
    <w:rsid w:val="006D6F85"/>
    <w:rsid w:val="006D70A4"/>
    <w:rsid w:val="006D7198"/>
    <w:rsid w:val="006D7449"/>
    <w:rsid w:val="006D7458"/>
    <w:rsid w:val="006D746A"/>
    <w:rsid w:val="006D761A"/>
    <w:rsid w:val="006D76D4"/>
    <w:rsid w:val="006D77EC"/>
    <w:rsid w:val="006D781F"/>
    <w:rsid w:val="006D7943"/>
    <w:rsid w:val="006D79C3"/>
    <w:rsid w:val="006D79F4"/>
    <w:rsid w:val="006D7A24"/>
    <w:rsid w:val="006D7A8C"/>
    <w:rsid w:val="006D7C1E"/>
    <w:rsid w:val="006D7C3A"/>
    <w:rsid w:val="006D7C53"/>
    <w:rsid w:val="006D7CCE"/>
    <w:rsid w:val="006D7D1B"/>
    <w:rsid w:val="006D7D7D"/>
    <w:rsid w:val="006D7F43"/>
    <w:rsid w:val="006D7FA7"/>
    <w:rsid w:val="006D7FE2"/>
    <w:rsid w:val="006E000C"/>
    <w:rsid w:val="006E0066"/>
    <w:rsid w:val="006E00D6"/>
    <w:rsid w:val="006E00EA"/>
    <w:rsid w:val="006E0188"/>
    <w:rsid w:val="006E0317"/>
    <w:rsid w:val="006E03E2"/>
    <w:rsid w:val="006E03EF"/>
    <w:rsid w:val="006E040B"/>
    <w:rsid w:val="006E0582"/>
    <w:rsid w:val="006E0620"/>
    <w:rsid w:val="006E0770"/>
    <w:rsid w:val="006E08EB"/>
    <w:rsid w:val="006E0AE9"/>
    <w:rsid w:val="006E0B04"/>
    <w:rsid w:val="006E0B15"/>
    <w:rsid w:val="006E0B41"/>
    <w:rsid w:val="006E0C7F"/>
    <w:rsid w:val="006E0C83"/>
    <w:rsid w:val="006E0CF9"/>
    <w:rsid w:val="006E0D7E"/>
    <w:rsid w:val="006E0E71"/>
    <w:rsid w:val="006E0FC4"/>
    <w:rsid w:val="006E1127"/>
    <w:rsid w:val="006E123E"/>
    <w:rsid w:val="006E13FC"/>
    <w:rsid w:val="006E14D5"/>
    <w:rsid w:val="006E1512"/>
    <w:rsid w:val="006E1611"/>
    <w:rsid w:val="006E1713"/>
    <w:rsid w:val="006E17A2"/>
    <w:rsid w:val="006E17B5"/>
    <w:rsid w:val="006E1811"/>
    <w:rsid w:val="006E181F"/>
    <w:rsid w:val="006E18D8"/>
    <w:rsid w:val="006E18EC"/>
    <w:rsid w:val="006E191E"/>
    <w:rsid w:val="006E1945"/>
    <w:rsid w:val="006E1971"/>
    <w:rsid w:val="006E1A06"/>
    <w:rsid w:val="006E1A19"/>
    <w:rsid w:val="006E1B00"/>
    <w:rsid w:val="006E1B42"/>
    <w:rsid w:val="006E1BEE"/>
    <w:rsid w:val="006E1C22"/>
    <w:rsid w:val="006E1CF3"/>
    <w:rsid w:val="006E1D21"/>
    <w:rsid w:val="006E1DB4"/>
    <w:rsid w:val="006E1FF6"/>
    <w:rsid w:val="006E21FE"/>
    <w:rsid w:val="006E237F"/>
    <w:rsid w:val="006E23DB"/>
    <w:rsid w:val="006E25EF"/>
    <w:rsid w:val="006E2701"/>
    <w:rsid w:val="006E2785"/>
    <w:rsid w:val="006E278D"/>
    <w:rsid w:val="006E288D"/>
    <w:rsid w:val="006E2896"/>
    <w:rsid w:val="006E28AC"/>
    <w:rsid w:val="006E28E1"/>
    <w:rsid w:val="006E28E9"/>
    <w:rsid w:val="006E2915"/>
    <w:rsid w:val="006E2ABE"/>
    <w:rsid w:val="006E2ACA"/>
    <w:rsid w:val="006E2B72"/>
    <w:rsid w:val="006E2C62"/>
    <w:rsid w:val="006E2CBA"/>
    <w:rsid w:val="006E2DB9"/>
    <w:rsid w:val="006E2F9B"/>
    <w:rsid w:val="006E2FC4"/>
    <w:rsid w:val="006E3043"/>
    <w:rsid w:val="006E3130"/>
    <w:rsid w:val="006E319B"/>
    <w:rsid w:val="006E31B8"/>
    <w:rsid w:val="006E3279"/>
    <w:rsid w:val="006E32F2"/>
    <w:rsid w:val="006E332D"/>
    <w:rsid w:val="006E3340"/>
    <w:rsid w:val="006E3371"/>
    <w:rsid w:val="006E3756"/>
    <w:rsid w:val="006E3A37"/>
    <w:rsid w:val="006E3A45"/>
    <w:rsid w:val="006E3AE4"/>
    <w:rsid w:val="006E3C03"/>
    <w:rsid w:val="006E3C2B"/>
    <w:rsid w:val="006E3C4A"/>
    <w:rsid w:val="006E3E0F"/>
    <w:rsid w:val="006E3F91"/>
    <w:rsid w:val="006E4011"/>
    <w:rsid w:val="006E4138"/>
    <w:rsid w:val="006E4170"/>
    <w:rsid w:val="006E41CC"/>
    <w:rsid w:val="006E41F3"/>
    <w:rsid w:val="006E420A"/>
    <w:rsid w:val="006E429A"/>
    <w:rsid w:val="006E44D4"/>
    <w:rsid w:val="006E44FA"/>
    <w:rsid w:val="006E45E3"/>
    <w:rsid w:val="006E462D"/>
    <w:rsid w:val="006E463A"/>
    <w:rsid w:val="006E4683"/>
    <w:rsid w:val="006E46D0"/>
    <w:rsid w:val="006E49A1"/>
    <w:rsid w:val="006E49A2"/>
    <w:rsid w:val="006E4B0E"/>
    <w:rsid w:val="006E4B96"/>
    <w:rsid w:val="006E4BF6"/>
    <w:rsid w:val="006E4CC3"/>
    <w:rsid w:val="006E4CC8"/>
    <w:rsid w:val="006E4D96"/>
    <w:rsid w:val="006E4F02"/>
    <w:rsid w:val="006E4F2D"/>
    <w:rsid w:val="006E4F44"/>
    <w:rsid w:val="006E4F8C"/>
    <w:rsid w:val="006E4FDA"/>
    <w:rsid w:val="006E5003"/>
    <w:rsid w:val="006E506A"/>
    <w:rsid w:val="006E51B5"/>
    <w:rsid w:val="006E5268"/>
    <w:rsid w:val="006E5286"/>
    <w:rsid w:val="006E53AF"/>
    <w:rsid w:val="006E5427"/>
    <w:rsid w:val="006E5546"/>
    <w:rsid w:val="006E5621"/>
    <w:rsid w:val="006E564F"/>
    <w:rsid w:val="006E5660"/>
    <w:rsid w:val="006E5707"/>
    <w:rsid w:val="006E5978"/>
    <w:rsid w:val="006E59B1"/>
    <w:rsid w:val="006E5A1B"/>
    <w:rsid w:val="006E5A90"/>
    <w:rsid w:val="006E5B9C"/>
    <w:rsid w:val="006E5B9D"/>
    <w:rsid w:val="006E5BD1"/>
    <w:rsid w:val="006E5C03"/>
    <w:rsid w:val="006E5C74"/>
    <w:rsid w:val="006E5CAA"/>
    <w:rsid w:val="006E5CAC"/>
    <w:rsid w:val="006E5CBC"/>
    <w:rsid w:val="006E5D95"/>
    <w:rsid w:val="006E5E8F"/>
    <w:rsid w:val="006E5FE8"/>
    <w:rsid w:val="006E6075"/>
    <w:rsid w:val="006E6324"/>
    <w:rsid w:val="006E638D"/>
    <w:rsid w:val="006E648E"/>
    <w:rsid w:val="006E6701"/>
    <w:rsid w:val="006E67A0"/>
    <w:rsid w:val="006E67DE"/>
    <w:rsid w:val="006E687A"/>
    <w:rsid w:val="006E69FC"/>
    <w:rsid w:val="006E6A79"/>
    <w:rsid w:val="006E6AE6"/>
    <w:rsid w:val="006E6BA9"/>
    <w:rsid w:val="006E6BAB"/>
    <w:rsid w:val="006E6CF4"/>
    <w:rsid w:val="006E6D43"/>
    <w:rsid w:val="006E6E27"/>
    <w:rsid w:val="006E6E2E"/>
    <w:rsid w:val="006E6E58"/>
    <w:rsid w:val="006E6E94"/>
    <w:rsid w:val="006E6EC5"/>
    <w:rsid w:val="006E6F9C"/>
    <w:rsid w:val="006E6FF4"/>
    <w:rsid w:val="006E7066"/>
    <w:rsid w:val="006E70E2"/>
    <w:rsid w:val="006E731E"/>
    <w:rsid w:val="006E73F2"/>
    <w:rsid w:val="006E74E0"/>
    <w:rsid w:val="006E7515"/>
    <w:rsid w:val="006E753E"/>
    <w:rsid w:val="006E75E2"/>
    <w:rsid w:val="006E75F9"/>
    <w:rsid w:val="006E760A"/>
    <w:rsid w:val="006E7659"/>
    <w:rsid w:val="006E7725"/>
    <w:rsid w:val="006E77BC"/>
    <w:rsid w:val="006E7845"/>
    <w:rsid w:val="006E787E"/>
    <w:rsid w:val="006E78D3"/>
    <w:rsid w:val="006E794D"/>
    <w:rsid w:val="006E79C2"/>
    <w:rsid w:val="006E7C76"/>
    <w:rsid w:val="006E7CB7"/>
    <w:rsid w:val="006E7D69"/>
    <w:rsid w:val="006E7DE5"/>
    <w:rsid w:val="006E7EA7"/>
    <w:rsid w:val="006E7EF5"/>
    <w:rsid w:val="006E7FB0"/>
    <w:rsid w:val="006E7FEC"/>
    <w:rsid w:val="006F00B4"/>
    <w:rsid w:val="006F01CF"/>
    <w:rsid w:val="006F027E"/>
    <w:rsid w:val="006F02AE"/>
    <w:rsid w:val="006F0320"/>
    <w:rsid w:val="006F0381"/>
    <w:rsid w:val="006F03B3"/>
    <w:rsid w:val="006F0520"/>
    <w:rsid w:val="006F0607"/>
    <w:rsid w:val="006F06A6"/>
    <w:rsid w:val="006F07C6"/>
    <w:rsid w:val="006F07FF"/>
    <w:rsid w:val="006F08A5"/>
    <w:rsid w:val="006F08BA"/>
    <w:rsid w:val="006F08CB"/>
    <w:rsid w:val="006F092D"/>
    <w:rsid w:val="006F09DB"/>
    <w:rsid w:val="006F0A43"/>
    <w:rsid w:val="006F0A8B"/>
    <w:rsid w:val="006F0ADB"/>
    <w:rsid w:val="006F0B75"/>
    <w:rsid w:val="006F0D63"/>
    <w:rsid w:val="006F0E70"/>
    <w:rsid w:val="006F0FC1"/>
    <w:rsid w:val="006F0FC7"/>
    <w:rsid w:val="006F10F2"/>
    <w:rsid w:val="006F1161"/>
    <w:rsid w:val="006F1354"/>
    <w:rsid w:val="006F17EA"/>
    <w:rsid w:val="006F17F5"/>
    <w:rsid w:val="006F1824"/>
    <w:rsid w:val="006F18ED"/>
    <w:rsid w:val="006F1A6D"/>
    <w:rsid w:val="006F1AD3"/>
    <w:rsid w:val="006F1B42"/>
    <w:rsid w:val="006F1B8A"/>
    <w:rsid w:val="006F1CBE"/>
    <w:rsid w:val="006F1D3B"/>
    <w:rsid w:val="006F1D56"/>
    <w:rsid w:val="006F1D66"/>
    <w:rsid w:val="006F1DBE"/>
    <w:rsid w:val="006F2030"/>
    <w:rsid w:val="006F20A4"/>
    <w:rsid w:val="006F20C0"/>
    <w:rsid w:val="006F20D0"/>
    <w:rsid w:val="006F2235"/>
    <w:rsid w:val="006F22B1"/>
    <w:rsid w:val="006F249A"/>
    <w:rsid w:val="006F25D2"/>
    <w:rsid w:val="006F261F"/>
    <w:rsid w:val="006F2684"/>
    <w:rsid w:val="006F27B7"/>
    <w:rsid w:val="006F27F3"/>
    <w:rsid w:val="006F2841"/>
    <w:rsid w:val="006F28D7"/>
    <w:rsid w:val="006F294E"/>
    <w:rsid w:val="006F29B6"/>
    <w:rsid w:val="006F2B23"/>
    <w:rsid w:val="006F2B64"/>
    <w:rsid w:val="006F2BAD"/>
    <w:rsid w:val="006F2BE1"/>
    <w:rsid w:val="006F2C3A"/>
    <w:rsid w:val="006F2D15"/>
    <w:rsid w:val="006F2E67"/>
    <w:rsid w:val="006F2E82"/>
    <w:rsid w:val="006F2F76"/>
    <w:rsid w:val="006F3041"/>
    <w:rsid w:val="006F3044"/>
    <w:rsid w:val="006F30AF"/>
    <w:rsid w:val="006F311B"/>
    <w:rsid w:val="006F317A"/>
    <w:rsid w:val="006F3219"/>
    <w:rsid w:val="006F322B"/>
    <w:rsid w:val="006F32AA"/>
    <w:rsid w:val="006F33E7"/>
    <w:rsid w:val="006F3443"/>
    <w:rsid w:val="006F3560"/>
    <w:rsid w:val="006F35C1"/>
    <w:rsid w:val="006F36E4"/>
    <w:rsid w:val="006F3749"/>
    <w:rsid w:val="006F3796"/>
    <w:rsid w:val="006F37E3"/>
    <w:rsid w:val="006F38E9"/>
    <w:rsid w:val="006F3BA7"/>
    <w:rsid w:val="006F3BDB"/>
    <w:rsid w:val="006F3C49"/>
    <w:rsid w:val="006F3CBA"/>
    <w:rsid w:val="006F3CCB"/>
    <w:rsid w:val="006F3F05"/>
    <w:rsid w:val="006F3F15"/>
    <w:rsid w:val="006F3F75"/>
    <w:rsid w:val="006F404C"/>
    <w:rsid w:val="006F40C1"/>
    <w:rsid w:val="006F4138"/>
    <w:rsid w:val="006F42A7"/>
    <w:rsid w:val="006F42B2"/>
    <w:rsid w:val="006F43A5"/>
    <w:rsid w:val="006F4409"/>
    <w:rsid w:val="006F4502"/>
    <w:rsid w:val="006F45BB"/>
    <w:rsid w:val="006F45E2"/>
    <w:rsid w:val="006F4626"/>
    <w:rsid w:val="006F4743"/>
    <w:rsid w:val="006F47E3"/>
    <w:rsid w:val="006F4886"/>
    <w:rsid w:val="006F4927"/>
    <w:rsid w:val="006F49BD"/>
    <w:rsid w:val="006F4A5B"/>
    <w:rsid w:val="006F4B90"/>
    <w:rsid w:val="006F4DD8"/>
    <w:rsid w:val="006F4E8B"/>
    <w:rsid w:val="006F4ECA"/>
    <w:rsid w:val="006F4EF4"/>
    <w:rsid w:val="006F4F1A"/>
    <w:rsid w:val="006F5060"/>
    <w:rsid w:val="006F50F3"/>
    <w:rsid w:val="006F5325"/>
    <w:rsid w:val="006F546E"/>
    <w:rsid w:val="006F5716"/>
    <w:rsid w:val="006F588B"/>
    <w:rsid w:val="006F5A86"/>
    <w:rsid w:val="006F5B64"/>
    <w:rsid w:val="006F5BAB"/>
    <w:rsid w:val="006F5D6F"/>
    <w:rsid w:val="006F5E91"/>
    <w:rsid w:val="006F5EB4"/>
    <w:rsid w:val="006F5F3D"/>
    <w:rsid w:val="006F6028"/>
    <w:rsid w:val="006F6029"/>
    <w:rsid w:val="006F605B"/>
    <w:rsid w:val="006F608B"/>
    <w:rsid w:val="006F60E0"/>
    <w:rsid w:val="006F61A0"/>
    <w:rsid w:val="006F6206"/>
    <w:rsid w:val="006F6282"/>
    <w:rsid w:val="006F6292"/>
    <w:rsid w:val="006F644C"/>
    <w:rsid w:val="006F6468"/>
    <w:rsid w:val="006F6537"/>
    <w:rsid w:val="006F6591"/>
    <w:rsid w:val="006F66C4"/>
    <w:rsid w:val="006F68B8"/>
    <w:rsid w:val="006F6A12"/>
    <w:rsid w:val="006F6D9B"/>
    <w:rsid w:val="006F6F10"/>
    <w:rsid w:val="006F6F99"/>
    <w:rsid w:val="006F7020"/>
    <w:rsid w:val="006F7168"/>
    <w:rsid w:val="006F7310"/>
    <w:rsid w:val="006F7317"/>
    <w:rsid w:val="006F7349"/>
    <w:rsid w:val="006F7388"/>
    <w:rsid w:val="006F7522"/>
    <w:rsid w:val="006F76F9"/>
    <w:rsid w:val="006F7715"/>
    <w:rsid w:val="006F779A"/>
    <w:rsid w:val="006F7885"/>
    <w:rsid w:val="006F78D1"/>
    <w:rsid w:val="006F7936"/>
    <w:rsid w:val="006F7A48"/>
    <w:rsid w:val="006F7A7B"/>
    <w:rsid w:val="006F7AD1"/>
    <w:rsid w:val="006F7AE6"/>
    <w:rsid w:val="006F7C3E"/>
    <w:rsid w:val="006F7C73"/>
    <w:rsid w:val="006F7E2A"/>
    <w:rsid w:val="006F7F45"/>
    <w:rsid w:val="006F7FBF"/>
    <w:rsid w:val="00700214"/>
    <w:rsid w:val="0070034A"/>
    <w:rsid w:val="007005E5"/>
    <w:rsid w:val="007007C5"/>
    <w:rsid w:val="00700823"/>
    <w:rsid w:val="0070083D"/>
    <w:rsid w:val="007008D7"/>
    <w:rsid w:val="00700B7E"/>
    <w:rsid w:val="00700C30"/>
    <w:rsid w:val="00700DF3"/>
    <w:rsid w:val="00700E03"/>
    <w:rsid w:val="00700FA5"/>
    <w:rsid w:val="00701019"/>
    <w:rsid w:val="0070111E"/>
    <w:rsid w:val="007011D0"/>
    <w:rsid w:val="0070125D"/>
    <w:rsid w:val="0070126F"/>
    <w:rsid w:val="0070131B"/>
    <w:rsid w:val="00701417"/>
    <w:rsid w:val="00701465"/>
    <w:rsid w:val="00701517"/>
    <w:rsid w:val="00701620"/>
    <w:rsid w:val="00701A98"/>
    <w:rsid w:val="00701AB9"/>
    <w:rsid w:val="00701B0F"/>
    <w:rsid w:val="00701B50"/>
    <w:rsid w:val="00701C3A"/>
    <w:rsid w:val="00701C4C"/>
    <w:rsid w:val="00701CE9"/>
    <w:rsid w:val="00701CF4"/>
    <w:rsid w:val="00701E95"/>
    <w:rsid w:val="00701F24"/>
    <w:rsid w:val="00702100"/>
    <w:rsid w:val="00702166"/>
    <w:rsid w:val="00702250"/>
    <w:rsid w:val="0070228E"/>
    <w:rsid w:val="00702321"/>
    <w:rsid w:val="00702330"/>
    <w:rsid w:val="0070255A"/>
    <w:rsid w:val="00702588"/>
    <w:rsid w:val="00702640"/>
    <w:rsid w:val="00702653"/>
    <w:rsid w:val="007026F7"/>
    <w:rsid w:val="00702866"/>
    <w:rsid w:val="00702883"/>
    <w:rsid w:val="00702939"/>
    <w:rsid w:val="00702952"/>
    <w:rsid w:val="0070299D"/>
    <w:rsid w:val="00702A24"/>
    <w:rsid w:val="00702A84"/>
    <w:rsid w:val="00702AAF"/>
    <w:rsid w:val="00702B5C"/>
    <w:rsid w:val="00702C11"/>
    <w:rsid w:val="00702C4E"/>
    <w:rsid w:val="00702D11"/>
    <w:rsid w:val="00702D93"/>
    <w:rsid w:val="00702D9F"/>
    <w:rsid w:val="00702DB1"/>
    <w:rsid w:val="00702E77"/>
    <w:rsid w:val="00702F39"/>
    <w:rsid w:val="00702FD8"/>
    <w:rsid w:val="0070305D"/>
    <w:rsid w:val="007031A1"/>
    <w:rsid w:val="007032B0"/>
    <w:rsid w:val="007032BE"/>
    <w:rsid w:val="0070337E"/>
    <w:rsid w:val="007033B7"/>
    <w:rsid w:val="00703539"/>
    <w:rsid w:val="00703672"/>
    <w:rsid w:val="007036D6"/>
    <w:rsid w:val="00703884"/>
    <w:rsid w:val="007038DB"/>
    <w:rsid w:val="007039DA"/>
    <w:rsid w:val="00703A3D"/>
    <w:rsid w:val="00703A71"/>
    <w:rsid w:val="00703AFA"/>
    <w:rsid w:val="00703B23"/>
    <w:rsid w:val="00703CF3"/>
    <w:rsid w:val="00703D18"/>
    <w:rsid w:val="00703D8C"/>
    <w:rsid w:val="007040CD"/>
    <w:rsid w:val="00704187"/>
    <w:rsid w:val="0070418B"/>
    <w:rsid w:val="00704213"/>
    <w:rsid w:val="0070421E"/>
    <w:rsid w:val="007043E8"/>
    <w:rsid w:val="007045B7"/>
    <w:rsid w:val="007046CB"/>
    <w:rsid w:val="007046DD"/>
    <w:rsid w:val="007047BC"/>
    <w:rsid w:val="00704883"/>
    <w:rsid w:val="0070498B"/>
    <w:rsid w:val="00704E0E"/>
    <w:rsid w:val="00704E22"/>
    <w:rsid w:val="00704EC4"/>
    <w:rsid w:val="00705052"/>
    <w:rsid w:val="007050D9"/>
    <w:rsid w:val="007050EB"/>
    <w:rsid w:val="00705110"/>
    <w:rsid w:val="00705196"/>
    <w:rsid w:val="00705235"/>
    <w:rsid w:val="00705242"/>
    <w:rsid w:val="007054E1"/>
    <w:rsid w:val="007055AB"/>
    <w:rsid w:val="007058B6"/>
    <w:rsid w:val="00705969"/>
    <w:rsid w:val="00705AAD"/>
    <w:rsid w:val="00705B81"/>
    <w:rsid w:val="00705CCB"/>
    <w:rsid w:val="00705E3B"/>
    <w:rsid w:val="00705F38"/>
    <w:rsid w:val="007061AB"/>
    <w:rsid w:val="007061B3"/>
    <w:rsid w:val="007061E1"/>
    <w:rsid w:val="007062CC"/>
    <w:rsid w:val="0070632E"/>
    <w:rsid w:val="00706527"/>
    <w:rsid w:val="00706550"/>
    <w:rsid w:val="0070657B"/>
    <w:rsid w:val="0070660A"/>
    <w:rsid w:val="0070687F"/>
    <w:rsid w:val="007068BE"/>
    <w:rsid w:val="0070694E"/>
    <w:rsid w:val="007069E6"/>
    <w:rsid w:val="00706A81"/>
    <w:rsid w:val="00706AD7"/>
    <w:rsid w:val="00706BDB"/>
    <w:rsid w:val="00706C34"/>
    <w:rsid w:val="00706CC4"/>
    <w:rsid w:val="00706CCE"/>
    <w:rsid w:val="00706CEF"/>
    <w:rsid w:val="00706E93"/>
    <w:rsid w:val="00706EC0"/>
    <w:rsid w:val="00706F2F"/>
    <w:rsid w:val="00707100"/>
    <w:rsid w:val="007071C6"/>
    <w:rsid w:val="007073FC"/>
    <w:rsid w:val="007074E9"/>
    <w:rsid w:val="00707550"/>
    <w:rsid w:val="00707603"/>
    <w:rsid w:val="00707633"/>
    <w:rsid w:val="00707671"/>
    <w:rsid w:val="007076C9"/>
    <w:rsid w:val="0070775D"/>
    <w:rsid w:val="00707879"/>
    <w:rsid w:val="007078F6"/>
    <w:rsid w:val="0070796F"/>
    <w:rsid w:val="007079A3"/>
    <w:rsid w:val="00707A10"/>
    <w:rsid w:val="00707B5F"/>
    <w:rsid w:val="00707D2E"/>
    <w:rsid w:val="00707F08"/>
    <w:rsid w:val="0071003C"/>
    <w:rsid w:val="00710212"/>
    <w:rsid w:val="0071024D"/>
    <w:rsid w:val="007102F0"/>
    <w:rsid w:val="0071030D"/>
    <w:rsid w:val="0071031A"/>
    <w:rsid w:val="00710341"/>
    <w:rsid w:val="007103CA"/>
    <w:rsid w:val="00710415"/>
    <w:rsid w:val="0071042E"/>
    <w:rsid w:val="00710512"/>
    <w:rsid w:val="00710522"/>
    <w:rsid w:val="007106DB"/>
    <w:rsid w:val="00710712"/>
    <w:rsid w:val="0071075C"/>
    <w:rsid w:val="00710765"/>
    <w:rsid w:val="007107C8"/>
    <w:rsid w:val="00710881"/>
    <w:rsid w:val="007108EA"/>
    <w:rsid w:val="00710B3D"/>
    <w:rsid w:val="00710C52"/>
    <w:rsid w:val="00710D4A"/>
    <w:rsid w:val="00710D61"/>
    <w:rsid w:val="00710F3A"/>
    <w:rsid w:val="0071106B"/>
    <w:rsid w:val="0071107B"/>
    <w:rsid w:val="00711105"/>
    <w:rsid w:val="0071117E"/>
    <w:rsid w:val="007111C4"/>
    <w:rsid w:val="007111EC"/>
    <w:rsid w:val="007113AB"/>
    <w:rsid w:val="00711428"/>
    <w:rsid w:val="00711455"/>
    <w:rsid w:val="0071148B"/>
    <w:rsid w:val="00711578"/>
    <w:rsid w:val="007115CF"/>
    <w:rsid w:val="007116DF"/>
    <w:rsid w:val="007116E9"/>
    <w:rsid w:val="0071170C"/>
    <w:rsid w:val="007117D3"/>
    <w:rsid w:val="007117DE"/>
    <w:rsid w:val="00711906"/>
    <w:rsid w:val="0071197E"/>
    <w:rsid w:val="00711BF7"/>
    <w:rsid w:val="00711C8B"/>
    <w:rsid w:val="00711DAC"/>
    <w:rsid w:val="00712015"/>
    <w:rsid w:val="00712194"/>
    <w:rsid w:val="007123C2"/>
    <w:rsid w:val="007124BD"/>
    <w:rsid w:val="00712537"/>
    <w:rsid w:val="0071280E"/>
    <w:rsid w:val="00712A09"/>
    <w:rsid w:val="00712AF9"/>
    <w:rsid w:val="00712D1D"/>
    <w:rsid w:val="00712DDE"/>
    <w:rsid w:val="00712E3A"/>
    <w:rsid w:val="00712EB9"/>
    <w:rsid w:val="00712EF9"/>
    <w:rsid w:val="00712F53"/>
    <w:rsid w:val="0071300B"/>
    <w:rsid w:val="0071309B"/>
    <w:rsid w:val="007131E5"/>
    <w:rsid w:val="00713521"/>
    <w:rsid w:val="007135BD"/>
    <w:rsid w:val="00713615"/>
    <w:rsid w:val="007136F5"/>
    <w:rsid w:val="00713B59"/>
    <w:rsid w:val="00713BE3"/>
    <w:rsid w:val="00713D88"/>
    <w:rsid w:val="00713EA2"/>
    <w:rsid w:val="00713EF6"/>
    <w:rsid w:val="00713F02"/>
    <w:rsid w:val="00713F50"/>
    <w:rsid w:val="007140C4"/>
    <w:rsid w:val="00714103"/>
    <w:rsid w:val="00714167"/>
    <w:rsid w:val="00714304"/>
    <w:rsid w:val="0071451C"/>
    <w:rsid w:val="00714649"/>
    <w:rsid w:val="0071476B"/>
    <w:rsid w:val="00714779"/>
    <w:rsid w:val="007147AC"/>
    <w:rsid w:val="007147FC"/>
    <w:rsid w:val="00714818"/>
    <w:rsid w:val="00714838"/>
    <w:rsid w:val="007148C6"/>
    <w:rsid w:val="007149B0"/>
    <w:rsid w:val="00714A39"/>
    <w:rsid w:val="00714F67"/>
    <w:rsid w:val="00714F7D"/>
    <w:rsid w:val="007150FC"/>
    <w:rsid w:val="0071520D"/>
    <w:rsid w:val="00715273"/>
    <w:rsid w:val="007154A4"/>
    <w:rsid w:val="007154C4"/>
    <w:rsid w:val="00715618"/>
    <w:rsid w:val="007156B7"/>
    <w:rsid w:val="007157CF"/>
    <w:rsid w:val="00715916"/>
    <w:rsid w:val="00715AAE"/>
    <w:rsid w:val="00715B16"/>
    <w:rsid w:val="00715B3D"/>
    <w:rsid w:val="00715B41"/>
    <w:rsid w:val="00715B62"/>
    <w:rsid w:val="00715B7C"/>
    <w:rsid w:val="00715C99"/>
    <w:rsid w:val="00715D97"/>
    <w:rsid w:val="00715F0F"/>
    <w:rsid w:val="00715F42"/>
    <w:rsid w:val="00715FEB"/>
    <w:rsid w:val="007160EF"/>
    <w:rsid w:val="0071611E"/>
    <w:rsid w:val="00716251"/>
    <w:rsid w:val="0071637D"/>
    <w:rsid w:val="007163C1"/>
    <w:rsid w:val="0071640E"/>
    <w:rsid w:val="00716411"/>
    <w:rsid w:val="00716452"/>
    <w:rsid w:val="007164BD"/>
    <w:rsid w:val="007164CD"/>
    <w:rsid w:val="007164EB"/>
    <w:rsid w:val="0071654C"/>
    <w:rsid w:val="007167D2"/>
    <w:rsid w:val="007167DB"/>
    <w:rsid w:val="0071682D"/>
    <w:rsid w:val="00716911"/>
    <w:rsid w:val="0071694A"/>
    <w:rsid w:val="007169A8"/>
    <w:rsid w:val="007169C5"/>
    <w:rsid w:val="00716A08"/>
    <w:rsid w:val="00716A15"/>
    <w:rsid w:val="00716ABA"/>
    <w:rsid w:val="00716B69"/>
    <w:rsid w:val="00716C12"/>
    <w:rsid w:val="00716C51"/>
    <w:rsid w:val="00716DE9"/>
    <w:rsid w:val="00716DF4"/>
    <w:rsid w:val="00716F18"/>
    <w:rsid w:val="00716F2F"/>
    <w:rsid w:val="00717142"/>
    <w:rsid w:val="00717188"/>
    <w:rsid w:val="007171ED"/>
    <w:rsid w:val="00717307"/>
    <w:rsid w:val="0071749B"/>
    <w:rsid w:val="0071751E"/>
    <w:rsid w:val="00717540"/>
    <w:rsid w:val="007175F8"/>
    <w:rsid w:val="0071767C"/>
    <w:rsid w:val="007176EE"/>
    <w:rsid w:val="00717727"/>
    <w:rsid w:val="007178F9"/>
    <w:rsid w:val="00717904"/>
    <w:rsid w:val="00717A1F"/>
    <w:rsid w:val="00717AD0"/>
    <w:rsid w:val="00717ADF"/>
    <w:rsid w:val="00717CF0"/>
    <w:rsid w:val="00717D6A"/>
    <w:rsid w:val="00717D7B"/>
    <w:rsid w:val="00717E66"/>
    <w:rsid w:val="00717FEA"/>
    <w:rsid w:val="00720219"/>
    <w:rsid w:val="0072026C"/>
    <w:rsid w:val="0072045B"/>
    <w:rsid w:val="007204D5"/>
    <w:rsid w:val="00720549"/>
    <w:rsid w:val="007205FB"/>
    <w:rsid w:val="00720784"/>
    <w:rsid w:val="00720C5E"/>
    <w:rsid w:val="00720C73"/>
    <w:rsid w:val="00720CEE"/>
    <w:rsid w:val="00720E54"/>
    <w:rsid w:val="00721007"/>
    <w:rsid w:val="00721147"/>
    <w:rsid w:val="007211B7"/>
    <w:rsid w:val="00721287"/>
    <w:rsid w:val="00721444"/>
    <w:rsid w:val="0072147E"/>
    <w:rsid w:val="007218B2"/>
    <w:rsid w:val="007218B7"/>
    <w:rsid w:val="00721B46"/>
    <w:rsid w:val="00721BA7"/>
    <w:rsid w:val="00721BED"/>
    <w:rsid w:val="00721C99"/>
    <w:rsid w:val="00721CB6"/>
    <w:rsid w:val="00721CE5"/>
    <w:rsid w:val="00721D8A"/>
    <w:rsid w:val="00721F13"/>
    <w:rsid w:val="00721F48"/>
    <w:rsid w:val="00721F9A"/>
    <w:rsid w:val="00721FF2"/>
    <w:rsid w:val="00722004"/>
    <w:rsid w:val="00722050"/>
    <w:rsid w:val="00722074"/>
    <w:rsid w:val="007220B8"/>
    <w:rsid w:val="00722208"/>
    <w:rsid w:val="0072244E"/>
    <w:rsid w:val="007224DE"/>
    <w:rsid w:val="00722620"/>
    <w:rsid w:val="007226A0"/>
    <w:rsid w:val="007226D1"/>
    <w:rsid w:val="007227BA"/>
    <w:rsid w:val="00722843"/>
    <w:rsid w:val="00722880"/>
    <w:rsid w:val="0072299A"/>
    <w:rsid w:val="007229BE"/>
    <w:rsid w:val="00722E60"/>
    <w:rsid w:val="00722F33"/>
    <w:rsid w:val="00722FC0"/>
    <w:rsid w:val="00722FD3"/>
    <w:rsid w:val="0072301D"/>
    <w:rsid w:val="00723090"/>
    <w:rsid w:val="00723146"/>
    <w:rsid w:val="00723321"/>
    <w:rsid w:val="00723327"/>
    <w:rsid w:val="0072349D"/>
    <w:rsid w:val="007235B3"/>
    <w:rsid w:val="007235B7"/>
    <w:rsid w:val="007235DC"/>
    <w:rsid w:val="0072372D"/>
    <w:rsid w:val="0072380E"/>
    <w:rsid w:val="007238F7"/>
    <w:rsid w:val="00723907"/>
    <w:rsid w:val="007239BA"/>
    <w:rsid w:val="007239DB"/>
    <w:rsid w:val="00723B84"/>
    <w:rsid w:val="00723C3C"/>
    <w:rsid w:val="00723C4B"/>
    <w:rsid w:val="00723C93"/>
    <w:rsid w:val="00723DCE"/>
    <w:rsid w:val="00723DFF"/>
    <w:rsid w:val="00723E29"/>
    <w:rsid w:val="0072416E"/>
    <w:rsid w:val="0072438B"/>
    <w:rsid w:val="00724432"/>
    <w:rsid w:val="0072444E"/>
    <w:rsid w:val="007244B3"/>
    <w:rsid w:val="00724540"/>
    <w:rsid w:val="007245C4"/>
    <w:rsid w:val="0072486A"/>
    <w:rsid w:val="007249A6"/>
    <w:rsid w:val="00724BA3"/>
    <w:rsid w:val="00724BE7"/>
    <w:rsid w:val="00724BFA"/>
    <w:rsid w:val="00724C00"/>
    <w:rsid w:val="00724C03"/>
    <w:rsid w:val="00724D95"/>
    <w:rsid w:val="00724DC8"/>
    <w:rsid w:val="00724DE9"/>
    <w:rsid w:val="00724E6B"/>
    <w:rsid w:val="00724FA2"/>
    <w:rsid w:val="00724FF3"/>
    <w:rsid w:val="007251B3"/>
    <w:rsid w:val="007252D5"/>
    <w:rsid w:val="0072540D"/>
    <w:rsid w:val="0072544A"/>
    <w:rsid w:val="007255B0"/>
    <w:rsid w:val="0072564B"/>
    <w:rsid w:val="007256FF"/>
    <w:rsid w:val="00725894"/>
    <w:rsid w:val="007258D1"/>
    <w:rsid w:val="00725985"/>
    <w:rsid w:val="00725B5A"/>
    <w:rsid w:val="00725C80"/>
    <w:rsid w:val="00725D93"/>
    <w:rsid w:val="00725DC7"/>
    <w:rsid w:val="00725E1D"/>
    <w:rsid w:val="00726028"/>
    <w:rsid w:val="00726038"/>
    <w:rsid w:val="007260FF"/>
    <w:rsid w:val="007261AF"/>
    <w:rsid w:val="0072624D"/>
    <w:rsid w:val="00726410"/>
    <w:rsid w:val="007264D2"/>
    <w:rsid w:val="0072651F"/>
    <w:rsid w:val="00726579"/>
    <w:rsid w:val="0072662B"/>
    <w:rsid w:val="00726A7F"/>
    <w:rsid w:val="00726AB4"/>
    <w:rsid w:val="00726AFB"/>
    <w:rsid w:val="00726CFB"/>
    <w:rsid w:val="00726DD8"/>
    <w:rsid w:val="00726F85"/>
    <w:rsid w:val="007270F1"/>
    <w:rsid w:val="0072718E"/>
    <w:rsid w:val="00727217"/>
    <w:rsid w:val="00727221"/>
    <w:rsid w:val="0072732C"/>
    <w:rsid w:val="0072753D"/>
    <w:rsid w:val="00727564"/>
    <w:rsid w:val="0072776E"/>
    <w:rsid w:val="00727830"/>
    <w:rsid w:val="0072788E"/>
    <w:rsid w:val="007279AE"/>
    <w:rsid w:val="00727ADE"/>
    <w:rsid w:val="00727AF2"/>
    <w:rsid w:val="00727B2D"/>
    <w:rsid w:val="00727B49"/>
    <w:rsid w:val="00727C0A"/>
    <w:rsid w:val="00727C6D"/>
    <w:rsid w:val="00727D93"/>
    <w:rsid w:val="00727E11"/>
    <w:rsid w:val="00727EB2"/>
    <w:rsid w:val="00727F14"/>
    <w:rsid w:val="007300CC"/>
    <w:rsid w:val="00730106"/>
    <w:rsid w:val="00730229"/>
    <w:rsid w:val="0073054D"/>
    <w:rsid w:val="0073057E"/>
    <w:rsid w:val="00730789"/>
    <w:rsid w:val="007307FB"/>
    <w:rsid w:val="00730881"/>
    <w:rsid w:val="00730933"/>
    <w:rsid w:val="00730A7C"/>
    <w:rsid w:val="00730A92"/>
    <w:rsid w:val="00730C48"/>
    <w:rsid w:val="00730FB9"/>
    <w:rsid w:val="007310A1"/>
    <w:rsid w:val="00731132"/>
    <w:rsid w:val="00731178"/>
    <w:rsid w:val="007311F3"/>
    <w:rsid w:val="0073129F"/>
    <w:rsid w:val="007312AE"/>
    <w:rsid w:val="00731329"/>
    <w:rsid w:val="00731391"/>
    <w:rsid w:val="007315EF"/>
    <w:rsid w:val="00731668"/>
    <w:rsid w:val="00731683"/>
    <w:rsid w:val="00731755"/>
    <w:rsid w:val="00731844"/>
    <w:rsid w:val="007319AD"/>
    <w:rsid w:val="007319D6"/>
    <w:rsid w:val="00731A58"/>
    <w:rsid w:val="00731AED"/>
    <w:rsid w:val="00731C52"/>
    <w:rsid w:val="00731CD7"/>
    <w:rsid w:val="00731CEA"/>
    <w:rsid w:val="00731FB0"/>
    <w:rsid w:val="00731FDD"/>
    <w:rsid w:val="0073202E"/>
    <w:rsid w:val="007320DA"/>
    <w:rsid w:val="007321B1"/>
    <w:rsid w:val="00732245"/>
    <w:rsid w:val="00732300"/>
    <w:rsid w:val="00732303"/>
    <w:rsid w:val="0073240D"/>
    <w:rsid w:val="0073245A"/>
    <w:rsid w:val="007324C5"/>
    <w:rsid w:val="007325A2"/>
    <w:rsid w:val="0073264A"/>
    <w:rsid w:val="007326FB"/>
    <w:rsid w:val="00732726"/>
    <w:rsid w:val="007327E8"/>
    <w:rsid w:val="00732861"/>
    <w:rsid w:val="00732959"/>
    <w:rsid w:val="00732A0E"/>
    <w:rsid w:val="00732B21"/>
    <w:rsid w:val="00732B31"/>
    <w:rsid w:val="00732B45"/>
    <w:rsid w:val="00732BE1"/>
    <w:rsid w:val="00732DAE"/>
    <w:rsid w:val="00732E98"/>
    <w:rsid w:val="00732F71"/>
    <w:rsid w:val="0073338E"/>
    <w:rsid w:val="0073340B"/>
    <w:rsid w:val="007334A1"/>
    <w:rsid w:val="00733530"/>
    <w:rsid w:val="00733571"/>
    <w:rsid w:val="007335A8"/>
    <w:rsid w:val="007338B5"/>
    <w:rsid w:val="0073391D"/>
    <w:rsid w:val="0073397A"/>
    <w:rsid w:val="00733BAD"/>
    <w:rsid w:val="00733C2D"/>
    <w:rsid w:val="00733C7E"/>
    <w:rsid w:val="00733CC4"/>
    <w:rsid w:val="00733D09"/>
    <w:rsid w:val="00733EB8"/>
    <w:rsid w:val="00733F70"/>
    <w:rsid w:val="00733FB0"/>
    <w:rsid w:val="0073411A"/>
    <w:rsid w:val="007341EB"/>
    <w:rsid w:val="007342AD"/>
    <w:rsid w:val="007343A0"/>
    <w:rsid w:val="007343AB"/>
    <w:rsid w:val="007343BA"/>
    <w:rsid w:val="007343BC"/>
    <w:rsid w:val="007343E3"/>
    <w:rsid w:val="0073464E"/>
    <w:rsid w:val="007346A7"/>
    <w:rsid w:val="0073473F"/>
    <w:rsid w:val="00734826"/>
    <w:rsid w:val="0073489D"/>
    <w:rsid w:val="007348BB"/>
    <w:rsid w:val="007349FD"/>
    <w:rsid w:val="00734A1C"/>
    <w:rsid w:val="00734B12"/>
    <w:rsid w:val="00734C31"/>
    <w:rsid w:val="00734CC4"/>
    <w:rsid w:val="00734D1B"/>
    <w:rsid w:val="00734D57"/>
    <w:rsid w:val="0073523E"/>
    <w:rsid w:val="00735243"/>
    <w:rsid w:val="00735398"/>
    <w:rsid w:val="0073548C"/>
    <w:rsid w:val="007354EE"/>
    <w:rsid w:val="0073555D"/>
    <w:rsid w:val="00735642"/>
    <w:rsid w:val="00735643"/>
    <w:rsid w:val="0073575A"/>
    <w:rsid w:val="00735981"/>
    <w:rsid w:val="00735B72"/>
    <w:rsid w:val="00735BF3"/>
    <w:rsid w:val="00735CEA"/>
    <w:rsid w:val="00735D3D"/>
    <w:rsid w:val="00735E9A"/>
    <w:rsid w:val="00735F8D"/>
    <w:rsid w:val="007360DE"/>
    <w:rsid w:val="00736140"/>
    <w:rsid w:val="00736202"/>
    <w:rsid w:val="00736387"/>
    <w:rsid w:val="007364B2"/>
    <w:rsid w:val="0073655D"/>
    <w:rsid w:val="00736600"/>
    <w:rsid w:val="007366D7"/>
    <w:rsid w:val="00736808"/>
    <w:rsid w:val="00736878"/>
    <w:rsid w:val="007368F0"/>
    <w:rsid w:val="00736A6E"/>
    <w:rsid w:val="00736AFD"/>
    <w:rsid w:val="00736C6A"/>
    <w:rsid w:val="00736D00"/>
    <w:rsid w:val="00736DBE"/>
    <w:rsid w:val="00736E8D"/>
    <w:rsid w:val="00736E92"/>
    <w:rsid w:val="00736F38"/>
    <w:rsid w:val="0073707E"/>
    <w:rsid w:val="00737210"/>
    <w:rsid w:val="0073726F"/>
    <w:rsid w:val="007372F0"/>
    <w:rsid w:val="007373FE"/>
    <w:rsid w:val="007374CF"/>
    <w:rsid w:val="0073750C"/>
    <w:rsid w:val="007375EB"/>
    <w:rsid w:val="007376B4"/>
    <w:rsid w:val="00737735"/>
    <w:rsid w:val="00737811"/>
    <w:rsid w:val="007378EA"/>
    <w:rsid w:val="00737BC6"/>
    <w:rsid w:val="00737D47"/>
    <w:rsid w:val="00737EED"/>
    <w:rsid w:val="00737F10"/>
    <w:rsid w:val="00737F8C"/>
    <w:rsid w:val="0074022A"/>
    <w:rsid w:val="00740254"/>
    <w:rsid w:val="00740449"/>
    <w:rsid w:val="007405A2"/>
    <w:rsid w:val="00740648"/>
    <w:rsid w:val="0074073A"/>
    <w:rsid w:val="00740772"/>
    <w:rsid w:val="00740945"/>
    <w:rsid w:val="0074094D"/>
    <w:rsid w:val="00740ACE"/>
    <w:rsid w:val="00740BB4"/>
    <w:rsid w:val="00740BC8"/>
    <w:rsid w:val="00740BEF"/>
    <w:rsid w:val="00740D16"/>
    <w:rsid w:val="00740F69"/>
    <w:rsid w:val="00740F9D"/>
    <w:rsid w:val="00740FA7"/>
    <w:rsid w:val="00741084"/>
    <w:rsid w:val="007412C4"/>
    <w:rsid w:val="00741323"/>
    <w:rsid w:val="0074137D"/>
    <w:rsid w:val="007416B9"/>
    <w:rsid w:val="0074172D"/>
    <w:rsid w:val="00741770"/>
    <w:rsid w:val="007417ED"/>
    <w:rsid w:val="007418BE"/>
    <w:rsid w:val="0074198C"/>
    <w:rsid w:val="00741A28"/>
    <w:rsid w:val="00741B21"/>
    <w:rsid w:val="00741BE9"/>
    <w:rsid w:val="00741D15"/>
    <w:rsid w:val="00741F59"/>
    <w:rsid w:val="00741FED"/>
    <w:rsid w:val="00742037"/>
    <w:rsid w:val="00742077"/>
    <w:rsid w:val="007420D8"/>
    <w:rsid w:val="00742110"/>
    <w:rsid w:val="00742177"/>
    <w:rsid w:val="007421DF"/>
    <w:rsid w:val="00742309"/>
    <w:rsid w:val="00742621"/>
    <w:rsid w:val="00742651"/>
    <w:rsid w:val="007426E7"/>
    <w:rsid w:val="0074271A"/>
    <w:rsid w:val="00742857"/>
    <w:rsid w:val="0074286E"/>
    <w:rsid w:val="00742870"/>
    <w:rsid w:val="007428BA"/>
    <w:rsid w:val="007428E5"/>
    <w:rsid w:val="00742A3A"/>
    <w:rsid w:val="00742DB0"/>
    <w:rsid w:val="00742E64"/>
    <w:rsid w:val="00742E98"/>
    <w:rsid w:val="00742EC6"/>
    <w:rsid w:val="00742F9A"/>
    <w:rsid w:val="00743164"/>
    <w:rsid w:val="007432EB"/>
    <w:rsid w:val="007432F0"/>
    <w:rsid w:val="00743358"/>
    <w:rsid w:val="00743517"/>
    <w:rsid w:val="007437A9"/>
    <w:rsid w:val="007437D3"/>
    <w:rsid w:val="00743897"/>
    <w:rsid w:val="007438B9"/>
    <w:rsid w:val="0074395A"/>
    <w:rsid w:val="0074397E"/>
    <w:rsid w:val="00743ADF"/>
    <w:rsid w:val="00743F34"/>
    <w:rsid w:val="0074411E"/>
    <w:rsid w:val="00744227"/>
    <w:rsid w:val="007442A1"/>
    <w:rsid w:val="00744313"/>
    <w:rsid w:val="0074446B"/>
    <w:rsid w:val="007444CF"/>
    <w:rsid w:val="00744613"/>
    <w:rsid w:val="00744649"/>
    <w:rsid w:val="00744810"/>
    <w:rsid w:val="007448B1"/>
    <w:rsid w:val="00744973"/>
    <w:rsid w:val="00744A64"/>
    <w:rsid w:val="00744B74"/>
    <w:rsid w:val="00744B8C"/>
    <w:rsid w:val="00744BBE"/>
    <w:rsid w:val="00744C35"/>
    <w:rsid w:val="00744FE2"/>
    <w:rsid w:val="0074504E"/>
    <w:rsid w:val="007450E7"/>
    <w:rsid w:val="00745223"/>
    <w:rsid w:val="0074523F"/>
    <w:rsid w:val="007452E8"/>
    <w:rsid w:val="00745354"/>
    <w:rsid w:val="007457D1"/>
    <w:rsid w:val="007459A8"/>
    <w:rsid w:val="007459D1"/>
    <w:rsid w:val="00745AA5"/>
    <w:rsid w:val="00745C3C"/>
    <w:rsid w:val="00745F35"/>
    <w:rsid w:val="007460C2"/>
    <w:rsid w:val="00746116"/>
    <w:rsid w:val="007461C9"/>
    <w:rsid w:val="007461DD"/>
    <w:rsid w:val="00746444"/>
    <w:rsid w:val="007464FE"/>
    <w:rsid w:val="00746585"/>
    <w:rsid w:val="007465FF"/>
    <w:rsid w:val="00746621"/>
    <w:rsid w:val="00746628"/>
    <w:rsid w:val="00746661"/>
    <w:rsid w:val="007466CB"/>
    <w:rsid w:val="00746777"/>
    <w:rsid w:val="007468C9"/>
    <w:rsid w:val="00746902"/>
    <w:rsid w:val="00746ADC"/>
    <w:rsid w:val="00746B4E"/>
    <w:rsid w:val="00746B72"/>
    <w:rsid w:val="00746BB7"/>
    <w:rsid w:val="00746BB8"/>
    <w:rsid w:val="00746BE6"/>
    <w:rsid w:val="00746CCE"/>
    <w:rsid w:val="00746DD7"/>
    <w:rsid w:val="00746E0B"/>
    <w:rsid w:val="00746E83"/>
    <w:rsid w:val="00746FA8"/>
    <w:rsid w:val="00746FBE"/>
    <w:rsid w:val="00746FFD"/>
    <w:rsid w:val="00747076"/>
    <w:rsid w:val="00747212"/>
    <w:rsid w:val="00747355"/>
    <w:rsid w:val="0074736C"/>
    <w:rsid w:val="0074739C"/>
    <w:rsid w:val="00747445"/>
    <w:rsid w:val="007474F8"/>
    <w:rsid w:val="007475D2"/>
    <w:rsid w:val="007476AC"/>
    <w:rsid w:val="00747896"/>
    <w:rsid w:val="007479A3"/>
    <w:rsid w:val="00747AC5"/>
    <w:rsid w:val="00747B12"/>
    <w:rsid w:val="00747C1C"/>
    <w:rsid w:val="00747CB5"/>
    <w:rsid w:val="00747CD7"/>
    <w:rsid w:val="00747E8F"/>
    <w:rsid w:val="00747EAB"/>
    <w:rsid w:val="00747EF4"/>
    <w:rsid w:val="00747F4A"/>
    <w:rsid w:val="00747F82"/>
    <w:rsid w:val="00747FE9"/>
    <w:rsid w:val="0075000A"/>
    <w:rsid w:val="0075003D"/>
    <w:rsid w:val="00750061"/>
    <w:rsid w:val="007500E1"/>
    <w:rsid w:val="007501D0"/>
    <w:rsid w:val="007501D4"/>
    <w:rsid w:val="0075021C"/>
    <w:rsid w:val="00750230"/>
    <w:rsid w:val="0075034B"/>
    <w:rsid w:val="007505D6"/>
    <w:rsid w:val="00750601"/>
    <w:rsid w:val="00750646"/>
    <w:rsid w:val="007507EA"/>
    <w:rsid w:val="0075085C"/>
    <w:rsid w:val="00750887"/>
    <w:rsid w:val="0075089D"/>
    <w:rsid w:val="007508DD"/>
    <w:rsid w:val="00750AC8"/>
    <w:rsid w:val="00750B2A"/>
    <w:rsid w:val="00750B90"/>
    <w:rsid w:val="00750C0C"/>
    <w:rsid w:val="00750C0F"/>
    <w:rsid w:val="00750CCF"/>
    <w:rsid w:val="00750E79"/>
    <w:rsid w:val="00751027"/>
    <w:rsid w:val="007510B8"/>
    <w:rsid w:val="00751120"/>
    <w:rsid w:val="0075123E"/>
    <w:rsid w:val="007513B1"/>
    <w:rsid w:val="00751464"/>
    <w:rsid w:val="007514A5"/>
    <w:rsid w:val="00751518"/>
    <w:rsid w:val="00751562"/>
    <w:rsid w:val="0075162B"/>
    <w:rsid w:val="00751675"/>
    <w:rsid w:val="007517B1"/>
    <w:rsid w:val="00751800"/>
    <w:rsid w:val="007519C0"/>
    <w:rsid w:val="00751A6E"/>
    <w:rsid w:val="00751C86"/>
    <w:rsid w:val="00751D5C"/>
    <w:rsid w:val="00751D7F"/>
    <w:rsid w:val="00751DCD"/>
    <w:rsid w:val="00751E33"/>
    <w:rsid w:val="00752087"/>
    <w:rsid w:val="007521C1"/>
    <w:rsid w:val="007522F0"/>
    <w:rsid w:val="00752569"/>
    <w:rsid w:val="007525E5"/>
    <w:rsid w:val="007527CC"/>
    <w:rsid w:val="00752807"/>
    <w:rsid w:val="00752AD6"/>
    <w:rsid w:val="00752B62"/>
    <w:rsid w:val="00752B6D"/>
    <w:rsid w:val="00752B80"/>
    <w:rsid w:val="00752BD5"/>
    <w:rsid w:val="00752BF4"/>
    <w:rsid w:val="00752C6E"/>
    <w:rsid w:val="00752DA7"/>
    <w:rsid w:val="00753226"/>
    <w:rsid w:val="00753293"/>
    <w:rsid w:val="00753323"/>
    <w:rsid w:val="00753332"/>
    <w:rsid w:val="00753477"/>
    <w:rsid w:val="00753506"/>
    <w:rsid w:val="0075352D"/>
    <w:rsid w:val="00753769"/>
    <w:rsid w:val="007539E7"/>
    <w:rsid w:val="007539FC"/>
    <w:rsid w:val="00753A12"/>
    <w:rsid w:val="00753A73"/>
    <w:rsid w:val="00753B22"/>
    <w:rsid w:val="00753B5C"/>
    <w:rsid w:val="00753B5D"/>
    <w:rsid w:val="00753B6B"/>
    <w:rsid w:val="00753C92"/>
    <w:rsid w:val="00753D91"/>
    <w:rsid w:val="00753E0B"/>
    <w:rsid w:val="00753E5D"/>
    <w:rsid w:val="0075402E"/>
    <w:rsid w:val="007540F2"/>
    <w:rsid w:val="00754104"/>
    <w:rsid w:val="0075421B"/>
    <w:rsid w:val="00754450"/>
    <w:rsid w:val="00754651"/>
    <w:rsid w:val="007546E1"/>
    <w:rsid w:val="007547B8"/>
    <w:rsid w:val="007547E1"/>
    <w:rsid w:val="00754852"/>
    <w:rsid w:val="00754894"/>
    <w:rsid w:val="007548D3"/>
    <w:rsid w:val="007548D5"/>
    <w:rsid w:val="00754968"/>
    <w:rsid w:val="00754AE5"/>
    <w:rsid w:val="00754B94"/>
    <w:rsid w:val="00754BEC"/>
    <w:rsid w:val="00754CE5"/>
    <w:rsid w:val="00754D71"/>
    <w:rsid w:val="00754F0A"/>
    <w:rsid w:val="00754FD7"/>
    <w:rsid w:val="0075503E"/>
    <w:rsid w:val="007550F4"/>
    <w:rsid w:val="00755130"/>
    <w:rsid w:val="007552F9"/>
    <w:rsid w:val="0075539C"/>
    <w:rsid w:val="0075540D"/>
    <w:rsid w:val="00755444"/>
    <w:rsid w:val="007555B0"/>
    <w:rsid w:val="0075572A"/>
    <w:rsid w:val="007557D6"/>
    <w:rsid w:val="007558C4"/>
    <w:rsid w:val="007559B5"/>
    <w:rsid w:val="00755A07"/>
    <w:rsid w:val="00755A14"/>
    <w:rsid w:val="00755B64"/>
    <w:rsid w:val="00755BC7"/>
    <w:rsid w:val="00755C04"/>
    <w:rsid w:val="00755DFA"/>
    <w:rsid w:val="00755E41"/>
    <w:rsid w:val="00755FC7"/>
    <w:rsid w:val="007560A1"/>
    <w:rsid w:val="007560E8"/>
    <w:rsid w:val="007560F5"/>
    <w:rsid w:val="0075613F"/>
    <w:rsid w:val="007561FB"/>
    <w:rsid w:val="007562F1"/>
    <w:rsid w:val="0075631D"/>
    <w:rsid w:val="0075636B"/>
    <w:rsid w:val="007563F6"/>
    <w:rsid w:val="0075675D"/>
    <w:rsid w:val="00756777"/>
    <w:rsid w:val="00756A1F"/>
    <w:rsid w:val="00756A66"/>
    <w:rsid w:val="00756C02"/>
    <w:rsid w:val="00756CBF"/>
    <w:rsid w:val="00756D4E"/>
    <w:rsid w:val="00756D60"/>
    <w:rsid w:val="00756DA0"/>
    <w:rsid w:val="00756E47"/>
    <w:rsid w:val="00756E6A"/>
    <w:rsid w:val="00757001"/>
    <w:rsid w:val="007574A5"/>
    <w:rsid w:val="0075786A"/>
    <w:rsid w:val="007578AA"/>
    <w:rsid w:val="00757913"/>
    <w:rsid w:val="0075791A"/>
    <w:rsid w:val="00757B07"/>
    <w:rsid w:val="00757B42"/>
    <w:rsid w:val="00760116"/>
    <w:rsid w:val="007602A0"/>
    <w:rsid w:val="00760304"/>
    <w:rsid w:val="00760362"/>
    <w:rsid w:val="00760369"/>
    <w:rsid w:val="0076037A"/>
    <w:rsid w:val="007603D4"/>
    <w:rsid w:val="007603F3"/>
    <w:rsid w:val="00760450"/>
    <w:rsid w:val="007605B5"/>
    <w:rsid w:val="007607C2"/>
    <w:rsid w:val="0076087D"/>
    <w:rsid w:val="007608AE"/>
    <w:rsid w:val="007608C2"/>
    <w:rsid w:val="00760950"/>
    <w:rsid w:val="0076095C"/>
    <w:rsid w:val="00760985"/>
    <w:rsid w:val="007609ED"/>
    <w:rsid w:val="00760A14"/>
    <w:rsid w:val="00760A32"/>
    <w:rsid w:val="00760A40"/>
    <w:rsid w:val="00760B17"/>
    <w:rsid w:val="00760C69"/>
    <w:rsid w:val="00760C83"/>
    <w:rsid w:val="00760C91"/>
    <w:rsid w:val="00760F86"/>
    <w:rsid w:val="00760FCE"/>
    <w:rsid w:val="007610C0"/>
    <w:rsid w:val="00761155"/>
    <w:rsid w:val="00761209"/>
    <w:rsid w:val="00761316"/>
    <w:rsid w:val="0076155E"/>
    <w:rsid w:val="00761612"/>
    <w:rsid w:val="0076171E"/>
    <w:rsid w:val="00761721"/>
    <w:rsid w:val="00761737"/>
    <w:rsid w:val="00761771"/>
    <w:rsid w:val="00761997"/>
    <w:rsid w:val="00761A27"/>
    <w:rsid w:val="00761A9E"/>
    <w:rsid w:val="00761BB1"/>
    <w:rsid w:val="00761C51"/>
    <w:rsid w:val="00761C73"/>
    <w:rsid w:val="00761E88"/>
    <w:rsid w:val="00761ECC"/>
    <w:rsid w:val="00761F5B"/>
    <w:rsid w:val="0076200C"/>
    <w:rsid w:val="00762096"/>
    <w:rsid w:val="00762186"/>
    <w:rsid w:val="007621C0"/>
    <w:rsid w:val="007621C5"/>
    <w:rsid w:val="00762351"/>
    <w:rsid w:val="00762418"/>
    <w:rsid w:val="00762479"/>
    <w:rsid w:val="00762516"/>
    <w:rsid w:val="007625A5"/>
    <w:rsid w:val="0076264A"/>
    <w:rsid w:val="00762785"/>
    <w:rsid w:val="0076294C"/>
    <w:rsid w:val="00762982"/>
    <w:rsid w:val="00762B27"/>
    <w:rsid w:val="00762BD0"/>
    <w:rsid w:val="00762E8F"/>
    <w:rsid w:val="00762E91"/>
    <w:rsid w:val="00762F5C"/>
    <w:rsid w:val="00762F6B"/>
    <w:rsid w:val="00762FE7"/>
    <w:rsid w:val="0076319A"/>
    <w:rsid w:val="0076324F"/>
    <w:rsid w:val="00763255"/>
    <w:rsid w:val="007633A9"/>
    <w:rsid w:val="00763453"/>
    <w:rsid w:val="007634B2"/>
    <w:rsid w:val="007634C3"/>
    <w:rsid w:val="007635F1"/>
    <w:rsid w:val="00763619"/>
    <w:rsid w:val="0076384D"/>
    <w:rsid w:val="007638C1"/>
    <w:rsid w:val="00763911"/>
    <w:rsid w:val="0076393D"/>
    <w:rsid w:val="00763A0D"/>
    <w:rsid w:val="00763A30"/>
    <w:rsid w:val="00763A66"/>
    <w:rsid w:val="00763B97"/>
    <w:rsid w:val="00763C15"/>
    <w:rsid w:val="00763DB9"/>
    <w:rsid w:val="00763DDB"/>
    <w:rsid w:val="00763EA9"/>
    <w:rsid w:val="00763F97"/>
    <w:rsid w:val="007640A8"/>
    <w:rsid w:val="007640D4"/>
    <w:rsid w:val="0076415D"/>
    <w:rsid w:val="0076419B"/>
    <w:rsid w:val="007641FF"/>
    <w:rsid w:val="0076421F"/>
    <w:rsid w:val="00764432"/>
    <w:rsid w:val="00764542"/>
    <w:rsid w:val="0076469F"/>
    <w:rsid w:val="0076471B"/>
    <w:rsid w:val="00764761"/>
    <w:rsid w:val="00764794"/>
    <w:rsid w:val="0076492F"/>
    <w:rsid w:val="0076498F"/>
    <w:rsid w:val="00764AE2"/>
    <w:rsid w:val="00764C5F"/>
    <w:rsid w:val="00764CCE"/>
    <w:rsid w:val="00764D07"/>
    <w:rsid w:val="00764DF8"/>
    <w:rsid w:val="00764E89"/>
    <w:rsid w:val="00764F96"/>
    <w:rsid w:val="00764FB0"/>
    <w:rsid w:val="00764FF3"/>
    <w:rsid w:val="007650BA"/>
    <w:rsid w:val="0076520B"/>
    <w:rsid w:val="00765252"/>
    <w:rsid w:val="007652A4"/>
    <w:rsid w:val="007655F9"/>
    <w:rsid w:val="0076571C"/>
    <w:rsid w:val="00765775"/>
    <w:rsid w:val="007657B9"/>
    <w:rsid w:val="007657F8"/>
    <w:rsid w:val="007659AB"/>
    <w:rsid w:val="00765A16"/>
    <w:rsid w:val="00765BAB"/>
    <w:rsid w:val="00765BDB"/>
    <w:rsid w:val="00765C40"/>
    <w:rsid w:val="00765CA8"/>
    <w:rsid w:val="00765D0B"/>
    <w:rsid w:val="00765E63"/>
    <w:rsid w:val="00765E80"/>
    <w:rsid w:val="00765EC6"/>
    <w:rsid w:val="00765FE7"/>
    <w:rsid w:val="00766101"/>
    <w:rsid w:val="0076616F"/>
    <w:rsid w:val="007662AC"/>
    <w:rsid w:val="007662BA"/>
    <w:rsid w:val="00766422"/>
    <w:rsid w:val="00766457"/>
    <w:rsid w:val="0076678B"/>
    <w:rsid w:val="0076696B"/>
    <w:rsid w:val="007669B8"/>
    <w:rsid w:val="007669F5"/>
    <w:rsid w:val="00766ADD"/>
    <w:rsid w:val="00766B41"/>
    <w:rsid w:val="00766B9D"/>
    <w:rsid w:val="00766BAB"/>
    <w:rsid w:val="00766CB4"/>
    <w:rsid w:val="00766D2A"/>
    <w:rsid w:val="00766D48"/>
    <w:rsid w:val="00766E21"/>
    <w:rsid w:val="00766EFC"/>
    <w:rsid w:val="00767102"/>
    <w:rsid w:val="0076710F"/>
    <w:rsid w:val="00767182"/>
    <w:rsid w:val="00767215"/>
    <w:rsid w:val="0076724D"/>
    <w:rsid w:val="0076740A"/>
    <w:rsid w:val="00767457"/>
    <w:rsid w:val="0076770C"/>
    <w:rsid w:val="00767818"/>
    <w:rsid w:val="00767882"/>
    <w:rsid w:val="007678D0"/>
    <w:rsid w:val="00767909"/>
    <w:rsid w:val="00767A82"/>
    <w:rsid w:val="00767ADC"/>
    <w:rsid w:val="00767CCE"/>
    <w:rsid w:val="00767DB8"/>
    <w:rsid w:val="00767E77"/>
    <w:rsid w:val="00767EAF"/>
    <w:rsid w:val="00767EB3"/>
    <w:rsid w:val="00767ED5"/>
    <w:rsid w:val="00767EEF"/>
    <w:rsid w:val="00767F66"/>
    <w:rsid w:val="00770060"/>
    <w:rsid w:val="00770100"/>
    <w:rsid w:val="0077012B"/>
    <w:rsid w:val="007701BC"/>
    <w:rsid w:val="00770209"/>
    <w:rsid w:val="0077028E"/>
    <w:rsid w:val="007702B7"/>
    <w:rsid w:val="007705EC"/>
    <w:rsid w:val="00770696"/>
    <w:rsid w:val="007706AE"/>
    <w:rsid w:val="00770784"/>
    <w:rsid w:val="0077086E"/>
    <w:rsid w:val="007709F1"/>
    <w:rsid w:val="00770B25"/>
    <w:rsid w:val="00770BB4"/>
    <w:rsid w:val="00770C45"/>
    <w:rsid w:val="00770DF8"/>
    <w:rsid w:val="007710AC"/>
    <w:rsid w:val="007710E7"/>
    <w:rsid w:val="00771139"/>
    <w:rsid w:val="0077124B"/>
    <w:rsid w:val="007713E2"/>
    <w:rsid w:val="00771409"/>
    <w:rsid w:val="0077153A"/>
    <w:rsid w:val="007715C4"/>
    <w:rsid w:val="007716B2"/>
    <w:rsid w:val="00771785"/>
    <w:rsid w:val="007718D7"/>
    <w:rsid w:val="00771BEA"/>
    <w:rsid w:val="00771C7E"/>
    <w:rsid w:val="00771CB7"/>
    <w:rsid w:val="00771D4C"/>
    <w:rsid w:val="00771E1C"/>
    <w:rsid w:val="00771EB7"/>
    <w:rsid w:val="00771F9F"/>
    <w:rsid w:val="007722BD"/>
    <w:rsid w:val="00772412"/>
    <w:rsid w:val="00772462"/>
    <w:rsid w:val="007724C7"/>
    <w:rsid w:val="007725AB"/>
    <w:rsid w:val="007726F3"/>
    <w:rsid w:val="007727E5"/>
    <w:rsid w:val="00772805"/>
    <w:rsid w:val="007728E3"/>
    <w:rsid w:val="007729B7"/>
    <w:rsid w:val="00772B5F"/>
    <w:rsid w:val="00772CB1"/>
    <w:rsid w:val="00772D2A"/>
    <w:rsid w:val="00772D5C"/>
    <w:rsid w:val="00772DEC"/>
    <w:rsid w:val="00772EDB"/>
    <w:rsid w:val="00772F19"/>
    <w:rsid w:val="00773086"/>
    <w:rsid w:val="007730CE"/>
    <w:rsid w:val="00773124"/>
    <w:rsid w:val="007731F4"/>
    <w:rsid w:val="00773232"/>
    <w:rsid w:val="00773250"/>
    <w:rsid w:val="0077327C"/>
    <w:rsid w:val="00773436"/>
    <w:rsid w:val="007735EF"/>
    <w:rsid w:val="0077374D"/>
    <w:rsid w:val="0077376F"/>
    <w:rsid w:val="00773847"/>
    <w:rsid w:val="00773920"/>
    <w:rsid w:val="00773959"/>
    <w:rsid w:val="00773A89"/>
    <w:rsid w:val="00773BA8"/>
    <w:rsid w:val="00773C13"/>
    <w:rsid w:val="00773D33"/>
    <w:rsid w:val="00773EEC"/>
    <w:rsid w:val="00773F59"/>
    <w:rsid w:val="00773F92"/>
    <w:rsid w:val="00773FA6"/>
    <w:rsid w:val="0077400D"/>
    <w:rsid w:val="007740AC"/>
    <w:rsid w:val="007742AD"/>
    <w:rsid w:val="007743CC"/>
    <w:rsid w:val="00774448"/>
    <w:rsid w:val="00774488"/>
    <w:rsid w:val="007744D8"/>
    <w:rsid w:val="00774563"/>
    <w:rsid w:val="0077457C"/>
    <w:rsid w:val="0077474D"/>
    <w:rsid w:val="00774784"/>
    <w:rsid w:val="00774865"/>
    <w:rsid w:val="00774954"/>
    <w:rsid w:val="0077496B"/>
    <w:rsid w:val="00774B93"/>
    <w:rsid w:val="00774C47"/>
    <w:rsid w:val="00774CB6"/>
    <w:rsid w:val="00774D0A"/>
    <w:rsid w:val="00774D30"/>
    <w:rsid w:val="00774E2F"/>
    <w:rsid w:val="00774EDD"/>
    <w:rsid w:val="00774F8D"/>
    <w:rsid w:val="00774FA1"/>
    <w:rsid w:val="00775031"/>
    <w:rsid w:val="00775115"/>
    <w:rsid w:val="0077537A"/>
    <w:rsid w:val="00775449"/>
    <w:rsid w:val="00775495"/>
    <w:rsid w:val="007754A9"/>
    <w:rsid w:val="0077564B"/>
    <w:rsid w:val="007757D7"/>
    <w:rsid w:val="00775C81"/>
    <w:rsid w:val="00775DA0"/>
    <w:rsid w:val="00775E66"/>
    <w:rsid w:val="00775EA2"/>
    <w:rsid w:val="00775EF5"/>
    <w:rsid w:val="00775F45"/>
    <w:rsid w:val="00775FCD"/>
    <w:rsid w:val="007760D9"/>
    <w:rsid w:val="00776298"/>
    <w:rsid w:val="0077629A"/>
    <w:rsid w:val="007762FB"/>
    <w:rsid w:val="00776517"/>
    <w:rsid w:val="0077659B"/>
    <w:rsid w:val="007765FF"/>
    <w:rsid w:val="007767C7"/>
    <w:rsid w:val="007767FE"/>
    <w:rsid w:val="00776937"/>
    <w:rsid w:val="00776B98"/>
    <w:rsid w:val="00776BB0"/>
    <w:rsid w:val="00776BD1"/>
    <w:rsid w:val="00776C6C"/>
    <w:rsid w:val="00776E0D"/>
    <w:rsid w:val="00776E68"/>
    <w:rsid w:val="00776ECB"/>
    <w:rsid w:val="00776EDC"/>
    <w:rsid w:val="00777161"/>
    <w:rsid w:val="007771F3"/>
    <w:rsid w:val="00777232"/>
    <w:rsid w:val="00777301"/>
    <w:rsid w:val="00777670"/>
    <w:rsid w:val="007776CE"/>
    <w:rsid w:val="00777792"/>
    <w:rsid w:val="00777803"/>
    <w:rsid w:val="00777935"/>
    <w:rsid w:val="007779C1"/>
    <w:rsid w:val="007779EB"/>
    <w:rsid w:val="00777A4D"/>
    <w:rsid w:val="00777A6D"/>
    <w:rsid w:val="00777B32"/>
    <w:rsid w:val="00777B87"/>
    <w:rsid w:val="00777D5F"/>
    <w:rsid w:val="00777E6A"/>
    <w:rsid w:val="00777F1C"/>
    <w:rsid w:val="00777F28"/>
    <w:rsid w:val="00777F72"/>
    <w:rsid w:val="00777FE1"/>
    <w:rsid w:val="007800B5"/>
    <w:rsid w:val="007800DC"/>
    <w:rsid w:val="007804F0"/>
    <w:rsid w:val="00780623"/>
    <w:rsid w:val="00780C38"/>
    <w:rsid w:val="00780C71"/>
    <w:rsid w:val="00780C8A"/>
    <w:rsid w:val="00780DF4"/>
    <w:rsid w:val="00780E7A"/>
    <w:rsid w:val="00780F92"/>
    <w:rsid w:val="00781085"/>
    <w:rsid w:val="0078115D"/>
    <w:rsid w:val="007811E1"/>
    <w:rsid w:val="0078122C"/>
    <w:rsid w:val="0078125E"/>
    <w:rsid w:val="007812DB"/>
    <w:rsid w:val="007812F3"/>
    <w:rsid w:val="007813A5"/>
    <w:rsid w:val="00781627"/>
    <w:rsid w:val="00781667"/>
    <w:rsid w:val="007816EB"/>
    <w:rsid w:val="0078177B"/>
    <w:rsid w:val="00781879"/>
    <w:rsid w:val="0078188B"/>
    <w:rsid w:val="007818A9"/>
    <w:rsid w:val="007818BF"/>
    <w:rsid w:val="00781948"/>
    <w:rsid w:val="00781C46"/>
    <w:rsid w:val="00781C86"/>
    <w:rsid w:val="00781D17"/>
    <w:rsid w:val="00781DE5"/>
    <w:rsid w:val="00781DEA"/>
    <w:rsid w:val="00782011"/>
    <w:rsid w:val="007822B9"/>
    <w:rsid w:val="00782435"/>
    <w:rsid w:val="00782491"/>
    <w:rsid w:val="007825B1"/>
    <w:rsid w:val="007828DD"/>
    <w:rsid w:val="00782AD7"/>
    <w:rsid w:val="00782B8D"/>
    <w:rsid w:val="00782B9B"/>
    <w:rsid w:val="00782D11"/>
    <w:rsid w:val="00782D47"/>
    <w:rsid w:val="00782EAE"/>
    <w:rsid w:val="00782EDC"/>
    <w:rsid w:val="00782F28"/>
    <w:rsid w:val="00783148"/>
    <w:rsid w:val="00783155"/>
    <w:rsid w:val="007831FD"/>
    <w:rsid w:val="00783281"/>
    <w:rsid w:val="00783422"/>
    <w:rsid w:val="0078346B"/>
    <w:rsid w:val="00783549"/>
    <w:rsid w:val="0078369B"/>
    <w:rsid w:val="007836B2"/>
    <w:rsid w:val="00783717"/>
    <w:rsid w:val="0078391D"/>
    <w:rsid w:val="007839F2"/>
    <w:rsid w:val="00783A4E"/>
    <w:rsid w:val="00783CAD"/>
    <w:rsid w:val="00783CDB"/>
    <w:rsid w:val="00783D96"/>
    <w:rsid w:val="00783DB4"/>
    <w:rsid w:val="00783E55"/>
    <w:rsid w:val="00783E61"/>
    <w:rsid w:val="00783F31"/>
    <w:rsid w:val="00783FDC"/>
    <w:rsid w:val="00784086"/>
    <w:rsid w:val="007842E2"/>
    <w:rsid w:val="007845D0"/>
    <w:rsid w:val="007845FB"/>
    <w:rsid w:val="007847A1"/>
    <w:rsid w:val="00784974"/>
    <w:rsid w:val="007849AE"/>
    <w:rsid w:val="00784A4C"/>
    <w:rsid w:val="00784C08"/>
    <w:rsid w:val="00784C20"/>
    <w:rsid w:val="00784C8E"/>
    <w:rsid w:val="00784EF1"/>
    <w:rsid w:val="00784FED"/>
    <w:rsid w:val="00785189"/>
    <w:rsid w:val="007853D4"/>
    <w:rsid w:val="007858AE"/>
    <w:rsid w:val="007859B0"/>
    <w:rsid w:val="007859D1"/>
    <w:rsid w:val="00785B7E"/>
    <w:rsid w:val="00785C3D"/>
    <w:rsid w:val="00785D15"/>
    <w:rsid w:val="00785EB7"/>
    <w:rsid w:val="00785F6D"/>
    <w:rsid w:val="00786201"/>
    <w:rsid w:val="00786494"/>
    <w:rsid w:val="00786509"/>
    <w:rsid w:val="00786548"/>
    <w:rsid w:val="007865A3"/>
    <w:rsid w:val="00786734"/>
    <w:rsid w:val="00786746"/>
    <w:rsid w:val="0078677E"/>
    <w:rsid w:val="00786846"/>
    <w:rsid w:val="0078699A"/>
    <w:rsid w:val="007869B6"/>
    <w:rsid w:val="00786EA5"/>
    <w:rsid w:val="00786EF3"/>
    <w:rsid w:val="00786F1B"/>
    <w:rsid w:val="00786F8D"/>
    <w:rsid w:val="007870C1"/>
    <w:rsid w:val="007870F8"/>
    <w:rsid w:val="00787120"/>
    <w:rsid w:val="007871A5"/>
    <w:rsid w:val="007871B0"/>
    <w:rsid w:val="0078728B"/>
    <w:rsid w:val="007872DC"/>
    <w:rsid w:val="00787459"/>
    <w:rsid w:val="00787596"/>
    <w:rsid w:val="0078769E"/>
    <w:rsid w:val="007876F2"/>
    <w:rsid w:val="0078775E"/>
    <w:rsid w:val="00787771"/>
    <w:rsid w:val="007878C2"/>
    <w:rsid w:val="00787918"/>
    <w:rsid w:val="00787ABE"/>
    <w:rsid w:val="00787B3D"/>
    <w:rsid w:val="00787B6B"/>
    <w:rsid w:val="00787CB5"/>
    <w:rsid w:val="00787D51"/>
    <w:rsid w:val="007900AD"/>
    <w:rsid w:val="007901F0"/>
    <w:rsid w:val="00790387"/>
    <w:rsid w:val="007903EF"/>
    <w:rsid w:val="0079042C"/>
    <w:rsid w:val="00790472"/>
    <w:rsid w:val="007904C3"/>
    <w:rsid w:val="0079066D"/>
    <w:rsid w:val="007906A0"/>
    <w:rsid w:val="0079077A"/>
    <w:rsid w:val="0079089E"/>
    <w:rsid w:val="0079090D"/>
    <w:rsid w:val="00790956"/>
    <w:rsid w:val="00790965"/>
    <w:rsid w:val="00790BE3"/>
    <w:rsid w:val="00790C13"/>
    <w:rsid w:val="00790CAC"/>
    <w:rsid w:val="00790D5F"/>
    <w:rsid w:val="00790D6C"/>
    <w:rsid w:val="00790D82"/>
    <w:rsid w:val="00790E5E"/>
    <w:rsid w:val="00790EDE"/>
    <w:rsid w:val="00790F11"/>
    <w:rsid w:val="00790F74"/>
    <w:rsid w:val="0079114E"/>
    <w:rsid w:val="0079122C"/>
    <w:rsid w:val="00791238"/>
    <w:rsid w:val="007913E5"/>
    <w:rsid w:val="007913FC"/>
    <w:rsid w:val="00791576"/>
    <w:rsid w:val="0079163B"/>
    <w:rsid w:val="007916D5"/>
    <w:rsid w:val="00791702"/>
    <w:rsid w:val="007917BA"/>
    <w:rsid w:val="007918BC"/>
    <w:rsid w:val="0079193D"/>
    <w:rsid w:val="00791989"/>
    <w:rsid w:val="00791A70"/>
    <w:rsid w:val="00791B28"/>
    <w:rsid w:val="00791B46"/>
    <w:rsid w:val="00791B52"/>
    <w:rsid w:val="00791D97"/>
    <w:rsid w:val="00791DA0"/>
    <w:rsid w:val="00791E38"/>
    <w:rsid w:val="00791F52"/>
    <w:rsid w:val="00792007"/>
    <w:rsid w:val="00792069"/>
    <w:rsid w:val="00792111"/>
    <w:rsid w:val="00792217"/>
    <w:rsid w:val="007923B2"/>
    <w:rsid w:val="007924A3"/>
    <w:rsid w:val="00792507"/>
    <w:rsid w:val="0079251D"/>
    <w:rsid w:val="00792690"/>
    <w:rsid w:val="007926D8"/>
    <w:rsid w:val="007927AB"/>
    <w:rsid w:val="007928B8"/>
    <w:rsid w:val="00792AAA"/>
    <w:rsid w:val="00792B52"/>
    <w:rsid w:val="00792BAF"/>
    <w:rsid w:val="00792CF5"/>
    <w:rsid w:val="00793068"/>
    <w:rsid w:val="007932C2"/>
    <w:rsid w:val="00793326"/>
    <w:rsid w:val="00793441"/>
    <w:rsid w:val="007935D3"/>
    <w:rsid w:val="0079394E"/>
    <w:rsid w:val="00793B7B"/>
    <w:rsid w:val="00793BA0"/>
    <w:rsid w:val="00793BC4"/>
    <w:rsid w:val="00793BE0"/>
    <w:rsid w:val="00793C6E"/>
    <w:rsid w:val="00793D50"/>
    <w:rsid w:val="00793D76"/>
    <w:rsid w:val="00793D77"/>
    <w:rsid w:val="00793DA9"/>
    <w:rsid w:val="00793DBE"/>
    <w:rsid w:val="00793E6D"/>
    <w:rsid w:val="00793E80"/>
    <w:rsid w:val="00793F7C"/>
    <w:rsid w:val="00793FB8"/>
    <w:rsid w:val="007940B7"/>
    <w:rsid w:val="0079412E"/>
    <w:rsid w:val="00794292"/>
    <w:rsid w:val="00794395"/>
    <w:rsid w:val="00794507"/>
    <w:rsid w:val="00794548"/>
    <w:rsid w:val="00794586"/>
    <w:rsid w:val="007945B3"/>
    <w:rsid w:val="007946DD"/>
    <w:rsid w:val="0079474D"/>
    <w:rsid w:val="0079482D"/>
    <w:rsid w:val="007948CC"/>
    <w:rsid w:val="00794AF3"/>
    <w:rsid w:val="00794BC9"/>
    <w:rsid w:val="00794BE6"/>
    <w:rsid w:val="00794C31"/>
    <w:rsid w:val="00794C4A"/>
    <w:rsid w:val="00794E59"/>
    <w:rsid w:val="00794E81"/>
    <w:rsid w:val="00794E99"/>
    <w:rsid w:val="00794F9C"/>
    <w:rsid w:val="00795164"/>
    <w:rsid w:val="0079537B"/>
    <w:rsid w:val="00795477"/>
    <w:rsid w:val="00795586"/>
    <w:rsid w:val="007955FB"/>
    <w:rsid w:val="00795628"/>
    <w:rsid w:val="00795669"/>
    <w:rsid w:val="007956B1"/>
    <w:rsid w:val="0079575A"/>
    <w:rsid w:val="007958FF"/>
    <w:rsid w:val="007959F3"/>
    <w:rsid w:val="00795BB4"/>
    <w:rsid w:val="00795DE6"/>
    <w:rsid w:val="00795E02"/>
    <w:rsid w:val="00795F2E"/>
    <w:rsid w:val="00795F82"/>
    <w:rsid w:val="00795FF5"/>
    <w:rsid w:val="0079611F"/>
    <w:rsid w:val="00796277"/>
    <w:rsid w:val="007962A7"/>
    <w:rsid w:val="00796359"/>
    <w:rsid w:val="0079638B"/>
    <w:rsid w:val="007963DC"/>
    <w:rsid w:val="00796671"/>
    <w:rsid w:val="007966C6"/>
    <w:rsid w:val="007967EB"/>
    <w:rsid w:val="00796805"/>
    <w:rsid w:val="007968C5"/>
    <w:rsid w:val="0079695C"/>
    <w:rsid w:val="0079696B"/>
    <w:rsid w:val="007969F9"/>
    <w:rsid w:val="00796A81"/>
    <w:rsid w:val="00796BFB"/>
    <w:rsid w:val="00796C94"/>
    <w:rsid w:val="00796CD5"/>
    <w:rsid w:val="00796D99"/>
    <w:rsid w:val="00796DD5"/>
    <w:rsid w:val="00796EFC"/>
    <w:rsid w:val="00797170"/>
    <w:rsid w:val="00797186"/>
    <w:rsid w:val="007973C9"/>
    <w:rsid w:val="007974A8"/>
    <w:rsid w:val="00797577"/>
    <w:rsid w:val="00797887"/>
    <w:rsid w:val="00797919"/>
    <w:rsid w:val="007979C3"/>
    <w:rsid w:val="007979D5"/>
    <w:rsid w:val="007979E6"/>
    <w:rsid w:val="00797AF7"/>
    <w:rsid w:val="00797B71"/>
    <w:rsid w:val="00797C54"/>
    <w:rsid w:val="00797EDE"/>
    <w:rsid w:val="007A000F"/>
    <w:rsid w:val="007A01EB"/>
    <w:rsid w:val="007A0277"/>
    <w:rsid w:val="007A045C"/>
    <w:rsid w:val="007A0475"/>
    <w:rsid w:val="007A084F"/>
    <w:rsid w:val="007A08AD"/>
    <w:rsid w:val="007A08FE"/>
    <w:rsid w:val="007A09A4"/>
    <w:rsid w:val="007A09C6"/>
    <w:rsid w:val="007A09F9"/>
    <w:rsid w:val="007A0AAD"/>
    <w:rsid w:val="007A0B2C"/>
    <w:rsid w:val="007A0C4C"/>
    <w:rsid w:val="007A0D85"/>
    <w:rsid w:val="007A0DA6"/>
    <w:rsid w:val="007A0EE8"/>
    <w:rsid w:val="007A0F1E"/>
    <w:rsid w:val="007A1047"/>
    <w:rsid w:val="007A1053"/>
    <w:rsid w:val="007A10AA"/>
    <w:rsid w:val="007A1144"/>
    <w:rsid w:val="007A11A0"/>
    <w:rsid w:val="007A1290"/>
    <w:rsid w:val="007A12BB"/>
    <w:rsid w:val="007A13A4"/>
    <w:rsid w:val="007A1449"/>
    <w:rsid w:val="007A1544"/>
    <w:rsid w:val="007A169B"/>
    <w:rsid w:val="007A16C6"/>
    <w:rsid w:val="007A16DD"/>
    <w:rsid w:val="007A17A9"/>
    <w:rsid w:val="007A19BA"/>
    <w:rsid w:val="007A1AAA"/>
    <w:rsid w:val="007A1AEC"/>
    <w:rsid w:val="007A1C38"/>
    <w:rsid w:val="007A1C90"/>
    <w:rsid w:val="007A1CF8"/>
    <w:rsid w:val="007A1D02"/>
    <w:rsid w:val="007A1D0F"/>
    <w:rsid w:val="007A1DDD"/>
    <w:rsid w:val="007A1E3C"/>
    <w:rsid w:val="007A1E95"/>
    <w:rsid w:val="007A1ED7"/>
    <w:rsid w:val="007A2075"/>
    <w:rsid w:val="007A2269"/>
    <w:rsid w:val="007A2325"/>
    <w:rsid w:val="007A2407"/>
    <w:rsid w:val="007A248B"/>
    <w:rsid w:val="007A24DF"/>
    <w:rsid w:val="007A24E5"/>
    <w:rsid w:val="007A27FE"/>
    <w:rsid w:val="007A2869"/>
    <w:rsid w:val="007A2891"/>
    <w:rsid w:val="007A2B11"/>
    <w:rsid w:val="007A2B55"/>
    <w:rsid w:val="007A2B93"/>
    <w:rsid w:val="007A2C92"/>
    <w:rsid w:val="007A2E25"/>
    <w:rsid w:val="007A2E34"/>
    <w:rsid w:val="007A2E8A"/>
    <w:rsid w:val="007A2F87"/>
    <w:rsid w:val="007A309D"/>
    <w:rsid w:val="007A3146"/>
    <w:rsid w:val="007A3166"/>
    <w:rsid w:val="007A3485"/>
    <w:rsid w:val="007A3680"/>
    <w:rsid w:val="007A36E8"/>
    <w:rsid w:val="007A3720"/>
    <w:rsid w:val="007A3824"/>
    <w:rsid w:val="007A3842"/>
    <w:rsid w:val="007A386D"/>
    <w:rsid w:val="007A3890"/>
    <w:rsid w:val="007A3892"/>
    <w:rsid w:val="007A39D8"/>
    <w:rsid w:val="007A39FB"/>
    <w:rsid w:val="007A3C1E"/>
    <w:rsid w:val="007A3CA7"/>
    <w:rsid w:val="007A3CC4"/>
    <w:rsid w:val="007A3DDA"/>
    <w:rsid w:val="007A3E04"/>
    <w:rsid w:val="007A3E2C"/>
    <w:rsid w:val="007A3E7C"/>
    <w:rsid w:val="007A3EC6"/>
    <w:rsid w:val="007A3EEC"/>
    <w:rsid w:val="007A3F47"/>
    <w:rsid w:val="007A3FE9"/>
    <w:rsid w:val="007A4017"/>
    <w:rsid w:val="007A4105"/>
    <w:rsid w:val="007A411B"/>
    <w:rsid w:val="007A41B8"/>
    <w:rsid w:val="007A433A"/>
    <w:rsid w:val="007A439A"/>
    <w:rsid w:val="007A43E8"/>
    <w:rsid w:val="007A44D7"/>
    <w:rsid w:val="007A45C7"/>
    <w:rsid w:val="007A47FA"/>
    <w:rsid w:val="007A4A18"/>
    <w:rsid w:val="007A4A70"/>
    <w:rsid w:val="007A4AEF"/>
    <w:rsid w:val="007A4B2F"/>
    <w:rsid w:val="007A4CBA"/>
    <w:rsid w:val="007A4DD6"/>
    <w:rsid w:val="007A4E37"/>
    <w:rsid w:val="007A4F8B"/>
    <w:rsid w:val="007A5072"/>
    <w:rsid w:val="007A51B8"/>
    <w:rsid w:val="007A53C3"/>
    <w:rsid w:val="007A5531"/>
    <w:rsid w:val="007A554B"/>
    <w:rsid w:val="007A5637"/>
    <w:rsid w:val="007A56DC"/>
    <w:rsid w:val="007A5758"/>
    <w:rsid w:val="007A5AEC"/>
    <w:rsid w:val="007A5BD4"/>
    <w:rsid w:val="007A5C81"/>
    <w:rsid w:val="007A5CA0"/>
    <w:rsid w:val="007A5D2F"/>
    <w:rsid w:val="007A5DDB"/>
    <w:rsid w:val="007A5EBF"/>
    <w:rsid w:val="007A5FC7"/>
    <w:rsid w:val="007A5FD4"/>
    <w:rsid w:val="007A5FFE"/>
    <w:rsid w:val="007A62D5"/>
    <w:rsid w:val="007A641B"/>
    <w:rsid w:val="007A64AF"/>
    <w:rsid w:val="007A6568"/>
    <w:rsid w:val="007A659C"/>
    <w:rsid w:val="007A65D2"/>
    <w:rsid w:val="007A6696"/>
    <w:rsid w:val="007A6793"/>
    <w:rsid w:val="007A67CC"/>
    <w:rsid w:val="007A682B"/>
    <w:rsid w:val="007A6926"/>
    <w:rsid w:val="007A69A4"/>
    <w:rsid w:val="007A69CD"/>
    <w:rsid w:val="007A6AB4"/>
    <w:rsid w:val="007A6C2F"/>
    <w:rsid w:val="007A6D0A"/>
    <w:rsid w:val="007A6D3E"/>
    <w:rsid w:val="007A6D60"/>
    <w:rsid w:val="007A6E00"/>
    <w:rsid w:val="007A6ECC"/>
    <w:rsid w:val="007A6EEE"/>
    <w:rsid w:val="007A6F95"/>
    <w:rsid w:val="007A710E"/>
    <w:rsid w:val="007A71A3"/>
    <w:rsid w:val="007A71EC"/>
    <w:rsid w:val="007A7235"/>
    <w:rsid w:val="007A728E"/>
    <w:rsid w:val="007A7411"/>
    <w:rsid w:val="007A74A0"/>
    <w:rsid w:val="007A74F6"/>
    <w:rsid w:val="007A756D"/>
    <w:rsid w:val="007A7873"/>
    <w:rsid w:val="007A7C7A"/>
    <w:rsid w:val="007A7C7D"/>
    <w:rsid w:val="007A7E77"/>
    <w:rsid w:val="007A7EDE"/>
    <w:rsid w:val="007A7F8A"/>
    <w:rsid w:val="007B001D"/>
    <w:rsid w:val="007B00C9"/>
    <w:rsid w:val="007B0111"/>
    <w:rsid w:val="007B014B"/>
    <w:rsid w:val="007B01B2"/>
    <w:rsid w:val="007B0240"/>
    <w:rsid w:val="007B025D"/>
    <w:rsid w:val="007B02ED"/>
    <w:rsid w:val="007B0325"/>
    <w:rsid w:val="007B03D6"/>
    <w:rsid w:val="007B0412"/>
    <w:rsid w:val="007B0464"/>
    <w:rsid w:val="007B04D3"/>
    <w:rsid w:val="007B054B"/>
    <w:rsid w:val="007B060B"/>
    <w:rsid w:val="007B0611"/>
    <w:rsid w:val="007B0612"/>
    <w:rsid w:val="007B0841"/>
    <w:rsid w:val="007B0870"/>
    <w:rsid w:val="007B089F"/>
    <w:rsid w:val="007B08CD"/>
    <w:rsid w:val="007B09F7"/>
    <w:rsid w:val="007B0DEC"/>
    <w:rsid w:val="007B0F67"/>
    <w:rsid w:val="007B1191"/>
    <w:rsid w:val="007B11AE"/>
    <w:rsid w:val="007B11D0"/>
    <w:rsid w:val="007B12CE"/>
    <w:rsid w:val="007B1346"/>
    <w:rsid w:val="007B154F"/>
    <w:rsid w:val="007B15AC"/>
    <w:rsid w:val="007B1683"/>
    <w:rsid w:val="007B1711"/>
    <w:rsid w:val="007B17D2"/>
    <w:rsid w:val="007B184B"/>
    <w:rsid w:val="007B1921"/>
    <w:rsid w:val="007B19C0"/>
    <w:rsid w:val="007B1A28"/>
    <w:rsid w:val="007B1B3C"/>
    <w:rsid w:val="007B1C6E"/>
    <w:rsid w:val="007B1CF9"/>
    <w:rsid w:val="007B1D04"/>
    <w:rsid w:val="007B1E23"/>
    <w:rsid w:val="007B1ECB"/>
    <w:rsid w:val="007B1EE2"/>
    <w:rsid w:val="007B1EE9"/>
    <w:rsid w:val="007B1EFC"/>
    <w:rsid w:val="007B1F17"/>
    <w:rsid w:val="007B1F3A"/>
    <w:rsid w:val="007B2100"/>
    <w:rsid w:val="007B215D"/>
    <w:rsid w:val="007B21E8"/>
    <w:rsid w:val="007B24B7"/>
    <w:rsid w:val="007B26ED"/>
    <w:rsid w:val="007B2769"/>
    <w:rsid w:val="007B28A5"/>
    <w:rsid w:val="007B29B0"/>
    <w:rsid w:val="007B2A7B"/>
    <w:rsid w:val="007B2AEE"/>
    <w:rsid w:val="007B2B07"/>
    <w:rsid w:val="007B2B3A"/>
    <w:rsid w:val="007B2D3A"/>
    <w:rsid w:val="007B2DC6"/>
    <w:rsid w:val="007B2F30"/>
    <w:rsid w:val="007B3160"/>
    <w:rsid w:val="007B3241"/>
    <w:rsid w:val="007B32E3"/>
    <w:rsid w:val="007B32E8"/>
    <w:rsid w:val="007B3328"/>
    <w:rsid w:val="007B3361"/>
    <w:rsid w:val="007B339F"/>
    <w:rsid w:val="007B3429"/>
    <w:rsid w:val="007B3461"/>
    <w:rsid w:val="007B35FE"/>
    <w:rsid w:val="007B3872"/>
    <w:rsid w:val="007B38D5"/>
    <w:rsid w:val="007B3993"/>
    <w:rsid w:val="007B3B7C"/>
    <w:rsid w:val="007B3D48"/>
    <w:rsid w:val="007B3E9A"/>
    <w:rsid w:val="007B3EE2"/>
    <w:rsid w:val="007B3F4B"/>
    <w:rsid w:val="007B407D"/>
    <w:rsid w:val="007B40F3"/>
    <w:rsid w:val="007B4136"/>
    <w:rsid w:val="007B45AF"/>
    <w:rsid w:val="007B4664"/>
    <w:rsid w:val="007B47C2"/>
    <w:rsid w:val="007B4821"/>
    <w:rsid w:val="007B483A"/>
    <w:rsid w:val="007B4879"/>
    <w:rsid w:val="007B48C3"/>
    <w:rsid w:val="007B4AE7"/>
    <w:rsid w:val="007B4BBD"/>
    <w:rsid w:val="007B4C53"/>
    <w:rsid w:val="007B4EC7"/>
    <w:rsid w:val="007B4F0E"/>
    <w:rsid w:val="007B4F2A"/>
    <w:rsid w:val="007B5002"/>
    <w:rsid w:val="007B5201"/>
    <w:rsid w:val="007B524C"/>
    <w:rsid w:val="007B5492"/>
    <w:rsid w:val="007B559C"/>
    <w:rsid w:val="007B55AB"/>
    <w:rsid w:val="007B560F"/>
    <w:rsid w:val="007B5680"/>
    <w:rsid w:val="007B57C9"/>
    <w:rsid w:val="007B5B0D"/>
    <w:rsid w:val="007B5B8F"/>
    <w:rsid w:val="007B5BAC"/>
    <w:rsid w:val="007B5C70"/>
    <w:rsid w:val="007B5CD0"/>
    <w:rsid w:val="007B5E04"/>
    <w:rsid w:val="007B5F3D"/>
    <w:rsid w:val="007B60E9"/>
    <w:rsid w:val="007B62D6"/>
    <w:rsid w:val="007B6424"/>
    <w:rsid w:val="007B649E"/>
    <w:rsid w:val="007B64A0"/>
    <w:rsid w:val="007B65CF"/>
    <w:rsid w:val="007B65D8"/>
    <w:rsid w:val="007B67CA"/>
    <w:rsid w:val="007B683F"/>
    <w:rsid w:val="007B691B"/>
    <w:rsid w:val="007B6963"/>
    <w:rsid w:val="007B698E"/>
    <w:rsid w:val="007B69F4"/>
    <w:rsid w:val="007B6C3A"/>
    <w:rsid w:val="007B6CED"/>
    <w:rsid w:val="007B6D7F"/>
    <w:rsid w:val="007B6DB0"/>
    <w:rsid w:val="007B6E02"/>
    <w:rsid w:val="007B6E88"/>
    <w:rsid w:val="007B6EB2"/>
    <w:rsid w:val="007B7043"/>
    <w:rsid w:val="007B7082"/>
    <w:rsid w:val="007B7246"/>
    <w:rsid w:val="007B7371"/>
    <w:rsid w:val="007B7386"/>
    <w:rsid w:val="007B7575"/>
    <w:rsid w:val="007B76D8"/>
    <w:rsid w:val="007B76E1"/>
    <w:rsid w:val="007B7716"/>
    <w:rsid w:val="007B77F5"/>
    <w:rsid w:val="007B78DE"/>
    <w:rsid w:val="007B79AC"/>
    <w:rsid w:val="007B7A1B"/>
    <w:rsid w:val="007B7A9B"/>
    <w:rsid w:val="007B7ACC"/>
    <w:rsid w:val="007B7BA3"/>
    <w:rsid w:val="007B7C93"/>
    <w:rsid w:val="007B7CA7"/>
    <w:rsid w:val="007B7DCD"/>
    <w:rsid w:val="007B7E93"/>
    <w:rsid w:val="007B7F65"/>
    <w:rsid w:val="007B7FF9"/>
    <w:rsid w:val="007C0078"/>
    <w:rsid w:val="007C0090"/>
    <w:rsid w:val="007C0131"/>
    <w:rsid w:val="007C013E"/>
    <w:rsid w:val="007C01CD"/>
    <w:rsid w:val="007C0358"/>
    <w:rsid w:val="007C0508"/>
    <w:rsid w:val="007C07E2"/>
    <w:rsid w:val="007C0802"/>
    <w:rsid w:val="007C081F"/>
    <w:rsid w:val="007C0860"/>
    <w:rsid w:val="007C0877"/>
    <w:rsid w:val="007C08FF"/>
    <w:rsid w:val="007C091B"/>
    <w:rsid w:val="007C0B1E"/>
    <w:rsid w:val="007C0B92"/>
    <w:rsid w:val="007C114B"/>
    <w:rsid w:val="007C117F"/>
    <w:rsid w:val="007C143D"/>
    <w:rsid w:val="007C192E"/>
    <w:rsid w:val="007C1B17"/>
    <w:rsid w:val="007C1B2C"/>
    <w:rsid w:val="007C1CBD"/>
    <w:rsid w:val="007C1DA2"/>
    <w:rsid w:val="007C1DD9"/>
    <w:rsid w:val="007C1F23"/>
    <w:rsid w:val="007C1FEC"/>
    <w:rsid w:val="007C2052"/>
    <w:rsid w:val="007C20E8"/>
    <w:rsid w:val="007C22B3"/>
    <w:rsid w:val="007C249D"/>
    <w:rsid w:val="007C251E"/>
    <w:rsid w:val="007C259A"/>
    <w:rsid w:val="007C261A"/>
    <w:rsid w:val="007C263E"/>
    <w:rsid w:val="007C2761"/>
    <w:rsid w:val="007C2779"/>
    <w:rsid w:val="007C2915"/>
    <w:rsid w:val="007C2ADC"/>
    <w:rsid w:val="007C2B23"/>
    <w:rsid w:val="007C2BB4"/>
    <w:rsid w:val="007C2C05"/>
    <w:rsid w:val="007C2DD5"/>
    <w:rsid w:val="007C2F4E"/>
    <w:rsid w:val="007C304F"/>
    <w:rsid w:val="007C3255"/>
    <w:rsid w:val="007C32A7"/>
    <w:rsid w:val="007C3377"/>
    <w:rsid w:val="007C3495"/>
    <w:rsid w:val="007C3584"/>
    <w:rsid w:val="007C3641"/>
    <w:rsid w:val="007C36A5"/>
    <w:rsid w:val="007C36AC"/>
    <w:rsid w:val="007C36E7"/>
    <w:rsid w:val="007C380D"/>
    <w:rsid w:val="007C38A9"/>
    <w:rsid w:val="007C38B8"/>
    <w:rsid w:val="007C390A"/>
    <w:rsid w:val="007C3946"/>
    <w:rsid w:val="007C39BC"/>
    <w:rsid w:val="007C3AE8"/>
    <w:rsid w:val="007C3C4A"/>
    <w:rsid w:val="007C3C53"/>
    <w:rsid w:val="007C3C59"/>
    <w:rsid w:val="007C3F53"/>
    <w:rsid w:val="007C3F5E"/>
    <w:rsid w:val="007C3F95"/>
    <w:rsid w:val="007C4045"/>
    <w:rsid w:val="007C40F3"/>
    <w:rsid w:val="007C4130"/>
    <w:rsid w:val="007C41DD"/>
    <w:rsid w:val="007C4279"/>
    <w:rsid w:val="007C431E"/>
    <w:rsid w:val="007C433B"/>
    <w:rsid w:val="007C453A"/>
    <w:rsid w:val="007C45E7"/>
    <w:rsid w:val="007C46A3"/>
    <w:rsid w:val="007C46D9"/>
    <w:rsid w:val="007C48C1"/>
    <w:rsid w:val="007C4912"/>
    <w:rsid w:val="007C4948"/>
    <w:rsid w:val="007C494C"/>
    <w:rsid w:val="007C49C2"/>
    <w:rsid w:val="007C4E30"/>
    <w:rsid w:val="007C4F3D"/>
    <w:rsid w:val="007C5041"/>
    <w:rsid w:val="007C504E"/>
    <w:rsid w:val="007C505A"/>
    <w:rsid w:val="007C50A4"/>
    <w:rsid w:val="007C512E"/>
    <w:rsid w:val="007C51CA"/>
    <w:rsid w:val="007C51D7"/>
    <w:rsid w:val="007C521B"/>
    <w:rsid w:val="007C522C"/>
    <w:rsid w:val="007C52F0"/>
    <w:rsid w:val="007C55DD"/>
    <w:rsid w:val="007C5678"/>
    <w:rsid w:val="007C567C"/>
    <w:rsid w:val="007C568D"/>
    <w:rsid w:val="007C573F"/>
    <w:rsid w:val="007C5910"/>
    <w:rsid w:val="007C5B3C"/>
    <w:rsid w:val="007C5D97"/>
    <w:rsid w:val="007C5E6C"/>
    <w:rsid w:val="007C5F3E"/>
    <w:rsid w:val="007C5FA0"/>
    <w:rsid w:val="007C5FFF"/>
    <w:rsid w:val="007C609D"/>
    <w:rsid w:val="007C60B6"/>
    <w:rsid w:val="007C623E"/>
    <w:rsid w:val="007C6348"/>
    <w:rsid w:val="007C63EA"/>
    <w:rsid w:val="007C641C"/>
    <w:rsid w:val="007C6436"/>
    <w:rsid w:val="007C6571"/>
    <w:rsid w:val="007C65F7"/>
    <w:rsid w:val="007C6629"/>
    <w:rsid w:val="007C67BE"/>
    <w:rsid w:val="007C6903"/>
    <w:rsid w:val="007C6929"/>
    <w:rsid w:val="007C6934"/>
    <w:rsid w:val="007C6A0C"/>
    <w:rsid w:val="007C6A2F"/>
    <w:rsid w:val="007C6B47"/>
    <w:rsid w:val="007C6BDF"/>
    <w:rsid w:val="007C6CC6"/>
    <w:rsid w:val="007C6DC2"/>
    <w:rsid w:val="007C6DFB"/>
    <w:rsid w:val="007C6E74"/>
    <w:rsid w:val="007C6F34"/>
    <w:rsid w:val="007C6F69"/>
    <w:rsid w:val="007C6F82"/>
    <w:rsid w:val="007C6FCD"/>
    <w:rsid w:val="007C727D"/>
    <w:rsid w:val="007C73AA"/>
    <w:rsid w:val="007C7492"/>
    <w:rsid w:val="007C756D"/>
    <w:rsid w:val="007C771B"/>
    <w:rsid w:val="007C7737"/>
    <w:rsid w:val="007C7838"/>
    <w:rsid w:val="007C7927"/>
    <w:rsid w:val="007C79AE"/>
    <w:rsid w:val="007C79BB"/>
    <w:rsid w:val="007C7AED"/>
    <w:rsid w:val="007C7B0E"/>
    <w:rsid w:val="007C7DBC"/>
    <w:rsid w:val="007C7DC9"/>
    <w:rsid w:val="007C7E74"/>
    <w:rsid w:val="007C7F2E"/>
    <w:rsid w:val="007D0088"/>
    <w:rsid w:val="007D00F1"/>
    <w:rsid w:val="007D027B"/>
    <w:rsid w:val="007D028A"/>
    <w:rsid w:val="007D03A9"/>
    <w:rsid w:val="007D03AB"/>
    <w:rsid w:val="007D0516"/>
    <w:rsid w:val="007D05B3"/>
    <w:rsid w:val="007D0636"/>
    <w:rsid w:val="007D07AA"/>
    <w:rsid w:val="007D08A7"/>
    <w:rsid w:val="007D08C7"/>
    <w:rsid w:val="007D0911"/>
    <w:rsid w:val="007D0922"/>
    <w:rsid w:val="007D0A4C"/>
    <w:rsid w:val="007D0B3C"/>
    <w:rsid w:val="007D0BA1"/>
    <w:rsid w:val="007D0C02"/>
    <w:rsid w:val="007D0D1E"/>
    <w:rsid w:val="007D0D78"/>
    <w:rsid w:val="007D0E25"/>
    <w:rsid w:val="007D0E37"/>
    <w:rsid w:val="007D0F82"/>
    <w:rsid w:val="007D11CE"/>
    <w:rsid w:val="007D11F0"/>
    <w:rsid w:val="007D1238"/>
    <w:rsid w:val="007D124E"/>
    <w:rsid w:val="007D1273"/>
    <w:rsid w:val="007D12E6"/>
    <w:rsid w:val="007D14B6"/>
    <w:rsid w:val="007D1644"/>
    <w:rsid w:val="007D16DC"/>
    <w:rsid w:val="007D1AB0"/>
    <w:rsid w:val="007D1B78"/>
    <w:rsid w:val="007D1BCF"/>
    <w:rsid w:val="007D1CA5"/>
    <w:rsid w:val="007D1D49"/>
    <w:rsid w:val="007D1F89"/>
    <w:rsid w:val="007D1F92"/>
    <w:rsid w:val="007D211E"/>
    <w:rsid w:val="007D2184"/>
    <w:rsid w:val="007D2198"/>
    <w:rsid w:val="007D2222"/>
    <w:rsid w:val="007D2301"/>
    <w:rsid w:val="007D23BA"/>
    <w:rsid w:val="007D262A"/>
    <w:rsid w:val="007D266B"/>
    <w:rsid w:val="007D273D"/>
    <w:rsid w:val="007D2788"/>
    <w:rsid w:val="007D2814"/>
    <w:rsid w:val="007D2954"/>
    <w:rsid w:val="007D29C4"/>
    <w:rsid w:val="007D2B33"/>
    <w:rsid w:val="007D2BF3"/>
    <w:rsid w:val="007D2CC2"/>
    <w:rsid w:val="007D2DB7"/>
    <w:rsid w:val="007D2E47"/>
    <w:rsid w:val="007D2FAA"/>
    <w:rsid w:val="007D302D"/>
    <w:rsid w:val="007D307F"/>
    <w:rsid w:val="007D312D"/>
    <w:rsid w:val="007D3391"/>
    <w:rsid w:val="007D3453"/>
    <w:rsid w:val="007D35D8"/>
    <w:rsid w:val="007D36D9"/>
    <w:rsid w:val="007D39EE"/>
    <w:rsid w:val="007D3AB9"/>
    <w:rsid w:val="007D3B5C"/>
    <w:rsid w:val="007D3BD1"/>
    <w:rsid w:val="007D3C1A"/>
    <w:rsid w:val="007D3E10"/>
    <w:rsid w:val="007D3EEB"/>
    <w:rsid w:val="007D3EED"/>
    <w:rsid w:val="007D3F74"/>
    <w:rsid w:val="007D3FBC"/>
    <w:rsid w:val="007D4334"/>
    <w:rsid w:val="007D43D5"/>
    <w:rsid w:val="007D43E4"/>
    <w:rsid w:val="007D4431"/>
    <w:rsid w:val="007D4597"/>
    <w:rsid w:val="007D46A9"/>
    <w:rsid w:val="007D46AC"/>
    <w:rsid w:val="007D4979"/>
    <w:rsid w:val="007D4A15"/>
    <w:rsid w:val="007D4A43"/>
    <w:rsid w:val="007D4A66"/>
    <w:rsid w:val="007D4B51"/>
    <w:rsid w:val="007D4C00"/>
    <w:rsid w:val="007D4CF0"/>
    <w:rsid w:val="007D4CFE"/>
    <w:rsid w:val="007D4D78"/>
    <w:rsid w:val="007D4DA5"/>
    <w:rsid w:val="007D4E0C"/>
    <w:rsid w:val="007D4EB3"/>
    <w:rsid w:val="007D4F0D"/>
    <w:rsid w:val="007D4F40"/>
    <w:rsid w:val="007D510F"/>
    <w:rsid w:val="007D51D5"/>
    <w:rsid w:val="007D52C5"/>
    <w:rsid w:val="007D53F0"/>
    <w:rsid w:val="007D56DA"/>
    <w:rsid w:val="007D5785"/>
    <w:rsid w:val="007D5813"/>
    <w:rsid w:val="007D584A"/>
    <w:rsid w:val="007D58A9"/>
    <w:rsid w:val="007D590F"/>
    <w:rsid w:val="007D59E3"/>
    <w:rsid w:val="007D5A64"/>
    <w:rsid w:val="007D5B6B"/>
    <w:rsid w:val="007D5C80"/>
    <w:rsid w:val="007D5F37"/>
    <w:rsid w:val="007D5FC3"/>
    <w:rsid w:val="007D604D"/>
    <w:rsid w:val="007D607D"/>
    <w:rsid w:val="007D609A"/>
    <w:rsid w:val="007D60E3"/>
    <w:rsid w:val="007D610A"/>
    <w:rsid w:val="007D6242"/>
    <w:rsid w:val="007D647F"/>
    <w:rsid w:val="007D651F"/>
    <w:rsid w:val="007D663A"/>
    <w:rsid w:val="007D6644"/>
    <w:rsid w:val="007D673B"/>
    <w:rsid w:val="007D676A"/>
    <w:rsid w:val="007D6776"/>
    <w:rsid w:val="007D6845"/>
    <w:rsid w:val="007D68C1"/>
    <w:rsid w:val="007D6984"/>
    <w:rsid w:val="007D6DC3"/>
    <w:rsid w:val="007D6FF0"/>
    <w:rsid w:val="007D72A1"/>
    <w:rsid w:val="007D72FA"/>
    <w:rsid w:val="007D7356"/>
    <w:rsid w:val="007D7588"/>
    <w:rsid w:val="007D7620"/>
    <w:rsid w:val="007D767C"/>
    <w:rsid w:val="007D7760"/>
    <w:rsid w:val="007D7792"/>
    <w:rsid w:val="007D78BC"/>
    <w:rsid w:val="007D7A48"/>
    <w:rsid w:val="007D7D04"/>
    <w:rsid w:val="007D7F47"/>
    <w:rsid w:val="007E0161"/>
    <w:rsid w:val="007E0190"/>
    <w:rsid w:val="007E019D"/>
    <w:rsid w:val="007E02D7"/>
    <w:rsid w:val="007E0379"/>
    <w:rsid w:val="007E04B8"/>
    <w:rsid w:val="007E04FC"/>
    <w:rsid w:val="007E0563"/>
    <w:rsid w:val="007E058D"/>
    <w:rsid w:val="007E0742"/>
    <w:rsid w:val="007E080D"/>
    <w:rsid w:val="007E0813"/>
    <w:rsid w:val="007E088F"/>
    <w:rsid w:val="007E0922"/>
    <w:rsid w:val="007E093D"/>
    <w:rsid w:val="007E09CA"/>
    <w:rsid w:val="007E0A98"/>
    <w:rsid w:val="007E0F06"/>
    <w:rsid w:val="007E0F90"/>
    <w:rsid w:val="007E106B"/>
    <w:rsid w:val="007E108D"/>
    <w:rsid w:val="007E110C"/>
    <w:rsid w:val="007E115F"/>
    <w:rsid w:val="007E11F3"/>
    <w:rsid w:val="007E12B6"/>
    <w:rsid w:val="007E12D2"/>
    <w:rsid w:val="007E13E5"/>
    <w:rsid w:val="007E145D"/>
    <w:rsid w:val="007E14F9"/>
    <w:rsid w:val="007E1605"/>
    <w:rsid w:val="007E181E"/>
    <w:rsid w:val="007E18FD"/>
    <w:rsid w:val="007E19FB"/>
    <w:rsid w:val="007E1AEE"/>
    <w:rsid w:val="007E1C9D"/>
    <w:rsid w:val="007E1D1A"/>
    <w:rsid w:val="007E1D34"/>
    <w:rsid w:val="007E1F17"/>
    <w:rsid w:val="007E2141"/>
    <w:rsid w:val="007E22E2"/>
    <w:rsid w:val="007E25CD"/>
    <w:rsid w:val="007E25EE"/>
    <w:rsid w:val="007E28C1"/>
    <w:rsid w:val="007E2A8C"/>
    <w:rsid w:val="007E2BA8"/>
    <w:rsid w:val="007E2BF3"/>
    <w:rsid w:val="007E2C06"/>
    <w:rsid w:val="007E2C88"/>
    <w:rsid w:val="007E2D9E"/>
    <w:rsid w:val="007E2E07"/>
    <w:rsid w:val="007E2E5E"/>
    <w:rsid w:val="007E2F18"/>
    <w:rsid w:val="007E2F8F"/>
    <w:rsid w:val="007E2FDC"/>
    <w:rsid w:val="007E3040"/>
    <w:rsid w:val="007E3051"/>
    <w:rsid w:val="007E31C9"/>
    <w:rsid w:val="007E32CB"/>
    <w:rsid w:val="007E34A3"/>
    <w:rsid w:val="007E34EC"/>
    <w:rsid w:val="007E350A"/>
    <w:rsid w:val="007E367C"/>
    <w:rsid w:val="007E368F"/>
    <w:rsid w:val="007E36E0"/>
    <w:rsid w:val="007E3770"/>
    <w:rsid w:val="007E396A"/>
    <w:rsid w:val="007E39BB"/>
    <w:rsid w:val="007E3E0A"/>
    <w:rsid w:val="007E3E1C"/>
    <w:rsid w:val="007E3EDB"/>
    <w:rsid w:val="007E3F5C"/>
    <w:rsid w:val="007E4009"/>
    <w:rsid w:val="007E431F"/>
    <w:rsid w:val="007E47D5"/>
    <w:rsid w:val="007E4962"/>
    <w:rsid w:val="007E49B9"/>
    <w:rsid w:val="007E4A0D"/>
    <w:rsid w:val="007E4B88"/>
    <w:rsid w:val="007E4D95"/>
    <w:rsid w:val="007E4E9A"/>
    <w:rsid w:val="007E4FDD"/>
    <w:rsid w:val="007E52FA"/>
    <w:rsid w:val="007E53EB"/>
    <w:rsid w:val="007E541B"/>
    <w:rsid w:val="007E543A"/>
    <w:rsid w:val="007E54CB"/>
    <w:rsid w:val="007E54E5"/>
    <w:rsid w:val="007E55C7"/>
    <w:rsid w:val="007E55DF"/>
    <w:rsid w:val="007E563E"/>
    <w:rsid w:val="007E56F7"/>
    <w:rsid w:val="007E570E"/>
    <w:rsid w:val="007E576A"/>
    <w:rsid w:val="007E578A"/>
    <w:rsid w:val="007E57C6"/>
    <w:rsid w:val="007E57F5"/>
    <w:rsid w:val="007E57FB"/>
    <w:rsid w:val="007E58ED"/>
    <w:rsid w:val="007E5B0B"/>
    <w:rsid w:val="007E5BDE"/>
    <w:rsid w:val="007E5BE1"/>
    <w:rsid w:val="007E5DDF"/>
    <w:rsid w:val="007E5E62"/>
    <w:rsid w:val="007E5F1C"/>
    <w:rsid w:val="007E5F8C"/>
    <w:rsid w:val="007E61A5"/>
    <w:rsid w:val="007E6269"/>
    <w:rsid w:val="007E62F5"/>
    <w:rsid w:val="007E6339"/>
    <w:rsid w:val="007E6371"/>
    <w:rsid w:val="007E6538"/>
    <w:rsid w:val="007E6632"/>
    <w:rsid w:val="007E667A"/>
    <w:rsid w:val="007E66E9"/>
    <w:rsid w:val="007E671A"/>
    <w:rsid w:val="007E67CE"/>
    <w:rsid w:val="007E6830"/>
    <w:rsid w:val="007E6835"/>
    <w:rsid w:val="007E6901"/>
    <w:rsid w:val="007E692C"/>
    <w:rsid w:val="007E6ACD"/>
    <w:rsid w:val="007E6B85"/>
    <w:rsid w:val="007E6BAC"/>
    <w:rsid w:val="007E6BEB"/>
    <w:rsid w:val="007E6C69"/>
    <w:rsid w:val="007E6D79"/>
    <w:rsid w:val="007E6DEC"/>
    <w:rsid w:val="007E6F69"/>
    <w:rsid w:val="007E6FF4"/>
    <w:rsid w:val="007E703A"/>
    <w:rsid w:val="007E7192"/>
    <w:rsid w:val="007E72EC"/>
    <w:rsid w:val="007E73B6"/>
    <w:rsid w:val="007E741C"/>
    <w:rsid w:val="007E7555"/>
    <w:rsid w:val="007E778E"/>
    <w:rsid w:val="007E78C3"/>
    <w:rsid w:val="007E79B3"/>
    <w:rsid w:val="007E7C42"/>
    <w:rsid w:val="007E7DFD"/>
    <w:rsid w:val="007E7EA5"/>
    <w:rsid w:val="007E7ECF"/>
    <w:rsid w:val="007F000D"/>
    <w:rsid w:val="007F012D"/>
    <w:rsid w:val="007F025E"/>
    <w:rsid w:val="007F02A8"/>
    <w:rsid w:val="007F031F"/>
    <w:rsid w:val="007F03C7"/>
    <w:rsid w:val="007F03D2"/>
    <w:rsid w:val="007F049A"/>
    <w:rsid w:val="007F0698"/>
    <w:rsid w:val="007F06A2"/>
    <w:rsid w:val="007F0B3A"/>
    <w:rsid w:val="007F0B41"/>
    <w:rsid w:val="007F0CBC"/>
    <w:rsid w:val="007F0F91"/>
    <w:rsid w:val="007F1049"/>
    <w:rsid w:val="007F108F"/>
    <w:rsid w:val="007F1143"/>
    <w:rsid w:val="007F1415"/>
    <w:rsid w:val="007F1534"/>
    <w:rsid w:val="007F15B5"/>
    <w:rsid w:val="007F15DB"/>
    <w:rsid w:val="007F1771"/>
    <w:rsid w:val="007F1791"/>
    <w:rsid w:val="007F1846"/>
    <w:rsid w:val="007F19E7"/>
    <w:rsid w:val="007F1B22"/>
    <w:rsid w:val="007F1CDF"/>
    <w:rsid w:val="007F1D34"/>
    <w:rsid w:val="007F1F46"/>
    <w:rsid w:val="007F20E9"/>
    <w:rsid w:val="007F2158"/>
    <w:rsid w:val="007F2508"/>
    <w:rsid w:val="007F2552"/>
    <w:rsid w:val="007F2569"/>
    <w:rsid w:val="007F25AD"/>
    <w:rsid w:val="007F25FF"/>
    <w:rsid w:val="007F2732"/>
    <w:rsid w:val="007F273A"/>
    <w:rsid w:val="007F27B0"/>
    <w:rsid w:val="007F27DA"/>
    <w:rsid w:val="007F285E"/>
    <w:rsid w:val="007F2931"/>
    <w:rsid w:val="007F2967"/>
    <w:rsid w:val="007F29CA"/>
    <w:rsid w:val="007F29CB"/>
    <w:rsid w:val="007F2BE1"/>
    <w:rsid w:val="007F2C18"/>
    <w:rsid w:val="007F2CAF"/>
    <w:rsid w:val="007F2D6A"/>
    <w:rsid w:val="007F2DB8"/>
    <w:rsid w:val="007F2DC8"/>
    <w:rsid w:val="007F2F0A"/>
    <w:rsid w:val="007F2F4F"/>
    <w:rsid w:val="007F317A"/>
    <w:rsid w:val="007F31C8"/>
    <w:rsid w:val="007F3237"/>
    <w:rsid w:val="007F3330"/>
    <w:rsid w:val="007F3371"/>
    <w:rsid w:val="007F33A9"/>
    <w:rsid w:val="007F3602"/>
    <w:rsid w:val="007F370F"/>
    <w:rsid w:val="007F380F"/>
    <w:rsid w:val="007F3890"/>
    <w:rsid w:val="007F392B"/>
    <w:rsid w:val="007F3A1F"/>
    <w:rsid w:val="007F3A8A"/>
    <w:rsid w:val="007F3AAC"/>
    <w:rsid w:val="007F3E14"/>
    <w:rsid w:val="007F3E48"/>
    <w:rsid w:val="007F3E6A"/>
    <w:rsid w:val="007F3F15"/>
    <w:rsid w:val="007F3F1B"/>
    <w:rsid w:val="007F3FA0"/>
    <w:rsid w:val="007F3FB7"/>
    <w:rsid w:val="007F3FC8"/>
    <w:rsid w:val="007F402E"/>
    <w:rsid w:val="007F4152"/>
    <w:rsid w:val="007F433A"/>
    <w:rsid w:val="007F4368"/>
    <w:rsid w:val="007F45B0"/>
    <w:rsid w:val="007F4793"/>
    <w:rsid w:val="007F4927"/>
    <w:rsid w:val="007F4A58"/>
    <w:rsid w:val="007F4E9A"/>
    <w:rsid w:val="007F4F56"/>
    <w:rsid w:val="007F5017"/>
    <w:rsid w:val="007F513B"/>
    <w:rsid w:val="007F52E6"/>
    <w:rsid w:val="007F5388"/>
    <w:rsid w:val="007F5419"/>
    <w:rsid w:val="007F549A"/>
    <w:rsid w:val="007F54A2"/>
    <w:rsid w:val="007F5534"/>
    <w:rsid w:val="007F5560"/>
    <w:rsid w:val="007F5574"/>
    <w:rsid w:val="007F56E6"/>
    <w:rsid w:val="007F56FE"/>
    <w:rsid w:val="007F5798"/>
    <w:rsid w:val="007F5858"/>
    <w:rsid w:val="007F594B"/>
    <w:rsid w:val="007F59D3"/>
    <w:rsid w:val="007F5A8F"/>
    <w:rsid w:val="007F5B14"/>
    <w:rsid w:val="007F5CEF"/>
    <w:rsid w:val="007F5D17"/>
    <w:rsid w:val="007F5D86"/>
    <w:rsid w:val="007F5F27"/>
    <w:rsid w:val="007F5F3E"/>
    <w:rsid w:val="007F5F4D"/>
    <w:rsid w:val="007F60D3"/>
    <w:rsid w:val="007F611D"/>
    <w:rsid w:val="007F63D1"/>
    <w:rsid w:val="007F642D"/>
    <w:rsid w:val="007F65E2"/>
    <w:rsid w:val="007F6757"/>
    <w:rsid w:val="007F67C5"/>
    <w:rsid w:val="007F67D3"/>
    <w:rsid w:val="007F6952"/>
    <w:rsid w:val="007F69DB"/>
    <w:rsid w:val="007F6B2A"/>
    <w:rsid w:val="007F6D39"/>
    <w:rsid w:val="007F6D8B"/>
    <w:rsid w:val="007F6E15"/>
    <w:rsid w:val="007F7029"/>
    <w:rsid w:val="007F712C"/>
    <w:rsid w:val="007F7138"/>
    <w:rsid w:val="007F71E1"/>
    <w:rsid w:val="007F7241"/>
    <w:rsid w:val="007F7273"/>
    <w:rsid w:val="007F7321"/>
    <w:rsid w:val="007F73B3"/>
    <w:rsid w:val="007F74CF"/>
    <w:rsid w:val="007F7660"/>
    <w:rsid w:val="007F78FE"/>
    <w:rsid w:val="007F79BE"/>
    <w:rsid w:val="007F7C7D"/>
    <w:rsid w:val="007F7D0E"/>
    <w:rsid w:val="007F7DFF"/>
    <w:rsid w:val="007F7EDF"/>
    <w:rsid w:val="00800023"/>
    <w:rsid w:val="00800166"/>
    <w:rsid w:val="00800449"/>
    <w:rsid w:val="00800526"/>
    <w:rsid w:val="00800649"/>
    <w:rsid w:val="00800732"/>
    <w:rsid w:val="0080074B"/>
    <w:rsid w:val="0080096E"/>
    <w:rsid w:val="008009A3"/>
    <w:rsid w:val="00800A7E"/>
    <w:rsid w:val="00800A9F"/>
    <w:rsid w:val="00800B00"/>
    <w:rsid w:val="00800C24"/>
    <w:rsid w:val="00800D55"/>
    <w:rsid w:val="00800E00"/>
    <w:rsid w:val="008010C7"/>
    <w:rsid w:val="008011C4"/>
    <w:rsid w:val="00801360"/>
    <w:rsid w:val="00801362"/>
    <w:rsid w:val="0080139D"/>
    <w:rsid w:val="00801406"/>
    <w:rsid w:val="0080141C"/>
    <w:rsid w:val="0080165B"/>
    <w:rsid w:val="0080167B"/>
    <w:rsid w:val="008016B0"/>
    <w:rsid w:val="008016B9"/>
    <w:rsid w:val="00801766"/>
    <w:rsid w:val="00801A59"/>
    <w:rsid w:val="00801B95"/>
    <w:rsid w:val="00801C1E"/>
    <w:rsid w:val="00801C54"/>
    <w:rsid w:val="00801CF0"/>
    <w:rsid w:val="00801DB2"/>
    <w:rsid w:val="00801E32"/>
    <w:rsid w:val="00802095"/>
    <w:rsid w:val="008022F7"/>
    <w:rsid w:val="008023E9"/>
    <w:rsid w:val="008024CC"/>
    <w:rsid w:val="0080250B"/>
    <w:rsid w:val="008025EB"/>
    <w:rsid w:val="00802705"/>
    <w:rsid w:val="00802738"/>
    <w:rsid w:val="00802752"/>
    <w:rsid w:val="008027D6"/>
    <w:rsid w:val="00802819"/>
    <w:rsid w:val="00802AA3"/>
    <w:rsid w:val="00802BEB"/>
    <w:rsid w:val="00802BF0"/>
    <w:rsid w:val="00802C8E"/>
    <w:rsid w:val="00802CCB"/>
    <w:rsid w:val="008030B0"/>
    <w:rsid w:val="0080316A"/>
    <w:rsid w:val="0080323E"/>
    <w:rsid w:val="0080334D"/>
    <w:rsid w:val="00803392"/>
    <w:rsid w:val="00803637"/>
    <w:rsid w:val="008036B2"/>
    <w:rsid w:val="00803757"/>
    <w:rsid w:val="00803779"/>
    <w:rsid w:val="008038A6"/>
    <w:rsid w:val="008039A3"/>
    <w:rsid w:val="00803A58"/>
    <w:rsid w:val="00803A71"/>
    <w:rsid w:val="00803AB4"/>
    <w:rsid w:val="00803CAE"/>
    <w:rsid w:val="00803E02"/>
    <w:rsid w:val="00803F2C"/>
    <w:rsid w:val="00803F5F"/>
    <w:rsid w:val="0080414F"/>
    <w:rsid w:val="008042E1"/>
    <w:rsid w:val="008043EE"/>
    <w:rsid w:val="0080458B"/>
    <w:rsid w:val="008046B3"/>
    <w:rsid w:val="008046DF"/>
    <w:rsid w:val="0080481C"/>
    <w:rsid w:val="00804841"/>
    <w:rsid w:val="008048AE"/>
    <w:rsid w:val="00804B18"/>
    <w:rsid w:val="00804B62"/>
    <w:rsid w:val="00804BB2"/>
    <w:rsid w:val="00804CD1"/>
    <w:rsid w:val="00804DC6"/>
    <w:rsid w:val="00804E70"/>
    <w:rsid w:val="00804E7B"/>
    <w:rsid w:val="008050E2"/>
    <w:rsid w:val="00805128"/>
    <w:rsid w:val="0080516B"/>
    <w:rsid w:val="008051F9"/>
    <w:rsid w:val="008053A6"/>
    <w:rsid w:val="008053D2"/>
    <w:rsid w:val="0080545A"/>
    <w:rsid w:val="00805635"/>
    <w:rsid w:val="0080563B"/>
    <w:rsid w:val="008057A2"/>
    <w:rsid w:val="00805810"/>
    <w:rsid w:val="00805854"/>
    <w:rsid w:val="008058F4"/>
    <w:rsid w:val="00805A22"/>
    <w:rsid w:val="00805A3A"/>
    <w:rsid w:val="00805BF2"/>
    <w:rsid w:val="00805C84"/>
    <w:rsid w:val="00805D51"/>
    <w:rsid w:val="00805E0C"/>
    <w:rsid w:val="00805E68"/>
    <w:rsid w:val="00805EC8"/>
    <w:rsid w:val="00805F32"/>
    <w:rsid w:val="00805F4C"/>
    <w:rsid w:val="00805FD8"/>
    <w:rsid w:val="008060E6"/>
    <w:rsid w:val="0080629F"/>
    <w:rsid w:val="008062C6"/>
    <w:rsid w:val="00806320"/>
    <w:rsid w:val="00806360"/>
    <w:rsid w:val="008063F6"/>
    <w:rsid w:val="00806463"/>
    <w:rsid w:val="0080648F"/>
    <w:rsid w:val="00806599"/>
    <w:rsid w:val="0080662C"/>
    <w:rsid w:val="008066B1"/>
    <w:rsid w:val="0080681A"/>
    <w:rsid w:val="00806831"/>
    <w:rsid w:val="00806847"/>
    <w:rsid w:val="0080685B"/>
    <w:rsid w:val="008069AF"/>
    <w:rsid w:val="008069CD"/>
    <w:rsid w:val="00806A7F"/>
    <w:rsid w:val="00806C5A"/>
    <w:rsid w:val="00806CDE"/>
    <w:rsid w:val="00806D8C"/>
    <w:rsid w:val="00806F65"/>
    <w:rsid w:val="00806F81"/>
    <w:rsid w:val="00807211"/>
    <w:rsid w:val="0080726A"/>
    <w:rsid w:val="0080729B"/>
    <w:rsid w:val="00807303"/>
    <w:rsid w:val="008074C0"/>
    <w:rsid w:val="008075A7"/>
    <w:rsid w:val="008077ED"/>
    <w:rsid w:val="00807836"/>
    <w:rsid w:val="00807A00"/>
    <w:rsid w:val="00807B09"/>
    <w:rsid w:val="00807DA4"/>
    <w:rsid w:val="00807E48"/>
    <w:rsid w:val="00810223"/>
    <w:rsid w:val="00810268"/>
    <w:rsid w:val="008102A8"/>
    <w:rsid w:val="008102AA"/>
    <w:rsid w:val="00810447"/>
    <w:rsid w:val="00810502"/>
    <w:rsid w:val="0081056D"/>
    <w:rsid w:val="008106DF"/>
    <w:rsid w:val="008107FC"/>
    <w:rsid w:val="0081082D"/>
    <w:rsid w:val="00810871"/>
    <w:rsid w:val="00810949"/>
    <w:rsid w:val="00810A1C"/>
    <w:rsid w:val="00810ABB"/>
    <w:rsid w:val="00810D95"/>
    <w:rsid w:val="00810EF9"/>
    <w:rsid w:val="008111A9"/>
    <w:rsid w:val="008112FA"/>
    <w:rsid w:val="00811394"/>
    <w:rsid w:val="00811482"/>
    <w:rsid w:val="0081168A"/>
    <w:rsid w:val="008119E4"/>
    <w:rsid w:val="00811A93"/>
    <w:rsid w:val="00811C3A"/>
    <w:rsid w:val="00811C4C"/>
    <w:rsid w:val="00811D31"/>
    <w:rsid w:val="00811DB1"/>
    <w:rsid w:val="00811DCA"/>
    <w:rsid w:val="00811E49"/>
    <w:rsid w:val="00811F3E"/>
    <w:rsid w:val="008120DC"/>
    <w:rsid w:val="0081212D"/>
    <w:rsid w:val="00812275"/>
    <w:rsid w:val="00812276"/>
    <w:rsid w:val="00812302"/>
    <w:rsid w:val="00812441"/>
    <w:rsid w:val="0081260E"/>
    <w:rsid w:val="00812694"/>
    <w:rsid w:val="00812A33"/>
    <w:rsid w:val="00812A56"/>
    <w:rsid w:val="00812AD2"/>
    <w:rsid w:val="00812D50"/>
    <w:rsid w:val="00812EB3"/>
    <w:rsid w:val="00812F08"/>
    <w:rsid w:val="00812FCA"/>
    <w:rsid w:val="0081300D"/>
    <w:rsid w:val="008130EF"/>
    <w:rsid w:val="00813147"/>
    <w:rsid w:val="008131F5"/>
    <w:rsid w:val="0081325D"/>
    <w:rsid w:val="008136EE"/>
    <w:rsid w:val="00813AAA"/>
    <w:rsid w:val="00813B1E"/>
    <w:rsid w:val="00813D6F"/>
    <w:rsid w:val="00813E89"/>
    <w:rsid w:val="0081404F"/>
    <w:rsid w:val="00814112"/>
    <w:rsid w:val="0081416A"/>
    <w:rsid w:val="00814211"/>
    <w:rsid w:val="00814336"/>
    <w:rsid w:val="008144BB"/>
    <w:rsid w:val="00814609"/>
    <w:rsid w:val="00814612"/>
    <w:rsid w:val="0081461A"/>
    <w:rsid w:val="0081461C"/>
    <w:rsid w:val="00814801"/>
    <w:rsid w:val="008149BF"/>
    <w:rsid w:val="00814AB1"/>
    <w:rsid w:val="00814ACB"/>
    <w:rsid w:val="00814B08"/>
    <w:rsid w:val="00814D40"/>
    <w:rsid w:val="00814D7A"/>
    <w:rsid w:val="00814FC1"/>
    <w:rsid w:val="0081502F"/>
    <w:rsid w:val="008150DF"/>
    <w:rsid w:val="008151FF"/>
    <w:rsid w:val="00815213"/>
    <w:rsid w:val="00815337"/>
    <w:rsid w:val="00815344"/>
    <w:rsid w:val="00815414"/>
    <w:rsid w:val="0081542B"/>
    <w:rsid w:val="0081568B"/>
    <w:rsid w:val="008156C9"/>
    <w:rsid w:val="008156F8"/>
    <w:rsid w:val="0081584B"/>
    <w:rsid w:val="0081595A"/>
    <w:rsid w:val="00815B2D"/>
    <w:rsid w:val="00815B96"/>
    <w:rsid w:val="00815EE0"/>
    <w:rsid w:val="00815EE6"/>
    <w:rsid w:val="00815F1C"/>
    <w:rsid w:val="00815F3B"/>
    <w:rsid w:val="00815F4D"/>
    <w:rsid w:val="0081621D"/>
    <w:rsid w:val="0081627B"/>
    <w:rsid w:val="00816416"/>
    <w:rsid w:val="0081695A"/>
    <w:rsid w:val="00816989"/>
    <w:rsid w:val="00816A63"/>
    <w:rsid w:val="00816B43"/>
    <w:rsid w:val="00816B4D"/>
    <w:rsid w:val="00816B6D"/>
    <w:rsid w:val="00816B99"/>
    <w:rsid w:val="00816BE6"/>
    <w:rsid w:val="00816E0E"/>
    <w:rsid w:val="00816F15"/>
    <w:rsid w:val="00816FEC"/>
    <w:rsid w:val="00817227"/>
    <w:rsid w:val="0081724E"/>
    <w:rsid w:val="008172F4"/>
    <w:rsid w:val="00817301"/>
    <w:rsid w:val="00817378"/>
    <w:rsid w:val="008173E6"/>
    <w:rsid w:val="008174B4"/>
    <w:rsid w:val="00817524"/>
    <w:rsid w:val="00817539"/>
    <w:rsid w:val="00817617"/>
    <w:rsid w:val="008177DB"/>
    <w:rsid w:val="0081786B"/>
    <w:rsid w:val="00817875"/>
    <w:rsid w:val="00817AD9"/>
    <w:rsid w:val="00817AFE"/>
    <w:rsid w:val="00817C90"/>
    <w:rsid w:val="00820093"/>
    <w:rsid w:val="008200DA"/>
    <w:rsid w:val="00820175"/>
    <w:rsid w:val="00820257"/>
    <w:rsid w:val="008202CB"/>
    <w:rsid w:val="008202F8"/>
    <w:rsid w:val="0082030E"/>
    <w:rsid w:val="0082041F"/>
    <w:rsid w:val="00820449"/>
    <w:rsid w:val="00820486"/>
    <w:rsid w:val="008204EF"/>
    <w:rsid w:val="008205C5"/>
    <w:rsid w:val="00820677"/>
    <w:rsid w:val="008206B5"/>
    <w:rsid w:val="008206EB"/>
    <w:rsid w:val="00820734"/>
    <w:rsid w:val="00820AD3"/>
    <w:rsid w:val="00820B3E"/>
    <w:rsid w:val="00820D0C"/>
    <w:rsid w:val="00820D72"/>
    <w:rsid w:val="00820E8C"/>
    <w:rsid w:val="00821064"/>
    <w:rsid w:val="00821120"/>
    <w:rsid w:val="00821144"/>
    <w:rsid w:val="00821417"/>
    <w:rsid w:val="00821428"/>
    <w:rsid w:val="0082146F"/>
    <w:rsid w:val="0082150B"/>
    <w:rsid w:val="00821578"/>
    <w:rsid w:val="008215E1"/>
    <w:rsid w:val="0082165A"/>
    <w:rsid w:val="008217C9"/>
    <w:rsid w:val="008217E0"/>
    <w:rsid w:val="00821992"/>
    <w:rsid w:val="008219A7"/>
    <w:rsid w:val="00821A96"/>
    <w:rsid w:val="00821AFB"/>
    <w:rsid w:val="00821B0B"/>
    <w:rsid w:val="00821BA5"/>
    <w:rsid w:val="00821CAF"/>
    <w:rsid w:val="00821DB6"/>
    <w:rsid w:val="00821DCB"/>
    <w:rsid w:val="00821EE2"/>
    <w:rsid w:val="00821FBE"/>
    <w:rsid w:val="0082203B"/>
    <w:rsid w:val="00822060"/>
    <w:rsid w:val="0082211F"/>
    <w:rsid w:val="00822166"/>
    <w:rsid w:val="008221E4"/>
    <w:rsid w:val="008222D9"/>
    <w:rsid w:val="008224B8"/>
    <w:rsid w:val="008225CC"/>
    <w:rsid w:val="00822610"/>
    <w:rsid w:val="00822624"/>
    <w:rsid w:val="00822745"/>
    <w:rsid w:val="008228C1"/>
    <w:rsid w:val="00822A2F"/>
    <w:rsid w:val="00822A62"/>
    <w:rsid w:val="00822AFA"/>
    <w:rsid w:val="00822B0A"/>
    <w:rsid w:val="00822CFE"/>
    <w:rsid w:val="00822D02"/>
    <w:rsid w:val="00822D18"/>
    <w:rsid w:val="00822D7F"/>
    <w:rsid w:val="00822DFB"/>
    <w:rsid w:val="00822E40"/>
    <w:rsid w:val="00822EA8"/>
    <w:rsid w:val="00822EDC"/>
    <w:rsid w:val="00822F81"/>
    <w:rsid w:val="0082314D"/>
    <w:rsid w:val="0082315B"/>
    <w:rsid w:val="00823309"/>
    <w:rsid w:val="00823326"/>
    <w:rsid w:val="0082370E"/>
    <w:rsid w:val="0082372A"/>
    <w:rsid w:val="00823894"/>
    <w:rsid w:val="00823A3F"/>
    <w:rsid w:val="00823AA6"/>
    <w:rsid w:val="00823B43"/>
    <w:rsid w:val="00823BD7"/>
    <w:rsid w:val="00823D23"/>
    <w:rsid w:val="00823D59"/>
    <w:rsid w:val="00823E9E"/>
    <w:rsid w:val="00823F82"/>
    <w:rsid w:val="0082405A"/>
    <w:rsid w:val="008240B9"/>
    <w:rsid w:val="008240E0"/>
    <w:rsid w:val="008240F4"/>
    <w:rsid w:val="00824174"/>
    <w:rsid w:val="0082435C"/>
    <w:rsid w:val="0082439C"/>
    <w:rsid w:val="008243B1"/>
    <w:rsid w:val="0082442D"/>
    <w:rsid w:val="008244AF"/>
    <w:rsid w:val="00824509"/>
    <w:rsid w:val="00824516"/>
    <w:rsid w:val="00824708"/>
    <w:rsid w:val="00824841"/>
    <w:rsid w:val="0082498D"/>
    <w:rsid w:val="00824CE1"/>
    <w:rsid w:val="00824D58"/>
    <w:rsid w:val="00824DA7"/>
    <w:rsid w:val="00824DD9"/>
    <w:rsid w:val="00824E75"/>
    <w:rsid w:val="00825076"/>
    <w:rsid w:val="00825104"/>
    <w:rsid w:val="008251EE"/>
    <w:rsid w:val="008252A2"/>
    <w:rsid w:val="00825352"/>
    <w:rsid w:val="008254A2"/>
    <w:rsid w:val="008254DF"/>
    <w:rsid w:val="008255E8"/>
    <w:rsid w:val="00825753"/>
    <w:rsid w:val="00825767"/>
    <w:rsid w:val="0082578D"/>
    <w:rsid w:val="0082588E"/>
    <w:rsid w:val="00825900"/>
    <w:rsid w:val="008259B9"/>
    <w:rsid w:val="00825A9C"/>
    <w:rsid w:val="00825B07"/>
    <w:rsid w:val="00825B26"/>
    <w:rsid w:val="00825BE2"/>
    <w:rsid w:val="00825C57"/>
    <w:rsid w:val="00825DBE"/>
    <w:rsid w:val="00825ECE"/>
    <w:rsid w:val="00825ED5"/>
    <w:rsid w:val="00825FAD"/>
    <w:rsid w:val="008260C5"/>
    <w:rsid w:val="0082611F"/>
    <w:rsid w:val="0082616C"/>
    <w:rsid w:val="0082625C"/>
    <w:rsid w:val="0082626E"/>
    <w:rsid w:val="0082638B"/>
    <w:rsid w:val="008264CD"/>
    <w:rsid w:val="00826572"/>
    <w:rsid w:val="008265F5"/>
    <w:rsid w:val="00826609"/>
    <w:rsid w:val="008267CE"/>
    <w:rsid w:val="008268C8"/>
    <w:rsid w:val="00826AEB"/>
    <w:rsid w:val="00826BC3"/>
    <w:rsid w:val="00826C1E"/>
    <w:rsid w:val="00826E0D"/>
    <w:rsid w:val="00826E9E"/>
    <w:rsid w:val="00826EC8"/>
    <w:rsid w:val="00826FDF"/>
    <w:rsid w:val="00826FE5"/>
    <w:rsid w:val="00827056"/>
    <w:rsid w:val="008270FF"/>
    <w:rsid w:val="0082718E"/>
    <w:rsid w:val="008272FB"/>
    <w:rsid w:val="00827622"/>
    <w:rsid w:val="0082775A"/>
    <w:rsid w:val="0082777F"/>
    <w:rsid w:val="008278C3"/>
    <w:rsid w:val="008278E0"/>
    <w:rsid w:val="00827945"/>
    <w:rsid w:val="00827B24"/>
    <w:rsid w:val="00827B3B"/>
    <w:rsid w:val="00827B6E"/>
    <w:rsid w:val="00827C14"/>
    <w:rsid w:val="00827C70"/>
    <w:rsid w:val="00827CC2"/>
    <w:rsid w:val="00827DC0"/>
    <w:rsid w:val="00827E4C"/>
    <w:rsid w:val="00827E57"/>
    <w:rsid w:val="00827E77"/>
    <w:rsid w:val="00827EDC"/>
    <w:rsid w:val="00827F1E"/>
    <w:rsid w:val="00830035"/>
    <w:rsid w:val="00830037"/>
    <w:rsid w:val="008301AC"/>
    <w:rsid w:val="008301BE"/>
    <w:rsid w:val="00830308"/>
    <w:rsid w:val="00830548"/>
    <w:rsid w:val="0083066B"/>
    <w:rsid w:val="00830680"/>
    <w:rsid w:val="008306CD"/>
    <w:rsid w:val="00830709"/>
    <w:rsid w:val="0083074D"/>
    <w:rsid w:val="00830789"/>
    <w:rsid w:val="008308F2"/>
    <w:rsid w:val="00830916"/>
    <w:rsid w:val="00830924"/>
    <w:rsid w:val="00830A13"/>
    <w:rsid w:val="00830A48"/>
    <w:rsid w:val="00830B3C"/>
    <w:rsid w:val="00830B44"/>
    <w:rsid w:val="00830C0B"/>
    <w:rsid w:val="00830CA7"/>
    <w:rsid w:val="00830E73"/>
    <w:rsid w:val="00830F8E"/>
    <w:rsid w:val="00830F9E"/>
    <w:rsid w:val="00830FD0"/>
    <w:rsid w:val="0083103D"/>
    <w:rsid w:val="00831090"/>
    <w:rsid w:val="0083109C"/>
    <w:rsid w:val="008312D9"/>
    <w:rsid w:val="0083139D"/>
    <w:rsid w:val="008313A8"/>
    <w:rsid w:val="008313F8"/>
    <w:rsid w:val="008314D4"/>
    <w:rsid w:val="00831659"/>
    <w:rsid w:val="00831748"/>
    <w:rsid w:val="008317C0"/>
    <w:rsid w:val="008318D4"/>
    <w:rsid w:val="00831A22"/>
    <w:rsid w:val="00831B2D"/>
    <w:rsid w:val="00831CAA"/>
    <w:rsid w:val="00831DBF"/>
    <w:rsid w:val="00831DC6"/>
    <w:rsid w:val="00831F1F"/>
    <w:rsid w:val="00831F46"/>
    <w:rsid w:val="00831F59"/>
    <w:rsid w:val="00831FEE"/>
    <w:rsid w:val="008320BB"/>
    <w:rsid w:val="00832119"/>
    <w:rsid w:val="00832264"/>
    <w:rsid w:val="008322D8"/>
    <w:rsid w:val="0083247D"/>
    <w:rsid w:val="008327FB"/>
    <w:rsid w:val="00832810"/>
    <w:rsid w:val="00832840"/>
    <w:rsid w:val="0083288B"/>
    <w:rsid w:val="008328D9"/>
    <w:rsid w:val="00832AF9"/>
    <w:rsid w:val="00832B57"/>
    <w:rsid w:val="00832C55"/>
    <w:rsid w:val="00832DB9"/>
    <w:rsid w:val="00832E98"/>
    <w:rsid w:val="00832EC2"/>
    <w:rsid w:val="00832EE3"/>
    <w:rsid w:val="00833179"/>
    <w:rsid w:val="00833180"/>
    <w:rsid w:val="0083321A"/>
    <w:rsid w:val="00833273"/>
    <w:rsid w:val="008332F3"/>
    <w:rsid w:val="00833443"/>
    <w:rsid w:val="008335B5"/>
    <w:rsid w:val="0083361C"/>
    <w:rsid w:val="00833661"/>
    <w:rsid w:val="00833732"/>
    <w:rsid w:val="008337A2"/>
    <w:rsid w:val="008337BD"/>
    <w:rsid w:val="008337C4"/>
    <w:rsid w:val="008337CD"/>
    <w:rsid w:val="00833880"/>
    <w:rsid w:val="0083388A"/>
    <w:rsid w:val="00833A10"/>
    <w:rsid w:val="00833AAF"/>
    <w:rsid w:val="00833AC8"/>
    <w:rsid w:val="00833B62"/>
    <w:rsid w:val="00833BC1"/>
    <w:rsid w:val="00833BD7"/>
    <w:rsid w:val="00833C83"/>
    <w:rsid w:val="00833D13"/>
    <w:rsid w:val="00833D77"/>
    <w:rsid w:val="00833FFD"/>
    <w:rsid w:val="00834043"/>
    <w:rsid w:val="008340FA"/>
    <w:rsid w:val="00834153"/>
    <w:rsid w:val="008341A3"/>
    <w:rsid w:val="0083422E"/>
    <w:rsid w:val="00834296"/>
    <w:rsid w:val="008342E7"/>
    <w:rsid w:val="0083435F"/>
    <w:rsid w:val="008344FD"/>
    <w:rsid w:val="00834541"/>
    <w:rsid w:val="00834567"/>
    <w:rsid w:val="00834586"/>
    <w:rsid w:val="00834644"/>
    <w:rsid w:val="008346E8"/>
    <w:rsid w:val="0083472B"/>
    <w:rsid w:val="00834737"/>
    <w:rsid w:val="00834814"/>
    <w:rsid w:val="00834818"/>
    <w:rsid w:val="008348A3"/>
    <w:rsid w:val="00834B8B"/>
    <w:rsid w:val="00834C6D"/>
    <w:rsid w:val="00834D9C"/>
    <w:rsid w:val="00834F85"/>
    <w:rsid w:val="00835031"/>
    <w:rsid w:val="008351C0"/>
    <w:rsid w:val="008351D8"/>
    <w:rsid w:val="0083569B"/>
    <w:rsid w:val="0083571A"/>
    <w:rsid w:val="008357AA"/>
    <w:rsid w:val="00835889"/>
    <w:rsid w:val="0083591B"/>
    <w:rsid w:val="00835A20"/>
    <w:rsid w:val="00835B37"/>
    <w:rsid w:val="00835EC7"/>
    <w:rsid w:val="00835F67"/>
    <w:rsid w:val="00835F91"/>
    <w:rsid w:val="00836242"/>
    <w:rsid w:val="008363F5"/>
    <w:rsid w:val="008365E2"/>
    <w:rsid w:val="00836686"/>
    <w:rsid w:val="0083671C"/>
    <w:rsid w:val="00836734"/>
    <w:rsid w:val="0083678A"/>
    <w:rsid w:val="008367B3"/>
    <w:rsid w:val="00836933"/>
    <w:rsid w:val="00836A66"/>
    <w:rsid w:val="00836B9C"/>
    <w:rsid w:val="00836E8F"/>
    <w:rsid w:val="0083708F"/>
    <w:rsid w:val="008371EA"/>
    <w:rsid w:val="0083724C"/>
    <w:rsid w:val="00837413"/>
    <w:rsid w:val="00837429"/>
    <w:rsid w:val="0083750F"/>
    <w:rsid w:val="00837531"/>
    <w:rsid w:val="00837658"/>
    <w:rsid w:val="00837805"/>
    <w:rsid w:val="0083789B"/>
    <w:rsid w:val="008378E1"/>
    <w:rsid w:val="00837961"/>
    <w:rsid w:val="008379EE"/>
    <w:rsid w:val="00837A88"/>
    <w:rsid w:val="00837AC2"/>
    <w:rsid w:val="00837E89"/>
    <w:rsid w:val="00837E90"/>
    <w:rsid w:val="00837F5C"/>
    <w:rsid w:val="00837FC8"/>
    <w:rsid w:val="00837FCE"/>
    <w:rsid w:val="00837FD2"/>
    <w:rsid w:val="0084005A"/>
    <w:rsid w:val="00840239"/>
    <w:rsid w:val="00840291"/>
    <w:rsid w:val="008407B8"/>
    <w:rsid w:val="00840A6C"/>
    <w:rsid w:val="00840AB6"/>
    <w:rsid w:val="00840D7B"/>
    <w:rsid w:val="00840F5E"/>
    <w:rsid w:val="008415D1"/>
    <w:rsid w:val="0084169D"/>
    <w:rsid w:val="008418BF"/>
    <w:rsid w:val="00841AB3"/>
    <w:rsid w:val="00841AC5"/>
    <w:rsid w:val="00841C3D"/>
    <w:rsid w:val="00841CE6"/>
    <w:rsid w:val="00841D19"/>
    <w:rsid w:val="00841D86"/>
    <w:rsid w:val="00841DC2"/>
    <w:rsid w:val="00841E38"/>
    <w:rsid w:val="00841E89"/>
    <w:rsid w:val="00841FDF"/>
    <w:rsid w:val="00842064"/>
    <w:rsid w:val="00842088"/>
    <w:rsid w:val="00842108"/>
    <w:rsid w:val="008421B8"/>
    <w:rsid w:val="00842344"/>
    <w:rsid w:val="0084271D"/>
    <w:rsid w:val="0084289D"/>
    <w:rsid w:val="00842915"/>
    <w:rsid w:val="00842968"/>
    <w:rsid w:val="008429DC"/>
    <w:rsid w:val="00842A68"/>
    <w:rsid w:val="00842A70"/>
    <w:rsid w:val="00842ACD"/>
    <w:rsid w:val="00842B9A"/>
    <w:rsid w:val="00842C80"/>
    <w:rsid w:val="00842D55"/>
    <w:rsid w:val="00842E58"/>
    <w:rsid w:val="00842F23"/>
    <w:rsid w:val="00842FE2"/>
    <w:rsid w:val="008430FC"/>
    <w:rsid w:val="008431A5"/>
    <w:rsid w:val="00843339"/>
    <w:rsid w:val="00843632"/>
    <w:rsid w:val="008436E7"/>
    <w:rsid w:val="00843725"/>
    <w:rsid w:val="008437BD"/>
    <w:rsid w:val="0084380E"/>
    <w:rsid w:val="0084393D"/>
    <w:rsid w:val="00843B84"/>
    <w:rsid w:val="00843CA5"/>
    <w:rsid w:val="00843D05"/>
    <w:rsid w:val="00843E78"/>
    <w:rsid w:val="00843ECB"/>
    <w:rsid w:val="00843F67"/>
    <w:rsid w:val="00844034"/>
    <w:rsid w:val="00844056"/>
    <w:rsid w:val="0084408B"/>
    <w:rsid w:val="008440E8"/>
    <w:rsid w:val="00844112"/>
    <w:rsid w:val="008441A4"/>
    <w:rsid w:val="008441B5"/>
    <w:rsid w:val="0084421D"/>
    <w:rsid w:val="0084422A"/>
    <w:rsid w:val="008443CD"/>
    <w:rsid w:val="00844445"/>
    <w:rsid w:val="008447C0"/>
    <w:rsid w:val="0084494D"/>
    <w:rsid w:val="008449F4"/>
    <w:rsid w:val="00844C4A"/>
    <w:rsid w:val="00844E0D"/>
    <w:rsid w:val="00844F46"/>
    <w:rsid w:val="00844FA5"/>
    <w:rsid w:val="0084506E"/>
    <w:rsid w:val="008450D8"/>
    <w:rsid w:val="008451E0"/>
    <w:rsid w:val="00845204"/>
    <w:rsid w:val="00845281"/>
    <w:rsid w:val="00845282"/>
    <w:rsid w:val="00845348"/>
    <w:rsid w:val="008453F7"/>
    <w:rsid w:val="00845406"/>
    <w:rsid w:val="00845487"/>
    <w:rsid w:val="00845587"/>
    <w:rsid w:val="00845793"/>
    <w:rsid w:val="00845899"/>
    <w:rsid w:val="0084589D"/>
    <w:rsid w:val="00845926"/>
    <w:rsid w:val="008459EE"/>
    <w:rsid w:val="00845A01"/>
    <w:rsid w:val="00845A32"/>
    <w:rsid w:val="00845AEF"/>
    <w:rsid w:val="00845BBA"/>
    <w:rsid w:val="00845C0E"/>
    <w:rsid w:val="00845D87"/>
    <w:rsid w:val="00845DE2"/>
    <w:rsid w:val="00845E29"/>
    <w:rsid w:val="00845E62"/>
    <w:rsid w:val="00845ECB"/>
    <w:rsid w:val="00846032"/>
    <w:rsid w:val="00846104"/>
    <w:rsid w:val="00846132"/>
    <w:rsid w:val="00846171"/>
    <w:rsid w:val="0084621E"/>
    <w:rsid w:val="00846239"/>
    <w:rsid w:val="00846301"/>
    <w:rsid w:val="00846381"/>
    <w:rsid w:val="00846405"/>
    <w:rsid w:val="008464A5"/>
    <w:rsid w:val="00846618"/>
    <w:rsid w:val="00846699"/>
    <w:rsid w:val="008466DF"/>
    <w:rsid w:val="0084670C"/>
    <w:rsid w:val="00846786"/>
    <w:rsid w:val="00846957"/>
    <w:rsid w:val="00846AEB"/>
    <w:rsid w:val="00846B7F"/>
    <w:rsid w:val="00846C78"/>
    <w:rsid w:val="00846CD4"/>
    <w:rsid w:val="00846D95"/>
    <w:rsid w:val="00846DF7"/>
    <w:rsid w:val="00846EC8"/>
    <w:rsid w:val="00846F73"/>
    <w:rsid w:val="00846FE8"/>
    <w:rsid w:val="00847087"/>
    <w:rsid w:val="00847092"/>
    <w:rsid w:val="00847170"/>
    <w:rsid w:val="008472BF"/>
    <w:rsid w:val="00847305"/>
    <w:rsid w:val="00847328"/>
    <w:rsid w:val="00847450"/>
    <w:rsid w:val="008474BF"/>
    <w:rsid w:val="00847537"/>
    <w:rsid w:val="00847675"/>
    <w:rsid w:val="008476D0"/>
    <w:rsid w:val="008477FB"/>
    <w:rsid w:val="00847848"/>
    <w:rsid w:val="0084784F"/>
    <w:rsid w:val="00847968"/>
    <w:rsid w:val="00847978"/>
    <w:rsid w:val="00847AB3"/>
    <w:rsid w:val="00847B52"/>
    <w:rsid w:val="00847C18"/>
    <w:rsid w:val="00847E0C"/>
    <w:rsid w:val="00847E0D"/>
    <w:rsid w:val="00847F9D"/>
    <w:rsid w:val="00850155"/>
    <w:rsid w:val="00850220"/>
    <w:rsid w:val="00850237"/>
    <w:rsid w:val="008504BC"/>
    <w:rsid w:val="008504C5"/>
    <w:rsid w:val="0085091D"/>
    <w:rsid w:val="0085099A"/>
    <w:rsid w:val="00850A41"/>
    <w:rsid w:val="00850AA3"/>
    <w:rsid w:val="00850AC5"/>
    <w:rsid w:val="00850CFF"/>
    <w:rsid w:val="00850EF8"/>
    <w:rsid w:val="00850FE4"/>
    <w:rsid w:val="0085104E"/>
    <w:rsid w:val="00851069"/>
    <w:rsid w:val="00851223"/>
    <w:rsid w:val="0085124F"/>
    <w:rsid w:val="008512EA"/>
    <w:rsid w:val="00851320"/>
    <w:rsid w:val="0085150A"/>
    <w:rsid w:val="00851534"/>
    <w:rsid w:val="0085159D"/>
    <w:rsid w:val="00851602"/>
    <w:rsid w:val="00851611"/>
    <w:rsid w:val="00851612"/>
    <w:rsid w:val="00851643"/>
    <w:rsid w:val="00851790"/>
    <w:rsid w:val="008517EE"/>
    <w:rsid w:val="00851871"/>
    <w:rsid w:val="00851874"/>
    <w:rsid w:val="008518B6"/>
    <w:rsid w:val="00851A0B"/>
    <w:rsid w:val="00851B6C"/>
    <w:rsid w:val="00851C2D"/>
    <w:rsid w:val="00851D2D"/>
    <w:rsid w:val="00851D4A"/>
    <w:rsid w:val="00851D5A"/>
    <w:rsid w:val="00851D63"/>
    <w:rsid w:val="00851D8A"/>
    <w:rsid w:val="00851F4A"/>
    <w:rsid w:val="00851FC1"/>
    <w:rsid w:val="00852016"/>
    <w:rsid w:val="00852088"/>
    <w:rsid w:val="00852194"/>
    <w:rsid w:val="008522AB"/>
    <w:rsid w:val="00852324"/>
    <w:rsid w:val="008525AB"/>
    <w:rsid w:val="00852723"/>
    <w:rsid w:val="008528DD"/>
    <w:rsid w:val="0085297E"/>
    <w:rsid w:val="0085297F"/>
    <w:rsid w:val="008529F7"/>
    <w:rsid w:val="00852BC4"/>
    <w:rsid w:val="00852D01"/>
    <w:rsid w:val="00853136"/>
    <w:rsid w:val="00853186"/>
    <w:rsid w:val="00853261"/>
    <w:rsid w:val="0085327D"/>
    <w:rsid w:val="00853367"/>
    <w:rsid w:val="0085339C"/>
    <w:rsid w:val="008533BA"/>
    <w:rsid w:val="0085343D"/>
    <w:rsid w:val="00853612"/>
    <w:rsid w:val="0085376B"/>
    <w:rsid w:val="00853786"/>
    <w:rsid w:val="00853832"/>
    <w:rsid w:val="00853898"/>
    <w:rsid w:val="008538C1"/>
    <w:rsid w:val="00853947"/>
    <w:rsid w:val="00853948"/>
    <w:rsid w:val="00853AB9"/>
    <w:rsid w:val="00853B48"/>
    <w:rsid w:val="00853C69"/>
    <w:rsid w:val="00853CA0"/>
    <w:rsid w:val="00853CFB"/>
    <w:rsid w:val="00853D13"/>
    <w:rsid w:val="00853DD8"/>
    <w:rsid w:val="00853FC2"/>
    <w:rsid w:val="00854007"/>
    <w:rsid w:val="00854102"/>
    <w:rsid w:val="00854240"/>
    <w:rsid w:val="008542C7"/>
    <w:rsid w:val="008542C8"/>
    <w:rsid w:val="008543B2"/>
    <w:rsid w:val="00854584"/>
    <w:rsid w:val="0085458C"/>
    <w:rsid w:val="008546F8"/>
    <w:rsid w:val="00854851"/>
    <w:rsid w:val="0085497F"/>
    <w:rsid w:val="00854A21"/>
    <w:rsid w:val="00854AA2"/>
    <w:rsid w:val="00854BD2"/>
    <w:rsid w:val="00854E7B"/>
    <w:rsid w:val="00854E84"/>
    <w:rsid w:val="00854F20"/>
    <w:rsid w:val="008550F9"/>
    <w:rsid w:val="00855115"/>
    <w:rsid w:val="00855175"/>
    <w:rsid w:val="00855178"/>
    <w:rsid w:val="008551CE"/>
    <w:rsid w:val="00855250"/>
    <w:rsid w:val="00855404"/>
    <w:rsid w:val="0085543E"/>
    <w:rsid w:val="0085560C"/>
    <w:rsid w:val="0085560E"/>
    <w:rsid w:val="0085578C"/>
    <w:rsid w:val="00855852"/>
    <w:rsid w:val="008559D7"/>
    <w:rsid w:val="008559E0"/>
    <w:rsid w:val="00855A52"/>
    <w:rsid w:val="00855B19"/>
    <w:rsid w:val="00855CCF"/>
    <w:rsid w:val="00855D45"/>
    <w:rsid w:val="00855ECC"/>
    <w:rsid w:val="0085608B"/>
    <w:rsid w:val="00856102"/>
    <w:rsid w:val="0085611F"/>
    <w:rsid w:val="0085617B"/>
    <w:rsid w:val="008561A5"/>
    <w:rsid w:val="00856244"/>
    <w:rsid w:val="008562AE"/>
    <w:rsid w:val="008562F1"/>
    <w:rsid w:val="008563F1"/>
    <w:rsid w:val="00856443"/>
    <w:rsid w:val="0085650C"/>
    <w:rsid w:val="008566C8"/>
    <w:rsid w:val="0085672A"/>
    <w:rsid w:val="00856750"/>
    <w:rsid w:val="0085679E"/>
    <w:rsid w:val="00856894"/>
    <w:rsid w:val="008569CE"/>
    <w:rsid w:val="00856BB6"/>
    <w:rsid w:val="00856BF0"/>
    <w:rsid w:val="00856CBE"/>
    <w:rsid w:val="00856E18"/>
    <w:rsid w:val="00856FBA"/>
    <w:rsid w:val="00857005"/>
    <w:rsid w:val="00857091"/>
    <w:rsid w:val="008570A2"/>
    <w:rsid w:val="00857132"/>
    <w:rsid w:val="008573D1"/>
    <w:rsid w:val="00857420"/>
    <w:rsid w:val="008574F3"/>
    <w:rsid w:val="00857632"/>
    <w:rsid w:val="00857689"/>
    <w:rsid w:val="008576F7"/>
    <w:rsid w:val="00857879"/>
    <w:rsid w:val="008578D5"/>
    <w:rsid w:val="00857930"/>
    <w:rsid w:val="008579B5"/>
    <w:rsid w:val="00857B40"/>
    <w:rsid w:val="00857B8F"/>
    <w:rsid w:val="00857D27"/>
    <w:rsid w:val="00857D62"/>
    <w:rsid w:val="00857D74"/>
    <w:rsid w:val="00857E53"/>
    <w:rsid w:val="00857EF9"/>
    <w:rsid w:val="00857F53"/>
    <w:rsid w:val="00857F94"/>
    <w:rsid w:val="008600D5"/>
    <w:rsid w:val="008601D1"/>
    <w:rsid w:val="00860235"/>
    <w:rsid w:val="008605CA"/>
    <w:rsid w:val="00860839"/>
    <w:rsid w:val="00860885"/>
    <w:rsid w:val="00860899"/>
    <w:rsid w:val="008609BB"/>
    <w:rsid w:val="00860A57"/>
    <w:rsid w:val="00860A7E"/>
    <w:rsid w:val="00860DDA"/>
    <w:rsid w:val="00860EC4"/>
    <w:rsid w:val="00860EE0"/>
    <w:rsid w:val="00860EEE"/>
    <w:rsid w:val="00860F01"/>
    <w:rsid w:val="00861023"/>
    <w:rsid w:val="0086109D"/>
    <w:rsid w:val="008612FF"/>
    <w:rsid w:val="0086146A"/>
    <w:rsid w:val="0086154A"/>
    <w:rsid w:val="008616C0"/>
    <w:rsid w:val="00861722"/>
    <w:rsid w:val="008617C2"/>
    <w:rsid w:val="008617FF"/>
    <w:rsid w:val="0086182E"/>
    <w:rsid w:val="00861A39"/>
    <w:rsid w:val="00861A7E"/>
    <w:rsid w:val="00861AF9"/>
    <w:rsid w:val="00861BBB"/>
    <w:rsid w:val="00861C66"/>
    <w:rsid w:val="00861DED"/>
    <w:rsid w:val="00861DF4"/>
    <w:rsid w:val="00861F16"/>
    <w:rsid w:val="0086204E"/>
    <w:rsid w:val="008621AF"/>
    <w:rsid w:val="008621D0"/>
    <w:rsid w:val="00862310"/>
    <w:rsid w:val="00862328"/>
    <w:rsid w:val="00862335"/>
    <w:rsid w:val="00862690"/>
    <w:rsid w:val="00862781"/>
    <w:rsid w:val="0086279B"/>
    <w:rsid w:val="0086284C"/>
    <w:rsid w:val="008628FD"/>
    <w:rsid w:val="00862917"/>
    <w:rsid w:val="00862926"/>
    <w:rsid w:val="0086297D"/>
    <w:rsid w:val="008629C6"/>
    <w:rsid w:val="00862AFC"/>
    <w:rsid w:val="00862B2C"/>
    <w:rsid w:val="00862B66"/>
    <w:rsid w:val="00862B86"/>
    <w:rsid w:val="00862C7E"/>
    <w:rsid w:val="00862CCE"/>
    <w:rsid w:val="00862D91"/>
    <w:rsid w:val="00862E88"/>
    <w:rsid w:val="00862ED8"/>
    <w:rsid w:val="00862F6D"/>
    <w:rsid w:val="00862F99"/>
    <w:rsid w:val="00862FA0"/>
    <w:rsid w:val="00862FA1"/>
    <w:rsid w:val="00863074"/>
    <w:rsid w:val="0086317C"/>
    <w:rsid w:val="008631DF"/>
    <w:rsid w:val="008631E7"/>
    <w:rsid w:val="00863335"/>
    <w:rsid w:val="0086358F"/>
    <w:rsid w:val="008636A2"/>
    <w:rsid w:val="008636C1"/>
    <w:rsid w:val="00863769"/>
    <w:rsid w:val="00863845"/>
    <w:rsid w:val="0086386A"/>
    <w:rsid w:val="00863870"/>
    <w:rsid w:val="00863880"/>
    <w:rsid w:val="008638BC"/>
    <w:rsid w:val="00863A0E"/>
    <w:rsid w:val="00863C4E"/>
    <w:rsid w:val="00863D91"/>
    <w:rsid w:val="00863E7D"/>
    <w:rsid w:val="00863F76"/>
    <w:rsid w:val="00863F93"/>
    <w:rsid w:val="008640EE"/>
    <w:rsid w:val="008642B5"/>
    <w:rsid w:val="008643B0"/>
    <w:rsid w:val="0086442D"/>
    <w:rsid w:val="008644B7"/>
    <w:rsid w:val="0086468E"/>
    <w:rsid w:val="0086481E"/>
    <w:rsid w:val="00864824"/>
    <w:rsid w:val="00864837"/>
    <w:rsid w:val="008648D2"/>
    <w:rsid w:val="00864906"/>
    <w:rsid w:val="00864964"/>
    <w:rsid w:val="008649AA"/>
    <w:rsid w:val="008649DE"/>
    <w:rsid w:val="008649E4"/>
    <w:rsid w:val="00864A7A"/>
    <w:rsid w:val="00864BAC"/>
    <w:rsid w:val="00864BC7"/>
    <w:rsid w:val="00864BE0"/>
    <w:rsid w:val="00864C61"/>
    <w:rsid w:val="00864C77"/>
    <w:rsid w:val="00864D4C"/>
    <w:rsid w:val="00864DFB"/>
    <w:rsid w:val="00864EBB"/>
    <w:rsid w:val="00865011"/>
    <w:rsid w:val="00865015"/>
    <w:rsid w:val="008650A7"/>
    <w:rsid w:val="00865113"/>
    <w:rsid w:val="00865127"/>
    <w:rsid w:val="00865139"/>
    <w:rsid w:val="008651CC"/>
    <w:rsid w:val="008653F4"/>
    <w:rsid w:val="00865796"/>
    <w:rsid w:val="00865811"/>
    <w:rsid w:val="00865847"/>
    <w:rsid w:val="008659F6"/>
    <w:rsid w:val="00865AB4"/>
    <w:rsid w:val="00865CF9"/>
    <w:rsid w:val="00865E1C"/>
    <w:rsid w:val="00865E3B"/>
    <w:rsid w:val="00865EA5"/>
    <w:rsid w:val="00865F77"/>
    <w:rsid w:val="0086617B"/>
    <w:rsid w:val="0086619B"/>
    <w:rsid w:val="008661DB"/>
    <w:rsid w:val="008662CD"/>
    <w:rsid w:val="00866418"/>
    <w:rsid w:val="00866571"/>
    <w:rsid w:val="008665F7"/>
    <w:rsid w:val="008666DA"/>
    <w:rsid w:val="008667E9"/>
    <w:rsid w:val="0086697D"/>
    <w:rsid w:val="00866A5F"/>
    <w:rsid w:val="00866AF2"/>
    <w:rsid w:val="00866B14"/>
    <w:rsid w:val="00866C96"/>
    <w:rsid w:val="00866C9A"/>
    <w:rsid w:val="00866EF2"/>
    <w:rsid w:val="00866EFE"/>
    <w:rsid w:val="00867234"/>
    <w:rsid w:val="00867246"/>
    <w:rsid w:val="00867400"/>
    <w:rsid w:val="00867480"/>
    <w:rsid w:val="00867489"/>
    <w:rsid w:val="0086751F"/>
    <w:rsid w:val="00867724"/>
    <w:rsid w:val="00867735"/>
    <w:rsid w:val="0086778F"/>
    <w:rsid w:val="008677E6"/>
    <w:rsid w:val="00867831"/>
    <w:rsid w:val="00867852"/>
    <w:rsid w:val="008678E0"/>
    <w:rsid w:val="00867933"/>
    <w:rsid w:val="00867A9D"/>
    <w:rsid w:val="00867AA0"/>
    <w:rsid w:val="00867B6B"/>
    <w:rsid w:val="00867E9C"/>
    <w:rsid w:val="00867F13"/>
    <w:rsid w:val="00867F5D"/>
    <w:rsid w:val="00870009"/>
    <w:rsid w:val="00870010"/>
    <w:rsid w:val="0087010F"/>
    <w:rsid w:val="0087011A"/>
    <w:rsid w:val="00870134"/>
    <w:rsid w:val="0087033C"/>
    <w:rsid w:val="00870389"/>
    <w:rsid w:val="00870475"/>
    <w:rsid w:val="008704C9"/>
    <w:rsid w:val="008704F6"/>
    <w:rsid w:val="00870515"/>
    <w:rsid w:val="00870684"/>
    <w:rsid w:val="008706B2"/>
    <w:rsid w:val="008706C9"/>
    <w:rsid w:val="00870721"/>
    <w:rsid w:val="008707FD"/>
    <w:rsid w:val="008709BB"/>
    <w:rsid w:val="00870B92"/>
    <w:rsid w:val="00870D4C"/>
    <w:rsid w:val="00870D4F"/>
    <w:rsid w:val="00870D7D"/>
    <w:rsid w:val="00871003"/>
    <w:rsid w:val="0087107D"/>
    <w:rsid w:val="00871206"/>
    <w:rsid w:val="0087126A"/>
    <w:rsid w:val="008713C5"/>
    <w:rsid w:val="008714B2"/>
    <w:rsid w:val="008714BD"/>
    <w:rsid w:val="008714DA"/>
    <w:rsid w:val="008715BB"/>
    <w:rsid w:val="00871606"/>
    <w:rsid w:val="00871A0B"/>
    <w:rsid w:val="00871A96"/>
    <w:rsid w:val="00871B41"/>
    <w:rsid w:val="00871D29"/>
    <w:rsid w:val="00871DA2"/>
    <w:rsid w:val="00871DB2"/>
    <w:rsid w:val="00871E6B"/>
    <w:rsid w:val="00871F90"/>
    <w:rsid w:val="0087205B"/>
    <w:rsid w:val="00872204"/>
    <w:rsid w:val="00872283"/>
    <w:rsid w:val="008722FF"/>
    <w:rsid w:val="0087246F"/>
    <w:rsid w:val="0087259C"/>
    <w:rsid w:val="00872657"/>
    <w:rsid w:val="00872697"/>
    <w:rsid w:val="008726EB"/>
    <w:rsid w:val="0087271D"/>
    <w:rsid w:val="0087277C"/>
    <w:rsid w:val="008728D2"/>
    <w:rsid w:val="00872A3E"/>
    <w:rsid w:val="00872A85"/>
    <w:rsid w:val="00872A96"/>
    <w:rsid w:val="00872B2B"/>
    <w:rsid w:val="00872B61"/>
    <w:rsid w:val="00872B95"/>
    <w:rsid w:val="00872CF6"/>
    <w:rsid w:val="00872DF4"/>
    <w:rsid w:val="00872E82"/>
    <w:rsid w:val="00872E85"/>
    <w:rsid w:val="00872E98"/>
    <w:rsid w:val="00872EEB"/>
    <w:rsid w:val="00873016"/>
    <w:rsid w:val="00873040"/>
    <w:rsid w:val="00873186"/>
    <w:rsid w:val="00873243"/>
    <w:rsid w:val="008732A8"/>
    <w:rsid w:val="008732C9"/>
    <w:rsid w:val="00873340"/>
    <w:rsid w:val="008734BD"/>
    <w:rsid w:val="008734BF"/>
    <w:rsid w:val="008735E6"/>
    <w:rsid w:val="0087363B"/>
    <w:rsid w:val="00873824"/>
    <w:rsid w:val="00873836"/>
    <w:rsid w:val="008738C9"/>
    <w:rsid w:val="00873A3E"/>
    <w:rsid w:val="00873A70"/>
    <w:rsid w:val="00873AB3"/>
    <w:rsid w:val="00873B80"/>
    <w:rsid w:val="00873CCB"/>
    <w:rsid w:val="00873CDE"/>
    <w:rsid w:val="00873D3E"/>
    <w:rsid w:val="00873F80"/>
    <w:rsid w:val="00873FC9"/>
    <w:rsid w:val="0087407F"/>
    <w:rsid w:val="008740C7"/>
    <w:rsid w:val="00874261"/>
    <w:rsid w:val="0087432C"/>
    <w:rsid w:val="008743AA"/>
    <w:rsid w:val="008743F7"/>
    <w:rsid w:val="0087441A"/>
    <w:rsid w:val="00874432"/>
    <w:rsid w:val="008744B7"/>
    <w:rsid w:val="008746A9"/>
    <w:rsid w:val="008746B0"/>
    <w:rsid w:val="0087472B"/>
    <w:rsid w:val="00874732"/>
    <w:rsid w:val="008747A7"/>
    <w:rsid w:val="008748FE"/>
    <w:rsid w:val="0087490C"/>
    <w:rsid w:val="00874B61"/>
    <w:rsid w:val="00874BC7"/>
    <w:rsid w:val="00874D00"/>
    <w:rsid w:val="00874E1B"/>
    <w:rsid w:val="00874E2D"/>
    <w:rsid w:val="00874F50"/>
    <w:rsid w:val="0087513F"/>
    <w:rsid w:val="00875185"/>
    <w:rsid w:val="00875224"/>
    <w:rsid w:val="008752A9"/>
    <w:rsid w:val="0087551D"/>
    <w:rsid w:val="0087563A"/>
    <w:rsid w:val="00875669"/>
    <w:rsid w:val="008757AE"/>
    <w:rsid w:val="00875957"/>
    <w:rsid w:val="00875AF6"/>
    <w:rsid w:val="00875B17"/>
    <w:rsid w:val="00875BC0"/>
    <w:rsid w:val="00875CB1"/>
    <w:rsid w:val="00875D60"/>
    <w:rsid w:val="00875ECC"/>
    <w:rsid w:val="00875F2B"/>
    <w:rsid w:val="0087619C"/>
    <w:rsid w:val="008761B1"/>
    <w:rsid w:val="008761DE"/>
    <w:rsid w:val="00876253"/>
    <w:rsid w:val="0087637F"/>
    <w:rsid w:val="00876467"/>
    <w:rsid w:val="0087654C"/>
    <w:rsid w:val="008765BA"/>
    <w:rsid w:val="0087673C"/>
    <w:rsid w:val="00876834"/>
    <w:rsid w:val="00876936"/>
    <w:rsid w:val="00876A36"/>
    <w:rsid w:val="00876CAE"/>
    <w:rsid w:val="00876CF8"/>
    <w:rsid w:val="00876FBC"/>
    <w:rsid w:val="00876FF4"/>
    <w:rsid w:val="00877058"/>
    <w:rsid w:val="0087706C"/>
    <w:rsid w:val="00877508"/>
    <w:rsid w:val="008775C6"/>
    <w:rsid w:val="00877729"/>
    <w:rsid w:val="00877851"/>
    <w:rsid w:val="008778E5"/>
    <w:rsid w:val="00877984"/>
    <w:rsid w:val="00877A4C"/>
    <w:rsid w:val="00877AE5"/>
    <w:rsid w:val="00877BD1"/>
    <w:rsid w:val="00877CC8"/>
    <w:rsid w:val="00877D54"/>
    <w:rsid w:val="00877D59"/>
    <w:rsid w:val="00877D77"/>
    <w:rsid w:val="00877DE6"/>
    <w:rsid w:val="00877E47"/>
    <w:rsid w:val="00877E4C"/>
    <w:rsid w:val="00880009"/>
    <w:rsid w:val="00880040"/>
    <w:rsid w:val="00880120"/>
    <w:rsid w:val="00880173"/>
    <w:rsid w:val="00880442"/>
    <w:rsid w:val="00880621"/>
    <w:rsid w:val="0088062C"/>
    <w:rsid w:val="00880790"/>
    <w:rsid w:val="008807BF"/>
    <w:rsid w:val="00880805"/>
    <w:rsid w:val="00880872"/>
    <w:rsid w:val="008809EA"/>
    <w:rsid w:val="008809F7"/>
    <w:rsid w:val="00880A02"/>
    <w:rsid w:val="00880AE5"/>
    <w:rsid w:val="00880B5B"/>
    <w:rsid w:val="00880B86"/>
    <w:rsid w:val="00880CB1"/>
    <w:rsid w:val="00880F5E"/>
    <w:rsid w:val="0088104B"/>
    <w:rsid w:val="008810E9"/>
    <w:rsid w:val="00881305"/>
    <w:rsid w:val="00881363"/>
    <w:rsid w:val="0088147B"/>
    <w:rsid w:val="008814C2"/>
    <w:rsid w:val="008814CA"/>
    <w:rsid w:val="008814DC"/>
    <w:rsid w:val="00881622"/>
    <w:rsid w:val="00881816"/>
    <w:rsid w:val="008819C7"/>
    <w:rsid w:val="00881A61"/>
    <w:rsid w:val="00881BAC"/>
    <w:rsid w:val="00881C13"/>
    <w:rsid w:val="00881C6D"/>
    <w:rsid w:val="00881E08"/>
    <w:rsid w:val="00881E1E"/>
    <w:rsid w:val="00881E98"/>
    <w:rsid w:val="00881F57"/>
    <w:rsid w:val="00881F5D"/>
    <w:rsid w:val="00881F76"/>
    <w:rsid w:val="00882041"/>
    <w:rsid w:val="0088208C"/>
    <w:rsid w:val="008820A7"/>
    <w:rsid w:val="0088218C"/>
    <w:rsid w:val="008821BC"/>
    <w:rsid w:val="0088233C"/>
    <w:rsid w:val="0088241D"/>
    <w:rsid w:val="008824D7"/>
    <w:rsid w:val="00882754"/>
    <w:rsid w:val="00882760"/>
    <w:rsid w:val="0088278A"/>
    <w:rsid w:val="00882A9A"/>
    <w:rsid w:val="00882C3D"/>
    <w:rsid w:val="00882CAE"/>
    <w:rsid w:val="00882DBF"/>
    <w:rsid w:val="00882EFE"/>
    <w:rsid w:val="00882F94"/>
    <w:rsid w:val="00882FCC"/>
    <w:rsid w:val="008832FF"/>
    <w:rsid w:val="00883442"/>
    <w:rsid w:val="008834AE"/>
    <w:rsid w:val="00883500"/>
    <w:rsid w:val="00883505"/>
    <w:rsid w:val="008837DC"/>
    <w:rsid w:val="00883804"/>
    <w:rsid w:val="00883868"/>
    <w:rsid w:val="008838C9"/>
    <w:rsid w:val="008838F7"/>
    <w:rsid w:val="00883B05"/>
    <w:rsid w:val="00883D29"/>
    <w:rsid w:val="00883D92"/>
    <w:rsid w:val="00883E03"/>
    <w:rsid w:val="00883EA2"/>
    <w:rsid w:val="00884158"/>
    <w:rsid w:val="008841F8"/>
    <w:rsid w:val="00884288"/>
    <w:rsid w:val="008842D0"/>
    <w:rsid w:val="008844CA"/>
    <w:rsid w:val="0088456B"/>
    <w:rsid w:val="0088470D"/>
    <w:rsid w:val="0088471B"/>
    <w:rsid w:val="00884735"/>
    <w:rsid w:val="008848FF"/>
    <w:rsid w:val="0088498B"/>
    <w:rsid w:val="00884B6E"/>
    <w:rsid w:val="00884CBB"/>
    <w:rsid w:val="00884D78"/>
    <w:rsid w:val="00884DBB"/>
    <w:rsid w:val="00884E66"/>
    <w:rsid w:val="00884E72"/>
    <w:rsid w:val="00884EBE"/>
    <w:rsid w:val="00884EE1"/>
    <w:rsid w:val="00884F60"/>
    <w:rsid w:val="00884F8C"/>
    <w:rsid w:val="00885084"/>
    <w:rsid w:val="008851B2"/>
    <w:rsid w:val="00885289"/>
    <w:rsid w:val="008853B2"/>
    <w:rsid w:val="00885415"/>
    <w:rsid w:val="008854DC"/>
    <w:rsid w:val="008854E4"/>
    <w:rsid w:val="00885519"/>
    <w:rsid w:val="0088554D"/>
    <w:rsid w:val="0088572A"/>
    <w:rsid w:val="00885792"/>
    <w:rsid w:val="008857A6"/>
    <w:rsid w:val="008857EF"/>
    <w:rsid w:val="0088586F"/>
    <w:rsid w:val="00885AAF"/>
    <w:rsid w:val="00885AF3"/>
    <w:rsid w:val="00885C73"/>
    <w:rsid w:val="00885D1A"/>
    <w:rsid w:val="00885E44"/>
    <w:rsid w:val="00885FB0"/>
    <w:rsid w:val="00886011"/>
    <w:rsid w:val="00886355"/>
    <w:rsid w:val="008863E6"/>
    <w:rsid w:val="0088649E"/>
    <w:rsid w:val="008864CF"/>
    <w:rsid w:val="00886705"/>
    <w:rsid w:val="008867BE"/>
    <w:rsid w:val="00886831"/>
    <w:rsid w:val="0088688D"/>
    <w:rsid w:val="00886947"/>
    <w:rsid w:val="008869A8"/>
    <w:rsid w:val="008869C8"/>
    <w:rsid w:val="008869FF"/>
    <w:rsid w:val="00886A5D"/>
    <w:rsid w:val="00886A70"/>
    <w:rsid w:val="00886BF8"/>
    <w:rsid w:val="00886D58"/>
    <w:rsid w:val="00886E01"/>
    <w:rsid w:val="00886E4E"/>
    <w:rsid w:val="00886E61"/>
    <w:rsid w:val="00887276"/>
    <w:rsid w:val="0088732F"/>
    <w:rsid w:val="008876A7"/>
    <w:rsid w:val="008877ED"/>
    <w:rsid w:val="00887844"/>
    <w:rsid w:val="00887943"/>
    <w:rsid w:val="008879DE"/>
    <w:rsid w:val="00887A44"/>
    <w:rsid w:val="00887C34"/>
    <w:rsid w:val="00887CEA"/>
    <w:rsid w:val="00887DE0"/>
    <w:rsid w:val="00887E87"/>
    <w:rsid w:val="00887E94"/>
    <w:rsid w:val="00887FE7"/>
    <w:rsid w:val="0089015D"/>
    <w:rsid w:val="008901C4"/>
    <w:rsid w:val="00890241"/>
    <w:rsid w:val="00890288"/>
    <w:rsid w:val="00890292"/>
    <w:rsid w:val="00890297"/>
    <w:rsid w:val="008902BC"/>
    <w:rsid w:val="008902D6"/>
    <w:rsid w:val="00890337"/>
    <w:rsid w:val="008904A7"/>
    <w:rsid w:val="008905B5"/>
    <w:rsid w:val="0089062D"/>
    <w:rsid w:val="008906EA"/>
    <w:rsid w:val="00890838"/>
    <w:rsid w:val="0089087F"/>
    <w:rsid w:val="00890C20"/>
    <w:rsid w:val="00890C68"/>
    <w:rsid w:val="00890D9D"/>
    <w:rsid w:val="00890F30"/>
    <w:rsid w:val="00891216"/>
    <w:rsid w:val="008912BD"/>
    <w:rsid w:val="0089130F"/>
    <w:rsid w:val="008913D6"/>
    <w:rsid w:val="00891404"/>
    <w:rsid w:val="0089146A"/>
    <w:rsid w:val="0089148C"/>
    <w:rsid w:val="00891501"/>
    <w:rsid w:val="00891532"/>
    <w:rsid w:val="00891554"/>
    <w:rsid w:val="00891581"/>
    <w:rsid w:val="00891688"/>
    <w:rsid w:val="00891747"/>
    <w:rsid w:val="00891A32"/>
    <w:rsid w:val="00891A34"/>
    <w:rsid w:val="00891A6F"/>
    <w:rsid w:val="00891B58"/>
    <w:rsid w:val="00891C00"/>
    <w:rsid w:val="00891E4F"/>
    <w:rsid w:val="00891EFF"/>
    <w:rsid w:val="00891F48"/>
    <w:rsid w:val="00891FDF"/>
    <w:rsid w:val="00892072"/>
    <w:rsid w:val="00892157"/>
    <w:rsid w:val="0089247C"/>
    <w:rsid w:val="00892491"/>
    <w:rsid w:val="008924EF"/>
    <w:rsid w:val="00892636"/>
    <w:rsid w:val="00892639"/>
    <w:rsid w:val="0089263B"/>
    <w:rsid w:val="00892804"/>
    <w:rsid w:val="008928C2"/>
    <w:rsid w:val="008928FF"/>
    <w:rsid w:val="008929E1"/>
    <w:rsid w:val="00892A51"/>
    <w:rsid w:val="00892AEF"/>
    <w:rsid w:val="00892C42"/>
    <w:rsid w:val="00892EC6"/>
    <w:rsid w:val="00892FF7"/>
    <w:rsid w:val="00893026"/>
    <w:rsid w:val="008931A8"/>
    <w:rsid w:val="0089328F"/>
    <w:rsid w:val="008932A1"/>
    <w:rsid w:val="00893347"/>
    <w:rsid w:val="00893454"/>
    <w:rsid w:val="00893526"/>
    <w:rsid w:val="0089361B"/>
    <w:rsid w:val="0089386B"/>
    <w:rsid w:val="008938A7"/>
    <w:rsid w:val="008938DC"/>
    <w:rsid w:val="0089399A"/>
    <w:rsid w:val="00893AB6"/>
    <w:rsid w:val="00893AD4"/>
    <w:rsid w:val="00893D04"/>
    <w:rsid w:val="00893D35"/>
    <w:rsid w:val="00893D47"/>
    <w:rsid w:val="00893F3C"/>
    <w:rsid w:val="008940CD"/>
    <w:rsid w:val="00894139"/>
    <w:rsid w:val="008941C8"/>
    <w:rsid w:val="00894256"/>
    <w:rsid w:val="0089435C"/>
    <w:rsid w:val="00894369"/>
    <w:rsid w:val="008945B0"/>
    <w:rsid w:val="008945E8"/>
    <w:rsid w:val="00894693"/>
    <w:rsid w:val="008946DB"/>
    <w:rsid w:val="008947C9"/>
    <w:rsid w:val="008948D1"/>
    <w:rsid w:val="00894A56"/>
    <w:rsid w:val="00894CDD"/>
    <w:rsid w:val="00894CEE"/>
    <w:rsid w:val="00895060"/>
    <w:rsid w:val="00895097"/>
    <w:rsid w:val="00895109"/>
    <w:rsid w:val="00895144"/>
    <w:rsid w:val="00895233"/>
    <w:rsid w:val="0089535F"/>
    <w:rsid w:val="0089543F"/>
    <w:rsid w:val="008957BC"/>
    <w:rsid w:val="00895899"/>
    <w:rsid w:val="00895D00"/>
    <w:rsid w:val="00895F57"/>
    <w:rsid w:val="00895F95"/>
    <w:rsid w:val="00895F9C"/>
    <w:rsid w:val="00895FD8"/>
    <w:rsid w:val="008961DB"/>
    <w:rsid w:val="00896272"/>
    <w:rsid w:val="008962AF"/>
    <w:rsid w:val="00896323"/>
    <w:rsid w:val="0089664B"/>
    <w:rsid w:val="008967E4"/>
    <w:rsid w:val="00896804"/>
    <w:rsid w:val="0089688A"/>
    <w:rsid w:val="008969C0"/>
    <w:rsid w:val="008969D7"/>
    <w:rsid w:val="00896A1D"/>
    <w:rsid w:val="00896A8C"/>
    <w:rsid w:val="00896B33"/>
    <w:rsid w:val="00896BAB"/>
    <w:rsid w:val="00896FB8"/>
    <w:rsid w:val="0089701B"/>
    <w:rsid w:val="00897050"/>
    <w:rsid w:val="008971AF"/>
    <w:rsid w:val="008972F2"/>
    <w:rsid w:val="0089738D"/>
    <w:rsid w:val="0089761B"/>
    <w:rsid w:val="008976A4"/>
    <w:rsid w:val="0089770E"/>
    <w:rsid w:val="008977D2"/>
    <w:rsid w:val="00897929"/>
    <w:rsid w:val="00897932"/>
    <w:rsid w:val="00897B06"/>
    <w:rsid w:val="00897B2A"/>
    <w:rsid w:val="00897E13"/>
    <w:rsid w:val="00897E6E"/>
    <w:rsid w:val="008A0261"/>
    <w:rsid w:val="008A027C"/>
    <w:rsid w:val="008A03AD"/>
    <w:rsid w:val="008A03E7"/>
    <w:rsid w:val="008A072E"/>
    <w:rsid w:val="008A07B5"/>
    <w:rsid w:val="008A0897"/>
    <w:rsid w:val="008A0A68"/>
    <w:rsid w:val="008A0AA6"/>
    <w:rsid w:val="008A0ABE"/>
    <w:rsid w:val="008A0B95"/>
    <w:rsid w:val="008A0BC4"/>
    <w:rsid w:val="008A0C17"/>
    <w:rsid w:val="008A0C42"/>
    <w:rsid w:val="008A0C68"/>
    <w:rsid w:val="008A0DEF"/>
    <w:rsid w:val="008A0EE0"/>
    <w:rsid w:val="008A1066"/>
    <w:rsid w:val="008A109E"/>
    <w:rsid w:val="008A1138"/>
    <w:rsid w:val="008A11E2"/>
    <w:rsid w:val="008A11E9"/>
    <w:rsid w:val="008A121C"/>
    <w:rsid w:val="008A1231"/>
    <w:rsid w:val="008A129E"/>
    <w:rsid w:val="008A12CB"/>
    <w:rsid w:val="008A1551"/>
    <w:rsid w:val="008A158B"/>
    <w:rsid w:val="008A15CA"/>
    <w:rsid w:val="008A15DB"/>
    <w:rsid w:val="008A1620"/>
    <w:rsid w:val="008A1640"/>
    <w:rsid w:val="008A17B7"/>
    <w:rsid w:val="008A18ED"/>
    <w:rsid w:val="008A191B"/>
    <w:rsid w:val="008A192C"/>
    <w:rsid w:val="008A1975"/>
    <w:rsid w:val="008A1AEA"/>
    <w:rsid w:val="008A1B0C"/>
    <w:rsid w:val="008A1CAF"/>
    <w:rsid w:val="008A1DDD"/>
    <w:rsid w:val="008A1DDF"/>
    <w:rsid w:val="008A20F0"/>
    <w:rsid w:val="008A221F"/>
    <w:rsid w:val="008A224D"/>
    <w:rsid w:val="008A2296"/>
    <w:rsid w:val="008A2350"/>
    <w:rsid w:val="008A236C"/>
    <w:rsid w:val="008A24AB"/>
    <w:rsid w:val="008A24DE"/>
    <w:rsid w:val="008A2528"/>
    <w:rsid w:val="008A253F"/>
    <w:rsid w:val="008A2651"/>
    <w:rsid w:val="008A267F"/>
    <w:rsid w:val="008A27D3"/>
    <w:rsid w:val="008A2A37"/>
    <w:rsid w:val="008A2B96"/>
    <w:rsid w:val="008A2BCA"/>
    <w:rsid w:val="008A2C08"/>
    <w:rsid w:val="008A2EDC"/>
    <w:rsid w:val="008A3140"/>
    <w:rsid w:val="008A31D1"/>
    <w:rsid w:val="008A3298"/>
    <w:rsid w:val="008A349F"/>
    <w:rsid w:val="008A358F"/>
    <w:rsid w:val="008A35E8"/>
    <w:rsid w:val="008A370B"/>
    <w:rsid w:val="008A39B6"/>
    <w:rsid w:val="008A3D8A"/>
    <w:rsid w:val="008A3E0F"/>
    <w:rsid w:val="008A3E19"/>
    <w:rsid w:val="008A3EB5"/>
    <w:rsid w:val="008A3EC1"/>
    <w:rsid w:val="008A3F74"/>
    <w:rsid w:val="008A43A7"/>
    <w:rsid w:val="008A43E6"/>
    <w:rsid w:val="008A4583"/>
    <w:rsid w:val="008A47EA"/>
    <w:rsid w:val="008A4924"/>
    <w:rsid w:val="008A4B51"/>
    <w:rsid w:val="008A4B57"/>
    <w:rsid w:val="008A4DEF"/>
    <w:rsid w:val="008A4F64"/>
    <w:rsid w:val="008A5036"/>
    <w:rsid w:val="008A51F0"/>
    <w:rsid w:val="008A551E"/>
    <w:rsid w:val="008A560A"/>
    <w:rsid w:val="008A569D"/>
    <w:rsid w:val="008A56D8"/>
    <w:rsid w:val="008A57BE"/>
    <w:rsid w:val="008A57DB"/>
    <w:rsid w:val="008A58A0"/>
    <w:rsid w:val="008A58EF"/>
    <w:rsid w:val="008A5A95"/>
    <w:rsid w:val="008A5BFE"/>
    <w:rsid w:val="008A5C66"/>
    <w:rsid w:val="008A5C83"/>
    <w:rsid w:val="008A5EBE"/>
    <w:rsid w:val="008A5EFF"/>
    <w:rsid w:val="008A5F05"/>
    <w:rsid w:val="008A6242"/>
    <w:rsid w:val="008A62F7"/>
    <w:rsid w:val="008A63CF"/>
    <w:rsid w:val="008A6461"/>
    <w:rsid w:val="008A64A6"/>
    <w:rsid w:val="008A64C9"/>
    <w:rsid w:val="008A656B"/>
    <w:rsid w:val="008A65B4"/>
    <w:rsid w:val="008A66F4"/>
    <w:rsid w:val="008A6717"/>
    <w:rsid w:val="008A67E1"/>
    <w:rsid w:val="008A67E2"/>
    <w:rsid w:val="008A68F9"/>
    <w:rsid w:val="008A69D1"/>
    <w:rsid w:val="008A6A62"/>
    <w:rsid w:val="008A6A67"/>
    <w:rsid w:val="008A6A77"/>
    <w:rsid w:val="008A6B3A"/>
    <w:rsid w:val="008A6B68"/>
    <w:rsid w:val="008A6BDD"/>
    <w:rsid w:val="008A6C35"/>
    <w:rsid w:val="008A6DFD"/>
    <w:rsid w:val="008A6E21"/>
    <w:rsid w:val="008A6FE0"/>
    <w:rsid w:val="008A72C9"/>
    <w:rsid w:val="008A7380"/>
    <w:rsid w:val="008A76C7"/>
    <w:rsid w:val="008A774C"/>
    <w:rsid w:val="008A77A3"/>
    <w:rsid w:val="008A77B1"/>
    <w:rsid w:val="008A781C"/>
    <w:rsid w:val="008A78F4"/>
    <w:rsid w:val="008A7916"/>
    <w:rsid w:val="008A7931"/>
    <w:rsid w:val="008A79C1"/>
    <w:rsid w:val="008A7D03"/>
    <w:rsid w:val="008A7D09"/>
    <w:rsid w:val="008A7DAE"/>
    <w:rsid w:val="008B0062"/>
    <w:rsid w:val="008B00BC"/>
    <w:rsid w:val="008B00C1"/>
    <w:rsid w:val="008B00CD"/>
    <w:rsid w:val="008B0187"/>
    <w:rsid w:val="008B0373"/>
    <w:rsid w:val="008B04B6"/>
    <w:rsid w:val="008B04BB"/>
    <w:rsid w:val="008B08A7"/>
    <w:rsid w:val="008B0B4A"/>
    <w:rsid w:val="008B0BCC"/>
    <w:rsid w:val="008B0C50"/>
    <w:rsid w:val="008B1043"/>
    <w:rsid w:val="008B1051"/>
    <w:rsid w:val="008B11D8"/>
    <w:rsid w:val="008B17A0"/>
    <w:rsid w:val="008B182D"/>
    <w:rsid w:val="008B18DE"/>
    <w:rsid w:val="008B1C44"/>
    <w:rsid w:val="008B1D55"/>
    <w:rsid w:val="008B1E45"/>
    <w:rsid w:val="008B2131"/>
    <w:rsid w:val="008B21C0"/>
    <w:rsid w:val="008B2207"/>
    <w:rsid w:val="008B2329"/>
    <w:rsid w:val="008B2594"/>
    <w:rsid w:val="008B2689"/>
    <w:rsid w:val="008B26CA"/>
    <w:rsid w:val="008B26E5"/>
    <w:rsid w:val="008B271B"/>
    <w:rsid w:val="008B28A0"/>
    <w:rsid w:val="008B2A9F"/>
    <w:rsid w:val="008B2E24"/>
    <w:rsid w:val="008B2E29"/>
    <w:rsid w:val="008B2EB1"/>
    <w:rsid w:val="008B2EEF"/>
    <w:rsid w:val="008B2FBA"/>
    <w:rsid w:val="008B2FC6"/>
    <w:rsid w:val="008B3094"/>
    <w:rsid w:val="008B314B"/>
    <w:rsid w:val="008B3218"/>
    <w:rsid w:val="008B32F5"/>
    <w:rsid w:val="008B32FD"/>
    <w:rsid w:val="008B33BF"/>
    <w:rsid w:val="008B33EF"/>
    <w:rsid w:val="008B3413"/>
    <w:rsid w:val="008B379E"/>
    <w:rsid w:val="008B37DB"/>
    <w:rsid w:val="008B3824"/>
    <w:rsid w:val="008B389F"/>
    <w:rsid w:val="008B3A81"/>
    <w:rsid w:val="008B3C72"/>
    <w:rsid w:val="008B3C82"/>
    <w:rsid w:val="008B3D1A"/>
    <w:rsid w:val="008B3D71"/>
    <w:rsid w:val="008B3DD3"/>
    <w:rsid w:val="008B3DD9"/>
    <w:rsid w:val="008B3FFE"/>
    <w:rsid w:val="008B4055"/>
    <w:rsid w:val="008B40FE"/>
    <w:rsid w:val="008B4116"/>
    <w:rsid w:val="008B429C"/>
    <w:rsid w:val="008B42C5"/>
    <w:rsid w:val="008B4346"/>
    <w:rsid w:val="008B44B0"/>
    <w:rsid w:val="008B4588"/>
    <w:rsid w:val="008B45DC"/>
    <w:rsid w:val="008B46F2"/>
    <w:rsid w:val="008B4882"/>
    <w:rsid w:val="008B4A34"/>
    <w:rsid w:val="008B4D36"/>
    <w:rsid w:val="008B4F1E"/>
    <w:rsid w:val="008B5022"/>
    <w:rsid w:val="008B512D"/>
    <w:rsid w:val="008B5148"/>
    <w:rsid w:val="008B55AD"/>
    <w:rsid w:val="008B5633"/>
    <w:rsid w:val="008B577C"/>
    <w:rsid w:val="008B582D"/>
    <w:rsid w:val="008B58BB"/>
    <w:rsid w:val="008B58F4"/>
    <w:rsid w:val="008B5A16"/>
    <w:rsid w:val="008B5AAD"/>
    <w:rsid w:val="008B5B3C"/>
    <w:rsid w:val="008B5B7A"/>
    <w:rsid w:val="008B5BE4"/>
    <w:rsid w:val="008B5BF0"/>
    <w:rsid w:val="008B5C23"/>
    <w:rsid w:val="008B5C7F"/>
    <w:rsid w:val="008B5CD5"/>
    <w:rsid w:val="008B5E01"/>
    <w:rsid w:val="008B5EAE"/>
    <w:rsid w:val="008B5FE5"/>
    <w:rsid w:val="008B628A"/>
    <w:rsid w:val="008B6329"/>
    <w:rsid w:val="008B63AD"/>
    <w:rsid w:val="008B64F1"/>
    <w:rsid w:val="008B675C"/>
    <w:rsid w:val="008B6878"/>
    <w:rsid w:val="008B6A84"/>
    <w:rsid w:val="008B6D28"/>
    <w:rsid w:val="008B6D75"/>
    <w:rsid w:val="008B6EB8"/>
    <w:rsid w:val="008B6ED2"/>
    <w:rsid w:val="008B6F8C"/>
    <w:rsid w:val="008B707F"/>
    <w:rsid w:val="008B713B"/>
    <w:rsid w:val="008B72EF"/>
    <w:rsid w:val="008B732A"/>
    <w:rsid w:val="008B73C4"/>
    <w:rsid w:val="008B73F6"/>
    <w:rsid w:val="008B745B"/>
    <w:rsid w:val="008B74A3"/>
    <w:rsid w:val="008B751E"/>
    <w:rsid w:val="008B7593"/>
    <w:rsid w:val="008B75C7"/>
    <w:rsid w:val="008B765F"/>
    <w:rsid w:val="008B766E"/>
    <w:rsid w:val="008B76D7"/>
    <w:rsid w:val="008B7718"/>
    <w:rsid w:val="008B773E"/>
    <w:rsid w:val="008B7854"/>
    <w:rsid w:val="008B7886"/>
    <w:rsid w:val="008B78F0"/>
    <w:rsid w:val="008B79EA"/>
    <w:rsid w:val="008B79F2"/>
    <w:rsid w:val="008B7BB1"/>
    <w:rsid w:val="008B7C1C"/>
    <w:rsid w:val="008B7C52"/>
    <w:rsid w:val="008B7CFE"/>
    <w:rsid w:val="008B7E94"/>
    <w:rsid w:val="008B7F54"/>
    <w:rsid w:val="008B7FB4"/>
    <w:rsid w:val="008C0087"/>
    <w:rsid w:val="008C019B"/>
    <w:rsid w:val="008C019F"/>
    <w:rsid w:val="008C01E6"/>
    <w:rsid w:val="008C0466"/>
    <w:rsid w:val="008C0485"/>
    <w:rsid w:val="008C0652"/>
    <w:rsid w:val="008C06EA"/>
    <w:rsid w:val="008C0924"/>
    <w:rsid w:val="008C0ACE"/>
    <w:rsid w:val="008C0B70"/>
    <w:rsid w:val="008C0CE8"/>
    <w:rsid w:val="008C0D3B"/>
    <w:rsid w:val="008C0D3E"/>
    <w:rsid w:val="008C0E58"/>
    <w:rsid w:val="008C0FA4"/>
    <w:rsid w:val="008C1053"/>
    <w:rsid w:val="008C106F"/>
    <w:rsid w:val="008C10BA"/>
    <w:rsid w:val="008C111F"/>
    <w:rsid w:val="008C1223"/>
    <w:rsid w:val="008C1268"/>
    <w:rsid w:val="008C1387"/>
    <w:rsid w:val="008C1396"/>
    <w:rsid w:val="008C140C"/>
    <w:rsid w:val="008C1412"/>
    <w:rsid w:val="008C1464"/>
    <w:rsid w:val="008C1504"/>
    <w:rsid w:val="008C168A"/>
    <w:rsid w:val="008C16A4"/>
    <w:rsid w:val="008C16F4"/>
    <w:rsid w:val="008C1758"/>
    <w:rsid w:val="008C17DE"/>
    <w:rsid w:val="008C1810"/>
    <w:rsid w:val="008C1848"/>
    <w:rsid w:val="008C18E2"/>
    <w:rsid w:val="008C1987"/>
    <w:rsid w:val="008C19DE"/>
    <w:rsid w:val="008C1B84"/>
    <w:rsid w:val="008C1D31"/>
    <w:rsid w:val="008C1F85"/>
    <w:rsid w:val="008C1F8E"/>
    <w:rsid w:val="008C2173"/>
    <w:rsid w:val="008C218B"/>
    <w:rsid w:val="008C2206"/>
    <w:rsid w:val="008C229F"/>
    <w:rsid w:val="008C2406"/>
    <w:rsid w:val="008C24A4"/>
    <w:rsid w:val="008C2544"/>
    <w:rsid w:val="008C2588"/>
    <w:rsid w:val="008C26AF"/>
    <w:rsid w:val="008C2723"/>
    <w:rsid w:val="008C2846"/>
    <w:rsid w:val="008C2868"/>
    <w:rsid w:val="008C2950"/>
    <w:rsid w:val="008C29A1"/>
    <w:rsid w:val="008C2AAA"/>
    <w:rsid w:val="008C2B0A"/>
    <w:rsid w:val="008C2EB8"/>
    <w:rsid w:val="008C2F2E"/>
    <w:rsid w:val="008C3266"/>
    <w:rsid w:val="008C3293"/>
    <w:rsid w:val="008C3365"/>
    <w:rsid w:val="008C356F"/>
    <w:rsid w:val="008C363B"/>
    <w:rsid w:val="008C37B3"/>
    <w:rsid w:val="008C3A34"/>
    <w:rsid w:val="008C3C4B"/>
    <w:rsid w:val="008C4214"/>
    <w:rsid w:val="008C42F4"/>
    <w:rsid w:val="008C4308"/>
    <w:rsid w:val="008C431D"/>
    <w:rsid w:val="008C4455"/>
    <w:rsid w:val="008C46B2"/>
    <w:rsid w:val="008C48B0"/>
    <w:rsid w:val="008C4976"/>
    <w:rsid w:val="008C49B5"/>
    <w:rsid w:val="008C4A9A"/>
    <w:rsid w:val="008C4B5E"/>
    <w:rsid w:val="008C4B8D"/>
    <w:rsid w:val="008C4C72"/>
    <w:rsid w:val="008C4ED7"/>
    <w:rsid w:val="008C4F81"/>
    <w:rsid w:val="008C4FC7"/>
    <w:rsid w:val="008C5087"/>
    <w:rsid w:val="008C5101"/>
    <w:rsid w:val="008C51C0"/>
    <w:rsid w:val="008C5252"/>
    <w:rsid w:val="008C5294"/>
    <w:rsid w:val="008C5486"/>
    <w:rsid w:val="008C5651"/>
    <w:rsid w:val="008C5774"/>
    <w:rsid w:val="008C581D"/>
    <w:rsid w:val="008C59B9"/>
    <w:rsid w:val="008C5B0D"/>
    <w:rsid w:val="008C5C90"/>
    <w:rsid w:val="008C617D"/>
    <w:rsid w:val="008C6214"/>
    <w:rsid w:val="008C6476"/>
    <w:rsid w:val="008C64D0"/>
    <w:rsid w:val="008C6552"/>
    <w:rsid w:val="008C6748"/>
    <w:rsid w:val="008C6870"/>
    <w:rsid w:val="008C68C0"/>
    <w:rsid w:val="008C6A5A"/>
    <w:rsid w:val="008C6AE9"/>
    <w:rsid w:val="008C6C3C"/>
    <w:rsid w:val="008C6C58"/>
    <w:rsid w:val="008C70E4"/>
    <w:rsid w:val="008C71BC"/>
    <w:rsid w:val="008C7463"/>
    <w:rsid w:val="008C7543"/>
    <w:rsid w:val="008C76A5"/>
    <w:rsid w:val="008C7905"/>
    <w:rsid w:val="008C793B"/>
    <w:rsid w:val="008C7C91"/>
    <w:rsid w:val="008C7EDD"/>
    <w:rsid w:val="008D005F"/>
    <w:rsid w:val="008D0066"/>
    <w:rsid w:val="008D0100"/>
    <w:rsid w:val="008D017F"/>
    <w:rsid w:val="008D01FE"/>
    <w:rsid w:val="008D02F5"/>
    <w:rsid w:val="008D04D2"/>
    <w:rsid w:val="008D0504"/>
    <w:rsid w:val="008D0585"/>
    <w:rsid w:val="008D0684"/>
    <w:rsid w:val="008D06B9"/>
    <w:rsid w:val="008D073C"/>
    <w:rsid w:val="008D085E"/>
    <w:rsid w:val="008D09AB"/>
    <w:rsid w:val="008D0B19"/>
    <w:rsid w:val="008D0B54"/>
    <w:rsid w:val="008D0C50"/>
    <w:rsid w:val="008D0C82"/>
    <w:rsid w:val="008D0C83"/>
    <w:rsid w:val="008D0FE3"/>
    <w:rsid w:val="008D1026"/>
    <w:rsid w:val="008D1037"/>
    <w:rsid w:val="008D1045"/>
    <w:rsid w:val="008D104A"/>
    <w:rsid w:val="008D1062"/>
    <w:rsid w:val="008D10ED"/>
    <w:rsid w:val="008D1154"/>
    <w:rsid w:val="008D11D1"/>
    <w:rsid w:val="008D1288"/>
    <w:rsid w:val="008D1313"/>
    <w:rsid w:val="008D1394"/>
    <w:rsid w:val="008D13CD"/>
    <w:rsid w:val="008D13EB"/>
    <w:rsid w:val="008D14E4"/>
    <w:rsid w:val="008D15C4"/>
    <w:rsid w:val="008D15C5"/>
    <w:rsid w:val="008D15F8"/>
    <w:rsid w:val="008D16D1"/>
    <w:rsid w:val="008D16FB"/>
    <w:rsid w:val="008D17F9"/>
    <w:rsid w:val="008D1A95"/>
    <w:rsid w:val="008D1AF6"/>
    <w:rsid w:val="008D1BBA"/>
    <w:rsid w:val="008D1BCD"/>
    <w:rsid w:val="008D1D0A"/>
    <w:rsid w:val="008D1D27"/>
    <w:rsid w:val="008D1E4D"/>
    <w:rsid w:val="008D1FA2"/>
    <w:rsid w:val="008D2019"/>
    <w:rsid w:val="008D212D"/>
    <w:rsid w:val="008D21C0"/>
    <w:rsid w:val="008D2206"/>
    <w:rsid w:val="008D225E"/>
    <w:rsid w:val="008D22F7"/>
    <w:rsid w:val="008D23CD"/>
    <w:rsid w:val="008D2446"/>
    <w:rsid w:val="008D2689"/>
    <w:rsid w:val="008D2776"/>
    <w:rsid w:val="008D27A1"/>
    <w:rsid w:val="008D27BE"/>
    <w:rsid w:val="008D28AB"/>
    <w:rsid w:val="008D298F"/>
    <w:rsid w:val="008D2A38"/>
    <w:rsid w:val="008D2AF4"/>
    <w:rsid w:val="008D2B67"/>
    <w:rsid w:val="008D2BE8"/>
    <w:rsid w:val="008D2C5B"/>
    <w:rsid w:val="008D2D8D"/>
    <w:rsid w:val="008D2DA2"/>
    <w:rsid w:val="008D2DF7"/>
    <w:rsid w:val="008D2E23"/>
    <w:rsid w:val="008D2E81"/>
    <w:rsid w:val="008D2F69"/>
    <w:rsid w:val="008D3398"/>
    <w:rsid w:val="008D33F0"/>
    <w:rsid w:val="008D341F"/>
    <w:rsid w:val="008D3544"/>
    <w:rsid w:val="008D3604"/>
    <w:rsid w:val="008D3617"/>
    <w:rsid w:val="008D3645"/>
    <w:rsid w:val="008D39A8"/>
    <w:rsid w:val="008D39AA"/>
    <w:rsid w:val="008D3A1D"/>
    <w:rsid w:val="008D3B3D"/>
    <w:rsid w:val="008D3BA7"/>
    <w:rsid w:val="008D3C00"/>
    <w:rsid w:val="008D3C83"/>
    <w:rsid w:val="008D3CAE"/>
    <w:rsid w:val="008D3DE7"/>
    <w:rsid w:val="008D3E08"/>
    <w:rsid w:val="008D3EB5"/>
    <w:rsid w:val="008D3F1C"/>
    <w:rsid w:val="008D411D"/>
    <w:rsid w:val="008D421A"/>
    <w:rsid w:val="008D4417"/>
    <w:rsid w:val="008D4585"/>
    <w:rsid w:val="008D4683"/>
    <w:rsid w:val="008D4763"/>
    <w:rsid w:val="008D47A5"/>
    <w:rsid w:val="008D47F1"/>
    <w:rsid w:val="008D4A55"/>
    <w:rsid w:val="008D4B95"/>
    <w:rsid w:val="008D4BF2"/>
    <w:rsid w:val="008D4CBD"/>
    <w:rsid w:val="008D4DCF"/>
    <w:rsid w:val="008D4DFB"/>
    <w:rsid w:val="008D4ED2"/>
    <w:rsid w:val="008D5058"/>
    <w:rsid w:val="008D50A6"/>
    <w:rsid w:val="008D50F8"/>
    <w:rsid w:val="008D5177"/>
    <w:rsid w:val="008D518F"/>
    <w:rsid w:val="008D5271"/>
    <w:rsid w:val="008D52EE"/>
    <w:rsid w:val="008D5309"/>
    <w:rsid w:val="008D54B6"/>
    <w:rsid w:val="008D54C9"/>
    <w:rsid w:val="008D55EA"/>
    <w:rsid w:val="008D5688"/>
    <w:rsid w:val="008D5714"/>
    <w:rsid w:val="008D5744"/>
    <w:rsid w:val="008D575D"/>
    <w:rsid w:val="008D591D"/>
    <w:rsid w:val="008D5B22"/>
    <w:rsid w:val="008D5B4A"/>
    <w:rsid w:val="008D5CAE"/>
    <w:rsid w:val="008D5D26"/>
    <w:rsid w:val="008D5D89"/>
    <w:rsid w:val="008D5E13"/>
    <w:rsid w:val="008D5EC2"/>
    <w:rsid w:val="008D5FEE"/>
    <w:rsid w:val="008D60AB"/>
    <w:rsid w:val="008D611E"/>
    <w:rsid w:val="008D61A9"/>
    <w:rsid w:val="008D61BB"/>
    <w:rsid w:val="008D6290"/>
    <w:rsid w:val="008D6415"/>
    <w:rsid w:val="008D665B"/>
    <w:rsid w:val="008D66D7"/>
    <w:rsid w:val="008D6705"/>
    <w:rsid w:val="008D6717"/>
    <w:rsid w:val="008D6727"/>
    <w:rsid w:val="008D672B"/>
    <w:rsid w:val="008D6759"/>
    <w:rsid w:val="008D692B"/>
    <w:rsid w:val="008D6AF1"/>
    <w:rsid w:val="008D6B81"/>
    <w:rsid w:val="008D6BA2"/>
    <w:rsid w:val="008D6C4C"/>
    <w:rsid w:val="008D6D61"/>
    <w:rsid w:val="008D6E03"/>
    <w:rsid w:val="008D7061"/>
    <w:rsid w:val="008D7095"/>
    <w:rsid w:val="008D7289"/>
    <w:rsid w:val="008D72A2"/>
    <w:rsid w:val="008D7372"/>
    <w:rsid w:val="008D73BA"/>
    <w:rsid w:val="008D7570"/>
    <w:rsid w:val="008D75CF"/>
    <w:rsid w:val="008D7727"/>
    <w:rsid w:val="008D7775"/>
    <w:rsid w:val="008D7780"/>
    <w:rsid w:val="008D77CF"/>
    <w:rsid w:val="008D7855"/>
    <w:rsid w:val="008D78E7"/>
    <w:rsid w:val="008D78EA"/>
    <w:rsid w:val="008D7961"/>
    <w:rsid w:val="008D7A7E"/>
    <w:rsid w:val="008D7BE7"/>
    <w:rsid w:val="008D7CBD"/>
    <w:rsid w:val="008D7D9A"/>
    <w:rsid w:val="008D7DA6"/>
    <w:rsid w:val="008D7DD4"/>
    <w:rsid w:val="008D7E61"/>
    <w:rsid w:val="008D7EE8"/>
    <w:rsid w:val="008D7FBA"/>
    <w:rsid w:val="008E0207"/>
    <w:rsid w:val="008E021F"/>
    <w:rsid w:val="008E0263"/>
    <w:rsid w:val="008E0290"/>
    <w:rsid w:val="008E0636"/>
    <w:rsid w:val="008E065B"/>
    <w:rsid w:val="008E07FD"/>
    <w:rsid w:val="008E08C9"/>
    <w:rsid w:val="008E0939"/>
    <w:rsid w:val="008E0ADE"/>
    <w:rsid w:val="008E0BF3"/>
    <w:rsid w:val="008E0DFE"/>
    <w:rsid w:val="008E0F72"/>
    <w:rsid w:val="008E1012"/>
    <w:rsid w:val="008E101D"/>
    <w:rsid w:val="008E11E5"/>
    <w:rsid w:val="008E1250"/>
    <w:rsid w:val="008E132A"/>
    <w:rsid w:val="008E16AC"/>
    <w:rsid w:val="008E16DF"/>
    <w:rsid w:val="008E17A7"/>
    <w:rsid w:val="008E18E5"/>
    <w:rsid w:val="008E1A5B"/>
    <w:rsid w:val="008E1AD5"/>
    <w:rsid w:val="008E1C14"/>
    <w:rsid w:val="008E1C53"/>
    <w:rsid w:val="008E1CDD"/>
    <w:rsid w:val="008E1D7C"/>
    <w:rsid w:val="008E1F28"/>
    <w:rsid w:val="008E217D"/>
    <w:rsid w:val="008E21A4"/>
    <w:rsid w:val="008E21A7"/>
    <w:rsid w:val="008E21EF"/>
    <w:rsid w:val="008E225C"/>
    <w:rsid w:val="008E22D5"/>
    <w:rsid w:val="008E22E8"/>
    <w:rsid w:val="008E23FB"/>
    <w:rsid w:val="008E24CB"/>
    <w:rsid w:val="008E26FF"/>
    <w:rsid w:val="008E270B"/>
    <w:rsid w:val="008E27F5"/>
    <w:rsid w:val="008E2910"/>
    <w:rsid w:val="008E2927"/>
    <w:rsid w:val="008E29C2"/>
    <w:rsid w:val="008E29CA"/>
    <w:rsid w:val="008E2A24"/>
    <w:rsid w:val="008E2A5B"/>
    <w:rsid w:val="008E2B07"/>
    <w:rsid w:val="008E2BA3"/>
    <w:rsid w:val="008E2BE6"/>
    <w:rsid w:val="008E2DD1"/>
    <w:rsid w:val="008E2EB6"/>
    <w:rsid w:val="008E2F03"/>
    <w:rsid w:val="008E2F4A"/>
    <w:rsid w:val="008E2F5D"/>
    <w:rsid w:val="008E2FAD"/>
    <w:rsid w:val="008E308C"/>
    <w:rsid w:val="008E3105"/>
    <w:rsid w:val="008E3133"/>
    <w:rsid w:val="008E321B"/>
    <w:rsid w:val="008E3264"/>
    <w:rsid w:val="008E334F"/>
    <w:rsid w:val="008E339C"/>
    <w:rsid w:val="008E3463"/>
    <w:rsid w:val="008E3760"/>
    <w:rsid w:val="008E3779"/>
    <w:rsid w:val="008E3824"/>
    <w:rsid w:val="008E38DF"/>
    <w:rsid w:val="008E392F"/>
    <w:rsid w:val="008E39D9"/>
    <w:rsid w:val="008E3A49"/>
    <w:rsid w:val="008E3BDD"/>
    <w:rsid w:val="008E3E4A"/>
    <w:rsid w:val="008E3E84"/>
    <w:rsid w:val="008E3F70"/>
    <w:rsid w:val="008E40E9"/>
    <w:rsid w:val="008E4136"/>
    <w:rsid w:val="008E4643"/>
    <w:rsid w:val="008E4749"/>
    <w:rsid w:val="008E47B1"/>
    <w:rsid w:val="008E47CB"/>
    <w:rsid w:val="008E4879"/>
    <w:rsid w:val="008E4906"/>
    <w:rsid w:val="008E4A82"/>
    <w:rsid w:val="008E4A84"/>
    <w:rsid w:val="008E4BD9"/>
    <w:rsid w:val="008E4BF5"/>
    <w:rsid w:val="008E4C97"/>
    <w:rsid w:val="008E4CB1"/>
    <w:rsid w:val="008E4CBD"/>
    <w:rsid w:val="008E51A0"/>
    <w:rsid w:val="008E5612"/>
    <w:rsid w:val="008E57FB"/>
    <w:rsid w:val="008E5821"/>
    <w:rsid w:val="008E59EB"/>
    <w:rsid w:val="008E5AA4"/>
    <w:rsid w:val="008E5C91"/>
    <w:rsid w:val="008E5CE5"/>
    <w:rsid w:val="008E5D3D"/>
    <w:rsid w:val="008E5FAB"/>
    <w:rsid w:val="008E6013"/>
    <w:rsid w:val="008E605F"/>
    <w:rsid w:val="008E61CF"/>
    <w:rsid w:val="008E620C"/>
    <w:rsid w:val="008E6250"/>
    <w:rsid w:val="008E628E"/>
    <w:rsid w:val="008E63F2"/>
    <w:rsid w:val="008E663F"/>
    <w:rsid w:val="008E67C9"/>
    <w:rsid w:val="008E6917"/>
    <w:rsid w:val="008E6C99"/>
    <w:rsid w:val="008E6D14"/>
    <w:rsid w:val="008E6E0D"/>
    <w:rsid w:val="008E6E10"/>
    <w:rsid w:val="008E6E2E"/>
    <w:rsid w:val="008E711A"/>
    <w:rsid w:val="008E7263"/>
    <w:rsid w:val="008E72C7"/>
    <w:rsid w:val="008E72FE"/>
    <w:rsid w:val="008E73C6"/>
    <w:rsid w:val="008E73F7"/>
    <w:rsid w:val="008E7430"/>
    <w:rsid w:val="008E74E7"/>
    <w:rsid w:val="008E75C6"/>
    <w:rsid w:val="008E7674"/>
    <w:rsid w:val="008E76B3"/>
    <w:rsid w:val="008E77AB"/>
    <w:rsid w:val="008E7838"/>
    <w:rsid w:val="008E7914"/>
    <w:rsid w:val="008E7A7D"/>
    <w:rsid w:val="008E7A97"/>
    <w:rsid w:val="008E7ACE"/>
    <w:rsid w:val="008E7C17"/>
    <w:rsid w:val="008E7D53"/>
    <w:rsid w:val="008E7DFF"/>
    <w:rsid w:val="008E7EAE"/>
    <w:rsid w:val="008E7F5F"/>
    <w:rsid w:val="008F0041"/>
    <w:rsid w:val="008F0180"/>
    <w:rsid w:val="008F0185"/>
    <w:rsid w:val="008F03AB"/>
    <w:rsid w:val="008F0740"/>
    <w:rsid w:val="008F087C"/>
    <w:rsid w:val="008F0C64"/>
    <w:rsid w:val="008F0CF7"/>
    <w:rsid w:val="008F0D97"/>
    <w:rsid w:val="008F0DCB"/>
    <w:rsid w:val="008F0EA4"/>
    <w:rsid w:val="008F0F2C"/>
    <w:rsid w:val="008F1051"/>
    <w:rsid w:val="008F108F"/>
    <w:rsid w:val="008F1558"/>
    <w:rsid w:val="008F170D"/>
    <w:rsid w:val="008F1916"/>
    <w:rsid w:val="008F19DC"/>
    <w:rsid w:val="008F1AFF"/>
    <w:rsid w:val="008F1B9C"/>
    <w:rsid w:val="008F1E0C"/>
    <w:rsid w:val="008F1E59"/>
    <w:rsid w:val="008F1F8B"/>
    <w:rsid w:val="008F2018"/>
    <w:rsid w:val="008F205E"/>
    <w:rsid w:val="008F2142"/>
    <w:rsid w:val="008F2144"/>
    <w:rsid w:val="008F218F"/>
    <w:rsid w:val="008F2558"/>
    <w:rsid w:val="008F2562"/>
    <w:rsid w:val="008F2705"/>
    <w:rsid w:val="008F27E0"/>
    <w:rsid w:val="008F29E2"/>
    <w:rsid w:val="008F29FC"/>
    <w:rsid w:val="008F2B13"/>
    <w:rsid w:val="008F2BC4"/>
    <w:rsid w:val="008F2CD1"/>
    <w:rsid w:val="008F2DE5"/>
    <w:rsid w:val="008F2E2F"/>
    <w:rsid w:val="008F2F9E"/>
    <w:rsid w:val="008F2FD1"/>
    <w:rsid w:val="008F2FFE"/>
    <w:rsid w:val="008F316E"/>
    <w:rsid w:val="008F3198"/>
    <w:rsid w:val="008F31E5"/>
    <w:rsid w:val="008F3303"/>
    <w:rsid w:val="008F332A"/>
    <w:rsid w:val="008F337B"/>
    <w:rsid w:val="008F345C"/>
    <w:rsid w:val="008F34AF"/>
    <w:rsid w:val="008F34D9"/>
    <w:rsid w:val="008F356A"/>
    <w:rsid w:val="008F3590"/>
    <w:rsid w:val="008F3729"/>
    <w:rsid w:val="008F37BF"/>
    <w:rsid w:val="008F3B38"/>
    <w:rsid w:val="008F3CA9"/>
    <w:rsid w:val="008F3F91"/>
    <w:rsid w:val="008F4039"/>
    <w:rsid w:val="008F406A"/>
    <w:rsid w:val="008F40BF"/>
    <w:rsid w:val="008F416F"/>
    <w:rsid w:val="008F42B0"/>
    <w:rsid w:val="008F465D"/>
    <w:rsid w:val="008F4839"/>
    <w:rsid w:val="008F494B"/>
    <w:rsid w:val="008F496B"/>
    <w:rsid w:val="008F4AEC"/>
    <w:rsid w:val="008F4B14"/>
    <w:rsid w:val="008F4BDA"/>
    <w:rsid w:val="008F4C58"/>
    <w:rsid w:val="008F4C94"/>
    <w:rsid w:val="008F4CE1"/>
    <w:rsid w:val="008F4D56"/>
    <w:rsid w:val="008F4EED"/>
    <w:rsid w:val="008F5068"/>
    <w:rsid w:val="008F5092"/>
    <w:rsid w:val="008F517F"/>
    <w:rsid w:val="008F51C1"/>
    <w:rsid w:val="008F51C3"/>
    <w:rsid w:val="008F52AE"/>
    <w:rsid w:val="008F553A"/>
    <w:rsid w:val="008F55CE"/>
    <w:rsid w:val="008F56AC"/>
    <w:rsid w:val="008F5743"/>
    <w:rsid w:val="008F5754"/>
    <w:rsid w:val="008F57C8"/>
    <w:rsid w:val="008F58EC"/>
    <w:rsid w:val="008F5909"/>
    <w:rsid w:val="008F591B"/>
    <w:rsid w:val="008F5C4D"/>
    <w:rsid w:val="008F5C93"/>
    <w:rsid w:val="008F5D5B"/>
    <w:rsid w:val="008F5DDD"/>
    <w:rsid w:val="008F5E33"/>
    <w:rsid w:val="008F5E95"/>
    <w:rsid w:val="008F6057"/>
    <w:rsid w:val="008F60AD"/>
    <w:rsid w:val="008F6103"/>
    <w:rsid w:val="008F6183"/>
    <w:rsid w:val="008F62BD"/>
    <w:rsid w:val="008F63E5"/>
    <w:rsid w:val="008F649C"/>
    <w:rsid w:val="008F663C"/>
    <w:rsid w:val="008F6777"/>
    <w:rsid w:val="008F6783"/>
    <w:rsid w:val="008F691C"/>
    <w:rsid w:val="008F69E1"/>
    <w:rsid w:val="008F6ACE"/>
    <w:rsid w:val="008F6B91"/>
    <w:rsid w:val="008F6BA1"/>
    <w:rsid w:val="008F6DE7"/>
    <w:rsid w:val="008F6E50"/>
    <w:rsid w:val="008F6F89"/>
    <w:rsid w:val="008F70CC"/>
    <w:rsid w:val="008F7124"/>
    <w:rsid w:val="008F71F3"/>
    <w:rsid w:val="008F73AA"/>
    <w:rsid w:val="008F73C9"/>
    <w:rsid w:val="008F75C1"/>
    <w:rsid w:val="008F766E"/>
    <w:rsid w:val="008F76BA"/>
    <w:rsid w:val="008F77A8"/>
    <w:rsid w:val="008F7A6B"/>
    <w:rsid w:val="008F7B70"/>
    <w:rsid w:val="008F7BD6"/>
    <w:rsid w:val="008F7CC7"/>
    <w:rsid w:val="008F7CC8"/>
    <w:rsid w:val="008F7D46"/>
    <w:rsid w:val="008F7DBA"/>
    <w:rsid w:val="008F7E8C"/>
    <w:rsid w:val="008F7E94"/>
    <w:rsid w:val="008F7EF4"/>
    <w:rsid w:val="008F7F0A"/>
    <w:rsid w:val="00900116"/>
    <w:rsid w:val="009001AC"/>
    <w:rsid w:val="009001D1"/>
    <w:rsid w:val="00900272"/>
    <w:rsid w:val="00900471"/>
    <w:rsid w:val="009004D5"/>
    <w:rsid w:val="009005D6"/>
    <w:rsid w:val="009005E7"/>
    <w:rsid w:val="009006C8"/>
    <w:rsid w:val="00900790"/>
    <w:rsid w:val="00900944"/>
    <w:rsid w:val="009009C4"/>
    <w:rsid w:val="009009FB"/>
    <w:rsid w:val="00900A13"/>
    <w:rsid w:val="00900AF6"/>
    <w:rsid w:val="00900BB8"/>
    <w:rsid w:val="00900BF4"/>
    <w:rsid w:val="00900D7D"/>
    <w:rsid w:val="00900E33"/>
    <w:rsid w:val="00900E3F"/>
    <w:rsid w:val="00900EE5"/>
    <w:rsid w:val="00900F69"/>
    <w:rsid w:val="00900FCD"/>
    <w:rsid w:val="00901058"/>
    <w:rsid w:val="00901090"/>
    <w:rsid w:val="0090122F"/>
    <w:rsid w:val="00901243"/>
    <w:rsid w:val="00901284"/>
    <w:rsid w:val="009012A0"/>
    <w:rsid w:val="0090147E"/>
    <w:rsid w:val="0090165A"/>
    <w:rsid w:val="009016DD"/>
    <w:rsid w:val="00901783"/>
    <w:rsid w:val="00901851"/>
    <w:rsid w:val="00901867"/>
    <w:rsid w:val="00901AC6"/>
    <w:rsid w:val="00901B4D"/>
    <w:rsid w:val="00901B72"/>
    <w:rsid w:val="00901C83"/>
    <w:rsid w:val="00901FB4"/>
    <w:rsid w:val="00901FD2"/>
    <w:rsid w:val="009020A3"/>
    <w:rsid w:val="009020E2"/>
    <w:rsid w:val="00902196"/>
    <w:rsid w:val="009021E5"/>
    <w:rsid w:val="0090221A"/>
    <w:rsid w:val="0090224D"/>
    <w:rsid w:val="00902321"/>
    <w:rsid w:val="0090241E"/>
    <w:rsid w:val="009024A5"/>
    <w:rsid w:val="0090256E"/>
    <w:rsid w:val="00902663"/>
    <w:rsid w:val="00902680"/>
    <w:rsid w:val="009026E3"/>
    <w:rsid w:val="0090276F"/>
    <w:rsid w:val="00902795"/>
    <w:rsid w:val="009027DA"/>
    <w:rsid w:val="009029F4"/>
    <w:rsid w:val="00902A9E"/>
    <w:rsid w:val="00902AD9"/>
    <w:rsid w:val="00902C2C"/>
    <w:rsid w:val="00902C47"/>
    <w:rsid w:val="00902D2B"/>
    <w:rsid w:val="00902D50"/>
    <w:rsid w:val="00902DF0"/>
    <w:rsid w:val="00902E99"/>
    <w:rsid w:val="0090304E"/>
    <w:rsid w:val="00903139"/>
    <w:rsid w:val="0090319B"/>
    <w:rsid w:val="009031BC"/>
    <w:rsid w:val="0090336C"/>
    <w:rsid w:val="00903400"/>
    <w:rsid w:val="009034C0"/>
    <w:rsid w:val="00903596"/>
    <w:rsid w:val="00903614"/>
    <w:rsid w:val="009036F5"/>
    <w:rsid w:val="00903821"/>
    <w:rsid w:val="00903923"/>
    <w:rsid w:val="00903965"/>
    <w:rsid w:val="00903A42"/>
    <w:rsid w:val="00903B1A"/>
    <w:rsid w:val="00903B42"/>
    <w:rsid w:val="00903B53"/>
    <w:rsid w:val="00903C06"/>
    <w:rsid w:val="00903CA8"/>
    <w:rsid w:val="00903E94"/>
    <w:rsid w:val="00904003"/>
    <w:rsid w:val="009040E8"/>
    <w:rsid w:val="00904130"/>
    <w:rsid w:val="0090414D"/>
    <w:rsid w:val="0090417A"/>
    <w:rsid w:val="009041E8"/>
    <w:rsid w:val="0090433A"/>
    <w:rsid w:val="0090448A"/>
    <w:rsid w:val="009044E4"/>
    <w:rsid w:val="00904507"/>
    <w:rsid w:val="0090452E"/>
    <w:rsid w:val="0090483C"/>
    <w:rsid w:val="009048A1"/>
    <w:rsid w:val="0090490D"/>
    <w:rsid w:val="00904A40"/>
    <w:rsid w:val="00904A77"/>
    <w:rsid w:val="00904AF3"/>
    <w:rsid w:val="00904B64"/>
    <w:rsid w:val="00904DF1"/>
    <w:rsid w:val="00904F69"/>
    <w:rsid w:val="0090500B"/>
    <w:rsid w:val="0090516A"/>
    <w:rsid w:val="009051AA"/>
    <w:rsid w:val="00905256"/>
    <w:rsid w:val="0090526E"/>
    <w:rsid w:val="00905362"/>
    <w:rsid w:val="009053FA"/>
    <w:rsid w:val="00905594"/>
    <w:rsid w:val="00905674"/>
    <w:rsid w:val="00905680"/>
    <w:rsid w:val="00905733"/>
    <w:rsid w:val="0090583D"/>
    <w:rsid w:val="00905C06"/>
    <w:rsid w:val="00905CA7"/>
    <w:rsid w:val="00905D0B"/>
    <w:rsid w:val="00906237"/>
    <w:rsid w:val="00906253"/>
    <w:rsid w:val="00906256"/>
    <w:rsid w:val="0090629F"/>
    <w:rsid w:val="009062C9"/>
    <w:rsid w:val="009062EC"/>
    <w:rsid w:val="00906654"/>
    <w:rsid w:val="00906671"/>
    <w:rsid w:val="00906704"/>
    <w:rsid w:val="009068CA"/>
    <w:rsid w:val="00906949"/>
    <w:rsid w:val="00906B25"/>
    <w:rsid w:val="00906C8B"/>
    <w:rsid w:val="00906C92"/>
    <w:rsid w:val="00906CD4"/>
    <w:rsid w:val="00906D19"/>
    <w:rsid w:val="00906D5C"/>
    <w:rsid w:val="00906DAC"/>
    <w:rsid w:val="00906DC4"/>
    <w:rsid w:val="00906FEB"/>
    <w:rsid w:val="0090711C"/>
    <w:rsid w:val="0090725C"/>
    <w:rsid w:val="00907387"/>
    <w:rsid w:val="009073F0"/>
    <w:rsid w:val="00907481"/>
    <w:rsid w:val="00907526"/>
    <w:rsid w:val="009075B4"/>
    <w:rsid w:val="009076FE"/>
    <w:rsid w:val="00907718"/>
    <w:rsid w:val="009077A2"/>
    <w:rsid w:val="00907808"/>
    <w:rsid w:val="009078A8"/>
    <w:rsid w:val="00907936"/>
    <w:rsid w:val="00907941"/>
    <w:rsid w:val="00907986"/>
    <w:rsid w:val="00907A1A"/>
    <w:rsid w:val="00907AED"/>
    <w:rsid w:val="00907BAB"/>
    <w:rsid w:val="00907D5A"/>
    <w:rsid w:val="00907E20"/>
    <w:rsid w:val="00907F1F"/>
    <w:rsid w:val="00907F3F"/>
    <w:rsid w:val="00907F8A"/>
    <w:rsid w:val="00907FE8"/>
    <w:rsid w:val="0091017A"/>
    <w:rsid w:val="009101BA"/>
    <w:rsid w:val="009101EE"/>
    <w:rsid w:val="00910243"/>
    <w:rsid w:val="009102BE"/>
    <w:rsid w:val="009102F9"/>
    <w:rsid w:val="0091032F"/>
    <w:rsid w:val="00910333"/>
    <w:rsid w:val="00910455"/>
    <w:rsid w:val="00910485"/>
    <w:rsid w:val="00910510"/>
    <w:rsid w:val="009107B8"/>
    <w:rsid w:val="00910878"/>
    <w:rsid w:val="00910AF1"/>
    <w:rsid w:val="00910B79"/>
    <w:rsid w:val="00910D07"/>
    <w:rsid w:val="00910DA1"/>
    <w:rsid w:val="00910DD0"/>
    <w:rsid w:val="00910FE5"/>
    <w:rsid w:val="00911017"/>
    <w:rsid w:val="00911050"/>
    <w:rsid w:val="009110C2"/>
    <w:rsid w:val="0091117C"/>
    <w:rsid w:val="009111C7"/>
    <w:rsid w:val="009112DA"/>
    <w:rsid w:val="00911355"/>
    <w:rsid w:val="009113F1"/>
    <w:rsid w:val="0091147A"/>
    <w:rsid w:val="00911487"/>
    <w:rsid w:val="009116F9"/>
    <w:rsid w:val="0091176E"/>
    <w:rsid w:val="00911789"/>
    <w:rsid w:val="0091178C"/>
    <w:rsid w:val="00911B5F"/>
    <w:rsid w:val="00911CED"/>
    <w:rsid w:val="00911E3C"/>
    <w:rsid w:val="00911EA6"/>
    <w:rsid w:val="00911F6A"/>
    <w:rsid w:val="00911FA6"/>
    <w:rsid w:val="0091200B"/>
    <w:rsid w:val="00912077"/>
    <w:rsid w:val="0091207F"/>
    <w:rsid w:val="00912254"/>
    <w:rsid w:val="00912311"/>
    <w:rsid w:val="0091231B"/>
    <w:rsid w:val="0091251F"/>
    <w:rsid w:val="009125B0"/>
    <w:rsid w:val="009126A4"/>
    <w:rsid w:val="009126B0"/>
    <w:rsid w:val="00912711"/>
    <w:rsid w:val="009127D0"/>
    <w:rsid w:val="00912807"/>
    <w:rsid w:val="00912876"/>
    <w:rsid w:val="00912881"/>
    <w:rsid w:val="00912976"/>
    <w:rsid w:val="00912F0D"/>
    <w:rsid w:val="009130B7"/>
    <w:rsid w:val="00913132"/>
    <w:rsid w:val="0091318E"/>
    <w:rsid w:val="00913196"/>
    <w:rsid w:val="009131A1"/>
    <w:rsid w:val="0091323D"/>
    <w:rsid w:val="009132E6"/>
    <w:rsid w:val="00913669"/>
    <w:rsid w:val="00913871"/>
    <w:rsid w:val="00913915"/>
    <w:rsid w:val="0091397A"/>
    <w:rsid w:val="00913AD7"/>
    <w:rsid w:val="00913B3F"/>
    <w:rsid w:val="00913CE1"/>
    <w:rsid w:val="00913D7B"/>
    <w:rsid w:val="00913EFA"/>
    <w:rsid w:val="0091436D"/>
    <w:rsid w:val="0091447B"/>
    <w:rsid w:val="00914489"/>
    <w:rsid w:val="0091456A"/>
    <w:rsid w:val="0091459E"/>
    <w:rsid w:val="00914689"/>
    <w:rsid w:val="009147D5"/>
    <w:rsid w:val="00914912"/>
    <w:rsid w:val="009149D0"/>
    <w:rsid w:val="00914AD8"/>
    <w:rsid w:val="00914BA0"/>
    <w:rsid w:val="00914D88"/>
    <w:rsid w:val="00914DF0"/>
    <w:rsid w:val="00914F8B"/>
    <w:rsid w:val="00914FCA"/>
    <w:rsid w:val="0091507C"/>
    <w:rsid w:val="00915097"/>
    <w:rsid w:val="009150DF"/>
    <w:rsid w:val="00915221"/>
    <w:rsid w:val="009152A6"/>
    <w:rsid w:val="009152B3"/>
    <w:rsid w:val="009152E2"/>
    <w:rsid w:val="00915364"/>
    <w:rsid w:val="009154E4"/>
    <w:rsid w:val="0091556C"/>
    <w:rsid w:val="009155C7"/>
    <w:rsid w:val="00915626"/>
    <w:rsid w:val="0091570A"/>
    <w:rsid w:val="00915722"/>
    <w:rsid w:val="00915793"/>
    <w:rsid w:val="009157BD"/>
    <w:rsid w:val="00915851"/>
    <w:rsid w:val="00915877"/>
    <w:rsid w:val="00915912"/>
    <w:rsid w:val="00915A27"/>
    <w:rsid w:val="00915C1F"/>
    <w:rsid w:val="00915C68"/>
    <w:rsid w:val="00915C81"/>
    <w:rsid w:val="009160E1"/>
    <w:rsid w:val="009164DB"/>
    <w:rsid w:val="00916684"/>
    <w:rsid w:val="00916802"/>
    <w:rsid w:val="0091693E"/>
    <w:rsid w:val="009169F1"/>
    <w:rsid w:val="00916C3B"/>
    <w:rsid w:val="00916CF3"/>
    <w:rsid w:val="00916D04"/>
    <w:rsid w:val="00916D28"/>
    <w:rsid w:val="00916D53"/>
    <w:rsid w:val="00916DB4"/>
    <w:rsid w:val="00916DF9"/>
    <w:rsid w:val="00916EC2"/>
    <w:rsid w:val="00916F43"/>
    <w:rsid w:val="00916FC2"/>
    <w:rsid w:val="009170B9"/>
    <w:rsid w:val="009171B0"/>
    <w:rsid w:val="00917352"/>
    <w:rsid w:val="0091736E"/>
    <w:rsid w:val="009173F4"/>
    <w:rsid w:val="009174F2"/>
    <w:rsid w:val="0091755A"/>
    <w:rsid w:val="00917679"/>
    <w:rsid w:val="009176DC"/>
    <w:rsid w:val="00917835"/>
    <w:rsid w:val="009178A0"/>
    <w:rsid w:val="0091790C"/>
    <w:rsid w:val="0091792D"/>
    <w:rsid w:val="00917AD6"/>
    <w:rsid w:val="00917AF1"/>
    <w:rsid w:val="00917D48"/>
    <w:rsid w:val="00917DDC"/>
    <w:rsid w:val="00917DE2"/>
    <w:rsid w:val="00917E65"/>
    <w:rsid w:val="00917E90"/>
    <w:rsid w:val="0092008E"/>
    <w:rsid w:val="00920216"/>
    <w:rsid w:val="00920219"/>
    <w:rsid w:val="00920299"/>
    <w:rsid w:val="00920362"/>
    <w:rsid w:val="00920408"/>
    <w:rsid w:val="00920432"/>
    <w:rsid w:val="009204A1"/>
    <w:rsid w:val="00920577"/>
    <w:rsid w:val="009207E3"/>
    <w:rsid w:val="009207E5"/>
    <w:rsid w:val="00920845"/>
    <w:rsid w:val="00920942"/>
    <w:rsid w:val="00920B29"/>
    <w:rsid w:val="00920C88"/>
    <w:rsid w:val="00920CB4"/>
    <w:rsid w:val="00920CBE"/>
    <w:rsid w:val="00920D18"/>
    <w:rsid w:val="00920E3D"/>
    <w:rsid w:val="00920ECF"/>
    <w:rsid w:val="00920F54"/>
    <w:rsid w:val="0092104A"/>
    <w:rsid w:val="009210E1"/>
    <w:rsid w:val="009210E3"/>
    <w:rsid w:val="00921120"/>
    <w:rsid w:val="0092119A"/>
    <w:rsid w:val="00921264"/>
    <w:rsid w:val="009212E5"/>
    <w:rsid w:val="00921349"/>
    <w:rsid w:val="00921402"/>
    <w:rsid w:val="009214EB"/>
    <w:rsid w:val="00921697"/>
    <w:rsid w:val="009219C9"/>
    <w:rsid w:val="009219DE"/>
    <w:rsid w:val="00921AD2"/>
    <w:rsid w:val="00921AE6"/>
    <w:rsid w:val="00921BF9"/>
    <w:rsid w:val="00921C47"/>
    <w:rsid w:val="00921CB2"/>
    <w:rsid w:val="00921D87"/>
    <w:rsid w:val="00921E36"/>
    <w:rsid w:val="00921F48"/>
    <w:rsid w:val="00921F5F"/>
    <w:rsid w:val="00921FD2"/>
    <w:rsid w:val="00922162"/>
    <w:rsid w:val="00922220"/>
    <w:rsid w:val="0092233F"/>
    <w:rsid w:val="00922454"/>
    <w:rsid w:val="00922470"/>
    <w:rsid w:val="00922610"/>
    <w:rsid w:val="009226D1"/>
    <w:rsid w:val="009227A8"/>
    <w:rsid w:val="00922AC4"/>
    <w:rsid w:val="00922B8A"/>
    <w:rsid w:val="00922BE4"/>
    <w:rsid w:val="00922D51"/>
    <w:rsid w:val="00922E25"/>
    <w:rsid w:val="00922EA2"/>
    <w:rsid w:val="0092313D"/>
    <w:rsid w:val="0092326C"/>
    <w:rsid w:val="009232FA"/>
    <w:rsid w:val="0092344E"/>
    <w:rsid w:val="009234F2"/>
    <w:rsid w:val="0092365F"/>
    <w:rsid w:val="009237FB"/>
    <w:rsid w:val="00923856"/>
    <w:rsid w:val="00923858"/>
    <w:rsid w:val="00923A2B"/>
    <w:rsid w:val="00923A6F"/>
    <w:rsid w:val="00923AF8"/>
    <w:rsid w:val="00923B4C"/>
    <w:rsid w:val="00923C30"/>
    <w:rsid w:val="00923D58"/>
    <w:rsid w:val="00923DFC"/>
    <w:rsid w:val="00923E9D"/>
    <w:rsid w:val="00924054"/>
    <w:rsid w:val="009240F4"/>
    <w:rsid w:val="00924153"/>
    <w:rsid w:val="0092427C"/>
    <w:rsid w:val="009243F5"/>
    <w:rsid w:val="0092453B"/>
    <w:rsid w:val="00924730"/>
    <w:rsid w:val="009247F0"/>
    <w:rsid w:val="00924859"/>
    <w:rsid w:val="00924AAC"/>
    <w:rsid w:val="00924BBB"/>
    <w:rsid w:val="00924BD0"/>
    <w:rsid w:val="00924BD7"/>
    <w:rsid w:val="00924D89"/>
    <w:rsid w:val="00924F17"/>
    <w:rsid w:val="00924F7D"/>
    <w:rsid w:val="00925022"/>
    <w:rsid w:val="0092504B"/>
    <w:rsid w:val="0092508F"/>
    <w:rsid w:val="009250B6"/>
    <w:rsid w:val="0092511C"/>
    <w:rsid w:val="0092515C"/>
    <w:rsid w:val="0092518A"/>
    <w:rsid w:val="009251BC"/>
    <w:rsid w:val="00925361"/>
    <w:rsid w:val="009253D7"/>
    <w:rsid w:val="009253E5"/>
    <w:rsid w:val="0092544B"/>
    <w:rsid w:val="00925570"/>
    <w:rsid w:val="009256F0"/>
    <w:rsid w:val="0092579C"/>
    <w:rsid w:val="00925813"/>
    <w:rsid w:val="009259FE"/>
    <w:rsid w:val="00925CC2"/>
    <w:rsid w:val="00925D53"/>
    <w:rsid w:val="00925D5E"/>
    <w:rsid w:val="00925D6B"/>
    <w:rsid w:val="00925E25"/>
    <w:rsid w:val="00925E84"/>
    <w:rsid w:val="00925FC3"/>
    <w:rsid w:val="00926012"/>
    <w:rsid w:val="009261DB"/>
    <w:rsid w:val="009261F7"/>
    <w:rsid w:val="00926236"/>
    <w:rsid w:val="009263FA"/>
    <w:rsid w:val="00926455"/>
    <w:rsid w:val="009265C4"/>
    <w:rsid w:val="009265C6"/>
    <w:rsid w:val="009265EF"/>
    <w:rsid w:val="0092662E"/>
    <w:rsid w:val="0092680A"/>
    <w:rsid w:val="00926874"/>
    <w:rsid w:val="009269F8"/>
    <w:rsid w:val="00926A1A"/>
    <w:rsid w:val="00926A28"/>
    <w:rsid w:val="00926A61"/>
    <w:rsid w:val="00926BF9"/>
    <w:rsid w:val="00926CBB"/>
    <w:rsid w:val="00926D75"/>
    <w:rsid w:val="00927158"/>
    <w:rsid w:val="009271CC"/>
    <w:rsid w:val="009272AC"/>
    <w:rsid w:val="0092736E"/>
    <w:rsid w:val="00927619"/>
    <w:rsid w:val="00927671"/>
    <w:rsid w:val="0092768B"/>
    <w:rsid w:val="009276A1"/>
    <w:rsid w:val="00927767"/>
    <w:rsid w:val="009278F5"/>
    <w:rsid w:val="0092791E"/>
    <w:rsid w:val="00927B11"/>
    <w:rsid w:val="00927B3D"/>
    <w:rsid w:val="00927BDF"/>
    <w:rsid w:val="00927CA1"/>
    <w:rsid w:val="00927CD5"/>
    <w:rsid w:val="00927D44"/>
    <w:rsid w:val="00927D7E"/>
    <w:rsid w:val="00927E42"/>
    <w:rsid w:val="00927EE8"/>
    <w:rsid w:val="00927F51"/>
    <w:rsid w:val="009300FE"/>
    <w:rsid w:val="009301A3"/>
    <w:rsid w:val="009302A3"/>
    <w:rsid w:val="009305A1"/>
    <w:rsid w:val="00930686"/>
    <w:rsid w:val="009306F4"/>
    <w:rsid w:val="009308B9"/>
    <w:rsid w:val="00930A05"/>
    <w:rsid w:val="00930A09"/>
    <w:rsid w:val="00930B09"/>
    <w:rsid w:val="00930C00"/>
    <w:rsid w:val="00930CD9"/>
    <w:rsid w:val="00930D7E"/>
    <w:rsid w:val="00930DCF"/>
    <w:rsid w:val="00930E2E"/>
    <w:rsid w:val="00931032"/>
    <w:rsid w:val="0093117D"/>
    <w:rsid w:val="00931284"/>
    <w:rsid w:val="009313A5"/>
    <w:rsid w:val="009313E1"/>
    <w:rsid w:val="00931499"/>
    <w:rsid w:val="00931520"/>
    <w:rsid w:val="00931650"/>
    <w:rsid w:val="009316B0"/>
    <w:rsid w:val="009316F2"/>
    <w:rsid w:val="00931785"/>
    <w:rsid w:val="009317B2"/>
    <w:rsid w:val="009317BC"/>
    <w:rsid w:val="009317CD"/>
    <w:rsid w:val="009319DC"/>
    <w:rsid w:val="00931A15"/>
    <w:rsid w:val="00931AF3"/>
    <w:rsid w:val="00931B55"/>
    <w:rsid w:val="00931C78"/>
    <w:rsid w:val="00931C7D"/>
    <w:rsid w:val="00931CB8"/>
    <w:rsid w:val="00931D0D"/>
    <w:rsid w:val="00931F38"/>
    <w:rsid w:val="0093201A"/>
    <w:rsid w:val="009320E6"/>
    <w:rsid w:val="00932111"/>
    <w:rsid w:val="0093219C"/>
    <w:rsid w:val="0093225F"/>
    <w:rsid w:val="00932394"/>
    <w:rsid w:val="009324AE"/>
    <w:rsid w:val="009324FD"/>
    <w:rsid w:val="009326A8"/>
    <w:rsid w:val="00932786"/>
    <w:rsid w:val="00932A85"/>
    <w:rsid w:val="00932A88"/>
    <w:rsid w:val="00932B07"/>
    <w:rsid w:val="00932BCA"/>
    <w:rsid w:val="00932D11"/>
    <w:rsid w:val="00932E01"/>
    <w:rsid w:val="00932E26"/>
    <w:rsid w:val="00932F57"/>
    <w:rsid w:val="0093301F"/>
    <w:rsid w:val="00933097"/>
    <w:rsid w:val="0093333C"/>
    <w:rsid w:val="0093337D"/>
    <w:rsid w:val="00933481"/>
    <w:rsid w:val="0093368C"/>
    <w:rsid w:val="0093372E"/>
    <w:rsid w:val="00933795"/>
    <w:rsid w:val="009339A9"/>
    <w:rsid w:val="00933A15"/>
    <w:rsid w:val="00933BE6"/>
    <w:rsid w:val="00933C10"/>
    <w:rsid w:val="00933E8D"/>
    <w:rsid w:val="00933F3F"/>
    <w:rsid w:val="00933F76"/>
    <w:rsid w:val="00934112"/>
    <w:rsid w:val="00934273"/>
    <w:rsid w:val="009342B6"/>
    <w:rsid w:val="00934530"/>
    <w:rsid w:val="0093468F"/>
    <w:rsid w:val="009346F6"/>
    <w:rsid w:val="0093473F"/>
    <w:rsid w:val="00934808"/>
    <w:rsid w:val="0093480F"/>
    <w:rsid w:val="009349D0"/>
    <w:rsid w:val="009349F1"/>
    <w:rsid w:val="00934A57"/>
    <w:rsid w:val="00934A97"/>
    <w:rsid w:val="00934AE8"/>
    <w:rsid w:val="00934C1E"/>
    <w:rsid w:val="00934C23"/>
    <w:rsid w:val="00934D57"/>
    <w:rsid w:val="00934E1C"/>
    <w:rsid w:val="00935059"/>
    <w:rsid w:val="009350AB"/>
    <w:rsid w:val="009350EC"/>
    <w:rsid w:val="0093533A"/>
    <w:rsid w:val="0093537F"/>
    <w:rsid w:val="00935488"/>
    <w:rsid w:val="00935576"/>
    <w:rsid w:val="0093591A"/>
    <w:rsid w:val="0093593A"/>
    <w:rsid w:val="0093593F"/>
    <w:rsid w:val="00935963"/>
    <w:rsid w:val="009359E0"/>
    <w:rsid w:val="00935A99"/>
    <w:rsid w:val="00935B20"/>
    <w:rsid w:val="00935B28"/>
    <w:rsid w:val="00935B8E"/>
    <w:rsid w:val="00935E39"/>
    <w:rsid w:val="00935E49"/>
    <w:rsid w:val="00935F6D"/>
    <w:rsid w:val="00936031"/>
    <w:rsid w:val="00936061"/>
    <w:rsid w:val="0093607B"/>
    <w:rsid w:val="0093608C"/>
    <w:rsid w:val="00936238"/>
    <w:rsid w:val="0093626A"/>
    <w:rsid w:val="009362AE"/>
    <w:rsid w:val="00936476"/>
    <w:rsid w:val="009364AF"/>
    <w:rsid w:val="009366BE"/>
    <w:rsid w:val="00936751"/>
    <w:rsid w:val="00936794"/>
    <w:rsid w:val="009367ED"/>
    <w:rsid w:val="00936832"/>
    <w:rsid w:val="00936861"/>
    <w:rsid w:val="009369CD"/>
    <w:rsid w:val="009369F0"/>
    <w:rsid w:val="00936A00"/>
    <w:rsid w:val="00936A8B"/>
    <w:rsid w:val="00936AB6"/>
    <w:rsid w:val="00936AD2"/>
    <w:rsid w:val="00936B82"/>
    <w:rsid w:val="00936CBF"/>
    <w:rsid w:val="00936D2C"/>
    <w:rsid w:val="00936D7C"/>
    <w:rsid w:val="00936D89"/>
    <w:rsid w:val="00936DD5"/>
    <w:rsid w:val="00936FCF"/>
    <w:rsid w:val="00937087"/>
    <w:rsid w:val="00937161"/>
    <w:rsid w:val="00937226"/>
    <w:rsid w:val="00937229"/>
    <w:rsid w:val="0093729F"/>
    <w:rsid w:val="009372DA"/>
    <w:rsid w:val="009373BF"/>
    <w:rsid w:val="00937476"/>
    <w:rsid w:val="009374B6"/>
    <w:rsid w:val="00937696"/>
    <w:rsid w:val="009376A8"/>
    <w:rsid w:val="00937704"/>
    <w:rsid w:val="0093775B"/>
    <w:rsid w:val="009377F6"/>
    <w:rsid w:val="0093786C"/>
    <w:rsid w:val="009378C4"/>
    <w:rsid w:val="009378E3"/>
    <w:rsid w:val="00937ABB"/>
    <w:rsid w:val="00937AD3"/>
    <w:rsid w:val="00937B09"/>
    <w:rsid w:val="00937D47"/>
    <w:rsid w:val="00937EF1"/>
    <w:rsid w:val="00940091"/>
    <w:rsid w:val="009400C1"/>
    <w:rsid w:val="009400C7"/>
    <w:rsid w:val="009401A2"/>
    <w:rsid w:val="00940247"/>
    <w:rsid w:val="00940388"/>
    <w:rsid w:val="0094041F"/>
    <w:rsid w:val="0094047F"/>
    <w:rsid w:val="0094050D"/>
    <w:rsid w:val="0094054E"/>
    <w:rsid w:val="00940595"/>
    <w:rsid w:val="009405E2"/>
    <w:rsid w:val="009406AC"/>
    <w:rsid w:val="00940717"/>
    <w:rsid w:val="009407B1"/>
    <w:rsid w:val="00940833"/>
    <w:rsid w:val="00940849"/>
    <w:rsid w:val="00940942"/>
    <w:rsid w:val="0094097F"/>
    <w:rsid w:val="009409B3"/>
    <w:rsid w:val="00940B26"/>
    <w:rsid w:val="00940B53"/>
    <w:rsid w:val="00940BE2"/>
    <w:rsid w:val="00940F79"/>
    <w:rsid w:val="0094104B"/>
    <w:rsid w:val="0094119C"/>
    <w:rsid w:val="00941272"/>
    <w:rsid w:val="009412F4"/>
    <w:rsid w:val="00941311"/>
    <w:rsid w:val="0094131C"/>
    <w:rsid w:val="00941327"/>
    <w:rsid w:val="00941454"/>
    <w:rsid w:val="00941488"/>
    <w:rsid w:val="009414A9"/>
    <w:rsid w:val="009414F4"/>
    <w:rsid w:val="009415D8"/>
    <w:rsid w:val="009416FD"/>
    <w:rsid w:val="0094182E"/>
    <w:rsid w:val="00941886"/>
    <w:rsid w:val="0094188B"/>
    <w:rsid w:val="00941A11"/>
    <w:rsid w:val="00941D80"/>
    <w:rsid w:val="00941ECC"/>
    <w:rsid w:val="00941F4E"/>
    <w:rsid w:val="00942094"/>
    <w:rsid w:val="00942122"/>
    <w:rsid w:val="0094234F"/>
    <w:rsid w:val="0094266E"/>
    <w:rsid w:val="009426AA"/>
    <w:rsid w:val="009427A6"/>
    <w:rsid w:val="009427F4"/>
    <w:rsid w:val="0094294A"/>
    <w:rsid w:val="009429AB"/>
    <w:rsid w:val="00942A2B"/>
    <w:rsid w:val="00942ABD"/>
    <w:rsid w:val="00942C5A"/>
    <w:rsid w:val="00942E70"/>
    <w:rsid w:val="00942EED"/>
    <w:rsid w:val="00943087"/>
    <w:rsid w:val="00943140"/>
    <w:rsid w:val="00943162"/>
    <w:rsid w:val="00943210"/>
    <w:rsid w:val="009432D5"/>
    <w:rsid w:val="00943386"/>
    <w:rsid w:val="0094343A"/>
    <w:rsid w:val="009434D5"/>
    <w:rsid w:val="009435D6"/>
    <w:rsid w:val="009437FB"/>
    <w:rsid w:val="00943882"/>
    <w:rsid w:val="00943A38"/>
    <w:rsid w:val="00943A92"/>
    <w:rsid w:val="00943B85"/>
    <w:rsid w:val="00943BE2"/>
    <w:rsid w:val="00943D29"/>
    <w:rsid w:val="00943D55"/>
    <w:rsid w:val="00943EB6"/>
    <w:rsid w:val="00943F13"/>
    <w:rsid w:val="00943F4A"/>
    <w:rsid w:val="00943F86"/>
    <w:rsid w:val="00944036"/>
    <w:rsid w:val="00944208"/>
    <w:rsid w:val="00944286"/>
    <w:rsid w:val="009443C5"/>
    <w:rsid w:val="0094445C"/>
    <w:rsid w:val="009444CC"/>
    <w:rsid w:val="00944557"/>
    <w:rsid w:val="0094457F"/>
    <w:rsid w:val="0094479C"/>
    <w:rsid w:val="0094479D"/>
    <w:rsid w:val="009447FD"/>
    <w:rsid w:val="009448B0"/>
    <w:rsid w:val="00944986"/>
    <w:rsid w:val="00944A9D"/>
    <w:rsid w:val="00944AB7"/>
    <w:rsid w:val="00944BA6"/>
    <w:rsid w:val="00944C8A"/>
    <w:rsid w:val="00944D7D"/>
    <w:rsid w:val="00944E1E"/>
    <w:rsid w:val="00944E32"/>
    <w:rsid w:val="00944EEE"/>
    <w:rsid w:val="00944FDF"/>
    <w:rsid w:val="00945191"/>
    <w:rsid w:val="00945632"/>
    <w:rsid w:val="0094564E"/>
    <w:rsid w:val="009456BB"/>
    <w:rsid w:val="0094577B"/>
    <w:rsid w:val="009457D9"/>
    <w:rsid w:val="009458F9"/>
    <w:rsid w:val="00945904"/>
    <w:rsid w:val="0094592A"/>
    <w:rsid w:val="009459DC"/>
    <w:rsid w:val="00945A72"/>
    <w:rsid w:val="00945B6E"/>
    <w:rsid w:val="00945C2B"/>
    <w:rsid w:val="00945D01"/>
    <w:rsid w:val="00945D97"/>
    <w:rsid w:val="00945E33"/>
    <w:rsid w:val="00945ED8"/>
    <w:rsid w:val="0094606D"/>
    <w:rsid w:val="00946355"/>
    <w:rsid w:val="00946430"/>
    <w:rsid w:val="0094645E"/>
    <w:rsid w:val="0094650B"/>
    <w:rsid w:val="0094654E"/>
    <w:rsid w:val="0094655B"/>
    <w:rsid w:val="0094659B"/>
    <w:rsid w:val="00946663"/>
    <w:rsid w:val="009466F2"/>
    <w:rsid w:val="009466F4"/>
    <w:rsid w:val="0094673B"/>
    <w:rsid w:val="00946871"/>
    <w:rsid w:val="00946AC3"/>
    <w:rsid w:val="00946AFA"/>
    <w:rsid w:val="00946BD1"/>
    <w:rsid w:val="00946F7F"/>
    <w:rsid w:val="00947085"/>
    <w:rsid w:val="00947109"/>
    <w:rsid w:val="0094712A"/>
    <w:rsid w:val="009472F6"/>
    <w:rsid w:val="00947359"/>
    <w:rsid w:val="00947614"/>
    <w:rsid w:val="0094766F"/>
    <w:rsid w:val="009476BA"/>
    <w:rsid w:val="00947715"/>
    <w:rsid w:val="00947891"/>
    <w:rsid w:val="009479F5"/>
    <w:rsid w:val="00947A5F"/>
    <w:rsid w:val="00947C75"/>
    <w:rsid w:val="00947D92"/>
    <w:rsid w:val="0095000F"/>
    <w:rsid w:val="00950022"/>
    <w:rsid w:val="0095014A"/>
    <w:rsid w:val="00950378"/>
    <w:rsid w:val="009505D2"/>
    <w:rsid w:val="009505EA"/>
    <w:rsid w:val="009506DA"/>
    <w:rsid w:val="0095078B"/>
    <w:rsid w:val="009507AF"/>
    <w:rsid w:val="009507D9"/>
    <w:rsid w:val="00950867"/>
    <w:rsid w:val="00950BF5"/>
    <w:rsid w:val="00950BFE"/>
    <w:rsid w:val="00950D1D"/>
    <w:rsid w:val="00950EE2"/>
    <w:rsid w:val="00950F06"/>
    <w:rsid w:val="00950FAC"/>
    <w:rsid w:val="00951034"/>
    <w:rsid w:val="0095106F"/>
    <w:rsid w:val="0095122A"/>
    <w:rsid w:val="009512D2"/>
    <w:rsid w:val="009513B5"/>
    <w:rsid w:val="009514BA"/>
    <w:rsid w:val="00951501"/>
    <w:rsid w:val="00951541"/>
    <w:rsid w:val="0095155B"/>
    <w:rsid w:val="009515A3"/>
    <w:rsid w:val="009516C3"/>
    <w:rsid w:val="009516F2"/>
    <w:rsid w:val="009517D2"/>
    <w:rsid w:val="00951A46"/>
    <w:rsid w:val="00951C31"/>
    <w:rsid w:val="00951E56"/>
    <w:rsid w:val="00951E6F"/>
    <w:rsid w:val="00951ED8"/>
    <w:rsid w:val="00951F25"/>
    <w:rsid w:val="00952034"/>
    <w:rsid w:val="0095210A"/>
    <w:rsid w:val="00952415"/>
    <w:rsid w:val="0095252F"/>
    <w:rsid w:val="00952548"/>
    <w:rsid w:val="009525DD"/>
    <w:rsid w:val="009526E8"/>
    <w:rsid w:val="0095275C"/>
    <w:rsid w:val="009527F6"/>
    <w:rsid w:val="00952836"/>
    <w:rsid w:val="00952866"/>
    <w:rsid w:val="009528FC"/>
    <w:rsid w:val="00952921"/>
    <w:rsid w:val="00952C63"/>
    <w:rsid w:val="00952E08"/>
    <w:rsid w:val="00952E2A"/>
    <w:rsid w:val="00952ECF"/>
    <w:rsid w:val="00953216"/>
    <w:rsid w:val="0095322F"/>
    <w:rsid w:val="009532F0"/>
    <w:rsid w:val="0095340D"/>
    <w:rsid w:val="00953499"/>
    <w:rsid w:val="009535F1"/>
    <w:rsid w:val="00953641"/>
    <w:rsid w:val="009536E7"/>
    <w:rsid w:val="009536F0"/>
    <w:rsid w:val="00953905"/>
    <w:rsid w:val="00953955"/>
    <w:rsid w:val="00953A25"/>
    <w:rsid w:val="00953AC8"/>
    <w:rsid w:val="00953ACC"/>
    <w:rsid w:val="00953AD5"/>
    <w:rsid w:val="00953C27"/>
    <w:rsid w:val="00953C43"/>
    <w:rsid w:val="00953F59"/>
    <w:rsid w:val="00953FF7"/>
    <w:rsid w:val="00954130"/>
    <w:rsid w:val="009541E8"/>
    <w:rsid w:val="009541FB"/>
    <w:rsid w:val="00954224"/>
    <w:rsid w:val="0095427C"/>
    <w:rsid w:val="0095434F"/>
    <w:rsid w:val="009543C0"/>
    <w:rsid w:val="0095444A"/>
    <w:rsid w:val="009544AC"/>
    <w:rsid w:val="0095453D"/>
    <w:rsid w:val="0095455C"/>
    <w:rsid w:val="009545D0"/>
    <w:rsid w:val="009546D3"/>
    <w:rsid w:val="00954AA8"/>
    <w:rsid w:val="00954B48"/>
    <w:rsid w:val="00954B5A"/>
    <w:rsid w:val="00954CE2"/>
    <w:rsid w:val="00954D01"/>
    <w:rsid w:val="00954DA9"/>
    <w:rsid w:val="00954DAA"/>
    <w:rsid w:val="00954DB5"/>
    <w:rsid w:val="00954DF3"/>
    <w:rsid w:val="0095502A"/>
    <w:rsid w:val="0095508B"/>
    <w:rsid w:val="0095509E"/>
    <w:rsid w:val="009550D6"/>
    <w:rsid w:val="00955136"/>
    <w:rsid w:val="0095518B"/>
    <w:rsid w:val="0095525E"/>
    <w:rsid w:val="00955296"/>
    <w:rsid w:val="00955349"/>
    <w:rsid w:val="00955561"/>
    <w:rsid w:val="009555F0"/>
    <w:rsid w:val="009559A2"/>
    <w:rsid w:val="00955A1E"/>
    <w:rsid w:val="00955BFA"/>
    <w:rsid w:val="00955C61"/>
    <w:rsid w:val="00955CAA"/>
    <w:rsid w:val="00955CDA"/>
    <w:rsid w:val="00955D06"/>
    <w:rsid w:val="00956192"/>
    <w:rsid w:val="009561CE"/>
    <w:rsid w:val="0095626B"/>
    <w:rsid w:val="009564FE"/>
    <w:rsid w:val="009567FF"/>
    <w:rsid w:val="0095684D"/>
    <w:rsid w:val="00956869"/>
    <w:rsid w:val="00956A35"/>
    <w:rsid w:val="00956A61"/>
    <w:rsid w:val="00956A7D"/>
    <w:rsid w:val="00956A82"/>
    <w:rsid w:val="00956B2C"/>
    <w:rsid w:val="00956CD8"/>
    <w:rsid w:val="00956CE1"/>
    <w:rsid w:val="00956CF3"/>
    <w:rsid w:val="00956EF3"/>
    <w:rsid w:val="00956FA0"/>
    <w:rsid w:val="009570E2"/>
    <w:rsid w:val="00957126"/>
    <w:rsid w:val="00957312"/>
    <w:rsid w:val="0095736A"/>
    <w:rsid w:val="00957494"/>
    <w:rsid w:val="00957616"/>
    <w:rsid w:val="0095764B"/>
    <w:rsid w:val="009578AC"/>
    <w:rsid w:val="0095795C"/>
    <w:rsid w:val="00957A10"/>
    <w:rsid w:val="00957A7B"/>
    <w:rsid w:val="00957B4A"/>
    <w:rsid w:val="00957B7E"/>
    <w:rsid w:val="00957C1A"/>
    <w:rsid w:val="00957E77"/>
    <w:rsid w:val="00957FAA"/>
    <w:rsid w:val="00960052"/>
    <w:rsid w:val="009600EE"/>
    <w:rsid w:val="00960122"/>
    <w:rsid w:val="0096023B"/>
    <w:rsid w:val="0096039F"/>
    <w:rsid w:val="00960438"/>
    <w:rsid w:val="009605AA"/>
    <w:rsid w:val="00960835"/>
    <w:rsid w:val="0096088D"/>
    <w:rsid w:val="009608DE"/>
    <w:rsid w:val="00960AA1"/>
    <w:rsid w:val="00960AC4"/>
    <w:rsid w:val="00960C44"/>
    <w:rsid w:val="00960C96"/>
    <w:rsid w:val="00960CAC"/>
    <w:rsid w:val="00960CE2"/>
    <w:rsid w:val="00960CED"/>
    <w:rsid w:val="00960D4E"/>
    <w:rsid w:val="00960E33"/>
    <w:rsid w:val="00960EBC"/>
    <w:rsid w:val="00960EC4"/>
    <w:rsid w:val="00960EF6"/>
    <w:rsid w:val="00960FCA"/>
    <w:rsid w:val="00960FFE"/>
    <w:rsid w:val="009610DD"/>
    <w:rsid w:val="00961277"/>
    <w:rsid w:val="00961324"/>
    <w:rsid w:val="00961434"/>
    <w:rsid w:val="0096149A"/>
    <w:rsid w:val="009614B2"/>
    <w:rsid w:val="00961589"/>
    <w:rsid w:val="00961601"/>
    <w:rsid w:val="0096170D"/>
    <w:rsid w:val="0096171F"/>
    <w:rsid w:val="0096180A"/>
    <w:rsid w:val="009618CA"/>
    <w:rsid w:val="009619F9"/>
    <w:rsid w:val="00961A15"/>
    <w:rsid w:val="00961A4B"/>
    <w:rsid w:val="00961B7C"/>
    <w:rsid w:val="00961F0D"/>
    <w:rsid w:val="00961F37"/>
    <w:rsid w:val="00962079"/>
    <w:rsid w:val="00962087"/>
    <w:rsid w:val="0096238D"/>
    <w:rsid w:val="00962439"/>
    <w:rsid w:val="00962520"/>
    <w:rsid w:val="0096256C"/>
    <w:rsid w:val="00962660"/>
    <w:rsid w:val="00962755"/>
    <w:rsid w:val="00962831"/>
    <w:rsid w:val="00962923"/>
    <w:rsid w:val="0096296A"/>
    <w:rsid w:val="00962C6C"/>
    <w:rsid w:val="00962CA3"/>
    <w:rsid w:val="00962CED"/>
    <w:rsid w:val="00962D40"/>
    <w:rsid w:val="00962DB2"/>
    <w:rsid w:val="00962E5C"/>
    <w:rsid w:val="00962E85"/>
    <w:rsid w:val="00962F90"/>
    <w:rsid w:val="00962FC6"/>
    <w:rsid w:val="00962FE2"/>
    <w:rsid w:val="0096317F"/>
    <w:rsid w:val="0096322A"/>
    <w:rsid w:val="009633E0"/>
    <w:rsid w:val="009633EC"/>
    <w:rsid w:val="00963781"/>
    <w:rsid w:val="00963910"/>
    <w:rsid w:val="0096392B"/>
    <w:rsid w:val="0096397C"/>
    <w:rsid w:val="00963993"/>
    <w:rsid w:val="00963B61"/>
    <w:rsid w:val="00963C00"/>
    <w:rsid w:val="00963C50"/>
    <w:rsid w:val="00963DA7"/>
    <w:rsid w:val="00964025"/>
    <w:rsid w:val="0096402B"/>
    <w:rsid w:val="00964111"/>
    <w:rsid w:val="00964488"/>
    <w:rsid w:val="009645B8"/>
    <w:rsid w:val="00964688"/>
    <w:rsid w:val="00964769"/>
    <w:rsid w:val="0096478B"/>
    <w:rsid w:val="009648D9"/>
    <w:rsid w:val="00964CA5"/>
    <w:rsid w:val="00964D3A"/>
    <w:rsid w:val="00964E91"/>
    <w:rsid w:val="00964F93"/>
    <w:rsid w:val="00965096"/>
    <w:rsid w:val="009650CC"/>
    <w:rsid w:val="009650EE"/>
    <w:rsid w:val="0096519A"/>
    <w:rsid w:val="00965206"/>
    <w:rsid w:val="0096529A"/>
    <w:rsid w:val="009653FE"/>
    <w:rsid w:val="0096543A"/>
    <w:rsid w:val="00965533"/>
    <w:rsid w:val="009655E5"/>
    <w:rsid w:val="009656CF"/>
    <w:rsid w:val="009656ED"/>
    <w:rsid w:val="0096573C"/>
    <w:rsid w:val="00965860"/>
    <w:rsid w:val="00965868"/>
    <w:rsid w:val="009659AF"/>
    <w:rsid w:val="00965B13"/>
    <w:rsid w:val="00965C3F"/>
    <w:rsid w:val="00965C80"/>
    <w:rsid w:val="00965D91"/>
    <w:rsid w:val="00966144"/>
    <w:rsid w:val="009661BE"/>
    <w:rsid w:val="00966296"/>
    <w:rsid w:val="00966359"/>
    <w:rsid w:val="0096636B"/>
    <w:rsid w:val="0096643D"/>
    <w:rsid w:val="00966466"/>
    <w:rsid w:val="00966583"/>
    <w:rsid w:val="0096659B"/>
    <w:rsid w:val="009665BC"/>
    <w:rsid w:val="00966639"/>
    <w:rsid w:val="009667D7"/>
    <w:rsid w:val="00966926"/>
    <w:rsid w:val="009669AE"/>
    <w:rsid w:val="00966A82"/>
    <w:rsid w:val="00966BA4"/>
    <w:rsid w:val="00966C1D"/>
    <w:rsid w:val="00966E61"/>
    <w:rsid w:val="00966E9C"/>
    <w:rsid w:val="00966F88"/>
    <w:rsid w:val="00966F8C"/>
    <w:rsid w:val="009671F1"/>
    <w:rsid w:val="009671FA"/>
    <w:rsid w:val="00967331"/>
    <w:rsid w:val="00967412"/>
    <w:rsid w:val="00967448"/>
    <w:rsid w:val="00967453"/>
    <w:rsid w:val="00967473"/>
    <w:rsid w:val="00967531"/>
    <w:rsid w:val="00967555"/>
    <w:rsid w:val="0096761C"/>
    <w:rsid w:val="0096763E"/>
    <w:rsid w:val="00967663"/>
    <w:rsid w:val="00967A2F"/>
    <w:rsid w:val="00967A34"/>
    <w:rsid w:val="00967A43"/>
    <w:rsid w:val="00967A49"/>
    <w:rsid w:val="00967B04"/>
    <w:rsid w:val="00967D35"/>
    <w:rsid w:val="00967D7C"/>
    <w:rsid w:val="00967F14"/>
    <w:rsid w:val="00967FE4"/>
    <w:rsid w:val="0097025C"/>
    <w:rsid w:val="0097027B"/>
    <w:rsid w:val="0097044B"/>
    <w:rsid w:val="00970780"/>
    <w:rsid w:val="00970798"/>
    <w:rsid w:val="0097079E"/>
    <w:rsid w:val="00970882"/>
    <w:rsid w:val="00970A2A"/>
    <w:rsid w:val="00970ACE"/>
    <w:rsid w:val="00970B09"/>
    <w:rsid w:val="00970B99"/>
    <w:rsid w:val="00970BB7"/>
    <w:rsid w:val="00970C4F"/>
    <w:rsid w:val="00970CE5"/>
    <w:rsid w:val="00970D52"/>
    <w:rsid w:val="00970D7D"/>
    <w:rsid w:val="009710F1"/>
    <w:rsid w:val="00971131"/>
    <w:rsid w:val="00971259"/>
    <w:rsid w:val="00971443"/>
    <w:rsid w:val="00971511"/>
    <w:rsid w:val="00971545"/>
    <w:rsid w:val="0097163B"/>
    <w:rsid w:val="00971654"/>
    <w:rsid w:val="0097169D"/>
    <w:rsid w:val="0097176B"/>
    <w:rsid w:val="009717BF"/>
    <w:rsid w:val="00971975"/>
    <w:rsid w:val="00971978"/>
    <w:rsid w:val="00971999"/>
    <w:rsid w:val="00971A12"/>
    <w:rsid w:val="00971ABA"/>
    <w:rsid w:val="00971B10"/>
    <w:rsid w:val="00971DD2"/>
    <w:rsid w:val="00971EDF"/>
    <w:rsid w:val="00972007"/>
    <w:rsid w:val="009720F2"/>
    <w:rsid w:val="00972301"/>
    <w:rsid w:val="00972366"/>
    <w:rsid w:val="00972381"/>
    <w:rsid w:val="0097242A"/>
    <w:rsid w:val="0097263A"/>
    <w:rsid w:val="0097271B"/>
    <w:rsid w:val="009727D0"/>
    <w:rsid w:val="0097295D"/>
    <w:rsid w:val="009729BB"/>
    <w:rsid w:val="00972A1E"/>
    <w:rsid w:val="00972A37"/>
    <w:rsid w:val="00972A98"/>
    <w:rsid w:val="00972B7E"/>
    <w:rsid w:val="00972C8F"/>
    <w:rsid w:val="00972E7D"/>
    <w:rsid w:val="00972E8D"/>
    <w:rsid w:val="00972F47"/>
    <w:rsid w:val="0097309D"/>
    <w:rsid w:val="009730D8"/>
    <w:rsid w:val="009730EE"/>
    <w:rsid w:val="00973147"/>
    <w:rsid w:val="009731C3"/>
    <w:rsid w:val="00973204"/>
    <w:rsid w:val="00973303"/>
    <w:rsid w:val="00973342"/>
    <w:rsid w:val="009733D2"/>
    <w:rsid w:val="0097345E"/>
    <w:rsid w:val="00973481"/>
    <w:rsid w:val="00973586"/>
    <w:rsid w:val="00973795"/>
    <w:rsid w:val="009737BE"/>
    <w:rsid w:val="00973831"/>
    <w:rsid w:val="00973956"/>
    <w:rsid w:val="009739C9"/>
    <w:rsid w:val="00973A99"/>
    <w:rsid w:val="00973D05"/>
    <w:rsid w:val="00973E7B"/>
    <w:rsid w:val="0097415B"/>
    <w:rsid w:val="009741AF"/>
    <w:rsid w:val="00974272"/>
    <w:rsid w:val="0097427B"/>
    <w:rsid w:val="009743DA"/>
    <w:rsid w:val="009743DC"/>
    <w:rsid w:val="00974505"/>
    <w:rsid w:val="00974624"/>
    <w:rsid w:val="009747AA"/>
    <w:rsid w:val="00974916"/>
    <w:rsid w:val="009749D2"/>
    <w:rsid w:val="00974B2C"/>
    <w:rsid w:val="0097519E"/>
    <w:rsid w:val="00975311"/>
    <w:rsid w:val="0097549B"/>
    <w:rsid w:val="009755A4"/>
    <w:rsid w:val="00975824"/>
    <w:rsid w:val="00975852"/>
    <w:rsid w:val="009758D3"/>
    <w:rsid w:val="00975978"/>
    <w:rsid w:val="00975993"/>
    <w:rsid w:val="0097599F"/>
    <w:rsid w:val="00975B80"/>
    <w:rsid w:val="00975CBA"/>
    <w:rsid w:val="00975D28"/>
    <w:rsid w:val="00975EE8"/>
    <w:rsid w:val="00975FA8"/>
    <w:rsid w:val="00975FA9"/>
    <w:rsid w:val="0097605B"/>
    <w:rsid w:val="00976411"/>
    <w:rsid w:val="009765C2"/>
    <w:rsid w:val="009766F2"/>
    <w:rsid w:val="00976903"/>
    <w:rsid w:val="009769F6"/>
    <w:rsid w:val="00976AFE"/>
    <w:rsid w:val="00976BA3"/>
    <w:rsid w:val="00976BEA"/>
    <w:rsid w:val="00976CE7"/>
    <w:rsid w:val="00976D00"/>
    <w:rsid w:val="00976D12"/>
    <w:rsid w:val="00976E34"/>
    <w:rsid w:val="00976F27"/>
    <w:rsid w:val="00977171"/>
    <w:rsid w:val="009771F6"/>
    <w:rsid w:val="00977329"/>
    <w:rsid w:val="009775C7"/>
    <w:rsid w:val="009775CE"/>
    <w:rsid w:val="00977683"/>
    <w:rsid w:val="00977745"/>
    <w:rsid w:val="00977750"/>
    <w:rsid w:val="00977752"/>
    <w:rsid w:val="00977784"/>
    <w:rsid w:val="00977826"/>
    <w:rsid w:val="00977848"/>
    <w:rsid w:val="0097788C"/>
    <w:rsid w:val="00977A11"/>
    <w:rsid w:val="00977BF1"/>
    <w:rsid w:val="00977D86"/>
    <w:rsid w:val="00977F17"/>
    <w:rsid w:val="00977FD6"/>
    <w:rsid w:val="00977FD9"/>
    <w:rsid w:val="0098023A"/>
    <w:rsid w:val="00980322"/>
    <w:rsid w:val="00980493"/>
    <w:rsid w:val="0098050C"/>
    <w:rsid w:val="0098060A"/>
    <w:rsid w:val="00980812"/>
    <w:rsid w:val="009808A6"/>
    <w:rsid w:val="00980A26"/>
    <w:rsid w:val="00980BC1"/>
    <w:rsid w:val="00980CFE"/>
    <w:rsid w:val="00980EDD"/>
    <w:rsid w:val="00980FC3"/>
    <w:rsid w:val="00980FD6"/>
    <w:rsid w:val="00981142"/>
    <w:rsid w:val="00981152"/>
    <w:rsid w:val="009811EE"/>
    <w:rsid w:val="009814EE"/>
    <w:rsid w:val="00981749"/>
    <w:rsid w:val="00981826"/>
    <w:rsid w:val="00981A64"/>
    <w:rsid w:val="00981B4B"/>
    <w:rsid w:val="00981B59"/>
    <w:rsid w:val="00981C83"/>
    <w:rsid w:val="00981CE8"/>
    <w:rsid w:val="00981E65"/>
    <w:rsid w:val="00982061"/>
    <w:rsid w:val="0098211E"/>
    <w:rsid w:val="0098223B"/>
    <w:rsid w:val="00982286"/>
    <w:rsid w:val="009825E9"/>
    <w:rsid w:val="00982631"/>
    <w:rsid w:val="00982648"/>
    <w:rsid w:val="0098266B"/>
    <w:rsid w:val="009826C6"/>
    <w:rsid w:val="0098273E"/>
    <w:rsid w:val="00982903"/>
    <w:rsid w:val="00982909"/>
    <w:rsid w:val="0098298D"/>
    <w:rsid w:val="00982A0A"/>
    <w:rsid w:val="00982AA4"/>
    <w:rsid w:val="00982CDC"/>
    <w:rsid w:val="00982D1D"/>
    <w:rsid w:val="00982D76"/>
    <w:rsid w:val="00982DF5"/>
    <w:rsid w:val="00982EA5"/>
    <w:rsid w:val="00982EB2"/>
    <w:rsid w:val="00982EC4"/>
    <w:rsid w:val="00982FC6"/>
    <w:rsid w:val="00983004"/>
    <w:rsid w:val="0098323B"/>
    <w:rsid w:val="0098329B"/>
    <w:rsid w:val="009835AB"/>
    <w:rsid w:val="009835EE"/>
    <w:rsid w:val="00983628"/>
    <w:rsid w:val="00983634"/>
    <w:rsid w:val="00983707"/>
    <w:rsid w:val="009837D1"/>
    <w:rsid w:val="00983829"/>
    <w:rsid w:val="0098387B"/>
    <w:rsid w:val="0098393B"/>
    <w:rsid w:val="0098397D"/>
    <w:rsid w:val="00983989"/>
    <w:rsid w:val="00983AC0"/>
    <w:rsid w:val="00983B48"/>
    <w:rsid w:val="00983F8D"/>
    <w:rsid w:val="00983F90"/>
    <w:rsid w:val="00984070"/>
    <w:rsid w:val="009840DA"/>
    <w:rsid w:val="00984122"/>
    <w:rsid w:val="00984149"/>
    <w:rsid w:val="0098416B"/>
    <w:rsid w:val="00984220"/>
    <w:rsid w:val="00984334"/>
    <w:rsid w:val="009843A5"/>
    <w:rsid w:val="009843E5"/>
    <w:rsid w:val="009844DB"/>
    <w:rsid w:val="00984617"/>
    <w:rsid w:val="00984637"/>
    <w:rsid w:val="0098466A"/>
    <w:rsid w:val="009846A4"/>
    <w:rsid w:val="009846A5"/>
    <w:rsid w:val="009846C8"/>
    <w:rsid w:val="009847DB"/>
    <w:rsid w:val="00984897"/>
    <w:rsid w:val="00984A90"/>
    <w:rsid w:val="00984B86"/>
    <w:rsid w:val="00984CD4"/>
    <w:rsid w:val="00984D57"/>
    <w:rsid w:val="00984DE3"/>
    <w:rsid w:val="00984E37"/>
    <w:rsid w:val="00984E4B"/>
    <w:rsid w:val="00984E94"/>
    <w:rsid w:val="00984F48"/>
    <w:rsid w:val="00984F83"/>
    <w:rsid w:val="0098511A"/>
    <w:rsid w:val="00985225"/>
    <w:rsid w:val="0098528A"/>
    <w:rsid w:val="009853BE"/>
    <w:rsid w:val="00985419"/>
    <w:rsid w:val="009856AF"/>
    <w:rsid w:val="009856FE"/>
    <w:rsid w:val="0098572E"/>
    <w:rsid w:val="00985776"/>
    <w:rsid w:val="009857AE"/>
    <w:rsid w:val="0098580D"/>
    <w:rsid w:val="00985939"/>
    <w:rsid w:val="00985956"/>
    <w:rsid w:val="00985AB0"/>
    <w:rsid w:val="00985C7E"/>
    <w:rsid w:val="00985D0E"/>
    <w:rsid w:val="00985D83"/>
    <w:rsid w:val="00985DEA"/>
    <w:rsid w:val="00985EF5"/>
    <w:rsid w:val="009862C1"/>
    <w:rsid w:val="0098633A"/>
    <w:rsid w:val="009863E0"/>
    <w:rsid w:val="00986498"/>
    <w:rsid w:val="009864D5"/>
    <w:rsid w:val="00986677"/>
    <w:rsid w:val="0098670D"/>
    <w:rsid w:val="0098681E"/>
    <w:rsid w:val="00986956"/>
    <w:rsid w:val="00986AB8"/>
    <w:rsid w:val="00986B05"/>
    <w:rsid w:val="00986B3A"/>
    <w:rsid w:val="00986D3D"/>
    <w:rsid w:val="00986F7A"/>
    <w:rsid w:val="00986FF3"/>
    <w:rsid w:val="0098701A"/>
    <w:rsid w:val="0098702F"/>
    <w:rsid w:val="00987108"/>
    <w:rsid w:val="00987207"/>
    <w:rsid w:val="0098721C"/>
    <w:rsid w:val="009872AE"/>
    <w:rsid w:val="009873A7"/>
    <w:rsid w:val="009873D0"/>
    <w:rsid w:val="009873F8"/>
    <w:rsid w:val="00987490"/>
    <w:rsid w:val="009874CF"/>
    <w:rsid w:val="00987639"/>
    <w:rsid w:val="009877EB"/>
    <w:rsid w:val="00987800"/>
    <w:rsid w:val="00987874"/>
    <w:rsid w:val="00987A2D"/>
    <w:rsid w:val="00987A3D"/>
    <w:rsid w:val="00987A8E"/>
    <w:rsid w:val="00987B4F"/>
    <w:rsid w:val="00987B7C"/>
    <w:rsid w:val="00987BE2"/>
    <w:rsid w:val="00987BFE"/>
    <w:rsid w:val="00987DAE"/>
    <w:rsid w:val="00987DB7"/>
    <w:rsid w:val="00990037"/>
    <w:rsid w:val="009900D9"/>
    <w:rsid w:val="00990110"/>
    <w:rsid w:val="00990146"/>
    <w:rsid w:val="0099014B"/>
    <w:rsid w:val="00990157"/>
    <w:rsid w:val="009901CA"/>
    <w:rsid w:val="0099025B"/>
    <w:rsid w:val="009902F4"/>
    <w:rsid w:val="00990473"/>
    <w:rsid w:val="009906C9"/>
    <w:rsid w:val="00990C5D"/>
    <w:rsid w:val="00990D1A"/>
    <w:rsid w:val="00990DE2"/>
    <w:rsid w:val="00990E5D"/>
    <w:rsid w:val="00990EAA"/>
    <w:rsid w:val="00990EBD"/>
    <w:rsid w:val="00991279"/>
    <w:rsid w:val="009912B1"/>
    <w:rsid w:val="00991369"/>
    <w:rsid w:val="00991395"/>
    <w:rsid w:val="009913A5"/>
    <w:rsid w:val="0099149B"/>
    <w:rsid w:val="009914A7"/>
    <w:rsid w:val="009915C2"/>
    <w:rsid w:val="0099169D"/>
    <w:rsid w:val="009917A8"/>
    <w:rsid w:val="009918FF"/>
    <w:rsid w:val="0099196F"/>
    <w:rsid w:val="00991E63"/>
    <w:rsid w:val="00991E98"/>
    <w:rsid w:val="00991EAC"/>
    <w:rsid w:val="00991FC9"/>
    <w:rsid w:val="009920EB"/>
    <w:rsid w:val="00992166"/>
    <w:rsid w:val="009922D9"/>
    <w:rsid w:val="00992403"/>
    <w:rsid w:val="00992453"/>
    <w:rsid w:val="0099254C"/>
    <w:rsid w:val="009925CB"/>
    <w:rsid w:val="009929DB"/>
    <w:rsid w:val="00992B21"/>
    <w:rsid w:val="00992B31"/>
    <w:rsid w:val="00992C4F"/>
    <w:rsid w:val="00992C8A"/>
    <w:rsid w:val="00992D2B"/>
    <w:rsid w:val="00992E18"/>
    <w:rsid w:val="00992E73"/>
    <w:rsid w:val="00993222"/>
    <w:rsid w:val="00993239"/>
    <w:rsid w:val="00993289"/>
    <w:rsid w:val="0099331A"/>
    <w:rsid w:val="00993390"/>
    <w:rsid w:val="0099340C"/>
    <w:rsid w:val="00993457"/>
    <w:rsid w:val="00993485"/>
    <w:rsid w:val="009934F1"/>
    <w:rsid w:val="00993583"/>
    <w:rsid w:val="00993618"/>
    <w:rsid w:val="00993744"/>
    <w:rsid w:val="00993747"/>
    <w:rsid w:val="009938F8"/>
    <w:rsid w:val="009939D2"/>
    <w:rsid w:val="00993B1F"/>
    <w:rsid w:val="00993B48"/>
    <w:rsid w:val="00993C59"/>
    <w:rsid w:val="00993E56"/>
    <w:rsid w:val="00993EEE"/>
    <w:rsid w:val="00994060"/>
    <w:rsid w:val="009941C4"/>
    <w:rsid w:val="00994358"/>
    <w:rsid w:val="00994409"/>
    <w:rsid w:val="0099444A"/>
    <w:rsid w:val="009944B7"/>
    <w:rsid w:val="0099451E"/>
    <w:rsid w:val="00994554"/>
    <w:rsid w:val="009947BE"/>
    <w:rsid w:val="00994807"/>
    <w:rsid w:val="00994873"/>
    <w:rsid w:val="0099491E"/>
    <w:rsid w:val="009949CA"/>
    <w:rsid w:val="00994A5F"/>
    <w:rsid w:val="00994A8D"/>
    <w:rsid w:val="00994AFF"/>
    <w:rsid w:val="00994CFE"/>
    <w:rsid w:val="00994D18"/>
    <w:rsid w:val="00994E55"/>
    <w:rsid w:val="00994E77"/>
    <w:rsid w:val="0099502C"/>
    <w:rsid w:val="009950AB"/>
    <w:rsid w:val="00995149"/>
    <w:rsid w:val="00995282"/>
    <w:rsid w:val="009952F9"/>
    <w:rsid w:val="00995408"/>
    <w:rsid w:val="009955C1"/>
    <w:rsid w:val="0099566D"/>
    <w:rsid w:val="00995850"/>
    <w:rsid w:val="009958D2"/>
    <w:rsid w:val="0099595D"/>
    <w:rsid w:val="00995B14"/>
    <w:rsid w:val="00995B7A"/>
    <w:rsid w:val="00995C85"/>
    <w:rsid w:val="00995C97"/>
    <w:rsid w:val="00995DD8"/>
    <w:rsid w:val="00995DE9"/>
    <w:rsid w:val="00995F51"/>
    <w:rsid w:val="00995FB7"/>
    <w:rsid w:val="00996165"/>
    <w:rsid w:val="009961D7"/>
    <w:rsid w:val="009962E4"/>
    <w:rsid w:val="009964C1"/>
    <w:rsid w:val="009964D9"/>
    <w:rsid w:val="00996517"/>
    <w:rsid w:val="00996558"/>
    <w:rsid w:val="009966CD"/>
    <w:rsid w:val="00996725"/>
    <w:rsid w:val="00996792"/>
    <w:rsid w:val="00996828"/>
    <w:rsid w:val="00996A42"/>
    <w:rsid w:val="00996A7D"/>
    <w:rsid w:val="00996A84"/>
    <w:rsid w:val="00996B06"/>
    <w:rsid w:val="00996D17"/>
    <w:rsid w:val="00996D1D"/>
    <w:rsid w:val="00996DC0"/>
    <w:rsid w:val="00996DFA"/>
    <w:rsid w:val="00996E3B"/>
    <w:rsid w:val="00996ECD"/>
    <w:rsid w:val="00996F94"/>
    <w:rsid w:val="00996F9C"/>
    <w:rsid w:val="00997031"/>
    <w:rsid w:val="009970E3"/>
    <w:rsid w:val="009971C0"/>
    <w:rsid w:val="009971C2"/>
    <w:rsid w:val="009971D6"/>
    <w:rsid w:val="009972F2"/>
    <w:rsid w:val="00997300"/>
    <w:rsid w:val="009974E2"/>
    <w:rsid w:val="00997815"/>
    <w:rsid w:val="00997A91"/>
    <w:rsid w:val="00997B69"/>
    <w:rsid w:val="00997E3A"/>
    <w:rsid w:val="00997E4D"/>
    <w:rsid w:val="00997F04"/>
    <w:rsid w:val="00997F3A"/>
    <w:rsid w:val="00997F44"/>
    <w:rsid w:val="009A0002"/>
    <w:rsid w:val="009A0114"/>
    <w:rsid w:val="009A01B0"/>
    <w:rsid w:val="009A032F"/>
    <w:rsid w:val="009A04C1"/>
    <w:rsid w:val="009A0526"/>
    <w:rsid w:val="009A0667"/>
    <w:rsid w:val="009A066B"/>
    <w:rsid w:val="009A07FC"/>
    <w:rsid w:val="009A08FF"/>
    <w:rsid w:val="009A0970"/>
    <w:rsid w:val="009A0A63"/>
    <w:rsid w:val="009A0BAF"/>
    <w:rsid w:val="009A0CB6"/>
    <w:rsid w:val="009A0D50"/>
    <w:rsid w:val="009A0DC9"/>
    <w:rsid w:val="009A0EA9"/>
    <w:rsid w:val="009A0EFE"/>
    <w:rsid w:val="009A0F66"/>
    <w:rsid w:val="009A0FED"/>
    <w:rsid w:val="009A1098"/>
    <w:rsid w:val="009A10B5"/>
    <w:rsid w:val="009A121E"/>
    <w:rsid w:val="009A12FF"/>
    <w:rsid w:val="009A133B"/>
    <w:rsid w:val="009A13C2"/>
    <w:rsid w:val="009A1670"/>
    <w:rsid w:val="009A16F7"/>
    <w:rsid w:val="009A1708"/>
    <w:rsid w:val="009A17DF"/>
    <w:rsid w:val="009A19F6"/>
    <w:rsid w:val="009A1AB1"/>
    <w:rsid w:val="009A1B69"/>
    <w:rsid w:val="009A1C45"/>
    <w:rsid w:val="009A1C59"/>
    <w:rsid w:val="009A1F80"/>
    <w:rsid w:val="009A1F8E"/>
    <w:rsid w:val="009A2083"/>
    <w:rsid w:val="009A2215"/>
    <w:rsid w:val="009A2220"/>
    <w:rsid w:val="009A225C"/>
    <w:rsid w:val="009A2287"/>
    <w:rsid w:val="009A22F1"/>
    <w:rsid w:val="009A23D6"/>
    <w:rsid w:val="009A25CB"/>
    <w:rsid w:val="009A2663"/>
    <w:rsid w:val="009A2780"/>
    <w:rsid w:val="009A28DC"/>
    <w:rsid w:val="009A292F"/>
    <w:rsid w:val="009A2A02"/>
    <w:rsid w:val="009A2A1E"/>
    <w:rsid w:val="009A2B0A"/>
    <w:rsid w:val="009A2B6B"/>
    <w:rsid w:val="009A2D06"/>
    <w:rsid w:val="009A2DEA"/>
    <w:rsid w:val="009A2E5C"/>
    <w:rsid w:val="009A2EFE"/>
    <w:rsid w:val="009A3006"/>
    <w:rsid w:val="009A327A"/>
    <w:rsid w:val="009A3332"/>
    <w:rsid w:val="009A3397"/>
    <w:rsid w:val="009A340E"/>
    <w:rsid w:val="009A34C8"/>
    <w:rsid w:val="009A35C7"/>
    <w:rsid w:val="009A372E"/>
    <w:rsid w:val="009A379C"/>
    <w:rsid w:val="009A37D2"/>
    <w:rsid w:val="009A38DC"/>
    <w:rsid w:val="009A395C"/>
    <w:rsid w:val="009A3A00"/>
    <w:rsid w:val="009A3A0A"/>
    <w:rsid w:val="009A3A69"/>
    <w:rsid w:val="009A3ADA"/>
    <w:rsid w:val="009A3B0F"/>
    <w:rsid w:val="009A3B65"/>
    <w:rsid w:val="009A3B97"/>
    <w:rsid w:val="009A3BAC"/>
    <w:rsid w:val="009A3D07"/>
    <w:rsid w:val="009A3D26"/>
    <w:rsid w:val="009A3DA1"/>
    <w:rsid w:val="009A3ECD"/>
    <w:rsid w:val="009A3ECF"/>
    <w:rsid w:val="009A3FC5"/>
    <w:rsid w:val="009A406A"/>
    <w:rsid w:val="009A409B"/>
    <w:rsid w:val="009A40E5"/>
    <w:rsid w:val="009A4202"/>
    <w:rsid w:val="009A4252"/>
    <w:rsid w:val="009A4255"/>
    <w:rsid w:val="009A4329"/>
    <w:rsid w:val="009A4362"/>
    <w:rsid w:val="009A43A9"/>
    <w:rsid w:val="009A44B6"/>
    <w:rsid w:val="009A46FA"/>
    <w:rsid w:val="009A4733"/>
    <w:rsid w:val="009A479C"/>
    <w:rsid w:val="009A47AC"/>
    <w:rsid w:val="009A4944"/>
    <w:rsid w:val="009A4989"/>
    <w:rsid w:val="009A4AD7"/>
    <w:rsid w:val="009A4BF2"/>
    <w:rsid w:val="009A4C53"/>
    <w:rsid w:val="009A4CDD"/>
    <w:rsid w:val="009A4E42"/>
    <w:rsid w:val="009A4FF4"/>
    <w:rsid w:val="009A50BD"/>
    <w:rsid w:val="009A50F2"/>
    <w:rsid w:val="009A53A7"/>
    <w:rsid w:val="009A574A"/>
    <w:rsid w:val="009A582A"/>
    <w:rsid w:val="009A5888"/>
    <w:rsid w:val="009A5970"/>
    <w:rsid w:val="009A5AF5"/>
    <w:rsid w:val="009A5B44"/>
    <w:rsid w:val="009A5C43"/>
    <w:rsid w:val="009A5C48"/>
    <w:rsid w:val="009A5D46"/>
    <w:rsid w:val="009A5E79"/>
    <w:rsid w:val="009A5ED7"/>
    <w:rsid w:val="009A5F75"/>
    <w:rsid w:val="009A5FAC"/>
    <w:rsid w:val="009A604B"/>
    <w:rsid w:val="009A60B6"/>
    <w:rsid w:val="009A626A"/>
    <w:rsid w:val="009A62CB"/>
    <w:rsid w:val="009A6441"/>
    <w:rsid w:val="009A6692"/>
    <w:rsid w:val="009A688A"/>
    <w:rsid w:val="009A6B96"/>
    <w:rsid w:val="009A6CBC"/>
    <w:rsid w:val="009A6DE3"/>
    <w:rsid w:val="009A70DB"/>
    <w:rsid w:val="009A7107"/>
    <w:rsid w:val="009A71E0"/>
    <w:rsid w:val="009A73E7"/>
    <w:rsid w:val="009A76CE"/>
    <w:rsid w:val="009A77F8"/>
    <w:rsid w:val="009A7809"/>
    <w:rsid w:val="009A783F"/>
    <w:rsid w:val="009A7889"/>
    <w:rsid w:val="009A7B41"/>
    <w:rsid w:val="009A7C77"/>
    <w:rsid w:val="009A7C80"/>
    <w:rsid w:val="009A7D14"/>
    <w:rsid w:val="009A7F77"/>
    <w:rsid w:val="009AA35A"/>
    <w:rsid w:val="009B011C"/>
    <w:rsid w:val="009B0176"/>
    <w:rsid w:val="009B01ED"/>
    <w:rsid w:val="009B02D1"/>
    <w:rsid w:val="009B0316"/>
    <w:rsid w:val="009B03AF"/>
    <w:rsid w:val="009B053C"/>
    <w:rsid w:val="009B08C9"/>
    <w:rsid w:val="009B0A67"/>
    <w:rsid w:val="009B0BB3"/>
    <w:rsid w:val="009B0DDA"/>
    <w:rsid w:val="009B1052"/>
    <w:rsid w:val="009B1083"/>
    <w:rsid w:val="009B1184"/>
    <w:rsid w:val="009B1240"/>
    <w:rsid w:val="009B1364"/>
    <w:rsid w:val="009B1658"/>
    <w:rsid w:val="009B182B"/>
    <w:rsid w:val="009B1845"/>
    <w:rsid w:val="009B18AC"/>
    <w:rsid w:val="009B1AA6"/>
    <w:rsid w:val="009B1B22"/>
    <w:rsid w:val="009B1BA6"/>
    <w:rsid w:val="009B1C19"/>
    <w:rsid w:val="009B1C7B"/>
    <w:rsid w:val="009B1D0A"/>
    <w:rsid w:val="009B1D3E"/>
    <w:rsid w:val="009B1D60"/>
    <w:rsid w:val="009B1E0C"/>
    <w:rsid w:val="009B1E1C"/>
    <w:rsid w:val="009B1EB7"/>
    <w:rsid w:val="009B1EB8"/>
    <w:rsid w:val="009B1F34"/>
    <w:rsid w:val="009B1F51"/>
    <w:rsid w:val="009B2059"/>
    <w:rsid w:val="009B215D"/>
    <w:rsid w:val="009B2281"/>
    <w:rsid w:val="009B23E2"/>
    <w:rsid w:val="009B2446"/>
    <w:rsid w:val="009B25CA"/>
    <w:rsid w:val="009B2923"/>
    <w:rsid w:val="009B29D6"/>
    <w:rsid w:val="009B2A94"/>
    <w:rsid w:val="009B2C24"/>
    <w:rsid w:val="009B2C4A"/>
    <w:rsid w:val="009B2CD9"/>
    <w:rsid w:val="009B2D1D"/>
    <w:rsid w:val="009B2D97"/>
    <w:rsid w:val="009B2EB1"/>
    <w:rsid w:val="009B2ECD"/>
    <w:rsid w:val="009B2EFC"/>
    <w:rsid w:val="009B2F39"/>
    <w:rsid w:val="009B30AB"/>
    <w:rsid w:val="009B30DC"/>
    <w:rsid w:val="009B3169"/>
    <w:rsid w:val="009B31BD"/>
    <w:rsid w:val="009B31C7"/>
    <w:rsid w:val="009B31E0"/>
    <w:rsid w:val="009B3211"/>
    <w:rsid w:val="009B3355"/>
    <w:rsid w:val="009B33ED"/>
    <w:rsid w:val="009B34B5"/>
    <w:rsid w:val="009B352C"/>
    <w:rsid w:val="009B3601"/>
    <w:rsid w:val="009B36B8"/>
    <w:rsid w:val="009B39AF"/>
    <w:rsid w:val="009B39CD"/>
    <w:rsid w:val="009B39E1"/>
    <w:rsid w:val="009B3A89"/>
    <w:rsid w:val="009B3A9A"/>
    <w:rsid w:val="009B3DBB"/>
    <w:rsid w:val="009B3EA4"/>
    <w:rsid w:val="009B4059"/>
    <w:rsid w:val="009B40BA"/>
    <w:rsid w:val="009B40F3"/>
    <w:rsid w:val="009B42AE"/>
    <w:rsid w:val="009B445F"/>
    <w:rsid w:val="009B455C"/>
    <w:rsid w:val="009B46C5"/>
    <w:rsid w:val="009B494A"/>
    <w:rsid w:val="009B499E"/>
    <w:rsid w:val="009B4B0B"/>
    <w:rsid w:val="009B4B26"/>
    <w:rsid w:val="009B4C47"/>
    <w:rsid w:val="009B4CBB"/>
    <w:rsid w:val="009B4D2B"/>
    <w:rsid w:val="009B4D74"/>
    <w:rsid w:val="009B4DA3"/>
    <w:rsid w:val="009B4E7F"/>
    <w:rsid w:val="009B5055"/>
    <w:rsid w:val="009B51DF"/>
    <w:rsid w:val="009B520D"/>
    <w:rsid w:val="009B524E"/>
    <w:rsid w:val="009B52B3"/>
    <w:rsid w:val="009B5412"/>
    <w:rsid w:val="009B5416"/>
    <w:rsid w:val="009B54B6"/>
    <w:rsid w:val="009B557B"/>
    <w:rsid w:val="009B55F9"/>
    <w:rsid w:val="009B566B"/>
    <w:rsid w:val="009B567C"/>
    <w:rsid w:val="009B5738"/>
    <w:rsid w:val="009B573D"/>
    <w:rsid w:val="009B5901"/>
    <w:rsid w:val="009B592A"/>
    <w:rsid w:val="009B5A79"/>
    <w:rsid w:val="009B5C59"/>
    <w:rsid w:val="009B5D66"/>
    <w:rsid w:val="009B5DBF"/>
    <w:rsid w:val="009B5DFC"/>
    <w:rsid w:val="009B5E4D"/>
    <w:rsid w:val="009B5F17"/>
    <w:rsid w:val="009B60FB"/>
    <w:rsid w:val="009B61BD"/>
    <w:rsid w:val="009B6299"/>
    <w:rsid w:val="009B62F8"/>
    <w:rsid w:val="009B6327"/>
    <w:rsid w:val="009B64EC"/>
    <w:rsid w:val="009B6611"/>
    <w:rsid w:val="009B671E"/>
    <w:rsid w:val="009B68DE"/>
    <w:rsid w:val="009B6946"/>
    <w:rsid w:val="009B6A1A"/>
    <w:rsid w:val="009B6A69"/>
    <w:rsid w:val="009B6AE4"/>
    <w:rsid w:val="009B6C0D"/>
    <w:rsid w:val="009B6C1F"/>
    <w:rsid w:val="009B6D09"/>
    <w:rsid w:val="009B6D9E"/>
    <w:rsid w:val="009B6DCC"/>
    <w:rsid w:val="009B6DFE"/>
    <w:rsid w:val="009B6E87"/>
    <w:rsid w:val="009B6FBA"/>
    <w:rsid w:val="009B727E"/>
    <w:rsid w:val="009B7389"/>
    <w:rsid w:val="009B7393"/>
    <w:rsid w:val="009B740D"/>
    <w:rsid w:val="009B751F"/>
    <w:rsid w:val="009B75A3"/>
    <w:rsid w:val="009B7616"/>
    <w:rsid w:val="009B76C4"/>
    <w:rsid w:val="009B76C6"/>
    <w:rsid w:val="009B76D9"/>
    <w:rsid w:val="009B76F1"/>
    <w:rsid w:val="009B77DE"/>
    <w:rsid w:val="009B7914"/>
    <w:rsid w:val="009B794E"/>
    <w:rsid w:val="009B79F6"/>
    <w:rsid w:val="009B7AB7"/>
    <w:rsid w:val="009B7B04"/>
    <w:rsid w:val="009B7D9D"/>
    <w:rsid w:val="009B7E65"/>
    <w:rsid w:val="009B7EC7"/>
    <w:rsid w:val="009B7FD2"/>
    <w:rsid w:val="009C0080"/>
    <w:rsid w:val="009C01BD"/>
    <w:rsid w:val="009C0336"/>
    <w:rsid w:val="009C03D7"/>
    <w:rsid w:val="009C0648"/>
    <w:rsid w:val="009C074A"/>
    <w:rsid w:val="009C07A5"/>
    <w:rsid w:val="009C0874"/>
    <w:rsid w:val="009C0908"/>
    <w:rsid w:val="009C09A6"/>
    <w:rsid w:val="009C0AA4"/>
    <w:rsid w:val="009C0B5E"/>
    <w:rsid w:val="009C0B74"/>
    <w:rsid w:val="009C0C70"/>
    <w:rsid w:val="009C0C83"/>
    <w:rsid w:val="009C0CF7"/>
    <w:rsid w:val="009C0D34"/>
    <w:rsid w:val="009C0D68"/>
    <w:rsid w:val="009C0D6F"/>
    <w:rsid w:val="009C0D90"/>
    <w:rsid w:val="009C0DDB"/>
    <w:rsid w:val="009C0E34"/>
    <w:rsid w:val="009C0E58"/>
    <w:rsid w:val="009C0F57"/>
    <w:rsid w:val="009C1099"/>
    <w:rsid w:val="009C1208"/>
    <w:rsid w:val="009C121A"/>
    <w:rsid w:val="009C12F6"/>
    <w:rsid w:val="009C144B"/>
    <w:rsid w:val="009C149C"/>
    <w:rsid w:val="009C14D4"/>
    <w:rsid w:val="009C1599"/>
    <w:rsid w:val="009C1790"/>
    <w:rsid w:val="009C1BCD"/>
    <w:rsid w:val="009C1BD8"/>
    <w:rsid w:val="009C1CC9"/>
    <w:rsid w:val="009C1F4A"/>
    <w:rsid w:val="009C1FB3"/>
    <w:rsid w:val="009C1FB8"/>
    <w:rsid w:val="009C21D4"/>
    <w:rsid w:val="009C21DB"/>
    <w:rsid w:val="009C21FD"/>
    <w:rsid w:val="009C2513"/>
    <w:rsid w:val="009C263A"/>
    <w:rsid w:val="009C2766"/>
    <w:rsid w:val="009C2849"/>
    <w:rsid w:val="009C293E"/>
    <w:rsid w:val="009C29EE"/>
    <w:rsid w:val="009C2B10"/>
    <w:rsid w:val="009C2B3D"/>
    <w:rsid w:val="009C2C3D"/>
    <w:rsid w:val="009C2D78"/>
    <w:rsid w:val="009C2E41"/>
    <w:rsid w:val="009C2F73"/>
    <w:rsid w:val="009C2F94"/>
    <w:rsid w:val="009C306E"/>
    <w:rsid w:val="009C308D"/>
    <w:rsid w:val="009C3108"/>
    <w:rsid w:val="009C310F"/>
    <w:rsid w:val="009C31B9"/>
    <w:rsid w:val="009C3275"/>
    <w:rsid w:val="009C335E"/>
    <w:rsid w:val="009C3371"/>
    <w:rsid w:val="009C348A"/>
    <w:rsid w:val="009C34AB"/>
    <w:rsid w:val="009C34D7"/>
    <w:rsid w:val="009C3540"/>
    <w:rsid w:val="009C3596"/>
    <w:rsid w:val="009C3634"/>
    <w:rsid w:val="009C37A8"/>
    <w:rsid w:val="009C37BF"/>
    <w:rsid w:val="009C37C5"/>
    <w:rsid w:val="009C3822"/>
    <w:rsid w:val="009C386A"/>
    <w:rsid w:val="009C38D7"/>
    <w:rsid w:val="009C3B0C"/>
    <w:rsid w:val="009C3BEA"/>
    <w:rsid w:val="009C3F27"/>
    <w:rsid w:val="009C3F49"/>
    <w:rsid w:val="009C4060"/>
    <w:rsid w:val="009C40A3"/>
    <w:rsid w:val="009C40D5"/>
    <w:rsid w:val="009C40E9"/>
    <w:rsid w:val="009C4185"/>
    <w:rsid w:val="009C4305"/>
    <w:rsid w:val="009C43A0"/>
    <w:rsid w:val="009C43F8"/>
    <w:rsid w:val="009C4571"/>
    <w:rsid w:val="009C45A8"/>
    <w:rsid w:val="009C471E"/>
    <w:rsid w:val="009C477C"/>
    <w:rsid w:val="009C4967"/>
    <w:rsid w:val="009C4990"/>
    <w:rsid w:val="009C49C5"/>
    <w:rsid w:val="009C4A04"/>
    <w:rsid w:val="009C4A44"/>
    <w:rsid w:val="009C4C78"/>
    <w:rsid w:val="009C4D68"/>
    <w:rsid w:val="009C4E0D"/>
    <w:rsid w:val="009C4E96"/>
    <w:rsid w:val="009C4F55"/>
    <w:rsid w:val="009C4F64"/>
    <w:rsid w:val="009C502F"/>
    <w:rsid w:val="009C506B"/>
    <w:rsid w:val="009C509E"/>
    <w:rsid w:val="009C510B"/>
    <w:rsid w:val="009C5170"/>
    <w:rsid w:val="009C51F0"/>
    <w:rsid w:val="009C53FA"/>
    <w:rsid w:val="009C541E"/>
    <w:rsid w:val="009C55A5"/>
    <w:rsid w:val="009C55EC"/>
    <w:rsid w:val="009C5670"/>
    <w:rsid w:val="009C56DC"/>
    <w:rsid w:val="009C5729"/>
    <w:rsid w:val="009C57B0"/>
    <w:rsid w:val="009C5858"/>
    <w:rsid w:val="009C588B"/>
    <w:rsid w:val="009C59B7"/>
    <w:rsid w:val="009C5A79"/>
    <w:rsid w:val="009C5B04"/>
    <w:rsid w:val="009C5B28"/>
    <w:rsid w:val="009C5BA3"/>
    <w:rsid w:val="009C5C51"/>
    <w:rsid w:val="009C5C6A"/>
    <w:rsid w:val="009C5D51"/>
    <w:rsid w:val="009C5D8C"/>
    <w:rsid w:val="009C5E64"/>
    <w:rsid w:val="009C5E7E"/>
    <w:rsid w:val="009C5EE1"/>
    <w:rsid w:val="009C5F31"/>
    <w:rsid w:val="009C5F66"/>
    <w:rsid w:val="009C607D"/>
    <w:rsid w:val="009C6140"/>
    <w:rsid w:val="009C618F"/>
    <w:rsid w:val="009C6453"/>
    <w:rsid w:val="009C64FE"/>
    <w:rsid w:val="009C6576"/>
    <w:rsid w:val="009C66E3"/>
    <w:rsid w:val="009C673D"/>
    <w:rsid w:val="009C67D5"/>
    <w:rsid w:val="009C68A9"/>
    <w:rsid w:val="009C68EF"/>
    <w:rsid w:val="009C69FA"/>
    <w:rsid w:val="009C6B5E"/>
    <w:rsid w:val="009C6DC1"/>
    <w:rsid w:val="009C7015"/>
    <w:rsid w:val="009C709F"/>
    <w:rsid w:val="009C7109"/>
    <w:rsid w:val="009C7120"/>
    <w:rsid w:val="009C720D"/>
    <w:rsid w:val="009C7239"/>
    <w:rsid w:val="009C7246"/>
    <w:rsid w:val="009C72B6"/>
    <w:rsid w:val="009C731C"/>
    <w:rsid w:val="009C7358"/>
    <w:rsid w:val="009C73CC"/>
    <w:rsid w:val="009C73E1"/>
    <w:rsid w:val="009C745B"/>
    <w:rsid w:val="009C74C2"/>
    <w:rsid w:val="009C74F5"/>
    <w:rsid w:val="009C76BC"/>
    <w:rsid w:val="009C7742"/>
    <w:rsid w:val="009C77DF"/>
    <w:rsid w:val="009C782F"/>
    <w:rsid w:val="009C79C2"/>
    <w:rsid w:val="009C7B1A"/>
    <w:rsid w:val="009C7B99"/>
    <w:rsid w:val="009C7C51"/>
    <w:rsid w:val="009C7C5D"/>
    <w:rsid w:val="009C7F61"/>
    <w:rsid w:val="009C7FA7"/>
    <w:rsid w:val="009C7FFD"/>
    <w:rsid w:val="009D001B"/>
    <w:rsid w:val="009D00E3"/>
    <w:rsid w:val="009D0137"/>
    <w:rsid w:val="009D02A0"/>
    <w:rsid w:val="009D02E9"/>
    <w:rsid w:val="009D0348"/>
    <w:rsid w:val="009D03E7"/>
    <w:rsid w:val="009D0548"/>
    <w:rsid w:val="009D055B"/>
    <w:rsid w:val="009D0896"/>
    <w:rsid w:val="009D0A3D"/>
    <w:rsid w:val="009D0AB2"/>
    <w:rsid w:val="009D0ADF"/>
    <w:rsid w:val="009D0B36"/>
    <w:rsid w:val="009D0B37"/>
    <w:rsid w:val="009D0C5B"/>
    <w:rsid w:val="009D0D03"/>
    <w:rsid w:val="009D0E99"/>
    <w:rsid w:val="009D0F37"/>
    <w:rsid w:val="009D0F9A"/>
    <w:rsid w:val="009D116D"/>
    <w:rsid w:val="009D119E"/>
    <w:rsid w:val="009D12FB"/>
    <w:rsid w:val="009D1304"/>
    <w:rsid w:val="009D1374"/>
    <w:rsid w:val="009D14F5"/>
    <w:rsid w:val="009D162F"/>
    <w:rsid w:val="009D1659"/>
    <w:rsid w:val="009D16C1"/>
    <w:rsid w:val="009D1791"/>
    <w:rsid w:val="009D17A2"/>
    <w:rsid w:val="009D1968"/>
    <w:rsid w:val="009D197C"/>
    <w:rsid w:val="009D1AA6"/>
    <w:rsid w:val="009D1B9F"/>
    <w:rsid w:val="009D1BC9"/>
    <w:rsid w:val="009D1C4E"/>
    <w:rsid w:val="009D1C99"/>
    <w:rsid w:val="009D1D0C"/>
    <w:rsid w:val="009D2003"/>
    <w:rsid w:val="009D220A"/>
    <w:rsid w:val="009D2211"/>
    <w:rsid w:val="009D254E"/>
    <w:rsid w:val="009D257F"/>
    <w:rsid w:val="009D26C4"/>
    <w:rsid w:val="009D26DD"/>
    <w:rsid w:val="009D2713"/>
    <w:rsid w:val="009D275C"/>
    <w:rsid w:val="009D279F"/>
    <w:rsid w:val="009D2815"/>
    <w:rsid w:val="009D2A16"/>
    <w:rsid w:val="009D2D54"/>
    <w:rsid w:val="009D2E83"/>
    <w:rsid w:val="009D2EA6"/>
    <w:rsid w:val="009D2F4B"/>
    <w:rsid w:val="009D31A1"/>
    <w:rsid w:val="009D31B0"/>
    <w:rsid w:val="009D3456"/>
    <w:rsid w:val="009D34DA"/>
    <w:rsid w:val="009D35D9"/>
    <w:rsid w:val="009D3727"/>
    <w:rsid w:val="009D3809"/>
    <w:rsid w:val="009D38E7"/>
    <w:rsid w:val="009D39AD"/>
    <w:rsid w:val="009D3AEE"/>
    <w:rsid w:val="009D3AFC"/>
    <w:rsid w:val="009D3BF4"/>
    <w:rsid w:val="009D3CD1"/>
    <w:rsid w:val="009D3D10"/>
    <w:rsid w:val="009D3F72"/>
    <w:rsid w:val="009D3FAD"/>
    <w:rsid w:val="009D3FC7"/>
    <w:rsid w:val="009D4288"/>
    <w:rsid w:val="009D42A3"/>
    <w:rsid w:val="009D4319"/>
    <w:rsid w:val="009D4338"/>
    <w:rsid w:val="009D45D5"/>
    <w:rsid w:val="009D4780"/>
    <w:rsid w:val="009D4A3A"/>
    <w:rsid w:val="009D4BA9"/>
    <w:rsid w:val="009D4C3F"/>
    <w:rsid w:val="009D4C68"/>
    <w:rsid w:val="009D4D05"/>
    <w:rsid w:val="009D4DA2"/>
    <w:rsid w:val="009D4F87"/>
    <w:rsid w:val="009D509E"/>
    <w:rsid w:val="009D50D9"/>
    <w:rsid w:val="009D5184"/>
    <w:rsid w:val="009D523F"/>
    <w:rsid w:val="009D545B"/>
    <w:rsid w:val="009D5521"/>
    <w:rsid w:val="009D55A2"/>
    <w:rsid w:val="009D565F"/>
    <w:rsid w:val="009D58FF"/>
    <w:rsid w:val="009D5972"/>
    <w:rsid w:val="009D59CC"/>
    <w:rsid w:val="009D5B76"/>
    <w:rsid w:val="009D5CFA"/>
    <w:rsid w:val="009D5CFF"/>
    <w:rsid w:val="009D5DA7"/>
    <w:rsid w:val="009D5DAB"/>
    <w:rsid w:val="009D5DD6"/>
    <w:rsid w:val="009D5E7E"/>
    <w:rsid w:val="009D5EA3"/>
    <w:rsid w:val="009D604F"/>
    <w:rsid w:val="009D60A2"/>
    <w:rsid w:val="009D60B7"/>
    <w:rsid w:val="009D60D5"/>
    <w:rsid w:val="009D6143"/>
    <w:rsid w:val="009D623A"/>
    <w:rsid w:val="009D62A6"/>
    <w:rsid w:val="009D635E"/>
    <w:rsid w:val="009D639C"/>
    <w:rsid w:val="009D65FF"/>
    <w:rsid w:val="009D671D"/>
    <w:rsid w:val="009D6838"/>
    <w:rsid w:val="009D68B1"/>
    <w:rsid w:val="009D68E4"/>
    <w:rsid w:val="009D69B5"/>
    <w:rsid w:val="009D6A8E"/>
    <w:rsid w:val="009D6B55"/>
    <w:rsid w:val="009D6CCF"/>
    <w:rsid w:val="009D6D03"/>
    <w:rsid w:val="009D6D89"/>
    <w:rsid w:val="009D6F2B"/>
    <w:rsid w:val="009D7006"/>
    <w:rsid w:val="009D714B"/>
    <w:rsid w:val="009D71BE"/>
    <w:rsid w:val="009D71E5"/>
    <w:rsid w:val="009D727F"/>
    <w:rsid w:val="009D73B8"/>
    <w:rsid w:val="009D74E6"/>
    <w:rsid w:val="009D75AD"/>
    <w:rsid w:val="009D773B"/>
    <w:rsid w:val="009D7844"/>
    <w:rsid w:val="009D7A94"/>
    <w:rsid w:val="009D7B29"/>
    <w:rsid w:val="009D7B31"/>
    <w:rsid w:val="009D7C12"/>
    <w:rsid w:val="009D7E04"/>
    <w:rsid w:val="009D7E3E"/>
    <w:rsid w:val="009D7F4C"/>
    <w:rsid w:val="009E0048"/>
    <w:rsid w:val="009E005A"/>
    <w:rsid w:val="009E006C"/>
    <w:rsid w:val="009E0096"/>
    <w:rsid w:val="009E0107"/>
    <w:rsid w:val="009E0122"/>
    <w:rsid w:val="009E01A8"/>
    <w:rsid w:val="009E0441"/>
    <w:rsid w:val="009E04B1"/>
    <w:rsid w:val="009E04D5"/>
    <w:rsid w:val="009E0536"/>
    <w:rsid w:val="009E0874"/>
    <w:rsid w:val="009E08D5"/>
    <w:rsid w:val="009E0999"/>
    <w:rsid w:val="009E09FC"/>
    <w:rsid w:val="009E0BCB"/>
    <w:rsid w:val="009E0C36"/>
    <w:rsid w:val="009E0CC6"/>
    <w:rsid w:val="009E0E1E"/>
    <w:rsid w:val="009E0E8E"/>
    <w:rsid w:val="009E0F73"/>
    <w:rsid w:val="009E0FDE"/>
    <w:rsid w:val="009E10C7"/>
    <w:rsid w:val="009E1355"/>
    <w:rsid w:val="009E16E8"/>
    <w:rsid w:val="009E184C"/>
    <w:rsid w:val="009E1915"/>
    <w:rsid w:val="009E191F"/>
    <w:rsid w:val="009E192B"/>
    <w:rsid w:val="009E1A3D"/>
    <w:rsid w:val="009E1A4C"/>
    <w:rsid w:val="009E1B92"/>
    <w:rsid w:val="009E1D64"/>
    <w:rsid w:val="009E1E55"/>
    <w:rsid w:val="009E1EBC"/>
    <w:rsid w:val="009E1F2E"/>
    <w:rsid w:val="009E20BC"/>
    <w:rsid w:val="009E2281"/>
    <w:rsid w:val="009E2534"/>
    <w:rsid w:val="009E2669"/>
    <w:rsid w:val="009E2832"/>
    <w:rsid w:val="009E283A"/>
    <w:rsid w:val="009E2A88"/>
    <w:rsid w:val="009E2BE6"/>
    <w:rsid w:val="009E2C97"/>
    <w:rsid w:val="009E2D4A"/>
    <w:rsid w:val="009E2D52"/>
    <w:rsid w:val="009E2E5B"/>
    <w:rsid w:val="009E305A"/>
    <w:rsid w:val="009E3254"/>
    <w:rsid w:val="009E343A"/>
    <w:rsid w:val="009E3442"/>
    <w:rsid w:val="009E35DB"/>
    <w:rsid w:val="009E360D"/>
    <w:rsid w:val="009E36EB"/>
    <w:rsid w:val="009E3794"/>
    <w:rsid w:val="009E37A7"/>
    <w:rsid w:val="009E38E7"/>
    <w:rsid w:val="009E390E"/>
    <w:rsid w:val="009E392E"/>
    <w:rsid w:val="009E3931"/>
    <w:rsid w:val="009E39D3"/>
    <w:rsid w:val="009E3A8C"/>
    <w:rsid w:val="009E3AA4"/>
    <w:rsid w:val="009E3B1C"/>
    <w:rsid w:val="009E3BDD"/>
    <w:rsid w:val="009E3BE4"/>
    <w:rsid w:val="009E3D34"/>
    <w:rsid w:val="009E3F2B"/>
    <w:rsid w:val="009E3FC3"/>
    <w:rsid w:val="009E3FC5"/>
    <w:rsid w:val="009E40E7"/>
    <w:rsid w:val="009E4105"/>
    <w:rsid w:val="009E41EC"/>
    <w:rsid w:val="009E4273"/>
    <w:rsid w:val="009E43A4"/>
    <w:rsid w:val="009E454C"/>
    <w:rsid w:val="009E4582"/>
    <w:rsid w:val="009E46C3"/>
    <w:rsid w:val="009E4751"/>
    <w:rsid w:val="009E4760"/>
    <w:rsid w:val="009E47AC"/>
    <w:rsid w:val="009E485C"/>
    <w:rsid w:val="009E4A05"/>
    <w:rsid w:val="009E4BE9"/>
    <w:rsid w:val="009E4DF5"/>
    <w:rsid w:val="009E4EFC"/>
    <w:rsid w:val="009E4F67"/>
    <w:rsid w:val="009E4F79"/>
    <w:rsid w:val="009E5130"/>
    <w:rsid w:val="009E514F"/>
    <w:rsid w:val="009E522A"/>
    <w:rsid w:val="009E5338"/>
    <w:rsid w:val="009E53CE"/>
    <w:rsid w:val="009E5405"/>
    <w:rsid w:val="009E550E"/>
    <w:rsid w:val="009E5564"/>
    <w:rsid w:val="009E55B4"/>
    <w:rsid w:val="009E55F4"/>
    <w:rsid w:val="009E5695"/>
    <w:rsid w:val="009E572C"/>
    <w:rsid w:val="009E574F"/>
    <w:rsid w:val="009E5808"/>
    <w:rsid w:val="009E5A81"/>
    <w:rsid w:val="009E5AB4"/>
    <w:rsid w:val="009E5AF6"/>
    <w:rsid w:val="009E5B0E"/>
    <w:rsid w:val="009E5D46"/>
    <w:rsid w:val="009E5DEE"/>
    <w:rsid w:val="009E5F6E"/>
    <w:rsid w:val="009E6092"/>
    <w:rsid w:val="009E6103"/>
    <w:rsid w:val="009E611F"/>
    <w:rsid w:val="009E616E"/>
    <w:rsid w:val="009E61EF"/>
    <w:rsid w:val="009E62C8"/>
    <w:rsid w:val="009E6306"/>
    <w:rsid w:val="009E6379"/>
    <w:rsid w:val="009E6495"/>
    <w:rsid w:val="009E64C5"/>
    <w:rsid w:val="009E658A"/>
    <w:rsid w:val="009E65FA"/>
    <w:rsid w:val="009E6691"/>
    <w:rsid w:val="009E66E7"/>
    <w:rsid w:val="009E66EC"/>
    <w:rsid w:val="009E6710"/>
    <w:rsid w:val="009E69E2"/>
    <w:rsid w:val="009E6DC1"/>
    <w:rsid w:val="009E6F22"/>
    <w:rsid w:val="009E732B"/>
    <w:rsid w:val="009E7392"/>
    <w:rsid w:val="009E7416"/>
    <w:rsid w:val="009E7443"/>
    <w:rsid w:val="009E76BA"/>
    <w:rsid w:val="009E79DB"/>
    <w:rsid w:val="009E7C78"/>
    <w:rsid w:val="009E7C8B"/>
    <w:rsid w:val="009E7CD7"/>
    <w:rsid w:val="009E7D60"/>
    <w:rsid w:val="009E7E44"/>
    <w:rsid w:val="009E7EEE"/>
    <w:rsid w:val="009E7FE8"/>
    <w:rsid w:val="009E7FF4"/>
    <w:rsid w:val="009F002D"/>
    <w:rsid w:val="009F0091"/>
    <w:rsid w:val="009F0145"/>
    <w:rsid w:val="009F0227"/>
    <w:rsid w:val="009F0287"/>
    <w:rsid w:val="009F0332"/>
    <w:rsid w:val="009F03FD"/>
    <w:rsid w:val="009F0437"/>
    <w:rsid w:val="009F046F"/>
    <w:rsid w:val="009F0488"/>
    <w:rsid w:val="009F04E7"/>
    <w:rsid w:val="009F0554"/>
    <w:rsid w:val="009F06D1"/>
    <w:rsid w:val="009F0763"/>
    <w:rsid w:val="009F0830"/>
    <w:rsid w:val="009F0889"/>
    <w:rsid w:val="009F08FA"/>
    <w:rsid w:val="009F09E0"/>
    <w:rsid w:val="009F0AA8"/>
    <w:rsid w:val="009F0B86"/>
    <w:rsid w:val="009F0BD7"/>
    <w:rsid w:val="009F0C86"/>
    <w:rsid w:val="009F0CB0"/>
    <w:rsid w:val="009F0CFF"/>
    <w:rsid w:val="009F0D2F"/>
    <w:rsid w:val="009F0E7E"/>
    <w:rsid w:val="009F0EE5"/>
    <w:rsid w:val="009F1440"/>
    <w:rsid w:val="009F1472"/>
    <w:rsid w:val="009F14C3"/>
    <w:rsid w:val="009F15D9"/>
    <w:rsid w:val="009F1689"/>
    <w:rsid w:val="009F17B8"/>
    <w:rsid w:val="009F1829"/>
    <w:rsid w:val="009F189E"/>
    <w:rsid w:val="009F1937"/>
    <w:rsid w:val="009F1AEE"/>
    <w:rsid w:val="009F1B1D"/>
    <w:rsid w:val="009F1DA0"/>
    <w:rsid w:val="009F1EDA"/>
    <w:rsid w:val="009F1F99"/>
    <w:rsid w:val="009F1FDF"/>
    <w:rsid w:val="009F200F"/>
    <w:rsid w:val="009F20EE"/>
    <w:rsid w:val="009F20F2"/>
    <w:rsid w:val="009F20FC"/>
    <w:rsid w:val="009F215C"/>
    <w:rsid w:val="009F21F0"/>
    <w:rsid w:val="009F221D"/>
    <w:rsid w:val="009F2294"/>
    <w:rsid w:val="009F2349"/>
    <w:rsid w:val="009F23AF"/>
    <w:rsid w:val="009F245B"/>
    <w:rsid w:val="009F252B"/>
    <w:rsid w:val="009F25C7"/>
    <w:rsid w:val="009F25D9"/>
    <w:rsid w:val="009F264A"/>
    <w:rsid w:val="009F26E1"/>
    <w:rsid w:val="009F2749"/>
    <w:rsid w:val="009F2757"/>
    <w:rsid w:val="009F2787"/>
    <w:rsid w:val="009F27CF"/>
    <w:rsid w:val="009F29F2"/>
    <w:rsid w:val="009F2A95"/>
    <w:rsid w:val="009F2C37"/>
    <w:rsid w:val="009F2E7D"/>
    <w:rsid w:val="009F2F24"/>
    <w:rsid w:val="009F2F86"/>
    <w:rsid w:val="009F2FC3"/>
    <w:rsid w:val="009F2FFD"/>
    <w:rsid w:val="009F3150"/>
    <w:rsid w:val="009F329B"/>
    <w:rsid w:val="009F347F"/>
    <w:rsid w:val="009F34F2"/>
    <w:rsid w:val="009F35E0"/>
    <w:rsid w:val="009F362B"/>
    <w:rsid w:val="009F3794"/>
    <w:rsid w:val="009F3881"/>
    <w:rsid w:val="009F391A"/>
    <w:rsid w:val="009F3953"/>
    <w:rsid w:val="009F3AEA"/>
    <w:rsid w:val="009F3C05"/>
    <w:rsid w:val="009F3C43"/>
    <w:rsid w:val="009F3D39"/>
    <w:rsid w:val="009F3E41"/>
    <w:rsid w:val="009F3F79"/>
    <w:rsid w:val="009F3FE1"/>
    <w:rsid w:val="009F409D"/>
    <w:rsid w:val="009F4107"/>
    <w:rsid w:val="009F4108"/>
    <w:rsid w:val="009F4140"/>
    <w:rsid w:val="009F4263"/>
    <w:rsid w:val="009F4290"/>
    <w:rsid w:val="009F437A"/>
    <w:rsid w:val="009F4652"/>
    <w:rsid w:val="009F4811"/>
    <w:rsid w:val="009F492D"/>
    <w:rsid w:val="009F4B03"/>
    <w:rsid w:val="009F4E02"/>
    <w:rsid w:val="009F4EEB"/>
    <w:rsid w:val="009F5105"/>
    <w:rsid w:val="009F515D"/>
    <w:rsid w:val="009F5337"/>
    <w:rsid w:val="009F5345"/>
    <w:rsid w:val="009F537E"/>
    <w:rsid w:val="009F5510"/>
    <w:rsid w:val="009F55DD"/>
    <w:rsid w:val="009F5748"/>
    <w:rsid w:val="009F57D5"/>
    <w:rsid w:val="009F581E"/>
    <w:rsid w:val="009F5871"/>
    <w:rsid w:val="009F5900"/>
    <w:rsid w:val="009F5914"/>
    <w:rsid w:val="009F5B23"/>
    <w:rsid w:val="009F5C1E"/>
    <w:rsid w:val="009F5C7D"/>
    <w:rsid w:val="009F5D12"/>
    <w:rsid w:val="009F5E16"/>
    <w:rsid w:val="009F5E3A"/>
    <w:rsid w:val="009F5EDB"/>
    <w:rsid w:val="009F5F05"/>
    <w:rsid w:val="009F605E"/>
    <w:rsid w:val="009F6246"/>
    <w:rsid w:val="009F6321"/>
    <w:rsid w:val="009F63B2"/>
    <w:rsid w:val="009F64A0"/>
    <w:rsid w:val="009F64C9"/>
    <w:rsid w:val="009F651B"/>
    <w:rsid w:val="009F6531"/>
    <w:rsid w:val="009F6732"/>
    <w:rsid w:val="009F674C"/>
    <w:rsid w:val="009F696B"/>
    <w:rsid w:val="009F69B0"/>
    <w:rsid w:val="009F69FA"/>
    <w:rsid w:val="009F6A17"/>
    <w:rsid w:val="009F6B34"/>
    <w:rsid w:val="009F6BD3"/>
    <w:rsid w:val="009F6CFE"/>
    <w:rsid w:val="009F6D77"/>
    <w:rsid w:val="009F6E55"/>
    <w:rsid w:val="009F6EA4"/>
    <w:rsid w:val="009F6F83"/>
    <w:rsid w:val="009F6FDF"/>
    <w:rsid w:val="009F70AB"/>
    <w:rsid w:val="009F70B0"/>
    <w:rsid w:val="009F7115"/>
    <w:rsid w:val="009F717A"/>
    <w:rsid w:val="009F7198"/>
    <w:rsid w:val="009F71F7"/>
    <w:rsid w:val="009F726F"/>
    <w:rsid w:val="009F72BC"/>
    <w:rsid w:val="009F74D0"/>
    <w:rsid w:val="009F7562"/>
    <w:rsid w:val="009F7589"/>
    <w:rsid w:val="009F7845"/>
    <w:rsid w:val="009F7931"/>
    <w:rsid w:val="009F7AE9"/>
    <w:rsid w:val="009F7B9D"/>
    <w:rsid w:val="009F7BFE"/>
    <w:rsid w:val="009F7CA5"/>
    <w:rsid w:val="009F7E15"/>
    <w:rsid w:val="009F7FB4"/>
    <w:rsid w:val="00A00254"/>
    <w:rsid w:val="00A003D0"/>
    <w:rsid w:val="00A00499"/>
    <w:rsid w:val="00A00522"/>
    <w:rsid w:val="00A00565"/>
    <w:rsid w:val="00A0067C"/>
    <w:rsid w:val="00A006A3"/>
    <w:rsid w:val="00A007BD"/>
    <w:rsid w:val="00A00818"/>
    <w:rsid w:val="00A0084F"/>
    <w:rsid w:val="00A00899"/>
    <w:rsid w:val="00A00911"/>
    <w:rsid w:val="00A00B1C"/>
    <w:rsid w:val="00A00C05"/>
    <w:rsid w:val="00A00DC1"/>
    <w:rsid w:val="00A00E02"/>
    <w:rsid w:val="00A00E25"/>
    <w:rsid w:val="00A0128B"/>
    <w:rsid w:val="00A012BF"/>
    <w:rsid w:val="00A012C6"/>
    <w:rsid w:val="00A0136F"/>
    <w:rsid w:val="00A017F4"/>
    <w:rsid w:val="00A01A7F"/>
    <w:rsid w:val="00A01ADE"/>
    <w:rsid w:val="00A01B12"/>
    <w:rsid w:val="00A01D74"/>
    <w:rsid w:val="00A01D97"/>
    <w:rsid w:val="00A01DDB"/>
    <w:rsid w:val="00A01EBB"/>
    <w:rsid w:val="00A01F34"/>
    <w:rsid w:val="00A01F35"/>
    <w:rsid w:val="00A020B9"/>
    <w:rsid w:val="00A0224F"/>
    <w:rsid w:val="00A02319"/>
    <w:rsid w:val="00A02369"/>
    <w:rsid w:val="00A023BD"/>
    <w:rsid w:val="00A024E2"/>
    <w:rsid w:val="00A028DA"/>
    <w:rsid w:val="00A02A79"/>
    <w:rsid w:val="00A02B4B"/>
    <w:rsid w:val="00A02C77"/>
    <w:rsid w:val="00A02D03"/>
    <w:rsid w:val="00A02DF0"/>
    <w:rsid w:val="00A02EB0"/>
    <w:rsid w:val="00A03054"/>
    <w:rsid w:val="00A0325A"/>
    <w:rsid w:val="00A03423"/>
    <w:rsid w:val="00A037FE"/>
    <w:rsid w:val="00A038E9"/>
    <w:rsid w:val="00A03BB1"/>
    <w:rsid w:val="00A03C11"/>
    <w:rsid w:val="00A03C33"/>
    <w:rsid w:val="00A03CC1"/>
    <w:rsid w:val="00A03DB5"/>
    <w:rsid w:val="00A03E98"/>
    <w:rsid w:val="00A03EF0"/>
    <w:rsid w:val="00A03F50"/>
    <w:rsid w:val="00A04025"/>
    <w:rsid w:val="00A040B7"/>
    <w:rsid w:val="00A040E6"/>
    <w:rsid w:val="00A0425E"/>
    <w:rsid w:val="00A04274"/>
    <w:rsid w:val="00A042A8"/>
    <w:rsid w:val="00A04375"/>
    <w:rsid w:val="00A044BB"/>
    <w:rsid w:val="00A04566"/>
    <w:rsid w:val="00A045B9"/>
    <w:rsid w:val="00A045D5"/>
    <w:rsid w:val="00A04602"/>
    <w:rsid w:val="00A04685"/>
    <w:rsid w:val="00A04699"/>
    <w:rsid w:val="00A04914"/>
    <w:rsid w:val="00A049E8"/>
    <w:rsid w:val="00A04AF8"/>
    <w:rsid w:val="00A04BE9"/>
    <w:rsid w:val="00A04DA6"/>
    <w:rsid w:val="00A04E5F"/>
    <w:rsid w:val="00A04F66"/>
    <w:rsid w:val="00A04FFB"/>
    <w:rsid w:val="00A05004"/>
    <w:rsid w:val="00A050EC"/>
    <w:rsid w:val="00A0512F"/>
    <w:rsid w:val="00A051D5"/>
    <w:rsid w:val="00A05437"/>
    <w:rsid w:val="00A056A7"/>
    <w:rsid w:val="00A056C5"/>
    <w:rsid w:val="00A05736"/>
    <w:rsid w:val="00A05766"/>
    <w:rsid w:val="00A05788"/>
    <w:rsid w:val="00A057FC"/>
    <w:rsid w:val="00A05845"/>
    <w:rsid w:val="00A05866"/>
    <w:rsid w:val="00A059D8"/>
    <w:rsid w:val="00A05A09"/>
    <w:rsid w:val="00A05AF3"/>
    <w:rsid w:val="00A05C91"/>
    <w:rsid w:val="00A05E6E"/>
    <w:rsid w:val="00A05ECE"/>
    <w:rsid w:val="00A06028"/>
    <w:rsid w:val="00A060FB"/>
    <w:rsid w:val="00A0622C"/>
    <w:rsid w:val="00A062CD"/>
    <w:rsid w:val="00A06323"/>
    <w:rsid w:val="00A06334"/>
    <w:rsid w:val="00A06346"/>
    <w:rsid w:val="00A06355"/>
    <w:rsid w:val="00A064AA"/>
    <w:rsid w:val="00A064BE"/>
    <w:rsid w:val="00A0661A"/>
    <w:rsid w:val="00A06681"/>
    <w:rsid w:val="00A0668C"/>
    <w:rsid w:val="00A0672A"/>
    <w:rsid w:val="00A06780"/>
    <w:rsid w:val="00A069B4"/>
    <w:rsid w:val="00A06AC1"/>
    <w:rsid w:val="00A06B3A"/>
    <w:rsid w:val="00A06CA3"/>
    <w:rsid w:val="00A06F0C"/>
    <w:rsid w:val="00A07040"/>
    <w:rsid w:val="00A070C7"/>
    <w:rsid w:val="00A07228"/>
    <w:rsid w:val="00A0723B"/>
    <w:rsid w:val="00A07329"/>
    <w:rsid w:val="00A0740F"/>
    <w:rsid w:val="00A074D6"/>
    <w:rsid w:val="00A07563"/>
    <w:rsid w:val="00A07699"/>
    <w:rsid w:val="00A076AC"/>
    <w:rsid w:val="00A076FD"/>
    <w:rsid w:val="00A07791"/>
    <w:rsid w:val="00A0799D"/>
    <w:rsid w:val="00A07A79"/>
    <w:rsid w:val="00A07B0A"/>
    <w:rsid w:val="00A07C55"/>
    <w:rsid w:val="00A07C8C"/>
    <w:rsid w:val="00A07CCB"/>
    <w:rsid w:val="00A07CD9"/>
    <w:rsid w:val="00A07CEB"/>
    <w:rsid w:val="00A07E6C"/>
    <w:rsid w:val="00A07EFD"/>
    <w:rsid w:val="00A07F1E"/>
    <w:rsid w:val="00A10132"/>
    <w:rsid w:val="00A1032A"/>
    <w:rsid w:val="00A10374"/>
    <w:rsid w:val="00A10412"/>
    <w:rsid w:val="00A10491"/>
    <w:rsid w:val="00A1058D"/>
    <w:rsid w:val="00A10616"/>
    <w:rsid w:val="00A10744"/>
    <w:rsid w:val="00A1076B"/>
    <w:rsid w:val="00A107B4"/>
    <w:rsid w:val="00A10815"/>
    <w:rsid w:val="00A1090B"/>
    <w:rsid w:val="00A109EC"/>
    <w:rsid w:val="00A10AAE"/>
    <w:rsid w:val="00A10AF4"/>
    <w:rsid w:val="00A10B7D"/>
    <w:rsid w:val="00A10D7A"/>
    <w:rsid w:val="00A1113D"/>
    <w:rsid w:val="00A11380"/>
    <w:rsid w:val="00A11381"/>
    <w:rsid w:val="00A11483"/>
    <w:rsid w:val="00A11795"/>
    <w:rsid w:val="00A11860"/>
    <w:rsid w:val="00A118EA"/>
    <w:rsid w:val="00A1193E"/>
    <w:rsid w:val="00A11ADA"/>
    <w:rsid w:val="00A11B18"/>
    <w:rsid w:val="00A11C39"/>
    <w:rsid w:val="00A11C62"/>
    <w:rsid w:val="00A11C6B"/>
    <w:rsid w:val="00A11E0C"/>
    <w:rsid w:val="00A1203E"/>
    <w:rsid w:val="00A1213A"/>
    <w:rsid w:val="00A12394"/>
    <w:rsid w:val="00A123A2"/>
    <w:rsid w:val="00A123E3"/>
    <w:rsid w:val="00A12492"/>
    <w:rsid w:val="00A1256E"/>
    <w:rsid w:val="00A12614"/>
    <w:rsid w:val="00A126BF"/>
    <w:rsid w:val="00A12770"/>
    <w:rsid w:val="00A127ED"/>
    <w:rsid w:val="00A1283C"/>
    <w:rsid w:val="00A12869"/>
    <w:rsid w:val="00A128DA"/>
    <w:rsid w:val="00A1290C"/>
    <w:rsid w:val="00A1291E"/>
    <w:rsid w:val="00A12947"/>
    <w:rsid w:val="00A1295E"/>
    <w:rsid w:val="00A129CF"/>
    <w:rsid w:val="00A12AC0"/>
    <w:rsid w:val="00A12B47"/>
    <w:rsid w:val="00A12BE6"/>
    <w:rsid w:val="00A12C1D"/>
    <w:rsid w:val="00A12C91"/>
    <w:rsid w:val="00A12CC2"/>
    <w:rsid w:val="00A12CD0"/>
    <w:rsid w:val="00A12D4B"/>
    <w:rsid w:val="00A12D5A"/>
    <w:rsid w:val="00A12E58"/>
    <w:rsid w:val="00A1302D"/>
    <w:rsid w:val="00A1303E"/>
    <w:rsid w:val="00A130B6"/>
    <w:rsid w:val="00A130FE"/>
    <w:rsid w:val="00A1315F"/>
    <w:rsid w:val="00A1321E"/>
    <w:rsid w:val="00A132A3"/>
    <w:rsid w:val="00A132FA"/>
    <w:rsid w:val="00A13325"/>
    <w:rsid w:val="00A1339E"/>
    <w:rsid w:val="00A134CE"/>
    <w:rsid w:val="00A13702"/>
    <w:rsid w:val="00A13735"/>
    <w:rsid w:val="00A1383E"/>
    <w:rsid w:val="00A13952"/>
    <w:rsid w:val="00A13AAD"/>
    <w:rsid w:val="00A13B05"/>
    <w:rsid w:val="00A13DDD"/>
    <w:rsid w:val="00A13E01"/>
    <w:rsid w:val="00A13E56"/>
    <w:rsid w:val="00A140B6"/>
    <w:rsid w:val="00A1429D"/>
    <w:rsid w:val="00A143EF"/>
    <w:rsid w:val="00A1440E"/>
    <w:rsid w:val="00A1444D"/>
    <w:rsid w:val="00A1444E"/>
    <w:rsid w:val="00A14509"/>
    <w:rsid w:val="00A1452B"/>
    <w:rsid w:val="00A1475A"/>
    <w:rsid w:val="00A14760"/>
    <w:rsid w:val="00A14880"/>
    <w:rsid w:val="00A148D6"/>
    <w:rsid w:val="00A14991"/>
    <w:rsid w:val="00A14AD8"/>
    <w:rsid w:val="00A14ADB"/>
    <w:rsid w:val="00A14B4D"/>
    <w:rsid w:val="00A14BB7"/>
    <w:rsid w:val="00A14CD5"/>
    <w:rsid w:val="00A14CF3"/>
    <w:rsid w:val="00A14E8D"/>
    <w:rsid w:val="00A14EFC"/>
    <w:rsid w:val="00A14F7F"/>
    <w:rsid w:val="00A14F83"/>
    <w:rsid w:val="00A15056"/>
    <w:rsid w:val="00A1505E"/>
    <w:rsid w:val="00A1527C"/>
    <w:rsid w:val="00A1556D"/>
    <w:rsid w:val="00A1573C"/>
    <w:rsid w:val="00A15743"/>
    <w:rsid w:val="00A1578C"/>
    <w:rsid w:val="00A1582C"/>
    <w:rsid w:val="00A1592F"/>
    <w:rsid w:val="00A15A0C"/>
    <w:rsid w:val="00A15C14"/>
    <w:rsid w:val="00A15C62"/>
    <w:rsid w:val="00A15C76"/>
    <w:rsid w:val="00A15D21"/>
    <w:rsid w:val="00A15D8E"/>
    <w:rsid w:val="00A15DC2"/>
    <w:rsid w:val="00A15DD6"/>
    <w:rsid w:val="00A15E30"/>
    <w:rsid w:val="00A1601D"/>
    <w:rsid w:val="00A160BA"/>
    <w:rsid w:val="00A16364"/>
    <w:rsid w:val="00A16435"/>
    <w:rsid w:val="00A1659C"/>
    <w:rsid w:val="00A165B2"/>
    <w:rsid w:val="00A16692"/>
    <w:rsid w:val="00A16702"/>
    <w:rsid w:val="00A16723"/>
    <w:rsid w:val="00A167FC"/>
    <w:rsid w:val="00A16834"/>
    <w:rsid w:val="00A1693E"/>
    <w:rsid w:val="00A169A0"/>
    <w:rsid w:val="00A169E1"/>
    <w:rsid w:val="00A16A55"/>
    <w:rsid w:val="00A16C56"/>
    <w:rsid w:val="00A16D23"/>
    <w:rsid w:val="00A16F00"/>
    <w:rsid w:val="00A16F82"/>
    <w:rsid w:val="00A170E3"/>
    <w:rsid w:val="00A17131"/>
    <w:rsid w:val="00A172A9"/>
    <w:rsid w:val="00A17343"/>
    <w:rsid w:val="00A17369"/>
    <w:rsid w:val="00A17403"/>
    <w:rsid w:val="00A1744E"/>
    <w:rsid w:val="00A1750B"/>
    <w:rsid w:val="00A1751C"/>
    <w:rsid w:val="00A17538"/>
    <w:rsid w:val="00A1765E"/>
    <w:rsid w:val="00A17773"/>
    <w:rsid w:val="00A177A7"/>
    <w:rsid w:val="00A17D9F"/>
    <w:rsid w:val="00A17E4A"/>
    <w:rsid w:val="00A17F53"/>
    <w:rsid w:val="00A17F9B"/>
    <w:rsid w:val="00A20058"/>
    <w:rsid w:val="00A2007A"/>
    <w:rsid w:val="00A2013D"/>
    <w:rsid w:val="00A2016D"/>
    <w:rsid w:val="00A201FA"/>
    <w:rsid w:val="00A202BF"/>
    <w:rsid w:val="00A202F9"/>
    <w:rsid w:val="00A20682"/>
    <w:rsid w:val="00A206CA"/>
    <w:rsid w:val="00A20809"/>
    <w:rsid w:val="00A20846"/>
    <w:rsid w:val="00A2088B"/>
    <w:rsid w:val="00A20934"/>
    <w:rsid w:val="00A209EB"/>
    <w:rsid w:val="00A209FD"/>
    <w:rsid w:val="00A20A61"/>
    <w:rsid w:val="00A20AD8"/>
    <w:rsid w:val="00A20C37"/>
    <w:rsid w:val="00A20C67"/>
    <w:rsid w:val="00A20CDF"/>
    <w:rsid w:val="00A20DE3"/>
    <w:rsid w:val="00A20E19"/>
    <w:rsid w:val="00A20EC8"/>
    <w:rsid w:val="00A20F92"/>
    <w:rsid w:val="00A20FE9"/>
    <w:rsid w:val="00A21025"/>
    <w:rsid w:val="00A21207"/>
    <w:rsid w:val="00A212B9"/>
    <w:rsid w:val="00A212E6"/>
    <w:rsid w:val="00A213F7"/>
    <w:rsid w:val="00A21402"/>
    <w:rsid w:val="00A21445"/>
    <w:rsid w:val="00A214F6"/>
    <w:rsid w:val="00A215D4"/>
    <w:rsid w:val="00A21699"/>
    <w:rsid w:val="00A217BB"/>
    <w:rsid w:val="00A218B0"/>
    <w:rsid w:val="00A2197A"/>
    <w:rsid w:val="00A219D5"/>
    <w:rsid w:val="00A21A28"/>
    <w:rsid w:val="00A21B49"/>
    <w:rsid w:val="00A21BF4"/>
    <w:rsid w:val="00A21C25"/>
    <w:rsid w:val="00A21C2B"/>
    <w:rsid w:val="00A21C69"/>
    <w:rsid w:val="00A21CAE"/>
    <w:rsid w:val="00A21D04"/>
    <w:rsid w:val="00A21DE5"/>
    <w:rsid w:val="00A21E0E"/>
    <w:rsid w:val="00A21E67"/>
    <w:rsid w:val="00A21FBD"/>
    <w:rsid w:val="00A21FEC"/>
    <w:rsid w:val="00A2200C"/>
    <w:rsid w:val="00A220CB"/>
    <w:rsid w:val="00A221F1"/>
    <w:rsid w:val="00A22247"/>
    <w:rsid w:val="00A22273"/>
    <w:rsid w:val="00A222BC"/>
    <w:rsid w:val="00A22351"/>
    <w:rsid w:val="00A2235C"/>
    <w:rsid w:val="00A225A2"/>
    <w:rsid w:val="00A22630"/>
    <w:rsid w:val="00A22685"/>
    <w:rsid w:val="00A2279C"/>
    <w:rsid w:val="00A227ED"/>
    <w:rsid w:val="00A22891"/>
    <w:rsid w:val="00A228BC"/>
    <w:rsid w:val="00A228D2"/>
    <w:rsid w:val="00A228D3"/>
    <w:rsid w:val="00A228D4"/>
    <w:rsid w:val="00A228D9"/>
    <w:rsid w:val="00A22A2A"/>
    <w:rsid w:val="00A22AE0"/>
    <w:rsid w:val="00A22B21"/>
    <w:rsid w:val="00A22DA2"/>
    <w:rsid w:val="00A22DA4"/>
    <w:rsid w:val="00A22E69"/>
    <w:rsid w:val="00A22F21"/>
    <w:rsid w:val="00A22F9B"/>
    <w:rsid w:val="00A23447"/>
    <w:rsid w:val="00A2355E"/>
    <w:rsid w:val="00A235D3"/>
    <w:rsid w:val="00A235D8"/>
    <w:rsid w:val="00A235EF"/>
    <w:rsid w:val="00A23619"/>
    <w:rsid w:val="00A2363B"/>
    <w:rsid w:val="00A2364E"/>
    <w:rsid w:val="00A23697"/>
    <w:rsid w:val="00A23780"/>
    <w:rsid w:val="00A237E1"/>
    <w:rsid w:val="00A238A3"/>
    <w:rsid w:val="00A238DB"/>
    <w:rsid w:val="00A2390D"/>
    <w:rsid w:val="00A23930"/>
    <w:rsid w:val="00A23AE2"/>
    <w:rsid w:val="00A23B4A"/>
    <w:rsid w:val="00A23D22"/>
    <w:rsid w:val="00A23D5F"/>
    <w:rsid w:val="00A23F3F"/>
    <w:rsid w:val="00A23F41"/>
    <w:rsid w:val="00A23F72"/>
    <w:rsid w:val="00A23FC3"/>
    <w:rsid w:val="00A24029"/>
    <w:rsid w:val="00A240EF"/>
    <w:rsid w:val="00A241B4"/>
    <w:rsid w:val="00A24311"/>
    <w:rsid w:val="00A243D7"/>
    <w:rsid w:val="00A2498E"/>
    <w:rsid w:val="00A24A27"/>
    <w:rsid w:val="00A24B58"/>
    <w:rsid w:val="00A24B7E"/>
    <w:rsid w:val="00A24BEB"/>
    <w:rsid w:val="00A24C09"/>
    <w:rsid w:val="00A24CA8"/>
    <w:rsid w:val="00A24D2C"/>
    <w:rsid w:val="00A24F8E"/>
    <w:rsid w:val="00A253CC"/>
    <w:rsid w:val="00A25466"/>
    <w:rsid w:val="00A25493"/>
    <w:rsid w:val="00A254FA"/>
    <w:rsid w:val="00A2558E"/>
    <w:rsid w:val="00A25670"/>
    <w:rsid w:val="00A2567F"/>
    <w:rsid w:val="00A25709"/>
    <w:rsid w:val="00A25879"/>
    <w:rsid w:val="00A25917"/>
    <w:rsid w:val="00A2591D"/>
    <w:rsid w:val="00A2599E"/>
    <w:rsid w:val="00A259C8"/>
    <w:rsid w:val="00A25A4D"/>
    <w:rsid w:val="00A25D15"/>
    <w:rsid w:val="00A25D64"/>
    <w:rsid w:val="00A25D78"/>
    <w:rsid w:val="00A25DA3"/>
    <w:rsid w:val="00A26016"/>
    <w:rsid w:val="00A2609B"/>
    <w:rsid w:val="00A2616A"/>
    <w:rsid w:val="00A262A5"/>
    <w:rsid w:val="00A26324"/>
    <w:rsid w:val="00A2646E"/>
    <w:rsid w:val="00A26472"/>
    <w:rsid w:val="00A264CA"/>
    <w:rsid w:val="00A2653A"/>
    <w:rsid w:val="00A2658F"/>
    <w:rsid w:val="00A2677E"/>
    <w:rsid w:val="00A2692B"/>
    <w:rsid w:val="00A269BF"/>
    <w:rsid w:val="00A269D7"/>
    <w:rsid w:val="00A26AA5"/>
    <w:rsid w:val="00A26AA9"/>
    <w:rsid w:val="00A26B01"/>
    <w:rsid w:val="00A26B1C"/>
    <w:rsid w:val="00A26CD7"/>
    <w:rsid w:val="00A26D89"/>
    <w:rsid w:val="00A26E1C"/>
    <w:rsid w:val="00A26F41"/>
    <w:rsid w:val="00A26FFA"/>
    <w:rsid w:val="00A2708B"/>
    <w:rsid w:val="00A270FC"/>
    <w:rsid w:val="00A2717D"/>
    <w:rsid w:val="00A2728E"/>
    <w:rsid w:val="00A27439"/>
    <w:rsid w:val="00A27470"/>
    <w:rsid w:val="00A27597"/>
    <w:rsid w:val="00A27603"/>
    <w:rsid w:val="00A27853"/>
    <w:rsid w:val="00A27863"/>
    <w:rsid w:val="00A27898"/>
    <w:rsid w:val="00A27983"/>
    <w:rsid w:val="00A27A66"/>
    <w:rsid w:val="00A27AE4"/>
    <w:rsid w:val="00A27B66"/>
    <w:rsid w:val="00A27C11"/>
    <w:rsid w:val="00A27CED"/>
    <w:rsid w:val="00A27DA4"/>
    <w:rsid w:val="00A27E66"/>
    <w:rsid w:val="00A27F8B"/>
    <w:rsid w:val="00A30056"/>
    <w:rsid w:val="00A30078"/>
    <w:rsid w:val="00A3023C"/>
    <w:rsid w:val="00A30317"/>
    <w:rsid w:val="00A30334"/>
    <w:rsid w:val="00A303A7"/>
    <w:rsid w:val="00A303FE"/>
    <w:rsid w:val="00A3041E"/>
    <w:rsid w:val="00A30435"/>
    <w:rsid w:val="00A30437"/>
    <w:rsid w:val="00A3044E"/>
    <w:rsid w:val="00A3070D"/>
    <w:rsid w:val="00A3080A"/>
    <w:rsid w:val="00A3086D"/>
    <w:rsid w:val="00A308DD"/>
    <w:rsid w:val="00A30970"/>
    <w:rsid w:val="00A30AD0"/>
    <w:rsid w:val="00A30B5A"/>
    <w:rsid w:val="00A30DB4"/>
    <w:rsid w:val="00A30DCF"/>
    <w:rsid w:val="00A31158"/>
    <w:rsid w:val="00A311C4"/>
    <w:rsid w:val="00A311C9"/>
    <w:rsid w:val="00A313DE"/>
    <w:rsid w:val="00A313F4"/>
    <w:rsid w:val="00A314D3"/>
    <w:rsid w:val="00A31504"/>
    <w:rsid w:val="00A31545"/>
    <w:rsid w:val="00A318B6"/>
    <w:rsid w:val="00A318F2"/>
    <w:rsid w:val="00A31970"/>
    <w:rsid w:val="00A3199B"/>
    <w:rsid w:val="00A319F4"/>
    <w:rsid w:val="00A31A18"/>
    <w:rsid w:val="00A31CDB"/>
    <w:rsid w:val="00A31D0F"/>
    <w:rsid w:val="00A31DEE"/>
    <w:rsid w:val="00A31E98"/>
    <w:rsid w:val="00A31F78"/>
    <w:rsid w:val="00A32137"/>
    <w:rsid w:val="00A32144"/>
    <w:rsid w:val="00A3226B"/>
    <w:rsid w:val="00A323A4"/>
    <w:rsid w:val="00A323A6"/>
    <w:rsid w:val="00A32487"/>
    <w:rsid w:val="00A324F0"/>
    <w:rsid w:val="00A32529"/>
    <w:rsid w:val="00A326D2"/>
    <w:rsid w:val="00A3289B"/>
    <w:rsid w:val="00A328EB"/>
    <w:rsid w:val="00A3297B"/>
    <w:rsid w:val="00A32A1B"/>
    <w:rsid w:val="00A32A57"/>
    <w:rsid w:val="00A32C80"/>
    <w:rsid w:val="00A32D9B"/>
    <w:rsid w:val="00A32E14"/>
    <w:rsid w:val="00A32EDC"/>
    <w:rsid w:val="00A332E1"/>
    <w:rsid w:val="00A33510"/>
    <w:rsid w:val="00A3358A"/>
    <w:rsid w:val="00A338DC"/>
    <w:rsid w:val="00A33B43"/>
    <w:rsid w:val="00A33BEC"/>
    <w:rsid w:val="00A33FC9"/>
    <w:rsid w:val="00A3405F"/>
    <w:rsid w:val="00A34119"/>
    <w:rsid w:val="00A34249"/>
    <w:rsid w:val="00A34290"/>
    <w:rsid w:val="00A34437"/>
    <w:rsid w:val="00A3448B"/>
    <w:rsid w:val="00A344F0"/>
    <w:rsid w:val="00A34520"/>
    <w:rsid w:val="00A34587"/>
    <w:rsid w:val="00A346CB"/>
    <w:rsid w:val="00A34865"/>
    <w:rsid w:val="00A34900"/>
    <w:rsid w:val="00A34951"/>
    <w:rsid w:val="00A3495B"/>
    <w:rsid w:val="00A34A05"/>
    <w:rsid w:val="00A34B7A"/>
    <w:rsid w:val="00A34B9F"/>
    <w:rsid w:val="00A34C27"/>
    <w:rsid w:val="00A34DB0"/>
    <w:rsid w:val="00A34F79"/>
    <w:rsid w:val="00A34FDF"/>
    <w:rsid w:val="00A3550E"/>
    <w:rsid w:val="00A35577"/>
    <w:rsid w:val="00A357D7"/>
    <w:rsid w:val="00A358C9"/>
    <w:rsid w:val="00A359B9"/>
    <w:rsid w:val="00A35B02"/>
    <w:rsid w:val="00A35B5D"/>
    <w:rsid w:val="00A35B80"/>
    <w:rsid w:val="00A35D1A"/>
    <w:rsid w:val="00A35D36"/>
    <w:rsid w:val="00A35FEB"/>
    <w:rsid w:val="00A360FB"/>
    <w:rsid w:val="00A36144"/>
    <w:rsid w:val="00A3627D"/>
    <w:rsid w:val="00A36292"/>
    <w:rsid w:val="00A363AD"/>
    <w:rsid w:val="00A36481"/>
    <w:rsid w:val="00A36519"/>
    <w:rsid w:val="00A365BF"/>
    <w:rsid w:val="00A365F0"/>
    <w:rsid w:val="00A366B1"/>
    <w:rsid w:val="00A3679D"/>
    <w:rsid w:val="00A368A2"/>
    <w:rsid w:val="00A368F8"/>
    <w:rsid w:val="00A368FC"/>
    <w:rsid w:val="00A369DD"/>
    <w:rsid w:val="00A36ABE"/>
    <w:rsid w:val="00A36C9D"/>
    <w:rsid w:val="00A37097"/>
    <w:rsid w:val="00A370B7"/>
    <w:rsid w:val="00A37135"/>
    <w:rsid w:val="00A3737E"/>
    <w:rsid w:val="00A37599"/>
    <w:rsid w:val="00A3768A"/>
    <w:rsid w:val="00A377B2"/>
    <w:rsid w:val="00A37804"/>
    <w:rsid w:val="00A37912"/>
    <w:rsid w:val="00A37A89"/>
    <w:rsid w:val="00A37C55"/>
    <w:rsid w:val="00A37C70"/>
    <w:rsid w:val="00A37CD9"/>
    <w:rsid w:val="00A37CE4"/>
    <w:rsid w:val="00A37D58"/>
    <w:rsid w:val="00A37DCF"/>
    <w:rsid w:val="00A37E18"/>
    <w:rsid w:val="00A37EE3"/>
    <w:rsid w:val="00A37F64"/>
    <w:rsid w:val="00A37F67"/>
    <w:rsid w:val="00A40025"/>
    <w:rsid w:val="00A40217"/>
    <w:rsid w:val="00A40302"/>
    <w:rsid w:val="00A40501"/>
    <w:rsid w:val="00A4050D"/>
    <w:rsid w:val="00A406BE"/>
    <w:rsid w:val="00A408FD"/>
    <w:rsid w:val="00A409A9"/>
    <w:rsid w:val="00A409C9"/>
    <w:rsid w:val="00A40A5B"/>
    <w:rsid w:val="00A40ABC"/>
    <w:rsid w:val="00A40AEB"/>
    <w:rsid w:val="00A40B92"/>
    <w:rsid w:val="00A40CD1"/>
    <w:rsid w:val="00A40D00"/>
    <w:rsid w:val="00A40EAF"/>
    <w:rsid w:val="00A40F0A"/>
    <w:rsid w:val="00A40F33"/>
    <w:rsid w:val="00A40F83"/>
    <w:rsid w:val="00A41078"/>
    <w:rsid w:val="00A41088"/>
    <w:rsid w:val="00A410EB"/>
    <w:rsid w:val="00A41174"/>
    <w:rsid w:val="00A412F6"/>
    <w:rsid w:val="00A413DD"/>
    <w:rsid w:val="00A4159B"/>
    <w:rsid w:val="00A4174C"/>
    <w:rsid w:val="00A418A0"/>
    <w:rsid w:val="00A418FF"/>
    <w:rsid w:val="00A41B01"/>
    <w:rsid w:val="00A41B41"/>
    <w:rsid w:val="00A41C9F"/>
    <w:rsid w:val="00A41D0A"/>
    <w:rsid w:val="00A41D4C"/>
    <w:rsid w:val="00A41D96"/>
    <w:rsid w:val="00A41F00"/>
    <w:rsid w:val="00A421E3"/>
    <w:rsid w:val="00A42351"/>
    <w:rsid w:val="00A42497"/>
    <w:rsid w:val="00A42537"/>
    <w:rsid w:val="00A425A8"/>
    <w:rsid w:val="00A42675"/>
    <w:rsid w:val="00A42692"/>
    <w:rsid w:val="00A42824"/>
    <w:rsid w:val="00A428D4"/>
    <w:rsid w:val="00A42902"/>
    <w:rsid w:val="00A42903"/>
    <w:rsid w:val="00A42A3F"/>
    <w:rsid w:val="00A42AA1"/>
    <w:rsid w:val="00A42C0E"/>
    <w:rsid w:val="00A42DFD"/>
    <w:rsid w:val="00A42F36"/>
    <w:rsid w:val="00A42F3E"/>
    <w:rsid w:val="00A43334"/>
    <w:rsid w:val="00A433AD"/>
    <w:rsid w:val="00A433BE"/>
    <w:rsid w:val="00A43545"/>
    <w:rsid w:val="00A435B4"/>
    <w:rsid w:val="00A43659"/>
    <w:rsid w:val="00A4367D"/>
    <w:rsid w:val="00A436A1"/>
    <w:rsid w:val="00A437D9"/>
    <w:rsid w:val="00A4395D"/>
    <w:rsid w:val="00A43A8A"/>
    <w:rsid w:val="00A43B72"/>
    <w:rsid w:val="00A43BFB"/>
    <w:rsid w:val="00A43CAA"/>
    <w:rsid w:val="00A43CCF"/>
    <w:rsid w:val="00A43D3B"/>
    <w:rsid w:val="00A43E25"/>
    <w:rsid w:val="00A43E3E"/>
    <w:rsid w:val="00A43EBF"/>
    <w:rsid w:val="00A43EF9"/>
    <w:rsid w:val="00A43FBD"/>
    <w:rsid w:val="00A44087"/>
    <w:rsid w:val="00A441A9"/>
    <w:rsid w:val="00A441E7"/>
    <w:rsid w:val="00A4433C"/>
    <w:rsid w:val="00A443FB"/>
    <w:rsid w:val="00A4448C"/>
    <w:rsid w:val="00A444B2"/>
    <w:rsid w:val="00A44659"/>
    <w:rsid w:val="00A4466B"/>
    <w:rsid w:val="00A446E5"/>
    <w:rsid w:val="00A4486F"/>
    <w:rsid w:val="00A44A91"/>
    <w:rsid w:val="00A44B4E"/>
    <w:rsid w:val="00A44B82"/>
    <w:rsid w:val="00A44BA7"/>
    <w:rsid w:val="00A44D4B"/>
    <w:rsid w:val="00A44D4F"/>
    <w:rsid w:val="00A44E1E"/>
    <w:rsid w:val="00A44F65"/>
    <w:rsid w:val="00A44FA4"/>
    <w:rsid w:val="00A44FB4"/>
    <w:rsid w:val="00A4504A"/>
    <w:rsid w:val="00A45145"/>
    <w:rsid w:val="00A451BD"/>
    <w:rsid w:val="00A451C4"/>
    <w:rsid w:val="00A452DE"/>
    <w:rsid w:val="00A45323"/>
    <w:rsid w:val="00A4547F"/>
    <w:rsid w:val="00A455BF"/>
    <w:rsid w:val="00A4568C"/>
    <w:rsid w:val="00A4586B"/>
    <w:rsid w:val="00A45A36"/>
    <w:rsid w:val="00A45B3F"/>
    <w:rsid w:val="00A45CF9"/>
    <w:rsid w:val="00A45D30"/>
    <w:rsid w:val="00A45DAD"/>
    <w:rsid w:val="00A45F5B"/>
    <w:rsid w:val="00A4604A"/>
    <w:rsid w:val="00A4607F"/>
    <w:rsid w:val="00A461CE"/>
    <w:rsid w:val="00A462F2"/>
    <w:rsid w:val="00A46341"/>
    <w:rsid w:val="00A46368"/>
    <w:rsid w:val="00A4636B"/>
    <w:rsid w:val="00A46538"/>
    <w:rsid w:val="00A465A4"/>
    <w:rsid w:val="00A4669D"/>
    <w:rsid w:val="00A46889"/>
    <w:rsid w:val="00A468AA"/>
    <w:rsid w:val="00A46904"/>
    <w:rsid w:val="00A46AFD"/>
    <w:rsid w:val="00A46CAB"/>
    <w:rsid w:val="00A46DEE"/>
    <w:rsid w:val="00A46E62"/>
    <w:rsid w:val="00A46FA6"/>
    <w:rsid w:val="00A47064"/>
    <w:rsid w:val="00A47282"/>
    <w:rsid w:val="00A47290"/>
    <w:rsid w:val="00A47381"/>
    <w:rsid w:val="00A47504"/>
    <w:rsid w:val="00A47514"/>
    <w:rsid w:val="00A4751A"/>
    <w:rsid w:val="00A4752A"/>
    <w:rsid w:val="00A47590"/>
    <w:rsid w:val="00A475DE"/>
    <w:rsid w:val="00A47748"/>
    <w:rsid w:val="00A4775D"/>
    <w:rsid w:val="00A47826"/>
    <w:rsid w:val="00A4788F"/>
    <w:rsid w:val="00A478E0"/>
    <w:rsid w:val="00A47948"/>
    <w:rsid w:val="00A47A4A"/>
    <w:rsid w:val="00A47AC3"/>
    <w:rsid w:val="00A47C7B"/>
    <w:rsid w:val="00A47E31"/>
    <w:rsid w:val="00A47ECD"/>
    <w:rsid w:val="00A47F66"/>
    <w:rsid w:val="00A47FC5"/>
    <w:rsid w:val="00A500D7"/>
    <w:rsid w:val="00A50146"/>
    <w:rsid w:val="00A5015D"/>
    <w:rsid w:val="00A50188"/>
    <w:rsid w:val="00A502A7"/>
    <w:rsid w:val="00A502A9"/>
    <w:rsid w:val="00A50409"/>
    <w:rsid w:val="00A5048E"/>
    <w:rsid w:val="00A5059A"/>
    <w:rsid w:val="00A505DA"/>
    <w:rsid w:val="00A50649"/>
    <w:rsid w:val="00A50871"/>
    <w:rsid w:val="00A50908"/>
    <w:rsid w:val="00A509AF"/>
    <w:rsid w:val="00A509B5"/>
    <w:rsid w:val="00A50A8D"/>
    <w:rsid w:val="00A50B93"/>
    <w:rsid w:val="00A50C76"/>
    <w:rsid w:val="00A50DB1"/>
    <w:rsid w:val="00A50DC1"/>
    <w:rsid w:val="00A50DFD"/>
    <w:rsid w:val="00A50EA2"/>
    <w:rsid w:val="00A50EDB"/>
    <w:rsid w:val="00A50F7D"/>
    <w:rsid w:val="00A51105"/>
    <w:rsid w:val="00A51262"/>
    <w:rsid w:val="00A51424"/>
    <w:rsid w:val="00A515B4"/>
    <w:rsid w:val="00A5161E"/>
    <w:rsid w:val="00A5170F"/>
    <w:rsid w:val="00A519BD"/>
    <w:rsid w:val="00A519D1"/>
    <w:rsid w:val="00A51B55"/>
    <w:rsid w:val="00A51C9E"/>
    <w:rsid w:val="00A51E9A"/>
    <w:rsid w:val="00A51E9B"/>
    <w:rsid w:val="00A51F24"/>
    <w:rsid w:val="00A5201A"/>
    <w:rsid w:val="00A5203B"/>
    <w:rsid w:val="00A5211D"/>
    <w:rsid w:val="00A5217E"/>
    <w:rsid w:val="00A5219A"/>
    <w:rsid w:val="00A52294"/>
    <w:rsid w:val="00A52736"/>
    <w:rsid w:val="00A5294A"/>
    <w:rsid w:val="00A529C0"/>
    <w:rsid w:val="00A52A57"/>
    <w:rsid w:val="00A52B30"/>
    <w:rsid w:val="00A52C8A"/>
    <w:rsid w:val="00A52CA4"/>
    <w:rsid w:val="00A52F5F"/>
    <w:rsid w:val="00A52F69"/>
    <w:rsid w:val="00A530C9"/>
    <w:rsid w:val="00A53148"/>
    <w:rsid w:val="00A53169"/>
    <w:rsid w:val="00A531AD"/>
    <w:rsid w:val="00A532E7"/>
    <w:rsid w:val="00A53304"/>
    <w:rsid w:val="00A533EF"/>
    <w:rsid w:val="00A53407"/>
    <w:rsid w:val="00A5354E"/>
    <w:rsid w:val="00A5357D"/>
    <w:rsid w:val="00A535D5"/>
    <w:rsid w:val="00A535E3"/>
    <w:rsid w:val="00A535F3"/>
    <w:rsid w:val="00A5385B"/>
    <w:rsid w:val="00A5389B"/>
    <w:rsid w:val="00A538A4"/>
    <w:rsid w:val="00A538DF"/>
    <w:rsid w:val="00A53A7D"/>
    <w:rsid w:val="00A53B00"/>
    <w:rsid w:val="00A53C22"/>
    <w:rsid w:val="00A53C52"/>
    <w:rsid w:val="00A53CBE"/>
    <w:rsid w:val="00A53D3D"/>
    <w:rsid w:val="00A53E5C"/>
    <w:rsid w:val="00A53E81"/>
    <w:rsid w:val="00A53EBD"/>
    <w:rsid w:val="00A53F48"/>
    <w:rsid w:val="00A53FA4"/>
    <w:rsid w:val="00A54007"/>
    <w:rsid w:val="00A5405E"/>
    <w:rsid w:val="00A541C7"/>
    <w:rsid w:val="00A543E6"/>
    <w:rsid w:val="00A5446D"/>
    <w:rsid w:val="00A544D4"/>
    <w:rsid w:val="00A54691"/>
    <w:rsid w:val="00A547A3"/>
    <w:rsid w:val="00A5483E"/>
    <w:rsid w:val="00A54852"/>
    <w:rsid w:val="00A54A06"/>
    <w:rsid w:val="00A54A0F"/>
    <w:rsid w:val="00A54B95"/>
    <w:rsid w:val="00A54C10"/>
    <w:rsid w:val="00A54C2B"/>
    <w:rsid w:val="00A54CFE"/>
    <w:rsid w:val="00A54D48"/>
    <w:rsid w:val="00A54D7D"/>
    <w:rsid w:val="00A54EB7"/>
    <w:rsid w:val="00A54F6D"/>
    <w:rsid w:val="00A54FD3"/>
    <w:rsid w:val="00A5505E"/>
    <w:rsid w:val="00A552B3"/>
    <w:rsid w:val="00A552D3"/>
    <w:rsid w:val="00A555B8"/>
    <w:rsid w:val="00A555CC"/>
    <w:rsid w:val="00A555FE"/>
    <w:rsid w:val="00A55608"/>
    <w:rsid w:val="00A5574D"/>
    <w:rsid w:val="00A558B0"/>
    <w:rsid w:val="00A558CA"/>
    <w:rsid w:val="00A55946"/>
    <w:rsid w:val="00A559B9"/>
    <w:rsid w:val="00A55A0D"/>
    <w:rsid w:val="00A55A44"/>
    <w:rsid w:val="00A55AEA"/>
    <w:rsid w:val="00A55C84"/>
    <w:rsid w:val="00A55CD7"/>
    <w:rsid w:val="00A55D9F"/>
    <w:rsid w:val="00A55E59"/>
    <w:rsid w:val="00A55F39"/>
    <w:rsid w:val="00A560D7"/>
    <w:rsid w:val="00A5613E"/>
    <w:rsid w:val="00A561DB"/>
    <w:rsid w:val="00A5625B"/>
    <w:rsid w:val="00A5627C"/>
    <w:rsid w:val="00A56416"/>
    <w:rsid w:val="00A56505"/>
    <w:rsid w:val="00A5651E"/>
    <w:rsid w:val="00A56549"/>
    <w:rsid w:val="00A565F6"/>
    <w:rsid w:val="00A565FA"/>
    <w:rsid w:val="00A567B3"/>
    <w:rsid w:val="00A5683C"/>
    <w:rsid w:val="00A568CD"/>
    <w:rsid w:val="00A56912"/>
    <w:rsid w:val="00A569B3"/>
    <w:rsid w:val="00A56C2F"/>
    <w:rsid w:val="00A56E68"/>
    <w:rsid w:val="00A57011"/>
    <w:rsid w:val="00A57171"/>
    <w:rsid w:val="00A57352"/>
    <w:rsid w:val="00A57384"/>
    <w:rsid w:val="00A57610"/>
    <w:rsid w:val="00A576B1"/>
    <w:rsid w:val="00A57863"/>
    <w:rsid w:val="00A57872"/>
    <w:rsid w:val="00A5790A"/>
    <w:rsid w:val="00A579FF"/>
    <w:rsid w:val="00A57BC0"/>
    <w:rsid w:val="00A57CE2"/>
    <w:rsid w:val="00A57FA4"/>
    <w:rsid w:val="00A600F7"/>
    <w:rsid w:val="00A603B3"/>
    <w:rsid w:val="00A60407"/>
    <w:rsid w:val="00A604A8"/>
    <w:rsid w:val="00A6061C"/>
    <w:rsid w:val="00A6096C"/>
    <w:rsid w:val="00A609C5"/>
    <w:rsid w:val="00A609F1"/>
    <w:rsid w:val="00A60A3E"/>
    <w:rsid w:val="00A60A96"/>
    <w:rsid w:val="00A60A9F"/>
    <w:rsid w:val="00A60C0C"/>
    <w:rsid w:val="00A60D20"/>
    <w:rsid w:val="00A60D4E"/>
    <w:rsid w:val="00A60D65"/>
    <w:rsid w:val="00A60D7D"/>
    <w:rsid w:val="00A60E13"/>
    <w:rsid w:val="00A60E59"/>
    <w:rsid w:val="00A60E9D"/>
    <w:rsid w:val="00A610CD"/>
    <w:rsid w:val="00A612A8"/>
    <w:rsid w:val="00A61375"/>
    <w:rsid w:val="00A614CB"/>
    <w:rsid w:val="00A61689"/>
    <w:rsid w:val="00A616F6"/>
    <w:rsid w:val="00A61725"/>
    <w:rsid w:val="00A618F3"/>
    <w:rsid w:val="00A61B80"/>
    <w:rsid w:val="00A61C30"/>
    <w:rsid w:val="00A61CF1"/>
    <w:rsid w:val="00A61D0E"/>
    <w:rsid w:val="00A61EBA"/>
    <w:rsid w:val="00A61FBF"/>
    <w:rsid w:val="00A62088"/>
    <w:rsid w:val="00A6225E"/>
    <w:rsid w:val="00A62293"/>
    <w:rsid w:val="00A6229B"/>
    <w:rsid w:val="00A623D0"/>
    <w:rsid w:val="00A6246B"/>
    <w:rsid w:val="00A62681"/>
    <w:rsid w:val="00A627B8"/>
    <w:rsid w:val="00A62867"/>
    <w:rsid w:val="00A62984"/>
    <w:rsid w:val="00A62991"/>
    <w:rsid w:val="00A629F9"/>
    <w:rsid w:val="00A62A7B"/>
    <w:rsid w:val="00A62BA1"/>
    <w:rsid w:val="00A62F19"/>
    <w:rsid w:val="00A62FB2"/>
    <w:rsid w:val="00A62FFE"/>
    <w:rsid w:val="00A6301A"/>
    <w:rsid w:val="00A63173"/>
    <w:rsid w:val="00A63201"/>
    <w:rsid w:val="00A6342D"/>
    <w:rsid w:val="00A634DB"/>
    <w:rsid w:val="00A637F4"/>
    <w:rsid w:val="00A6382E"/>
    <w:rsid w:val="00A6398E"/>
    <w:rsid w:val="00A63B92"/>
    <w:rsid w:val="00A63BA9"/>
    <w:rsid w:val="00A63BC0"/>
    <w:rsid w:val="00A63C52"/>
    <w:rsid w:val="00A63CBA"/>
    <w:rsid w:val="00A63D69"/>
    <w:rsid w:val="00A63F64"/>
    <w:rsid w:val="00A63FA7"/>
    <w:rsid w:val="00A63FA8"/>
    <w:rsid w:val="00A63FCB"/>
    <w:rsid w:val="00A64095"/>
    <w:rsid w:val="00A64123"/>
    <w:rsid w:val="00A64141"/>
    <w:rsid w:val="00A64159"/>
    <w:rsid w:val="00A6434E"/>
    <w:rsid w:val="00A64398"/>
    <w:rsid w:val="00A6439A"/>
    <w:rsid w:val="00A6447F"/>
    <w:rsid w:val="00A6450D"/>
    <w:rsid w:val="00A645DC"/>
    <w:rsid w:val="00A6469E"/>
    <w:rsid w:val="00A6477D"/>
    <w:rsid w:val="00A6481D"/>
    <w:rsid w:val="00A64896"/>
    <w:rsid w:val="00A648FE"/>
    <w:rsid w:val="00A649CD"/>
    <w:rsid w:val="00A649D2"/>
    <w:rsid w:val="00A64AE3"/>
    <w:rsid w:val="00A64B88"/>
    <w:rsid w:val="00A64BCE"/>
    <w:rsid w:val="00A64C26"/>
    <w:rsid w:val="00A64D4D"/>
    <w:rsid w:val="00A64E8F"/>
    <w:rsid w:val="00A64F64"/>
    <w:rsid w:val="00A64F79"/>
    <w:rsid w:val="00A65095"/>
    <w:rsid w:val="00A6514F"/>
    <w:rsid w:val="00A65245"/>
    <w:rsid w:val="00A65329"/>
    <w:rsid w:val="00A65334"/>
    <w:rsid w:val="00A65353"/>
    <w:rsid w:val="00A653D7"/>
    <w:rsid w:val="00A6540E"/>
    <w:rsid w:val="00A65461"/>
    <w:rsid w:val="00A65578"/>
    <w:rsid w:val="00A6559B"/>
    <w:rsid w:val="00A6561D"/>
    <w:rsid w:val="00A658D6"/>
    <w:rsid w:val="00A65A7C"/>
    <w:rsid w:val="00A65C09"/>
    <w:rsid w:val="00A65C90"/>
    <w:rsid w:val="00A65D30"/>
    <w:rsid w:val="00A65E44"/>
    <w:rsid w:val="00A65EDB"/>
    <w:rsid w:val="00A65F53"/>
    <w:rsid w:val="00A65FCC"/>
    <w:rsid w:val="00A65FD0"/>
    <w:rsid w:val="00A6606E"/>
    <w:rsid w:val="00A6608E"/>
    <w:rsid w:val="00A660A2"/>
    <w:rsid w:val="00A66156"/>
    <w:rsid w:val="00A66175"/>
    <w:rsid w:val="00A6617C"/>
    <w:rsid w:val="00A66195"/>
    <w:rsid w:val="00A66336"/>
    <w:rsid w:val="00A6661A"/>
    <w:rsid w:val="00A6664B"/>
    <w:rsid w:val="00A668A8"/>
    <w:rsid w:val="00A66B07"/>
    <w:rsid w:val="00A66B7C"/>
    <w:rsid w:val="00A66B95"/>
    <w:rsid w:val="00A66B99"/>
    <w:rsid w:val="00A66C95"/>
    <w:rsid w:val="00A66CC4"/>
    <w:rsid w:val="00A66DB6"/>
    <w:rsid w:val="00A66EB9"/>
    <w:rsid w:val="00A66FCB"/>
    <w:rsid w:val="00A670F6"/>
    <w:rsid w:val="00A670FA"/>
    <w:rsid w:val="00A671EC"/>
    <w:rsid w:val="00A6751F"/>
    <w:rsid w:val="00A676A9"/>
    <w:rsid w:val="00A6775B"/>
    <w:rsid w:val="00A678A7"/>
    <w:rsid w:val="00A6792F"/>
    <w:rsid w:val="00A679E6"/>
    <w:rsid w:val="00A67A56"/>
    <w:rsid w:val="00A67B80"/>
    <w:rsid w:val="00A67C35"/>
    <w:rsid w:val="00A67CE8"/>
    <w:rsid w:val="00A67E92"/>
    <w:rsid w:val="00A67EE8"/>
    <w:rsid w:val="00A67F19"/>
    <w:rsid w:val="00A67F64"/>
    <w:rsid w:val="00A7006A"/>
    <w:rsid w:val="00A70148"/>
    <w:rsid w:val="00A701D6"/>
    <w:rsid w:val="00A702A7"/>
    <w:rsid w:val="00A702B6"/>
    <w:rsid w:val="00A70347"/>
    <w:rsid w:val="00A703EB"/>
    <w:rsid w:val="00A70459"/>
    <w:rsid w:val="00A705B5"/>
    <w:rsid w:val="00A7067A"/>
    <w:rsid w:val="00A70919"/>
    <w:rsid w:val="00A70C33"/>
    <w:rsid w:val="00A70C79"/>
    <w:rsid w:val="00A70E2C"/>
    <w:rsid w:val="00A70F3F"/>
    <w:rsid w:val="00A70F5E"/>
    <w:rsid w:val="00A71041"/>
    <w:rsid w:val="00A711BC"/>
    <w:rsid w:val="00A71219"/>
    <w:rsid w:val="00A71275"/>
    <w:rsid w:val="00A7127B"/>
    <w:rsid w:val="00A71417"/>
    <w:rsid w:val="00A714E1"/>
    <w:rsid w:val="00A71638"/>
    <w:rsid w:val="00A71675"/>
    <w:rsid w:val="00A716AC"/>
    <w:rsid w:val="00A716DC"/>
    <w:rsid w:val="00A71741"/>
    <w:rsid w:val="00A71827"/>
    <w:rsid w:val="00A7193E"/>
    <w:rsid w:val="00A71948"/>
    <w:rsid w:val="00A71A2B"/>
    <w:rsid w:val="00A71A4D"/>
    <w:rsid w:val="00A71AAE"/>
    <w:rsid w:val="00A71B6F"/>
    <w:rsid w:val="00A71B83"/>
    <w:rsid w:val="00A71CB6"/>
    <w:rsid w:val="00A71CFA"/>
    <w:rsid w:val="00A71E6F"/>
    <w:rsid w:val="00A71EA1"/>
    <w:rsid w:val="00A72013"/>
    <w:rsid w:val="00A7204B"/>
    <w:rsid w:val="00A7209C"/>
    <w:rsid w:val="00A720FB"/>
    <w:rsid w:val="00A7212A"/>
    <w:rsid w:val="00A721E2"/>
    <w:rsid w:val="00A72300"/>
    <w:rsid w:val="00A72353"/>
    <w:rsid w:val="00A7236F"/>
    <w:rsid w:val="00A72386"/>
    <w:rsid w:val="00A72427"/>
    <w:rsid w:val="00A726BD"/>
    <w:rsid w:val="00A7276B"/>
    <w:rsid w:val="00A72965"/>
    <w:rsid w:val="00A72A25"/>
    <w:rsid w:val="00A72A75"/>
    <w:rsid w:val="00A72A99"/>
    <w:rsid w:val="00A72AEA"/>
    <w:rsid w:val="00A72C64"/>
    <w:rsid w:val="00A72D33"/>
    <w:rsid w:val="00A72DB0"/>
    <w:rsid w:val="00A72DD4"/>
    <w:rsid w:val="00A72E10"/>
    <w:rsid w:val="00A72ED3"/>
    <w:rsid w:val="00A72FDB"/>
    <w:rsid w:val="00A7303A"/>
    <w:rsid w:val="00A73093"/>
    <w:rsid w:val="00A730FE"/>
    <w:rsid w:val="00A73217"/>
    <w:rsid w:val="00A7334B"/>
    <w:rsid w:val="00A73436"/>
    <w:rsid w:val="00A734D6"/>
    <w:rsid w:val="00A734EB"/>
    <w:rsid w:val="00A73775"/>
    <w:rsid w:val="00A7384F"/>
    <w:rsid w:val="00A738DD"/>
    <w:rsid w:val="00A739BF"/>
    <w:rsid w:val="00A73A33"/>
    <w:rsid w:val="00A73BA6"/>
    <w:rsid w:val="00A73C2D"/>
    <w:rsid w:val="00A73D77"/>
    <w:rsid w:val="00A73E67"/>
    <w:rsid w:val="00A73E9A"/>
    <w:rsid w:val="00A73EAB"/>
    <w:rsid w:val="00A73ED0"/>
    <w:rsid w:val="00A74009"/>
    <w:rsid w:val="00A741BD"/>
    <w:rsid w:val="00A741E1"/>
    <w:rsid w:val="00A7421B"/>
    <w:rsid w:val="00A7428A"/>
    <w:rsid w:val="00A742AC"/>
    <w:rsid w:val="00A742D2"/>
    <w:rsid w:val="00A742E4"/>
    <w:rsid w:val="00A7438B"/>
    <w:rsid w:val="00A743AA"/>
    <w:rsid w:val="00A7448B"/>
    <w:rsid w:val="00A744F3"/>
    <w:rsid w:val="00A7456F"/>
    <w:rsid w:val="00A74643"/>
    <w:rsid w:val="00A74683"/>
    <w:rsid w:val="00A74765"/>
    <w:rsid w:val="00A747BD"/>
    <w:rsid w:val="00A74928"/>
    <w:rsid w:val="00A74A26"/>
    <w:rsid w:val="00A74A85"/>
    <w:rsid w:val="00A74ACA"/>
    <w:rsid w:val="00A74DD2"/>
    <w:rsid w:val="00A74DD9"/>
    <w:rsid w:val="00A74E5B"/>
    <w:rsid w:val="00A74F4B"/>
    <w:rsid w:val="00A74FEC"/>
    <w:rsid w:val="00A750B3"/>
    <w:rsid w:val="00A75190"/>
    <w:rsid w:val="00A7524B"/>
    <w:rsid w:val="00A752EB"/>
    <w:rsid w:val="00A7531B"/>
    <w:rsid w:val="00A75374"/>
    <w:rsid w:val="00A7550F"/>
    <w:rsid w:val="00A7554B"/>
    <w:rsid w:val="00A75574"/>
    <w:rsid w:val="00A75594"/>
    <w:rsid w:val="00A75754"/>
    <w:rsid w:val="00A75BFB"/>
    <w:rsid w:val="00A75C20"/>
    <w:rsid w:val="00A75C68"/>
    <w:rsid w:val="00A75CB6"/>
    <w:rsid w:val="00A75D3B"/>
    <w:rsid w:val="00A75DC5"/>
    <w:rsid w:val="00A75E30"/>
    <w:rsid w:val="00A75FF4"/>
    <w:rsid w:val="00A760D4"/>
    <w:rsid w:val="00A7611B"/>
    <w:rsid w:val="00A76159"/>
    <w:rsid w:val="00A76179"/>
    <w:rsid w:val="00A762EE"/>
    <w:rsid w:val="00A76345"/>
    <w:rsid w:val="00A76378"/>
    <w:rsid w:val="00A76422"/>
    <w:rsid w:val="00A76645"/>
    <w:rsid w:val="00A76714"/>
    <w:rsid w:val="00A76726"/>
    <w:rsid w:val="00A76899"/>
    <w:rsid w:val="00A76AB6"/>
    <w:rsid w:val="00A76EBF"/>
    <w:rsid w:val="00A76FCD"/>
    <w:rsid w:val="00A770FD"/>
    <w:rsid w:val="00A77192"/>
    <w:rsid w:val="00A771AD"/>
    <w:rsid w:val="00A771C3"/>
    <w:rsid w:val="00A771C4"/>
    <w:rsid w:val="00A77242"/>
    <w:rsid w:val="00A7737B"/>
    <w:rsid w:val="00A77449"/>
    <w:rsid w:val="00A77500"/>
    <w:rsid w:val="00A775B7"/>
    <w:rsid w:val="00A77720"/>
    <w:rsid w:val="00A777AA"/>
    <w:rsid w:val="00A779C9"/>
    <w:rsid w:val="00A77AE6"/>
    <w:rsid w:val="00A77B3E"/>
    <w:rsid w:val="00A77C2E"/>
    <w:rsid w:val="00A77C3B"/>
    <w:rsid w:val="00A77DA7"/>
    <w:rsid w:val="00A77E48"/>
    <w:rsid w:val="00A77F0C"/>
    <w:rsid w:val="00A77F7C"/>
    <w:rsid w:val="00A77FA3"/>
    <w:rsid w:val="00A8006D"/>
    <w:rsid w:val="00A80371"/>
    <w:rsid w:val="00A8043E"/>
    <w:rsid w:val="00A80530"/>
    <w:rsid w:val="00A8062C"/>
    <w:rsid w:val="00A806D3"/>
    <w:rsid w:val="00A806EB"/>
    <w:rsid w:val="00A806F7"/>
    <w:rsid w:val="00A80842"/>
    <w:rsid w:val="00A808E6"/>
    <w:rsid w:val="00A80924"/>
    <w:rsid w:val="00A80CBF"/>
    <w:rsid w:val="00A80E70"/>
    <w:rsid w:val="00A80EFD"/>
    <w:rsid w:val="00A80F22"/>
    <w:rsid w:val="00A80F57"/>
    <w:rsid w:val="00A8105C"/>
    <w:rsid w:val="00A81063"/>
    <w:rsid w:val="00A8111A"/>
    <w:rsid w:val="00A8113D"/>
    <w:rsid w:val="00A81142"/>
    <w:rsid w:val="00A81175"/>
    <w:rsid w:val="00A811C7"/>
    <w:rsid w:val="00A816AA"/>
    <w:rsid w:val="00A81716"/>
    <w:rsid w:val="00A81717"/>
    <w:rsid w:val="00A8178F"/>
    <w:rsid w:val="00A819A2"/>
    <w:rsid w:val="00A819F9"/>
    <w:rsid w:val="00A81ADC"/>
    <w:rsid w:val="00A81BC0"/>
    <w:rsid w:val="00A81D67"/>
    <w:rsid w:val="00A81DC9"/>
    <w:rsid w:val="00A81E2B"/>
    <w:rsid w:val="00A81EB6"/>
    <w:rsid w:val="00A8205B"/>
    <w:rsid w:val="00A820FB"/>
    <w:rsid w:val="00A821BB"/>
    <w:rsid w:val="00A8238B"/>
    <w:rsid w:val="00A824CF"/>
    <w:rsid w:val="00A82512"/>
    <w:rsid w:val="00A8260D"/>
    <w:rsid w:val="00A827AF"/>
    <w:rsid w:val="00A82832"/>
    <w:rsid w:val="00A828A1"/>
    <w:rsid w:val="00A82A0E"/>
    <w:rsid w:val="00A82BCB"/>
    <w:rsid w:val="00A82C03"/>
    <w:rsid w:val="00A82C9B"/>
    <w:rsid w:val="00A82F16"/>
    <w:rsid w:val="00A8302C"/>
    <w:rsid w:val="00A8305D"/>
    <w:rsid w:val="00A8308F"/>
    <w:rsid w:val="00A830C3"/>
    <w:rsid w:val="00A830C6"/>
    <w:rsid w:val="00A830D1"/>
    <w:rsid w:val="00A83377"/>
    <w:rsid w:val="00A8355E"/>
    <w:rsid w:val="00A836B1"/>
    <w:rsid w:val="00A838DA"/>
    <w:rsid w:val="00A83C03"/>
    <w:rsid w:val="00A83D9A"/>
    <w:rsid w:val="00A83E17"/>
    <w:rsid w:val="00A83F4C"/>
    <w:rsid w:val="00A83FC9"/>
    <w:rsid w:val="00A84007"/>
    <w:rsid w:val="00A84040"/>
    <w:rsid w:val="00A84056"/>
    <w:rsid w:val="00A8415D"/>
    <w:rsid w:val="00A84288"/>
    <w:rsid w:val="00A8429C"/>
    <w:rsid w:val="00A844B0"/>
    <w:rsid w:val="00A84532"/>
    <w:rsid w:val="00A845C3"/>
    <w:rsid w:val="00A84669"/>
    <w:rsid w:val="00A8488A"/>
    <w:rsid w:val="00A84BC7"/>
    <w:rsid w:val="00A84C25"/>
    <w:rsid w:val="00A84C32"/>
    <w:rsid w:val="00A84C6E"/>
    <w:rsid w:val="00A84CCD"/>
    <w:rsid w:val="00A84D51"/>
    <w:rsid w:val="00A84D61"/>
    <w:rsid w:val="00A84D86"/>
    <w:rsid w:val="00A84E26"/>
    <w:rsid w:val="00A84FF7"/>
    <w:rsid w:val="00A8520B"/>
    <w:rsid w:val="00A85426"/>
    <w:rsid w:val="00A854F6"/>
    <w:rsid w:val="00A85546"/>
    <w:rsid w:val="00A8559E"/>
    <w:rsid w:val="00A85625"/>
    <w:rsid w:val="00A856ED"/>
    <w:rsid w:val="00A856F7"/>
    <w:rsid w:val="00A85780"/>
    <w:rsid w:val="00A857FC"/>
    <w:rsid w:val="00A858C3"/>
    <w:rsid w:val="00A858EE"/>
    <w:rsid w:val="00A85924"/>
    <w:rsid w:val="00A8592B"/>
    <w:rsid w:val="00A8596A"/>
    <w:rsid w:val="00A85B49"/>
    <w:rsid w:val="00A85EB6"/>
    <w:rsid w:val="00A8603A"/>
    <w:rsid w:val="00A86065"/>
    <w:rsid w:val="00A86068"/>
    <w:rsid w:val="00A8620E"/>
    <w:rsid w:val="00A86212"/>
    <w:rsid w:val="00A8629D"/>
    <w:rsid w:val="00A86394"/>
    <w:rsid w:val="00A863A1"/>
    <w:rsid w:val="00A86592"/>
    <w:rsid w:val="00A86754"/>
    <w:rsid w:val="00A867FE"/>
    <w:rsid w:val="00A868B0"/>
    <w:rsid w:val="00A86940"/>
    <w:rsid w:val="00A86AC7"/>
    <w:rsid w:val="00A86BBA"/>
    <w:rsid w:val="00A86C87"/>
    <w:rsid w:val="00A86E2C"/>
    <w:rsid w:val="00A86E4A"/>
    <w:rsid w:val="00A86EC1"/>
    <w:rsid w:val="00A86EC4"/>
    <w:rsid w:val="00A87055"/>
    <w:rsid w:val="00A870A1"/>
    <w:rsid w:val="00A870CD"/>
    <w:rsid w:val="00A87147"/>
    <w:rsid w:val="00A8723B"/>
    <w:rsid w:val="00A87242"/>
    <w:rsid w:val="00A87419"/>
    <w:rsid w:val="00A8744B"/>
    <w:rsid w:val="00A874D5"/>
    <w:rsid w:val="00A875CC"/>
    <w:rsid w:val="00A87686"/>
    <w:rsid w:val="00A878EE"/>
    <w:rsid w:val="00A87AAA"/>
    <w:rsid w:val="00A87BC8"/>
    <w:rsid w:val="00A87C0D"/>
    <w:rsid w:val="00A87C94"/>
    <w:rsid w:val="00A87D1A"/>
    <w:rsid w:val="00A87DA2"/>
    <w:rsid w:val="00A87E9E"/>
    <w:rsid w:val="00A87FC8"/>
    <w:rsid w:val="00A9005C"/>
    <w:rsid w:val="00A900B9"/>
    <w:rsid w:val="00A90253"/>
    <w:rsid w:val="00A9025E"/>
    <w:rsid w:val="00A90351"/>
    <w:rsid w:val="00A90394"/>
    <w:rsid w:val="00A903A8"/>
    <w:rsid w:val="00A90415"/>
    <w:rsid w:val="00A9049F"/>
    <w:rsid w:val="00A90705"/>
    <w:rsid w:val="00A907EA"/>
    <w:rsid w:val="00A90812"/>
    <w:rsid w:val="00A90862"/>
    <w:rsid w:val="00A909BD"/>
    <w:rsid w:val="00A90A04"/>
    <w:rsid w:val="00A90B58"/>
    <w:rsid w:val="00A90C43"/>
    <w:rsid w:val="00A90E20"/>
    <w:rsid w:val="00A90E72"/>
    <w:rsid w:val="00A90F10"/>
    <w:rsid w:val="00A90F2B"/>
    <w:rsid w:val="00A90FDE"/>
    <w:rsid w:val="00A91237"/>
    <w:rsid w:val="00A912F0"/>
    <w:rsid w:val="00A91408"/>
    <w:rsid w:val="00A9142B"/>
    <w:rsid w:val="00A91557"/>
    <w:rsid w:val="00A9155A"/>
    <w:rsid w:val="00A91726"/>
    <w:rsid w:val="00A91774"/>
    <w:rsid w:val="00A91AA3"/>
    <w:rsid w:val="00A91C8A"/>
    <w:rsid w:val="00A91D60"/>
    <w:rsid w:val="00A91E20"/>
    <w:rsid w:val="00A91EBF"/>
    <w:rsid w:val="00A91EEC"/>
    <w:rsid w:val="00A91F8D"/>
    <w:rsid w:val="00A91FAB"/>
    <w:rsid w:val="00A9220A"/>
    <w:rsid w:val="00A92248"/>
    <w:rsid w:val="00A923E6"/>
    <w:rsid w:val="00A926A8"/>
    <w:rsid w:val="00A9274D"/>
    <w:rsid w:val="00A927F0"/>
    <w:rsid w:val="00A927F4"/>
    <w:rsid w:val="00A9281A"/>
    <w:rsid w:val="00A92837"/>
    <w:rsid w:val="00A92866"/>
    <w:rsid w:val="00A92A5C"/>
    <w:rsid w:val="00A92B7D"/>
    <w:rsid w:val="00A92B8C"/>
    <w:rsid w:val="00A92BA2"/>
    <w:rsid w:val="00A92BD9"/>
    <w:rsid w:val="00A92C58"/>
    <w:rsid w:val="00A92D02"/>
    <w:rsid w:val="00A92E14"/>
    <w:rsid w:val="00A92E9B"/>
    <w:rsid w:val="00A93007"/>
    <w:rsid w:val="00A9305C"/>
    <w:rsid w:val="00A93198"/>
    <w:rsid w:val="00A93334"/>
    <w:rsid w:val="00A933AB"/>
    <w:rsid w:val="00A934DC"/>
    <w:rsid w:val="00A93626"/>
    <w:rsid w:val="00A93636"/>
    <w:rsid w:val="00A93716"/>
    <w:rsid w:val="00A93759"/>
    <w:rsid w:val="00A93905"/>
    <w:rsid w:val="00A93945"/>
    <w:rsid w:val="00A9394D"/>
    <w:rsid w:val="00A93B8D"/>
    <w:rsid w:val="00A93C12"/>
    <w:rsid w:val="00A93D67"/>
    <w:rsid w:val="00A93E92"/>
    <w:rsid w:val="00A93FB6"/>
    <w:rsid w:val="00A94026"/>
    <w:rsid w:val="00A942CC"/>
    <w:rsid w:val="00A94386"/>
    <w:rsid w:val="00A9449E"/>
    <w:rsid w:val="00A944CF"/>
    <w:rsid w:val="00A9461F"/>
    <w:rsid w:val="00A94627"/>
    <w:rsid w:val="00A946EA"/>
    <w:rsid w:val="00A94756"/>
    <w:rsid w:val="00A9488C"/>
    <w:rsid w:val="00A94941"/>
    <w:rsid w:val="00A949E8"/>
    <w:rsid w:val="00A94A42"/>
    <w:rsid w:val="00A94D24"/>
    <w:rsid w:val="00A94DF9"/>
    <w:rsid w:val="00A94E4E"/>
    <w:rsid w:val="00A94E70"/>
    <w:rsid w:val="00A94F32"/>
    <w:rsid w:val="00A94F5F"/>
    <w:rsid w:val="00A95053"/>
    <w:rsid w:val="00A95096"/>
    <w:rsid w:val="00A95157"/>
    <w:rsid w:val="00A951A7"/>
    <w:rsid w:val="00A951E0"/>
    <w:rsid w:val="00A9531F"/>
    <w:rsid w:val="00A9535A"/>
    <w:rsid w:val="00A953BA"/>
    <w:rsid w:val="00A9557B"/>
    <w:rsid w:val="00A955CD"/>
    <w:rsid w:val="00A95660"/>
    <w:rsid w:val="00A959B8"/>
    <w:rsid w:val="00A95BCD"/>
    <w:rsid w:val="00A95EEC"/>
    <w:rsid w:val="00A9600C"/>
    <w:rsid w:val="00A9600F"/>
    <w:rsid w:val="00A96029"/>
    <w:rsid w:val="00A96042"/>
    <w:rsid w:val="00A9605E"/>
    <w:rsid w:val="00A9606C"/>
    <w:rsid w:val="00A96225"/>
    <w:rsid w:val="00A962CF"/>
    <w:rsid w:val="00A9630B"/>
    <w:rsid w:val="00A9631D"/>
    <w:rsid w:val="00A9636A"/>
    <w:rsid w:val="00A96440"/>
    <w:rsid w:val="00A9656E"/>
    <w:rsid w:val="00A96582"/>
    <w:rsid w:val="00A9660F"/>
    <w:rsid w:val="00A967C1"/>
    <w:rsid w:val="00A96807"/>
    <w:rsid w:val="00A9682A"/>
    <w:rsid w:val="00A9685D"/>
    <w:rsid w:val="00A9686E"/>
    <w:rsid w:val="00A96944"/>
    <w:rsid w:val="00A969B1"/>
    <w:rsid w:val="00A96B03"/>
    <w:rsid w:val="00A96B3B"/>
    <w:rsid w:val="00A96D4E"/>
    <w:rsid w:val="00A96D88"/>
    <w:rsid w:val="00A96DC5"/>
    <w:rsid w:val="00A96E07"/>
    <w:rsid w:val="00A96E3A"/>
    <w:rsid w:val="00A96F71"/>
    <w:rsid w:val="00A96F96"/>
    <w:rsid w:val="00A9714B"/>
    <w:rsid w:val="00A973FA"/>
    <w:rsid w:val="00A97415"/>
    <w:rsid w:val="00A9747C"/>
    <w:rsid w:val="00A97598"/>
    <w:rsid w:val="00A975A3"/>
    <w:rsid w:val="00A975EE"/>
    <w:rsid w:val="00A9773E"/>
    <w:rsid w:val="00A97A13"/>
    <w:rsid w:val="00A97C4B"/>
    <w:rsid w:val="00A97D35"/>
    <w:rsid w:val="00A97D39"/>
    <w:rsid w:val="00AA0141"/>
    <w:rsid w:val="00AA0283"/>
    <w:rsid w:val="00AA0335"/>
    <w:rsid w:val="00AA06BF"/>
    <w:rsid w:val="00AA0988"/>
    <w:rsid w:val="00AA0C50"/>
    <w:rsid w:val="00AA0E7A"/>
    <w:rsid w:val="00AA0EC8"/>
    <w:rsid w:val="00AA0F77"/>
    <w:rsid w:val="00AA0FFD"/>
    <w:rsid w:val="00AA1098"/>
    <w:rsid w:val="00AA10AA"/>
    <w:rsid w:val="00AA12B4"/>
    <w:rsid w:val="00AA15AF"/>
    <w:rsid w:val="00AA15B8"/>
    <w:rsid w:val="00AA1616"/>
    <w:rsid w:val="00AA166F"/>
    <w:rsid w:val="00AA16CD"/>
    <w:rsid w:val="00AA16D5"/>
    <w:rsid w:val="00AA1738"/>
    <w:rsid w:val="00AA1778"/>
    <w:rsid w:val="00AA193E"/>
    <w:rsid w:val="00AA196E"/>
    <w:rsid w:val="00AA1A2B"/>
    <w:rsid w:val="00AA1BCC"/>
    <w:rsid w:val="00AA1BF7"/>
    <w:rsid w:val="00AA1CA0"/>
    <w:rsid w:val="00AA1CDA"/>
    <w:rsid w:val="00AA1D73"/>
    <w:rsid w:val="00AA1EAB"/>
    <w:rsid w:val="00AA1EEF"/>
    <w:rsid w:val="00AA20B4"/>
    <w:rsid w:val="00AA212B"/>
    <w:rsid w:val="00AA214F"/>
    <w:rsid w:val="00AA21CB"/>
    <w:rsid w:val="00AA2284"/>
    <w:rsid w:val="00AA22DB"/>
    <w:rsid w:val="00AA2361"/>
    <w:rsid w:val="00AA23CF"/>
    <w:rsid w:val="00AA23E9"/>
    <w:rsid w:val="00AA24BF"/>
    <w:rsid w:val="00AA256C"/>
    <w:rsid w:val="00AA275D"/>
    <w:rsid w:val="00AA2778"/>
    <w:rsid w:val="00AA27A7"/>
    <w:rsid w:val="00AA2810"/>
    <w:rsid w:val="00AA29E8"/>
    <w:rsid w:val="00AA2AEE"/>
    <w:rsid w:val="00AA2B76"/>
    <w:rsid w:val="00AA2D37"/>
    <w:rsid w:val="00AA2D57"/>
    <w:rsid w:val="00AA2E5D"/>
    <w:rsid w:val="00AA2FD1"/>
    <w:rsid w:val="00AA2FDD"/>
    <w:rsid w:val="00AA3026"/>
    <w:rsid w:val="00AA30DA"/>
    <w:rsid w:val="00AA31A5"/>
    <w:rsid w:val="00AA3218"/>
    <w:rsid w:val="00AA3239"/>
    <w:rsid w:val="00AA32D5"/>
    <w:rsid w:val="00AA3391"/>
    <w:rsid w:val="00AA3597"/>
    <w:rsid w:val="00AA37A3"/>
    <w:rsid w:val="00AA387F"/>
    <w:rsid w:val="00AA38B8"/>
    <w:rsid w:val="00AA39E5"/>
    <w:rsid w:val="00AA3AB9"/>
    <w:rsid w:val="00AA3AFB"/>
    <w:rsid w:val="00AA3B30"/>
    <w:rsid w:val="00AA3D6D"/>
    <w:rsid w:val="00AA3DD0"/>
    <w:rsid w:val="00AA3EC2"/>
    <w:rsid w:val="00AA40B2"/>
    <w:rsid w:val="00AA4196"/>
    <w:rsid w:val="00AA4227"/>
    <w:rsid w:val="00AA42AC"/>
    <w:rsid w:val="00AA42B8"/>
    <w:rsid w:val="00AA4393"/>
    <w:rsid w:val="00AA4404"/>
    <w:rsid w:val="00AA4461"/>
    <w:rsid w:val="00AA456C"/>
    <w:rsid w:val="00AA463A"/>
    <w:rsid w:val="00AA4714"/>
    <w:rsid w:val="00AA476C"/>
    <w:rsid w:val="00AA487C"/>
    <w:rsid w:val="00AA4A38"/>
    <w:rsid w:val="00AA4A94"/>
    <w:rsid w:val="00AA4B9F"/>
    <w:rsid w:val="00AA4BBF"/>
    <w:rsid w:val="00AA4D9C"/>
    <w:rsid w:val="00AA4DAC"/>
    <w:rsid w:val="00AA4E1C"/>
    <w:rsid w:val="00AA4E56"/>
    <w:rsid w:val="00AA4EB6"/>
    <w:rsid w:val="00AA4FE8"/>
    <w:rsid w:val="00AA51AB"/>
    <w:rsid w:val="00AA51DE"/>
    <w:rsid w:val="00AA5280"/>
    <w:rsid w:val="00AA529C"/>
    <w:rsid w:val="00AA538B"/>
    <w:rsid w:val="00AA547A"/>
    <w:rsid w:val="00AA565C"/>
    <w:rsid w:val="00AA57BA"/>
    <w:rsid w:val="00AA5A78"/>
    <w:rsid w:val="00AA5B1D"/>
    <w:rsid w:val="00AA5CF8"/>
    <w:rsid w:val="00AA5D5A"/>
    <w:rsid w:val="00AA5D8E"/>
    <w:rsid w:val="00AA5D96"/>
    <w:rsid w:val="00AA609F"/>
    <w:rsid w:val="00AA614B"/>
    <w:rsid w:val="00AA6329"/>
    <w:rsid w:val="00AA64B0"/>
    <w:rsid w:val="00AA64CC"/>
    <w:rsid w:val="00AA64FC"/>
    <w:rsid w:val="00AA65E2"/>
    <w:rsid w:val="00AA6A45"/>
    <w:rsid w:val="00AA6A56"/>
    <w:rsid w:val="00AA6A7B"/>
    <w:rsid w:val="00AA6AF2"/>
    <w:rsid w:val="00AA6B13"/>
    <w:rsid w:val="00AA6BA5"/>
    <w:rsid w:val="00AA6C8D"/>
    <w:rsid w:val="00AA6C91"/>
    <w:rsid w:val="00AA6E25"/>
    <w:rsid w:val="00AA6F9F"/>
    <w:rsid w:val="00AA6FDB"/>
    <w:rsid w:val="00AA700B"/>
    <w:rsid w:val="00AA7050"/>
    <w:rsid w:val="00AA711F"/>
    <w:rsid w:val="00AA71EB"/>
    <w:rsid w:val="00AA72BF"/>
    <w:rsid w:val="00AA73F6"/>
    <w:rsid w:val="00AA74D2"/>
    <w:rsid w:val="00AA7506"/>
    <w:rsid w:val="00AA7589"/>
    <w:rsid w:val="00AA765C"/>
    <w:rsid w:val="00AA76F7"/>
    <w:rsid w:val="00AA779F"/>
    <w:rsid w:val="00AA7931"/>
    <w:rsid w:val="00AA7AAB"/>
    <w:rsid w:val="00AA7B3E"/>
    <w:rsid w:val="00AA7B8E"/>
    <w:rsid w:val="00AA7CBC"/>
    <w:rsid w:val="00AA7D1B"/>
    <w:rsid w:val="00AA7E27"/>
    <w:rsid w:val="00AA7F66"/>
    <w:rsid w:val="00AB0168"/>
    <w:rsid w:val="00AB01CA"/>
    <w:rsid w:val="00AB01EE"/>
    <w:rsid w:val="00AB03E3"/>
    <w:rsid w:val="00AB0478"/>
    <w:rsid w:val="00AB04A4"/>
    <w:rsid w:val="00AB0524"/>
    <w:rsid w:val="00AB054B"/>
    <w:rsid w:val="00AB0559"/>
    <w:rsid w:val="00AB0578"/>
    <w:rsid w:val="00AB06A0"/>
    <w:rsid w:val="00AB0785"/>
    <w:rsid w:val="00AB08EA"/>
    <w:rsid w:val="00AB0983"/>
    <w:rsid w:val="00AB0AC2"/>
    <w:rsid w:val="00AB0B9A"/>
    <w:rsid w:val="00AB0CD0"/>
    <w:rsid w:val="00AB1037"/>
    <w:rsid w:val="00AB10B2"/>
    <w:rsid w:val="00AB10CF"/>
    <w:rsid w:val="00AB1239"/>
    <w:rsid w:val="00AB1253"/>
    <w:rsid w:val="00AB143B"/>
    <w:rsid w:val="00AB1448"/>
    <w:rsid w:val="00AB147D"/>
    <w:rsid w:val="00AB17C9"/>
    <w:rsid w:val="00AB180C"/>
    <w:rsid w:val="00AB1A1A"/>
    <w:rsid w:val="00AB1A62"/>
    <w:rsid w:val="00AB1AFC"/>
    <w:rsid w:val="00AB1B26"/>
    <w:rsid w:val="00AB1B8D"/>
    <w:rsid w:val="00AB1DDE"/>
    <w:rsid w:val="00AB1F31"/>
    <w:rsid w:val="00AB207C"/>
    <w:rsid w:val="00AB2105"/>
    <w:rsid w:val="00AB212E"/>
    <w:rsid w:val="00AB214D"/>
    <w:rsid w:val="00AB2180"/>
    <w:rsid w:val="00AB2191"/>
    <w:rsid w:val="00AB221C"/>
    <w:rsid w:val="00AB22EB"/>
    <w:rsid w:val="00AB244F"/>
    <w:rsid w:val="00AB2476"/>
    <w:rsid w:val="00AB2796"/>
    <w:rsid w:val="00AB280A"/>
    <w:rsid w:val="00AB28FC"/>
    <w:rsid w:val="00AB2A61"/>
    <w:rsid w:val="00AB2BF6"/>
    <w:rsid w:val="00AB2C73"/>
    <w:rsid w:val="00AB2CE5"/>
    <w:rsid w:val="00AB2DBF"/>
    <w:rsid w:val="00AB2DC0"/>
    <w:rsid w:val="00AB2FB0"/>
    <w:rsid w:val="00AB304E"/>
    <w:rsid w:val="00AB30E3"/>
    <w:rsid w:val="00AB31AA"/>
    <w:rsid w:val="00AB3359"/>
    <w:rsid w:val="00AB33E5"/>
    <w:rsid w:val="00AB3448"/>
    <w:rsid w:val="00AB35BC"/>
    <w:rsid w:val="00AB3811"/>
    <w:rsid w:val="00AB38C4"/>
    <w:rsid w:val="00AB38C5"/>
    <w:rsid w:val="00AB3B51"/>
    <w:rsid w:val="00AB3BFA"/>
    <w:rsid w:val="00AB3C45"/>
    <w:rsid w:val="00AB3EFA"/>
    <w:rsid w:val="00AB4042"/>
    <w:rsid w:val="00AB415E"/>
    <w:rsid w:val="00AB4408"/>
    <w:rsid w:val="00AB4428"/>
    <w:rsid w:val="00AB4539"/>
    <w:rsid w:val="00AB4599"/>
    <w:rsid w:val="00AB45D8"/>
    <w:rsid w:val="00AB45DF"/>
    <w:rsid w:val="00AB4684"/>
    <w:rsid w:val="00AB4820"/>
    <w:rsid w:val="00AB49AB"/>
    <w:rsid w:val="00AB49C9"/>
    <w:rsid w:val="00AB4EF3"/>
    <w:rsid w:val="00AB4FAC"/>
    <w:rsid w:val="00AB5065"/>
    <w:rsid w:val="00AB519E"/>
    <w:rsid w:val="00AB5319"/>
    <w:rsid w:val="00AB534B"/>
    <w:rsid w:val="00AB56BE"/>
    <w:rsid w:val="00AB58BE"/>
    <w:rsid w:val="00AB5AF7"/>
    <w:rsid w:val="00AB5B14"/>
    <w:rsid w:val="00AB5BBD"/>
    <w:rsid w:val="00AB5EEB"/>
    <w:rsid w:val="00AB5F3A"/>
    <w:rsid w:val="00AB5FBF"/>
    <w:rsid w:val="00AB6076"/>
    <w:rsid w:val="00AB622D"/>
    <w:rsid w:val="00AB63D6"/>
    <w:rsid w:val="00AB653C"/>
    <w:rsid w:val="00AB65A4"/>
    <w:rsid w:val="00AB6739"/>
    <w:rsid w:val="00AB6895"/>
    <w:rsid w:val="00AB691C"/>
    <w:rsid w:val="00AB6BF7"/>
    <w:rsid w:val="00AB6BFA"/>
    <w:rsid w:val="00AB6E9A"/>
    <w:rsid w:val="00AB6EA0"/>
    <w:rsid w:val="00AB6EC2"/>
    <w:rsid w:val="00AB6F55"/>
    <w:rsid w:val="00AB6F5A"/>
    <w:rsid w:val="00AB7050"/>
    <w:rsid w:val="00AB70CC"/>
    <w:rsid w:val="00AB7137"/>
    <w:rsid w:val="00AB72E6"/>
    <w:rsid w:val="00AB7368"/>
    <w:rsid w:val="00AB745B"/>
    <w:rsid w:val="00AB746F"/>
    <w:rsid w:val="00AB74A4"/>
    <w:rsid w:val="00AB7540"/>
    <w:rsid w:val="00AB7572"/>
    <w:rsid w:val="00AB7656"/>
    <w:rsid w:val="00AB774C"/>
    <w:rsid w:val="00AB7774"/>
    <w:rsid w:val="00AB78EE"/>
    <w:rsid w:val="00AB7AFD"/>
    <w:rsid w:val="00AB7B14"/>
    <w:rsid w:val="00AB7C56"/>
    <w:rsid w:val="00AB7CA6"/>
    <w:rsid w:val="00AB7E47"/>
    <w:rsid w:val="00AB7E65"/>
    <w:rsid w:val="00AB7F97"/>
    <w:rsid w:val="00AC008E"/>
    <w:rsid w:val="00AC00D1"/>
    <w:rsid w:val="00AC01B9"/>
    <w:rsid w:val="00AC0250"/>
    <w:rsid w:val="00AC040A"/>
    <w:rsid w:val="00AC056B"/>
    <w:rsid w:val="00AC09B8"/>
    <w:rsid w:val="00AC09C4"/>
    <w:rsid w:val="00AC0A29"/>
    <w:rsid w:val="00AC0A54"/>
    <w:rsid w:val="00AC0ABC"/>
    <w:rsid w:val="00AC0AC3"/>
    <w:rsid w:val="00AC0AFA"/>
    <w:rsid w:val="00AC0B63"/>
    <w:rsid w:val="00AC0BA8"/>
    <w:rsid w:val="00AC0D1F"/>
    <w:rsid w:val="00AC0DC1"/>
    <w:rsid w:val="00AC0DCA"/>
    <w:rsid w:val="00AC0DE4"/>
    <w:rsid w:val="00AC0F98"/>
    <w:rsid w:val="00AC0FBA"/>
    <w:rsid w:val="00AC11F0"/>
    <w:rsid w:val="00AC133B"/>
    <w:rsid w:val="00AC1487"/>
    <w:rsid w:val="00AC162E"/>
    <w:rsid w:val="00AC1642"/>
    <w:rsid w:val="00AC175C"/>
    <w:rsid w:val="00AC19C3"/>
    <w:rsid w:val="00AC19EC"/>
    <w:rsid w:val="00AC1AEF"/>
    <w:rsid w:val="00AC1B0C"/>
    <w:rsid w:val="00AC1C5A"/>
    <w:rsid w:val="00AC1C75"/>
    <w:rsid w:val="00AC1D63"/>
    <w:rsid w:val="00AC1EF2"/>
    <w:rsid w:val="00AC1F0C"/>
    <w:rsid w:val="00AC221C"/>
    <w:rsid w:val="00AC23FF"/>
    <w:rsid w:val="00AC2470"/>
    <w:rsid w:val="00AC24EC"/>
    <w:rsid w:val="00AC24F7"/>
    <w:rsid w:val="00AC259C"/>
    <w:rsid w:val="00AC25AF"/>
    <w:rsid w:val="00AC25F9"/>
    <w:rsid w:val="00AC262E"/>
    <w:rsid w:val="00AC26BF"/>
    <w:rsid w:val="00AC28D6"/>
    <w:rsid w:val="00AC2A14"/>
    <w:rsid w:val="00AC2A68"/>
    <w:rsid w:val="00AC2B0A"/>
    <w:rsid w:val="00AC2B48"/>
    <w:rsid w:val="00AC2CEE"/>
    <w:rsid w:val="00AC2DE4"/>
    <w:rsid w:val="00AC2DED"/>
    <w:rsid w:val="00AC2E03"/>
    <w:rsid w:val="00AC2EC9"/>
    <w:rsid w:val="00AC2EF2"/>
    <w:rsid w:val="00AC2F93"/>
    <w:rsid w:val="00AC3005"/>
    <w:rsid w:val="00AC3079"/>
    <w:rsid w:val="00AC30A8"/>
    <w:rsid w:val="00AC30CD"/>
    <w:rsid w:val="00AC318C"/>
    <w:rsid w:val="00AC31A0"/>
    <w:rsid w:val="00AC322B"/>
    <w:rsid w:val="00AC326F"/>
    <w:rsid w:val="00AC3361"/>
    <w:rsid w:val="00AC33A5"/>
    <w:rsid w:val="00AC34EB"/>
    <w:rsid w:val="00AC3583"/>
    <w:rsid w:val="00AC3641"/>
    <w:rsid w:val="00AC36FD"/>
    <w:rsid w:val="00AC371E"/>
    <w:rsid w:val="00AC3956"/>
    <w:rsid w:val="00AC39E6"/>
    <w:rsid w:val="00AC3A84"/>
    <w:rsid w:val="00AC3AA1"/>
    <w:rsid w:val="00AC3B6C"/>
    <w:rsid w:val="00AC3B85"/>
    <w:rsid w:val="00AC3C2F"/>
    <w:rsid w:val="00AC3DB4"/>
    <w:rsid w:val="00AC3E00"/>
    <w:rsid w:val="00AC3E37"/>
    <w:rsid w:val="00AC3EF9"/>
    <w:rsid w:val="00AC3F3D"/>
    <w:rsid w:val="00AC3F42"/>
    <w:rsid w:val="00AC4074"/>
    <w:rsid w:val="00AC40D1"/>
    <w:rsid w:val="00AC414F"/>
    <w:rsid w:val="00AC417C"/>
    <w:rsid w:val="00AC43B0"/>
    <w:rsid w:val="00AC43CF"/>
    <w:rsid w:val="00AC44F4"/>
    <w:rsid w:val="00AC4792"/>
    <w:rsid w:val="00AC47AA"/>
    <w:rsid w:val="00AC4925"/>
    <w:rsid w:val="00AC4983"/>
    <w:rsid w:val="00AC49D7"/>
    <w:rsid w:val="00AC4BA9"/>
    <w:rsid w:val="00AC4C0B"/>
    <w:rsid w:val="00AC4D44"/>
    <w:rsid w:val="00AC4D9B"/>
    <w:rsid w:val="00AC4D9C"/>
    <w:rsid w:val="00AC4DAC"/>
    <w:rsid w:val="00AC4DE1"/>
    <w:rsid w:val="00AC4E62"/>
    <w:rsid w:val="00AC4EE0"/>
    <w:rsid w:val="00AC4F63"/>
    <w:rsid w:val="00AC5100"/>
    <w:rsid w:val="00AC513F"/>
    <w:rsid w:val="00AC5305"/>
    <w:rsid w:val="00AC543D"/>
    <w:rsid w:val="00AC557F"/>
    <w:rsid w:val="00AC55F0"/>
    <w:rsid w:val="00AC5649"/>
    <w:rsid w:val="00AC5734"/>
    <w:rsid w:val="00AC5882"/>
    <w:rsid w:val="00AC58D4"/>
    <w:rsid w:val="00AC5974"/>
    <w:rsid w:val="00AC5E3B"/>
    <w:rsid w:val="00AC5E88"/>
    <w:rsid w:val="00AC606C"/>
    <w:rsid w:val="00AC60D1"/>
    <w:rsid w:val="00AC623A"/>
    <w:rsid w:val="00AC6435"/>
    <w:rsid w:val="00AC64C4"/>
    <w:rsid w:val="00AC6640"/>
    <w:rsid w:val="00AC66B3"/>
    <w:rsid w:val="00AC67EE"/>
    <w:rsid w:val="00AC68A7"/>
    <w:rsid w:val="00AC6A20"/>
    <w:rsid w:val="00AC6A48"/>
    <w:rsid w:val="00AC6AB4"/>
    <w:rsid w:val="00AC6AE5"/>
    <w:rsid w:val="00AC6B3B"/>
    <w:rsid w:val="00AC6B83"/>
    <w:rsid w:val="00AC6BEF"/>
    <w:rsid w:val="00AC6C14"/>
    <w:rsid w:val="00AC6DE4"/>
    <w:rsid w:val="00AC6F45"/>
    <w:rsid w:val="00AC6FDE"/>
    <w:rsid w:val="00AC70AA"/>
    <w:rsid w:val="00AC7240"/>
    <w:rsid w:val="00AC7343"/>
    <w:rsid w:val="00AC7365"/>
    <w:rsid w:val="00AC738F"/>
    <w:rsid w:val="00AC73A2"/>
    <w:rsid w:val="00AC742D"/>
    <w:rsid w:val="00AC750F"/>
    <w:rsid w:val="00AC7575"/>
    <w:rsid w:val="00AC75EE"/>
    <w:rsid w:val="00AC776A"/>
    <w:rsid w:val="00AC77C9"/>
    <w:rsid w:val="00AC7840"/>
    <w:rsid w:val="00AC78BB"/>
    <w:rsid w:val="00AC7927"/>
    <w:rsid w:val="00AC7A89"/>
    <w:rsid w:val="00AC7B05"/>
    <w:rsid w:val="00AC7B1A"/>
    <w:rsid w:val="00AC7B44"/>
    <w:rsid w:val="00AC7C03"/>
    <w:rsid w:val="00AC7E95"/>
    <w:rsid w:val="00AC7E9D"/>
    <w:rsid w:val="00AC7EE1"/>
    <w:rsid w:val="00AD0044"/>
    <w:rsid w:val="00AD0066"/>
    <w:rsid w:val="00AD0078"/>
    <w:rsid w:val="00AD0127"/>
    <w:rsid w:val="00AD02A7"/>
    <w:rsid w:val="00AD039D"/>
    <w:rsid w:val="00AD0448"/>
    <w:rsid w:val="00AD0506"/>
    <w:rsid w:val="00AD0520"/>
    <w:rsid w:val="00AD0582"/>
    <w:rsid w:val="00AD05C3"/>
    <w:rsid w:val="00AD0840"/>
    <w:rsid w:val="00AD0966"/>
    <w:rsid w:val="00AD0D66"/>
    <w:rsid w:val="00AD0FBB"/>
    <w:rsid w:val="00AD0FC5"/>
    <w:rsid w:val="00AD10F2"/>
    <w:rsid w:val="00AD114A"/>
    <w:rsid w:val="00AD114E"/>
    <w:rsid w:val="00AD11B2"/>
    <w:rsid w:val="00AD129C"/>
    <w:rsid w:val="00AD12F4"/>
    <w:rsid w:val="00AD148B"/>
    <w:rsid w:val="00AD14A8"/>
    <w:rsid w:val="00AD1730"/>
    <w:rsid w:val="00AD1829"/>
    <w:rsid w:val="00AD1936"/>
    <w:rsid w:val="00AD1B6D"/>
    <w:rsid w:val="00AD1F12"/>
    <w:rsid w:val="00AD1FE3"/>
    <w:rsid w:val="00AD1FF9"/>
    <w:rsid w:val="00AD2154"/>
    <w:rsid w:val="00AD217B"/>
    <w:rsid w:val="00AD241B"/>
    <w:rsid w:val="00AD2447"/>
    <w:rsid w:val="00AD2452"/>
    <w:rsid w:val="00AD26CD"/>
    <w:rsid w:val="00AD27A2"/>
    <w:rsid w:val="00AD27D9"/>
    <w:rsid w:val="00AD2803"/>
    <w:rsid w:val="00AD285B"/>
    <w:rsid w:val="00AD29A7"/>
    <w:rsid w:val="00AD2BE4"/>
    <w:rsid w:val="00AD2C4D"/>
    <w:rsid w:val="00AD2C60"/>
    <w:rsid w:val="00AD2D65"/>
    <w:rsid w:val="00AD2FD3"/>
    <w:rsid w:val="00AD2FFB"/>
    <w:rsid w:val="00AD300D"/>
    <w:rsid w:val="00AD322C"/>
    <w:rsid w:val="00AD349B"/>
    <w:rsid w:val="00AD34B6"/>
    <w:rsid w:val="00AD34F0"/>
    <w:rsid w:val="00AD35A3"/>
    <w:rsid w:val="00AD3901"/>
    <w:rsid w:val="00AD3973"/>
    <w:rsid w:val="00AD39FF"/>
    <w:rsid w:val="00AD3A3C"/>
    <w:rsid w:val="00AD3A90"/>
    <w:rsid w:val="00AD3ADD"/>
    <w:rsid w:val="00AD3B1D"/>
    <w:rsid w:val="00AD3CC9"/>
    <w:rsid w:val="00AD3D4A"/>
    <w:rsid w:val="00AD4072"/>
    <w:rsid w:val="00AD40B1"/>
    <w:rsid w:val="00AD426C"/>
    <w:rsid w:val="00AD4447"/>
    <w:rsid w:val="00AD45CE"/>
    <w:rsid w:val="00AD463A"/>
    <w:rsid w:val="00AD46EA"/>
    <w:rsid w:val="00AD47B8"/>
    <w:rsid w:val="00AD48BF"/>
    <w:rsid w:val="00AD4931"/>
    <w:rsid w:val="00AD49D7"/>
    <w:rsid w:val="00AD4A29"/>
    <w:rsid w:val="00AD4A59"/>
    <w:rsid w:val="00AD4B1D"/>
    <w:rsid w:val="00AD4C3D"/>
    <w:rsid w:val="00AD4D50"/>
    <w:rsid w:val="00AD4D64"/>
    <w:rsid w:val="00AD4DE0"/>
    <w:rsid w:val="00AD4E55"/>
    <w:rsid w:val="00AD4E7A"/>
    <w:rsid w:val="00AD4FA4"/>
    <w:rsid w:val="00AD50AF"/>
    <w:rsid w:val="00AD51A0"/>
    <w:rsid w:val="00AD52C7"/>
    <w:rsid w:val="00AD5397"/>
    <w:rsid w:val="00AD53BC"/>
    <w:rsid w:val="00AD53D1"/>
    <w:rsid w:val="00AD5660"/>
    <w:rsid w:val="00AD57E2"/>
    <w:rsid w:val="00AD5BA2"/>
    <w:rsid w:val="00AD5C3B"/>
    <w:rsid w:val="00AD5E24"/>
    <w:rsid w:val="00AD5E27"/>
    <w:rsid w:val="00AD5EE3"/>
    <w:rsid w:val="00AD5F0F"/>
    <w:rsid w:val="00AD601D"/>
    <w:rsid w:val="00AD602B"/>
    <w:rsid w:val="00AD6117"/>
    <w:rsid w:val="00AD61E3"/>
    <w:rsid w:val="00AD6243"/>
    <w:rsid w:val="00AD63AE"/>
    <w:rsid w:val="00AD63BD"/>
    <w:rsid w:val="00AD681F"/>
    <w:rsid w:val="00AD685A"/>
    <w:rsid w:val="00AD685E"/>
    <w:rsid w:val="00AD6868"/>
    <w:rsid w:val="00AD687B"/>
    <w:rsid w:val="00AD68EA"/>
    <w:rsid w:val="00AD6970"/>
    <w:rsid w:val="00AD698F"/>
    <w:rsid w:val="00AD69A0"/>
    <w:rsid w:val="00AD6A3B"/>
    <w:rsid w:val="00AD6ACF"/>
    <w:rsid w:val="00AD6AF9"/>
    <w:rsid w:val="00AD6BBF"/>
    <w:rsid w:val="00AD6CED"/>
    <w:rsid w:val="00AD6D03"/>
    <w:rsid w:val="00AD6E29"/>
    <w:rsid w:val="00AD6E75"/>
    <w:rsid w:val="00AD7092"/>
    <w:rsid w:val="00AD7621"/>
    <w:rsid w:val="00AD7771"/>
    <w:rsid w:val="00AD7970"/>
    <w:rsid w:val="00AD7A57"/>
    <w:rsid w:val="00AD7AF0"/>
    <w:rsid w:val="00AD7BE1"/>
    <w:rsid w:val="00AD7BED"/>
    <w:rsid w:val="00AD7C58"/>
    <w:rsid w:val="00AD7E49"/>
    <w:rsid w:val="00AD7E6A"/>
    <w:rsid w:val="00AD7E6B"/>
    <w:rsid w:val="00AE01AB"/>
    <w:rsid w:val="00AE01BE"/>
    <w:rsid w:val="00AE01CC"/>
    <w:rsid w:val="00AE01EC"/>
    <w:rsid w:val="00AE021F"/>
    <w:rsid w:val="00AE02AB"/>
    <w:rsid w:val="00AE02C0"/>
    <w:rsid w:val="00AE0525"/>
    <w:rsid w:val="00AE0692"/>
    <w:rsid w:val="00AE06A2"/>
    <w:rsid w:val="00AE0739"/>
    <w:rsid w:val="00AE09DD"/>
    <w:rsid w:val="00AE0A6D"/>
    <w:rsid w:val="00AE0A73"/>
    <w:rsid w:val="00AE0AEA"/>
    <w:rsid w:val="00AE0AEE"/>
    <w:rsid w:val="00AE0B25"/>
    <w:rsid w:val="00AE0C62"/>
    <w:rsid w:val="00AE0CD8"/>
    <w:rsid w:val="00AE0CF2"/>
    <w:rsid w:val="00AE0E0D"/>
    <w:rsid w:val="00AE0E47"/>
    <w:rsid w:val="00AE0F7E"/>
    <w:rsid w:val="00AE0FE1"/>
    <w:rsid w:val="00AE1029"/>
    <w:rsid w:val="00AE106F"/>
    <w:rsid w:val="00AE11D2"/>
    <w:rsid w:val="00AE123C"/>
    <w:rsid w:val="00AE15AA"/>
    <w:rsid w:val="00AE16C6"/>
    <w:rsid w:val="00AE1718"/>
    <w:rsid w:val="00AE1823"/>
    <w:rsid w:val="00AE1937"/>
    <w:rsid w:val="00AE1A65"/>
    <w:rsid w:val="00AE1AE9"/>
    <w:rsid w:val="00AE1B47"/>
    <w:rsid w:val="00AE1C11"/>
    <w:rsid w:val="00AE1D08"/>
    <w:rsid w:val="00AE1F0B"/>
    <w:rsid w:val="00AE1F51"/>
    <w:rsid w:val="00AE222B"/>
    <w:rsid w:val="00AE22F4"/>
    <w:rsid w:val="00AE231A"/>
    <w:rsid w:val="00AE2397"/>
    <w:rsid w:val="00AE243F"/>
    <w:rsid w:val="00AE24AD"/>
    <w:rsid w:val="00AE24C8"/>
    <w:rsid w:val="00AE253A"/>
    <w:rsid w:val="00AE25DE"/>
    <w:rsid w:val="00AE273C"/>
    <w:rsid w:val="00AE2981"/>
    <w:rsid w:val="00AE298F"/>
    <w:rsid w:val="00AE29D3"/>
    <w:rsid w:val="00AE2BC9"/>
    <w:rsid w:val="00AE2EC4"/>
    <w:rsid w:val="00AE2F65"/>
    <w:rsid w:val="00AE2F9A"/>
    <w:rsid w:val="00AE31C5"/>
    <w:rsid w:val="00AE3309"/>
    <w:rsid w:val="00AE33BD"/>
    <w:rsid w:val="00AE3431"/>
    <w:rsid w:val="00AE344C"/>
    <w:rsid w:val="00AE3478"/>
    <w:rsid w:val="00AE352A"/>
    <w:rsid w:val="00AE35E9"/>
    <w:rsid w:val="00AE38D9"/>
    <w:rsid w:val="00AE3964"/>
    <w:rsid w:val="00AE3B15"/>
    <w:rsid w:val="00AE3D31"/>
    <w:rsid w:val="00AE3D45"/>
    <w:rsid w:val="00AE3D84"/>
    <w:rsid w:val="00AE3DEC"/>
    <w:rsid w:val="00AE3E9D"/>
    <w:rsid w:val="00AE3EC4"/>
    <w:rsid w:val="00AE3FB9"/>
    <w:rsid w:val="00AE3FF0"/>
    <w:rsid w:val="00AE4098"/>
    <w:rsid w:val="00AE4351"/>
    <w:rsid w:val="00AE4383"/>
    <w:rsid w:val="00AE43CB"/>
    <w:rsid w:val="00AE444D"/>
    <w:rsid w:val="00AE44E4"/>
    <w:rsid w:val="00AE44ED"/>
    <w:rsid w:val="00AE4550"/>
    <w:rsid w:val="00AE4553"/>
    <w:rsid w:val="00AE4582"/>
    <w:rsid w:val="00AE45FE"/>
    <w:rsid w:val="00AE469F"/>
    <w:rsid w:val="00AE47DA"/>
    <w:rsid w:val="00AE4802"/>
    <w:rsid w:val="00AE483D"/>
    <w:rsid w:val="00AE4BC0"/>
    <w:rsid w:val="00AE4C66"/>
    <w:rsid w:val="00AE4DA5"/>
    <w:rsid w:val="00AE4DD5"/>
    <w:rsid w:val="00AE4ED3"/>
    <w:rsid w:val="00AE4F02"/>
    <w:rsid w:val="00AE4FA8"/>
    <w:rsid w:val="00AE51DC"/>
    <w:rsid w:val="00AE51E1"/>
    <w:rsid w:val="00AE5240"/>
    <w:rsid w:val="00AE53F4"/>
    <w:rsid w:val="00AE54FE"/>
    <w:rsid w:val="00AE5578"/>
    <w:rsid w:val="00AE56E6"/>
    <w:rsid w:val="00AE5720"/>
    <w:rsid w:val="00AE5855"/>
    <w:rsid w:val="00AE5935"/>
    <w:rsid w:val="00AE5953"/>
    <w:rsid w:val="00AE5CAD"/>
    <w:rsid w:val="00AE5D13"/>
    <w:rsid w:val="00AE5E14"/>
    <w:rsid w:val="00AE5E5C"/>
    <w:rsid w:val="00AE6020"/>
    <w:rsid w:val="00AE63EF"/>
    <w:rsid w:val="00AE65EE"/>
    <w:rsid w:val="00AE66E8"/>
    <w:rsid w:val="00AE6735"/>
    <w:rsid w:val="00AE68BE"/>
    <w:rsid w:val="00AE6939"/>
    <w:rsid w:val="00AE6993"/>
    <w:rsid w:val="00AE69F2"/>
    <w:rsid w:val="00AE6A19"/>
    <w:rsid w:val="00AE6A81"/>
    <w:rsid w:val="00AE6C0A"/>
    <w:rsid w:val="00AE6C46"/>
    <w:rsid w:val="00AE6CA3"/>
    <w:rsid w:val="00AE6FE5"/>
    <w:rsid w:val="00AE6FEE"/>
    <w:rsid w:val="00AE6FF4"/>
    <w:rsid w:val="00AE7029"/>
    <w:rsid w:val="00AE706E"/>
    <w:rsid w:val="00AE7089"/>
    <w:rsid w:val="00AE7115"/>
    <w:rsid w:val="00AE718B"/>
    <w:rsid w:val="00AE71B0"/>
    <w:rsid w:val="00AE71FB"/>
    <w:rsid w:val="00AE729D"/>
    <w:rsid w:val="00AE72CB"/>
    <w:rsid w:val="00AE72F1"/>
    <w:rsid w:val="00AE73AB"/>
    <w:rsid w:val="00AE741B"/>
    <w:rsid w:val="00AE747D"/>
    <w:rsid w:val="00AE75B5"/>
    <w:rsid w:val="00AE75C5"/>
    <w:rsid w:val="00AE75E7"/>
    <w:rsid w:val="00AE765A"/>
    <w:rsid w:val="00AE766D"/>
    <w:rsid w:val="00AE77FB"/>
    <w:rsid w:val="00AE788D"/>
    <w:rsid w:val="00AE78CB"/>
    <w:rsid w:val="00AE79B5"/>
    <w:rsid w:val="00AE7A3F"/>
    <w:rsid w:val="00AE7BE2"/>
    <w:rsid w:val="00AE7C6D"/>
    <w:rsid w:val="00AE7D54"/>
    <w:rsid w:val="00AE7E00"/>
    <w:rsid w:val="00AE7F08"/>
    <w:rsid w:val="00AE7F11"/>
    <w:rsid w:val="00AE7FB3"/>
    <w:rsid w:val="00AF0131"/>
    <w:rsid w:val="00AF0226"/>
    <w:rsid w:val="00AF02B9"/>
    <w:rsid w:val="00AF0441"/>
    <w:rsid w:val="00AF0490"/>
    <w:rsid w:val="00AF0508"/>
    <w:rsid w:val="00AF05B2"/>
    <w:rsid w:val="00AF062B"/>
    <w:rsid w:val="00AF08AE"/>
    <w:rsid w:val="00AF0939"/>
    <w:rsid w:val="00AF0B5E"/>
    <w:rsid w:val="00AF1023"/>
    <w:rsid w:val="00AF103C"/>
    <w:rsid w:val="00AF1176"/>
    <w:rsid w:val="00AF121C"/>
    <w:rsid w:val="00AF154B"/>
    <w:rsid w:val="00AF1731"/>
    <w:rsid w:val="00AF1771"/>
    <w:rsid w:val="00AF182D"/>
    <w:rsid w:val="00AF1854"/>
    <w:rsid w:val="00AF189E"/>
    <w:rsid w:val="00AF197A"/>
    <w:rsid w:val="00AF1BF2"/>
    <w:rsid w:val="00AF1D9F"/>
    <w:rsid w:val="00AF1F40"/>
    <w:rsid w:val="00AF1F6C"/>
    <w:rsid w:val="00AF1FF0"/>
    <w:rsid w:val="00AF203F"/>
    <w:rsid w:val="00AF206E"/>
    <w:rsid w:val="00AF2350"/>
    <w:rsid w:val="00AF239D"/>
    <w:rsid w:val="00AF24B3"/>
    <w:rsid w:val="00AF24D9"/>
    <w:rsid w:val="00AF2660"/>
    <w:rsid w:val="00AF276F"/>
    <w:rsid w:val="00AF27DF"/>
    <w:rsid w:val="00AF2A14"/>
    <w:rsid w:val="00AF2A44"/>
    <w:rsid w:val="00AF2A72"/>
    <w:rsid w:val="00AF2AD3"/>
    <w:rsid w:val="00AF2B99"/>
    <w:rsid w:val="00AF2BC6"/>
    <w:rsid w:val="00AF2CA5"/>
    <w:rsid w:val="00AF2D20"/>
    <w:rsid w:val="00AF2E76"/>
    <w:rsid w:val="00AF2EC9"/>
    <w:rsid w:val="00AF2F03"/>
    <w:rsid w:val="00AF2F7E"/>
    <w:rsid w:val="00AF3141"/>
    <w:rsid w:val="00AF31C7"/>
    <w:rsid w:val="00AF3274"/>
    <w:rsid w:val="00AF327A"/>
    <w:rsid w:val="00AF32A6"/>
    <w:rsid w:val="00AF32D7"/>
    <w:rsid w:val="00AF34F0"/>
    <w:rsid w:val="00AF35B8"/>
    <w:rsid w:val="00AF36EA"/>
    <w:rsid w:val="00AF3802"/>
    <w:rsid w:val="00AF3874"/>
    <w:rsid w:val="00AF395F"/>
    <w:rsid w:val="00AF3B86"/>
    <w:rsid w:val="00AF3BA2"/>
    <w:rsid w:val="00AF3C20"/>
    <w:rsid w:val="00AF3C5F"/>
    <w:rsid w:val="00AF3DC1"/>
    <w:rsid w:val="00AF3DF7"/>
    <w:rsid w:val="00AF3F62"/>
    <w:rsid w:val="00AF42A9"/>
    <w:rsid w:val="00AF4456"/>
    <w:rsid w:val="00AF449C"/>
    <w:rsid w:val="00AF45AC"/>
    <w:rsid w:val="00AF46A0"/>
    <w:rsid w:val="00AF479E"/>
    <w:rsid w:val="00AF47F5"/>
    <w:rsid w:val="00AF4938"/>
    <w:rsid w:val="00AF49BC"/>
    <w:rsid w:val="00AF49ED"/>
    <w:rsid w:val="00AF4A17"/>
    <w:rsid w:val="00AF4A20"/>
    <w:rsid w:val="00AF4B94"/>
    <w:rsid w:val="00AF4CBF"/>
    <w:rsid w:val="00AF4D29"/>
    <w:rsid w:val="00AF4FBF"/>
    <w:rsid w:val="00AF53C0"/>
    <w:rsid w:val="00AF54D8"/>
    <w:rsid w:val="00AF54FD"/>
    <w:rsid w:val="00AF5718"/>
    <w:rsid w:val="00AF5843"/>
    <w:rsid w:val="00AF588D"/>
    <w:rsid w:val="00AF5A67"/>
    <w:rsid w:val="00AF5AE8"/>
    <w:rsid w:val="00AF5B35"/>
    <w:rsid w:val="00AF5B70"/>
    <w:rsid w:val="00AF5C45"/>
    <w:rsid w:val="00AF5CD2"/>
    <w:rsid w:val="00AF5E5E"/>
    <w:rsid w:val="00AF5F51"/>
    <w:rsid w:val="00AF5F72"/>
    <w:rsid w:val="00AF6096"/>
    <w:rsid w:val="00AF60EE"/>
    <w:rsid w:val="00AF6304"/>
    <w:rsid w:val="00AF6441"/>
    <w:rsid w:val="00AF64D0"/>
    <w:rsid w:val="00AF6609"/>
    <w:rsid w:val="00AF66CF"/>
    <w:rsid w:val="00AF6767"/>
    <w:rsid w:val="00AF679B"/>
    <w:rsid w:val="00AF6933"/>
    <w:rsid w:val="00AF69BA"/>
    <w:rsid w:val="00AF6AFB"/>
    <w:rsid w:val="00AF6DFD"/>
    <w:rsid w:val="00AF6E5B"/>
    <w:rsid w:val="00AF6E8D"/>
    <w:rsid w:val="00AF712C"/>
    <w:rsid w:val="00AF71A5"/>
    <w:rsid w:val="00AF71E5"/>
    <w:rsid w:val="00AF7224"/>
    <w:rsid w:val="00AF7249"/>
    <w:rsid w:val="00AF728A"/>
    <w:rsid w:val="00AF732A"/>
    <w:rsid w:val="00AF7504"/>
    <w:rsid w:val="00AF761A"/>
    <w:rsid w:val="00AF7638"/>
    <w:rsid w:val="00AF76D6"/>
    <w:rsid w:val="00AF770B"/>
    <w:rsid w:val="00AF771B"/>
    <w:rsid w:val="00AF773B"/>
    <w:rsid w:val="00AF7770"/>
    <w:rsid w:val="00AF77A6"/>
    <w:rsid w:val="00AF78D3"/>
    <w:rsid w:val="00AF794A"/>
    <w:rsid w:val="00AF7AE7"/>
    <w:rsid w:val="00AF7B50"/>
    <w:rsid w:val="00AF7B76"/>
    <w:rsid w:val="00AF7E4D"/>
    <w:rsid w:val="00AF7F06"/>
    <w:rsid w:val="00AF7F66"/>
    <w:rsid w:val="00AF7F98"/>
    <w:rsid w:val="00B000DC"/>
    <w:rsid w:val="00B002D2"/>
    <w:rsid w:val="00B0036F"/>
    <w:rsid w:val="00B004EF"/>
    <w:rsid w:val="00B0060D"/>
    <w:rsid w:val="00B007E4"/>
    <w:rsid w:val="00B007ED"/>
    <w:rsid w:val="00B00919"/>
    <w:rsid w:val="00B00956"/>
    <w:rsid w:val="00B00986"/>
    <w:rsid w:val="00B009C8"/>
    <w:rsid w:val="00B00A3A"/>
    <w:rsid w:val="00B00B4B"/>
    <w:rsid w:val="00B00B76"/>
    <w:rsid w:val="00B00B91"/>
    <w:rsid w:val="00B00D18"/>
    <w:rsid w:val="00B00F3E"/>
    <w:rsid w:val="00B00F6A"/>
    <w:rsid w:val="00B00FC9"/>
    <w:rsid w:val="00B01066"/>
    <w:rsid w:val="00B01243"/>
    <w:rsid w:val="00B01245"/>
    <w:rsid w:val="00B01302"/>
    <w:rsid w:val="00B01408"/>
    <w:rsid w:val="00B014D0"/>
    <w:rsid w:val="00B01596"/>
    <w:rsid w:val="00B015FC"/>
    <w:rsid w:val="00B0162F"/>
    <w:rsid w:val="00B01894"/>
    <w:rsid w:val="00B018ED"/>
    <w:rsid w:val="00B019A0"/>
    <w:rsid w:val="00B01ACF"/>
    <w:rsid w:val="00B01AF4"/>
    <w:rsid w:val="00B01B38"/>
    <w:rsid w:val="00B01B8E"/>
    <w:rsid w:val="00B01E8D"/>
    <w:rsid w:val="00B01F1B"/>
    <w:rsid w:val="00B01F43"/>
    <w:rsid w:val="00B01FF6"/>
    <w:rsid w:val="00B02260"/>
    <w:rsid w:val="00B02296"/>
    <w:rsid w:val="00B02375"/>
    <w:rsid w:val="00B023E9"/>
    <w:rsid w:val="00B02402"/>
    <w:rsid w:val="00B0240A"/>
    <w:rsid w:val="00B024C8"/>
    <w:rsid w:val="00B025B0"/>
    <w:rsid w:val="00B025FF"/>
    <w:rsid w:val="00B026B4"/>
    <w:rsid w:val="00B026B6"/>
    <w:rsid w:val="00B026C4"/>
    <w:rsid w:val="00B027CF"/>
    <w:rsid w:val="00B02980"/>
    <w:rsid w:val="00B02E3A"/>
    <w:rsid w:val="00B02E7D"/>
    <w:rsid w:val="00B02E91"/>
    <w:rsid w:val="00B02E9B"/>
    <w:rsid w:val="00B02EE8"/>
    <w:rsid w:val="00B02F5D"/>
    <w:rsid w:val="00B030D1"/>
    <w:rsid w:val="00B0314E"/>
    <w:rsid w:val="00B031BA"/>
    <w:rsid w:val="00B031CD"/>
    <w:rsid w:val="00B031E2"/>
    <w:rsid w:val="00B031F8"/>
    <w:rsid w:val="00B0330A"/>
    <w:rsid w:val="00B033BA"/>
    <w:rsid w:val="00B03443"/>
    <w:rsid w:val="00B03560"/>
    <w:rsid w:val="00B035B8"/>
    <w:rsid w:val="00B0366F"/>
    <w:rsid w:val="00B03719"/>
    <w:rsid w:val="00B03745"/>
    <w:rsid w:val="00B03791"/>
    <w:rsid w:val="00B037C5"/>
    <w:rsid w:val="00B038BD"/>
    <w:rsid w:val="00B0392A"/>
    <w:rsid w:val="00B03AD1"/>
    <w:rsid w:val="00B03BDA"/>
    <w:rsid w:val="00B03CA6"/>
    <w:rsid w:val="00B03EC2"/>
    <w:rsid w:val="00B03F1F"/>
    <w:rsid w:val="00B041AC"/>
    <w:rsid w:val="00B043BD"/>
    <w:rsid w:val="00B0446A"/>
    <w:rsid w:val="00B044B7"/>
    <w:rsid w:val="00B045F9"/>
    <w:rsid w:val="00B048DC"/>
    <w:rsid w:val="00B04901"/>
    <w:rsid w:val="00B04927"/>
    <w:rsid w:val="00B049EF"/>
    <w:rsid w:val="00B04A36"/>
    <w:rsid w:val="00B04B04"/>
    <w:rsid w:val="00B04B06"/>
    <w:rsid w:val="00B04D36"/>
    <w:rsid w:val="00B04FE2"/>
    <w:rsid w:val="00B04FEE"/>
    <w:rsid w:val="00B0506A"/>
    <w:rsid w:val="00B052BE"/>
    <w:rsid w:val="00B052F4"/>
    <w:rsid w:val="00B0537F"/>
    <w:rsid w:val="00B055BD"/>
    <w:rsid w:val="00B05705"/>
    <w:rsid w:val="00B058D6"/>
    <w:rsid w:val="00B058EF"/>
    <w:rsid w:val="00B0595F"/>
    <w:rsid w:val="00B059C4"/>
    <w:rsid w:val="00B05B24"/>
    <w:rsid w:val="00B05B8D"/>
    <w:rsid w:val="00B05BC0"/>
    <w:rsid w:val="00B05CAE"/>
    <w:rsid w:val="00B05D7B"/>
    <w:rsid w:val="00B05D7E"/>
    <w:rsid w:val="00B05E97"/>
    <w:rsid w:val="00B05F51"/>
    <w:rsid w:val="00B06148"/>
    <w:rsid w:val="00B06177"/>
    <w:rsid w:val="00B06551"/>
    <w:rsid w:val="00B0657C"/>
    <w:rsid w:val="00B065CF"/>
    <w:rsid w:val="00B066BA"/>
    <w:rsid w:val="00B06757"/>
    <w:rsid w:val="00B068F6"/>
    <w:rsid w:val="00B06A2E"/>
    <w:rsid w:val="00B06CCC"/>
    <w:rsid w:val="00B06DFC"/>
    <w:rsid w:val="00B06EDD"/>
    <w:rsid w:val="00B06F76"/>
    <w:rsid w:val="00B06FEC"/>
    <w:rsid w:val="00B070A1"/>
    <w:rsid w:val="00B07197"/>
    <w:rsid w:val="00B07241"/>
    <w:rsid w:val="00B07552"/>
    <w:rsid w:val="00B075B9"/>
    <w:rsid w:val="00B0786C"/>
    <w:rsid w:val="00B078D4"/>
    <w:rsid w:val="00B0799E"/>
    <w:rsid w:val="00B07B2B"/>
    <w:rsid w:val="00B07C5D"/>
    <w:rsid w:val="00B07CC8"/>
    <w:rsid w:val="00B07CD0"/>
    <w:rsid w:val="00B07D42"/>
    <w:rsid w:val="00B07DD7"/>
    <w:rsid w:val="00B07E18"/>
    <w:rsid w:val="00B07E23"/>
    <w:rsid w:val="00B07E6C"/>
    <w:rsid w:val="00B07F42"/>
    <w:rsid w:val="00B07F6B"/>
    <w:rsid w:val="00B10067"/>
    <w:rsid w:val="00B101D5"/>
    <w:rsid w:val="00B10275"/>
    <w:rsid w:val="00B102BC"/>
    <w:rsid w:val="00B10319"/>
    <w:rsid w:val="00B10380"/>
    <w:rsid w:val="00B103A3"/>
    <w:rsid w:val="00B1042A"/>
    <w:rsid w:val="00B1045F"/>
    <w:rsid w:val="00B10560"/>
    <w:rsid w:val="00B1057C"/>
    <w:rsid w:val="00B10776"/>
    <w:rsid w:val="00B10828"/>
    <w:rsid w:val="00B108ED"/>
    <w:rsid w:val="00B1098F"/>
    <w:rsid w:val="00B10990"/>
    <w:rsid w:val="00B10A0E"/>
    <w:rsid w:val="00B10A69"/>
    <w:rsid w:val="00B10B1A"/>
    <w:rsid w:val="00B10BA5"/>
    <w:rsid w:val="00B10DBB"/>
    <w:rsid w:val="00B10F4A"/>
    <w:rsid w:val="00B10F62"/>
    <w:rsid w:val="00B10F64"/>
    <w:rsid w:val="00B10F82"/>
    <w:rsid w:val="00B1102A"/>
    <w:rsid w:val="00B110F3"/>
    <w:rsid w:val="00B11133"/>
    <w:rsid w:val="00B1115E"/>
    <w:rsid w:val="00B111B4"/>
    <w:rsid w:val="00B111E5"/>
    <w:rsid w:val="00B1129D"/>
    <w:rsid w:val="00B1134C"/>
    <w:rsid w:val="00B1135A"/>
    <w:rsid w:val="00B115AF"/>
    <w:rsid w:val="00B11870"/>
    <w:rsid w:val="00B11875"/>
    <w:rsid w:val="00B118BE"/>
    <w:rsid w:val="00B11BE6"/>
    <w:rsid w:val="00B11BFC"/>
    <w:rsid w:val="00B11C1C"/>
    <w:rsid w:val="00B11CC3"/>
    <w:rsid w:val="00B11DEA"/>
    <w:rsid w:val="00B11E57"/>
    <w:rsid w:val="00B11F17"/>
    <w:rsid w:val="00B123D9"/>
    <w:rsid w:val="00B127CA"/>
    <w:rsid w:val="00B1293E"/>
    <w:rsid w:val="00B129C6"/>
    <w:rsid w:val="00B12ADB"/>
    <w:rsid w:val="00B12B5D"/>
    <w:rsid w:val="00B12CAE"/>
    <w:rsid w:val="00B12CB0"/>
    <w:rsid w:val="00B12F3D"/>
    <w:rsid w:val="00B12F97"/>
    <w:rsid w:val="00B1306A"/>
    <w:rsid w:val="00B13085"/>
    <w:rsid w:val="00B130B1"/>
    <w:rsid w:val="00B13288"/>
    <w:rsid w:val="00B1368B"/>
    <w:rsid w:val="00B136A0"/>
    <w:rsid w:val="00B1372B"/>
    <w:rsid w:val="00B13731"/>
    <w:rsid w:val="00B13737"/>
    <w:rsid w:val="00B13759"/>
    <w:rsid w:val="00B1376A"/>
    <w:rsid w:val="00B137C8"/>
    <w:rsid w:val="00B1385F"/>
    <w:rsid w:val="00B13998"/>
    <w:rsid w:val="00B13ACD"/>
    <w:rsid w:val="00B13BD8"/>
    <w:rsid w:val="00B13C3C"/>
    <w:rsid w:val="00B13C9B"/>
    <w:rsid w:val="00B13D3D"/>
    <w:rsid w:val="00B13D94"/>
    <w:rsid w:val="00B13E4E"/>
    <w:rsid w:val="00B1420A"/>
    <w:rsid w:val="00B1422D"/>
    <w:rsid w:val="00B14332"/>
    <w:rsid w:val="00B1449E"/>
    <w:rsid w:val="00B1463E"/>
    <w:rsid w:val="00B147B1"/>
    <w:rsid w:val="00B14950"/>
    <w:rsid w:val="00B14AB7"/>
    <w:rsid w:val="00B14AD0"/>
    <w:rsid w:val="00B14B1F"/>
    <w:rsid w:val="00B14B61"/>
    <w:rsid w:val="00B14C85"/>
    <w:rsid w:val="00B14D39"/>
    <w:rsid w:val="00B14DD9"/>
    <w:rsid w:val="00B14FDF"/>
    <w:rsid w:val="00B151A5"/>
    <w:rsid w:val="00B15240"/>
    <w:rsid w:val="00B15392"/>
    <w:rsid w:val="00B157E8"/>
    <w:rsid w:val="00B15818"/>
    <w:rsid w:val="00B15960"/>
    <w:rsid w:val="00B1596A"/>
    <w:rsid w:val="00B159C9"/>
    <w:rsid w:val="00B15A19"/>
    <w:rsid w:val="00B15B0D"/>
    <w:rsid w:val="00B15B99"/>
    <w:rsid w:val="00B15C1B"/>
    <w:rsid w:val="00B15D2D"/>
    <w:rsid w:val="00B15D49"/>
    <w:rsid w:val="00B15E9A"/>
    <w:rsid w:val="00B15FFA"/>
    <w:rsid w:val="00B1603B"/>
    <w:rsid w:val="00B1619A"/>
    <w:rsid w:val="00B1619E"/>
    <w:rsid w:val="00B162CA"/>
    <w:rsid w:val="00B162F7"/>
    <w:rsid w:val="00B165AB"/>
    <w:rsid w:val="00B167C8"/>
    <w:rsid w:val="00B16A28"/>
    <w:rsid w:val="00B16AD8"/>
    <w:rsid w:val="00B16C61"/>
    <w:rsid w:val="00B16C8D"/>
    <w:rsid w:val="00B16D88"/>
    <w:rsid w:val="00B16DA7"/>
    <w:rsid w:val="00B16E12"/>
    <w:rsid w:val="00B16E3F"/>
    <w:rsid w:val="00B17016"/>
    <w:rsid w:val="00B170B2"/>
    <w:rsid w:val="00B1710B"/>
    <w:rsid w:val="00B17117"/>
    <w:rsid w:val="00B1714E"/>
    <w:rsid w:val="00B17171"/>
    <w:rsid w:val="00B17249"/>
    <w:rsid w:val="00B173B5"/>
    <w:rsid w:val="00B17480"/>
    <w:rsid w:val="00B174CC"/>
    <w:rsid w:val="00B1759C"/>
    <w:rsid w:val="00B175DF"/>
    <w:rsid w:val="00B17768"/>
    <w:rsid w:val="00B17945"/>
    <w:rsid w:val="00B17969"/>
    <w:rsid w:val="00B1796E"/>
    <w:rsid w:val="00B179D5"/>
    <w:rsid w:val="00B17ADA"/>
    <w:rsid w:val="00B17BA4"/>
    <w:rsid w:val="00B17C90"/>
    <w:rsid w:val="00B17D18"/>
    <w:rsid w:val="00B17D2D"/>
    <w:rsid w:val="00B17F34"/>
    <w:rsid w:val="00B17F7D"/>
    <w:rsid w:val="00B17FF8"/>
    <w:rsid w:val="00B200D0"/>
    <w:rsid w:val="00B201A5"/>
    <w:rsid w:val="00B20292"/>
    <w:rsid w:val="00B2044E"/>
    <w:rsid w:val="00B204EF"/>
    <w:rsid w:val="00B2056C"/>
    <w:rsid w:val="00B20770"/>
    <w:rsid w:val="00B209F3"/>
    <w:rsid w:val="00B20A3F"/>
    <w:rsid w:val="00B20A48"/>
    <w:rsid w:val="00B20D66"/>
    <w:rsid w:val="00B20EF0"/>
    <w:rsid w:val="00B210A3"/>
    <w:rsid w:val="00B2112E"/>
    <w:rsid w:val="00B211BB"/>
    <w:rsid w:val="00B2130B"/>
    <w:rsid w:val="00B21486"/>
    <w:rsid w:val="00B2153F"/>
    <w:rsid w:val="00B2156F"/>
    <w:rsid w:val="00B21801"/>
    <w:rsid w:val="00B21927"/>
    <w:rsid w:val="00B219FF"/>
    <w:rsid w:val="00B21C7A"/>
    <w:rsid w:val="00B21CF0"/>
    <w:rsid w:val="00B21D25"/>
    <w:rsid w:val="00B21D40"/>
    <w:rsid w:val="00B21F44"/>
    <w:rsid w:val="00B21F91"/>
    <w:rsid w:val="00B22029"/>
    <w:rsid w:val="00B2206B"/>
    <w:rsid w:val="00B220F6"/>
    <w:rsid w:val="00B221A7"/>
    <w:rsid w:val="00B2246D"/>
    <w:rsid w:val="00B225AE"/>
    <w:rsid w:val="00B22669"/>
    <w:rsid w:val="00B2267D"/>
    <w:rsid w:val="00B2286B"/>
    <w:rsid w:val="00B228EB"/>
    <w:rsid w:val="00B2296E"/>
    <w:rsid w:val="00B22974"/>
    <w:rsid w:val="00B229B6"/>
    <w:rsid w:val="00B229E7"/>
    <w:rsid w:val="00B22AC1"/>
    <w:rsid w:val="00B22BDB"/>
    <w:rsid w:val="00B22CB3"/>
    <w:rsid w:val="00B22CE7"/>
    <w:rsid w:val="00B22DF5"/>
    <w:rsid w:val="00B22E1A"/>
    <w:rsid w:val="00B2317A"/>
    <w:rsid w:val="00B231C5"/>
    <w:rsid w:val="00B231D3"/>
    <w:rsid w:val="00B232FE"/>
    <w:rsid w:val="00B23313"/>
    <w:rsid w:val="00B23333"/>
    <w:rsid w:val="00B23346"/>
    <w:rsid w:val="00B2341E"/>
    <w:rsid w:val="00B23517"/>
    <w:rsid w:val="00B23696"/>
    <w:rsid w:val="00B237EE"/>
    <w:rsid w:val="00B23978"/>
    <w:rsid w:val="00B239EC"/>
    <w:rsid w:val="00B23A32"/>
    <w:rsid w:val="00B23B30"/>
    <w:rsid w:val="00B23B4B"/>
    <w:rsid w:val="00B23BEB"/>
    <w:rsid w:val="00B23C01"/>
    <w:rsid w:val="00B23C2E"/>
    <w:rsid w:val="00B23CD5"/>
    <w:rsid w:val="00B23E04"/>
    <w:rsid w:val="00B23E0B"/>
    <w:rsid w:val="00B23E8C"/>
    <w:rsid w:val="00B23E9F"/>
    <w:rsid w:val="00B23EBD"/>
    <w:rsid w:val="00B24073"/>
    <w:rsid w:val="00B240A4"/>
    <w:rsid w:val="00B24193"/>
    <w:rsid w:val="00B241CB"/>
    <w:rsid w:val="00B24205"/>
    <w:rsid w:val="00B24322"/>
    <w:rsid w:val="00B24386"/>
    <w:rsid w:val="00B24564"/>
    <w:rsid w:val="00B24601"/>
    <w:rsid w:val="00B24701"/>
    <w:rsid w:val="00B24778"/>
    <w:rsid w:val="00B247C0"/>
    <w:rsid w:val="00B24940"/>
    <w:rsid w:val="00B24A44"/>
    <w:rsid w:val="00B24ACC"/>
    <w:rsid w:val="00B24BCA"/>
    <w:rsid w:val="00B24F01"/>
    <w:rsid w:val="00B24FF6"/>
    <w:rsid w:val="00B25092"/>
    <w:rsid w:val="00B251B2"/>
    <w:rsid w:val="00B251FF"/>
    <w:rsid w:val="00B25230"/>
    <w:rsid w:val="00B25363"/>
    <w:rsid w:val="00B2547A"/>
    <w:rsid w:val="00B254F3"/>
    <w:rsid w:val="00B2553C"/>
    <w:rsid w:val="00B25545"/>
    <w:rsid w:val="00B25558"/>
    <w:rsid w:val="00B2555D"/>
    <w:rsid w:val="00B25697"/>
    <w:rsid w:val="00B2571B"/>
    <w:rsid w:val="00B258C1"/>
    <w:rsid w:val="00B258E4"/>
    <w:rsid w:val="00B25C6D"/>
    <w:rsid w:val="00B25CB7"/>
    <w:rsid w:val="00B25D4E"/>
    <w:rsid w:val="00B25DCC"/>
    <w:rsid w:val="00B25DE0"/>
    <w:rsid w:val="00B25F2F"/>
    <w:rsid w:val="00B26173"/>
    <w:rsid w:val="00B262F4"/>
    <w:rsid w:val="00B263BA"/>
    <w:rsid w:val="00B264CF"/>
    <w:rsid w:val="00B2657A"/>
    <w:rsid w:val="00B266A8"/>
    <w:rsid w:val="00B266D4"/>
    <w:rsid w:val="00B2695D"/>
    <w:rsid w:val="00B26A3D"/>
    <w:rsid w:val="00B26A5D"/>
    <w:rsid w:val="00B26C14"/>
    <w:rsid w:val="00B26C9D"/>
    <w:rsid w:val="00B26CC8"/>
    <w:rsid w:val="00B26CE8"/>
    <w:rsid w:val="00B26D47"/>
    <w:rsid w:val="00B26E7D"/>
    <w:rsid w:val="00B271B7"/>
    <w:rsid w:val="00B2727B"/>
    <w:rsid w:val="00B272D4"/>
    <w:rsid w:val="00B2745D"/>
    <w:rsid w:val="00B27643"/>
    <w:rsid w:val="00B276A9"/>
    <w:rsid w:val="00B27905"/>
    <w:rsid w:val="00B27909"/>
    <w:rsid w:val="00B27B18"/>
    <w:rsid w:val="00B27BBF"/>
    <w:rsid w:val="00B27CE7"/>
    <w:rsid w:val="00B27DB5"/>
    <w:rsid w:val="00B3020C"/>
    <w:rsid w:val="00B30210"/>
    <w:rsid w:val="00B30335"/>
    <w:rsid w:val="00B3036E"/>
    <w:rsid w:val="00B30402"/>
    <w:rsid w:val="00B3058B"/>
    <w:rsid w:val="00B3063D"/>
    <w:rsid w:val="00B30865"/>
    <w:rsid w:val="00B308CB"/>
    <w:rsid w:val="00B308F4"/>
    <w:rsid w:val="00B30941"/>
    <w:rsid w:val="00B30943"/>
    <w:rsid w:val="00B30964"/>
    <w:rsid w:val="00B30C9E"/>
    <w:rsid w:val="00B30CDF"/>
    <w:rsid w:val="00B30CE2"/>
    <w:rsid w:val="00B31053"/>
    <w:rsid w:val="00B311B6"/>
    <w:rsid w:val="00B312BA"/>
    <w:rsid w:val="00B312D5"/>
    <w:rsid w:val="00B31335"/>
    <w:rsid w:val="00B313AF"/>
    <w:rsid w:val="00B31448"/>
    <w:rsid w:val="00B316E5"/>
    <w:rsid w:val="00B3175C"/>
    <w:rsid w:val="00B31824"/>
    <w:rsid w:val="00B31A5F"/>
    <w:rsid w:val="00B31C1D"/>
    <w:rsid w:val="00B31D86"/>
    <w:rsid w:val="00B31ECD"/>
    <w:rsid w:val="00B31EEE"/>
    <w:rsid w:val="00B31F2C"/>
    <w:rsid w:val="00B3203E"/>
    <w:rsid w:val="00B3209C"/>
    <w:rsid w:val="00B32113"/>
    <w:rsid w:val="00B3216B"/>
    <w:rsid w:val="00B3219F"/>
    <w:rsid w:val="00B3222F"/>
    <w:rsid w:val="00B32374"/>
    <w:rsid w:val="00B3243E"/>
    <w:rsid w:val="00B32440"/>
    <w:rsid w:val="00B32520"/>
    <w:rsid w:val="00B3265F"/>
    <w:rsid w:val="00B326B2"/>
    <w:rsid w:val="00B32798"/>
    <w:rsid w:val="00B328D1"/>
    <w:rsid w:val="00B328E8"/>
    <w:rsid w:val="00B329F4"/>
    <w:rsid w:val="00B32EF1"/>
    <w:rsid w:val="00B32F0B"/>
    <w:rsid w:val="00B32FAC"/>
    <w:rsid w:val="00B32FC7"/>
    <w:rsid w:val="00B32FF0"/>
    <w:rsid w:val="00B3334F"/>
    <w:rsid w:val="00B33370"/>
    <w:rsid w:val="00B333D0"/>
    <w:rsid w:val="00B33543"/>
    <w:rsid w:val="00B336C2"/>
    <w:rsid w:val="00B336E8"/>
    <w:rsid w:val="00B337A2"/>
    <w:rsid w:val="00B338E7"/>
    <w:rsid w:val="00B33991"/>
    <w:rsid w:val="00B339A2"/>
    <w:rsid w:val="00B339B3"/>
    <w:rsid w:val="00B339BF"/>
    <w:rsid w:val="00B339E6"/>
    <w:rsid w:val="00B33B8B"/>
    <w:rsid w:val="00B33B91"/>
    <w:rsid w:val="00B33C38"/>
    <w:rsid w:val="00B33D5D"/>
    <w:rsid w:val="00B33EBA"/>
    <w:rsid w:val="00B33EDD"/>
    <w:rsid w:val="00B33EE6"/>
    <w:rsid w:val="00B33FA7"/>
    <w:rsid w:val="00B34174"/>
    <w:rsid w:val="00B34203"/>
    <w:rsid w:val="00B34278"/>
    <w:rsid w:val="00B34330"/>
    <w:rsid w:val="00B3439F"/>
    <w:rsid w:val="00B344D6"/>
    <w:rsid w:val="00B344E0"/>
    <w:rsid w:val="00B345CF"/>
    <w:rsid w:val="00B346B6"/>
    <w:rsid w:val="00B34723"/>
    <w:rsid w:val="00B34728"/>
    <w:rsid w:val="00B3478C"/>
    <w:rsid w:val="00B347A7"/>
    <w:rsid w:val="00B34847"/>
    <w:rsid w:val="00B34969"/>
    <w:rsid w:val="00B34A53"/>
    <w:rsid w:val="00B34A6D"/>
    <w:rsid w:val="00B34A9B"/>
    <w:rsid w:val="00B34C97"/>
    <w:rsid w:val="00B34CCB"/>
    <w:rsid w:val="00B34D60"/>
    <w:rsid w:val="00B34DF1"/>
    <w:rsid w:val="00B34EBD"/>
    <w:rsid w:val="00B34F07"/>
    <w:rsid w:val="00B350BE"/>
    <w:rsid w:val="00B3516B"/>
    <w:rsid w:val="00B35225"/>
    <w:rsid w:val="00B3524C"/>
    <w:rsid w:val="00B352C5"/>
    <w:rsid w:val="00B35385"/>
    <w:rsid w:val="00B353C4"/>
    <w:rsid w:val="00B356A2"/>
    <w:rsid w:val="00B356D8"/>
    <w:rsid w:val="00B357C2"/>
    <w:rsid w:val="00B35861"/>
    <w:rsid w:val="00B35A8D"/>
    <w:rsid w:val="00B35C8A"/>
    <w:rsid w:val="00B35D8A"/>
    <w:rsid w:val="00B35EC7"/>
    <w:rsid w:val="00B35EF3"/>
    <w:rsid w:val="00B35F7F"/>
    <w:rsid w:val="00B35FD4"/>
    <w:rsid w:val="00B36009"/>
    <w:rsid w:val="00B36083"/>
    <w:rsid w:val="00B360C4"/>
    <w:rsid w:val="00B360D7"/>
    <w:rsid w:val="00B360E2"/>
    <w:rsid w:val="00B360F1"/>
    <w:rsid w:val="00B360F8"/>
    <w:rsid w:val="00B361C2"/>
    <w:rsid w:val="00B362E7"/>
    <w:rsid w:val="00B36384"/>
    <w:rsid w:val="00B363BA"/>
    <w:rsid w:val="00B36590"/>
    <w:rsid w:val="00B365DF"/>
    <w:rsid w:val="00B36683"/>
    <w:rsid w:val="00B3668A"/>
    <w:rsid w:val="00B36692"/>
    <w:rsid w:val="00B36701"/>
    <w:rsid w:val="00B36856"/>
    <w:rsid w:val="00B36AB2"/>
    <w:rsid w:val="00B36AE3"/>
    <w:rsid w:val="00B36AE8"/>
    <w:rsid w:val="00B36C75"/>
    <w:rsid w:val="00B36D95"/>
    <w:rsid w:val="00B36DF8"/>
    <w:rsid w:val="00B36EA4"/>
    <w:rsid w:val="00B36F10"/>
    <w:rsid w:val="00B36FAB"/>
    <w:rsid w:val="00B374C6"/>
    <w:rsid w:val="00B375D5"/>
    <w:rsid w:val="00B3764F"/>
    <w:rsid w:val="00B37728"/>
    <w:rsid w:val="00B3781C"/>
    <w:rsid w:val="00B37908"/>
    <w:rsid w:val="00B3796A"/>
    <w:rsid w:val="00B37B28"/>
    <w:rsid w:val="00B37B34"/>
    <w:rsid w:val="00B37BB5"/>
    <w:rsid w:val="00B37C00"/>
    <w:rsid w:val="00B37D67"/>
    <w:rsid w:val="00B37DF1"/>
    <w:rsid w:val="00B37F1F"/>
    <w:rsid w:val="00B37F3C"/>
    <w:rsid w:val="00B40084"/>
    <w:rsid w:val="00B40258"/>
    <w:rsid w:val="00B4032E"/>
    <w:rsid w:val="00B40368"/>
    <w:rsid w:val="00B4041D"/>
    <w:rsid w:val="00B404E0"/>
    <w:rsid w:val="00B4060A"/>
    <w:rsid w:val="00B4061E"/>
    <w:rsid w:val="00B40691"/>
    <w:rsid w:val="00B4069C"/>
    <w:rsid w:val="00B4074C"/>
    <w:rsid w:val="00B40778"/>
    <w:rsid w:val="00B40790"/>
    <w:rsid w:val="00B407EB"/>
    <w:rsid w:val="00B40A16"/>
    <w:rsid w:val="00B40AA7"/>
    <w:rsid w:val="00B40B09"/>
    <w:rsid w:val="00B40C06"/>
    <w:rsid w:val="00B40C4C"/>
    <w:rsid w:val="00B40C54"/>
    <w:rsid w:val="00B40C90"/>
    <w:rsid w:val="00B40D31"/>
    <w:rsid w:val="00B40D93"/>
    <w:rsid w:val="00B40EDF"/>
    <w:rsid w:val="00B40F07"/>
    <w:rsid w:val="00B40FCF"/>
    <w:rsid w:val="00B41357"/>
    <w:rsid w:val="00B41688"/>
    <w:rsid w:val="00B416CB"/>
    <w:rsid w:val="00B416CF"/>
    <w:rsid w:val="00B4184C"/>
    <w:rsid w:val="00B41881"/>
    <w:rsid w:val="00B4189B"/>
    <w:rsid w:val="00B418EE"/>
    <w:rsid w:val="00B41921"/>
    <w:rsid w:val="00B419C4"/>
    <w:rsid w:val="00B41A50"/>
    <w:rsid w:val="00B41C59"/>
    <w:rsid w:val="00B41D98"/>
    <w:rsid w:val="00B41D99"/>
    <w:rsid w:val="00B41F64"/>
    <w:rsid w:val="00B42152"/>
    <w:rsid w:val="00B4219F"/>
    <w:rsid w:val="00B421A1"/>
    <w:rsid w:val="00B42215"/>
    <w:rsid w:val="00B42443"/>
    <w:rsid w:val="00B42992"/>
    <w:rsid w:val="00B42C54"/>
    <w:rsid w:val="00B42C5E"/>
    <w:rsid w:val="00B42CC1"/>
    <w:rsid w:val="00B42D23"/>
    <w:rsid w:val="00B42DAB"/>
    <w:rsid w:val="00B42E62"/>
    <w:rsid w:val="00B42E86"/>
    <w:rsid w:val="00B42EA1"/>
    <w:rsid w:val="00B42F71"/>
    <w:rsid w:val="00B42F9D"/>
    <w:rsid w:val="00B4302F"/>
    <w:rsid w:val="00B430FB"/>
    <w:rsid w:val="00B4342F"/>
    <w:rsid w:val="00B43479"/>
    <w:rsid w:val="00B4349A"/>
    <w:rsid w:val="00B4349F"/>
    <w:rsid w:val="00B436D1"/>
    <w:rsid w:val="00B437CE"/>
    <w:rsid w:val="00B43808"/>
    <w:rsid w:val="00B4382B"/>
    <w:rsid w:val="00B438D8"/>
    <w:rsid w:val="00B43931"/>
    <w:rsid w:val="00B4395B"/>
    <w:rsid w:val="00B43B10"/>
    <w:rsid w:val="00B43B6C"/>
    <w:rsid w:val="00B43F15"/>
    <w:rsid w:val="00B43F35"/>
    <w:rsid w:val="00B43F3F"/>
    <w:rsid w:val="00B43FA1"/>
    <w:rsid w:val="00B44021"/>
    <w:rsid w:val="00B4402B"/>
    <w:rsid w:val="00B4415E"/>
    <w:rsid w:val="00B44312"/>
    <w:rsid w:val="00B44331"/>
    <w:rsid w:val="00B44407"/>
    <w:rsid w:val="00B4443F"/>
    <w:rsid w:val="00B44492"/>
    <w:rsid w:val="00B444B2"/>
    <w:rsid w:val="00B4457F"/>
    <w:rsid w:val="00B4458C"/>
    <w:rsid w:val="00B447A0"/>
    <w:rsid w:val="00B44958"/>
    <w:rsid w:val="00B44AD6"/>
    <w:rsid w:val="00B44ADB"/>
    <w:rsid w:val="00B44C41"/>
    <w:rsid w:val="00B44C8B"/>
    <w:rsid w:val="00B44D02"/>
    <w:rsid w:val="00B44D5F"/>
    <w:rsid w:val="00B44ECE"/>
    <w:rsid w:val="00B44EE3"/>
    <w:rsid w:val="00B44F13"/>
    <w:rsid w:val="00B44F37"/>
    <w:rsid w:val="00B44F70"/>
    <w:rsid w:val="00B4505E"/>
    <w:rsid w:val="00B450DB"/>
    <w:rsid w:val="00B4510C"/>
    <w:rsid w:val="00B45119"/>
    <w:rsid w:val="00B45272"/>
    <w:rsid w:val="00B4549A"/>
    <w:rsid w:val="00B4555D"/>
    <w:rsid w:val="00B455B8"/>
    <w:rsid w:val="00B4560C"/>
    <w:rsid w:val="00B45653"/>
    <w:rsid w:val="00B45731"/>
    <w:rsid w:val="00B4577B"/>
    <w:rsid w:val="00B4578E"/>
    <w:rsid w:val="00B457D6"/>
    <w:rsid w:val="00B45887"/>
    <w:rsid w:val="00B45B46"/>
    <w:rsid w:val="00B45CF0"/>
    <w:rsid w:val="00B45D8C"/>
    <w:rsid w:val="00B45E5A"/>
    <w:rsid w:val="00B45F17"/>
    <w:rsid w:val="00B4604E"/>
    <w:rsid w:val="00B4608F"/>
    <w:rsid w:val="00B461EB"/>
    <w:rsid w:val="00B46332"/>
    <w:rsid w:val="00B46627"/>
    <w:rsid w:val="00B46647"/>
    <w:rsid w:val="00B466B8"/>
    <w:rsid w:val="00B46757"/>
    <w:rsid w:val="00B46785"/>
    <w:rsid w:val="00B46806"/>
    <w:rsid w:val="00B46904"/>
    <w:rsid w:val="00B4691C"/>
    <w:rsid w:val="00B4697C"/>
    <w:rsid w:val="00B46996"/>
    <w:rsid w:val="00B46A25"/>
    <w:rsid w:val="00B46A94"/>
    <w:rsid w:val="00B46B2E"/>
    <w:rsid w:val="00B46B8B"/>
    <w:rsid w:val="00B46C1A"/>
    <w:rsid w:val="00B46C20"/>
    <w:rsid w:val="00B46D65"/>
    <w:rsid w:val="00B46D97"/>
    <w:rsid w:val="00B46F38"/>
    <w:rsid w:val="00B46FE3"/>
    <w:rsid w:val="00B471C2"/>
    <w:rsid w:val="00B471F6"/>
    <w:rsid w:val="00B4723E"/>
    <w:rsid w:val="00B477E4"/>
    <w:rsid w:val="00B47A6B"/>
    <w:rsid w:val="00B47A77"/>
    <w:rsid w:val="00B47A8A"/>
    <w:rsid w:val="00B47B2E"/>
    <w:rsid w:val="00B47B4D"/>
    <w:rsid w:val="00B47C16"/>
    <w:rsid w:val="00B47C1A"/>
    <w:rsid w:val="00B47C29"/>
    <w:rsid w:val="00B47CE4"/>
    <w:rsid w:val="00B47E58"/>
    <w:rsid w:val="00B47EB3"/>
    <w:rsid w:val="00B47FA3"/>
    <w:rsid w:val="00B50064"/>
    <w:rsid w:val="00B50222"/>
    <w:rsid w:val="00B50269"/>
    <w:rsid w:val="00B5026E"/>
    <w:rsid w:val="00B502D0"/>
    <w:rsid w:val="00B502FD"/>
    <w:rsid w:val="00B503AF"/>
    <w:rsid w:val="00B5059D"/>
    <w:rsid w:val="00B5093A"/>
    <w:rsid w:val="00B5099B"/>
    <w:rsid w:val="00B50A37"/>
    <w:rsid w:val="00B50A68"/>
    <w:rsid w:val="00B50BA5"/>
    <w:rsid w:val="00B50C02"/>
    <w:rsid w:val="00B50C81"/>
    <w:rsid w:val="00B50E72"/>
    <w:rsid w:val="00B50EB5"/>
    <w:rsid w:val="00B5131C"/>
    <w:rsid w:val="00B5141F"/>
    <w:rsid w:val="00B5162B"/>
    <w:rsid w:val="00B5167C"/>
    <w:rsid w:val="00B516BE"/>
    <w:rsid w:val="00B5187B"/>
    <w:rsid w:val="00B51921"/>
    <w:rsid w:val="00B51959"/>
    <w:rsid w:val="00B51AA8"/>
    <w:rsid w:val="00B51B07"/>
    <w:rsid w:val="00B51C99"/>
    <w:rsid w:val="00B51E77"/>
    <w:rsid w:val="00B51F96"/>
    <w:rsid w:val="00B51FF6"/>
    <w:rsid w:val="00B520D8"/>
    <w:rsid w:val="00B52128"/>
    <w:rsid w:val="00B52185"/>
    <w:rsid w:val="00B52348"/>
    <w:rsid w:val="00B52371"/>
    <w:rsid w:val="00B524F8"/>
    <w:rsid w:val="00B5255B"/>
    <w:rsid w:val="00B52776"/>
    <w:rsid w:val="00B52806"/>
    <w:rsid w:val="00B52871"/>
    <w:rsid w:val="00B52A18"/>
    <w:rsid w:val="00B52AC0"/>
    <w:rsid w:val="00B52B5B"/>
    <w:rsid w:val="00B52BDE"/>
    <w:rsid w:val="00B52C01"/>
    <w:rsid w:val="00B52CB2"/>
    <w:rsid w:val="00B52D6A"/>
    <w:rsid w:val="00B52DB9"/>
    <w:rsid w:val="00B52F1F"/>
    <w:rsid w:val="00B52FDD"/>
    <w:rsid w:val="00B5304D"/>
    <w:rsid w:val="00B53152"/>
    <w:rsid w:val="00B5316E"/>
    <w:rsid w:val="00B53184"/>
    <w:rsid w:val="00B53247"/>
    <w:rsid w:val="00B5340F"/>
    <w:rsid w:val="00B53425"/>
    <w:rsid w:val="00B534AF"/>
    <w:rsid w:val="00B536D7"/>
    <w:rsid w:val="00B53788"/>
    <w:rsid w:val="00B537D5"/>
    <w:rsid w:val="00B539CF"/>
    <w:rsid w:val="00B53B2D"/>
    <w:rsid w:val="00B53C86"/>
    <w:rsid w:val="00B53DC6"/>
    <w:rsid w:val="00B53E3E"/>
    <w:rsid w:val="00B53E4C"/>
    <w:rsid w:val="00B53FFA"/>
    <w:rsid w:val="00B5427A"/>
    <w:rsid w:val="00B542AB"/>
    <w:rsid w:val="00B544CF"/>
    <w:rsid w:val="00B5450E"/>
    <w:rsid w:val="00B545D2"/>
    <w:rsid w:val="00B545E3"/>
    <w:rsid w:val="00B5470A"/>
    <w:rsid w:val="00B54791"/>
    <w:rsid w:val="00B5484C"/>
    <w:rsid w:val="00B54932"/>
    <w:rsid w:val="00B54AFC"/>
    <w:rsid w:val="00B54B0C"/>
    <w:rsid w:val="00B54B22"/>
    <w:rsid w:val="00B54B3F"/>
    <w:rsid w:val="00B54C3E"/>
    <w:rsid w:val="00B54C6C"/>
    <w:rsid w:val="00B54C94"/>
    <w:rsid w:val="00B54D7D"/>
    <w:rsid w:val="00B54E17"/>
    <w:rsid w:val="00B54EDE"/>
    <w:rsid w:val="00B54F58"/>
    <w:rsid w:val="00B54F74"/>
    <w:rsid w:val="00B5500A"/>
    <w:rsid w:val="00B55026"/>
    <w:rsid w:val="00B550A6"/>
    <w:rsid w:val="00B550BE"/>
    <w:rsid w:val="00B55112"/>
    <w:rsid w:val="00B5526F"/>
    <w:rsid w:val="00B5535D"/>
    <w:rsid w:val="00B553C7"/>
    <w:rsid w:val="00B5542B"/>
    <w:rsid w:val="00B554DF"/>
    <w:rsid w:val="00B55596"/>
    <w:rsid w:val="00B555E8"/>
    <w:rsid w:val="00B55674"/>
    <w:rsid w:val="00B557F9"/>
    <w:rsid w:val="00B55861"/>
    <w:rsid w:val="00B558F3"/>
    <w:rsid w:val="00B55AF1"/>
    <w:rsid w:val="00B55C41"/>
    <w:rsid w:val="00B55D34"/>
    <w:rsid w:val="00B55D7E"/>
    <w:rsid w:val="00B55DAF"/>
    <w:rsid w:val="00B55DCC"/>
    <w:rsid w:val="00B55E27"/>
    <w:rsid w:val="00B55E5B"/>
    <w:rsid w:val="00B55F77"/>
    <w:rsid w:val="00B560E5"/>
    <w:rsid w:val="00B5616D"/>
    <w:rsid w:val="00B56187"/>
    <w:rsid w:val="00B56192"/>
    <w:rsid w:val="00B561D7"/>
    <w:rsid w:val="00B56249"/>
    <w:rsid w:val="00B56437"/>
    <w:rsid w:val="00B564C5"/>
    <w:rsid w:val="00B564FF"/>
    <w:rsid w:val="00B5656B"/>
    <w:rsid w:val="00B566AE"/>
    <w:rsid w:val="00B56715"/>
    <w:rsid w:val="00B567C9"/>
    <w:rsid w:val="00B567CB"/>
    <w:rsid w:val="00B56897"/>
    <w:rsid w:val="00B56949"/>
    <w:rsid w:val="00B56B40"/>
    <w:rsid w:val="00B56B44"/>
    <w:rsid w:val="00B56BBD"/>
    <w:rsid w:val="00B56C1F"/>
    <w:rsid w:val="00B56D7C"/>
    <w:rsid w:val="00B56D95"/>
    <w:rsid w:val="00B56E28"/>
    <w:rsid w:val="00B56F5A"/>
    <w:rsid w:val="00B56F77"/>
    <w:rsid w:val="00B57018"/>
    <w:rsid w:val="00B5722E"/>
    <w:rsid w:val="00B57244"/>
    <w:rsid w:val="00B5731A"/>
    <w:rsid w:val="00B57323"/>
    <w:rsid w:val="00B5732B"/>
    <w:rsid w:val="00B57414"/>
    <w:rsid w:val="00B57494"/>
    <w:rsid w:val="00B5760E"/>
    <w:rsid w:val="00B576FF"/>
    <w:rsid w:val="00B57A1F"/>
    <w:rsid w:val="00B57DDC"/>
    <w:rsid w:val="00B57E44"/>
    <w:rsid w:val="00B57F6E"/>
    <w:rsid w:val="00B57FB1"/>
    <w:rsid w:val="00B57FB2"/>
    <w:rsid w:val="00B57FC2"/>
    <w:rsid w:val="00B6000A"/>
    <w:rsid w:val="00B600BB"/>
    <w:rsid w:val="00B60176"/>
    <w:rsid w:val="00B60263"/>
    <w:rsid w:val="00B6028F"/>
    <w:rsid w:val="00B60352"/>
    <w:rsid w:val="00B60399"/>
    <w:rsid w:val="00B603C8"/>
    <w:rsid w:val="00B603E5"/>
    <w:rsid w:val="00B60413"/>
    <w:rsid w:val="00B604FC"/>
    <w:rsid w:val="00B60511"/>
    <w:rsid w:val="00B606B5"/>
    <w:rsid w:val="00B60733"/>
    <w:rsid w:val="00B60B7D"/>
    <w:rsid w:val="00B60C74"/>
    <w:rsid w:val="00B60D81"/>
    <w:rsid w:val="00B60DE1"/>
    <w:rsid w:val="00B60E29"/>
    <w:rsid w:val="00B60F01"/>
    <w:rsid w:val="00B60FE2"/>
    <w:rsid w:val="00B61004"/>
    <w:rsid w:val="00B61019"/>
    <w:rsid w:val="00B6103D"/>
    <w:rsid w:val="00B6104A"/>
    <w:rsid w:val="00B61156"/>
    <w:rsid w:val="00B6119F"/>
    <w:rsid w:val="00B61352"/>
    <w:rsid w:val="00B61433"/>
    <w:rsid w:val="00B6159C"/>
    <w:rsid w:val="00B616D3"/>
    <w:rsid w:val="00B61911"/>
    <w:rsid w:val="00B619B3"/>
    <w:rsid w:val="00B61A2B"/>
    <w:rsid w:val="00B61A37"/>
    <w:rsid w:val="00B61A8A"/>
    <w:rsid w:val="00B61A8B"/>
    <w:rsid w:val="00B61AFD"/>
    <w:rsid w:val="00B61C58"/>
    <w:rsid w:val="00B61CE2"/>
    <w:rsid w:val="00B620C4"/>
    <w:rsid w:val="00B6219C"/>
    <w:rsid w:val="00B622E3"/>
    <w:rsid w:val="00B62443"/>
    <w:rsid w:val="00B624B7"/>
    <w:rsid w:val="00B62825"/>
    <w:rsid w:val="00B628BD"/>
    <w:rsid w:val="00B62B44"/>
    <w:rsid w:val="00B62BAF"/>
    <w:rsid w:val="00B62BBC"/>
    <w:rsid w:val="00B62CD6"/>
    <w:rsid w:val="00B62E16"/>
    <w:rsid w:val="00B62F20"/>
    <w:rsid w:val="00B62FE9"/>
    <w:rsid w:val="00B6302A"/>
    <w:rsid w:val="00B6302E"/>
    <w:rsid w:val="00B6307C"/>
    <w:rsid w:val="00B6314B"/>
    <w:rsid w:val="00B63172"/>
    <w:rsid w:val="00B635FA"/>
    <w:rsid w:val="00B63697"/>
    <w:rsid w:val="00B636DD"/>
    <w:rsid w:val="00B637C4"/>
    <w:rsid w:val="00B637F4"/>
    <w:rsid w:val="00B63883"/>
    <w:rsid w:val="00B638E3"/>
    <w:rsid w:val="00B638E7"/>
    <w:rsid w:val="00B6399C"/>
    <w:rsid w:val="00B639E8"/>
    <w:rsid w:val="00B63AD1"/>
    <w:rsid w:val="00B63B7C"/>
    <w:rsid w:val="00B63D09"/>
    <w:rsid w:val="00B63D49"/>
    <w:rsid w:val="00B63F4C"/>
    <w:rsid w:val="00B63FA2"/>
    <w:rsid w:val="00B63FCE"/>
    <w:rsid w:val="00B64142"/>
    <w:rsid w:val="00B642A4"/>
    <w:rsid w:val="00B642AD"/>
    <w:rsid w:val="00B6439B"/>
    <w:rsid w:val="00B64506"/>
    <w:rsid w:val="00B64697"/>
    <w:rsid w:val="00B646E7"/>
    <w:rsid w:val="00B64A3D"/>
    <w:rsid w:val="00B64A7F"/>
    <w:rsid w:val="00B64BDA"/>
    <w:rsid w:val="00B64E50"/>
    <w:rsid w:val="00B64EF4"/>
    <w:rsid w:val="00B64F02"/>
    <w:rsid w:val="00B64FC9"/>
    <w:rsid w:val="00B6512B"/>
    <w:rsid w:val="00B651BC"/>
    <w:rsid w:val="00B65210"/>
    <w:rsid w:val="00B65254"/>
    <w:rsid w:val="00B6535F"/>
    <w:rsid w:val="00B65523"/>
    <w:rsid w:val="00B65698"/>
    <w:rsid w:val="00B656AA"/>
    <w:rsid w:val="00B6573F"/>
    <w:rsid w:val="00B6576E"/>
    <w:rsid w:val="00B65777"/>
    <w:rsid w:val="00B65855"/>
    <w:rsid w:val="00B65AC6"/>
    <w:rsid w:val="00B65BB6"/>
    <w:rsid w:val="00B65C9F"/>
    <w:rsid w:val="00B65D14"/>
    <w:rsid w:val="00B65D6D"/>
    <w:rsid w:val="00B65E79"/>
    <w:rsid w:val="00B65F18"/>
    <w:rsid w:val="00B660AB"/>
    <w:rsid w:val="00B66160"/>
    <w:rsid w:val="00B661B0"/>
    <w:rsid w:val="00B66261"/>
    <w:rsid w:val="00B66293"/>
    <w:rsid w:val="00B66452"/>
    <w:rsid w:val="00B6648C"/>
    <w:rsid w:val="00B66611"/>
    <w:rsid w:val="00B6661B"/>
    <w:rsid w:val="00B667C5"/>
    <w:rsid w:val="00B667F7"/>
    <w:rsid w:val="00B6680C"/>
    <w:rsid w:val="00B66828"/>
    <w:rsid w:val="00B66A32"/>
    <w:rsid w:val="00B66A82"/>
    <w:rsid w:val="00B66B0D"/>
    <w:rsid w:val="00B66BFB"/>
    <w:rsid w:val="00B66C34"/>
    <w:rsid w:val="00B66D7E"/>
    <w:rsid w:val="00B66DF9"/>
    <w:rsid w:val="00B66F69"/>
    <w:rsid w:val="00B6705B"/>
    <w:rsid w:val="00B67069"/>
    <w:rsid w:val="00B670B3"/>
    <w:rsid w:val="00B673D4"/>
    <w:rsid w:val="00B67485"/>
    <w:rsid w:val="00B674AC"/>
    <w:rsid w:val="00B67560"/>
    <w:rsid w:val="00B675C3"/>
    <w:rsid w:val="00B67614"/>
    <w:rsid w:val="00B67637"/>
    <w:rsid w:val="00B6777A"/>
    <w:rsid w:val="00B677AE"/>
    <w:rsid w:val="00B67871"/>
    <w:rsid w:val="00B67979"/>
    <w:rsid w:val="00B679C3"/>
    <w:rsid w:val="00B679CA"/>
    <w:rsid w:val="00B67AA2"/>
    <w:rsid w:val="00B67ABC"/>
    <w:rsid w:val="00B67B68"/>
    <w:rsid w:val="00B67CB5"/>
    <w:rsid w:val="00B67E62"/>
    <w:rsid w:val="00B7012E"/>
    <w:rsid w:val="00B701F0"/>
    <w:rsid w:val="00B7045C"/>
    <w:rsid w:val="00B704DB"/>
    <w:rsid w:val="00B70689"/>
    <w:rsid w:val="00B70784"/>
    <w:rsid w:val="00B70854"/>
    <w:rsid w:val="00B70949"/>
    <w:rsid w:val="00B70A0D"/>
    <w:rsid w:val="00B70BE9"/>
    <w:rsid w:val="00B70C24"/>
    <w:rsid w:val="00B70D2E"/>
    <w:rsid w:val="00B70D88"/>
    <w:rsid w:val="00B70FA9"/>
    <w:rsid w:val="00B70FDF"/>
    <w:rsid w:val="00B710E3"/>
    <w:rsid w:val="00B711BF"/>
    <w:rsid w:val="00B711CA"/>
    <w:rsid w:val="00B711D4"/>
    <w:rsid w:val="00B7136B"/>
    <w:rsid w:val="00B713A4"/>
    <w:rsid w:val="00B71459"/>
    <w:rsid w:val="00B714BA"/>
    <w:rsid w:val="00B714BD"/>
    <w:rsid w:val="00B714E9"/>
    <w:rsid w:val="00B714F6"/>
    <w:rsid w:val="00B716AD"/>
    <w:rsid w:val="00B7171B"/>
    <w:rsid w:val="00B718E4"/>
    <w:rsid w:val="00B71A5D"/>
    <w:rsid w:val="00B71AB6"/>
    <w:rsid w:val="00B71AC3"/>
    <w:rsid w:val="00B71B1C"/>
    <w:rsid w:val="00B71B1D"/>
    <w:rsid w:val="00B71B27"/>
    <w:rsid w:val="00B71B2F"/>
    <w:rsid w:val="00B71B50"/>
    <w:rsid w:val="00B71B89"/>
    <w:rsid w:val="00B71D61"/>
    <w:rsid w:val="00B71D8E"/>
    <w:rsid w:val="00B71E70"/>
    <w:rsid w:val="00B71EF2"/>
    <w:rsid w:val="00B71F13"/>
    <w:rsid w:val="00B7202B"/>
    <w:rsid w:val="00B720F3"/>
    <w:rsid w:val="00B721E7"/>
    <w:rsid w:val="00B7223C"/>
    <w:rsid w:val="00B7224B"/>
    <w:rsid w:val="00B7231B"/>
    <w:rsid w:val="00B72328"/>
    <w:rsid w:val="00B7239F"/>
    <w:rsid w:val="00B723F5"/>
    <w:rsid w:val="00B7269E"/>
    <w:rsid w:val="00B7271A"/>
    <w:rsid w:val="00B72751"/>
    <w:rsid w:val="00B727E2"/>
    <w:rsid w:val="00B72881"/>
    <w:rsid w:val="00B728C8"/>
    <w:rsid w:val="00B72912"/>
    <w:rsid w:val="00B72A1C"/>
    <w:rsid w:val="00B72ACA"/>
    <w:rsid w:val="00B72B37"/>
    <w:rsid w:val="00B72B8D"/>
    <w:rsid w:val="00B72B9C"/>
    <w:rsid w:val="00B72BA8"/>
    <w:rsid w:val="00B72BCA"/>
    <w:rsid w:val="00B72C29"/>
    <w:rsid w:val="00B72D2B"/>
    <w:rsid w:val="00B72DB2"/>
    <w:rsid w:val="00B72E9C"/>
    <w:rsid w:val="00B72F02"/>
    <w:rsid w:val="00B72F6D"/>
    <w:rsid w:val="00B7303E"/>
    <w:rsid w:val="00B73220"/>
    <w:rsid w:val="00B73296"/>
    <w:rsid w:val="00B733C1"/>
    <w:rsid w:val="00B734C2"/>
    <w:rsid w:val="00B734C4"/>
    <w:rsid w:val="00B73596"/>
    <w:rsid w:val="00B736D0"/>
    <w:rsid w:val="00B737E3"/>
    <w:rsid w:val="00B73821"/>
    <w:rsid w:val="00B738EB"/>
    <w:rsid w:val="00B739F6"/>
    <w:rsid w:val="00B739FA"/>
    <w:rsid w:val="00B73F06"/>
    <w:rsid w:val="00B73F6B"/>
    <w:rsid w:val="00B7419D"/>
    <w:rsid w:val="00B742E4"/>
    <w:rsid w:val="00B742ED"/>
    <w:rsid w:val="00B74349"/>
    <w:rsid w:val="00B743A8"/>
    <w:rsid w:val="00B74448"/>
    <w:rsid w:val="00B744B2"/>
    <w:rsid w:val="00B744DB"/>
    <w:rsid w:val="00B745EC"/>
    <w:rsid w:val="00B745FF"/>
    <w:rsid w:val="00B74642"/>
    <w:rsid w:val="00B74814"/>
    <w:rsid w:val="00B74913"/>
    <w:rsid w:val="00B74920"/>
    <w:rsid w:val="00B74973"/>
    <w:rsid w:val="00B74B3B"/>
    <w:rsid w:val="00B74B78"/>
    <w:rsid w:val="00B74C3E"/>
    <w:rsid w:val="00B74C57"/>
    <w:rsid w:val="00B74CE2"/>
    <w:rsid w:val="00B74EB0"/>
    <w:rsid w:val="00B75017"/>
    <w:rsid w:val="00B7503C"/>
    <w:rsid w:val="00B750CB"/>
    <w:rsid w:val="00B750D3"/>
    <w:rsid w:val="00B75139"/>
    <w:rsid w:val="00B75270"/>
    <w:rsid w:val="00B752E0"/>
    <w:rsid w:val="00B753B8"/>
    <w:rsid w:val="00B753C5"/>
    <w:rsid w:val="00B75516"/>
    <w:rsid w:val="00B7556D"/>
    <w:rsid w:val="00B7566B"/>
    <w:rsid w:val="00B756DC"/>
    <w:rsid w:val="00B756E3"/>
    <w:rsid w:val="00B7578B"/>
    <w:rsid w:val="00B757FF"/>
    <w:rsid w:val="00B7580A"/>
    <w:rsid w:val="00B75843"/>
    <w:rsid w:val="00B75844"/>
    <w:rsid w:val="00B75858"/>
    <w:rsid w:val="00B758A3"/>
    <w:rsid w:val="00B75985"/>
    <w:rsid w:val="00B7598E"/>
    <w:rsid w:val="00B75C3B"/>
    <w:rsid w:val="00B75D71"/>
    <w:rsid w:val="00B75D8A"/>
    <w:rsid w:val="00B75F01"/>
    <w:rsid w:val="00B75F28"/>
    <w:rsid w:val="00B75F2B"/>
    <w:rsid w:val="00B75F89"/>
    <w:rsid w:val="00B7618D"/>
    <w:rsid w:val="00B76191"/>
    <w:rsid w:val="00B76318"/>
    <w:rsid w:val="00B7632A"/>
    <w:rsid w:val="00B76335"/>
    <w:rsid w:val="00B76356"/>
    <w:rsid w:val="00B76543"/>
    <w:rsid w:val="00B766F3"/>
    <w:rsid w:val="00B76702"/>
    <w:rsid w:val="00B767A8"/>
    <w:rsid w:val="00B767F6"/>
    <w:rsid w:val="00B7682D"/>
    <w:rsid w:val="00B76839"/>
    <w:rsid w:val="00B76C2E"/>
    <w:rsid w:val="00B76DC0"/>
    <w:rsid w:val="00B76DF4"/>
    <w:rsid w:val="00B76EF4"/>
    <w:rsid w:val="00B77033"/>
    <w:rsid w:val="00B770BD"/>
    <w:rsid w:val="00B77203"/>
    <w:rsid w:val="00B7728F"/>
    <w:rsid w:val="00B773AE"/>
    <w:rsid w:val="00B773C7"/>
    <w:rsid w:val="00B773E5"/>
    <w:rsid w:val="00B774C9"/>
    <w:rsid w:val="00B77562"/>
    <w:rsid w:val="00B77747"/>
    <w:rsid w:val="00B77925"/>
    <w:rsid w:val="00B77D89"/>
    <w:rsid w:val="00B77E40"/>
    <w:rsid w:val="00B77F44"/>
    <w:rsid w:val="00B800DE"/>
    <w:rsid w:val="00B80208"/>
    <w:rsid w:val="00B80291"/>
    <w:rsid w:val="00B802C9"/>
    <w:rsid w:val="00B803AB"/>
    <w:rsid w:val="00B80549"/>
    <w:rsid w:val="00B8063E"/>
    <w:rsid w:val="00B80802"/>
    <w:rsid w:val="00B80834"/>
    <w:rsid w:val="00B808B5"/>
    <w:rsid w:val="00B8090B"/>
    <w:rsid w:val="00B80A09"/>
    <w:rsid w:val="00B80B42"/>
    <w:rsid w:val="00B80BBE"/>
    <w:rsid w:val="00B80C5A"/>
    <w:rsid w:val="00B80D78"/>
    <w:rsid w:val="00B80ED5"/>
    <w:rsid w:val="00B80EE1"/>
    <w:rsid w:val="00B80F09"/>
    <w:rsid w:val="00B80F60"/>
    <w:rsid w:val="00B80FC3"/>
    <w:rsid w:val="00B81123"/>
    <w:rsid w:val="00B81192"/>
    <w:rsid w:val="00B811C7"/>
    <w:rsid w:val="00B81407"/>
    <w:rsid w:val="00B81552"/>
    <w:rsid w:val="00B8158D"/>
    <w:rsid w:val="00B815A1"/>
    <w:rsid w:val="00B8168F"/>
    <w:rsid w:val="00B81973"/>
    <w:rsid w:val="00B81A85"/>
    <w:rsid w:val="00B81AD9"/>
    <w:rsid w:val="00B81B33"/>
    <w:rsid w:val="00B81BA5"/>
    <w:rsid w:val="00B81D23"/>
    <w:rsid w:val="00B81DFB"/>
    <w:rsid w:val="00B81E7A"/>
    <w:rsid w:val="00B81E8D"/>
    <w:rsid w:val="00B81F98"/>
    <w:rsid w:val="00B822E5"/>
    <w:rsid w:val="00B82373"/>
    <w:rsid w:val="00B823F3"/>
    <w:rsid w:val="00B82444"/>
    <w:rsid w:val="00B8271C"/>
    <w:rsid w:val="00B82767"/>
    <w:rsid w:val="00B827F4"/>
    <w:rsid w:val="00B827FB"/>
    <w:rsid w:val="00B82842"/>
    <w:rsid w:val="00B82848"/>
    <w:rsid w:val="00B82883"/>
    <w:rsid w:val="00B828A2"/>
    <w:rsid w:val="00B82915"/>
    <w:rsid w:val="00B82921"/>
    <w:rsid w:val="00B82A29"/>
    <w:rsid w:val="00B82A3F"/>
    <w:rsid w:val="00B82A7B"/>
    <w:rsid w:val="00B82BC4"/>
    <w:rsid w:val="00B82C93"/>
    <w:rsid w:val="00B82D80"/>
    <w:rsid w:val="00B82DBC"/>
    <w:rsid w:val="00B82E3E"/>
    <w:rsid w:val="00B83079"/>
    <w:rsid w:val="00B830E1"/>
    <w:rsid w:val="00B83237"/>
    <w:rsid w:val="00B83239"/>
    <w:rsid w:val="00B83353"/>
    <w:rsid w:val="00B83391"/>
    <w:rsid w:val="00B833EB"/>
    <w:rsid w:val="00B833F0"/>
    <w:rsid w:val="00B8352A"/>
    <w:rsid w:val="00B8352D"/>
    <w:rsid w:val="00B8354B"/>
    <w:rsid w:val="00B8361C"/>
    <w:rsid w:val="00B83690"/>
    <w:rsid w:val="00B83795"/>
    <w:rsid w:val="00B838FE"/>
    <w:rsid w:val="00B83A3E"/>
    <w:rsid w:val="00B83B26"/>
    <w:rsid w:val="00B83BA2"/>
    <w:rsid w:val="00B83BA9"/>
    <w:rsid w:val="00B83C03"/>
    <w:rsid w:val="00B83E8D"/>
    <w:rsid w:val="00B84127"/>
    <w:rsid w:val="00B8465A"/>
    <w:rsid w:val="00B8465C"/>
    <w:rsid w:val="00B8466B"/>
    <w:rsid w:val="00B846AA"/>
    <w:rsid w:val="00B846DE"/>
    <w:rsid w:val="00B847AD"/>
    <w:rsid w:val="00B84818"/>
    <w:rsid w:val="00B848A7"/>
    <w:rsid w:val="00B848CD"/>
    <w:rsid w:val="00B848D2"/>
    <w:rsid w:val="00B849C4"/>
    <w:rsid w:val="00B84C32"/>
    <w:rsid w:val="00B84D65"/>
    <w:rsid w:val="00B84E48"/>
    <w:rsid w:val="00B84E7D"/>
    <w:rsid w:val="00B84ECE"/>
    <w:rsid w:val="00B84FE5"/>
    <w:rsid w:val="00B850C7"/>
    <w:rsid w:val="00B850D5"/>
    <w:rsid w:val="00B85200"/>
    <w:rsid w:val="00B85492"/>
    <w:rsid w:val="00B854A1"/>
    <w:rsid w:val="00B855DD"/>
    <w:rsid w:val="00B856D2"/>
    <w:rsid w:val="00B856E1"/>
    <w:rsid w:val="00B857B8"/>
    <w:rsid w:val="00B85857"/>
    <w:rsid w:val="00B858C2"/>
    <w:rsid w:val="00B859E7"/>
    <w:rsid w:val="00B85A3A"/>
    <w:rsid w:val="00B85A56"/>
    <w:rsid w:val="00B85C10"/>
    <w:rsid w:val="00B85E22"/>
    <w:rsid w:val="00B85E4A"/>
    <w:rsid w:val="00B8603E"/>
    <w:rsid w:val="00B8609B"/>
    <w:rsid w:val="00B862D7"/>
    <w:rsid w:val="00B8632F"/>
    <w:rsid w:val="00B8646D"/>
    <w:rsid w:val="00B864A0"/>
    <w:rsid w:val="00B8658B"/>
    <w:rsid w:val="00B866A0"/>
    <w:rsid w:val="00B86717"/>
    <w:rsid w:val="00B8686A"/>
    <w:rsid w:val="00B86954"/>
    <w:rsid w:val="00B8696C"/>
    <w:rsid w:val="00B869CD"/>
    <w:rsid w:val="00B86A3C"/>
    <w:rsid w:val="00B86B95"/>
    <w:rsid w:val="00B86D0E"/>
    <w:rsid w:val="00B86DFE"/>
    <w:rsid w:val="00B86E1B"/>
    <w:rsid w:val="00B86E7B"/>
    <w:rsid w:val="00B8714B"/>
    <w:rsid w:val="00B87170"/>
    <w:rsid w:val="00B871F2"/>
    <w:rsid w:val="00B87200"/>
    <w:rsid w:val="00B87272"/>
    <w:rsid w:val="00B87293"/>
    <w:rsid w:val="00B872C5"/>
    <w:rsid w:val="00B8734C"/>
    <w:rsid w:val="00B8738D"/>
    <w:rsid w:val="00B8743A"/>
    <w:rsid w:val="00B87452"/>
    <w:rsid w:val="00B8745F"/>
    <w:rsid w:val="00B874BD"/>
    <w:rsid w:val="00B8774F"/>
    <w:rsid w:val="00B8775D"/>
    <w:rsid w:val="00B877C6"/>
    <w:rsid w:val="00B87821"/>
    <w:rsid w:val="00B8799D"/>
    <w:rsid w:val="00B879FB"/>
    <w:rsid w:val="00B90159"/>
    <w:rsid w:val="00B901D3"/>
    <w:rsid w:val="00B90209"/>
    <w:rsid w:val="00B902AA"/>
    <w:rsid w:val="00B9051A"/>
    <w:rsid w:val="00B90682"/>
    <w:rsid w:val="00B90695"/>
    <w:rsid w:val="00B9094B"/>
    <w:rsid w:val="00B909FB"/>
    <w:rsid w:val="00B90A14"/>
    <w:rsid w:val="00B90AA3"/>
    <w:rsid w:val="00B90B36"/>
    <w:rsid w:val="00B90BEA"/>
    <w:rsid w:val="00B90CD5"/>
    <w:rsid w:val="00B90D0B"/>
    <w:rsid w:val="00B90D75"/>
    <w:rsid w:val="00B90DEC"/>
    <w:rsid w:val="00B90ECB"/>
    <w:rsid w:val="00B9102F"/>
    <w:rsid w:val="00B912C3"/>
    <w:rsid w:val="00B912E2"/>
    <w:rsid w:val="00B912ED"/>
    <w:rsid w:val="00B91438"/>
    <w:rsid w:val="00B914EF"/>
    <w:rsid w:val="00B91592"/>
    <w:rsid w:val="00B915C6"/>
    <w:rsid w:val="00B915F8"/>
    <w:rsid w:val="00B91732"/>
    <w:rsid w:val="00B918BE"/>
    <w:rsid w:val="00B91922"/>
    <w:rsid w:val="00B91946"/>
    <w:rsid w:val="00B91A53"/>
    <w:rsid w:val="00B91BA6"/>
    <w:rsid w:val="00B91BB8"/>
    <w:rsid w:val="00B91BE2"/>
    <w:rsid w:val="00B91C09"/>
    <w:rsid w:val="00B91CF8"/>
    <w:rsid w:val="00B91D67"/>
    <w:rsid w:val="00B91F12"/>
    <w:rsid w:val="00B91F52"/>
    <w:rsid w:val="00B92009"/>
    <w:rsid w:val="00B920A3"/>
    <w:rsid w:val="00B920B8"/>
    <w:rsid w:val="00B9211F"/>
    <w:rsid w:val="00B9233E"/>
    <w:rsid w:val="00B923BD"/>
    <w:rsid w:val="00B924CC"/>
    <w:rsid w:val="00B92568"/>
    <w:rsid w:val="00B925A0"/>
    <w:rsid w:val="00B9262C"/>
    <w:rsid w:val="00B9277C"/>
    <w:rsid w:val="00B92830"/>
    <w:rsid w:val="00B9295B"/>
    <w:rsid w:val="00B92A06"/>
    <w:rsid w:val="00B92A6D"/>
    <w:rsid w:val="00B92AD5"/>
    <w:rsid w:val="00B92AE2"/>
    <w:rsid w:val="00B92BDA"/>
    <w:rsid w:val="00B92BF4"/>
    <w:rsid w:val="00B92E2C"/>
    <w:rsid w:val="00B92F1F"/>
    <w:rsid w:val="00B930B8"/>
    <w:rsid w:val="00B93364"/>
    <w:rsid w:val="00B9339C"/>
    <w:rsid w:val="00B93648"/>
    <w:rsid w:val="00B9386B"/>
    <w:rsid w:val="00B93931"/>
    <w:rsid w:val="00B93A32"/>
    <w:rsid w:val="00B93AEF"/>
    <w:rsid w:val="00B93B0D"/>
    <w:rsid w:val="00B93B76"/>
    <w:rsid w:val="00B93CF6"/>
    <w:rsid w:val="00B93D4F"/>
    <w:rsid w:val="00B93D5E"/>
    <w:rsid w:val="00B93EF8"/>
    <w:rsid w:val="00B94038"/>
    <w:rsid w:val="00B94061"/>
    <w:rsid w:val="00B9409B"/>
    <w:rsid w:val="00B94164"/>
    <w:rsid w:val="00B9422B"/>
    <w:rsid w:val="00B942AB"/>
    <w:rsid w:val="00B944F9"/>
    <w:rsid w:val="00B94516"/>
    <w:rsid w:val="00B9457B"/>
    <w:rsid w:val="00B945C9"/>
    <w:rsid w:val="00B946BC"/>
    <w:rsid w:val="00B9472B"/>
    <w:rsid w:val="00B9487C"/>
    <w:rsid w:val="00B94925"/>
    <w:rsid w:val="00B949FC"/>
    <w:rsid w:val="00B94A46"/>
    <w:rsid w:val="00B94B71"/>
    <w:rsid w:val="00B94BA4"/>
    <w:rsid w:val="00B94BBF"/>
    <w:rsid w:val="00B94D7F"/>
    <w:rsid w:val="00B94DB7"/>
    <w:rsid w:val="00B94E81"/>
    <w:rsid w:val="00B94E92"/>
    <w:rsid w:val="00B9509C"/>
    <w:rsid w:val="00B952E1"/>
    <w:rsid w:val="00B95312"/>
    <w:rsid w:val="00B95372"/>
    <w:rsid w:val="00B953EC"/>
    <w:rsid w:val="00B95551"/>
    <w:rsid w:val="00B955E4"/>
    <w:rsid w:val="00B9560B"/>
    <w:rsid w:val="00B95616"/>
    <w:rsid w:val="00B958CF"/>
    <w:rsid w:val="00B958F7"/>
    <w:rsid w:val="00B95904"/>
    <w:rsid w:val="00B959A8"/>
    <w:rsid w:val="00B95C08"/>
    <w:rsid w:val="00B95C7F"/>
    <w:rsid w:val="00B95CD0"/>
    <w:rsid w:val="00B95CFF"/>
    <w:rsid w:val="00B95EB8"/>
    <w:rsid w:val="00B95EE0"/>
    <w:rsid w:val="00B95EF6"/>
    <w:rsid w:val="00B95F83"/>
    <w:rsid w:val="00B95F9F"/>
    <w:rsid w:val="00B96007"/>
    <w:rsid w:val="00B96138"/>
    <w:rsid w:val="00B961DF"/>
    <w:rsid w:val="00B962BF"/>
    <w:rsid w:val="00B963DD"/>
    <w:rsid w:val="00B96400"/>
    <w:rsid w:val="00B964EF"/>
    <w:rsid w:val="00B965D0"/>
    <w:rsid w:val="00B96629"/>
    <w:rsid w:val="00B9668A"/>
    <w:rsid w:val="00B966DC"/>
    <w:rsid w:val="00B96721"/>
    <w:rsid w:val="00B96805"/>
    <w:rsid w:val="00B9689B"/>
    <w:rsid w:val="00B96D75"/>
    <w:rsid w:val="00B96DEF"/>
    <w:rsid w:val="00B9706C"/>
    <w:rsid w:val="00B9710E"/>
    <w:rsid w:val="00B971C9"/>
    <w:rsid w:val="00B9722B"/>
    <w:rsid w:val="00B972B0"/>
    <w:rsid w:val="00B97408"/>
    <w:rsid w:val="00B9743C"/>
    <w:rsid w:val="00B97537"/>
    <w:rsid w:val="00B97664"/>
    <w:rsid w:val="00B976A2"/>
    <w:rsid w:val="00B976EB"/>
    <w:rsid w:val="00B97837"/>
    <w:rsid w:val="00B97937"/>
    <w:rsid w:val="00B97C0F"/>
    <w:rsid w:val="00B97DD2"/>
    <w:rsid w:val="00B97E02"/>
    <w:rsid w:val="00B97E1B"/>
    <w:rsid w:val="00B97EE1"/>
    <w:rsid w:val="00B97EEE"/>
    <w:rsid w:val="00B97F12"/>
    <w:rsid w:val="00BA002E"/>
    <w:rsid w:val="00BA0193"/>
    <w:rsid w:val="00BA0438"/>
    <w:rsid w:val="00BA046E"/>
    <w:rsid w:val="00BA0473"/>
    <w:rsid w:val="00BA05E0"/>
    <w:rsid w:val="00BA062E"/>
    <w:rsid w:val="00BA06B3"/>
    <w:rsid w:val="00BA06E3"/>
    <w:rsid w:val="00BA076A"/>
    <w:rsid w:val="00BA0BDF"/>
    <w:rsid w:val="00BA0C4B"/>
    <w:rsid w:val="00BA0CED"/>
    <w:rsid w:val="00BA0D84"/>
    <w:rsid w:val="00BA0DAD"/>
    <w:rsid w:val="00BA0E04"/>
    <w:rsid w:val="00BA0E6F"/>
    <w:rsid w:val="00BA0ED4"/>
    <w:rsid w:val="00BA1019"/>
    <w:rsid w:val="00BA103A"/>
    <w:rsid w:val="00BA1040"/>
    <w:rsid w:val="00BA1121"/>
    <w:rsid w:val="00BA11D9"/>
    <w:rsid w:val="00BA143A"/>
    <w:rsid w:val="00BA1535"/>
    <w:rsid w:val="00BA1673"/>
    <w:rsid w:val="00BA17B4"/>
    <w:rsid w:val="00BA1912"/>
    <w:rsid w:val="00BA1A6A"/>
    <w:rsid w:val="00BA1BE9"/>
    <w:rsid w:val="00BA1BFF"/>
    <w:rsid w:val="00BA1C28"/>
    <w:rsid w:val="00BA1C7F"/>
    <w:rsid w:val="00BA1C93"/>
    <w:rsid w:val="00BA1E34"/>
    <w:rsid w:val="00BA1E7D"/>
    <w:rsid w:val="00BA1F98"/>
    <w:rsid w:val="00BA2137"/>
    <w:rsid w:val="00BA21E2"/>
    <w:rsid w:val="00BA2284"/>
    <w:rsid w:val="00BA233A"/>
    <w:rsid w:val="00BA237E"/>
    <w:rsid w:val="00BA23F4"/>
    <w:rsid w:val="00BA2441"/>
    <w:rsid w:val="00BA24A3"/>
    <w:rsid w:val="00BA273E"/>
    <w:rsid w:val="00BA27CF"/>
    <w:rsid w:val="00BA2821"/>
    <w:rsid w:val="00BA282F"/>
    <w:rsid w:val="00BA2866"/>
    <w:rsid w:val="00BA2A92"/>
    <w:rsid w:val="00BA2C03"/>
    <w:rsid w:val="00BA2C3D"/>
    <w:rsid w:val="00BA2C62"/>
    <w:rsid w:val="00BA2E14"/>
    <w:rsid w:val="00BA2E32"/>
    <w:rsid w:val="00BA2E51"/>
    <w:rsid w:val="00BA2E88"/>
    <w:rsid w:val="00BA2F45"/>
    <w:rsid w:val="00BA301E"/>
    <w:rsid w:val="00BA306B"/>
    <w:rsid w:val="00BA31E9"/>
    <w:rsid w:val="00BA327A"/>
    <w:rsid w:val="00BA335F"/>
    <w:rsid w:val="00BA33BF"/>
    <w:rsid w:val="00BA3428"/>
    <w:rsid w:val="00BA351B"/>
    <w:rsid w:val="00BA36CA"/>
    <w:rsid w:val="00BA3712"/>
    <w:rsid w:val="00BA376C"/>
    <w:rsid w:val="00BA37F0"/>
    <w:rsid w:val="00BA395F"/>
    <w:rsid w:val="00BA39C6"/>
    <w:rsid w:val="00BA39CE"/>
    <w:rsid w:val="00BA3A67"/>
    <w:rsid w:val="00BA3B3B"/>
    <w:rsid w:val="00BA3D54"/>
    <w:rsid w:val="00BA3E38"/>
    <w:rsid w:val="00BA3E70"/>
    <w:rsid w:val="00BA400D"/>
    <w:rsid w:val="00BA4103"/>
    <w:rsid w:val="00BA4111"/>
    <w:rsid w:val="00BA4390"/>
    <w:rsid w:val="00BA44B1"/>
    <w:rsid w:val="00BA4845"/>
    <w:rsid w:val="00BA49CB"/>
    <w:rsid w:val="00BA4AAB"/>
    <w:rsid w:val="00BA4AC8"/>
    <w:rsid w:val="00BA4B8D"/>
    <w:rsid w:val="00BA4C6D"/>
    <w:rsid w:val="00BA4D9E"/>
    <w:rsid w:val="00BA4E11"/>
    <w:rsid w:val="00BA4E30"/>
    <w:rsid w:val="00BA4FD0"/>
    <w:rsid w:val="00BA4FF8"/>
    <w:rsid w:val="00BA50A2"/>
    <w:rsid w:val="00BA50A7"/>
    <w:rsid w:val="00BA50DA"/>
    <w:rsid w:val="00BA51A1"/>
    <w:rsid w:val="00BA52BA"/>
    <w:rsid w:val="00BA5390"/>
    <w:rsid w:val="00BA542B"/>
    <w:rsid w:val="00BA54E7"/>
    <w:rsid w:val="00BA56B2"/>
    <w:rsid w:val="00BA5752"/>
    <w:rsid w:val="00BA5775"/>
    <w:rsid w:val="00BA594A"/>
    <w:rsid w:val="00BA5993"/>
    <w:rsid w:val="00BA5994"/>
    <w:rsid w:val="00BA5B33"/>
    <w:rsid w:val="00BA5BDC"/>
    <w:rsid w:val="00BA5C6D"/>
    <w:rsid w:val="00BA5C93"/>
    <w:rsid w:val="00BA5CED"/>
    <w:rsid w:val="00BA5D4B"/>
    <w:rsid w:val="00BA5DAE"/>
    <w:rsid w:val="00BA5DCA"/>
    <w:rsid w:val="00BA5EAB"/>
    <w:rsid w:val="00BA6004"/>
    <w:rsid w:val="00BA60FA"/>
    <w:rsid w:val="00BA6196"/>
    <w:rsid w:val="00BA6207"/>
    <w:rsid w:val="00BA62CF"/>
    <w:rsid w:val="00BA635A"/>
    <w:rsid w:val="00BA63CA"/>
    <w:rsid w:val="00BA64F2"/>
    <w:rsid w:val="00BA64FB"/>
    <w:rsid w:val="00BA659F"/>
    <w:rsid w:val="00BA68DC"/>
    <w:rsid w:val="00BA69A5"/>
    <w:rsid w:val="00BA6A2C"/>
    <w:rsid w:val="00BA6B09"/>
    <w:rsid w:val="00BA6B29"/>
    <w:rsid w:val="00BA6BEF"/>
    <w:rsid w:val="00BA6CF2"/>
    <w:rsid w:val="00BA6D25"/>
    <w:rsid w:val="00BA6D79"/>
    <w:rsid w:val="00BA6E07"/>
    <w:rsid w:val="00BA6E50"/>
    <w:rsid w:val="00BA6E79"/>
    <w:rsid w:val="00BA6F87"/>
    <w:rsid w:val="00BA7074"/>
    <w:rsid w:val="00BA70C5"/>
    <w:rsid w:val="00BA7122"/>
    <w:rsid w:val="00BA71DB"/>
    <w:rsid w:val="00BA724E"/>
    <w:rsid w:val="00BA73B0"/>
    <w:rsid w:val="00BA7504"/>
    <w:rsid w:val="00BA753D"/>
    <w:rsid w:val="00BA789B"/>
    <w:rsid w:val="00BA798E"/>
    <w:rsid w:val="00BA79BD"/>
    <w:rsid w:val="00BA7B1D"/>
    <w:rsid w:val="00BA7B27"/>
    <w:rsid w:val="00BA7C4A"/>
    <w:rsid w:val="00BA7DD8"/>
    <w:rsid w:val="00BA7DF3"/>
    <w:rsid w:val="00BA7E2F"/>
    <w:rsid w:val="00BA7E99"/>
    <w:rsid w:val="00BA7F09"/>
    <w:rsid w:val="00BA7F26"/>
    <w:rsid w:val="00BA7F8A"/>
    <w:rsid w:val="00BA7FDA"/>
    <w:rsid w:val="00BB000C"/>
    <w:rsid w:val="00BB00EA"/>
    <w:rsid w:val="00BB00FB"/>
    <w:rsid w:val="00BB01D5"/>
    <w:rsid w:val="00BB0217"/>
    <w:rsid w:val="00BB027B"/>
    <w:rsid w:val="00BB02E7"/>
    <w:rsid w:val="00BB044A"/>
    <w:rsid w:val="00BB0587"/>
    <w:rsid w:val="00BB0615"/>
    <w:rsid w:val="00BB0871"/>
    <w:rsid w:val="00BB0A6F"/>
    <w:rsid w:val="00BB0B0C"/>
    <w:rsid w:val="00BB0B3B"/>
    <w:rsid w:val="00BB0BE7"/>
    <w:rsid w:val="00BB0CC3"/>
    <w:rsid w:val="00BB0D62"/>
    <w:rsid w:val="00BB0E1C"/>
    <w:rsid w:val="00BB0F56"/>
    <w:rsid w:val="00BB1101"/>
    <w:rsid w:val="00BB1114"/>
    <w:rsid w:val="00BB11BC"/>
    <w:rsid w:val="00BB1356"/>
    <w:rsid w:val="00BB1631"/>
    <w:rsid w:val="00BB16B0"/>
    <w:rsid w:val="00BB178F"/>
    <w:rsid w:val="00BB1886"/>
    <w:rsid w:val="00BB1945"/>
    <w:rsid w:val="00BB1957"/>
    <w:rsid w:val="00BB1977"/>
    <w:rsid w:val="00BB19B3"/>
    <w:rsid w:val="00BB1AF9"/>
    <w:rsid w:val="00BB1BE9"/>
    <w:rsid w:val="00BB1C86"/>
    <w:rsid w:val="00BB1FE7"/>
    <w:rsid w:val="00BB20E8"/>
    <w:rsid w:val="00BB2220"/>
    <w:rsid w:val="00BB22C7"/>
    <w:rsid w:val="00BB2320"/>
    <w:rsid w:val="00BB236B"/>
    <w:rsid w:val="00BB245A"/>
    <w:rsid w:val="00BB2491"/>
    <w:rsid w:val="00BB2548"/>
    <w:rsid w:val="00BB2567"/>
    <w:rsid w:val="00BB267A"/>
    <w:rsid w:val="00BB26B9"/>
    <w:rsid w:val="00BB2771"/>
    <w:rsid w:val="00BB28F2"/>
    <w:rsid w:val="00BB2956"/>
    <w:rsid w:val="00BB2A9A"/>
    <w:rsid w:val="00BB2B6A"/>
    <w:rsid w:val="00BB2BE7"/>
    <w:rsid w:val="00BB2C31"/>
    <w:rsid w:val="00BB2C7C"/>
    <w:rsid w:val="00BB2D02"/>
    <w:rsid w:val="00BB2D8C"/>
    <w:rsid w:val="00BB2DF7"/>
    <w:rsid w:val="00BB2E6A"/>
    <w:rsid w:val="00BB30C6"/>
    <w:rsid w:val="00BB3396"/>
    <w:rsid w:val="00BB33D5"/>
    <w:rsid w:val="00BB356D"/>
    <w:rsid w:val="00BB3572"/>
    <w:rsid w:val="00BB37AD"/>
    <w:rsid w:val="00BB38B7"/>
    <w:rsid w:val="00BB39B5"/>
    <w:rsid w:val="00BB3A1D"/>
    <w:rsid w:val="00BB3B2B"/>
    <w:rsid w:val="00BB3B94"/>
    <w:rsid w:val="00BB3BDE"/>
    <w:rsid w:val="00BB3C09"/>
    <w:rsid w:val="00BB3D0A"/>
    <w:rsid w:val="00BB3D7A"/>
    <w:rsid w:val="00BB3E68"/>
    <w:rsid w:val="00BB4266"/>
    <w:rsid w:val="00BB44E5"/>
    <w:rsid w:val="00BB4625"/>
    <w:rsid w:val="00BB4632"/>
    <w:rsid w:val="00BB48F4"/>
    <w:rsid w:val="00BB49D2"/>
    <w:rsid w:val="00BB4E1F"/>
    <w:rsid w:val="00BB4E59"/>
    <w:rsid w:val="00BB4E5B"/>
    <w:rsid w:val="00BB4F79"/>
    <w:rsid w:val="00BB510F"/>
    <w:rsid w:val="00BB5169"/>
    <w:rsid w:val="00BB5206"/>
    <w:rsid w:val="00BB5207"/>
    <w:rsid w:val="00BB5211"/>
    <w:rsid w:val="00BB521C"/>
    <w:rsid w:val="00BB5271"/>
    <w:rsid w:val="00BB5448"/>
    <w:rsid w:val="00BB5465"/>
    <w:rsid w:val="00BB54E6"/>
    <w:rsid w:val="00BB568E"/>
    <w:rsid w:val="00BB5939"/>
    <w:rsid w:val="00BB5B57"/>
    <w:rsid w:val="00BB5B98"/>
    <w:rsid w:val="00BB5BCD"/>
    <w:rsid w:val="00BB5C4E"/>
    <w:rsid w:val="00BB5CD1"/>
    <w:rsid w:val="00BB5CD9"/>
    <w:rsid w:val="00BB5EC1"/>
    <w:rsid w:val="00BB6079"/>
    <w:rsid w:val="00BB6189"/>
    <w:rsid w:val="00BB6198"/>
    <w:rsid w:val="00BB61A5"/>
    <w:rsid w:val="00BB629D"/>
    <w:rsid w:val="00BB635A"/>
    <w:rsid w:val="00BB6364"/>
    <w:rsid w:val="00BB6661"/>
    <w:rsid w:val="00BB6670"/>
    <w:rsid w:val="00BB66D9"/>
    <w:rsid w:val="00BB69CA"/>
    <w:rsid w:val="00BB6A4C"/>
    <w:rsid w:val="00BB6A98"/>
    <w:rsid w:val="00BB6AEB"/>
    <w:rsid w:val="00BB6C79"/>
    <w:rsid w:val="00BB6CFD"/>
    <w:rsid w:val="00BB6D41"/>
    <w:rsid w:val="00BB6E79"/>
    <w:rsid w:val="00BB6F16"/>
    <w:rsid w:val="00BB6F2B"/>
    <w:rsid w:val="00BB6F80"/>
    <w:rsid w:val="00BB70B2"/>
    <w:rsid w:val="00BB729F"/>
    <w:rsid w:val="00BB72CC"/>
    <w:rsid w:val="00BB72EF"/>
    <w:rsid w:val="00BB7560"/>
    <w:rsid w:val="00BB75BB"/>
    <w:rsid w:val="00BB764F"/>
    <w:rsid w:val="00BB7655"/>
    <w:rsid w:val="00BB779F"/>
    <w:rsid w:val="00BB7947"/>
    <w:rsid w:val="00BB7B0A"/>
    <w:rsid w:val="00BB7C8D"/>
    <w:rsid w:val="00BB7D7A"/>
    <w:rsid w:val="00BB7DAC"/>
    <w:rsid w:val="00BB7DEB"/>
    <w:rsid w:val="00BB7E6A"/>
    <w:rsid w:val="00BB7EF7"/>
    <w:rsid w:val="00BB7F0F"/>
    <w:rsid w:val="00BC00C1"/>
    <w:rsid w:val="00BC015B"/>
    <w:rsid w:val="00BC01DF"/>
    <w:rsid w:val="00BC02BF"/>
    <w:rsid w:val="00BC0379"/>
    <w:rsid w:val="00BC03A2"/>
    <w:rsid w:val="00BC0439"/>
    <w:rsid w:val="00BC047A"/>
    <w:rsid w:val="00BC0505"/>
    <w:rsid w:val="00BC05FC"/>
    <w:rsid w:val="00BC0884"/>
    <w:rsid w:val="00BC0917"/>
    <w:rsid w:val="00BC0CC7"/>
    <w:rsid w:val="00BC0E29"/>
    <w:rsid w:val="00BC0E71"/>
    <w:rsid w:val="00BC0F8F"/>
    <w:rsid w:val="00BC1293"/>
    <w:rsid w:val="00BC13D7"/>
    <w:rsid w:val="00BC1443"/>
    <w:rsid w:val="00BC1510"/>
    <w:rsid w:val="00BC15E0"/>
    <w:rsid w:val="00BC15FD"/>
    <w:rsid w:val="00BC167A"/>
    <w:rsid w:val="00BC170E"/>
    <w:rsid w:val="00BC17C4"/>
    <w:rsid w:val="00BC18E5"/>
    <w:rsid w:val="00BC1955"/>
    <w:rsid w:val="00BC1AE5"/>
    <w:rsid w:val="00BC1C1E"/>
    <w:rsid w:val="00BC1C7B"/>
    <w:rsid w:val="00BC1DF3"/>
    <w:rsid w:val="00BC1F7D"/>
    <w:rsid w:val="00BC1F8D"/>
    <w:rsid w:val="00BC204A"/>
    <w:rsid w:val="00BC222C"/>
    <w:rsid w:val="00BC22EE"/>
    <w:rsid w:val="00BC240E"/>
    <w:rsid w:val="00BC2508"/>
    <w:rsid w:val="00BC26FA"/>
    <w:rsid w:val="00BC279D"/>
    <w:rsid w:val="00BC2853"/>
    <w:rsid w:val="00BC2868"/>
    <w:rsid w:val="00BC2883"/>
    <w:rsid w:val="00BC2903"/>
    <w:rsid w:val="00BC2911"/>
    <w:rsid w:val="00BC29B9"/>
    <w:rsid w:val="00BC29C5"/>
    <w:rsid w:val="00BC2AC8"/>
    <w:rsid w:val="00BC2AE3"/>
    <w:rsid w:val="00BC2BF1"/>
    <w:rsid w:val="00BC2C89"/>
    <w:rsid w:val="00BC2CE6"/>
    <w:rsid w:val="00BC2EDA"/>
    <w:rsid w:val="00BC2F39"/>
    <w:rsid w:val="00BC2F5A"/>
    <w:rsid w:val="00BC3011"/>
    <w:rsid w:val="00BC3252"/>
    <w:rsid w:val="00BC33D0"/>
    <w:rsid w:val="00BC33DF"/>
    <w:rsid w:val="00BC343F"/>
    <w:rsid w:val="00BC3513"/>
    <w:rsid w:val="00BC356F"/>
    <w:rsid w:val="00BC3589"/>
    <w:rsid w:val="00BC358E"/>
    <w:rsid w:val="00BC360F"/>
    <w:rsid w:val="00BC3610"/>
    <w:rsid w:val="00BC369C"/>
    <w:rsid w:val="00BC3727"/>
    <w:rsid w:val="00BC39E9"/>
    <w:rsid w:val="00BC3A1A"/>
    <w:rsid w:val="00BC3A93"/>
    <w:rsid w:val="00BC3A9D"/>
    <w:rsid w:val="00BC3AAA"/>
    <w:rsid w:val="00BC3B47"/>
    <w:rsid w:val="00BC3D67"/>
    <w:rsid w:val="00BC3DC8"/>
    <w:rsid w:val="00BC3E79"/>
    <w:rsid w:val="00BC4071"/>
    <w:rsid w:val="00BC4075"/>
    <w:rsid w:val="00BC40C3"/>
    <w:rsid w:val="00BC42AD"/>
    <w:rsid w:val="00BC42E3"/>
    <w:rsid w:val="00BC42F6"/>
    <w:rsid w:val="00BC4364"/>
    <w:rsid w:val="00BC43DE"/>
    <w:rsid w:val="00BC47F6"/>
    <w:rsid w:val="00BC49FB"/>
    <w:rsid w:val="00BC4A47"/>
    <w:rsid w:val="00BC4A79"/>
    <w:rsid w:val="00BC4B12"/>
    <w:rsid w:val="00BC4B27"/>
    <w:rsid w:val="00BC4B31"/>
    <w:rsid w:val="00BC4B83"/>
    <w:rsid w:val="00BC4C73"/>
    <w:rsid w:val="00BC4D50"/>
    <w:rsid w:val="00BC501F"/>
    <w:rsid w:val="00BC515F"/>
    <w:rsid w:val="00BC516D"/>
    <w:rsid w:val="00BC518E"/>
    <w:rsid w:val="00BC51A0"/>
    <w:rsid w:val="00BC51FF"/>
    <w:rsid w:val="00BC527B"/>
    <w:rsid w:val="00BC539F"/>
    <w:rsid w:val="00BC53ED"/>
    <w:rsid w:val="00BC5411"/>
    <w:rsid w:val="00BC55B8"/>
    <w:rsid w:val="00BC56FD"/>
    <w:rsid w:val="00BC594A"/>
    <w:rsid w:val="00BC5987"/>
    <w:rsid w:val="00BC59DB"/>
    <w:rsid w:val="00BC59F1"/>
    <w:rsid w:val="00BC5A17"/>
    <w:rsid w:val="00BC5A2B"/>
    <w:rsid w:val="00BC5A49"/>
    <w:rsid w:val="00BC5CA9"/>
    <w:rsid w:val="00BC5D40"/>
    <w:rsid w:val="00BC60C2"/>
    <w:rsid w:val="00BC61D9"/>
    <w:rsid w:val="00BC6236"/>
    <w:rsid w:val="00BC6323"/>
    <w:rsid w:val="00BC63FB"/>
    <w:rsid w:val="00BC64C9"/>
    <w:rsid w:val="00BC6550"/>
    <w:rsid w:val="00BC6576"/>
    <w:rsid w:val="00BC67EF"/>
    <w:rsid w:val="00BC6878"/>
    <w:rsid w:val="00BC6B02"/>
    <w:rsid w:val="00BC6B39"/>
    <w:rsid w:val="00BC6C06"/>
    <w:rsid w:val="00BC6E34"/>
    <w:rsid w:val="00BC6FC9"/>
    <w:rsid w:val="00BC702C"/>
    <w:rsid w:val="00BC71B3"/>
    <w:rsid w:val="00BC7250"/>
    <w:rsid w:val="00BC72D5"/>
    <w:rsid w:val="00BC7311"/>
    <w:rsid w:val="00BC73E1"/>
    <w:rsid w:val="00BC73F1"/>
    <w:rsid w:val="00BC75C3"/>
    <w:rsid w:val="00BC76A6"/>
    <w:rsid w:val="00BC775A"/>
    <w:rsid w:val="00BC7828"/>
    <w:rsid w:val="00BC7862"/>
    <w:rsid w:val="00BC78AA"/>
    <w:rsid w:val="00BC78E1"/>
    <w:rsid w:val="00BC790F"/>
    <w:rsid w:val="00BC7A94"/>
    <w:rsid w:val="00BC7C24"/>
    <w:rsid w:val="00BC7CFE"/>
    <w:rsid w:val="00BC7DCE"/>
    <w:rsid w:val="00BD0013"/>
    <w:rsid w:val="00BD0030"/>
    <w:rsid w:val="00BD0065"/>
    <w:rsid w:val="00BD006E"/>
    <w:rsid w:val="00BD01B0"/>
    <w:rsid w:val="00BD0218"/>
    <w:rsid w:val="00BD0241"/>
    <w:rsid w:val="00BD0396"/>
    <w:rsid w:val="00BD03C0"/>
    <w:rsid w:val="00BD0408"/>
    <w:rsid w:val="00BD040A"/>
    <w:rsid w:val="00BD045F"/>
    <w:rsid w:val="00BD050A"/>
    <w:rsid w:val="00BD0540"/>
    <w:rsid w:val="00BD054B"/>
    <w:rsid w:val="00BD058E"/>
    <w:rsid w:val="00BD05DE"/>
    <w:rsid w:val="00BD070D"/>
    <w:rsid w:val="00BD076D"/>
    <w:rsid w:val="00BD07FB"/>
    <w:rsid w:val="00BD084F"/>
    <w:rsid w:val="00BD0866"/>
    <w:rsid w:val="00BD08F5"/>
    <w:rsid w:val="00BD08FA"/>
    <w:rsid w:val="00BD090A"/>
    <w:rsid w:val="00BD09A3"/>
    <w:rsid w:val="00BD0A61"/>
    <w:rsid w:val="00BD0A71"/>
    <w:rsid w:val="00BD0AE3"/>
    <w:rsid w:val="00BD0AFB"/>
    <w:rsid w:val="00BD0B7D"/>
    <w:rsid w:val="00BD0C58"/>
    <w:rsid w:val="00BD0DB5"/>
    <w:rsid w:val="00BD0E52"/>
    <w:rsid w:val="00BD0EEE"/>
    <w:rsid w:val="00BD1173"/>
    <w:rsid w:val="00BD1185"/>
    <w:rsid w:val="00BD12A7"/>
    <w:rsid w:val="00BD13CF"/>
    <w:rsid w:val="00BD13D9"/>
    <w:rsid w:val="00BD14F1"/>
    <w:rsid w:val="00BD154A"/>
    <w:rsid w:val="00BD1720"/>
    <w:rsid w:val="00BD17DE"/>
    <w:rsid w:val="00BD18DF"/>
    <w:rsid w:val="00BD18E0"/>
    <w:rsid w:val="00BD1BC0"/>
    <w:rsid w:val="00BD1C4F"/>
    <w:rsid w:val="00BD1D22"/>
    <w:rsid w:val="00BD1E1C"/>
    <w:rsid w:val="00BD1FA3"/>
    <w:rsid w:val="00BD20D6"/>
    <w:rsid w:val="00BD21BA"/>
    <w:rsid w:val="00BD2228"/>
    <w:rsid w:val="00BD2251"/>
    <w:rsid w:val="00BD22FC"/>
    <w:rsid w:val="00BD246C"/>
    <w:rsid w:val="00BD251C"/>
    <w:rsid w:val="00BD25A7"/>
    <w:rsid w:val="00BD2696"/>
    <w:rsid w:val="00BD26D9"/>
    <w:rsid w:val="00BD26EF"/>
    <w:rsid w:val="00BD28DA"/>
    <w:rsid w:val="00BD28DC"/>
    <w:rsid w:val="00BD2939"/>
    <w:rsid w:val="00BD2967"/>
    <w:rsid w:val="00BD2A5E"/>
    <w:rsid w:val="00BD2AAC"/>
    <w:rsid w:val="00BD2AC3"/>
    <w:rsid w:val="00BD2B19"/>
    <w:rsid w:val="00BD2B9B"/>
    <w:rsid w:val="00BD2BE2"/>
    <w:rsid w:val="00BD2C3D"/>
    <w:rsid w:val="00BD2C79"/>
    <w:rsid w:val="00BD2D45"/>
    <w:rsid w:val="00BD2D65"/>
    <w:rsid w:val="00BD2DF9"/>
    <w:rsid w:val="00BD2E24"/>
    <w:rsid w:val="00BD2EC5"/>
    <w:rsid w:val="00BD2F57"/>
    <w:rsid w:val="00BD3197"/>
    <w:rsid w:val="00BD3487"/>
    <w:rsid w:val="00BD34AA"/>
    <w:rsid w:val="00BD3659"/>
    <w:rsid w:val="00BD36BA"/>
    <w:rsid w:val="00BD3794"/>
    <w:rsid w:val="00BD386C"/>
    <w:rsid w:val="00BD389C"/>
    <w:rsid w:val="00BD3BBB"/>
    <w:rsid w:val="00BD3C00"/>
    <w:rsid w:val="00BD3CD4"/>
    <w:rsid w:val="00BD3D0B"/>
    <w:rsid w:val="00BD3F57"/>
    <w:rsid w:val="00BD3F96"/>
    <w:rsid w:val="00BD3FAF"/>
    <w:rsid w:val="00BD4003"/>
    <w:rsid w:val="00BD40EB"/>
    <w:rsid w:val="00BD417B"/>
    <w:rsid w:val="00BD41E3"/>
    <w:rsid w:val="00BD4225"/>
    <w:rsid w:val="00BD42D7"/>
    <w:rsid w:val="00BD43ED"/>
    <w:rsid w:val="00BD46A1"/>
    <w:rsid w:val="00BD4786"/>
    <w:rsid w:val="00BD4A2F"/>
    <w:rsid w:val="00BD4A9B"/>
    <w:rsid w:val="00BD4AD1"/>
    <w:rsid w:val="00BD4BA0"/>
    <w:rsid w:val="00BD4C95"/>
    <w:rsid w:val="00BD4F0D"/>
    <w:rsid w:val="00BD50F1"/>
    <w:rsid w:val="00BD5134"/>
    <w:rsid w:val="00BD519E"/>
    <w:rsid w:val="00BD5486"/>
    <w:rsid w:val="00BD552A"/>
    <w:rsid w:val="00BD55F1"/>
    <w:rsid w:val="00BD5895"/>
    <w:rsid w:val="00BD58BE"/>
    <w:rsid w:val="00BD5978"/>
    <w:rsid w:val="00BD59C0"/>
    <w:rsid w:val="00BD59F9"/>
    <w:rsid w:val="00BD5AA6"/>
    <w:rsid w:val="00BD5B42"/>
    <w:rsid w:val="00BD5B45"/>
    <w:rsid w:val="00BD5B7E"/>
    <w:rsid w:val="00BD5D35"/>
    <w:rsid w:val="00BD5D8E"/>
    <w:rsid w:val="00BD5DA2"/>
    <w:rsid w:val="00BD5EE5"/>
    <w:rsid w:val="00BD5EFB"/>
    <w:rsid w:val="00BD5F56"/>
    <w:rsid w:val="00BD5F94"/>
    <w:rsid w:val="00BD61D7"/>
    <w:rsid w:val="00BD6232"/>
    <w:rsid w:val="00BD624E"/>
    <w:rsid w:val="00BD651F"/>
    <w:rsid w:val="00BD667B"/>
    <w:rsid w:val="00BD66AA"/>
    <w:rsid w:val="00BD66EE"/>
    <w:rsid w:val="00BD680F"/>
    <w:rsid w:val="00BD6A84"/>
    <w:rsid w:val="00BD6B77"/>
    <w:rsid w:val="00BD6B93"/>
    <w:rsid w:val="00BD6C17"/>
    <w:rsid w:val="00BD6C2B"/>
    <w:rsid w:val="00BD6D68"/>
    <w:rsid w:val="00BD6DA4"/>
    <w:rsid w:val="00BD6DBA"/>
    <w:rsid w:val="00BD6E30"/>
    <w:rsid w:val="00BD6F77"/>
    <w:rsid w:val="00BD7039"/>
    <w:rsid w:val="00BD7095"/>
    <w:rsid w:val="00BD71B6"/>
    <w:rsid w:val="00BD71C0"/>
    <w:rsid w:val="00BD71E2"/>
    <w:rsid w:val="00BD72E6"/>
    <w:rsid w:val="00BD7305"/>
    <w:rsid w:val="00BD7361"/>
    <w:rsid w:val="00BD73BF"/>
    <w:rsid w:val="00BD7560"/>
    <w:rsid w:val="00BD7693"/>
    <w:rsid w:val="00BD76E0"/>
    <w:rsid w:val="00BD7775"/>
    <w:rsid w:val="00BD781B"/>
    <w:rsid w:val="00BD786A"/>
    <w:rsid w:val="00BD7897"/>
    <w:rsid w:val="00BD78C9"/>
    <w:rsid w:val="00BD792D"/>
    <w:rsid w:val="00BD7CBD"/>
    <w:rsid w:val="00BD7CE1"/>
    <w:rsid w:val="00BD7F3D"/>
    <w:rsid w:val="00BE0293"/>
    <w:rsid w:val="00BE0488"/>
    <w:rsid w:val="00BE0677"/>
    <w:rsid w:val="00BE06BE"/>
    <w:rsid w:val="00BE084C"/>
    <w:rsid w:val="00BE0988"/>
    <w:rsid w:val="00BE0A4A"/>
    <w:rsid w:val="00BE0D2F"/>
    <w:rsid w:val="00BE0D42"/>
    <w:rsid w:val="00BE0D5F"/>
    <w:rsid w:val="00BE0D92"/>
    <w:rsid w:val="00BE0DAF"/>
    <w:rsid w:val="00BE0E80"/>
    <w:rsid w:val="00BE0F47"/>
    <w:rsid w:val="00BE117D"/>
    <w:rsid w:val="00BE131C"/>
    <w:rsid w:val="00BE13C2"/>
    <w:rsid w:val="00BE16EC"/>
    <w:rsid w:val="00BE1772"/>
    <w:rsid w:val="00BE18D2"/>
    <w:rsid w:val="00BE190E"/>
    <w:rsid w:val="00BE1968"/>
    <w:rsid w:val="00BE1AA2"/>
    <w:rsid w:val="00BE1CD3"/>
    <w:rsid w:val="00BE1DD2"/>
    <w:rsid w:val="00BE1DFB"/>
    <w:rsid w:val="00BE1E4F"/>
    <w:rsid w:val="00BE1F5F"/>
    <w:rsid w:val="00BE2095"/>
    <w:rsid w:val="00BE209B"/>
    <w:rsid w:val="00BE209E"/>
    <w:rsid w:val="00BE218D"/>
    <w:rsid w:val="00BE21C1"/>
    <w:rsid w:val="00BE2259"/>
    <w:rsid w:val="00BE2269"/>
    <w:rsid w:val="00BE2322"/>
    <w:rsid w:val="00BE25F5"/>
    <w:rsid w:val="00BE2750"/>
    <w:rsid w:val="00BE275A"/>
    <w:rsid w:val="00BE2AD2"/>
    <w:rsid w:val="00BE2BAF"/>
    <w:rsid w:val="00BE2C07"/>
    <w:rsid w:val="00BE2CEA"/>
    <w:rsid w:val="00BE2E05"/>
    <w:rsid w:val="00BE2ED1"/>
    <w:rsid w:val="00BE3048"/>
    <w:rsid w:val="00BE3354"/>
    <w:rsid w:val="00BE3403"/>
    <w:rsid w:val="00BE356A"/>
    <w:rsid w:val="00BE3587"/>
    <w:rsid w:val="00BE35D1"/>
    <w:rsid w:val="00BE35EE"/>
    <w:rsid w:val="00BE36C5"/>
    <w:rsid w:val="00BE3732"/>
    <w:rsid w:val="00BE3822"/>
    <w:rsid w:val="00BE3830"/>
    <w:rsid w:val="00BE3902"/>
    <w:rsid w:val="00BE39C4"/>
    <w:rsid w:val="00BE3A43"/>
    <w:rsid w:val="00BE3A87"/>
    <w:rsid w:val="00BE3BE7"/>
    <w:rsid w:val="00BE3C19"/>
    <w:rsid w:val="00BE3D29"/>
    <w:rsid w:val="00BE414C"/>
    <w:rsid w:val="00BE41F4"/>
    <w:rsid w:val="00BE42F2"/>
    <w:rsid w:val="00BE4384"/>
    <w:rsid w:val="00BE4426"/>
    <w:rsid w:val="00BE44D3"/>
    <w:rsid w:val="00BE450F"/>
    <w:rsid w:val="00BE45B0"/>
    <w:rsid w:val="00BE45C4"/>
    <w:rsid w:val="00BE477E"/>
    <w:rsid w:val="00BE4883"/>
    <w:rsid w:val="00BE48D8"/>
    <w:rsid w:val="00BE4945"/>
    <w:rsid w:val="00BE49AB"/>
    <w:rsid w:val="00BE4A19"/>
    <w:rsid w:val="00BE4ABB"/>
    <w:rsid w:val="00BE4B34"/>
    <w:rsid w:val="00BE4BA4"/>
    <w:rsid w:val="00BE4BCA"/>
    <w:rsid w:val="00BE4D9C"/>
    <w:rsid w:val="00BE514C"/>
    <w:rsid w:val="00BE5220"/>
    <w:rsid w:val="00BE524B"/>
    <w:rsid w:val="00BE52FA"/>
    <w:rsid w:val="00BE5352"/>
    <w:rsid w:val="00BE53A5"/>
    <w:rsid w:val="00BE53AF"/>
    <w:rsid w:val="00BE53B0"/>
    <w:rsid w:val="00BE5465"/>
    <w:rsid w:val="00BE54C3"/>
    <w:rsid w:val="00BE5582"/>
    <w:rsid w:val="00BE5866"/>
    <w:rsid w:val="00BE59DF"/>
    <w:rsid w:val="00BE5ABA"/>
    <w:rsid w:val="00BE5AC7"/>
    <w:rsid w:val="00BE5DE7"/>
    <w:rsid w:val="00BE6102"/>
    <w:rsid w:val="00BE61C2"/>
    <w:rsid w:val="00BE6254"/>
    <w:rsid w:val="00BE626F"/>
    <w:rsid w:val="00BE62A4"/>
    <w:rsid w:val="00BE62C2"/>
    <w:rsid w:val="00BE62F9"/>
    <w:rsid w:val="00BE63D8"/>
    <w:rsid w:val="00BE6473"/>
    <w:rsid w:val="00BE6504"/>
    <w:rsid w:val="00BE650F"/>
    <w:rsid w:val="00BE6552"/>
    <w:rsid w:val="00BE65AF"/>
    <w:rsid w:val="00BE665B"/>
    <w:rsid w:val="00BE6ACF"/>
    <w:rsid w:val="00BE6DDE"/>
    <w:rsid w:val="00BE6E38"/>
    <w:rsid w:val="00BE6E87"/>
    <w:rsid w:val="00BE6FB1"/>
    <w:rsid w:val="00BE6FE9"/>
    <w:rsid w:val="00BE7063"/>
    <w:rsid w:val="00BE707E"/>
    <w:rsid w:val="00BE72BE"/>
    <w:rsid w:val="00BE7327"/>
    <w:rsid w:val="00BE732C"/>
    <w:rsid w:val="00BE74E2"/>
    <w:rsid w:val="00BE756F"/>
    <w:rsid w:val="00BE7645"/>
    <w:rsid w:val="00BE787B"/>
    <w:rsid w:val="00BE7A20"/>
    <w:rsid w:val="00BE7B1C"/>
    <w:rsid w:val="00BE7E10"/>
    <w:rsid w:val="00BE7E15"/>
    <w:rsid w:val="00BE7ED9"/>
    <w:rsid w:val="00BF0011"/>
    <w:rsid w:val="00BF0036"/>
    <w:rsid w:val="00BF01C5"/>
    <w:rsid w:val="00BF01F5"/>
    <w:rsid w:val="00BF028D"/>
    <w:rsid w:val="00BF0343"/>
    <w:rsid w:val="00BF035B"/>
    <w:rsid w:val="00BF038D"/>
    <w:rsid w:val="00BF0459"/>
    <w:rsid w:val="00BF0484"/>
    <w:rsid w:val="00BF057B"/>
    <w:rsid w:val="00BF09E6"/>
    <w:rsid w:val="00BF0A21"/>
    <w:rsid w:val="00BF0B1F"/>
    <w:rsid w:val="00BF0B45"/>
    <w:rsid w:val="00BF0C62"/>
    <w:rsid w:val="00BF0C85"/>
    <w:rsid w:val="00BF0D29"/>
    <w:rsid w:val="00BF0E3C"/>
    <w:rsid w:val="00BF0EB4"/>
    <w:rsid w:val="00BF0EB9"/>
    <w:rsid w:val="00BF108D"/>
    <w:rsid w:val="00BF10EE"/>
    <w:rsid w:val="00BF1177"/>
    <w:rsid w:val="00BF13C9"/>
    <w:rsid w:val="00BF1437"/>
    <w:rsid w:val="00BF14DD"/>
    <w:rsid w:val="00BF154E"/>
    <w:rsid w:val="00BF15F7"/>
    <w:rsid w:val="00BF16EC"/>
    <w:rsid w:val="00BF170E"/>
    <w:rsid w:val="00BF1780"/>
    <w:rsid w:val="00BF18BB"/>
    <w:rsid w:val="00BF1A40"/>
    <w:rsid w:val="00BF1A52"/>
    <w:rsid w:val="00BF1CEB"/>
    <w:rsid w:val="00BF1E27"/>
    <w:rsid w:val="00BF1E93"/>
    <w:rsid w:val="00BF2007"/>
    <w:rsid w:val="00BF217C"/>
    <w:rsid w:val="00BF2222"/>
    <w:rsid w:val="00BF2274"/>
    <w:rsid w:val="00BF2358"/>
    <w:rsid w:val="00BF23C9"/>
    <w:rsid w:val="00BF23EB"/>
    <w:rsid w:val="00BF247D"/>
    <w:rsid w:val="00BF2687"/>
    <w:rsid w:val="00BF2721"/>
    <w:rsid w:val="00BF274B"/>
    <w:rsid w:val="00BF275E"/>
    <w:rsid w:val="00BF27C4"/>
    <w:rsid w:val="00BF28B4"/>
    <w:rsid w:val="00BF29F8"/>
    <w:rsid w:val="00BF2A88"/>
    <w:rsid w:val="00BF2B1D"/>
    <w:rsid w:val="00BF2BBB"/>
    <w:rsid w:val="00BF2CE7"/>
    <w:rsid w:val="00BF2CFF"/>
    <w:rsid w:val="00BF2D39"/>
    <w:rsid w:val="00BF2DF6"/>
    <w:rsid w:val="00BF2F63"/>
    <w:rsid w:val="00BF3077"/>
    <w:rsid w:val="00BF3095"/>
    <w:rsid w:val="00BF30CC"/>
    <w:rsid w:val="00BF30ED"/>
    <w:rsid w:val="00BF3188"/>
    <w:rsid w:val="00BF32F5"/>
    <w:rsid w:val="00BF32F6"/>
    <w:rsid w:val="00BF3300"/>
    <w:rsid w:val="00BF3361"/>
    <w:rsid w:val="00BF33C2"/>
    <w:rsid w:val="00BF348A"/>
    <w:rsid w:val="00BF3636"/>
    <w:rsid w:val="00BF36AC"/>
    <w:rsid w:val="00BF36ED"/>
    <w:rsid w:val="00BF385D"/>
    <w:rsid w:val="00BF3943"/>
    <w:rsid w:val="00BF3B07"/>
    <w:rsid w:val="00BF3BCC"/>
    <w:rsid w:val="00BF3CAE"/>
    <w:rsid w:val="00BF3D44"/>
    <w:rsid w:val="00BF3D50"/>
    <w:rsid w:val="00BF3DC2"/>
    <w:rsid w:val="00BF3DF6"/>
    <w:rsid w:val="00BF3EAD"/>
    <w:rsid w:val="00BF3F85"/>
    <w:rsid w:val="00BF402B"/>
    <w:rsid w:val="00BF40D1"/>
    <w:rsid w:val="00BF40F8"/>
    <w:rsid w:val="00BF41F3"/>
    <w:rsid w:val="00BF4278"/>
    <w:rsid w:val="00BF42FD"/>
    <w:rsid w:val="00BF437C"/>
    <w:rsid w:val="00BF44BA"/>
    <w:rsid w:val="00BF4750"/>
    <w:rsid w:val="00BF47C7"/>
    <w:rsid w:val="00BF47E4"/>
    <w:rsid w:val="00BF4879"/>
    <w:rsid w:val="00BF499A"/>
    <w:rsid w:val="00BF49CC"/>
    <w:rsid w:val="00BF49D8"/>
    <w:rsid w:val="00BF4BCD"/>
    <w:rsid w:val="00BF4EFF"/>
    <w:rsid w:val="00BF4F17"/>
    <w:rsid w:val="00BF4F33"/>
    <w:rsid w:val="00BF502F"/>
    <w:rsid w:val="00BF51D3"/>
    <w:rsid w:val="00BF522C"/>
    <w:rsid w:val="00BF5403"/>
    <w:rsid w:val="00BF54B6"/>
    <w:rsid w:val="00BF5510"/>
    <w:rsid w:val="00BF56B3"/>
    <w:rsid w:val="00BF5709"/>
    <w:rsid w:val="00BF5924"/>
    <w:rsid w:val="00BF59F5"/>
    <w:rsid w:val="00BF5D66"/>
    <w:rsid w:val="00BF5E36"/>
    <w:rsid w:val="00BF5F51"/>
    <w:rsid w:val="00BF60FC"/>
    <w:rsid w:val="00BF61A7"/>
    <w:rsid w:val="00BF625F"/>
    <w:rsid w:val="00BF6265"/>
    <w:rsid w:val="00BF630C"/>
    <w:rsid w:val="00BF636B"/>
    <w:rsid w:val="00BF64A3"/>
    <w:rsid w:val="00BF658B"/>
    <w:rsid w:val="00BF65C0"/>
    <w:rsid w:val="00BF6676"/>
    <w:rsid w:val="00BF66B4"/>
    <w:rsid w:val="00BF6AFD"/>
    <w:rsid w:val="00BF6C98"/>
    <w:rsid w:val="00BF6DE0"/>
    <w:rsid w:val="00BF6DE5"/>
    <w:rsid w:val="00BF7005"/>
    <w:rsid w:val="00BF716E"/>
    <w:rsid w:val="00BF7204"/>
    <w:rsid w:val="00BF7287"/>
    <w:rsid w:val="00BF73C5"/>
    <w:rsid w:val="00BF73E9"/>
    <w:rsid w:val="00BF7633"/>
    <w:rsid w:val="00BF7710"/>
    <w:rsid w:val="00BF77A0"/>
    <w:rsid w:val="00BF77BA"/>
    <w:rsid w:val="00BF7803"/>
    <w:rsid w:val="00BF7852"/>
    <w:rsid w:val="00BF7B86"/>
    <w:rsid w:val="00BF7BB9"/>
    <w:rsid w:val="00BF7C2E"/>
    <w:rsid w:val="00BF7C35"/>
    <w:rsid w:val="00BF7F8A"/>
    <w:rsid w:val="00BF7F9F"/>
    <w:rsid w:val="00C00039"/>
    <w:rsid w:val="00C00051"/>
    <w:rsid w:val="00C002AF"/>
    <w:rsid w:val="00C0039B"/>
    <w:rsid w:val="00C003B5"/>
    <w:rsid w:val="00C0049A"/>
    <w:rsid w:val="00C0050D"/>
    <w:rsid w:val="00C00525"/>
    <w:rsid w:val="00C005FB"/>
    <w:rsid w:val="00C0061F"/>
    <w:rsid w:val="00C00A40"/>
    <w:rsid w:val="00C00A81"/>
    <w:rsid w:val="00C00B2D"/>
    <w:rsid w:val="00C00B59"/>
    <w:rsid w:val="00C00B86"/>
    <w:rsid w:val="00C00BD2"/>
    <w:rsid w:val="00C00D0E"/>
    <w:rsid w:val="00C0110A"/>
    <w:rsid w:val="00C011C1"/>
    <w:rsid w:val="00C0132F"/>
    <w:rsid w:val="00C0142C"/>
    <w:rsid w:val="00C016F1"/>
    <w:rsid w:val="00C01718"/>
    <w:rsid w:val="00C0173F"/>
    <w:rsid w:val="00C01833"/>
    <w:rsid w:val="00C01913"/>
    <w:rsid w:val="00C01B1C"/>
    <w:rsid w:val="00C01B36"/>
    <w:rsid w:val="00C01B42"/>
    <w:rsid w:val="00C01EAC"/>
    <w:rsid w:val="00C01F06"/>
    <w:rsid w:val="00C01FA1"/>
    <w:rsid w:val="00C01FA4"/>
    <w:rsid w:val="00C020E7"/>
    <w:rsid w:val="00C02107"/>
    <w:rsid w:val="00C021A4"/>
    <w:rsid w:val="00C022E3"/>
    <w:rsid w:val="00C024A1"/>
    <w:rsid w:val="00C024E9"/>
    <w:rsid w:val="00C02550"/>
    <w:rsid w:val="00C0262A"/>
    <w:rsid w:val="00C02654"/>
    <w:rsid w:val="00C02767"/>
    <w:rsid w:val="00C027BE"/>
    <w:rsid w:val="00C028AA"/>
    <w:rsid w:val="00C028F0"/>
    <w:rsid w:val="00C02917"/>
    <w:rsid w:val="00C029BE"/>
    <w:rsid w:val="00C02A38"/>
    <w:rsid w:val="00C02A9A"/>
    <w:rsid w:val="00C02AC2"/>
    <w:rsid w:val="00C02AFA"/>
    <w:rsid w:val="00C02B12"/>
    <w:rsid w:val="00C02C21"/>
    <w:rsid w:val="00C02C35"/>
    <w:rsid w:val="00C02C51"/>
    <w:rsid w:val="00C03027"/>
    <w:rsid w:val="00C03055"/>
    <w:rsid w:val="00C0321E"/>
    <w:rsid w:val="00C0328C"/>
    <w:rsid w:val="00C032A2"/>
    <w:rsid w:val="00C0336B"/>
    <w:rsid w:val="00C03446"/>
    <w:rsid w:val="00C03485"/>
    <w:rsid w:val="00C03590"/>
    <w:rsid w:val="00C03664"/>
    <w:rsid w:val="00C0381D"/>
    <w:rsid w:val="00C0397B"/>
    <w:rsid w:val="00C039D7"/>
    <w:rsid w:val="00C039E5"/>
    <w:rsid w:val="00C039E7"/>
    <w:rsid w:val="00C03A80"/>
    <w:rsid w:val="00C03B82"/>
    <w:rsid w:val="00C03BCF"/>
    <w:rsid w:val="00C03C4C"/>
    <w:rsid w:val="00C03C62"/>
    <w:rsid w:val="00C03D09"/>
    <w:rsid w:val="00C03EAE"/>
    <w:rsid w:val="00C03F20"/>
    <w:rsid w:val="00C03FA4"/>
    <w:rsid w:val="00C0419D"/>
    <w:rsid w:val="00C0424B"/>
    <w:rsid w:val="00C0439B"/>
    <w:rsid w:val="00C0439D"/>
    <w:rsid w:val="00C04491"/>
    <w:rsid w:val="00C04561"/>
    <w:rsid w:val="00C045B4"/>
    <w:rsid w:val="00C04668"/>
    <w:rsid w:val="00C046C4"/>
    <w:rsid w:val="00C047C6"/>
    <w:rsid w:val="00C047CA"/>
    <w:rsid w:val="00C049DB"/>
    <w:rsid w:val="00C04A9A"/>
    <w:rsid w:val="00C04B43"/>
    <w:rsid w:val="00C04B58"/>
    <w:rsid w:val="00C04C01"/>
    <w:rsid w:val="00C04C26"/>
    <w:rsid w:val="00C04C7D"/>
    <w:rsid w:val="00C04CCC"/>
    <w:rsid w:val="00C04D13"/>
    <w:rsid w:val="00C04D22"/>
    <w:rsid w:val="00C04EAA"/>
    <w:rsid w:val="00C04F45"/>
    <w:rsid w:val="00C05156"/>
    <w:rsid w:val="00C0515D"/>
    <w:rsid w:val="00C05211"/>
    <w:rsid w:val="00C052B5"/>
    <w:rsid w:val="00C05302"/>
    <w:rsid w:val="00C05353"/>
    <w:rsid w:val="00C05511"/>
    <w:rsid w:val="00C05631"/>
    <w:rsid w:val="00C056F5"/>
    <w:rsid w:val="00C05763"/>
    <w:rsid w:val="00C05784"/>
    <w:rsid w:val="00C058DA"/>
    <w:rsid w:val="00C058E7"/>
    <w:rsid w:val="00C059DB"/>
    <w:rsid w:val="00C059E4"/>
    <w:rsid w:val="00C05AA8"/>
    <w:rsid w:val="00C05AAD"/>
    <w:rsid w:val="00C05B27"/>
    <w:rsid w:val="00C05BB1"/>
    <w:rsid w:val="00C05BD9"/>
    <w:rsid w:val="00C05C02"/>
    <w:rsid w:val="00C05C17"/>
    <w:rsid w:val="00C05C78"/>
    <w:rsid w:val="00C05CA5"/>
    <w:rsid w:val="00C05E01"/>
    <w:rsid w:val="00C05E67"/>
    <w:rsid w:val="00C05F7C"/>
    <w:rsid w:val="00C05F7F"/>
    <w:rsid w:val="00C060D1"/>
    <w:rsid w:val="00C06152"/>
    <w:rsid w:val="00C0634A"/>
    <w:rsid w:val="00C069AA"/>
    <w:rsid w:val="00C069CE"/>
    <w:rsid w:val="00C069F9"/>
    <w:rsid w:val="00C06B40"/>
    <w:rsid w:val="00C06CED"/>
    <w:rsid w:val="00C06D89"/>
    <w:rsid w:val="00C06E2A"/>
    <w:rsid w:val="00C06F0D"/>
    <w:rsid w:val="00C06F64"/>
    <w:rsid w:val="00C070DA"/>
    <w:rsid w:val="00C0717D"/>
    <w:rsid w:val="00C07297"/>
    <w:rsid w:val="00C072BB"/>
    <w:rsid w:val="00C07380"/>
    <w:rsid w:val="00C074D3"/>
    <w:rsid w:val="00C0776D"/>
    <w:rsid w:val="00C077E9"/>
    <w:rsid w:val="00C078B3"/>
    <w:rsid w:val="00C07BCD"/>
    <w:rsid w:val="00C07C1E"/>
    <w:rsid w:val="00C07C23"/>
    <w:rsid w:val="00C07C44"/>
    <w:rsid w:val="00C07E81"/>
    <w:rsid w:val="00C07EC2"/>
    <w:rsid w:val="00C07F0A"/>
    <w:rsid w:val="00C07FC7"/>
    <w:rsid w:val="00C07FFE"/>
    <w:rsid w:val="00C1009B"/>
    <w:rsid w:val="00C10121"/>
    <w:rsid w:val="00C10234"/>
    <w:rsid w:val="00C105AA"/>
    <w:rsid w:val="00C1069B"/>
    <w:rsid w:val="00C1078A"/>
    <w:rsid w:val="00C107FA"/>
    <w:rsid w:val="00C1096C"/>
    <w:rsid w:val="00C10AD7"/>
    <w:rsid w:val="00C10C52"/>
    <w:rsid w:val="00C10DBD"/>
    <w:rsid w:val="00C10FC4"/>
    <w:rsid w:val="00C1100A"/>
    <w:rsid w:val="00C110C3"/>
    <w:rsid w:val="00C11177"/>
    <w:rsid w:val="00C113A1"/>
    <w:rsid w:val="00C11458"/>
    <w:rsid w:val="00C11462"/>
    <w:rsid w:val="00C115EB"/>
    <w:rsid w:val="00C11739"/>
    <w:rsid w:val="00C117FA"/>
    <w:rsid w:val="00C118CC"/>
    <w:rsid w:val="00C11AB0"/>
    <w:rsid w:val="00C11E8B"/>
    <w:rsid w:val="00C11EA3"/>
    <w:rsid w:val="00C11F1D"/>
    <w:rsid w:val="00C1213B"/>
    <w:rsid w:val="00C121DE"/>
    <w:rsid w:val="00C12200"/>
    <w:rsid w:val="00C12203"/>
    <w:rsid w:val="00C122D3"/>
    <w:rsid w:val="00C1248B"/>
    <w:rsid w:val="00C12511"/>
    <w:rsid w:val="00C126F8"/>
    <w:rsid w:val="00C12720"/>
    <w:rsid w:val="00C12755"/>
    <w:rsid w:val="00C12971"/>
    <w:rsid w:val="00C12A34"/>
    <w:rsid w:val="00C12AAC"/>
    <w:rsid w:val="00C12C5A"/>
    <w:rsid w:val="00C12C71"/>
    <w:rsid w:val="00C12D04"/>
    <w:rsid w:val="00C12D52"/>
    <w:rsid w:val="00C12D5C"/>
    <w:rsid w:val="00C12E5D"/>
    <w:rsid w:val="00C12EA2"/>
    <w:rsid w:val="00C12FAA"/>
    <w:rsid w:val="00C12FC8"/>
    <w:rsid w:val="00C12FD0"/>
    <w:rsid w:val="00C131ED"/>
    <w:rsid w:val="00C1324C"/>
    <w:rsid w:val="00C13379"/>
    <w:rsid w:val="00C133DF"/>
    <w:rsid w:val="00C133F6"/>
    <w:rsid w:val="00C1351A"/>
    <w:rsid w:val="00C1356A"/>
    <w:rsid w:val="00C135E9"/>
    <w:rsid w:val="00C1377D"/>
    <w:rsid w:val="00C138A3"/>
    <w:rsid w:val="00C13A50"/>
    <w:rsid w:val="00C13BB6"/>
    <w:rsid w:val="00C13D5C"/>
    <w:rsid w:val="00C13ED0"/>
    <w:rsid w:val="00C142A6"/>
    <w:rsid w:val="00C14684"/>
    <w:rsid w:val="00C14694"/>
    <w:rsid w:val="00C1473A"/>
    <w:rsid w:val="00C14847"/>
    <w:rsid w:val="00C1488B"/>
    <w:rsid w:val="00C148AD"/>
    <w:rsid w:val="00C14907"/>
    <w:rsid w:val="00C14CFF"/>
    <w:rsid w:val="00C14D00"/>
    <w:rsid w:val="00C14DD9"/>
    <w:rsid w:val="00C14F04"/>
    <w:rsid w:val="00C14F61"/>
    <w:rsid w:val="00C14F72"/>
    <w:rsid w:val="00C14F83"/>
    <w:rsid w:val="00C15010"/>
    <w:rsid w:val="00C150A5"/>
    <w:rsid w:val="00C15334"/>
    <w:rsid w:val="00C1548B"/>
    <w:rsid w:val="00C154CA"/>
    <w:rsid w:val="00C1550C"/>
    <w:rsid w:val="00C1553A"/>
    <w:rsid w:val="00C155D8"/>
    <w:rsid w:val="00C15747"/>
    <w:rsid w:val="00C15818"/>
    <w:rsid w:val="00C159BD"/>
    <w:rsid w:val="00C15AA7"/>
    <w:rsid w:val="00C15BB7"/>
    <w:rsid w:val="00C15BD8"/>
    <w:rsid w:val="00C15C00"/>
    <w:rsid w:val="00C15C19"/>
    <w:rsid w:val="00C15D3C"/>
    <w:rsid w:val="00C15DC7"/>
    <w:rsid w:val="00C1606A"/>
    <w:rsid w:val="00C16188"/>
    <w:rsid w:val="00C162CA"/>
    <w:rsid w:val="00C16453"/>
    <w:rsid w:val="00C1649D"/>
    <w:rsid w:val="00C165ED"/>
    <w:rsid w:val="00C166F2"/>
    <w:rsid w:val="00C168D3"/>
    <w:rsid w:val="00C168F1"/>
    <w:rsid w:val="00C16968"/>
    <w:rsid w:val="00C169D4"/>
    <w:rsid w:val="00C16BE7"/>
    <w:rsid w:val="00C16DC8"/>
    <w:rsid w:val="00C16DF2"/>
    <w:rsid w:val="00C17108"/>
    <w:rsid w:val="00C171CD"/>
    <w:rsid w:val="00C171D0"/>
    <w:rsid w:val="00C171D8"/>
    <w:rsid w:val="00C173F9"/>
    <w:rsid w:val="00C1741B"/>
    <w:rsid w:val="00C1756F"/>
    <w:rsid w:val="00C1766D"/>
    <w:rsid w:val="00C1774C"/>
    <w:rsid w:val="00C1789B"/>
    <w:rsid w:val="00C179AE"/>
    <w:rsid w:val="00C17A10"/>
    <w:rsid w:val="00C17A65"/>
    <w:rsid w:val="00C17C0E"/>
    <w:rsid w:val="00C17C74"/>
    <w:rsid w:val="00C17CDF"/>
    <w:rsid w:val="00C17D73"/>
    <w:rsid w:val="00C17E8E"/>
    <w:rsid w:val="00C17F32"/>
    <w:rsid w:val="00C17F48"/>
    <w:rsid w:val="00C2001E"/>
    <w:rsid w:val="00C2008A"/>
    <w:rsid w:val="00C200CF"/>
    <w:rsid w:val="00C20203"/>
    <w:rsid w:val="00C2044D"/>
    <w:rsid w:val="00C2065F"/>
    <w:rsid w:val="00C20819"/>
    <w:rsid w:val="00C20846"/>
    <w:rsid w:val="00C20871"/>
    <w:rsid w:val="00C20ABD"/>
    <w:rsid w:val="00C20C64"/>
    <w:rsid w:val="00C20DAA"/>
    <w:rsid w:val="00C21070"/>
    <w:rsid w:val="00C21082"/>
    <w:rsid w:val="00C21181"/>
    <w:rsid w:val="00C211B7"/>
    <w:rsid w:val="00C211EA"/>
    <w:rsid w:val="00C211F3"/>
    <w:rsid w:val="00C212C3"/>
    <w:rsid w:val="00C21350"/>
    <w:rsid w:val="00C2138D"/>
    <w:rsid w:val="00C21413"/>
    <w:rsid w:val="00C21498"/>
    <w:rsid w:val="00C216B4"/>
    <w:rsid w:val="00C217AD"/>
    <w:rsid w:val="00C21831"/>
    <w:rsid w:val="00C218E8"/>
    <w:rsid w:val="00C21BA4"/>
    <w:rsid w:val="00C21D01"/>
    <w:rsid w:val="00C21D7E"/>
    <w:rsid w:val="00C21E01"/>
    <w:rsid w:val="00C21EAD"/>
    <w:rsid w:val="00C21F8F"/>
    <w:rsid w:val="00C21FFC"/>
    <w:rsid w:val="00C220C3"/>
    <w:rsid w:val="00C22261"/>
    <w:rsid w:val="00C22313"/>
    <w:rsid w:val="00C223B7"/>
    <w:rsid w:val="00C2244F"/>
    <w:rsid w:val="00C22489"/>
    <w:rsid w:val="00C22557"/>
    <w:rsid w:val="00C225EC"/>
    <w:rsid w:val="00C2270F"/>
    <w:rsid w:val="00C2276D"/>
    <w:rsid w:val="00C2283F"/>
    <w:rsid w:val="00C228AD"/>
    <w:rsid w:val="00C22974"/>
    <w:rsid w:val="00C22B5B"/>
    <w:rsid w:val="00C22D25"/>
    <w:rsid w:val="00C22D92"/>
    <w:rsid w:val="00C22FDB"/>
    <w:rsid w:val="00C230AF"/>
    <w:rsid w:val="00C2325C"/>
    <w:rsid w:val="00C232F9"/>
    <w:rsid w:val="00C2330F"/>
    <w:rsid w:val="00C23352"/>
    <w:rsid w:val="00C2335D"/>
    <w:rsid w:val="00C233C8"/>
    <w:rsid w:val="00C234AB"/>
    <w:rsid w:val="00C234C3"/>
    <w:rsid w:val="00C234D7"/>
    <w:rsid w:val="00C2350E"/>
    <w:rsid w:val="00C23522"/>
    <w:rsid w:val="00C235D0"/>
    <w:rsid w:val="00C236B1"/>
    <w:rsid w:val="00C236B2"/>
    <w:rsid w:val="00C23736"/>
    <w:rsid w:val="00C2378A"/>
    <w:rsid w:val="00C2378F"/>
    <w:rsid w:val="00C2391D"/>
    <w:rsid w:val="00C23981"/>
    <w:rsid w:val="00C23992"/>
    <w:rsid w:val="00C23A53"/>
    <w:rsid w:val="00C23ACC"/>
    <w:rsid w:val="00C23B43"/>
    <w:rsid w:val="00C23BEC"/>
    <w:rsid w:val="00C23C24"/>
    <w:rsid w:val="00C23C9A"/>
    <w:rsid w:val="00C23C9F"/>
    <w:rsid w:val="00C23DAE"/>
    <w:rsid w:val="00C23EB8"/>
    <w:rsid w:val="00C23F20"/>
    <w:rsid w:val="00C24042"/>
    <w:rsid w:val="00C24049"/>
    <w:rsid w:val="00C24084"/>
    <w:rsid w:val="00C240F3"/>
    <w:rsid w:val="00C24120"/>
    <w:rsid w:val="00C2414C"/>
    <w:rsid w:val="00C24169"/>
    <w:rsid w:val="00C24591"/>
    <w:rsid w:val="00C245E4"/>
    <w:rsid w:val="00C2461C"/>
    <w:rsid w:val="00C249D3"/>
    <w:rsid w:val="00C249F9"/>
    <w:rsid w:val="00C24A9D"/>
    <w:rsid w:val="00C24B1F"/>
    <w:rsid w:val="00C24B83"/>
    <w:rsid w:val="00C24C05"/>
    <w:rsid w:val="00C24C27"/>
    <w:rsid w:val="00C24F2B"/>
    <w:rsid w:val="00C2511B"/>
    <w:rsid w:val="00C25270"/>
    <w:rsid w:val="00C25329"/>
    <w:rsid w:val="00C254E6"/>
    <w:rsid w:val="00C25590"/>
    <w:rsid w:val="00C25811"/>
    <w:rsid w:val="00C25895"/>
    <w:rsid w:val="00C2591D"/>
    <w:rsid w:val="00C25A3F"/>
    <w:rsid w:val="00C25BF7"/>
    <w:rsid w:val="00C25CBC"/>
    <w:rsid w:val="00C25DEC"/>
    <w:rsid w:val="00C25F0F"/>
    <w:rsid w:val="00C25FBD"/>
    <w:rsid w:val="00C25FC9"/>
    <w:rsid w:val="00C26066"/>
    <w:rsid w:val="00C26067"/>
    <w:rsid w:val="00C262C7"/>
    <w:rsid w:val="00C26384"/>
    <w:rsid w:val="00C264C5"/>
    <w:rsid w:val="00C2666F"/>
    <w:rsid w:val="00C26B13"/>
    <w:rsid w:val="00C26BB8"/>
    <w:rsid w:val="00C26BE7"/>
    <w:rsid w:val="00C26C57"/>
    <w:rsid w:val="00C26CE9"/>
    <w:rsid w:val="00C26E69"/>
    <w:rsid w:val="00C26EEE"/>
    <w:rsid w:val="00C26EF0"/>
    <w:rsid w:val="00C26F77"/>
    <w:rsid w:val="00C26F97"/>
    <w:rsid w:val="00C271DF"/>
    <w:rsid w:val="00C27325"/>
    <w:rsid w:val="00C27328"/>
    <w:rsid w:val="00C27344"/>
    <w:rsid w:val="00C2749A"/>
    <w:rsid w:val="00C274D9"/>
    <w:rsid w:val="00C274E6"/>
    <w:rsid w:val="00C2752B"/>
    <w:rsid w:val="00C2753F"/>
    <w:rsid w:val="00C27624"/>
    <w:rsid w:val="00C276FE"/>
    <w:rsid w:val="00C2794A"/>
    <w:rsid w:val="00C27A3D"/>
    <w:rsid w:val="00C27A92"/>
    <w:rsid w:val="00C27BA3"/>
    <w:rsid w:val="00C27CA9"/>
    <w:rsid w:val="00C27CD0"/>
    <w:rsid w:val="00C27CD1"/>
    <w:rsid w:val="00C27E83"/>
    <w:rsid w:val="00C27EDC"/>
    <w:rsid w:val="00C27F2B"/>
    <w:rsid w:val="00C3027A"/>
    <w:rsid w:val="00C30322"/>
    <w:rsid w:val="00C3033C"/>
    <w:rsid w:val="00C304CC"/>
    <w:rsid w:val="00C304DC"/>
    <w:rsid w:val="00C3052B"/>
    <w:rsid w:val="00C305F2"/>
    <w:rsid w:val="00C30786"/>
    <w:rsid w:val="00C308F8"/>
    <w:rsid w:val="00C30A94"/>
    <w:rsid w:val="00C30B73"/>
    <w:rsid w:val="00C30B90"/>
    <w:rsid w:val="00C30C33"/>
    <w:rsid w:val="00C30CD1"/>
    <w:rsid w:val="00C30D76"/>
    <w:rsid w:val="00C30D8C"/>
    <w:rsid w:val="00C30E8D"/>
    <w:rsid w:val="00C31062"/>
    <w:rsid w:val="00C310B7"/>
    <w:rsid w:val="00C310DA"/>
    <w:rsid w:val="00C310FC"/>
    <w:rsid w:val="00C31193"/>
    <w:rsid w:val="00C311C1"/>
    <w:rsid w:val="00C3130A"/>
    <w:rsid w:val="00C31319"/>
    <w:rsid w:val="00C3133C"/>
    <w:rsid w:val="00C3143F"/>
    <w:rsid w:val="00C3148C"/>
    <w:rsid w:val="00C316D1"/>
    <w:rsid w:val="00C316ED"/>
    <w:rsid w:val="00C319E0"/>
    <w:rsid w:val="00C31A04"/>
    <w:rsid w:val="00C31C80"/>
    <w:rsid w:val="00C31D72"/>
    <w:rsid w:val="00C31F4D"/>
    <w:rsid w:val="00C32006"/>
    <w:rsid w:val="00C321E8"/>
    <w:rsid w:val="00C32222"/>
    <w:rsid w:val="00C32280"/>
    <w:rsid w:val="00C32406"/>
    <w:rsid w:val="00C324AF"/>
    <w:rsid w:val="00C324D4"/>
    <w:rsid w:val="00C32527"/>
    <w:rsid w:val="00C3257C"/>
    <w:rsid w:val="00C32605"/>
    <w:rsid w:val="00C32726"/>
    <w:rsid w:val="00C32836"/>
    <w:rsid w:val="00C32894"/>
    <w:rsid w:val="00C328FC"/>
    <w:rsid w:val="00C32B53"/>
    <w:rsid w:val="00C32C1B"/>
    <w:rsid w:val="00C32D2C"/>
    <w:rsid w:val="00C32E4F"/>
    <w:rsid w:val="00C330BD"/>
    <w:rsid w:val="00C33179"/>
    <w:rsid w:val="00C333BD"/>
    <w:rsid w:val="00C333FA"/>
    <w:rsid w:val="00C33497"/>
    <w:rsid w:val="00C3357A"/>
    <w:rsid w:val="00C33685"/>
    <w:rsid w:val="00C336C9"/>
    <w:rsid w:val="00C33759"/>
    <w:rsid w:val="00C33842"/>
    <w:rsid w:val="00C3387C"/>
    <w:rsid w:val="00C33961"/>
    <w:rsid w:val="00C33A3C"/>
    <w:rsid w:val="00C33AC5"/>
    <w:rsid w:val="00C33C0E"/>
    <w:rsid w:val="00C33C51"/>
    <w:rsid w:val="00C33DDC"/>
    <w:rsid w:val="00C33E23"/>
    <w:rsid w:val="00C33E9B"/>
    <w:rsid w:val="00C34011"/>
    <w:rsid w:val="00C340B0"/>
    <w:rsid w:val="00C340D5"/>
    <w:rsid w:val="00C341FA"/>
    <w:rsid w:val="00C34249"/>
    <w:rsid w:val="00C342ED"/>
    <w:rsid w:val="00C3432C"/>
    <w:rsid w:val="00C344F1"/>
    <w:rsid w:val="00C345BF"/>
    <w:rsid w:val="00C345F0"/>
    <w:rsid w:val="00C3460B"/>
    <w:rsid w:val="00C34915"/>
    <w:rsid w:val="00C3492D"/>
    <w:rsid w:val="00C3494E"/>
    <w:rsid w:val="00C34A33"/>
    <w:rsid w:val="00C34B17"/>
    <w:rsid w:val="00C34B5A"/>
    <w:rsid w:val="00C34B9E"/>
    <w:rsid w:val="00C34C68"/>
    <w:rsid w:val="00C34DF5"/>
    <w:rsid w:val="00C34FB7"/>
    <w:rsid w:val="00C35002"/>
    <w:rsid w:val="00C350FF"/>
    <w:rsid w:val="00C35280"/>
    <w:rsid w:val="00C3533A"/>
    <w:rsid w:val="00C3540B"/>
    <w:rsid w:val="00C355FB"/>
    <w:rsid w:val="00C3569D"/>
    <w:rsid w:val="00C3575B"/>
    <w:rsid w:val="00C3586E"/>
    <w:rsid w:val="00C358F6"/>
    <w:rsid w:val="00C35C40"/>
    <w:rsid w:val="00C35D06"/>
    <w:rsid w:val="00C35D6D"/>
    <w:rsid w:val="00C35E02"/>
    <w:rsid w:val="00C35E17"/>
    <w:rsid w:val="00C35EA5"/>
    <w:rsid w:val="00C36322"/>
    <w:rsid w:val="00C3634C"/>
    <w:rsid w:val="00C36395"/>
    <w:rsid w:val="00C363EF"/>
    <w:rsid w:val="00C367EB"/>
    <w:rsid w:val="00C36A40"/>
    <w:rsid w:val="00C36AAF"/>
    <w:rsid w:val="00C36BB4"/>
    <w:rsid w:val="00C36EB4"/>
    <w:rsid w:val="00C36EF7"/>
    <w:rsid w:val="00C36F75"/>
    <w:rsid w:val="00C37010"/>
    <w:rsid w:val="00C37083"/>
    <w:rsid w:val="00C3713C"/>
    <w:rsid w:val="00C372FC"/>
    <w:rsid w:val="00C3746F"/>
    <w:rsid w:val="00C374BD"/>
    <w:rsid w:val="00C374D1"/>
    <w:rsid w:val="00C376AE"/>
    <w:rsid w:val="00C376B8"/>
    <w:rsid w:val="00C3778A"/>
    <w:rsid w:val="00C3779C"/>
    <w:rsid w:val="00C37855"/>
    <w:rsid w:val="00C37875"/>
    <w:rsid w:val="00C378A7"/>
    <w:rsid w:val="00C37908"/>
    <w:rsid w:val="00C37980"/>
    <w:rsid w:val="00C379E6"/>
    <w:rsid w:val="00C37A5B"/>
    <w:rsid w:val="00C37A9E"/>
    <w:rsid w:val="00C37C16"/>
    <w:rsid w:val="00C37CE3"/>
    <w:rsid w:val="00C37D2A"/>
    <w:rsid w:val="00C37D83"/>
    <w:rsid w:val="00C37E68"/>
    <w:rsid w:val="00C401FA"/>
    <w:rsid w:val="00C40247"/>
    <w:rsid w:val="00C402CA"/>
    <w:rsid w:val="00C40462"/>
    <w:rsid w:val="00C404EF"/>
    <w:rsid w:val="00C40788"/>
    <w:rsid w:val="00C407D9"/>
    <w:rsid w:val="00C4082F"/>
    <w:rsid w:val="00C408E3"/>
    <w:rsid w:val="00C4090B"/>
    <w:rsid w:val="00C40B19"/>
    <w:rsid w:val="00C40C2D"/>
    <w:rsid w:val="00C40C48"/>
    <w:rsid w:val="00C40C74"/>
    <w:rsid w:val="00C40C76"/>
    <w:rsid w:val="00C40D3D"/>
    <w:rsid w:val="00C40DA6"/>
    <w:rsid w:val="00C40FB8"/>
    <w:rsid w:val="00C40FFA"/>
    <w:rsid w:val="00C41329"/>
    <w:rsid w:val="00C414E9"/>
    <w:rsid w:val="00C41671"/>
    <w:rsid w:val="00C417B4"/>
    <w:rsid w:val="00C41826"/>
    <w:rsid w:val="00C41BE8"/>
    <w:rsid w:val="00C41C4A"/>
    <w:rsid w:val="00C41ECD"/>
    <w:rsid w:val="00C41F12"/>
    <w:rsid w:val="00C420E8"/>
    <w:rsid w:val="00C4214E"/>
    <w:rsid w:val="00C42162"/>
    <w:rsid w:val="00C42165"/>
    <w:rsid w:val="00C4218B"/>
    <w:rsid w:val="00C424B3"/>
    <w:rsid w:val="00C424E4"/>
    <w:rsid w:val="00C4252D"/>
    <w:rsid w:val="00C42722"/>
    <w:rsid w:val="00C42757"/>
    <w:rsid w:val="00C427AE"/>
    <w:rsid w:val="00C42963"/>
    <w:rsid w:val="00C42AC9"/>
    <w:rsid w:val="00C42BAC"/>
    <w:rsid w:val="00C42BFA"/>
    <w:rsid w:val="00C42C4A"/>
    <w:rsid w:val="00C42CE7"/>
    <w:rsid w:val="00C42F5B"/>
    <w:rsid w:val="00C42F70"/>
    <w:rsid w:val="00C42FD9"/>
    <w:rsid w:val="00C4300F"/>
    <w:rsid w:val="00C43091"/>
    <w:rsid w:val="00C430AC"/>
    <w:rsid w:val="00C431FC"/>
    <w:rsid w:val="00C4326E"/>
    <w:rsid w:val="00C4338F"/>
    <w:rsid w:val="00C433FD"/>
    <w:rsid w:val="00C43403"/>
    <w:rsid w:val="00C43803"/>
    <w:rsid w:val="00C438C8"/>
    <w:rsid w:val="00C4392F"/>
    <w:rsid w:val="00C439AB"/>
    <w:rsid w:val="00C439AF"/>
    <w:rsid w:val="00C439EE"/>
    <w:rsid w:val="00C43BBC"/>
    <w:rsid w:val="00C43BDD"/>
    <w:rsid w:val="00C43C22"/>
    <w:rsid w:val="00C43DC2"/>
    <w:rsid w:val="00C43FC1"/>
    <w:rsid w:val="00C43FC9"/>
    <w:rsid w:val="00C440F4"/>
    <w:rsid w:val="00C4411C"/>
    <w:rsid w:val="00C4418C"/>
    <w:rsid w:val="00C44278"/>
    <w:rsid w:val="00C442A9"/>
    <w:rsid w:val="00C44356"/>
    <w:rsid w:val="00C4444D"/>
    <w:rsid w:val="00C4449E"/>
    <w:rsid w:val="00C4470F"/>
    <w:rsid w:val="00C44766"/>
    <w:rsid w:val="00C4479B"/>
    <w:rsid w:val="00C447D2"/>
    <w:rsid w:val="00C449D5"/>
    <w:rsid w:val="00C44AA0"/>
    <w:rsid w:val="00C44AE9"/>
    <w:rsid w:val="00C44B0F"/>
    <w:rsid w:val="00C44B65"/>
    <w:rsid w:val="00C44C2A"/>
    <w:rsid w:val="00C44D5D"/>
    <w:rsid w:val="00C44D8D"/>
    <w:rsid w:val="00C44E4A"/>
    <w:rsid w:val="00C44E74"/>
    <w:rsid w:val="00C44F93"/>
    <w:rsid w:val="00C45071"/>
    <w:rsid w:val="00C450F5"/>
    <w:rsid w:val="00C450F9"/>
    <w:rsid w:val="00C45242"/>
    <w:rsid w:val="00C4550F"/>
    <w:rsid w:val="00C4558B"/>
    <w:rsid w:val="00C455F2"/>
    <w:rsid w:val="00C456EE"/>
    <w:rsid w:val="00C4575D"/>
    <w:rsid w:val="00C457CD"/>
    <w:rsid w:val="00C4581E"/>
    <w:rsid w:val="00C4586B"/>
    <w:rsid w:val="00C4587B"/>
    <w:rsid w:val="00C45922"/>
    <w:rsid w:val="00C4597D"/>
    <w:rsid w:val="00C45982"/>
    <w:rsid w:val="00C45996"/>
    <w:rsid w:val="00C45B19"/>
    <w:rsid w:val="00C45B53"/>
    <w:rsid w:val="00C45C49"/>
    <w:rsid w:val="00C45DDD"/>
    <w:rsid w:val="00C45E61"/>
    <w:rsid w:val="00C45F12"/>
    <w:rsid w:val="00C45F8D"/>
    <w:rsid w:val="00C4621D"/>
    <w:rsid w:val="00C463A0"/>
    <w:rsid w:val="00C464FA"/>
    <w:rsid w:val="00C466BB"/>
    <w:rsid w:val="00C46715"/>
    <w:rsid w:val="00C46716"/>
    <w:rsid w:val="00C467BC"/>
    <w:rsid w:val="00C46841"/>
    <w:rsid w:val="00C46971"/>
    <w:rsid w:val="00C46A60"/>
    <w:rsid w:val="00C46A77"/>
    <w:rsid w:val="00C46C08"/>
    <w:rsid w:val="00C46C90"/>
    <w:rsid w:val="00C46D46"/>
    <w:rsid w:val="00C46F3A"/>
    <w:rsid w:val="00C46F71"/>
    <w:rsid w:val="00C4704B"/>
    <w:rsid w:val="00C47059"/>
    <w:rsid w:val="00C4719D"/>
    <w:rsid w:val="00C47273"/>
    <w:rsid w:val="00C472A6"/>
    <w:rsid w:val="00C472AA"/>
    <w:rsid w:val="00C47383"/>
    <w:rsid w:val="00C473AE"/>
    <w:rsid w:val="00C473D2"/>
    <w:rsid w:val="00C474CB"/>
    <w:rsid w:val="00C4762F"/>
    <w:rsid w:val="00C477F6"/>
    <w:rsid w:val="00C47934"/>
    <w:rsid w:val="00C47956"/>
    <w:rsid w:val="00C47A38"/>
    <w:rsid w:val="00C47D13"/>
    <w:rsid w:val="00C47E35"/>
    <w:rsid w:val="00C47E6A"/>
    <w:rsid w:val="00C5039E"/>
    <w:rsid w:val="00C5055B"/>
    <w:rsid w:val="00C50638"/>
    <w:rsid w:val="00C50643"/>
    <w:rsid w:val="00C5069C"/>
    <w:rsid w:val="00C509DB"/>
    <w:rsid w:val="00C509E7"/>
    <w:rsid w:val="00C50BB4"/>
    <w:rsid w:val="00C50D17"/>
    <w:rsid w:val="00C50ECB"/>
    <w:rsid w:val="00C50F11"/>
    <w:rsid w:val="00C51012"/>
    <w:rsid w:val="00C510F8"/>
    <w:rsid w:val="00C5121C"/>
    <w:rsid w:val="00C5121D"/>
    <w:rsid w:val="00C514EB"/>
    <w:rsid w:val="00C51512"/>
    <w:rsid w:val="00C5157B"/>
    <w:rsid w:val="00C517A1"/>
    <w:rsid w:val="00C517C2"/>
    <w:rsid w:val="00C518A6"/>
    <w:rsid w:val="00C51B11"/>
    <w:rsid w:val="00C51CD9"/>
    <w:rsid w:val="00C51DFC"/>
    <w:rsid w:val="00C51EC0"/>
    <w:rsid w:val="00C51ED1"/>
    <w:rsid w:val="00C51FBF"/>
    <w:rsid w:val="00C52151"/>
    <w:rsid w:val="00C52285"/>
    <w:rsid w:val="00C5228A"/>
    <w:rsid w:val="00C52316"/>
    <w:rsid w:val="00C5237F"/>
    <w:rsid w:val="00C5238B"/>
    <w:rsid w:val="00C5274A"/>
    <w:rsid w:val="00C527E2"/>
    <w:rsid w:val="00C52874"/>
    <w:rsid w:val="00C52C21"/>
    <w:rsid w:val="00C52C8E"/>
    <w:rsid w:val="00C52CEA"/>
    <w:rsid w:val="00C52D00"/>
    <w:rsid w:val="00C52DD8"/>
    <w:rsid w:val="00C53004"/>
    <w:rsid w:val="00C530EF"/>
    <w:rsid w:val="00C5315C"/>
    <w:rsid w:val="00C5337F"/>
    <w:rsid w:val="00C5338F"/>
    <w:rsid w:val="00C53397"/>
    <w:rsid w:val="00C534A5"/>
    <w:rsid w:val="00C535A5"/>
    <w:rsid w:val="00C53622"/>
    <w:rsid w:val="00C5362A"/>
    <w:rsid w:val="00C53667"/>
    <w:rsid w:val="00C536F7"/>
    <w:rsid w:val="00C53767"/>
    <w:rsid w:val="00C53859"/>
    <w:rsid w:val="00C53A24"/>
    <w:rsid w:val="00C53A7C"/>
    <w:rsid w:val="00C53A92"/>
    <w:rsid w:val="00C53AF6"/>
    <w:rsid w:val="00C53D57"/>
    <w:rsid w:val="00C53DBB"/>
    <w:rsid w:val="00C53DE7"/>
    <w:rsid w:val="00C53EB7"/>
    <w:rsid w:val="00C53F20"/>
    <w:rsid w:val="00C53FDE"/>
    <w:rsid w:val="00C542FC"/>
    <w:rsid w:val="00C545DA"/>
    <w:rsid w:val="00C545EC"/>
    <w:rsid w:val="00C5463E"/>
    <w:rsid w:val="00C546A2"/>
    <w:rsid w:val="00C548B7"/>
    <w:rsid w:val="00C54944"/>
    <w:rsid w:val="00C54AE8"/>
    <w:rsid w:val="00C54B15"/>
    <w:rsid w:val="00C54C3A"/>
    <w:rsid w:val="00C54CE6"/>
    <w:rsid w:val="00C54D33"/>
    <w:rsid w:val="00C54D62"/>
    <w:rsid w:val="00C54E0A"/>
    <w:rsid w:val="00C54FDC"/>
    <w:rsid w:val="00C55016"/>
    <w:rsid w:val="00C55031"/>
    <w:rsid w:val="00C5504A"/>
    <w:rsid w:val="00C551A9"/>
    <w:rsid w:val="00C5522E"/>
    <w:rsid w:val="00C55244"/>
    <w:rsid w:val="00C55413"/>
    <w:rsid w:val="00C5545F"/>
    <w:rsid w:val="00C555D2"/>
    <w:rsid w:val="00C555EF"/>
    <w:rsid w:val="00C55674"/>
    <w:rsid w:val="00C55676"/>
    <w:rsid w:val="00C558D1"/>
    <w:rsid w:val="00C5592D"/>
    <w:rsid w:val="00C55987"/>
    <w:rsid w:val="00C559B3"/>
    <w:rsid w:val="00C559F5"/>
    <w:rsid w:val="00C55B22"/>
    <w:rsid w:val="00C55B33"/>
    <w:rsid w:val="00C55BF9"/>
    <w:rsid w:val="00C55E69"/>
    <w:rsid w:val="00C55EAC"/>
    <w:rsid w:val="00C55EB4"/>
    <w:rsid w:val="00C562F5"/>
    <w:rsid w:val="00C5649A"/>
    <w:rsid w:val="00C565A8"/>
    <w:rsid w:val="00C566DF"/>
    <w:rsid w:val="00C5674D"/>
    <w:rsid w:val="00C569CB"/>
    <w:rsid w:val="00C569D3"/>
    <w:rsid w:val="00C56A0C"/>
    <w:rsid w:val="00C56B32"/>
    <w:rsid w:val="00C56CB9"/>
    <w:rsid w:val="00C56F26"/>
    <w:rsid w:val="00C56FE4"/>
    <w:rsid w:val="00C57049"/>
    <w:rsid w:val="00C57436"/>
    <w:rsid w:val="00C57462"/>
    <w:rsid w:val="00C577CC"/>
    <w:rsid w:val="00C57864"/>
    <w:rsid w:val="00C579AD"/>
    <w:rsid w:val="00C579E9"/>
    <w:rsid w:val="00C579F0"/>
    <w:rsid w:val="00C579F4"/>
    <w:rsid w:val="00C57C89"/>
    <w:rsid w:val="00C57D49"/>
    <w:rsid w:val="00C57D71"/>
    <w:rsid w:val="00C57D86"/>
    <w:rsid w:val="00C57D97"/>
    <w:rsid w:val="00C57D9E"/>
    <w:rsid w:val="00C57DEB"/>
    <w:rsid w:val="00C57E5E"/>
    <w:rsid w:val="00C57E6F"/>
    <w:rsid w:val="00C57F41"/>
    <w:rsid w:val="00C60185"/>
    <w:rsid w:val="00C6030D"/>
    <w:rsid w:val="00C603AD"/>
    <w:rsid w:val="00C603E0"/>
    <w:rsid w:val="00C603FD"/>
    <w:rsid w:val="00C60548"/>
    <w:rsid w:val="00C60652"/>
    <w:rsid w:val="00C60745"/>
    <w:rsid w:val="00C607A5"/>
    <w:rsid w:val="00C60806"/>
    <w:rsid w:val="00C60A74"/>
    <w:rsid w:val="00C60C6A"/>
    <w:rsid w:val="00C60D6A"/>
    <w:rsid w:val="00C60DB3"/>
    <w:rsid w:val="00C61001"/>
    <w:rsid w:val="00C61031"/>
    <w:rsid w:val="00C6109C"/>
    <w:rsid w:val="00C6121C"/>
    <w:rsid w:val="00C61315"/>
    <w:rsid w:val="00C613A3"/>
    <w:rsid w:val="00C61542"/>
    <w:rsid w:val="00C6167A"/>
    <w:rsid w:val="00C616D6"/>
    <w:rsid w:val="00C61897"/>
    <w:rsid w:val="00C61934"/>
    <w:rsid w:val="00C61AA7"/>
    <w:rsid w:val="00C61AA8"/>
    <w:rsid w:val="00C61AE0"/>
    <w:rsid w:val="00C61B68"/>
    <w:rsid w:val="00C61BEB"/>
    <w:rsid w:val="00C61C85"/>
    <w:rsid w:val="00C61CDB"/>
    <w:rsid w:val="00C61DE7"/>
    <w:rsid w:val="00C61E0B"/>
    <w:rsid w:val="00C61E1E"/>
    <w:rsid w:val="00C61FC6"/>
    <w:rsid w:val="00C61FDA"/>
    <w:rsid w:val="00C6204A"/>
    <w:rsid w:val="00C6216E"/>
    <w:rsid w:val="00C62369"/>
    <w:rsid w:val="00C6243A"/>
    <w:rsid w:val="00C624A3"/>
    <w:rsid w:val="00C62788"/>
    <w:rsid w:val="00C627A1"/>
    <w:rsid w:val="00C62845"/>
    <w:rsid w:val="00C62A0B"/>
    <w:rsid w:val="00C62A33"/>
    <w:rsid w:val="00C62A44"/>
    <w:rsid w:val="00C62AD1"/>
    <w:rsid w:val="00C62B2F"/>
    <w:rsid w:val="00C62B36"/>
    <w:rsid w:val="00C62BAB"/>
    <w:rsid w:val="00C62BD2"/>
    <w:rsid w:val="00C62C3C"/>
    <w:rsid w:val="00C62CC8"/>
    <w:rsid w:val="00C62DAA"/>
    <w:rsid w:val="00C62DC4"/>
    <w:rsid w:val="00C62EF5"/>
    <w:rsid w:val="00C62FFA"/>
    <w:rsid w:val="00C631A5"/>
    <w:rsid w:val="00C631BD"/>
    <w:rsid w:val="00C6328D"/>
    <w:rsid w:val="00C632D1"/>
    <w:rsid w:val="00C632F9"/>
    <w:rsid w:val="00C63446"/>
    <w:rsid w:val="00C63514"/>
    <w:rsid w:val="00C6352F"/>
    <w:rsid w:val="00C635BB"/>
    <w:rsid w:val="00C63795"/>
    <w:rsid w:val="00C63814"/>
    <w:rsid w:val="00C6381C"/>
    <w:rsid w:val="00C63BED"/>
    <w:rsid w:val="00C63C0D"/>
    <w:rsid w:val="00C63CA7"/>
    <w:rsid w:val="00C63CAC"/>
    <w:rsid w:val="00C63E82"/>
    <w:rsid w:val="00C63E92"/>
    <w:rsid w:val="00C63FD2"/>
    <w:rsid w:val="00C642EA"/>
    <w:rsid w:val="00C6432C"/>
    <w:rsid w:val="00C64364"/>
    <w:rsid w:val="00C64375"/>
    <w:rsid w:val="00C64418"/>
    <w:rsid w:val="00C644CB"/>
    <w:rsid w:val="00C645EB"/>
    <w:rsid w:val="00C64698"/>
    <w:rsid w:val="00C646CF"/>
    <w:rsid w:val="00C6480B"/>
    <w:rsid w:val="00C64810"/>
    <w:rsid w:val="00C6482A"/>
    <w:rsid w:val="00C64994"/>
    <w:rsid w:val="00C649D5"/>
    <w:rsid w:val="00C649E7"/>
    <w:rsid w:val="00C64BE5"/>
    <w:rsid w:val="00C64CD7"/>
    <w:rsid w:val="00C64D5B"/>
    <w:rsid w:val="00C64D67"/>
    <w:rsid w:val="00C64D83"/>
    <w:rsid w:val="00C64D9C"/>
    <w:rsid w:val="00C64EE7"/>
    <w:rsid w:val="00C64F48"/>
    <w:rsid w:val="00C64F50"/>
    <w:rsid w:val="00C64FDD"/>
    <w:rsid w:val="00C6505B"/>
    <w:rsid w:val="00C65219"/>
    <w:rsid w:val="00C6522E"/>
    <w:rsid w:val="00C65282"/>
    <w:rsid w:val="00C652D3"/>
    <w:rsid w:val="00C6535F"/>
    <w:rsid w:val="00C65445"/>
    <w:rsid w:val="00C6548A"/>
    <w:rsid w:val="00C65537"/>
    <w:rsid w:val="00C655EB"/>
    <w:rsid w:val="00C6561C"/>
    <w:rsid w:val="00C65747"/>
    <w:rsid w:val="00C657A1"/>
    <w:rsid w:val="00C65823"/>
    <w:rsid w:val="00C65925"/>
    <w:rsid w:val="00C65A85"/>
    <w:rsid w:val="00C65B92"/>
    <w:rsid w:val="00C65BFF"/>
    <w:rsid w:val="00C65C28"/>
    <w:rsid w:val="00C65C8D"/>
    <w:rsid w:val="00C65D2A"/>
    <w:rsid w:val="00C65D32"/>
    <w:rsid w:val="00C65D8E"/>
    <w:rsid w:val="00C65E2C"/>
    <w:rsid w:val="00C661ED"/>
    <w:rsid w:val="00C66294"/>
    <w:rsid w:val="00C66381"/>
    <w:rsid w:val="00C666BA"/>
    <w:rsid w:val="00C666FA"/>
    <w:rsid w:val="00C668B7"/>
    <w:rsid w:val="00C66A18"/>
    <w:rsid w:val="00C66AD4"/>
    <w:rsid w:val="00C66CA3"/>
    <w:rsid w:val="00C66DA5"/>
    <w:rsid w:val="00C66E18"/>
    <w:rsid w:val="00C66F65"/>
    <w:rsid w:val="00C6705B"/>
    <w:rsid w:val="00C6706A"/>
    <w:rsid w:val="00C67176"/>
    <w:rsid w:val="00C67307"/>
    <w:rsid w:val="00C673B4"/>
    <w:rsid w:val="00C673DC"/>
    <w:rsid w:val="00C6751F"/>
    <w:rsid w:val="00C6756D"/>
    <w:rsid w:val="00C675D0"/>
    <w:rsid w:val="00C67703"/>
    <w:rsid w:val="00C67755"/>
    <w:rsid w:val="00C679AA"/>
    <w:rsid w:val="00C67A60"/>
    <w:rsid w:val="00C67A9D"/>
    <w:rsid w:val="00C67B6B"/>
    <w:rsid w:val="00C67E89"/>
    <w:rsid w:val="00C67EB0"/>
    <w:rsid w:val="00C67EEB"/>
    <w:rsid w:val="00C67EF5"/>
    <w:rsid w:val="00C67FEB"/>
    <w:rsid w:val="00C7011F"/>
    <w:rsid w:val="00C70275"/>
    <w:rsid w:val="00C70440"/>
    <w:rsid w:val="00C70493"/>
    <w:rsid w:val="00C705B7"/>
    <w:rsid w:val="00C706C3"/>
    <w:rsid w:val="00C707A0"/>
    <w:rsid w:val="00C70962"/>
    <w:rsid w:val="00C70BFA"/>
    <w:rsid w:val="00C70C1C"/>
    <w:rsid w:val="00C70C3A"/>
    <w:rsid w:val="00C70D9C"/>
    <w:rsid w:val="00C70E0D"/>
    <w:rsid w:val="00C70F25"/>
    <w:rsid w:val="00C70F84"/>
    <w:rsid w:val="00C70FAD"/>
    <w:rsid w:val="00C71082"/>
    <w:rsid w:val="00C71223"/>
    <w:rsid w:val="00C71295"/>
    <w:rsid w:val="00C7129E"/>
    <w:rsid w:val="00C7142C"/>
    <w:rsid w:val="00C7146B"/>
    <w:rsid w:val="00C714FF"/>
    <w:rsid w:val="00C71566"/>
    <w:rsid w:val="00C7157E"/>
    <w:rsid w:val="00C71622"/>
    <w:rsid w:val="00C716FD"/>
    <w:rsid w:val="00C71871"/>
    <w:rsid w:val="00C71950"/>
    <w:rsid w:val="00C71A9E"/>
    <w:rsid w:val="00C71B25"/>
    <w:rsid w:val="00C71BAA"/>
    <w:rsid w:val="00C71BCE"/>
    <w:rsid w:val="00C71C09"/>
    <w:rsid w:val="00C71E3B"/>
    <w:rsid w:val="00C720FA"/>
    <w:rsid w:val="00C7219B"/>
    <w:rsid w:val="00C72253"/>
    <w:rsid w:val="00C72481"/>
    <w:rsid w:val="00C7253B"/>
    <w:rsid w:val="00C726AE"/>
    <w:rsid w:val="00C7275B"/>
    <w:rsid w:val="00C729B6"/>
    <w:rsid w:val="00C72CCE"/>
    <w:rsid w:val="00C72D2C"/>
    <w:rsid w:val="00C72E06"/>
    <w:rsid w:val="00C72EE4"/>
    <w:rsid w:val="00C72F91"/>
    <w:rsid w:val="00C72FB3"/>
    <w:rsid w:val="00C730E2"/>
    <w:rsid w:val="00C731A2"/>
    <w:rsid w:val="00C731D1"/>
    <w:rsid w:val="00C731DE"/>
    <w:rsid w:val="00C73209"/>
    <w:rsid w:val="00C732B0"/>
    <w:rsid w:val="00C733E5"/>
    <w:rsid w:val="00C734A6"/>
    <w:rsid w:val="00C73516"/>
    <w:rsid w:val="00C735DC"/>
    <w:rsid w:val="00C7373C"/>
    <w:rsid w:val="00C73773"/>
    <w:rsid w:val="00C7377A"/>
    <w:rsid w:val="00C73A0B"/>
    <w:rsid w:val="00C73A47"/>
    <w:rsid w:val="00C73A58"/>
    <w:rsid w:val="00C7419B"/>
    <w:rsid w:val="00C7428D"/>
    <w:rsid w:val="00C74308"/>
    <w:rsid w:val="00C74350"/>
    <w:rsid w:val="00C74398"/>
    <w:rsid w:val="00C74706"/>
    <w:rsid w:val="00C7472A"/>
    <w:rsid w:val="00C747DC"/>
    <w:rsid w:val="00C747F7"/>
    <w:rsid w:val="00C749F8"/>
    <w:rsid w:val="00C74A85"/>
    <w:rsid w:val="00C74AB3"/>
    <w:rsid w:val="00C74AE5"/>
    <w:rsid w:val="00C74AED"/>
    <w:rsid w:val="00C74B0D"/>
    <w:rsid w:val="00C74BA7"/>
    <w:rsid w:val="00C74BF8"/>
    <w:rsid w:val="00C74E05"/>
    <w:rsid w:val="00C74F1E"/>
    <w:rsid w:val="00C74F52"/>
    <w:rsid w:val="00C75271"/>
    <w:rsid w:val="00C7547F"/>
    <w:rsid w:val="00C754A4"/>
    <w:rsid w:val="00C75546"/>
    <w:rsid w:val="00C75686"/>
    <w:rsid w:val="00C75752"/>
    <w:rsid w:val="00C75877"/>
    <w:rsid w:val="00C75901"/>
    <w:rsid w:val="00C75902"/>
    <w:rsid w:val="00C75914"/>
    <w:rsid w:val="00C75976"/>
    <w:rsid w:val="00C759DD"/>
    <w:rsid w:val="00C75C96"/>
    <w:rsid w:val="00C75CD3"/>
    <w:rsid w:val="00C75EB4"/>
    <w:rsid w:val="00C75EF0"/>
    <w:rsid w:val="00C75FAF"/>
    <w:rsid w:val="00C76032"/>
    <w:rsid w:val="00C7612E"/>
    <w:rsid w:val="00C76153"/>
    <w:rsid w:val="00C7616F"/>
    <w:rsid w:val="00C761A3"/>
    <w:rsid w:val="00C761C8"/>
    <w:rsid w:val="00C762D6"/>
    <w:rsid w:val="00C762FC"/>
    <w:rsid w:val="00C7638C"/>
    <w:rsid w:val="00C764B3"/>
    <w:rsid w:val="00C765B9"/>
    <w:rsid w:val="00C76753"/>
    <w:rsid w:val="00C76758"/>
    <w:rsid w:val="00C7680A"/>
    <w:rsid w:val="00C76953"/>
    <w:rsid w:val="00C76986"/>
    <w:rsid w:val="00C769E0"/>
    <w:rsid w:val="00C769FD"/>
    <w:rsid w:val="00C76BF6"/>
    <w:rsid w:val="00C76DDE"/>
    <w:rsid w:val="00C76DF1"/>
    <w:rsid w:val="00C771A4"/>
    <w:rsid w:val="00C7722C"/>
    <w:rsid w:val="00C77263"/>
    <w:rsid w:val="00C772E6"/>
    <w:rsid w:val="00C7735C"/>
    <w:rsid w:val="00C7739C"/>
    <w:rsid w:val="00C774BB"/>
    <w:rsid w:val="00C774C1"/>
    <w:rsid w:val="00C77502"/>
    <w:rsid w:val="00C775FC"/>
    <w:rsid w:val="00C77651"/>
    <w:rsid w:val="00C77744"/>
    <w:rsid w:val="00C7777D"/>
    <w:rsid w:val="00C777D0"/>
    <w:rsid w:val="00C778F1"/>
    <w:rsid w:val="00C77AD3"/>
    <w:rsid w:val="00C77C4E"/>
    <w:rsid w:val="00C77C54"/>
    <w:rsid w:val="00C77C64"/>
    <w:rsid w:val="00C77CBF"/>
    <w:rsid w:val="00C77D34"/>
    <w:rsid w:val="00C77D90"/>
    <w:rsid w:val="00C77DC3"/>
    <w:rsid w:val="00C77E82"/>
    <w:rsid w:val="00C77EA1"/>
    <w:rsid w:val="00C77EF4"/>
    <w:rsid w:val="00C80050"/>
    <w:rsid w:val="00C80059"/>
    <w:rsid w:val="00C800A9"/>
    <w:rsid w:val="00C801AC"/>
    <w:rsid w:val="00C801D1"/>
    <w:rsid w:val="00C80299"/>
    <w:rsid w:val="00C802D0"/>
    <w:rsid w:val="00C80320"/>
    <w:rsid w:val="00C803E2"/>
    <w:rsid w:val="00C8048C"/>
    <w:rsid w:val="00C8048F"/>
    <w:rsid w:val="00C8051D"/>
    <w:rsid w:val="00C80579"/>
    <w:rsid w:val="00C8087F"/>
    <w:rsid w:val="00C8096A"/>
    <w:rsid w:val="00C80A1D"/>
    <w:rsid w:val="00C80AC9"/>
    <w:rsid w:val="00C80B6B"/>
    <w:rsid w:val="00C80CD3"/>
    <w:rsid w:val="00C80E90"/>
    <w:rsid w:val="00C80F4F"/>
    <w:rsid w:val="00C80FA7"/>
    <w:rsid w:val="00C8109D"/>
    <w:rsid w:val="00C81159"/>
    <w:rsid w:val="00C811A5"/>
    <w:rsid w:val="00C81213"/>
    <w:rsid w:val="00C8124C"/>
    <w:rsid w:val="00C81275"/>
    <w:rsid w:val="00C8129F"/>
    <w:rsid w:val="00C81313"/>
    <w:rsid w:val="00C81455"/>
    <w:rsid w:val="00C814E1"/>
    <w:rsid w:val="00C816D6"/>
    <w:rsid w:val="00C8173D"/>
    <w:rsid w:val="00C8183C"/>
    <w:rsid w:val="00C81880"/>
    <w:rsid w:val="00C81883"/>
    <w:rsid w:val="00C81BDE"/>
    <w:rsid w:val="00C81BF2"/>
    <w:rsid w:val="00C81C2C"/>
    <w:rsid w:val="00C81D63"/>
    <w:rsid w:val="00C81DDB"/>
    <w:rsid w:val="00C81E17"/>
    <w:rsid w:val="00C81F06"/>
    <w:rsid w:val="00C82029"/>
    <w:rsid w:val="00C82057"/>
    <w:rsid w:val="00C82271"/>
    <w:rsid w:val="00C82410"/>
    <w:rsid w:val="00C824AC"/>
    <w:rsid w:val="00C82540"/>
    <w:rsid w:val="00C82571"/>
    <w:rsid w:val="00C825EE"/>
    <w:rsid w:val="00C82640"/>
    <w:rsid w:val="00C82653"/>
    <w:rsid w:val="00C8292B"/>
    <w:rsid w:val="00C8298E"/>
    <w:rsid w:val="00C829D4"/>
    <w:rsid w:val="00C82BF5"/>
    <w:rsid w:val="00C82C4A"/>
    <w:rsid w:val="00C82DC6"/>
    <w:rsid w:val="00C82DDC"/>
    <w:rsid w:val="00C82E17"/>
    <w:rsid w:val="00C82E4B"/>
    <w:rsid w:val="00C82E7D"/>
    <w:rsid w:val="00C82F62"/>
    <w:rsid w:val="00C82F6B"/>
    <w:rsid w:val="00C82F7F"/>
    <w:rsid w:val="00C82FDC"/>
    <w:rsid w:val="00C830B6"/>
    <w:rsid w:val="00C8314F"/>
    <w:rsid w:val="00C83228"/>
    <w:rsid w:val="00C834F4"/>
    <w:rsid w:val="00C8371F"/>
    <w:rsid w:val="00C838A5"/>
    <w:rsid w:val="00C838E2"/>
    <w:rsid w:val="00C838E3"/>
    <w:rsid w:val="00C839FC"/>
    <w:rsid w:val="00C83A40"/>
    <w:rsid w:val="00C83A65"/>
    <w:rsid w:val="00C83AC0"/>
    <w:rsid w:val="00C83C11"/>
    <w:rsid w:val="00C83C13"/>
    <w:rsid w:val="00C83C2A"/>
    <w:rsid w:val="00C83C2B"/>
    <w:rsid w:val="00C83D8F"/>
    <w:rsid w:val="00C83D9B"/>
    <w:rsid w:val="00C83DC5"/>
    <w:rsid w:val="00C83DEB"/>
    <w:rsid w:val="00C83E8A"/>
    <w:rsid w:val="00C83F1C"/>
    <w:rsid w:val="00C83FAD"/>
    <w:rsid w:val="00C8413A"/>
    <w:rsid w:val="00C84156"/>
    <w:rsid w:val="00C8419D"/>
    <w:rsid w:val="00C8433B"/>
    <w:rsid w:val="00C849B2"/>
    <w:rsid w:val="00C849BE"/>
    <w:rsid w:val="00C84A75"/>
    <w:rsid w:val="00C84BB3"/>
    <w:rsid w:val="00C84BF9"/>
    <w:rsid w:val="00C84E9B"/>
    <w:rsid w:val="00C84F7B"/>
    <w:rsid w:val="00C8504D"/>
    <w:rsid w:val="00C85071"/>
    <w:rsid w:val="00C850FA"/>
    <w:rsid w:val="00C8526C"/>
    <w:rsid w:val="00C852E1"/>
    <w:rsid w:val="00C853AB"/>
    <w:rsid w:val="00C856B9"/>
    <w:rsid w:val="00C8585A"/>
    <w:rsid w:val="00C85A24"/>
    <w:rsid w:val="00C85B28"/>
    <w:rsid w:val="00C85B5B"/>
    <w:rsid w:val="00C85BBB"/>
    <w:rsid w:val="00C85C1F"/>
    <w:rsid w:val="00C85CD5"/>
    <w:rsid w:val="00C85D4D"/>
    <w:rsid w:val="00C85DDF"/>
    <w:rsid w:val="00C85E81"/>
    <w:rsid w:val="00C8623B"/>
    <w:rsid w:val="00C86390"/>
    <w:rsid w:val="00C863B8"/>
    <w:rsid w:val="00C863CF"/>
    <w:rsid w:val="00C86408"/>
    <w:rsid w:val="00C8653E"/>
    <w:rsid w:val="00C865F9"/>
    <w:rsid w:val="00C86607"/>
    <w:rsid w:val="00C86626"/>
    <w:rsid w:val="00C86683"/>
    <w:rsid w:val="00C8668E"/>
    <w:rsid w:val="00C866C5"/>
    <w:rsid w:val="00C868A9"/>
    <w:rsid w:val="00C868DB"/>
    <w:rsid w:val="00C86C29"/>
    <w:rsid w:val="00C86C60"/>
    <w:rsid w:val="00C86FBD"/>
    <w:rsid w:val="00C86FCB"/>
    <w:rsid w:val="00C87053"/>
    <w:rsid w:val="00C8733D"/>
    <w:rsid w:val="00C873D8"/>
    <w:rsid w:val="00C875E6"/>
    <w:rsid w:val="00C87612"/>
    <w:rsid w:val="00C87617"/>
    <w:rsid w:val="00C87669"/>
    <w:rsid w:val="00C876B9"/>
    <w:rsid w:val="00C876C6"/>
    <w:rsid w:val="00C8781D"/>
    <w:rsid w:val="00C8782E"/>
    <w:rsid w:val="00C87AB4"/>
    <w:rsid w:val="00C87ABF"/>
    <w:rsid w:val="00C87B2F"/>
    <w:rsid w:val="00C87B6E"/>
    <w:rsid w:val="00C87CAD"/>
    <w:rsid w:val="00C87F78"/>
    <w:rsid w:val="00C87F8D"/>
    <w:rsid w:val="00C87FCA"/>
    <w:rsid w:val="00C90039"/>
    <w:rsid w:val="00C9007F"/>
    <w:rsid w:val="00C900E7"/>
    <w:rsid w:val="00C900E9"/>
    <w:rsid w:val="00C9017E"/>
    <w:rsid w:val="00C902F1"/>
    <w:rsid w:val="00C902F7"/>
    <w:rsid w:val="00C9035F"/>
    <w:rsid w:val="00C90396"/>
    <w:rsid w:val="00C903B1"/>
    <w:rsid w:val="00C9060C"/>
    <w:rsid w:val="00C90762"/>
    <w:rsid w:val="00C90789"/>
    <w:rsid w:val="00C9091E"/>
    <w:rsid w:val="00C90AD6"/>
    <w:rsid w:val="00C90B46"/>
    <w:rsid w:val="00C90C43"/>
    <w:rsid w:val="00C90D38"/>
    <w:rsid w:val="00C90E0B"/>
    <w:rsid w:val="00C90E39"/>
    <w:rsid w:val="00C90EC0"/>
    <w:rsid w:val="00C90F49"/>
    <w:rsid w:val="00C91084"/>
    <w:rsid w:val="00C910D7"/>
    <w:rsid w:val="00C9117D"/>
    <w:rsid w:val="00C912CC"/>
    <w:rsid w:val="00C9140A"/>
    <w:rsid w:val="00C914CF"/>
    <w:rsid w:val="00C9156B"/>
    <w:rsid w:val="00C9168A"/>
    <w:rsid w:val="00C916DD"/>
    <w:rsid w:val="00C917D5"/>
    <w:rsid w:val="00C918E9"/>
    <w:rsid w:val="00C919D6"/>
    <w:rsid w:val="00C91A82"/>
    <w:rsid w:val="00C91AC9"/>
    <w:rsid w:val="00C91AE1"/>
    <w:rsid w:val="00C91D87"/>
    <w:rsid w:val="00C91DCF"/>
    <w:rsid w:val="00C91E71"/>
    <w:rsid w:val="00C91F09"/>
    <w:rsid w:val="00C91F16"/>
    <w:rsid w:val="00C91F6E"/>
    <w:rsid w:val="00C91F84"/>
    <w:rsid w:val="00C92019"/>
    <w:rsid w:val="00C92098"/>
    <w:rsid w:val="00C92156"/>
    <w:rsid w:val="00C9218C"/>
    <w:rsid w:val="00C92458"/>
    <w:rsid w:val="00C92582"/>
    <w:rsid w:val="00C92625"/>
    <w:rsid w:val="00C92675"/>
    <w:rsid w:val="00C926C8"/>
    <w:rsid w:val="00C92A5B"/>
    <w:rsid w:val="00C92AA3"/>
    <w:rsid w:val="00C92B30"/>
    <w:rsid w:val="00C92C73"/>
    <w:rsid w:val="00C92DE5"/>
    <w:rsid w:val="00C92EE4"/>
    <w:rsid w:val="00C92FE1"/>
    <w:rsid w:val="00C9308D"/>
    <w:rsid w:val="00C9309A"/>
    <w:rsid w:val="00C931C1"/>
    <w:rsid w:val="00C931E0"/>
    <w:rsid w:val="00C932F2"/>
    <w:rsid w:val="00C93303"/>
    <w:rsid w:val="00C933A3"/>
    <w:rsid w:val="00C93410"/>
    <w:rsid w:val="00C934C2"/>
    <w:rsid w:val="00C93980"/>
    <w:rsid w:val="00C939C4"/>
    <w:rsid w:val="00C93A69"/>
    <w:rsid w:val="00C93AED"/>
    <w:rsid w:val="00C93BE6"/>
    <w:rsid w:val="00C93BEF"/>
    <w:rsid w:val="00C93C1E"/>
    <w:rsid w:val="00C93ECF"/>
    <w:rsid w:val="00C93EE4"/>
    <w:rsid w:val="00C93F6D"/>
    <w:rsid w:val="00C93F70"/>
    <w:rsid w:val="00C93FCC"/>
    <w:rsid w:val="00C93FD0"/>
    <w:rsid w:val="00C94047"/>
    <w:rsid w:val="00C94105"/>
    <w:rsid w:val="00C94156"/>
    <w:rsid w:val="00C941B7"/>
    <w:rsid w:val="00C94367"/>
    <w:rsid w:val="00C9437F"/>
    <w:rsid w:val="00C943A3"/>
    <w:rsid w:val="00C943DC"/>
    <w:rsid w:val="00C94585"/>
    <w:rsid w:val="00C945E3"/>
    <w:rsid w:val="00C94796"/>
    <w:rsid w:val="00C94873"/>
    <w:rsid w:val="00C9497E"/>
    <w:rsid w:val="00C94A9D"/>
    <w:rsid w:val="00C94A9F"/>
    <w:rsid w:val="00C94B72"/>
    <w:rsid w:val="00C94DD2"/>
    <w:rsid w:val="00C94E9C"/>
    <w:rsid w:val="00C94F1B"/>
    <w:rsid w:val="00C94FC6"/>
    <w:rsid w:val="00C950C5"/>
    <w:rsid w:val="00C95137"/>
    <w:rsid w:val="00C9516C"/>
    <w:rsid w:val="00C95376"/>
    <w:rsid w:val="00C95402"/>
    <w:rsid w:val="00C95432"/>
    <w:rsid w:val="00C95591"/>
    <w:rsid w:val="00C956AE"/>
    <w:rsid w:val="00C95887"/>
    <w:rsid w:val="00C9590B"/>
    <w:rsid w:val="00C95910"/>
    <w:rsid w:val="00C959E6"/>
    <w:rsid w:val="00C95B07"/>
    <w:rsid w:val="00C95B0F"/>
    <w:rsid w:val="00C95C45"/>
    <w:rsid w:val="00C95D90"/>
    <w:rsid w:val="00C95EDD"/>
    <w:rsid w:val="00C95EF1"/>
    <w:rsid w:val="00C9601A"/>
    <w:rsid w:val="00C9601B"/>
    <w:rsid w:val="00C962EF"/>
    <w:rsid w:val="00C96342"/>
    <w:rsid w:val="00C964CF"/>
    <w:rsid w:val="00C9658D"/>
    <w:rsid w:val="00C965A4"/>
    <w:rsid w:val="00C965D5"/>
    <w:rsid w:val="00C966DB"/>
    <w:rsid w:val="00C966F6"/>
    <w:rsid w:val="00C96744"/>
    <w:rsid w:val="00C96788"/>
    <w:rsid w:val="00C967CE"/>
    <w:rsid w:val="00C968C8"/>
    <w:rsid w:val="00C96B34"/>
    <w:rsid w:val="00C96BCD"/>
    <w:rsid w:val="00C96BEC"/>
    <w:rsid w:val="00C96C46"/>
    <w:rsid w:val="00C96D21"/>
    <w:rsid w:val="00C96D22"/>
    <w:rsid w:val="00C96E96"/>
    <w:rsid w:val="00C96FB0"/>
    <w:rsid w:val="00C97029"/>
    <w:rsid w:val="00C97127"/>
    <w:rsid w:val="00C9713A"/>
    <w:rsid w:val="00C9755A"/>
    <w:rsid w:val="00C97622"/>
    <w:rsid w:val="00C97810"/>
    <w:rsid w:val="00C97831"/>
    <w:rsid w:val="00C978A4"/>
    <w:rsid w:val="00C97A07"/>
    <w:rsid w:val="00C97A8E"/>
    <w:rsid w:val="00C97AE1"/>
    <w:rsid w:val="00C97B99"/>
    <w:rsid w:val="00C97C6A"/>
    <w:rsid w:val="00C97D4D"/>
    <w:rsid w:val="00C97D73"/>
    <w:rsid w:val="00CA001A"/>
    <w:rsid w:val="00CA0078"/>
    <w:rsid w:val="00CA0128"/>
    <w:rsid w:val="00CA0197"/>
    <w:rsid w:val="00CA01AA"/>
    <w:rsid w:val="00CA0430"/>
    <w:rsid w:val="00CA0490"/>
    <w:rsid w:val="00CA0538"/>
    <w:rsid w:val="00CA0591"/>
    <w:rsid w:val="00CA06D2"/>
    <w:rsid w:val="00CA0740"/>
    <w:rsid w:val="00CA0804"/>
    <w:rsid w:val="00CA08E4"/>
    <w:rsid w:val="00CA094A"/>
    <w:rsid w:val="00CA09D7"/>
    <w:rsid w:val="00CA0AC2"/>
    <w:rsid w:val="00CA0B00"/>
    <w:rsid w:val="00CA0B5D"/>
    <w:rsid w:val="00CA0B9D"/>
    <w:rsid w:val="00CA0C55"/>
    <w:rsid w:val="00CA0D18"/>
    <w:rsid w:val="00CA0D70"/>
    <w:rsid w:val="00CA0E2F"/>
    <w:rsid w:val="00CA0EB7"/>
    <w:rsid w:val="00CA0ED6"/>
    <w:rsid w:val="00CA147B"/>
    <w:rsid w:val="00CA14B8"/>
    <w:rsid w:val="00CA15D4"/>
    <w:rsid w:val="00CA16EF"/>
    <w:rsid w:val="00CA1CA3"/>
    <w:rsid w:val="00CA1D20"/>
    <w:rsid w:val="00CA1F92"/>
    <w:rsid w:val="00CA20E4"/>
    <w:rsid w:val="00CA210F"/>
    <w:rsid w:val="00CA21CB"/>
    <w:rsid w:val="00CA21F1"/>
    <w:rsid w:val="00CA22DE"/>
    <w:rsid w:val="00CA23E5"/>
    <w:rsid w:val="00CA241D"/>
    <w:rsid w:val="00CA2496"/>
    <w:rsid w:val="00CA25F6"/>
    <w:rsid w:val="00CA260D"/>
    <w:rsid w:val="00CA292B"/>
    <w:rsid w:val="00CA29CB"/>
    <w:rsid w:val="00CA2A7A"/>
    <w:rsid w:val="00CA2BB3"/>
    <w:rsid w:val="00CA2C1B"/>
    <w:rsid w:val="00CA2D44"/>
    <w:rsid w:val="00CA2E9D"/>
    <w:rsid w:val="00CA3081"/>
    <w:rsid w:val="00CA327E"/>
    <w:rsid w:val="00CA32B3"/>
    <w:rsid w:val="00CA3432"/>
    <w:rsid w:val="00CA344B"/>
    <w:rsid w:val="00CA357B"/>
    <w:rsid w:val="00CA3580"/>
    <w:rsid w:val="00CA3780"/>
    <w:rsid w:val="00CA3792"/>
    <w:rsid w:val="00CA3960"/>
    <w:rsid w:val="00CA3963"/>
    <w:rsid w:val="00CA39B0"/>
    <w:rsid w:val="00CA3AAF"/>
    <w:rsid w:val="00CA3AB5"/>
    <w:rsid w:val="00CA3C44"/>
    <w:rsid w:val="00CA3DD4"/>
    <w:rsid w:val="00CA3E1E"/>
    <w:rsid w:val="00CA3E31"/>
    <w:rsid w:val="00CA3F51"/>
    <w:rsid w:val="00CA408C"/>
    <w:rsid w:val="00CA4180"/>
    <w:rsid w:val="00CA42EF"/>
    <w:rsid w:val="00CA42F0"/>
    <w:rsid w:val="00CA4306"/>
    <w:rsid w:val="00CA431D"/>
    <w:rsid w:val="00CA4460"/>
    <w:rsid w:val="00CA4561"/>
    <w:rsid w:val="00CA4564"/>
    <w:rsid w:val="00CA45C8"/>
    <w:rsid w:val="00CA45CB"/>
    <w:rsid w:val="00CA4659"/>
    <w:rsid w:val="00CA499B"/>
    <w:rsid w:val="00CA4A5F"/>
    <w:rsid w:val="00CA4B31"/>
    <w:rsid w:val="00CA4B50"/>
    <w:rsid w:val="00CA4B58"/>
    <w:rsid w:val="00CA4B80"/>
    <w:rsid w:val="00CA4D1E"/>
    <w:rsid w:val="00CA4DD1"/>
    <w:rsid w:val="00CA4DF5"/>
    <w:rsid w:val="00CA4F11"/>
    <w:rsid w:val="00CA4F3F"/>
    <w:rsid w:val="00CA5094"/>
    <w:rsid w:val="00CA51FA"/>
    <w:rsid w:val="00CA5217"/>
    <w:rsid w:val="00CA5323"/>
    <w:rsid w:val="00CA541C"/>
    <w:rsid w:val="00CA54A6"/>
    <w:rsid w:val="00CA5638"/>
    <w:rsid w:val="00CA5745"/>
    <w:rsid w:val="00CA58FC"/>
    <w:rsid w:val="00CA5903"/>
    <w:rsid w:val="00CA596F"/>
    <w:rsid w:val="00CA5A32"/>
    <w:rsid w:val="00CA5A74"/>
    <w:rsid w:val="00CA5A85"/>
    <w:rsid w:val="00CA5AD4"/>
    <w:rsid w:val="00CA5B97"/>
    <w:rsid w:val="00CA5BE7"/>
    <w:rsid w:val="00CA5C04"/>
    <w:rsid w:val="00CA5E75"/>
    <w:rsid w:val="00CA5EF8"/>
    <w:rsid w:val="00CA5F5E"/>
    <w:rsid w:val="00CA6036"/>
    <w:rsid w:val="00CA6160"/>
    <w:rsid w:val="00CA629C"/>
    <w:rsid w:val="00CA62C7"/>
    <w:rsid w:val="00CA62CE"/>
    <w:rsid w:val="00CA634E"/>
    <w:rsid w:val="00CA64C0"/>
    <w:rsid w:val="00CA65B5"/>
    <w:rsid w:val="00CA668E"/>
    <w:rsid w:val="00CA66C1"/>
    <w:rsid w:val="00CA66D5"/>
    <w:rsid w:val="00CA66DF"/>
    <w:rsid w:val="00CA68E4"/>
    <w:rsid w:val="00CA6AD8"/>
    <w:rsid w:val="00CA6ADE"/>
    <w:rsid w:val="00CA6BF9"/>
    <w:rsid w:val="00CA6C24"/>
    <w:rsid w:val="00CA6EAD"/>
    <w:rsid w:val="00CA6F08"/>
    <w:rsid w:val="00CA702F"/>
    <w:rsid w:val="00CA70C4"/>
    <w:rsid w:val="00CA7110"/>
    <w:rsid w:val="00CA7182"/>
    <w:rsid w:val="00CA7188"/>
    <w:rsid w:val="00CA71E5"/>
    <w:rsid w:val="00CA7219"/>
    <w:rsid w:val="00CA7241"/>
    <w:rsid w:val="00CA73C5"/>
    <w:rsid w:val="00CA7426"/>
    <w:rsid w:val="00CA746D"/>
    <w:rsid w:val="00CA766B"/>
    <w:rsid w:val="00CA76E2"/>
    <w:rsid w:val="00CA7969"/>
    <w:rsid w:val="00CA7970"/>
    <w:rsid w:val="00CA7994"/>
    <w:rsid w:val="00CA79B0"/>
    <w:rsid w:val="00CA7C6C"/>
    <w:rsid w:val="00CA7CAE"/>
    <w:rsid w:val="00CA7D0E"/>
    <w:rsid w:val="00CA7E0C"/>
    <w:rsid w:val="00CB0062"/>
    <w:rsid w:val="00CB0067"/>
    <w:rsid w:val="00CB006E"/>
    <w:rsid w:val="00CB00C3"/>
    <w:rsid w:val="00CB01AC"/>
    <w:rsid w:val="00CB03CC"/>
    <w:rsid w:val="00CB068B"/>
    <w:rsid w:val="00CB06A8"/>
    <w:rsid w:val="00CB06AA"/>
    <w:rsid w:val="00CB06E5"/>
    <w:rsid w:val="00CB0780"/>
    <w:rsid w:val="00CB08AD"/>
    <w:rsid w:val="00CB0914"/>
    <w:rsid w:val="00CB0971"/>
    <w:rsid w:val="00CB097A"/>
    <w:rsid w:val="00CB0A7B"/>
    <w:rsid w:val="00CB0AA5"/>
    <w:rsid w:val="00CB0B80"/>
    <w:rsid w:val="00CB0BDB"/>
    <w:rsid w:val="00CB0E5F"/>
    <w:rsid w:val="00CB0ED2"/>
    <w:rsid w:val="00CB0F3F"/>
    <w:rsid w:val="00CB0F77"/>
    <w:rsid w:val="00CB0FCC"/>
    <w:rsid w:val="00CB1069"/>
    <w:rsid w:val="00CB1168"/>
    <w:rsid w:val="00CB11D5"/>
    <w:rsid w:val="00CB1387"/>
    <w:rsid w:val="00CB1464"/>
    <w:rsid w:val="00CB1474"/>
    <w:rsid w:val="00CB14C8"/>
    <w:rsid w:val="00CB15C6"/>
    <w:rsid w:val="00CB166B"/>
    <w:rsid w:val="00CB170E"/>
    <w:rsid w:val="00CB18F9"/>
    <w:rsid w:val="00CB19D9"/>
    <w:rsid w:val="00CB19DD"/>
    <w:rsid w:val="00CB19EB"/>
    <w:rsid w:val="00CB19FB"/>
    <w:rsid w:val="00CB1A7A"/>
    <w:rsid w:val="00CB1C0D"/>
    <w:rsid w:val="00CB1DA0"/>
    <w:rsid w:val="00CB1E46"/>
    <w:rsid w:val="00CB1E68"/>
    <w:rsid w:val="00CB21E7"/>
    <w:rsid w:val="00CB21ED"/>
    <w:rsid w:val="00CB2224"/>
    <w:rsid w:val="00CB231C"/>
    <w:rsid w:val="00CB232A"/>
    <w:rsid w:val="00CB2334"/>
    <w:rsid w:val="00CB2415"/>
    <w:rsid w:val="00CB24F0"/>
    <w:rsid w:val="00CB24F3"/>
    <w:rsid w:val="00CB252D"/>
    <w:rsid w:val="00CB25B1"/>
    <w:rsid w:val="00CB25BA"/>
    <w:rsid w:val="00CB2776"/>
    <w:rsid w:val="00CB2903"/>
    <w:rsid w:val="00CB297B"/>
    <w:rsid w:val="00CB29E8"/>
    <w:rsid w:val="00CB2A23"/>
    <w:rsid w:val="00CB2AA7"/>
    <w:rsid w:val="00CB2B6C"/>
    <w:rsid w:val="00CB2C1D"/>
    <w:rsid w:val="00CB2C34"/>
    <w:rsid w:val="00CB2D25"/>
    <w:rsid w:val="00CB2D47"/>
    <w:rsid w:val="00CB2D7C"/>
    <w:rsid w:val="00CB2DCE"/>
    <w:rsid w:val="00CB2F4D"/>
    <w:rsid w:val="00CB2FD6"/>
    <w:rsid w:val="00CB30C6"/>
    <w:rsid w:val="00CB3162"/>
    <w:rsid w:val="00CB31DC"/>
    <w:rsid w:val="00CB3239"/>
    <w:rsid w:val="00CB3255"/>
    <w:rsid w:val="00CB335B"/>
    <w:rsid w:val="00CB33A2"/>
    <w:rsid w:val="00CB361C"/>
    <w:rsid w:val="00CB36CE"/>
    <w:rsid w:val="00CB377C"/>
    <w:rsid w:val="00CB37B6"/>
    <w:rsid w:val="00CB393F"/>
    <w:rsid w:val="00CB3995"/>
    <w:rsid w:val="00CB3BC1"/>
    <w:rsid w:val="00CB3CBC"/>
    <w:rsid w:val="00CB3CF4"/>
    <w:rsid w:val="00CB3EA2"/>
    <w:rsid w:val="00CB3EB0"/>
    <w:rsid w:val="00CB4373"/>
    <w:rsid w:val="00CB43BA"/>
    <w:rsid w:val="00CB44D7"/>
    <w:rsid w:val="00CB4696"/>
    <w:rsid w:val="00CB4815"/>
    <w:rsid w:val="00CB4850"/>
    <w:rsid w:val="00CB4918"/>
    <w:rsid w:val="00CB4998"/>
    <w:rsid w:val="00CB4CDB"/>
    <w:rsid w:val="00CB4E2B"/>
    <w:rsid w:val="00CB514C"/>
    <w:rsid w:val="00CB53A8"/>
    <w:rsid w:val="00CB545E"/>
    <w:rsid w:val="00CB5603"/>
    <w:rsid w:val="00CB5813"/>
    <w:rsid w:val="00CB58A5"/>
    <w:rsid w:val="00CB5A36"/>
    <w:rsid w:val="00CB5A95"/>
    <w:rsid w:val="00CB5B38"/>
    <w:rsid w:val="00CB5B65"/>
    <w:rsid w:val="00CB5C1C"/>
    <w:rsid w:val="00CB5C70"/>
    <w:rsid w:val="00CB5DB3"/>
    <w:rsid w:val="00CB5ED9"/>
    <w:rsid w:val="00CB6248"/>
    <w:rsid w:val="00CB6285"/>
    <w:rsid w:val="00CB62F4"/>
    <w:rsid w:val="00CB6409"/>
    <w:rsid w:val="00CB64B8"/>
    <w:rsid w:val="00CB656A"/>
    <w:rsid w:val="00CB65BF"/>
    <w:rsid w:val="00CB6767"/>
    <w:rsid w:val="00CB677D"/>
    <w:rsid w:val="00CB6823"/>
    <w:rsid w:val="00CB683B"/>
    <w:rsid w:val="00CB693F"/>
    <w:rsid w:val="00CB6983"/>
    <w:rsid w:val="00CB69C9"/>
    <w:rsid w:val="00CB69E0"/>
    <w:rsid w:val="00CB6A0E"/>
    <w:rsid w:val="00CB6A26"/>
    <w:rsid w:val="00CB6AEC"/>
    <w:rsid w:val="00CB6C59"/>
    <w:rsid w:val="00CB6C6A"/>
    <w:rsid w:val="00CB6CB9"/>
    <w:rsid w:val="00CB6D4A"/>
    <w:rsid w:val="00CB6DDE"/>
    <w:rsid w:val="00CB6EBF"/>
    <w:rsid w:val="00CB718C"/>
    <w:rsid w:val="00CB7204"/>
    <w:rsid w:val="00CB722A"/>
    <w:rsid w:val="00CB729C"/>
    <w:rsid w:val="00CB72F5"/>
    <w:rsid w:val="00CB7308"/>
    <w:rsid w:val="00CB7363"/>
    <w:rsid w:val="00CB74AE"/>
    <w:rsid w:val="00CB74E9"/>
    <w:rsid w:val="00CB759C"/>
    <w:rsid w:val="00CB76EB"/>
    <w:rsid w:val="00CB771C"/>
    <w:rsid w:val="00CB7733"/>
    <w:rsid w:val="00CB77AE"/>
    <w:rsid w:val="00CB7822"/>
    <w:rsid w:val="00CB78F4"/>
    <w:rsid w:val="00CB79BA"/>
    <w:rsid w:val="00CB7AC0"/>
    <w:rsid w:val="00CB7E90"/>
    <w:rsid w:val="00CB7F15"/>
    <w:rsid w:val="00CB7F1C"/>
    <w:rsid w:val="00CB7F7B"/>
    <w:rsid w:val="00CC015C"/>
    <w:rsid w:val="00CC0321"/>
    <w:rsid w:val="00CC0329"/>
    <w:rsid w:val="00CC044C"/>
    <w:rsid w:val="00CC0532"/>
    <w:rsid w:val="00CC0591"/>
    <w:rsid w:val="00CC062A"/>
    <w:rsid w:val="00CC0755"/>
    <w:rsid w:val="00CC0766"/>
    <w:rsid w:val="00CC07B4"/>
    <w:rsid w:val="00CC0859"/>
    <w:rsid w:val="00CC08F1"/>
    <w:rsid w:val="00CC0A75"/>
    <w:rsid w:val="00CC0C27"/>
    <w:rsid w:val="00CC0C5D"/>
    <w:rsid w:val="00CC0E3B"/>
    <w:rsid w:val="00CC0FD8"/>
    <w:rsid w:val="00CC118F"/>
    <w:rsid w:val="00CC11D8"/>
    <w:rsid w:val="00CC1208"/>
    <w:rsid w:val="00CC12EE"/>
    <w:rsid w:val="00CC1470"/>
    <w:rsid w:val="00CC1572"/>
    <w:rsid w:val="00CC1574"/>
    <w:rsid w:val="00CC15CC"/>
    <w:rsid w:val="00CC16F9"/>
    <w:rsid w:val="00CC1791"/>
    <w:rsid w:val="00CC18CD"/>
    <w:rsid w:val="00CC18EB"/>
    <w:rsid w:val="00CC1923"/>
    <w:rsid w:val="00CC1A2A"/>
    <w:rsid w:val="00CC1D57"/>
    <w:rsid w:val="00CC1D74"/>
    <w:rsid w:val="00CC1E2F"/>
    <w:rsid w:val="00CC1EA1"/>
    <w:rsid w:val="00CC205E"/>
    <w:rsid w:val="00CC212A"/>
    <w:rsid w:val="00CC2134"/>
    <w:rsid w:val="00CC22A4"/>
    <w:rsid w:val="00CC22B0"/>
    <w:rsid w:val="00CC2342"/>
    <w:rsid w:val="00CC23A5"/>
    <w:rsid w:val="00CC23A9"/>
    <w:rsid w:val="00CC2520"/>
    <w:rsid w:val="00CC25FF"/>
    <w:rsid w:val="00CC26D1"/>
    <w:rsid w:val="00CC27DA"/>
    <w:rsid w:val="00CC2824"/>
    <w:rsid w:val="00CC29C1"/>
    <w:rsid w:val="00CC2AA6"/>
    <w:rsid w:val="00CC2AAC"/>
    <w:rsid w:val="00CC2B31"/>
    <w:rsid w:val="00CC2CDE"/>
    <w:rsid w:val="00CC2D33"/>
    <w:rsid w:val="00CC2DF3"/>
    <w:rsid w:val="00CC2E0D"/>
    <w:rsid w:val="00CC2EC5"/>
    <w:rsid w:val="00CC2EE3"/>
    <w:rsid w:val="00CC2F7D"/>
    <w:rsid w:val="00CC2F84"/>
    <w:rsid w:val="00CC2FCE"/>
    <w:rsid w:val="00CC300A"/>
    <w:rsid w:val="00CC3010"/>
    <w:rsid w:val="00CC3155"/>
    <w:rsid w:val="00CC3327"/>
    <w:rsid w:val="00CC33B2"/>
    <w:rsid w:val="00CC344F"/>
    <w:rsid w:val="00CC3500"/>
    <w:rsid w:val="00CC35E4"/>
    <w:rsid w:val="00CC3738"/>
    <w:rsid w:val="00CC3851"/>
    <w:rsid w:val="00CC3AF3"/>
    <w:rsid w:val="00CC3BC0"/>
    <w:rsid w:val="00CC3CC6"/>
    <w:rsid w:val="00CC3CD0"/>
    <w:rsid w:val="00CC3D5C"/>
    <w:rsid w:val="00CC3DFF"/>
    <w:rsid w:val="00CC3F32"/>
    <w:rsid w:val="00CC3F9A"/>
    <w:rsid w:val="00CC3FB0"/>
    <w:rsid w:val="00CC4013"/>
    <w:rsid w:val="00CC4319"/>
    <w:rsid w:val="00CC437C"/>
    <w:rsid w:val="00CC4390"/>
    <w:rsid w:val="00CC43C6"/>
    <w:rsid w:val="00CC43EE"/>
    <w:rsid w:val="00CC4493"/>
    <w:rsid w:val="00CC4689"/>
    <w:rsid w:val="00CC4992"/>
    <w:rsid w:val="00CC4A1D"/>
    <w:rsid w:val="00CC4B25"/>
    <w:rsid w:val="00CC4CCC"/>
    <w:rsid w:val="00CC4FB2"/>
    <w:rsid w:val="00CC5021"/>
    <w:rsid w:val="00CC527A"/>
    <w:rsid w:val="00CC527F"/>
    <w:rsid w:val="00CC5296"/>
    <w:rsid w:val="00CC5374"/>
    <w:rsid w:val="00CC53FE"/>
    <w:rsid w:val="00CC5436"/>
    <w:rsid w:val="00CC551E"/>
    <w:rsid w:val="00CC5810"/>
    <w:rsid w:val="00CC5A91"/>
    <w:rsid w:val="00CC5BA3"/>
    <w:rsid w:val="00CC5C82"/>
    <w:rsid w:val="00CC5EA1"/>
    <w:rsid w:val="00CC60BF"/>
    <w:rsid w:val="00CC617C"/>
    <w:rsid w:val="00CC61D9"/>
    <w:rsid w:val="00CC6232"/>
    <w:rsid w:val="00CC62E6"/>
    <w:rsid w:val="00CC62F9"/>
    <w:rsid w:val="00CC6466"/>
    <w:rsid w:val="00CC6469"/>
    <w:rsid w:val="00CC652B"/>
    <w:rsid w:val="00CC666D"/>
    <w:rsid w:val="00CC66CD"/>
    <w:rsid w:val="00CC6719"/>
    <w:rsid w:val="00CC676D"/>
    <w:rsid w:val="00CC67B7"/>
    <w:rsid w:val="00CC680A"/>
    <w:rsid w:val="00CC68C6"/>
    <w:rsid w:val="00CC6914"/>
    <w:rsid w:val="00CC692B"/>
    <w:rsid w:val="00CC6A0E"/>
    <w:rsid w:val="00CC6CED"/>
    <w:rsid w:val="00CC6D3F"/>
    <w:rsid w:val="00CC6DE6"/>
    <w:rsid w:val="00CC7032"/>
    <w:rsid w:val="00CC7142"/>
    <w:rsid w:val="00CC717B"/>
    <w:rsid w:val="00CC720D"/>
    <w:rsid w:val="00CC72CF"/>
    <w:rsid w:val="00CC75E0"/>
    <w:rsid w:val="00CC760C"/>
    <w:rsid w:val="00CC763A"/>
    <w:rsid w:val="00CC77BA"/>
    <w:rsid w:val="00CC77F5"/>
    <w:rsid w:val="00CC7876"/>
    <w:rsid w:val="00CC79D1"/>
    <w:rsid w:val="00CC79D9"/>
    <w:rsid w:val="00CC79F6"/>
    <w:rsid w:val="00CC7A17"/>
    <w:rsid w:val="00CC7A69"/>
    <w:rsid w:val="00CC7ABA"/>
    <w:rsid w:val="00CC7C6F"/>
    <w:rsid w:val="00CC7D06"/>
    <w:rsid w:val="00CC7D0F"/>
    <w:rsid w:val="00CC7E02"/>
    <w:rsid w:val="00CD01FD"/>
    <w:rsid w:val="00CD02C5"/>
    <w:rsid w:val="00CD0670"/>
    <w:rsid w:val="00CD07BA"/>
    <w:rsid w:val="00CD085F"/>
    <w:rsid w:val="00CD08E2"/>
    <w:rsid w:val="00CD0A1E"/>
    <w:rsid w:val="00CD0B3E"/>
    <w:rsid w:val="00CD0B5B"/>
    <w:rsid w:val="00CD0C6D"/>
    <w:rsid w:val="00CD0E90"/>
    <w:rsid w:val="00CD0FB7"/>
    <w:rsid w:val="00CD10E6"/>
    <w:rsid w:val="00CD1143"/>
    <w:rsid w:val="00CD12DE"/>
    <w:rsid w:val="00CD158F"/>
    <w:rsid w:val="00CD15DD"/>
    <w:rsid w:val="00CD1624"/>
    <w:rsid w:val="00CD16A3"/>
    <w:rsid w:val="00CD1785"/>
    <w:rsid w:val="00CD17B5"/>
    <w:rsid w:val="00CD17E0"/>
    <w:rsid w:val="00CD1838"/>
    <w:rsid w:val="00CD183D"/>
    <w:rsid w:val="00CD19DA"/>
    <w:rsid w:val="00CD1A11"/>
    <w:rsid w:val="00CD1B38"/>
    <w:rsid w:val="00CD1C4E"/>
    <w:rsid w:val="00CD1CA5"/>
    <w:rsid w:val="00CD1E29"/>
    <w:rsid w:val="00CD1EB3"/>
    <w:rsid w:val="00CD1F25"/>
    <w:rsid w:val="00CD1F48"/>
    <w:rsid w:val="00CD1FD8"/>
    <w:rsid w:val="00CD2115"/>
    <w:rsid w:val="00CD21E0"/>
    <w:rsid w:val="00CD21E5"/>
    <w:rsid w:val="00CD2248"/>
    <w:rsid w:val="00CD22FB"/>
    <w:rsid w:val="00CD247B"/>
    <w:rsid w:val="00CD24C8"/>
    <w:rsid w:val="00CD25A1"/>
    <w:rsid w:val="00CD260C"/>
    <w:rsid w:val="00CD27C4"/>
    <w:rsid w:val="00CD282D"/>
    <w:rsid w:val="00CD28F3"/>
    <w:rsid w:val="00CD2922"/>
    <w:rsid w:val="00CD294C"/>
    <w:rsid w:val="00CD295B"/>
    <w:rsid w:val="00CD2B30"/>
    <w:rsid w:val="00CD2B77"/>
    <w:rsid w:val="00CD2D66"/>
    <w:rsid w:val="00CD2DDE"/>
    <w:rsid w:val="00CD300E"/>
    <w:rsid w:val="00CD302C"/>
    <w:rsid w:val="00CD307C"/>
    <w:rsid w:val="00CD3287"/>
    <w:rsid w:val="00CD328E"/>
    <w:rsid w:val="00CD32C1"/>
    <w:rsid w:val="00CD330C"/>
    <w:rsid w:val="00CD334F"/>
    <w:rsid w:val="00CD33AF"/>
    <w:rsid w:val="00CD35D5"/>
    <w:rsid w:val="00CD37D8"/>
    <w:rsid w:val="00CD384D"/>
    <w:rsid w:val="00CD38A5"/>
    <w:rsid w:val="00CD3A88"/>
    <w:rsid w:val="00CD3A8F"/>
    <w:rsid w:val="00CD3B0E"/>
    <w:rsid w:val="00CD3B7D"/>
    <w:rsid w:val="00CD3B97"/>
    <w:rsid w:val="00CD3C12"/>
    <w:rsid w:val="00CD3CE3"/>
    <w:rsid w:val="00CD3D7A"/>
    <w:rsid w:val="00CD3D85"/>
    <w:rsid w:val="00CD3DCC"/>
    <w:rsid w:val="00CD3E19"/>
    <w:rsid w:val="00CD3EE2"/>
    <w:rsid w:val="00CD3F8A"/>
    <w:rsid w:val="00CD4119"/>
    <w:rsid w:val="00CD41E2"/>
    <w:rsid w:val="00CD4227"/>
    <w:rsid w:val="00CD43B6"/>
    <w:rsid w:val="00CD4587"/>
    <w:rsid w:val="00CD45C9"/>
    <w:rsid w:val="00CD46E2"/>
    <w:rsid w:val="00CD47AB"/>
    <w:rsid w:val="00CD4851"/>
    <w:rsid w:val="00CD486B"/>
    <w:rsid w:val="00CD48A9"/>
    <w:rsid w:val="00CD493B"/>
    <w:rsid w:val="00CD4962"/>
    <w:rsid w:val="00CD4AA8"/>
    <w:rsid w:val="00CD4D03"/>
    <w:rsid w:val="00CD4D5A"/>
    <w:rsid w:val="00CD4DB2"/>
    <w:rsid w:val="00CD4E44"/>
    <w:rsid w:val="00CD5198"/>
    <w:rsid w:val="00CD51CE"/>
    <w:rsid w:val="00CD52FC"/>
    <w:rsid w:val="00CD5667"/>
    <w:rsid w:val="00CD5694"/>
    <w:rsid w:val="00CD5799"/>
    <w:rsid w:val="00CD5892"/>
    <w:rsid w:val="00CD5AA0"/>
    <w:rsid w:val="00CD5AD5"/>
    <w:rsid w:val="00CD5D34"/>
    <w:rsid w:val="00CD5D54"/>
    <w:rsid w:val="00CD5DF8"/>
    <w:rsid w:val="00CD5EF0"/>
    <w:rsid w:val="00CD5F04"/>
    <w:rsid w:val="00CD5F5C"/>
    <w:rsid w:val="00CD604F"/>
    <w:rsid w:val="00CD60C2"/>
    <w:rsid w:val="00CD60EE"/>
    <w:rsid w:val="00CD612D"/>
    <w:rsid w:val="00CD624E"/>
    <w:rsid w:val="00CD6271"/>
    <w:rsid w:val="00CD62D8"/>
    <w:rsid w:val="00CD63A1"/>
    <w:rsid w:val="00CD6454"/>
    <w:rsid w:val="00CD6511"/>
    <w:rsid w:val="00CD65BA"/>
    <w:rsid w:val="00CD6665"/>
    <w:rsid w:val="00CD679D"/>
    <w:rsid w:val="00CD68D2"/>
    <w:rsid w:val="00CD6A21"/>
    <w:rsid w:val="00CD6D5E"/>
    <w:rsid w:val="00CD6E6F"/>
    <w:rsid w:val="00CD6E85"/>
    <w:rsid w:val="00CD6F5A"/>
    <w:rsid w:val="00CD6F83"/>
    <w:rsid w:val="00CD6F99"/>
    <w:rsid w:val="00CD70F2"/>
    <w:rsid w:val="00CD71C5"/>
    <w:rsid w:val="00CD723C"/>
    <w:rsid w:val="00CD726B"/>
    <w:rsid w:val="00CD72BF"/>
    <w:rsid w:val="00CD73FC"/>
    <w:rsid w:val="00CD7441"/>
    <w:rsid w:val="00CD75BA"/>
    <w:rsid w:val="00CD76BE"/>
    <w:rsid w:val="00CD77A1"/>
    <w:rsid w:val="00CD77EB"/>
    <w:rsid w:val="00CD77F3"/>
    <w:rsid w:val="00CD78ED"/>
    <w:rsid w:val="00CD79DB"/>
    <w:rsid w:val="00CD7A10"/>
    <w:rsid w:val="00CD7B08"/>
    <w:rsid w:val="00CD7BBD"/>
    <w:rsid w:val="00CD7CC5"/>
    <w:rsid w:val="00CD7D52"/>
    <w:rsid w:val="00CD7D59"/>
    <w:rsid w:val="00CD7EAE"/>
    <w:rsid w:val="00CD7F0F"/>
    <w:rsid w:val="00CE0010"/>
    <w:rsid w:val="00CE00DA"/>
    <w:rsid w:val="00CE027E"/>
    <w:rsid w:val="00CE02C1"/>
    <w:rsid w:val="00CE02C3"/>
    <w:rsid w:val="00CE0312"/>
    <w:rsid w:val="00CE0379"/>
    <w:rsid w:val="00CE0393"/>
    <w:rsid w:val="00CE0421"/>
    <w:rsid w:val="00CE051C"/>
    <w:rsid w:val="00CE0570"/>
    <w:rsid w:val="00CE0676"/>
    <w:rsid w:val="00CE088D"/>
    <w:rsid w:val="00CE08D2"/>
    <w:rsid w:val="00CE0A57"/>
    <w:rsid w:val="00CE0A96"/>
    <w:rsid w:val="00CE0C2A"/>
    <w:rsid w:val="00CE0DFC"/>
    <w:rsid w:val="00CE10D1"/>
    <w:rsid w:val="00CE1156"/>
    <w:rsid w:val="00CE115C"/>
    <w:rsid w:val="00CE119C"/>
    <w:rsid w:val="00CE121F"/>
    <w:rsid w:val="00CE129C"/>
    <w:rsid w:val="00CE12CF"/>
    <w:rsid w:val="00CE12DA"/>
    <w:rsid w:val="00CE1365"/>
    <w:rsid w:val="00CE14AB"/>
    <w:rsid w:val="00CE14D8"/>
    <w:rsid w:val="00CE1510"/>
    <w:rsid w:val="00CE1538"/>
    <w:rsid w:val="00CE18DC"/>
    <w:rsid w:val="00CE190F"/>
    <w:rsid w:val="00CE195E"/>
    <w:rsid w:val="00CE19B2"/>
    <w:rsid w:val="00CE1A12"/>
    <w:rsid w:val="00CE1A50"/>
    <w:rsid w:val="00CE1A8F"/>
    <w:rsid w:val="00CE1B96"/>
    <w:rsid w:val="00CE1CCE"/>
    <w:rsid w:val="00CE1CDE"/>
    <w:rsid w:val="00CE1CFA"/>
    <w:rsid w:val="00CE1D7E"/>
    <w:rsid w:val="00CE1D83"/>
    <w:rsid w:val="00CE1D8E"/>
    <w:rsid w:val="00CE1E41"/>
    <w:rsid w:val="00CE1E81"/>
    <w:rsid w:val="00CE1EB9"/>
    <w:rsid w:val="00CE2090"/>
    <w:rsid w:val="00CE230F"/>
    <w:rsid w:val="00CE2375"/>
    <w:rsid w:val="00CE2434"/>
    <w:rsid w:val="00CE24D3"/>
    <w:rsid w:val="00CE25CD"/>
    <w:rsid w:val="00CE25D3"/>
    <w:rsid w:val="00CE2693"/>
    <w:rsid w:val="00CE26FA"/>
    <w:rsid w:val="00CE2793"/>
    <w:rsid w:val="00CE27E5"/>
    <w:rsid w:val="00CE2823"/>
    <w:rsid w:val="00CE29E0"/>
    <w:rsid w:val="00CE2AC1"/>
    <w:rsid w:val="00CE2B8B"/>
    <w:rsid w:val="00CE2DBE"/>
    <w:rsid w:val="00CE2E5D"/>
    <w:rsid w:val="00CE2F54"/>
    <w:rsid w:val="00CE3052"/>
    <w:rsid w:val="00CE31E2"/>
    <w:rsid w:val="00CE325F"/>
    <w:rsid w:val="00CE3267"/>
    <w:rsid w:val="00CE3322"/>
    <w:rsid w:val="00CE3364"/>
    <w:rsid w:val="00CE336F"/>
    <w:rsid w:val="00CE3506"/>
    <w:rsid w:val="00CE354D"/>
    <w:rsid w:val="00CE3623"/>
    <w:rsid w:val="00CE369C"/>
    <w:rsid w:val="00CE36B2"/>
    <w:rsid w:val="00CE37CF"/>
    <w:rsid w:val="00CE37F0"/>
    <w:rsid w:val="00CE3838"/>
    <w:rsid w:val="00CE3989"/>
    <w:rsid w:val="00CE39DC"/>
    <w:rsid w:val="00CE3A13"/>
    <w:rsid w:val="00CE3C0D"/>
    <w:rsid w:val="00CE3C57"/>
    <w:rsid w:val="00CE3C8D"/>
    <w:rsid w:val="00CE3D84"/>
    <w:rsid w:val="00CE3E33"/>
    <w:rsid w:val="00CE3E55"/>
    <w:rsid w:val="00CE3F3C"/>
    <w:rsid w:val="00CE4000"/>
    <w:rsid w:val="00CE4183"/>
    <w:rsid w:val="00CE42D6"/>
    <w:rsid w:val="00CE43E6"/>
    <w:rsid w:val="00CE4484"/>
    <w:rsid w:val="00CE4526"/>
    <w:rsid w:val="00CE459B"/>
    <w:rsid w:val="00CE4630"/>
    <w:rsid w:val="00CE4662"/>
    <w:rsid w:val="00CE46F6"/>
    <w:rsid w:val="00CE4841"/>
    <w:rsid w:val="00CE4922"/>
    <w:rsid w:val="00CE4A9D"/>
    <w:rsid w:val="00CE4AA4"/>
    <w:rsid w:val="00CE4CF7"/>
    <w:rsid w:val="00CE4E81"/>
    <w:rsid w:val="00CE4EBD"/>
    <w:rsid w:val="00CE4EE0"/>
    <w:rsid w:val="00CE4EF1"/>
    <w:rsid w:val="00CE4F74"/>
    <w:rsid w:val="00CE50D1"/>
    <w:rsid w:val="00CE5134"/>
    <w:rsid w:val="00CE5198"/>
    <w:rsid w:val="00CE5330"/>
    <w:rsid w:val="00CE5408"/>
    <w:rsid w:val="00CE54C7"/>
    <w:rsid w:val="00CE557F"/>
    <w:rsid w:val="00CE565F"/>
    <w:rsid w:val="00CE569D"/>
    <w:rsid w:val="00CE56C4"/>
    <w:rsid w:val="00CE5843"/>
    <w:rsid w:val="00CE58ED"/>
    <w:rsid w:val="00CE59AE"/>
    <w:rsid w:val="00CE59CB"/>
    <w:rsid w:val="00CE5A8D"/>
    <w:rsid w:val="00CE5AFE"/>
    <w:rsid w:val="00CE5B9C"/>
    <w:rsid w:val="00CE5D2E"/>
    <w:rsid w:val="00CE5D7E"/>
    <w:rsid w:val="00CE5EDD"/>
    <w:rsid w:val="00CE61CF"/>
    <w:rsid w:val="00CE625D"/>
    <w:rsid w:val="00CE626C"/>
    <w:rsid w:val="00CE62C9"/>
    <w:rsid w:val="00CE6421"/>
    <w:rsid w:val="00CE6431"/>
    <w:rsid w:val="00CE649D"/>
    <w:rsid w:val="00CE64AB"/>
    <w:rsid w:val="00CE6519"/>
    <w:rsid w:val="00CE6542"/>
    <w:rsid w:val="00CE6640"/>
    <w:rsid w:val="00CE664A"/>
    <w:rsid w:val="00CE665E"/>
    <w:rsid w:val="00CE6663"/>
    <w:rsid w:val="00CE6737"/>
    <w:rsid w:val="00CE6A05"/>
    <w:rsid w:val="00CE6A3C"/>
    <w:rsid w:val="00CE6ACE"/>
    <w:rsid w:val="00CE6BC6"/>
    <w:rsid w:val="00CE6C4E"/>
    <w:rsid w:val="00CE6C4F"/>
    <w:rsid w:val="00CE6D25"/>
    <w:rsid w:val="00CE6DD2"/>
    <w:rsid w:val="00CE6E0E"/>
    <w:rsid w:val="00CE70EB"/>
    <w:rsid w:val="00CE70ED"/>
    <w:rsid w:val="00CE7213"/>
    <w:rsid w:val="00CE7321"/>
    <w:rsid w:val="00CE74B5"/>
    <w:rsid w:val="00CE750A"/>
    <w:rsid w:val="00CE762F"/>
    <w:rsid w:val="00CE7783"/>
    <w:rsid w:val="00CE7881"/>
    <w:rsid w:val="00CE7898"/>
    <w:rsid w:val="00CE7913"/>
    <w:rsid w:val="00CE7A73"/>
    <w:rsid w:val="00CE7C33"/>
    <w:rsid w:val="00CE7C58"/>
    <w:rsid w:val="00CE7D99"/>
    <w:rsid w:val="00CE7DF7"/>
    <w:rsid w:val="00CF00C3"/>
    <w:rsid w:val="00CF0153"/>
    <w:rsid w:val="00CF01A6"/>
    <w:rsid w:val="00CF0323"/>
    <w:rsid w:val="00CF03C9"/>
    <w:rsid w:val="00CF0634"/>
    <w:rsid w:val="00CF06B0"/>
    <w:rsid w:val="00CF071E"/>
    <w:rsid w:val="00CF0766"/>
    <w:rsid w:val="00CF078B"/>
    <w:rsid w:val="00CF078C"/>
    <w:rsid w:val="00CF08DA"/>
    <w:rsid w:val="00CF08FB"/>
    <w:rsid w:val="00CF08FF"/>
    <w:rsid w:val="00CF0979"/>
    <w:rsid w:val="00CF09AB"/>
    <w:rsid w:val="00CF0A1B"/>
    <w:rsid w:val="00CF0D59"/>
    <w:rsid w:val="00CF1065"/>
    <w:rsid w:val="00CF106D"/>
    <w:rsid w:val="00CF108D"/>
    <w:rsid w:val="00CF10AB"/>
    <w:rsid w:val="00CF10B3"/>
    <w:rsid w:val="00CF12A8"/>
    <w:rsid w:val="00CF12FC"/>
    <w:rsid w:val="00CF139B"/>
    <w:rsid w:val="00CF139C"/>
    <w:rsid w:val="00CF13BE"/>
    <w:rsid w:val="00CF13F7"/>
    <w:rsid w:val="00CF1432"/>
    <w:rsid w:val="00CF14CC"/>
    <w:rsid w:val="00CF1637"/>
    <w:rsid w:val="00CF1660"/>
    <w:rsid w:val="00CF185B"/>
    <w:rsid w:val="00CF197C"/>
    <w:rsid w:val="00CF1A5F"/>
    <w:rsid w:val="00CF1A74"/>
    <w:rsid w:val="00CF1B46"/>
    <w:rsid w:val="00CF1BE0"/>
    <w:rsid w:val="00CF1D7B"/>
    <w:rsid w:val="00CF1E6F"/>
    <w:rsid w:val="00CF1EED"/>
    <w:rsid w:val="00CF1F60"/>
    <w:rsid w:val="00CF1FE6"/>
    <w:rsid w:val="00CF20E1"/>
    <w:rsid w:val="00CF20FB"/>
    <w:rsid w:val="00CF2229"/>
    <w:rsid w:val="00CF27DF"/>
    <w:rsid w:val="00CF281B"/>
    <w:rsid w:val="00CF286C"/>
    <w:rsid w:val="00CF2944"/>
    <w:rsid w:val="00CF2950"/>
    <w:rsid w:val="00CF2A10"/>
    <w:rsid w:val="00CF2A33"/>
    <w:rsid w:val="00CF2A52"/>
    <w:rsid w:val="00CF2AFB"/>
    <w:rsid w:val="00CF2B32"/>
    <w:rsid w:val="00CF2B79"/>
    <w:rsid w:val="00CF2D42"/>
    <w:rsid w:val="00CF2D56"/>
    <w:rsid w:val="00CF2D92"/>
    <w:rsid w:val="00CF2EC6"/>
    <w:rsid w:val="00CF2FB7"/>
    <w:rsid w:val="00CF3093"/>
    <w:rsid w:val="00CF3243"/>
    <w:rsid w:val="00CF32D4"/>
    <w:rsid w:val="00CF3660"/>
    <w:rsid w:val="00CF36CD"/>
    <w:rsid w:val="00CF3815"/>
    <w:rsid w:val="00CF388B"/>
    <w:rsid w:val="00CF3976"/>
    <w:rsid w:val="00CF39B5"/>
    <w:rsid w:val="00CF3D8C"/>
    <w:rsid w:val="00CF3EC4"/>
    <w:rsid w:val="00CF3F2F"/>
    <w:rsid w:val="00CF3F32"/>
    <w:rsid w:val="00CF3F4A"/>
    <w:rsid w:val="00CF40A3"/>
    <w:rsid w:val="00CF40F9"/>
    <w:rsid w:val="00CF41E8"/>
    <w:rsid w:val="00CF43BC"/>
    <w:rsid w:val="00CF44F7"/>
    <w:rsid w:val="00CF453B"/>
    <w:rsid w:val="00CF459B"/>
    <w:rsid w:val="00CF4632"/>
    <w:rsid w:val="00CF4644"/>
    <w:rsid w:val="00CF4735"/>
    <w:rsid w:val="00CF4A7F"/>
    <w:rsid w:val="00CF4B1B"/>
    <w:rsid w:val="00CF4B38"/>
    <w:rsid w:val="00CF4B96"/>
    <w:rsid w:val="00CF4BCC"/>
    <w:rsid w:val="00CF4C36"/>
    <w:rsid w:val="00CF4D50"/>
    <w:rsid w:val="00CF4EAA"/>
    <w:rsid w:val="00CF4EE7"/>
    <w:rsid w:val="00CF4FF2"/>
    <w:rsid w:val="00CF5022"/>
    <w:rsid w:val="00CF518E"/>
    <w:rsid w:val="00CF51F4"/>
    <w:rsid w:val="00CF5259"/>
    <w:rsid w:val="00CF5306"/>
    <w:rsid w:val="00CF53DD"/>
    <w:rsid w:val="00CF547D"/>
    <w:rsid w:val="00CF54E8"/>
    <w:rsid w:val="00CF5549"/>
    <w:rsid w:val="00CF5655"/>
    <w:rsid w:val="00CF58CC"/>
    <w:rsid w:val="00CF58E8"/>
    <w:rsid w:val="00CF58E9"/>
    <w:rsid w:val="00CF5956"/>
    <w:rsid w:val="00CF5A0C"/>
    <w:rsid w:val="00CF5A5D"/>
    <w:rsid w:val="00CF5A5E"/>
    <w:rsid w:val="00CF5A75"/>
    <w:rsid w:val="00CF5B8B"/>
    <w:rsid w:val="00CF5BAB"/>
    <w:rsid w:val="00CF5E20"/>
    <w:rsid w:val="00CF5EA1"/>
    <w:rsid w:val="00CF5F33"/>
    <w:rsid w:val="00CF5F83"/>
    <w:rsid w:val="00CF5FCA"/>
    <w:rsid w:val="00CF60C6"/>
    <w:rsid w:val="00CF628E"/>
    <w:rsid w:val="00CF6328"/>
    <w:rsid w:val="00CF6387"/>
    <w:rsid w:val="00CF6571"/>
    <w:rsid w:val="00CF65CA"/>
    <w:rsid w:val="00CF65DA"/>
    <w:rsid w:val="00CF6672"/>
    <w:rsid w:val="00CF66A4"/>
    <w:rsid w:val="00CF6759"/>
    <w:rsid w:val="00CF6858"/>
    <w:rsid w:val="00CF68DD"/>
    <w:rsid w:val="00CF6952"/>
    <w:rsid w:val="00CF6A4F"/>
    <w:rsid w:val="00CF6AD4"/>
    <w:rsid w:val="00CF6B14"/>
    <w:rsid w:val="00CF6B9F"/>
    <w:rsid w:val="00CF6CBD"/>
    <w:rsid w:val="00CF6EF3"/>
    <w:rsid w:val="00CF7088"/>
    <w:rsid w:val="00CF7234"/>
    <w:rsid w:val="00CF7329"/>
    <w:rsid w:val="00CF739B"/>
    <w:rsid w:val="00CF73C0"/>
    <w:rsid w:val="00CF74A5"/>
    <w:rsid w:val="00CF7557"/>
    <w:rsid w:val="00CF7833"/>
    <w:rsid w:val="00CF784C"/>
    <w:rsid w:val="00CF78A9"/>
    <w:rsid w:val="00CF790C"/>
    <w:rsid w:val="00CF79E2"/>
    <w:rsid w:val="00CF7A92"/>
    <w:rsid w:val="00CF7B0C"/>
    <w:rsid w:val="00CF7B57"/>
    <w:rsid w:val="00CF7C6A"/>
    <w:rsid w:val="00CF7CF1"/>
    <w:rsid w:val="00CF7D04"/>
    <w:rsid w:val="00CF7D36"/>
    <w:rsid w:val="00CF7E7A"/>
    <w:rsid w:val="00D00021"/>
    <w:rsid w:val="00D0002E"/>
    <w:rsid w:val="00D00091"/>
    <w:rsid w:val="00D002F6"/>
    <w:rsid w:val="00D0051D"/>
    <w:rsid w:val="00D0053B"/>
    <w:rsid w:val="00D006D3"/>
    <w:rsid w:val="00D0082F"/>
    <w:rsid w:val="00D00840"/>
    <w:rsid w:val="00D0098F"/>
    <w:rsid w:val="00D00A29"/>
    <w:rsid w:val="00D00B0C"/>
    <w:rsid w:val="00D00B24"/>
    <w:rsid w:val="00D00F94"/>
    <w:rsid w:val="00D010B7"/>
    <w:rsid w:val="00D010F4"/>
    <w:rsid w:val="00D0136D"/>
    <w:rsid w:val="00D014F5"/>
    <w:rsid w:val="00D01590"/>
    <w:rsid w:val="00D01622"/>
    <w:rsid w:val="00D016E1"/>
    <w:rsid w:val="00D01717"/>
    <w:rsid w:val="00D01798"/>
    <w:rsid w:val="00D01902"/>
    <w:rsid w:val="00D01962"/>
    <w:rsid w:val="00D019E4"/>
    <w:rsid w:val="00D01B5C"/>
    <w:rsid w:val="00D01B79"/>
    <w:rsid w:val="00D01CFC"/>
    <w:rsid w:val="00D01D81"/>
    <w:rsid w:val="00D01E12"/>
    <w:rsid w:val="00D01F2B"/>
    <w:rsid w:val="00D01FF6"/>
    <w:rsid w:val="00D0202C"/>
    <w:rsid w:val="00D02215"/>
    <w:rsid w:val="00D02218"/>
    <w:rsid w:val="00D0221F"/>
    <w:rsid w:val="00D0224B"/>
    <w:rsid w:val="00D02318"/>
    <w:rsid w:val="00D0236E"/>
    <w:rsid w:val="00D023E4"/>
    <w:rsid w:val="00D02558"/>
    <w:rsid w:val="00D02574"/>
    <w:rsid w:val="00D02605"/>
    <w:rsid w:val="00D02747"/>
    <w:rsid w:val="00D02754"/>
    <w:rsid w:val="00D027C3"/>
    <w:rsid w:val="00D02970"/>
    <w:rsid w:val="00D02981"/>
    <w:rsid w:val="00D02CD4"/>
    <w:rsid w:val="00D02D9F"/>
    <w:rsid w:val="00D02DA4"/>
    <w:rsid w:val="00D02F16"/>
    <w:rsid w:val="00D02F4B"/>
    <w:rsid w:val="00D03145"/>
    <w:rsid w:val="00D031F6"/>
    <w:rsid w:val="00D031FE"/>
    <w:rsid w:val="00D03316"/>
    <w:rsid w:val="00D0346E"/>
    <w:rsid w:val="00D0356A"/>
    <w:rsid w:val="00D035D1"/>
    <w:rsid w:val="00D0386B"/>
    <w:rsid w:val="00D03ABB"/>
    <w:rsid w:val="00D03B16"/>
    <w:rsid w:val="00D03C2C"/>
    <w:rsid w:val="00D03C8A"/>
    <w:rsid w:val="00D03CA8"/>
    <w:rsid w:val="00D03CFB"/>
    <w:rsid w:val="00D03E3C"/>
    <w:rsid w:val="00D03F18"/>
    <w:rsid w:val="00D04150"/>
    <w:rsid w:val="00D042C8"/>
    <w:rsid w:val="00D044AC"/>
    <w:rsid w:val="00D044EC"/>
    <w:rsid w:val="00D04628"/>
    <w:rsid w:val="00D0470B"/>
    <w:rsid w:val="00D0496A"/>
    <w:rsid w:val="00D049C6"/>
    <w:rsid w:val="00D04A1F"/>
    <w:rsid w:val="00D04CBA"/>
    <w:rsid w:val="00D04DFD"/>
    <w:rsid w:val="00D050E5"/>
    <w:rsid w:val="00D050F7"/>
    <w:rsid w:val="00D050FF"/>
    <w:rsid w:val="00D052E8"/>
    <w:rsid w:val="00D05366"/>
    <w:rsid w:val="00D05448"/>
    <w:rsid w:val="00D05588"/>
    <w:rsid w:val="00D05612"/>
    <w:rsid w:val="00D05623"/>
    <w:rsid w:val="00D0564E"/>
    <w:rsid w:val="00D056CA"/>
    <w:rsid w:val="00D05818"/>
    <w:rsid w:val="00D05918"/>
    <w:rsid w:val="00D05A55"/>
    <w:rsid w:val="00D05B02"/>
    <w:rsid w:val="00D05B66"/>
    <w:rsid w:val="00D05B6D"/>
    <w:rsid w:val="00D05C5C"/>
    <w:rsid w:val="00D05C81"/>
    <w:rsid w:val="00D05CBD"/>
    <w:rsid w:val="00D0606A"/>
    <w:rsid w:val="00D0607A"/>
    <w:rsid w:val="00D06081"/>
    <w:rsid w:val="00D0610B"/>
    <w:rsid w:val="00D061E7"/>
    <w:rsid w:val="00D06340"/>
    <w:rsid w:val="00D063B4"/>
    <w:rsid w:val="00D063E8"/>
    <w:rsid w:val="00D0649D"/>
    <w:rsid w:val="00D064CF"/>
    <w:rsid w:val="00D06580"/>
    <w:rsid w:val="00D065BF"/>
    <w:rsid w:val="00D06968"/>
    <w:rsid w:val="00D06990"/>
    <w:rsid w:val="00D06AC8"/>
    <w:rsid w:val="00D06AEE"/>
    <w:rsid w:val="00D06C4E"/>
    <w:rsid w:val="00D06D06"/>
    <w:rsid w:val="00D06D1F"/>
    <w:rsid w:val="00D06D6E"/>
    <w:rsid w:val="00D06E43"/>
    <w:rsid w:val="00D0707D"/>
    <w:rsid w:val="00D0708F"/>
    <w:rsid w:val="00D072D4"/>
    <w:rsid w:val="00D072DE"/>
    <w:rsid w:val="00D07374"/>
    <w:rsid w:val="00D07384"/>
    <w:rsid w:val="00D0738F"/>
    <w:rsid w:val="00D07392"/>
    <w:rsid w:val="00D073A0"/>
    <w:rsid w:val="00D0744A"/>
    <w:rsid w:val="00D07656"/>
    <w:rsid w:val="00D076FE"/>
    <w:rsid w:val="00D07769"/>
    <w:rsid w:val="00D077A5"/>
    <w:rsid w:val="00D077EA"/>
    <w:rsid w:val="00D078DB"/>
    <w:rsid w:val="00D0795D"/>
    <w:rsid w:val="00D0798A"/>
    <w:rsid w:val="00D07BCA"/>
    <w:rsid w:val="00D07C02"/>
    <w:rsid w:val="00D07E69"/>
    <w:rsid w:val="00D07F84"/>
    <w:rsid w:val="00D07FB0"/>
    <w:rsid w:val="00D100A3"/>
    <w:rsid w:val="00D100A5"/>
    <w:rsid w:val="00D1017E"/>
    <w:rsid w:val="00D101A0"/>
    <w:rsid w:val="00D10269"/>
    <w:rsid w:val="00D10344"/>
    <w:rsid w:val="00D103AC"/>
    <w:rsid w:val="00D103BC"/>
    <w:rsid w:val="00D103E2"/>
    <w:rsid w:val="00D10484"/>
    <w:rsid w:val="00D104D3"/>
    <w:rsid w:val="00D1053C"/>
    <w:rsid w:val="00D106FA"/>
    <w:rsid w:val="00D10731"/>
    <w:rsid w:val="00D107E6"/>
    <w:rsid w:val="00D108F6"/>
    <w:rsid w:val="00D10A15"/>
    <w:rsid w:val="00D10A39"/>
    <w:rsid w:val="00D10AE4"/>
    <w:rsid w:val="00D10B8E"/>
    <w:rsid w:val="00D10CB7"/>
    <w:rsid w:val="00D10D40"/>
    <w:rsid w:val="00D10E14"/>
    <w:rsid w:val="00D10FA5"/>
    <w:rsid w:val="00D10FD0"/>
    <w:rsid w:val="00D10FF6"/>
    <w:rsid w:val="00D1138D"/>
    <w:rsid w:val="00D1138E"/>
    <w:rsid w:val="00D11485"/>
    <w:rsid w:val="00D116C6"/>
    <w:rsid w:val="00D11703"/>
    <w:rsid w:val="00D11806"/>
    <w:rsid w:val="00D11834"/>
    <w:rsid w:val="00D11A13"/>
    <w:rsid w:val="00D11A7D"/>
    <w:rsid w:val="00D11A93"/>
    <w:rsid w:val="00D11AF3"/>
    <w:rsid w:val="00D11C2D"/>
    <w:rsid w:val="00D11CAB"/>
    <w:rsid w:val="00D11CC7"/>
    <w:rsid w:val="00D11CED"/>
    <w:rsid w:val="00D11E05"/>
    <w:rsid w:val="00D11F0E"/>
    <w:rsid w:val="00D11F6D"/>
    <w:rsid w:val="00D11FAB"/>
    <w:rsid w:val="00D120A7"/>
    <w:rsid w:val="00D120D3"/>
    <w:rsid w:val="00D12125"/>
    <w:rsid w:val="00D1215D"/>
    <w:rsid w:val="00D122CC"/>
    <w:rsid w:val="00D12306"/>
    <w:rsid w:val="00D12377"/>
    <w:rsid w:val="00D123AC"/>
    <w:rsid w:val="00D12409"/>
    <w:rsid w:val="00D12412"/>
    <w:rsid w:val="00D126A5"/>
    <w:rsid w:val="00D12795"/>
    <w:rsid w:val="00D129CA"/>
    <w:rsid w:val="00D12B63"/>
    <w:rsid w:val="00D12BD7"/>
    <w:rsid w:val="00D12C9F"/>
    <w:rsid w:val="00D12CC3"/>
    <w:rsid w:val="00D12E6B"/>
    <w:rsid w:val="00D12E78"/>
    <w:rsid w:val="00D12E9F"/>
    <w:rsid w:val="00D12F7B"/>
    <w:rsid w:val="00D12FF6"/>
    <w:rsid w:val="00D131F3"/>
    <w:rsid w:val="00D13265"/>
    <w:rsid w:val="00D13360"/>
    <w:rsid w:val="00D135B7"/>
    <w:rsid w:val="00D1363D"/>
    <w:rsid w:val="00D13646"/>
    <w:rsid w:val="00D13660"/>
    <w:rsid w:val="00D13714"/>
    <w:rsid w:val="00D1390D"/>
    <w:rsid w:val="00D13B68"/>
    <w:rsid w:val="00D13B81"/>
    <w:rsid w:val="00D13D14"/>
    <w:rsid w:val="00D13D66"/>
    <w:rsid w:val="00D13E54"/>
    <w:rsid w:val="00D13EE6"/>
    <w:rsid w:val="00D13F0E"/>
    <w:rsid w:val="00D13F8E"/>
    <w:rsid w:val="00D140EA"/>
    <w:rsid w:val="00D1412C"/>
    <w:rsid w:val="00D14201"/>
    <w:rsid w:val="00D14238"/>
    <w:rsid w:val="00D14248"/>
    <w:rsid w:val="00D142A3"/>
    <w:rsid w:val="00D142FB"/>
    <w:rsid w:val="00D14332"/>
    <w:rsid w:val="00D1445C"/>
    <w:rsid w:val="00D145AD"/>
    <w:rsid w:val="00D145ED"/>
    <w:rsid w:val="00D1463E"/>
    <w:rsid w:val="00D14806"/>
    <w:rsid w:val="00D148F6"/>
    <w:rsid w:val="00D1494D"/>
    <w:rsid w:val="00D14A2C"/>
    <w:rsid w:val="00D14BC6"/>
    <w:rsid w:val="00D14C73"/>
    <w:rsid w:val="00D14D75"/>
    <w:rsid w:val="00D14E58"/>
    <w:rsid w:val="00D14EC5"/>
    <w:rsid w:val="00D14F60"/>
    <w:rsid w:val="00D1501B"/>
    <w:rsid w:val="00D151AA"/>
    <w:rsid w:val="00D154A4"/>
    <w:rsid w:val="00D155BE"/>
    <w:rsid w:val="00D15644"/>
    <w:rsid w:val="00D1572F"/>
    <w:rsid w:val="00D1574E"/>
    <w:rsid w:val="00D15780"/>
    <w:rsid w:val="00D157CA"/>
    <w:rsid w:val="00D1581B"/>
    <w:rsid w:val="00D15869"/>
    <w:rsid w:val="00D1593C"/>
    <w:rsid w:val="00D15B9B"/>
    <w:rsid w:val="00D15DBB"/>
    <w:rsid w:val="00D15DFD"/>
    <w:rsid w:val="00D15EA5"/>
    <w:rsid w:val="00D15F75"/>
    <w:rsid w:val="00D15FEC"/>
    <w:rsid w:val="00D16038"/>
    <w:rsid w:val="00D160B4"/>
    <w:rsid w:val="00D16207"/>
    <w:rsid w:val="00D1623B"/>
    <w:rsid w:val="00D163E0"/>
    <w:rsid w:val="00D16407"/>
    <w:rsid w:val="00D16577"/>
    <w:rsid w:val="00D16708"/>
    <w:rsid w:val="00D16792"/>
    <w:rsid w:val="00D16852"/>
    <w:rsid w:val="00D169AC"/>
    <w:rsid w:val="00D16A0A"/>
    <w:rsid w:val="00D16BAE"/>
    <w:rsid w:val="00D16C5E"/>
    <w:rsid w:val="00D16C7B"/>
    <w:rsid w:val="00D16CAC"/>
    <w:rsid w:val="00D17109"/>
    <w:rsid w:val="00D1718D"/>
    <w:rsid w:val="00D171C3"/>
    <w:rsid w:val="00D171F2"/>
    <w:rsid w:val="00D1721E"/>
    <w:rsid w:val="00D1726B"/>
    <w:rsid w:val="00D17288"/>
    <w:rsid w:val="00D1757B"/>
    <w:rsid w:val="00D17704"/>
    <w:rsid w:val="00D17738"/>
    <w:rsid w:val="00D177A6"/>
    <w:rsid w:val="00D17832"/>
    <w:rsid w:val="00D17850"/>
    <w:rsid w:val="00D17918"/>
    <w:rsid w:val="00D179A7"/>
    <w:rsid w:val="00D17A02"/>
    <w:rsid w:val="00D17CEF"/>
    <w:rsid w:val="00D17EE2"/>
    <w:rsid w:val="00D17F3A"/>
    <w:rsid w:val="00D20204"/>
    <w:rsid w:val="00D20238"/>
    <w:rsid w:val="00D20477"/>
    <w:rsid w:val="00D20692"/>
    <w:rsid w:val="00D20BDB"/>
    <w:rsid w:val="00D20C94"/>
    <w:rsid w:val="00D20CA0"/>
    <w:rsid w:val="00D20CDD"/>
    <w:rsid w:val="00D20D7A"/>
    <w:rsid w:val="00D20DB2"/>
    <w:rsid w:val="00D20DD1"/>
    <w:rsid w:val="00D20E31"/>
    <w:rsid w:val="00D20EED"/>
    <w:rsid w:val="00D20FAC"/>
    <w:rsid w:val="00D20FFC"/>
    <w:rsid w:val="00D21035"/>
    <w:rsid w:val="00D2112C"/>
    <w:rsid w:val="00D212E7"/>
    <w:rsid w:val="00D2139C"/>
    <w:rsid w:val="00D213AF"/>
    <w:rsid w:val="00D213C2"/>
    <w:rsid w:val="00D21404"/>
    <w:rsid w:val="00D2149B"/>
    <w:rsid w:val="00D215D5"/>
    <w:rsid w:val="00D215E6"/>
    <w:rsid w:val="00D2162F"/>
    <w:rsid w:val="00D2166F"/>
    <w:rsid w:val="00D21774"/>
    <w:rsid w:val="00D217B1"/>
    <w:rsid w:val="00D21A93"/>
    <w:rsid w:val="00D21B5F"/>
    <w:rsid w:val="00D21CED"/>
    <w:rsid w:val="00D21DB0"/>
    <w:rsid w:val="00D21DE6"/>
    <w:rsid w:val="00D2208A"/>
    <w:rsid w:val="00D220EC"/>
    <w:rsid w:val="00D222C9"/>
    <w:rsid w:val="00D222F7"/>
    <w:rsid w:val="00D2232B"/>
    <w:rsid w:val="00D2236D"/>
    <w:rsid w:val="00D223D0"/>
    <w:rsid w:val="00D22412"/>
    <w:rsid w:val="00D2245D"/>
    <w:rsid w:val="00D224D8"/>
    <w:rsid w:val="00D22602"/>
    <w:rsid w:val="00D2261E"/>
    <w:rsid w:val="00D2268A"/>
    <w:rsid w:val="00D226CB"/>
    <w:rsid w:val="00D22734"/>
    <w:rsid w:val="00D227BE"/>
    <w:rsid w:val="00D2285E"/>
    <w:rsid w:val="00D2296F"/>
    <w:rsid w:val="00D22AB9"/>
    <w:rsid w:val="00D22CCE"/>
    <w:rsid w:val="00D22E08"/>
    <w:rsid w:val="00D22F7C"/>
    <w:rsid w:val="00D2327D"/>
    <w:rsid w:val="00D232CE"/>
    <w:rsid w:val="00D233E1"/>
    <w:rsid w:val="00D23444"/>
    <w:rsid w:val="00D234BA"/>
    <w:rsid w:val="00D235FD"/>
    <w:rsid w:val="00D2379A"/>
    <w:rsid w:val="00D237A1"/>
    <w:rsid w:val="00D237B8"/>
    <w:rsid w:val="00D238D8"/>
    <w:rsid w:val="00D23A18"/>
    <w:rsid w:val="00D23A26"/>
    <w:rsid w:val="00D23A38"/>
    <w:rsid w:val="00D23A90"/>
    <w:rsid w:val="00D23E0E"/>
    <w:rsid w:val="00D23E4E"/>
    <w:rsid w:val="00D23E79"/>
    <w:rsid w:val="00D23E91"/>
    <w:rsid w:val="00D23F26"/>
    <w:rsid w:val="00D24059"/>
    <w:rsid w:val="00D240A1"/>
    <w:rsid w:val="00D240FB"/>
    <w:rsid w:val="00D240FC"/>
    <w:rsid w:val="00D24136"/>
    <w:rsid w:val="00D24256"/>
    <w:rsid w:val="00D2430E"/>
    <w:rsid w:val="00D2437D"/>
    <w:rsid w:val="00D243AF"/>
    <w:rsid w:val="00D243CE"/>
    <w:rsid w:val="00D244A5"/>
    <w:rsid w:val="00D244C2"/>
    <w:rsid w:val="00D245FA"/>
    <w:rsid w:val="00D246E7"/>
    <w:rsid w:val="00D2472E"/>
    <w:rsid w:val="00D248B8"/>
    <w:rsid w:val="00D248D8"/>
    <w:rsid w:val="00D249B9"/>
    <w:rsid w:val="00D24AE6"/>
    <w:rsid w:val="00D24BE3"/>
    <w:rsid w:val="00D24C26"/>
    <w:rsid w:val="00D24C61"/>
    <w:rsid w:val="00D24C66"/>
    <w:rsid w:val="00D24E03"/>
    <w:rsid w:val="00D24E9B"/>
    <w:rsid w:val="00D24FF5"/>
    <w:rsid w:val="00D2502D"/>
    <w:rsid w:val="00D250D9"/>
    <w:rsid w:val="00D2513F"/>
    <w:rsid w:val="00D2521B"/>
    <w:rsid w:val="00D25239"/>
    <w:rsid w:val="00D2525E"/>
    <w:rsid w:val="00D25376"/>
    <w:rsid w:val="00D253EB"/>
    <w:rsid w:val="00D2557A"/>
    <w:rsid w:val="00D25596"/>
    <w:rsid w:val="00D2593A"/>
    <w:rsid w:val="00D2593F"/>
    <w:rsid w:val="00D25B7A"/>
    <w:rsid w:val="00D25CA9"/>
    <w:rsid w:val="00D26559"/>
    <w:rsid w:val="00D26717"/>
    <w:rsid w:val="00D26862"/>
    <w:rsid w:val="00D268A5"/>
    <w:rsid w:val="00D268AC"/>
    <w:rsid w:val="00D268E2"/>
    <w:rsid w:val="00D269FA"/>
    <w:rsid w:val="00D26A1A"/>
    <w:rsid w:val="00D26A4C"/>
    <w:rsid w:val="00D26BFD"/>
    <w:rsid w:val="00D26CA4"/>
    <w:rsid w:val="00D26DAB"/>
    <w:rsid w:val="00D26E0D"/>
    <w:rsid w:val="00D26E7C"/>
    <w:rsid w:val="00D26EA1"/>
    <w:rsid w:val="00D26EF0"/>
    <w:rsid w:val="00D26F84"/>
    <w:rsid w:val="00D26F9F"/>
    <w:rsid w:val="00D26FFA"/>
    <w:rsid w:val="00D272A5"/>
    <w:rsid w:val="00D2739F"/>
    <w:rsid w:val="00D27467"/>
    <w:rsid w:val="00D27469"/>
    <w:rsid w:val="00D27526"/>
    <w:rsid w:val="00D2764B"/>
    <w:rsid w:val="00D27741"/>
    <w:rsid w:val="00D27894"/>
    <w:rsid w:val="00D278DB"/>
    <w:rsid w:val="00D27A9D"/>
    <w:rsid w:val="00D27B3B"/>
    <w:rsid w:val="00D27BFE"/>
    <w:rsid w:val="00D27C04"/>
    <w:rsid w:val="00D27F38"/>
    <w:rsid w:val="00D27F4A"/>
    <w:rsid w:val="00D3007F"/>
    <w:rsid w:val="00D300C9"/>
    <w:rsid w:val="00D30264"/>
    <w:rsid w:val="00D30287"/>
    <w:rsid w:val="00D30303"/>
    <w:rsid w:val="00D30330"/>
    <w:rsid w:val="00D3048E"/>
    <w:rsid w:val="00D3057D"/>
    <w:rsid w:val="00D3059A"/>
    <w:rsid w:val="00D305A4"/>
    <w:rsid w:val="00D30729"/>
    <w:rsid w:val="00D307ED"/>
    <w:rsid w:val="00D30854"/>
    <w:rsid w:val="00D308AC"/>
    <w:rsid w:val="00D308B6"/>
    <w:rsid w:val="00D30B8A"/>
    <w:rsid w:val="00D30D35"/>
    <w:rsid w:val="00D30D43"/>
    <w:rsid w:val="00D30E8D"/>
    <w:rsid w:val="00D30F96"/>
    <w:rsid w:val="00D30FD9"/>
    <w:rsid w:val="00D30FF2"/>
    <w:rsid w:val="00D3113D"/>
    <w:rsid w:val="00D31264"/>
    <w:rsid w:val="00D312A6"/>
    <w:rsid w:val="00D312B3"/>
    <w:rsid w:val="00D312E4"/>
    <w:rsid w:val="00D3132F"/>
    <w:rsid w:val="00D31344"/>
    <w:rsid w:val="00D31370"/>
    <w:rsid w:val="00D3140D"/>
    <w:rsid w:val="00D31471"/>
    <w:rsid w:val="00D31580"/>
    <w:rsid w:val="00D31653"/>
    <w:rsid w:val="00D31704"/>
    <w:rsid w:val="00D318AF"/>
    <w:rsid w:val="00D31A33"/>
    <w:rsid w:val="00D31CAE"/>
    <w:rsid w:val="00D320B7"/>
    <w:rsid w:val="00D320F3"/>
    <w:rsid w:val="00D3218C"/>
    <w:rsid w:val="00D322BB"/>
    <w:rsid w:val="00D322FF"/>
    <w:rsid w:val="00D323B8"/>
    <w:rsid w:val="00D323DE"/>
    <w:rsid w:val="00D324EC"/>
    <w:rsid w:val="00D32569"/>
    <w:rsid w:val="00D326F2"/>
    <w:rsid w:val="00D3290E"/>
    <w:rsid w:val="00D32977"/>
    <w:rsid w:val="00D32A12"/>
    <w:rsid w:val="00D32B2E"/>
    <w:rsid w:val="00D32D28"/>
    <w:rsid w:val="00D32DFB"/>
    <w:rsid w:val="00D32E2B"/>
    <w:rsid w:val="00D32F04"/>
    <w:rsid w:val="00D32FBC"/>
    <w:rsid w:val="00D32FD4"/>
    <w:rsid w:val="00D33032"/>
    <w:rsid w:val="00D330C0"/>
    <w:rsid w:val="00D330CF"/>
    <w:rsid w:val="00D330EC"/>
    <w:rsid w:val="00D3316A"/>
    <w:rsid w:val="00D3319F"/>
    <w:rsid w:val="00D33224"/>
    <w:rsid w:val="00D33246"/>
    <w:rsid w:val="00D3329B"/>
    <w:rsid w:val="00D332CE"/>
    <w:rsid w:val="00D33389"/>
    <w:rsid w:val="00D333EB"/>
    <w:rsid w:val="00D335A6"/>
    <w:rsid w:val="00D33637"/>
    <w:rsid w:val="00D338CF"/>
    <w:rsid w:val="00D338FD"/>
    <w:rsid w:val="00D3390C"/>
    <w:rsid w:val="00D33986"/>
    <w:rsid w:val="00D339E7"/>
    <w:rsid w:val="00D33AAA"/>
    <w:rsid w:val="00D33B21"/>
    <w:rsid w:val="00D33B25"/>
    <w:rsid w:val="00D33B55"/>
    <w:rsid w:val="00D33D6B"/>
    <w:rsid w:val="00D33E01"/>
    <w:rsid w:val="00D33E17"/>
    <w:rsid w:val="00D33E22"/>
    <w:rsid w:val="00D33F82"/>
    <w:rsid w:val="00D33F92"/>
    <w:rsid w:val="00D340D7"/>
    <w:rsid w:val="00D342AB"/>
    <w:rsid w:val="00D3431E"/>
    <w:rsid w:val="00D343E0"/>
    <w:rsid w:val="00D3459B"/>
    <w:rsid w:val="00D34604"/>
    <w:rsid w:val="00D346C5"/>
    <w:rsid w:val="00D34798"/>
    <w:rsid w:val="00D34967"/>
    <w:rsid w:val="00D34A60"/>
    <w:rsid w:val="00D34ADB"/>
    <w:rsid w:val="00D34DE3"/>
    <w:rsid w:val="00D35131"/>
    <w:rsid w:val="00D352D1"/>
    <w:rsid w:val="00D352E6"/>
    <w:rsid w:val="00D3538E"/>
    <w:rsid w:val="00D353C7"/>
    <w:rsid w:val="00D355AC"/>
    <w:rsid w:val="00D355B3"/>
    <w:rsid w:val="00D3575A"/>
    <w:rsid w:val="00D357B8"/>
    <w:rsid w:val="00D358AA"/>
    <w:rsid w:val="00D358CF"/>
    <w:rsid w:val="00D35919"/>
    <w:rsid w:val="00D35928"/>
    <w:rsid w:val="00D35951"/>
    <w:rsid w:val="00D35A64"/>
    <w:rsid w:val="00D35A6E"/>
    <w:rsid w:val="00D35DEB"/>
    <w:rsid w:val="00D35EB4"/>
    <w:rsid w:val="00D35EFE"/>
    <w:rsid w:val="00D35F0E"/>
    <w:rsid w:val="00D35F92"/>
    <w:rsid w:val="00D36140"/>
    <w:rsid w:val="00D3616E"/>
    <w:rsid w:val="00D361D8"/>
    <w:rsid w:val="00D3637E"/>
    <w:rsid w:val="00D363B0"/>
    <w:rsid w:val="00D364E2"/>
    <w:rsid w:val="00D364E7"/>
    <w:rsid w:val="00D36595"/>
    <w:rsid w:val="00D3682B"/>
    <w:rsid w:val="00D36918"/>
    <w:rsid w:val="00D36989"/>
    <w:rsid w:val="00D36A81"/>
    <w:rsid w:val="00D36AC1"/>
    <w:rsid w:val="00D36C15"/>
    <w:rsid w:val="00D36C49"/>
    <w:rsid w:val="00D36D13"/>
    <w:rsid w:val="00D36DCD"/>
    <w:rsid w:val="00D36EF8"/>
    <w:rsid w:val="00D36FFC"/>
    <w:rsid w:val="00D370D5"/>
    <w:rsid w:val="00D371A1"/>
    <w:rsid w:val="00D37241"/>
    <w:rsid w:val="00D3739F"/>
    <w:rsid w:val="00D373EC"/>
    <w:rsid w:val="00D3753C"/>
    <w:rsid w:val="00D378B1"/>
    <w:rsid w:val="00D378C1"/>
    <w:rsid w:val="00D379CD"/>
    <w:rsid w:val="00D37AAA"/>
    <w:rsid w:val="00D37AB2"/>
    <w:rsid w:val="00D37BF1"/>
    <w:rsid w:val="00D37BF3"/>
    <w:rsid w:val="00D37C0D"/>
    <w:rsid w:val="00D37C85"/>
    <w:rsid w:val="00D37DFC"/>
    <w:rsid w:val="00D37E14"/>
    <w:rsid w:val="00D37E52"/>
    <w:rsid w:val="00D37F74"/>
    <w:rsid w:val="00D4005A"/>
    <w:rsid w:val="00D40078"/>
    <w:rsid w:val="00D4009E"/>
    <w:rsid w:val="00D40224"/>
    <w:rsid w:val="00D40334"/>
    <w:rsid w:val="00D4033F"/>
    <w:rsid w:val="00D4042A"/>
    <w:rsid w:val="00D40475"/>
    <w:rsid w:val="00D405AD"/>
    <w:rsid w:val="00D405FF"/>
    <w:rsid w:val="00D40837"/>
    <w:rsid w:val="00D4088C"/>
    <w:rsid w:val="00D408B3"/>
    <w:rsid w:val="00D40979"/>
    <w:rsid w:val="00D409B6"/>
    <w:rsid w:val="00D40A9C"/>
    <w:rsid w:val="00D40E0F"/>
    <w:rsid w:val="00D40FEF"/>
    <w:rsid w:val="00D410B9"/>
    <w:rsid w:val="00D410C2"/>
    <w:rsid w:val="00D410C9"/>
    <w:rsid w:val="00D410E0"/>
    <w:rsid w:val="00D410EC"/>
    <w:rsid w:val="00D41106"/>
    <w:rsid w:val="00D41271"/>
    <w:rsid w:val="00D41478"/>
    <w:rsid w:val="00D41566"/>
    <w:rsid w:val="00D41596"/>
    <w:rsid w:val="00D415EA"/>
    <w:rsid w:val="00D4170B"/>
    <w:rsid w:val="00D41752"/>
    <w:rsid w:val="00D4181C"/>
    <w:rsid w:val="00D419CA"/>
    <w:rsid w:val="00D419E8"/>
    <w:rsid w:val="00D41A7B"/>
    <w:rsid w:val="00D41B8A"/>
    <w:rsid w:val="00D41DF0"/>
    <w:rsid w:val="00D41EA8"/>
    <w:rsid w:val="00D41F29"/>
    <w:rsid w:val="00D41FD6"/>
    <w:rsid w:val="00D4245E"/>
    <w:rsid w:val="00D425E9"/>
    <w:rsid w:val="00D4291C"/>
    <w:rsid w:val="00D4296D"/>
    <w:rsid w:val="00D42B75"/>
    <w:rsid w:val="00D42C0A"/>
    <w:rsid w:val="00D42C36"/>
    <w:rsid w:val="00D42D76"/>
    <w:rsid w:val="00D42EB7"/>
    <w:rsid w:val="00D42F52"/>
    <w:rsid w:val="00D430A4"/>
    <w:rsid w:val="00D433FE"/>
    <w:rsid w:val="00D4351D"/>
    <w:rsid w:val="00D43545"/>
    <w:rsid w:val="00D43620"/>
    <w:rsid w:val="00D43680"/>
    <w:rsid w:val="00D4369D"/>
    <w:rsid w:val="00D436BA"/>
    <w:rsid w:val="00D436D7"/>
    <w:rsid w:val="00D43751"/>
    <w:rsid w:val="00D437A9"/>
    <w:rsid w:val="00D4396F"/>
    <w:rsid w:val="00D43A7C"/>
    <w:rsid w:val="00D43BBA"/>
    <w:rsid w:val="00D43CD6"/>
    <w:rsid w:val="00D43CFC"/>
    <w:rsid w:val="00D43E47"/>
    <w:rsid w:val="00D43EBC"/>
    <w:rsid w:val="00D43EDF"/>
    <w:rsid w:val="00D43FCA"/>
    <w:rsid w:val="00D440DB"/>
    <w:rsid w:val="00D44348"/>
    <w:rsid w:val="00D443CF"/>
    <w:rsid w:val="00D44486"/>
    <w:rsid w:val="00D444FC"/>
    <w:rsid w:val="00D4463C"/>
    <w:rsid w:val="00D446FC"/>
    <w:rsid w:val="00D44763"/>
    <w:rsid w:val="00D44806"/>
    <w:rsid w:val="00D449D6"/>
    <w:rsid w:val="00D44B2E"/>
    <w:rsid w:val="00D44BC1"/>
    <w:rsid w:val="00D44BD8"/>
    <w:rsid w:val="00D44C82"/>
    <w:rsid w:val="00D45072"/>
    <w:rsid w:val="00D45102"/>
    <w:rsid w:val="00D451E2"/>
    <w:rsid w:val="00D451F1"/>
    <w:rsid w:val="00D45200"/>
    <w:rsid w:val="00D454B7"/>
    <w:rsid w:val="00D45588"/>
    <w:rsid w:val="00D455F0"/>
    <w:rsid w:val="00D45693"/>
    <w:rsid w:val="00D456F3"/>
    <w:rsid w:val="00D45AE8"/>
    <w:rsid w:val="00D45B18"/>
    <w:rsid w:val="00D45B31"/>
    <w:rsid w:val="00D45BBD"/>
    <w:rsid w:val="00D45BF8"/>
    <w:rsid w:val="00D45C08"/>
    <w:rsid w:val="00D45C4F"/>
    <w:rsid w:val="00D4615B"/>
    <w:rsid w:val="00D461DC"/>
    <w:rsid w:val="00D461DD"/>
    <w:rsid w:val="00D461F2"/>
    <w:rsid w:val="00D463C2"/>
    <w:rsid w:val="00D463F1"/>
    <w:rsid w:val="00D46451"/>
    <w:rsid w:val="00D46547"/>
    <w:rsid w:val="00D4657D"/>
    <w:rsid w:val="00D46611"/>
    <w:rsid w:val="00D467CF"/>
    <w:rsid w:val="00D467FA"/>
    <w:rsid w:val="00D469C4"/>
    <w:rsid w:val="00D46B6E"/>
    <w:rsid w:val="00D46B90"/>
    <w:rsid w:val="00D46BCD"/>
    <w:rsid w:val="00D46D70"/>
    <w:rsid w:val="00D46E50"/>
    <w:rsid w:val="00D46E96"/>
    <w:rsid w:val="00D46EE2"/>
    <w:rsid w:val="00D4713E"/>
    <w:rsid w:val="00D47199"/>
    <w:rsid w:val="00D471E0"/>
    <w:rsid w:val="00D4723A"/>
    <w:rsid w:val="00D4726A"/>
    <w:rsid w:val="00D472F2"/>
    <w:rsid w:val="00D4730D"/>
    <w:rsid w:val="00D4740C"/>
    <w:rsid w:val="00D47632"/>
    <w:rsid w:val="00D476A2"/>
    <w:rsid w:val="00D4770C"/>
    <w:rsid w:val="00D47812"/>
    <w:rsid w:val="00D478C3"/>
    <w:rsid w:val="00D47948"/>
    <w:rsid w:val="00D479D1"/>
    <w:rsid w:val="00D47CCB"/>
    <w:rsid w:val="00D47E02"/>
    <w:rsid w:val="00D5009D"/>
    <w:rsid w:val="00D5023B"/>
    <w:rsid w:val="00D502AF"/>
    <w:rsid w:val="00D502C2"/>
    <w:rsid w:val="00D504AE"/>
    <w:rsid w:val="00D50598"/>
    <w:rsid w:val="00D50668"/>
    <w:rsid w:val="00D5067C"/>
    <w:rsid w:val="00D5077E"/>
    <w:rsid w:val="00D507AF"/>
    <w:rsid w:val="00D507B2"/>
    <w:rsid w:val="00D508A1"/>
    <w:rsid w:val="00D50ACA"/>
    <w:rsid w:val="00D50CBD"/>
    <w:rsid w:val="00D50F11"/>
    <w:rsid w:val="00D51224"/>
    <w:rsid w:val="00D51287"/>
    <w:rsid w:val="00D51436"/>
    <w:rsid w:val="00D514A7"/>
    <w:rsid w:val="00D51550"/>
    <w:rsid w:val="00D5156A"/>
    <w:rsid w:val="00D51748"/>
    <w:rsid w:val="00D51760"/>
    <w:rsid w:val="00D51B59"/>
    <w:rsid w:val="00D51C59"/>
    <w:rsid w:val="00D51CA2"/>
    <w:rsid w:val="00D51CF9"/>
    <w:rsid w:val="00D51E1C"/>
    <w:rsid w:val="00D51E5D"/>
    <w:rsid w:val="00D51F5F"/>
    <w:rsid w:val="00D52045"/>
    <w:rsid w:val="00D5210E"/>
    <w:rsid w:val="00D52268"/>
    <w:rsid w:val="00D52412"/>
    <w:rsid w:val="00D5242E"/>
    <w:rsid w:val="00D5242F"/>
    <w:rsid w:val="00D5248C"/>
    <w:rsid w:val="00D526CF"/>
    <w:rsid w:val="00D52965"/>
    <w:rsid w:val="00D529B6"/>
    <w:rsid w:val="00D52A93"/>
    <w:rsid w:val="00D52B1F"/>
    <w:rsid w:val="00D52BDA"/>
    <w:rsid w:val="00D52DC9"/>
    <w:rsid w:val="00D52EB6"/>
    <w:rsid w:val="00D52ECE"/>
    <w:rsid w:val="00D52F32"/>
    <w:rsid w:val="00D52F4B"/>
    <w:rsid w:val="00D53102"/>
    <w:rsid w:val="00D5310F"/>
    <w:rsid w:val="00D53176"/>
    <w:rsid w:val="00D53323"/>
    <w:rsid w:val="00D534BB"/>
    <w:rsid w:val="00D53521"/>
    <w:rsid w:val="00D535DC"/>
    <w:rsid w:val="00D535FF"/>
    <w:rsid w:val="00D5362A"/>
    <w:rsid w:val="00D5394D"/>
    <w:rsid w:val="00D539D3"/>
    <w:rsid w:val="00D53A32"/>
    <w:rsid w:val="00D53B0F"/>
    <w:rsid w:val="00D53B61"/>
    <w:rsid w:val="00D53BFB"/>
    <w:rsid w:val="00D53CA2"/>
    <w:rsid w:val="00D53DE2"/>
    <w:rsid w:val="00D53EB6"/>
    <w:rsid w:val="00D53F61"/>
    <w:rsid w:val="00D540C3"/>
    <w:rsid w:val="00D540EE"/>
    <w:rsid w:val="00D5411C"/>
    <w:rsid w:val="00D54137"/>
    <w:rsid w:val="00D54161"/>
    <w:rsid w:val="00D54179"/>
    <w:rsid w:val="00D54250"/>
    <w:rsid w:val="00D5425B"/>
    <w:rsid w:val="00D5433F"/>
    <w:rsid w:val="00D54350"/>
    <w:rsid w:val="00D54426"/>
    <w:rsid w:val="00D54449"/>
    <w:rsid w:val="00D544D0"/>
    <w:rsid w:val="00D5458A"/>
    <w:rsid w:val="00D546BD"/>
    <w:rsid w:val="00D546FC"/>
    <w:rsid w:val="00D54861"/>
    <w:rsid w:val="00D54CA4"/>
    <w:rsid w:val="00D54E7A"/>
    <w:rsid w:val="00D55110"/>
    <w:rsid w:val="00D5525E"/>
    <w:rsid w:val="00D5537A"/>
    <w:rsid w:val="00D553E2"/>
    <w:rsid w:val="00D554F0"/>
    <w:rsid w:val="00D557E9"/>
    <w:rsid w:val="00D558A7"/>
    <w:rsid w:val="00D558C5"/>
    <w:rsid w:val="00D559B4"/>
    <w:rsid w:val="00D55A46"/>
    <w:rsid w:val="00D55A92"/>
    <w:rsid w:val="00D55A9A"/>
    <w:rsid w:val="00D55E34"/>
    <w:rsid w:val="00D55EDE"/>
    <w:rsid w:val="00D55F27"/>
    <w:rsid w:val="00D55FE4"/>
    <w:rsid w:val="00D560A1"/>
    <w:rsid w:val="00D5614E"/>
    <w:rsid w:val="00D5624D"/>
    <w:rsid w:val="00D56263"/>
    <w:rsid w:val="00D562E0"/>
    <w:rsid w:val="00D5636A"/>
    <w:rsid w:val="00D5647D"/>
    <w:rsid w:val="00D5656C"/>
    <w:rsid w:val="00D56575"/>
    <w:rsid w:val="00D56673"/>
    <w:rsid w:val="00D566A4"/>
    <w:rsid w:val="00D566D7"/>
    <w:rsid w:val="00D566EE"/>
    <w:rsid w:val="00D5677A"/>
    <w:rsid w:val="00D568BB"/>
    <w:rsid w:val="00D56A32"/>
    <w:rsid w:val="00D56A49"/>
    <w:rsid w:val="00D56A52"/>
    <w:rsid w:val="00D56AA8"/>
    <w:rsid w:val="00D56AEE"/>
    <w:rsid w:val="00D56B15"/>
    <w:rsid w:val="00D56BEA"/>
    <w:rsid w:val="00D56C0E"/>
    <w:rsid w:val="00D56CBC"/>
    <w:rsid w:val="00D56CD9"/>
    <w:rsid w:val="00D56DFC"/>
    <w:rsid w:val="00D56E5E"/>
    <w:rsid w:val="00D56EA2"/>
    <w:rsid w:val="00D56EBE"/>
    <w:rsid w:val="00D56FB7"/>
    <w:rsid w:val="00D5701F"/>
    <w:rsid w:val="00D57027"/>
    <w:rsid w:val="00D5704C"/>
    <w:rsid w:val="00D571E2"/>
    <w:rsid w:val="00D5729E"/>
    <w:rsid w:val="00D5731A"/>
    <w:rsid w:val="00D57388"/>
    <w:rsid w:val="00D5740D"/>
    <w:rsid w:val="00D5742B"/>
    <w:rsid w:val="00D574AB"/>
    <w:rsid w:val="00D57537"/>
    <w:rsid w:val="00D57636"/>
    <w:rsid w:val="00D5768F"/>
    <w:rsid w:val="00D578BB"/>
    <w:rsid w:val="00D57925"/>
    <w:rsid w:val="00D57AD3"/>
    <w:rsid w:val="00D57B0B"/>
    <w:rsid w:val="00D57B2E"/>
    <w:rsid w:val="00D57B38"/>
    <w:rsid w:val="00D57B81"/>
    <w:rsid w:val="00D57BB3"/>
    <w:rsid w:val="00D57CC0"/>
    <w:rsid w:val="00D57D47"/>
    <w:rsid w:val="00D57E9E"/>
    <w:rsid w:val="00D57F89"/>
    <w:rsid w:val="00D57FC2"/>
    <w:rsid w:val="00D600B8"/>
    <w:rsid w:val="00D60119"/>
    <w:rsid w:val="00D60198"/>
    <w:rsid w:val="00D601DB"/>
    <w:rsid w:val="00D60226"/>
    <w:rsid w:val="00D6028B"/>
    <w:rsid w:val="00D603EB"/>
    <w:rsid w:val="00D603F7"/>
    <w:rsid w:val="00D60447"/>
    <w:rsid w:val="00D6048C"/>
    <w:rsid w:val="00D60615"/>
    <w:rsid w:val="00D60626"/>
    <w:rsid w:val="00D606A9"/>
    <w:rsid w:val="00D607BC"/>
    <w:rsid w:val="00D60820"/>
    <w:rsid w:val="00D608C0"/>
    <w:rsid w:val="00D609CA"/>
    <w:rsid w:val="00D60B4D"/>
    <w:rsid w:val="00D60C7A"/>
    <w:rsid w:val="00D60D06"/>
    <w:rsid w:val="00D60DAD"/>
    <w:rsid w:val="00D60E1D"/>
    <w:rsid w:val="00D60E98"/>
    <w:rsid w:val="00D60EEF"/>
    <w:rsid w:val="00D60F92"/>
    <w:rsid w:val="00D61009"/>
    <w:rsid w:val="00D610AA"/>
    <w:rsid w:val="00D6112A"/>
    <w:rsid w:val="00D6153C"/>
    <w:rsid w:val="00D6160E"/>
    <w:rsid w:val="00D6165D"/>
    <w:rsid w:val="00D61664"/>
    <w:rsid w:val="00D61854"/>
    <w:rsid w:val="00D618BF"/>
    <w:rsid w:val="00D6193A"/>
    <w:rsid w:val="00D619A0"/>
    <w:rsid w:val="00D61AAB"/>
    <w:rsid w:val="00D61ABE"/>
    <w:rsid w:val="00D61CE3"/>
    <w:rsid w:val="00D61D31"/>
    <w:rsid w:val="00D61E10"/>
    <w:rsid w:val="00D61EFE"/>
    <w:rsid w:val="00D6209A"/>
    <w:rsid w:val="00D62190"/>
    <w:rsid w:val="00D6222C"/>
    <w:rsid w:val="00D622AA"/>
    <w:rsid w:val="00D6247A"/>
    <w:rsid w:val="00D62492"/>
    <w:rsid w:val="00D62498"/>
    <w:rsid w:val="00D625CC"/>
    <w:rsid w:val="00D6265F"/>
    <w:rsid w:val="00D6267C"/>
    <w:rsid w:val="00D62701"/>
    <w:rsid w:val="00D6281E"/>
    <w:rsid w:val="00D6284C"/>
    <w:rsid w:val="00D62888"/>
    <w:rsid w:val="00D62B57"/>
    <w:rsid w:val="00D62D30"/>
    <w:rsid w:val="00D62ED7"/>
    <w:rsid w:val="00D62F58"/>
    <w:rsid w:val="00D62F7E"/>
    <w:rsid w:val="00D62FF8"/>
    <w:rsid w:val="00D63041"/>
    <w:rsid w:val="00D631AA"/>
    <w:rsid w:val="00D6336B"/>
    <w:rsid w:val="00D63701"/>
    <w:rsid w:val="00D63751"/>
    <w:rsid w:val="00D63823"/>
    <w:rsid w:val="00D638BC"/>
    <w:rsid w:val="00D639DD"/>
    <w:rsid w:val="00D63C3E"/>
    <w:rsid w:val="00D63C9F"/>
    <w:rsid w:val="00D63D13"/>
    <w:rsid w:val="00D63D5E"/>
    <w:rsid w:val="00D63DEE"/>
    <w:rsid w:val="00D63E61"/>
    <w:rsid w:val="00D63E71"/>
    <w:rsid w:val="00D63E84"/>
    <w:rsid w:val="00D63EE8"/>
    <w:rsid w:val="00D64061"/>
    <w:rsid w:val="00D640F7"/>
    <w:rsid w:val="00D64125"/>
    <w:rsid w:val="00D64165"/>
    <w:rsid w:val="00D64233"/>
    <w:rsid w:val="00D6427E"/>
    <w:rsid w:val="00D64290"/>
    <w:rsid w:val="00D642B1"/>
    <w:rsid w:val="00D6439A"/>
    <w:rsid w:val="00D64427"/>
    <w:rsid w:val="00D644ED"/>
    <w:rsid w:val="00D645D6"/>
    <w:rsid w:val="00D645E4"/>
    <w:rsid w:val="00D64618"/>
    <w:rsid w:val="00D647D4"/>
    <w:rsid w:val="00D64863"/>
    <w:rsid w:val="00D648B8"/>
    <w:rsid w:val="00D649CD"/>
    <w:rsid w:val="00D64A08"/>
    <w:rsid w:val="00D64B3B"/>
    <w:rsid w:val="00D64B49"/>
    <w:rsid w:val="00D64B7D"/>
    <w:rsid w:val="00D64BB8"/>
    <w:rsid w:val="00D64BE3"/>
    <w:rsid w:val="00D64C2A"/>
    <w:rsid w:val="00D64D75"/>
    <w:rsid w:val="00D64DC8"/>
    <w:rsid w:val="00D64EE4"/>
    <w:rsid w:val="00D64F10"/>
    <w:rsid w:val="00D64FAC"/>
    <w:rsid w:val="00D651AA"/>
    <w:rsid w:val="00D651B1"/>
    <w:rsid w:val="00D652BF"/>
    <w:rsid w:val="00D6538D"/>
    <w:rsid w:val="00D653AB"/>
    <w:rsid w:val="00D65522"/>
    <w:rsid w:val="00D656B9"/>
    <w:rsid w:val="00D656C0"/>
    <w:rsid w:val="00D6576F"/>
    <w:rsid w:val="00D657E9"/>
    <w:rsid w:val="00D6586A"/>
    <w:rsid w:val="00D65A2B"/>
    <w:rsid w:val="00D65B10"/>
    <w:rsid w:val="00D65C67"/>
    <w:rsid w:val="00D65D18"/>
    <w:rsid w:val="00D65D4F"/>
    <w:rsid w:val="00D65D54"/>
    <w:rsid w:val="00D65D5C"/>
    <w:rsid w:val="00D65DB4"/>
    <w:rsid w:val="00D65DDC"/>
    <w:rsid w:val="00D65E89"/>
    <w:rsid w:val="00D65F2F"/>
    <w:rsid w:val="00D65F66"/>
    <w:rsid w:val="00D65F7B"/>
    <w:rsid w:val="00D66165"/>
    <w:rsid w:val="00D661EC"/>
    <w:rsid w:val="00D66297"/>
    <w:rsid w:val="00D6645B"/>
    <w:rsid w:val="00D66486"/>
    <w:rsid w:val="00D66573"/>
    <w:rsid w:val="00D66598"/>
    <w:rsid w:val="00D665AC"/>
    <w:rsid w:val="00D665B1"/>
    <w:rsid w:val="00D665D2"/>
    <w:rsid w:val="00D665DB"/>
    <w:rsid w:val="00D665F8"/>
    <w:rsid w:val="00D6661E"/>
    <w:rsid w:val="00D66630"/>
    <w:rsid w:val="00D666B0"/>
    <w:rsid w:val="00D666BD"/>
    <w:rsid w:val="00D6679F"/>
    <w:rsid w:val="00D66AA3"/>
    <w:rsid w:val="00D66AD4"/>
    <w:rsid w:val="00D66BC1"/>
    <w:rsid w:val="00D66D40"/>
    <w:rsid w:val="00D66DF1"/>
    <w:rsid w:val="00D66E53"/>
    <w:rsid w:val="00D66FA4"/>
    <w:rsid w:val="00D66FE4"/>
    <w:rsid w:val="00D66FEA"/>
    <w:rsid w:val="00D670AE"/>
    <w:rsid w:val="00D6735C"/>
    <w:rsid w:val="00D67369"/>
    <w:rsid w:val="00D67399"/>
    <w:rsid w:val="00D673DF"/>
    <w:rsid w:val="00D674BF"/>
    <w:rsid w:val="00D674FC"/>
    <w:rsid w:val="00D6755C"/>
    <w:rsid w:val="00D675E5"/>
    <w:rsid w:val="00D67722"/>
    <w:rsid w:val="00D67886"/>
    <w:rsid w:val="00D678A2"/>
    <w:rsid w:val="00D67A64"/>
    <w:rsid w:val="00D67A76"/>
    <w:rsid w:val="00D67C3C"/>
    <w:rsid w:val="00D67E08"/>
    <w:rsid w:val="00D67E6C"/>
    <w:rsid w:val="00D67E99"/>
    <w:rsid w:val="00D70033"/>
    <w:rsid w:val="00D70038"/>
    <w:rsid w:val="00D7003A"/>
    <w:rsid w:val="00D703DD"/>
    <w:rsid w:val="00D703FC"/>
    <w:rsid w:val="00D70405"/>
    <w:rsid w:val="00D70408"/>
    <w:rsid w:val="00D70469"/>
    <w:rsid w:val="00D704DE"/>
    <w:rsid w:val="00D7050A"/>
    <w:rsid w:val="00D70613"/>
    <w:rsid w:val="00D70803"/>
    <w:rsid w:val="00D708D3"/>
    <w:rsid w:val="00D70911"/>
    <w:rsid w:val="00D7094B"/>
    <w:rsid w:val="00D70B4C"/>
    <w:rsid w:val="00D70CA7"/>
    <w:rsid w:val="00D70DDE"/>
    <w:rsid w:val="00D70E2B"/>
    <w:rsid w:val="00D70EA1"/>
    <w:rsid w:val="00D70ED7"/>
    <w:rsid w:val="00D710C7"/>
    <w:rsid w:val="00D71305"/>
    <w:rsid w:val="00D71335"/>
    <w:rsid w:val="00D71384"/>
    <w:rsid w:val="00D713FE"/>
    <w:rsid w:val="00D71510"/>
    <w:rsid w:val="00D715D4"/>
    <w:rsid w:val="00D7172C"/>
    <w:rsid w:val="00D71769"/>
    <w:rsid w:val="00D71868"/>
    <w:rsid w:val="00D718E9"/>
    <w:rsid w:val="00D71915"/>
    <w:rsid w:val="00D7194D"/>
    <w:rsid w:val="00D719D4"/>
    <w:rsid w:val="00D71B61"/>
    <w:rsid w:val="00D71BDB"/>
    <w:rsid w:val="00D71BF4"/>
    <w:rsid w:val="00D71C3B"/>
    <w:rsid w:val="00D71C3C"/>
    <w:rsid w:val="00D71CAA"/>
    <w:rsid w:val="00D71CAE"/>
    <w:rsid w:val="00D71CAF"/>
    <w:rsid w:val="00D71DD8"/>
    <w:rsid w:val="00D71EAD"/>
    <w:rsid w:val="00D720D4"/>
    <w:rsid w:val="00D7236A"/>
    <w:rsid w:val="00D723DD"/>
    <w:rsid w:val="00D724C1"/>
    <w:rsid w:val="00D724DE"/>
    <w:rsid w:val="00D72681"/>
    <w:rsid w:val="00D72772"/>
    <w:rsid w:val="00D727B6"/>
    <w:rsid w:val="00D728FB"/>
    <w:rsid w:val="00D72AB2"/>
    <w:rsid w:val="00D72B31"/>
    <w:rsid w:val="00D72D25"/>
    <w:rsid w:val="00D72D2F"/>
    <w:rsid w:val="00D72DF5"/>
    <w:rsid w:val="00D72ED4"/>
    <w:rsid w:val="00D72F33"/>
    <w:rsid w:val="00D73012"/>
    <w:rsid w:val="00D73073"/>
    <w:rsid w:val="00D730C2"/>
    <w:rsid w:val="00D73112"/>
    <w:rsid w:val="00D7311D"/>
    <w:rsid w:val="00D732CF"/>
    <w:rsid w:val="00D73383"/>
    <w:rsid w:val="00D733D9"/>
    <w:rsid w:val="00D73444"/>
    <w:rsid w:val="00D7390F"/>
    <w:rsid w:val="00D73B34"/>
    <w:rsid w:val="00D73C65"/>
    <w:rsid w:val="00D73D0A"/>
    <w:rsid w:val="00D73D14"/>
    <w:rsid w:val="00D73D22"/>
    <w:rsid w:val="00D73DC7"/>
    <w:rsid w:val="00D73FB6"/>
    <w:rsid w:val="00D73FC1"/>
    <w:rsid w:val="00D74181"/>
    <w:rsid w:val="00D74230"/>
    <w:rsid w:val="00D742A0"/>
    <w:rsid w:val="00D74651"/>
    <w:rsid w:val="00D746BC"/>
    <w:rsid w:val="00D74805"/>
    <w:rsid w:val="00D74830"/>
    <w:rsid w:val="00D748AD"/>
    <w:rsid w:val="00D74959"/>
    <w:rsid w:val="00D7495A"/>
    <w:rsid w:val="00D74A10"/>
    <w:rsid w:val="00D74A39"/>
    <w:rsid w:val="00D74A68"/>
    <w:rsid w:val="00D74B92"/>
    <w:rsid w:val="00D74BEF"/>
    <w:rsid w:val="00D74C27"/>
    <w:rsid w:val="00D74C33"/>
    <w:rsid w:val="00D74C51"/>
    <w:rsid w:val="00D74F7E"/>
    <w:rsid w:val="00D7507A"/>
    <w:rsid w:val="00D7507E"/>
    <w:rsid w:val="00D752AA"/>
    <w:rsid w:val="00D7533E"/>
    <w:rsid w:val="00D75345"/>
    <w:rsid w:val="00D7553B"/>
    <w:rsid w:val="00D755D3"/>
    <w:rsid w:val="00D75637"/>
    <w:rsid w:val="00D7571C"/>
    <w:rsid w:val="00D75A1D"/>
    <w:rsid w:val="00D75D31"/>
    <w:rsid w:val="00D75F40"/>
    <w:rsid w:val="00D76018"/>
    <w:rsid w:val="00D762FF"/>
    <w:rsid w:val="00D76572"/>
    <w:rsid w:val="00D76662"/>
    <w:rsid w:val="00D766BD"/>
    <w:rsid w:val="00D76738"/>
    <w:rsid w:val="00D7674B"/>
    <w:rsid w:val="00D7679B"/>
    <w:rsid w:val="00D767F7"/>
    <w:rsid w:val="00D76839"/>
    <w:rsid w:val="00D76940"/>
    <w:rsid w:val="00D76A2E"/>
    <w:rsid w:val="00D76C50"/>
    <w:rsid w:val="00D76CFE"/>
    <w:rsid w:val="00D76E8A"/>
    <w:rsid w:val="00D76EE4"/>
    <w:rsid w:val="00D76FC7"/>
    <w:rsid w:val="00D76FE0"/>
    <w:rsid w:val="00D7701C"/>
    <w:rsid w:val="00D77213"/>
    <w:rsid w:val="00D77308"/>
    <w:rsid w:val="00D775C3"/>
    <w:rsid w:val="00D77654"/>
    <w:rsid w:val="00D77789"/>
    <w:rsid w:val="00D77932"/>
    <w:rsid w:val="00D77A77"/>
    <w:rsid w:val="00D77ABF"/>
    <w:rsid w:val="00D77BC4"/>
    <w:rsid w:val="00D77C2B"/>
    <w:rsid w:val="00D77C34"/>
    <w:rsid w:val="00D77C3C"/>
    <w:rsid w:val="00D77C51"/>
    <w:rsid w:val="00D77D67"/>
    <w:rsid w:val="00D77DDE"/>
    <w:rsid w:val="00D77E88"/>
    <w:rsid w:val="00D77F06"/>
    <w:rsid w:val="00D801AF"/>
    <w:rsid w:val="00D80240"/>
    <w:rsid w:val="00D8025E"/>
    <w:rsid w:val="00D80348"/>
    <w:rsid w:val="00D803B1"/>
    <w:rsid w:val="00D80446"/>
    <w:rsid w:val="00D8052D"/>
    <w:rsid w:val="00D8057E"/>
    <w:rsid w:val="00D805C3"/>
    <w:rsid w:val="00D806BC"/>
    <w:rsid w:val="00D8077B"/>
    <w:rsid w:val="00D80946"/>
    <w:rsid w:val="00D80995"/>
    <w:rsid w:val="00D809AD"/>
    <w:rsid w:val="00D809FA"/>
    <w:rsid w:val="00D80C04"/>
    <w:rsid w:val="00D80C52"/>
    <w:rsid w:val="00D80E04"/>
    <w:rsid w:val="00D80E07"/>
    <w:rsid w:val="00D80EA2"/>
    <w:rsid w:val="00D80F50"/>
    <w:rsid w:val="00D81141"/>
    <w:rsid w:val="00D8114B"/>
    <w:rsid w:val="00D8115F"/>
    <w:rsid w:val="00D812E6"/>
    <w:rsid w:val="00D8133B"/>
    <w:rsid w:val="00D813A6"/>
    <w:rsid w:val="00D8141B"/>
    <w:rsid w:val="00D81655"/>
    <w:rsid w:val="00D8182B"/>
    <w:rsid w:val="00D8185E"/>
    <w:rsid w:val="00D81939"/>
    <w:rsid w:val="00D819C6"/>
    <w:rsid w:val="00D81AF8"/>
    <w:rsid w:val="00D81B61"/>
    <w:rsid w:val="00D81B6B"/>
    <w:rsid w:val="00D81BE7"/>
    <w:rsid w:val="00D81C12"/>
    <w:rsid w:val="00D81DCC"/>
    <w:rsid w:val="00D81E43"/>
    <w:rsid w:val="00D81E84"/>
    <w:rsid w:val="00D81EAB"/>
    <w:rsid w:val="00D81EB8"/>
    <w:rsid w:val="00D81EFD"/>
    <w:rsid w:val="00D820CF"/>
    <w:rsid w:val="00D820EF"/>
    <w:rsid w:val="00D821FB"/>
    <w:rsid w:val="00D8220C"/>
    <w:rsid w:val="00D82298"/>
    <w:rsid w:val="00D82535"/>
    <w:rsid w:val="00D8258C"/>
    <w:rsid w:val="00D825F5"/>
    <w:rsid w:val="00D826C2"/>
    <w:rsid w:val="00D82706"/>
    <w:rsid w:val="00D8276E"/>
    <w:rsid w:val="00D82810"/>
    <w:rsid w:val="00D828DA"/>
    <w:rsid w:val="00D82AC9"/>
    <w:rsid w:val="00D82DAE"/>
    <w:rsid w:val="00D82E0D"/>
    <w:rsid w:val="00D82F7E"/>
    <w:rsid w:val="00D8309A"/>
    <w:rsid w:val="00D83149"/>
    <w:rsid w:val="00D83269"/>
    <w:rsid w:val="00D83388"/>
    <w:rsid w:val="00D8340E"/>
    <w:rsid w:val="00D83414"/>
    <w:rsid w:val="00D8345C"/>
    <w:rsid w:val="00D83561"/>
    <w:rsid w:val="00D83579"/>
    <w:rsid w:val="00D83603"/>
    <w:rsid w:val="00D83614"/>
    <w:rsid w:val="00D836B7"/>
    <w:rsid w:val="00D83784"/>
    <w:rsid w:val="00D8379F"/>
    <w:rsid w:val="00D83838"/>
    <w:rsid w:val="00D839A4"/>
    <w:rsid w:val="00D83D8F"/>
    <w:rsid w:val="00D83DC5"/>
    <w:rsid w:val="00D83DFD"/>
    <w:rsid w:val="00D83E80"/>
    <w:rsid w:val="00D83F8E"/>
    <w:rsid w:val="00D84202"/>
    <w:rsid w:val="00D8423E"/>
    <w:rsid w:val="00D84240"/>
    <w:rsid w:val="00D8433C"/>
    <w:rsid w:val="00D8450C"/>
    <w:rsid w:val="00D8450E"/>
    <w:rsid w:val="00D84926"/>
    <w:rsid w:val="00D849E2"/>
    <w:rsid w:val="00D84A0C"/>
    <w:rsid w:val="00D84A96"/>
    <w:rsid w:val="00D84ADE"/>
    <w:rsid w:val="00D84B46"/>
    <w:rsid w:val="00D84B60"/>
    <w:rsid w:val="00D84BA5"/>
    <w:rsid w:val="00D84C56"/>
    <w:rsid w:val="00D84D77"/>
    <w:rsid w:val="00D84D7D"/>
    <w:rsid w:val="00D84DFD"/>
    <w:rsid w:val="00D84EA8"/>
    <w:rsid w:val="00D84EBA"/>
    <w:rsid w:val="00D850D4"/>
    <w:rsid w:val="00D85532"/>
    <w:rsid w:val="00D85642"/>
    <w:rsid w:val="00D8567C"/>
    <w:rsid w:val="00D856AA"/>
    <w:rsid w:val="00D85713"/>
    <w:rsid w:val="00D85991"/>
    <w:rsid w:val="00D85A4A"/>
    <w:rsid w:val="00D85BFD"/>
    <w:rsid w:val="00D85C27"/>
    <w:rsid w:val="00D85CAA"/>
    <w:rsid w:val="00D85CEE"/>
    <w:rsid w:val="00D85D80"/>
    <w:rsid w:val="00D85F84"/>
    <w:rsid w:val="00D85FF9"/>
    <w:rsid w:val="00D86061"/>
    <w:rsid w:val="00D8613E"/>
    <w:rsid w:val="00D86273"/>
    <w:rsid w:val="00D862AA"/>
    <w:rsid w:val="00D86310"/>
    <w:rsid w:val="00D86507"/>
    <w:rsid w:val="00D86572"/>
    <w:rsid w:val="00D86635"/>
    <w:rsid w:val="00D866EB"/>
    <w:rsid w:val="00D867B2"/>
    <w:rsid w:val="00D8682A"/>
    <w:rsid w:val="00D86888"/>
    <w:rsid w:val="00D86AB2"/>
    <w:rsid w:val="00D86AF2"/>
    <w:rsid w:val="00D86B14"/>
    <w:rsid w:val="00D86D3E"/>
    <w:rsid w:val="00D86DBD"/>
    <w:rsid w:val="00D86F4D"/>
    <w:rsid w:val="00D86FAE"/>
    <w:rsid w:val="00D86FC9"/>
    <w:rsid w:val="00D8713D"/>
    <w:rsid w:val="00D872A4"/>
    <w:rsid w:val="00D872B5"/>
    <w:rsid w:val="00D87396"/>
    <w:rsid w:val="00D874B1"/>
    <w:rsid w:val="00D87590"/>
    <w:rsid w:val="00D875B5"/>
    <w:rsid w:val="00D87653"/>
    <w:rsid w:val="00D8787F"/>
    <w:rsid w:val="00D87988"/>
    <w:rsid w:val="00D8799A"/>
    <w:rsid w:val="00D87A0B"/>
    <w:rsid w:val="00D87B62"/>
    <w:rsid w:val="00D87B73"/>
    <w:rsid w:val="00D87DCF"/>
    <w:rsid w:val="00D87E1D"/>
    <w:rsid w:val="00D87E6E"/>
    <w:rsid w:val="00D87EB6"/>
    <w:rsid w:val="00D87EEB"/>
    <w:rsid w:val="00D87F72"/>
    <w:rsid w:val="00D900F4"/>
    <w:rsid w:val="00D9049E"/>
    <w:rsid w:val="00D904BF"/>
    <w:rsid w:val="00D9056C"/>
    <w:rsid w:val="00D90626"/>
    <w:rsid w:val="00D907B6"/>
    <w:rsid w:val="00D9091C"/>
    <w:rsid w:val="00D90A21"/>
    <w:rsid w:val="00D90A78"/>
    <w:rsid w:val="00D90CEE"/>
    <w:rsid w:val="00D90D84"/>
    <w:rsid w:val="00D90FA6"/>
    <w:rsid w:val="00D90FD5"/>
    <w:rsid w:val="00D91148"/>
    <w:rsid w:val="00D91189"/>
    <w:rsid w:val="00D9159B"/>
    <w:rsid w:val="00D915DD"/>
    <w:rsid w:val="00D915FA"/>
    <w:rsid w:val="00D91755"/>
    <w:rsid w:val="00D91814"/>
    <w:rsid w:val="00D9191C"/>
    <w:rsid w:val="00D91929"/>
    <w:rsid w:val="00D919C6"/>
    <w:rsid w:val="00D91AAD"/>
    <w:rsid w:val="00D91AB8"/>
    <w:rsid w:val="00D91AF0"/>
    <w:rsid w:val="00D91B54"/>
    <w:rsid w:val="00D91C3D"/>
    <w:rsid w:val="00D91D7E"/>
    <w:rsid w:val="00D91DE7"/>
    <w:rsid w:val="00D91EED"/>
    <w:rsid w:val="00D91F3A"/>
    <w:rsid w:val="00D92079"/>
    <w:rsid w:val="00D92332"/>
    <w:rsid w:val="00D9235E"/>
    <w:rsid w:val="00D92374"/>
    <w:rsid w:val="00D92381"/>
    <w:rsid w:val="00D923BD"/>
    <w:rsid w:val="00D92426"/>
    <w:rsid w:val="00D924BD"/>
    <w:rsid w:val="00D924C4"/>
    <w:rsid w:val="00D92589"/>
    <w:rsid w:val="00D928A0"/>
    <w:rsid w:val="00D92924"/>
    <w:rsid w:val="00D92B2E"/>
    <w:rsid w:val="00D92BD1"/>
    <w:rsid w:val="00D92CCB"/>
    <w:rsid w:val="00D92CF2"/>
    <w:rsid w:val="00D92D29"/>
    <w:rsid w:val="00D92D75"/>
    <w:rsid w:val="00D92E34"/>
    <w:rsid w:val="00D92FD5"/>
    <w:rsid w:val="00D9302A"/>
    <w:rsid w:val="00D932EB"/>
    <w:rsid w:val="00D93326"/>
    <w:rsid w:val="00D9335B"/>
    <w:rsid w:val="00D9340D"/>
    <w:rsid w:val="00D934A5"/>
    <w:rsid w:val="00D9381D"/>
    <w:rsid w:val="00D9387E"/>
    <w:rsid w:val="00D9387F"/>
    <w:rsid w:val="00D93954"/>
    <w:rsid w:val="00D93A5D"/>
    <w:rsid w:val="00D93B4A"/>
    <w:rsid w:val="00D93C32"/>
    <w:rsid w:val="00D93C3F"/>
    <w:rsid w:val="00D93CEF"/>
    <w:rsid w:val="00D93F50"/>
    <w:rsid w:val="00D9409A"/>
    <w:rsid w:val="00D94149"/>
    <w:rsid w:val="00D94150"/>
    <w:rsid w:val="00D942DF"/>
    <w:rsid w:val="00D942ED"/>
    <w:rsid w:val="00D94350"/>
    <w:rsid w:val="00D94381"/>
    <w:rsid w:val="00D94430"/>
    <w:rsid w:val="00D94464"/>
    <w:rsid w:val="00D94533"/>
    <w:rsid w:val="00D946BD"/>
    <w:rsid w:val="00D946DD"/>
    <w:rsid w:val="00D94754"/>
    <w:rsid w:val="00D94872"/>
    <w:rsid w:val="00D948D0"/>
    <w:rsid w:val="00D94A52"/>
    <w:rsid w:val="00D94B41"/>
    <w:rsid w:val="00D94C69"/>
    <w:rsid w:val="00D94D2E"/>
    <w:rsid w:val="00D94D34"/>
    <w:rsid w:val="00D94E4E"/>
    <w:rsid w:val="00D94EE5"/>
    <w:rsid w:val="00D94F1C"/>
    <w:rsid w:val="00D9500F"/>
    <w:rsid w:val="00D95260"/>
    <w:rsid w:val="00D95355"/>
    <w:rsid w:val="00D95384"/>
    <w:rsid w:val="00D9554D"/>
    <w:rsid w:val="00D95610"/>
    <w:rsid w:val="00D95791"/>
    <w:rsid w:val="00D95875"/>
    <w:rsid w:val="00D9587A"/>
    <w:rsid w:val="00D9599A"/>
    <w:rsid w:val="00D95A53"/>
    <w:rsid w:val="00D95A80"/>
    <w:rsid w:val="00D95AEB"/>
    <w:rsid w:val="00D95C3C"/>
    <w:rsid w:val="00D95D12"/>
    <w:rsid w:val="00D95E1C"/>
    <w:rsid w:val="00D95E34"/>
    <w:rsid w:val="00D95E55"/>
    <w:rsid w:val="00D95E5F"/>
    <w:rsid w:val="00D96346"/>
    <w:rsid w:val="00D96482"/>
    <w:rsid w:val="00D96555"/>
    <w:rsid w:val="00D966C0"/>
    <w:rsid w:val="00D969A0"/>
    <w:rsid w:val="00D96DD4"/>
    <w:rsid w:val="00D96F58"/>
    <w:rsid w:val="00D9721D"/>
    <w:rsid w:val="00D9738F"/>
    <w:rsid w:val="00D9739F"/>
    <w:rsid w:val="00D973BA"/>
    <w:rsid w:val="00D9745A"/>
    <w:rsid w:val="00D97558"/>
    <w:rsid w:val="00D976B9"/>
    <w:rsid w:val="00D9783F"/>
    <w:rsid w:val="00D97B29"/>
    <w:rsid w:val="00D97BAF"/>
    <w:rsid w:val="00D97C38"/>
    <w:rsid w:val="00D97C68"/>
    <w:rsid w:val="00D97D74"/>
    <w:rsid w:val="00D97F27"/>
    <w:rsid w:val="00D97FD9"/>
    <w:rsid w:val="00DA0382"/>
    <w:rsid w:val="00DA0477"/>
    <w:rsid w:val="00DA0480"/>
    <w:rsid w:val="00DA04E8"/>
    <w:rsid w:val="00DA0573"/>
    <w:rsid w:val="00DA08E6"/>
    <w:rsid w:val="00DA0BF9"/>
    <w:rsid w:val="00DA0D42"/>
    <w:rsid w:val="00DA0DCF"/>
    <w:rsid w:val="00DA0E31"/>
    <w:rsid w:val="00DA0EAA"/>
    <w:rsid w:val="00DA100D"/>
    <w:rsid w:val="00DA1081"/>
    <w:rsid w:val="00DA11B5"/>
    <w:rsid w:val="00DA11F4"/>
    <w:rsid w:val="00DA1290"/>
    <w:rsid w:val="00DA1366"/>
    <w:rsid w:val="00DA13A5"/>
    <w:rsid w:val="00DA166B"/>
    <w:rsid w:val="00DA18BD"/>
    <w:rsid w:val="00DA18CD"/>
    <w:rsid w:val="00DA198C"/>
    <w:rsid w:val="00DA1A12"/>
    <w:rsid w:val="00DA1A26"/>
    <w:rsid w:val="00DA1AD2"/>
    <w:rsid w:val="00DA1AD5"/>
    <w:rsid w:val="00DA1B12"/>
    <w:rsid w:val="00DA1B4C"/>
    <w:rsid w:val="00DA1B95"/>
    <w:rsid w:val="00DA1BF3"/>
    <w:rsid w:val="00DA1C3C"/>
    <w:rsid w:val="00DA1C4A"/>
    <w:rsid w:val="00DA1CCE"/>
    <w:rsid w:val="00DA1F11"/>
    <w:rsid w:val="00DA1F84"/>
    <w:rsid w:val="00DA206A"/>
    <w:rsid w:val="00DA20AA"/>
    <w:rsid w:val="00DA20F8"/>
    <w:rsid w:val="00DA245D"/>
    <w:rsid w:val="00DA256C"/>
    <w:rsid w:val="00DA26F3"/>
    <w:rsid w:val="00DA27F0"/>
    <w:rsid w:val="00DA2858"/>
    <w:rsid w:val="00DA2A10"/>
    <w:rsid w:val="00DA2B22"/>
    <w:rsid w:val="00DA2BDA"/>
    <w:rsid w:val="00DA2C54"/>
    <w:rsid w:val="00DA2D29"/>
    <w:rsid w:val="00DA2F16"/>
    <w:rsid w:val="00DA2F4D"/>
    <w:rsid w:val="00DA3185"/>
    <w:rsid w:val="00DA31C5"/>
    <w:rsid w:val="00DA3267"/>
    <w:rsid w:val="00DA3313"/>
    <w:rsid w:val="00DA33B5"/>
    <w:rsid w:val="00DA33D2"/>
    <w:rsid w:val="00DA3590"/>
    <w:rsid w:val="00DA3613"/>
    <w:rsid w:val="00DA37AC"/>
    <w:rsid w:val="00DA37FF"/>
    <w:rsid w:val="00DA387E"/>
    <w:rsid w:val="00DA388A"/>
    <w:rsid w:val="00DA397E"/>
    <w:rsid w:val="00DA39A0"/>
    <w:rsid w:val="00DA39C8"/>
    <w:rsid w:val="00DA3A78"/>
    <w:rsid w:val="00DA3B27"/>
    <w:rsid w:val="00DA3BB1"/>
    <w:rsid w:val="00DA3D87"/>
    <w:rsid w:val="00DA3E46"/>
    <w:rsid w:val="00DA3F08"/>
    <w:rsid w:val="00DA3FF9"/>
    <w:rsid w:val="00DA4100"/>
    <w:rsid w:val="00DA416E"/>
    <w:rsid w:val="00DA41C5"/>
    <w:rsid w:val="00DA42EA"/>
    <w:rsid w:val="00DA4323"/>
    <w:rsid w:val="00DA4365"/>
    <w:rsid w:val="00DA4395"/>
    <w:rsid w:val="00DA45B9"/>
    <w:rsid w:val="00DA45BF"/>
    <w:rsid w:val="00DA474B"/>
    <w:rsid w:val="00DA49EA"/>
    <w:rsid w:val="00DA4A25"/>
    <w:rsid w:val="00DA4C25"/>
    <w:rsid w:val="00DA4C6E"/>
    <w:rsid w:val="00DA4C7B"/>
    <w:rsid w:val="00DA4D56"/>
    <w:rsid w:val="00DA4D73"/>
    <w:rsid w:val="00DA4DE0"/>
    <w:rsid w:val="00DA4E65"/>
    <w:rsid w:val="00DA4E71"/>
    <w:rsid w:val="00DA4E7D"/>
    <w:rsid w:val="00DA4E80"/>
    <w:rsid w:val="00DA4F03"/>
    <w:rsid w:val="00DA4F25"/>
    <w:rsid w:val="00DA4F39"/>
    <w:rsid w:val="00DA5028"/>
    <w:rsid w:val="00DA512B"/>
    <w:rsid w:val="00DA51B2"/>
    <w:rsid w:val="00DA5499"/>
    <w:rsid w:val="00DA54FB"/>
    <w:rsid w:val="00DA5939"/>
    <w:rsid w:val="00DA59EB"/>
    <w:rsid w:val="00DA5AA1"/>
    <w:rsid w:val="00DA5BDF"/>
    <w:rsid w:val="00DA5DCF"/>
    <w:rsid w:val="00DA5E27"/>
    <w:rsid w:val="00DA5FD1"/>
    <w:rsid w:val="00DA601C"/>
    <w:rsid w:val="00DA62F4"/>
    <w:rsid w:val="00DA63F2"/>
    <w:rsid w:val="00DA6475"/>
    <w:rsid w:val="00DA6506"/>
    <w:rsid w:val="00DA6547"/>
    <w:rsid w:val="00DA6735"/>
    <w:rsid w:val="00DA67A5"/>
    <w:rsid w:val="00DA6AD7"/>
    <w:rsid w:val="00DA6ADE"/>
    <w:rsid w:val="00DA6CE5"/>
    <w:rsid w:val="00DA6E0B"/>
    <w:rsid w:val="00DA6E4D"/>
    <w:rsid w:val="00DA6E62"/>
    <w:rsid w:val="00DA6F65"/>
    <w:rsid w:val="00DA704A"/>
    <w:rsid w:val="00DA707A"/>
    <w:rsid w:val="00DA70D7"/>
    <w:rsid w:val="00DA70DE"/>
    <w:rsid w:val="00DA7229"/>
    <w:rsid w:val="00DA7282"/>
    <w:rsid w:val="00DA73C1"/>
    <w:rsid w:val="00DA75B7"/>
    <w:rsid w:val="00DA766D"/>
    <w:rsid w:val="00DA76C9"/>
    <w:rsid w:val="00DA77A6"/>
    <w:rsid w:val="00DA7A32"/>
    <w:rsid w:val="00DA7AE8"/>
    <w:rsid w:val="00DA7B10"/>
    <w:rsid w:val="00DA7B26"/>
    <w:rsid w:val="00DA7B91"/>
    <w:rsid w:val="00DA7C9B"/>
    <w:rsid w:val="00DA7CD2"/>
    <w:rsid w:val="00DA7E2C"/>
    <w:rsid w:val="00DB006D"/>
    <w:rsid w:val="00DB0076"/>
    <w:rsid w:val="00DB00C2"/>
    <w:rsid w:val="00DB0243"/>
    <w:rsid w:val="00DB0247"/>
    <w:rsid w:val="00DB0341"/>
    <w:rsid w:val="00DB0354"/>
    <w:rsid w:val="00DB0516"/>
    <w:rsid w:val="00DB0596"/>
    <w:rsid w:val="00DB0599"/>
    <w:rsid w:val="00DB061F"/>
    <w:rsid w:val="00DB0673"/>
    <w:rsid w:val="00DB06D4"/>
    <w:rsid w:val="00DB07D6"/>
    <w:rsid w:val="00DB0900"/>
    <w:rsid w:val="00DB0AAB"/>
    <w:rsid w:val="00DB0AD4"/>
    <w:rsid w:val="00DB0C50"/>
    <w:rsid w:val="00DB0CB0"/>
    <w:rsid w:val="00DB0D89"/>
    <w:rsid w:val="00DB0DF5"/>
    <w:rsid w:val="00DB0E95"/>
    <w:rsid w:val="00DB0F09"/>
    <w:rsid w:val="00DB0FB2"/>
    <w:rsid w:val="00DB1022"/>
    <w:rsid w:val="00DB107E"/>
    <w:rsid w:val="00DB10D9"/>
    <w:rsid w:val="00DB1102"/>
    <w:rsid w:val="00DB12B5"/>
    <w:rsid w:val="00DB1347"/>
    <w:rsid w:val="00DB143C"/>
    <w:rsid w:val="00DB14CD"/>
    <w:rsid w:val="00DB158F"/>
    <w:rsid w:val="00DB15A7"/>
    <w:rsid w:val="00DB16A1"/>
    <w:rsid w:val="00DB1ADF"/>
    <w:rsid w:val="00DB1AFA"/>
    <w:rsid w:val="00DB1B74"/>
    <w:rsid w:val="00DB1CC3"/>
    <w:rsid w:val="00DB1F6F"/>
    <w:rsid w:val="00DB213A"/>
    <w:rsid w:val="00DB24F8"/>
    <w:rsid w:val="00DB284E"/>
    <w:rsid w:val="00DB2998"/>
    <w:rsid w:val="00DB2AE6"/>
    <w:rsid w:val="00DB2CBC"/>
    <w:rsid w:val="00DB2D3E"/>
    <w:rsid w:val="00DB2EA6"/>
    <w:rsid w:val="00DB30AE"/>
    <w:rsid w:val="00DB31E9"/>
    <w:rsid w:val="00DB3414"/>
    <w:rsid w:val="00DB36BD"/>
    <w:rsid w:val="00DB37D1"/>
    <w:rsid w:val="00DB38BE"/>
    <w:rsid w:val="00DB392D"/>
    <w:rsid w:val="00DB399A"/>
    <w:rsid w:val="00DB3A52"/>
    <w:rsid w:val="00DB3C6C"/>
    <w:rsid w:val="00DB3E4A"/>
    <w:rsid w:val="00DB3E68"/>
    <w:rsid w:val="00DB3F2F"/>
    <w:rsid w:val="00DB40C8"/>
    <w:rsid w:val="00DB4208"/>
    <w:rsid w:val="00DB421E"/>
    <w:rsid w:val="00DB4228"/>
    <w:rsid w:val="00DB44CF"/>
    <w:rsid w:val="00DB4646"/>
    <w:rsid w:val="00DB46DD"/>
    <w:rsid w:val="00DB4740"/>
    <w:rsid w:val="00DB47B1"/>
    <w:rsid w:val="00DB4838"/>
    <w:rsid w:val="00DB4855"/>
    <w:rsid w:val="00DB4876"/>
    <w:rsid w:val="00DB491B"/>
    <w:rsid w:val="00DB4CC6"/>
    <w:rsid w:val="00DB4D48"/>
    <w:rsid w:val="00DB5060"/>
    <w:rsid w:val="00DB5088"/>
    <w:rsid w:val="00DB5138"/>
    <w:rsid w:val="00DB5144"/>
    <w:rsid w:val="00DB51F8"/>
    <w:rsid w:val="00DB52CB"/>
    <w:rsid w:val="00DB53FB"/>
    <w:rsid w:val="00DB563E"/>
    <w:rsid w:val="00DB57E1"/>
    <w:rsid w:val="00DB583E"/>
    <w:rsid w:val="00DB5880"/>
    <w:rsid w:val="00DB5A48"/>
    <w:rsid w:val="00DB5B57"/>
    <w:rsid w:val="00DB5B8C"/>
    <w:rsid w:val="00DB5C1D"/>
    <w:rsid w:val="00DB5C80"/>
    <w:rsid w:val="00DB5D44"/>
    <w:rsid w:val="00DB5E11"/>
    <w:rsid w:val="00DB5F5E"/>
    <w:rsid w:val="00DB5F70"/>
    <w:rsid w:val="00DB5F74"/>
    <w:rsid w:val="00DB6047"/>
    <w:rsid w:val="00DB60FD"/>
    <w:rsid w:val="00DB6149"/>
    <w:rsid w:val="00DB6185"/>
    <w:rsid w:val="00DB6247"/>
    <w:rsid w:val="00DB639D"/>
    <w:rsid w:val="00DB6405"/>
    <w:rsid w:val="00DB655C"/>
    <w:rsid w:val="00DB65CD"/>
    <w:rsid w:val="00DB67A4"/>
    <w:rsid w:val="00DB67CB"/>
    <w:rsid w:val="00DB67EC"/>
    <w:rsid w:val="00DB69CC"/>
    <w:rsid w:val="00DB6AF3"/>
    <w:rsid w:val="00DB6B09"/>
    <w:rsid w:val="00DB6B39"/>
    <w:rsid w:val="00DB6C01"/>
    <w:rsid w:val="00DB6C5D"/>
    <w:rsid w:val="00DB6C69"/>
    <w:rsid w:val="00DB6CE1"/>
    <w:rsid w:val="00DB6D59"/>
    <w:rsid w:val="00DB6D73"/>
    <w:rsid w:val="00DB6E33"/>
    <w:rsid w:val="00DB6E52"/>
    <w:rsid w:val="00DB6EF7"/>
    <w:rsid w:val="00DB710F"/>
    <w:rsid w:val="00DB7160"/>
    <w:rsid w:val="00DB7172"/>
    <w:rsid w:val="00DB7230"/>
    <w:rsid w:val="00DB7272"/>
    <w:rsid w:val="00DB72BD"/>
    <w:rsid w:val="00DB72D7"/>
    <w:rsid w:val="00DB730F"/>
    <w:rsid w:val="00DB7349"/>
    <w:rsid w:val="00DB7448"/>
    <w:rsid w:val="00DB75A2"/>
    <w:rsid w:val="00DB7730"/>
    <w:rsid w:val="00DB7833"/>
    <w:rsid w:val="00DB79C5"/>
    <w:rsid w:val="00DB79E8"/>
    <w:rsid w:val="00DB7A1A"/>
    <w:rsid w:val="00DB7B20"/>
    <w:rsid w:val="00DB7E6F"/>
    <w:rsid w:val="00DC00F3"/>
    <w:rsid w:val="00DC026C"/>
    <w:rsid w:val="00DC02C1"/>
    <w:rsid w:val="00DC02CB"/>
    <w:rsid w:val="00DC0516"/>
    <w:rsid w:val="00DC057A"/>
    <w:rsid w:val="00DC07DF"/>
    <w:rsid w:val="00DC084B"/>
    <w:rsid w:val="00DC0897"/>
    <w:rsid w:val="00DC092D"/>
    <w:rsid w:val="00DC09EB"/>
    <w:rsid w:val="00DC0A07"/>
    <w:rsid w:val="00DC0AAB"/>
    <w:rsid w:val="00DC0B58"/>
    <w:rsid w:val="00DC0C06"/>
    <w:rsid w:val="00DC0C69"/>
    <w:rsid w:val="00DC0D11"/>
    <w:rsid w:val="00DC0D67"/>
    <w:rsid w:val="00DC0D9A"/>
    <w:rsid w:val="00DC0F43"/>
    <w:rsid w:val="00DC0F8B"/>
    <w:rsid w:val="00DC1113"/>
    <w:rsid w:val="00DC11CE"/>
    <w:rsid w:val="00DC141C"/>
    <w:rsid w:val="00DC1646"/>
    <w:rsid w:val="00DC1675"/>
    <w:rsid w:val="00DC175A"/>
    <w:rsid w:val="00DC178E"/>
    <w:rsid w:val="00DC1968"/>
    <w:rsid w:val="00DC196D"/>
    <w:rsid w:val="00DC19AE"/>
    <w:rsid w:val="00DC19F8"/>
    <w:rsid w:val="00DC1AC2"/>
    <w:rsid w:val="00DC1BE3"/>
    <w:rsid w:val="00DC1C33"/>
    <w:rsid w:val="00DC1E3A"/>
    <w:rsid w:val="00DC1E69"/>
    <w:rsid w:val="00DC1ED3"/>
    <w:rsid w:val="00DC1F4D"/>
    <w:rsid w:val="00DC208B"/>
    <w:rsid w:val="00DC20E6"/>
    <w:rsid w:val="00DC2166"/>
    <w:rsid w:val="00DC2196"/>
    <w:rsid w:val="00DC23AC"/>
    <w:rsid w:val="00DC24B7"/>
    <w:rsid w:val="00DC2817"/>
    <w:rsid w:val="00DC2898"/>
    <w:rsid w:val="00DC28DC"/>
    <w:rsid w:val="00DC296B"/>
    <w:rsid w:val="00DC29CF"/>
    <w:rsid w:val="00DC2B92"/>
    <w:rsid w:val="00DC2C86"/>
    <w:rsid w:val="00DC2F02"/>
    <w:rsid w:val="00DC2F27"/>
    <w:rsid w:val="00DC3010"/>
    <w:rsid w:val="00DC3015"/>
    <w:rsid w:val="00DC30CC"/>
    <w:rsid w:val="00DC3430"/>
    <w:rsid w:val="00DC344E"/>
    <w:rsid w:val="00DC348C"/>
    <w:rsid w:val="00DC34B4"/>
    <w:rsid w:val="00DC34B6"/>
    <w:rsid w:val="00DC34C6"/>
    <w:rsid w:val="00DC34F5"/>
    <w:rsid w:val="00DC35DE"/>
    <w:rsid w:val="00DC35EB"/>
    <w:rsid w:val="00DC36A9"/>
    <w:rsid w:val="00DC397F"/>
    <w:rsid w:val="00DC3B71"/>
    <w:rsid w:val="00DC3C0C"/>
    <w:rsid w:val="00DC3D3E"/>
    <w:rsid w:val="00DC3D97"/>
    <w:rsid w:val="00DC3EB0"/>
    <w:rsid w:val="00DC4157"/>
    <w:rsid w:val="00DC43B7"/>
    <w:rsid w:val="00DC44A1"/>
    <w:rsid w:val="00DC4529"/>
    <w:rsid w:val="00DC45AA"/>
    <w:rsid w:val="00DC4605"/>
    <w:rsid w:val="00DC4695"/>
    <w:rsid w:val="00DC46E3"/>
    <w:rsid w:val="00DC471E"/>
    <w:rsid w:val="00DC47BB"/>
    <w:rsid w:val="00DC48CB"/>
    <w:rsid w:val="00DC4A2F"/>
    <w:rsid w:val="00DC4A89"/>
    <w:rsid w:val="00DC4ADE"/>
    <w:rsid w:val="00DC4BDE"/>
    <w:rsid w:val="00DC4DC4"/>
    <w:rsid w:val="00DC4FB9"/>
    <w:rsid w:val="00DC509F"/>
    <w:rsid w:val="00DC50E6"/>
    <w:rsid w:val="00DC520E"/>
    <w:rsid w:val="00DC5357"/>
    <w:rsid w:val="00DC54C0"/>
    <w:rsid w:val="00DC5699"/>
    <w:rsid w:val="00DC5A23"/>
    <w:rsid w:val="00DC5B26"/>
    <w:rsid w:val="00DC5B42"/>
    <w:rsid w:val="00DC5C5E"/>
    <w:rsid w:val="00DC5C64"/>
    <w:rsid w:val="00DC5F29"/>
    <w:rsid w:val="00DC6081"/>
    <w:rsid w:val="00DC614E"/>
    <w:rsid w:val="00DC6305"/>
    <w:rsid w:val="00DC6331"/>
    <w:rsid w:val="00DC6427"/>
    <w:rsid w:val="00DC6437"/>
    <w:rsid w:val="00DC6746"/>
    <w:rsid w:val="00DC67B2"/>
    <w:rsid w:val="00DC6890"/>
    <w:rsid w:val="00DC68B7"/>
    <w:rsid w:val="00DC68EC"/>
    <w:rsid w:val="00DC6960"/>
    <w:rsid w:val="00DC6C04"/>
    <w:rsid w:val="00DC6C3D"/>
    <w:rsid w:val="00DC6C4A"/>
    <w:rsid w:val="00DC6C8D"/>
    <w:rsid w:val="00DC6EC3"/>
    <w:rsid w:val="00DC6EED"/>
    <w:rsid w:val="00DC70E7"/>
    <w:rsid w:val="00DC7222"/>
    <w:rsid w:val="00DC725E"/>
    <w:rsid w:val="00DC7371"/>
    <w:rsid w:val="00DC7400"/>
    <w:rsid w:val="00DC74AF"/>
    <w:rsid w:val="00DC751B"/>
    <w:rsid w:val="00DC75AE"/>
    <w:rsid w:val="00DC75BD"/>
    <w:rsid w:val="00DC7737"/>
    <w:rsid w:val="00DC782A"/>
    <w:rsid w:val="00DC785D"/>
    <w:rsid w:val="00DC799C"/>
    <w:rsid w:val="00DC7A65"/>
    <w:rsid w:val="00DC7B56"/>
    <w:rsid w:val="00DC7BB8"/>
    <w:rsid w:val="00DC7C0F"/>
    <w:rsid w:val="00DC7C5F"/>
    <w:rsid w:val="00DC7CB6"/>
    <w:rsid w:val="00DC7D49"/>
    <w:rsid w:val="00DC7D9F"/>
    <w:rsid w:val="00DC7E8A"/>
    <w:rsid w:val="00DD0075"/>
    <w:rsid w:val="00DD00C6"/>
    <w:rsid w:val="00DD0195"/>
    <w:rsid w:val="00DD032A"/>
    <w:rsid w:val="00DD04E9"/>
    <w:rsid w:val="00DD0530"/>
    <w:rsid w:val="00DD0674"/>
    <w:rsid w:val="00DD06BE"/>
    <w:rsid w:val="00DD0824"/>
    <w:rsid w:val="00DD08EE"/>
    <w:rsid w:val="00DD08EF"/>
    <w:rsid w:val="00DD090E"/>
    <w:rsid w:val="00DD0990"/>
    <w:rsid w:val="00DD09C8"/>
    <w:rsid w:val="00DD09DC"/>
    <w:rsid w:val="00DD0A4A"/>
    <w:rsid w:val="00DD0A8D"/>
    <w:rsid w:val="00DD0B29"/>
    <w:rsid w:val="00DD0B34"/>
    <w:rsid w:val="00DD0E4F"/>
    <w:rsid w:val="00DD0E5F"/>
    <w:rsid w:val="00DD0EBC"/>
    <w:rsid w:val="00DD1030"/>
    <w:rsid w:val="00DD1327"/>
    <w:rsid w:val="00DD150E"/>
    <w:rsid w:val="00DD15C1"/>
    <w:rsid w:val="00DD1766"/>
    <w:rsid w:val="00DD17D2"/>
    <w:rsid w:val="00DD1850"/>
    <w:rsid w:val="00DD1863"/>
    <w:rsid w:val="00DD18B1"/>
    <w:rsid w:val="00DD19BE"/>
    <w:rsid w:val="00DD1A7D"/>
    <w:rsid w:val="00DD1DA2"/>
    <w:rsid w:val="00DD1DD7"/>
    <w:rsid w:val="00DD1E00"/>
    <w:rsid w:val="00DD1E25"/>
    <w:rsid w:val="00DD1E90"/>
    <w:rsid w:val="00DD1F78"/>
    <w:rsid w:val="00DD1FCC"/>
    <w:rsid w:val="00DD218C"/>
    <w:rsid w:val="00DD21ED"/>
    <w:rsid w:val="00DD2200"/>
    <w:rsid w:val="00DD22AC"/>
    <w:rsid w:val="00DD2576"/>
    <w:rsid w:val="00DD2700"/>
    <w:rsid w:val="00DD273D"/>
    <w:rsid w:val="00DD273E"/>
    <w:rsid w:val="00DD274F"/>
    <w:rsid w:val="00DD2785"/>
    <w:rsid w:val="00DD2941"/>
    <w:rsid w:val="00DD295A"/>
    <w:rsid w:val="00DD2977"/>
    <w:rsid w:val="00DD2A9C"/>
    <w:rsid w:val="00DD2C1F"/>
    <w:rsid w:val="00DD2C68"/>
    <w:rsid w:val="00DD2CF4"/>
    <w:rsid w:val="00DD2D78"/>
    <w:rsid w:val="00DD2E70"/>
    <w:rsid w:val="00DD2E80"/>
    <w:rsid w:val="00DD305C"/>
    <w:rsid w:val="00DD3216"/>
    <w:rsid w:val="00DD3298"/>
    <w:rsid w:val="00DD329C"/>
    <w:rsid w:val="00DD342C"/>
    <w:rsid w:val="00DD3430"/>
    <w:rsid w:val="00DD3559"/>
    <w:rsid w:val="00DD35AB"/>
    <w:rsid w:val="00DD36F7"/>
    <w:rsid w:val="00DD37F7"/>
    <w:rsid w:val="00DD3839"/>
    <w:rsid w:val="00DD389C"/>
    <w:rsid w:val="00DD3917"/>
    <w:rsid w:val="00DD3AB8"/>
    <w:rsid w:val="00DD3CB9"/>
    <w:rsid w:val="00DD3DCA"/>
    <w:rsid w:val="00DD3E14"/>
    <w:rsid w:val="00DD3F0A"/>
    <w:rsid w:val="00DD3F50"/>
    <w:rsid w:val="00DD3F7B"/>
    <w:rsid w:val="00DD4096"/>
    <w:rsid w:val="00DD41DE"/>
    <w:rsid w:val="00DD41F1"/>
    <w:rsid w:val="00DD43DE"/>
    <w:rsid w:val="00DD44E2"/>
    <w:rsid w:val="00DD4554"/>
    <w:rsid w:val="00DD4624"/>
    <w:rsid w:val="00DD4679"/>
    <w:rsid w:val="00DD47E1"/>
    <w:rsid w:val="00DD47E2"/>
    <w:rsid w:val="00DD4811"/>
    <w:rsid w:val="00DD48A0"/>
    <w:rsid w:val="00DD4B33"/>
    <w:rsid w:val="00DD4B63"/>
    <w:rsid w:val="00DD4C0D"/>
    <w:rsid w:val="00DD4D6B"/>
    <w:rsid w:val="00DD4DA6"/>
    <w:rsid w:val="00DD4DB8"/>
    <w:rsid w:val="00DD4E69"/>
    <w:rsid w:val="00DD4FCB"/>
    <w:rsid w:val="00DD4FD7"/>
    <w:rsid w:val="00DD505B"/>
    <w:rsid w:val="00DD5242"/>
    <w:rsid w:val="00DD53AE"/>
    <w:rsid w:val="00DD5410"/>
    <w:rsid w:val="00DD5476"/>
    <w:rsid w:val="00DD547E"/>
    <w:rsid w:val="00DD55B7"/>
    <w:rsid w:val="00DD55D4"/>
    <w:rsid w:val="00DD576F"/>
    <w:rsid w:val="00DD5934"/>
    <w:rsid w:val="00DD5971"/>
    <w:rsid w:val="00DD5D51"/>
    <w:rsid w:val="00DD5DCD"/>
    <w:rsid w:val="00DD5E5F"/>
    <w:rsid w:val="00DD5F01"/>
    <w:rsid w:val="00DD5F3C"/>
    <w:rsid w:val="00DD5F5D"/>
    <w:rsid w:val="00DD6056"/>
    <w:rsid w:val="00DD607E"/>
    <w:rsid w:val="00DD6266"/>
    <w:rsid w:val="00DD62D3"/>
    <w:rsid w:val="00DD62FA"/>
    <w:rsid w:val="00DD6311"/>
    <w:rsid w:val="00DD645E"/>
    <w:rsid w:val="00DD64BA"/>
    <w:rsid w:val="00DD64DA"/>
    <w:rsid w:val="00DD65E2"/>
    <w:rsid w:val="00DD66E3"/>
    <w:rsid w:val="00DD67FD"/>
    <w:rsid w:val="00DD683C"/>
    <w:rsid w:val="00DD6903"/>
    <w:rsid w:val="00DD6A42"/>
    <w:rsid w:val="00DD6AD1"/>
    <w:rsid w:val="00DD6B77"/>
    <w:rsid w:val="00DD6BFB"/>
    <w:rsid w:val="00DD6CD1"/>
    <w:rsid w:val="00DD6E90"/>
    <w:rsid w:val="00DD6F40"/>
    <w:rsid w:val="00DD7239"/>
    <w:rsid w:val="00DD73A5"/>
    <w:rsid w:val="00DD73C2"/>
    <w:rsid w:val="00DD7561"/>
    <w:rsid w:val="00DD75B9"/>
    <w:rsid w:val="00DD763B"/>
    <w:rsid w:val="00DD7645"/>
    <w:rsid w:val="00DD7755"/>
    <w:rsid w:val="00DD77AB"/>
    <w:rsid w:val="00DD7847"/>
    <w:rsid w:val="00DD7952"/>
    <w:rsid w:val="00DD7A30"/>
    <w:rsid w:val="00DD7B20"/>
    <w:rsid w:val="00DD7C03"/>
    <w:rsid w:val="00DD7C64"/>
    <w:rsid w:val="00DD7E16"/>
    <w:rsid w:val="00DD7EB1"/>
    <w:rsid w:val="00DE0166"/>
    <w:rsid w:val="00DE01F7"/>
    <w:rsid w:val="00DE02EA"/>
    <w:rsid w:val="00DE036F"/>
    <w:rsid w:val="00DE055A"/>
    <w:rsid w:val="00DE0716"/>
    <w:rsid w:val="00DE07EC"/>
    <w:rsid w:val="00DE0844"/>
    <w:rsid w:val="00DE0868"/>
    <w:rsid w:val="00DE0936"/>
    <w:rsid w:val="00DE0940"/>
    <w:rsid w:val="00DE095E"/>
    <w:rsid w:val="00DE095F"/>
    <w:rsid w:val="00DE0AA3"/>
    <w:rsid w:val="00DE0D7D"/>
    <w:rsid w:val="00DE0DF4"/>
    <w:rsid w:val="00DE0DFC"/>
    <w:rsid w:val="00DE0E07"/>
    <w:rsid w:val="00DE0F9B"/>
    <w:rsid w:val="00DE0FAC"/>
    <w:rsid w:val="00DE10EF"/>
    <w:rsid w:val="00DE11A7"/>
    <w:rsid w:val="00DE14FB"/>
    <w:rsid w:val="00DE1644"/>
    <w:rsid w:val="00DE17EA"/>
    <w:rsid w:val="00DE17EC"/>
    <w:rsid w:val="00DE196A"/>
    <w:rsid w:val="00DE19B6"/>
    <w:rsid w:val="00DE1A25"/>
    <w:rsid w:val="00DE1B4E"/>
    <w:rsid w:val="00DE1C49"/>
    <w:rsid w:val="00DE1E04"/>
    <w:rsid w:val="00DE1E18"/>
    <w:rsid w:val="00DE1E6C"/>
    <w:rsid w:val="00DE1F78"/>
    <w:rsid w:val="00DE207D"/>
    <w:rsid w:val="00DE219C"/>
    <w:rsid w:val="00DE23A5"/>
    <w:rsid w:val="00DE2443"/>
    <w:rsid w:val="00DE2484"/>
    <w:rsid w:val="00DE256A"/>
    <w:rsid w:val="00DE265F"/>
    <w:rsid w:val="00DE285D"/>
    <w:rsid w:val="00DE2878"/>
    <w:rsid w:val="00DE28B1"/>
    <w:rsid w:val="00DE2BA4"/>
    <w:rsid w:val="00DE2C63"/>
    <w:rsid w:val="00DE2CAD"/>
    <w:rsid w:val="00DE2CAF"/>
    <w:rsid w:val="00DE2D89"/>
    <w:rsid w:val="00DE2DEF"/>
    <w:rsid w:val="00DE2EA5"/>
    <w:rsid w:val="00DE2EE4"/>
    <w:rsid w:val="00DE3123"/>
    <w:rsid w:val="00DE3176"/>
    <w:rsid w:val="00DE3196"/>
    <w:rsid w:val="00DE3220"/>
    <w:rsid w:val="00DE3316"/>
    <w:rsid w:val="00DE3331"/>
    <w:rsid w:val="00DE33BB"/>
    <w:rsid w:val="00DE34CC"/>
    <w:rsid w:val="00DE358B"/>
    <w:rsid w:val="00DE3594"/>
    <w:rsid w:val="00DE363E"/>
    <w:rsid w:val="00DE391F"/>
    <w:rsid w:val="00DE393A"/>
    <w:rsid w:val="00DE3A79"/>
    <w:rsid w:val="00DE3D1F"/>
    <w:rsid w:val="00DE3DE5"/>
    <w:rsid w:val="00DE3E20"/>
    <w:rsid w:val="00DE3E95"/>
    <w:rsid w:val="00DE3F9E"/>
    <w:rsid w:val="00DE4027"/>
    <w:rsid w:val="00DE402C"/>
    <w:rsid w:val="00DE4031"/>
    <w:rsid w:val="00DE4041"/>
    <w:rsid w:val="00DE4088"/>
    <w:rsid w:val="00DE412B"/>
    <w:rsid w:val="00DE4262"/>
    <w:rsid w:val="00DE4330"/>
    <w:rsid w:val="00DE448E"/>
    <w:rsid w:val="00DE44CC"/>
    <w:rsid w:val="00DE489E"/>
    <w:rsid w:val="00DE48D2"/>
    <w:rsid w:val="00DE49E3"/>
    <w:rsid w:val="00DE49F3"/>
    <w:rsid w:val="00DE4C03"/>
    <w:rsid w:val="00DE4C3F"/>
    <w:rsid w:val="00DE4D34"/>
    <w:rsid w:val="00DE4D87"/>
    <w:rsid w:val="00DE4DDC"/>
    <w:rsid w:val="00DE4DE4"/>
    <w:rsid w:val="00DE4F14"/>
    <w:rsid w:val="00DE5014"/>
    <w:rsid w:val="00DE51AB"/>
    <w:rsid w:val="00DE5236"/>
    <w:rsid w:val="00DE52BD"/>
    <w:rsid w:val="00DE52CA"/>
    <w:rsid w:val="00DE5324"/>
    <w:rsid w:val="00DE561E"/>
    <w:rsid w:val="00DE566C"/>
    <w:rsid w:val="00DE5719"/>
    <w:rsid w:val="00DE5794"/>
    <w:rsid w:val="00DE5898"/>
    <w:rsid w:val="00DE599C"/>
    <w:rsid w:val="00DE5A41"/>
    <w:rsid w:val="00DE5AE2"/>
    <w:rsid w:val="00DE5B0B"/>
    <w:rsid w:val="00DE5C83"/>
    <w:rsid w:val="00DE5D7F"/>
    <w:rsid w:val="00DE5F32"/>
    <w:rsid w:val="00DE5F3E"/>
    <w:rsid w:val="00DE6028"/>
    <w:rsid w:val="00DE6062"/>
    <w:rsid w:val="00DE60B7"/>
    <w:rsid w:val="00DE6204"/>
    <w:rsid w:val="00DE6209"/>
    <w:rsid w:val="00DE6231"/>
    <w:rsid w:val="00DE626E"/>
    <w:rsid w:val="00DE62E5"/>
    <w:rsid w:val="00DE639C"/>
    <w:rsid w:val="00DE64E6"/>
    <w:rsid w:val="00DE679B"/>
    <w:rsid w:val="00DE67A7"/>
    <w:rsid w:val="00DE67C1"/>
    <w:rsid w:val="00DE67CB"/>
    <w:rsid w:val="00DE67DD"/>
    <w:rsid w:val="00DE68F6"/>
    <w:rsid w:val="00DE69A6"/>
    <w:rsid w:val="00DE6CD2"/>
    <w:rsid w:val="00DE6E0E"/>
    <w:rsid w:val="00DE6EB6"/>
    <w:rsid w:val="00DE70D5"/>
    <w:rsid w:val="00DE7157"/>
    <w:rsid w:val="00DE715B"/>
    <w:rsid w:val="00DE72E0"/>
    <w:rsid w:val="00DE7409"/>
    <w:rsid w:val="00DE75A2"/>
    <w:rsid w:val="00DE75F7"/>
    <w:rsid w:val="00DE77A7"/>
    <w:rsid w:val="00DE78CE"/>
    <w:rsid w:val="00DE79A3"/>
    <w:rsid w:val="00DE79AC"/>
    <w:rsid w:val="00DE79C3"/>
    <w:rsid w:val="00DE7A35"/>
    <w:rsid w:val="00DE7A70"/>
    <w:rsid w:val="00DE7A9F"/>
    <w:rsid w:val="00DE7AF4"/>
    <w:rsid w:val="00DE7BC5"/>
    <w:rsid w:val="00DE7C04"/>
    <w:rsid w:val="00DE7C36"/>
    <w:rsid w:val="00DE7CD8"/>
    <w:rsid w:val="00DE7D15"/>
    <w:rsid w:val="00DE7D9C"/>
    <w:rsid w:val="00DE7E70"/>
    <w:rsid w:val="00DE7F51"/>
    <w:rsid w:val="00DE7FBF"/>
    <w:rsid w:val="00DF01AC"/>
    <w:rsid w:val="00DF01B1"/>
    <w:rsid w:val="00DF02D8"/>
    <w:rsid w:val="00DF033C"/>
    <w:rsid w:val="00DF0508"/>
    <w:rsid w:val="00DF0592"/>
    <w:rsid w:val="00DF05F5"/>
    <w:rsid w:val="00DF0648"/>
    <w:rsid w:val="00DF066B"/>
    <w:rsid w:val="00DF066E"/>
    <w:rsid w:val="00DF06C7"/>
    <w:rsid w:val="00DF0768"/>
    <w:rsid w:val="00DF079A"/>
    <w:rsid w:val="00DF07C7"/>
    <w:rsid w:val="00DF0860"/>
    <w:rsid w:val="00DF092B"/>
    <w:rsid w:val="00DF09B6"/>
    <w:rsid w:val="00DF0B6C"/>
    <w:rsid w:val="00DF0C6A"/>
    <w:rsid w:val="00DF0D1E"/>
    <w:rsid w:val="00DF0F9E"/>
    <w:rsid w:val="00DF0FA7"/>
    <w:rsid w:val="00DF1041"/>
    <w:rsid w:val="00DF10B3"/>
    <w:rsid w:val="00DF1110"/>
    <w:rsid w:val="00DF11C8"/>
    <w:rsid w:val="00DF124B"/>
    <w:rsid w:val="00DF1304"/>
    <w:rsid w:val="00DF13FA"/>
    <w:rsid w:val="00DF14F3"/>
    <w:rsid w:val="00DF165E"/>
    <w:rsid w:val="00DF16E3"/>
    <w:rsid w:val="00DF1707"/>
    <w:rsid w:val="00DF17AB"/>
    <w:rsid w:val="00DF17EE"/>
    <w:rsid w:val="00DF181E"/>
    <w:rsid w:val="00DF1941"/>
    <w:rsid w:val="00DF1BA7"/>
    <w:rsid w:val="00DF1C1A"/>
    <w:rsid w:val="00DF1C32"/>
    <w:rsid w:val="00DF1D11"/>
    <w:rsid w:val="00DF1D58"/>
    <w:rsid w:val="00DF1EEA"/>
    <w:rsid w:val="00DF2071"/>
    <w:rsid w:val="00DF2091"/>
    <w:rsid w:val="00DF22A7"/>
    <w:rsid w:val="00DF2411"/>
    <w:rsid w:val="00DF2461"/>
    <w:rsid w:val="00DF26E1"/>
    <w:rsid w:val="00DF2748"/>
    <w:rsid w:val="00DF28C2"/>
    <w:rsid w:val="00DF2B36"/>
    <w:rsid w:val="00DF2C89"/>
    <w:rsid w:val="00DF2CCB"/>
    <w:rsid w:val="00DF2D63"/>
    <w:rsid w:val="00DF2E18"/>
    <w:rsid w:val="00DF2E1B"/>
    <w:rsid w:val="00DF2E7D"/>
    <w:rsid w:val="00DF2F5D"/>
    <w:rsid w:val="00DF2F64"/>
    <w:rsid w:val="00DF2FCE"/>
    <w:rsid w:val="00DF2FD7"/>
    <w:rsid w:val="00DF3038"/>
    <w:rsid w:val="00DF310F"/>
    <w:rsid w:val="00DF3112"/>
    <w:rsid w:val="00DF3174"/>
    <w:rsid w:val="00DF318E"/>
    <w:rsid w:val="00DF32CD"/>
    <w:rsid w:val="00DF357F"/>
    <w:rsid w:val="00DF359E"/>
    <w:rsid w:val="00DF35A8"/>
    <w:rsid w:val="00DF366C"/>
    <w:rsid w:val="00DF37E4"/>
    <w:rsid w:val="00DF3977"/>
    <w:rsid w:val="00DF3C6F"/>
    <w:rsid w:val="00DF3D7E"/>
    <w:rsid w:val="00DF3FA3"/>
    <w:rsid w:val="00DF414E"/>
    <w:rsid w:val="00DF41B8"/>
    <w:rsid w:val="00DF4283"/>
    <w:rsid w:val="00DF435E"/>
    <w:rsid w:val="00DF445B"/>
    <w:rsid w:val="00DF446D"/>
    <w:rsid w:val="00DF44DA"/>
    <w:rsid w:val="00DF45EA"/>
    <w:rsid w:val="00DF4680"/>
    <w:rsid w:val="00DF46D8"/>
    <w:rsid w:val="00DF479A"/>
    <w:rsid w:val="00DF4870"/>
    <w:rsid w:val="00DF4A81"/>
    <w:rsid w:val="00DF4AE6"/>
    <w:rsid w:val="00DF4B38"/>
    <w:rsid w:val="00DF4BFD"/>
    <w:rsid w:val="00DF4E08"/>
    <w:rsid w:val="00DF4E40"/>
    <w:rsid w:val="00DF4F7D"/>
    <w:rsid w:val="00DF4FA8"/>
    <w:rsid w:val="00DF52F3"/>
    <w:rsid w:val="00DF5564"/>
    <w:rsid w:val="00DF55E8"/>
    <w:rsid w:val="00DF598E"/>
    <w:rsid w:val="00DF5BD3"/>
    <w:rsid w:val="00DF5C97"/>
    <w:rsid w:val="00DF5C9E"/>
    <w:rsid w:val="00DF5DA8"/>
    <w:rsid w:val="00DF5DA9"/>
    <w:rsid w:val="00DF5E4E"/>
    <w:rsid w:val="00DF5EC8"/>
    <w:rsid w:val="00DF5EE5"/>
    <w:rsid w:val="00DF5F82"/>
    <w:rsid w:val="00DF602A"/>
    <w:rsid w:val="00DF614A"/>
    <w:rsid w:val="00DF6242"/>
    <w:rsid w:val="00DF6330"/>
    <w:rsid w:val="00DF6415"/>
    <w:rsid w:val="00DF6479"/>
    <w:rsid w:val="00DF6785"/>
    <w:rsid w:val="00DF6904"/>
    <w:rsid w:val="00DF69D1"/>
    <w:rsid w:val="00DF6A70"/>
    <w:rsid w:val="00DF6ACE"/>
    <w:rsid w:val="00DF6B82"/>
    <w:rsid w:val="00DF6C83"/>
    <w:rsid w:val="00DF6F19"/>
    <w:rsid w:val="00DF70C8"/>
    <w:rsid w:val="00DF70E8"/>
    <w:rsid w:val="00DF73C6"/>
    <w:rsid w:val="00DF7433"/>
    <w:rsid w:val="00DF74A1"/>
    <w:rsid w:val="00DF7616"/>
    <w:rsid w:val="00DF768E"/>
    <w:rsid w:val="00DF7694"/>
    <w:rsid w:val="00DF76C4"/>
    <w:rsid w:val="00DF76C5"/>
    <w:rsid w:val="00DF7751"/>
    <w:rsid w:val="00DF797C"/>
    <w:rsid w:val="00DF7993"/>
    <w:rsid w:val="00DF7AD3"/>
    <w:rsid w:val="00DF7C90"/>
    <w:rsid w:val="00DF7E30"/>
    <w:rsid w:val="00DF7F18"/>
    <w:rsid w:val="00DF7F35"/>
    <w:rsid w:val="00DF7F70"/>
    <w:rsid w:val="00DF7FAA"/>
    <w:rsid w:val="00E001B6"/>
    <w:rsid w:val="00E0021F"/>
    <w:rsid w:val="00E0022A"/>
    <w:rsid w:val="00E0059F"/>
    <w:rsid w:val="00E007DE"/>
    <w:rsid w:val="00E0083A"/>
    <w:rsid w:val="00E00899"/>
    <w:rsid w:val="00E0098B"/>
    <w:rsid w:val="00E00B8A"/>
    <w:rsid w:val="00E00B8E"/>
    <w:rsid w:val="00E00C00"/>
    <w:rsid w:val="00E00FA5"/>
    <w:rsid w:val="00E0101E"/>
    <w:rsid w:val="00E01027"/>
    <w:rsid w:val="00E010F4"/>
    <w:rsid w:val="00E01223"/>
    <w:rsid w:val="00E012B0"/>
    <w:rsid w:val="00E013DC"/>
    <w:rsid w:val="00E013F1"/>
    <w:rsid w:val="00E014E5"/>
    <w:rsid w:val="00E014E7"/>
    <w:rsid w:val="00E0151F"/>
    <w:rsid w:val="00E01550"/>
    <w:rsid w:val="00E0164A"/>
    <w:rsid w:val="00E016EE"/>
    <w:rsid w:val="00E017AA"/>
    <w:rsid w:val="00E017F2"/>
    <w:rsid w:val="00E01854"/>
    <w:rsid w:val="00E0187B"/>
    <w:rsid w:val="00E01AC2"/>
    <w:rsid w:val="00E01BC4"/>
    <w:rsid w:val="00E01C0A"/>
    <w:rsid w:val="00E01CC1"/>
    <w:rsid w:val="00E01E0E"/>
    <w:rsid w:val="00E01E7A"/>
    <w:rsid w:val="00E01F95"/>
    <w:rsid w:val="00E0209B"/>
    <w:rsid w:val="00E021F2"/>
    <w:rsid w:val="00E0221D"/>
    <w:rsid w:val="00E0222F"/>
    <w:rsid w:val="00E02458"/>
    <w:rsid w:val="00E02497"/>
    <w:rsid w:val="00E0277D"/>
    <w:rsid w:val="00E02847"/>
    <w:rsid w:val="00E02891"/>
    <w:rsid w:val="00E028F5"/>
    <w:rsid w:val="00E02C61"/>
    <w:rsid w:val="00E02CA8"/>
    <w:rsid w:val="00E02ECC"/>
    <w:rsid w:val="00E02FB2"/>
    <w:rsid w:val="00E02FF1"/>
    <w:rsid w:val="00E0304F"/>
    <w:rsid w:val="00E03069"/>
    <w:rsid w:val="00E030CD"/>
    <w:rsid w:val="00E03295"/>
    <w:rsid w:val="00E032FB"/>
    <w:rsid w:val="00E03313"/>
    <w:rsid w:val="00E0331E"/>
    <w:rsid w:val="00E03391"/>
    <w:rsid w:val="00E03468"/>
    <w:rsid w:val="00E035B5"/>
    <w:rsid w:val="00E035D0"/>
    <w:rsid w:val="00E03640"/>
    <w:rsid w:val="00E036D5"/>
    <w:rsid w:val="00E036E2"/>
    <w:rsid w:val="00E037B7"/>
    <w:rsid w:val="00E03817"/>
    <w:rsid w:val="00E03885"/>
    <w:rsid w:val="00E03950"/>
    <w:rsid w:val="00E0396C"/>
    <w:rsid w:val="00E03A4D"/>
    <w:rsid w:val="00E03AB4"/>
    <w:rsid w:val="00E03ABF"/>
    <w:rsid w:val="00E03BA0"/>
    <w:rsid w:val="00E03C41"/>
    <w:rsid w:val="00E03CE1"/>
    <w:rsid w:val="00E03F1D"/>
    <w:rsid w:val="00E03F86"/>
    <w:rsid w:val="00E0408D"/>
    <w:rsid w:val="00E04349"/>
    <w:rsid w:val="00E044A8"/>
    <w:rsid w:val="00E044CE"/>
    <w:rsid w:val="00E0453F"/>
    <w:rsid w:val="00E04652"/>
    <w:rsid w:val="00E04663"/>
    <w:rsid w:val="00E04665"/>
    <w:rsid w:val="00E0482D"/>
    <w:rsid w:val="00E049D8"/>
    <w:rsid w:val="00E04AA7"/>
    <w:rsid w:val="00E04B37"/>
    <w:rsid w:val="00E04DF6"/>
    <w:rsid w:val="00E04F58"/>
    <w:rsid w:val="00E04F66"/>
    <w:rsid w:val="00E04F86"/>
    <w:rsid w:val="00E05090"/>
    <w:rsid w:val="00E050CA"/>
    <w:rsid w:val="00E0525A"/>
    <w:rsid w:val="00E052DB"/>
    <w:rsid w:val="00E0536E"/>
    <w:rsid w:val="00E05459"/>
    <w:rsid w:val="00E054AC"/>
    <w:rsid w:val="00E0553B"/>
    <w:rsid w:val="00E057D3"/>
    <w:rsid w:val="00E05876"/>
    <w:rsid w:val="00E058F2"/>
    <w:rsid w:val="00E0596C"/>
    <w:rsid w:val="00E059D8"/>
    <w:rsid w:val="00E05ACA"/>
    <w:rsid w:val="00E05C97"/>
    <w:rsid w:val="00E05CF2"/>
    <w:rsid w:val="00E05FC1"/>
    <w:rsid w:val="00E0604F"/>
    <w:rsid w:val="00E060CE"/>
    <w:rsid w:val="00E0618C"/>
    <w:rsid w:val="00E061BE"/>
    <w:rsid w:val="00E061F9"/>
    <w:rsid w:val="00E062CF"/>
    <w:rsid w:val="00E0632C"/>
    <w:rsid w:val="00E063D6"/>
    <w:rsid w:val="00E06482"/>
    <w:rsid w:val="00E064E0"/>
    <w:rsid w:val="00E06904"/>
    <w:rsid w:val="00E069F5"/>
    <w:rsid w:val="00E06F03"/>
    <w:rsid w:val="00E06F6B"/>
    <w:rsid w:val="00E06F8E"/>
    <w:rsid w:val="00E070C8"/>
    <w:rsid w:val="00E070F8"/>
    <w:rsid w:val="00E070FB"/>
    <w:rsid w:val="00E0712C"/>
    <w:rsid w:val="00E071A7"/>
    <w:rsid w:val="00E071C8"/>
    <w:rsid w:val="00E07315"/>
    <w:rsid w:val="00E0732D"/>
    <w:rsid w:val="00E07334"/>
    <w:rsid w:val="00E07339"/>
    <w:rsid w:val="00E07413"/>
    <w:rsid w:val="00E074EA"/>
    <w:rsid w:val="00E0758E"/>
    <w:rsid w:val="00E075C0"/>
    <w:rsid w:val="00E076CF"/>
    <w:rsid w:val="00E0776D"/>
    <w:rsid w:val="00E07A2E"/>
    <w:rsid w:val="00E07BE1"/>
    <w:rsid w:val="00E07D18"/>
    <w:rsid w:val="00E07DF2"/>
    <w:rsid w:val="00E07F1A"/>
    <w:rsid w:val="00E07F46"/>
    <w:rsid w:val="00E07FC0"/>
    <w:rsid w:val="00E101EF"/>
    <w:rsid w:val="00E10204"/>
    <w:rsid w:val="00E105B5"/>
    <w:rsid w:val="00E108E5"/>
    <w:rsid w:val="00E1092C"/>
    <w:rsid w:val="00E109A5"/>
    <w:rsid w:val="00E10B45"/>
    <w:rsid w:val="00E10CBF"/>
    <w:rsid w:val="00E10DAF"/>
    <w:rsid w:val="00E10E5C"/>
    <w:rsid w:val="00E111D0"/>
    <w:rsid w:val="00E112CB"/>
    <w:rsid w:val="00E1157C"/>
    <w:rsid w:val="00E1162C"/>
    <w:rsid w:val="00E11639"/>
    <w:rsid w:val="00E116D8"/>
    <w:rsid w:val="00E11782"/>
    <w:rsid w:val="00E11787"/>
    <w:rsid w:val="00E11899"/>
    <w:rsid w:val="00E118A4"/>
    <w:rsid w:val="00E11940"/>
    <w:rsid w:val="00E11A44"/>
    <w:rsid w:val="00E11D0E"/>
    <w:rsid w:val="00E11DC3"/>
    <w:rsid w:val="00E11E2F"/>
    <w:rsid w:val="00E11F95"/>
    <w:rsid w:val="00E120B3"/>
    <w:rsid w:val="00E12143"/>
    <w:rsid w:val="00E12172"/>
    <w:rsid w:val="00E1241A"/>
    <w:rsid w:val="00E1246E"/>
    <w:rsid w:val="00E124A5"/>
    <w:rsid w:val="00E124BC"/>
    <w:rsid w:val="00E125C1"/>
    <w:rsid w:val="00E125C2"/>
    <w:rsid w:val="00E125CE"/>
    <w:rsid w:val="00E12651"/>
    <w:rsid w:val="00E12789"/>
    <w:rsid w:val="00E12850"/>
    <w:rsid w:val="00E1287A"/>
    <w:rsid w:val="00E128F2"/>
    <w:rsid w:val="00E12A56"/>
    <w:rsid w:val="00E12A88"/>
    <w:rsid w:val="00E12BF8"/>
    <w:rsid w:val="00E12C2C"/>
    <w:rsid w:val="00E12C43"/>
    <w:rsid w:val="00E12C64"/>
    <w:rsid w:val="00E12D59"/>
    <w:rsid w:val="00E12D6E"/>
    <w:rsid w:val="00E12D8B"/>
    <w:rsid w:val="00E12DE3"/>
    <w:rsid w:val="00E12FEB"/>
    <w:rsid w:val="00E13098"/>
    <w:rsid w:val="00E131C9"/>
    <w:rsid w:val="00E13256"/>
    <w:rsid w:val="00E13258"/>
    <w:rsid w:val="00E13315"/>
    <w:rsid w:val="00E13562"/>
    <w:rsid w:val="00E1356E"/>
    <w:rsid w:val="00E1395D"/>
    <w:rsid w:val="00E13A8C"/>
    <w:rsid w:val="00E13B1D"/>
    <w:rsid w:val="00E13D69"/>
    <w:rsid w:val="00E13DC3"/>
    <w:rsid w:val="00E13E61"/>
    <w:rsid w:val="00E13E87"/>
    <w:rsid w:val="00E13F40"/>
    <w:rsid w:val="00E141F3"/>
    <w:rsid w:val="00E1426E"/>
    <w:rsid w:val="00E143B1"/>
    <w:rsid w:val="00E143DC"/>
    <w:rsid w:val="00E14420"/>
    <w:rsid w:val="00E144EE"/>
    <w:rsid w:val="00E146AA"/>
    <w:rsid w:val="00E146BE"/>
    <w:rsid w:val="00E146C3"/>
    <w:rsid w:val="00E147BE"/>
    <w:rsid w:val="00E149BC"/>
    <w:rsid w:val="00E14A6A"/>
    <w:rsid w:val="00E14AD6"/>
    <w:rsid w:val="00E14B66"/>
    <w:rsid w:val="00E14BC5"/>
    <w:rsid w:val="00E14C80"/>
    <w:rsid w:val="00E14C8C"/>
    <w:rsid w:val="00E14CF3"/>
    <w:rsid w:val="00E14DCB"/>
    <w:rsid w:val="00E14DE5"/>
    <w:rsid w:val="00E14EF3"/>
    <w:rsid w:val="00E15198"/>
    <w:rsid w:val="00E151B7"/>
    <w:rsid w:val="00E152B5"/>
    <w:rsid w:val="00E152FF"/>
    <w:rsid w:val="00E15318"/>
    <w:rsid w:val="00E15418"/>
    <w:rsid w:val="00E1543C"/>
    <w:rsid w:val="00E15620"/>
    <w:rsid w:val="00E15654"/>
    <w:rsid w:val="00E1579F"/>
    <w:rsid w:val="00E1586C"/>
    <w:rsid w:val="00E15963"/>
    <w:rsid w:val="00E1596D"/>
    <w:rsid w:val="00E1599F"/>
    <w:rsid w:val="00E15C5A"/>
    <w:rsid w:val="00E15DC7"/>
    <w:rsid w:val="00E15EAC"/>
    <w:rsid w:val="00E15F5E"/>
    <w:rsid w:val="00E15F75"/>
    <w:rsid w:val="00E16013"/>
    <w:rsid w:val="00E160E4"/>
    <w:rsid w:val="00E1614A"/>
    <w:rsid w:val="00E1618E"/>
    <w:rsid w:val="00E16399"/>
    <w:rsid w:val="00E16430"/>
    <w:rsid w:val="00E16456"/>
    <w:rsid w:val="00E1649B"/>
    <w:rsid w:val="00E164F7"/>
    <w:rsid w:val="00E16534"/>
    <w:rsid w:val="00E1653E"/>
    <w:rsid w:val="00E16562"/>
    <w:rsid w:val="00E1679B"/>
    <w:rsid w:val="00E16873"/>
    <w:rsid w:val="00E168E5"/>
    <w:rsid w:val="00E16994"/>
    <w:rsid w:val="00E16B1C"/>
    <w:rsid w:val="00E16CD6"/>
    <w:rsid w:val="00E16D09"/>
    <w:rsid w:val="00E16E9B"/>
    <w:rsid w:val="00E16F06"/>
    <w:rsid w:val="00E17003"/>
    <w:rsid w:val="00E1704F"/>
    <w:rsid w:val="00E17052"/>
    <w:rsid w:val="00E17064"/>
    <w:rsid w:val="00E170B8"/>
    <w:rsid w:val="00E170D3"/>
    <w:rsid w:val="00E171F9"/>
    <w:rsid w:val="00E1721B"/>
    <w:rsid w:val="00E1725B"/>
    <w:rsid w:val="00E1729A"/>
    <w:rsid w:val="00E1755A"/>
    <w:rsid w:val="00E175A0"/>
    <w:rsid w:val="00E175C1"/>
    <w:rsid w:val="00E17760"/>
    <w:rsid w:val="00E17788"/>
    <w:rsid w:val="00E178EB"/>
    <w:rsid w:val="00E17962"/>
    <w:rsid w:val="00E17AE6"/>
    <w:rsid w:val="00E17B3C"/>
    <w:rsid w:val="00E17E4B"/>
    <w:rsid w:val="00E17F83"/>
    <w:rsid w:val="00E20069"/>
    <w:rsid w:val="00E201CA"/>
    <w:rsid w:val="00E20245"/>
    <w:rsid w:val="00E2049D"/>
    <w:rsid w:val="00E204DA"/>
    <w:rsid w:val="00E2058E"/>
    <w:rsid w:val="00E207B5"/>
    <w:rsid w:val="00E207FC"/>
    <w:rsid w:val="00E208A6"/>
    <w:rsid w:val="00E20988"/>
    <w:rsid w:val="00E209FF"/>
    <w:rsid w:val="00E20C48"/>
    <w:rsid w:val="00E20C85"/>
    <w:rsid w:val="00E20C97"/>
    <w:rsid w:val="00E20FE0"/>
    <w:rsid w:val="00E21248"/>
    <w:rsid w:val="00E21344"/>
    <w:rsid w:val="00E213A9"/>
    <w:rsid w:val="00E2141F"/>
    <w:rsid w:val="00E21637"/>
    <w:rsid w:val="00E216D8"/>
    <w:rsid w:val="00E216FA"/>
    <w:rsid w:val="00E2171B"/>
    <w:rsid w:val="00E2198B"/>
    <w:rsid w:val="00E219EF"/>
    <w:rsid w:val="00E21A17"/>
    <w:rsid w:val="00E21A54"/>
    <w:rsid w:val="00E21A95"/>
    <w:rsid w:val="00E21BFA"/>
    <w:rsid w:val="00E21C3F"/>
    <w:rsid w:val="00E21C4C"/>
    <w:rsid w:val="00E21D40"/>
    <w:rsid w:val="00E21DA3"/>
    <w:rsid w:val="00E21DC5"/>
    <w:rsid w:val="00E21DD9"/>
    <w:rsid w:val="00E21E55"/>
    <w:rsid w:val="00E21E7A"/>
    <w:rsid w:val="00E21ED0"/>
    <w:rsid w:val="00E21F3B"/>
    <w:rsid w:val="00E2203B"/>
    <w:rsid w:val="00E221A6"/>
    <w:rsid w:val="00E221BC"/>
    <w:rsid w:val="00E2239C"/>
    <w:rsid w:val="00E224CC"/>
    <w:rsid w:val="00E2252B"/>
    <w:rsid w:val="00E2281F"/>
    <w:rsid w:val="00E228A2"/>
    <w:rsid w:val="00E2292B"/>
    <w:rsid w:val="00E2299F"/>
    <w:rsid w:val="00E22B7C"/>
    <w:rsid w:val="00E22C4D"/>
    <w:rsid w:val="00E22D7C"/>
    <w:rsid w:val="00E23053"/>
    <w:rsid w:val="00E2312A"/>
    <w:rsid w:val="00E2314F"/>
    <w:rsid w:val="00E2319E"/>
    <w:rsid w:val="00E233E6"/>
    <w:rsid w:val="00E2345C"/>
    <w:rsid w:val="00E234BD"/>
    <w:rsid w:val="00E23508"/>
    <w:rsid w:val="00E2358A"/>
    <w:rsid w:val="00E2360F"/>
    <w:rsid w:val="00E23743"/>
    <w:rsid w:val="00E23824"/>
    <w:rsid w:val="00E23838"/>
    <w:rsid w:val="00E23A4E"/>
    <w:rsid w:val="00E23A95"/>
    <w:rsid w:val="00E23B33"/>
    <w:rsid w:val="00E23B3E"/>
    <w:rsid w:val="00E23B94"/>
    <w:rsid w:val="00E23EE4"/>
    <w:rsid w:val="00E23F22"/>
    <w:rsid w:val="00E23FAE"/>
    <w:rsid w:val="00E2424A"/>
    <w:rsid w:val="00E243B8"/>
    <w:rsid w:val="00E243E7"/>
    <w:rsid w:val="00E24436"/>
    <w:rsid w:val="00E24448"/>
    <w:rsid w:val="00E244EF"/>
    <w:rsid w:val="00E2466C"/>
    <w:rsid w:val="00E246B6"/>
    <w:rsid w:val="00E2493A"/>
    <w:rsid w:val="00E24C6B"/>
    <w:rsid w:val="00E24C72"/>
    <w:rsid w:val="00E24CB8"/>
    <w:rsid w:val="00E24EB2"/>
    <w:rsid w:val="00E24ED6"/>
    <w:rsid w:val="00E24EF5"/>
    <w:rsid w:val="00E24F2B"/>
    <w:rsid w:val="00E2516E"/>
    <w:rsid w:val="00E25455"/>
    <w:rsid w:val="00E25458"/>
    <w:rsid w:val="00E2579F"/>
    <w:rsid w:val="00E257BB"/>
    <w:rsid w:val="00E25868"/>
    <w:rsid w:val="00E2588F"/>
    <w:rsid w:val="00E258B0"/>
    <w:rsid w:val="00E258BC"/>
    <w:rsid w:val="00E2596F"/>
    <w:rsid w:val="00E259BB"/>
    <w:rsid w:val="00E25A98"/>
    <w:rsid w:val="00E25B5E"/>
    <w:rsid w:val="00E25B8B"/>
    <w:rsid w:val="00E25BE1"/>
    <w:rsid w:val="00E25C16"/>
    <w:rsid w:val="00E25C31"/>
    <w:rsid w:val="00E25C3A"/>
    <w:rsid w:val="00E25E07"/>
    <w:rsid w:val="00E25E4A"/>
    <w:rsid w:val="00E25EE6"/>
    <w:rsid w:val="00E260E1"/>
    <w:rsid w:val="00E2638C"/>
    <w:rsid w:val="00E263F1"/>
    <w:rsid w:val="00E26503"/>
    <w:rsid w:val="00E2655E"/>
    <w:rsid w:val="00E2662E"/>
    <w:rsid w:val="00E26632"/>
    <w:rsid w:val="00E266F0"/>
    <w:rsid w:val="00E26719"/>
    <w:rsid w:val="00E2682F"/>
    <w:rsid w:val="00E26A74"/>
    <w:rsid w:val="00E26F43"/>
    <w:rsid w:val="00E27178"/>
    <w:rsid w:val="00E271D7"/>
    <w:rsid w:val="00E27231"/>
    <w:rsid w:val="00E27246"/>
    <w:rsid w:val="00E27341"/>
    <w:rsid w:val="00E274E6"/>
    <w:rsid w:val="00E275AE"/>
    <w:rsid w:val="00E276BE"/>
    <w:rsid w:val="00E27739"/>
    <w:rsid w:val="00E277B6"/>
    <w:rsid w:val="00E27846"/>
    <w:rsid w:val="00E27874"/>
    <w:rsid w:val="00E278E7"/>
    <w:rsid w:val="00E27930"/>
    <w:rsid w:val="00E27AEA"/>
    <w:rsid w:val="00E27B45"/>
    <w:rsid w:val="00E27D9C"/>
    <w:rsid w:val="00E27E81"/>
    <w:rsid w:val="00E27FA7"/>
    <w:rsid w:val="00E27FD2"/>
    <w:rsid w:val="00E300BA"/>
    <w:rsid w:val="00E300FD"/>
    <w:rsid w:val="00E30268"/>
    <w:rsid w:val="00E3028C"/>
    <w:rsid w:val="00E302B4"/>
    <w:rsid w:val="00E3034C"/>
    <w:rsid w:val="00E3044D"/>
    <w:rsid w:val="00E30459"/>
    <w:rsid w:val="00E305A0"/>
    <w:rsid w:val="00E305EB"/>
    <w:rsid w:val="00E305ED"/>
    <w:rsid w:val="00E30606"/>
    <w:rsid w:val="00E3062B"/>
    <w:rsid w:val="00E3065C"/>
    <w:rsid w:val="00E30666"/>
    <w:rsid w:val="00E306DE"/>
    <w:rsid w:val="00E30787"/>
    <w:rsid w:val="00E307FC"/>
    <w:rsid w:val="00E30835"/>
    <w:rsid w:val="00E308A2"/>
    <w:rsid w:val="00E30B4D"/>
    <w:rsid w:val="00E30B8D"/>
    <w:rsid w:val="00E30BA1"/>
    <w:rsid w:val="00E30C3B"/>
    <w:rsid w:val="00E30C6A"/>
    <w:rsid w:val="00E30CFD"/>
    <w:rsid w:val="00E30DFD"/>
    <w:rsid w:val="00E30E14"/>
    <w:rsid w:val="00E30E26"/>
    <w:rsid w:val="00E30EA0"/>
    <w:rsid w:val="00E30F08"/>
    <w:rsid w:val="00E310B2"/>
    <w:rsid w:val="00E3142E"/>
    <w:rsid w:val="00E31465"/>
    <w:rsid w:val="00E314A8"/>
    <w:rsid w:val="00E314CA"/>
    <w:rsid w:val="00E314FF"/>
    <w:rsid w:val="00E3162E"/>
    <w:rsid w:val="00E31759"/>
    <w:rsid w:val="00E31763"/>
    <w:rsid w:val="00E31789"/>
    <w:rsid w:val="00E3183B"/>
    <w:rsid w:val="00E3185D"/>
    <w:rsid w:val="00E31A66"/>
    <w:rsid w:val="00E31ACB"/>
    <w:rsid w:val="00E31B71"/>
    <w:rsid w:val="00E31C2D"/>
    <w:rsid w:val="00E31C4E"/>
    <w:rsid w:val="00E31EB6"/>
    <w:rsid w:val="00E31F1B"/>
    <w:rsid w:val="00E31F88"/>
    <w:rsid w:val="00E32028"/>
    <w:rsid w:val="00E32057"/>
    <w:rsid w:val="00E320B2"/>
    <w:rsid w:val="00E320F8"/>
    <w:rsid w:val="00E32121"/>
    <w:rsid w:val="00E32219"/>
    <w:rsid w:val="00E322AC"/>
    <w:rsid w:val="00E322F1"/>
    <w:rsid w:val="00E32341"/>
    <w:rsid w:val="00E3241A"/>
    <w:rsid w:val="00E32516"/>
    <w:rsid w:val="00E325C3"/>
    <w:rsid w:val="00E326F9"/>
    <w:rsid w:val="00E3272B"/>
    <w:rsid w:val="00E328C1"/>
    <w:rsid w:val="00E328D2"/>
    <w:rsid w:val="00E328DB"/>
    <w:rsid w:val="00E32974"/>
    <w:rsid w:val="00E329DF"/>
    <w:rsid w:val="00E32A7B"/>
    <w:rsid w:val="00E32AAD"/>
    <w:rsid w:val="00E32ACA"/>
    <w:rsid w:val="00E32AF6"/>
    <w:rsid w:val="00E32BD7"/>
    <w:rsid w:val="00E32CA9"/>
    <w:rsid w:val="00E32E03"/>
    <w:rsid w:val="00E32EC9"/>
    <w:rsid w:val="00E32FA2"/>
    <w:rsid w:val="00E33048"/>
    <w:rsid w:val="00E3314C"/>
    <w:rsid w:val="00E331F8"/>
    <w:rsid w:val="00E332B3"/>
    <w:rsid w:val="00E3348D"/>
    <w:rsid w:val="00E3351D"/>
    <w:rsid w:val="00E3352C"/>
    <w:rsid w:val="00E33601"/>
    <w:rsid w:val="00E33853"/>
    <w:rsid w:val="00E33A0E"/>
    <w:rsid w:val="00E33B54"/>
    <w:rsid w:val="00E33D55"/>
    <w:rsid w:val="00E33FF6"/>
    <w:rsid w:val="00E34176"/>
    <w:rsid w:val="00E34238"/>
    <w:rsid w:val="00E3427C"/>
    <w:rsid w:val="00E34408"/>
    <w:rsid w:val="00E3443C"/>
    <w:rsid w:val="00E34475"/>
    <w:rsid w:val="00E34479"/>
    <w:rsid w:val="00E345DE"/>
    <w:rsid w:val="00E34723"/>
    <w:rsid w:val="00E3496E"/>
    <w:rsid w:val="00E34A1A"/>
    <w:rsid w:val="00E34BDD"/>
    <w:rsid w:val="00E34C8B"/>
    <w:rsid w:val="00E34CA5"/>
    <w:rsid w:val="00E34CCA"/>
    <w:rsid w:val="00E34CE4"/>
    <w:rsid w:val="00E34E71"/>
    <w:rsid w:val="00E34EC6"/>
    <w:rsid w:val="00E34F6D"/>
    <w:rsid w:val="00E35010"/>
    <w:rsid w:val="00E35113"/>
    <w:rsid w:val="00E35573"/>
    <w:rsid w:val="00E35643"/>
    <w:rsid w:val="00E357F1"/>
    <w:rsid w:val="00E3596E"/>
    <w:rsid w:val="00E35A58"/>
    <w:rsid w:val="00E35BE4"/>
    <w:rsid w:val="00E35E0A"/>
    <w:rsid w:val="00E35E6C"/>
    <w:rsid w:val="00E35EE3"/>
    <w:rsid w:val="00E35F75"/>
    <w:rsid w:val="00E35FC8"/>
    <w:rsid w:val="00E36000"/>
    <w:rsid w:val="00E3612A"/>
    <w:rsid w:val="00E36272"/>
    <w:rsid w:val="00E36290"/>
    <w:rsid w:val="00E363F3"/>
    <w:rsid w:val="00E36539"/>
    <w:rsid w:val="00E367A1"/>
    <w:rsid w:val="00E367DC"/>
    <w:rsid w:val="00E3684F"/>
    <w:rsid w:val="00E36B99"/>
    <w:rsid w:val="00E36D40"/>
    <w:rsid w:val="00E36D44"/>
    <w:rsid w:val="00E36E92"/>
    <w:rsid w:val="00E36EA1"/>
    <w:rsid w:val="00E36F39"/>
    <w:rsid w:val="00E36FC5"/>
    <w:rsid w:val="00E36FD0"/>
    <w:rsid w:val="00E37017"/>
    <w:rsid w:val="00E371BB"/>
    <w:rsid w:val="00E371FD"/>
    <w:rsid w:val="00E372A5"/>
    <w:rsid w:val="00E37422"/>
    <w:rsid w:val="00E37708"/>
    <w:rsid w:val="00E37815"/>
    <w:rsid w:val="00E37878"/>
    <w:rsid w:val="00E378F7"/>
    <w:rsid w:val="00E379B4"/>
    <w:rsid w:val="00E37B27"/>
    <w:rsid w:val="00E37B7D"/>
    <w:rsid w:val="00E37CA6"/>
    <w:rsid w:val="00E37EC0"/>
    <w:rsid w:val="00E37ED9"/>
    <w:rsid w:val="00E37FB9"/>
    <w:rsid w:val="00E40323"/>
    <w:rsid w:val="00E403F8"/>
    <w:rsid w:val="00E40414"/>
    <w:rsid w:val="00E40436"/>
    <w:rsid w:val="00E4045F"/>
    <w:rsid w:val="00E4049A"/>
    <w:rsid w:val="00E404BF"/>
    <w:rsid w:val="00E40591"/>
    <w:rsid w:val="00E405B2"/>
    <w:rsid w:val="00E405E9"/>
    <w:rsid w:val="00E4060F"/>
    <w:rsid w:val="00E4083A"/>
    <w:rsid w:val="00E4087D"/>
    <w:rsid w:val="00E409F7"/>
    <w:rsid w:val="00E40AB8"/>
    <w:rsid w:val="00E40DF4"/>
    <w:rsid w:val="00E40EB7"/>
    <w:rsid w:val="00E40F27"/>
    <w:rsid w:val="00E40F7B"/>
    <w:rsid w:val="00E40F89"/>
    <w:rsid w:val="00E40FF7"/>
    <w:rsid w:val="00E41092"/>
    <w:rsid w:val="00E410A5"/>
    <w:rsid w:val="00E4120E"/>
    <w:rsid w:val="00E413C1"/>
    <w:rsid w:val="00E413D5"/>
    <w:rsid w:val="00E4145A"/>
    <w:rsid w:val="00E414B0"/>
    <w:rsid w:val="00E41785"/>
    <w:rsid w:val="00E417BC"/>
    <w:rsid w:val="00E417E7"/>
    <w:rsid w:val="00E41988"/>
    <w:rsid w:val="00E41991"/>
    <w:rsid w:val="00E41A32"/>
    <w:rsid w:val="00E41A97"/>
    <w:rsid w:val="00E41AE1"/>
    <w:rsid w:val="00E41AF7"/>
    <w:rsid w:val="00E41C64"/>
    <w:rsid w:val="00E41CDA"/>
    <w:rsid w:val="00E41EC0"/>
    <w:rsid w:val="00E41F8E"/>
    <w:rsid w:val="00E41FE5"/>
    <w:rsid w:val="00E4203F"/>
    <w:rsid w:val="00E42094"/>
    <w:rsid w:val="00E42115"/>
    <w:rsid w:val="00E4214A"/>
    <w:rsid w:val="00E42160"/>
    <w:rsid w:val="00E4225F"/>
    <w:rsid w:val="00E422C1"/>
    <w:rsid w:val="00E42568"/>
    <w:rsid w:val="00E425B6"/>
    <w:rsid w:val="00E426D9"/>
    <w:rsid w:val="00E42753"/>
    <w:rsid w:val="00E42784"/>
    <w:rsid w:val="00E427A0"/>
    <w:rsid w:val="00E4294C"/>
    <w:rsid w:val="00E429CC"/>
    <w:rsid w:val="00E42A6F"/>
    <w:rsid w:val="00E42B86"/>
    <w:rsid w:val="00E42BEB"/>
    <w:rsid w:val="00E42CAF"/>
    <w:rsid w:val="00E42E30"/>
    <w:rsid w:val="00E42EBD"/>
    <w:rsid w:val="00E42F3C"/>
    <w:rsid w:val="00E42F5E"/>
    <w:rsid w:val="00E42FAE"/>
    <w:rsid w:val="00E42FCC"/>
    <w:rsid w:val="00E43193"/>
    <w:rsid w:val="00E431D1"/>
    <w:rsid w:val="00E43268"/>
    <w:rsid w:val="00E432D9"/>
    <w:rsid w:val="00E43323"/>
    <w:rsid w:val="00E433D4"/>
    <w:rsid w:val="00E43431"/>
    <w:rsid w:val="00E4348C"/>
    <w:rsid w:val="00E435E9"/>
    <w:rsid w:val="00E437E0"/>
    <w:rsid w:val="00E43842"/>
    <w:rsid w:val="00E43895"/>
    <w:rsid w:val="00E43902"/>
    <w:rsid w:val="00E439BA"/>
    <w:rsid w:val="00E43A91"/>
    <w:rsid w:val="00E43AA6"/>
    <w:rsid w:val="00E43ABA"/>
    <w:rsid w:val="00E43AD8"/>
    <w:rsid w:val="00E43B96"/>
    <w:rsid w:val="00E43C57"/>
    <w:rsid w:val="00E43C5B"/>
    <w:rsid w:val="00E43CD9"/>
    <w:rsid w:val="00E43E06"/>
    <w:rsid w:val="00E43EEC"/>
    <w:rsid w:val="00E43F61"/>
    <w:rsid w:val="00E4400E"/>
    <w:rsid w:val="00E4404F"/>
    <w:rsid w:val="00E4406B"/>
    <w:rsid w:val="00E441A7"/>
    <w:rsid w:val="00E441BC"/>
    <w:rsid w:val="00E441E0"/>
    <w:rsid w:val="00E4421B"/>
    <w:rsid w:val="00E443B5"/>
    <w:rsid w:val="00E44424"/>
    <w:rsid w:val="00E44549"/>
    <w:rsid w:val="00E445DE"/>
    <w:rsid w:val="00E44642"/>
    <w:rsid w:val="00E44732"/>
    <w:rsid w:val="00E448A0"/>
    <w:rsid w:val="00E448B9"/>
    <w:rsid w:val="00E448E8"/>
    <w:rsid w:val="00E44A0F"/>
    <w:rsid w:val="00E44C66"/>
    <w:rsid w:val="00E44C7D"/>
    <w:rsid w:val="00E44CD2"/>
    <w:rsid w:val="00E44CDF"/>
    <w:rsid w:val="00E44D0A"/>
    <w:rsid w:val="00E44DB7"/>
    <w:rsid w:val="00E44E89"/>
    <w:rsid w:val="00E44F34"/>
    <w:rsid w:val="00E44F48"/>
    <w:rsid w:val="00E4508C"/>
    <w:rsid w:val="00E4510E"/>
    <w:rsid w:val="00E45127"/>
    <w:rsid w:val="00E4538B"/>
    <w:rsid w:val="00E45395"/>
    <w:rsid w:val="00E45424"/>
    <w:rsid w:val="00E45437"/>
    <w:rsid w:val="00E454F8"/>
    <w:rsid w:val="00E4559F"/>
    <w:rsid w:val="00E45628"/>
    <w:rsid w:val="00E4566F"/>
    <w:rsid w:val="00E45716"/>
    <w:rsid w:val="00E45782"/>
    <w:rsid w:val="00E457D5"/>
    <w:rsid w:val="00E45810"/>
    <w:rsid w:val="00E458A3"/>
    <w:rsid w:val="00E458BE"/>
    <w:rsid w:val="00E458C4"/>
    <w:rsid w:val="00E45996"/>
    <w:rsid w:val="00E459AA"/>
    <w:rsid w:val="00E45AD2"/>
    <w:rsid w:val="00E45C77"/>
    <w:rsid w:val="00E45C85"/>
    <w:rsid w:val="00E45D20"/>
    <w:rsid w:val="00E45DAE"/>
    <w:rsid w:val="00E45DE1"/>
    <w:rsid w:val="00E45E33"/>
    <w:rsid w:val="00E45E3A"/>
    <w:rsid w:val="00E4603A"/>
    <w:rsid w:val="00E460A3"/>
    <w:rsid w:val="00E460D6"/>
    <w:rsid w:val="00E4632E"/>
    <w:rsid w:val="00E4640F"/>
    <w:rsid w:val="00E46416"/>
    <w:rsid w:val="00E46538"/>
    <w:rsid w:val="00E4665B"/>
    <w:rsid w:val="00E4668E"/>
    <w:rsid w:val="00E468E7"/>
    <w:rsid w:val="00E469F5"/>
    <w:rsid w:val="00E46A62"/>
    <w:rsid w:val="00E46C22"/>
    <w:rsid w:val="00E46C2A"/>
    <w:rsid w:val="00E46C46"/>
    <w:rsid w:val="00E46C5A"/>
    <w:rsid w:val="00E46CCB"/>
    <w:rsid w:val="00E46CD5"/>
    <w:rsid w:val="00E46D9B"/>
    <w:rsid w:val="00E46DDE"/>
    <w:rsid w:val="00E4708C"/>
    <w:rsid w:val="00E47199"/>
    <w:rsid w:val="00E47305"/>
    <w:rsid w:val="00E474C1"/>
    <w:rsid w:val="00E474DD"/>
    <w:rsid w:val="00E47555"/>
    <w:rsid w:val="00E4758B"/>
    <w:rsid w:val="00E475BE"/>
    <w:rsid w:val="00E4761C"/>
    <w:rsid w:val="00E4767C"/>
    <w:rsid w:val="00E4770F"/>
    <w:rsid w:val="00E47799"/>
    <w:rsid w:val="00E478A7"/>
    <w:rsid w:val="00E4792A"/>
    <w:rsid w:val="00E47936"/>
    <w:rsid w:val="00E47B43"/>
    <w:rsid w:val="00E47BA7"/>
    <w:rsid w:val="00E47CCF"/>
    <w:rsid w:val="00E47D4B"/>
    <w:rsid w:val="00E47DB0"/>
    <w:rsid w:val="00E47F1B"/>
    <w:rsid w:val="00E50230"/>
    <w:rsid w:val="00E50374"/>
    <w:rsid w:val="00E5051A"/>
    <w:rsid w:val="00E5072F"/>
    <w:rsid w:val="00E5075A"/>
    <w:rsid w:val="00E507C6"/>
    <w:rsid w:val="00E507EF"/>
    <w:rsid w:val="00E50817"/>
    <w:rsid w:val="00E50A13"/>
    <w:rsid w:val="00E50CB0"/>
    <w:rsid w:val="00E50D4A"/>
    <w:rsid w:val="00E50D64"/>
    <w:rsid w:val="00E50D6A"/>
    <w:rsid w:val="00E50DA7"/>
    <w:rsid w:val="00E50E26"/>
    <w:rsid w:val="00E50FF8"/>
    <w:rsid w:val="00E51001"/>
    <w:rsid w:val="00E511C4"/>
    <w:rsid w:val="00E511E1"/>
    <w:rsid w:val="00E5129E"/>
    <w:rsid w:val="00E512ED"/>
    <w:rsid w:val="00E51343"/>
    <w:rsid w:val="00E51358"/>
    <w:rsid w:val="00E5142E"/>
    <w:rsid w:val="00E5143D"/>
    <w:rsid w:val="00E51603"/>
    <w:rsid w:val="00E51606"/>
    <w:rsid w:val="00E51706"/>
    <w:rsid w:val="00E518C0"/>
    <w:rsid w:val="00E51A1F"/>
    <w:rsid w:val="00E51A42"/>
    <w:rsid w:val="00E51C4D"/>
    <w:rsid w:val="00E51CE4"/>
    <w:rsid w:val="00E51ED8"/>
    <w:rsid w:val="00E5205E"/>
    <w:rsid w:val="00E52101"/>
    <w:rsid w:val="00E5216C"/>
    <w:rsid w:val="00E5221A"/>
    <w:rsid w:val="00E52543"/>
    <w:rsid w:val="00E52681"/>
    <w:rsid w:val="00E527B2"/>
    <w:rsid w:val="00E52949"/>
    <w:rsid w:val="00E52A11"/>
    <w:rsid w:val="00E52AA2"/>
    <w:rsid w:val="00E52C8E"/>
    <w:rsid w:val="00E52E6B"/>
    <w:rsid w:val="00E52E93"/>
    <w:rsid w:val="00E52EA4"/>
    <w:rsid w:val="00E53063"/>
    <w:rsid w:val="00E53149"/>
    <w:rsid w:val="00E531C3"/>
    <w:rsid w:val="00E534AD"/>
    <w:rsid w:val="00E53501"/>
    <w:rsid w:val="00E5352D"/>
    <w:rsid w:val="00E536B4"/>
    <w:rsid w:val="00E5378A"/>
    <w:rsid w:val="00E5388E"/>
    <w:rsid w:val="00E538E4"/>
    <w:rsid w:val="00E5394C"/>
    <w:rsid w:val="00E53965"/>
    <w:rsid w:val="00E5398C"/>
    <w:rsid w:val="00E539BC"/>
    <w:rsid w:val="00E53B8F"/>
    <w:rsid w:val="00E53B9B"/>
    <w:rsid w:val="00E53BFF"/>
    <w:rsid w:val="00E53EEE"/>
    <w:rsid w:val="00E542F0"/>
    <w:rsid w:val="00E54343"/>
    <w:rsid w:val="00E54477"/>
    <w:rsid w:val="00E54488"/>
    <w:rsid w:val="00E5448F"/>
    <w:rsid w:val="00E54583"/>
    <w:rsid w:val="00E545C6"/>
    <w:rsid w:val="00E5472E"/>
    <w:rsid w:val="00E547C4"/>
    <w:rsid w:val="00E549C9"/>
    <w:rsid w:val="00E54A30"/>
    <w:rsid w:val="00E54B45"/>
    <w:rsid w:val="00E54B7F"/>
    <w:rsid w:val="00E54B90"/>
    <w:rsid w:val="00E54C0E"/>
    <w:rsid w:val="00E54C5D"/>
    <w:rsid w:val="00E54D37"/>
    <w:rsid w:val="00E54DAC"/>
    <w:rsid w:val="00E54DE5"/>
    <w:rsid w:val="00E54DE7"/>
    <w:rsid w:val="00E54E4E"/>
    <w:rsid w:val="00E54F44"/>
    <w:rsid w:val="00E54FA3"/>
    <w:rsid w:val="00E54FFF"/>
    <w:rsid w:val="00E553AF"/>
    <w:rsid w:val="00E55545"/>
    <w:rsid w:val="00E555BD"/>
    <w:rsid w:val="00E555C7"/>
    <w:rsid w:val="00E55640"/>
    <w:rsid w:val="00E55680"/>
    <w:rsid w:val="00E556EB"/>
    <w:rsid w:val="00E55782"/>
    <w:rsid w:val="00E558D5"/>
    <w:rsid w:val="00E55A16"/>
    <w:rsid w:val="00E55A17"/>
    <w:rsid w:val="00E55A31"/>
    <w:rsid w:val="00E55A69"/>
    <w:rsid w:val="00E55D45"/>
    <w:rsid w:val="00E55EBB"/>
    <w:rsid w:val="00E55F38"/>
    <w:rsid w:val="00E5614C"/>
    <w:rsid w:val="00E5617D"/>
    <w:rsid w:val="00E561F0"/>
    <w:rsid w:val="00E562D5"/>
    <w:rsid w:val="00E562F6"/>
    <w:rsid w:val="00E56382"/>
    <w:rsid w:val="00E5644D"/>
    <w:rsid w:val="00E5646C"/>
    <w:rsid w:val="00E565BE"/>
    <w:rsid w:val="00E56692"/>
    <w:rsid w:val="00E566FC"/>
    <w:rsid w:val="00E567AD"/>
    <w:rsid w:val="00E567BA"/>
    <w:rsid w:val="00E56881"/>
    <w:rsid w:val="00E568E8"/>
    <w:rsid w:val="00E56C10"/>
    <w:rsid w:val="00E56C1D"/>
    <w:rsid w:val="00E56CF2"/>
    <w:rsid w:val="00E56D45"/>
    <w:rsid w:val="00E56EA4"/>
    <w:rsid w:val="00E56EB8"/>
    <w:rsid w:val="00E56FE5"/>
    <w:rsid w:val="00E57163"/>
    <w:rsid w:val="00E5729C"/>
    <w:rsid w:val="00E5742B"/>
    <w:rsid w:val="00E5743E"/>
    <w:rsid w:val="00E57550"/>
    <w:rsid w:val="00E57765"/>
    <w:rsid w:val="00E577F6"/>
    <w:rsid w:val="00E57806"/>
    <w:rsid w:val="00E57837"/>
    <w:rsid w:val="00E5787E"/>
    <w:rsid w:val="00E57A02"/>
    <w:rsid w:val="00E57B54"/>
    <w:rsid w:val="00E57C92"/>
    <w:rsid w:val="00E57CCD"/>
    <w:rsid w:val="00E57DBD"/>
    <w:rsid w:val="00E57F75"/>
    <w:rsid w:val="00E6001C"/>
    <w:rsid w:val="00E604A2"/>
    <w:rsid w:val="00E6050A"/>
    <w:rsid w:val="00E6058C"/>
    <w:rsid w:val="00E6064F"/>
    <w:rsid w:val="00E606CB"/>
    <w:rsid w:val="00E609B0"/>
    <w:rsid w:val="00E60A1C"/>
    <w:rsid w:val="00E60B4E"/>
    <w:rsid w:val="00E60B66"/>
    <w:rsid w:val="00E60BAB"/>
    <w:rsid w:val="00E60BE2"/>
    <w:rsid w:val="00E60C35"/>
    <w:rsid w:val="00E60C54"/>
    <w:rsid w:val="00E60CF2"/>
    <w:rsid w:val="00E60D8D"/>
    <w:rsid w:val="00E60E0D"/>
    <w:rsid w:val="00E61029"/>
    <w:rsid w:val="00E610E3"/>
    <w:rsid w:val="00E61140"/>
    <w:rsid w:val="00E61170"/>
    <w:rsid w:val="00E61176"/>
    <w:rsid w:val="00E611B7"/>
    <w:rsid w:val="00E611DD"/>
    <w:rsid w:val="00E61425"/>
    <w:rsid w:val="00E614E0"/>
    <w:rsid w:val="00E615F7"/>
    <w:rsid w:val="00E61611"/>
    <w:rsid w:val="00E616DC"/>
    <w:rsid w:val="00E617B5"/>
    <w:rsid w:val="00E618B7"/>
    <w:rsid w:val="00E61927"/>
    <w:rsid w:val="00E619C9"/>
    <w:rsid w:val="00E61A83"/>
    <w:rsid w:val="00E61ABE"/>
    <w:rsid w:val="00E61AE5"/>
    <w:rsid w:val="00E61BAD"/>
    <w:rsid w:val="00E61C19"/>
    <w:rsid w:val="00E61CAF"/>
    <w:rsid w:val="00E61DA2"/>
    <w:rsid w:val="00E62029"/>
    <w:rsid w:val="00E6205C"/>
    <w:rsid w:val="00E621B0"/>
    <w:rsid w:val="00E62604"/>
    <w:rsid w:val="00E6263E"/>
    <w:rsid w:val="00E626ED"/>
    <w:rsid w:val="00E6276C"/>
    <w:rsid w:val="00E62972"/>
    <w:rsid w:val="00E62CFE"/>
    <w:rsid w:val="00E62D1F"/>
    <w:rsid w:val="00E62DFF"/>
    <w:rsid w:val="00E62E92"/>
    <w:rsid w:val="00E62F5E"/>
    <w:rsid w:val="00E62FA2"/>
    <w:rsid w:val="00E6304E"/>
    <w:rsid w:val="00E6347C"/>
    <w:rsid w:val="00E6352D"/>
    <w:rsid w:val="00E6370D"/>
    <w:rsid w:val="00E637B9"/>
    <w:rsid w:val="00E637D8"/>
    <w:rsid w:val="00E637EA"/>
    <w:rsid w:val="00E6391A"/>
    <w:rsid w:val="00E63B17"/>
    <w:rsid w:val="00E63B7B"/>
    <w:rsid w:val="00E63BAD"/>
    <w:rsid w:val="00E63D22"/>
    <w:rsid w:val="00E63DF7"/>
    <w:rsid w:val="00E63E9E"/>
    <w:rsid w:val="00E63F29"/>
    <w:rsid w:val="00E6407C"/>
    <w:rsid w:val="00E6420A"/>
    <w:rsid w:val="00E6424F"/>
    <w:rsid w:val="00E642D6"/>
    <w:rsid w:val="00E6431D"/>
    <w:rsid w:val="00E64386"/>
    <w:rsid w:val="00E644CC"/>
    <w:rsid w:val="00E645FC"/>
    <w:rsid w:val="00E6462F"/>
    <w:rsid w:val="00E646E1"/>
    <w:rsid w:val="00E6489C"/>
    <w:rsid w:val="00E648C1"/>
    <w:rsid w:val="00E64909"/>
    <w:rsid w:val="00E649CE"/>
    <w:rsid w:val="00E64ADA"/>
    <w:rsid w:val="00E64B03"/>
    <w:rsid w:val="00E64B2A"/>
    <w:rsid w:val="00E64CAD"/>
    <w:rsid w:val="00E64CB0"/>
    <w:rsid w:val="00E64D72"/>
    <w:rsid w:val="00E64DE0"/>
    <w:rsid w:val="00E64E28"/>
    <w:rsid w:val="00E64E8D"/>
    <w:rsid w:val="00E64F0D"/>
    <w:rsid w:val="00E64FED"/>
    <w:rsid w:val="00E65068"/>
    <w:rsid w:val="00E651AE"/>
    <w:rsid w:val="00E651C9"/>
    <w:rsid w:val="00E65358"/>
    <w:rsid w:val="00E65604"/>
    <w:rsid w:val="00E65766"/>
    <w:rsid w:val="00E65789"/>
    <w:rsid w:val="00E659A7"/>
    <w:rsid w:val="00E65A1D"/>
    <w:rsid w:val="00E65ABE"/>
    <w:rsid w:val="00E65C92"/>
    <w:rsid w:val="00E65CE6"/>
    <w:rsid w:val="00E65DB0"/>
    <w:rsid w:val="00E65DC4"/>
    <w:rsid w:val="00E65E92"/>
    <w:rsid w:val="00E65EC7"/>
    <w:rsid w:val="00E65F69"/>
    <w:rsid w:val="00E6614D"/>
    <w:rsid w:val="00E66278"/>
    <w:rsid w:val="00E662C6"/>
    <w:rsid w:val="00E664B5"/>
    <w:rsid w:val="00E664E9"/>
    <w:rsid w:val="00E665DE"/>
    <w:rsid w:val="00E665FD"/>
    <w:rsid w:val="00E666C5"/>
    <w:rsid w:val="00E66708"/>
    <w:rsid w:val="00E6689E"/>
    <w:rsid w:val="00E668A3"/>
    <w:rsid w:val="00E669B1"/>
    <w:rsid w:val="00E66AF1"/>
    <w:rsid w:val="00E66BD5"/>
    <w:rsid w:val="00E66C5D"/>
    <w:rsid w:val="00E66C78"/>
    <w:rsid w:val="00E66C7B"/>
    <w:rsid w:val="00E66D66"/>
    <w:rsid w:val="00E66DE1"/>
    <w:rsid w:val="00E66E0A"/>
    <w:rsid w:val="00E66ED2"/>
    <w:rsid w:val="00E66F04"/>
    <w:rsid w:val="00E66F08"/>
    <w:rsid w:val="00E66F24"/>
    <w:rsid w:val="00E66F86"/>
    <w:rsid w:val="00E67230"/>
    <w:rsid w:val="00E673D0"/>
    <w:rsid w:val="00E6745A"/>
    <w:rsid w:val="00E674C5"/>
    <w:rsid w:val="00E67686"/>
    <w:rsid w:val="00E676B4"/>
    <w:rsid w:val="00E6775E"/>
    <w:rsid w:val="00E677B3"/>
    <w:rsid w:val="00E67831"/>
    <w:rsid w:val="00E679D0"/>
    <w:rsid w:val="00E67A9A"/>
    <w:rsid w:val="00E67AA9"/>
    <w:rsid w:val="00E67B17"/>
    <w:rsid w:val="00E67C81"/>
    <w:rsid w:val="00E67CB3"/>
    <w:rsid w:val="00E67D39"/>
    <w:rsid w:val="00E67E40"/>
    <w:rsid w:val="00E67E8E"/>
    <w:rsid w:val="00E67F1E"/>
    <w:rsid w:val="00E67F57"/>
    <w:rsid w:val="00E67F62"/>
    <w:rsid w:val="00E700B5"/>
    <w:rsid w:val="00E703AD"/>
    <w:rsid w:val="00E70423"/>
    <w:rsid w:val="00E70434"/>
    <w:rsid w:val="00E704E9"/>
    <w:rsid w:val="00E705B4"/>
    <w:rsid w:val="00E705EB"/>
    <w:rsid w:val="00E70614"/>
    <w:rsid w:val="00E706B7"/>
    <w:rsid w:val="00E70704"/>
    <w:rsid w:val="00E7074D"/>
    <w:rsid w:val="00E707EF"/>
    <w:rsid w:val="00E708E6"/>
    <w:rsid w:val="00E708EC"/>
    <w:rsid w:val="00E7097E"/>
    <w:rsid w:val="00E70993"/>
    <w:rsid w:val="00E70B8E"/>
    <w:rsid w:val="00E70C0D"/>
    <w:rsid w:val="00E70CB6"/>
    <w:rsid w:val="00E70CCB"/>
    <w:rsid w:val="00E70F81"/>
    <w:rsid w:val="00E70F95"/>
    <w:rsid w:val="00E70FF1"/>
    <w:rsid w:val="00E711C0"/>
    <w:rsid w:val="00E711CE"/>
    <w:rsid w:val="00E7128B"/>
    <w:rsid w:val="00E713E9"/>
    <w:rsid w:val="00E7167F"/>
    <w:rsid w:val="00E7170D"/>
    <w:rsid w:val="00E7188E"/>
    <w:rsid w:val="00E718AF"/>
    <w:rsid w:val="00E7193A"/>
    <w:rsid w:val="00E71AA1"/>
    <w:rsid w:val="00E71C81"/>
    <w:rsid w:val="00E71EC1"/>
    <w:rsid w:val="00E720B6"/>
    <w:rsid w:val="00E720E6"/>
    <w:rsid w:val="00E720F8"/>
    <w:rsid w:val="00E721AE"/>
    <w:rsid w:val="00E7221C"/>
    <w:rsid w:val="00E722FA"/>
    <w:rsid w:val="00E723C6"/>
    <w:rsid w:val="00E724E7"/>
    <w:rsid w:val="00E72525"/>
    <w:rsid w:val="00E726EE"/>
    <w:rsid w:val="00E72804"/>
    <w:rsid w:val="00E7283F"/>
    <w:rsid w:val="00E72845"/>
    <w:rsid w:val="00E7284C"/>
    <w:rsid w:val="00E72895"/>
    <w:rsid w:val="00E72A8C"/>
    <w:rsid w:val="00E72BBD"/>
    <w:rsid w:val="00E72CD8"/>
    <w:rsid w:val="00E72F73"/>
    <w:rsid w:val="00E73037"/>
    <w:rsid w:val="00E730C5"/>
    <w:rsid w:val="00E73102"/>
    <w:rsid w:val="00E7312D"/>
    <w:rsid w:val="00E732A1"/>
    <w:rsid w:val="00E732B3"/>
    <w:rsid w:val="00E73327"/>
    <w:rsid w:val="00E733F7"/>
    <w:rsid w:val="00E735F8"/>
    <w:rsid w:val="00E7365A"/>
    <w:rsid w:val="00E73682"/>
    <w:rsid w:val="00E73735"/>
    <w:rsid w:val="00E73784"/>
    <w:rsid w:val="00E738A5"/>
    <w:rsid w:val="00E738B2"/>
    <w:rsid w:val="00E738BE"/>
    <w:rsid w:val="00E7391B"/>
    <w:rsid w:val="00E73950"/>
    <w:rsid w:val="00E73963"/>
    <w:rsid w:val="00E73A46"/>
    <w:rsid w:val="00E73C71"/>
    <w:rsid w:val="00E73D07"/>
    <w:rsid w:val="00E73D5A"/>
    <w:rsid w:val="00E73F6A"/>
    <w:rsid w:val="00E74087"/>
    <w:rsid w:val="00E740B3"/>
    <w:rsid w:val="00E7417D"/>
    <w:rsid w:val="00E74182"/>
    <w:rsid w:val="00E741E8"/>
    <w:rsid w:val="00E7421B"/>
    <w:rsid w:val="00E74276"/>
    <w:rsid w:val="00E74321"/>
    <w:rsid w:val="00E743AB"/>
    <w:rsid w:val="00E74472"/>
    <w:rsid w:val="00E74540"/>
    <w:rsid w:val="00E7468C"/>
    <w:rsid w:val="00E747BD"/>
    <w:rsid w:val="00E7494B"/>
    <w:rsid w:val="00E749C6"/>
    <w:rsid w:val="00E74B33"/>
    <w:rsid w:val="00E74B38"/>
    <w:rsid w:val="00E74BFB"/>
    <w:rsid w:val="00E74D39"/>
    <w:rsid w:val="00E74DF2"/>
    <w:rsid w:val="00E74E17"/>
    <w:rsid w:val="00E74E23"/>
    <w:rsid w:val="00E74F43"/>
    <w:rsid w:val="00E74F69"/>
    <w:rsid w:val="00E74F79"/>
    <w:rsid w:val="00E74FDD"/>
    <w:rsid w:val="00E7505E"/>
    <w:rsid w:val="00E751F9"/>
    <w:rsid w:val="00E75228"/>
    <w:rsid w:val="00E75303"/>
    <w:rsid w:val="00E753C8"/>
    <w:rsid w:val="00E753E2"/>
    <w:rsid w:val="00E7556F"/>
    <w:rsid w:val="00E755C4"/>
    <w:rsid w:val="00E756CF"/>
    <w:rsid w:val="00E75711"/>
    <w:rsid w:val="00E75864"/>
    <w:rsid w:val="00E758D8"/>
    <w:rsid w:val="00E75969"/>
    <w:rsid w:val="00E759AE"/>
    <w:rsid w:val="00E75B63"/>
    <w:rsid w:val="00E75BB8"/>
    <w:rsid w:val="00E75CA1"/>
    <w:rsid w:val="00E75D86"/>
    <w:rsid w:val="00E75E31"/>
    <w:rsid w:val="00E75EF0"/>
    <w:rsid w:val="00E76012"/>
    <w:rsid w:val="00E76156"/>
    <w:rsid w:val="00E7628D"/>
    <w:rsid w:val="00E76365"/>
    <w:rsid w:val="00E763D9"/>
    <w:rsid w:val="00E76532"/>
    <w:rsid w:val="00E7664E"/>
    <w:rsid w:val="00E766ED"/>
    <w:rsid w:val="00E76826"/>
    <w:rsid w:val="00E7694A"/>
    <w:rsid w:val="00E76A56"/>
    <w:rsid w:val="00E76AC0"/>
    <w:rsid w:val="00E76C3F"/>
    <w:rsid w:val="00E76C6C"/>
    <w:rsid w:val="00E76D96"/>
    <w:rsid w:val="00E76E0A"/>
    <w:rsid w:val="00E76E30"/>
    <w:rsid w:val="00E76F8D"/>
    <w:rsid w:val="00E7717E"/>
    <w:rsid w:val="00E771EA"/>
    <w:rsid w:val="00E7734E"/>
    <w:rsid w:val="00E7740F"/>
    <w:rsid w:val="00E774C0"/>
    <w:rsid w:val="00E774D1"/>
    <w:rsid w:val="00E7754D"/>
    <w:rsid w:val="00E7757B"/>
    <w:rsid w:val="00E775CE"/>
    <w:rsid w:val="00E775E3"/>
    <w:rsid w:val="00E776A6"/>
    <w:rsid w:val="00E77835"/>
    <w:rsid w:val="00E77939"/>
    <w:rsid w:val="00E7795A"/>
    <w:rsid w:val="00E77984"/>
    <w:rsid w:val="00E779CA"/>
    <w:rsid w:val="00E77A0A"/>
    <w:rsid w:val="00E77B37"/>
    <w:rsid w:val="00E77D42"/>
    <w:rsid w:val="00E77EF0"/>
    <w:rsid w:val="00E8003C"/>
    <w:rsid w:val="00E8009E"/>
    <w:rsid w:val="00E800E4"/>
    <w:rsid w:val="00E80516"/>
    <w:rsid w:val="00E80591"/>
    <w:rsid w:val="00E80678"/>
    <w:rsid w:val="00E8074C"/>
    <w:rsid w:val="00E807B6"/>
    <w:rsid w:val="00E807CE"/>
    <w:rsid w:val="00E8087A"/>
    <w:rsid w:val="00E809A4"/>
    <w:rsid w:val="00E80A65"/>
    <w:rsid w:val="00E80CEA"/>
    <w:rsid w:val="00E80D8B"/>
    <w:rsid w:val="00E80DFF"/>
    <w:rsid w:val="00E80F20"/>
    <w:rsid w:val="00E81043"/>
    <w:rsid w:val="00E8107E"/>
    <w:rsid w:val="00E810CF"/>
    <w:rsid w:val="00E81124"/>
    <w:rsid w:val="00E81248"/>
    <w:rsid w:val="00E81249"/>
    <w:rsid w:val="00E8131A"/>
    <w:rsid w:val="00E814BB"/>
    <w:rsid w:val="00E816E5"/>
    <w:rsid w:val="00E81771"/>
    <w:rsid w:val="00E8179A"/>
    <w:rsid w:val="00E8185E"/>
    <w:rsid w:val="00E81878"/>
    <w:rsid w:val="00E81960"/>
    <w:rsid w:val="00E81CCC"/>
    <w:rsid w:val="00E81D70"/>
    <w:rsid w:val="00E81DAD"/>
    <w:rsid w:val="00E81E23"/>
    <w:rsid w:val="00E81E49"/>
    <w:rsid w:val="00E81E76"/>
    <w:rsid w:val="00E81E84"/>
    <w:rsid w:val="00E81F8E"/>
    <w:rsid w:val="00E81F96"/>
    <w:rsid w:val="00E820EA"/>
    <w:rsid w:val="00E8216C"/>
    <w:rsid w:val="00E822BA"/>
    <w:rsid w:val="00E82375"/>
    <w:rsid w:val="00E8240C"/>
    <w:rsid w:val="00E824E7"/>
    <w:rsid w:val="00E825E1"/>
    <w:rsid w:val="00E82692"/>
    <w:rsid w:val="00E826FA"/>
    <w:rsid w:val="00E82705"/>
    <w:rsid w:val="00E827F0"/>
    <w:rsid w:val="00E82835"/>
    <w:rsid w:val="00E82B36"/>
    <w:rsid w:val="00E82B79"/>
    <w:rsid w:val="00E82BD5"/>
    <w:rsid w:val="00E82D3A"/>
    <w:rsid w:val="00E8300D"/>
    <w:rsid w:val="00E83127"/>
    <w:rsid w:val="00E8327C"/>
    <w:rsid w:val="00E834C6"/>
    <w:rsid w:val="00E8356B"/>
    <w:rsid w:val="00E83689"/>
    <w:rsid w:val="00E838ED"/>
    <w:rsid w:val="00E83966"/>
    <w:rsid w:val="00E839FE"/>
    <w:rsid w:val="00E83A0E"/>
    <w:rsid w:val="00E83B0A"/>
    <w:rsid w:val="00E83B3E"/>
    <w:rsid w:val="00E83B68"/>
    <w:rsid w:val="00E83BA0"/>
    <w:rsid w:val="00E83DB5"/>
    <w:rsid w:val="00E83E02"/>
    <w:rsid w:val="00E83E77"/>
    <w:rsid w:val="00E83EA4"/>
    <w:rsid w:val="00E83F0A"/>
    <w:rsid w:val="00E83F1F"/>
    <w:rsid w:val="00E83F51"/>
    <w:rsid w:val="00E8403B"/>
    <w:rsid w:val="00E84068"/>
    <w:rsid w:val="00E840EB"/>
    <w:rsid w:val="00E84341"/>
    <w:rsid w:val="00E8438A"/>
    <w:rsid w:val="00E844A4"/>
    <w:rsid w:val="00E84651"/>
    <w:rsid w:val="00E84721"/>
    <w:rsid w:val="00E849F0"/>
    <w:rsid w:val="00E84A16"/>
    <w:rsid w:val="00E84B7B"/>
    <w:rsid w:val="00E84B85"/>
    <w:rsid w:val="00E84C16"/>
    <w:rsid w:val="00E84C89"/>
    <w:rsid w:val="00E84CEB"/>
    <w:rsid w:val="00E84D60"/>
    <w:rsid w:val="00E84EC1"/>
    <w:rsid w:val="00E84FC9"/>
    <w:rsid w:val="00E85297"/>
    <w:rsid w:val="00E8532A"/>
    <w:rsid w:val="00E8532E"/>
    <w:rsid w:val="00E8536E"/>
    <w:rsid w:val="00E853E0"/>
    <w:rsid w:val="00E85539"/>
    <w:rsid w:val="00E859A4"/>
    <w:rsid w:val="00E859D5"/>
    <w:rsid w:val="00E859DA"/>
    <w:rsid w:val="00E85A58"/>
    <w:rsid w:val="00E85A69"/>
    <w:rsid w:val="00E85AC1"/>
    <w:rsid w:val="00E85B3C"/>
    <w:rsid w:val="00E85BA4"/>
    <w:rsid w:val="00E85BD8"/>
    <w:rsid w:val="00E85DB1"/>
    <w:rsid w:val="00E85E66"/>
    <w:rsid w:val="00E85EC0"/>
    <w:rsid w:val="00E85F0D"/>
    <w:rsid w:val="00E85F7E"/>
    <w:rsid w:val="00E8608F"/>
    <w:rsid w:val="00E8612A"/>
    <w:rsid w:val="00E86351"/>
    <w:rsid w:val="00E86424"/>
    <w:rsid w:val="00E8644F"/>
    <w:rsid w:val="00E8645E"/>
    <w:rsid w:val="00E864DC"/>
    <w:rsid w:val="00E864FD"/>
    <w:rsid w:val="00E8658D"/>
    <w:rsid w:val="00E866E8"/>
    <w:rsid w:val="00E868AB"/>
    <w:rsid w:val="00E86AFC"/>
    <w:rsid w:val="00E86B3A"/>
    <w:rsid w:val="00E86B6F"/>
    <w:rsid w:val="00E86B94"/>
    <w:rsid w:val="00E86BF9"/>
    <w:rsid w:val="00E86C27"/>
    <w:rsid w:val="00E86CF4"/>
    <w:rsid w:val="00E86E08"/>
    <w:rsid w:val="00E86ED0"/>
    <w:rsid w:val="00E86F57"/>
    <w:rsid w:val="00E87002"/>
    <w:rsid w:val="00E8703F"/>
    <w:rsid w:val="00E87047"/>
    <w:rsid w:val="00E870E8"/>
    <w:rsid w:val="00E8716A"/>
    <w:rsid w:val="00E87360"/>
    <w:rsid w:val="00E873A9"/>
    <w:rsid w:val="00E87486"/>
    <w:rsid w:val="00E875E0"/>
    <w:rsid w:val="00E875E2"/>
    <w:rsid w:val="00E875E7"/>
    <w:rsid w:val="00E876FB"/>
    <w:rsid w:val="00E877D1"/>
    <w:rsid w:val="00E878C5"/>
    <w:rsid w:val="00E87963"/>
    <w:rsid w:val="00E87A8D"/>
    <w:rsid w:val="00E87C77"/>
    <w:rsid w:val="00E87DFA"/>
    <w:rsid w:val="00E87EBC"/>
    <w:rsid w:val="00E87F77"/>
    <w:rsid w:val="00E87F8E"/>
    <w:rsid w:val="00E87FB5"/>
    <w:rsid w:val="00E90028"/>
    <w:rsid w:val="00E90109"/>
    <w:rsid w:val="00E90181"/>
    <w:rsid w:val="00E901FB"/>
    <w:rsid w:val="00E904EA"/>
    <w:rsid w:val="00E90658"/>
    <w:rsid w:val="00E906E4"/>
    <w:rsid w:val="00E90722"/>
    <w:rsid w:val="00E907F4"/>
    <w:rsid w:val="00E908D5"/>
    <w:rsid w:val="00E909D5"/>
    <w:rsid w:val="00E90A5B"/>
    <w:rsid w:val="00E90A90"/>
    <w:rsid w:val="00E90BC8"/>
    <w:rsid w:val="00E90DF3"/>
    <w:rsid w:val="00E91197"/>
    <w:rsid w:val="00E911BD"/>
    <w:rsid w:val="00E91250"/>
    <w:rsid w:val="00E91323"/>
    <w:rsid w:val="00E9138E"/>
    <w:rsid w:val="00E9145D"/>
    <w:rsid w:val="00E91572"/>
    <w:rsid w:val="00E915AF"/>
    <w:rsid w:val="00E917A1"/>
    <w:rsid w:val="00E9187B"/>
    <w:rsid w:val="00E91920"/>
    <w:rsid w:val="00E91A99"/>
    <w:rsid w:val="00E91B74"/>
    <w:rsid w:val="00E91BC5"/>
    <w:rsid w:val="00E91BD3"/>
    <w:rsid w:val="00E91E2A"/>
    <w:rsid w:val="00E91E6D"/>
    <w:rsid w:val="00E91E89"/>
    <w:rsid w:val="00E91E99"/>
    <w:rsid w:val="00E91EA4"/>
    <w:rsid w:val="00E91EBA"/>
    <w:rsid w:val="00E91EE4"/>
    <w:rsid w:val="00E9206C"/>
    <w:rsid w:val="00E9215A"/>
    <w:rsid w:val="00E923CF"/>
    <w:rsid w:val="00E924E3"/>
    <w:rsid w:val="00E92606"/>
    <w:rsid w:val="00E926F6"/>
    <w:rsid w:val="00E9276D"/>
    <w:rsid w:val="00E9288C"/>
    <w:rsid w:val="00E92922"/>
    <w:rsid w:val="00E92934"/>
    <w:rsid w:val="00E92B5F"/>
    <w:rsid w:val="00E92C0D"/>
    <w:rsid w:val="00E92C83"/>
    <w:rsid w:val="00E92D55"/>
    <w:rsid w:val="00E92D60"/>
    <w:rsid w:val="00E92DD2"/>
    <w:rsid w:val="00E92EA0"/>
    <w:rsid w:val="00E93040"/>
    <w:rsid w:val="00E93059"/>
    <w:rsid w:val="00E930DB"/>
    <w:rsid w:val="00E931CB"/>
    <w:rsid w:val="00E93254"/>
    <w:rsid w:val="00E933C7"/>
    <w:rsid w:val="00E93406"/>
    <w:rsid w:val="00E934C0"/>
    <w:rsid w:val="00E935AC"/>
    <w:rsid w:val="00E9363A"/>
    <w:rsid w:val="00E936C6"/>
    <w:rsid w:val="00E93749"/>
    <w:rsid w:val="00E93A1D"/>
    <w:rsid w:val="00E93A41"/>
    <w:rsid w:val="00E93A4C"/>
    <w:rsid w:val="00E93B6F"/>
    <w:rsid w:val="00E93BA2"/>
    <w:rsid w:val="00E93CFC"/>
    <w:rsid w:val="00E93D1F"/>
    <w:rsid w:val="00E93E64"/>
    <w:rsid w:val="00E93E70"/>
    <w:rsid w:val="00E93EE0"/>
    <w:rsid w:val="00E93EE4"/>
    <w:rsid w:val="00E93F8B"/>
    <w:rsid w:val="00E94045"/>
    <w:rsid w:val="00E941B7"/>
    <w:rsid w:val="00E942BE"/>
    <w:rsid w:val="00E94381"/>
    <w:rsid w:val="00E94414"/>
    <w:rsid w:val="00E9444A"/>
    <w:rsid w:val="00E94533"/>
    <w:rsid w:val="00E94686"/>
    <w:rsid w:val="00E94823"/>
    <w:rsid w:val="00E9490D"/>
    <w:rsid w:val="00E94939"/>
    <w:rsid w:val="00E9497C"/>
    <w:rsid w:val="00E949CE"/>
    <w:rsid w:val="00E94B18"/>
    <w:rsid w:val="00E94B34"/>
    <w:rsid w:val="00E94B8D"/>
    <w:rsid w:val="00E94D41"/>
    <w:rsid w:val="00E94D55"/>
    <w:rsid w:val="00E94E5D"/>
    <w:rsid w:val="00E94EF1"/>
    <w:rsid w:val="00E94F0E"/>
    <w:rsid w:val="00E95016"/>
    <w:rsid w:val="00E9528E"/>
    <w:rsid w:val="00E9529B"/>
    <w:rsid w:val="00E954F8"/>
    <w:rsid w:val="00E9554B"/>
    <w:rsid w:val="00E9579E"/>
    <w:rsid w:val="00E95923"/>
    <w:rsid w:val="00E95A14"/>
    <w:rsid w:val="00E95BA9"/>
    <w:rsid w:val="00E95E6E"/>
    <w:rsid w:val="00E95FB8"/>
    <w:rsid w:val="00E96093"/>
    <w:rsid w:val="00E960FA"/>
    <w:rsid w:val="00E96111"/>
    <w:rsid w:val="00E9612C"/>
    <w:rsid w:val="00E961D8"/>
    <w:rsid w:val="00E962DB"/>
    <w:rsid w:val="00E9638D"/>
    <w:rsid w:val="00E963F3"/>
    <w:rsid w:val="00E964F7"/>
    <w:rsid w:val="00E9668F"/>
    <w:rsid w:val="00E967A9"/>
    <w:rsid w:val="00E967EF"/>
    <w:rsid w:val="00E967F1"/>
    <w:rsid w:val="00E967FF"/>
    <w:rsid w:val="00E968E7"/>
    <w:rsid w:val="00E968F3"/>
    <w:rsid w:val="00E96BF4"/>
    <w:rsid w:val="00E96C49"/>
    <w:rsid w:val="00E96E50"/>
    <w:rsid w:val="00E96F1C"/>
    <w:rsid w:val="00E96F3F"/>
    <w:rsid w:val="00E96F5E"/>
    <w:rsid w:val="00E96F91"/>
    <w:rsid w:val="00E9726B"/>
    <w:rsid w:val="00E97346"/>
    <w:rsid w:val="00E97531"/>
    <w:rsid w:val="00E975A3"/>
    <w:rsid w:val="00E975DD"/>
    <w:rsid w:val="00E975FC"/>
    <w:rsid w:val="00E97627"/>
    <w:rsid w:val="00E97717"/>
    <w:rsid w:val="00E97805"/>
    <w:rsid w:val="00E97846"/>
    <w:rsid w:val="00E97860"/>
    <w:rsid w:val="00E97884"/>
    <w:rsid w:val="00E97AA3"/>
    <w:rsid w:val="00E97B4C"/>
    <w:rsid w:val="00E97E3D"/>
    <w:rsid w:val="00EA01B3"/>
    <w:rsid w:val="00EA0393"/>
    <w:rsid w:val="00EA042E"/>
    <w:rsid w:val="00EA0447"/>
    <w:rsid w:val="00EA0475"/>
    <w:rsid w:val="00EA047B"/>
    <w:rsid w:val="00EA05C6"/>
    <w:rsid w:val="00EA05CF"/>
    <w:rsid w:val="00EA0761"/>
    <w:rsid w:val="00EA078E"/>
    <w:rsid w:val="00EA0886"/>
    <w:rsid w:val="00EA08C4"/>
    <w:rsid w:val="00EA09AC"/>
    <w:rsid w:val="00EA0D11"/>
    <w:rsid w:val="00EA0E0C"/>
    <w:rsid w:val="00EA0EFF"/>
    <w:rsid w:val="00EA1327"/>
    <w:rsid w:val="00EA147E"/>
    <w:rsid w:val="00EA1563"/>
    <w:rsid w:val="00EA1695"/>
    <w:rsid w:val="00EA175E"/>
    <w:rsid w:val="00EA179B"/>
    <w:rsid w:val="00EA1857"/>
    <w:rsid w:val="00EA1BD7"/>
    <w:rsid w:val="00EA1D37"/>
    <w:rsid w:val="00EA1DDA"/>
    <w:rsid w:val="00EA1E0B"/>
    <w:rsid w:val="00EA1F8E"/>
    <w:rsid w:val="00EA1F9E"/>
    <w:rsid w:val="00EA2051"/>
    <w:rsid w:val="00EA20C4"/>
    <w:rsid w:val="00EA233F"/>
    <w:rsid w:val="00EA23E1"/>
    <w:rsid w:val="00EA23FB"/>
    <w:rsid w:val="00EA25B3"/>
    <w:rsid w:val="00EA290A"/>
    <w:rsid w:val="00EA29CD"/>
    <w:rsid w:val="00EA2AA8"/>
    <w:rsid w:val="00EA2C2B"/>
    <w:rsid w:val="00EA2EAB"/>
    <w:rsid w:val="00EA2F0B"/>
    <w:rsid w:val="00EA2F29"/>
    <w:rsid w:val="00EA2FB6"/>
    <w:rsid w:val="00EA32B7"/>
    <w:rsid w:val="00EA33DC"/>
    <w:rsid w:val="00EA347E"/>
    <w:rsid w:val="00EA3573"/>
    <w:rsid w:val="00EA361A"/>
    <w:rsid w:val="00EA3697"/>
    <w:rsid w:val="00EA37D5"/>
    <w:rsid w:val="00EA3873"/>
    <w:rsid w:val="00EA3951"/>
    <w:rsid w:val="00EA397B"/>
    <w:rsid w:val="00EA3A23"/>
    <w:rsid w:val="00EA3A62"/>
    <w:rsid w:val="00EA3BCE"/>
    <w:rsid w:val="00EA3C48"/>
    <w:rsid w:val="00EA3CD6"/>
    <w:rsid w:val="00EA3D16"/>
    <w:rsid w:val="00EA3EEF"/>
    <w:rsid w:val="00EA4061"/>
    <w:rsid w:val="00EA40DF"/>
    <w:rsid w:val="00EA4150"/>
    <w:rsid w:val="00EA4254"/>
    <w:rsid w:val="00EA4288"/>
    <w:rsid w:val="00EA44CE"/>
    <w:rsid w:val="00EA4611"/>
    <w:rsid w:val="00EA4678"/>
    <w:rsid w:val="00EA46A5"/>
    <w:rsid w:val="00EA47EE"/>
    <w:rsid w:val="00EA4844"/>
    <w:rsid w:val="00EA48BC"/>
    <w:rsid w:val="00EA49A1"/>
    <w:rsid w:val="00EA4D0A"/>
    <w:rsid w:val="00EA4EFE"/>
    <w:rsid w:val="00EA4F71"/>
    <w:rsid w:val="00EA509D"/>
    <w:rsid w:val="00EA5118"/>
    <w:rsid w:val="00EA5137"/>
    <w:rsid w:val="00EA5196"/>
    <w:rsid w:val="00EA51A3"/>
    <w:rsid w:val="00EA524B"/>
    <w:rsid w:val="00EA53C9"/>
    <w:rsid w:val="00EA53F4"/>
    <w:rsid w:val="00EA5562"/>
    <w:rsid w:val="00EA55E2"/>
    <w:rsid w:val="00EA5776"/>
    <w:rsid w:val="00EA57BA"/>
    <w:rsid w:val="00EA58BE"/>
    <w:rsid w:val="00EA597C"/>
    <w:rsid w:val="00EA5A16"/>
    <w:rsid w:val="00EA5A3F"/>
    <w:rsid w:val="00EA5A6D"/>
    <w:rsid w:val="00EA5B19"/>
    <w:rsid w:val="00EA5CC1"/>
    <w:rsid w:val="00EA5D1D"/>
    <w:rsid w:val="00EA5D99"/>
    <w:rsid w:val="00EA5DD5"/>
    <w:rsid w:val="00EA5DE5"/>
    <w:rsid w:val="00EA609A"/>
    <w:rsid w:val="00EA6118"/>
    <w:rsid w:val="00EA6218"/>
    <w:rsid w:val="00EA62FF"/>
    <w:rsid w:val="00EA639D"/>
    <w:rsid w:val="00EA6540"/>
    <w:rsid w:val="00EA6885"/>
    <w:rsid w:val="00EA689F"/>
    <w:rsid w:val="00EA693F"/>
    <w:rsid w:val="00EA6972"/>
    <w:rsid w:val="00EA6984"/>
    <w:rsid w:val="00EA6A2A"/>
    <w:rsid w:val="00EA6AD2"/>
    <w:rsid w:val="00EA6BF4"/>
    <w:rsid w:val="00EA6CB0"/>
    <w:rsid w:val="00EA7157"/>
    <w:rsid w:val="00EA7182"/>
    <w:rsid w:val="00EA7383"/>
    <w:rsid w:val="00EA7529"/>
    <w:rsid w:val="00EA75EA"/>
    <w:rsid w:val="00EA760A"/>
    <w:rsid w:val="00EA7879"/>
    <w:rsid w:val="00EA79D0"/>
    <w:rsid w:val="00EA79EE"/>
    <w:rsid w:val="00EA7A1F"/>
    <w:rsid w:val="00EA7AB3"/>
    <w:rsid w:val="00EA7C21"/>
    <w:rsid w:val="00EA7C63"/>
    <w:rsid w:val="00EA7D62"/>
    <w:rsid w:val="00EA7D95"/>
    <w:rsid w:val="00EA7E53"/>
    <w:rsid w:val="00EA7FAD"/>
    <w:rsid w:val="00EA7FFE"/>
    <w:rsid w:val="00EAAD36"/>
    <w:rsid w:val="00EB00F1"/>
    <w:rsid w:val="00EB010C"/>
    <w:rsid w:val="00EB0116"/>
    <w:rsid w:val="00EB01AF"/>
    <w:rsid w:val="00EB02BA"/>
    <w:rsid w:val="00EB0475"/>
    <w:rsid w:val="00EB04EF"/>
    <w:rsid w:val="00EB0617"/>
    <w:rsid w:val="00EB0736"/>
    <w:rsid w:val="00EB09A9"/>
    <w:rsid w:val="00EB09C8"/>
    <w:rsid w:val="00EB0A24"/>
    <w:rsid w:val="00EB0AA9"/>
    <w:rsid w:val="00EB0B9B"/>
    <w:rsid w:val="00EB0CBA"/>
    <w:rsid w:val="00EB0E5F"/>
    <w:rsid w:val="00EB0E6C"/>
    <w:rsid w:val="00EB0F24"/>
    <w:rsid w:val="00EB1191"/>
    <w:rsid w:val="00EB119D"/>
    <w:rsid w:val="00EB120F"/>
    <w:rsid w:val="00EB12AF"/>
    <w:rsid w:val="00EB1348"/>
    <w:rsid w:val="00EB1367"/>
    <w:rsid w:val="00EB13A9"/>
    <w:rsid w:val="00EB1474"/>
    <w:rsid w:val="00EB158F"/>
    <w:rsid w:val="00EB1591"/>
    <w:rsid w:val="00EB15B1"/>
    <w:rsid w:val="00EB161B"/>
    <w:rsid w:val="00EB177E"/>
    <w:rsid w:val="00EB1789"/>
    <w:rsid w:val="00EB1899"/>
    <w:rsid w:val="00EB18FC"/>
    <w:rsid w:val="00EB19B9"/>
    <w:rsid w:val="00EB1BE3"/>
    <w:rsid w:val="00EB1C21"/>
    <w:rsid w:val="00EB1CC2"/>
    <w:rsid w:val="00EB1E92"/>
    <w:rsid w:val="00EB1ECF"/>
    <w:rsid w:val="00EB1F50"/>
    <w:rsid w:val="00EB1FA5"/>
    <w:rsid w:val="00EB2019"/>
    <w:rsid w:val="00EB209D"/>
    <w:rsid w:val="00EB21C5"/>
    <w:rsid w:val="00EB23D3"/>
    <w:rsid w:val="00EB24F7"/>
    <w:rsid w:val="00EB26A1"/>
    <w:rsid w:val="00EB2706"/>
    <w:rsid w:val="00EB274A"/>
    <w:rsid w:val="00EB2835"/>
    <w:rsid w:val="00EB287B"/>
    <w:rsid w:val="00EB2958"/>
    <w:rsid w:val="00EB29B7"/>
    <w:rsid w:val="00EB2C0C"/>
    <w:rsid w:val="00EB2C27"/>
    <w:rsid w:val="00EB2E5C"/>
    <w:rsid w:val="00EB2E70"/>
    <w:rsid w:val="00EB2F8C"/>
    <w:rsid w:val="00EB2FC3"/>
    <w:rsid w:val="00EB3027"/>
    <w:rsid w:val="00EB3144"/>
    <w:rsid w:val="00EB3273"/>
    <w:rsid w:val="00EB327C"/>
    <w:rsid w:val="00EB3292"/>
    <w:rsid w:val="00EB3311"/>
    <w:rsid w:val="00EB33A9"/>
    <w:rsid w:val="00EB3472"/>
    <w:rsid w:val="00EB353F"/>
    <w:rsid w:val="00EB35F0"/>
    <w:rsid w:val="00EB392D"/>
    <w:rsid w:val="00EB392E"/>
    <w:rsid w:val="00EB39A6"/>
    <w:rsid w:val="00EB3BBB"/>
    <w:rsid w:val="00EB3D22"/>
    <w:rsid w:val="00EB3F3B"/>
    <w:rsid w:val="00EB406A"/>
    <w:rsid w:val="00EB4173"/>
    <w:rsid w:val="00EB418C"/>
    <w:rsid w:val="00EB41C8"/>
    <w:rsid w:val="00EB41FA"/>
    <w:rsid w:val="00EB423F"/>
    <w:rsid w:val="00EB42D0"/>
    <w:rsid w:val="00EB434B"/>
    <w:rsid w:val="00EB43DA"/>
    <w:rsid w:val="00EB443C"/>
    <w:rsid w:val="00EB4524"/>
    <w:rsid w:val="00EB4627"/>
    <w:rsid w:val="00EB47A1"/>
    <w:rsid w:val="00EB4A29"/>
    <w:rsid w:val="00EB4B80"/>
    <w:rsid w:val="00EB4B85"/>
    <w:rsid w:val="00EB4BEE"/>
    <w:rsid w:val="00EB4C8D"/>
    <w:rsid w:val="00EB4DA5"/>
    <w:rsid w:val="00EB4E10"/>
    <w:rsid w:val="00EB4FCB"/>
    <w:rsid w:val="00EB50D5"/>
    <w:rsid w:val="00EB5196"/>
    <w:rsid w:val="00EB51F9"/>
    <w:rsid w:val="00EB5315"/>
    <w:rsid w:val="00EB538B"/>
    <w:rsid w:val="00EB53FC"/>
    <w:rsid w:val="00EB5400"/>
    <w:rsid w:val="00EB5551"/>
    <w:rsid w:val="00EB57F2"/>
    <w:rsid w:val="00EB584B"/>
    <w:rsid w:val="00EB5868"/>
    <w:rsid w:val="00EB58D4"/>
    <w:rsid w:val="00EB5963"/>
    <w:rsid w:val="00EB5A24"/>
    <w:rsid w:val="00EB5ABF"/>
    <w:rsid w:val="00EB5D3F"/>
    <w:rsid w:val="00EB5D94"/>
    <w:rsid w:val="00EB5E97"/>
    <w:rsid w:val="00EB5F57"/>
    <w:rsid w:val="00EB60CD"/>
    <w:rsid w:val="00EB612E"/>
    <w:rsid w:val="00EB6240"/>
    <w:rsid w:val="00EB62AA"/>
    <w:rsid w:val="00EB630D"/>
    <w:rsid w:val="00EB6497"/>
    <w:rsid w:val="00EB6502"/>
    <w:rsid w:val="00EB6529"/>
    <w:rsid w:val="00EB659D"/>
    <w:rsid w:val="00EB683C"/>
    <w:rsid w:val="00EB6852"/>
    <w:rsid w:val="00EB685B"/>
    <w:rsid w:val="00EB6AAB"/>
    <w:rsid w:val="00EB6AC8"/>
    <w:rsid w:val="00EB6C41"/>
    <w:rsid w:val="00EB6DCB"/>
    <w:rsid w:val="00EB6F0B"/>
    <w:rsid w:val="00EB6FC6"/>
    <w:rsid w:val="00EB70BA"/>
    <w:rsid w:val="00EB710E"/>
    <w:rsid w:val="00EB7238"/>
    <w:rsid w:val="00EB725B"/>
    <w:rsid w:val="00EB73C0"/>
    <w:rsid w:val="00EB73D8"/>
    <w:rsid w:val="00EB740C"/>
    <w:rsid w:val="00EB744F"/>
    <w:rsid w:val="00EB74B2"/>
    <w:rsid w:val="00EB74EE"/>
    <w:rsid w:val="00EB74F7"/>
    <w:rsid w:val="00EB7597"/>
    <w:rsid w:val="00EB76B3"/>
    <w:rsid w:val="00EB7755"/>
    <w:rsid w:val="00EB77B9"/>
    <w:rsid w:val="00EB77C7"/>
    <w:rsid w:val="00EB790C"/>
    <w:rsid w:val="00EB79E9"/>
    <w:rsid w:val="00EB7AA6"/>
    <w:rsid w:val="00EB7AB6"/>
    <w:rsid w:val="00EB7B20"/>
    <w:rsid w:val="00EB7BA2"/>
    <w:rsid w:val="00EB7C49"/>
    <w:rsid w:val="00EB7C79"/>
    <w:rsid w:val="00EB7E8D"/>
    <w:rsid w:val="00EB7F08"/>
    <w:rsid w:val="00EB7F85"/>
    <w:rsid w:val="00EC0167"/>
    <w:rsid w:val="00EC01AF"/>
    <w:rsid w:val="00EC01BE"/>
    <w:rsid w:val="00EC0241"/>
    <w:rsid w:val="00EC0251"/>
    <w:rsid w:val="00EC04BF"/>
    <w:rsid w:val="00EC050A"/>
    <w:rsid w:val="00EC0515"/>
    <w:rsid w:val="00EC0683"/>
    <w:rsid w:val="00EC0962"/>
    <w:rsid w:val="00EC0B23"/>
    <w:rsid w:val="00EC0CDC"/>
    <w:rsid w:val="00EC0D0C"/>
    <w:rsid w:val="00EC0D3D"/>
    <w:rsid w:val="00EC0D61"/>
    <w:rsid w:val="00EC0F6E"/>
    <w:rsid w:val="00EC1030"/>
    <w:rsid w:val="00EC1077"/>
    <w:rsid w:val="00EC10E6"/>
    <w:rsid w:val="00EC12DD"/>
    <w:rsid w:val="00EC1354"/>
    <w:rsid w:val="00EC1376"/>
    <w:rsid w:val="00EC14CB"/>
    <w:rsid w:val="00EC1511"/>
    <w:rsid w:val="00EC1550"/>
    <w:rsid w:val="00EC15B8"/>
    <w:rsid w:val="00EC15DA"/>
    <w:rsid w:val="00EC1685"/>
    <w:rsid w:val="00EC1739"/>
    <w:rsid w:val="00EC19AC"/>
    <w:rsid w:val="00EC1A69"/>
    <w:rsid w:val="00EC1B14"/>
    <w:rsid w:val="00EC1C09"/>
    <w:rsid w:val="00EC1CDC"/>
    <w:rsid w:val="00EC1E9D"/>
    <w:rsid w:val="00EC1E9F"/>
    <w:rsid w:val="00EC1F36"/>
    <w:rsid w:val="00EC202A"/>
    <w:rsid w:val="00EC2146"/>
    <w:rsid w:val="00EC2163"/>
    <w:rsid w:val="00EC246F"/>
    <w:rsid w:val="00EC25E8"/>
    <w:rsid w:val="00EC2692"/>
    <w:rsid w:val="00EC2843"/>
    <w:rsid w:val="00EC2850"/>
    <w:rsid w:val="00EC29DF"/>
    <w:rsid w:val="00EC2BDC"/>
    <w:rsid w:val="00EC2C76"/>
    <w:rsid w:val="00EC2E00"/>
    <w:rsid w:val="00EC2EDA"/>
    <w:rsid w:val="00EC308C"/>
    <w:rsid w:val="00EC30CF"/>
    <w:rsid w:val="00EC313F"/>
    <w:rsid w:val="00EC31F5"/>
    <w:rsid w:val="00EC32DF"/>
    <w:rsid w:val="00EC347F"/>
    <w:rsid w:val="00EC3693"/>
    <w:rsid w:val="00EC36D4"/>
    <w:rsid w:val="00EC37A6"/>
    <w:rsid w:val="00EC3843"/>
    <w:rsid w:val="00EC3881"/>
    <w:rsid w:val="00EC38A3"/>
    <w:rsid w:val="00EC38FF"/>
    <w:rsid w:val="00EC3964"/>
    <w:rsid w:val="00EC39A2"/>
    <w:rsid w:val="00EC3AAD"/>
    <w:rsid w:val="00EC3B28"/>
    <w:rsid w:val="00EC3B2D"/>
    <w:rsid w:val="00EC3B5B"/>
    <w:rsid w:val="00EC3CED"/>
    <w:rsid w:val="00EC3D2E"/>
    <w:rsid w:val="00EC3D43"/>
    <w:rsid w:val="00EC3E30"/>
    <w:rsid w:val="00EC3E34"/>
    <w:rsid w:val="00EC3E64"/>
    <w:rsid w:val="00EC3EFA"/>
    <w:rsid w:val="00EC3F36"/>
    <w:rsid w:val="00EC4021"/>
    <w:rsid w:val="00EC4250"/>
    <w:rsid w:val="00EC42BB"/>
    <w:rsid w:val="00EC42F4"/>
    <w:rsid w:val="00EC4388"/>
    <w:rsid w:val="00EC44A4"/>
    <w:rsid w:val="00EC45BF"/>
    <w:rsid w:val="00EC47F2"/>
    <w:rsid w:val="00EC48BD"/>
    <w:rsid w:val="00EC5083"/>
    <w:rsid w:val="00EC5144"/>
    <w:rsid w:val="00EC5149"/>
    <w:rsid w:val="00EC5254"/>
    <w:rsid w:val="00EC533E"/>
    <w:rsid w:val="00EC5449"/>
    <w:rsid w:val="00EC54B4"/>
    <w:rsid w:val="00EC55E2"/>
    <w:rsid w:val="00EC5721"/>
    <w:rsid w:val="00EC579B"/>
    <w:rsid w:val="00EC592E"/>
    <w:rsid w:val="00EC593F"/>
    <w:rsid w:val="00EC5991"/>
    <w:rsid w:val="00EC5B62"/>
    <w:rsid w:val="00EC5C46"/>
    <w:rsid w:val="00EC5CB1"/>
    <w:rsid w:val="00EC5CE1"/>
    <w:rsid w:val="00EC5EDD"/>
    <w:rsid w:val="00EC60F8"/>
    <w:rsid w:val="00EC6137"/>
    <w:rsid w:val="00EC6274"/>
    <w:rsid w:val="00EC6336"/>
    <w:rsid w:val="00EC644A"/>
    <w:rsid w:val="00EC64CA"/>
    <w:rsid w:val="00EC661C"/>
    <w:rsid w:val="00EC6695"/>
    <w:rsid w:val="00EC6697"/>
    <w:rsid w:val="00EC66B0"/>
    <w:rsid w:val="00EC6850"/>
    <w:rsid w:val="00EC688D"/>
    <w:rsid w:val="00EC689A"/>
    <w:rsid w:val="00EC6941"/>
    <w:rsid w:val="00EC6AFC"/>
    <w:rsid w:val="00EC6B03"/>
    <w:rsid w:val="00EC6B21"/>
    <w:rsid w:val="00EC6B29"/>
    <w:rsid w:val="00EC6CA7"/>
    <w:rsid w:val="00EC6D45"/>
    <w:rsid w:val="00EC6DF5"/>
    <w:rsid w:val="00EC6E92"/>
    <w:rsid w:val="00EC70E6"/>
    <w:rsid w:val="00EC728C"/>
    <w:rsid w:val="00EC73D6"/>
    <w:rsid w:val="00EC7693"/>
    <w:rsid w:val="00EC7759"/>
    <w:rsid w:val="00EC7856"/>
    <w:rsid w:val="00EC7A43"/>
    <w:rsid w:val="00EC7AB0"/>
    <w:rsid w:val="00EC7B64"/>
    <w:rsid w:val="00EC7BE6"/>
    <w:rsid w:val="00EC7C25"/>
    <w:rsid w:val="00EC7C51"/>
    <w:rsid w:val="00EC7D58"/>
    <w:rsid w:val="00EC7D70"/>
    <w:rsid w:val="00ED00CB"/>
    <w:rsid w:val="00ED023D"/>
    <w:rsid w:val="00ED03BD"/>
    <w:rsid w:val="00ED0410"/>
    <w:rsid w:val="00ED0785"/>
    <w:rsid w:val="00ED0795"/>
    <w:rsid w:val="00ED0868"/>
    <w:rsid w:val="00ED0873"/>
    <w:rsid w:val="00ED08FF"/>
    <w:rsid w:val="00ED0902"/>
    <w:rsid w:val="00ED0931"/>
    <w:rsid w:val="00ED0B47"/>
    <w:rsid w:val="00ED0B82"/>
    <w:rsid w:val="00ED0C3F"/>
    <w:rsid w:val="00ED0DF8"/>
    <w:rsid w:val="00ED0FFE"/>
    <w:rsid w:val="00ED104A"/>
    <w:rsid w:val="00ED113C"/>
    <w:rsid w:val="00ED1352"/>
    <w:rsid w:val="00ED13A6"/>
    <w:rsid w:val="00ED13AA"/>
    <w:rsid w:val="00ED1414"/>
    <w:rsid w:val="00ED144F"/>
    <w:rsid w:val="00ED14E7"/>
    <w:rsid w:val="00ED158F"/>
    <w:rsid w:val="00ED1658"/>
    <w:rsid w:val="00ED17A5"/>
    <w:rsid w:val="00ED17B2"/>
    <w:rsid w:val="00ED17BE"/>
    <w:rsid w:val="00ED18C2"/>
    <w:rsid w:val="00ED19BB"/>
    <w:rsid w:val="00ED1A2F"/>
    <w:rsid w:val="00ED1D02"/>
    <w:rsid w:val="00ED1F2C"/>
    <w:rsid w:val="00ED1F38"/>
    <w:rsid w:val="00ED20BF"/>
    <w:rsid w:val="00ED20E7"/>
    <w:rsid w:val="00ED218D"/>
    <w:rsid w:val="00ED23ED"/>
    <w:rsid w:val="00ED27F2"/>
    <w:rsid w:val="00ED2802"/>
    <w:rsid w:val="00ED2806"/>
    <w:rsid w:val="00ED28C6"/>
    <w:rsid w:val="00ED28E5"/>
    <w:rsid w:val="00ED29B8"/>
    <w:rsid w:val="00ED2A56"/>
    <w:rsid w:val="00ED2C08"/>
    <w:rsid w:val="00ED2CB0"/>
    <w:rsid w:val="00ED2D27"/>
    <w:rsid w:val="00ED2E2D"/>
    <w:rsid w:val="00ED2F68"/>
    <w:rsid w:val="00ED2FB9"/>
    <w:rsid w:val="00ED308F"/>
    <w:rsid w:val="00ED30BD"/>
    <w:rsid w:val="00ED33E2"/>
    <w:rsid w:val="00ED351A"/>
    <w:rsid w:val="00ED367E"/>
    <w:rsid w:val="00ED36AA"/>
    <w:rsid w:val="00ED36F8"/>
    <w:rsid w:val="00ED382A"/>
    <w:rsid w:val="00ED398E"/>
    <w:rsid w:val="00ED399D"/>
    <w:rsid w:val="00ED3A07"/>
    <w:rsid w:val="00ED3B20"/>
    <w:rsid w:val="00ED3BA0"/>
    <w:rsid w:val="00ED3CD9"/>
    <w:rsid w:val="00ED3D67"/>
    <w:rsid w:val="00ED3D7F"/>
    <w:rsid w:val="00ED4129"/>
    <w:rsid w:val="00ED420A"/>
    <w:rsid w:val="00ED420E"/>
    <w:rsid w:val="00ED4263"/>
    <w:rsid w:val="00ED4321"/>
    <w:rsid w:val="00ED43A6"/>
    <w:rsid w:val="00ED43EC"/>
    <w:rsid w:val="00ED4479"/>
    <w:rsid w:val="00ED478B"/>
    <w:rsid w:val="00ED47A1"/>
    <w:rsid w:val="00ED47D5"/>
    <w:rsid w:val="00ED482D"/>
    <w:rsid w:val="00ED4901"/>
    <w:rsid w:val="00ED4A3E"/>
    <w:rsid w:val="00ED4AFA"/>
    <w:rsid w:val="00ED4B86"/>
    <w:rsid w:val="00ED4C04"/>
    <w:rsid w:val="00ED4C89"/>
    <w:rsid w:val="00ED4EBB"/>
    <w:rsid w:val="00ED5060"/>
    <w:rsid w:val="00ED50AD"/>
    <w:rsid w:val="00ED520D"/>
    <w:rsid w:val="00ED5294"/>
    <w:rsid w:val="00ED529E"/>
    <w:rsid w:val="00ED557D"/>
    <w:rsid w:val="00ED5654"/>
    <w:rsid w:val="00ED572F"/>
    <w:rsid w:val="00ED581C"/>
    <w:rsid w:val="00ED5961"/>
    <w:rsid w:val="00ED5C75"/>
    <w:rsid w:val="00ED5D3B"/>
    <w:rsid w:val="00ED5DE0"/>
    <w:rsid w:val="00ED5F41"/>
    <w:rsid w:val="00ED5F59"/>
    <w:rsid w:val="00ED5FBA"/>
    <w:rsid w:val="00ED6056"/>
    <w:rsid w:val="00ED6261"/>
    <w:rsid w:val="00ED62DF"/>
    <w:rsid w:val="00ED6324"/>
    <w:rsid w:val="00ED640C"/>
    <w:rsid w:val="00ED6877"/>
    <w:rsid w:val="00ED68C7"/>
    <w:rsid w:val="00ED6938"/>
    <w:rsid w:val="00ED6A4E"/>
    <w:rsid w:val="00ED6ABD"/>
    <w:rsid w:val="00ED6BCF"/>
    <w:rsid w:val="00ED6ECA"/>
    <w:rsid w:val="00ED6FF0"/>
    <w:rsid w:val="00ED70A6"/>
    <w:rsid w:val="00ED70AE"/>
    <w:rsid w:val="00ED710B"/>
    <w:rsid w:val="00ED72DA"/>
    <w:rsid w:val="00ED7303"/>
    <w:rsid w:val="00ED7350"/>
    <w:rsid w:val="00ED7353"/>
    <w:rsid w:val="00ED755B"/>
    <w:rsid w:val="00ED77BA"/>
    <w:rsid w:val="00ED7C5C"/>
    <w:rsid w:val="00ED7C77"/>
    <w:rsid w:val="00ED7CFC"/>
    <w:rsid w:val="00ED7D27"/>
    <w:rsid w:val="00ED7DDB"/>
    <w:rsid w:val="00ED7E23"/>
    <w:rsid w:val="00ED7EB6"/>
    <w:rsid w:val="00EE01CF"/>
    <w:rsid w:val="00EE01EA"/>
    <w:rsid w:val="00EE0206"/>
    <w:rsid w:val="00EE0283"/>
    <w:rsid w:val="00EE03B0"/>
    <w:rsid w:val="00EE04B5"/>
    <w:rsid w:val="00EE0630"/>
    <w:rsid w:val="00EE0747"/>
    <w:rsid w:val="00EE076C"/>
    <w:rsid w:val="00EE07A5"/>
    <w:rsid w:val="00EE0987"/>
    <w:rsid w:val="00EE0A77"/>
    <w:rsid w:val="00EE0D42"/>
    <w:rsid w:val="00EE0E0C"/>
    <w:rsid w:val="00EE0E7F"/>
    <w:rsid w:val="00EE0F72"/>
    <w:rsid w:val="00EE0F9D"/>
    <w:rsid w:val="00EE0FD5"/>
    <w:rsid w:val="00EE0FFA"/>
    <w:rsid w:val="00EE1122"/>
    <w:rsid w:val="00EE12EC"/>
    <w:rsid w:val="00EE12FF"/>
    <w:rsid w:val="00EE1373"/>
    <w:rsid w:val="00EE1703"/>
    <w:rsid w:val="00EE171F"/>
    <w:rsid w:val="00EE1753"/>
    <w:rsid w:val="00EE17BA"/>
    <w:rsid w:val="00EE1868"/>
    <w:rsid w:val="00EE1965"/>
    <w:rsid w:val="00EE1976"/>
    <w:rsid w:val="00EE19A5"/>
    <w:rsid w:val="00EE1AD6"/>
    <w:rsid w:val="00EE1BB6"/>
    <w:rsid w:val="00EE1C74"/>
    <w:rsid w:val="00EE1CED"/>
    <w:rsid w:val="00EE1E6F"/>
    <w:rsid w:val="00EE217A"/>
    <w:rsid w:val="00EE234F"/>
    <w:rsid w:val="00EE23A2"/>
    <w:rsid w:val="00EE2401"/>
    <w:rsid w:val="00EE24C1"/>
    <w:rsid w:val="00EE24FD"/>
    <w:rsid w:val="00EE2593"/>
    <w:rsid w:val="00EE28B6"/>
    <w:rsid w:val="00EE291E"/>
    <w:rsid w:val="00EE2A37"/>
    <w:rsid w:val="00EE2A98"/>
    <w:rsid w:val="00EE2DAC"/>
    <w:rsid w:val="00EE2E2C"/>
    <w:rsid w:val="00EE2F0B"/>
    <w:rsid w:val="00EE2F7E"/>
    <w:rsid w:val="00EE3071"/>
    <w:rsid w:val="00EE30F1"/>
    <w:rsid w:val="00EE31BB"/>
    <w:rsid w:val="00EE31E1"/>
    <w:rsid w:val="00EE31F2"/>
    <w:rsid w:val="00EE3217"/>
    <w:rsid w:val="00EE3223"/>
    <w:rsid w:val="00EE33D8"/>
    <w:rsid w:val="00EE340D"/>
    <w:rsid w:val="00EE3630"/>
    <w:rsid w:val="00EE38B6"/>
    <w:rsid w:val="00EE3A2D"/>
    <w:rsid w:val="00EE3BAF"/>
    <w:rsid w:val="00EE3C1B"/>
    <w:rsid w:val="00EE3C91"/>
    <w:rsid w:val="00EE3EE9"/>
    <w:rsid w:val="00EE3F74"/>
    <w:rsid w:val="00EE3FB1"/>
    <w:rsid w:val="00EE40C1"/>
    <w:rsid w:val="00EE416A"/>
    <w:rsid w:val="00EE4187"/>
    <w:rsid w:val="00EE41DF"/>
    <w:rsid w:val="00EE4314"/>
    <w:rsid w:val="00EE438F"/>
    <w:rsid w:val="00EE43F3"/>
    <w:rsid w:val="00EE452C"/>
    <w:rsid w:val="00EE47B7"/>
    <w:rsid w:val="00EE47E0"/>
    <w:rsid w:val="00EE48D6"/>
    <w:rsid w:val="00EE4A79"/>
    <w:rsid w:val="00EE4AE8"/>
    <w:rsid w:val="00EE4BB5"/>
    <w:rsid w:val="00EE4DC4"/>
    <w:rsid w:val="00EE4F3D"/>
    <w:rsid w:val="00EE4F6B"/>
    <w:rsid w:val="00EE5058"/>
    <w:rsid w:val="00EE505A"/>
    <w:rsid w:val="00EE5070"/>
    <w:rsid w:val="00EE53F8"/>
    <w:rsid w:val="00EE5425"/>
    <w:rsid w:val="00EE542E"/>
    <w:rsid w:val="00EE563B"/>
    <w:rsid w:val="00EE5662"/>
    <w:rsid w:val="00EE5734"/>
    <w:rsid w:val="00EE5871"/>
    <w:rsid w:val="00EE5918"/>
    <w:rsid w:val="00EE596B"/>
    <w:rsid w:val="00EE5B87"/>
    <w:rsid w:val="00EE5D72"/>
    <w:rsid w:val="00EE5DCD"/>
    <w:rsid w:val="00EE5E2C"/>
    <w:rsid w:val="00EE5EB9"/>
    <w:rsid w:val="00EE5EE5"/>
    <w:rsid w:val="00EE5F72"/>
    <w:rsid w:val="00EE5F91"/>
    <w:rsid w:val="00EE60BC"/>
    <w:rsid w:val="00EE61BD"/>
    <w:rsid w:val="00EE625A"/>
    <w:rsid w:val="00EE62A0"/>
    <w:rsid w:val="00EE6389"/>
    <w:rsid w:val="00EE669F"/>
    <w:rsid w:val="00EE6937"/>
    <w:rsid w:val="00EE696C"/>
    <w:rsid w:val="00EE69DE"/>
    <w:rsid w:val="00EE69EF"/>
    <w:rsid w:val="00EE6A75"/>
    <w:rsid w:val="00EE6B88"/>
    <w:rsid w:val="00EE6BFF"/>
    <w:rsid w:val="00EE6C25"/>
    <w:rsid w:val="00EE6C3A"/>
    <w:rsid w:val="00EE6CA2"/>
    <w:rsid w:val="00EE6CD7"/>
    <w:rsid w:val="00EE6EB8"/>
    <w:rsid w:val="00EE70EA"/>
    <w:rsid w:val="00EE71DF"/>
    <w:rsid w:val="00EE72C8"/>
    <w:rsid w:val="00EE72E9"/>
    <w:rsid w:val="00EE7429"/>
    <w:rsid w:val="00EE7741"/>
    <w:rsid w:val="00EE77C0"/>
    <w:rsid w:val="00EE77E2"/>
    <w:rsid w:val="00EE77F5"/>
    <w:rsid w:val="00EE794A"/>
    <w:rsid w:val="00EE79A0"/>
    <w:rsid w:val="00EE7BB3"/>
    <w:rsid w:val="00EE7D57"/>
    <w:rsid w:val="00EE7D74"/>
    <w:rsid w:val="00EE7DCC"/>
    <w:rsid w:val="00EE7F6D"/>
    <w:rsid w:val="00EF0087"/>
    <w:rsid w:val="00EF01E5"/>
    <w:rsid w:val="00EF01F5"/>
    <w:rsid w:val="00EF0200"/>
    <w:rsid w:val="00EF041C"/>
    <w:rsid w:val="00EF0495"/>
    <w:rsid w:val="00EF04D3"/>
    <w:rsid w:val="00EF0542"/>
    <w:rsid w:val="00EF065D"/>
    <w:rsid w:val="00EF077A"/>
    <w:rsid w:val="00EF0970"/>
    <w:rsid w:val="00EF0980"/>
    <w:rsid w:val="00EF09D6"/>
    <w:rsid w:val="00EF09E0"/>
    <w:rsid w:val="00EF0B35"/>
    <w:rsid w:val="00EF0D94"/>
    <w:rsid w:val="00EF0DBE"/>
    <w:rsid w:val="00EF0EB5"/>
    <w:rsid w:val="00EF0EC3"/>
    <w:rsid w:val="00EF0F21"/>
    <w:rsid w:val="00EF0FCB"/>
    <w:rsid w:val="00EF1013"/>
    <w:rsid w:val="00EF108B"/>
    <w:rsid w:val="00EF13F4"/>
    <w:rsid w:val="00EF13F5"/>
    <w:rsid w:val="00EF141C"/>
    <w:rsid w:val="00EF1506"/>
    <w:rsid w:val="00EF152F"/>
    <w:rsid w:val="00EF17EF"/>
    <w:rsid w:val="00EF1916"/>
    <w:rsid w:val="00EF196E"/>
    <w:rsid w:val="00EF19D5"/>
    <w:rsid w:val="00EF1A10"/>
    <w:rsid w:val="00EF1A49"/>
    <w:rsid w:val="00EF1AC5"/>
    <w:rsid w:val="00EF1AF6"/>
    <w:rsid w:val="00EF1B9B"/>
    <w:rsid w:val="00EF1BA0"/>
    <w:rsid w:val="00EF1C27"/>
    <w:rsid w:val="00EF1C69"/>
    <w:rsid w:val="00EF1C9B"/>
    <w:rsid w:val="00EF1DBE"/>
    <w:rsid w:val="00EF2171"/>
    <w:rsid w:val="00EF217B"/>
    <w:rsid w:val="00EF217E"/>
    <w:rsid w:val="00EF233F"/>
    <w:rsid w:val="00EF234C"/>
    <w:rsid w:val="00EF23ED"/>
    <w:rsid w:val="00EF2431"/>
    <w:rsid w:val="00EF24E8"/>
    <w:rsid w:val="00EF25D1"/>
    <w:rsid w:val="00EF265A"/>
    <w:rsid w:val="00EF2973"/>
    <w:rsid w:val="00EF297F"/>
    <w:rsid w:val="00EF2AD4"/>
    <w:rsid w:val="00EF2B8B"/>
    <w:rsid w:val="00EF2F2A"/>
    <w:rsid w:val="00EF2F47"/>
    <w:rsid w:val="00EF2F92"/>
    <w:rsid w:val="00EF324C"/>
    <w:rsid w:val="00EF33C3"/>
    <w:rsid w:val="00EF3412"/>
    <w:rsid w:val="00EF3497"/>
    <w:rsid w:val="00EF3695"/>
    <w:rsid w:val="00EF3710"/>
    <w:rsid w:val="00EF374F"/>
    <w:rsid w:val="00EF38BF"/>
    <w:rsid w:val="00EF3925"/>
    <w:rsid w:val="00EF39D8"/>
    <w:rsid w:val="00EF3AEE"/>
    <w:rsid w:val="00EF3B2E"/>
    <w:rsid w:val="00EF3D47"/>
    <w:rsid w:val="00EF3E12"/>
    <w:rsid w:val="00EF4064"/>
    <w:rsid w:val="00EF4075"/>
    <w:rsid w:val="00EF409D"/>
    <w:rsid w:val="00EF4162"/>
    <w:rsid w:val="00EF41F8"/>
    <w:rsid w:val="00EF425F"/>
    <w:rsid w:val="00EF4345"/>
    <w:rsid w:val="00EF4358"/>
    <w:rsid w:val="00EF437E"/>
    <w:rsid w:val="00EF4394"/>
    <w:rsid w:val="00EF447E"/>
    <w:rsid w:val="00EF4592"/>
    <w:rsid w:val="00EF4828"/>
    <w:rsid w:val="00EF485E"/>
    <w:rsid w:val="00EF4887"/>
    <w:rsid w:val="00EF488D"/>
    <w:rsid w:val="00EF488F"/>
    <w:rsid w:val="00EF4A6F"/>
    <w:rsid w:val="00EF4D34"/>
    <w:rsid w:val="00EF4DBC"/>
    <w:rsid w:val="00EF4EB7"/>
    <w:rsid w:val="00EF4F1D"/>
    <w:rsid w:val="00EF4F61"/>
    <w:rsid w:val="00EF5090"/>
    <w:rsid w:val="00EF5133"/>
    <w:rsid w:val="00EF51A9"/>
    <w:rsid w:val="00EF542C"/>
    <w:rsid w:val="00EF543F"/>
    <w:rsid w:val="00EF552E"/>
    <w:rsid w:val="00EF5722"/>
    <w:rsid w:val="00EF5761"/>
    <w:rsid w:val="00EF586B"/>
    <w:rsid w:val="00EF5A04"/>
    <w:rsid w:val="00EF5A66"/>
    <w:rsid w:val="00EF5C65"/>
    <w:rsid w:val="00EF5C6E"/>
    <w:rsid w:val="00EF5C7A"/>
    <w:rsid w:val="00EF5E91"/>
    <w:rsid w:val="00EF5EB3"/>
    <w:rsid w:val="00EF5F71"/>
    <w:rsid w:val="00EF612E"/>
    <w:rsid w:val="00EF61A5"/>
    <w:rsid w:val="00EF6286"/>
    <w:rsid w:val="00EF62EC"/>
    <w:rsid w:val="00EF6353"/>
    <w:rsid w:val="00EF6468"/>
    <w:rsid w:val="00EF66DA"/>
    <w:rsid w:val="00EF66EC"/>
    <w:rsid w:val="00EF6743"/>
    <w:rsid w:val="00EF6806"/>
    <w:rsid w:val="00EF6864"/>
    <w:rsid w:val="00EF6924"/>
    <w:rsid w:val="00EF6A9D"/>
    <w:rsid w:val="00EF6ACC"/>
    <w:rsid w:val="00EF6AF9"/>
    <w:rsid w:val="00EF6B1A"/>
    <w:rsid w:val="00EF6B95"/>
    <w:rsid w:val="00EF6DE5"/>
    <w:rsid w:val="00EF6E9D"/>
    <w:rsid w:val="00EF6F30"/>
    <w:rsid w:val="00EF7079"/>
    <w:rsid w:val="00EF71F2"/>
    <w:rsid w:val="00EF71FE"/>
    <w:rsid w:val="00EF73FE"/>
    <w:rsid w:val="00EF7466"/>
    <w:rsid w:val="00EF7498"/>
    <w:rsid w:val="00EF7787"/>
    <w:rsid w:val="00EF792B"/>
    <w:rsid w:val="00EF7B8F"/>
    <w:rsid w:val="00EF7BBE"/>
    <w:rsid w:val="00EF7BD0"/>
    <w:rsid w:val="00EF7E11"/>
    <w:rsid w:val="00EF7ECE"/>
    <w:rsid w:val="00F001C6"/>
    <w:rsid w:val="00F0034D"/>
    <w:rsid w:val="00F004B5"/>
    <w:rsid w:val="00F00636"/>
    <w:rsid w:val="00F006CE"/>
    <w:rsid w:val="00F00A73"/>
    <w:rsid w:val="00F00B71"/>
    <w:rsid w:val="00F00BA9"/>
    <w:rsid w:val="00F00CCA"/>
    <w:rsid w:val="00F00D72"/>
    <w:rsid w:val="00F00E3F"/>
    <w:rsid w:val="00F00E61"/>
    <w:rsid w:val="00F01066"/>
    <w:rsid w:val="00F01105"/>
    <w:rsid w:val="00F01136"/>
    <w:rsid w:val="00F01164"/>
    <w:rsid w:val="00F013B7"/>
    <w:rsid w:val="00F01599"/>
    <w:rsid w:val="00F017C9"/>
    <w:rsid w:val="00F0192F"/>
    <w:rsid w:val="00F0199A"/>
    <w:rsid w:val="00F01A03"/>
    <w:rsid w:val="00F01B25"/>
    <w:rsid w:val="00F01B32"/>
    <w:rsid w:val="00F01B35"/>
    <w:rsid w:val="00F01C99"/>
    <w:rsid w:val="00F01EF8"/>
    <w:rsid w:val="00F0214C"/>
    <w:rsid w:val="00F0214E"/>
    <w:rsid w:val="00F02248"/>
    <w:rsid w:val="00F022D9"/>
    <w:rsid w:val="00F0231D"/>
    <w:rsid w:val="00F023A6"/>
    <w:rsid w:val="00F023D0"/>
    <w:rsid w:val="00F025C7"/>
    <w:rsid w:val="00F02752"/>
    <w:rsid w:val="00F02811"/>
    <w:rsid w:val="00F029EC"/>
    <w:rsid w:val="00F02A18"/>
    <w:rsid w:val="00F02CFB"/>
    <w:rsid w:val="00F02FD9"/>
    <w:rsid w:val="00F03126"/>
    <w:rsid w:val="00F03137"/>
    <w:rsid w:val="00F03409"/>
    <w:rsid w:val="00F034B1"/>
    <w:rsid w:val="00F035D3"/>
    <w:rsid w:val="00F03604"/>
    <w:rsid w:val="00F036E3"/>
    <w:rsid w:val="00F0370D"/>
    <w:rsid w:val="00F037A2"/>
    <w:rsid w:val="00F037AA"/>
    <w:rsid w:val="00F038D7"/>
    <w:rsid w:val="00F03916"/>
    <w:rsid w:val="00F039F1"/>
    <w:rsid w:val="00F03C3D"/>
    <w:rsid w:val="00F03E95"/>
    <w:rsid w:val="00F03E9F"/>
    <w:rsid w:val="00F03EE1"/>
    <w:rsid w:val="00F03EEC"/>
    <w:rsid w:val="00F03FCE"/>
    <w:rsid w:val="00F03FDA"/>
    <w:rsid w:val="00F041A0"/>
    <w:rsid w:val="00F04317"/>
    <w:rsid w:val="00F043FF"/>
    <w:rsid w:val="00F0459E"/>
    <w:rsid w:val="00F045EB"/>
    <w:rsid w:val="00F046A4"/>
    <w:rsid w:val="00F04782"/>
    <w:rsid w:val="00F0485E"/>
    <w:rsid w:val="00F049FB"/>
    <w:rsid w:val="00F04A1B"/>
    <w:rsid w:val="00F04A4F"/>
    <w:rsid w:val="00F04AE6"/>
    <w:rsid w:val="00F04AEA"/>
    <w:rsid w:val="00F04B25"/>
    <w:rsid w:val="00F04B68"/>
    <w:rsid w:val="00F04C2F"/>
    <w:rsid w:val="00F04C30"/>
    <w:rsid w:val="00F04CE2"/>
    <w:rsid w:val="00F04D9A"/>
    <w:rsid w:val="00F04E17"/>
    <w:rsid w:val="00F04EE6"/>
    <w:rsid w:val="00F04F1E"/>
    <w:rsid w:val="00F04F27"/>
    <w:rsid w:val="00F05022"/>
    <w:rsid w:val="00F0525D"/>
    <w:rsid w:val="00F05272"/>
    <w:rsid w:val="00F052A0"/>
    <w:rsid w:val="00F053E0"/>
    <w:rsid w:val="00F0540E"/>
    <w:rsid w:val="00F054BF"/>
    <w:rsid w:val="00F0556D"/>
    <w:rsid w:val="00F055AB"/>
    <w:rsid w:val="00F0566D"/>
    <w:rsid w:val="00F0570E"/>
    <w:rsid w:val="00F0576C"/>
    <w:rsid w:val="00F05917"/>
    <w:rsid w:val="00F05982"/>
    <w:rsid w:val="00F05A26"/>
    <w:rsid w:val="00F05A9B"/>
    <w:rsid w:val="00F05B3C"/>
    <w:rsid w:val="00F05C3A"/>
    <w:rsid w:val="00F05D07"/>
    <w:rsid w:val="00F06047"/>
    <w:rsid w:val="00F060B7"/>
    <w:rsid w:val="00F060CA"/>
    <w:rsid w:val="00F06137"/>
    <w:rsid w:val="00F062BA"/>
    <w:rsid w:val="00F063A9"/>
    <w:rsid w:val="00F06491"/>
    <w:rsid w:val="00F06572"/>
    <w:rsid w:val="00F06638"/>
    <w:rsid w:val="00F066AB"/>
    <w:rsid w:val="00F068EC"/>
    <w:rsid w:val="00F06BD1"/>
    <w:rsid w:val="00F06C87"/>
    <w:rsid w:val="00F06CDE"/>
    <w:rsid w:val="00F06D36"/>
    <w:rsid w:val="00F06E86"/>
    <w:rsid w:val="00F06EE8"/>
    <w:rsid w:val="00F06FB4"/>
    <w:rsid w:val="00F06FDC"/>
    <w:rsid w:val="00F07018"/>
    <w:rsid w:val="00F0701D"/>
    <w:rsid w:val="00F070AC"/>
    <w:rsid w:val="00F071B2"/>
    <w:rsid w:val="00F071F1"/>
    <w:rsid w:val="00F07377"/>
    <w:rsid w:val="00F07382"/>
    <w:rsid w:val="00F0738F"/>
    <w:rsid w:val="00F0740F"/>
    <w:rsid w:val="00F074A5"/>
    <w:rsid w:val="00F07531"/>
    <w:rsid w:val="00F0755E"/>
    <w:rsid w:val="00F0764D"/>
    <w:rsid w:val="00F076FE"/>
    <w:rsid w:val="00F0775D"/>
    <w:rsid w:val="00F078AF"/>
    <w:rsid w:val="00F079BE"/>
    <w:rsid w:val="00F07BAE"/>
    <w:rsid w:val="00F07D37"/>
    <w:rsid w:val="00F10072"/>
    <w:rsid w:val="00F10164"/>
    <w:rsid w:val="00F101C7"/>
    <w:rsid w:val="00F1036C"/>
    <w:rsid w:val="00F10379"/>
    <w:rsid w:val="00F1046E"/>
    <w:rsid w:val="00F105F3"/>
    <w:rsid w:val="00F10602"/>
    <w:rsid w:val="00F10714"/>
    <w:rsid w:val="00F10812"/>
    <w:rsid w:val="00F10836"/>
    <w:rsid w:val="00F1084F"/>
    <w:rsid w:val="00F10992"/>
    <w:rsid w:val="00F10AFF"/>
    <w:rsid w:val="00F10BDD"/>
    <w:rsid w:val="00F10BF1"/>
    <w:rsid w:val="00F10CA8"/>
    <w:rsid w:val="00F10CF7"/>
    <w:rsid w:val="00F10F4B"/>
    <w:rsid w:val="00F10FD5"/>
    <w:rsid w:val="00F110B6"/>
    <w:rsid w:val="00F1117E"/>
    <w:rsid w:val="00F114B5"/>
    <w:rsid w:val="00F11582"/>
    <w:rsid w:val="00F115DC"/>
    <w:rsid w:val="00F11666"/>
    <w:rsid w:val="00F1171F"/>
    <w:rsid w:val="00F1179D"/>
    <w:rsid w:val="00F1198B"/>
    <w:rsid w:val="00F119D0"/>
    <w:rsid w:val="00F11A08"/>
    <w:rsid w:val="00F11C26"/>
    <w:rsid w:val="00F11C60"/>
    <w:rsid w:val="00F11D52"/>
    <w:rsid w:val="00F11F95"/>
    <w:rsid w:val="00F11FE1"/>
    <w:rsid w:val="00F12129"/>
    <w:rsid w:val="00F121E6"/>
    <w:rsid w:val="00F1223C"/>
    <w:rsid w:val="00F122D9"/>
    <w:rsid w:val="00F1231D"/>
    <w:rsid w:val="00F12515"/>
    <w:rsid w:val="00F126CB"/>
    <w:rsid w:val="00F1273F"/>
    <w:rsid w:val="00F128A7"/>
    <w:rsid w:val="00F12946"/>
    <w:rsid w:val="00F1297F"/>
    <w:rsid w:val="00F12B23"/>
    <w:rsid w:val="00F12D4C"/>
    <w:rsid w:val="00F12D81"/>
    <w:rsid w:val="00F12DB1"/>
    <w:rsid w:val="00F12DB4"/>
    <w:rsid w:val="00F12DDE"/>
    <w:rsid w:val="00F12E51"/>
    <w:rsid w:val="00F12E95"/>
    <w:rsid w:val="00F12F15"/>
    <w:rsid w:val="00F12F60"/>
    <w:rsid w:val="00F12F61"/>
    <w:rsid w:val="00F12FC0"/>
    <w:rsid w:val="00F13043"/>
    <w:rsid w:val="00F13060"/>
    <w:rsid w:val="00F13165"/>
    <w:rsid w:val="00F1318E"/>
    <w:rsid w:val="00F13257"/>
    <w:rsid w:val="00F13289"/>
    <w:rsid w:val="00F132A8"/>
    <w:rsid w:val="00F133DF"/>
    <w:rsid w:val="00F133F3"/>
    <w:rsid w:val="00F13401"/>
    <w:rsid w:val="00F135E6"/>
    <w:rsid w:val="00F13683"/>
    <w:rsid w:val="00F1369F"/>
    <w:rsid w:val="00F136BA"/>
    <w:rsid w:val="00F13728"/>
    <w:rsid w:val="00F13762"/>
    <w:rsid w:val="00F13851"/>
    <w:rsid w:val="00F13946"/>
    <w:rsid w:val="00F13997"/>
    <w:rsid w:val="00F13A68"/>
    <w:rsid w:val="00F13AAD"/>
    <w:rsid w:val="00F13B1A"/>
    <w:rsid w:val="00F13DC5"/>
    <w:rsid w:val="00F13DD3"/>
    <w:rsid w:val="00F13DEC"/>
    <w:rsid w:val="00F13E1B"/>
    <w:rsid w:val="00F13E21"/>
    <w:rsid w:val="00F13FDC"/>
    <w:rsid w:val="00F13FFB"/>
    <w:rsid w:val="00F14112"/>
    <w:rsid w:val="00F14186"/>
    <w:rsid w:val="00F1429D"/>
    <w:rsid w:val="00F142AC"/>
    <w:rsid w:val="00F1436A"/>
    <w:rsid w:val="00F143F7"/>
    <w:rsid w:val="00F14522"/>
    <w:rsid w:val="00F1455E"/>
    <w:rsid w:val="00F145EE"/>
    <w:rsid w:val="00F1467E"/>
    <w:rsid w:val="00F147D2"/>
    <w:rsid w:val="00F149F2"/>
    <w:rsid w:val="00F14A25"/>
    <w:rsid w:val="00F14A58"/>
    <w:rsid w:val="00F14A95"/>
    <w:rsid w:val="00F14B7B"/>
    <w:rsid w:val="00F14C89"/>
    <w:rsid w:val="00F14D92"/>
    <w:rsid w:val="00F14F62"/>
    <w:rsid w:val="00F15056"/>
    <w:rsid w:val="00F1510D"/>
    <w:rsid w:val="00F151A4"/>
    <w:rsid w:val="00F1520E"/>
    <w:rsid w:val="00F1520F"/>
    <w:rsid w:val="00F153C1"/>
    <w:rsid w:val="00F15496"/>
    <w:rsid w:val="00F154DF"/>
    <w:rsid w:val="00F154F8"/>
    <w:rsid w:val="00F15560"/>
    <w:rsid w:val="00F15643"/>
    <w:rsid w:val="00F156E2"/>
    <w:rsid w:val="00F15887"/>
    <w:rsid w:val="00F15B91"/>
    <w:rsid w:val="00F15BFA"/>
    <w:rsid w:val="00F15D34"/>
    <w:rsid w:val="00F15D49"/>
    <w:rsid w:val="00F15ED1"/>
    <w:rsid w:val="00F15FDC"/>
    <w:rsid w:val="00F161FB"/>
    <w:rsid w:val="00F1629F"/>
    <w:rsid w:val="00F16352"/>
    <w:rsid w:val="00F16361"/>
    <w:rsid w:val="00F16443"/>
    <w:rsid w:val="00F16456"/>
    <w:rsid w:val="00F1653A"/>
    <w:rsid w:val="00F16560"/>
    <w:rsid w:val="00F16728"/>
    <w:rsid w:val="00F16875"/>
    <w:rsid w:val="00F1688A"/>
    <w:rsid w:val="00F168C9"/>
    <w:rsid w:val="00F16A49"/>
    <w:rsid w:val="00F16A7F"/>
    <w:rsid w:val="00F16EED"/>
    <w:rsid w:val="00F16EF1"/>
    <w:rsid w:val="00F16F2A"/>
    <w:rsid w:val="00F17023"/>
    <w:rsid w:val="00F17028"/>
    <w:rsid w:val="00F170AA"/>
    <w:rsid w:val="00F1716A"/>
    <w:rsid w:val="00F1725E"/>
    <w:rsid w:val="00F17683"/>
    <w:rsid w:val="00F17686"/>
    <w:rsid w:val="00F17772"/>
    <w:rsid w:val="00F17AAF"/>
    <w:rsid w:val="00F17B12"/>
    <w:rsid w:val="00F17C4B"/>
    <w:rsid w:val="00F17DA2"/>
    <w:rsid w:val="00F17DC8"/>
    <w:rsid w:val="00F17E7D"/>
    <w:rsid w:val="00F17F0E"/>
    <w:rsid w:val="00F17F2E"/>
    <w:rsid w:val="00F17FB5"/>
    <w:rsid w:val="00F20127"/>
    <w:rsid w:val="00F20169"/>
    <w:rsid w:val="00F201FE"/>
    <w:rsid w:val="00F20358"/>
    <w:rsid w:val="00F203D6"/>
    <w:rsid w:val="00F204B2"/>
    <w:rsid w:val="00F20517"/>
    <w:rsid w:val="00F206F8"/>
    <w:rsid w:val="00F207F4"/>
    <w:rsid w:val="00F2090D"/>
    <w:rsid w:val="00F20953"/>
    <w:rsid w:val="00F209E3"/>
    <w:rsid w:val="00F20A2B"/>
    <w:rsid w:val="00F20D0F"/>
    <w:rsid w:val="00F20EAC"/>
    <w:rsid w:val="00F21102"/>
    <w:rsid w:val="00F211F0"/>
    <w:rsid w:val="00F2124B"/>
    <w:rsid w:val="00F21346"/>
    <w:rsid w:val="00F21356"/>
    <w:rsid w:val="00F213D1"/>
    <w:rsid w:val="00F2169B"/>
    <w:rsid w:val="00F2171C"/>
    <w:rsid w:val="00F21752"/>
    <w:rsid w:val="00F21806"/>
    <w:rsid w:val="00F218F7"/>
    <w:rsid w:val="00F219DE"/>
    <w:rsid w:val="00F21A1C"/>
    <w:rsid w:val="00F21C4D"/>
    <w:rsid w:val="00F21C85"/>
    <w:rsid w:val="00F21CAC"/>
    <w:rsid w:val="00F21EC6"/>
    <w:rsid w:val="00F21F5B"/>
    <w:rsid w:val="00F21FDE"/>
    <w:rsid w:val="00F22175"/>
    <w:rsid w:val="00F22178"/>
    <w:rsid w:val="00F221A7"/>
    <w:rsid w:val="00F22204"/>
    <w:rsid w:val="00F22321"/>
    <w:rsid w:val="00F223BB"/>
    <w:rsid w:val="00F225A7"/>
    <w:rsid w:val="00F2264B"/>
    <w:rsid w:val="00F2276A"/>
    <w:rsid w:val="00F2277F"/>
    <w:rsid w:val="00F227B7"/>
    <w:rsid w:val="00F22817"/>
    <w:rsid w:val="00F22919"/>
    <w:rsid w:val="00F22959"/>
    <w:rsid w:val="00F22A72"/>
    <w:rsid w:val="00F22B92"/>
    <w:rsid w:val="00F22C09"/>
    <w:rsid w:val="00F22D34"/>
    <w:rsid w:val="00F22D4B"/>
    <w:rsid w:val="00F22D72"/>
    <w:rsid w:val="00F22EFF"/>
    <w:rsid w:val="00F23014"/>
    <w:rsid w:val="00F231A8"/>
    <w:rsid w:val="00F231D9"/>
    <w:rsid w:val="00F232D3"/>
    <w:rsid w:val="00F23314"/>
    <w:rsid w:val="00F23393"/>
    <w:rsid w:val="00F23451"/>
    <w:rsid w:val="00F23594"/>
    <w:rsid w:val="00F235CA"/>
    <w:rsid w:val="00F235FC"/>
    <w:rsid w:val="00F23672"/>
    <w:rsid w:val="00F2381D"/>
    <w:rsid w:val="00F23839"/>
    <w:rsid w:val="00F2386A"/>
    <w:rsid w:val="00F2395F"/>
    <w:rsid w:val="00F23A1B"/>
    <w:rsid w:val="00F23A7A"/>
    <w:rsid w:val="00F23EA2"/>
    <w:rsid w:val="00F23F5C"/>
    <w:rsid w:val="00F23FC2"/>
    <w:rsid w:val="00F240E0"/>
    <w:rsid w:val="00F2418A"/>
    <w:rsid w:val="00F24263"/>
    <w:rsid w:val="00F2426B"/>
    <w:rsid w:val="00F24387"/>
    <w:rsid w:val="00F243DC"/>
    <w:rsid w:val="00F243FD"/>
    <w:rsid w:val="00F24629"/>
    <w:rsid w:val="00F24636"/>
    <w:rsid w:val="00F24694"/>
    <w:rsid w:val="00F247D8"/>
    <w:rsid w:val="00F249AF"/>
    <w:rsid w:val="00F249DE"/>
    <w:rsid w:val="00F24A4A"/>
    <w:rsid w:val="00F24CB2"/>
    <w:rsid w:val="00F24F8D"/>
    <w:rsid w:val="00F24F9B"/>
    <w:rsid w:val="00F2507C"/>
    <w:rsid w:val="00F2512B"/>
    <w:rsid w:val="00F251B1"/>
    <w:rsid w:val="00F253AC"/>
    <w:rsid w:val="00F254C1"/>
    <w:rsid w:val="00F255AD"/>
    <w:rsid w:val="00F256DD"/>
    <w:rsid w:val="00F25715"/>
    <w:rsid w:val="00F25846"/>
    <w:rsid w:val="00F25B05"/>
    <w:rsid w:val="00F25B7D"/>
    <w:rsid w:val="00F25B7F"/>
    <w:rsid w:val="00F25CC8"/>
    <w:rsid w:val="00F25E6A"/>
    <w:rsid w:val="00F25EF8"/>
    <w:rsid w:val="00F25EFD"/>
    <w:rsid w:val="00F25F48"/>
    <w:rsid w:val="00F25FD6"/>
    <w:rsid w:val="00F260F7"/>
    <w:rsid w:val="00F26104"/>
    <w:rsid w:val="00F26130"/>
    <w:rsid w:val="00F261C7"/>
    <w:rsid w:val="00F26363"/>
    <w:rsid w:val="00F26387"/>
    <w:rsid w:val="00F26416"/>
    <w:rsid w:val="00F264C3"/>
    <w:rsid w:val="00F2653C"/>
    <w:rsid w:val="00F26565"/>
    <w:rsid w:val="00F265E5"/>
    <w:rsid w:val="00F2660A"/>
    <w:rsid w:val="00F26615"/>
    <w:rsid w:val="00F26711"/>
    <w:rsid w:val="00F26838"/>
    <w:rsid w:val="00F2685B"/>
    <w:rsid w:val="00F269A6"/>
    <w:rsid w:val="00F269D9"/>
    <w:rsid w:val="00F26A59"/>
    <w:rsid w:val="00F26A5A"/>
    <w:rsid w:val="00F26BF5"/>
    <w:rsid w:val="00F26C51"/>
    <w:rsid w:val="00F26D17"/>
    <w:rsid w:val="00F26E43"/>
    <w:rsid w:val="00F26E4C"/>
    <w:rsid w:val="00F26EBD"/>
    <w:rsid w:val="00F26F69"/>
    <w:rsid w:val="00F26F80"/>
    <w:rsid w:val="00F27042"/>
    <w:rsid w:val="00F2708E"/>
    <w:rsid w:val="00F271FD"/>
    <w:rsid w:val="00F274F1"/>
    <w:rsid w:val="00F2752D"/>
    <w:rsid w:val="00F275F8"/>
    <w:rsid w:val="00F27646"/>
    <w:rsid w:val="00F2770E"/>
    <w:rsid w:val="00F2773F"/>
    <w:rsid w:val="00F2775F"/>
    <w:rsid w:val="00F277E9"/>
    <w:rsid w:val="00F27848"/>
    <w:rsid w:val="00F278F1"/>
    <w:rsid w:val="00F279C7"/>
    <w:rsid w:val="00F27B3F"/>
    <w:rsid w:val="00F27C9E"/>
    <w:rsid w:val="00F27D23"/>
    <w:rsid w:val="00F27ED5"/>
    <w:rsid w:val="00F27F79"/>
    <w:rsid w:val="00F3000B"/>
    <w:rsid w:val="00F30018"/>
    <w:rsid w:val="00F300DD"/>
    <w:rsid w:val="00F302E3"/>
    <w:rsid w:val="00F30462"/>
    <w:rsid w:val="00F304D4"/>
    <w:rsid w:val="00F3068D"/>
    <w:rsid w:val="00F30706"/>
    <w:rsid w:val="00F3080E"/>
    <w:rsid w:val="00F3084A"/>
    <w:rsid w:val="00F30A84"/>
    <w:rsid w:val="00F30AAD"/>
    <w:rsid w:val="00F30BCD"/>
    <w:rsid w:val="00F30C76"/>
    <w:rsid w:val="00F30EB0"/>
    <w:rsid w:val="00F30ED6"/>
    <w:rsid w:val="00F30EDA"/>
    <w:rsid w:val="00F30F86"/>
    <w:rsid w:val="00F3100F"/>
    <w:rsid w:val="00F3114D"/>
    <w:rsid w:val="00F3114F"/>
    <w:rsid w:val="00F312A2"/>
    <w:rsid w:val="00F312E1"/>
    <w:rsid w:val="00F3135D"/>
    <w:rsid w:val="00F31363"/>
    <w:rsid w:val="00F31376"/>
    <w:rsid w:val="00F313AC"/>
    <w:rsid w:val="00F31433"/>
    <w:rsid w:val="00F315CD"/>
    <w:rsid w:val="00F31614"/>
    <w:rsid w:val="00F31668"/>
    <w:rsid w:val="00F31684"/>
    <w:rsid w:val="00F31794"/>
    <w:rsid w:val="00F3188C"/>
    <w:rsid w:val="00F31A37"/>
    <w:rsid w:val="00F31A74"/>
    <w:rsid w:val="00F31CD4"/>
    <w:rsid w:val="00F31F15"/>
    <w:rsid w:val="00F31F52"/>
    <w:rsid w:val="00F31F9F"/>
    <w:rsid w:val="00F32119"/>
    <w:rsid w:val="00F32661"/>
    <w:rsid w:val="00F3266A"/>
    <w:rsid w:val="00F327BB"/>
    <w:rsid w:val="00F32816"/>
    <w:rsid w:val="00F3285F"/>
    <w:rsid w:val="00F329F8"/>
    <w:rsid w:val="00F32A8F"/>
    <w:rsid w:val="00F32A9A"/>
    <w:rsid w:val="00F32AB4"/>
    <w:rsid w:val="00F32B99"/>
    <w:rsid w:val="00F32D6A"/>
    <w:rsid w:val="00F32D92"/>
    <w:rsid w:val="00F32DBE"/>
    <w:rsid w:val="00F32E0B"/>
    <w:rsid w:val="00F3300E"/>
    <w:rsid w:val="00F33012"/>
    <w:rsid w:val="00F3318A"/>
    <w:rsid w:val="00F3323B"/>
    <w:rsid w:val="00F33313"/>
    <w:rsid w:val="00F3338C"/>
    <w:rsid w:val="00F33450"/>
    <w:rsid w:val="00F33452"/>
    <w:rsid w:val="00F33469"/>
    <w:rsid w:val="00F334A5"/>
    <w:rsid w:val="00F3370B"/>
    <w:rsid w:val="00F33731"/>
    <w:rsid w:val="00F33840"/>
    <w:rsid w:val="00F339CF"/>
    <w:rsid w:val="00F33ADE"/>
    <w:rsid w:val="00F33B89"/>
    <w:rsid w:val="00F33B8A"/>
    <w:rsid w:val="00F33D6F"/>
    <w:rsid w:val="00F33DA0"/>
    <w:rsid w:val="00F33EA8"/>
    <w:rsid w:val="00F33F35"/>
    <w:rsid w:val="00F3401D"/>
    <w:rsid w:val="00F34167"/>
    <w:rsid w:val="00F34280"/>
    <w:rsid w:val="00F34572"/>
    <w:rsid w:val="00F3457F"/>
    <w:rsid w:val="00F34664"/>
    <w:rsid w:val="00F34743"/>
    <w:rsid w:val="00F347F7"/>
    <w:rsid w:val="00F3498C"/>
    <w:rsid w:val="00F349C3"/>
    <w:rsid w:val="00F34A1A"/>
    <w:rsid w:val="00F34A3D"/>
    <w:rsid w:val="00F34B20"/>
    <w:rsid w:val="00F34BDE"/>
    <w:rsid w:val="00F34C10"/>
    <w:rsid w:val="00F34FD6"/>
    <w:rsid w:val="00F351BA"/>
    <w:rsid w:val="00F35208"/>
    <w:rsid w:val="00F35211"/>
    <w:rsid w:val="00F35322"/>
    <w:rsid w:val="00F3544A"/>
    <w:rsid w:val="00F35456"/>
    <w:rsid w:val="00F35468"/>
    <w:rsid w:val="00F354E4"/>
    <w:rsid w:val="00F355E7"/>
    <w:rsid w:val="00F35622"/>
    <w:rsid w:val="00F3570C"/>
    <w:rsid w:val="00F3571A"/>
    <w:rsid w:val="00F357C3"/>
    <w:rsid w:val="00F35853"/>
    <w:rsid w:val="00F358AA"/>
    <w:rsid w:val="00F359A0"/>
    <w:rsid w:val="00F35A3B"/>
    <w:rsid w:val="00F35AAF"/>
    <w:rsid w:val="00F35B5F"/>
    <w:rsid w:val="00F35BC6"/>
    <w:rsid w:val="00F35C42"/>
    <w:rsid w:val="00F35C5D"/>
    <w:rsid w:val="00F35CE6"/>
    <w:rsid w:val="00F35FE2"/>
    <w:rsid w:val="00F35FEF"/>
    <w:rsid w:val="00F3615D"/>
    <w:rsid w:val="00F361EC"/>
    <w:rsid w:val="00F36266"/>
    <w:rsid w:val="00F36380"/>
    <w:rsid w:val="00F3644D"/>
    <w:rsid w:val="00F36487"/>
    <w:rsid w:val="00F3681D"/>
    <w:rsid w:val="00F368AE"/>
    <w:rsid w:val="00F36967"/>
    <w:rsid w:val="00F36B36"/>
    <w:rsid w:val="00F36C1F"/>
    <w:rsid w:val="00F36C49"/>
    <w:rsid w:val="00F36CFE"/>
    <w:rsid w:val="00F36D52"/>
    <w:rsid w:val="00F36D84"/>
    <w:rsid w:val="00F36DEE"/>
    <w:rsid w:val="00F36E86"/>
    <w:rsid w:val="00F36F09"/>
    <w:rsid w:val="00F36F15"/>
    <w:rsid w:val="00F37075"/>
    <w:rsid w:val="00F370A6"/>
    <w:rsid w:val="00F372CE"/>
    <w:rsid w:val="00F3732D"/>
    <w:rsid w:val="00F374AC"/>
    <w:rsid w:val="00F3750C"/>
    <w:rsid w:val="00F37519"/>
    <w:rsid w:val="00F37593"/>
    <w:rsid w:val="00F37697"/>
    <w:rsid w:val="00F37737"/>
    <w:rsid w:val="00F3773D"/>
    <w:rsid w:val="00F378B6"/>
    <w:rsid w:val="00F3796C"/>
    <w:rsid w:val="00F379B3"/>
    <w:rsid w:val="00F37A19"/>
    <w:rsid w:val="00F37A4E"/>
    <w:rsid w:val="00F37A8C"/>
    <w:rsid w:val="00F37AB4"/>
    <w:rsid w:val="00F37AE5"/>
    <w:rsid w:val="00F37B6D"/>
    <w:rsid w:val="00F37D47"/>
    <w:rsid w:val="00F37DCF"/>
    <w:rsid w:val="00F37EB9"/>
    <w:rsid w:val="00F37EBE"/>
    <w:rsid w:val="00F37EFD"/>
    <w:rsid w:val="00F40509"/>
    <w:rsid w:val="00F4050F"/>
    <w:rsid w:val="00F4056C"/>
    <w:rsid w:val="00F4057A"/>
    <w:rsid w:val="00F405C4"/>
    <w:rsid w:val="00F40623"/>
    <w:rsid w:val="00F406A8"/>
    <w:rsid w:val="00F406F3"/>
    <w:rsid w:val="00F408DF"/>
    <w:rsid w:val="00F409A6"/>
    <w:rsid w:val="00F40BB3"/>
    <w:rsid w:val="00F40C39"/>
    <w:rsid w:val="00F40C3F"/>
    <w:rsid w:val="00F40D45"/>
    <w:rsid w:val="00F40D58"/>
    <w:rsid w:val="00F40F6A"/>
    <w:rsid w:val="00F4100E"/>
    <w:rsid w:val="00F4108D"/>
    <w:rsid w:val="00F4154E"/>
    <w:rsid w:val="00F41903"/>
    <w:rsid w:val="00F41A9D"/>
    <w:rsid w:val="00F41AB6"/>
    <w:rsid w:val="00F41B74"/>
    <w:rsid w:val="00F41C0A"/>
    <w:rsid w:val="00F41C2F"/>
    <w:rsid w:val="00F424E9"/>
    <w:rsid w:val="00F424EF"/>
    <w:rsid w:val="00F4250A"/>
    <w:rsid w:val="00F425A2"/>
    <w:rsid w:val="00F42869"/>
    <w:rsid w:val="00F428EE"/>
    <w:rsid w:val="00F42946"/>
    <w:rsid w:val="00F42A3A"/>
    <w:rsid w:val="00F42A7C"/>
    <w:rsid w:val="00F42AAA"/>
    <w:rsid w:val="00F42AD7"/>
    <w:rsid w:val="00F42AEC"/>
    <w:rsid w:val="00F42B0A"/>
    <w:rsid w:val="00F42B7D"/>
    <w:rsid w:val="00F42BBF"/>
    <w:rsid w:val="00F42CD8"/>
    <w:rsid w:val="00F42DB2"/>
    <w:rsid w:val="00F42EE2"/>
    <w:rsid w:val="00F42EF5"/>
    <w:rsid w:val="00F42F1B"/>
    <w:rsid w:val="00F42F20"/>
    <w:rsid w:val="00F43038"/>
    <w:rsid w:val="00F4304E"/>
    <w:rsid w:val="00F4305D"/>
    <w:rsid w:val="00F430D2"/>
    <w:rsid w:val="00F4312E"/>
    <w:rsid w:val="00F43139"/>
    <w:rsid w:val="00F4320B"/>
    <w:rsid w:val="00F4332F"/>
    <w:rsid w:val="00F4335C"/>
    <w:rsid w:val="00F43366"/>
    <w:rsid w:val="00F43371"/>
    <w:rsid w:val="00F43535"/>
    <w:rsid w:val="00F4359C"/>
    <w:rsid w:val="00F435F7"/>
    <w:rsid w:val="00F43680"/>
    <w:rsid w:val="00F438F0"/>
    <w:rsid w:val="00F4391F"/>
    <w:rsid w:val="00F439AE"/>
    <w:rsid w:val="00F43A25"/>
    <w:rsid w:val="00F43A99"/>
    <w:rsid w:val="00F43B43"/>
    <w:rsid w:val="00F43B78"/>
    <w:rsid w:val="00F43BBA"/>
    <w:rsid w:val="00F43CF9"/>
    <w:rsid w:val="00F43D8D"/>
    <w:rsid w:val="00F43EFE"/>
    <w:rsid w:val="00F43F18"/>
    <w:rsid w:val="00F44032"/>
    <w:rsid w:val="00F4408D"/>
    <w:rsid w:val="00F441ED"/>
    <w:rsid w:val="00F44254"/>
    <w:rsid w:val="00F44271"/>
    <w:rsid w:val="00F44417"/>
    <w:rsid w:val="00F44421"/>
    <w:rsid w:val="00F44560"/>
    <w:rsid w:val="00F44609"/>
    <w:rsid w:val="00F44627"/>
    <w:rsid w:val="00F446E7"/>
    <w:rsid w:val="00F44770"/>
    <w:rsid w:val="00F4481A"/>
    <w:rsid w:val="00F44A4B"/>
    <w:rsid w:val="00F44C83"/>
    <w:rsid w:val="00F44E85"/>
    <w:rsid w:val="00F4514E"/>
    <w:rsid w:val="00F4520C"/>
    <w:rsid w:val="00F4537E"/>
    <w:rsid w:val="00F45486"/>
    <w:rsid w:val="00F45577"/>
    <w:rsid w:val="00F455A0"/>
    <w:rsid w:val="00F455D1"/>
    <w:rsid w:val="00F45796"/>
    <w:rsid w:val="00F45823"/>
    <w:rsid w:val="00F45889"/>
    <w:rsid w:val="00F45951"/>
    <w:rsid w:val="00F45A4E"/>
    <w:rsid w:val="00F45B78"/>
    <w:rsid w:val="00F45C4D"/>
    <w:rsid w:val="00F460A0"/>
    <w:rsid w:val="00F460A8"/>
    <w:rsid w:val="00F461C5"/>
    <w:rsid w:val="00F46321"/>
    <w:rsid w:val="00F46361"/>
    <w:rsid w:val="00F463E5"/>
    <w:rsid w:val="00F4652B"/>
    <w:rsid w:val="00F46688"/>
    <w:rsid w:val="00F4669F"/>
    <w:rsid w:val="00F4683C"/>
    <w:rsid w:val="00F46A1B"/>
    <w:rsid w:val="00F46A20"/>
    <w:rsid w:val="00F46A4D"/>
    <w:rsid w:val="00F46A60"/>
    <w:rsid w:val="00F46AAF"/>
    <w:rsid w:val="00F46AF0"/>
    <w:rsid w:val="00F46C58"/>
    <w:rsid w:val="00F46CCF"/>
    <w:rsid w:val="00F46D97"/>
    <w:rsid w:val="00F46E42"/>
    <w:rsid w:val="00F46F2E"/>
    <w:rsid w:val="00F46FE9"/>
    <w:rsid w:val="00F46FFE"/>
    <w:rsid w:val="00F47023"/>
    <w:rsid w:val="00F47039"/>
    <w:rsid w:val="00F47110"/>
    <w:rsid w:val="00F47316"/>
    <w:rsid w:val="00F473F6"/>
    <w:rsid w:val="00F47546"/>
    <w:rsid w:val="00F47626"/>
    <w:rsid w:val="00F4764A"/>
    <w:rsid w:val="00F476F6"/>
    <w:rsid w:val="00F4773C"/>
    <w:rsid w:val="00F477E5"/>
    <w:rsid w:val="00F47ADC"/>
    <w:rsid w:val="00F47C94"/>
    <w:rsid w:val="00F47CEF"/>
    <w:rsid w:val="00F47D3A"/>
    <w:rsid w:val="00F47D5B"/>
    <w:rsid w:val="00F47E8F"/>
    <w:rsid w:val="00F47F58"/>
    <w:rsid w:val="00F50011"/>
    <w:rsid w:val="00F500F6"/>
    <w:rsid w:val="00F5015C"/>
    <w:rsid w:val="00F50166"/>
    <w:rsid w:val="00F502BD"/>
    <w:rsid w:val="00F502BE"/>
    <w:rsid w:val="00F504CA"/>
    <w:rsid w:val="00F504DD"/>
    <w:rsid w:val="00F505D9"/>
    <w:rsid w:val="00F5061F"/>
    <w:rsid w:val="00F5066E"/>
    <w:rsid w:val="00F50770"/>
    <w:rsid w:val="00F507FE"/>
    <w:rsid w:val="00F50800"/>
    <w:rsid w:val="00F50847"/>
    <w:rsid w:val="00F5091D"/>
    <w:rsid w:val="00F50CE0"/>
    <w:rsid w:val="00F50E8E"/>
    <w:rsid w:val="00F50F48"/>
    <w:rsid w:val="00F50F89"/>
    <w:rsid w:val="00F510CF"/>
    <w:rsid w:val="00F510F0"/>
    <w:rsid w:val="00F5111A"/>
    <w:rsid w:val="00F51218"/>
    <w:rsid w:val="00F512E5"/>
    <w:rsid w:val="00F512F3"/>
    <w:rsid w:val="00F513C6"/>
    <w:rsid w:val="00F517C6"/>
    <w:rsid w:val="00F51865"/>
    <w:rsid w:val="00F51933"/>
    <w:rsid w:val="00F51995"/>
    <w:rsid w:val="00F51A03"/>
    <w:rsid w:val="00F51BE1"/>
    <w:rsid w:val="00F51D3E"/>
    <w:rsid w:val="00F51E02"/>
    <w:rsid w:val="00F51E5C"/>
    <w:rsid w:val="00F51E9C"/>
    <w:rsid w:val="00F52099"/>
    <w:rsid w:val="00F52308"/>
    <w:rsid w:val="00F52644"/>
    <w:rsid w:val="00F528F4"/>
    <w:rsid w:val="00F52A43"/>
    <w:rsid w:val="00F52AB4"/>
    <w:rsid w:val="00F52AB6"/>
    <w:rsid w:val="00F52CEC"/>
    <w:rsid w:val="00F52FE7"/>
    <w:rsid w:val="00F5306C"/>
    <w:rsid w:val="00F5308B"/>
    <w:rsid w:val="00F53204"/>
    <w:rsid w:val="00F532C0"/>
    <w:rsid w:val="00F53324"/>
    <w:rsid w:val="00F5333C"/>
    <w:rsid w:val="00F53540"/>
    <w:rsid w:val="00F535DA"/>
    <w:rsid w:val="00F53684"/>
    <w:rsid w:val="00F53706"/>
    <w:rsid w:val="00F53776"/>
    <w:rsid w:val="00F538F3"/>
    <w:rsid w:val="00F5390A"/>
    <w:rsid w:val="00F53B1E"/>
    <w:rsid w:val="00F53E87"/>
    <w:rsid w:val="00F53F19"/>
    <w:rsid w:val="00F53FEA"/>
    <w:rsid w:val="00F54054"/>
    <w:rsid w:val="00F5407F"/>
    <w:rsid w:val="00F540CD"/>
    <w:rsid w:val="00F5432A"/>
    <w:rsid w:val="00F54453"/>
    <w:rsid w:val="00F54458"/>
    <w:rsid w:val="00F54568"/>
    <w:rsid w:val="00F547C2"/>
    <w:rsid w:val="00F547C7"/>
    <w:rsid w:val="00F5484A"/>
    <w:rsid w:val="00F549CA"/>
    <w:rsid w:val="00F54C06"/>
    <w:rsid w:val="00F54CB3"/>
    <w:rsid w:val="00F54E50"/>
    <w:rsid w:val="00F54EEE"/>
    <w:rsid w:val="00F54F18"/>
    <w:rsid w:val="00F54F19"/>
    <w:rsid w:val="00F5502E"/>
    <w:rsid w:val="00F551A2"/>
    <w:rsid w:val="00F551F6"/>
    <w:rsid w:val="00F55204"/>
    <w:rsid w:val="00F552CB"/>
    <w:rsid w:val="00F55315"/>
    <w:rsid w:val="00F55479"/>
    <w:rsid w:val="00F554B1"/>
    <w:rsid w:val="00F554E9"/>
    <w:rsid w:val="00F55514"/>
    <w:rsid w:val="00F55604"/>
    <w:rsid w:val="00F5561B"/>
    <w:rsid w:val="00F5561F"/>
    <w:rsid w:val="00F55654"/>
    <w:rsid w:val="00F55655"/>
    <w:rsid w:val="00F556FA"/>
    <w:rsid w:val="00F55789"/>
    <w:rsid w:val="00F557D6"/>
    <w:rsid w:val="00F55801"/>
    <w:rsid w:val="00F55BDB"/>
    <w:rsid w:val="00F55C9A"/>
    <w:rsid w:val="00F55E5A"/>
    <w:rsid w:val="00F55E8F"/>
    <w:rsid w:val="00F5600D"/>
    <w:rsid w:val="00F56124"/>
    <w:rsid w:val="00F5615B"/>
    <w:rsid w:val="00F56191"/>
    <w:rsid w:val="00F56331"/>
    <w:rsid w:val="00F564AA"/>
    <w:rsid w:val="00F56567"/>
    <w:rsid w:val="00F56622"/>
    <w:rsid w:val="00F5663B"/>
    <w:rsid w:val="00F5671E"/>
    <w:rsid w:val="00F567A5"/>
    <w:rsid w:val="00F567ED"/>
    <w:rsid w:val="00F56823"/>
    <w:rsid w:val="00F5683E"/>
    <w:rsid w:val="00F5688A"/>
    <w:rsid w:val="00F568FF"/>
    <w:rsid w:val="00F56C59"/>
    <w:rsid w:val="00F56CBF"/>
    <w:rsid w:val="00F56EB2"/>
    <w:rsid w:val="00F56F7B"/>
    <w:rsid w:val="00F5708F"/>
    <w:rsid w:val="00F570B9"/>
    <w:rsid w:val="00F571BC"/>
    <w:rsid w:val="00F571D1"/>
    <w:rsid w:val="00F571D4"/>
    <w:rsid w:val="00F57230"/>
    <w:rsid w:val="00F5731B"/>
    <w:rsid w:val="00F57350"/>
    <w:rsid w:val="00F574CE"/>
    <w:rsid w:val="00F57632"/>
    <w:rsid w:val="00F57985"/>
    <w:rsid w:val="00F579BE"/>
    <w:rsid w:val="00F57B86"/>
    <w:rsid w:val="00F57E56"/>
    <w:rsid w:val="00F60033"/>
    <w:rsid w:val="00F60493"/>
    <w:rsid w:val="00F604B2"/>
    <w:rsid w:val="00F6051E"/>
    <w:rsid w:val="00F605FF"/>
    <w:rsid w:val="00F606CB"/>
    <w:rsid w:val="00F60923"/>
    <w:rsid w:val="00F6093C"/>
    <w:rsid w:val="00F60BAE"/>
    <w:rsid w:val="00F60BE5"/>
    <w:rsid w:val="00F60E67"/>
    <w:rsid w:val="00F60E90"/>
    <w:rsid w:val="00F61006"/>
    <w:rsid w:val="00F6106C"/>
    <w:rsid w:val="00F61183"/>
    <w:rsid w:val="00F611C7"/>
    <w:rsid w:val="00F612B0"/>
    <w:rsid w:val="00F61362"/>
    <w:rsid w:val="00F61425"/>
    <w:rsid w:val="00F616A0"/>
    <w:rsid w:val="00F6181E"/>
    <w:rsid w:val="00F6184D"/>
    <w:rsid w:val="00F6186F"/>
    <w:rsid w:val="00F6197C"/>
    <w:rsid w:val="00F619BD"/>
    <w:rsid w:val="00F619E9"/>
    <w:rsid w:val="00F61C13"/>
    <w:rsid w:val="00F61C4E"/>
    <w:rsid w:val="00F61D38"/>
    <w:rsid w:val="00F61D92"/>
    <w:rsid w:val="00F62022"/>
    <w:rsid w:val="00F620F2"/>
    <w:rsid w:val="00F6236A"/>
    <w:rsid w:val="00F6240A"/>
    <w:rsid w:val="00F624DE"/>
    <w:rsid w:val="00F6263A"/>
    <w:rsid w:val="00F6269E"/>
    <w:rsid w:val="00F62731"/>
    <w:rsid w:val="00F62744"/>
    <w:rsid w:val="00F627C3"/>
    <w:rsid w:val="00F62910"/>
    <w:rsid w:val="00F62AFD"/>
    <w:rsid w:val="00F62C76"/>
    <w:rsid w:val="00F62D44"/>
    <w:rsid w:val="00F62DB2"/>
    <w:rsid w:val="00F62E93"/>
    <w:rsid w:val="00F62EA2"/>
    <w:rsid w:val="00F62F3E"/>
    <w:rsid w:val="00F630AB"/>
    <w:rsid w:val="00F6311E"/>
    <w:rsid w:val="00F63240"/>
    <w:rsid w:val="00F63325"/>
    <w:rsid w:val="00F633C3"/>
    <w:rsid w:val="00F634A5"/>
    <w:rsid w:val="00F6362B"/>
    <w:rsid w:val="00F63762"/>
    <w:rsid w:val="00F6380A"/>
    <w:rsid w:val="00F6380F"/>
    <w:rsid w:val="00F639B0"/>
    <w:rsid w:val="00F639D2"/>
    <w:rsid w:val="00F63AFB"/>
    <w:rsid w:val="00F63C1C"/>
    <w:rsid w:val="00F63C46"/>
    <w:rsid w:val="00F63E57"/>
    <w:rsid w:val="00F63E59"/>
    <w:rsid w:val="00F63E5E"/>
    <w:rsid w:val="00F63EE9"/>
    <w:rsid w:val="00F63F67"/>
    <w:rsid w:val="00F63FE8"/>
    <w:rsid w:val="00F64013"/>
    <w:rsid w:val="00F640C6"/>
    <w:rsid w:val="00F64117"/>
    <w:rsid w:val="00F64118"/>
    <w:rsid w:val="00F64161"/>
    <w:rsid w:val="00F64189"/>
    <w:rsid w:val="00F641F8"/>
    <w:rsid w:val="00F64358"/>
    <w:rsid w:val="00F643A0"/>
    <w:rsid w:val="00F64607"/>
    <w:rsid w:val="00F64651"/>
    <w:rsid w:val="00F646B1"/>
    <w:rsid w:val="00F648C4"/>
    <w:rsid w:val="00F648E8"/>
    <w:rsid w:val="00F64960"/>
    <w:rsid w:val="00F64996"/>
    <w:rsid w:val="00F64AE0"/>
    <w:rsid w:val="00F64CBA"/>
    <w:rsid w:val="00F64CDA"/>
    <w:rsid w:val="00F64CEE"/>
    <w:rsid w:val="00F64D55"/>
    <w:rsid w:val="00F64DC3"/>
    <w:rsid w:val="00F64E20"/>
    <w:rsid w:val="00F65139"/>
    <w:rsid w:val="00F6529E"/>
    <w:rsid w:val="00F652A1"/>
    <w:rsid w:val="00F652C6"/>
    <w:rsid w:val="00F652F6"/>
    <w:rsid w:val="00F653C8"/>
    <w:rsid w:val="00F6541C"/>
    <w:rsid w:val="00F6548D"/>
    <w:rsid w:val="00F65565"/>
    <w:rsid w:val="00F655A7"/>
    <w:rsid w:val="00F655DC"/>
    <w:rsid w:val="00F65610"/>
    <w:rsid w:val="00F656AB"/>
    <w:rsid w:val="00F656C1"/>
    <w:rsid w:val="00F65734"/>
    <w:rsid w:val="00F65A10"/>
    <w:rsid w:val="00F65A2E"/>
    <w:rsid w:val="00F65CAA"/>
    <w:rsid w:val="00F65CE1"/>
    <w:rsid w:val="00F65D3E"/>
    <w:rsid w:val="00F65DCF"/>
    <w:rsid w:val="00F65F15"/>
    <w:rsid w:val="00F65FB5"/>
    <w:rsid w:val="00F660F9"/>
    <w:rsid w:val="00F661A9"/>
    <w:rsid w:val="00F66227"/>
    <w:rsid w:val="00F6631F"/>
    <w:rsid w:val="00F66340"/>
    <w:rsid w:val="00F6636C"/>
    <w:rsid w:val="00F6641C"/>
    <w:rsid w:val="00F6645E"/>
    <w:rsid w:val="00F6647B"/>
    <w:rsid w:val="00F664DB"/>
    <w:rsid w:val="00F6654F"/>
    <w:rsid w:val="00F66656"/>
    <w:rsid w:val="00F666BB"/>
    <w:rsid w:val="00F6672B"/>
    <w:rsid w:val="00F66877"/>
    <w:rsid w:val="00F6696E"/>
    <w:rsid w:val="00F669D5"/>
    <w:rsid w:val="00F669F1"/>
    <w:rsid w:val="00F66AD1"/>
    <w:rsid w:val="00F66C2E"/>
    <w:rsid w:val="00F66C46"/>
    <w:rsid w:val="00F66C6B"/>
    <w:rsid w:val="00F66D67"/>
    <w:rsid w:val="00F66D9B"/>
    <w:rsid w:val="00F66E93"/>
    <w:rsid w:val="00F66ECD"/>
    <w:rsid w:val="00F66F06"/>
    <w:rsid w:val="00F66F25"/>
    <w:rsid w:val="00F66F58"/>
    <w:rsid w:val="00F66F9D"/>
    <w:rsid w:val="00F6706A"/>
    <w:rsid w:val="00F670E4"/>
    <w:rsid w:val="00F670F2"/>
    <w:rsid w:val="00F6711F"/>
    <w:rsid w:val="00F67222"/>
    <w:rsid w:val="00F67435"/>
    <w:rsid w:val="00F6749E"/>
    <w:rsid w:val="00F674FC"/>
    <w:rsid w:val="00F6764B"/>
    <w:rsid w:val="00F67658"/>
    <w:rsid w:val="00F6777C"/>
    <w:rsid w:val="00F67930"/>
    <w:rsid w:val="00F679D3"/>
    <w:rsid w:val="00F67A8A"/>
    <w:rsid w:val="00F67AE8"/>
    <w:rsid w:val="00F67BDE"/>
    <w:rsid w:val="00F67CBB"/>
    <w:rsid w:val="00F67E3F"/>
    <w:rsid w:val="00F67F9C"/>
    <w:rsid w:val="00F700EE"/>
    <w:rsid w:val="00F700F5"/>
    <w:rsid w:val="00F700F7"/>
    <w:rsid w:val="00F70137"/>
    <w:rsid w:val="00F70250"/>
    <w:rsid w:val="00F70450"/>
    <w:rsid w:val="00F70799"/>
    <w:rsid w:val="00F707C2"/>
    <w:rsid w:val="00F707E7"/>
    <w:rsid w:val="00F708C2"/>
    <w:rsid w:val="00F70BF5"/>
    <w:rsid w:val="00F70C14"/>
    <w:rsid w:val="00F70D21"/>
    <w:rsid w:val="00F70E31"/>
    <w:rsid w:val="00F70E93"/>
    <w:rsid w:val="00F70EE4"/>
    <w:rsid w:val="00F70FEB"/>
    <w:rsid w:val="00F71047"/>
    <w:rsid w:val="00F7108A"/>
    <w:rsid w:val="00F710F0"/>
    <w:rsid w:val="00F710F8"/>
    <w:rsid w:val="00F71341"/>
    <w:rsid w:val="00F71384"/>
    <w:rsid w:val="00F715BF"/>
    <w:rsid w:val="00F715C3"/>
    <w:rsid w:val="00F7178D"/>
    <w:rsid w:val="00F7184A"/>
    <w:rsid w:val="00F71944"/>
    <w:rsid w:val="00F71A18"/>
    <w:rsid w:val="00F71A99"/>
    <w:rsid w:val="00F71B5F"/>
    <w:rsid w:val="00F71B78"/>
    <w:rsid w:val="00F71BE2"/>
    <w:rsid w:val="00F71C61"/>
    <w:rsid w:val="00F71C88"/>
    <w:rsid w:val="00F71D2D"/>
    <w:rsid w:val="00F71D3E"/>
    <w:rsid w:val="00F71D6A"/>
    <w:rsid w:val="00F71D86"/>
    <w:rsid w:val="00F71DFD"/>
    <w:rsid w:val="00F71E0C"/>
    <w:rsid w:val="00F71EE3"/>
    <w:rsid w:val="00F71EE8"/>
    <w:rsid w:val="00F71F63"/>
    <w:rsid w:val="00F71FCE"/>
    <w:rsid w:val="00F720B8"/>
    <w:rsid w:val="00F72178"/>
    <w:rsid w:val="00F724CD"/>
    <w:rsid w:val="00F72514"/>
    <w:rsid w:val="00F726A2"/>
    <w:rsid w:val="00F7277C"/>
    <w:rsid w:val="00F72813"/>
    <w:rsid w:val="00F7290C"/>
    <w:rsid w:val="00F729B3"/>
    <w:rsid w:val="00F729C2"/>
    <w:rsid w:val="00F729C3"/>
    <w:rsid w:val="00F72AE7"/>
    <w:rsid w:val="00F72D0E"/>
    <w:rsid w:val="00F72DD1"/>
    <w:rsid w:val="00F730F3"/>
    <w:rsid w:val="00F73104"/>
    <w:rsid w:val="00F731DC"/>
    <w:rsid w:val="00F731F0"/>
    <w:rsid w:val="00F7333B"/>
    <w:rsid w:val="00F73460"/>
    <w:rsid w:val="00F7355B"/>
    <w:rsid w:val="00F735A7"/>
    <w:rsid w:val="00F735AB"/>
    <w:rsid w:val="00F73733"/>
    <w:rsid w:val="00F7381F"/>
    <w:rsid w:val="00F7386C"/>
    <w:rsid w:val="00F738CB"/>
    <w:rsid w:val="00F738D4"/>
    <w:rsid w:val="00F73A9F"/>
    <w:rsid w:val="00F73ADB"/>
    <w:rsid w:val="00F73B8E"/>
    <w:rsid w:val="00F73BE0"/>
    <w:rsid w:val="00F73C90"/>
    <w:rsid w:val="00F73E56"/>
    <w:rsid w:val="00F73F6A"/>
    <w:rsid w:val="00F74047"/>
    <w:rsid w:val="00F74204"/>
    <w:rsid w:val="00F7429F"/>
    <w:rsid w:val="00F7435C"/>
    <w:rsid w:val="00F74370"/>
    <w:rsid w:val="00F744BB"/>
    <w:rsid w:val="00F74581"/>
    <w:rsid w:val="00F7460D"/>
    <w:rsid w:val="00F746D6"/>
    <w:rsid w:val="00F747BC"/>
    <w:rsid w:val="00F7482A"/>
    <w:rsid w:val="00F748FB"/>
    <w:rsid w:val="00F74992"/>
    <w:rsid w:val="00F7499D"/>
    <w:rsid w:val="00F749BE"/>
    <w:rsid w:val="00F74A0A"/>
    <w:rsid w:val="00F74AB1"/>
    <w:rsid w:val="00F74BEB"/>
    <w:rsid w:val="00F74BF7"/>
    <w:rsid w:val="00F74D14"/>
    <w:rsid w:val="00F74D3B"/>
    <w:rsid w:val="00F74F06"/>
    <w:rsid w:val="00F74F27"/>
    <w:rsid w:val="00F74F2F"/>
    <w:rsid w:val="00F75038"/>
    <w:rsid w:val="00F75063"/>
    <w:rsid w:val="00F750A7"/>
    <w:rsid w:val="00F75170"/>
    <w:rsid w:val="00F7525A"/>
    <w:rsid w:val="00F752A1"/>
    <w:rsid w:val="00F752A2"/>
    <w:rsid w:val="00F75510"/>
    <w:rsid w:val="00F7558C"/>
    <w:rsid w:val="00F75824"/>
    <w:rsid w:val="00F758E0"/>
    <w:rsid w:val="00F7591B"/>
    <w:rsid w:val="00F7593A"/>
    <w:rsid w:val="00F75ADA"/>
    <w:rsid w:val="00F75B14"/>
    <w:rsid w:val="00F75B9F"/>
    <w:rsid w:val="00F75D28"/>
    <w:rsid w:val="00F75D3D"/>
    <w:rsid w:val="00F75DA6"/>
    <w:rsid w:val="00F75E0A"/>
    <w:rsid w:val="00F75E55"/>
    <w:rsid w:val="00F75EDC"/>
    <w:rsid w:val="00F75EE7"/>
    <w:rsid w:val="00F75FBE"/>
    <w:rsid w:val="00F76099"/>
    <w:rsid w:val="00F7610A"/>
    <w:rsid w:val="00F76207"/>
    <w:rsid w:val="00F76231"/>
    <w:rsid w:val="00F76235"/>
    <w:rsid w:val="00F763DD"/>
    <w:rsid w:val="00F764C0"/>
    <w:rsid w:val="00F76795"/>
    <w:rsid w:val="00F76951"/>
    <w:rsid w:val="00F76953"/>
    <w:rsid w:val="00F76B1F"/>
    <w:rsid w:val="00F76BE1"/>
    <w:rsid w:val="00F76C82"/>
    <w:rsid w:val="00F76CF5"/>
    <w:rsid w:val="00F76CFE"/>
    <w:rsid w:val="00F76D04"/>
    <w:rsid w:val="00F76D7B"/>
    <w:rsid w:val="00F76D94"/>
    <w:rsid w:val="00F76DDA"/>
    <w:rsid w:val="00F76F05"/>
    <w:rsid w:val="00F7703A"/>
    <w:rsid w:val="00F7715D"/>
    <w:rsid w:val="00F77343"/>
    <w:rsid w:val="00F77344"/>
    <w:rsid w:val="00F7735F"/>
    <w:rsid w:val="00F7746D"/>
    <w:rsid w:val="00F775EB"/>
    <w:rsid w:val="00F7776A"/>
    <w:rsid w:val="00F777CB"/>
    <w:rsid w:val="00F77863"/>
    <w:rsid w:val="00F77872"/>
    <w:rsid w:val="00F77C1C"/>
    <w:rsid w:val="00F77C2B"/>
    <w:rsid w:val="00F77C74"/>
    <w:rsid w:val="00F77C7F"/>
    <w:rsid w:val="00F77D01"/>
    <w:rsid w:val="00F77D5F"/>
    <w:rsid w:val="00F8008F"/>
    <w:rsid w:val="00F8012F"/>
    <w:rsid w:val="00F801B2"/>
    <w:rsid w:val="00F801C1"/>
    <w:rsid w:val="00F80239"/>
    <w:rsid w:val="00F8025D"/>
    <w:rsid w:val="00F802D8"/>
    <w:rsid w:val="00F80345"/>
    <w:rsid w:val="00F804CC"/>
    <w:rsid w:val="00F8059A"/>
    <w:rsid w:val="00F8062D"/>
    <w:rsid w:val="00F80683"/>
    <w:rsid w:val="00F80704"/>
    <w:rsid w:val="00F8071D"/>
    <w:rsid w:val="00F80723"/>
    <w:rsid w:val="00F8075B"/>
    <w:rsid w:val="00F80838"/>
    <w:rsid w:val="00F8091D"/>
    <w:rsid w:val="00F80980"/>
    <w:rsid w:val="00F809CD"/>
    <w:rsid w:val="00F80A27"/>
    <w:rsid w:val="00F80A65"/>
    <w:rsid w:val="00F80AAE"/>
    <w:rsid w:val="00F80BB4"/>
    <w:rsid w:val="00F80C69"/>
    <w:rsid w:val="00F80D3B"/>
    <w:rsid w:val="00F80F95"/>
    <w:rsid w:val="00F810A5"/>
    <w:rsid w:val="00F811A9"/>
    <w:rsid w:val="00F81226"/>
    <w:rsid w:val="00F81291"/>
    <w:rsid w:val="00F814D1"/>
    <w:rsid w:val="00F814D4"/>
    <w:rsid w:val="00F814FD"/>
    <w:rsid w:val="00F816F5"/>
    <w:rsid w:val="00F817A4"/>
    <w:rsid w:val="00F8193C"/>
    <w:rsid w:val="00F819DF"/>
    <w:rsid w:val="00F81A2E"/>
    <w:rsid w:val="00F81B06"/>
    <w:rsid w:val="00F81B0E"/>
    <w:rsid w:val="00F81B34"/>
    <w:rsid w:val="00F81C85"/>
    <w:rsid w:val="00F81EA6"/>
    <w:rsid w:val="00F81EEB"/>
    <w:rsid w:val="00F81FE8"/>
    <w:rsid w:val="00F82016"/>
    <w:rsid w:val="00F82188"/>
    <w:rsid w:val="00F821AC"/>
    <w:rsid w:val="00F821B4"/>
    <w:rsid w:val="00F8223F"/>
    <w:rsid w:val="00F82267"/>
    <w:rsid w:val="00F82457"/>
    <w:rsid w:val="00F824D5"/>
    <w:rsid w:val="00F824F2"/>
    <w:rsid w:val="00F82526"/>
    <w:rsid w:val="00F82532"/>
    <w:rsid w:val="00F82575"/>
    <w:rsid w:val="00F82637"/>
    <w:rsid w:val="00F82642"/>
    <w:rsid w:val="00F82719"/>
    <w:rsid w:val="00F827A6"/>
    <w:rsid w:val="00F827AD"/>
    <w:rsid w:val="00F82A00"/>
    <w:rsid w:val="00F82A71"/>
    <w:rsid w:val="00F82B27"/>
    <w:rsid w:val="00F82D1C"/>
    <w:rsid w:val="00F82D1F"/>
    <w:rsid w:val="00F82E62"/>
    <w:rsid w:val="00F82ED3"/>
    <w:rsid w:val="00F82F6C"/>
    <w:rsid w:val="00F831C6"/>
    <w:rsid w:val="00F8321A"/>
    <w:rsid w:val="00F832A2"/>
    <w:rsid w:val="00F83465"/>
    <w:rsid w:val="00F834FB"/>
    <w:rsid w:val="00F8370D"/>
    <w:rsid w:val="00F838F5"/>
    <w:rsid w:val="00F83968"/>
    <w:rsid w:val="00F83B0B"/>
    <w:rsid w:val="00F83B73"/>
    <w:rsid w:val="00F83CAF"/>
    <w:rsid w:val="00F83CB8"/>
    <w:rsid w:val="00F83D81"/>
    <w:rsid w:val="00F83E27"/>
    <w:rsid w:val="00F83F19"/>
    <w:rsid w:val="00F83F78"/>
    <w:rsid w:val="00F83FCB"/>
    <w:rsid w:val="00F8422D"/>
    <w:rsid w:val="00F84362"/>
    <w:rsid w:val="00F845A5"/>
    <w:rsid w:val="00F84709"/>
    <w:rsid w:val="00F84910"/>
    <w:rsid w:val="00F84975"/>
    <w:rsid w:val="00F84A82"/>
    <w:rsid w:val="00F84AF6"/>
    <w:rsid w:val="00F84BE3"/>
    <w:rsid w:val="00F84CC7"/>
    <w:rsid w:val="00F84D30"/>
    <w:rsid w:val="00F84DBB"/>
    <w:rsid w:val="00F84DC0"/>
    <w:rsid w:val="00F84EB8"/>
    <w:rsid w:val="00F84FFD"/>
    <w:rsid w:val="00F85096"/>
    <w:rsid w:val="00F851A7"/>
    <w:rsid w:val="00F851E2"/>
    <w:rsid w:val="00F853D0"/>
    <w:rsid w:val="00F85471"/>
    <w:rsid w:val="00F85498"/>
    <w:rsid w:val="00F854DC"/>
    <w:rsid w:val="00F85584"/>
    <w:rsid w:val="00F85634"/>
    <w:rsid w:val="00F85673"/>
    <w:rsid w:val="00F856BE"/>
    <w:rsid w:val="00F856DE"/>
    <w:rsid w:val="00F85738"/>
    <w:rsid w:val="00F8578F"/>
    <w:rsid w:val="00F85928"/>
    <w:rsid w:val="00F85966"/>
    <w:rsid w:val="00F8598D"/>
    <w:rsid w:val="00F85C7E"/>
    <w:rsid w:val="00F85C83"/>
    <w:rsid w:val="00F85D41"/>
    <w:rsid w:val="00F85E65"/>
    <w:rsid w:val="00F85ED4"/>
    <w:rsid w:val="00F85F84"/>
    <w:rsid w:val="00F86087"/>
    <w:rsid w:val="00F86175"/>
    <w:rsid w:val="00F86183"/>
    <w:rsid w:val="00F86251"/>
    <w:rsid w:val="00F864AE"/>
    <w:rsid w:val="00F86543"/>
    <w:rsid w:val="00F865EF"/>
    <w:rsid w:val="00F86677"/>
    <w:rsid w:val="00F86752"/>
    <w:rsid w:val="00F8679C"/>
    <w:rsid w:val="00F867AF"/>
    <w:rsid w:val="00F8683A"/>
    <w:rsid w:val="00F8694C"/>
    <w:rsid w:val="00F86961"/>
    <w:rsid w:val="00F869BD"/>
    <w:rsid w:val="00F86AB7"/>
    <w:rsid w:val="00F86CED"/>
    <w:rsid w:val="00F86D6A"/>
    <w:rsid w:val="00F86DB9"/>
    <w:rsid w:val="00F86ECB"/>
    <w:rsid w:val="00F86F5F"/>
    <w:rsid w:val="00F86FB4"/>
    <w:rsid w:val="00F87010"/>
    <w:rsid w:val="00F87122"/>
    <w:rsid w:val="00F8713B"/>
    <w:rsid w:val="00F871C5"/>
    <w:rsid w:val="00F8736D"/>
    <w:rsid w:val="00F87397"/>
    <w:rsid w:val="00F873D0"/>
    <w:rsid w:val="00F874B3"/>
    <w:rsid w:val="00F874C5"/>
    <w:rsid w:val="00F874E6"/>
    <w:rsid w:val="00F8750C"/>
    <w:rsid w:val="00F8752F"/>
    <w:rsid w:val="00F875B7"/>
    <w:rsid w:val="00F876D4"/>
    <w:rsid w:val="00F8785B"/>
    <w:rsid w:val="00F878DA"/>
    <w:rsid w:val="00F87AED"/>
    <w:rsid w:val="00F87AF4"/>
    <w:rsid w:val="00F87B75"/>
    <w:rsid w:val="00F87C29"/>
    <w:rsid w:val="00F87D53"/>
    <w:rsid w:val="00F87D66"/>
    <w:rsid w:val="00F87F81"/>
    <w:rsid w:val="00F9001A"/>
    <w:rsid w:val="00F900FF"/>
    <w:rsid w:val="00F90119"/>
    <w:rsid w:val="00F9035C"/>
    <w:rsid w:val="00F9042A"/>
    <w:rsid w:val="00F9044D"/>
    <w:rsid w:val="00F90518"/>
    <w:rsid w:val="00F905A5"/>
    <w:rsid w:val="00F90606"/>
    <w:rsid w:val="00F907B7"/>
    <w:rsid w:val="00F907CB"/>
    <w:rsid w:val="00F907EF"/>
    <w:rsid w:val="00F9085F"/>
    <w:rsid w:val="00F908B1"/>
    <w:rsid w:val="00F9091C"/>
    <w:rsid w:val="00F90A64"/>
    <w:rsid w:val="00F90CA7"/>
    <w:rsid w:val="00F90EEB"/>
    <w:rsid w:val="00F91023"/>
    <w:rsid w:val="00F910DE"/>
    <w:rsid w:val="00F9112B"/>
    <w:rsid w:val="00F9124E"/>
    <w:rsid w:val="00F91300"/>
    <w:rsid w:val="00F9133B"/>
    <w:rsid w:val="00F913EC"/>
    <w:rsid w:val="00F9142A"/>
    <w:rsid w:val="00F917AA"/>
    <w:rsid w:val="00F9188F"/>
    <w:rsid w:val="00F91933"/>
    <w:rsid w:val="00F91A14"/>
    <w:rsid w:val="00F91A52"/>
    <w:rsid w:val="00F91AC4"/>
    <w:rsid w:val="00F91C6D"/>
    <w:rsid w:val="00F91DB8"/>
    <w:rsid w:val="00F91DB9"/>
    <w:rsid w:val="00F91DD1"/>
    <w:rsid w:val="00F91F47"/>
    <w:rsid w:val="00F91FCE"/>
    <w:rsid w:val="00F920FB"/>
    <w:rsid w:val="00F921BE"/>
    <w:rsid w:val="00F9250C"/>
    <w:rsid w:val="00F9251C"/>
    <w:rsid w:val="00F926AF"/>
    <w:rsid w:val="00F926D3"/>
    <w:rsid w:val="00F9270E"/>
    <w:rsid w:val="00F92750"/>
    <w:rsid w:val="00F92853"/>
    <w:rsid w:val="00F9293B"/>
    <w:rsid w:val="00F929AD"/>
    <w:rsid w:val="00F92A62"/>
    <w:rsid w:val="00F92BDC"/>
    <w:rsid w:val="00F92C3B"/>
    <w:rsid w:val="00F92E6D"/>
    <w:rsid w:val="00F92F65"/>
    <w:rsid w:val="00F930EF"/>
    <w:rsid w:val="00F933B7"/>
    <w:rsid w:val="00F93460"/>
    <w:rsid w:val="00F9347C"/>
    <w:rsid w:val="00F934C4"/>
    <w:rsid w:val="00F935A4"/>
    <w:rsid w:val="00F9360A"/>
    <w:rsid w:val="00F9370A"/>
    <w:rsid w:val="00F938A7"/>
    <w:rsid w:val="00F93908"/>
    <w:rsid w:val="00F939C0"/>
    <w:rsid w:val="00F93B16"/>
    <w:rsid w:val="00F93C3D"/>
    <w:rsid w:val="00F93D8E"/>
    <w:rsid w:val="00F94126"/>
    <w:rsid w:val="00F94485"/>
    <w:rsid w:val="00F944DE"/>
    <w:rsid w:val="00F944EF"/>
    <w:rsid w:val="00F94525"/>
    <w:rsid w:val="00F945FE"/>
    <w:rsid w:val="00F9462F"/>
    <w:rsid w:val="00F9476E"/>
    <w:rsid w:val="00F947CF"/>
    <w:rsid w:val="00F94AA9"/>
    <w:rsid w:val="00F94ABE"/>
    <w:rsid w:val="00F94CBC"/>
    <w:rsid w:val="00F94D40"/>
    <w:rsid w:val="00F94D44"/>
    <w:rsid w:val="00F94D9D"/>
    <w:rsid w:val="00F94DA1"/>
    <w:rsid w:val="00F94DB5"/>
    <w:rsid w:val="00F94E42"/>
    <w:rsid w:val="00F94F7A"/>
    <w:rsid w:val="00F94F86"/>
    <w:rsid w:val="00F94FAB"/>
    <w:rsid w:val="00F94FE0"/>
    <w:rsid w:val="00F9517A"/>
    <w:rsid w:val="00F951FD"/>
    <w:rsid w:val="00F9523B"/>
    <w:rsid w:val="00F9525C"/>
    <w:rsid w:val="00F952D1"/>
    <w:rsid w:val="00F9532A"/>
    <w:rsid w:val="00F95359"/>
    <w:rsid w:val="00F953BE"/>
    <w:rsid w:val="00F9545F"/>
    <w:rsid w:val="00F954A8"/>
    <w:rsid w:val="00F9554A"/>
    <w:rsid w:val="00F95582"/>
    <w:rsid w:val="00F955E0"/>
    <w:rsid w:val="00F95800"/>
    <w:rsid w:val="00F95911"/>
    <w:rsid w:val="00F95990"/>
    <w:rsid w:val="00F959C7"/>
    <w:rsid w:val="00F95D3C"/>
    <w:rsid w:val="00F95F3A"/>
    <w:rsid w:val="00F9606B"/>
    <w:rsid w:val="00F961E8"/>
    <w:rsid w:val="00F96587"/>
    <w:rsid w:val="00F96588"/>
    <w:rsid w:val="00F9658B"/>
    <w:rsid w:val="00F9663D"/>
    <w:rsid w:val="00F96801"/>
    <w:rsid w:val="00F96864"/>
    <w:rsid w:val="00F968DD"/>
    <w:rsid w:val="00F96912"/>
    <w:rsid w:val="00F969D2"/>
    <w:rsid w:val="00F96B14"/>
    <w:rsid w:val="00F96D58"/>
    <w:rsid w:val="00F96EA5"/>
    <w:rsid w:val="00F96F09"/>
    <w:rsid w:val="00F96F9F"/>
    <w:rsid w:val="00F96FFC"/>
    <w:rsid w:val="00F970C3"/>
    <w:rsid w:val="00F9712F"/>
    <w:rsid w:val="00F9722E"/>
    <w:rsid w:val="00F973D8"/>
    <w:rsid w:val="00F974A9"/>
    <w:rsid w:val="00F974BE"/>
    <w:rsid w:val="00F976F4"/>
    <w:rsid w:val="00F97758"/>
    <w:rsid w:val="00F9778B"/>
    <w:rsid w:val="00F977E6"/>
    <w:rsid w:val="00F9785A"/>
    <w:rsid w:val="00F978FC"/>
    <w:rsid w:val="00F97909"/>
    <w:rsid w:val="00F97918"/>
    <w:rsid w:val="00F97996"/>
    <w:rsid w:val="00F979E3"/>
    <w:rsid w:val="00F97A07"/>
    <w:rsid w:val="00F97B17"/>
    <w:rsid w:val="00F97B95"/>
    <w:rsid w:val="00F97BB0"/>
    <w:rsid w:val="00F97BF0"/>
    <w:rsid w:val="00F97C2C"/>
    <w:rsid w:val="00F97CE8"/>
    <w:rsid w:val="00F97D8B"/>
    <w:rsid w:val="00F97EC3"/>
    <w:rsid w:val="00F97F3E"/>
    <w:rsid w:val="00F97F78"/>
    <w:rsid w:val="00FA0062"/>
    <w:rsid w:val="00FA012C"/>
    <w:rsid w:val="00FA019E"/>
    <w:rsid w:val="00FA01A4"/>
    <w:rsid w:val="00FA02AA"/>
    <w:rsid w:val="00FA030B"/>
    <w:rsid w:val="00FA03BF"/>
    <w:rsid w:val="00FA045E"/>
    <w:rsid w:val="00FA0465"/>
    <w:rsid w:val="00FA04A2"/>
    <w:rsid w:val="00FA04DA"/>
    <w:rsid w:val="00FA0535"/>
    <w:rsid w:val="00FA069B"/>
    <w:rsid w:val="00FA0762"/>
    <w:rsid w:val="00FA0790"/>
    <w:rsid w:val="00FA093C"/>
    <w:rsid w:val="00FA0943"/>
    <w:rsid w:val="00FA09A7"/>
    <w:rsid w:val="00FA0ABE"/>
    <w:rsid w:val="00FA0B6F"/>
    <w:rsid w:val="00FA0C16"/>
    <w:rsid w:val="00FA0C3B"/>
    <w:rsid w:val="00FA0C5C"/>
    <w:rsid w:val="00FA0CA6"/>
    <w:rsid w:val="00FA0F68"/>
    <w:rsid w:val="00FA0F90"/>
    <w:rsid w:val="00FA1025"/>
    <w:rsid w:val="00FA1079"/>
    <w:rsid w:val="00FA11F9"/>
    <w:rsid w:val="00FA13E9"/>
    <w:rsid w:val="00FA142D"/>
    <w:rsid w:val="00FA1455"/>
    <w:rsid w:val="00FA14B1"/>
    <w:rsid w:val="00FA15EB"/>
    <w:rsid w:val="00FA17EC"/>
    <w:rsid w:val="00FA1899"/>
    <w:rsid w:val="00FA189C"/>
    <w:rsid w:val="00FA1A34"/>
    <w:rsid w:val="00FA1A5D"/>
    <w:rsid w:val="00FA1A99"/>
    <w:rsid w:val="00FA1B46"/>
    <w:rsid w:val="00FA1B55"/>
    <w:rsid w:val="00FA1B9D"/>
    <w:rsid w:val="00FA1DAB"/>
    <w:rsid w:val="00FA1DD7"/>
    <w:rsid w:val="00FA1EE9"/>
    <w:rsid w:val="00FA1F50"/>
    <w:rsid w:val="00FA2074"/>
    <w:rsid w:val="00FA2091"/>
    <w:rsid w:val="00FA20CF"/>
    <w:rsid w:val="00FA220C"/>
    <w:rsid w:val="00FA220D"/>
    <w:rsid w:val="00FA23DE"/>
    <w:rsid w:val="00FA2444"/>
    <w:rsid w:val="00FA246C"/>
    <w:rsid w:val="00FA2485"/>
    <w:rsid w:val="00FA249C"/>
    <w:rsid w:val="00FA27FD"/>
    <w:rsid w:val="00FA29AF"/>
    <w:rsid w:val="00FA2B7A"/>
    <w:rsid w:val="00FA2B8D"/>
    <w:rsid w:val="00FA2DCE"/>
    <w:rsid w:val="00FA2DF6"/>
    <w:rsid w:val="00FA2E30"/>
    <w:rsid w:val="00FA30B0"/>
    <w:rsid w:val="00FA31FC"/>
    <w:rsid w:val="00FA3290"/>
    <w:rsid w:val="00FA329C"/>
    <w:rsid w:val="00FA3411"/>
    <w:rsid w:val="00FA3490"/>
    <w:rsid w:val="00FA3510"/>
    <w:rsid w:val="00FA364A"/>
    <w:rsid w:val="00FA370B"/>
    <w:rsid w:val="00FA3AA3"/>
    <w:rsid w:val="00FA3C28"/>
    <w:rsid w:val="00FA3D73"/>
    <w:rsid w:val="00FA3E03"/>
    <w:rsid w:val="00FA3E52"/>
    <w:rsid w:val="00FA3F0C"/>
    <w:rsid w:val="00FA3F2A"/>
    <w:rsid w:val="00FA3F35"/>
    <w:rsid w:val="00FA3F4F"/>
    <w:rsid w:val="00FA4056"/>
    <w:rsid w:val="00FA412D"/>
    <w:rsid w:val="00FA417B"/>
    <w:rsid w:val="00FA41A6"/>
    <w:rsid w:val="00FA41FD"/>
    <w:rsid w:val="00FA4217"/>
    <w:rsid w:val="00FA427C"/>
    <w:rsid w:val="00FA4298"/>
    <w:rsid w:val="00FA42F2"/>
    <w:rsid w:val="00FA433B"/>
    <w:rsid w:val="00FA4394"/>
    <w:rsid w:val="00FA450C"/>
    <w:rsid w:val="00FA46AF"/>
    <w:rsid w:val="00FA46B8"/>
    <w:rsid w:val="00FA46EE"/>
    <w:rsid w:val="00FA47A0"/>
    <w:rsid w:val="00FA47A6"/>
    <w:rsid w:val="00FA47CE"/>
    <w:rsid w:val="00FA4866"/>
    <w:rsid w:val="00FA4889"/>
    <w:rsid w:val="00FA497B"/>
    <w:rsid w:val="00FA4A10"/>
    <w:rsid w:val="00FA4AAC"/>
    <w:rsid w:val="00FA4ACF"/>
    <w:rsid w:val="00FA4B85"/>
    <w:rsid w:val="00FA4BC3"/>
    <w:rsid w:val="00FA4CA3"/>
    <w:rsid w:val="00FA4DA5"/>
    <w:rsid w:val="00FA4E3F"/>
    <w:rsid w:val="00FA4FAB"/>
    <w:rsid w:val="00FA4FFC"/>
    <w:rsid w:val="00FA5160"/>
    <w:rsid w:val="00FA522F"/>
    <w:rsid w:val="00FA526B"/>
    <w:rsid w:val="00FA56BE"/>
    <w:rsid w:val="00FA56C7"/>
    <w:rsid w:val="00FA57B6"/>
    <w:rsid w:val="00FA59FA"/>
    <w:rsid w:val="00FA5A21"/>
    <w:rsid w:val="00FA5B22"/>
    <w:rsid w:val="00FA5C7A"/>
    <w:rsid w:val="00FA5CD7"/>
    <w:rsid w:val="00FA5DF3"/>
    <w:rsid w:val="00FA5E59"/>
    <w:rsid w:val="00FA6073"/>
    <w:rsid w:val="00FA60D1"/>
    <w:rsid w:val="00FA6572"/>
    <w:rsid w:val="00FA65AA"/>
    <w:rsid w:val="00FA669F"/>
    <w:rsid w:val="00FA66ED"/>
    <w:rsid w:val="00FA66EE"/>
    <w:rsid w:val="00FA6701"/>
    <w:rsid w:val="00FA6709"/>
    <w:rsid w:val="00FA6767"/>
    <w:rsid w:val="00FA6806"/>
    <w:rsid w:val="00FA681D"/>
    <w:rsid w:val="00FA698D"/>
    <w:rsid w:val="00FA6A25"/>
    <w:rsid w:val="00FA6BEC"/>
    <w:rsid w:val="00FA6C18"/>
    <w:rsid w:val="00FA6C3A"/>
    <w:rsid w:val="00FA6CD6"/>
    <w:rsid w:val="00FA6DC6"/>
    <w:rsid w:val="00FA6F2C"/>
    <w:rsid w:val="00FA6F49"/>
    <w:rsid w:val="00FA6F6D"/>
    <w:rsid w:val="00FA7012"/>
    <w:rsid w:val="00FA7213"/>
    <w:rsid w:val="00FA73BE"/>
    <w:rsid w:val="00FA7428"/>
    <w:rsid w:val="00FA753A"/>
    <w:rsid w:val="00FA7543"/>
    <w:rsid w:val="00FA7582"/>
    <w:rsid w:val="00FA75B4"/>
    <w:rsid w:val="00FA76B3"/>
    <w:rsid w:val="00FA76B6"/>
    <w:rsid w:val="00FA775F"/>
    <w:rsid w:val="00FA796D"/>
    <w:rsid w:val="00FA7A44"/>
    <w:rsid w:val="00FA7B31"/>
    <w:rsid w:val="00FA7B7A"/>
    <w:rsid w:val="00FA7B9D"/>
    <w:rsid w:val="00FA7EC9"/>
    <w:rsid w:val="00FA7F6D"/>
    <w:rsid w:val="00FA7FF1"/>
    <w:rsid w:val="00FB0006"/>
    <w:rsid w:val="00FB00C8"/>
    <w:rsid w:val="00FB0382"/>
    <w:rsid w:val="00FB03D2"/>
    <w:rsid w:val="00FB0484"/>
    <w:rsid w:val="00FB06D5"/>
    <w:rsid w:val="00FB0788"/>
    <w:rsid w:val="00FB088C"/>
    <w:rsid w:val="00FB096E"/>
    <w:rsid w:val="00FB09B6"/>
    <w:rsid w:val="00FB09DE"/>
    <w:rsid w:val="00FB0B25"/>
    <w:rsid w:val="00FB0B4E"/>
    <w:rsid w:val="00FB0BA5"/>
    <w:rsid w:val="00FB0C1F"/>
    <w:rsid w:val="00FB0C3F"/>
    <w:rsid w:val="00FB0C8D"/>
    <w:rsid w:val="00FB0D33"/>
    <w:rsid w:val="00FB0D96"/>
    <w:rsid w:val="00FB0DA3"/>
    <w:rsid w:val="00FB0ECB"/>
    <w:rsid w:val="00FB0EEF"/>
    <w:rsid w:val="00FB1116"/>
    <w:rsid w:val="00FB1117"/>
    <w:rsid w:val="00FB123F"/>
    <w:rsid w:val="00FB1283"/>
    <w:rsid w:val="00FB12C6"/>
    <w:rsid w:val="00FB130E"/>
    <w:rsid w:val="00FB137D"/>
    <w:rsid w:val="00FB1445"/>
    <w:rsid w:val="00FB14D1"/>
    <w:rsid w:val="00FB150B"/>
    <w:rsid w:val="00FB154C"/>
    <w:rsid w:val="00FB1573"/>
    <w:rsid w:val="00FB161B"/>
    <w:rsid w:val="00FB176B"/>
    <w:rsid w:val="00FB18C0"/>
    <w:rsid w:val="00FB1A35"/>
    <w:rsid w:val="00FB1AD9"/>
    <w:rsid w:val="00FB1B85"/>
    <w:rsid w:val="00FB1BD2"/>
    <w:rsid w:val="00FB1C29"/>
    <w:rsid w:val="00FB1D67"/>
    <w:rsid w:val="00FB1D68"/>
    <w:rsid w:val="00FB1DAF"/>
    <w:rsid w:val="00FB1E4D"/>
    <w:rsid w:val="00FB1F90"/>
    <w:rsid w:val="00FB20F5"/>
    <w:rsid w:val="00FB2116"/>
    <w:rsid w:val="00FB2185"/>
    <w:rsid w:val="00FB2310"/>
    <w:rsid w:val="00FB2345"/>
    <w:rsid w:val="00FB2552"/>
    <w:rsid w:val="00FB261C"/>
    <w:rsid w:val="00FB273D"/>
    <w:rsid w:val="00FB27E2"/>
    <w:rsid w:val="00FB28AA"/>
    <w:rsid w:val="00FB2B12"/>
    <w:rsid w:val="00FB2B53"/>
    <w:rsid w:val="00FB2BC0"/>
    <w:rsid w:val="00FB2BCF"/>
    <w:rsid w:val="00FB2C79"/>
    <w:rsid w:val="00FB2FEC"/>
    <w:rsid w:val="00FB306B"/>
    <w:rsid w:val="00FB3089"/>
    <w:rsid w:val="00FB315D"/>
    <w:rsid w:val="00FB3420"/>
    <w:rsid w:val="00FB3542"/>
    <w:rsid w:val="00FB3580"/>
    <w:rsid w:val="00FB35AF"/>
    <w:rsid w:val="00FB367B"/>
    <w:rsid w:val="00FB36BE"/>
    <w:rsid w:val="00FB36ED"/>
    <w:rsid w:val="00FB3700"/>
    <w:rsid w:val="00FB37C8"/>
    <w:rsid w:val="00FB38E1"/>
    <w:rsid w:val="00FB3966"/>
    <w:rsid w:val="00FB3AEC"/>
    <w:rsid w:val="00FB3C35"/>
    <w:rsid w:val="00FB3C83"/>
    <w:rsid w:val="00FB3E6E"/>
    <w:rsid w:val="00FB3EC2"/>
    <w:rsid w:val="00FB3ED1"/>
    <w:rsid w:val="00FB3F00"/>
    <w:rsid w:val="00FB4158"/>
    <w:rsid w:val="00FB4283"/>
    <w:rsid w:val="00FB4300"/>
    <w:rsid w:val="00FB43B0"/>
    <w:rsid w:val="00FB444D"/>
    <w:rsid w:val="00FB44B9"/>
    <w:rsid w:val="00FB4568"/>
    <w:rsid w:val="00FB45B7"/>
    <w:rsid w:val="00FB46FA"/>
    <w:rsid w:val="00FB4743"/>
    <w:rsid w:val="00FB4767"/>
    <w:rsid w:val="00FB477B"/>
    <w:rsid w:val="00FB48B7"/>
    <w:rsid w:val="00FB48D9"/>
    <w:rsid w:val="00FB4984"/>
    <w:rsid w:val="00FB4A74"/>
    <w:rsid w:val="00FB4AAD"/>
    <w:rsid w:val="00FB4AC1"/>
    <w:rsid w:val="00FB4B32"/>
    <w:rsid w:val="00FB4BFB"/>
    <w:rsid w:val="00FB4C0D"/>
    <w:rsid w:val="00FB4C0E"/>
    <w:rsid w:val="00FB4C28"/>
    <w:rsid w:val="00FB4CB8"/>
    <w:rsid w:val="00FB4E2C"/>
    <w:rsid w:val="00FB50B5"/>
    <w:rsid w:val="00FB50B8"/>
    <w:rsid w:val="00FB5129"/>
    <w:rsid w:val="00FB51CB"/>
    <w:rsid w:val="00FB526D"/>
    <w:rsid w:val="00FB539B"/>
    <w:rsid w:val="00FB53D3"/>
    <w:rsid w:val="00FB54AD"/>
    <w:rsid w:val="00FB5571"/>
    <w:rsid w:val="00FB55E0"/>
    <w:rsid w:val="00FB5757"/>
    <w:rsid w:val="00FB575D"/>
    <w:rsid w:val="00FB58FD"/>
    <w:rsid w:val="00FB5958"/>
    <w:rsid w:val="00FB5A69"/>
    <w:rsid w:val="00FB5B33"/>
    <w:rsid w:val="00FB5CBA"/>
    <w:rsid w:val="00FB5CBE"/>
    <w:rsid w:val="00FB5D12"/>
    <w:rsid w:val="00FB5D30"/>
    <w:rsid w:val="00FB5DF7"/>
    <w:rsid w:val="00FB5E86"/>
    <w:rsid w:val="00FB5EA7"/>
    <w:rsid w:val="00FB5FB2"/>
    <w:rsid w:val="00FB6081"/>
    <w:rsid w:val="00FB6087"/>
    <w:rsid w:val="00FB60A2"/>
    <w:rsid w:val="00FB614C"/>
    <w:rsid w:val="00FB6357"/>
    <w:rsid w:val="00FB63CB"/>
    <w:rsid w:val="00FB641D"/>
    <w:rsid w:val="00FB6438"/>
    <w:rsid w:val="00FB6814"/>
    <w:rsid w:val="00FB690F"/>
    <w:rsid w:val="00FB6939"/>
    <w:rsid w:val="00FB6A81"/>
    <w:rsid w:val="00FB6BB2"/>
    <w:rsid w:val="00FB6C9A"/>
    <w:rsid w:val="00FB6CAC"/>
    <w:rsid w:val="00FB6CCF"/>
    <w:rsid w:val="00FB6D12"/>
    <w:rsid w:val="00FB6D1D"/>
    <w:rsid w:val="00FB6E61"/>
    <w:rsid w:val="00FB6F37"/>
    <w:rsid w:val="00FB6F50"/>
    <w:rsid w:val="00FB7067"/>
    <w:rsid w:val="00FB7092"/>
    <w:rsid w:val="00FB713E"/>
    <w:rsid w:val="00FB7244"/>
    <w:rsid w:val="00FB748D"/>
    <w:rsid w:val="00FB753B"/>
    <w:rsid w:val="00FB7703"/>
    <w:rsid w:val="00FB7712"/>
    <w:rsid w:val="00FB777C"/>
    <w:rsid w:val="00FB797D"/>
    <w:rsid w:val="00FB7C40"/>
    <w:rsid w:val="00FB7DB1"/>
    <w:rsid w:val="00FB7DE5"/>
    <w:rsid w:val="00FB7E78"/>
    <w:rsid w:val="00FB7E82"/>
    <w:rsid w:val="00FB7F66"/>
    <w:rsid w:val="00FB7FEE"/>
    <w:rsid w:val="00FB7FF1"/>
    <w:rsid w:val="00FC0113"/>
    <w:rsid w:val="00FC015C"/>
    <w:rsid w:val="00FC016A"/>
    <w:rsid w:val="00FC01D5"/>
    <w:rsid w:val="00FC02CC"/>
    <w:rsid w:val="00FC0366"/>
    <w:rsid w:val="00FC04A7"/>
    <w:rsid w:val="00FC0520"/>
    <w:rsid w:val="00FC05B0"/>
    <w:rsid w:val="00FC0697"/>
    <w:rsid w:val="00FC07BF"/>
    <w:rsid w:val="00FC08A6"/>
    <w:rsid w:val="00FC09BC"/>
    <w:rsid w:val="00FC0AB9"/>
    <w:rsid w:val="00FC0ABE"/>
    <w:rsid w:val="00FC0BC3"/>
    <w:rsid w:val="00FC0BCB"/>
    <w:rsid w:val="00FC0C4B"/>
    <w:rsid w:val="00FC0CDE"/>
    <w:rsid w:val="00FC0CF1"/>
    <w:rsid w:val="00FC0D0E"/>
    <w:rsid w:val="00FC0E3F"/>
    <w:rsid w:val="00FC0F3E"/>
    <w:rsid w:val="00FC10F4"/>
    <w:rsid w:val="00FC111C"/>
    <w:rsid w:val="00FC112B"/>
    <w:rsid w:val="00FC1165"/>
    <w:rsid w:val="00FC118A"/>
    <w:rsid w:val="00FC11D2"/>
    <w:rsid w:val="00FC1358"/>
    <w:rsid w:val="00FC1452"/>
    <w:rsid w:val="00FC175B"/>
    <w:rsid w:val="00FC1860"/>
    <w:rsid w:val="00FC1915"/>
    <w:rsid w:val="00FC1935"/>
    <w:rsid w:val="00FC195A"/>
    <w:rsid w:val="00FC1B1B"/>
    <w:rsid w:val="00FC1B99"/>
    <w:rsid w:val="00FC1D8C"/>
    <w:rsid w:val="00FC1E49"/>
    <w:rsid w:val="00FC1E53"/>
    <w:rsid w:val="00FC1E79"/>
    <w:rsid w:val="00FC1F85"/>
    <w:rsid w:val="00FC2021"/>
    <w:rsid w:val="00FC20A8"/>
    <w:rsid w:val="00FC21D5"/>
    <w:rsid w:val="00FC21E4"/>
    <w:rsid w:val="00FC22E4"/>
    <w:rsid w:val="00FC2454"/>
    <w:rsid w:val="00FC24AA"/>
    <w:rsid w:val="00FC24C6"/>
    <w:rsid w:val="00FC25E2"/>
    <w:rsid w:val="00FC26BA"/>
    <w:rsid w:val="00FC26CD"/>
    <w:rsid w:val="00FC26ED"/>
    <w:rsid w:val="00FC271A"/>
    <w:rsid w:val="00FC27C7"/>
    <w:rsid w:val="00FC286D"/>
    <w:rsid w:val="00FC2997"/>
    <w:rsid w:val="00FC2A40"/>
    <w:rsid w:val="00FC2A59"/>
    <w:rsid w:val="00FC2B2B"/>
    <w:rsid w:val="00FC3072"/>
    <w:rsid w:val="00FC3287"/>
    <w:rsid w:val="00FC3353"/>
    <w:rsid w:val="00FC3368"/>
    <w:rsid w:val="00FC3464"/>
    <w:rsid w:val="00FC35B3"/>
    <w:rsid w:val="00FC3679"/>
    <w:rsid w:val="00FC3686"/>
    <w:rsid w:val="00FC3727"/>
    <w:rsid w:val="00FC3911"/>
    <w:rsid w:val="00FC3966"/>
    <w:rsid w:val="00FC397C"/>
    <w:rsid w:val="00FC39BB"/>
    <w:rsid w:val="00FC39CF"/>
    <w:rsid w:val="00FC3A63"/>
    <w:rsid w:val="00FC3B5A"/>
    <w:rsid w:val="00FC3BA4"/>
    <w:rsid w:val="00FC3BC6"/>
    <w:rsid w:val="00FC3BDC"/>
    <w:rsid w:val="00FC3C36"/>
    <w:rsid w:val="00FC3D38"/>
    <w:rsid w:val="00FC3DD2"/>
    <w:rsid w:val="00FC3F7F"/>
    <w:rsid w:val="00FC3F9D"/>
    <w:rsid w:val="00FC40C1"/>
    <w:rsid w:val="00FC41A3"/>
    <w:rsid w:val="00FC4247"/>
    <w:rsid w:val="00FC4274"/>
    <w:rsid w:val="00FC42A6"/>
    <w:rsid w:val="00FC4345"/>
    <w:rsid w:val="00FC4363"/>
    <w:rsid w:val="00FC43DD"/>
    <w:rsid w:val="00FC46E4"/>
    <w:rsid w:val="00FC4705"/>
    <w:rsid w:val="00FC4780"/>
    <w:rsid w:val="00FC47FA"/>
    <w:rsid w:val="00FC4833"/>
    <w:rsid w:val="00FC499A"/>
    <w:rsid w:val="00FC4AE2"/>
    <w:rsid w:val="00FC4BE1"/>
    <w:rsid w:val="00FC4CB0"/>
    <w:rsid w:val="00FC4CF0"/>
    <w:rsid w:val="00FC4E9F"/>
    <w:rsid w:val="00FC503B"/>
    <w:rsid w:val="00FC5042"/>
    <w:rsid w:val="00FC5053"/>
    <w:rsid w:val="00FC5066"/>
    <w:rsid w:val="00FC516A"/>
    <w:rsid w:val="00FC51D0"/>
    <w:rsid w:val="00FC526B"/>
    <w:rsid w:val="00FC5285"/>
    <w:rsid w:val="00FC5483"/>
    <w:rsid w:val="00FC5551"/>
    <w:rsid w:val="00FC5706"/>
    <w:rsid w:val="00FC5767"/>
    <w:rsid w:val="00FC5821"/>
    <w:rsid w:val="00FC5866"/>
    <w:rsid w:val="00FC58A0"/>
    <w:rsid w:val="00FC5B16"/>
    <w:rsid w:val="00FC5BAE"/>
    <w:rsid w:val="00FC5D0D"/>
    <w:rsid w:val="00FC5D20"/>
    <w:rsid w:val="00FC5E0E"/>
    <w:rsid w:val="00FC5E53"/>
    <w:rsid w:val="00FC5F74"/>
    <w:rsid w:val="00FC5FB8"/>
    <w:rsid w:val="00FC6015"/>
    <w:rsid w:val="00FC6295"/>
    <w:rsid w:val="00FC62ED"/>
    <w:rsid w:val="00FC631E"/>
    <w:rsid w:val="00FC6358"/>
    <w:rsid w:val="00FC636A"/>
    <w:rsid w:val="00FC6580"/>
    <w:rsid w:val="00FC6597"/>
    <w:rsid w:val="00FC66E2"/>
    <w:rsid w:val="00FC678E"/>
    <w:rsid w:val="00FC67E5"/>
    <w:rsid w:val="00FC6A2D"/>
    <w:rsid w:val="00FC6C2D"/>
    <w:rsid w:val="00FC6F32"/>
    <w:rsid w:val="00FC7001"/>
    <w:rsid w:val="00FC735B"/>
    <w:rsid w:val="00FC74F2"/>
    <w:rsid w:val="00FC7595"/>
    <w:rsid w:val="00FC75CB"/>
    <w:rsid w:val="00FC77EC"/>
    <w:rsid w:val="00FC78E5"/>
    <w:rsid w:val="00FC78F0"/>
    <w:rsid w:val="00FC7A53"/>
    <w:rsid w:val="00FC7AD6"/>
    <w:rsid w:val="00FC7B12"/>
    <w:rsid w:val="00FC7B57"/>
    <w:rsid w:val="00FC7BE4"/>
    <w:rsid w:val="00FC7D98"/>
    <w:rsid w:val="00FC7E11"/>
    <w:rsid w:val="00FD00AC"/>
    <w:rsid w:val="00FD0127"/>
    <w:rsid w:val="00FD015E"/>
    <w:rsid w:val="00FD01EC"/>
    <w:rsid w:val="00FD02FE"/>
    <w:rsid w:val="00FD03D0"/>
    <w:rsid w:val="00FD0454"/>
    <w:rsid w:val="00FD045A"/>
    <w:rsid w:val="00FD04C2"/>
    <w:rsid w:val="00FD064F"/>
    <w:rsid w:val="00FD06FB"/>
    <w:rsid w:val="00FD0959"/>
    <w:rsid w:val="00FD097E"/>
    <w:rsid w:val="00FD09A3"/>
    <w:rsid w:val="00FD0B9B"/>
    <w:rsid w:val="00FD0BCA"/>
    <w:rsid w:val="00FD0D1D"/>
    <w:rsid w:val="00FD0F9C"/>
    <w:rsid w:val="00FD0FC5"/>
    <w:rsid w:val="00FD1001"/>
    <w:rsid w:val="00FD10ED"/>
    <w:rsid w:val="00FD1219"/>
    <w:rsid w:val="00FD12B0"/>
    <w:rsid w:val="00FD1301"/>
    <w:rsid w:val="00FD1409"/>
    <w:rsid w:val="00FD1475"/>
    <w:rsid w:val="00FD1509"/>
    <w:rsid w:val="00FD15CB"/>
    <w:rsid w:val="00FD15FF"/>
    <w:rsid w:val="00FD1621"/>
    <w:rsid w:val="00FD1721"/>
    <w:rsid w:val="00FD1860"/>
    <w:rsid w:val="00FD1912"/>
    <w:rsid w:val="00FD19BC"/>
    <w:rsid w:val="00FD1DD3"/>
    <w:rsid w:val="00FD1EE9"/>
    <w:rsid w:val="00FD1F67"/>
    <w:rsid w:val="00FD2282"/>
    <w:rsid w:val="00FD22AF"/>
    <w:rsid w:val="00FD2311"/>
    <w:rsid w:val="00FD244A"/>
    <w:rsid w:val="00FD255B"/>
    <w:rsid w:val="00FD25E3"/>
    <w:rsid w:val="00FD26DB"/>
    <w:rsid w:val="00FD280F"/>
    <w:rsid w:val="00FD2819"/>
    <w:rsid w:val="00FD2A88"/>
    <w:rsid w:val="00FD2BC6"/>
    <w:rsid w:val="00FD2C35"/>
    <w:rsid w:val="00FD2D4D"/>
    <w:rsid w:val="00FD2D5B"/>
    <w:rsid w:val="00FD2D81"/>
    <w:rsid w:val="00FD2DF3"/>
    <w:rsid w:val="00FD2E12"/>
    <w:rsid w:val="00FD2EE3"/>
    <w:rsid w:val="00FD2FA3"/>
    <w:rsid w:val="00FD2FDF"/>
    <w:rsid w:val="00FD30AF"/>
    <w:rsid w:val="00FD325A"/>
    <w:rsid w:val="00FD33CB"/>
    <w:rsid w:val="00FD3492"/>
    <w:rsid w:val="00FD35F6"/>
    <w:rsid w:val="00FD3630"/>
    <w:rsid w:val="00FD3682"/>
    <w:rsid w:val="00FD378C"/>
    <w:rsid w:val="00FD3800"/>
    <w:rsid w:val="00FD39D3"/>
    <w:rsid w:val="00FD3A26"/>
    <w:rsid w:val="00FD3A52"/>
    <w:rsid w:val="00FD3AD6"/>
    <w:rsid w:val="00FD3BAA"/>
    <w:rsid w:val="00FD3CAE"/>
    <w:rsid w:val="00FD3E5C"/>
    <w:rsid w:val="00FD3EF8"/>
    <w:rsid w:val="00FD3FA0"/>
    <w:rsid w:val="00FD4001"/>
    <w:rsid w:val="00FD4036"/>
    <w:rsid w:val="00FD40D4"/>
    <w:rsid w:val="00FD41E2"/>
    <w:rsid w:val="00FD4278"/>
    <w:rsid w:val="00FD43D1"/>
    <w:rsid w:val="00FD44A5"/>
    <w:rsid w:val="00FD47E8"/>
    <w:rsid w:val="00FD4864"/>
    <w:rsid w:val="00FD48C8"/>
    <w:rsid w:val="00FD4900"/>
    <w:rsid w:val="00FD4958"/>
    <w:rsid w:val="00FD49FC"/>
    <w:rsid w:val="00FD4A6E"/>
    <w:rsid w:val="00FD4AA9"/>
    <w:rsid w:val="00FD4ABB"/>
    <w:rsid w:val="00FD4AC3"/>
    <w:rsid w:val="00FD4BAE"/>
    <w:rsid w:val="00FD4CA8"/>
    <w:rsid w:val="00FD4D76"/>
    <w:rsid w:val="00FD4D7C"/>
    <w:rsid w:val="00FD4F66"/>
    <w:rsid w:val="00FD4FB4"/>
    <w:rsid w:val="00FD50AF"/>
    <w:rsid w:val="00FD5228"/>
    <w:rsid w:val="00FD5398"/>
    <w:rsid w:val="00FD548F"/>
    <w:rsid w:val="00FD54FE"/>
    <w:rsid w:val="00FD55CD"/>
    <w:rsid w:val="00FD55F9"/>
    <w:rsid w:val="00FD5620"/>
    <w:rsid w:val="00FD5650"/>
    <w:rsid w:val="00FD575E"/>
    <w:rsid w:val="00FD57B1"/>
    <w:rsid w:val="00FD58CA"/>
    <w:rsid w:val="00FD5A17"/>
    <w:rsid w:val="00FD5AF5"/>
    <w:rsid w:val="00FD5B60"/>
    <w:rsid w:val="00FD5B9E"/>
    <w:rsid w:val="00FD5BD5"/>
    <w:rsid w:val="00FD5DEC"/>
    <w:rsid w:val="00FD5EAC"/>
    <w:rsid w:val="00FD6179"/>
    <w:rsid w:val="00FD6182"/>
    <w:rsid w:val="00FD61C6"/>
    <w:rsid w:val="00FD61F7"/>
    <w:rsid w:val="00FD636A"/>
    <w:rsid w:val="00FD6462"/>
    <w:rsid w:val="00FD64D3"/>
    <w:rsid w:val="00FD64D8"/>
    <w:rsid w:val="00FD665A"/>
    <w:rsid w:val="00FD687E"/>
    <w:rsid w:val="00FD6891"/>
    <w:rsid w:val="00FD6A06"/>
    <w:rsid w:val="00FD6AEA"/>
    <w:rsid w:val="00FD6BC0"/>
    <w:rsid w:val="00FD6C79"/>
    <w:rsid w:val="00FD6DAC"/>
    <w:rsid w:val="00FD6F1E"/>
    <w:rsid w:val="00FD7134"/>
    <w:rsid w:val="00FD716C"/>
    <w:rsid w:val="00FD72A3"/>
    <w:rsid w:val="00FD72FA"/>
    <w:rsid w:val="00FD73D6"/>
    <w:rsid w:val="00FD7652"/>
    <w:rsid w:val="00FD7690"/>
    <w:rsid w:val="00FD7718"/>
    <w:rsid w:val="00FD77EC"/>
    <w:rsid w:val="00FD77F1"/>
    <w:rsid w:val="00FD7830"/>
    <w:rsid w:val="00FD79BF"/>
    <w:rsid w:val="00FD7A82"/>
    <w:rsid w:val="00FD7ACD"/>
    <w:rsid w:val="00FD7B4B"/>
    <w:rsid w:val="00FD7B83"/>
    <w:rsid w:val="00FD7C20"/>
    <w:rsid w:val="00FD7E61"/>
    <w:rsid w:val="00FD7F98"/>
    <w:rsid w:val="00FD7F9D"/>
    <w:rsid w:val="00FE00A2"/>
    <w:rsid w:val="00FE00C0"/>
    <w:rsid w:val="00FE00F6"/>
    <w:rsid w:val="00FE0182"/>
    <w:rsid w:val="00FE034C"/>
    <w:rsid w:val="00FE035A"/>
    <w:rsid w:val="00FE03B0"/>
    <w:rsid w:val="00FE03C4"/>
    <w:rsid w:val="00FE03ED"/>
    <w:rsid w:val="00FE0485"/>
    <w:rsid w:val="00FE06C7"/>
    <w:rsid w:val="00FE075E"/>
    <w:rsid w:val="00FE07D2"/>
    <w:rsid w:val="00FE082D"/>
    <w:rsid w:val="00FE0909"/>
    <w:rsid w:val="00FE0952"/>
    <w:rsid w:val="00FE097E"/>
    <w:rsid w:val="00FE09C8"/>
    <w:rsid w:val="00FE0A5B"/>
    <w:rsid w:val="00FE0C6B"/>
    <w:rsid w:val="00FE0CBA"/>
    <w:rsid w:val="00FE0FD3"/>
    <w:rsid w:val="00FE1015"/>
    <w:rsid w:val="00FE126C"/>
    <w:rsid w:val="00FE13EE"/>
    <w:rsid w:val="00FE13FA"/>
    <w:rsid w:val="00FE1450"/>
    <w:rsid w:val="00FE156B"/>
    <w:rsid w:val="00FE1693"/>
    <w:rsid w:val="00FE16CB"/>
    <w:rsid w:val="00FE16CD"/>
    <w:rsid w:val="00FE181D"/>
    <w:rsid w:val="00FE1910"/>
    <w:rsid w:val="00FE1935"/>
    <w:rsid w:val="00FE1A13"/>
    <w:rsid w:val="00FE1A1F"/>
    <w:rsid w:val="00FE1AFA"/>
    <w:rsid w:val="00FE1B54"/>
    <w:rsid w:val="00FE1B85"/>
    <w:rsid w:val="00FE1C72"/>
    <w:rsid w:val="00FE1CF1"/>
    <w:rsid w:val="00FE1CFA"/>
    <w:rsid w:val="00FE1DFE"/>
    <w:rsid w:val="00FE1F36"/>
    <w:rsid w:val="00FE1F70"/>
    <w:rsid w:val="00FE210A"/>
    <w:rsid w:val="00FE24BE"/>
    <w:rsid w:val="00FE2723"/>
    <w:rsid w:val="00FE27CE"/>
    <w:rsid w:val="00FE2913"/>
    <w:rsid w:val="00FE2969"/>
    <w:rsid w:val="00FE29AF"/>
    <w:rsid w:val="00FE2ADF"/>
    <w:rsid w:val="00FE2B02"/>
    <w:rsid w:val="00FE2DC8"/>
    <w:rsid w:val="00FE2E8C"/>
    <w:rsid w:val="00FE2FF5"/>
    <w:rsid w:val="00FE3099"/>
    <w:rsid w:val="00FE32D5"/>
    <w:rsid w:val="00FE3345"/>
    <w:rsid w:val="00FE3463"/>
    <w:rsid w:val="00FE3536"/>
    <w:rsid w:val="00FE3551"/>
    <w:rsid w:val="00FE38F0"/>
    <w:rsid w:val="00FE3948"/>
    <w:rsid w:val="00FE39B6"/>
    <w:rsid w:val="00FE3A37"/>
    <w:rsid w:val="00FE3A64"/>
    <w:rsid w:val="00FE3BFE"/>
    <w:rsid w:val="00FE3D0D"/>
    <w:rsid w:val="00FE3D39"/>
    <w:rsid w:val="00FE3E0B"/>
    <w:rsid w:val="00FE3E3F"/>
    <w:rsid w:val="00FE3EDE"/>
    <w:rsid w:val="00FE3EE9"/>
    <w:rsid w:val="00FE4094"/>
    <w:rsid w:val="00FE40D2"/>
    <w:rsid w:val="00FE4171"/>
    <w:rsid w:val="00FE423A"/>
    <w:rsid w:val="00FE42B4"/>
    <w:rsid w:val="00FE44B1"/>
    <w:rsid w:val="00FE474F"/>
    <w:rsid w:val="00FE4937"/>
    <w:rsid w:val="00FE4D3E"/>
    <w:rsid w:val="00FE4D88"/>
    <w:rsid w:val="00FE4F35"/>
    <w:rsid w:val="00FE4FFE"/>
    <w:rsid w:val="00FE50D1"/>
    <w:rsid w:val="00FE5165"/>
    <w:rsid w:val="00FE519D"/>
    <w:rsid w:val="00FE51A3"/>
    <w:rsid w:val="00FE523D"/>
    <w:rsid w:val="00FE52C3"/>
    <w:rsid w:val="00FE5452"/>
    <w:rsid w:val="00FE55DC"/>
    <w:rsid w:val="00FE5698"/>
    <w:rsid w:val="00FE56A6"/>
    <w:rsid w:val="00FE56D9"/>
    <w:rsid w:val="00FE5752"/>
    <w:rsid w:val="00FE5ABD"/>
    <w:rsid w:val="00FE5C6F"/>
    <w:rsid w:val="00FE5C9F"/>
    <w:rsid w:val="00FE5DDA"/>
    <w:rsid w:val="00FE5E03"/>
    <w:rsid w:val="00FE5F5D"/>
    <w:rsid w:val="00FE61BD"/>
    <w:rsid w:val="00FE6223"/>
    <w:rsid w:val="00FE6358"/>
    <w:rsid w:val="00FE6366"/>
    <w:rsid w:val="00FE6374"/>
    <w:rsid w:val="00FE6388"/>
    <w:rsid w:val="00FE6399"/>
    <w:rsid w:val="00FE6543"/>
    <w:rsid w:val="00FE656D"/>
    <w:rsid w:val="00FE65E1"/>
    <w:rsid w:val="00FE6939"/>
    <w:rsid w:val="00FE6956"/>
    <w:rsid w:val="00FE6985"/>
    <w:rsid w:val="00FE6ABB"/>
    <w:rsid w:val="00FE6BAE"/>
    <w:rsid w:val="00FE6C01"/>
    <w:rsid w:val="00FE6C2E"/>
    <w:rsid w:val="00FE6C8D"/>
    <w:rsid w:val="00FE6C8E"/>
    <w:rsid w:val="00FE6D11"/>
    <w:rsid w:val="00FE6D20"/>
    <w:rsid w:val="00FE6D61"/>
    <w:rsid w:val="00FE6DAA"/>
    <w:rsid w:val="00FE6DE1"/>
    <w:rsid w:val="00FE6E20"/>
    <w:rsid w:val="00FE6E42"/>
    <w:rsid w:val="00FE6F48"/>
    <w:rsid w:val="00FE6F4A"/>
    <w:rsid w:val="00FE7045"/>
    <w:rsid w:val="00FE704B"/>
    <w:rsid w:val="00FE7092"/>
    <w:rsid w:val="00FE72B0"/>
    <w:rsid w:val="00FE72C9"/>
    <w:rsid w:val="00FE7449"/>
    <w:rsid w:val="00FE7457"/>
    <w:rsid w:val="00FE7524"/>
    <w:rsid w:val="00FE75BD"/>
    <w:rsid w:val="00FE7787"/>
    <w:rsid w:val="00FE7B20"/>
    <w:rsid w:val="00FE7DF3"/>
    <w:rsid w:val="00FE7E67"/>
    <w:rsid w:val="00FF000E"/>
    <w:rsid w:val="00FF00ED"/>
    <w:rsid w:val="00FF011D"/>
    <w:rsid w:val="00FF019F"/>
    <w:rsid w:val="00FF030C"/>
    <w:rsid w:val="00FF03A1"/>
    <w:rsid w:val="00FF03B0"/>
    <w:rsid w:val="00FF051F"/>
    <w:rsid w:val="00FF06E6"/>
    <w:rsid w:val="00FF0719"/>
    <w:rsid w:val="00FF08CA"/>
    <w:rsid w:val="00FF09BF"/>
    <w:rsid w:val="00FF0A7A"/>
    <w:rsid w:val="00FF0BAE"/>
    <w:rsid w:val="00FF0CB2"/>
    <w:rsid w:val="00FF0DD7"/>
    <w:rsid w:val="00FF0DE1"/>
    <w:rsid w:val="00FF0EDC"/>
    <w:rsid w:val="00FF0EEB"/>
    <w:rsid w:val="00FF0F76"/>
    <w:rsid w:val="00FF0FB2"/>
    <w:rsid w:val="00FF0FD8"/>
    <w:rsid w:val="00FF0FE2"/>
    <w:rsid w:val="00FF0FEF"/>
    <w:rsid w:val="00FF1000"/>
    <w:rsid w:val="00FF1015"/>
    <w:rsid w:val="00FF10ED"/>
    <w:rsid w:val="00FF1119"/>
    <w:rsid w:val="00FF11C0"/>
    <w:rsid w:val="00FF136F"/>
    <w:rsid w:val="00FF140E"/>
    <w:rsid w:val="00FF141C"/>
    <w:rsid w:val="00FF15E3"/>
    <w:rsid w:val="00FF15E8"/>
    <w:rsid w:val="00FF175C"/>
    <w:rsid w:val="00FF17B5"/>
    <w:rsid w:val="00FF18A5"/>
    <w:rsid w:val="00FF18EF"/>
    <w:rsid w:val="00FF1941"/>
    <w:rsid w:val="00FF1946"/>
    <w:rsid w:val="00FF1A1C"/>
    <w:rsid w:val="00FF1A71"/>
    <w:rsid w:val="00FF1ACB"/>
    <w:rsid w:val="00FF1DE7"/>
    <w:rsid w:val="00FF233F"/>
    <w:rsid w:val="00FF2363"/>
    <w:rsid w:val="00FF23A9"/>
    <w:rsid w:val="00FF23D9"/>
    <w:rsid w:val="00FF2483"/>
    <w:rsid w:val="00FF2495"/>
    <w:rsid w:val="00FF25CA"/>
    <w:rsid w:val="00FF26EF"/>
    <w:rsid w:val="00FF270F"/>
    <w:rsid w:val="00FF27D4"/>
    <w:rsid w:val="00FF289F"/>
    <w:rsid w:val="00FF29FE"/>
    <w:rsid w:val="00FF2BAA"/>
    <w:rsid w:val="00FF2BCC"/>
    <w:rsid w:val="00FF2BDE"/>
    <w:rsid w:val="00FF2C67"/>
    <w:rsid w:val="00FF2D7E"/>
    <w:rsid w:val="00FF2DB2"/>
    <w:rsid w:val="00FF2E07"/>
    <w:rsid w:val="00FF2E9A"/>
    <w:rsid w:val="00FF2EA1"/>
    <w:rsid w:val="00FF2EB2"/>
    <w:rsid w:val="00FF3030"/>
    <w:rsid w:val="00FF3118"/>
    <w:rsid w:val="00FF3221"/>
    <w:rsid w:val="00FF3238"/>
    <w:rsid w:val="00FF33E5"/>
    <w:rsid w:val="00FF3421"/>
    <w:rsid w:val="00FF3572"/>
    <w:rsid w:val="00FF3638"/>
    <w:rsid w:val="00FF37C8"/>
    <w:rsid w:val="00FF37F5"/>
    <w:rsid w:val="00FF37FD"/>
    <w:rsid w:val="00FF3829"/>
    <w:rsid w:val="00FF3BF5"/>
    <w:rsid w:val="00FF3C0E"/>
    <w:rsid w:val="00FF3CC7"/>
    <w:rsid w:val="00FF3D19"/>
    <w:rsid w:val="00FF3D40"/>
    <w:rsid w:val="00FF3F33"/>
    <w:rsid w:val="00FF4007"/>
    <w:rsid w:val="00FF41EB"/>
    <w:rsid w:val="00FF42CE"/>
    <w:rsid w:val="00FF43E7"/>
    <w:rsid w:val="00FF441A"/>
    <w:rsid w:val="00FF4820"/>
    <w:rsid w:val="00FF4AAA"/>
    <w:rsid w:val="00FF4AAF"/>
    <w:rsid w:val="00FF4B4F"/>
    <w:rsid w:val="00FF4CF8"/>
    <w:rsid w:val="00FF4E55"/>
    <w:rsid w:val="00FF4E64"/>
    <w:rsid w:val="00FF4F01"/>
    <w:rsid w:val="00FF4F56"/>
    <w:rsid w:val="00FF506B"/>
    <w:rsid w:val="00FF506E"/>
    <w:rsid w:val="00FF51AD"/>
    <w:rsid w:val="00FF5258"/>
    <w:rsid w:val="00FF53A8"/>
    <w:rsid w:val="00FF53EA"/>
    <w:rsid w:val="00FF548D"/>
    <w:rsid w:val="00FF55B2"/>
    <w:rsid w:val="00FF55BF"/>
    <w:rsid w:val="00FF55C7"/>
    <w:rsid w:val="00FF55F0"/>
    <w:rsid w:val="00FF56DD"/>
    <w:rsid w:val="00FF5948"/>
    <w:rsid w:val="00FF5997"/>
    <w:rsid w:val="00FF5C97"/>
    <w:rsid w:val="00FF5D26"/>
    <w:rsid w:val="00FF5E15"/>
    <w:rsid w:val="00FF5E7E"/>
    <w:rsid w:val="00FF5EE8"/>
    <w:rsid w:val="00FF6025"/>
    <w:rsid w:val="00FF614E"/>
    <w:rsid w:val="00FF6338"/>
    <w:rsid w:val="00FF644D"/>
    <w:rsid w:val="00FF6701"/>
    <w:rsid w:val="00FF6849"/>
    <w:rsid w:val="00FF6906"/>
    <w:rsid w:val="00FF692A"/>
    <w:rsid w:val="00FF6A58"/>
    <w:rsid w:val="00FF6E19"/>
    <w:rsid w:val="00FF6E46"/>
    <w:rsid w:val="00FF6E7E"/>
    <w:rsid w:val="00FF6EC1"/>
    <w:rsid w:val="00FF6EF5"/>
    <w:rsid w:val="00FF6F12"/>
    <w:rsid w:val="00FF71CB"/>
    <w:rsid w:val="00FF7354"/>
    <w:rsid w:val="00FF7507"/>
    <w:rsid w:val="00FF7598"/>
    <w:rsid w:val="00FF75CE"/>
    <w:rsid w:val="00FF7608"/>
    <w:rsid w:val="00FF763B"/>
    <w:rsid w:val="00FF7769"/>
    <w:rsid w:val="00FF778F"/>
    <w:rsid w:val="00FF7887"/>
    <w:rsid w:val="00FF7A6D"/>
    <w:rsid w:val="00FF7A9E"/>
    <w:rsid w:val="00FF7ACD"/>
    <w:rsid w:val="00FF7B58"/>
    <w:rsid w:val="00FF7BEF"/>
    <w:rsid w:val="00FF7CE5"/>
    <w:rsid w:val="00FF7E83"/>
    <w:rsid w:val="00FF7EF3"/>
    <w:rsid w:val="0106169E"/>
    <w:rsid w:val="0109507F"/>
    <w:rsid w:val="010A6A6D"/>
    <w:rsid w:val="01187A40"/>
    <w:rsid w:val="012B2D47"/>
    <w:rsid w:val="012E308B"/>
    <w:rsid w:val="01460234"/>
    <w:rsid w:val="016688E7"/>
    <w:rsid w:val="0191BCCA"/>
    <w:rsid w:val="0199EFF2"/>
    <w:rsid w:val="01BB9FBE"/>
    <w:rsid w:val="01BC4D8E"/>
    <w:rsid w:val="01BFA5DA"/>
    <w:rsid w:val="01F565DC"/>
    <w:rsid w:val="021D4678"/>
    <w:rsid w:val="022095DF"/>
    <w:rsid w:val="0274ADA9"/>
    <w:rsid w:val="02786AAC"/>
    <w:rsid w:val="027B9B5D"/>
    <w:rsid w:val="029728D9"/>
    <w:rsid w:val="02C453EE"/>
    <w:rsid w:val="02E36172"/>
    <w:rsid w:val="02F152BD"/>
    <w:rsid w:val="02F63CC2"/>
    <w:rsid w:val="033029C4"/>
    <w:rsid w:val="033FF0A5"/>
    <w:rsid w:val="0340D66A"/>
    <w:rsid w:val="034663B2"/>
    <w:rsid w:val="0373FC6F"/>
    <w:rsid w:val="037F626D"/>
    <w:rsid w:val="0387A78E"/>
    <w:rsid w:val="038E12FA"/>
    <w:rsid w:val="0397275E"/>
    <w:rsid w:val="039A9F98"/>
    <w:rsid w:val="03A04378"/>
    <w:rsid w:val="03A56277"/>
    <w:rsid w:val="03A8EBEA"/>
    <w:rsid w:val="03C95D22"/>
    <w:rsid w:val="03EC3658"/>
    <w:rsid w:val="0426E24B"/>
    <w:rsid w:val="04275B2C"/>
    <w:rsid w:val="0430393A"/>
    <w:rsid w:val="048AE244"/>
    <w:rsid w:val="04E0411B"/>
    <w:rsid w:val="04E0705A"/>
    <w:rsid w:val="04FA25B0"/>
    <w:rsid w:val="04FB9AC9"/>
    <w:rsid w:val="0501CC2C"/>
    <w:rsid w:val="0508B237"/>
    <w:rsid w:val="050E5EA0"/>
    <w:rsid w:val="050F0870"/>
    <w:rsid w:val="0518E782"/>
    <w:rsid w:val="051E5E03"/>
    <w:rsid w:val="0521594D"/>
    <w:rsid w:val="054E249D"/>
    <w:rsid w:val="0570265F"/>
    <w:rsid w:val="0587EC08"/>
    <w:rsid w:val="058883BA"/>
    <w:rsid w:val="059E208D"/>
    <w:rsid w:val="05AD420C"/>
    <w:rsid w:val="05BB06DE"/>
    <w:rsid w:val="05F1DF2F"/>
    <w:rsid w:val="05FDC3D7"/>
    <w:rsid w:val="06382966"/>
    <w:rsid w:val="0641E790"/>
    <w:rsid w:val="066D6115"/>
    <w:rsid w:val="0678AE66"/>
    <w:rsid w:val="067BCAB0"/>
    <w:rsid w:val="06805D3C"/>
    <w:rsid w:val="06A1A46C"/>
    <w:rsid w:val="06B12914"/>
    <w:rsid w:val="06B285BD"/>
    <w:rsid w:val="06B34F7D"/>
    <w:rsid w:val="06D0B94C"/>
    <w:rsid w:val="06E9F4FE"/>
    <w:rsid w:val="06F675F5"/>
    <w:rsid w:val="070C0165"/>
    <w:rsid w:val="070F891D"/>
    <w:rsid w:val="0721C020"/>
    <w:rsid w:val="0735B254"/>
    <w:rsid w:val="07367BF0"/>
    <w:rsid w:val="073CE37F"/>
    <w:rsid w:val="0746595F"/>
    <w:rsid w:val="074A28BC"/>
    <w:rsid w:val="0793164B"/>
    <w:rsid w:val="07B10263"/>
    <w:rsid w:val="07C2A482"/>
    <w:rsid w:val="07D0A067"/>
    <w:rsid w:val="07FE7746"/>
    <w:rsid w:val="082C4196"/>
    <w:rsid w:val="0839AB5A"/>
    <w:rsid w:val="084E3AA2"/>
    <w:rsid w:val="085C169E"/>
    <w:rsid w:val="08654BD3"/>
    <w:rsid w:val="0868A043"/>
    <w:rsid w:val="0877FC5B"/>
    <w:rsid w:val="0884D7C3"/>
    <w:rsid w:val="08A0D25E"/>
    <w:rsid w:val="08A40E9B"/>
    <w:rsid w:val="08D3BDC7"/>
    <w:rsid w:val="08D49E52"/>
    <w:rsid w:val="0934BAD0"/>
    <w:rsid w:val="09618E35"/>
    <w:rsid w:val="096EAD67"/>
    <w:rsid w:val="096F0580"/>
    <w:rsid w:val="097F1557"/>
    <w:rsid w:val="09820BA5"/>
    <w:rsid w:val="09AFC714"/>
    <w:rsid w:val="09C12159"/>
    <w:rsid w:val="09D87AD4"/>
    <w:rsid w:val="09F170FC"/>
    <w:rsid w:val="0A19456E"/>
    <w:rsid w:val="0A26281B"/>
    <w:rsid w:val="0A271C8A"/>
    <w:rsid w:val="0A360DDA"/>
    <w:rsid w:val="0A52571F"/>
    <w:rsid w:val="0A550D88"/>
    <w:rsid w:val="0A5984BF"/>
    <w:rsid w:val="0A641094"/>
    <w:rsid w:val="0A6AB4FE"/>
    <w:rsid w:val="0A6C23F1"/>
    <w:rsid w:val="0AD7E8F8"/>
    <w:rsid w:val="0AF60E07"/>
    <w:rsid w:val="0AF66CFB"/>
    <w:rsid w:val="0AFE0FFA"/>
    <w:rsid w:val="0B3C17B3"/>
    <w:rsid w:val="0B4B7B58"/>
    <w:rsid w:val="0B6AB1A9"/>
    <w:rsid w:val="0B82C51A"/>
    <w:rsid w:val="0B8D5093"/>
    <w:rsid w:val="0B92B973"/>
    <w:rsid w:val="0BA34347"/>
    <w:rsid w:val="0BBD6621"/>
    <w:rsid w:val="0BCF9D8C"/>
    <w:rsid w:val="0BE2B3E2"/>
    <w:rsid w:val="0C07BA41"/>
    <w:rsid w:val="0C0C73FA"/>
    <w:rsid w:val="0C12B077"/>
    <w:rsid w:val="0C1E1DF8"/>
    <w:rsid w:val="0C26C81D"/>
    <w:rsid w:val="0C2AD1ED"/>
    <w:rsid w:val="0C351A68"/>
    <w:rsid w:val="0C3B61AD"/>
    <w:rsid w:val="0C77614B"/>
    <w:rsid w:val="0C92EE87"/>
    <w:rsid w:val="0C99C224"/>
    <w:rsid w:val="0CA59856"/>
    <w:rsid w:val="0CA6A642"/>
    <w:rsid w:val="0CC3B6DC"/>
    <w:rsid w:val="0CD7E814"/>
    <w:rsid w:val="0CDDFCC6"/>
    <w:rsid w:val="0CE88B88"/>
    <w:rsid w:val="0CF08A80"/>
    <w:rsid w:val="0CF197F9"/>
    <w:rsid w:val="0CF8329D"/>
    <w:rsid w:val="0D3BBD5B"/>
    <w:rsid w:val="0D3EDE85"/>
    <w:rsid w:val="0D597AEF"/>
    <w:rsid w:val="0D6A5F25"/>
    <w:rsid w:val="0D6E61C4"/>
    <w:rsid w:val="0D786B00"/>
    <w:rsid w:val="0D8603BD"/>
    <w:rsid w:val="0DBDE556"/>
    <w:rsid w:val="0DC0E088"/>
    <w:rsid w:val="0DC2C416"/>
    <w:rsid w:val="0DC44604"/>
    <w:rsid w:val="0E010F06"/>
    <w:rsid w:val="0E043EC4"/>
    <w:rsid w:val="0E04EFF9"/>
    <w:rsid w:val="0E27C841"/>
    <w:rsid w:val="0E6636EC"/>
    <w:rsid w:val="0E96234B"/>
    <w:rsid w:val="0EB210F7"/>
    <w:rsid w:val="0EB5739B"/>
    <w:rsid w:val="0EB86628"/>
    <w:rsid w:val="0EE29E01"/>
    <w:rsid w:val="0EE6054D"/>
    <w:rsid w:val="0EF442D7"/>
    <w:rsid w:val="0EFC8402"/>
    <w:rsid w:val="0EFD85C8"/>
    <w:rsid w:val="0F298D98"/>
    <w:rsid w:val="0F53D2C1"/>
    <w:rsid w:val="0F5BD34B"/>
    <w:rsid w:val="0F7ACAE3"/>
    <w:rsid w:val="0F8E4531"/>
    <w:rsid w:val="0FA4DBC6"/>
    <w:rsid w:val="0FC0CB0D"/>
    <w:rsid w:val="0FC835FC"/>
    <w:rsid w:val="0FCBB0E7"/>
    <w:rsid w:val="0FD361FA"/>
    <w:rsid w:val="0FFCDF3F"/>
    <w:rsid w:val="100F99F6"/>
    <w:rsid w:val="101F280B"/>
    <w:rsid w:val="1027432A"/>
    <w:rsid w:val="102F6542"/>
    <w:rsid w:val="105719D3"/>
    <w:rsid w:val="105C8304"/>
    <w:rsid w:val="10637370"/>
    <w:rsid w:val="1086844D"/>
    <w:rsid w:val="108F5549"/>
    <w:rsid w:val="10979005"/>
    <w:rsid w:val="10BB87E9"/>
    <w:rsid w:val="10BFF49C"/>
    <w:rsid w:val="10D24EF4"/>
    <w:rsid w:val="10D44355"/>
    <w:rsid w:val="10E7A6FD"/>
    <w:rsid w:val="1102F950"/>
    <w:rsid w:val="110CE9B6"/>
    <w:rsid w:val="110DFA3A"/>
    <w:rsid w:val="11311DB4"/>
    <w:rsid w:val="113B449C"/>
    <w:rsid w:val="113FDDE3"/>
    <w:rsid w:val="118CEE27"/>
    <w:rsid w:val="119374A6"/>
    <w:rsid w:val="11A105F6"/>
    <w:rsid w:val="11A9F831"/>
    <w:rsid w:val="11C5D0C4"/>
    <w:rsid w:val="11CD9BE6"/>
    <w:rsid w:val="11D162A0"/>
    <w:rsid w:val="11D29D9F"/>
    <w:rsid w:val="11F78FC9"/>
    <w:rsid w:val="11F85F09"/>
    <w:rsid w:val="11FAC885"/>
    <w:rsid w:val="1213903B"/>
    <w:rsid w:val="12256A66"/>
    <w:rsid w:val="12375724"/>
    <w:rsid w:val="124114E4"/>
    <w:rsid w:val="124575DD"/>
    <w:rsid w:val="1264B943"/>
    <w:rsid w:val="126A222D"/>
    <w:rsid w:val="12750C73"/>
    <w:rsid w:val="12785F0C"/>
    <w:rsid w:val="1280721D"/>
    <w:rsid w:val="1299386C"/>
    <w:rsid w:val="129EE4A0"/>
    <w:rsid w:val="12B369B3"/>
    <w:rsid w:val="12D0C796"/>
    <w:rsid w:val="12D16691"/>
    <w:rsid w:val="12D61529"/>
    <w:rsid w:val="12EF0E99"/>
    <w:rsid w:val="12F306C4"/>
    <w:rsid w:val="13260EF9"/>
    <w:rsid w:val="1338F976"/>
    <w:rsid w:val="13653091"/>
    <w:rsid w:val="1372A140"/>
    <w:rsid w:val="1378C6DA"/>
    <w:rsid w:val="137E6DE7"/>
    <w:rsid w:val="13C94A19"/>
    <w:rsid w:val="13D4B95C"/>
    <w:rsid w:val="13D570A2"/>
    <w:rsid w:val="13E8732C"/>
    <w:rsid w:val="14088433"/>
    <w:rsid w:val="142D9CCF"/>
    <w:rsid w:val="143A2AA5"/>
    <w:rsid w:val="143E7065"/>
    <w:rsid w:val="1449D829"/>
    <w:rsid w:val="14634340"/>
    <w:rsid w:val="14A176E2"/>
    <w:rsid w:val="14BE29EC"/>
    <w:rsid w:val="14EA01B5"/>
    <w:rsid w:val="150DDD93"/>
    <w:rsid w:val="1536570A"/>
    <w:rsid w:val="1538F266"/>
    <w:rsid w:val="156F6F7D"/>
    <w:rsid w:val="1578EB85"/>
    <w:rsid w:val="158565B3"/>
    <w:rsid w:val="158D8217"/>
    <w:rsid w:val="1595A331"/>
    <w:rsid w:val="159C32C0"/>
    <w:rsid w:val="15AEA71F"/>
    <w:rsid w:val="15B9E67F"/>
    <w:rsid w:val="15EC1AD0"/>
    <w:rsid w:val="15ED33BF"/>
    <w:rsid w:val="1600D4B8"/>
    <w:rsid w:val="162A2E40"/>
    <w:rsid w:val="162F165B"/>
    <w:rsid w:val="1639411E"/>
    <w:rsid w:val="164AC2FF"/>
    <w:rsid w:val="1663BBE6"/>
    <w:rsid w:val="1665CBF5"/>
    <w:rsid w:val="16806A8C"/>
    <w:rsid w:val="168FA92C"/>
    <w:rsid w:val="16936708"/>
    <w:rsid w:val="169A9F3D"/>
    <w:rsid w:val="16AE98B9"/>
    <w:rsid w:val="16D9DC11"/>
    <w:rsid w:val="16DB176B"/>
    <w:rsid w:val="170FE78F"/>
    <w:rsid w:val="17484721"/>
    <w:rsid w:val="174C5854"/>
    <w:rsid w:val="17888E39"/>
    <w:rsid w:val="17AE5F3F"/>
    <w:rsid w:val="17BE5B16"/>
    <w:rsid w:val="17CFC53E"/>
    <w:rsid w:val="17D7249B"/>
    <w:rsid w:val="17E09BF9"/>
    <w:rsid w:val="17E22CC2"/>
    <w:rsid w:val="1810477A"/>
    <w:rsid w:val="181C5E1F"/>
    <w:rsid w:val="181F5776"/>
    <w:rsid w:val="181F8A10"/>
    <w:rsid w:val="1820695F"/>
    <w:rsid w:val="18234C98"/>
    <w:rsid w:val="182C6291"/>
    <w:rsid w:val="183D5986"/>
    <w:rsid w:val="183DB688"/>
    <w:rsid w:val="18475C74"/>
    <w:rsid w:val="1859E510"/>
    <w:rsid w:val="18800737"/>
    <w:rsid w:val="189B2EC2"/>
    <w:rsid w:val="18CBB31A"/>
    <w:rsid w:val="18DBF8FD"/>
    <w:rsid w:val="18E745F1"/>
    <w:rsid w:val="19410F45"/>
    <w:rsid w:val="1952E006"/>
    <w:rsid w:val="1961F7A5"/>
    <w:rsid w:val="19756FFC"/>
    <w:rsid w:val="197683BF"/>
    <w:rsid w:val="197B0D8E"/>
    <w:rsid w:val="197D03E0"/>
    <w:rsid w:val="19A66249"/>
    <w:rsid w:val="19A9E327"/>
    <w:rsid w:val="19AD13F7"/>
    <w:rsid w:val="19CA4450"/>
    <w:rsid w:val="19D27FC6"/>
    <w:rsid w:val="19E561F0"/>
    <w:rsid w:val="19E8DE13"/>
    <w:rsid w:val="1A0DA945"/>
    <w:rsid w:val="1A318EDF"/>
    <w:rsid w:val="1A3FB8A9"/>
    <w:rsid w:val="1A405024"/>
    <w:rsid w:val="1A44195F"/>
    <w:rsid w:val="1A5838AC"/>
    <w:rsid w:val="1A5FC3E0"/>
    <w:rsid w:val="1A6E3D95"/>
    <w:rsid w:val="1A7CD885"/>
    <w:rsid w:val="1A858266"/>
    <w:rsid w:val="1A8F2A44"/>
    <w:rsid w:val="1A9318CA"/>
    <w:rsid w:val="1AA77C5B"/>
    <w:rsid w:val="1AB008B0"/>
    <w:rsid w:val="1AB24046"/>
    <w:rsid w:val="1ABE5533"/>
    <w:rsid w:val="1AFC4177"/>
    <w:rsid w:val="1B1C9E8B"/>
    <w:rsid w:val="1B274253"/>
    <w:rsid w:val="1B3E490B"/>
    <w:rsid w:val="1B4D3725"/>
    <w:rsid w:val="1B69E708"/>
    <w:rsid w:val="1B6EA804"/>
    <w:rsid w:val="1B7CA231"/>
    <w:rsid w:val="1B88D553"/>
    <w:rsid w:val="1B95C8FA"/>
    <w:rsid w:val="1BAE388A"/>
    <w:rsid w:val="1BC9718F"/>
    <w:rsid w:val="1BE3E5AC"/>
    <w:rsid w:val="1BE46B25"/>
    <w:rsid w:val="1BF6376C"/>
    <w:rsid w:val="1C2AFAA5"/>
    <w:rsid w:val="1C312E15"/>
    <w:rsid w:val="1C4AB8F5"/>
    <w:rsid w:val="1C55A600"/>
    <w:rsid w:val="1C58338D"/>
    <w:rsid w:val="1C78880C"/>
    <w:rsid w:val="1CBECCE2"/>
    <w:rsid w:val="1CC9EC2E"/>
    <w:rsid w:val="1CD08A25"/>
    <w:rsid w:val="1CD5DC81"/>
    <w:rsid w:val="1CDB16BB"/>
    <w:rsid w:val="1CE68169"/>
    <w:rsid w:val="1D136DCB"/>
    <w:rsid w:val="1D236939"/>
    <w:rsid w:val="1D492ACE"/>
    <w:rsid w:val="1D5CC8A8"/>
    <w:rsid w:val="1D61EC63"/>
    <w:rsid w:val="1D7A36D7"/>
    <w:rsid w:val="1D7F5F26"/>
    <w:rsid w:val="1D8ED1E5"/>
    <w:rsid w:val="1D961A6C"/>
    <w:rsid w:val="1D979A68"/>
    <w:rsid w:val="1D9F04B3"/>
    <w:rsid w:val="1DB3C91D"/>
    <w:rsid w:val="1DE254CE"/>
    <w:rsid w:val="1DEF960E"/>
    <w:rsid w:val="1DF6C32E"/>
    <w:rsid w:val="1E1F4B88"/>
    <w:rsid w:val="1E3A8B38"/>
    <w:rsid w:val="1E44DA74"/>
    <w:rsid w:val="1E500392"/>
    <w:rsid w:val="1E57B162"/>
    <w:rsid w:val="1E83C75B"/>
    <w:rsid w:val="1E86502A"/>
    <w:rsid w:val="1E9E9311"/>
    <w:rsid w:val="1EA727A9"/>
    <w:rsid w:val="1EAA88C7"/>
    <w:rsid w:val="1EAD49AF"/>
    <w:rsid w:val="1EAF2B58"/>
    <w:rsid w:val="1EBDEBBB"/>
    <w:rsid w:val="1EC029C5"/>
    <w:rsid w:val="1F146DF6"/>
    <w:rsid w:val="1F182805"/>
    <w:rsid w:val="1F1A0E0B"/>
    <w:rsid w:val="1F1B7BF9"/>
    <w:rsid w:val="1F3DDD33"/>
    <w:rsid w:val="1F4DC3D5"/>
    <w:rsid w:val="1F7C415D"/>
    <w:rsid w:val="1F825BB6"/>
    <w:rsid w:val="1F973204"/>
    <w:rsid w:val="1F990905"/>
    <w:rsid w:val="1FCDF3F4"/>
    <w:rsid w:val="1FDB4271"/>
    <w:rsid w:val="1FF275D8"/>
    <w:rsid w:val="1FF8FD5A"/>
    <w:rsid w:val="20165A17"/>
    <w:rsid w:val="2017C670"/>
    <w:rsid w:val="20253F20"/>
    <w:rsid w:val="202EB3DA"/>
    <w:rsid w:val="2041C14A"/>
    <w:rsid w:val="20660DC5"/>
    <w:rsid w:val="2067F86C"/>
    <w:rsid w:val="20E0EF41"/>
    <w:rsid w:val="20F6786D"/>
    <w:rsid w:val="2104AEB7"/>
    <w:rsid w:val="213BB5F3"/>
    <w:rsid w:val="2154C948"/>
    <w:rsid w:val="21565563"/>
    <w:rsid w:val="216682D6"/>
    <w:rsid w:val="2167CF50"/>
    <w:rsid w:val="218A3F6C"/>
    <w:rsid w:val="218EE0FA"/>
    <w:rsid w:val="21FC4655"/>
    <w:rsid w:val="2218FA1D"/>
    <w:rsid w:val="221F5060"/>
    <w:rsid w:val="222B6AEF"/>
    <w:rsid w:val="225346E0"/>
    <w:rsid w:val="22618D6B"/>
    <w:rsid w:val="2269B49F"/>
    <w:rsid w:val="2274A582"/>
    <w:rsid w:val="227ABA6E"/>
    <w:rsid w:val="22BA616A"/>
    <w:rsid w:val="22E11A66"/>
    <w:rsid w:val="22F04605"/>
    <w:rsid w:val="2345E2F3"/>
    <w:rsid w:val="23A0A403"/>
    <w:rsid w:val="23A1CFBA"/>
    <w:rsid w:val="23A859B5"/>
    <w:rsid w:val="23C2CC19"/>
    <w:rsid w:val="23CB116A"/>
    <w:rsid w:val="23D17110"/>
    <w:rsid w:val="23E200C3"/>
    <w:rsid w:val="24082C3A"/>
    <w:rsid w:val="24279AB8"/>
    <w:rsid w:val="24292263"/>
    <w:rsid w:val="2432538F"/>
    <w:rsid w:val="2434518B"/>
    <w:rsid w:val="24475904"/>
    <w:rsid w:val="247114D4"/>
    <w:rsid w:val="2484DD97"/>
    <w:rsid w:val="24911039"/>
    <w:rsid w:val="24A093E4"/>
    <w:rsid w:val="24AA200D"/>
    <w:rsid w:val="25047D9F"/>
    <w:rsid w:val="2520EBE9"/>
    <w:rsid w:val="2542CA7D"/>
    <w:rsid w:val="2549119A"/>
    <w:rsid w:val="25607E60"/>
    <w:rsid w:val="2560E588"/>
    <w:rsid w:val="258E8E8D"/>
    <w:rsid w:val="2595CD97"/>
    <w:rsid w:val="2597A871"/>
    <w:rsid w:val="25B46064"/>
    <w:rsid w:val="25B70B5D"/>
    <w:rsid w:val="25C6B18F"/>
    <w:rsid w:val="25C6CACA"/>
    <w:rsid w:val="25C9A958"/>
    <w:rsid w:val="25D872DE"/>
    <w:rsid w:val="25DAB7D9"/>
    <w:rsid w:val="25DD9502"/>
    <w:rsid w:val="25E4DA99"/>
    <w:rsid w:val="2600FB42"/>
    <w:rsid w:val="260D1E01"/>
    <w:rsid w:val="262CE09A"/>
    <w:rsid w:val="263EE656"/>
    <w:rsid w:val="264B1B6D"/>
    <w:rsid w:val="2679E549"/>
    <w:rsid w:val="267C8D72"/>
    <w:rsid w:val="267CDA45"/>
    <w:rsid w:val="268629C9"/>
    <w:rsid w:val="26862C2A"/>
    <w:rsid w:val="26938238"/>
    <w:rsid w:val="26B102CE"/>
    <w:rsid w:val="26D3A332"/>
    <w:rsid w:val="26D7AA14"/>
    <w:rsid w:val="26ED6CF5"/>
    <w:rsid w:val="26F2270A"/>
    <w:rsid w:val="26F928BB"/>
    <w:rsid w:val="27012179"/>
    <w:rsid w:val="2702023D"/>
    <w:rsid w:val="27137BF9"/>
    <w:rsid w:val="271C9DB7"/>
    <w:rsid w:val="272C6F97"/>
    <w:rsid w:val="27562C15"/>
    <w:rsid w:val="2763DCD9"/>
    <w:rsid w:val="276ED481"/>
    <w:rsid w:val="27719AED"/>
    <w:rsid w:val="278147F0"/>
    <w:rsid w:val="2790F536"/>
    <w:rsid w:val="27A3E5CA"/>
    <w:rsid w:val="27BF8C4D"/>
    <w:rsid w:val="27DAB6B7"/>
    <w:rsid w:val="27E4DAE9"/>
    <w:rsid w:val="27EA6EB7"/>
    <w:rsid w:val="27F11B95"/>
    <w:rsid w:val="2817E05D"/>
    <w:rsid w:val="281830E1"/>
    <w:rsid w:val="2855F0C8"/>
    <w:rsid w:val="285A84E9"/>
    <w:rsid w:val="2882C49E"/>
    <w:rsid w:val="28BECB53"/>
    <w:rsid w:val="28C0C391"/>
    <w:rsid w:val="28C0EEEC"/>
    <w:rsid w:val="28CA1C75"/>
    <w:rsid w:val="28CA7788"/>
    <w:rsid w:val="28DB23E1"/>
    <w:rsid w:val="28ECA0FE"/>
    <w:rsid w:val="2909FDDD"/>
    <w:rsid w:val="291E0659"/>
    <w:rsid w:val="29283A7A"/>
    <w:rsid w:val="294D5238"/>
    <w:rsid w:val="29573132"/>
    <w:rsid w:val="29602551"/>
    <w:rsid w:val="29778337"/>
    <w:rsid w:val="298CEBF6"/>
    <w:rsid w:val="298F6D80"/>
    <w:rsid w:val="29DEA496"/>
    <w:rsid w:val="29EA41BF"/>
    <w:rsid w:val="29F4BEAE"/>
    <w:rsid w:val="2A0AE935"/>
    <w:rsid w:val="2A0CFB6B"/>
    <w:rsid w:val="2A0F47AE"/>
    <w:rsid w:val="2A2C8E5D"/>
    <w:rsid w:val="2A35E3E7"/>
    <w:rsid w:val="2A3B2082"/>
    <w:rsid w:val="2A4A4572"/>
    <w:rsid w:val="2A6A2D02"/>
    <w:rsid w:val="2A6B94C4"/>
    <w:rsid w:val="2A86C516"/>
    <w:rsid w:val="2A97E6E3"/>
    <w:rsid w:val="2AD34DC0"/>
    <w:rsid w:val="2AE5E4A8"/>
    <w:rsid w:val="2AF301E2"/>
    <w:rsid w:val="2AFD0358"/>
    <w:rsid w:val="2B1C3A89"/>
    <w:rsid w:val="2B4155F3"/>
    <w:rsid w:val="2B41A047"/>
    <w:rsid w:val="2B46AA0E"/>
    <w:rsid w:val="2B51D53A"/>
    <w:rsid w:val="2B580A24"/>
    <w:rsid w:val="2B70D2E8"/>
    <w:rsid w:val="2B723611"/>
    <w:rsid w:val="2B7299D8"/>
    <w:rsid w:val="2B84E362"/>
    <w:rsid w:val="2B8ADD08"/>
    <w:rsid w:val="2B90C350"/>
    <w:rsid w:val="2BAEFB92"/>
    <w:rsid w:val="2C372E13"/>
    <w:rsid w:val="2C3AB457"/>
    <w:rsid w:val="2C46B867"/>
    <w:rsid w:val="2C4C6AD0"/>
    <w:rsid w:val="2C511195"/>
    <w:rsid w:val="2C5821CE"/>
    <w:rsid w:val="2C626B3E"/>
    <w:rsid w:val="2C650BB4"/>
    <w:rsid w:val="2C662857"/>
    <w:rsid w:val="2C6F9686"/>
    <w:rsid w:val="2C77D3D1"/>
    <w:rsid w:val="2CC8EE66"/>
    <w:rsid w:val="2CE01C26"/>
    <w:rsid w:val="2CE81E1F"/>
    <w:rsid w:val="2CE8F3B9"/>
    <w:rsid w:val="2CF5D954"/>
    <w:rsid w:val="2D2B7C54"/>
    <w:rsid w:val="2D2E372B"/>
    <w:rsid w:val="2D311824"/>
    <w:rsid w:val="2D47F348"/>
    <w:rsid w:val="2D592300"/>
    <w:rsid w:val="2D5D9F56"/>
    <w:rsid w:val="2D63A72D"/>
    <w:rsid w:val="2D64A3C9"/>
    <w:rsid w:val="2D6DE996"/>
    <w:rsid w:val="2D86E012"/>
    <w:rsid w:val="2D8AF19F"/>
    <w:rsid w:val="2D9FB045"/>
    <w:rsid w:val="2DA4F7C6"/>
    <w:rsid w:val="2DAE76CC"/>
    <w:rsid w:val="2DB822D7"/>
    <w:rsid w:val="2DCA14BE"/>
    <w:rsid w:val="2DDA4271"/>
    <w:rsid w:val="2DE16A14"/>
    <w:rsid w:val="2DE5EADD"/>
    <w:rsid w:val="2DFABDCF"/>
    <w:rsid w:val="2DFD2E6D"/>
    <w:rsid w:val="2E30324A"/>
    <w:rsid w:val="2E3899EB"/>
    <w:rsid w:val="2E3C2DBE"/>
    <w:rsid w:val="2E720A62"/>
    <w:rsid w:val="2E76C70C"/>
    <w:rsid w:val="2EC6E817"/>
    <w:rsid w:val="2EC76988"/>
    <w:rsid w:val="2EECF90D"/>
    <w:rsid w:val="2EFF58C6"/>
    <w:rsid w:val="2F07D490"/>
    <w:rsid w:val="2F22B815"/>
    <w:rsid w:val="2F303070"/>
    <w:rsid w:val="2F35C4FC"/>
    <w:rsid w:val="2F385368"/>
    <w:rsid w:val="2F3B0494"/>
    <w:rsid w:val="2F685A30"/>
    <w:rsid w:val="2F748228"/>
    <w:rsid w:val="2F8A0D6E"/>
    <w:rsid w:val="2F937159"/>
    <w:rsid w:val="2F9A5508"/>
    <w:rsid w:val="2F9F17B8"/>
    <w:rsid w:val="2FC786EE"/>
    <w:rsid w:val="2FC8D603"/>
    <w:rsid w:val="2FE0F00C"/>
    <w:rsid w:val="2FE91CD3"/>
    <w:rsid w:val="2FFADCC4"/>
    <w:rsid w:val="3003D167"/>
    <w:rsid w:val="3029D0D2"/>
    <w:rsid w:val="302AC5C6"/>
    <w:rsid w:val="305841F1"/>
    <w:rsid w:val="308FA6DD"/>
    <w:rsid w:val="30949D79"/>
    <w:rsid w:val="3096FF9D"/>
    <w:rsid w:val="30A8A2D1"/>
    <w:rsid w:val="30AE8351"/>
    <w:rsid w:val="30D362BD"/>
    <w:rsid w:val="30F2E943"/>
    <w:rsid w:val="311E20FC"/>
    <w:rsid w:val="3126A0A9"/>
    <w:rsid w:val="3140BBB9"/>
    <w:rsid w:val="31439E08"/>
    <w:rsid w:val="31526344"/>
    <w:rsid w:val="316660A2"/>
    <w:rsid w:val="31666E93"/>
    <w:rsid w:val="31928B27"/>
    <w:rsid w:val="31C8E531"/>
    <w:rsid w:val="31CA83A0"/>
    <w:rsid w:val="31D089D4"/>
    <w:rsid w:val="31D856C2"/>
    <w:rsid w:val="31E3C82C"/>
    <w:rsid w:val="31E3CFED"/>
    <w:rsid w:val="31FB4EE4"/>
    <w:rsid w:val="31FC9655"/>
    <w:rsid w:val="322FFBC4"/>
    <w:rsid w:val="32338383"/>
    <w:rsid w:val="324A53B2"/>
    <w:rsid w:val="324B3E34"/>
    <w:rsid w:val="32505134"/>
    <w:rsid w:val="325DB496"/>
    <w:rsid w:val="3285C567"/>
    <w:rsid w:val="32A451B0"/>
    <w:rsid w:val="32A5E39C"/>
    <w:rsid w:val="32B7A0E0"/>
    <w:rsid w:val="32C90340"/>
    <w:rsid w:val="33047D05"/>
    <w:rsid w:val="330E26C5"/>
    <w:rsid w:val="3310BE0A"/>
    <w:rsid w:val="3315F979"/>
    <w:rsid w:val="3357E314"/>
    <w:rsid w:val="339C9B44"/>
    <w:rsid w:val="33A14EB0"/>
    <w:rsid w:val="33CFCA10"/>
    <w:rsid w:val="33D735D7"/>
    <w:rsid w:val="33F2BA50"/>
    <w:rsid w:val="33F617A3"/>
    <w:rsid w:val="342275E3"/>
    <w:rsid w:val="3434831D"/>
    <w:rsid w:val="3455C1BE"/>
    <w:rsid w:val="34A54688"/>
    <w:rsid w:val="34C115C9"/>
    <w:rsid w:val="34CBEE55"/>
    <w:rsid w:val="34D7F0CA"/>
    <w:rsid w:val="34D86718"/>
    <w:rsid w:val="34F7589D"/>
    <w:rsid w:val="35250FEB"/>
    <w:rsid w:val="353E65C1"/>
    <w:rsid w:val="3541C3D2"/>
    <w:rsid w:val="354B3640"/>
    <w:rsid w:val="3559DDD8"/>
    <w:rsid w:val="3578E64E"/>
    <w:rsid w:val="359C57A1"/>
    <w:rsid w:val="359FAE10"/>
    <w:rsid w:val="35E505CA"/>
    <w:rsid w:val="35F6842E"/>
    <w:rsid w:val="362E83BB"/>
    <w:rsid w:val="36332AEF"/>
    <w:rsid w:val="363EE016"/>
    <w:rsid w:val="364E9E98"/>
    <w:rsid w:val="366388AB"/>
    <w:rsid w:val="36663F91"/>
    <w:rsid w:val="3683A174"/>
    <w:rsid w:val="369323D4"/>
    <w:rsid w:val="36986E1F"/>
    <w:rsid w:val="369FA5BB"/>
    <w:rsid w:val="36A8AC30"/>
    <w:rsid w:val="36C9313E"/>
    <w:rsid w:val="36D34BD5"/>
    <w:rsid w:val="36E1BE06"/>
    <w:rsid w:val="36EE00AF"/>
    <w:rsid w:val="370D31A9"/>
    <w:rsid w:val="3735C328"/>
    <w:rsid w:val="373E0036"/>
    <w:rsid w:val="3746583B"/>
    <w:rsid w:val="377CB3EA"/>
    <w:rsid w:val="3792548F"/>
    <w:rsid w:val="37AC0251"/>
    <w:rsid w:val="37B66647"/>
    <w:rsid w:val="37F3E2A7"/>
    <w:rsid w:val="3813B6C7"/>
    <w:rsid w:val="382777B2"/>
    <w:rsid w:val="382BA0B1"/>
    <w:rsid w:val="3836A559"/>
    <w:rsid w:val="38387738"/>
    <w:rsid w:val="3844D88C"/>
    <w:rsid w:val="38478294"/>
    <w:rsid w:val="38547C81"/>
    <w:rsid w:val="38829E7A"/>
    <w:rsid w:val="388A5353"/>
    <w:rsid w:val="38D38413"/>
    <w:rsid w:val="38DE625C"/>
    <w:rsid w:val="38FCD1F0"/>
    <w:rsid w:val="3948916D"/>
    <w:rsid w:val="3967C410"/>
    <w:rsid w:val="39800CE7"/>
    <w:rsid w:val="398FCFA4"/>
    <w:rsid w:val="39A217A5"/>
    <w:rsid w:val="39BCFDD1"/>
    <w:rsid w:val="39BEDB59"/>
    <w:rsid w:val="39E85694"/>
    <w:rsid w:val="39E859BA"/>
    <w:rsid w:val="39EDA79A"/>
    <w:rsid w:val="39F0D229"/>
    <w:rsid w:val="3A197929"/>
    <w:rsid w:val="3A550E6F"/>
    <w:rsid w:val="3A801A11"/>
    <w:rsid w:val="3A840202"/>
    <w:rsid w:val="3A9D599E"/>
    <w:rsid w:val="3AB1AE64"/>
    <w:rsid w:val="3AC1DE6E"/>
    <w:rsid w:val="3AC202F4"/>
    <w:rsid w:val="3AF4287C"/>
    <w:rsid w:val="3AF4C9C6"/>
    <w:rsid w:val="3AFA49F8"/>
    <w:rsid w:val="3B12EA7D"/>
    <w:rsid w:val="3B200E24"/>
    <w:rsid w:val="3B5C6931"/>
    <w:rsid w:val="3B9E34F7"/>
    <w:rsid w:val="3BBBE34B"/>
    <w:rsid w:val="3BCD4959"/>
    <w:rsid w:val="3BCF4FF2"/>
    <w:rsid w:val="3BF6364C"/>
    <w:rsid w:val="3BF80E0D"/>
    <w:rsid w:val="3BFDA066"/>
    <w:rsid w:val="3C0DFDA4"/>
    <w:rsid w:val="3C42472C"/>
    <w:rsid w:val="3CA37473"/>
    <w:rsid w:val="3CD472A2"/>
    <w:rsid w:val="3CE08CC3"/>
    <w:rsid w:val="3D024B10"/>
    <w:rsid w:val="3D216044"/>
    <w:rsid w:val="3D429C7D"/>
    <w:rsid w:val="3D42E976"/>
    <w:rsid w:val="3D57CD73"/>
    <w:rsid w:val="3D58A1C4"/>
    <w:rsid w:val="3D8EA06B"/>
    <w:rsid w:val="3D935EEA"/>
    <w:rsid w:val="3DAE8B7B"/>
    <w:rsid w:val="3DAF447F"/>
    <w:rsid w:val="3DB8B940"/>
    <w:rsid w:val="3DBCF431"/>
    <w:rsid w:val="3DD67429"/>
    <w:rsid w:val="3DDB972B"/>
    <w:rsid w:val="3DE01CC4"/>
    <w:rsid w:val="3E063432"/>
    <w:rsid w:val="3E12F828"/>
    <w:rsid w:val="3E211963"/>
    <w:rsid w:val="3E2A3165"/>
    <w:rsid w:val="3E2E5696"/>
    <w:rsid w:val="3E445514"/>
    <w:rsid w:val="3E4BA6BC"/>
    <w:rsid w:val="3E4C7C37"/>
    <w:rsid w:val="3E59289F"/>
    <w:rsid w:val="3E65F35E"/>
    <w:rsid w:val="3E7B9B26"/>
    <w:rsid w:val="3EA14562"/>
    <w:rsid w:val="3EA8DA3C"/>
    <w:rsid w:val="3EA97C4B"/>
    <w:rsid w:val="3ECA1921"/>
    <w:rsid w:val="3ED34811"/>
    <w:rsid w:val="3EDB9F3E"/>
    <w:rsid w:val="3F09A1B9"/>
    <w:rsid w:val="3F0D40EA"/>
    <w:rsid w:val="3F47A3ED"/>
    <w:rsid w:val="3F4B6810"/>
    <w:rsid w:val="3F63536A"/>
    <w:rsid w:val="3F6793B5"/>
    <w:rsid w:val="3F679A4D"/>
    <w:rsid w:val="3F70B8D3"/>
    <w:rsid w:val="3F7B4428"/>
    <w:rsid w:val="3F8B1FCE"/>
    <w:rsid w:val="3F90E14A"/>
    <w:rsid w:val="3F9305DE"/>
    <w:rsid w:val="3F9533AB"/>
    <w:rsid w:val="3F979463"/>
    <w:rsid w:val="3FAB6C86"/>
    <w:rsid w:val="3FADA462"/>
    <w:rsid w:val="3FB177CF"/>
    <w:rsid w:val="3FBD9FCE"/>
    <w:rsid w:val="3FC4C4EE"/>
    <w:rsid w:val="3FD30A68"/>
    <w:rsid w:val="4003C6B9"/>
    <w:rsid w:val="400AE404"/>
    <w:rsid w:val="400C102C"/>
    <w:rsid w:val="40194D12"/>
    <w:rsid w:val="401F2FDE"/>
    <w:rsid w:val="401FF2B9"/>
    <w:rsid w:val="4021C76D"/>
    <w:rsid w:val="4030A8BD"/>
    <w:rsid w:val="403CBF0D"/>
    <w:rsid w:val="403EEA1C"/>
    <w:rsid w:val="4043BD21"/>
    <w:rsid w:val="4064F01B"/>
    <w:rsid w:val="4067C292"/>
    <w:rsid w:val="40710970"/>
    <w:rsid w:val="40758AD3"/>
    <w:rsid w:val="408809FC"/>
    <w:rsid w:val="40A450E9"/>
    <w:rsid w:val="40AC44EA"/>
    <w:rsid w:val="40C87356"/>
    <w:rsid w:val="40D9E47C"/>
    <w:rsid w:val="40DB1805"/>
    <w:rsid w:val="40EAD6C9"/>
    <w:rsid w:val="40FDE478"/>
    <w:rsid w:val="40FE49C9"/>
    <w:rsid w:val="41009EAC"/>
    <w:rsid w:val="4114B05A"/>
    <w:rsid w:val="41193500"/>
    <w:rsid w:val="41358C41"/>
    <w:rsid w:val="4177D6CF"/>
    <w:rsid w:val="419DF108"/>
    <w:rsid w:val="41A52F6A"/>
    <w:rsid w:val="41BC6177"/>
    <w:rsid w:val="41C09E2A"/>
    <w:rsid w:val="41C14212"/>
    <w:rsid w:val="41CC791E"/>
    <w:rsid w:val="41D1CABC"/>
    <w:rsid w:val="41DB1F83"/>
    <w:rsid w:val="41E92DE2"/>
    <w:rsid w:val="41F28CE4"/>
    <w:rsid w:val="420BA3BA"/>
    <w:rsid w:val="42289FE9"/>
    <w:rsid w:val="4235E471"/>
    <w:rsid w:val="424CFB6B"/>
    <w:rsid w:val="42572CF3"/>
    <w:rsid w:val="426443B7"/>
    <w:rsid w:val="42697292"/>
    <w:rsid w:val="428EDD3A"/>
    <w:rsid w:val="4297CC5F"/>
    <w:rsid w:val="42BA08D7"/>
    <w:rsid w:val="42E22CAC"/>
    <w:rsid w:val="42EC2AC7"/>
    <w:rsid w:val="4304C6FC"/>
    <w:rsid w:val="4304D217"/>
    <w:rsid w:val="4314FF4A"/>
    <w:rsid w:val="432215D7"/>
    <w:rsid w:val="432A981C"/>
    <w:rsid w:val="436E2618"/>
    <w:rsid w:val="4373140F"/>
    <w:rsid w:val="43865DD8"/>
    <w:rsid w:val="43947271"/>
    <w:rsid w:val="439498D5"/>
    <w:rsid w:val="439A0DF8"/>
    <w:rsid w:val="439E2474"/>
    <w:rsid w:val="43AB4950"/>
    <w:rsid w:val="43B852EE"/>
    <w:rsid w:val="43C9B5B3"/>
    <w:rsid w:val="43D4E637"/>
    <w:rsid w:val="43E06ECD"/>
    <w:rsid w:val="43E9C767"/>
    <w:rsid w:val="43F7DAAC"/>
    <w:rsid w:val="4422BBF8"/>
    <w:rsid w:val="442D31D4"/>
    <w:rsid w:val="44339CC0"/>
    <w:rsid w:val="44485D24"/>
    <w:rsid w:val="4449B510"/>
    <w:rsid w:val="444F1C52"/>
    <w:rsid w:val="4461C9D1"/>
    <w:rsid w:val="448831BC"/>
    <w:rsid w:val="449ED972"/>
    <w:rsid w:val="44AD335D"/>
    <w:rsid w:val="44F172B5"/>
    <w:rsid w:val="44FB2C1B"/>
    <w:rsid w:val="4500D0C7"/>
    <w:rsid w:val="45119961"/>
    <w:rsid w:val="4512C045"/>
    <w:rsid w:val="452B6B0C"/>
    <w:rsid w:val="452EADB1"/>
    <w:rsid w:val="455B0342"/>
    <w:rsid w:val="455D50A8"/>
    <w:rsid w:val="457415FD"/>
    <w:rsid w:val="457BAABA"/>
    <w:rsid w:val="4597DAD5"/>
    <w:rsid w:val="45983F7C"/>
    <w:rsid w:val="459F33A4"/>
    <w:rsid w:val="45AC52D0"/>
    <w:rsid w:val="45B1119C"/>
    <w:rsid w:val="45B9B295"/>
    <w:rsid w:val="45DA3C00"/>
    <w:rsid w:val="45DD3872"/>
    <w:rsid w:val="45F2E053"/>
    <w:rsid w:val="4602B169"/>
    <w:rsid w:val="4608B327"/>
    <w:rsid w:val="46111627"/>
    <w:rsid w:val="461E03FF"/>
    <w:rsid w:val="462A6A26"/>
    <w:rsid w:val="4639AD5A"/>
    <w:rsid w:val="463CC6F6"/>
    <w:rsid w:val="464ED5BC"/>
    <w:rsid w:val="46697543"/>
    <w:rsid w:val="466DFF85"/>
    <w:rsid w:val="466F22E2"/>
    <w:rsid w:val="467429C5"/>
    <w:rsid w:val="46ADF9CA"/>
    <w:rsid w:val="46AE90A6"/>
    <w:rsid w:val="46BDDBB9"/>
    <w:rsid w:val="46DF96D8"/>
    <w:rsid w:val="46EAB253"/>
    <w:rsid w:val="46ECFF5A"/>
    <w:rsid w:val="4721BB01"/>
    <w:rsid w:val="47340FDD"/>
    <w:rsid w:val="47548A39"/>
    <w:rsid w:val="4787FAE9"/>
    <w:rsid w:val="478C31A7"/>
    <w:rsid w:val="4791441D"/>
    <w:rsid w:val="47958F54"/>
    <w:rsid w:val="47A22FCF"/>
    <w:rsid w:val="47A6AA21"/>
    <w:rsid w:val="47C49E50"/>
    <w:rsid w:val="47C707B9"/>
    <w:rsid w:val="47CA8F60"/>
    <w:rsid w:val="47DC3F09"/>
    <w:rsid w:val="47E8A98D"/>
    <w:rsid w:val="47EE5CAD"/>
    <w:rsid w:val="47F10F0F"/>
    <w:rsid w:val="480AA984"/>
    <w:rsid w:val="480D6A41"/>
    <w:rsid w:val="482B70B3"/>
    <w:rsid w:val="483C1EAA"/>
    <w:rsid w:val="4843374F"/>
    <w:rsid w:val="4843D2E4"/>
    <w:rsid w:val="48728BD6"/>
    <w:rsid w:val="4882385C"/>
    <w:rsid w:val="48AE3B54"/>
    <w:rsid w:val="48B2CDE0"/>
    <w:rsid w:val="48CF6487"/>
    <w:rsid w:val="49034FD9"/>
    <w:rsid w:val="490E4A66"/>
    <w:rsid w:val="4923AAC1"/>
    <w:rsid w:val="493E42CC"/>
    <w:rsid w:val="49408C05"/>
    <w:rsid w:val="4953C023"/>
    <w:rsid w:val="49554076"/>
    <w:rsid w:val="495559F5"/>
    <w:rsid w:val="497F768B"/>
    <w:rsid w:val="4993AF9A"/>
    <w:rsid w:val="499F8899"/>
    <w:rsid w:val="49A10E7F"/>
    <w:rsid w:val="49CA2137"/>
    <w:rsid w:val="49D3975A"/>
    <w:rsid w:val="49EB5659"/>
    <w:rsid w:val="49FD8B4D"/>
    <w:rsid w:val="4A21EC77"/>
    <w:rsid w:val="4A319518"/>
    <w:rsid w:val="4A55F175"/>
    <w:rsid w:val="4A6741E3"/>
    <w:rsid w:val="4A6C8BFB"/>
    <w:rsid w:val="4A74C9EE"/>
    <w:rsid w:val="4A78D8A2"/>
    <w:rsid w:val="4A807ABD"/>
    <w:rsid w:val="4AC74EBD"/>
    <w:rsid w:val="4ACA39D0"/>
    <w:rsid w:val="4AF77340"/>
    <w:rsid w:val="4B008EBB"/>
    <w:rsid w:val="4B0622CC"/>
    <w:rsid w:val="4B12F4BF"/>
    <w:rsid w:val="4B1D8179"/>
    <w:rsid w:val="4B369636"/>
    <w:rsid w:val="4B5DD0F4"/>
    <w:rsid w:val="4B9080F0"/>
    <w:rsid w:val="4BC6CA3A"/>
    <w:rsid w:val="4BD89026"/>
    <w:rsid w:val="4BE323B6"/>
    <w:rsid w:val="4BF9A292"/>
    <w:rsid w:val="4BF9DDFB"/>
    <w:rsid w:val="4BFD747F"/>
    <w:rsid w:val="4BFDDEB0"/>
    <w:rsid w:val="4C0D6FAA"/>
    <w:rsid w:val="4C3AB8C1"/>
    <w:rsid w:val="4C431EDE"/>
    <w:rsid w:val="4C441A77"/>
    <w:rsid w:val="4C47DA24"/>
    <w:rsid w:val="4C71B656"/>
    <w:rsid w:val="4C7AEB96"/>
    <w:rsid w:val="4C7D7A4C"/>
    <w:rsid w:val="4C8D5077"/>
    <w:rsid w:val="4CB4E5EB"/>
    <w:rsid w:val="4CC76893"/>
    <w:rsid w:val="4CCAA207"/>
    <w:rsid w:val="4CCD27FA"/>
    <w:rsid w:val="4D211620"/>
    <w:rsid w:val="4D25BC57"/>
    <w:rsid w:val="4D3480F7"/>
    <w:rsid w:val="4D58AA09"/>
    <w:rsid w:val="4D59FDD2"/>
    <w:rsid w:val="4D5F4D05"/>
    <w:rsid w:val="4D817ACC"/>
    <w:rsid w:val="4D8E39C8"/>
    <w:rsid w:val="4D924CDD"/>
    <w:rsid w:val="4D9CA4D9"/>
    <w:rsid w:val="4DB9A978"/>
    <w:rsid w:val="4DBC1A38"/>
    <w:rsid w:val="4DCFA3E8"/>
    <w:rsid w:val="4DD67601"/>
    <w:rsid w:val="4DFC9D8B"/>
    <w:rsid w:val="4DFEC650"/>
    <w:rsid w:val="4E0D6A5A"/>
    <w:rsid w:val="4E15EBA5"/>
    <w:rsid w:val="4E37017D"/>
    <w:rsid w:val="4E3D317D"/>
    <w:rsid w:val="4E4A7BD8"/>
    <w:rsid w:val="4E785106"/>
    <w:rsid w:val="4E86B4D9"/>
    <w:rsid w:val="4E8C3EFF"/>
    <w:rsid w:val="4E8CE917"/>
    <w:rsid w:val="4E94DDCB"/>
    <w:rsid w:val="4E9784F8"/>
    <w:rsid w:val="4EACB672"/>
    <w:rsid w:val="4EB12CD1"/>
    <w:rsid w:val="4EC5A6D2"/>
    <w:rsid w:val="4ECE2744"/>
    <w:rsid w:val="4EEA8B9B"/>
    <w:rsid w:val="4EED6264"/>
    <w:rsid w:val="4EEE2670"/>
    <w:rsid w:val="4EF19031"/>
    <w:rsid w:val="4EFE2D6E"/>
    <w:rsid w:val="4F10A2B7"/>
    <w:rsid w:val="4F121E30"/>
    <w:rsid w:val="4F1C879E"/>
    <w:rsid w:val="4F32840F"/>
    <w:rsid w:val="4F352093"/>
    <w:rsid w:val="4F5B21D6"/>
    <w:rsid w:val="4F71C0C2"/>
    <w:rsid w:val="4F9AD6AD"/>
    <w:rsid w:val="4F9DF64F"/>
    <w:rsid w:val="4FA7B2C6"/>
    <w:rsid w:val="4FBB31D2"/>
    <w:rsid w:val="4FD256E5"/>
    <w:rsid w:val="50326567"/>
    <w:rsid w:val="5044F45A"/>
    <w:rsid w:val="504886D3"/>
    <w:rsid w:val="50491208"/>
    <w:rsid w:val="5055C10C"/>
    <w:rsid w:val="505A200F"/>
    <w:rsid w:val="50617733"/>
    <w:rsid w:val="5064DBCA"/>
    <w:rsid w:val="50930EA1"/>
    <w:rsid w:val="509D388C"/>
    <w:rsid w:val="50ADD3DE"/>
    <w:rsid w:val="50AFF370"/>
    <w:rsid w:val="50FABD38"/>
    <w:rsid w:val="51033614"/>
    <w:rsid w:val="5109C7C1"/>
    <w:rsid w:val="510A54F6"/>
    <w:rsid w:val="5111060D"/>
    <w:rsid w:val="511A0D4E"/>
    <w:rsid w:val="512A8CD9"/>
    <w:rsid w:val="514D8C67"/>
    <w:rsid w:val="51563536"/>
    <w:rsid w:val="5179F691"/>
    <w:rsid w:val="51AF6552"/>
    <w:rsid w:val="51E97C32"/>
    <w:rsid w:val="51ECF98A"/>
    <w:rsid w:val="51FF1394"/>
    <w:rsid w:val="51FFA8F5"/>
    <w:rsid w:val="521DCF9C"/>
    <w:rsid w:val="523F375B"/>
    <w:rsid w:val="5245CFE0"/>
    <w:rsid w:val="5257CC0A"/>
    <w:rsid w:val="5265FFB2"/>
    <w:rsid w:val="5272F06F"/>
    <w:rsid w:val="528B42EA"/>
    <w:rsid w:val="529761F2"/>
    <w:rsid w:val="529BA007"/>
    <w:rsid w:val="52C53F76"/>
    <w:rsid w:val="52CFC8DF"/>
    <w:rsid w:val="52DC7AB4"/>
    <w:rsid w:val="52DC87C7"/>
    <w:rsid w:val="52FB824E"/>
    <w:rsid w:val="5310151D"/>
    <w:rsid w:val="531FB267"/>
    <w:rsid w:val="53243D7C"/>
    <w:rsid w:val="532F744C"/>
    <w:rsid w:val="537E40F3"/>
    <w:rsid w:val="538AB64C"/>
    <w:rsid w:val="53977678"/>
    <w:rsid w:val="53AD1E06"/>
    <w:rsid w:val="53AEBE1A"/>
    <w:rsid w:val="53B1C6D0"/>
    <w:rsid w:val="53B5DEF1"/>
    <w:rsid w:val="53FA4EEC"/>
    <w:rsid w:val="54208E29"/>
    <w:rsid w:val="542771C8"/>
    <w:rsid w:val="54293122"/>
    <w:rsid w:val="544B8615"/>
    <w:rsid w:val="5455296C"/>
    <w:rsid w:val="5462AE06"/>
    <w:rsid w:val="546CBB08"/>
    <w:rsid w:val="548663E9"/>
    <w:rsid w:val="548BC041"/>
    <w:rsid w:val="5494DAD3"/>
    <w:rsid w:val="54A556FD"/>
    <w:rsid w:val="54A60776"/>
    <w:rsid w:val="54AE874D"/>
    <w:rsid w:val="54B7DE3A"/>
    <w:rsid w:val="54CED064"/>
    <w:rsid w:val="54F97020"/>
    <w:rsid w:val="5502932B"/>
    <w:rsid w:val="551CF415"/>
    <w:rsid w:val="553532C4"/>
    <w:rsid w:val="55399B21"/>
    <w:rsid w:val="553E2E56"/>
    <w:rsid w:val="5554477F"/>
    <w:rsid w:val="555C7DD5"/>
    <w:rsid w:val="557ED2F2"/>
    <w:rsid w:val="5582B332"/>
    <w:rsid w:val="558C9BB9"/>
    <w:rsid w:val="558E4B78"/>
    <w:rsid w:val="559C1385"/>
    <w:rsid w:val="55ABE14E"/>
    <w:rsid w:val="55B603B3"/>
    <w:rsid w:val="55C50183"/>
    <w:rsid w:val="55CF1387"/>
    <w:rsid w:val="55DDF8EA"/>
    <w:rsid w:val="55DE9C0F"/>
    <w:rsid w:val="55EB3A9E"/>
    <w:rsid w:val="55EEF118"/>
    <w:rsid w:val="55F490EF"/>
    <w:rsid w:val="55FBC48C"/>
    <w:rsid w:val="561BD2F2"/>
    <w:rsid w:val="562FEC85"/>
    <w:rsid w:val="564F6D14"/>
    <w:rsid w:val="565A1162"/>
    <w:rsid w:val="5662ACD7"/>
    <w:rsid w:val="56913363"/>
    <w:rsid w:val="56A3D1FA"/>
    <w:rsid w:val="56A7ABD1"/>
    <w:rsid w:val="56E6EFEE"/>
    <w:rsid w:val="56F83E56"/>
    <w:rsid w:val="56FEB6D4"/>
    <w:rsid w:val="570A18C7"/>
    <w:rsid w:val="573DA25E"/>
    <w:rsid w:val="57491D40"/>
    <w:rsid w:val="574F97F2"/>
    <w:rsid w:val="5750CC74"/>
    <w:rsid w:val="5751D414"/>
    <w:rsid w:val="575C324C"/>
    <w:rsid w:val="576BCC96"/>
    <w:rsid w:val="576EE880"/>
    <w:rsid w:val="5789E023"/>
    <w:rsid w:val="57947202"/>
    <w:rsid w:val="579D73D7"/>
    <w:rsid w:val="57A98C7B"/>
    <w:rsid w:val="57B8D745"/>
    <w:rsid w:val="57D5998C"/>
    <w:rsid w:val="57DCC33C"/>
    <w:rsid w:val="57F1294B"/>
    <w:rsid w:val="5810B2DC"/>
    <w:rsid w:val="5822D1F8"/>
    <w:rsid w:val="584BCEF3"/>
    <w:rsid w:val="58539DCE"/>
    <w:rsid w:val="5870302E"/>
    <w:rsid w:val="5873C955"/>
    <w:rsid w:val="587C7221"/>
    <w:rsid w:val="588315D3"/>
    <w:rsid w:val="58A74645"/>
    <w:rsid w:val="58BDBD3C"/>
    <w:rsid w:val="58C4BAA7"/>
    <w:rsid w:val="58D9C553"/>
    <w:rsid w:val="58DF9E8A"/>
    <w:rsid w:val="58E021C9"/>
    <w:rsid w:val="590844B9"/>
    <w:rsid w:val="593B1F67"/>
    <w:rsid w:val="593C5782"/>
    <w:rsid w:val="593F503E"/>
    <w:rsid w:val="59430C8E"/>
    <w:rsid w:val="59475BAB"/>
    <w:rsid w:val="596EFB76"/>
    <w:rsid w:val="5979AF71"/>
    <w:rsid w:val="598FAB9E"/>
    <w:rsid w:val="59A11204"/>
    <w:rsid w:val="59AB0470"/>
    <w:rsid w:val="59B6FF64"/>
    <w:rsid w:val="59D1150D"/>
    <w:rsid w:val="59DCE7AE"/>
    <w:rsid w:val="59DF0082"/>
    <w:rsid w:val="59F06538"/>
    <w:rsid w:val="59F55D4C"/>
    <w:rsid w:val="5A0BD7BB"/>
    <w:rsid w:val="5A0E474E"/>
    <w:rsid w:val="5A28B557"/>
    <w:rsid w:val="5A4C613F"/>
    <w:rsid w:val="5A4FC949"/>
    <w:rsid w:val="5A5EFEFA"/>
    <w:rsid w:val="5A8A3293"/>
    <w:rsid w:val="5A981D7F"/>
    <w:rsid w:val="5A98939B"/>
    <w:rsid w:val="5AA322B3"/>
    <w:rsid w:val="5ABCC219"/>
    <w:rsid w:val="5ACCC37D"/>
    <w:rsid w:val="5AD7DCB3"/>
    <w:rsid w:val="5ADF94A4"/>
    <w:rsid w:val="5AED8C3A"/>
    <w:rsid w:val="5B3D8EFA"/>
    <w:rsid w:val="5B52542B"/>
    <w:rsid w:val="5B660846"/>
    <w:rsid w:val="5B86E3B8"/>
    <w:rsid w:val="5B8EE801"/>
    <w:rsid w:val="5B9056BE"/>
    <w:rsid w:val="5B92D477"/>
    <w:rsid w:val="5BB0DB58"/>
    <w:rsid w:val="5BC1C9B5"/>
    <w:rsid w:val="5BC23494"/>
    <w:rsid w:val="5BCD9712"/>
    <w:rsid w:val="5BFAD0F0"/>
    <w:rsid w:val="5BFFD035"/>
    <w:rsid w:val="5C081B4B"/>
    <w:rsid w:val="5C182732"/>
    <w:rsid w:val="5C21ECCA"/>
    <w:rsid w:val="5C286A07"/>
    <w:rsid w:val="5C37BA7E"/>
    <w:rsid w:val="5C3C0C76"/>
    <w:rsid w:val="5C5A9AC2"/>
    <w:rsid w:val="5C79C365"/>
    <w:rsid w:val="5C7B9D8F"/>
    <w:rsid w:val="5C8486E7"/>
    <w:rsid w:val="5CC8AE60"/>
    <w:rsid w:val="5CFBE45D"/>
    <w:rsid w:val="5D0300DD"/>
    <w:rsid w:val="5D1930AB"/>
    <w:rsid w:val="5D67089C"/>
    <w:rsid w:val="5D73EDB1"/>
    <w:rsid w:val="5D767D0B"/>
    <w:rsid w:val="5D9C72BD"/>
    <w:rsid w:val="5DED903C"/>
    <w:rsid w:val="5E0F339C"/>
    <w:rsid w:val="5E1381B4"/>
    <w:rsid w:val="5E1D3530"/>
    <w:rsid w:val="5E3EF180"/>
    <w:rsid w:val="5E477745"/>
    <w:rsid w:val="5E4E1630"/>
    <w:rsid w:val="5E5B08E2"/>
    <w:rsid w:val="5E5DF0FD"/>
    <w:rsid w:val="5E7FC8BF"/>
    <w:rsid w:val="5E9B9A9D"/>
    <w:rsid w:val="5EA355CC"/>
    <w:rsid w:val="5EB1F7C9"/>
    <w:rsid w:val="5EB7CD84"/>
    <w:rsid w:val="5EBDE77A"/>
    <w:rsid w:val="5EC3D65B"/>
    <w:rsid w:val="5EC93832"/>
    <w:rsid w:val="5EDC1BA3"/>
    <w:rsid w:val="5EDE6AFB"/>
    <w:rsid w:val="5EE5F615"/>
    <w:rsid w:val="5EEAC687"/>
    <w:rsid w:val="5EF1717C"/>
    <w:rsid w:val="5EFBBABE"/>
    <w:rsid w:val="5F13A813"/>
    <w:rsid w:val="5F43F0D8"/>
    <w:rsid w:val="5F5A527E"/>
    <w:rsid w:val="5F5B8D6B"/>
    <w:rsid w:val="5F5EFF10"/>
    <w:rsid w:val="5F60F306"/>
    <w:rsid w:val="5F792778"/>
    <w:rsid w:val="5F7FC664"/>
    <w:rsid w:val="5F865A5A"/>
    <w:rsid w:val="5FAEAEF9"/>
    <w:rsid w:val="5FC2A7FD"/>
    <w:rsid w:val="5FD2B9E9"/>
    <w:rsid w:val="5FDAC1E1"/>
    <w:rsid w:val="5FEB18DD"/>
    <w:rsid w:val="5FEC1823"/>
    <w:rsid w:val="5FEDCFAC"/>
    <w:rsid w:val="5FFC3B30"/>
    <w:rsid w:val="6029B3F1"/>
    <w:rsid w:val="602CB2B6"/>
    <w:rsid w:val="60374E79"/>
    <w:rsid w:val="60383886"/>
    <w:rsid w:val="603C4F15"/>
    <w:rsid w:val="604281A0"/>
    <w:rsid w:val="6044ECFC"/>
    <w:rsid w:val="60511F88"/>
    <w:rsid w:val="6069FB0F"/>
    <w:rsid w:val="60854797"/>
    <w:rsid w:val="60953AD8"/>
    <w:rsid w:val="609F0461"/>
    <w:rsid w:val="60AB6DDA"/>
    <w:rsid w:val="60CC37C7"/>
    <w:rsid w:val="6113569E"/>
    <w:rsid w:val="612C92AC"/>
    <w:rsid w:val="616B5DF0"/>
    <w:rsid w:val="61769242"/>
    <w:rsid w:val="6187E884"/>
    <w:rsid w:val="6190B581"/>
    <w:rsid w:val="61A129D4"/>
    <w:rsid w:val="61B2CB70"/>
    <w:rsid w:val="61B65FF1"/>
    <w:rsid w:val="61CFE326"/>
    <w:rsid w:val="61D1D7A1"/>
    <w:rsid w:val="61EC81DF"/>
    <w:rsid w:val="621A59FE"/>
    <w:rsid w:val="6220B93A"/>
    <w:rsid w:val="6250ACC4"/>
    <w:rsid w:val="62577324"/>
    <w:rsid w:val="6281B446"/>
    <w:rsid w:val="62946E32"/>
    <w:rsid w:val="6295A3B3"/>
    <w:rsid w:val="62AA7DBC"/>
    <w:rsid w:val="62AE157F"/>
    <w:rsid w:val="62C6A19C"/>
    <w:rsid w:val="62E159CF"/>
    <w:rsid w:val="62E4B73E"/>
    <w:rsid w:val="62E905E6"/>
    <w:rsid w:val="62F11211"/>
    <w:rsid w:val="62F3AE9A"/>
    <w:rsid w:val="62F53EBB"/>
    <w:rsid w:val="63072E51"/>
    <w:rsid w:val="6328B6F4"/>
    <w:rsid w:val="634F4F61"/>
    <w:rsid w:val="635EB067"/>
    <w:rsid w:val="6377C808"/>
    <w:rsid w:val="63963983"/>
    <w:rsid w:val="63991EB8"/>
    <w:rsid w:val="63B4EEC5"/>
    <w:rsid w:val="63D9DB61"/>
    <w:rsid w:val="63DA1B28"/>
    <w:rsid w:val="63E8C0B3"/>
    <w:rsid w:val="6418877A"/>
    <w:rsid w:val="6429CD92"/>
    <w:rsid w:val="643BA4D6"/>
    <w:rsid w:val="64474272"/>
    <w:rsid w:val="64554A77"/>
    <w:rsid w:val="6458AEC3"/>
    <w:rsid w:val="64629ECB"/>
    <w:rsid w:val="6473A921"/>
    <w:rsid w:val="64844DB6"/>
    <w:rsid w:val="648A6384"/>
    <w:rsid w:val="64AA4E5A"/>
    <w:rsid w:val="64B54A1B"/>
    <w:rsid w:val="650C727A"/>
    <w:rsid w:val="651B368B"/>
    <w:rsid w:val="6523A777"/>
    <w:rsid w:val="65264C1F"/>
    <w:rsid w:val="653073D9"/>
    <w:rsid w:val="6555F223"/>
    <w:rsid w:val="656FDE8D"/>
    <w:rsid w:val="658F169E"/>
    <w:rsid w:val="65A70705"/>
    <w:rsid w:val="65CC0EF4"/>
    <w:rsid w:val="65DC8847"/>
    <w:rsid w:val="65F10181"/>
    <w:rsid w:val="65F343D1"/>
    <w:rsid w:val="66081A24"/>
    <w:rsid w:val="660D0C32"/>
    <w:rsid w:val="66163853"/>
    <w:rsid w:val="661CC9E7"/>
    <w:rsid w:val="66784CA7"/>
    <w:rsid w:val="668EEED4"/>
    <w:rsid w:val="66AC505A"/>
    <w:rsid w:val="66B1A492"/>
    <w:rsid w:val="66DA6D18"/>
    <w:rsid w:val="66E2AFAA"/>
    <w:rsid w:val="66EF9A5C"/>
    <w:rsid w:val="66FE6F68"/>
    <w:rsid w:val="670F0DD3"/>
    <w:rsid w:val="671241F3"/>
    <w:rsid w:val="67202BC0"/>
    <w:rsid w:val="67206175"/>
    <w:rsid w:val="67227719"/>
    <w:rsid w:val="67575A5B"/>
    <w:rsid w:val="6766F993"/>
    <w:rsid w:val="676C196C"/>
    <w:rsid w:val="678F47B1"/>
    <w:rsid w:val="67A46591"/>
    <w:rsid w:val="67B26AD0"/>
    <w:rsid w:val="67C13E2A"/>
    <w:rsid w:val="67C31CBE"/>
    <w:rsid w:val="67F8799C"/>
    <w:rsid w:val="67F9C616"/>
    <w:rsid w:val="680073CC"/>
    <w:rsid w:val="680D97BC"/>
    <w:rsid w:val="680E8D66"/>
    <w:rsid w:val="68340381"/>
    <w:rsid w:val="6836195B"/>
    <w:rsid w:val="687404CB"/>
    <w:rsid w:val="68CCFC48"/>
    <w:rsid w:val="68D78BFB"/>
    <w:rsid w:val="68D9EB70"/>
    <w:rsid w:val="6902FEF1"/>
    <w:rsid w:val="691103C0"/>
    <w:rsid w:val="6924A3DB"/>
    <w:rsid w:val="697581CF"/>
    <w:rsid w:val="697E14B9"/>
    <w:rsid w:val="6991460F"/>
    <w:rsid w:val="69C5BA62"/>
    <w:rsid w:val="69C957BC"/>
    <w:rsid w:val="69D23F5A"/>
    <w:rsid w:val="6A01E96A"/>
    <w:rsid w:val="6A068902"/>
    <w:rsid w:val="6A125D4C"/>
    <w:rsid w:val="6A33F810"/>
    <w:rsid w:val="6A434058"/>
    <w:rsid w:val="6A4475AD"/>
    <w:rsid w:val="6A4752EC"/>
    <w:rsid w:val="6A4D9A5F"/>
    <w:rsid w:val="6A628509"/>
    <w:rsid w:val="6A83FEED"/>
    <w:rsid w:val="6A86BD5C"/>
    <w:rsid w:val="6A8ACF96"/>
    <w:rsid w:val="6A8D4921"/>
    <w:rsid w:val="6AB2D523"/>
    <w:rsid w:val="6AC465F4"/>
    <w:rsid w:val="6AC691B8"/>
    <w:rsid w:val="6ADF229D"/>
    <w:rsid w:val="6AE0F156"/>
    <w:rsid w:val="6B211087"/>
    <w:rsid w:val="6B41E94E"/>
    <w:rsid w:val="6B500636"/>
    <w:rsid w:val="6B5691D4"/>
    <w:rsid w:val="6B5A6C6C"/>
    <w:rsid w:val="6B65E852"/>
    <w:rsid w:val="6B6C51FF"/>
    <w:rsid w:val="6B7E2AA6"/>
    <w:rsid w:val="6B91675A"/>
    <w:rsid w:val="6BA01F69"/>
    <w:rsid w:val="6BB0CF6E"/>
    <w:rsid w:val="6BB1ADF4"/>
    <w:rsid w:val="6BB8A783"/>
    <w:rsid w:val="6BC8CB20"/>
    <w:rsid w:val="6BD748D4"/>
    <w:rsid w:val="6C191BF6"/>
    <w:rsid w:val="6C46B213"/>
    <w:rsid w:val="6C489174"/>
    <w:rsid w:val="6C54E353"/>
    <w:rsid w:val="6C554910"/>
    <w:rsid w:val="6CA2A7E5"/>
    <w:rsid w:val="6CBC2847"/>
    <w:rsid w:val="6CCB581F"/>
    <w:rsid w:val="6CEFEFF9"/>
    <w:rsid w:val="6D03731E"/>
    <w:rsid w:val="6D181537"/>
    <w:rsid w:val="6D1D6C58"/>
    <w:rsid w:val="6D2F4C95"/>
    <w:rsid w:val="6D4037F3"/>
    <w:rsid w:val="6D428AF6"/>
    <w:rsid w:val="6D4D7E55"/>
    <w:rsid w:val="6D6173A3"/>
    <w:rsid w:val="6D6D3853"/>
    <w:rsid w:val="6DC20953"/>
    <w:rsid w:val="6DC6FB46"/>
    <w:rsid w:val="6DDD3EB6"/>
    <w:rsid w:val="6DE40A99"/>
    <w:rsid w:val="6DE4C5A6"/>
    <w:rsid w:val="6DF87ECD"/>
    <w:rsid w:val="6E0A7F4C"/>
    <w:rsid w:val="6E15E199"/>
    <w:rsid w:val="6E25B63B"/>
    <w:rsid w:val="6E27925F"/>
    <w:rsid w:val="6E31E84E"/>
    <w:rsid w:val="6E35CBC3"/>
    <w:rsid w:val="6E466C97"/>
    <w:rsid w:val="6E4D8583"/>
    <w:rsid w:val="6E69B254"/>
    <w:rsid w:val="6E6AC367"/>
    <w:rsid w:val="6EF0A885"/>
    <w:rsid w:val="6EF33B78"/>
    <w:rsid w:val="6EF5CFFF"/>
    <w:rsid w:val="6F3E4BE3"/>
    <w:rsid w:val="6F62342F"/>
    <w:rsid w:val="6F74E3F8"/>
    <w:rsid w:val="6F9DC600"/>
    <w:rsid w:val="6F9EE848"/>
    <w:rsid w:val="6F9FDB4B"/>
    <w:rsid w:val="6FC05054"/>
    <w:rsid w:val="70035FA6"/>
    <w:rsid w:val="7004903E"/>
    <w:rsid w:val="7020E496"/>
    <w:rsid w:val="706023F0"/>
    <w:rsid w:val="707DB80C"/>
    <w:rsid w:val="707FFA5C"/>
    <w:rsid w:val="708C78E6"/>
    <w:rsid w:val="709B0444"/>
    <w:rsid w:val="70A152F2"/>
    <w:rsid w:val="70A312AD"/>
    <w:rsid w:val="70C392BB"/>
    <w:rsid w:val="70E88E2F"/>
    <w:rsid w:val="70FEB5B4"/>
    <w:rsid w:val="711613BF"/>
    <w:rsid w:val="71172CBB"/>
    <w:rsid w:val="713024A4"/>
    <w:rsid w:val="71501EF6"/>
    <w:rsid w:val="715A5D74"/>
    <w:rsid w:val="7169C937"/>
    <w:rsid w:val="7170C87D"/>
    <w:rsid w:val="71738DAF"/>
    <w:rsid w:val="71742089"/>
    <w:rsid w:val="7183B609"/>
    <w:rsid w:val="71929BB8"/>
    <w:rsid w:val="71A7612B"/>
    <w:rsid w:val="71BED4BC"/>
    <w:rsid w:val="71FD0E0D"/>
    <w:rsid w:val="720E59B7"/>
    <w:rsid w:val="72155ED6"/>
    <w:rsid w:val="7221DEA7"/>
    <w:rsid w:val="722E6C74"/>
    <w:rsid w:val="725C5EE7"/>
    <w:rsid w:val="725F9240"/>
    <w:rsid w:val="7267CBA1"/>
    <w:rsid w:val="72738F5B"/>
    <w:rsid w:val="7276771E"/>
    <w:rsid w:val="727F1391"/>
    <w:rsid w:val="7295AA53"/>
    <w:rsid w:val="72B5A389"/>
    <w:rsid w:val="72C1DA48"/>
    <w:rsid w:val="72D8443B"/>
    <w:rsid w:val="72EE66F3"/>
    <w:rsid w:val="7362F810"/>
    <w:rsid w:val="73A93552"/>
    <w:rsid w:val="73AE7BA8"/>
    <w:rsid w:val="73DEDDD5"/>
    <w:rsid w:val="73E2B87E"/>
    <w:rsid w:val="73E555A1"/>
    <w:rsid w:val="73F0235A"/>
    <w:rsid w:val="73F8F4BD"/>
    <w:rsid w:val="73FFB67A"/>
    <w:rsid w:val="740635B6"/>
    <w:rsid w:val="742F6F48"/>
    <w:rsid w:val="7450EDCD"/>
    <w:rsid w:val="74602CCA"/>
    <w:rsid w:val="7474BB7F"/>
    <w:rsid w:val="7476D684"/>
    <w:rsid w:val="7487A087"/>
    <w:rsid w:val="7493BC8C"/>
    <w:rsid w:val="74A08BCC"/>
    <w:rsid w:val="74AA6F7B"/>
    <w:rsid w:val="74B2FB7A"/>
    <w:rsid w:val="74C64F27"/>
    <w:rsid w:val="74C7BFD3"/>
    <w:rsid w:val="74EB5AAB"/>
    <w:rsid w:val="74FEC871"/>
    <w:rsid w:val="7519871D"/>
    <w:rsid w:val="752A573C"/>
    <w:rsid w:val="7556AF9C"/>
    <w:rsid w:val="757C036C"/>
    <w:rsid w:val="7586E807"/>
    <w:rsid w:val="758DAF82"/>
    <w:rsid w:val="7593AB73"/>
    <w:rsid w:val="75A68A36"/>
    <w:rsid w:val="75A9DD9F"/>
    <w:rsid w:val="75B2E48A"/>
    <w:rsid w:val="75C595F2"/>
    <w:rsid w:val="75F50984"/>
    <w:rsid w:val="763B3DF5"/>
    <w:rsid w:val="764FAD9C"/>
    <w:rsid w:val="765B84AE"/>
    <w:rsid w:val="766D6530"/>
    <w:rsid w:val="769A98D2"/>
    <w:rsid w:val="76AB8D32"/>
    <w:rsid w:val="76C11FD8"/>
    <w:rsid w:val="76ED383D"/>
    <w:rsid w:val="76F2A15B"/>
    <w:rsid w:val="76F54AC2"/>
    <w:rsid w:val="76FAF255"/>
    <w:rsid w:val="76FB3241"/>
    <w:rsid w:val="7708F527"/>
    <w:rsid w:val="773D355E"/>
    <w:rsid w:val="7749C19D"/>
    <w:rsid w:val="776DFFA4"/>
    <w:rsid w:val="77A6096E"/>
    <w:rsid w:val="77AF418F"/>
    <w:rsid w:val="77BD497D"/>
    <w:rsid w:val="77C3396B"/>
    <w:rsid w:val="77E63084"/>
    <w:rsid w:val="77EF7DCA"/>
    <w:rsid w:val="7804E16C"/>
    <w:rsid w:val="78104E66"/>
    <w:rsid w:val="78138D1A"/>
    <w:rsid w:val="7826C4AB"/>
    <w:rsid w:val="782883D4"/>
    <w:rsid w:val="78361B9A"/>
    <w:rsid w:val="7837E707"/>
    <w:rsid w:val="783C41F0"/>
    <w:rsid w:val="7851AFD1"/>
    <w:rsid w:val="785C074E"/>
    <w:rsid w:val="785FF48C"/>
    <w:rsid w:val="78696F92"/>
    <w:rsid w:val="78925A7B"/>
    <w:rsid w:val="789C66AF"/>
    <w:rsid w:val="78A35B0B"/>
    <w:rsid w:val="78F4FADF"/>
    <w:rsid w:val="78F6F379"/>
    <w:rsid w:val="79083E9A"/>
    <w:rsid w:val="79096EEF"/>
    <w:rsid w:val="790C0C8E"/>
    <w:rsid w:val="791C4F8F"/>
    <w:rsid w:val="79223EA0"/>
    <w:rsid w:val="795B11AA"/>
    <w:rsid w:val="797E8FB6"/>
    <w:rsid w:val="797F1A87"/>
    <w:rsid w:val="79A05DC8"/>
    <w:rsid w:val="79B8A9C8"/>
    <w:rsid w:val="79FEE307"/>
    <w:rsid w:val="7A0E03B9"/>
    <w:rsid w:val="7A41A9A4"/>
    <w:rsid w:val="7A5ABD37"/>
    <w:rsid w:val="7A61ADA3"/>
    <w:rsid w:val="7A6F9178"/>
    <w:rsid w:val="7A813354"/>
    <w:rsid w:val="7A84CE10"/>
    <w:rsid w:val="7A855951"/>
    <w:rsid w:val="7A900481"/>
    <w:rsid w:val="7A93E35D"/>
    <w:rsid w:val="7A951CD2"/>
    <w:rsid w:val="7A9DF837"/>
    <w:rsid w:val="7A9F7F87"/>
    <w:rsid w:val="7ABA49EB"/>
    <w:rsid w:val="7AD70840"/>
    <w:rsid w:val="7AE877AC"/>
    <w:rsid w:val="7B1A6FF5"/>
    <w:rsid w:val="7B20CB4B"/>
    <w:rsid w:val="7B23D780"/>
    <w:rsid w:val="7B2C04FB"/>
    <w:rsid w:val="7B438B32"/>
    <w:rsid w:val="7B5C9EEF"/>
    <w:rsid w:val="7B6E4238"/>
    <w:rsid w:val="7B7818CB"/>
    <w:rsid w:val="7BBF4740"/>
    <w:rsid w:val="7BC7BFC6"/>
    <w:rsid w:val="7BD1198F"/>
    <w:rsid w:val="7BE7182E"/>
    <w:rsid w:val="7C0E7CD1"/>
    <w:rsid w:val="7C264425"/>
    <w:rsid w:val="7C2B77A5"/>
    <w:rsid w:val="7C6128C8"/>
    <w:rsid w:val="7C6330CF"/>
    <w:rsid w:val="7C635FF1"/>
    <w:rsid w:val="7C748E37"/>
    <w:rsid w:val="7C83AED1"/>
    <w:rsid w:val="7CAB7F89"/>
    <w:rsid w:val="7CC3CC30"/>
    <w:rsid w:val="7CD3E4D4"/>
    <w:rsid w:val="7CD46E8D"/>
    <w:rsid w:val="7CE2347C"/>
    <w:rsid w:val="7CE51D2F"/>
    <w:rsid w:val="7CF19415"/>
    <w:rsid w:val="7CF1ADFA"/>
    <w:rsid w:val="7CFDED49"/>
    <w:rsid w:val="7D083EA3"/>
    <w:rsid w:val="7D1124FE"/>
    <w:rsid w:val="7D148122"/>
    <w:rsid w:val="7D344060"/>
    <w:rsid w:val="7D387869"/>
    <w:rsid w:val="7D466CB6"/>
    <w:rsid w:val="7D792EBA"/>
    <w:rsid w:val="7D837DE7"/>
    <w:rsid w:val="7DA3F20C"/>
    <w:rsid w:val="7DB6FF66"/>
    <w:rsid w:val="7DBE99DE"/>
    <w:rsid w:val="7DCF0CBA"/>
    <w:rsid w:val="7DDC6F6E"/>
    <w:rsid w:val="7DDF7EDC"/>
    <w:rsid w:val="7E0102D9"/>
    <w:rsid w:val="7E06A2B2"/>
    <w:rsid w:val="7E0EC9C5"/>
    <w:rsid w:val="7E1850E7"/>
    <w:rsid w:val="7E21E892"/>
    <w:rsid w:val="7E2F9D27"/>
    <w:rsid w:val="7E499D7C"/>
    <w:rsid w:val="7E779D09"/>
    <w:rsid w:val="7E8B8020"/>
    <w:rsid w:val="7EA099D1"/>
    <w:rsid w:val="7EB16969"/>
    <w:rsid w:val="7EB4366A"/>
    <w:rsid w:val="7EC1C74D"/>
    <w:rsid w:val="7EC2AF9A"/>
    <w:rsid w:val="7EE32394"/>
    <w:rsid w:val="7EF43956"/>
    <w:rsid w:val="7EF86310"/>
    <w:rsid w:val="7F008F78"/>
    <w:rsid w:val="7F050802"/>
    <w:rsid w:val="7F11290A"/>
    <w:rsid w:val="7F182845"/>
    <w:rsid w:val="7F44FAE8"/>
    <w:rsid w:val="7F691560"/>
    <w:rsid w:val="7F95BBA1"/>
    <w:rsid w:val="7FB9D522"/>
    <w:rsid w:val="7FCD7A5C"/>
    <w:rsid w:val="7FDC5D97"/>
    <w:rsid w:val="7FE86192"/>
    <w:rsid w:val="7FED064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5D12A8"/>
  <w15:docId w15:val="{C05CB9BE-F146-4F06-A95D-5102199BC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4"/>
        <w:lang w:val="en-AU"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semiHidden="1" w:qFormat="1"/>
    <w:lsdException w:name="heading 7" w:semiHidden="1" w:qFormat="1"/>
    <w:lsdException w:name="heading 8" w:semiHidden="1" w:qFormat="1"/>
    <w:lsdException w:name="heading 9" w:uiPriority="12"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toc 4" w:uiPriority="39"/>
    <w:lsdException w:name="toc 5" w:uiPriority="39"/>
    <w:lsdException w:name="toc 6" w:uiPriority="39"/>
    <w:lsdException w:name="toc 7" w:semiHidden="1" w:uiPriority="39"/>
    <w:lsdException w:name="toc 8" w:uiPriority="39"/>
    <w:lsdException w:name="toc 9" w:semiHidden="1" w:uiPriority="39"/>
    <w:lsdException w:name="Normal Indent" w:semiHidden="1" w:uiPriority="0" w:qFormat="1"/>
    <w:lsdException w:name="footnote text" w:semiHidden="1" w:uiPriority="0" w:qFormat="1"/>
    <w:lsdException w:name="annotation text" w:semiHidden="1" w:unhideWhenUsed="1"/>
    <w:lsdException w:name="footer" w:uiPriority="13"/>
    <w:lsdException w:name="index heading" w:semiHidden="1"/>
    <w:lsdException w:name="caption" w:uiPriority="35" w:qFormat="1"/>
    <w:lsdException w:name="table of figures" w:semiHidden="1" w:unhideWhenUsed="1"/>
    <w:lsdException w:name="envelope address" w:semiHidden="1"/>
    <w:lsdException w:name="envelope return" w:semiHidden="1"/>
    <w:lsdException w:name="footnote reference" w:semiHidden="1" w:qFormat="1"/>
    <w:lsdException w:name="annotation reference" w:semiHidden="1" w:unhideWhenUsed="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uiPriority="1" w:qFormat="1"/>
    <w:lsdException w:name="List Number" w:uiPriority="2" w:qFormat="1"/>
    <w:lsdException w:name="List 2" w:semiHidden="1"/>
    <w:lsdException w:name="List 3" w:semiHidden="1"/>
    <w:lsdException w:name="List 4" w:semiHidden="1"/>
    <w:lsdException w:name="List 5" w:semiHidden="1"/>
    <w:lsdException w:name="List Bullet 2" w:uiPriority="19"/>
    <w:lsdException w:name="List Bullet 3" w:uiPriority="19"/>
    <w:lsdException w:name="List Bullet 4" w:uiPriority="19"/>
    <w:lsdException w:name="List Bullet 5" w:uiPriority="19"/>
    <w:lsdException w:name="List Number 2" w:uiPriority="19"/>
    <w:lsdException w:name="List Number 3" w:uiPriority="19"/>
    <w:lsdException w:name="List Number 4" w:uiPriority="19"/>
    <w:lsdException w:name="List Number 5" w:uiPriority="19"/>
    <w:lsdException w:name="Title" w:uiPriority="10" w:qFormat="1"/>
    <w:lsdException w:name="Closing" w:semiHidden="1"/>
    <w:lsdException w:name="Signature" w:semiHidden="1"/>
    <w:lsdException w:name="Default Paragraph Font" w:semiHidden="1" w:uiPriority="1" w:unhideWhenUsed="1"/>
    <w:lsdException w:name="Body Text"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unhideWhenUsed="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uiPriority="15"/>
    <w:lsdException w:name="Strong"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8"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unhideWhenUsed="1"/>
    <w:lsdException w:name="Smart Link" w:semiHidden="1"/>
  </w:latentStyles>
  <w:style w:type="paragraph" w:default="1" w:styleId="Normal">
    <w:name w:val="Normal"/>
    <w:uiPriority w:val="2"/>
    <w:qFormat/>
    <w:rsid w:val="004D1594"/>
  </w:style>
  <w:style w:type="paragraph" w:styleId="Heading1">
    <w:name w:val="heading 1"/>
    <w:basedOn w:val="Normal"/>
    <w:next w:val="BodyText"/>
    <w:link w:val="Heading1Char"/>
    <w:uiPriority w:val="2"/>
    <w:qFormat/>
    <w:rsid w:val="00D11C2D"/>
    <w:pPr>
      <w:pageBreakBefore/>
      <w:spacing w:after="480"/>
      <w:outlineLvl w:val="0"/>
    </w:pPr>
    <w:rPr>
      <w:rFonts w:asciiTheme="minorHAnsi" w:eastAsiaTheme="majorEastAsia" w:hAnsiTheme="minorHAnsi" w:cstheme="majorBidi"/>
      <w:b/>
      <w:noProof/>
      <w:color w:val="0075E3" w:themeColor="accent1"/>
      <w:sz w:val="44"/>
      <w:szCs w:val="44"/>
    </w:rPr>
  </w:style>
  <w:style w:type="paragraph" w:styleId="Heading2">
    <w:name w:val="heading 2"/>
    <w:basedOn w:val="Normal"/>
    <w:next w:val="BodyText"/>
    <w:link w:val="Heading2Char"/>
    <w:uiPriority w:val="2"/>
    <w:qFormat/>
    <w:rsid w:val="00E45C77"/>
    <w:pPr>
      <w:keepNext/>
      <w:keepLines/>
      <w:outlineLvl w:val="1"/>
    </w:pPr>
    <w:rPr>
      <w:rFonts w:asciiTheme="minorHAnsi" w:eastAsiaTheme="majorEastAsia" w:hAnsiTheme="minorHAnsi" w:cstheme="majorBidi"/>
      <w:b/>
      <w:bCs/>
      <w:color w:val="002379" w:themeColor="text2"/>
      <w:sz w:val="26"/>
      <w:szCs w:val="26"/>
    </w:rPr>
  </w:style>
  <w:style w:type="paragraph" w:styleId="Heading3">
    <w:name w:val="heading 3"/>
    <w:basedOn w:val="Normal"/>
    <w:next w:val="BodyText"/>
    <w:link w:val="Heading3Char"/>
    <w:uiPriority w:val="2"/>
    <w:qFormat/>
    <w:rsid w:val="007641FF"/>
    <w:pPr>
      <w:keepNext/>
      <w:keepLines/>
      <w:spacing w:before="280" w:after="140"/>
      <w:outlineLvl w:val="2"/>
    </w:pPr>
    <w:rPr>
      <w:rFonts w:asciiTheme="minorHAnsi" w:eastAsiaTheme="majorEastAsia" w:hAnsiTheme="minorHAnsi" w:cstheme="majorBidi"/>
      <w:b/>
      <w:color w:val="0075E3" w:themeColor="accent1"/>
      <w:sz w:val="28"/>
    </w:rPr>
  </w:style>
  <w:style w:type="paragraph" w:styleId="Heading4">
    <w:name w:val="heading 4"/>
    <w:aliases w:val="Heading Table"/>
    <w:basedOn w:val="Normal"/>
    <w:next w:val="BodyText"/>
    <w:link w:val="Heading4Char"/>
    <w:uiPriority w:val="2"/>
    <w:qFormat/>
    <w:rsid w:val="00844056"/>
    <w:pPr>
      <w:keepNext/>
      <w:keepLines/>
      <w:spacing w:before="240"/>
      <w:outlineLvl w:val="3"/>
    </w:pPr>
    <w:rPr>
      <w:rFonts w:asciiTheme="minorHAnsi" w:eastAsiaTheme="majorEastAsia" w:hAnsiTheme="minorHAnsi" w:cstheme="majorBidi"/>
      <w:b/>
      <w:iCs/>
      <w:color w:val="002279"/>
      <w:szCs w:val="18"/>
    </w:rPr>
  </w:style>
  <w:style w:type="paragraph" w:styleId="Heading5">
    <w:name w:val="heading 5"/>
    <w:basedOn w:val="Normal"/>
    <w:next w:val="BodyText"/>
    <w:link w:val="Heading5Char"/>
    <w:uiPriority w:val="1"/>
    <w:semiHidden/>
    <w:qFormat/>
    <w:rsid w:val="009E3794"/>
    <w:pPr>
      <w:keepNext/>
      <w:keepLines/>
      <w:spacing w:before="240"/>
      <w:outlineLvl w:val="4"/>
    </w:pPr>
    <w:rPr>
      <w:rFonts w:asciiTheme="majorHAnsi" w:eastAsiaTheme="majorEastAsia" w:hAnsiTheme="majorHAnsi" w:cstheme="majorBidi"/>
      <w:b/>
    </w:rPr>
  </w:style>
  <w:style w:type="paragraph" w:styleId="Heading9">
    <w:name w:val="heading 9"/>
    <w:aliases w:val="Appendix H11"/>
    <w:basedOn w:val="Heading1"/>
    <w:next w:val="BodyText"/>
    <w:link w:val="Heading9Char"/>
    <w:uiPriority w:val="12"/>
    <w:semiHidden/>
    <w:qFormat/>
    <w:rsid w:val="009E6379"/>
    <w:pPr>
      <w:numPr>
        <w:numId w:val="9"/>
      </w:numPr>
      <w:outlineLvl w:val="8"/>
    </w:pPr>
    <w:rPr>
      <w:iCs/>
      <w:color w:val="0F8AFF"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BodyText"/>
    <w:link w:val="ListParagraphChar"/>
    <w:uiPriority w:val="34"/>
    <w:qFormat/>
    <w:rsid w:val="005E7363"/>
  </w:style>
  <w:style w:type="paragraph" w:customStyle="1" w:styleId="ListParagraph2">
    <w:name w:val="List Paragraph 2"/>
    <w:basedOn w:val="ListParagraph"/>
    <w:uiPriority w:val="19"/>
    <w:semiHidden/>
    <w:rsid w:val="005E7363"/>
    <w:pPr>
      <w:numPr>
        <w:ilvl w:val="1"/>
      </w:numPr>
      <w:tabs>
        <w:tab w:val="num" w:pos="360"/>
      </w:tabs>
    </w:pPr>
  </w:style>
  <w:style w:type="paragraph" w:customStyle="1" w:styleId="ListParagraph3">
    <w:name w:val="List Paragraph 3"/>
    <w:basedOn w:val="ListParagraph"/>
    <w:uiPriority w:val="19"/>
    <w:semiHidden/>
    <w:rsid w:val="005E7363"/>
    <w:pPr>
      <w:numPr>
        <w:ilvl w:val="2"/>
      </w:numPr>
      <w:tabs>
        <w:tab w:val="num" w:pos="2160"/>
      </w:tabs>
    </w:pPr>
  </w:style>
  <w:style w:type="paragraph" w:customStyle="1" w:styleId="ListParagraph4">
    <w:name w:val="List Paragraph 4"/>
    <w:basedOn w:val="ListParagraph"/>
    <w:uiPriority w:val="19"/>
    <w:semiHidden/>
    <w:rsid w:val="005E7363"/>
    <w:pPr>
      <w:numPr>
        <w:ilvl w:val="3"/>
      </w:numPr>
    </w:pPr>
  </w:style>
  <w:style w:type="paragraph" w:customStyle="1" w:styleId="ListParagraph5">
    <w:name w:val="List Paragraph 5"/>
    <w:basedOn w:val="ListParagraph"/>
    <w:uiPriority w:val="19"/>
    <w:semiHidden/>
    <w:rsid w:val="005E7363"/>
    <w:pPr>
      <w:numPr>
        <w:ilvl w:val="4"/>
      </w:numPr>
    </w:pPr>
  </w:style>
  <w:style w:type="character" w:customStyle="1" w:styleId="Heading1Char">
    <w:name w:val="Heading 1 Char"/>
    <w:basedOn w:val="DefaultParagraphFont"/>
    <w:link w:val="Heading1"/>
    <w:uiPriority w:val="2"/>
    <w:rsid w:val="00D11C2D"/>
    <w:rPr>
      <w:rFonts w:asciiTheme="minorHAnsi" w:eastAsiaTheme="majorEastAsia" w:hAnsiTheme="minorHAnsi" w:cstheme="majorBidi"/>
      <w:b/>
      <w:noProof/>
      <w:color w:val="0075E3" w:themeColor="accent1"/>
      <w:sz w:val="44"/>
      <w:szCs w:val="44"/>
    </w:rPr>
  </w:style>
  <w:style w:type="paragraph" w:customStyle="1" w:styleId="AltHeading1">
    <w:name w:val="Alt Heading 1"/>
    <w:basedOn w:val="Heading1"/>
    <w:next w:val="BodyText"/>
    <w:semiHidden/>
    <w:qFormat/>
    <w:rsid w:val="00834296"/>
    <w:pPr>
      <w:ind w:left="473" w:hanging="360"/>
    </w:pPr>
  </w:style>
  <w:style w:type="character" w:customStyle="1" w:styleId="Heading2Char">
    <w:name w:val="Heading 2 Char"/>
    <w:basedOn w:val="DefaultParagraphFont"/>
    <w:link w:val="Heading2"/>
    <w:uiPriority w:val="2"/>
    <w:rsid w:val="00E45C77"/>
    <w:rPr>
      <w:rFonts w:asciiTheme="minorHAnsi" w:eastAsiaTheme="majorEastAsia" w:hAnsiTheme="minorHAnsi" w:cstheme="majorBidi"/>
      <w:b/>
      <w:bCs/>
      <w:color w:val="002379" w:themeColor="text2"/>
      <w:sz w:val="26"/>
      <w:szCs w:val="26"/>
    </w:rPr>
  </w:style>
  <w:style w:type="paragraph" w:customStyle="1" w:styleId="AltHeading2">
    <w:name w:val="Alt Heading 2"/>
    <w:basedOn w:val="Heading2"/>
    <w:next w:val="BodyText"/>
    <w:semiHidden/>
    <w:qFormat/>
    <w:rsid w:val="00834296"/>
    <w:pPr>
      <w:tabs>
        <w:tab w:val="num" w:pos="680"/>
      </w:tabs>
      <w:ind w:left="680" w:hanging="283"/>
    </w:pPr>
  </w:style>
  <w:style w:type="character" w:customStyle="1" w:styleId="Heading3Char">
    <w:name w:val="Heading 3 Char"/>
    <w:basedOn w:val="DefaultParagraphFont"/>
    <w:link w:val="Heading3"/>
    <w:uiPriority w:val="2"/>
    <w:rsid w:val="007641FF"/>
    <w:rPr>
      <w:rFonts w:asciiTheme="minorHAnsi" w:eastAsiaTheme="majorEastAsia" w:hAnsiTheme="minorHAnsi" w:cstheme="majorBidi"/>
      <w:b/>
      <w:color w:val="0075E3" w:themeColor="accent1"/>
      <w:sz w:val="28"/>
    </w:rPr>
  </w:style>
  <w:style w:type="paragraph" w:customStyle="1" w:styleId="AltHeading3">
    <w:name w:val="Alt Heading 3"/>
    <w:basedOn w:val="Heading3"/>
    <w:next w:val="BodyText"/>
    <w:semiHidden/>
    <w:qFormat/>
    <w:rsid w:val="00834296"/>
    <w:pPr>
      <w:tabs>
        <w:tab w:val="num" w:pos="0"/>
      </w:tabs>
    </w:pPr>
  </w:style>
  <w:style w:type="character" w:customStyle="1" w:styleId="Heading4Char">
    <w:name w:val="Heading 4 Char"/>
    <w:aliases w:val="Heading Table Char"/>
    <w:basedOn w:val="DefaultParagraphFont"/>
    <w:link w:val="Heading4"/>
    <w:uiPriority w:val="2"/>
    <w:rsid w:val="00844056"/>
    <w:rPr>
      <w:rFonts w:asciiTheme="minorHAnsi" w:eastAsiaTheme="majorEastAsia" w:hAnsiTheme="minorHAnsi" w:cstheme="majorBidi"/>
      <w:b/>
      <w:iCs/>
      <w:color w:val="002279"/>
      <w:szCs w:val="18"/>
    </w:rPr>
  </w:style>
  <w:style w:type="paragraph" w:customStyle="1" w:styleId="AltHeading4">
    <w:name w:val="Alt Heading 4"/>
    <w:basedOn w:val="Heading4"/>
    <w:next w:val="BodyText"/>
    <w:semiHidden/>
    <w:qFormat/>
    <w:rsid w:val="00834296"/>
    <w:pPr>
      <w:tabs>
        <w:tab w:val="num" w:pos="0"/>
      </w:tabs>
    </w:pPr>
  </w:style>
  <w:style w:type="character" w:customStyle="1" w:styleId="Heading5Char">
    <w:name w:val="Heading 5 Char"/>
    <w:basedOn w:val="DefaultParagraphFont"/>
    <w:link w:val="Heading5"/>
    <w:uiPriority w:val="1"/>
    <w:semiHidden/>
    <w:rsid w:val="00C40FFA"/>
    <w:rPr>
      <w:rFonts w:asciiTheme="majorHAnsi" w:eastAsiaTheme="majorEastAsia" w:hAnsiTheme="majorHAnsi" w:cstheme="majorBidi"/>
      <w:b/>
    </w:rPr>
  </w:style>
  <w:style w:type="paragraph" w:customStyle="1" w:styleId="AltHeading5">
    <w:name w:val="Alt Heading 5"/>
    <w:basedOn w:val="Heading5"/>
    <w:next w:val="BodyText"/>
    <w:semiHidden/>
    <w:qFormat/>
    <w:rsid w:val="00834296"/>
    <w:pPr>
      <w:tabs>
        <w:tab w:val="num" w:pos="0"/>
      </w:tabs>
    </w:pPr>
  </w:style>
  <w:style w:type="paragraph" w:styleId="Caption">
    <w:name w:val="caption"/>
    <w:basedOn w:val="Normal"/>
    <w:next w:val="FigureStyle"/>
    <w:link w:val="CaptionChar"/>
    <w:uiPriority w:val="35"/>
    <w:qFormat/>
    <w:rsid w:val="00A16A55"/>
    <w:pPr>
      <w:tabs>
        <w:tab w:val="left" w:pos="1134"/>
      </w:tabs>
      <w:spacing w:before="240" w:after="60"/>
      <w:ind w:left="1134" w:hanging="1134"/>
    </w:pPr>
    <w:rPr>
      <w:b/>
      <w:iCs/>
      <w:szCs w:val="18"/>
    </w:rPr>
  </w:style>
  <w:style w:type="paragraph" w:customStyle="1" w:styleId="TableCaption">
    <w:name w:val="Table Caption"/>
    <w:basedOn w:val="BodyText"/>
    <w:next w:val="BodyText"/>
    <w:uiPriority w:val="6"/>
    <w:semiHidden/>
    <w:qFormat/>
    <w:rsid w:val="00C934C2"/>
    <w:pPr>
      <w:keepNext/>
      <w:tabs>
        <w:tab w:val="left" w:pos="1134"/>
      </w:tabs>
      <w:spacing w:before="240" w:line="240" w:lineRule="auto"/>
      <w:ind w:left="1134" w:hanging="1134"/>
    </w:pPr>
    <w:rPr>
      <w:b/>
    </w:rPr>
  </w:style>
  <w:style w:type="character" w:styleId="PlaceholderText">
    <w:name w:val="Placeholder Text"/>
    <w:basedOn w:val="DefaultParagraphFont"/>
    <w:uiPriority w:val="99"/>
    <w:semiHidden/>
    <w:rsid w:val="00834296"/>
    <w:rPr>
      <w:color w:val="808080"/>
    </w:rPr>
  </w:style>
  <w:style w:type="paragraph" w:styleId="BodyText">
    <w:name w:val="Body Text"/>
    <w:basedOn w:val="Normal"/>
    <w:link w:val="BodyTextChar"/>
    <w:semiHidden/>
    <w:qFormat/>
    <w:rsid w:val="003773ED"/>
    <w:pPr>
      <w:spacing w:line="260" w:lineRule="atLeast"/>
    </w:pPr>
  </w:style>
  <w:style w:type="character" w:customStyle="1" w:styleId="BodyTextChar">
    <w:name w:val="Body Text Char"/>
    <w:basedOn w:val="DefaultParagraphFont"/>
    <w:link w:val="BodyText"/>
    <w:semiHidden/>
    <w:rsid w:val="00C40FFA"/>
  </w:style>
  <w:style w:type="paragraph" w:customStyle="1" w:styleId="FigureStyle">
    <w:name w:val="Figure Style"/>
    <w:basedOn w:val="Normal"/>
    <w:next w:val="BodyText"/>
    <w:uiPriority w:val="6"/>
    <w:semiHidden/>
    <w:qFormat/>
    <w:rsid w:val="004A21D3"/>
    <w:pPr>
      <w:spacing w:after="240"/>
    </w:pPr>
  </w:style>
  <w:style w:type="paragraph" w:styleId="ListBullet">
    <w:name w:val="List Bullet"/>
    <w:basedOn w:val="BodyText"/>
    <w:uiPriority w:val="3"/>
    <w:qFormat/>
    <w:rsid w:val="00C40FFA"/>
    <w:pPr>
      <w:numPr>
        <w:numId w:val="21"/>
      </w:numPr>
      <w:tabs>
        <w:tab w:val="num" w:pos="397"/>
        <w:tab w:val="left" w:pos="425"/>
      </w:tabs>
      <w:spacing w:line="264" w:lineRule="auto"/>
    </w:pPr>
  </w:style>
  <w:style w:type="numbering" w:customStyle="1" w:styleId="ListBullet0">
    <w:name w:val="List_Bullet"/>
    <w:uiPriority w:val="99"/>
    <w:rsid w:val="001E544B"/>
    <w:pPr>
      <w:numPr>
        <w:numId w:val="6"/>
      </w:numPr>
    </w:pPr>
  </w:style>
  <w:style w:type="paragraph" w:customStyle="1" w:styleId="ListBullet6">
    <w:name w:val="List Bullet 6"/>
    <w:basedOn w:val="ListBullet"/>
    <w:uiPriority w:val="19"/>
    <w:semiHidden/>
    <w:rsid w:val="006C0E44"/>
    <w:pPr>
      <w:tabs>
        <w:tab w:val="clear" w:pos="397"/>
        <w:tab w:val="num" w:pos="0"/>
      </w:tabs>
      <w:ind w:left="0" w:firstLine="0"/>
    </w:pPr>
  </w:style>
  <w:style w:type="paragraph" w:styleId="ListBullet2">
    <w:name w:val="List Bullet 2"/>
    <w:basedOn w:val="ListBullet"/>
    <w:uiPriority w:val="19"/>
    <w:semiHidden/>
    <w:rsid w:val="006C0E44"/>
    <w:pPr>
      <w:tabs>
        <w:tab w:val="clear" w:pos="397"/>
        <w:tab w:val="num" w:pos="680"/>
        <w:tab w:val="num" w:pos="1134"/>
      </w:tabs>
      <w:ind w:left="680" w:hanging="283"/>
    </w:pPr>
  </w:style>
  <w:style w:type="paragraph" w:styleId="ListBullet3">
    <w:name w:val="List Bullet 3"/>
    <w:basedOn w:val="ListBullet"/>
    <w:uiPriority w:val="19"/>
    <w:semiHidden/>
    <w:rsid w:val="006C0E44"/>
    <w:pPr>
      <w:tabs>
        <w:tab w:val="clear" w:pos="397"/>
        <w:tab w:val="num" w:pos="0"/>
        <w:tab w:val="num" w:pos="1134"/>
      </w:tabs>
      <w:ind w:left="0" w:firstLine="0"/>
    </w:pPr>
  </w:style>
  <w:style w:type="paragraph" w:styleId="ListBullet4">
    <w:name w:val="List Bullet 4"/>
    <w:basedOn w:val="ListBullet"/>
    <w:uiPriority w:val="19"/>
    <w:semiHidden/>
    <w:rsid w:val="006C0E44"/>
    <w:pPr>
      <w:tabs>
        <w:tab w:val="clear" w:pos="397"/>
        <w:tab w:val="num" w:pos="0"/>
      </w:tabs>
      <w:ind w:left="0" w:firstLine="0"/>
    </w:pPr>
  </w:style>
  <w:style w:type="paragraph" w:styleId="ListBullet5">
    <w:name w:val="List Bullet 5"/>
    <w:basedOn w:val="ListBullet"/>
    <w:uiPriority w:val="19"/>
    <w:semiHidden/>
    <w:rsid w:val="006C0E44"/>
    <w:pPr>
      <w:tabs>
        <w:tab w:val="clear" w:pos="397"/>
        <w:tab w:val="num" w:pos="0"/>
      </w:tabs>
      <w:ind w:left="0" w:firstLine="0"/>
    </w:pPr>
  </w:style>
  <w:style w:type="paragraph" w:styleId="ListNumber">
    <w:name w:val="List Number"/>
    <w:basedOn w:val="BodyText"/>
    <w:uiPriority w:val="3"/>
    <w:qFormat/>
    <w:rsid w:val="00470909"/>
    <w:pPr>
      <w:numPr>
        <w:numId w:val="13"/>
      </w:numPr>
      <w:tabs>
        <w:tab w:val="num" w:pos="397"/>
        <w:tab w:val="num" w:pos="567"/>
        <w:tab w:val="num" w:pos="1134"/>
        <w:tab w:val="num" w:pos="1920"/>
      </w:tabs>
    </w:pPr>
  </w:style>
  <w:style w:type="paragraph" w:customStyle="1" w:styleId="ListNumber6">
    <w:name w:val="List Number 6"/>
    <w:basedOn w:val="ListNumber"/>
    <w:uiPriority w:val="19"/>
    <w:semiHidden/>
    <w:rsid w:val="00834296"/>
    <w:pPr>
      <w:tabs>
        <w:tab w:val="clear" w:pos="397"/>
      </w:tabs>
      <w:ind w:left="3960"/>
    </w:pPr>
  </w:style>
  <w:style w:type="paragraph" w:customStyle="1" w:styleId="ListParagraph6">
    <w:name w:val="List Paragraph 6"/>
    <w:basedOn w:val="ListParagraph"/>
    <w:uiPriority w:val="19"/>
    <w:semiHidden/>
    <w:rsid w:val="005E7363"/>
    <w:pPr>
      <w:numPr>
        <w:ilvl w:val="5"/>
      </w:numPr>
    </w:pPr>
  </w:style>
  <w:style w:type="paragraph" w:styleId="ListNumber2">
    <w:name w:val="List Number 2"/>
    <w:basedOn w:val="ListNumber"/>
    <w:uiPriority w:val="19"/>
    <w:semiHidden/>
    <w:rsid w:val="00470909"/>
    <w:pPr>
      <w:tabs>
        <w:tab w:val="clear" w:pos="397"/>
      </w:tabs>
      <w:ind w:left="1080"/>
    </w:pPr>
  </w:style>
  <w:style w:type="paragraph" w:styleId="ListNumber3">
    <w:name w:val="List Number 3"/>
    <w:basedOn w:val="ListNumber"/>
    <w:uiPriority w:val="19"/>
    <w:semiHidden/>
    <w:rsid w:val="00470909"/>
    <w:pPr>
      <w:tabs>
        <w:tab w:val="clear" w:pos="397"/>
        <w:tab w:val="num" w:pos="1701"/>
      </w:tabs>
      <w:ind w:left="1800"/>
    </w:pPr>
  </w:style>
  <w:style w:type="paragraph" w:styleId="ListNumber4">
    <w:name w:val="List Number 4"/>
    <w:basedOn w:val="ListNumber"/>
    <w:uiPriority w:val="19"/>
    <w:semiHidden/>
    <w:rsid w:val="00834296"/>
    <w:pPr>
      <w:tabs>
        <w:tab w:val="clear" w:pos="397"/>
      </w:tabs>
      <w:ind w:left="2520"/>
    </w:pPr>
  </w:style>
  <w:style w:type="paragraph" w:styleId="ListNumber5">
    <w:name w:val="List Number 5"/>
    <w:basedOn w:val="ListNumber"/>
    <w:uiPriority w:val="19"/>
    <w:semiHidden/>
    <w:rsid w:val="00834296"/>
    <w:pPr>
      <w:tabs>
        <w:tab w:val="clear" w:pos="397"/>
      </w:tabs>
      <w:ind w:left="3240"/>
    </w:pPr>
  </w:style>
  <w:style w:type="numbering" w:customStyle="1" w:styleId="ListNumber0">
    <w:name w:val="List_Number"/>
    <w:uiPriority w:val="99"/>
    <w:rsid w:val="00C934C2"/>
    <w:pPr>
      <w:numPr>
        <w:numId w:val="5"/>
      </w:numPr>
    </w:pPr>
  </w:style>
  <w:style w:type="numbering" w:customStyle="1" w:styleId="ListParagraph0">
    <w:name w:val="List Paragraph0"/>
    <w:uiPriority w:val="99"/>
    <w:rsid w:val="005E7363"/>
    <w:pPr>
      <w:numPr>
        <w:numId w:val="3"/>
      </w:numPr>
    </w:pPr>
  </w:style>
  <w:style w:type="paragraph" w:customStyle="1" w:styleId="ListAlpha">
    <w:name w:val="List Alpha"/>
    <w:basedOn w:val="TableHeading"/>
    <w:uiPriority w:val="3"/>
    <w:qFormat/>
    <w:rsid w:val="00295EA4"/>
    <w:rPr>
      <w:rFonts w:asciiTheme="minorHAnsi" w:hAnsiTheme="minorHAnsi" w:cs="Arial"/>
    </w:rPr>
  </w:style>
  <w:style w:type="paragraph" w:customStyle="1" w:styleId="ListAlpha2">
    <w:name w:val="List Alpha 2"/>
    <w:basedOn w:val="ListAlpha"/>
    <w:uiPriority w:val="19"/>
    <w:semiHidden/>
    <w:rsid w:val="00470909"/>
    <w:pPr>
      <w:ind w:left="1440"/>
    </w:pPr>
  </w:style>
  <w:style w:type="paragraph" w:customStyle="1" w:styleId="ListAlpha3">
    <w:name w:val="List Alpha 3"/>
    <w:basedOn w:val="ListAlpha"/>
    <w:uiPriority w:val="19"/>
    <w:semiHidden/>
    <w:rsid w:val="00470909"/>
    <w:pPr>
      <w:tabs>
        <w:tab w:val="left" w:pos="1701"/>
      </w:tabs>
      <w:ind w:left="1210"/>
    </w:pPr>
  </w:style>
  <w:style w:type="paragraph" w:customStyle="1" w:styleId="ListAlpha4">
    <w:name w:val="List Alpha 4"/>
    <w:basedOn w:val="ListAlpha"/>
    <w:uiPriority w:val="19"/>
    <w:semiHidden/>
    <w:rsid w:val="007C38B8"/>
    <w:pPr>
      <w:ind w:left="2880"/>
    </w:pPr>
  </w:style>
  <w:style w:type="paragraph" w:customStyle="1" w:styleId="ListAlpha5">
    <w:name w:val="List Alpha 5"/>
    <w:basedOn w:val="ListAlpha"/>
    <w:uiPriority w:val="19"/>
    <w:semiHidden/>
    <w:rsid w:val="007C38B8"/>
    <w:pPr>
      <w:ind w:left="3600"/>
    </w:pPr>
  </w:style>
  <w:style w:type="paragraph" w:customStyle="1" w:styleId="ListAlpha6">
    <w:name w:val="List Alpha 6"/>
    <w:basedOn w:val="ListAlpha"/>
    <w:uiPriority w:val="19"/>
    <w:semiHidden/>
    <w:rsid w:val="007C38B8"/>
    <w:pPr>
      <w:ind w:left="4320"/>
    </w:pPr>
  </w:style>
  <w:style w:type="table" w:styleId="ListTable3-Accent6">
    <w:name w:val="List Table 3 Accent 6"/>
    <w:basedOn w:val="TableNormal"/>
    <w:uiPriority w:val="48"/>
    <w:rsid w:val="00B544CF"/>
    <w:pPr>
      <w:spacing w:after="0"/>
    </w:pPr>
    <w:tblPr>
      <w:tblStyleRowBandSize w:val="1"/>
      <w:tblStyleColBandSize w:val="1"/>
      <w:tblBorders>
        <w:top w:val="single" w:sz="4" w:space="0" w:color="FF8D00" w:themeColor="accent6"/>
        <w:left w:val="single" w:sz="4" w:space="0" w:color="FF8D00" w:themeColor="accent6"/>
        <w:bottom w:val="single" w:sz="4" w:space="0" w:color="FF8D00" w:themeColor="accent6"/>
        <w:right w:val="single" w:sz="4" w:space="0" w:color="FF8D00" w:themeColor="accent6"/>
      </w:tblBorders>
    </w:tblPr>
    <w:tblStylePr w:type="firstRow">
      <w:rPr>
        <w:b/>
        <w:bCs/>
        <w:color w:val="FFFFFF" w:themeColor="background1"/>
      </w:rPr>
      <w:tblPr/>
      <w:tcPr>
        <w:shd w:val="clear" w:color="auto" w:fill="FF8D00" w:themeFill="accent6"/>
      </w:tcPr>
    </w:tblStylePr>
    <w:tblStylePr w:type="lastRow">
      <w:rPr>
        <w:b/>
        <w:bCs/>
      </w:rPr>
      <w:tblPr/>
      <w:tcPr>
        <w:tcBorders>
          <w:top w:val="double" w:sz="4" w:space="0" w:color="FF8D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8D00" w:themeColor="accent6"/>
          <w:right w:val="single" w:sz="4" w:space="0" w:color="FF8D00" w:themeColor="accent6"/>
        </w:tcBorders>
      </w:tcPr>
    </w:tblStylePr>
    <w:tblStylePr w:type="band1Horz">
      <w:tblPr/>
      <w:tcPr>
        <w:tcBorders>
          <w:top w:val="single" w:sz="4" w:space="0" w:color="FF8D00" w:themeColor="accent6"/>
          <w:bottom w:val="single" w:sz="4" w:space="0" w:color="FF8D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8D00" w:themeColor="accent6"/>
          <w:left w:val="nil"/>
        </w:tcBorders>
      </w:tcPr>
    </w:tblStylePr>
    <w:tblStylePr w:type="swCell">
      <w:tblPr/>
      <w:tcPr>
        <w:tcBorders>
          <w:top w:val="double" w:sz="4" w:space="0" w:color="FF8D00" w:themeColor="accent6"/>
          <w:right w:val="nil"/>
        </w:tcBorders>
      </w:tcPr>
    </w:tblStylePr>
  </w:style>
  <w:style w:type="numbering" w:customStyle="1" w:styleId="ListNbrHeading">
    <w:name w:val="List_NbrHeading"/>
    <w:uiPriority w:val="99"/>
    <w:rsid w:val="005E7363"/>
    <w:pPr>
      <w:numPr>
        <w:numId w:val="1"/>
      </w:numPr>
    </w:pPr>
  </w:style>
  <w:style w:type="paragraph" w:styleId="Title">
    <w:name w:val="Title"/>
    <w:basedOn w:val="Normal"/>
    <w:next w:val="BodyText"/>
    <w:link w:val="TitleChar"/>
    <w:uiPriority w:val="10"/>
    <w:qFormat/>
    <w:rsid w:val="000C061C"/>
    <w:pPr>
      <w:ind w:right="4340"/>
    </w:pPr>
    <w:rPr>
      <w:rFonts w:asciiTheme="minorHAnsi" w:hAnsiTheme="minorHAnsi"/>
      <w:color w:val="FFFFFF" w:themeColor="background1"/>
      <w:sz w:val="92"/>
      <w:szCs w:val="52"/>
    </w:rPr>
  </w:style>
  <w:style w:type="character" w:customStyle="1" w:styleId="TitleChar">
    <w:name w:val="Title Char"/>
    <w:basedOn w:val="DefaultParagraphFont"/>
    <w:link w:val="Title"/>
    <w:uiPriority w:val="10"/>
    <w:rsid w:val="000C061C"/>
    <w:rPr>
      <w:rFonts w:asciiTheme="minorHAnsi" w:hAnsiTheme="minorHAnsi"/>
      <w:color w:val="FFFFFF" w:themeColor="background1"/>
      <w:sz w:val="92"/>
      <w:szCs w:val="52"/>
    </w:rPr>
  </w:style>
  <w:style w:type="paragraph" w:styleId="Subtitle">
    <w:name w:val="Subtitle"/>
    <w:aliases w:val="Subtitle Cover"/>
    <w:basedOn w:val="Normal"/>
    <w:next w:val="BodyText"/>
    <w:link w:val="SubtitleChar"/>
    <w:uiPriority w:val="11"/>
    <w:qFormat/>
    <w:rsid w:val="000C061C"/>
    <w:pPr>
      <w:spacing w:after="240"/>
      <w:ind w:left="-284" w:right="2790"/>
    </w:pPr>
    <w:rPr>
      <w:rFonts w:asciiTheme="minorHAnsi" w:hAnsiTheme="minorHAnsi"/>
      <w:color w:val="FFFFFF" w:themeColor="background1"/>
      <w:sz w:val="34"/>
      <w:szCs w:val="34"/>
    </w:rPr>
  </w:style>
  <w:style w:type="character" w:customStyle="1" w:styleId="SubtitleChar">
    <w:name w:val="Subtitle Char"/>
    <w:aliases w:val="Subtitle Cover Char"/>
    <w:basedOn w:val="DefaultParagraphFont"/>
    <w:link w:val="Subtitle"/>
    <w:uiPriority w:val="11"/>
    <w:rsid w:val="000C061C"/>
    <w:rPr>
      <w:rFonts w:asciiTheme="minorHAnsi" w:hAnsiTheme="minorHAnsi"/>
      <w:color w:val="FFFFFF" w:themeColor="background1"/>
      <w:sz w:val="34"/>
      <w:szCs w:val="34"/>
    </w:rPr>
  </w:style>
  <w:style w:type="paragraph" w:styleId="TOCHeading">
    <w:name w:val="TOC Heading"/>
    <w:basedOn w:val="Normal"/>
    <w:next w:val="Normal"/>
    <w:uiPriority w:val="39"/>
    <w:semiHidden/>
    <w:rsid w:val="00470909"/>
    <w:pPr>
      <w:tabs>
        <w:tab w:val="left" w:pos="6946"/>
      </w:tabs>
      <w:ind w:left="4962" w:right="990"/>
    </w:pPr>
    <w:rPr>
      <w:rFonts w:asciiTheme="majorHAnsi" w:hAnsiTheme="majorHAnsi"/>
      <w:color w:val="0075E3" w:themeColor="accent1"/>
      <w:sz w:val="52"/>
      <w:szCs w:val="52"/>
    </w:rPr>
  </w:style>
  <w:style w:type="paragraph" w:styleId="TOC4">
    <w:name w:val="toc 4"/>
    <w:basedOn w:val="TOC1"/>
    <w:next w:val="Normal"/>
    <w:uiPriority w:val="39"/>
    <w:semiHidden/>
    <w:rsid w:val="00B742E4"/>
    <w:pPr>
      <w:tabs>
        <w:tab w:val="left" w:pos="851"/>
      </w:tabs>
      <w:spacing w:after="100"/>
    </w:pPr>
  </w:style>
  <w:style w:type="paragraph" w:styleId="TOC5">
    <w:name w:val="toc 5"/>
    <w:basedOn w:val="TOC2"/>
    <w:next w:val="Normal"/>
    <w:uiPriority w:val="39"/>
    <w:semiHidden/>
    <w:rsid w:val="00B742E4"/>
    <w:pPr>
      <w:tabs>
        <w:tab w:val="left" w:pos="851"/>
      </w:tabs>
      <w:spacing w:after="100"/>
    </w:pPr>
  </w:style>
  <w:style w:type="paragraph" w:styleId="TOC1">
    <w:name w:val="toc 1"/>
    <w:basedOn w:val="Normal"/>
    <w:next w:val="Normal"/>
    <w:uiPriority w:val="39"/>
    <w:rsid w:val="00470909"/>
    <w:pPr>
      <w:tabs>
        <w:tab w:val="left" w:pos="5387"/>
        <w:tab w:val="right" w:leader="dot" w:pos="10773"/>
      </w:tabs>
      <w:spacing w:before="360" w:after="360"/>
      <w:ind w:left="5387" w:hanging="425"/>
    </w:pPr>
    <w:rPr>
      <w:b/>
      <w:noProof/>
      <w:color w:val="002379" w:themeColor="text2"/>
    </w:rPr>
  </w:style>
  <w:style w:type="paragraph" w:styleId="TOC6">
    <w:name w:val="toc 6"/>
    <w:basedOn w:val="TOC3"/>
    <w:next w:val="Normal"/>
    <w:uiPriority w:val="39"/>
    <w:semiHidden/>
    <w:rsid w:val="00FC0BC3"/>
    <w:pPr>
      <w:tabs>
        <w:tab w:val="left" w:pos="851"/>
      </w:tabs>
      <w:spacing w:after="100"/>
    </w:pPr>
  </w:style>
  <w:style w:type="paragraph" w:styleId="Quote">
    <w:name w:val="Quote"/>
    <w:basedOn w:val="Normal"/>
    <w:next w:val="Normal"/>
    <w:link w:val="QuoteChar"/>
    <w:uiPriority w:val="5"/>
    <w:qFormat/>
    <w:rsid w:val="006A5D57"/>
    <w:pPr>
      <w:spacing w:after="0" w:line="216" w:lineRule="auto"/>
      <w:jc w:val="center"/>
    </w:pPr>
    <w:rPr>
      <w:rFonts w:eastAsia="Arial" w:cstheme="minorHAnsi"/>
      <w:color w:val="FFFFFF"/>
      <w:kern w:val="24"/>
      <w:sz w:val="52"/>
      <w:szCs w:val="52"/>
    </w:rPr>
  </w:style>
  <w:style w:type="paragraph" w:styleId="TOC2">
    <w:name w:val="toc 2"/>
    <w:basedOn w:val="Normal"/>
    <w:next w:val="Normal"/>
    <w:uiPriority w:val="39"/>
    <w:semiHidden/>
    <w:rsid w:val="000D1148"/>
    <w:pPr>
      <w:tabs>
        <w:tab w:val="right" w:leader="dot" w:pos="10773"/>
      </w:tabs>
      <w:spacing w:before="60" w:after="60"/>
    </w:pPr>
  </w:style>
  <w:style w:type="paragraph" w:styleId="TOC3">
    <w:name w:val="toc 3"/>
    <w:basedOn w:val="Normal"/>
    <w:next w:val="Normal"/>
    <w:uiPriority w:val="39"/>
    <w:semiHidden/>
    <w:rsid w:val="000D1148"/>
    <w:pPr>
      <w:tabs>
        <w:tab w:val="right" w:leader="dot" w:pos="10773"/>
      </w:tabs>
      <w:spacing w:before="60" w:after="60"/>
    </w:pPr>
  </w:style>
  <w:style w:type="character" w:customStyle="1" w:styleId="QuoteChar">
    <w:name w:val="Quote Char"/>
    <w:basedOn w:val="DefaultParagraphFont"/>
    <w:link w:val="Quote"/>
    <w:uiPriority w:val="5"/>
    <w:rsid w:val="00C40FFA"/>
    <w:rPr>
      <w:rFonts w:eastAsia="Arial" w:cstheme="minorHAnsi"/>
      <w:color w:val="FFFFFF"/>
      <w:kern w:val="24"/>
      <w:sz w:val="52"/>
      <w:szCs w:val="52"/>
    </w:rPr>
  </w:style>
  <w:style w:type="paragraph" w:styleId="Footer">
    <w:name w:val="footer"/>
    <w:basedOn w:val="Normal"/>
    <w:link w:val="FooterChar"/>
    <w:uiPriority w:val="99"/>
    <w:rsid w:val="00A2646E"/>
    <w:pPr>
      <w:tabs>
        <w:tab w:val="center" w:pos="4513"/>
        <w:tab w:val="right" w:pos="9026"/>
      </w:tabs>
    </w:pPr>
    <w:rPr>
      <w:b/>
      <w:color w:val="8C50B4" w:themeColor="accent5"/>
      <w:sz w:val="18"/>
    </w:rPr>
  </w:style>
  <w:style w:type="character" w:customStyle="1" w:styleId="FooterChar">
    <w:name w:val="Footer Char"/>
    <w:basedOn w:val="DefaultParagraphFont"/>
    <w:link w:val="Footer"/>
    <w:uiPriority w:val="99"/>
    <w:rsid w:val="00C40FFA"/>
    <w:rPr>
      <w:b/>
      <w:color w:val="8C50B4" w:themeColor="accent5"/>
      <w:sz w:val="18"/>
    </w:rPr>
  </w:style>
  <w:style w:type="paragraph" w:styleId="Header">
    <w:name w:val="header"/>
    <w:basedOn w:val="Normal"/>
    <w:link w:val="HeaderChar"/>
    <w:uiPriority w:val="99"/>
    <w:semiHidden/>
    <w:rsid w:val="00A34437"/>
    <w:pPr>
      <w:tabs>
        <w:tab w:val="center" w:pos="4513"/>
        <w:tab w:val="right" w:pos="9026"/>
      </w:tabs>
    </w:pPr>
    <w:rPr>
      <w:sz w:val="18"/>
    </w:rPr>
  </w:style>
  <w:style w:type="character" w:customStyle="1" w:styleId="HeaderChar">
    <w:name w:val="Header Char"/>
    <w:basedOn w:val="DefaultParagraphFont"/>
    <w:link w:val="Header"/>
    <w:uiPriority w:val="99"/>
    <w:semiHidden/>
    <w:rsid w:val="00C40FFA"/>
    <w:rPr>
      <w:sz w:val="18"/>
    </w:rPr>
  </w:style>
  <w:style w:type="table" w:styleId="TableGrid">
    <w:name w:val="Table Grid"/>
    <w:aliases w:val="Table No Border,CV table"/>
    <w:basedOn w:val="TableNormal"/>
    <w:uiPriority w:val="39"/>
    <w:rsid w:val="00A34437"/>
    <w:pPr>
      <w:spacing w:after="0"/>
    </w:pPr>
    <w:tblPr>
      <w:tblCellMar>
        <w:left w:w="0" w:type="dxa"/>
        <w:right w:w="0" w:type="dxa"/>
      </w:tblCellMar>
    </w:tblPr>
  </w:style>
  <w:style w:type="table" w:customStyle="1" w:styleId="NavyTable">
    <w:name w:val="Navy Table"/>
    <w:basedOn w:val="TableNormal"/>
    <w:uiPriority w:val="99"/>
    <w:rsid w:val="006A5D57"/>
    <w:pPr>
      <w:spacing w:after="0"/>
    </w:pPr>
    <w:rPr>
      <w:rFonts w:asciiTheme="minorHAnsi" w:hAnsiTheme="minorHAnsi"/>
      <w:sz w:val="22"/>
      <w:szCs w:val="22"/>
    </w:rPr>
    <w:tblPr>
      <w:tblStyleRowBandSize w:val="1"/>
      <w:tblStyleColBandSize w:val="1"/>
      <w:tblBorders>
        <w:top w:val="single" w:sz="4" w:space="0" w:color="0075E3" w:themeColor="accent1"/>
        <w:bottom w:val="single" w:sz="4" w:space="0" w:color="0075E3" w:themeColor="accent1"/>
        <w:insideH w:val="single" w:sz="4" w:space="0" w:color="0075E3" w:themeColor="accent1"/>
      </w:tblBorders>
      <w:tblCellMar>
        <w:left w:w="0" w:type="dxa"/>
        <w:right w:w="0" w:type="dxa"/>
      </w:tblCellMar>
    </w:tblPr>
    <w:tblStylePr w:type="firstRow">
      <w:rPr>
        <w:color w:val="FFFFFF" w:themeColor="background1"/>
      </w:rPr>
      <w:tblPr/>
      <w:tcPr>
        <w:tcBorders>
          <w:insideV w:val="single" w:sz="4" w:space="0" w:color="FFFFFF" w:themeColor="background1"/>
        </w:tcBorders>
        <w:shd w:val="clear" w:color="auto" w:fill="0075E3" w:themeFill="accent1"/>
      </w:tcPr>
    </w:tblStylePr>
    <w:tblStylePr w:type="lastRow">
      <w:tblPr/>
      <w:tcPr>
        <w:shd w:val="clear" w:color="auto" w:fill="CCD8E1"/>
      </w:tcPr>
    </w:tblStylePr>
    <w:tblStylePr w:type="firstCol">
      <w:rPr>
        <w:color w:val="FFFFFF" w:themeColor="background1"/>
      </w:rPr>
      <w:tblPr/>
      <w:tcPr>
        <w:tcBorders>
          <w:insideH w:val="single" w:sz="4" w:space="0" w:color="FFFFFF" w:themeColor="background1"/>
        </w:tcBorders>
        <w:shd w:val="clear" w:color="auto" w:fill="0075E3" w:themeFill="accent1"/>
      </w:tcPr>
    </w:tblStylePr>
    <w:tblStylePr w:type="lastCol">
      <w:tblPr/>
      <w:tcPr>
        <w:shd w:val="clear" w:color="auto" w:fill="CCD8E1"/>
      </w:tcPr>
    </w:tblStylePr>
    <w:tblStylePr w:type="band2Vert">
      <w:tblPr/>
      <w:tcPr>
        <w:shd w:val="clear" w:color="auto" w:fill="CCD8E1"/>
      </w:tcPr>
    </w:tblStylePr>
    <w:tblStylePr w:type="band2Horz">
      <w:tblPr/>
      <w:tcPr>
        <w:shd w:val="clear" w:color="auto" w:fill="CCD8E1"/>
      </w:tcPr>
    </w:tblStylePr>
  </w:style>
  <w:style w:type="table" w:customStyle="1" w:styleId="StoneTable">
    <w:name w:val="Stone Table"/>
    <w:basedOn w:val="TableNormal"/>
    <w:uiPriority w:val="99"/>
    <w:rsid w:val="00A2646E"/>
    <w:pPr>
      <w:spacing w:after="0"/>
    </w:pPr>
    <w:tblPr>
      <w:tblStyleRowBandSize w:val="1"/>
      <w:tblStyleColBandSize w:val="1"/>
      <w:tblBorders>
        <w:top w:val="single" w:sz="4" w:space="0" w:color="FFE900" w:themeColor="accent3"/>
        <w:bottom w:val="single" w:sz="4" w:space="0" w:color="FFE900" w:themeColor="accent3"/>
        <w:insideH w:val="single" w:sz="4" w:space="0" w:color="FFE900" w:themeColor="accent3"/>
      </w:tblBorders>
      <w:tblCellMar>
        <w:left w:w="0" w:type="dxa"/>
        <w:right w:w="0" w:type="dxa"/>
      </w:tblCellMar>
    </w:tblPr>
    <w:tblStylePr w:type="firstRow">
      <w:tblPr/>
      <w:tcPr>
        <w:tcBorders>
          <w:insideV w:val="single" w:sz="4" w:space="0" w:color="FFFFFF" w:themeColor="background1"/>
        </w:tcBorders>
        <w:shd w:val="clear" w:color="auto" w:fill="FFE900" w:themeFill="accent3"/>
      </w:tcPr>
    </w:tblStylePr>
    <w:tblStylePr w:type="lastRow">
      <w:tblPr/>
      <w:tcPr>
        <w:shd w:val="clear" w:color="auto" w:fill="FFFACC" w:themeFill="accent3" w:themeFillTint="33"/>
      </w:tcPr>
    </w:tblStylePr>
    <w:tblStylePr w:type="firstCol">
      <w:tblPr/>
      <w:tcPr>
        <w:tcBorders>
          <w:insideH w:val="single" w:sz="4" w:space="0" w:color="FFFFFF" w:themeColor="background1"/>
        </w:tcBorders>
        <w:shd w:val="clear" w:color="auto" w:fill="FFE900" w:themeFill="accent3"/>
      </w:tcPr>
    </w:tblStylePr>
    <w:tblStylePr w:type="lastCol">
      <w:tblPr/>
      <w:tcPr>
        <w:shd w:val="clear" w:color="auto" w:fill="FFFACC" w:themeFill="accent3" w:themeFillTint="33"/>
      </w:tcPr>
    </w:tblStylePr>
    <w:tblStylePr w:type="band2Vert">
      <w:tblPr/>
      <w:tcPr>
        <w:shd w:val="clear" w:color="auto" w:fill="FFFACC" w:themeFill="accent3" w:themeFillTint="33"/>
      </w:tcPr>
    </w:tblStylePr>
    <w:tblStylePr w:type="band2Horz">
      <w:tblPr/>
      <w:tcPr>
        <w:shd w:val="clear" w:color="auto" w:fill="FFFACC" w:themeFill="accent3" w:themeFillTint="33"/>
      </w:tcPr>
    </w:tblStylePr>
  </w:style>
  <w:style w:type="paragraph" w:customStyle="1" w:styleId="FigureHeading">
    <w:name w:val="Figure Heading"/>
    <w:basedOn w:val="Normal"/>
    <w:next w:val="BodyText"/>
    <w:uiPriority w:val="6"/>
    <w:semiHidden/>
    <w:qFormat/>
    <w:rsid w:val="004A21D3"/>
    <w:pPr>
      <w:keepNext/>
      <w:tabs>
        <w:tab w:val="left" w:pos="1134"/>
      </w:tabs>
      <w:spacing w:before="240" w:line="260" w:lineRule="atLeast"/>
      <w:ind w:left="1134" w:hanging="1134"/>
    </w:pPr>
    <w:rPr>
      <w:b/>
    </w:rPr>
  </w:style>
  <w:style w:type="table" w:customStyle="1" w:styleId="TableBlack">
    <w:name w:val="Table Black"/>
    <w:basedOn w:val="TableNormal"/>
    <w:uiPriority w:val="99"/>
    <w:rsid w:val="00C934C2"/>
    <w:pPr>
      <w:spacing w:after="0"/>
    </w:pPr>
    <w:tblPr>
      <w:tblStyleRowBandSize w:val="1"/>
      <w:tblStyleColBandSize w:val="1"/>
      <w:tblBorders>
        <w:top w:val="single" w:sz="4" w:space="0" w:color="auto"/>
        <w:bottom w:val="single" w:sz="4" w:space="0" w:color="auto"/>
        <w:insideH w:val="single" w:sz="4" w:space="0" w:color="auto"/>
      </w:tblBorders>
      <w:tblCellMar>
        <w:left w:w="0" w:type="dxa"/>
        <w:right w:w="0" w:type="dxa"/>
      </w:tblCellMar>
    </w:tblPr>
    <w:tblStylePr w:type="firstRow">
      <w:tblPr/>
      <w:tcPr>
        <w:tcBorders>
          <w:insideV w:val="single" w:sz="4" w:space="0" w:color="FFFFFF" w:themeColor="background1"/>
        </w:tcBorders>
        <w:shd w:val="clear" w:color="auto" w:fill="0075E3" w:themeFill="text1"/>
      </w:tcPr>
    </w:tblStylePr>
    <w:tblStylePr w:type="lastRow">
      <w:tblPr/>
      <w:tcPr>
        <w:shd w:val="clear" w:color="auto" w:fill="E0E0E0"/>
      </w:tcPr>
    </w:tblStylePr>
    <w:tblStylePr w:type="firstCol">
      <w:tblPr/>
      <w:tcPr>
        <w:tcBorders>
          <w:insideH w:val="single" w:sz="4" w:space="0" w:color="FFFFFF" w:themeColor="background1"/>
        </w:tcBorders>
        <w:shd w:val="clear" w:color="auto" w:fill="0075E3" w:themeFill="text1"/>
      </w:tcPr>
    </w:tblStylePr>
    <w:tblStylePr w:type="lastCol">
      <w:tblPr/>
      <w:tcPr>
        <w:shd w:val="clear" w:color="auto" w:fill="E0E0E0"/>
      </w:tcPr>
    </w:tblStylePr>
    <w:tblStylePr w:type="band2Vert">
      <w:tblPr/>
      <w:tcPr>
        <w:shd w:val="clear" w:color="auto" w:fill="E0E0E0"/>
      </w:tcPr>
    </w:tblStylePr>
    <w:tblStylePr w:type="band2Horz">
      <w:tblPr/>
      <w:tcPr>
        <w:shd w:val="clear" w:color="auto" w:fill="E0E0E0"/>
      </w:tcPr>
    </w:tblStylePr>
  </w:style>
  <w:style w:type="table" w:customStyle="1" w:styleId="TableGrey">
    <w:name w:val="Table Grey"/>
    <w:basedOn w:val="TableNormal"/>
    <w:uiPriority w:val="99"/>
    <w:rsid w:val="00C934C2"/>
    <w:pPr>
      <w:spacing w:after="0"/>
    </w:pPr>
    <w:tblPr>
      <w:tblStyleRowBandSize w:val="1"/>
      <w:tblStyleColBandSize w:val="1"/>
      <w:tblBorders>
        <w:top w:val="single" w:sz="4" w:space="0" w:color="8C50B4" w:themeColor="accent5"/>
        <w:bottom w:val="single" w:sz="4" w:space="0" w:color="8C50B4" w:themeColor="accent5"/>
        <w:insideH w:val="single" w:sz="4" w:space="0" w:color="8C50B4" w:themeColor="accent5"/>
      </w:tblBorders>
      <w:tblCellMar>
        <w:left w:w="0" w:type="dxa"/>
        <w:right w:w="0" w:type="dxa"/>
      </w:tblCellMar>
    </w:tblPr>
    <w:tblStylePr w:type="firstRow">
      <w:rPr>
        <w:color w:val="FFFFFF" w:themeColor="background1"/>
      </w:rPr>
      <w:tblPr/>
      <w:tcPr>
        <w:tcBorders>
          <w:insideV w:val="single" w:sz="4" w:space="0" w:color="FFFFFF" w:themeColor="background1"/>
        </w:tcBorders>
        <w:shd w:val="clear" w:color="auto" w:fill="002379" w:themeFill="text2"/>
      </w:tcPr>
    </w:tblStylePr>
    <w:tblStylePr w:type="lastRow">
      <w:tblPr/>
      <w:tcPr>
        <w:shd w:val="clear" w:color="auto" w:fill="B1C7FF" w:themeFill="text2" w:themeFillTint="33"/>
      </w:tcPr>
    </w:tblStylePr>
    <w:tblStylePr w:type="firstCol">
      <w:rPr>
        <w:color w:val="FFFFFF" w:themeColor="background1"/>
      </w:rPr>
      <w:tblPr/>
      <w:tcPr>
        <w:tcBorders>
          <w:insideH w:val="single" w:sz="4" w:space="0" w:color="FFFFFF" w:themeColor="background1"/>
        </w:tcBorders>
        <w:shd w:val="clear" w:color="auto" w:fill="002379" w:themeFill="text2"/>
      </w:tcPr>
    </w:tblStylePr>
    <w:tblStylePr w:type="lastCol">
      <w:tblPr/>
      <w:tcPr>
        <w:shd w:val="clear" w:color="auto" w:fill="B1C7FF" w:themeFill="text2" w:themeFillTint="33"/>
      </w:tcPr>
    </w:tblStylePr>
    <w:tblStylePr w:type="band2Vert">
      <w:tblPr/>
      <w:tcPr>
        <w:shd w:val="clear" w:color="auto" w:fill="B1C7FF" w:themeFill="text2" w:themeFillTint="33"/>
      </w:tcPr>
    </w:tblStylePr>
    <w:tblStylePr w:type="band2Horz">
      <w:tblPr/>
      <w:tcPr>
        <w:shd w:val="clear" w:color="auto" w:fill="B1C7FF" w:themeFill="text2" w:themeFillTint="33"/>
      </w:tcPr>
    </w:tblStylePr>
  </w:style>
  <w:style w:type="paragraph" w:customStyle="1" w:styleId="TableText">
    <w:name w:val="Table Text"/>
    <w:uiPriority w:val="4"/>
    <w:qFormat/>
    <w:rsid w:val="006A5D57"/>
    <w:pPr>
      <w:spacing w:after="0"/>
    </w:pPr>
    <w:rPr>
      <w:color w:val="000000"/>
    </w:rPr>
  </w:style>
  <w:style w:type="paragraph" w:customStyle="1" w:styleId="TableHeading">
    <w:name w:val="Table Heading"/>
    <w:basedOn w:val="Normal"/>
    <w:uiPriority w:val="4"/>
    <w:qFormat/>
    <w:rsid w:val="000611F1"/>
    <w:pPr>
      <w:spacing w:before="100" w:beforeAutospacing="1" w:after="100" w:afterAutospacing="1"/>
    </w:pPr>
    <w:rPr>
      <w:rFonts w:cstheme="minorHAnsi"/>
      <w:b/>
      <w:bCs/>
      <w:color w:val="FFFFFF" w:themeColor="background1"/>
      <w:sz w:val="20"/>
      <w:szCs w:val="20"/>
    </w:rPr>
  </w:style>
  <w:style w:type="paragraph" w:customStyle="1" w:styleId="TableBullet">
    <w:name w:val="Table Bullet"/>
    <w:basedOn w:val="TableText"/>
    <w:uiPriority w:val="4"/>
    <w:qFormat/>
    <w:rsid w:val="006A5D57"/>
    <w:pPr>
      <w:tabs>
        <w:tab w:val="num" w:pos="360"/>
      </w:tabs>
      <w:ind w:left="720" w:hanging="360"/>
    </w:pPr>
    <w:rPr>
      <w:sz w:val="22"/>
    </w:rPr>
  </w:style>
  <w:style w:type="paragraph" w:customStyle="1" w:styleId="TableBullet2">
    <w:name w:val="Table Bullet 2"/>
    <w:basedOn w:val="TableBullet"/>
    <w:uiPriority w:val="19"/>
    <w:semiHidden/>
    <w:rsid w:val="00B025B0"/>
    <w:pPr>
      <w:tabs>
        <w:tab w:val="clear" w:pos="360"/>
        <w:tab w:val="num" w:pos="397"/>
        <w:tab w:val="num" w:pos="850"/>
      </w:tabs>
      <w:ind w:left="1440"/>
    </w:pPr>
  </w:style>
  <w:style w:type="paragraph" w:customStyle="1" w:styleId="TableNumber">
    <w:name w:val="Table Number"/>
    <w:basedOn w:val="TableText"/>
    <w:uiPriority w:val="4"/>
    <w:qFormat/>
    <w:rsid w:val="006A5D57"/>
    <w:rPr>
      <w:sz w:val="22"/>
      <w:szCs w:val="28"/>
    </w:rPr>
  </w:style>
  <w:style w:type="paragraph" w:customStyle="1" w:styleId="TableNumber2">
    <w:name w:val="Table Number 2"/>
    <w:basedOn w:val="TableNumber"/>
    <w:uiPriority w:val="19"/>
    <w:semiHidden/>
    <w:rsid w:val="00B025B0"/>
    <w:pPr>
      <w:numPr>
        <w:ilvl w:val="1"/>
      </w:numPr>
    </w:pPr>
  </w:style>
  <w:style w:type="numbering" w:customStyle="1" w:styleId="ListTableBullet">
    <w:name w:val="List_TableBullet"/>
    <w:uiPriority w:val="99"/>
    <w:rsid w:val="00B025B0"/>
    <w:pPr>
      <w:numPr>
        <w:numId w:val="10"/>
      </w:numPr>
    </w:pPr>
  </w:style>
  <w:style w:type="numbering" w:customStyle="1" w:styleId="ListTableNumber">
    <w:name w:val="List_TableNumber"/>
    <w:uiPriority w:val="99"/>
    <w:rsid w:val="009D71E5"/>
    <w:pPr>
      <w:numPr>
        <w:numId w:val="2"/>
      </w:numPr>
    </w:pPr>
  </w:style>
  <w:style w:type="paragraph" w:customStyle="1" w:styleId="CoverDetails">
    <w:name w:val="Cover Details"/>
    <w:basedOn w:val="Normal"/>
    <w:next w:val="BodyText"/>
    <w:uiPriority w:val="12"/>
    <w:semiHidden/>
    <w:rsid w:val="00FF2483"/>
    <w:pPr>
      <w:ind w:left="142" w:right="142"/>
    </w:pPr>
    <w:rPr>
      <w:b/>
      <w:color w:val="FFFFFF" w:themeColor="background1"/>
    </w:rPr>
  </w:style>
  <w:style w:type="paragraph" w:customStyle="1" w:styleId="AppendixH2">
    <w:name w:val="Appendix H2"/>
    <w:basedOn w:val="Heading2"/>
    <w:next w:val="BodyText"/>
    <w:uiPriority w:val="14"/>
    <w:semiHidden/>
    <w:qFormat/>
    <w:rsid w:val="009E6379"/>
    <w:pPr>
      <w:numPr>
        <w:ilvl w:val="1"/>
        <w:numId w:val="9"/>
      </w:numPr>
      <w:tabs>
        <w:tab w:val="num" w:pos="850"/>
      </w:tabs>
    </w:pPr>
  </w:style>
  <w:style w:type="paragraph" w:customStyle="1" w:styleId="AppendixH3">
    <w:name w:val="Appendix H3"/>
    <w:basedOn w:val="Heading3"/>
    <w:next w:val="BodyText"/>
    <w:uiPriority w:val="14"/>
    <w:semiHidden/>
    <w:qFormat/>
    <w:rsid w:val="009E6379"/>
    <w:pPr>
      <w:numPr>
        <w:ilvl w:val="2"/>
        <w:numId w:val="9"/>
      </w:numPr>
      <w:tabs>
        <w:tab w:val="num" w:pos="1275"/>
      </w:tabs>
    </w:pPr>
  </w:style>
  <w:style w:type="paragraph" w:styleId="TOC8">
    <w:name w:val="toc 8"/>
    <w:basedOn w:val="TOC2"/>
    <w:next w:val="Normal"/>
    <w:uiPriority w:val="39"/>
    <w:semiHidden/>
    <w:rsid w:val="000D1148"/>
    <w:pPr>
      <w:tabs>
        <w:tab w:val="left" w:pos="1701"/>
      </w:tabs>
    </w:pPr>
  </w:style>
  <w:style w:type="paragraph" w:styleId="TableofFigures">
    <w:name w:val="table of figures"/>
    <w:basedOn w:val="Normal"/>
    <w:next w:val="Normal"/>
    <w:uiPriority w:val="99"/>
    <w:semiHidden/>
    <w:rsid w:val="000D1148"/>
    <w:pPr>
      <w:tabs>
        <w:tab w:val="left" w:pos="1134"/>
        <w:tab w:val="right" w:leader="dot" w:pos="10773"/>
      </w:tabs>
      <w:spacing w:before="60" w:after="60"/>
      <w:ind w:left="1134" w:hanging="1134"/>
    </w:pPr>
  </w:style>
  <w:style w:type="character" w:styleId="Hyperlink">
    <w:name w:val="Hyperlink"/>
    <w:basedOn w:val="DefaultParagraphFont"/>
    <w:uiPriority w:val="99"/>
    <w:rsid w:val="00B742E4"/>
    <w:rPr>
      <w:color w:val="0075E3" w:themeColor="hyperlink"/>
      <w:u w:val="single"/>
    </w:rPr>
  </w:style>
  <w:style w:type="numbering" w:customStyle="1" w:styleId="ListNumberedHeadings">
    <w:name w:val="List_NumberedHeadings"/>
    <w:uiPriority w:val="99"/>
    <w:rsid w:val="006C0E44"/>
    <w:pPr>
      <w:numPr>
        <w:numId w:val="7"/>
      </w:numPr>
    </w:pPr>
  </w:style>
  <w:style w:type="character" w:customStyle="1" w:styleId="Heading9Char">
    <w:name w:val="Heading 9 Char"/>
    <w:aliases w:val="Appendix H11 Char"/>
    <w:basedOn w:val="DefaultParagraphFont"/>
    <w:link w:val="Heading9"/>
    <w:uiPriority w:val="12"/>
    <w:semiHidden/>
    <w:rsid w:val="00C40FFA"/>
    <w:rPr>
      <w:rFonts w:asciiTheme="minorHAnsi" w:eastAsiaTheme="majorEastAsia" w:hAnsiTheme="minorHAnsi" w:cstheme="majorBidi"/>
      <w:b/>
      <w:iCs/>
      <w:noProof/>
      <w:color w:val="0F8AFF" w:themeColor="text1" w:themeTint="D8"/>
      <w:sz w:val="44"/>
      <w:szCs w:val="21"/>
    </w:rPr>
  </w:style>
  <w:style w:type="paragraph" w:customStyle="1" w:styleId="TOCHeading2">
    <w:name w:val="TOC Heading 2"/>
    <w:basedOn w:val="Heading3"/>
    <w:uiPriority w:val="39"/>
    <w:semiHidden/>
    <w:qFormat/>
    <w:rsid w:val="00FF2483"/>
    <w:rPr>
      <w:rFonts w:eastAsia="Times New Roman" w:cs="Times New Roman"/>
      <w:b w:val="0"/>
      <w:bCs/>
      <w:lang w:eastAsia="en-AU"/>
    </w:rPr>
  </w:style>
  <w:style w:type="character" w:styleId="CommentReference">
    <w:name w:val="annotation reference"/>
    <w:basedOn w:val="DefaultParagraphFont"/>
    <w:uiPriority w:val="99"/>
    <w:semiHidden/>
    <w:rsid w:val="00FF2483"/>
    <w:rPr>
      <w:sz w:val="16"/>
      <w:szCs w:val="16"/>
    </w:rPr>
  </w:style>
  <w:style w:type="paragraph" w:styleId="CommentText">
    <w:name w:val="annotation text"/>
    <w:basedOn w:val="Normal"/>
    <w:link w:val="CommentTextChar"/>
    <w:uiPriority w:val="99"/>
    <w:rsid w:val="00FF2483"/>
    <w:rPr>
      <w:szCs w:val="20"/>
    </w:rPr>
  </w:style>
  <w:style w:type="character" w:customStyle="1" w:styleId="CommentTextChar">
    <w:name w:val="Comment Text Char"/>
    <w:basedOn w:val="DefaultParagraphFont"/>
    <w:link w:val="CommentText"/>
    <w:uiPriority w:val="99"/>
    <w:rsid w:val="00C40FFA"/>
    <w:rPr>
      <w:szCs w:val="20"/>
    </w:rPr>
  </w:style>
  <w:style w:type="character" w:styleId="UnresolvedMention">
    <w:name w:val="Unresolved Mention"/>
    <w:basedOn w:val="DefaultParagraphFont"/>
    <w:uiPriority w:val="99"/>
    <w:semiHidden/>
    <w:rsid w:val="00FF2483"/>
    <w:rPr>
      <w:color w:val="605E5C"/>
      <w:shd w:val="clear" w:color="auto" w:fill="E1DFDD"/>
    </w:rPr>
  </w:style>
  <w:style w:type="paragraph" w:styleId="BalloonText">
    <w:name w:val="Balloon Text"/>
    <w:basedOn w:val="Normal"/>
    <w:link w:val="BalloonTextChar"/>
    <w:uiPriority w:val="99"/>
    <w:semiHidden/>
    <w:rsid w:val="00FF248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0FFA"/>
    <w:rPr>
      <w:rFonts w:ascii="Segoe UI" w:hAnsi="Segoe UI" w:cs="Segoe UI"/>
      <w:sz w:val="18"/>
      <w:szCs w:val="18"/>
    </w:rPr>
  </w:style>
  <w:style w:type="paragraph" w:customStyle="1" w:styleId="FigureCaption">
    <w:name w:val="Figure Caption"/>
    <w:basedOn w:val="BodyText"/>
    <w:uiPriority w:val="6"/>
    <w:semiHidden/>
    <w:qFormat/>
    <w:rsid w:val="00EC1354"/>
    <w:rPr>
      <w:i/>
      <w:color w:val="002379" w:themeColor="text2"/>
      <w:sz w:val="18"/>
    </w:rPr>
  </w:style>
  <w:style w:type="character" w:styleId="FollowedHyperlink">
    <w:name w:val="FollowedHyperlink"/>
    <w:basedOn w:val="DefaultParagraphFont"/>
    <w:uiPriority w:val="15"/>
    <w:semiHidden/>
    <w:rsid w:val="004A21D3"/>
    <w:rPr>
      <w:color w:val="002379" w:themeColor="followedHyperlink"/>
      <w:u w:val="single"/>
    </w:rPr>
  </w:style>
  <w:style w:type="paragraph" w:styleId="Date">
    <w:name w:val="Date"/>
    <w:basedOn w:val="Normal"/>
    <w:next w:val="Normal"/>
    <w:link w:val="DateChar"/>
    <w:uiPriority w:val="6"/>
    <w:rsid w:val="00A72E10"/>
    <w:pPr>
      <w:spacing w:before="480"/>
    </w:pPr>
    <w:rPr>
      <w:color w:val="FFFFFF" w:themeColor="background1"/>
    </w:rPr>
  </w:style>
  <w:style w:type="character" w:customStyle="1" w:styleId="DateChar">
    <w:name w:val="Date Char"/>
    <w:basedOn w:val="DefaultParagraphFont"/>
    <w:link w:val="Date"/>
    <w:uiPriority w:val="6"/>
    <w:rsid w:val="009131A1"/>
    <w:rPr>
      <w:color w:val="FFFFFF" w:themeColor="background1"/>
    </w:rPr>
  </w:style>
  <w:style w:type="paragraph" w:customStyle="1" w:styleId="IntroText">
    <w:name w:val="Intro Text"/>
    <w:next w:val="Normal"/>
    <w:uiPriority w:val="3"/>
    <w:qFormat/>
    <w:rsid w:val="00DE69A6"/>
    <w:rPr>
      <w:rFonts w:cstheme="minorHAnsi"/>
      <w:color w:val="0075E3" w:themeColor="accent1"/>
      <w:szCs w:val="28"/>
    </w:rPr>
  </w:style>
  <w:style w:type="paragraph" w:customStyle="1" w:styleId="NbrHeading1">
    <w:name w:val="Nbr Heading 1"/>
    <w:basedOn w:val="AltHeading1"/>
    <w:next w:val="BodyText"/>
    <w:uiPriority w:val="2"/>
    <w:qFormat/>
    <w:rsid w:val="00C40FFA"/>
    <w:pPr>
      <w:pageBreakBefore w:val="0"/>
    </w:pPr>
  </w:style>
  <w:style w:type="paragraph" w:customStyle="1" w:styleId="NbrHeading2">
    <w:name w:val="Nbr Heading 2"/>
    <w:basedOn w:val="AltHeading2"/>
    <w:next w:val="BodyText"/>
    <w:uiPriority w:val="2"/>
    <w:qFormat/>
    <w:rsid w:val="00762418"/>
    <w:pPr>
      <w:tabs>
        <w:tab w:val="clear" w:pos="680"/>
      </w:tabs>
      <w:ind w:left="0" w:firstLine="0"/>
    </w:pPr>
  </w:style>
  <w:style w:type="paragraph" w:customStyle="1" w:styleId="NbrHeading3">
    <w:name w:val="Nbr Heading 3"/>
    <w:basedOn w:val="AltHeading3"/>
    <w:next w:val="BodyText"/>
    <w:uiPriority w:val="2"/>
    <w:qFormat/>
    <w:rsid w:val="00C40FFA"/>
  </w:style>
  <w:style w:type="paragraph" w:customStyle="1" w:styleId="NbrHeading4">
    <w:name w:val="Nbr Heading 4"/>
    <w:basedOn w:val="AltHeading4"/>
    <w:next w:val="BodyText"/>
    <w:uiPriority w:val="2"/>
    <w:qFormat/>
    <w:rsid w:val="00C40FFA"/>
  </w:style>
  <w:style w:type="paragraph" w:customStyle="1" w:styleId="NbrHeading5">
    <w:name w:val="Nbr Heading 5"/>
    <w:basedOn w:val="Heading5"/>
    <w:next w:val="BodyText"/>
    <w:uiPriority w:val="1"/>
    <w:semiHidden/>
    <w:qFormat/>
    <w:rsid w:val="00DE69A6"/>
    <w:pPr>
      <w:tabs>
        <w:tab w:val="num" w:pos="1134"/>
      </w:tabs>
      <w:ind w:left="1134" w:hanging="1134"/>
    </w:pPr>
    <w:rPr>
      <w:rFonts w:eastAsia="Times New Roman" w:cs="Times New Roman"/>
      <w:b w:val="0"/>
      <w:bCs/>
      <w:i/>
      <w:iCs/>
      <w:lang w:eastAsia="en-AU"/>
    </w:rPr>
  </w:style>
  <w:style w:type="table" w:customStyle="1" w:styleId="SEWtable2">
    <w:name w:val="SEW table 2"/>
    <w:basedOn w:val="TableNormal"/>
    <w:uiPriority w:val="99"/>
    <w:rsid w:val="006A5D57"/>
    <w:pPr>
      <w:spacing w:after="0" w:line="264" w:lineRule="auto"/>
    </w:pPr>
    <w:rPr>
      <w:sz w:val="22"/>
    </w:rPr>
    <w:tblPr>
      <w:tblStyleRowBandSize w:val="1"/>
      <w:tblStyleColBandSize w:val="1"/>
      <w:tblBorders>
        <w:bottom w:val="single" w:sz="4" w:space="0" w:color="C6E3FF" w:themeColor="accent1" w:themeTint="33"/>
        <w:insideH w:val="single" w:sz="4" w:space="0" w:color="C6E3FF" w:themeColor="accent1" w:themeTint="33"/>
      </w:tblBorders>
      <w:tblCellMar>
        <w:top w:w="85" w:type="dxa"/>
        <w:left w:w="0" w:type="dxa"/>
        <w:bottom w:w="85" w:type="dxa"/>
        <w:right w:w="0" w:type="dxa"/>
      </w:tblCellMar>
    </w:tblPr>
    <w:trPr>
      <w:cantSplit/>
    </w:trPr>
    <w:tcPr>
      <w:shd w:val="clear" w:color="auto" w:fill="FFFFFF" w:themeFill="background1"/>
      <w:vAlign w:val="center"/>
    </w:tcPr>
    <w:tblStylePr w:type="firstRow">
      <w:pPr>
        <w:wordWrap/>
        <w:spacing w:beforeLines="0" w:before="0" w:beforeAutospacing="0" w:afterLines="0" w:after="0" w:afterAutospacing="0" w:line="240" w:lineRule="auto"/>
        <w:contextualSpacing w:val="0"/>
      </w:pPr>
      <w:rPr>
        <w:rFonts w:asciiTheme="minorHAnsi" w:hAnsiTheme="minorHAnsi"/>
        <w:b/>
        <w:color w:val="002379" w:themeColor="text2"/>
        <w:sz w:val="22"/>
      </w:rPr>
      <w:tblPr/>
      <w:tcPr>
        <w:tcBorders>
          <w:top w:val="single" w:sz="8" w:space="0" w:color="0075E3" w:themeColor="accent1"/>
          <w:bottom w:val="single" w:sz="8" w:space="0" w:color="0075E3" w:themeColor="accent1"/>
        </w:tcBorders>
        <w:shd w:val="clear" w:color="auto" w:fill="FFFFFF" w:themeFill="background1"/>
      </w:tcPr>
    </w:tblStylePr>
    <w:tblStylePr w:type="lastRow">
      <w:rPr>
        <w:b/>
      </w:rPr>
      <w:tblPr/>
      <w:tcPr>
        <w:shd w:val="clear" w:color="auto" w:fill="FFFFFF" w:themeFill="background1"/>
      </w:tcPr>
    </w:tblStylePr>
    <w:tblStylePr w:type="firstCol">
      <w:rPr>
        <w:color w:val="auto"/>
      </w:rPr>
      <w:tblPr/>
      <w:tcPr>
        <w:shd w:val="clear" w:color="auto" w:fill="FFFFFF" w:themeFill="background1"/>
      </w:tcPr>
    </w:tblStylePr>
    <w:tblStylePr w:type="band2Vert">
      <w:tblPr/>
      <w:tcPr>
        <w:shd w:val="clear" w:color="auto" w:fill="FFFFFF" w:themeFill="background1"/>
      </w:tcPr>
    </w:tblStylePr>
    <w:tblStylePr w:type="band2Horz">
      <w:tblPr/>
      <w:tcPr>
        <w:shd w:val="clear" w:color="auto" w:fill="FFFFFF" w:themeFill="background1"/>
      </w:tcPr>
    </w:tblStylePr>
  </w:style>
  <w:style w:type="table" w:customStyle="1" w:styleId="SEWTable1">
    <w:name w:val="SEW Table 1"/>
    <w:basedOn w:val="TableNormal"/>
    <w:uiPriority w:val="99"/>
    <w:qFormat/>
    <w:rsid w:val="006A5D57"/>
    <w:pPr>
      <w:spacing w:after="0"/>
    </w:pPr>
    <w:rPr>
      <w:sz w:val="22"/>
    </w:rPr>
    <w:tblPr>
      <w:tblStyleRowBandSize w:val="1"/>
      <w:tblStyleColBandSize w:val="1"/>
      <w:tblBorders>
        <w:insideH w:val="single" w:sz="12" w:space="0" w:color="FFFFFF" w:themeColor="background1"/>
        <w:insideV w:val="single" w:sz="12" w:space="0" w:color="FFFFFF" w:themeColor="background1"/>
      </w:tblBorders>
      <w:tblCellMar>
        <w:top w:w="85" w:type="dxa"/>
        <w:left w:w="57" w:type="dxa"/>
        <w:bottom w:w="85" w:type="dxa"/>
        <w:right w:w="57" w:type="dxa"/>
      </w:tblCellMar>
    </w:tblPr>
    <w:trPr>
      <w:cantSplit/>
    </w:trPr>
    <w:tcPr>
      <w:shd w:val="clear" w:color="auto" w:fill="auto"/>
    </w:tcPr>
    <w:tblStylePr w:type="firstRow">
      <w:rPr>
        <w:rFonts w:asciiTheme="minorHAnsi" w:hAnsiTheme="minorHAnsi"/>
        <w:b/>
        <w:color w:val="FFFFFF" w:themeColor="background2"/>
        <w:sz w:val="22"/>
      </w:rPr>
      <w:tblPr/>
      <w:tcPr>
        <w:shd w:val="clear" w:color="auto" w:fill="0075E3" w:themeFill="accent1"/>
      </w:tcPr>
    </w:tblStylePr>
    <w:tblStylePr w:type="lastRow">
      <w:rPr>
        <w:b/>
        <w:color w:val="auto"/>
      </w:rPr>
    </w:tblStylePr>
    <w:tblStylePr w:type="firstCol">
      <w:rPr>
        <w:color w:val="auto"/>
      </w:rPr>
    </w:tblStylePr>
    <w:tblStylePr w:type="band1Horz">
      <w:tblPr/>
      <w:tcPr>
        <w:shd w:val="clear" w:color="auto" w:fill="C6E3FF" w:themeFill="accent1" w:themeFillTint="33"/>
      </w:tcPr>
    </w:tblStylePr>
  </w:style>
  <w:style w:type="table" w:styleId="GridTable4-Accent3">
    <w:name w:val="Grid Table 4 Accent 3"/>
    <w:basedOn w:val="TableNormal"/>
    <w:uiPriority w:val="49"/>
    <w:rsid w:val="00A16A55"/>
    <w:pPr>
      <w:spacing w:before="120" w:after="0"/>
    </w:pPr>
    <w:rPr>
      <w:sz w:val="20"/>
      <w:szCs w:val="20"/>
    </w:rPr>
    <w:tblPr>
      <w:tblStyleRowBandSize w:val="1"/>
      <w:tblStyleColBandSize w:val="1"/>
      <w:tblBorders>
        <w:top w:val="single" w:sz="4" w:space="0" w:color="FFF166" w:themeColor="accent3" w:themeTint="99"/>
        <w:left w:val="single" w:sz="4" w:space="0" w:color="FFF166" w:themeColor="accent3" w:themeTint="99"/>
        <w:bottom w:val="single" w:sz="4" w:space="0" w:color="FFF166" w:themeColor="accent3" w:themeTint="99"/>
        <w:right w:val="single" w:sz="4" w:space="0" w:color="FFF166" w:themeColor="accent3" w:themeTint="99"/>
        <w:insideH w:val="single" w:sz="4" w:space="0" w:color="FFF166" w:themeColor="accent3" w:themeTint="99"/>
        <w:insideV w:val="single" w:sz="4" w:space="0" w:color="FFF166" w:themeColor="accent3" w:themeTint="99"/>
      </w:tblBorders>
    </w:tblPr>
    <w:tblStylePr w:type="firstRow">
      <w:rPr>
        <w:b/>
        <w:bCs/>
        <w:color w:val="FFFFFF" w:themeColor="background1"/>
      </w:rPr>
      <w:tblPr/>
      <w:tcPr>
        <w:tcBorders>
          <w:top w:val="single" w:sz="4" w:space="0" w:color="FFE900" w:themeColor="accent3"/>
          <w:left w:val="single" w:sz="4" w:space="0" w:color="FFE900" w:themeColor="accent3"/>
          <w:bottom w:val="single" w:sz="4" w:space="0" w:color="FFE900" w:themeColor="accent3"/>
          <w:right w:val="single" w:sz="4" w:space="0" w:color="FFE900" w:themeColor="accent3"/>
          <w:insideH w:val="nil"/>
          <w:insideV w:val="nil"/>
        </w:tcBorders>
        <w:shd w:val="clear" w:color="auto" w:fill="FFE900" w:themeFill="accent3"/>
      </w:tcPr>
    </w:tblStylePr>
    <w:tblStylePr w:type="lastRow">
      <w:rPr>
        <w:b/>
        <w:bCs/>
      </w:rPr>
      <w:tblPr/>
      <w:tcPr>
        <w:tcBorders>
          <w:top w:val="double" w:sz="4" w:space="0" w:color="FFE900" w:themeColor="accent3"/>
        </w:tcBorders>
      </w:tcPr>
    </w:tblStylePr>
    <w:tblStylePr w:type="firstCol">
      <w:rPr>
        <w:b/>
        <w:bCs/>
      </w:rPr>
    </w:tblStylePr>
    <w:tblStylePr w:type="lastCol">
      <w:rPr>
        <w:b/>
        <w:bCs/>
      </w:rPr>
    </w:tblStylePr>
    <w:tblStylePr w:type="band1Vert">
      <w:tblPr/>
      <w:tcPr>
        <w:shd w:val="clear" w:color="auto" w:fill="FFFACC" w:themeFill="accent3" w:themeFillTint="33"/>
      </w:tcPr>
    </w:tblStylePr>
    <w:tblStylePr w:type="band1Horz">
      <w:tblPr/>
      <w:tcPr>
        <w:shd w:val="clear" w:color="auto" w:fill="FFFACC" w:themeFill="accent3" w:themeFillTint="33"/>
      </w:tcPr>
    </w:tblStylePr>
  </w:style>
  <w:style w:type="paragraph" w:customStyle="1" w:styleId="Image">
    <w:name w:val="Image"/>
    <w:uiPriority w:val="1"/>
    <w:semiHidden/>
    <w:qFormat/>
    <w:rsid w:val="0046279C"/>
    <w:pPr>
      <w:spacing w:after="0" w:line="264" w:lineRule="auto"/>
    </w:pPr>
    <w:rPr>
      <w:noProof/>
      <w:sz w:val="20"/>
    </w:rPr>
  </w:style>
  <w:style w:type="paragraph" w:customStyle="1" w:styleId="Name">
    <w:name w:val="Name"/>
    <w:basedOn w:val="Normal"/>
    <w:uiPriority w:val="2"/>
    <w:semiHidden/>
    <w:qFormat/>
    <w:rsid w:val="0046279C"/>
    <w:pPr>
      <w:spacing w:before="160"/>
      <w:jc w:val="center"/>
    </w:pPr>
    <w:rPr>
      <w:rFonts w:ascii="DINOT-Bold" w:hAnsi="DINOT-Bold" w:cs="DINOT-Bold"/>
    </w:rPr>
  </w:style>
  <w:style w:type="paragraph" w:customStyle="1" w:styleId="Divider">
    <w:name w:val="Divider"/>
    <w:uiPriority w:val="3"/>
    <w:qFormat/>
    <w:rsid w:val="000122B1"/>
    <w:pPr>
      <w:spacing w:line="720" w:lineRule="exact"/>
      <w:ind w:right="2818"/>
    </w:pPr>
    <w:rPr>
      <w:rFonts w:asciiTheme="minorHAnsi" w:hAnsiTheme="minorHAnsi"/>
      <w:b/>
      <w:bCs/>
      <w:color w:val="FFFFFF" w:themeColor="background1"/>
      <w:sz w:val="68"/>
      <w:szCs w:val="52"/>
    </w:rPr>
  </w:style>
  <w:style w:type="paragraph" w:customStyle="1" w:styleId="Statement">
    <w:name w:val="Statement"/>
    <w:uiPriority w:val="2"/>
    <w:semiHidden/>
    <w:qFormat/>
    <w:rsid w:val="002B28AC"/>
    <w:pPr>
      <w:spacing w:before="80" w:after="0" w:line="264" w:lineRule="auto"/>
      <w:jc w:val="center"/>
    </w:pPr>
    <w:rPr>
      <w:rFonts w:ascii="Roobert" w:eastAsia="+mj-ea" w:hAnsi="Roobert" w:cs="+mj-cs"/>
      <w:color w:val="0075E3" w:themeColor="accent1"/>
      <w:kern w:val="24"/>
      <w:sz w:val="132"/>
      <w:szCs w:val="132"/>
    </w:rPr>
  </w:style>
  <w:style w:type="table" w:styleId="TableGridLight">
    <w:name w:val="Grid Table Light"/>
    <w:basedOn w:val="TableNormal"/>
    <w:uiPriority w:val="40"/>
    <w:rsid w:val="002B28AC"/>
    <w:pPr>
      <w:spacing w:before="80" w:after="0" w:line="264"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tatementtext">
    <w:name w:val="Statement text"/>
    <w:uiPriority w:val="5"/>
    <w:qFormat/>
    <w:rsid w:val="002B28AC"/>
    <w:pPr>
      <w:spacing w:before="120" w:after="0" w:line="264" w:lineRule="auto"/>
      <w:jc w:val="center"/>
    </w:pPr>
    <w:rPr>
      <w:sz w:val="28"/>
      <w:szCs w:val="28"/>
    </w:rPr>
  </w:style>
  <w:style w:type="paragraph" w:customStyle="1" w:styleId="BigStat">
    <w:name w:val="Big Stat"/>
    <w:uiPriority w:val="5"/>
    <w:qFormat/>
    <w:rsid w:val="00C40FFA"/>
    <w:pPr>
      <w:pageBreakBefore/>
      <w:spacing w:before="80" w:after="360" w:line="264" w:lineRule="auto"/>
      <w:jc w:val="center"/>
    </w:pPr>
    <w:rPr>
      <w:b/>
      <w:bCs/>
      <w:color w:val="002379" w:themeColor="text2"/>
      <w:sz w:val="180"/>
      <w:szCs w:val="180"/>
    </w:rPr>
  </w:style>
  <w:style w:type="paragraph" w:customStyle="1" w:styleId="Tabletitle">
    <w:name w:val="Table title"/>
    <w:basedOn w:val="Caption"/>
    <w:uiPriority w:val="3"/>
    <w:qFormat/>
    <w:rsid w:val="00470909"/>
  </w:style>
  <w:style w:type="paragraph" w:customStyle="1" w:styleId="Figuretitle">
    <w:name w:val="Figure title"/>
    <w:basedOn w:val="Caption"/>
    <w:uiPriority w:val="4"/>
    <w:qFormat/>
    <w:rsid w:val="00470909"/>
  </w:style>
  <w:style w:type="paragraph" w:customStyle="1" w:styleId="Contactheading">
    <w:name w:val="Contact heading"/>
    <w:uiPriority w:val="5"/>
    <w:qFormat/>
    <w:rsid w:val="00470909"/>
    <w:rPr>
      <w:b/>
      <w:bCs/>
      <w:color w:val="002379" w:themeColor="text2"/>
      <w:kern w:val="24"/>
      <w:lang w:val="en-US"/>
    </w:rPr>
  </w:style>
  <w:style w:type="paragraph" w:customStyle="1" w:styleId="Contactinfo">
    <w:name w:val="Contact info"/>
    <w:uiPriority w:val="1"/>
    <w:semiHidden/>
    <w:qFormat/>
    <w:rsid w:val="00470909"/>
    <w:pPr>
      <w:spacing w:after="0"/>
    </w:pPr>
    <w:rPr>
      <w:b/>
      <w:bCs/>
      <w:color w:val="0075E3" w:themeColor="accent1"/>
      <w:kern w:val="24"/>
    </w:rPr>
  </w:style>
  <w:style w:type="table" w:styleId="GridTable4-Accent2">
    <w:name w:val="Grid Table 4 Accent 2"/>
    <w:aliases w:val="SEW table 3"/>
    <w:basedOn w:val="TableNormal"/>
    <w:uiPriority w:val="49"/>
    <w:rsid w:val="006A5D57"/>
    <w:pPr>
      <w:spacing w:after="0"/>
    </w:pPr>
    <w:tblPr>
      <w:tblStyleRowBandSize w:val="1"/>
      <w:tblStyleColBandSize w:val="1"/>
      <w:tblBorders>
        <w:top w:val="single" w:sz="4" w:space="0" w:color="00B1F4" w:themeColor="accent2"/>
        <w:left w:val="single" w:sz="4" w:space="0" w:color="00B1F4" w:themeColor="accent2"/>
        <w:bottom w:val="single" w:sz="4" w:space="0" w:color="00B1F4" w:themeColor="accent2"/>
        <w:right w:val="single" w:sz="4" w:space="0" w:color="00B1F4" w:themeColor="accent2"/>
        <w:insideH w:val="single" w:sz="4" w:space="0" w:color="00B1F4" w:themeColor="accent2"/>
        <w:insideV w:val="single" w:sz="4" w:space="0" w:color="00B1F4" w:themeColor="accent2"/>
      </w:tblBorders>
      <w:tblCellMar>
        <w:top w:w="85" w:type="dxa"/>
        <w:bottom w:w="85" w:type="dxa"/>
      </w:tblCellMar>
    </w:tblPr>
    <w:tcPr>
      <w:vAlign w:val="center"/>
    </w:tcPr>
    <w:tblStylePr w:type="firstRow">
      <w:rPr>
        <w:rFonts w:asciiTheme="minorHAnsi" w:hAnsiTheme="minorHAnsi"/>
        <w:b/>
        <w:bCs/>
        <w:color w:val="FFFFFF" w:themeColor="background1"/>
        <w:sz w:val="22"/>
      </w:rPr>
      <w:tblPr/>
      <w:tcPr>
        <w:tcBorders>
          <w:top w:val="single" w:sz="8" w:space="0" w:color="00B1F4" w:themeColor="accent2"/>
          <w:left w:val="single" w:sz="8" w:space="0" w:color="00B1F4" w:themeColor="accent2"/>
          <w:bottom w:val="single" w:sz="8" w:space="0" w:color="00B1F4" w:themeColor="accent2"/>
          <w:right w:val="single" w:sz="8" w:space="0" w:color="00B1F4" w:themeColor="accent2"/>
          <w:insideH w:val="nil"/>
          <w:insideV w:val="nil"/>
        </w:tcBorders>
        <w:shd w:val="clear" w:color="auto" w:fill="00B1F4" w:themeFill="accent2"/>
      </w:tcPr>
    </w:tblStylePr>
    <w:tblStylePr w:type="lastRow">
      <w:rPr>
        <w:b/>
        <w:bCs/>
      </w:rPr>
      <w:tblPr/>
      <w:tcPr>
        <w:tcBorders>
          <w:top w:val="single" w:sz="4" w:space="0" w:color="00B1F4" w:themeColor="accent2"/>
          <w:left w:val="single" w:sz="4" w:space="0" w:color="00B1F4" w:themeColor="accent2"/>
          <w:bottom w:val="single" w:sz="4" w:space="0" w:color="00B1F4" w:themeColor="accent2"/>
          <w:right w:val="single" w:sz="4" w:space="0" w:color="00B1F4" w:themeColor="accent2"/>
          <w:insideH w:val="single" w:sz="4" w:space="0" w:color="00B1F4" w:themeColor="accent2"/>
          <w:insideV w:val="single" w:sz="4" w:space="0" w:color="00B1F4" w:themeColor="accent2"/>
          <w:tl2br w:val="nil"/>
          <w:tr2bl w:val="nil"/>
        </w:tcBorders>
      </w:tcPr>
    </w:tblStylePr>
    <w:tblStylePr w:type="firstCol">
      <w:rPr>
        <w:b w:val="0"/>
        <w:bCs/>
      </w:rPr>
    </w:tblStylePr>
    <w:tblStylePr w:type="lastCol">
      <w:rPr>
        <w:b w:val="0"/>
        <w:bCs/>
      </w:rPr>
    </w:tblStylePr>
    <w:tblStylePr w:type="band1Horz">
      <w:tblPr/>
      <w:tcPr>
        <w:shd w:val="clear" w:color="auto" w:fill="FFFFFF" w:themeFill="background1"/>
      </w:tcPr>
    </w:tblStylePr>
  </w:style>
  <w:style w:type="paragraph" w:customStyle="1" w:styleId="Bulletlistmultilevel">
    <w:name w:val="Bullet list multilevel"/>
    <w:basedOn w:val="Normal"/>
    <w:qFormat/>
    <w:rsid w:val="003B1811"/>
    <w:pPr>
      <w:spacing w:after="60" w:line="259" w:lineRule="auto"/>
      <w:ind w:left="720" w:hanging="360"/>
    </w:pPr>
    <w:rPr>
      <w:rFonts w:asciiTheme="minorHAnsi" w:hAnsiTheme="minorHAnsi"/>
      <w:sz w:val="22"/>
      <w:szCs w:val="22"/>
    </w:rPr>
  </w:style>
  <w:style w:type="paragraph" w:customStyle="1" w:styleId="Numberedlistmultilevel">
    <w:name w:val="Numbered list multilevel"/>
    <w:basedOn w:val="Normal"/>
    <w:qFormat/>
    <w:rsid w:val="003B1811"/>
    <w:pPr>
      <w:tabs>
        <w:tab w:val="num" w:pos="425"/>
      </w:tabs>
      <w:spacing w:after="60" w:line="259" w:lineRule="auto"/>
      <w:ind w:left="425" w:hanging="425"/>
    </w:pPr>
    <w:rPr>
      <w:rFonts w:asciiTheme="minorHAnsi" w:hAnsiTheme="minorHAnsi"/>
      <w:sz w:val="22"/>
      <w:szCs w:val="22"/>
    </w:rPr>
  </w:style>
  <w:style w:type="character" w:customStyle="1" w:styleId="CaptionChar">
    <w:name w:val="Caption Char"/>
    <w:basedOn w:val="DefaultParagraphFont"/>
    <w:link w:val="Caption"/>
    <w:uiPriority w:val="35"/>
    <w:rsid w:val="007D2B33"/>
    <w:rPr>
      <w:b/>
      <w:iCs/>
      <w:szCs w:val="18"/>
    </w:rPr>
  </w:style>
  <w:style w:type="paragraph" w:styleId="FootnoteText">
    <w:name w:val="footnote text"/>
    <w:aliases w:val="(NECG) Footnote Text,ALTS FOOTNOTE,Footnote Text Char Char Char,Footnote Text Char1 Char Char,Footnote Text Char Char Char Char Char,Footnote Text Char Char1 Char Char,Footnote Text Char Char1,f,Footnote Text1,Footnote Text2,ALTS FOOTNOTE2"/>
    <w:basedOn w:val="Normal"/>
    <w:link w:val="FootnoteTextChar"/>
    <w:qFormat/>
    <w:rsid w:val="007D2B33"/>
    <w:pPr>
      <w:autoSpaceDE w:val="0"/>
      <w:autoSpaceDN w:val="0"/>
      <w:adjustRightInd w:val="0"/>
      <w:spacing w:after="0" w:line="259" w:lineRule="auto"/>
    </w:pPr>
    <w:rPr>
      <w:rFonts w:eastAsia="Times New Roman" w:cs="Times New Roman"/>
      <w:color w:val="000000"/>
      <w:sz w:val="18"/>
      <w:szCs w:val="20"/>
      <w:lang w:eastAsia="en-AU"/>
    </w:rPr>
  </w:style>
  <w:style w:type="character" w:customStyle="1" w:styleId="FootnoteTextChar">
    <w:name w:val="Footnote Text Char"/>
    <w:aliases w:val="(NECG) Footnote Text Char,ALTS FOOTNOTE Char,Footnote Text Char Char Char Char,Footnote Text Char1 Char Char Char,Footnote Text Char Char Char Char Char Char,Footnote Text Char Char1 Char Char Char,Footnote Text Char Char1 Char,f Char"/>
    <w:basedOn w:val="DefaultParagraphFont"/>
    <w:link w:val="FootnoteText"/>
    <w:rsid w:val="007D2B33"/>
    <w:rPr>
      <w:rFonts w:eastAsia="Times New Roman" w:cs="Times New Roman"/>
      <w:color w:val="000000"/>
      <w:sz w:val="18"/>
      <w:szCs w:val="20"/>
      <w:lang w:eastAsia="en-AU"/>
    </w:rPr>
  </w:style>
  <w:style w:type="character" w:styleId="FootnoteReference">
    <w:name w:val="footnote reference"/>
    <w:aliases w:val="Heading Table Bold"/>
    <w:basedOn w:val="DefaultParagraphFont"/>
    <w:uiPriority w:val="99"/>
    <w:qFormat/>
    <w:rsid w:val="007349FD"/>
    <w:rPr>
      <w:rFonts w:asciiTheme="minorHAnsi" w:hAnsiTheme="minorHAnsi"/>
      <w:b/>
      <w:color w:val="FFFFFF" w:themeColor="background1"/>
      <w:sz w:val="20"/>
      <w:vertAlign w:val="superscript"/>
    </w:rPr>
  </w:style>
  <w:style w:type="paragraph" w:customStyle="1" w:styleId="Default">
    <w:name w:val="Default"/>
    <w:rsid w:val="006D2A5C"/>
    <w:pPr>
      <w:autoSpaceDE w:val="0"/>
      <w:autoSpaceDN w:val="0"/>
      <w:adjustRightInd w:val="0"/>
      <w:spacing w:after="0"/>
    </w:pPr>
    <w:rPr>
      <w:rFonts w:asciiTheme="minorHAnsi" w:eastAsia="Times New Roman" w:hAnsiTheme="minorHAnsi" w:cs="Times New Roman"/>
      <w:color w:val="000000"/>
      <w:lang w:eastAsia="en-AU"/>
    </w:rPr>
  </w:style>
  <w:style w:type="paragraph" w:styleId="NormalIndent">
    <w:name w:val="Normal Indent"/>
    <w:basedOn w:val="Normal"/>
    <w:qFormat/>
    <w:rsid w:val="006D2A5C"/>
    <w:pPr>
      <w:spacing w:after="160" w:line="259" w:lineRule="auto"/>
      <w:ind w:left="714"/>
    </w:pPr>
    <w:rPr>
      <w:rFonts w:asciiTheme="minorHAnsi" w:hAnsiTheme="minorHAnsi"/>
      <w:sz w:val="22"/>
      <w:szCs w:val="22"/>
    </w:rPr>
  </w:style>
  <w:style w:type="paragraph" w:styleId="NormalWeb">
    <w:name w:val="Normal (Web)"/>
    <w:basedOn w:val="Normal"/>
    <w:uiPriority w:val="99"/>
    <w:unhideWhenUsed/>
    <w:rsid w:val="00841FDF"/>
    <w:pPr>
      <w:spacing w:after="0"/>
    </w:pPr>
    <w:rPr>
      <w:rFonts w:ascii="Times New Roman" w:hAnsi="Times New Roman" w:cs="Times New Roman"/>
      <w:sz w:val="22"/>
      <w:lang w:eastAsia="en-AU"/>
    </w:rPr>
  </w:style>
  <w:style w:type="paragraph" w:customStyle="1" w:styleId="paragraph">
    <w:name w:val="paragraph"/>
    <w:basedOn w:val="Normal"/>
    <w:rsid w:val="00841FDF"/>
    <w:pPr>
      <w:spacing w:before="100" w:beforeAutospacing="1" w:after="100" w:afterAutospacing="1"/>
    </w:pPr>
    <w:rPr>
      <w:rFonts w:ascii="Times New Roman" w:eastAsia="Times New Roman" w:hAnsi="Times New Roman" w:cs="Times New Roman"/>
      <w:lang w:eastAsia="en-AU"/>
    </w:rPr>
  </w:style>
  <w:style w:type="character" w:customStyle="1" w:styleId="normaltextrun">
    <w:name w:val="normaltextrun"/>
    <w:basedOn w:val="DefaultParagraphFont"/>
    <w:rsid w:val="00841FDF"/>
  </w:style>
  <w:style w:type="character" w:customStyle="1" w:styleId="eop">
    <w:name w:val="eop"/>
    <w:basedOn w:val="DefaultParagraphFont"/>
    <w:rsid w:val="00841FDF"/>
  </w:style>
  <w:style w:type="paragraph" w:styleId="BodyText3">
    <w:name w:val="Body Text 3"/>
    <w:basedOn w:val="Normal"/>
    <w:link w:val="BodyText3Char"/>
    <w:uiPriority w:val="99"/>
    <w:semiHidden/>
    <w:rsid w:val="004A2BA9"/>
    <w:rPr>
      <w:sz w:val="16"/>
      <w:szCs w:val="16"/>
    </w:rPr>
  </w:style>
  <w:style w:type="character" w:customStyle="1" w:styleId="BodyText3Char">
    <w:name w:val="Body Text 3 Char"/>
    <w:basedOn w:val="DefaultParagraphFont"/>
    <w:link w:val="BodyText3"/>
    <w:uiPriority w:val="99"/>
    <w:semiHidden/>
    <w:rsid w:val="004A2BA9"/>
    <w:rPr>
      <w:sz w:val="16"/>
      <w:szCs w:val="16"/>
    </w:rPr>
  </w:style>
  <w:style w:type="paragraph" w:styleId="CommentSubject">
    <w:name w:val="annotation subject"/>
    <w:basedOn w:val="CommentText"/>
    <w:next w:val="CommentText"/>
    <w:link w:val="CommentSubjectChar"/>
    <w:uiPriority w:val="99"/>
    <w:semiHidden/>
    <w:rsid w:val="009F3C05"/>
    <w:rPr>
      <w:b/>
      <w:bCs/>
      <w:sz w:val="20"/>
    </w:rPr>
  </w:style>
  <w:style w:type="character" w:customStyle="1" w:styleId="CommentSubjectChar">
    <w:name w:val="Comment Subject Char"/>
    <w:basedOn w:val="CommentTextChar"/>
    <w:link w:val="CommentSubject"/>
    <w:uiPriority w:val="99"/>
    <w:semiHidden/>
    <w:rsid w:val="009F3C05"/>
    <w:rPr>
      <w:b/>
      <w:bCs/>
      <w:sz w:val="20"/>
      <w:szCs w:val="20"/>
    </w:rPr>
  </w:style>
  <w:style w:type="character" w:styleId="Mention">
    <w:name w:val="Mention"/>
    <w:basedOn w:val="DefaultParagraphFont"/>
    <w:uiPriority w:val="99"/>
    <w:unhideWhenUsed/>
    <w:rsid w:val="00A26016"/>
    <w:rPr>
      <w:color w:val="2B579A"/>
      <w:shd w:val="clear" w:color="auto" w:fill="E6E6E6"/>
    </w:rPr>
  </w:style>
  <w:style w:type="table" w:customStyle="1" w:styleId="MJTableStyle1default">
    <w:name w:val="*MJ Table Style 1 (default)"/>
    <w:basedOn w:val="TableNormal"/>
    <w:uiPriority w:val="99"/>
    <w:rsid w:val="009A5C48"/>
    <w:pPr>
      <w:spacing w:before="60" w:after="60"/>
    </w:pPr>
    <w:rPr>
      <w:rFonts w:asciiTheme="minorHAnsi" w:hAnsiTheme="minorHAnsi"/>
      <w:sz w:val="20"/>
      <w:szCs w:val="22"/>
    </w:rPr>
    <w:tblPr>
      <w:tblStyleRowBandSize w:val="1"/>
      <w:tblInd w:w="0" w:type="nil"/>
      <w:tblBorders>
        <w:top w:val="single" w:sz="4" w:space="0" w:color="00B1F4" w:themeColor="accent2"/>
        <w:bottom w:val="single" w:sz="4" w:space="0" w:color="00B1F4" w:themeColor="accent2"/>
        <w:insideH w:val="single" w:sz="4" w:space="0" w:color="00B1F4" w:themeColor="accent2"/>
      </w:tblBorders>
    </w:tblPr>
    <w:tblStylePr w:type="firstRow">
      <w:pPr>
        <w:wordWrap/>
        <w:spacing w:beforeLines="0" w:before="100" w:beforeAutospacing="1" w:afterLines="0" w:after="100" w:afterAutospacing="1" w:line="240" w:lineRule="auto"/>
        <w:jc w:val="left"/>
      </w:pPr>
      <w:rPr>
        <w:rFonts w:asciiTheme="majorHAnsi" w:hAnsiTheme="majorHAnsi" w:cs="Calibri" w:hint="default"/>
        <w:b w:val="0"/>
        <w:color w:val="FFFFFF" w:themeColor="background1"/>
        <w:sz w:val="20"/>
        <w:szCs w:val="20"/>
      </w:rPr>
      <w:tblPr/>
      <w:tcPr>
        <w:shd w:val="clear" w:color="auto" w:fill="00B1F4" w:themeFill="accent2"/>
      </w:tcPr>
    </w:tblStylePr>
    <w:tblStylePr w:type="lastRow">
      <w:rPr>
        <w:i w:val="0"/>
      </w:rPr>
    </w:tblStylePr>
    <w:tblStylePr w:type="band1Horz">
      <w:rPr>
        <w:rFonts w:asciiTheme="minorHAnsi" w:hAnsiTheme="minorHAnsi" w:cs="Calibri" w:hint="default"/>
        <w:sz w:val="20"/>
        <w:szCs w:val="20"/>
      </w:rPr>
      <w:tblPr/>
      <w:tcPr>
        <w:shd w:val="clear" w:color="auto" w:fill="E6F7FD"/>
      </w:tcPr>
    </w:tblStylePr>
    <w:tblStylePr w:type="band2Horz">
      <w:rPr>
        <w:rFonts w:asciiTheme="minorHAnsi" w:hAnsiTheme="minorHAnsi" w:cs="Calibri" w:hint="default"/>
        <w:sz w:val="20"/>
        <w:szCs w:val="20"/>
      </w:rPr>
      <w:tblPr/>
      <w:tcPr>
        <w:shd w:val="clear" w:color="auto" w:fill="F2F2F2" w:themeFill="background1" w:themeFillShade="F2"/>
      </w:tcPr>
    </w:tblStylePr>
  </w:style>
  <w:style w:type="character" w:customStyle="1" w:styleId="findhit">
    <w:name w:val="findhit"/>
    <w:basedOn w:val="DefaultParagraphFont"/>
    <w:rsid w:val="009A5C48"/>
  </w:style>
  <w:style w:type="character" w:customStyle="1" w:styleId="spellingerror">
    <w:name w:val="spellingerror"/>
    <w:basedOn w:val="DefaultParagraphFont"/>
    <w:rsid w:val="009A5C48"/>
  </w:style>
  <w:style w:type="character" w:styleId="Emphasis">
    <w:name w:val="Emphasis"/>
    <w:basedOn w:val="DefaultParagraphFont"/>
    <w:uiPriority w:val="20"/>
    <w:qFormat/>
    <w:rsid w:val="009A5C48"/>
    <w:rPr>
      <w:i/>
      <w:iCs/>
    </w:rPr>
  </w:style>
  <w:style w:type="paragraph" w:styleId="Revision">
    <w:name w:val="Revision"/>
    <w:hidden/>
    <w:uiPriority w:val="99"/>
    <w:semiHidden/>
    <w:rsid w:val="007728E3"/>
    <w:pPr>
      <w:spacing w:after="0"/>
    </w:pPr>
  </w:style>
  <w:style w:type="table" w:styleId="ListTable3">
    <w:name w:val="List Table 3"/>
    <w:basedOn w:val="TableNormal"/>
    <w:uiPriority w:val="48"/>
    <w:rsid w:val="007728E3"/>
    <w:pPr>
      <w:spacing w:after="0"/>
    </w:pPr>
    <w:rPr>
      <w:rFonts w:ascii="Cambria" w:eastAsia="MS Mincho" w:hAnsi="Cambria" w:cs="Times New Roman"/>
      <w:sz w:val="20"/>
      <w:szCs w:val="20"/>
    </w:rPr>
    <w:tblPr>
      <w:tblStyleRowBandSize w:val="1"/>
      <w:tblStyleColBandSize w:val="1"/>
      <w:tblBorders>
        <w:top w:val="single" w:sz="4" w:space="0" w:color="0075E3" w:themeColor="text1"/>
        <w:left w:val="single" w:sz="4" w:space="0" w:color="0075E3" w:themeColor="text1"/>
        <w:bottom w:val="single" w:sz="4" w:space="0" w:color="0075E3" w:themeColor="text1"/>
        <w:right w:val="single" w:sz="4" w:space="0" w:color="0075E3" w:themeColor="text1"/>
      </w:tblBorders>
    </w:tblPr>
    <w:tblStylePr w:type="firstRow">
      <w:rPr>
        <w:b/>
        <w:bCs/>
        <w:color w:val="FFFFFF" w:themeColor="background1"/>
      </w:rPr>
      <w:tblPr/>
      <w:tcPr>
        <w:shd w:val="clear" w:color="auto" w:fill="0075E3" w:themeFill="text1"/>
      </w:tcPr>
    </w:tblStylePr>
    <w:tblStylePr w:type="lastRow">
      <w:rPr>
        <w:b/>
        <w:bCs/>
      </w:rPr>
      <w:tblPr/>
      <w:tcPr>
        <w:tcBorders>
          <w:top w:val="double" w:sz="4" w:space="0" w:color="0075E3"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5E3" w:themeColor="text1"/>
          <w:right w:val="single" w:sz="4" w:space="0" w:color="0075E3" w:themeColor="text1"/>
        </w:tcBorders>
      </w:tcPr>
    </w:tblStylePr>
    <w:tblStylePr w:type="band1Horz">
      <w:tblPr/>
      <w:tcPr>
        <w:tcBorders>
          <w:top w:val="single" w:sz="4" w:space="0" w:color="0075E3" w:themeColor="text1"/>
          <w:bottom w:val="single" w:sz="4" w:space="0" w:color="0075E3"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5E3" w:themeColor="text1"/>
          <w:left w:val="nil"/>
        </w:tcBorders>
      </w:tcPr>
    </w:tblStylePr>
    <w:tblStylePr w:type="swCell">
      <w:tblPr/>
      <w:tcPr>
        <w:tcBorders>
          <w:top w:val="double" w:sz="4" w:space="0" w:color="0075E3" w:themeColor="text1"/>
          <w:right w:val="nil"/>
        </w:tcBorders>
      </w:tcPr>
    </w:tblStylePr>
  </w:style>
  <w:style w:type="table" w:styleId="PlainTable4">
    <w:name w:val="Plain Table 4"/>
    <w:basedOn w:val="TableNormal"/>
    <w:uiPriority w:val="44"/>
    <w:rsid w:val="003E7263"/>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EndnoteText">
    <w:name w:val="endnote text"/>
    <w:basedOn w:val="Normal"/>
    <w:link w:val="EndnoteTextChar"/>
    <w:uiPriority w:val="99"/>
    <w:semiHidden/>
    <w:rsid w:val="003E7263"/>
    <w:pPr>
      <w:spacing w:after="0"/>
    </w:pPr>
    <w:rPr>
      <w:sz w:val="20"/>
      <w:szCs w:val="20"/>
    </w:rPr>
  </w:style>
  <w:style w:type="character" w:customStyle="1" w:styleId="EndnoteTextChar">
    <w:name w:val="Endnote Text Char"/>
    <w:basedOn w:val="DefaultParagraphFont"/>
    <w:link w:val="EndnoteText"/>
    <w:uiPriority w:val="99"/>
    <w:semiHidden/>
    <w:rsid w:val="003E7263"/>
    <w:rPr>
      <w:sz w:val="20"/>
      <w:szCs w:val="20"/>
    </w:rPr>
  </w:style>
  <w:style w:type="character" w:styleId="EndnoteReference">
    <w:name w:val="endnote reference"/>
    <w:basedOn w:val="DefaultParagraphFont"/>
    <w:uiPriority w:val="99"/>
    <w:semiHidden/>
    <w:rsid w:val="003E7263"/>
    <w:rPr>
      <w:vertAlign w:val="superscript"/>
    </w:rPr>
  </w:style>
  <w:style w:type="numbering" w:customStyle="1" w:styleId="ListAlpha1">
    <w:name w:val="List_Alpha1"/>
    <w:uiPriority w:val="99"/>
    <w:rsid w:val="00360BCA"/>
    <w:pPr>
      <w:numPr>
        <w:numId w:val="27"/>
      </w:numPr>
    </w:pPr>
  </w:style>
  <w:style w:type="table" w:styleId="ListTable3-Accent2">
    <w:name w:val="List Table 3 Accent 2"/>
    <w:basedOn w:val="TableNormal"/>
    <w:uiPriority w:val="48"/>
    <w:rsid w:val="003E7263"/>
    <w:pPr>
      <w:spacing w:after="0"/>
    </w:pPr>
    <w:tblPr>
      <w:tblStyleRowBandSize w:val="1"/>
      <w:tblStyleColBandSize w:val="1"/>
      <w:tblBorders>
        <w:top w:val="single" w:sz="4" w:space="0" w:color="00B1F4" w:themeColor="accent2"/>
        <w:left w:val="single" w:sz="4" w:space="0" w:color="00B1F4" w:themeColor="accent2"/>
        <w:bottom w:val="single" w:sz="4" w:space="0" w:color="00B1F4" w:themeColor="accent2"/>
        <w:right w:val="single" w:sz="4" w:space="0" w:color="00B1F4" w:themeColor="accent2"/>
      </w:tblBorders>
    </w:tblPr>
    <w:tblStylePr w:type="firstRow">
      <w:rPr>
        <w:b/>
        <w:bCs/>
        <w:color w:val="FFFFFF" w:themeColor="background1"/>
      </w:rPr>
      <w:tblPr/>
      <w:tcPr>
        <w:shd w:val="clear" w:color="auto" w:fill="00B1F4" w:themeFill="accent2"/>
      </w:tcPr>
    </w:tblStylePr>
    <w:tblStylePr w:type="lastRow">
      <w:rPr>
        <w:b/>
        <w:bCs/>
      </w:rPr>
      <w:tblPr/>
      <w:tcPr>
        <w:tcBorders>
          <w:top w:val="double" w:sz="4" w:space="0" w:color="00B1F4"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1F4" w:themeColor="accent2"/>
          <w:right w:val="single" w:sz="4" w:space="0" w:color="00B1F4" w:themeColor="accent2"/>
        </w:tcBorders>
      </w:tcPr>
    </w:tblStylePr>
    <w:tblStylePr w:type="band1Horz">
      <w:tblPr/>
      <w:tcPr>
        <w:tcBorders>
          <w:top w:val="single" w:sz="4" w:space="0" w:color="00B1F4" w:themeColor="accent2"/>
          <w:bottom w:val="single" w:sz="4" w:space="0" w:color="00B1F4"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1F4" w:themeColor="accent2"/>
          <w:left w:val="nil"/>
        </w:tcBorders>
      </w:tcPr>
    </w:tblStylePr>
    <w:tblStylePr w:type="swCell">
      <w:tblPr/>
      <w:tcPr>
        <w:tcBorders>
          <w:top w:val="double" w:sz="4" w:space="0" w:color="00B1F4" w:themeColor="accent2"/>
          <w:right w:val="nil"/>
        </w:tcBorders>
      </w:tcPr>
    </w:tblStylePr>
  </w:style>
  <w:style w:type="table" w:styleId="ListTable3-Accent1">
    <w:name w:val="List Table 3 Accent 1"/>
    <w:basedOn w:val="TableNormal"/>
    <w:uiPriority w:val="48"/>
    <w:rsid w:val="003E7263"/>
    <w:pPr>
      <w:spacing w:after="0"/>
    </w:pPr>
    <w:tblPr>
      <w:tblStyleRowBandSize w:val="1"/>
      <w:tblStyleColBandSize w:val="1"/>
      <w:tblBorders>
        <w:top w:val="single" w:sz="4" w:space="0" w:color="0075E3" w:themeColor="accent1"/>
        <w:left w:val="single" w:sz="4" w:space="0" w:color="0075E3" w:themeColor="accent1"/>
        <w:bottom w:val="single" w:sz="4" w:space="0" w:color="0075E3" w:themeColor="accent1"/>
        <w:right w:val="single" w:sz="4" w:space="0" w:color="0075E3" w:themeColor="accent1"/>
      </w:tblBorders>
    </w:tblPr>
    <w:tblStylePr w:type="firstRow">
      <w:rPr>
        <w:b/>
        <w:bCs/>
        <w:color w:val="FFFFFF" w:themeColor="background1"/>
      </w:rPr>
      <w:tblPr/>
      <w:tcPr>
        <w:shd w:val="clear" w:color="auto" w:fill="0075E3" w:themeFill="accent1"/>
      </w:tcPr>
    </w:tblStylePr>
    <w:tblStylePr w:type="lastRow">
      <w:rPr>
        <w:b/>
        <w:bCs/>
      </w:rPr>
      <w:tblPr/>
      <w:tcPr>
        <w:tcBorders>
          <w:top w:val="double" w:sz="4" w:space="0" w:color="0075E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5E3" w:themeColor="accent1"/>
          <w:right w:val="single" w:sz="4" w:space="0" w:color="0075E3" w:themeColor="accent1"/>
        </w:tcBorders>
      </w:tcPr>
    </w:tblStylePr>
    <w:tblStylePr w:type="band1Horz">
      <w:tblPr/>
      <w:tcPr>
        <w:tcBorders>
          <w:top w:val="single" w:sz="4" w:space="0" w:color="0075E3" w:themeColor="accent1"/>
          <w:bottom w:val="single" w:sz="4" w:space="0" w:color="0075E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5E3" w:themeColor="accent1"/>
          <w:left w:val="nil"/>
        </w:tcBorders>
      </w:tcPr>
    </w:tblStylePr>
    <w:tblStylePr w:type="swCell">
      <w:tblPr/>
      <w:tcPr>
        <w:tcBorders>
          <w:top w:val="double" w:sz="4" w:space="0" w:color="0075E3" w:themeColor="accent1"/>
          <w:right w:val="nil"/>
        </w:tcBorders>
      </w:tcPr>
    </w:tblStylePr>
  </w:style>
  <w:style w:type="character" w:customStyle="1" w:styleId="fontcolorthemeprimary">
    <w:name w:val="fontcolorthemeprimary"/>
    <w:basedOn w:val="DefaultParagraphFont"/>
    <w:rsid w:val="00211687"/>
  </w:style>
  <w:style w:type="table" w:styleId="ListTable4-Accent1">
    <w:name w:val="List Table 4 Accent 1"/>
    <w:basedOn w:val="TableNormal"/>
    <w:uiPriority w:val="49"/>
    <w:rsid w:val="00211687"/>
    <w:pPr>
      <w:spacing w:after="0"/>
    </w:pPr>
    <w:tblPr>
      <w:tblStyleRowBandSize w:val="1"/>
      <w:tblStyleColBandSize w:val="1"/>
      <w:tblBorders>
        <w:top w:val="single" w:sz="4" w:space="0" w:color="55ACFF" w:themeColor="accent1" w:themeTint="99"/>
        <w:left w:val="single" w:sz="4" w:space="0" w:color="55ACFF" w:themeColor="accent1" w:themeTint="99"/>
        <w:bottom w:val="single" w:sz="4" w:space="0" w:color="55ACFF" w:themeColor="accent1" w:themeTint="99"/>
        <w:right w:val="single" w:sz="4" w:space="0" w:color="55ACFF" w:themeColor="accent1" w:themeTint="99"/>
        <w:insideH w:val="single" w:sz="4" w:space="0" w:color="55ACFF" w:themeColor="accent1" w:themeTint="99"/>
      </w:tblBorders>
    </w:tblPr>
    <w:tblStylePr w:type="firstRow">
      <w:rPr>
        <w:b/>
        <w:bCs/>
        <w:color w:val="FFFFFF" w:themeColor="background1"/>
      </w:rPr>
      <w:tblPr/>
      <w:tcPr>
        <w:tcBorders>
          <w:top w:val="single" w:sz="4" w:space="0" w:color="0075E3" w:themeColor="accent1"/>
          <w:left w:val="single" w:sz="4" w:space="0" w:color="0075E3" w:themeColor="accent1"/>
          <w:bottom w:val="single" w:sz="4" w:space="0" w:color="0075E3" w:themeColor="accent1"/>
          <w:right w:val="single" w:sz="4" w:space="0" w:color="0075E3" w:themeColor="accent1"/>
          <w:insideH w:val="nil"/>
        </w:tcBorders>
        <w:shd w:val="clear" w:color="auto" w:fill="0075E3" w:themeFill="accent1"/>
      </w:tcPr>
    </w:tblStylePr>
    <w:tblStylePr w:type="lastRow">
      <w:rPr>
        <w:b/>
        <w:bCs/>
      </w:rPr>
      <w:tblPr/>
      <w:tcPr>
        <w:tcBorders>
          <w:top w:val="double" w:sz="4" w:space="0" w:color="55ACFF" w:themeColor="accent1" w:themeTint="99"/>
        </w:tcBorders>
      </w:tcPr>
    </w:tblStylePr>
    <w:tblStylePr w:type="firstCol">
      <w:rPr>
        <w:b/>
        <w:bCs/>
      </w:rPr>
    </w:tblStylePr>
    <w:tblStylePr w:type="lastCol">
      <w:rPr>
        <w:b/>
        <w:bCs/>
      </w:rPr>
    </w:tblStylePr>
    <w:tblStylePr w:type="band1Vert">
      <w:tblPr/>
      <w:tcPr>
        <w:shd w:val="clear" w:color="auto" w:fill="C6E3FF" w:themeFill="accent1" w:themeFillTint="33"/>
      </w:tcPr>
    </w:tblStylePr>
    <w:tblStylePr w:type="band1Horz">
      <w:tblPr/>
      <w:tcPr>
        <w:shd w:val="clear" w:color="auto" w:fill="C6E3FF" w:themeFill="accent1" w:themeFillTint="33"/>
      </w:tcPr>
    </w:tblStylePr>
  </w:style>
  <w:style w:type="character" w:customStyle="1" w:styleId="ListParagraphChar">
    <w:name w:val="List Paragraph Char"/>
    <w:basedOn w:val="DefaultParagraphFont"/>
    <w:link w:val="ListParagraph"/>
    <w:uiPriority w:val="34"/>
    <w:locked/>
    <w:rsid w:val="00950867"/>
  </w:style>
  <w:style w:type="table" w:styleId="PlainTable2">
    <w:name w:val="Plain Table 2"/>
    <w:basedOn w:val="TableNormal"/>
    <w:uiPriority w:val="42"/>
    <w:rsid w:val="007F67D3"/>
    <w:pPr>
      <w:spacing w:after="0"/>
    </w:pPr>
    <w:tblPr>
      <w:tblStyleRowBandSize w:val="1"/>
      <w:tblStyleColBandSize w:val="1"/>
      <w:tblBorders>
        <w:top w:val="single" w:sz="4" w:space="0" w:color="70B9FF" w:themeColor="text1" w:themeTint="80"/>
        <w:bottom w:val="single" w:sz="4" w:space="0" w:color="70B9FF" w:themeColor="text1" w:themeTint="80"/>
      </w:tblBorders>
    </w:tblPr>
    <w:tblStylePr w:type="firstRow">
      <w:rPr>
        <w:b/>
        <w:bCs/>
      </w:rPr>
      <w:tblPr/>
      <w:tcPr>
        <w:tcBorders>
          <w:bottom w:val="single" w:sz="4" w:space="0" w:color="70B9FF" w:themeColor="text1" w:themeTint="80"/>
        </w:tcBorders>
      </w:tcPr>
    </w:tblStylePr>
    <w:tblStylePr w:type="lastRow">
      <w:rPr>
        <w:b/>
        <w:bCs/>
      </w:rPr>
      <w:tblPr/>
      <w:tcPr>
        <w:tcBorders>
          <w:top w:val="single" w:sz="4" w:space="0" w:color="70B9FF" w:themeColor="text1" w:themeTint="80"/>
        </w:tcBorders>
      </w:tcPr>
    </w:tblStylePr>
    <w:tblStylePr w:type="firstCol">
      <w:rPr>
        <w:b/>
        <w:bCs/>
      </w:rPr>
    </w:tblStylePr>
    <w:tblStylePr w:type="lastCol">
      <w:rPr>
        <w:b/>
        <w:bCs/>
      </w:rPr>
    </w:tblStylePr>
    <w:tblStylePr w:type="band1Vert">
      <w:tblPr/>
      <w:tcPr>
        <w:tcBorders>
          <w:left w:val="single" w:sz="4" w:space="0" w:color="70B9FF" w:themeColor="text1" w:themeTint="80"/>
          <w:right w:val="single" w:sz="4" w:space="0" w:color="70B9FF" w:themeColor="text1" w:themeTint="80"/>
        </w:tcBorders>
      </w:tcPr>
    </w:tblStylePr>
    <w:tblStylePr w:type="band2Vert">
      <w:tblPr/>
      <w:tcPr>
        <w:tcBorders>
          <w:left w:val="single" w:sz="4" w:space="0" w:color="70B9FF" w:themeColor="text1" w:themeTint="80"/>
          <w:right w:val="single" w:sz="4" w:space="0" w:color="70B9FF" w:themeColor="text1" w:themeTint="80"/>
        </w:tcBorders>
      </w:tcPr>
    </w:tblStylePr>
    <w:tblStylePr w:type="band1Horz">
      <w:tblPr/>
      <w:tcPr>
        <w:tcBorders>
          <w:top w:val="single" w:sz="4" w:space="0" w:color="70B9FF" w:themeColor="text1" w:themeTint="80"/>
          <w:bottom w:val="single" w:sz="4" w:space="0" w:color="70B9FF" w:themeColor="text1" w:themeTint="80"/>
        </w:tcBorders>
      </w:tcPr>
    </w:tblStylePr>
  </w:style>
  <w:style w:type="character" w:customStyle="1" w:styleId="superscript">
    <w:name w:val="superscript"/>
    <w:basedOn w:val="DefaultParagraphFont"/>
    <w:rsid w:val="00642B96"/>
  </w:style>
  <w:style w:type="character" w:customStyle="1" w:styleId="scxw202573849">
    <w:name w:val="scxw202573849"/>
    <w:basedOn w:val="DefaultParagraphFont"/>
    <w:rsid w:val="003C0372"/>
  </w:style>
  <w:style w:type="character" w:customStyle="1" w:styleId="scxw106562882">
    <w:name w:val="scxw106562882"/>
    <w:basedOn w:val="DefaultParagraphFont"/>
    <w:rsid w:val="000E5942"/>
  </w:style>
  <w:style w:type="paragraph" w:customStyle="1" w:styleId="Para0">
    <w:name w:val="Para 0"/>
    <w:aliases w:val="Auto,After:  3 pt,Normal +Centre:  3 pt,Line spacing:  1.5 lines,tt,fmstabletext,fmstabletext + Courier New,8 pt,Top: (Single solid line,... +...,fmstabletext Char Char Char Char Char Char"/>
    <w:basedOn w:val="Normal"/>
    <w:link w:val="Para0Char"/>
    <w:uiPriority w:val="4"/>
    <w:qFormat/>
    <w:rsid w:val="00983628"/>
    <w:pPr>
      <w:spacing w:before="240" w:line="240" w:lineRule="atLeast"/>
    </w:pPr>
    <w:rPr>
      <w:rFonts w:ascii="Jacobs Chronos" w:eastAsiaTheme="minorEastAsia" w:hAnsi="Jacobs Chronos" w:cs="Jacobs Chronos"/>
      <w:sz w:val="20"/>
      <w:lang w:val="en-GB"/>
    </w:rPr>
  </w:style>
  <w:style w:type="character" w:customStyle="1" w:styleId="Para0Char">
    <w:name w:val="Para 0 Char"/>
    <w:aliases w:val="Auto Char,After:  3 pt Char Char"/>
    <w:basedOn w:val="DefaultParagraphFont"/>
    <w:link w:val="Para0"/>
    <w:uiPriority w:val="4"/>
    <w:qFormat/>
    <w:rsid w:val="00983628"/>
    <w:rPr>
      <w:rFonts w:ascii="Jacobs Chronos" w:eastAsiaTheme="minorEastAsia" w:hAnsi="Jacobs Chronos" w:cs="Jacobs Chronos"/>
      <w:sz w:val="20"/>
      <w:lang w:val="en-GB"/>
    </w:rPr>
  </w:style>
  <w:style w:type="character" w:styleId="Strong">
    <w:name w:val="Strong"/>
    <w:uiPriority w:val="22"/>
    <w:qFormat/>
    <w:rsid w:val="00AB6BF7"/>
    <w:rPr>
      <w:b/>
      <w:bCs/>
    </w:rPr>
  </w:style>
  <w:style w:type="character" w:customStyle="1" w:styleId="pagebreaktextspan">
    <w:name w:val="pagebreaktextspan"/>
    <w:basedOn w:val="DefaultParagraphFont"/>
    <w:rsid w:val="004312D8"/>
  </w:style>
  <w:style w:type="character" w:customStyle="1" w:styleId="scxw207700284">
    <w:name w:val="scxw207700284"/>
    <w:basedOn w:val="DefaultParagraphFont"/>
    <w:rsid w:val="007D51D5"/>
  </w:style>
  <w:style w:type="character" w:customStyle="1" w:styleId="scxw231756277">
    <w:name w:val="scxw231756277"/>
    <w:basedOn w:val="DefaultParagraphFont"/>
    <w:rsid w:val="0027287F"/>
  </w:style>
  <w:style w:type="table" w:styleId="GridTable1Light-Accent1">
    <w:name w:val="Grid Table 1 Light Accent 1"/>
    <w:basedOn w:val="TableNormal"/>
    <w:uiPriority w:val="46"/>
    <w:rsid w:val="009C2849"/>
    <w:pPr>
      <w:spacing w:after="0"/>
    </w:pPr>
    <w:tblPr>
      <w:tblStyleRowBandSize w:val="1"/>
      <w:tblStyleColBandSize w:val="1"/>
      <w:tblBorders>
        <w:top w:val="single" w:sz="4" w:space="0" w:color="8DC7FF" w:themeColor="accent1" w:themeTint="66"/>
        <w:left w:val="single" w:sz="4" w:space="0" w:color="8DC7FF" w:themeColor="accent1" w:themeTint="66"/>
        <w:bottom w:val="single" w:sz="4" w:space="0" w:color="8DC7FF" w:themeColor="accent1" w:themeTint="66"/>
        <w:right w:val="single" w:sz="4" w:space="0" w:color="8DC7FF" w:themeColor="accent1" w:themeTint="66"/>
        <w:insideH w:val="single" w:sz="4" w:space="0" w:color="8DC7FF" w:themeColor="accent1" w:themeTint="66"/>
        <w:insideV w:val="single" w:sz="4" w:space="0" w:color="8DC7FF" w:themeColor="accent1" w:themeTint="66"/>
      </w:tblBorders>
    </w:tblPr>
    <w:tblStylePr w:type="firstRow">
      <w:rPr>
        <w:b/>
        <w:bCs/>
      </w:rPr>
      <w:tblPr/>
      <w:tcPr>
        <w:tcBorders>
          <w:bottom w:val="single" w:sz="12" w:space="0" w:color="55ACFF" w:themeColor="accent1" w:themeTint="99"/>
        </w:tcBorders>
      </w:tcPr>
    </w:tblStylePr>
    <w:tblStylePr w:type="lastRow">
      <w:rPr>
        <w:b/>
        <w:bCs/>
      </w:rPr>
      <w:tblPr/>
      <w:tcPr>
        <w:tcBorders>
          <w:top w:val="double" w:sz="2" w:space="0" w:color="55ACFF" w:themeColor="accent1" w:themeTint="99"/>
        </w:tcBorders>
      </w:tcPr>
    </w:tblStylePr>
    <w:tblStylePr w:type="firstCol">
      <w:rPr>
        <w:b/>
        <w:bCs/>
      </w:rPr>
    </w:tblStylePr>
    <w:tblStylePr w:type="lastCol">
      <w:rPr>
        <w:b/>
        <w:bCs/>
      </w:rPr>
    </w:tblStylePr>
  </w:style>
  <w:style w:type="table" w:styleId="GridTable5Dark-Accent2">
    <w:name w:val="Grid Table 5 Dark Accent 2"/>
    <w:basedOn w:val="TableNormal"/>
    <w:uiPriority w:val="50"/>
    <w:rsid w:val="003A1E7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9F0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1F4"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1F4"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1F4"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1F4" w:themeFill="accent2"/>
      </w:tcPr>
    </w:tblStylePr>
    <w:tblStylePr w:type="band1Vert">
      <w:tblPr/>
      <w:tcPr>
        <w:shd w:val="clear" w:color="auto" w:fill="94E1FF" w:themeFill="accent2" w:themeFillTint="66"/>
      </w:tcPr>
    </w:tblStylePr>
    <w:tblStylePr w:type="band1Horz">
      <w:tblPr/>
      <w:tcPr>
        <w:shd w:val="clear" w:color="auto" w:fill="94E1FF" w:themeFill="accent2" w:themeFillTint="66"/>
      </w:tcPr>
    </w:tblStylePr>
  </w:style>
  <w:style w:type="character" w:customStyle="1" w:styleId="advancedproofingissue">
    <w:name w:val="advancedproofingissue"/>
    <w:basedOn w:val="DefaultParagraphFont"/>
    <w:rsid w:val="00B5255B"/>
  </w:style>
  <w:style w:type="character" w:customStyle="1" w:styleId="contextualspellingandgrammarerror">
    <w:name w:val="contextualspellingandgrammarerror"/>
    <w:basedOn w:val="DefaultParagraphFont"/>
    <w:rsid w:val="00385F4C"/>
  </w:style>
  <w:style w:type="character" w:customStyle="1" w:styleId="scxp111990936">
    <w:name w:val="scxp111990936"/>
    <w:basedOn w:val="DefaultParagraphFont"/>
    <w:rsid w:val="008666DA"/>
  </w:style>
  <w:style w:type="table" w:styleId="ListTable4-Accent2">
    <w:name w:val="List Table 4 Accent 2"/>
    <w:basedOn w:val="TableNormal"/>
    <w:uiPriority w:val="49"/>
    <w:rsid w:val="00D746BC"/>
    <w:pPr>
      <w:spacing w:after="0"/>
    </w:pPr>
    <w:rPr>
      <w:rFonts w:asciiTheme="minorHAnsi" w:hAnsiTheme="minorHAnsi"/>
      <w:sz w:val="22"/>
      <w:szCs w:val="22"/>
    </w:rPr>
    <w:tblPr>
      <w:tblStyleRowBandSize w:val="1"/>
      <w:tblStyleColBandSize w:val="1"/>
      <w:tblBorders>
        <w:top w:val="single" w:sz="4" w:space="0" w:color="5FD2FF" w:themeColor="accent2" w:themeTint="99"/>
        <w:bottom w:val="single" w:sz="4" w:space="0" w:color="5FD2FF" w:themeColor="accent2" w:themeTint="99"/>
        <w:insideH w:val="single" w:sz="4" w:space="0" w:color="5FD2FF" w:themeColor="accent2" w:themeTint="99"/>
      </w:tblBorders>
    </w:tblPr>
    <w:tblStylePr w:type="firstRow">
      <w:rPr>
        <w:b/>
        <w:bCs/>
        <w:color w:val="FFFFFF" w:themeColor="background1"/>
      </w:rPr>
      <w:tblPr/>
      <w:tcPr>
        <w:tcBorders>
          <w:top w:val="single" w:sz="4" w:space="0" w:color="00B1F4" w:themeColor="accent2"/>
          <w:left w:val="single" w:sz="4" w:space="0" w:color="00B1F4" w:themeColor="accent2"/>
          <w:bottom w:val="single" w:sz="4" w:space="0" w:color="00B1F4" w:themeColor="accent2"/>
          <w:right w:val="single" w:sz="4" w:space="0" w:color="00B1F4" w:themeColor="accent2"/>
          <w:insideH w:val="nil"/>
        </w:tcBorders>
        <w:shd w:val="clear" w:color="auto" w:fill="00B1F4" w:themeFill="accent2"/>
      </w:tcPr>
    </w:tblStylePr>
    <w:tblStylePr w:type="lastRow">
      <w:rPr>
        <w:b/>
        <w:bCs/>
      </w:rPr>
      <w:tblPr/>
      <w:tcPr>
        <w:tcBorders>
          <w:top w:val="double" w:sz="4" w:space="0" w:color="5FD2FF" w:themeColor="accent2" w:themeTint="99"/>
        </w:tcBorders>
      </w:tcPr>
    </w:tblStylePr>
    <w:tblStylePr w:type="firstCol">
      <w:rPr>
        <w:b/>
        <w:bCs/>
      </w:rPr>
    </w:tblStylePr>
    <w:tblStylePr w:type="lastCol">
      <w:rPr>
        <w:b/>
        <w:bCs/>
      </w:rPr>
    </w:tblStylePr>
    <w:tblStylePr w:type="band1Vert">
      <w:tblPr/>
      <w:tcPr>
        <w:shd w:val="clear" w:color="auto" w:fill="C9F0FF" w:themeFill="accent2" w:themeFillTint="33"/>
      </w:tcPr>
    </w:tblStylePr>
    <w:tblStylePr w:type="band1Horz">
      <w:tblPr/>
      <w:tcPr>
        <w:shd w:val="clear" w:color="auto" w:fill="C9F0FF" w:themeFill="accent2" w:themeFillTint="33"/>
      </w:tcPr>
    </w:tblStylePr>
  </w:style>
  <w:style w:type="paragraph" w:customStyle="1" w:styleId="NoParagraphStyle">
    <w:name w:val="[No Paragraph Style]"/>
    <w:rsid w:val="00E86BF9"/>
    <w:pPr>
      <w:autoSpaceDE w:val="0"/>
      <w:autoSpaceDN w:val="0"/>
      <w:adjustRightInd w:val="0"/>
      <w:spacing w:after="0" w:line="288" w:lineRule="auto"/>
      <w:textAlignment w:val="center"/>
    </w:pPr>
    <w:rPr>
      <w:rFonts w:ascii="MinionPro-Regular" w:hAnsi="MinionPro-Regular" w:cs="MinionPro-Regular"/>
      <w:color w:val="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34566">
      <w:bodyDiv w:val="1"/>
      <w:marLeft w:val="0"/>
      <w:marRight w:val="0"/>
      <w:marTop w:val="0"/>
      <w:marBottom w:val="0"/>
      <w:divBdr>
        <w:top w:val="none" w:sz="0" w:space="0" w:color="auto"/>
        <w:left w:val="none" w:sz="0" w:space="0" w:color="auto"/>
        <w:bottom w:val="none" w:sz="0" w:space="0" w:color="auto"/>
        <w:right w:val="none" w:sz="0" w:space="0" w:color="auto"/>
      </w:divBdr>
      <w:divsChild>
        <w:div w:id="66849489">
          <w:marLeft w:val="0"/>
          <w:marRight w:val="0"/>
          <w:marTop w:val="0"/>
          <w:marBottom w:val="0"/>
          <w:divBdr>
            <w:top w:val="none" w:sz="0" w:space="0" w:color="auto"/>
            <w:left w:val="none" w:sz="0" w:space="0" w:color="auto"/>
            <w:bottom w:val="none" w:sz="0" w:space="0" w:color="auto"/>
            <w:right w:val="none" w:sz="0" w:space="0" w:color="auto"/>
          </w:divBdr>
        </w:div>
        <w:div w:id="1286161079">
          <w:marLeft w:val="0"/>
          <w:marRight w:val="0"/>
          <w:marTop w:val="0"/>
          <w:marBottom w:val="0"/>
          <w:divBdr>
            <w:top w:val="none" w:sz="0" w:space="0" w:color="auto"/>
            <w:left w:val="none" w:sz="0" w:space="0" w:color="auto"/>
            <w:bottom w:val="none" w:sz="0" w:space="0" w:color="auto"/>
            <w:right w:val="none" w:sz="0" w:space="0" w:color="auto"/>
          </w:divBdr>
        </w:div>
        <w:div w:id="1934707233">
          <w:marLeft w:val="0"/>
          <w:marRight w:val="0"/>
          <w:marTop w:val="0"/>
          <w:marBottom w:val="0"/>
          <w:divBdr>
            <w:top w:val="none" w:sz="0" w:space="0" w:color="auto"/>
            <w:left w:val="none" w:sz="0" w:space="0" w:color="auto"/>
            <w:bottom w:val="none" w:sz="0" w:space="0" w:color="auto"/>
            <w:right w:val="none" w:sz="0" w:space="0" w:color="auto"/>
          </w:divBdr>
        </w:div>
      </w:divsChild>
    </w:div>
    <w:div w:id="42994839">
      <w:bodyDiv w:val="1"/>
      <w:marLeft w:val="0"/>
      <w:marRight w:val="0"/>
      <w:marTop w:val="0"/>
      <w:marBottom w:val="0"/>
      <w:divBdr>
        <w:top w:val="none" w:sz="0" w:space="0" w:color="auto"/>
        <w:left w:val="none" w:sz="0" w:space="0" w:color="auto"/>
        <w:bottom w:val="none" w:sz="0" w:space="0" w:color="auto"/>
        <w:right w:val="none" w:sz="0" w:space="0" w:color="auto"/>
      </w:divBdr>
      <w:divsChild>
        <w:div w:id="232010327">
          <w:marLeft w:val="0"/>
          <w:marRight w:val="0"/>
          <w:marTop w:val="0"/>
          <w:marBottom w:val="0"/>
          <w:divBdr>
            <w:top w:val="none" w:sz="0" w:space="0" w:color="auto"/>
            <w:left w:val="none" w:sz="0" w:space="0" w:color="auto"/>
            <w:bottom w:val="none" w:sz="0" w:space="0" w:color="auto"/>
            <w:right w:val="none" w:sz="0" w:space="0" w:color="auto"/>
          </w:divBdr>
        </w:div>
        <w:div w:id="383217501">
          <w:marLeft w:val="0"/>
          <w:marRight w:val="0"/>
          <w:marTop w:val="0"/>
          <w:marBottom w:val="0"/>
          <w:divBdr>
            <w:top w:val="none" w:sz="0" w:space="0" w:color="auto"/>
            <w:left w:val="none" w:sz="0" w:space="0" w:color="auto"/>
            <w:bottom w:val="none" w:sz="0" w:space="0" w:color="auto"/>
            <w:right w:val="none" w:sz="0" w:space="0" w:color="auto"/>
          </w:divBdr>
        </w:div>
        <w:div w:id="426318113">
          <w:marLeft w:val="0"/>
          <w:marRight w:val="0"/>
          <w:marTop w:val="0"/>
          <w:marBottom w:val="0"/>
          <w:divBdr>
            <w:top w:val="none" w:sz="0" w:space="0" w:color="auto"/>
            <w:left w:val="none" w:sz="0" w:space="0" w:color="auto"/>
            <w:bottom w:val="none" w:sz="0" w:space="0" w:color="auto"/>
            <w:right w:val="none" w:sz="0" w:space="0" w:color="auto"/>
          </w:divBdr>
        </w:div>
        <w:div w:id="967012503">
          <w:marLeft w:val="0"/>
          <w:marRight w:val="0"/>
          <w:marTop w:val="0"/>
          <w:marBottom w:val="0"/>
          <w:divBdr>
            <w:top w:val="none" w:sz="0" w:space="0" w:color="auto"/>
            <w:left w:val="none" w:sz="0" w:space="0" w:color="auto"/>
            <w:bottom w:val="none" w:sz="0" w:space="0" w:color="auto"/>
            <w:right w:val="none" w:sz="0" w:space="0" w:color="auto"/>
          </w:divBdr>
        </w:div>
        <w:div w:id="967473325">
          <w:marLeft w:val="0"/>
          <w:marRight w:val="0"/>
          <w:marTop w:val="0"/>
          <w:marBottom w:val="0"/>
          <w:divBdr>
            <w:top w:val="none" w:sz="0" w:space="0" w:color="auto"/>
            <w:left w:val="none" w:sz="0" w:space="0" w:color="auto"/>
            <w:bottom w:val="none" w:sz="0" w:space="0" w:color="auto"/>
            <w:right w:val="none" w:sz="0" w:space="0" w:color="auto"/>
          </w:divBdr>
        </w:div>
        <w:div w:id="1361903990">
          <w:marLeft w:val="0"/>
          <w:marRight w:val="0"/>
          <w:marTop w:val="0"/>
          <w:marBottom w:val="0"/>
          <w:divBdr>
            <w:top w:val="none" w:sz="0" w:space="0" w:color="auto"/>
            <w:left w:val="none" w:sz="0" w:space="0" w:color="auto"/>
            <w:bottom w:val="none" w:sz="0" w:space="0" w:color="auto"/>
            <w:right w:val="none" w:sz="0" w:space="0" w:color="auto"/>
          </w:divBdr>
        </w:div>
        <w:div w:id="1368288779">
          <w:marLeft w:val="0"/>
          <w:marRight w:val="0"/>
          <w:marTop w:val="0"/>
          <w:marBottom w:val="0"/>
          <w:divBdr>
            <w:top w:val="none" w:sz="0" w:space="0" w:color="auto"/>
            <w:left w:val="none" w:sz="0" w:space="0" w:color="auto"/>
            <w:bottom w:val="none" w:sz="0" w:space="0" w:color="auto"/>
            <w:right w:val="none" w:sz="0" w:space="0" w:color="auto"/>
          </w:divBdr>
        </w:div>
        <w:div w:id="1727340663">
          <w:marLeft w:val="0"/>
          <w:marRight w:val="0"/>
          <w:marTop w:val="0"/>
          <w:marBottom w:val="0"/>
          <w:divBdr>
            <w:top w:val="none" w:sz="0" w:space="0" w:color="auto"/>
            <w:left w:val="none" w:sz="0" w:space="0" w:color="auto"/>
            <w:bottom w:val="none" w:sz="0" w:space="0" w:color="auto"/>
            <w:right w:val="none" w:sz="0" w:space="0" w:color="auto"/>
          </w:divBdr>
        </w:div>
        <w:div w:id="1812286761">
          <w:marLeft w:val="0"/>
          <w:marRight w:val="0"/>
          <w:marTop w:val="0"/>
          <w:marBottom w:val="0"/>
          <w:divBdr>
            <w:top w:val="none" w:sz="0" w:space="0" w:color="auto"/>
            <w:left w:val="none" w:sz="0" w:space="0" w:color="auto"/>
            <w:bottom w:val="none" w:sz="0" w:space="0" w:color="auto"/>
            <w:right w:val="none" w:sz="0" w:space="0" w:color="auto"/>
          </w:divBdr>
        </w:div>
        <w:div w:id="1952470742">
          <w:marLeft w:val="0"/>
          <w:marRight w:val="0"/>
          <w:marTop w:val="0"/>
          <w:marBottom w:val="0"/>
          <w:divBdr>
            <w:top w:val="none" w:sz="0" w:space="0" w:color="auto"/>
            <w:left w:val="none" w:sz="0" w:space="0" w:color="auto"/>
            <w:bottom w:val="none" w:sz="0" w:space="0" w:color="auto"/>
            <w:right w:val="none" w:sz="0" w:space="0" w:color="auto"/>
          </w:divBdr>
        </w:div>
        <w:div w:id="2027713274">
          <w:marLeft w:val="0"/>
          <w:marRight w:val="0"/>
          <w:marTop w:val="0"/>
          <w:marBottom w:val="0"/>
          <w:divBdr>
            <w:top w:val="none" w:sz="0" w:space="0" w:color="auto"/>
            <w:left w:val="none" w:sz="0" w:space="0" w:color="auto"/>
            <w:bottom w:val="none" w:sz="0" w:space="0" w:color="auto"/>
            <w:right w:val="none" w:sz="0" w:space="0" w:color="auto"/>
          </w:divBdr>
        </w:div>
      </w:divsChild>
    </w:div>
    <w:div w:id="50347000">
      <w:bodyDiv w:val="1"/>
      <w:marLeft w:val="0"/>
      <w:marRight w:val="0"/>
      <w:marTop w:val="0"/>
      <w:marBottom w:val="0"/>
      <w:divBdr>
        <w:top w:val="none" w:sz="0" w:space="0" w:color="auto"/>
        <w:left w:val="none" w:sz="0" w:space="0" w:color="auto"/>
        <w:bottom w:val="none" w:sz="0" w:space="0" w:color="auto"/>
        <w:right w:val="none" w:sz="0" w:space="0" w:color="auto"/>
      </w:divBdr>
    </w:div>
    <w:div w:id="52389283">
      <w:bodyDiv w:val="1"/>
      <w:marLeft w:val="0"/>
      <w:marRight w:val="0"/>
      <w:marTop w:val="0"/>
      <w:marBottom w:val="0"/>
      <w:divBdr>
        <w:top w:val="none" w:sz="0" w:space="0" w:color="auto"/>
        <w:left w:val="none" w:sz="0" w:space="0" w:color="auto"/>
        <w:bottom w:val="none" w:sz="0" w:space="0" w:color="auto"/>
        <w:right w:val="none" w:sz="0" w:space="0" w:color="auto"/>
      </w:divBdr>
    </w:div>
    <w:div w:id="57753957">
      <w:bodyDiv w:val="1"/>
      <w:marLeft w:val="0"/>
      <w:marRight w:val="0"/>
      <w:marTop w:val="0"/>
      <w:marBottom w:val="0"/>
      <w:divBdr>
        <w:top w:val="none" w:sz="0" w:space="0" w:color="auto"/>
        <w:left w:val="none" w:sz="0" w:space="0" w:color="auto"/>
        <w:bottom w:val="none" w:sz="0" w:space="0" w:color="auto"/>
        <w:right w:val="none" w:sz="0" w:space="0" w:color="auto"/>
      </w:divBdr>
    </w:div>
    <w:div w:id="94177286">
      <w:bodyDiv w:val="1"/>
      <w:marLeft w:val="0"/>
      <w:marRight w:val="0"/>
      <w:marTop w:val="0"/>
      <w:marBottom w:val="0"/>
      <w:divBdr>
        <w:top w:val="none" w:sz="0" w:space="0" w:color="auto"/>
        <w:left w:val="none" w:sz="0" w:space="0" w:color="auto"/>
        <w:bottom w:val="none" w:sz="0" w:space="0" w:color="auto"/>
        <w:right w:val="none" w:sz="0" w:space="0" w:color="auto"/>
      </w:divBdr>
      <w:divsChild>
        <w:div w:id="36709827">
          <w:marLeft w:val="0"/>
          <w:marRight w:val="0"/>
          <w:marTop w:val="0"/>
          <w:marBottom w:val="0"/>
          <w:divBdr>
            <w:top w:val="none" w:sz="0" w:space="0" w:color="auto"/>
            <w:left w:val="none" w:sz="0" w:space="0" w:color="auto"/>
            <w:bottom w:val="none" w:sz="0" w:space="0" w:color="auto"/>
            <w:right w:val="none" w:sz="0" w:space="0" w:color="auto"/>
          </w:divBdr>
          <w:divsChild>
            <w:div w:id="2051420520">
              <w:marLeft w:val="-75"/>
              <w:marRight w:val="0"/>
              <w:marTop w:val="30"/>
              <w:marBottom w:val="30"/>
              <w:divBdr>
                <w:top w:val="none" w:sz="0" w:space="0" w:color="auto"/>
                <w:left w:val="none" w:sz="0" w:space="0" w:color="auto"/>
                <w:bottom w:val="none" w:sz="0" w:space="0" w:color="auto"/>
                <w:right w:val="none" w:sz="0" w:space="0" w:color="auto"/>
              </w:divBdr>
              <w:divsChild>
                <w:div w:id="144398082">
                  <w:marLeft w:val="0"/>
                  <w:marRight w:val="0"/>
                  <w:marTop w:val="0"/>
                  <w:marBottom w:val="0"/>
                  <w:divBdr>
                    <w:top w:val="none" w:sz="0" w:space="0" w:color="auto"/>
                    <w:left w:val="none" w:sz="0" w:space="0" w:color="auto"/>
                    <w:bottom w:val="none" w:sz="0" w:space="0" w:color="auto"/>
                    <w:right w:val="none" w:sz="0" w:space="0" w:color="auto"/>
                  </w:divBdr>
                  <w:divsChild>
                    <w:div w:id="1979529160">
                      <w:marLeft w:val="0"/>
                      <w:marRight w:val="0"/>
                      <w:marTop w:val="0"/>
                      <w:marBottom w:val="0"/>
                      <w:divBdr>
                        <w:top w:val="none" w:sz="0" w:space="0" w:color="auto"/>
                        <w:left w:val="none" w:sz="0" w:space="0" w:color="auto"/>
                        <w:bottom w:val="none" w:sz="0" w:space="0" w:color="auto"/>
                        <w:right w:val="none" w:sz="0" w:space="0" w:color="auto"/>
                      </w:divBdr>
                    </w:div>
                  </w:divsChild>
                </w:div>
                <w:div w:id="228535519">
                  <w:marLeft w:val="0"/>
                  <w:marRight w:val="0"/>
                  <w:marTop w:val="0"/>
                  <w:marBottom w:val="0"/>
                  <w:divBdr>
                    <w:top w:val="none" w:sz="0" w:space="0" w:color="auto"/>
                    <w:left w:val="none" w:sz="0" w:space="0" w:color="auto"/>
                    <w:bottom w:val="none" w:sz="0" w:space="0" w:color="auto"/>
                    <w:right w:val="none" w:sz="0" w:space="0" w:color="auto"/>
                  </w:divBdr>
                  <w:divsChild>
                    <w:div w:id="592667665">
                      <w:marLeft w:val="0"/>
                      <w:marRight w:val="0"/>
                      <w:marTop w:val="0"/>
                      <w:marBottom w:val="0"/>
                      <w:divBdr>
                        <w:top w:val="none" w:sz="0" w:space="0" w:color="auto"/>
                        <w:left w:val="none" w:sz="0" w:space="0" w:color="auto"/>
                        <w:bottom w:val="none" w:sz="0" w:space="0" w:color="auto"/>
                        <w:right w:val="none" w:sz="0" w:space="0" w:color="auto"/>
                      </w:divBdr>
                    </w:div>
                  </w:divsChild>
                </w:div>
                <w:div w:id="670723798">
                  <w:marLeft w:val="0"/>
                  <w:marRight w:val="0"/>
                  <w:marTop w:val="0"/>
                  <w:marBottom w:val="0"/>
                  <w:divBdr>
                    <w:top w:val="none" w:sz="0" w:space="0" w:color="auto"/>
                    <w:left w:val="none" w:sz="0" w:space="0" w:color="auto"/>
                    <w:bottom w:val="none" w:sz="0" w:space="0" w:color="auto"/>
                    <w:right w:val="none" w:sz="0" w:space="0" w:color="auto"/>
                  </w:divBdr>
                  <w:divsChild>
                    <w:div w:id="471291667">
                      <w:marLeft w:val="0"/>
                      <w:marRight w:val="0"/>
                      <w:marTop w:val="0"/>
                      <w:marBottom w:val="0"/>
                      <w:divBdr>
                        <w:top w:val="none" w:sz="0" w:space="0" w:color="auto"/>
                        <w:left w:val="none" w:sz="0" w:space="0" w:color="auto"/>
                        <w:bottom w:val="none" w:sz="0" w:space="0" w:color="auto"/>
                        <w:right w:val="none" w:sz="0" w:space="0" w:color="auto"/>
                      </w:divBdr>
                    </w:div>
                  </w:divsChild>
                </w:div>
                <w:div w:id="1295873099">
                  <w:marLeft w:val="0"/>
                  <w:marRight w:val="0"/>
                  <w:marTop w:val="0"/>
                  <w:marBottom w:val="0"/>
                  <w:divBdr>
                    <w:top w:val="none" w:sz="0" w:space="0" w:color="auto"/>
                    <w:left w:val="none" w:sz="0" w:space="0" w:color="auto"/>
                    <w:bottom w:val="none" w:sz="0" w:space="0" w:color="auto"/>
                    <w:right w:val="none" w:sz="0" w:space="0" w:color="auto"/>
                  </w:divBdr>
                  <w:divsChild>
                    <w:div w:id="344941106">
                      <w:marLeft w:val="0"/>
                      <w:marRight w:val="0"/>
                      <w:marTop w:val="0"/>
                      <w:marBottom w:val="0"/>
                      <w:divBdr>
                        <w:top w:val="none" w:sz="0" w:space="0" w:color="auto"/>
                        <w:left w:val="none" w:sz="0" w:space="0" w:color="auto"/>
                        <w:bottom w:val="none" w:sz="0" w:space="0" w:color="auto"/>
                        <w:right w:val="none" w:sz="0" w:space="0" w:color="auto"/>
                      </w:divBdr>
                    </w:div>
                  </w:divsChild>
                </w:div>
                <w:div w:id="1996183651">
                  <w:marLeft w:val="0"/>
                  <w:marRight w:val="0"/>
                  <w:marTop w:val="0"/>
                  <w:marBottom w:val="0"/>
                  <w:divBdr>
                    <w:top w:val="none" w:sz="0" w:space="0" w:color="auto"/>
                    <w:left w:val="none" w:sz="0" w:space="0" w:color="auto"/>
                    <w:bottom w:val="none" w:sz="0" w:space="0" w:color="auto"/>
                    <w:right w:val="none" w:sz="0" w:space="0" w:color="auto"/>
                  </w:divBdr>
                  <w:divsChild>
                    <w:div w:id="1479876553">
                      <w:marLeft w:val="0"/>
                      <w:marRight w:val="0"/>
                      <w:marTop w:val="0"/>
                      <w:marBottom w:val="0"/>
                      <w:divBdr>
                        <w:top w:val="none" w:sz="0" w:space="0" w:color="auto"/>
                        <w:left w:val="none" w:sz="0" w:space="0" w:color="auto"/>
                        <w:bottom w:val="none" w:sz="0" w:space="0" w:color="auto"/>
                        <w:right w:val="none" w:sz="0" w:space="0" w:color="auto"/>
                      </w:divBdr>
                    </w:div>
                  </w:divsChild>
                </w:div>
                <w:div w:id="2124879721">
                  <w:marLeft w:val="0"/>
                  <w:marRight w:val="0"/>
                  <w:marTop w:val="0"/>
                  <w:marBottom w:val="0"/>
                  <w:divBdr>
                    <w:top w:val="none" w:sz="0" w:space="0" w:color="auto"/>
                    <w:left w:val="none" w:sz="0" w:space="0" w:color="auto"/>
                    <w:bottom w:val="none" w:sz="0" w:space="0" w:color="auto"/>
                    <w:right w:val="none" w:sz="0" w:space="0" w:color="auto"/>
                  </w:divBdr>
                  <w:divsChild>
                    <w:div w:id="22657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06691">
          <w:marLeft w:val="0"/>
          <w:marRight w:val="0"/>
          <w:marTop w:val="0"/>
          <w:marBottom w:val="0"/>
          <w:divBdr>
            <w:top w:val="none" w:sz="0" w:space="0" w:color="auto"/>
            <w:left w:val="none" w:sz="0" w:space="0" w:color="auto"/>
            <w:bottom w:val="none" w:sz="0" w:space="0" w:color="auto"/>
            <w:right w:val="none" w:sz="0" w:space="0" w:color="auto"/>
          </w:divBdr>
        </w:div>
        <w:div w:id="99642128">
          <w:marLeft w:val="0"/>
          <w:marRight w:val="0"/>
          <w:marTop w:val="0"/>
          <w:marBottom w:val="0"/>
          <w:divBdr>
            <w:top w:val="none" w:sz="0" w:space="0" w:color="auto"/>
            <w:left w:val="none" w:sz="0" w:space="0" w:color="auto"/>
            <w:bottom w:val="none" w:sz="0" w:space="0" w:color="auto"/>
            <w:right w:val="none" w:sz="0" w:space="0" w:color="auto"/>
          </w:divBdr>
          <w:divsChild>
            <w:div w:id="869728366">
              <w:marLeft w:val="0"/>
              <w:marRight w:val="0"/>
              <w:marTop w:val="0"/>
              <w:marBottom w:val="0"/>
              <w:divBdr>
                <w:top w:val="none" w:sz="0" w:space="0" w:color="auto"/>
                <w:left w:val="none" w:sz="0" w:space="0" w:color="auto"/>
                <w:bottom w:val="none" w:sz="0" w:space="0" w:color="auto"/>
                <w:right w:val="none" w:sz="0" w:space="0" w:color="auto"/>
              </w:divBdr>
            </w:div>
            <w:div w:id="975643869">
              <w:marLeft w:val="0"/>
              <w:marRight w:val="0"/>
              <w:marTop w:val="0"/>
              <w:marBottom w:val="0"/>
              <w:divBdr>
                <w:top w:val="none" w:sz="0" w:space="0" w:color="auto"/>
                <w:left w:val="none" w:sz="0" w:space="0" w:color="auto"/>
                <w:bottom w:val="none" w:sz="0" w:space="0" w:color="auto"/>
                <w:right w:val="none" w:sz="0" w:space="0" w:color="auto"/>
              </w:divBdr>
            </w:div>
            <w:div w:id="1181814773">
              <w:marLeft w:val="0"/>
              <w:marRight w:val="0"/>
              <w:marTop w:val="0"/>
              <w:marBottom w:val="0"/>
              <w:divBdr>
                <w:top w:val="none" w:sz="0" w:space="0" w:color="auto"/>
                <w:left w:val="none" w:sz="0" w:space="0" w:color="auto"/>
                <w:bottom w:val="none" w:sz="0" w:space="0" w:color="auto"/>
                <w:right w:val="none" w:sz="0" w:space="0" w:color="auto"/>
              </w:divBdr>
            </w:div>
            <w:div w:id="1298027012">
              <w:marLeft w:val="0"/>
              <w:marRight w:val="0"/>
              <w:marTop w:val="0"/>
              <w:marBottom w:val="0"/>
              <w:divBdr>
                <w:top w:val="none" w:sz="0" w:space="0" w:color="auto"/>
                <w:left w:val="none" w:sz="0" w:space="0" w:color="auto"/>
                <w:bottom w:val="none" w:sz="0" w:space="0" w:color="auto"/>
                <w:right w:val="none" w:sz="0" w:space="0" w:color="auto"/>
              </w:divBdr>
            </w:div>
            <w:div w:id="1962418584">
              <w:marLeft w:val="0"/>
              <w:marRight w:val="0"/>
              <w:marTop w:val="0"/>
              <w:marBottom w:val="0"/>
              <w:divBdr>
                <w:top w:val="none" w:sz="0" w:space="0" w:color="auto"/>
                <w:left w:val="none" w:sz="0" w:space="0" w:color="auto"/>
                <w:bottom w:val="none" w:sz="0" w:space="0" w:color="auto"/>
                <w:right w:val="none" w:sz="0" w:space="0" w:color="auto"/>
              </w:divBdr>
            </w:div>
          </w:divsChild>
        </w:div>
        <w:div w:id="183205398">
          <w:marLeft w:val="0"/>
          <w:marRight w:val="0"/>
          <w:marTop w:val="0"/>
          <w:marBottom w:val="0"/>
          <w:divBdr>
            <w:top w:val="none" w:sz="0" w:space="0" w:color="auto"/>
            <w:left w:val="none" w:sz="0" w:space="0" w:color="auto"/>
            <w:bottom w:val="none" w:sz="0" w:space="0" w:color="auto"/>
            <w:right w:val="none" w:sz="0" w:space="0" w:color="auto"/>
          </w:divBdr>
          <w:divsChild>
            <w:div w:id="1917091402">
              <w:marLeft w:val="-75"/>
              <w:marRight w:val="0"/>
              <w:marTop w:val="30"/>
              <w:marBottom w:val="30"/>
              <w:divBdr>
                <w:top w:val="none" w:sz="0" w:space="0" w:color="auto"/>
                <w:left w:val="none" w:sz="0" w:space="0" w:color="auto"/>
                <w:bottom w:val="none" w:sz="0" w:space="0" w:color="auto"/>
                <w:right w:val="none" w:sz="0" w:space="0" w:color="auto"/>
              </w:divBdr>
              <w:divsChild>
                <w:div w:id="140005565">
                  <w:marLeft w:val="0"/>
                  <w:marRight w:val="0"/>
                  <w:marTop w:val="0"/>
                  <w:marBottom w:val="0"/>
                  <w:divBdr>
                    <w:top w:val="none" w:sz="0" w:space="0" w:color="auto"/>
                    <w:left w:val="none" w:sz="0" w:space="0" w:color="auto"/>
                    <w:bottom w:val="none" w:sz="0" w:space="0" w:color="auto"/>
                    <w:right w:val="none" w:sz="0" w:space="0" w:color="auto"/>
                  </w:divBdr>
                  <w:divsChild>
                    <w:div w:id="309215604">
                      <w:marLeft w:val="0"/>
                      <w:marRight w:val="0"/>
                      <w:marTop w:val="0"/>
                      <w:marBottom w:val="0"/>
                      <w:divBdr>
                        <w:top w:val="none" w:sz="0" w:space="0" w:color="auto"/>
                        <w:left w:val="none" w:sz="0" w:space="0" w:color="auto"/>
                        <w:bottom w:val="none" w:sz="0" w:space="0" w:color="auto"/>
                        <w:right w:val="none" w:sz="0" w:space="0" w:color="auto"/>
                      </w:divBdr>
                    </w:div>
                  </w:divsChild>
                </w:div>
                <w:div w:id="487523216">
                  <w:marLeft w:val="0"/>
                  <w:marRight w:val="0"/>
                  <w:marTop w:val="0"/>
                  <w:marBottom w:val="0"/>
                  <w:divBdr>
                    <w:top w:val="none" w:sz="0" w:space="0" w:color="auto"/>
                    <w:left w:val="none" w:sz="0" w:space="0" w:color="auto"/>
                    <w:bottom w:val="none" w:sz="0" w:space="0" w:color="auto"/>
                    <w:right w:val="none" w:sz="0" w:space="0" w:color="auto"/>
                  </w:divBdr>
                  <w:divsChild>
                    <w:div w:id="743768965">
                      <w:marLeft w:val="0"/>
                      <w:marRight w:val="0"/>
                      <w:marTop w:val="0"/>
                      <w:marBottom w:val="0"/>
                      <w:divBdr>
                        <w:top w:val="none" w:sz="0" w:space="0" w:color="auto"/>
                        <w:left w:val="none" w:sz="0" w:space="0" w:color="auto"/>
                        <w:bottom w:val="none" w:sz="0" w:space="0" w:color="auto"/>
                        <w:right w:val="none" w:sz="0" w:space="0" w:color="auto"/>
                      </w:divBdr>
                    </w:div>
                  </w:divsChild>
                </w:div>
                <w:div w:id="555245835">
                  <w:marLeft w:val="0"/>
                  <w:marRight w:val="0"/>
                  <w:marTop w:val="0"/>
                  <w:marBottom w:val="0"/>
                  <w:divBdr>
                    <w:top w:val="none" w:sz="0" w:space="0" w:color="auto"/>
                    <w:left w:val="none" w:sz="0" w:space="0" w:color="auto"/>
                    <w:bottom w:val="none" w:sz="0" w:space="0" w:color="auto"/>
                    <w:right w:val="none" w:sz="0" w:space="0" w:color="auto"/>
                  </w:divBdr>
                  <w:divsChild>
                    <w:div w:id="241838197">
                      <w:marLeft w:val="0"/>
                      <w:marRight w:val="0"/>
                      <w:marTop w:val="0"/>
                      <w:marBottom w:val="0"/>
                      <w:divBdr>
                        <w:top w:val="none" w:sz="0" w:space="0" w:color="auto"/>
                        <w:left w:val="none" w:sz="0" w:space="0" w:color="auto"/>
                        <w:bottom w:val="none" w:sz="0" w:space="0" w:color="auto"/>
                        <w:right w:val="none" w:sz="0" w:space="0" w:color="auto"/>
                      </w:divBdr>
                    </w:div>
                  </w:divsChild>
                </w:div>
                <w:div w:id="797644697">
                  <w:marLeft w:val="0"/>
                  <w:marRight w:val="0"/>
                  <w:marTop w:val="0"/>
                  <w:marBottom w:val="0"/>
                  <w:divBdr>
                    <w:top w:val="none" w:sz="0" w:space="0" w:color="auto"/>
                    <w:left w:val="none" w:sz="0" w:space="0" w:color="auto"/>
                    <w:bottom w:val="none" w:sz="0" w:space="0" w:color="auto"/>
                    <w:right w:val="none" w:sz="0" w:space="0" w:color="auto"/>
                  </w:divBdr>
                  <w:divsChild>
                    <w:div w:id="1585718816">
                      <w:marLeft w:val="0"/>
                      <w:marRight w:val="0"/>
                      <w:marTop w:val="0"/>
                      <w:marBottom w:val="0"/>
                      <w:divBdr>
                        <w:top w:val="none" w:sz="0" w:space="0" w:color="auto"/>
                        <w:left w:val="none" w:sz="0" w:space="0" w:color="auto"/>
                        <w:bottom w:val="none" w:sz="0" w:space="0" w:color="auto"/>
                        <w:right w:val="none" w:sz="0" w:space="0" w:color="auto"/>
                      </w:divBdr>
                    </w:div>
                  </w:divsChild>
                </w:div>
                <w:div w:id="1023436340">
                  <w:marLeft w:val="0"/>
                  <w:marRight w:val="0"/>
                  <w:marTop w:val="0"/>
                  <w:marBottom w:val="0"/>
                  <w:divBdr>
                    <w:top w:val="none" w:sz="0" w:space="0" w:color="auto"/>
                    <w:left w:val="none" w:sz="0" w:space="0" w:color="auto"/>
                    <w:bottom w:val="none" w:sz="0" w:space="0" w:color="auto"/>
                    <w:right w:val="none" w:sz="0" w:space="0" w:color="auto"/>
                  </w:divBdr>
                  <w:divsChild>
                    <w:div w:id="1049962537">
                      <w:marLeft w:val="0"/>
                      <w:marRight w:val="0"/>
                      <w:marTop w:val="0"/>
                      <w:marBottom w:val="0"/>
                      <w:divBdr>
                        <w:top w:val="none" w:sz="0" w:space="0" w:color="auto"/>
                        <w:left w:val="none" w:sz="0" w:space="0" w:color="auto"/>
                        <w:bottom w:val="none" w:sz="0" w:space="0" w:color="auto"/>
                        <w:right w:val="none" w:sz="0" w:space="0" w:color="auto"/>
                      </w:divBdr>
                    </w:div>
                  </w:divsChild>
                </w:div>
                <w:div w:id="1040861137">
                  <w:marLeft w:val="0"/>
                  <w:marRight w:val="0"/>
                  <w:marTop w:val="0"/>
                  <w:marBottom w:val="0"/>
                  <w:divBdr>
                    <w:top w:val="none" w:sz="0" w:space="0" w:color="auto"/>
                    <w:left w:val="none" w:sz="0" w:space="0" w:color="auto"/>
                    <w:bottom w:val="none" w:sz="0" w:space="0" w:color="auto"/>
                    <w:right w:val="none" w:sz="0" w:space="0" w:color="auto"/>
                  </w:divBdr>
                  <w:divsChild>
                    <w:div w:id="1377195913">
                      <w:marLeft w:val="0"/>
                      <w:marRight w:val="0"/>
                      <w:marTop w:val="0"/>
                      <w:marBottom w:val="0"/>
                      <w:divBdr>
                        <w:top w:val="none" w:sz="0" w:space="0" w:color="auto"/>
                        <w:left w:val="none" w:sz="0" w:space="0" w:color="auto"/>
                        <w:bottom w:val="none" w:sz="0" w:space="0" w:color="auto"/>
                        <w:right w:val="none" w:sz="0" w:space="0" w:color="auto"/>
                      </w:divBdr>
                    </w:div>
                  </w:divsChild>
                </w:div>
                <w:div w:id="1426537434">
                  <w:marLeft w:val="0"/>
                  <w:marRight w:val="0"/>
                  <w:marTop w:val="0"/>
                  <w:marBottom w:val="0"/>
                  <w:divBdr>
                    <w:top w:val="none" w:sz="0" w:space="0" w:color="auto"/>
                    <w:left w:val="none" w:sz="0" w:space="0" w:color="auto"/>
                    <w:bottom w:val="none" w:sz="0" w:space="0" w:color="auto"/>
                    <w:right w:val="none" w:sz="0" w:space="0" w:color="auto"/>
                  </w:divBdr>
                  <w:divsChild>
                    <w:div w:id="1652824805">
                      <w:marLeft w:val="0"/>
                      <w:marRight w:val="0"/>
                      <w:marTop w:val="0"/>
                      <w:marBottom w:val="0"/>
                      <w:divBdr>
                        <w:top w:val="none" w:sz="0" w:space="0" w:color="auto"/>
                        <w:left w:val="none" w:sz="0" w:space="0" w:color="auto"/>
                        <w:bottom w:val="none" w:sz="0" w:space="0" w:color="auto"/>
                        <w:right w:val="none" w:sz="0" w:space="0" w:color="auto"/>
                      </w:divBdr>
                    </w:div>
                  </w:divsChild>
                </w:div>
                <w:div w:id="1473600026">
                  <w:marLeft w:val="0"/>
                  <w:marRight w:val="0"/>
                  <w:marTop w:val="0"/>
                  <w:marBottom w:val="0"/>
                  <w:divBdr>
                    <w:top w:val="none" w:sz="0" w:space="0" w:color="auto"/>
                    <w:left w:val="none" w:sz="0" w:space="0" w:color="auto"/>
                    <w:bottom w:val="none" w:sz="0" w:space="0" w:color="auto"/>
                    <w:right w:val="none" w:sz="0" w:space="0" w:color="auto"/>
                  </w:divBdr>
                  <w:divsChild>
                    <w:div w:id="1187015409">
                      <w:marLeft w:val="0"/>
                      <w:marRight w:val="0"/>
                      <w:marTop w:val="0"/>
                      <w:marBottom w:val="0"/>
                      <w:divBdr>
                        <w:top w:val="none" w:sz="0" w:space="0" w:color="auto"/>
                        <w:left w:val="none" w:sz="0" w:space="0" w:color="auto"/>
                        <w:bottom w:val="none" w:sz="0" w:space="0" w:color="auto"/>
                        <w:right w:val="none" w:sz="0" w:space="0" w:color="auto"/>
                      </w:divBdr>
                    </w:div>
                  </w:divsChild>
                </w:div>
                <w:div w:id="1698191272">
                  <w:marLeft w:val="0"/>
                  <w:marRight w:val="0"/>
                  <w:marTop w:val="0"/>
                  <w:marBottom w:val="0"/>
                  <w:divBdr>
                    <w:top w:val="none" w:sz="0" w:space="0" w:color="auto"/>
                    <w:left w:val="none" w:sz="0" w:space="0" w:color="auto"/>
                    <w:bottom w:val="none" w:sz="0" w:space="0" w:color="auto"/>
                    <w:right w:val="none" w:sz="0" w:space="0" w:color="auto"/>
                  </w:divBdr>
                  <w:divsChild>
                    <w:div w:id="687145363">
                      <w:marLeft w:val="0"/>
                      <w:marRight w:val="0"/>
                      <w:marTop w:val="0"/>
                      <w:marBottom w:val="0"/>
                      <w:divBdr>
                        <w:top w:val="none" w:sz="0" w:space="0" w:color="auto"/>
                        <w:left w:val="none" w:sz="0" w:space="0" w:color="auto"/>
                        <w:bottom w:val="none" w:sz="0" w:space="0" w:color="auto"/>
                        <w:right w:val="none" w:sz="0" w:space="0" w:color="auto"/>
                      </w:divBdr>
                    </w:div>
                  </w:divsChild>
                </w:div>
                <w:div w:id="1975670783">
                  <w:marLeft w:val="0"/>
                  <w:marRight w:val="0"/>
                  <w:marTop w:val="0"/>
                  <w:marBottom w:val="0"/>
                  <w:divBdr>
                    <w:top w:val="none" w:sz="0" w:space="0" w:color="auto"/>
                    <w:left w:val="none" w:sz="0" w:space="0" w:color="auto"/>
                    <w:bottom w:val="none" w:sz="0" w:space="0" w:color="auto"/>
                    <w:right w:val="none" w:sz="0" w:space="0" w:color="auto"/>
                  </w:divBdr>
                  <w:divsChild>
                    <w:div w:id="145707240">
                      <w:marLeft w:val="0"/>
                      <w:marRight w:val="0"/>
                      <w:marTop w:val="0"/>
                      <w:marBottom w:val="0"/>
                      <w:divBdr>
                        <w:top w:val="none" w:sz="0" w:space="0" w:color="auto"/>
                        <w:left w:val="none" w:sz="0" w:space="0" w:color="auto"/>
                        <w:bottom w:val="none" w:sz="0" w:space="0" w:color="auto"/>
                        <w:right w:val="none" w:sz="0" w:space="0" w:color="auto"/>
                      </w:divBdr>
                    </w:div>
                  </w:divsChild>
                </w:div>
                <w:div w:id="2059358980">
                  <w:marLeft w:val="0"/>
                  <w:marRight w:val="0"/>
                  <w:marTop w:val="0"/>
                  <w:marBottom w:val="0"/>
                  <w:divBdr>
                    <w:top w:val="none" w:sz="0" w:space="0" w:color="auto"/>
                    <w:left w:val="none" w:sz="0" w:space="0" w:color="auto"/>
                    <w:bottom w:val="none" w:sz="0" w:space="0" w:color="auto"/>
                    <w:right w:val="none" w:sz="0" w:space="0" w:color="auto"/>
                  </w:divBdr>
                  <w:divsChild>
                    <w:div w:id="1187987200">
                      <w:marLeft w:val="0"/>
                      <w:marRight w:val="0"/>
                      <w:marTop w:val="0"/>
                      <w:marBottom w:val="0"/>
                      <w:divBdr>
                        <w:top w:val="none" w:sz="0" w:space="0" w:color="auto"/>
                        <w:left w:val="none" w:sz="0" w:space="0" w:color="auto"/>
                        <w:bottom w:val="none" w:sz="0" w:space="0" w:color="auto"/>
                        <w:right w:val="none" w:sz="0" w:space="0" w:color="auto"/>
                      </w:divBdr>
                    </w:div>
                  </w:divsChild>
                </w:div>
                <w:div w:id="2140417034">
                  <w:marLeft w:val="0"/>
                  <w:marRight w:val="0"/>
                  <w:marTop w:val="0"/>
                  <w:marBottom w:val="0"/>
                  <w:divBdr>
                    <w:top w:val="none" w:sz="0" w:space="0" w:color="auto"/>
                    <w:left w:val="none" w:sz="0" w:space="0" w:color="auto"/>
                    <w:bottom w:val="none" w:sz="0" w:space="0" w:color="auto"/>
                    <w:right w:val="none" w:sz="0" w:space="0" w:color="auto"/>
                  </w:divBdr>
                  <w:divsChild>
                    <w:div w:id="193103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581196">
          <w:marLeft w:val="0"/>
          <w:marRight w:val="0"/>
          <w:marTop w:val="0"/>
          <w:marBottom w:val="0"/>
          <w:divBdr>
            <w:top w:val="none" w:sz="0" w:space="0" w:color="auto"/>
            <w:left w:val="none" w:sz="0" w:space="0" w:color="auto"/>
            <w:bottom w:val="none" w:sz="0" w:space="0" w:color="auto"/>
            <w:right w:val="none" w:sz="0" w:space="0" w:color="auto"/>
          </w:divBdr>
        </w:div>
        <w:div w:id="350225133">
          <w:marLeft w:val="0"/>
          <w:marRight w:val="0"/>
          <w:marTop w:val="0"/>
          <w:marBottom w:val="0"/>
          <w:divBdr>
            <w:top w:val="none" w:sz="0" w:space="0" w:color="auto"/>
            <w:left w:val="none" w:sz="0" w:space="0" w:color="auto"/>
            <w:bottom w:val="none" w:sz="0" w:space="0" w:color="auto"/>
            <w:right w:val="none" w:sz="0" w:space="0" w:color="auto"/>
          </w:divBdr>
        </w:div>
        <w:div w:id="478037037">
          <w:marLeft w:val="0"/>
          <w:marRight w:val="0"/>
          <w:marTop w:val="0"/>
          <w:marBottom w:val="0"/>
          <w:divBdr>
            <w:top w:val="none" w:sz="0" w:space="0" w:color="auto"/>
            <w:left w:val="none" w:sz="0" w:space="0" w:color="auto"/>
            <w:bottom w:val="none" w:sz="0" w:space="0" w:color="auto"/>
            <w:right w:val="none" w:sz="0" w:space="0" w:color="auto"/>
          </w:divBdr>
        </w:div>
        <w:div w:id="980111149">
          <w:marLeft w:val="0"/>
          <w:marRight w:val="0"/>
          <w:marTop w:val="0"/>
          <w:marBottom w:val="0"/>
          <w:divBdr>
            <w:top w:val="none" w:sz="0" w:space="0" w:color="auto"/>
            <w:left w:val="none" w:sz="0" w:space="0" w:color="auto"/>
            <w:bottom w:val="none" w:sz="0" w:space="0" w:color="auto"/>
            <w:right w:val="none" w:sz="0" w:space="0" w:color="auto"/>
          </w:divBdr>
          <w:divsChild>
            <w:div w:id="582296857">
              <w:marLeft w:val="0"/>
              <w:marRight w:val="0"/>
              <w:marTop w:val="0"/>
              <w:marBottom w:val="0"/>
              <w:divBdr>
                <w:top w:val="none" w:sz="0" w:space="0" w:color="auto"/>
                <w:left w:val="none" w:sz="0" w:space="0" w:color="auto"/>
                <w:bottom w:val="none" w:sz="0" w:space="0" w:color="auto"/>
                <w:right w:val="none" w:sz="0" w:space="0" w:color="auto"/>
              </w:divBdr>
            </w:div>
          </w:divsChild>
        </w:div>
        <w:div w:id="1296914802">
          <w:marLeft w:val="0"/>
          <w:marRight w:val="0"/>
          <w:marTop w:val="0"/>
          <w:marBottom w:val="0"/>
          <w:divBdr>
            <w:top w:val="none" w:sz="0" w:space="0" w:color="auto"/>
            <w:left w:val="none" w:sz="0" w:space="0" w:color="auto"/>
            <w:bottom w:val="none" w:sz="0" w:space="0" w:color="auto"/>
            <w:right w:val="none" w:sz="0" w:space="0" w:color="auto"/>
          </w:divBdr>
        </w:div>
        <w:div w:id="1476486118">
          <w:marLeft w:val="0"/>
          <w:marRight w:val="0"/>
          <w:marTop w:val="0"/>
          <w:marBottom w:val="0"/>
          <w:divBdr>
            <w:top w:val="none" w:sz="0" w:space="0" w:color="auto"/>
            <w:left w:val="none" w:sz="0" w:space="0" w:color="auto"/>
            <w:bottom w:val="none" w:sz="0" w:space="0" w:color="auto"/>
            <w:right w:val="none" w:sz="0" w:space="0" w:color="auto"/>
          </w:divBdr>
        </w:div>
        <w:div w:id="2107648339">
          <w:marLeft w:val="0"/>
          <w:marRight w:val="0"/>
          <w:marTop w:val="0"/>
          <w:marBottom w:val="0"/>
          <w:divBdr>
            <w:top w:val="none" w:sz="0" w:space="0" w:color="auto"/>
            <w:left w:val="none" w:sz="0" w:space="0" w:color="auto"/>
            <w:bottom w:val="none" w:sz="0" w:space="0" w:color="auto"/>
            <w:right w:val="none" w:sz="0" w:space="0" w:color="auto"/>
          </w:divBdr>
        </w:div>
      </w:divsChild>
    </w:div>
    <w:div w:id="107699214">
      <w:bodyDiv w:val="1"/>
      <w:marLeft w:val="0"/>
      <w:marRight w:val="0"/>
      <w:marTop w:val="0"/>
      <w:marBottom w:val="0"/>
      <w:divBdr>
        <w:top w:val="none" w:sz="0" w:space="0" w:color="auto"/>
        <w:left w:val="none" w:sz="0" w:space="0" w:color="auto"/>
        <w:bottom w:val="none" w:sz="0" w:space="0" w:color="auto"/>
        <w:right w:val="none" w:sz="0" w:space="0" w:color="auto"/>
      </w:divBdr>
    </w:div>
    <w:div w:id="108014123">
      <w:bodyDiv w:val="1"/>
      <w:marLeft w:val="0"/>
      <w:marRight w:val="0"/>
      <w:marTop w:val="0"/>
      <w:marBottom w:val="0"/>
      <w:divBdr>
        <w:top w:val="none" w:sz="0" w:space="0" w:color="auto"/>
        <w:left w:val="none" w:sz="0" w:space="0" w:color="auto"/>
        <w:bottom w:val="none" w:sz="0" w:space="0" w:color="auto"/>
        <w:right w:val="none" w:sz="0" w:space="0" w:color="auto"/>
      </w:divBdr>
    </w:div>
    <w:div w:id="109592841">
      <w:bodyDiv w:val="1"/>
      <w:marLeft w:val="0"/>
      <w:marRight w:val="0"/>
      <w:marTop w:val="0"/>
      <w:marBottom w:val="0"/>
      <w:divBdr>
        <w:top w:val="none" w:sz="0" w:space="0" w:color="auto"/>
        <w:left w:val="none" w:sz="0" w:space="0" w:color="auto"/>
        <w:bottom w:val="none" w:sz="0" w:space="0" w:color="auto"/>
        <w:right w:val="none" w:sz="0" w:space="0" w:color="auto"/>
      </w:divBdr>
      <w:divsChild>
        <w:div w:id="38287766">
          <w:marLeft w:val="0"/>
          <w:marRight w:val="0"/>
          <w:marTop w:val="0"/>
          <w:marBottom w:val="0"/>
          <w:divBdr>
            <w:top w:val="none" w:sz="0" w:space="0" w:color="auto"/>
            <w:left w:val="none" w:sz="0" w:space="0" w:color="auto"/>
            <w:bottom w:val="none" w:sz="0" w:space="0" w:color="auto"/>
            <w:right w:val="none" w:sz="0" w:space="0" w:color="auto"/>
          </w:divBdr>
        </w:div>
        <w:div w:id="1163466867">
          <w:marLeft w:val="0"/>
          <w:marRight w:val="0"/>
          <w:marTop w:val="0"/>
          <w:marBottom w:val="0"/>
          <w:divBdr>
            <w:top w:val="none" w:sz="0" w:space="0" w:color="auto"/>
            <w:left w:val="none" w:sz="0" w:space="0" w:color="auto"/>
            <w:bottom w:val="none" w:sz="0" w:space="0" w:color="auto"/>
            <w:right w:val="none" w:sz="0" w:space="0" w:color="auto"/>
          </w:divBdr>
        </w:div>
        <w:div w:id="1471943607">
          <w:marLeft w:val="0"/>
          <w:marRight w:val="0"/>
          <w:marTop w:val="0"/>
          <w:marBottom w:val="0"/>
          <w:divBdr>
            <w:top w:val="none" w:sz="0" w:space="0" w:color="auto"/>
            <w:left w:val="none" w:sz="0" w:space="0" w:color="auto"/>
            <w:bottom w:val="none" w:sz="0" w:space="0" w:color="auto"/>
            <w:right w:val="none" w:sz="0" w:space="0" w:color="auto"/>
          </w:divBdr>
        </w:div>
        <w:div w:id="1613509835">
          <w:marLeft w:val="0"/>
          <w:marRight w:val="0"/>
          <w:marTop w:val="0"/>
          <w:marBottom w:val="0"/>
          <w:divBdr>
            <w:top w:val="none" w:sz="0" w:space="0" w:color="auto"/>
            <w:left w:val="none" w:sz="0" w:space="0" w:color="auto"/>
            <w:bottom w:val="none" w:sz="0" w:space="0" w:color="auto"/>
            <w:right w:val="none" w:sz="0" w:space="0" w:color="auto"/>
          </w:divBdr>
        </w:div>
        <w:div w:id="1938293620">
          <w:marLeft w:val="0"/>
          <w:marRight w:val="0"/>
          <w:marTop w:val="0"/>
          <w:marBottom w:val="0"/>
          <w:divBdr>
            <w:top w:val="none" w:sz="0" w:space="0" w:color="auto"/>
            <w:left w:val="none" w:sz="0" w:space="0" w:color="auto"/>
            <w:bottom w:val="none" w:sz="0" w:space="0" w:color="auto"/>
            <w:right w:val="none" w:sz="0" w:space="0" w:color="auto"/>
          </w:divBdr>
        </w:div>
      </w:divsChild>
    </w:div>
    <w:div w:id="116996496">
      <w:bodyDiv w:val="1"/>
      <w:marLeft w:val="0"/>
      <w:marRight w:val="0"/>
      <w:marTop w:val="0"/>
      <w:marBottom w:val="0"/>
      <w:divBdr>
        <w:top w:val="none" w:sz="0" w:space="0" w:color="auto"/>
        <w:left w:val="none" w:sz="0" w:space="0" w:color="auto"/>
        <w:bottom w:val="none" w:sz="0" w:space="0" w:color="auto"/>
        <w:right w:val="none" w:sz="0" w:space="0" w:color="auto"/>
      </w:divBdr>
      <w:divsChild>
        <w:div w:id="644898832">
          <w:marLeft w:val="0"/>
          <w:marRight w:val="0"/>
          <w:marTop w:val="0"/>
          <w:marBottom w:val="0"/>
          <w:divBdr>
            <w:top w:val="none" w:sz="0" w:space="0" w:color="auto"/>
            <w:left w:val="none" w:sz="0" w:space="0" w:color="auto"/>
            <w:bottom w:val="none" w:sz="0" w:space="0" w:color="auto"/>
            <w:right w:val="none" w:sz="0" w:space="0" w:color="auto"/>
          </w:divBdr>
        </w:div>
        <w:div w:id="668211739">
          <w:marLeft w:val="0"/>
          <w:marRight w:val="0"/>
          <w:marTop w:val="0"/>
          <w:marBottom w:val="0"/>
          <w:divBdr>
            <w:top w:val="none" w:sz="0" w:space="0" w:color="auto"/>
            <w:left w:val="none" w:sz="0" w:space="0" w:color="auto"/>
            <w:bottom w:val="none" w:sz="0" w:space="0" w:color="auto"/>
            <w:right w:val="none" w:sz="0" w:space="0" w:color="auto"/>
          </w:divBdr>
        </w:div>
      </w:divsChild>
    </w:div>
    <w:div w:id="131093856">
      <w:bodyDiv w:val="1"/>
      <w:marLeft w:val="0"/>
      <w:marRight w:val="0"/>
      <w:marTop w:val="0"/>
      <w:marBottom w:val="0"/>
      <w:divBdr>
        <w:top w:val="none" w:sz="0" w:space="0" w:color="auto"/>
        <w:left w:val="none" w:sz="0" w:space="0" w:color="auto"/>
        <w:bottom w:val="none" w:sz="0" w:space="0" w:color="auto"/>
        <w:right w:val="none" w:sz="0" w:space="0" w:color="auto"/>
      </w:divBdr>
    </w:div>
    <w:div w:id="166092845">
      <w:bodyDiv w:val="1"/>
      <w:marLeft w:val="0"/>
      <w:marRight w:val="0"/>
      <w:marTop w:val="0"/>
      <w:marBottom w:val="0"/>
      <w:divBdr>
        <w:top w:val="none" w:sz="0" w:space="0" w:color="auto"/>
        <w:left w:val="none" w:sz="0" w:space="0" w:color="auto"/>
        <w:bottom w:val="none" w:sz="0" w:space="0" w:color="auto"/>
        <w:right w:val="none" w:sz="0" w:space="0" w:color="auto"/>
      </w:divBdr>
      <w:divsChild>
        <w:div w:id="51732580">
          <w:marLeft w:val="0"/>
          <w:marRight w:val="0"/>
          <w:marTop w:val="0"/>
          <w:marBottom w:val="0"/>
          <w:divBdr>
            <w:top w:val="none" w:sz="0" w:space="0" w:color="auto"/>
            <w:left w:val="none" w:sz="0" w:space="0" w:color="auto"/>
            <w:bottom w:val="none" w:sz="0" w:space="0" w:color="auto"/>
            <w:right w:val="none" w:sz="0" w:space="0" w:color="auto"/>
          </w:divBdr>
          <w:divsChild>
            <w:div w:id="766968024">
              <w:marLeft w:val="0"/>
              <w:marRight w:val="0"/>
              <w:marTop w:val="0"/>
              <w:marBottom w:val="0"/>
              <w:divBdr>
                <w:top w:val="none" w:sz="0" w:space="0" w:color="auto"/>
                <w:left w:val="none" w:sz="0" w:space="0" w:color="auto"/>
                <w:bottom w:val="none" w:sz="0" w:space="0" w:color="auto"/>
                <w:right w:val="none" w:sz="0" w:space="0" w:color="auto"/>
              </w:divBdr>
            </w:div>
            <w:div w:id="1441679568">
              <w:marLeft w:val="0"/>
              <w:marRight w:val="0"/>
              <w:marTop w:val="0"/>
              <w:marBottom w:val="0"/>
              <w:divBdr>
                <w:top w:val="none" w:sz="0" w:space="0" w:color="auto"/>
                <w:left w:val="none" w:sz="0" w:space="0" w:color="auto"/>
                <w:bottom w:val="none" w:sz="0" w:space="0" w:color="auto"/>
                <w:right w:val="none" w:sz="0" w:space="0" w:color="auto"/>
              </w:divBdr>
            </w:div>
            <w:div w:id="2000187496">
              <w:marLeft w:val="0"/>
              <w:marRight w:val="0"/>
              <w:marTop w:val="0"/>
              <w:marBottom w:val="0"/>
              <w:divBdr>
                <w:top w:val="none" w:sz="0" w:space="0" w:color="auto"/>
                <w:left w:val="none" w:sz="0" w:space="0" w:color="auto"/>
                <w:bottom w:val="none" w:sz="0" w:space="0" w:color="auto"/>
                <w:right w:val="none" w:sz="0" w:space="0" w:color="auto"/>
              </w:divBdr>
            </w:div>
          </w:divsChild>
        </w:div>
        <w:div w:id="99958443">
          <w:marLeft w:val="0"/>
          <w:marRight w:val="0"/>
          <w:marTop w:val="0"/>
          <w:marBottom w:val="0"/>
          <w:divBdr>
            <w:top w:val="none" w:sz="0" w:space="0" w:color="auto"/>
            <w:left w:val="none" w:sz="0" w:space="0" w:color="auto"/>
            <w:bottom w:val="none" w:sz="0" w:space="0" w:color="auto"/>
            <w:right w:val="none" w:sz="0" w:space="0" w:color="auto"/>
          </w:divBdr>
        </w:div>
        <w:div w:id="569536975">
          <w:marLeft w:val="0"/>
          <w:marRight w:val="0"/>
          <w:marTop w:val="0"/>
          <w:marBottom w:val="0"/>
          <w:divBdr>
            <w:top w:val="none" w:sz="0" w:space="0" w:color="auto"/>
            <w:left w:val="none" w:sz="0" w:space="0" w:color="auto"/>
            <w:bottom w:val="none" w:sz="0" w:space="0" w:color="auto"/>
            <w:right w:val="none" w:sz="0" w:space="0" w:color="auto"/>
          </w:divBdr>
        </w:div>
        <w:div w:id="720175368">
          <w:marLeft w:val="0"/>
          <w:marRight w:val="0"/>
          <w:marTop w:val="0"/>
          <w:marBottom w:val="0"/>
          <w:divBdr>
            <w:top w:val="none" w:sz="0" w:space="0" w:color="auto"/>
            <w:left w:val="none" w:sz="0" w:space="0" w:color="auto"/>
            <w:bottom w:val="none" w:sz="0" w:space="0" w:color="auto"/>
            <w:right w:val="none" w:sz="0" w:space="0" w:color="auto"/>
          </w:divBdr>
        </w:div>
        <w:div w:id="785075235">
          <w:marLeft w:val="0"/>
          <w:marRight w:val="0"/>
          <w:marTop w:val="0"/>
          <w:marBottom w:val="0"/>
          <w:divBdr>
            <w:top w:val="none" w:sz="0" w:space="0" w:color="auto"/>
            <w:left w:val="none" w:sz="0" w:space="0" w:color="auto"/>
            <w:bottom w:val="none" w:sz="0" w:space="0" w:color="auto"/>
            <w:right w:val="none" w:sz="0" w:space="0" w:color="auto"/>
          </w:divBdr>
          <w:divsChild>
            <w:div w:id="1308631901">
              <w:marLeft w:val="0"/>
              <w:marRight w:val="0"/>
              <w:marTop w:val="0"/>
              <w:marBottom w:val="0"/>
              <w:divBdr>
                <w:top w:val="none" w:sz="0" w:space="0" w:color="auto"/>
                <w:left w:val="none" w:sz="0" w:space="0" w:color="auto"/>
                <w:bottom w:val="none" w:sz="0" w:space="0" w:color="auto"/>
                <w:right w:val="none" w:sz="0" w:space="0" w:color="auto"/>
              </w:divBdr>
            </w:div>
          </w:divsChild>
        </w:div>
        <w:div w:id="787239904">
          <w:marLeft w:val="0"/>
          <w:marRight w:val="0"/>
          <w:marTop w:val="0"/>
          <w:marBottom w:val="0"/>
          <w:divBdr>
            <w:top w:val="none" w:sz="0" w:space="0" w:color="auto"/>
            <w:left w:val="none" w:sz="0" w:space="0" w:color="auto"/>
            <w:bottom w:val="none" w:sz="0" w:space="0" w:color="auto"/>
            <w:right w:val="none" w:sz="0" w:space="0" w:color="auto"/>
          </w:divBdr>
        </w:div>
        <w:div w:id="1049643583">
          <w:marLeft w:val="0"/>
          <w:marRight w:val="0"/>
          <w:marTop w:val="0"/>
          <w:marBottom w:val="0"/>
          <w:divBdr>
            <w:top w:val="none" w:sz="0" w:space="0" w:color="auto"/>
            <w:left w:val="none" w:sz="0" w:space="0" w:color="auto"/>
            <w:bottom w:val="none" w:sz="0" w:space="0" w:color="auto"/>
            <w:right w:val="none" w:sz="0" w:space="0" w:color="auto"/>
          </w:divBdr>
        </w:div>
        <w:div w:id="1198004410">
          <w:marLeft w:val="0"/>
          <w:marRight w:val="0"/>
          <w:marTop w:val="0"/>
          <w:marBottom w:val="0"/>
          <w:divBdr>
            <w:top w:val="none" w:sz="0" w:space="0" w:color="auto"/>
            <w:left w:val="none" w:sz="0" w:space="0" w:color="auto"/>
            <w:bottom w:val="none" w:sz="0" w:space="0" w:color="auto"/>
            <w:right w:val="none" w:sz="0" w:space="0" w:color="auto"/>
          </w:divBdr>
          <w:divsChild>
            <w:div w:id="62487491">
              <w:marLeft w:val="0"/>
              <w:marRight w:val="0"/>
              <w:marTop w:val="0"/>
              <w:marBottom w:val="0"/>
              <w:divBdr>
                <w:top w:val="none" w:sz="0" w:space="0" w:color="auto"/>
                <w:left w:val="none" w:sz="0" w:space="0" w:color="auto"/>
                <w:bottom w:val="none" w:sz="0" w:space="0" w:color="auto"/>
                <w:right w:val="none" w:sz="0" w:space="0" w:color="auto"/>
              </w:divBdr>
            </w:div>
            <w:div w:id="442069221">
              <w:marLeft w:val="0"/>
              <w:marRight w:val="0"/>
              <w:marTop w:val="0"/>
              <w:marBottom w:val="0"/>
              <w:divBdr>
                <w:top w:val="none" w:sz="0" w:space="0" w:color="auto"/>
                <w:left w:val="none" w:sz="0" w:space="0" w:color="auto"/>
                <w:bottom w:val="none" w:sz="0" w:space="0" w:color="auto"/>
                <w:right w:val="none" w:sz="0" w:space="0" w:color="auto"/>
              </w:divBdr>
            </w:div>
            <w:div w:id="1353724474">
              <w:marLeft w:val="0"/>
              <w:marRight w:val="0"/>
              <w:marTop w:val="0"/>
              <w:marBottom w:val="0"/>
              <w:divBdr>
                <w:top w:val="none" w:sz="0" w:space="0" w:color="auto"/>
                <w:left w:val="none" w:sz="0" w:space="0" w:color="auto"/>
                <w:bottom w:val="none" w:sz="0" w:space="0" w:color="auto"/>
                <w:right w:val="none" w:sz="0" w:space="0" w:color="auto"/>
              </w:divBdr>
            </w:div>
            <w:div w:id="1855076421">
              <w:marLeft w:val="0"/>
              <w:marRight w:val="0"/>
              <w:marTop w:val="0"/>
              <w:marBottom w:val="0"/>
              <w:divBdr>
                <w:top w:val="none" w:sz="0" w:space="0" w:color="auto"/>
                <w:left w:val="none" w:sz="0" w:space="0" w:color="auto"/>
                <w:bottom w:val="none" w:sz="0" w:space="0" w:color="auto"/>
                <w:right w:val="none" w:sz="0" w:space="0" w:color="auto"/>
              </w:divBdr>
            </w:div>
            <w:div w:id="1943562317">
              <w:marLeft w:val="0"/>
              <w:marRight w:val="0"/>
              <w:marTop w:val="0"/>
              <w:marBottom w:val="0"/>
              <w:divBdr>
                <w:top w:val="none" w:sz="0" w:space="0" w:color="auto"/>
                <w:left w:val="none" w:sz="0" w:space="0" w:color="auto"/>
                <w:bottom w:val="none" w:sz="0" w:space="0" w:color="auto"/>
                <w:right w:val="none" w:sz="0" w:space="0" w:color="auto"/>
              </w:divBdr>
            </w:div>
          </w:divsChild>
        </w:div>
        <w:div w:id="1205217581">
          <w:marLeft w:val="0"/>
          <w:marRight w:val="0"/>
          <w:marTop w:val="0"/>
          <w:marBottom w:val="0"/>
          <w:divBdr>
            <w:top w:val="none" w:sz="0" w:space="0" w:color="auto"/>
            <w:left w:val="none" w:sz="0" w:space="0" w:color="auto"/>
            <w:bottom w:val="none" w:sz="0" w:space="0" w:color="auto"/>
            <w:right w:val="none" w:sz="0" w:space="0" w:color="auto"/>
          </w:divBdr>
        </w:div>
        <w:div w:id="1242569543">
          <w:marLeft w:val="0"/>
          <w:marRight w:val="0"/>
          <w:marTop w:val="0"/>
          <w:marBottom w:val="0"/>
          <w:divBdr>
            <w:top w:val="none" w:sz="0" w:space="0" w:color="auto"/>
            <w:left w:val="none" w:sz="0" w:space="0" w:color="auto"/>
            <w:bottom w:val="none" w:sz="0" w:space="0" w:color="auto"/>
            <w:right w:val="none" w:sz="0" w:space="0" w:color="auto"/>
          </w:divBdr>
        </w:div>
        <w:div w:id="1328241899">
          <w:marLeft w:val="0"/>
          <w:marRight w:val="0"/>
          <w:marTop w:val="0"/>
          <w:marBottom w:val="0"/>
          <w:divBdr>
            <w:top w:val="none" w:sz="0" w:space="0" w:color="auto"/>
            <w:left w:val="none" w:sz="0" w:space="0" w:color="auto"/>
            <w:bottom w:val="none" w:sz="0" w:space="0" w:color="auto"/>
            <w:right w:val="none" w:sz="0" w:space="0" w:color="auto"/>
          </w:divBdr>
        </w:div>
        <w:div w:id="1374966120">
          <w:marLeft w:val="0"/>
          <w:marRight w:val="0"/>
          <w:marTop w:val="0"/>
          <w:marBottom w:val="0"/>
          <w:divBdr>
            <w:top w:val="none" w:sz="0" w:space="0" w:color="auto"/>
            <w:left w:val="none" w:sz="0" w:space="0" w:color="auto"/>
            <w:bottom w:val="none" w:sz="0" w:space="0" w:color="auto"/>
            <w:right w:val="none" w:sz="0" w:space="0" w:color="auto"/>
          </w:divBdr>
        </w:div>
        <w:div w:id="1611552004">
          <w:marLeft w:val="0"/>
          <w:marRight w:val="0"/>
          <w:marTop w:val="0"/>
          <w:marBottom w:val="0"/>
          <w:divBdr>
            <w:top w:val="none" w:sz="0" w:space="0" w:color="auto"/>
            <w:left w:val="none" w:sz="0" w:space="0" w:color="auto"/>
            <w:bottom w:val="none" w:sz="0" w:space="0" w:color="auto"/>
            <w:right w:val="none" w:sz="0" w:space="0" w:color="auto"/>
          </w:divBdr>
        </w:div>
        <w:div w:id="1666937917">
          <w:marLeft w:val="0"/>
          <w:marRight w:val="0"/>
          <w:marTop w:val="0"/>
          <w:marBottom w:val="0"/>
          <w:divBdr>
            <w:top w:val="none" w:sz="0" w:space="0" w:color="auto"/>
            <w:left w:val="none" w:sz="0" w:space="0" w:color="auto"/>
            <w:bottom w:val="none" w:sz="0" w:space="0" w:color="auto"/>
            <w:right w:val="none" w:sz="0" w:space="0" w:color="auto"/>
          </w:divBdr>
        </w:div>
        <w:div w:id="1740245332">
          <w:marLeft w:val="0"/>
          <w:marRight w:val="0"/>
          <w:marTop w:val="0"/>
          <w:marBottom w:val="0"/>
          <w:divBdr>
            <w:top w:val="none" w:sz="0" w:space="0" w:color="auto"/>
            <w:left w:val="none" w:sz="0" w:space="0" w:color="auto"/>
            <w:bottom w:val="none" w:sz="0" w:space="0" w:color="auto"/>
            <w:right w:val="none" w:sz="0" w:space="0" w:color="auto"/>
          </w:divBdr>
          <w:divsChild>
            <w:div w:id="997807596">
              <w:marLeft w:val="0"/>
              <w:marRight w:val="0"/>
              <w:marTop w:val="0"/>
              <w:marBottom w:val="0"/>
              <w:divBdr>
                <w:top w:val="none" w:sz="0" w:space="0" w:color="auto"/>
                <w:left w:val="none" w:sz="0" w:space="0" w:color="auto"/>
                <w:bottom w:val="none" w:sz="0" w:space="0" w:color="auto"/>
                <w:right w:val="none" w:sz="0" w:space="0" w:color="auto"/>
              </w:divBdr>
            </w:div>
            <w:div w:id="1666393611">
              <w:marLeft w:val="0"/>
              <w:marRight w:val="0"/>
              <w:marTop w:val="0"/>
              <w:marBottom w:val="0"/>
              <w:divBdr>
                <w:top w:val="none" w:sz="0" w:space="0" w:color="auto"/>
                <w:left w:val="none" w:sz="0" w:space="0" w:color="auto"/>
                <w:bottom w:val="none" w:sz="0" w:space="0" w:color="auto"/>
                <w:right w:val="none" w:sz="0" w:space="0" w:color="auto"/>
              </w:divBdr>
            </w:div>
            <w:div w:id="2023318411">
              <w:marLeft w:val="0"/>
              <w:marRight w:val="0"/>
              <w:marTop w:val="0"/>
              <w:marBottom w:val="0"/>
              <w:divBdr>
                <w:top w:val="none" w:sz="0" w:space="0" w:color="auto"/>
                <w:left w:val="none" w:sz="0" w:space="0" w:color="auto"/>
                <w:bottom w:val="none" w:sz="0" w:space="0" w:color="auto"/>
                <w:right w:val="none" w:sz="0" w:space="0" w:color="auto"/>
              </w:divBdr>
            </w:div>
          </w:divsChild>
        </w:div>
        <w:div w:id="1871528938">
          <w:marLeft w:val="0"/>
          <w:marRight w:val="0"/>
          <w:marTop w:val="0"/>
          <w:marBottom w:val="0"/>
          <w:divBdr>
            <w:top w:val="none" w:sz="0" w:space="0" w:color="auto"/>
            <w:left w:val="none" w:sz="0" w:space="0" w:color="auto"/>
            <w:bottom w:val="none" w:sz="0" w:space="0" w:color="auto"/>
            <w:right w:val="none" w:sz="0" w:space="0" w:color="auto"/>
          </w:divBdr>
        </w:div>
        <w:div w:id="2057200773">
          <w:marLeft w:val="0"/>
          <w:marRight w:val="0"/>
          <w:marTop w:val="0"/>
          <w:marBottom w:val="0"/>
          <w:divBdr>
            <w:top w:val="none" w:sz="0" w:space="0" w:color="auto"/>
            <w:left w:val="none" w:sz="0" w:space="0" w:color="auto"/>
            <w:bottom w:val="none" w:sz="0" w:space="0" w:color="auto"/>
            <w:right w:val="none" w:sz="0" w:space="0" w:color="auto"/>
          </w:divBdr>
          <w:divsChild>
            <w:div w:id="1831285560">
              <w:marLeft w:val="-75"/>
              <w:marRight w:val="0"/>
              <w:marTop w:val="30"/>
              <w:marBottom w:val="30"/>
              <w:divBdr>
                <w:top w:val="none" w:sz="0" w:space="0" w:color="auto"/>
                <w:left w:val="none" w:sz="0" w:space="0" w:color="auto"/>
                <w:bottom w:val="none" w:sz="0" w:space="0" w:color="auto"/>
                <w:right w:val="none" w:sz="0" w:space="0" w:color="auto"/>
              </w:divBdr>
              <w:divsChild>
                <w:div w:id="129396927">
                  <w:marLeft w:val="0"/>
                  <w:marRight w:val="0"/>
                  <w:marTop w:val="0"/>
                  <w:marBottom w:val="0"/>
                  <w:divBdr>
                    <w:top w:val="none" w:sz="0" w:space="0" w:color="auto"/>
                    <w:left w:val="none" w:sz="0" w:space="0" w:color="auto"/>
                    <w:bottom w:val="none" w:sz="0" w:space="0" w:color="auto"/>
                    <w:right w:val="none" w:sz="0" w:space="0" w:color="auto"/>
                  </w:divBdr>
                  <w:divsChild>
                    <w:div w:id="705984157">
                      <w:marLeft w:val="0"/>
                      <w:marRight w:val="0"/>
                      <w:marTop w:val="0"/>
                      <w:marBottom w:val="0"/>
                      <w:divBdr>
                        <w:top w:val="none" w:sz="0" w:space="0" w:color="auto"/>
                        <w:left w:val="none" w:sz="0" w:space="0" w:color="auto"/>
                        <w:bottom w:val="none" w:sz="0" w:space="0" w:color="auto"/>
                        <w:right w:val="none" w:sz="0" w:space="0" w:color="auto"/>
                      </w:divBdr>
                    </w:div>
                  </w:divsChild>
                </w:div>
                <w:div w:id="249315743">
                  <w:marLeft w:val="0"/>
                  <w:marRight w:val="0"/>
                  <w:marTop w:val="0"/>
                  <w:marBottom w:val="0"/>
                  <w:divBdr>
                    <w:top w:val="none" w:sz="0" w:space="0" w:color="auto"/>
                    <w:left w:val="none" w:sz="0" w:space="0" w:color="auto"/>
                    <w:bottom w:val="none" w:sz="0" w:space="0" w:color="auto"/>
                    <w:right w:val="none" w:sz="0" w:space="0" w:color="auto"/>
                  </w:divBdr>
                  <w:divsChild>
                    <w:div w:id="198275884">
                      <w:marLeft w:val="0"/>
                      <w:marRight w:val="0"/>
                      <w:marTop w:val="0"/>
                      <w:marBottom w:val="0"/>
                      <w:divBdr>
                        <w:top w:val="none" w:sz="0" w:space="0" w:color="auto"/>
                        <w:left w:val="none" w:sz="0" w:space="0" w:color="auto"/>
                        <w:bottom w:val="none" w:sz="0" w:space="0" w:color="auto"/>
                        <w:right w:val="none" w:sz="0" w:space="0" w:color="auto"/>
                      </w:divBdr>
                    </w:div>
                  </w:divsChild>
                </w:div>
                <w:div w:id="978612128">
                  <w:marLeft w:val="0"/>
                  <w:marRight w:val="0"/>
                  <w:marTop w:val="0"/>
                  <w:marBottom w:val="0"/>
                  <w:divBdr>
                    <w:top w:val="none" w:sz="0" w:space="0" w:color="auto"/>
                    <w:left w:val="none" w:sz="0" w:space="0" w:color="auto"/>
                    <w:bottom w:val="none" w:sz="0" w:space="0" w:color="auto"/>
                    <w:right w:val="none" w:sz="0" w:space="0" w:color="auto"/>
                  </w:divBdr>
                  <w:divsChild>
                    <w:div w:id="507868310">
                      <w:marLeft w:val="0"/>
                      <w:marRight w:val="0"/>
                      <w:marTop w:val="0"/>
                      <w:marBottom w:val="0"/>
                      <w:divBdr>
                        <w:top w:val="none" w:sz="0" w:space="0" w:color="auto"/>
                        <w:left w:val="none" w:sz="0" w:space="0" w:color="auto"/>
                        <w:bottom w:val="none" w:sz="0" w:space="0" w:color="auto"/>
                        <w:right w:val="none" w:sz="0" w:space="0" w:color="auto"/>
                      </w:divBdr>
                    </w:div>
                  </w:divsChild>
                </w:div>
                <w:div w:id="1286158581">
                  <w:marLeft w:val="0"/>
                  <w:marRight w:val="0"/>
                  <w:marTop w:val="0"/>
                  <w:marBottom w:val="0"/>
                  <w:divBdr>
                    <w:top w:val="none" w:sz="0" w:space="0" w:color="auto"/>
                    <w:left w:val="none" w:sz="0" w:space="0" w:color="auto"/>
                    <w:bottom w:val="none" w:sz="0" w:space="0" w:color="auto"/>
                    <w:right w:val="none" w:sz="0" w:space="0" w:color="auto"/>
                  </w:divBdr>
                  <w:divsChild>
                    <w:div w:id="1089813163">
                      <w:marLeft w:val="0"/>
                      <w:marRight w:val="0"/>
                      <w:marTop w:val="0"/>
                      <w:marBottom w:val="0"/>
                      <w:divBdr>
                        <w:top w:val="none" w:sz="0" w:space="0" w:color="auto"/>
                        <w:left w:val="none" w:sz="0" w:space="0" w:color="auto"/>
                        <w:bottom w:val="none" w:sz="0" w:space="0" w:color="auto"/>
                        <w:right w:val="none" w:sz="0" w:space="0" w:color="auto"/>
                      </w:divBdr>
                    </w:div>
                  </w:divsChild>
                </w:div>
                <w:div w:id="1520926002">
                  <w:marLeft w:val="0"/>
                  <w:marRight w:val="0"/>
                  <w:marTop w:val="0"/>
                  <w:marBottom w:val="0"/>
                  <w:divBdr>
                    <w:top w:val="none" w:sz="0" w:space="0" w:color="auto"/>
                    <w:left w:val="none" w:sz="0" w:space="0" w:color="auto"/>
                    <w:bottom w:val="none" w:sz="0" w:space="0" w:color="auto"/>
                    <w:right w:val="none" w:sz="0" w:space="0" w:color="auto"/>
                  </w:divBdr>
                  <w:divsChild>
                    <w:div w:id="1875117836">
                      <w:marLeft w:val="0"/>
                      <w:marRight w:val="0"/>
                      <w:marTop w:val="0"/>
                      <w:marBottom w:val="0"/>
                      <w:divBdr>
                        <w:top w:val="none" w:sz="0" w:space="0" w:color="auto"/>
                        <w:left w:val="none" w:sz="0" w:space="0" w:color="auto"/>
                        <w:bottom w:val="none" w:sz="0" w:space="0" w:color="auto"/>
                        <w:right w:val="none" w:sz="0" w:space="0" w:color="auto"/>
                      </w:divBdr>
                    </w:div>
                  </w:divsChild>
                </w:div>
                <w:div w:id="1654675027">
                  <w:marLeft w:val="0"/>
                  <w:marRight w:val="0"/>
                  <w:marTop w:val="0"/>
                  <w:marBottom w:val="0"/>
                  <w:divBdr>
                    <w:top w:val="none" w:sz="0" w:space="0" w:color="auto"/>
                    <w:left w:val="none" w:sz="0" w:space="0" w:color="auto"/>
                    <w:bottom w:val="none" w:sz="0" w:space="0" w:color="auto"/>
                    <w:right w:val="none" w:sz="0" w:space="0" w:color="auto"/>
                  </w:divBdr>
                  <w:divsChild>
                    <w:div w:id="204108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68580">
      <w:bodyDiv w:val="1"/>
      <w:marLeft w:val="0"/>
      <w:marRight w:val="0"/>
      <w:marTop w:val="0"/>
      <w:marBottom w:val="0"/>
      <w:divBdr>
        <w:top w:val="none" w:sz="0" w:space="0" w:color="auto"/>
        <w:left w:val="none" w:sz="0" w:space="0" w:color="auto"/>
        <w:bottom w:val="none" w:sz="0" w:space="0" w:color="auto"/>
        <w:right w:val="none" w:sz="0" w:space="0" w:color="auto"/>
      </w:divBdr>
    </w:div>
    <w:div w:id="206189150">
      <w:bodyDiv w:val="1"/>
      <w:marLeft w:val="0"/>
      <w:marRight w:val="0"/>
      <w:marTop w:val="0"/>
      <w:marBottom w:val="0"/>
      <w:divBdr>
        <w:top w:val="none" w:sz="0" w:space="0" w:color="auto"/>
        <w:left w:val="none" w:sz="0" w:space="0" w:color="auto"/>
        <w:bottom w:val="none" w:sz="0" w:space="0" w:color="auto"/>
        <w:right w:val="none" w:sz="0" w:space="0" w:color="auto"/>
      </w:divBdr>
      <w:divsChild>
        <w:div w:id="451286679">
          <w:marLeft w:val="0"/>
          <w:marRight w:val="0"/>
          <w:marTop w:val="0"/>
          <w:marBottom w:val="0"/>
          <w:divBdr>
            <w:top w:val="none" w:sz="0" w:space="0" w:color="auto"/>
            <w:left w:val="none" w:sz="0" w:space="0" w:color="auto"/>
            <w:bottom w:val="none" w:sz="0" w:space="0" w:color="auto"/>
            <w:right w:val="none" w:sz="0" w:space="0" w:color="auto"/>
          </w:divBdr>
          <w:divsChild>
            <w:div w:id="1061177393">
              <w:marLeft w:val="0"/>
              <w:marRight w:val="0"/>
              <w:marTop w:val="30"/>
              <w:marBottom w:val="30"/>
              <w:divBdr>
                <w:top w:val="none" w:sz="0" w:space="0" w:color="auto"/>
                <w:left w:val="none" w:sz="0" w:space="0" w:color="auto"/>
                <w:bottom w:val="none" w:sz="0" w:space="0" w:color="auto"/>
                <w:right w:val="none" w:sz="0" w:space="0" w:color="auto"/>
              </w:divBdr>
              <w:divsChild>
                <w:div w:id="305596229">
                  <w:marLeft w:val="0"/>
                  <w:marRight w:val="0"/>
                  <w:marTop w:val="0"/>
                  <w:marBottom w:val="0"/>
                  <w:divBdr>
                    <w:top w:val="none" w:sz="0" w:space="0" w:color="auto"/>
                    <w:left w:val="none" w:sz="0" w:space="0" w:color="auto"/>
                    <w:bottom w:val="none" w:sz="0" w:space="0" w:color="auto"/>
                    <w:right w:val="none" w:sz="0" w:space="0" w:color="auto"/>
                  </w:divBdr>
                  <w:divsChild>
                    <w:div w:id="653610740">
                      <w:marLeft w:val="0"/>
                      <w:marRight w:val="0"/>
                      <w:marTop w:val="0"/>
                      <w:marBottom w:val="0"/>
                      <w:divBdr>
                        <w:top w:val="none" w:sz="0" w:space="0" w:color="auto"/>
                        <w:left w:val="none" w:sz="0" w:space="0" w:color="auto"/>
                        <w:bottom w:val="none" w:sz="0" w:space="0" w:color="auto"/>
                        <w:right w:val="none" w:sz="0" w:space="0" w:color="auto"/>
                      </w:divBdr>
                    </w:div>
                  </w:divsChild>
                </w:div>
                <w:div w:id="1088885620">
                  <w:marLeft w:val="0"/>
                  <w:marRight w:val="0"/>
                  <w:marTop w:val="0"/>
                  <w:marBottom w:val="0"/>
                  <w:divBdr>
                    <w:top w:val="none" w:sz="0" w:space="0" w:color="auto"/>
                    <w:left w:val="none" w:sz="0" w:space="0" w:color="auto"/>
                    <w:bottom w:val="none" w:sz="0" w:space="0" w:color="auto"/>
                    <w:right w:val="none" w:sz="0" w:space="0" w:color="auto"/>
                  </w:divBdr>
                  <w:divsChild>
                    <w:div w:id="1356495689">
                      <w:marLeft w:val="0"/>
                      <w:marRight w:val="0"/>
                      <w:marTop w:val="0"/>
                      <w:marBottom w:val="0"/>
                      <w:divBdr>
                        <w:top w:val="none" w:sz="0" w:space="0" w:color="auto"/>
                        <w:left w:val="none" w:sz="0" w:space="0" w:color="auto"/>
                        <w:bottom w:val="none" w:sz="0" w:space="0" w:color="auto"/>
                        <w:right w:val="none" w:sz="0" w:space="0" w:color="auto"/>
                      </w:divBdr>
                    </w:div>
                  </w:divsChild>
                </w:div>
                <w:div w:id="1279682296">
                  <w:marLeft w:val="0"/>
                  <w:marRight w:val="0"/>
                  <w:marTop w:val="0"/>
                  <w:marBottom w:val="0"/>
                  <w:divBdr>
                    <w:top w:val="none" w:sz="0" w:space="0" w:color="auto"/>
                    <w:left w:val="none" w:sz="0" w:space="0" w:color="auto"/>
                    <w:bottom w:val="none" w:sz="0" w:space="0" w:color="auto"/>
                    <w:right w:val="none" w:sz="0" w:space="0" w:color="auto"/>
                  </w:divBdr>
                  <w:divsChild>
                    <w:div w:id="1355424719">
                      <w:marLeft w:val="0"/>
                      <w:marRight w:val="0"/>
                      <w:marTop w:val="0"/>
                      <w:marBottom w:val="0"/>
                      <w:divBdr>
                        <w:top w:val="none" w:sz="0" w:space="0" w:color="auto"/>
                        <w:left w:val="none" w:sz="0" w:space="0" w:color="auto"/>
                        <w:bottom w:val="none" w:sz="0" w:space="0" w:color="auto"/>
                        <w:right w:val="none" w:sz="0" w:space="0" w:color="auto"/>
                      </w:divBdr>
                    </w:div>
                  </w:divsChild>
                </w:div>
                <w:div w:id="1583836777">
                  <w:marLeft w:val="0"/>
                  <w:marRight w:val="0"/>
                  <w:marTop w:val="0"/>
                  <w:marBottom w:val="0"/>
                  <w:divBdr>
                    <w:top w:val="none" w:sz="0" w:space="0" w:color="auto"/>
                    <w:left w:val="none" w:sz="0" w:space="0" w:color="auto"/>
                    <w:bottom w:val="none" w:sz="0" w:space="0" w:color="auto"/>
                    <w:right w:val="none" w:sz="0" w:space="0" w:color="auto"/>
                  </w:divBdr>
                  <w:divsChild>
                    <w:div w:id="1791630367">
                      <w:marLeft w:val="0"/>
                      <w:marRight w:val="0"/>
                      <w:marTop w:val="0"/>
                      <w:marBottom w:val="0"/>
                      <w:divBdr>
                        <w:top w:val="none" w:sz="0" w:space="0" w:color="auto"/>
                        <w:left w:val="none" w:sz="0" w:space="0" w:color="auto"/>
                        <w:bottom w:val="none" w:sz="0" w:space="0" w:color="auto"/>
                        <w:right w:val="none" w:sz="0" w:space="0" w:color="auto"/>
                      </w:divBdr>
                    </w:div>
                  </w:divsChild>
                </w:div>
                <w:div w:id="2063287058">
                  <w:marLeft w:val="0"/>
                  <w:marRight w:val="0"/>
                  <w:marTop w:val="0"/>
                  <w:marBottom w:val="0"/>
                  <w:divBdr>
                    <w:top w:val="none" w:sz="0" w:space="0" w:color="auto"/>
                    <w:left w:val="none" w:sz="0" w:space="0" w:color="auto"/>
                    <w:bottom w:val="none" w:sz="0" w:space="0" w:color="auto"/>
                    <w:right w:val="none" w:sz="0" w:space="0" w:color="auto"/>
                  </w:divBdr>
                  <w:divsChild>
                    <w:div w:id="1725104328">
                      <w:marLeft w:val="0"/>
                      <w:marRight w:val="0"/>
                      <w:marTop w:val="0"/>
                      <w:marBottom w:val="0"/>
                      <w:divBdr>
                        <w:top w:val="none" w:sz="0" w:space="0" w:color="auto"/>
                        <w:left w:val="none" w:sz="0" w:space="0" w:color="auto"/>
                        <w:bottom w:val="none" w:sz="0" w:space="0" w:color="auto"/>
                        <w:right w:val="none" w:sz="0" w:space="0" w:color="auto"/>
                      </w:divBdr>
                    </w:div>
                  </w:divsChild>
                </w:div>
                <w:div w:id="2120371320">
                  <w:marLeft w:val="0"/>
                  <w:marRight w:val="0"/>
                  <w:marTop w:val="0"/>
                  <w:marBottom w:val="0"/>
                  <w:divBdr>
                    <w:top w:val="none" w:sz="0" w:space="0" w:color="auto"/>
                    <w:left w:val="none" w:sz="0" w:space="0" w:color="auto"/>
                    <w:bottom w:val="none" w:sz="0" w:space="0" w:color="auto"/>
                    <w:right w:val="none" w:sz="0" w:space="0" w:color="auto"/>
                  </w:divBdr>
                  <w:divsChild>
                    <w:div w:id="76260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268869">
          <w:marLeft w:val="0"/>
          <w:marRight w:val="0"/>
          <w:marTop w:val="0"/>
          <w:marBottom w:val="0"/>
          <w:divBdr>
            <w:top w:val="none" w:sz="0" w:space="0" w:color="auto"/>
            <w:left w:val="none" w:sz="0" w:space="0" w:color="auto"/>
            <w:bottom w:val="none" w:sz="0" w:space="0" w:color="auto"/>
            <w:right w:val="none" w:sz="0" w:space="0" w:color="auto"/>
          </w:divBdr>
        </w:div>
        <w:div w:id="547886046">
          <w:marLeft w:val="0"/>
          <w:marRight w:val="0"/>
          <w:marTop w:val="0"/>
          <w:marBottom w:val="0"/>
          <w:divBdr>
            <w:top w:val="none" w:sz="0" w:space="0" w:color="auto"/>
            <w:left w:val="none" w:sz="0" w:space="0" w:color="auto"/>
            <w:bottom w:val="none" w:sz="0" w:space="0" w:color="auto"/>
            <w:right w:val="none" w:sz="0" w:space="0" w:color="auto"/>
          </w:divBdr>
        </w:div>
        <w:div w:id="694622524">
          <w:marLeft w:val="0"/>
          <w:marRight w:val="0"/>
          <w:marTop w:val="0"/>
          <w:marBottom w:val="0"/>
          <w:divBdr>
            <w:top w:val="none" w:sz="0" w:space="0" w:color="auto"/>
            <w:left w:val="none" w:sz="0" w:space="0" w:color="auto"/>
            <w:bottom w:val="none" w:sz="0" w:space="0" w:color="auto"/>
            <w:right w:val="none" w:sz="0" w:space="0" w:color="auto"/>
          </w:divBdr>
        </w:div>
        <w:div w:id="777221170">
          <w:marLeft w:val="0"/>
          <w:marRight w:val="0"/>
          <w:marTop w:val="0"/>
          <w:marBottom w:val="0"/>
          <w:divBdr>
            <w:top w:val="none" w:sz="0" w:space="0" w:color="auto"/>
            <w:left w:val="none" w:sz="0" w:space="0" w:color="auto"/>
            <w:bottom w:val="none" w:sz="0" w:space="0" w:color="auto"/>
            <w:right w:val="none" w:sz="0" w:space="0" w:color="auto"/>
          </w:divBdr>
        </w:div>
        <w:div w:id="1109541643">
          <w:marLeft w:val="0"/>
          <w:marRight w:val="0"/>
          <w:marTop w:val="0"/>
          <w:marBottom w:val="0"/>
          <w:divBdr>
            <w:top w:val="none" w:sz="0" w:space="0" w:color="auto"/>
            <w:left w:val="none" w:sz="0" w:space="0" w:color="auto"/>
            <w:bottom w:val="none" w:sz="0" w:space="0" w:color="auto"/>
            <w:right w:val="none" w:sz="0" w:space="0" w:color="auto"/>
          </w:divBdr>
          <w:divsChild>
            <w:div w:id="1563372732">
              <w:marLeft w:val="0"/>
              <w:marRight w:val="0"/>
              <w:marTop w:val="30"/>
              <w:marBottom w:val="30"/>
              <w:divBdr>
                <w:top w:val="none" w:sz="0" w:space="0" w:color="auto"/>
                <w:left w:val="none" w:sz="0" w:space="0" w:color="auto"/>
                <w:bottom w:val="none" w:sz="0" w:space="0" w:color="auto"/>
                <w:right w:val="none" w:sz="0" w:space="0" w:color="auto"/>
              </w:divBdr>
              <w:divsChild>
                <w:div w:id="1406487743">
                  <w:marLeft w:val="0"/>
                  <w:marRight w:val="0"/>
                  <w:marTop w:val="0"/>
                  <w:marBottom w:val="0"/>
                  <w:divBdr>
                    <w:top w:val="none" w:sz="0" w:space="0" w:color="auto"/>
                    <w:left w:val="none" w:sz="0" w:space="0" w:color="auto"/>
                    <w:bottom w:val="none" w:sz="0" w:space="0" w:color="auto"/>
                    <w:right w:val="none" w:sz="0" w:space="0" w:color="auto"/>
                  </w:divBdr>
                  <w:divsChild>
                    <w:div w:id="374888947">
                      <w:marLeft w:val="0"/>
                      <w:marRight w:val="0"/>
                      <w:marTop w:val="0"/>
                      <w:marBottom w:val="0"/>
                      <w:divBdr>
                        <w:top w:val="none" w:sz="0" w:space="0" w:color="auto"/>
                        <w:left w:val="none" w:sz="0" w:space="0" w:color="auto"/>
                        <w:bottom w:val="none" w:sz="0" w:space="0" w:color="auto"/>
                        <w:right w:val="none" w:sz="0" w:space="0" w:color="auto"/>
                      </w:divBdr>
                    </w:div>
                  </w:divsChild>
                </w:div>
                <w:div w:id="1899049040">
                  <w:marLeft w:val="0"/>
                  <w:marRight w:val="0"/>
                  <w:marTop w:val="0"/>
                  <w:marBottom w:val="0"/>
                  <w:divBdr>
                    <w:top w:val="none" w:sz="0" w:space="0" w:color="auto"/>
                    <w:left w:val="none" w:sz="0" w:space="0" w:color="auto"/>
                    <w:bottom w:val="none" w:sz="0" w:space="0" w:color="auto"/>
                    <w:right w:val="none" w:sz="0" w:space="0" w:color="auto"/>
                  </w:divBdr>
                  <w:divsChild>
                    <w:div w:id="147209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05989">
          <w:marLeft w:val="0"/>
          <w:marRight w:val="0"/>
          <w:marTop w:val="0"/>
          <w:marBottom w:val="0"/>
          <w:divBdr>
            <w:top w:val="none" w:sz="0" w:space="0" w:color="auto"/>
            <w:left w:val="none" w:sz="0" w:space="0" w:color="auto"/>
            <w:bottom w:val="none" w:sz="0" w:space="0" w:color="auto"/>
            <w:right w:val="none" w:sz="0" w:space="0" w:color="auto"/>
          </w:divBdr>
          <w:divsChild>
            <w:div w:id="365298890">
              <w:marLeft w:val="0"/>
              <w:marRight w:val="0"/>
              <w:marTop w:val="30"/>
              <w:marBottom w:val="30"/>
              <w:divBdr>
                <w:top w:val="none" w:sz="0" w:space="0" w:color="auto"/>
                <w:left w:val="none" w:sz="0" w:space="0" w:color="auto"/>
                <w:bottom w:val="none" w:sz="0" w:space="0" w:color="auto"/>
                <w:right w:val="none" w:sz="0" w:space="0" w:color="auto"/>
              </w:divBdr>
              <w:divsChild>
                <w:div w:id="205027741">
                  <w:marLeft w:val="0"/>
                  <w:marRight w:val="0"/>
                  <w:marTop w:val="0"/>
                  <w:marBottom w:val="0"/>
                  <w:divBdr>
                    <w:top w:val="none" w:sz="0" w:space="0" w:color="auto"/>
                    <w:left w:val="none" w:sz="0" w:space="0" w:color="auto"/>
                    <w:bottom w:val="none" w:sz="0" w:space="0" w:color="auto"/>
                    <w:right w:val="none" w:sz="0" w:space="0" w:color="auto"/>
                  </w:divBdr>
                  <w:divsChild>
                    <w:div w:id="7411397">
                      <w:marLeft w:val="0"/>
                      <w:marRight w:val="0"/>
                      <w:marTop w:val="0"/>
                      <w:marBottom w:val="0"/>
                      <w:divBdr>
                        <w:top w:val="none" w:sz="0" w:space="0" w:color="auto"/>
                        <w:left w:val="none" w:sz="0" w:space="0" w:color="auto"/>
                        <w:bottom w:val="none" w:sz="0" w:space="0" w:color="auto"/>
                        <w:right w:val="none" w:sz="0" w:space="0" w:color="auto"/>
                      </w:divBdr>
                    </w:div>
                  </w:divsChild>
                </w:div>
                <w:div w:id="310519731">
                  <w:marLeft w:val="0"/>
                  <w:marRight w:val="0"/>
                  <w:marTop w:val="0"/>
                  <w:marBottom w:val="0"/>
                  <w:divBdr>
                    <w:top w:val="none" w:sz="0" w:space="0" w:color="auto"/>
                    <w:left w:val="none" w:sz="0" w:space="0" w:color="auto"/>
                    <w:bottom w:val="none" w:sz="0" w:space="0" w:color="auto"/>
                    <w:right w:val="none" w:sz="0" w:space="0" w:color="auto"/>
                  </w:divBdr>
                  <w:divsChild>
                    <w:div w:id="1463424245">
                      <w:marLeft w:val="0"/>
                      <w:marRight w:val="0"/>
                      <w:marTop w:val="0"/>
                      <w:marBottom w:val="0"/>
                      <w:divBdr>
                        <w:top w:val="none" w:sz="0" w:space="0" w:color="auto"/>
                        <w:left w:val="none" w:sz="0" w:space="0" w:color="auto"/>
                        <w:bottom w:val="none" w:sz="0" w:space="0" w:color="auto"/>
                        <w:right w:val="none" w:sz="0" w:space="0" w:color="auto"/>
                      </w:divBdr>
                    </w:div>
                  </w:divsChild>
                </w:div>
                <w:div w:id="559436617">
                  <w:marLeft w:val="0"/>
                  <w:marRight w:val="0"/>
                  <w:marTop w:val="0"/>
                  <w:marBottom w:val="0"/>
                  <w:divBdr>
                    <w:top w:val="none" w:sz="0" w:space="0" w:color="auto"/>
                    <w:left w:val="none" w:sz="0" w:space="0" w:color="auto"/>
                    <w:bottom w:val="none" w:sz="0" w:space="0" w:color="auto"/>
                    <w:right w:val="none" w:sz="0" w:space="0" w:color="auto"/>
                  </w:divBdr>
                  <w:divsChild>
                    <w:div w:id="1149514219">
                      <w:marLeft w:val="0"/>
                      <w:marRight w:val="0"/>
                      <w:marTop w:val="0"/>
                      <w:marBottom w:val="0"/>
                      <w:divBdr>
                        <w:top w:val="none" w:sz="0" w:space="0" w:color="auto"/>
                        <w:left w:val="none" w:sz="0" w:space="0" w:color="auto"/>
                        <w:bottom w:val="none" w:sz="0" w:space="0" w:color="auto"/>
                        <w:right w:val="none" w:sz="0" w:space="0" w:color="auto"/>
                      </w:divBdr>
                    </w:div>
                  </w:divsChild>
                </w:div>
                <w:div w:id="1054498815">
                  <w:marLeft w:val="0"/>
                  <w:marRight w:val="0"/>
                  <w:marTop w:val="0"/>
                  <w:marBottom w:val="0"/>
                  <w:divBdr>
                    <w:top w:val="none" w:sz="0" w:space="0" w:color="auto"/>
                    <w:left w:val="none" w:sz="0" w:space="0" w:color="auto"/>
                    <w:bottom w:val="none" w:sz="0" w:space="0" w:color="auto"/>
                    <w:right w:val="none" w:sz="0" w:space="0" w:color="auto"/>
                  </w:divBdr>
                  <w:divsChild>
                    <w:div w:id="458843188">
                      <w:marLeft w:val="0"/>
                      <w:marRight w:val="0"/>
                      <w:marTop w:val="0"/>
                      <w:marBottom w:val="0"/>
                      <w:divBdr>
                        <w:top w:val="none" w:sz="0" w:space="0" w:color="auto"/>
                        <w:left w:val="none" w:sz="0" w:space="0" w:color="auto"/>
                        <w:bottom w:val="none" w:sz="0" w:space="0" w:color="auto"/>
                        <w:right w:val="none" w:sz="0" w:space="0" w:color="auto"/>
                      </w:divBdr>
                    </w:div>
                  </w:divsChild>
                </w:div>
                <w:div w:id="1195269957">
                  <w:marLeft w:val="0"/>
                  <w:marRight w:val="0"/>
                  <w:marTop w:val="0"/>
                  <w:marBottom w:val="0"/>
                  <w:divBdr>
                    <w:top w:val="none" w:sz="0" w:space="0" w:color="auto"/>
                    <w:left w:val="none" w:sz="0" w:space="0" w:color="auto"/>
                    <w:bottom w:val="none" w:sz="0" w:space="0" w:color="auto"/>
                    <w:right w:val="none" w:sz="0" w:space="0" w:color="auto"/>
                  </w:divBdr>
                  <w:divsChild>
                    <w:div w:id="1596589679">
                      <w:marLeft w:val="0"/>
                      <w:marRight w:val="0"/>
                      <w:marTop w:val="0"/>
                      <w:marBottom w:val="0"/>
                      <w:divBdr>
                        <w:top w:val="none" w:sz="0" w:space="0" w:color="auto"/>
                        <w:left w:val="none" w:sz="0" w:space="0" w:color="auto"/>
                        <w:bottom w:val="none" w:sz="0" w:space="0" w:color="auto"/>
                        <w:right w:val="none" w:sz="0" w:space="0" w:color="auto"/>
                      </w:divBdr>
                    </w:div>
                  </w:divsChild>
                </w:div>
                <w:div w:id="1367023642">
                  <w:marLeft w:val="0"/>
                  <w:marRight w:val="0"/>
                  <w:marTop w:val="0"/>
                  <w:marBottom w:val="0"/>
                  <w:divBdr>
                    <w:top w:val="none" w:sz="0" w:space="0" w:color="auto"/>
                    <w:left w:val="none" w:sz="0" w:space="0" w:color="auto"/>
                    <w:bottom w:val="none" w:sz="0" w:space="0" w:color="auto"/>
                    <w:right w:val="none" w:sz="0" w:space="0" w:color="auto"/>
                  </w:divBdr>
                  <w:divsChild>
                    <w:div w:id="794562289">
                      <w:marLeft w:val="0"/>
                      <w:marRight w:val="0"/>
                      <w:marTop w:val="0"/>
                      <w:marBottom w:val="0"/>
                      <w:divBdr>
                        <w:top w:val="none" w:sz="0" w:space="0" w:color="auto"/>
                        <w:left w:val="none" w:sz="0" w:space="0" w:color="auto"/>
                        <w:bottom w:val="none" w:sz="0" w:space="0" w:color="auto"/>
                        <w:right w:val="none" w:sz="0" w:space="0" w:color="auto"/>
                      </w:divBdr>
                    </w:div>
                  </w:divsChild>
                </w:div>
                <w:div w:id="1446389416">
                  <w:marLeft w:val="0"/>
                  <w:marRight w:val="0"/>
                  <w:marTop w:val="0"/>
                  <w:marBottom w:val="0"/>
                  <w:divBdr>
                    <w:top w:val="none" w:sz="0" w:space="0" w:color="auto"/>
                    <w:left w:val="none" w:sz="0" w:space="0" w:color="auto"/>
                    <w:bottom w:val="none" w:sz="0" w:space="0" w:color="auto"/>
                    <w:right w:val="none" w:sz="0" w:space="0" w:color="auto"/>
                  </w:divBdr>
                  <w:divsChild>
                    <w:div w:id="2091585843">
                      <w:marLeft w:val="0"/>
                      <w:marRight w:val="0"/>
                      <w:marTop w:val="0"/>
                      <w:marBottom w:val="0"/>
                      <w:divBdr>
                        <w:top w:val="none" w:sz="0" w:space="0" w:color="auto"/>
                        <w:left w:val="none" w:sz="0" w:space="0" w:color="auto"/>
                        <w:bottom w:val="none" w:sz="0" w:space="0" w:color="auto"/>
                        <w:right w:val="none" w:sz="0" w:space="0" w:color="auto"/>
                      </w:divBdr>
                    </w:div>
                  </w:divsChild>
                </w:div>
                <w:div w:id="1712219537">
                  <w:marLeft w:val="0"/>
                  <w:marRight w:val="0"/>
                  <w:marTop w:val="0"/>
                  <w:marBottom w:val="0"/>
                  <w:divBdr>
                    <w:top w:val="none" w:sz="0" w:space="0" w:color="auto"/>
                    <w:left w:val="none" w:sz="0" w:space="0" w:color="auto"/>
                    <w:bottom w:val="none" w:sz="0" w:space="0" w:color="auto"/>
                    <w:right w:val="none" w:sz="0" w:space="0" w:color="auto"/>
                  </w:divBdr>
                  <w:divsChild>
                    <w:div w:id="520437413">
                      <w:marLeft w:val="0"/>
                      <w:marRight w:val="0"/>
                      <w:marTop w:val="0"/>
                      <w:marBottom w:val="0"/>
                      <w:divBdr>
                        <w:top w:val="none" w:sz="0" w:space="0" w:color="auto"/>
                        <w:left w:val="none" w:sz="0" w:space="0" w:color="auto"/>
                        <w:bottom w:val="none" w:sz="0" w:space="0" w:color="auto"/>
                        <w:right w:val="none" w:sz="0" w:space="0" w:color="auto"/>
                      </w:divBdr>
                    </w:div>
                    <w:div w:id="535242890">
                      <w:marLeft w:val="0"/>
                      <w:marRight w:val="0"/>
                      <w:marTop w:val="0"/>
                      <w:marBottom w:val="0"/>
                      <w:divBdr>
                        <w:top w:val="none" w:sz="0" w:space="0" w:color="auto"/>
                        <w:left w:val="none" w:sz="0" w:space="0" w:color="auto"/>
                        <w:bottom w:val="none" w:sz="0" w:space="0" w:color="auto"/>
                        <w:right w:val="none" w:sz="0" w:space="0" w:color="auto"/>
                      </w:divBdr>
                    </w:div>
                    <w:div w:id="1232152140">
                      <w:marLeft w:val="0"/>
                      <w:marRight w:val="0"/>
                      <w:marTop w:val="0"/>
                      <w:marBottom w:val="0"/>
                      <w:divBdr>
                        <w:top w:val="none" w:sz="0" w:space="0" w:color="auto"/>
                        <w:left w:val="none" w:sz="0" w:space="0" w:color="auto"/>
                        <w:bottom w:val="none" w:sz="0" w:space="0" w:color="auto"/>
                        <w:right w:val="none" w:sz="0" w:space="0" w:color="auto"/>
                      </w:divBdr>
                    </w:div>
                    <w:div w:id="1458599743">
                      <w:marLeft w:val="0"/>
                      <w:marRight w:val="0"/>
                      <w:marTop w:val="0"/>
                      <w:marBottom w:val="0"/>
                      <w:divBdr>
                        <w:top w:val="none" w:sz="0" w:space="0" w:color="auto"/>
                        <w:left w:val="none" w:sz="0" w:space="0" w:color="auto"/>
                        <w:bottom w:val="none" w:sz="0" w:space="0" w:color="auto"/>
                        <w:right w:val="none" w:sz="0" w:space="0" w:color="auto"/>
                      </w:divBdr>
                    </w:div>
                    <w:div w:id="1518694967">
                      <w:marLeft w:val="0"/>
                      <w:marRight w:val="0"/>
                      <w:marTop w:val="0"/>
                      <w:marBottom w:val="0"/>
                      <w:divBdr>
                        <w:top w:val="none" w:sz="0" w:space="0" w:color="auto"/>
                        <w:left w:val="none" w:sz="0" w:space="0" w:color="auto"/>
                        <w:bottom w:val="none" w:sz="0" w:space="0" w:color="auto"/>
                        <w:right w:val="none" w:sz="0" w:space="0" w:color="auto"/>
                      </w:divBdr>
                    </w:div>
                  </w:divsChild>
                </w:div>
                <w:div w:id="1867711944">
                  <w:marLeft w:val="0"/>
                  <w:marRight w:val="0"/>
                  <w:marTop w:val="0"/>
                  <w:marBottom w:val="0"/>
                  <w:divBdr>
                    <w:top w:val="none" w:sz="0" w:space="0" w:color="auto"/>
                    <w:left w:val="none" w:sz="0" w:space="0" w:color="auto"/>
                    <w:bottom w:val="none" w:sz="0" w:space="0" w:color="auto"/>
                    <w:right w:val="none" w:sz="0" w:space="0" w:color="auto"/>
                  </w:divBdr>
                  <w:divsChild>
                    <w:div w:id="549616561">
                      <w:marLeft w:val="0"/>
                      <w:marRight w:val="0"/>
                      <w:marTop w:val="0"/>
                      <w:marBottom w:val="0"/>
                      <w:divBdr>
                        <w:top w:val="none" w:sz="0" w:space="0" w:color="auto"/>
                        <w:left w:val="none" w:sz="0" w:space="0" w:color="auto"/>
                        <w:bottom w:val="none" w:sz="0" w:space="0" w:color="auto"/>
                        <w:right w:val="none" w:sz="0" w:space="0" w:color="auto"/>
                      </w:divBdr>
                    </w:div>
                  </w:divsChild>
                </w:div>
                <w:div w:id="1875465350">
                  <w:marLeft w:val="0"/>
                  <w:marRight w:val="0"/>
                  <w:marTop w:val="0"/>
                  <w:marBottom w:val="0"/>
                  <w:divBdr>
                    <w:top w:val="none" w:sz="0" w:space="0" w:color="auto"/>
                    <w:left w:val="none" w:sz="0" w:space="0" w:color="auto"/>
                    <w:bottom w:val="none" w:sz="0" w:space="0" w:color="auto"/>
                    <w:right w:val="none" w:sz="0" w:space="0" w:color="auto"/>
                  </w:divBdr>
                  <w:divsChild>
                    <w:div w:id="848523989">
                      <w:marLeft w:val="0"/>
                      <w:marRight w:val="0"/>
                      <w:marTop w:val="0"/>
                      <w:marBottom w:val="0"/>
                      <w:divBdr>
                        <w:top w:val="none" w:sz="0" w:space="0" w:color="auto"/>
                        <w:left w:val="none" w:sz="0" w:space="0" w:color="auto"/>
                        <w:bottom w:val="none" w:sz="0" w:space="0" w:color="auto"/>
                        <w:right w:val="none" w:sz="0" w:space="0" w:color="auto"/>
                      </w:divBdr>
                    </w:div>
                    <w:div w:id="1152605268">
                      <w:marLeft w:val="0"/>
                      <w:marRight w:val="0"/>
                      <w:marTop w:val="0"/>
                      <w:marBottom w:val="0"/>
                      <w:divBdr>
                        <w:top w:val="none" w:sz="0" w:space="0" w:color="auto"/>
                        <w:left w:val="none" w:sz="0" w:space="0" w:color="auto"/>
                        <w:bottom w:val="none" w:sz="0" w:space="0" w:color="auto"/>
                        <w:right w:val="none" w:sz="0" w:space="0" w:color="auto"/>
                      </w:divBdr>
                    </w:div>
                  </w:divsChild>
                </w:div>
                <w:div w:id="1895923662">
                  <w:marLeft w:val="0"/>
                  <w:marRight w:val="0"/>
                  <w:marTop w:val="0"/>
                  <w:marBottom w:val="0"/>
                  <w:divBdr>
                    <w:top w:val="none" w:sz="0" w:space="0" w:color="auto"/>
                    <w:left w:val="none" w:sz="0" w:space="0" w:color="auto"/>
                    <w:bottom w:val="none" w:sz="0" w:space="0" w:color="auto"/>
                    <w:right w:val="none" w:sz="0" w:space="0" w:color="auto"/>
                  </w:divBdr>
                  <w:divsChild>
                    <w:div w:id="199441622">
                      <w:marLeft w:val="0"/>
                      <w:marRight w:val="0"/>
                      <w:marTop w:val="0"/>
                      <w:marBottom w:val="0"/>
                      <w:divBdr>
                        <w:top w:val="none" w:sz="0" w:space="0" w:color="auto"/>
                        <w:left w:val="none" w:sz="0" w:space="0" w:color="auto"/>
                        <w:bottom w:val="none" w:sz="0" w:space="0" w:color="auto"/>
                        <w:right w:val="none" w:sz="0" w:space="0" w:color="auto"/>
                      </w:divBdr>
                    </w:div>
                  </w:divsChild>
                </w:div>
                <w:div w:id="2002662313">
                  <w:marLeft w:val="0"/>
                  <w:marRight w:val="0"/>
                  <w:marTop w:val="0"/>
                  <w:marBottom w:val="0"/>
                  <w:divBdr>
                    <w:top w:val="none" w:sz="0" w:space="0" w:color="auto"/>
                    <w:left w:val="none" w:sz="0" w:space="0" w:color="auto"/>
                    <w:bottom w:val="none" w:sz="0" w:space="0" w:color="auto"/>
                    <w:right w:val="none" w:sz="0" w:space="0" w:color="auto"/>
                  </w:divBdr>
                  <w:divsChild>
                    <w:div w:id="581379748">
                      <w:marLeft w:val="0"/>
                      <w:marRight w:val="0"/>
                      <w:marTop w:val="0"/>
                      <w:marBottom w:val="0"/>
                      <w:divBdr>
                        <w:top w:val="none" w:sz="0" w:space="0" w:color="auto"/>
                        <w:left w:val="none" w:sz="0" w:space="0" w:color="auto"/>
                        <w:bottom w:val="none" w:sz="0" w:space="0" w:color="auto"/>
                        <w:right w:val="none" w:sz="0" w:space="0" w:color="auto"/>
                      </w:divBdr>
                    </w:div>
                  </w:divsChild>
                </w:div>
                <w:div w:id="2019966148">
                  <w:marLeft w:val="0"/>
                  <w:marRight w:val="0"/>
                  <w:marTop w:val="0"/>
                  <w:marBottom w:val="0"/>
                  <w:divBdr>
                    <w:top w:val="none" w:sz="0" w:space="0" w:color="auto"/>
                    <w:left w:val="none" w:sz="0" w:space="0" w:color="auto"/>
                    <w:bottom w:val="none" w:sz="0" w:space="0" w:color="auto"/>
                    <w:right w:val="none" w:sz="0" w:space="0" w:color="auto"/>
                  </w:divBdr>
                  <w:divsChild>
                    <w:div w:id="26486883">
                      <w:marLeft w:val="0"/>
                      <w:marRight w:val="0"/>
                      <w:marTop w:val="0"/>
                      <w:marBottom w:val="0"/>
                      <w:divBdr>
                        <w:top w:val="none" w:sz="0" w:space="0" w:color="auto"/>
                        <w:left w:val="none" w:sz="0" w:space="0" w:color="auto"/>
                        <w:bottom w:val="none" w:sz="0" w:space="0" w:color="auto"/>
                        <w:right w:val="none" w:sz="0" w:space="0" w:color="auto"/>
                      </w:divBdr>
                    </w:div>
                  </w:divsChild>
                </w:div>
                <w:div w:id="2078358116">
                  <w:marLeft w:val="0"/>
                  <w:marRight w:val="0"/>
                  <w:marTop w:val="0"/>
                  <w:marBottom w:val="0"/>
                  <w:divBdr>
                    <w:top w:val="none" w:sz="0" w:space="0" w:color="auto"/>
                    <w:left w:val="none" w:sz="0" w:space="0" w:color="auto"/>
                    <w:bottom w:val="none" w:sz="0" w:space="0" w:color="auto"/>
                    <w:right w:val="none" w:sz="0" w:space="0" w:color="auto"/>
                  </w:divBdr>
                  <w:divsChild>
                    <w:div w:id="106981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89470">
          <w:marLeft w:val="0"/>
          <w:marRight w:val="0"/>
          <w:marTop w:val="0"/>
          <w:marBottom w:val="0"/>
          <w:divBdr>
            <w:top w:val="none" w:sz="0" w:space="0" w:color="auto"/>
            <w:left w:val="none" w:sz="0" w:space="0" w:color="auto"/>
            <w:bottom w:val="none" w:sz="0" w:space="0" w:color="auto"/>
            <w:right w:val="none" w:sz="0" w:space="0" w:color="auto"/>
          </w:divBdr>
          <w:divsChild>
            <w:div w:id="1260599468">
              <w:marLeft w:val="0"/>
              <w:marRight w:val="0"/>
              <w:marTop w:val="30"/>
              <w:marBottom w:val="30"/>
              <w:divBdr>
                <w:top w:val="none" w:sz="0" w:space="0" w:color="auto"/>
                <w:left w:val="none" w:sz="0" w:space="0" w:color="auto"/>
                <w:bottom w:val="none" w:sz="0" w:space="0" w:color="auto"/>
                <w:right w:val="none" w:sz="0" w:space="0" w:color="auto"/>
              </w:divBdr>
              <w:divsChild>
                <w:div w:id="865488122">
                  <w:marLeft w:val="0"/>
                  <w:marRight w:val="0"/>
                  <w:marTop w:val="0"/>
                  <w:marBottom w:val="0"/>
                  <w:divBdr>
                    <w:top w:val="none" w:sz="0" w:space="0" w:color="auto"/>
                    <w:left w:val="none" w:sz="0" w:space="0" w:color="auto"/>
                    <w:bottom w:val="none" w:sz="0" w:space="0" w:color="auto"/>
                    <w:right w:val="none" w:sz="0" w:space="0" w:color="auto"/>
                  </w:divBdr>
                  <w:divsChild>
                    <w:div w:id="67658363">
                      <w:marLeft w:val="0"/>
                      <w:marRight w:val="0"/>
                      <w:marTop w:val="0"/>
                      <w:marBottom w:val="0"/>
                      <w:divBdr>
                        <w:top w:val="none" w:sz="0" w:space="0" w:color="auto"/>
                        <w:left w:val="none" w:sz="0" w:space="0" w:color="auto"/>
                        <w:bottom w:val="none" w:sz="0" w:space="0" w:color="auto"/>
                        <w:right w:val="none" w:sz="0" w:space="0" w:color="auto"/>
                      </w:divBdr>
                    </w:div>
                  </w:divsChild>
                </w:div>
                <w:div w:id="1123963019">
                  <w:marLeft w:val="0"/>
                  <w:marRight w:val="0"/>
                  <w:marTop w:val="0"/>
                  <w:marBottom w:val="0"/>
                  <w:divBdr>
                    <w:top w:val="none" w:sz="0" w:space="0" w:color="auto"/>
                    <w:left w:val="none" w:sz="0" w:space="0" w:color="auto"/>
                    <w:bottom w:val="none" w:sz="0" w:space="0" w:color="auto"/>
                    <w:right w:val="none" w:sz="0" w:space="0" w:color="auto"/>
                  </w:divBdr>
                  <w:divsChild>
                    <w:div w:id="1838883027">
                      <w:marLeft w:val="0"/>
                      <w:marRight w:val="0"/>
                      <w:marTop w:val="0"/>
                      <w:marBottom w:val="0"/>
                      <w:divBdr>
                        <w:top w:val="none" w:sz="0" w:space="0" w:color="auto"/>
                        <w:left w:val="none" w:sz="0" w:space="0" w:color="auto"/>
                        <w:bottom w:val="none" w:sz="0" w:space="0" w:color="auto"/>
                        <w:right w:val="none" w:sz="0" w:space="0" w:color="auto"/>
                      </w:divBdr>
                    </w:div>
                  </w:divsChild>
                </w:div>
                <w:div w:id="1395157348">
                  <w:marLeft w:val="0"/>
                  <w:marRight w:val="0"/>
                  <w:marTop w:val="0"/>
                  <w:marBottom w:val="0"/>
                  <w:divBdr>
                    <w:top w:val="none" w:sz="0" w:space="0" w:color="auto"/>
                    <w:left w:val="none" w:sz="0" w:space="0" w:color="auto"/>
                    <w:bottom w:val="none" w:sz="0" w:space="0" w:color="auto"/>
                    <w:right w:val="none" w:sz="0" w:space="0" w:color="auto"/>
                  </w:divBdr>
                  <w:divsChild>
                    <w:div w:id="60099510">
                      <w:marLeft w:val="0"/>
                      <w:marRight w:val="0"/>
                      <w:marTop w:val="0"/>
                      <w:marBottom w:val="0"/>
                      <w:divBdr>
                        <w:top w:val="none" w:sz="0" w:space="0" w:color="auto"/>
                        <w:left w:val="none" w:sz="0" w:space="0" w:color="auto"/>
                        <w:bottom w:val="none" w:sz="0" w:space="0" w:color="auto"/>
                        <w:right w:val="none" w:sz="0" w:space="0" w:color="auto"/>
                      </w:divBdr>
                    </w:div>
                  </w:divsChild>
                </w:div>
                <w:div w:id="1810397376">
                  <w:marLeft w:val="0"/>
                  <w:marRight w:val="0"/>
                  <w:marTop w:val="0"/>
                  <w:marBottom w:val="0"/>
                  <w:divBdr>
                    <w:top w:val="none" w:sz="0" w:space="0" w:color="auto"/>
                    <w:left w:val="none" w:sz="0" w:space="0" w:color="auto"/>
                    <w:bottom w:val="none" w:sz="0" w:space="0" w:color="auto"/>
                    <w:right w:val="none" w:sz="0" w:space="0" w:color="auto"/>
                  </w:divBdr>
                  <w:divsChild>
                    <w:div w:id="105627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254788">
          <w:marLeft w:val="0"/>
          <w:marRight w:val="0"/>
          <w:marTop w:val="0"/>
          <w:marBottom w:val="0"/>
          <w:divBdr>
            <w:top w:val="none" w:sz="0" w:space="0" w:color="auto"/>
            <w:left w:val="none" w:sz="0" w:space="0" w:color="auto"/>
            <w:bottom w:val="none" w:sz="0" w:space="0" w:color="auto"/>
            <w:right w:val="none" w:sz="0" w:space="0" w:color="auto"/>
          </w:divBdr>
        </w:div>
        <w:div w:id="1530219812">
          <w:marLeft w:val="0"/>
          <w:marRight w:val="0"/>
          <w:marTop w:val="0"/>
          <w:marBottom w:val="0"/>
          <w:divBdr>
            <w:top w:val="none" w:sz="0" w:space="0" w:color="auto"/>
            <w:left w:val="none" w:sz="0" w:space="0" w:color="auto"/>
            <w:bottom w:val="none" w:sz="0" w:space="0" w:color="auto"/>
            <w:right w:val="none" w:sz="0" w:space="0" w:color="auto"/>
          </w:divBdr>
          <w:divsChild>
            <w:div w:id="421337105">
              <w:marLeft w:val="0"/>
              <w:marRight w:val="0"/>
              <w:marTop w:val="30"/>
              <w:marBottom w:val="30"/>
              <w:divBdr>
                <w:top w:val="none" w:sz="0" w:space="0" w:color="auto"/>
                <w:left w:val="none" w:sz="0" w:space="0" w:color="auto"/>
                <w:bottom w:val="none" w:sz="0" w:space="0" w:color="auto"/>
                <w:right w:val="none" w:sz="0" w:space="0" w:color="auto"/>
              </w:divBdr>
              <w:divsChild>
                <w:div w:id="1607958080">
                  <w:marLeft w:val="0"/>
                  <w:marRight w:val="0"/>
                  <w:marTop w:val="0"/>
                  <w:marBottom w:val="0"/>
                  <w:divBdr>
                    <w:top w:val="none" w:sz="0" w:space="0" w:color="auto"/>
                    <w:left w:val="none" w:sz="0" w:space="0" w:color="auto"/>
                    <w:bottom w:val="none" w:sz="0" w:space="0" w:color="auto"/>
                    <w:right w:val="none" w:sz="0" w:space="0" w:color="auto"/>
                  </w:divBdr>
                  <w:divsChild>
                    <w:div w:id="292177947">
                      <w:marLeft w:val="0"/>
                      <w:marRight w:val="0"/>
                      <w:marTop w:val="0"/>
                      <w:marBottom w:val="0"/>
                      <w:divBdr>
                        <w:top w:val="none" w:sz="0" w:space="0" w:color="auto"/>
                        <w:left w:val="none" w:sz="0" w:space="0" w:color="auto"/>
                        <w:bottom w:val="none" w:sz="0" w:space="0" w:color="auto"/>
                        <w:right w:val="none" w:sz="0" w:space="0" w:color="auto"/>
                      </w:divBdr>
                    </w:div>
                  </w:divsChild>
                </w:div>
                <w:div w:id="1965577282">
                  <w:marLeft w:val="0"/>
                  <w:marRight w:val="0"/>
                  <w:marTop w:val="0"/>
                  <w:marBottom w:val="0"/>
                  <w:divBdr>
                    <w:top w:val="none" w:sz="0" w:space="0" w:color="auto"/>
                    <w:left w:val="none" w:sz="0" w:space="0" w:color="auto"/>
                    <w:bottom w:val="none" w:sz="0" w:space="0" w:color="auto"/>
                    <w:right w:val="none" w:sz="0" w:space="0" w:color="auto"/>
                  </w:divBdr>
                  <w:divsChild>
                    <w:div w:id="84936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79794">
          <w:marLeft w:val="0"/>
          <w:marRight w:val="0"/>
          <w:marTop w:val="0"/>
          <w:marBottom w:val="0"/>
          <w:divBdr>
            <w:top w:val="none" w:sz="0" w:space="0" w:color="auto"/>
            <w:left w:val="none" w:sz="0" w:space="0" w:color="auto"/>
            <w:bottom w:val="none" w:sz="0" w:space="0" w:color="auto"/>
            <w:right w:val="none" w:sz="0" w:space="0" w:color="auto"/>
          </w:divBdr>
          <w:divsChild>
            <w:div w:id="800071478">
              <w:marLeft w:val="0"/>
              <w:marRight w:val="0"/>
              <w:marTop w:val="30"/>
              <w:marBottom w:val="30"/>
              <w:divBdr>
                <w:top w:val="none" w:sz="0" w:space="0" w:color="auto"/>
                <w:left w:val="none" w:sz="0" w:space="0" w:color="auto"/>
                <w:bottom w:val="none" w:sz="0" w:space="0" w:color="auto"/>
                <w:right w:val="none" w:sz="0" w:space="0" w:color="auto"/>
              </w:divBdr>
              <w:divsChild>
                <w:div w:id="803162350">
                  <w:marLeft w:val="0"/>
                  <w:marRight w:val="0"/>
                  <w:marTop w:val="0"/>
                  <w:marBottom w:val="0"/>
                  <w:divBdr>
                    <w:top w:val="none" w:sz="0" w:space="0" w:color="auto"/>
                    <w:left w:val="none" w:sz="0" w:space="0" w:color="auto"/>
                    <w:bottom w:val="none" w:sz="0" w:space="0" w:color="auto"/>
                    <w:right w:val="none" w:sz="0" w:space="0" w:color="auto"/>
                  </w:divBdr>
                  <w:divsChild>
                    <w:div w:id="1486360939">
                      <w:marLeft w:val="0"/>
                      <w:marRight w:val="0"/>
                      <w:marTop w:val="0"/>
                      <w:marBottom w:val="0"/>
                      <w:divBdr>
                        <w:top w:val="none" w:sz="0" w:space="0" w:color="auto"/>
                        <w:left w:val="none" w:sz="0" w:space="0" w:color="auto"/>
                        <w:bottom w:val="none" w:sz="0" w:space="0" w:color="auto"/>
                        <w:right w:val="none" w:sz="0" w:space="0" w:color="auto"/>
                      </w:divBdr>
                    </w:div>
                  </w:divsChild>
                </w:div>
                <w:div w:id="1046417620">
                  <w:marLeft w:val="0"/>
                  <w:marRight w:val="0"/>
                  <w:marTop w:val="0"/>
                  <w:marBottom w:val="0"/>
                  <w:divBdr>
                    <w:top w:val="none" w:sz="0" w:space="0" w:color="auto"/>
                    <w:left w:val="none" w:sz="0" w:space="0" w:color="auto"/>
                    <w:bottom w:val="none" w:sz="0" w:space="0" w:color="auto"/>
                    <w:right w:val="none" w:sz="0" w:space="0" w:color="auto"/>
                  </w:divBdr>
                  <w:divsChild>
                    <w:div w:id="938372192">
                      <w:marLeft w:val="0"/>
                      <w:marRight w:val="0"/>
                      <w:marTop w:val="0"/>
                      <w:marBottom w:val="0"/>
                      <w:divBdr>
                        <w:top w:val="none" w:sz="0" w:space="0" w:color="auto"/>
                        <w:left w:val="none" w:sz="0" w:space="0" w:color="auto"/>
                        <w:bottom w:val="none" w:sz="0" w:space="0" w:color="auto"/>
                        <w:right w:val="none" w:sz="0" w:space="0" w:color="auto"/>
                      </w:divBdr>
                    </w:div>
                  </w:divsChild>
                </w:div>
                <w:div w:id="1656840518">
                  <w:marLeft w:val="0"/>
                  <w:marRight w:val="0"/>
                  <w:marTop w:val="0"/>
                  <w:marBottom w:val="0"/>
                  <w:divBdr>
                    <w:top w:val="none" w:sz="0" w:space="0" w:color="auto"/>
                    <w:left w:val="none" w:sz="0" w:space="0" w:color="auto"/>
                    <w:bottom w:val="none" w:sz="0" w:space="0" w:color="auto"/>
                    <w:right w:val="none" w:sz="0" w:space="0" w:color="auto"/>
                  </w:divBdr>
                  <w:divsChild>
                    <w:div w:id="403603090">
                      <w:marLeft w:val="0"/>
                      <w:marRight w:val="0"/>
                      <w:marTop w:val="0"/>
                      <w:marBottom w:val="0"/>
                      <w:divBdr>
                        <w:top w:val="none" w:sz="0" w:space="0" w:color="auto"/>
                        <w:left w:val="none" w:sz="0" w:space="0" w:color="auto"/>
                        <w:bottom w:val="none" w:sz="0" w:space="0" w:color="auto"/>
                        <w:right w:val="none" w:sz="0" w:space="0" w:color="auto"/>
                      </w:divBdr>
                    </w:div>
                  </w:divsChild>
                </w:div>
                <w:div w:id="2112046950">
                  <w:marLeft w:val="0"/>
                  <w:marRight w:val="0"/>
                  <w:marTop w:val="0"/>
                  <w:marBottom w:val="0"/>
                  <w:divBdr>
                    <w:top w:val="none" w:sz="0" w:space="0" w:color="auto"/>
                    <w:left w:val="none" w:sz="0" w:space="0" w:color="auto"/>
                    <w:bottom w:val="none" w:sz="0" w:space="0" w:color="auto"/>
                    <w:right w:val="none" w:sz="0" w:space="0" w:color="auto"/>
                  </w:divBdr>
                  <w:divsChild>
                    <w:div w:id="28909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634056">
          <w:marLeft w:val="0"/>
          <w:marRight w:val="0"/>
          <w:marTop w:val="0"/>
          <w:marBottom w:val="0"/>
          <w:divBdr>
            <w:top w:val="none" w:sz="0" w:space="0" w:color="auto"/>
            <w:left w:val="none" w:sz="0" w:space="0" w:color="auto"/>
            <w:bottom w:val="none" w:sz="0" w:space="0" w:color="auto"/>
            <w:right w:val="none" w:sz="0" w:space="0" w:color="auto"/>
          </w:divBdr>
          <w:divsChild>
            <w:div w:id="461188933">
              <w:marLeft w:val="0"/>
              <w:marRight w:val="0"/>
              <w:marTop w:val="30"/>
              <w:marBottom w:val="30"/>
              <w:divBdr>
                <w:top w:val="none" w:sz="0" w:space="0" w:color="auto"/>
                <w:left w:val="none" w:sz="0" w:space="0" w:color="auto"/>
                <w:bottom w:val="none" w:sz="0" w:space="0" w:color="auto"/>
                <w:right w:val="none" w:sz="0" w:space="0" w:color="auto"/>
              </w:divBdr>
              <w:divsChild>
                <w:div w:id="806093932">
                  <w:marLeft w:val="0"/>
                  <w:marRight w:val="0"/>
                  <w:marTop w:val="0"/>
                  <w:marBottom w:val="0"/>
                  <w:divBdr>
                    <w:top w:val="none" w:sz="0" w:space="0" w:color="auto"/>
                    <w:left w:val="none" w:sz="0" w:space="0" w:color="auto"/>
                    <w:bottom w:val="none" w:sz="0" w:space="0" w:color="auto"/>
                    <w:right w:val="none" w:sz="0" w:space="0" w:color="auto"/>
                  </w:divBdr>
                  <w:divsChild>
                    <w:div w:id="2037268045">
                      <w:marLeft w:val="0"/>
                      <w:marRight w:val="0"/>
                      <w:marTop w:val="0"/>
                      <w:marBottom w:val="0"/>
                      <w:divBdr>
                        <w:top w:val="none" w:sz="0" w:space="0" w:color="auto"/>
                        <w:left w:val="none" w:sz="0" w:space="0" w:color="auto"/>
                        <w:bottom w:val="none" w:sz="0" w:space="0" w:color="auto"/>
                        <w:right w:val="none" w:sz="0" w:space="0" w:color="auto"/>
                      </w:divBdr>
                    </w:div>
                  </w:divsChild>
                </w:div>
                <w:div w:id="1552108018">
                  <w:marLeft w:val="0"/>
                  <w:marRight w:val="0"/>
                  <w:marTop w:val="0"/>
                  <w:marBottom w:val="0"/>
                  <w:divBdr>
                    <w:top w:val="none" w:sz="0" w:space="0" w:color="auto"/>
                    <w:left w:val="none" w:sz="0" w:space="0" w:color="auto"/>
                    <w:bottom w:val="none" w:sz="0" w:space="0" w:color="auto"/>
                    <w:right w:val="none" w:sz="0" w:space="0" w:color="auto"/>
                  </w:divBdr>
                  <w:divsChild>
                    <w:div w:id="65899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456671">
          <w:marLeft w:val="0"/>
          <w:marRight w:val="0"/>
          <w:marTop w:val="0"/>
          <w:marBottom w:val="0"/>
          <w:divBdr>
            <w:top w:val="none" w:sz="0" w:space="0" w:color="auto"/>
            <w:left w:val="none" w:sz="0" w:space="0" w:color="auto"/>
            <w:bottom w:val="none" w:sz="0" w:space="0" w:color="auto"/>
            <w:right w:val="none" w:sz="0" w:space="0" w:color="auto"/>
          </w:divBdr>
        </w:div>
      </w:divsChild>
    </w:div>
    <w:div w:id="232088772">
      <w:bodyDiv w:val="1"/>
      <w:marLeft w:val="0"/>
      <w:marRight w:val="0"/>
      <w:marTop w:val="0"/>
      <w:marBottom w:val="0"/>
      <w:divBdr>
        <w:top w:val="none" w:sz="0" w:space="0" w:color="auto"/>
        <w:left w:val="none" w:sz="0" w:space="0" w:color="auto"/>
        <w:bottom w:val="none" w:sz="0" w:space="0" w:color="auto"/>
        <w:right w:val="none" w:sz="0" w:space="0" w:color="auto"/>
      </w:divBdr>
    </w:div>
    <w:div w:id="235748833">
      <w:bodyDiv w:val="1"/>
      <w:marLeft w:val="0"/>
      <w:marRight w:val="0"/>
      <w:marTop w:val="0"/>
      <w:marBottom w:val="0"/>
      <w:divBdr>
        <w:top w:val="none" w:sz="0" w:space="0" w:color="auto"/>
        <w:left w:val="none" w:sz="0" w:space="0" w:color="auto"/>
        <w:bottom w:val="none" w:sz="0" w:space="0" w:color="auto"/>
        <w:right w:val="none" w:sz="0" w:space="0" w:color="auto"/>
      </w:divBdr>
    </w:div>
    <w:div w:id="242029011">
      <w:bodyDiv w:val="1"/>
      <w:marLeft w:val="0"/>
      <w:marRight w:val="0"/>
      <w:marTop w:val="0"/>
      <w:marBottom w:val="0"/>
      <w:divBdr>
        <w:top w:val="none" w:sz="0" w:space="0" w:color="auto"/>
        <w:left w:val="none" w:sz="0" w:space="0" w:color="auto"/>
        <w:bottom w:val="none" w:sz="0" w:space="0" w:color="auto"/>
        <w:right w:val="none" w:sz="0" w:space="0" w:color="auto"/>
      </w:divBdr>
    </w:div>
    <w:div w:id="280110068">
      <w:bodyDiv w:val="1"/>
      <w:marLeft w:val="0"/>
      <w:marRight w:val="0"/>
      <w:marTop w:val="0"/>
      <w:marBottom w:val="0"/>
      <w:divBdr>
        <w:top w:val="none" w:sz="0" w:space="0" w:color="auto"/>
        <w:left w:val="none" w:sz="0" w:space="0" w:color="auto"/>
        <w:bottom w:val="none" w:sz="0" w:space="0" w:color="auto"/>
        <w:right w:val="none" w:sz="0" w:space="0" w:color="auto"/>
      </w:divBdr>
    </w:div>
    <w:div w:id="292104375">
      <w:bodyDiv w:val="1"/>
      <w:marLeft w:val="0"/>
      <w:marRight w:val="0"/>
      <w:marTop w:val="0"/>
      <w:marBottom w:val="0"/>
      <w:divBdr>
        <w:top w:val="none" w:sz="0" w:space="0" w:color="auto"/>
        <w:left w:val="none" w:sz="0" w:space="0" w:color="auto"/>
        <w:bottom w:val="none" w:sz="0" w:space="0" w:color="auto"/>
        <w:right w:val="none" w:sz="0" w:space="0" w:color="auto"/>
      </w:divBdr>
    </w:div>
    <w:div w:id="300690217">
      <w:bodyDiv w:val="1"/>
      <w:marLeft w:val="0"/>
      <w:marRight w:val="0"/>
      <w:marTop w:val="0"/>
      <w:marBottom w:val="0"/>
      <w:divBdr>
        <w:top w:val="none" w:sz="0" w:space="0" w:color="auto"/>
        <w:left w:val="none" w:sz="0" w:space="0" w:color="auto"/>
        <w:bottom w:val="none" w:sz="0" w:space="0" w:color="auto"/>
        <w:right w:val="none" w:sz="0" w:space="0" w:color="auto"/>
      </w:divBdr>
    </w:div>
    <w:div w:id="353501456">
      <w:bodyDiv w:val="1"/>
      <w:marLeft w:val="0"/>
      <w:marRight w:val="0"/>
      <w:marTop w:val="0"/>
      <w:marBottom w:val="0"/>
      <w:divBdr>
        <w:top w:val="none" w:sz="0" w:space="0" w:color="auto"/>
        <w:left w:val="none" w:sz="0" w:space="0" w:color="auto"/>
        <w:bottom w:val="none" w:sz="0" w:space="0" w:color="auto"/>
        <w:right w:val="none" w:sz="0" w:space="0" w:color="auto"/>
      </w:divBdr>
    </w:div>
    <w:div w:id="384304771">
      <w:bodyDiv w:val="1"/>
      <w:marLeft w:val="0"/>
      <w:marRight w:val="0"/>
      <w:marTop w:val="0"/>
      <w:marBottom w:val="0"/>
      <w:divBdr>
        <w:top w:val="none" w:sz="0" w:space="0" w:color="auto"/>
        <w:left w:val="none" w:sz="0" w:space="0" w:color="auto"/>
        <w:bottom w:val="none" w:sz="0" w:space="0" w:color="auto"/>
        <w:right w:val="none" w:sz="0" w:space="0" w:color="auto"/>
      </w:divBdr>
    </w:div>
    <w:div w:id="384565951">
      <w:bodyDiv w:val="1"/>
      <w:marLeft w:val="0"/>
      <w:marRight w:val="0"/>
      <w:marTop w:val="0"/>
      <w:marBottom w:val="0"/>
      <w:divBdr>
        <w:top w:val="none" w:sz="0" w:space="0" w:color="auto"/>
        <w:left w:val="none" w:sz="0" w:space="0" w:color="auto"/>
        <w:bottom w:val="none" w:sz="0" w:space="0" w:color="auto"/>
        <w:right w:val="none" w:sz="0" w:space="0" w:color="auto"/>
      </w:divBdr>
      <w:divsChild>
        <w:div w:id="399595650">
          <w:marLeft w:val="0"/>
          <w:marRight w:val="0"/>
          <w:marTop w:val="0"/>
          <w:marBottom w:val="0"/>
          <w:divBdr>
            <w:top w:val="none" w:sz="0" w:space="0" w:color="auto"/>
            <w:left w:val="none" w:sz="0" w:space="0" w:color="auto"/>
            <w:bottom w:val="none" w:sz="0" w:space="0" w:color="auto"/>
            <w:right w:val="none" w:sz="0" w:space="0" w:color="auto"/>
          </w:divBdr>
        </w:div>
        <w:div w:id="1587953766">
          <w:marLeft w:val="0"/>
          <w:marRight w:val="0"/>
          <w:marTop w:val="0"/>
          <w:marBottom w:val="0"/>
          <w:divBdr>
            <w:top w:val="none" w:sz="0" w:space="0" w:color="auto"/>
            <w:left w:val="none" w:sz="0" w:space="0" w:color="auto"/>
            <w:bottom w:val="none" w:sz="0" w:space="0" w:color="auto"/>
            <w:right w:val="none" w:sz="0" w:space="0" w:color="auto"/>
          </w:divBdr>
        </w:div>
      </w:divsChild>
    </w:div>
    <w:div w:id="384839284">
      <w:bodyDiv w:val="1"/>
      <w:marLeft w:val="0"/>
      <w:marRight w:val="0"/>
      <w:marTop w:val="0"/>
      <w:marBottom w:val="0"/>
      <w:divBdr>
        <w:top w:val="none" w:sz="0" w:space="0" w:color="auto"/>
        <w:left w:val="none" w:sz="0" w:space="0" w:color="auto"/>
        <w:bottom w:val="none" w:sz="0" w:space="0" w:color="auto"/>
        <w:right w:val="none" w:sz="0" w:space="0" w:color="auto"/>
      </w:divBdr>
    </w:div>
    <w:div w:id="393621564">
      <w:bodyDiv w:val="1"/>
      <w:marLeft w:val="0"/>
      <w:marRight w:val="0"/>
      <w:marTop w:val="0"/>
      <w:marBottom w:val="0"/>
      <w:divBdr>
        <w:top w:val="none" w:sz="0" w:space="0" w:color="auto"/>
        <w:left w:val="none" w:sz="0" w:space="0" w:color="auto"/>
        <w:bottom w:val="none" w:sz="0" w:space="0" w:color="auto"/>
        <w:right w:val="none" w:sz="0" w:space="0" w:color="auto"/>
      </w:divBdr>
      <w:divsChild>
        <w:div w:id="111900916">
          <w:marLeft w:val="0"/>
          <w:marRight w:val="0"/>
          <w:marTop w:val="0"/>
          <w:marBottom w:val="0"/>
          <w:divBdr>
            <w:top w:val="none" w:sz="0" w:space="0" w:color="auto"/>
            <w:left w:val="none" w:sz="0" w:space="0" w:color="auto"/>
            <w:bottom w:val="none" w:sz="0" w:space="0" w:color="auto"/>
            <w:right w:val="none" w:sz="0" w:space="0" w:color="auto"/>
          </w:divBdr>
          <w:divsChild>
            <w:div w:id="739597288">
              <w:marLeft w:val="0"/>
              <w:marRight w:val="0"/>
              <w:marTop w:val="30"/>
              <w:marBottom w:val="30"/>
              <w:divBdr>
                <w:top w:val="none" w:sz="0" w:space="0" w:color="auto"/>
                <w:left w:val="none" w:sz="0" w:space="0" w:color="auto"/>
                <w:bottom w:val="none" w:sz="0" w:space="0" w:color="auto"/>
                <w:right w:val="none" w:sz="0" w:space="0" w:color="auto"/>
              </w:divBdr>
              <w:divsChild>
                <w:div w:id="721489014">
                  <w:marLeft w:val="0"/>
                  <w:marRight w:val="0"/>
                  <w:marTop w:val="0"/>
                  <w:marBottom w:val="0"/>
                  <w:divBdr>
                    <w:top w:val="none" w:sz="0" w:space="0" w:color="auto"/>
                    <w:left w:val="none" w:sz="0" w:space="0" w:color="auto"/>
                    <w:bottom w:val="none" w:sz="0" w:space="0" w:color="auto"/>
                    <w:right w:val="none" w:sz="0" w:space="0" w:color="auto"/>
                  </w:divBdr>
                  <w:divsChild>
                    <w:div w:id="1214120291">
                      <w:marLeft w:val="0"/>
                      <w:marRight w:val="0"/>
                      <w:marTop w:val="0"/>
                      <w:marBottom w:val="0"/>
                      <w:divBdr>
                        <w:top w:val="none" w:sz="0" w:space="0" w:color="auto"/>
                        <w:left w:val="none" w:sz="0" w:space="0" w:color="auto"/>
                        <w:bottom w:val="none" w:sz="0" w:space="0" w:color="auto"/>
                        <w:right w:val="none" w:sz="0" w:space="0" w:color="auto"/>
                      </w:divBdr>
                    </w:div>
                  </w:divsChild>
                </w:div>
                <w:div w:id="1553610547">
                  <w:marLeft w:val="0"/>
                  <w:marRight w:val="0"/>
                  <w:marTop w:val="0"/>
                  <w:marBottom w:val="0"/>
                  <w:divBdr>
                    <w:top w:val="none" w:sz="0" w:space="0" w:color="auto"/>
                    <w:left w:val="none" w:sz="0" w:space="0" w:color="auto"/>
                    <w:bottom w:val="none" w:sz="0" w:space="0" w:color="auto"/>
                    <w:right w:val="none" w:sz="0" w:space="0" w:color="auto"/>
                  </w:divBdr>
                  <w:divsChild>
                    <w:div w:id="219287132">
                      <w:marLeft w:val="0"/>
                      <w:marRight w:val="0"/>
                      <w:marTop w:val="0"/>
                      <w:marBottom w:val="0"/>
                      <w:divBdr>
                        <w:top w:val="none" w:sz="0" w:space="0" w:color="auto"/>
                        <w:left w:val="none" w:sz="0" w:space="0" w:color="auto"/>
                        <w:bottom w:val="none" w:sz="0" w:space="0" w:color="auto"/>
                        <w:right w:val="none" w:sz="0" w:space="0" w:color="auto"/>
                      </w:divBdr>
                    </w:div>
                    <w:div w:id="2059234344">
                      <w:marLeft w:val="0"/>
                      <w:marRight w:val="0"/>
                      <w:marTop w:val="0"/>
                      <w:marBottom w:val="0"/>
                      <w:divBdr>
                        <w:top w:val="none" w:sz="0" w:space="0" w:color="auto"/>
                        <w:left w:val="none" w:sz="0" w:space="0" w:color="auto"/>
                        <w:bottom w:val="none" w:sz="0" w:space="0" w:color="auto"/>
                        <w:right w:val="none" w:sz="0" w:space="0" w:color="auto"/>
                      </w:divBdr>
                    </w:div>
                  </w:divsChild>
                </w:div>
                <w:div w:id="1591040158">
                  <w:marLeft w:val="0"/>
                  <w:marRight w:val="0"/>
                  <w:marTop w:val="0"/>
                  <w:marBottom w:val="0"/>
                  <w:divBdr>
                    <w:top w:val="none" w:sz="0" w:space="0" w:color="auto"/>
                    <w:left w:val="none" w:sz="0" w:space="0" w:color="auto"/>
                    <w:bottom w:val="none" w:sz="0" w:space="0" w:color="auto"/>
                    <w:right w:val="none" w:sz="0" w:space="0" w:color="auto"/>
                  </w:divBdr>
                  <w:divsChild>
                    <w:div w:id="494028907">
                      <w:marLeft w:val="0"/>
                      <w:marRight w:val="0"/>
                      <w:marTop w:val="0"/>
                      <w:marBottom w:val="0"/>
                      <w:divBdr>
                        <w:top w:val="none" w:sz="0" w:space="0" w:color="auto"/>
                        <w:left w:val="none" w:sz="0" w:space="0" w:color="auto"/>
                        <w:bottom w:val="none" w:sz="0" w:space="0" w:color="auto"/>
                        <w:right w:val="none" w:sz="0" w:space="0" w:color="auto"/>
                      </w:divBdr>
                    </w:div>
                  </w:divsChild>
                </w:div>
                <w:div w:id="2099476462">
                  <w:marLeft w:val="0"/>
                  <w:marRight w:val="0"/>
                  <w:marTop w:val="0"/>
                  <w:marBottom w:val="0"/>
                  <w:divBdr>
                    <w:top w:val="none" w:sz="0" w:space="0" w:color="auto"/>
                    <w:left w:val="none" w:sz="0" w:space="0" w:color="auto"/>
                    <w:bottom w:val="none" w:sz="0" w:space="0" w:color="auto"/>
                    <w:right w:val="none" w:sz="0" w:space="0" w:color="auto"/>
                  </w:divBdr>
                  <w:divsChild>
                    <w:div w:id="173658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02281">
          <w:marLeft w:val="0"/>
          <w:marRight w:val="0"/>
          <w:marTop w:val="0"/>
          <w:marBottom w:val="0"/>
          <w:divBdr>
            <w:top w:val="none" w:sz="0" w:space="0" w:color="auto"/>
            <w:left w:val="none" w:sz="0" w:space="0" w:color="auto"/>
            <w:bottom w:val="none" w:sz="0" w:space="0" w:color="auto"/>
            <w:right w:val="none" w:sz="0" w:space="0" w:color="auto"/>
          </w:divBdr>
        </w:div>
        <w:div w:id="211817946">
          <w:marLeft w:val="0"/>
          <w:marRight w:val="0"/>
          <w:marTop w:val="0"/>
          <w:marBottom w:val="0"/>
          <w:divBdr>
            <w:top w:val="none" w:sz="0" w:space="0" w:color="auto"/>
            <w:left w:val="none" w:sz="0" w:space="0" w:color="auto"/>
            <w:bottom w:val="none" w:sz="0" w:space="0" w:color="auto"/>
            <w:right w:val="none" w:sz="0" w:space="0" w:color="auto"/>
          </w:divBdr>
        </w:div>
        <w:div w:id="216203312">
          <w:marLeft w:val="0"/>
          <w:marRight w:val="0"/>
          <w:marTop w:val="0"/>
          <w:marBottom w:val="0"/>
          <w:divBdr>
            <w:top w:val="none" w:sz="0" w:space="0" w:color="auto"/>
            <w:left w:val="none" w:sz="0" w:space="0" w:color="auto"/>
            <w:bottom w:val="none" w:sz="0" w:space="0" w:color="auto"/>
            <w:right w:val="none" w:sz="0" w:space="0" w:color="auto"/>
          </w:divBdr>
        </w:div>
        <w:div w:id="404649685">
          <w:marLeft w:val="0"/>
          <w:marRight w:val="0"/>
          <w:marTop w:val="0"/>
          <w:marBottom w:val="0"/>
          <w:divBdr>
            <w:top w:val="none" w:sz="0" w:space="0" w:color="auto"/>
            <w:left w:val="none" w:sz="0" w:space="0" w:color="auto"/>
            <w:bottom w:val="none" w:sz="0" w:space="0" w:color="auto"/>
            <w:right w:val="none" w:sz="0" w:space="0" w:color="auto"/>
          </w:divBdr>
        </w:div>
        <w:div w:id="429393586">
          <w:marLeft w:val="0"/>
          <w:marRight w:val="0"/>
          <w:marTop w:val="0"/>
          <w:marBottom w:val="0"/>
          <w:divBdr>
            <w:top w:val="none" w:sz="0" w:space="0" w:color="auto"/>
            <w:left w:val="none" w:sz="0" w:space="0" w:color="auto"/>
            <w:bottom w:val="none" w:sz="0" w:space="0" w:color="auto"/>
            <w:right w:val="none" w:sz="0" w:space="0" w:color="auto"/>
          </w:divBdr>
        </w:div>
        <w:div w:id="435759521">
          <w:marLeft w:val="0"/>
          <w:marRight w:val="0"/>
          <w:marTop w:val="0"/>
          <w:marBottom w:val="0"/>
          <w:divBdr>
            <w:top w:val="none" w:sz="0" w:space="0" w:color="auto"/>
            <w:left w:val="none" w:sz="0" w:space="0" w:color="auto"/>
            <w:bottom w:val="none" w:sz="0" w:space="0" w:color="auto"/>
            <w:right w:val="none" w:sz="0" w:space="0" w:color="auto"/>
          </w:divBdr>
          <w:divsChild>
            <w:div w:id="1880782450">
              <w:marLeft w:val="0"/>
              <w:marRight w:val="0"/>
              <w:marTop w:val="30"/>
              <w:marBottom w:val="30"/>
              <w:divBdr>
                <w:top w:val="none" w:sz="0" w:space="0" w:color="auto"/>
                <w:left w:val="none" w:sz="0" w:space="0" w:color="auto"/>
                <w:bottom w:val="none" w:sz="0" w:space="0" w:color="auto"/>
                <w:right w:val="none" w:sz="0" w:space="0" w:color="auto"/>
              </w:divBdr>
              <w:divsChild>
                <w:div w:id="56436257">
                  <w:marLeft w:val="0"/>
                  <w:marRight w:val="0"/>
                  <w:marTop w:val="0"/>
                  <w:marBottom w:val="0"/>
                  <w:divBdr>
                    <w:top w:val="none" w:sz="0" w:space="0" w:color="auto"/>
                    <w:left w:val="none" w:sz="0" w:space="0" w:color="auto"/>
                    <w:bottom w:val="none" w:sz="0" w:space="0" w:color="auto"/>
                    <w:right w:val="none" w:sz="0" w:space="0" w:color="auto"/>
                  </w:divBdr>
                  <w:divsChild>
                    <w:div w:id="1258094615">
                      <w:marLeft w:val="0"/>
                      <w:marRight w:val="0"/>
                      <w:marTop w:val="0"/>
                      <w:marBottom w:val="0"/>
                      <w:divBdr>
                        <w:top w:val="none" w:sz="0" w:space="0" w:color="auto"/>
                        <w:left w:val="none" w:sz="0" w:space="0" w:color="auto"/>
                        <w:bottom w:val="none" w:sz="0" w:space="0" w:color="auto"/>
                        <w:right w:val="none" w:sz="0" w:space="0" w:color="auto"/>
                      </w:divBdr>
                    </w:div>
                  </w:divsChild>
                </w:div>
                <w:div w:id="508905676">
                  <w:marLeft w:val="0"/>
                  <w:marRight w:val="0"/>
                  <w:marTop w:val="0"/>
                  <w:marBottom w:val="0"/>
                  <w:divBdr>
                    <w:top w:val="none" w:sz="0" w:space="0" w:color="auto"/>
                    <w:left w:val="none" w:sz="0" w:space="0" w:color="auto"/>
                    <w:bottom w:val="none" w:sz="0" w:space="0" w:color="auto"/>
                    <w:right w:val="none" w:sz="0" w:space="0" w:color="auto"/>
                  </w:divBdr>
                  <w:divsChild>
                    <w:div w:id="11758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169369">
          <w:marLeft w:val="0"/>
          <w:marRight w:val="0"/>
          <w:marTop w:val="0"/>
          <w:marBottom w:val="0"/>
          <w:divBdr>
            <w:top w:val="none" w:sz="0" w:space="0" w:color="auto"/>
            <w:left w:val="none" w:sz="0" w:space="0" w:color="auto"/>
            <w:bottom w:val="none" w:sz="0" w:space="0" w:color="auto"/>
            <w:right w:val="none" w:sz="0" w:space="0" w:color="auto"/>
          </w:divBdr>
        </w:div>
        <w:div w:id="559443496">
          <w:marLeft w:val="0"/>
          <w:marRight w:val="0"/>
          <w:marTop w:val="0"/>
          <w:marBottom w:val="0"/>
          <w:divBdr>
            <w:top w:val="none" w:sz="0" w:space="0" w:color="auto"/>
            <w:left w:val="none" w:sz="0" w:space="0" w:color="auto"/>
            <w:bottom w:val="none" w:sz="0" w:space="0" w:color="auto"/>
            <w:right w:val="none" w:sz="0" w:space="0" w:color="auto"/>
          </w:divBdr>
        </w:div>
        <w:div w:id="567885103">
          <w:marLeft w:val="0"/>
          <w:marRight w:val="0"/>
          <w:marTop w:val="0"/>
          <w:marBottom w:val="0"/>
          <w:divBdr>
            <w:top w:val="none" w:sz="0" w:space="0" w:color="auto"/>
            <w:left w:val="none" w:sz="0" w:space="0" w:color="auto"/>
            <w:bottom w:val="none" w:sz="0" w:space="0" w:color="auto"/>
            <w:right w:val="none" w:sz="0" w:space="0" w:color="auto"/>
          </w:divBdr>
          <w:divsChild>
            <w:div w:id="1232349294">
              <w:marLeft w:val="0"/>
              <w:marRight w:val="0"/>
              <w:marTop w:val="30"/>
              <w:marBottom w:val="30"/>
              <w:divBdr>
                <w:top w:val="none" w:sz="0" w:space="0" w:color="auto"/>
                <w:left w:val="none" w:sz="0" w:space="0" w:color="auto"/>
                <w:bottom w:val="none" w:sz="0" w:space="0" w:color="auto"/>
                <w:right w:val="none" w:sz="0" w:space="0" w:color="auto"/>
              </w:divBdr>
              <w:divsChild>
                <w:div w:id="333805696">
                  <w:marLeft w:val="0"/>
                  <w:marRight w:val="0"/>
                  <w:marTop w:val="0"/>
                  <w:marBottom w:val="0"/>
                  <w:divBdr>
                    <w:top w:val="none" w:sz="0" w:space="0" w:color="auto"/>
                    <w:left w:val="none" w:sz="0" w:space="0" w:color="auto"/>
                    <w:bottom w:val="none" w:sz="0" w:space="0" w:color="auto"/>
                    <w:right w:val="none" w:sz="0" w:space="0" w:color="auto"/>
                  </w:divBdr>
                  <w:divsChild>
                    <w:div w:id="1242523481">
                      <w:marLeft w:val="0"/>
                      <w:marRight w:val="0"/>
                      <w:marTop w:val="0"/>
                      <w:marBottom w:val="0"/>
                      <w:divBdr>
                        <w:top w:val="none" w:sz="0" w:space="0" w:color="auto"/>
                        <w:left w:val="none" w:sz="0" w:space="0" w:color="auto"/>
                        <w:bottom w:val="none" w:sz="0" w:space="0" w:color="auto"/>
                        <w:right w:val="none" w:sz="0" w:space="0" w:color="auto"/>
                      </w:divBdr>
                    </w:div>
                    <w:div w:id="1511332339">
                      <w:marLeft w:val="0"/>
                      <w:marRight w:val="0"/>
                      <w:marTop w:val="0"/>
                      <w:marBottom w:val="0"/>
                      <w:divBdr>
                        <w:top w:val="none" w:sz="0" w:space="0" w:color="auto"/>
                        <w:left w:val="none" w:sz="0" w:space="0" w:color="auto"/>
                        <w:bottom w:val="none" w:sz="0" w:space="0" w:color="auto"/>
                        <w:right w:val="none" w:sz="0" w:space="0" w:color="auto"/>
                      </w:divBdr>
                    </w:div>
                  </w:divsChild>
                </w:div>
                <w:div w:id="1363283740">
                  <w:marLeft w:val="0"/>
                  <w:marRight w:val="0"/>
                  <w:marTop w:val="0"/>
                  <w:marBottom w:val="0"/>
                  <w:divBdr>
                    <w:top w:val="none" w:sz="0" w:space="0" w:color="auto"/>
                    <w:left w:val="none" w:sz="0" w:space="0" w:color="auto"/>
                    <w:bottom w:val="none" w:sz="0" w:space="0" w:color="auto"/>
                    <w:right w:val="none" w:sz="0" w:space="0" w:color="auto"/>
                  </w:divBdr>
                  <w:divsChild>
                    <w:div w:id="1542282762">
                      <w:marLeft w:val="0"/>
                      <w:marRight w:val="0"/>
                      <w:marTop w:val="0"/>
                      <w:marBottom w:val="0"/>
                      <w:divBdr>
                        <w:top w:val="none" w:sz="0" w:space="0" w:color="auto"/>
                        <w:left w:val="none" w:sz="0" w:space="0" w:color="auto"/>
                        <w:bottom w:val="none" w:sz="0" w:space="0" w:color="auto"/>
                        <w:right w:val="none" w:sz="0" w:space="0" w:color="auto"/>
                      </w:divBdr>
                    </w:div>
                  </w:divsChild>
                </w:div>
                <w:div w:id="1426420930">
                  <w:marLeft w:val="0"/>
                  <w:marRight w:val="0"/>
                  <w:marTop w:val="0"/>
                  <w:marBottom w:val="0"/>
                  <w:divBdr>
                    <w:top w:val="none" w:sz="0" w:space="0" w:color="auto"/>
                    <w:left w:val="none" w:sz="0" w:space="0" w:color="auto"/>
                    <w:bottom w:val="none" w:sz="0" w:space="0" w:color="auto"/>
                    <w:right w:val="none" w:sz="0" w:space="0" w:color="auto"/>
                  </w:divBdr>
                  <w:divsChild>
                    <w:div w:id="1084763068">
                      <w:marLeft w:val="0"/>
                      <w:marRight w:val="0"/>
                      <w:marTop w:val="0"/>
                      <w:marBottom w:val="0"/>
                      <w:divBdr>
                        <w:top w:val="none" w:sz="0" w:space="0" w:color="auto"/>
                        <w:left w:val="none" w:sz="0" w:space="0" w:color="auto"/>
                        <w:bottom w:val="none" w:sz="0" w:space="0" w:color="auto"/>
                        <w:right w:val="none" w:sz="0" w:space="0" w:color="auto"/>
                      </w:divBdr>
                    </w:div>
                  </w:divsChild>
                </w:div>
                <w:div w:id="1459952997">
                  <w:marLeft w:val="0"/>
                  <w:marRight w:val="0"/>
                  <w:marTop w:val="0"/>
                  <w:marBottom w:val="0"/>
                  <w:divBdr>
                    <w:top w:val="none" w:sz="0" w:space="0" w:color="auto"/>
                    <w:left w:val="none" w:sz="0" w:space="0" w:color="auto"/>
                    <w:bottom w:val="none" w:sz="0" w:space="0" w:color="auto"/>
                    <w:right w:val="none" w:sz="0" w:space="0" w:color="auto"/>
                  </w:divBdr>
                  <w:divsChild>
                    <w:div w:id="165317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263372">
          <w:marLeft w:val="0"/>
          <w:marRight w:val="0"/>
          <w:marTop w:val="0"/>
          <w:marBottom w:val="0"/>
          <w:divBdr>
            <w:top w:val="none" w:sz="0" w:space="0" w:color="auto"/>
            <w:left w:val="none" w:sz="0" w:space="0" w:color="auto"/>
            <w:bottom w:val="none" w:sz="0" w:space="0" w:color="auto"/>
            <w:right w:val="none" w:sz="0" w:space="0" w:color="auto"/>
          </w:divBdr>
          <w:divsChild>
            <w:div w:id="2081516412">
              <w:marLeft w:val="0"/>
              <w:marRight w:val="0"/>
              <w:marTop w:val="30"/>
              <w:marBottom w:val="30"/>
              <w:divBdr>
                <w:top w:val="none" w:sz="0" w:space="0" w:color="auto"/>
                <w:left w:val="none" w:sz="0" w:space="0" w:color="auto"/>
                <w:bottom w:val="none" w:sz="0" w:space="0" w:color="auto"/>
                <w:right w:val="none" w:sz="0" w:space="0" w:color="auto"/>
              </w:divBdr>
              <w:divsChild>
                <w:div w:id="14120602">
                  <w:marLeft w:val="0"/>
                  <w:marRight w:val="0"/>
                  <w:marTop w:val="0"/>
                  <w:marBottom w:val="0"/>
                  <w:divBdr>
                    <w:top w:val="none" w:sz="0" w:space="0" w:color="auto"/>
                    <w:left w:val="none" w:sz="0" w:space="0" w:color="auto"/>
                    <w:bottom w:val="none" w:sz="0" w:space="0" w:color="auto"/>
                    <w:right w:val="none" w:sz="0" w:space="0" w:color="auto"/>
                  </w:divBdr>
                  <w:divsChild>
                    <w:div w:id="410154029">
                      <w:marLeft w:val="0"/>
                      <w:marRight w:val="0"/>
                      <w:marTop w:val="0"/>
                      <w:marBottom w:val="0"/>
                      <w:divBdr>
                        <w:top w:val="none" w:sz="0" w:space="0" w:color="auto"/>
                        <w:left w:val="none" w:sz="0" w:space="0" w:color="auto"/>
                        <w:bottom w:val="none" w:sz="0" w:space="0" w:color="auto"/>
                        <w:right w:val="none" w:sz="0" w:space="0" w:color="auto"/>
                      </w:divBdr>
                    </w:div>
                  </w:divsChild>
                </w:div>
                <w:div w:id="142698392">
                  <w:marLeft w:val="0"/>
                  <w:marRight w:val="0"/>
                  <w:marTop w:val="0"/>
                  <w:marBottom w:val="0"/>
                  <w:divBdr>
                    <w:top w:val="none" w:sz="0" w:space="0" w:color="auto"/>
                    <w:left w:val="none" w:sz="0" w:space="0" w:color="auto"/>
                    <w:bottom w:val="none" w:sz="0" w:space="0" w:color="auto"/>
                    <w:right w:val="none" w:sz="0" w:space="0" w:color="auto"/>
                  </w:divBdr>
                  <w:divsChild>
                    <w:div w:id="244994758">
                      <w:marLeft w:val="0"/>
                      <w:marRight w:val="0"/>
                      <w:marTop w:val="0"/>
                      <w:marBottom w:val="0"/>
                      <w:divBdr>
                        <w:top w:val="none" w:sz="0" w:space="0" w:color="auto"/>
                        <w:left w:val="none" w:sz="0" w:space="0" w:color="auto"/>
                        <w:bottom w:val="none" w:sz="0" w:space="0" w:color="auto"/>
                        <w:right w:val="none" w:sz="0" w:space="0" w:color="auto"/>
                      </w:divBdr>
                    </w:div>
                  </w:divsChild>
                </w:div>
                <w:div w:id="251671409">
                  <w:marLeft w:val="0"/>
                  <w:marRight w:val="0"/>
                  <w:marTop w:val="0"/>
                  <w:marBottom w:val="0"/>
                  <w:divBdr>
                    <w:top w:val="none" w:sz="0" w:space="0" w:color="auto"/>
                    <w:left w:val="none" w:sz="0" w:space="0" w:color="auto"/>
                    <w:bottom w:val="none" w:sz="0" w:space="0" w:color="auto"/>
                    <w:right w:val="none" w:sz="0" w:space="0" w:color="auto"/>
                  </w:divBdr>
                  <w:divsChild>
                    <w:div w:id="456143419">
                      <w:marLeft w:val="0"/>
                      <w:marRight w:val="0"/>
                      <w:marTop w:val="0"/>
                      <w:marBottom w:val="0"/>
                      <w:divBdr>
                        <w:top w:val="none" w:sz="0" w:space="0" w:color="auto"/>
                        <w:left w:val="none" w:sz="0" w:space="0" w:color="auto"/>
                        <w:bottom w:val="none" w:sz="0" w:space="0" w:color="auto"/>
                        <w:right w:val="none" w:sz="0" w:space="0" w:color="auto"/>
                      </w:divBdr>
                    </w:div>
                    <w:div w:id="1662653906">
                      <w:marLeft w:val="0"/>
                      <w:marRight w:val="0"/>
                      <w:marTop w:val="0"/>
                      <w:marBottom w:val="0"/>
                      <w:divBdr>
                        <w:top w:val="none" w:sz="0" w:space="0" w:color="auto"/>
                        <w:left w:val="none" w:sz="0" w:space="0" w:color="auto"/>
                        <w:bottom w:val="none" w:sz="0" w:space="0" w:color="auto"/>
                        <w:right w:val="none" w:sz="0" w:space="0" w:color="auto"/>
                      </w:divBdr>
                    </w:div>
                  </w:divsChild>
                </w:div>
                <w:div w:id="399330360">
                  <w:marLeft w:val="0"/>
                  <w:marRight w:val="0"/>
                  <w:marTop w:val="0"/>
                  <w:marBottom w:val="0"/>
                  <w:divBdr>
                    <w:top w:val="none" w:sz="0" w:space="0" w:color="auto"/>
                    <w:left w:val="none" w:sz="0" w:space="0" w:color="auto"/>
                    <w:bottom w:val="none" w:sz="0" w:space="0" w:color="auto"/>
                    <w:right w:val="none" w:sz="0" w:space="0" w:color="auto"/>
                  </w:divBdr>
                  <w:divsChild>
                    <w:div w:id="1259175759">
                      <w:marLeft w:val="0"/>
                      <w:marRight w:val="0"/>
                      <w:marTop w:val="0"/>
                      <w:marBottom w:val="0"/>
                      <w:divBdr>
                        <w:top w:val="none" w:sz="0" w:space="0" w:color="auto"/>
                        <w:left w:val="none" w:sz="0" w:space="0" w:color="auto"/>
                        <w:bottom w:val="none" w:sz="0" w:space="0" w:color="auto"/>
                        <w:right w:val="none" w:sz="0" w:space="0" w:color="auto"/>
                      </w:divBdr>
                    </w:div>
                  </w:divsChild>
                </w:div>
                <w:div w:id="1334912373">
                  <w:marLeft w:val="0"/>
                  <w:marRight w:val="0"/>
                  <w:marTop w:val="0"/>
                  <w:marBottom w:val="0"/>
                  <w:divBdr>
                    <w:top w:val="none" w:sz="0" w:space="0" w:color="auto"/>
                    <w:left w:val="none" w:sz="0" w:space="0" w:color="auto"/>
                    <w:bottom w:val="none" w:sz="0" w:space="0" w:color="auto"/>
                    <w:right w:val="none" w:sz="0" w:space="0" w:color="auto"/>
                  </w:divBdr>
                  <w:divsChild>
                    <w:div w:id="1436514131">
                      <w:marLeft w:val="0"/>
                      <w:marRight w:val="0"/>
                      <w:marTop w:val="0"/>
                      <w:marBottom w:val="0"/>
                      <w:divBdr>
                        <w:top w:val="none" w:sz="0" w:space="0" w:color="auto"/>
                        <w:left w:val="none" w:sz="0" w:space="0" w:color="auto"/>
                        <w:bottom w:val="none" w:sz="0" w:space="0" w:color="auto"/>
                        <w:right w:val="none" w:sz="0" w:space="0" w:color="auto"/>
                      </w:divBdr>
                    </w:div>
                  </w:divsChild>
                </w:div>
                <w:div w:id="1534078535">
                  <w:marLeft w:val="0"/>
                  <w:marRight w:val="0"/>
                  <w:marTop w:val="0"/>
                  <w:marBottom w:val="0"/>
                  <w:divBdr>
                    <w:top w:val="none" w:sz="0" w:space="0" w:color="auto"/>
                    <w:left w:val="none" w:sz="0" w:space="0" w:color="auto"/>
                    <w:bottom w:val="none" w:sz="0" w:space="0" w:color="auto"/>
                    <w:right w:val="none" w:sz="0" w:space="0" w:color="auto"/>
                  </w:divBdr>
                  <w:divsChild>
                    <w:div w:id="17434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443887">
          <w:marLeft w:val="0"/>
          <w:marRight w:val="0"/>
          <w:marTop w:val="0"/>
          <w:marBottom w:val="0"/>
          <w:divBdr>
            <w:top w:val="none" w:sz="0" w:space="0" w:color="auto"/>
            <w:left w:val="none" w:sz="0" w:space="0" w:color="auto"/>
            <w:bottom w:val="none" w:sz="0" w:space="0" w:color="auto"/>
            <w:right w:val="none" w:sz="0" w:space="0" w:color="auto"/>
          </w:divBdr>
        </w:div>
        <w:div w:id="916087474">
          <w:marLeft w:val="0"/>
          <w:marRight w:val="0"/>
          <w:marTop w:val="0"/>
          <w:marBottom w:val="0"/>
          <w:divBdr>
            <w:top w:val="none" w:sz="0" w:space="0" w:color="auto"/>
            <w:left w:val="none" w:sz="0" w:space="0" w:color="auto"/>
            <w:bottom w:val="none" w:sz="0" w:space="0" w:color="auto"/>
            <w:right w:val="none" w:sz="0" w:space="0" w:color="auto"/>
          </w:divBdr>
          <w:divsChild>
            <w:div w:id="1988124346">
              <w:marLeft w:val="0"/>
              <w:marRight w:val="0"/>
              <w:marTop w:val="30"/>
              <w:marBottom w:val="30"/>
              <w:divBdr>
                <w:top w:val="none" w:sz="0" w:space="0" w:color="auto"/>
                <w:left w:val="none" w:sz="0" w:space="0" w:color="auto"/>
                <w:bottom w:val="none" w:sz="0" w:space="0" w:color="auto"/>
                <w:right w:val="none" w:sz="0" w:space="0" w:color="auto"/>
              </w:divBdr>
              <w:divsChild>
                <w:div w:id="191068073">
                  <w:marLeft w:val="0"/>
                  <w:marRight w:val="0"/>
                  <w:marTop w:val="0"/>
                  <w:marBottom w:val="0"/>
                  <w:divBdr>
                    <w:top w:val="none" w:sz="0" w:space="0" w:color="auto"/>
                    <w:left w:val="none" w:sz="0" w:space="0" w:color="auto"/>
                    <w:bottom w:val="none" w:sz="0" w:space="0" w:color="auto"/>
                    <w:right w:val="none" w:sz="0" w:space="0" w:color="auto"/>
                  </w:divBdr>
                  <w:divsChild>
                    <w:div w:id="1301693802">
                      <w:marLeft w:val="0"/>
                      <w:marRight w:val="0"/>
                      <w:marTop w:val="0"/>
                      <w:marBottom w:val="0"/>
                      <w:divBdr>
                        <w:top w:val="none" w:sz="0" w:space="0" w:color="auto"/>
                        <w:left w:val="none" w:sz="0" w:space="0" w:color="auto"/>
                        <w:bottom w:val="none" w:sz="0" w:space="0" w:color="auto"/>
                        <w:right w:val="none" w:sz="0" w:space="0" w:color="auto"/>
                      </w:divBdr>
                    </w:div>
                  </w:divsChild>
                </w:div>
                <w:div w:id="338119160">
                  <w:marLeft w:val="0"/>
                  <w:marRight w:val="0"/>
                  <w:marTop w:val="0"/>
                  <w:marBottom w:val="0"/>
                  <w:divBdr>
                    <w:top w:val="none" w:sz="0" w:space="0" w:color="auto"/>
                    <w:left w:val="none" w:sz="0" w:space="0" w:color="auto"/>
                    <w:bottom w:val="none" w:sz="0" w:space="0" w:color="auto"/>
                    <w:right w:val="none" w:sz="0" w:space="0" w:color="auto"/>
                  </w:divBdr>
                  <w:divsChild>
                    <w:div w:id="835269926">
                      <w:marLeft w:val="0"/>
                      <w:marRight w:val="0"/>
                      <w:marTop w:val="0"/>
                      <w:marBottom w:val="0"/>
                      <w:divBdr>
                        <w:top w:val="none" w:sz="0" w:space="0" w:color="auto"/>
                        <w:left w:val="none" w:sz="0" w:space="0" w:color="auto"/>
                        <w:bottom w:val="none" w:sz="0" w:space="0" w:color="auto"/>
                        <w:right w:val="none" w:sz="0" w:space="0" w:color="auto"/>
                      </w:divBdr>
                    </w:div>
                  </w:divsChild>
                </w:div>
                <w:div w:id="638654401">
                  <w:marLeft w:val="0"/>
                  <w:marRight w:val="0"/>
                  <w:marTop w:val="0"/>
                  <w:marBottom w:val="0"/>
                  <w:divBdr>
                    <w:top w:val="none" w:sz="0" w:space="0" w:color="auto"/>
                    <w:left w:val="none" w:sz="0" w:space="0" w:color="auto"/>
                    <w:bottom w:val="none" w:sz="0" w:space="0" w:color="auto"/>
                    <w:right w:val="none" w:sz="0" w:space="0" w:color="auto"/>
                  </w:divBdr>
                  <w:divsChild>
                    <w:div w:id="1600604236">
                      <w:marLeft w:val="0"/>
                      <w:marRight w:val="0"/>
                      <w:marTop w:val="0"/>
                      <w:marBottom w:val="0"/>
                      <w:divBdr>
                        <w:top w:val="none" w:sz="0" w:space="0" w:color="auto"/>
                        <w:left w:val="none" w:sz="0" w:space="0" w:color="auto"/>
                        <w:bottom w:val="none" w:sz="0" w:space="0" w:color="auto"/>
                        <w:right w:val="none" w:sz="0" w:space="0" w:color="auto"/>
                      </w:divBdr>
                    </w:div>
                  </w:divsChild>
                </w:div>
                <w:div w:id="792332542">
                  <w:marLeft w:val="0"/>
                  <w:marRight w:val="0"/>
                  <w:marTop w:val="0"/>
                  <w:marBottom w:val="0"/>
                  <w:divBdr>
                    <w:top w:val="none" w:sz="0" w:space="0" w:color="auto"/>
                    <w:left w:val="none" w:sz="0" w:space="0" w:color="auto"/>
                    <w:bottom w:val="none" w:sz="0" w:space="0" w:color="auto"/>
                    <w:right w:val="none" w:sz="0" w:space="0" w:color="auto"/>
                  </w:divBdr>
                  <w:divsChild>
                    <w:div w:id="1275795422">
                      <w:marLeft w:val="0"/>
                      <w:marRight w:val="0"/>
                      <w:marTop w:val="0"/>
                      <w:marBottom w:val="0"/>
                      <w:divBdr>
                        <w:top w:val="none" w:sz="0" w:space="0" w:color="auto"/>
                        <w:left w:val="none" w:sz="0" w:space="0" w:color="auto"/>
                        <w:bottom w:val="none" w:sz="0" w:space="0" w:color="auto"/>
                        <w:right w:val="none" w:sz="0" w:space="0" w:color="auto"/>
                      </w:divBdr>
                    </w:div>
                  </w:divsChild>
                </w:div>
                <w:div w:id="864056260">
                  <w:marLeft w:val="0"/>
                  <w:marRight w:val="0"/>
                  <w:marTop w:val="0"/>
                  <w:marBottom w:val="0"/>
                  <w:divBdr>
                    <w:top w:val="none" w:sz="0" w:space="0" w:color="auto"/>
                    <w:left w:val="none" w:sz="0" w:space="0" w:color="auto"/>
                    <w:bottom w:val="none" w:sz="0" w:space="0" w:color="auto"/>
                    <w:right w:val="none" w:sz="0" w:space="0" w:color="auto"/>
                  </w:divBdr>
                  <w:divsChild>
                    <w:div w:id="1981883262">
                      <w:marLeft w:val="0"/>
                      <w:marRight w:val="0"/>
                      <w:marTop w:val="0"/>
                      <w:marBottom w:val="0"/>
                      <w:divBdr>
                        <w:top w:val="none" w:sz="0" w:space="0" w:color="auto"/>
                        <w:left w:val="none" w:sz="0" w:space="0" w:color="auto"/>
                        <w:bottom w:val="none" w:sz="0" w:space="0" w:color="auto"/>
                        <w:right w:val="none" w:sz="0" w:space="0" w:color="auto"/>
                      </w:divBdr>
                    </w:div>
                  </w:divsChild>
                </w:div>
                <w:div w:id="1810392461">
                  <w:marLeft w:val="0"/>
                  <w:marRight w:val="0"/>
                  <w:marTop w:val="0"/>
                  <w:marBottom w:val="0"/>
                  <w:divBdr>
                    <w:top w:val="none" w:sz="0" w:space="0" w:color="auto"/>
                    <w:left w:val="none" w:sz="0" w:space="0" w:color="auto"/>
                    <w:bottom w:val="none" w:sz="0" w:space="0" w:color="auto"/>
                    <w:right w:val="none" w:sz="0" w:space="0" w:color="auto"/>
                  </w:divBdr>
                  <w:divsChild>
                    <w:div w:id="6830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911763">
          <w:marLeft w:val="0"/>
          <w:marRight w:val="0"/>
          <w:marTop w:val="0"/>
          <w:marBottom w:val="0"/>
          <w:divBdr>
            <w:top w:val="none" w:sz="0" w:space="0" w:color="auto"/>
            <w:left w:val="none" w:sz="0" w:space="0" w:color="auto"/>
            <w:bottom w:val="none" w:sz="0" w:space="0" w:color="auto"/>
            <w:right w:val="none" w:sz="0" w:space="0" w:color="auto"/>
          </w:divBdr>
        </w:div>
        <w:div w:id="1038892968">
          <w:marLeft w:val="0"/>
          <w:marRight w:val="0"/>
          <w:marTop w:val="0"/>
          <w:marBottom w:val="0"/>
          <w:divBdr>
            <w:top w:val="none" w:sz="0" w:space="0" w:color="auto"/>
            <w:left w:val="none" w:sz="0" w:space="0" w:color="auto"/>
            <w:bottom w:val="none" w:sz="0" w:space="0" w:color="auto"/>
            <w:right w:val="none" w:sz="0" w:space="0" w:color="auto"/>
          </w:divBdr>
          <w:divsChild>
            <w:div w:id="188417927">
              <w:marLeft w:val="0"/>
              <w:marRight w:val="0"/>
              <w:marTop w:val="30"/>
              <w:marBottom w:val="30"/>
              <w:divBdr>
                <w:top w:val="none" w:sz="0" w:space="0" w:color="auto"/>
                <w:left w:val="none" w:sz="0" w:space="0" w:color="auto"/>
                <w:bottom w:val="none" w:sz="0" w:space="0" w:color="auto"/>
                <w:right w:val="none" w:sz="0" w:space="0" w:color="auto"/>
              </w:divBdr>
              <w:divsChild>
                <w:div w:id="84037350">
                  <w:marLeft w:val="0"/>
                  <w:marRight w:val="0"/>
                  <w:marTop w:val="0"/>
                  <w:marBottom w:val="0"/>
                  <w:divBdr>
                    <w:top w:val="none" w:sz="0" w:space="0" w:color="auto"/>
                    <w:left w:val="none" w:sz="0" w:space="0" w:color="auto"/>
                    <w:bottom w:val="none" w:sz="0" w:space="0" w:color="auto"/>
                    <w:right w:val="none" w:sz="0" w:space="0" w:color="auto"/>
                  </w:divBdr>
                  <w:divsChild>
                    <w:div w:id="311181066">
                      <w:marLeft w:val="0"/>
                      <w:marRight w:val="0"/>
                      <w:marTop w:val="0"/>
                      <w:marBottom w:val="0"/>
                      <w:divBdr>
                        <w:top w:val="none" w:sz="0" w:space="0" w:color="auto"/>
                        <w:left w:val="none" w:sz="0" w:space="0" w:color="auto"/>
                        <w:bottom w:val="none" w:sz="0" w:space="0" w:color="auto"/>
                        <w:right w:val="none" w:sz="0" w:space="0" w:color="auto"/>
                      </w:divBdr>
                    </w:div>
                  </w:divsChild>
                </w:div>
                <w:div w:id="144590271">
                  <w:marLeft w:val="0"/>
                  <w:marRight w:val="0"/>
                  <w:marTop w:val="0"/>
                  <w:marBottom w:val="0"/>
                  <w:divBdr>
                    <w:top w:val="none" w:sz="0" w:space="0" w:color="auto"/>
                    <w:left w:val="none" w:sz="0" w:space="0" w:color="auto"/>
                    <w:bottom w:val="none" w:sz="0" w:space="0" w:color="auto"/>
                    <w:right w:val="none" w:sz="0" w:space="0" w:color="auto"/>
                  </w:divBdr>
                  <w:divsChild>
                    <w:div w:id="725832747">
                      <w:marLeft w:val="0"/>
                      <w:marRight w:val="0"/>
                      <w:marTop w:val="0"/>
                      <w:marBottom w:val="0"/>
                      <w:divBdr>
                        <w:top w:val="none" w:sz="0" w:space="0" w:color="auto"/>
                        <w:left w:val="none" w:sz="0" w:space="0" w:color="auto"/>
                        <w:bottom w:val="none" w:sz="0" w:space="0" w:color="auto"/>
                        <w:right w:val="none" w:sz="0" w:space="0" w:color="auto"/>
                      </w:divBdr>
                    </w:div>
                  </w:divsChild>
                </w:div>
                <w:div w:id="205530965">
                  <w:marLeft w:val="0"/>
                  <w:marRight w:val="0"/>
                  <w:marTop w:val="0"/>
                  <w:marBottom w:val="0"/>
                  <w:divBdr>
                    <w:top w:val="none" w:sz="0" w:space="0" w:color="auto"/>
                    <w:left w:val="none" w:sz="0" w:space="0" w:color="auto"/>
                    <w:bottom w:val="none" w:sz="0" w:space="0" w:color="auto"/>
                    <w:right w:val="none" w:sz="0" w:space="0" w:color="auto"/>
                  </w:divBdr>
                  <w:divsChild>
                    <w:div w:id="861241003">
                      <w:marLeft w:val="0"/>
                      <w:marRight w:val="0"/>
                      <w:marTop w:val="0"/>
                      <w:marBottom w:val="0"/>
                      <w:divBdr>
                        <w:top w:val="none" w:sz="0" w:space="0" w:color="auto"/>
                        <w:left w:val="none" w:sz="0" w:space="0" w:color="auto"/>
                        <w:bottom w:val="none" w:sz="0" w:space="0" w:color="auto"/>
                        <w:right w:val="none" w:sz="0" w:space="0" w:color="auto"/>
                      </w:divBdr>
                    </w:div>
                  </w:divsChild>
                </w:div>
                <w:div w:id="262878561">
                  <w:marLeft w:val="0"/>
                  <w:marRight w:val="0"/>
                  <w:marTop w:val="0"/>
                  <w:marBottom w:val="0"/>
                  <w:divBdr>
                    <w:top w:val="none" w:sz="0" w:space="0" w:color="auto"/>
                    <w:left w:val="none" w:sz="0" w:space="0" w:color="auto"/>
                    <w:bottom w:val="none" w:sz="0" w:space="0" w:color="auto"/>
                    <w:right w:val="none" w:sz="0" w:space="0" w:color="auto"/>
                  </w:divBdr>
                  <w:divsChild>
                    <w:div w:id="1687750650">
                      <w:marLeft w:val="0"/>
                      <w:marRight w:val="0"/>
                      <w:marTop w:val="0"/>
                      <w:marBottom w:val="0"/>
                      <w:divBdr>
                        <w:top w:val="none" w:sz="0" w:space="0" w:color="auto"/>
                        <w:left w:val="none" w:sz="0" w:space="0" w:color="auto"/>
                        <w:bottom w:val="none" w:sz="0" w:space="0" w:color="auto"/>
                        <w:right w:val="none" w:sz="0" w:space="0" w:color="auto"/>
                      </w:divBdr>
                    </w:div>
                  </w:divsChild>
                </w:div>
                <w:div w:id="743840964">
                  <w:marLeft w:val="0"/>
                  <w:marRight w:val="0"/>
                  <w:marTop w:val="0"/>
                  <w:marBottom w:val="0"/>
                  <w:divBdr>
                    <w:top w:val="none" w:sz="0" w:space="0" w:color="auto"/>
                    <w:left w:val="none" w:sz="0" w:space="0" w:color="auto"/>
                    <w:bottom w:val="none" w:sz="0" w:space="0" w:color="auto"/>
                    <w:right w:val="none" w:sz="0" w:space="0" w:color="auto"/>
                  </w:divBdr>
                  <w:divsChild>
                    <w:div w:id="360400358">
                      <w:marLeft w:val="0"/>
                      <w:marRight w:val="0"/>
                      <w:marTop w:val="0"/>
                      <w:marBottom w:val="0"/>
                      <w:divBdr>
                        <w:top w:val="none" w:sz="0" w:space="0" w:color="auto"/>
                        <w:left w:val="none" w:sz="0" w:space="0" w:color="auto"/>
                        <w:bottom w:val="none" w:sz="0" w:space="0" w:color="auto"/>
                        <w:right w:val="none" w:sz="0" w:space="0" w:color="auto"/>
                      </w:divBdr>
                    </w:div>
                  </w:divsChild>
                </w:div>
                <w:div w:id="839393794">
                  <w:marLeft w:val="0"/>
                  <w:marRight w:val="0"/>
                  <w:marTop w:val="0"/>
                  <w:marBottom w:val="0"/>
                  <w:divBdr>
                    <w:top w:val="none" w:sz="0" w:space="0" w:color="auto"/>
                    <w:left w:val="none" w:sz="0" w:space="0" w:color="auto"/>
                    <w:bottom w:val="none" w:sz="0" w:space="0" w:color="auto"/>
                    <w:right w:val="none" w:sz="0" w:space="0" w:color="auto"/>
                  </w:divBdr>
                  <w:divsChild>
                    <w:div w:id="2063406746">
                      <w:marLeft w:val="0"/>
                      <w:marRight w:val="0"/>
                      <w:marTop w:val="0"/>
                      <w:marBottom w:val="0"/>
                      <w:divBdr>
                        <w:top w:val="none" w:sz="0" w:space="0" w:color="auto"/>
                        <w:left w:val="none" w:sz="0" w:space="0" w:color="auto"/>
                        <w:bottom w:val="none" w:sz="0" w:space="0" w:color="auto"/>
                        <w:right w:val="none" w:sz="0" w:space="0" w:color="auto"/>
                      </w:divBdr>
                    </w:div>
                  </w:divsChild>
                </w:div>
                <w:div w:id="958998545">
                  <w:marLeft w:val="0"/>
                  <w:marRight w:val="0"/>
                  <w:marTop w:val="0"/>
                  <w:marBottom w:val="0"/>
                  <w:divBdr>
                    <w:top w:val="none" w:sz="0" w:space="0" w:color="auto"/>
                    <w:left w:val="none" w:sz="0" w:space="0" w:color="auto"/>
                    <w:bottom w:val="none" w:sz="0" w:space="0" w:color="auto"/>
                    <w:right w:val="none" w:sz="0" w:space="0" w:color="auto"/>
                  </w:divBdr>
                  <w:divsChild>
                    <w:div w:id="1208178268">
                      <w:marLeft w:val="0"/>
                      <w:marRight w:val="0"/>
                      <w:marTop w:val="0"/>
                      <w:marBottom w:val="0"/>
                      <w:divBdr>
                        <w:top w:val="none" w:sz="0" w:space="0" w:color="auto"/>
                        <w:left w:val="none" w:sz="0" w:space="0" w:color="auto"/>
                        <w:bottom w:val="none" w:sz="0" w:space="0" w:color="auto"/>
                        <w:right w:val="none" w:sz="0" w:space="0" w:color="auto"/>
                      </w:divBdr>
                    </w:div>
                  </w:divsChild>
                </w:div>
                <w:div w:id="1260143944">
                  <w:marLeft w:val="0"/>
                  <w:marRight w:val="0"/>
                  <w:marTop w:val="0"/>
                  <w:marBottom w:val="0"/>
                  <w:divBdr>
                    <w:top w:val="none" w:sz="0" w:space="0" w:color="auto"/>
                    <w:left w:val="none" w:sz="0" w:space="0" w:color="auto"/>
                    <w:bottom w:val="none" w:sz="0" w:space="0" w:color="auto"/>
                    <w:right w:val="none" w:sz="0" w:space="0" w:color="auto"/>
                  </w:divBdr>
                  <w:divsChild>
                    <w:div w:id="1636720802">
                      <w:marLeft w:val="0"/>
                      <w:marRight w:val="0"/>
                      <w:marTop w:val="0"/>
                      <w:marBottom w:val="0"/>
                      <w:divBdr>
                        <w:top w:val="none" w:sz="0" w:space="0" w:color="auto"/>
                        <w:left w:val="none" w:sz="0" w:space="0" w:color="auto"/>
                        <w:bottom w:val="none" w:sz="0" w:space="0" w:color="auto"/>
                        <w:right w:val="none" w:sz="0" w:space="0" w:color="auto"/>
                      </w:divBdr>
                    </w:div>
                  </w:divsChild>
                </w:div>
                <w:div w:id="1486967427">
                  <w:marLeft w:val="0"/>
                  <w:marRight w:val="0"/>
                  <w:marTop w:val="0"/>
                  <w:marBottom w:val="0"/>
                  <w:divBdr>
                    <w:top w:val="none" w:sz="0" w:space="0" w:color="auto"/>
                    <w:left w:val="none" w:sz="0" w:space="0" w:color="auto"/>
                    <w:bottom w:val="none" w:sz="0" w:space="0" w:color="auto"/>
                    <w:right w:val="none" w:sz="0" w:space="0" w:color="auto"/>
                  </w:divBdr>
                  <w:divsChild>
                    <w:div w:id="1594972525">
                      <w:marLeft w:val="0"/>
                      <w:marRight w:val="0"/>
                      <w:marTop w:val="0"/>
                      <w:marBottom w:val="0"/>
                      <w:divBdr>
                        <w:top w:val="none" w:sz="0" w:space="0" w:color="auto"/>
                        <w:left w:val="none" w:sz="0" w:space="0" w:color="auto"/>
                        <w:bottom w:val="none" w:sz="0" w:space="0" w:color="auto"/>
                        <w:right w:val="none" w:sz="0" w:space="0" w:color="auto"/>
                      </w:divBdr>
                    </w:div>
                  </w:divsChild>
                </w:div>
                <w:div w:id="1605268523">
                  <w:marLeft w:val="0"/>
                  <w:marRight w:val="0"/>
                  <w:marTop w:val="0"/>
                  <w:marBottom w:val="0"/>
                  <w:divBdr>
                    <w:top w:val="none" w:sz="0" w:space="0" w:color="auto"/>
                    <w:left w:val="none" w:sz="0" w:space="0" w:color="auto"/>
                    <w:bottom w:val="none" w:sz="0" w:space="0" w:color="auto"/>
                    <w:right w:val="none" w:sz="0" w:space="0" w:color="auto"/>
                  </w:divBdr>
                  <w:divsChild>
                    <w:div w:id="1044907568">
                      <w:marLeft w:val="0"/>
                      <w:marRight w:val="0"/>
                      <w:marTop w:val="0"/>
                      <w:marBottom w:val="0"/>
                      <w:divBdr>
                        <w:top w:val="none" w:sz="0" w:space="0" w:color="auto"/>
                        <w:left w:val="none" w:sz="0" w:space="0" w:color="auto"/>
                        <w:bottom w:val="none" w:sz="0" w:space="0" w:color="auto"/>
                        <w:right w:val="none" w:sz="0" w:space="0" w:color="auto"/>
                      </w:divBdr>
                    </w:div>
                  </w:divsChild>
                </w:div>
                <w:div w:id="1828940718">
                  <w:marLeft w:val="0"/>
                  <w:marRight w:val="0"/>
                  <w:marTop w:val="0"/>
                  <w:marBottom w:val="0"/>
                  <w:divBdr>
                    <w:top w:val="none" w:sz="0" w:space="0" w:color="auto"/>
                    <w:left w:val="none" w:sz="0" w:space="0" w:color="auto"/>
                    <w:bottom w:val="none" w:sz="0" w:space="0" w:color="auto"/>
                    <w:right w:val="none" w:sz="0" w:space="0" w:color="auto"/>
                  </w:divBdr>
                  <w:divsChild>
                    <w:div w:id="1835564968">
                      <w:marLeft w:val="0"/>
                      <w:marRight w:val="0"/>
                      <w:marTop w:val="0"/>
                      <w:marBottom w:val="0"/>
                      <w:divBdr>
                        <w:top w:val="none" w:sz="0" w:space="0" w:color="auto"/>
                        <w:left w:val="none" w:sz="0" w:space="0" w:color="auto"/>
                        <w:bottom w:val="none" w:sz="0" w:space="0" w:color="auto"/>
                        <w:right w:val="none" w:sz="0" w:space="0" w:color="auto"/>
                      </w:divBdr>
                    </w:div>
                  </w:divsChild>
                </w:div>
                <w:div w:id="1987203497">
                  <w:marLeft w:val="0"/>
                  <w:marRight w:val="0"/>
                  <w:marTop w:val="0"/>
                  <w:marBottom w:val="0"/>
                  <w:divBdr>
                    <w:top w:val="none" w:sz="0" w:space="0" w:color="auto"/>
                    <w:left w:val="none" w:sz="0" w:space="0" w:color="auto"/>
                    <w:bottom w:val="none" w:sz="0" w:space="0" w:color="auto"/>
                    <w:right w:val="none" w:sz="0" w:space="0" w:color="auto"/>
                  </w:divBdr>
                  <w:divsChild>
                    <w:div w:id="21536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242671">
          <w:marLeft w:val="0"/>
          <w:marRight w:val="0"/>
          <w:marTop w:val="0"/>
          <w:marBottom w:val="0"/>
          <w:divBdr>
            <w:top w:val="none" w:sz="0" w:space="0" w:color="auto"/>
            <w:left w:val="none" w:sz="0" w:space="0" w:color="auto"/>
            <w:bottom w:val="none" w:sz="0" w:space="0" w:color="auto"/>
            <w:right w:val="none" w:sz="0" w:space="0" w:color="auto"/>
          </w:divBdr>
        </w:div>
        <w:div w:id="1272974957">
          <w:marLeft w:val="0"/>
          <w:marRight w:val="0"/>
          <w:marTop w:val="0"/>
          <w:marBottom w:val="0"/>
          <w:divBdr>
            <w:top w:val="none" w:sz="0" w:space="0" w:color="auto"/>
            <w:left w:val="none" w:sz="0" w:space="0" w:color="auto"/>
            <w:bottom w:val="none" w:sz="0" w:space="0" w:color="auto"/>
            <w:right w:val="none" w:sz="0" w:space="0" w:color="auto"/>
          </w:divBdr>
          <w:divsChild>
            <w:div w:id="1170875920">
              <w:marLeft w:val="0"/>
              <w:marRight w:val="0"/>
              <w:marTop w:val="30"/>
              <w:marBottom w:val="30"/>
              <w:divBdr>
                <w:top w:val="none" w:sz="0" w:space="0" w:color="auto"/>
                <w:left w:val="none" w:sz="0" w:space="0" w:color="auto"/>
                <w:bottom w:val="none" w:sz="0" w:space="0" w:color="auto"/>
                <w:right w:val="none" w:sz="0" w:space="0" w:color="auto"/>
              </w:divBdr>
              <w:divsChild>
                <w:div w:id="316804376">
                  <w:marLeft w:val="0"/>
                  <w:marRight w:val="0"/>
                  <w:marTop w:val="0"/>
                  <w:marBottom w:val="0"/>
                  <w:divBdr>
                    <w:top w:val="none" w:sz="0" w:space="0" w:color="auto"/>
                    <w:left w:val="none" w:sz="0" w:space="0" w:color="auto"/>
                    <w:bottom w:val="none" w:sz="0" w:space="0" w:color="auto"/>
                    <w:right w:val="none" w:sz="0" w:space="0" w:color="auto"/>
                  </w:divBdr>
                  <w:divsChild>
                    <w:div w:id="302741142">
                      <w:marLeft w:val="0"/>
                      <w:marRight w:val="0"/>
                      <w:marTop w:val="0"/>
                      <w:marBottom w:val="0"/>
                      <w:divBdr>
                        <w:top w:val="none" w:sz="0" w:space="0" w:color="auto"/>
                        <w:left w:val="none" w:sz="0" w:space="0" w:color="auto"/>
                        <w:bottom w:val="none" w:sz="0" w:space="0" w:color="auto"/>
                        <w:right w:val="none" w:sz="0" w:space="0" w:color="auto"/>
                      </w:divBdr>
                    </w:div>
                    <w:div w:id="864099532">
                      <w:marLeft w:val="0"/>
                      <w:marRight w:val="0"/>
                      <w:marTop w:val="0"/>
                      <w:marBottom w:val="0"/>
                      <w:divBdr>
                        <w:top w:val="none" w:sz="0" w:space="0" w:color="auto"/>
                        <w:left w:val="none" w:sz="0" w:space="0" w:color="auto"/>
                        <w:bottom w:val="none" w:sz="0" w:space="0" w:color="auto"/>
                        <w:right w:val="none" w:sz="0" w:space="0" w:color="auto"/>
                      </w:divBdr>
                    </w:div>
                  </w:divsChild>
                </w:div>
                <w:div w:id="321544580">
                  <w:marLeft w:val="0"/>
                  <w:marRight w:val="0"/>
                  <w:marTop w:val="0"/>
                  <w:marBottom w:val="0"/>
                  <w:divBdr>
                    <w:top w:val="none" w:sz="0" w:space="0" w:color="auto"/>
                    <w:left w:val="none" w:sz="0" w:space="0" w:color="auto"/>
                    <w:bottom w:val="none" w:sz="0" w:space="0" w:color="auto"/>
                    <w:right w:val="none" w:sz="0" w:space="0" w:color="auto"/>
                  </w:divBdr>
                  <w:divsChild>
                    <w:div w:id="1470897965">
                      <w:marLeft w:val="0"/>
                      <w:marRight w:val="0"/>
                      <w:marTop w:val="0"/>
                      <w:marBottom w:val="0"/>
                      <w:divBdr>
                        <w:top w:val="none" w:sz="0" w:space="0" w:color="auto"/>
                        <w:left w:val="none" w:sz="0" w:space="0" w:color="auto"/>
                        <w:bottom w:val="none" w:sz="0" w:space="0" w:color="auto"/>
                        <w:right w:val="none" w:sz="0" w:space="0" w:color="auto"/>
                      </w:divBdr>
                    </w:div>
                  </w:divsChild>
                </w:div>
                <w:div w:id="337076608">
                  <w:marLeft w:val="0"/>
                  <w:marRight w:val="0"/>
                  <w:marTop w:val="0"/>
                  <w:marBottom w:val="0"/>
                  <w:divBdr>
                    <w:top w:val="none" w:sz="0" w:space="0" w:color="auto"/>
                    <w:left w:val="none" w:sz="0" w:space="0" w:color="auto"/>
                    <w:bottom w:val="none" w:sz="0" w:space="0" w:color="auto"/>
                    <w:right w:val="none" w:sz="0" w:space="0" w:color="auto"/>
                  </w:divBdr>
                  <w:divsChild>
                    <w:div w:id="1980108204">
                      <w:marLeft w:val="0"/>
                      <w:marRight w:val="0"/>
                      <w:marTop w:val="0"/>
                      <w:marBottom w:val="0"/>
                      <w:divBdr>
                        <w:top w:val="none" w:sz="0" w:space="0" w:color="auto"/>
                        <w:left w:val="none" w:sz="0" w:space="0" w:color="auto"/>
                        <w:bottom w:val="none" w:sz="0" w:space="0" w:color="auto"/>
                        <w:right w:val="none" w:sz="0" w:space="0" w:color="auto"/>
                      </w:divBdr>
                    </w:div>
                  </w:divsChild>
                </w:div>
                <w:div w:id="360209934">
                  <w:marLeft w:val="0"/>
                  <w:marRight w:val="0"/>
                  <w:marTop w:val="0"/>
                  <w:marBottom w:val="0"/>
                  <w:divBdr>
                    <w:top w:val="none" w:sz="0" w:space="0" w:color="auto"/>
                    <w:left w:val="none" w:sz="0" w:space="0" w:color="auto"/>
                    <w:bottom w:val="none" w:sz="0" w:space="0" w:color="auto"/>
                    <w:right w:val="none" w:sz="0" w:space="0" w:color="auto"/>
                  </w:divBdr>
                  <w:divsChild>
                    <w:div w:id="2116439289">
                      <w:marLeft w:val="0"/>
                      <w:marRight w:val="0"/>
                      <w:marTop w:val="0"/>
                      <w:marBottom w:val="0"/>
                      <w:divBdr>
                        <w:top w:val="none" w:sz="0" w:space="0" w:color="auto"/>
                        <w:left w:val="none" w:sz="0" w:space="0" w:color="auto"/>
                        <w:bottom w:val="none" w:sz="0" w:space="0" w:color="auto"/>
                        <w:right w:val="none" w:sz="0" w:space="0" w:color="auto"/>
                      </w:divBdr>
                    </w:div>
                  </w:divsChild>
                </w:div>
                <w:div w:id="911937220">
                  <w:marLeft w:val="0"/>
                  <w:marRight w:val="0"/>
                  <w:marTop w:val="0"/>
                  <w:marBottom w:val="0"/>
                  <w:divBdr>
                    <w:top w:val="none" w:sz="0" w:space="0" w:color="auto"/>
                    <w:left w:val="none" w:sz="0" w:space="0" w:color="auto"/>
                    <w:bottom w:val="none" w:sz="0" w:space="0" w:color="auto"/>
                    <w:right w:val="none" w:sz="0" w:space="0" w:color="auto"/>
                  </w:divBdr>
                  <w:divsChild>
                    <w:div w:id="2062749004">
                      <w:marLeft w:val="0"/>
                      <w:marRight w:val="0"/>
                      <w:marTop w:val="0"/>
                      <w:marBottom w:val="0"/>
                      <w:divBdr>
                        <w:top w:val="none" w:sz="0" w:space="0" w:color="auto"/>
                        <w:left w:val="none" w:sz="0" w:space="0" w:color="auto"/>
                        <w:bottom w:val="none" w:sz="0" w:space="0" w:color="auto"/>
                        <w:right w:val="none" w:sz="0" w:space="0" w:color="auto"/>
                      </w:divBdr>
                    </w:div>
                  </w:divsChild>
                </w:div>
                <w:div w:id="1026713679">
                  <w:marLeft w:val="0"/>
                  <w:marRight w:val="0"/>
                  <w:marTop w:val="0"/>
                  <w:marBottom w:val="0"/>
                  <w:divBdr>
                    <w:top w:val="none" w:sz="0" w:space="0" w:color="auto"/>
                    <w:left w:val="none" w:sz="0" w:space="0" w:color="auto"/>
                    <w:bottom w:val="none" w:sz="0" w:space="0" w:color="auto"/>
                    <w:right w:val="none" w:sz="0" w:space="0" w:color="auto"/>
                  </w:divBdr>
                  <w:divsChild>
                    <w:div w:id="27611357">
                      <w:marLeft w:val="0"/>
                      <w:marRight w:val="0"/>
                      <w:marTop w:val="0"/>
                      <w:marBottom w:val="0"/>
                      <w:divBdr>
                        <w:top w:val="none" w:sz="0" w:space="0" w:color="auto"/>
                        <w:left w:val="none" w:sz="0" w:space="0" w:color="auto"/>
                        <w:bottom w:val="none" w:sz="0" w:space="0" w:color="auto"/>
                        <w:right w:val="none" w:sz="0" w:space="0" w:color="auto"/>
                      </w:divBdr>
                    </w:div>
                  </w:divsChild>
                </w:div>
                <w:div w:id="1176312732">
                  <w:marLeft w:val="0"/>
                  <w:marRight w:val="0"/>
                  <w:marTop w:val="0"/>
                  <w:marBottom w:val="0"/>
                  <w:divBdr>
                    <w:top w:val="none" w:sz="0" w:space="0" w:color="auto"/>
                    <w:left w:val="none" w:sz="0" w:space="0" w:color="auto"/>
                    <w:bottom w:val="none" w:sz="0" w:space="0" w:color="auto"/>
                    <w:right w:val="none" w:sz="0" w:space="0" w:color="auto"/>
                  </w:divBdr>
                  <w:divsChild>
                    <w:div w:id="1817137476">
                      <w:marLeft w:val="0"/>
                      <w:marRight w:val="0"/>
                      <w:marTop w:val="0"/>
                      <w:marBottom w:val="0"/>
                      <w:divBdr>
                        <w:top w:val="none" w:sz="0" w:space="0" w:color="auto"/>
                        <w:left w:val="none" w:sz="0" w:space="0" w:color="auto"/>
                        <w:bottom w:val="none" w:sz="0" w:space="0" w:color="auto"/>
                        <w:right w:val="none" w:sz="0" w:space="0" w:color="auto"/>
                      </w:divBdr>
                    </w:div>
                  </w:divsChild>
                </w:div>
                <w:div w:id="1241059947">
                  <w:marLeft w:val="0"/>
                  <w:marRight w:val="0"/>
                  <w:marTop w:val="0"/>
                  <w:marBottom w:val="0"/>
                  <w:divBdr>
                    <w:top w:val="none" w:sz="0" w:space="0" w:color="auto"/>
                    <w:left w:val="none" w:sz="0" w:space="0" w:color="auto"/>
                    <w:bottom w:val="none" w:sz="0" w:space="0" w:color="auto"/>
                    <w:right w:val="none" w:sz="0" w:space="0" w:color="auto"/>
                  </w:divBdr>
                  <w:divsChild>
                    <w:div w:id="1265456199">
                      <w:marLeft w:val="0"/>
                      <w:marRight w:val="0"/>
                      <w:marTop w:val="0"/>
                      <w:marBottom w:val="0"/>
                      <w:divBdr>
                        <w:top w:val="none" w:sz="0" w:space="0" w:color="auto"/>
                        <w:left w:val="none" w:sz="0" w:space="0" w:color="auto"/>
                        <w:bottom w:val="none" w:sz="0" w:space="0" w:color="auto"/>
                        <w:right w:val="none" w:sz="0" w:space="0" w:color="auto"/>
                      </w:divBdr>
                    </w:div>
                  </w:divsChild>
                </w:div>
                <w:div w:id="1395659841">
                  <w:marLeft w:val="0"/>
                  <w:marRight w:val="0"/>
                  <w:marTop w:val="0"/>
                  <w:marBottom w:val="0"/>
                  <w:divBdr>
                    <w:top w:val="none" w:sz="0" w:space="0" w:color="auto"/>
                    <w:left w:val="none" w:sz="0" w:space="0" w:color="auto"/>
                    <w:bottom w:val="none" w:sz="0" w:space="0" w:color="auto"/>
                    <w:right w:val="none" w:sz="0" w:space="0" w:color="auto"/>
                  </w:divBdr>
                  <w:divsChild>
                    <w:div w:id="1948124463">
                      <w:marLeft w:val="0"/>
                      <w:marRight w:val="0"/>
                      <w:marTop w:val="0"/>
                      <w:marBottom w:val="0"/>
                      <w:divBdr>
                        <w:top w:val="none" w:sz="0" w:space="0" w:color="auto"/>
                        <w:left w:val="none" w:sz="0" w:space="0" w:color="auto"/>
                        <w:bottom w:val="none" w:sz="0" w:space="0" w:color="auto"/>
                        <w:right w:val="none" w:sz="0" w:space="0" w:color="auto"/>
                      </w:divBdr>
                    </w:div>
                  </w:divsChild>
                </w:div>
                <w:div w:id="1436944957">
                  <w:marLeft w:val="0"/>
                  <w:marRight w:val="0"/>
                  <w:marTop w:val="0"/>
                  <w:marBottom w:val="0"/>
                  <w:divBdr>
                    <w:top w:val="none" w:sz="0" w:space="0" w:color="auto"/>
                    <w:left w:val="none" w:sz="0" w:space="0" w:color="auto"/>
                    <w:bottom w:val="none" w:sz="0" w:space="0" w:color="auto"/>
                    <w:right w:val="none" w:sz="0" w:space="0" w:color="auto"/>
                  </w:divBdr>
                  <w:divsChild>
                    <w:div w:id="991642544">
                      <w:marLeft w:val="0"/>
                      <w:marRight w:val="0"/>
                      <w:marTop w:val="0"/>
                      <w:marBottom w:val="0"/>
                      <w:divBdr>
                        <w:top w:val="none" w:sz="0" w:space="0" w:color="auto"/>
                        <w:left w:val="none" w:sz="0" w:space="0" w:color="auto"/>
                        <w:bottom w:val="none" w:sz="0" w:space="0" w:color="auto"/>
                        <w:right w:val="none" w:sz="0" w:space="0" w:color="auto"/>
                      </w:divBdr>
                    </w:div>
                  </w:divsChild>
                </w:div>
                <w:div w:id="1712880318">
                  <w:marLeft w:val="0"/>
                  <w:marRight w:val="0"/>
                  <w:marTop w:val="0"/>
                  <w:marBottom w:val="0"/>
                  <w:divBdr>
                    <w:top w:val="none" w:sz="0" w:space="0" w:color="auto"/>
                    <w:left w:val="none" w:sz="0" w:space="0" w:color="auto"/>
                    <w:bottom w:val="none" w:sz="0" w:space="0" w:color="auto"/>
                    <w:right w:val="none" w:sz="0" w:space="0" w:color="auto"/>
                  </w:divBdr>
                  <w:divsChild>
                    <w:div w:id="301466650">
                      <w:marLeft w:val="0"/>
                      <w:marRight w:val="0"/>
                      <w:marTop w:val="0"/>
                      <w:marBottom w:val="0"/>
                      <w:divBdr>
                        <w:top w:val="none" w:sz="0" w:space="0" w:color="auto"/>
                        <w:left w:val="none" w:sz="0" w:space="0" w:color="auto"/>
                        <w:bottom w:val="none" w:sz="0" w:space="0" w:color="auto"/>
                        <w:right w:val="none" w:sz="0" w:space="0" w:color="auto"/>
                      </w:divBdr>
                    </w:div>
                  </w:divsChild>
                </w:div>
                <w:div w:id="1739090284">
                  <w:marLeft w:val="0"/>
                  <w:marRight w:val="0"/>
                  <w:marTop w:val="0"/>
                  <w:marBottom w:val="0"/>
                  <w:divBdr>
                    <w:top w:val="none" w:sz="0" w:space="0" w:color="auto"/>
                    <w:left w:val="none" w:sz="0" w:space="0" w:color="auto"/>
                    <w:bottom w:val="none" w:sz="0" w:space="0" w:color="auto"/>
                    <w:right w:val="none" w:sz="0" w:space="0" w:color="auto"/>
                  </w:divBdr>
                  <w:divsChild>
                    <w:div w:id="783772675">
                      <w:marLeft w:val="0"/>
                      <w:marRight w:val="0"/>
                      <w:marTop w:val="0"/>
                      <w:marBottom w:val="0"/>
                      <w:divBdr>
                        <w:top w:val="none" w:sz="0" w:space="0" w:color="auto"/>
                        <w:left w:val="none" w:sz="0" w:space="0" w:color="auto"/>
                        <w:bottom w:val="none" w:sz="0" w:space="0" w:color="auto"/>
                        <w:right w:val="none" w:sz="0" w:space="0" w:color="auto"/>
                      </w:divBdr>
                    </w:div>
                  </w:divsChild>
                </w:div>
                <w:div w:id="1806853237">
                  <w:marLeft w:val="0"/>
                  <w:marRight w:val="0"/>
                  <w:marTop w:val="0"/>
                  <w:marBottom w:val="0"/>
                  <w:divBdr>
                    <w:top w:val="none" w:sz="0" w:space="0" w:color="auto"/>
                    <w:left w:val="none" w:sz="0" w:space="0" w:color="auto"/>
                    <w:bottom w:val="none" w:sz="0" w:space="0" w:color="auto"/>
                    <w:right w:val="none" w:sz="0" w:space="0" w:color="auto"/>
                  </w:divBdr>
                  <w:divsChild>
                    <w:div w:id="2007050406">
                      <w:marLeft w:val="0"/>
                      <w:marRight w:val="0"/>
                      <w:marTop w:val="0"/>
                      <w:marBottom w:val="0"/>
                      <w:divBdr>
                        <w:top w:val="none" w:sz="0" w:space="0" w:color="auto"/>
                        <w:left w:val="none" w:sz="0" w:space="0" w:color="auto"/>
                        <w:bottom w:val="none" w:sz="0" w:space="0" w:color="auto"/>
                        <w:right w:val="none" w:sz="0" w:space="0" w:color="auto"/>
                      </w:divBdr>
                    </w:div>
                  </w:divsChild>
                </w:div>
                <w:div w:id="2097436567">
                  <w:marLeft w:val="0"/>
                  <w:marRight w:val="0"/>
                  <w:marTop w:val="0"/>
                  <w:marBottom w:val="0"/>
                  <w:divBdr>
                    <w:top w:val="none" w:sz="0" w:space="0" w:color="auto"/>
                    <w:left w:val="none" w:sz="0" w:space="0" w:color="auto"/>
                    <w:bottom w:val="none" w:sz="0" w:space="0" w:color="auto"/>
                    <w:right w:val="none" w:sz="0" w:space="0" w:color="auto"/>
                  </w:divBdr>
                  <w:divsChild>
                    <w:div w:id="115599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057279">
          <w:marLeft w:val="0"/>
          <w:marRight w:val="0"/>
          <w:marTop w:val="0"/>
          <w:marBottom w:val="0"/>
          <w:divBdr>
            <w:top w:val="none" w:sz="0" w:space="0" w:color="auto"/>
            <w:left w:val="none" w:sz="0" w:space="0" w:color="auto"/>
            <w:bottom w:val="none" w:sz="0" w:space="0" w:color="auto"/>
            <w:right w:val="none" w:sz="0" w:space="0" w:color="auto"/>
          </w:divBdr>
          <w:divsChild>
            <w:div w:id="327749871">
              <w:marLeft w:val="0"/>
              <w:marRight w:val="0"/>
              <w:marTop w:val="0"/>
              <w:marBottom w:val="0"/>
              <w:divBdr>
                <w:top w:val="none" w:sz="0" w:space="0" w:color="auto"/>
                <w:left w:val="none" w:sz="0" w:space="0" w:color="auto"/>
                <w:bottom w:val="none" w:sz="0" w:space="0" w:color="auto"/>
                <w:right w:val="none" w:sz="0" w:space="0" w:color="auto"/>
              </w:divBdr>
            </w:div>
            <w:div w:id="491990797">
              <w:marLeft w:val="0"/>
              <w:marRight w:val="0"/>
              <w:marTop w:val="0"/>
              <w:marBottom w:val="0"/>
              <w:divBdr>
                <w:top w:val="none" w:sz="0" w:space="0" w:color="auto"/>
                <w:left w:val="none" w:sz="0" w:space="0" w:color="auto"/>
                <w:bottom w:val="none" w:sz="0" w:space="0" w:color="auto"/>
                <w:right w:val="none" w:sz="0" w:space="0" w:color="auto"/>
              </w:divBdr>
            </w:div>
            <w:div w:id="1342702484">
              <w:marLeft w:val="0"/>
              <w:marRight w:val="0"/>
              <w:marTop w:val="0"/>
              <w:marBottom w:val="0"/>
              <w:divBdr>
                <w:top w:val="none" w:sz="0" w:space="0" w:color="auto"/>
                <w:left w:val="none" w:sz="0" w:space="0" w:color="auto"/>
                <w:bottom w:val="none" w:sz="0" w:space="0" w:color="auto"/>
                <w:right w:val="none" w:sz="0" w:space="0" w:color="auto"/>
              </w:divBdr>
            </w:div>
            <w:div w:id="1487285134">
              <w:marLeft w:val="0"/>
              <w:marRight w:val="0"/>
              <w:marTop w:val="0"/>
              <w:marBottom w:val="0"/>
              <w:divBdr>
                <w:top w:val="none" w:sz="0" w:space="0" w:color="auto"/>
                <w:left w:val="none" w:sz="0" w:space="0" w:color="auto"/>
                <w:bottom w:val="none" w:sz="0" w:space="0" w:color="auto"/>
                <w:right w:val="none" w:sz="0" w:space="0" w:color="auto"/>
              </w:divBdr>
            </w:div>
            <w:div w:id="1750538008">
              <w:marLeft w:val="0"/>
              <w:marRight w:val="0"/>
              <w:marTop w:val="0"/>
              <w:marBottom w:val="0"/>
              <w:divBdr>
                <w:top w:val="none" w:sz="0" w:space="0" w:color="auto"/>
                <w:left w:val="none" w:sz="0" w:space="0" w:color="auto"/>
                <w:bottom w:val="none" w:sz="0" w:space="0" w:color="auto"/>
                <w:right w:val="none" w:sz="0" w:space="0" w:color="auto"/>
              </w:divBdr>
            </w:div>
          </w:divsChild>
        </w:div>
        <w:div w:id="1314215425">
          <w:marLeft w:val="0"/>
          <w:marRight w:val="0"/>
          <w:marTop w:val="0"/>
          <w:marBottom w:val="0"/>
          <w:divBdr>
            <w:top w:val="none" w:sz="0" w:space="0" w:color="auto"/>
            <w:left w:val="none" w:sz="0" w:space="0" w:color="auto"/>
            <w:bottom w:val="none" w:sz="0" w:space="0" w:color="auto"/>
            <w:right w:val="none" w:sz="0" w:space="0" w:color="auto"/>
          </w:divBdr>
          <w:divsChild>
            <w:div w:id="257295335">
              <w:marLeft w:val="0"/>
              <w:marRight w:val="0"/>
              <w:marTop w:val="0"/>
              <w:marBottom w:val="0"/>
              <w:divBdr>
                <w:top w:val="none" w:sz="0" w:space="0" w:color="auto"/>
                <w:left w:val="none" w:sz="0" w:space="0" w:color="auto"/>
                <w:bottom w:val="none" w:sz="0" w:space="0" w:color="auto"/>
                <w:right w:val="none" w:sz="0" w:space="0" w:color="auto"/>
              </w:divBdr>
            </w:div>
          </w:divsChild>
        </w:div>
        <w:div w:id="1376393529">
          <w:marLeft w:val="0"/>
          <w:marRight w:val="0"/>
          <w:marTop w:val="0"/>
          <w:marBottom w:val="0"/>
          <w:divBdr>
            <w:top w:val="none" w:sz="0" w:space="0" w:color="auto"/>
            <w:left w:val="none" w:sz="0" w:space="0" w:color="auto"/>
            <w:bottom w:val="none" w:sz="0" w:space="0" w:color="auto"/>
            <w:right w:val="none" w:sz="0" w:space="0" w:color="auto"/>
          </w:divBdr>
        </w:div>
        <w:div w:id="1383334725">
          <w:marLeft w:val="0"/>
          <w:marRight w:val="0"/>
          <w:marTop w:val="0"/>
          <w:marBottom w:val="0"/>
          <w:divBdr>
            <w:top w:val="none" w:sz="0" w:space="0" w:color="auto"/>
            <w:left w:val="none" w:sz="0" w:space="0" w:color="auto"/>
            <w:bottom w:val="none" w:sz="0" w:space="0" w:color="auto"/>
            <w:right w:val="none" w:sz="0" w:space="0" w:color="auto"/>
          </w:divBdr>
        </w:div>
        <w:div w:id="1514415807">
          <w:marLeft w:val="0"/>
          <w:marRight w:val="0"/>
          <w:marTop w:val="0"/>
          <w:marBottom w:val="0"/>
          <w:divBdr>
            <w:top w:val="none" w:sz="0" w:space="0" w:color="auto"/>
            <w:left w:val="none" w:sz="0" w:space="0" w:color="auto"/>
            <w:bottom w:val="none" w:sz="0" w:space="0" w:color="auto"/>
            <w:right w:val="none" w:sz="0" w:space="0" w:color="auto"/>
          </w:divBdr>
        </w:div>
        <w:div w:id="1530144290">
          <w:marLeft w:val="0"/>
          <w:marRight w:val="0"/>
          <w:marTop w:val="0"/>
          <w:marBottom w:val="0"/>
          <w:divBdr>
            <w:top w:val="none" w:sz="0" w:space="0" w:color="auto"/>
            <w:left w:val="none" w:sz="0" w:space="0" w:color="auto"/>
            <w:bottom w:val="none" w:sz="0" w:space="0" w:color="auto"/>
            <w:right w:val="none" w:sz="0" w:space="0" w:color="auto"/>
          </w:divBdr>
        </w:div>
        <w:div w:id="1544295104">
          <w:marLeft w:val="0"/>
          <w:marRight w:val="0"/>
          <w:marTop w:val="0"/>
          <w:marBottom w:val="0"/>
          <w:divBdr>
            <w:top w:val="none" w:sz="0" w:space="0" w:color="auto"/>
            <w:left w:val="none" w:sz="0" w:space="0" w:color="auto"/>
            <w:bottom w:val="none" w:sz="0" w:space="0" w:color="auto"/>
            <w:right w:val="none" w:sz="0" w:space="0" w:color="auto"/>
          </w:divBdr>
        </w:div>
        <w:div w:id="1559971524">
          <w:marLeft w:val="0"/>
          <w:marRight w:val="0"/>
          <w:marTop w:val="0"/>
          <w:marBottom w:val="0"/>
          <w:divBdr>
            <w:top w:val="none" w:sz="0" w:space="0" w:color="auto"/>
            <w:left w:val="none" w:sz="0" w:space="0" w:color="auto"/>
            <w:bottom w:val="none" w:sz="0" w:space="0" w:color="auto"/>
            <w:right w:val="none" w:sz="0" w:space="0" w:color="auto"/>
          </w:divBdr>
        </w:div>
        <w:div w:id="1576011228">
          <w:marLeft w:val="0"/>
          <w:marRight w:val="0"/>
          <w:marTop w:val="0"/>
          <w:marBottom w:val="0"/>
          <w:divBdr>
            <w:top w:val="none" w:sz="0" w:space="0" w:color="auto"/>
            <w:left w:val="none" w:sz="0" w:space="0" w:color="auto"/>
            <w:bottom w:val="none" w:sz="0" w:space="0" w:color="auto"/>
            <w:right w:val="none" w:sz="0" w:space="0" w:color="auto"/>
          </w:divBdr>
          <w:divsChild>
            <w:div w:id="1146705708">
              <w:marLeft w:val="0"/>
              <w:marRight w:val="0"/>
              <w:marTop w:val="30"/>
              <w:marBottom w:val="30"/>
              <w:divBdr>
                <w:top w:val="none" w:sz="0" w:space="0" w:color="auto"/>
                <w:left w:val="none" w:sz="0" w:space="0" w:color="auto"/>
                <w:bottom w:val="none" w:sz="0" w:space="0" w:color="auto"/>
                <w:right w:val="none" w:sz="0" w:space="0" w:color="auto"/>
              </w:divBdr>
              <w:divsChild>
                <w:div w:id="220672167">
                  <w:marLeft w:val="0"/>
                  <w:marRight w:val="0"/>
                  <w:marTop w:val="0"/>
                  <w:marBottom w:val="0"/>
                  <w:divBdr>
                    <w:top w:val="none" w:sz="0" w:space="0" w:color="auto"/>
                    <w:left w:val="none" w:sz="0" w:space="0" w:color="auto"/>
                    <w:bottom w:val="none" w:sz="0" w:space="0" w:color="auto"/>
                    <w:right w:val="none" w:sz="0" w:space="0" w:color="auto"/>
                  </w:divBdr>
                  <w:divsChild>
                    <w:div w:id="1843011673">
                      <w:marLeft w:val="0"/>
                      <w:marRight w:val="0"/>
                      <w:marTop w:val="0"/>
                      <w:marBottom w:val="0"/>
                      <w:divBdr>
                        <w:top w:val="none" w:sz="0" w:space="0" w:color="auto"/>
                        <w:left w:val="none" w:sz="0" w:space="0" w:color="auto"/>
                        <w:bottom w:val="none" w:sz="0" w:space="0" w:color="auto"/>
                        <w:right w:val="none" w:sz="0" w:space="0" w:color="auto"/>
                      </w:divBdr>
                    </w:div>
                  </w:divsChild>
                </w:div>
                <w:div w:id="1195457596">
                  <w:marLeft w:val="0"/>
                  <w:marRight w:val="0"/>
                  <w:marTop w:val="0"/>
                  <w:marBottom w:val="0"/>
                  <w:divBdr>
                    <w:top w:val="none" w:sz="0" w:space="0" w:color="auto"/>
                    <w:left w:val="none" w:sz="0" w:space="0" w:color="auto"/>
                    <w:bottom w:val="none" w:sz="0" w:space="0" w:color="auto"/>
                    <w:right w:val="none" w:sz="0" w:space="0" w:color="auto"/>
                  </w:divBdr>
                  <w:divsChild>
                    <w:div w:id="173142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240667">
          <w:marLeft w:val="0"/>
          <w:marRight w:val="0"/>
          <w:marTop w:val="0"/>
          <w:marBottom w:val="0"/>
          <w:divBdr>
            <w:top w:val="none" w:sz="0" w:space="0" w:color="auto"/>
            <w:left w:val="none" w:sz="0" w:space="0" w:color="auto"/>
            <w:bottom w:val="none" w:sz="0" w:space="0" w:color="auto"/>
            <w:right w:val="none" w:sz="0" w:space="0" w:color="auto"/>
          </w:divBdr>
        </w:div>
        <w:div w:id="1638604021">
          <w:marLeft w:val="0"/>
          <w:marRight w:val="0"/>
          <w:marTop w:val="0"/>
          <w:marBottom w:val="0"/>
          <w:divBdr>
            <w:top w:val="none" w:sz="0" w:space="0" w:color="auto"/>
            <w:left w:val="none" w:sz="0" w:space="0" w:color="auto"/>
            <w:bottom w:val="none" w:sz="0" w:space="0" w:color="auto"/>
            <w:right w:val="none" w:sz="0" w:space="0" w:color="auto"/>
          </w:divBdr>
        </w:div>
        <w:div w:id="1730416632">
          <w:marLeft w:val="0"/>
          <w:marRight w:val="0"/>
          <w:marTop w:val="0"/>
          <w:marBottom w:val="0"/>
          <w:divBdr>
            <w:top w:val="none" w:sz="0" w:space="0" w:color="auto"/>
            <w:left w:val="none" w:sz="0" w:space="0" w:color="auto"/>
            <w:bottom w:val="none" w:sz="0" w:space="0" w:color="auto"/>
            <w:right w:val="none" w:sz="0" w:space="0" w:color="auto"/>
          </w:divBdr>
        </w:div>
        <w:div w:id="1741293274">
          <w:marLeft w:val="0"/>
          <w:marRight w:val="0"/>
          <w:marTop w:val="0"/>
          <w:marBottom w:val="0"/>
          <w:divBdr>
            <w:top w:val="none" w:sz="0" w:space="0" w:color="auto"/>
            <w:left w:val="none" w:sz="0" w:space="0" w:color="auto"/>
            <w:bottom w:val="none" w:sz="0" w:space="0" w:color="auto"/>
            <w:right w:val="none" w:sz="0" w:space="0" w:color="auto"/>
          </w:divBdr>
        </w:div>
        <w:div w:id="1819835421">
          <w:marLeft w:val="0"/>
          <w:marRight w:val="0"/>
          <w:marTop w:val="0"/>
          <w:marBottom w:val="0"/>
          <w:divBdr>
            <w:top w:val="none" w:sz="0" w:space="0" w:color="auto"/>
            <w:left w:val="none" w:sz="0" w:space="0" w:color="auto"/>
            <w:bottom w:val="none" w:sz="0" w:space="0" w:color="auto"/>
            <w:right w:val="none" w:sz="0" w:space="0" w:color="auto"/>
          </w:divBdr>
        </w:div>
        <w:div w:id="1843547918">
          <w:marLeft w:val="0"/>
          <w:marRight w:val="0"/>
          <w:marTop w:val="0"/>
          <w:marBottom w:val="0"/>
          <w:divBdr>
            <w:top w:val="none" w:sz="0" w:space="0" w:color="auto"/>
            <w:left w:val="none" w:sz="0" w:space="0" w:color="auto"/>
            <w:bottom w:val="none" w:sz="0" w:space="0" w:color="auto"/>
            <w:right w:val="none" w:sz="0" w:space="0" w:color="auto"/>
          </w:divBdr>
        </w:div>
        <w:div w:id="1944875608">
          <w:marLeft w:val="0"/>
          <w:marRight w:val="0"/>
          <w:marTop w:val="0"/>
          <w:marBottom w:val="0"/>
          <w:divBdr>
            <w:top w:val="none" w:sz="0" w:space="0" w:color="auto"/>
            <w:left w:val="none" w:sz="0" w:space="0" w:color="auto"/>
            <w:bottom w:val="none" w:sz="0" w:space="0" w:color="auto"/>
            <w:right w:val="none" w:sz="0" w:space="0" w:color="auto"/>
          </w:divBdr>
        </w:div>
        <w:div w:id="1969124419">
          <w:marLeft w:val="0"/>
          <w:marRight w:val="0"/>
          <w:marTop w:val="0"/>
          <w:marBottom w:val="0"/>
          <w:divBdr>
            <w:top w:val="none" w:sz="0" w:space="0" w:color="auto"/>
            <w:left w:val="none" w:sz="0" w:space="0" w:color="auto"/>
            <w:bottom w:val="none" w:sz="0" w:space="0" w:color="auto"/>
            <w:right w:val="none" w:sz="0" w:space="0" w:color="auto"/>
          </w:divBdr>
        </w:div>
        <w:div w:id="2143383056">
          <w:marLeft w:val="0"/>
          <w:marRight w:val="0"/>
          <w:marTop w:val="0"/>
          <w:marBottom w:val="0"/>
          <w:divBdr>
            <w:top w:val="none" w:sz="0" w:space="0" w:color="auto"/>
            <w:left w:val="none" w:sz="0" w:space="0" w:color="auto"/>
            <w:bottom w:val="none" w:sz="0" w:space="0" w:color="auto"/>
            <w:right w:val="none" w:sz="0" w:space="0" w:color="auto"/>
          </w:divBdr>
          <w:divsChild>
            <w:div w:id="1202791873">
              <w:marLeft w:val="0"/>
              <w:marRight w:val="0"/>
              <w:marTop w:val="30"/>
              <w:marBottom w:val="30"/>
              <w:divBdr>
                <w:top w:val="none" w:sz="0" w:space="0" w:color="auto"/>
                <w:left w:val="none" w:sz="0" w:space="0" w:color="auto"/>
                <w:bottom w:val="none" w:sz="0" w:space="0" w:color="auto"/>
                <w:right w:val="none" w:sz="0" w:space="0" w:color="auto"/>
              </w:divBdr>
              <w:divsChild>
                <w:div w:id="1165777444">
                  <w:marLeft w:val="0"/>
                  <w:marRight w:val="0"/>
                  <w:marTop w:val="0"/>
                  <w:marBottom w:val="0"/>
                  <w:divBdr>
                    <w:top w:val="none" w:sz="0" w:space="0" w:color="auto"/>
                    <w:left w:val="none" w:sz="0" w:space="0" w:color="auto"/>
                    <w:bottom w:val="none" w:sz="0" w:space="0" w:color="auto"/>
                    <w:right w:val="none" w:sz="0" w:space="0" w:color="auto"/>
                  </w:divBdr>
                  <w:divsChild>
                    <w:div w:id="1546721283">
                      <w:marLeft w:val="0"/>
                      <w:marRight w:val="0"/>
                      <w:marTop w:val="0"/>
                      <w:marBottom w:val="0"/>
                      <w:divBdr>
                        <w:top w:val="none" w:sz="0" w:space="0" w:color="auto"/>
                        <w:left w:val="none" w:sz="0" w:space="0" w:color="auto"/>
                        <w:bottom w:val="none" w:sz="0" w:space="0" w:color="auto"/>
                        <w:right w:val="none" w:sz="0" w:space="0" w:color="auto"/>
                      </w:divBdr>
                    </w:div>
                  </w:divsChild>
                </w:div>
                <w:div w:id="2092310897">
                  <w:marLeft w:val="0"/>
                  <w:marRight w:val="0"/>
                  <w:marTop w:val="0"/>
                  <w:marBottom w:val="0"/>
                  <w:divBdr>
                    <w:top w:val="none" w:sz="0" w:space="0" w:color="auto"/>
                    <w:left w:val="none" w:sz="0" w:space="0" w:color="auto"/>
                    <w:bottom w:val="none" w:sz="0" w:space="0" w:color="auto"/>
                    <w:right w:val="none" w:sz="0" w:space="0" w:color="auto"/>
                  </w:divBdr>
                  <w:divsChild>
                    <w:div w:id="121315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001619">
      <w:bodyDiv w:val="1"/>
      <w:marLeft w:val="0"/>
      <w:marRight w:val="0"/>
      <w:marTop w:val="0"/>
      <w:marBottom w:val="0"/>
      <w:divBdr>
        <w:top w:val="none" w:sz="0" w:space="0" w:color="auto"/>
        <w:left w:val="none" w:sz="0" w:space="0" w:color="auto"/>
        <w:bottom w:val="none" w:sz="0" w:space="0" w:color="auto"/>
        <w:right w:val="none" w:sz="0" w:space="0" w:color="auto"/>
      </w:divBdr>
      <w:divsChild>
        <w:div w:id="129171997">
          <w:marLeft w:val="0"/>
          <w:marRight w:val="0"/>
          <w:marTop w:val="0"/>
          <w:marBottom w:val="0"/>
          <w:divBdr>
            <w:top w:val="none" w:sz="0" w:space="0" w:color="auto"/>
            <w:left w:val="none" w:sz="0" w:space="0" w:color="auto"/>
            <w:bottom w:val="none" w:sz="0" w:space="0" w:color="auto"/>
            <w:right w:val="none" w:sz="0" w:space="0" w:color="auto"/>
          </w:divBdr>
        </w:div>
        <w:div w:id="654795550">
          <w:marLeft w:val="0"/>
          <w:marRight w:val="0"/>
          <w:marTop w:val="0"/>
          <w:marBottom w:val="0"/>
          <w:divBdr>
            <w:top w:val="none" w:sz="0" w:space="0" w:color="auto"/>
            <w:left w:val="none" w:sz="0" w:space="0" w:color="auto"/>
            <w:bottom w:val="none" w:sz="0" w:space="0" w:color="auto"/>
            <w:right w:val="none" w:sz="0" w:space="0" w:color="auto"/>
          </w:divBdr>
        </w:div>
        <w:div w:id="1092356250">
          <w:marLeft w:val="0"/>
          <w:marRight w:val="0"/>
          <w:marTop w:val="0"/>
          <w:marBottom w:val="0"/>
          <w:divBdr>
            <w:top w:val="none" w:sz="0" w:space="0" w:color="auto"/>
            <w:left w:val="none" w:sz="0" w:space="0" w:color="auto"/>
            <w:bottom w:val="none" w:sz="0" w:space="0" w:color="auto"/>
            <w:right w:val="none" w:sz="0" w:space="0" w:color="auto"/>
          </w:divBdr>
        </w:div>
      </w:divsChild>
    </w:div>
    <w:div w:id="436414267">
      <w:bodyDiv w:val="1"/>
      <w:marLeft w:val="0"/>
      <w:marRight w:val="0"/>
      <w:marTop w:val="0"/>
      <w:marBottom w:val="0"/>
      <w:divBdr>
        <w:top w:val="none" w:sz="0" w:space="0" w:color="auto"/>
        <w:left w:val="none" w:sz="0" w:space="0" w:color="auto"/>
        <w:bottom w:val="none" w:sz="0" w:space="0" w:color="auto"/>
        <w:right w:val="none" w:sz="0" w:space="0" w:color="auto"/>
      </w:divBdr>
      <w:divsChild>
        <w:div w:id="73825876">
          <w:marLeft w:val="0"/>
          <w:marRight w:val="0"/>
          <w:marTop w:val="0"/>
          <w:marBottom w:val="0"/>
          <w:divBdr>
            <w:top w:val="none" w:sz="0" w:space="0" w:color="auto"/>
            <w:left w:val="none" w:sz="0" w:space="0" w:color="auto"/>
            <w:bottom w:val="none" w:sz="0" w:space="0" w:color="auto"/>
            <w:right w:val="none" w:sz="0" w:space="0" w:color="auto"/>
          </w:divBdr>
        </w:div>
        <w:div w:id="85855956">
          <w:marLeft w:val="0"/>
          <w:marRight w:val="0"/>
          <w:marTop w:val="0"/>
          <w:marBottom w:val="0"/>
          <w:divBdr>
            <w:top w:val="none" w:sz="0" w:space="0" w:color="auto"/>
            <w:left w:val="none" w:sz="0" w:space="0" w:color="auto"/>
            <w:bottom w:val="none" w:sz="0" w:space="0" w:color="auto"/>
            <w:right w:val="none" w:sz="0" w:space="0" w:color="auto"/>
          </w:divBdr>
        </w:div>
        <w:div w:id="104932431">
          <w:marLeft w:val="0"/>
          <w:marRight w:val="0"/>
          <w:marTop w:val="0"/>
          <w:marBottom w:val="0"/>
          <w:divBdr>
            <w:top w:val="none" w:sz="0" w:space="0" w:color="auto"/>
            <w:left w:val="none" w:sz="0" w:space="0" w:color="auto"/>
            <w:bottom w:val="none" w:sz="0" w:space="0" w:color="auto"/>
            <w:right w:val="none" w:sz="0" w:space="0" w:color="auto"/>
          </w:divBdr>
        </w:div>
        <w:div w:id="318046785">
          <w:marLeft w:val="0"/>
          <w:marRight w:val="0"/>
          <w:marTop w:val="0"/>
          <w:marBottom w:val="0"/>
          <w:divBdr>
            <w:top w:val="none" w:sz="0" w:space="0" w:color="auto"/>
            <w:left w:val="none" w:sz="0" w:space="0" w:color="auto"/>
            <w:bottom w:val="none" w:sz="0" w:space="0" w:color="auto"/>
            <w:right w:val="none" w:sz="0" w:space="0" w:color="auto"/>
          </w:divBdr>
        </w:div>
        <w:div w:id="423957272">
          <w:marLeft w:val="0"/>
          <w:marRight w:val="0"/>
          <w:marTop w:val="0"/>
          <w:marBottom w:val="0"/>
          <w:divBdr>
            <w:top w:val="none" w:sz="0" w:space="0" w:color="auto"/>
            <w:left w:val="none" w:sz="0" w:space="0" w:color="auto"/>
            <w:bottom w:val="none" w:sz="0" w:space="0" w:color="auto"/>
            <w:right w:val="none" w:sz="0" w:space="0" w:color="auto"/>
          </w:divBdr>
          <w:divsChild>
            <w:div w:id="483200043">
              <w:marLeft w:val="0"/>
              <w:marRight w:val="0"/>
              <w:marTop w:val="0"/>
              <w:marBottom w:val="0"/>
              <w:divBdr>
                <w:top w:val="none" w:sz="0" w:space="0" w:color="auto"/>
                <w:left w:val="none" w:sz="0" w:space="0" w:color="auto"/>
                <w:bottom w:val="none" w:sz="0" w:space="0" w:color="auto"/>
                <w:right w:val="none" w:sz="0" w:space="0" w:color="auto"/>
              </w:divBdr>
            </w:div>
            <w:div w:id="1292832583">
              <w:marLeft w:val="0"/>
              <w:marRight w:val="0"/>
              <w:marTop w:val="0"/>
              <w:marBottom w:val="0"/>
              <w:divBdr>
                <w:top w:val="none" w:sz="0" w:space="0" w:color="auto"/>
                <w:left w:val="none" w:sz="0" w:space="0" w:color="auto"/>
                <w:bottom w:val="none" w:sz="0" w:space="0" w:color="auto"/>
                <w:right w:val="none" w:sz="0" w:space="0" w:color="auto"/>
              </w:divBdr>
            </w:div>
            <w:div w:id="1417895884">
              <w:marLeft w:val="0"/>
              <w:marRight w:val="0"/>
              <w:marTop w:val="0"/>
              <w:marBottom w:val="0"/>
              <w:divBdr>
                <w:top w:val="none" w:sz="0" w:space="0" w:color="auto"/>
                <w:left w:val="none" w:sz="0" w:space="0" w:color="auto"/>
                <w:bottom w:val="none" w:sz="0" w:space="0" w:color="auto"/>
                <w:right w:val="none" w:sz="0" w:space="0" w:color="auto"/>
              </w:divBdr>
            </w:div>
            <w:div w:id="1630625901">
              <w:marLeft w:val="0"/>
              <w:marRight w:val="0"/>
              <w:marTop w:val="0"/>
              <w:marBottom w:val="0"/>
              <w:divBdr>
                <w:top w:val="none" w:sz="0" w:space="0" w:color="auto"/>
                <w:left w:val="none" w:sz="0" w:space="0" w:color="auto"/>
                <w:bottom w:val="none" w:sz="0" w:space="0" w:color="auto"/>
                <w:right w:val="none" w:sz="0" w:space="0" w:color="auto"/>
              </w:divBdr>
            </w:div>
            <w:div w:id="1933514276">
              <w:marLeft w:val="0"/>
              <w:marRight w:val="0"/>
              <w:marTop w:val="0"/>
              <w:marBottom w:val="0"/>
              <w:divBdr>
                <w:top w:val="none" w:sz="0" w:space="0" w:color="auto"/>
                <w:left w:val="none" w:sz="0" w:space="0" w:color="auto"/>
                <w:bottom w:val="none" w:sz="0" w:space="0" w:color="auto"/>
                <w:right w:val="none" w:sz="0" w:space="0" w:color="auto"/>
              </w:divBdr>
            </w:div>
          </w:divsChild>
        </w:div>
        <w:div w:id="922254514">
          <w:marLeft w:val="0"/>
          <w:marRight w:val="0"/>
          <w:marTop w:val="0"/>
          <w:marBottom w:val="0"/>
          <w:divBdr>
            <w:top w:val="none" w:sz="0" w:space="0" w:color="auto"/>
            <w:left w:val="none" w:sz="0" w:space="0" w:color="auto"/>
            <w:bottom w:val="none" w:sz="0" w:space="0" w:color="auto"/>
            <w:right w:val="none" w:sz="0" w:space="0" w:color="auto"/>
          </w:divBdr>
          <w:divsChild>
            <w:div w:id="1062481281">
              <w:marLeft w:val="-75"/>
              <w:marRight w:val="0"/>
              <w:marTop w:val="30"/>
              <w:marBottom w:val="30"/>
              <w:divBdr>
                <w:top w:val="none" w:sz="0" w:space="0" w:color="auto"/>
                <w:left w:val="none" w:sz="0" w:space="0" w:color="auto"/>
                <w:bottom w:val="none" w:sz="0" w:space="0" w:color="auto"/>
                <w:right w:val="none" w:sz="0" w:space="0" w:color="auto"/>
              </w:divBdr>
              <w:divsChild>
                <w:div w:id="198468603">
                  <w:marLeft w:val="0"/>
                  <w:marRight w:val="0"/>
                  <w:marTop w:val="0"/>
                  <w:marBottom w:val="0"/>
                  <w:divBdr>
                    <w:top w:val="none" w:sz="0" w:space="0" w:color="auto"/>
                    <w:left w:val="none" w:sz="0" w:space="0" w:color="auto"/>
                    <w:bottom w:val="none" w:sz="0" w:space="0" w:color="auto"/>
                    <w:right w:val="none" w:sz="0" w:space="0" w:color="auto"/>
                  </w:divBdr>
                  <w:divsChild>
                    <w:div w:id="2021005938">
                      <w:marLeft w:val="0"/>
                      <w:marRight w:val="0"/>
                      <w:marTop w:val="0"/>
                      <w:marBottom w:val="0"/>
                      <w:divBdr>
                        <w:top w:val="none" w:sz="0" w:space="0" w:color="auto"/>
                        <w:left w:val="none" w:sz="0" w:space="0" w:color="auto"/>
                        <w:bottom w:val="none" w:sz="0" w:space="0" w:color="auto"/>
                        <w:right w:val="none" w:sz="0" w:space="0" w:color="auto"/>
                      </w:divBdr>
                    </w:div>
                  </w:divsChild>
                </w:div>
                <w:div w:id="478427023">
                  <w:marLeft w:val="0"/>
                  <w:marRight w:val="0"/>
                  <w:marTop w:val="0"/>
                  <w:marBottom w:val="0"/>
                  <w:divBdr>
                    <w:top w:val="none" w:sz="0" w:space="0" w:color="auto"/>
                    <w:left w:val="none" w:sz="0" w:space="0" w:color="auto"/>
                    <w:bottom w:val="none" w:sz="0" w:space="0" w:color="auto"/>
                    <w:right w:val="none" w:sz="0" w:space="0" w:color="auto"/>
                  </w:divBdr>
                  <w:divsChild>
                    <w:div w:id="2109933322">
                      <w:marLeft w:val="0"/>
                      <w:marRight w:val="0"/>
                      <w:marTop w:val="0"/>
                      <w:marBottom w:val="0"/>
                      <w:divBdr>
                        <w:top w:val="none" w:sz="0" w:space="0" w:color="auto"/>
                        <w:left w:val="none" w:sz="0" w:space="0" w:color="auto"/>
                        <w:bottom w:val="none" w:sz="0" w:space="0" w:color="auto"/>
                        <w:right w:val="none" w:sz="0" w:space="0" w:color="auto"/>
                      </w:divBdr>
                    </w:div>
                  </w:divsChild>
                </w:div>
                <w:div w:id="561672757">
                  <w:marLeft w:val="0"/>
                  <w:marRight w:val="0"/>
                  <w:marTop w:val="0"/>
                  <w:marBottom w:val="0"/>
                  <w:divBdr>
                    <w:top w:val="none" w:sz="0" w:space="0" w:color="auto"/>
                    <w:left w:val="none" w:sz="0" w:space="0" w:color="auto"/>
                    <w:bottom w:val="none" w:sz="0" w:space="0" w:color="auto"/>
                    <w:right w:val="none" w:sz="0" w:space="0" w:color="auto"/>
                  </w:divBdr>
                  <w:divsChild>
                    <w:div w:id="814689738">
                      <w:marLeft w:val="0"/>
                      <w:marRight w:val="0"/>
                      <w:marTop w:val="0"/>
                      <w:marBottom w:val="0"/>
                      <w:divBdr>
                        <w:top w:val="none" w:sz="0" w:space="0" w:color="auto"/>
                        <w:left w:val="none" w:sz="0" w:space="0" w:color="auto"/>
                        <w:bottom w:val="none" w:sz="0" w:space="0" w:color="auto"/>
                        <w:right w:val="none" w:sz="0" w:space="0" w:color="auto"/>
                      </w:divBdr>
                    </w:div>
                  </w:divsChild>
                </w:div>
                <w:div w:id="1403480677">
                  <w:marLeft w:val="0"/>
                  <w:marRight w:val="0"/>
                  <w:marTop w:val="0"/>
                  <w:marBottom w:val="0"/>
                  <w:divBdr>
                    <w:top w:val="none" w:sz="0" w:space="0" w:color="auto"/>
                    <w:left w:val="none" w:sz="0" w:space="0" w:color="auto"/>
                    <w:bottom w:val="none" w:sz="0" w:space="0" w:color="auto"/>
                    <w:right w:val="none" w:sz="0" w:space="0" w:color="auto"/>
                  </w:divBdr>
                  <w:divsChild>
                    <w:div w:id="982194200">
                      <w:marLeft w:val="0"/>
                      <w:marRight w:val="0"/>
                      <w:marTop w:val="0"/>
                      <w:marBottom w:val="0"/>
                      <w:divBdr>
                        <w:top w:val="none" w:sz="0" w:space="0" w:color="auto"/>
                        <w:left w:val="none" w:sz="0" w:space="0" w:color="auto"/>
                        <w:bottom w:val="none" w:sz="0" w:space="0" w:color="auto"/>
                        <w:right w:val="none" w:sz="0" w:space="0" w:color="auto"/>
                      </w:divBdr>
                    </w:div>
                  </w:divsChild>
                </w:div>
                <w:div w:id="1698118883">
                  <w:marLeft w:val="0"/>
                  <w:marRight w:val="0"/>
                  <w:marTop w:val="0"/>
                  <w:marBottom w:val="0"/>
                  <w:divBdr>
                    <w:top w:val="none" w:sz="0" w:space="0" w:color="auto"/>
                    <w:left w:val="none" w:sz="0" w:space="0" w:color="auto"/>
                    <w:bottom w:val="none" w:sz="0" w:space="0" w:color="auto"/>
                    <w:right w:val="none" w:sz="0" w:space="0" w:color="auto"/>
                  </w:divBdr>
                  <w:divsChild>
                    <w:div w:id="55905273">
                      <w:marLeft w:val="0"/>
                      <w:marRight w:val="0"/>
                      <w:marTop w:val="0"/>
                      <w:marBottom w:val="0"/>
                      <w:divBdr>
                        <w:top w:val="none" w:sz="0" w:space="0" w:color="auto"/>
                        <w:left w:val="none" w:sz="0" w:space="0" w:color="auto"/>
                        <w:bottom w:val="none" w:sz="0" w:space="0" w:color="auto"/>
                        <w:right w:val="none" w:sz="0" w:space="0" w:color="auto"/>
                      </w:divBdr>
                    </w:div>
                  </w:divsChild>
                </w:div>
                <w:div w:id="1841698108">
                  <w:marLeft w:val="0"/>
                  <w:marRight w:val="0"/>
                  <w:marTop w:val="0"/>
                  <w:marBottom w:val="0"/>
                  <w:divBdr>
                    <w:top w:val="none" w:sz="0" w:space="0" w:color="auto"/>
                    <w:left w:val="none" w:sz="0" w:space="0" w:color="auto"/>
                    <w:bottom w:val="none" w:sz="0" w:space="0" w:color="auto"/>
                    <w:right w:val="none" w:sz="0" w:space="0" w:color="auto"/>
                  </w:divBdr>
                  <w:divsChild>
                    <w:div w:id="175454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386024">
          <w:marLeft w:val="0"/>
          <w:marRight w:val="0"/>
          <w:marTop w:val="0"/>
          <w:marBottom w:val="0"/>
          <w:divBdr>
            <w:top w:val="none" w:sz="0" w:space="0" w:color="auto"/>
            <w:left w:val="none" w:sz="0" w:space="0" w:color="auto"/>
            <w:bottom w:val="none" w:sz="0" w:space="0" w:color="auto"/>
            <w:right w:val="none" w:sz="0" w:space="0" w:color="auto"/>
          </w:divBdr>
          <w:divsChild>
            <w:div w:id="602953112">
              <w:marLeft w:val="0"/>
              <w:marRight w:val="0"/>
              <w:marTop w:val="0"/>
              <w:marBottom w:val="0"/>
              <w:divBdr>
                <w:top w:val="none" w:sz="0" w:space="0" w:color="auto"/>
                <w:left w:val="none" w:sz="0" w:space="0" w:color="auto"/>
                <w:bottom w:val="none" w:sz="0" w:space="0" w:color="auto"/>
                <w:right w:val="none" w:sz="0" w:space="0" w:color="auto"/>
              </w:divBdr>
            </w:div>
          </w:divsChild>
        </w:div>
        <w:div w:id="1090158556">
          <w:marLeft w:val="0"/>
          <w:marRight w:val="0"/>
          <w:marTop w:val="0"/>
          <w:marBottom w:val="0"/>
          <w:divBdr>
            <w:top w:val="none" w:sz="0" w:space="0" w:color="auto"/>
            <w:left w:val="none" w:sz="0" w:space="0" w:color="auto"/>
            <w:bottom w:val="none" w:sz="0" w:space="0" w:color="auto"/>
            <w:right w:val="none" w:sz="0" w:space="0" w:color="auto"/>
          </w:divBdr>
        </w:div>
        <w:div w:id="1302034003">
          <w:marLeft w:val="0"/>
          <w:marRight w:val="0"/>
          <w:marTop w:val="0"/>
          <w:marBottom w:val="0"/>
          <w:divBdr>
            <w:top w:val="none" w:sz="0" w:space="0" w:color="auto"/>
            <w:left w:val="none" w:sz="0" w:space="0" w:color="auto"/>
            <w:bottom w:val="none" w:sz="0" w:space="0" w:color="auto"/>
            <w:right w:val="none" w:sz="0" w:space="0" w:color="auto"/>
          </w:divBdr>
        </w:div>
        <w:div w:id="1391073003">
          <w:marLeft w:val="0"/>
          <w:marRight w:val="0"/>
          <w:marTop w:val="0"/>
          <w:marBottom w:val="0"/>
          <w:divBdr>
            <w:top w:val="none" w:sz="0" w:space="0" w:color="auto"/>
            <w:left w:val="none" w:sz="0" w:space="0" w:color="auto"/>
            <w:bottom w:val="none" w:sz="0" w:space="0" w:color="auto"/>
            <w:right w:val="none" w:sz="0" w:space="0" w:color="auto"/>
          </w:divBdr>
        </w:div>
        <w:div w:id="1473984832">
          <w:marLeft w:val="0"/>
          <w:marRight w:val="0"/>
          <w:marTop w:val="0"/>
          <w:marBottom w:val="0"/>
          <w:divBdr>
            <w:top w:val="none" w:sz="0" w:space="0" w:color="auto"/>
            <w:left w:val="none" w:sz="0" w:space="0" w:color="auto"/>
            <w:bottom w:val="none" w:sz="0" w:space="0" w:color="auto"/>
            <w:right w:val="none" w:sz="0" w:space="0" w:color="auto"/>
          </w:divBdr>
          <w:divsChild>
            <w:div w:id="1032076187">
              <w:marLeft w:val="0"/>
              <w:marRight w:val="0"/>
              <w:marTop w:val="0"/>
              <w:marBottom w:val="0"/>
              <w:divBdr>
                <w:top w:val="none" w:sz="0" w:space="0" w:color="auto"/>
                <w:left w:val="none" w:sz="0" w:space="0" w:color="auto"/>
                <w:bottom w:val="none" w:sz="0" w:space="0" w:color="auto"/>
                <w:right w:val="none" w:sz="0" w:space="0" w:color="auto"/>
              </w:divBdr>
            </w:div>
            <w:div w:id="1474440884">
              <w:marLeft w:val="0"/>
              <w:marRight w:val="0"/>
              <w:marTop w:val="0"/>
              <w:marBottom w:val="0"/>
              <w:divBdr>
                <w:top w:val="none" w:sz="0" w:space="0" w:color="auto"/>
                <w:left w:val="none" w:sz="0" w:space="0" w:color="auto"/>
                <w:bottom w:val="none" w:sz="0" w:space="0" w:color="auto"/>
                <w:right w:val="none" w:sz="0" w:space="0" w:color="auto"/>
              </w:divBdr>
            </w:div>
            <w:div w:id="1882474776">
              <w:marLeft w:val="0"/>
              <w:marRight w:val="0"/>
              <w:marTop w:val="0"/>
              <w:marBottom w:val="0"/>
              <w:divBdr>
                <w:top w:val="none" w:sz="0" w:space="0" w:color="auto"/>
                <w:left w:val="none" w:sz="0" w:space="0" w:color="auto"/>
                <w:bottom w:val="none" w:sz="0" w:space="0" w:color="auto"/>
                <w:right w:val="none" w:sz="0" w:space="0" w:color="auto"/>
              </w:divBdr>
            </w:div>
          </w:divsChild>
        </w:div>
        <w:div w:id="1536115780">
          <w:marLeft w:val="0"/>
          <w:marRight w:val="0"/>
          <w:marTop w:val="0"/>
          <w:marBottom w:val="0"/>
          <w:divBdr>
            <w:top w:val="none" w:sz="0" w:space="0" w:color="auto"/>
            <w:left w:val="none" w:sz="0" w:space="0" w:color="auto"/>
            <w:bottom w:val="none" w:sz="0" w:space="0" w:color="auto"/>
            <w:right w:val="none" w:sz="0" w:space="0" w:color="auto"/>
          </w:divBdr>
        </w:div>
        <w:div w:id="1604456131">
          <w:marLeft w:val="0"/>
          <w:marRight w:val="0"/>
          <w:marTop w:val="0"/>
          <w:marBottom w:val="0"/>
          <w:divBdr>
            <w:top w:val="none" w:sz="0" w:space="0" w:color="auto"/>
            <w:left w:val="none" w:sz="0" w:space="0" w:color="auto"/>
            <w:bottom w:val="none" w:sz="0" w:space="0" w:color="auto"/>
            <w:right w:val="none" w:sz="0" w:space="0" w:color="auto"/>
          </w:divBdr>
        </w:div>
        <w:div w:id="1759987122">
          <w:marLeft w:val="0"/>
          <w:marRight w:val="0"/>
          <w:marTop w:val="0"/>
          <w:marBottom w:val="0"/>
          <w:divBdr>
            <w:top w:val="none" w:sz="0" w:space="0" w:color="auto"/>
            <w:left w:val="none" w:sz="0" w:space="0" w:color="auto"/>
            <w:bottom w:val="none" w:sz="0" w:space="0" w:color="auto"/>
            <w:right w:val="none" w:sz="0" w:space="0" w:color="auto"/>
          </w:divBdr>
          <w:divsChild>
            <w:div w:id="228078702">
              <w:marLeft w:val="0"/>
              <w:marRight w:val="0"/>
              <w:marTop w:val="0"/>
              <w:marBottom w:val="0"/>
              <w:divBdr>
                <w:top w:val="none" w:sz="0" w:space="0" w:color="auto"/>
                <w:left w:val="none" w:sz="0" w:space="0" w:color="auto"/>
                <w:bottom w:val="none" w:sz="0" w:space="0" w:color="auto"/>
                <w:right w:val="none" w:sz="0" w:space="0" w:color="auto"/>
              </w:divBdr>
            </w:div>
            <w:div w:id="801264496">
              <w:marLeft w:val="0"/>
              <w:marRight w:val="0"/>
              <w:marTop w:val="0"/>
              <w:marBottom w:val="0"/>
              <w:divBdr>
                <w:top w:val="none" w:sz="0" w:space="0" w:color="auto"/>
                <w:left w:val="none" w:sz="0" w:space="0" w:color="auto"/>
                <w:bottom w:val="none" w:sz="0" w:space="0" w:color="auto"/>
                <w:right w:val="none" w:sz="0" w:space="0" w:color="auto"/>
              </w:divBdr>
            </w:div>
            <w:div w:id="1794901637">
              <w:marLeft w:val="0"/>
              <w:marRight w:val="0"/>
              <w:marTop w:val="0"/>
              <w:marBottom w:val="0"/>
              <w:divBdr>
                <w:top w:val="none" w:sz="0" w:space="0" w:color="auto"/>
                <w:left w:val="none" w:sz="0" w:space="0" w:color="auto"/>
                <w:bottom w:val="none" w:sz="0" w:space="0" w:color="auto"/>
                <w:right w:val="none" w:sz="0" w:space="0" w:color="auto"/>
              </w:divBdr>
            </w:div>
          </w:divsChild>
        </w:div>
        <w:div w:id="1836260700">
          <w:marLeft w:val="0"/>
          <w:marRight w:val="0"/>
          <w:marTop w:val="0"/>
          <w:marBottom w:val="0"/>
          <w:divBdr>
            <w:top w:val="none" w:sz="0" w:space="0" w:color="auto"/>
            <w:left w:val="none" w:sz="0" w:space="0" w:color="auto"/>
            <w:bottom w:val="none" w:sz="0" w:space="0" w:color="auto"/>
            <w:right w:val="none" w:sz="0" w:space="0" w:color="auto"/>
          </w:divBdr>
        </w:div>
        <w:div w:id="2023044727">
          <w:marLeft w:val="0"/>
          <w:marRight w:val="0"/>
          <w:marTop w:val="0"/>
          <w:marBottom w:val="0"/>
          <w:divBdr>
            <w:top w:val="none" w:sz="0" w:space="0" w:color="auto"/>
            <w:left w:val="none" w:sz="0" w:space="0" w:color="auto"/>
            <w:bottom w:val="none" w:sz="0" w:space="0" w:color="auto"/>
            <w:right w:val="none" w:sz="0" w:space="0" w:color="auto"/>
          </w:divBdr>
        </w:div>
        <w:div w:id="2072269238">
          <w:marLeft w:val="0"/>
          <w:marRight w:val="0"/>
          <w:marTop w:val="0"/>
          <w:marBottom w:val="0"/>
          <w:divBdr>
            <w:top w:val="none" w:sz="0" w:space="0" w:color="auto"/>
            <w:left w:val="none" w:sz="0" w:space="0" w:color="auto"/>
            <w:bottom w:val="none" w:sz="0" w:space="0" w:color="auto"/>
            <w:right w:val="none" w:sz="0" w:space="0" w:color="auto"/>
          </w:divBdr>
        </w:div>
      </w:divsChild>
    </w:div>
    <w:div w:id="436484508">
      <w:bodyDiv w:val="1"/>
      <w:marLeft w:val="0"/>
      <w:marRight w:val="0"/>
      <w:marTop w:val="0"/>
      <w:marBottom w:val="0"/>
      <w:divBdr>
        <w:top w:val="none" w:sz="0" w:space="0" w:color="auto"/>
        <w:left w:val="none" w:sz="0" w:space="0" w:color="auto"/>
        <w:bottom w:val="none" w:sz="0" w:space="0" w:color="auto"/>
        <w:right w:val="none" w:sz="0" w:space="0" w:color="auto"/>
      </w:divBdr>
    </w:div>
    <w:div w:id="466821848">
      <w:bodyDiv w:val="1"/>
      <w:marLeft w:val="0"/>
      <w:marRight w:val="0"/>
      <w:marTop w:val="0"/>
      <w:marBottom w:val="0"/>
      <w:divBdr>
        <w:top w:val="none" w:sz="0" w:space="0" w:color="auto"/>
        <w:left w:val="none" w:sz="0" w:space="0" w:color="auto"/>
        <w:bottom w:val="none" w:sz="0" w:space="0" w:color="auto"/>
        <w:right w:val="none" w:sz="0" w:space="0" w:color="auto"/>
      </w:divBdr>
    </w:div>
    <w:div w:id="480007517">
      <w:bodyDiv w:val="1"/>
      <w:marLeft w:val="0"/>
      <w:marRight w:val="0"/>
      <w:marTop w:val="0"/>
      <w:marBottom w:val="0"/>
      <w:divBdr>
        <w:top w:val="none" w:sz="0" w:space="0" w:color="auto"/>
        <w:left w:val="none" w:sz="0" w:space="0" w:color="auto"/>
        <w:bottom w:val="none" w:sz="0" w:space="0" w:color="auto"/>
        <w:right w:val="none" w:sz="0" w:space="0" w:color="auto"/>
      </w:divBdr>
    </w:div>
    <w:div w:id="480537083">
      <w:bodyDiv w:val="1"/>
      <w:marLeft w:val="0"/>
      <w:marRight w:val="0"/>
      <w:marTop w:val="0"/>
      <w:marBottom w:val="0"/>
      <w:divBdr>
        <w:top w:val="none" w:sz="0" w:space="0" w:color="auto"/>
        <w:left w:val="none" w:sz="0" w:space="0" w:color="auto"/>
        <w:bottom w:val="none" w:sz="0" w:space="0" w:color="auto"/>
        <w:right w:val="none" w:sz="0" w:space="0" w:color="auto"/>
      </w:divBdr>
    </w:div>
    <w:div w:id="496388445">
      <w:bodyDiv w:val="1"/>
      <w:marLeft w:val="0"/>
      <w:marRight w:val="0"/>
      <w:marTop w:val="0"/>
      <w:marBottom w:val="0"/>
      <w:divBdr>
        <w:top w:val="none" w:sz="0" w:space="0" w:color="auto"/>
        <w:left w:val="none" w:sz="0" w:space="0" w:color="auto"/>
        <w:bottom w:val="none" w:sz="0" w:space="0" w:color="auto"/>
        <w:right w:val="none" w:sz="0" w:space="0" w:color="auto"/>
      </w:divBdr>
      <w:divsChild>
        <w:div w:id="404572113">
          <w:marLeft w:val="0"/>
          <w:marRight w:val="0"/>
          <w:marTop w:val="0"/>
          <w:marBottom w:val="0"/>
          <w:divBdr>
            <w:top w:val="none" w:sz="0" w:space="0" w:color="auto"/>
            <w:left w:val="none" w:sz="0" w:space="0" w:color="auto"/>
            <w:bottom w:val="none" w:sz="0" w:space="0" w:color="auto"/>
            <w:right w:val="none" w:sz="0" w:space="0" w:color="auto"/>
          </w:divBdr>
        </w:div>
        <w:div w:id="653486845">
          <w:marLeft w:val="0"/>
          <w:marRight w:val="0"/>
          <w:marTop w:val="0"/>
          <w:marBottom w:val="0"/>
          <w:divBdr>
            <w:top w:val="none" w:sz="0" w:space="0" w:color="auto"/>
            <w:left w:val="none" w:sz="0" w:space="0" w:color="auto"/>
            <w:bottom w:val="none" w:sz="0" w:space="0" w:color="auto"/>
            <w:right w:val="none" w:sz="0" w:space="0" w:color="auto"/>
          </w:divBdr>
        </w:div>
        <w:div w:id="920412591">
          <w:marLeft w:val="0"/>
          <w:marRight w:val="0"/>
          <w:marTop w:val="0"/>
          <w:marBottom w:val="0"/>
          <w:divBdr>
            <w:top w:val="none" w:sz="0" w:space="0" w:color="auto"/>
            <w:left w:val="none" w:sz="0" w:space="0" w:color="auto"/>
            <w:bottom w:val="none" w:sz="0" w:space="0" w:color="auto"/>
            <w:right w:val="none" w:sz="0" w:space="0" w:color="auto"/>
          </w:divBdr>
        </w:div>
      </w:divsChild>
    </w:div>
    <w:div w:id="500583679">
      <w:bodyDiv w:val="1"/>
      <w:marLeft w:val="0"/>
      <w:marRight w:val="0"/>
      <w:marTop w:val="0"/>
      <w:marBottom w:val="0"/>
      <w:divBdr>
        <w:top w:val="none" w:sz="0" w:space="0" w:color="auto"/>
        <w:left w:val="none" w:sz="0" w:space="0" w:color="auto"/>
        <w:bottom w:val="none" w:sz="0" w:space="0" w:color="auto"/>
        <w:right w:val="none" w:sz="0" w:space="0" w:color="auto"/>
      </w:divBdr>
    </w:div>
    <w:div w:id="526066937">
      <w:bodyDiv w:val="1"/>
      <w:marLeft w:val="0"/>
      <w:marRight w:val="0"/>
      <w:marTop w:val="0"/>
      <w:marBottom w:val="0"/>
      <w:divBdr>
        <w:top w:val="none" w:sz="0" w:space="0" w:color="auto"/>
        <w:left w:val="none" w:sz="0" w:space="0" w:color="auto"/>
        <w:bottom w:val="none" w:sz="0" w:space="0" w:color="auto"/>
        <w:right w:val="none" w:sz="0" w:space="0" w:color="auto"/>
      </w:divBdr>
    </w:div>
    <w:div w:id="566501467">
      <w:bodyDiv w:val="1"/>
      <w:marLeft w:val="0"/>
      <w:marRight w:val="0"/>
      <w:marTop w:val="0"/>
      <w:marBottom w:val="0"/>
      <w:divBdr>
        <w:top w:val="none" w:sz="0" w:space="0" w:color="auto"/>
        <w:left w:val="none" w:sz="0" w:space="0" w:color="auto"/>
        <w:bottom w:val="none" w:sz="0" w:space="0" w:color="auto"/>
        <w:right w:val="none" w:sz="0" w:space="0" w:color="auto"/>
      </w:divBdr>
    </w:div>
    <w:div w:id="574634923">
      <w:bodyDiv w:val="1"/>
      <w:marLeft w:val="0"/>
      <w:marRight w:val="0"/>
      <w:marTop w:val="0"/>
      <w:marBottom w:val="0"/>
      <w:divBdr>
        <w:top w:val="none" w:sz="0" w:space="0" w:color="auto"/>
        <w:left w:val="none" w:sz="0" w:space="0" w:color="auto"/>
        <w:bottom w:val="none" w:sz="0" w:space="0" w:color="auto"/>
        <w:right w:val="none" w:sz="0" w:space="0" w:color="auto"/>
      </w:divBdr>
      <w:divsChild>
        <w:div w:id="15036881">
          <w:marLeft w:val="0"/>
          <w:marRight w:val="0"/>
          <w:marTop w:val="0"/>
          <w:marBottom w:val="0"/>
          <w:divBdr>
            <w:top w:val="none" w:sz="0" w:space="0" w:color="auto"/>
            <w:left w:val="none" w:sz="0" w:space="0" w:color="auto"/>
            <w:bottom w:val="none" w:sz="0" w:space="0" w:color="auto"/>
            <w:right w:val="none" w:sz="0" w:space="0" w:color="auto"/>
          </w:divBdr>
          <w:divsChild>
            <w:div w:id="509103133">
              <w:marLeft w:val="0"/>
              <w:marRight w:val="0"/>
              <w:marTop w:val="0"/>
              <w:marBottom w:val="0"/>
              <w:divBdr>
                <w:top w:val="none" w:sz="0" w:space="0" w:color="auto"/>
                <w:left w:val="none" w:sz="0" w:space="0" w:color="auto"/>
                <w:bottom w:val="none" w:sz="0" w:space="0" w:color="auto"/>
                <w:right w:val="none" w:sz="0" w:space="0" w:color="auto"/>
              </w:divBdr>
            </w:div>
          </w:divsChild>
        </w:div>
        <w:div w:id="328946515">
          <w:marLeft w:val="0"/>
          <w:marRight w:val="0"/>
          <w:marTop w:val="0"/>
          <w:marBottom w:val="0"/>
          <w:divBdr>
            <w:top w:val="none" w:sz="0" w:space="0" w:color="auto"/>
            <w:left w:val="none" w:sz="0" w:space="0" w:color="auto"/>
            <w:bottom w:val="none" w:sz="0" w:space="0" w:color="auto"/>
            <w:right w:val="none" w:sz="0" w:space="0" w:color="auto"/>
          </w:divBdr>
          <w:divsChild>
            <w:div w:id="533857054">
              <w:marLeft w:val="0"/>
              <w:marRight w:val="0"/>
              <w:marTop w:val="0"/>
              <w:marBottom w:val="0"/>
              <w:divBdr>
                <w:top w:val="none" w:sz="0" w:space="0" w:color="auto"/>
                <w:left w:val="none" w:sz="0" w:space="0" w:color="auto"/>
                <w:bottom w:val="none" w:sz="0" w:space="0" w:color="auto"/>
                <w:right w:val="none" w:sz="0" w:space="0" w:color="auto"/>
              </w:divBdr>
            </w:div>
          </w:divsChild>
        </w:div>
        <w:div w:id="637612550">
          <w:marLeft w:val="0"/>
          <w:marRight w:val="0"/>
          <w:marTop w:val="0"/>
          <w:marBottom w:val="0"/>
          <w:divBdr>
            <w:top w:val="none" w:sz="0" w:space="0" w:color="auto"/>
            <w:left w:val="none" w:sz="0" w:space="0" w:color="auto"/>
            <w:bottom w:val="none" w:sz="0" w:space="0" w:color="auto"/>
            <w:right w:val="none" w:sz="0" w:space="0" w:color="auto"/>
          </w:divBdr>
          <w:divsChild>
            <w:div w:id="778136718">
              <w:marLeft w:val="0"/>
              <w:marRight w:val="0"/>
              <w:marTop w:val="0"/>
              <w:marBottom w:val="0"/>
              <w:divBdr>
                <w:top w:val="none" w:sz="0" w:space="0" w:color="auto"/>
                <w:left w:val="none" w:sz="0" w:space="0" w:color="auto"/>
                <w:bottom w:val="none" w:sz="0" w:space="0" w:color="auto"/>
                <w:right w:val="none" w:sz="0" w:space="0" w:color="auto"/>
              </w:divBdr>
            </w:div>
          </w:divsChild>
        </w:div>
        <w:div w:id="660038063">
          <w:marLeft w:val="0"/>
          <w:marRight w:val="0"/>
          <w:marTop w:val="0"/>
          <w:marBottom w:val="0"/>
          <w:divBdr>
            <w:top w:val="none" w:sz="0" w:space="0" w:color="auto"/>
            <w:left w:val="none" w:sz="0" w:space="0" w:color="auto"/>
            <w:bottom w:val="none" w:sz="0" w:space="0" w:color="auto"/>
            <w:right w:val="none" w:sz="0" w:space="0" w:color="auto"/>
          </w:divBdr>
          <w:divsChild>
            <w:div w:id="491533477">
              <w:marLeft w:val="0"/>
              <w:marRight w:val="0"/>
              <w:marTop w:val="0"/>
              <w:marBottom w:val="0"/>
              <w:divBdr>
                <w:top w:val="none" w:sz="0" w:space="0" w:color="auto"/>
                <w:left w:val="none" w:sz="0" w:space="0" w:color="auto"/>
                <w:bottom w:val="none" w:sz="0" w:space="0" w:color="auto"/>
                <w:right w:val="none" w:sz="0" w:space="0" w:color="auto"/>
              </w:divBdr>
            </w:div>
          </w:divsChild>
        </w:div>
        <w:div w:id="1010529642">
          <w:marLeft w:val="0"/>
          <w:marRight w:val="0"/>
          <w:marTop w:val="0"/>
          <w:marBottom w:val="0"/>
          <w:divBdr>
            <w:top w:val="none" w:sz="0" w:space="0" w:color="auto"/>
            <w:left w:val="none" w:sz="0" w:space="0" w:color="auto"/>
            <w:bottom w:val="none" w:sz="0" w:space="0" w:color="auto"/>
            <w:right w:val="none" w:sz="0" w:space="0" w:color="auto"/>
          </w:divBdr>
          <w:divsChild>
            <w:div w:id="339115762">
              <w:marLeft w:val="0"/>
              <w:marRight w:val="0"/>
              <w:marTop w:val="0"/>
              <w:marBottom w:val="0"/>
              <w:divBdr>
                <w:top w:val="none" w:sz="0" w:space="0" w:color="auto"/>
                <w:left w:val="none" w:sz="0" w:space="0" w:color="auto"/>
                <w:bottom w:val="none" w:sz="0" w:space="0" w:color="auto"/>
                <w:right w:val="none" w:sz="0" w:space="0" w:color="auto"/>
              </w:divBdr>
            </w:div>
          </w:divsChild>
        </w:div>
        <w:div w:id="1341272535">
          <w:marLeft w:val="0"/>
          <w:marRight w:val="0"/>
          <w:marTop w:val="0"/>
          <w:marBottom w:val="0"/>
          <w:divBdr>
            <w:top w:val="none" w:sz="0" w:space="0" w:color="auto"/>
            <w:left w:val="none" w:sz="0" w:space="0" w:color="auto"/>
            <w:bottom w:val="none" w:sz="0" w:space="0" w:color="auto"/>
            <w:right w:val="none" w:sz="0" w:space="0" w:color="auto"/>
          </w:divBdr>
          <w:divsChild>
            <w:div w:id="110561142">
              <w:marLeft w:val="0"/>
              <w:marRight w:val="0"/>
              <w:marTop w:val="0"/>
              <w:marBottom w:val="0"/>
              <w:divBdr>
                <w:top w:val="none" w:sz="0" w:space="0" w:color="auto"/>
                <w:left w:val="none" w:sz="0" w:space="0" w:color="auto"/>
                <w:bottom w:val="none" w:sz="0" w:space="0" w:color="auto"/>
                <w:right w:val="none" w:sz="0" w:space="0" w:color="auto"/>
              </w:divBdr>
            </w:div>
          </w:divsChild>
        </w:div>
        <w:div w:id="1353409555">
          <w:marLeft w:val="0"/>
          <w:marRight w:val="0"/>
          <w:marTop w:val="0"/>
          <w:marBottom w:val="0"/>
          <w:divBdr>
            <w:top w:val="none" w:sz="0" w:space="0" w:color="auto"/>
            <w:left w:val="none" w:sz="0" w:space="0" w:color="auto"/>
            <w:bottom w:val="none" w:sz="0" w:space="0" w:color="auto"/>
            <w:right w:val="none" w:sz="0" w:space="0" w:color="auto"/>
          </w:divBdr>
          <w:divsChild>
            <w:div w:id="936906855">
              <w:marLeft w:val="0"/>
              <w:marRight w:val="0"/>
              <w:marTop w:val="0"/>
              <w:marBottom w:val="0"/>
              <w:divBdr>
                <w:top w:val="none" w:sz="0" w:space="0" w:color="auto"/>
                <w:left w:val="none" w:sz="0" w:space="0" w:color="auto"/>
                <w:bottom w:val="none" w:sz="0" w:space="0" w:color="auto"/>
                <w:right w:val="none" w:sz="0" w:space="0" w:color="auto"/>
              </w:divBdr>
            </w:div>
          </w:divsChild>
        </w:div>
        <w:div w:id="1387485824">
          <w:marLeft w:val="0"/>
          <w:marRight w:val="0"/>
          <w:marTop w:val="0"/>
          <w:marBottom w:val="0"/>
          <w:divBdr>
            <w:top w:val="none" w:sz="0" w:space="0" w:color="auto"/>
            <w:left w:val="none" w:sz="0" w:space="0" w:color="auto"/>
            <w:bottom w:val="none" w:sz="0" w:space="0" w:color="auto"/>
            <w:right w:val="none" w:sz="0" w:space="0" w:color="auto"/>
          </w:divBdr>
          <w:divsChild>
            <w:div w:id="1374575124">
              <w:marLeft w:val="0"/>
              <w:marRight w:val="0"/>
              <w:marTop w:val="0"/>
              <w:marBottom w:val="0"/>
              <w:divBdr>
                <w:top w:val="none" w:sz="0" w:space="0" w:color="auto"/>
                <w:left w:val="none" w:sz="0" w:space="0" w:color="auto"/>
                <w:bottom w:val="none" w:sz="0" w:space="0" w:color="auto"/>
                <w:right w:val="none" w:sz="0" w:space="0" w:color="auto"/>
              </w:divBdr>
            </w:div>
          </w:divsChild>
        </w:div>
        <w:div w:id="1444961928">
          <w:marLeft w:val="0"/>
          <w:marRight w:val="0"/>
          <w:marTop w:val="0"/>
          <w:marBottom w:val="0"/>
          <w:divBdr>
            <w:top w:val="none" w:sz="0" w:space="0" w:color="auto"/>
            <w:left w:val="none" w:sz="0" w:space="0" w:color="auto"/>
            <w:bottom w:val="none" w:sz="0" w:space="0" w:color="auto"/>
            <w:right w:val="none" w:sz="0" w:space="0" w:color="auto"/>
          </w:divBdr>
          <w:divsChild>
            <w:div w:id="75247805">
              <w:marLeft w:val="0"/>
              <w:marRight w:val="0"/>
              <w:marTop w:val="0"/>
              <w:marBottom w:val="0"/>
              <w:divBdr>
                <w:top w:val="none" w:sz="0" w:space="0" w:color="auto"/>
                <w:left w:val="none" w:sz="0" w:space="0" w:color="auto"/>
                <w:bottom w:val="none" w:sz="0" w:space="0" w:color="auto"/>
                <w:right w:val="none" w:sz="0" w:space="0" w:color="auto"/>
              </w:divBdr>
            </w:div>
          </w:divsChild>
        </w:div>
        <w:div w:id="1457213997">
          <w:marLeft w:val="0"/>
          <w:marRight w:val="0"/>
          <w:marTop w:val="0"/>
          <w:marBottom w:val="0"/>
          <w:divBdr>
            <w:top w:val="none" w:sz="0" w:space="0" w:color="auto"/>
            <w:left w:val="none" w:sz="0" w:space="0" w:color="auto"/>
            <w:bottom w:val="none" w:sz="0" w:space="0" w:color="auto"/>
            <w:right w:val="none" w:sz="0" w:space="0" w:color="auto"/>
          </w:divBdr>
          <w:divsChild>
            <w:div w:id="1058240910">
              <w:marLeft w:val="0"/>
              <w:marRight w:val="0"/>
              <w:marTop w:val="0"/>
              <w:marBottom w:val="0"/>
              <w:divBdr>
                <w:top w:val="none" w:sz="0" w:space="0" w:color="auto"/>
                <w:left w:val="none" w:sz="0" w:space="0" w:color="auto"/>
                <w:bottom w:val="none" w:sz="0" w:space="0" w:color="auto"/>
                <w:right w:val="none" w:sz="0" w:space="0" w:color="auto"/>
              </w:divBdr>
            </w:div>
            <w:div w:id="1457946473">
              <w:marLeft w:val="0"/>
              <w:marRight w:val="0"/>
              <w:marTop w:val="0"/>
              <w:marBottom w:val="0"/>
              <w:divBdr>
                <w:top w:val="none" w:sz="0" w:space="0" w:color="auto"/>
                <w:left w:val="none" w:sz="0" w:space="0" w:color="auto"/>
                <w:bottom w:val="none" w:sz="0" w:space="0" w:color="auto"/>
                <w:right w:val="none" w:sz="0" w:space="0" w:color="auto"/>
              </w:divBdr>
            </w:div>
          </w:divsChild>
        </w:div>
        <w:div w:id="1702512358">
          <w:marLeft w:val="0"/>
          <w:marRight w:val="0"/>
          <w:marTop w:val="0"/>
          <w:marBottom w:val="0"/>
          <w:divBdr>
            <w:top w:val="none" w:sz="0" w:space="0" w:color="auto"/>
            <w:left w:val="none" w:sz="0" w:space="0" w:color="auto"/>
            <w:bottom w:val="none" w:sz="0" w:space="0" w:color="auto"/>
            <w:right w:val="none" w:sz="0" w:space="0" w:color="auto"/>
          </w:divBdr>
          <w:divsChild>
            <w:div w:id="2115785710">
              <w:marLeft w:val="0"/>
              <w:marRight w:val="0"/>
              <w:marTop w:val="0"/>
              <w:marBottom w:val="0"/>
              <w:divBdr>
                <w:top w:val="none" w:sz="0" w:space="0" w:color="auto"/>
                <w:left w:val="none" w:sz="0" w:space="0" w:color="auto"/>
                <w:bottom w:val="none" w:sz="0" w:space="0" w:color="auto"/>
                <w:right w:val="none" w:sz="0" w:space="0" w:color="auto"/>
              </w:divBdr>
            </w:div>
          </w:divsChild>
        </w:div>
        <w:div w:id="1714767465">
          <w:marLeft w:val="0"/>
          <w:marRight w:val="0"/>
          <w:marTop w:val="0"/>
          <w:marBottom w:val="0"/>
          <w:divBdr>
            <w:top w:val="none" w:sz="0" w:space="0" w:color="auto"/>
            <w:left w:val="none" w:sz="0" w:space="0" w:color="auto"/>
            <w:bottom w:val="none" w:sz="0" w:space="0" w:color="auto"/>
            <w:right w:val="none" w:sz="0" w:space="0" w:color="auto"/>
          </w:divBdr>
          <w:divsChild>
            <w:div w:id="111629908">
              <w:marLeft w:val="0"/>
              <w:marRight w:val="0"/>
              <w:marTop w:val="0"/>
              <w:marBottom w:val="0"/>
              <w:divBdr>
                <w:top w:val="none" w:sz="0" w:space="0" w:color="auto"/>
                <w:left w:val="none" w:sz="0" w:space="0" w:color="auto"/>
                <w:bottom w:val="none" w:sz="0" w:space="0" w:color="auto"/>
                <w:right w:val="none" w:sz="0" w:space="0" w:color="auto"/>
              </w:divBdr>
            </w:div>
          </w:divsChild>
        </w:div>
        <w:div w:id="1775057350">
          <w:marLeft w:val="0"/>
          <w:marRight w:val="0"/>
          <w:marTop w:val="0"/>
          <w:marBottom w:val="0"/>
          <w:divBdr>
            <w:top w:val="none" w:sz="0" w:space="0" w:color="auto"/>
            <w:left w:val="none" w:sz="0" w:space="0" w:color="auto"/>
            <w:bottom w:val="none" w:sz="0" w:space="0" w:color="auto"/>
            <w:right w:val="none" w:sz="0" w:space="0" w:color="auto"/>
          </w:divBdr>
          <w:divsChild>
            <w:div w:id="1248612897">
              <w:marLeft w:val="0"/>
              <w:marRight w:val="0"/>
              <w:marTop w:val="0"/>
              <w:marBottom w:val="0"/>
              <w:divBdr>
                <w:top w:val="none" w:sz="0" w:space="0" w:color="auto"/>
                <w:left w:val="none" w:sz="0" w:space="0" w:color="auto"/>
                <w:bottom w:val="none" w:sz="0" w:space="0" w:color="auto"/>
                <w:right w:val="none" w:sz="0" w:space="0" w:color="auto"/>
              </w:divBdr>
            </w:div>
          </w:divsChild>
        </w:div>
        <w:div w:id="1878851599">
          <w:marLeft w:val="0"/>
          <w:marRight w:val="0"/>
          <w:marTop w:val="0"/>
          <w:marBottom w:val="0"/>
          <w:divBdr>
            <w:top w:val="none" w:sz="0" w:space="0" w:color="auto"/>
            <w:left w:val="none" w:sz="0" w:space="0" w:color="auto"/>
            <w:bottom w:val="none" w:sz="0" w:space="0" w:color="auto"/>
            <w:right w:val="none" w:sz="0" w:space="0" w:color="auto"/>
          </w:divBdr>
          <w:divsChild>
            <w:div w:id="43686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131952">
      <w:bodyDiv w:val="1"/>
      <w:marLeft w:val="0"/>
      <w:marRight w:val="0"/>
      <w:marTop w:val="0"/>
      <w:marBottom w:val="0"/>
      <w:divBdr>
        <w:top w:val="none" w:sz="0" w:space="0" w:color="auto"/>
        <w:left w:val="none" w:sz="0" w:space="0" w:color="auto"/>
        <w:bottom w:val="none" w:sz="0" w:space="0" w:color="auto"/>
        <w:right w:val="none" w:sz="0" w:space="0" w:color="auto"/>
      </w:divBdr>
    </w:div>
    <w:div w:id="596599117">
      <w:bodyDiv w:val="1"/>
      <w:marLeft w:val="0"/>
      <w:marRight w:val="0"/>
      <w:marTop w:val="0"/>
      <w:marBottom w:val="0"/>
      <w:divBdr>
        <w:top w:val="none" w:sz="0" w:space="0" w:color="auto"/>
        <w:left w:val="none" w:sz="0" w:space="0" w:color="auto"/>
        <w:bottom w:val="none" w:sz="0" w:space="0" w:color="auto"/>
        <w:right w:val="none" w:sz="0" w:space="0" w:color="auto"/>
      </w:divBdr>
    </w:div>
    <w:div w:id="606430008">
      <w:bodyDiv w:val="1"/>
      <w:marLeft w:val="0"/>
      <w:marRight w:val="0"/>
      <w:marTop w:val="0"/>
      <w:marBottom w:val="0"/>
      <w:divBdr>
        <w:top w:val="none" w:sz="0" w:space="0" w:color="auto"/>
        <w:left w:val="none" w:sz="0" w:space="0" w:color="auto"/>
        <w:bottom w:val="none" w:sz="0" w:space="0" w:color="auto"/>
        <w:right w:val="none" w:sz="0" w:space="0" w:color="auto"/>
      </w:divBdr>
    </w:div>
    <w:div w:id="610281541">
      <w:bodyDiv w:val="1"/>
      <w:marLeft w:val="0"/>
      <w:marRight w:val="0"/>
      <w:marTop w:val="0"/>
      <w:marBottom w:val="0"/>
      <w:divBdr>
        <w:top w:val="none" w:sz="0" w:space="0" w:color="auto"/>
        <w:left w:val="none" w:sz="0" w:space="0" w:color="auto"/>
        <w:bottom w:val="none" w:sz="0" w:space="0" w:color="auto"/>
        <w:right w:val="none" w:sz="0" w:space="0" w:color="auto"/>
      </w:divBdr>
    </w:div>
    <w:div w:id="620961461">
      <w:bodyDiv w:val="1"/>
      <w:marLeft w:val="0"/>
      <w:marRight w:val="0"/>
      <w:marTop w:val="0"/>
      <w:marBottom w:val="0"/>
      <w:divBdr>
        <w:top w:val="none" w:sz="0" w:space="0" w:color="auto"/>
        <w:left w:val="none" w:sz="0" w:space="0" w:color="auto"/>
        <w:bottom w:val="none" w:sz="0" w:space="0" w:color="auto"/>
        <w:right w:val="none" w:sz="0" w:space="0" w:color="auto"/>
      </w:divBdr>
    </w:div>
    <w:div w:id="638800439">
      <w:bodyDiv w:val="1"/>
      <w:marLeft w:val="0"/>
      <w:marRight w:val="0"/>
      <w:marTop w:val="0"/>
      <w:marBottom w:val="0"/>
      <w:divBdr>
        <w:top w:val="none" w:sz="0" w:space="0" w:color="auto"/>
        <w:left w:val="none" w:sz="0" w:space="0" w:color="auto"/>
        <w:bottom w:val="none" w:sz="0" w:space="0" w:color="auto"/>
        <w:right w:val="none" w:sz="0" w:space="0" w:color="auto"/>
      </w:divBdr>
    </w:div>
    <w:div w:id="651328616">
      <w:bodyDiv w:val="1"/>
      <w:marLeft w:val="0"/>
      <w:marRight w:val="0"/>
      <w:marTop w:val="0"/>
      <w:marBottom w:val="0"/>
      <w:divBdr>
        <w:top w:val="none" w:sz="0" w:space="0" w:color="auto"/>
        <w:left w:val="none" w:sz="0" w:space="0" w:color="auto"/>
        <w:bottom w:val="none" w:sz="0" w:space="0" w:color="auto"/>
        <w:right w:val="none" w:sz="0" w:space="0" w:color="auto"/>
      </w:divBdr>
      <w:divsChild>
        <w:div w:id="638194687">
          <w:marLeft w:val="0"/>
          <w:marRight w:val="0"/>
          <w:marTop w:val="0"/>
          <w:marBottom w:val="0"/>
          <w:divBdr>
            <w:top w:val="none" w:sz="0" w:space="0" w:color="auto"/>
            <w:left w:val="none" w:sz="0" w:space="0" w:color="auto"/>
            <w:bottom w:val="none" w:sz="0" w:space="0" w:color="auto"/>
            <w:right w:val="none" w:sz="0" w:space="0" w:color="auto"/>
          </w:divBdr>
        </w:div>
      </w:divsChild>
    </w:div>
    <w:div w:id="661548682">
      <w:bodyDiv w:val="1"/>
      <w:marLeft w:val="0"/>
      <w:marRight w:val="0"/>
      <w:marTop w:val="0"/>
      <w:marBottom w:val="0"/>
      <w:divBdr>
        <w:top w:val="none" w:sz="0" w:space="0" w:color="auto"/>
        <w:left w:val="none" w:sz="0" w:space="0" w:color="auto"/>
        <w:bottom w:val="none" w:sz="0" w:space="0" w:color="auto"/>
        <w:right w:val="none" w:sz="0" w:space="0" w:color="auto"/>
      </w:divBdr>
      <w:divsChild>
        <w:div w:id="60638010">
          <w:marLeft w:val="0"/>
          <w:marRight w:val="0"/>
          <w:marTop w:val="0"/>
          <w:marBottom w:val="0"/>
          <w:divBdr>
            <w:top w:val="none" w:sz="0" w:space="0" w:color="auto"/>
            <w:left w:val="none" w:sz="0" w:space="0" w:color="auto"/>
            <w:bottom w:val="none" w:sz="0" w:space="0" w:color="auto"/>
            <w:right w:val="none" w:sz="0" w:space="0" w:color="auto"/>
          </w:divBdr>
          <w:divsChild>
            <w:div w:id="1932814407">
              <w:marLeft w:val="0"/>
              <w:marRight w:val="0"/>
              <w:marTop w:val="30"/>
              <w:marBottom w:val="30"/>
              <w:divBdr>
                <w:top w:val="none" w:sz="0" w:space="0" w:color="auto"/>
                <w:left w:val="none" w:sz="0" w:space="0" w:color="auto"/>
                <w:bottom w:val="none" w:sz="0" w:space="0" w:color="auto"/>
                <w:right w:val="none" w:sz="0" w:space="0" w:color="auto"/>
              </w:divBdr>
              <w:divsChild>
                <w:div w:id="334652953">
                  <w:marLeft w:val="0"/>
                  <w:marRight w:val="0"/>
                  <w:marTop w:val="0"/>
                  <w:marBottom w:val="0"/>
                  <w:divBdr>
                    <w:top w:val="none" w:sz="0" w:space="0" w:color="auto"/>
                    <w:left w:val="none" w:sz="0" w:space="0" w:color="auto"/>
                    <w:bottom w:val="none" w:sz="0" w:space="0" w:color="auto"/>
                    <w:right w:val="none" w:sz="0" w:space="0" w:color="auto"/>
                  </w:divBdr>
                  <w:divsChild>
                    <w:div w:id="90049330">
                      <w:marLeft w:val="0"/>
                      <w:marRight w:val="0"/>
                      <w:marTop w:val="0"/>
                      <w:marBottom w:val="0"/>
                      <w:divBdr>
                        <w:top w:val="none" w:sz="0" w:space="0" w:color="auto"/>
                        <w:left w:val="none" w:sz="0" w:space="0" w:color="auto"/>
                        <w:bottom w:val="none" w:sz="0" w:space="0" w:color="auto"/>
                        <w:right w:val="none" w:sz="0" w:space="0" w:color="auto"/>
                      </w:divBdr>
                    </w:div>
                  </w:divsChild>
                </w:div>
                <w:div w:id="464003649">
                  <w:marLeft w:val="0"/>
                  <w:marRight w:val="0"/>
                  <w:marTop w:val="0"/>
                  <w:marBottom w:val="0"/>
                  <w:divBdr>
                    <w:top w:val="none" w:sz="0" w:space="0" w:color="auto"/>
                    <w:left w:val="none" w:sz="0" w:space="0" w:color="auto"/>
                    <w:bottom w:val="none" w:sz="0" w:space="0" w:color="auto"/>
                    <w:right w:val="none" w:sz="0" w:space="0" w:color="auto"/>
                  </w:divBdr>
                  <w:divsChild>
                    <w:div w:id="35930017">
                      <w:marLeft w:val="0"/>
                      <w:marRight w:val="0"/>
                      <w:marTop w:val="0"/>
                      <w:marBottom w:val="0"/>
                      <w:divBdr>
                        <w:top w:val="none" w:sz="0" w:space="0" w:color="auto"/>
                        <w:left w:val="none" w:sz="0" w:space="0" w:color="auto"/>
                        <w:bottom w:val="none" w:sz="0" w:space="0" w:color="auto"/>
                        <w:right w:val="none" w:sz="0" w:space="0" w:color="auto"/>
                      </w:divBdr>
                    </w:div>
                  </w:divsChild>
                </w:div>
                <w:div w:id="725642816">
                  <w:marLeft w:val="0"/>
                  <w:marRight w:val="0"/>
                  <w:marTop w:val="0"/>
                  <w:marBottom w:val="0"/>
                  <w:divBdr>
                    <w:top w:val="none" w:sz="0" w:space="0" w:color="auto"/>
                    <w:left w:val="none" w:sz="0" w:space="0" w:color="auto"/>
                    <w:bottom w:val="none" w:sz="0" w:space="0" w:color="auto"/>
                    <w:right w:val="none" w:sz="0" w:space="0" w:color="auto"/>
                  </w:divBdr>
                  <w:divsChild>
                    <w:div w:id="1498571487">
                      <w:marLeft w:val="0"/>
                      <w:marRight w:val="0"/>
                      <w:marTop w:val="0"/>
                      <w:marBottom w:val="0"/>
                      <w:divBdr>
                        <w:top w:val="none" w:sz="0" w:space="0" w:color="auto"/>
                        <w:left w:val="none" w:sz="0" w:space="0" w:color="auto"/>
                        <w:bottom w:val="none" w:sz="0" w:space="0" w:color="auto"/>
                        <w:right w:val="none" w:sz="0" w:space="0" w:color="auto"/>
                      </w:divBdr>
                    </w:div>
                  </w:divsChild>
                </w:div>
                <w:div w:id="805969704">
                  <w:marLeft w:val="0"/>
                  <w:marRight w:val="0"/>
                  <w:marTop w:val="0"/>
                  <w:marBottom w:val="0"/>
                  <w:divBdr>
                    <w:top w:val="none" w:sz="0" w:space="0" w:color="auto"/>
                    <w:left w:val="none" w:sz="0" w:space="0" w:color="auto"/>
                    <w:bottom w:val="none" w:sz="0" w:space="0" w:color="auto"/>
                    <w:right w:val="none" w:sz="0" w:space="0" w:color="auto"/>
                  </w:divBdr>
                  <w:divsChild>
                    <w:div w:id="147943370">
                      <w:marLeft w:val="0"/>
                      <w:marRight w:val="0"/>
                      <w:marTop w:val="0"/>
                      <w:marBottom w:val="0"/>
                      <w:divBdr>
                        <w:top w:val="none" w:sz="0" w:space="0" w:color="auto"/>
                        <w:left w:val="none" w:sz="0" w:space="0" w:color="auto"/>
                        <w:bottom w:val="none" w:sz="0" w:space="0" w:color="auto"/>
                        <w:right w:val="none" w:sz="0" w:space="0" w:color="auto"/>
                      </w:divBdr>
                    </w:div>
                  </w:divsChild>
                </w:div>
                <w:div w:id="838271201">
                  <w:marLeft w:val="0"/>
                  <w:marRight w:val="0"/>
                  <w:marTop w:val="0"/>
                  <w:marBottom w:val="0"/>
                  <w:divBdr>
                    <w:top w:val="none" w:sz="0" w:space="0" w:color="auto"/>
                    <w:left w:val="none" w:sz="0" w:space="0" w:color="auto"/>
                    <w:bottom w:val="none" w:sz="0" w:space="0" w:color="auto"/>
                    <w:right w:val="none" w:sz="0" w:space="0" w:color="auto"/>
                  </w:divBdr>
                  <w:divsChild>
                    <w:div w:id="1686663084">
                      <w:marLeft w:val="0"/>
                      <w:marRight w:val="0"/>
                      <w:marTop w:val="0"/>
                      <w:marBottom w:val="0"/>
                      <w:divBdr>
                        <w:top w:val="none" w:sz="0" w:space="0" w:color="auto"/>
                        <w:left w:val="none" w:sz="0" w:space="0" w:color="auto"/>
                        <w:bottom w:val="none" w:sz="0" w:space="0" w:color="auto"/>
                        <w:right w:val="none" w:sz="0" w:space="0" w:color="auto"/>
                      </w:divBdr>
                    </w:div>
                  </w:divsChild>
                </w:div>
                <w:div w:id="1138913835">
                  <w:marLeft w:val="0"/>
                  <w:marRight w:val="0"/>
                  <w:marTop w:val="0"/>
                  <w:marBottom w:val="0"/>
                  <w:divBdr>
                    <w:top w:val="none" w:sz="0" w:space="0" w:color="auto"/>
                    <w:left w:val="none" w:sz="0" w:space="0" w:color="auto"/>
                    <w:bottom w:val="none" w:sz="0" w:space="0" w:color="auto"/>
                    <w:right w:val="none" w:sz="0" w:space="0" w:color="auto"/>
                  </w:divBdr>
                  <w:divsChild>
                    <w:div w:id="153305938">
                      <w:marLeft w:val="0"/>
                      <w:marRight w:val="0"/>
                      <w:marTop w:val="0"/>
                      <w:marBottom w:val="0"/>
                      <w:divBdr>
                        <w:top w:val="none" w:sz="0" w:space="0" w:color="auto"/>
                        <w:left w:val="none" w:sz="0" w:space="0" w:color="auto"/>
                        <w:bottom w:val="none" w:sz="0" w:space="0" w:color="auto"/>
                        <w:right w:val="none" w:sz="0" w:space="0" w:color="auto"/>
                      </w:divBdr>
                    </w:div>
                  </w:divsChild>
                </w:div>
                <w:div w:id="1453938981">
                  <w:marLeft w:val="0"/>
                  <w:marRight w:val="0"/>
                  <w:marTop w:val="0"/>
                  <w:marBottom w:val="0"/>
                  <w:divBdr>
                    <w:top w:val="none" w:sz="0" w:space="0" w:color="auto"/>
                    <w:left w:val="none" w:sz="0" w:space="0" w:color="auto"/>
                    <w:bottom w:val="none" w:sz="0" w:space="0" w:color="auto"/>
                    <w:right w:val="none" w:sz="0" w:space="0" w:color="auto"/>
                  </w:divBdr>
                  <w:divsChild>
                    <w:div w:id="259219582">
                      <w:marLeft w:val="0"/>
                      <w:marRight w:val="0"/>
                      <w:marTop w:val="0"/>
                      <w:marBottom w:val="0"/>
                      <w:divBdr>
                        <w:top w:val="none" w:sz="0" w:space="0" w:color="auto"/>
                        <w:left w:val="none" w:sz="0" w:space="0" w:color="auto"/>
                        <w:bottom w:val="none" w:sz="0" w:space="0" w:color="auto"/>
                        <w:right w:val="none" w:sz="0" w:space="0" w:color="auto"/>
                      </w:divBdr>
                    </w:div>
                  </w:divsChild>
                </w:div>
                <w:div w:id="1500460633">
                  <w:marLeft w:val="0"/>
                  <w:marRight w:val="0"/>
                  <w:marTop w:val="0"/>
                  <w:marBottom w:val="0"/>
                  <w:divBdr>
                    <w:top w:val="none" w:sz="0" w:space="0" w:color="auto"/>
                    <w:left w:val="none" w:sz="0" w:space="0" w:color="auto"/>
                    <w:bottom w:val="none" w:sz="0" w:space="0" w:color="auto"/>
                    <w:right w:val="none" w:sz="0" w:space="0" w:color="auto"/>
                  </w:divBdr>
                  <w:divsChild>
                    <w:div w:id="795029957">
                      <w:marLeft w:val="0"/>
                      <w:marRight w:val="0"/>
                      <w:marTop w:val="0"/>
                      <w:marBottom w:val="0"/>
                      <w:divBdr>
                        <w:top w:val="none" w:sz="0" w:space="0" w:color="auto"/>
                        <w:left w:val="none" w:sz="0" w:space="0" w:color="auto"/>
                        <w:bottom w:val="none" w:sz="0" w:space="0" w:color="auto"/>
                        <w:right w:val="none" w:sz="0" w:space="0" w:color="auto"/>
                      </w:divBdr>
                    </w:div>
                  </w:divsChild>
                </w:div>
                <w:div w:id="1512790819">
                  <w:marLeft w:val="0"/>
                  <w:marRight w:val="0"/>
                  <w:marTop w:val="0"/>
                  <w:marBottom w:val="0"/>
                  <w:divBdr>
                    <w:top w:val="none" w:sz="0" w:space="0" w:color="auto"/>
                    <w:left w:val="none" w:sz="0" w:space="0" w:color="auto"/>
                    <w:bottom w:val="none" w:sz="0" w:space="0" w:color="auto"/>
                    <w:right w:val="none" w:sz="0" w:space="0" w:color="auto"/>
                  </w:divBdr>
                  <w:divsChild>
                    <w:div w:id="1149446272">
                      <w:marLeft w:val="0"/>
                      <w:marRight w:val="0"/>
                      <w:marTop w:val="0"/>
                      <w:marBottom w:val="0"/>
                      <w:divBdr>
                        <w:top w:val="none" w:sz="0" w:space="0" w:color="auto"/>
                        <w:left w:val="none" w:sz="0" w:space="0" w:color="auto"/>
                        <w:bottom w:val="none" w:sz="0" w:space="0" w:color="auto"/>
                        <w:right w:val="none" w:sz="0" w:space="0" w:color="auto"/>
                      </w:divBdr>
                    </w:div>
                  </w:divsChild>
                </w:div>
                <w:div w:id="1610895030">
                  <w:marLeft w:val="0"/>
                  <w:marRight w:val="0"/>
                  <w:marTop w:val="0"/>
                  <w:marBottom w:val="0"/>
                  <w:divBdr>
                    <w:top w:val="none" w:sz="0" w:space="0" w:color="auto"/>
                    <w:left w:val="none" w:sz="0" w:space="0" w:color="auto"/>
                    <w:bottom w:val="none" w:sz="0" w:space="0" w:color="auto"/>
                    <w:right w:val="none" w:sz="0" w:space="0" w:color="auto"/>
                  </w:divBdr>
                  <w:divsChild>
                    <w:div w:id="1943301140">
                      <w:marLeft w:val="0"/>
                      <w:marRight w:val="0"/>
                      <w:marTop w:val="0"/>
                      <w:marBottom w:val="0"/>
                      <w:divBdr>
                        <w:top w:val="none" w:sz="0" w:space="0" w:color="auto"/>
                        <w:left w:val="none" w:sz="0" w:space="0" w:color="auto"/>
                        <w:bottom w:val="none" w:sz="0" w:space="0" w:color="auto"/>
                        <w:right w:val="none" w:sz="0" w:space="0" w:color="auto"/>
                      </w:divBdr>
                    </w:div>
                  </w:divsChild>
                </w:div>
                <w:div w:id="1671133989">
                  <w:marLeft w:val="0"/>
                  <w:marRight w:val="0"/>
                  <w:marTop w:val="0"/>
                  <w:marBottom w:val="0"/>
                  <w:divBdr>
                    <w:top w:val="none" w:sz="0" w:space="0" w:color="auto"/>
                    <w:left w:val="none" w:sz="0" w:space="0" w:color="auto"/>
                    <w:bottom w:val="none" w:sz="0" w:space="0" w:color="auto"/>
                    <w:right w:val="none" w:sz="0" w:space="0" w:color="auto"/>
                  </w:divBdr>
                  <w:divsChild>
                    <w:div w:id="902178648">
                      <w:marLeft w:val="0"/>
                      <w:marRight w:val="0"/>
                      <w:marTop w:val="0"/>
                      <w:marBottom w:val="0"/>
                      <w:divBdr>
                        <w:top w:val="none" w:sz="0" w:space="0" w:color="auto"/>
                        <w:left w:val="none" w:sz="0" w:space="0" w:color="auto"/>
                        <w:bottom w:val="none" w:sz="0" w:space="0" w:color="auto"/>
                        <w:right w:val="none" w:sz="0" w:space="0" w:color="auto"/>
                      </w:divBdr>
                    </w:div>
                  </w:divsChild>
                </w:div>
                <w:div w:id="1984776946">
                  <w:marLeft w:val="0"/>
                  <w:marRight w:val="0"/>
                  <w:marTop w:val="0"/>
                  <w:marBottom w:val="0"/>
                  <w:divBdr>
                    <w:top w:val="none" w:sz="0" w:space="0" w:color="auto"/>
                    <w:left w:val="none" w:sz="0" w:space="0" w:color="auto"/>
                    <w:bottom w:val="none" w:sz="0" w:space="0" w:color="auto"/>
                    <w:right w:val="none" w:sz="0" w:space="0" w:color="auto"/>
                  </w:divBdr>
                  <w:divsChild>
                    <w:div w:id="43791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50960">
          <w:marLeft w:val="0"/>
          <w:marRight w:val="0"/>
          <w:marTop w:val="0"/>
          <w:marBottom w:val="0"/>
          <w:divBdr>
            <w:top w:val="none" w:sz="0" w:space="0" w:color="auto"/>
            <w:left w:val="none" w:sz="0" w:space="0" w:color="auto"/>
            <w:bottom w:val="none" w:sz="0" w:space="0" w:color="auto"/>
            <w:right w:val="none" w:sz="0" w:space="0" w:color="auto"/>
          </w:divBdr>
          <w:divsChild>
            <w:div w:id="1515924490">
              <w:marLeft w:val="0"/>
              <w:marRight w:val="0"/>
              <w:marTop w:val="30"/>
              <w:marBottom w:val="30"/>
              <w:divBdr>
                <w:top w:val="none" w:sz="0" w:space="0" w:color="auto"/>
                <w:left w:val="none" w:sz="0" w:space="0" w:color="auto"/>
                <w:bottom w:val="none" w:sz="0" w:space="0" w:color="auto"/>
                <w:right w:val="none" w:sz="0" w:space="0" w:color="auto"/>
              </w:divBdr>
              <w:divsChild>
                <w:div w:id="8021150">
                  <w:marLeft w:val="0"/>
                  <w:marRight w:val="0"/>
                  <w:marTop w:val="0"/>
                  <w:marBottom w:val="0"/>
                  <w:divBdr>
                    <w:top w:val="none" w:sz="0" w:space="0" w:color="auto"/>
                    <w:left w:val="none" w:sz="0" w:space="0" w:color="auto"/>
                    <w:bottom w:val="none" w:sz="0" w:space="0" w:color="auto"/>
                    <w:right w:val="none" w:sz="0" w:space="0" w:color="auto"/>
                  </w:divBdr>
                  <w:divsChild>
                    <w:div w:id="1775712373">
                      <w:marLeft w:val="0"/>
                      <w:marRight w:val="0"/>
                      <w:marTop w:val="0"/>
                      <w:marBottom w:val="0"/>
                      <w:divBdr>
                        <w:top w:val="none" w:sz="0" w:space="0" w:color="auto"/>
                        <w:left w:val="none" w:sz="0" w:space="0" w:color="auto"/>
                        <w:bottom w:val="none" w:sz="0" w:space="0" w:color="auto"/>
                        <w:right w:val="none" w:sz="0" w:space="0" w:color="auto"/>
                      </w:divBdr>
                    </w:div>
                  </w:divsChild>
                </w:div>
                <w:div w:id="133450506">
                  <w:marLeft w:val="0"/>
                  <w:marRight w:val="0"/>
                  <w:marTop w:val="0"/>
                  <w:marBottom w:val="0"/>
                  <w:divBdr>
                    <w:top w:val="none" w:sz="0" w:space="0" w:color="auto"/>
                    <w:left w:val="none" w:sz="0" w:space="0" w:color="auto"/>
                    <w:bottom w:val="none" w:sz="0" w:space="0" w:color="auto"/>
                    <w:right w:val="none" w:sz="0" w:space="0" w:color="auto"/>
                  </w:divBdr>
                  <w:divsChild>
                    <w:div w:id="374893699">
                      <w:marLeft w:val="0"/>
                      <w:marRight w:val="0"/>
                      <w:marTop w:val="0"/>
                      <w:marBottom w:val="0"/>
                      <w:divBdr>
                        <w:top w:val="none" w:sz="0" w:space="0" w:color="auto"/>
                        <w:left w:val="none" w:sz="0" w:space="0" w:color="auto"/>
                        <w:bottom w:val="none" w:sz="0" w:space="0" w:color="auto"/>
                        <w:right w:val="none" w:sz="0" w:space="0" w:color="auto"/>
                      </w:divBdr>
                    </w:div>
                  </w:divsChild>
                </w:div>
                <w:div w:id="324941939">
                  <w:marLeft w:val="0"/>
                  <w:marRight w:val="0"/>
                  <w:marTop w:val="0"/>
                  <w:marBottom w:val="0"/>
                  <w:divBdr>
                    <w:top w:val="none" w:sz="0" w:space="0" w:color="auto"/>
                    <w:left w:val="none" w:sz="0" w:space="0" w:color="auto"/>
                    <w:bottom w:val="none" w:sz="0" w:space="0" w:color="auto"/>
                    <w:right w:val="none" w:sz="0" w:space="0" w:color="auto"/>
                  </w:divBdr>
                  <w:divsChild>
                    <w:div w:id="873804944">
                      <w:marLeft w:val="0"/>
                      <w:marRight w:val="0"/>
                      <w:marTop w:val="0"/>
                      <w:marBottom w:val="0"/>
                      <w:divBdr>
                        <w:top w:val="none" w:sz="0" w:space="0" w:color="auto"/>
                        <w:left w:val="none" w:sz="0" w:space="0" w:color="auto"/>
                        <w:bottom w:val="none" w:sz="0" w:space="0" w:color="auto"/>
                        <w:right w:val="none" w:sz="0" w:space="0" w:color="auto"/>
                      </w:divBdr>
                    </w:div>
                  </w:divsChild>
                </w:div>
                <w:div w:id="377706605">
                  <w:marLeft w:val="0"/>
                  <w:marRight w:val="0"/>
                  <w:marTop w:val="0"/>
                  <w:marBottom w:val="0"/>
                  <w:divBdr>
                    <w:top w:val="none" w:sz="0" w:space="0" w:color="auto"/>
                    <w:left w:val="none" w:sz="0" w:space="0" w:color="auto"/>
                    <w:bottom w:val="none" w:sz="0" w:space="0" w:color="auto"/>
                    <w:right w:val="none" w:sz="0" w:space="0" w:color="auto"/>
                  </w:divBdr>
                  <w:divsChild>
                    <w:div w:id="292173481">
                      <w:marLeft w:val="0"/>
                      <w:marRight w:val="0"/>
                      <w:marTop w:val="0"/>
                      <w:marBottom w:val="0"/>
                      <w:divBdr>
                        <w:top w:val="none" w:sz="0" w:space="0" w:color="auto"/>
                        <w:left w:val="none" w:sz="0" w:space="0" w:color="auto"/>
                        <w:bottom w:val="none" w:sz="0" w:space="0" w:color="auto"/>
                        <w:right w:val="none" w:sz="0" w:space="0" w:color="auto"/>
                      </w:divBdr>
                    </w:div>
                  </w:divsChild>
                </w:div>
                <w:div w:id="473836786">
                  <w:marLeft w:val="0"/>
                  <w:marRight w:val="0"/>
                  <w:marTop w:val="0"/>
                  <w:marBottom w:val="0"/>
                  <w:divBdr>
                    <w:top w:val="none" w:sz="0" w:space="0" w:color="auto"/>
                    <w:left w:val="none" w:sz="0" w:space="0" w:color="auto"/>
                    <w:bottom w:val="none" w:sz="0" w:space="0" w:color="auto"/>
                    <w:right w:val="none" w:sz="0" w:space="0" w:color="auto"/>
                  </w:divBdr>
                  <w:divsChild>
                    <w:div w:id="583497180">
                      <w:marLeft w:val="0"/>
                      <w:marRight w:val="0"/>
                      <w:marTop w:val="0"/>
                      <w:marBottom w:val="0"/>
                      <w:divBdr>
                        <w:top w:val="none" w:sz="0" w:space="0" w:color="auto"/>
                        <w:left w:val="none" w:sz="0" w:space="0" w:color="auto"/>
                        <w:bottom w:val="none" w:sz="0" w:space="0" w:color="auto"/>
                        <w:right w:val="none" w:sz="0" w:space="0" w:color="auto"/>
                      </w:divBdr>
                    </w:div>
                  </w:divsChild>
                </w:div>
                <w:div w:id="525363433">
                  <w:marLeft w:val="0"/>
                  <w:marRight w:val="0"/>
                  <w:marTop w:val="0"/>
                  <w:marBottom w:val="0"/>
                  <w:divBdr>
                    <w:top w:val="none" w:sz="0" w:space="0" w:color="auto"/>
                    <w:left w:val="none" w:sz="0" w:space="0" w:color="auto"/>
                    <w:bottom w:val="none" w:sz="0" w:space="0" w:color="auto"/>
                    <w:right w:val="none" w:sz="0" w:space="0" w:color="auto"/>
                  </w:divBdr>
                  <w:divsChild>
                    <w:div w:id="923992752">
                      <w:marLeft w:val="0"/>
                      <w:marRight w:val="0"/>
                      <w:marTop w:val="0"/>
                      <w:marBottom w:val="0"/>
                      <w:divBdr>
                        <w:top w:val="none" w:sz="0" w:space="0" w:color="auto"/>
                        <w:left w:val="none" w:sz="0" w:space="0" w:color="auto"/>
                        <w:bottom w:val="none" w:sz="0" w:space="0" w:color="auto"/>
                        <w:right w:val="none" w:sz="0" w:space="0" w:color="auto"/>
                      </w:divBdr>
                    </w:div>
                  </w:divsChild>
                </w:div>
                <w:div w:id="563639545">
                  <w:marLeft w:val="0"/>
                  <w:marRight w:val="0"/>
                  <w:marTop w:val="0"/>
                  <w:marBottom w:val="0"/>
                  <w:divBdr>
                    <w:top w:val="none" w:sz="0" w:space="0" w:color="auto"/>
                    <w:left w:val="none" w:sz="0" w:space="0" w:color="auto"/>
                    <w:bottom w:val="none" w:sz="0" w:space="0" w:color="auto"/>
                    <w:right w:val="none" w:sz="0" w:space="0" w:color="auto"/>
                  </w:divBdr>
                  <w:divsChild>
                    <w:div w:id="809127986">
                      <w:marLeft w:val="0"/>
                      <w:marRight w:val="0"/>
                      <w:marTop w:val="0"/>
                      <w:marBottom w:val="0"/>
                      <w:divBdr>
                        <w:top w:val="none" w:sz="0" w:space="0" w:color="auto"/>
                        <w:left w:val="none" w:sz="0" w:space="0" w:color="auto"/>
                        <w:bottom w:val="none" w:sz="0" w:space="0" w:color="auto"/>
                        <w:right w:val="none" w:sz="0" w:space="0" w:color="auto"/>
                      </w:divBdr>
                    </w:div>
                  </w:divsChild>
                </w:div>
                <w:div w:id="722027545">
                  <w:marLeft w:val="0"/>
                  <w:marRight w:val="0"/>
                  <w:marTop w:val="0"/>
                  <w:marBottom w:val="0"/>
                  <w:divBdr>
                    <w:top w:val="none" w:sz="0" w:space="0" w:color="auto"/>
                    <w:left w:val="none" w:sz="0" w:space="0" w:color="auto"/>
                    <w:bottom w:val="none" w:sz="0" w:space="0" w:color="auto"/>
                    <w:right w:val="none" w:sz="0" w:space="0" w:color="auto"/>
                  </w:divBdr>
                  <w:divsChild>
                    <w:div w:id="1599866571">
                      <w:marLeft w:val="0"/>
                      <w:marRight w:val="0"/>
                      <w:marTop w:val="0"/>
                      <w:marBottom w:val="0"/>
                      <w:divBdr>
                        <w:top w:val="none" w:sz="0" w:space="0" w:color="auto"/>
                        <w:left w:val="none" w:sz="0" w:space="0" w:color="auto"/>
                        <w:bottom w:val="none" w:sz="0" w:space="0" w:color="auto"/>
                        <w:right w:val="none" w:sz="0" w:space="0" w:color="auto"/>
                      </w:divBdr>
                    </w:div>
                  </w:divsChild>
                </w:div>
                <w:div w:id="774249882">
                  <w:marLeft w:val="0"/>
                  <w:marRight w:val="0"/>
                  <w:marTop w:val="0"/>
                  <w:marBottom w:val="0"/>
                  <w:divBdr>
                    <w:top w:val="none" w:sz="0" w:space="0" w:color="auto"/>
                    <w:left w:val="none" w:sz="0" w:space="0" w:color="auto"/>
                    <w:bottom w:val="none" w:sz="0" w:space="0" w:color="auto"/>
                    <w:right w:val="none" w:sz="0" w:space="0" w:color="auto"/>
                  </w:divBdr>
                  <w:divsChild>
                    <w:div w:id="1654528720">
                      <w:marLeft w:val="0"/>
                      <w:marRight w:val="0"/>
                      <w:marTop w:val="0"/>
                      <w:marBottom w:val="0"/>
                      <w:divBdr>
                        <w:top w:val="none" w:sz="0" w:space="0" w:color="auto"/>
                        <w:left w:val="none" w:sz="0" w:space="0" w:color="auto"/>
                        <w:bottom w:val="none" w:sz="0" w:space="0" w:color="auto"/>
                        <w:right w:val="none" w:sz="0" w:space="0" w:color="auto"/>
                      </w:divBdr>
                    </w:div>
                  </w:divsChild>
                </w:div>
                <w:div w:id="1034423768">
                  <w:marLeft w:val="0"/>
                  <w:marRight w:val="0"/>
                  <w:marTop w:val="0"/>
                  <w:marBottom w:val="0"/>
                  <w:divBdr>
                    <w:top w:val="none" w:sz="0" w:space="0" w:color="auto"/>
                    <w:left w:val="none" w:sz="0" w:space="0" w:color="auto"/>
                    <w:bottom w:val="none" w:sz="0" w:space="0" w:color="auto"/>
                    <w:right w:val="none" w:sz="0" w:space="0" w:color="auto"/>
                  </w:divBdr>
                  <w:divsChild>
                    <w:div w:id="913393854">
                      <w:marLeft w:val="0"/>
                      <w:marRight w:val="0"/>
                      <w:marTop w:val="0"/>
                      <w:marBottom w:val="0"/>
                      <w:divBdr>
                        <w:top w:val="none" w:sz="0" w:space="0" w:color="auto"/>
                        <w:left w:val="none" w:sz="0" w:space="0" w:color="auto"/>
                        <w:bottom w:val="none" w:sz="0" w:space="0" w:color="auto"/>
                        <w:right w:val="none" w:sz="0" w:space="0" w:color="auto"/>
                      </w:divBdr>
                    </w:div>
                  </w:divsChild>
                </w:div>
                <w:div w:id="1081213986">
                  <w:marLeft w:val="0"/>
                  <w:marRight w:val="0"/>
                  <w:marTop w:val="0"/>
                  <w:marBottom w:val="0"/>
                  <w:divBdr>
                    <w:top w:val="none" w:sz="0" w:space="0" w:color="auto"/>
                    <w:left w:val="none" w:sz="0" w:space="0" w:color="auto"/>
                    <w:bottom w:val="none" w:sz="0" w:space="0" w:color="auto"/>
                    <w:right w:val="none" w:sz="0" w:space="0" w:color="auto"/>
                  </w:divBdr>
                  <w:divsChild>
                    <w:div w:id="1569800151">
                      <w:marLeft w:val="0"/>
                      <w:marRight w:val="0"/>
                      <w:marTop w:val="0"/>
                      <w:marBottom w:val="0"/>
                      <w:divBdr>
                        <w:top w:val="none" w:sz="0" w:space="0" w:color="auto"/>
                        <w:left w:val="none" w:sz="0" w:space="0" w:color="auto"/>
                        <w:bottom w:val="none" w:sz="0" w:space="0" w:color="auto"/>
                        <w:right w:val="none" w:sz="0" w:space="0" w:color="auto"/>
                      </w:divBdr>
                    </w:div>
                  </w:divsChild>
                </w:div>
                <w:div w:id="1407533645">
                  <w:marLeft w:val="0"/>
                  <w:marRight w:val="0"/>
                  <w:marTop w:val="0"/>
                  <w:marBottom w:val="0"/>
                  <w:divBdr>
                    <w:top w:val="none" w:sz="0" w:space="0" w:color="auto"/>
                    <w:left w:val="none" w:sz="0" w:space="0" w:color="auto"/>
                    <w:bottom w:val="none" w:sz="0" w:space="0" w:color="auto"/>
                    <w:right w:val="none" w:sz="0" w:space="0" w:color="auto"/>
                  </w:divBdr>
                  <w:divsChild>
                    <w:div w:id="2098557352">
                      <w:marLeft w:val="0"/>
                      <w:marRight w:val="0"/>
                      <w:marTop w:val="0"/>
                      <w:marBottom w:val="0"/>
                      <w:divBdr>
                        <w:top w:val="none" w:sz="0" w:space="0" w:color="auto"/>
                        <w:left w:val="none" w:sz="0" w:space="0" w:color="auto"/>
                        <w:bottom w:val="none" w:sz="0" w:space="0" w:color="auto"/>
                        <w:right w:val="none" w:sz="0" w:space="0" w:color="auto"/>
                      </w:divBdr>
                    </w:div>
                  </w:divsChild>
                </w:div>
                <w:div w:id="1858497178">
                  <w:marLeft w:val="0"/>
                  <w:marRight w:val="0"/>
                  <w:marTop w:val="0"/>
                  <w:marBottom w:val="0"/>
                  <w:divBdr>
                    <w:top w:val="none" w:sz="0" w:space="0" w:color="auto"/>
                    <w:left w:val="none" w:sz="0" w:space="0" w:color="auto"/>
                    <w:bottom w:val="none" w:sz="0" w:space="0" w:color="auto"/>
                    <w:right w:val="none" w:sz="0" w:space="0" w:color="auto"/>
                  </w:divBdr>
                  <w:divsChild>
                    <w:div w:id="150298447">
                      <w:marLeft w:val="0"/>
                      <w:marRight w:val="0"/>
                      <w:marTop w:val="0"/>
                      <w:marBottom w:val="0"/>
                      <w:divBdr>
                        <w:top w:val="none" w:sz="0" w:space="0" w:color="auto"/>
                        <w:left w:val="none" w:sz="0" w:space="0" w:color="auto"/>
                        <w:bottom w:val="none" w:sz="0" w:space="0" w:color="auto"/>
                        <w:right w:val="none" w:sz="0" w:space="0" w:color="auto"/>
                      </w:divBdr>
                    </w:div>
                  </w:divsChild>
                </w:div>
                <w:div w:id="2094547751">
                  <w:marLeft w:val="0"/>
                  <w:marRight w:val="0"/>
                  <w:marTop w:val="0"/>
                  <w:marBottom w:val="0"/>
                  <w:divBdr>
                    <w:top w:val="none" w:sz="0" w:space="0" w:color="auto"/>
                    <w:left w:val="none" w:sz="0" w:space="0" w:color="auto"/>
                    <w:bottom w:val="none" w:sz="0" w:space="0" w:color="auto"/>
                    <w:right w:val="none" w:sz="0" w:space="0" w:color="auto"/>
                  </w:divBdr>
                  <w:divsChild>
                    <w:div w:id="173146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37024">
          <w:marLeft w:val="0"/>
          <w:marRight w:val="0"/>
          <w:marTop w:val="0"/>
          <w:marBottom w:val="0"/>
          <w:divBdr>
            <w:top w:val="none" w:sz="0" w:space="0" w:color="auto"/>
            <w:left w:val="none" w:sz="0" w:space="0" w:color="auto"/>
            <w:bottom w:val="none" w:sz="0" w:space="0" w:color="auto"/>
            <w:right w:val="none" w:sz="0" w:space="0" w:color="auto"/>
          </w:divBdr>
        </w:div>
        <w:div w:id="169420062">
          <w:marLeft w:val="0"/>
          <w:marRight w:val="0"/>
          <w:marTop w:val="0"/>
          <w:marBottom w:val="0"/>
          <w:divBdr>
            <w:top w:val="none" w:sz="0" w:space="0" w:color="auto"/>
            <w:left w:val="none" w:sz="0" w:space="0" w:color="auto"/>
            <w:bottom w:val="none" w:sz="0" w:space="0" w:color="auto"/>
            <w:right w:val="none" w:sz="0" w:space="0" w:color="auto"/>
          </w:divBdr>
        </w:div>
        <w:div w:id="339937641">
          <w:marLeft w:val="0"/>
          <w:marRight w:val="0"/>
          <w:marTop w:val="0"/>
          <w:marBottom w:val="0"/>
          <w:divBdr>
            <w:top w:val="none" w:sz="0" w:space="0" w:color="auto"/>
            <w:left w:val="none" w:sz="0" w:space="0" w:color="auto"/>
            <w:bottom w:val="none" w:sz="0" w:space="0" w:color="auto"/>
            <w:right w:val="none" w:sz="0" w:space="0" w:color="auto"/>
          </w:divBdr>
        </w:div>
        <w:div w:id="425543864">
          <w:marLeft w:val="0"/>
          <w:marRight w:val="0"/>
          <w:marTop w:val="0"/>
          <w:marBottom w:val="0"/>
          <w:divBdr>
            <w:top w:val="none" w:sz="0" w:space="0" w:color="auto"/>
            <w:left w:val="none" w:sz="0" w:space="0" w:color="auto"/>
            <w:bottom w:val="none" w:sz="0" w:space="0" w:color="auto"/>
            <w:right w:val="none" w:sz="0" w:space="0" w:color="auto"/>
          </w:divBdr>
          <w:divsChild>
            <w:div w:id="1667443512">
              <w:marLeft w:val="0"/>
              <w:marRight w:val="0"/>
              <w:marTop w:val="30"/>
              <w:marBottom w:val="30"/>
              <w:divBdr>
                <w:top w:val="none" w:sz="0" w:space="0" w:color="auto"/>
                <w:left w:val="none" w:sz="0" w:space="0" w:color="auto"/>
                <w:bottom w:val="none" w:sz="0" w:space="0" w:color="auto"/>
                <w:right w:val="none" w:sz="0" w:space="0" w:color="auto"/>
              </w:divBdr>
              <w:divsChild>
                <w:div w:id="1424448716">
                  <w:marLeft w:val="0"/>
                  <w:marRight w:val="0"/>
                  <w:marTop w:val="0"/>
                  <w:marBottom w:val="0"/>
                  <w:divBdr>
                    <w:top w:val="none" w:sz="0" w:space="0" w:color="auto"/>
                    <w:left w:val="none" w:sz="0" w:space="0" w:color="auto"/>
                    <w:bottom w:val="none" w:sz="0" w:space="0" w:color="auto"/>
                    <w:right w:val="none" w:sz="0" w:space="0" w:color="auto"/>
                  </w:divBdr>
                  <w:divsChild>
                    <w:div w:id="665521021">
                      <w:marLeft w:val="0"/>
                      <w:marRight w:val="0"/>
                      <w:marTop w:val="0"/>
                      <w:marBottom w:val="0"/>
                      <w:divBdr>
                        <w:top w:val="none" w:sz="0" w:space="0" w:color="auto"/>
                        <w:left w:val="none" w:sz="0" w:space="0" w:color="auto"/>
                        <w:bottom w:val="none" w:sz="0" w:space="0" w:color="auto"/>
                        <w:right w:val="none" w:sz="0" w:space="0" w:color="auto"/>
                      </w:divBdr>
                    </w:div>
                  </w:divsChild>
                </w:div>
                <w:div w:id="1917130074">
                  <w:marLeft w:val="0"/>
                  <w:marRight w:val="0"/>
                  <w:marTop w:val="0"/>
                  <w:marBottom w:val="0"/>
                  <w:divBdr>
                    <w:top w:val="none" w:sz="0" w:space="0" w:color="auto"/>
                    <w:left w:val="none" w:sz="0" w:space="0" w:color="auto"/>
                    <w:bottom w:val="none" w:sz="0" w:space="0" w:color="auto"/>
                    <w:right w:val="none" w:sz="0" w:space="0" w:color="auto"/>
                  </w:divBdr>
                  <w:divsChild>
                    <w:div w:id="12604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432437">
          <w:marLeft w:val="0"/>
          <w:marRight w:val="0"/>
          <w:marTop w:val="0"/>
          <w:marBottom w:val="0"/>
          <w:divBdr>
            <w:top w:val="none" w:sz="0" w:space="0" w:color="auto"/>
            <w:left w:val="none" w:sz="0" w:space="0" w:color="auto"/>
            <w:bottom w:val="none" w:sz="0" w:space="0" w:color="auto"/>
            <w:right w:val="none" w:sz="0" w:space="0" w:color="auto"/>
          </w:divBdr>
        </w:div>
        <w:div w:id="686752796">
          <w:marLeft w:val="0"/>
          <w:marRight w:val="0"/>
          <w:marTop w:val="0"/>
          <w:marBottom w:val="0"/>
          <w:divBdr>
            <w:top w:val="none" w:sz="0" w:space="0" w:color="auto"/>
            <w:left w:val="none" w:sz="0" w:space="0" w:color="auto"/>
            <w:bottom w:val="none" w:sz="0" w:space="0" w:color="auto"/>
            <w:right w:val="none" w:sz="0" w:space="0" w:color="auto"/>
          </w:divBdr>
          <w:divsChild>
            <w:div w:id="233440651">
              <w:marLeft w:val="0"/>
              <w:marRight w:val="0"/>
              <w:marTop w:val="30"/>
              <w:marBottom w:val="30"/>
              <w:divBdr>
                <w:top w:val="none" w:sz="0" w:space="0" w:color="auto"/>
                <w:left w:val="none" w:sz="0" w:space="0" w:color="auto"/>
                <w:bottom w:val="none" w:sz="0" w:space="0" w:color="auto"/>
                <w:right w:val="none" w:sz="0" w:space="0" w:color="auto"/>
              </w:divBdr>
              <w:divsChild>
                <w:div w:id="107702588">
                  <w:marLeft w:val="0"/>
                  <w:marRight w:val="0"/>
                  <w:marTop w:val="0"/>
                  <w:marBottom w:val="0"/>
                  <w:divBdr>
                    <w:top w:val="none" w:sz="0" w:space="0" w:color="auto"/>
                    <w:left w:val="none" w:sz="0" w:space="0" w:color="auto"/>
                    <w:bottom w:val="none" w:sz="0" w:space="0" w:color="auto"/>
                    <w:right w:val="none" w:sz="0" w:space="0" w:color="auto"/>
                  </w:divBdr>
                  <w:divsChild>
                    <w:div w:id="1694650701">
                      <w:marLeft w:val="0"/>
                      <w:marRight w:val="0"/>
                      <w:marTop w:val="0"/>
                      <w:marBottom w:val="0"/>
                      <w:divBdr>
                        <w:top w:val="none" w:sz="0" w:space="0" w:color="auto"/>
                        <w:left w:val="none" w:sz="0" w:space="0" w:color="auto"/>
                        <w:bottom w:val="none" w:sz="0" w:space="0" w:color="auto"/>
                        <w:right w:val="none" w:sz="0" w:space="0" w:color="auto"/>
                      </w:divBdr>
                    </w:div>
                  </w:divsChild>
                </w:div>
                <w:div w:id="537741834">
                  <w:marLeft w:val="0"/>
                  <w:marRight w:val="0"/>
                  <w:marTop w:val="0"/>
                  <w:marBottom w:val="0"/>
                  <w:divBdr>
                    <w:top w:val="none" w:sz="0" w:space="0" w:color="auto"/>
                    <w:left w:val="none" w:sz="0" w:space="0" w:color="auto"/>
                    <w:bottom w:val="none" w:sz="0" w:space="0" w:color="auto"/>
                    <w:right w:val="none" w:sz="0" w:space="0" w:color="auto"/>
                  </w:divBdr>
                  <w:divsChild>
                    <w:div w:id="905529256">
                      <w:marLeft w:val="0"/>
                      <w:marRight w:val="0"/>
                      <w:marTop w:val="0"/>
                      <w:marBottom w:val="0"/>
                      <w:divBdr>
                        <w:top w:val="none" w:sz="0" w:space="0" w:color="auto"/>
                        <w:left w:val="none" w:sz="0" w:space="0" w:color="auto"/>
                        <w:bottom w:val="none" w:sz="0" w:space="0" w:color="auto"/>
                        <w:right w:val="none" w:sz="0" w:space="0" w:color="auto"/>
                      </w:divBdr>
                    </w:div>
                    <w:div w:id="1021321491">
                      <w:marLeft w:val="0"/>
                      <w:marRight w:val="0"/>
                      <w:marTop w:val="0"/>
                      <w:marBottom w:val="0"/>
                      <w:divBdr>
                        <w:top w:val="none" w:sz="0" w:space="0" w:color="auto"/>
                        <w:left w:val="none" w:sz="0" w:space="0" w:color="auto"/>
                        <w:bottom w:val="none" w:sz="0" w:space="0" w:color="auto"/>
                        <w:right w:val="none" w:sz="0" w:space="0" w:color="auto"/>
                      </w:divBdr>
                    </w:div>
                    <w:div w:id="1195996709">
                      <w:marLeft w:val="0"/>
                      <w:marRight w:val="0"/>
                      <w:marTop w:val="0"/>
                      <w:marBottom w:val="0"/>
                      <w:divBdr>
                        <w:top w:val="none" w:sz="0" w:space="0" w:color="auto"/>
                        <w:left w:val="none" w:sz="0" w:space="0" w:color="auto"/>
                        <w:bottom w:val="none" w:sz="0" w:space="0" w:color="auto"/>
                        <w:right w:val="none" w:sz="0" w:space="0" w:color="auto"/>
                      </w:divBdr>
                    </w:div>
                    <w:div w:id="1896353981">
                      <w:marLeft w:val="0"/>
                      <w:marRight w:val="0"/>
                      <w:marTop w:val="0"/>
                      <w:marBottom w:val="0"/>
                      <w:divBdr>
                        <w:top w:val="none" w:sz="0" w:space="0" w:color="auto"/>
                        <w:left w:val="none" w:sz="0" w:space="0" w:color="auto"/>
                        <w:bottom w:val="none" w:sz="0" w:space="0" w:color="auto"/>
                        <w:right w:val="none" w:sz="0" w:space="0" w:color="auto"/>
                      </w:divBdr>
                    </w:div>
                  </w:divsChild>
                </w:div>
                <w:div w:id="575239635">
                  <w:marLeft w:val="0"/>
                  <w:marRight w:val="0"/>
                  <w:marTop w:val="0"/>
                  <w:marBottom w:val="0"/>
                  <w:divBdr>
                    <w:top w:val="none" w:sz="0" w:space="0" w:color="auto"/>
                    <w:left w:val="none" w:sz="0" w:space="0" w:color="auto"/>
                    <w:bottom w:val="none" w:sz="0" w:space="0" w:color="auto"/>
                    <w:right w:val="none" w:sz="0" w:space="0" w:color="auto"/>
                  </w:divBdr>
                  <w:divsChild>
                    <w:div w:id="857737000">
                      <w:marLeft w:val="0"/>
                      <w:marRight w:val="0"/>
                      <w:marTop w:val="0"/>
                      <w:marBottom w:val="0"/>
                      <w:divBdr>
                        <w:top w:val="none" w:sz="0" w:space="0" w:color="auto"/>
                        <w:left w:val="none" w:sz="0" w:space="0" w:color="auto"/>
                        <w:bottom w:val="none" w:sz="0" w:space="0" w:color="auto"/>
                        <w:right w:val="none" w:sz="0" w:space="0" w:color="auto"/>
                      </w:divBdr>
                    </w:div>
                  </w:divsChild>
                </w:div>
                <w:div w:id="1046099413">
                  <w:marLeft w:val="0"/>
                  <w:marRight w:val="0"/>
                  <w:marTop w:val="0"/>
                  <w:marBottom w:val="0"/>
                  <w:divBdr>
                    <w:top w:val="none" w:sz="0" w:space="0" w:color="auto"/>
                    <w:left w:val="none" w:sz="0" w:space="0" w:color="auto"/>
                    <w:bottom w:val="none" w:sz="0" w:space="0" w:color="auto"/>
                    <w:right w:val="none" w:sz="0" w:space="0" w:color="auto"/>
                  </w:divBdr>
                  <w:divsChild>
                    <w:div w:id="289747626">
                      <w:marLeft w:val="0"/>
                      <w:marRight w:val="0"/>
                      <w:marTop w:val="0"/>
                      <w:marBottom w:val="0"/>
                      <w:divBdr>
                        <w:top w:val="none" w:sz="0" w:space="0" w:color="auto"/>
                        <w:left w:val="none" w:sz="0" w:space="0" w:color="auto"/>
                        <w:bottom w:val="none" w:sz="0" w:space="0" w:color="auto"/>
                        <w:right w:val="none" w:sz="0" w:space="0" w:color="auto"/>
                      </w:divBdr>
                    </w:div>
                  </w:divsChild>
                </w:div>
                <w:div w:id="1962877126">
                  <w:marLeft w:val="0"/>
                  <w:marRight w:val="0"/>
                  <w:marTop w:val="0"/>
                  <w:marBottom w:val="0"/>
                  <w:divBdr>
                    <w:top w:val="none" w:sz="0" w:space="0" w:color="auto"/>
                    <w:left w:val="none" w:sz="0" w:space="0" w:color="auto"/>
                    <w:bottom w:val="none" w:sz="0" w:space="0" w:color="auto"/>
                    <w:right w:val="none" w:sz="0" w:space="0" w:color="auto"/>
                  </w:divBdr>
                  <w:divsChild>
                    <w:div w:id="1141535321">
                      <w:marLeft w:val="0"/>
                      <w:marRight w:val="0"/>
                      <w:marTop w:val="0"/>
                      <w:marBottom w:val="0"/>
                      <w:divBdr>
                        <w:top w:val="none" w:sz="0" w:space="0" w:color="auto"/>
                        <w:left w:val="none" w:sz="0" w:space="0" w:color="auto"/>
                        <w:bottom w:val="none" w:sz="0" w:space="0" w:color="auto"/>
                        <w:right w:val="none" w:sz="0" w:space="0" w:color="auto"/>
                      </w:divBdr>
                    </w:div>
                  </w:divsChild>
                </w:div>
                <w:div w:id="2067755651">
                  <w:marLeft w:val="0"/>
                  <w:marRight w:val="0"/>
                  <w:marTop w:val="0"/>
                  <w:marBottom w:val="0"/>
                  <w:divBdr>
                    <w:top w:val="none" w:sz="0" w:space="0" w:color="auto"/>
                    <w:left w:val="none" w:sz="0" w:space="0" w:color="auto"/>
                    <w:bottom w:val="none" w:sz="0" w:space="0" w:color="auto"/>
                    <w:right w:val="none" w:sz="0" w:space="0" w:color="auto"/>
                  </w:divBdr>
                  <w:divsChild>
                    <w:div w:id="67156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632972">
          <w:marLeft w:val="0"/>
          <w:marRight w:val="0"/>
          <w:marTop w:val="0"/>
          <w:marBottom w:val="0"/>
          <w:divBdr>
            <w:top w:val="none" w:sz="0" w:space="0" w:color="auto"/>
            <w:left w:val="none" w:sz="0" w:space="0" w:color="auto"/>
            <w:bottom w:val="none" w:sz="0" w:space="0" w:color="auto"/>
            <w:right w:val="none" w:sz="0" w:space="0" w:color="auto"/>
          </w:divBdr>
          <w:divsChild>
            <w:div w:id="1635672756">
              <w:marLeft w:val="0"/>
              <w:marRight w:val="0"/>
              <w:marTop w:val="30"/>
              <w:marBottom w:val="30"/>
              <w:divBdr>
                <w:top w:val="none" w:sz="0" w:space="0" w:color="auto"/>
                <w:left w:val="none" w:sz="0" w:space="0" w:color="auto"/>
                <w:bottom w:val="none" w:sz="0" w:space="0" w:color="auto"/>
                <w:right w:val="none" w:sz="0" w:space="0" w:color="auto"/>
              </w:divBdr>
              <w:divsChild>
                <w:div w:id="224338809">
                  <w:marLeft w:val="0"/>
                  <w:marRight w:val="0"/>
                  <w:marTop w:val="0"/>
                  <w:marBottom w:val="0"/>
                  <w:divBdr>
                    <w:top w:val="none" w:sz="0" w:space="0" w:color="auto"/>
                    <w:left w:val="none" w:sz="0" w:space="0" w:color="auto"/>
                    <w:bottom w:val="none" w:sz="0" w:space="0" w:color="auto"/>
                    <w:right w:val="none" w:sz="0" w:space="0" w:color="auto"/>
                  </w:divBdr>
                  <w:divsChild>
                    <w:div w:id="648243464">
                      <w:marLeft w:val="0"/>
                      <w:marRight w:val="0"/>
                      <w:marTop w:val="0"/>
                      <w:marBottom w:val="0"/>
                      <w:divBdr>
                        <w:top w:val="none" w:sz="0" w:space="0" w:color="auto"/>
                        <w:left w:val="none" w:sz="0" w:space="0" w:color="auto"/>
                        <w:bottom w:val="none" w:sz="0" w:space="0" w:color="auto"/>
                        <w:right w:val="none" w:sz="0" w:space="0" w:color="auto"/>
                      </w:divBdr>
                    </w:div>
                  </w:divsChild>
                </w:div>
                <w:div w:id="477110262">
                  <w:marLeft w:val="0"/>
                  <w:marRight w:val="0"/>
                  <w:marTop w:val="0"/>
                  <w:marBottom w:val="0"/>
                  <w:divBdr>
                    <w:top w:val="none" w:sz="0" w:space="0" w:color="auto"/>
                    <w:left w:val="none" w:sz="0" w:space="0" w:color="auto"/>
                    <w:bottom w:val="none" w:sz="0" w:space="0" w:color="auto"/>
                    <w:right w:val="none" w:sz="0" w:space="0" w:color="auto"/>
                  </w:divBdr>
                  <w:divsChild>
                    <w:div w:id="1145850352">
                      <w:marLeft w:val="0"/>
                      <w:marRight w:val="0"/>
                      <w:marTop w:val="0"/>
                      <w:marBottom w:val="0"/>
                      <w:divBdr>
                        <w:top w:val="none" w:sz="0" w:space="0" w:color="auto"/>
                        <w:left w:val="none" w:sz="0" w:space="0" w:color="auto"/>
                        <w:bottom w:val="none" w:sz="0" w:space="0" w:color="auto"/>
                        <w:right w:val="none" w:sz="0" w:space="0" w:color="auto"/>
                      </w:divBdr>
                    </w:div>
                  </w:divsChild>
                </w:div>
                <w:div w:id="533083652">
                  <w:marLeft w:val="0"/>
                  <w:marRight w:val="0"/>
                  <w:marTop w:val="0"/>
                  <w:marBottom w:val="0"/>
                  <w:divBdr>
                    <w:top w:val="none" w:sz="0" w:space="0" w:color="auto"/>
                    <w:left w:val="none" w:sz="0" w:space="0" w:color="auto"/>
                    <w:bottom w:val="none" w:sz="0" w:space="0" w:color="auto"/>
                    <w:right w:val="none" w:sz="0" w:space="0" w:color="auto"/>
                  </w:divBdr>
                  <w:divsChild>
                    <w:div w:id="1680153843">
                      <w:marLeft w:val="0"/>
                      <w:marRight w:val="0"/>
                      <w:marTop w:val="0"/>
                      <w:marBottom w:val="0"/>
                      <w:divBdr>
                        <w:top w:val="none" w:sz="0" w:space="0" w:color="auto"/>
                        <w:left w:val="none" w:sz="0" w:space="0" w:color="auto"/>
                        <w:bottom w:val="none" w:sz="0" w:space="0" w:color="auto"/>
                        <w:right w:val="none" w:sz="0" w:space="0" w:color="auto"/>
                      </w:divBdr>
                    </w:div>
                  </w:divsChild>
                </w:div>
                <w:div w:id="1730692335">
                  <w:marLeft w:val="0"/>
                  <w:marRight w:val="0"/>
                  <w:marTop w:val="0"/>
                  <w:marBottom w:val="0"/>
                  <w:divBdr>
                    <w:top w:val="none" w:sz="0" w:space="0" w:color="auto"/>
                    <w:left w:val="none" w:sz="0" w:space="0" w:color="auto"/>
                    <w:bottom w:val="none" w:sz="0" w:space="0" w:color="auto"/>
                    <w:right w:val="none" w:sz="0" w:space="0" w:color="auto"/>
                  </w:divBdr>
                  <w:divsChild>
                    <w:div w:id="687875084">
                      <w:marLeft w:val="0"/>
                      <w:marRight w:val="0"/>
                      <w:marTop w:val="0"/>
                      <w:marBottom w:val="0"/>
                      <w:divBdr>
                        <w:top w:val="none" w:sz="0" w:space="0" w:color="auto"/>
                        <w:left w:val="none" w:sz="0" w:space="0" w:color="auto"/>
                        <w:bottom w:val="none" w:sz="0" w:space="0" w:color="auto"/>
                        <w:right w:val="none" w:sz="0" w:space="0" w:color="auto"/>
                      </w:divBdr>
                    </w:div>
                    <w:div w:id="1066755764">
                      <w:marLeft w:val="0"/>
                      <w:marRight w:val="0"/>
                      <w:marTop w:val="0"/>
                      <w:marBottom w:val="0"/>
                      <w:divBdr>
                        <w:top w:val="none" w:sz="0" w:space="0" w:color="auto"/>
                        <w:left w:val="none" w:sz="0" w:space="0" w:color="auto"/>
                        <w:bottom w:val="none" w:sz="0" w:space="0" w:color="auto"/>
                        <w:right w:val="none" w:sz="0" w:space="0" w:color="auto"/>
                      </w:divBdr>
                    </w:div>
                    <w:div w:id="1584560542">
                      <w:marLeft w:val="0"/>
                      <w:marRight w:val="0"/>
                      <w:marTop w:val="0"/>
                      <w:marBottom w:val="0"/>
                      <w:divBdr>
                        <w:top w:val="none" w:sz="0" w:space="0" w:color="auto"/>
                        <w:left w:val="none" w:sz="0" w:space="0" w:color="auto"/>
                        <w:bottom w:val="none" w:sz="0" w:space="0" w:color="auto"/>
                        <w:right w:val="none" w:sz="0" w:space="0" w:color="auto"/>
                      </w:divBdr>
                    </w:div>
                    <w:div w:id="1859536029">
                      <w:marLeft w:val="0"/>
                      <w:marRight w:val="0"/>
                      <w:marTop w:val="0"/>
                      <w:marBottom w:val="0"/>
                      <w:divBdr>
                        <w:top w:val="none" w:sz="0" w:space="0" w:color="auto"/>
                        <w:left w:val="none" w:sz="0" w:space="0" w:color="auto"/>
                        <w:bottom w:val="none" w:sz="0" w:space="0" w:color="auto"/>
                        <w:right w:val="none" w:sz="0" w:space="0" w:color="auto"/>
                      </w:divBdr>
                    </w:div>
                    <w:div w:id="191839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926871">
          <w:marLeft w:val="0"/>
          <w:marRight w:val="0"/>
          <w:marTop w:val="0"/>
          <w:marBottom w:val="0"/>
          <w:divBdr>
            <w:top w:val="none" w:sz="0" w:space="0" w:color="auto"/>
            <w:left w:val="none" w:sz="0" w:space="0" w:color="auto"/>
            <w:bottom w:val="none" w:sz="0" w:space="0" w:color="auto"/>
            <w:right w:val="none" w:sz="0" w:space="0" w:color="auto"/>
          </w:divBdr>
        </w:div>
        <w:div w:id="1073162247">
          <w:marLeft w:val="0"/>
          <w:marRight w:val="0"/>
          <w:marTop w:val="0"/>
          <w:marBottom w:val="0"/>
          <w:divBdr>
            <w:top w:val="none" w:sz="0" w:space="0" w:color="auto"/>
            <w:left w:val="none" w:sz="0" w:space="0" w:color="auto"/>
            <w:bottom w:val="none" w:sz="0" w:space="0" w:color="auto"/>
            <w:right w:val="none" w:sz="0" w:space="0" w:color="auto"/>
          </w:divBdr>
        </w:div>
        <w:div w:id="1117870025">
          <w:marLeft w:val="0"/>
          <w:marRight w:val="0"/>
          <w:marTop w:val="0"/>
          <w:marBottom w:val="0"/>
          <w:divBdr>
            <w:top w:val="none" w:sz="0" w:space="0" w:color="auto"/>
            <w:left w:val="none" w:sz="0" w:space="0" w:color="auto"/>
            <w:bottom w:val="none" w:sz="0" w:space="0" w:color="auto"/>
            <w:right w:val="none" w:sz="0" w:space="0" w:color="auto"/>
          </w:divBdr>
          <w:divsChild>
            <w:div w:id="2058774704">
              <w:marLeft w:val="0"/>
              <w:marRight w:val="0"/>
              <w:marTop w:val="30"/>
              <w:marBottom w:val="30"/>
              <w:divBdr>
                <w:top w:val="none" w:sz="0" w:space="0" w:color="auto"/>
                <w:left w:val="none" w:sz="0" w:space="0" w:color="auto"/>
                <w:bottom w:val="none" w:sz="0" w:space="0" w:color="auto"/>
                <w:right w:val="none" w:sz="0" w:space="0" w:color="auto"/>
              </w:divBdr>
              <w:divsChild>
                <w:div w:id="573272470">
                  <w:marLeft w:val="0"/>
                  <w:marRight w:val="0"/>
                  <w:marTop w:val="0"/>
                  <w:marBottom w:val="0"/>
                  <w:divBdr>
                    <w:top w:val="none" w:sz="0" w:space="0" w:color="auto"/>
                    <w:left w:val="none" w:sz="0" w:space="0" w:color="auto"/>
                    <w:bottom w:val="none" w:sz="0" w:space="0" w:color="auto"/>
                    <w:right w:val="none" w:sz="0" w:space="0" w:color="auto"/>
                  </w:divBdr>
                  <w:divsChild>
                    <w:div w:id="1902860966">
                      <w:marLeft w:val="0"/>
                      <w:marRight w:val="0"/>
                      <w:marTop w:val="0"/>
                      <w:marBottom w:val="0"/>
                      <w:divBdr>
                        <w:top w:val="none" w:sz="0" w:space="0" w:color="auto"/>
                        <w:left w:val="none" w:sz="0" w:space="0" w:color="auto"/>
                        <w:bottom w:val="none" w:sz="0" w:space="0" w:color="auto"/>
                        <w:right w:val="none" w:sz="0" w:space="0" w:color="auto"/>
                      </w:divBdr>
                    </w:div>
                  </w:divsChild>
                </w:div>
                <w:div w:id="1929802181">
                  <w:marLeft w:val="0"/>
                  <w:marRight w:val="0"/>
                  <w:marTop w:val="0"/>
                  <w:marBottom w:val="0"/>
                  <w:divBdr>
                    <w:top w:val="none" w:sz="0" w:space="0" w:color="auto"/>
                    <w:left w:val="none" w:sz="0" w:space="0" w:color="auto"/>
                    <w:bottom w:val="none" w:sz="0" w:space="0" w:color="auto"/>
                    <w:right w:val="none" w:sz="0" w:space="0" w:color="auto"/>
                  </w:divBdr>
                  <w:divsChild>
                    <w:div w:id="65833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613888">
          <w:marLeft w:val="0"/>
          <w:marRight w:val="0"/>
          <w:marTop w:val="0"/>
          <w:marBottom w:val="0"/>
          <w:divBdr>
            <w:top w:val="none" w:sz="0" w:space="0" w:color="auto"/>
            <w:left w:val="none" w:sz="0" w:space="0" w:color="auto"/>
            <w:bottom w:val="none" w:sz="0" w:space="0" w:color="auto"/>
            <w:right w:val="none" w:sz="0" w:space="0" w:color="auto"/>
          </w:divBdr>
        </w:div>
        <w:div w:id="1339498482">
          <w:marLeft w:val="0"/>
          <w:marRight w:val="0"/>
          <w:marTop w:val="0"/>
          <w:marBottom w:val="0"/>
          <w:divBdr>
            <w:top w:val="none" w:sz="0" w:space="0" w:color="auto"/>
            <w:left w:val="none" w:sz="0" w:space="0" w:color="auto"/>
            <w:bottom w:val="none" w:sz="0" w:space="0" w:color="auto"/>
            <w:right w:val="none" w:sz="0" w:space="0" w:color="auto"/>
          </w:divBdr>
        </w:div>
        <w:div w:id="1365708865">
          <w:marLeft w:val="0"/>
          <w:marRight w:val="0"/>
          <w:marTop w:val="0"/>
          <w:marBottom w:val="0"/>
          <w:divBdr>
            <w:top w:val="none" w:sz="0" w:space="0" w:color="auto"/>
            <w:left w:val="none" w:sz="0" w:space="0" w:color="auto"/>
            <w:bottom w:val="none" w:sz="0" w:space="0" w:color="auto"/>
            <w:right w:val="none" w:sz="0" w:space="0" w:color="auto"/>
          </w:divBdr>
          <w:divsChild>
            <w:div w:id="828592416">
              <w:marLeft w:val="0"/>
              <w:marRight w:val="0"/>
              <w:marTop w:val="30"/>
              <w:marBottom w:val="30"/>
              <w:divBdr>
                <w:top w:val="none" w:sz="0" w:space="0" w:color="auto"/>
                <w:left w:val="none" w:sz="0" w:space="0" w:color="auto"/>
                <w:bottom w:val="none" w:sz="0" w:space="0" w:color="auto"/>
                <w:right w:val="none" w:sz="0" w:space="0" w:color="auto"/>
              </w:divBdr>
              <w:divsChild>
                <w:div w:id="683827060">
                  <w:marLeft w:val="0"/>
                  <w:marRight w:val="0"/>
                  <w:marTop w:val="0"/>
                  <w:marBottom w:val="0"/>
                  <w:divBdr>
                    <w:top w:val="none" w:sz="0" w:space="0" w:color="auto"/>
                    <w:left w:val="none" w:sz="0" w:space="0" w:color="auto"/>
                    <w:bottom w:val="none" w:sz="0" w:space="0" w:color="auto"/>
                    <w:right w:val="none" w:sz="0" w:space="0" w:color="auto"/>
                  </w:divBdr>
                  <w:divsChild>
                    <w:div w:id="642853205">
                      <w:marLeft w:val="0"/>
                      <w:marRight w:val="0"/>
                      <w:marTop w:val="0"/>
                      <w:marBottom w:val="0"/>
                      <w:divBdr>
                        <w:top w:val="none" w:sz="0" w:space="0" w:color="auto"/>
                        <w:left w:val="none" w:sz="0" w:space="0" w:color="auto"/>
                        <w:bottom w:val="none" w:sz="0" w:space="0" w:color="auto"/>
                        <w:right w:val="none" w:sz="0" w:space="0" w:color="auto"/>
                      </w:divBdr>
                    </w:div>
                  </w:divsChild>
                </w:div>
                <w:div w:id="1345940245">
                  <w:marLeft w:val="0"/>
                  <w:marRight w:val="0"/>
                  <w:marTop w:val="0"/>
                  <w:marBottom w:val="0"/>
                  <w:divBdr>
                    <w:top w:val="none" w:sz="0" w:space="0" w:color="auto"/>
                    <w:left w:val="none" w:sz="0" w:space="0" w:color="auto"/>
                    <w:bottom w:val="none" w:sz="0" w:space="0" w:color="auto"/>
                    <w:right w:val="none" w:sz="0" w:space="0" w:color="auto"/>
                  </w:divBdr>
                  <w:divsChild>
                    <w:div w:id="131224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804719">
          <w:marLeft w:val="0"/>
          <w:marRight w:val="0"/>
          <w:marTop w:val="0"/>
          <w:marBottom w:val="0"/>
          <w:divBdr>
            <w:top w:val="none" w:sz="0" w:space="0" w:color="auto"/>
            <w:left w:val="none" w:sz="0" w:space="0" w:color="auto"/>
            <w:bottom w:val="none" w:sz="0" w:space="0" w:color="auto"/>
            <w:right w:val="none" w:sz="0" w:space="0" w:color="auto"/>
          </w:divBdr>
          <w:divsChild>
            <w:div w:id="120609687">
              <w:marLeft w:val="0"/>
              <w:marRight w:val="0"/>
              <w:marTop w:val="30"/>
              <w:marBottom w:val="30"/>
              <w:divBdr>
                <w:top w:val="none" w:sz="0" w:space="0" w:color="auto"/>
                <w:left w:val="none" w:sz="0" w:space="0" w:color="auto"/>
                <w:bottom w:val="none" w:sz="0" w:space="0" w:color="auto"/>
                <w:right w:val="none" w:sz="0" w:space="0" w:color="auto"/>
              </w:divBdr>
              <w:divsChild>
                <w:div w:id="308093944">
                  <w:marLeft w:val="0"/>
                  <w:marRight w:val="0"/>
                  <w:marTop w:val="0"/>
                  <w:marBottom w:val="0"/>
                  <w:divBdr>
                    <w:top w:val="none" w:sz="0" w:space="0" w:color="auto"/>
                    <w:left w:val="none" w:sz="0" w:space="0" w:color="auto"/>
                    <w:bottom w:val="none" w:sz="0" w:space="0" w:color="auto"/>
                    <w:right w:val="none" w:sz="0" w:space="0" w:color="auto"/>
                  </w:divBdr>
                  <w:divsChild>
                    <w:div w:id="237325091">
                      <w:marLeft w:val="0"/>
                      <w:marRight w:val="0"/>
                      <w:marTop w:val="0"/>
                      <w:marBottom w:val="0"/>
                      <w:divBdr>
                        <w:top w:val="none" w:sz="0" w:space="0" w:color="auto"/>
                        <w:left w:val="none" w:sz="0" w:space="0" w:color="auto"/>
                        <w:bottom w:val="none" w:sz="0" w:space="0" w:color="auto"/>
                        <w:right w:val="none" w:sz="0" w:space="0" w:color="auto"/>
                      </w:divBdr>
                    </w:div>
                  </w:divsChild>
                </w:div>
                <w:div w:id="1031608623">
                  <w:marLeft w:val="0"/>
                  <w:marRight w:val="0"/>
                  <w:marTop w:val="0"/>
                  <w:marBottom w:val="0"/>
                  <w:divBdr>
                    <w:top w:val="none" w:sz="0" w:space="0" w:color="auto"/>
                    <w:left w:val="none" w:sz="0" w:space="0" w:color="auto"/>
                    <w:bottom w:val="none" w:sz="0" w:space="0" w:color="auto"/>
                    <w:right w:val="none" w:sz="0" w:space="0" w:color="auto"/>
                  </w:divBdr>
                  <w:divsChild>
                    <w:div w:id="1898279151">
                      <w:marLeft w:val="0"/>
                      <w:marRight w:val="0"/>
                      <w:marTop w:val="0"/>
                      <w:marBottom w:val="0"/>
                      <w:divBdr>
                        <w:top w:val="none" w:sz="0" w:space="0" w:color="auto"/>
                        <w:left w:val="none" w:sz="0" w:space="0" w:color="auto"/>
                        <w:bottom w:val="none" w:sz="0" w:space="0" w:color="auto"/>
                        <w:right w:val="none" w:sz="0" w:space="0" w:color="auto"/>
                      </w:divBdr>
                    </w:div>
                  </w:divsChild>
                </w:div>
                <w:div w:id="1183939219">
                  <w:marLeft w:val="0"/>
                  <w:marRight w:val="0"/>
                  <w:marTop w:val="0"/>
                  <w:marBottom w:val="0"/>
                  <w:divBdr>
                    <w:top w:val="none" w:sz="0" w:space="0" w:color="auto"/>
                    <w:left w:val="none" w:sz="0" w:space="0" w:color="auto"/>
                    <w:bottom w:val="none" w:sz="0" w:space="0" w:color="auto"/>
                    <w:right w:val="none" w:sz="0" w:space="0" w:color="auto"/>
                  </w:divBdr>
                  <w:divsChild>
                    <w:div w:id="312216789">
                      <w:marLeft w:val="0"/>
                      <w:marRight w:val="0"/>
                      <w:marTop w:val="0"/>
                      <w:marBottom w:val="0"/>
                      <w:divBdr>
                        <w:top w:val="none" w:sz="0" w:space="0" w:color="auto"/>
                        <w:left w:val="none" w:sz="0" w:space="0" w:color="auto"/>
                        <w:bottom w:val="none" w:sz="0" w:space="0" w:color="auto"/>
                        <w:right w:val="none" w:sz="0" w:space="0" w:color="auto"/>
                      </w:divBdr>
                    </w:div>
                  </w:divsChild>
                </w:div>
                <w:div w:id="1356543944">
                  <w:marLeft w:val="0"/>
                  <w:marRight w:val="0"/>
                  <w:marTop w:val="0"/>
                  <w:marBottom w:val="0"/>
                  <w:divBdr>
                    <w:top w:val="none" w:sz="0" w:space="0" w:color="auto"/>
                    <w:left w:val="none" w:sz="0" w:space="0" w:color="auto"/>
                    <w:bottom w:val="none" w:sz="0" w:space="0" w:color="auto"/>
                    <w:right w:val="none" w:sz="0" w:space="0" w:color="auto"/>
                  </w:divBdr>
                  <w:divsChild>
                    <w:div w:id="66277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773333">
          <w:marLeft w:val="0"/>
          <w:marRight w:val="0"/>
          <w:marTop w:val="0"/>
          <w:marBottom w:val="0"/>
          <w:divBdr>
            <w:top w:val="none" w:sz="0" w:space="0" w:color="auto"/>
            <w:left w:val="none" w:sz="0" w:space="0" w:color="auto"/>
            <w:bottom w:val="none" w:sz="0" w:space="0" w:color="auto"/>
            <w:right w:val="none" w:sz="0" w:space="0" w:color="auto"/>
          </w:divBdr>
        </w:div>
        <w:div w:id="1796630580">
          <w:marLeft w:val="0"/>
          <w:marRight w:val="0"/>
          <w:marTop w:val="0"/>
          <w:marBottom w:val="0"/>
          <w:divBdr>
            <w:top w:val="none" w:sz="0" w:space="0" w:color="auto"/>
            <w:left w:val="none" w:sz="0" w:space="0" w:color="auto"/>
            <w:bottom w:val="none" w:sz="0" w:space="0" w:color="auto"/>
            <w:right w:val="none" w:sz="0" w:space="0" w:color="auto"/>
          </w:divBdr>
        </w:div>
        <w:div w:id="1939869681">
          <w:marLeft w:val="0"/>
          <w:marRight w:val="0"/>
          <w:marTop w:val="0"/>
          <w:marBottom w:val="0"/>
          <w:divBdr>
            <w:top w:val="none" w:sz="0" w:space="0" w:color="auto"/>
            <w:left w:val="none" w:sz="0" w:space="0" w:color="auto"/>
            <w:bottom w:val="none" w:sz="0" w:space="0" w:color="auto"/>
            <w:right w:val="none" w:sz="0" w:space="0" w:color="auto"/>
          </w:divBdr>
          <w:divsChild>
            <w:div w:id="1223835989">
              <w:marLeft w:val="0"/>
              <w:marRight w:val="0"/>
              <w:marTop w:val="30"/>
              <w:marBottom w:val="30"/>
              <w:divBdr>
                <w:top w:val="none" w:sz="0" w:space="0" w:color="auto"/>
                <w:left w:val="none" w:sz="0" w:space="0" w:color="auto"/>
                <w:bottom w:val="none" w:sz="0" w:space="0" w:color="auto"/>
                <w:right w:val="none" w:sz="0" w:space="0" w:color="auto"/>
              </w:divBdr>
              <w:divsChild>
                <w:div w:id="480730730">
                  <w:marLeft w:val="0"/>
                  <w:marRight w:val="0"/>
                  <w:marTop w:val="0"/>
                  <w:marBottom w:val="0"/>
                  <w:divBdr>
                    <w:top w:val="none" w:sz="0" w:space="0" w:color="auto"/>
                    <w:left w:val="none" w:sz="0" w:space="0" w:color="auto"/>
                    <w:bottom w:val="none" w:sz="0" w:space="0" w:color="auto"/>
                    <w:right w:val="none" w:sz="0" w:space="0" w:color="auto"/>
                  </w:divBdr>
                  <w:divsChild>
                    <w:div w:id="1360010326">
                      <w:marLeft w:val="0"/>
                      <w:marRight w:val="0"/>
                      <w:marTop w:val="0"/>
                      <w:marBottom w:val="0"/>
                      <w:divBdr>
                        <w:top w:val="none" w:sz="0" w:space="0" w:color="auto"/>
                        <w:left w:val="none" w:sz="0" w:space="0" w:color="auto"/>
                        <w:bottom w:val="none" w:sz="0" w:space="0" w:color="auto"/>
                        <w:right w:val="none" w:sz="0" w:space="0" w:color="auto"/>
                      </w:divBdr>
                    </w:div>
                  </w:divsChild>
                </w:div>
                <w:div w:id="1607076724">
                  <w:marLeft w:val="0"/>
                  <w:marRight w:val="0"/>
                  <w:marTop w:val="0"/>
                  <w:marBottom w:val="0"/>
                  <w:divBdr>
                    <w:top w:val="none" w:sz="0" w:space="0" w:color="auto"/>
                    <w:left w:val="none" w:sz="0" w:space="0" w:color="auto"/>
                    <w:bottom w:val="none" w:sz="0" w:space="0" w:color="auto"/>
                    <w:right w:val="none" w:sz="0" w:space="0" w:color="auto"/>
                  </w:divBdr>
                  <w:divsChild>
                    <w:div w:id="942344051">
                      <w:marLeft w:val="0"/>
                      <w:marRight w:val="0"/>
                      <w:marTop w:val="0"/>
                      <w:marBottom w:val="0"/>
                      <w:divBdr>
                        <w:top w:val="none" w:sz="0" w:space="0" w:color="auto"/>
                        <w:left w:val="none" w:sz="0" w:space="0" w:color="auto"/>
                        <w:bottom w:val="none" w:sz="0" w:space="0" w:color="auto"/>
                        <w:right w:val="none" w:sz="0" w:space="0" w:color="auto"/>
                      </w:divBdr>
                    </w:div>
                  </w:divsChild>
                </w:div>
                <w:div w:id="1644114523">
                  <w:marLeft w:val="0"/>
                  <w:marRight w:val="0"/>
                  <w:marTop w:val="0"/>
                  <w:marBottom w:val="0"/>
                  <w:divBdr>
                    <w:top w:val="none" w:sz="0" w:space="0" w:color="auto"/>
                    <w:left w:val="none" w:sz="0" w:space="0" w:color="auto"/>
                    <w:bottom w:val="none" w:sz="0" w:space="0" w:color="auto"/>
                    <w:right w:val="none" w:sz="0" w:space="0" w:color="auto"/>
                  </w:divBdr>
                  <w:divsChild>
                    <w:div w:id="1971473643">
                      <w:marLeft w:val="0"/>
                      <w:marRight w:val="0"/>
                      <w:marTop w:val="0"/>
                      <w:marBottom w:val="0"/>
                      <w:divBdr>
                        <w:top w:val="none" w:sz="0" w:space="0" w:color="auto"/>
                        <w:left w:val="none" w:sz="0" w:space="0" w:color="auto"/>
                        <w:bottom w:val="none" w:sz="0" w:space="0" w:color="auto"/>
                        <w:right w:val="none" w:sz="0" w:space="0" w:color="auto"/>
                      </w:divBdr>
                    </w:div>
                  </w:divsChild>
                </w:div>
                <w:div w:id="1793858415">
                  <w:marLeft w:val="0"/>
                  <w:marRight w:val="0"/>
                  <w:marTop w:val="0"/>
                  <w:marBottom w:val="0"/>
                  <w:divBdr>
                    <w:top w:val="none" w:sz="0" w:space="0" w:color="auto"/>
                    <w:left w:val="none" w:sz="0" w:space="0" w:color="auto"/>
                    <w:bottom w:val="none" w:sz="0" w:space="0" w:color="auto"/>
                    <w:right w:val="none" w:sz="0" w:space="0" w:color="auto"/>
                  </w:divBdr>
                  <w:divsChild>
                    <w:div w:id="1488477236">
                      <w:marLeft w:val="0"/>
                      <w:marRight w:val="0"/>
                      <w:marTop w:val="0"/>
                      <w:marBottom w:val="0"/>
                      <w:divBdr>
                        <w:top w:val="none" w:sz="0" w:space="0" w:color="auto"/>
                        <w:left w:val="none" w:sz="0" w:space="0" w:color="auto"/>
                        <w:bottom w:val="none" w:sz="0" w:space="0" w:color="auto"/>
                        <w:right w:val="none" w:sz="0" w:space="0" w:color="auto"/>
                      </w:divBdr>
                    </w:div>
                  </w:divsChild>
                </w:div>
                <w:div w:id="2000423228">
                  <w:marLeft w:val="0"/>
                  <w:marRight w:val="0"/>
                  <w:marTop w:val="0"/>
                  <w:marBottom w:val="0"/>
                  <w:divBdr>
                    <w:top w:val="none" w:sz="0" w:space="0" w:color="auto"/>
                    <w:left w:val="none" w:sz="0" w:space="0" w:color="auto"/>
                    <w:bottom w:val="none" w:sz="0" w:space="0" w:color="auto"/>
                    <w:right w:val="none" w:sz="0" w:space="0" w:color="auto"/>
                  </w:divBdr>
                  <w:divsChild>
                    <w:div w:id="219249916">
                      <w:marLeft w:val="0"/>
                      <w:marRight w:val="0"/>
                      <w:marTop w:val="0"/>
                      <w:marBottom w:val="0"/>
                      <w:divBdr>
                        <w:top w:val="none" w:sz="0" w:space="0" w:color="auto"/>
                        <w:left w:val="none" w:sz="0" w:space="0" w:color="auto"/>
                        <w:bottom w:val="none" w:sz="0" w:space="0" w:color="auto"/>
                        <w:right w:val="none" w:sz="0" w:space="0" w:color="auto"/>
                      </w:divBdr>
                    </w:div>
                  </w:divsChild>
                </w:div>
                <w:div w:id="2042437759">
                  <w:marLeft w:val="0"/>
                  <w:marRight w:val="0"/>
                  <w:marTop w:val="0"/>
                  <w:marBottom w:val="0"/>
                  <w:divBdr>
                    <w:top w:val="none" w:sz="0" w:space="0" w:color="auto"/>
                    <w:left w:val="none" w:sz="0" w:space="0" w:color="auto"/>
                    <w:bottom w:val="none" w:sz="0" w:space="0" w:color="auto"/>
                    <w:right w:val="none" w:sz="0" w:space="0" w:color="auto"/>
                  </w:divBdr>
                  <w:divsChild>
                    <w:div w:id="194315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2969609">
      <w:bodyDiv w:val="1"/>
      <w:marLeft w:val="0"/>
      <w:marRight w:val="0"/>
      <w:marTop w:val="0"/>
      <w:marBottom w:val="0"/>
      <w:divBdr>
        <w:top w:val="none" w:sz="0" w:space="0" w:color="auto"/>
        <w:left w:val="none" w:sz="0" w:space="0" w:color="auto"/>
        <w:bottom w:val="none" w:sz="0" w:space="0" w:color="auto"/>
        <w:right w:val="none" w:sz="0" w:space="0" w:color="auto"/>
      </w:divBdr>
      <w:divsChild>
        <w:div w:id="1498233550">
          <w:marLeft w:val="0"/>
          <w:marRight w:val="0"/>
          <w:marTop w:val="0"/>
          <w:marBottom w:val="0"/>
          <w:divBdr>
            <w:top w:val="none" w:sz="0" w:space="0" w:color="auto"/>
            <w:left w:val="none" w:sz="0" w:space="0" w:color="auto"/>
            <w:bottom w:val="none" w:sz="0" w:space="0" w:color="auto"/>
            <w:right w:val="none" w:sz="0" w:space="0" w:color="auto"/>
          </w:divBdr>
          <w:divsChild>
            <w:div w:id="1247954901">
              <w:marLeft w:val="0"/>
              <w:marRight w:val="0"/>
              <w:marTop w:val="0"/>
              <w:marBottom w:val="0"/>
              <w:divBdr>
                <w:top w:val="none" w:sz="0" w:space="0" w:color="auto"/>
                <w:left w:val="none" w:sz="0" w:space="0" w:color="auto"/>
                <w:bottom w:val="none" w:sz="0" w:space="0" w:color="auto"/>
                <w:right w:val="none" w:sz="0" w:space="0" w:color="auto"/>
              </w:divBdr>
            </w:div>
            <w:div w:id="1367872746">
              <w:marLeft w:val="0"/>
              <w:marRight w:val="0"/>
              <w:marTop w:val="0"/>
              <w:marBottom w:val="0"/>
              <w:divBdr>
                <w:top w:val="none" w:sz="0" w:space="0" w:color="auto"/>
                <w:left w:val="none" w:sz="0" w:space="0" w:color="auto"/>
                <w:bottom w:val="none" w:sz="0" w:space="0" w:color="auto"/>
                <w:right w:val="none" w:sz="0" w:space="0" w:color="auto"/>
              </w:divBdr>
            </w:div>
          </w:divsChild>
        </w:div>
        <w:div w:id="1571192115">
          <w:marLeft w:val="0"/>
          <w:marRight w:val="0"/>
          <w:marTop w:val="0"/>
          <w:marBottom w:val="0"/>
          <w:divBdr>
            <w:top w:val="none" w:sz="0" w:space="0" w:color="auto"/>
            <w:left w:val="none" w:sz="0" w:space="0" w:color="auto"/>
            <w:bottom w:val="none" w:sz="0" w:space="0" w:color="auto"/>
            <w:right w:val="none" w:sz="0" w:space="0" w:color="auto"/>
          </w:divBdr>
          <w:divsChild>
            <w:div w:id="2052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011000">
      <w:bodyDiv w:val="1"/>
      <w:marLeft w:val="0"/>
      <w:marRight w:val="0"/>
      <w:marTop w:val="0"/>
      <w:marBottom w:val="0"/>
      <w:divBdr>
        <w:top w:val="none" w:sz="0" w:space="0" w:color="auto"/>
        <w:left w:val="none" w:sz="0" w:space="0" w:color="auto"/>
        <w:bottom w:val="none" w:sz="0" w:space="0" w:color="auto"/>
        <w:right w:val="none" w:sz="0" w:space="0" w:color="auto"/>
      </w:divBdr>
    </w:div>
    <w:div w:id="692879296">
      <w:bodyDiv w:val="1"/>
      <w:marLeft w:val="0"/>
      <w:marRight w:val="0"/>
      <w:marTop w:val="0"/>
      <w:marBottom w:val="0"/>
      <w:divBdr>
        <w:top w:val="none" w:sz="0" w:space="0" w:color="auto"/>
        <w:left w:val="none" w:sz="0" w:space="0" w:color="auto"/>
        <w:bottom w:val="none" w:sz="0" w:space="0" w:color="auto"/>
        <w:right w:val="none" w:sz="0" w:space="0" w:color="auto"/>
      </w:divBdr>
    </w:div>
    <w:div w:id="745686203">
      <w:bodyDiv w:val="1"/>
      <w:marLeft w:val="0"/>
      <w:marRight w:val="0"/>
      <w:marTop w:val="0"/>
      <w:marBottom w:val="0"/>
      <w:divBdr>
        <w:top w:val="none" w:sz="0" w:space="0" w:color="auto"/>
        <w:left w:val="none" w:sz="0" w:space="0" w:color="auto"/>
        <w:bottom w:val="none" w:sz="0" w:space="0" w:color="auto"/>
        <w:right w:val="none" w:sz="0" w:space="0" w:color="auto"/>
      </w:divBdr>
    </w:div>
    <w:div w:id="755831101">
      <w:bodyDiv w:val="1"/>
      <w:marLeft w:val="0"/>
      <w:marRight w:val="0"/>
      <w:marTop w:val="0"/>
      <w:marBottom w:val="0"/>
      <w:divBdr>
        <w:top w:val="none" w:sz="0" w:space="0" w:color="auto"/>
        <w:left w:val="none" w:sz="0" w:space="0" w:color="auto"/>
        <w:bottom w:val="none" w:sz="0" w:space="0" w:color="auto"/>
        <w:right w:val="none" w:sz="0" w:space="0" w:color="auto"/>
      </w:divBdr>
    </w:div>
    <w:div w:id="756823118">
      <w:bodyDiv w:val="1"/>
      <w:marLeft w:val="0"/>
      <w:marRight w:val="0"/>
      <w:marTop w:val="0"/>
      <w:marBottom w:val="0"/>
      <w:divBdr>
        <w:top w:val="none" w:sz="0" w:space="0" w:color="auto"/>
        <w:left w:val="none" w:sz="0" w:space="0" w:color="auto"/>
        <w:bottom w:val="none" w:sz="0" w:space="0" w:color="auto"/>
        <w:right w:val="none" w:sz="0" w:space="0" w:color="auto"/>
      </w:divBdr>
    </w:div>
    <w:div w:id="757141910">
      <w:bodyDiv w:val="1"/>
      <w:marLeft w:val="0"/>
      <w:marRight w:val="0"/>
      <w:marTop w:val="0"/>
      <w:marBottom w:val="0"/>
      <w:divBdr>
        <w:top w:val="none" w:sz="0" w:space="0" w:color="auto"/>
        <w:left w:val="none" w:sz="0" w:space="0" w:color="auto"/>
        <w:bottom w:val="none" w:sz="0" w:space="0" w:color="auto"/>
        <w:right w:val="none" w:sz="0" w:space="0" w:color="auto"/>
      </w:divBdr>
      <w:divsChild>
        <w:div w:id="28995945">
          <w:marLeft w:val="0"/>
          <w:marRight w:val="0"/>
          <w:marTop w:val="0"/>
          <w:marBottom w:val="0"/>
          <w:divBdr>
            <w:top w:val="none" w:sz="0" w:space="0" w:color="auto"/>
            <w:left w:val="none" w:sz="0" w:space="0" w:color="auto"/>
            <w:bottom w:val="none" w:sz="0" w:space="0" w:color="auto"/>
            <w:right w:val="none" w:sz="0" w:space="0" w:color="auto"/>
          </w:divBdr>
          <w:divsChild>
            <w:div w:id="1771968730">
              <w:marLeft w:val="0"/>
              <w:marRight w:val="0"/>
              <w:marTop w:val="30"/>
              <w:marBottom w:val="30"/>
              <w:divBdr>
                <w:top w:val="none" w:sz="0" w:space="0" w:color="auto"/>
                <w:left w:val="none" w:sz="0" w:space="0" w:color="auto"/>
                <w:bottom w:val="none" w:sz="0" w:space="0" w:color="auto"/>
                <w:right w:val="none" w:sz="0" w:space="0" w:color="auto"/>
              </w:divBdr>
              <w:divsChild>
                <w:div w:id="45642068">
                  <w:marLeft w:val="0"/>
                  <w:marRight w:val="0"/>
                  <w:marTop w:val="0"/>
                  <w:marBottom w:val="0"/>
                  <w:divBdr>
                    <w:top w:val="none" w:sz="0" w:space="0" w:color="auto"/>
                    <w:left w:val="none" w:sz="0" w:space="0" w:color="auto"/>
                    <w:bottom w:val="none" w:sz="0" w:space="0" w:color="auto"/>
                    <w:right w:val="none" w:sz="0" w:space="0" w:color="auto"/>
                  </w:divBdr>
                  <w:divsChild>
                    <w:div w:id="1833448645">
                      <w:marLeft w:val="0"/>
                      <w:marRight w:val="0"/>
                      <w:marTop w:val="0"/>
                      <w:marBottom w:val="0"/>
                      <w:divBdr>
                        <w:top w:val="none" w:sz="0" w:space="0" w:color="auto"/>
                        <w:left w:val="none" w:sz="0" w:space="0" w:color="auto"/>
                        <w:bottom w:val="none" w:sz="0" w:space="0" w:color="auto"/>
                        <w:right w:val="none" w:sz="0" w:space="0" w:color="auto"/>
                      </w:divBdr>
                    </w:div>
                  </w:divsChild>
                </w:div>
                <w:div w:id="223875784">
                  <w:marLeft w:val="0"/>
                  <w:marRight w:val="0"/>
                  <w:marTop w:val="0"/>
                  <w:marBottom w:val="0"/>
                  <w:divBdr>
                    <w:top w:val="none" w:sz="0" w:space="0" w:color="auto"/>
                    <w:left w:val="none" w:sz="0" w:space="0" w:color="auto"/>
                    <w:bottom w:val="none" w:sz="0" w:space="0" w:color="auto"/>
                    <w:right w:val="none" w:sz="0" w:space="0" w:color="auto"/>
                  </w:divBdr>
                  <w:divsChild>
                    <w:div w:id="447508545">
                      <w:marLeft w:val="0"/>
                      <w:marRight w:val="0"/>
                      <w:marTop w:val="0"/>
                      <w:marBottom w:val="0"/>
                      <w:divBdr>
                        <w:top w:val="none" w:sz="0" w:space="0" w:color="auto"/>
                        <w:left w:val="none" w:sz="0" w:space="0" w:color="auto"/>
                        <w:bottom w:val="none" w:sz="0" w:space="0" w:color="auto"/>
                        <w:right w:val="none" w:sz="0" w:space="0" w:color="auto"/>
                      </w:divBdr>
                    </w:div>
                  </w:divsChild>
                </w:div>
                <w:div w:id="1090006429">
                  <w:marLeft w:val="0"/>
                  <w:marRight w:val="0"/>
                  <w:marTop w:val="0"/>
                  <w:marBottom w:val="0"/>
                  <w:divBdr>
                    <w:top w:val="none" w:sz="0" w:space="0" w:color="auto"/>
                    <w:left w:val="none" w:sz="0" w:space="0" w:color="auto"/>
                    <w:bottom w:val="none" w:sz="0" w:space="0" w:color="auto"/>
                    <w:right w:val="none" w:sz="0" w:space="0" w:color="auto"/>
                  </w:divBdr>
                  <w:divsChild>
                    <w:div w:id="68500859">
                      <w:marLeft w:val="0"/>
                      <w:marRight w:val="0"/>
                      <w:marTop w:val="0"/>
                      <w:marBottom w:val="0"/>
                      <w:divBdr>
                        <w:top w:val="none" w:sz="0" w:space="0" w:color="auto"/>
                        <w:left w:val="none" w:sz="0" w:space="0" w:color="auto"/>
                        <w:bottom w:val="none" w:sz="0" w:space="0" w:color="auto"/>
                        <w:right w:val="none" w:sz="0" w:space="0" w:color="auto"/>
                      </w:divBdr>
                    </w:div>
                  </w:divsChild>
                </w:div>
                <w:div w:id="1151019112">
                  <w:marLeft w:val="0"/>
                  <w:marRight w:val="0"/>
                  <w:marTop w:val="0"/>
                  <w:marBottom w:val="0"/>
                  <w:divBdr>
                    <w:top w:val="none" w:sz="0" w:space="0" w:color="auto"/>
                    <w:left w:val="none" w:sz="0" w:space="0" w:color="auto"/>
                    <w:bottom w:val="none" w:sz="0" w:space="0" w:color="auto"/>
                    <w:right w:val="none" w:sz="0" w:space="0" w:color="auto"/>
                  </w:divBdr>
                  <w:divsChild>
                    <w:div w:id="1546526867">
                      <w:marLeft w:val="0"/>
                      <w:marRight w:val="0"/>
                      <w:marTop w:val="0"/>
                      <w:marBottom w:val="0"/>
                      <w:divBdr>
                        <w:top w:val="none" w:sz="0" w:space="0" w:color="auto"/>
                        <w:left w:val="none" w:sz="0" w:space="0" w:color="auto"/>
                        <w:bottom w:val="none" w:sz="0" w:space="0" w:color="auto"/>
                        <w:right w:val="none" w:sz="0" w:space="0" w:color="auto"/>
                      </w:divBdr>
                    </w:div>
                  </w:divsChild>
                </w:div>
                <w:div w:id="2072802209">
                  <w:marLeft w:val="0"/>
                  <w:marRight w:val="0"/>
                  <w:marTop w:val="0"/>
                  <w:marBottom w:val="0"/>
                  <w:divBdr>
                    <w:top w:val="none" w:sz="0" w:space="0" w:color="auto"/>
                    <w:left w:val="none" w:sz="0" w:space="0" w:color="auto"/>
                    <w:bottom w:val="none" w:sz="0" w:space="0" w:color="auto"/>
                    <w:right w:val="none" w:sz="0" w:space="0" w:color="auto"/>
                  </w:divBdr>
                  <w:divsChild>
                    <w:div w:id="185754744">
                      <w:marLeft w:val="0"/>
                      <w:marRight w:val="0"/>
                      <w:marTop w:val="0"/>
                      <w:marBottom w:val="0"/>
                      <w:divBdr>
                        <w:top w:val="none" w:sz="0" w:space="0" w:color="auto"/>
                        <w:left w:val="none" w:sz="0" w:space="0" w:color="auto"/>
                        <w:bottom w:val="none" w:sz="0" w:space="0" w:color="auto"/>
                        <w:right w:val="none" w:sz="0" w:space="0" w:color="auto"/>
                      </w:divBdr>
                    </w:div>
                  </w:divsChild>
                </w:div>
                <w:div w:id="2103337160">
                  <w:marLeft w:val="0"/>
                  <w:marRight w:val="0"/>
                  <w:marTop w:val="0"/>
                  <w:marBottom w:val="0"/>
                  <w:divBdr>
                    <w:top w:val="none" w:sz="0" w:space="0" w:color="auto"/>
                    <w:left w:val="none" w:sz="0" w:space="0" w:color="auto"/>
                    <w:bottom w:val="none" w:sz="0" w:space="0" w:color="auto"/>
                    <w:right w:val="none" w:sz="0" w:space="0" w:color="auto"/>
                  </w:divBdr>
                  <w:divsChild>
                    <w:div w:id="67522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15583">
          <w:marLeft w:val="0"/>
          <w:marRight w:val="0"/>
          <w:marTop w:val="0"/>
          <w:marBottom w:val="0"/>
          <w:divBdr>
            <w:top w:val="none" w:sz="0" w:space="0" w:color="auto"/>
            <w:left w:val="none" w:sz="0" w:space="0" w:color="auto"/>
            <w:bottom w:val="none" w:sz="0" w:space="0" w:color="auto"/>
            <w:right w:val="none" w:sz="0" w:space="0" w:color="auto"/>
          </w:divBdr>
          <w:divsChild>
            <w:div w:id="1853714930">
              <w:marLeft w:val="0"/>
              <w:marRight w:val="0"/>
              <w:marTop w:val="0"/>
              <w:marBottom w:val="0"/>
              <w:divBdr>
                <w:top w:val="none" w:sz="0" w:space="0" w:color="auto"/>
                <w:left w:val="none" w:sz="0" w:space="0" w:color="auto"/>
                <w:bottom w:val="none" w:sz="0" w:space="0" w:color="auto"/>
                <w:right w:val="none" w:sz="0" w:space="0" w:color="auto"/>
              </w:divBdr>
            </w:div>
            <w:div w:id="2042974921">
              <w:marLeft w:val="0"/>
              <w:marRight w:val="0"/>
              <w:marTop w:val="0"/>
              <w:marBottom w:val="0"/>
              <w:divBdr>
                <w:top w:val="none" w:sz="0" w:space="0" w:color="auto"/>
                <w:left w:val="none" w:sz="0" w:space="0" w:color="auto"/>
                <w:bottom w:val="none" w:sz="0" w:space="0" w:color="auto"/>
                <w:right w:val="none" w:sz="0" w:space="0" w:color="auto"/>
              </w:divBdr>
            </w:div>
            <w:div w:id="2111310369">
              <w:marLeft w:val="0"/>
              <w:marRight w:val="0"/>
              <w:marTop w:val="0"/>
              <w:marBottom w:val="0"/>
              <w:divBdr>
                <w:top w:val="none" w:sz="0" w:space="0" w:color="auto"/>
                <w:left w:val="none" w:sz="0" w:space="0" w:color="auto"/>
                <w:bottom w:val="none" w:sz="0" w:space="0" w:color="auto"/>
                <w:right w:val="none" w:sz="0" w:space="0" w:color="auto"/>
              </w:divBdr>
            </w:div>
          </w:divsChild>
        </w:div>
        <w:div w:id="53624734">
          <w:marLeft w:val="0"/>
          <w:marRight w:val="0"/>
          <w:marTop w:val="0"/>
          <w:marBottom w:val="0"/>
          <w:divBdr>
            <w:top w:val="none" w:sz="0" w:space="0" w:color="auto"/>
            <w:left w:val="none" w:sz="0" w:space="0" w:color="auto"/>
            <w:bottom w:val="none" w:sz="0" w:space="0" w:color="auto"/>
            <w:right w:val="none" w:sz="0" w:space="0" w:color="auto"/>
          </w:divBdr>
          <w:divsChild>
            <w:div w:id="268045303">
              <w:marLeft w:val="0"/>
              <w:marRight w:val="0"/>
              <w:marTop w:val="30"/>
              <w:marBottom w:val="30"/>
              <w:divBdr>
                <w:top w:val="none" w:sz="0" w:space="0" w:color="auto"/>
                <w:left w:val="none" w:sz="0" w:space="0" w:color="auto"/>
                <w:bottom w:val="none" w:sz="0" w:space="0" w:color="auto"/>
                <w:right w:val="none" w:sz="0" w:space="0" w:color="auto"/>
              </w:divBdr>
              <w:divsChild>
                <w:div w:id="166793414">
                  <w:marLeft w:val="0"/>
                  <w:marRight w:val="0"/>
                  <w:marTop w:val="0"/>
                  <w:marBottom w:val="0"/>
                  <w:divBdr>
                    <w:top w:val="none" w:sz="0" w:space="0" w:color="auto"/>
                    <w:left w:val="none" w:sz="0" w:space="0" w:color="auto"/>
                    <w:bottom w:val="none" w:sz="0" w:space="0" w:color="auto"/>
                    <w:right w:val="none" w:sz="0" w:space="0" w:color="auto"/>
                  </w:divBdr>
                  <w:divsChild>
                    <w:div w:id="231353834">
                      <w:marLeft w:val="0"/>
                      <w:marRight w:val="0"/>
                      <w:marTop w:val="0"/>
                      <w:marBottom w:val="0"/>
                      <w:divBdr>
                        <w:top w:val="none" w:sz="0" w:space="0" w:color="auto"/>
                        <w:left w:val="none" w:sz="0" w:space="0" w:color="auto"/>
                        <w:bottom w:val="none" w:sz="0" w:space="0" w:color="auto"/>
                        <w:right w:val="none" w:sz="0" w:space="0" w:color="auto"/>
                      </w:divBdr>
                    </w:div>
                  </w:divsChild>
                </w:div>
                <w:div w:id="435751895">
                  <w:marLeft w:val="0"/>
                  <w:marRight w:val="0"/>
                  <w:marTop w:val="0"/>
                  <w:marBottom w:val="0"/>
                  <w:divBdr>
                    <w:top w:val="none" w:sz="0" w:space="0" w:color="auto"/>
                    <w:left w:val="none" w:sz="0" w:space="0" w:color="auto"/>
                    <w:bottom w:val="none" w:sz="0" w:space="0" w:color="auto"/>
                    <w:right w:val="none" w:sz="0" w:space="0" w:color="auto"/>
                  </w:divBdr>
                  <w:divsChild>
                    <w:div w:id="213471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26934">
          <w:marLeft w:val="0"/>
          <w:marRight w:val="0"/>
          <w:marTop w:val="0"/>
          <w:marBottom w:val="0"/>
          <w:divBdr>
            <w:top w:val="none" w:sz="0" w:space="0" w:color="auto"/>
            <w:left w:val="none" w:sz="0" w:space="0" w:color="auto"/>
            <w:bottom w:val="none" w:sz="0" w:space="0" w:color="auto"/>
            <w:right w:val="none" w:sz="0" w:space="0" w:color="auto"/>
          </w:divBdr>
        </w:div>
        <w:div w:id="483938382">
          <w:marLeft w:val="0"/>
          <w:marRight w:val="0"/>
          <w:marTop w:val="0"/>
          <w:marBottom w:val="0"/>
          <w:divBdr>
            <w:top w:val="none" w:sz="0" w:space="0" w:color="auto"/>
            <w:left w:val="none" w:sz="0" w:space="0" w:color="auto"/>
            <w:bottom w:val="none" w:sz="0" w:space="0" w:color="auto"/>
            <w:right w:val="none" w:sz="0" w:space="0" w:color="auto"/>
          </w:divBdr>
          <w:divsChild>
            <w:div w:id="885289669">
              <w:marLeft w:val="0"/>
              <w:marRight w:val="0"/>
              <w:marTop w:val="30"/>
              <w:marBottom w:val="30"/>
              <w:divBdr>
                <w:top w:val="none" w:sz="0" w:space="0" w:color="auto"/>
                <w:left w:val="none" w:sz="0" w:space="0" w:color="auto"/>
                <w:bottom w:val="none" w:sz="0" w:space="0" w:color="auto"/>
                <w:right w:val="none" w:sz="0" w:space="0" w:color="auto"/>
              </w:divBdr>
              <w:divsChild>
                <w:div w:id="3482314">
                  <w:marLeft w:val="0"/>
                  <w:marRight w:val="0"/>
                  <w:marTop w:val="0"/>
                  <w:marBottom w:val="0"/>
                  <w:divBdr>
                    <w:top w:val="none" w:sz="0" w:space="0" w:color="auto"/>
                    <w:left w:val="none" w:sz="0" w:space="0" w:color="auto"/>
                    <w:bottom w:val="none" w:sz="0" w:space="0" w:color="auto"/>
                    <w:right w:val="none" w:sz="0" w:space="0" w:color="auto"/>
                  </w:divBdr>
                  <w:divsChild>
                    <w:div w:id="415398106">
                      <w:marLeft w:val="0"/>
                      <w:marRight w:val="0"/>
                      <w:marTop w:val="0"/>
                      <w:marBottom w:val="0"/>
                      <w:divBdr>
                        <w:top w:val="none" w:sz="0" w:space="0" w:color="auto"/>
                        <w:left w:val="none" w:sz="0" w:space="0" w:color="auto"/>
                        <w:bottom w:val="none" w:sz="0" w:space="0" w:color="auto"/>
                        <w:right w:val="none" w:sz="0" w:space="0" w:color="auto"/>
                      </w:divBdr>
                    </w:div>
                  </w:divsChild>
                </w:div>
                <w:div w:id="363363340">
                  <w:marLeft w:val="0"/>
                  <w:marRight w:val="0"/>
                  <w:marTop w:val="0"/>
                  <w:marBottom w:val="0"/>
                  <w:divBdr>
                    <w:top w:val="none" w:sz="0" w:space="0" w:color="auto"/>
                    <w:left w:val="none" w:sz="0" w:space="0" w:color="auto"/>
                    <w:bottom w:val="none" w:sz="0" w:space="0" w:color="auto"/>
                    <w:right w:val="none" w:sz="0" w:space="0" w:color="auto"/>
                  </w:divBdr>
                  <w:divsChild>
                    <w:div w:id="609364452">
                      <w:marLeft w:val="0"/>
                      <w:marRight w:val="0"/>
                      <w:marTop w:val="0"/>
                      <w:marBottom w:val="0"/>
                      <w:divBdr>
                        <w:top w:val="none" w:sz="0" w:space="0" w:color="auto"/>
                        <w:left w:val="none" w:sz="0" w:space="0" w:color="auto"/>
                        <w:bottom w:val="none" w:sz="0" w:space="0" w:color="auto"/>
                        <w:right w:val="none" w:sz="0" w:space="0" w:color="auto"/>
                      </w:divBdr>
                    </w:div>
                  </w:divsChild>
                </w:div>
                <w:div w:id="566185747">
                  <w:marLeft w:val="0"/>
                  <w:marRight w:val="0"/>
                  <w:marTop w:val="0"/>
                  <w:marBottom w:val="0"/>
                  <w:divBdr>
                    <w:top w:val="none" w:sz="0" w:space="0" w:color="auto"/>
                    <w:left w:val="none" w:sz="0" w:space="0" w:color="auto"/>
                    <w:bottom w:val="none" w:sz="0" w:space="0" w:color="auto"/>
                    <w:right w:val="none" w:sz="0" w:space="0" w:color="auto"/>
                  </w:divBdr>
                  <w:divsChild>
                    <w:div w:id="1781219877">
                      <w:marLeft w:val="0"/>
                      <w:marRight w:val="0"/>
                      <w:marTop w:val="0"/>
                      <w:marBottom w:val="0"/>
                      <w:divBdr>
                        <w:top w:val="none" w:sz="0" w:space="0" w:color="auto"/>
                        <w:left w:val="none" w:sz="0" w:space="0" w:color="auto"/>
                        <w:bottom w:val="none" w:sz="0" w:space="0" w:color="auto"/>
                        <w:right w:val="none" w:sz="0" w:space="0" w:color="auto"/>
                      </w:divBdr>
                    </w:div>
                  </w:divsChild>
                </w:div>
                <w:div w:id="674917386">
                  <w:marLeft w:val="0"/>
                  <w:marRight w:val="0"/>
                  <w:marTop w:val="0"/>
                  <w:marBottom w:val="0"/>
                  <w:divBdr>
                    <w:top w:val="none" w:sz="0" w:space="0" w:color="auto"/>
                    <w:left w:val="none" w:sz="0" w:space="0" w:color="auto"/>
                    <w:bottom w:val="none" w:sz="0" w:space="0" w:color="auto"/>
                    <w:right w:val="none" w:sz="0" w:space="0" w:color="auto"/>
                  </w:divBdr>
                  <w:divsChild>
                    <w:div w:id="165768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996159">
          <w:marLeft w:val="0"/>
          <w:marRight w:val="0"/>
          <w:marTop w:val="0"/>
          <w:marBottom w:val="0"/>
          <w:divBdr>
            <w:top w:val="none" w:sz="0" w:space="0" w:color="auto"/>
            <w:left w:val="none" w:sz="0" w:space="0" w:color="auto"/>
            <w:bottom w:val="none" w:sz="0" w:space="0" w:color="auto"/>
            <w:right w:val="none" w:sz="0" w:space="0" w:color="auto"/>
          </w:divBdr>
        </w:div>
        <w:div w:id="600258675">
          <w:marLeft w:val="0"/>
          <w:marRight w:val="0"/>
          <w:marTop w:val="0"/>
          <w:marBottom w:val="0"/>
          <w:divBdr>
            <w:top w:val="none" w:sz="0" w:space="0" w:color="auto"/>
            <w:left w:val="none" w:sz="0" w:space="0" w:color="auto"/>
            <w:bottom w:val="none" w:sz="0" w:space="0" w:color="auto"/>
            <w:right w:val="none" w:sz="0" w:space="0" w:color="auto"/>
          </w:divBdr>
          <w:divsChild>
            <w:div w:id="621421596">
              <w:marLeft w:val="0"/>
              <w:marRight w:val="0"/>
              <w:marTop w:val="0"/>
              <w:marBottom w:val="0"/>
              <w:divBdr>
                <w:top w:val="none" w:sz="0" w:space="0" w:color="auto"/>
                <w:left w:val="none" w:sz="0" w:space="0" w:color="auto"/>
                <w:bottom w:val="none" w:sz="0" w:space="0" w:color="auto"/>
                <w:right w:val="none" w:sz="0" w:space="0" w:color="auto"/>
              </w:divBdr>
            </w:div>
            <w:div w:id="1155342516">
              <w:marLeft w:val="0"/>
              <w:marRight w:val="0"/>
              <w:marTop w:val="0"/>
              <w:marBottom w:val="0"/>
              <w:divBdr>
                <w:top w:val="none" w:sz="0" w:space="0" w:color="auto"/>
                <w:left w:val="none" w:sz="0" w:space="0" w:color="auto"/>
                <w:bottom w:val="none" w:sz="0" w:space="0" w:color="auto"/>
                <w:right w:val="none" w:sz="0" w:space="0" w:color="auto"/>
              </w:divBdr>
            </w:div>
            <w:div w:id="1439443480">
              <w:marLeft w:val="0"/>
              <w:marRight w:val="0"/>
              <w:marTop w:val="0"/>
              <w:marBottom w:val="0"/>
              <w:divBdr>
                <w:top w:val="none" w:sz="0" w:space="0" w:color="auto"/>
                <w:left w:val="none" w:sz="0" w:space="0" w:color="auto"/>
                <w:bottom w:val="none" w:sz="0" w:space="0" w:color="auto"/>
                <w:right w:val="none" w:sz="0" w:space="0" w:color="auto"/>
              </w:divBdr>
            </w:div>
            <w:div w:id="1568611828">
              <w:marLeft w:val="0"/>
              <w:marRight w:val="0"/>
              <w:marTop w:val="0"/>
              <w:marBottom w:val="0"/>
              <w:divBdr>
                <w:top w:val="none" w:sz="0" w:space="0" w:color="auto"/>
                <w:left w:val="none" w:sz="0" w:space="0" w:color="auto"/>
                <w:bottom w:val="none" w:sz="0" w:space="0" w:color="auto"/>
                <w:right w:val="none" w:sz="0" w:space="0" w:color="auto"/>
              </w:divBdr>
            </w:div>
            <w:div w:id="1658919153">
              <w:marLeft w:val="0"/>
              <w:marRight w:val="0"/>
              <w:marTop w:val="0"/>
              <w:marBottom w:val="0"/>
              <w:divBdr>
                <w:top w:val="none" w:sz="0" w:space="0" w:color="auto"/>
                <w:left w:val="none" w:sz="0" w:space="0" w:color="auto"/>
                <w:bottom w:val="none" w:sz="0" w:space="0" w:color="auto"/>
                <w:right w:val="none" w:sz="0" w:space="0" w:color="auto"/>
              </w:divBdr>
            </w:div>
          </w:divsChild>
        </w:div>
        <w:div w:id="746809533">
          <w:marLeft w:val="0"/>
          <w:marRight w:val="0"/>
          <w:marTop w:val="0"/>
          <w:marBottom w:val="0"/>
          <w:divBdr>
            <w:top w:val="none" w:sz="0" w:space="0" w:color="auto"/>
            <w:left w:val="none" w:sz="0" w:space="0" w:color="auto"/>
            <w:bottom w:val="none" w:sz="0" w:space="0" w:color="auto"/>
            <w:right w:val="none" w:sz="0" w:space="0" w:color="auto"/>
          </w:divBdr>
        </w:div>
        <w:div w:id="1094596171">
          <w:marLeft w:val="0"/>
          <w:marRight w:val="0"/>
          <w:marTop w:val="0"/>
          <w:marBottom w:val="0"/>
          <w:divBdr>
            <w:top w:val="none" w:sz="0" w:space="0" w:color="auto"/>
            <w:left w:val="none" w:sz="0" w:space="0" w:color="auto"/>
            <w:bottom w:val="none" w:sz="0" w:space="0" w:color="auto"/>
            <w:right w:val="none" w:sz="0" w:space="0" w:color="auto"/>
          </w:divBdr>
          <w:divsChild>
            <w:div w:id="171721970">
              <w:marLeft w:val="0"/>
              <w:marRight w:val="0"/>
              <w:marTop w:val="0"/>
              <w:marBottom w:val="0"/>
              <w:divBdr>
                <w:top w:val="none" w:sz="0" w:space="0" w:color="auto"/>
                <w:left w:val="none" w:sz="0" w:space="0" w:color="auto"/>
                <w:bottom w:val="none" w:sz="0" w:space="0" w:color="auto"/>
                <w:right w:val="none" w:sz="0" w:space="0" w:color="auto"/>
              </w:divBdr>
            </w:div>
            <w:div w:id="516625269">
              <w:marLeft w:val="0"/>
              <w:marRight w:val="0"/>
              <w:marTop w:val="0"/>
              <w:marBottom w:val="0"/>
              <w:divBdr>
                <w:top w:val="none" w:sz="0" w:space="0" w:color="auto"/>
                <w:left w:val="none" w:sz="0" w:space="0" w:color="auto"/>
                <w:bottom w:val="none" w:sz="0" w:space="0" w:color="auto"/>
                <w:right w:val="none" w:sz="0" w:space="0" w:color="auto"/>
              </w:divBdr>
            </w:div>
            <w:div w:id="1735081613">
              <w:marLeft w:val="0"/>
              <w:marRight w:val="0"/>
              <w:marTop w:val="0"/>
              <w:marBottom w:val="0"/>
              <w:divBdr>
                <w:top w:val="none" w:sz="0" w:space="0" w:color="auto"/>
                <w:left w:val="none" w:sz="0" w:space="0" w:color="auto"/>
                <w:bottom w:val="none" w:sz="0" w:space="0" w:color="auto"/>
                <w:right w:val="none" w:sz="0" w:space="0" w:color="auto"/>
              </w:divBdr>
            </w:div>
            <w:div w:id="1880312435">
              <w:marLeft w:val="0"/>
              <w:marRight w:val="0"/>
              <w:marTop w:val="0"/>
              <w:marBottom w:val="0"/>
              <w:divBdr>
                <w:top w:val="none" w:sz="0" w:space="0" w:color="auto"/>
                <w:left w:val="none" w:sz="0" w:space="0" w:color="auto"/>
                <w:bottom w:val="none" w:sz="0" w:space="0" w:color="auto"/>
                <w:right w:val="none" w:sz="0" w:space="0" w:color="auto"/>
              </w:divBdr>
            </w:div>
          </w:divsChild>
        </w:div>
        <w:div w:id="1272011967">
          <w:marLeft w:val="0"/>
          <w:marRight w:val="0"/>
          <w:marTop w:val="0"/>
          <w:marBottom w:val="0"/>
          <w:divBdr>
            <w:top w:val="none" w:sz="0" w:space="0" w:color="auto"/>
            <w:left w:val="none" w:sz="0" w:space="0" w:color="auto"/>
            <w:bottom w:val="none" w:sz="0" w:space="0" w:color="auto"/>
            <w:right w:val="none" w:sz="0" w:space="0" w:color="auto"/>
          </w:divBdr>
          <w:divsChild>
            <w:div w:id="717708306">
              <w:marLeft w:val="0"/>
              <w:marRight w:val="0"/>
              <w:marTop w:val="0"/>
              <w:marBottom w:val="0"/>
              <w:divBdr>
                <w:top w:val="none" w:sz="0" w:space="0" w:color="auto"/>
                <w:left w:val="none" w:sz="0" w:space="0" w:color="auto"/>
                <w:bottom w:val="none" w:sz="0" w:space="0" w:color="auto"/>
                <w:right w:val="none" w:sz="0" w:space="0" w:color="auto"/>
              </w:divBdr>
            </w:div>
          </w:divsChild>
        </w:div>
        <w:div w:id="1335524167">
          <w:marLeft w:val="0"/>
          <w:marRight w:val="0"/>
          <w:marTop w:val="0"/>
          <w:marBottom w:val="0"/>
          <w:divBdr>
            <w:top w:val="none" w:sz="0" w:space="0" w:color="auto"/>
            <w:left w:val="none" w:sz="0" w:space="0" w:color="auto"/>
            <w:bottom w:val="none" w:sz="0" w:space="0" w:color="auto"/>
            <w:right w:val="none" w:sz="0" w:space="0" w:color="auto"/>
          </w:divBdr>
        </w:div>
        <w:div w:id="1346056055">
          <w:marLeft w:val="0"/>
          <w:marRight w:val="0"/>
          <w:marTop w:val="0"/>
          <w:marBottom w:val="0"/>
          <w:divBdr>
            <w:top w:val="none" w:sz="0" w:space="0" w:color="auto"/>
            <w:left w:val="none" w:sz="0" w:space="0" w:color="auto"/>
            <w:bottom w:val="none" w:sz="0" w:space="0" w:color="auto"/>
            <w:right w:val="none" w:sz="0" w:space="0" w:color="auto"/>
          </w:divBdr>
          <w:divsChild>
            <w:div w:id="754278926">
              <w:marLeft w:val="0"/>
              <w:marRight w:val="0"/>
              <w:marTop w:val="30"/>
              <w:marBottom w:val="30"/>
              <w:divBdr>
                <w:top w:val="none" w:sz="0" w:space="0" w:color="auto"/>
                <w:left w:val="none" w:sz="0" w:space="0" w:color="auto"/>
                <w:bottom w:val="none" w:sz="0" w:space="0" w:color="auto"/>
                <w:right w:val="none" w:sz="0" w:space="0" w:color="auto"/>
              </w:divBdr>
              <w:divsChild>
                <w:div w:id="68816384">
                  <w:marLeft w:val="0"/>
                  <w:marRight w:val="0"/>
                  <w:marTop w:val="0"/>
                  <w:marBottom w:val="0"/>
                  <w:divBdr>
                    <w:top w:val="none" w:sz="0" w:space="0" w:color="auto"/>
                    <w:left w:val="none" w:sz="0" w:space="0" w:color="auto"/>
                    <w:bottom w:val="none" w:sz="0" w:space="0" w:color="auto"/>
                    <w:right w:val="none" w:sz="0" w:space="0" w:color="auto"/>
                  </w:divBdr>
                  <w:divsChild>
                    <w:div w:id="1677924814">
                      <w:marLeft w:val="0"/>
                      <w:marRight w:val="0"/>
                      <w:marTop w:val="0"/>
                      <w:marBottom w:val="0"/>
                      <w:divBdr>
                        <w:top w:val="none" w:sz="0" w:space="0" w:color="auto"/>
                        <w:left w:val="none" w:sz="0" w:space="0" w:color="auto"/>
                        <w:bottom w:val="none" w:sz="0" w:space="0" w:color="auto"/>
                        <w:right w:val="none" w:sz="0" w:space="0" w:color="auto"/>
                      </w:divBdr>
                    </w:div>
                  </w:divsChild>
                </w:div>
                <w:div w:id="83454345">
                  <w:marLeft w:val="0"/>
                  <w:marRight w:val="0"/>
                  <w:marTop w:val="0"/>
                  <w:marBottom w:val="0"/>
                  <w:divBdr>
                    <w:top w:val="none" w:sz="0" w:space="0" w:color="auto"/>
                    <w:left w:val="none" w:sz="0" w:space="0" w:color="auto"/>
                    <w:bottom w:val="none" w:sz="0" w:space="0" w:color="auto"/>
                    <w:right w:val="none" w:sz="0" w:space="0" w:color="auto"/>
                  </w:divBdr>
                  <w:divsChild>
                    <w:div w:id="427238045">
                      <w:marLeft w:val="0"/>
                      <w:marRight w:val="0"/>
                      <w:marTop w:val="0"/>
                      <w:marBottom w:val="0"/>
                      <w:divBdr>
                        <w:top w:val="none" w:sz="0" w:space="0" w:color="auto"/>
                        <w:left w:val="none" w:sz="0" w:space="0" w:color="auto"/>
                        <w:bottom w:val="none" w:sz="0" w:space="0" w:color="auto"/>
                        <w:right w:val="none" w:sz="0" w:space="0" w:color="auto"/>
                      </w:divBdr>
                    </w:div>
                    <w:div w:id="1724327038">
                      <w:marLeft w:val="0"/>
                      <w:marRight w:val="0"/>
                      <w:marTop w:val="0"/>
                      <w:marBottom w:val="0"/>
                      <w:divBdr>
                        <w:top w:val="none" w:sz="0" w:space="0" w:color="auto"/>
                        <w:left w:val="none" w:sz="0" w:space="0" w:color="auto"/>
                        <w:bottom w:val="none" w:sz="0" w:space="0" w:color="auto"/>
                        <w:right w:val="none" w:sz="0" w:space="0" w:color="auto"/>
                      </w:divBdr>
                    </w:div>
                  </w:divsChild>
                </w:div>
                <w:div w:id="841354775">
                  <w:marLeft w:val="0"/>
                  <w:marRight w:val="0"/>
                  <w:marTop w:val="0"/>
                  <w:marBottom w:val="0"/>
                  <w:divBdr>
                    <w:top w:val="none" w:sz="0" w:space="0" w:color="auto"/>
                    <w:left w:val="none" w:sz="0" w:space="0" w:color="auto"/>
                    <w:bottom w:val="none" w:sz="0" w:space="0" w:color="auto"/>
                    <w:right w:val="none" w:sz="0" w:space="0" w:color="auto"/>
                  </w:divBdr>
                  <w:divsChild>
                    <w:div w:id="559441581">
                      <w:marLeft w:val="0"/>
                      <w:marRight w:val="0"/>
                      <w:marTop w:val="0"/>
                      <w:marBottom w:val="0"/>
                      <w:divBdr>
                        <w:top w:val="none" w:sz="0" w:space="0" w:color="auto"/>
                        <w:left w:val="none" w:sz="0" w:space="0" w:color="auto"/>
                        <w:bottom w:val="none" w:sz="0" w:space="0" w:color="auto"/>
                        <w:right w:val="none" w:sz="0" w:space="0" w:color="auto"/>
                      </w:divBdr>
                    </w:div>
                  </w:divsChild>
                </w:div>
                <w:div w:id="852038210">
                  <w:marLeft w:val="0"/>
                  <w:marRight w:val="0"/>
                  <w:marTop w:val="0"/>
                  <w:marBottom w:val="0"/>
                  <w:divBdr>
                    <w:top w:val="none" w:sz="0" w:space="0" w:color="auto"/>
                    <w:left w:val="none" w:sz="0" w:space="0" w:color="auto"/>
                    <w:bottom w:val="none" w:sz="0" w:space="0" w:color="auto"/>
                    <w:right w:val="none" w:sz="0" w:space="0" w:color="auto"/>
                  </w:divBdr>
                  <w:divsChild>
                    <w:div w:id="1546454585">
                      <w:marLeft w:val="0"/>
                      <w:marRight w:val="0"/>
                      <w:marTop w:val="0"/>
                      <w:marBottom w:val="0"/>
                      <w:divBdr>
                        <w:top w:val="none" w:sz="0" w:space="0" w:color="auto"/>
                        <w:left w:val="none" w:sz="0" w:space="0" w:color="auto"/>
                        <w:bottom w:val="none" w:sz="0" w:space="0" w:color="auto"/>
                        <w:right w:val="none" w:sz="0" w:space="0" w:color="auto"/>
                      </w:divBdr>
                    </w:div>
                  </w:divsChild>
                </w:div>
                <w:div w:id="946085100">
                  <w:marLeft w:val="0"/>
                  <w:marRight w:val="0"/>
                  <w:marTop w:val="0"/>
                  <w:marBottom w:val="0"/>
                  <w:divBdr>
                    <w:top w:val="none" w:sz="0" w:space="0" w:color="auto"/>
                    <w:left w:val="none" w:sz="0" w:space="0" w:color="auto"/>
                    <w:bottom w:val="none" w:sz="0" w:space="0" w:color="auto"/>
                    <w:right w:val="none" w:sz="0" w:space="0" w:color="auto"/>
                  </w:divBdr>
                  <w:divsChild>
                    <w:div w:id="2061436216">
                      <w:marLeft w:val="0"/>
                      <w:marRight w:val="0"/>
                      <w:marTop w:val="0"/>
                      <w:marBottom w:val="0"/>
                      <w:divBdr>
                        <w:top w:val="none" w:sz="0" w:space="0" w:color="auto"/>
                        <w:left w:val="none" w:sz="0" w:space="0" w:color="auto"/>
                        <w:bottom w:val="none" w:sz="0" w:space="0" w:color="auto"/>
                        <w:right w:val="none" w:sz="0" w:space="0" w:color="auto"/>
                      </w:divBdr>
                    </w:div>
                  </w:divsChild>
                </w:div>
                <w:div w:id="967079689">
                  <w:marLeft w:val="0"/>
                  <w:marRight w:val="0"/>
                  <w:marTop w:val="0"/>
                  <w:marBottom w:val="0"/>
                  <w:divBdr>
                    <w:top w:val="none" w:sz="0" w:space="0" w:color="auto"/>
                    <w:left w:val="none" w:sz="0" w:space="0" w:color="auto"/>
                    <w:bottom w:val="none" w:sz="0" w:space="0" w:color="auto"/>
                    <w:right w:val="none" w:sz="0" w:space="0" w:color="auto"/>
                  </w:divBdr>
                  <w:divsChild>
                    <w:div w:id="1143933237">
                      <w:marLeft w:val="0"/>
                      <w:marRight w:val="0"/>
                      <w:marTop w:val="0"/>
                      <w:marBottom w:val="0"/>
                      <w:divBdr>
                        <w:top w:val="none" w:sz="0" w:space="0" w:color="auto"/>
                        <w:left w:val="none" w:sz="0" w:space="0" w:color="auto"/>
                        <w:bottom w:val="none" w:sz="0" w:space="0" w:color="auto"/>
                        <w:right w:val="none" w:sz="0" w:space="0" w:color="auto"/>
                      </w:divBdr>
                    </w:div>
                  </w:divsChild>
                </w:div>
                <w:div w:id="1075203036">
                  <w:marLeft w:val="0"/>
                  <w:marRight w:val="0"/>
                  <w:marTop w:val="0"/>
                  <w:marBottom w:val="0"/>
                  <w:divBdr>
                    <w:top w:val="none" w:sz="0" w:space="0" w:color="auto"/>
                    <w:left w:val="none" w:sz="0" w:space="0" w:color="auto"/>
                    <w:bottom w:val="none" w:sz="0" w:space="0" w:color="auto"/>
                    <w:right w:val="none" w:sz="0" w:space="0" w:color="auto"/>
                  </w:divBdr>
                  <w:divsChild>
                    <w:div w:id="1150974336">
                      <w:marLeft w:val="0"/>
                      <w:marRight w:val="0"/>
                      <w:marTop w:val="0"/>
                      <w:marBottom w:val="0"/>
                      <w:divBdr>
                        <w:top w:val="none" w:sz="0" w:space="0" w:color="auto"/>
                        <w:left w:val="none" w:sz="0" w:space="0" w:color="auto"/>
                        <w:bottom w:val="none" w:sz="0" w:space="0" w:color="auto"/>
                        <w:right w:val="none" w:sz="0" w:space="0" w:color="auto"/>
                      </w:divBdr>
                    </w:div>
                  </w:divsChild>
                </w:div>
                <w:div w:id="1466968993">
                  <w:marLeft w:val="0"/>
                  <w:marRight w:val="0"/>
                  <w:marTop w:val="0"/>
                  <w:marBottom w:val="0"/>
                  <w:divBdr>
                    <w:top w:val="none" w:sz="0" w:space="0" w:color="auto"/>
                    <w:left w:val="none" w:sz="0" w:space="0" w:color="auto"/>
                    <w:bottom w:val="none" w:sz="0" w:space="0" w:color="auto"/>
                    <w:right w:val="none" w:sz="0" w:space="0" w:color="auto"/>
                  </w:divBdr>
                  <w:divsChild>
                    <w:div w:id="59522615">
                      <w:marLeft w:val="0"/>
                      <w:marRight w:val="0"/>
                      <w:marTop w:val="0"/>
                      <w:marBottom w:val="0"/>
                      <w:divBdr>
                        <w:top w:val="none" w:sz="0" w:space="0" w:color="auto"/>
                        <w:left w:val="none" w:sz="0" w:space="0" w:color="auto"/>
                        <w:bottom w:val="none" w:sz="0" w:space="0" w:color="auto"/>
                        <w:right w:val="none" w:sz="0" w:space="0" w:color="auto"/>
                      </w:divBdr>
                    </w:div>
                  </w:divsChild>
                </w:div>
                <w:div w:id="1551261633">
                  <w:marLeft w:val="0"/>
                  <w:marRight w:val="0"/>
                  <w:marTop w:val="0"/>
                  <w:marBottom w:val="0"/>
                  <w:divBdr>
                    <w:top w:val="none" w:sz="0" w:space="0" w:color="auto"/>
                    <w:left w:val="none" w:sz="0" w:space="0" w:color="auto"/>
                    <w:bottom w:val="none" w:sz="0" w:space="0" w:color="auto"/>
                    <w:right w:val="none" w:sz="0" w:space="0" w:color="auto"/>
                  </w:divBdr>
                  <w:divsChild>
                    <w:div w:id="1240746595">
                      <w:marLeft w:val="0"/>
                      <w:marRight w:val="0"/>
                      <w:marTop w:val="0"/>
                      <w:marBottom w:val="0"/>
                      <w:divBdr>
                        <w:top w:val="none" w:sz="0" w:space="0" w:color="auto"/>
                        <w:left w:val="none" w:sz="0" w:space="0" w:color="auto"/>
                        <w:bottom w:val="none" w:sz="0" w:space="0" w:color="auto"/>
                        <w:right w:val="none" w:sz="0" w:space="0" w:color="auto"/>
                      </w:divBdr>
                    </w:div>
                  </w:divsChild>
                </w:div>
                <w:div w:id="1608655123">
                  <w:marLeft w:val="0"/>
                  <w:marRight w:val="0"/>
                  <w:marTop w:val="0"/>
                  <w:marBottom w:val="0"/>
                  <w:divBdr>
                    <w:top w:val="none" w:sz="0" w:space="0" w:color="auto"/>
                    <w:left w:val="none" w:sz="0" w:space="0" w:color="auto"/>
                    <w:bottom w:val="none" w:sz="0" w:space="0" w:color="auto"/>
                    <w:right w:val="none" w:sz="0" w:space="0" w:color="auto"/>
                  </w:divBdr>
                  <w:divsChild>
                    <w:div w:id="330254393">
                      <w:marLeft w:val="0"/>
                      <w:marRight w:val="0"/>
                      <w:marTop w:val="0"/>
                      <w:marBottom w:val="0"/>
                      <w:divBdr>
                        <w:top w:val="none" w:sz="0" w:space="0" w:color="auto"/>
                        <w:left w:val="none" w:sz="0" w:space="0" w:color="auto"/>
                        <w:bottom w:val="none" w:sz="0" w:space="0" w:color="auto"/>
                        <w:right w:val="none" w:sz="0" w:space="0" w:color="auto"/>
                      </w:divBdr>
                    </w:div>
                    <w:div w:id="1212383088">
                      <w:marLeft w:val="0"/>
                      <w:marRight w:val="0"/>
                      <w:marTop w:val="0"/>
                      <w:marBottom w:val="0"/>
                      <w:divBdr>
                        <w:top w:val="none" w:sz="0" w:space="0" w:color="auto"/>
                        <w:left w:val="none" w:sz="0" w:space="0" w:color="auto"/>
                        <w:bottom w:val="none" w:sz="0" w:space="0" w:color="auto"/>
                        <w:right w:val="none" w:sz="0" w:space="0" w:color="auto"/>
                      </w:divBdr>
                    </w:div>
                  </w:divsChild>
                </w:div>
                <w:div w:id="1708942285">
                  <w:marLeft w:val="0"/>
                  <w:marRight w:val="0"/>
                  <w:marTop w:val="0"/>
                  <w:marBottom w:val="0"/>
                  <w:divBdr>
                    <w:top w:val="none" w:sz="0" w:space="0" w:color="auto"/>
                    <w:left w:val="none" w:sz="0" w:space="0" w:color="auto"/>
                    <w:bottom w:val="none" w:sz="0" w:space="0" w:color="auto"/>
                    <w:right w:val="none" w:sz="0" w:space="0" w:color="auto"/>
                  </w:divBdr>
                  <w:divsChild>
                    <w:div w:id="1337805805">
                      <w:marLeft w:val="0"/>
                      <w:marRight w:val="0"/>
                      <w:marTop w:val="0"/>
                      <w:marBottom w:val="0"/>
                      <w:divBdr>
                        <w:top w:val="none" w:sz="0" w:space="0" w:color="auto"/>
                        <w:left w:val="none" w:sz="0" w:space="0" w:color="auto"/>
                        <w:bottom w:val="none" w:sz="0" w:space="0" w:color="auto"/>
                        <w:right w:val="none" w:sz="0" w:space="0" w:color="auto"/>
                      </w:divBdr>
                    </w:div>
                  </w:divsChild>
                </w:div>
                <w:div w:id="1949727539">
                  <w:marLeft w:val="0"/>
                  <w:marRight w:val="0"/>
                  <w:marTop w:val="0"/>
                  <w:marBottom w:val="0"/>
                  <w:divBdr>
                    <w:top w:val="none" w:sz="0" w:space="0" w:color="auto"/>
                    <w:left w:val="none" w:sz="0" w:space="0" w:color="auto"/>
                    <w:bottom w:val="none" w:sz="0" w:space="0" w:color="auto"/>
                    <w:right w:val="none" w:sz="0" w:space="0" w:color="auto"/>
                  </w:divBdr>
                  <w:divsChild>
                    <w:div w:id="1839614734">
                      <w:marLeft w:val="0"/>
                      <w:marRight w:val="0"/>
                      <w:marTop w:val="0"/>
                      <w:marBottom w:val="0"/>
                      <w:divBdr>
                        <w:top w:val="none" w:sz="0" w:space="0" w:color="auto"/>
                        <w:left w:val="none" w:sz="0" w:space="0" w:color="auto"/>
                        <w:bottom w:val="none" w:sz="0" w:space="0" w:color="auto"/>
                        <w:right w:val="none" w:sz="0" w:space="0" w:color="auto"/>
                      </w:divBdr>
                    </w:div>
                  </w:divsChild>
                </w:div>
                <w:div w:id="1961523308">
                  <w:marLeft w:val="0"/>
                  <w:marRight w:val="0"/>
                  <w:marTop w:val="0"/>
                  <w:marBottom w:val="0"/>
                  <w:divBdr>
                    <w:top w:val="none" w:sz="0" w:space="0" w:color="auto"/>
                    <w:left w:val="none" w:sz="0" w:space="0" w:color="auto"/>
                    <w:bottom w:val="none" w:sz="0" w:space="0" w:color="auto"/>
                    <w:right w:val="none" w:sz="0" w:space="0" w:color="auto"/>
                  </w:divBdr>
                  <w:divsChild>
                    <w:div w:id="169952367">
                      <w:marLeft w:val="0"/>
                      <w:marRight w:val="0"/>
                      <w:marTop w:val="0"/>
                      <w:marBottom w:val="0"/>
                      <w:divBdr>
                        <w:top w:val="none" w:sz="0" w:space="0" w:color="auto"/>
                        <w:left w:val="none" w:sz="0" w:space="0" w:color="auto"/>
                        <w:bottom w:val="none" w:sz="0" w:space="0" w:color="auto"/>
                        <w:right w:val="none" w:sz="0" w:space="0" w:color="auto"/>
                      </w:divBdr>
                    </w:div>
                  </w:divsChild>
                </w:div>
                <w:div w:id="2103990965">
                  <w:marLeft w:val="0"/>
                  <w:marRight w:val="0"/>
                  <w:marTop w:val="0"/>
                  <w:marBottom w:val="0"/>
                  <w:divBdr>
                    <w:top w:val="none" w:sz="0" w:space="0" w:color="auto"/>
                    <w:left w:val="none" w:sz="0" w:space="0" w:color="auto"/>
                    <w:bottom w:val="none" w:sz="0" w:space="0" w:color="auto"/>
                    <w:right w:val="none" w:sz="0" w:space="0" w:color="auto"/>
                  </w:divBdr>
                  <w:divsChild>
                    <w:div w:id="54198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988452">
          <w:marLeft w:val="0"/>
          <w:marRight w:val="0"/>
          <w:marTop w:val="0"/>
          <w:marBottom w:val="0"/>
          <w:divBdr>
            <w:top w:val="none" w:sz="0" w:space="0" w:color="auto"/>
            <w:left w:val="none" w:sz="0" w:space="0" w:color="auto"/>
            <w:bottom w:val="none" w:sz="0" w:space="0" w:color="auto"/>
            <w:right w:val="none" w:sz="0" w:space="0" w:color="auto"/>
          </w:divBdr>
          <w:divsChild>
            <w:div w:id="749081084">
              <w:marLeft w:val="0"/>
              <w:marRight w:val="0"/>
              <w:marTop w:val="0"/>
              <w:marBottom w:val="0"/>
              <w:divBdr>
                <w:top w:val="none" w:sz="0" w:space="0" w:color="auto"/>
                <w:left w:val="none" w:sz="0" w:space="0" w:color="auto"/>
                <w:bottom w:val="none" w:sz="0" w:space="0" w:color="auto"/>
                <w:right w:val="none" w:sz="0" w:space="0" w:color="auto"/>
              </w:divBdr>
            </w:div>
            <w:div w:id="1821531995">
              <w:marLeft w:val="0"/>
              <w:marRight w:val="0"/>
              <w:marTop w:val="0"/>
              <w:marBottom w:val="0"/>
              <w:divBdr>
                <w:top w:val="none" w:sz="0" w:space="0" w:color="auto"/>
                <w:left w:val="none" w:sz="0" w:space="0" w:color="auto"/>
                <w:bottom w:val="none" w:sz="0" w:space="0" w:color="auto"/>
                <w:right w:val="none" w:sz="0" w:space="0" w:color="auto"/>
              </w:divBdr>
            </w:div>
          </w:divsChild>
        </w:div>
        <w:div w:id="1576353603">
          <w:marLeft w:val="0"/>
          <w:marRight w:val="0"/>
          <w:marTop w:val="0"/>
          <w:marBottom w:val="0"/>
          <w:divBdr>
            <w:top w:val="none" w:sz="0" w:space="0" w:color="auto"/>
            <w:left w:val="none" w:sz="0" w:space="0" w:color="auto"/>
            <w:bottom w:val="none" w:sz="0" w:space="0" w:color="auto"/>
            <w:right w:val="none" w:sz="0" w:space="0" w:color="auto"/>
          </w:divBdr>
          <w:divsChild>
            <w:div w:id="1185752486">
              <w:marLeft w:val="0"/>
              <w:marRight w:val="0"/>
              <w:marTop w:val="30"/>
              <w:marBottom w:val="30"/>
              <w:divBdr>
                <w:top w:val="none" w:sz="0" w:space="0" w:color="auto"/>
                <w:left w:val="none" w:sz="0" w:space="0" w:color="auto"/>
                <w:bottom w:val="none" w:sz="0" w:space="0" w:color="auto"/>
                <w:right w:val="none" w:sz="0" w:space="0" w:color="auto"/>
              </w:divBdr>
              <w:divsChild>
                <w:div w:id="936448959">
                  <w:marLeft w:val="0"/>
                  <w:marRight w:val="0"/>
                  <w:marTop w:val="0"/>
                  <w:marBottom w:val="0"/>
                  <w:divBdr>
                    <w:top w:val="none" w:sz="0" w:space="0" w:color="auto"/>
                    <w:left w:val="none" w:sz="0" w:space="0" w:color="auto"/>
                    <w:bottom w:val="none" w:sz="0" w:space="0" w:color="auto"/>
                    <w:right w:val="none" w:sz="0" w:space="0" w:color="auto"/>
                  </w:divBdr>
                  <w:divsChild>
                    <w:div w:id="489635160">
                      <w:marLeft w:val="0"/>
                      <w:marRight w:val="0"/>
                      <w:marTop w:val="0"/>
                      <w:marBottom w:val="0"/>
                      <w:divBdr>
                        <w:top w:val="none" w:sz="0" w:space="0" w:color="auto"/>
                        <w:left w:val="none" w:sz="0" w:space="0" w:color="auto"/>
                        <w:bottom w:val="none" w:sz="0" w:space="0" w:color="auto"/>
                        <w:right w:val="none" w:sz="0" w:space="0" w:color="auto"/>
                      </w:divBdr>
                    </w:div>
                    <w:div w:id="1140802682">
                      <w:marLeft w:val="0"/>
                      <w:marRight w:val="0"/>
                      <w:marTop w:val="0"/>
                      <w:marBottom w:val="0"/>
                      <w:divBdr>
                        <w:top w:val="none" w:sz="0" w:space="0" w:color="auto"/>
                        <w:left w:val="none" w:sz="0" w:space="0" w:color="auto"/>
                        <w:bottom w:val="none" w:sz="0" w:space="0" w:color="auto"/>
                        <w:right w:val="none" w:sz="0" w:space="0" w:color="auto"/>
                      </w:divBdr>
                    </w:div>
                    <w:div w:id="1640063552">
                      <w:marLeft w:val="0"/>
                      <w:marRight w:val="0"/>
                      <w:marTop w:val="0"/>
                      <w:marBottom w:val="0"/>
                      <w:divBdr>
                        <w:top w:val="none" w:sz="0" w:space="0" w:color="auto"/>
                        <w:left w:val="none" w:sz="0" w:space="0" w:color="auto"/>
                        <w:bottom w:val="none" w:sz="0" w:space="0" w:color="auto"/>
                        <w:right w:val="none" w:sz="0" w:space="0" w:color="auto"/>
                      </w:divBdr>
                    </w:div>
                    <w:div w:id="1708214305">
                      <w:marLeft w:val="0"/>
                      <w:marRight w:val="0"/>
                      <w:marTop w:val="0"/>
                      <w:marBottom w:val="0"/>
                      <w:divBdr>
                        <w:top w:val="none" w:sz="0" w:space="0" w:color="auto"/>
                        <w:left w:val="none" w:sz="0" w:space="0" w:color="auto"/>
                        <w:bottom w:val="none" w:sz="0" w:space="0" w:color="auto"/>
                        <w:right w:val="none" w:sz="0" w:space="0" w:color="auto"/>
                      </w:divBdr>
                    </w:div>
                    <w:div w:id="1989627551">
                      <w:marLeft w:val="0"/>
                      <w:marRight w:val="0"/>
                      <w:marTop w:val="0"/>
                      <w:marBottom w:val="0"/>
                      <w:divBdr>
                        <w:top w:val="none" w:sz="0" w:space="0" w:color="auto"/>
                        <w:left w:val="none" w:sz="0" w:space="0" w:color="auto"/>
                        <w:bottom w:val="none" w:sz="0" w:space="0" w:color="auto"/>
                        <w:right w:val="none" w:sz="0" w:space="0" w:color="auto"/>
                      </w:divBdr>
                    </w:div>
                  </w:divsChild>
                </w:div>
                <w:div w:id="937982583">
                  <w:marLeft w:val="0"/>
                  <w:marRight w:val="0"/>
                  <w:marTop w:val="0"/>
                  <w:marBottom w:val="0"/>
                  <w:divBdr>
                    <w:top w:val="none" w:sz="0" w:space="0" w:color="auto"/>
                    <w:left w:val="none" w:sz="0" w:space="0" w:color="auto"/>
                    <w:bottom w:val="none" w:sz="0" w:space="0" w:color="auto"/>
                    <w:right w:val="none" w:sz="0" w:space="0" w:color="auto"/>
                  </w:divBdr>
                  <w:divsChild>
                    <w:div w:id="185029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402582">
          <w:marLeft w:val="0"/>
          <w:marRight w:val="0"/>
          <w:marTop w:val="0"/>
          <w:marBottom w:val="0"/>
          <w:divBdr>
            <w:top w:val="none" w:sz="0" w:space="0" w:color="auto"/>
            <w:left w:val="none" w:sz="0" w:space="0" w:color="auto"/>
            <w:bottom w:val="none" w:sz="0" w:space="0" w:color="auto"/>
            <w:right w:val="none" w:sz="0" w:space="0" w:color="auto"/>
          </w:divBdr>
        </w:div>
        <w:div w:id="1701011952">
          <w:marLeft w:val="0"/>
          <w:marRight w:val="0"/>
          <w:marTop w:val="0"/>
          <w:marBottom w:val="0"/>
          <w:divBdr>
            <w:top w:val="none" w:sz="0" w:space="0" w:color="auto"/>
            <w:left w:val="none" w:sz="0" w:space="0" w:color="auto"/>
            <w:bottom w:val="none" w:sz="0" w:space="0" w:color="auto"/>
            <w:right w:val="none" w:sz="0" w:space="0" w:color="auto"/>
          </w:divBdr>
          <w:divsChild>
            <w:div w:id="829100479">
              <w:marLeft w:val="0"/>
              <w:marRight w:val="0"/>
              <w:marTop w:val="30"/>
              <w:marBottom w:val="30"/>
              <w:divBdr>
                <w:top w:val="none" w:sz="0" w:space="0" w:color="auto"/>
                <w:left w:val="none" w:sz="0" w:space="0" w:color="auto"/>
                <w:bottom w:val="none" w:sz="0" w:space="0" w:color="auto"/>
                <w:right w:val="none" w:sz="0" w:space="0" w:color="auto"/>
              </w:divBdr>
              <w:divsChild>
                <w:div w:id="90247133">
                  <w:marLeft w:val="0"/>
                  <w:marRight w:val="0"/>
                  <w:marTop w:val="0"/>
                  <w:marBottom w:val="0"/>
                  <w:divBdr>
                    <w:top w:val="none" w:sz="0" w:space="0" w:color="auto"/>
                    <w:left w:val="none" w:sz="0" w:space="0" w:color="auto"/>
                    <w:bottom w:val="none" w:sz="0" w:space="0" w:color="auto"/>
                    <w:right w:val="none" w:sz="0" w:space="0" w:color="auto"/>
                  </w:divBdr>
                  <w:divsChild>
                    <w:div w:id="60520733">
                      <w:marLeft w:val="0"/>
                      <w:marRight w:val="0"/>
                      <w:marTop w:val="0"/>
                      <w:marBottom w:val="0"/>
                      <w:divBdr>
                        <w:top w:val="none" w:sz="0" w:space="0" w:color="auto"/>
                        <w:left w:val="none" w:sz="0" w:space="0" w:color="auto"/>
                        <w:bottom w:val="none" w:sz="0" w:space="0" w:color="auto"/>
                        <w:right w:val="none" w:sz="0" w:space="0" w:color="auto"/>
                      </w:divBdr>
                    </w:div>
                  </w:divsChild>
                </w:div>
                <w:div w:id="199713075">
                  <w:marLeft w:val="0"/>
                  <w:marRight w:val="0"/>
                  <w:marTop w:val="0"/>
                  <w:marBottom w:val="0"/>
                  <w:divBdr>
                    <w:top w:val="none" w:sz="0" w:space="0" w:color="auto"/>
                    <w:left w:val="none" w:sz="0" w:space="0" w:color="auto"/>
                    <w:bottom w:val="none" w:sz="0" w:space="0" w:color="auto"/>
                    <w:right w:val="none" w:sz="0" w:space="0" w:color="auto"/>
                  </w:divBdr>
                  <w:divsChild>
                    <w:div w:id="409666737">
                      <w:marLeft w:val="0"/>
                      <w:marRight w:val="0"/>
                      <w:marTop w:val="0"/>
                      <w:marBottom w:val="0"/>
                      <w:divBdr>
                        <w:top w:val="none" w:sz="0" w:space="0" w:color="auto"/>
                        <w:left w:val="none" w:sz="0" w:space="0" w:color="auto"/>
                        <w:bottom w:val="none" w:sz="0" w:space="0" w:color="auto"/>
                        <w:right w:val="none" w:sz="0" w:space="0" w:color="auto"/>
                      </w:divBdr>
                    </w:div>
                  </w:divsChild>
                </w:div>
                <w:div w:id="432362485">
                  <w:marLeft w:val="0"/>
                  <w:marRight w:val="0"/>
                  <w:marTop w:val="0"/>
                  <w:marBottom w:val="0"/>
                  <w:divBdr>
                    <w:top w:val="none" w:sz="0" w:space="0" w:color="auto"/>
                    <w:left w:val="none" w:sz="0" w:space="0" w:color="auto"/>
                    <w:bottom w:val="none" w:sz="0" w:space="0" w:color="auto"/>
                    <w:right w:val="none" w:sz="0" w:space="0" w:color="auto"/>
                  </w:divBdr>
                  <w:divsChild>
                    <w:div w:id="619146672">
                      <w:marLeft w:val="0"/>
                      <w:marRight w:val="0"/>
                      <w:marTop w:val="0"/>
                      <w:marBottom w:val="0"/>
                      <w:divBdr>
                        <w:top w:val="none" w:sz="0" w:space="0" w:color="auto"/>
                        <w:left w:val="none" w:sz="0" w:space="0" w:color="auto"/>
                        <w:bottom w:val="none" w:sz="0" w:space="0" w:color="auto"/>
                        <w:right w:val="none" w:sz="0" w:space="0" w:color="auto"/>
                      </w:divBdr>
                    </w:div>
                  </w:divsChild>
                </w:div>
                <w:div w:id="682823091">
                  <w:marLeft w:val="0"/>
                  <w:marRight w:val="0"/>
                  <w:marTop w:val="0"/>
                  <w:marBottom w:val="0"/>
                  <w:divBdr>
                    <w:top w:val="none" w:sz="0" w:space="0" w:color="auto"/>
                    <w:left w:val="none" w:sz="0" w:space="0" w:color="auto"/>
                    <w:bottom w:val="none" w:sz="0" w:space="0" w:color="auto"/>
                    <w:right w:val="none" w:sz="0" w:space="0" w:color="auto"/>
                  </w:divBdr>
                  <w:divsChild>
                    <w:div w:id="46757173">
                      <w:marLeft w:val="0"/>
                      <w:marRight w:val="0"/>
                      <w:marTop w:val="0"/>
                      <w:marBottom w:val="0"/>
                      <w:divBdr>
                        <w:top w:val="none" w:sz="0" w:space="0" w:color="auto"/>
                        <w:left w:val="none" w:sz="0" w:space="0" w:color="auto"/>
                        <w:bottom w:val="none" w:sz="0" w:space="0" w:color="auto"/>
                        <w:right w:val="none" w:sz="0" w:space="0" w:color="auto"/>
                      </w:divBdr>
                    </w:div>
                  </w:divsChild>
                </w:div>
                <w:div w:id="1406754943">
                  <w:marLeft w:val="0"/>
                  <w:marRight w:val="0"/>
                  <w:marTop w:val="0"/>
                  <w:marBottom w:val="0"/>
                  <w:divBdr>
                    <w:top w:val="none" w:sz="0" w:space="0" w:color="auto"/>
                    <w:left w:val="none" w:sz="0" w:space="0" w:color="auto"/>
                    <w:bottom w:val="none" w:sz="0" w:space="0" w:color="auto"/>
                    <w:right w:val="none" w:sz="0" w:space="0" w:color="auto"/>
                  </w:divBdr>
                  <w:divsChild>
                    <w:div w:id="1971352283">
                      <w:marLeft w:val="0"/>
                      <w:marRight w:val="0"/>
                      <w:marTop w:val="0"/>
                      <w:marBottom w:val="0"/>
                      <w:divBdr>
                        <w:top w:val="none" w:sz="0" w:space="0" w:color="auto"/>
                        <w:left w:val="none" w:sz="0" w:space="0" w:color="auto"/>
                        <w:bottom w:val="none" w:sz="0" w:space="0" w:color="auto"/>
                        <w:right w:val="none" w:sz="0" w:space="0" w:color="auto"/>
                      </w:divBdr>
                    </w:div>
                  </w:divsChild>
                </w:div>
                <w:div w:id="1757285693">
                  <w:marLeft w:val="0"/>
                  <w:marRight w:val="0"/>
                  <w:marTop w:val="0"/>
                  <w:marBottom w:val="0"/>
                  <w:divBdr>
                    <w:top w:val="none" w:sz="0" w:space="0" w:color="auto"/>
                    <w:left w:val="none" w:sz="0" w:space="0" w:color="auto"/>
                    <w:bottom w:val="none" w:sz="0" w:space="0" w:color="auto"/>
                    <w:right w:val="none" w:sz="0" w:space="0" w:color="auto"/>
                  </w:divBdr>
                  <w:divsChild>
                    <w:div w:id="24387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210248">
          <w:marLeft w:val="0"/>
          <w:marRight w:val="0"/>
          <w:marTop w:val="0"/>
          <w:marBottom w:val="0"/>
          <w:divBdr>
            <w:top w:val="none" w:sz="0" w:space="0" w:color="auto"/>
            <w:left w:val="none" w:sz="0" w:space="0" w:color="auto"/>
            <w:bottom w:val="none" w:sz="0" w:space="0" w:color="auto"/>
            <w:right w:val="none" w:sz="0" w:space="0" w:color="auto"/>
          </w:divBdr>
          <w:divsChild>
            <w:div w:id="154299355">
              <w:marLeft w:val="0"/>
              <w:marRight w:val="0"/>
              <w:marTop w:val="30"/>
              <w:marBottom w:val="30"/>
              <w:divBdr>
                <w:top w:val="none" w:sz="0" w:space="0" w:color="auto"/>
                <w:left w:val="none" w:sz="0" w:space="0" w:color="auto"/>
                <w:bottom w:val="none" w:sz="0" w:space="0" w:color="auto"/>
                <w:right w:val="none" w:sz="0" w:space="0" w:color="auto"/>
              </w:divBdr>
              <w:divsChild>
                <w:div w:id="36708996">
                  <w:marLeft w:val="0"/>
                  <w:marRight w:val="0"/>
                  <w:marTop w:val="0"/>
                  <w:marBottom w:val="0"/>
                  <w:divBdr>
                    <w:top w:val="none" w:sz="0" w:space="0" w:color="auto"/>
                    <w:left w:val="none" w:sz="0" w:space="0" w:color="auto"/>
                    <w:bottom w:val="none" w:sz="0" w:space="0" w:color="auto"/>
                    <w:right w:val="none" w:sz="0" w:space="0" w:color="auto"/>
                  </w:divBdr>
                  <w:divsChild>
                    <w:div w:id="867183896">
                      <w:marLeft w:val="0"/>
                      <w:marRight w:val="0"/>
                      <w:marTop w:val="0"/>
                      <w:marBottom w:val="0"/>
                      <w:divBdr>
                        <w:top w:val="none" w:sz="0" w:space="0" w:color="auto"/>
                        <w:left w:val="none" w:sz="0" w:space="0" w:color="auto"/>
                        <w:bottom w:val="none" w:sz="0" w:space="0" w:color="auto"/>
                        <w:right w:val="none" w:sz="0" w:space="0" w:color="auto"/>
                      </w:divBdr>
                    </w:div>
                  </w:divsChild>
                </w:div>
                <w:div w:id="150220348">
                  <w:marLeft w:val="0"/>
                  <w:marRight w:val="0"/>
                  <w:marTop w:val="0"/>
                  <w:marBottom w:val="0"/>
                  <w:divBdr>
                    <w:top w:val="none" w:sz="0" w:space="0" w:color="auto"/>
                    <w:left w:val="none" w:sz="0" w:space="0" w:color="auto"/>
                    <w:bottom w:val="none" w:sz="0" w:space="0" w:color="auto"/>
                    <w:right w:val="none" w:sz="0" w:space="0" w:color="auto"/>
                  </w:divBdr>
                  <w:divsChild>
                    <w:div w:id="829251307">
                      <w:marLeft w:val="0"/>
                      <w:marRight w:val="0"/>
                      <w:marTop w:val="0"/>
                      <w:marBottom w:val="0"/>
                      <w:divBdr>
                        <w:top w:val="none" w:sz="0" w:space="0" w:color="auto"/>
                        <w:left w:val="none" w:sz="0" w:space="0" w:color="auto"/>
                        <w:bottom w:val="none" w:sz="0" w:space="0" w:color="auto"/>
                        <w:right w:val="none" w:sz="0" w:space="0" w:color="auto"/>
                      </w:divBdr>
                    </w:div>
                  </w:divsChild>
                </w:div>
                <w:div w:id="303580916">
                  <w:marLeft w:val="0"/>
                  <w:marRight w:val="0"/>
                  <w:marTop w:val="0"/>
                  <w:marBottom w:val="0"/>
                  <w:divBdr>
                    <w:top w:val="none" w:sz="0" w:space="0" w:color="auto"/>
                    <w:left w:val="none" w:sz="0" w:space="0" w:color="auto"/>
                    <w:bottom w:val="none" w:sz="0" w:space="0" w:color="auto"/>
                    <w:right w:val="none" w:sz="0" w:space="0" w:color="auto"/>
                  </w:divBdr>
                  <w:divsChild>
                    <w:div w:id="1402874847">
                      <w:marLeft w:val="0"/>
                      <w:marRight w:val="0"/>
                      <w:marTop w:val="0"/>
                      <w:marBottom w:val="0"/>
                      <w:divBdr>
                        <w:top w:val="none" w:sz="0" w:space="0" w:color="auto"/>
                        <w:left w:val="none" w:sz="0" w:space="0" w:color="auto"/>
                        <w:bottom w:val="none" w:sz="0" w:space="0" w:color="auto"/>
                        <w:right w:val="none" w:sz="0" w:space="0" w:color="auto"/>
                      </w:divBdr>
                    </w:div>
                  </w:divsChild>
                </w:div>
                <w:div w:id="322441573">
                  <w:marLeft w:val="0"/>
                  <w:marRight w:val="0"/>
                  <w:marTop w:val="0"/>
                  <w:marBottom w:val="0"/>
                  <w:divBdr>
                    <w:top w:val="none" w:sz="0" w:space="0" w:color="auto"/>
                    <w:left w:val="none" w:sz="0" w:space="0" w:color="auto"/>
                    <w:bottom w:val="none" w:sz="0" w:space="0" w:color="auto"/>
                    <w:right w:val="none" w:sz="0" w:space="0" w:color="auto"/>
                  </w:divBdr>
                  <w:divsChild>
                    <w:div w:id="1730609176">
                      <w:marLeft w:val="0"/>
                      <w:marRight w:val="0"/>
                      <w:marTop w:val="0"/>
                      <w:marBottom w:val="0"/>
                      <w:divBdr>
                        <w:top w:val="none" w:sz="0" w:space="0" w:color="auto"/>
                        <w:left w:val="none" w:sz="0" w:space="0" w:color="auto"/>
                        <w:bottom w:val="none" w:sz="0" w:space="0" w:color="auto"/>
                        <w:right w:val="none" w:sz="0" w:space="0" w:color="auto"/>
                      </w:divBdr>
                    </w:div>
                  </w:divsChild>
                </w:div>
                <w:div w:id="480123021">
                  <w:marLeft w:val="0"/>
                  <w:marRight w:val="0"/>
                  <w:marTop w:val="0"/>
                  <w:marBottom w:val="0"/>
                  <w:divBdr>
                    <w:top w:val="none" w:sz="0" w:space="0" w:color="auto"/>
                    <w:left w:val="none" w:sz="0" w:space="0" w:color="auto"/>
                    <w:bottom w:val="none" w:sz="0" w:space="0" w:color="auto"/>
                    <w:right w:val="none" w:sz="0" w:space="0" w:color="auto"/>
                  </w:divBdr>
                  <w:divsChild>
                    <w:div w:id="1940068384">
                      <w:marLeft w:val="0"/>
                      <w:marRight w:val="0"/>
                      <w:marTop w:val="0"/>
                      <w:marBottom w:val="0"/>
                      <w:divBdr>
                        <w:top w:val="none" w:sz="0" w:space="0" w:color="auto"/>
                        <w:left w:val="none" w:sz="0" w:space="0" w:color="auto"/>
                        <w:bottom w:val="none" w:sz="0" w:space="0" w:color="auto"/>
                        <w:right w:val="none" w:sz="0" w:space="0" w:color="auto"/>
                      </w:divBdr>
                    </w:div>
                  </w:divsChild>
                </w:div>
                <w:div w:id="485559885">
                  <w:marLeft w:val="0"/>
                  <w:marRight w:val="0"/>
                  <w:marTop w:val="0"/>
                  <w:marBottom w:val="0"/>
                  <w:divBdr>
                    <w:top w:val="none" w:sz="0" w:space="0" w:color="auto"/>
                    <w:left w:val="none" w:sz="0" w:space="0" w:color="auto"/>
                    <w:bottom w:val="none" w:sz="0" w:space="0" w:color="auto"/>
                    <w:right w:val="none" w:sz="0" w:space="0" w:color="auto"/>
                  </w:divBdr>
                  <w:divsChild>
                    <w:div w:id="1487892332">
                      <w:marLeft w:val="0"/>
                      <w:marRight w:val="0"/>
                      <w:marTop w:val="0"/>
                      <w:marBottom w:val="0"/>
                      <w:divBdr>
                        <w:top w:val="none" w:sz="0" w:space="0" w:color="auto"/>
                        <w:left w:val="none" w:sz="0" w:space="0" w:color="auto"/>
                        <w:bottom w:val="none" w:sz="0" w:space="0" w:color="auto"/>
                        <w:right w:val="none" w:sz="0" w:space="0" w:color="auto"/>
                      </w:divBdr>
                    </w:div>
                  </w:divsChild>
                </w:div>
                <w:div w:id="496918023">
                  <w:marLeft w:val="0"/>
                  <w:marRight w:val="0"/>
                  <w:marTop w:val="0"/>
                  <w:marBottom w:val="0"/>
                  <w:divBdr>
                    <w:top w:val="none" w:sz="0" w:space="0" w:color="auto"/>
                    <w:left w:val="none" w:sz="0" w:space="0" w:color="auto"/>
                    <w:bottom w:val="none" w:sz="0" w:space="0" w:color="auto"/>
                    <w:right w:val="none" w:sz="0" w:space="0" w:color="auto"/>
                  </w:divBdr>
                  <w:divsChild>
                    <w:div w:id="1685668576">
                      <w:marLeft w:val="0"/>
                      <w:marRight w:val="0"/>
                      <w:marTop w:val="0"/>
                      <w:marBottom w:val="0"/>
                      <w:divBdr>
                        <w:top w:val="none" w:sz="0" w:space="0" w:color="auto"/>
                        <w:left w:val="none" w:sz="0" w:space="0" w:color="auto"/>
                        <w:bottom w:val="none" w:sz="0" w:space="0" w:color="auto"/>
                        <w:right w:val="none" w:sz="0" w:space="0" w:color="auto"/>
                      </w:divBdr>
                    </w:div>
                  </w:divsChild>
                </w:div>
                <w:div w:id="824931691">
                  <w:marLeft w:val="0"/>
                  <w:marRight w:val="0"/>
                  <w:marTop w:val="0"/>
                  <w:marBottom w:val="0"/>
                  <w:divBdr>
                    <w:top w:val="none" w:sz="0" w:space="0" w:color="auto"/>
                    <w:left w:val="none" w:sz="0" w:space="0" w:color="auto"/>
                    <w:bottom w:val="none" w:sz="0" w:space="0" w:color="auto"/>
                    <w:right w:val="none" w:sz="0" w:space="0" w:color="auto"/>
                  </w:divBdr>
                  <w:divsChild>
                    <w:div w:id="381944233">
                      <w:marLeft w:val="0"/>
                      <w:marRight w:val="0"/>
                      <w:marTop w:val="0"/>
                      <w:marBottom w:val="0"/>
                      <w:divBdr>
                        <w:top w:val="none" w:sz="0" w:space="0" w:color="auto"/>
                        <w:left w:val="none" w:sz="0" w:space="0" w:color="auto"/>
                        <w:bottom w:val="none" w:sz="0" w:space="0" w:color="auto"/>
                        <w:right w:val="none" w:sz="0" w:space="0" w:color="auto"/>
                      </w:divBdr>
                    </w:div>
                  </w:divsChild>
                </w:div>
                <w:div w:id="1580361955">
                  <w:marLeft w:val="0"/>
                  <w:marRight w:val="0"/>
                  <w:marTop w:val="0"/>
                  <w:marBottom w:val="0"/>
                  <w:divBdr>
                    <w:top w:val="none" w:sz="0" w:space="0" w:color="auto"/>
                    <w:left w:val="none" w:sz="0" w:space="0" w:color="auto"/>
                    <w:bottom w:val="none" w:sz="0" w:space="0" w:color="auto"/>
                    <w:right w:val="none" w:sz="0" w:space="0" w:color="auto"/>
                  </w:divBdr>
                  <w:divsChild>
                    <w:div w:id="587812725">
                      <w:marLeft w:val="0"/>
                      <w:marRight w:val="0"/>
                      <w:marTop w:val="0"/>
                      <w:marBottom w:val="0"/>
                      <w:divBdr>
                        <w:top w:val="none" w:sz="0" w:space="0" w:color="auto"/>
                        <w:left w:val="none" w:sz="0" w:space="0" w:color="auto"/>
                        <w:bottom w:val="none" w:sz="0" w:space="0" w:color="auto"/>
                        <w:right w:val="none" w:sz="0" w:space="0" w:color="auto"/>
                      </w:divBdr>
                    </w:div>
                  </w:divsChild>
                </w:div>
                <w:div w:id="1709598841">
                  <w:marLeft w:val="0"/>
                  <w:marRight w:val="0"/>
                  <w:marTop w:val="0"/>
                  <w:marBottom w:val="0"/>
                  <w:divBdr>
                    <w:top w:val="none" w:sz="0" w:space="0" w:color="auto"/>
                    <w:left w:val="none" w:sz="0" w:space="0" w:color="auto"/>
                    <w:bottom w:val="none" w:sz="0" w:space="0" w:color="auto"/>
                    <w:right w:val="none" w:sz="0" w:space="0" w:color="auto"/>
                  </w:divBdr>
                  <w:divsChild>
                    <w:div w:id="285745337">
                      <w:marLeft w:val="0"/>
                      <w:marRight w:val="0"/>
                      <w:marTop w:val="0"/>
                      <w:marBottom w:val="0"/>
                      <w:divBdr>
                        <w:top w:val="none" w:sz="0" w:space="0" w:color="auto"/>
                        <w:left w:val="none" w:sz="0" w:space="0" w:color="auto"/>
                        <w:bottom w:val="none" w:sz="0" w:space="0" w:color="auto"/>
                        <w:right w:val="none" w:sz="0" w:space="0" w:color="auto"/>
                      </w:divBdr>
                    </w:div>
                  </w:divsChild>
                </w:div>
                <w:div w:id="1991204431">
                  <w:marLeft w:val="0"/>
                  <w:marRight w:val="0"/>
                  <w:marTop w:val="0"/>
                  <w:marBottom w:val="0"/>
                  <w:divBdr>
                    <w:top w:val="none" w:sz="0" w:space="0" w:color="auto"/>
                    <w:left w:val="none" w:sz="0" w:space="0" w:color="auto"/>
                    <w:bottom w:val="none" w:sz="0" w:space="0" w:color="auto"/>
                    <w:right w:val="none" w:sz="0" w:space="0" w:color="auto"/>
                  </w:divBdr>
                  <w:divsChild>
                    <w:div w:id="641274284">
                      <w:marLeft w:val="0"/>
                      <w:marRight w:val="0"/>
                      <w:marTop w:val="0"/>
                      <w:marBottom w:val="0"/>
                      <w:divBdr>
                        <w:top w:val="none" w:sz="0" w:space="0" w:color="auto"/>
                        <w:left w:val="none" w:sz="0" w:space="0" w:color="auto"/>
                        <w:bottom w:val="none" w:sz="0" w:space="0" w:color="auto"/>
                        <w:right w:val="none" w:sz="0" w:space="0" w:color="auto"/>
                      </w:divBdr>
                    </w:div>
                  </w:divsChild>
                </w:div>
                <w:div w:id="2013798950">
                  <w:marLeft w:val="0"/>
                  <w:marRight w:val="0"/>
                  <w:marTop w:val="0"/>
                  <w:marBottom w:val="0"/>
                  <w:divBdr>
                    <w:top w:val="none" w:sz="0" w:space="0" w:color="auto"/>
                    <w:left w:val="none" w:sz="0" w:space="0" w:color="auto"/>
                    <w:bottom w:val="none" w:sz="0" w:space="0" w:color="auto"/>
                    <w:right w:val="none" w:sz="0" w:space="0" w:color="auto"/>
                  </w:divBdr>
                  <w:divsChild>
                    <w:div w:id="96261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725796">
          <w:marLeft w:val="0"/>
          <w:marRight w:val="0"/>
          <w:marTop w:val="0"/>
          <w:marBottom w:val="0"/>
          <w:divBdr>
            <w:top w:val="none" w:sz="0" w:space="0" w:color="auto"/>
            <w:left w:val="none" w:sz="0" w:space="0" w:color="auto"/>
            <w:bottom w:val="none" w:sz="0" w:space="0" w:color="auto"/>
            <w:right w:val="none" w:sz="0" w:space="0" w:color="auto"/>
          </w:divBdr>
          <w:divsChild>
            <w:div w:id="435712221">
              <w:marLeft w:val="0"/>
              <w:marRight w:val="0"/>
              <w:marTop w:val="30"/>
              <w:marBottom w:val="30"/>
              <w:divBdr>
                <w:top w:val="none" w:sz="0" w:space="0" w:color="auto"/>
                <w:left w:val="none" w:sz="0" w:space="0" w:color="auto"/>
                <w:bottom w:val="none" w:sz="0" w:space="0" w:color="auto"/>
                <w:right w:val="none" w:sz="0" w:space="0" w:color="auto"/>
              </w:divBdr>
              <w:divsChild>
                <w:div w:id="680280213">
                  <w:marLeft w:val="0"/>
                  <w:marRight w:val="0"/>
                  <w:marTop w:val="0"/>
                  <w:marBottom w:val="0"/>
                  <w:divBdr>
                    <w:top w:val="none" w:sz="0" w:space="0" w:color="auto"/>
                    <w:left w:val="none" w:sz="0" w:space="0" w:color="auto"/>
                    <w:bottom w:val="none" w:sz="0" w:space="0" w:color="auto"/>
                    <w:right w:val="none" w:sz="0" w:space="0" w:color="auto"/>
                  </w:divBdr>
                  <w:divsChild>
                    <w:div w:id="1728987865">
                      <w:marLeft w:val="0"/>
                      <w:marRight w:val="0"/>
                      <w:marTop w:val="0"/>
                      <w:marBottom w:val="0"/>
                      <w:divBdr>
                        <w:top w:val="none" w:sz="0" w:space="0" w:color="auto"/>
                        <w:left w:val="none" w:sz="0" w:space="0" w:color="auto"/>
                        <w:bottom w:val="none" w:sz="0" w:space="0" w:color="auto"/>
                        <w:right w:val="none" w:sz="0" w:space="0" w:color="auto"/>
                      </w:divBdr>
                    </w:div>
                  </w:divsChild>
                </w:div>
                <w:div w:id="1559441854">
                  <w:marLeft w:val="0"/>
                  <w:marRight w:val="0"/>
                  <w:marTop w:val="0"/>
                  <w:marBottom w:val="0"/>
                  <w:divBdr>
                    <w:top w:val="none" w:sz="0" w:space="0" w:color="auto"/>
                    <w:left w:val="none" w:sz="0" w:space="0" w:color="auto"/>
                    <w:bottom w:val="none" w:sz="0" w:space="0" w:color="auto"/>
                    <w:right w:val="none" w:sz="0" w:space="0" w:color="auto"/>
                  </w:divBdr>
                  <w:divsChild>
                    <w:div w:id="66239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831342">
          <w:marLeft w:val="0"/>
          <w:marRight w:val="0"/>
          <w:marTop w:val="0"/>
          <w:marBottom w:val="0"/>
          <w:divBdr>
            <w:top w:val="none" w:sz="0" w:space="0" w:color="auto"/>
            <w:left w:val="none" w:sz="0" w:space="0" w:color="auto"/>
            <w:bottom w:val="none" w:sz="0" w:space="0" w:color="auto"/>
            <w:right w:val="none" w:sz="0" w:space="0" w:color="auto"/>
          </w:divBdr>
        </w:div>
        <w:div w:id="2093505510">
          <w:marLeft w:val="0"/>
          <w:marRight w:val="0"/>
          <w:marTop w:val="0"/>
          <w:marBottom w:val="0"/>
          <w:divBdr>
            <w:top w:val="none" w:sz="0" w:space="0" w:color="auto"/>
            <w:left w:val="none" w:sz="0" w:space="0" w:color="auto"/>
            <w:bottom w:val="none" w:sz="0" w:space="0" w:color="auto"/>
            <w:right w:val="none" w:sz="0" w:space="0" w:color="auto"/>
          </w:divBdr>
        </w:div>
        <w:div w:id="2119715498">
          <w:marLeft w:val="0"/>
          <w:marRight w:val="0"/>
          <w:marTop w:val="0"/>
          <w:marBottom w:val="0"/>
          <w:divBdr>
            <w:top w:val="none" w:sz="0" w:space="0" w:color="auto"/>
            <w:left w:val="none" w:sz="0" w:space="0" w:color="auto"/>
            <w:bottom w:val="none" w:sz="0" w:space="0" w:color="auto"/>
            <w:right w:val="none" w:sz="0" w:space="0" w:color="auto"/>
          </w:divBdr>
          <w:divsChild>
            <w:div w:id="1396077930">
              <w:marLeft w:val="0"/>
              <w:marRight w:val="0"/>
              <w:marTop w:val="30"/>
              <w:marBottom w:val="30"/>
              <w:divBdr>
                <w:top w:val="none" w:sz="0" w:space="0" w:color="auto"/>
                <w:left w:val="none" w:sz="0" w:space="0" w:color="auto"/>
                <w:bottom w:val="none" w:sz="0" w:space="0" w:color="auto"/>
                <w:right w:val="none" w:sz="0" w:space="0" w:color="auto"/>
              </w:divBdr>
              <w:divsChild>
                <w:div w:id="58863522">
                  <w:marLeft w:val="0"/>
                  <w:marRight w:val="0"/>
                  <w:marTop w:val="0"/>
                  <w:marBottom w:val="0"/>
                  <w:divBdr>
                    <w:top w:val="none" w:sz="0" w:space="0" w:color="auto"/>
                    <w:left w:val="none" w:sz="0" w:space="0" w:color="auto"/>
                    <w:bottom w:val="none" w:sz="0" w:space="0" w:color="auto"/>
                    <w:right w:val="none" w:sz="0" w:space="0" w:color="auto"/>
                  </w:divBdr>
                  <w:divsChild>
                    <w:div w:id="1621842837">
                      <w:marLeft w:val="0"/>
                      <w:marRight w:val="0"/>
                      <w:marTop w:val="0"/>
                      <w:marBottom w:val="0"/>
                      <w:divBdr>
                        <w:top w:val="none" w:sz="0" w:space="0" w:color="auto"/>
                        <w:left w:val="none" w:sz="0" w:space="0" w:color="auto"/>
                        <w:bottom w:val="none" w:sz="0" w:space="0" w:color="auto"/>
                        <w:right w:val="none" w:sz="0" w:space="0" w:color="auto"/>
                      </w:divBdr>
                    </w:div>
                  </w:divsChild>
                </w:div>
                <w:div w:id="533618424">
                  <w:marLeft w:val="0"/>
                  <w:marRight w:val="0"/>
                  <w:marTop w:val="0"/>
                  <w:marBottom w:val="0"/>
                  <w:divBdr>
                    <w:top w:val="none" w:sz="0" w:space="0" w:color="auto"/>
                    <w:left w:val="none" w:sz="0" w:space="0" w:color="auto"/>
                    <w:bottom w:val="none" w:sz="0" w:space="0" w:color="auto"/>
                    <w:right w:val="none" w:sz="0" w:space="0" w:color="auto"/>
                  </w:divBdr>
                  <w:divsChild>
                    <w:div w:id="153035205">
                      <w:marLeft w:val="0"/>
                      <w:marRight w:val="0"/>
                      <w:marTop w:val="0"/>
                      <w:marBottom w:val="0"/>
                      <w:divBdr>
                        <w:top w:val="none" w:sz="0" w:space="0" w:color="auto"/>
                        <w:left w:val="none" w:sz="0" w:space="0" w:color="auto"/>
                        <w:bottom w:val="none" w:sz="0" w:space="0" w:color="auto"/>
                        <w:right w:val="none" w:sz="0" w:space="0" w:color="auto"/>
                      </w:divBdr>
                    </w:div>
                  </w:divsChild>
                </w:div>
                <w:div w:id="832373820">
                  <w:marLeft w:val="0"/>
                  <w:marRight w:val="0"/>
                  <w:marTop w:val="0"/>
                  <w:marBottom w:val="0"/>
                  <w:divBdr>
                    <w:top w:val="none" w:sz="0" w:space="0" w:color="auto"/>
                    <w:left w:val="none" w:sz="0" w:space="0" w:color="auto"/>
                    <w:bottom w:val="none" w:sz="0" w:space="0" w:color="auto"/>
                    <w:right w:val="none" w:sz="0" w:space="0" w:color="auto"/>
                  </w:divBdr>
                  <w:divsChild>
                    <w:div w:id="1176381768">
                      <w:marLeft w:val="0"/>
                      <w:marRight w:val="0"/>
                      <w:marTop w:val="0"/>
                      <w:marBottom w:val="0"/>
                      <w:divBdr>
                        <w:top w:val="none" w:sz="0" w:space="0" w:color="auto"/>
                        <w:left w:val="none" w:sz="0" w:space="0" w:color="auto"/>
                        <w:bottom w:val="none" w:sz="0" w:space="0" w:color="auto"/>
                        <w:right w:val="none" w:sz="0" w:space="0" w:color="auto"/>
                      </w:divBdr>
                    </w:div>
                  </w:divsChild>
                </w:div>
                <w:div w:id="2048484832">
                  <w:marLeft w:val="0"/>
                  <w:marRight w:val="0"/>
                  <w:marTop w:val="0"/>
                  <w:marBottom w:val="0"/>
                  <w:divBdr>
                    <w:top w:val="none" w:sz="0" w:space="0" w:color="auto"/>
                    <w:left w:val="none" w:sz="0" w:space="0" w:color="auto"/>
                    <w:bottom w:val="none" w:sz="0" w:space="0" w:color="auto"/>
                    <w:right w:val="none" w:sz="0" w:space="0" w:color="auto"/>
                  </w:divBdr>
                  <w:divsChild>
                    <w:div w:id="205307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7698002">
      <w:bodyDiv w:val="1"/>
      <w:marLeft w:val="0"/>
      <w:marRight w:val="0"/>
      <w:marTop w:val="0"/>
      <w:marBottom w:val="0"/>
      <w:divBdr>
        <w:top w:val="none" w:sz="0" w:space="0" w:color="auto"/>
        <w:left w:val="none" w:sz="0" w:space="0" w:color="auto"/>
        <w:bottom w:val="none" w:sz="0" w:space="0" w:color="auto"/>
        <w:right w:val="none" w:sz="0" w:space="0" w:color="auto"/>
      </w:divBdr>
    </w:div>
    <w:div w:id="792361241">
      <w:bodyDiv w:val="1"/>
      <w:marLeft w:val="0"/>
      <w:marRight w:val="0"/>
      <w:marTop w:val="0"/>
      <w:marBottom w:val="0"/>
      <w:divBdr>
        <w:top w:val="none" w:sz="0" w:space="0" w:color="auto"/>
        <w:left w:val="none" w:sz="0" w:space="0" w:color="auto"/>
        <w:bottom w:val="none" w:sz="0" w:space="0" w:color="auto"/>
        <w:right w:val="none" w:sz="0" w:space="0" w:color="auto"/>
      </w:divBdr>
    </w:div>
    <w:div w:id="794981281">
      <w:bodyDiv w:val="1"/>
      <w:marLeft w:val="0"/>
      <w:marRight w:val="0"/>
      <w:marTop w:val="0"/>
      <w:marBottom w:val="0"/>
      <w:divBdr>
        <w:top w:val="none" w:sz="0" w:space="0" w:color="auto"/>
        <w:left w:val="none" w:sz="0" w:space="0" w:color="auto"/>
        <w:bottom w:val="none" w:sz="0" w:space="0" w:color="auto"/>
        <w:right w:val="none" w:sz="0" w:space="0" w:color="auto"/>
      </w:divBdr>
    </w:div>
    <w:div w:id="823274590">
      <w:bodyDiv w:val="1"/>
      <w:marLeft w:val="0"/>
      <w:marRight w:val="0"/>
      <w:marTop w:val="0"/>
      <w:marBottom w:val="0"/>
      <w:divBdr>
        <w:top w:val="none" w:sz="0" w:space="0" w:color="auto"/>
        <w:left w:val="none" w:sz="0" w:space="0" w:color="auto"/>
        <w:bottom w:val="none" w:sz="0" w:space="0" w:color="auto"/>
        <w:right w:val="none" w:sz="0" w:space="0" w:color="auto"/>
      </w:divBdr>
    </w:div>
    <w:div w:id="826241765">
      <w:bodyDiv w:val="1"/>
      <w:marLeft w:val="0"/>
      <w:marRight w:val="0"/>
      <w:marTop w:val="0"/>
      <w:marBottom w:val="0"/>
      <w:divBdr>
        <w:top w:val="none" w:sz="0" w:space="0" w:color="auto"/>
        <w:left w:val="none" w:sz="0" w:space="0" w:color="auto"/>
        <w:bottom w:val="none" w:sz="0" w:space="0" w:color="auto"/>
        <w:right w:val="none" w:sz="0" w:space="0" w:color="auto"/>
      </w:divBdr>
    </w:div>
    <w:div w:id="829906205">
      <w:bodyDiv w:val="1"/>
      <w:marLeft w:val="0"/>
      <w:marRight w:val="0"/>
      <w:marTop w:val="0"/>
      <w:marBottom w:val="0"/>
      <w:divBdr>
        <w:top w:val="none" w:sz="0" w:space="0" w:color="auto"/>
        <w:left w:val="none" w:sz="0" w:space="0" w:color="auto"/>
        <w:bottom w:val="none" w:sz="0" w:space="0" w:color="auto"/>
        <w:right w:val="none" w:sz="0" w:space="0" w:color="auto"/>
      </w:divBdr>
      <w:divsChild>
        <w:div w:id="1827277692">
          <w:marLeft w:val="0"/>
          <w:marRight w:val="0"/>
          <w:marTop w:val="0"/>
          <w:marBottom w:val="0"/>
          <w:divBdr>
            <w:top w:val="none" w:sz="0" w:space="0" w:color="auto"/>
            <w:left w:val="none" w:sz="0" w:space="0" w:color="auto"/>
            <w:bottom w:val="none" w:sz="0" w:space="0" w:color="auto"/>
            <w:right w:val="none" w:sz="0" w:space="0" w:color="auto"/>
          </w:divBdr>
        </w:div>
      </w:divsChild>
    </w:div>
    <w:div w:id="833302765">
      <w:bodyDiv w:val="1"/>
      <w:marLeft w:val="0"/>
      <w:marRight w:val="0"/>
      <w:marTop w:val="0"/>
      <w:marBottom w:val="0"/>
      <w:divBdr>
        <w:top w:val="none" w:sz="0" w:space="0" w:color="auto"/>
        <w:left w:val="none" w:sz="0" w:space="0" w:color="auto"/>
        <w:bottom w:val="none" w:sz="0" w:space="0" w:color="auto"/>
        <w:right w:val="none" w:sz="0" w:space="0" w:color="auto"/>
      </w:divBdr>
    </w:div>
    <w:div w:id="870651473">
      <w:bodyDiv w:val="1"/>
      <w:marLeft w:val="0"/>
      <w:marRight w:val="0"/>
      <w:marTop w:val="0"/>
      <w:marBottom w:val="0"/>
      <w:divBdr>
        <w:top w:val="none" w:sz="0" w:space="0" w:color="auto"/>
        <w:left w:val="none" w:sz="0" w:space="0" w:color="auto"/>
        <w:bottom w:val="none" w:sz="0" w:space="0" w:color="auto"/>
        <w:right w:val="none" w:sz="0" w:space="0" w:color="auto"/>
      </w:divBdr>
    </w:div>
    <w:div w:id="881133769">
      <w:bodyDiv w:val="1"/>
      <w:marLeft w:val="0"/>
      <w:marRight w:val="0"/>
      <w:marTop w:val="0"/>
      <w:marBottom w:val="0"/>
      <w:divBdr>
        <w:top w:val="none" w:sz="0" w:space="0" w:color="auto"/>
        <w:left w:val="none" w:sz="0" w:space="0" w:color="auto"/>
        <w:bottom w:val="none" w:sz="0" w:space="0" w:color="auto"/>
        <w:right w:val="none" w:sz="0" w:space="0" w:color="auto"/>
      </w:divBdr>
    </w:div>
    <w:div w:id="900094430">
      <w:bodyDiv w:val="1"/>
      <w:marLeft w:val="0"/>
      <w:marRight w:val="0"/>
      <w:marTop w:val="0"/>
      <w:marBottom w:val="0"/>
      <w:divBdr>
        <w:top w:val="none" w:sz="0" w:space="0" w:color="auto"/>
        <w:left w:val="none" w:sz="0" w:space="0" w:color="auto"/>
        <w:bottom w:val="none" w:sz="0" w:space="0" w:color="auto"/>
        <w:right w:val="none" w:sz="0" w:space="0" w:color="auto"/>
      </w:divBdr>
    </w:div>
    <w:div w:id="930164470">
      <w:bodyDiv w:val="1"/>
      <w:marLeft w:val="0"/>
      <w:marRight w:val="0"/>
      <w:marTop w:val="0"/>
      <w:marBottom w:val="0"/>
      <w:divBdr>
        <w:top w:val="none" w:sz="0" w:space="0" w:color="auto"/>
        <w:left w:val="none" w:sz="0" w:space="0" w:color="auto"/>
        <w:bottom w:val="none" w:sz="0" w:space="0" w:color="auto"/>
        <w:right w:val="none" w:sz="0" w:space="0" w:color="auto"/>
      </w:divBdr>
      <w:divsChild>
        <w:div w:id="1459184112">
          <w:marLeft w:val="0"/>
          <w:marRight w:val="0"/>
          <w:marTop w:val="0"/>
          <w:marBottom w:val="0"/>
          <w:divBdr>
            <w:top w:val="none" w:sz="0" w:space="0" w:color="auto"/>
            <w:left w:val="none" w:sz="0" w:space="0" w:color="auto"/>
            <w:bottom w:val="none" w:sz="0" w:space="0" w:color="auto"/>
            <w:right w:val="none" w:sz="0" w:space="0" w:color="auto"/>
          </w:divBdr>
          <w:divsChild>
            <w:div w:id="957180374">
              <w:marLeft w:val="0"/>
              <w:marRight w:val="0"/>
              <w:marTop w:val="0"/>
              <w:marBottom w:val="0"/>
              <w:divBdr>
                <w:top w:val="none" w:sz="0" w:space="0" w:color="auto"/>
                <w:left w:val="none" w:sz="0" w:space="0" w:color="auto"/>
                <w:bottom w:val="none" w:sz="0" w:space="0" w:color="auto"/>
                <w:right w:val="none" w:sz="0" w:space="0" w:color="auto"/>
              </w:divBdr>
            </w:div>
            <w:div w:id="1289624422">
              <w:marLeft w:val="0"/>
              <w:marRight w:val="0"/>
              <w:marTop w:val="0"/>
              <w:marBottom w:val="0"/>
              <w:divBdr>
                <w:top w:val="none" w:sz="0" w:space="0" w:color="auto"/>
                <w:left w:val="none" w:sz="0" w:space="0" w:color="auto"/>
                <w:bottom w:val="none" w:sz="0" w:space="0" w:color="auto"/>
                <w:right w:val="none" w:sz="0" w:space="0" w:color="auto"/>
              </w:divBdr>
            </w:div>
            <w:div w:id="1427120262">
              <w:marLeft w:val="0"/>
              <w:marRight w:val="0"/>
              <w:marTop w:val="0"/>
              <w:marBottom w:val="0"/>
              <w:divBdr>
                <w:top w:val="none" w:sz="0" w:space="0" w:color="auto"/>
                <w:left w:val="none" w:sz="0" w:space="0" w:color="auto"/>
                <w:bottom w:val="none" w:sz="0" w:space="0" w:color="auto"/>
                <w:right w:val="none" w:sz="0" w:space="0" w:color="auto"/>
              </w:divBdr>
            </w:div>
          </w:divsChild>
        </w:div>
        <w:div w:id="1721399736">
          <w:marLeft w:val="0"/>
          <w:marRight w:val="0"/>
          <w:marTop w:val="0"/>
          <w:marBottom w:val="0"/>
          <w:divBdr>
            <w:top w:val="none" w:sz="0" w:space="0" w:color="auto"/>
            <w:left w:val="none" w:sz="0" w:space="0" w:color="auto"/>
            <w:bottom w:val="none" w:sz="0" w:space="0" w:color="auto"/>
            <w:right w:val="none" w:sz="0" w:space="0" w:color="auto"/>
          </w:divBdr>
          <w:divsChild>
            <w:div w:id="461119969">
              <w:marLeft w:val="0"/>
              <w:marRight w:val="0"/>
              <w:marTop w:val="0"/>
              <w:marBottom w:val="0"/>
              <w:divBdr>
                <w:top w:val="none" w:sz="0" w:space="0" w:color="auto"/>
                <w:left w:val="none" w:sz="0" w:space="0" w:color="auto"/>
                <w:bottom w:val="none" w:sz="0" w:space="0" w:color="auto"/>
                <w:right w:val="none" w:sz="0" w:space="0" w:color="auto"/>
              </w:divBdr>
            </w:div>
            <w:div w:id="1220480824">
              <w:marLeft w:val="0"/>
              <w:marRight w:val="0"/>
              <w:marTop w:val="0"/>
              <w:marBottom w:val="0"/>
              <w:divBdr>
                <w:top w:val="none" w:sz="0" w:space="0" w:color="auto"/>
                <w:left w:val="none" w:sz="0" w:space="0" w:color="auto"/>
                <w:bottom w:val="none" w:sz="0" w:space="0" w:color="auto"/>
                <w:right w:val="none" w:sz="0" w:space="0" w:color="auto"/>
              </w:divBdr>
            </w:div>
          </w:divsChild>
        </w:div>
        <w:div w:id="1999914457">
          <w:marLeft w:val="0"/>
          <w:marRight w:val="0"/>
          <w:marTop w:val="0"/>
          <w:marBottom w:val="0"/>
          <w:divBdr>
            <w:top w:val="none" w:sz="0" w:space="0" w:color="auto"/>
            <w:left w:val="none" w:sz="0" w:space="0" w:color="auto"/>
            <w:bottom w:val="none" w:sz="0" w:space="0" w:color="auto"/>
            <w:right w:val="none" w:sz="0" w:space="0" w:color="auto"/>
          </w:divBdr>
          <w:divsChild>
            <w:div w:id="813255575">
              <w:marLeft w:val="0"/>
              <w:marRight w:val="0"/>
              <w:marTop w:val="0"/>
              <w:marBottom w:val="0"/>
              <w:divBdr>
                <w:top w:val="none" w:sz="0" w:space="0" w:color="auto"/>
                <w:left w:val="none" w:sz="0" w:space="0" w:color="auto"/>
                <w:bottom w:val="none" w:sz="0" w:space="0" w:color="auto"/>
                <w:right w:val="none" w:sz="0" w:space="0" w:color="auto"/>
              </w:divBdr>
            </w:div>
            <w:div w:id="150400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748197">
      <w:bodyDiv w:val="1"/>
      <w:marLeft w:val="0"/>
      <w:marRight w:val="0"/>
      <w:marTop w:val="0"/>
      <w:marBottom w:val="0"/>
      <w:divBdr>
        <w:top w:val="none" w:sz="0" w:space="0" w:color="auto"/>
        <w:left w:val="none" w:sz="0" w:space="0" w:color="auto"/>
        <w:bottom w:val="none" w:sz="0" w:space="0" w:color="auto"/>
        <w:right w:val="none" w:sz="0" w:space="0" w:color="auto"/>
      </w:divBdr>
      <w:divsChild>
        <w:div w:id="173568960">
          <w:marLeft w:val="0"/>
          <w:marRight w:val="0"/>
          <w:marTop w:val="0"/>
          <w:marBottom w:val="0"/>
          <w:divBdr>
            <w:top w:val="none" w:sz="0" w:space="0" w:color="auto"/>
            <w:left w:val="none" w:sz="0" w:space="0" w:color="auto"/>
            <w:bottom w:val="none" w:sz="0" w:space="0" w:color="auto"/>
            <w:right w:val="none" w:sz="0" w:space="0" w:color="auto"/>
          </w:divBdr>
        </w:div>
        <w:div w:id="681319951">
          <w:marLeft w:val="0"/>
          <w:marRight w:val="0"/>
          <w:marTop w:val="0"/>
          <w:marBottom w:val="0"/>
          <w:divBdr>
            <w:top w:val="none" w:sz="0" w:space="0" w:color="auto"/>
            <w:left w:val="none" w:sz="0" w:space="0" w:color="auto"/>
            <w:bottom w:val="none" w:sz="0" w:space="0" w:color="auto"/>
            <w:right w:val="none" w:sz="0" w:space="0" w:color="auto"/>
          </w:divBdr>
        </w:div>
        <w:div w:id="1404254773">
          <w:marLeft w:val="0"/>
          <w:marRight w:val="0"/>
          <w:marTop w:val="0"/>
          <w:marBottom w:val="0"/>
          <w:divBdr>
            <w:top w:val="none" w:sz="0" w:space="0" w:color="auto"/>
            <w:left w:val="none" w:sz="0" w:space="0" w:color="auto"/>
            <w:bottom w:val="none" w:sz="0" w:space="0" w:color="auto"/>
            <w:right w:val="none" w:sz="0" w:space="0" w:color="auto"/>
          </w:divBdr>
        </w:div>
      </w:divsChild>
    </w:div>
    <w:div w:id="939871852">
      <w:bodyDiv w:val="1"/>
      <w:marLeft w:val="0"/>
      <w:marRight w:val="0"/>
      <w:marTop w:val="0"/>
      <w:marBottom w:val="0"/>
      <w:divBdr>
        <w:top w:val="none" w:sz="0" w:space="0" w:color="auto"/>
        <w:left w:val="none" w:sz="0" w:space="0" w:color="auto"/>
        <w:bottom w:val="none" w:sz="0" w:space="0" w:color="auto"/>
        <w:right w:val="none" w:sz="0" w:space="0" w:color="auto"/>
      </w:divBdr>
    </w:div>
    <w:div w:id="970330120">
      <w:bodyDiv w:val="1"/>
      <w:marLeft w:val="0"/>
      <w:marRight w:val="0"/>
      <w:marTop w:val="0"/>
      <w:marBottom w:val="0"/>
      <w:divBdr>
        <w:top w:val="none" w:sz="0" w:space="0" w:color="auto"/>
        <w:left w:val="none" w:sz="0" w:space="0" w:color="auto"/>
        <w:bottom w:val="none" w:sz="0" w:space="0" w:color="auto"/>
        <w:right w:val="none" w:sz="0" w:space="0" w:color="auto"/>
      </w:divBdr>
      <w:divsChild>
        <w:div w:id="574316970">
          <w:marLeft w:val="0"/>
          <w:marRight w:val="0"/>
          <w:marTop w:val="0"/>
          <w:marBottom w:val="0"/>
          <w:divBdr>
            <w:top w:val="none" w:sz="0" w:space="0" w:color="auto"/>
            <w:left w:val="none" w:sz="0" w:space="0" w:color="auto"/>
            <w:bottom w:val="none" w:sz="0" w:space="0" w:color="auto"/>
            <w:right w:val="none" w:sz="0" w:space="0" w:color="auto"/>
          </w:divBdr>
        </w:div>
        <w:div w:id="668361893">
          <w:marLeft w:val="0"/>
          <w:marRight w:val="0"/>
          <w:marTop w:val="0"/>
          <w:marBottom w:val="0"/>
          <w:divBdr>
            <w:top w:val="none" w:sz="0" w:space="0" w:color="auto"/>
            <w:left w:val="none" w:sz="0" w:space="0" w:color="auto"/>
            <w:bottom w:val="none" w:sz="0" w:space="0" w:color="auto"/>
            <w:right w:val="none" w:sz="0" w:space="0" w:color="auto"/>
          </w:divBdr>
        </w:div>
        <w:div w:id="1298530844">
          <w:marLeft w:val="0"/>
          <w:marRight w:val="0"/>
          <w:marTop w:val="0"/>
          <w:marBottom w:val="0"/>
          <w:divBdr>
            <w:top w:val="none" w:sz="0" w:space="0" w:color="auto"/>
            <w:left w:val="none" w:sz="0" w:space="0" w:color="auto"/>
            <w:bottom w:val="none" w:sz="0" w:space="0" w:color="auto"/>
            <w:right w:val="none" w:sz="0" w:space="0" w:color="auto"/>
          </w:divBdr>
        </w:div>
        <w:div w:id="1447191176">
          <w:marLeft w:val="0"/>
          <w:marRight w:val="0"/>
          <w:marTop w:val="0"/>
          <w:marBottom w:val="0"/>
          <w:divBdr>
            <w:top w:val="none" w:sz="0" w:space="0" w:color="auto"/>
            <w:left w:val="none" w:sz="0" w:space="0" w:color="auto"/>
            <w:bottom w:val="none" w:sz="0" w:space="0" w:color="auto"/>
            <w:right w:val="none" w:sz="0" w:space="0" w:color="auto"/>
          </w:divBdr>
        </w:div>
        <w:div w:id="2089568222">
          <w:marLeft w:val="0"/>
          <w:marRight w:val="0"/>
          <w:marTop w:val="0"/>
          <w:marBottom w:val="0"/>
          <w:divBdr>
            <w:top w:val="none" w:sz="0" w:space="0" w:color="auto"/>
            <w:left w:val="none" w:sz="0" w:space="0" w:color="auto"/>
            <w:bottom w:val="none" w:sz="0" w:space="0" w:color="auto"/>
            <w:right w:val="none" w:sz="0" w:space="0" w:color="auto"/>
          </w:divBdr>
        </w:div>
      </w:divsChild>
    </w:div>
    <w:div w:id="977496772">
      <w:bodyDiv w:val="1"/>
      <w:marLeft w:val="0"/>
      <w:marRight w:val="0"/>
      <w:marTop w:val="0"/>
      <w:marBottom w:val="0"/>
      <w:divBdr>
        <w:top w:val="none" w:sz="0" w:space="0" w:color="auto"/>
        <w:left w:val="none" w:sz="0" w:space="0" w:color="auto"/>
        <w:bottom w:val="none" w:sz="0" w:space="0" w:color="auto"/>
        <w:right w:val="none" w:sz="0" w:space="0" w:color="auto"/>
      </w:divBdr>
      <w:divsChild>
        <w:div w:id="444422346">
          <w:marLeft w:val="0"/>
          <w:marRight w:val="0"/>
          <w:marTop w:val="0"/>
          <w:marBottom w:val="0"/>
          <w:divBdr>
            <w:top w:val="none" w:sz="0" w:space="0" w:color="auto"/>
            <w:left w:val="none" w:sz="0" w:space="0" w:color="auto"/>
            <w:bottom w:val="none" w:sz="0" w:space="0" w:color="auto"/>
            <w:right w:val="none" w:sz="0" w:space="0" w:color="auto"/>
          </w:divBdr>
        </w:div>
        <w:div w:id="446582544">
          <w:marLeft w:val="0"/>
          <w:marRight w:val="0"/>
          <w:marTop w:val="0"/>
          <w:marBottom w:val="0"/>
          <w:divBdr>
            <w:top w:val="none" w:sz="0" w:space="0" w:color="auto"/>
            <w:left w:val="none" w:sz="0" w:space="0" w:color="auto"/>
            <w:bottom w:val="none" w:sz="0" w:space="0" w:color="auto"/>
            <w:right w:val="none" w:sz="0" w:space="0" w:color="auto"/>
          </w:divBdr>
        </w:div>
        <w:div w:id="500898765">
          <w:marLeft w:val="0"/>
          <w:marRight w:val="0"/>
          <w:marTop w:val="0"/>
          <w:marBottom w:val="0"/>
          <w:divBdr>
            <w:top w:val="none" w:sz="0" w:space="0" w:color="auto"/>
            <w:left w:val="none" w:sz="0" w:space="0" w:color="auto"/>
            <w:bottom w:val="none" w:sz="0" w:space="0" w:color="auto"/>
            <w:right w:val="none" w:sz="0" w:space="0" w:color="auto"/>
          </w:divBdr>
        </w:div>
        <w:div w:id="559898805">
          <w:marLeft w:val="0"/>
          <w:marRight w:val="0"/>
          <w:marTop w:val="0"/>
          <w:marBottom w:val="0"/>
          <w:divBdr>
            <w:top w:val="none" w:sz="0" w:space="0" w:color="auto"/>
            <w:left w:val="none" w:sz="0" w:space="0" w:color="auto"/>
            <w:bottom w:val="none" w:sz="0" w:space="0" w:color="auto"/>
            <w:right w:val="none" w:sz="0" w:space="0" w:color="auto"/>
          </w:divBdr>
        </w:div>
        <w:div w:id="722676574">
          <w:marLeft w:val="0"/>
          <w:marRight w:val="0"/>
          <w:marTop w:val="0"/>
          <w:marBottom w:val="0"/>
          <w:divBdr>
            <w:top w:val="none" w:sz="0" w:space="0" w:color="auto"/>
            <w:left w:val="none" w:sz="0" w:space="0" w:color="auto"/>
            <w:bottom w:val="none" w:sz="0" w:space="0" w:color="auto"/>
            <w:right w:val="none" w:sz="0" w:space="0" w:color="auto"/>
          </w:divBdr>
        </w:div>
        <w:div w:id="773523898">
          <w:marLeft w:val="0"/>
          <w:marRight w:val="0"/>
          <w:marTop w:val="0"/>
          <w:marBottom w:val="0"/>
          <w:divBdr>
            <w:top w:val="none" w:sz="0" w:space="0" w:color="auto"/>
            <w:left w:val="none" w:sz="0" w:space="0" w:color="auto"/>
            <w:bottom w:val="none" w:sz="0" w:space="0" w:color="auto"/>
            <w:right w:val="none" w:sz="0" w:space="0" w:color="auto"/>
          </w:divBdr>
        </w:div>
        <w:div w:id="1129279053">
          <w:marLeft w:val="0"/>
          <w:marRight w:val="0"/>
          <w:marTop w:val="0"/>
          <w:marBottom w:val="0"/>
          <w:divBdr>
            <w:top w:val="none" w:sz="0" w:space="0" w:color="auto"/>
            <w:left w:val="none" w:sz="0" w:space="0" w:color="auto"/>
            <w:bottom w:val="none" w:sz="0" w:space="0" w:color="auto"/>
            <w:right w:val="none" w:sz="0" w:space="0" w:color="auto"/>
          </w:divBdr>
        </w:div>
        <w:div w:id="1180703310">
          <w:marLeft w:val="0"/>
          <w:marRight w:val="0"/>
          <w:marTop w:val="0"/>
          <w:marBottom w:val="0"/>
          <w:divBdr>
            <w:top w:val="none" w:sz="0" w:space="0" w:color="auto"/>
            <w:left w:val="none" w:sz="0" w:space="0" w:color="auto"/>
            <w:bottom w:val="none" w:sz="0" w:space="0" w:color="auto"/>
            <w:right w:val="none" w:sz="0" w:space="0" w:color="auto"/>
          </w:divBdr>
        </w:div>
        <w:div w:id="1535655002">
          <w:marLeft w:val="0"/>
          <w:marRight w:val="0"/>
          <w:marTop w:val="0"/>
          <w:marBottom w:val="0"/>
          <w:divBdr>
            <w:top w:val="none" w:sz="0" w:space="0" w:color="auto"/>
            <w:left w:val="none" w:sz="0" w:space="0" w:color="auto"/>
            <w:bottom w:val="none" w:sz="0" w:space="0" w:color="auto"/>
            <w:right w:val="none" w:sz="0" w:space="0" w:color="auto"/>
          </w:divBdr>
        </w:div>
        <w:div w:id="1590895119">
          <w:marLeft w:val="0"/>
          <w:marRight w:val="0"/>
          <w:marTop w:val="0"/>
          <w:marBottom w:val="0"/>
          <w:divBdr>
            <w:top w:val="none" w:sz="0" w:space="0" w:color="auto"/>
            <w:left w:val="none" w:sz="0" w:space="0" w:color="auto"/>
            <w:bottom w:val="none" w:sz="0" w:space="0" w:color="auto"/>
            <w:right w:val="none" w:sz="0" w:space="0" w:color="auto"/>
          </w:divBdr>
        </w:div>
        <w:div w:id="1600874030">
          <w:marLeft w:val="0"/>
          <w:marRight w:val="0"/>
          <w:marTop w:val="0"/>
          <w:marBottom w:val="0"/>
          <w:divBdr>
            <w:top w:val="none" w:sz="0" w:space="0" w:color="auto"/>
            <w:left w:val="none" w:sz="0" w:space="0" w:color="auto"/>
            <w:bottom w:val="none" w:sz="0" w:space="0" w:color="auto"/>
            <w:right w:val="none" w:sz="0" w:space="0" w:color="auto"/>
          </w:divBdr>
        </w:div>
        <w:div w:id="1825387129">
          <w:marLeft w:val="0"/>
          <w:marRight w:val="0"/>
          <w:marTop w:val="0"/>
          <w:marBottom w:val="0"/>
          <w:divBdr>
            <w:top w:val="none" w:sz="0" w:space="0" w:color="auto"/>
            <w:left w:val="none" w:sz="0" w:space="0" w:color="auto"/>
            <w:bottom w:val="none" w:sz="0" w:space="0" w:color="auto"/>
            <w:right w:val="none" w:sz="0" w:space="0" w:color="auto"/>
          </w:divBdr>
        </w:div>
      </w:divsChild>
    </w:div>
    <w:div w:id="986514505">
      <w:bodyDiv w:val="1"/>
      <w:marLeft w:val="0"/>
      <w:marRight w:val="0"/>
      <w:marTop w:val="0"/>
      <w:marBottom w:val="0"/>
      <w:divBdr>
        <w:top w:val="none" w:sz="0" w:space="0" w:color="auto"/>
        <w:left w:val="none" w:sz="0" w:space="0" w:color="auto"/>
        <w:bottom w:val="none" w:sz="0" w:space="0" w:color="auto"/>
        <w:right w:val="none" w:sz="0" w:space="0" w:color="auto"/>
      </w:divBdr>
    </w:div>
    <w:div w:id="1004285196">
      <w:bodyDiv w:val="1"/>
      <w:marLeft w:val="0"/>
      <w:marRight w:val="0"/>
      <w:marTop w:val="0"/>
      <w:marBottom w:val="0"/>
      <w:divBdr>
        <w:top w:val="none" w:sz="0" w:space="0" w:color="auto"/>
        <w:left w:val="none" w:sz="0" w:space="0" w:color="auto"/>
        <w:bottom w:val="none" w:sz="0" w:space="0" w:color="auto"/>
        <w:right w:val="none" w:sz="0" w:space="0" w:color="auto"/>
      </w:divBdr>
    </w:div>
    <w:div w:id="1015380699">
      <w:bodyDiv w:val="1"/>
      <w:marLeft w:val="0"/>
      <w:marRight w:val="0"/>
      <w:marTop w:val="0"/>
      <w:marBottom w:val="0"/>
      <w:divBdr>
        <w:top w:val="none" w:sz="0" w:space="0" w:color="auto"/>
        <w:left w:val="none" w:sz="0" w:space="0" w:color="auto"/>
        <w:bottom w:val="none" w:sz="0" w:space="0" w:color="auto"/>
        <w:right w:val="none" w:sz="0" w:space="0" w:color="auto"/>
      </w:divBdr>
    </w:div>
    <w:div w:id="1037315406">
      <w:bodyDiv w:val="1"/>
      <w:marLeft w:val="0"/>
      <w:marRight w:val="0"/>
      <w:marTop w:val="0"/>
      <w:marBottom w:val="0"/>
      <w:divBdr>
        <w:top w:val="none" w:sz="0" w:space="0" w:color="auto"/>
        <w:left w:val="none" w:sz="0" w:space="0" w:color="auto"/>
        <w:bottom w:val="none" w:sz="0" w:space="0" w:color="auto"/>
        <w:right w:val="none" w:sz="0" w:space="0" w:color="auto"/>
      </w:divBdr>
      <w:divsChild>
        <w:div w:id="1606645343">
          <w:marLeft w:val="0"/>
          <w:marRight w:val="0"/>
          <w:marTop w:val="0"/>
          <w:marBottom w:val="0"/>
          <w:divBdr>
            <w:top w:val="none" w:sz="0" w:space="0" w:color="auto"/>
            <w:left w:val="none" w:sz="0" w:space="0" w:color="auto"/>
            <w:bottom w:val="none" w:sz="0" w:space="0" w:color="auto"/>
            <w:right w:val="none" w:sz="0" w:space="0" w:color="auto"/>
          </w:divBdr>
          <w:divsChild>
            <w:div w:id="95057097">
              <w:marLeft w:val="0"/>
              <w:marRight w:val="0"/>
              <w:marTop w:val="0"/>
              <w:marBottom w:val="0"/>
              <w:divBdr>
                <w:top w:val="none" w:sz="0" w:space="0" w:color="auto"/>
                <w:left w:val="none" w:sz="0" w:space="0" w:color="auto"/>
                <w:bottom w:val="none" w:sz="0" w:space="0" w:color="auto"/>
                <w:right w:val="none" w:sz="0" w:space="0" w:color="auto"/>
              </w:divBdr>
            </w:div>
            <w:div w:id="235938162">
              <w:marLeft w:val="0"/>
              <w:marRight w:val="0"/>
              <w:marTop w:val="0"/>
              <w:marBottom w:val="0"/>
              <w:divBdr>
                <w:top w:val="none" w:sz="0" w:space="0" w:color="auto"/>
                <w:left w:val="none" w:sz="0" w:space="0" w:color="auto"/>
                <w:bottom w:val="none" w:sz="0" w:space="0" w:color="auto"/>
                <w:right w:val="none" w:sz="0" w:space="0" w:color="auto"/>
              </w:divBdr>
            </w:div>
            <w:div w:id="579680289">
              <w:marLeft w:val="0"/>
              <w:marRight w:val="0"/>
              <w:marTop w:val="0"/>
              <w:marBottom w:val="0"/>
              <w:divBdr>
                <w:top w:val="none" w:sz="0" w:space="0" w:color="auto"/>
                <w:left w:val="none" w:sz="0" w:space="0" w:color="auto"/>
                <w:bottom w:val="none" w:sz="0" w:space="0" w:color="auto"/>
                <w:right w:val="none" w:sz="0" w:space="0" w:color="auto"/>
              </w:divBdr>
            </w:div>
            <w:div w:id="1467045360">
              <w:marLeft w:val="0"/>
              <w:marRight w:val="0"/>
              <w:marTop w:val="0"/>
              <w:marBottom w:val="0"/>
              <w:divBdr>
                <w:top w:val="none" w:sz="0" w:space="0" w:color="auto"/>
                <w:left w:val="none" w:sz="0" w:space="0" w:color="auto"/>
                <w:bottom w:val="none" w:sz="0" w:space="0" w:color="auto"/>
                <w:right w:val="none" w:sz="0" w:space="0" w:color="auto"/>
              </w:divBdr>
            </w:div>
          </w:divsChild>
        </w:div>
        <w:div w:id="1961296227">
          <w:marLeft w:val="0"/>
          <w:marRight w:val="0"/>
          <w:marTop w:val="0"/>
          <w:marBottom w:val="0"/>
          <w:divBdr>
            <w:top w:val="none" w:sz="0" w:space="0" w:color="auto"/>
            <w:left w:val="none" w:sz="0" w:space="0" w:color="auto"/>
            <w:bottom w:val="none" w:sz="0" w:space="0" w:color="auto"/>
            <w:right w:val="none" w:sz="0" w:space="0" w:color="auto"/>
          </w:divBdr>
          <w:divsChild>
            <w:div w:id="863443553">
              <w:marLeft w:val="0"/>
              <w:marRight w:val="0"/>
              <w:marTop w:val="0"/>
              <w:marBottom w:val="0"/>
              <w:divBdr>
                <w:top w:val="none" w:sz="0" w:space="0" w:color="auto"/>
                <w:left w:val="none" w:sz="0" w:space="0" w:color="auto"/>
                <w:bottom w:val="none" w:sz="0" w:space="0" w:color="auto"/>
                <w:right w:val="none" w:sz="0" w:space="0" w:color="auto"/>
              </w:divBdr>
            </w:div>
            <w:div w:id="97271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550839">
      <w:bodyDiv w:val="1"/>
      <w:marLeft w:val="0"/>
      <w:marRight w:val="0"/>
      <w:marTop w:val="0"/>
      <w:marBottom w:val="0"/>
      <w:divBdr>
        <w:top w:val="none" w:sz="0" w:space="0" w:color="auto"/>
        <w:left w:val="none" w:sz="0" w:space="0" w:color="auto"/>
        <w:bottom w:val="none" w:sz="0" w:space="0" w:color="auto"/>
        <w:right w:val="none" w:sz="0" w:space="0" w:color="auto"/>
      </w:divBdr>
    </w:div>
    <w:div w:id="1073240829">
      <w:bodyDiv w:val="1"/>
      <w:marLeft w:val="0"/>
      <w:marRight w:val="0"/>
      <w:marTop w:val="0"/>
      <w:marBottom w:val="0"/>
      <w:divBdr>
        <w:top w:val="none" w:sz="0" w:space="0" w:color="auto"/>
        <w:left w:val="none" w:sz="0" w:space="0" w:color="auto"/>
        <w:bottom w:val="none" w:sz="0" w:space="0" w:color="auto"/>
        <w:right w:val="none" w:sz="0" w:space="0" w:color="auto"/>
      </w:divBdr>
      <w:divsChild>
        <w:div w:id="27335383">
          <w:marLeft w:val="0"/>
          <w:marRight w:val="0"/>
          <w:marTop w:val="0"/>
          <w:marBottom w:val="0"/>
          <w:divBdr>
            <w:top w:val="none" w:sz="0" w:space="0" w:color="auto"/>
            <w:left w:val="none" w:sz="0" w:space="0" w:color="auto"/>
            <w:bottom w:val="none" w:sz="0" w:space="0" w:color="auto"/>
            <w:right w:val="none" w:sz="0" w:space="0" w:color="auto"/>
          </w:divBdr>
        </w:div>
        <w:div w:id="643658054">
          <w:marLeft w:val="0"/>
          <w:marRight w:val="0"/>
          <w:marTop w:val="0"/>
          <w:marBottom w:val="0"/>
          <w:divBdr>
            <w:top w:val="none" w:sz="0" w:space="0" w:color="auto"/>
            <w:left w:val="none" w:sz="0" w:space="0" w:color="auto"/>
            <w:bottom w:val="none" w:sz="0" w:space="0" w:color="auto"/>
            <w:right w:val="none" w:sz="0" w:space="0" w:color="auto"/>
          </w:divBdr>
        </w:div>
        <w:div w:id="672731641">
          <w:marLeft w:val="0"/>
          <w:marRight w:val="0"/>
          <w:marTop w:val="0"/>
          <w:marBottom w:val="0"/>
          <w:divBdr>
            <w:top w:val="none" w:sz="0" w:space="0" w:color="auto"/>
            <w:left w:val="none" w:sz="0" w:space="0" w:color="auto"/>
            <w:bottom w:val="none" w:sz="0" w:space="0" w:color="auto"/>
            <w:right w:val="none" w:sz="0" w:space="0" w:color="auto"/>
          </w:divBdr>
        </w:div>
        <w:div w:id="675306524">
          <w:marLeft w:val="0"/>
          <w:marRight w:val="0"/>
          <w:marTop w:val="0"/>
          <w:marBottom w:val="0"/>
          <w:divBdr>
            <w:top w:val="none" w:sz="0" w:space="0" w:color="auto"/>
            <w:left w:val="none" w:sz="0" w:space="0" w:color="auto"/>
            <w:bottom w:val="none" w:sz="0" w:space="0" w:color="auto"/>
            <w:right w:val="none" w:sz="0" w:space="0" w:color="auto"/>
          </w:divBdr>
          <w:divsChild>
            <w:div w:id="1348865680">
              <w:marLeft w:val="0"/>
              <w:marRight w:val="0"/>
              <w:marTop w:val="30"/>
              <w:marBottom w:val="30"/>
              <w:divBdr>
                <w:top w:val="none" w:sz="0" w:space="0" w:color="auto"/>
                <w:left w:val="none" w:sz="0" w:space="0" w:color="auto"/>
                <w:bottom w:val="none" w:sz="0" w:space="0" w:color="auto"/>
                <w:right w:val="none" w:sz="0" w:space="0" w:color="auto"/>
              </w:divBdr>
              <w:divsChild>
                <w:div w:id="225729163">
                  <w:marLeft w:val="0"/>
                  <w:marRight w:val="0"/>
                  <w:marTop w:val="0"/>
                  <w:marBottom w:val="0"/>
                  <w:divBdr>
                    <w:top w:val="none" w:sz="0" w:space="0" w:color="auto"/>
                    <w:left w:val="none" w:sz="0" w:space="0" w:color="auto"/>
                    <w:bottom w:val="none" w:sz="0" w:space="0" w:color="auto"/>
                    <w:right w:val="none" w:sz="0" w:space="0" w:color="auto"/>
                  </w:divBdr>
                  <w:divsChild>
                    <w:div w:id="17582272">
                      <w:marLeft w:val="0"/>
                      <w:marRight w:val="0"/>
                      <w:marTop w:val="0"/>
                      <w:marBottom w:val="0"/>
                      <w:divBdr>
                        <w:top w:val="none" w:sz="0" w:space="0" w:color="auto"/>
                        <w:left w:val="none" w:sz="0" w:space="0" w:color="auto"/>
                        <w:bottom w:val="none" w:sz="0" w:space="0" w:color="auto"/>
                        <w:right w:val="none" w:sz="0" w:space="0" w:color="auto"/>
                      </w:divBdr>
                    </w:div>
                  </w:divsChild>
                </w:div>
                <w:div w:id="1162886719">
                  <w:marLeft w:val="0"/>
                  <w:marRight w:val="0"/>
                  <w:marTop w:val="0"/>
                  <w:marBottom w:val="0"/>
                  <w:divBdr>
                    <w:top w:val="none" w:sz="0" w:space="0" w:color="auto"/>
                    <w:left w:val="none" w:sz="0" w:space="0" w:color="auto"/>
                    <w:bottom w:val="none" w:sz="0" w:space="0" w:color="auto"/>
                    <w:right w:val="none" w:sz="0" w:space="0" w:color="auto"/>
                  </w:divBdr>
                  <w:divsChild>
                    <w:div w:id="1730954874">
                      <w:marLeft w:val="0"/>
                      <w:marRight w:val="0"/>
                      <w:marTop w:val="0"/>
                      <w:marBottom w:val="0"/>
                      <w:divBdr>
                        <w:top w:val="none" w:sz="0" w:space="0" w:color="auto"/>
                        <w:left w:val="none" w:sz="0" w:space="0" w:color="auto"/>
                        <w:bottom w:val="none" w:sz="0" w:space="0" w:color="auto"/>
                        <w:right w:val="none" w:sz="0" w:space="0" w:color="auto"/>
                      </w:divBdr>
                    </w:div>
                  </w:divsChild>
                </w:div>
                <w:div w:id="1384868203">
                  <w:marLeft w:val="0"/>
                  <w:marRight w:val="0"/>
                  <w:marTop w:val="0"/>
                  <w:marBottom w:val="0"/>
                  <w:divBdr>
                    <w:top w:val="none" w:sz="0" w:space="0" w:color="auto"/>
                    <w:left w:val="none" w:sz="0" w:space="0" w:color="auto"/>
                    <w:bottom w:val="none" w:sz="0" w:space="0" w:color="auto"/>
                    <w:right w:val="none" w:sz="0" w:space="0" w:color="auto"/>
                  </w:divBdr>
                  <w:divsChild>
                    <w:div w:id="231282481">
                      <w:marLeft w:val="0"/>
                      <w:marRight w:val="0"/>
                      <w:marTop w:val="0"/>
                      <w:marBottom w:val="0"/>
                      <w:divBdr>
                        <w:top w:val="none" w:sz="0" w:space="0" w:color="auto"/>
                        <w:left w:val="none" w:sz="0" w:space="0" w:color="auto"/>
                        <w:bottom w:val="none" w:sz="0" w:space="0" w:color="auto"/>
                        <w:right w:val="none" w:sz="0" w:space="0" w:color="auto"/>
                      </w:divBdr>
                    </w:div>
                  </w:divsChild>
                </w:div>
                <w:div w:id="1957171609">
                  <w:marLeft w:val="0"/>
                  <w:marRight w:val="0"/>
                  <w:marTop w:val="0"/>
                  <w:marBottom w:val="0"/>
                  <w:divBdr>
                    <w:top w:val="none" w:sz="0" w:space="0" w:color="auto"/>
                    <w:left w:val="none" w:sz="0" w:space="0" w:color="auto"/>
                    <w:bottom w:val="none" w:sz="0" w:space="0" w:color="auto"/>
                    <w:right w:val="none" w:sz="0" w:space="0" w:color="auto"/>
                  </w:divBdr>
                  <w:divsChild>
                    <w:div w:id="95645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952213">
          <w:marLeft w:val="0"/>
          <w:marRight w:val="0"/>
          <w:marTop w:val="0"/>
          <w:marBottom w:val="0"/>
          <w:divBdr>
            <w:top w:val="none" w:sz="0" w:space="0" w:color="auto"/>
            <w:left w:val="none" w:sz="0" w:space="0" w:color="auto"/>
            <w:bottom w:val="none" w:sz="0" w:space="0" w:color="auto"/>
            <w:right w:val="none" w:sz="0" w:space="0" w:color="auto"/>
          </w:divBdr>
          <w:divsChild>
            <w:div w:id="785269686">
              <w:marLeft w:val="0"/>
              <w:marRight w:val="0"/>
              <w:marTop w:val="30"/>
              <w:marBottom w:val="30"/>
              <w:divBdr>
                <w:top w:val="none" w:sz="0" w:space="0" w:color="auto"/>
                <w:left w:val="none" w:sz="0" w:space="0" w:color="auto"/>
                <w:bottom w:val="none" w:sz="0" w:space="0" w:color="auto"/>
                <w:right w:val="none" w:sz="0" w:space="0" w:color="auto"/>
              </w:divBdr>
              <w:divsChild>
                <w:div w:id="489904599">
                  <w:marLeft w:val="0"/>
                  <w:marRight w:val="0"/>
                  <w:marTop w:val="0"/>
                  <w:marBottom w:val="0"/>
                  <w:divBdr>
                    <w:top w:val="none" w:sz="0" w:space="0" w:color="auto"/>
                    <w:left w:val="none" w:sz="0" w:space="0" w:color="auto"/>
                    <w:bottom w:val="none" w:sz="0" w:space="0" w:color="auto"/>
                    <w:right w:val="none" w:sz="0" w:space="0" w:color="auto"/>
                  </w:divBdr>
                  <w:divsChild>
                    <w:div w:id="2024286729">
                      <w:marLeft w:val="0"/>
                      <w:marRight w:val="0"/>
                      <w:marTop w:val="0"/>
                      <w:marBottom w:val="0"/>
                      <w:divBdr>
                        <w:top w:val="none" w:sz="0" w:space="0" w:color="auto"/>
                        <w:left w:val="none" w:sz="0" w:space="0" w:color="auto"/>
                        <w:bottom w:val="none" w:sz="0" w:space="0" w:color="auto"/>
                        <w:right w:val="none" w:sz="0" w:space="0" w:color="auto"/>
                      </w:divBdr>
                    </w:div>
                  </w:divsChild>
                </w:div>
                <w:div w:id="494688075">
                  <w:marLeft w:val="0"/>
                  <w:marRight w:val="0"/>
                  <w:marTop w:val="0"/>
                  <w:marBottom w:val="0"/>
                  <w:divBdr>
                    <w:top w:val="none" w:sz="0" w:space="0" w:color="auto"/>
                    <w:left w:val="none" w:sz="0" w:space="0" w:color="auto"/>
                    <w:bottom w:val="none" w:sz="0" w:space="0" w:color="auto"/>
                    <w:right w:val="none" w:sz="0" w:space="0" w:color="auto"/>
                  </w:divBdr>
                  <w:divsChild>
                    <w:div w:id="202797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013932">
          <w:marLeft w:val="0"/>
          <w:marRight w:val="0"/>
          <w:marTop w:val="0"/>
          <w:marBottom w:val="0"/>
          <w:divBdr>
            <w:top w:val="none" w:sz="0" w:space="0" w:color="auto"/>
            <w:left w:val="none" w:sz="0" w:space="0" w:color="auto"/>
            <w:bottom w:val="none" w:sz="0" w:space="0" w:color="auto"/>
            <w:right w:val="none" w:sz="0" w:space="0" w:color="auto"/>
          </w:divBdr>
        </w:div>
        <w:div w:id="1157958246">
          <w:marLeft w:val="0"/>
          <w:marRight w:val="0"/>
          <w:marTop w:val="0"/>
          <w:marBottom w:val="0"/>
          <w:divBdr>
            <w:top w:val="none" w:sz="0" w:space="0" w:color="auto"/>
            <w:left w:val="none" w:sz="0" w:space="0" w:color="auto"/>
            <w:bottom w:val="none" w:sz="0" w:space="0" w:color="auto"/>
            <w:right w:val="none" w:sz="0" w:space="0" w:color="auto"/>
          </w:divBdr>
          <w:divsChild>
            <w:div w:id="2102791834">
              <w:marLeft w:val="0"/>
              <w:marRight w:val="0"/>
              <w:marTop w:val="30"/>
              <w:marBottom w:val="30"/>
              <w:divBdr>
                <w:top w:val="none" w:sz="0" w:space="0" w:color="auto"/>
                <w:left w:val="none" w:sz="0" w:space="0" w:color="auto"/>
                <w:bottom w:val="none" w:sz="0" w:space="0" w:color="auto"/>
                <w:right w:val="none" w:sz="0" w:space="0" w:color="auto"/>
              </w:divBdr>
              <w:divsChild>
                <w:div w:id="106241666">
                  <w:marLeft w:val="0"/>
                  <w:marRight w:val="0"/>
                  <w:marTop w:val="0"/>
                  <w:marBottom w:val="0"/>
                  <w:divBdr>
                    <w:top w:val="none" w:sz="0" w:space="0" w:color="auto"/>
                    <w:left w:val="none" w:sz="0" w:space="0" w:color="auto"/>
                    <w:bottom w:val="none" w:sz="0" w:space="0" w:color="auto"/>
                    <w:right w:val="none" w:sz="0" w:space="0" w:color="auto"/>
                  </w:divBdr>
                  <w:divsChild>
                    <w:div w:id="1812017406">
                      <w:marLeft w:val="0"/>
                      <w:marRight w:val="0"/>
                      <w:marTop w:val="0"/>
                      <w:marBottom w:val="0"/>
                      <w:divBdr>
                        <w:top w:val="none" w:sz="0" w:space="0" w:color="auto"/>
                        <w:left w:val="none" w:sz="0" w:space="0" w:color="auto"/>
                        <w:bottom w:val="none" w:sz="0" w:space="0" w:color="auto"/>
                        <w:right w:val="none" w:sz="0" w:space="0" w:color="auto"/>
                      </w:divBdr>
                    </w:div>
                  </w:divsChild>
                </w:div>
                <w:div w:id="146554863">
                  <w:marLeft w:val="0"/>
                  <w:marRight w:val="0"/>
                  <w:marTop w:val="0"/>
                  <w:marBottom w:val="0"/>
                  <w:divBdr>
                    <w:top w:val="none" w:sz="0" w:space="0" w:color="auto"/>
                    <w:left w:val="none" w:sz="0" w:space="0" w:color="auto"/>
                    <w:bottom w:val="none" w:sz="0" w:space="0" w:color="auto"/>
                    <w:right w:val="none" w:sz="0" w:space="0" w:color="auto"/>
                  </w:divBdr>
                  <w:divsChild>
                    <w:div w:id="1293945343">
                      <w:marLeft w:val="0"/>
                      <w:marRight w:val="0"/>
                      <w:marTop w:val="0"/>
                      <w:marBottom w:val="0"/>
                      <w:divBdr>
                        <w:top w:val="none" w:sz="0" w:space="0" w:color="auto"/>
                        <w:left w:val="none" w:sz="0" w:space="0" w:color="auto"/>
                        <w:bottom w:val="none" w:sz="0" w:space="0" w:color="auto"/>
                        <w:right w:val="none" w:sz="0" w:space="0" w:color="auto"/>
                      </w:divBdr>
                    </w:div>
                  </w:divsChild>
                </w:div>
                <w:div w:id="222720490">
                  <w:marLeft w:val="0"/>
                  <w:marRight w:val="0"/>
                  <w:marTop w:val="0"/>
                  <w:marBottom w:val="0"/>
                  <w:divBdr>
                    <w:top w:val="none" w:sz="0" w:space="0" w:color="auto"/>
                    <w:left w:val="none" w:sz="0" w:space="0" w:color="auto"/>
                    <w:bottom w:val="none" w:sz="0" w:space="0" w:color="auto"/>
                    <w:right w:val="none" w:sz="0" w:space="0" w:color="auto"/>
                  </w:divBdr>
                  <w:divsChild>
                    <w:div w:id="2088764950">
                      <w:marLeft w:val="0"/>
                      <w:marRight w:val="0"/>
                      <w:marTop w:val="0"/>
                      <w:marBottom w:val="0"/>
                      <w:divBdr>
                        <w:top w:val="none" w:sz="0" w:space="0" w:color="auto"/>
                        <w:left w:val="none" w:sz="0" w:space="0" w:color="auto"/>
                        <w:bottom w:val="none" w:sz="0" w:space="0" w:color="auto"/>
                        <w:right w:val="none" w:sz="0" w:space="0" w:color="auto"/>
                      </w:divBdr>
                    </w:div>
                  </w:divsChild>
                </w:div>
                <w:div w:id="227345584">
                  <w:marLeft w:val="0"/>
                  <w:marRight w:val="0"/>
                  <w:marTop w:val="0"/>
                  <w:marBottom w:val="0"/>
                  <w:divBdr>
                    <w:top w:val="none" w:sz="0" w:space="0" w:color="auto"/>
                    <w:left w:val="none" w:sz="0" w:space="0" w:color="auto"/>
                    <w:bottom w:val="none" w:sz="0" w:space="0" w:color="auto"/>
                    <w:right w:val="none" w:sz="0" w:space="0" w:color="auto"/>
                  </w:divBdr>
                  <w:divsChild>
                    <w:div w:id="1130054157">
                      <w:marLeft w:val="0"/>
                      <w:marRight w:val="0"/>
                      <w:marTop w:val="0"/>
                      <w:marBottom w:val="0"/>
                      <w:divBdr>
                        <w:top w:val="none" w:sz="0" w:space="0" w:color="auto"/>
                        <w:left w:val="none" w:sz="0" w:space="0" w:color="auto"/>
                        <w:bottom w:val="none" w:sz="0" w:space="0" w:color="auto"/>
                        <w:right w:val="none" w:sz="0" w:space="0" w:color="auto"/>
                      </w:divBdr>
                    </w:div>
                  </w:divsChild>
                </w:div>
                <w:div w:id="339815499">
                  <w:marLeft w:val="0"/>
                  <w:marRight w:val="0"/>
                  <w:marTop w:val="0"/>
                  <w:marBottom w:val="0"/>
                  <w:divBdr>
                    <w:top w:val="none" w:sz="0" w:space="0" w:color="auto"/>
                    <w:left w:val="none" w:sz="0" w:space="0" w:color="auto"/>
                    <w:bottom w:val="none" w:sz="0" w:space="0" w:color="auto"/>
                    <w:right w:val="none" w:sz="0" w:space="0" w:color="auto"/>
                  </w:divBdr>
                  <w:divsChild>
                    <w:div w:id="2102481276">
                      <w:marLeft w:val="0"/>
                      <w:marRight w:val="0"/>
                      <w:marTop w:val="0"/>
                      <w:marBottom w:val="0"/>
                      <w:divBdr>
                        <w:top w:val="none" w:sz="0" w:space="0" w:color="auto"/>
                        <w:left w:val="none" w:sz="0" w:space="0" w:color="auto"/>
                        <w:bottom w:val="none" w:sz="0" w:space="0" w:color="auto"/>
                        <w:right w:val="none" w:sz="0" w:space="0" w:color="auto"/>
                      </w:divBdr>
                    </w:div>
                  </w:divsChild>
                </w:div>
                <w:div w:id="350910599">
                  <w:marLeft w:val="0"/>
                  <w:marRight w:val="0"/>
                  <w:marTop w:val="0"/>
                  <w:marBottom w:val="0"/>
                  <w:divBdr>
                    <w:top w:val="none" w:sz="0" w:space="0" w:color="auto"/>
                    <w:left w:val="none" w:sz="0" w:space="0" w:color="auto"/>
                    <w:bottom w:val="none" w:sz="0" w:space="0" w:color="auto"/>
                    <w:right w:val="none" w:sz="0" w:space="0" w:color="auto"/>
                  </w:divBdr>
                  <w:divsChild>
                    <w:div w:id="1859463745">
                      <w:marLeft w:val="0"/>
                      <w:marRight w:val="0"/>
                      <w:marTop w:val="0"/>
                      <w:marBottom w:val="0"/>
                      <w:divBdr>
                        <w:top w:val="none" w:sz="0" w:space="0" w:color="auto"/>
                        <w:left w:val="none" w:sz="0" w:space="0" w:color="auto"/>
                        <w:bottom w:val="none" w:sz="0" w:space="0" w:color="auto"/>
                        <w:right w:val="none" w:sz="0" w:space="0" w:color="auto"/>
                      </w:divBdr>
                    </w:div>
                  </w:divsChild>
                </w:div>
                <w:div w:id="380985222">
                  <w:marLeft w:val="0"/>
                  <w:marRight w:val="0"/>
                  <w:marTop w:val="0"/>
                  <w:marBottom w:val="0"/>
                  <w:divBdr>
                    <w:top w:val="none" w:sz="0" w:space="0" w:color="auto"/>
                    <w:left w:val="none" w:sz="0" w:space="0" w:color="auto"/>
                    <w:bottom w:val="none" w:sz="0" w:space="0" w:color="auto"/>
                    <w:right w:val="none" w:sz="0" w:space="0" w:color="auto"/>
                  </w:divBdr>
                  <w:divsChild>
                    <w:div w:id="1334071405">
                      <w:marLeft w:val="0"/>
                      <w:marRight w:val="0"/>
                      <w:marTop w:val="0"/>
                      <w:marBottom w:val="0"/>
                      <w:divBdr>
                        <w:top w:val="none" w:sz="0" w:space="0" w:color="auto"/>
                        <w:left w:val="none" w:sz="0" w:space="0" w:color="auto"/>
                        <w:bottom w:val="none" w:sz="0" w:space="0" w:color="auto"/>
                        <w:right w:val="none" w:sz="0" w:space="0" w:color="auto"/>
                      </w:divBdr>
                    </w:div>
                  </w:divsChild>
                </w:div>
                <w:div w:id="453791411">
                  <w:marLeft w:val="0"/>
                  <w:marRight w:val="0"/>
                  <w:marTop w:val="0"/>
                  <w:marBottom w:val="0"/>
                  <w:divBdr>
                    <w:top w:val="none" w:sz="0" w:space="0" w:color="auto"/>
                    <w:left w:val="none" w:sz="0" w:space="0" w:color="auto"/>
                    <w:bottom w:val="none" w:sz="0" w:space="0" w:color="auto"/>
                    <w:right w:val="none" w:sz="0" w:space="0" w:color="auto"/>
                  </w:divBdr>
                  <w:divsChild>
                    <w:div w:id="1285624153">
                      <w:marLeft w:val="0"/>
                      <w:marRight w:val="0"/>
                      <w:marTop w:val="0"/>
                      <w:marBottom w:val="0"/>
                      <w:divBdr>
                        <w:top w:val="none" w:sz="0" w:space="0" w:color="auto"/>
                        <w:left w:val="none" w:sz="0" w:space="0" w:color="auto"/>
                        <w:bottom w:val="none" w:sz="0" w:space="0" w:color="auto"/>
                        <w:right w:val="none" w:sz="0" w:space="0" w:color="auto"/>
                      </w:divBdr>
                    </w:div>
                  </w:divsChild>
                </w:div>
                <w:div w:id="465590567">
                  <w:marLeft w:val="0"/>
                  <w:marRight w:val="0"/>
                  <w:marTop w:val="0"/>
                  <w:marBottom w:val="0"/>
                  <w:divBdr>
                    <w:top w:val="none" w:sz="0" w:space="0" w:color="auto"/>
                    <w:left w:val="none" w:sz="0" w:space="0" w:color="auto"/>
                    <w:bottom w:val="none" w:sz="0" w:space="0" w:color="auto"/>
                    <w:right w:val="none" w:sz="0" w:space="0" w:color="auto"/>
                  </w:divBdr>
                  <w:divsChild>
                    <w:div w:id="800608064">
                      <w:marLeft w:val="0"/>
                      <w:marRight w:val="0"/>
                      <w:marTop w:val="0"/>
                      <w:marBottom w:val="0"/>
                      <w:divBdr>
                        <w:top w:val="none" w:sz="0" w:space="0" w:color="auto"/>
                        <w:left w:val="none" w:sz="0" w:space="0" w:color="auto"/>
                        <w:bottom w:val="none" w:sz="0" w:space="0" w:color="auto"/>
                        <w:right w:val="none" w:sz="0" w:space="0" w:color="auto"/>
                      </w:divBdr>
                    </w:div>
                    <w:div w:id="1283339077">
                      <w:marLeft w:val="0"/>
                      <w:marRight w:val="0"/>
                      <w:marTop w:val="0"/>
                      <w:marBottom w:val="0"/>
                      <w:divBdr>
                        <w:top w:val="none" w:sz="0" w:space="0" w:color="auto"/>
                        <w:left w:val="none" w:sz="0" w:space="0" w:color="auto"/>
                        <w:bottom w:val="none" w:sz="0" w:space="0" w:color="auto"/>
                        <w:right w:val="none" w:sz="0" w:space="0" w:color="auto"/>
                      </w:divBdr>
                    </w:div>
                    <w:div w:id="2012830430">
                      <w:marLeft w:val="0"/>
                      <w:marRight w:val="0"/>
                      <w:marTop w:val="0"/>
                      <w:marBottom w:val="0"/>
                      <w:divBdr>
                        <w:top w:val="none" w:sz="0" w:space="0" w:color="auto"/>
                        <w:left w:val="none" w:sz="0" w:space="0" w:color="auto"/>
                        <w:bottom w:val="none" w:sz="0" w:space="0" w:color="auto"/>
                        <w:right w:val="none" w:sz="0" w:space="0" w:color="auto"/>
                      </w:divBdr>
                    </w:div>
                    <w:div w:id="2142187367">
                      <w:marLeft w:val="0"/>
                      <w:marRight w:val="0"/>
                      <w:marTop w:val="0"/>
                      <w:marBottom w:val="0"/>
                      <w:divBdr>
                        <w:top w:val="none" w:sz="0" w:space="0" w:color="auto"/>
                        <w:left w:val="none" w:sz="0" w:space="0" w:color="auto"/>
                        <w:bottom w:val="none" w:sz="0" w:space="0" w:color="auto"/>
                        <w:right w:val="none" w:sz="0" w:space="0" w:color="auto"/>
                      </w:divBdr>
                    </w:div>
                  </w:divsChild>
                </w:div>
                <w:div w:id="526941803">
                  <w:marLeft w:val="0"/>
                  <w:marRight w:val="0"/>
                  <w:marTop w:val="0"/>
                  <w:marBottom w:val="0"/>
                  <w:divBdr>
                    <w:top w:val="none" w:sz="0" w:space="0" w:color="auto"/>
                    <w:left w:val="none" w:sz="0" w:space="0" w:color="auto"/>
                    <w:bottom w:val="none" w:sz="0" w:space="0" w:color="auto"/>
                    <w:right w:val="none" w:sz="0" w:space="0" w:color="auto"/>
                  </w:divBdr>
                  <w:divsChild>
                    <w:div w:id="744184362">
                      <w:marLeft w:val="0"/>
                      <w:marRight w:val="0"/>
                      <w:marTop w:val="0"/>
                      <w:marBottom w:val="0"/>
                      <w:divBdr>
                        <w:top w:val="none" w:sz="0" w:space="0" w:color="auto"/>
                        <w:left w:val="none" w:sz="0" w:space="0" w:color="auto"/>
                        <w:bottom w:val="none" w:sz="0" w:space="0" w:color="auto"/>
                        <w:right w:val="none" w:sz="0" w:space="0" w:color="auto"/>
                      </w:divBdr>
                    </w:div>
                  </w:divsChild>
                </w:div>
                <w:div w:id="1320959435">
                  <w:marLeft w:val="0"/>
                  <w:marRight w:val="0"/>
                  <w:marTop w:val="0"/>
                  <w:marBottom w:val="0"/>
                  <w:divBdr>
                    <w:top w:val="none" w:sz="0" w:space="0" w:color="auto"/>
                    <w:left w:val="none" w:sz="0" w:space="0" w:color="auto"/>
                    <w:bottom w:val="none" w:sz="0" w:space="0" w:color="auto"/>
                    <w:right w:val="none" w:sz="0" w:space="0" w:color="auto"/>
                  </w:divBdr>
                  <w:divsChild>
                    <w:div w:id="1240864178">
                      <w:marLeft w:val="0"/>
                      <w:marRight w:val="0"/>
                      <w:marTop w:val="0"/>
                      <w:marBottom w:val="0"/>
                      <w:divBdr>
                        <w:top w:val="none" w:sz="0" w:space="0" w:color="auto"/>
                        <w:left w:val="none" w:sz="0" w:space="0" w:color="auto"/>
                        <w:bottom w:val="none" w:sz="0" w:space="0" w:color="auto"/>
                        <w:right w:val="none" w:sz="0" w:space="0" w:color="auto"/>
                      </w:divBdr>
                    </w:div>
                  </w:divsChild>
                </w:div>
                <w:div w:id="1590312065">
                  <w:marLeft w:val="0"/>
                  <w:marRight w:val="0"/>
                  <w:marTop w:val="0"/>
                  <w:marBottom w:val="0"/>
                  <w:divBdr>
                    <w:top w:val="none" w:sz="0" w:space="0" w:color="auto"/>
                    <w:left w:val="none" w:sz="0" w:space="0" w:color="auto"/>
                    <w:bottom w:val="none" w:sz="0" w:space="0" w:color="auto"/>
                    <w:right w:val="none" w:sz="0" w:space="0" w:color="auto"/>
                  </w:divBdr>
                  <w:divsChild>
                    <w:div w:id="1442458926">
                      <w:marLeft w:val="0"/>
                      <w:marRight w:val="0"/>
                      <w:marTop w:val="0"/>
                      <w:marBottom w:val="0"/>
                      <w:divBdr>
                        <w:top w:val="none" w:sz="0" w:space="0" w:color="auto"/>
                        <w:left w:val="none" w:sz="0" w:space="0" w:color="auto"/>
                        <w:bottom w:val="none" w:sz="0" w:space="0" w:color="auto"/>
                        <w:right w:val="none" w:sz="0" w:space="0" w:color="auto"/>
                      </w:divBdr>
                    </w:div>
                  </w:divsChild>
                </w:div>
                <w:div w:id="1937209668">
                  <w:marLeft w:val="0"/>
                  <w:marRight w:val="0"/>
                  <w:marTop w:val="0"/>
                  <w:marBottom w:val="0"/>
                  <w:divBdr>
                    <w:top w:val="none" w:sz="0" w:space="0" w:color="auto"/>
                    <w:left w:val="none" w:sz="0" w:space="0" w:color="auto"/>
                    <w:bottom w:val="none" w:sz="0" w:space="0" w:color="auto"/>
                    <w:right w:val="none" w:sz="0" w:space="0" w:color="auto"/>
                  </w:divBdr>
                  <w:divsChild>
                    <w:div w:id="1416321170">
                      <w:marLeft w:val="0"/>
                      <w:marRight w:val="0"/>
                      <w:marTop w:val="0"/>
                      <w:marBottom w:val="0"/>
                      <w:divBdr>
                        <w:top w:val="none" w:sz="0" w:space="0" w:color="auto"/>
                        <w:left w:val="none" w:sz="0" w:space="0" w:color="auto"/>
                        <w:bottom w:val="none" w:sz="0" w:space="0" w:color="auto"/>
                        <w:right w:val="none" w:sz="0" w:space="0" w:color="auto"/>
                      </w:divBdr>
                    </w:div>
                  </w:divsChild>
                </w:div>
                <w:div w:id="2070565438">
                  <w:marLeft w:val="0"/>
                  <w:marRight w:val="0"/>
                  <w:marTop w:val="0"/>
                  <w:marBottom w:val="0"/>
                  <w:divBdr>
                    <w:top w:val="none" w:sz="0" w:space="0" w:color="auto"/>
                    <w:left w:val="none" w:sz="0" w:space="0" w:color="auto"/>
                    <w:bottom w:val="none" w:sz="0" w:space="0" w:color="auto"/>
                    <w:right w:val="none" w:sz="0" w:space="0" w:color="auto"/>
                  </w:divBdr>
                  <w:divsChild>
                    <w:div w:id="147679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754156">
          <w:marLeft w:val="0"/>
          <w:marRight w:val="0"/>
          <w:marTop w:val="0"/>
          <w:marBottom w:val="0"/>
          <w:divBdr>
            <w:top w:val="none" w:sz="0" w:space="0" w:color="auto"/>
            <w:left w:val="none" w:sz="0" w:space="0" w:color="auto"/>
            <w:bottom w:val="none" w:sz="0" w:space="0" w:color="auto"/>
            <w:right w:val="none" w:sz="0" w:space="0" w:color="auto"/>
          </w:divBdr>
          <w:divsChild>
            <w:div w:id="86392732">
              <w:marLeft w:val="0"/>
              <w:marRight w:val="0"/>
              <w:marTop w:val="30"/>
              <w:marBottom w:val="30"/>
              <w:divBdr>
                <w:top w:val="none" w:sz="0" w:space="0" w:color="auto"/>
                <w:left w:val="none" w:sz="0" w:space="0" w:color="auto"/>
                <w:bottom w:val="none" w:sz="0" w:space="0" w:color="auto"/>
                <w:right w:val="none" w:sz="0" w:space="0" w:color="auto"/>
              </w:divBdr>
              <w:divsChild>
                <w:div w:id="1437480677">
                  <w:marLeft w:val="0"/>
                  <w:marRight w:val="0"/>
                  <w:marTop w:val="0"/>
                  <w:marBottom w:val="0"/>
                  <w:divBdr>
                    <w:top w:val="none" w:sz="0" w:space="0" w:color="auto"/>
                    <w:left w:val="none" w:sz="0" w:space="0" w:color="auto"/>
                    <w:bottom w:val="none" w:sz="0" w:space="0" w:color="auto"/>
                    <w:right w:val="none" w:sz="0" w:space="0" w:color="auto"/>
                  </w:divBdr>
                  <w:divsChild>
                    <w:div w:id="973556476">
                      <w:marLeft w:val="0"/>
                      <w:marRight w:val="0"/>
                      <w:marTop w:val="0"/>
                      <w:marBottom w:val="0"/>
                      <w:divBdr>
                        <w:top w:val="none" w:sz="0" w:space="0" w:color="auto"/>
                        <w:left w:val="none" w:sz="0" w:space="0" w:color="auto"/>
                        <w:bottom w:val="none" w:sz="0" w:space="0" w:color="auto"/>
                        <w:right w:val="none" w:sz="0" w:space="0" w:color="auto"/>
                      </w:divBdr>
                    </w:div>
                  </w:divsChild>
                </w:div>
                <w:div w:id="1554611297">
                  <w:marLeft w:val="0"/>
                  <w:marRight w:val="0"/>
                  <w:marTop w:val="0"/>
                  <w:marBottom w:val="0"/>
                  <w:divBdr>
                    <w:top w:val="none" w:sz="0" w:space="0" w:color="auto"/>
                    <w:left w:val="none" w:sz="0" w:space="0" w:color="auto"/>
                    <w:bottom w:val="none" w:sz="0" w:space="0" w:color="auto"/>
                    <w:right w:val="none" w:sz="0" w:space="0" w:color="auto"/>
                  </w:divBdr>
                  <w:divsChild>
                    <w:div w:id="97552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849640">
          <w:marLeft w:val="0"/>
          <w:marRight w:val="0"/>
          <w:marTop w:val="0"/>
          <w:marBottom w:val="0"/>
          <w:divBdr>
            <w:top w:val="none" w:sz="0" w:space="0" w:color="auto"/>
            <w:left w:val="none" w:sz="0" w:space="0" w:color="auto"/>
            <w:bottom w:val="none" w:sz="0" w:space="0" w:color="auto"/>
            <w:right w:val="none" w:sz="0" w:space="0" w:color="auto"/>
          </w:divBdr>
        </w:div>
        <w:div w:id="1684283163">
          <w:marLeft w:val="0"/>
          <w:marRight w:val="0"/>
          <w:marTop w:val="0"/>
          <w:marBottom w:val="0"/>
          <w:divBdr>
            <w:top w:val="none" w:sz="0" w:space="0" w:color="auto"/>
            <w:left w:val="none" w:sz="0" w:space="0" w:color="auto"/>
            <w:bottom w:val="none" w:sz="0" w:space="0" w:color="auto"/>
            <w:right w:val="none" w:sz="0" w:space="0" w:color="auto"/>
          </w:divBdr>
          <w:divsChild>
            <w:div w:id="1845316002">
              <w:marLeft w:val="0"/>
              <w:marRight w:val="0"/>
              <w:marTop w:val="30"/>
              <w:marBottom w:val="30"/>
              <w:divBdr>
                <w:top w:val="none" w:sz="0" w:space="0" w:color="auto"/>
                <w:left w:val="none" w:sz="0" w:space="0" w:color="auto"/>
                <w:bottom w:val="none" w:sz="0" w:space="0" w:color="auto"/>
                <w:right w:val="none" w:sz="0" w:space="0" w:color="auto"/>
              </w:divBdr>
              <w:divsChild>
                <w:div w:id="201788753">
                  <w:marLeft w:val="0"/>
                  <w:marRight w:val="0"/>
                  <w:marTop w:val="0"/>
                  <w:marBottom w:val="0"/>
                  <w:divBdr>
                    <w:top w:val="none" w:sz="0" w:space="0" w:color="auto"/>
                    <w:left w:val="none" w:sz="0" w:space="0" w:color="auto"/>
                    <w:bottom w:val="none" w:sz="0" w:space="0" w:color="auto"/>
                    <w:right w:val="none" w:sz="0" w:space="0" w:color="auto"/>
                  </w:divBdr>
                  <w:divsChild>
                    <w:div w:id="1455833266">
                      <w:marLeft w:val="0"/>
                      <w:marRight w:val="0"/>
                      <w:marTop w:val="0"/>
                      <w:marBottom w:val="0"/>
                      <w:divBdr>
                        <w:top w:val="none" w:sz="0" w:space="0" w:color="auto"/>
                        <w:left w:val="none" w:sz="0" w:space="0" w:color="auto"/>
                        <w:bottom w:val="none" w:sz="0" w:space="0" w:color="auto"/>
                        <w:right w:val="none" w:sz="0" w:space="0" w:color="auto"/>
                      </w:divBdr>
                    </w:div>
                  </w:divsChild>
                </w:div>
                <w:div w:id="252008490">
                  <w:marLeft w:val="0"/>
                  <w:marRight w:val="0"/>
                  <w:marTop w:val="0"/>
                  <w:marBottom w:val="0"/>
                  <w:divBdr>
                    <w:top w:val="none" w:sz="0" w:space="0" w:color="auto"/>
                    <w:left w:val="none" w:sz="0" w:space="0" w:color="auto"/>
                    <w:bottom w:val="none" w:sz="0" w:space="0" w:color="auto"/>
                    <w:right w:val="none" w:sz="0" w:space="0" w:color="auto"/>
                  </w:divBdr>
                  <w:divsChild>
                    <w:div w:id="921914020">
                      <w:marLeft w:val="0"/>
                      <w:marRight w:val="0"/>
                      <w:marTop w:val="0"/>
                      <w:marBottom w:val="0"/>
                      <w:divBdr>
                        <w:top w:val="none" w:sz="0" w:space="0" w:color="auto"/>
                        <w:left w:val="none" w:sz="0" w:space="0" w:color="auto"/>
                        <w:bottom w:val="none" w:sz="0" w:space="0" w:color="auto"/>
                        <w:right w:val="none" w:sz="0" w:space="0" w:color="auto"/>
                      </w:divBdr>
                    </w:div>
                  </w:divsChild>
                </w:div>
                <w:div w:id="259219125">
                  <w:marLeft w:val="0"/>
                  <w:marRight w:val="0"/>
                  <w:marTop w:val="0"/>
                  <w:marBottom w:val="0"/>
                  <w:divBdr>
                    <w:top w:val="none" w:sz="0" w:space="0" w:color="auto"/>
                    <w:left w:val="none" w:sz="0" w:space="0" w:color="auto"/>
                    <w:bottom w:val="none" w:sz="0" w:space="0" w:color="auto"/>
                    <w:right w:val="none" w:sz="0" w:space="0" w:color="auto"/>
                  </w:divBdr>
                  <w:divsChild>
                    <w:div w:id="677581505">
                      <w:marLeft w:val="0"/>
                      <w:marRight w:val="0"/>
                      <w:marTop w:val="0"/>
                      <w:marBottom w:val="0"/>
                      <w:divBdr>
                        <w:top w:val="none" w:sz="0" w:space="0" w:color="auto"/>
                        <w:left w:val="none" w:sz="0" w:space="0" w:color="auto"/>
                        <w:bottom w:val="none" w:sz="0" w:space="0" w:color="auto"/>
                        <w:right w:val="none" w:sz="0" w:space="0" w:color="auto"/>
                      </w:divBdr>
                    </w:div>
                  </w:divsChild>
                </w:div>
                <w:div w:id="889075050">
                  <w:marLeft w:val="0"/>
                  <w:marRight w:val="0"/>
                  <w:marTop w:val="0"/>
                  <w:marBottom w:val="0"/>
                  <w:divBdr>
                    <w:top w:val="none" w:sz="0" w:space="0" w:color="auto"/>
                    <w:left w:val="none" w:sz="0" w:space="0" w:color="auto"/>
                    <w:bottom w:val="none" w:sz="0" w:space="0" w:color="auto"/>
                    <w:right w:val="none" w:sz="0" w:space="0" w:color="auto"/>
                  </w:divBdr>
                  <w:divsChild>
                    <w:div w:id="475298396">
                      <w:marLeft w:val="0"/>
                      <w:marRight w:val="0"/>
                      <w:marTop w:val="0"/>
                      <w:marBottom w:val="0"/>
                      <w:divBdr>
                        <w:top w:val="none" w:sz="0" w:space="0" w:color="auto"/>
                        <w:left w:val="none" w:sz="0" w:space="0" w:color="auto"/>
                        <w:bottom w:val="none" w:sz="0" w:space="0" w:color="auto"/>
                        <w:right w:val="none" w:sz="0" w:space="0" w:color="auto"/>
                      </w:divBdr>
                    </w:div>
                  </w:divsChild>
                </w:div>
                <w:div w:id="1798640382">
                  <w:marLeft w:val="0"/>
                  <w:marRight w:val="0"/>
                  <w:marTop w:val="0"/>
                  <w:marBottom w:val="0"/>
                  <w:divBdr>
                    <w:top w:val="none" w:sz="0" w:space="0" w:color="auto"/>
                    <w:left w:val="none" w:sz="0" w:space="0" w:color="auto"/>
                    <w:bottom w:val="none" w:sz="0" w:space="0" w:color="auto"/>
                    <w:right w:val="none" w:sz="0" w:space="0" w:color="auto"/>
                  </w:divBdr>
                  <w:divsChild>
                    <w:div w:id="2073193068">
                      <w:marLeft w:val="0"/>
                      <w:marRight w:val="0"/>
                      <w:marTop w:val="0"/>
                      <w:marBottom w:val="0"/>
                      <w:divBdr>
                        <w:top w:val="none" w:sz="0" w:space="0" w:color="auto"/>
                        <w:left w:val="none" w:sz="0" w:space="0" w:color="auto"/>
                        <w:bottom w:val="none" w:sz="0" w:space="0" w:color="auto"/>
                        <w:right w:val="none" w:sz="0" w:space="0" w:color="auto"/>
                      </w:divBdr>
                    </w:div>
                  </w:divsChild>
                </w:div>
                <w:div w:id="1800955333">
                  <w:marLeft w:val="0"/>
                  <w:marRight w:val="0"/>
                  <w:marTop w:val="0"/>
                  <w:marBottom w:val="0"/>
                  <w:divBdr>
                    <w:top w:val="none" w:sz="0" w:space="0" w:color="auto"/>
                    <w:left w:val="none" w:sz="0" w:space="0" w:color="auto"/>
                    <w:bottom w:val="none" w:sz="0" w:space="0" w:color="auto"/>
                    <w:right w:val="none" w:sz="0" w:space="0" w:color="auto"/>
                  </w:divBdr>
                  <w:divsChild>
                    <w:div w:id="150801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373004">
          <w:marLeft w:val="0"/>
          <w:marRight w:val="0"/>
          <w:marTop w:val="0"/>
          <w:marBottom w:val="0"/>
          <w:divBdr>
            <w:top w:val="none" w:sz="0" w:space="0" w:color="auto"/>
            <w:left w:val="none" w:sz="0" w:space="0" w:color="auto"/>
            <w:bottom w:val="none" w:sz="0" w:space="0" w:color="auto"/>
            <w:right w:val="none" w:sz="0" w:space="0" w:color="auto"/>
          </w:divBdr>
          <w:divsChild>
            <w:div w:id="821777727">
              <w:marLeft w:val="0"/>
              <w:marRight w:val="0"/>
              <w:marTop w:val="30"/>
              <w:marBottom w:val="30"/>
              <w:divBdr>
                <w:top w:val="none" w:sz="0" w:space="0" w:color="auto"/>
                <w:left w:val="none" w:sz="0" w:space="0" w:color="auto"/>
                <w:bottom w:val="none" w:sz="0" w:space="0" w:color="auto"/>
                <w:right w:val="none" w:sz="0" w:space="0" w:color="auto"/>
              </w:divBdr>
              <w:divsChild>
                <w:div w:id="379943011">
                  <w:marLeft w:val="0"/>
                  <w:marRight w:val="0"/>
                  <w:marTop w:val="0"/>
                  <w:marBottom w:val="0"/>
                  <w:divBdr>
                    <w:top w:val="none" w:sz="0" w:space="0" w:color="auto"/>
                    <w:left w:val="none" w:sz="0" w:space="0" w:color="auto"/>
                    <w:bottom w:val="none" w:sz="0" w:space="0" w:color="auto"/>
                    <w:right w:val="none" w:sz="0" w:space="0" w:color="auto"/>
                  </w:divBdr>
                  <w:divsChild>
                    <w:div w:id="1666933764">
                      <w:marLeft w:val="0"/>
                      <w:marRight w:val="0"/>
                      <w:marTop w:val="0"/>
                      <w:marBottom w:val="0"/>
                      <w:divBdr>
                        <w:top w:val="none" w:sz="0" w:space="0" w:color="auto"/>
                        <w:left w:val="none" w:sz="0" w:space="0" w:color="auto"/>
                        <w:bottom w:val="none" w:sz="0" w:space="0" w:color="auto"/>
                        <w:right w:val="none" w:sz="0" w:space="0" w:color="auto"/>
                      </w:divBdr>
                    </w:div>
                  </w:divsChild>
                </w:div>
                <w:div w:id="557056258">
                  <w:marLeft w:val="0"/>
                  <w:marRight w:val="0"/>
                  <w:marTop w:val="0"/>
                  <w:marBottom w:val="0"/>
                  <w:divBdr>
                    <w:top w:val="none" w:sz="0" w:space="0" w:color="auto"/>
                    <w:left w:val="none" w:sz="0" w:space="0" w:color="auto"/>
                    <w:bottom w:val="none" w:sz="0" w:space="0" w:color="auto"/>
                    <w:right w:val="none" w:sz="0" w:space="0" w:color="auto"/>
                  </w:divBdr>
                  <w:divsChild>
                    <w:div w:id="28150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216621">
          <w:marLeft w:val="0"/>
          <w:marRight w:val="0"/>
          <w:marTop w:val="0"/>
          <w:marBottom w:val="0"/>
          <w:divBdr>
            <w:top w:val="none" w:sz="0" w:space="0" w:color="auto"/>
            <w:left w:val="none" w:sz="0" w:space="0" w:color="auto"/>
            <w:bottom w:val="none" w:sz="0" w:space="0" w:color="auto"/>
            <w:right w:val="none" w:sz="0" w:space="0" w:color="auto"/>
          </w:divBdr>
          <w:divsChild>
            <w:div w:id="2064910810">
              <w:marLeft w:val="0"/>
              <w:marRight w:val="0"/>
              <w:marTop w:val="30"/>
              <w:marBottom w:val="30"/>
              <w:divBdr>
                <w:top w:val="none" w:sz="0" w:space="0" w:color="auto"/>
                <w:left w:val="none" w:sz="0" w:space="0" w:color="auto"/>
                <w:bottom w:val="none" w:sz="0" w:space="0" w:color="auto"/>
                <w:right w:val="none" w:sz="0" w:space="0" w:color="auto"/>
              </w:divBdr>
              <w:divsChild>
                <w:div w:id="310789827">
                  <w:marLeft w:val="0"/>
                  <w:marRight w:val="0"/>
                  <w:marTop w:val="0"/>
                  <w:marBottom w:val="0"/>
                  <w:divBdr>
                    <w:top w:val="none" w:sz="0" w:space="0" w:color="auto"/>
                    <w:left w:val="none" w:sz="0" w:space="0" w:color="auto"/>
                    <w:bottom w:val="none" w:sz="0" w:space="0" w:color="auto"/>
                    <w:right w:val="none" w:sz="0" w:space="0" w:color="auto"/>
                  </w:divBdr>
                  <w:divsChild>
                    <w:div w:id="716707889">
                      <w:marLeft w:val="0"/>
                      <w:marRight w:val="0"/>
                      <w:marTop w:val="0"/>
                      <w:marBottom w:val="0"/>
                      <w:divBdr>
                        <w:top w:val="none" w:sz="0" w:space="0" w:color="auto"/>
                        <w:left w:val="none" w:sz="0" w:space="0" w:color="auto"/>
                        <w:bottom w:val="none" w:sz="0" w:space="0" w:color="auto"/>
                        <w:right w:val="none" w:sz="0" w:space="0" w:color="auto"/>
                      </w:divBdr>
                    </w:div>
                  </w:divsChild>
                </w:div>
                <w:div w:id="409082033">
                  <w:marLeft w:val="0"/>
                  <w:marRight w:val="0"/>
                  <w:marTop w:val="0"/>
                  <w:marBottom w:val="0"/>
                  <w:divBdr>
                    <w:top w:val="none" w:sz="0" w:space="0" w:color="auto"/>
                    <w:left w:val="none" w:sz="0" w:space="0" w:color="auto"/>
                    <w:bottom w:val="none" w:sz="0" w:space="0" w:color="auto"/>
                    <w:right w:val="none" w:sz="0" w:space="0" w:color="auto"/>
                  </w:divBdr>
                  <w:divsChild>
                    <w:div w:id="1202208886">
                      <w:marLeft w:val="0"/>
                      <w:marRight w:val="0"/>
                      <w:marTop w:val="0"/>
                      <w:marBottom w:val="0"/>
                      <w:divBdr>
                        <w:top w:val="none" w:sz="0" w:space="0" w:color="auto"/>
                        <w:left w:val="none" w:sz="0" w:space="0" w:color="auto"/>
                        <w:bottom w:val="none" w:sz="0" w:space="0" w:color="auto"/>
                        <w:right w:val="none" w:sz="0" w:space="0" w:color="auto"/>
                      </w:divBdr>
                    </w:div>
                  </w:divsChild>
                </w:div>
                <w:div w:id="1466119871">
                  <w:marLeft w:val="0"/>
                  <w:marRight w:val="0"/>
                  <w:marTop w:val="0"/>
                  <w:marBottom w:val="0"/>
                  <w:divBdr>
                    <w:top w:val="none" w:sz="0" w:space="0" w:color="auto"/>
                    <w:left w:val="none" w:sz="0" w:space="0" w:color="auto"/>
                    <w:bottom w:val="none" w:sz="0" w:space="0" w:color="auto"/>
                    <w:right w:val="none" w:sz="0" w:space="0" w:color="auto"/>
                  </w:divBdr>
                  <w:divsChild>
                    <w:div w:id="1103722487">
                      <w:marLeft w:val="0"/>
                      <w:marRight w:val="0"/>
                      <w:marTop w:val="0"/>
                      <w:marBottom w:val="0"/>
                      <w:divBdr>
                        <w:top w:val="none" w:sz="0" w:space="0" w:color="auto"/>
                        <w:left w:val="none" w:sz="0" w:space="0" w:color="auto"/>
                        <w:bottom w:val="none" w:sz="0" w:space="0" w:color="auto"/>
                        <w:right w:val="none" w:sz="0" w:space="0" w:color="auto"/>
                      </w:divBdr>
                    </w:div>
                  </w:divsChild>
                </w:div>
                <w:div w:id="1467580235">
                  <w:marLeft w:val="0"/>
                  <w:marRight w:val="0"/>
                  <w:marTop w:val="0"/>
                  <w:marBottom w:val="0"/>
                  <w:divBdr>
                    <w:top w:val="none" w:sz="0" w:space="0" w:color="auto"/>
                    <w:left w:val="none" w:sz="0" w:space="0" w:color="auto"/>
                    <w:bottom w:val="none" w:sz="0" w:space="0" w:color="auto"/>
                    <w:right w:val="none" w:sz="0" w:space="0" w:color="auto"/>
                  </w:divBdr>
                  <w:divsChild>
                    <w:div w:id="170964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081990">
          <w:marLeft w:val="0"/>
          <w:marRight w:val="0"/>
          <w:marTop w:val="0"/>
          <w:marBottom w:val="0"/>
          <w:divBdr>
            <w:top w:val="none" w:sz="0" w:space="0" w:color="auto"/>
            <w:left w:val="none" w:sz="0" w:space="0" w:color="auto"/>
            <w:bottom w:val="none" w:sz="0" w:space="0" w:color="auto"/>
            <w:right w:val="none" w:sz="0" w:space="0" w:color="auto"/>
          </w:divBdr>
        </w:div>
      </w:divsChild>
    </w:div>
    <w:div w:id="1092967292">
      <w:bodyDiv w:val="1"/>
      <w:marLeft w:val="0"/>
      <w:marRight w:val="0"/>
      <w:marTop w:val="0"/>
      <w:marBottom w:val="0"/>
      <w:divBdr>
        <w:top w:val="none" w:sz="0" w:space="0" w:color="auto"/>
        <w:left w:val="none" w:sz="0" w:space="0" w:color="auto"/>
        <w:bottom w:val="none" w:sz="0" w:space="0" w:color="auto"/>
        <w:right w:val="none" w:sz="0" w:space="0" w:color="auto"/>
      </w:divBdr>
    </w:div>
    <w:div w:id="1096751233">
      <w:bodyDiv w:val="1"/>
      <w:marLeft w:val="0"/>
      <w:marRight w:val="0"/>
      <w:marTop w:val="0"/>
      <w:marBottom w:val="0"/>
      <w:divBdr>
        <w:top w:val="none" w:sz="0" w:space="0" w:color="auto"/>
        <w:left w:val="none" w:sz="0" w:space="0" w:color="auto"/>
        <w:bottom w:val="none" w:sz="0" w:space="0" w:color="auto"/>
        <w:right w:val="none" w:sz="0" w:space="0" w:color="auto"/>
      </w:divBdr>
      <w:divsChild>
        <w:div w:id="653224932">
          <w:marLeft w:val="0"/>
          <w:marRight w:val="0"/>
          <w:marTop w:val="0"/>
          <w:marBottom w:val="0"/>
          <w:divBdr>
            <w:top w:val="none" w:sz="0" w:space="0" w:color="auto"/>
            <w:left w:val="none" w:sz="0" w:space="0" w:color="auto"/>
            <w:bottom w:val="none" w:sz="0" w:space="0" w:color="auto"/>
            <w:right w:val="none" w:sz="0" w:space="0" w:color="auto"/>
          </w:divBdr>
        </w:div>
        <w:div w:id="693311260">
          <w:marLeft w:val="0"/>
          <w:marRight w:val="0"/>
          <w:marTop w:val="0"/>
          <w:marBottom w:val="0"/>
          <w:divBdr>
            <w:top w:val="none" w:sz="0" w:space="0" w:color="auto"/>
            <w:left w:val="none" w:sz="0" w:space="0" w:color="auto"/>
            <w:bottom w:val="none" w:sz="0" w:space="0" w:color="auto"/>
            <w:right w:val="none" w:sz="0" w:space="0" w:color="auto"/>
          </w:divBdr>
        </w:div>
        <w:div w:id="714230600">
          <w:marLeft w:val="0"/>
          <w:marRight w:val="0"/>
          <w:marTop w:val="0"/>
          <w:marBottom w:val="0"/>
          <w:divBdr>
            <w:top w:val="none" w:sz="0" w:space="0" w:color="auto"/>
            <w:left w:val="none" w:sz="0" w:space="0" w:color="auto"/>
            <w:bottom w:val="none" w:sz="0" w:space="0" w:color="auto"/>
            <w:right w:val="none" w:sz="0" w:space="0" w:color="auto"/>
          </w:divBdr>
        </w:div>
      </w:divsChild>
    </w:div>
    <w:div w:id="1101796450">
      <w:bodyDiv w:val="1"/>
      <w:marLeft w:val="0"/>
      <w:marRight w:val="0"/>
      <w:marTop w:val="0"/>
      <w:marBottom w:val="0"/>
      <w:divBdr>
        <w:top w:val="none" w:sz="0" w:space="0" w:color="auto"/>
        <w:left w:val="none" w:sz="0" w:space="0" w:color="auto"/>
        <w:bottom w:val="none" w:sz="0" w:space="0" w:color="auto"/>
        <w:right w:val="none" w:sz="0" w:space="0" w:color="auto"/>
      </w:divBdr>
    </w:div>
    <w:div w:id="1142651128">
      <w:bodyDiv w:val="1"/>
      <w:marLeft w:val="0"/>
      <w:marRight w:val="0"/>
      <w:marTop w:val="0"/>
      <w:marBottom w:val="0"/>
      <w:divBdr>
        <w:top w:val="none" w:sz="0" w:space="0" w:color="auto"/>
        <w:left w:val="none" w:sz="0" w:space="0" w:color="auto"/>
        <w:bottom w:val="none" w:sz="0" w:space="0" w:color="auto"/>
        <w:right w:val="none" w:sz="0" w:space="0" w:color="auto"/>
      </w:divBdr>
    </w:div>
    <w:div w:id="1143737345">
      <w:bodyDiv w:val="1"/>
      <w:marLeft w:val="0"/>
      <w:marRight w:val="0"/>
      <w:marTop w:val="0"/>
      <w:marBottom w:val="0"/>
      <w:divBdr>
        <w:top w:val="none" w:sz="0" w:space="0" w:color="auto"/>
        <w:left w:val="none" w:sz="0" w:space="0" w:color="auto"/>
        <w:bottom w:val="none" w:sz="0" w:space="0" w:color="auto"/>
        <w:right w:val="none" w:sz="0" w:space="0" w:color="auto"/>
      </w:divBdr>
    </w:div>
    <w:div w:id="1160391757">
      <w:bodyDiv w:val="1"/>
      <w:marLeft w:val="0"/>
      <w:marRight w:val="0"/>
      <w:marTop w:val="0"/>
      <w:marBottom w:val="0"/>
      <w:divBdr>
        <w:top w:val="none" w:sz="0" w:space="0" w:color="auto"/>
        <w:left w:val="none" w:sz="0" w:space="0" w:color="auto"/>
        <w:bottom w:val="none" w:sz="0" w:space="0" w:color="auto"/>
        <w:right w:val="none" w:sz="0" w:space="0" w:color="auto"/>
      </w:divBdr>
    </w:div>
    <w:div w:id="1190290420">
      <w:bodyDiv w:val="1"/>
      <w:marLeft w:val="0"/>
      <w:marRight w:val="0"/>
      <w:marTop w:val="0"/>
      <w:marBottom w:val="0"/>
      <w:divBdr>
        <w:top w:val="none" w:sz="0" w:space="0" w:color="auto"/>
        <w:left w:val="none" w:sz="0" w:space="0" w:color="auto"/>
        <w:bottom w:val="none" w:sz="0" w:space="0" w:color="auto"/>
        <w:right w:val="none" w:sz="0" w:space="0" w:color="auto"/>
      </w:divBdr>
      <w:divsChild>
        <w:div w:id="151412230">
          <w:marLeft w:val="0"/>
          <w:marRight w:val="0"/>
          <w:marTop w:val="0"/>
          <w:marBottom w:val="0"/>
          <w:divBdr>
            <w:top w:val="none" w:sz="0" w:space="0" w:color="auto"/>
            <w:left w:val="none" w:sz="0" w:space="0" w:color="auto"/>
            <w:bottom w:val="none" w:sz="0" w:space="0" w:color="auto"/>
            <w:right w:val="none" w:sz="0" w:space="0" w:color="auto"/>
          </w:divBdr>
        </w:div>
        <w:div w:id="274799163">
          <w:marLeft w:val="0"/>
          <w:marRight w:val="0"/>
          <w:marTop w:val="0"/>
          <w:marBottom w:val="0"/>
          <w:divBdr>
            <w:top w:val="none" w:sz="0" w:space="0" w:color="auto"/>
            <w:left w:val="none" w:sz="0" w:space="0" w:color="auto"/>
            <w:bottom w:val="none" w:sz="0" w:space="0" w:color="auto"/>
            <w:right w:val="none" w:sz="0" w:space="0" w:color="auto"/>
          </w:divBdr>
        </w:div>
        <w:div w:id="641927971">
          <w:marLeft w:val="0"/>
          <w:marRight w:val="0"/>
          <w:marTop w:val="0"/>
          <w:marBottom w:val="0"/>
          <w:divBdr>
            <w:top w:val="none" w:sz="0" w:space="0" w:color="auto"/>
            <w:left w:val="none" w:sz="0" w:space="0" w:color="auto"/>
            <w:bottom w:val="none" w:sz="0" w:space="0" w:color="auto"/>
            <w:right w:val="none" w:sz="0" w:space="0" w:color="auto"/>
          </w:divBdr>
        </w:div>
        <w:div w:id="984898497">
          <w:marLeft w:val="0"/>
          <w:marRight w:val="0"/>
          <w:marTop w:val="0"/>
          <w:marBottom w:val="0"/>
          <w:divBdr>
            <w:top w:val="none" w:sz="0" w:space="0" w:color="auto"/>
            <w:left w:val="none" w:sz="0" w:space="0" w:color="auto"/>
            <w:bottom w:val="none" w:sz="0" w:space="0" w:color="auto"/>
            <w:right w:val="none" w:sz="0" w:space="0" w:color="auto"/>
          </w:divBdr>
        </w:div>
        <w:div w:id="1113207068">
          <w:marLeft w:val="0"/>
          <w:marRight w:val="0"/>
          <w:marTop w:val="0"/>
          <w:marBottom w:val="0"/>
          <w:divBdr>
            <w:top w:val="none" w:sz="0" w:space="0" w:color="auto"/>
            <w:left w:val="none" w:sz="0" w:space="0" w:color="auto"/>
            <w:bottom w:val="none" w:sz="0" w:space="0" w:color="auto"/>
            <w:right w:val="none" w:sz="0" w:space="0" w:color="auto"/>
          </w:divBdr>
        </w:div>
      </w:divsChild>
    </w:div>
    <w:div w:id="1206598972">
      <w:bodyDiv w:val="1"/>
      <w:marLeft w:val="0"/>
      <w:marRight w:val="0"/>
      <w:marTop w:val="0"/>
      <w:marBottom w:val="0"/>
      <w:divBdr>
        <w:top w:val="none" w:sz="0" w:space="0" w:color="auto"/>
        <w:left w:val="none" w:sz="0" w:space="0" w:color="auto"/>
        <w:bottom w:val="none" w:sz="0" w:space="0" w:color="auto"/>
        <w:right w:val="none" w:sz="0" w:space="0" w:color="auto"/>
      </w:divBdr>
    </w:div>
    <w:div w:id="1223716597">
      <w:bodyDiv w:val="1"/>
      <w:marLeft w:val="0"/>
      <w:marRight w:val="0"/>
      <w:marTop w:val="0"/>
      <w:marBottom w:val="0"/>
      <w:divBdr>
        <w:top w:val="none" w:sz="0" w:space="0" w:color="auto"/>
        <w:left w:val="none" w:sz="0" w:space="0" w:color="auto"/>
        <w:bottom w:val="none" w:sz="0" w:space="0" w:color="auto"/>
        <w:right w:val="none" w:sz="0" w:space="0" w:color="auto"/>
      </w:divBdr>
      <w:divsChild>
        <w:div w:id="155846742">
          <w:marLeft w:val="0"/>
          <w:marRight w:val="0"/>
          <w:marTop w:val="0"/>
          <w:marBottom w:val="0"/>
          <w:divBdr>
            <w:top w:val="none" w:sz="0" w:space="0" w:color="auto"/>
            <w:left w:val="none" w:sz="0" w:space="0" w:color="auto"/>
            <w:bottom w:val="none" w:sz="0" w:space="0" w:color="auto"/>
            <w:right w:val="none" w:sz="0" w:space="0" w:color="auto"/>
          </w:divBdr>
        </w:div>
      </w:divsChild>
    </w:div>
    <w:div w:id="1253467169">
      <w:bodyDiv w:val="1"/>
      <w:marLeft w:val="0"/>
      <w:marRight w:val="0"/>
      <w:marTop w:val="0"/>
      <w:marBottom w:val="0"/>
      <w:divBdr>
        <w:top w:val="none" w:sz="0" w:space="0" w:color="auto"/>
        <w:left w:val="none" w:sz="0" w:space="0" w:color="auto"/>
        <w:bottom w:val="none" w:sz="0" w:space="0" w:color="auto"/>
        <w:right w:val="none" w:sz="0" w:space="0" w:color="auto"/>
      </w:divBdr>
    </w:div>
    <w:div w:id="1277252647">
      <w:bodyDiv w:val="1"/>
      <w:marLeft w:val="0"/>
      <w:marRight w:val="0"/>
      <w:marTop w:val="0"/>
      <w:marBottom w:val="0"/>
      <w:divBdr>
        <w:top w:val="none" w:sz="0" w:space="0" w:color="auto"/>
        <w:left w:val="none" w:sz="0" w:space="0" w:color="auto"/>
        <w:bottom w:val="none" w:sz="0" w:space="0" w:color="auto"/>
        <w:right w:val="none" w:sz="0" w:space="0" w:color="auto"/>
      </w:divBdr>
    </w:div>
    <w:div w:id="1282809061">
      <w:bodyDiv w:val="1"/>
      <w:marLeft w:val="0"/>
      <w:marRight w:val="0"/>
      <w:marTop w:val="0"/>
      <w:marBottom w:val="0"/>
      <w:divBdr>
        <w:top w:val="none" w:sz="0" w:space="0" w:color="auto"/>
        <w:left w:val="none" w:sz="0" w:space="0" w:color="auto"/>
        <w:bottom w:val="none" w:sz="0" w:space="0" w:color="auto"/>
        <w:right w:val="none" w:sz="0" w:space="0" w:color="auto"/>
      </w:divBdr>
    </w:div>
    <w:div w:id="1302075359">
      <w:bodyDiv w:val="1"/>
      <w:marLeft w:val="0"/>
      <w:marRight w:val="0"/>
      <w:marTop w:val="0"/>
      <w:marBottom w:val="0"/>
      <w:divBdr>
        <w:top w:val="none" w:sz="0" w:space="0" w:color="auto"/>
        <w:left w:val="none" w:sz="0" w:space="0" w:color="auto"/>
        <w:bottom w:val="none" w:sz="0" w:space="0" w:color="auto"/>
        <w:right w:val="none" w:sz="0" w:space="0" w:color="auto"/>
      </w:divBdr>
      <w:divsChild>
        <w:div w:id="334502105">
          <w:marLeft w:val="0"/>
          <w:marRight w:val="0"/>
          <w:marTop w:val="0"/>
          <w:marBottom w:val="0"/>
          <w:divBdr>
            <w:top w:val="none" w:sz="0" w:space="0" w:color="auto"/>
            <w:left w:val="none" w:sz="0" w:space="0" w:color="auto"/>
            <w:bottom w:val="none" w:sz="0" w:space="0" w:color="auto"/>
            <w:right w:val="none" w:sz="0" w:space="0" w:color="auto"/>
          </w:divBdr>
          <w:divsChild>
            <w:div w:id="174658989">
              <w:marLeft w:val="0"/>
              <w:marRight w:val="0"/>
              <w:marTop w:val="0"/>
              <w:marBottom w:val="0"/>
              <w:divBdr>
                <w:top w:val="none" w:sz="0" w:space="0" w:color="auto"/>
                <w:left w:val="none" w:sz="0" w:space="0" w:color="auto"/>
                <w:bottom w:val="none" w:sz="0" w:space="0" w:color="auto"/>
                <w:right w:val="none" w:sz="0" w:space="0" w:color="auto"/>
              </w:divBdr>
            </w:div>
          </w:divsChild>
        </w:div>
        <w:div w:id="397754573">
          <w:marLeft w:val="0"/>
          <w:marRight w:val="0"/>
          <w:marTop w:val="0"/>
          <w:marBottom w:val="0"/>
          <w:divBdr>
            <w:top w:val="none" w:sz="0" w:space="0" w:color="auto"/>
            <w:left w:val="none" w:sz="0" w:space="0" w:color="auto"/>
            <w:bottom w:val="none" w:sz="0" w:space="0" w:color="auto"/>
            <w:right w:val="none" w:sz="0" w:space="0" w:color="auto"/>
          </w:divBdr>
          <w:divsChild>
            <w:div w:id="516114014">
              <w:marLeft w:val="0"/>
              <w:marRight w:val="0"/>
              <w:marTop w:val="0"/>
              <w:marBottom w:val="0"/>
              <w:divBdr>
                <w:top w:val="none" w:sz="0" w:space="0" w:color="auto"/>
                <w:left w:val="none" w:sz="0" w:space="0" w:color="auto"/>
                <w:bottom w:val="none" w:sz="0" w:space="0" w:color="auto"/>
                <w:right w:val="none" w:sz="0" w:space="0" w:color="auto"/>
              </w:divBdr>
            </w:div>
          </w:divsChild>
        </w:div>
        <w:div w:id="797577079">
          <w:marLeft w:val="0"/>
          <w:marRight w:val="0"/>
          <w:marTop w:val="0"/>
          <w:marBottom w:val="0"/>
          <w:divBdr>
            <w:top w:val="none" w:sz="0" w:space="0" w:color="auto"/>
            <w:left w:val="none" w:sz="0" w:space="0" w:color="auto"/>
            <w:bottom w:val="none" w:sz="0" w:space="0" w:color="auto"/>
            <w:right w:val="none" w:sz="0" w:space="0" w:color="auto"/>
          </w:divBdr>
          <w:divsChild>
            <w:div w:id="1478645120">
              <w:marLeft w:val="0"/>
              <w:marRight w:val="0"/>
              <w:marTop w:val="0"/>
              <w:marBottom w:val="0"/>
              <w:divBdr>
                <w:top w:val="none" w:sz="0" w:space="0" w:color="auto"/>
                <w:left w:val="none" w:sz="0" w:space="0" w:color="auto"/>
                <w:bottom w:val="none" w:sz="0" w:space="0" w:color="auto"/>
                <w:right w:val="none" w:sz="0" w:space="0" w:color="auto"/>
              </w:divBdr>
            </w:div>
          </w:divsChild>
        </w:div>
        <w:div w:id="1716611948">
          <w:marLeft w:val="0"/>
          <w:marRight w:val="0"/>
          <w:marTop w:val="0"/>
          <w:marBottom w:val="0"/>
          <w:divBdr>
            <w:top w:val="none" w:sz="0" w:space="0" w:color="auto"/>
            <w:left w:val="none" w:sz="0" w:space="0" w:color="auto"/>
            <w:bottom w:val="none" w:sz="0" w:space="0" w:color="auto"/>
            <w:right w:val="none" w:sz="0" w:space="0" w:color="auto"/>
          </w:divBdr>
          <w:divsChild>
            <w:div w:id="147284808">
              <w:marLeft w:val="0"/>
              <w:marRight w:val="0"/>
              <w:marTop w:val="0"/>
              <w:marBottom w:val="0"/>
              <w:divBdr>
                <w:top w:val="none" w:sz="0" w:space="0" w:color="auto"/>
                <w:left w:val="none" w:sz="0" w:space="0" w:color="auto"/>
                <w:bottom w:val="none" w:sz="0" w:space="0" w:color="auto"/>
                <w:right w:val="none" w:sz="0" w:space="0" w:color="auto"/>
              </w:divBdr>
            </w:div>
            <w:div w:id="1568959926">
              <w:marLeft w:val="0"/>
              <w:marRight w:val="0"/>
              <w:marTop w:val="0"/>
              <w:marBottom w:val="0"/>
              <w:divBdr>
                <w:top w:val="none" w:sz="0" w:space="0" w:color="auto"/>
                <w:left w:val="none" w:sz="0" w:space="0" w:color="auto"/>
                <w:bottom w:val="none" w:sz="0" w:space="0" w:color="auto"/>
                <w:right w:val="none" w:sz="0" w:space="0" w:color="auto"/>
              </w:divBdr>
            </w:div>
          </w:divsChild>
        </w:div>
        <w:div w:id="1793282346">
          <w:marLeft w:val="0"/>
          <w:marRight w:val="0"/>
          <w:marTop w:val="0"/>
          <w:marBottom w:val="0"/>
          <w:divBdr>
            <w:top w:val="none" w:sz="0" w:space="0" w:color="auto"/>
            <w:left w:val="none" w:sz="0" w:space="0" w:color="auto"/>
            <w:bottom w:val="none" w:sz="0" w:space="0" w:color="auto"/>
            <w:right w:val="none" w:sz="0" w:space="0" w:color="auto"/>
          </w:divBdr>
          <w:divsChild>
            <w:div w:id="155923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705419">
      <w:bodyDiv w:val="1"/>
      <w:marLeft w:val="0"/>
      <w:marRight w:val="0"/>
      <w:marTop w:val="0"/>
      <w:marBottom w:val="0"/>
      <w:divBdr>
        <w:top w:val="none" w:sz="0" w:space="0" w:color="auto"/>
        <w:left w:val="none" w:sz="0" w:space="0" w:color="auto"/>
        <w:bottom w:val="none" w:sz="0" w:space="0" w:color="auto"/>
        <w:right w:val="none" w:sz="0" w:space="0" w:color="auto"/>
      </w:divBdr>
    </w:div>
    <w:div w:id="1337074303">
      <w:bodyDiv w:val="1"/>
      <w:marLeft w:val="0"/>
      <w:marRight w:val="0"/>
      <w:marTop w:val="0"/>
      <w:marBottom w:val="0"/>
      <w:divBdr>
        <w:top w:val="none" w:sz="0" w:space="0" w:color="auto"/>
        <w:left w:val="none" w:sz="0" w:space="0" w:color="auto"/>
        <w:bottom w:val="none" w:sz="0" w:space="0" w:color="auto"/>
        <w:right w:val="none" w:sz="0" w:space="0" w:color="auto"/>
      </w:divBdr>
      <w:divsChild>
        <w:div w:id="1834711447">
          <w:marLeft w:val="0"/>
          <w:marRight w:val="0"/>
          <w:marTop w:val="0"/>
          <w:marBottom w:val="0"/>
          <w:divBdr>
            <w:top w:val="none" w:sz="0" w:space="0" w:color="auto"/>
            <w:left w:val="none" w:sz="0" w:space="0" w:color="auto"/>
            <w:bottom w:val="none" w:sz="0" w:space="0" w:color="auto"/>
            <w:right w:val="none" w:sz="0" w:space="0" w:color="auto"/>
          </w:divBdr>
        </w:div>
      </w:divsChild>
    </w:div>
    <w:div w:id="1372339470">
      <w:bodyDiv w:val="1"/>
      <w:marLeft w:val="0"/>
      <w:marRight w:val="0"/>
      <w:marTop w:val="0"/>
      <w:marBottom w:val="0"/>
      <w:divBdr>
        <w:top w:val="none" w:sz="0" w:space="0" w:color="auto"/>
        <w:left w:val="none" w:sz="0" w:space="0" w:color="auto"/>
        <w:bottom w:val="none" w:sz="0" w:space="0" w:color="auto"/>
        <w:right w:val="none" w:sz="0" w:space="0" w:color="auto"/>
      </w:divBdr>
    </w:div>
    <w:div w:id="1378435466">
      <w:bodyDiv w:val="1"/>
      <w:marLeft w:val="0"/>
      <w:marRight w:val="0"/>
      <w:marTop w:val="0"/>
      <w:marBottom w:val="0"/>
      <w:divBdr>
        <w:top w:val="none" w:sz="0" w:space="0" w:color="auto"/>
        <w:left w:val="none" w:sz="0" w:space="0" w:color="auto"/>
        <w:bottom w:val="none" w:sz="0" w:space="0" w:color="auto"/>
        <w:right w:val="none" w:sz="0" w:space="0" w:color="auto"/>
      </w:divBdr>
    </w:div>
    <w:div w:id="1418865337">
      <w:bodyDiv w:val="1"/>
      <w:marLeft w:val="0"/>
      <w:marRight w:val="0"/>
      <w:marTop w:val="0"/>
      <w:marBottom w:val="0"/>
      <w:divBdr>
        <w:top w:val="none" w:sz="0" w:space="0" w:color="auto"/>
        <w:left w:val="none" w:sz="0" w:space="0" w:color="auto"/>
        <w:bottom w:val="none" w:sz="0" w:space="0" w:color="auto"/>
        <w:right w:val="none" w:sz="0" w:space="0" w:color="auto"/>
      </w:divBdr>
    </w:div>
    <w:div w:id="1451624465">
      <w:bodyDiv w:val="1"/>
      <w:marLeft w:val="0"/>
      <w:marRight w:val="0"/>
      <w:marTop w:val="0"/>
      <w:marBottom w:val="0"/>
      <w:divBdr>
        <w:top w:val="none" w:sz="0" w:space="0" w:color="auto"/>
        <w:left w:val="none" w:sz="0" w:space="0" w:color="auto"/>
        <w:bottom w:val="none" w:sz="0" w:space="0" w:color="auto"/>
        <w:right w:val="none" w:sz="0" w:space="0" w:color="auto"/>
      </w:divBdr>
      <w:divsChild>
        <w:div w:id="155650131">
          <w:marLeft w:val="0"/>
          <w:marRight w:val="0"/>
          <w:marTop w:val="0"/>
          <w:marBottom w:val="0"/>
          <w:divBdr>
            <w:top w:val="none" w:sz="0" w:space="0" w:color="auto"/>
            <w:left w:val="none" w:sz="0" w:space="0" w:color="auto"/>
            <w:bottom w:val="none" w:sz="0" w:space="0" w:color="auto"/>
            <w:right w:val="none" w:sz="0" w:space="0" w:color="auto"/>
          </w:divBdr>
        </w:div>
        <w:div w:id="432018784">
          <w:marLeft w:val="0"/>
          <w:marRight w:val="0"/>
          <w:marTop w:val="0"/>
          <w:marBottom w:val="0"/>
          <w:divBdr>
            <w:top w:val="none" w:sz="0" w:space="0" w:color="auto"/>
            <w:left w:val="none" w:sz="0" w:space="0" w:color="auto"/>
            <w:bottom w:val="none" w:sz="0" w:space="0" w:color="auto"/>
            <w:right w:val="none" w:sz="0" w:space="0" w:color="auto"/>
          </w:divBdr>
        </w:div>
        <w:div w:id="621572415">
          <w:marLeft w:val="0"/>
          <w:marRight w:val="0"/>
          <w:marTop w:val="0"/>
          <w:marBottom w:val="0"/>
          <w:divBdr>
            <w:top w:val="none" w:sz="0" w:space="0" w:color="auto"/>
            <w:left w:val="none" w:sz="0" w:space="0" w:color="auto"/>
            <w:bottom w:val="none" w:sz="0" w:space="0" w:color="auto"/>
            <w:right w:val="none" w:sz="0" w:space="0" w:color="auto"/>
          </w:divBdr>
        </w:div>
        <w:div w:id="693308735">
          <w:marLeft w:val="0"/>
          <w:marRight w:val="0"/>
          <w:marTop w:val="0"/>
          <w:marBottom w:val="0"/>
          <w:divBdr>
            <w:top w:val="none" w:sz="0" w:space="0" w:color="auto"/>
            <w:left w:val="none" w:sz="0" w:space="0" w:color="auto"/>
            <w:bottom w:val="none" w:sz="0" w:space="0" w:color="auto"/>
            <w:right w:val="none" w:sz="0" w:space="0" w:color="auto"/>
          </w:divBdr>
        </w:div>
      </w:divsChild>
    </w:div>
    <w:div w:id="1478911529">
      <w:bodyDiv w:val="1"/>
      <w:marLeft w:val="0"/>
      <w:marRight w:val="0"/>
      <w:marTop w:val="0"/>
      <w:marBottom w:val="0"/>
      <w:divBdr>
        <w:top w:val="none" w:sz="0" w:space="0" w:color="auto"/>
        <w:left w:val="none" w:sz="0" w:space="0" w:color="auto"/>
        <w:bottom w:val="none" w:sz="0" w:space="0" w:color="auto"/>
        <w:right w:val="none" w:sz="0" w:space="0" w:color="auto"/>
      </w:divBdr>
      <w:divsChild>
        <w:div w:id="161118372">
          <w:marLeft w:val="0"/>
          <w:marRight w:val="0"/>
          <w:marTop w:val="0"/>
          <w:marBottom w:val="0"/>
          <w:divBdr>
            <w:top w:val="none" w:sz="0" w:space="0" w:color="auto"/>
            <w:left w:val="none" w:sz="0" w:space="0" w:color="auto"/>
            <w:bottom w:val="none" w:sz="0" w:space="0" w:color="auto"/>
            <w:right w:val="none" w:sz="0" w:space="0" w:color="auto"/>
          </w:divBdr>
        </w:div>
        <w:div w:id="385492288">
          <w:marLeft w:val="0"/>
          <w:marRight w:val="0"/>
          <w:marTop w:val="0"/>
          <w:marBottom w:val="0"/>
          <w:divBdr>
            <w:top w:val="none" w:sz="0" w:space="0" w:color="auto"/>
            <w:left w:val="none" w:sz="0" w:space="0" w:color="auto"/>
            <w:bottom w:val="none" w:sz="0" w:space="0" w:color="auto"/>
            <w:right w:val="none" w:sz="0" w:space="0" w:color="auto"/>
          </w:divBdr>
          <w:divsChild>
            <w:div w:id="690107940">
              <w:marLeft w:val="0"/>
              <w:marRight w:val="0"/>
              <w:marTop w:val="30"/>
              <w:marBottom w:val="30"/>
              <w:divBdr>
                <w:top w:val="none" w:sz="0" w:space="0" w:color="auto"/>
                <w:left w:val="none" w:sz="0" w:space="0" w:color="auto"/>
                <w:bottom w:val="none" w:sz="0" w:space="0" w:color="auto"/>
                <w:right w:val="none" w:sz="0" w:space="0" w:color="auto"/>
              </w:divBdr>
              <w:divsChild>
                <w:div w:id="609046384">
                  <w:marLeft w:val="0"/>
                  <w:marRight w:val="0"/>
                  <w:marTop w:val="0"/>
                  <w:marBottom w:val="0"/>
                  <w:divBdr>
                    <w:top w:val="none" w:sz="0" w:space="0" w:color="auto"/>
                    <w:left w:val="none" w:sz="0" w:space="0" w:color="auto"/>
                    <w:bottom w:val="none" w:sz="0" w:space="0" w:color="auto"/>
                    <w:right w:val="none" w:sz="0" w:space="0" w:color="auto"/>
                  </w:divBdr>
                  <w:divsChild>
                    <w:div w:id="25176254">
                      <w:marLeft w:val="0"/>
                      <w:marRight w:val="0"/>
                      <w:marTop w:val="0"/>
                      <w:marBottom w:val="0"/>
                      <w:divBdr>
                        <w:top w:val="none" w:sz="0" w:space="0" w:color="auto"/>
                        <w:left w:val="none" w:sz="0" w:space="0" w:color="auto"/>
                        <w:bottom w:val="none" w:sz="0" w:space="0" w:color="auto"/>
                        <w:right w:val="none" w:sz="0" w:space="0" w:color="auto"/>
                      </w:divBdr>
                    </w:div>
                  </w:divsChild>
                </w:div>
                <w:div w:id="642079775">
                  <w:marLeft w:val="0"/>
                  <w:marRight w:val="0"/>
                  <w:marTop w:val="0"/>
                  <w:marBottom w:val="0"/>
                  <w:divBdr>
                    <w:top w:val="none" w:sz="0" w:space="0" w:color="auto"/>
                    <w:left w:val="none" w:sz="0" w:space="0" w:color="auto"/>
                    <w:bottom w:val="none" w:sz="0" w:space="0" w:color="auto"/>
                    <w:right w:val="none" w:sz="0" w:space="0" w:color="auto"/>
                  </w:divBdr>
                  <w:divsChild>
                    <w:div w:id="1147429776">
                      <w:marLeft w:val="0"/>
                      <w:marRight w:val="0"/>
                      <w:marTop w:val="0"/>
                      <w:marBottom w:val="0"/>
                      <w:divBdr>
                        <w:top w:val="none" w:sz="0" w:space="0" w:color="auto"/>
                        <w:left w:val="none" w:sz="0" w:space="0" w:color="auto"/>
                        <w:bottom w:val="none" w:sz="0" w:space="0" w:color="auto"/>
                        <w:right w:val="none" w:sz="0" w:space="0" w:color="auto"/>
                      </w:divBdr>
                    </w:div>
                  </w:divsChild>
                </w:div>
                <w:div w:id="1221794457">
                  <w:marLeft w:val="0"/>
                  <w:marRight w:val="0"/>
                  <w:marTop w:val="0"/>
                  <w:marBottom w:val="0"/>
                  <w:divBdr>
                    <w:top w:val="none" w:sz="0" w:space="0" w:color="auto"/>
                    <w:left w:val="none" w:sz="0" w:space="0" w:color="auto"/>
                    <w:bottom w:val="none" w:sz="0" w:space="0" w:color="auto"/>
                    <w:right w:val="none" w:sz="0" w:space="0" w:color="auto"/>
                  </w:divBdr>
                  <w:divsChild>
                    <w:div w:id="1313146008">
                      <w:marLeft w:val="0"/>
                      <w:marRight w:val="0"/>
                      <w:marTop w:val="0"/>
                      <w:marBottom w:val="0"/>
                      <w:divBdr>
                        <w:top w:val="none" w:sz="0" w:space="0" w:color="auto"/>
                        <w:left w:val="none" w:sz="0" w:space="0" w:color="auto"/>
                        <w:bottom w:val="none" w:sz="0" w:space="0" w:color="auto"/>
                        <w:right w:val="none" w:sz="0" w:space="0" w:color="auto"/>
                      </w:divBdr>
                    </w:div>
                  </w:divsChild>
                </w:div>
                <w:div w:id="1252859190">
                  <w:marLeft w:val="0"/>
                  <w:marRight w:val="0"/>
                  <w:marTop w:val="0"/>
                  <w:marBottom w:val="0"/>
                  <w:divBdr>
                    <w:top w:val="none" w:sz="0" w:space="0" w:color="auto"/>
                    <w:left w:val="none" w:sz="0" w:space="0" w:color="auto"/>
                    <w:bottom w:val="none" w:sz="0" w:space="0" w:color="auto"/>
                    <w:right w:val="none" w:sz="0" w:space="0" w:color="auto"/>
                  </w:divBdr>
                  <w:divsChild>
                    <w:div w:id="841091858">
                      <w:marLeft w:val="0"/>
                      <w:marRight w:val="0"/>
                      <w:marTop w:val="0"/>
                      <w:marBottom w:val="0"/>
                      <w:divBdr>
                        <w:top w:val="none" w:sz="0" w:space="0" w:color="auto"/>
                        <w:left w:val="none" w:sz="0" w:space="0" w:color="auto"/>
                        <w:bottom w:val="none" w:sz="0" w:space="0" w:color="auto"/>
                        <w:right w:val="none" w:sz="0" w:space="0" w:color="auto"/>
                      </w:divBdr>
                    </w:div>
                  </w:divsChild>
                </w:div>
                <w:div w:id="1482775729">
                  <w:marLeft w:val="0"/>
                  <w:marRight w:val="0"/>
                  <w:marTop w:val="0"/>
                  <w:marBottom w:val="0"/>
                  <w:divBdr>
                    <w:top w:val="none" w:sz="0" w:space="0" w:color="auto"/>
                    <w:left w:val="none" w:sz="0" w:space="0" w:color="auto"/>
                    <w:bottom w:val="none" w:sz="0" w:space="0" w:color="auto"/>
                    <w:right w:val="none" w:sz="0" w:space="0" w:color="auto"/>
                  </w:divBdr>
                  <w:divsChild>
                    <w:div w:id="2056543457">
                      <w:marLeft w:val="0"/>
                      <w:marRight w:val="0"/>
                      <w:marTop w:val="0"/>
                      <w:marBottom w:val="0"/>
                      <w:divBdr>
                        <w:top w:val="none" w:sz="0" w:space="0" w:color="auto"/>
                        <w:left w:val="none" w:sz="0" w:space="0" w:color="auto"/>
                        <w:bottom w:val="none" w:sz="0" w:space="0" w:color="auto"/>
                        <w:right w:val="none" w:sz="0" w:space="0" w:color="auto"/>
                      </w:divBdr>
                    </w:div>
                  </w:divsChild>
                </w:div>
                <w:div w:id="1624724479">
                  <w:marLeft w:val="0"/>
                  <w:marRight w:val="0"/>
                  <w:marTop w:val="0"/>
                  <w:marBottom w:val="0"/>
                  <w:divBdr>
                    <w:top w:val="none" w:sz="0" w:space="0" w:color="auto"/>
                    <w:left w:val="none" w:sz="0" w:space="0" w:color="auto"/>
                    <w:bottom w:val="none" w:sz="0" w:space="0" w:color="auto"/>
                    <w:right w:val="none" w:sz="0" w:space="0" w:color="auto"/>
                  </w:divBdr>
                  <w:divsChild>
                    <w:div w:id="895628357">
                      <w:marLeft w:val="0"/>
                      <w:marRight w:val="0"/>
                      <w:marTop w:val="0"/>
                      <w:marBottom w:val="0"/>
                      <w:divBdr>
                        <w:top w:val="none" w:sz="0" w:space="0" w:color="auto"/>
                        <w:left w:val="none" w:sz="0" w:space="0" w:color="auto"/>
                        <w:bottom w:val="none" w:sz="0" w:space="0" w:color="auto"/>
                        <w:right w:val="none" w:sz="0" w:space="0" w:color="auto"/>
                      </w:divBdr>
                    </w:div>
                  </w:divsChild>
                </w:div>
                <w:div w:id="1764302353">
                  <w:marLeft w:val="0"/>
                  <w:marRight w:val="0"/>
                  <w:marTop w:val="0"/>
                  <w:marBottom w:val="0"/>
                  <w:divBdr>
                    <w:top w:val="none" w:sz="0" w:space="0" w:color="auto"/>
                    <w:left w:val="none" w:sz="0" w:space="0" w:color="auto"/>
                    <w:bottom w:val="none" w:sz="0" w:space="0" w:color="auto"/>
                    <w:right w:val="none" w:sz="0" w:space="0" w:color="auto"/>
                  </w:divBdr>
                  <w:divsChild>
                    <w:div w:id="947587899">
                      <w:marLeft w:val="0"/>
                      <w:marRight w:val="0"/>
                      <w:marTop w:val="0"/>
                      <w:marBottom w:val="0"/>
                      <w:divBdr>
                        <w:top w:val="none" w:sz="0" w:space="0" w:color="auto"/>
                        <w:left w:val="none" w:sz="0" w:space="0" w:color="auto"/>
                        <w:bottom w:val="none" w:sz="0" w:space="0" w:color="auto"/>
                        <w:right w:val="none" w:sz="0" w:space="0" w:color="auto"/>
                      </w:divBdr>
                    </w:div>
                  </w:divsChild>
                </w:div>
                <w:div w:id="1836913226">
                  <w:marLeft w:val="0"/>
                  <w:marRight w:val="0"/>
                  <w:marTop w:val="0"/>
                  <w:marBottom w:val="0"/>
                  <w:divBdr>
                    <w:top w:val="none" w:sz="0" w:space="0" w:color="auto"/>
                    <w:left w:val="none" w:sz="0" w:space="0" w:color="auto"/>
                    <w:bottom w:val="none" w:sz="0" w:space="0" w:color="auto"/>
                    <w:right w:val="none" w:sz="0" w:space="0" w:color="auto"/>
                  </w:divBdr>
                  <w:divsChild>
                    <w:div w:id="1900700882">
                      <w:marLeft w:val="0"/>
                      <w:marRight w:val="0"/>
                      <w:marTop w:val="0"/>
                      <w:marBottom w:val="0"/>
                      <w:divBdr>
                        <w:top w:val="none" w:sz="0" w:space="0" w:color="auto"/>
                        <w:left w:val="none" w:sz="0" w:space="0" w:color="auto"/>
                        <w:bottom w:val="none" w:sz="0" w:space="0" w:color="auto"/>
                        <w:right w:val="none" w:sz="0" w:space="0" w:color="auto"/>
                      </w:divBdr>
                    </w:div>
                  </w:divsChild>
                </w:div>
                <w:div w:id="1848210469">
                  <w:marLeft w:val="0"/>
                  <w:marRight w:val="0"/>
                  <w:marTop w:val="0"/>
                  <w:marBottom w:val="0"/>
                  <w:divBdr>
                    <w:top w:val="none" w:sz="0" w:space="0" w:color="auto"/>
                    <w:left w:val="none" w:sz="0" w:space="0" w:color="auto"/>
                    <w:bottom w:val="none" w:sz="0" w:space="0" w:color="auto"/>
                    <w:right w:val="none" w:sz="0" w:space="0" w:color="auto"/>
                  </w:divBdr>
                  <w:divsChild>
                    <w:div w:id="1952124308">
                      <w:marLeft w:val="0"/>
                      <w:marRight w:val="0"/>
                      <w:marTop w:val="0"/>
                      <w:marBottom w:val="0"/>
                      <w:divBdr>
                        <w:top w:val="none" w:sz="0" w:space="0" w:color="auto"/>
                        <w:left w:val="none" w:sz="0" w:space="0" w:color="auto"/>
                        <w:bottom w:val="none" w:sz="0" w:space="0" w:color="auto"/>
                        <w:right w:val="none" w:sz="0" w:space="0" w:color="auto"/>
                      </w:divBdr>
                    </w:div>
                  </w:divsChild>
                </w:div>
                <w:div w:id="1948611068">
                  <w:marLeft w:val="0"/>
                  <w:marRight w:val="0"/>
                  <w:marTop w:val="0"/>
                  <w:marBottom w:val="0"/>
                  <w:divBdr>
                    <w:top w:val="none" w:sz="0" w:space="0" w:color="auto"/>
                    <w:left w:val="none" w:sz="0" w:space="0" w:color="auto"/>
                    <w:bottom w:val="none" w:sz="0" w:space="0" w:color="auto"/>
                    <w:right w:val="none" w:sz="0" w:space="0" w:color="auto"/>
                  </w:divBdr>
                  <w:divsChild>
                    <w:div w:id="1586256662">
                      <w:marLeft w:val="0"/>
                      <w:marRight w:val="0"/>
                      <w:marTop w:val="0"/>
                      <w:marBottom w:val="0"/>
                      <w:divBdr>
                        <w:top w:val="none" w:sz="0" w:space="0" w:color="auto"/>
                        <w:left w:val="none" w:sz="0" w:space="0" w:color="auto"/>
                        <w:bottom w:val="none" w:sz="0" w:space="0" w:color="auto"/>
                        <w:right w:val="none" w:sz="0" w:space="0" w:color="auto"/>
                      </w:divBdr>
                    </w:div>
                  </w:divsChild>
                </w:div>
                <w:div w:id="1952087755">
                  <w:marLeft w:val="0"/>
                  <w:marRight w:val="0"/>
                  <w:marTop w:val="0"/>
                  <w:marBottom w:val="0"/>
                  <w:divBdr>
                    <w:top w:val="none" w:sz="0" w:space="0" w:color="auto"/>
                    <w:left w:val="none" w:sz="0" w:space="0" w:color="auto"/>
                    <w:bottom w:val="none" w:sz="0" w:space="0" w:color="auto"/>
                    <w:right w:val="none" w:sz="0" w:space="0" w:color="auto"/>
                  </w:divBdr>
                  <w:divsChild>
                    <w:div w:id="169180345">
                      <w:marLeft w:val="0"/>
                      <w:marRight w:val="0"/>
                      <w:marTop w:val="0"/>
                      <w:marBottom w:val="0"/>
                      <w:divBdr>
                        <w:top w:val="none" w:sz="0" w:space="0" w:color="auto"/>
                        <w:left w:val="none" w:sz="0" w:space="0" w:color="auto"/>
                        <w:bottom w:val="none" w:sz="0" w:space="0" w:color="auto"/>
                        <w:right w:val="none" w:sz="0" w:space="0" w:color="auto"/>
                      </w:divBdr>
                    </w:div>
                  </w:divsChild>
                </w:div>
                <w:div w:id="1957835171">
                  <w:marLeft w:val="0"/>
                  <w:marRight w:val="0"/>
                  <w:marTop w:val="0"/>
                  <w:marBottom w:val="0"/>
                  <w:divBdr>
                    <w:top w:val="none" w:sz="0" w:space="0" w:color="auto"/>
                    <w:left w:val="none" w:sz="0" w:space="0" w:color="auto"/>
                    <w:bottom w:val="none" w:sz="0" w:space="0" w:color="auto"/>
                    <w:right w:val="none" w:sz="0" w:space="0" w:color="auto"/>
                  </w:divBdr>
                  <w:divsChild>
                    <w:div w:id="526451158">
                      <w:marLeft w:val="0"/>
                      <w:marRight w:val="0"/>
                      <w:marTop w:val="0"/>
                      <w:marBottom w:val="0"/>
                      <w:divBdr>
                        <w:top w:val="none" w:sz="0" w:space="0" w:color="auto"/>
                        <w:left w:val="none" w:sz="0" w:space="0" w:color="auto"/>
                        <w:bottom w:val="none" w:sz="0" w:space="0" w:color="auto"/>
                        <w:right w:val="none" w:sz="0" w:space="0" w:color="auto"/>
                      </w:divBdr>
                    </w:div>
                  </w:divsChild>
                </w:div>
                <w:div w:id="1986087582">
                  <w:marLeft w:val="0"/>
                  <w:marRight w:val="0"/>
                  <w:marTop w:val="0"/>
                  <w:marBottom w:val="0"/>
                  <w:divBdr>
                    <w:top w:val="none" w:sz="0" w:space="0" w:color="auto"/>
                    <w:left w:val="none" w:sz="0" w:space="0" w:color="auto"/>
                    <w:bottom w:val="none" w:sz="0" w:space="0" w:color="auto"/>
                    <w:right w:val="none" w:sz="0" w:space="0" w:color="auto"/>
                  </w:divBdr>
                  <w:divsChild>
                    <w:div w:id="673146203">
                      <w:marLeft w:val="0"/>
                      <w:marRight w:val="0"/>
                      <w:marTop w:val="0"/>
                      <w:marBottom w:val="0"/>
                      <w:divBdr>
                        <w:top w:val="none" w:sz="0" w:space="0" w:color="auto"/>
                        <w:left w:val="none" w:sz="0" w:space="0" w:color="auto"/>
                        <w:bottom w:val="none" w:sz="0" w:space="0" w:color="auto"/>
                        <w:right w:val="none" w:sz="0" w:space="0" w:color="auto"/>
                      </w:divBdr>
                    </w:div>
                  </w:divsChild>
                </w:div>
                <w:div w:id="2030794266">
                  <w:marLeft w:val="0"/>
                  <w:marRight w:val="0"/>
                  <w:marTop w:val="0"/>
                  <w:marBottom w:val="0"/>
                  <w:divBdr>
                    <w:top w:val="none" w:sz="0" w:space="0" w:color="auto"/>
                    <w:left w:val="none" w:sz="0" w:space="0" w:color="auto"/>
                    <w:bottom w:val="none" w:sz="0" w:space="0" w:color="auto"/>
                    <w:right w:val="none" w:sz="0" w:space="0" w:color="auto"/>
                  </w:divBdr>
                  <w:divsChild>
                    <w:div w:id="57154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141328">
          <w:marLeft w:val="0"/>
          <w:marRight w:val="0"/>
          <w:marTop w:val="0"/>
          <w:marBottom w:val="0"/>
          <w:divBdr>
            <w:top w:val="none" w:sz="0" w:space="0" w:color="auto"/>
            <w:left w:val="none" w:sz="0" w:space="0" w:color="auto"/>
            <w:bottom w:val="none" w:sz="0" w:space="0" w:color="auto"/>
            <w:right w:val="none" w:sz="0" w:space="0" w:color="auto"/>
          </w:divBdr>
        </w:div>
        <w:div w:id="497039132">
          <w:marLeft w:val="0"/>
          <w:marRight w:val="0"/>
          <w:marTop w:val="0"/>
          <w:marBottom w:val="0"/>
          <w:divBdr>
            <w:top w:val="none" w:sz="0" w:space="0" w:color="auto"/>
            <w:left w:val="none" w:sz="0" w:space="0" w:color="auto"/>
            <w:bottom w:val="none" w:sz="0" w:space="0" w:color="auto"/>
            <w:right w:val="none" w:sz="0" w:space="0" w:color="auto"/>
          </w:divBdr>
          <w:divsChild>
            <w:div w:id="2132505856">
              <w:marLeft w:val="0"/>
              <w:marRight w:val="0"/>
              <w:marTop w:val="30"/>
              <w:marBottom w:val="30"/>
              <w:divBdr>
                <w:top w:val="none" w:sz="0" w:space="0" w:color="auto"/>
                <w:left w:val="none" w:sz="0" w:space="0" w:color="auto"/>
                <w:bottom w:val="none" w:sz="0" w:space="0" w:color="auto"/>
                <w:right w:val="none" w:sz="0" w:space="0" w:color="auto"/>
              </w:divBdr>
              <w:divsChild>
                <w:div w:id="598414474">
                  <w:marLeft w:val="0"/>
                  <w:marRight w:val="0"/>
                  <w:marTop w:val="0"/>
                  <w:marBottom w:val="0"/>
                  <w:divBdr>
                    <w:top w:val="none" w:sz="0" w:space="0" w:color="auto"/>
                    <w:left w:val="none" w:sz="0" w:space="0" w:color="auto"/>
                    <w:bottom w:val="none" w:sz="0" w:space="0" w:color="auto"/>
                    <w:right w:val="none" w:sz="0" w:space="0" w:color="auto"/>
                  </w:divBdr>
                  <w:divsChild>
                    <w:div w:id="2075856731">
                      <w:marLeft w:val="0"/>
                      <w:marRight w:val="0"/>
                      <w:marTop w:val="0"/>
                      <w:marBottom w:val="0"/>
                      <w:divBdr>
                        <w:top w:val="none" w:sz="0" w:space="0" w:color="auto"/>
                        <w:left w:val="none" w:sz="0" w:space="0" w:color="auto"/>
                        <w:bottom w:val="none" w:sz="0" w:space="0" w:color="auto"/>
                        <w:right w:val="none" w:sz="0" w:space="0" w:color="auto"/>
                      </w:divBdr>
                    </w:div>
                  </w:divsChild>
                </w:div>
                <w:div w:id="1354108856">
                  <w:marLeft w:val="0"/>
                  <w:marRight w:val="0"/>
                  <w:marTop w:val="0"/>
                  <w:marBottom w:val="0"/>
                  <w:divBdr>
                    <w:top w:val="none" w:sz="0" w:space="0" w:color="auto"/>
                    <w:left w:val="none" w:sz="0" w:space="0" w:color="auto"/>
                    <w:bottom w:val="none" w:sz="0" w:space="0" w:color="auto"/>
                    <w:right w:val="none" w:sz="0" w:space="0" w:color="auto"/>
                  </w:divBdr>
                  <w:divsChild>
                    <w:div w:id="186443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072552">
          <w:marLeft w:val="0"/>
          <w:marRight w:val="0"/>
          <w:marTop w:val="0"/>
          <w:marBottom w:val="0"/>
          <w:divBdr>
            <w:top w:val="none" w:sz="0" w:space="0" w:color="auto"/>
            <w:left w:val="none" w:sz="0" w:space="0" w:color="auto"/>
            <w:bottom w:val="none" w:sz="0" w:space="0" w:color="auto"/>
            <w:right w:val="none" w:sz="0" w:space="0" w:color="auto"/>
          </w:divBdr>
        </w:div>
        <w:div w:id="842360210">
          <w:marLeft w:val="0"/>
          <w:marRight w:val="0"/>
          <w:marTop w:val="0"/>
          <w:marBottom w:val="0"/>
          <w:divBdr>
            <w:top w:val="none" w:sz="0" w:space="0" w:color="auto"/>
            <w:left w:val="none" w:sz="0" w:space="0" w:color="auto"/>
            <w:bottom w:val="none" w:sz="0" w:space="0" w:color="auto"/>
            <w:right w:val="none" w:sz="0" w:space="0" w:color="auto"/>
          </w:divBdr>
        </w:div>
        <w:div w:id="1223903163">
          <w:marLeft w:val="0"/>
          <w:marRight w:val="0"/>
          <w:marTop w:val="0"/>
          <w:marBottom w:val="0"/>
          <w:divBdr>
            <w:top w:val="none" w:sz="0" w:space="0" w:color="auto"/>
            <w:left w:val="none" w:sz="0" w:space="0" w:color="auto"/>
            <w:bottom w:val="none" w:sz="0" w:space="0" w:color="auto"/>
            <w:right w:val="none" w:sz="0" w:space="0" w:color="auto"/>
          </w:divBdr>
        </w:div>
        <w:div w:id="1311203548">
          <w:marLeft w:val="0"/>
          <w:marRight w:val="0"/>
          <w:marTop w:val="0"/>
          <w:marBottom w:val="0"/>
          <w:divBdr>
            <w:top w:val="none" w:sz="0" w:space="0" w:color="auto"/>
            <w:left w:val="none" w:sz="0" w:space="0" w:color="auto"/>
            <w:bottom w:val="none" w:sz="0" w:space="0" w:color="auto"/>
            <w:right w:val="none" w:sz="0" w:space="0" w:color="auto"/>
          </w:divBdr>
          <w:divsChild>
            <w:div w:id="859851443">
              <w:marLeft w:val="0"/>
              <w:marRight w:val="0"/>
              <w:marTop w:val="30"/>
              <w:marBottom w:val="30"/>
              <w:divBdr>
                <w:top w:val="none" w:sz="0" w:space="0" w:color="auto"/>
                <w:left w:val="none" w:sz="0" w:space="0" w:color="auto"/>
                <w:bottom w:val="none" w:sz="0" w:space="0" w:color="auto"/>
                <w:right w:val="none" w:sz="0" w:space="0" w:color="auto"/>
              </w:divBdr>
              <w:divsChild>
                <w:div w:id="334305826">
                  <w:marLeft w:val="0"/>
                  <w:marRight w:val="0"/>
                  <w:marTop w:val="0"/>
                  <w:marBottom w:val="0"/>
                  <w:divBdr>
                    <w:top w:val="none" w:sz="0" w:space="0" w:color="auto"/>
                    <w:left w:val="none" w:sz="0" w:space="0" w:color="auto"/>
                    <w:bottom w:val="none" w:sz="0" w:space="0" w:color="auto"/>
                    <w:right w:val="none" w:sz="0" w:space="0" w:color="auto"/>
                  </w:divBdr>
                  <w:divsChild>
                    <w:div w:id="846167303">
                      <w:marLeft w:val="0"/>
                      <w:marRight w:val="0"/>
                      <w:marTop w:val="0"/>
                      <w:marBottom w:val="0"/>
                      <w:divBdr>
                        <w:top w:val="none" w:sz="0" w:space="0" w:color="auto"/>
                        <w:left w:val="none" w:sz="0" w:space="0" w:color="auto"/>
                        <w:bottom w:val="none" w:sz="0" w:space="0" w:color="auto"/>
                        <w:right w:val="none" w:sz="0" w:space="0" w:color="auto"/>
                      </w:divBdr>
                    </w:div>
                  </w:divsChild>
                </w:div>
                <w:div w:id="673530125">
                  <w:marLeft w:val="0"/>
                  <w:marRight w:val="0"/>
                  <w:marTop w:val="0"/>
                  <w:marBottom w:val="0"/>
                  <w:divBdr>
                    <w:top w:val="none" w:sz="0" w:space="0" w:color="auto"/>
                    <w:left w:val="none" w:sz="0" w:space="0" w:color="auto"/>
                    <w:bottom w:val="none" w:sz="0" w:space="0" w:color="auto"/>
                    <w:right w:val="none" w:sz="0" w:space="0" w:color="auto"/>
                  </w:divBdr>
                  <w:divsChild>
                    <w:div w:id="1066302710">
                      <w:marLeft w:val="0"/>
                      <w:marRight w:val="0"/>
                      <w:marTop w:val="0"/>
                      <w:marBottom w:val="0"/>
                      <w:divBdr>
                        <w:top w:val="none" w:sz="0" w:space="0" w:color="auto"/>
                        <w:left w:val="none" w:sz="0" w:space="0" w:color="auto"/>
                        <w:bottom w:val="none" w:sz="0" w:space="0" w:color="auto"/>
                        <w:right w:val="none" w:sz="0" w:space="0" w:color="auto"/>
                      </w:divBdr>
                    </w:div>
                  </w:divsChild>
                </w:div>
                <w:div w:id="739250458">
                  <w:marLeft w:val="0"/>
                  <w:marRight w:val="0"/>
                  <w:marTop w:val="0"/>
                  <w:marBottom w:val="0"/>
                  <w:divBdr>
                    <w:top w:val="none" w:sz="0" w:space="0" w:color="auto"/>
                    <w:left w:val="none" w:sz="0" w:space="0" w:color="auto"/>
                    <w:bottom w:val="none" w:sz="0" w:space="0" w:color="auto"/>
                    <w:right w:val="none" w:sz="0" w:space="0" w:color="auto"/>
                  </w:divBdr>
                  <w:divsChild>
                    <w:div w:id="1226648280">
                      <w:marLeft w:val="0"/>
                      <w:marRight w:val="0"/>
                      <w:marTop w:val="0"/>
                      <w:marBottom w:val="0"/>
                      <w:divBdr>
                        <w:top w:val="none" w:sz="0" w:space="0" w:color="auto"/>
                        <w:left w:val="none" w:sz="0" w:space="0" w:color="auto"/>
                        <w:bottom w:val="none" w:sz="0" w:space="0" w:color="auto"/>
                        <w:right w:val="none" w:sz="0" w:space="0" w:color="auto"/>
                      </w:divBdr>
                    </w:div>
                  </w:divsChild>
                </w:div>
                <w:div w:id="798955763">
                  <w:marLeft w:val="0"/>
                  <w:marRight w:val="0"/>
                  <w:marTop w:val="0"/>
                  <w:marBottom w:val="0"/>
                  <w:divBdr>
                    <w:top w:val="none" w:sz="0" w:space="0" w:color="auto"/>
                    <w:left w:val="none" w:sz="0" w:space="0" w:color="auto"/>
                    <w:bottom w:val="none" w:sz="0" w:space="0" w:color="auto"/>
                    <w:right w:val="none" w:sz="0" w:space="0" w:color="auto"/>
                  </w:divBdr>
                  <w:divsChild>
                    <w:div w:id="1345746717">
                      <w:marLeft w:val="0"/>
                      <w:marRight w:val="0"/>
                      <w:marTop w:val="0"/>
                      <w:marBottom w:val="0"/>
                      <w:divBdr>
                        <w:top w:val="none" w:sz="0" w:space="0" w:color="auto"/>
                        <w:left w:val="none" w:sz="0" w:space="0" w:color="auto"/>
                        <w:bottom w:val="none" w:sz="0" w:space="0" w:color="auto"/>
                        <w:right w:val="none" w:sz="0" w:space="0" w:color="auto"/>
                      </w:divBdr>
                    </w:div>
                    <w:div w:id="1462383468">
                      <w:marLeft w:val="0"/>
                      <w:marRight w:val="0"/>
                      <w:marTop w:val="0"/>
                      <w:marBottom w:val="0"/>
                      <w:divBdr>
                        <w:top w:val="none" w:sz="0" w:space="0" w:color="auto"/>
                        <w:left w:val="none" w:sz="0" w:space="0" w:color="auto"/>
                        <w:bottom w:val="none" w:sz="0" w:space="0" w:color="auto"/>
                        <w:right w:val="none" w:sz="0" w:space="0" w:color="auto"/>
                      </w:divBdr>
                    </w:div>
                  </w:divsChild>
                </w:div>
                <w:div w:id="869729543">
                  <w:marLeft w:val="0"/>
                  <w:marRight w:val="0"/>
                  <w:marTop w:val="0"/>
                  <w:marBottom w:val="0"/>
                  <w:divBdr>
                    <w:top w:val="none" w:sz="0" w:space="0" w:color="auto"/>
                    <w:left w:val="none" w:sz="0" w:space="0" w:color="auto"/>
                    <w:bottom w:val="none" w:sz="0" w:space="0" w:color="auto"/>
                    <w:right w:val="none" w:sz="0" w:space="0" w:color="auto"/>
                  </w:divBdr>
                  <w:divsChild>
                    <w:div w:id="186527769">
                      <w:marLeft w:val="0"/>
                      <w:marRight w:val="0"/>
                      <w:marTop w:val="0"/>
                      <w:marBottom w:val="0"/>
                      <w:divBdr>
                        <w:top w:val="none" w:sz="0" w:space="0" w:color="auto"/>
                        <w:left w:val="none" w:sz="0" w:space="0" w:color="auto"/>
                        <w:bottom w:val="none" w:sz="0" w:space="0" w:color="auto"/>
                        <w:right w:val="none" w:sz="0" w:space="0" w:color="auto"/>
                      </w:divBdr>
                    </w:div>
                  </w:divsChild>
                </w:div>
                <w:div w:id="968323279">
                  <w:marLeft w:val="0"/>
                  <w:marRight w:val="0"/>
                  <w:marTop w:val="0"/>
                  <w:marBottom w:val="0"/>
                  <w:divBdr>
                    <w:top w:val="none" w:sz="0" w:space="0" w:color="auto"/>
                    <w:left w:val="none" w:sz="0" w:space="0" w:color="auto"/>
                    <w:bottom w:val="none" w:sz="0" w:space="0" w:color="auto"/>
                    <w:right w:val="none" w:sz="0" w:space="0" w:color="auto"/>
                  </w:divBdr>
                  <w:divsChild>
                    <w:div w:id="41952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530488">
          <w:marLeft w:val="0"/>
          <w:marRight w:val="0"/>
          <w:marTop w:val="0"/>
          <w:marBottom w:val="0"/>
          <w:divBdr>
            <w:top w:val="none" w:sz="0" w:space="0" w:color="auto"/>
            <w:left w:val="none" w:sz="0" w:space="0" w:color="auto"/>
            <w:bottom w:val="none" w:sz="0" w:space="0" w:color="auto"/>
            <w:right w:val="none" w:sz="0" w:space="0" w:color="auto"/>
          </w:divBdr>
          <w:divsChild>
            <w:div w:id="378895564">
              <w:marLeft w:val="0"/>
              <w:marRight w:val="0"/>
              <w:marTop w:val="30"/>
              <w:marBottom w:val="30"/>
              <w:divBdr>
                <w:top w:val="none" w:sz="0" w:space="0" w:color="auto"/>
                <w:left w:val="none" w:sz="0" w:space="0" w:color="auto"/>
                <w:bottom w:val="none" w:sz="0" w:space="0" w:color="auto"/>
                <w:right w:val="none" w:sz="0" w:space="0" w:color="auto"/>
              </w:divBdr>
              <w:divsChild>
                <w:div w:id="691152625">
                  <w:marLeft w:val="0"/>
                  <w:marRight w:val="0"/>
                  <w:marTop w:val="0"/>
                  <w:marBottom w:val="0"/>
                  <w:divBdr>
                    <w:top w:val="none" w:sz="0" w:space="0" w:color="auto"/>
                    <w:left w:val="none" w:sz="0" w:space="0" w:color="auto"/>
                    <w:bottom w:val="none" w:sz="0" w:space="0" w:color="auto"/>
                    <w:right w:val="none" w:sz="0" w:space="0" w:color="auto"/>
                  </w:divBdr>
                  <w:divsChild>
                    <w:div w:id="1420370127">
                      <w:marLeft w:val="0"/>
                      <w:marRight w:val="0"/>
                      <w:marTop w:val="0"/>
                      <w:marBottom w:val="0"/>
                      <w:divBdr>
                        <w:top w:val="none" w:sz="0" w:space="0" w:color="auto"/>
                        <w:left w:val="none" w:sz="0" w:space="0" w:color="auto"/>
                        <w:bottom w:val="none" w:sz="0" w:space="0" w:color="auto"/>
                        <w:right w:val="none" w:sz="0" w:space="0" w:color="auto"/>
                      </w:divBdr>
                    </w:div>
                  </w:divsChild>
                </w:div>
                <w:div w:id="1635594609">
                  <w:marLeft w:val="0"/>
                  <w:marRight w:val="0"/>
                  <w:marTop w:val="0"/>
                  <w:marBottom w:val="0"/>
                  <w:divBdr>
                    <w:top w:val="none" w:sz="0" w:space="0" w:color="auto"/>
                    <w:left w:val="none" w:sz="0" w:space="0" w:color="auto"/>
                    <w:bottom w:val="none" w:sz="0" w:space="0" w:color="auto"/>
                    <w:right w:val="none" w:sz="0" w:space="0" w:color="auto"/>
                  </w:divBdr>
                  <w:divsChild>
                    <w:div w:id="131382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260571">
          <w:marLeft w:val="0"/>
          <w:marRight w:val="0"/>
          <w:marTop w:val="0"/>
          <w:marBottom w:val="0"/>
          <w:divBdr>
            <w:top w:val="none" w:sz="0" w:space="0" w:color="auto"/>
            <w:left w:val="none" w:sz="0" w:space="0" w:color="auto"/>
            <w:bottom w:val="none" w:sz="0" w:space="0" w:color="auto"/>
            <w:right w:val="none" w:sz="0" w:space="0" w:color="auto"/>
          </w:divBdr>
        </w:div>
        <w:div w:id="1542286306">
          <w:marLeft w:val="0"/>
          <w:marRight w:val="0"/>
          <w:marTop w:val="0"/>
          <w:marBottom w:val="0"/>
          <w:divBdr>
            <w:top w:val="none" w:sz="0" w:space="0" w:color="auto"/>
            <w:left w:val="none" w:sz="0" w:space="0" w:color="auto"/>
            <w:bottom w:val="none" w:sz="0" w:space="0" w:color="auto"/>
            <w:right w:val="none" w:sz="0" w:space="0" w:color="auto"/>
          </w:divBdr>
          <w:divsChild>
            <w:div w:id="875461850">
              <w:marLeft w:val="0"/>
              <w:marRight w:val="0"/>
              <w:marTop w:val="30"/>
              <w:marBottom w:val="30"/>
              <w:divBdr>
                <w:top w:val="none" w:sz="0" w:space="0" w:color="auto"/>
                <w:left w:val="none" w:sz="0" w:space="0" w:color="auto"/>
                <w:bottom w:val="none" w:sz="0" w:space="0" w:color="auto"/>
                <w:right w:val="none" w:sz="0" w:space="0" w:color="auto"/>
              </w:divBdr>
              <w:divsChild>
                <w:div w:id="618609532">
                  <w:marLeft w:val="0"/>
                  <w:marRight w:val="0"/>
                  <w:marTop w:val="0"/>
                  <w:marBottom w:val="0"/>
                  <w:divBdr>
                    <w:top w:val="none" w:sz="0" w:space="0" w:color="auto"/>
                    <w:left w:val="none" w:sz="0" w:space="0" w:color="auto"/>
                    <w:bottom w:val="none" w:sz="0" w:space="0" w:color="auto"/>
                    <w:right w:val="none" w:sz="0" w:space="0" w:color="auto"/>
                  </w:divBdr>
                  <w:divsChild>
                    <w:div w:id="1570116413">
                      <w:marLeft w:val="0"/>
                      <w:marRight w:val="0"/>
                      <w:marTop w:val="0"/>
                      <w:marBottom w:val="0"/>
                      <w:divBdr>
                        <w:top w:val="none" w:sz="0" w:space="0" w:color="auto"/>
                        <w:left w:val="none" w:sz="0" w:space="0" w:color="auto"/>
                        <w:bottom w:val="none" w:sz="0" w:space="0" w:color="auto"/>
                        <w:right w:val="none" w:sz="0" w:space="0" w:color="auto"/>
                      </w:divBdr>
                    </w:div>
                  </w:divsChild>
                </w:div>
                <w:div w:id="746610322">
                  <w:marLeft w:val="0"/>
                  <w:marRight w:val="0"/>
                  <w:marTop w:val="0"/>
                  <w:marBottom w:val="0"/>
                  <w:divBdr>
                    <w:top w:val="none" w:sz="0" w:space="0" w:color="auto"/>
                    <w:left w:val="none" w:sz="0" w:space="0" w:color="auto"/>
                    <w:bottom w:val="none" w:sz="0" w:space="0" w:color="auto"/>
                    <w:right w:val="none" w:sz="0" w:space="0" w:color="auto"/>
                  </w:divBdr>
                  <w:divsChild>
                    <w:div w:id="949625075">
                      <w:marLeft w:val="0"/>
                      <w:marRight w:val="0"/>
                      <w:marTop w:val="0"/>
                      <w:marBottom w:val="0"/>
                      <w:divBdr>
                        <w:top w:val="none" w:sz="0" w:space="0" w:color="auto"/>
                        <w:left w:val="none" w:sz="0" w:space="0" w:color="auto"/>
                        <w:bottom w:val="none" w:sz="0" w:space="0" w:color="auto"/>
                        <w:right w:val="none" w:sz="0" w:space="0" w:color="auto"/>
                      </w:divBdr>
                    </w:div>
                  </w:divsChild>
                </w:div>
                <w:div w:id="748422636">
                  <w:marLeft w:val="0"/>
                  <w:marRight w:val="0"/>
                  <w:marTop w:val="0"/>
                  <w:marBottom w:val="0"/>
                  <w:divBdr>
                    <w:top w:val="none" w:sz="0" w:space="0" w:color="auto"/>
                    <w:left w:val="none" w:sz="0" w:space="0" w:color="auto"/>
                    <w:bottom w:val="none" w:sz="0" w:space="0" w:color="auto"/>
                    <w:right w:val="none" w:sz="0" w:space="0" w:color="auto"/>
                  </w:divBdr>
                  <w:divsChild>
                    <w:div w:id="602567322">
                      <w:marLeft w:val="0"/>
                      <w:marRight w:val="0"/>
                      <w:marTop w:val="0"/>
                      <w:marBottom w:val="0"/>
                      <w:divBdr>
                        <w:top w:val="none" w:sz="0" w:space="0" w:color="auto"/>
                        <w:left w:val="none" w:sz="0" w:space="0" w:color="auto"/>
                        <w:bottom w:val="none" w:sz="0" w:space="0" w:color="auto"/>
                        <w:right w:val="none" w:sz="0" w:space="0" w:color="auto"/>
                      </w:divBdr>
                    </w:div>
                  </w:divsChild>
                </w:div>
                <w:div w:id="1210844850">
                  <w:marLeft w:val="0"/>
                  <w:marRight w:val="0"/>
                  <w:marTop w:val="0"/>
                  <w:marBottom w:val="0"/>
                  <w:divBdr>
                    <w:top w:val="none" w:sz="0" w:space="0" w:color="auto"/>
                    <w:left w:val="none" w:sz="0" w:space="0" w:color="auto"/>
                    <w:bottom w:val="none" w:sz="0" w:space="0" w:color="auto"/>
                    <w:right w:val="none" w:sz="0" w:space="0" w:color="auto"/>
                  </w:divBdr>
                  <w:divsChild>
                    <w:div w:id="93213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898785">
          <w:marLeft w:val="0"/>
          <w:marRight w:val="0"/>
          <w:marTop w:val="0"/>
          <w:marBottom w:val="0"/>
          <w:divBdr>
            <w:top w:val="none" w:sz="0" w:space="0" w:color="auto"/>
            <w:left w:val="none" w:sz="0" w:space="0" w:color="auto"/>
            <w:bottom w:val="none" w:sz="0" w:space="0" w:color="auto"/>
            <w:right w:val="none" w:sz="0" w:space="0" w:color="auto"/>
          </w:divBdr>
          <w:divsChild>
            <w:div w:id="1150947368">
              <w:marLeft w:val="0"/>
              <w:marRight w:val="0"/>
              <w:marTop w:val="30"/>
              <w:marBottom w:val="30"/>
              <w:divBdr>
                <w:top w:val="none" w:sz="0" w:space="0" w:color="auto"/>
                <w:left w:val="none" w:sz="0" w:space="0" w:color="auto"/>
                <w:bottom w:val="none" w:sz="0" w:space="0" w:color="auto"/>
                <w:right w:val="none" w:sz="0" w:space="0" w:color="auto"/>
              </w:divBdr>
              <w:divsChild>
                <w:div w:id="27485714">
                  <w:marLeft w:val="0"/>
                  <w:marRight w:val="0"/>
                  <w:marTop w:val="0"/>
                  <w:marBottom w:val="0"/>
                  <w:divBdr>
                    <w:top w:val="none" w:sz="0" w:space="0" w:color="auto"/>
                    <w:left w:val="none" w:sz="0" w:space="0" w:color="auto"/>
                    <w:bottom w:val="none" w:sz="0" w:space="0" w:color="auto"/>
                    <w:right w:val="none" w:sz="0" w:space="0" w:color="auto"/>
                  </w:divBdr>
                  <w:divsChild>
                    <w:div w:id="317804653">
                      <w:marLeft w:val="0"/>
                      <w:marRight w:val="0"/>
                      <w:marTop w:val="0"/>
                      <w:marBottom w:val="0"/>
                      <w:divBdr>
                        <w:top w:val="none" w:sz="0" w:space="0" w:color="auto"/>
                        <w:left w:val="none" w:sz="0" w:space="0" w:color="auto"/>
                        <w:bottom w:val="none" w:sz="0" w:space="0" w:color="auto"/>
                        <w:right w:val="none" w:sz="0" w:space="0" w:color="auto"/>
                      </w:divBdr>
                    </w:div>
                  </w:divsChild>
                </w:div>
                <w:div w:id="759184685">
                  <w:marLeft w:val="0"/>
                  <w:marRight w:val="0"/>
                  <w:marTop w:val="0"/>
                  <w:marBottom w:val="0"/>
                  <w:divBdr>
                    <w:top w:val="none" w:sz="0" w:space="0" w:color="auto"/>
                    <w:left w:val="none" w:sz="0" w:space="0" w:color="auto"/>
                    <w:bottom w:val="none" w:sz="0" w:space="0" w:color="auto"/>
                    <w:right w:val="none" w:sz="0" w:space="0" w:color="auto"/>
                  </w:divBdr>
                  <w:divsChild>
                    <w:div w:id="156332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681409">
          <w:marLeft w:val="0"/>
          <w:marRight w:val="0"/>
          <w:marTop w:val="0"/>
          <w:marBottom w:val="0"/>
          <w:divBdr>
            <w:top w:val="none" w:sz="0" w:space="0" w:color="auto"/>
            <w:left w:val="none" w:sz="0" w:space="0" w:color="auto"/>
            <w:bottom w:val="none" w:sz="0" w:space="0" w:color="auto"/>
            <w:right w:val="none" w:sz="0" w:space="0" w:color="auto"/>
          </w:divBdr>
          <w:divsChild>
            <w:div w:id="1369064409">
              <w:marLeft w:val="0"/>
              <w:marRight w:val="0"/>
              <w:marTop w:val="30"/>
              <w:marBottom w:val="30"/>
              <w:divBdr>
                <w:top w:val="none" w:sz="0" w:space="0" w:color="auto"/>
                <w:left w:val="none" w:sz="0" w:space="0" w:color="auto"/>
                <w:bottom w:val="none" w:sz="0" w:space="0" w:color="auto"/>
                <w:right w:val="none" w:sz="0" w:space="0" w:color="auto"/>
              </w:divBdr>
              <w:divsChild>
                <w:div w:id="19011248">
                  <w:marLeft w:val="0"/>
                  <w:marRight w:val="0"/>
                  <w:marTop w:val="0"/>
                  <w:marBottom w:val="0"/>
                  <w:divBdr>
                    <w:top w:val="none" w:sz="0" w:space="0" w:color="auto"/>
                    <w:left w:val="none" w:sz="0" w:space="0" w:color="auto"/>
                    <w:bottom w:val="none" w:sz="0" w:space="0" w:color="auto"/>
                    <w:right w:val="none" w:sz="0" w:space="0" w:color="auto"/>
                  </w:divBdr>
                  <w:divsChild>
                    <w:div w:id="521162531">
                      <w:marLeft w:val="0"/>
                      <w:marRight w:val="0"/>
                      <w:marTop w:val="0"/>
                      <w:marBottom w:val="0"/>
                      <w:divBdr>
                        <w:top w:val="none" w:sz="0" w:space="0" w:color="auto"/>
                        <w:left w:val="none" w:sz="0" w:space="0" w:color="auto"/>
                        <w:bottom w:val="none" w:sz="0" w:space="0" w:color="auto"/>
                        <w:right w:val="none" w:sz="0" w:space="0" w:color="auto"/>
                      </w:divBdr>
                    </w:div>
                  </w:divsChild>
                </w:div>
                <w:div w:id="256905202">
                  <w:marLeft w:val="0"/>
                  <w:marRight w:val="0"/>
                  <w:marTop w:val="0"/>
                  <w:marBottom w:val="0"/>
                  <w:divBdr>
                    <w:top w:val="none" w:sz="0" w:space="0" w:color="auto"/>
                    <w:left w:val="none" w:sz="0" w:space="0" w:color="auto"/>
                    <w:bottom w:val="none" w:sz="0" w:space="0" w:color="auto"/>
                    <w:right w:val="none" w:sz="0" w:space="0" w:color="auto"/>
                  </w:divBdr>
                  <w:divsChild>
                    <w:div w:id="697125353">
                      <w:marLeft w:val="0"/>
                      <w:marRight w:val="0"/>
                      <w:marTop w:val="0"/>
                      <w:marBottom w:val="0"/>
                      <w:divBdr>
                        <w:top w:val="none" w:sz="0" w:space="0" w:color="auto"/>
                        <w:left w:val="none" w:sz="0" w:space="0" w:color="auto"/>
                        <w:bottom w:val="none" w:sz="0" w:space="0" w:color="auto"/>
                        <w:right w:val="none" w:sz="0" w:space="0" w:color="auto"/>
                      </w:divBdr>
                    </w:div>
                  </w:divsChild>
                </w:div>
                <w:div w:id="1182819353">
                  <w:marLeft w:val="0"/>
                  <w:marRight w:val="0"/>
                  <w:marTop w:val="0"/>
                  <w:marBottom w:val="0"/>
                  <w:divBdr>
                    <w:top w:val="none" w:sz="0" w:space="0" w:color="auto"/>
                    <w:left w:val="none" w:sz="0" w:space="0" w:color="auto"/>
                    <w:bottom w:val="none" w:sz="0" w:space="0" w:color="auto"/>
                    <w:right w:val="none" w:sz="0" w:space="0" w:color="auto"/>
                  </w:divBdr>
                  <w:divsChild>
                    <w:div w:id="1527325520">
                      <w:marLeft w:val="0"/>
                      <w:marRight w:val="0"/>
                      <w:marTop w:val="0"/>
                      <w:marBottom w:val="0"/>
                      <w:divBdr>
                        <w:top w:val="none" w:sz="0" w:space="0" w:color="auto"/>
                        <w:left w:val="none" w:sz="0" w:space="0" w:color="auto"/>
                        <w:bottom w:val="none" w:sz="0" w:space="0" w:color="auto"/>
                        <w:right w:val="none" w:sz="0" w:space="0" w:color="auto"/>
                      </w:divBdr>
                    </w:div>
                  </w:divsChild>
                </w:div>
                <w:div w:id="1741169938">
                  <w:marLeft w:val="0"/>
                  <w:marRight w:val="0"/>
                  <w:marTop w:val="0"/>
                  <w:marBottom w:val="0"/>
                  <w:divBdr>
                    <w:top w:val="none" w:sz="0" w:space="0" w:color="auto"/>
                    <w:left w:val="none" w:sz="0" w:space="0" w:color="auto"/>
                    <w:bottom w:val="none" w:sz="0" w:space="0" w:color="auto"/>
                    <w:right w:val="none" w:sz="0" w:space="0" w:color="auto"/>
                  </w:divBdr>
                  <w:divsChild>
                    <w:div w:id="96916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891641">
      <w:bodyDiv w:val="1"/>
      <w:marLeft w:val="0"/>
      <w:marRight w:val="0"/>
      <w:marTop w:val="0"/>
      <w:marBottom w:val="0"/>
      <w:divBdr>
        <w:top w:val="none" w:sz="0" w:space="0" w:color="auto"/>
        <w:left w:val="none" w:sz="0" w:space="0" w:color="auto"/>
        <w:bottom w:val="none" w:sz="0" w:space="0" w:color="auto"/>
        <w:right w:val="none" w:sz="0" w:space="0" w:color="auto"/>
      </w:divBdr>
    </w:div>
    <w:div w:id="1501044464">
      <w:bodyDiv w:val="1"/>
      <w:marLeft w:val="0"/>
      <w:marRight w:val="0"/>
      <w:marTop w:val="0"/>
      <w:marBottom w:val="0"/>
      <w:divBdr>
        <w:top w:val="none" w:sz="0" w:space="0" w:color="auto"/>
        <w:left w:val="none" w:sz="0" w:space="0" w:color="auto"/>
        <w:bottom w:val="none" w:sz="0" w:space="0" w:color="auto"/>
        <w:right w:val="none" w:sz="0" w:space="0" w:color="auto"/>
      </w:divBdr>
      <w:divsChild>
        <w:div w:id="458687013">
          <w:marLeft w:val="0"/>
          <w:marRight w:val="0"/>
          <w:marTop w:val="0"/>
          <w:marBottom w:val="0"/>
          <w:divBdr>
            <w:top w:val="none" w:sz="0" w:space="0" w:color="auto"/>
            <w:left w:val="none" w:sz="0" w:space="0" w:color="auto"/>
            <w:bottom w:val="none" w:sz="0" w:space="0" w:color="auto"/>
            <w:right w:val="none" w:sz="0" w:space="0" w:color="auto"/>
          </w:divBdr>
        </w:div>
        <w:div w:id="1056664456">
          <w:marLeft w:val="0"/>
          <w:marRight w:val="0"/>
          <w:marTop w:val="0"/>
          <w:marBottom w:val="0"/>
          <w:divBdr>
            <w:top w:val="none" w:sz="0" w:space="0" w:color="auto"/>
            <w:left w:val="none" w:sz="0" w:space="0" w:color="auto"/>
            <w:bottom w:val="none" w:sz="0" w:space="0" w:color="auto"/>
            <w:right w:val="none" w:sz="0" w:space="0" w:color="auto"/>
          </w:divBdr>
        </w:div>
        <w:div w:id="1532498159">
          <w:marLeft w:val="0"/>
          <w:marRight w:val="0"/>
          <w:marTop w:val="0"/>
          <w:marBottom w:val="0"/>
          <w:divBdr>
            <w:top w:val="none" w:sz="0" w:space="0" w:color="auto"/>
            <w:left w:val="none" w:sz="0" w:space="0" w:color="auto"/>
            <w:bottom w:val="none" w:sz="0" w:space="0" w:color="auto"/>
            <w:right w:val="none" w:sz="0" w:space="0" w:color="auto"/>
          </w:divBdr>
        </w:div>
        <w:div w:id="2038652048">
          <w:marLeft w:val="0"/>
          <w:marRight w:val="0"/>
          <w:marTop w:val="0"/>
          <w:marBottom w:val="0"/>
          <w:divBdr>
            <w:top w:val="none" w:sz="0" w:space="0" w:color="auto"/>
            <w:left w:val="none" w:sz="0" w:space="0" w:color="auto"/>
            <w:bottom w:val="none" w:sz="0" w:space="0" w:color="auto"/>
            <w:right w:val="none" w:sz="0" w:space="0" w:color="auto"/>
          </w:divBdr>
        </w:div>
      </w:divsChild>
    </w:div>
    <w:div w:id="1523978864">
      <w:bodyDiv w:val="1"/>
      <w:marLeft w:val="0"/>
      <w:marRight w:val="0"/>
      <w:marTop w:val="0"/>
      <w:marBottom w:val="0"/>
      <w:divBdr>
        <w:top w:val="none" w:sz="0" w:space="0" w:color="auto"/>
        <w:left w:val="none" w:sz="0" w:space="0" w:color="auto"/>
        <w:bottom w:val="none" w:sz="0" w:space="0" w:color="auto"/>
        <w:right w:val="none" w:sz="0" w:space="0" w:color="auto"/>
      </w:divBdr>
    </w:div>
    <w:div w:id="1542521010">
      <w:bodyDiv w:val="1"/>
      <w:marLeft w:val="0"/>
      <w:marRight w:val="0"/>
      <w:marTop w:val="0"/>
      <w:marBottom w:val="0"/>
      <w:divBdr>
        <w:top w:val="none" w:sz="0" w:space="0" w:color="auto"/>
        <w:left w:val="none" w:sz="0" w:space="0" w:color="auto"/>
        <w:bottom w:val="none" w:sz="0" w:space="0" w:color="auto"/>
        <w:right w:val="none" w:sz="0" w:space="0" w:color="auto"/>
      </w:divBdr>
    </w:div>
    <w:div w:id="1552351575">
      <w:bodyDiv w:val="1"/>
      <w:marLeft w:val="0"/>
      <w:marRight w:val="0"/>
      <w:marTop w:val="0"/>
      <w:marBottom w:val="0"/>
      <w:divBdr>
        <w:top w:val="none" w:sz="0" w:space="0" w:color="auto"/>
        <w:left w:val="none" w:sz="0" w:space="0" w:color="auto"/>
        <w:bottom w:val="none" w:sz="0" w:space="0" w:color="auto"/>
        <w:right w:val="none" w:sz="0" w:space="0" w:color="auto"/>
      </w:divBdr>
    </w:div>
    <w:div w:id="1557278813">
      <w:bodyDiv w:val="1"/>
      <w:marLeft w:val="0"/>
      <w:marRight w:val="0"/>
      <w:marTop w:val="0"/>
      <w:marBottom w:val="0"/>
      <w:divBdr>
        <w:top w:val="none" w:sz="0" w:space="0" w:color="auto"/>
        <w:left w:val="none" w:sz="0" w:space="0" w:color="auto"/>
        <w:bottom w:val="none" w:sz="0" w:space="0" w:color="auto"/>
        <w:right w:val="none" w:sz="0" w:space="0" w:color="auto"/>
      </w:divBdr>
    </w:div>
    <w:div w:id="1569731309">
      <w:bodyDiv w:val="1"/>
      <w:marLeft w:val="0"/>
      <w:marRight w:val="0"/>
      <w:marTop w:val="0"/>
      <w:marBottom w:val="0"/>
      <w:divBdr>
        <w:top w:val="none" w:sz="0" w:space="0" w:color="auto"/>
        <w:left w:val="none" w:sz="0" w:space="0" w:color="auto"/>
        <w:bottom w:val="none" w:sz="0" w:space="0" w:color="auto"/>
        <w:right w:val="none" w:sz="0" w:space="0" w:color="auto"/>
      </w:divBdr>
      <w:divsChild>
        <w:div w:id="1907106787">
          <w:marLeft w:val="0"/>
          <w:marRight w:val="0"/>
          <w:marTop w:val="0"/>
          <w:marBottom w:val="0"/>
          <w:divBdr>
            <w:top w:val="none" w:sz="0" w:space="0" w:color="auto"/>
            <w:left w:val="none" w:sz="0" w:space="0" w:color="auto"/>
            <w:bottom w:val="none" w:sz="0" w:space="0" w:color="auto"/>
            <w:right w:val="none" w:sz="0" w:space="0" w:color="auto"/>
          </w:divBdr>
        </w:div>
      </w:divsChild>
    </w:div>
    <w:div w:id="1590309805">
      <w:bodyDiv w:val="1"/>
      <w:marLeft w:val="0"/>
      <w:marRight w:val="0"/>
      <w:marTop w:val="0"/>
      <w:marBottom w:val="0"/>
      <w:divBdr>
        <w:top w:val="none" w:sz="0" w:space="0" w:color="auto"/>
        <w:left w:val="none" w:sz="0" w:space="0" w:color="auto"/>
        <w:bottom w:val="none" w:sz="0" w:space="0" w:color="auto"/>
        <w:right w:val="none" w:sz="0" w:space="0" w:color="auto"/>
      </w:divBdr>
    </w:div>
    <w:div w:id="1601990282">
      <w:bodyDiv w:val="1"/>
      <w:marLeft w:val="0"/>
      <w:marRight w:val="0"/>
      <w:marTop w:val="0"/>
      <w:marBottom w:val="0"/>
      <w:divBdr>
        <w:top w:val="none" w:sz="0" w:space="0" w:color="auto"/>
        <w:left w:val="none" w:sz="0" w:space="0" w:color="auto"/>
        <w:bottom w:val="none" w:sz="0" w:space="0" w:color="auto"/>
        <w:right w:val="none" w:sz="0" w:space="0" w:color="auto"/>
      </w:divBdr>
    </w:div>
    <w:div w:id="1615670407">
      <w:bodyDiv w:val="1"/>
      <w:marLeft w:val="0"/>
      <w:marRight w:val="0"/>
      <w:marTop w:val="0"/>
      <w:marBottom w:val="0"/>
      <w:divBdr>
        <w:top w:val="none" w:sz="0" w:space="0" w:color="auto"/>
        <w:left w:val="none" w:sz="0" w:space="0" w:color="auto"/>
        <w:bottom w:val="none" w:sz="0" w:space="0" w:color="auto"/>
        <w:right w:val="none" w:sz="0" w:space="0" w:color="auto"/>
      </w:divBdr>
    </w:div>
    <w:div w:id="1630354653">
      <w:bodyDiv w:val="1"/>
      <w:marLeft w:val="0"/>
      <w:marRight w:val="0"/>
      <w:marTop w:val="0"/>
      <w:marBottom w:val="0"/>
      <w:divBdr>
        <w:top w:val="none" w:sz="0" w:space="0" w:color="auto"/>
        <w:left w:val="none" w:sz="0" w:space="0" w:color="auto"/>
        <w:bottom w:val="none" w:sz="0" w:space="0" w:color="auto"/>
        <w:right w:val="none" w:sz="0" w:space="0" w:color="auto"/>
      </w:divBdr>
    </w:div>
    <w:div w:id="1710109254">
      <w:bodyDiv w:val="1"/>
      <w:marLeft w:val="0"/>
      <w:marRight w:val="0"/>
      <w:marTop w:val="0"/>
      <w:marBottom w:val="0"/>
      <w:divBdr>
        <w:top w:val="none" w:sz="0" w:space="0" w:color="auto"/>
        <w:left w:val="none" w:sz="0" w:space="0" w:color="auto"/>
        <w:bottom w:val="none" w:sz="0" w:space="0" w:color="auto"/>
        <w:right w:val="none" w:sz="0" w:space="0" w:color="auto"/>
      </w:divBdr>
      <w:divsChild>
        <w:div w:id="74016812">
          <w:marLeft w:val="0"/>
          <w:marRight w:val="0"/>
          <w:marTop w:val="0"/>
          <w:marBottom w:val="0"/>
          <w:divBdr>
            <w:top w:val="none" w:sz="0" w:space="0" w:color="auto"/>
            <w:left w:val="none" w:sz="0" w:space="0" w:color="auto"/>
            <w:bottom w:val="none" w:sz="0" w:space="0" w:color="auto"/>
            <w:right w:val="none" w:sz="0" w:space="0" w:color="auto"/>
          </w:divBdr>
          <w:divsChild>
            <w:div w:id="400300564">
              <w:marLeft w:val="0"/>
              <w:marRight w:val="0"/>
              <w:marTop w:val="0"/>
              <w:marBottom w:val="0"/>
              <w:divBdr>
                <w:top w:val="none" w:sz="0" w:space="0" w:color="auto"/>
                <w:left w:val="none" w:sz="0" w:space="0" w:color="auto"/>
                <w:bottom w:val="none" w:sz="0" w:space="0" w:color="auto"/>
                <w:right w:val="none" w:sz="0" w:space="0" w:color="auto"/>
              </w:divBdr>
            </w:div>
          </w:divsChild>
        </w:div>
        <w:div w:id="290551722">
          <w:marLeft w:val="0"/>
          <w:marRight w:val="0"/>
          <w:marTop w:val="0"/>
          <w:marBottom w:val="0"/>
          <w:divBdr>
            <w:top w:val="none" w:sz="0" w:space="0" w:color="auto"/>
            <w:left w:val="none" w:sz="0" w:space="0" w:color="auto"/>
            <w:bottom w:val="none" w:sz="0" w:space="0" w:color="auto"/>
            <w:right w:val="none" w:sz="0" w:space="0" w:color="auto"/>
          </w:divBdr>
          <w:divsChild>
            <w:div w:id="1425960708">
              <w:marLeft w:val="0"/>
              <w:marRight w:val="0"/>
              <w:marTop w:val="0"/>
              <w:marBottom w:val="0"/>
              <w:divBdr>
                <w:top w:val="none" w:sz="0" w:space="0" w:color="auto"/>
                <w:left w:val="none" w:sz="0" w:space="0" w:color="auto"/>
                <w:bottom w:val="none" w:sz="0" w:space="0" w:color="auto"/>
                <w:right w:val="none" w:sz="0" w:space="0" w:color="auto"/>
              </w:divBdr>
            </w:div>
          </w:divsChild>
        </w:div>
        <w:div w:id="497311318">
          <w:marLeft w:val="0"/>
          <w:marRight w:val="0"/>
          <w:marTop w:val="0"/>
          <w:marBottom w:val="0"/>
          <w:divBdr>
            <w:top w:val="none" w:sz="0" w:space="0" w:color="auto"/>
            <w:left w:val="none" w:sz="0" w:space="0" w:color="auto"/>
            <w:bottom w:val="none" w:sz="0" w:space="0" w:color="auto"/>
            <w:right w:val="none" w:sz="0" w:space="0" w:color="auto"/>
          </w:divBdr>
          <w:divsChild>
            <w:div w:id="1940066593">
              <w:marLeft w:val="0"/>
              <w:marRight w:val="0"/>
              <w:marTop w:val="0"/>
              <w:marBottom w:val="0"/>
              <w:divBdr>
                <w:top w:val="none" w:sz="0" w:space="0" w:color="auto"/>
                <w:left w:val="none" w:sz="0" w:space="0" w:color="auto"/>
                <w:bottom w:val="none" w:sz="0" w:space="0" w:color="auto"/>
                <w:right w:val="none" w:sz="0" w:space="0" w:color="auto"/>
              </w:divBdr>
            </w:div>
          </w:divsChild>
        </w:div>
        <w:div w:id="668019301">
          <w:marLeft w:val="0"/>
          <w:marRight w:val="0"/>
          <w:marTop w:val="0"/>
          <w:marBottom w:val="0"/>
          <w:divBdr>
            <w:top w:val="none" w:sz="0" w:space="0" w:color="auto"/>
            <w:left w:val="none" w:sz="0" w:space="0" w:color="auto"/>
            <w:bottom w:val="none" w:sz="0" w:space="0" w:color="auto"/>
            <w:right w:val="none" w:sz="0" w:space="0" w:color="auto"/>
          </w:divBdr>
          <w:divsChild>
            <w:div w:id="459612100">
              <w:marLeft w:val="0"/>
              <w:marRight w:val="0"/>
              <w:marTop w:val="0"/>
              <w:marBottom w:val="0"/>
              <w:divBdr>
                <w:top w:val="none" w:sz="0" w:space="0" w:color="auto"/>
                <w:left w:val="none" w:sz="0" w:space="0" w:color="auto"/>
                <w:bottom w:val="none" w:sz="0" w:space="0" w:color="auto"/>
                <w:right w:val="none" w:sz="0" w:space="0" w:color="auto"/>
              </w:divBdr>
            </w:div>
          </w:divsChild>
        </w:div>
        <w:div w:id="724336152">
          <w:marLeft w:val="0"/>
          <w:marRight w:val="0"/>
          <w:marTop w:val="0"/>
          <w:marBottom w:val="0"/>
          <w:divBdr>
            <w:top w:val="none" w:sz="0" w:space="0" w:color="auto"/>
            <w:left w:val="none" w:sz="0" w:space="0" w:color="auto"/>
            <w:bottom w:val="none" w:sz="0" w:space="0" w:color="auto"/>
            <w:right w:val="none" w:sz="0" w:space="0" w:color="auto"/>
          </w:divBdr>
          <w:divsChild>
            <w:div w:id="106046971">
              <w:marLeft w:val="0"/>
              <w:marRight w:val="0"/>
              <w:marTop w:val="0"/>
              <w:marBottom w:val="0"/>
              <w:divBdr>
                <w:top w:val="none" w:sz="0" w:space="0" w:color="auto"/>
                <w:left w:val="none" w:sz="0" w:space="0" w:color="auto"/>
                <w:bottom w:val="none" w:sz="0" w:space="0" w:color="auto"/>
                <w:right w:val="none" w:sz="0" w:space="0" w:color="auto"/>
              </w:divBdr>
            </w:div>
          </w:divsChild>
        </w:div>
        <w:div w:id="1623458457">
          <w:marLeft w:val="0"/>
          <w:marRight w:val="0"/>
          <w:marTop w:val="0"/>
          <w:marBottom w:val="0"/>
          <w:divBdr>
            <w:top w:val="none" w:sz="0" w:space="0" w:color="auto"/>
            <w:left w:val="none" w:sz="0" w:space="0" w:color="auto"/>
            <w:bottom w:val="none" w:sz="0" w:space="0" w:color="auto"/>
            <w:right w:val="none" w:sz="0" w:space="0" w:color="auto"/>
          </w:divBdr>
          <w:divsChild>
            <w:div w:id="517083193">
              <w:marLeft w:val="0"/>
              <w:marRight w:val="0"/>
              <w:marTop w:val="0"/>
              <w:marBottom w:val="0"/>
              <w:divBdr>
                <w:top w:val="none" w:sz="0" w:space="0" w:color="auto"/>
                <w:left w:val="none" w:sz="0" w:space="0" w:color="auto"/>
                <w:bottom w:val="none" w:sz="0" w:space="0" w:color="auto"/>
                <w:right w:val="none" w:sz="0" w:space="0" w:color="auto"/>
              </w:divBdr>
            </w:div>
          </w:divsChild>
        </w:div>
        <w:div w:id="1694647031">
          <w:marLeft w:val="0"/>
          <w:marRight w:val="0"/>
          <w:marTop w:val="0"/>
          <w:marBottom w:val="0"/>
          <w:divBdr>
            <w:top w:val="none" w:sz="0" w:space="0" w:color="auto"/>
            <w:left w:val="none" w:sz="0" w:space="0" w:color="auto"/>
            <w:bottom w:val="none" w:sz="0" w:space="0" w:color="auto"/>
            <w:right w:val="none" w:sz="0" w:space="0" w:color="auto"/>
          </w:divBdr>
          <w:divsChild>
            <w:div w:id="986978505">
              <w:marLeft w:val="0"/>
              <w:marRight w:val="0"/>
              <w:marTop w:val="0"/>
              <w:marBottom w:val="0"/>
              <w:divBdr>
                <w:top w:val="none" w:sz="0" w:space="0" w:color="auto"/>
                <w:left w:val="none" w:sz="0" w:space="0" w:color="auto"/>
                <w:bottom w:val="none" w:sz="0" w:space="0" w:color="auto"/>
                <w:right w:val="none" w:sz="0" w:space="0" w:color="auto"/>
              </w:divBdr>
            </w:div>
          </w:divsChild>
        </w:div>
        <w:div w:id="1806313568">
          <w:marLeft w:val="0"/>
          <w:marRight w:val="0"/>
          <w:marTop w:val="0"/>
          <w:marBottom w:val="0"/>
          <w:divBdr>
            <w:top w:val="none" w:sz="0" w:space="0" w:color="auto"/>
            <w:left w:val="none" w:sz="0" w:space="0" w:color="auto"/>
            <w:bottom w:val="none" w:sz="0" w:space="0" w:color="auto"/>
            <w:right w:val="none" w:sz="0" w:space="0" w:color="auto"/>
          </w:divBdr>
          <w:divsChild>
            <w:div w:id="524906149">
              <w:marLeft w:val="0"/>
              <w:marRight w:val="0"/>
              <w:marTop w:val="0"/>
              <w:marBottom w:val="0"/>
              <w:divBdr>
                <w:top w:val="none" w:sz="0" w:space="0" w:color="auto"/>
                <w:left w:val="none" w:sz="0" w:space="0" w:color="auto"/>
                <w:bottom w:val="none" w:sz="0" w:space="0" w:color="auto"/>
                <w:right w:val="none" w:sz="0" w:space="0" w:color="auto"/>
              </w:divBdr>
            </w:div>
          </w:divsChild>
        </w:div>
        <w:div w:id="1999378237">
          <w:marLeft w:val="0"/>
          <w:marRight w:val="0"/>
          <w:marTop w:val="0"/>
          <w:marBottom w:val="0"/>
          <w:divBdr>
            <w:top w:val="none" w:sz="0" w:space="0" w:color="auto"/>
            <w:left w:val="none" w:sz="0" w:space="0" w:color="auto"/>
            <w:bottom w:val="none" w:sz="0" w:space="0" w:color="auto"/>
            <w:right w:val="none" w:sz="0" w:space="0" w:color="auto"/>
          </w:divBdr>
          <w:divsChild>
            <w:div w:id="141118406">
              <w:marLeft w:val="0"/>
              <w:marRight w:val="0"/>
              <w:marTop w:val="0"/>
              <w:marBottom w:val="0"/>
              <w:divBdr>
                <w:top w:val="none" w:sz="0" w:space="0" w:color="auto"/>
                <w:left w:val="none" w:sz="0" w:space="0" w:color="auto"/>
                <w:bottom w:val="none" w:sz="0" w:space="0" w:color="auto"/>
                <w:right w:val="none" w:sz="0" w:space="0" w:color="auto"/>
              </w:divBdr>
            </w:div>
          </w:divsChild>
        </w:div>
        <w:div w:id="2074963838">
          <w:marLeft w:val="0"/>
          <w:marRight w:val="0"/>
          <w:marTop w:val="0"/>
          <w:marBottom w:val="0"/>
          <w:divBdr>
            <w:top w:val="none" w:sz="0" w:space="0" w:color="auto"/>
            <w:left w:val="none" w:sz="0" w:space="0" w:color="auto"/>
            <w:bottom w:val="none" w:sz="0" w:space="0" w:color="auto"/>
            <w:right w:val="none" w:sz="0" w:space="0" w:color="auto"/>
          </w:divBdr>
          <w:divsChild>
            <w:div w:id="214711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916291">
      <w:bodyDiv w:val="1"/>
      <w:marLeft w:val="0"/>
      <w:marRight w:val="0"/>
      <w:marTop w:val="0"/>
      <w:marBottom w:val="0"/>
      <w:divBdr>
        <w:top w:val="none" w:sz="0" w:space="0" w:color="auto"/>
        <w:left w:val="none" w:sz="0" w:space="0" w:color="auto"/>
        <w:bottom w:val="none" w:sz="0" w:space="0" w:color="auto"/>
        <w:right w:val="none" w:sz="0" w:space="0" w:color="auto"/>
      </w:divBdr>
    </w:div>
    <w:div w:id="1714496649">
      <w:bodyDiv w:val="1"/>
      <w:marLeft w:val="0"/>
      <w:marRight w:val="0"/>
      <w:marTop w:val="0"/>
      <w:marBottom w:val="0"/>
      <w:divBdr>
        <w:top w:val="none" w:sz="0" w:space="0" w:color="auto"/>
        <w:left w:val="none" w:sz="0" w:space="0" w:color="auto"/>
        <w:bottom w:val="none" w:sz="0" w:space="0" w:color="auto"/>
        <w:right w:val="none" w:sz="0" w:space="0" w:color="auto"/>
      </w:divBdr>
    </w:div>
    <w:div w:id="1728456852">
      <w:bodyDiv w:val="1"/>
      <w:marLeft w:val="0"/>
      <w:marRight w:val="0"/>
      <w:marTop w:val="0"/>
      <w:marBottom w:val="0"/>
      <w:divBdr>
        <w:top w:val="none" w:sz="0" w:space="0" w:color="auto"/>
        <w:left w:val="none" w:sz="0" w:space="0" w:color="auto"/>
        <w:bottom w:val="none" w:sz="0" w:space="0" w:color="auto"/>
        <w:right w:val="none" w:sz="0" w:space="0" w:color="auto"/>
      </w:divBdr>
    </w:div>
    <w:div w:id="1742360685">
      <w:bodyDiv w:val="1"/>
      <w:marLeft w:val="0"/>
      <w:marRight w:val="0"/>
      <w:marTop w:val="0"/>
      <w:marBottom w:val="0"/>
      <w:divBdr>
        <w:top w:val="none" w:sz="0" w:space="0" w:color="auto"/>
        <w:left w:val="none" w:sz="0" w:space="0" w:color="auto"/>
        <w:bottom w:val="none" w:sz="0" w:space="0" w:color="auto"/>
        <w:right w:val="none" w:sz="0" w:space="0" w:color="auto"/>
      </w:divBdr>
      <w:divsChild>
        <w:div w:id="1461997700">
          <w:marLeft w:val="0"/>
          <w:marRight w:val="0"/>
          <w:marTop w:val="0"/>
          <w:marBottom w:val="0"/>
          <w:divBdr>
            <w:top w:val="none" w:sz="0" w:space="0" w:color="auto"/>
            <w:left w:val="none" w:sz="0" w:space="0" w:color="auto"/>
            <w:bottom w:val="none" w:sz="0" w:space="0" w:color="auto"/>
            <w:right w:val="none" w:sz="0" w:space="0" w:color="auto"/>
          </w:divBdr>
        </w:div>
        <w:div w:id="1908372551">
          <w:marLeft w:val="0"/>
          <w:marRight w:val="0"/>
          <w:marTop w:val="0"/>
          <w:marBottom w:val="0"/>
          <w:divBdr>
            <w:top w:val="none" w:sz="0" w:space="0" w:color="auto"/>
            <w:left w:val="none" w:sz="0" w:space="0" w:color="auto"/>
            <w:bottom w:val="none" w:sz="0" w:space="0" w:color="auto"/>
            <w:right w:val="none" w:sz="0" w:space="0" w:color="auto"/>
          </w:divBdr>
        </w:div>
        <w:div w:id="1943100218">
          <w:marLeft w:val="0"/>
          <w:marRight w:val="0"/>
          <w:marTop w:val="0"/>
          <w:marBottom w:val="0"/>
          <w:divBdr>
            <w:top w:val="none" w:sz="0" w:space="0" w:color="auto"/>
            <w:left w:val="none" w:sz="0" w:space="0" w:color="auto"/>
            <w:bottom w:val="none" w:sz="0" w:space="0" w:color="auto"/>
            <w:right w:val="none" w:sz="0" w:space="0" w:color="auto"/>
          </w:divBdr>
        </w:div>
      </w:divsChild>
    </w:div>
    <w:div w:id="1752923005">
      <w:bodyDiv w:val="1"/>
      <w:marLeft w:val="0"/>
      <w:marRight w:val="0"/>
      <w:marTop w:val="0"/>
      <w:marBottom w:val="0"/>
      <w:divBdr>
        <w:top w:val="none" w:sz="0" w:space="0" w:color="auto"/>
        <w:left w:val="none" w:sz="0" w:space="0" w:color="auto"/>
        <w:bottom w:val="none" w:sz="0" w:space="0" w:color="auto"/>
        <w:right w:val="none" w:sz="0" w:space="0" w:color="auto"/>
      </w:divBdr>
    </w:div>
    <w:div w:id="1784642422">
      <w:bodyDiv w:val="1"/>
      <w:marLeft w:val="0"/>
      <w:marRight w:val="0"/>
      <w:marTop w:val="0"/>
      <w:marBottom w:val="0"/>
      <w:divBdr>
        <w:top w:val="none" w:sz="0" w:space="0" w:color="auto"/>
        <w:left w:val="none" w:sz="0" w:space="0" w:color="auto"/>
        <w:bottom w:val="none" w:sz="0" w:space="0" w:color="auto"/>
        <w:right w:val="none" w:sz="0" w:space="0" w:color="auto"/>
      </w:divBdr>
      <w:divsChild>
        <w:div w:id="29886456">
          <w:marLeft w:val="0"/>
          <w:marRight w:val="0"/>
          <w:marTop w:val="0"/>
          <w:marBottom w:val="0"/>
          <w:divBdr>
            <w:top w:val="none" w:sz="0" w:space="0" w:color="auto"/>
            <w:left w:val="none" w:sz="0" w:space="0" w:color="auto"/>
            <w:bottom w:val="none" w:sz="0" w:space="0" w:color="auto"/>
            <w:right w:val="none" w:sz="0" w:space="0" w:color="auto"/>
          </w:divBdr>
          <w:divsChild>
            <w:div w:id="47462340">
              <w:marLeft w:val="0"/>
              <w:marRight w:val="0"/>
              <w:marTop w:val="0"/>
              <w:marBottom w:val="0"/>
              <w:divBdr>
                <w:top w:val="none" w:sz="0" w:space="0" w:color="auto"/>
                <w:left w:val="none" w:sz="0" w:space="0" w:color="auto"/>
                <w:bottom w:val="none" w:sz="0" w:space="0" w:color="auto"/>
                <w:right w:val="none" w:sz="0" w:space="0" w:color="auto"/>
              </w:divBdr>
            </w:div>
            <w:div w:id="186066048">
              <w:marLeft w:val="0"/>
              <w:marRight w:val="0"/>
              <w:marTop w:val="0"/>
              <w:marBottom w:val="0"/>
              <w:divBdr>
                <w:top w:val="none" w:sz="0" w:space="0" w:color="auto"/>
                <w:left w:val="none" w:sz="0" w:space="0" w:color="auto"/>
                <w:bottom w:val="none" w:sz="0" w:space="0" w:color="auto"/>
                <w:right w:val="none" w:sz="0" w:space="0" w:color="auto"/>
              </w:divBdr>
            </w:div>
            <w:div w:id="880164748">
              <w:marLeft w:val="0"/>
              <w:marRight w:val="0"/>
              <w:marTop w:val="0"/>
              <w:marBottom w:val="0"/>
              <w:divBdr>
                <w:top w:val="none" w:sz="0" w:space="0" w:color="auto"/>
                <w:left w:val="none" w:sz="0" w:space="0" w:color="auto"/>
                <w:bottom w:val="none" w:sz="0" w:space="0" w:color="auto"/>
                <w:right w:val="none" w:sz="0" w:space="0" w:color="auto"/>
              </w:divBdr>
            </w:div>
            <w:div w:id="1617252855">
              <w:marLeft w:val="0"/>
              <w:marRight w:val="0"/>
              <w:marTop w:val="0"/>
              <w:marBottom w:val="0"/>
              <w:divBdr>
                <w:top w:val="none" w:sz="0" w:space="0" w:color="auto"/>
                <w:left w:val="none" w:sz="0" w:space="0" w:color="auto"/>
                <w:bottom w:val="none" w:sz="0" w:space="0" w:color="auto"/>
                <w:right w:val="none" w:sz="0" w:space="0" w:color="auto"/>
              </w:divBdr>
            </w:div>
            <w:div w:id="1648625242">
              <w:marLeft w:val="0"/>
              <w:marRight w:val="0"/>
              <w:marTop w:val="0"/>
              <w:marBottom w:val="0"/>
              <w:divBdr>
                <w:top w:val="none" w:sz="0" w:space="0" w:color="auto"/>
                <w:left w:val="none" w:sz="0" w:space="0" w:color="auto"/>
                <w:bottom w:val="none" w:sz="0" w:space="0" w:color="auto"/>
                <w:right w:val="none" w:sz="0" w:space="0" w:color="auto"/>
              </w:divBdr>
            </w:div>
          </w:divsChild>
        </w:div>
        <w:div w:id="177623375">
          <w:marLeft w:val="0"/>
          <w:marRight w:val="0"/>
          <w:marTop w:val="0"/>
          <w:marBottom w:val="0"/>
          <w:divBdr>
            <w:top w:val="none" w:sz="0" w:space="0" w:color="auto"/>
            <w:left w:val="none" w:sz="0" w:space="0" w:color="auto"/>
            <w:bottom w:val="none" w:sz="0" w:space="0" w:color="auto"/>
            <w:right w:val="none" w:sz="0" w:space="0" w:color="auto"/>
          </w:divBdr>
          <w:divsChild>
            <w:div w:id="1203589409">
              <w:marLeft w:val="-75"/>
              <w:marRight w:val="0"/>
              <w:marTop w:val="30"/>
              <w:marBottom w:val="30"/>
              <w:divBdr>
                <w:top w:val="none" w:sz="0" w:space="0" w:color="auto"/>
                <w:left w:val="none" w:sz="0" w:space="0" w:color="auto"/>
                <w:bottom w:val="none" w:sz="0" w:space="0" w:color="auto"/>
                <w:right w:val="none" w:sz="0" w:space="0" w:color="auto"/>
              </w:divBdr>
              <w:divsChild>
                <w:div w:id="828055395">
                  <w:marLeft w:val="0"/>
                  <w:marRight w:val="0"/>
                  <w:marTop w:val="0"/>
                  <w:marBottom w:val="0"/>
                  <w:divBdr>
                    <w:top w:val="none" w:sz="0" w:space="0" w:color="auto"/>
                    <w:left w:val="none" w:sz="0" w:space="0" w:color="auto"/>
                    <w:bottom w:val="none" w:sz="0" w:space="0" w:color="auto"/>
                    <w:right w:val="none" w:sz="0" w:space="0" w:color="auto"/>
                  </w:divBdr>
                  <w:divsChild>
                    <w:div w:id="1896892706">
                      <w:marLeft w:val="0"/>
                      <w:marRight w:val="0"/>
                      <w:marTop w:val="0"/>
                      <w:marBottom w:val="0"/>
                      <w:divBdr>
                        <w:top w:val="none" w:sz="0" w:space="0" w:color="auto"/>
                        <w:left w:val="none" w:sz="0" w:space="0" w:color="auto"/>
                        <w:bottom w:val="none" w:sz="0" w:space="0" w:color="auto"/>
                        <w:right w:val="none" w:sz="0" w:space="0" w:color="auto"/>
                      </w:divBdr>
                    </w:div>
                  </w:divsChild>
                </w:div>
                <w:div w:id="1586301286">
                  <w:marLeft w:val="0"/>
                  <w:marRight w:val="0"/>
                  <w:marTop w:val="0"/>
                  <w:marBottom w:val="0"/>
                  <w:divBdr>
                    <w:top w:val="none" w:sz="0" w:space="0" w:color="auto"/>
                    <w:left w:val="none" w:sz="0" w:space="0" w:color="auto"/>
                    <w:bottom w:val="none" w:sz="0" w:space="0" w:color="auto"/>
                    <w:right w:val="none" w:sz="0" w:space="0" w:color="auto"/>
                  </w:divBdr>
                  <w:divsChild>
                    <w:div w:id="484051644">
                      <w:marLeft w:val="0"/>
                      <w:marRight w:val="0"/>
                      <w:marTop w:val="0"/>
                      <w:marBottom w:val="0"/>
                      <w:divBdr>
                        <w:top w:val="none" w:sz="0" w:space="0" w:color="auto"/>
                        <w:left w:val="none" w:sz="0" w:space="0" w:color="auto"/>
                        <w:bottom w:val="none" w:sz="0" w:space="0" w:color="auto"/>
                        <w:right w:val="none" w:sz="0" w:space="0" w:color="auto"/>
                      </w:divBdr>
                    </w:div>
                    <w:div w:id="1389911997">
                      <w:marLeft w:val="0"/>
                      <w:marRight w:val="0"/>
                      <w:marTop w:val="0"/>
                      <w:marBottom w:val="0"/>
                      <w:divBdr>
                        <w:top w:val="none" w:sz="0" w:space="0" w:color="auto"/>
                        <w:left w:val="none" w:sz="0" w:space="0" w:color="auto"/>
                        <w:bottom w:val="none" w:sz="0" w:space="0" w:color="auto"/>
                        <w:right w:val="none" w:sz="0" w:space="0" w:color="auto"/>
                      </w:divBdr>
                    </w:div>
                    <w:div w:id="2085449575">
                      <w:marLeft w:val="0"/>
                      <w:marRight w:val="0"/>
                      <w:marTop w:val="0"/>
                      <w:marBottom w:val="0"/>
                      <w:divBdr>
                        <w:top w:val="none" w:sz="0" w:space="0" w:color="auto"/>
                        <w:left w:val="none" w:sz="0" w:space="0" w:color="auto"/>
                        <w:bottom w:val="none" w:sz="0" w:space="0" w:color="auto"/>
                        <w:right w:val="none" w:sz="0" w:space="0" w:color="auto"/>
                      </w:divBdr>
                    </w:div>
                  </w:divsChild>
                </w:div>
                <w:div w:id="1875070046">
                  <w:marLeft w:val="0"/>
                  <w:marRight w:val="0"/>
                  <w:marTop w:val="0"/>
                  <w:marBottom w:val="0"/>
                  <w:divBdr>
                    <w:top w:val="none" w:sz="0" w:space="0" w:color="auto"/>
                    <w:left w:val="none" w:sz="0" w:space="0" w:color="auto"/>
                    <w:bottom w:val="none" w:sz="0" w:space="0" w:color="auto"/>
                    <w:right w:val="none" w:sz="0" w:space="0" w:color="auto"/>
                  </w:divBdr>
                  <w:divsChild>
                    <w:div w:id="824128665">
                      <w:marLeft w:val="0"/>
                      <w:marRight w:val="0"/>
                      <w:marTop w:val="0"/>
                      <w:marBottom w:val="0"/>
                      <w:divBdr>
                        <w:top w:val="none" w:sz="0" w:space="0" w:color="auto"/>
                        <w:left w:val="none" w:sz="0" w:space="0" w:color="auto"/>
                        <w:bottom w:val="none" w:sz="0" w:space="0" w:color="auto"/>
                        <w:right w:val="none" w:sz="0" w:space="0" w:color="auto"/>
                      </w:divBdr>
                    </w:div>
                  </w:divsChild>
                </w:div>
                <w:div w:id="2063945550">
                  <w:marLeft w:val="0"/>
                  <w:marRight w:val="0"/>
                  <w:marTop w:val="0"/>
                  <w:marBottom w:val="0"/>
                  <w:divBdr>
                    <w:top w:val="none" w:sz="0" w:space="0" w:color="auto"/>
                    <w:left w:val="none" w:sz="0" w:space="0" w:color="auto"/>
                    <w:bottom w:val="none" w:sz="0" w:space="0" w:color="auto"/>
                    <w:right w:val="none" w:sz="0" w:space="0" w:color="auto"/>
                  </w:divBdr>
                  <w:divsChild>
                    <w:div w:id="271861313">
                      <w:marLeft w:val="0"/>
                      <w:marRight w:val="0"/>
                      <w:marTop w:val="0"/>
                      <w:marBottom w:val="0"/>
                      <w:divBdr>
                        <w:top w:val="none" w:sz="0" w:space="0" w:color="auto"/>
                        <w:left w:val="none" w:sz="0" w:space="0" w:color="auto"/>
                        <w:bottom w:val="none" w:sz="0" w:space="0" w:color="auto"/>
                        <w:right w:val="none" w:sz="0" w:space="0" w:color="auto"/>
                      </w:divBdr>
                    </w:div>
                    <w:div w:id="1392075879">
                      <w:marLeft w:val="0"/>
                      <w:marRight w:val="0"/>
                      <w:marTop w:val="0"/>
                      <w:marBottom w:val="0"/>
                      <w:divBdr>
                        <w:top w:val="none" w:sz="0" w:space="0" w:color="auto"/>
                        <w:left w:val="none" w:sz="0" w:space="0" w:color="auto"/>
                        <w:bottom w:val="none" w:sz="0" w:space="0" w:color="auto"/>
                        <w:right w:val="none" w:sz="0" w:space="0" w:color="auto"/>
                      </w:divBdr>
                    </w:div>
                    <w:div w:id="1555431584">
                      <w:marLeft w:val="0"/>
                      <w:marRight w:val="0"/>
                      <w:marTop w:val="0"/>
                      <w:marBottom w:val="0"/>
                      <w:divBdr>
                        <w:top w:val="none" w:sz="0" w:space="0" w:color="auto"/>
                        <w:left w:val="none" w:sz="0" w:space="0" w:color="auto"/>
                        <w:bottom w:val="none" w:sz="0" w:space="0" w:color="auto"/>
                        <w:right w:val="none" w:sz="0" w:space="0" w:color="auto"/>
                      </w:divBdr>
                    </w:div>
                    <w:div w:id="171646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966179">
          <w:marLeft w:val="0"/>
          <w:marRight w:val="0"/>
          <w:marTop w:val="0"/>
          <w:marBottom w:val="0"/>
          <w:divBdr>
            <w:top w:val="none" w:sz="0" w:space="0" w:color="auto"/>
            <w:left w:val="none" w:sz="0" w:space="0" w:color="auto"/>
            <w:bottom w:val="none" w:sz="0" w:space="0" w:color="auto"/>
            <w:right w:val="none" w:sz="0" w:space="0" w:color="auto"/>
          </w:divBdr>
          <w:divsChild>
            <w:div w:id="380638049">
              <w:marLeft w:val="-75"/>
              <w:marRight w:val="0"/>
              <w:marTop w:val="30"/>
              <w:marBottom w:val="30"/>
              <w:divBdr>
                <w:top w:val="none" w:sz="0" w:space="0" w:color="auto"/>
                <w:left w:val="none" w:sz="0" w:space="0" w:color="auto"/>
                <w:bottom w:val="none" w:sz="0" w:space="0" w:color="auto"/>
                <w:right w:val="none" w:sz="0" w:space="0" w:color="auto"/>
              </w:divBdr>
              <w:divsChild>
                <w:div w:id="1632245521">
                  <w:marLeft w:val="0"/>
                  <w:marRight w:val="0"/>
                  <w:marTop w:val="0"/>
                  <w:marBottom w:val="0"/>
                  <w:divBdr>
                    <w:top w:val="none" w:sz="0" w:space="0" w:color="auto"/>
                    <w:left w:val="none" w:sz="0" w:space="0" w:color="auto"/>
                    <w:bottom w:val="none" w:sz="0" w:space="0" w:color="auto"/>
                    <w:right w:val="none" w:sz="0" w:space="0" w:color="auto"/>
                  </w:divBdr>
                  <w:divsChild>
                    <w:div w:id="761073060">
                      <w:marLeft w:val="0"/>
                      <w:marRight w:val="0"/>
                      <w:marTop w:val="0"/>
                      <w:marBottom w:val="0"/>
                      <w:divBdr>
                        <w:top w:val="none" w:sz="0" w:space="0" w:color="auto"/>
                        <w:left w:val="none" w:sz="0" w:space="0" w:color="auto"/>
                        <w:bottom w:val="none" w:sz="0" w:space="0" w:color="auto"/>
                        <w:right w:val="none" w:sz="0" w:space="0" w:color="auto"/>
                      </w:divBdr>
                    </w:div>
                  </w:divsChild>
                </w:div>
                <w:div w:id="1754662073">
                  <w:marLeft w:val="0"/>
                  <w:marRight w:val="0"/>
                  <w:marTop w:val="0"/>
                  <w:marBottom w:val="0"/>
                  <w:divBdr>
                    <w:top w:val="none" w:sz="0" w:space="0" w:color="auto"/>
                    <w:left w:val="none" w:sz="0" w:space="0" w:color="auto"/>
                    <w:bottom w:val="none" w:sz="0" w:space="0" w:color="auto"/>
                    <w:right w:val="none" w:sz="0" w:space="0" w:color="auto"/>
                  </w:divBdr>
                  <w:divsChild>
                    <w:div w:id="23058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759408">
          <w:marLeft w:val="0"/>
          <w:marRight w:val="0"/>
          <w:marTop w:val="0"/>
          <w:marBottom w:val="0"/>
          <w:divBdr>
            <w:top w:val="none" w:sz="0" w:space="0" w:color="auto"/>
            <w:left w:val="none" w:sz="0" w:space="0" w:color="auto"/>
            <w:bottom w:val="none" w:sz="0" w:space="0" w:color="auto"/>
            <w:right w:val="none" w:sz="0" w:space="0" w:color="auto"/>
          </w:divBdr>
          <w:divsChild>
            <w:div w:id="361978767">
              <w:marLeft w:val="0"/>
              <w:marRight w:val="0"/>
              <w:marTop w:val="0"/>
              <w:marBottom w:val="0"/>
              <w:divBdr>
                <w:top w:val="none" w:sz="0" w:space="0" w:color="auto"/>
                <w:left w:val="none" w:sz="0" w:space="0" w:color="auto"/>
                <w:bottom w:val="none" w:sz="0" w:space="0" w:color="auto"/>
                <w:right w:val="none" w:sz="0" w:space="0" w:color="auto"/>
              </w:divBdr>
            </w:div>
            <w:div w:id="854728046">
              <w:marLeft w:val="0"/>
              <w:marRight w:val="0"/>
              <w:marTop w:val="0"/>
              <w:marBottom w:val="0"/>
              <w:divBdr>
                <w:top w:val="none" w:sz="0" w:space="0" w:color="auto"/>
                <w:left w:val="none" w:sz="0" w:space="0" w:color="auto"/>
                <w:bottom w:val="none" w:sz="0" w:space="0" w:color="auto"/>
                <w:right w:val="none" w:sz="0" w:space="0" w:color="auto"/>
              </w:divBdr>
            </w:div>
          </w:divsChild>
        </w:div>
        <w:div w:id="438569438">
          <w:marLeft w:val="0"/>
          <w:marRight w:val="0"/>
          <w:marTop w:val="0"/>
          <w:marBottom w:val="0"/>
          <w:divBdr>
            <w:top w:val="none" w:sz="0" w:space="0" w:color="auto"/>
            <w:left w:val="none" w:sz="0" w:space="0" w:color="auto"/>
            <w:bottom w:val="none" w:sz="0" w:space="0" w:color="auto"/>
            <w:right w:val="none" w:sz="0" w:space="0" w:color="auto"/>
          </w:divBdr>
        </w:div>
        <w:div w:id="542059162">
          <w:marLeft w:val="0"/>
          <w:marRight w:val="0"/>
          <w:marTop w:val="0"/>
          <w:marBottom w:val="0"/>
          <w:divBdr>
            <w:top w:val="none" w:sz="0" w:space="0" w:color="auto"/>
            <w:left w:val="none" w:sz="0" w:space="0" w:color="auto"/>
            <w:bottom w:val="none" w:sz="0" w:space="0" w:color="auto"/>
            <w:right w:val="none" w:sz="0" w:space="0" w:color="auto"/>
          </w:divBdr>
        </w:div>
        <w:div w:id="644505959">
          <w:marLeft w:val="0"/>
          <w:marRight w:val="0"/>
          <w:marTop w:val="0"/>
          <w:marBottom w:val="0"/>
          <w:divBdr>
            <w:top w:val="none" w:sz="0" w:space="0" w:color="auto"/>
            <w:left w:val="none" w:sz="0" w:space="0" w:color="auto"/>
            <w:bottom w:val="none" w:sz="0" w:space="0" w:color="auto"/>
            <w:right w:val="none" w:sz="0" w:space="0" w:color="auto"/>
          </w:divBdr>
          <w:divsChild>
            <w:div w:id="1575168054">
              <w:marLeft w:val="-75"/>
              <w:marRight w:val="0"/>
              <w:marTop w:val="30"/>
              <w:marBottom w:val="30"/>
              <w:divBdr>
                <w:top w:val="none" w:sz="0" w:space="0" w:color="auto"/>
                <w:left w:val="none" w:sz="0" w:space="0" w:color="auto"/>
                <w:bottom w:val="none" w:sz="0" w:space="0" w:color="auto"/>
                <w:right w:val="none" w:sz="0" w:space="0" w:color="auto"/>
              </w:divBdr>
              <w:divsChild>
                <w:div w:id="315306526">
                  <w:marLeft w:val="0"/>
                  <w:marRight w:val="0"/>
                  <w:marTop w:val="0"/>
                  <w:marBottom w:val="0"/>
                  <w:divBdr>
                    <w:top w:val="none" w:sz="0" w:space="0" w:color="auto"/>
                    <w:left w:val="none" w:sz="0" w:space="0" w:color="auto"/>
                    <w:bottom w:val="none" w:sz="0" w:space="0" w:color="auto"/>
                    <w:right w:val="none" w:sz="0" w:space="0" w:color="auto"/>
                  </w:divBdr>
                  <w:divsChild>
                    <w:div w:id="1269776926">
                      <w:marLeft w:val="0"/>
                      <w:marRight w:val="0"/>
                      <w:marTop w:val="0"/>
                      <w:marBottom w:val="0"/>
                      <w:divBdr>
                        <w:top w:val="none" w:sz="0" w:space="0" w:color="auto"/>
                        <w:left w:val="none" w:sz="0" w:space="0" w:color="auto"/>
                        <w:bottom w:val="none" w:sz="0" w:space="0" w:color="auto"/>
                        <w:right w:val="none" w:sz="0" w:space="0" w:color="auto"/>
                      </w:divBdr>
                    </w:div>
                  </w:divsChild>
                </w:div>
                <w:div w:id="439689717">
                  <w:marLeft w:val="0"/>
                  <w:marRight w:val="0"/>
                  <w:marTop w:val="0"/>
                  <w:marBottom w:val="0"/>
                  <w:divBdr>
                    <w:top w:val="none" w:sz="0" w:space="0" w:color="auto"/>
                    <w:left w:val="none" w:sz="0" w:space="0" w:color="auto"/>
                    <w:bottom w:val="none" w:sz="0" w:space="0" w:color="auto"/>
                    <w:right w:val="none" w:sz="0" w:space="0" w:color="auto"/>
                  </w:divBdr>
                  <w:divsChild>
                    <w:div w:id="546453292">
                      <w:marLeft w:val="0"/>
                      <w:marRight w:val="0"/>
                      <w:marTop w:val="0"/>
                      <w:marBottom w:val="0"/>
                      <w:divBdr>
                        <w:top w:val="none" w:sz="0" w:space="0" w:color="auto"/>
                        <w:left w:val="none" w:sz="0" w:space="0" w:color="auto"/>
                        <w:bottom w:val="none" w:sz="0" w:space="0" w:color="auto"/>
                        <w:right w:val="none" w:sz="0" w:space="0" w:color="auto"/>
                      </w:divBdr>
                    </w:div>
                  </w:divsChild>
                </w:div>
                <w:div w:id="670840466">
                  <w:marLeft w:val="0"/>
                  <w:marRight w:val="0"/>
                  <w:marTop w:val="0"/>
                  <w:marBottom w:val="0"/>
                  <w:divBdr>
                    <w:top w:val="none" w:sz="0" w:space="0" w:color="auto"/>
                    <w:left w:val="none" w:sz="0" w:space="0" w:color="auto"/>
                    <w:bottom w:val="none" w:sz="0" w:space="0" w:color="auto"/>
                    <w:right w:val="none" w:sz="0" w:space="0" w:color="auto"/>
                  </w:divBdr>
                  <w:divsChild>
                    <w:div w:id="610549635">
                      <w:marLeft w:val="0"/>
                      <w:marRight w:val="0"/>
                      <w:marTop w:val="0"/>
                      <w:marBottom w:val="0"/>
                      <w:divBdr>
                        <w:top w:val="none" w:sz="0" w:space="0" w:color="auto"/>
                        <w:left w:val="none" w:sz="0" w:space="0" w:color="auto"/>
                        <w:bottom w:val="none" w:sz="0" w:space="0" w:color="auto"/>
                        <w:right w:val="none" w:sz="0" w:space="0" w:color="auto"/>
                      </w:divBdr>
                    </w:div>
                  </w:divsChild>
                </w:div>
                <w:div w:id="694159914">
                  <w:marLeft w:val="0"/>
                  <w:marRight w:val="0"/>
                  <w:marTop w:val="0"/>
                  <w:marBottom w:val="0"/>
                  <w:divBdr>
                    <w:top w:val="none" w:sz="0" w:space="0" w:color="auto"/>
                    <w:left w:val="none" w:sz="0" w:space="0" w:color="auto"/>
                    <w:bottom w:val="none" w:sz="0" w:space="0" w:color="auto"/>
                    <w:right w:val="none" w:sz="0" w:space="0" w:color="auto"/>
                  </w:divBdr>
                  <w:divsChild>
                    <w:div w:id="1278489798">
                      <w:marLeft w:val="0"/>
                      <w:marRight w:val="0"/>
                      <w:marTop w:val="0"/>
                      <w:marBottom w:val="0"/>
                      <w:divBdr>
                        <w:top w:val="none" w:sz="0" w:space="0" w:color="auto"/>
                        <w:left w:val="none" w:sz="0" w:space="0" w:color="auto"/>
                        <w:bottom w:val="none" w:sz="0" w:space="0" w:color="auto"/>
                        <w:right w:val="none" w:sz="0" w:space="0" w:color="auto"/>
                      </w:divBdr>
                    </w:div>
                  </w:divsChild>
                </w:div>
                <w:div w:id="917402143">
                  <w:marLeft w:val="0"/>
                  <w:marRight w:val="0"/>
                  <w:marTop w:val="0"/>
                  <w:marBottom w:val="0"/>
                  <w:divBdr>
                    <w:top w:val="none" w:sz="0" w:space="0" w:color="auto"/>
                    <w:left w:val="none" w:sz="0" w:space="0" w:color="auto"/>
                    <w:bottom w:val="none" w:sz="0" w:space="0" w:color="auto"/>
                    <w:right w:val="none" w:sz="0" w:space="0" w:color="auto"/>
                  </w:divBdr>
                  <w:divsChild>
                    <w:div w:id="273292541">
                      <w:marLeft w:val="0"/>
                      <w:marRight w:val="0"/>
                      <w:marTop w:val="0"/>
                      <w:marBottom w:val="0"/>
                      <w:divBdr>
                        <w:top w:val="none" w:sz="0" w:space="0" w:color="auto"/>
                        <w:left w:val="none" w:sz="0" w:space="0" w:color="auto"/>
                        <w:bottom w:val="none" w:sz="0" w:space="0" w:color="auto"/>
                        <w:right w:val="none" w:sz="0" w:space="0" w:color="auto"/>
                      </w:divBdr>
                    </w:div>
                  </w:divsChild>
                </w:div>
                <w:div w:id="1165365076">
                  <w:marLeft w:val="0"/>
                  <w:marRight w:val="0"/>
                  <w:marTop w:val="0"/>
                  <w:marBottom w:val="0"/>
                  <w:divBdr>
                    <w:top w:val="none" w:sz="0" w:space="0" w:color="auto"/>
                    <w:left w:val="none" w:sz="0" w:space="0" w:color="auto"/>
                    <w:bottom w:val="none" w:sz="0" w:space="0" w:color="auto"/>
                    <w:right w:val="none" w:sz="0" w:space="0" w:color="auto"/>
                  </w:divBdr>
                  <w:divsChild>
                    <w:div w:id="904030801">
                      <w:marLeft w:val="0"/>
                      <w:marRight w:val="0"/>
                      <w:marTop w:val="0"/>
                      <w:marBottom w:val="0"/>
                      <w:divBdr>
                        <w:top w:val="none" w:sz="0" w:space="0" w:color="auto"/>
                        <w:left w:val="none" w:sz="0" w:space="0" w:color="auto"/>
                        <w:bottom w:val="none" w:sz="0" w:space="0" w:color="auto"/>
                        <w:right w:val="none" w:sz="0" w:space="0" w:color="auto"/>
                      </w:divBdr>
                    </w:div>
                  </w:divsChild>
                </w:div>
                <w:div w:id="1265501407">
                  <w:marLeft w:val="0"/>
                  <w:marRight w:val="0"/>
                  <w:marTop w:val="0"/>
                  <w:marBottom w:val="0"/>
                  <w:divBdr>
                    <w:top w:val="none" w:sz="0" w:space="0" w:color="auto"/>
                    <w:left w:val="none" w:sz="0" w:space="0" w:color="auto"/>
                    <w:bottom w:val="none" w:sz="0" w:space="0" w:color="auto"/>
                    <w:right w:val="none" w:sz="0" w:space="0" w:color="auto"/>
                  </w:divBdr>
                  <w:divsChild>
                    <w:div w:id="743604111">
                      <w:marLeft w:val="0"/>
                      <w:marRight w:val="0"/>
                      <w:marTop w:val="0"/>
                      <w:marBottom w:val="0"/>
                      <w:divBdr>
                        <w:top w:val="none" w:sz="0" w:space="0" w:color="auto"/>
                        <w:left w:val="none" w:sz="0" w:space="0" w:color="auto"/>
                        <w:bottom w:val="none" w:sz="0" w:space="0" w:color="auto"/>
                        <w:right w:val="none" w:sz="0" w:space="0" w:color="auto"/>
                      </w:divBdr>
                    </w:div>
                  </w:divsChild>
                </w:div>
                <w:div w:id="1339383522">
                  <w:marLeft w:val="0"/>
                  <w:marRight w:val="0"/>
                  <w:marTop w:val="0"/>
                  <w:marBottom w:val="0"/>
                  <w:divBdr>
                    <w:top w:val="none" w:sz="0" w:space="0" w:color="auto"/>
                    <w:left w:val="none" w:sz="0" w:space="0" w:color="auto"/>
                    <w:bottom w:val="none" w:sz="0" w:space="0" w:color="auto"/>
                    <w:right w:val="none" w:sz="0" w:space="0" w:color="auto"/>
                  </w:divBdr>
                  <w:divsChild>
                    <w:div w:id="1223062181">
                      <w:marLeft w:val="0"/>
                      <w:marRight w:val="0"/>
                      <w:marTop w:val="0"/>
                      <w:marBottom w:val="0"/>
                      <w:divBdr>
                        <w:top w:val="none" w:sz="0" w:space="0" w:color="auto"/>
                        <w:left w:val="none" w:sz="0" w:space="0" w:color="auto"/>
                        <w:bottom w:val="none" w:sz="0" w:space="0" w:color="auto"/>
                        <w:right w:val="none" w:sz="0" w:space="0" w:color="auto"/>
                      </w:divBdr>
                    </w:div>
                  </w:divsChild>
                </w:div>
                <w:div w:id="1358585080">
                  <w:marLeft w:val="0"/>
                  <w:marRight w:val="0"/>
                  <w:marTop w:val="0"/>
                  <w:marBottom w:val="0"/>
                  <w:divBdr>
                    <w:top w:val="none" w:sz="0" w:space="0" w:color="auto"/>
                    <w:left w:val="none" w:sz="0" w:space="0" w:color="auto"/>
                    <w:bottom w:val="none" w:sz="0" w:space="0" w:color="auto"/>
                    <w:right w:val="none" w:sz="0" w:space="0" w:color="auto"/>
                  </w:divBdr>
                  <w:divsChild>
                    <w:div w:id="619805019">
                      <w:marLeft w:val="0"/>
                      <w:marRight w:val="0"/>
                      <w:marTop w:val="0"/>
                      <w:marBottom w:val="0"/>
                      <w:divBdr>
                        <w:top w:val="none" w:sz="0" w:space="0" w:color="auto"/>
                        <w:left w:val="none" w:sz="0" w:space="0" w:color="auto"/>
                        <w:bottom w:val="none" w:sz="0" w:space="0" w:color="auto"/>
                        <w:right w:val="none" w:sz="0" w:space="0" w:color="auto"/>
                      </w:divBdr>
                    </w:div>
                  </w:divsChild>
                </w:div>
                <w:div w:id="1455754613">
                  <w:marLeft w:val="0"/>
                  <w:marRight w:val="0"/>
                  <w:marTop w:val="0"/>
                  <w:marBottom w:val="0"/>
                  <w:divBdr>
                    <w:top w:val="none" w:sz="0" w:space="0" w:color="auto"/>
                    <w:left w:val="none" w:sz="0" w:space="0" w:color="auto"/>
                    <w:bottom w:val="none" w:sz="0" w:space="0" w:color="auto"/>
                    <w:right w:val="none" w:sz="0" w:space="0" w:color="auto"/>
                  </w:divBdr>
                  <w:divsChild>
                    <w:div w:id="2033679071">
                      <w:marLeft w:val="0"/>
                      <w:marRight w:val="0"/>
                      <w:marTop w:val="0"/>
                      <w:marBottom w:val="0"/>
                      <w:divBdr>
                        <w:top w:val="none" w:sz="0" w:space="0" w:color="auto"/>
                        <w:left w:val="none" w:sz="0" w:space="0" w:color="auto"/>
                        <w:bottom w:val="none" w:sz="0" w:space="0" w:color="auto"/>
                        <w:right w:val="none" w:sz="0" w:space="0" w:color="auto"/>
                      </w:divBdr>
                    </w:div>
                  </w:divsChild>
                </w:div>
                <w:div w:id="1523518842">
                  <w:marLeft w:val="0"/>
                  <w:marRight w:val="0"/>
                  <w:marTop w:val="0"/>
                  <w:marBottom w:val="0"/>
                  <w:divBdr>
                    <w:top w:val="none" w:sz="0" w:space="0" w:color="auto"/>
                    <w:left w:val="none" w:sz="0" w:space="0" w:color="auto"/>
                    <w:bottom w:val="none" w:sz="0" w:space="0" w:color="auto"/>
                    <w:right w:val="none" w:sz="0" w:space="0" w:color="auto"/>
                  </w:divBdr>
                  <w:divsChild>
                    <w:div w:id="591200865">
                      <w:marLeft w:val="0"/>
                      <w:marRight w:val="0"/>
                      <w:marTop w:val="0"/>
                      <w:marBottom w:val="0"/>
                      <w:divBdr>
                        <w:top w:val="none" w:sz="0" w:space="0" w:color="auto"/>
                        <w:left w:val="none" w:sz="0" w:space="0" w:color="auto"/>
                        <w:bottom w:val="none" w:sz="0" w:space="0" w:color="auto"/>
                        <w:right w:val="none" w:sz="0" w:space="0" w:color="auto"/>
                      </w:divBdr>
                    </w:div>
                  </w:divsChild>
                </w:div>
                <w:div w:id="1582105274">
                  <w:marLeft w:val="0"/>
                  <w:marRight w:val="0"/>
                  <w:marTop w:val="0"/>
                  <w:marBottom w:val="0"/>
                  <w:divBdr>
                    <w:top w:val="none" w:sz="0" w:space="0" w:color="auto"/>
                    <w:left w:val="none" w:sz="0" w:space="0" w:color="auto"/>
                    <w:bottom w:val="none" w:sz="0" w:space="0" w:color="auto"/>
                    <w:right w:val="none" w:sz="0" w:space="0" w:color="auto"/>
                  </w:divBdr>
                  <w:divsChild>
                    <w:div w:id="442656627">
                      <w:marLeft w:val="0"/>
                      <w:marRight w:val="0"/>
                      <w:marTop w:val="0"/>
                      <w:marBottom w:val="0"/>
                      <w:divBdr>
                        <w:top w:val="none" w:sz="0" w:space="0" w:color="auto"/>
                        <w:left w:val="none" w:sz="0" w:space="0" w:color="auto"/>
                        <w:bottom w:val="none" w:sz="0" w:space="0" w:color="auto"/>
                        <w:right w:val="none" w:sz="0" w:space="0" w:color="auto"/>
                      </w:divBdr>
                    </w:div>
                  </w:divsChild>
                </w:div>
                <w:div w:id="1910647997">
                  <w:marLeft w:val="0"/>
                  <w:marRight w:val="0"/>
                  <w:marTop w:val="0"/>
                  <w:marBottom w:val="0"/>
                  <w:divBdr>
                    <w:top w:val="none" w:sz="0" w:space="0" w:color="auto"/>
                    <w:left w:val="none" w:sz="0" w:space="0" w:color="auto"/>
                    <w:bottom w:val="none" w:sz="0" w:space="0" w:color="auto"/>
                    <w:right w:val="none" w:sz="0" w:space="0" w:color="auto"/>
                  </w:divBdr>
                  <w:divsChild>
                    <w:div w:id="1027753206">
                      <w:marLeft w:val="0"/>
                      <w:marRight w:val="0"/>
                      <w:marTop w:val="0"/>
                      <w:marBottom w:val="0"/>
                      <w:divBdr>
                        <w:top w:val="none" w:sz="0" w:space="0" w:color="auto"/>
                        <w:left w:val="none" w:sz="0" w:space="0" w:color="auto"/>
                        <w:bottom w:val="none" w:sz="0" w:space="0" w:color="auto"/>
                        <w:right w:val="none" w:sz="0" w:space="0" w:color="auto"/>
                      </w:divBdr>
                    </w:div>
                    <w:div w:id="1920286844">
                      <w:marLeft w:val="0"/>
                      <w:marRight w:val="0"/>
                      <w:marTop w:val="0"/>
                      <w:marBottom w:val="0"/>
                      <w:divBdr>
                        <w:top w:val="none" w:sz="0" w:space="0" w:color="auto"/>
                        <w:left w:val="none" w:sz="0" w:space="0" w:color="auto"/>
                        <w:bottom w:val="none" w:sz="0" w:space="0" w:color="auto"/>
                        <w:right w:val="none" w:sz="0" w:space="0" w:color="auto"/>
                      </w:divBdr>
                    </w:div>
                  </w:divsChild>
                </w:div>
                <w:div w:id="2076849947">
                  <w:marLeft w:val="0"/>
                  <w:marRight w:val="0"/>
                  <w:marTop w:val="0"/>
                  <w:marBottom w:val="0"/>
                  <w:divBdr>
                    <w:top w:val="none" w:sz="0" w:space="0" w:color="auto"/>
                    <w:left w:val="none" w:sz="0" w:space="0" w:color="auto"/>
                    <w:bottom w:val="none" w:sz="0" w:space="0" w:color="auto"/>
                    <w:right w:val="none" w:sz="0" w:space="0" w:color="auto"/>
                  </w:divBdr>
                  <w:divsChild>
                    <w:div w:id="151414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871878">
          <w:marLeft w:val="0"/>
          <w:marRight w:val="0"/>
          <w:marTop w:val="0"/>
          <w:marBottom w:val="0"/>
          <w:divBdr>
            <w:top w:val="none" w:sz="0" w:space="0" w:color="auto"/>
            <w:left w:val="none" w:sz="0" w:space="0" w:color="auto"/>
            <w:bottom w:val="none" w:sz="0" w:space="0" w:color="auto"/>
            <w:right w:val="none" w:sz="0" w:space="0" w:color="auto"/>
          </w:divBdr>
        </w:div>
        <w:div w:id="781999368">
          <w:marLeft w:val="0"/>
          <w:marRight w:val="0"/>
          <w:marTop w:val="0"/>
          <w:marBottom w:val="0"/>
          <w:divBdr>
            <w:top w:val="none" w:sz="0" w:space="0" w:color="auto"/>
            <w:left w:val="none" w:sz="0" w:space="0" w:color="auto"/>
            <w:bottom w:val="none" w:sz="0" w:space="0" w:color="auto"/>
            <w:right w:val="none" w:sz="0" w:space="0" w:color="auto"/>
          </w:divBdr>
        </w:div>
        <w:div w:id="794755085">
          <w:marLeft w:val="0"/>
          <w:marRight w:val="0"/>
          <w:marTop w:val="0"/>
          <w:marBottom w:val="0"/>
          <w:divBdr>
            <w:top w:val="none" w:sz="0" w:space="0" w:color="auto"/>
            <w:left w:val="none" w:sz="0" w:space="0" w:color="auto"/>
            <w:bottom w:val="none" w:sz="0" w:space="0" w:color="auto"/>
            <w:right w:val="none" w:sz="0" w:space="0" w:color="auto"/>
          </w:divBdr>
        </w:div>
        <w:div w:id="823471152">
          <w:marLeft w:val="0"/>
          <w:marRight w:val="0"/>
          <w:marTop w:val="0"/>
          <w:marBottom w:val="0"/>
          <w:divBdr>
            <w:top w:val="none" w:sz="0" w:space="0" w:color="auto"/>
            <w:left w:val="none" w:sz="0" w:space="0" w:color="auto"/>
            <w:bottom w:val="none" w:sz="0" w:space="0" w:color="auto"/>
            <w:right w:val="none" w:sz="0" w:space="0" w:color="auto"/>
          </w:divBdr>
        </w:div>
        <w:div w:id="876744837">
          <w:marLeft w:val="0"/>
          <w:marRight w:val="0"/>
          <w:marTop w:val="0"/>
          <w:marBottom w:val="0"/>
          <w:divBdr>
            <w:top w:val="none" w:sz="0" w:space="0" w:color="auto"/>
            <w:left w:val="none" w:sz="0" w:space="0" w:color="auto"/>
            <w:bottom w:val="none" w:sz="0" w:space="0" w:color="auto"/>
            <w:right w:val="none" w:sz="0" w:space="0" w:color="auto"/>
          </w:divBdr>
          <w:divsChild>
            <w:div w:id="565993013">
              <w:marLeft w:val="-75"/>
              <w:marRight w:val="0"/>
              <w:marTop w:val="30"/>
              <w:marBottom w:val="30"/>
              <w:divBdr>
                <w:top w:val="none" w:sz="0" w:space="0" w:color="auto"/>
                <w:left w:val="none" w:sz="0" w:space="0" w:color="auto"/>
                <w:bottom w:val="none" w:sz="0" w:space="0" w:color="auto"/>
                <w:right w:val="none" w:sz="0" w:space="0" w:color="auto"/>
              </w:divBdr>
              <w:divsChild>
                <w:div w:id="118306602">
                  <w:marLeft w:val="0"/>
                  <w:marRight w:val="0"/>
                  <w:marTop w:val="0"/>
                  <w:marBottom w:val="0"/>
                  <w:divBdr>
                    <w:top w:val="none" w:sz="0" w:space="0" w:color="auto"/>
                    <w:left w:val="none" w:sz="0" w:space="0" w:color="auto"/>
                    <w:bottom w:val="none" w:sz="0" w:space="0" w:color="auto"/>
                    <w:right w:val="none" w:sz="0" w:space="0" w:color="auto"/>
                  </w:divBdr>
                  <w:divsChild>
                    <w:div w:id="667551">
                      <w:marLeft w:val="0"/>
                      <w:marRight w:val="0"/>
                      <w:marTop w:val="0"/>
                      <w:marBottom w:val="0"/>
                      <w:divBdr>
                        <w:top w:val="none" w:sz="0" w:space="0" w:color="auto"/>
                        <w:left w:val="none" w:sz="0" w:space="0" w:color="auto"/>
                        <w:bottom w:val="none" w:sz="0" w:space="0" w:color="auto"/>
                        <w:right w:val="none" w:sz="0" w:space="0" w:color="auto"/>
                      </w:divBdr>
                    </w:div>
                  </w:divsChild>
                </w:div>
                <w:div w:id="396905184">
                  <w:marLeft w:val="0"/>
                  <w:marRight w:val="0"/>
                  <w:marTop w:val="0"/>
                  <w:marBottom w:val="0"/>
                  <w:divBdr>
                    <w:top w:val="none" w:sz="0" w:space="0" w:color="auto"/>
                    <w:left w:val="none" w:sz="0" w:space="0" w:color="auto"/>
                    <w:bottom w:val="none" w:sz="0" w:space="0" w:color="auto"/>
                    <w:right w:val="none" w:sz="0" w:space="0" w:color="auto"/>
                  </w:divBdr>
                  <w:divsChild>
                    <w:div w:id="1787894409">
                      <w:marLeft w:val="0"/>
                      <w:marRight w:val="0"/>
                      <w:marTop w:val="0"/>
                      <w:marBottom w:val="0"/>
                      <w:divBdr>
                        <w:top w:val="none" w:sz="0" w:space="0" w:color="auto"/>
                        <w:left w:val="none" w:sz="0" w:space="0" w:color="auto"/>
                        <w:bottom w:val="none" w:sz="0" w:space="0" w:color="auto"/>
                        <w:right w:val="none" w:sz="0" w:space="0" w:color="auto"/>
                      </w:divBdr>
                    </w:div>
                  </w:divsChild>
                </w:div>
                <w:div w:id="530992204">
                  <w:marLeft w:val="0"/>
                  <w:marRight w:val="0"/>
                  <w:marTop w:val="0"/>
                  <w:marBottom w:val="0"/>
                  <w:divBdr>
                    <w:top w:val="none" w:sz="0" w:space="0" w:color="auto"/>
                    <w:left w:val="none" w:sz="0" w:space="0" w:color="auto"/>
                    <w:bottom w:val="none" w:sz="0" w:space="0" w:color="auto"/>
                    <w:right w:val="none" w:sz="0" w:space="0" w:color="auto"/>
                  </w:divBdr>
                  <w:divsChild>
                    <w:div w:id="1140077018">
                      <w:marLeft w:val="0"/>
                      <w:marRight w:val="0"/>
                      <w:marTop w:val="0"/>
                      <w:marBottom w:val="0"/>
                      <w:divBdr>
                        <w:top w:val="none" w:sz="0" w:space="0" w:color="auto"/>
                        <w:left w:val="none" w:sz="0" w:space="0" w:color="auto"/>
                        <w:bottom w:val="none" w:sz="0" w:space="0" w:color="auto"/>
                        <w:right w:val="none" w:sz="0" w:space="0" w:color="auto"/>
                      </w:divBdr>
                    </w:div>
                  </w:divsChild>
                </w:div>
                <w:div w:id="579028204">
                  <w:marLeft w:val="0"/>
                  <w:marRight w:val="0"/>
                  <w:marTop w:val="0"/>
                  <w:marBottom w:val="0"/>
                  <w:divBdr>
                    <w:top w:val="none" w:sz="0" w:space="0" w:color="auto"/>
                    <w:left w:val="none" w:sz="0" w:space="0" w:color="auto"/>
                    <w:bottom w:val="none" w:sz="0" w:space="0" w:color="auto"/>
                    <w:right w:val="none" w:sz="0" w:space="0" w:color="auto"/>
                  </w:divBdr>
                  <w:divsChild>
                    <w:div w:id="1155874778">
                      <w:marLeft w:val="0"/>
                      <w:marRight w:val="0"/>
                      <w:marTop w:val="0"/>
                      <w:marBottom w:val="0"/>
                      <w:divBdr>
                        <w:top w:val="none" w:sz="0" w:space="0" w:color="auto"/>
                        <w:left w:val="none" w:sz="0" w:space="0" w:color="auto"/>
                        <w:bottom w:val="none" w:sz="0" w:space="0" w:color="auto"/>
                        <w:right w:val="none" w:sz="0" w:space="0" w:color="auto"/>
                      </w:divBdr>
                    </w:div>
                  </w:divsChild>
                </w:div>
                <w:div w:id="772363682">
                  <w:marLeft w:val="0"/>
                  <w:marRight w:val="0"/>
                  <w:marTop w:val="0"/>
                  <w:marBottom w:val="0"/>
                  <w:divBdr>
                    <w:top w:val="none" w:sz="0" w:space="0" w:color="auto"/>
                    <w:left w:val="none" w:sz="0" w:space="0" w:color="auto"/>
                    <w:bottom w:val="none" w:sz="0" w:space="0" w:color="auto"/>
                    <w:right w:val="none" w:sz="0" w:space="0" w:color="auto"/>
                  </w:divBdr>
                  <w:divsChild>
                    <w:div w:id="272518881">
                      <w:marLeft w:val="0"/>
                      <w:marRight w:val="0"/>
                      <w:marTop w:val="0"/>
                      <w:marBottom w:val="0"/>
                      <w:divBdr>
                        <w:top w:val="none" w:sz="0" w:space="0" w:color="auto"/>
                        <w:left w:val="none" w:sz="0" w:space="0" w:color="auto"/>
                        <w:bottom w:val="none" w:sz="0" w:space="0" w:color="auto"/>
                        <w:right w:val="none" w:sz="0" w:space="0" w:color="auto"/>
                      </w:divBdr>
                    </w:div>
                  </w:divsChild>
                </w:div>
                <w:div w:id="1116173317">
                  <w:marLeft w:val="0"/>
                  <w:marRight w:val="0"/>
                  <w:marTop w:val="0"/>
                  <w:marBottom w:val="0"/>
                  <w:divBdr>
                    <w:top w:val="none" w:sz="0" w:space="0" w:color="auto"/>
                    <w:left w:val="none" w:sz="0" w:space="0" w:color="auto"/>
                    <w:bottom w:val="none" w:sz="0" w:space="0" w:color="auto"/>
                    <w:right w:val="none" w:sz="0" w:space="0" w:color="auto"/>
                  </w:divBdr>
                  <w:divsChild>
                    <w:div w:id="523906073">
                      <w:marLeft w:val="0"/>
                      <w:marRight w:val="0"/>
                      <w:marTop w:val="0"/>
                      <w:marBottom w:val="0"/>
                      <w:divBdr>
                        <w:top w:val="none" w:sz="0" w:space="0" w:color="auto"/>
                        <w:left w:val="none" w:sz="0" w:space="0" w:color="auto"/>
                        <w:bottom w:val="none" w:sz="0" w:space="0" w:color="auto"/>
                        <w:right w:val="none" w:sz="0" w:space="0" w:color="auto"/>
                      </w:divBdr>
                    </w:div>
                  </w:divsChild>
                </w:div>
                <w:div w:id="1184321687">
                  <w:marLeft w:val="0"/>
                  <w:marRight w:val="0"/>
                  <w:marTop w:val="0"/>
                  <w:marBottom w:val="0"/>
                  <w:divBdr>
                    <w:top w:val="none" w:sz="0" w:space="0" w:color="auto"/>
                    <w:left w:val="none" w:sz="0" w:space="0" w:color="auto"/>
                    <w:bottom w:val="none" w:sz="0" w:space="0" w:color="auto"/>
                    <w:right w:val="none" w:sz="0" w:space="0" w:color="auto"/>
                  </w:divBdr>
                  <w:divsChild>
                    <w:div w:id="216279748">
                      <w:marLeft w:val="0"/>
                      <w:marRight w:val="0"/>
                      <w:marTop w:val="0"/>
                      <w:marBottom w:val="0"/>
                      <w:divBdr>
                        <w:top w:val="none" w:sz="0" w:space="0" w:color="auto"/>
                        <w:left w:val="none" w:sz="0" w:space="0" w:color="auto"/>
                        <w:bottom w:val="none" w:sz="0" w:space="0" w:color="auto"/>
                        <w:right w:val="none" w:sz="0" w:space="0" w:color="auto"/>
                      </w:divBdr>
                    </w:div>
                  </w:divsChild>
                </w:div>
                <w:div w:id="1213464895">
                  <w:marLeft w:val="0"/>
                  <w:marRight w:val="0"/>
                  <w:marTop w:val="0"/>
                  <w:marBottom w:val="0"/>
                  <w:divBdr>
                    <w:top w:val="none" w:sz="0" w:space="0" w:color="auto"/>
                    <w:left w:val="none" w:sz="0" w:space="0" w:color="auto"/>
                    <w:bottom w:val="none" w:sz="0" w:space="0" w:color="auto"/>
                    <w:right w:val="none" w:sz="0" w:space="0" w:color="auto"/>
                  </w:divBdr>
                  <w:divsChild>
                    <w:div w:id="1532956778">
                      <w:marLeft w:val="0"/>
                      <w:marRight w:val="0"/>
                      <w:marTop w:val="0"/>
                      <w:marBottom w:val="0"/>
                      <w:divBdr>
                        <w:top w:val="none" w:sz="0" w:space="0" w:color="auto"/>
                        <w:left w:val="none" w:sz="0" w:space="0" w:color="auto"/>
                        <w:bottom w:val="none" w:sz="0" w:space="0" w:color="auto"/>
                        <w:right w:val="none" w:sz="0" w:space="0" w:color="auto"/>
                      </w:divBdr>
                    </w:div>
                  </w:divsChild>
                </w:div>
                <w:div w:id="1233655939">
                  <w:marLeft w:val="0"/>
                  <w:marRight w:val="0"/>
                  <w:marTop w:val="0"/>
                  <w:marBottom w:val="0"/>
                  <w:divBdr>
                    <w:top w:val="none" w:sz="0" w:space="0" w:color="auto"/>
                    <w:left w:val="none" w:sz="0" w:space="0" w:color="auto"/>
                    <w:bottom w:val="none" w:sz="0" w:space="0" w:color="auto"/>
                    <w:right w:val="none" w:sz="0" w:space="0" w:color="auto"/>
                  </w:divBdr>
                  <w:divsChild>
                    <w:div w:id="334964193">
                      <w:marLeft w:val="0"/>
                      <w:marRight w:val="0"/>
                      <w:marTop w:val="0"/>
                      <w:marBottom w:val="0"/>
                      <w:divBdr>
                        <w:top w:val="none" w:sz="0" w:space="0" w:color="auto"/>
                        <w:left w:val="none" w:sz="0" w:space="0" w:color="auto"/>
                        <w:bottom w:val="none" w:sz="0" w:space="0" w:color="auto"/>
                        <w:right w:val="none" w:sz="0" w:space="0" w:color="auto"/>
                      </w:divBdr>
                    </w:div>
                  </w:divsChild>
                </w:div>
                <w:div w:id="1469013996">
                  <w:marLeft w:val="0"/>
                  <w:marRight w:val="0"/>
                  <w:marTop w:val="0"/>
                  <w:marBottom w:val="0"/>
                  <w:divBdr>
                    <w:top w:val="none" w:sz="0" w:space="0" w:color="auto"/>
                    <w:left w:val="none" w:sz="0" w:space="0" w:color="auto"/>
                    <w:bottom w:val="none" w:sz="0" w:space="0" w:color="auto"/>
                    <w:right w:val="none" w:sz="0" w:space="0" w:color="auto"/>
                  </w:divBdr>
                  <w:divsChild>
                    <w:div w:id="1705978114">
                      <w:marLeft w:val="0"/>
                      <w:marRight w:val="0"/>
                      <w:marTop w:val="0"/>
                      <w:marBottom w:val="0"/>
                      <w:divBdr>
                        <w:top w:val="none" w:sz="0" w:space="0" w:color="auto"/>
                        <w:left w:val="none" w:sz="0" w:space="0" w:color="auto"/>
                        <w:bottom w:val="none" w:sz="0" w:space="0" w:color="auto"/>
                        <w:right w:val="none" w:sz="0" w:space="0" w:color="auto"/>
                      </w:divBdr>
                    </w:div>
                  </w:divsChild>
                </w:div>
                <w:div w:id="1570533843">
                  <w:marLeft w:val="0"/>
                  <w:marRight w:val="0"/>
                  <w:marTop w:val="0"/>
                  <w:marBottom w:val="0"/>
                  <w:divBdr>
                    <w:top w:val="none" w:sz="0" w:space="0" w:color="auto"/>
                    <w:left w:val="none" w:sz="0" w:space="0" w:color="auto"/>
                    <w:bottom w:val="none" w:sz="0" w:space="0" w:color="auto"/>
                    <w:right w:val="none" w:sz="0" w:space="0" w:color="auto"/>
                  </w:divBdr>
                  <w:divsChild>
                    <w:div w:id="1282345864">
                      <w:marLeft w:val="0"/>
                      <w:marRight w:val="0"/>
                      <w:marTop w:val="0"/>
                      <w:marBottom w:val="0"/>
                      <w:divBdr>
                        <w:top w:val="none" w:sz="0" w:space="0" w:color="auto"/>
                        <w:left w:val="none" w:sz="0" w:space="0" w:color="auto"/>
                        <w:bottom w:val="none" w:sz="0" w:space="0" w:color="auto"/>
                        <w:right w:val="none" w:sz="0" w:space="0" w:color="auto"/>
                      </w:divBdr>
                    </w:div>
                  </w:divsChild>
                </w:div>
                <w:div w:id="1647516547">
                  <w:marLeft w:val="0"/>
                  <w:marRight w:val="0"/>
                  <w:marTop w:val="0"/>
                  <w:marBottom w:val="0"/>
                  <w:divBdr>
                    <w:top w:val="none" w:sz="0" w:space="0" w:color="auto"/>
                    <w:left w:val="none" w:sz="0" w:space="0" w:color="auto"/>
                    <w:bottom w:val="none" w:sz="0" w:space="0" w:color="auto"/>
                    <w:right w:val="none" w:sz="0" w:space="0" w:color="auto"/>
                  </w:divBdr>
                  <w:divsChild>
                    <w:div w:id="11903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292599">
          <w:marLeft w:val="0"/>
          <w:marRight w:val="0"/>
          <w:marTop w:val="0"/>
          <w:marBottom w:val="0"/>
          <w:divBdr>
            <w:top w:val="none" w:sz="0" w:space="0" w:color="auto"/>
            <w:left w:val="none" w:sz="0" w:space="0" w:color="auto"/>
            <w:bottom w:val="none" w:sz="0" w:space="0" w:color="auto"/>
            <w:right w:val="none" w:sz="0" w:space="0" w:color="auto"/>
          </w:divBdr>
          <w:divsChild>
            <w:div w:id="1162548637">
              <w:marLeft w:val="-75"/>
              <w:marRight w:val="0"/>
              <w:marTop w:val="30"/>
              <w:marBottom w:val="30"/>
              <w:divBdr>
                <w:top w:val="none" w:sz="0" w:space="0" w:color="auto"/>
                <w:left w:val="none" w:sz="0" w:space="0" w:color="auto"/>
                <w:bottom w:val="none" w:sz="0" w:space="0" w:color="auto"/>
                <w:right w:val="none" w:sz="0" w:space="0" w:color="auto"/>
              </w:divBdr>
              <w:divsChild>
                <w:div w:id="837812261">
                  <w:marLeft w:val="0"/>
                  <w:marRight w:val="0"/>
                  <w:marTop w:val="0"/>
                  <w:marBottom w:val="0"/>
                  <w:divBdr>
                    <w:top w:val="none" w:sz="0" w:space="0" w:color="auto"/>
                    <w:left w:val="none" w:sz="0" w:space="0" w:color="auto"/>
                    <w:bottom w:val="none" w:sz="0" w:space="0" w:color="auto"/>
                    <w:right w:val="none" w:sz="0" w:space="0" w:color="auto"/>
                  </w:divBdr>
                  <w:divsChild>
                    <w:div w:id="297036498">
                      <w:marLeft w:val="0"/>
                      <w:marRight w:val="0"/>
                      <w:marTop w:val="0"/>
                      <w:marBottom w:val="0"/>
                      <w:divBdr>
                        <w:top w:val="none" w:sz="0" w:space="0" w:color="auto"/>
                        <w:left w:val="none" w:sz="0" w:space="0" w:color="auto"/>
                        <w:bottom w:val="none" w:sz="0" w:space="0" w:color="auto"/>
                        <w:right w:val="none" w:sz="0" w:space="0" w:color="auto"/>
                      </w:divBdr>
                    </w:div>
                  </w:divsChild>
                </w:div>
                <w:div w:id="1195777306">
                  <w:marLeft w:val="0"/>
                  <w:marRight w:val="0"/>
                  <w:marTop w:val="0"/>
                  <w:marBottom w:val="0"/>
                  <w:divBdr>
                    <w:top w:val="none" w:sz="0" w:space="0" w:color="auto"/>
                    <w:left w:val="none" w:sz="0" w:space="0" w:color="auto"/>
                    <w:bottom w:val="none" w:sz="0" w:space="0" w:color="auto"/>
                    <w:right w:val="none" w:sz="0" w:space="0" w:color="auto"/>
                  </w:divBdr>
                  <w:divsChild>
                    <w:div w:id="48250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019130">
          <w:marLeft w:val="0"/>
          <w:marRight w:val="0"/>
          <w:marTop w:val="0"/>
          <w:marBottom w:val="0"/>
          <w:divBdr>
            <w:top w:val="none" w:sz="0" w:space="0" w:color="auto"/>
            <w:left w:val="none" w:sz="0" w:space="0" w:color="auto"/>
            <w:bottom w:val="none" w:sz="0" w:space="0" w:color="auto"/>
            <w:right w:val="none" w:sz="0" w:space="0" w:color="auto"/>
          </w:divBdr>
        </w:div>
        <w:div w:id="1060438792">
          <w:marLeft w:val="0"/>
          <w:marRight w:val="0"/>
          <w:marTop w:val="0"/>
          <w:marBottom w:val="0"/>
          <w:divBdr>
            <w:top w:val="none" w:sz="0" w:space="0" w:color="auto"/>
            <w:left w:val="none" w:sz="0" w:space="0" w:color="auto"/>
            <w:bottom w:val="none" w:sz="0" w:space="0" w:color="auto"/>
            <w:right w:val="none" w:sz="0" w:space="0" w:color="auto"/>
          </w:divBdr>
        </w:div>
        <w:div w:id="1096637931">
          <w:marLeft w:val="0"/>
          <w:marRight w:val="0"/>
          <w:marTop w:val="0"/>
          <w:marBottom w:val="0"/>
          <w:divBdr>
            <w:top w:val="none" w:sz="0" w:space="0" w:color="auto"/>
            <w:left w:val="none" w:sz="0" w:space="0" w:color="auto"/>
            <w:bottom w:val="none" w:sz="0" w:space="0" w:color="auto"/>
            <w:right w:val="none" w:sz="0" w:space="0" w:color="auto"/>
          </w:divBdr>
        </w:div>
        <w:div w:id="1132593777">
          <w:marLeft w:val="0"/>
          <w:marRight w:val="0"/>
          <w:marTop w:val="0"/>
          <w:marBottom w:val="0"/>
          <w:divBdr>
            <w:top w:val="none" w:sz="0" w:space="0" w:color="auto"/>
            <w:left w:val="none" w:sz="0" w:space="0" w:color="auto"/>
            <w:bottom w:val="none" w:sz="0" w:space="0" w:color="auto"/>
            <w:right w:val="none" w:sz="0" w:space="0" w:color="auto"/>
          </w:divBdr>
        </w:div>
        <w:div w:id="1156535086">
          <w:marLeft w:val="0"/>
          <w:marRight w:val="0"/>
          <w:marTop w:val="0"/>
          <w:marBottom w:val="0"/>
          <w:divBdr>
            <w:top w:val="none" w:sz="0" w:space="0" w:color="auto"/>
            <w:left w:val="none" w:sz="0" w:space="0" w:color="auto"/>
            <w:bottom w:val="none" w:sz="0" w:space="0" w:color="auto"/>
            <w:right w:val="none" w:sz="0" w:space="0" w:color="auto"/>
          </w:divBdr>
          <w:divsChild>
            <w:div w:id="631324525">
              <w:marLeft w:val="-75"/>
              <w:marRight w:val="0"/>
              <w:marTop w:val="30"/>
              <w:marBottom w:val="30"/>
              <w:divBdr>
                <w:top w:val="none" w:sz="0" w:space="0" w:color="auto"/>
                <w:left w:val="none" w:sz="0" w:space="0" w:color="auto"/>
                <w:bottom w:val="none" w:sz="0" w:space="0" w:color="auto"/>
                <w:right w:val="none" w:sz="0" w:space="0" w:color="auto"/>
              </w:divBdr>
              <w:divsChild>
                <w:div w:id="98914416">
                  <w:marLeft w:val="0"/>
                  <w:marRight w:val="0"/>
                  <w:marTop w:val="0"/>
                  <w:marBottom w:val="0"/>
                  <w:divBdr>
                    <w:top w:val="none" w:sz="0" w:space="0" w:color="auto"/>
                    <w:left w:val="none" w:sz="0" w:space="0" w:color="auto"/>
                    <w:bottom w:val="none" w:sz="0" w:space="0" w:color="auto"/>
                    <w:right w:val="none" w:sz="0" w:space="0" w:color="auto"/>
                  </w:divBdr>
                  <w:divsChild>
                    <w:div w:id="1389112687">
                      <w:marLeft w:val="0"/>
                      <w:marRight w:val="0"/>
                      <w:marTop w:val="0"/>
                      <w:marBottom w:val="0"/>
                      <w:divBdr>
                        <w:top w:val="none" w:sz="0" w:space="0" w:color="auto"/>
                        <w:left w:val="none" w:sz="0" w:space="0" w:color="auto"/>
                        <w:bottom w:val="none" w:sz="0" w:space="0" w:color="auto"/>
                        <w:right w:val="none" w:sz="0" w:space="0" w:color="auto"/>
                      </w:divBdr>
                    </w:div>
                  </w:divsChild>
                </w:div>
                <w:div w:id="1400863529">
                  <w:marLeft w:val="0"/>
                  <w:marRight w:val="0"/>
                  <w:marTop w:val="0"/>
                  <w:marBottom w:val="0"/>
                  <w:divBdr>
                    <w:top w:val="none" w:sz="0" w:space="0" w:color="auto"/>
                    <w:left w:val="none" w:sz="0" w:space="0" w:color="auto"/>
                    <w:bottom w:val="none" w:sz="0" w:space="0" w:color="auto"/>
                    <w:right w:val="none" w:sz="0" w:space="0" w:color="auto"/>
                  </w:divBdr>
                  <w:divsChild>
                    <w:div w:id="1634215837">
                      <w:marLeft w:val="0"/>
                      <w:marRight w:val="0"/>
                      <w:marTop w:val="0"/>
                      <w:marBottom w:val="0"/>
                      <w:divBdr>
                        <w:top w:val="none" w:sz="0" w:space="0" w:color="auto"/>
                        <w:left w:val="none" w:sz="0" w:space="0" w:color="auto"/>
                        <w:bottom w:val="none" w:sz="0" w:space="0" w:color="auto"/>
                        <w:right w:val="none" w:sz="0" w:space="0" w:color="auto"/>
                      </w:divBdr>
                    </w:div>
                  </w:divsChild>
                </w:div>
                <w:div w:id="1975256705">
                  <w:marLeft w:val="0"/>
                  <w:marRight w:val="0"/>
                  <w:marTop w:val="0"/>
                  <w:marBottom w:val="0"/>
                  <w:divBdr>
                    <w:top w:val="none" w:sz="0" w:space="0" w:color="auto"/>
                    <w:left w:val="none" w:sz="0" w:space="0" w:color="auto"/>
                    <w:bottom w:val="none" w:sz="0" w:space="0" w:color="auto"/>
                    <w:right w:val="none" w:sz="0" w:space="0" w:color="auto"/>
                  </w:divBdr>
                  <w:divsChild>
                    <w:div w:id="52657764">
                      <w:marLeft w:val="0"/>
                      <w:marRight w:val="0"/>
                      <w:marTop w:val="0"/>
                      <w:marBottom w:val="0"/>
                      <w:divBdr>
                        <w:top w:val="none" w:sz="0" w:space="0" w:color="auto"/>
                        <w:left w:val="none" w:sz="0" w:space="0" w:color="auto"/>
                        <w:bottom w:val="none" w:sz="0" w:space="0" w:color="auto"/>
                        <w:right w:val="none" w:sz="0" w:space="0" w:color="auto"/>
                      </w:divBdr>
                    </w:div>
                  </w:divsChild>
                </w:div>
                <w:div w:id="1992439030">
                  <w:marLeft w:val="0"/>
                  <w:marRight w:val="0"/>
                  <w:marTop w:val="0"/>
                  <w:marBottom w:val="0"/>
                  <w:divBdr>
                    <w:top w:val="none" w:sz="0" w:space="0" w:color="auto"/>
                    <w:left w:val="none" w:sz="0" w:space="0" w:color="auto"/>
                    <w:bottom w:val="none" w:sz="0" w:space="0" w:color="auto"/>
                    <w:right w:val="none" w:sz="0" w:space="0" w:color="auto"/>
                  </w:divBdr>
                  <w:divsChild>
                    <w:div w:id="690684310">
                      <w:marLeft w:val="0"/>
                      <w:marRight w:val="0"/>
                      <w:marTop w:val="0"/>
                      <w:marBottom w:val="0"/>
                      <w:divBdr>
                        <w:top w:val="none" w:sz="0" w:space="0" w:color="auto"/>
                        <w:left w:val="none" w:sz="0" w:space="0" w:color="auto"/>
                        <w:bottom w:val="none" w:sz="0" w:space="0" w:color="auto"/>
                        <w:right w:val="none" w:sz="0" w:space="0" w:color="auto"/>
                      </w:divBdr>
                    </w:div>
                    <w:div w:id="1903521082">
                      <w:marLeft w:val="0"/>
                      <w:marRight w:val="0"/>
                      <w:marTop w:val="0"/>
                      <w:marBottom w:val="0"/>
                      <w:divBdr>
                        <w:top w:val="none" w:sz="0" w:space="0" w:color="auto"/>
                        <w:left w:val="none" w:sz="0" w:space="0" w:color="auto"/>
                        <w:bottom w:val="none" w:sz="0" w:space="0" w:color="auto"/>
                        <w:right w:val="none" w:sz="0" w:space="0" w:color="auto"/>
                      </w:divBdr>
                    </w:div>
                  </w:divsChild>
                </w:div>
                <w:div w:id="2035954699">
                  <w:marLeft w:val="0"/>
                  <w:marRight w:val="0"/>
                  <w:marTop w:val="0"/>
                  <w:marBottom w:val="0"/>
                  <w:divBdr>
                    <w:top w:val="none" w:sz="0" w:space="0" w:color="auto"/>
                    <w:left w:val="none" w:sz="0" w:space="0" w:color="auto"/>
                    <w:bottom w:val="none" w:sz="0" w:space="0" w:color="auto"/>
                    <w:right w:val="none" w:sz="0" w:space="0" w:color="auto"/>
                  </w:divBdr>
                  <w:divsChild>
                    <w:div w:id="389575281">
                      <w:marLeft w:val="0"/>
                      <w:marRight w:val="0"/>
                      <w:marTop w:val="0"/>
                      <w:marBottom w:val="0"/>
                      <w:divBdr>
                        <w:top w:val="none" w:sz="0" w:space="0" w:color="auto"/>
                        <w:left w:val="none" w:sz="0" w:space="0" w:color="auto"/>
                        <w:bottom w:val="none" w:sz="0" w:space="0" w:color="auto"/>
                        <w:right w:val="none" w:sz="0" w:space="0" w:color="auto"/>
                      </w:divBdr>
                    </w:div>
                  </w:divsChild>
                </w:div>
                <w:div w:id="2082748839">
                  <w:marLeft w:val="0"/>
                  <w:marRight w:val="0"/>
                  <w:marTop w:val="0"/>
                  <w:marBottom w:val="0"/>
                  <w:divBdr>
                    <w:top w:val="none" w:sz="0" w:space="0" w:color="auto"/>
                    <w:left w:val="none" w:sz="0" w:space="0" w:color="auto"/>
                    <w:bottom w:val="none" w:sz="0" w:space="0" w:color="auto"/>
                    <w:right w:val="none" w:sz="0" w:space="0" w:color="auto"/>
                  </w:divBdr>
                  <w:divsChild>
                    <w:div w:id="189426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182151">
          <w:marLeft w:val="0"/>
          <w:marRight w:val="0"/>
          <w:marTop w:val="0"/>
          <w:marBottom w:val="0"/>
          <w:divBdr>
            <w:top w:val="none" w:sz="0" w:space="0" w:color="auto"/>
            <w:left w:val="none" w:sz="0" w:space="0" w:color="auto"/>
            <w:bottom w:val="none" w:sz="0" w:space="0" w:color="auto"/>
            <w:right w:val="none" w:sz="0" w:space="0" w:color="auto"/>
          </w:divBdr>
        </w:div>
        <w:div w:id="1249315529">
          <w:marLeft w:val="0"/>
          <w:marRight w:val="0"/>
          <w:marTop w:val="0"/>
          <w:marBottom w:val="0"/>
          <w:divBdr>
            <w:top w:val="none" w:sz="0" w:space="0" w:color="auto"/>
            <w:left w:val="none" w:sz="0" w:space="0" w:color="auto"/>
            <w:bottom w:val="none" w:sz="0" w:space="0" w:color="auto"/>
            <w:right w:val="none" w:sz="0" w:space="0" w:color="auto"/>
          </w:divBdr>
        </w:div>
        <w:div w:id="1305700810">
          <w:marLeft w:val="0"/>
          <w:marRight w:val="0"/>
          <w:marTop w:val="0"/>
          <w:marBottom w:val="0"/>
          <w:divBdr>
            <w:top w:val="none" w:sz="0" w:space="0" w:color="auto"/>
            <w:left w:val="none" w:sz="0" w:space="0" w:color="auto"/>
            <w:bottom w:val="none" w:sz="0" w:space="0" w:color="auto"/>
            <w:right w:val="none" w:sz="0" w:space="0" w:color="auto"/>
          </w:divBdr>
        </w:div>
        <w:div w:id="1363440570">
          <w:marLeft w:val="0"/>
          <w:marRight w:val="0"/>
          <w:marTop w:val="0"/>
          <w:marBottom w:val="0"/>
          <w:divBdr>
            <w:top w:val="none" w:sz="0" w:space="0" w:color="auto"/>
            <w:left w:val="none" w:sz="0" w:space="0" w:color="auto"/>
            <w:bottom w:val="none" w:sz="0" w:space="0" w:color="auto"/>
            <w:right w:val="none" w:sz="0" w:space="0" w:color="auto"/>
          </w:divBdr>
          <w:divsChild>
            <w:div w:id="1053967457">
              <w:marLeft w:val="-75"/>
              <w:marRight w:val="0"/>
              <w:marTop w:val="30"/>
              <w:marBottom w:val="30"/>
              <w:divBdr>
                <w:top w:val="none" w:sz="0" w:space="0" w:color="auto"/>
                <w:left w:val="none" w:sz="0" w:space="0" w:color="auto"/>
                <w:bottom w:val="none" w:sz="0" w:space="0" w:color="auto"/>
                <w:right w:val="none" w:sz="0" w:space="0" w:color="auto"/>
              </w:divBdr>
              <w:divsChild>
                <w:div w:id="1083720371">
                  <w:marLeft w:val="0"/>
                  <w:marRight w:val="0"/>
                  <w:marTop w:val="0"/>
                  <w:marBottom w:val="0"/>
                  <w:divBdr>
                    <w:top w:val="none" w:sz="0" w:space="0" w:color="auto"/>
                    <w:left w:val="none" w:sz="0" w:space="0" w:color="auto"/>
                    <w:bottom w:val="none" w:sz="0" w:space="0" w:color="auto"/>
                    <w:right w:val="none" w:sz="0" w:space="0" w:color="auto"/>
                  </w:divBdr>
                  <w:divsChild>
                    <w:div w:id="1147167959">
                      <w:marLeft w:val="0"/>
                      <w:marRight w:val="0"/>
                      <w:marTop w:val="0"/>
                      <w:marBottom w:val="0"/>
                      <w:divBdr>
                        <w:top w:val="none" w:sz="0" w:space="0" w:color="auto"/>
                        <w:left w:val="none" w:sz="0" w:space="0" w:color="auto"/>
                        <w:bottom w:val="none" w:sz="0" w:space="0" w:color="auto"/>
                        <w:right w:val="none" w:sz="0" w:space="0" w:color="auto"/>
                      </w:divBdr>
                    </w:div>
                  </w:divsChild>
                </w:div>
                <w:div w:id="1325476036">
                  <w:marLeft w:val="0"/>
                  <w:marRight w:val="0"/>
                  <w:marTop w:val="0"/>
                  <w:marBottom w:val="0"/>
                  <w:divBdr>
                    <w:top w:val="none" w:sz="0" w:space="0" w:color="auto"/>
                    <w:left w:val="none" w:sz="0" w:space="0" w:color="auto"/>
                    <w:bottom w:val="none" w:sz="0" w:space="0" w:color="auto"/>
                    <w:right w:val="none" w:sz="0" w:space="0" w:color="auto"/>
                  </w:divBdr>
                  <w:divsChild>
                    <w:div w:id="645428514">
                      <w:marLeft w:val="0"/>
                      <w:marRight w:val="0"/>
                      <w:marTop w:val="0"/>
                      <w:marBottom w:val="0"/>
                      <w:divBdr>
                        <w:top w:val="none" w:sz="0" w:space="0" w:color="auto"/>
                        <w:left w:val="none" w:sz="0" w:space="0" w:color="auto"/>
                        <w:bottom w:val="none" w:sz="0" w:space="0" w:color="auto"/>
                        <w:right w:val="none" w:sz="0" w:space="0" w:color="auto"/>
                      </w:divBdr>
                    </w:div>
                  </w:divsChild>
                </w:div>
                <w:div w:id="1637251663">
                  <w:marLeft w:val="0"/>
                  <w:marRight w:val="0"/>
                  <w:marTop w:val="0"/>
                  <w:marBottom w:val="0"/>
                  <w:divBdr>
                    <w:top w:val="none" w:sz="0" w:space="0" w:color="auto"/>
                    <w:left w:val="none" w:sz="0" w:space="0" w:color="auto"/>
                    <w:bottom w:val="none" w:sz="0" w:space="0" w:color="auto"/>
                    <w:right w:val="none" w:sz="0" w:space="0" w:color="auto"/>
                  </w:divBdr>
                  <w:divsChild>
                    <w:div w:id="798647586">
                      <w:marLeft w:val="0"/>
                      <w:marRight w:val="0"/>
                      <w:marTop w:val="0"/>
                      <w:marBottom w:val="0"/>
                      <w:divBdr>
                        <w:top w:val="none" w:sz="0" w:space="0" w:color="auto"/>
                        <w:left w:val="none" w:sz="0" w:space="0" w:color="auto"/>
                        <w:bottom w:val="none" w:sz="0" w:space="0" w:color="auto"/>
                        <w:right w:val="none" w:sz="0" w:space="0" w:color="auto"/>
                      </w:divBdr>
                    </w:div>
                  </w:divsChild>
                </w:div>
                <w:div w:id="1944654427">
                  <w:marLeft w:val="0"/>
                  <w:marRight w:val="0"/>
                  <w:marTop w:val="0"/>
                  <w:marBottom w:val="0"/>
                  <w:divBdr>
                    <w:top w:val="none" w:sz="0" w:space="0" w:color="auto"/>
                    <w:left w:val="none" w:sz="0" w:space="0" w:color="auto"/>
                    <w:bottom w:val="none" w:sz="0" w:space="0" w:color="auto"/>
                    <w:right w:val="none" w:sz="0" w:space="0" w:color="auto"/>
                  </w:divBdr>
                  <w:divsChild>
                    <w:div w:id="201132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750786">
          <w:marLeft w:val="0"/>
          <w:marRight w:val="0"/>
          <w:marTop w:val="0"/>
          <w:marBottom w:val="0"/>
          <w:divBdr>
            <w:top w:val="none" w:sz="0" w:space="0" w:color="auto"/>
            <w:left w:val="none" w:sz="0" w:space="0" w:color="auto"/>
            <w:bottom w:val="none" w:sz="0" w:space="0" w:color="auto"/>
            <w:right w:val="none" w:sz="0" w:space="0" w:color="auto"/>
          </w:divBdr>
        </w:div>
        <w:div w:id="1462920421">
          <w:marLeft w:val="0"/>
          <w:marRight w:val="0"/>
          <w:marTop w:val="0"/>
          <w:marBottom w:val="0"/>
          <w:divBdr>
            <w:top w:val="none" w:sz="0" w:space="0" w:color="auto"/>
            <w:left w:val="none" w:sz="0" w:space="0" w:color="auto"/>
            <w:bottom w:val="none" w:sz="0" w:space="0" w:color="auto"/>
            <w:right w:val="none" w:sz="0" w:space="0" w:color="auto"/>
          </w:divBdr>
        </w:div>
        <w:div w:id="1518424771">
          <w:marLeft w:val="0"/>
          <w:marRight w:val="0"/>
          <w:marTop w:val="0"/>
          <w:marBottom w:val="0"/>
          <w:divBdr>
            <w:top w:val="none" w:sz="0" w:space="0" w:color="auto"/>
            <w:left w:val="none" w:sz="0" w:space="0" w:color="auto"/>
            <w:bottom w:val="none" w:sz="0" w:space="0" w:color="auto"/>
            <w:right w:val="none" w:sz="0" w:space="0" w:color="auto"/>
          </w:divBdr>
          <w:divsChild>
            <w:div w:id="1543439059">
              <w:marLeft w:val="-75"/>
              <w:marRight w:val="0"/>
              <w:marTop w:val="30"/>
              <w:marBottom w:val="30"/>
              <w:divBdr>
                <w:top w:val="none" w:sz="0" w:space="0" w:color="auto"/>
                <w:left w:val="none" w:sz="0" w:space="0" w:color="auto"/>
                <w:bottom w:val="none" w:sz="0" w:space="0" w:color="auto"/>
                <w:right w:val="none" w:sz="0" w:space="0" w:color="auto"/>
              </w:divBdr>
              <w:divsChild>
                <w:div w:id="405493890">
                  <w:marLeft w:val="0"/>
                  <w:marRight w:val="0"/>
                  <w:marTop w:val="0"/>
                  <w:marBottom w:val="0"/>
                  <w:divBdr>
                    <w:top w:val="none" w:sz="0" w:space="0" w:color="auto"/>
                    <w:left w:val="none" w:sz="0" w:space="0" w:color="auto"/>
                    <w:bottom w:val="none" w:sz="0" w:space="0" w:color="auto"/>
                    <w:right w:val="none" w:sz="0" w:space="0" w:color="auto"/>
                  </w:divBdr>
                  <w:divsChild>
                    <w:div w:id="313264816">
                      <w:marLeft w:val="0"/>
                      <w:marRight w:val="0"/>
                      <w:marTop w:val="0"/>
                      <w:marBottom w:val="0"/>
                      <w:divBdr>
                        <w:top w:val="none" w:sz="0" w:space="0" w:color="auto"/>
                        <w:left w:val="none" w:sz="0" w:space="0" w:color="auto"/>
                        <w:bottom w:val="none" w:sz="0" w:space="0" w:color="auto"/>
                        <w:right w:val="none" w:sz="0" w:space="0" w:color="auto"/>
                      </w:divBdr>
                    </w:div>
                  </w:divsChild>
                </w:div>
                <w:div w:id="2020546843">
                  <w:marLeft w:val="0"/>
                  <w:marRight w:val="0"/>
                  <w:marTop w:val="0"/>
                  <w:marBottom w:val="0"/>
                  <w:divBdr>
                    <w:top w:val="none" w:sz="0" w:space="0" w:color="auto"/>
                    <w:left w:val="none" w:sz="0" w:space="0" w:color="auto"/>
                    <w:bottom w:val="none" w:sz="0" w:space="0" w:color="auto"/>
                    <w:right w:val="none" w:sz="0" w:space="0" w:color="auto"/>
                  </w:divBdr>
                  <w:divsChild>
                    <w:div w:id="6168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803404">
          <w:marLeft w:val="0"/>
          <w:marRight w:val="0"/>
          <w:marTop w:val="0"/>
          <w:marBottom w:val="0"/>
          <w:divBdr>
            <w:top w:val="none" w:sz="0" w:space="0" w:color="auto"/>
            <w:left w:val="none" w:sz="0" w:space="0" w:color="auto"/>
            <w:bottom w:val="none" w:sz="0" w:space="0" w:color="auto"/>
            <w:right w:val="none" w:sz="0" w:space="0" w:color="auto"/>
          </w:divBdr>
        </w:div>
        <w:div w:id="1578785262">
          <w:marLeft w:val="0"/>
          <w:marRight w:val="0"/>
          <w:marTop w:val="0"/>
          <w:marBottom w:val="0"/>
          <w:divBdr>
            <w:top w:val="none" w:sz="0" w:space="0" w:color="auto"/>
            <w:left w:val="none" w:sz="0" w:space="0" w:color="auto"/>
            <w:bottom w:val="none" w:sz="0" w:space="0" w:color="auto"/>
            <w:right w:val="none" w:sz="0" w:space="0" w:color="auto"/>
          </w:divBdr>
        </w:div>
        <w:div w:id="1770465241">
          <w:marLeft w:val="0"/>
          <w:marRight w:val="0"/>
          <w:marTop w:val="0"/>
          <w:marBottom w:val="0"/>
          <w:divBdr>
            <w:top w:val="none" w:sz="0" w:space="0" w:color="auto"/>
            <w:left w:val="none" w:sz="0" w:space="0" w:color="auto"/>
            <w:bottom w:val="none" w:sz="0" w:space="0" w:color="auto"/>
            <w:right w:val="none" w:sz="0" w:space="0" w:color="auto"/>
          </w:divBdr>
        </w:div>
        <w:div w:id="1936395815">
          <w:marLeft w:val="0"/>
          <w:marRight w:val="0"/>
          <w:marTop w:val="0"/>
          <w:marBottom w:val="0"/>
          <w:divBdr>
            <w:top w:val="none" w:sz="0" w:space="0" w:color="auto"/>
            <w:left w:val="none" w:sz="0" w:space="0" w:color="auto"/>
            <w:bottom w:val="none" w:sz="0" w:space="0" w:color="auto"/>
            <w:right w:val="none" w:sz="0" w:space="0" w:color="auto"/>
          </w:divBdr>
          <w:divsChild>
            <w:div w:id="1093819448">
              <w:marLeft w:val="-75"/>
              <w:marRight w:val="0"/>
              <w:marTop w:val="30"/>
              <w:marBottom w:val="30"/>
              <w:divBdr>
                <w:top w:val="none" w:sz="0" w:space="0" w:color="auto"/>
                <w:left w:val="none" w:sz="0" w:space="0" w:color="auto"/>
                <w:bottom w:val="none" w:sz="0" w:space="0" w:color="auto"/>
                <w:right w:val="none" w:sz="0" w:space="0" w:color="auto"/>
              </w:divBdr>
              <w:divsChild>
                <w:div w:id="50884300">
                  <w:marLeft w:val="0"/>
                  <w:marRight w:val="0"/>
                  <w:marTop w:val="0"/>
                  <w:marBottom w:val="0"/>
                  <w:divBdr>
                    <w:top w:val="none" w:sz="0" w:space="0" w:color="auto"/>
                    <w:left w:val="none" w:sz="0" w:space="0" w:color="auto"/>
                    <w:bottom w:val="none" w:sz="0" w:space="0" w:color="auto"/>
                    <w:right w:val="none" w:sz="0" w:space="0" w:color="auto"/>
                  </w:divBdr>
                  <w:divsChild>
                    <w:div w:id="679549307">
                      <w:marLeft w:val="0"/>
                      <w:marRight w:val="0"/>
                      <w:marTop w:val="0"/>
                      <w:marBottom w:val="0"/>
                      <w:divBdr>
                        <w:top w:val="none" w:sz="0" w:space="0" w:color="auto"/>
                        <w:left w:val="none" w:sz="0" w:space="0" w:color="auto"/>
                        <w:bottom w:val="none" w:sz="0" w:space="0" w:color="auto"/>
                        <w:right w:val="none" w:sz="0" w:space="0" w:color="auto"/>
                      </w:divBdr>
                    </w:div>
                  </w:divsChild>
                </w:div>
                <w:div w:id="137696344">
                  <w:marLeft w:val="0"/>
                  <w:marRight w:val="0"/>
                  <w:marTop w:val="0"/>
                  <w:marBottom w:val="0"/>
                  <w:divBdr>
                    <w:top w:val="none" w:sz="0" w:space="0" w:color="auto"/>
                    <w:left w:val="none" w:sz="0" w:space="0" w:color="auto"/>
                    <w:bottom w:val="none" w:sz="0" w:space="0" w:color="auto"/>
                    <w:right w:val="none" w:sz="0" w:space="0" w:color="auto"/>
                  </w:divBdr>
                  <w:divsChild>
                    <w:div w:id="507449612">
                      <w:marLeft w:val="0"/>
                      <w:marRight w:val="0"/>
                      <w:marTop w:val="0"/>
                      <w:marBottom w:val="0"/>
                      <w:divBdr>
                        <w:top w:val="none" w:sz="0" w:space="0" w:color="auto"/>
                        <w:left w:val="none" w:sz="0" w:space="0" w:color="auto"/>
                        <w:bottom w:val="none" w:sz="0" w:space="0" w:color="auto"/>
                        <w:right w:val="none" w:sz="0" w:space="0" w:color="auto"/>
                      </w:divBdr>
                    </w:div>
                  </w:divsChild>
                </w:div>
                <w:div w:id="213543550">
                  <w:marLeft w:val="0"/>
                  <w:marRight w:val="0"/>
                  <w:marTop w:val="0"/>
                  <w:marBottom w:val="0"/>
                  <w:divBdr>
                    <w:top w:val="none" w:sz="0" w:space="0" w:color="auto"/>
                    <w:left w:val="none" w:sz="0" w:space="0" w:color="auto"/>
                    <w:bottom w:val="none" w:sz="0" w:space="0" w:color="auto"/>
                    <w:right w:val="none" w:sz="0" w:space="0" w:color="auto"/>
                  </w:divBdr>
                  <w:divsChild>
                    <w:div w:id="142964501">
                      <w:marLeft w:val="0"/>
                      <w:marRight w:val="0"/>
                      <w:marTop w:val="0"/>
                      <w:marBottom w:val="0"/>
                      <w:divBdr>
                        <w:top w:val="none" w:sz="0" w:space="0" w:color="auto"/>
                        <w:left w:val="none" w:sz="0" w:space="0" w:color="auto"/>
                        <w:bottom w:val="none" w:sz="0" w:space="0" w:color="auto"/>
                        <w:right w:val="none" w:sz="0" w:space="0" w:color="auto"/>
                      </w:divBdr>
                    </w:div>
                  </w:divsChild>
                </w:div>
                <w:div w:id="761298230">
                  <w:marLeft w:val="0"/>
                  <w:marRight w:val="0"/>
                  <w:marTop w:val="0"/>
                  <w:marBottom w:val="0"/>
                  <w:divBdr>
                    <w:top w:val="none" w:sz="0" w:space="0" w:color="auto"/>
                    <w:left w:val="none" w:sz="0" w:space="0" w:color="auto"/>
                    <w:bottom w:val="none" w:sz="0" w:space="0" w:color="auto"/>
                    <w:right w:val="none" w:sz="0" w:space="0" w:color="auto"/>
                  </w:divBdr>
                  <w:divsChild>
                    <w:div w:id="328868390">
                      <w:marLeft w:val="0"/>
                      <w:marRight w:val="0"/>
                      <w:marTop w:val="0"/>
                      <w:marBottom w:val="0"/>
                      <w:divBdr>
                        <w:top w:val="none" w:sz="0" w:space="0" w:color="auto"/>
                        <w:left w:val="none" w:sz="0" w:space="0" w:color="auto"/>
                        <w:bottom w:val="none" w:sz="0" w:space="0" w:color="auto"/>
                        <w:right w:val="none" w:sz="0" w:space="0" w:color="auto"/>
                      </w:divBdr>
                    </w:div>
                  </w:divsChild>
                </w:div>
                <w:div w:id="1470440307">
                  <w:marLeft w:val="0"/>
                  <w:marRight w:val="0"/>
                  <w:marTop w:val="0"/>
                  <w:marBottom w:val="0"/>
                  <w:divBdr>
                    <w:top w:val="none" w:sz="0" w:space="0" w:color="auto"/>
                    <w:left w:val="none" w:sz="0" w:space="0" w:color="auto"/>
                    <w:bottom w:val="none" w:sz="0" w:space="0" w:color="auto"/>
                    <w:right w:val="none" w:sz="0" w:space="0" w:color="auto"/>
                  </w:divBdr>
                  <w:divsChild>
                    <w:div w:id="544174991">
                      <w:marLeft w:val="0"/>
                      <w:marRight w:val="0"/>
                      <w:marTop w:val="0"/>
                      <w:marBottom w:val="0"/>
                      <w:divBdr>
                        <w:top w:val="none" w:sz="0" w:space="0" w:color="auto"/>
                        <w:left w:val="none" w:sz="0" w:space="0" w:color="auto"/>
                        <w:bottom w:val="none" w:sz="0" w:space="0" w:color="auto"/>
                        <w:right w:val="none" w:sz="0" w:space="0" w:color="auto"/>
                      </w:divBdr>
                    </w:div>
                  </w:divsChild>
                </w:div>
                <w:div w:id="1585458574">
                  <w:marLeft w:val="0"/>
                  <w:marRight w:val="0"/>
                  <w:marTop w:val="0"/>
                  <w:marBottom w:val="0"/>
                  <w:divBdr>
                    <w:top w:val="none" w:sz="0" w:space="0" w:color="auto"/>
                    <w:left w:val="none" w:sz="0" w:space="0" w:color="auto"/>
                    <w:bottom w:val="none" w:sz="0" w:space="0" w:color="auto"/>
                    <w:right w:val="none" w:sz="0" w:space="0" w:color="auto"/>
                  </w:divBdr>
                  <w:divsChild>
                    <w:div w:id="195266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550566">
      <w:bodyDiv w:val="1"/>
      <w:marLeft w:val="0"/>
      <w:marRight w:val="0"/>
      <w:marTop w:val="0"/>
      <w:marBottom w:val="0"/>
      <w:divBdr>
        <w:top w:val="none" w:sz="0" w:space="0" w:color="auto"/>
        <w:left w:val="none" w:sz="0" w:space="0" w:color="auto"/>
        <w:bottom w:val="none" w:sz="0" w:space="0" w:color="auto"/>
        <w:right w:val="none" w:sz="0" w:space="0" w:color="auto"/>
      </w:divBdr>
      <w:divsChild>
        <w:div w:id="10498395">
          <w:marLeft w:val="0"/>
          <w:marRight w:val="0"/>
          <w:marTop w:val="0"/>
          <w:marBottom w:val="0"/>
          <w:divBdr>
            <w:top w:val="none" w:sz="0" w:space="0" w:color="auto"/>
            <w:left w:val="none" w:sz="0" w:space="0" w:color="auto"/>
            <w:bottom w:val="none" w:sz="0" w:space="0" w:color="auto"/>
            <w:right w:val="none" w:sz="0" w:space="0" w:color="auto"/>
          </w:divBdr>
        </w:div>
        <w:div w:id="203449277">
          <w:marLeft w:val="0"/>
          <w:marRight w:val="0"/>
          <w:marTop w:val="0"/>
          <w:marBottom w:val="0"/>
          <w:divBdr>
            <w:top w:val="none" w:sz="0" w:space="0" w:color="auto"/>
            <w:left w:val="none" w:sz="0" w:space="0" w:color="auto"/>
            <w:bottom w:val="none" w:sz="0" w:space="0" w:color="auto"/>
            <w:right w:val="none" w:sz="0" w:space="0" w:color="auto"/>
          </w:divBdr>
        </w:div>
      </w:divsChild>
    </w:div>
    <w:div w:id="1801922189">
      <w:bodyDiv w:val="1"/>
      <w:marLeft w:val="0"/>
      <w:marRight w:val="0"/>
      <w:marTop w:val="0"/>
      <w:marBottom w:val="0"/>
      <w:divBdr>
        <w:top w:val="none" w:sz="0" w:space="0" w:color="auto"/>
        <w:left w:val="none" w:sz="0" w:space="0" w:color="auto"/>
        <w:bottom w:val="none" w:sz="0" w:space="0" w:color="auto"/>
        <w:right w:val="none" w:sz="0" w:space="0" w:color="auto"/>
      </w:divBdr>
      <w:divsChild>
        <w:div w:id="288322154">
          <w:marLeft w:val="0"/>
          <w:marRight w:val="0"/>
          <w:marTop w:val="0"/>
          <w:marBottom w:val="0"/>
          <w:divBdr>
            <w:top w:val="none" w:sz="0" w:space="0" w:color="auto"/>
            <w:left w:val="none" w:sz="0" w:space="0" w:color="auto"/>
            <w:bottom w:val="none" w:sz="0" w:space="0" w:color="auto"/>
            <w:right w:val="none" w:sz="0" w:space="0" w:color="auto"/>
          </w:divBdr>
        </w:div>
        <w:div w:id="1538277827">
          <w:marLeft w:val="0"/>
          <w:marRight w:val="0"/>
          <w:marTop w:val="0"/>
          <w:marBottom w:val="0"/>
          <w:divBdr>
            <w:top w:val="none" w:sz="0" w:space="0" w:color="auto"/>
            <w:left w:val="none" w:sz="0" w:space="0" w:color="auto"/>
            <w:bottom w:val="none" w:sz="0" w:space="0" w:color="auto"/>
            <w:right w:val="none" w:sz="0" w:space="0" w:color="auto"/>
          </w:divBdr>
        </w:div>
        <w:div w:id="2117483491">
          <w:marLeft w:val="0"/>
          <w:marRight w:val="0"/>
          <w:marTop w:val="0"/>
          <w:marBottom w:val="0"/>
          <w:divBdr>
            <w:top w:val="none" w:sz="0" w:space="0" w:color="auto"/>
            <w:left w:val="none" w:sz="0" w:space="0" w:color="auto"/>
            <w:bottom w:val="none" w:sz="0" w:space="0" w:color="auto"/>
            <w:right w:val="none" w:sz="0" w:space="0" w:color="auto"/>
          </w:divBdr>
        </w:div>
      </w:divsChild>
    </w:div>
    <w:div w:id="1809935821">
      <w:bodyDiv w:val="1"/>
      <w:marLeft w:val="0"/>
      <w:marRight w:val="0"/>
      <w:marTop w:val="0"/>
      <w:marBottom w:val="0"/>
      <w:divBdr>
        <w:top w:val="none" w:sz="0" w:space="0" w:color="auto"/>
        <w:left w:val="none" w:sz="0" w:space="0" w:color="auto"/>
        <w:bottom w:val="none" w:sz="0" w:space="0" w:color="auto"/>
        <w:right w:val="none" w:sz="0" w:space="0" w:color="auto"/>
      </w:divBdr>
    </w:div>
    <w:div w:id="1828473361">
      <w:bodyDiv w:val="1"/>
      <w:marLeft w:val="0"/>
      <w:marRight w:val="0"/>
      <w:marTop w:val="0"/>
      <w:marBottom w:val="0"/>
      <w:divBdr>
        <w:top w:val="none" w:sz="0" w:space="0" w:color="auto"/>
        <w:left w:val="none" w:sz="0" w:space="0" w:color="auto"/>
        <w:bottom w:val="none" w:sz="0" w:space="0" w:color="auto"/>
        <w:right w:val="none" w:sz="0" w:space="0" w:color="auto"/>
      </w:divBdr>
    </w:div>
    <w:div w:id="1831024349">
      <w:bodyDiv w:val="1"/>
      <w:marLeft w:val="0"/>
      <w:marRight w:val="0"/>
      <w:marTop w:val="0"/>
      <w:marBottom w:val="0"/>
      <w:divBdr>
        <w:top w:val="none" w:sz="0" w:space="0" w:color="auto"/>
        <w:left w:val="none" w:sz="0" w:space="0" w:color="auto"/>
        <w:bottom w:val="none" w:sz="0" w:space="0" w:color="auto"/>
        <w:right w:val="none" w:sz="0" w:space="0" w:color="auto"/>
      </w:divBdr>
      <w:divsChild>
        <w:div w:id="125586107">
          <w:marLeft w:val="0"/>
          <w:marRight w:val="0"/>
          <w:marTop w:val="0"/>
          <w:marBottom w:val="0"/>
          <w:divBdr>
            <w:top w:val="none" w:sz="0" w:space="0" w:color="auto"/>
            <w:left w:val="none" w:sz="0" w:space="0" w:color="auto"/>
            <w:bottom w:val="none" w:sz="0" w:space="0" w:color="auto"/>
            <w:right w:val="none" w:sz="0" w:space="0" w:color="auto"/>
          </w:divBdr>
        </w:div>
        <w:div w:id="133762261">
          <w:marLeft w:val="0"/>
          <w:marRight w:val="0"/>
          <w:marTop w:val="0"/>
          <w:marBottom w:val="0"/>
          <w:divBdr>
            <w:top w:val="none" w:sz="0" w:space="0" w:color="auto"/>
            <w:left w:val="none" w:sz="0" w:space="0" w:color="auto"/>
            <w:bottom w:val="none" w:sz="0" w:space="0" w:color="auto"/>
            <w:right w:val="none" w:sz="0" w:space="0" w:color="auto"/>
          </w:divBdr>
        </w:div>
        <w:div w:id="159585747">
          <w:marLeft w:val="0"/>
          <w:marRight w:val="0"/>
          <w:marTop w:val="0"/>
          <w:marBottom w:val="0"/>
          <w:divBdr>
            <w:top w:val="none" w:sz="0" w:space="0" w:color="auto"/>
            <w:left w:val="none" w:sz="0" w:space="0" w:color="auto"/>
            <w:bottom w:val="none" w:sz="0" w:space="0" w:color="auto"/>
            <w:right w:val="none" w:sz="0" w:space="0" w:color="auto"/>
          </w:divBdr>
        </w:div>
        <w:div w:id="160658801">
          <w:marLeft w:val="0"/>
          <w:marRight w:val="0"/>
          <w:marTop w:val="0"/>
          <w:marBottom w:val="0"/>
          <w:divBdr>
            <w:top w:val="none" w:sz="0" w:space="0" w:color="auto"/>
            <w:left w:val="none" w:sz="0" w:space="0" w:color="auto"/>
            <w:bottom w:val="none" w:sz="0" w:space="0" w:color="auto"/>
            <w:right w:val="none" w:sz="0" w:space="0" w:color="auto"/>
          </w:divBdr>
        </w:div>
        <w:div w:id="253824792">
          <w:marLeft w:val="0"/>
          <w:marRight w:val="0"/>
          <w:marTop w:val="0"/>
          <w:marBottom w:val="0"/>
          <w:divBdr>
            <w:top w:val="none" w:sz="0" w:space="0" w:color="auto"/>
            <w:left w:val="none" w:sz="0" w:space="0" w:color="auto"/>
            <w:bottom w:val="none" w:sz="0" w:space="0" w:color="auto"/>
            <w:right w:val="none" w:sz="0" w:space="0" w:color="auto"/>
          </w:divBdr>
        </w:div>
        <w:div w:id="421684217">
          <w:marLeft w:val="0"/>
          <w:marRight w:val="0"/>
          <w:marTop w:val="0"/>
          <w:marBottom w:val="0"/>
          <w:divBdr>
            <w:top w:val="none" w:sz="0" w:space="0" w:color="auto"/>
            <w:left w:val="none" w:sz="0" w:space="0" w:color="auto"/>
            <w:bottom w:val="none" w:sz="0" w:space="0" w:color="auto"/>
            <w:right w:val="none" w:sz="0" w:space="0" w:color="auto"/>
          </w:divBdr>
        </w:div>
        <w:div w:id="471337710">
          <w:marLeft w:val="0"/>
          <w:marRight w:val="0"/>
          <w:marTop w:val="0"/>
          <w:marBottom w:val="0"/>
          <w:divBdr>
            <w:top w:val="none" w:sz="0" w:space="0" w:color="auto"/>
            <w:left w:val="none" w:sz="0" w:space="0" w:color="auto"/>
            <w:bottom w:val="none" w:sz="0" w:space="0" w:color="auto"/>
            <w:right w:val="none" w:sz="0" w:space="0" w:color="auto"/>
          </w:divBdr>
        </w:div>
        <w:div w:id="482161444">
          <w:marLeft w:val="0"/>
          <w:marRight w:val="0"/>
          <w:marTop w:val="0"/>
          <w:marBottom w:val="0"/>
          <w:divBdr>
            <w:top w:val="none" w:sz="0" w:space="0" w:color="auto"/>
            <w:left w:val="none" w:sz="0" w:space="0" w:color="auto"/>
            <w:bottom w:val="none" w:sz="0" w:space="0" w:color="auto"/>
            <w:right w:val="none" w:sz="0" w:space="0" w:color="auto"/>
          </w:divBdr>
          <w:divsChild>
            <w:div w:id="660155549">
              <w:marLeft w:val="0"/>
              <w:marRight w:val="0"/>
              <w:marTop w:val="30"/>
              <w:marBottom w:val="30"/>
              <w:divBdr>
                <w:top w:val="none" w:sz="0" w:space="0" w:color="auto"/>
                <w:left w:val="none" w:sz="0" w:space="0" w:color="auto"/>
                <w:bottom w:val="none" w:sz="0" w:space="0" w:color="auto"/>
                <w:right w:val="none" w:sz="0" w:space="0" w:color="auto"/>
              </w:divBdr>
              <w:divsChild>
                <w:div w:id="158078479">
                  <w:marLeft w:val="0"/>
                  <w:marRight w:val="0"/>
                  <w:marTop w:val="0"/>
                  <w:marBottom w:val="0"/>
                  <w:divBdr>
                    <w:top w:val="none" w:sz="0" w:space="0" w:color="auto"/>
                    <w:left w:val="none" w:sz="0" w:space="0" w:color="auto"/>
                    <w:bottom w:val="none" w:sz="0" w:space="0" w:color="auto"/>
                    <w:right w:val="none" w:sz="0" w:space="0" w:color="auto"/>
                  </w:divBdr>
                  <w:divsChild>
                    <w:div w:id="1918396840">
                      <w:marLeft w:val="0"/>
                      <w:marRight w:val="0"/>
                      <w:marTop w:val="0"/>
                      <w:marBottom w:val="0"/>
                      <w:divBdr>
                        <w:top w:val="none" w:sz="0" w:space="0" w:color="auto"/>
                        <w:left w:val="none" w:sz="0" w:space="0" w:color="auto"/>
                        <w:bottom w:val="none" w:sz="0" w:space="0" w:color="auto"/>
                        <w:right w:val="none" w:sz="0" w:space="0" w:color="auto"/>
                      </w:divBdr>
                    </w:div>
                  </w:divsChild>
                </w:div>
                <w:div w:id="414980806">
                  <w:marLeft w:val="0"/>
                  <w:marRight w:val="0"/>
                  <w:marTop w:val="0"/>
                  <w:marBottom w:val="0"/>
                  <w:divBdr>
                    <w:top w:val="none" w:sz="0" w:space="0" w:color="auto"/>
                    <w:left w:val="none" w:sz="0" w:space="0" w:color="auto"/>
                    <w:bottom w:val="none" w:sz="0" w:space="0" w:color="auto"/>
                    <w:right w:val="none" w:sz="0" w:space="0" w:color="auto"/>
                  </w:divBdr>
                  <w:divsChild>
                    <w:div w:id="129945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557092">
          <w:marLeft w:val="0"/>
          <w:marRight w:val="0"/>
          <w:marTop w:val="0"/>
          <w:marBottom w:val="0"/>
          <w:divBdr>
            <w:top w:val="none" w:sz="0" w:space="0" w:color="auto"/>
            <w:left w:val="none" w:sz="0" w:space="0" w:color="auto"/>
            <w:bottom w:val="none" w:sz="0" w:space="0" w:color="auto"/>
            <w:right w:val="none" w:sz="0" w:space="0" w:color="auto"/>
          </w:divBdr>
        </w:div>
        <w:div w:id="678044840">
          <w:marLeft w:val="0"/>
          <w:marRight w:val="0"/>
          <w:marTop w:val="0"/>
          <w:marBottom w:val="0"/>
          <w:divBdr>
            <w:top w:val="none" w:sz="0" w:space="0" w:color="auto"/>
            <w:left w:val="none" w:sz="0" w:space="0" w:color="auto"/>
            <w:bottom w:val="none" w:sz="0" w:space="0" w:color="auto"/>
            <w:right w:val="none" w:sz="0" w:space="0" w:color="auto"/>
          </w:divBdr>
          <w:divsChild>
            <w:div w:id="1949847422">
              <w:marLeft w:val="0"/>
              <w:marRight w:val="0"/>
              <w:marTop w:val="30"/>
              <w:marBottom w:val="30"/>
              <w:divBdr>
                <w:top w:val="none" w:sz="0" w:space="0" w:color="auto"/>
                <w:left w:val="none" w:sz="0" w:space="0" w:color="auto"/>
                <w:bottom w:val="none" w:sz="0" w:space="0" w:color="auto"/>
                <w:right w:val="none" w:sz="0" w:space="0" w:color="auto"/>
              </w:divBdr>
              <w:divsChild>
                <w:div w:id="808744357">
                  <w:marLeft w:val="0"/>
                  <w:marRight w:val="0"/>
                  <w:marTop w:val="0"/>
                  <w:marBottom w:val="0"/>
                  <w:divBdr>
                    <w:top w:val="none" w:sz="0" w:space="0" w:color="auto"/>
                    <w:left w:val="none" w:sz="0" w:space="0" w:color="auto"/>
                    <w:bottom w:val="none" w:sz="0" w:space="0" w:color="auto"/>
                    <w:right w:val="none" w:sz="0" w:space="0" w:color="auto"/>
                  </w:divBdr>
                  <w:divsChild>
                    <w:div w:id="476655550">
                      <w:marLeft w:val="0"/>
                      <w:marRight w:val="0"/>
                      <w:marTop w:val="0"/>
                      <w:marBottom w:val="0"/>
                      <w:divBdr>
                        <w:top w:val="none" w:sz="0" w:space="0" w:color="auto"/>
                        <w:left w:val="none" w:sz="0" w:space="0" w:color="auto"/>
                        <w:bottom w:val="none" w:sz="0" w:space="0" w:color="auto"/>
                        <w:right w:val="none" w:sz="0" w:space="0" w:color="auto"/>
                      </w:divBdr>
                    </w:div>
                  </w:divsChild>
                </w:div>
                <w:div w:id="811406397">
                  <w:marLeft w:val="0"/>
                  <w:marRight w:val="0"/>
                  <w:marTop w:val="0"/>
                  <w:marBottom w:val="0"/>
                  <w:divBdr>
                    <w:top w:val="none" w:sz="0" w:space="0" w:color="auto"/>
                    <w:left w:val="none" w:sz="0" w:space="0" w:color="auto"/>
                    <w:bottom w:val="none" w:sz="0" w:space="0" w:color="auto"/>
                    <w:right w:val="none" w:sz="0" w:space="0" w:color="auto"/>
                  </w:divBdr>
                  <w:divsChild>
                    <w:div w:id="1051736349">
                      <w:marLeft w:val="0"/>
                      <w:marRight w:val="0"/>
                      <w:marTop w:val="0"/>
                      <w:marBottom w:val="0"/>
                      <w:divBdr>
                        <w:top w:val="none" w:sz="0" w:space="0" w:color="auto"/>
                        <w:left w:val="none" w:sz="0" w:space="0" w:color="auto"/>
                        <w:bottom w:val="none" w:sz="0" w:space="0" w:color="auto"/>
                        <w:right w:val="none" w:sz="0" w:space="0" w:color="auto"/>
                      </w:divBdr>
                    </w:div>
                  </w:divsChild>
                </w:div>
                <w:div w:id="966275471">
                  <w:marLeft w:val="0"/>
                  <w:marRight w:val="0"/>
                  <w:marTop w:val="0"/>
                  <w:marBottom w:val="0"/>
                  <w:divBdr>
                    <w:top w:val="none" w:sz="0" w:space="0" w:color="auto"/>
                    <w:left w:val="none" w:sz="0" w:space="0" w:color="auto"/>
                    <w:bottom w:val="none" w:sz="0" w:space="0" w:color="auto"/>
                    <w:right w:val="none" w:sz="0" w:space="0" w:color="auto"/>
                  </w:divBdr>
                  <w:divsChild>
                    <w:div w:id="1635714934">
                      <w:marLeft w:val="0"/>
                      <w:marRight w:val="0"/>
                      <w:marTop w:val="0"/>
                      <w:marBottom w:val="0"/>
                      <w:divBdr>
                        <w:top w:val="none" w:sz="0" w:space="0" w:color="auto"/>
                        <w:left w:val="none" w:sz="0" w:space="0" w:color="auto"/>
                        <w:bottom w:val="none" w:sz="0" w:space="0" w:color="auto"/>
                        <w:right w:val="none" w:sz="0" w:space="0" w:color="auto"/>
                      </w:divBdr>
                    </w:div>
                  </w:divsChild>
                </w:div>
                <w:div w:id="1077019763">
                  <w:marLeft w:val="0"/>
                  <w:marRight w:val="0"/>
                  <w:marTop w:val="0"/>
                  <w:marBottom w:val="0"/>
                  <w:divBdr>
                    <w:top w:val="none" w:sz="0" w:space="0" w:color="auto"/>
                    <w:left w:val="none" w:sz="0" w:space="0" w:color="auto"/>
                    <w:bottom w:val="none" w:sz="0" w:space="0" w:color="auto"/>
                    <w:right w:val="none" w:sz="0" w:space="0" w:color="auto"/>
                  </w:divBdr>
                  <w:divsChild>
                    <w:div w:id="1176728722">
                      <w:marLeft w:val="0"/>
                      <w:marRight w:val="0"/>
                      <w:marTop w:val="0"/>
                      <w:marBottom w:val="0"/>
                      <w:divBdr>
                        <w:top w:val="none" w:sz="0" w:space="0" w:color="auto"/>
                        <w:left w:val="none" w:sz="0" w:space="0" w:color="auto"/>
                        <w:bottom w:val="none" w:sz="0" w:space="0" w:color="auto"/>
                        <w:right w:val="none" w:sz="0" w:space="0" w:color="auto"/>
                      </w:divBdr>
                    </w:div>
                  </w:divsChild>
                </w:div>
                <w:div w:id="1078017207">
                  <w:marLeft w:val="0"/>
                  <w:marRight w:val="0"/>
                  <w:marTop w:val="0"/>
                  <w:marBottom w:val="0"/>
                  <w:divBdr>
                    <w:top w:val="none" w:sz="0" w:space="0" w:color="auto"/>
                    <w:left w:val="none" w:sz="0" w:space="0" w:color="auto"/>
                    <w:bottom w:val="none" w:sz="0" w:space="0" w:color="auto"/>
                    <w:right w:val="none" w:sz="0" w:space="0" w:color="auto"/>
                  </w:divBdr>
                  <w:divsChild>
                    <w:div w:id="1231233191">
                      <w:marLeft w:val="0"/>
                      <w:marRight w:val="0"/>
                      <w:marTop w:val="0"/>
                      <w:marBottom w:val="0"/>
                      <w:divBdr>
                        <w:top w:val="none" w:sz="0" w:space="0" w:color="auto"/>
                        <w:left w:val="none" w:sz="0" w:space="0" w:color="auto"/>
                        <w:bottom w:val="none" w:sz="0" w:space="0" w:color="auto"/>
                        <w:right w:val="none" w:sz="0" w:space="0" w:color="auto"/>
                      </w:divBdr>
                    </w:div>
                  </w:divsChild>
                </w:div>
                <w:div w:id="1910267588">
                  <w:marLeft w:val="0"/>
                  <w:marRight w:val="0"/>
                  <w:marTop w:val="0"/>
                  <w:marBottom w:val="0"/>
                  <w:divBdr>
                    <w:top w:val="none" w:sz="0" w:space="0" w:color="auto"/>
                    <w:left w:val="none" w:sz="0" w:space="0" w:color="auto"/>
                    <w:bottom w:val="none" w:sz="0" w:space="0" w:color="auto"/>
                    <w:right w:val="none" w:sz="0" w:space="0" w:color="auto"/>
                  </w:divBdr>
                  <w:divsChild>
                    <w:div w:id="14289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905078">
          <w:marLeft w:val="0"/>
          <w:marRight w:val="0"/>
          <w:marTop w:val="0"/>
          <w:marBottom w:val="0"/>
          <w:divBdr>
            <w:top w:val="none" w:sz="0" w:space="0" w:color="auto"/>
            <w:left w:val="none" w:sz="0" w:space="0" w:color="auto"/>
            <w:bottom w:val="none" w:sz="0" w:space="0" w:color="auto"/>
            <w:right w:val="none" w:sz="0" w:space="0" w:color="auto"/>
          </w:divBdr>
          <w:divsChild>
            <w:div w:id="1128745870">
              <w:marLeft w:val="0"/>
              <w:marRight w:val="0"/>
              <w:marTop w:val="30"/>
              <w:marBottom w:val="30"/>
              <w:divBdr>
                <w:top w:val="none" w:sz="0" w:space="0" w:color="auto"/>
                <w:left w:val="none" w:sz="0" w:space="0" w:color="auto"/>
                <w:bottom w:val="none" w:sz="0" w:space="0" w:color="auto"/>
                <w:right w:val="none" w:sz="0" w:space="0" w:color="auto"/>
              </w:divBdr>
              <w:divsChild>
                <w:div w:id="548566531">
                  <w:marLeft w:val="0"/>
                  <w:marRight w:val="0"/>
                  <w:marTop w:val="0"/>
                  <w:marBottom w:val="0"/>
                  <w:divBdr>
                    <w:top w:val="none" w:sz="0" w:space="0" w:color="auto"/>
                    <w:left w:val="none" w:sz="0" w:space="0" w:color="auto"/>
                    <w:bottom w:val="none" w:sz="0" w:space="0" w:color="auto"/>
                    <w:right w:val="none" w:sz="0" w:space="0" w:color="auto"/>
                  </w:divBdr>
                  <w:divsChild>
                    <w:div w:id="451092266">
                      <w:marLeft w:val="0"/>
                      <w:marRight w:val="0"/>
                      <w:marTop w:val="0"/>
                      <w:marBottom w:val="0"/>
                      <w:divBdr>
                        <w:top w:val="none" w:sz="0" w:space="0" w:color="auto"/>
                        <w:left w:val="none" w:sz="0" w:space="0" w:color="auto"/>
                        <w:bottom w:val="none" w:sz="0" w:space="0" w:color="auto"/>
                        <w:right w:val="none" w:sz="0" w:space="0" w:color="auto"/>
                      </w:divBdr>
                    </w:div>
                  </w:divsChild>
                </w:div>
                <w:div w:id="555358950">
                  <w:marLeft w:val="0"/>
                  <w:marRight w:val="0"/>
                  <w:marTop w:val="0"/>
                  <w:marBottom w:val="0"/>
                  <w:divBdr>
                    <w:top w:val="none" w:sz="0" w:space="0" w:color="auto"/>
                    <w:left w:val="none" w:sz="0" w:space="0" w:color="auto"/>
                    <w:bottom w:val="none" w:sz="0" w:space="0" w:color="auto"/>
                    <w:right w:val="none" w:sz="0" w:space="0" w:color="auto"/>
                  </w:divBdr>
                  <w:divsChild>
                    <w:div w:id="1247422624">
                      <w:marLeft w:val="0"/>
                      <w:marRight w:val="0"/>
                      <w:marTop w:val="0"/>
                      <w:marBottom w:val="0"/>
                      <w:divBdr>
                        <w:top w:val="none" w:sz="0" w:space="0" w:color="auto"/>
                        <w:left w:val="none" w:sz="0" w:space="0" w:color="auto"/>
                        <w:bottom w:val="none" w:sz="0" w:space="0" w:color="auto"/>
                        <w:right w:val="none" w:sz="0" w:space="0" w:color="auto"/>
                      </w:divBdr>
                    </w:div>
                  </w:divsChild>
                </w:div>
                <w:div w:id="857699815">
                  <w:marLeft w:val="0"/>
                  <w:marRight w:val="0"/>
                  <w:marTop w:val="0"/>
                  <w:marBottom w:val="0"/>
                  <w:divBdr>
                    <w:top w:val="none" w:sz="0" w:space="0" w:color="auto"/>
                    <w:left w:val="none" w:sz="0" w:space="0" w:color="auto"/>
                    <w:bottom w:val="none" w:sz="0" w:space="0" w:color="auto"/>
                    <w:right w:val="none" w:sz="0" w:space="0" w:color="auto"/>
                  </w:divBdr>
                  <w:divsChild>
                    <w:div w:id="37054082">
                      <w:marLeft w:val="0"/>
                      <w:marRight w:val="0"/>
                      <w:marTop w:val="0"/>
                      <w:marBottom w:val="0"/>
                      <w:divBdr>
                        <w:top w:val="none" w:sz="0" w:space="0" w:color="auto"/>
                        <w:left w:val="none" w:sz="0" w:space="0" w:color="auto"/>
                        <w:bottom w:val="none" w:sz="0" w:space="0" w:color="auto"/>
                        <w:right w:val="none" w:sz="0" w:space="0" w:color="auto"/>
                      </w:divBdr>
                    </w:div>
                  </w:divsChild>
                </w:div>
                <w:div w:id="1030640366">
                  <w:marLeft w:val="0"/>
                  <w:marRight w:val="0"/>
                  <w:marTop w:val="0"/>
                  <w:marBottom w:val="0"/>
                  <w:divBdr>
                    <w:top w:val="none" w:sz="0" w:space="0" w:color="auto"/>
                    <w:left w:val="none" w:sz="0" w:space="0" w:color="auto"/>
                    <w:bottom w:val="none" w:sz="0" w:space="0" w:color="auto"/>
                    <w:right w:val="none" w:sz="0" w:space="0" w:color="auto"/>
                  </w:divBdr>
                  <w:divsChild>
                    <w:div w:id="1181312529">
                      <w:marLeft w:val="0"/>
                      <w:marRight w:val="0"/>
                      <w:marTop w:val="0"/>
                      <w:marBottom w:val="0"/>
                      <w:divBdr>
                        <w:top w:val="none" w:sz="0" w:space="0" w:color="auto"/>
                        <w:left w:val="none" w:sz="0" w:space="0" w:color="auto"/>
                        <w:bottom w:val="none" w:sz="0" w:space="0" w:color="auto"/>
                        <w:right w:val="none" w:sz="0" w:space="0" w:color="auto"/>
                      </w:divBdr>
                    </w:div>
                  </w:divsChild>
                </w:div>
                <w:div w:id="1394691597">
                  <w:marLeft w:val="0"/>
                  <w:marRight w:val="0"/>
                  <w:marTop w:val="0"/>
                  <w:marBottom w:val="0"/>
                  <w:divBdr>
                    <w:top w:val="none" w:sz="0" w:space="0" w:color="auto"/>
                    <w:left w:val="none" w:sz="0" w:space="0" w:color="auto"/>
                    <w:bottom w:val="none" w:sz="0" w:space="0" w:color="auto"/>
                    <w:right w:val="none" w:sz="0" w:space="0" w:color="auto"/>
                  </w:divBdr>
                  <w:divsChild>
                    <w:div w:id="1767649452">
                      <w:marLeft w:val="0"/>
                      <w:marRight w:val="0"/>
                      <w:marTop w:val="0"/>
                      <w:marBottom w:val="0"/>
                      <w:divBdr>
                        <w:top w:val="none" w:sz="0" w:space="0" w:color="auto"/>
                        <w:left w:val="none" w:sz="0" w:space="0" w:color="auto"/>
                        <w:bottom w:val="none" w:sz="0" w:space="0" w:color="auto"/>
                        <w:right w:val="none" w:sz="0" w:space="0" w:color="auto"/>
                      </w:divBdr>
                    </w:div>
                  </w:divsChild>
                </w:div>
                <w:div w:id="1744795962">
                  <w:marLeft w:val="0"/>
                  <w:marRight w:val="0"/>
                  <w:marTop w:val="0"/>
                  <w:marBottom w:val="0"/>
                  <w:divBdr>
                    <w:top w:val="none" w:sz="0" w:space="0" w:color="auto"/>
                    <w:left w:val="none" w:sz="0" w:space="0" w:color="auto"/>
                    <w:bottom w:val="none" w:sz="0" w:space="0" w:color="auto"/>
                    <w:right w:val="none" w:sz="0" w:space="0" w:color="auto"/>
                  </w:divBdr>
                  <w:divsChild>
                    <w:div w:id="208086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450619">
          <w:marLeft w:val="0"/>
          <w:marRight w:val="0"/>
          <w:marTop w:val="0"/>
          <w:marBottom w:val="0"/>
          <w:divBdr>
            <w:top w:val="none" w:sz="0" w:space="0" w:color="auto"/>
            <w:left w:val="none" w:sz="0" w:space="0" w:color="auto"/>
            <w:bottom w:val="none" w:sz="0" w:space="0" w:color="auto"/>
            <w:right w:val="none" w:sz="0" w:space="0" w:color="auto"/>
          </w:divBdr>
          <w:divsChild>
            <w:div w:id="2016179160">
              <w:marLeft w:val="0"/>
              <w:marRight w:val="0"/>
              <w:marTop w:val="30"/>
              <w:marBottom w:val="30"/>
              <w:divBdr>
                <w:top w:val="none" w:sz="0" w:space="0" w:color="auto"/>
                <w:left w:val="none" w:sz="0" w:space="0" w:color="auto"/>
                <w:bottom w:val="none" w:sz="0" w:space="0" w:color="auto"/>
                <w:right w:val="none" w:sz="0" w:space="0" w:color="auto"/>
              </w:divBdr>
              <w:divsChild>
                <w:div w:id="138421868">
                  <w:marLeft w:val="0"/>
                  <w:marRight w:val="0"/>
                  <w:marTop w:val="0"/>
                  <w:marBottom w:val="0"/>
                  <w:divBdr>
                    <w:top w:val="none" w:sz="0" w:space="0" w:color="auto"/>
                    <w:left w:val="none" w:sz="0" w:space="0" w:color="auto"/>
                    <w:bottom w:val="none" w:sz="0" w:space="0" w:color="auto"/>
                    <w:right w:val="none" w:sz="0" w:space="0" w:color="auto"/>
                  </w:divBdr>
                  <w:divsChild>
                    <w:div w:id="31542905">
                      <w:marLeft w:val="0"/>
                      <w:marRight w:val="0"/>
                      <w:marTop w:val="0"/>
                      <w:marBottom w:val="0"/>
                      <w:divBdr>
                        <w:top w:val="none" w:sz="0" w:space="0" w:color="auto"/>
                        <w:left w:val="none" w:sz="0" w:space="0" w:color="auto"/>
                        <w:bottom w:val="none" w:sz="0" w:space="0" w:color="auto"/>
                        <w:right w:val="none" w:sz="0" w:space="0" w:color="auto"/>
                      </w:divBdr>
                    </w:div>
                    <w:div w:id="342241538">
                      <w:marLeft w:val="0"/>
                      <w:marRight w:val="0"/>
                      <w:marTop w:val="0"/>
                      <w:marBottom w:val="0"/>
                      <w:divBdr>
                        <w:top w:val="none" w:sz="0" w:space="0" w:color="auto"/>
                        <w:left w:val="none" w:sz="0" w:space="0" w:color="auto"/>
                        <w:bottom w:val="none" w:sz="0" w:space="0" w:color="auto"/>
                        <w:right w:val="none" w:sz="0" w:space="0" w:color="auto"/>
                      </w:divBdr>
                    </w:div>
                    <w:div w:id="1061633388">
                      <w:marLeft w:val="0"/>
                      <w:marRight w:val="0"/>
                      <w:marTop w:val="0"/>
                      <w:marBottom w:val="0"/>
                      <w:divBdr>
                        <w:top w:val="none" w:sz="0" w:space="0" w:color="auto"/>
                        <w:left w:val="none" w:sz="0" w:space="0" w:color="auto"/>
                        <w:bottom w:val="none" w:sz="0" w:space="0" w:color="auto"/>
                        <w:right w:val="none" w:sz="0" w:space="0" w:color="auto"/>
                      </w:divBdr>
                    </w:div>
                    <w:div w:id="1109279417">
                      <w:marLeft w:val="0"/>
                      <w:marRight w:val="0"/>
                      <w:marTop w:val="0"/>
                      <w:marBottom w:val="0"/>
                      <w:divBdr>
                        <w:top w:val="none" w:sz="0" w:space="0" w:color="auto"/>
                        <w:left w:val="none" w:sz="0" w:space="0" w:color="auto"/>
                        <w:bottom w:val="none" w:sz="0" w:space="0" w:color="auto"/>
                        <w:right w:val="none" w:sz="0" w:space="0" w:color="auto"/>
                      </w:divBdr>
                    </w:div>
                    <w:div w:id="1398242119">
                      <w:marLeft w:val="0"/>
                      <w:marRight w:val="0"/>
                      <w:marTop w:val="0"/>
                      <w:marBottom w:val="0"/>
                      <w:divBdr>
                        <w:top w:val="none" w:sz="0" w:space="0" w:color="auto"/>
                        <w:left w:val="none" w:sz="0" w:space="0" w:color="auto"/>
                        <w:bottom w:val="none" w:sz="0" w:space="0" w:color="auto"/>
                        <w:right w:val="none" w:sz="0" w:space="0" w:color="auto"/>
                      </w:divBdr>
                    </w:div>
                    <w:div w:id="1734111472">
                      <w:marLeft w:val="0"/>
                      <w:marRight w:val="0"/>
                      <w:marTop w:val="0"/>
                      <w:marBottom w:val="0"/>
                      <w:divBdr>
                        <w:top w:val="none" w:sz="0" w:space="0" w:color="auto"/>
                        <w:left w:val="none" w:sz="0" w:space="0" w:color="auto"/>
                        <w:bottom w:val="none" w:sz="0" w:space="0" w:color="auto"/>
                        <w:right w:val="none" w:sz="0" w:space="0" w:color="auto"/>
                      </w:divBdr>
                    </w:div>
                  </w:divsChild>
                </w:div>
                <w:div w:id="896480009">
                  <w:marLeft w:val="0"/>
                  <w:marRight w:val="0"/>
                  <w:marTop w:val="0"/>
                  <w:marBottom w:val="0"/>
                  <w:divBdr>
                    <w:top w:val="none" w:sz="0" w:space="0" w:color="auto"/>
                    <w:left w:val="none" w:sz="0" w:space="0" w:color="auto"/>
                    <w:bottom w:val="none" w:sz="0" w:space="0" w:color="auto"/>
                    <w:right w:val="none" w:sz="0" w:space="0" w:color="auto"/>
                  </w:divBdr>
                  <w:divsChild>
                    <w:div w:id="1703434714">
                      <w:marLeft w:val="0"/>
                      <w:marRight w:val="0"/>
                      <w:marTop w:val="0"/>
                      <w:marBottom w:val="0"/>
                      <w:divBdr>
                        <w:top w:val="none" w:sz="0" w:space="0" w:color="auto"/>
                        <w:left w:val="none" w:sz="0" w:space="0" w:color="auto"/>
                        <w:bottom w:val="none" w:sz="0" w:space="0" w:color="auto"/>
                        <w:right w:val="none" w:sz="0" w:space="0" w:color="auto"/>
                      </w:divBdr>
                    </w:div>
                  </w:divsChild>
                </w:div>
                <w:div w:id="1321697174">
                  <w:marLeft w:val="0"/>
                  <w:marRight w:val="0"/>
                  <w:marTop w:val="0"/>
                  <w:marBottom w:val="0"/>
                  <w:divBdr>
                    <w:top w:val="none" w:sz="0" w:space="0" w:color="auto"/>
                    <w:left w:val="none" w:sz="0" w:space="0" w:color="auto"/>
                    <w:bottom w:val="none" w:sz="0" w:space="0" w:color="auto"/>
                    <w:right w:val="none" w:sz="0" w:space="0" w:color="auto"/>
                  </w:divBdr>
                  <w:divsChild>
                    <w:div w:id="1387028078">
                      <w:marLeft w:val="0"/>
                      <w:marRight w:val="0"/>
                      <w:marTop w:val="0"/>
                      <w:marBottom w:val="0"/>
                      <w:divBdr>
                        <w:top w:val="none" w:sz="0" w:space="0" w:color="auto"/>
                        <w:left w:val="none" w:sz="0" w:space="0" w:color="auto"/>
                        <w:bottom w:val="none" w:sz="0" w:space="0" w:color="auto"/>
                        <w:right w:val="none" w:sz="0" w:space="0" w:color="auto"/>
                      </w:divBdr>
                    </w:div>
                  </w:divsChild>
                </w:div>
                <w:div w:id="2071731992">
                  <w:marLeft w:val="0"/>
                  <w:marRight w:val="0"/>
                  <w:marTop w:val="0"/>
                  <w:marBottom w:val="0"/>
                  <w:divBdr>
                    <w:top w:val="none" w:sz="0" w:space="0" w:color="auto"/>
                    <w:left w:val="none" w:sz="0" w:space="0" w:color="auto"/>
                    <w:bottom w:val="none" w:sz="0" w:space="0" w:color="auto"/>
                    <w:right w:val="none" w:sz="0" w:space="0" w:color="auto"/>
                  </w:divBdr>
                  <w:divsChild>
                    <w:div w:id="123870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282">
          <w:marLeft w:val="0"/>
          <w:marRight w:val="0"/>
          <w:marTop w:val="0"/>
          <w:marBottom w:val="0"/>
          <w:divBdr>
            <w:top w:val="none" w:sz="0" w:space="0" w:color="auto"/>
            <w:left w:val="none" w:sz="0" w:space="0" w:color="auto"/>
            <w:bottom w:val="none" w:sz="0" w:space="0" w:color="auto"/>
            <w:right w:val="none" w:sz="0" w:space="0" w:color="auto"/>
          </w:divBdr>
          <w:divsChild>
            <w:div w:id="1411659258">
              <w:marLeft w:val="0"/>
              <w:marRight w:val="0"/>
              <w:marTop w:val="30"/>
              <w:marBottom w:val="30"/>
              <w:divBdr>
                <w:top w:val="none" w:sz="0" w:space="0" w:color="auto"/>
                <w:left w:val="none" w:sz="0" w:space="0" w:color="auto"/>
                <w:bottom w:val="none" w:sz="0" w:space="0" w:color="auto"/>
                <w:right w:val="none" w:sz="0" w:space="0" w:color="auto"/>
              </w:divBdr>
              <w:divsChild>
                <w:div w:id="101606909">
                  <w:marLeft w:val="0"/>
                  <w:marRight w:val="0"/>
                  <w:marTop w:val="0"/>
                  <w:marBottom w:val="0"/>
                  <w:divBdr>
                    <w:top w:val="none" w:sz="0" w:space="0" w:color="auto"/>
                    <w:left w:val="none" w:sz="0" w:space="0" w:color="auto"/>
                    <w:bottom w:val="none" w:sz="0" w:space="0" w:color="auto"/>
                    <w:right w:val="none" w:sz="0" w:space="0" w:color="auto"/>
                  </w:divBdr>
                  <w:divsChild>
                    <w:div w:id="181478796">
                      <w:marLeft w:val="0"/>
                      <w:marRight w:val="0"/>
                      <w:marTop w:val="0"/>
                      <w:marBottom w:val="0"/>
                      <w:divBdr>
                        <w:top w:val="none" w:sz="0" w:space="0" w:color="auto"/>
                        <w:left w:val="none" w:sz="0" w:space="0" w:color="auto"/>
                        <w:bottom w:val="none" w:sz="0" w:space="0" w:color="auto"/>
                        <w:right w:val="none" w:sz="0" w:space="0" w:color="auto"/>
                      </w:divBdr>
                    </w:div>
                  </w:divsChild>
                </w:div>
                <w:div w:id="1533028632">
                  <w:marLeft w:val="0"/>
                  <w:marRight w:val="0"/>
                  <w:marTop w:val="0"/>
                  <w:marBottom w:val="0"/>
                  <w:divBdr>
                    <w:top w:val="none" w:sz="0" w:space="0" w:color="auto"/>
                    <w:left w:val="none" w:sz="0" w:space="0" w:color="auto"/>
                    <w:bottom w:val="none" w:sz="0" w:space="0" w:color="auto"/>
                    <w:right w:val="none" w:sz="0" w:space="0" w:color="auto"/>
                  </w:divBdr>
                  <w:divsChild>
                    <w:div w:id="134323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179292">
          <w:marLeft w:val="0"/>
          <w:marRight w:val="0"/>
          <w:marTop w:val="0"/>
          <w:marBottom w:val="0"/>
          <w:divBdr>
            <w:top w:val="none" w:sz="0" w:space="0" w:color="auto"/>
            <w:left w:val="none" w:sz="0" w:space="0" w:color="auto"/>
            <w:bottom w:val="none" w:sz="0" w:space="0" w:color="auto"/>
            <w:right w:val="none" w:sz="0" w:space="0" w:color="auto"/>
          </w:divBdr>
        </w:div>
        <w:div w:id="1280795811">
          <w:marLeft w:val="0"/>
          <w:marRight w:val="0"/>
          <w:marTop w:val="0"/>
          <w:marBottom w:val="0"/>
          <w:divBdr>
            <w:top w:val="none" w:sz="0" w:space="0" w:color="auto"/>
            <w:left w:val="none" w:sz="0" w:space="0" w:color="auto"/>
            <w:bottom w:val="none" w:sz="0" w:space="0" w:color="auto"/>
            <w:right w:val="none" w:sz="0" w:space="0" w:color="auto"/>
          </w:divBdr>
        </w:div>
        <w:div w:id="1368144713">
          <w:marLeft w:val="0"/>
          <w:marRight w:val="0"/>
          <w:marTop w:val="0"/>
          <w:marBottom w:val="0"/>
          <w:divBdr>
            <w:top w:val="none" w:sz="0" w:space="0" w:color="auto"/>
            <w:left w:val="none" w:sz="0" w:space="0" w:color="auto"/>
            <w:bottom w:val="none" w:sz="0" w:space="0" w:color="auto"/>
            <w:right w:val="none" w:sz="0" w:space="0" w:color="auto"/>
          </w:divBdr>
        </w:div>
        <w:div w:id="1379471041">
          <w:marLeft w:val="0"/>
          <w:marRight w:val="0"/>
          <w:marTop w:val="0"/>
          <w:marBottom w:val="0"/>
          <w:divBdr>
            <w:top w:val="none" w:sz="0" w:space="0" w:color="auto"/>
            <w:left w:val="none" w:sz="0" w:space="0" w:color="auto"/>
            <w:bottom w:val="none" w:sz="0" w:space="0" w:color="auto"/>
            <w:right w:val="none" w:sz="0" w:space="0" w:color="auto"/>
          </w:divBdr>
          <w:divsChild>
            <w:div w:id="544414477">
              <w:marLeft w:val="0"/>
              <w:marRight w:val="0"/>
              <w:marTop w:val="30"/>
              <w:marBottom w:val="30"/>
              <w:divBdr>
                <w:top w:val="none" w:sz="0" w:space="0" w:color="auto"/>
                <w:left w:val="none" w:sz="0" w:space="0" w:color="auto"/>
                <w:bottom w:val="none" w:sz="0" w:space="0" w:color="auto"/>
                <w:right w:val="none" w:sz="0" w:space="0" w:color="auto"/>
              </w:divBdr>
              <w:divsChild>
                <w:div w:id="75174628">
                  <w:marLeft w:val="0"/>
                  <w:marRight w:val="0"/>
                  <w:marTop w:val="0"/>
                  <w:marBottom w:val="0"/>
                  <w:divBdr>
                    <w:top w:val="none" w:sz="0" w:space="0" w:color="auto"/>
                    <w:left w:val="none" w:sz="0" w:space="0" w:color="auto"/>
                    <w:bottom w:val="none" w:sz="0" w:space="0" w:color="auto"/>
                    <w:right w:val="none" w:sz="0" w:space="0" w:color="auto"/>
                  </w:divBdr>
                  <w:divsChild>
                    <w:div w:id="1822843884">
                      <w:marLeft w:val="0"/>
                      <w:marRight w:val="0"/>
                      <w:marTop w:val="0"/>
                      <w:marBottom w:val="0"/>
                      <w:divBdr>
                        <w:top w:val="none" w:sz="0" w:space="0" w:color="auto"/>
                        <w:left w:val="none" w:sz="0" w:space="0" w:color="auto"/>
                        <w:bottom w:val="none" w:sz="0" w:space="0" w:color="auto"/>
                        <w:right w:val="none" w:sz="0" w:space="0" w:color="auto"/>
                      </w:divBdr>
                    </w:div>
                  </w:divsChild>
                </w:div>
                <w:div w:id="259342464">
                  <w:marLeft w:val="0"/>
                  <w:marRight w:val="0"/>
                  <w:marTop w:val="0"/>
                  <w:marBottom w:val="0"/>
                  <w:divBdr>
                    <w:top w:val="none" w:sz="0" w:space="0" w:color="auto"/>
                    <w:left w:val="none" w:sz="0" w:space="0" w:color="auto"/>
                    <w:bottom w:val="none" w:sz="0" w:space="0" w:color="auto"/>
                    <w:right w:val="none" w:sz="0" w:space="0" w:color="auto"/>
                  </w:divBdr>
                  <w:divsChild>
                    <w:div w:id="1675766694">
                      <w:marLeft w:val="0"/>
                      <w:marRight w:val="0"/>
                      <w:marTop w:val="0"/>
                      <w:marBottom w:val="0"/>
                      <w:divBdr>
                        <w:top w:val="none" w:sz="0" w:space="0" w:color="auto"/>
                        <w:left w:val="none" w:sz="0" w:space="0" w:color="auto"/>
                        <w:bottom w:val="none" w:sz="0" w:space="0" w:color="auto"/>
                        <w:right w:val="none" w:sz="0" w:space="0" w:color="auto"/>
                      </w:divBdr>
                    </w:div>
                  </w:divsChild>
                </w:div>
                <w:div w:id="310258915">
                  <w:marLeft w:val="0"/>
                  <w:marRight w:val="0"/>
                  <w:marTop w:val="0"/>
                  <w:marBottom w:val="0"/>
                  <w:divBdr>
                    <w:top w:val="none" w:sz="0" w:space="0" w:color="auto"/>
                    <w:left w:val="none" w:sz="0" w:space="0" w:color="auto"/>
                    <w:bottom w:val="none" w:sz="0" w:space="0" w:color="auto"/>
                    <w:right w:val="none" w:sz="0" w:space="0" w:color="auto"/>
                  </w:divBdr>
                  <w:divsChild>
                    <w:div w:id="1903176090">
                      <w:marLeft w:val="0"/>
                      <w:marRight w:val="0"/>
                      <w:marTop w:val="0"/>
                      <w:marBottom w:val="0"/>
                      <w:divBdr>
                        <w:top w:val="none" w:sz="0" w:space="0" w:color="auto"/>
                        <w:left w:val="none" w:sz="0" w:space="0" w:color="auto"/>
                        <w:bottom w:val="none" w:sz="0" w:space="0" w:color="auto"/>
                        <w:right w:val="none" w:sz="0" w:space="0" w:color="auto"/>
                      </w:divBdr>
                    </w:div>
                  </w:divsChild>
                </w:div>
                <w:div w:id="687177439">
                  <w:marLeft w:val="0"/>
                  <w:marRight w:val="0"/>
                  <w:marTop w:val="0"/>
                  <w:marBottom w:val="0"/>
                  <w:divBdr>
                    <w:top w:val="none" w:sz="0" w:space="0" w:color="auto"/>
                    <w:left w:val="none" w:sz="0" w:space="0" w:color="auto"/>
                    <w:bottom w:val="none" w:sz="0" w:space="0" w:color="auto"/>
                    <w:right w:val="none" w:sz="0" w:space="0" w:color="auto"/>
                  </w:divBdr>
                  <w:divsChild>
                    <w:div w:id="161968163">
                      <w:marLeft w:val="0"/>
                      <w:marRight w:val="0"/>
                      <w:marTop w:val="0"/>
                      <w:marBottom w:val="0"/>
                      <w:divBdr>
                        <w:top w:val="none" w:sz="0" w:space="0" w:color="auto"/>
                        <w:left w:val="none" w:sz="0" w:space="0" w:color="auto"/>
                        <w:bottom w:val="none" w:sz="0" w:space="0" w:color="auto"/>
                        <w:right w:val="none" w:sz="0" w:space="0" w:color="auto"/>
                      </w:divBdr>
                    </w:div>
                  </w:divsChild>
                </w:div>
                <w:div w:id="1045449125">
                  <w:marLeft w:val="0"/>
                  <w:marRight w:val="0"/>
                  <w:marTop w:val="0"/>
                  <w:marBottom w:val="0"/>
                  <w:divBdr>
                    <w:top w:val="none" w:sz="0" w:space="0" w:color="auto"/>
                    <w:left w:val="none" w:sz="0" w:space="0" w:color="auto"/>
                    <w:bottom w:val="none" w:sz="0" w:space="0" w:color="auto"/>
                    <w:right w:val="none" w:sz="0" w:space="0" w:color="auto"/>
                  </w:divBdr>
                  <w:divsChild>
                    <w:div w:id="62726108">
                      <w:marLeft w:val="0"/>
                      <w:marRight w:val="0"/>
                      <w:marTop w:val="0"/>
                      <w:marBottom w:val="0"/>
                      <w:divBdr>
                        <w:top w:val="none" w:sz="0" w:space="0" w:color="auto"/>
                        <w:left w:val="none" w:sz="0" w:space="0" w:color="auto"/>
                        <w:bottom w:val="none" w:sz="0" w:space="0" w:color="auto"/>
                        <w:right w:val="none" w:sz="0" w:space="0" w:color="auto"/>
                      </w:divBdr>
                    </w:div>
                  </w:divsChild>
                </w:div>
                <w:div w:id="1144204682">
                  <w:marLeft w:val="0"/>
                  <w:marRight w:val="0"/>
                  <w:marTop w:val="0"/>
                  <w:marBottom w:val="0"/>
                  <w:divBdr>
                    <w:top w:val="none" w:sz="0" w:space="0" w:color="auto"/>
                    <w:left w:val="none" w:sz="0" w:space="0" w:color="auto"/>
                    <w:bottom w:val="none" w:sz="0" w:space="0" w:color="auto"/>
                    <w:right w:val="none" w:sz="0" w:space="0" w:color="auto"/>
                  </w:divBdr>
                  <w:divsChild>
                    <w:div w:id="1074861463">
                      <w:marLeft w:val="0"/>
                      <w:marRight w:val="0"/>
                      <w:marTop w:val="0"/>
                      <w:marBottom w:val="0"/>
                      <w:divBdr>
                        <w:top w:val="none" w:sz="0" w:space="0" w:color="auto"/>
                        <w:left w:val="none" w:sz="0" w:space="0" w:color="auto"/>
                        <w:bottom w:val="none" w:sz="0" w:space="0" w:color="auto"/>
                        <w:right w:val="none" w:sz="0" w:space="0" w:color="auto"/>
                      </w:divBdr>
                    </w:div>
                  </w:divsChild>
                </w:div>
                <w:div w:id="1229682887">
                  <w:marLeft w:val="0"/>
                  <w:marRight w:val="0"/>
                  <w:marTop w:val="0"/>
                  <w:marBottom w:val="0"/>
                  <w:divBdr>
                    <w:top w:val="none" w:sz="0" w:space="0" w:color="auto"/>
                    <w:left w:val="none" w:sz="0" w:space="0" w:color="auto"/>
                    <w:bottom w:val="none" w:sz="0" w:space="0" w:color="auto"/>
                    <w:right w:val="none" w:sz="0" w:space="0" w:color="auto"/>
                  </w:divBdr>
                  <w:divsChild>
                    <w:div w:id="1362366797">
                      <w:marLeft w:val="0"/>
                      <w:marRight w:val="0"/>
                      <w:marTop w:val="0"/>
                      <w:marBottom w:val="0"/>
                      <w:divBdr>
                        <w:top w:val="none" w:sz="0" w:space="0" w:color="auto"/>
                        <w:left w:val="none" w:sz="0" w:space="0" w:color="auto"/>
                        <w:bottom w:val="none" w:sz="0" w:space="0" w:color="auto"/>
                        <w:right w:val="none" w:sz="0" w:space="0" w:color="auto"/>
                      </w:divBdr>
                    </w:div>
                  </w:divsChild>
                </w:div>
                <w:div w:id="1374426089">
                  <w:marLeft w:val="0"/>
                  <w:marRight w:val="0"/>
                  <w:marTop w:val="0"/>
                  <w:marBottom w:val="0"/>
                  <w:divBdr>
                    <w:top w:val="none" w:sz="0" w:space="0" w:color="auto"/>
                    <w:left w:val="none" w:sz="0" w:space="0" w:color="auto"/>
                    <w:bottom w:val="none" w:sz="0" w:space="0" w:color="auto"/>
                    <w:right w:val="none" w:sz="0" w:space="0" w:color="auto"/>
                  </w:divBdr>
                  <w:divsChild>
                    <w:div w:id="154685528">
                      <w:marLeft w:val="0"/>
                      <w:marRight w:val="0"/>
                      <w:marTop w:val="0"/>
                      <w:marBottom w:val="0"/>
                      <w:divBdr>
                        <w:top w:val="none" w:sz="0" w:space="0" w:color="auto"/>
                        <w:left w:val="none" w:sz="0" w:space="0" w:color="auto"/>
                        <w:bottom w:val="none" w:sz="0" w:space="0" w:color="auto"/>
                        <w:right w:val="none" w:sz="0" w:space="0" w:color="auto"/>
                      </w:divBdr>
                    </w:div>
                  </w:divsChild>
                </w:div>
                <w:div w:id="1503087781">
                  <w:marLeft w:val="0"/>
                  <w:marRight w:val="0"/>
                  <w:marTop w:val="0"/>
                  <w:marBottom w:val="0"/>
                  <w:divBdr>
                    <w:top w:val="none" w:sz="0" w:space="0" w:color="auto"/>
                    <w:left w:val="none" w:sz="0" w:space="0" w:color="auto"/>
                    <w:bottom w:val="none" w:sz="0" w:space="0" w:color="auto"/>
                    <w:right w:val="none" w:sz="0" w:space="0" w:color="auto"/>
                  </w:divBdr>
                  <w:divsChild>
                    <w:div w:id="527792139">
                      <w:marLeft w:val="0"/>
                      <w:marRight w:val="0"/>
                      <w:marTop w:val="0"/>
                      <w:marBottom w:val="0"/>
                      <w:divBdr>
                        <w:top w:val="none" w:sz="0" w:space="0" w:color="auto"/>
                        <w:left w:val="none" w:sz="0" w:space="0" w:color="auto"/>
                        <w:bottom w:val="none" w:sz="0" w:space="0" w:color="auto"/>
                        <w:right w:val="none" w:sz="0" w:space="0" w:color="auto"/>
                      </w:divBdr>
                    </w:div>
                  </w:divsChild>
                </w:div>
                <w:div w:id="1731923295">
                  <w:marLeft w:val="0"/>
                  <w:marRight w:val="0"/>
                  <w:marTop w:val="0"/>
                  <w:marBottom w:val="0"/>
                  <w:divBdr>
                    <w:top w:val="none" w:sz="0" w:space="0" w:color="auto"/>
                    <w:left w:val="none" w:sz="0" w:space="0" w:color="auto"/>
                    <w:bottom w:val="none" w:sz="0" w:space="0" w:color="auto"/>
                    <w:right w:val="none" w:sz="0" w:space="0" w:color="auto"/>
                  </w:divBdr>
                  <w:divsChild>
                    <w:div w:id="364713858">
                      <w:marLeft w:val="0"/>
                      <w:marRight w:val="0"/>
                      <w:marTop w:val="0"/>
                      <w:marBottom w:val="0"/>
                      <w:divBdr>
                        <w:top w:val="none" w:sz="0" w:space="0" w:color="auto"/>
                        <w:left w:val="none" w:sz="0" w:space="0" w:color="auto"/>
                        <w:bottom w:val="none" w:sz="0" w:space="0" w:color="auto"/>
                        <w:right w:val="none" w:sz="0" w:space="0" w:color="auto"/>
                      </w:divBdr>
                    </w:div>
                  </w:divsChild>
                </w:div>
                <w:div w:id="1794396938">
                  <w:marLeft w:val="0"/>
                  <w:marRight w:val="0"/>
                  <w:marTop w:val="0"/>
                  <w:marBottom w:val="0"/>
                  <w:divBdr>
                    <w:top w:val="none" w:sz="0" w:space="0" w:color="auto"/>
                    <w:left w:val="none" w:sz="0" w:space="0" w:color="auto"/>
                    <w:bottom w:val="none" w:sz="0" w:space="0" w:color="auto"/>
                    <w:right w:val="none" w:sz="0" w:space="0" w:color="auto"/>
                  </w:divBdr>
                  <w:divsChild>
                    <w:div w:id="2046130708">
                      <w:marLeft w:val="0"/>
                      <w:marRight w:val="0"/>
                      <w:marTop w:val="0"/>
                      <w:marBottom w:val="0"/>
                      <w:divBdr>
                        <w:top w:val="none" w:sz="0" w:space="0" w:color="auto"/>
                        <w:left w:val="none" w:sz="0" w:space="0" w:color="auto"/>
                        <w:bottom w:val="none" w:sz="0" w:space="0" w:color="auto"/>
                        <w:right w:val="none" w:sz="0" w:space="0" w:color="auto"/>
                      </w:divBdr>
                    </w:div>
                  </w:divsChild>
                </w:div>
                <w:div w:id="1871408866">
                  <w:marLeft w:val="0"/>
                  <w:marRight w:val="0"/>
                  <w:marTop w:val="0"/>
                  <w:marBottom w:val="0"/>
                  <w:divBdr>
                    <w:top w:val="none" w:sz="0" w:space="0" w:color="auto"/>
                    <w:left w:val="none" w:sz="0" w:space="0" w:color="auto"/>
                    <w:bottom w:val="none" w:sz="0" w:space="0" w:color="auto"/>
                    <w:right w:val="none" w:sz="0" w:space="0" w:color="auto"/>
                  </w:divBdr>
                  <w:divsChild>
                    <w:div w:id="257522199">
                      <w:marLeft w:val="0"/>
                      <w:marRight w:val="0"/>
                      <w:marTop w:val="0"/>
                      <w:marBottom w:val="0"/>
                      <w:divBdr>
                        <w:top w:val="none" w:sz="0" w:space="0" w:color="auto"/>
                        <w:left w:val="none" w:sz="0" w:space="0" w:color="auto"/>
                        <w:bottom w:val="none" w:sz="0" w:space="0" w:color="auto"/>
                        <w:right w:val="none" w:sz="0" w:space="0" w:color="auto"/>
                      </w:divBdr>
                    </w:div>
                  </w:divsChild>
                </w:div>
                <w:div w:id="2063409381">
                  <w:marLeft w:val="0"/>
                  <w:marRight w:val="0"/>
                  <w:marTop w:val="0"/>
                  <w:marBottom w:val="0"/>
                  <w:divBdr>
                    <w:top w:val="none" w:sz="0" w:space="0" w:color="auto"/>
                    <w:left w:val="none" w:sz="0" w:space="0" w:color="auto"/>
                    <w:bottom w:val="none" w:sz="0" w:space="0" w:color="auto"/>
                    <w:right w:val="none" w:sz="0" w:space="0" w:color="auto"/>
                  </w:divBdr>
                  <w:divsChild>
                    <w:div w:id="402800220">
                      <w:marLeft w:val="0"/>
                      <w:marRight w:val="0"/>
                      <w:marTop w:val="0"/>
                      <w:marBottom w:val="0"/>
                      <w:divBdr>
                        <w:top w:val="none" w:sz="0" w:space="0" w:color="auto"/>
                        <w:left w:val="none" w:sz="0" w:space="0" w:color="auto"/>
                        <w:bottom w:val="none" w:sz="0" w:space="0" w:color="auto"/>
                        <w:right w:val="none" w:sz="0" w:space="0" w:color="auto"/>
                      </w:divBdr>
                    </w:div>
                  </w:divsChild>
                </w:div>
                <w:div w:id="2134976961">
                  <w:marLeft w:val="0"/>
                  <w:marRight w:val="0"/>
                  <w:marTop w:val="0"/>
                  <w:marBottom w:val="0"/>
                  <w:divBdr>
                    <w:top w:val="none" w:sz="0" w:space="0" w:color="auto"/>
                    <w:left w:val="none" w:sz="0" w:space="0" w:color="auto"/>
                    <w:bottom w:val="none" w:sz="0" w:space="0" w:color="auto"/>
                    <w:right w:val="none" w:sz="0" w:space="0" w:color="auto"/>
                  </w:divBdr>
                  <w:divsChild>
                    <w:div w:id="113745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766939">
          <w:marLeft w:val="0"/>
          <w:marRight w:val="0"/>
          <w:marTop w:val="0"/>
          <w:marBottom w:val="0"/>
          <w:divBdr>
            <w:top w:val="none" w:sz="0" w:space="0" w:color="auto"/>
            <w:left w:val="none" w:sz="0" w:space="0" w:color="auto"/>
            <w:bottom w:val="none" w:sz="0" w:space="0" w:color="auto"/>
            <w:right w:val="none" w:sz="0" w:space="0" w:color="auto"/>
          </w:divBdr>
        </w:div>
        <w:div w:id="1513451708">
          <w:marLeft w:val="0"/>
          <w:marRight w:val="0"/>
          <w:marTop w:val="0"/>
          <w:marBottom w:val="0"/>
          <w:divBdr>
            <w:top w:val="none" w:sz="0" w:space="0" w:color="auto"/>
            <w:left w:val="none" w:sz="0" w:space="0" w:color="auto"/>
            <w:bottom w:val="none" w:sz="0" w:space="0" w:color="auto"/>
            <w:right w:val="none" w:sz="0" w:space="0" w:color="auto"/>
          </w:divBdr>
          <w:divsChild>
            <w:div w:id="11957268">
              <w:marLeft w:val="0"/>
              <w:marRight w:val="0"/>
              <w:marTop w:val="30"/>
              <w:marBottom w:val="30"/>
              <w:divBdr>
                <w:top w:val="none" w:sz="0" w:space="0" w:color="auto"/>
                <w:left w:val="none" w:sz="0" w:space="0" w:color="auto"/>
                <w:bottom w:val="none" w:sz="0" w:space="0" w:color="auto"/>
                <w:right w:val="none" w:sz="0" w:space="0" w:color="auto"/>
              </w:divBdr>
              <w:divsChild>
                <w:div w:id="23947187">
                  <w:marLeft w:val="0"/>
                  <w:marRight w:val="0"/>
                  <w:marTop w:val="0"/>
                  <w:marBottom w:val="0"/>
                  <w:divBdr>
                    <w:top w:val="none" w:sz="0" w:space="0" w:color="auto"/>
                    <w:left w:val="none" w:sz="0" w:space="0" w:color="auto"/>
                    <w:bottom w:val="none" w:sz="0" w:space="0" w:color="auto"/>
                    <w:right w:val="none" w:sz="0" w:space="0" w:color="auto"/>
                  </w:divBdr>
                  <w:divsChild>
                    <w:div w:id="190069480">
                      <w:marLeft w:val="0"/>
                      <w:marRight w:val="0"/>
                      <w:marTop w:val="0"/>
                      <w:marBottom w:val="0"/>
                      <w:divBdr>
                        <w:top w:val="none" w:sz="0" w:space="0" w:color="auto"/>
                        <w:left w:val="none" w:sz="0" w:space="0" w:color="auto"/>
                        <w:bottom w:val="none" w:sz="0" w:space="0" w:color="auto"/>
                        <w:right w:val="none" w:sz="0" w:space="0" w:color="auto"/>
                      </w:divBdr>
                    </w:div>
                  </w:divsChild>
                </w:div>
                <w:div w:id="187835172">
                  <w:marLeft w:val="0"/>
                  <w:marRight w:val="0"/>
                  <w:marTop w:val="0"/>
                  <w:marBottom w:val="0"/>
                  <w:divBdr>
                    <w:top w:val="none" w:sz="0" w:space="0" w:color="auto"/>
                    <w:left w:val="none" w:sz="0" w:space="0" w:color="auto"/>
                    <w:bottom w:val="none" w:sz="0" w:space="0" w:color="auto"/>
                    <w:right w:val="none" w:sz="0" w:space="0" w:color="auto"/>
                  </w:divBdr>
                  <w:divsChild>
                    <w:div w:id="1834758691">
                      <w:marLeft w:val="0"/>
                      <w:marRight w:val="0"/>
                      <w:marTop w:val="0"/>
                      <w:marBottom w:val="0"/>
                      <w:divBdr>
                        <w:top w:val="none" w:sz="0" w:space="0" w:color="auto"/>
                        <w:left w:val="none" w:sz="0" w:space="0" w:color="auto"/>
                        <w:bottom w:val="none" w:sz="0" w:space="0" w:color="auto"/>
                        <w:right w:val="none" w:sz="0" w:space="0" w:color="auto"/>
                      </w:divBdr>
                    </w:div>
                  </w:divsChild>
                </w:div>
                <w:div w:id="452991046">
                  <w:marLeft w:val="0"/>
                  <w:marRight w:val="0"/>
                  <w:marTop w:val="0"/>
                  <w:marBottom w:val="0"/>
                  <w:divBdr>
                    <w:top w:val="none" w:sz="0" w:space="0" w:color="auto"/>
                    <w:left w:val="none" w:sz="0" w:space="0" w:color="auto"/>
                    <w:bottom w:val="none" w:sz="0" w:space="0" w:color="auto"/>
                    <w:right w:val="none" w:sz="0" w:space="0" w:color="auto"/>
                  </w:divBdr>
                  <w:divsChild>
                    <w:div w:id="243689136">
                      <w:marLeft w:val="0"/>
                      <w:marRight w:val="0"/>
                      <w:marTop w:val="0"/>
                      <w:marBottom w:val="0"/>
                      <w:divBdr>
                        <w:top w:val="none" w:sz="0" w:space="0" w:color="auto"/>
                        <w:left w:val="none" w:sz="0" w:space="0" w:color="auto"/>
                        <w:bottom w:val="none" w:sz="0" w:space="0" w:color="auto"/>
                        <w:right w:val="none" w:sz="0" w:space="0" w:color="auto"/>
                      </w:divBdr>
                    </w:div>
                  </w:divsChild>
                </w:div>
                <w:div w:id="640958536">
                  <w:marLeft w:val="0"/>
                  <w:marRight w:val="0"/>
                  <w:marTop w:val="0"/>
                  <w:marBottom w:val="0"/>
                  <w:divBdr>
                    <w:top w:val="none" w:sz="0" w:space="0" w:color="auto"/>
                    <w:left w:val="none" w:sz="0" w:space="0" w:color="auto"/>
                    <w:bottom w:val="none" w:sz="0" w:space="0" w:color="auto"/>
                    <w:right w:val="none" w:sz="0" w:space="0" w:color="auto"/>
                  </w:divBdr>
                  <w:divsChild>
                    <w:div w:id="130949203">
                      <w:marLeft w:val="0"/>
                      <w:marRight w:val="0"/>
                      <w:marTop w:val="0"/>
                      <w:marBottom w:val="0"/>
                      <w:divBdr>
                        <w:top w:val="none" w:sz="0" w:space="0" w:color="auto"/>
                        <w:left w:val="none" w:sz="0" w:space="0" w:color="auto"/>
                        <w:bottom w:val="none" w:sz="0" w:space="0" w:color="auto"/>
                        <w:right w:val="none" w:sz="0" w:space="0" w:color="auto"/>
                      </w:divBdr>
                    </w:div>
                  </w:divsChild>
                </w:div>
                <w:div w:id="782967123">
                  <w:marLeft w:val="0"/>
                  <w:marRight w:val="0"/>
                  <w:marTop w:val="0"/>
                  <w:marBottom w:val="0"/>
                  <w:divBdr>
                    <w:top w:val="none" w:sz="0" w:space="0" w:color="auto"/>
                    <w:left w:val="none" w:sz="0" w:space="0" w:color="auto"/>
                    <w:bottom w:val="none" w:sz="0" w:space="0" w:color="auto"/>
                    <w:right w:val="none" w:sz="0" w:space="0" w:color="auto"/>
                  </w:divBdr>
                  <w:divsChild>
                    <w:div w:id="1242905265">
                      <w:marLeft w:val="0"/>
                      <w:marRight w:val="0"/>
                      <w:marTop w:val="0"/>
                      <w:marBottom w:val="0"/>
                      <w:divBdr>
                        <w:top w:val="none" w:sz="0" w:space="0" w:color="auto"/>
                        <w:left w:val="none" w:sz="0" w:space="0" w:color="auto"/>
                        <w:bottom w:val="none" w:sz="0" w:space="0" w:color="auto"/>
                        <w:right w:val="none" w:sz="0" w:space="0" w:color="auto"/>
                      </w:divBdr>
                    </w:div>
                  </w:divsChild>
                </w:div>
                <w:div w:id="793405210">
                  <w:marLeft w:val="0"/>
                  <w:marRight w:val="0"/>
                  <w:marTop w:val="0"/>
                  <w:marBottom w:val="0"/>
                  <w:divBdr>
                    <w:top w:val="none" w:sz="0" w:space="0" w:color="auto"/>
                    <w:left w:val="none" w:sz="0" w:space="0" w:color="auto"/>
                    <w:bottom w:val="none" w:sz="0" w:space="0" w:color="auto"/>
                    <w:right w:val="none" w:sz="0" w:space="0" w:color="auto"/>
                  </w:divBdr>
                  <w:divsChild>
                    <w:div w:id="837622774">
                      <w:marLeft w:val="0"/>
                      <w:marRight w:val="0"/>
                      <w:marTop w:val="0"/>
                      <w:marBottom w:val="0"/>
                      <w:divBdr>
                        <w:top w:val="none" w:sz="0" w:space="0" w:color="auto"/>
                        <w:left w:val="none" w:sz="0" w:space="0" w:color="auto"/>
                        <w:bottom w:val="none" w:sz="0" w:space="0" w:color="auto"/>
                        <w:right w:val="none" w:sz="0" w:space="0" w:color="auto"/>
                      </w:divBdr>
                    </w:div>
                  </w:divsChild>
                </w:div>
                <w:div w:id="987242536">
                  <w:marLeft w:val="0"/>
                  <w:marRight w:val="0"/>
                  <w:marTop w:val="0"/>
                  <w:marBottom w:val="0"/>
                  <w:divBdr>
                    <w:top w:val="none" w:sz="0" w:space="0" w:color="auto"/>
                    <w:left w:val="none" w:sz="0" w:space="0" w:color="auto"/>
                    <w:bottom w:val="none" w:sz="0" w:space="0" w:color="auto"/>
                    <w:right w:val="none" w:sz="0" w:space="0" w:color="auto"/>
                  </w:divBdr>
                  <w:divsChild>
                    <w:div w:id="1793745835">
                      <w:marLeft w:val="0"/>
                      <w:marRight w:val="0"/>
                      <w:marTop w:val="0"/>
                      <w:marBottom w:val="0"/>
                      <w:divBdr>
                        <w:top w:val="none" w:sz="0" w:space="0" w:color="auto"/>
                        <w:left w:val="none" w:sz="0" w:space="0" w:color="auto"/>
                        <w:bottom w:val="none" w:sz="0" w:space="0" w:color="auto"/>
                        <w:right w:val="none" w:sz="0" w:space="0" w:color="auto"/>
                      </w:divBdr>
                    </w:div>
                  </w:divsChild>
                </w:div>
                <w:div w:id="1508983780">
                  <w:marLeft w:val="0"/>
                  <w:marRight w:val="0"/>
                  <w:marTop w:val="0"/>
                  <w:marBottom w:val="0"/>
                  <w:divBdr>
                    <w:top w:val="none" w:sz="0" w:space="0" w:color="auto"/>
                    <w:left w:val="none" w:sz="0" w:space="0" w:color="auto"/>
                    <w:bottom w:val="none" w:sz="0" w:space="0" w:color="auto"/>
                    <w:right w:val="none" w:sz="0" w:space="0" w:color="auto"/>
                  </w:divBdr>
                  <w:divsChild>
                    <w:div w:id="1169323589">
                      <w:marLeft w:val="0"/>
                      <w:marRight w:val="0"/>
                      <w:marTop w:val="0"/>
                      <w:marBottom w:val="0"/>
                      <w:divBdr>
                        <w:top w:val="none" w:sz="0" w:space="0" w:color="auto"/>
                        <w:left w:val="none" w:sz="0" w:space="0" w:color="auto"/>
                        <w:bottom w:val="none" w:sz="0" w:space="0" w:color="auto"/>
                        <w:right w:val="none" w:sz="0" w:space="0" w:color="auto"/>
                      </w:divBdr>
                    </w:div>
                  </w:divsChild>
                </w:div>
                <w:div w:id="1589386732">
                  <w:marLeft w:val="0"/>
                  <w:marRight w:val="0"/>
                  <w:marTop w:val="0"/>
                  <w:marBottom w:val="0"/>
                  <w:divBdr>
                    <w:top w:val="none" w:sz="0" w:space="0" w:color="auto"/>
                    <w:left w:val="none" w:sz="0" w:space="0" w:color="auto"/>
                    <w:bottom w:val="none" w:sz="0" w:space="0" w:color="auto"/>
                    <w:right w:val="none" w:sz="0" w:space="0" w:color="auto"/>
                  </w:divBdr>
                  <w:divsChild>
                    <w:div w:id="949820063">
                      <w:marLeft w:val="0"/>
                      <w:marRight w:val="0"/>
                      <w:marTop w:val="0"/>
                      <w:marBottom w:val="0"/>
                      <w:divBdr>
                        <w:top w:val="none" w:sz="0" w:space="0" w:color="auto"/>
                        <w:left w:val="none" w:sz="0" w:space="0" w:color="auto"/>
                        <w:bottom w:val="none" w:sz="0" w:space="0" w:color="auto"/>
                        <w:right w:val="none" w:sz="0" w:space="0" w:color="auto"/>
                      </w:divBdr>
                    </w:div>
                  </w:divsChild>
                </w:div>
                <w:div w:id="1753619184">
                  <w:marLeft w:val="0"/>
                  <w:marRight w:val="0"/>
                  <w:marTop w:val="0"/>
                  <w:marBottom w:val="0"/>
                  <w:divBdr>
                    <w:top w:val="none" w:sz="0" w:space="0" w:color="auto"/>
                    <w:left w:val="none" w:sz="0" w:space="0" w:color="auto"/>
                    <w:bottom w:val="none" w:sz="0" w:space="0" w:color="auto"/>
                    <w:right w:val="none" w:sz="0" w:space="0" w:color="auto"/>
                  </w:divBdr>
                  <w:divsChild>
                    <w:div w:id="460421798">
                      <w:marLeft w:val="0"/>
                      <w:marRight w:val="0"/>
                      <w:marTop w:val="0"/>
                      <w:marBottom w:val="0"/>
                      <w:divBdr>
                        <w:top w:val="none" w:sz="0" w:space="0" w:color="auto"/>
                        <w:left w:val="none" w:sz="0" w:space="0" w:color="auto"/>
                        <w:bottom w:val="none" w:sz="0" w:space="0" w:color="auto"/>
                        <w:right w:val="none" w:sz="0" w:space="0" w:color="auto"/>
                      </w:divBdr>
                    </w:div>
                  </w:divsChild>
                </w:div>
                <w:div w:id="1763918017">
                  <w:marLeft w:val="0"/>
                  <w:marRight w:val="0"/>
                  <w:marTop w:val="0"/>
                  <w:marBottom w:val="0"/>
                  <w:divBdr>
                    <w:top w:val="none" w:sz="0" w:space="0" w:color="auto"/>
                    <w:left w:val="none" w:sz="0" w:space="0" w:color="auto"/>
                    <w:bottom w:val="none" w:sz="0" w:space="0" w:color="auto"/>
                    <w:right w:val="none" w:sz="0" w:space="0" w:color="auto"/>
                  </w:divBdr>
                  <w:divsChild>
                    <w:div w:id="1724138353">
                      <w:marLeft w:val="0"/>
                      <w:marRight w:val="0"/>
                      <w:marTop w:val="0"/>
                      <w:marBottom w:val="0"/>
                      <w:divBdr>
                        <w:top w:val="none" w:sz="0" w:space="0" w:color="auto"/>
                        <w:left w:val="none" w:sz="0" w:space="0" w:color="auto"/>
                        <w:bottom w:val="none" w:sz="0" w:space="0" w:color="auto"/>
                        <w:right w:val="none" w:sz="0" w:space="0" w:color="auto"/>
                      </w:divBdr>
                    </w:div>
                  </w:divsChild>
                </w:div>
                <w:div w:id="2121484372">
                  <w:marLeft w:val="0"/>
                  <w:marRight w:val="0"/>
                  <w:marTop w:val="0"/>
                  <w:marBottom w:val="0"/>
                  <w:divBdr>
                    <w:top w:val="none" w:sz="0" w:space="0" w:color="auto"/>
                    <w:left w:val="none" w:sz="0" w:space="0" w:color="auto"/>
                    <w:bottom w:val="none" w:sz="0" w:space="0" w:color="auto"/>
                    <w:right w:val="none" w:sz="0" w:space="0" w:color="auto"/>
                  </w:divBdr>
                  <w:divsChild>
                    <w:div w:id="127902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054015">
          <w:marLeft w:val="0"/>
          <w:marRight w:val="0"/>
          <w:marTop w:val="0"/>
          <w:marBottom w:val="0"/>
          <w:divBdr>
            <w:top w:val="none" w:sz="0" w:space="0" w:color="auto"/>
            <w:left w:val="none" w:sz="0" w:space="0" w:color="auto"/>
            <w:bottom w:val="none" w:sz="0" w:space="0" w:color="auto"/>
            <w:right w:val="none" w:sz="0" w:space="0" w:color="auto"/>
          </w:divBdr>
        </w:div>
        <w:div w:id="1931086589">
          <w:marLeft w:val="0"/>
          <w:marRight w:val="0"/>
          <w:marTop w:val="0"/>
          <w:marBottom w:val="0"/>
          <w:divBdr>
            <w:top w:val="none" w:sz="0" w:space="0" w:color="auto"/>
            <w:left w:val="none" w:sz="0" w:space="0" w:color="auto"/>
            <w:bottom w:val="none" w:sz="0" w:space="0" w:color="auto"/>
            <w:right w:val="none" w:sz="0" w:space="0" w:color="auto"/>
          </w:divBdr>
        </w:div>
        <w:div w:id="1942757672">
          <w:marLeft w:val="0"/>
          <w:marRight w:val="0"/>
          <w:marTop w:val="0"/>
          <w:marBottom w:val="0"/>
          <w:divBdr>
            <w:top w:val="none" w:sz="0" w:space="0" w:color="auto"/>
            <w:left w:val="none" w:sz="0" w:space="0" w:color="auto"/>
            <w:bottom w:val="none" w:sz="0" w:space="0" w:color="auto"/>
            <w:right w:val="none" w:sz="0" w:space="0" w:color="auto"/>
          </w:divBdr>
        </w:div>
        <w:div w:id="1993681984">
          <w:marLeft w:val="0"/>
          <w:marRight w:val="0"/>
          <w:marTop w:val="0"/>
          <w:marBottom w:val="0"/>
          <w:divBdr>
            <w:top w:val="none" w:sz="0" w:space="0" w:color="auto"/>
            <w:left w:val="none" w:sz="0" w:space="0" w:color="auto"/>
            <w:bottom w:val="none" w:sz="0" w:space="0" w:color="auto"/>
            <w:right w:val="none" w:sz="0" w:space="0" w:color="auto"/>
          </w:divBdr>
          <w:divsChild>
            <w:div w:id="261767025">
              <w:marLeft w:val="0"/>
              <w:marRight w:val="0"/>
              <w:marTop w:val="30"/>
              <w:marBottom w:val="30"/>
              <w:divBdr>
                <w:top w:val="none" w:sz="0" w:space="0" w:color="auto"/>
                <w:left w:val="none" w:sz="0" w:space="0" w:color="auto"/>
                <w:bottom w:val="none" w:sz="0" w:space="0" w:color="auto"/>
                <w:right w:val="none" w:sz="0" w:space="0" w:color="auto"/>
              </w:divBdr>
              <w:divsChild>
                <w:div w:id="882517524">
                  <w:marLeft w:val="0"/>
                  <w:marRight w:val="0"/>
                  <w:marTop w:val="0"/>
                  <w:marBottom w:val="0"/>
                  <w:divBdr>
                    <w:top w:val="none" w:sz="0" w:space="0" w:color="auto"/>
                    <w:left w:val="none" w:sz="0" w:space="0" w:color="auto"/>
                    <w:bottom w:val="none" w:sz="0" w:space="0" w:color="auto"/>
                    <w:right w:val="none" w:sz="0" w:space="0" w:color="auto"/>
                  </w:divBdr>
                  <w:divsChild>
                    <w:div w:id="1232933450">
                      <w:marLeft w:val="0"/>
                      <w:marRight w:val="0"/>
                      <w:marTop w:val="0"/>
                      <w:marBottom w:val="0"/>
                      <w:divBdr>
                        <w:top w:val="none" w:sz="0" w:space="0" w:color="auto"/>
                        <w:left w:val="none" w:sz="0" w:space="0" w:color="auto"/>
                        <w:bottom w:val="none" w:sz="0" w:space="0" w:color="auto"/>
                        <w:right w:val="none" w:sz="0" w:space="0" w:color="auto"/>
                      </w:divBdr>
                    </w:div>
                  </w:divsChild>
                </w:div>
                <w:div w:id="2015640731">
                  <w:marLeft w:val="0"/>
                  <w:marRight w:val="0"/>
                  <w:marTop w:val="0"/>
                  <w:marBottom w:val="0"/>
                  <w:divBdr>
                    <w:top w:val="none" w:sz="0" w:space="0" w:color="auto"/>
                    <w:left w:val="none" w:sz="0" w:space="0" w:color="auto"/>
                    <w:bottom w:val="none" w:sz="0" w:space="0" w:color="auto"/>
                    <w:right w:val="none" w:sz="0" w:space="0" w:color="auto"/>
                  </w:divBdr>
                  <w:divsChild>
                    <w:div w:id="187723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383644">
          <w:marLeft w:val="0"/>
          <w:marRight w:val="0"/>
          <w:marTop w:val="0"/>
          <w:marBottom w:val="0"/>
          <w:divBdr>
            <w:top w:val="none" w:sz="0" w:space="0" w:color="auto"/>
            <w:left w:val="none" w:sz="0" w:space="0" w:color="auto"/>
            <w:bottom w:val="none" w:sz="0" w:space="0" w:color="auto"/>
            <w:right w:val="none" w:sz="0" w:space="0" w:color="auto"/>
          </w:divBdr>
          <w:divsChild>
            <w:div w:id="355077768">
              <w:marLeft w:val="0"/>
              <w:marRight w:val="0"/>
              <w:marTop w:val="30"/>
              <w:marBottom w:val="30"/>
              <w:divBdr>
                <w:top w:val="none" w:sz="0" w:space="0" w:color="auto"/>
                <w:left w:val="none" w:sz="0" w:space="0" w:color="auto"/>
                <w:bottom w:val="none" w:sz="0" w:space="0" w:color="auto"/>
                <w:right w:val="none" w:sz="0" w:space="0" w:color="auto"/>
              </w:divBdr>
              <w:divsChild>
                <w:div w:id="136799182">
                  <w:marLeft w:val="0"/>
                  <w:marRight w:val="0"/>
                  <w:marTop w:val="0"/>
                  <w:marBottom w:val="0"/>
                  <w:divBdr>
                    <w:top w:val="none" w:sz="0" w:space="0" w:color="auto"/>
                    <w:left w:val="none" w:sz="0" w:space="0" w:color="auto"/>
                    <w:bottom w:val="none" w:sz="0" w:space="0" w:color="auto"/>
                    <w:right w:val="none" w:sz="0" w:space="0" w:color="auto"/>
                  </w:divBdr>
                  <w:divsChild>
                    <w:div w:id="615912453">
                      <w:marLeft w:val="0"/>
                      <w:marRight w:val="0"/>
                      <w:marTop w:val="0"/>
                      <w:marBottom w:val="0"/>
                      <w:divBdr>
                        <w:top w:val="none" w:sz="0" w:space="0" w:color="auto"/>
                        <w:left w:val="none" w:sz="0" w:space="0" w:color="auto"/>
                        <w:bottom w:val="none" w:sz="0" w:space="0" w:color="auto"/>
                        <w:right w:val="none" w:sz="0" w:space="0" w:color="auto"/>
                      </w:divBdr>
                    </w:div>
                  </w:divsChild>
                </w:div>
                <w:div w:id="908615836">
                  <w:marLeft w:val="0"/>
                  <w:marRight w:val="0"/>
                  <w:marTop w:val="0"/>
                  <w:marBottom w:val="0"/>
                  <w:divBdr>
                    <w:top w:val="none" w:sz="0" w:space="0" w:color="auto"/>
                    <w:left w:val="none" w:sz="0" w:space="0" w:color="auto"/>
                    <w:bottom w:val="none" w:sz="0" w:space="0" w:color="auto"/>
                    <w:right w:val="none" w:sz="0" w:space="0" w:color="auto"/>
                  </w:divBdr>
                  <w:divsChild>
                    <w:div w:id="2019844067">
                      <w:marLeft w:val="0"/>
                      <w:marRight w:val="0"/>
                      <w:marTop w:val="0"/>
                      <w:marBottom w:val="0"/>
                      <w:divBdr>
                        <w:top w:val="none" w:sz="0" w:space="0" w:color="auto"/>
                        <w:left w:val="none" w:sz="0" w:space="0" w:color="auto"/>
                        <w:bottom w:val="none" w:sz="0" w:space="0" w:color="auto"/>
                        <w:right w:val="none" w:sz="0" w:space="0" w:color="auto"/>
                      </w:divBdr>
                    </w:div>
                  </w:divsChild>
                </w:div>
                <w:div w:id="1488284784">
                  <w:marLeft w:val="0"/>
                  <w:marRight w:val="0"/>
                  <w:marTop w:val="0"/>
                  <w:marBottom w:val="0"/>
                  <w:divBdr>
                    <w:top w:val="none" w:sz="0" w:space="0" w:color="auto"/>
                    <w:left w:val="none" w:sz="0" w:space="0" w:color="auto"/>
                    <w:bottom w:val="none" w:sz="0" w:space="0" w:color="auto"/>
                    <w:right w:val="none" w:sz="0" w:space="0" w:color="auto"/>
                  </w:divBdr>
                  <w:divsChild>
                    <w:div w:id="1731615265">
                      <w:marLeft w:val="0"/>
                      <w:marRight w:val="0"/>
                      <w:marTop w:val="0"/>
                      <w:marBottom w:val="0"/>
                      <w:divBdr>
                        <w:top w:val="none" w:sz="0" w:space="0" w:color="auto"/>
                        <w:left w:val="none" w:sz="0" w:space="0" w:color="auto"/>
                        <w:bottom w:val="none" w:sz="0" w:space="0" w:color="auto"/>
                        <w:right w:val="none" w:sz="0" w:space="0" w:color="auto"/>
                      </w:divBdr>
                    </w:div>
                  </w:divsChild>
                </w:div>
                <w:div w:id="1576352872">
                  <w:marLeft w:val="0"/>
                  <w:marRight w:val="0"/>
                  <w:marTop w:val="0"/>
                  <w:marBottom w:val="0"/>
                  <w:divBdr>
                    <w:top w:val="none" w:sz="0" w:space="0" w:color="auto"/>
                    <w:left w:val="none" w:sz="0" w:space="0" w:color="auto"/>
                    <w:bottom w:val="none" w:sz="0" w:space="0" w:color="auto"/>
                    <w:right w:val="none" w:sz="0" w:space="0" w:color="auto"/>
                  </w:divBdr>
                  <w:divsChild>
                    <w:div w:id="190312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781609">
          <w:marLeft w:val="0"/>
          <w:marRight w:val="0"/>
          <w:marTop w:val="0"/>
          <w:marBottom w:val="0"/>
          <w:divBdr>
            <w:top w:val="none" w:sz="0" w:space="0" w:color="auto"/>
            <w:left w:val="none" w:sz="0" w:space="0" w:color="auto"/>
            <w:bottom w:val="none" w:sz="0" w:space="0" w:color="auto"/>
            <w:right w:val="none" w:sz="0" w:space="0" w:color="auto"/>
          </w:divBdr>
        </w:div>
        <w:div w:id="2077900946">
          <w:marLeft w:val="0"/>
          <w:marRight w:val="0"/>
          <w:marTop w:val="0"/>
          <w:marBottom w:val="0"/>
          <w:divBdr>
            <w:top w:val="none" w:sz="0" w:space="0" w:color="auto"/>
            <w:left w:val="none" w:sz="0" w:space="0" w:color="auto"/>
            <w:bottom w:val="none" w:sz="0" w:space="0" w:color="auto"/>
            <w:right w:val="none" w:sz="0" w:space="0" w:color="auto"/>
          </w:divBdr>
        </w:div>
        <w:div w:id="2143186845">
          <w:marLeft w:val="0"/>
          <w:marRight w:val="0"/>
          <w:marTop w:val="0"/>
          <w:marBottom w:val="0"/>
          <w:divBdr>
            <w:top w:val="none" w:sz="0" w:space="0" w:color="auto"/>
            <w:left w:val="none" w:sz="0" w:space="0" w:color="auto"/>
            <w:bottom w:val="none" w:sz="0" w:space="0" w:color="auto"/>
            <w:right w:val="none" w:sz="0" w:space="0" w:color="auto"/>
          </w:divBdr>
        </w:div>
      </w:divsChild>
    </w:div>
    <w:div w:id="1831285286">
      <w:bodyDiv w:val="1"/>
      <w:marLeft w:val="0"/>
      <w:marRight w:val="0"/>
      <w:marTop w:val="0"/>
      <w:marBottom w:val="0"/>
      <w:divBdr>
        <w:top w:val="none" w:sz="0" w:space="0" w:color="auto"/>
        <w:left w:val="none" w:sz="0" w:space="0" w:color="auto"/>
        <w:bottom w:val="none" w:sz="0" w:space="0" w:color="auto"/>
        <w:right w:val="none" w:sz="0" w:space="0" w:color="auto"/>
      </w:divBdr>
    </w:div>
    <w:div w:id="1856963203">
      <w:bodyDiv w:val="1"/>
      <w:marLeft w:val="0"/>
      <w:marRight w:val="0"/>
      <w:marTop w:val="0"/>
      <w:marBottom w:val="0"/>
      <w:divBdr>
        <w:top w:val="none" w:sz="0" w:space="0" w:color="auto"/>
        <w:left w:val="none" w:sz="0" w:space="0" w:color="auto"/>
        <w:bottom w:val="none" w:sz="0" w:space="0" w:color="auto"/>
        <w:right w:val="none" w:sz="0" w:space="0" w:color="auto"/>
      </w:divBdr>
    </w:div>
    <w:div w:id="1877112163">
      <w:bodyDiv w:val="1"/>
      <w:marLeft w:val="0"/>
      <w:marRight w:val="0"/>
      <w:marTop w:val="0"/>
      <w:marBottom w:val="0"/>
      <w:divBdr>
        <w:top w:val="none" w:sz="0" w:space="0" w:color="auto"/>
        <w:left w:val="none" w:sz="0" w:space="0" w:color="auto"/>
        <w:bottom w:val="none" w:sz="0" w:space="0" w:color="auto"/>
        <w:right w:val="none" w:sz="0" w:space="0" w:color="auto"/>
      </w:divBdr>
      <w:divsChild>
        <w:div w:id="349986264">
          <w:marLeft w:val="0"/>
          <w:marRight w:val="0"/>
          <w:marTop w:val="0"/>
          <w:marBottom w:val="0"/>
          <w:divBdr>
            <w:top w:val="none" w:sz="0" w:space="0" w:color="auto"/>
            <w:left w:val="none" w:sz="0" w:space="0" w:color="auto"/>
            <w:bottom w:val="none" w:sz="0" w:space="0" w:color="auto"/>
            <w:right w:val="none" w:sz="0" w:space="0" w:color="auto"/>
          </w:divBdr>
        </w:div>
        <w:div w:id="1364944236">
          <w:marLeft w:val="0"/>
          <w:marRight w:val="0"/>
          <w:marTop w:val="0"/>
          <w:marBottom w:val="0"/>
          <w:divBdr>
            <w:top w:val="none" w:sz="0" w:space="0" w:color="auto"/>
            <w:left w:val="none" w:sz="0" w:space="0" w:color="auto"/>
            <w:bottom w:val="none" w:sz="0" w:space="0" w:color="auto"/>
            <w:right w:val="none" w:sz="0" w:space="0" w:color="auto"/>
          </w:divBdr>
        </w:div>
        <w:div w:id="1574393098">
          <w:marLeft w:val="0"/>
          <w:marRight w:val="0"/>
          <w:marTop w:val="0"/>
          <w:marBottom w:val="0"/>
          <w:divBdr>
            <w:top w:val="none" w:sz="0" w:space="0" w:color="auto"/>
            <w:left w:val="none" w:sz="0" w:space="0" w:color="auto"/>
            <w:bottom w:val="none" w:sz="0" w:space="0" w:color="auto"/>
            <w:right w:val="none" w:sz="0" w:space="0" w:color="auto"/>
          </w:divBdr>
        </w:div>
      </w:divsChild>
    </w:div>
    <w:div w:id="1881628374">
      <w:bodyDiv w:val="1"/>
      <w:marLeft w:val="0"/>
      <w:marRight w:val="0"/>
      <w:marTop w:val="0"/>
      <w:marBottom w:val="0"/>
      <w:divBdr>
        <w:top w:val="none" w:sz="0" w:space="0" w:color="auto"/>
        <w:left w:val="none" w:sz="0" w:space="0" w:color="auto"/>
        <w:bottom w:val="none" w:sz="0" w:space="0" w:color="auto"/>
        <w:right w:val="none" w:sz="0" w:space="0" w:color="auto"/>
      </w:divBdr>
    </w:div>
    <w:div w:id="1904872564">
      <w:bodyDiv w:val="1"/>
      <w:marLeft w:val="0"/>
      <w:marRight w:val="0"/>
      <w:marTop w:val="0"/>
      <w:marBottom w:val="0"/>
      <w:divBdr>
        <w:top w:val="none" w:sz="0" w:space="0" w:color="auto"/>
        <w:left w:val="none" w:sz="0" w:space="0" w:color="auto"/>
        <w:bottom w:val="none" w:sz="0" w:space="0" w:color="auto"/>
        <w:right w:val="none" w:sz="0" w:space="0" w:color="auto"/>
      </w:divBdr>
    </w:div>
    <w:div w:id="1928494630">
      <w:bodyDiv w:val="1"/>
      <w:marLeft w:val="0"/>
      <w:marRight w:val="0"/>
      <w:marTop w:val="0"/>
      <w:marBottom w:val="0"/>
      <w:divBdr>
        <w:top w:val="none" w:sz="0" w:space="0" w:color="auto"/>
        <w:left w:val="none" w:sz="0" w:space="0" w:color="auto"/>
        <w:bottom w:val="none" w:sz="0" w:space="0" w:color="auto"/>
        <w:right w:val="none" w:sz="0" w:space="0" w:color="auto"/>
      </w:divBdr>
    </w:div>
    <w:div w:id="1931699435">
      <w:bodyDiv w:val="1"/>
      <w:marLeft w:val="0"/>
      <w:marRight w:val="0"/>
      <w:marTop w:val="0"/>
      <w:marBottom w:val="0"/>
      <w:divBdr>
        <w:top w:val="none" w:sz="0" w:space="0" w:color="auto"/>
        <w:left w:val="none" w:sz="0" w:space="0" w:color="auto"/>
        <w:bottom w:val="none" w:sz="0" w:space="0" w:color="auto"/>
        <w:right w:val="none" w:sz="0" w:space="0" w:color="auto"/>
      </w:divBdr>
    </w:div>
    <w:div w:id="1943609177">
      <w:bodyDiv w:val="1"/>
      <w:marLeft w:val="0"/>
      <w:marRight w:val="0"/>
      <w:marTop w:val="0"/>
      <w:marBottom w:val="0"/>
      <w:divBdr>
        <w:top w:val="none" w:sz="0" w:space="0" w:color="auto"/>
        <w:left w:val="none" w:sz="0" w:space="0" w:color="auto"/>
        <w:bottom w:val="none" w:sz="0" w:space="0" w:color="auto"/>
        <w:right w:val="none" w:sz="0" w:space="0" w:color="auto"/>
      </w:divBdr>
    </w:div>
    <w:div w:id="1960185129">
      <w:bodyDiv w:val="1"/>
      <w:marLeft w:val="0"/>
      <w:marRight w:val="0"/>
      <w:marTop w:val="0"/>
      <w:marBottom w:val="0"/>
      <w:divBdr>
        <w:top w:val="none" w:sz="0" w:space="0" w:color="auto"/>
        <w:left w:val="none" w:sz="0" w:space="0" w:color="auto"/>
        <w:bottom w:val="none" w:sz="0" w:space="0" w:color="auto"/>
        <w:right w:val="none" w:sz="0" w:space="0" w:color="auto"/>
      </w:divBdr>
    </w:div>
    <w:div w:id="1974142271">
      <w:bodyDiv w:val="1"/>
      <w:marLeft w:val="0"/>
      <w:marRight w:val="0"/>
      <w:marTop w:val="0"/>
      <w:marBottom w:val="0"/>
      <w:divBdr>
        <w:top w:val="none" w:sz="0" w:space="0" w:color="auto"/>
        <w:left w:val="none" w:sz="0" w:space="0" w:color="auto"/>
        <w:bottom w:val="none" w:sz="0" w:space="0" w:color="auto"/>
        <w:right w:val="none" w:sz="0" w:space="0" w:color="auto"/>
      </w:divBdr>
      <w:divsChild>
        <w:div w:id="506477805">
          <w:marLeft w:val="0"/>
          <w:marRight w:val="0"/>
          <w:marTop w:val="0"/>
          <w:marBottom w:val="0"/>
          <w:divBdr>
            <w:top w:val="none" w:sz="0" w:space="0" w:color="auto"/>
            <w:left w:val="none" w:sz="0" w:space="0" w:color="auto"/>
            <w:bottom w:val="none" w:sz="0" w:space="0" w:color="auto"/>
            <w:right w:val="none" w:sz="0" w:space="0" w:color="auto"/>
          </w:divBdr>
        </w:div>
        <w:div w:id="989796848">
          <w:marLeft w:val="0"/>
          <w:marRight w:val="0"/>
          <w:marTop w:val="0"/>
          <w:marBottom w:val="0"/>
          <w:divBdr>
            <w:top w:val="none" w:sz="0" w:space="0" w:color="auto"/>
            <w:left w:val="none" w:sz="0" w:space="0" w:color="auto"/>
            <w:bottom w:val="none" w:sz="0" w:space="0" w:color="auto"/>
            <w:right w:val="none" w:sz="0" w:space="0" w:color="auto"/>
          </w:divBdr>
        </w:div>
        <w:div w:id="1303579994">
          <w:marLeft w:val="0"/>
          <w:marRight w:val="0"/>
          <w:marTop w:val="0"/>
          <w:marBottom w:val="0"/>
          <w:divBdr>
            <w:top w:val="none" w:sz="0" w:space="0" w:color="auto"/>
            <w:left w:val="none" w:sz="0" w:space="0" w:color="auto"/>
            <w:bottom w:val="none" w:sz="0" w:space="0" w:color="auto"/>
            <w:right w:val="none" w:sz="0" w:space="0" w:color="auto"/>
          </w:divBdr>
        </w:div>
      </w:divsChild>
    </w:div>
    <w:div w:id="2014406273">
      <w:bodyDiv w:val="1"/>
      <w:marLeft w:val="0"/>
      <w:marRight w:val="0"/>
      <w:marTop w:val="0"/>
      <w:marBottom w:val="0"/>
      <w:divBdr>
        <w:top w:val="none" w:sz="0" w:space="0" w:color="auto"/>
        <w:left w:val="none" w:sz="0" w:space="0" w:color="auto"/>
        <w:bottom w:val="none" w:sz="0" w:space="0" w:color="auto"/>
        <w:right w:val="none" w:sz="0" w:space="0" w:color="auto"/>
      </w:divBdr>
    </w:div>
    <w:div w:id="2018188389">
      <w:bodyDiv w:val="1"/>
      <w:marLeft w:val="0"/>
      <w:marRight w:val="0"/>
      <w:marTop w:val="0"/>
      <w:marBottom w:val="0"/>
      <w:divBdr>
        <w:top w:val="none" w:sz="0" w:space="0" w:color="auto"/>
        <w:left w:val="none" w:sz="0" w:space="0" w:color="auto"/>
        <w:bottom w:val="none" w:sz="0" w:space="0" w:color="auto"/>
        <w:right w:val="none" w:sz="0" w:space="0" w:color="auto"/>
      </w:divBdr>
      <w:divsChild>
        <w:div w:id="161165131">
          <w:marLeft w:val="0"/>
          <w:marRight w:val="0"/>
          <w:marTop w:val="0"/>
          <w:marBottom w:val="0"/>
          <w:divBdr>
            <w:top w:val="none" w:sz="0" w:space="0" w:color="auto"/>
            <w:left w:val="none" w:sz="0" w:space="0" w:color="auto"/>
            <w:bottom w:val="none" w:sz="0" w:space="0" w:color="auto"/>
            <w:right w:val="none" w:sz="0" w:space="0" w:color="auto"/>
          </w:divBdr>
          <w:divsChild>
            <w:div w:id="1363941932">
              <w:marLeft w:val="0"/>
              <w:marRight w:val="0"/>
              <w:marTop w:val="0"/>
              <w:marBottom w:val="0"/>
              <w:divBdr>
                <w:top w:val="none" w:sz="0" w:space="0" w:color="auto"/>
                <w:left w:val="none" w:sz="0" w:space="0" w:color="auto"/>
                <w:bottom w:val="none" w:sz="0" w:space="0" w:color="auto"/>
                <w:right w:val="none" w:sz="0" w:space="0" w:color="auto"/>
              </w:divBdr>
            </w:div>
          </w:divsChild>
        </w:div>
        <w:div w:id="177740861">
          <w:marLeft w:val="0"/>
          <w:marRight w:val="0"/>
          <w:marTop w:val="0"/>
          <w:marBottom w:val="0"/>
          <w:divBdr>
            <w:top w:val="none" w:sz="0" w:space="0" w:color="auto"/>
            <w:left w:val="none" w:sz="0" w:space="0" w:color="auto"/>
            <w:bottom w:val="none" w:sz="0" w:space="0" w:color="auto"/>
            <w:right w:val="none" w:sz="0" w:space="0" w:color="auto"/>
          </w:divBdr>
          <w:divsChild>
            <w:div w:id="1514489301">
              <w:marLeft w:val="0"/>
              <w:marRight w:val="0"/>
              <w:marTop w:val="0"/>
              <w:marBottom w:val="0"/>
              <w:divBdr>
                <w:top w:val="none" w:sz="0" w:space="0" w:color="auto"/>
                <w:left w:val="none" w:sz="0" w:space="0" w:color="auto"/>
                <w:bottom w:val="none" w:sz="0" w:space="0" w:color="auto"/>
                <w:right w:val="none" w:sz="0" w:space="0" w:color="auto"/>
              </w:divBdr>
            </w:div>
          </w:divsChild>
        </w:div>
        <w:div w:id="310213195">
          <w:marLeft w:val="0"/>
          <w:marRight w:val="0"/>
          <w:marTop w:val="0"/>
          <w:marBottom w:val="0"/>
          <w:divBdr>
            <w:top w:val="none" w:sz="0" w:space="0" w:color="auto"/>
            <w:left w:val="none" w:sz="0" w:space="0" w:color="auto"/>
            <w:bottom w:val="none" w:sz="0" w:space="0" w:color="auto"/>
            <w:right w:val="none" w:sz="0" w:space="0" w:color="auto"/>
          </w:divBdr>
          <w:divsChild>
            <w:div w:id="960234236">
              <w:marLeft w:val="0"/>
              <w:marRight w:val="0"/>
              <w:marTop w:val="0"/>
              <w:marBottom w:val="0"/>
              <w:divBdr>
                <w:top w:val="none" w:sz="0" w:space="0" w:color="auto"/>
                <w:left w:val="none" w:sz="0" w:space="0" w:color="auto"/>
                <w:bottom w:val="none" w:sz="0" w:space="0" w:color="auto"/>
                <w:right w:val="none" w:sz="0" w:space="0" w:color="auto"/>
              </w:divBdr>
            </w:div>
          </w:divsChild>
        </w:div>
        <w:div w:id="391662232">
          <w:marLeft w:val="0"/>
          <w:marRight w:val="0"/>
          <w:marTop w:val="0"/>
          <w:marBottom w:val="0"/>
          <w:divBdr>
            <w:top w:val="none" w:sz="0" w:space="0" w:color="auto"/>
            <w:left w:val="none" w:sz="0" w:space="0" w:color="auto"/>
            <w:bottom w:val="none" w:sz="0" w:space="0" w:color="auto"/>
            <w:right w:val="none" w:sz="0" w:space="0" w:color="auto"/>
          </w:divBdr>
          <w:divsChild>
            <w:div w:id="1393314935">
              <w:marLeft w:val="0"/>
              <w:marRight w:val="0"/>
              <w:marTop w:val="0"/>
              <w:marBottom w:val="0"/>
              <w:divBdr>
                <w:top w:val="none" w:sz="0" w:space="0" w:color="auto"/>
                <w:left w:val="none" w:sz="0" w:space="0" w:color="auto"/>
                <w:bottom w:val="none" w:sz="0" w:space="0" w:color="auto"/>
                <w:right w:val="none" w:sz="0" w:space="0" w:color="auto"/>
              </w:divBdr>
            </w:div>
          </w:divsChild>
        </w:div>
        <w:div w:id="1015812549">
          <w:marLeft w:val="0"/>
          <w:marRight w:val="0"/>
          <w:marTop w:val="0"/>
          <w:marBottom w:val="0"/>
          <w:divBdr>
            <w:top w:val="none" w:sz="0" w:space="0" w:color="auto"/>
            <w:left w:val="none" w:sz="0" w:space="0" w:color="auto"/>
            <w:bottom w:val="none" w:sz="0" w:space="0" w:color="auto"/>
            <w:right w:val="none" w:sz="0" w:space="0" w:color="auto"/>
          </w:divBdr>
          <w:divsChild>
            <w:div w:id="1752005882">
              <w:marLeft w:val="0"/>
              <w:marRight w:val="0"/>
              <w:marTop w:val="0"/>
              <w:marBottom w:val="0"/>
              <w:divBdr>
                <w:top w:val="none" w:sz="0" w:space="0" w:color="auto"/>
                <w:left w:val="none" w:sz="0" w:space="0" w:color="auto"/>
                <w:bottom w:val="none" w:sz="0" w:space="0" w:color="auto"/>
                <w:right w:val="none" w:sz="0" w:space="0" w:color="auto"/>
              </w:divBdr>
            </w:div>
          </w:divsChild>
        </w:div>
        <w:div w:id="1262953951">
          <w:marLeft w:val="0"/>
          <w:marRight w:val="0"/>
          <w:marTop w:val="0"/>
          <w:marBottom w:val="0"/>
          <w:divBdr>
            <w:top w:val="none" w:sz="0" w:space="0" w:color="auto"/>
            <w:left w:val="none" w:sz="0" w:space="0" w:color="auto"/>
            <w:bottom w:val="none" w:sz="0" w:space="0" w:color="auto"/>
            <w:right w:val="none" w:sz="0" w:space="0" w:color="auto"/>
          </w:divBdr>
          <w:divsChild>
            <w:div w:id="1051535421">
              <w:marLeft w:val="0"/>
              <w:marRight w:val="0"/>
              <w:marTop w:val="0"/>
              <w:marBottom w:val="0"/>
              <w:divBdr>
                <w:top w:val="none" w:sz="0" w:space="0" w:color="auto"/>
                <w:left w:val="none" w:sz="0" w:space="0" w:color="auto"/>
                <w:bottom w:val="none" w:sz="0" w:space="0" w:color="auto"/>
                <w:right w:val="none" w:sz="0" w:space="0" w:color="auto"/>
              </w:divBdr>
            </w:div>
          </w:divsChild>
        </w:div>
        <w:div w:id="1506673679">
          <w:marLeft w:val="0"/>
          <w:marRight w:val="0"/>
          <w:marTop w:val="0"/>
          <w:marBottom w:val="0"/>
          <w:divBdr>
            <w:top w:val="none" w:sz="0" w:space="0" w:color="auto"/>
            <w:left w:val="none" w:sz="0" w:space="0" w:color="auto"/>
            <w:bottom w:val="none" w:sz="0" w:space="0" w:color="auto"/>
            <w:right w:val="none" w:sz="0" w:space="0" w:color="auto"/>
          </w:divBdr>
          <w:divsChild>
            <w:div w:id="730424309">
              <w:marLeft w:val="0"/>
              <w:marRight w:val="0"/>
              <w:marTop w:val="0"/>
              <w:marBottom w:val="0"/>
              <w:divBdr>
                <w:top w:val="none" w:sz="0" w:space="0" w:color="auto"/>
                <w:left w:val="none" w:sz="0" w:space="0" w:color="auto"/>
                <w:bottom w:val="none" w:sz="0" w:space="0" w:color="auto"/>
                <w:right w:val="none" w:sz="0" w:space="0" w:color="auto"/>
              </w:divBdr>
            </w:div>
          </w:divsChild>
        </w:div>
        <w:div w:id="1526870075">
          <w:marLeft w:val="0"/>
          <w:marRight w:val="0"/>
          <w:marTop w:val="0"/>
          <w:marBottom w:val="0"/>
          <w:divBdr>
            <w:top w:val="none" w:sz="0" w:space="0" w:color="auto"/>
            <w:left w:val="none" w:sz="0" w:space="0" w:color="auto"/>
            <w:bottom w:val="none" w:sz="0" w:space="0" w:color="auto"/>
            <w:right w:val="none" w:sz="0" w:space="0" w:color="auto"/>
          </w:divBdr>
          <w:divsChild>
            <w:div w:id="1710104957">
              <w:marLeft w:val="0"/>
              <w:marRight w:val="0"/>
              <w:marTop w:val="0"/>
              <w:marBottom w:val="0"/>
              <w:divBdr>
                <w:top w:val="none" w:sz="0" w:space="0" w:color="auto"/>
                <w:left w:val="none" w:sz="0" w:space="0" w:color="auto"/>
                <w:bottom w:val="none" w:sz="0" w:space="0" w:color="auto"/>
                <w:right w:val="none" w:sz="0" w:space="0" w:color="auto"/>
              </w:divBdr>
            </w:div>
          </w:divsChild>
        </w:div>
        <w:div w:id="1625379781">
          <w:marLeft w:val="0"/>
          <w:marRight w:val="0"/>
          <w:marTop w:val="0"/>
          <w:marBottom w:val="0"/>
          <w:divBdr>
            <w:top w:val="none" w:sz="0" w:space="0" w:color="auto"/>
            <w:left w:val="none" w:sz="0" w:space="0" w:color="auto"/>
            <w:bottom w:val="none" w:sz="0" w:space="0" w:color="auto"/>
            <w:right w:val="none" w:sz="0" w:space="0" w:color="auto"/>
          </w:divBdr>
          <w:divsChild>
            <w:div w:id="1173884831">
              <w:marLeft w:val="0"/>
              <w:marRight w:val="0"/>
              <w:marTop w:val="0"/>
              <w:marBottom w:val="0"/>
              <w:divBdr>
                <w:top w:val="none" w:sz="0" w:space="0" w:color="auto"/>
                <w:left w:val="none" w:sz="0" w:space="0" w:color="auto"/>
                <w:bottom w:val="none" w:sz="0" w:space="0" w:color="auto"/>
                <w:right w:val="none" w:sz="0" w:space="0" w:color="auto"/>
              </w:divBdr>
            </w:div>
          </w:divsChild>
        </w:div>
        <w:div w:id="1674214107">
          <w:marLeft w:val="0"/>
          <w:marRight w:val="0"/>
          <w:marTop w:val="0"/>
          <w:marBottom w:val="0"/>
          <w:divBdr>
            <w:top w:val="none" w:sz="0" w:space="0" w:color="auto"/>
            <w:left w:val="none" w:sz="0" w:space="0" w:color="auto"/>
            <w:bottom w:val="none" w:sz="0" w:space="0" w:color="auto"/>
            <w:right w:val="none" w:sz="0" w:space="0" w:color="auto"/>
          </w:divBdr>
          <w:divsChild>
            <w:div w:id="1788892776">
              <w:marLeft w:val="0"/>
              <w:marRight w:val="0"/>
              <w:marTop w:val="0"/>
              <w:marBottom w:val="0"/>
              <w:divBdr>
                <w:top w:val="none" w:sz="0" w:space="0" w:color="auto"/>
                <w:left w:val="none" w:sz="0" w:space="0" w:color="auto"/>
                <w:bottom w:val="none" w:sz="0" w:space="0" w:color="auto"/>
                <w:right w:val="none" w:sz="0" w:space="0" w:color="auto"/>
              </w:divBdr>
            </w:div>
          </w:divsChild>
        </w:div>
        <w:div w:id="1867406879">
          <w:marLeft w:val="0"/>
          <w:marRight w:val="0"/>
          <w:marTop w:val="0"/>
          <w:marBottom w:val="0"/>
          <w:divBdr>
            <w:top w:val="none" w:sz="0" w:space="0" w:color="auto"/>
            <w:left w:val="none" w:sz="0" w:space="0" w:color="auto"/>
            <w:bottom w:val="none" w:sz="0" w:space="0" w:color="auto"/>
            <w:right w:val="none" w:sz="0" w:space="0" w:color="auto"/>
          </w:divBdr>
          <w:divsChild>
            <w:div w:id="1335380710">
              <w:marLeft w:val="0"/>
              <w:marRight w:val="0"/>
              <w:marTop w:val="0"/>
              <w:marBottom w:val="0"/>
              <w:divBdr>
                <w:top w:val="none" w:sz="0" w:space="0" w:color="auto"/>
                <w:left w:val="none" w:sz="0" w:space="0" w:color="auto"/>
                <w:bottom w:val="none" w:sz="0" w:space="0" w:color="auto"/>
                <w:right w:val="none" w:sz="0" w:space="0" w:color="auto"/>
              </w:divBdr>
            </w:div>
          </w:divsChild>
        </w:div>
        <w:div w:id="1896234587">
          <w:marLeft w:val="0"/>
          <w:marRight w:val="0"/>
          <w:marTop w:val="0"/>
          <w:marBottom w:val="0"/>
          <w:divBdr>
            <w:top w:val="none" w:sz="0" w:space="0" w:color="auto"/>
            <w:left w:val="none" w:sz="0" w:space="0" w:color="auto"/>
            <w:bottom w:val="none" w:sz="0" w:space="0" w:color="auto"/>
            <w:right w:val="none" w:sz="0" w:space="0" w:color="auto"/>
          </w:divBdr>
          <w:divsChild>
            <w:div w:id="206786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159249">
      <w:bodyDiv w:val="1"/>
      <w:marLeft w:val="0"/>
      <w:marRight w:val="0"/>
      <w:marTop w:val="0"/>
      <w:marBottom w:val="0"/>
      <w:divBdr>
        <w:top w:val="none" w:sz="0" w:space="0" w:color="auto"/>
        <w:left w:val="none" w:sz="0" w:space="0" w:color="auto"/>
        <w:bottom w:val="none" w:sz="0" w:space="0" w:color="auto"/>
        <w:right w:val="none" w:sz="0" w:space="0" w:color="auto"/>
      </w:divBdr>
      <w:divsChild>
        <w:div w:id="1574437294">
          <w:marLeft w:val="0"/>
          <w:marRight w:val="0"/>
          <w:marTop w:val="0"/>
          <w:marBottom w:val="0"/>
          <w:divBdr>
            <w:top w:val="none" w:sz="0" w:space="0" w:color="auto"/>
            <w:left w:val="none" w:sz="0" w:space="0" w:color="auto"/>
            <w:bottom w:val="none" w:sz="0" w:space="0" w:color="auto"/>
            <w:right w:val="none" w:sz="0" w:space="0" w:color="auto"/>
          </w:divBdr>
        </w:div>
        <w:div w:id="1661421990">
          <w:marLeft w:val="0"/>
          <w:marRight w:val="0"/>
          <w:marTop w:val="0"/>
          <w:marBottom w:val="0"/>
          <w:divBdr>
            <w:top w:val="none" w:sz="0" w:space="0" w:color="auto"/>
            <w:left w:val="none" w:sz="0" w:space="0" w:color="auto"/>
            <w:bottom w:val="none" w:sz="0" w:space="0" w:color="auto"/>
            <w:right w:val="none" w:sz="0" w:space="0" w:color="auto"/>
          </w:divBdr>
        </w:div>
        <w:div w:id="1891647872">
          <w:marLeft w:val="0"/>
          <w:marRight w:val="0"/>
          <w:marTop w:val="0"/>
          <w:marBottom w:val="0"/>
          <w:divBdr>
            <w:top w:val="none" w:sz="0" w:space="0" w:color="auto"/>
            <w:left w:val="none" w:sz="0" w:space="0" w:color="auto"/>
            <w:bottom w:val="none" w:sz="0" w:space="0" w:color="auto"/>
            <w:right w:val="none" w:sz="0" w:space="0" w:color="auto"/>
          </w:divBdr>
        </w:div>
      </w:divsChild>
    </w:div>
    <w:div w:id="2024866727">
      <w:bodyDiv w:val="1"/>
      <w:marLeft w:val="0"/>
      <w:marRight w:val="0"/>
      <w:marTop w:val="0"/>
      <w:marBottom w:val="0"/>
      <w:divBdr>
        <w:top w:val="none" w:sz="0" w:space="0" w:color="auto"/>
        <w:left w:val="none" w:sz="0" w:space="0" w:color="auto"/>
        <w:bottom w:val="none" w:sz="0" w:space="0" w:color="auto"/>
        <w:right w:val="none" w:sz="0" w:space="0" w:color="auto"/>
      </w:divBdr>
      <w:divsChild>
        <w:div w:id="1715502646">
          <w:marLeft w:val="0"/>
          <w:marRight w:val="0"/>
          <w:marTop w:val="0"/>
          <w:marBottom w:val="0"/>
          <w:divBdr>
            <w:top w:val="none" w:sz="0" w:space="0" w:color="auto"/>
            <w:left w:val="none" w:sz="0" w:space="0" w:color="auto"/>
            <w:bottom w:val="none" w:sz="0" w:space="0" w:color="auto"/>
            <w:right w:val="none" w:sz="0" w:space="0" w:color="auto"/>
          </w:divBdr>
        </w:div>
      </w:divsChild>
    </w:div>
    <w:div w:id="2025471611">
      <w:bodyDiv w:val="1"/>
      <w:marLeft w:val="0"/>
      <w:marRight w:val="0"/>
      <w:marTop w:val="0"/>
      <w:marBottom w:val="0"/>
      <w:divBdr>
        <w:top w:val="none" w:sz="0" w:space="0" w:color="auto"/>
        <w:left w:val="none" w:sz="0" w:space="0" w:color="auto"/>
        <w:bottom w:val="none" w:sz="0" w:space="0" w:color="auto"/>
        <w:right w:val="none" w:sz="0" w:space="0" w:color="auto"/>
      </w:divBdr>
      <w:divsChild>
        <w:div w:id="985282841">
          <w:marLeft w:val="0"/>
          <w:marRight w:val="0"/>
          <w:marTop w:val="0"/>
          <w:marBottom w:val="0"/>
          <w:divBdr>
            <w:top w:val="none" w:sz="0" w:space="0" w:color="auto"/>
            <w:left w:val="none" w:sz="0" w:space="0" w:color="auto"/>
            <w:bottom w:val="none" w:sz="0" w:space="0" w:color="auto"/>
            <w:right w:val="none" w:sz="0" w:space="0" w:color="auto"/>
          </w:divBdr>
        </w:div>
        <w:div w:id="1746295811">
          <w:marLeft w:val="0"/>
          <w:marRight w:val="0"/>
          <w:marTop w:val="0"/>
          <w:marBottom w:val="0"/>
          <w:divBdr>
            <w:top w:val="none" w:sz="0" w:space="0" w:color="auto"/>
            <w:left w:val="none" w:sz="0" w:space="0" w:color="auto"/>
            <w:bottom w:val="none" w:sz="0" w:space="0" w:color="auto"/>
            <w:right w:val="none" w:sz="0" w:space="0" w:color="auto"/>
          </w:divBdr>
        </w:div>
        <w:div w:id="2107773332">
          <w:marLeft w:val="0"/>
          <w:marRight w:val="0"/>
          <w:marTop w:val="0"/>
          <w:marBottom w:val="0"/>
          <w:divBdr>
            <w:top w:val="none" w:sz="0" w:space="0" w:color="auto"/>
            <w:left w:val="none" w:sz="0" w:space="0" w:color="auto"/>
            <w:bottom w:val="none" w:sz="0" w:space="0" w:color="auto"/>
            <w:right w:val="none" w:sz="0" w:space="0" w:color="auto"/>
          </w:divBdr>
        </w:div>
      </w:divsChild>
    </w:div>
    <w:div w:id="2030715100">
      <w:bodyDiv w:val="1"/>
      <w:marLeft w:val="0"/>
      <w:marRight w:val="0"/>
      <w:marTop w:val="0"/>
      <w:marBottom w:val="0"/>
      <w:divBdr>
        <w:top w:val="none" w:sz="0" w:space="0" w:color="auto"/>
        <w:left w:val="none" w:sz="0" w:space="0" w:color="auto"/>
        <w:bottom w:val="none" w:sz="0" w:space="0" w:color="auto"/>
        <w:right w:val="none" w:sz="0" w:space="0" w:color="auto"/>
      </w:divBdr>
      <w:divsChild>
        <w:div w:id="1013873836">
          <w:marLeft w:val="0"/>
          <w:marRight w:val="0"/>
          <w:marTop w:val="0"/>
          <w:marBottom w:val="0"/>
          <w:divBdr>
            <w:top w:val="none" w:sz="0" w:space="0" w:color="auto"/>
            <w:left w:val="none" w:sz="0" w:space="0" w:color="auto"/>
            <w:bottom w:val="none" w:sz="0" w:space="0" w:color="auto"/>
            <w:right w:val="none" w:sz="0" w:space="0" w:color="auto"/>
          </w:divBdr>
        </w:div>
        <w:div w:id="1732540736">
          <w:marLeft w:val="0"/>
          <w:marRight w:val="0"/>
          <w:marTop w:val="0"/>
          <w:marBottom w:val="0"/>
          <w:divBdr>
            <w:top w:val="none" w:sz="0" w:space="0" w:color="auto"/>
            <w:left w:val="none" w:sz="0" w:space="0" w:color="auto"/>
            <w:bottom w:val="none" w:sz="0" w:space="0" w:color="auto"/>
            <w:right w:val="none" w:sz="0" w:space="0" w:color="auto"/>
          </w:divBdr>
        </w:div>
      </w:divsChild>
    </w:div>
    <w:div w:id="2032224659">
      <w:bodyDiv w:val="1"/>
      <w:marLeft w:val="0"/>
      <w:marRight w:val="0"/>
      <w:marTop w:val="0"/>
      <w:marBottom w:val="0"/>
      <w:divBdr>
        <w:top w:val="none" w:sz="0" w:space="0" w:color="auto"/>
        <w:left w:val="none" w:sz="0" w:space="0" w:color="auto"/>
        <w:bottom w:val="none" w:sz="0" w:space="0" w:color="auto"/>
        <w:right w:val="none" w:sz="0" w:space="0" w:color="auto"/>
      </w:divBdr>
    </w:div>
    <w:div w:id="2035499695">
      <w:bodyDiv w:val="1"/>
      <w:marLeft w:val="0"/>
      <w:marRight w:val="0"/>
      <w:marTop w:val="0"/>
      <w:marBottom w:val="0"/>
      <w:divBdr>
        <w:top w:val="none" w:sz="0" w:space="0" w:color="auto"/>
        <w:left w:val="none" w:sz="0" w:space="0" w:color="auto"/>
        <w:bottom w:val="none" w:sz="0" w:space="0" w:color="auto"/>
        <w:right w:val="none" w:sz="0" w:space="0" w:color="auto"/>
      </w:divBdr>
    </w:div>
    <w:div w:id="2040201538">
      <w:bodyDiv w:val="1"/>
      <w:marLeft w:val="0"/>
      <w:marRight w:val="0"/>
      <w:marTop w:val="0"/>
      <w:marBottom w:val="0"/>
      <w:divBdr>
        <w:top w:val="none" w:sz="0" w:space="0" w:color="auto"/>
        <w:left w:val="none" w:sz="0" w:space="0" w:color="auto"/>
        <w:bottom w:val="none" w:sz="0" w:space="0" w:color="auto"/>
        <w:right w:val="none" w:sz="0" w:space="0" w:color="auto"/>
      </w:divBdr>
      <w:divsChild>
        <w:div w:id="62026195">
          <w:marLeft w:val="0"/>
          <w:marRight w:val="0"/>
          <w:marTop w:val="0"/>
          <w:marBottom w:val="0"/>
          <w:divBdr>
            <w:top w:val="none" w:sz="0" w:space="0" w:color="auto"/>
            <w:left w:val="none" w:sz="0" w:space="0" w:color="auto"/>
            <w:bottom w:val="none" w:sz="0" w:space="0" w:color="auto"/>
            <w:right w:val="none" w:sz="0" w:space="0" w:color="auto"/>
          </w:divBdr>
          <w:divsChild>
            <w:div w:id="1853569452">
              <w:marLeft w:val="0"/>
              <w:marRight w:val="0"/>
              <w:marTop w:val="30"/>
              <w:marBottom w:val="30"/>
              <w:divBdr>
                <w:top w:val="none" w:sz="0" w:space="0" w:color="auto"/>
                <w:left w:val="none" w:sz="0" w:space="0" w:color="auto"/>
                <w:bottom w:val="none" w:sz="0" w:space="0" w:color="auto"/>
                <w:right w:val="none" w:sz="0" w:space="0" w:color="auto"/>
              </w:divBdr>
              <w:divsChild>
                <w:div w:id="74594827">
                  <w:marLeft w:val="0"/>
                  <w:marRight w:val="0"/>
                  <w:marTop w:val="0"/>
                  <w:marBottom w:val="0"/>
                  <w:divBdr>
                    <w:top w:val="none" w:sz="0" w:space="0" w:color="auto"/>
                    <w:left w:val="none" w:sz="0" w:space="0" w:color="auto"/>
                    <w:bottom w:val="none" w:sz="0" w:space="0" w:color="auto"/>
                    <w:right w:val="none" w:sz="0" w:space="0" w:color="auto"/>
                  </w:divBdr>
                  <w:divsChild>
                    <w:div w:id="1463036357">
                      <w:marLeft w:val="0"/>
                      <w:marRight w:val="0"/>
                      <w:marTop w:val="0"/>
                      <w:marBottom w:val="0"/>
                      <w:divBdr>
                        <w:top w:val="none" w:sz="0" w:space="0" w:color="auto"/>
                        <w:left w:val="none" w:sz="0" w:space="0" w:color="auto"/>
                        <w:bottom w:val="none" w:sz="0" w:space="0" w:color="auto"/>
                        <w:right w:val="none" w:sz="0" w:space="0" w:color="auto"/>
                      </w:divBdr>
                    </w:div>
                  </w:divsChild>
                </w:div>
                <w:div w:id="410390252">
                  <w:marLeft w:val="0"/>
                  <w:marRight w:val="0"/>
                  <w:marTop w:val="0"/>
                  <w:marBottom w:val="0"/>
                  <w:divBdr>
                    <w:top w:val="none" w:sz="0" w:space="0" w:color="auto"/>
                    <w:left w:val="none" w:sz="0" w:space="0" w:color="auto"/>
                    <w:bottom w:val="none" w:sz="0" w:space="0" w:color="auto"/>
                    <w:right w:val="none" w:sz="0" w:space="0" w:color="auto"/>
                  </w:divBdr>
                  <w:divsChild>
                    <w:div w:id="293558712">
                      <w:marLeft w:val="0"/>
                      <w:marRight w:val="0"/>
                      <w:marTop w:val="0"/>
                      <w:marBottom w:val="0"/>
                      <w:divBdr>
                        <w:top w:val="none" w:sz="0" w:space="0" w:color="auto"/>
                        <w:left w:val="none" w:sz="0" w:space="0" w:color="auto"/>
                        <w:bottom w:val="none" w:sz="0" w:space="0" w:color="auto"/>
                        <w:right w:val="none" w:sz="0" w:space="0" w:color="auto"/>
                      </w:divBdr>
                    </w:div>
                  </w:divsChild>
                </w:div>
                <w:div w:id="430122627">
                  <w:marLeft w:val="0"/>
                  <w:marRight w:val="0"/>
                  <w:marTop w:val="0"/>
                  <w:marBottom w:val="0"/>
                  <w:divBdr>
                    <w:top w:val="none" w:sz="0" w:space="0" w:color="auto"/>
                    <w:left w:val="none" w:sz="0" w:space="0" w:color="auto"/>
                    <w:bottom w:val="none" w:sz="0" w:space="0" w:color="auto"/>
                    <w:right w:val="none" w:sz="0" w:space="0" w:color="auto"/>
                  </w:divBdr>
                  <w:divsChild>
                    <w:div w:id="378481287">
                      <w:marLeft w:val="0"/>
                      <w:marRight w:val="0"/>
                      <w:marTop w:val="0"/>
                      <w:marBottom w:val="0"/>
                      <w:divBdr>
                        <w:top w:val="none" w:sz="0" w:space="0" w:color="auto"/>
                        <w:left w:val="none" w:sz="0" w:space="0" w:color="auto"/>
                        <w:bottom w:val="none" w:sz="0" w:space="0" w:color="auto"/>
                        <w:right w:val="none" w:sz="0" w:space="0" w:color="auto"/>
                      </w:divBdr>
                    </w:div>
                  </w:divsChild>
                </w:div>
                <w:div w:id="646932026">
                  <w:marLeft w:val="0"/>
                  <w:marRight w:val="0"/>
                  <w:marTop w:val="0"/>
                  <w:marBottom w:val="0"/>
                  <w:divBdr>
                    <w:top w:val="none" w:sz="0" w:space="0" w:color="auto"/>
                    <w:left w:val="none" w:sz="0" w:space="0" w:color="auto"/>
                    <w:bottom w:val="none" w:sz="0" w:space="0" w:color="auto"/>
                    <w:right w:val="none" w:sz="0" w:space="0" w:color="auto"/>
                  </w:divBdr>
                  <w:divsChild>
                    <w:div w:id="686641892">
                      <w:marLeft w:val="0"/>
                      <w:marRight w:val="0"/>
                      <w:marTop w:val="0"/>
                      <w:marBottom w:val="0"/>
                      <w:divBdr>
                        <w:top w:val="none" w:sz="0" w:space="0" w:color="auto"/>
                        <w:left w:val="none" w:sz="0" w:space="0" w:color="auto"/>
                        <w:bottom w:val="none" w:sz="0" w:space="0" w:color="auto"/>
                        <w:right w:val="none" w:sz="0" w:space="0" w:color="auto"/>
                      </w:divBdr>
                    </w:div>
                  </w:divsChild>
                </w:div>
                <w:div w:id="863253043">
                  <w:marLeft w:val="0"/>
                  <w:marRight w:val="0"/>
                  <w:marTop w:val="0"/>
                  <w:marBottom w:val="0"/>
                  <w:divBdr>
                    <w:top w:val="none" w:sz="0" w:space="0" w:color="auto"/>
                    <w:left w:val="none" w:sz="0" w:space="0" w:color="auto"/>
                    <w:bottom w:val="none" w:sz="0" w:space="0" w:color="auto"/>
                    <w:right w:val="none" w:sz="0" w:space="0" w:color="auto"/>
                  </w:divBdr>
                  <w:divsChild>
                    <w:div w:id="548349058">
                      <w:marLeft w:val="0"/>
                      <w:marRight w:val="0"/>
                      <w:marTop w:val="0"/>
                      <w:marBottom w:val="0"/>
                      <w:divBdr>
                        <w:top w:val="none" w:sz="0" w:space="0" w:color="auto"/>
                        <w:left w:val="none" w:sz="0" w:space="0" w:color="auto"/>
                        <w:bottom w:val="none" w:sz="0" w:space="0" w:color="auto"/>
                        <w:right w:val="none" w:sz="0" w:space="0" w:color="auto"/>
                      </w:divBdr>
                    </w:div>
                  </w:divsChild>
                </w:div>
                <w:div w:id="1148939072">
                  <w:marLeft w:val="0"/>
                  <w:marRight w:val="0"/>
                  <w:marTop w:val="0"/>
                  <w:marBottom w:val="0"/>
                  <w:divBdr>
                    <w:top w:val="none" w:sz="0" w:space="0" w:color="auto"/>
                    <w:left w:val="none" w:sz="0" w:space="0" w:color="auto"/>
                    <w:bottom w:val="none" w:sz="0" w:space="0" w:color="auto"/>
                    <w:right w:val="none" w:sz="0" w:space="0" w:color="auto"/>
                  </w:divBdr>
                  <w:divsChild>
                    <w:div w:id="2116363622">
                      <w:marLeft w:val="0"/>
                      <w:marRight w:val="0"/>
                      <w:marTop w:val="0"/>
                      <w:marBottom w:val="0"/>
                      <w:divBdr>
                        <w:top w:val="none" w:sz="0" w:space="0" w:color="auto"/>
                        <w:left w:val="none" w:sz="0" w:space="0" w:color="auto"/>
                        <w:bottom w:val="none" w:sz="0" w:space="0" w:color="auto"/>
                        <w:right w:val="none" w:sz="0" w:space="0" w:color="auto"/>
                      </w:divBdr>
                    </w:div>
                  </w:divsChild>
                </w:div>
                <w:div w:id="1252618966">
                  <w:marLeft w:val="0"/>
                  <w:marRight w:val="0"/>
                  <w:marTop w:val="0"/>
                  <w:marBottom w:val="0"/>
                  <w:divBdr>
                    <w:top w:val="none" w:sz="0" w:space="0" w:color="auto"/>
                    <w:left w:val="none" w:sz="0" w:space="0" w:color="auto"/>
                    <w:bottom w:val="none" w:sz="0" w:space="0" w:color="auto"/>
                    <w:right w:val="none" w:sz="0" w:space="0" w:color="auto"/>
                  </w:divBdr>
                  <w:divsChild>
                    <w:div w:id="135412692">
                      <w:marLeft w:val="0"/>
                      <w:marRight w:val="0"/>
                      <w:marTop w:val="0"/>
                      <w:marBottom w:val="0"/>
                      <w:divBdr>
                        <w:top w:val="none" w:sz="0" w:space="0" w:color="auto"/>
                        <w:left w:val="none" w:sz="0" w:space="0" w:color="auto"/>
                        <w:bottom w:val="none" w:sz="0" w:space="0" w:color="auto"/>
                        <w:right w:val="none" w:sz="0" w:space="0" w:color="auto"/>
                      </w:divBdr>
                    </w:div>
                  </w:divsChild>
                </w:div>
                <w:div w:id="1316841629">
                  <w:marLeft w:val="0"/>
                  <w:marRight w:val="0"/>
                  <w:marTop w:val="0"/>
                  <w:marBottom w:val="0"/>
                  <w:divBdr>
                    <w:top w:val="none" w:sz="0" w:space="0" w:color="auto"/>
                    <w:left w:val="none" w:sz="0" w:space="0" w:color="auto"/>
                    <w:bottom w:val="none" w:sz="0" w:space="0" w:color="auto"/>
                    <w:right w:val="none" w:sz="0" w:space="0" w:color="auto"/>
                  </w:divBdr>
                  <w:divsChild>
                    <w:div w:id="285161161">
                      <w:marLeft w:val="0"/>
                      <w:marRight w:val="0"/>
                      <w:marTop w:val="0"/>
                      <w:marBottom w:val="0"/>
                      <w:divBdr>
                        <w:top w:val="none" w:sz="0" w:space="0" w:color="auto"/>
                        <w:left w:val="none" w:sz="0" w:space="0" w:color="auto"/>
                        <w:bottom w:val="none" w:sz="0" w:space="0" w:color="auto"/>
                        <w:right w:val="none" w:sz="0" w:space="0" w:color="auto"/>
                      </w:divBdr>
                    </w:div>
                  </w:divsChild>
                </w:div>
                <w:div w:id="1530489703">
                  <w:marLeft w:val="0"/>
                  <w:marRight w:val="0"/>
                  <w:marTop w:val="0"/>
                  <w:marBottom w:val="0"/>
                  <w:divBdr>
                    <w:top w:val="none" w:sz="0" w:space="0" w:color="auto"/>
                    <w:left w:val="none" w:sz="0" w:space="0" w:color="auto"/>
                    <w:bottom w:val="none" w:sz="0" w:space="0" w:color="auto"/>
                    <w:right w:val="none" w:sz="0" w:space="0" w:color="auto"/>
                  </w:divBdr>
                  <w:divsChild>
                    <w:div w:id="1806585911">
                      <w:marLeft w:val="0"/>
                      <w:marRight w:val="0"/>
                      <w:marTop w:val="0"/>
                      <w:marBottom w:val="0"/>
                      <w:divBdr>
                        <w:top w:val="none" w:sz="0" w:space="0" w:color="auto"/>
                        <w:left w:val="none" w:sz="0" w:space="0" w:color="auto"/>
                        <w:bottom w:val="none" w:sz="0" w:space="0" w:color="auto"/>
                        <w:right w:val="none" w:sz="0" w:space="0" w:color="auto"/>
                      </w:divBdr>
                    </w:div>
                  </w:divsChild>
                </w:div>
                <w:div w:id="1762994485">
                  <w:marLeft w:val="0"/>
                  <w:marRight w:val="0"/>
                  <w:marTop w:val="0"/>
                  <w:marBottom w:val="0"/>
                  <w:divBdr>
                    <w:top w:val="none" w:sz="0" w:space="0" w:color="auto"/>
                    <w:left w:val="none" w:sz="0" w:space="0" w:color="auto"/>
                    <w:bottom w:val="none" w:sz="0" w:space="0" w:color="auto"/>
                    <w:right w:val="none" w:sz="0" w:space="0" w:color="auto"/>
                  </w:divBdr>
                  <w:divsChild>
                    <w:div w:id="1579246732">
                      <w:marLeft w:val="0"/>
                      <w:marRight w:val="0"/>
                      <w:marTop w:val="0"/>
                      <w:marBottom w:val="0"/>
                      <w:divBdr>
                        <w:top w:val="none" w:sz="0" w:space="0" w:color="auto"/>
                        <w:left w:val="none" w:sz="0" w:space="0" w:color="auto"/>
                        <w:bottom w:val="none" w:sz="0" w:space="0" w:color="auto"/>
                        <w:right w:val="none" w:sz="0" w:space="0" w:color="auto"/>
                      </w:divBdr>
                    </w:div>
                  </w:divsChild>
                </w:div>
                <w:div w:id="1764640557">
                  <w:marLeft w:val="0"/>
                  <w:marRight w:val="0"/>
                  <w:marTop w:val="0"/>
                  <w:marBottom w:val="0"/>
                  <w:divBdr>
                    <w:top w:val="none" w:sz="0" w:space="0" w:color="auto"/>
                    <w:left w:val="none" w:sz="0" w:space="0" w:color="auto"/>
                    <w:bottom w:val="none" w:sz="0" w:space="0" w:color="auto"/>
                    <w:right w:val="none" w:sz="0" w:space="0" w:color="auto"/>
                  </w:divBdr>
                  <w:divsChild>
                    <w:div w:id="455298893">
                      <w:marLeft w:val="0"/>
                      <w:marRight w:val="0"/>
                      <w:marTop w:val="0"/>
                      <w:marBottom w:val="0"/>
                      <w:divBdr>
                        <w:top w:val="none" w:sz="0" w:space="0" w:color="auto"/>
                        <w:left w:val="none" w:sz="0" w:space="0" w:color="auto"/>
                        <w:bottom w:val="none" w:sz="0" w:space="0" w:color="auto"/>
                        <w:right w:val="none" w:sz="0" w:space="0" w:color="auto"/>
                      </w:divBdr>
                    </w:div>
                  </w:divsChild>
                </w:div>
                <w:div w:id="1941449166">
                  <w:marLeft w:val="0"/>
                  <w:marRight w:val="0"/>
                  <w:marTop w:val="0"/>
                  <w:marBottom w:val="0"/>
                  <w:divBdr>
                    <w:top w:val="none" w:sz="0" w:space="0" w:color="auto"/>
                    <w:left w:val="none" w:sz="0" w:space="0" w:color="auto"/>
                    <w:bottom w:val="none" w:sz="0" w:space="0" w:color="auto"/>
                    <w:right w:val="none" w:sz="0" w:space="0" w:color="auto"/>
                  </w:divBdr>
                  <w:divsChild>
                    <w:div w:id="143551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38549">
          <w:marLeft w:val="0"/>
          <w:marRight w:val="0"/>
          <w:marTop w:val="0"/>
          <w:marBottom w:val="0"/>
          <w:divBdr>
            <w:top w:val="none" w:sz="0" w:space="0" w:color="auto"/>
            <w:left w:val="none" w:sz="0" w:space="0" w:color="auto"/>
            <w:bottom w:val="none" w:sz="0" w:space="0" w:color="auto"/>
            <w:right w:val="none" w:sz="0" w:space="0" w:color="auto"/>
          </w:divBdr>
        </w:div>
        <w:div w:id="154804048">
          <w:marLeft w:val="0"/>
          <w:marRight w:val="0"/>
          <w:marTop w:val="0"/>
          <w:marBottom w:val="0"/>
          <w:divBdr>
            <w:top w:val="none" w:sz="0" w:space="0" w:color="auto"/>
            <w:left w:val="none" w:sz="0" w:space="0" w:color="auto"/>
            <w:bottom w:val="none" w:sz="0" w:space="0" w:color="auto"/>
            <w:right w:val="none" w:sz="0" w:space="0" w:color="auto"/>
          </w:divBdr>
          <w:divsChild>
            <w:div w:id="1650749541">
              <w:marLeft w:val="0"/>
              <w:marRight w:val="0"/>
              <w:marTop w:val="30"/>
              <w:marBottom w:val="30"/>
              <w:divBdr>
                <w:top w:val="none" w:sz="0" w:space="0" w:color="auto"/>
                <w:left w:val="none" w:sz="0" w:space="0" w:color="auto"/>
                <w:bottom w:val="none" w:sz="0" w:space="0" w:color="auto"/>
                <w:right w:val="none" w:sz="0" w:space="0" w:color="auto"/>
              </w:divBdr>
              <w:divsChild>
                <w:div w:id="51782662">
                  <w:marLeft w:val="0"/>
                  <w:marRight w:val="0"/>
                  <w:marTop w:val="0"/>
                  <w:marBottom w:val="0"/>
                  <w:divBdr>
                    <w:top w:val="none" w:sz="0" w:space="0" w:color="auto"/>
                    <w:left w:val="none" w:sz="0" w:space="0" w:color="auto"/>
                    <w:bottom w:val="none" w:sz="0" w:space="0" w:color="auto"/>
                    <w:right w:val="none" w:sz="0" w:space="0" w:color="auto"/>
                  </w:divBdr>
                  <w:divsChild>
                    <w:div w:id="459496645">
                      <w:marLeft w:val="0"/>
                      <w:marRight w:val="0"/>
                      <w:marTop w:val="0"/>
                      <w:marBottom w:val="0"/>
                      <w:divBdr>
                        <w:top w:val="none" w:sz="0" w:space="0" w:color="auto"/>
                        <w:left w:val="none" w:sz="0" w:space="0" w:color="auto"/>
                        <w:bottom w:val="none" w:sz="0" w:space="0" w:color="auto"/>
                        <w:right w:val="none" w:sz="0" w:space="0" w:color="auto"/>
                      </w:divBdr>
                    </w:div>
                  </w:divsChild>
                </w:div>
                <w:div w:id="263802259">
                  <w:marLeft w:val="0"/>
                  <w:marRight w:val="0"/>
                  <w:marTop w:val="0"/>
                  <w:marBottom w:val="0"/>
                  <w:divBdr>
                    <w:top w:val="none" w:sz="0" w:space="0" w:color="auto"/>
                    <w:left w:val="none" w:sz="0" w:space="0" w:color="auto"/>
                    <w:bottom w:val="none" w:sz="0" w:space="0" w:color="auto"/>
                    <w:right w:val="none" w:sz="0" w:space="0" w:color="auto"/>
                  </w:divBdr>
                  <w:divsChild>
                    <w:div w:id="1193303994">
                      <w:marLeft w:val="0"/>
                      <w:marRight w:val="0"/>
                      <w:marTop w:val="0"/>
                      <w:marBottom w:val="0"/>
                      <w:divBdr>
                        <w:top w:val="none" w:sz="0" w:space="0" w:color="auto"/>
                        <w:left w:val="none" w:sz="0" w:space="0" w:color="auto"/>
                        <w:bottom w:val="none" w:sz="0" w:space="0" w:color="auto"/>
                        <w:right w:val="none" w:sz="0" w:space="0" w:color="auto"/>
                      </w:divBdr>
                    </w:div>
                  </w:divsChild>
                </w:div>
                <w:div w:id="636184508">
                  <w:marLeft w:val="0"/>
                  <w:marRight w:val="0"/>
                  <w:marTop w:val="0"/>
                  <w:marBottom w:val="0"/>
                  <w:divBdr>
                    <w:top w:val="none" w:sz="0" w:space="0" w:color="auto"/>
                    <w:left w:val="none" w:sz="0" w:space="0" w:color="auto"/>
                    <w:bottom w:val="none" w:sz="0" w:space="0" w:color="auto"/>
                    <w:right w:val="none" w:sz="0" w:space="0" w:color="auto"/>
                  </w:divBdr>
                  <w:divsChild>
                    <w:div w:id="494345739">
                      <w:marLeft w:val="0"/>
                      <w:marRight w:val="0"/>
                      <w:marTop w:val="0"/>
                      <w:marBottom w:val="0"/>
                      <w:divBdr>
                        <w:top w:val="none" w:sz="0" w:space="0" w:color="auto"/>
                        <w:left w:val="none" w:sz="0" w:space="0" w:color="auto"/>
                        <w:bottom w:val="none" w:sz="0" w:space="0" w:color="auto"/>
                        <w:right w:val="none" w:sz="0" w:space="0" w:color="auto"/>
                      </w:divBdr>
                    </w:div>
                  </w:divsChild>
                </w:div>
                <w:div w:id="1315644256">
                  <w:marLeft w:val="0"/>
                  <w:marRight w:val="0"/>
                  <w:marTop w:val="0"/>
                  <w:marBottom w:val="0"/>
                  <w:divBdr>
                    <w:top w:val="none" w:sz="0" w:space="0" w:color="auto"/>
                    <w:left w:val="none" w:sz="0" w:space="0" w:color="auto"/>
                    <w:bottom w:val="none" w:sz="0" w:space="0" w:color="auto"/>
                    <w:right w:val="none" w:sz="0" w:space="0" w:color="auto"/>
                  </w:divBdr>
                  <w:divsChild>
                    <w:div w:id="1573543788">
                      <w:marLeft w:val="0"/>
                      <w:marRight w:val="0"/>
                      <w:marTop w:val="0"/>
                      <w:marBottom w:val="0"/>
                      <w:divBdr>
                        <w:top w:val="none" w:sz="0" w:space="0" w:color="auto"/>
                        <w:left w:val="none" w:sz="0" w:space="0" w:color="auto"/>
                        <w:bottom w:val="none" w:sz="0" w:space="0" w:color="auto"/>
                        <w:right w:val="none" w:sz="0" w:space="0" w:color="auto"/>
                      </w:divBdr>
                    </w:div>
                  </w:divsChild>
                </w:div>
                <w:div w:id="1531144302">
                  <w:marLeft w:val="0"/>
                  <w:marRight w:val="0"/>
                  <w:marTop w:val="0"/>
                  <w:marBottom w:val="0"/>
                  <w:divBdr>
                    <w:top w:val="none" w:sz="0" w:space="0" w:color="auto"/>
                    <w:left w:val="none" w:sz="0" w:space="0" w:color="auto"/>
                    <w:bottom w:val="none" w:sz="0" w:space="0" w:color="auto"/>
                    <w:right w:val="none" w:sz="0" w:space="0" w:color="auto"/>
                  </w:divBdr>
                  <w:divsChild>
                    <w:div w:id="664168241">
                      <w:marLeft w:val="0"/>
                      <w:marRight w:val="0"/>
                      <w:marTop w:val="0"/>
                      <w:marBottom w:val="0"/>
                      <w:divBdr>
                        <w:top w:val="none" w:sz="0" w:space="0" w:color="auto"/>
                        <w:left w:val="none" w:sz="0" w:space="0" w:color="auto"/>
                        <w:bottom w:val="none" w:sz="0" w:space="0" w:color="auto"/>
                        <w:right w:val="none" w:sz="0" w:space="0" w:color="auto"/>
                      </w:divBdr>
                    </w:div>
                  </w:divsChild>
                </w:div>
                <w:div w:id="1632788657">
                  <w:marLeft w:val="0"/>
                  <w:marRight w:val="0"/>
                  <w:marTop w:val="0"/>
                  <w:marBottom w:val="0"/>
                  <w:divBdr>
                    <w:top w:val="none" w:sz="0" w:space="0" w:color="auto"/>
                    <w:left w:val="none" w:sz="0" w:space="0" w:color="auto"/>
                    <w:bottom w:val="none" w:sz="0" w:space="0" w:color="auto"/>
                    <w:right w:val="none" w:sz="0" w:space="0" w:color="auto"/>
                  </w:divBdr>
                  <w:divsChild>
                    <w:div w:id="32894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89812">
          <w:marLeft w:val="0"/>
          <w:marRight w:val="0"/>
          <w:marTop w:val="0"/>
          <w:marBottom w:val="0"/>
          <w:divBdr>
            <w:top w:val="none" w:sz="0" w:space="0" w:color="auto"/>
            <w:left w:val="none" w:sz="0" w:space="0" w:color="auto"/>
            <w:bottom w:val="none" w:sz="0" w:space="0" w:color="auto"/>
            <w:right w:val="none" w:sz="0" w:space="0" w:color="auto"/>
          </w:divBdr>
        </w:div>
        <w:div w:id="357857618">
          <w:marLeft w:val="0"/>
          <w:marRight w:val="0"/>
          <w:marTop w:val="0"/>
          <w:marBottom w:val="0"/>
          <w:divBdr>
            <w:top w:val="none" w:sz="0" w:space="0" w:color="auto"/>
            <w:left w:val="none" w:sz="0" w:space="0" w:color="auto"/>
            <w:bottom w:val="none" w:sz="0" w:space="0" w:color="auto"/>
            <w:right w:val="none" w:sz="0" w:space="0" w:color="auto"/>
          </w:divBdr>
          <w:divsChild>
            <w:div w:id="399062884">
              <w:marLeft w:val="0"/>
              <w:marRight w:val="0"/>
              <w:marTop w:val="30"/>
              <w:marBottom w:val="30"/>
              <w:divBdr>
                <w:top w:val="none" w:sz="0" w:space="0" w:color="auto"/>
                <w:left w:val="none" w:sz="0" w:space="0" w:color="auto"/>
                <w:bottom w:val="none" w:sz="0" w:space="0" w:color="auto"/>
                <w:right w:val="none" w:sz="0" w:space="0" w:color="auto"/>
              </w:divBdr>
              <w:divsChild>
                <w:div w:id="220412009">
                  <w:marLeft w:val="0"/>
                  <w:marRight w:val="0"/>
                  <w:marTop w:val="0"/>
                  <w:marBottom w:val="0"/>
                  <w:divBdr>
                    <w:top w:val="none" w:sz="0" w:space="0" w:color="auto"/>
                    <w:left w:val="none" w:sz="0" w:space="0" w:color="auto"/>
                    <w:bottom w:val="none" w:sz="0" w:space="0" w:color="auto"/>
                    <w:right w:val="none" w:sz="0" w:space="0" w:color="auto"/>
                  </w:divBdr>
                  <w:divsChild>
                    <w:div w:id="958877011">
                      <w:marLeft w:val="0"/>
                      <w:marRight w:val="0"/>
                      <w:marTop w:val="0"/>
                      <w:marBottom w:val="0"/>
                      <w:divBdr>
                        <w:top w:val="none" w:sz="0" w:space="0" w:color="auto"/>
                        <w:left w:val="none" w:sz="0" w:space="0" w:color="auto"/>
                        <w:bottom w:val="none" w:sz="0" w:space="0" w:color="auto"/>
                        <w:right w:val="none" w:sz="0" w:space="0" w:color="auto"/>
                      </w:divBdr>
                    </w:div>
                  </w:divsChild>
                </w:div>
                <w:div w:id="1143884800">
                  <w:marLeft w:val="0"/>
                  <w:marRight w:val="0"/>
                  <w:marTop w:val="0"/>
                  <w:marBottom w:val="0"/>
                  <w:divBdr>
                    <w:top w:val="none" w:sz="0" w:space="0" w:color="auto"/>
                    <w:left w:val="none" w:sz="0" w:space="0" w:color="auto"/>
                    <w:bottom w:val="none" w:sz="0" w:space="0" w:color="auto"/>
                    <w:right w:val="none" w:sz="0" w:space="0" w:color="auto"/>
                  </w:divBdr>
                  <w:divsChild>
                    <w:div w:id="99661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367528">
          <w:marLeft w:val="0"/>
          <w:marRight w:val="0"/>
          <w:marTop w:val="0"/>
          <w:marBottom w:val="0"/>
          <w:divBdr>
            <w:top w:val="none" w:sz="0" w:space="0" w:color="auto"/>
            <w:left w:val="none" w:sz="0" w:space="0" w:color="auto"/>
            <w:bottom w:val="none" w:sz="0" w:space="0" w:color="auto"/>
            <w:right w:val="none" w:sz="0" w:space="0" w:color="auto"/>
          </w:divBdr>
        </w:div>
        <w:div w:id="475951034">
          <w:marLeft w:val="0"/>
          <w:marRight w:val="0"/>
          <w:marTop w:val="0"/>
          <w:marBottom w:val="0"/>
          <w:divBdr>
            <w:top w:val="none" w:sz="0" w:space="0" w:color="auto"/>
            <w:left w:val="none" w:sz="0" w:space="0" w:color="auto"/>
            <w:bottom w:val="none" w:sz="0" w:space="0" w:color="auto"/>
            <w:right w:val="none" w:sz="0" w:space="0" w:color="auto"/>
          </w:divBdr>
          <w:divsChild>
            <w:div w:id="244151428">
              <w:marLeft w:val="0"/>
              <w:marRight w:val="0"/>
              <w:marTop w:val="30"/>
              <w:marBottom w:val="30"/>
              <w:divBdr>
                <w:top w:val="none" w:sz="0" w:space="0" w:color="auto"/>
                <w:left w:val="none" w:sz="0" w:space="0" w:color="auto"/>
                <w:bottom w:val="none" w:sz="0" w:space="0" w:color="auto"/>
                <w:right w:val="none" w:sz="0" w:space="0" w:color="auto"/>
              </w:divBdr>
              <w:divsChild>
                <w:div w:id="202337">
                  <w:marLeft w:val="0"/>
                  <w:marRight w:val="0"/>
                  <w:marTop w:val="0"/>
                  <w:marBottom w:val="0"/>
                  <w:divBdr>
                    <w:top w:val="none" w:sz="0" w:space="0" w:color="auto"/>
                    <w:left w:val="none" w:sz="0" w:space="0" w:color="auto"/>
                    <w:bottom w:val="none" w:sz="0" w:space="0" w:color="auto"/>
                    <w:right w:val="none" w:sz="0" w:space="0" w:color="auto"/>
                  </w:divBdr>
                  <w:divsChild>
                    <w:div w:id="1877541204">
                      <w:marLeft w:val="0"/>
                      <w:marRight w:val="0"/>
                      <w:marTop w:val="0"/>
                      <w:marBottom w:val="0"/>
                      <w:divBdr>
                        <w:top w:val="none" w:sz="0" w:space="0" w:color="auto"/>
                        <w:left w:val="none" w:sz="0" w:space="0" w:color="auto"/>
                        <w:bottom w:val="none" w:sz="0" w:space="0" w:color="auto"/>
                        <w:right w:val="none" w:sz="0" w:space="0" w:color="auto"/>
                      </w:divBdr>
                    </w:div>
                  </w:divsChild>
                </w:div>
                <w:div w:id="1353192355">
                  <w:marLeft w:val="0"/>
                  <w:marRight w:val="0"/>
                  <w:marTop w:val="0"/>
                  <w:marBottom w:val="0"/>
                  <w:divBdr>
                    <w:top w:val="none" w:sz="0" w:space="0" w:color="auto"/>
                    <w:left w:val="none" w:sz="0" w:space="0" w:color="auto"/>
                    <w:bottom w:val="none" w:sz="0" w:space="0" w:color="auto"/>
                    <w:right w:val="none" w:sz="0" w:space="0" w:color="auto"/>
                  </w:divBdr>
                  <w:divsChild>
                    <w:div w:id="28921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878112">
          <w:marLeft w:val="0"/>
          <w:marRight w:val="0"/>
          <w:marTop w:val="0"/>
          <w:marBottom w:val="0"/>
          <w:divBdr>
            <w:top w:val="none" w:sz="0" w:space="0" w:color="auto"/>
            <w:left w:val="none" w:sz="0" w:space="0" w:color="auto"/>
            <w:bottom w:val="none" w:sz="0" w:space="0" w:color="auto"/>
            <w:right w:val="none" w:sz="0" w:space="0" w:color="auto"/>
          </w:divBdr>
          <w:divsChild>
            <w:div w:id="761026273">
              <w:marLeft w:val="0"/>
              <w:marRight w:val="0"/>
              <w:marTop w:val="30"/>
              <w:marBottom w:val="30"/>
              <w:divBdr>
                <w:top w:val="none" w:sz="0" w:space="0" w:color="auto"/>
                <w:left w:val="none" w:sz="0" w:space="0" w:color="auto"/>
                <w:bottom w:val="none" w:sz="0" w:space="0" w:color="auto"/>
                <w:right w:val="none" w:sz="0" w:space="0" w:color="auto"/>
              </w:divBdr>
              <w:divsChild>
                <w:div w:id="515390601">
                  <w:marLeft w:val="0"/>
                  <w:marRight w:val="0"/>
                  <w:marTop w:val="0"/>
                  <w:marBottom w:val="0"/>
                  <w:divBdr>
                    <w:top w:val="none" w:sz="0" w:space="0" w:color="auto"/>
                    <w:left w:val="none" w:sz="0" w:space="0" w:color="auto"/>
                    <w:bottom w:val="none" w:sz="0" w:space="0" w:color="auto"/>
                    <w:right w:val="none" w:sz="0" w:space="0" w:color="auto"/>
                  </w:divBdr>
                  <w:divsChild>
                    <w:div w:id="529494071">
                      <w:marLeft w:val="0"/>
                      <w:marRight w:val="0"/>
                      <w:marTop w:val="0"/>
                      <w:marBottom w:val="0"/>
                      <w:divBdr>
                        <w:top w:val="none" w:sz="0" w:space="0" w:color="auto"/>
                        <w:left w:val="none" w:sz="0" w:space="0" w:color="auto"/>
                        <w:bottom w:val="none" w:sz="0" w:space="0" w:color="auto"/>
                        <w:right w:val="none" w:sz="0" w:space="0" w:color="auto"/>
                      </w:divBdr>
                    </w:div>
                  </w:divsChild>
                </w:div>
                <w:div w:id="1260485646">
                  <w:marLeft w:val="0"/>
                  <w:marRight w:val="0"/>
                  <w:marTop w:val="0"/>
                  <w:marBottom w:val="0"/>
                  <w:divBdr>
                    <w:top w:val="none" w:sz="0" w:space="0" w:color="auto"/>
                    <w:left w:val="none" w:sz="0" w:space="0" w:color="auto"/>
                    <w:bottom w:val="none" w:sz="0" w:space="0" w:color="auto"/>
                    <w:right w:val="none" w:sz="0" w:space="0" w:color="auto"/>
                  </w:divBdr>
                  <w:divsChild>
                    <w:div w:id="1442265988">
                      <w:marLeft w:val="0"/>
                      <w:marRight w:val="0"/>
                      <w:marTop w:val="0"/>
                      <w:marBottom w:val="0"/>
                      <w:divBdr>
                        <w:top w:val="none" w:sz="0" w:space="0" w:color="auto"/>
                        <w:left w:val="none" w:sz="0" w:space="0" w:color="auto"/>
                        <w:bottom w:val="none" w:sz="0" w:space="0" w:color="auto"/>
                        <w:right w:val="none" w:sz="0" w:space="0" w:color="auto"/>
                      </w:divBdr>
                    </w:div>
                  </w:divsChild>
                </w:div>
                <w:div w:id="1478916627">
                  <w:marLeft w:val="0"/>
                  <w:marRight w:val="0"/>
                  <w:marTop w:val="0"/>
                  <w:marBottom w:val="0"/>
                  <w:divBdr>
                    <w:top w:val="none" w:sz="0" w:space="0" w:color="auto"/>
                    <w:left w:val="none" w:sz="0" w:space="0" w:color="auto"/>
                    <w:bottom w:val="none" w:sz="0" w:space="0" w:color="auto"/>
                    <w:right w:val="none" w:sz="0" w:space="0" w:color="auto"/>
                  </w:divBdr>
                  <w:divsChild>
                    <w:div w:id="1853299786">
                      <w:marLeft w:val="0"/>
                      <w:marRight w:val="0"/>
                      <w:marTop w:val="0"/>
                      <w:marBottom w:val="0"/>
                      <w:divBdr>
                        <w:top w:val="none" w:sz="0" w:space="0" w:color="auto"/>
                        <w:left w:val="none" w:sz="0" w:space="0" w:color="auto"/>
                        <w:bottom w:val="none" w:sz="0" w:space="0" w:color="auto"/>
                        <w:right w:val="none" w:sz="0" w:space="0" w:color="auto"/>
                      </w:divBdr>
                    </w:div>
                  </w:divsChild>
                </w:div>
                <w:div w:id="1959022687">
                  <w:marLeft w:val="0"/>
                  <w:marRight w:val="0"/>
                  <w:marTop w:val="0"/>
                  <w:marBottom w:val="0"/>
                  <w:divBdr>
                    <w:top w:val="none" w:sz="0" w:space="0" w:color="auto"/>
                    <w:left w:val="none" w:sz="0" w:space="0" w:color="auto"/>
                    <w:bottom w:val="none" w:sz="0" w:space="0" w:color="auto"/>
                    <w:right w:val="none" w:sz="0" w:space="0" w:color="auto"/>
                  </w:divBdr>
                  <w:divsChild>
                    <w:div w:id="221142696">
                      <w:marLeft w:val="0"/>
                      <w:marRight w:val="0"/>
                      <w:marTop w:val="0"/>
                      <w:marBottom w:val="0"/>
                      <w:divBdr>
                        <w:top w:val="none" w:sz="0" w:space="0" w:color="auto"/>
                        <w:left w:val="none" w:sz="0" w:space="0" w:color="auto"/>
                        <w:bottom w:val="none" w:sz="0" w:space="0" w:color="auto"/>
                        <w:right w:val="none" w:sz="0" w:space="0" w:color="auto"/>
                      </w:divBdr>
                    </w:div>
                  </w:divsChild>
                </w:div>
                <w:div w:id="2002735487">
                  <w:marLeft w:val="0"/>
                  <w:marRight w:val="0"/>
                  <w:marTop w:val="0"/>
                  <w:marBottom w:val="0"/>
                  <w:divBdr>
                    <w:top w:val="none" w:sz="0" w:space="0" w:color="auto"/>
                    <w:left w:val="none" w:sz="0" w:space="0" w:color="auto"/>
                    <w:bottom w:val="none" w:sz="0" w:space="0" w:color="auto"/>
                    <w:right w:val="none" w:sz="0" w:space="0" w:color="auto"/>
                  </w:divBdr>
                  <w:divsChild>
                    <w:div w:id="1532378590">
                      <w:marLeft w:val="0"/>
                      <w:marRight w:val="0"/>
                      <w:marTop w:val="0"/>
                      <w:marBottom w:val="0"/>
                      <w:divBdr>
                        <w:top w:val="none" w:sz="0" w:space="0" w:color="auto"/>
                        <w:left w:val="none" w:sz="0" w:space="0" w:color="auto"/>
                        <w:bottom w:val="none" w:sz="0" w:space="0" w:color="auto"/>
                        <w:right w:val="none" w:sz="0" w:space="0" w:color="auto"/>
                      </w:divBdr>
                    </w:div>
                  </w:divsChild>
                </w:div>
                <w:div w:id="2019310977">
                  <w:marLeft w:val="0"/>
                  <w:marRight w:val="0"/>
                  <w:marTop w:val="0"/>
                  <w:marBottom w:val="0"/>
                  <w:divBdr>
                    <w:top w:val="none" w:sz="0" w:space="0" w:color="auto"/>
                    <w:left w:val="none" w:sz="0" w:space="0" w:color="auto"/>
                    <w:bottom w:val="none" w:sz="0" w:space="0" w:color="auto"/>
                    <w:right w:val="none" w:sz="0" w:space="0" w:color="auto"/>
                  </w:divBdr>
                  <w:divsChild>
                    <w:div w:id="112711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284965">
          <w:marLeft w:val="0"/>
          <w:marRight w:val="0"/>
          <w:marTop w:val="0"/>
          <w:marBottom w:val="0"/>
          <w:divBdr>
            <w:top w:val="none" w:sz="0" w:space="0" w:color="auto"/>
            <w:left w:val="none" w:sz="0" w:space="0" w:color="auto"/>
            <w:bottom w:val="none" w:sz="0" w:space="0" w:color="auto"/>
            <w:right w:val="none" w:sz="0" w:space="0" w:color="auto"/>
          </w:divBdr>
        </w:div>
        <w:div w:id="739905583">
          <w:marLeft w:val="0"/>
          <w:marRight w:val="0"/>
          <w:marTop w:val="0"/>
          <w:marBottom w:val="0"/>
          <w:divBdr>
            <w:top w:val="none" w:sz="0" w:space="0" w:color="auto"/>
            <w:left w:val="none" w:sz="0" w:space="0" w:color="auto"/>
            <w:bottom w:val="none" w:sz="0" w:space="0" w:color="auto"/>
            <w:right w:val="none" w:sz="0" w:space="0" w:color="auto"/>
          </w:divBdr>
        </w:div>
        <w:div w:id="785659362">
          <w:marLeft w:val="0"/>
          <w:marRight w:val="0"/>
          <w:marTop w:val="0"/>
          <w:marBottom w:val="0"/>
          <w:divBdr>
            <w:top w:val="none" w:sz="0" w:space="0" w:color="auto"/>
            <w:left w:val="none" w:sz="0" w:space="0" w:color="auto"/>
            <w:bottom w:val="none" w:sz="0" w:space="0" w:color="auto"/>
            <w:right w:val="none" w:sz="0" w:space="0" w:color="auto"/>
          </w:divBdr>
        </w:div>
        <w:div w:id="841164730">
          <w:marLeft w:val="0"/>
          <w:marRight w:val="0"/>
          <w:marTop w:val="0"/>
          <w:marBottom w:val="0"/>
          <w:divBdr>
            <w:top w:val="none" w:sz="0" w:space="0" w:color="auto"/>
            <w:left w:val="none" w:sz="0" w:space="0" w:color="auto"/>
            <w:bottom w:val="none" w:sz="0" w:space="0" w:color="auto"/>
            <w:right w:val="none" w:sz="0" w:space="0" w:color="auto"/>
          </w:divBdr>
        </w:div>
        <w:div w:id="871848317">
          <w:marLeft w:val="0"/>
          <w:marRight w:val="0"/>
          <w:marTop w:val="0"/>
          <w:marBottom w:val="0"/>
          <w:divBdr>
            <w:top w:val="none" w:sz="0" w:space="0" w:color="auto"/>
            <w:left w:val="none" w:sz="0" w:space="0" w:color="auto"/>
            <w:bottom w:val="none" w:sz="0" w:space="0" w:color="auto"/>
            <w:right w:val="none" w:sz="0" w:space="0" w:color="auto"/>
          </w:divBdr>
          <w:divsChild>
            <w:div w:id="2082873498">
              <w:marLeft w:val="0"/>
              <w:marRight w:val="0"/>
              <w:marTop w:val="30"/>
              <w:marBottom w:val="30"/>
              <w:divBdr>
                <w:top w:val="none" w:sz="0" w:space="0" w:color="auto"/>
                <w:left w:val="none" w:sz="0" w:space="0" w:color="auto"/>
                <w:bottom w:val="none" w:sz="0" w:space="0" w:color="auto"/>
                <w:right w:val="none" w:sz="0" w:space="0" w:color="auto"/>
              </w:divBdr>
              <w:divsChild>
                <w:div w:id="914053474">
                  <w:marLeft w:val="0"/>
                  <w:marRight w:val="0"/>
                  <w:marTop w:val="0"/>
                  <w:marBottom w:val="0"/>
                  <w:divBdr>
                    <w:top w:val="none" w:sz="0" w:space="0" w:color="auto"/>
                    <w:left w:val="none" w:sz="0" w:space="0" w:color="auto"/>
                    <w:bottom w:val="none" w:sz="0" w:space="0" w:color="auto"/>
                    <w:right w:val="none" w:sz="0" w:space="0" w:color="auto"/>
                  </w:divBdr>
                  <w:divsChild>
                    <w:div w:id="1439596224">
                      <w:marLeft w:val="0"/>
                      <w:marRight w:val="0"/>
                      <w:marTop w:val="0"/>
                      <w:marBottom w:val="0"/>
                      <w:divBdr>
                        <w:top w:val="none" w:sz="0" w:space="0" w:color="auto"/>
                        <w:left w:val="none" w:sz="0" w:space="0" w:color="auto"/>
                        <w:bottom w:val="none" w:sz="0" w:space="0" w:color="auto"/>
                        <w:right w:val="none" w:sz="0" w:space="0" w:color="auto"/>
                      </w:divBdr>
                    </w:div>
                  </w:divsChild>
                </w:div>
                <w:div w:id="1984196464">
                  <w:marLeft w:val="0"/>
                  <w:marRight w:val="0"/>
                  <w:marTop w:val="0"/>
                  <w:marBottom w:val="0"/>
                  <w:divBdr>
                    <w:top w:val="none" w:sz="0" w:space="0" w:color="auto"/>
                    <w:left w:val="none" w:sz="0" w:space="0" w:color="auto"/>
                    <w:bottom w:val="none" w:sz="0" w:space="0" w:color="auto"/>
                    <w:right w:val="none" w:sz="0" w:space="0" w:color="auto"/>
                  </w:divBdr>
                  <w:divsChild>
                    <w:div w:id="47981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292528">
          <w:marLeft w:val="0"/>
          <w:marRight w:val="0"/>
          <w:marTop w:val="0"/>
          <w:marBottom w:val="0"/>
          <w:divBdr>
            <w:top w:val="none" w:sz="0" w:space="0" w:color="auto"/>
            <w:left w:val="none" w:sz="0" w:space="0" w:color="auto"/>
            <w:bottom w:val="none" w:sz="0" w:space="0" w:color="auto"/>
            <w:right w:val="none" w:sz="0" w:space="0" w:color="auto"/>
          </w:divBdr>
          <w:divsChild>
            <w:div w:id="989360347">
              <w:marLeft w:val="0"/>
              <w:marRight w:val="0"/>
              <w:marTop w:val="30"/>
              <w:marBottom w:val="30"/>
              <w:divBdr>
                <w:top w:val="none" w:sz="0" w:space="0" w:color="auto"/>
                <w:left w:val="none" w:sz="0" w:space="0" w:color="auto"/>
                <w:bottom w:val="none" w:sz="0" w:space="0" w:color="auto"/>
                <w:right w:val="none" w:sz="0" w:space="0" w:color="auto"/>
              </w:divBdr>
              <w:divsChild>
                <w:div w:id="240797973">
                  <w:marLeft w:val="0"/>
                  <w:marRight w:val="0"/>
                  <w:marTop w:val="0"/>
                  <w:marBottom w:val="0"/>
                  <w:divBdr>
                    <w:top w:val="none" w:sz="0" w:space="0" w:color="auto"/>
                    <w:left w:val="none" w:sz="0" w:space="0" w:color="auto"/>
                    <w:bottom w:val="none" w:sz="0" w:space="0" w:color="auto"/>
                    <w:right w:val="none" w:sz="0" w:space="0" w:color="auto"/>
                  </w:divBdr>
                  <w:divsChild>
                    <w:div w:id="543248773">
                      <w:marLeft w:val="0"/>
                      <w:marRight w:val="0"/>
                      <w:marTop w:val="0"/>
                      <w:marBottom w:val="0"/>
                      <w:divBdr>
                        <w:top w:val="none" w:sz="0" w:space="0" w:color="auto"/>
                        <w:left w:val="none" w:sz="0" w:space="0" w:color="auto"/>
                        <w:bottom w:val="none" w:sz="0" w:space="0" w:color="auto"/>
                        <w:right w:val="none" w:sz="0" w:space="0" w:color="auto"/>
                      </w:divBdr>
                    </w:div>
                  </w:divsChild>
                </w:div>
                <w:div w:id="281426197">
                  <w:marLeft w:val="0"/>
                  <w:marRight w:val="0"/>
                  <w:marTop w:val="0"/>
                  <w:marBottom w:val="0"/>
                  <w:divBdr>
                    <w:top w:val="none" w:sz="0" w:space="0" w:color="auto"/>
                    <w:left w:val="none" w:sz="0" w:space="0" w:color="auto"/>
                    <w:bottom w:val="none" w:sz="0" w:space="0" w:color="auto"/>
                    <w:right w:val="none" w:sz="0" w:space="0" w:color="auto"/>
                  </w:divBdr>
                  <w:divsChild>
                    <w:div w:id="171460264">
                      <w:marLeft w:val="0"/>
                      <w:marRight w:val="0"/>
                      <w:marTop w:val="0"/>
                      <w:marBottom w:val="0"/>
                      <w:divBdr>
                        <w:top w:val="none" w:sz="0" w:space="0" w:color="auto"/>
                        <w:left w:val="none" w:sz="0" w:space="0" w:color="auto"/>
                        <w:bottom w:val="none" w:sz="0" w:space="0" w:color="auto"/>
                        <w:right w:val="none" w:sz="0" w:space="0" w:color="auto"/>
                      </w:divBdr>
                    </w:div>
                    <w:div w:id="767122442">
                      <w:marLeft w:val="0"/>
                      <w:marRight w:val="0"/>
                      <w:marTop w:val="0"/>
                      <w:marBottom w:val="0"/>
                      <w:divBdr>
                        <w:top w:val="none" w:sz="0" w:space="0" w:color="auto"/>
                        <w:left w:val="none" w:sz="0" w:space="0" w:color="auto"/>
                        <w:bottom w:val="none" w:sz="0" w:space="0" w:color="auto"/>
                        <w:right w:val="none" w:sz="0" w:space="0" w:color="auto"/>
                      </w:divBdr>
                    </w:div>
                  </w:divsChild>
                </w:div>
                <w:div w:id="545680985">
                  <w:marLeft w:val="0"/>
                  <w:marRight w:val="0"/>
                  <w:marTop w:val="0"/>
                  <w:marBottom w:val="0"/>
                  <w:divBdr>
                    <w:top w:val="none" w:sz="0" w:space="0" w:color="auto"/>
                    <w:left w:val="none" w:sz="0" w:space="0" w:color="auto"/>
                    <w:bottom w:val="none" w:sz="0" w:space="0" w:color="auto"/>
                    <w:right w:val="none" w:sz="0" w:space="0" w:color="auto"/>
                  </w:divBdr>
                  <w:divsChild>
                    <w:div w:id="1183010435">
                      <w:marLeft w:val="0"/>
                      <w:marRight w:val="0"/>
                      <w:marTop w:val="0"/>
                      <w:marBottom w:val="0"/>
                      <w:divBdr>
                        <w:top w:val="none" w:sz="0" w:space="0" w:color="auto"/>
                        <w:left w:val="none" w:sz="0" w:space="0" w:color="auto"/>
                        <w:bottom w:val="none" w:sz="0" w:space="0" w:color="auto"/>
                        <w:right w:val="none" w:sz="0" w:space="0" w:color="auto"/>
                      </w:divBdr>
                    </w:div>
                  </w:divsChild>
                </w:div>
                <w:div w:id="1675494397">
                  <w:marLeft w:val="0"/>
                  <w:marRight w:val="0"/>
                  <w:marTop w:val="0"/>
                  <w:marBottom w:val="0"/>
                  <w:divBdr>
                    <w:top w:val="none" w:sz="0" w:space="0" w:color="auto"/>
                    <w:left w:val="none" w:sz="0" w:space="0" w:color="auto"/>
                    <w:bottom w:val="none" w:sz="0" w:space="0" w:color="auto"/>
                    <w:right w:val="none" w:sz="0" w:space="0" w:color="auto"/>
                  </w:divBdr>
                  <w:divsChild>
                    <w:div w:id="10053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584021">
          <w:marLeft w:val="0"/>
          <w:marRight w:val="0"/>
          <w:marTop w:val="0"/>
          <w:marBottom w:val="0"/>
          <w:divBdr>
            <w:top w:val="none" w:sz="0" w:space="0" w:color="auto"/>
            <w:left w:val="none" w:sz="0" w:space="0" w:color="auto"/>
            <w:bottom w:val="none" w:sz="0" w:space="0" w:color="auto"/>
            <w:right w:val="none" w:sz="0" w:space="0" w:color="auto"/>
          </w:divBdr>
        </w:div>
        <w:div w:id="1043598698">
          <w:marLeft w:val="0"/>
          <w:marRight w:val="0"/>
          <w:marTop w:val="0"/>
          <w:marBottom w:val="0"/>
          <w:divBdr>
            <w:top w:val="none" w:sz="0" w:space="0" w:color="auto"/>
            <w:left w:val="none" w:sz="0" w:space="0" w:color="auto"/>
            <w:bottom w:val="none" w:sz="0" w:space="0" w:color="auto"/>
            <w:right w:val="none" w:sz="0" w:space="0" w:color="auto"/>
          </w:divBdr>
        </w:div>
        <w:div w:id="1043940729">
          <w:marLeft w:val="0"/>
          <w:marRight w:val="0"/>
          <w:marTop w:val="0"/>
          <w:marBottom w:val="0"/>
          <w:divBdr>
            <w:top w:val="none" w:sz="0" w:space="0" w:color="auto"/>
            <w:left w:val="none" w:sz="0" w:space="0" w:color="auto"/>
            <w:bottom w:val="none" w:sz="0" w:space="0" w:color="auto"/>
            <w:right w:val="none" w:sz="0" w:space="0" w:color="auto"/>
          </w:divBdr>
        </w:div>
        <w:div w:id="1077478081">
          <w:marLeft w:val="0"/>
          <w:marRight w:val="0"/>
          <w:marTop w:val="0"/>
          <w:marBottom w:val="0"/>
          <w:divBdr>
            <w:top w:val="none" w:sz="0" w:space="0" w:color="auto"/>
            <w:left w:val="none" w:sz="0" w:space="0" w:color="auto"/>
            <w:bottom w:val="none" w:sz="0" w:space="0" w:color="auto"/>
            <w:right w:val="none" w:sz="0" w:space="0" w:color="auto"/>
          </w:divBdr>
        </w:div>
        <w:div w:id="1411806225">
          <w:marLeft w:val="0"/>
          <w:marRight w:val="0"/>
          <w:marTop w:val="0"/>
          <w:marBottom w:val="0"/>
          <w:divBdr>
            <w:top w:val="none" w:sz="0" w:space="0" w:color="auto"/>
            <w:left w:val="none" w:sz="0" w:space="0" w:color="auto"/>
            <w:bottom w:val="none" w:sz="0" w:space="0" w:color="auto"/>
            <w:right w:val="none" w:sz="0" w:space="0" w:color="auto"/>
          </w:divBdr>
        </w:div>
        <w:div w:id="1442188516">
          <w:marLeft w:val="0"/>
          <w:marRight w:val="0"/>
          <w:marTop w:val="0"/>
          <w:marBottom w:val="0"/>
          <w:divBdr>
            <w:top w:val="none" w:sz="0" w:space="0" w:color="auto"/>
            <w:left w:val="none" w:sz="0" w:space="0" w:color="auto"/>
            <w:bottom w:val="none" w:sz="0" w:space="0" w:color="auto"/>
            <w:right w:val="none" w:sz="0" w:space="0" w:color="auto"/>
          </w:divBdr>
        </w:div>
        <w:div w:id="1502619371">
          <w:marLeft w:val="0"/>
          <w:marRight w:val="0"/>
          <w:marTop w:val="0"/>
          <w:marBottom w:val="0"/>
          <w:divBdr>
            <w:top w:val="none" w:sz="0" w:space="0" w:color="auto"/>
            <w:left w:val="none" w:sz="0" w:space="0" w:color="auto"/>
            <w:bottom w:val="none" w:sz="0" w:space="0" w:color="auto"/>
            <w:right w:val="none" w:sz="0" w:space="0" w:color="auto"/>
          </w:divBdr>
        </w:div>
        <w:div w:id="1503814191">
          <w:marLeft w:val="0"/>
          <w:marRight w:val="0"/>
          <w:marTop w:val="0"/>
          <w:marBottom w:val="0"/>
          <w:divBdr>
            <w:top w:val="none" w:sz="0" w:space="0" w:color="auto"/>
            <w:left w:val="none" w:sz="0" w:space="0" w:color="auto"/>
            <w:bottom w:val="none" w:sz="0" w:space="0" w:color="auto"/>
            <w:right w:val="none" w:sz="0" w:space="0" w:color="auto"/>
          </w:divBdr>
        </w:div>
        <w:div w:id="1602227311">
          <w:marLeft w:val="0"/>
          <w:marRight w:val="0"/>
          <w:marTop w:val="0"/>
          <w:marBottom w:val="0"/>
          <w:divBdr>
            <w:top w:val="none" w:sz="0" w:space="0" w:color="auto"/>
            <w:left w:val="none" w:sz="0" w:space="0" w:color="auto"/>
            <w:bottom w:val="none" w:sz="0" w:space="0" w:color="auto"/>
            <w:right w:val="none" w:sz="0" w:space="0" w:color="auto"/>
          </w:divBdr>
          <w:divsChild>
            <w:div w:id="1132408064">
              <w:marLeft w:val="0"/>
              <w:marRight w:val="0"/>
              <w:marTop w:val="30"/>
              <w:marBottom w:val="30"/>
              <w:divBdr>
                <w:top w:val="none" w:sz="0" w:space="0" w:color="auto"/>
                <w:left w:val="none" w:sz="0" w:space="0" w:color="auto"/>
                <w:bottom w:val="none" w:sz="0" w:space="0" w:color="auto"/>
                <w:right w:val="none" w:sz="0" w:space="0" w:color="auto"/>
              </w:divBdr>
              <w:divsChild>
                <w:div w:id="225603850">
                  <w:marLeft w:val="0"/>
                  <w:marRight w:val="0"/>
                  <w:marTop w:val="0"/>
                  <w:marBottom w:val="0"/>
                  <w:divBdr>
                    <w:top w:val="none" w:sz="0" w:space="0" w:color="auto"/>
                    <w:left w:val="none" w:sz="0" w:space="0" w:color="auto"/>
                    <w:bottom w:val="none" w:sz="0" w:space="0" w:color="auto"/>
                    <w:right w:val="none" w:sz="0" w:space="0" w:color="auto"/>
                  </w:divBdr>
                  <w:divsChild>
                    <w:div w:id="643387481">
                      <w:marLeft w:val="0"/>
                      <w:marRight w:val="0"/>
                      <w:marTop w:val="0"/>
                      <w:marBottom w:val="0"/>
                      <w:divBdr>
                        <w:top w:val="none" w:sz="0" w:space="0" w:color="auto"/>
                        <w:left w:val="none" w:sz="0" w:space="0" w:color="auto"/>
                        <w:bottom w:val="none" w:sz="0" w:space="0" w:color="auto"/>
                        <w:right w:val="none" w:sz="0" w:space="0" w:color="auto"/>
                      </w:divBdr>
                    </w:div>
                  </w:divsChild>
                </w:div>
                <w:div w:id="742534696">
                  <w:marLeft w:val="0"/>
                  <w:marRight w:val="0"/>
                  <w:marTop w:val="0"/>
                  <w:marBottom w:val="0"/>
                  <w:divBdr>
                    <w:top w:val="none" w:sz="0" w:space="0" w:color="auto"/>
                    <w:left w:val="none" w:sz="0" w:space="0" w:color="auto"/>
                    <w:bottom w:val="none" w:sz="0" w:space="0" w:color="auto"/>
                    <w:right w:val="none" w:sz="0" w:space="0" w:color="auto"/>
                  </w:divBdr>
                  <w:divsChild>
                    <w:div w:id="1922787937">
                      <w:marLeft w:val="0"/>
                      <w:marRight w:val="0"/>
                      <w:marTop w:val="0"/>
                      <w:marBottom w:val="0"/>
                      <w:divBdr>
                        <w:top w:val="none" w:sz="0" w:space="0" w:color="auto"/>
                        <w:left w:val="none" w:sz="0" w:space="0" w:color="auto"/>
                        <w:bottom w:val="none" w:sz="0" w:space="0" w:color="auto"/>
                        <w:right w:val="none" w:sz="0" w:space="0" w:color="auto"/>
                      </w:divBdr>
                    </w:div>
                  </w:divsChild>
                </w:div>
                <w:div w:id="1888298516">
                  <w:marLeft w:val="0"/>
                  <w:marRight w:val="0"/>
                  <w:marTop w:val="0"/>
                  <w:marBottom w:val="0"/>
                  <w:divBdr>
                    <w:top w:val="none" w:sz="0" w:space="0" w:color="auto"/>
                    <w:left w:val="none" w:sz="0" w:space="0" w:color="auto"/>
                    <w:bottom w:val="none" w:sz="0" w:space="0" w:color="auto"/>
                    <w:right w:val="none" w:sz="0" w:space="0" w:color="auto"/>
                  </w:divBdr>
                  <w:divsChild>
                    <w:div w:id="1083138678">
                      <w:marLeft w:val="0"/>
                      <w:marRight w:val="0"/>
                      <w:marTop w:val="0"/>
                      <w:marBottom w:val="0"/>
                      <w:divBdr>
                        <w:top w:val="none" w:sz="0" w:space="0" w:color="auto"/>
                        <w:left w:val="none" w:sz="0" w:space="0" w:color="auto"/>
                        <w:bottom w:val="none" w:sz="0" w:space="0" w:color="auto"/>
                        <w:right w:val="none" w:sz="0" w:space="0" w:color="auto"/>
                      </w:divBdr>
                    </w:div>
                  </w:divsChild>
                </w:div>
                <w:div w:id="1957642288">
                  <w:marLeft w:val="0"/>
                  <w:marRight w:val="0"/>
                  <w:marTop w:val="0"/>
                  <w:marBottom w:val="0"/>
                  <w:divBdr>
                    <w:top w:val="none" w:sz="0" w:space="0" w:color="auto"/>
                    <w:left w:val="none" w:sz="0" w:space="0" w:color="auto"/>
                    <w:bottom w:val="none" w:sz="0" w:space="0" w:color="auto"/>
                    <w:right w:val="none" w:sz="0" w:space="0" w:color="auto"/>
                  </w:divBdr>
                  <w:divsChild>
                    <w:div w:id="100077542">
                      <w:marLeft w:val="0"/>
                      <w:marRight w:val="0"/>
                      <w:marTop w:val="0"/>
                      <w:marBottom w:val="0"/>
                      <w:divBdr>
                        <w:top w:val="none" w:sz="0" w:space="0" w:color="auto"/>
                        <w:left w:val="none" w:sz="0" w:space="0" w:color="auto"/>
                        <w:bottom w:val="none" w:sz="0" w:space="0" w:color="auto"/>
                        <w:right w:val="none" w:sz="0" w:space="0" w:color="auto"/>
                      </w:divBdr>
                    </w:div>
                    <w:div w:id="100802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406155">
          <w:marLeft w:val="0"/>
          <w:marRight w:val="0"/>
          <w:marTop w:val="0"/>
          <w:marBottom w:val="0"/>
          <w:divBdr>
            <w:top w:val="none" w:sz="0" w:space="0" w:color="auto"/>
            <w:left w:val="none" w:sz="0" w:space="0" w:color="auto"/>
            <w:bottom w:val="none" w:sz="0" w:space="0" w:color="auto"/>
            <w:right w:val="none" w:sz="0" w:space="0" w:color="auto"/>
          </w:divBdr>
          <w:divsChild>
            <w:div w:id="1851598793">
              <w:marLeft w:val="0"/>
              <w:marRight w:val="0"/>
              <w:marTop w:val="30"/>
              <w:marBottom w:val="30"/>
              <w:divBdr>
                <w:top w:val="none" w:sz="0" w:space="0" w:color="auto"/>
                <w:left w:val="none" w:sz="0" w:space="0" w:color="auto"/>
                <w:bottom w:val="none" w:sz="0" w:space="0" w:color="auto"/>
                <w:right w:val="none" w:sz="0" w:space="0" w:color="auto"/>
              </w:divBdr>
              <w:divsChild>
                <w:div w:id="101803983">
                  <w:marLeft w:val="0"/>
                  <w:marRight w:val="0"/>
                  <w:marTop w:val="0"/>
                  <w:marBottom w:val="0"/>
                  <w:divBdr>
                    <w:top w:val="none" w:sz="0" w:space="0" w:color="auto"/>
                    <w:left w:val="none" w:sz="0" w:space="0" w:color="auto"/>
                    <w:bottom w:val="none" w:sz="0" w:space="0" w:color="auto"/>
                    <w:right w:val="none" w:sz="0" w:space="0" w:color="auto"/>
                  </w:divBdr>
                  <w:divsChild>
                    <w:div w:id="767893540">
                      <w:marLeft w:val="0"/>
                      <w:marRight w:val="0"/>
                      <w:marTop w:val="0"/>
                      <w:marBottom w:val="0"/>
                      <w:divBdr>
                        <w:top w:val="none" w:sz="0" w:space="0" w:color="auto"/>
                        <w:left w:val="none" w:sz="0" w:space="0" w:color="auto"/>
                        <w:bottom w:val="none" w:sz="0" w:space="0" w:color="auto"/>
                        <w:right w:val="none" w:sz="0" w:space="0" w:color="auto"/>
                      </w:divBdr>
                    </w:div>
                  </w:divsChild>
                </w:div>
                <w:div w:id="134880466">
                  <w:marLeft w:val="0"/>
                  <w:marRight w:val="0"/>
                  <w:marTop w:val="0"/>
                  <w:marBottom w:val="0"/>
                  <w:divBdr>
                    <w:top w:val="none" w:sz="0" w:space="0" w:color="auto"/>
                    <w:left w:val="none" w:sz="0" w:space="0" w:color="auto"/>
                    <w:bottom w:val="none" w:sz="0" w:space="0" w:color="auto"/>
                    <w:right w:val="none" w:sz="0" w:space="0" w:color="auto"/>
                  </w:divBdr>
                  <w:divsChild>
                    <w:div w:id="462698690">
                      <w:marLeft w:val="0"/>
                      <w:marRight w:val="0"/>
                      <w:marTop w:val="0"/>
                      <w:marBottom w:val="0"/>
                      <w:divBdr>
                        <w:top w:val="none" w:sz="0" w:space="0" w:color="auto"/>
                        <w:left w:val="none" w:sz="0" w:space="0" w:color="auto"/>
                        <w:bottom w:val="none" w:sz="0" w:space="0" w:color="auto"/>
                        <w:right w:val="none" w:sz="0" w:space="0" w:color="auto"/>
                      </w:divBdr>
                    </w:div>
                  </w:divsChild>
                </w:div>
                <w:div w:id="136604584">
                  <w:marLeft w:val="0"/>
                  <w:marRight w:val="0"/>
                  <w:marTop w:val="0"/>
                  <w:marBottom w:val="0"/>
                  <w:divBdr>
                    <w:top w:val="none" w:sz="0" w:space="0" w:color="auto"/>
                    <w:left w:val="none" w:sz="0" w:space="0" w:color="auto"/>
                    <w:bottom w:val="none" w:sz="0" w:space="0" w:color="auto"/>
                    <w:right w:val="none" w:sz="0" w:space="0" w:color="auto"/>
                  </w:divBdr>
                  <w:divsChild>
                    <w:div w:id="1372994558">
                      <w:marLeft w:val="0"/>
                      <w:marRight w:val="0"/>
                      <w:marTop w:val="0"/>
                      <w:marBottom w:val="0"/>
                      <w:divBdr>
                        <w:top w:val="none" w:sz="0" w:space="0" w:color="auto"/>
                        <w:left w:val="none" w:sz="0" w:space="0" w:color="auto"/>
                        <w:bottom w:val="none" w:sz="0" w:space="0" w:color="auto"/>
                        <w:right w:val="none" w:sz="0" w:space="0" w:color="auto"/>
                      </w:divBdr>
                    </w:div>
                  </w:divsChild>
                </w:div>
                <w:div w:id="229197663">
                  <w:marLeft w:val="0"/>
                  <w:marRight w:val="0"/>
                  <w:marTop w:val="0"/>
                  <w:marBottom w:val="0"/>
                  <w:divBdr>
                    <w:top w:val="none" w:sz="0" w:space="0" w:color="auto"/>
                    <w:left w:val="none" w:sz="0" w:space="0" w:color="auto"/>
                    <w:bottom w:val="none" w:sz="0" w:space="0" w:color="auto"/>
                    <w:right w:val="none" w:sz="0" w:space="0" w:color="auto"/>
                  </w:divBdr>
                  <w:divsChild>
                    <w:div w:id="899824744">
                      <w:marLeft w:val="0"/>
                      <w:marRight w:val="0"/>
                      <w:marTop w:val="0"/>
                      <w:marBottom w:val="0"/>
                      <w:divBdr>
                        <w:top w:val="none" w:sz="0" w:space="0" w:color="auto"/>
                        <w:left w:val="none" w:sz="0" w:space="0" w:color="auto"/>
                        <w:bottom w:val="none" w:sz="0" w:space="0" w:color="auto"/>
                        <w:right w:val="none" w:sz="0" w:space="0" w:color="auto"/>
                      </w:divBdr>
                    </w:div>
                  </w:divsChild>
                </w:div>
                <w:div w:id="677850739">
                  <w:marLeft w:val="0"/>
                  <w:marRight w:val="0"/>
                  <w:marTop w:val="0"/>
                  <w:marBottom w:val="0"/>
                  <w:divBdr>
                    <w:top w:val="none" w:sz="0" w:space="0" w:color="auto"/>
                    <w:left w:val="none" w:sz="0" w:space="0" w:color="auto"/>
                    <w:bottom w:val="none" w:sz="0" w:space="0" w:color="auto"/>
                    <w:right w:val="none" w:sz="0" w:space="0" w:color="auto"/>
                  </w:divBdr>
                  <w:divsChild>
                    <w:div w:id="2009091208">
                      <w:marLeft w:val="0"/>
                      <w:marRight w:val="0"/>
                      <w:marTop w:val="0"/>
                      <w:marBottom w:val="0"/>
                      <w:divBdr>
                        <w:top w:val="none" w:sz="0" w:space="0" w:color="auto"/>
                        <w:left w:val="none" w:sz="0" w:space="0" w:color="auto"/>
                        <w:bottom w:val="none" w:sz="0" w:space="0" w:color="auto"/>
                        <w:right w:val="none" w:sz="0" w:space="0" w:color="auto"/>
                      </w:divBdr>
                    </w:div>
                  </w:divsChild>
                </w:div>
                <w:div w:id="807010420">
                  <w:marLeft w:val="0"/>
                  <w:marRight w:val="0"/>
                  <w:marTop w:val="0"/>
                  <w:marBottom w:val="0"/>
                  <w:divBdr>
                    <w:top w:val="none" w:sz="0" w:space="0" w:color="auto"/>
                    <w:left w:val="none" w:sz="0" w:space="0" w:color="auto"/>
                    <w:bottom w:val="none" w:sz="0" w:space="0" w:color="auto"/>
                    <w:right w:val="none" w:sz="0" w:space="0" w:color="auto"/>
                  </w:divBdr>
                  <w:divsChild>
                    <w:div w:id="872768403">
                      <w:marLeft w:val="0"/>
                      <w:marRight w:val="0"/>
                      <w:marTop w:val="0"/>
                      <w:marBottom w:val="0"/>
                      <w:divBdr>
                        <w:top w:val="none" w:sz="0" w:space="0" w:color="auto"/>
                        <w:left w:val="none" w:sz="0" w:space="0" w:color="auto"/>
                        <w:bottom w:val="none" w:sz="0" w:space="0" w:color="auto"/>
                        <w:right w:val="none" w:sz="0" w:space="0" w:color="auto"/>
                      </w:divBdr>
                    </w:div>
                  </w:divsChild>
                </w:div>
                <w:div w:id="883103460">
                  <w:marLeft w:val="0"/>
                  <w:marRight w:val="0"/>
                  <w:marTop w:val="0"/>
                  <w:marBottom w:val="0"/>
                  <w:divBdr>
                    <w:top w:val="none" w:sz="0" w:space="0" w:color="auto"/>
                    <w:left w:val="none" w:sz="0" w:space="0" w:color="auto"/>
                    <w:bottom w:val="none" w:sz="0" w:space="0" w:color="auto"/>
                    <w:right w:val="none" w:sz="0" w:space="0" w:color="auto"/>
                  </w:divBdr>
                  <w:divsChild>
                    <w:div w:id="763959736">
                      <w:marLeft w:val="0"/>
                      <w:marRight w:val="0"/>
                      <w:marTop w:val="0"/>
                      <w:marBottom w:val="0"/>
                      <w:divBdr>
                        <w:top w:val="none" w:sz="0" w:space="0" w:color="auto"/>
                        <w:left w:val="none" w:sz="0" w:space="0" w:color="auto"/>
                        <w:bottom w:val="none" w:sz="0" w:space="0" w:color="auto"/>
                        <w:right w:val="none" w:sz="0" w:space="0" w:color="auto"/>
                      </w:divBdr>
                    </w:div>
                  </w:divsChild>
                </w:div>
                <w:div w:id="1047724800">
                  <w:marLeft w:val="0"/>
                  <w:marRight w:val="0"/>
                  <w:marTop w:val="0"/>
                  <w:marBottom w:val="0"/>
                  <w:divBdr>
                    <w:top w:val="none" w:sz="0" w:space="0" w:color="auto"/>
                    <w:left w:val="none" w:sz="0" w:space="0" w:color="auto"/>
                    <w:bottom w:val="none" w:sz="0" w:space="0" w:color="auto"/>
                    <w:right w:val="none" w:sz="0" w:space="0" w:color="auto"/>
                  </w:divBdr>
                  <w:divsChild>
                    <w:div w:id="1801072081">
                      <w:marLeft w:val="0"/>
                      <w:marRight w:val="0"/>
                      <w:marTop w:val="0"/>
                      <w:marBottom w:val="0"/>
                      <w:divBdr>
                        <w:top w:val="none" w:sz="0" w:space="0" w:color="auto"/>
                        <w:left w:val="none" w:sz="0" w:space="0" w:color="auto"/>
                        <w:bottom w:val="none" w:sz="0" w:space="0" w:color="auto"/>
                        <w:right w:val="none" w:sz="0" w:space="0" w:color="auto"/>
                      </w:divBdr>
                    </w:div>
                  </w:divsChild>
                </w:div>
                <w:div w:id="1054498696">
                  <w:marLeft w:val="0"/>
                  <w:marRight w:val="0"/>
                  <w:marTop w:val="0"/>
                  <w:marBottom w:val="0"/>
                  <w:divBdr>
                    <w:top w:val="none" w:sz="0" w:space="0" w:color="auto"/>
                    <w:left w:val="none" w:sz="0" w:space="0" w:color="auto"/>
                    <w:bottom w:val="none" w:sz="0" w:space="0" w:color="auto"/>
                    <w:right w:val="none" w:sz="0" w:space="0" w:color="auto"/>
                  </w:divBdr>
                  <w:divsChild>
                    <w:div w:id="706374702">
                      <w:marLeft w:val="0"/>
                      <w:marRight w:val="0"/>
                      <w:marTop w:val="0"/>
                      <w:marBottom w:val="0"/>
                      <w:divBdr>
                        <w:top w:val="none" w:sz="0" w:space="0" w:color="auto"/>
                        <w:left w:val="none" w:sz="0" w:space="0" w:color="auto"/>
                        <w:bottom w:val="none" w:sz="0" w:space="0" w:color="auto"/>
                        <w:right w:val="none" w:sz="0" w:space="0" w:color="auto"/>
                      </w:divBdr>
                    </w:div>
                  </w:divsChild>
                </w:div>
                <w:div w:id="1288464971">
                  <w:marLeft w:val="0"/>
                  <w:marRight w:val="0"/>
                  <w:marTop w:val="0"/>
                  <w:marBottom w:val="0"/>
                  <w:divBdr>
                    <w:top w:val="none" w:sz="0" w:space="0" w:color="auto"/>
                    <w:left w:val="none" w:sz="0" w:space="0" w:color="auto"/>
                    <w:bottom w:val="none" w:sz="0" w:space="0" w:color="auto"/>
                    <w:right w:val="none" w:sz="0" w:space="0" w:color="auto"/>
                  </w:divBdr>
                  <w:divsChild>
                    <w:div w:id="247275017">
                      <w:marLeft w:val="0"/>
                      <w:marRight w:val="0"/>
                      <w:marTop w:val="0"/>
                      <w:marBottom w:val="0"/>
                      <w:divBdr>
                        <w:top w:val="none" w:sz="0" w:space="0" w:color="auto"/>
                        <w:left w:val="none" w:sz="0" w:space="0" w:color="auto"/>
                        <w:bottom w:val="none" w:sz="0" w:space="0" w:color="auto"/>
                        <w:right w:val="none" w:sz="0" w:space="0" w:color="auto"/>
                      </w:divBdr>
                    </w:div>
                  </w:divsChild>
                </w:div>
                <w:div w:id="1415282485">
                  <w:marLeft w:val="0"/>
                  <w:marRight w:val="0"/>
                  <w:marTop w:val="0"/>
                  <w:marBottom w:val="0"/>
                  <w:divBdr>
                    <w:top w:val="none" w:sz="0" w:space="0" w:color="auto"/>
                    <w:left w:val="none" w:sz="0" w:space="0" w:color="auto"/>
                    <w:bottom w:val="none" w:sz="0" w:space="0" w:color="auto"/>
                    <w:right w:val="none" w:sz="0" w:space="0" w:color="auto"/>
                  </w:divBdr>
                  <w:divsChild>
                    <w:div w:id="1586106114">
                      <w:marLeft w:val="0"/>
                      <w:marRight w:val="0"/>
                      <w:marTop w:val="0"/>
                      <w:marBottom w:val="0"/>
                      <w:divBdr>
                        <w:top w:val="none" w:sz="0" w:space="0" w:color="auto"/>
                        <w:left w:val="none" w:sz="0" w:space="0" w:color="auto"/>
                        <w:bottom w:val="none" w:sz="0" w:space="0" w:color="auto"/>
                        <w:right w:val="none" w:sz="0" w:space="0" w:color="auto"/>
                      </w:divBdr>
                    </w:div>
                  </w:divsChild>
                </w:div>
                <w:div w:id="1900480338">
                  <w:marLeft w:val="0"/>
                  <w:marRight w:val="0"/>
                  <w:marTop w:val="0"/>
                  <w:marBottom w:val="0"/>
                  <w:divBdr>
                    <w:top w:val="none" w:sz="0" w:space="0" w:color="auto"/>
                    <w:left w:val="none" w:sz="0" w:space="0" w:color="auto"/>
                    <w:bottom w:val="none" w:sz="0" w:space="0" w:color="auto"/>
                    <w:right w:val="none" w:sz="0" w:space="0" w:color="auto"/>
                  </w:divBdr>
                  <w:divsChild>
                    <w:div w:id="434715418">
                      <w:marLeft w:val="0"/>
                      <w:marRight w:val="0"/>
                      <w:marTop w:val="0"/>
                      <w:marBottom w:val="0"/>
                      <w:divBdr>
                        <w:top w:val="none" w:sz="0" w:space="0" w:color="auto"/>
                        <w:left w:val="none" w:sz="0" w:space="0" w:color="auto"/>
                        <w:bottom w:val="none" w:sz="0" w:space="0" w:color="auto"/>
                        <w:right w:val="none" w:sz="0" w:space="0" w:color="auto"/>
                      </w:divBdr>
                    </w:div>
                  </w:divsChild>
                </w:div>
                <w:div w:id="1985503339">
                  <w:marLeft w:val="0"/>
                  <w:marRight w:val="0"/>
                  <w:marTop w:val="0"/>
                  <w:marBottom w:val="0"/>
                  <w:divBdr>
                    <w:top w:val="none" w:sz="0" w:space="0" w:color="auto"/>
                    <w:left w:val="none" w:sz="0" w:space="0" w:color="auto"/>
                    <w:bottom w:val="none" w:sz="0" w:space="0" w:color="auto"/>
                    <w:right w:val="none" w:sz="0" w:space="0" w:color="auto"/>
                  </w:divBdr>
                  <w:divsChild>
                    <w:div w:id="1584948501">
                      <w:marLeft w:val="0"/>
                      <w:marRight w:val="0"/>
                      <w:marTop w:val="0"/>
                      <w:marBottom w:val="0"/>
                      <w:divBdr>
                        <w:top w:val="none" w:sz="0" w:space="0" w:color="auto"/>
                        <w:left w:val="none" w:sz="0" w:space="0" w:color="auto"/>
                        <w:bottom w:val="none" w:sz="0" w:space="0" w:color="auto"/>
                        <w:right w:val="none" w:sz="0" w:space="0" w:color="auto"/>
                      </w:divBdr>
                    </w:div>
                  </w:divsChild>
                </w:div>
                <w:div w:id="1991136004">
                  <w:marLeft w:val="0"/>
                  <w:marRight w:val="0"/>
                  <w:marTop w:val="0"/>
                  <w:marBottom w:val="0"/>
                  <w:divBdr>
                    <w:top w:val="none" w:sz="0" w:space="0" w:color="auto"/>
                    <w:left w:val="none" w:sz="0" w:space="0" w:color="auto"/>
                    <w:bottom w:val="none" w:sz="0" w:space="0" w:color="auto"/>
                    <w:right w:val="none" w:sz="0" w:space="0" w:color="auto"/>
                  </w:divBdr>
                  <w:divsChild>
                    <w:div w:id="71735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985207">
          <w:marLeft w:val="0"/>
          <w:marRight w:val="0"/>
          <w:marTop w:val="0"/>
          <w:marBottom w:val="0"/>
          <w:divBdr>
            <w:top w:val="none" w:sz="0" w:space="0" w:color="auto"/>
            <w:left w:val="none" w:sz="0" w:space="0" w:color="auto"/>
            <w:bottom w:val="none" w:sz="0" w:space="0" w:color="auto"/>
            <w:right w:val="none" w:sz="0" w:space="0" w:color="auto"/>
          </w:divBdr>
        </w:div>
        <w:div w:id="1832870512">
          <w:marLeft w:val="0"/>
          <w:marRight w:val="0"/>
          <w:marTop w:val="0"/>
          <w:marBottom w:val="0"/>
          <w:divBdr>
            <w:top w:val="none" w:sz="0" w:space="0" w:color="auto"/>
            <w:left w:val="none" w:sz="0" w:space="0" w:color="auto"/>
            <w:bottom w:val="none" w:sz="0" w:space="0" w:color="auto"/>
            <w:right w:val="none" w:sz="0" w:space="0" w:color="auto"/>
          </w:divBdr>
        </w:div>
        <w:div w:id="1862041494">
          <w:marLeft w:val="0"/>
          <w:marRight w:val="0"/>
          <w:marTop w:val="0"/>
          <w:marBottom w:val="0"/>
          <w:divBdr>
            <w:top w:val="none" w:sz="0" w:space="0" w:color="auto"/>
            <w:left w:val="none" w:sz="0" w:space="0" w:color="auto"/>
            <w:bottom w:val="none" w:sz="0" w:space="0" w:color="auto"/>
            <w:right w:val="none" w:sz="0" w:space="0" w:color="auto"/>
          </w:divBdr>
        </w:div>
        <w:div w:id="1951277532">
          <w:marLeft w:val="0"/>
          <w:marRight w:val="0"/>
          <w:marTop w:val="0"/>
          <w:marBottom w:val="0"/>
          <w:divBdr>
            <w:top w:val="none" w:sz="0" w:space="0" w:color="auto"/>
            <w:left w:val="none" w:sz="0" w:space="0" w:color="auto"/>
            <w:bottom w:val="none" w:sz="0" w:space="0" w:color="auto"/>
            <w:right w:val="none" w:sz="0" w:space="0" w:color="auto"/>
          </w:divBdr>
        </w:div>
        <w:div w:id="2034990031">
          <w:marLeft w:val="0"/>
          <w:marRight w:val="0"/>
          <w:marTop w:val="0"/>
          <w:marBottom w:val="0"/>
          <w:divBdr>
            <w:top w:val="none" w:sz="0" w:space="0" w:color="auto"/>
            <w:left w:val="none" w:sz="0" w:space="0" w:color="auto"/>
            <w:bottom w:val="none" w:sz="0" w:space="0" w:color="auto"/>
            <w:right w:val="none" w:sz="0" w:space="0" w:color="auto"/>
          </w:divBdr>
        </w:div>
        <w:div w:id="2058358235">
          <w:marLeft w:val="0"/>
          <w:marRight w:val="0"/>
          <w:marTop w:val="0"/>
          <w:marBottom w:val="0"/>
          <w:divBdr>
            <w:top w:val="none" w:sz="0" w:space="0" w:color="auto"/>
            <w:left w:val="none" w:sz="0" w:space="0" w:color="auto"/>
            <w:bottom w:val="none" w:sz="0" w:space="0" w:color="auto"/>
            <w:right w:val="none" w:sz="0" w:space="0" w:color="auto"/>
          </w:divBdr>
        </w:div>
      </w:divsChild>
    </w:div>
    <w:div w:id="2075152673">
      <w:bodyDiv w:val="1"/>
      <w:marLeft w:val="0"/>
      <w:marRight w:val="0"/>
      <w:marTop w:val="0"/>
      <w:marBottom w:val="0"/>
      <w:divBdr>
        <w:top w:val="none" w:sz="0" w:space="0" w:color="auto"/>
        <w:left w:val="none" w:sz="0" w:space="0" w:color="auto"/>
        <w:bottom w:val="none" w:sz="0" w:space="0" w:color="auto"/>
        <w:right w:val="none" w:sz="0" w:space="0" w:color="auto"/>
      </w:divBdr>
    </w:div>
    <w:div w:id="20820958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8.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36.jpg"/><Relationship Id="rId68" Type="http://schemas.openxmlformats.org/officeDocument/2006/relationships/hyperlink" Target="https://www.linkedin.com/company/south-east-water/" TargetMode="Externa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4.png"/><Relationship Id="rId11" Type="http://schemas.openxmlformats.org/officeDocument/2006/relationships/image" Target="media/image1.png"/><Relationship Id="rId24" Type="http://schemas.openxmlformats.org/officeDocument/2006/relationships/hyperlink" Target="https://southeastwater.com.au/about-us/our-role/plan-for-the-future/" TargetMode="External"/><Relationship Id="rId32" Type="http://schemas.openxmlformats.org/officeDocument/2006/relationships/image" Target="media/image17.png"/><Relationship Id="rId37" Type="http://schemas.openxmlformats.org/officeDocument/2006/relationships/header" Target="header5.xml"/><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4.png"/><Relationship Id="rId58" Type="http://schemas.openxmlformats.org/officeDocument/2006/relationships/hyperlink" Target="https://www.linkedin.com/company/south-east-water/" TargetMode="External"/><Relationship Id="rId66" Type="http://schemas.openxmlformats.org/officeDocument/2006/relationships/hyperlink" Target="https://www.instagram.com/southeastwateraustralia/?hl=en" TargetMode="External"/><Relationship Id="rId74"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image" Target="media/image35.jpg"/><Relationship Id="rId1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eader" Target="header3.xml"/><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hyperlink" Target="https://www.instagram.com/southeastwateraustralia/?hl=en" TargetMode="External"/><Relationship Id="rId64" Type="http://schemas.openxmlformats.org/officeDocument/2006/relationships/hyperlink" Target="https://www.facebook.com/SEWmelbourne/" TargetMode="External"/><Relationship Id="rId69" Type="http://schemas.openxmlformats.org/officeDocument/2006/relationships/image" Target="media/image37.jpg"/><Relationship Id="rId77" Type="http://schemas.openxmlformats.org/officeDocument/2006/relationships/theme" Target="theme/theme1.xml"/><Relationship Id="rId8" Type="http://schemas.openxmlformats.org/officeDocument/2006/relationships/webSettings" Target="webSettings.xml"/><Relationship Id="rId72" Type="http://schemas.openxmlformats.org/officeDocument/2006/relationships/hyperlink" Target="https://mobile.twitter.com/southeastwater"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southeastwater.com.au/about-us/our-role/our-performance/" TargetMode="External"/><Relationship Id="rId33" Type="http://schemas.openxmlformats.org/officeDocument/2006/relationships/image" Target="media/image18.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34.jpg"/><Relationship Id="rId67" Type="http://schemas.openxmlformats.org/officeDocument/2006/relationships/image" Target="media/image360.jpg"/><Relationship Id="rId20" Type="http://schemas.openxmlformats.org/officeDocument/2006/relationships/header" Target="header2.xml"/><Relationship Id="rId41" Type="http://schemas.openxmlformats.org/officeDocument/2006/relationships/image" Target="media/image23.png"/><Relationship Id="rId54" Type="http://schemas.openxmlformats.org/officeDocument/2006/relationships/hyperlink" Target="https://www.facebook.com/SEWmelbourne/" TargetMode="External"/><Relationship Id="rId62" Type="http://schemas.openxmlformats.org/officeDocument/2006/relationships/hyperlink" Target="https://mobile.twitter.com/southeastwater" TargetMode="External"/><Relationship Id="rId70" Type="http://schemas.openxmlformats.org/officeDocument/2006/relationships/hyperlink" Target="https://www.youtube.com/user/southeastwater"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header" Target="header4.xml"/><Relationship Id="rId49" Type="http://schemas.openxmlformats.org/officeDocument/2006/relationships/image" Target="media/image31.png"/><Relationship Id="rId57" Type="http://schemas.openxmlformats.org/officeDocument/2006/relationships/image" Target="media/image33.jpg"/><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image" Target="media/image26.png"/><Relationship Id="rId60" Type="http://schemas.openxmlformats.org/officeDocument/2006/relationships/hyperlink" Target="https://www.youtube.com/user/southeastwater" TargetMode="External"/><Relationship Id="rId65" Type="http://schemas.openxmlformats.org/officeDocument/2006/relationships/image" Target="media/image350.jpg"/><Relationship Id="rId73" Type="http://schemas.openxmlformats.org/officeDocument/2006/relationships/image" Target="media/image39.jp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svg"/><Relationship Id="rId18" Type="http://schemas.openxmlformats.org/officeDocument/2006/relationships/header" Target="header1.xml"/><Relationship Id="rId39" Type="http://schemas.openxmlformats.org/officeDocument/2006/relationships/image" Target="media/image21.png"/><Relationship Id="rId34" Type="http://schemas.openxmlformats.org/officeDocument/2006/relationships/image" Target="media/image19.png"/><Relationship Id="rId55" Type="http://schemas.openxmlformats.org/officeDocument/2006/relationships/image" Target="media/image32.jpg"/><Relationship Id="rId76" Type="http://schemas.openxmlformats.org/officeDocument/2006/relationships/glossaryDocument" Target="glossary/document.xml"/><Relationship Id="rId7" Type="http://schemas.openxmlformats.org/officeDocument/2006/relationships/settings" Target="settings.xml"/><Relationship Id="rId71" Type="http://schemas.openxmlformats.org/officeDocument/2006/relationships/image" Target="media/image38.jpg"/></Relationships>
</file>

<file path=word/_rels/footnotes.xml.rels><?xml version="1.0" encoding="UTF-8" standalone="yes"?>
<Relationships xmlns="http://schemas.openxmlformats.org/package/2006/relationships"><Relationship Id="rId2" Type="http://schemas.openxmlformats.org/officeDocument/2006/relationships/hyperlink" Target="https://labourmarketinsights.gov.au/" TargetMode="External"/><Relationship Id="rId1" Type="http://schemas.openxmlformats.org/officeDocument/2006/relationships/hyperlink" Target="https://www.water.vic.gov.au/liveable/integrated-water-management-program/forum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165CD98343540B19E4A401916F76388"/>
        <w:category>
          <w:name w:val="General"/>
          <w:gallery w:val="placeholder"/>
        </w:category>
        <w:types>
          <w:type w:val="bbPlcHdr"/>
        </w:types>
        <w:behaviors>
          <w:behavior w:val="content"/>
        </w:behaviors>
        <w:guid w:val="{53384F67-EE3B-4D12-8BB3-FF0C69FEAD5A}"/>
      </w:docPartPr>
      <w:docPartBody>
        <w:p w:rsidR="00702ECC" w:rsidRDefault="00756E47">
          <w:pPr>
            <w:pStyle w:val="5165CD98343540B19E4A401916F76388"/>
          </w:pPr>
          <w:r w:rsidRPr="00651D79">
            <w:rPr>
              <w:rStyle w:val="PlaceholderText"/>
            </w:rPr>
            <w:t>[Title]</w:t>
          </w:r>
        </w:p>
      </w:docPartBody>
    </w:docPart>
    <w:docPart>
      <w:docPartPr>
        <w:name w:val="2B549984FA10441AB1EC4E429430058D"/>
        <w:category>
          <w:name w:val="General"/>
          <w:gallery w:val="placeholder"/>
        </w:category>
        <w:types>
          <w:type w:val="bbPlcHdr"/>
        </w:types>
        <w:behaviors>
          <w:behavior w:val="content"/>
        </w:behaviors>
        <w:guid w:val="{7B5028C2-1A83-4123-BFFB-77FB27028083}"/>
      </w:docPartPr>
      <w:docPartBody>
        <w:p w:rsidR="00702ECC" w:rsidRDefault="00756E47">
          <w:pPr>
            <w:pStyle w:val="2B549984FA10441AB1EC4E429430058D"/>
          </w:pPr>
          <w:r w:rsidRPr="00651D79">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Franklin Gothic Book">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Gotham Light">
    <w:panose1 w:val="00000000000000000000"/>
    <w:charset w:val="00"/>
    <w:family w:val="roman"/>
    <w:notTrueType/>
    <w:pitch w:val="default"/>
  </w:font>
  <w:font w:name="Arial Rounded MT">
    <w:altName w:val="Arial"/>
    <w:charset w:val="00"/>
    <w:family w:val="auto"/>
    <w:pitch w:val="variable"/>
    <w:sig w:usb0="80000027"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DINOT-Bold">
    <w:altName w:val="Calibri"/>
    <w:panose1 w:val="00000000000000000000"/>
    <w:charset w:val="00"/>
    <w:family w:val="swiss"/>
    <w:notTrueType/>
    <w:pitch w:val="variable"/>
    <w:sig w:usb0="800002AF" w:usb1="4000207B" w:usb2="00000008" w:usb3="00000000" w:csb0="00000001" w:csb1="00000000"/>
  </w:font>
  <w:font w:name="Roobert">
    <w:altName w:val="Calibri"/>
    <w:panose1 w:val="00000000000000000000"/>
    <w:charset w:val="00"/>
    <w:family w:val="modern"/>
    <w:notTrueType/>
    <w:pitch w:val="variable"/>
    <w:sig w:usb0="00000007" w:usb1="00000000" w:usb2="00000000" w:usb3="00000000" w:csb0="00000093" w:csb1="00000000"/>
  </w:font>
  <w:font w:name="+mj-ea">
    <w:altName w:val="Cambria"/>
    <w:panose1 w:val="00000000000000000000"/>
    <w:charset w:val="00"/>
    <w:family w:val="roman"/>
    <w:notTrueType/>
    <w:pitch w:val="default"/>
  </w:font>
  <w:font w:name="+mj-cs">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Jacobs Chronos">
    <w:altName w:val="Calibri"/>
    <w:charset w:val="00"/>
    <w:family w:val="swiss"/>
    <w:pitch w:val="variable"/>
    <w:sig w:usb0="00000003" w:usb1="0000E0EB" w:usb2="00000008" w:usb3="00000000" w:csb0="00000001" w:csb1="00000000"/>
  </w:font>
  <w:font w:name="MinionPro-Regular">
    <w:altName w:val="Cambria"/>
    <w:charset w:val="4D"/>
    <w:family w:val="auto"/>
    <w:pitch w:val="default"/>
    <w:sig w:usb0="00000003" w:usb1="00000000" w:usb2="00000000" w:usb3="00000000" w:csb0="00000001" w:csb1="00000000"/>
  </w:font>
  <w:font w:name="Times New Roman (Headings CS)">
    <w:charset w:val="00"/>
    <w:family w:val="roman"/>
    <w:pitch w:val="default"/>
  </w:font>
  <w:font w:name="Arial Bold">
    <w:panose1 w:val="020B0704020202020204"/>
    <w:charset w:val="00"/>
    <w:family w:val="swiss"/>
    <w:notTrueType/>
    <w:pitch w:val="default"/>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D92"/>
    <w:rsid w:val="0003025C"/>
    <w:rsid w:val="000837AD"/>
    <w:rsid w:val="000B2027"/>
    <w:rsid w:val="000B4B96"/>
    <w:rsid w:val="000D2A08"/>
    <w:rsid w:val="0018643B"/>
    <w:rsid w:val="001A3834"/>
    <w:rsid w:val="001B26B1"/>
    <w:rsid w:val="001B3913"/>
    <w:rsid w:val="001F1FF4"/>
    <w:rsid w:val="00201E2A"/>
    <w:rsid w:val="00227CB2"/>
    <w:rsid w:val="00233F8E"/>
    <w:rsid w:val="00262D75"/>
    <w:rsid w:val="0026562E"/>
    <w:rsid w:val="00272BA6"/>
    <w:rsid w:val="00341B28"/>
    <w:rsid w:val="003815EE"/>
    <w:rsid w:val="00385321"/>
    <w:rsid w:val="0038532E"/>
    <w:rsid w:val="00390640"/>
    <w:rsid w:val="003B6ACD"/>
    <w:rsid w:val="003E3AFF"/>
    <w:rsid w:val="00441175"/>
    <w:rsid w:val="00446227"/>
    <w:rsid w:val="0045391F"/>
    <w:rsid w:val="0045439F"/>
    <w:rsid w:val="005154DB"/>
    <w:rsid w:val="00542005"/>
    <w:rsid w:val="00560671"/>
    <w:rsid w:val="00604C16"/>
    <w:rsid w:val="00622EC2"/>
    <w:rsid w:val="00655515"/>
    <w:rsid w:val="006B0059"/>
    <w:rsid w:val="006B4FBB"/>
    <w:rsid w:val="006F3229"/>
    <w:rsid w:val="00702ECC"/>
    <w:rsid w:val="00707FC0"/>
    <w:rsid w:val="0071006E"/>
    <w:rsid w:val="00721747"/>
    <w:rsid w:val="007475E1"/>
    <w:rsid w:val="00756E47"/>
    <w:rsid w:val="007A696B"/>
    <w:rsid w:val="007B5954"/>
    <w:rsid w:val="007B6FBB"/>
    <w:rsid w:val="007C0793"/>
    <w:rsid w:val="007E610C"/>
    <w:rsid w:val="007F47D9"/>
    <w:rsid w:val="007F6F0A"/>
    <w:rsid w:val="00830BB7"/>
    <w:rsid w:val="00835EB3"/>
    <w:rsid w:val="00840EFC"/>
    <w:rsid w:val="00864857"/>
    <w:rsid w:val="00953B09"/>
    <w:rsid w:val="00957322"/>
    <w:rsid w:val="00973645"/>
    <w:rsid w:val="00992B39"/>
    <w:rsid w:val="009970CF"/>
    <w:rsid w:val="009A4DEA"/>
    <w:rsid w:val="009B5AF1"/>
    <w:rsid w:val="00A16F33"/>
    <w:rsid w:val="00A3402F"/>
    <w:rsid w:val="00A358EC"/>
    <w:rsid w:val="00A47ED5"/>
    <w:rsid w:val="00A50C19"/>
    <w:rsid w:val="00A8502D"/>
    <w:rsid w:val="00B20782"/>
    <w:rsid w:val="00B4456A"/>
    <w:rsid w:val="00BB2307"/>
    <w:rsid w:val="00C22D92"/>
    <w:rsid w:val="00C50A09"/>
    <w:rsid w:val="00CB4F2A"/>
    <w:rsid w:val="00CD0C77"/>
    <w:rsid w:val="00CE5E5D"/>
    <w:rsid w:val="00CE67A1"/>
    <w:rsid w:val="00D3439A"/>
    <w:rsid w:val="00D54EED"/>
    <w:rsid w:val="00D611EF"/>
    <w:rsid w:val="00D724FA"/>
    <w:rsid w:val="00D73087"/>
    <w:rsid w:val="00DF1A80"/>
    <w:rsid w:val="00E4521E"/>
    <w:rsid w:val="00E500CB"/>
    <w:rsid w:val="00E80228"/>
    <w:rsid w:val="00E968A6"/>
    <w:rsid w:val="00EB10ED"/>
    <w:rsid w:val="00EC0B98"/>
    <w:rsid w:val="00EF543B"/>
    <w:rsid w:val="00F20951"/>
    <w:rsid w:val="00F2171A"/>
    <w:rsid w:val="00F332FA"/>
    <w:rsid w:val="00F34DA2"/>
    <w:rsid w:val="00F7015B"/>
    <w:rsid w:val="00F96616"/>
    <w:rsid w:val="00FA0012"/>
    <w:rsid w:val="00FB0366"/>
    <w:rsid w:val="00FB46F2"/>
    <w:rsid w:val="00FC37BB"/>
    <w:rsid w:val="00FD560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6FC872A5"/>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5165CD98343540B19E4A401916F76388">
    <w:name w:val="5165CD98343540B19E4A401916F76388"/>
  </w:style>
  <w:style w:type="paragraph" w:customStyle="1" w:styleId="2B549984FA10441AB1EC4E429430058D">
    <w:name w:val="2B549984FA10441AB1EC4E429430058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South East Water">
  <a:themeElements>
    <a:clrScheme name="South East Water">
      <a:dk1>
        <a:srgbClr val="0075E3"/>
      </a:dk1>
      <a:lt1>
        <a:sysClr val="window" lastClr="FFFFFF"/>
      </a:lt1>
      <a:dk2>
        <a:srgbClr val="002379"/>
      </a:dk2>
      <a:lt2>
        <a:srgbClr val="FFFFFF"/>
      </a:lt2>
      <a:accent1>
        <a:srgbClr val="0075E3"/>
      </a:accent1>
      <a:accent2>
        <a:srgbClr val="00B1F4"/>
      </a:accent2>
      <a:accent3>
        <a:srgbClr val="FFE900"/>
      </a:accent3>
      <a:accent4>
        <a:srgbClr val="00B77C"/>
      </a:accent4>
      <a:accent5>
        <a:srgbClr val="8C50B4"/>
      </a:accent5>
      <a:accent6>
        <a:srgbClr val="FF8D00"/>
      </a:accent6>
      <a:hlink>
        <a:srgbClr val="0075E3"/>
      </a:hlink>
      <a:folHlink>
        <a:srgbClr val="002379"/>
      </a:folHlink>
    </a:clrScheme>
    <a:fontScheme name="Custom 206">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heme1" id="{EBB1692C-B1F2-4066-B9D0-A3E0C794CA03}" vid="{F9EA2D53-654F-4F8D-A88C-EDA59AF21BF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735b189-7d43-444d-8bb4-0cf2e8ea0f16" xsi:nil="true"/>
    <lcf76f155ced4ddcb4097134ff3c332f xmlns="fb747140-f783-4f59-8614-018c6afd717d">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2716B8A2C91BC45ABDD92CEA8618734" ma:contentTypeVersion="14" ma:contentTypeDescription="Create a new document." ma:contentTypeScope="" ma:versionID="927416c30794a877d1c2650a734c5096">
  <xsd:schema xmlns:xsd="http://www.w3.org/2001/XMLSchema" xmlns:xs="http://www.w3.org/2001/XMLSchema" xmlns:p="http://schemas.microsoft.com/office/2006/metadata/properties" xmlns:ns2="fb747140-f783-4f59-8614-018c6afd717d" xmlns:ns3="9735b189-7d43-444d-8bb4-0cf2e8ea0f16" targetNamespace="http://schemas.microsoft.com/office/2006/metadata/properties" ma:root="true" ma:fieldsID="dc82c2e97be3ea8d77e23cc1c7751e68" ns2:_="" ns3:_="">
    <xsd:import namespace="fb747140-f783-4f59-8614-018c6afd717d"/>
    <xsd:import namespace="9735b189-7d43-444d-8bb4-0cf2e8ea0f1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747140-f783-4f59-8614-018c6afd71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f688115-0302-4e1f-a4da-adfe537ad005"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35b189-7d43-444d-8bb4-0cf2e8ea0f1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b175a91f-47c8-4324-9b6e-041578865764}" ma:internalName="TaxCatchAll" ma:showField="CatchAllData" ma:web="9735b189-7d43-444d-8bb4-0cf2e8ea0f1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43F1E93-D399-48FC-A43F-61AE9CF69F68}">
  <ds:schemaRefs>
    <ds:schemaRef ds:uri="http://schemas.microsoft.com/office/2006/metadata/properties"/>
    <ds:schemaRef ds:uri="http://schemas.microsoft.com/office/infopath/2007/PartnerControls"/>
    <ds:schemaRef ds:uri="9735b189-7d43-444d-8bb4-0cf2e8ea0f16"/>
    <ds:schemaRef ds:uri="fb747140-f783-4f59-8614-018c6afd717d"/>
  </ds:schemaRefs>
</ds:datastoreItem>
</file>

<file path=customXml/itemProps2.xml><?xml version="1.0" encoding="utf-8"?>
<ds:datastoreItem xmlns:ds="http://schemas.openxmlformats.org/officeDocument/2006/customXml" ds:itemID="{34B7FAEF-3EA0-4FC5-B261-D7DFD2FEA7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747140-f783-4f59-8614-018c6afd717d"/>
    <ds:schemaRef ds:uri="9735b189-7d43-444d-8bb4-0cf2e8ea0f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7AF0E04-00EA-457A-A7F8-7FA5FA350C6E}">
  <ds:schemaRefs>
    <ds:schemaRef ds:uri="http://schemas.openxmlformats.org/officeDocument/2006/bibliography"/>
  </ds:schemaRefs>
</ds:datastoreItem>
</file>

<file path=customXml/itemProps4.xml><?xml version="1.0" encoding="utf-8"?>
<ds:datastoreItem xmlns:ds="http://schemas.openxmlformats.org/officeDocument/2006/customXml" ds:itemID="{A13E76BB-37ED-4235-AB4B-194BE8E91F0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189</Pages>
  <Words>51227</Words>
  <Characters>291995</Characters>
  <Application>Microsoft Office Word</Application>
  <DocSecurity>0</DocSecurity>
  <Lines>2433</Lines>
  <Paragraphs>685</Paragraphs>
  <ScaleCrop>false</ScaleCrop>
  <HeadingPairs>
    <vt:vector size="2" baseType="variant">
      <vt:variant>
        <vt:lpstr>Title</vt:lpstr>
      </vt:variant>
      <vt:variant>
        <vt:i4>1</vt:i4>
      </vt:variant>
    </vt:vector>
  </HeadingPairs>
  <TitlesOfParts>
    <vt:vector size="1" baseType="lpstr">
      <vt:lpstr>Price Submission</vt:lpstr>
    </vt:vector>
  </TitlesOfParts>
  <Company/>
  <LinksUpToDate>false</LinksUpToDate>
  <CharactersWithSpaces>342537</CharactersWithSpaces>
  <SharedDoc>false</SharedDoc>
  <HLinks>
    <vt:vector size="138" baseType="variant">
      <vt:variant>
        <vt:i4>4980801</vt:i4>
      </vt:variant>
      <vt:variant>
        <vt:i4>150</vt:i4>
      </vt:variant>
      <vt:variant>
        <vt:i4>0</vt:i4>
      </vt:variant>
      <vt:variant>
        <vt:i4>5</vt:i4>
      </vt:variant>
      <vt:variant>
        <vt:lpwstr>https://southeastwater.com.au/about-us/our-role/our-performance/</vt:lpwstr>
      </vt:variant>
      <vt:variant>
        <vt:lpwstr/>
      </vt:variant>
      <vt:variant>
        <vt:i4>9</vt:i4>
      </vt:variant>
      <vt:variant>
        <vt:i4>132</vt:i4>
      </vt:variant>
      <vt:variant>
        <vt:i4>0</vt:i4>
      </vt:variant>
      <vt:variant>
        <vt:i4>5</vt:i4>
      </vt:variant>
      <vt:variant>
        <vt:lpwstr>https://southeastwater.com.au/about-us/our-role/plan-for-the-future/</vt:lpwstr>
      </vt:variant>
      <vt:variant>
        <vt:lpwstr/>
      </vt:variant>
      <vt:variant>
        <vt:i4>1441847</vt:i4>
      </vt:variant>
      <vt:variant>
        <vt:i4>89</vt:i4>
      </vt:variant>
      <vt:variant>
        <vt:i4>0</vt:i4>
      </vt:variant>
      <vt:variant>
        <vt:i4>5</vt:i4>
      </vt:variant>
      <vt:variant>
        <vt:lpwstr/>
      </vt:variant>
      <vt:variant>
        <vt:lpwstr>_Toc114644628</vt:lpwstr>
      </vt:variant>
      <vt:variant>
        <vt:i4>1441847</vt:i4>
      </vt:variant>
      <vt:variant>
        <vt:i4>83</vt:i4>
      </vt:variant>
      <vt:variant>
        <vt:i4>0</vt:i4>
      </vt:variant>
      <vt:variant>
        <vt:i4>5</vt:i4>
      </vt:variant>
      <vt:variant>
        <vt:lpwstr/>
      </vt:variant>
      <vt:variant>
        <vt:lpwstr>_Toc114644625</vt:lpwstr>
      </vt:variant>
      <vt:variant>
        <vt:i4>1441847</vt:i4>
      </vt:variant>
      <vt:variant>
        <vt:i4>77</vt:i4>
      </vt:variant>
      <vt:variant>
        <vt:i4>0</vt:i4>
      </vt:variant>
      <vt:variant>
        <vt:i4>5</vt:i4>
      </vt:variant>
      <vt:variant>
        <vt:lpwstr/>
      </vt:variant>
      <vt:variant>
        <vt:lpwstr>_Toc114644624</vt:lpwstr>
      </vt:variant>
      <vt:variant>
        <vt:i4>1441847</vt:i4>
      </vt:variant>
      <vt:variant>
        <vt:i4>71</vt:i4>
      </vt:variant>
      <vt:variant>
        <vt:i4>0</vt:i4>
      </vt:variant>
      <vt:variant>
        <vt:i4>5</vt:i4>
      </vt:variant>
      <vt:variant>
        <vt:lpwstr/>
      </vt:variant>
      <vt:variant>
        <vt:lpwstr>_Toc114644623</vt:lpwstr>
      </vt:variant>
      <vt:variant>
        <vt:i4>1441847</vt:i4>
      </vt:variant>
      <vt:variant>
        <vt:i4>65</vt:i4>
      </vt:variant>
      <vt:variant>
        <vt:i4>0</vt:i4>
      </vt:variant>
      <vt:variant>
        <vt:i4>5</vt:i4>
      </vt:variant>
      <vt:variant>
        <vt:lpwstr/>
      </vt:variant>
      <vt:variant>
        <vt:lpwstr>_Toc114644622</vt:lpwstr>
      </vt:variant>
      <vt:variant>
        <vt:i4>1441847</vt:i4>
      </vt:variant>
      <vt:variant>
        <vt:i4>59</vt:i4>
      </vt:variant>
      <vt:variant>
        <vt:i4>0</vt:i4>
      </vt:variant>
      <vt:variant>
        <vt:i4>5</vt:i4>
      </vt:variant>
      <vt:variant>
        <vt:lpwstr/>
      </vt:variant>
      <vt:variant>
        <vt:lpwstr>_Toc114644621</vt:lpwstr>
      </vt:variant>
      <vt:variant>
        <vt:i4>1179698</vt:i4>
      </vt:variant>
      <vt:variant>
        <vt:i4>56</vt:i4>
      </vt:variant>
      <vt:variant>
        <vt:i4>0</vt:i4>
      </vt:variant>
      <vt:variant>
        <vt:i4>5</vt:i4>
      </vt:variant>
      <vt:variant>
        <vt:lpwstr/>
      </vt:variant>
      <vt:variant>
        <vt:lpwstr>_7._Forecast_operating</vt:lpwstr>
      </vt:variant>
      <vt:variant>
        <vt:i4>8192067</vt:i4>
      </vt:variant>
      <vt:variant>
        <vt:i4>53</vt:i4>
      </vt:variant>
      <vt:variant>
        <vt:i4>0</vt:i4>
      </vt:variant>
      <vt:variant>
        <vt:i4>5</vt:i4>
      </vt:variant>
      <vt:variant>
        <vt:lpwstr/>
      </vt:variant>
      <vt:variant>
        <vt:lpwstr>_6._Forecast_capital</vt:lpwstr>
      </vt:variant>
      <vt:variant>
        <vt:i4>6815856</vt:i4>
      </vt:variant>
      <vt:variant>
        <vt:i4>50</vt:i4>
      </vt:variant>
      <vt:variant>
        <vt:i4>0</vt:i4>
      </vt:variant>
      <vt:variant>
        <vt:i4>5</vt:i4>
      </vt:variant>
      <vt:variant>
        <vt:lpwstr/>
      </vt:variant>
      <vt:variant>
        <vt:lpwstr>_5._Risk</vt:lpwstr>
      </vt:variant>
      <vt:variant>
        <vt:i4>2031638</vt:i4>
      </vt:variant>
      <vt:variant>
        <vt:i4>47</vt:i4>
      </vt:variant>
      <vt:variant>
        <vt:i4>0</vt:i4>
      </vt:variant>
      <vt:variant>
        <vt:i4>5</vt:i4>
      </vt:variant>
      <vt:variant>
        <vt:lpwstr/>
      </vt:variant>
      <vt:variant>
        <vt:lpwstr>_4._Management</vt:lpwstr>
      </vt:variant>
      <vt:variant>
        <vt:i4>1376311</vt:i4>
      </vt:variant>
      <vt:variant>
        <vt:i4>41</vt:i4>
      </vt:variant>
      <vt:variant>
        <vt:i4>0</vt:i4>
      </vt:variant>
      <vt:variant>
        <vt:i4>5</vt:i4>
      </vt:variant>
      <vt:variant>
        <vt:lpwstr/>
      </vt:variant>
      <vt:variant>
        <vt:lpwstr>_Toc114644615</vt:lpwstr>
      </vt:variant>
      <vt:variant>
        <vt:i4>1376311</vt:i4>
      </vt:variant>
      <vt:variant>
        <vt:i4>35</vt:i4>
      </vt:variant>
      <vt:variant>
        <vt:i4>0</vt:i4>
      </vt:variant>
      <vt:variant>
        <vt:i4>5</vt:i4>
      </vt:variant>
      <vt:variant>
        <vt:lpwstr/>
      </vt:variant>
      <vt:variant>
        <vt:lpwstr>_Toc114644611</vt:lpwstr>
      </vt:variant>
      <vt:variant>
        <vt:i4>1376311</vt:i4>
      </vt:variant>
      <vt:variant>
        <vt:i4>29</vt:i4>
      </vt:variant>
      <vt:variant>
        <vt:i4>0</vt:i4>
      </vt:variant>
      <vt:variant>
        <vt:i4>5</vt:i4>
      </vt:variant>
      <vt:variant>
        <vt:lpwstr/>
      </vt:variant>
      <vt:variant>
        <vt:lpwstr>_Toc114644610</vt:lpwstr>
      </vt:variant>
      <vt:variant>
        <vt:i4>1310775</vt:i4>
      </vt:variant>
      <vt:variant>
        <vt:i4>23</vt:i4>
      </vt:variant>
      <vt:variant>
        <vt:i4>0</vt:i4>
      </vt:variant>
      <vt:variant>
        <vt:i4>5</vt:i4>
      </vt:variant>
      <vt:variant>
        <vt:lpwstr/>
      </vt:variant>
      <vt:variant>
        <vt:lpwstr>_Toc114644609</vt:lpwstr>
      </vt:variant>
      <vt:variant>
        <vt:i4>1310775</vt:i4>
      </vt:variant>
      <vt:variant>
        <vt:i4>17</vt:i4>
      </vt:variant>
      <vt:variant>
        <vt:i4>0</vt:i4>
      </vt:variant>
      <vt:variant>
        <vt:i4>5</vt:i4>
      </vt:variant>
      <vt:variant>
        <vt:lpwstr/>
      </vt:variant>
      <vt:variant>
        <vt:lpwstr>_Toc114644608</vt:lpwstr>
      </vt:variant>
      <vt:variant>
        <vt:i4>1310775</vt:i4>
      </vt:variant>
      <vt:variant>
        <vt:i4>14</vt:i4>
      </vt:variant>
      <vt:variant>
        <vt:i4>0</vt:i4>
      </vt:variant>
      <vt:variant>
        <vt:i4>5</vt:i4>
      </vt:variant>
      <vt:variant>
        <vt:lpwstr/>
      </vt:variant>
      <vt:variant>
        <vt:lpwstr>_Toc114644606</vt:lpwstr>
      </vt:variant>
      <vt:variant>
        <vt:i4>1310775</vt:i4>
      </vt:variant>
      <vt:variant>
        <vt:i4>11</vt:i4>
      </vt:variant>
      <vt:variant>
        <vt:i4>0</vt:i4>
      </vt:variant>
      <vt:variant>
        <vt:i4>5</vt:i4>
      </vt:variant>
      <vt:variant>
        <vt:lpwstr/>
      </vt:variant>
      <vt:variant>
        <vt:lpwstr>_Toc114644605</vt:lpwstr>
      </vt:variant>
      <vt:variant>
        <vt:i4>1310775</vt:i4>
      </vt:variant>
      <vt:variant>
        <vt:i4>8</vt:i4>
      </vt:variant>
      <vt:variant>
        <vt:i4>0</vt:i4>
      </vt:variant>
      <vt:variant>
        <vt:i4>5</vt:i4>
      </vt:variant>
      <vt:variant>
        <vt:lpwstr/>
      </vt:variant>
      <vt:variant>
        <vt:lpwstr>_Toc114644604</vt:lpwstr>
      </vt:variant>
      <vt:variant>
        <vt:i4>1310775</vt:i4>
      </vt:variant>
      <vt:variant>
        <vt:i4>2</vt:i4>
      </vt:variant>
      <vt:variant>
        <vt:i4>0</vt:i4>
      </vt:variant>
      <vt:variant>
        <vt:i4>5</vt:i4>
      </vt:variant>
      <vt:variant>
        <vt:lpwstr/>
      </vt:variant>
      <vt:variant>
        <vt:lpwstr>_Toc114644603</vt:lpwstr>
      </vt:variant>
      <vt:variant>
        <vt:i4>5242962</vt:i4>
      </vt:variant>
      <vt:variant>
        <vt:i4>3</vt:i4>
      </vt:variant>
      <vt:variant>
        <vt:i4>0</vt:i4>
      </vt:variant>
      <vt:variant>
        <vt:i4>5</vt:i4>
      </vt:variant>
      <vt:variant>
        <vt:lpwstr>https://labourmarketinsights.gov.au/</vt:lpwstr>
      </vt:variant>
      <vt:variant>
        <vt:lpwstr/>
      </vt:variant>
      <vt:variant>
        <vt:i4>4784135</vt:i4>
      </vt:variant>
      <vt:variant>
        <vt:i4>0</vt:i4>
      </vt:variant>
      <vt:variant>
        <vt:i4>0</vt:i4>
      </vt:variant>
      <vt:variant>
        <vt:i4>5</vt:i4>
      </vt:variant>
      <vt:variant>
        <vt:lpwstr>https://www.water.vic.gov.au/liveable/integrated-water-management-program/forums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Price Submission</dc:title>
  <dc:subject>2023–28</dc:subject>
  <dc:creator>Dyson, Brooke</dc:creator>
  <cp:keywords/>
  <dc:description/>
  <cp:lastModifiedBy>Dean Wickenton (ESC)</cp:lastModifiedBy>
  <cp:revision>3</cp:revision>
  <cp:lastPrinted>2022-09-17T03:02:00Z</cp:lastPrinted>
  <dcterms:created xsi:type="dcterms:W3CDTF">2022-09-29T07:19:00Z</dcterms:created>
  <dcterms:modified xsi:type="dcterms:W3CDTF">2022-10-05T01:07:00Z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0x010100A2716B8A2C91BC45ABDD92CEA8618734</vt:lpwstr>
  </property>
  <property fmtid="{D5CDD505-2E9C-101B-9397-08002B2CF9AE}" pid="3" name="FinancialYearMMD">
    <vt:lpwstr>2;#2019/20|79ada166-796c-415a-8596-d20749389d16</vt:lpwstr>
  </property>
  <property fmtid="{D5CDD505-2E9C-101B-9397-08002B2CF9AE}" pid="4" name="DocumentStatusMMD">
    <vt:lpwstr>3;#Draft|126e9c2e-f225-498e-899e-2cd818ca277f</vt:lpwstr>
  </property>
  <property fmtid="{D5CDD505-2E9C-101B-9397-08002B2CF9AE}" pid="5" name="_dlc_DocIdItemGuid">
    <vt:lpwstr>f0b9a7cc-fccf-4244-a383-aeff38b1f514</vt:lpwstr>
  </property>
  <property fmtid="{D5CDD505-2E9C-101B-9397-08002B2CF9AE}" pid="6" name="DocumentTypeMMD">
    <vt:lpwstr/>
  </property>
  <property fmtid="{D5CDD505-2E9C-101B-9397-08002B2CF9AE}" pid="7" name="Security Classification">
    <vt:lpwstr>1;#Protected|f1241868-cd39-4b7d-9ace-0c676741fabc</vt:lpwstr>
  </property>
  <property fmtid="{D5CDD505-2E9C-101B-9397-08002B2CF9AE}" pid="8" name="SecurityClassificationMMD">
    <vt:lpwstr/>
  </property>
  <property fmtid="{D5CDD505-2E9C-101B-9397-08002B2CF9AE}" pid="9" name="ca521a0afed04fbc82d09be17b88f63e">
    <vt:lpwstr/>
  </property>
  <property fmtid="{D5CDD505-2E9C-101B-9397-08002B2CF9AE}" pid="10" name="ProjectID">
    <vt:lpwstr/>
  </property>
  <property fmtid="{D5CDD505-2E9C-101B-9397-08002B2CF9AE}" pid="11" name="MediaServiceImageTags">
    <vt:lpwstr/>
  </property>
</Properties>
</file>